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5730" w14:textId="77777777" w:rsidR="00BF0B04" w:rsidRPr="00704FF8" w:rsidRDefault="00BF0B04" w:rsidP="00704FF8">
      <w:pPr>
        <w:pStyle w:val="OrdersTopLine"/>
      </w:pPr>
      <w:r w:rsidRPr="00704FF8">
        <w:t>HIGH COURT OF AUSTRALIA</w:t>
      </w:r>
    </w:p>
    <w:p w14:paraId="4DEE91F8" w14:textId="77777777" w:rsidR="00BF0B04" w:rsidRPr="00704FF8" w:rsidRDefault="00BF0B04" w:rsidP="00704FF8">
      <w:pPr>
        <w:pStyle w:val="OrderCentre"/>
      </w:pPr>
    </w:p>
    <w:p w14:paraId="5462C683" w14:textId="77777777" w:rsidR="00BF0B04" w:rsidRPr="00C46004" w:rsidRDefault="00BF0B04" w:rsidP="00704FF8">
      <w:pPr>
        <w:pStyle w:val="OrderCentre"/>
        <w:rPr>
          <w:spacing w:val="-4"/>
          <w:sz w:val="24"/>
          <w:szCs w:val="24"/>
        </w:rPr>
      </w:pPr>
      <w:r w:rsidRPr="00C46004">
        <w:rPr>
          <w:spacing w:val="-4"/>
          <w:sz w:val="24"/>
          <w:szCs w:val="24"/>
        </w:rPr>
        <w:t>GAGELER CJ,</w:t>
      </w:r>
    </w:p>
    <w:p w14:paraId="6C666D3F" w14:textId="77777777" w:rsidR="00BF0B04" w:rsidRPr="00704FF8" w:rsidRDefault="00BF0B04"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07A0C0A" w14:textId="77777777" w:rsidR="00BF0B04" w:rsidRPr="00427F3A" w:rsidRDefault="00BF0B04" w:rsidP="00EE5374">
      <w:pPr>
        <w:pStyle w:val="Centre"/>
        <w:rPr>
          <w:lang w:val="en-AU"/>
        </w:rPr>
      </w:pPr>
    </w:p>
    <w:p w14:paraId="552CA2BD" w14:textId="77777777" w:rsidR="00BF0B04" w:rsidRPr="00704FF8" w:rsidRDefault="00BF0B04" w:rsidP="00704FF8">
      <w:pPr>
        <w:pStyle w:val="OrdersCenteredBorder"/>
      </w:pPr>
    </w:p>
    <w:p w14:paraId="2C6C14F6" w14:textId="77777777" w:rsidR="00BF0B04" w:rsidRPr="00704FF8" w:rsidRDefault="00BF0B04" w:rsidP="0032341F">
      <w:pPr>
        <w:pStyle w:val="OrdersBodyHeading"/>
      </w:pPr>
    </w:p>
    <w:p w14:paraId="496CF536" w14:textId="77777777" w:rsidR="00BF0B04" w:rsidRPr="0032341F" w:rsidRDefault="00BF0B04" w:rsidP="009362E8">
      <w:pPr>
        <w:pStyle w:val="OrdersPartyName"/>
        <w:ind w:right="-1"/>
      </w:pPr>
      <w:r w:rsidRPr="00CE2DD8">
        <w:t>MALLONLAND PTY LTD &amp; ANOR</w:t>
      </w:r>
      <w:r w:rsidRPr="0032341F">
        <w:tab/>
        <w:t>APPELLANT</w:t>
      </w:r>
      <w:r>
        <w:t>S</w:t>
      </w:r>
    </w:p>
    <w:p w14:paraId="7407FC45" w14:textId="77777777" w:rsidR="00BF0B04" w:rsidRPr="0032341F" w:rsidRDefault="00BF0B04" w:rsidP="009362E8">
      <w:pPr>
        <w:pStyle w:val="OrdersPartyName"/>
        <w:ind w:right="-1"/>
      </w:pPr>
    </w:p>
    <w:p w14:paraId="7165D33B" w14:textId="77777777" w:rsidR="00BF0B04" w:rsidRPr="0032341F" w:rsidRDefault="00BF0B04" w:rsidP="009362E8">
      <w:pPr>
        <w:pStyle w:val="OrdersPartyName"/>
        <w:ind w:right="-1"/>
      </w:pPr>
      <w:r w:rsidRPr="0032341F">
        <w:t>AND</w:t>
      </w:r>
    </w:p>
    <w:p w14:paraId="6A657B7D" w14:textId="77777777" w:rsidR="00BF0B04" w:rsidRPr="0032341F" w:rsidRDefault="00BF0B04" w:rsidP="009362E8">
      <w:pPr>
        <w:pStyle w:val="OrdersPartyName"/>
        <w:ind w:right="-1"/>
      </w:pPr>
    </w:p>
    <w:p w14:paraId="523F4A64" w14:textId="77777777" w:rsidR="00BF0B04" w:rsidRPr="0032341F" w:rsidRDefault="00BF0B04" w:rsidP="009362E8">
      <w:pPr>
        <w:pStyle w:val="OrdersPartyName"/>
        <w:ind w:right="-1"/>
      </w:pPr>
      <w:r w:rsidRPr="00CE2DD8">
        <w:t>ADVANTA SEEDS PTY LTD</w:t>
      </w:r>
      <w:r w:rsidRPr="0032341F">
        <w:tab/>
        <w:t>RESPONDENT</w:t>
      </w:r>
    </w:p>
    <w:p w14:paraId="6115D251" w14:textId="77777777" w:rsidR="00BF0B04" w:rsidRPr="00427F3A" w:rsidRDefault="00BF0B04" w:rsidP="00AF0A5E">
      <w:pPr>
        <w:pStyle w:val="BodyHeading"/>
      </w:pPr>
    </w:p>
    <w:p w14:paraId="1D324E29" w14:textId="77777777" w:rsidR="00BF0B04" w:rsidRPr="00427F3A" w:rsidRDefault="00BF0B04" w:rsidP="00BE0A6C">
      <w:pPr>
        <w:pStyle w:val="BodyHeading"/>
      </w:pPr>
    </w:p>
    <w:p w14:paraId="2DED417A" w14:textId="77777777" w:rsidR="00BF0B04" w:rsidRPr="00427F3A" w:rsidRDefault="00BF0B04" w:rsidP="00EE5374">
      <w:pPr>
        <w:pStyle w:val="CentreItalics"/>
      </w:pPr>
      <w:proofErr w:type="spellStart"/>
      <w:r w:rsidRPr="00CE2DD8">
        <w:t>Mallonland</w:t>
      </w:r>
      <w:proofErr w:type="spellEnd"/>
      <w:r w:rsidRPr="00CE2DD8">
        <w:t xml:space="preserve"> Pty Ltd v Advanta Seeds Pty Ltd </w:t>
      </w:r>
    </w:p>
    <w:p w14:paraId="01F5C336" w14:textId="77777777" w:rsidR="00BF0B04" w:rsidRPr="00427F3A" w:rsidRDefault="00BF0B04" w:rsidP="00E90E4F">
      <w:pPr>
        <w:pStyle w:val="OrdersCentre"/>
      </w:pPr>
      <w:r>
        <w:t>[2024</w:t>
      </w:r>
      <w:r w:rsidRPr="00427F3A">
        <w:t xml:space="preserve">] HCA </w:t>
      </w:r>
      <w:r>
        <w:t>25</w:t>
      </w:r>
    </w:p>
    <w:p w14:paraId="4C4E9295" w14:textId="77777777" w:rsidR="00BF0B04" w:rsidRDefault="00BF0B04" w:rsidP="00E90E4F">
      <w:pPr>
        <w:pStyle w:val="OrdersCentreItalics"/>
      </w:pPr>
      <w:r>
        <w:t xml:space="preserve">Date of Hearing: </w:t>
      </w:r>
      <w:r w:rsidRPr="00CE2DD8">
        <w:t>6 March 2024</w:t>
      </w:r>
    </w:p>
    <w:p w14:paraId="7D5A3F29" w14:textId="77777777" w:rsidR="00BF0B04" w:rsidRPr="00427F3A" w:rsidRDefault="00BF0B04" w:rsidP="00E90E4F">
      <w:pPr>
        <w:pStyle w:val="OrdersCentreItalics"/>
      </w:pPr>
      <w:r>
        <w:t>Date of Judgment: 7 August 2024</w:t>
      </w:r>
    </w:p>
    <w:p w14:paraId="0A36015B" w14:textId="77777777" w:rsidR="00BF0B04" w:rsidRDefault="00BF0B04" w:rsidP="00E90E4F">
      <w:pPr>
        <w:pStyle w:val="OrdersCentre"/>
      </w:pPr>
      <w:r w:rsidRPr="00CE2DD8">
        <w:t>B60/2023</w:t>
      </w:r>
    </w:p>
    <w:p w14:paraId="54DEC478" w14:textId="77777777" w:rsidR="00BF0B04" w:rsidRPr="00427F3A" w:rsidRDefault="00BF0B04" w:rsidP="00E90E4F">
      <w:pPr>
        <w:pStyle w:val="OrdersCentre"/>
      </w:pPr>
    </w:p>
    <w:p w14:paraId="01240338" w14:textId="77777777" w:rsidR="00BF0B04" w:rsidRPr="00BE0A6C" w:rsidRDefault="00BF0B04" w:rsidP="00E90E4F">
      <w:pPr>
        <w:pStyle w:val="OrderCentreBold"/>
      </w:pPr>
      <w:r w:rsidRPr="00BE0A6C">
        <w:t>ORDER</w:t>
      </w:r>
    </w:p>
    <w:p w14:paraId="5D9C23BB" w14:textId="77777777" w:rsidR="00BF0B04" w:rsidRPr="00427F3A" w:rsidRDefault="00BF0B04" w:rsidP="00736C52">
      <w:pPr>
        <w:pStyle w:val="Centre"/>
        <w:rPr>
          <w:lang w:val="en-AU"/>
        </w:rPr>
      </w:pPr>
    </w:p>
    <w:p w14:paraId="4A13931A" w14:textId="77777777" w:rsidR="00BF0B04" w:rsidRPr="00932312" w:rsidRDefault="00BF0B04" w:rsidP="007D1EBA">
      <w:pPr>
        <w:pStyle w:val="OrdersText"/>
      </w:pPr>
      <w:r w:rsidRPr="009F6FDE">
        <w:t xml:space="preserve">Appeal </w:t>
      </w:r>
      <w:r>
        <w:t>dismissed with costs</w:t>
      </w:r>
      <w:r w:rsidRPr="009F6FDE">
        <w:t>.</w:t>
      </w:r>
    </w:p>
    <w:p w14:paraId="6BFF2D66" w14:textId="77777777" w:rsidR="00BF0B04" w:rsidRDefault="00BF0B04" w:rsidP="00EE5374">
      <w:pPr>
        <w:pStyle w:val="Body"/>
      </w:pPr>
    </w:p>
    <w:p w14:paraId="377DA3E8" w14:textId="77777777" w:rsidR="00BF0B04" w:rsidRPr="00427F3A" w:rsidRDefault="00BF0B04" w:rsidP="00EE5374">
      <w:pPr>
        <w:pStyle w:val="Body"/>
      </w:pPr>
    </w:p>
    <w:p w14:paraId="6A05CCE0" w14:textId="77777777" w:rsidR="00BF0B04" w:rsidRPr="00427F3A" w:rsidRDefault="00BF0B04" w:rsidP="0032341F">
      <w:pPr>
        <w:pStyle w:val="OrdersBody"/>
      </w:pPr>
      <w:r w:rsidRPr="00427F3A">
        <w:t xml:space="preserve">On appeal from the </w:t>
      </w:r>
      <w:r w:rsidRPr="00CE2DD8">
        <w:t>Supreme Court of Queensland</w:t>
      </w:r>
    </w:p>
    <w:p w14:paraId="7B91A628" w14:textId="77777777" w:rsidR="00BF0B04" w:rsidRDefault="00BF0B04" w:rsidP="00EE5374">
      <w:pPr>
        <w:pStyle w:val="Body"/>
      </w:pPr>
    </w:p>
    <w:p w14:paraId="1DA0453E" w14:textId="77777777" w:rsidR="00BF0B04" w:rsidRPr="00427F3A" w:rsidRDefault="00BF0B04" w:rsidP="00EE5374">
      <w:pPr>
        <w:pStyle w:val="Body"/>
      </w:pPr>
    </w:p>
    <w:p w14:paraId="288D26FA" w14:textId="77777777" w:rsidR="00BF0B04" w:rsidRPr="00427F3A" w:rsidRDefault="00BF0B04" w:rsidP="00E90E4F">
      <w:pPr>
        <w:pStyle w:val="OrdersBodyHeading"/>
      </w:pPr>
      <w:r w:rsidRPr="00427F3A">
        <w:t>Representation</w:t>
      </w:r>
    </w:p>
    <w:p w14:paraId="4A1D1B4A" w14:textId="77777777" w:rsidR="00BF0B04" w:rsidRDefault="00BF0B04" w:rsidP="00EE5374">
      <w:pPr>
        <w:pStyle w:val="Body"/>
      </w:pPr>
    </w:p>
    <w:p w14:paraId="59ACB0E3" w14:textId="77777777" w:rsidR="00BF0B04" w:rsidRPr="00CE2DD8" w:rsidRDefault="00BF0B04" w:rsidP="00E90E4F">
      <w:pPr>
        <w:pStyle w:val="OrdersBody"/>
      </w:pPr>
      <w:r w:rsidRPr="00CE2DD8">
        <w:t xml:space="preserve">W A D Edwards KC with B A Hall and T A Rawlinson for the appellants (instructed by Creevey </w:t>
      </w:r>
      <w:proofErr w:type="spellStart"/>
      <w:r w:rsidRPr="00CE2DD8">
        <w:t>Horrell</w:t>
      </w:r>
      <w:proofErr w:type="spellEnd"/>
      <w:r w:rsidRPr="00CE2DD8">
        <w:t xml:space="preserve"> Lawyers)</w:t>
      </w:r>
    </w:p>
    <w:p w14:paraId="510AC77C" w14:textId="77777777" w:rsidR="00BF0B04" w:rsidRPr="00CE2DD8" w:rsidRDefault="00BF0B04" w:rsidP="001B3C97">
      <w:pPr>
        <w:pStyle w:val="Body"/>
      </w:pPr>
    </w:p>
    <w:p w14:paraId="2593C3C7" w14:textId="77777777" w:rsidR="00BF0B04" w:rsidRPr="00CE2DD8" w:rsidRDefault="00BF0B04" w:rsidP="00E90E4F">
      <w:pPr>
        <w:pStyle w:val="OrdersBody"/>
      </w:pPr>
      <w:r w:rsidRPr="00CE2DD8">
        <w:t>P J Dunning KC with E J Goodwin KC and M Y Barnes for the respondent (instructed by Herbert Smith Freehills)</w:t>
      </w:r>
    </w:p>
    <w:p w14:paraId="30CA7A11" w14:textId="77777777" w:rsidR="00BF0B04" w:rsidRDefault="00BF0B04" w:rsidP="00A01277">
      <w:pPr>
        <w:pStyle w:val="Body"/>
      </w:pPr>
    </w:p>
    <w:p w14:paraId="62B9B0AC" w14:textId="77777777" w:rsidR="00BF0B04" w:rsidRDefault="00BF0B04" w:rsidP="00EE5374">
      <w:pPr>
        <w:pStyle w:val="Body"/>
      </w:pPr>
    </w:p>
    <w:p w14:paraId="622131D1" w14:textId="77777777" w:rsidR="00BF0B04" w:rsidRPr="00427F3A" w:rsidRDefault="00BF0B04" w:rsidP="00EE5374">
      <w:pPr>
        <w:pStyle w:val="Body"/>
      </w:pPr>
    </w:p>
    <w:p w14:paraId="08BB8FCD" w14:textId="77777777" w:rsidR="00BF0B04" w:rsidRPr="00427F3A" w:rsidRDefault="00BF0B04" w:rsidP="00F9713B">
      <w:pPr>
        <w:pStyle w:val="Notice"/>
        <w:rPr>
          <w:lang w:val="en-AU"/>
        </w:rPr>
      </w:pPr>
      <w:r w:rsidRPr="00427F3A">
        <w:rPr>
          <w:lang w:val="en-AU"/>
        </w:rPr>
        <w:t>Notice:  This copy of the Court's Reasons for Judgment is subject to formal revision prior to publication in the Commonwealth Law Reports.</w:t>
      </w:r>
    </w:p>
    <w:p w14:paraId="604905D7" w14:textId="46DACB38" w:rsidR="00BF0B04" w:rsidRDefault="00BF0B0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0EA8E3D" w14:textId="77777777" w:rsidR="00BF0B04" w:rsidRDefault="00BF0B0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F0B04" w:rsidSect="00BF0B0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A4023BA" w14:textId="77777777" w:rsidR="00BF0B04" w:rsidRDefault="00BF0B04" w:rsidP="001649CA">
      <w:pPr>
        <w:pStyle w:val="CatchwordsBold"/>
      </w:pPr>
      <w:r w:rsidRPr="00B9489E">
        <w:lastRenderedPageBreak/>
        <w:t>CATCHWORDS</w:t>
      </w:r>
    </w:p>
    <w:p w14:paraId="29A75A15" w14:textId="77777777" w:rsidR="00BF0B04" w:rsidRPr="00B9489E" w:rsidRDefault="00BF0B04" w:rsidP="001649CA">
      <w:pPr>
        <w:pStyle w:val="CatchwordsBold"/>
      </w:pPr>
    </w:p>
    <w:p w14:paraId="1437A45C" w14:textId="77777777" w:rsidR="00BF0B04" w:rsidRPr="00B9489E" w:rsidRDefault="00BF0B04" w:rsidP="001649CA">
      <w:pPr>
        <w:pStyle w:val="CatchwordsBold"/>
      </w:pPr>
      <w:proofErr w:type="spellStart"/>
      <w:r>
        <w:t>Mallonland</w:t>
      </w:r>
      <w:proofErr w:type="spellEnd"/>
      <w:r>
        <w:t xml:space="preserve"> Pty Ltd v Advanta Seeds Pty Ltd</w:t>
      </w:r>
    </w:p>
    <w:p w14:paraId="35A910E6" w14:textId="77777777" w:rsidR="00BF0B04" w:rsidRPr="00B9489E" w:rsidRDefault="00BF0B04" w:rsidP="00BF0B04">
      <w:pPr>
        <w:pStyle w:val="CatchwordsBold"/>
      </w:pPr>
    </w:p>
    <w:p w14:paraId="31FA193A" w14:textId="77777777" w:rsidR="00BF0B04" w:rsidRDefault="00BF0B04" w:rsidP="00BF0B04">
      <w:pPr>
        <w:pStyle w:val="CatchwordsText"/>
      </w:pPr>
      <w:r>
        <w:t>Negligence</w:t>
      </w:r>
      <w:r w:rsidRPr="00916BC7">
        <w:t xml:space="preserve"> – </w:t>
      </w:r>
      <w:r>
        <w:t>Duty of care</w:t>
      </w:r>
      <w:r w:rsidRPr="00916BC7">
        <w:t xml:space="preserve"> – </w:t>
      </w:r>
      <w:r>
        <w:t xml:space="preserve">Where the appellants ("the growers") </w:t>
      </w:r>
      <w:r w:rsidRPr="00505E20">
        <w:t xml:space="preserve">purchased </w:t>
      </w:r>
      <w:r>
        <w:t xml:space="preserve">contaminated </w:t>
      </w:r>
      <w:r w:rsidRPr="00505E20">
        <w:t xml:space="preserve">grain sorghum seed from a distributor authorised by the </w:t>
      </w:r>
      <w:r>
        <w:t xml:space="preserve">respondent ("the producer") </w:t>
      </w:r>
      <w:r w:rsidRPr="002B03AD">
        <w:t>–</w:t>
      </w:r>
      <w:r>
        <w:t xml:space="preserve"> Where the growers</w:t>
      </w:r>
      <w:r w:rsidRPr="00505E20">
        <w:t xml:space="preserve"> consequently suffered pure economic loss in the form of reduced income and increased expenditure</w:t>
      </w:r>
      <w:r>
        <w:t xml:space="preserve"> – Whether the producer owed the growers a duty to take reasonable care in its production process of the seed to avoid the risk that the growers would sustain pure economic loss by reason of a hidden defect in the seed </w:t>
      </w:r>
      <w:r w:rsidRPr="00402F67">
        <w:t>–</w:t>
      </w:r>
      <w:r>
        <w:t xml:space="preserve"> </w:t>
      </w:r>
      <w:r w:rsidRPr="00057D7E">
        <w:t>Whe</w:t>
      </w:r>
      <w:r>
        <w:t xml:space="preserve">ther the producer had assumed a responsibility towards the growers to take reasonable care to avoid causing them pure economic loss </w:t>
      </w:r>
      <w:r w:rsidRPr="00F247B1">
        <w:t>–</w:t>
      </w:r>
      <w:r>
        <w:t xml:space="preserve"> Whether the salient features of the relationship between the producer and the growers established a duty of care to avoid causing pure economic loss.</w:t>
      </w:r>
    </w:p>
    <w:p w14:paraId="62A69F75" w14:textId="77777777" w:rsidR="00BF0B04" w:rsidRDefault="00BF0B04" w:rsidP="00896E8B">
      <w:pPr>
        <w:pStyle w:val="CatchwordsText"/>
      </w:pPr>
    </w:p>
    <w:p w14:paraId="52B30965" w14:textId="3E244B86" w:rsidR="00BF0B04" w:rsidRDefault="00BF0B04" w:rsidP="00BF0B04">
      <w:pPr>
        <w:pStyle w:val="CatchwordsText"/>
      </w:pPr>
      <w:r w:rsidRPr="00AD18D4">
        <w:t>Words and phrases</w:t>
      </w:r>
      <w:r>
        <w:t xml:space="preserve"> </w:t>
      </w:r>
      <w:bookmarkStart w:id="0" w:name="_Hlk161737022"/>
      <w:r>
        <w:t xml:space="preserve">– </w:t>
      </w:r>
      <w:bookmarkEnd w:id="0"/>
      <w:r w:rsidRPr="00554916">
        <w:t>"</w:t>
      </w:r>
      <w:r>
        <w:t>assumption of responsibility</w:t>
      </w:r>
      <w:r w:rsidRPr="00554916">
        <w:t>"</w:t>
      </w:r>
      <w:r>
        <w:t>,</w:t>
      </w:r>
      <w:r w:rsidRPr="00554916">
        <w:t xml:space="preserve"> </w:t>
      </w:r>
      <w:r>
        <w:t xml:space="preserve">"control", "disclaimer of responsibility", </w:t>
      </w:r>
      <w:r w:rsidRPr="00554916">
        <w:t>"</w:t>
      </w:r>
      <w:r>
        <w:t>duty of care</w:t>
      </w:r>
      <w:r w:rsidRPr="00554916">
        <w:t>"</w:t>
      </w:r>
      <w:r>
        <w:t xml:space="preserve">, "indeterminacy", </w:t>
      </w:r>
      <w:r w:rsidRPr="00554916">
        <w:t>"</w:t>
      </w:r>
      <w:r>
        <w:t>i</w:t>
      </w:r>
      <w:r w:rsidRPr="00554916">
        <w:t>ntention"</w:t>
      </w:r>
      <w:r>
        <w:t xml:space="preserve">, </w:t>
      </w:r>
      <w:r w:rsidRPr="00554916">
        <w:t>"</w:t>
      </w:r>
      <w:r>
        <w:t>knowledge</w:t>
      </w:r>
      <w:r w:rsidRPr="00554916">
        <w:t>"</w:t>
      </w:r>
      <w:r>
        <w:t xml:space="preserve">, "proximity", "pure economic loss", "reasonable foreseeability", </w:t>
      </w:r>
      <w:r w:rsidRPr="00554916">
        <w:t>"</w:t>
      </w:r>
      <w:r>
        <w:t>salient features</w:t>
      </w:r>
      <w:r w:rsidRPr="00554916">
        <w:t>"</w:t>
      </w:r>
      <w:r>
        <w:t>, "vulnerability"</w:t>
      </w:r>
      <w:r w:rsidRPr="00554916">
        <w:t>.</w:t>
      </w:r>
    </w:p>
    <w:p w14:paraId="712F75F4" w14:textId="59FCE701" w:rsidR="00BF0B04" w:rsidRDefault="00BF0B0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636F2B2" w14:textId="15096EA2" w:rsidR="00BF0B04" w:rsidRDefault="00BF0B0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25E5F9C5" w14:textId="77777777" w:rsidR="00BF0B04" w:rsidRDefault="00BF0B04" w:rsidP="00D35B04">
      <w:pPr>
        <w:pStyle w:val="NormalBody"/>
        <w:tabs>
          <w:tab w:val="clear" w:pos="720"/>
          <w:tab w:val="left" w:pos="0"/>
        </w:tabs>
        <w:spacing w:after="260" w:line="280" w:lineRule="exact"/>
        <w:ind w:right="0"/>
        <w:jc w:val="both"/>
        <w:rPr>
          <w:rFonts w:ascii="Times New Roman" w:hAnsi="Times New Roman"/>
        </w:rPr>
        <w:sectPr w:rsidR="00BF0B04" w:rsidSect="00BF0B04">
          <w:pgSz w:w="11907" w:h="16839" w:code="9"/>
          <w:pgMar w:top="1440" w:right="1701" w:bottom="1984" w:left="1701" w:header="720" w:footer="720" w:gutter="0"/>
          <w:pgNumType w:start="1"/>
          <w:cols w:space="720"/>
          <w:titlePg/>
          <w:docGrid w:linePitch="354"/>
        </w:sectPr>
      </w:pPr>
    </w:p>
    <w:p w14:paraId="1B758E2A" w14:textId="4E7DEA86" w:rsidR="00D35B04" w:rsidRPr="00D35B04" w:rsidRDefault="00D35B04" w:rsidP="00D35B04">
      <w:pPr>
        <w:pStyle w:val="NormalBody"/>
        <w:tabs>
          <w:tab w:val="clear" w:pos="720"/>
          <w:tab w:val="left" w:pos="0"/>
        </w:tabs>
        <w:spacing w:after="260" w:line="280" w:lineRule="exact"/>
        <w:ind w:right="0"/>
        <w:jc w:val="both"/>
        <w:rPr>
          <w:rFonts w:ascii="Times New Roman" w:hAnsi="Times New Roman"/>
        </w:rPr>
      </w:pPr>
      <w:r w:rsidRPr="00D35B04">
        <w:rPr>
          <w:rFonts w:ascii="Times New Roman" w:hAnsi="Times New Roman"/>
        </w:rPr>
        <w:lastRenderedPageBreak/>
        <w:t xml:space="preserve">GAGELER CJ, GORDON, STEWARD, GLEESON, JAGOT AND BEECH-JONES JJ.   </w:t>
      </w:r>
    </w:p>
    <w:p w14:paraId="79D4BBBB" w14:textId="1768684A" w:rsidR="00FB4A92" w:rsidRPr="00D35B04" w:rsidRDefault="00FB4A92" w:rsidP="00D35B04">
      <w:pPr>
        <w:pStyle w:val="HeadingL1"/>
        <w:spacing w:after="260" w:line="280" w:lineRule="exact"/>
        <w:ind w:right="0"/>
        <w:jc w:val="both"/>
        <w:rPr>
          <w:rFonts w:ascii="Times New Roman" w:hAnsi="Times New Roman"/>
        </w:rPr>
      </w:pPr>
      <w:r w:rsidRPr="00D35B04">
        <w:rPr>
          <w:rFonts w:ascii="Times New Roman" w:hAnsi="Times New Roman"/>
        </w:rPr>
        <w:t>Introduction</w:t>
      </w:r>
    </w:p>
    <w:p w14:paraId="245A9148" w14:textId="3A30C620" w:rsidR="008000CA" w:rsidRPr="00D35B04" w:rsidRDefault="00FB4A92" w:rsidP="00D35B04">
      <w:pPr>
        <w:pStyle w:val="FixListStyle"/>
        <w:spacing w:after="260" w:line="280" w:lineRule="exact"/>
        <w:ind w:right="0"/>
        <w:jc w:val="both"/>
        <w:rPr>
          <w:rFonts w:ascii="Times New Roman" w:hAnsi="Times New Roman"/>
        </w:rPr>
      </w:pPr>
      <w:r w:rsidRPr="00D35B04">
        <w:rPr>
          <w:rFonts w:ascii="Times New Roman" w:hAnsi="Times New Roman"/>
        </w:rPr>
        <w:tab/>
        <w:t>Th</w:t>
      </w:r>
      <w:r w:rsidR="00481F89" w:rsidRPr="00D35B04">
        <w:rPr>
          <w:rFonts w:ascii="Times New Roman" w:hAnsi="Times New Roman"/>
        </w:rPr>
        <w:t xml:space="preserve">is case concerns whether </w:t>
      </w:r>
      <w:r w:rsidR="0053569E" w:rsidRPr="00D35B04">
        <w:rPr>
          <w:rFonts w:ascii="Times New Roman" w:hAnsi="Times New Roman"/>
        </w:rPr>
        <w:t>a producer of</w:t>
      </w:r>
      <w:r w:rsidR="005B72C6" w:rsidRPr="00D35B04">
        <w:rPr>
          <w:rFonts w:ascii="Times New Roman" w:hAnsi="Times New Roman"/>
        </w:rPr>
        <w:t xml:space="preserve"> commercial hybrid</w:t>
      </w:r>
      <w:r w:rsidR="0053569E" w:rsidRPr="00D35B04">
        <w:rPr>
          <w:rFonts w:ascii="Times New Roman" w:hAnsi="Times New Roman"/>
        </w:rPr>
        <w:t xml:space="preserve"> grain sorghum seed</w:t>
      </w:r>
      <w:r w:rsidR="00412256" w:rsidRPr="00D35B04">
        <w:rPr>
          <w:rFonts w:ascii="Times New Roman" w:hAnsi="Times New Roman"/>
        </w:rPr>
        <w:t>,</w:t>
      </w:r>
      <w:r w:rsidR="0053569E" w:rsidRPr="00D35B04">
        <w:rPr>
          <w:rFonts w:ascii="Times New Roman" w:hAnsi="Times New Roman"/>
        </w:rPr>
        <w:t xml:space="preserve"> </w:t>
      </w:r>
      <w:r w:rsidR="00806BB6" w:rsidRPr="00D35B04">
        <w:rPr>
          <w:rFonts w:ascii="Times New Roman" w:hAnsi="Times New Roman"/>
        </w:rPr>
        <w:t xml:space="preserve">sold in bags </w:t>
      </w:r>
      <w:r w:rsidR="00D34676" w:rsidRPr="00D35B04">
        <w:rPr>
          <w:rFonts w:ascii="Times New Roman" w:hAnsi="Times New Roman"/>
        </w:rPr>
        <w:t xml:space="preserve">contaminated with </w:t>
      </w:r>
      <w:r w:rsidR="00880F28" w:rsidRPr="00D35B04">
        <w:rPr>
          <w:rFonts w:ascii="Times New Roman" w:hAnsi="Times New Roman"/>
        </w:rPr>
        <w:t xml:space="preserve">the </w:t>
      </w:r>
      <w:r w:rsidR="00EF0B26" w:rsidRPr="00D35B04">
        <w:rPr>
          <w:rFonts w:ascii="Times New Roman" w:hAnsi="Times New Roman"/>
        </w:rPr>
        <w:t xml:space="preserve">seed </w:t>
      </w:r>
      <w:r w:rsidR="000D50DA" w:rsidRPr="00D35B04">
        <w:rPr>
          <w:rFonts w:ascii="Times New Roman" w:hAnsi="Times New Roman"/>
        </w:rPr>
        <w:t>of a</w:t>
      </w:r>
      <w:r w:rsidR="00E711D9" w:rsidRPr="00D35B04">
        <w:rPr>
          <w:rFonts w:ascii="Times New Roman" w:hAnsi="Times New Roman"/>
        </w:rPr>
        <w:t>nother</w:t>
      </w:r>
      <w:r w:rsidR="000D50DA" w:rsidRPr="00D35B04">
        <w:rPr>
          <w:rFonts w:ascii="Times New Roman" w:hAnsi="Times New Roman"/>
        </w:rPr>
        <w:t xml:space="preserve"> </w:t>
      </w:r>
      <w:r w:rsidR="00412256" w:rsidRPr="00D35B04">
        <w:rPr>
          <w:rFonts w:ascii="Times New Roman" w:hAnsi="Times New Roman"/>
        </w:rPr>
        <w:t>plant</w:t>
      </w:r>
      <w:r w:rsidR="00880F28" w:rsidRPr="00D35B04">
        <w:rPr>
          <w:rFonts w:ascii="Times New Roman" w:hAnsi="Times New Roman"/>
        </w:rPr>
        <w:t xml:space="preserve"> known </w:t>
      </w:r>
      <w:r w:rsidR="00EE13D0" w:rsidRPr="00D35B04">
        <w:rPr>
          <w:rFonts w:ascii="Times New Roman" w:hAnsi="Times New Roman"/>
        </w:rPr>
        <w:t>as</w:t>
      </w:r>
      <w:r w:rsidR="00D34676" w:rsidRPr="00D35B04">
        <w:rPr>
          <w:rFonts w:ascii="Times New Roman" w:hAnsi="Times New Roman"/>
        </w:rPr>
        <w:t xml:space="preserve"> </w:t>
      </w:r>
      <w:proofErr w:type="spellStart"/>
      <w:r w:rsidR="00D34676" w:rsidRPr="00D35B04">
        <w:rPr>
          <w:rFonts w:ascii="Times New Roman" w:hAnsi="Times New Roman"/>
        </w:rPr>
        <w:t>shattercane</w:t>
      </w:r>
      <w:proofErr w:type="spellEnd"/>
      <w:r w:rsidR="00412256" w:rsidRPr="00D35B04">
        <w:rPr>
          <w:rFonts w:ascii="Times New Roman" w:hAnsi="Times New Roman"/>
        </w:rPr>
        <w:t>,</w:t>
      </w:r>
      <w:r w:rsidR="00D34676" w:rsidRPr="00D35B04">
        <w:rPr>
          <w:rFonts w:ascii="Times New Roman" w:hAnsi="Times New Roman"/>
        </w:rPr>
        <w:t xml:space="preserve"> is liable in negligence </w:t>
      </w:r>
      <w:r w:rsidR="00D92BC8" w:rsidRPr="00D35B04">
        <w:rPr>
          <w:rFonts w:ascii="Times New Roman" w:hAnsi="Times New Roman"/>
        </w:rPr>
        <w:t>to</w:t>
      </w:r>
      <w:r w:rsidR="00D34676" w:rsidRPr="00D35B04">
        <w:rPr>
          <w:rFonts w:ascii="Times New Roman" w:hAnsi="Times New Roman"/>
        </w:rPr>
        <w:t xml:space="preserve"> </w:t>
      </w:r>
      <w:r w:rsidR="00C25B21" w:rsidRPr="00D35B04">
        <w:rPr>
          <w:rFonts w:ascii="Times New Roman" w:hAnsi="Times New Roman"/>
        </w:rPr>
        <w:t>commercial farmers</w:t>
      </w:r>
      <w:r w:rsidR="00AF74EA" w:rsidRPr="00D35B04">
        <w:rPr>
          <w:rFonts w:ascii="Times New Roman" w:hAnsi="Times New Roman"/>
        </w:rPr>
        <w:t xml:space="preserve"> who </w:t>
      </w:r>
      <w:r w:rsidR="0075129B" w:rsidRPr="00D35B04">
        <w:rPr>
          <w:rFonts w:ascii="Times New Roman" w:hAnsi="Times New Roman"/>
        </w:rPr>
        <w:t>planted the seed and were subsequently</w:t>
      </w:r>
      <w:r w:rsidR="00AF74EA" w:rsidRPr="00D35B04">
        <w:rPr>
          <w:rFonts w:ascii="Times New Roman" w:hAnsi="Times New Roman"/>
        </w:rPr>
        <w:t xml:space="preserve"> required to take </w:t>
      </w:r>
      <w:r w:rsidR="00D92BC8" w:rsidRPr="00D35B04">
        <w:rPr>
          <w:rFonts w:ascii="Times New Roman" w:hAnsi="Times New Roman"/>
        </w:rPr>
        <w:t xml:space="preserve">costly </w:t>
      </w:r>
      <w:r w:rsidR="00AF74EA" w:rsidRPr="00D35B04">
        <w:rPr>
          <w:rFonts w:ascii="Times New Roman" w:hAnsi="Times New Roman"/>
        </w:rPr>
        <w:t xml:space="preserve">action to eliminate </w:t>
      </w:r>
      <w:r w:rsidR="00C82787" w:rsidRPr="00D35B04">
        <w:rPr>
          <w:rFonts w:ascii="Times New Roman" w:hAnsi="Times New Roman"/>
        </w:rPr>
        <w:t>the contaminant</w:t>
      </w:r>
      <w:r w:rsidR="006B2905" w:rsidRPr="00D35B04">
        <w:rPr>
          <w:rFonts w:ascii="Times New Roman" w:hAnsi="Times New Roman"/>
        </w:rPr>
        <w:t xml:space="preserve">. </w:t>
      </w:r>
      <w:proofErr w:type="spellStart"/>
      <w:r w:rsidR="00452A90" w:rsidRPr="00D35B04">
        <w:rPr>
          <w:rFonts w:ascii="Times New Roman" w:hAnsi="Times New Roman"/>
        </w:rPr>
        <w:t>Shattercane</w:t>
      </w:r>
      <w:proofErr w:type="spellEnd"/>
      <w:r w:rsidR="00452A90" w:rsidRPr="00D35B04">
        <w:rPr>
          <w:rFonts w:ascii="Times New Roman" w:hAnsi="Times New Roman"/>
        </w:rPr>
        <w:t xml:space="preserve"> is a plant genetically related to grain sorghum</w:t>
      </w:r>
      <w:r w:rsidR="00546C5E" w:rsidRPr="00D35B04">
        <w:rPr>
          <w:rFonts w:ascii="Times New Roman" w:hAnsi="Times New Roman"/>
        </w:rPr>
        <w:t>, but not itself useable for grain crops. Its seed-head shatters, spreading seed widely and growing vigorously</w:t>
      </w:r>
      <w:r w:rsidR="0070334E" w:rsidRPr="00D35B04">
        <w:rPr>
          <w:rFonts w:ascii="Times New Roman" w:hAnsi="Times New Roman"/>
        </w:rPr>
        <w:t xml:space="preserve"> to the detriment of grain sorghum </w:t>
      </w:r>
      <w:r w:rsidR="002B5B24" w:rsidRPr="00D35B04">
        <w:rPr>
          <w:rFonts w:ascii="Times New Roman" w:hAnsi="Times New Roman"/>
        </w:rPr>
        <w:t>cultivatio</w:t>
      </w:r>
      <w:r w:rsidR="009C6551" w:rsidRPr="00D35B04">
        <w:rPr>
          <w:rFonts w:ascii="Times New Roman" w:hAnsi="Times New Roman"/>
        </w:rPr>
        <w:t>n</w:t>
      </w:r>
      <w:r w:rsidR="00546C5E" w:rsidRPr="00D35B04">
        <w:rPr>
          <w:rFonts w:ascii="Times New Roman" w:hAnsi="Times New Roman"/>
        </w:rPr>
        <w:t>.</w:t>
      </w:r>
    </w:p>
    <w:p w14:paraId="6E16725A" w14:textId="110A5F2E" w:rsidR="008000CA" w:rsidRPr="00D35B04" w:rsidRDefault="00452A90"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E72786" w:rsidRPr="00D35B04">
        <w:rPr>
          <w:rFonts w:ascii="Times New Roman" w:hAnsi="Times New Roman"/>
        </w:rPr>
        <w:t xml:space="preserve">The sole issue in this Court is whether the </w:t>
      </w:r>
      <w:r w:rsidR="00ED0456" w:rsidRPr="00D35B04">
        <w:rPr>
          <w:rFonts w:ascii="Times New Roman" w:hAnsi="Times New Roman"/>
        </w:rPr>
        <w:t xml:space="preserve">respondent </w:t>
      </w:r>
      <w:r w:rsidR="00980C89" w:rsidRPr="00D35B04">
        <w:rPr>
          <w:rFonts w:ascii="Times New Roman" w:hAnsi="Times New Roman"/>
        </w:rPr>
        <w:t xml:space="preserve">("the </w:t>
      </w:r>
      <w:r w:rsidR="00FB3236" w:rsidRPr="00D35B04">
        <w:rPr>
          <w:rFonts w:ascii="Times New Roman" w:hAnsi="Times New Roman"/>
        </w:rPr>
        <w:t>producer</w:t>
      </w:r>
      <w:r w:rsidR="00980C89" w:rsidRPr="00D35B04">
        <w:rPr>
          <w:rFonts w:ascii="Times New Roman" w:hAnsi="Times New Roman"/>
        </w:rPr>
        <w:t>")</w:t>
      </w:r>
      <w:r w:rsidR="00FB3236" w:rsidRPr="00D35B04">
        <w:rPr>
          <w:rFonts w:ascii="Times New Roman" w:hAnsi="Times New Roman"/>
        </w:rPr>
        <w:t xml:space="preserve"> </w:t>
      </w:r>
      <w:r w:rsidR="00E72786" w:rsidRPr="00D35B04">
        <w:rPr>
          <w:rFonts w:ascii="Times New Roman" w:hAnsi="Times New Roman"/>
        </w:rPr>
        <w:t>owed the appellant</w:t>
      </w:r>
      <w:r w:rsidR="00D3447B" w:rsidRPr="00D35B04">
        <w:rPr>
          <w:rFonts w:ascii="Times New Roman" w:hAnsi="Times New Roman"/>
        </w:rPr>
        <w:t>s</w:t>
      </w:r>
      <w:r w:rsidR="00980C89" w:rsidRPr="00D35B04">
        <w:rPr>
          <w:rFonts w:ascii="Times New Roman" w:hAnsi="Times New Roman"/>
        </w:rPr>
        <w:t xml:space="preserve"> ("the growers")</w:t>
      </w:r>
      <w:r w:rsidR="00D3447B" w:rsidRPr="00D35B04">
        <w:rPr>
          <w:rFonts w:ascii="Times New Roman" w:hAnsi="Times New Roman"/>
        </w:rPr>
        <w:t xml:space="preserve"> </w:t>
      </w:r>
      <w:r w:rsidR="00E72786" w:rsidRPr="00D35B04">
        <w:rPr>
          <w:rFonts w:ascii="Times New Roman" w:hAnsi="Times New Roman"/>
        </w:rPr>
        <w:t xml:space="preserve">a duty to take reasonable care </w:t>
      </w:r>
      <w:r w:rsidR="00880F28" w:rsidRPr="00D35B04">
        <w:rPr>
          <w:rFonts w:ascii="Times New Roman" w:hAnsi="Times New Roman"/>
        </w:rPr>
        <w:t xml:space="preserve">in its production process </w:t>
      </w:r>
      <w:r w:rsidR="00E72786" w:rsidRPr="00D35B04">
        <w:rPr>
          <w:rFonts w:ascii="Times New Roman" w:hAnsi="Times New Roman"/>
        </w:rPr>
        <w:t xml:space="preserve">to avoid the risk that the </w:t>
      </w:r>
      <w:r w:rsidR="00A85E05" w:rsidRPr="00D35B04">
        <w:rPr>
          <w:rFonts w:ascii="Times New Roman" w:hAnsi="Times New Roman"/>
        </w:rPr>
        <w:t xml:space="preserve">growers </w:t>
      </w:r>
      <w:r w:rsidR="00E72786" w:rsidRPr="00D35B04">
        <w:rPr>
          <w:rFonts w:ascii="Times New Roman" w:hAnsi="Times New Roman"/>
        </w:rPr>
        <w:t xml:space="preserve">would sustain </w:t>
      </w:r>
      <w:r w:rsidR="00880F28" w:rsidRPr="00D35B04">
        <w:rPr>
          <w:rFonts w:ascii="Times New Roman" w:hAnsi="Times New Roman"/>
        </w:rPr>
        <w:t xml:space="preserve">purely </w:t>
      </w:r>
      <w:r w:rsidR="00E72786" w:rsidRPr="00D35B04">
        <w:rPr>
          <w:rFonts w:ascii="Times New Roman" w:hAnsi="Times New Roman"/>
        </w:rPr>
        <w:t xml:space="preserve">economic losses by reason of a hidden defect in the bags of seed </w:t>
      </w:r>
      <w:r w:rsidR="00ED0456" w:rsidRPr="00D35B04">
        <w:rPr>
          <w:rFonts w:ascii="Times New Roman" w:hAnsi="Times New Roman"/>
        </w:rPr>
        <w:t>(</w:t>
      </w:r>
      <w:r w:rsidR="00E72786" w:rsidRPr="00D35B04">
        <w:rPr>
          <w:rFonts w:ascii="Times New Roman" w:hAnsi="Times New Roman"/>
        </w:rPr>
        <w:t xml:space="preserve">namely, the presence of </w:t>
      </w:r>
      <w:proofErr w:type="spellStart"/>
      <w:r w:rsidR="00E72786" w:rsidRPr="00D35B04">
        <w:rPr>
          <w:rFonts w:ascii="Times New Roman" w:hAnsi="Times New Roman"/>
        </w:rPr>
        <w:t>shattercane</w:t>
      </w:r>
      <w:proofErr w:type="spellEnd"/>
      <w:r w:rsidR="00E72786" w:rsidRPr="00D35B04">
        <w:rPr>
          <w:rFonts w:ascii="Times New Roman" w:hAnsi="Times New Roman"/>
        </w:rPr>
        <w:t xml:space="preserve"> seed</w:t>
      </w:r>
      <w:r w:rsidR="00ED0456" w:rsidRPr="00D35B04">
        <w:rPr>
          <w:rFonts w:ascii="Times New Roman" w:hAnsi="Times New Roman"/>
        </w:rPr>
        <w:t>)</w:t>
      </w:r>
      <w:r w:rsidR="00E72786" w:rsidRPr="00D35B04">
        <w:rPr>
          <w:rFonts w:ascii="Times New Roman" w:hAnsi="Times New Roman"/>
        </w:rPr>
        <w:t>.</w:t>
      </w:r>
    </w:p>
    <w:p w14:paraId="0AB996B5" w14:textId="0D1C555E" w:rsidR="000E25DE" w:rsidRPr="00D35B04" w:rsidRDefault="00514B27"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For the following reasons, the producer did not owe </w:t>
      </w:r>
      <w:r w:rsidR="00150BCF" w:rsidRPr="00D35B04">
        <w:rPr>
          <w:rFonts w:ascii="Times New Roman" w:hAnsi="Times New Roman"/>
        </w:rPr>
        <w:t xml:space="preserve">the </w:t>
      </w:r>
      <w:r w:rsidR="00A85E05" w:rsidRPr="00D35B04">
        <w:rPr>
          <w:rFonts w:ascii="Times New Roman" w:hAnsi="Times New Roman"/>
        </w:rPr>
        <w:t xml:space="preserve">growers </w:t>
      </w:r>
      <w:r w:rsidR="00150BCF" w:rsidRPr="00D35B04">
        <w:rPr>
          <w:rFonts w:ascii="Times New Roman" w:hAnsi="Times New Roman"/>
        </w:rPr>
        <w:t>the alleged</w:t>
      </w:r>
      <w:r w:rsidRPr="00D35B04">
        <w:rPr>
          <w:rFonts w:ascii="Times New Roman" w:hAnsi="Times New Roman"/>
        </w:rPr>
        <w:t xml:space="preserve"> duty of care</w:t>
      </w:r>
      <w:r w:rsidR="00880F28" w:rsidRPr="00D35B04">
        <w:rPr>
          <w:rFonts w:ascii="Times New Roman" w:hAnsi="Times New Roman"/>
        </w:rPr>
        <w:t>.</w:t>
      </w:r>
      <w:r w:rsidRPr="00D35B04">
        <w:rPr>
          <w:rFonts w:ascii="Times New Roman" w:hAnsi="Times New Roman"/>
        </w:rPr>
        <w:t xml:space="preserve"> </w:t>
      </w:r>
      <w:r w:rsidR="00880F28" w:rsidRPr="00D35B04">
        <w:rPr>
          <w:rFonts w:ascii="Times New Roman" w:hAnsi="Times New Roman"/>
        </w:rPr>
        <w:t>A</w:t>
      </w:r>
      <w:r w:rsidRPr="00D35B04">
        <w:rPr>
          <w:rFonts w:ascii="Times New Roman" w:hAnsi="Times New Roman"/>
        </w:rPr>
        <w:t xml:space="preserve">ccordingly, the appeal </w:t>
      </w:r>
      <w:r w:rsidR="00D979A6" w:rsidRPr="00D35B04">
        <w:rPr>
          <w:rFonts w:ascii="Times New Roman" w:hAnsi="Times New Roman"/>
        </w:rPr>
        <w:t>should</w:t>
      </w:r>
      <w:r w:rsidRPr="00D35B04">
        <w:rPr>
          <w:rFonts w:ascii="Times New Roman" w:hAnsi="Times New Roman"/>
        </w:rPr>
        <w:t xml:space="preserve"> be dismissed.</w:t>
      </w:r>
    </w:p>
    <w:p w14:paraId="76312CDD" w14:textId="2C563108" w:rsidR="007F16DC" w:rsidRPr="00D35B04" w:rsidRDefault="007F16DC" w:rsidP="00D35B04">
      <w:pPr>
        <w:pStyle w:val="HeadingL1"/>
        <w:spacing w:after="260" w:line="280" w:lineRule="exact"/>
        <w:ind w:right="0"/>
        <w:jc w:val="both"/>
        <w:rPr>
          <w:rFonts w:ascii="Times New Roman" w:hAnsi="Times New Roman"/>
        </w:rPr>
      </w:pPr>
      <w:r w:rsidRPr="00D35B04">
        <w:rPr>
          <w:rFonts w:ascii="Times New Roman" w:hAnsi="Times New Roman"/>
        </w:rPr>
        <w:t>Facts</w:t>
      </w:r>
    </w:p>
    <w:p w14:paraId="49DD1699" w14:textId="0F615818" w:rsidR="001C7981" w:rsidRPr="00D35B04" w:rsidRDefault="00AB35A6"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 </w:t>
      </w:r>
      <w:r w:rsidR="00A85E05" w:rsidRPr="00D35B04">
        <w:rPr>
          <w:rFonts w:ascii="Times New Roman" w:hAnsi="Times New Roman"/>
        </w:rPr>
        <w:t xml:space="preserve">growers </w:t>
      </w:r>
      <w:r w:rsidRPr="00D35B04">
        <w:rPr>
          <w:rFonts w:ascii="Times New Roman" w:hAnsi="Times New Roman"/>
        </w:rPr>
        <w:t xml:space="preserve">were </w:t>
      </w:r>
      <w:r w:rsidR="00C46856" w:rsidRPr="00D35B04">
        <w:rPr>
          <w:rFonts w:ascii="Times New Roman" w:hAnsi="Times New Roman"/>
        </w:rPr>
        <w:t xml:space="preserve">farmers </w:t>
      </w:r>
      <w:r w:rsidR="001950D1" w:rsidRPr="00D35B04">
        <w:rPr>
          <w:rFonts w:ascii="Times New Roman" w:hAnsi="Times New Roman"/>
        </w:rPr>
        <w:t xml:space="preserve">who conducted businesses involving the </w:t>
      </w:r>
      <w:r w:rsidR="00DD2F9F" w:rsidRPr="00D35B04">
        <w:rPr>
          <w:rFonts w:ascii="Times New Roman" w:hAnsi="Times New Roman"/>
        </w:rPr>
        <w:t xml:space="preserve">cultivation and sale of </w:t>
      </w:r>
      <w:r w:rsidR="007B656B" w:rsidRPr="00D35B04">
        <w:rPr>
          <w:rFonts w:ascii="Times New Roman" w:hAnsi="Times New Roman"/>
        </w:rPr>
        <w:t xml:space="preserve">grain </w:t>
      </w:r>
      <w:r w:rsidR="00DD2F9F" w:rsidRPr="00D35B04">
        <w:rPr>
          <w:rFonts w:ascii="Times New Roman" w:hAnsi="Times New Roman"/>
        </w:rPr>
        <w:t xml:space="preserve">sorghum, </w:t>
      </w:r>
      <w:r w:rsidR="00CC65C0" w:rsidRPr="00D35B04">
        <w:rPr>
          <w:rFonts w:ascii="Times New Roman" w:hAnsi="Times New Roman"/>
        </w:rPr>
        <w:t xml:space="preserve">which is </w:t>
      </w:r>
      <w:r w:rsidR="00DD2F9F" w:rsidRPr="00D35B04">
        <w:rPr>
          <w:rFonts w:ascii="Times New Roman" w:hAnsi="Times New Roman"/>
        </w:rPr>
        <w:t xml:space="preserve">a crop farmed for animal feed and </w:t>
      </w:r>
      <w:r w:rsidR="00A351BC" w:rsidRPr="00D35B04">
        <w:rPr>
          <w:rFonts w:ascii="Times New Roman" w:hAnsi="Times New Roman"/>
        </w:rPr>
        <w:t>biofuel</w:t>
      </w:r>
      <w:r w:rsidR="002B11A0" w:rsidRPr="00D35B04">
        <w:rPr>
          <w:rFonts w:ascii="Times New Roman" w:hAnsi="Times New Roman"/>
        </w:rPr>
        <w:t xml:space="preserve">. </w:t>
      </w:r>
      <w:r w:rsidR="008670C1" w:rsidRPr="00D35B04">
        <w:rPr>
          <w:rFonts w:ascii="Times New Roman" w:hAnsi="Times New Roman"/>
        </w:rPr>
        <w:t>They commenced</w:t>
      </w:r>
      <w:r w:rsidR="00CA4916" w:rsidRPr="00D35B04">
        <w:rPr>
          <w:rFonts w:ascii="Times New Roman" w:hAnsi="Times New Roman"/>
        </w:rPr>
        <w:t xml:space="preserve"> </w:t>
      </w:r>
      <w:r w:rsidR="001503BC" w:rsidRPr="00D35B04">
        <w:rPr>
          <w:rFonts w:ascii="Times New Roman" w:hAnsi="Times New Roman"/>
        </w:rPr>
        <w:t xml:space="preserve">a </w:t>
      </w:r>
      <w:r w:rsidR="00CA4916" w:rsidRPr="00D35B04">
        <w:rPr>
          <w:rFonts w:ascii="Times New Roman" w:hAnsi="Times New Roman"/>
        </w:rPr>
        <w:t>class action</w:t>
      </w:r>
      <w:r w:rsidR="008670C1" w:rsidRPr="00D35B04">
        <w:rPr>
          <w:rFonts w:ascii="Times New Roman" w:hAnsi="Times New Roman"/>
        </w:rPr>
        <w:t xml:space="preserve"> in the Supreme Court of Queensland</w:t>
      </w:r>
      <w:r w:rsidR="006F6EAA" w:rsidRPr="00D35B04">
        <w:rPr>
          <w:rFonts w:ascii="Times New Roman" w:hAnsi="Times New Roman"/>
        </w:rPr>
        <w:t xml:space="preserve">, in which they </w:t>
      </w:r>
      <w:r w:rsidR="00163654" w:rsidRPr="00D35B04">
        <w:rPr>
          <w:rFonts w:ascii="Times New Roman" w:hAnsi="Times New Roman"/>
        </w:rPr>
        <w:t>alleged that</w:t>
      </w:r>
      <w:r w:rsidR="008670C1" w:rsidRPr="00D35B04">
        <w:rPr>
          <w:rFonts w:ascii="Times New Roman" w:hAnsi="Times New Roman"/>
        </w:rPr>
        <w:t xml:space="preserve"> </w:t>
      </w:r>
      <w:r w:rsidR="00C10C48" w:rsidRPr="00D35B04">
        <w:rPr>
          <w:rFonts w:ascii="Times New Roman" w:hAnsi="Times New Roman"/>
        </w:rPr>
        <w:t>they purchased</w:t>
      </w:r>
      <w:r w:rsidR="008670C1" w:rsidRPr="00D35B04">
        <w:rPr>
          <w:rFonts w:ascii="Times New Roman" w:hAnsi="Times New Roman"/>
        </w:rPr>
        <w:t xml:space="preserve"> contaminated </w:t>
      </w:r>
      <w:r w:rsidR="009665DD" w:rsidRPr="00D35B04">
        <w:rPr>
          <w:rFonts w:ascii="Times New Roman" w:hAnsi="Times New Roman"/>
        </w:rPr>
        <w:t xml:space="preserve">grain sorghum </w:t>
      </w:r>
      <w:r w:rsidR="008670C1" w:rsidRPr="00D35B04">
        <w:rPr>
          <w:rFonts w:ascii="Times New Roman" w:hAnsi="Times New Roman"/>
        </w:rPr>
        <w:t>seed</w:t>
      </w:r>
      <w:r w:rsidR="00015844" w:rsidRPr="00D35B04">
        <w:rPr>
          <w:rFonts w:ascii="Times New Roman" w:hAnsi="Times New Roman"/>
        </w:rPr>
        <w:t xml:space="preserve"> (</w:t>
      </w:r>
      <w:r w:rsidR="00CF646D" w:rsidRPr="00D35B04">
        <w:rPr>
          <w:rFonts w:ascii="Times New Roman" w:hAnsi="Times New Roman"/>
        </w:rPr>
        <w:t>labelled "MR43 Elite"</w:t>
      </w:r>
      <w:r w:rsidR="00015844" w:rsidRPr="00D35B04">
        <w:rPr>
          <w:rFonts w:ascii="Times New Roman" w:hAnsi="Times New Roman"/>
        </w:rPr>
        <w:t>)</w:t>
      </w:r>
      <w:r w:rsidR="00770963" w:rsidRPr="00D35B04">
        <w:rPr>
          <w:rFonts w:ascii="Times New Roman" w:hAnsi="Times New Roman"/>
        </w:rPr>
        <w:t xml:space="preserve"> </w:t>
      </w:r>
      <w:r w:rsidR="00C10C48" w:rsidRPr="00D35B04">
        <w:rPr>
          <w:rFonts w:ascii="Times New Roman" w:hAnsi="Times New Roman"/>
        </w:rPr>
        <w:t xml:space="preserve">from </w:t>
      </w:r>
      <w:r w:rsidR="00BE2543" w:rsidRPr="00D35B04">
        <w:rPr>
          <w:rFonts w:ascii="Times New Roman" w:hAnsi="Times New Roman"/>
        </w:rPr>
        <w:t xml:space="preserve">a distributor authorised by </w:t>
      </w:r>
      <w:r w:rsidR="00C10C48" w:rsidRPr="00D35B04">
        <w:rPr>
          <w:rFonts w:ascii="Times New Roman" w:hAnsi="Times New Roman"/>
        </w:rPr>
        <w:t xml:space="preserve">the </w:t>
      </w:r>
      <w:r w:rsidR="000C4D3B" w:rsidRPr="00D35B04">
        <w:rPr>
          <w:rFonts w:ascii="Times New Roman" w:hAnsi="Times New Roman"/>
        </w:rPr>
        <w:t>producer</w:t>
      </w:r>
      <w:r w:rsidR="00C10C48" w:rsidRPr="00D35B04">
        <w:rPr>
          <w:rFonts w:ascii="Times New Roman" w:hAnsi="Times New Roman"/>
        </w:rPr>
        <w:t xml:space="preserve"> and </w:t>
      </w:r>
      <w:r w:rsidR="003B4DB5" w:rsidRPr="00D35B04">
        <w:rPr>
          <w:rFonts w:ascii="Times New Roman" w:hAnsi="Times New Roman"/>
        </w:rPr>
        <w:t>consequently</w:t>
      </w:r>
      <w:r w:rsidR="008670C1" w:rsidRPr="00D35B04">
        <w:rPr>
          <w:rFonts w:ascii="Times New Roman" w:hAnsi="Times New Roman"/>
        </w:rPr>
        <w:t xml:space="preserve"> suffered</w:t>
      </w:r>
      <w:r w:rsidR="00F9635A" w:rsidRPr="00D35B04">
        <w:rPr>
          <w:rFonts w:ascii="Times New Roman" w:hAnsi="Times New Roman"/>
        </w:rPr>
        <w:t xml:space="preserve"> </w:t>
      </w:r>
      <w:r w:rsidR="006E3DEB" w:rsidRPr="00D35B04">
        <w:rPr>
          <w:rFonts w:ascii="Times New Roman" w:hAnsi="Times New Roman"/>
        </w:rPr>
        <w:t xml:space="preserve">pure </w:t>
      </w:r>
      <w:r w:rsidR="00F9635A" w:rsidRPr="00D35B04">
        <w:rPr>
          <w:rFonts w:ascii="Times New Roman" w:hAnsi="Times New Roman"/>
        </w:rPr>
        <w:t>economic loss</w:t>
      </w:r>
      <w:r w:rsidR="008670C1" w:rsidRPr="00D35B04">
        <w:rPr>
          <w:rFonts w:ascii="Times New Roman" w:hAnsi="Times New Roman"/>
        </w:rPr>
        <w:t xml:space="preserve"> in the form of reduced income and increased expenditure.</w:t>
      </w:r>
      <w:r w:rsidR="00770963" w:rsidRPr="00D35B04">
        <w:rPr>
          <w:rStyle w:val="FootnoteReference"/>
          <w:rFonts w:ascii="Times New Roman" w:hAnsi="Times New Roman"/>
          <w:sz w:val="24"/>
        </w:rPr>
        <w:footnoteReference w:id="2"/>
      </w:r>
      <w:r w:rsidR="00770963" w:rsidRPr="00D35B04">
        <w:rPr>
          <w:rFonts w:ascii="Times New Roman" w:hAnsi="Times New Roman"/>
        </w:rPr>
        <w:t xml:space="preserve"> </w:t>
      </w:r>
      <w:r w:rsidR="00E80570" w:rsidRPr="00D35B04">
        <w:rPr>
          <w:rFonts w:ascii="Times New Roman" w:hAnsi="Times New Roman"/>
        </w:rPr>
        <w:t>T</w:t>
      </w:r>
      <w:r w:rsidR="00B651B2" w:rsidRPr="00D35B04">
        <w:rPr>
          <w:rFonts w:ascii="Times New Roman" w:hAnsi="Times New Roman"/>
        </w:rPr>
        <w:t xml:space="preserve">he growers did not allege that the </w:t>
      </w:r>
      <w:proofErr w:type="spellStart"/>
      <w:r w:rsidR="00B651B2" w:rsidRPr="00D35B04">
        <w:rPr>
          <w:rFonts w:ascii="Times New Roman" w:hAnsi="Times New Roman"/>
        </w:rPr>
        <w:t>shattercane</w:t>
      </w:r>
      <w:proofErr w:type="spellEnd"/>
      <w:r w:rsidR="00B651B2" w:rsidRPr="00D35B04">
        <w:rPr>
          <w:rFonts w:ascii="Times New Roman" w:hAnsi="Times New Roman"/>
        </w:rPr>
        <w:t xml:space="preserve"> caused them property damage</w:t>
      </w:r>
      <w:r w:rsidR="00575697" w:rsidRPr="00D35B04">
        <w:rPr>
          <w:rFonts w:ascii="Times New Roman" w:hAnsi="Times New Roman"/>
        </w:rPr>
        <w:t>, or that their economic loss was consequential on property damage</w:t>
      </w:r>
      <w:r w:rsidR="00B651B2" w:rsidRPr="00D35B04">
        <w:rPr>
          <w:rFonts w:ascii="Times New Roman" w:hAnsi="Times New Roman"/>
        </w:rPr>
        <w:t>.</w:t>
      </w:r>
    </w:p>
    <w:p w14:paraId="7515239A" w14:textId="26D245D3" w:rsidR="007D7B6C" w:rsidRPr="00D35B04" w:rsidRDefault="00E009B3"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2B11A0" w:rsidRPr="00D35B04">
        <w:rPr>
          <w:rFonts w:ascii="Times New Roman" w:hAnsi="Times New Roman"/>
        </w:rPr>
        <w:t>Each of the</w:t>
      </w:r>
      <w:r w:rsidRPr="00D35B04">
        <w:rPr>
          <w:rFonts w:ascii="Times New Roman" w:hAnsi="Times New Roman"/>
        </w:rPr>
        <w:t xml:space="preserve"> growers</w:t>
      </w:r>
      <w:r w:rsidR="002B11A0" w:rsidRPr="00D35B04">
        <w:rPr>
          <w:rFonts w:ascii="Times New Roman" w:hAnsi="Times New Roman"/>
        </w:rPr>
        <w:t xml:space="preserve"> </w:t>
      </w:r>
      <w:r w:rsidR="00472E74" w:rsidRPr="00D35B04">
        <w:rPr>
          <w:rFonts w:ascii="Times New Roman" w:hAnsi="Times New Roman"/>
        </w:rPr>
        <w:t>purchased</w:t>
      </w:r>
      <w:r w:rsidR="002B11A0" w:rsidRPr="00D35B04">
        <w:rPr>
          <w:rFonts w:ascii="Times New Roman" w:hAnsi="Times New Roman"/>
        </w:rPr>
        <w:t xml:space="preserve"> </w:t>
      </w:r>
      <w:r w:rsidR="002F0337" w:rsidRPr="00D35B04">
        <w:rPr>
          <w:rFonts w:ascii="Times New Roman" w:hAnsi="Times New Roman"/>
        </w:rPr>
        <w:t>bags of</w:t>
      </w:r>
      <w:r w:rsidR="00A77209" w:rsidRPr="00D35B04">
        <w:rPr>
          <w:rFonts w:ascii="Times New Roman" w:hAnsi="Times New Roman"/>
        </w:rPr>
        <w:t xml:space="preserve"> the contaminated seed</w:t>
      </w:r>
      <w:r w:rsidR="002B11A0" w:rsidRPr="00D35B04">
        <w:rPr>
          <w:rFonts w:ascii="Times New Roman" w:hAnsi="Times New Roman"/>
        </w:rPr>
        <w:t xml:space="preserve"> </w:t>
      </w:r>
      <w:r w:rsidR="00CE3CE2" w:rsidRPr="00D35B04">
        <w:rPr>
          <w:rFonts w:ascii="Times New Roman" w:hAnsi="Times New Roman"/>
        </w:rPr>
        <w:t>for planting in the summer of 2010</w:t>
      </w:r>
      <w:r w:rsidR="001130F5" w:rsidRPr="00D35B04">
        <w:rPr>
          <w:rFonts w:ascii="Times New Roman" w:hAnsi="Times New Roman"/>
        </w:rPr>
        <w:t>/</w:t>
      </w:r>
      <w:r w:rsidR="00CE3CE2" w:rsidRPr="00D35B04">
        <w:rPr>
          <w:rFonts w:ascii="Times New Roman" w:hAnsi="Times New Roman"/>
        </w:rPr>
        <w:t>201</w:t>
      </w:r>
      <w:r w:rsidR="009C6551" w:rsidRPr="00D35B04">
        <w:rPr>
          <w:rFonts w:ascii="Times New Roman" w:hAnsi="Times New Roman"/>
        </w:rPr>
        <w:t>1</w:t>
      </w:r>
      <w:r w:rsidR="00CE3CE2" w:rsidRPr="00D35B04">
        <w:rPr>
          <w:rFonts w:ascii="Times New Roman" w:hAnsi="Times New Roman"/>
        </w:rPr>
        <w:t xml:space="preserve">. </w:t>
      </w:r>
      <w:r w:rsidR="00075A8F" w:rsidRPr="00D35B04">
        <w:rPr>
          <w:rFonts w:ascii="Times New Roman" w:hAnsi="Times New Roman"/>
        </w:rPr>
        <w:t>S</w:t>
      </w:r>
      <w:r w:rsidR="00A46E45" w:rsidRPr="00D35B04">
        <w:rPr>
          <w:rFonts w:ascii="Times New Roman" w:hAnsi="Times New Roman"/>
        </w:rPr>
        <w:t>ome months after they planted the seed, t</w:t>
      </w:r>
      <w:r w:rsidR="00DC6D88" w:rsidRPr="00D35B04">
        <w:rPr>
          <w:rFonts w:ascii="Times New Roman" w:hAnsi="Times New Roman"/>
        </w:rPr>
        <w:t xml:space="preserve">he </w:t>
      </w:r>
      <w:r w:rsidR="004928DC" w:rsidRPr="00D35B04">
        <w:rPr>
          <w:rFonts w:ascii="Times New Roman" w:hAnsi="Times New Roman"/>
        </w:rPr>
        <w:t xml:space="preserve">growers </w:t>
      </w:r>
      <w:r w:rsidR="0085462B" w:rsidRPr="00D35B04">
        <w:rPr>
          <w:rFonts w:ascii="Times New Roman" w:hAnsi="Times New Roman"/>
        </w:rPr>
        <w:t>became aware of the contamination</w:t>
      </w:r>
      <w:r w:rsidR="00A46E45" w:rsidRPr="00D35B04">
        <w:rPr>
          <w:rFonts w:ascii="Times New Roman" w:hAnsi="Times New Roman"/>
        </w:rPr>
        <w:t>.</w:t>
      </w:r>
      <w:r w:rsidR="00F9385D" w:rsidRPr="00D35B04">
        <w:rPr>
          <w:rFonts w:ascii="Times New Roman" w:hAnsi="Times New Roman"/>
        </w:rPr>
        <w:t xml:space="preserve"> </w:t>
      </w:r>
    </w:p>
    <w:p w14:paraId="158A03D3" w14:textId="3A7821EF" w:rsidR="000E1347" w:rsidRPr="00D35B04" w:rsidRDefault="00671959" w:rsidP="00D35B04">
      <w:pPr>
        <w:pStyle w:val="FixListStyle"/>
        <w:spacing w:after="260" w:line="280" w:lineRule="exact"/>
        <w:ind w:right="0"/>
        <w:jc w:val="both"/>
        <w:rPr>
          <w:rFonts w:ascii="Times New Roman" w:hAnsi="Times New Roman"/>
        </w:rPr>
      </w:pPr>
      <w:r w:rsidRPr="00D35B04">
        <w:rPr>
          <w:rFonts w:ascii="Times New Roman" w:hAnsi="Times New Roman"/>
        </w:rPr>
        <w:lastRenderedPageBreak/>
        <w:tab/>
      </w:r>
      <w:r w:rsidR="000E1347" w:rsidRPr="00D35B04">
        <w:rPr>
          <w:rFonts w:ascii="Times New Roman" w:hAnsi="Times New Roman"/>
        </w:rPr>
        <w:t xml:space="preserve">The growers had no way of detecting the contamination </w:t>
      </w:r>
      <w:r w:rsidR="00FB5D98" w:rsidRPr="00D35B04">
        <w:rPr>
          <w:rFonts w:ascii="Times New Roman" w:hAnsi="Times New Roman"/>
        </w:rPr>
        <w:t xml:space="preserve">prior to planting. </w:t>
      </w:r>
      <w:r w:rsidR="00F9385D" w:rsidRPr="00D35B04">
        <w:rPr>
          <w:rFonts w:ascii="Times New Roman" w:hAnsi="Times New Roman"/>
        </w:rPr>
        <w:t xml:space="preserve">To prevent the </w:t>
      </w:r>
      <w:proofErr w:type="spellStart"/>
      <w:r w:rsidR="00F9385D" w:rsidRPr="00D35B04">
        <w:rPr>
          <w:rFonts w:ascii="Times New Roman" w:hAnsi="Times New Roman"/>
        </w:rPr>
        <w:t>shattercane</w:t>
      </w:r>
      <w:proofErr w:type="spellEnd"/>
      <w:r w:rsidR="00F9385D" w:rsidRPr="00D35B04">
        <w:rPr>
          <w:rFonts w:ascii="Times New Roman" w:hAnsi="Times New Roman"/>
        </w:rPr>
        <w:t xml:space="preserve"> from disrupting their grain sorghum growing businesses, the growers were required to stop growing sorghum and remediate the affected fields.</w:t>
      </w:r>
      <w:r w:rsidR="00F9385D" w:rsidRPr="00D35B04">
        <w:rPr>
          <w:rFonts w:ascii="Times New Roman" w:hAnsi="Times New Roman"/>
          <w:b/>
          <w:bCs/>
        </w:rPr>
        <w:t xml:space="preserve"> </w:t>
      </w:r>
      <w:r w:rsidRPr="00D35B04">
        <w:rPr>
          <w:rFonts w:ascii="Times New Roman" w:hAnsi="Times New Roman"/>
        </w:rPr>
        <w:t xml:space="preserve">The growers' </w:t>
      </w:r>
      <w:r w:rsidR="009F716B" w:rsidRPr="00D35B04">
        <w:rPr>
          <w:rFonts w:ascii="Times New Roman" w:hAnsi="Times New Roman"/>
        </w:rPr>
        <w:t>consequential losses</w:t>
      </w:r>
      <w:r w:rsidR="00125518" w:rsidRPr="00D35B04">
        <w:rPr>
          <w:rFonts w:ascii="Times New Roman" w:hAnsi="Times New Roman"/>
        </w:rPr>
        <w:t xml:space="preserve"> compris</w:t>
      </w:r>
      <w:r w:rsidR="009F716B" w:rsidRPr="00D35B04">
        <w:rPr>
          <w:rFonts w:ascii="Times New Roman" w:hAnsi="Times New Roman"/>
        </w:rPr>
        <w:t>ed</w:t>
      </w:r>
      <w:r w:rsidR="00125518" w:rsidRPr="00D35B04">
        <w:rPr>
          <w:rFonts w:ascii="Times New Roman" w:hAnsi="Times New Roman"/>
        </w:rPr>
        <w:t xml:space="preserve"> the costs of </w:t>
      </w:r>
      <w:proofErr w:type="spellStart"/>
      <w:r w:rsidR="00125518" w:rsidRPr="00D35B04">
        <w:rPr>
          <w:rFonts w:ascii="Times New Roman" w:hAnsi="Times New Roman"/>
        </w:rPr>
        <w:t>roguing</w:t>
      </w:r>
      <w:proofErr w:type="spellEnd"/>
      <w:r w:rsidR="0006607F" w:rsidRPr="00D35B04">
        <w:rPr>
          <w:rFonts w:ascii="Times New Roman" w:hAnsi="Times New Roman"/>
        </w:rPr>
        <w:t xml:space="preserve"> the affected fields</w:t>
      </w:r>
      <w:r w:rsidR="004979A8" w:rsidRPr="00D35B04">
        <w:rPr>
          <w:rFonts w:ascii="Times New Roman" w:hAnsi="Times New Roman"/>
        </w:rPr>
        <w:t xml:space="preserve"> (that is, removing inferior or defective plants or seedlings</w:t>
      </w:r>
      <w:r w:rsidR="00C508B8" w:rsidRPr="00D35B04">
        <w:rPr>
          <w:rFonts w:ascii="Times New Roman" w:hAnsi="Times New Roman"/>
        </w:rPr>
        <w:t>; in this case,</w:t>
      </w:r>
      <w:r w:rsidR="00740B27" w:rsidRPr="00D35B04">
        <w:rPr>
          <w:rFonts w:ascii="Times New Roman" w:hAnsi="Times New Roman"/>
        </w:rPr>
        <w:t xml:space="preserve"> </w:t>
      </w:r>
      <w:proofErr w:type="spellStart"/>
      <w:r w:rsidR="00740B27" w:rsidRPr="00D35B04">
        <w:rPr>
          <w:rFonts w:ascii="Times New Roman" w:hAnsi="Times New Roman"/>
        </w:rPr>
        <w:t>shattercane</w:t>
      </w:r>
      <w:proofErr w:type="spellEnd"/>
      <w:r w:rsidR="00C508B8" w:rsidRPr="00D35B04">
        <w:rPr>
          <w:rFonts w:ascii="Times New Roman" w:hAnsi="Times New Roman"/>
        </w:rPr>
        <w:t xml:space="preserve"> plants or seedlings</w:t>
      </w:r>
      <w:r w:rsidR="004979A8" w:rsidRPr="00D35B04">
        <w:rPr>
          <w:rFonts w:ascii="Times New Roman" w:hAnsi="Times New Roman"/>
        </w:rPr>
        <w:t>)</w:t>
      </w:r>
      <w:r w:rsidR="009D2102" w:rsidRPr="00D35B04">
        <w:rPr>
          <w:rFonts w:ascii="Times New Roman" w:hAnsi="Times New Roman"/>
        </w:rPr>
        <w:t>,</w:t>
      </w:r>
      <w:r w:rsidR="00125518" w:rsidRPr="00D35B04">
        <w:rPr>
          <w:rFonts w:ascii="Times New Roman" w:hAnsi="Times New Roman"/>
        </w:rPr>
        <w:t xml:space="preserve"> applying insecticides and herbicides</w:t>
      </w:r>
      <w:r w:rsidR="009D2102" w:rsidRPr="00D35B04">
        <w:rPr>
          <w:rFonts w:ascii="Times New Roman" w:hAnsi="Times New Roman"/>
        </w:rPr>
        <w:t>,</w:t>
      </w:r>
      <w:r w:rsidR="00125518" w:rsidRPr="00D35B04">
        <w:rPr>
          <w:rFonts w:ascii="Times New Roman" w:hAnsi="Times New Roman"/>
        </w:rPr>
        <w:t xml:space="preserve"> and leav</w:t>
      </w:r>
      <w:r w:rsidR="00740B27" w:rsidRPr="00D35B04">
        <w:rPr>
          <w:rFonts w:ascii="Times New Roman" w:hAnsi="Times New Roman"/>
        </w:rPr>
        <w:t>ing</w:t>
      </w:r>
      <w:r w:rsidR="00125518" w:rsidRPr="00D35B04">
        <w:rPr>
          <w:rFonts w:ascii="Times New Roman" w:hAnsi="Times New Roman"/>
        </w:rPr>
        <w:t xml:space="preserve"> the </w:t>
      </w:r>
      <w:r w:rsidR="00740B27" w:rsidRPr="00D35B04">
        <w:rPr>
          <w:rFonts w:ascii="Times New Roman" w:hAnsi="Times New Roman"/>
        </w:rPr>
        <w:t xml:space="preserve">affected </w:t>
      </w:r>
      <w:r w:rsidR="00125518" w:rsidRPr="00D35B04">
        <w:rPr>
          <w:rFonts w:ascii="Times New Roman" w:hAnsi="Times New Roman"/>
        </w:rPr>
        <w:t xml:space="preserve">fields </w:t>
      </w:r>
      <w:r w:rsidR="00073390" w:rsidRPr="00D35B04">
        <w:rPr>
          <w:rFonts w:ascii="Times New Roman" w:hAnsi="Times New Roman"/>
        </w:rPr>
        <w:t xml:space="preserve">to </w:t>
      </w:r>
      <w:r w:rsidR="00125518" w:rsidRPr="00D35B04">
        <w:rPr>
          <w:rFonts w:ascii="Times New Roman" w:hAnsi="Times New Roman"/>
        </w:rPr>
        <w:t xml:space="preserve">lie fallow for several seasons or </w:t>
      </w:r>
      <w:r w:rsidR="00B7229A" w:rsidRPr="00D35B04">
        <w:rPr>
          <w:rFonts w:ascii="Times New Roman" w:hAnsi="Times New Roman"/>
        </w:rPr>
        <w:t>plant</w:t>
      </w:r>
      <w:r w:rsidR="00073390" w:rsidRPr="00D35B04">
        <w:rPr>
          <w:rFonts w:ascii="Times New Roman" w:hAnsi="Times New Roman"/>
        </w:rPr>
        <w:t>ing</w:t>
      </w:r>
      <w:r w:rsidR="00B7229A" w:rsidRPr="00D35B04">
        <w:rPr>
          <w:rFonts w:ascii="Times New Roman" w:hAnsi="Times New Roman"/>
        </w:rPr>
        <w:t xml:space="preserve"> </w:t>
      </w:r>
      <w:r w:rsidR="00125518" w:rsidRPr="00D35B04">
        <w:rPr>
          <w:rFonts w:ascii="Times New Roman" w:hAnsi="Times New Roman"/>
        </w:rPr>
        <w:t>less remunerative crops</w:t>
      </w:r>
      <w:r w:rsidR="00073390" w:rsidRPr="00D35B04">
        <w:rPr>
          <w:rFonts w:ascii="Times New Roman" w:hAnsi="Times New Roman"/>
        </w:rPr>
        <w:t xml:space="preserve"> in those fields</w:t>
      </w:r>
      <w:r w:rsidR="00125518" w:rsidRPr="00D35B04">
        <w:rPr>
          <w:rFonts w:ascii="Times New Roman" w:hAnsi="Times New Roman"/>
        </w:rPr>
        <w:t>.</w:t>
      </w:r>
    </w:p>
    <w:p w14:paraId="738AA575" w14:textId="13EEF823" w:rsidR="00995C0F" w:rsidRPr="00D35B04" w:rsidRDefault="00995C0F" w:rsidP="00D35B04">
      <w:pPr>
        <w:pStyle w:val="FixListStyle"/>
        <w:spacing w:after="260" w:line="280" w:lineRule="exact"/>
        <w:ind w:right="0"/>
        <w:jc w:val="both"/>
        <w:rPr>
          <w:rFonts w:ascii="Times New Roman" w:hAnsi="Times New Roman"/>
        </w:rPr>
      </w:pPr>
      <w:r w:rsidRPr="00D35B04">
        <w:rPr>
          <w:rFonts w:ascii="Times New Roman" w:hAnsi="Times New Roman"/>
          <w:b/>
          <w:bCs/>
        </w:rPr>
        <w:tab/>
      </w:r>
      <w:r w:rsidRPr="00D35B04">
        <w:rPr>
          <w:rFonts w:ascii="Times New Roman" w:hAnsi="Times New Roman"/>
        </w:rPr>
        <w:t>The producer was one of two producers of grain sorghum seed for distribution and sale to Australian growers. The producer did not sell the contaminated seed directly to growers. Rather, the producer supplied the seed to distributors in labelled 20kg bags. These supplies were made by sale or on consignment</w:t>
      </w:r>
      <w:r w:rsidRPr="000245E6">
        <w:rPr>
          <w:rFonts w:ascii="Times New Roman" w:hAnsi="Times New Roman"/>
        </w:rPr>
        <w:t>.</w:t>
      </w:r>
      <w:r w:rsidRPr="00D35B04">
        <w:rPr>
          <w:rFonts w:ascii="Times New Roman" w:hAnsi="Times New Roman"/>
          <w:b/>
          <w:bCs/>
        </w:rPr>
        <w:t xml:space="preserve"> </w:t>
      </w:r>
      <w:r w:rsidRPr="00D35B04">
        <w:rPr>
          <w:rFonts w:ascii="Times New Roman" w:hAnsi="Times New Roman"/>
        </w:rPr>
        <w:t xml:space="preserve">In turn, the distributors supplied the seed to growers in the labelled bags. </w:t>
      </w:r>
      <w:r w:rsidR="00791BE3" w:rsidRPr="00D35B04">
        <w:rPr>
          <w:rFonts w:ascii="Times New Roman" w:hAnsi="Times New Roman"/>
        </w:rPr>
        <w:t>At the time that the seed was supplied to the market</w:t>
      </w:r>
      <w:r w:rsidR="00314474" w:rsidRPr="00D35B04">
        <w:rPr>
          <w:rFonts w:ascii="Times New Roman" w:hAnsi="Times New Roman"/>
        </w:rPr>
        <w:t>,</w:t>
      </w:r>
      <w:r w:rsidR="00791BE3" w:rsidRPr="00D35B04">
        <w:rPr>
          <w:rFonts w:ascii="Times New Roman" w:hAnsi="Times New Roman"/>
        </w:rPr>
        <w:t xml:space="preserve"> and </w:t>
      </w:r>
      <w:r w:rsidR="00314474" w:rsidRPr="00D35B04">
        <w:rPr>
          <w:rFonts w:ascii="Times New Roman" w:hAnsi="Times New Roman"/>
        </w:rPr>
        <w:t xml:space="preserve">later, when it </w:t>
      </w:r>
      <w:r w:rsidR="00791BE3" w:rsidRPr="00D35B04">
        <w:rPr>
          <w:rFonts w:ascii="Times New Roman" w:hAnsi="Times New Roman"/>
        </w:rPr>
        <w:t>was planted, t</w:t>
      </w:r>
      <w:r w:rsidRPr="00D35B04">
        <w:rPr>
          <w:rFonts w:ascii="Times New Roman" w:hAnsi="Times New Roman"/>
        </w:rPr>
        <w:t xml:space="preserve">he producer did not know that </w:t>
      </w:r>
      <w:r w:rsidR="00314474" w:rsidRPr="00D35B04">
        <w:rPr>
          <w:rFonts w:ascii="Times New Roman" w:hAnsi="Times New Roman"/>
        </w:rPr>
        <w:t>the seed</w:t>
      </w:r>
      <w:r w:rsidRPr="00D35B04">
        <w:rPr>
          <w:rFonts w:ascii="Times New Roman" w:hAnsi="Times New Roman"/>
        </w:rPr>
        <w:t xml:space="preserve"> was contaminated</w:t>
      </w:r>
      <w:r w:rsidR="00BE66EA" w:rsidRPr="00D35B04">
        <w:rPr>
          <w:rFonts w:ascii="Times New Roman" w:hAnsi="Times New Roman"/>
        </w:rPr>
        <w:t xml:space="preserve"> with </w:t>
      </w:r>
      <w:proofErr w:type="spellStart"/>
      <w:r w:rsidR="00BE66EA" w:rsidRPr="00D35B04">
        <w:rPr>
          <w:rFonts w:ascii="Times New Roman" w:hAnsi="Times New Roman"/>
        </w:rPr>
        <w:t>shattercane</w:t>
      </w:r>
      <w:proofErr w:type="spellEnd"/>
      <w:r w:rsidRPr="00D35B04">
        <w:rPr>
          <w:rFonts w:ascii="Times New Roman" w:hAnsi="Times New Roman"/>
        </w:rPr>
        <w:t>.</w:t>
      </w:r>
    </w:p>
    <w:p w14:paraId="22676B65" w14:textId="45E24D02" w:rsidR="001E15E5" w:rsidRPr="00D35B04" w:rsidRDefault="000E1347"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1E15E5" w:rsidRPr="00D35B04">
        <w:rPr>
          <w:rFonts w:ascii="Times New Roman" w:hAnsi="Times New Roman"/>
        </w:rPr>
        <w:t xml:space="preserve">The bags bore prominent labels on the front and the back </w:t>
      </w:r>
      <w:r w:rsidR="00553D28" w:rsidRPr="00D35B04">
        <w:rPr>
          <w:rFonts w:ascii="Times New Roman" w:hAnsi="Times New Roman"/>
        </w:rPr>
        <w:t>("the packaging")</w:t>
      </w:r>
      <w:r w:rsidR="001E15E5" w:rsidRPr="00D35B04">
        <w:rPr>
          <w:rFonts w:ascii="Times New Roman" w:hAnsi="Times New Roman"/>
        </w:rPr>
        <w:t>. The label on the front of the bags that contained the contaminated seed was branded "Pacific Seeds", the former business name of the producer. The front of the bag highlighted the type of seed</w:t>
      </w:r>
      <w:r w:rsidR="00775DE9" w:rsidRPr="00D35B04">
        <w:rPr>
          <w:rFonts w:ascii="Times New Roman" w:hAnsi="Times New Roman"/>
        </w:rPr>
        <w:t xml:space="preserve"> and</w:t>
      </w:r>
      <w:r w:rsidR="001E15E5" w:rsidRPr="00D35B04">
        <w:rPr>
          <w:rFonts w:ascii="Times New Roman" w:hAnsi="Times New Roman"/>
        </w:rPr>
        <w:t xml:space="preserve"> the net weight of the bag</w:t>
      </w:r>
      <w:r w:rsidR="00775DE9" w:rsidRPr="00D35B04">
        <w:rPr>
          <w:rFonts w:ascii="Times New Roman" w:hAnsi="Times New Roman"/>
        </w:rPr>
        <w:t>,</w:t>
      </w:r>
      <w:r w:rsidR="001E15E5" w:rsidRPr="00D35B04">
        <w:rPr>
          <w:rFonts w:ascii="Times New Roman" w:hAnsi="Times New Roman"/>
        </w:rPr>
        <w:t xml:space="preserve"> and set out the following data:</w:t>
      </w:r>
    </w:p>
    <w:p w14:paraId="748FB9F6" w14:textId="1C7F21D7" w:rsidR="001E15E5" w:rsidRPr="00D35B04" w:rsidRDefault="001E15E5" w:rsidP="00D35B04">
      <w:pPr>
        <w:pStyle w:val="leftright"/>
        <w:spacing w:before="0" w:after="260" w:line="280" w:lineRule="exact"/>
        <w:ind w:right="0"/>
        <w:jc w:val="both"/>
        <w:rPr>
          <w:rFonts w:ascii="Times New Roman" w:hAnsi="Times New Roman"/>
        </w:rPr>
      </w:pPr>
      <w:r w:rsidRPr="00D35B04">
        <w:rPr>
          <w:rFonts w:ascii="Times New Roman" w:hAnsi="Times New Roman"/>
        </w:rPr>
        <w:t xml:space="preserve">"Minimum </w:t>
      </w:r>
      <w:r w:rsidR="008F72B4" w:rsidRPr="00D35B04">
        <w:rPr>
          <w:rFonts w:ascii="Times New Roman" w:hAnsi="Times New Roman"/>
        </w:rPr>
        <w:t>G</w:t>
      </w:r>
      <w:r w:rsidRPr="00D35B04">
        <w:rPr>
          <w:rFonts w:ascii="Times New Roman" w:hAnsi="Times New Roman"/>
        </w:rPr>
        <w:t>ermination</w:t>
      </w:r>
      <w:r w:rsidR="008F72B4" w:rsidRPr="00D35B04">
        <w:rPr>
          <w:rFonts w:ascii="Times New Roman" w:hAnsi="Times New Roman"/>
        </w:rPr>
        <w:t>:</w:t>
      </w:r>
      <w:r w:rsidRPr="00D35B04">
        <w:rPr>
          <w:rFonts w:ascii="Times New Roman" w:hAnsi="Times New Roman"/>
        </w:rPr>
        <w:tab/>
      </w:r>
      <w:r w:rsidR="008F72B4" w:rsidRPr="00D35B04">
        <w:rPr>
          <w:rFonts w:ascii="Times New Roman" w:hAnsi="Times New Roman"/>
        </w:rPr>
        <w:tab/>
      </w:r>
      <w:r w:rsidRPr="00D35B04">
        <w:rPr>
          <w:rFonts w:ascii="Times New Roman" w:hAnsi="Times New Roman"/>
        </w:rPr>
        <w:t>85%</w:t>
      </w:r>
    </w:p>
    <w:p w14:paraId="48DDFC04" w14:textId="204BA17D" w:rsidR="001E15E5" w:rsidRPr="00D35B04" w:rsidRDefault="001E15E5" w:rsidP="00D35B04">
      <w:pPr>
        <w:pStyle w:val="leftright"/>
        <w:spacing w:before="0" w:after="260" w:line="280" w:lineRule="exact"/>
        <w:ind w:right="0"/>
        <w:jc w:val="both"/>
        <w:rPr>
          <w:rFonts w:ascii="Times New Roman" w:hAnsi="Times New Roman"/>
        </w:rPr>
      </w:pPr>
      <w:r w:rsidRPr="00D35B04">
        <w:rPr>
          <w:rFonts w:ascii="Times New Roman" w:hAnsi="Times New Roman"/>
        </w:rPr>
        <w:t xml:space="preserve">Minimum </w:t>
      </w:r>
      <w:r w:rsidR="008F72B4" w:rsidRPr="00D35B04">
        <w:rPr>
          <w:rFonts w:ascii="Times New Roman" w:hAnsi="Times New Roman"/>
        </w:rPr>
        <w:t>P</w:t>
      </w:r>
      <w:r w:rsidRPr="00D35B04">
        <w:rPr>
          <w:rFonts w:ascii="Times New Roman" w:hAnsi="Times New Roman"/>
        </w:rPr>
        <w:t>urity</w:t>
      </w:r>
      <w:r w:rsidR="008F72B4" w:rsidRPr="00D35B04">
        <w:rPr>
          <w:rFonts w:ascii="Times New Roman" w:hAnsi="Times New Roman"/>
        </w:rPr>
        <w:t>:</w:t>
      </w:r>
      <w:r w:rsidRPr="00D35B04">
        <w:rPr>
          <w:rFonts w:ascii="Times New Roman" w:hAnsi="Times New Roman"/>
        </w:rPr>
        <w:tab/>
      </w:r>
      <w:r w:rsidRPr="00D35B04">
        <w:rPr>
          <w:rFonts w:ascii="Times New Roman" w:hAnsi="Times New Roman"/>
        </w:rPr>
        <w:tab/>
      </w:r>
      <w:r w:rsidR="008F72B4" w:rsidRPr="00D35B04">
        <w:rPr>
          <w:rFonts w:ascii="Times New Roman" w:hAnsi="Times New Roman"/>
        </w:rPr>
        <w:tab/>
      </w:r>
      <w:r w:rsidRPr="00D35B04">
        <w:rPr>
          <w:rFonts w:ascii="Times New Roman" w:hAnsi="Times New Roman"/>
        </w:rPr>
        <w:t>99%</w:t>
      </w:r>
    </w:p>
    <w:p w14:paraId="071A03CB" w14:textId="46AA7502" w:rsidR="001E15E5" w:rsidRPr="00D35B04" w:rsidRDefault="001E15E5" w:rsidP="00D35B04">
      <w:pPr>
        <w:pStyle w:val="leftright"/>
        <w:spacing w:before="0" w:after="260" w:line="280" w:lineRule="exact"/>
        <w:ind w:right="0"/>
        <w:jc w:val="both"/>
        <w:rPr>
          <w:rFonts w:ascii="Times New Roman" w:hAnsi="Times New Roman"/>
        </w:rPr>
      </w:pPr>
      <w:r w:rsidRPr="00D35B04">
        <w:rPr>
          <w:rFonts w:ascii="Times New Roman" w:hAnsi="Times New Roman"/>
        </w:rPr>
        <w:t xml:space="preserve">Maximum </w:t>
      </w:r>
      <w:r w:rsidR="008F72B4" w:rsidRPr="00D35B04">
        <w:rPr>
          <w:rFonts w:ascii="Times New Roman" w:hAnsi="Times New Roman"/>
        </w:rPr>
        <w:t>O</w:t>
      </w:r>
      <w:r w:rsidRPr="00D35B04">
        <w:rPr>
          <w:rFonts w:ascii="Times New Roman" w:hAnsi="Times New Roman"/>
        </w:rPr>
        <w:t xml:space="preserve">ther </w:t>
      </w:r>
      <w:r w:rsidR="008F72B4" w:rsidRPr="00D35B04">
        <w:rPr>
          <w:rFonts w:ascii="Times New Roman" w:hAnsi="Times New Roman"/>
        </w:rPr>
        <w:t>S</w:t>
      </w:r>
      <w:r w:rsidRPr="00D35B04">
        <w:rPr>
          <w:rFonts w:ascii="Times New Roman" w:hAnsi="Times New Roman"/>
        </w:rPr>
        <w:t>eeds</w:t>
      </w:r>
      <w:r w:rsidR="008F72B4" w:rsidRPr="00D35B04">
        <w:rPr>
          <w:rFonts w:ascii="Times New Roman" w:hAnsi="Times New Roman"/>
        </w:rPr>
        <w:t>:</w:t>
      </w:r>
      <w:r w:rsidRPr="00D35B04">
        <w:rPr>
          <w:rFonts w:ascii="Times New Roman" w:hAnsi="Times New Roman"/>
        </w:rPr>
        <w:tab/>
      </w:r>
      <w:r w:rsidR="008F72B4" w:rsidRPr="00D35B04">
        <w:rPr>
          <w:rFonts w:ascii="Times New Roman" w:hAnsi="Times New Roman"/>
        </w:rPr>
        <w:tab/>
      </w:r>
      <w:r w:rsidRPr="00D35B04">
        <w:rPr>
          <w:rFonts w:ascii="Times New Roman" w:hAnsi="Times New Roman"/>
        </w:rPr>
        <w:t>0.1%</w:t>
      </w:r>
    </w:p>
    <w:p w14:paraId="2FFBCE98" w14:textId="77777777" w:rsidR="00D35B04" w:rsidRDefault="001E15E5" w:rsidP="00D35B04">
      <w:pPr>
        <w:pStyle w:val="leftright"/>
        <w:spacing w:before="0" w:after="260" w:line="280" w:lineRule="exact"/>
        <w:ind w:right="0"/>
        <w:jc w:val="both"/>
        <w:rPr>
          <w:rFonts w:ascii="Times New Roman" w:hAnsi="Times New Roman"/>
        </w:rPr>
      </w:pPr>
      <w:r w:rsidRPr="00D35B04">
        <w:rPr>
          <w:rFonts w:ascii="Times New Roman" w:hAnsi="Times New Roman"/>
        </w:rPr>
        <w:t xml:space="preserve">Minimum </w:t>
      </w:r>
      <w:r w:rsidR="00787B5A" w:rsidRPr="00D35B04">
        <w:rPr>
          <w:rFonts w:ascii="Times New Roman" w:hAnsi="Times New Roman"/>
        </w:rPr>
        <w:t>I</w:t>
      </w:r>
      <w:r w:rsidRPr="00D35B04">
        <w:rPr>
          <w:rFonts w:ascii="Times New Roman" w:hAnsi="Times New Roman"/>
        </w:rPr>
        <w:t xml:space="preserve">nert </w:t>
      </w:r>
      <w:r w:rsidR="00787B5A" w:rsidRPr="00D35B04">
        <w:rPr>
          <w:rFonts w:ascii="Times New Roman" w:hAnsi="Times New Roman"/>
        </w:rPr>
        <w:t>M</w:t>
      </w:r>
      <w:r w:rsidRPr="00D35B04">
        <w:rPr>
          <w:rFonts w:ascii="Times New Roman" w:hAnsi="Times New Roman"/>
        </w:rPr>
        <w:t>atter</w:t>
      </w:r>
      <w:r w:rsidR="008F72B4" w:rsidRPr="00D35B04">
        <w:rPr>
          <w:rFonts w:ascii="Times New Roman" w:hAnsi="Times New Roman"/>
        </w:rPr>
        <w:t>:</w:t>
      </w:r>
      <w:r w:rsidRPr="00D35B04">
        <w:rPr>
          <w:rFonts w:ascii="Times New Roman" w:hAnsi="Times New Roman"/>
        </w:rPr>
        <w:tab/>
      </w:r>
      <w:r w:rsidR="008F72B4" w:rsidRPr="00D35B04">
        <w:rPr>
          <w:rFonts w:ascii="Times New Roman" w:hAnsi="Times New Roman"/>
        </w:rPr>
        <w:tab/>
      </w:r>
      <w:r w:rsidRPr="00D35B04">
        <w:rPr>
          <w:rFonts w:ascii="Times New Roman" w:hAnsi="Times New Roman"/>
        </w:rPr>
        <w:t>0.5%"</w:t>
      </w:r>
    </w:p>
    <w:p w14:paraId="60836DED" w14:textId="7B8ECA82" w:rsidR="00553D28" w:rsidRPr="00D35B04" w:rsidRDefault="00875280" w:rsidP="00D35B04">
      <w:pPr>
        <w:pStyle w:val="NormalBody"/>
        <w:spacing w:after="260" w:line="280" w:lineRule="exact"/>
        <w:ind w:right="0"/>
        <w:jc w:val="both"/>
        <w:rPr>
          <w:rFonts w:ascii="Times New Roman" w:hAnsi="Times New Roman"/>
        </w:rPr>
      </w:pPr>
      <w:r w:rsidRPr="00D35B04">
        <w:rPr>
          <w:rFonts w:ascii="Times New Roman" w:hAnsi="Times New Roman"/>
        </w:rPr>
        <w:t xml:space="preserve">Any </w:t>
      </w:r>
      <w:r w:rsidR="00D5740A" w:rsidRPr="00D35B04">
        <w:rPr>
          <w:rFonts w:ascii="Times New Roman" w:hAnsi="Times New Roman"/>
        </w:rPr>
        <w:t>suggestion that the contaminated seed did not conform to these specifications</w:t>
      </w:r>
      <w:r w:rsidR="00CA21E7" w:rsidRPr="00D35B04">
        <w:rPr>
          <w:rFonts w:ascii="Times New Roman" w:hAnsi="Times New Roman"/>
        </w:rPr>
        <w:t xml:space="preserve"> </w:t>
      </w:r>
      <w:r w:rsidRPr="00D35B04">
        <w:rPr>
          <w:rFonts w:ascii="Times New Roman" w:hAnsi="Times New Roman"/>
        </w:rPr>
        <w:t xml:space="preserve">was rejected by the </w:t>
      </w:r>
      <w:r w:rsidR="00BE66EA" w:rsidRPr="00D35B04">
        <w:rPr>
          <w:rFonts w:ascii="Times New Roman" w:hAnsi="Times New Roman"/>
        </w:rPr>
        <w:t xml:space="preserve">primary </w:t>
      </w:r>
      <w:r w:rsidRPr="00D35B04">
        <w:rPr>
          <w:rFonts w:ascii="Times New Roman" w:hAnsi="Times New Roman"/>
        </w:rPr>
        <w:t>judge</w:t>
      </w:r>
      <w:r w:rsidR="00D5740A" w:rsidRPr="00D35B04">
        <w:rPr>
          <w:rFonts w:ascii="Times New Roman" w:hAnsi="Times New Roman"/>
        </w:rPr>
        <w:t xml:space="preserve">. </w:t>
      </w:r>
    </w:p>
    <w:p w14:paraId="40CB84AA" w14:textId="29CE12F8" w:rsidR="0084410A" w:rsidRPr="00D35B04" w:rsidRDefault="00553D28"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5F255E" w:rsidRPr="00D35B04">
        <w:rPr>
          <w:rFonts w:ascii="Times New Roman" w:hAnsi="Times New Roman"/>
        </w:rPr>
        <w:t xml:space="preserve">Reflecting the producer's </w:t>
      </w:r>
      <w:r w:rsidR="009B3F68" w:rsidRPr="00D35B04">
        <w:rPr>
          <w:rFonts w:ascii="Times New Roman" w:hAnsi="Times New Roman"/>
        </w:rPr>
        <w:t xml:space="preserve">awareness of the </w:t>
      </w:r>
      <w:r w:rsidR="00AB07F2" w:rsidRPr="00D35B04">
        <w:rPr>
          <w:rFonts w:ascii="Times New Roman" w:hAnsi="Times New Roman"/>
        </w:rPr>
        <w:t>possibility of defective</w:t>
      </w:r>
      <w:r w:rsidR="009B3F68" w:rsidRPr="00D35B04">
        <w:rPr>
          <w:rFonts w:ascii="Times New Roman" w:hAnsi="Times New Roman"/>
        </w:rPr>
        <w:t xml:space="preserve"> </w:t>
      </w:r>
      <w:r w:rsidR="00BE66EA" w:rsidRPr="00D35B04">
        <w:rPr>
          <w:rFonts w:ascii="Times New Roman" w:hAnsi="Times New Roman"/>
        </w:rPr>
        <w:t xml:space="preserve">or impure </w:t>
      </w:r>
      <w:r w:rsidR="009B3F68" w:rsidRPr="00D35B04">
        <w:rPr>
          <w:rFonts w:ascii="Times New Roman" w:hAnsi="Times New Roman"/>
        </w:rPr>
        <w:t xml:space="preserve">seed, </w:t>
      </w:r>
      <w:r w:rsidR="00D16491" w:rsidRPr="00D35B04">
        <w:rPr>
          <w:rFonts w:ascii="Times New Roman" w:hAnsi="Times New Roman"/>
        </w:rPr>
        <w:t xml:space="preserve">the rear of the bag was printed with </w:t>
      </w:r>
      <w:r w:rsidR="00D15BA9" w:rsidRPr="00D35B04">
        <w:rPr>
          <w:rFonts w:ascii="Times New Roman" w:hAnsi="Times New Roman"/>
        </w:rPr>
        <w:t xml:space="preserve">what the </w:t>
      </w:r>
      <w:r w:rsidR="009E6665" w:rsidRPr="00D35B04">
        <w:rPr>
          <w:rFonts w:ascii="Times New Roman" w:hAnsi="Times New Roman"/>
        </w:rPr>
        <w:t xml:space="preserve">primary </w:t>
      </w:r>
      <w:r w:rsidR="00D15BA9" w:rsidRPr="00D35B04">
        <w:rPr>
          <w:rFonts w:ascii="Times New Roman" w:hAnsi="Times New Roman"/>
        </w:rPr>
        <w:t xml:space="preserve">judge described as a </w:t>
      </w:r>
      <w:r w:rsidR="00B16CD3" w:rsidRPr="00D35B04">
        <w:rPr>
          <w:rFonts w:ascii="Times New Roman" w:hAnsi="Times New Roman"/>
        </w:rPr>
        <w:t>"</w:t>
      </w:r>
      <w:r w:rsidR="00D15BA9" w:rsidRPr="00D35B04">
        <w:rPr>
          <w:rFonts w:ascii="Times New Roman" w:hAnsi="Times New Roman"/>
        </w:rPr>
        <w:t>disclaimer</w:t>
      </w:r>
      <w:r w:rsidR="00B16CD3" w:rsidRPr="00D35B04">
        <w:rPr>
          <w:rFonts w:ascii="Times New Roman" w:hAnsi="Times New Roman"/>
        </w:rPr>
        <w:t>"</w:t>
      </w:r>
      <w:r w:rsidR="00D15BA9" w:rsidRPr="00D35B04">
        <w:rPr>
          <w:rFonts w:ascii="Times New Roman" w:hAnsi="Times New Roman"/>
        </w:rPr>
        <w:t>.</w:t>
      </w:r>
      <w:r w:rsidR="00E350C2" w:rsidRPr="00D35B04">
        <w:rPr>
          <w:rFonts w:ascii="Times New Roman" w:hAnsi="Times New Roman"/>
          <w:b/>
          <w:bCs/>
        </w:rPr>
        <w:t xml:space="preserve"> </w:t>
      </w:r>
      <w:r w:rsidR="00E350C2" w:rsidRPr="00D35B04">
        <w:rPr>
          <w:rFonts w:ascii="Times New Roman" w:hAnsi="Times New Roman"/>
        </w:rPr>
        <w:t xml:space="preserve">The </w:t>
      </w:r>
      <w:r w:rsidR="00A60DFE" w:rsidRPr="00D35B04">
        <w:rPr>
          <w:rFonts w:ascii="Times New Roman" w:hAnsi="Times New Roman"/>
        </w:rPr>
        <w:t xml:space="preserve">disclaimer comprised the </w:t>
      </w:r>
      <w:r w:rsidR="00AF6814" w:rsidRPr="00D35B04">
        <w:rPr>
          <w:rFonts w:ascii="Times New Roman" w:hAnsi="Times New Roman"/>
        </w:rPr>
        <w:t xml:space="preserve">word </w:t>
      </w:r>
      <w:r w:rsidR="007950F7" w:rsidRPr="00D35B04">
        <w:rPr>
          <w:rFonts w:ascii="Times New Roman" w:hAnsi="Times New Roman"/>
        </w:rPr>
        <w:t>"WARNING"</w:t>
      </w:r>
      <w:r w:rsidR="00A60DFE" w:rsidRPr="00D35B04">
        <w:rPr>
          <w:rFonts w:ascii="Times New Roman" w:hAnsi="Times New Roman"/>
        </w:rPr>
        <w:t xml:space="preserve">, </w:t>
      </w:r>
      <w:r w:rsidR="007950F7" w:rsidRPr="00D35B04">
        <w:rPr>
          <w:rFonts w:ascii="Times New Roman" w:hAnsi="Times New Roman"/>
        </w:rPr>
        <w:t xml:space="preserve">next to </w:t>
      </w:r>
      <w:r w:rsidR="0080573C" w:rsidRPr="00D35B04">
        <w:rPr>
          <w:rFonts w:ascii="Times New Roman" w:hAnsi="Times New Roman"/>
        </w:rPr>
        <w:t>the head</w:t>
      </w:r>
      <w:r w:rsidR="00E350C2" w:rsidRPr="00D35B04">
        <w:rPr>
          <w:rFonts w:ascii="Times New Roman" w:hAnsi="Times New Roman"/>
        </w:rPr>
        <w:t>ings</w:t>
      </w:r>
      <w:r w:rsidR="0080573C" w:rsidRPr="00D35B04">
        <w:rPr>
          <w:rFonts w:ascii="Times New Roman" w:hAnsi="Times New Roman"/>
        </w:rPr>
        <w:t xml:space="preserve"> </w:t>
      </w:r>
      <w:r w:rsidR="00FC0BD6" w:rsidRPr="00D35B04">
        <w:rPr>
          <w:rFonts w:ascii="Times New Roman" w:hAnsi="Times New Roman"/>
        </w:rPr>
        <w:t>"ATTENTION" and "CONDITIONS OF SALE AND USE"</w:t>
      </w:r>
      <w:r w:rsidR="001532F5" w:rsidRPr="00D35B04">
        <w:rPr>
          <w:rFonts w:ascii="Times New Roman" w:hAnsi="Times New Roman"/>
        </w:rPr>
        <w:t>,</w:t>
      </w:r>
      <w:r w:rsidR="0064710C" w:rsidRPr="00D35B04">
        <w:rPr>
          <w:rFonts w:ascii="Times New Roman" w:hAnsi="Times New Roman"/>
        </w:rPr>
        <w:t xml:space="preserve"> </w:t>
      </w:r>
      <w:r w:rsidR="00712CA5" w:rsidRPr="00D35B04">
        <w:rPr>
          <w:rFonts w:ascii="Times New Roman" w:hAnsi="Times New Roman"/>
        </w:rPr>
        <w:t>which were prominently displayed</w:t>
      </w:r>
      <w:r w:rsidR="00712CA5" w:rsidRPr="00D35B04">
        <w:rPr>
          <w:rFonts w:ascii="Times New Roman" w:hAnsi="Times New Roman"/>
          <w:b/>
          <w:bCs/>
        </w:rPr>
        <w:t xml:space="preserve"> </w:t>
      </w:r>
      <w:r w:rsidR="0064710C" w:rsidRPr="00D35B04">
        <w:rPr>
          <w:rFonts w:ascii="Times New Roman" w:hAnsi="Times New Roman"/>
        </w:rPr>
        <w:t>in large bold type</w:t>
      </w:r>
      <w:r w:rsidR="00CD52C8" w:rsidRPr="00D35B04">
        <w:rPr>
          <w:rFonts w:ascii="Times New Roman" w:hAnsi="Times New Roman"/>
        </w:rPr>
        <w:t xml:space="preserve"> </w:t>
      </w:r>
      <w:r w:rsidR="006F10D3" w:rsidRPr="00D35B04">
        <w:rPr>
          <w:rFonts w:ascii="Times New Roman" w:hAnsi="Times New Roman"/>
        </w:rPr>
        <w:t>and in a font much larger than the conditions themselves</w:t>
      </w:r>
      <w:r w:rsidR="00455E91" w:rsidRPr="00711F24">
        <w:rPr>
          <w:rFonts w:ascii="Times New Roman" w:hAnsi="Times New Roman"/>
        </w:rPr>
        <w:t>.</w:t>
      </w:r>
      <w:r w:rsidR="006F10D3" w:rsidRPr="00D35B04">
        <w:rPr>
          <w:rFonts w:ascii="Times New Roman" w:hAnsi="Times New Roman"/>
        </w:rPr>
        <w:t xml:space="preserve"> </w:t>
      </w:r>
      <w:r w:rsidR="00E122B1" w:rsidRPr="00D35B04">
        <w:rPr>
          <w:rFonts w:ascii="Times New Roman" w:hAnsi="Times New Roman"/>
        </w:rPr>
        <w:t xml:space="preserve">The </w:t>
      </w:r>
      <w:r w:rsidR="00437A6E" w:rsidRPr="00D35B04">
        <w:rPr>
          <w:rFonts w:ascii="Times New Roman" w:hAnsi="Times New Roman"/>
        </w:rPr>
        <w:t>rear of the bag relevantly</w:t>
      </w:r>
      <w:r w:rsidR="00A912BA" w:rsidRPr="00D35B04">
        <w:rPr>
          <w:rFonts w:ascii="Times New Roman" w:hAnsi="Times New Roman"/>
        </w:rPr>
        <w:t xml:space="preserve"> included</w:t>
      </w:r>
      <w:r w:rsidR="0084410A" w:rsidRPr="00D35B04">
        <w:rPr>
          <w:rFonts w:ascii="Times New Roman" w:hAnsi="Times New Roman"/>
        </w:rPr>
        <w:t>:</w:t>
      </w:r>
    </w:p>
    <w:p w14:paraId="467AA1B1" w14:textId="77777777" w:rsidR="0084410A" w:rsidRPr="00D35B04" w:rsidRDefault="0084410A" w:rsidP="00D35B04">
      <w:pPr>
        <w:pStyle w:val="leftright"/>
        <w:spacing w:before="0" w:after="260" w:line="280" w:lineRule="exact"/>
        <w:ind w:right="0"/>
        <w:jc w:val="both"/>
        <w:rPr>
          <w:rFonts w:ascii="Times New Roman" w:hAnsi="Times New Roman"/>
        </w:rPr>
      </w:pPr>
      <w:r w:rsidRPr="00D35B04">
        <w:rPr>
          <w:rFonts w:ascii="Times New Roman" w:hAnsi="Times New Roman"/>
        </w:rPr>
        <w:lastRenderedPageBreak/>
        <w:t>"ATTENTION</w:t>
      </w:r>
    </w:p>
    <w:p w14:paraId="6999CE74" w14:textId="77777777" w:rsidR="0084410A" w:rsidRPr="00D35B04" w:rsidRDefault="0084410A" w:rsidP="00D35B04">
      <w:pPr>
        <w:pStyle w:val="leftright"/>
        <w:spacing w:before="0" w:after="260" w:line="280" w:lineRule="exact"/>
        <w:ind w:right="0"/>
        <w:jc w:val="both"/>
        <w:rPr>
          <w:rFonts w:ascii="Times New Roman" w:hAnsi="Times New Roman"/>
        </w:rPr>
      </w:pPr>
      <w:r w:rsidRPr="00D35B04">
        <w:rPr>
          <w:rFonts w:ascii="Times New Roman" w:hAnsi="Times New Roman"/>
        </w:rPr>
        <w:t>CONDITIONS OF SALE AND USE</w:t>
      </w:r>
    </w:p>
    <w:p w14:paraId="4C921919" w14:textId="2DB33C5E" w:rsidR="0084410A" w:rsidRPr="00D35B04" w:rsidRDefault="0084410A" w:rsidP="00D35B04">
      <w:pPr>
        <w:pStyle w:val="leftright"/>
        <w:spacing w:before="0" w:after="260" w:line="280" w:lineRule="exact"/>
        <w:ind w:right="0"/>
        <w:jc w:val="both"/>
        <w:rPr>
          <w:rFonts w:ascii="Times New Roman" w:hAnsi="Times New Roman"/>
        </w:rPr>
      </w:pPr>
      <w:r w:rsidRPr="00D35B04">
        <w:rPr>
          <w:rFonts w:ascii="Times New Roman" w:hAnsi="Times New Roman"/>
        </w:rPr>
        <w:t>Upon purchasing this product and opening the bag, the purchaser (</w:t>
      </w:r>
      <w:r w:rsidR="00EA2E24" w:rsidRPr="00D35B04">
        <w:rPr>
          <w:rFonts w:ascii="Times New Roman" w:hAnsi="Times New Roman"/>
        </w:rPr>
        <w:t>'</w:t>
      </w:r>
      <w:r w:rsidRPr="00D35B04">
        <w:rPr>
          <w:rFonts w:ascii="Times New Roman" w:hAnsi="Times New Roman"/>
        </w:rPr>
        <w:t>you</w:t>
      </w:r>
      <w:r w:rsidR="00EA2E24" w:rsidRPr="00D35B04">
        <w:rPr>
          <w:rFonts w:ascii="Times New Roman" w:hAnsi="Times New Roman"/>
        </w:rPr>
        <w:t>'</w:t>
      </w:r>
      <w:r w:rsidRPr="00D35B04">
        <w:rPr>
          <w:rFonts w:ascii="Times New Roman" w:hAnsi="Times New Roman"/>
        </w:rPr>
        <w:t>) agrees to be bound by the conditions set out below. Do not open this bag until you have read and agreed with all the terms on this bag. If, before opening the bag, these conditions are not acceptable to you, the product should be returned in its original condition to the place of purchase immediately, together with proof of purchase, for a refund. The product contained in this bag is as described on the bag, within recognised tolerances.</w:t>
      </w:r>
    </w:p>
    <w:p w14:paraId="1BD9AF92" w14:textId="77777777" w:rsidR="0084410A" w:rsidRPr="00D35B04" w:rsidRDefault="0084410A" w:rsidP="00D35B04">
      <w:pPr>
        <w:pStyle w:val="leftright"/>
        <w:spacing w:before="0" w:after="260" w:line="280" w:lineRule="exact"/>
        <w:ind w:right="0"/>
        <w:jc w:val="both"/>
        <w:rPr>
          <w:rFonts w:ascii="Times New Roman" w:hAnsi="Times New Roman"/>
        </w:rPr>
      </w:pPr>
      <w:r w:rsidRPr="00D35B04">
        <w:rPr>
          <w:rFonts w:ascii="Times New Roman" w:hAnsi="Times New Roman"/>
        </w:rPr>
        <w:t>CONDITIONS</w:t>
      </w:r>
    </w:p>
    <w:p w14:paraId="09314591" w14:textId="77777777" w:rsidR="0084410A" w:rsidRPr="00D35B04" w:rsidRDefault="0084410A" w:rsidP="00D35B04">
      <w:pPr>
        <w:pStyle w:val="leftright"/>
        <w:spacing w:before="0" w:after="260" w:line="280" w:lineRule="exact"/>
        <w:ind w:right="0"/>
        <w:jc w:val="both"/>
        <w:rPr>
          <w:rFonts w:ascii="Times New Roman" w:hAnsi="Times New Roman"/>
        </w:rPr>
      </w:pPr>
      <w:r w:rsidRPr="00D35B04">
        <w:rPr>
          <w:rFonts w:ascii="Times New Roman" w:hAnsi="Times New Roman"/>
        </w:rPr>
        <w:t>You agree that:</w:t>
      </w:r>
    </w:p>
    <w:p w14:paraId="424670C4" w14:textId="285D77B1" w:rsidR="0084410A" w:rsidRPr="00D35B04" w:rsidRDefault="0084410A" w:rsidP="00D35B04">
      <w:pPr>
        <w:pStyle w:val="leftright"/>
        <w:spacing w:before="0" w:after="260" w:line="280" w:lineRule="exact"/>
        <w:ind w:left="1440" w:right="0" w:hanging="720"/>
        <w:jc w:val="both"/>
        <w:rPr>
          <w:rFonts w:ascii="Times New Roman" w:hAnsi="Times New Roman"/>
        </w:rPr>
      </w:pPr>
      <w:r w:rsidRPr="00D35B04">
        <w:rPr>
          <w:rFonts w:ascii="Times New Roman" w:hAnsi="Times New Roman"/>
        </w:rPr>
        <w:t>–</w:t>
      </w:r>
      <w:r w:rsidRPr="00D35B04">
        <w:rPr>
          <w:rFonts w:ascii="Times New Roman" w:hAnsi="Times New Roman"/>
        </w:rPr>
        <w:tab/>
        <w:t>You acknowledge that, except to the extent of any representations made by [</w:t>
      </w:r>
      <w:r w:rsidR="00553331" w:rsidRPr="00D35B04">
        <w:rPr>
          <w:rFonts w:ascii="Times New Roman" w:hAnsi="Times New Roman"/>
        </w:rPr>
        <w:t>the producer</w:t>
      </w:r>
      <w:r w:rsidRPr="00D35B04">
        <w:rPr>
          <w:rFonts w:ascii="Times New Roman" w:hAnsi="Times New Roman"/>
        </w:rPr>
        <w:t>'s] labelling of the product in this bag or made in</w:t>
      </w:r>
      <w:r w:rsidR="00931CEB" w:rsidRPr="00D35B04">
        <w:rPr>
          <w:rFonts w:ascii="Times New Roman" w:hAnsi="Times New Roman"/>
        </w:rPr>
        <w:t xml:space="preserve"> [the producer's]</w:t>
      </w:r>
      <w:r w:rsidRPr="00D35B04">
        <w:rPr>
          <w:rFonts w:ascii="Times New Roman" w:hAnsi="Times New Roman"/>
        </w:rPr>
        <w:t xml:space="preserve"> official current</w:t>
      </w:r>
      <w:r w:rsidR="00931CEB" w:rsidRPr="00D35B04">
        <w:rPr>
          <w:rFonts w:ascii="Times New Roman" w:hAnsi="Times New Roman"/>
        </w:rPr>
        <w:t xml:space="preserve"> ...</w:t>
      </w:r>
      <w:r w:rsidRPr="00D35B04">
        <w:rPr>
          <w:rFonts w:ascii="Times New Roman" w:hAnsi="Times New Roman"/>
        </w:rPr>
        <w:t xml:space="preserve"> literature, it remains your responsibility to satisfy yourself that the product in the bag is fit for its intended </w:t>
      </w:r>
      <w:proofErr w:type="gramStart"/>
      <w:r w:rsidRPr="00D35B04">
        <w:rPr>
          <w:rFonts w:ascii="Times New Roman" w:hAnsi="Times New Roman"/>
        </w:rPr>
        <w:t>use;</w:t>
      </w:r>
      <w:proofErr w:type="gramEnd"/>
    </w:p>
    <w:p w14:paraId="2360E5AC" w14:textId="05098DED" w:rsidR="0084410A" w:rsidRPr="00D35B04" w:rsidRDefault="0084410A" w:rsidP="00D35B04">
      <w:pPr>
        <w:pStyle w:val="leftright"/>
        <w:spacing w:before="0" w:after="260" w:line="280" w:lineRule="exact"/>
        <w:ind w:left="1440" w:right="0" w:hanging="720"/>
        <w:jc w:val="both"/>
        <w:rPr>
          <w:rFonts w:ascii="Times New Roman" w:hAnsi="Times New Roman"/>
        </w:rPr>
      </w:pPr>
      <w:r w:rsidRPr="00D35B04">
        <w:rPr>
          <w:rFonts w:ascii="Times New Roman" w:hAnsi="Times New Roman"/>
        </w:rPr>
        <w:t xml:space="preserve">– </w:t>
      </w:r>
      <w:r w:rsidRPr="00D35B04">
        <w:rPr>
          <w:rFonts w:ascii="Times New Roman" w:hAnsi="Times New Roman"/>
        </w:rPr>
        <w:tab/>
        <w:t>If the product in this bag does not comply with its description, within recognised tolerances, the liability of [</w:t>
      </w:r>
      <w:r w:rsidR="00440E91" w:rsidRPr="00D35B04">
        <w:rPr>
          <w:rFonts w:ascii="Times New Roman" w:hAnsi="Times New Roman"/>
        </w:rPr>
        <w:t>the producer</w:t>
      </w:r>
      <w:r w:rsidRPr="00D35B04">
        <w:rPr>
          <w:rFonts w:ascii="Times New Roman" w:hAnsi="Times New Roman"/>
        </w:rPr>
        <w:t>] will be limited, at [</w:t>
      </w:r>
      <w:r w:rsidR="00440E91" w:rsidRPr="00D35B04">
        <w:rPr>
          <w:rFonts w:ascii="Times New Roman" w:hAnsi="Times New Roman"/>
        </w:rPr>
        <w:t>the producer</w:t>
      </w:r>
      <w:r w:rsidRPr="00D35B04">
        <w:rPr>
          <w:rFonts w:ascii="Times New Roman" w:hAnsi="Times New Roman"/>
        </w:rPr>
        <w:t xml:space="preserve">'s] option, solely to the cost of replacement of the product or the supply of equivalent goods or the payment of the cost of replacing the goods or of acquiring equivalent </w:t>
      </w:r>
      <w:proofErr w:type="gramStart"/>
      <w:r w:rsidRPr="00D35B04">
        <w:rPr>
          <w:rFonts w:ascii="Times New Roman" w:hAnsi="Times New Roman"/>
        </w:rPr>
        <w:t>goods;</w:t>
      </w:r>
      <w:proofErr w:type="gramEnd"/>
    </w:p>
    <w:p w14:paraId="259248D3" w14:textId="19C5DF86" w:rsidR="0073264A" w:rsidRPr="00D35B04" w:rsidRDefault="0084410A" w:rsidP="00D35B04">
      <w:pPr>
        <w:pStyle w:val="leftright"/>
        <w:spacing w:before="0" w:after="260" w:line="280" w:lineRule="exact"/>
        <w:ind w:left="1440" w:right="0" w:hanging="720"/>
        <w:jc w:val="both"/>
        <w:rPr>
          <w:rFonts w:ascii="Times New Roman" w:hAnsi="Times New Roman"/>
        </w:rPr>
      </w:pPr>
      <w:r w:rsidRPr="00D35B04">
        <w:rPr>
          <w:rFonts w:ascii="Times New Roman" w:hAnsi="Times New Roman"/>
        </w:rPr>
        <w:t xml:space="preserve">– </w:t>
      </w:r>
      <w:r w:rsidRPr="00D35B04">
        <w:rPr>
          <w:rFonts w:ascii="Times New Roman" w:hAnsi="Times New Roman"/>
        </w:rPr>
        <w:tab/>
        <w:t>[</w:t>
      </w:r>
      <w:r w:rsidR="00440E91" w:rsidRPr="00D35B04">
        <w:rPr>
          <w:rFonts w:ascii="Times New Roman" w:hAnsi="Times New Roman"/>
        </w:rPr>
        <w:t>The producer</w:t>
      </w:r>
      <w:r w:rsidRPr="00D35B04">
        <w:rPr>
          <w:rFonts w:ascii="Times New Roman" w:hAnsi="Times New Roman"/>
        </w:rPr>
        <w:t>] will not be liable to you or any other person for any injury, loss or damage caused or contributed to by [</w:t>
      </w:r>
      <w:r w:rsidR="00440E91" w:rsidRPr="00D35B04">
        <w:rPr>
          <w:rFonts w:ascii="Times New Roman" w:hAnsi="Times New Roman"/>
        </w:rPr>
        <w:t>the producer</w:t>
      </w:r>
      <w:r w:rsidRPr="00D35B04">
        <w:rPr>
          <w:rFonts w:ascii="Times New Roman" w:hAnsi="Times New Roman"/>
        </w:rPr>
        <w:t xml:space="preserve">] (or its servants or agents), directly or indirectly arising out of or related to the use of the product in this bag, whether as a result of their negligence or </w:t>
      </w:r>
      <w:proofErr w:type="gramStart"/>
      <w:r w:rsidRPr="00D35B04">
        <w:rPr>
          <w:rFonts w:ascii="Times New Roman" w:hAnsi="Times New Roman"/>
        </w:rPr>
        <w:t>otherwise;</w:t>
      </w:r>
      <w:proofErr w:type="gramEnd"/>
      <w:r w:rsidRPr="00D35B04">
        <w:rPr>
          <w:rFonts w:ascii="Times New Roman" w:hAnsi="Times New Roman"/>
        </w:rPr>
        <w:t xml:space="preserve"> </w:t>
      </w:r>
    </w:p>
    <w:p w14:paraId="47D4AC50" w14:textId="77777777" w:rsidR="00D35B04" w:rsidRDefault="0084410A" w:rsidP="00D35B04">
      <w:pPr>
        <w:pStyle w:val="leftright"/>
        <w:spacing w:before="0" w:after="260" w:line="280" w:lineRule="exact"/>
        <w:ind w:left="1440" w:right="0" w:hanging="720"/>
        <w:jc w:val="both"/>
        <w:rPr>
          <w:rFonts w:ascii="Times New Roman" w:hAnsi="Times New Roman"/>
        </w:rPr>
      </w:pPr>
      <w:r w:rsidRPr="00D35B04">
        <w:rPr>
          <w:rFonts w:ascii="Times New Roman" w:hAnsi="Times New Roman"/>
        </w:rPr>
        <w:t>..."</w:t>
      </w:r>
    </w:p>
    <w:p w14:paraId="31421E01" w14:textId="3671D3BC" w:rsidR="00D16491" w:rsidRPr="00D35B04" w:rsidRDefault="00A912BA"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740F48" w:rsidRPr="00D35B04">
        <w:rPr>
          <w:rFonts w:ascii="Times New Roman" w:hAnsi="Times New Roman"/>
        </w:rPr>
        <w:t>It was</w:t>
      </w:r>
      <w:r w:rsidR="00853BDB" w:rsidRPr="00D35B04">
        <w:rPr>
          <w:rFonts w:ascii="Times New Roman" w:hAnsi="Times New Roman"/>
        </w:rPr>
        <w:t xml:space="preserve"> found that the </w:t>
      </w:r>
      <w:r w:rsidR="004A2F80" w:rsidRPr="00D35B04">
        <w:rPr>
          <w:rFonts w:ascii="Times New Roman" w:hAnsi="Times New Roman"/>
        </w:rPr>
        <w:t xml:space="preserve">packaging </w:t>
      </w:r>
      <w:r w:rsidR="00C3544C" w:rsidRPr="00D35B04">
        <w:rPr>
          <w:rFonts w:ascii="Times New Roman" w:hAnsi="Times New Roman"/>
        </w:rPr>
        <w:t xml:space="preserve">referred to simple concepts in </w:t>
      </w:r>
      <w:r w:rsidR="00853BDB" w:rsidRPr="00D35B04">
        <w:rPr>
          <w:rFonts w:ascii="Times New Roman" w:hAnsi="Times New Roman"/>
        </w:rPr>
        <w:t xml:space="preserve">"plain words" to convey </w:t>
      </w:r>
      <w:r w:rsidR="00F844F3" w:rsidRPr="00D35B04">
        <w:rPr>
          <w:rFonts w:ascii="Times New Roman" w:hAnsi="Times New Roman"/>
        </w:rPr>
        <w:t>"several clear propositions"</w:t>
      </w:r>
      <w:r w:rsidR="00BA52A8" w:rsidRPr="00D35B04">
        <w:rPr>
          <w:rFonts w:ascii="Times New Roman" w:hAnsi="Times New Roman"/>
        </w:rPr>
        <w:t>,</w:t>
      </w:r>
      <w:r w:rsidR="00F844F3" w:rsidRPr="00D35B04">
        <w:rPr>
          <w:rFonts w:ascii="Times New Roman" w:hAnsi="Times New Roman"/>
        </w:rPr>
        <w:t xml:space="preserve"> including that the risk of using the product lay with the buyer and that </w:t>
      </w:r>
      <w:r w:rsidR="00A530F4" w:rsidRPr="00D35B04">
        <w:rPr>
          <w:rFonts w:ascii="Times New Roman" w:hAnsi="Times New Roman"/>
        </w:rPr>
        <w:t>the producer</w:t>
      </w:r>
      <w:r w:rsidR="00F844F3" w:rsidRPr="00D35B04">
        <w:rPr>
          <w:rFonts w:ascii="Times New Roman" w:hAnsi="Times New Roman"/>
        </w:rPr>
        <w:t xml:space="preserve"> was not accepting any responsibility for </w:t>
      </w:r>
      <w:r w:rsidR="00A530F4" w:rsidRPr="00D35B04">
        <w:rPr>
          <w:rFonts w:ascii="Times New Roman" w:hAnsi="Times New Roman"/>
        </w:rPr>
        <w:t xml:space="preserve">damage or loss </w:t>
      </w:r>
      <w:r w:rsidR="00F844F3" w:rsidRPr="00D35B04">
        <w:rPr>
          <w:rFonts w:ascii="Times New Roman" w:hAnsi="Times New Roman"/>
        </w:rPr>
        <w:t>caused by negligence on its part.</w:t>
      </w:r>
      <w:r w:rsidR="00F844F3" w:rsidRPr="00D35B04">
        <w:rPr>
          <w:rFonts w:ascii="Times New Roman" w:hAnsi="Times New Roman"/>
          <w:b/>
          <w:bCs/>
        </w:rPr>
        <w:t xml:space="preserve"> </w:t>
      </w:r>
      <w:r w:rsidR="00973917" w:rsidRPr="00D35B04">
        <w:rPr>
          <w:rFonts w:ascii="Times New Roman" w:hAnsi="Times New Roman"/>
        </w:rPr>
        <w:t xml:space="preserve">The text included clear statements that the bag must only be opened if the buyer had read and agreed with the </w:t>
      </w:r>
      <w:r w:rsidR="00973917" w:rsidRPr="00D35B04">
        <w:rPr>
          <w:rFonts w:ascii="Times New Roman" w:hAnsi="Times New Roman"/>
        </w:rPr>
        <w:lastRenderedPageBreak/>
        <w:t>conditions on the bag</w:t>
      </w:r>
      <w:r w:rsidR="0011032D" w:rsidRPr="00D35B04">
        <w:rPr>
          <w:rFonts w:ascii="Times New Roman" w:hAnsi="Times New Roman"/>
        </w:rPr>
        <w:t xml:space="preserve"> and </w:t>
      </w:r>
      <w:r w:rsidR="00BE5D5F" w:rsidRPr="00D35B04">
        <w:rPr>
          <w:rFonts w:ascii="Times New Roman" w:hAnsi="Times New Roman"/>
        </w:rPr>
        <w:t xml:space="preserve">that the buyer </w:t>
      </w:r>
      <w:r w:rsidR="0011032D" w:rsidRPr="00D35B04">
        <w:rPr>
          <w:rFonts w:ascii="Times New Roman" w:hAnsi="Times New Roman"/>
        </w:rPr>
        <w:t xml:space="preserve">should return the bag </w:t>
      </w:r>
      <w:r w:rsidR="00D56A48" w:rsidRPr="00D35B04">
        <w:rPr>
          <w:rFonts w:ascii="Times New Roman" w:hAnsi="Times New Roman"/>
        </w:rPr>
        <w:t xml:space="preserve">for </w:t>
      </w:r>
      <w:r w:rsidR="00BE5D5F" w:rsidRPr="00D35B04">
        <w:rPr>
          <w:rFonts w:ascii="Times New Roman" w:hAnsi="Times New Roman"/>
        </w:rPr>
        <w:t xml:space="preserve">a refund </w:t>
      </w:r>
      <w:r w:rsidR="0011032D" w:rsidRPr="00D35B04">
        <w:rPr>
          <w:rFonts w:ascii="Times New Roman" w:hAnsi="Times New Roman"/>
        </w:rPr>
        <w:t>if the conditions were not acceptable</w:t>
      </w:r>
      <w:r w:rsidR="007B1E16" w:rsidRPr="00D35B04">
        <w:rPr>
          <w:rFonts w:ascii="Times New Roman" w:hAnsi="Times New Roman"/>
        </w:rPr>
        <w:t>.</w:t>
      </w:r>
      <w:r w:rsidR="007B1E16" w:rsidRPr="00D35B04">
        <w:rPr>
          <w:rFonts w:ascii="Times New Roman" w:hAnsi="Times New Roman"/>
          <w:b/>
          <w:bCs/>
        </w:rPr>
        <w:t xml:space="preserve"> </w:t>
      </w:r>
    </w:p>
    <w:p w14:paraId="1E9B7CB7" w14:textId="085CE207" w:rsidR="00607370" w:rsidRPr="00D35B04" w:rsidRDefault="00A92E39" w:rsidP="00D35B04">
      <w:pPr>
        <w:pStyle w:val="HeadingL2"/>
        <w:spacing w:after="260" w:line="280" w:lineRule="exact"/>
        <w:ind w:right="0"/>
        <w:jc w:val="both"/>
        <w:rPr>
          <w:rFonts w:ascii="Times New Roman" w:hAnsi="Times New Roman"/>
        </w:rPr>
      </w:pPr>
      <w:r w:rsidRPr="00D35B04">
        <w:rPr>
          <w:rFonts w:ascii="Times New Roman" w:hAnsi="Times New Roman"/>
        </w:rPr>
        <w:t>The p</w:t>
      </w:r>
      <w:r w:rsidR="00A049FB" w:rsidRPr="00D35B04">
        <w:rPr>
          <w:rFonts w:ascii="Times New Roman" w:hAnsi="Times New Roman"/>
        </w:rPr>
        <w:t>roducer</w:t>
      </w:r>
      <w:r w:rsidR="00E62A01" w:rsidRPr="00D35B04">
        <w:rPr>
          <w:rFonts w:ascii="Times New Roman" w:hAnsi="Times New Roman"/>
        </w:rPr>
        <w:t>'</w:t>
      </w:r>
      <w:r w:rsidR="00A049FB" w:rsidRPr="00D35B04">
        <w:rPr>
          <w:rFonts w:ascii="Times New Roman" w:hAnsi="Times New Roman"/>
        </w:rPr>
        <w:t xml:space="preserve">s knowledge about </w:t>
      </w:r>
      <w:r w:rsidR="00A01299" w:rsidRPr="00D35B04">
        <w:rPr>
          <w:rFonts w:ascii="Times New Roman" w:hAnsi="Times New Roman"/>
        </w:rPr>
        <w:t xml:space="preserve">the </w:t>
      </w:r>
      <w:r w:rsidR="00A049FB" w:rsidRPr="00D35B04">
        <w:rPr>
          <w:rFonts w:ascii="Times New Roman" w:hAnsi="Times New Roman"/>
        </w:rPr>
        <w:t xml:space="preserve">risks of </w:t>
      </w:r>
      <w:r w:rsidRPr="00D35B04">
        <w:rPr>
          <w:rFonts w:ascii="Times New Roman" w:hAnsi="Times New Roman"/>
        </w:rPr>
        <w:t>damage and loss</w:t>
      </w:r>
      <w:r w:rsidR="00A049FB" w:rsidRPr="00D35B04">
        <w:rPr>
          <w:rFonts w:ascii="Times New Roman" w:hAnsi="Times New Roman"/>
        </w:rPr>
        <w:t xml:space="preserve"> from contaminated see</w:t>
      </w:r>
      <w:r w:rsidR="00747AA2" w:rsidRPr="00D35B04">
        <w:rPr>
          <w:rFonts w:ascii="Times New Roman" w:hAnsi="Times New Roman"/>
        </w:rPr>
        <w:t>d</w:t>
      </w:r>
    </w:p>
    <w:p w14:paraId="0A93B2CB" w14:textId="39483757" w:rsidR="004C710E" w:rsidRPr="00D35B04" w:rsidRDefault="00E62A01"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C26289" w:rsidRPr="00D35B04">
        <w:rPr>
          <w:rFonts w:ascii="Times New Roman" w:hAnsi="Times New Roman"/>
        </w:rPr>
        <w:t xml:space="preserve">In this </w:t>
      </w:r>
      <w:r w:rsidR="00C65F26" w:rsidRPr="00D35B04">
        <w:rPr>
          <w:rFonts w:ascii="Times New Roman" w:hAnsi="Times New Roman"/>
        </w:rPr>
        <w:t>C</w:t>
      </w:r>
      <w:r w:rsidR="00C26289" w:rsidRPr="00D35B04">
        <w:rPr>
          <w:rFonts w:ascii="Times New Roman" w:hAnsi="Times New Roman"/>
        </w:rPr>
        <w:t>ourt,</w:t>
      </w:r>
      <w:r w:rsidR="002C5E85" w:rsidRPr="00D35B04">
        <w:rPr>
          <w:rFonts w:ascii="Times New Roman" w:hAnsi="Times New Roman"/>
        </w:rPr>
        <w:t xml:space="preserve"> </w:t>
      </w:r>
      <w:r w:rsidR="00C26289" w:rsidRPr="00D35B04">
        <w:rPr>
          <w:rFonts w:ascii="Times New Roman" w:hAnsi="Times New Roman"/>
        </w:rPr>
        <w:t>the producer acknowledged that,</w:t>
      </w:r>
      <w:r w:rsidR="00124D18" w:rsidRPr="00D35B04">
        <w:rPr>
          <w:rFonts w:ascii="Times New Roman" w:hAnsi="Times New Roman"/>
        </w:rPr>
        <w:t xml:space="preserve"> prior to the contamination, "off-types" </w:t>
      </w:r>
      <w:r w:rsidR="00655611" w:rsidRPr="00D35B04">
        <w:rPr>
          <w:rFonts w:ascii="Times New Roman" w:hAnsi="Times New Roman"/>
        </w:rPr>
        <w:t>(that is, plants that deviate</w:t>
      </w:r>
      <w:r w:rsidR="00FE25AC" w:rsidRPr="00D35B04">
        <w:rPr>
          <w:rFonts w:ascii="Times New Roman" w:hAnsi="Times New Roman"/>
        </w:rPr>
        <w:t xml:space="preserve"> from the characteristics of another type in certain respects) </w:t>
      </w:r>
      <w:r w:rsidR="00124D18" w:rsidRPr="00D35B04">
        <w:rPr>
          <w:rFonts w:ascii="Times New Roman" w:hAnsi="Times New Roman"/>
        </w:rPr>
        <w:t>were common</w:t>
      </w:r>
      <w:r w:rsidR="00663C56" w:rsidRPr="00D35B04">
        <w:rPr>
          <w:rFonts w:ascii="Times New Roman" w:hAnsi="Times New Roman"/>
        </w:rPr>
        <w:t xml:space="preserve"> in </w:t>
      </w:r>
      <w:r w:rsidR="000839B8" w:rsidRPr="00D35B04">
        <w:rPr>
          <w:rFonts w:ascii="Times New Roman" w:hAnsi="Times New Roman"/>
        </w:rPr>
        <w:t>its</w:t>
      </w:r>
      <w:r w:rsidR="00663C56" w:rsidRPr="00D35B04">
        <w:rPr>
          <w:rFonts w:ascii="Times New Roman" w:hAnsi="Times New Roman"/>
        </w:rPr>
        <w:t xml:space="preserve"> production of grain sorghum seed</w:t>
      </w:r>
      <w:r w:rsidR="00B02266" w:rsidRPr="00D35B04">
        <w:rPr>
          <w:rFonts w:ascii="Times New Roman" w:hAnsi="Times New Roman"/>
        </w:rPr>
        <w:t xml:space="preserve"> but were easily controlled and did not have a significant impact upon commercial </w:t>
      </w:r>
      <w:r w:rsidR="004C710E" w:rsidRPr="00D35B04">
        <w:rPr>
          <w:rFonts w:ascii="Times New Roman" w:hAnsi="Times New Roman"/>
        </w:rPr>
        <w:t xml:space="preserve">grain </w:t>
      </w:r>
      <w:r w:rsidR="00B02266" w:rsidRPr="00D35B04">
        <w:rPr>
          <w:rFonts w:ascii="Times New Roman" w:hAnsi="Times New Roman"/>
        </w:rPr>
        <w:t>sorghum productio</w:t>
      </w:r>
      <w:r w:rsidR="009C6551" w:rsidRPr="00D35B04">
        <w:rPr>
          <w:rFonts w:ascii="Times New Roman" w:hAnsi="Times New Roman"/>
        </w:rPr>
        <w:t>n</w:t>
      </w:r>
      <w:r w:rsidR="00B9242D" w:rsidRPr="00D35B04">
        <w:rPr>
          <w:rFonts w:ascii="Times New Roman" w:hAnsi="Times New Roman"/>
        </w:rPr>
        <w:t>.</w:t>
      </w:r>
      <w:r w:rsidR="00C26289" w:rsidRPr="00D35B04">
        <w:rPr>
          <w:rFonts w:ascii="Times New Roman" w:hAnsi="Times New Roman"/>
        </w:rPr>
        <w:t xml:space="preserve"> </w:t>
      </w:r>
    </w:p>
    <w:p w14:paraId="07E50549" w14:textId="6454255E" w:rsidR="00FB1BB7" w:rsidRPr="00D35B04" w:rsidRDefault="00D56A48"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016EF4" w:rsidRPr="00D35B04">
        <w:rPr>
          <w:rFonts w:ascii="Times New Roman" w:hAnsi="Times New Roman"/>
        </w:rPr>
        <w:t xml:space="preserve">Furthermore, </w:t>
      </w:r>
      <w:r w:rsidR="00311E69" w:rsidRPr="00D35B04">
        <w:rPr>
          <w:rFonts w:ascii="Times New Roman" w:hAnsi="Times New Roman"/>
        </w:rPr>
        <w:t>in the courts below the producer admitted that b</w:t>
      </w:r>
      <w:r w:rsidR="0047623A" w:rsidRPr="00D35B04">
        <w:rPr>
          <w:rFonts w:ascii="Times New Roman" w:hAnsi="Times New Roman"/>
        </w:rPr>
        <w:t>efore suppl</w:t>
      </w:r>
      <w:r w:rsidR="00075A8F" w:rsidRPr="00D35B04">
        <w:rPr>
          <w:rFonts w:ascii="Times New Roman" w:hAnsi="Times New Roman"/>
        </w:rPr>
        <w:t>ying</w:t>
      </w:r>
      <w:r w:rsidR="0047623A" w:rsidRPr="00D35B04">
        <w:rPr>
          <w:rFonts w:ascii="Times New Roman" w:hAnsi="Times New Roman"/>
        </w:rPr>
        <w:t xml:space="preserve"> the </w:t>
      </w:r>
      <w:r w:rsidR="0051211C" w:rsidRPr="00D35B04">
        <w:rPr>
          <w:rFonts w:ascii="Times New Roman" w:hAnsi="Times New Roman"/>
        </w:rPr>
        <w:t>contaminated</w:t>
      </w:r>
      <w:r w:rsidR="0047623A" w:rsidRPr="00D35B04">
        <w:rPr>
          <w:rFonts w:ascii="Times New Roman" w:hAnsi="Times New Roman"/>
        </w:rPr>
        <w:t xml:space="preserve"> </w:t>
      </w:r>
      <w:r w:rsidR="008043EE" w:rsidRPr="00D35B04">
        <w:rPr>
          <w:rFonts w:ascii="Times New Roman" w:hAnsi="Times New Roman"/>
        </w:rPr>
        <w:t>seed</w:t>
      </w:r>
      <w:r w:rsidR="0047623A" w:rsidRPr="00D35B04">
        <w:rPr>
          <w:rFonts w:ascii="Times New Roman" w:hAnsi="Times New Roman"/>
        </w:rPr>
        <w:t xml:space="preserve"> to the market, </w:t>
      </w:r>
      <w:r w:rsidR="00311E69" w:rsidRPr="00D35B04">
        <w:rPr>
          <w:rFonts w:ascii="Times New Roman" w:hAnsi="Times New Roman"/>
        </w:rPr>
        <w:t>it</w:t>
      </w:r>
      <w:r w:rsidR="00EF4665" w:rsidRPr="00D35B04">
        <w:rPr>
          <w:rFonts w:ascii="Times New Roman" w:hAnsi="Times New Roman"/>
        </w:rPr>
        <w:t xml:space="preserve"> knew</w:t>
      </w:r>
      <w:r w:rsidR="005963D2" w:rsidRPr="00D35B04">
        <w:rPr>
          <w:rFonts w:ascii="Times New Roman" w:hAnsi="Times New Roman"/>
        </w:rPr>
        <w:t xml:space="preserve"> of </w:t>
      </w:r>
      <w:r w:rsidR="00BC77B9" w:rsidRPr="00D35B04">
        <w:rPr>
          <w:rFonts w:ascii="Times New Roman" w:hAnsi="Times New Roman"/>
        </w:rPr>
        <w:t>facts</w:t>
      </w:r>
      <w:r w:rsidR="005C71DC" w:rsidRPr="00D35B04">
        <w:rPr>
          <w:rFonts w:ascii="Times New Roman" w:hAnsi="Times New Roman"/>
        </w:rPr>
        <w:t xml:space="preserve"> </w:t>
      </w:r>
      <w:r w:rsidR="00F31ED4" w:rsidRPr="00D35B04">
        <w:rPr>
          <w:rFonts w:ascii="Times New Roman" w:hAnsi="Times New Roman"/>
        </w:rPr>
        <w:t>that</w:t>
      </w:r>
      <w:r w:rsidR="00EF4665" w:rsidRPr="00D35B04">
        <w:rPr>
          <w:rFonts w:ascii="Times New Roman" w:hAnsi="Times New Roman"/>
        </w:rPr>
        <w:t xml:space="preserve"> </w:t>
      </w:r>
      <w:r w:rsidR="005C71DC" w:rsidRPr="00D35B04">
        <w:rPr>
          <w:rFonts w:ascii="Times New Roman" w:hAnsi="Times New Roman"/>
        </w:rPr>
        <w:t xml:space="preserve">gave rise </w:t>
      </w:r>
      <w:r w:rsidR="00EF4665" w:rsidRPr="00D35B04">
        <w:rPr>
          <w:rFonts w:ascii="Times New Roman" w:hAnsi="Times New Roman"/>
        </w:rPr>
        <w:t>to risk</w:t>
      </w:r>
      <w:r w:rsidR="006F2BE6" w:rsidRPr="00D35B04">
        <w:rPr>
          <w:rFonts w:ascii="Times New Roman" w:hAnsi="Times New Roman"/>
        </w:rPr>
        <w:t>s</w:t>
      </w:r>
      <w:r w:rsidR="00EF4665" w:rsidRPr="00D35B04">
        <w:rPr>
          <w:rFonts w:ascii="Times New Roman" w:hAnsi="Times New Roman"/>
        </w:rPr>
        <w:t xml:space="preserve"> of </w:t>
      </w:r>
      <w:r w:rsidR="005963D2" w:rsidRPr="00D35B04">
        <w:rPr>
          <w:rFonts w:ascii="Times New Roman" w:hAnsi="Times New Roman"/>
        </w:rPr>
        <w:t xml:space="preserve">economic loss </w:t>
      </w:r>
      <w:r w:rsidR="00EF4665" w:rsidRPr="00D35B04">
        <w:rPr>
          <w:rFonts w:ascii="Times New Roman" w:hAnsi="Times New Roman"/>
        </w:rPr>
        <w:t xml:space="preserve">to growers posed by contaminated </w:t>
      </w:r>
      <w:r w:rsidR="00D225D6" w:rsidRPr="00D35B04">
        <w:rPr>
          <w:rFonts w:ascii="Times New Roman" w:hAnsi="Times New Roman"/>
        </w:rPr>
        <w:t>grain sorghum seed</w:t>
      </w:r>
      <w:r w:rsidR="00612609" w:rsidRPr="00D35B04">
        <w:rPr>
          <w:rFonts w:ascii="Times New Roman" w:hAnsi="Times New Roman"/>
        </w:rPr>
        <w:t>, including</w:t>
      </w:r>
      <w:r w:rsidR="009E6665" w:rsidRPr="00D35B04">
        <w:rPr>
          <w:rFonts w:ascii="Times New Roman" w:hAnsi="Times New Roman"/>
        </w:rPr>
        <w:t xml:space="preserve"> that</w:t>
      </w:r>
      <w:r w:rsidR="00CF7A64" w:rsidRPr="00D35B04">
        <w:rPr>
          <w:rFonts w:ascii="Times New Roman" w:hAnsi="Times New Roman"/>
        </w:rPr>
        <w:t xml:space="preserve">: </w:t>
      </w:r>
      <w:r w:rsidR="00765FBF" w:rsidRPr="00D35B04">
        <w:rPr>
          <w:rFonts w:ascii="Times New Roman" w:hAnsi="Times New Roman"/>
        </w:rPr>
        <w:t xml:space="preserve">(1) </w:t>
      </w:r>
      <w:r w:rsidR="00EF4665" w:rsidRPr="00D35B04">
        <w:rPr>
          <w:rFonts w:ascii="Times New Roman" w:hAnsi="Times New Roman"/>
        </w:rPr>
        <w:t xml:space="preserve">contamination of </w:t>
      </w:r>
      <w:r w:rsidR="00C34ED5" w:rsidRPr="00D35B04">
        <w:rPr>
          <w:rFonts w:ascii="Times New Roman" w:hAnsi="Times New Roman"/>
        </w:rPr>
        <w:t xml:space="preserve">the </w:t>
      </w:r>
      <w:r w:rsidR="00EF4665" w:rsidRPr="00D35B04">
        <w:rPr>
          <w:rFonts w:ascii="Times New Roman" w:hAnsi="Times New Roman"/>
        </w:rPr>
        <w:t xml:space="preserve">seed by an off-type sorghum with shattering characteristics may cause damage to </w:t>
      </w:r>
      <w:r w:rsidR="001A2D7D" w:rsidRPr="00D35B04">
        <w:rPr>
          <w:rFonts w:ascii="Times New Roman" w:hAnsi="Times New Roman"/>
        </w:rPr>
        <w:t xml:space="preserve">the </w:t>
      </w:r>
      <w:r w:rsidR="00EF4665" w:rsidRPr="00D35B04">
        <w:rPr>
          <w:rFonts w:ascii="Times New Roman" w:hAnsi="Times New Roman"/>
        </w:rPr>
        <w:t>growers or to the owners of land upon which the seed was planted</w:t>
      </w:r>
      <w:r w:rsidR="00CE3A31" w:rsidRPr="00D35B04">
        <w:rPr>
          <w:rFonts w:ascii="Times New Roman" w:hAnsi="Times New Roman"/>
        </w:rPr>
        <w:t>;</w:t>
      </w:r>
      <w:r w:rsidR="00B07E9B" w:rsidRPr="00D35B04">
        <w:rPr>
          <w:rFonts w:ascii="Times New Roman" w:hAnsi="Times New Roman"/>
          <w:b/>
          <w:bCs/>
        </w:rPr>
        <w:t xml:space="preserve"> </w:t>
      </w:r>
      <w:r w:rsidR="00B07E9B" w:rsidRPr="00D35B04">
        <w:rPr>
          <w:rFonts w:ascii="Times New Roman" w:hAnsi="Times New Roman"/>
        </w:rPr>
        <w:t>(2)</w:t>
      </w:r>
      <w:r w:rsidR="00B07E9B" w:rsidRPr="00D35B04">
        <w:rPr>
          <w:rFonts w:ascii="Times New Roman" w:hAnsi="Times New Roman"/>
          <w:b/>
          <w:bCs/>
        </w:rPr>
        <w:t xml:space="preserve"> </w:t>
      </w:r>
      <w:r w:rsidR="00EF4665" w:rsidRPr="00D35B04">
        <w:rPr>
          <w:rFonts w:ascii="Times New Roman" w:hAnsi="Times New Roman"/>
        </w:rPr>
        <w:t>the production of grain sorghum seed required processes to: (a) minimise the risk of contamination of the see</w:t>
      </w:r>
      <w:r w:rsidR="000B308D" w:rsidRPr="00D35B04">
        <w:rPr>
          <w:rFonts w:ascii="Times New Roman" w:hAnsi="Times New Roman"/>
        </w:rPr>
        <w:t>d</w:t>
      </w:r>
      <w:r w:rsidR="00EF4665" w:rsidRPr="00D35B04">
        <w:rPr>
          <w:rFonts w:ascii="Times New Roman" w:hAnsi="Times New Roman"/>
        </w:rPr>
        <w:t xml:space="preserve"> by reason of "outcross" occurring</w:t>
      </w:r>
      <w:r w:rsidR="00C279F0" w:rsidRPr="00D35B04">
        <w:rPr>
          <w:rFonts w:ascii="Times New Roman" w:hAnsi="Times New Roman"/>
        </w:rPr>
        <w:t xml:space="preserve">, that is, by the creation of </w:t>
      </w:r>
      <w:r w:rsidR="0006645A" w:rsidRPr="00D35B04">
        <w:rPr>
          <w:rFonts w:ascii="Times New Roman" w:hAnsi="Times New Roman"/>
        </w:rPr>
        <w:t xml:space="preserve">off-type </w:t>
      </w:r>
      <w:r w:rsidR="00C279F0" w:rsidRPr="00D35B04">
        <w:rPr>
          <w:rFonts w:ascii="Times New Roman" w:hAnsi="Times New Roman"/>
        </w:rPr>
        <w:t>seeds</w:t>
      </w:r>
      <w:r w:rsidR="00EF4665" w:rsidRPr="00D35B04">
        <w:rPr>
          <w:rFonts w:ascii="Times New Roman" w:hAnsi="Times New Roman"/>
        </w:rPr>
        <w:t>; (b) identify off-type contamination</w:t>
      </w:r>
      <w:r w:rsidR="009D369F" w:rsidRPr="00D35B04">
        <w:rPr>
          <w:rFonts w:ascii="Times New Roman" w:hAnsi="Times New Roman"/>
        </w:rPr>
        <w:t xml:space="preserve"> by reasonable testing</w:t>
      </w:r>
      <w:r w:rsidR="00EF4665" w:rsidRPr="00D35B04">
        <w:rPr>
          <w:rFonts w:ascii="Times New Roman" w:hAnsi="Times New Roman"/>
        </w:rPr>
        <w:t>; and (c) as far as reasonably practicable, prevent the supply of contaminated seed;</w:t>
      </w:r>
      <w:r w:rsidR="00EF4665" w:rsidRPr="00D35B04">
        <w:rPr>
          <w:rFonts w:ascii="Times New Roman" w:hAnsi="Times New Roman"/>
          <w:b/>
          <w:bCs/>
        </w:rPr>
        <w:t xml:space="preserve"> </w:t>
      </w:r>
      <w:r w:rsidR="00B07E9B" w:rsidRPr="00D35B04">
        <w:rPr>
          <w:rFonts w:ascii="Times New Roman" w:hAnsi="Times New Roman"/>
        </w:rPr>
        <w:t xml:space="preserve">(3) </w:t>
      </w:r>
      <w:r w:rsidR="00EF4665" w:rsidRPr="00D35B04">
        <w:rPr>
          <w:rFonts w:ascii="Times New Roman" w:hAnsi="Times New Roman"/>
        </w:rPr>
        <w:t xml:space="preserve">in 2009 sorghum off-types had been identified in three varieties of commercial grain sorghum </w:t>
      </w:r>
      <w:r w:rsidR="00675367" w:rsidRPr="00D35B04">
        <w:rPr>
          <w:rFonts w:ascii="Times New Roman" w:hAnsi="Times New Roman"/>
        </w:rPr>
        <w:t>that the producer had</w:t>
      </w:r>
      <w:r w:rsidR="00EF4665" w:rsidRPr="00D35B04">
        <w:rPr>
          <w:rFonts w:ascii="Times New Roman" w:hAnsi="Times New Roman"/>
        </w:rPr>
        <w:t xml:space="preserve"> produced and sold</w:t>
      </w:r>
      <w:r w:rsidR="00E2018A" w:rsidRPr="00D35B04">
        <w:rPr>
          <w:rFonts w:ascii="Times New Roman" w:hAnsi="Times New Roman"/>
        </w:rPr>
        <w:t>,</w:t>
      </w:r>
      <w:r w:rsidR="00EF4665" w:rsidRPr="00D35B04">
        <w:rPr>
          <w:rFonts w:ascii="Times New Roman" w:hAnsi="Times New Roman"/>
        </w:rPr>
        <w:t xml:space="preserve"> including MR43; </w:t>
      </w:r>
      <w:r w:rsidR="00B07E9B" w:rsidRPr="00D35B04">
        <w:rPr>
          <w:rFonts w:ascii="Times New Roman" w:hAnsi="Times New Roman"/>
        </w:rPr>
        <w:t xml:space="preserve">(4) </w:t>
      </w:r>
      <w:r w:rsidR="00EF4665" w:rsidRPr="00D35B04">
        <w:rPr>
          <w:rFonts w:ascii="Times New Roman" w:hAnsi="Times New Roman"/>
        </w:rPr>
        <w:t>a sorghum off-type with a shattering characteristic would be more difficult to control or eradicate if such a plan</w:t>
      </w:r>
      <w:r w:rsidR="004C710E" w:rsidRPr="00D35B04">
        <w:rPr>
          <w:rFonts w:ascii="Times New Roman" w:hAnsi="Times New Roman"/>
        </w:rPr>
        <w:t>t</w:t>
      </w:r>
      <w:r w:rsidR="00EF4665" w:rsidRPr="00D35B04">
        <w:rPr>
          <w:rFonts w:ascii="Times New Roman" w:hAnsi="Times New Roman"/>
        </w:rPr>
        <w:t xml:space="preserve"> germinated, matured and dropped seed</w:t>
      </w:r>
      <w:r w:rsidR="00B07E9B" w:rsidRPr="00D35B04">
        <w:rPr>
          <w:rFonts w:ascii="Times New Roman" w:hAnsi="Times New Roman"/>
        </w:rPr>
        <w:t xml:space="preserve">; and (5) </w:t>
      </w:r>
      <w:r w:rsidR="00EF4665" w:rsidRPr="00D35B04">
        <w:rPr>
          <w:rFonts w:ascii="Times New Roman" w:hAnsi="Times New Roman"/>
        </w:rPr>
        <w:t xml:space="preserve">a grower was likely to have greater difficulty in controlling a sorghum off-type with a shattering characteristic in a sorghum crop. </w:t>
      </w:r>
    </w:p>
    <w:p w14:paraId="3CBBFD25" w14:textId="1C32C328" w:rsidR="00EF4665" w:rsidRPr="00D35B04" w:rsidRDefault="00EF4665"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 producer also admitted that it knew or ought to have known that, if it did not </w:t>
      </w:r>
      <w:r w:rsidR="005976D7" w:rsidRPr="00D35B04">
        <w:rPr>
          <w:rFonts w:ascii="Times New Roman" w:hAnsi="Times New Roman"/>
        </w:rPr>
        <w:t>take reasonable care in its production process</w:t>
      </w:r>
      <w:r w:rsidR="001A0168" w:rsidRPr="00D35B04">
        <w:rPr>
          <w:rFonts w:ascii="Times New Roman" w:hAnsi="Times New Roman"/>
        </w:rPr>
        <w:t xml:space="preserve"> including by </w:t>
      </w:r>
      <w:proofErr w:type="spellStart"/>
      <w:r w:rsidRPr="00D35B04">
        <w:rPr>
          <w:rFonts w:ascii="Times New Roman" w:hAnsi="Times New Roman"/>
        </w:rPr>
        <w:t>roguing</w:t>
      </w:r>
      <w:proofErr w:type="spellEnd"/>
      <w:r w:rsidRPr="00D35B04">
        <w:rPr>
          <w:rFonts w:ascii="Times New Roman" w:hAnsi="Times New Roman"/>
        </w:rPr>
        <w:t xml:space="preserve"> </w:t>
      </w:r>
      <w:r w:rsidR="001A0168" w:rsidRPr="00D35B04">
        <w:rPr>
          <w:rFonts w:ascii="Times New Roman" w:hAnsi="Times New Roman"/>
        </w:rPr>
        <w:t xml:space="preserve">during </w:t>
      </w:r>
      <w:r w:rsidR="00135589" w:rsidRPr="00D35B04">
        <w:rPr>
          <w:rFonts w:ascii="Times New Roman" w:hAnsi="Times New Roman"/>
        </w:rPr>
        <w:t>that</w:t>
      </w:r>
      <w:r w:rsidRPr="00D35B04">
        <w:rPr>
          <w:rFonts w:ascii="Times New Roman" w:hAnsi="Times New Roman"/>
        </w:rPr>
        <w:t xml:space="preserve"> process, th</w:t>
      </w:r>
      <w:r w:rsidR="004C710E" w:rsidRPr="00D35B04">
        <w:rPr>
          <w:rFonts w:ascii="Times New Roman" w:hAnsi="Times New Roman"/>
        </w:rPr>
        <w:t>is would give rise to</w:t>
      </w:r>
      <w:r w:rsidRPr="00D35B04">
        <w:rPr>
          <w:rFonts w:ascii="Times New Roman" w:hAnsi="Times New Roman"/>
        </w:rPr>
        <w:t xml:space="preserve"> a risk of harm to growers who purchased and planted the </w:t>
      </w:r>
      <w:r w:rsidR="007A421B" w:rsidRPr="00D35B04">
        <w:rPr>
          <w:rFonts w:ascii="Times New Roman" w:hAnsi="Times New Roman"/>
        </w:rPr>
        <w:t xml:space="preserve">producer's grain sorghum seed </w:t>
      </w:r>
      <w:r w:rsidR="004C710E" w:rsidRPr="00D35B04">
        <w:rPr>
          <w:rFonts w:ascii="Times New Roman" w:hAnsi="Times New Roman"/>
        </w:rPr>
        <w:t xml:space="preserve">because that seed </w:t>
      </w:r>
      <w:r w:rsidRPr="00D35B04">
        <w:rPr>
          <w:rFonts w:ascii="Times New Roman" w:hAnsi="Times New Roman"/>
        </w:rPr>
        <w:t xml:space="preserve">might </w:t>
      </w:r>
      <w:r w:rsidR="007A421B" w:rsidRPr="00D35B04">
        <w:rPr>
          <w:rFonts w:ascii="Times New Roman" w:hAnsi="Times New Roman"/>
        </w:rPr>
        <w:t>be contaminated with</w:t>
      </w:r>
      <w:r w:rsidRPr="00D35B04">
        <w:rPr>
          <w:rFonts w:ascii="Times New Roman" w:hAnsi="Times New Roman"/>
        </w:rPr>
        <w:t xml:space="preserve"> </w:t>
      </w:r>
      <w:proofErr w:type="spellStart"/>
      <w:r w:rsidRPr="00D35B04">
        <w:rPr>
          <w:rFonts w:ascii="Times New Roman" w:hAnsi="Times New Roman"/>
        </w:rPr>
        <w:t>shattercane</w:t>
      </w:r>
      <w:proofErr w:type="spellEnd"/>
      <w:r w:rsidRPr="00D35B04">
        <w:rPr>
          <w:rFonts w:ascii="Times New Roman" w:hAnsi="Times New Roman"/>
        </w:rPr>
        <w:t xml:space="preserve"> </w:t>
      </w:r>
      <w:r w:rsidR="00397224" w:rsidRPr="00D35B04">
        <w:rPr>
          <w:rFonts w:ascii="Times New Roman" w:hAnsi="Times New Roman"/>
        </w:rPr>
        <w:t>seed</w:t>
      </w:r>
      <w:r w:rsidR="00E124B5" w:rsidRPr="00D35B04">
        <w:rPr>
          <w:rFonts w:ascii="Times New Roman" w:hAnsi="Times New Roman"/>
        </w:rPr>
        <w:t>.</w:t>
      </w:r>
      <w:r w:rsidRPr="00D35B04">
        <w:rPr>
          <w:rFonts w:ascii="Times New Roman" w:hAnsi="Times New Roman"/>
        </w:rPr>
        <w:t xml:space="preserve"> The producer </w:t>
      </w:r>
      <w:r w:rsidR="005A3488" w:rsidRPr="00D35B04">
        <w:rPr>
          <w:rFonts w:ascii="Times New Roman" w:hAnsi="Times New Roman"/>
        </w:rPr>
        <w:t xml:space="preserve">further </w:t>
      </w:r>
      <w:r w:rsidRPr="00D35B04">
        <w:rPr>
          <w:rFonts w:ascii="Times New Roman" w:hAnsi="Times New Roman"/>
        </w:rPr>
        <w:t>admitted</w:t>
      </w:r>
      <w:r w:rsidR="00C54B52" w:rsidRPr="00D35B04">
        <w:rPr>
          <w:rFonts w:ascii="Times New Roman" w:hAnsi="Times New Roman"/>
        </w:rPr>
        <w:t xml:space="preserve"> that</w:t>
      </w:r>
      <w:r w:rsidRPr="00D35B04">
        <w:rPr>
          <w:rFonts w:ascii="Times New Roman" w:hAnsi="Times New Roman"/>
        </w:rPr>
        <w:t xml:space="preserve"> it was reasonably foreseeable that the eradication of </w:t>
      </w:r>
      <w:proofErr w:type="spellStart"/>
      <w:r w:rsidRPr="00D35B04">
        <w:rPr>
          <w:rFonts w:ascii="Times New Roman" w:hAnsi="Times New Roman"/>
        </w:rPr>
        <w:t>shattercane</w:t>
      </w:r>
      <w:proofErr w:type="spellEnd"/>
      <w:r w:rsidRPr="00D35B04">
        <w:rPr>
          <w:rFonts w:ascii="Times New Roman" w:hAnsi="Times New Roman"/>
        </w:rPr>
        <w:t xml:space="preserve"> would mean that the land on which it was located could not be used to its full commercial potential during the eradication period.</w:t>
      </w:r>
    </w:p>
    <w:p w14:paraId="689B38D4" w14:textId="0336F558" w:rsidR="00784BA3" w:rsidRPr="00D35B04" w:rsidRDefault="00784BA3" w:rsidP="00D35B04">
      <w:pPr>
        <w:pStyle w:val="FixListStyle"/>
        <w:spacing w:after="260" w:line="280" w:lineRule="exact"/>
        <w:ind w:right="0"/>
        <w:jc w:val="both"/>
        <w:rPr>
          <w:rFonts w:ascii="Times New Roman" w:hAnsi="Times New Roman"/>
        </w:rPr>
      </w:pPr>
      <w:r w:rsidRPr="00D35B04">
        <w:rPr>
          <w:rFonts w:ascii="Times New Roman" w:hAnsi="Times New Roman"/>
          <w:b/>
          <w:bCs/>
        </w:rPr>
        <w:tab/>
      </w:r>
      <w:r w:rsidR="004C710E" w:rsidRPr="00D35B04">
        <w:rPr>
          <w:rFonts w:ascii="Times New Roman" w:hAnsi="Times New Roman"/>
        </w:rPr>
        <w:t>Ultimately</w:t>
      </w:r>
      <w:r w:rsidR="00A86B69" w:rsidRPr="00D35B04">
        <w:rPr>
          <w:rFonts w:ascii="Times New Roman" w:hAnsi="Times New Roman"/>
        </w:rPr>
        <w:t xml:space="preserve">, </w:t>
      </w:r>
      <w:r w:rsidR="000E41FC" w:rsidRPr="00D35B04">
        <w:rPr>
          <w:rFonts w:ascii="Times New Roman" w:hAnsi="Times New Roman"/>
        </w:rPr>
        <w:t>it was accepted</w:t>
      </w:r>
      <w:r w:rsidR="004C710E" w:rsidRPr="00D35B04">
        <w:rPr>
          <w:rFonts w:ascii="Times New Roman" w:hAnsi="Times New Roman"/>
        </w:rPr>
        <w:t xml:space="preserve"> by the producer</w:t>
      </w:r>
      <w:r w:rsidR="00A86B69" w:rsidRPr="00D35B04">
        <w:rPr>
          <w:rFonts w:ascii="Times New Roman" w:hAnsi="Times New Roman"/>
        </w:rPr>
        <w:t xml:space="preserve"> that the growers' loss</w:t>
      </w:r>
      <w:r w:rsidR="00135589" w:rsidRPr="00D35B04">
        <w:rPr>
          <w:rFonts w:ascii="Times New Roman" w:hAnsi="Times New Roman"/>
        </w:rPr>
        <w:t>es were</w:t>
      </w:r>
      <w:r w:rsidR="00A86B69" w:rsidRPr="00D35B04">
        <w:rPr>
          <w:rFonts w:ascii="Times New Roman" w:hAnsi="Times New Roman"/>
        </w:rPr>
        <w:t xml:space="preserve"> reasonably foreseeable</w:t>
      </w:r>
      <w:r w:rsidR="000E41FC" w:rsidRPr="00D35B04">
        <w:rPr>
          <w:rFonts w:ascii="Times New Roman" w:hAnsi="Times New Roman"/>
        </w:rPr>
        <w:t xml:space="preserve"> in the absence of due care by the producer in the production of the seed</w:t>
      </w:r>
      <w:r w:rsidR="00AF3AAE" w:rsidRPr="00D35B04">
        <w:rPr>
          <w:rFonts w:ascii="Times New Roman" w:hAnsi="Times New Roman"/>
        </w:rPr>
        <w:t xml:space="preserve">. </w:t>
      </w:r>
    </w:p>
    <w:p w14:paraId="63F81A8C" w14:textId="52BD4E7D" w:rsidR="005A600B" w:rsidRPr="00D35B04" w:rsidRDefault="004C710E" w:rsidP="00D35B04">
      <w:pPr>
        <w:pStyle w:val="HeadingL2"/>
        <w:spacing w:after="260" w:line="280" w:lineRule="exact"/>
        <w:ind w:right="0"/>
        <w:jc w:val="both"/>
        <w:rPr>
          <w:rFonts w:ascii="Times New Roman" w:hAnsi="Times New Roman"/>
        </w:rPr>
      </w:pPr>
      <w:r w:rsidRPr="00D35B04">
        <w:rPr>
          <w:rFonts w:ascii="Times New Roman" w:hAnsi="Times New Roman"/>
        </w:rPr>
        <w:lastRenderedPageBreak/>
        <w:t>The p</w:t>
      </w:r>
      <w:r w:rsidR="005A600B" w:rsidRPr="00D35B04">
        <w:rPr>
          <w:rFonts w:ascii="Times New Roman" w:hAnsi="Times New Roman"/>
        </w:rPr>
        <w:t xml:space="preserve">roducer's </w:t>
      </w:r>
      <w:r w:rsidR="00D5641F" w:rsidRPr="00D35B04">
        <w:rPr>
          <w:rFonts w:ascii="Times New Roman" w:hAnsi="Times New Roman"/>
        </w:rPr>
        <w:t xml:space="preserve">usual </w:t>
      </w:r>
      <w:r w:rsidR="005A600B" w:rsidRPr="00D35B04">
        <w:rPr>
          <w:rFonts w:ascii="Times New Roman" w:hAnsi="Times New Roman"/>
        </w:rPr>
        <w:t>production processes</w:t>
      </w:r>
    </w:p>
    <w:p w14:paraId="6C5214D2" w14:textId="23E9D3EF" w:rsidR="00A3598D" w:rsidRPr="00D35B04" w:rsidRDefault="005A600B"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7147E8" w:rsidRPr="00D35B04">
        <w:rPr>
          <w:rFonts w:ascii="Times New Roman" w:hAnsi="Times New Roman"/>
        </w:rPr>
        <w:t xml:space="preserve">The production of commercial hybrid </w:t>
      </w:r>
      <w:r w:rsidR="00135589" w:rsidRPr="00D35B04">
        <w:rPr>
          <w:rFonts w:ascii="Times New Roman" w:hAnsi="Times New Roman"/>
        </w:rPr>
        <w:t xml:space="preserve">grain </w:t>
      </w:r>
      <w:r w:rsidR="007147E8" w:rsidRPr="00D35B04">
        <w:rPr>
          <w:rFonts w:ascii="Times New Roman" w:hAnsi="Times New Roman"/>
        </w:rPr>
        <w:t xml:space="preserve">sorghum seed of the kind in issue </w:t>
      </w:r>
      <w:r w:rsidR="00101BD0" w:rsidRPr="00D35B04">
        <w:rPr>
          <w:rFonts w:ascii="Times New Roman" w:hAnsi="Times New Roman"/>
        </w:rPr>
        <w:t>involved</w:t>
      </w:r>
      <w:r w:rsidR="007147E8" w:rsidRPr="00D35B04">
        <w:rPr>
          <w:rFonts w:ascii="Times New Roman" w:hAnsi="Times New Roman"/>
        </w:rPr>
        <w:t xml:space="preserve"> a </w:t>
      </w:r>
      <w:r w:rsidR="00D847F2" w:rsidRPr="00D35B04">
        <w:rPr>
          <w:rFonts w:ascii="Times New Roman" w:hAnsi="Times New Roman"/>
        </w:rPr>
        <w:t>four-year</w:t>
      </w:r>
      <w:r w:rsidR="007147E8" w:rsidRPr="00D35B04">
        <w:rPr>
          <w:rFonts w:ascii="Times New Roman" w:hAnsi="Times New Roman"/>
        </w:rPr>
        <w:t xml:space="preserve"> process. </w:t>
      </w:r>
      <w:r w:rsidR="009E15A3" w:rsidRPr="00D35B04">
        <w:rPr>
          <w:rFonts w:ascii="Times New Roman" w:hAnsi="Times New Roman"/>
        </w:rPr>
        <w:t xml:space="preserve">The desired characteristics could not be maintained simply </w:t>
      </w:r>
      <w:r w:rsidR="001B22C5" w:rsidRPr="00D35B04">
        <w:rPr>
          <w:rFonts w:ascii="Times New Roman" w:hAnsi="Times New Roman"/>
        </w:rPr>
        <w:t xml:space="preserve">by </w:t>
      </w:r>
      <w:r w:rsidR="005B72C6" w:rsidRPr="00D35B04">
        <w:rPr>
          <w:rFonts w:ascii="Times New Roman" w:hAnsi="Times New Roman"/>
        </w:rPr>
        <w:t xml:space="preserve">planting a percentage of the commercial hybrid </w:t>
      </w:r>
      <w:r w:rsidR="00DB6747" w:rsidRPr="00D35B04">
        <w:rPr>
          <w:rFonts w:ascii="Times New Roman" w:hAnsi="Times New Roman"/>
        </w:rPr>
        <w:t>seed, as there would be a reversion to other genetic characteristics and a loss of type.</w:t>
      </w:r>
      <w:r w:rsidR="00DB6747" w:rsidRPr="00D35B04">
        <w:rPr>
          <w:rFonts w:ascii="Times New Roman" w:hAnsi="Times New Roman"/>
          <w:b/>
          <w:bCs/>
        </w:rPr>
        <w:t xml:space="preserve"> </w:t>
      </w:r>
      <w:r w:rsidR="00DF14F6" w:rsidRPr="00D35B04">
        <w:rPr>
          <w:rFonts w:ascii="Times New Roman" w:hAnsi="Times New Roman"/>
        </w:rPr>
        <w:t>Accordingly, t</w:t>
      </w:r>
      <w:r w:rsidR="00DD6533" w:rsidRPr="00D35B04">
        <w:rPr>
          <w:rFonts w:ascii="Times New Roman" w:hAnsi="Times New Roman"/>
        </w:rPr>
        <w:t>he producer's production processes included controls to minimise the occurrence of contamination of the kind that eventuated</w:t>
      </w:r>
      <w:r w:rsidR="00C02D73" w:rsidRPr="00D35B04">
        <w:rPr>
          <w:rFonts w:ascii="Times New Roman" w:hAnsi="Times New Roman"/>
        </w:rPr>
        <w:t>.</w:t>
      </w:r>
      <w:r w:rsidR="00DD6533" w:rsidRPr="00D35B04">
        <w:rPr>
          <w:rFonts w:ascii="Times New Roman" w:hAnsi="Times New Roman"/>
          <w:b/>
          <w:bCs/>
        </w:rPr>
        <w:t xml:space="preserve"> </w:t>
      </w:r>
    </w:p>
    <w:p w14:paraId="4B70AAE5" w14:textId="606AA29E" w:rsidR="00EF4665" w:rsidRPr="00D35B04" w:rsidRDefault="008000CA"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0F3F5F" w:rsidRPr="00D35B04">
        <w:rPr>
          <w:rFonts w:ascii="Times New Roman" w:hAnsi="Times New Roman"/>
        </w:rPr>
        <w:t>In particular,</w:t>
      </w:r>
      <w:r w:rsidR="000F3F5F" w:rsidRPr="00D35B04">
        <w:rPr>
          <w:rFonts w:ascii="Times New Roman" w:hAnsi="Times New Roman"/>
          <w:b/>
          <w:bCs/>
        </w:rPr>
        <w:t xml:space="preserve"> </w:t>
      </w:r>
      <w:r w:rsidR="000F3F5F" w:rsidRPr="00D35B04">
        <w:rPr>
          <w:rFonts w:ascii="Times New Roman" w:hAnsi="Times New Roman"/>
        </w:rPr>
        <w:t>t</w:t>
      </w:r>
      <w:r w:rsidR="00496CA5" w:rsidRPr="00D35B04">
        <w:rPr>
          <w:rFonts w:ascii="Times New Roman" w:hAnsi="Times New Roman"/>
        </w:rPr>
        <w:t xml:space="preserve">he </w:t>
      </w:r>
      <w:r w:rsidR="001A15A0" w:rsidRPr="00D35B04">
        <w:rPr>
          <w:rFonts w:ascii="Times New Roman" w:hAnsi="Times New Roman"/>
        </w:rPr>
        <w:t xml:space="preserve">MR43 </w:t>
      </w:r>
      <w:r w:rsidR="0085744C" w:rsidRPr="00D35B04">
        <w:rPr>
          <w:rFonts w:ascii="Times New Roman" w:hAnsi="Times New Roman"/>
        </w:rPr>
        <w:t>product was</w:t>
      </w:r>
      <w:r w:rsidR="00496CA5" w:rsidRPr="00D35B04">
        <w:rPr>
          <w:rFonts w:ascii="Times New Roman" w:hAnsi="Times New Roman"/>
        </w:rPr>
        <w:t xml:space="preserve"> grown by commercial seed producers in areas considered to be free of wild sorghums and sub-weeds. </w:t>
      </w:r>
      <w:r w:rsidR="00CA7A13" w:rsidRPr="00D35B04">
        <w:rPr>
          <w:rFonts w:ascii="Times New Roman" w:hAnsi="Times New Roman"/>
        </w:rPr>
        <w:t xml:space="preserve">Growing plants were inspected repeatedly to check for the presence of undesirable plants. </w:t>
      </w:r>
      <w:r w:rsidR="00894CD1" w:rsidRPr="00D35B04">
        <w:rPr>
          <w:rFonts w:ascii="Times New Roman" w:hAnsi="Times New Roman"/>
        </w:rPr>
        <w:t>Undesirable plants found inside the production area w</w:t>
      </w:r>
      <w:r w:rsidR="00E801D6" w:rsidRPr="00D35B04">
        <w:rPr>
          <w:rFonts w:ascii="Times New Roman" w:hAnsi="Times New Roman"/>
        </w:rPr>
        <w:t>ere</w:t>
      </w:r>
      <w:r w:rsidR="00894CD1" w:rsidRPr="00D35B04">
        <w:rPr>
          <w:rFonts w:ascii="Times New Roman" w:hAnsi="Times New Roman"/>
        </w:rPr>
        <w:t xml:space="preserve"> rogued. Undesirable plants found </w:t>
      </w:r>
      <w:r w:rsidR="001B3920" w:rsidRPr="00D35B04">
        <w:rPr>
          <w:rFonts w:ascii="Times New Roman" w:hAnsi="Times New Roman"/>
        </w:rPr>
        <w:t xml:space="preserve">outside the production area but </w:t>
      </w:r>
      <w:r w:rsidR="00894CD1" w:rsidRPr="00D35B04">
        <w:rPr>
          <w:rFonts w:ascii="Times New Roman" w:hAnsi="Times New Roman"/>
        </w:rPr>
        <w:t>inside "isolation zones"</w:t>
      </w:r>
      <w:r w:rsidR="00F972E1" w:rsidRPr="00D35B04">
        <w:rPr>
          <w:rFonts w:ascii="Times New Roman" w:hAnsi="Times New Roman"/>
        </w:rPr>
        <w:t xml:space="preserve"> (</w:t>
      </w:r>
      <w:r w:rsidR="00D52A69" w:rsidRPr="00D35B04">
        <w:rPr>
          <w:rFonts w:ascii="Times New Roman" w:hAnsi="Times New Roman"/>
        </w:rPr>
        <w:t>areas that the commercial seed producer</w:t>
      </w:r>
      <w:r w:rsidR="00194AE8" w:rsidRPr="00D35B04">
        <w:rPr>
          <w:rFonts w:ascii="Times New Roman" w:hAnsi="Times New Roman"/>
        </w:rPr>
        <w:t xml:space="preserve">s were contractually required to </w:t>
      </w:r>
      <w:r w:rsidR="0000199F" w:rsidRPr="00D35B04">
        <w:rPr>
          <w:rFonts w:ascii="Times New Roman" w:hAnsi="Times New Roman"/>
        </w:rPr>
        <w:t>keep free from contaminating seed</w:t>
      </w:r>
      <w:r w:rsidR="00F972E1" w:rsidRPr="00D35B04">
        <w:rPr>
          <w:rFonts w:ascii="Times New Roman" w:hAnsi="Times New Roman"/>
        </w:rPr>
        <w:t>)</w:t>
      </w:r>
      <w:r w:rsidR="00894CD1" w:rsidRPr="00D35B04">
        <w:rPr>
          <w:rFonts w:ascii="Times New Roman" w:hAnsi="Times New Roman"/>
        </w:rPr>
        <w:t xml:space="preserve"> were also rogued.</w:t>
      </w:r>
      <w:r w:rsidR="00075E01" w:rsidRPr="00D35B04">
        <w:rPr>
          <w:rFonts w:ascii="Times New Roman" w:hAnsi="Times New Roman"/>
        </w:rPr>
        <w:t xml:space="preserve"> Furthermore, p</w:t>
      </w:r>
      <w:r w:rsidR="00681799" w:rsidRPr="00D35B04">
        <w:rPr>
          <w:rFonts w:ascii="Times New Roman" w:hAnsi="Times New Roman"/>
        </w:rPr>
        <w:t>rior</w:t>
      </w:r>
      <w:r w:rsidR="004C710E" w:rsidRPr="00D35B04">
        <w:rPr>
          <w:rFonts w:ascii="Times New Roman" w:hAnsi="Times New Roman"/>
        </w:rPr>
        <w:t xml:space="preserve"> </w:t>
      </w:r>
      <w:r w:rsidR="00681799" w:rsidRPr="00D35B04">
        <w:rPr>
          <w:rFonts w:ascii="Times New Roman" w:hAnsi="Times New Roman"/>
        </w:rPr>
        <w:t xml:space="preserve">and </w:t>
      </w:r>
      <w:proofErr w:type="gramStart"/>
      <w:r w:rsidR="00681799" w:rsidRPr="00D35B04">
        <w:rPr>
          <w:rFonts w:ascii="Times New Roman" w:hAnsi="Times New Roman"/>
        </w:rPr>
        <w:t>subsequent to</w:t>
      </w:r>
      <w:proofErr w:type="gramEnd"/>
      <w:r w:rsidR="00681799" w:rsidRPr="00D35B04">
        <w:rPr>
          <w:rFonts w:ascii="Times New Roman" w:hAnsi="Times New Roman"/>
        </w:rPr>
        <w:t xml:space="preserve"> the </w:t>
      </w:r>
      <w:r w:rsidR="00275C2C" w:rsidRPr="00D35B04">
        <w:rPr>
          <w:rFonts w:ascii="Times New Roman" w:hAnsi="Times New Roman"/>
        </w:rPr>
        <w:t>period in which the contaminated seed was produced, t</w:t>
      </w:r>
      <w:r w:rsidR="00100FBF" w:rsidRPr="00D35B04">
        <w:rPr>
          <w:rFonts w:ascii="Times New Roman" w:hAnsi="Times New Roman"/>
        </w:rPr>
        <w:t>he</w:t>
      </w:r>
      <w:r w:rsidR="00787E64" w:rsidRPr="00D35B04">
        <w:rPr>
          <w:rFonts w:ascii="Times New Roman" w:hAnsi="Times New Roman"/>
        </w:rPr>
        <w:t xml:space="preserve"> producer</w:t>
      </w:r>
      <w:r w:rsidR="00275C2C" w:rsidRPr="00D35B04">
        <w:rPr>
          <w:rFonts w:ascii="Times New Roman" w:hAnsi="Times New Roman"/>
        </w:rPr>
        <w:t>'s processes included</w:t>
      </w:r>
      <w:r w:rsidR="00787E64" w:rsidRPr="00D35B04">
        <w:rPr>
          <w:rFonts w:ascii="Times New Roman" w:hAnsi="Times New Roman"/>
        </w:rPr>
        <w:t xml:space="preserve"> </w:t>
      </w:r>
      <w:r w:rsidR="00270409" w:rsidRPr="00D35B04">
        <w:rPr>
          <w:rFonts w:ascii="Times New Roman" w:hAnsi="Times New Roman"/>
        </w:rPr>
        <w:t>"grow-outs"</w:t>
      </w:r>
      <w:r w:rsidR="00075E01" w:rsidRPr="00D35B04">
        <w:rPr>
          <w:rFonts w:ascii="Times New Roman" w:hAnsi="Times New Roman"/>
        </w:rPr>
        <w:t xml:space="preserve"> (</w:t>
      </w:r>
      <w:r w:rsidR="00787E64" w:rsidRPr="00D35B04">
        <w:rPr>
          <w:rFonts w:ascii="Times New Roman" w:hAnsi="Times New Roman"/>
        </w:rPr>
        <w:t xml:space="preserve">that is, growing a sample of seed from a production batch to assess </w:t>
      </w:r>
      <w:r w:rsidR="00443901" w:rsidRPr="00D35B04">
        <w:rPr>
          <w:rFonts w:ascii="Times New Roman" w:hAnsi="Times New Roman"/>
        </w:rPr>
        <w:t>its qualities</w:t>
      </w:r>
      <w:r w:rsidR="00014D8D" w:rsidRPr="00D35B04">
        <w:rPr>
          <w:rFonts w:ascii="Times New Roman" w:hAnsi="Times New Roman"/>
        </w:rPr>
        <w:t>,</w:t>
      </w:r>
      <w:r w:rsidR="00443901" w:rsidRPr="00D35B04">
        <w:rPr>
          <w:rFonts w:ascii="Times New Roman" w:hAnsi="Times New Roman"/>
        </w:rPr>
        <w:t xml:space="preserve"> including </w:t>
      </w:r>
      <w:r w:rsidR="00787E64" w:rsidRPr="00D35B04">
        <w:rPr>
          <w:rFonts w:ascii="Times New Roman" w:hAnsi="Times New Roman"/>
        </w:rPr>
        <w:t>whether</w:t>
      </w:r>
      <w:r w:rsidR="004A1DB8" w:rsidRPr="00D35B04">
        <w:rPr>
          <w:rFonts w:ascii="Times New Roman" w:hAnsi="Times New Roman"/>
        </w:rPr>
        <w:t xml:space="preserve"> the batch </w:t>
      </w:r>
      <w:r w:rsidR="00FE3E3C" w:rsidRPr="00D35B04">
        <w:rPr>
          <w:rFonts w:ascii="Times New Roman" w:hAnsi="Times New Roman"/>
        </w:rPr>
        <w:t>wa</w:t>
      </w:r>
      <w:r w:rsidR="004A1DB8" w:rsidRPr="00D35B04">
        <w:rPr>
          <w:rFonts w:ascii="Times New Roman" w:hAnsi="Times New Roman"/>
        </w:rPr>
        <w:t xml:space="preserve">s contaminated with </w:t>
      </w:r>
      <w:r w:rsidR="004C710E" w:rsidRPr="00D35B04">
        <w:rPr>
          <w:rFonts w:ascii="Times New Roman" w:hAnsi="Times New Roman"/>
        </w:rPr>
        <w:t xml:space="preserve">an </w:t>
      </w:r>
      <w:r w:rsidR="004A1DB8" w:rsidRPr="00D35B04">
        <w:rPr>
          <w:rFonts w:ascii="Times New Roman" w:hAnsi="Times New Roman"/>
        </w:rPr>
        <w:t>off-type or weed seed</w:t>
      </w:r>
      <w:r w:rsidR="00075E01" w:rsidRPr="00D35B04">
        <w:rPr>
          <w:rFonts w:ascii="Times New Roman" w:hAnsi="Times New Roman"/>
        </w:rPr>
        <w:t>)</w:t>
      </w:r>
      <w:r w:rsidR="0004116D" w:rsidRPr="00D35B04">
        <w:rPr>
          <w:rFonts w:ascii="Times New Roman" w:hAnsi="Times New Roman"/>
        </w:rPr>
        <w:t xml:space="preserve">. </w:t>
      </w:r>
      <w:r w:rsidR="0076065A" w:rsidRPr="00D35B04">
        <w:rPr>
          <w:rFonts w:ascii="Times New Roman" w:hAnsi="Times New Roman"/>
        </w:rPr>
        <w:t>Even so, it was</w:t>
      </w:r>
      <w:r w:rsidR="00EE7BF9" w:rsidRPr="00D35B04">
        <w:rPr>
          <w:rFonts w:ascii="Times New Roman" w:hAnsi="Times New Roman"/>
        </w:rPr>
        <w:t xml:space="preserve"> well known throughout the industry that it is impossible to guarantee that off-types will not exist within commercially produced grain sorghum seed; thus, </w:t>
      </w:r>
      <w:proofErr w:type="gramStart"/>
      <w:r w:rsidR="00EE7BF9" w:rsidRPr="00D35B04">
        <w:rPr>
          <w:rFonts w:ascii="Times New Roman" w:hAnsi="Times New Roman"/>
        </w:rPr>
        <w:t>it would appear that no</w:t>
      </w:r>
      <w:proofErr w:type="gramEnd"/>
      <w:r w:rsidR="00EE7BF9" w:rsidRPr="00D35B04">
        <w:rPr>
          <w:rFonts w:ascii="Times New Roman" w:hAnsi="Times New Roman"/>
        </w:rPr>
        <w:t xml:space="preserve"> amount of strict adherence to protocols will guarantee the absence of off-types, including shattering off-types, within any grain sorghum crop</w:t>
      </w:r>
      <w:r w:rsidR="008C6E23" w:rsidRPr="00D35B04">
        <w:rPr>
          <w:rFonts w:ascii="Times New Roman" w:hAnsi="Times New Roman"/>
        </w:rPr>
        <w:t>.</w:t>
      </w:r>
    </w:p>
    <w:p w14:paraId="6FBAD445" w14:textId="300B3AA3" w:rsidR="002F1DD0" w:rsidRPr="00D35B04" w:rsidRDefault="002F1DD0" w:rsidP="00D35B04">
      <w:pPr>
        <w:pStyle w:val="HeadingL2"/>
        <w:spacing w:after="260" w:line="280" w:lineRule="exact"/>
        <w:ind w:right="0"/>
        <w:jc w:val="both"/>
        <w:rPr>
          <w:rFonts w:ascii="Times New Roman" w:hAnsi="Times New Roman"/>
        </w:rPr>
      </w:pPr>
      <w:r w:rsidRPr="00D35B04">
        <w:rPr>
          <w:rFonts w:ascii="Times New Roman" w:hAnsi="Times New Roman"/>
        </w:rPr>
        <w:t xml:space="preserve">The producer's failure to follow its usual production </w:t>
      </w:r>
      <w:proofErr w:type="gramStart"/>
      <w:r w:rsidRPr="00D35B04">
        <w:rPr>
          <w:rFonts w:ascii="Times New Roman" w:hAnsi="Times New Roman"/>
        </w:rPr>
        <w:t>processes</w:t>
      </w:r>
      <w:proofErr w:type="gramEnd"/>
      <w:r w:rsidR="005E10F6" w:rsidRPr="00D35B04">
        <w:rPr>
          <w:rFonts w:ascii="Times New Roman" w:hAnsi="Times New Roman"/>
        </w:rPr>
        <w:t xml:space="preserve"> </w:t>
      </w:r>
    </w:p>
    <w:p w14:paraId="6D6E42D7" w14:textId="5C83B81E" w:rsidR="002F1DD0" w:rsidRPr="00D35B04" w:rsidRDefault="002F1DD0"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 primary judge found, and it is no longer in dispute between the parties, that the </w:t>
      </w:r>
      <w:proofErr w:type="spellStart"/>
      <w:r w:rsidRPr="00D35B04">
        <w:rPr>
          <w:rFonts w:ascii="Times New Roman" w:hAnsi="Times New Roman"/>
        </w:rPr>
        <w:t>shattercane</w:t>
      </w:r>
      <w:proofErr w:type="spellEnd"/>
      <w:r w:rsidRPr="00D35B04">
        <w:rPr>
          <w:rFonts w:ascii="Times New Roman" w:hAnsi="Times New Roman"/>
        </w:rPr>
        <w:t xml:space="preserve"> contamination originated in a single production block. It was found that the contamination arose because there was a failure by the producer to exercise a reasonable standard of care in </w:t>
      </w:r>
      <w:proofErr w:type="spellStart"/>
      <w:r w:rsidRPr="00D35B04">
        <w:rPr>
          <w:rFonts w:ascii="Times New Roman" w:hAnsi="Times New Roman"/>
        </w:rPr>
        <w:t>roguing</w:t>
      </w:r>
      <w:proofErr w:type="spellEnd"/>
      <w:r w:rsidRPr="00D35B04">
        <w:rPr>
          <w:rFonts w:ascii="Times New Roman" w:hAnsi="Times New Roman"/>
        </w:rPr>
        <w:t xml:space="preserve"> the early</w:t>
      </w:r>
      <w:r w:rsidR="002C12F4" w:rsidRPr="00D35B04">
        <w:rPr>
          <w:rFonts w:ascii="Times New Roman" w:hAnsi="Times New Roman"/>
        </w:rPr>
        <w:t>-</w:t>
      </w:r>
      <w:r w:rsidRPr="00D35B04">
        <w:rPr>
          <w:rFonts w:ascii="Times New Roman" w:hAnsi="Times New Roman"/>
        </w:rPr>
        <w:t>2010 seed production crop.</w:t>
      </w:r>
      <w:r w:rsidRPr="00D35B04">
        <w:rPr>
          <w:rStyle w:val="FootnoteReference"/>
          <w:rFonts w:ascii="Times New Roman" w:hAnsi="Times New Roman"/>
          <w:sz w:val="24"/>
        </w:rPr>
        <w:footnoteReference w:id="3"/>
      </w:r>
      <w:r w:rsidRPr="00D35B04">
        <w:rPr>
          <w:rFonts w:ascii="Times New Roman" w:hAnsi="Times New Roman"/>
        </w:rPr>
        <w:t xml:space="preserve"> The primary judge found that the producer also failed to meet the standard of care that a reasonable producer would have exercised in the circumstances by failing to conduct a grow</w:t>
      </w:r>
      <w:r w:rsidR="002C12F4" w:rsidRPr="00D35B04">
        <w:rPr>
          <w:rFonts w:ascii="Times New Roman" w:hAnsi="Times New Roman"/>
        </w:rPr>
        <w:t>-</w:t>
      </w:r>
      <w:r w:rsidRPr="00D35B04">
        <w:rPr>
          <w:rFonts w:ascii="Times New Roman" w:hAnsi="Times New Roman"/>
        </w:rPr>
        <w:t>out of the contaminated seed in the winter of 2010.</w:t>
      </w:r>
      <w:r w:rsidRPr="00D35B04">
        <w:rPr>
          <w:rStyle w:val="FootnoteReference"/>
          <w:rFonts w:ascii="Times New Roman" w:hAnsi="Times New Roman"/>
          <w:sz w:val="24"/>
        </w:rPr>
        <w:footnoteReference w:id="4"/>
      </w:r>
      <w:r w:rsidRPr="00D35B04">
        <w:rPr>
          <w:rFonts w:ascii="Times New Roman" w:hAnsi="Times New Roman"/>
          <w:b/>
          <w:bCs/>
        </w:rPr>
        <w:t xml:space="preserve"> </w:t>
      </w:r>
    </w:p>
    <w:p w14:paraId="3A0721F9" w14:textId="04CDDC4B" w:rsidR="002F1DD0" w:rsidRPr="00D35B04" w:rsidRDefault="002F1DD0" w:rsidP="00D35B04">
      <w:pPr>
        <w:pStyle w:val="FixListStyle"/>
        <w:spacing w:after="260" w:line="280" w:lineRule="exact"/>
        <w:ind w:right="0"/>
        <w:jc w:val="both"/>
        <w:rPr>
          <w:rFonts w:ascii="Times New Roman" w:hAnsi="Times New Roman"/>
        </w:rPr>
      </w:pPr>
      <w:r w:rsidRPr="00D35B04">
        <w:rPr>
          <w:rFonts w:ascii="Times New Roman" w:hAnsi="Times New Roman"/>
        </w:rPr>
        <w:lastRenderedPageBreak/>
        <w:tab/>
        <w:t>It is also no longer in dispute that the producer's failure to act with reasonable care in the production of the contaminated seed caused the claimed economic losses to the growers.</w:t>
      </w:r>
    </w:p>
    <w:p w14:paraId="0887A05E" w14:textId="5BA74E23" w:rsidR="00380572" w:rsidRPr="00D35B04" w:rsidRDefault="00C141D4" w:rsidP="00D35B04">
      <w:pPr>
        <w:pStyle w:val="HeadingL2"/>
        <w:spacing w:after="260" w:line="280" w:lineRule="exact"/>
        <w:ind w:right="0"/>
        <w:jc w:val="both"/>
        <w:rPr>
          <w:rFonts w:ascii="Times New Roman" w:hAnsi="Times New Roman"/>
        </w:rPr>
      </w:pPr>
      <w:r w:rsidRPr="00D35B04">
        <w:rPr>
          <w:rFonts w:ascii="Times New Roman" w:hAnsi="Times New Roman"/>
        </w:rPr>
        <w:t>The t</w:t>
      </w:r>
      <w:r w:rsidR="00380572" w:rsidRPr="00D35B04">
        <w:rPr>
          <w:rFonts w:ascii="Times New Roman" w:hAnsi="Times New Roman"/>
        </w:rPr>
        <w:t xml:space="preserve">erms of sale of </w:t>
      </w:r>
      <w:r w:rsidR="002C12F4" w:rsidRPr="00D35B04">
        <w:rPr>
          <w:rFonts w:ascii="Times New Roman" w:hAnsi="Times New Roman"/>
        </w:rPr>
        <w:t xml:space="preserve">the </w:t>
      </w:r>
      <w:r w:rsidR="00380572" w:rsidRPr="00D35B04">
        <w:rPr>
          <w:rFonts w:ascii="Times New Roman" w:hAnsi="Times New Roman"/>
        </w:rPr>
        <w:t>contaminated seed</w:t>
      </w:r>
    </w:p>
    <w:p w14:paraId="561FFBC1" w14:textId="59FB3EF6" w:rsidR="00380572" w:rsidRPr="00D35B04" w:rsidRDefault="00D847F2"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380572" w:rsidRPr="00D35B04">
        <w:rPr>
          <w:rFonts w:ascii="Times New Roman" w:hAnsi="Times New Roman"/>
        </w:rPr>
        <w:t xml:space="preserve">There was no evidence about the terms of the contracts of sale of the </w:t>
      </w:r>
      <w:r w:rsidR="00072E2F" w:rsidRPr="00D35B04">
        <w:rPr>
          <w:rFonts w:ascii="Times New Roman" w:hAnsi="Times New Roman"/>
        </w:rPr>
        <w:t xml:space="preserve">contaminated seed </w:t>
      </w:r>
      <w:r w:rsidR="00380572" w:rsidRPr="00D35B04">
        <w:rPr>
          <w:rFonts w:ascii="Times New Roman" w:hAnsi="Times New Roman"/>
        </w:rPr>
        <w:t>from the producer to the distributors,</w:t>
      </w:r>
      <w:r w:rsidR="00380572" w:rsidRPr="00D35B04">
        <w:rPr>
          <w:rFonts w:ascii="Times New Roman" w:hAnsi="Times New Roman"/>
          <w:b/>
          <w:bCs/>
        </w:rPr>
        <w:t xml:space="preserve"> </w:t>
      </w:r>
      <w:r w:rsidR="00380572" w:rsidRPr="00D35B04">
        <w:rPr>
          <w:rFonts w:ascii="Times New Roman" w:hAnsi="Times New Roman"/>
        </w:rPr>
        <w:t>except where the seed was supplied on consignment.</w:t>
      </w:r>
      <w:r w:rsidR="00380572" w:rsidRPr="00D35B04">
        <w:rPr>
          <w:rFonts w:ascii="Times New Roman" w:hAnsi="Times New Roman"/>
          <w:b/>
          <w:bCs/>
        </w:rPr>
        <w:t xml:space="preserve"> </w:t>
      </w:r>
      <w:r w:rsidR="00CA032A" w:rsidRPr="00D35B04">
        <w:rPr>
          <w:rFonts w:ascii="Times New Roman" w:hAnsi="Times New Roman"/>
        </w:rPr>
        <w:t>In such cases</w:t>
      </w:r>
      <w:r w:rsidR="00380572" w:rsidRPr="00D35B04">
        <w:rPr>
          <w:rFonts w:ascii="Times New Roman" w:hAnsi="Times New Roman"/>
        </w:rPr>
        <w:t xml:space="preserve">, the producer and the distributor </w:t>
      </w:r>
      <w:r w:rsidR="007E0735" w:rsidRPr="00D35B04">
        <w:rPr>
          <w:rFonts w:ascii="Times New Roman" w:hAnsi="Times New Roman"/>
        </w:rPr>
        <w:t>made</w:t>
      </w:r>
      <w:r w:rsidR="00380572" w:rsidRPr="00D35B04">
        <w:rPr>
          <w:rFonts w:ascii="Times New Roman" w:hAnsi="Times New Roman"/>
        </w:rPr>
        <w:t xml:space="preserve"> a "stockist agreement". That agreement contained terms that purported to exclude or limit the producer's liability</w:t>
      </w:r>
      <w:r w:rsidR="00143689" w:rsidRPr="00D35B04">
        <w:rPr>
          <w:rFonts w:ascii="Times New Roman" w:hAnsi="Times New Roman"/>
        </w:rPr>
        <w:t>,</w:t>
      </w:r>
      <w:r w:rsidR="00380572" w:rsidRPr="00D35B04">
        <w:rPr>
          <w:rFonts w:ascii="Times New Roman" w:hAnsi="Times New Roman"/>
        </w:rPr>
        <w:t xml:space="preserve"> including a purported exclusion for liability arising out of the use of the MR43 "including as a result of [the producer's] negligence".</w:t>
      </w:r>
      <w:r w:rsidR="00C71278" w:rsidRPr="00D35B04">
        <w:rPr>
          <w:rStyle w:val="FootnoteReference"/>
          <w:rFonts w:ascii="Times New Roman" w:hAnsi="Times New Roman"/>
          <w:sz w:val="24"/>
        </w:rPr>
        <w:footnoteReference w:id="5"/>
      </w:r>
      <w:r w:rsidR="00380572" w:rsidRPr="00D35B04">
        <w:rPr>
          <w:rFonts w:ascii="Times New Roman" w:hAnsi="Times New Roman"/>
          <w:b/>
          <w:bCs/>
        </w:rPr>
        <w:t xml:space="preserve"> </w:t>
      </w:r>
      <w:r w:rsidR="00380572" w:rsidRPr="00D35B04">
        <w:rPr>
          <w:rFonts w:ascii="Times New Roman" w:hAnsi="Times New Roman"/>
        </w:rPr>
        <w:t>Another term purported to require the</w:t>
      </w:r>
      <w:r w:rsidR="00380572" w:rsidRPr="00D35B04">
        <w:rPr>
          <w:rFonts w:ascii="Times New Roman" w:hAnsi="Times New Roman"/>
          <w:b/>
          <w:bCs/>
        </w:rPr>
        <w:t xml:space="preserve"> </w:t>
      </w:r>
      <w:r w:rsidR="000C21A3" w:rsidRPr="00D35B04">
        <w:rPr>
          <w:rFonts w:ascii="Times New Roman" w:hAnsi="Times New Roman"/>
        </w:rPr>
        <w:t>distributor</w:t>
      </w:r>
      <w:r w:rsidR="00380572" w:rsidRPr="00D35B04">
        <w:rPr>
          <w:rFonts w:ascii="Times New Roman" w:hAnsi="Times New Roman"/>
        </w:rPr>
        <w:t xml:space="preserve">'s standard conditions of purchase to contain an agreement by the customer to release the producer from </w:t>
      </w:r>
      <w:r w:rsidR="00C80FEC" w:rsidRPr="00D35B04">
        <w:rPr>
          <w:rFonts w:ascii="Times New Roman" w:hAnsi="Times New Roman"/>
        </w:rPr>
        <w:t>"</w:t>
      </w:r>
      <w:r w:rsidR="00380572" w:rsidRPr="00D35B04">
        <w:rPr>
          <w:rFonts w:ascii="Times New Roman" w:hAnsi="Times New Roman"/>
        </w:rPr>
        <w:t>all liability and costs (including negligence) directly or indirectly arising out of or related to the delivery or use of the goods"</w:t>
      </w:r>
      <w:r w:rsidR="007E69AE" w:rsidRPr="00D35B04">
        <w:rPr>
          <w:rFonts w:ascii="Times New Roman" w:hAnsi="Times New Roman"/>
        </w:rPr>
        <w:t>.</w:t>
      </w:r>
      <w:r w:rsidR="007E69AE" w:rsidRPr="00D35B04">
        <w:rPr>
          <w:rStyle w:val="FootnoteReference"/>
          <w:rFonts w:ascii="Times New Roman" w:hAnsi="Times New Roman"/>
          <w:sz w:val="24"/>
        </w:rPr>
        <w:footnoteReference w:id="6"/>
      </w:r>
      <w:r w:rsidR="00380572" w:rsidRPr="00D35B04">
        <w:rPr>
          <w:rFonts w:ascii="Times New Roman" w:hAnsi="Times New Roman"/>
        </w:rPr>
        <w:t xml:space="preserve"> </w:t>
      </w:r>
      <w:r w:rsidR="00215765" w:rsidRPr="00D35B04">
        <w:rPr>
          <w:rFonts w:ascii="Times New Roman" w:hAnsi="Times New Roman"/>
        </w:rPr>
        <w:t xml:space="preserve">It is unclear whether the </w:t>
      </w:r>
      <w:r w:rsidR="00595E51" w:rsidRPr="00D35B04">
        <w:rPr>
          <w:rFonts w:ascii="Times New Roman" w:hAnsi="Times New Roman"/>
        </w:rPr>
        <w:t>distributors who took stock on consignment complied with this obligation</w:t>
      </w:r>
      <w:r w:rsidR="004D1ACD" w:rsidRPr="00D35B04">
        <w:rPr>
          <w:rFonts w:ascii="Times New Roman" w:hAnsi="Times New Roman"/>
        </w:rPr>
        <w:t xml:space="preserve">. </w:t>
      </w:r>
    </w:p>
    <w:p w14:paraId="722EE634" w14:textId="75B7C85B" w:rsidR="004F7324" w:rsidRPr="00D35B04" w:rsidRDefault="00380572"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There was also no evidence about the terms of the contracts of sale of the </w:t>
      </w:r>
      <w:r w:rsidR="00E43E6A" w:rsidRPr="00D35B04">
        <w:rPr>
          <w:rFonts w:ascii="Times New Roman" w:hAnsi="Times New Roman"/>
        </w:rPr>
        <w:t>seed</w:t>
      </w:r>
      <w:r w:rsidRPr="00D35B04">
        <w:rPr>
          <w:rFonts w:ascii="Times New Roman" w:hAnsi="Times New Roman"/>
        </w:rPr>
        <w:t xml:space="preserve"> from the distributors to the growers.</w:t>
      </w:r>
      <w:r w:rsidRPr="00D35B04">
        <w:rPr>
          <w:rFonts w:ascii="Times New Roman" w:hAnsi="Times New Roman"/>
          <w:b/>
          <w:bCs/>
        </w:rPr>
        <w:t xml:space="preserve"> </w:t>
      </w:r>
      <w:r w:rsidR="004F7324" w:rsidRPr="00D35B04">
        <w:rPr>
          <w:rFonts w:ascii="Times New Roman" w:hAnsi="Times New Roman"/>
        </w:rPr>
        <w:t xml:space="preserve">Despite the words "Conditions of sale and use" and "Conditions", the producer acknowledged that the words printed on the rear of the bags were not contractual terms of the growers' purchase of the </w:t>
      </w:r>
      <w:r w:rsidR="00204915" w:rsidRPr="00D35B04">
        <w:rPr>
          <w:rFonts w:ascii="Times New Roman" w:hAnsi="Times New Roman"/>
        </w:rPr>
        <w:t>contaminated seed</w:t>
      </w:r>
      <w:r w:rsidR="004F7324" w:rsidRPr="00D35B04">
        <w:rPr>
          <w:rFonts w:ascii="Times New Roman" w:hAnsi="Times New Roman"/>
        </w:rPr>
        <w:t xml:space="preserve">.  </w:t>
      </w:r>
    </w:p>
    <w:p w14:paraId="131E908B" w14:textId="27A14617" w:rsidR="004D2C53" w:rsidRPr="00D35B04" w:rsidRDefault="00A92E39" w:rsidP="00D35B04">
      <w:pPr>
        <w:pStyle w:val="HeadingL2"/>
        <w:spacing w:after="260" w:line="280" w:lineRule="exact"/>
        <w:ind w:right="0"/>
        <w:jc w:val="both"/>
        <w:rPr>
          <w:rFonts w:ascii="Times New Roman" w:hAnsi="Times New Roman"/>
        </w:rPr>
      </w:pPr>
      <w:r w:rsidRPr="00D35B04">
        <w:rPr>
          <w:rFonts w:ascii="Times New Roman" w:hAnsi="Times New Roman"/>
        </w:rPr>
        <w:t>The g</w:t>
      </w:r>
      <w:r w:rsidR="004D2C53" w:rsidRPr="00D35B04">
        <w:rPr>
          <w:rFonts w:ascii="Times New Roman" w:hAnsi="Times New Roman"/>
        </w:rPr>
        <w:t xml:space="preserve">rowers' </w:t>
      </w:r>
      <w:r w:rsidR="00681A6C" w:rsidRPr="00D35B04">
        <w:rPr>
          <w:rFonts w:ascii="Times New Roman" w:hAnsi="Times New Roman"/>
        </w:rPr>
        <w:t xml:space="preserve">capacity to protect </w:t>
      </w:r>
      <w:r w:rsidR="00D27AB5" w:rsidRPr="00D35B04">
        <w:rPr>
          <w:rFonts w:ascii="Times New Roman" w:hAnsi="Times New Roman"/>
        </w:rPr>
        <w:t>themselves</w:t>
      </w:r>
      <w:r w:rsidR="00681A6C" w:rsidRPr="00D35B04">
        <w:rPr>
          <w:rFonts w:ascii="Times New Roman" w:hAnsi="Times New Roman"/>
        </w:rPr>
        <w:t xml:space="preserve"> from the risk of </w:t>
      </w:r>
      <w:r w:rsidR="00DB4439" w:rsidRPr="00D35B04">
        <w:rPr>
          <w:rFonts w:ascii="Times New Roman" w:hAnsi="Times New Roman"/>
        </w:rPr>
        <w:t xml:space="preserve">economic </w:t>
      </w:r>
      <w:r w:rsidRPr="00D35B04">
        <w:rPr>
          <w:rFonts w:ascii="Times New Roman" w:hAnsi="Times New Roman"/>
        </w:rPr>
        <w:t>loss</w:t>
      </w:r>
      <w:r w:rsidR="00A97707" w:rsidRPr="00D35B04">
        <w:rPr>
          <w:rFonts w:ascii="Times New Roman" w:hAnsi="Times New Roman"/>
        </w:rPr>
        <w:t xml:space="preserve"> arising</w:t>
      </w:r>
      <w:r w:rsidR="00681A6C" w:rsidRPr="00D35B04">
        <w:rPr>
          <w:rFonts w:ascii="Times New Roman" w:hAnsi="Times New Roman"/>
        </w:rPr>
        <w:t xml:space="preserve"> from </w:t>
      </w:r>
      <w:r w:rsidR="00AF69A9" w:rsidRPr="00D35B04">
        <w:rPr>
          <w:rFonts w:ascii="Times New Roman" w:hAnsi="Times New Roman"/>
        </w:rPr>
        <w:t xml:space="preserve">the </w:t>
      </w:r>
      <w:r w:rsidR="00681A6C" w:rsidRPr="00D35B04">
        <w:rPr>
          <w:rFonts w:ascii="Times New Roman" w:hAnsi="Times New Roman"/>
        </w:rPr>
        <w:t xml:space="preserve">contaminated </w:t>
      </w:r>
      <w:proofErr w:type="gramStart"/>
      <w:r w:rsidR="00681A6C" w:rsidRPr="00D35B04">
        <w:rPr>
          <w:rFonts w:ascii="Times New Roman" w:hAnsi="Times New Roman"/>
        </w:rPr>
        <w:t>seed</w:t>
      </w:r>
      <w:proofErr w:type="gramEnd"/>
    </w:p>
    <w:p w14:paraId="4A4D50B8" w14:textId="414BA4CC" w:rsidR="004D2C53" w:rsidRPr="00D35B04" w:rsidRDefault="004D2C53"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986FBD" w:rsidRPr="00D35B04">
        <w:rPr>
          <w:rFonts w:ascii="Times New Roman" w:hAnsi="Times New Roman"/>
        </w:rPr>
        <w:t xml:space="preserve">Although the </w:t>
      </w:r>
      <w:r w:rsidR="00EF797D" w:rsidRPr="00D35B04">
        <w:rPr>
          <w:rFonts w:ascii="Times New Roman" w:hAnsi="Times New Roman"/>
        </w:rPr>
        <w:t xml:space="preserve">primary </w:t>
      </w:r>
      <w:r w:rsidR="00986FBD" w:rsidRPr="00D35B04">
        <w:rPr>
          <w:rFonts w:ascii="Times New Roman" w:hAnsi="Times New Roman"/>
        </w:rPr>
        <w:t xml:space="preserve">judge did not make an explicit finding </w:t>
      </w:r>
      <w:r w:rsidR="001D5A4B" w:rsidRPr="00D35B04">
        <w:rPr>
          <w:rFonts w:ascii="Times New Roman" w:hAnsi="Times New Roman"/>
        </w:rPr>
        <w:t xml:space="preserve">that the contamination </w:t>
      </w:r>
      <w:r w:rsidR="00E93F2D" w:rsidRPr="00D35B04">
        <w:rPr>
          <w:rFonts w:ascii="Times New Roman" w:hAnsi="Times New Roman"/>
        </w:rPr>
        <w:t xml:space="preserve">of the seed by </w:t>
      </w:r>
      <w:proofErr w:type="spellStart"/>
      <w:r w:rsidR="00E93F2D" w:rsidRPr="00D35B04">
        <w:rPr>
          <w:rFonts w:ascii="Times New Roman" w:hAnsi="Times New Roman"/>
        </w:rPr>
        <w:t>shattercane</w:t>
      </w:r>
      <w:proofErr w:type="spellEnd"/>
      <w:r w:rsidR="00E93F2D" w:rsidRPr="00D35B04">
        <w:rPr>
          <w:rFonts w:ascii="Times New Roman" w:hAnsi="Times New Roman"/>
        </w:rPr>
        <w:t xml:space="preserve"> </w:t>
      </w:r>
      <w:r w:rsidR="001D5A4B" w:rsidRPr="00D35B04">
        <w:rPr>
          <w:rFonts w:ascii="Times New Roman" w:hAnsi="Times New Roman"/>
        </w:rPr>
        <w:t>was a hidden defect</w:t>
      </w:r>
      <w:r w:rsidR="00E22928" w:rsidRPr="00D35B04">
        <w:rPr>
          <w:rFonts w:ascii="Times New Roman" w:hAnsi="Times New Roman"/>
        </w:rPr>
        <w:t>,</w:t>
      </w:r>
      <w:r w:rsidR="001D5A4B" w:rsidRPr="00D35B04">
        <w:rPr>
          <w:rFonts w:ascii="Times New Roman" w:hAnsi="Times New Roman"/>
        </w:rPr>
        <w:t xml:space="preserve"> </w:t>
      </w:r>
      <w:r w:rsidR="00D45292" w:rsidRPr="00D35B04">
        <w:rPr>
          <w:rFonts w:ascii="Times New Roman" w:hAnsi="Times New Roman"/>
        </w:rPr>
        <w:t xml:space="preserve">which gave rise to a risk of loss </w:t>
      </w:r>
      <w:r w:rsidR="001D5A4B" w:rsidRPr="00D35B04">
        <w:rPr>
          <w:rFonts w:ascii="Times New Roman" w:hAnsi="Times New Roman"/>
        </w:rPr>
        <w:t>to which the growers were exposed once they planted the seed</w:t>
      </w:r>
      <w:r w:rsidR="00A719DF" w:rsidRPr="00D35B04">
        <w:rPr>
          <w:rFonts w:ascii="Times New Roman" w:hAnsi="Times New Roman"/>
        </w:rPr>
        <w:t>, this fact does not seem to be in dispute</w:t>
      </w:r>
      <w:r w:rsidR="00D81181" w:rsidRPr="00D35B04">
        <w:rPr>
          <w:rFonts w:ascii="Times New Roman" w:hAnsi="Times New Roman"/>
        </w:rPr>
        <w:t xml:space="preserve">. </w:t>
      </w:r>
      <w:r w:rsidR="0041512E" w:rsidRPr="00D35B04">
        <w:rPr>
          <w:rFonts w:ascii="Times New Roman" w:hAnsi="Times New Roman"/>
        </w:rPr>
        <w:t>Accordingly, the growers' capacity to protect themselves from the risk of</w:t>
      </w:r>
      <w:r w:rsidR="00F427BD" w:rsidRPr="00D35B04">
        <w:rPr>
          <w:rFonts w:ascii="Times New Roman" w:hAnsi="Times New Roman"/>
        </w:rPr>
        <w:t xml:space="preserve"> loss </w:t>
      </w:r>
      <w:r w:rsidR="00FD10C7" w:rsidRPr="00D35B04">
        <w:rPr>
          <w:rFonts w:ascii="Times New Roman" w:hAnsi="Times New Roman"/>
        </w:rPr>
        <w:t xml:space="preserve">from </w:t>
      </w:r>
      <w:r w:rsidR="00D35C5F" w:rsidRPr="00D35B04">
        <w:rPr>
          <w:rFonts w:ascii="Times New Roman" w:hAnsi="Times New Roman"/>
        </w:rPr>
        <w:t>the</w:t>
      </w:r>
      <w:r w:rsidR="00FD10C7" w:rsidRPr="00D35B04">
        <w:rPr>
          <w:rFonts w:ascii="Times New Roman" w:hAnsi="Times New Roman"/>
        </w:rPr>
        <w:t xml:space="preserve"> contaminated seed comprised: (1)</w:t>
      </w:r>
      <w:r w:rsidR="00005A84" w:rsidRPr="00D35B04">
        <w:rPr>
          <w:rFonts w:ascii="Times New Roman" w:hAnsi="Times New Roman"/>
        </w:rPr>
        <w:t> </w:t>
      </w:r>
      <w:r w:rsidR="00FD10C7" w:rsidRPr="00D35B04">
        <w:rPr>
          <w:rFonts w:ascii="Times New Roman" w:hAnsi="Times New Roman"/>
        </w:rPr>
        <w:t xml:space="preserve">the option not to purchase the seed, noting that there was one other supplier of grain sorghum seed in Australia; </w:t>
      </w:r>
      <w:r w:rsidR="006D4029" w:rsidRPr="00D35B04">
        <w:rPr>
          <w:rFonts w:ascii="Times New Roman" w:hAnsi="Times New Roman"/>
        </w:rPr>
        <w:t>and (2)</w:t>
      </w:r>
      <w:r w:rsidR="00005A84" w:rsidRPr="00D35B04">
        <w:rPr>
          <w:rFonts w:ascii="Times New Roman" w:hAnsi="Times New Roman"/>
        </w:rPr>
        <w:t> </w:t>
      </w:r>
      <w:r w:rsidR="006D4029" w:rsidRPr="00D35B04">
        <w:rPr>
          <w:rFonts w:ascii="Times New Roman" w:hAnsi="Times New Roman"/>
        </w:rPr>
        <w:t xml:space="preserve">the option not to sow the seed once purchased. </w:t>
      </w:r>
      <w:r w:rsidRPr="00D35B04">
        <w:rPr>
          <w:rFonts w:ascii="Times New Roman" w:hAnsi="Times New Roman"/>
        </w:rPr>
        <w:t xml:space="preserve">The </w:t>
      </w:r>
      <w:r w:rsidR="007437C2" w:rsidRPr="00D35B04">
        <w:rPr>
          <w:rFonts w:ascii="Times New Roman" w:hAnsi="Times New Roman"/>
        </w:rPr>
        <w:t xml:space="preserve">primary </w:t>
      </w:r>
      <w:r w:rsidRPr="00D35B04">
        <w:rPr>
          <w:rFonts w:ascii="Times New Roman" w:hAnsi="Times New Roman"/>
        </w:rPr>
        <w:t xml:space="preserve">judge </w:t>
      </w:r>
      <w:r w:rsidR="004D4F8D" w:rsidRPr="00D35B04">
        <w:rPr>
          <w:rFonts w:ascii="Times New Roman" w:hAnsi="Times New Roman"/>
        </w:rPr>
        <w:t xml:space="preserve">doubted the </w:t>
      </w:r>
      <w:r w:rsidR="00D9462E" w:rsidRPr="00D35B04">
        <w:rPr>
          <w:rFonts w:ascii="Times New Roman" w:hAnsi="Times New Roman"/>
        </w:rPr>
        <w:t xml:space="preserve">likelihood that </w:t>
      </w:r>
      <w:r w:rsidR="00DC4A8E" w:rsidRPr="00D35B04">
        <w:rPr>
          <w:rFonts w:ascii="Times New Roman" w:hAnsi="Times New Roman"/>
        </w:rPr>
        <w:t xml:space="preserve">a consumer in the growers' position </w:t>
      </w:r>
      <w:r w:rsidR="00D9462E" w:rsidRPr="00D35B04">
        <w:rPr>
          <w:rFonts w:ascii="Times New Roman" w:hAnsi="Times New Roman"/>
        </w:rPr>
        <w:lastRenderedPageBreak/>
        <w:t>might</w:t>
      </w:r>
      <w:r w:rsidR="00DC4A8E" w:rsidRPr="00D35B04">
        <w:rPr>
          <w:rFonts w:ascii="Times New Roman" w:hAnsi="Times New Roman"/>
        </w:rPr>
        <w:t xml:space="preserve"> extract a warranty from the selle</w:t>
      </w:r>
      <w:r w:rsidR="00BF54DF" w:rsidRPr="00D35B04">
        <w:rPr>
          <w:rFonts w:ascii="Times New Roman" w:hAnsi="Times New Roman"/>
        </w:rPr>
        <w:t xml:space="preserve">r against a defect in the seed that would protect </w:t>
      </w:r>
      <w:r w:rsidR="00991F6F" w:rsidRPr="00D35B04">
        <w:rPr>
          <w:rFonts w:ascii="Times New Roman" w:hAnsi="Times New Roman"/>
        </w:rPr>
        <w:t>the consumer</w:t>
      </w:r>
      <w:r w:rsidR="009162FA" w:rsidRPr="00D35B04">
        <w:rPr>
          <w:rFonts w:ascii="Times New Roman" w:hAnsi="Times New Roman"/>
        </w:rPr>
        <w:t xml:space="preserve"> </w:t>
      </w:r>
      <w:r w:rsidR="00BF54DF" w:rsidRPr="00D35B04">
        <w:rPr>
          <w:rFonts w:ascii="Times New Roman" w:hAnsi="Times New Roman"/>
        </w:rPr>
        <w:t xml:space="preserve">from </w:t>
      </w:r>
      <w:r w:rsidR="00011600" w:rsidRPr="00D35B04">
        <w:rPr>
          <w:rFonts w:ascii="Times New Roman" w:hAnsi="Times New Roman"/>
        </w:rPr>
        <w:t xml:space="preserve">suffering consequential </w:t>
      </w:r>
      <w:r w:rsidR="00BF54DF" w:rsidRPr="00D35B04">
        <w:rPr>
          <w:rFonts w:ascii="Times New Roman" w:hAnsi="Times New Roman"/>
        </w:rPr>
        <w:t>economic loss</w:t>
      </w:r>
      <w:r w:rsidR="00A54519" w:rsidRPr="00D35B04">
        <w:rPr>
          <w:rFonts w:ascii="Times New Roman" w:hAnsi="Times New Roman"/>
        </w:rPr>
        <w:t>.</w:t>
      </w:r>
    </w:p>
    <w:p w14:paraId="7320CC7A" w14:textId="32CF93C4" w:rsidR="007703A3" w:rsidRPr="00D35B04" w:rsidRDefault="00A92E39" w:rsidP="00D35B04">
      <w:pPr>
        <w:pStyle w:val="HeadingL1"/>
        <w:spacing w:after="260" w:line="280" w:lineRule="exact"/>
        <w:ind w:right="0"/>
        <w:jc w:val="both"/>
        <w:rPr>
          <w:rFonts w:ascii="Times New Roman" w:hAnsi="Times New Roman"/>
        </w:rPr>
      </w:pPr>
      <w:r w:rsidRPr="00D35B04">
        <w:rPr>
          <w:rFonts w:ascii="Times New Roman" w:hAnsi="Times New Roman"/>
        </w:rPr>
        <w:t>The r</w:t>
      </w:r>
      <w:r w:rsidR="00DF4BF5" w:rsidRPr="00D35B04">
        <w:rPr>
          <w:rFonts w:ascii="Times New Roman" w:hAnsi="Times New Roman"/>
        </w:rPr>
        <w:t>easons of the courts below on the duty of care issue</w:t>
      </w:r>
    </w:p>
    <w:p w14:paraId="3FCACAEF" w14:textId="6A32A058" w:rsidR="00E334CA" w:rsidRPr="00D35B04" w:rsidRDefault="00344402"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Both the </w:t>
      </w:r>
      <w:r w:rsidR="00B74C26" w:rsidRPr="00D35B04">
        <w:rPr>
          <w:rFonts w:ascii="Times New Roman" w:hAnsi="Times New Roman"/>
        </w:rPr>
        <w:t xml:space="preserve">primary </w:t>
      </w:r>
      <w:r w:rsidRPr="00D35B04">
        <w:rPr>
          <w:rFonts w:ascii="Times New Roman" w:hAnsi="Times New Roman"/>
        </w:rPr>
        <w:t>judge</w:t>
      </w:r>
      <w:r w:rsidR="006743D7" w:rsidRPr="00D35B04">
        <w:rPr>
          <w:rStyle w:val="FootnoteReference"/>
          <w:rFonts w:ascii="Times New Roman" w:hAnsi="Times New Roman"/>
          <w:sz w:val="24"/>
        </w:rPr>
        <w:footnoteReference w:id="7"/>
      </w:r>
      <w:r w:rsidR="006743D7" w:rsidRPr="00D35B04">
        <w:rPr>
          <w:rFonts w:ascii="Times New Roman" w:hAnsi="Times New Roman"/>
        </w:rPr>
        <w:t xml:space="preserve"> </w:t>
      </w:r>
      <w:r w:rsidRPr="00D35B04">
        <w:rPr>
          <w:rFonts w:ascii="Times New Roman" w:hAnsi="Times New Roman"/>
        </w:rPr>
        <w:t>and the Court of Appeal</w:t>
      </w:r>
      <w:r w:rsidR="009156D0" w:rsidRPr="00D35B04">
        <w:rPr>
          <w:rFonts w:ascii="Times New Roman" w:hAnsi="Times New Roman"/>
        </w:rPr>
        <w:t xml:space="preserve"> of the Supreme Court of Queensland</w:t>
      </w:r>
      <w:r w:rsidR="00DD59BA" w:rsidRPr="00D35B04">
        <w:rPr>
          <w:rStyle w:val="FootnoteReference"/>
          <w:rFonts w:ascii="Times New Roman" w:hAnsi="Times New Roman"/>
          <w:sz w:val="24"/>
        </w:rPr>
        <w:footnoteReference w:id="8"/>
      </w:r>
      <w:r w:rsidRPr="00D35B04">
        <w:rPr>
          <w:rFonts w:ascii="Times New Roman" w:hAnsi="Times New Roman"/>
        </w:rPr>
        <w:t xml:space="preserve"> found that the producer </w:t>
      </w:r>
      <w:r w:rsidR="00DA02CF" w:rsidRPr="00D35B04">
        <w:rPr>
          <w:rFonts w:ascii="Times New Roman" w:hAnsi="Times New Roman"/>
        </w:rPr>
        <w:t xml:space="preserve">was not liable to the growers in negligence because the producer did not owe them </w:t>
      </w:r>
      <w:r w:rsidR="00E334CA" w:rsidRPr="00D35B04">
        <w:rPr>
          <w:rFonts w:ascii="Times New Roman" w:hAnsi="Times New Roman"/>
        </w:rPr>
        <w:t xml:space="preserve">a </w:t>
      </w:r>
      <w:r w:rsidR="00DA02CF" w:rsidRPr="00D35B04">
        <w:rPr>
          <w:rFonts w:ascii="Times New Roman" w:hAnsi="Times New Roman"/>
        </w:rPr>
        <w:t>duty of care.</w:t>
      </w:r>
      <w:r w:rsidR="00F0448C" w:rsidRPr="00D35B04">
        <w:rPr>
          <w:rFonts w:ascii="Times New Roman" w:hAnsi="Times New Roman"/>
        </w:rPr>
        <w:t xml:space="preserve"> </w:t>
      </w:r>
    </w:p>
    <w:p w14:paraId="049F902B" w14:textId="6285CED1" w:rsidR="00B35446" w:rsidRPr="00D35B04" w:rsidRDefault="00E334CA"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 </w:t>
      </w:r>
      <w:r w:rsidR="00B74C26" w:rsidRPr="00D35B04">
        <w:rPr>
          <w:rFonts w:ascii="Times New Roman" w:hAnsi="Times New Roman"/>
        </w:rPr>
        <w:t xml:space="preserve">primary </w:t>
      </w:r>
      <w:r w:rsidRPr="00D35B04">
        <w:rPr>
          <w:rFonts w:ascii="Times New Roman" w:hAnsi="Times New Roman"/>
        </w:rPr>
        <w:t xml:space="preserve">judge </w:t>
      </w:r>
      <w:r w:rsidR="00230839" w:rsidRPr="00D35B04">
        <w:rPr>
          <w:rFonts w:ascii="Times New Roman" w:hAnsi="Times New Roman"/>
        </w:rPr>
        <w:t>noted that the growers had not alleged the existence of a duty of care in the statement of claim, although they alleged breaches of a duty of care.</w:t>
      </w:r>
      <w:r w:rsidR="00230839" w:rsidRPr="00D35B04">
        <w:rPr>
          <w:rStyle w:val="FootnoteReference"/>
          <w:rFonts w:ascii="Times New Roman" w:hAnsi="Times New Roman"/>
          <w:sz w:val="24"/>
        </w:rPr>
        <w:footnoteReference w:id="9"/>
      </w:r>
      <w:r w:rsidR="00B3133E" w:rsidRPr="00D35B04">
        <w:rPr>
          <w:rFonts w:ascii="Times New Roman" w:hAnsi="Times New Roman"/>
        </w:rPr>
        <w:t xml:space="preserve"> The </w:t>
      </w:r>
      <w:r w:rsidR="00435FAA" w:rsidRPr="00D35B04">
        <w:rPr>
          <w:rFonts w:ascii="Times New Roman" w:hAnsi="Times New Roman"/>
        </w:rPr>
        <w:t xml:space="preserve">primary </w:t>
      </w:r>
      <w:r w:rsidR="00B3133E" w:rsidRPr="00D35B04">
        <w:rPr>
          <w:rFonts w:ascii="Times New Roman" w:hAnsi="Times New Roman"/>
        </w:rPr>
        <w:t xml:space="preserve">judge identified </w:t>
      </w:r>
      <w:r w:rsidR="005D21AA" w:rsidRPr="00D35B04">
        <w:rPr>
          <w:rFonts w:ascii="Times New Roman" w:hAnsi="Times New Roman"/>
        </w:rPr>
        <w:t>as a relevant question whether the producer "owed a duty of care in negligence to any of the plaintiffs and group members to avoid the risk of economic loss of the kind claimed by the plaintiffs and group members in relation to the supply of the contaminated MR43 seed".</w:t>
      </w:r>
      <w:r w:rsidR="005D21AA" w:rsidRPr="00D35B04">
        <w:rPr>
          <w:rStyle w:val="FootnoteReference"/>
          <w:rFonts w:ascii="Times New Roman" w:hAnsi="Times New Roman"/>
          <w:sz w:val="24"/>
        </w:rPr>
        <w:footnoteReference w:id="10"/>
      </w:r>
      <w:r w:rsidR="00EE6CD7" w:rsidRPr="00D35B04">
        <w:rPr>
          <w:rFonts w:ascii="Times New Roman" w:hAnsi="Times New Roman"/>
        </w:rPr>
        <w:t xml:space="preserve"> The </w:t>
      </w:r>
      <w:r w:rsidR="00A52038" w:rsidRPr="00D35B04">
        <w:rPr>
          <w:rFonts w:ascii="Times New Roman" w:hAnsi="Times New Roman"/>
        </w:rPr>
        <w:t xml:space="preserve">primary </w:t>
      </w:r>
      <w:r w:rsidR="00EE6CD7" w:rsidRPr="00D35B04">
        <w:rPr>
          <w:rFonts w:ascii="Times New Roman" w:hAnsi="Times New Roman"/>
        </w:rPr>
        <w:t xml:space="preserve">judge concluded that the </w:t>
      </w:r>
      <w:r w:rsidR="00D20FCD" w:rsidRPr="00D35B04">
        <w:rPr>
          <w:rFonts w:ascii="Times New Roman" w:hAnsi="Times New Roman"/>
        </w:rPr>
        <w:t>terms stated on the seed bags operated as a "disclaimer of an assumption of responsibility</w:t>
      </w:r>
      <w:r w:rsidR="008F5137" w:rsidRPr="00D35B04">
        <w:rPr>
          <w:rFonts w:ascii="Times New Roman" w:hAnsi="Times New Roman"/>
        </w:rPr>
        <w:t xml:space="preserve">" that the MR43 seed supplied would be free of contamination by </w:t>
      </w:r>
      <w:proofErr w:type="spellStart"/>
      <w:r w:rsidR="008F5137" w:rsidRPr="00D35B04">
        <w:rPr>
          <w:rFonts w:ascii="Times New Roman" w:hAnsi="Times New Roman"/>
        </w:rPr>
        <w:t>shattercane</w:t>
      </w:r>
      <w:proofErr w:type="spellEnd"/>
      <w:r w:rsidR="008F5137" w:rsidRPr="00D35B04">
        <w:rPr>
          <w:rFonts w:ascii="Times New Roman" w:hAnsi="Times New Roman"/>
        </w:rPr>
        <w:t xml:space="preserve"> or grassy off-types</w:t>
      </w:r>
      <w:r w:rsidR="008A5318" w:rsidRPr="00D35B04">
        <w:rPr>
          <w:rFonts w:ascii="Times New Roman" w:hAnsi="Times New Roman"/>
        </w:rPr>
        <w:t xml:space="preserve"> to </w:t>
      </w:r>
      <w:r w:rsidR="008F5137" w:rsidRPr="00D35B04">
        <w:rPr>
          <w:rFonts w:ascii="Times New Roman" w:hAnsi="Times New Roman"/>
        </w:rPr>
        <w:t>"</w:t>
      </w:r>
      <w:r w:rsidR="008A5318" w:rsidRPr="00D35B04">
        <w:rPr>
          <w:rFonts w:ascii="Times New Roman" w:hAnsi="Times New Roman"/>
        </w:rPr>
        <w:t xml:space="preserve">negate" the existence of a duty of care to avoid </w:t>
      </w:r>
      <w:r w:rsidR="00DB00FC" w:rsidRPr="00D35B04">
        <w:rPr>
          <w:rFonts w:ascii="Times New Roman" w:hAnsi="Times New Roman"/>
        </w:rPr>
        <w:t xml:space="preserve">causing </w:t>
      </w:r>
      <w:r w:rsidR="008A5318" w:rsidRPr="00D35B04">
        <w:rPr>
          <w:rFonts w:ascii="Times New Roman" w:hAnsi="Times New Roman"/>
        </w:rPr>
        <w:t>economic loss</w:t>
      </w:r>
      <w:r w:rsidR="008F5137" w:rsidRPr="00D35B04">
        <w:rPr>
          <w:rFonts w:ascii="Times New Roman" w:hAnsi="Times New Roman"/>
        </w:rPr>
        <w:t>.</w:t>
      </w:r>
      <w:r w:rsidR="008F5137" w:rsidRPr="00D35B04">
        <w:rPr>
          <w:rStyle w:val="FootnoteReference"/>
          <w:rFonts w:ascii="Times New Roman" w:hAnsi="Times New Roman"/>
          <w:sz w:val="24"/>
        </w:rPr>
        <w:footnoteReference w:id="11"/>
      </w:r>
      <w:r w:rsidR="008F5137" w:rsidRPr="00D35B04">
        <w:rPr>
          <w:rFonts w:ascii="Times New Roman" w:hAnsi="Times New Roman"/>
        </w:rPr>
        <w:t xml:space="preserve"> </w:t>
      </w:r>
      <w:r w:rsidR="00E9140D" w:rsidRPr="00D35B04">
        <w:rPr>
          <w:rFonts w:ascii="Times New Roman" w:hAnsi="Times New Roman"/>
        </w:rPr>
        <w:t xml:space="preserve">In effect, </w:t>
      </w:r>
      <w:r w:rsidR="007214B0" w:rsidRPr="00D35B04">
        <w:rPr>
          <w:rFonts w:ascii="Times New Roman" w:hAnsi="Times New Roman"/>
        </w:rPr>
        <w:t>t</w:t>
      </w:r>
      <w:r w:rsidR="000E16E3" w:rsidRPr="00D35B04">
        <w:rPr>
          <w:rFonts w:ascii="Times New Roman" w:hAnsi="Times New Roman"/>
        </w:rPr>
        <w:t xml:space="preserve">he </w:t>
      </w:r>
      <w:r w:rsidR="00A52038" w:rsidRPr="00D35B04">
        <w:rPr>
          <w:rFonts w:ascii="Times New Roman" w:hAnsi="Times New Roman"/>
        </w:rPr>
        <w:t xml:space="preserve">primary </w:t>
      </w:r>
      <w:r w:rsidR="00E9140D" w:rsidRPr="00D35B04">
        <w:rPr>
          <w:rFonts w:ascii="Times New Roman" w:hAnsi="Times New Roman"/>
        </w:rPr>
        <w:t>judge</w:t>
      </w:r>
      <w:r w:rsidR="0093448A" w:rsidRPr="00D35B04">
        <w:rPr>
          <w:rFonts w:ascii="Times New Roman" w:hAnsi="Times New Roman"/>
        </w:rPr>
        <w:t xml:space="preserve">'s reasoning </w:t>
      </w:r>
      <w:r w:rsidR="007F2E9F" w:rsidRPr="00D35B04">
        <w:rPr>
          <w:rFonts w:ascii="Times New Roman" w:hAnsi="Times New Roman"/>
        </w:rPr>
        <w:t xml:space="preserve">depended upon </w:t>
      </w:r>
      <w:r w:rsidR="008A66F0" w:rsidRPr="00D35B04">
        <w:rPr>
          <w:rFonts w:ascii="Times New Roman" w:hAnsi="Times New Roman"/>
        </w:rPr>
        <w:t>a conclusion that the producer had positively</w:t>
      </w:r>
      <w:r w:rsidR="00F9236B" w:rsidRPr="00D35B04">
        <w:rPr>
          <w:rFonts w:ascii="Times New Roman" w:hAnsi="Times New Roman"/>
        </w:rPr>
        <w:t xml:space="preserve"> denied a</w:t>
      </w:r>
      <w:r w:rsidR="00B35446" w:rsidRPr="00D35B04">
        <w:rPr>
          <w:rFonts w:ascii="Times New Roman" w:hAnsi="Times New Roman"/>
        </w:rPr>
        <w:t>n</w:t>
      </w:r>
      <w:r w:rsidR="00A16276" w:rsidRPr="00D35B04">
        <w:rPr>
          <w:rFonts w:ascii="Times New Roman" w:hAnsi="Times New Roman"/>
        </w:rPr>
        <w:t>y</w:t>
      </w:r>
      <w:r w:rsidR="00B35446" w:rsidRPr="00D35B04">
        <w:rPr>
          <w:rFonts w:ascii="Times New Roman" w:hAnsi="Times New Roman"/>
        </w:rPr>
        <w:t xml:space="preserve"> assumption of responsibility </w:t>
      </w:r>
      <w:r w:rsidR="006570D7" w:rsidRPr="00D35B04">
        <w:rPr>
          <w:rFonts w:ascii="Times New Roman" w:hAnsi="Times New Roman"/>
        </w:rPr>
        <w:t xml:space="preserve">for </w:t>
      </w:r>
      <w:r w:rsidR="00D50C13" w:rsidRPr="00D35B04">
        <w:rPr>
          <w:rFonts w:ascii="Times New Roman" w:hAnsi="Times New Roman"/>
        </w:rPr>
        <w:t xml:space="preserve">the </w:t>
      </w:r>
      <w:r w:rsidR="008C7957" w:rsidRPr="00D35B04">
        <w:rPr>
          <w:rFonts w:ascii="Times New Roman" w:hAnsi="Times New Roman"/>
        </w:rPr>
        <w:t>supply of uncontaminated seed</w:t>
      </w:r>
      <w:r w:rsidR="00B35446" w:rsidRPr="00D35B04">
        <w:rPr>
          <w:rFonts w:ascii="Times New Roman" w:hAnsi="Times New Roman"/>
        </w:rPr>
        <w:t>.</w:t>
      </w:r>
      <w:r w:rsidR="00F334F5" w:rsidRPr="00D35B04">
        <w:rPr>
          <w:rFonts w:ascii="Times New Roman" w:hAnsi="Times New Roman"/>
        </w:rPr>
        <w:t xml:space="preserve"> The </w:t>
      </w:r>
      <w:r w:rsidR="00A52038" w:rsidRPr="00D35B04">
        <w:rPr>
          <w:rFonts w:ascii="Times New Roman" w:hAnsi="Times New Roman"/>
        </w:rPr>
        <w:t xml:space="preserve">primary </w:t>
      </w:r>
      <w:r w:rsidR="00F334F5" w:rsidRPr="00D35B04">
        <w:rPr>
          <w:rFonts w:ascii="Times New Roman" w:hAnsi="Times New Roman"/>
        </w:rPr>
        <w:t xml:space="preserve">judge did not make findings about </w:t>
      </w:r>
      <w:r w:rsidR="00545A8C" w:rsidRPr="00D35B04">
        <w:rPr>
          <w:rFonts w:ascii="Times New Roman" w:hAnsi="Times New Roman"/>
        </w:rPr>
        <w:t xml:space="preserve">any assumption of responsibility by the producer that </w:t>
      </w:r>
      <w:r w:rsidR="00516953" w:rsidRPr="00D35B04">
        <w:rPr>
          <w:rFonts w:ascii="Times New Roman" w:hAnsi="Times New Roman"/>
        </w:rPr>
        <w:t>arose</w:t>
      </w:r>
      <w:r w:rsidR="00290F99" w:rsidRPr="00D35B04">
        <w:rPr>
          <w:rFonts w:ascii="Times New Roman" w:hAnsi="Times New Roman"/>
        </w:rPr>
        <w:t xml:space="preserve"> in the absence of the "disclaimer". </w:t>
      </w:r>
    </w:p>
    <w:p w14:paraId="40F11CEE" w14:textId="3BD491A2" w:rsidR="00241700" w:rsidRPr="00D35B04" w:rsidRDefault="00516953"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7C3DA0" w:rsidRPr="00D35B04">
        <w:rPr>
          <w:rFonts w:ascii="Times New Roman" w:hAnsi="Times New Roman"/>
        </w:rPr>
        <w:t>In the Court of Appeal,</w:t>
      </w:r>
      <w:r w:rsidR="00694947" w:rsidRPr="00D35B04">
        <w:rPr>
          <w:rFonts w:ascii="Times New Roman" w:hAnsi="Times New Roman"/>
        </w:rPr>
        <w:t xml:space="preserve"> </w:t>
      </w:r>
      <w:r w:rsidR="00241700" w:rsidRPr="00D35B04">
        <w:rPr>
          <w:rFonts w:ascii="Times New Roman" w:hAnsi="Times New Roman"/>
        </w:rPr>
        <w:t>Morrison JA (</w:t>
      </w:r>
      <w:r w:rsidR="00311AAB" w:rsidRPr="00D35B04">
        <w:rPr>
          <w:rFonts w:ascii="Times New Roman" w:hAnsi="Times New Roman"/>
        </w:rPr>
        <w:t xml:space="preserve">with whom </w:t>
      </w:r>
      <w:r w:rsidR="00241700" w:rsidRPr="00D35B04">
        <w:rPr>
          <w:rFonts w:ascii="Times New Roman" w:hAnsi="Times New Roman"/>
        </w:rPr>
        <w:t>Williams J agree</w:t>
      </w:r>
      <w:r w:rsidR="00311AAB" w:rsidRPr="00D35B04">
        <w:rPr>
          <w:rFonts w:ascii="Times New Roman" w:hAnsi="Times New Roman"/>
        </w:rPr>
        <w:t>d</w:t>
      </w:r>
      <w:r w:rsidR="00241700" w:rsidRPr="00D35B04">
        <w:rPr>
          <w:rFonts w:ascii="Times New Roman" w:hAnsi="Times New Roman"/>
        </w:rPr>
        <w:t xml:space="preserve">) noted that the duty of care identified by the growers in the Court of Appeal was stricter than the duty identified by the </w:t>
      </w:r>
      <w:r w:rsidR="00376B88" w:rsidRPr="00D35B04">
        <w:rPr>
          <w:rFonts w:ascii="Times New Roman" w:hAnsi="Times New Roman"/>
        </w:rPr>
        <w:t xml:space="preserve">primary </w:t>
      </w:r>
      <w:r w:rsidR="00241700" w:rsidRPr="00D35B04">
        <w:rPr>
          <w:rFonts w:ascii="Times New Roman" w:hAnsi="Times New Roman"/>
        </w:rPr>
        <w:t>judge: it was that "a manufacturer of a mass-produced product</w:t>
      </w:r>
      <w:r w:rsidR="00617967" w:rsidRPr="00D35B04">
        <w:rPr>
          <w:rFonts w:ascii="Times New Roman" w:hAnsi="Times New Roman"/>
        </w:rPr>
        <w:t>,</w:t>
      </w:r>
      <w:r w:rsidR="00241700" w:rsidRPr="00D35B04">
        <w:rPr>
          <w:rFonts w:ascii="Times New Roman" w:hAnsi="Times New Roman"/>
        </w:rPr>
        <w:t xml:space="preserve"> owes, in favour of end users who use the product as intended in the course of their business, a duty to take reasonable care in the production process to ensure that the product is free of hidden defects, which, if they later emerge, are </w:t>
      </w:r>
      <w:r w:rsidR="00241700" w:rsidRPr="00D35B04">
        <w:rPr>
          <w:rFonts w:ascii="Times New Roman" w:hAnsi="Times New Roman"/>
        </w:rPr>
        <w:lastRenderedPageBreak/>
        <w:t>likely to cause a particular kind of financial loss, or relevant financial loss to the business interest of the end user"</w:t>
      </w:r>
      <w:r w:rsidR="00CA073C" w:rsidRPr="00D35B04">
        <w:rPr>
          <w:rFonts w:ascii="Times New Roman" w:hAnsi="Times New Roman"/>
        </w:rPr>
        <w:t>.</w:t>
      </w:r>
      <w:r w:rsidR="00CA073C" w:rsidRPr="00D35B04">
        <w:rPr>
          <w:rStyle w:val="FootnoteReference"/>
          <w:rFonts w:ascii="Times New Roman" w:hAnsi="Times New Roman"/>
          <w:sz w:val="24"/>
        </w:rPr>
        <w:footnoteReference w:id="12"/>
      </w:r>
    </w:p>
    <w:p w14:paraId="46F6267B" w14:textId="4A98EB78" w:rsidR="00241700" w:rsidRPr="00D35B04" w:rsidRDefault="00CD2100"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241700" w:rsidRPr="00D35B04">
        <w:rPr>
          <w:rFonts w:ascii="Times New Roman" w:hAnsi="Times New Roman"/>
        </w:rPr>
        <w:t>Th</w:t>
      </w:r>
      <w:r w:rsidR="006201F5" w:rsidRPr="00D35B04">
        <w:rPr>
          <w:rFonts w:ascii="Times New Roman" w:hAnsi="Times New Roman"/>
        </w:rPr>
        <w:t xml:space="preserve">e growers </w:t>
      </w:r>
      <w:r w:rsidR="00CD400C" w:rsidRPr="00D35B04">
        <w:rPr>
          <w:rFonts w:ascii="Times New Roman" w:hAnsi="Times New Roman"/>
        </w:rPr>
        <w:t>advanced</w:t>
      </w:r>
      <w:r w:rsidR="006201F5" w:rsidRPr="00D35B04">
        <w:rPr>
          <w:rFonts w:ascii="Times New Roman" w:hAnsi="Times New Roman"/>
        </w:rPr>
        <w:t xml:space="preserve"> five reasons in support of the existence of that </w:t>
      </w:r>
      <w:r w:rsidR="00241700" w:rsidRPr="00D35B04">
        <w:rPr>
          <w:rFonts w:ascii="Times New Roman" w:hAnsi="Times New Roman"/>
        </w:rPr>
        <w:t>duty of care</w:t>
      </w:r>
      <w:r w:rsidR="00531767" w:rsidRPr="00D35B04">
        <w:rPr>
          <w:rFonts w:ascii="Times New Roman" w:hAnsi="Times New Roman"/>
        </w:rPr>
        <w:t>.</w:t>
      </w:r>
      <w:r w:rsidR="00531767" w:rsidRPr="00D35B04">
        <w:rPr>
          <w:rStyle w:val="FootnoteReference"/>
          <w:rFonts w:ascii="Times New Roman" w:hAnsi="Times New Roman"/>
          <w:sz w:val="24"/>
        </w:rPr>
        <w:footnoteReference w:id="13"/>
      </w:r>
      <w:r w:rsidR="00241700" w:rsidRPr="00D35B04">
        <w:rPr>
          <w:rFonts w:ascii="Times New Roman" w:hAnsi="Times New Roman"/>
        </w:rPr>
        <w:t xml:space="preserve"> First, the alleged duty "falls within the established category of duty of care of a manufacturer to an end user or arises by close analogy with it".</w:t>
      </w:r>
      <w:r w:rsidR="006F7787" w:rsidRPr="00D35B04">
        <w:rPr>
          <w:rStyle w:val="FootnoteReference"/>
          <w:rFonts w:ascii="Times New Roman" w:hAnsi="Times New Roman"/>
          <w:sz w:val="24"/>
        </w:rPr>
        <w:footnoteReference w:id="14"/>
      </w:r>
      <w:r w:rsidR="00241700" w:rsidRPr="00D35B04">
        <w:rPr>
          <w:rFonts w:ascii="Times New Roman" w:hAnsi="Times New Roman"/>
        </w:rPr>
        <w:t xml:space="preserve"> Secondly, the duty of care would not impose indeterminate liability on the producer. Thirdly, the economic losses suffered by the growers were reasonably foreseeable. Fourthly, the growers were vulnerable to a lack of care by </w:t>
      </w:r>
      <w:r w:rsidR="006F4408" w:rsidRPr="00D35B04">
        <w:rPr>
          <w:rFonts w:ascii="Times New Roman" w:hAnsi="Times New Roman"/>
        </w:rPr>
        <w:t xml:space="preserve">the producer </w:t>
      </w:r>
      <w:r w:rsidR="00241700" w:rsidRPr="00D35B04">
        <w:rPr>
          <w:rFonts w:ascii="Times New Roman" w:hAnsi="Times New Roman"/>
        </w:rPr>
        <w:t>in at least four ways: (</w:t>
      </w:r>
      <w:r w:rsidR="00FE1AB1" w:rsidRPr="00D35B04">
        <w:rPr>
          <w:rFonts w:ascii="Times New Roman" w:hAnsi="Times New Roman"/>
        </w:rPr>
        <w:t>1</w:t>
      </w:r>
      <w:r w:rsidR="00241700" w:rsidRPr="00D35B04">
        <w:rPr>
          <w:rFonts w:ascii="Times New Roman" w:hAnsi="Times New Roman"/>
        </w:rPr>
        <w:t>)</w:t>
      </w:r>
      <w:r w:rsidR="00E6198C" w:rsidRPr="00D35B04">
        <w:rPr>
          <w:rFonts w:ascii="Times New Roman" w:hAnsi="Times New Roman"/>
        </w:rPr>
        <w:t> </w:t>
      </w:r>
      <w:r w:rsidR="00241700" w:rsidRPr="00D35B04">
        <w:rPr>
          <w:rFonts w:ascii="Times New Roman" w:hAnsi="Times New Roman"/>
        </w:rPr>
        <w:t>the producer had the means to prevent contaminated seed "getting to market"; (</w:t>
      </w:r>
      <w:r w:rsidR="00FE1AB1" w:rsidRPr="00D35B04">
        <w:rPr>
          <w:rFonts w:ascii="Times New Roman" w:hAnsi="Times New Roman"/>
        </w:rPr>
        <w:t>2</w:t>
      </w:r>
      <w:r w:rsidR="00241700" w:rsidRPr="00D35B04">
        <w:rPr>
          <w:rFonts w:ascii="Times New Roman" w:hAnsi="Times New Roman"/>
        </w:rPr>
        <w:t>)</w:t>
      </w:r>
      <w:r w:rsidR="00E6198C" w:rsidRPr="00D35B04">
        <w:rPr>
          <w:rFonts w:ascii="Times New Roman" w:hAnsi="Times New Roman"/>
        </w:rPr>
        <w:t> </w:t>
      </w:r>
      <w:r w:rsidR="00241700" w:rsidRPr="00D35B04">
        <w:rPr>
          <w:rFonts w:ascii="Times New Roman" w:hAnsi="Times New Roman"/>
        </w:rPr>
        <w:t>it was unrealistic to expect the growers to negotiate for or obtain a warranty or indemnity from the producer or a distributor; (</w:t>
      </w:r>
      <w:r w:rsidR="00FE1AB1" w:rsidRPr="00D35B04">
        <w:rPr>
          <w:rFonts w:ascii="Times New Roman" w:hAnsi="Times New Roman"/>
        </w:rPr>
        <w:t>3</w:t>
      </w:r>
      <w:r w:rsidR="00241700" w:rsidRPr="00D35B04">
        <w:rPr>
          <w:rFonts w:ascii="Times New Roman" w:hAnsi="Times New Roman"/>
        </w:rPr>
        <w:t>)</w:t>
      </w:r>
      <w:r w:rsidR="00E6198C" w:rsidRPr="00D35B04">
        <w:rPr>
          <w:rFonts w:ascii="Times New Roman" w:hAnsi="Times New Roman"/>
        </w:rPr>
        <w:t> </w:t>
      </w:r>
      <w:r w:rsidR="00241700" w:rsidRPr="00D35B04">
        <w:rPr>
          <w:rFonts w:ascii="Times New Roman" w:hAnsi="Times New Roman"/>
        </w:rPr>
        <w:t>if the seed was contaminated it would likely damage the "fundamental income producing asset upon w</w:t>
      </w:r>
      <w:r w:rsidR="00DF6E6B" w:rsidRPr="00D35B04">
        <w:rPr>
          <w:rFonts w:ascii="Times New Roman" w:hAnsi="Times New Roman"/>
        </w:rPr>
        <w:t>hich</w:t>
      </w:r>
      <w:r w:rsidR="00241700" w:rsidRPr="00D35B04">
        <w:rPr>
          <w:rFonts w:ascii="Times New Roman" w:hAnsi="Times New Roman"/>
        </w:rPr>
        <w:t xml:space="preserve"> the [growers'] business depended"; and (</w:t>
      </w:r>
      <w:r w:rsidR="00FE1AB1" w:rsidRPr="00D35B04">
        <w:rPr>
          <w:rFonts w:ascii="Times New Roman" w:hAnsi="Times New Roman"/>
        </w:rPr>
        <w:t>4</w:t>
      </w:r>
      <w:r w:rsidR="00241700" w:rsidRPr="00D35B04">
        <w:rPr>
          <w:rFonts w:ascii="Times New Roman" w:hAnsi="Times New Roman"/>
        </w:rPr>
        <w:t>)</w:t>
      </w:r>
      <w:r w:rsidR="00E6198C" w:rsidRPr="00D35B04">
        <w:rPr>
          <w:rFonts w:ascii="Times New Roman" w:hAnsi="Times New Roman"/>
        </w:rPr>
        <w:t> </w:t>
      </w:r>
      <w:r w:rsidR="00241700" w:rsidRPr="00D35B04">
        <w:rPr>
          <w:rFonts w:ascii="Times New Roman" w:hAnsi="Times New Roman"/>
        </w:rPr>
        <w:t xml:space="preserve">by the time </w:t>
      </w:r>
      <w:r w:rsidR="003477B4" w:rsidRPr="00D35B04">
        <w:rPr>
          <w:rFonts w:ascii="Times New Roman" w:hAnsi="Times New Roman"/>
        </w:rPr>
        <w:t>any</w:t>
      </w:r>
      <w:r w:rsidR="00241700" w:rsidRPr="00D35B04">
        <w:rPr>
          <w:rFonts w:ascii="Times New Roman" w:hAnsi="Times New Roman"/>
        </w:rPr>
        <w:t xml:space="preserve"> contamination is discovered, it is too late for the growers to "readily or cheaply" reverse its effects on the productive capacity of the land.</w:t>
      </w:r>
      <w:r w:rsidR="00BD25C5" w:rsidRPr="00D35B04">
        <w:rPr>
          <w:rStyle w:val="FootnoteReference"/>
          <w:rFonts w:ascii="Times New Roman" w:hAnsi="Times New Roman"/>
          <w:sz w:val="24"/>
        </w:rPr>
        <w:footnoteReference w:id="15"/>
      </w:r>
      <w:r w:rsidR="00241700" w:rsidRPr="00D35B04">
        <w:rPr>
          <w:rFonts w:ascii="Times New Roman" w:hAnsi="Times New Roman"/>
        </w:rPr>
        <w:t xml:space="preserve"> </w:t>
      </w:r>
      <w:r w:rsidR="009214EF" w:rsidRPr="00D35B04">
        <w:rPr>
          <w:rFonts w:ascii="Times New Roman" w:hAnsi="Times New Roman"/>
        </w:rPr>
        <w:t>F</w:t>
      </w:r>
      <w:r w:rsidR="00241700" w:rsidRPr="00D35B04">
        <w:rPr>
          <w:rFonts w:ascii="Times New Roman" w:hAnsi="Times New Roman"/>
        </w:rPr>
        <w:t>ifthly, the producer was the person "with control of the risk coming home to the</w:t>
      </w:r>
      <w:r w:rsidR="0067017D" w:rsidRPr="00D35B04">
        <w:rPr>
          <w:rFonts w:ascii="Times New Roman" w:hAnsi="Times New Roman"/>
        </w:rPr>
        <w:t xml:space="preserve"> ...</w:t>
      </w:r>
      <w:r w:rsidR="00241700" w:rsidRPr="00D35B04">
        <w:rPr>
          <w:rFonts w:ascii="Times New Roman" w:hAnsi="Times New Roman"/>
        </w:rPr>
        <w:t xml:space="preserve"> [growers]; there was known reliance and there was </w:t>
      </w:r>
      <w:r w:rsidR="00374019" w:rsidRPr="00D35B04">
        <w:rPr>
          <w:rFonts w:ascii="Times New Roman" w:hAnsi="Times New Roman"/>
        </w:rPr>
        <w:t xml:space="preserve">[an] </w:t>
      </w:r>
      <w:r w:rsidR="00241700" w:rsidRPr="00D35B04">
        <w:rPr>
          <w:rFonts w:ascii="Times New Roman" w:hAnsi="Times New Roman"/>
        </w:rPr>
        <w:t>assumption of responsibility".</w:t>
      </w:r>
      <w:r w:rsidR="00BD25C5" w:rsidRPr="00D35B04">
        <w:rPr>
          <w:rStyle w:val="FootnoteReference"/>
          <w:rFonts w:ascii="Times New Roman" w:hAnsi="Times New Roman"/>
          <w:sz w:val="24"/>
        </w:rPr>
        <w:footnoteReference w:id="16"/>
      </w:r>
    </w:p>
    <w:p w14:paraId="05EA0994" w14:textId="1715DC22" w:rsidR="005D12C3" w:rsidRPr="00D35B04" w:rsidRDefault="00433A2A"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5D12C3" w:rsidRPr="00D35B04">
        <w:rPr>
          <w:rFonts w:ascii="Times New Roman" w:hAnsi="Times New Roman"/>
        </w:rPr>
        <w:t xml:space="preserve">Morrison JA rejected </w:t>
      </w:r>
      <w:r w:rsidR="001172A2" w:rsidRPr="00D35B04">
        <w:rPr>
          <w:rFonts w:ascii="Times New Roman" w:hAnsi="Times New Roman"/>
        </w:rPr>
        <w:t xml:space="preserve">the growers' contentions on each point. </w:t>
      </w:r>
      <w:r w:rsidR="00E01722" w:rsidRPr="00D35B04">
        <w:rPr>
          <w:rFonts w:ascii="Times New Roman" w:hAnsi="Times New Roman"/>
        </w:rPr>
        <w:t xml:space="preserve">As to the first reason, </w:t>
      </w:r>
      <w:r w:rsidR="0021032D" w:rsidRPr="00D35B04">
        <w:rPr>
          <w:rFonts w:ascii="Times New Roman" w:hAnsi="Times New Roman"/>
        </w:rPr>
        <w:t>his Honour did not accept</w:t>
      </w:r>
      <w:r w:rsidR="00AA31CD" w:rsidRPr="00D35B04">
        <w:rPr>
          <w:rFonts w:ascii="Times New Roman" w:hAnsi="Times New Roman"/>
        </w:rPr>
        <w:t xml:space="preserve"> </w:t>
      </w:r>
      <w:r w:rsidR="00964117" w:rsidRPr="00D35B04">
        <w:rPr>
          <w:rFonts w:ascii="Times New Roman" w:hAnsi="Times New Roman"/>
        </w:rPr>
        <w:t xml:space="preserve">that </w:t>
      </w:r>
      <w:proofErr w:type="spellStart"/>
      <w:r w:rsidR="00AB22E5" w:rsidRPr="00D35B04">
        <w:rPr>
          <w:rFonts w:ascii="Times New Roman" w:hAnsi="Times New Roman"/>
          <w:i/>
          <w:iCs/>
        </w:rPr>
        <w:t>Dovuro</w:t>
      </w:r>
      <w:proofErr w:type="spellEnd"/>
      <w:r w:rsidR="001C0822" w:rsidRPr="00D35B04">
        <w:rPr>
          <w:rFonts w:ascii="Times New Roman" w:hAnsi="Times New Roman"/>
          <w:i/>
          <w:iCs/>
        </w:rPr>
        <w:t xml:space="preserve"> Pty Ltd</w:t>
      </w:r>
      <w:r w:rsidR="00AB22E5" w:rsidRPr="00D35B04">
        <w:rPr>
          <w:rFonts w:ascii="Times New Roman" w:hAnsi="Times New Roman"/>
          <w:i/>
          <w:iCs/>
        </w:rPr>
        <w:t xml:space="preserve"> v Wil</w:t>
      </w:r>
      <w:r w:rsidR="00AD4736" w:rsidRPr="00D35B04">
        <w:rPr>
          <w:rFonts w:ascii="Times New Roman" w:hAnsi="Times New Roman"/>
          <w:i/>
          <w:iCs/>
        </w:rPr>
        <w:t>kins</w:t>
      </w:r>
      <w:r w:rsidR="00AB22E5" w:rsidRPr="00D35B04">
        <w:rPr>
          <w:rStyle w:val="FootnoteReference"/>
          <w:rFonts w:ascii="Times New Roman" w:hAnsi="Times New Roman"/>
          <w:sz w:val="24"/>
        </w:rPr>
        <w:footnoteReference w:id="17"/>
      </w:r>
      <w:r w:rsidR="00692FE6" w:rsidRPr="00D35B04">
        <w:rPr>
          <w:rFonts w:ascii="Times New Roman" w:hAnsi="Times New Roman"/>
          <w:i/>
          <w:iCs/>
        </w:rPr>
        <w:t xml:space="preserve"> </w:t>
      </w:r>
      <w:r w:rsidR="00964117" w:rsidRPr="00D35B04">
        <w:rPr>
          <w:rFonts w:ascii="Times New Roman" w:hAnsi="Times New Roman"/>
        </w:rPr>
        <w:t xml:space="preserve">offered any real support for the existence of a duty of care in this case, concluding that, at best, </w:t>
      </w:r>
      <w:r w:rsidR="00287E83" w:rsidRPr="00D35B04">
        <w:rPr>
          <w:rFonts w:ascii="Times New Roman" w:hAnsi="Times New Roman"/>
        </w:rPr>
        <w:t>that decision</w:t>
      </w:r>
      <w:r w:rsidR="00964117" w:rsidRPr="00D35B04">
        <w:rPr>
          <w:rFonts w:ascii="Times New Roman" w:hAnsi="Times New Roman"/>
        </w:rPr>
        <w:t xml:space="preserve"> suggests that a seed manufacturer might owe a duty of care to end users, in respect of economic loss, in a different factual scenario.</w:t>
      </w:r>
      <w:r w:rsidR="00964117" w:rsidRPr="00D35B04">
        <w:rPr>
          <w:rStyle w:val="FootnoteReference"/>
          <w:rFonts w:ascii="Times New Roman" w:hAnsi="Times New Roman"/>
          <w:sz w:val="24"/>
        </w:rPr>
        <w:footnoteReference w:id="18"/>
      </w:r>
      <w:r w:rsidR="0034080B" w:rsidRPr="00D35B04">
        <w:rPr>
          <w:rFonts w:ascii="Times New Roman" w:hAnsi="Times New Roman"/>
        </w:rPr>
        <w:t xml:space="preserve"> As to the </w:t>
      </w:r>
      <w:r w:rsidR="009237DB" w:rsidRPr="00D35B04">
        <w:rPr>
          <w:rFonts w:ascii="Times New Roman" w:hAnsi="Times New Roman"/>
        </w:rPr>
        <w:t xml:space="preserve">second, third and fourth </w:t>
      </w:r>
      <w:r w:rsidR="0034080B" w:rsidRPr="00D35B04">
        <w:rPr>
          <w:rFonts w:ascii="Times New Roman" w:hAnsi="Times New Roman"/>
        </w:rPr>
        <w:t>reason</w:t>
      </w:r>
      <w:r w:rsidR="009237DB" w:rsidRPr="00D35B04">
        <w:rPr>
          <w:rFonts w:ascii="Times New Roman" w:hAnsi="Times New Roman"/>
        </w:rPr>
        <w:t>s</w:t>
      </w:r>
      <w:r w:rsidR="0034080B" w:rsidRPr="00D35B04">
        <w:rPr>
          <w:rFonts w:ascii="Times New Roman" w:hAnsi="Times New Roman"/>
        </w:rPr>
        <w:t xml:space="preserve">, his Honour </w:t>
      </w:r>
      <w:r w:rsidR="00D7447C" w:rsidRPr="00D35B04">
        <w:rPr>
          <w:rFonts w:ascii="Times New Roman" w:hAnsi="Times New Roman"/>
        </w:rPr>
        <w:t xml:space="preserve">found </w:t>
      </w:r>
      <w:r w:rsidR="0034080B" w:rsidRPr="00D35B04">
        <w:rPr>
          <w:rFonts w:ascii="Times New Roman" w:hAnsi="Times New Roman"/>
        </w:rPr>
        <w:t xml:space="preserve">that </w:t>
      </w:r>
      <w:r w:rsidR="005A4123" w:rsidRPr="00D35B04">
        <w:rPr>
          <w:rFonts w:ascii="Times New Roman" w:hAnsi="Times New Roman"/>
        </w:rPr>
        <w:t xml:space="preserve">those features of the relationship did not </w:t>
      </w:r>
      <w:r w:rsidR="005A4123" w:rsidRPr="00D35B04">
        <w:rPr>
          <w:rFonts w:ascii="Times New Roman" w:hAnsi="Times New Roman"/>
        </w:rPr>
        <w:lastRenderedPageBreak/>
        <w:t xml:space="preserve">outweigh the </w:t>
      </w:r>
      <w:r w:rsidR="00F6524F" w:rsidRPr="00D35B04">
        <w:rPr>
          <w:rFonts w:ascii="Times New Roman" w:hAnsi="Times New Roman"/>
        </w:rPr>
        <w:t>effect of the disclaimer on the bags</w:t>
      </w:r>
      <w:r w:rsidR="00F849D4" w:rsidRPr="00D35B04">
        <w:rPr>
          <w:rFonts w:ascii="Times New Roman" w:hAnsi="Times New Roman"/>
        </w:rPr>
        <w:t>,</w:t>
      </w:r>
      <w:r w:rsidR="00F6524F" w:rsidRPr="00D35B04">
        <w:rPr>
          <w:rFonts w:ascii="Times New Roman" w:hAnsi="Times New Roman"/>
        </w:rPr>
        <w:t xml:space="preserve"> which negated the duty of care.</w:t>
      </w:r>
      <w:r w:rsidR="00F6524F" w:rsidRPr="00D35B04">
        <w:rPr>
          <w:rStyle w:val="FootnoteReference"/>
          <w:rFonts w:ascii="Times New Roman" w:hAnsi="Times New Roman"/>
          <w:sz w:val="24"/>
        </w:rPr>
        <w:footnoteReference w:id="19"/>
      </w:r>
      <w:r w:rsidR="00B8769B" w:rsidRPr="00D35B04">
        <w:rPr>
          <w:rFonts w:ascii="Times New Roman" w:hAnsi="Times New Roman"/>
        </w:rPr>
        <w:t xml:space="preserve"> As to the fifth reason,</w:t>
      </w:r>
      <w:r w:rsidR="005303F9" w:rsidRPr="00D35B04">
        <w:rPr>
          <w:rFonts w:ascii="Times New Roman" w:hAnsi="Times New Roman"/>
        </w:rPr>
        <w:t xml:space="preserve"> Morrison</w:t>
      </w:r>
      <w:r w:rsidR="00E6198C" w:rsidRPr="00D35B04">
        <w:rPr>
          <w:rFonts w:ascii="Times New Roman" w:hAnsi="Times New Roman"/>
        </w:rPr>
        <w:t> </w:t>
      </w:r>
      <w:r w:rsidR="005303F9" w:rsidRPr="00D35B04">
        <w:rPr>
          <w:rFonts w:ascii="Times New Roman" w:hAnsi="Times New Roman"/>
        </w:rPr>
        <w:t xml:space="preserve">JA found that known reliance was not pleaded and the growers should not be permitted to </w:t>
      </w:r>
      <w:r w:rsidR="001B3166" w:rsidRPr="00D35B04">
        <w:rPr>
          <w:rFonts w:ascii="Times New Roman" w:hAnsi="Times New Roman"/>
        </w:rPr>
        <w:t xml:space="preserve">change </w:t>
      </w:r>
      <w:r w:rsidR="00D407C7" w:rsidRPr="00D35B04">
        <w:rPr>
          <w:rFonts w:ascii="Times New Roman" w:hAnsi="Times New Roman"/>
        </w:rPr>
        <w:t>their</w:t>
      </w:r>
      <w:r w:rsidR="001B3166" w:rsidRPr="00D35B04">
        <w:rPr>
          <w:rFonts w:ascii="Times New Roman" w:hAnsi="Times New Roman"/>
        </w:rPr>
        <w:t xml:space="preserve"> case to introduce that issue.</w:t>
      </w:r>
      <w:r w:rsidR="001B3166" w:rsidRPr="00D35B04">
        <w:rPr>
          <w:rStyle w:val="FootnoteReference"/>
          <w:rFonts w:ascii="Times New Roman" w:hAnsi="Times New Roman"/>
          <w:sz w:val="24"/>
        </w:rPr>
        <w:footnoteReference w:id="20"/>
      </w:r>
      <w:r w:rsidR="00E31016" w:rsidRPr="00D35B04">
        <w:rPr>
          <w:rFonts w:ascii="Times New Roman" w:hAnsi="Times New Roman"/>
        </w:rPr>
        <w:t xml:space="preserve"> </w:t>
      </w:r>
      <w:r w:rsidR="007B1D99" w:rsidRPr="00D35B04">
        <w:rPr>
          <w:rFonts w:ascii="Times New Roman" w:hAnsi="Times New Roman"/>
        </w:rPr>
        <w:t xml:space="preserve">He </w:t>
      </w:r>
      <w:r w:rsidR="0000191D" w:rsidRPr="00D35B04">
        <w:rPr>
          <w:rFonts w:ascii="Times New Roman" w:hAnsi="Times New Roman"/>
        </w:rPr>
        <w:t>accept</w:t>
      </w:r>
      <w:r w:rsidR="007B1D99" w:rsidRPr="00D35B04">
        <w:rPr>
          <w:rFonts w:ascii="Times New Roman" w:hAnsi="Times New Roman"/>
        </w:rPr>
        <w:t xml:space="preserve">ed that the growers had brought a case based on assumption of responsibility </w:t>
      </w:r>
      <w:r w:rsidR="00246499" w:rsidRPr="00D35B04">
        <w:rPr>
          <w:rFonts w:ascii="Times New Roman" w:hAnsi="Times New Roman"/>
        </w:rPr>
        <w:t>arising from</w:t>
      </w:r>
      <w:r w:rsidR="007B1D99" w:rsidRPr="00D35B04">
        <w:rPr>
          <w:rFonts w:ascii="Times New Roman" w:hAnsi="Times New Roman"/>
        </w:rPr>
        <w:t xml:space="preserve"> the producer's</w:t>
      </w:r>
      <w:r w:rsidR="009252C1" w:rsidRPr="00D35B04">
        <w:rPr>
          <w:rFonts w:ascii="Times New Roman" w:hAnsi="Times New Roman"/>
        </w:rPr>
        <w:t xml:space="preserve"> "thorough processes to guard against contaminants in the seed"</w:t>
      </w:r>
      <w:r w:rsidR="00132477" w:rsidRPr="00D35B04">
        <w:rPr>
          <w:rFonts w:ascii="Times New Roman" w:hAnsi="Times New Roman"/>
        </w:rPr>
        <w:t>,</w:t>
      </w:r>
      <w:r w:rsidR="009252C1" w:rsidRPr="00D35B04">
        <w:rPr>
          <w:rStyle w:val="FootnoteReference"/>
          <w:rFonts w:ascii="Times New Roman" w:hAnsi="Times New Roman"/>
          <w:sz w:val="24"/>
        </w:rPr>
        <w:footnoteReference w:id="21"/>
      </w:r>
      <w:r w:rsidR="00132477" w:rsidRPr="00D35B04">
        <w:rPr>
          <w:rFonts w:ascii="Times New Roman" w:hAnsi="Times New Roman"/>
        </w:rPr>
        <w:t xml:space="preserve"> but reiterated that this </w:t>
      </w:r>
      <w:r w:rsidR="000113AC" w:rsidRPr="00D35B04">
        <w:rPr>
          <w:rFonts w:ascii="Times New Roman" w:hAnsi="Times New Roman"/>
        </w:rPr>
        <w:t>assumption was negated by the so-called disclaimer.</w:t>
      </w:r>
      <w:r w:rsidR="000113AC" w:rsidRPr="00D35B04">
        <w:rPr>
          <w:rStyle w:val="FootnoteReference"/>
          <w:rFonts w:ascii="Times New Roman" w:hAnsi="Times New Roman"/>
          <w:sz w:val="24"/>
        </w:rPr>
        <w:footnoteReference w:id="22"/>
      </w:r>
      <w:r w:rsidR="0000191D" w:rsidRPr="00D35B04">
        <w:rPr>
          <w:rFonts w:ascii="Times New Roman" w:hAnsi="Times New Roman"/>
        </w:rPr>
        <w:t xml:space="preserve"> Ultimately, Morrison JA considered that the lengths to which the producer went to make the disclaimer made the case "distinctly inapt as one where </w:t>
      </w:r>
      <w:r w:rsidR="0055100A" w:rsidRPr="00D35B04">
        <w:rPr>
          <w:rFonts w:ascii="Times New Roman" w:hAnsi="Times New Roman"/>
        </w:rPr>
        <w:t>[</w:t>
      </w:r>
      <w:r w:rsidR="0000191D" w:rsidRPr="00D35B04">
        <w:rPr>
          <w:rFonts w:ascii="Times New Roman" w:hAnsi="Times New Roman"/>
        </w:rPr>
        <w:t>the Court of Appeal</w:t>
      </w:r>
      <w:r w:rsidR="0055100A" w:rsidRPr="00D35B04">
        <w:rPr>
          <w:rFonts w:ascii="Times New Roman" w:hAnsi="Times New Roman"/>
        </w:rPr>
        <w:t>]</w:t>
      </w:r>
      <w:r w:rsidR="0000191D" w:rsidRPr="00D35B04">
        <w:rPr>
          <w:rFonts w:ascii="Times New Roman" w:hAnsi="Times New Roman"/>
        </w:rPr>
        <w:t xml:space="preserve"> might expand the categories </w:t>
      </w:r>
      <w:r w:rsidR="00D739D2" w:rsidRPr="00D35B04">
        <w:rPr>
          <w:rFonts w:ascii="Times New Roman" w:hAnsi="Times New Roman"/>
        </w:rPr>
        <w:t xml:space="preserve">where a </w:t>
      </w:r>
      <w:r w:rsidR="0000191D" w:rsidRPr="00D35B04">
        <w:rPr>
          <w:rFonts w:ascii="Times New Roman" w:hAnsi="Times New Roman"/>
        </w:rPr>
        <w:t xml:space="preserve">duty of care </w:t>
      </w:r>
      <w:r w:rsidR="00D739D2" w:rsidRPr="00D35B04">
        <w:rPr>
          <w:rFonts w:ascii="Times New Roman" w:hAnsi="Times New Roman"/>
        </w:rPr>
        <w:t xml:space="preserve">has been held to exist where the loss is </w:t>
      </w:r>
      <w:r w:rsidR="0000191D" w:rsidRPr="00D35B04">
        <w:rPr>
          <w:rFonts w:ascii="Times New Roman" w:hAnsi="Times New Roman"/>
        </w:rPr>
        <w:t>pure economic loss</w:t>
      </w:r>
      <w:r w:rsidR="00D739D2" w:rsidRPr="00D35B04">
        <w:rPr>
          <w:rFonts w:ascii="Times New Roman" w:hAnsi="Times New Roman"/>
        </w:rPr>
        <w:t>"</w:t>
      </w:r>
      <w:r w:rsidR="0000191D" w:rsidRPr="00D35B04">
        <w:rPr>
          <w:rFonts w:ascii="Times New Roman" w:hAnsi="Times New Roman"/>
        </w:rPr>
        <w:t>.</w:t>
      </w:r>
      <w:r w:rsidR="0000191D" w:rsidRPr="00D35B04">
        <w:rPr>
          <w:rStyle w:val="FootnoteReference"/>
          <w:rFonts w:ascii="Times New Roman" w:hAnsi="Times New Roman"/>
          <w:sz w:val="24"/>
        </w:rPr>
        <w:footnoteReference w:id="23"/>
      </w:r>
    </w:p>
    <w:p w14:paraId="060CFFCB" w14:textId="0FAEA2C5" w:rsidR="00233DC8" w:rsidRPr="00D35B04" w:rsidRDefault="00767F9B"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Concerning assumption of responsibility, </w:t>
      </w:r>
      <w:r w:rsidR="0030359C" w:rsidRPr="00D35B04">
        <w:rPr>
          <w:rFonts w:ascii="Times New Roman" w:hAnsi="Times New Roman"/>
        </w:rPr>
        <w:t xml:space="preserve">Morrison JA </w:t>
      </w:r>
      <w:r w:rsidR="00325364" w:rsidRPr="00D35B04">
        <w:rPr>
          <w:rFonts w:ascii="Times New Roman" w:hAnsi="Times New Roman"/>
        </w:rPr>
        <w:t>considered</w:t>
      </w:r>
      <w:r w:rsidR="00F56D2B" w:rsidRPr="00D35B04">
        <w:rPr>
          <w:rFonts w:ascii="Times New Roman" w:hAnsi="Times New Roman"/>
        </w:rPr>
        <w:t xml:space="preserve"> that a party's assumption of responsibility is a fact found from evidence relating to the relationship between the parties, their conduct, and the reliance of the other party.</w:t>
      </w:r>
      <w:r w:rsidR="00F56D2B" w:rsidRPr="00D35B04">
        <w:rPr>
          <w:rStyle w:val="FootnoteReference"/>
          <w:rFonts w:ascii="Times New Roman" w:hAnsi="Times New Roman"/>
          <w:sz w:val="24"/>
        </w:rPr>
        <w:footnoteReference w:id="24"/>
      </w:r>
      <w:r w:rsidR="00FB7B4E" w:rsidRPr="00D35B04">
        <w:rPr>
          <w:rFonts w:ascii="Times New Roman" w:hAnsi="Times New Roman"/>
        </w:rPr>
        <w:t xml:space="preserve"> Equally, his Honour noted, whether conduct has the effect of negating the assumption of responsibility is a question of fact based on evidence. </w:t>
      </w:r>
      <w:r w:rsidR="0099054A" w:rsidRPr="00D35B04">
        <w:rPr>
          <w:rFonts w:ascii="Times New Roman" w:hAnsi="Times New Roman"/>
        </w:rPr>
        <w:t>Morr</w:t>
      </w:r>
      <w:r w:rsidR="00621776" w:rsidRPr="00D35B04">
        <w:rPr>
          <w:rFonts w:ascii="Times New Roman" w:hAnsi="Times New Roman"/>
        </w:rPr>
        <w:t>ison</w:t>
      </w:r>
      <w:r w:rsidR="0099054A" w:rsidRPr="00D35B04">
        <w:rPr>
          <w:rFonts w:ascii="Times New Roman" w:hAnsi="Times New Roman"/>
        </w:rPr>
        <w:t xml:space="preserve"> JA concluded that </w:t>
      </w:r>
      <w:r w:rsidR="00621776" w:rsidRPr="00D35B04">
        <w:rPr>
          <w:rFonts w:ascii="Times New Roman" w:hAnsi="Times New Roman"/>
        </w:rPr>
        <w:t>the</w:t>
      </w:r>
      <w:r w:rsidR="00675FB2" w:rsidRPr="00D35B04">
        <w:rPr>
          <w:rFonts w:ascii="Times New Roman" w:hAnsi="Times New Roman"/>
        </w:rPr>
        <w:t xml:space="preserve"> words on the seed bags delivered the following "clear message" to the consumer: "You should be aware </w:t>
      </w:r>
      <w:r w:rsidR="00797A1A" w:rsidRPr="00D35B04">
        <w:rPr>
          <w:rFonts w:ascii="Times New Roman" w:hAnsi="Times New Roman"/>
        </w:rPr>
        <w:t xml:space="preserve">this product may contain contaminants which could cause losses to the business, and you must be aware that if losses emerged, they're </w:t>
      </w:r>
      <w:r w:rsidR="00360C40" w:rsidRPr="00D35B04">
        <w:rPr>
          <w:rFonts w:ascii="Times New Roman" w:hAnsi="Times New Roman"/>
        </w:rPr>
        <w:t xml:space="preserve">at </w:t>
      </w:r>
      <w:r w:rsidR="00797A1A" w:rsidRPr="00D35B04">
        <w:rPr>
          <w:rFonts w:ascii="Times New Roman" w:hAnsi="Times New Roman"/>
        </w:rPr>
        <w:t xml:space="preserve">your risk, not ours. And if you buy our product, you must take on the risk </w:t>
      </w:r>
      <w:r w:rsidR="004817AF" w:rsidRPr="00D35B04">
        <w:rPr>
          <w:rFonts w:ascii="Times New Roman" w:hAnsi="Times New Roman"/>
        </w:rPr>
        <w:t>[that]</w:t>
      </w:r>
      <w:r w:rsidR="008D5192" w:rsidRPr="00D35B04">
        <w:rPr>
          <w:rFonts w:ascii="Times New Roman" w:hAnsi="Times New Roman"/>
        </w:rPr>
        <w:t xml:space="preserve"> it may be so contaminated"</w:t>
      </w:r>
      <w:r w:rsidR="004817AF" w:rsidRPr="00D35B04">
        <w:rPr>
          <w:rFonts w:ascii="Times New Roman" w:hAnsi="Times New Roman"/>
        </w:rPr>
        <w:t>.</w:t>
      </w:r>
      <w:r w:rsidR="004817AF" w:rsidRPr="00D35B04">
        <w:rPr>
          <w:rStyle w:val="FootnoteReference"/>
          <w:rFonts w:ascii="Times New Roman" w:hAnsi="Times New Roman"/>
          <w:sz w:val="24"/>
        </w:rPr>
        <w:footnoteReference w:id="25"/>
      </w:r>
      <w:r w:rsidR="0098138C" w:rsidRPr="00D35B04">
        <w:rPr>
          <w:rFonts w:ascii="Times New Roman" w:hAnsi="Times New Roman"/>
        </w:rPr>
        <w:t xml:space="preserve"> </w:t>
      </w:r>
    </w:p>
    <w:p w14:paraId="418DD7CF" w14:textId="281F5429" w:rsidR="00C30227" w:rsidRPr="00D35B04" w:rsidRDefault="00D55CD6"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Bond JA </w:t>
      </w:r>
      <w:r w:rsidR="001921F3" w:rsidRPr="00D35B04">
        <w:rPr>
          <w:rFonts w:ascii="Times New Roman" w:hAnsi="Times New Roman"/>
        </w:rPr>
        <w:t>wrote separate reasons, with which M</w:t>
      </w:r>
      <w:r w:rsidR="00D85A81" w:rsidRPr="00D35B04">
        <w:rPr>
          <w:rFonts w:ascii="Times New Roman" w:hAnsi="Times New Roman"/>
        </w:rPr>
        <w:t>orrison JA</w:t>
      </w:r>
      <w:r w:rsidR="001921F3" w:rsidRPr="00D35B04">
        <w:rPr>
          <w:rFonts w:ascii="Times New Roman" w:hAnsi="Times New Roman"/>
        </w:rPr>
        <w:t xml:space="preserve"> and W</w:t>
      </w:r>
      <w:r w:rsidR="00D85A81" w:rsidRPr="00D35B04">
        <w:rPr>
          <w:rFonts w:ascii="Times New Roman" w:hAnsi="Times New Roman"/>
        </w:rPr>
        <w:t>illiams J</w:t>
      </w:r>
      <w:r w:rsidR="001921F3" w:rsidRPr="00D35B04">
        <w:rPr>
          <w:rFonts w:ascii="Times New Roman" w:hAnsi="Times New Roman"/>
        </w:rPr>
        <w:t xml:space="preserve"> also agreed. </w:t>
      </w:r>
      <w:r w:rsidR="00CF692A" w:rsidRPr="00D35B04">
        <w:rPr>
          <w:rFonts w:ascii="Times New Roman" w:hAnsi="Times New Roman"/>
        </w:rPr>
        <w:t xml:space="preserve">Bond JA posed the question </w:t>
      </w:r>
      <w:r w:rsidR="00A32DAC" w:rsidRPr="00D35B04">
        <w:rPr>
          <w:rFonts w:ascii="Times New Roman" w:hAnsi="Times New Roman"/>
        </w:rPr>
        <w:t xml:space="preserve">as </w:t>
      </w:r>
      <w:r w:rsidR="00CF692A" w:rsidRPr="00D35B04">
        <w:rPr>
          <w:rFonts w:ascii="Times New Roman" w:hAnsi="Times New Roman"/>
        </w:rPr>
        <w:t xml:space="preserve">whether the tort of negligence should provide the growers a remedy by enabling them to "leapfrog up the contractual </w:t>
      </w:r>
      <w:r w:rsidR="00CF692A" w:rsidRPr="00D35B04">
        <w:rPr>
          <w:rFonts w:ascii="Times New Roman" w:hAnsi="Times New Roman"/>
        </w:rPr>
        <w:lastRenderedPageBreak/>
        <w:t>chain" to l</w:t>
      </w:r>
      <w:r w:rsidR="002241DE" w:rsidRPr="00D35B04">
        <w:rPr>
          <w:rFonts w:ascii="Times New Roman" w:hAnsi="Times New Roman"/>
        </w:rPr>
        <w:t>ook to the producer for compensation rather than the distributor.</w:t>
      </w:r>
      <w:r w:rsidR="002241DE" w:rsidRPr="00D35B04">
        <w:rPr>
          <w:rStyle w:val="FootnoteReference"/>
          <w:rFonts w:ascii="Times New Roman" w:hAnsi="Times New Roman"/>
          <w:sz w:val="24"/>
        </w:rPr>
        <w:footnoteReference w:id="26"/>
      </w:r>
      <w:r w:rsidR="005745F1" w:rsidRPr="00D35B04">
        <w:rPr>
          <w:rFonts w:ascii="Times New Roman" w:hAnsi="Times New Roman"/>
        </w:rPr>
        <w:t xml:space="preserve"> His Honour also asked whether the scope of statutory protections in the </w:t>
      </w:r>
      <w:r w:rsidR="005745F1" w:rsidRPr="00D35B04">
        <w:rPr>
          <w:rFonts w:ascii="Times New Roman" w:hAnsi="Times New Roman"/>
          <w:i/>
          <w:iCs/>
        </w:rPr>
        <w:t>Australian Consumer Law</w:t>
      </w:r>
      <w:r w:rsidR="00E92654" w:rsidRPr="00D35B04">
        <w:rPr>
          <w:rFonts w:ascii="Times New Roman" w:hAnsi="Times New Roman"/>
          <w:i/>
          <w:iCs/>
        </w:rPr>
        <w:t xml:space="preserve"> </w:t>
      </w:r>
      <w:r w:rsidR="00E92654" w:rsidRPr="00D35B04">
        <w:rPr>
          <w:rFonts w:ascii="Times New Roman" w:hAnsi="Times New Roman"/>
        </w:rPr>
        <w:t>concerning the supply of defective goods</w:t>
      </w:r>
      <w:r w:rsidR="005745F1" w:rsidRPr="00D35B04">
        <w:rPr>
          <w:rFonts w:ascii="Times New Roman" w:hAnsi="Times New Roman"/>
        </w:rPr>
        <w:t>,</w:t>
      </w:r>
      <w:r w:rsidR="005745F1" w:rsidRPr="00D35B04">
        <w:rPr>
          <w:rFonts w:ascii="Times New Roman" w:hAnsi="Times New Roman"/>
          <w:i/>
          <w:iCs/>
        </w:rPr>
        <w:t xml:space="preserve"> </w:t>
      </w:r>
      <w:r w:rsidR="005745F1" w:rsidRPr="00D35B04">
        <w:rPr>
          <w:rFonts w:ascii="Times New Roman" w:hAnsi="Times New Roman"/>
        </w:rPr>
        <w:t xml:space="preserve">which did not </w:t>
      </w:r>
      <w:r w:rsidR="00E92654" w:rsidRPr="00D35B04">
        <w:rPr>
          <w:rFonts w:ascii="Times New Roman" w:hAnsi="Times New Roman"/>
        </w:rPr>
        <w:t>cover the growers, affected the scope of the tort of negligence.</w:t>
      </w:r>
      <w:r w:rsidR="002241DE" w:rsidRPr="00D35B04">
        <w:rPr>
          <w:rFonts w:ascii="Times New Roman" w:hAnsi="Times New Roman"/>
        </w:rPr>
        <w:t xml:space="preserve"> </w:t>
      </w:r>
      <w:r w:rsidR="00DC7A4F" w:rsidRPr="00D35B04">
        <w:rPr>
          <w:rFonts w:ascii="Times New Roman" w:hAnsi="Times New Roman"/>
        </w:rPr>
        <w:t xml:space="preserve">Bond JA identified five </w:t>
      </w:r>
      <w:r w:rsidR="00783C82" w:rsidRPr="00D35B04">
        <w:rPr>
          <w:rFonts w:ascii="Times New Roman" w:hAnsi="Times New Roman"/>
        </w:rPr>
        <w:t>reasons for concluding that the</w:t>
      </w:r>
      <w:r w:rsidR="00DC7A4F" w:rsidRPr="00D35B04">
        <w:rPr>
          <w:rFonts w:ascii="Times New Roman" w:hAnsi="Times New Roman"/>
        </w:rPr>
        <w:t xml:space="preserve"> </w:t>
      </w:r>
      <w:r w:rsidR="00132719" w:rsidRPr="00D35B04">
        <w:rPr>
          <w:rFonts w:ascii="Times New Roman" w:hAnsi="Times New Roman"/>
        </w:rPr>
        <w:t>circu</w:t>
      </w:r>
      <w:r w:rsidR="00A36599" w:rsidRPr="00D35B04">
        <w:rPr>
          <w:rFonts w:ascii="Times New Roman" w:hAnsi="Times New Roman"/>
        </w:rPr>
        <w:t>mstances</w:t>
      </w:r>
      <w:r w:rsidR="00DC7A4F" w:rsidRPr="00D35B04">
        <w:rPr>
          <w:rFonts w:ascii="Times New Roman" w:hAnsi="Times New Roman"/>
        </w:rPr>
        <w:t xml:space="preserve"> of the case did not justify departure from the general rule denying </w:t>
      </w:r>
      <w:r w:rsidR="003F6C0E" w:rsidRPr="00D35B04">
        <w:rPr>
          <w:rFonts w:ascii="Times New Roman" w:hAnsi="Times New Roman"/>
        </w:rPr>
        <w:t>liability in negligence for pure economic loss.</w:t>
      </w:r>
      <w:r w:rsidR="006575B8" w:rsidRPr="00D35B04">
        <w:rPr>
          <w:rStyle w:val="FootnoteReference"/>
          <w:rFonts w:ascii="Times New Roman" w:hAnsi="Times New Roman"/>
          <w:sz w:val="24"/>
        </w:rPr>
        <w:footnoteReference w:id="27"/>
      </w:r>
      <w:r w:rsidR="003F6C0E" w:rsidRPr="00D35B04">
        <w:rPr>
          <w:rFonts w:ascii="Times New Roman" w:hAnsi="Times New Roman"/>
        </w:rPr>
        <w:t xml:space="preserve"> These were: (1)</w:t>
      </w:r>
      <w:r w:rsidR="00E6198C" w:rsidRPr="00D35B04">
        <w:rPr>
          <w:rFonts w:ascii="Times New Roman" w:hAnsi="Times New Roman"/>
        </w:rPr>
        <w:t> </w:t>
      </w:r>
      <w:r w:rsidR="002B1B24" w:rsidRPr="00D35B04">
        <w:rPr>
          <w:rFonts w:ascii="Times New Roman" w:hAnsi="Times New Roman"/>
        </w:rPr>
        <w:t>in the light of the "specific disclaimer of responsibility" on the seed bags,</w:t>
      </w:r>
      <w:r w:rsidR="003F6C0E" w:rsidRPr="00D35B04">
        <w:rPr>
          <w:rFonts w:ascii="Times New Roman" w:hAnsi="Times New Roman"/>
        </w:rPr>
        <w:t xml:space="preserve"> the producer</w:t>
      </w:r>
      <w:r w:rsidR="007D31D4" w:rsidRPr="00D35B04">
        <w:rPr>
          <w:rFonts w:ascii="Times New Roman" w:hAnsi="Times New Roman"/>
        </w:rPr>
        <w:t xml:space="preserve"> "most assuredly </w:t>
      </w:r>
      <w:r w:rsidR="006C548B" w:rsidRPr="00D35B04">
        <w:rPr>
          <w:rFonts w:ascii="Times New Roman" w:hAnsi="Times New Roman"/>
        </w:rPr>
        <w:t xml:space="preserve">had </w:t>
      </w:r>
      <w:r w:rsidR="002B1B24" w:rsidRPr="00D35B04">
        <w:rPr>
          <w:rFonts w:ascii="Times New Roman" w:hAnsi="Times New Roman"/>
        </w:rPr>
        <w:t>not assumed</w:t>
      </w:r>
      <w:r w:rsidR="00FB5BB4" w:rsidRPr="00D35B04">
        <w:rPr>
          <w:rFonts w:ascii="Times New Roman" w:hAnsi="Times New Roman"/>
        </w:rPr>
        <w:t xml:space="preserve">" </w:t>
      </w:r>
      <w:r w:rsidR="002B1B24" w:rsidRPr="00D35B04">
        <w:rPr>
          <w:rFonts w:ascii="Times New Roman" w:hAnsi="Times New Roman"/>
        </w:rPr>
        <w:t>responsibility to the growers; (2)</w:t>
      </w:r>
      <w:r w:rsidR="00E6198C" w:rsidRPr="00D35B04">
        <w:rPr>
          <w:rFonts w:ascii="Times New Roman" w:hAnsi="Times New Roman"/>
        </w:rPr>
        <w:t> </w:t>
      </w:r>
      <w:r w:rsidR="00A66D86" w:rsidRPr="00D35B04">
        <w:rPr>
          <w:rFonts w:ascii="Times New Roman" w:hAnsi="Times New Roman"/>
        </w:rPr>
        <w:t>this conclusion was supported by the terms of the contracts</w:t>
      </w:r>
      <w:r w:rsidR="005B01AD" w:rsidRPr="00D35B04">
        <w:rPr>
          <w:rFonts w:ascii="Times New Roman" w:hAnsi="Times New Roman"/>
        </w:rPr>
        <w:t xml:space="preserve"> for supply of stock on consignment; (3)</w:t>
      </w:r>
      <w:r w:rsidR="00E6198C" w:rsidRPr="00D35B04">
        <w:rPr>
          <w:rFonts w:ascii="Times New Roman" w:hAnsi="Times New Roman"/>
        </w:rPr>
        <w:t> </w:t>
      </w:r>
      <w:r w:rsidR="0092165D" w:rsidRPr="00D35B04">
        <w:rPr>
          <w:rFonts w:ascii="Times New Roman" w:hAnsi="Times New Roman"/>
        </w:rPr>
        <w:t xml:space="preserve">the limited scope of </w:t>
      </w:r>
      <w:r w:rsidR="00C6614C" w:rsidRPr="00D35B04">
        <w:rPr>
          <w:rFonts w:ascii="Times New Roman" w:hAnsi="Times New Roman"/>
        </w:rPr>
        <w:t xml:space="preserve">relevant remedies under the </w:t>
      </w:r>
      <w:r w:rsidR="00C6614C" w:rsidRPr="00D35B04">
        <w:rPr>
          <w:rFonts w:ascii="Times New Roman" w:hAnsi="Times New Roman"/>
          <w:i/>
          <w:iCs/>
        </w:rPr>
        <w:t>Australian Consumer Law</w:t>
      </w:r>
      <w:r w:rsidR="00A11A03" w:rsidRPr="00D35B04">
        <w:rPr>
          <w:rFonts w:ascii="Times New Roman" w:hAnsi="Times New Roman"/>
          <w:i/>
          <w:iCs/>
        </w:rPr>
        <w:t xml:space="preserve"> </w:t>
      </w:r>
      <w:r w:rsidR="00A11A03" w:rsidRPr="00D35B04">
        <w:rPr>
          <w:rFonts w:ascii="Times New Roman" w:hAnsi="Times New Roman"/>
        </w:rPr>
        <w:t>indicated</w:t>
      </w:r>
      <w:r w:rsidR="005E1D7C" w:rsidRPr="00D35B04">
        <w:rPr>
          <w:rFonts w:ascii="Times New Roman" w:hAnsi="Times New Roman"/>
        </w:rPr>
        <w:t xml:space="preserve"> </w:t>
      </w:r>
      <w:r w:rsidR="00C6614C" w:rsidRPr="00D35B04">
        <w:rPr>
          <w:rFonts w:ascii="Times New Roman" w:hAnsi="Times New Roman"/>
        </w:rPr>
        <w:t xml:space="preserve">that the legislature had decided </w:t>
      </w:r>
      <w:r w:rsidR="008D698D" w:rsidRPr="00D35B04">
        <w:rPr>
          <w:rFonts w:ascii="Times New Roman" w:hAnsi="Times New Roman"/>
        </w:rPr>
        <w:t>to protect only persons who met the statutory definition of "consumer"; (4)</w:t>
      </w:r>
      <w:r w:rsidR="00E6198C" w:rsidRPr="00D35B04">
        <w:rPr>
          <w:rFonts w:ascii="Times New Roman" w:hAnsi="Times New Roman"/>
        </w:rPr>
        <w:t> </w:t>
      </w:r>
      <w:r w:rsidR="00114DDC" w:rsidRPr="00D35B04">
        <w:rPr>
          <w:rFonts w:ascii="Times New Roman" w:hAnsi="Times New Roman"/>
        </w:rPr>
        <w:t xml:space="preserve">the fact that the proposed liability was not indeterminate was </w:t>
      </w:r>
      <w:r w:rsidR="00B46F8C" w:rsidRPr="00D35B04">
        <w:rPr>
          <w:rFonts w:ascii="Times New Roman" w:hAnsi="Times New Roman"/>
        </w:rPr>
        <w:t xml:space="preserve">not </w:t>
      </w:r>
      <w:r w:rsidR="007443AD" w:rsidRPr="00D35B04">
        <w:rPr>
          <w:rFonts w:ascii="Times New Roman" w:hAnsi="Times New Roman"/>
        </w:rPr>
        <w:t>a "conceptual determinant" for the recognition o</w:t>
      </w:r>
      <w:r w:rsidR="00114DDC" w:rsidRPr="00D35B04">
        <w:rPr>
          <w:rFonts w:ascii="Times New Roman" w:hAnsi="Times New Roman"/>
        </w:rPr>
        <w:t>f a duty of care</w:t>
      </w:r>
      <w:r w:rsidR="00891C52" w:rsidRPr="00D35B04">
        <w:rPr>
          <w:rFonts w:ascii="Times New Roman" w:hAnsi="Times New Roman"/>
        </w:rPr>
        <w:t>; and (5)</w:t>
      </w:r>
      <w:r w:rsidR="00E6198C" w:rsidRPr="00D35B04">
        <w:rPr>
          <w:rFonts w:ascii="Times New Roman" w:hAnsi="Times New Roman"/>
        </w:rPr>
        <w:t> </w:t>
      </w:r>
      <w:r w:rsidR="00080B06" w:rsidRPr="00D35B04">
        <w:rPr>
          <w:rFonts w:ascii="Times New Roman" w:hAnsi="Times New Roman"/>
        </w:rPr>
        <w:t>the growers had not proved facts which would justify their claim of vulnerability</w:t>
      </w:r>
      <w:r w:rsidR="003778DE" w:rsidRPr="00D35B04">
        <w:rPr>
          <w:rFonts w:ascii="Times New Roman" w:hAnsi="Times New Roman"/>
        </w:rPr>
        <w:t>.</w:t>
      </w:r>
      <w:r w:rsidR="00F14D43" w:rsidRPr="00D35B04">
        <w:rPr>
          <w:rStyle w:val="FootnoteReference"/>
          <w:rFonts w:ascii="Times New Roman" w:hAnsi="Times New Roman"/>
          <w:sz w:val="24"/>
        </w:rPr>
        <w:footnoteReference w:id="28"/>
      </w:r>
      <w:r w:rsidR="003778DE" w:rsidRPr="00D35B04">
        <w:rPr>
          <w:rFonts w:ascii="Times New Roman" w:hAnsi="Times New Roman"/>
        </w:rPr>
        <w:t xml:space="preserve"> </w:t>
      </w:r>
      <w:r w:rsidR="00BB225E" w:rsidRPr="00D35B04">
        <w:rPr>
          <w:rFonts w:ascii="Times New Roman" w:hAnsi="Times New Roman"/>
        </w:rPr>
        <w:t>Further,</w:t>
      </w:r>
      <w:r w:rsidR="00082DCC" w:rsidRPr="00D35B04">
        <w:rPr>
          <w:rFonts w:ascii="Times New Roman" w:hAnsi="Times New Roman"/>
        </w:rPr>
        <w:t xml:space="preserve"> his Honour stated that</w:t>
      </w:r>
      <w:r w:rsidR="00BB225E" w:rsidRPr="00D35B04">
        <w:rPr>
          <w:rFonts w:ascii="Times New Roman" w:hAnsi="Times New Roman"/>
        </w:rPr>
        <w:t xml:space="preserve"> in any analysis of </w:t>
      </w:r>
      <w:r w:rsidR="00082DCC" w:rsidRPr="00D35B04">
        <w:rPr>
          <w:rFonts w:ascii="Times New Roman" w:hAnsi="Times New Roman"/>
        </w:rPr>
        <w:t xml:space="preserve">whether the growers were </w:t>
      </w:r>
      <w:r w:rsidR="00BB225E" w:rsidRPr="00D35B04">
        <w:rPr>
          <w:rFonts w:ascii="Times New Roman" w:hAnsi="Times New Roman"/>
        </w:rPr>
        <w:t>vulnerab</w:t>
      </w:r>
      <w:r w:rsidR="00082DCC" w:rsidRPr="00D35B04">
        <w:rPr>
          <w:rFonts w:ascii="Times New Roman" w:hAnsi="Times New Roman"/>
        </w:rPr>
        <w:t>le</w:t>
      </w:r>
      <w:r w:rsidR="00BB225E" w:rsidRPr="00D35B04">
        <w:rPr>
          <w:rFonts w:ascii="Times New Roman" w:hAnsi="Times New Roman"/>
        </w:rPr>
        <w:t xml:space="preserve">, it was necessary to take into account the </w:t>
      </w:r>
      <w:r w:rsidR="003802BA" w:rsidRPr="00D35B04">
        <w:rPr>
          <w:rFonts w:ascii="Times New Roman" w:hAnsi="Times New Roman"/>
        </w:rPr>
        <w:t xml:space="preserve">producer's </w:t>
      </w:r>
      <w:r w:rsidR="00BB225E" w:rsidRPr="00D35B04">
        <w:rPr>
          <w:rFonts w:ascii="Times New Roman" w:hAnsi="Times New Roman"/>
        </w:rPr>
        <w:t>prominent disclaimer</w:t>
      </w:r>
      <w:r w:rsidR="009307C6" w:rsidRPr="00D35B04">
        <w:rPr>
          <w:rFonts w:ascii="Times New Roman" w:hAnsi="Times New Roman"/>
        </w:rPr>
        <w:t xml:space="preserve"> of liability for loss arising out of</w:t>
      </w:r>
      <w:r w:rsidR="00630ED6" w:rsidRPr="00D35B04">
        <w:rPr>
          <w:rFonts w:ascii="Times New Roman" w:hAnsi="Times New Roman"/>
        </w:rPr>
        <w:t>,</w:t>
      </w:r>
      <w:r w:rsidR="009307C6" w:rsidRPr="00D35B04">
        <w:rPr>
          <w:rFonts w:ascii="Times New Roman" w:hAnsi="Times New Roman"/>
        </w:rPr>
        <w:t xml:space="preserve"> or related to</w:t>
      </w:r>
      <w:r w:rsidR="00630ED6" w:rsidRPr="00D35B04">
        <w:rPr>
          <w:rFonts w:ascii="Times New Roman" w:hAnsi="Times New Roman"/>
        </w:rPr>
        <w:t>,</w:t>
      </w:r>
      <w:r w:rsidR="009307C6" w:rsidRPr="00D35B04">
        <w:rPr>
          <w:rFonts w:ascii="Times New Roman" w:hAnsi="Times New Roman"/>
        </w:rPr>
        <w:t xml:space="preserve"> the use of the seed, whether as a result of the producer's negligence or otherwise.</w:t>
      </w:r>
      <w:r w:rsidR="00F14D43" w:rsidRPr="00D35B04">
        <w:rPr>
          <w:rStyle w:val="FootnoteReference"/>
          <w:rFonts w:ascii="Times New Roman" w:hAnsi="Times New Roman"/>
          <w:sz w:val="24"/>
        </w:rPr>
        <w:footnoteReference w:id="29"/>
      </w:r>
    </w:p>
    <w:p w14:paraId="2FF20D48" w14:textId="7A09CEE4" w:rsidR="004F7324" w:rsidRPr="00D35B04" w:rsidRDefault="00A92E39" w:rsidP="00D35B04">
      <w:pPr>
        <w:pStyle w:val="HeadingL1"/>
        <w:spacing w:after="260" w:line="280" w:lineRule="exact"/>
        <w:ind w:right="0"/>
        <w:jc w:val="both"/>
        <w:rPr>
          <w:rFonts w:ascii="Times New Roman" w:hAnsi="Times New Roman"/>
        </w:rPr>
      </w:pPr>
      <w:r w:rsidRPr="00D35B04">
        <w:rPr>
          <w:rFonts w:ascii="Times New Roman" w:hAnsi="Times New Roman"/>
        </w:rPr>
        <w:t>P</w:t>
      </w:r>
      <w:r w:rsidR="003C3CBC" w:rsidRPr="00D35B04">
        <w:rPr>
          <w:rFonts w:ascii="Times New Roman" w:hAnsi="Times New Roman"/>
        </w:rPr>
        <w:t xml:space="preserve">rinciples </w:t>
      </w:r>
      <w:r w:rsidR="00987B4D" w:rsidRPr="00D35B04">
        <w:rPr>
          <w:rFonts w:ascii="Times New Roman" w:hAnsi="Times New Roman"/>
        </w:rPr>
        <w:t xml:space="preserve">governing </w:t>
      </w:r>
      <w:r w:rsidR="00710554" w:rsidRPr="00D35B04">
        <w:rPr>
          <w:rFonts w:ascii="Times New Roman" w:hAnsi="Times New Roman"/>
        </w:rPr>
        <w:t xml:space="preserve">the existence of a </w:t>
      </w:r>
      <w:r w:rsidR="00987B4D" w:rsidRPr="00D35B04">
        <w:rPr>
          <w:rFonts w:ascii="Times New Roman" w:hAnsi="Times New Roman"/>
        </w:rPr>
        <w:t>duty of care</w:t>
      </w:r>
      <w:r w:rsidR="009B2E4A" w:rsidRPr="00D35B04">
        <w:rPr>
          <w:rFonts w:ascii="Times New Roman" w:hAnsi="Times New Roman"/>
        </w:rPr>
        <w:t xml:space="preserve"> to avoid </w:t>
      </w:r>
      <w:r w:rsidR="005E1D7C" w:rsidRPr="00D35B04">
        <w:rPr>
          <w:rFonts w:ascii="Times New Roman" w:hAnsi="Times New Roman"/>
        </w:rPr>
        <w:t xml:space="preserve">causing </w:t>
      </w:r>
      <w:r w:rsidR="009B2E4A" w:rsidRPr="00D35B04">
        <w:rPr>
          <w:rFonts w:ascii="Times New Roman" w:hAnsi="Times New Roman"/>
        </w:rPr>
        <w:t xml:space="preserve">pure economic </w:t>
      </w:r>
      <w:proofErr w:type="gramStart"/>
      <w:r w:rsidR="009B2E4A" w:rsidRPr="00D35B04">
        <w:rPr>
          <w:rFonts w:ascii="Times New Roman" w:hAnsi="Times New Roman"/>
        </w:rPr>
        <w:t>loss</w:t>
      </w:r>
      <w:proofErr w:type="gramEnd"/>
    </w:p>
    <w:p w14:paraId="3FCFEFDA" w14:textId="7F1EDA05" w:rsidR="008C7B57" w:rsidRPr="00D35B04" w:rsidRDefault="00AE14A0"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C95789" w:rsidRPr="00D35B04">
        <w:rPr>
          <w:rFonts w:ascii="Times New Roman" w:hAnsi="Times New Roman"/>
        </w:rPr>
        <w:t xml:space="preserve">An essential </w:t>
      </w:r>
      <w:r w:rsidR="00D52348" w:rsidRPr="00D35B04">
        <w:rPr>
          <w:rFonts w:ascii="Times New Roman" w:hAnsi="Times New Roman"/>
        </w:rPr>
        <w:t xml:space="preserve">element of </w:t>
      </w:r>
      <w:r w:rsidR="00F306CC" w:rsidRPr="00D35B04">
        <w:rPr>
          <w:rFonts w:ascii="Times New Roman" w:hAnsi="Times New Roman"/>
        </w:rPr>
        <w:t xml:space="preserve">the </w:t>
      </w:r>
      <w:r w:rsidR="005C2547" w:rsidRPr="00D35B04">
        <w:rPr>
          <w:rFonts w:ascii="Times New Roman" w:hAnsi="Times New Roman"/>
        </w:rPr>
        <w:t>tort of negligence is that</w:t>
      </w:r>
      <w:r w:rsidR="002D0F60" w:rsidRPr="00D35B04">
        <w:rPr>
          <w:rFonts w:ascii="Times New Roman" w:hAnsi="Times New Roman"/>
        </w:rPr>
        <w:t xml:space="preserve"> the</w:t>
      </w:r>
      <w:r w:rsidR="005C2547" w:rsidRPr="00D35B04">
        <w:rPr>
          <w:rFonts w:ascii="Times New Roman" w:hAnsi="Times New Roman"/>
        </w:rPr>
        <w:t xml:space="preserve"> </w:t>
      </w:r>
      <w:r w:rsidR="00F306CC" w:rsidRPr="00D35B04">
        <w:rPr>
          <w:rFonts w:ascii="Times New Roman" w:hAnsi="Times New Roman"/>
        </w:rPr>
        <w:t>defendant owe</w:t>
      </w:r>
      <w:r w:rsidR="003D4CF3" w:rsidRPr="00D35B04">
        <w:rPr>
          <w:rFonts w:ascii="Times New Roman" w:hAnsi="Times New Roman"/>
        </w:rPr>
        <w:t>s</w:t>
      </w:r>
      <w:r w:rsidR="00F306CC" w:rsidRPr="00D35B04">
        <w:rPr>
          <w:rFonts w:ascii="Times New Roman" w:hAnsi="Times New Roman"/>
        </w:rPr>
        <w:t xml:space="preserve"> the plaintiff a duty to take reasonable care </w:t>
      </w:r>
      <w:r w:rsidR="00B963FF" w:rsidRPr="00D35B04">
        <w:rPr>
          <w:rFonts w:ascii="Times New Roman" w:hAnsi="Times New Roman"/>
        </w:rPr>
        <w:t>when engaging in a</w:t>
      </w:r>
      <w:r w:rsidR="009B19C7" w:rsidRPr="00D35B04">
        <w:rPr>
          <w:rFonts w:ascii="Times New Roman" w:hAnsi="Times New Roman"/>
        </w:rPr>
        <w:t xml:space="preserve">n </w:t>
      </w:r>
      <w:r w:rsidR="00B963FF" w:rsidRPr="00D35B04">
        <w:rPr>
          <w:rFonts w:ascii="Times New Roman" w:hAnsi="Times New Roman"/>
        </w:rPr>
        <w:t>activity</w:t>
      </w:r>
      <w:r w:rsidR="009B19C7" w:rsidRPr="00D35B04">
        <w:rPr>
          <w:rFonts w:ascii="Times New Roman" w:hAnsi="Times New Roman"/>
        </w:rPr>
        <w:t xml:space="preserve"> </w:t>
      </w:r>
      <w:r w:rsidR="00B20193" w:rsidRPr="00D35B04">
        <w:rPr>
          <w:rFonts w:ascii="Times New Roman" w:hAnsi="Times New Roman"/>
        </w:rPr>
        <w:t xml:space="preserve">to avoid causing the plaintiff a </w:t>
      </w:r>
      <w:r w:rsidR="006B444F" w:rsidRPr="00D35B04">
        <w:rPr>
          <w:rFonts w:ascii="Times New Roman" w:hAnsi="Times New Roman"/>
        </w:rPr>
        <w:t>particular</w:t>
      </w:r>
      <w:r w:rsidR="00B20193" w:rsidRPr="00D35B04">
        <w:rPr>
          <w:rFonts w:ascii="Times New Roman" w:hAnsi="Times New Roman"/>
        </w:rPr>
        <w:t xml:space="preserve"> </w:t>
      </w:r>
      <w:r w:rsidR="00084BF4" w:rsidRPr="00D35B04">
        <w:rPr>
          <w:rFonts w:ascii="Times New Roman" w:hAnsi="Times New Roman"/>
        </w:rPr>
        <w:t>type of damage or loss</w:t>
      </w:r>
      <w:r w:rsidR="006B444F" w:rsidRPr="00D35B04">
        <w:rPr>
          <w:rFonts w:ascii="Times New Roman" w:hAnsi="Times New Roman"/>
        </w:rPr>
        <w:t xml:space="preserve"> that is reasonably </w:t>
      </w:r>
      <w:r w:rsidR="006B444F" w:rsidRPr="00D35B04">
        <w:rPr>
          <w:rFonts w:ascii="Times New Roman" w:hAnsi="Times New Roman"/>
        </w:rPr>
        <w:lastRenderedPageBreak/>
        <w:t>foreseeable</w:t>
      </w:r>
      <w:r w:rsidR="00B963FF" w:rsidRPr="00D35B04">
        <w:rPr>
          <w:rFonts w:ascii="Times New Roman" w:hAnsi="Times New Roman"/>
        </w:rPr>
        <w:t>.</w:t>
      </w:r>
      <w:r w:rsidR="002428CB" w:rsidRPr="00D35B04">
        <w:rPr>
          <w:rStyle w:val="FootnoteReference"/>
          <w:rFonts w:ascii="Times New Roman" w:hAnsi="Times New Roman"/>
          <w:sz w:val="24"/>
        </w:rPr>
        <w:footnoteReference w:id="30"/>
      </w:r>
      <w:r w:rsidR="002428CB" w:rsidRPr="00D35B04">
        <w:rPr>
          <w:rFonts w:ascii="Times New Roman" w:hAnsi="Times New Roman"/>
        </w:rPr>
        <w:t xml:space="preserve"> </w:t>
      </w:r>
      <w:r w:rsidR="008C7B57" w:rsidRPr="00D35B04">
        <w:rPr>
          <w:rFonts w:ascii="Times New Roman" w:hAnsi="Times New Roman"/>
        </w:rPr>
        <w:t>"A man is entitled to be as negligent as he pleases towards the whole world if he owes no duty to them</w:t>
      </w:r>
      <w:r w:rsidR="00BD51E8" w:rsidRPr="00D35B04">
        <w:rPr>
          <w:rFonts w:ascii="Times New Roman" w:hAnsi="Times New Roman"/>
        </w:rPr>
        <w:t>.</w:t>
      </w:r>
      <w:r w:rsidR="008C7B57" w:rsidRPr="00D35B04">
        <w:rPr>
          <w:rFonts w:ascii="Times New Roman" w:hAnsi="Times New Roman"/>
        </w:rPr>
        <w:t>"</w:t>
      </w:r>
      <w:r w:rsidR="00615E4D" w:rsidRPr="00D35B04">
        <w:rPr>
          <w:rStyle w:val="FootnoteReference"/>
          <w:rFonts w:ascii="Times New Roman" w:hAnsi="Times New Roman"/>
          <w:sz w:val="24"/>
        </w:rPr>
        <w:footnoteReference w:id="31"/>
      </w:r>
    </w:p>
    <w:p w14:paraId="00569ADA" w14:textId="7E68F105" w:rsidR="007C718F" w:rsidRPr="00D35B04" w:rsidRDefault="00524831" w:rsidP="00D35B04">
      <w:pPr>
        <w:pStyle w:val="FixListStyle"/>
        <w:spacing w:after="260" w:line="280" w:lineRule="exact"/>
        <w:ind w:right="0"/>
        <w:jc w:val="both"/>
        <w:rPr>
          <w:rFonts w:ascii="Times New Roman" w:hAnsi="Times New Roman"/>
        </w:rPr>
      </w:pPr>
      <w:r w:rsidRPr="00D35B04">
        <w:rPr>
          <w:rFonts w:ascii="Times New Roman" w:hAnsi="Times New Roman"/>
        </w:rPr>
        <w:tab/>
      </w:r>
      <w:proofErr w:type="gramStart"/>
      <w:r w:rsidR="00D71584" w:rsidRPr="00D35B04">
        <w:rPr>
          <w:rFonts w:ascii="Times New Roman" w:hAnsi="Times New Roman"/>
        </w:rPr>
        <w:t>As a general rule</w:t>
      </w:r>
      <w:proofErr w:type="gramEnd"/>
      <w:r w:rsidR="007C718F" w:rsidRPr="00D35B04">
        <w:rPr>
          <w:rFonts w:ascii="Times New Roman" w:hAnsi="Times New Roman"/>
        </w:rPr>
        <w:t xml:space="preserve">, </w:t>
      </w:r>
      <w:r w:rsidRPr="00D35B04">
        <w:rPr>
          <w:rFonts w:ascii="Times New Roman" w:hAnsi="Times New Roman"/>
        </w:rPr>
        <w:t xml:space="preserve">damages are not recoverable in negligence for </w:t>
      </w:r>
      <w:r w:rsidR="006769BB" w:rsidRPr="00D35B04">
        <w:rPr>
          <w:rFonts w:ascii="Times New Roman" w:hAnsi="Times New Roman"/>
        </w:rPr>
        <w:t>pure economic</w:t>
      </w:r>
      <w:r w:rsidRPr="00D35B04">
        <w:rPr>
          <w:rFonts w:ascii="Times New Roman" w:hAnsi="Times New Roman"/>
        </w:rPr>
        <w:t xml:space="preserve"> loss, that is, for loss that is not consequential upon injury to person or property.</w:t>
      </w:r>
      <w:r w:rsidRPr="00D35B04">
        <w:rPr>
          <w:rStyle w:val="FootnoteReference"/>
          <w:rFonts w:ascii="Times New Roman" w:hAnsi="Times New Roman"/>
          <w:sz w:val="24"/>
        </w:rPr>
        <w:footnoteReference w:id="32"/>
      </w:r>
      <w:r w:rsidRPr="00D35B04">
        <w:rPr>
          <w:rFonts w:ascii="Times New Roman" w:hAnsi="Times New Roman"/>
        </w:rPr>
        <w:t xml:space="preserve"> </w:t>
      </w:r>
      <w:r w:rsidR="00E45892" w:rsidRPr="00D35B04">
        <w:rPr>
          <w:rFonts w:ascii="Times New Roman" w:hAnsi="Times New Roman"/>
        </w:rPr>
        <w:t>O</w:t>
      </w:r>
      <w:r w:rsidR="007C718F" w:rsidRPr="00D35B04">
        <w:rPr>
          <w:rFonts w:ascii="Times New Roman" w:hAnsi="Times New Roman"/>
        </w:rPr>
        <w:t>rdinarily</w:t>
      </w:r>
      <w:r w:rsidR="00E45892" w:rsidRPr="00D35B04">
        <w:rPr>
          <w:rFonts w:ascii="Times New Roman" w:hAnsi="Times New Roman"/>
        </w:rPr>
        <w:t>,</w:t>
      </w:r>
      <w:r w:rsidR="007C718F" w:rsidRPr="00D35B04">
        <w:rPr>
          <w:rFonts w:ascii="Times New Roman" w:hAnsi="Times New Roman"/>
        </w:rPr>
        <w:t xml:space="preserve"> a person does not owe a duty to take reasonable care to avoid causing reasonably foreseeable pure economic loss to another</w:t>
      </w:r>
      <w:r w:rsidR="00507572" w:rsidRPr="00D35B04">
        <w:rPr>
          <w:rFonts w:ascii="Times New Roman" w:hAnsi="Times New Roman"/>
        </w:rPr>
        <w:t>.</w:t>
      </w:r>
      <w:r w:rsidR="003966FB" w:rsidRPr="00D35B04">
        <w:rPr>
          <w:rStyle w:val="FootnoteReference"/>
          <w:rFonts w:ascii="Times New Roman" w:hAnsi="Times New Roman"/>
          <w:sz w:val="24"/>
        </w:rPr>
        <w:footnoteReference w:id="33"/>
      </w:r>
    </w:p>
    <w:p w14:paraId="489F0D32" w14:textId="71816B02" w:rsidR="00524831" w:rsidRPr="00D35B04" w:rsidRDefault="00967C15"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524831" w:rsidRPr="00D35B04">
        <w:rPr>
          <w:rFonts w:ascii="Times New Roman" w:hAnsi="Times New Roman"/>
        </w:rPr>
        <w:t>Th</w:t>
      </w:r>
      <w:r w:rsidR="005272A1" w:rsidRPr="00D35B04">
        <w:rPr>
          <w:rFonts w:ascii="Times New Roman" w:hAnsi="Times New Roman"/>
        </w:rPr>
        <w:t>is</w:t>
      </w:r>
      <w:r w:rsidR="00524831" w:rsidRPr="00D35B04">
        <w:rPr>
          <w:rFonts w:ascii="Times New Roman" w:hAnsi="Times New Roman"/>
        </w:rPr>
        <w:t xml:space="preserve"> general rule reflects </w:t>
      </w:r>
      <w:r w:rsidR="00DC6E8A" w:rsidRPr="00D35B04">
        <w:rPr>
          <w:rFonts w:ascii="Times New Roman" w:hAnsi="Times New Roman"/>
        </w:rPr>
        <w:t>the</w:t>
      </w:r>
      <w:r w:rsidR="00107705" w:rsidRPr="00D35B04">
        <w:rPr>
          <w:rFonts w:ascii="Times New Roman" w:hAnsi="Times New Roman"/>
        </w:rPr>
        <w:t xml:space="preserve"> </w:t>
      </w:r>
      <w:r w:rsidR="00F12A02" w:rsidRPr="00D35B04">
        <w:rPr>
          <w:rFonts w:ascii="Times New Roman" w:hAnsi="Times New Roman"/>
        </w:rPr>
        <w:t>well-established</w:t>
      </w:r>
      <w:r w:rsidR="00DC6E8A" w:rsidRPr="00D35B04">
        <w:rPr>
          <w:rFonts w:ascii="Times New Roman" w:hAnsi="Times New Roman"/>
        </w:rPr>
        <w:t xml:space="preserve"> </w:t>
      </w:r>
      <w:r w:rsidR="00D37CD9" w:rsidRPr="00D35B04">
        <w:rPr>
          <w:rFonts w:ascii="Times New Roman" w:hAnsi="Times New Roman"/>
        </w:rPr>
        <w:t>position</w:t>
      </w:r>
      <w:r w:rsidR="00300531" w:rsidRPr="00D35B04">
        <w:rPr>
          <w:rFonts w:ascii="Times New Roman" w:hAnsi="Times New Roman"/>
        </w:rPr>
        <w:t xml:space="preserve"> at common law</w:t>
      </w:r>
      <w:r w:rsidR="00D37CD9" w:rsidRPr="00D35B04">
        <w:rPr>
          <w:rFonts w:ascii="Times New Roman" w:hAnsi="Times New Roman"/>
        </w:rPr>
        <w:t xml:space="preserve"> that</w:t>
      </w:r>
      <w:r w:rsidR="00107705" w:rsidRPr="00D35B04">
        <w:rPr>
          <w:rFonts w:ascii="Times New Roman" w:hAnsi="Times New Roman"/>
        </w:rPr>
        <w:t xml:space="preserve"> </w:t>
      </w:r>
      <w:r w:rsidR="00A745AB" w:rsidRPr="00D35B04">
        <w:rPr>
          <w:rFonts w:ascii="Times New Roman" w:hAnsi="Times New Roman"/>
        </w:rPr>
        <w:t xml:space="preserve">the infliction of economic loss does not, </w:t>
      </w:r>
      <w:r w:rsidR="00107705" w:rsidRPr="00D35B04">
        <w:rPr>
          <w:rFonts w:ascii="Times New Roman" w:hAnsi="Times New Roman"/>
        </w:rPr>
        <w:t xml:space="preserve">by </w:t>
      </w:r>
      <w:r w:rsidR="00A745AB" w:rsidRPr="00D35B04">
        <w:rPr>
          <w:rFonts w:ascii="Times New Roman" w:hAnsi="Times New Roman"/>
        </w:rPr>
        <w:t xml:space="preserve">itself, infringe any right </w:t>
      </w:r>
      <w:r w:rsidR="004E4266" w:rsidRPr="00D35B04">
        <w:rPr>
          <w:rFonts w:ascii="Times New Roman" w:hAnsi="Times New Roman"/>
        </w:rPr>
        <w:t xml:space="preserve">or legally protected interest </w:t>
      </w:r>
      <w:r w:rsidR="00A745AB" w:rsidRPr="00D35B04">
        <w:rPr>
          <w:rFonts w:ascii="Times New Roman" w:hAnsi="Times New Roman"/>
        </w:rPr>
        <w:t xml:space="preserve">of the </w:t>
      </w:r>
      <w:r w:rsidR="008E3949" w:rsidRPr="00D35B04">
        <w:rPr>
          <w:rFonts w:ascii="Times New Roman" w:hAnsi="Times New Roman"/>
        </w:rPr>
        <w:t>plaintiff</w:t>
      </w:r>
      <w:r w:rsidR="00A745AB" w:rsidRPr="00D35B04">
        <w:rPr>
          <w:rFonts w:ascii="Times New Roman" w:hAnsi="Times New Roman"/>
        </w:rPr>
        <w:t>.</w:t>
      </w:r>
      <w:r w:rsidR="00FC2FE6" w:rsidRPr="00D35B04">
        <w:rPr>
          <w:rStyle w:val="FootnoteReference"/>
          <w:rFonts w:ascii="Times New Roman" w:hAnsi="Times New Roman"/>
          <w:sz w:val="24"/>
        </w:rPr>
        <w:footnoteReference w:id="34"/>
      </w:r>
      <w:r w:rsidR="00A745AB" w:rsidRPr="00D35B04">
        <w:rPr>
          <w:rFonts w:ascii="Times New Roman" w:hAnsi="Times New Roman"/>
        </w:rPr>
        <w:t xml:space="preserve"> The general rule </w:t>
      </w:r>
      <w:r w:rsidR="00CF79D1" w:rsidRPr="00D35B04">
        <w:rPr>
          <w:rFonts w:ascii="Times New Roman" w:hAnsi="Times New Roman"/>
        </w:rPr>
        <w:t xml:space="preserve">is </w:t>
      </w:r>
      <w:r w:rsidR="00A745AB" w:rsidRPr="00D35B04">
        <w:rPr>
          <w:rFonts w:ascii="Times New Roman" w:hAnsi="Times New Roman"/>
        </w:rPr>
        <w:t xml:space="preserve">also </w:t>
      </w:r>
      <w:r w:rsidR="00CF79D1" w:rsidRPr="00D35B04">
        <w:rPr>
          <w:rFonts w:ascii="Times New Roman" w:hAnsi="Times New Roman"/>
        </w:rPr>
        <w:t xml:space="preserve">said to </w:t>
      </w:r>
      <w:r w:rsidR="00A745AB" w:rsidRPr="00D35B04">
        <w:rPr>
          <w:rFonts w:ascii="Times New Roman" w:hAnsi="Times New Roman"/>
        </w:rPr>
        <w:t xml:space="preserve">reflect </w:t>
      </w:r>
      <w:r w:rsidR="00524831" w:rsidRPr="00D35B04">
        <w:rPr>
          <w:rFonts w:ascii="Times New Roman" w:hAnsi="Times New Roman"/>
        </w:rPr>
        <w:t xml:space="preserve">policy concerns about the potentially excessive scope of liability for financial loss, referred to by Cardozo </w:t>
      </w:r>
      <w:r w:rsidR="00875280" w:rsidRPr="00D35B04">
        <w:rPr>
          <w:rFonts w:ascii="Times New Roman" w:hAnsi="Times New Roman"/>
        </w:rPr>
        <w:t xml:space="preserve">CJ </w:t>
      </w:r>
      <w:r w:rsidR="00524831" w:rsidRPr="00D35B04">
        <w:rPr>
          <w:rFonts w:ascii="Times New Roman" w:hAnsi="Times New Roman"/>
        </w:rPr>
        <w:t>as liability "in an indeterminate amount for an indeterminate time to an indeterminate class".</w:t>
      </w:r>
      <w:r w:rsidR="00524831" w:rsidRPr="00D35B04">
        <w:rPr>
          <w:rStyle w:val="FootnoteReference"/>
          <w:rFonts w:ascii="Times New Roman" w:hAnsi="Times New Roman"/>
          <w:sz w:val="24"/>
        </w:rPr>
        <w:footnoteReference w:id="35"/>
      </w:r>
      <w:r w:rsidR="00524831" w:rsidRPr="00D35B04">
        <w:rPr>
          <w:rFonts w:ascii="Times New Roman" w:hAnsi="Times New Roman"/>
        </w:rPr>
        <w:t xml:space="preserve"> Another </w:t>
      </w:r>
      <w:r w:rsidR="0004725F" w:rsidRPr="00D35B04">
        <w:rPr>
          <w:rFonts w:ascii="Times New Roman" w:hAnsi="Times New Roman"/>
        </w:rPr>
        <w:t xml:space="preserve">policy </w:t>
      </w:r>
      <w:r w:rsidR="002E2183" w:rsidRPr="00D35B04">
        <w:rPr>
          <w:rFonts w:ascii="Times New Roman" w:hAnsi="Times New Roman"/>
        </w:rPr>
        <w:t xml:space="preserve">reason said to </w:t>
      </w:r>
      <w:r w:rsidR="002E2183" w:rsidRPr="00D35B04">
        <w:rPr>
          <w:rFonts w:ascii="Times New Roman" w:hAnsi="Times New Roman"/>
        </w:rPr>
        <w:lastRenderedPageBreak/>
        <w:t>justify</w:t>
      </w:r>
      <w:r w:rsidR="00524831" w:rsidRPr="00D35B04">
        <w:rPr>
          <w:rFonts w:ascii="Times New Roman" w:hAnsi="Times New Roman"/>
        </w:rPr>
        <w:t xml:space="preserve"> the general rule is a concern to avoid infringing upon the legitimate pursuit of personal advantage.</w:t>
      </w:r>
      <w:r w:rsidR="00524831" w:rsidRPr="00D35B04">
        <w:rPr>
          <w:rStyle w:val="FootnoteReference"/>
          <w:rFonts w:ascii="Times New Roman" w:hAnsi="Times New Roman"/>
          <w:sz w:val="24"/>
        </w:rPr>
        <w:footnoteReference w:id="36"/>
      </w:r>
      <w:r w:rsidR="00524831" w:rsidRPr="00D35B04">
        <w:rPr>
          <w:rFonts w:ascii="Times New Roman" w:hAnsi="Times New Roman"/>
        </w:rPr>
        <w:t xml:space="preserve"> </w:t>
      </w:r>
    </w:p>
    <w:p w14:paraId="0466864A" w14:textId="157FAF0F" w:rsidR="00BA72F2" w:rsidRPr="00D35B04" w:rsidRDefault="00524831" w:rsidP="00D35B04">
      <w:pPr>
        <w:pStyle w:val="FixListStyle"/>
        <w:spacing w:after="260" w:line="280" w:lineRule="exact"/>
        <w:ind w:right="0"/>
        <w:jc w:val="both"/>
        <w:rPr>
          <w:rFonts w:ascii="Times New Roman" w:hAnsi="Times New Roman"/>
        </w:rPr>
      </w:pPr>
      <w:r w:rsidRPr="00D35B04">
        <w:rPr>
          <w:rFonts w:ascii="Times New Roman" w:hAnsi="Times New Roman"/>
        </w:rPr>
        <w:tab/>
        <w:t>A consequence of the general rule is that damages for pure economic loss are not recoverable if all that is shown is that the defendant's negligence was a cause of the loss and the loss was reasonably foreseeable.</w:t>
      </w:r>
      <w:r w:rsidRPr="00D35B04">
        <w:rPr>
          <w:rStyle w:val="FootnoteReference"/>
          <w:rFonts w:ascii="Times New Roman" w:hAnsi="Times New Roman"/>
          <w:sz w:val="24"/>
        </w:rPr>
        <w:footnoteReference w:id="37"/>
      </w:r>
      <w:r w:rsidRPr="00D35B04">
        <w:rPr>
          <w:rFonts w:ascii="Times New Roman" w:hAnsi="Times New Roman"/>
        </w:rPr>
        <w:t xml:space="preserve"> That is, reasonable foreseeability is a necessary but not sufficient criterion for the existence of a duty of care to avoid </w:t>
      </w:r>
      <w:r w:rsidR="00F615E9" w:rsidRPr="00D35B04">
        <w:rPr>
          <w:rFonts w:ascii="Times New Roman" w:hAnsi="Times New Roman"/>
        </w:rPr>
        <w:t xml:space="preserve">causing </w:t>
      </w:r>
      <w:r w:rsidRPr="00D35B04">
        <w:rPr>
          <w:rFonts w:ascii="Times New Roman" w:hAnsi="Times New Roman"/>
        </w:rPr>
        <w:t>pure economic loss.</w:t>
      </w:r>
      <w:r w:rsidR="00497C91" w:rsidRPr="00D35B04">
        <w:rPr>
          <w:rStyle w:val="FootnoteReference"/>
          <w:rFonts w:ascii="Times New Roman" w:hAnsi="Times New Roman"/>
          <w:sz w:val="24"/>
        </w:rPr>
        <w:footnoteReference w:id="38"/>
      </w:r>
      <w:r w:rsidR="008F744A" w:rsidRPr="00D35B04">
        <w:rPr>
          <w:rFonts w:ascii="Times New Roman" w:hAnsi="Times New Roman"/>
        </w:rPr>
        <w:t xml:space="preserve"> </w:t>
      </w:r>
      <w:r w:rsidR="00CB51AD" w:rsidRPr="00D35B04">
        <w:rPr>
          <w:rFonts w:ascii="Times New Roman" w:hAnsi="Times New Roman"/>
        </w:rPr>
        <w:t>Furthermore</w:t>
      </w:r>
      <w:r w:rsidRPr="00D35B04">
        <w:rPr>
          <w:rFonts w:ascii="Times New Roman" w:hAnsi="Times New Roman"/>
        </w:rPr>
        <w:t xml:space="preserve">, indeterminacy of liability, in the sense that the defendant's liability cannot be realistically calculated, will ordinarily deny the existence of </w:t>
      </w:r>
      <w:r w:rsidR="00885F68" w:rsidRPr="00D35B04">
        <w:rPr>
          <w:rFonts w:ascii="Times New Roman" w:hAnsi="Times New Roman"/>
        </w:rPr>
        <w:t xml:space="preserve">such </w:t>
      </w:r>
      <w:r w:rsidRPr="00D35B04">
        <w:rPr>
          <w:rFonts w:ascii="Times New Roman" w:hAnsi="Times New Roman"/>
        </w:rPr>
        <w:t>a duty of care.</w:t>
      </w:r>
      <w:r w:rsidRPr="00D35B04">
        <w:rPr>
          <w:rStyle w:val="FootnoteReference"/>
          <w:rFonts w:ascii="Times New Roman" w:hAnsi="Times New Roman"/>
          <w:sz w:val="24"/>
        </w:rPr>
        <w:footnoteReference w:id="39"/>
      </w:r>
      <w:r w:rsidR="00BA72F2" w:rsidRPr="00D35B04">
        <w:rPr>
          <w:rFonts w:ascii="Times New Roman" w:hAnsi="Times New Roman"/>
        </w:rPr>
        <w:t xml:space="preserve"> </w:t>
      </w:r>
    </w:p>
    <w:p w14:paraId="79C93ADA" w14:textId="07409DA8" w:rsidR="00C6633D" w:rsidRPr="00D35B04" w:rsidRDefault="00EC676D"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5D4F25" w:rsidRPr="00D35B04">
        <w:rPr>
          <w:rFonts w:ascii="Times New Roman" w:hAnsi="Times New Roman"/>
        </w:rPr>
        <w:t xml:space="preserve">Where a </w:t>
      </w:r>
      <w:r w:rsidR="00B75396" w:rsidRPr="00D35B04">
        <w:rPr>
          <w:rFonts w:ascii="Times New Roman" w:hAnsi="Times New Roman"/>
        </w:rPr>
        <w:t xml:space="preserve">defendant has assumed a responsibility towards the plaintiff </w:t>
      </w:r>
      <w:r w:rsidR="009A35CA" w:rsidRPr="00D35B04">
        <w:rPr>
          <w:rFonts w:ascii="Times New Roman" w:hAnsi="Times New Roman"/>
        </w:rPr>
        <w:t xml:space="preserve">to take reasonable care to avoid economic loss </w:t>
      </w:r>
      <w:r w:rsidR="00380298" w:rsidRPr="00D35B04">
        <w:rPr>
          <w:rFonts w:ascii="Times New Roman" w:hAnsi="Times New Roman"/>
        </w:rPr>
        <w:t>to the plaintiff</w:t>
      </w:r>
      <w:r w:rsidR="005E086F" w:rsidRPr="00D35B04">
        <w:rPr>
          <w:rFonts w:ascii="Times New Roman" w:hAnsi="Times New Roman"/>
        </w:rPr>
        <w:t>,</w:t>
      </w:r>
      <w:r w:rsidR="00380298" w:rsidRPr="00D35B04">
        <w:rPr>
          <w:rFonts w:ascii="Times New Roman" w:hAnsi="Times New Roman"/>
        </w:rPr>
        <w:t xml:space="preserve"> </w:t>
      </w:r>
      <w:r w:rsidR="00D8114C" w:rsidRPr="00D35B04">
        <w:rPr>
          <w:rFonts w:ascii="Times New Roman" w:hAnsi="Times New Roman"/>
        </w:rPr>
        <w:t xml:space="preserve">a duty of care </w:t>
      </w:r>
      <w:r w:rsidR="007614F3" w:rsidRPr="00D35B04">
        <w:rPr>
          <w:rFonts w:ascii="Times New Roman" w:hAnsi="Times New Roman"/>
        </w:rPr>
        <w:t>may well</w:t>
      </w:r>
      <w:r w:rsidR="00F34CCB" w:rsidRPr="00D35B04">
        <w:rPr>
          <w:rFonts w:ascii="Times New Roman" w:hAnsi="Times New Roman"/>
        </w:rPr>
        <w:t xml:space="preserve"> </w:t>
      </w:r>
      <w:r w:rsidR="00D8114C" w:rsidRPr="00D35B04">
        <w:rPr>
          <w:rFonts w:ascii="Times New Roman" w:hAnsi="Times New Roman"/>
        </w:rPr>
        <w:t>be established</w:t>
      </w:r>
      <w:r w:rsidR="00B75396" w:rsidRPr="00D35B04">
        <w:rPr>
          <w:rFonts w:ascii="Times New Roman" w:hAnsi="Times New Roman"/>
        </w:rPr>
        <w:t>. The term "assumption of responsibility" has been criticised as "imprecise and beguiling but deceptively simple".</w:t>
      </w:r>
      <w:r w:rsidR="00B75396" w:rsidRPr="00D35B04">
        <w:rPr>
          <w:rStyle w:val="FootnoteReference"/>
          <w:rFonts w:ascii="Times New Roman" w:hAnsi="Times New Roman"/>
          <w:sz w:val="24"/>
        </w:rPr>
        <w:footnoteReference w:id="40"/>
      </w:r>
      <w:r w:rsidR="00B75396" w:rsidRPr="00D35B04">
        <w:rPr>
          <w:rFonts w:ascii="Times New Roman" w:hAnsi="Times New Roman"/>
        </w:rPr>
        <w:t xml:space="preserve"> An assumption of responsibility is best understood as an undertaking (whether express or implied) by a person to take on a task or job for another person or class of persons, from which it can be inferred that the </w:t>
      </w:r>
      <w:r w:rsidR="00D030CB" w:rsidRPr="00D35B04">
        <w:rPr>
          <w:rFonts w:ascii="Times New Roman" w:hAnsi="Times New Roman"/>
        </w:rPr>
        <w:t>f</w:t>
      </w:r>
      <w:r w:rsidR="00D3182E" w:rsidRPr="00D35B04">
        <w:rPr>
          <w:rFonts w:ascii="Times New Roman" w:hAnsi="Times New Roman"/>
        </w:rPr>
        <w:t>irst person</w:t>
      </w:r>
      <w:r w:rsidR="00B75396" w:rsidRPr="00D35B04">
        <w:rPr>
          <w:rFonts w:ascii="Times New Roman" w:hAnsi="Times New Roman"/>
        </w:rPr>
        <w:t xml:space="preserve"> accepted that he or she would take reasonable care when engaging in that task or job.</w:t>
      </w:r>
      <w:r w:rsidR="00B75396" w:rsidRPr="00D35B04">
        <w:rPr>
          <w:rStyle w:val="FootnoteReference"/>
          <w:rFonts w:ascii="Times New Roman" w:hAnsi="Times New Roman"/>
          <w:sz w:val="24"/>
        </w:rPr>
        <w:footnoteReference w:id="41"/>
      </w:r>
      <w:r w:rsidR="00B75396" w:rsidRPr="00D35B04">
        <w:rPr>
          <w:rFonts w:ascii="Times New Roman" w:hAnsi="Times New Roman"/>
        </w:rPr>
        <w:t xml:space="preserve"> </w:t>
      </w:r>
    </w:p>
    <w:p w14:paraId="150C5847" w14:textId="5D10D263" w:rsidR="00B75396" w:rsidRPr="00D35B04" w:rsidRDefault="005B4017" w:rsidP="00D35B04">
      <w:pPr>
        <w:pStyle w:val="FixListStyle"/>
        <w:spacing w:after="260" w:line="280" w:lineRule="exact"/>
        <w:ind w:right="0"/>
        <w:jc w:val="both"/>
        <w:rPr>
          <w:rFonts w:ascii="Times New Roman" w:hAnsi="Times New Roman"/>
        </w:rPr>
      </w:pPr>
      <w:r w:rsidRPr="00D35B04">
        <w:rPr>
          <w:rFonts w:ascii="Times New Roman" w:hAnsi="Times New Roman"/>
        </w:rPr>
        <w:lastRenderedPageBreak/>
        <w:tab/>
      </w:r>
      <w:r w:rsidR="00C6633D" w:rsidRPr="00D35B04">
        <w:rPr>
          <w:rFonts w:ascii="Times New Roman" w:hAnsi="Times New Roman"/>
        </w:rPr>
        <w:t>W</w:t>
      </w:r>
      <w:r w:rsidR="006F0D85" w:rsidRPr="00D35B04">
        <w:rPr>
          <w:rFonts w:ascii="Times New Roman" w:hAnsi="Times New Roman"/>
        </w:rPr>
        <w:t xml:space="preserve">here a duty to take reasonable care to avoid causing pure economic loss is said to arise out of an assumption of responsibility by a defendant to a particular person or class of persons, </w:t>
      </w:r>
      <w:r w:rsidR="00CD048D" w:rsidRPr="00D35B04">
        <w:rPr>
          <w:rFonts w:ascii="Times New Roman" w:hAnsi="Times New Roman"/>
        </w:rPr>
        <w:t>the</w:t>
      </w:r>
      <w:r w:rsidR="006F0D85" w:rsidRPr="00D35B04">
        <w:rPr>
          <w:rFonts w:ascii="Times New Roman" w:hAnsi="Times New Roman"/>
        </w:rPr>
        <w:t xml:space="preserve"> defendant can negate or limit that assumption and thus the duty by words or conduct directed to that person or class. That is because </w:t>
      </w:r>
      <w:r w:rsidR="00AB53D3" w:rsidRPr="00D35B04">
        <w:rPr>
          <w:rFonts w:ascii="Times New Roman" w:hAnsi="Times New Roman"/>
        </w:rPr>
        <w:t>such a negation or limitation</w:t>
      </w:r>
      <w:r w:rsidR="006F0D85" w:rsidRPr="00D35B04">
        <w:rPr>
          <w:rFonts w:ascii="Times New Roman" w:hAnsi="Times New Roman"/>
        </w:rPr>
        <w:t xml:space="preserve"> </w:t>
      </w:r>
      <w:r w:rsidR="008524CC" w:rsidRPr="00D35B04">
        <w:rPr>
          <w:rFonts w:ascii="Times New Roman" w:hAnsi="Times New Roman"/>
        </w:rPr>
        <w:t>amounts to</w:t>
      </w:r>
      <w:r w:rsidR="00F26FEF" w:rsidRPr="00D35B04">
        <w:rPr>
          <w:rFonts w:ascii="Times New Roman" w:hAnsi="Times New Roman"/>
        </w:rPr>
        <w:t xml:space="preserve"> a </w:t>
      </w:r>
      <w:r w:rsidR="006F0D85" w:rsidRPr="00D35B04">
        <w:rPr>
          <w:rFonts w:ascii="Times New Roman" w:hAnsi="Times New Roman"/>
        </w:rPr>
        <w:t>deni</w:t>
      </w:r>
      <w:r w:rsidR="00F26FEF" w:rsidRPr="00D35B04">
        <w:rPr>
          <w:rFonts w:ascii="Times New Roman" w:hAnsi="Times New Roman"/>
        </w:rPr>
        <w:t xml:space="preserve">al </w:t>
      </w:r>
      <w:r w:rsidR="006F0D85" w:rsidRPr="00D35B04">
        <w:rPr>
          <w:rFonts w:ascii="Times New Roman" w:hAnsi="Times New Roman"/>
        </w:rPr>
        <w:t xml:space="preserve">of </w:t>
      </w:r>
      <w:r w:rsidR="00910254" w:rsidRPr="00D35B04">
        <w:rPr>
          <w:rFonts w:ascii="Times New Roman" w:hAnsi="Times New Roman"/>
        </w:rPr>
        <w:t xml:space="preserve">an </w:t>
      </w:r>
      <w:r w:rsidR="008524CC" w:rsidRPr="00D35B04">
        <w:rPr>
          <w:rFonts w:ascii="Times New Roman" w:hAnsi="Times New Roman"/>
        </w:rPr>
        <w:t xml:space="preserve">assumption of </w:t>
      </w:r>
      <w:r w:rsidR="006F0D85" w:rsidRPr="00D35B04">
        <w:rPr>
          <w:rFonts w:ascii="Times New Roman" w:hAnsi="Times New Roman"/>
        </w:rPr>
        <w:t>responsibility on the part of the defendant</w:t>
      </w:r>
      <w:r w:rsidR="00F26FEF" w:rsidRPr="00D35B04">
        <w:rPr>
          <w:rFonts w:ascii="Times New Roman" w:hAnsi="Times New Roman"/>
        </w:rPr>
        <w:t xml:space="preserve"> which </w:t>
      </w:r>
      <w:r w:rsidR="006F0D85" w:rsidRPr="00D35B04">
        <w:rPr>
          <w:rFonts w:ascii="Times New Roman" w:hAnsi="Times New Roman"/>
        </w:rPr>
        <w:t xml:space="preserve">the </w:t>
      </w:r>
      <w:r w:rsidR="000B6C4B" w:rsidRPr="00D35B04">
        <w:rPr>
          <w:rFonts w:ascii="Times New Roman" w:hAnsi="Times New Roman"/>
        </w:rPr>
        <w:t>person or class</w:t>
      </w:r>
      <w:r w:rsidR="006F0D85" w:rsidRPr="00D35B04">
        <w:rPr>
          <w:rFonts w:ascii="Times New Roman" w:hAnsi="Times New Roman"/>
        </w:rPr>
        <w:t xml:space="preserve"> cannot ignore or reject. For example, no duty </w:t>
      </w:r>
      <w:r w:rsidR="00216554" w:rsidRPr="00D35B04">
        <w:rPr>
          <w:rFonts w:ascii="Times New Roman" w:hAnsi="Times New Roman"/>
        </w:rPr>
        <w:t xml:space="preserve">to avoid causing pure economic loss </w:t>
      </w:r>
      <w:r w:rsidR="006F0D85" w:rsidRPr="00D35B04">
        <w:rPr>
          <w:rFonts w:ascii="Times New Roman" w:hAnsi="Times New Roman"/>
        </w:rPr>
        <w:t xml:space="preserve">will </w:t>
      </w:r>
      <w:r w:rsidR="0044789F" w:rsidRPr="00D35B04">
        <w:rPr>
          <w:rFonts w:ascii="Times New Roman" w:hAnsi="Times New Roman"/>
        </w:rPr>
        <w:t>arise</w:t>
      </w:r>
      <w:r w:rsidR="006F0D85" w:rsidRPr="00D35B04">
        <w:rPr>
          <w:rFonts w:ascii="Times New Roman" w:hAnsi="Times New Roman"/>
        </w:rPr>
        <w:t xml:space="preserve"> </w:t>
      </w:r>
      <w:r w:rsidR="00D24143" w:rsidRPr="00D35B04">
        <w:rPr>
          <w:rFonts w:ascii="Times New Roman" w:hAnsi="Times New Roman"/>
        </w:rPr>
        <w:t>in connection with</w:t>
      </w:r>
      <w:r w:rsidR="006F0D85" w:rsidRPr="00D35B04">
        <w:rPr>
          <w:rFonts w:ascii="Times New Roman" w:hAnsi="Times New Roman"/>
        </w:rPr>
        <w:t xml:space="preserve"> the provision of advice or information if the defendant "had effectually disclaimed any responsibility for it".</w:t>
      </w:r>
      <w:r w:rsidR="006F0D85" w:rsidRPr="00D35B04">
        <w:rPr>
          <w:rStyle w:val="FootnoteReference"/>
          <w:rFonts w:ascii="Times New Roman" w:hAnsi="Times New Roman"/>
          <w:sz w:val="24"/>
        </w:rPr>
        <w:footnoteReference w:id="42"/>
      </w:r>
      <w:r w:rsidR="009705FC" w:rsidRPr="00D35B04">
        <w:rPr>
          <w:rFonts w:ascii="Times New Roman" w:hAnsi="Times New Roman"/>
        </w:rPr>
        <w:t xml:space="preserve"> </w:t>
      </w:r>
    </w:p>
    <w:p w14:paraId="15A35BDC" w14:textId="7151B28F" w:rsidR="00B75396" w:rsidRPr="00D35B04" w:rsidRDefault="00B75396"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In the </w:t>
      </w:r>
      <w:r w:rsidR="00E14C1D" w:rsidRPr="00D35B04">
        <w:rPr>
          <w:rFonts w:ascii="Times New Roman" w:hAnsi="Times New Roman"/>
        </w:rPr>
        <w:t xml:space="preserve">primary </w:t>
      </w:r>
      <w:r w:rsidRPr="00D35B04">
        <w:rPr>
          <w:rFonts w:ascii="Times New Roman" w:hAnsi="Times New Roman"/>
        </w:rPr>
        <w:t xml:space="preserve">judge's reasons in this case, there was some ambiguity about the finding that the producer had disclaimed an </w:t>
      </w:r>
      <w:bookmarkStart w:id="5" w:name="_Hlk162533035"/>
      <w:r w:rsidRPr="00D35B04">
        <w:rPr>
          <w:rFonts w:ascii="Times New Roman" w:hAnsi="Times New Roman"/>
        </w:rPr>
        <w:t xml:space="preserve">assumption of responsibility because his Honour did not identify facts that </w:t>
      </w:r>
      <w:r w:rsidR="009C491A" w:rsidRPr="00D35B04">
        <w:rPr>
          <w:rFonts w:ascii="Times New Roman" w:hAnsi="Times New Roman"/>
        </w:rPr>
        <w:t xml:space="preserve">would have </w:t>
      </w:r>
      <w:r w:rsidRPr="00D35B04">
        <w:rPr>
          <w:rFonts w:ascii="Times New Roman" w:hAnsi="Times New Roman"/>
        </w:rPr>
        <w:t xml:space="preserve">constituted an assumption of responsibility. It </w:t>
      </w:r>
      <w:r w:rsidR="00AD2AB6" w:rsidRPr="00D35B04">
        <w:rPr>
          <w:rFonts w:ascii="Times New Roman" w:hAnsi="Times New Roman"/>
        </w:rPr>
        <w:t xml:space="preserve">is </w:t>
      </w:r>
      <w:r w:rsidRPr="00D35B04">
        <w:rPr>
          <w:rFonts w:ascii="Times New Roman" w:hAnsi="Times New Roman"/>
        </w:rPr>
        <w:t xml:space="preserve">unclear whether he found an assumption </w:t>
      </w:r>
      <w:r w:rsidR="00AD2AB6" w:rsidRPr="00D35B04">
        <w:rPr>
          <w:rFonts w:ascii="Times New Roman" w:hAnsi="Times New Roman"/>
        </w:rPr>
        <w:t xml:space="preserve">of responsibility </w:t>
      </w:r>
      <w:r w:rsidRPr="00D35B04">
        <w:rPr>
          <w:rFonts w:ascii="Times New Roman" w:hAnsi="Times New Roman"/>
        </w:rPr>
        <w:t xml:space="preserve">that the producer disclaimed or that the producer had positively not assumed any relevant responsibility. If the former, the </w:t>
      </w:r>
      <w:r w:rsidR="00F05A9B" w:rsidRPr="00D35B04">
        <w:rPr>
          <w:rFonts w:ascii="Times New Roman" w:hAnsi="Times New Roman"/>
        </w:rPr>
        <w:t>primary</w:t>
      </w:r>
      <w:r w:rsidRPr="00D35B04">
        <w:rPr>
          <w:rFonts w:ascii="Times New Roman" w:hAnsi="Times New Roman"/>
        </w:rPr>
        <w:t xml:space="preserve"> judge was in error in the absence of any basis for finding an assumption of responsibility in the sense identified in the Australian case law</w:t>
      </w:r>
      <w:r w:rsidR="004B3A47" w:rsidRPr="00D35B04">
        <w:rPr>
          <w:rFonts w:ascii="Times New Roman" w:hAnsi="Times New Roman"/>
        </w:rPr>
        <w:t>.</w:t>
      </w:r>
      <w:bookmarkEnd w:id="5"/>
    </w:p>
    <w:p w14:paraId="148F2093" w14:textId="58C47C79" w:rsidR="0018054C" w:rsidRPr="00D35B04" w:rsidRDefault="0018054C"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4B3A47" w:rsidRPr="00D35B04">
        <w:rPr>
          <w:rFonts w:ascii="Times New Roman" w:hAnsi="Times New Roman"/>
        </w:rPr>
        <w:t xml:space="preserve">In </w:t>
      </w:r>
      <w:r w:rsidR="004B3A47" w:rsidRPr="00D35B04">
        <w:rPr>
          <w:rFonts w:ascii="Times New Roman" w:hAnsi="Times New Roman"/>
          <w:i/>
          <w:iCs/>
        </w:rPr>
        <w:t>Sullivan v Moody</w:t>
      </w:r>
      <w:r w:rsidR="00825FD4" w:rsidRPr="00D35B04">
        <w:rPr>
          <w:rFonts w:ascii="Times New Roman" w:hAnsi="Times New Roman"/>
        </w:rPr>
        <w:t>,</w:t>
      </w:r>
      <w:r w:rsidR="004B3A47" w:rsidRPr="00D35B04">
        <w:rPr>
          <w:rFonts w:ascii="Times New Roman" w:hAnsi="Times New Roman"/>
        </w:rPr>
        <w:t xml:space="preserve"> the </w:t>
      </w:r>
      <w:r w:rsidR="00AD554D" w:rsidRPr="00D35B04">
        <w:rPr>
          <w:rFonts w:ascii="Times New Roman" w:hAnsi="Times New Roman"/>
        </w:rPr>
        <w:t xml:space="preserve">Court </w:t>
      </w:r>
      <w:r w:rsidR="004B3A47" w:rsidRPr="00D35B04">
        <w:rPr>
          <w:rFonts w:ascii="Times New Roman" w:hAnsi="Times New Roman"/>
        </w:rPr>
        <w:t>observed that "[d]</w:t>
      </w:r>
      <w:proofErr w:type="spellStart"/>
      <w:r w:rsidR="004B3A47" w:rsidRPr="00D35B04">
        <w:rPr>
          <w:rFonts w:ascii="Times New Roman" w:hAnsi="Times New Roman"/>
        </w:rPr>
        <w:t>ifferent</w:t>
      </w:r>
      <w:proofErr w:type="spellEnd"/>
      <w:r w:rsidR="004B3A47" w:rsidRPr="00D35B04">
        <w:rPr>
          <w:rFonts w:ascii="Times New Roman" w:hAnsi="Times New Roman"/>
        </w:rPr>
        <w:t xml:space="preserve"> classes of case give rise to different problems in determining the existence and nature or scope, of a duty of care</w:t>
      </w:r>
      <w:r w:rsidR="00761C2A" w:rsidRPr="00D35B04">
        <w:rPr>
          <w:rFonts w:ascii="Times New Roman" w:hAnsi="Times New Roman"/>
        </w:rPr>
        <w:t xml:space="preserve"> </w:t>
      </w:r>
      <w:r w:rsidR="004B3A47" w:rsidRPr="00D35B04">
        <w:rPr>
          <w:rFonts w:ascii="Times New Roman" w:hAnsi="Times New Roman"/>
        </w:rPr>
        <w:t>... The relevant problem will then become the focus of attention in a judicial evaluation of the factors which tend for or against a conclusion, to be arrived at as a matter of principle."</w:t>
      </w:r>
      <w:r w:rsidR="004B3A47" w:rsidRPr="00D35B04">
        <w:rPr>
          <w:rStyle w:val="FootnoteReference"/>
          <w:rFonts w:ascii="Times New Roman" w:hAnsi="Times New Roman"/>
          <w:sz w:val="24"/>
        </w:rPr>
        <w:footnoteReference w:id="43"/>
      </w:r>
      <w:r w:rsidR="004B3A47" w:rsidRPr="00D35B04">
        <w:rPr>
          <w:rFonts w:ascii="Times New Roman" w:hAnsi="Times New Roman"/>
        </w:rPr>
        <w:t xml:space="preserve"> </w:t>
      </w:r>
      <w:r w:rsidRPr="00D35B04">
        <w:rPr>
          <w:rFonts w:ascii="Times New Roman" w:hAnsi="Times New Roman"/>
        </w:rPr>
        <w:t xml:space="preserve">Since </w:t>
      </w:r>
      <w:r w:rsidRPr="00D35B04">
        <w:rPr>
          <w:rFonts w:ascii="Times New Roman" w:hAnsi="Times New Roman"/>
          <w:i/>
          <w:iCs/>
        </w:rPr>
        <w:t>Sullivan v Moody</w:t>
      </w:r>
      <w:r w:rsidRPr="00D35B04">
        <w:rPr>
          <w:rFonts w:ascii="Times New Roman" w:hAnsi="Times New Roman"/>
        </w:rPr>
        <w:t>,</w:t>
      </w:r>
      <w:r w:rsidR="002B6BC4" w:rsidRPr="00D35B04">
        <w:rPr>
          <w:rFonts w:ascii="Times New Roman" w:hAnsi="Times New Roman"/>
          <w:i/>
          <w:iCs/>
        </w:rPr>
        <w:t xml:space="preserve"> </w:t>
      </w:r>
      <w:r w:rsidR="0036627D" w:rsidRPr="00D35B04">
        <w:rPr>
          <w:rFonts w:ascii="Times New Roman" w:hAnsi="Times New Roman"/>
        </w:rPr>
        <w:t xml:space="preserve">other than in </w:t>
      </w:r>
      <w:r w:rsidR="00CE6F1D" w:rsidRPr="00D35B04">
        <w:rPr>
          <w:rFonts w:ascii="Times New Roman" w:hAnsi="Times New Roman"/>
        </w:rPr>
        <w:t>case</w:t>
      </w:r>
      <w:r w:rsidR="004D2F9F" w:rsidRPr="00D35B04">
        <w:rPr>
          <w:rFonts w:ascii="Times New Roman" w:hAnsi="Times New Roman"/>
        </w:rPr>
        <w:t>s</w:t>
      </w:r>
      <w:r w:rsidR="00CE6F1D" w:rsidRPr="00D35B04">
        <w:rPr>
          <w:rFonts w:ascii="Times New Roman" w:hAnsi="Times New Roman"/>
        </w:rPr>
        <w:t xml:space="preserve"> </w:t>
      </w:r>
      <w:r w:rsidR="008E1474" w:rsidRPr="00D35B04">
        <w:rPr>
          <w:rFonts w:ascii="Times New Roman" w:hAnsi="Times New Roman"/>
        </w:rPr>
        <w:lastRenderedPageBreak/>
        <w:t>involving an</w:t>
      </w:r>
      <w:r w:rsidR="00CE6F1D" w:rsidRPr="00D35B04">
        <w:rPr>
          <w:rFonts w:ascii="Times New Roman" w:hAnsi="Times New Roman"/>
        </w:rPr>
        <w:t xml:space="preserve"> assumption of responsibility</w:t>
      </w:r>
      <w:r w:rsidRPr="00D35B04">
        <w:rPr>
          <w:rFonts w:ascii="Times New Roman" w:hAnsi="Times New Roman"/>
        </w:rPr>
        <w:t xml:space="preserve">, determining whether the relationship between </w:t>
      </w:r>
      <w:r w:rsidR="00C83671" w:rsidRPr="00D35B04">
        <w:rPr>
          <w:rFonts w:ascii="Times New Roman" w:hAnsi="Times New Roman"/>
        </w:rPr>
        <w:t xml:space="preserve">the </w:t>
      </w:r>
      <w:r w:rsidRPr="00D35B04">
        <w:rPr>
          <w:rFonts w:ascii="Times New Roman" w:hAnsi="Times New Roman"/>
        </w:rPr>
        <w:t xml:space="preserve">parties gives rise </w:t>
      </w:r>
      <w:r w:rsidR="006C605D" w:rsidRPr="00D35B04">
        <w:rPr>
          <w:rFonts w:ascii="Times New Roman" w:hAnsi="Times New Roman"/>
        </w:rPr>
        <w:t xml:space="preserve">to </w:t>
      </w:r>
      <w:r w:rsidRPr="00D35B04">
        <w:rPr>
          <w:rFonts w:ascii="Times New Roman" w:hAnsi="Times New Roman"/>
        </w:rPr>
        <w:t xml:space="preserve">a duty of care to avoid causing pure economic loss has been </w:t>
      </w:r>
      <w:r w:rsidR="003B21B5" w:rsidRPr="00D35B04">
        <w:rPr>
          <w:rFonts w:ascii="Times New Roman" w:hAnsi="Times New Roman"/>
        </w:rPr>
        <w:t>understood</w:t>
      </w:r>
      <w:r w:rsidRPr="00D35B04">
        <w:rPr>
          <w:rFonts w:ascii="Times New Roman" w:hAnsi="Times New Roman"/>
        </w:rPr>
        <w:t xml:space="preserve"> in Australia to involve </w:t>
      </w:r>
      <w:r w:rsidR="003B21B5" w:rsidRPr="00D35B04">
        <w:rPr>
          <w:rFonts w:ascii="Times New Roman" w:hAnsi="Times New Roman"/>
        </w:rPr>
        <w:t>such an</w:t>
      </w:r>
      <w:r w:rsidRPr="00D35B04">
        <w:rPr>
          <w:rFonts w:ascii="Times New Roman" w:hAnsi="Times New Roman"/>
        </w:rPr>
        <w:t xml:space="preserve"> evaluation</w:t>
      </w:r>
      <w:r w:rsidR="003B21B5" w:rsidRPr="00D35B04">
        <w:rPr>
          <w:rFonts w:ascii="Times New Roman" w:hAnsi="Times New Roman"/>
        </w:rPr>
        <w:t>.</w:t>
      </w:r>
      <w:r w:rsidRPr="00D35B04">
        <w:rPr>
          <w:rFonts w:ascii="Times New Roman" w:hAnsi="Times New Roman"/>
        </w:rPr>
        <w:t xml:space="preserve"> This "salient features" approach, as it is now known, has attracted significant </w:t>
      </w:r>
      <w:r w:rsidR="00612C31" w:rsidRPr="00D35B04">
        <w:rPr>
          <w:rFonts w:ascii="Times New Roman" w:hAnsi="Times New Roman"/>
        </w:rPr>
        <w:t>academic</w:t>
      </w:r>
      <w:r w:rsidRPr="00D35B04">
        <w:rPr>
          <w:rStyle w:val="FootnoteReference"/>
          <w:rFonts w:ascii="Times New Roman" w:hAnsi="Times New Roman"/>
          <w:sz w:val="24"/>
        </w:rPr>
        <w:footnoteReference w:id="44"/>
      </w:r>
      <w:r w:rsidRPr="00D35B04">
        <w:rPr>
          <w:rFonts w:ascii="Times New Roman" w:hAnsi="Times New Roman"/>
        </w:rPr>
        <w:t xml:space="preserve"> </w:t>
      </w:r>
      <w:r w:rsidR="0093091C" w:rsidRPr="00D35B04">
        <w:rPr>
          <w:rFonts w:ascii="Times New Roman" w:hAnsi="Times New Roman"/>
        </w:rPr>
        <w:t>and judicial</w:t>
      </w:r>
      <w:r w:rsidRPr="00D35B04">
        <w:rPr>
          <w:rStyle w:val="FootnoteReference"/>
          <w:rFonts w:ascii="Times New Roman" w:hAnsi="Times New Roman"/>
          <w:sz w:val="24"/>
        </w:rPr>
        <w:footnoteReference w:id="45"/>
      </w:r>
      <w:r w:rsidR="00530611" w:rsidRPr="00D35B04">
        <w:rPr>
          <w:rFonts w:ascii="Times New Roman" w:hAnsi="Times New Roman"/>
        </w:rPr>
        <w:t xml:space="preserve"> criticism.</w:t>
      </w:r>
      <w:r w:rsidRPr="00D35B04">
        <w:rPr>
          <w:rFonts w:ascii="Times New Roman" w:hAnsi="Times New Roman"/>
        </w:rPr>
        <w:t xml:space="preserve"> However, neither the </w:t>
      </w:r>
      <w:r w:rsidR="009663CE" w:rsidRPr="00D35B04">
        <w:rPr>
          <w:rFonts w:ascii="Times New Roman" w:hAnsi="Times New Roman"/>
        </w:rPr>
        <w:t xml:space="preserve">growers </w:t>
      </w:r>
      <w:r w:rsidRPr="00D35B04">
        <w:rPr>
          <w:rFonts w:ascii="Times New Roman" w:hAnsi="Times New Roman"/>
        </w:rPr>
        <w:t>no</w:t>
      </w:r>
      <w:r w:rsidR="00795B1E" w:rsidRPr="00D35B04">
        <w:rPr>
          <w:rFonts w:ascii="Times New Roman" w:hAnsi="Times New Roman"/>
        </w:rPr>
        <w:t>r</w:t>
      </w:r>
      <w:r w:rsidRPr="00D35B04">
        <w:rPr>
          <w:rFonts w:ascii="Times New Roman" w:hAnsi="Times New Roman"/>
        </w:rPr>
        <w:t xml:space="preserve"> the producer argued that there should be a departure from the approach in this case.</w:t>
      </w:r>
      <w:r w:rsidR="00606F23" w:rsidRPr="00D35B04">
        <w:rPr>
          <w:rFonts w:ascii="Times New Roman" w:hAnsi="Times New Roman"/>
        </w:rPr>
        <w:t xml:space="preserve"> </w:t>
      </w:r>
    </w:p>
    <w:p w14:paraId="0E2435BE" w14:textId="54C733DB" w:rsidR="008755B5" w:rsidRPr="00D35B04" w:rsidRDefault="0018054C"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042DBF" w:rsidRPr="00D35B04">
        <w:rPr>
          <w:rFonts w:ascii="Times New Roman" w:hAnsi="Times New Roman"/>
        </w:rPr>
        <w:t>The</w:t>
      </w:r>
      <w:r w:rsidR="004003FD" w:rsidRPr="00D35B04">
        <w:rPr>
          <w:rFonts w:ascii="Times New Roman" w:hAnsi="Times New Roman"/>
        </w:rPr>
        <w:t>ir Honours'</w:t>
      </w:r>
      <w:r w:rsidR="00042DBF" w:rsidRPr="00D35B04">
        <w:rPr>
          <w:rFonts w:ascii="Times New Roman" w:hAnsi="Times New Roman"/>
        </w:rPr>
        <w:t xml:space="preserve"> reference </w:t>
      </w:r>
      <w:r w:rsidR="00736459" w:rsidRPr="00D35B04">
        <w:rPr>
          <w:rFonts w:ascii="Times New Roman" w:hAnsi="Times New Roman"/>
        </w:rPr>
        <w:t xml:space="preserve">in </w:t>
      </w:r>
      <w:r w:rsidR="00736459" w:rsidRPr="00D35B04">
        <w:rPr>
          <w:rFonts w:ascii="Times New Roman" w:hAnsi="Times New Roman"/>
          <w:i/>
          <w:iCs/>
        </w:rPr>
        <w:t xml:space="preserve">Sullivan v Moody </w:t>
      </w:r>
      <w:r w:rsidR="00042DBF" w:rsidRPr="00D35B04">
        <w:rPr>
          <w:rFonts w:ascii="Times New Roman" w:hAnsi="Times New Roman"/>
        </w:rPr>
        <w:t>to "factors</w:t>
      </w:r>
      <w:r w:rsidR="007465BF" w:rsidRPr="00D35B04">
        <w:rPr>
          <w:rFonts w:ascii="Times New Roman" w:hAnsi="Times New Roman"/>
        </w:rPr>
        <w:t xml:space="preserve"> </w:t>
      </w:r>
      <w:r w:rsidR="00042DBF" w:rsidRPr="00D35B04">
        <w:rPr>
          <w:rFonts w:ascii="Times New Roman" w:hAnsi="Times New Roman"/>
        </w:rPr>
        <w:t>...</w:t>
      </w:r>
      <w:r w:rsidR="007465BF" w:rsidRPr="00D35B04">
        <w:rPr>
          <w:rFonts w:ascii="Times New Roman" w:hAnsi="Times New Roman"/>
        </w:rPr>
        <w:t xml:space="preserve"> </w:t>
      </w:r>
      <w:r w:rsidR="00042DBF" w:rsidRPr="00D35B04">
        <w:rPr>
          <w:rFonts w:ascii="Times New Roman" w:hAnsi="Times New Roman"/>
        </w:rPr>
        <w:t xml:space="preserve">for or against" </w:t>
      </w:r>
      <w:r w:rsidR="00736459" w:rsidRPr="00D35B04">
        <w:rPr>
          <w:rFonts w:ascii="Times New Roman" w:hAnsi="Times New Roman"/>
        </w:rPr>
        <w:t xml:space="preserve">recognition of a duty of care </w:t>
      </w:r>
      <w:r w:rsidR="00AA6D0A" w:rsidRPr="00D35B04">
        <w:rPr>
          <w:rFonts w:ascii="Times New Roman" w:hAnsi="Times New Roman"/>
        </w:rPr>
        <w:t xml:space="preserve">in a novel case </w:t>
      </w:r>
      <w:r w:rsidR="00042DBF" w:rsidRPr="00D35B04">
        <w:rPr>
          <w:rFonts w:ascii="Times New Roman" w:hAnsi="Times New Roman"/>
        </w:rPr>
        <w:t>should not be understood as inviting any form of "instinctive synthesis" of competing considerations "without a chain of reasoning linking these factors</w:t>
      </w:r>
      <w:r w:rsidR="0014138D" w:rsidRPr="00D35B04">
        <w:rPr>
          <w:rFonts w:ascii="Times New Roman" w:hAnsi="Times New Roman"/>
        </w:rPr>
        <w:t xml:space="preserve"> with the ultimate conclusion".</w:t>
      </w:r>
      <w:r w:rsidR="0014138D" w:rsidRPr="00D35B04">
        <w:rPr>
          <w:rStyle w:val="FootnoteReference"/>
          <w:rFonts w:ascii="Times New Roman" w:hAnsi="Times New Roman"/>
          <w:sz w:val="24"/>
        </w:rPr>
        <w:footnoteReference w:id="46"/>
      </w:r>
      <w:r w:rsidR="00042DBF" w:rsidRPr="00D35B04">
        <w:rPr>
          <w:rFonts w:ascii="Times New Roman" w:hAnsi="Times New Roman"/>
        </w:rPr>
        <w:t xml:space="preserve"> </w:t>
      </w:r>
      <w:r w:rsidR="00474124" w:rsidRPr="00D35B04">
        <w:rPr>
          <w:rFonts w:ascii="Times New Roman" w:hAnsi="Times New Roman"/>
        </w:rPr>
        <w:t xml:space="preserve">This is why </w:t>
      </w:r>
      <w:r w:rsidRPr="00D35B04">
        <w:rPr>
          <w:rFonts w:ascii="Times New Roman" w:hAnsi="Times New Roman"/>
        </w:rPr>
        <w:t xml:space="preserve">an incremental </w:t>
      </w:r>
      <w:r w:rsidR="00FB3DFD" w:rsidRPr="00D35B04">
        <w:rPr>
          <w:rFonts w:ascii="Times New Roman" w:hAnsi="Times New Roman"/>
        </w:rPr>
        <w:t xml:space="preserve">and analogical </w:t>
      </w:r>
      <w:r w:rsidRPr="00D35B04">
        <w:rPr>
          <w:rFonts w:ascii="Times New Roman" w:hAnsi="Times New Roman"/>
        </w:rPr>
        <w:t>approach,</w:t>
      </w:r>
      <w:r w:rsidRPr="00D35B04">
        <w:rPr>
          <w:rStyle w:val="FootnoteReference"/>
          <w:rFonts w:ascii="Times New Roman" w:hAnsi="Times New Roman"/>
          <w:sz w:val="24"/>
        </w:rPr>
        <w:footnoteReference w:id="47"/>
      </w:r>
      <w:r w:rsidRPr="00D35B04">
        <w:rPr>
          <w:rFonts w:ascii="Times New Roman" w:hAnsi="Times New Roman"/>
        </w:rPr>
        <w:t xml:space="preserve"> </w:t>
      </w:r>
      <w:r w:rsidR="00F1109E" w:rsidRPr="00D35B04">
        <w:rPr>
          <w:rFonts w:ascii="Times New Roman" w:hAnsi="Times New Roman"/>
        </w:rPr>
        <w:t>paying</w:t>
      </w:r>
      <w:r w:rsidRPr="00D35B04">
        <w:rPr>
          <w:rFonts w:ascii="Times New Roman" w:hAnsi="Times New Roman"/>
        </w:rPr>
        <w:t xml:space="preserve"> close attention to relevant precedents and any risk of incoherence in the principles they establish</w:t>
      </w:r>
      <w:r w:rsidR="00474124" w:rsidRPr="00D35B04">
        <w:rPr>
          <w:rFonts w:ascii="Times New Roman" w:hAnsi="Times New Roman"/>
        </w:rPr>
        <w:t>, is necessary</w:t>
      </w:r>
      <w:r w:rsidRPr="00D35B04">
        <w:rPr>
          <w:rFonts w:ascii="Times New Roman" w:hAnsi="Times New Roman"/>
        </w:rPr>
        <w:t>.</w:t>
      </w:r>
      <w:r w:rsidRPr="00D35B04">
        <w:rPr>
          <w:rStyle w:val="FootnoteReference"/>
          <w:rFonts w:ascii="Times New Roman" w:hAnsi="Times New Roman"/>
          <w:sz w:val="24"/>
        </w:rPr>
        <w:footnoteReference w:id="48"/>
      </w:r>
      <w:r w:rsidRPr="00D35B04">
        <w:rPr>
          <w:rFonts w:ascii="Times New Roman" w:hAnsi="Times New Roman"/>
        </w:rPr>
        <w:t xml:space="preserve"> </w:t>
      </w:r>
    </w:p>
    <w:p w14:paraId="45EFA47C" w14:textId="3893F7DD" w:rsidR="00856A68" w:rsidRPr="00D35B04" w:rsidRDefault="00CD030E"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C50645" w:rsidRPr="00D35B04">
        <w:rPr>
          <w:rFonts w:ascii="Times New Roman" w:hAnsi="Times New Roman"/>
        </w:rPr>
        <w:t xml:space="preserve">On </w:t>
      </w:r>
      <w:r w:rsidR="009B0173" w:rsidRPr="00D35B04">
        <w:rPr>
          <w:rFonts w:ascii="Times New Roman" w:hAnsi="Times New Roman"/>
        </w:rPr>
        <w:t xml:space="preserve">this </w:t>
      </w:r>
      <w:r w:rsidR="00C50645" w:rsidRPr="00D35B04">
        <w:rPr>
          <w:rFonts w:ascii="Times New Roman" w:hAnsi="Times New Roman"/>
        </w:rPr>
        <w:t>approach</w:t>
      </w:r>
      <w:r w:rsidR="00B34B41" w:rsidRPr="00D35B04">
        <w:rPr>
          <w:rFonts w:ascii="Times New Roman" w:hAnsi="Times New Roman"/>
        </w:rPr>
        <w:t xml:space="preserve">, actual knowledge </w:t>
      </w:r>
      <w:r w:rsidR="006606EC" w:rsidRPr="00D35B04">
        <w:rPr>
          <w:rFonts w:ascii="Times New Roman" w:hAnsi="Times New Roman"/>
        </w:rPr>
        <w:t>of the risk</w:t>
      </w:r>
      <w:r w:rsidR="00CC34B4" w:rsidRPr="00D35B04">
        <w:rPr>
          <w:rFonts w:ascii="Times New Roman" w:hAnsi="Times New Roman"/>
        </w:rPr>
        <w:t xml:space="preserve"> </w:t>
      </w:r>
      <w:r w:rsidR="000002AF" w:rsidRPr="00D35B04">
        <w:rPr>
          <w:rFonts w:ascii="Times New Roman" w:hAnsi="Times New Roman"/>
        </w:rPr>
        <w:t xml:space="preserve">to a person or class of persons </w:t>
      </w:r>
      <w:r w:rsidR="00CC34B4" w:rsidRPr="00D35B04">
        <w:rPr>
          <w:rFonts w:ascii="Times New Roman" w:hAnsi="Times New Roman"/>
        </w:rPr>
        <w:t xml:space="preserve">of </w:t>
      </w:r>
      <w:r w:rsidR="009D44F1" w:rsidRPr="00D35B04">
        <w:rPr>
          <w:rFonts w:ascii="Times New Roman" w:hAnsi="Times New Roman"/>
        </w:rPr>
        <w:t>the</w:t>
      </w:r>
      <w:r w:rsidR="00311B3E" w:rsidRPr="00D35B04">
        <w:rPr>
          <w:rFonts w:ascii="Times New Roman" w:hAnsi="Times New Roman"/>
        </w:rPr>
        <w:t xml:space="preserve"> </w:t>
      </w:r>
      <w:r w:rsidR="004A4336" w:rsidRPr="00D35B04">
        <w:rPr>
          <w:rFonts w:ascii="Times New Roman" w:hAnsi="Times New Roman"/>
        </w:rPr>
        <w:t xml:space="preserve">particular type of economic loss </w:t>
      </w:r>
      <w:r w:rsidR="006606EC" w:rsidRPr="00D35B04">
        <w:rPr>
          <w:rFonts w:ascii="Times New Roman" w:hAnsi="Times New Roman"/>
        </w:rPr>
        <w:t>that eventuated</w:t>
      </w:r>
      <w:r w:rsidR="00DC1B97" w:rsidRPr="00D35B04">
        <w:rPr>
          <w:rFonts w:ascii="Times New Roman" w:hAnsi="Times New Roman"/>
        </w:rPr>
        <w:t>, and of the magnitude of th</w:t>
      </w:r>
      <w:r w:rsidR="00334961" w:rsidRPr="00D35B04">
        <w:rPr>
          <w:rFonts w:ascii="Times New Roman" w:hAnsi="Times New Roman"/>
        </w:rPr>
        <w:t>e</w:t>
      </w:r>
      <w:r w:rsidR="00DC1B97" w:rsidRPr="00D35B04">
        <w:rPr>
          <w:rFonts w:ascii="Times New Roman" w:hAnsi="Times New Roman"/>
        </w:rPr>
        <w:t xml:space="preserve"> </w:t>
      </w:r>
      <w:r w:rsidR="004A4336" w:rsidRPr="00D35B04">
        <w:rPr>
          <w:rFonts w:ascii="Times New Roman" w:hAnsi="Times New Roman"/>
        </w:rPr>
        <w:t>economic</w:t>
      </w:r>
      <w:r w:rsidR="00311B3E" w:rsidRPr="00D35B04">
        <w:rPr>
          <w:rFonts w:ascii="Times New Roman" w:hAnsi="Times New Roman"/>
        </w:rPr>
        <w:t xml:space="preserve"> loss</w:t>
      </w:r>
      <w:r w:rsidR="00334961" w:rsidRPr="00D35B04">
        <w:rPr>
          <w:rFonts w:ascii="Times New Roman" w:hAnsi="Times New Roman"/>
        </w:rPr>
        <w:t xml:space="preserve"> that risk entails</w:t>
      </w:r>
      <w:r w:rsidR="00C51183" w:rsidRPr="00D35B04">
        <w:rPr>
          <w:rFonts w:ascii="Times New Roman" w:hAnsi="Times New Roman"/>
        </w:rPr>
        <w:t>,</w:t>
      </w:r>
      <w:r w:rsidR="00DC1B97" w:rsidRPr="00D35B04">
        <w:rPr>
          <w:rFonts w:ascii="Times New Roman" w:hAnsi="Times New Roman"/>
        </w:rPr>
        <w:t xml:space="preserve"> </w:t>
      </w:r>
      <w:r w:rsidR="00B34B41" w:rsidRPr="00D35B04">
        <w:rPr>
          <w:rFonts w:ascii="Times New Roman" w:hAnsi="Times New Roman"/>
        </w:rPr>
        <w:t>strengthen</w:t>
      </w:r>
      <w:r w:rsidR="00DF5E3F" w:rsidRPr="00D35B04">
        <w:rPr>
          <w:rFonts w:ascii="Times New Roman" w:hAnsi="Times New Roman"/>
        </w:rPr>
        <w:t>s a</w:t>
      </w:r>
      <w:r w:rsidR="00B34B41" w:rsidRPr="00D35B04">
        <w:rPr>
          <w:rFonts w:ascii="Times New Roman" w:hAnsi="Times New Roman"/>
        </w:rPr>
        <w:t xml:space="preserve"> case for finding a </w:t>
      </w:r>
      <w:r w:rsidR="00B34B41" w:rsidRPr="00D35B04">
        <w:rPr>
          <w:rFonts w:ascii="Times New Roman" w:hAnsi="Times New Roman"/>
        </w:rPr>
        <w:lastRenderedPageBreak/>
        <w:t>duty of care.</w:t>
      </w:r>
      <w:r w:rsidR="00B34B41" w:rsidRPr="00D35B04">
        <w:rPr>
          <w:rStyle w:val="FootnoteReference"/>
          <w:rFonts w:ascii="Times New Roman" w:hAnsi="Times New Roman"/>
          <w:sz w:val="24"/>
        </w:rPr>
        <w:footnoteReference w:id="49"/>
      </w:r>
      <w:r w:rsidR="00B34B41" w:rsidRPr="00D35B04">
        <w:rPr>
          <w:rFonts w:ascii="Times New Roman" w:hAnsi="Times New Roman"/>
        </w:rPr>
        <w:t xml:space="preserve"> </w:t>
      </w:r>
      <w:r w:rsidR="00F378B6" w:rsidRPr="00D35B04">
        <w:rPr>
          <w:rFonts w:ascii="Times New Roman" w:hAnsi="Times New Roman"/>
        </w:rPr>
        <w:t>I</w:t>
      </w:r>
      <w:r w:rsidR="00A94D7C" w:rsidRPr="00D35B04">
        <w:rPr>
          <w:rFonts w:ascii="Times New Roman" w:hAnsi="Times New Roman"/>
        </w:rPr>
        <w:t xml:space="preserve">n </w:t>
      </w:r>
      <w:proofErr w:type="spellStart"/>
      <w:r w:rsidR="00A94D7C" w:rsidRPr="00D35B04">
        <w:rPr>
          <w:rFonts w:ascii="Times New Roman" w:hAnsi="Times New Roman"/>
          <w:i/>
          <w:iCs/>
        </w:rPr>
        <w:t>Perre</w:t>
      </w:r>
      <w:proofErr w:type="spellEnd"/>
      <w:r w:rsidR="00BB514A" w:rsidRPr="00D35B04">
        <w:rPr>
          <w:rFonts w:ascii="Times New Roman" w:hAnsi="Times New Roman"/>
          <w:i/>
          <w:iCs/>
        </w:rPr>
        <w:t xml:space="preserve"> v </w:t>
      </w:r>
      <w:proofErr w:type="spellStart"/>
      <w:r w:rsidR="00BB514A" w:rsidRPr="00D35B04">
        <w:rPr>
          <w:rFonts w:ascii="Times New Roman" w:hAnsi="Times New Roman"/>
          <w:i/>
          <w:iCs/>
        </w:rPr>
        <w:t>Apand</w:t>
      </w:r>
      <w:proofErr w:type="spellEnd"/>
      <w:r w:rsidR="005342F3" w:rsidRPr="00D35B04">
        <w:rPr>
          <w:rFonts w:ascii="Times New Roman" w:hAnsi="Times New Roman"/>
          <w:i/>
          <w:iCs/>
        </w:rPr>
        <w:t xml:space="preserve"> Pty Ltd</w:t>
      </w:r>
      <w:r w:rsidR="005342F3" w:rsidRPr="00D35B04">
        <w:rPr>
          <w:rFonts w:ascii="Times New Roman" w:hAnsi="Times New Roman"/>
        </w:rPr>
        <w:t>,</w:t>
      </w:r>
      <w:r w:rsidR="00A94D7C" w:rsidRPr="00D35B04">
        <w:rPr>
          <w:rFonts w:ascii="Times New Roman" w:hAnsi="Times New Roman"/>
          <w:i/>
          <w:iCs/>
        </w:rPr>
        <w:t xml:space="preserve"> </w:t>
      </w:r>
      <w:r w:rsidR="00F43C2E" w:rsidRPr="00D35B04">
        <w:rPr>
          <w:rFonts w:ascii="Times New Roman" w:hAnsi="Times New Roman"/>
        </w:rPr>
        <w:t xml:space="preserve">McHugh J observed </w:t>
      </w:r>
      <w:r w:rsidR="00A94D7C" w:rsidRPr="00D35B04">
        <w:rPr>
          <w:rFonts w:ascii="Times New Roman" w:hAnsi="Times New Roman"/>
        </w:rPr>
        <w:t>that</w:t>
      </w:r>
      <w:r w:rsidR="00492FB0" w:rsidRPr="00D35B04">
        <w:rPr>
          <w:rFonts w:ascii="Times New Roman" w:hAnsi="Times New Roman"/>
        </w:rPr>
        <w:t xml:space="preserve"> </w:t>
      </w:r>
      <w:r w:rsidR="00A94D7C" w:rsidRPr="00D35B04">
        <w:rPr>
          <w:rFonts w:ascii="Times New Roman" w:hAnsi="Times New Roman"/>
        </w:rPr>
        <w:t xml:space="preserve">"[t]he cases have recognised that knowledge, actual or constructive, of the defendant that its act will harm the plaintiff is virtually a prerequisite of a duty of care in </w:t>
      </w:r>
      <w:r w:rsidR="000B7A6D" w:rsidRPr="00D35B04">
        <w:rPr>
          <w:rFonts w:ascii="Times New Roman" w:hAnsi="Times New Roman"/>
        </w:rPr>
        <w:t xml:space="preserve">cases of </w:t>
      </w:r>
      <w:r w:rsidR="00A94D7C" w:rsidRPr="00D35B04">
        <w:rPr>
          <w:rFonts w:ascii="Times New Roman" w:hAnsi="Times New Roman"/>
        </w:rPr>
        <w:t>pure economic loss"</w:t>
      </w:r>
      <w:r w:rsidR="003C0737" w:rsidRPr="00D35B04">
        <w:rPr>
          <w:rFonts w:ascii="Times New Roman" w:hAnsi="Times New Roman"/>
        </w:rPr>
        <w:t>.</w:t>
      </w:r>
      <w:r w:rsidR="00A94D7C" w:rsidRPr="00D35B04">
        <w:rPr>
          <w:rStyle w:val="FootnoteReference"/>
          <w:rFonts w:ascii="Times New Roman" w:hAnsi="Times New Roman"/>
          <w:sz w:val="24"/>
        </w:rPr>
        <w:footnoteReference w:id="50"/>
      </w:r>
      <w:r w:rsidR="00A94D7C" w:rsidRPr="00D35B04">
        <w:rPr>
          <w:rFonts w:ascii="Times New Roman" w:hAnsi="Times New Roman"/>
        </w:rPr>
        <w:t xml:space="preserve"> </w:t>
      </w:r>
      <w:r w:rsidR="00DF6037" w:rsidRPr="00D35B04">
        <w:rPr>
          <w:rFonts w:ascii="Times New Roman" w:hAnsi="Times New Roman"/>
        </w:rPr>
        <w:t>For McHugh J, t</w:t>
      </w:r>
      <w:r w:rsidR="00D25454" w:rsidRPr="00D35B04">
        <w:rPr>
          <w:rFonts w:ascii="Times New Roman" w:hAnsi="Times New Roman"/>
        </w:rPr>
        <w:t>h</w:t>
      </w:r>
      <w:r w:rsidR="0008152F" w:rsidRPr="00D35B04">
        <w:rPr>
          <w:rFonts w:ascii="Times New Roman" w:hAnsi="Times New Roman"/>
        </w:rPr>
        <w:t>is recognition</w:t>
      </w:r>
      <w:r w:rsidR="00AB63B2" w:rsidRPr="00D35B04">
        <w:rPr>
          <w:rFonts w:ascii="Times New Roman" w:hAnsi="Times New Roman"/>
        </w:rPr>
        <w:t xml:space="preserve"> reflect</w:t>
      </w:r>
      <w:r w:rsidR="00EA5E4A" w:rsidRPr="00D35B04">
        <w:rPr>
          <w:rFonts w:ascii="Times New Roman" w:hAnsi="Times New Roman"/>
        </w:rPr>
        <w:t>ed</w:t>
      </w:r>
      <w:r w:rsidR="00B859B4" w:rsidRPr="00D35B04">
        <w:rPr>
          <w:rFonts w:ascii="Times New Roman" w:hAnsi="Times New Roman"/>
        </w:rPr>
        <w:t xml:space="preserve"> </w:t>
      </w:r>
      <w:r w:rsidR="00624DFA" w:rsidRPr="00D35B04">
        <w:rPr>
          <w:rFonts w:ascii="Times New Roman" w:hAnsi="Times New Roman"/>
        </w:rPr>
        <w:t xml:space="preserve">the simple propositions </w:t>
      </w:r>
      <w:r w:rsidR="0008152F" w:rsidRPr="00D35B04">
        <w:rPr>
          <w:rFonts w:ascii="Times New Roman" w:hAnsi="Times New Roman"/>
        </w:rPr>
        <w:t>that</w:t>
      </w:r>
      <w:r w:rsidR="00B859B4" w:rsidRPr="00D35B04">
        <w:rPr>
          <w:rFonts w:ascii="Times New Roman" w:hAnsi="Times New Roman"/>
        </w:rPr>
        <w:t xml:space="preserve"> "[n]</w:t>
      </w:r>
      <w:proofErr w:type="spellStart"/>
      <w:r w:rsidR="00B859B4" w:rsidRPr="00D35B04">
        <w:rPr>
          <w:rFonts w:ascii="Times New Roman" w:hAnsi="Times New Roman"/>
        </w:rPr>
        <w:t>egligence</w:t>
      </w:r>
      <w:proofErr w:type="spellEnd"/>
      <w:r w:rsidR="00B859B4" w:rsidRPr="00D35B04">
        <w:rPr>
          <w:rFonts w:ascii="Times New Roman" w:hAnsi="Times New Roman"/>
        </w:rPr>
        <w:t xml:space="preserve"> at common law is still a fault based system</w:t>
      </w:r>
      <w:r w:rsidR="00284766" w:rsidRPr="00D35B04">
        <w:rPr>
          <w:rFonts w:ascii="Times New Roman" w:hAnsi="Times New Roman"/>
        </w:rPr>
        <w:t xml:space="preserve"> </w:t>
      </w:r>
      <w:r w:rsidR="00BF1E34" w:rsidRPr="00D35B04">
        <w:rPr>
          <w:rFonts w:ascii="Times New Roman" w:hAnsi="Times New Roman"/>
        </w:rPr>
        <w:t>...</w:t>
      </w:r>
      <w:r w:rsidR="00284766" w:rsidRPr="00D35B04">
        <w:rPr>
          <w:rFonts w:ascii="Times New Roman" w:hAnsi="Times New Roman"/>
        </w:rPr>
        <w:t xml:space="preserve"> </w:t>
      </w:r>
      <w:r w:rsidR="00BF1E34" w:rsidRPr="00D35B04">
        <w:rPr>
          <w:rFonts w:ascii="Times New Roman" w:hAnsi="Times New Roman"/>
        </w:rPr>
        <w:t xml:space="preserve">[and it] would offend current community </w:t>
      </w:r>
      <w:r w:rsidR="00D25454" w:rsidRPr="00D35B04">
        <w:rPr>
          <w:rFonts w:ascii="Times New Roman" w:hAnsi="Times New Roman"/>
        </w:rPr>
        <w:t>standards</w:t>
      </w:r>
      <w:r w:rsidR="00BF1E34" w:rsidRPr="00D35B04">
        <w:rPr>
          <w:rFonts w:ascii="Times New Roman" w:hAnsi="Times New Roman"/>
        </w:rPr>
        <w:t xml:space="preserve"> to impose liability on a defendant for acts or omissions which he or she could not apprehend would damage the interests of another</w:t>
      </w:r>
      <w:r w:rsidR="00F83CA1" w:rsidRPr="00D35B04">
        <w:rPr>
          <w:rFonts w:ascii="Times New Roman" w:hAnsi="Times New Roman"/>
        </w:rPr>
        <w:t>".</w:t>
      </w:r>
      <w:r w:rsidR="00F83CA1" w:rsidRPr="00D35B04">
        <w:rPr>
          <w:rStyle w:val="FootnoteReference"/>
          <w:rFonts w:ascii="Times New Roman" w:hAnsi="Times New Roman"/>
          <w:sz w:val="24"/>
        </w:rPr>
        <w:footnoteReference w:id="51"/>
      </w:r>
      <w:r w:rsidR="00D25454" w:rsidRPr="00D35B04">
        <w:rPr>
          <w:rFonts w:ascii="Times New Roman" w:hAnsi="Times New Roman"/>
        </w:rPr>
        <w:t xml:space="preserve"> </w:t>
      </w:r>
      <w:r w:rsidR="00C76C2F" w:rsidRPr="00D35B04">
        <w:rPr>
          <w:rFonts w:ascii="Times New Roman" w:hAnsi="Times New Roman"/>
        </w:rPr>
        <w:t>B</w:t>
      </w:r>
      <w:r w:rsidR="008D74F2" w:rsidRPr="00D35B04">
        <w:rPr>
          <w:rFonts w:ascii="Times New Roman" w:hAnsi="Times New Roman"/>
        </w:rPr>
        <w:t xml:space="preserve">ecause negligence is fault-based, </w:t>
      </w:r>
      <w:r w:rsidR="00CF32C1" w:rsidRPr="00D35B04">
        <w:rPr>
          <w:rFonts w:ascii="Times New Roman" w:hAnsi="Times New Roman"/>
        </w:rPr>
        <w:t>reck</w:t>
      </w:r>
      <w:r w:rsidR="00167922" w:rsidRPr="00D35B04">
        <w:rPr>
          <w:rFonts w:ascii="Times New Roman" w:hAnsi="Times New Roman"/>
        </w:rPr>
        <w:t>less</w:t>
      </w:r>
      <w:r w:rsidR="00C73DED" w:rsidRPr="00D35B04">
        <w:rPr>
          <w:rFonts w:ascii="Times New Roman" w:hAnsi="Times New Roman"/>
        </w:rPr>
        <w:t xml:space="preserve">ness or gross carelessness in a defendant's actions resulting in economic loss </w:t>
      </w:r>
      <w:r w:rsidR="0016093E" w:rsidRPr="00D35B04">
        <w:rPr>
          <w:rFonts w:ascii="Times New Roman" w:hAnsi="Times New Roman"/>
        </w:rPr>
        <w:t>may</w:t>
      </w:r>
      <w:r w:rsidR="00C73DED" w:rsidRPr="00D35B04">
        <w:rPr>
          <w:rFonts w:ascii="Times New Roman" w:hAnsi="Times New Roman"/>
        </w:rPr>
        <w:t xml:space="preserve"> be relevant to the </w:t>
      </w:r>
      <w:r w:rsidR="00D56BD8" w:rsidRPr="00D35B04">
        <w:rPr>
          <w:rFonts w:ascii="Times New Roman" w:hAnsi="Times New Roman"/>
        </w:rPr>
        <w:t>existence of any novel duty of care enabling recovery for such loss</w:t>
      </w:r>
      <w:r w:rsidR="00FB4F5D" w:rsidRPr="00D35B04">
        <w:rPr>
          <w:rFonts w:ascii="Times New Roman" w:hAnsi="Times New Roman"/>
        </w:rPr>
        <w:t>.</w:t>
      </w:r>
      <w:r w:rsidR="00804A0B" w:rsidRPr="00D35B04">
        <w:rPr>
          <w:rStyle w:val="FootnoteReference"/>
          <w:rFonts w:ascii="Times New Roman" w:hAnsi="Times New Roman"/>
          <w:sz w:val="24"/>
        </w:rPr>
        <w:footnoteReference w:id="52"/>
      </w:r>
      <w:r w:rsidR="00D80743" w:rsidRPr="00D35B04">
        <w:rPr>
          <w:rFonts w:ascii="Times New Roman" w:hAnsi="Times New Roman"/>
        </w:rPr>
        <w:t xml:space="preserve"> </w:t>
      </w:r>
    </w:p>
    <w:p w14:paraId="43605A2F" w14:textId="77068EDA" w:rsidR="00F659DD" w:rsidRPr="00D35B04" w:rsidRDefault="00C51183"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C67E61" w:rsidRPr="00D35B04">
        <w:rPr>
          <w:rFonts w:ascii="Times New Roman" w:hAnsi="Times New Roman"/>
        </w:rPr>
        <w:t xml:space="preserve">Another matter </w:t>
      </w:r>
      <w:r w:rsidR="005123FD" w:rsidRPr="00D35B04">
        <w:rPr>
          <w:rFonts w:ascii="Times New Roman" w:hAnsi="Times New Roman"/>
        </w:rPr>
        <w:t xml:space="preserve">that adherence to the required incremental and analogical approach has identified as </w:t>
      </w:r>
      <w:r w:rsidR="00C67E61" w:rsidRPr="00D35B04">
        <w:rPr>
          <w:rFonts w:ascii="Times New Roman" w:hAnsi="Times New Roman"/>
        </w:rPr>
        <w:t xml:space="preserve">relevant to </w:t>
      </w:r>
      <w:r w:rsidR="00487FE0" w:rsidRPr="00D35B04">
        <w:rPr>
          <w:rFonts w:ascii="Times New Roman" w:hAnsi="Times New Roman"/>
        </w:rPr>
        <w:t xml:space="preserve">the existence </w:t>
      </w:r>
      <w:r w:rsidR="00C67E61" w:rsidRPr="00D35B04">
        <w:rPr>
          <w:rFonts w:ascii="Times New Roman" w:hAnsi="Times New Roman"/>
        </w:rPr>
        <w:t>of a duty of care</w:t>
      </w:r>
      <w:r w:rsidR="00667429" w:rsidRPr="00D35B04">
        <w:rPr>
          <w:rFonts w:ascii="Times New Roman" w:hAnsi="Times New Roman"/>
        </w:rPr>
        <w:t xml:space="preserve"> to avoid </w:t>
      </w:r>
      <w:r w:rsidR="007C5FC3" w:rsidRPr="00D35B04">
        <w:rPr>
          <w:rFonts w:ascii="Times New Roman" w:hAnsi="Times New Roman"/>
        </w:rPr>
        <w:t xml:space="preserve">causing </w:t>
      </w:r>
      <w:r w:rsidR="00667429" w:rsidRPr="00D35B04">
        <w:rPr>
          <w:rFonts w:ascii="Times New Roman" w:hAnsi="Times New Roman"/>
        </w:rPr>
        <w:t>pure economic loss</w:t>
      </w:r>
      <w:r w:rsidR="00C67E61" w:rsidRPr="00D35B04">
        <w:rPr>
          <w:rFonts w:ascii="Times New Roman" w:hAnsi="Times New Roman"/>
        </w:rPr>
        <w:t xml:space="preserve"> is</w:t>
      </w:r>
      <w:r w:rsidR="00BA72F2" w:rsidRPr="00D35B04">
        <w:rPr>
          <w:rFonts w:ascii="Times New Roman" w:hAnsi="Times New Roman"/>
        </w:rPr>
        <w:t xml:space="preserve"> </w:t>
      </w:r>
      <w:r w:rsidR="003329DD" w:rsidRPr="00D35B04">
        <w:rPr>
          <w:rFonts w:ascii="Times New Roman" w:hAnsi="Times New Roman"/>
        </w:rPr>
        <w:t xml:space="preserve">a plaintiff's </w:t>
      </w:r>
      <w:r w:rsidR="00620CFF" w:rsidRPr="00D35B04">
        <w:rPr>
          <w:rFonts w:ascii="Times New Roman" w:hAnsi="Times New Roman"/>
        </w:rPr>
        <w:t>"</w:t>
      </w:r>
      <w:r w:rsidR="00CC45CA" w:rsidRPr="00D35B04">
        <w:rPr>
          <w:rFonts w:ascii="Times New Roman" w:hAnsi="Times New Roman"/>
        </w:rPr>
        <w:t>vulnerability</w:t>
      </w:r>
      <w:r w:rsidR="00620CFF" w:rsidRPr="00D35B04">
        <w:rPr>
          <w:rFonts w:ascii="Times New Roman" w:hAnsi="Times New Roman"/>
        </w:rPr>
        <w:t>"</w:t>
      </w:r>
      <w:r w:rsidR="003329DD" w:rsidRPr="00D35B04">
        <w:rPr>
          <w:rFonts w:ascii="Times New Roman" w:hAnsi="Times New Roman"/>
        </w:rPr>
        <w:t xml:space="preserve"> to the </w:t>
      </w:r>
      <w:r w:rsidR="00974156" w:rsidRPr="00D35B04">
        <w:rPr>
          <w:rFonts w:ascii="Times New Roman" w:hAnsi="Times New Roman"/>
        </w:rPr>
        <w:t xml:space="preserve">particular type of </w:t>
      </w:r>
      <w:r w:rsidR="003329DD" w:rsidRPr="00D35B04">
        <w:rPr>
          <w:rFonts w:ascii="Times New Roman" w:hAnsi="Times New Roman"/>
        </w:rPr>
        <w:t xml:space="preserve">economic </w:t>
      </w:r>
      <w:r w:rsidR="00974156" w:rsidRPr="00D35B04">
        <w:rPr>
          <w:rFonts w:ascii="Times New Roman" w:hAnsi="Times New Roman"/>
        </w:rPr>
        <w:t xml:space="preserve">loss </w:t>
      </w:r>
      <w:r w:rsidR="003329DD" w:rsidRPr="00D35B04">
        <w:rPr>
          <w:rFonts w:ascii="Times New Roman" w:hAnsi="Times New Roman"/>
        </w:rPr>
        <w:t>that eventuated.</w:t>
      </w:r>
      <w:r w:rsidR="00CE1B96" w:rsidRPr="00D35B04">
        <w:rPr>
          <w:rStyle w:val="FootnoteReference"/>
          <w:rFonts w:ascii="Times New Roman" w:hAnsi="Times New Roman"/>
          <w:sz w:val="24"/>
        </w:rPr>
        <w:footnoteReference w:id="53"/>
      </w:r>
      <w:r w:rsidR="003329DD" w:rsidRPr="00D35B04">
        <w:rPr>
          <w:rFonts w:ascii="Times New Roman" w:hAnsi="Times New Roman"/>
        </w:rPr>
        <w:t xml:space="preserve"> </w:t>
      </w:r>
      <w:r w:rsidR="003D491A" w:rsidRPr="00D35B04">
        <w:rPr>
          <w:rFonts w:ascii="Times New Roman" w:hAnsi="Times New Roman"/>
        </w:rPr>
        <w:t xml:space="preserve">The relevant vulnerability is </w:t>
      </w:r>
      <w:r w:rsidR="0060451E" w:rsidRPr="00D35B04">
        <w:rPr>
          <w:rFonts w:ascii="Times New Roman" w:hAnsi="Times New Roman"/>
        </w:rPr>
        <w:t>the</w:t>
      </w:r>
      <w:r w:rsidR="00201DA6" w:rsidRPr="00D35B04">
        <w:rPr>
          <w:rFonts w:ascii="Times New Roman" w:hAnsi="Times New Roman"/>
        </w:rPr>
        <w:t xml:space="preserve"> plaintiff's</w:t>
      </w:r>
      <w:r w:rsidR="00CC45CA" w:rsidRPr="00D35B04">
        <w:rPr>
          <w:rFonts w:ascii="Times New Roman" w:hAnsi="Times New Roman"/>
        </w:rPr>
        <w:t xml:space="preserve"> inability to protect </w:t>
      </w:r>
      <w:r w:rsidR="00620CFF" w:rsidRPr="00D35B04">
        <w:rPr>
          <w:rFonts w:ascii="Times New Roman" w:hAnsi="Times New Roman"/>
        </w:rPr>
        <w:t>him or her</w:t>
      </w:r>
      <w:r w:rsidR="00E3460A" w:rsidRPr="00D35B04">
        <w:rPr>
          <w:rFonts w:ascii="Times New Roman" w:hAnsi="Times New Roman"/>
        </w:rPr>
        <w:t xml:space="preserve">self </w:t>
      </w:r>
      <w:r w:rsidR="00DA7D78" w:rsidRPr="00D35B04">
        <w:rPr>
          <w:rFonts w:ascii="Times New Roman" w:hAnsi="Times New Roman"/>
        </w:rPr>
        <w:t xml:space="preserve">from the </w:t>
      </w:r>
      <w:r w:rsidR="00267EAE" w:rsidRPr="00D35B04">
        <w:rPr>
          <w:rFonts w:ascii="Times New Roman" w:hAnsi="Times New Roman"/>
        </w:rPr>
        <w:t xml:space="preserve">economic </w:t>
      </w:r>
      <w:r w:rsidR="00E3460A" w:rsidRPr="00D35B04">
        <w:rPr>
          <w:rFonts w:ascii="Times New Roman" w:hAnsi="Times New Roman"/>
        </w:rPr>
        <w:t xml:space="preserve">loss </w:t>
      </w:r>
      <w:r w:rsidR="00DA7D78" w:rsidRPr="00D35B04">
        <w:rPr>
          <w:rFonts w:ascii="Times New Roman" w:hAnsi="Times New Roman"/>
        </w:rPr>
        <w:t>tha</w:t>
      </w:r>
      <w:r w:rsidR="009F7F76" w:rsidRPr="00D35B04">
        <w:rPr>
          <w:rFonts w:ascii="Times New Roman" w:hAnsi="Times New Roman"/>
        </w:rPr>
        <w:t>t eventuated</w:t>
      </w:r>
      <w:r w:rsidR="003329DD" w:rsidRPr="00D35B04">
        <w:rPr>
          <w:rFonts w:ascii="Times New Roman" w:hAnsi="Times New Roman"/>
        </w:rPr>
        <w:t xml:space="preserve"> as a consequence of a defendant's carelessness</w:t>
      </w:r>
      <w:r w:rsidR="00754C74" w:rsidRPr="00D35B04">
        <w:rPr>
          <w:rFonts w:ascii="Times New Roman" w:hAnsi="Times New Roman"/>
        </w:rPr>
        <w:t xml:space="preserve">, either entirely or in a way </w:t>
      </w:r>
      <w:r w:rsidR="003A6608" w:rsidRPr="00D35B04">
        <w:rPr>
          <w:rFonts w:ascii="Times New Roman" w:hAnsi="Times New Roman"/>
        </w:rPr>
        <w:t xml:space="preserve">that </w:t>
      </w:r>
      <w:r w:rsidR="00754C74" w:rsidRPr="00D35B04">
        <w:rPr>
          <w:rFonts w:ascii="Times New Roman" w:hAnsi="Times New Roman"/>
        </w:rPr>
        <w:t xml:space="preserve">would cast the consequence of loss on the defendant </w:t>
      </w:r>
      <w:r w:rsidR="00D42AE8" w:rsidRPr="00D35B04">
        <w:rPr>
          <w:rFonts w:ascii="Times New Roman" w:hAnsi="Times New Roman"/>
        </w:rPr>
        <w:t>(</w:t>
      </w:r>
      <w:r w:rsidR="00754C74" w:rsidRPr="00D35B04">
        <w:rPr>
          <w:rFonts w:ascii="Times New Roman" w:hAnsi="Times New Roman"/>
        </w:rPr>
        <w:t>for example,</w:t>
      </w:r>
      <w:r w:rsidR="00D42AE8" w:rsidRPr="00D35B04">
        <w:rPr>
          <w:rFonts w:ascii="Times New Roman" w:hAnsi="Times New Roman"/>
        </w:rPr>
        <w:t xml:space="preserve"> by</w:t>
      </w:r>
      <w:r w:rsidR="00754C74" w:rsidRPr="00D35B04">
        <w:rPr>
          <w:rFonts w:ascii="Times New Roman" w:hAnsi="Times New Roman"/>
        </w:rPr>
        <w:t xml:space="preserve"> contractual stipulations</w:t>
      </w:r>
      <w:r w:rsidR="00D42AE8" w:rsidRPr="00D35B04">
        <w:rPr>
          <w:rFonts w:ascii="Times New Roman" w:hAnsi="Times New Roman"/>
        </w:rPr>
        <w:t>)</w:t>
      </w:r>
      <w:r w:rsidR="00754C74" w:rsidRPr="00D35B04">
        <w:rPr>
          <w:rFonts w:ascii="Times New Roman" w:hAnsi="Times New Roman"/>
        </w:rPr>
        <w:t>.</w:t>
      </w:r>
      <w:r w:rsidR="003A6E10" w:rsidRPr="00D35B04">
        <w:rPr>
          <w:rStyle w:val="FootnoteReference"/>
          <w:rFonts w:ascii="Times New Roman" w:hAnsi="Times New Roman"/>
          <w:sz w:val="24"/>
        </w:rPr>
        <w:footnoteReference w:id="54"/>
      </w:r>
      <w:r w:rsidR="00754C74" w:rsidRPr="00D35B04">
        <w:rPr>
          <w:rFonts w:ascii="Times New Roman" w:hAnsi="Times New Roman"/>
        </w:rPr>
        <w:t xml:space="preserve"> </w:t>
      </w:r>
      <w:r w:rsidR="00D3182E" w:rsidRPr="00D35B04">
        <w:rPr>
          <w:rFonts w:ascii="Times New Roman" w:hAnsi="Times New Roman"/>
        </w:rPr>
        <w:t xml:space="preserve">A mere likelihood of suffering economic loss if reasonable care is not taken </w:t>
      </w:r>
      <w:r w:rsidR="002C31E0" w:rsidRPr="00D35B04">
        <w:rPr>
          <w:rFonts w:ascii="Times New Roman" w:hAnsi="Times New Roman"/>
        </w:rPr>
        <w:t>will not amount to vulnerability</w:t>
      </w:r>
      <w:r w:rsidR="00D3182E" w:rsidRPr="00D35B04">
        <w:rPr>
          <w:rFonts w:ascii="Times New Roman" w:hAnsi="Times New Roman"/>
        </w:rPr>
        <w:t>.</w:t>
      </w:r>
      <w:r w:rsidR="00D3182E" w:rsidRPr="00D35B04">
        <w:rPr>
          <w:rStyle w:val="FootnoteReference"/>
          <w:rFonts w:ascii="Times New Roman" w:hAnsi="Times New Roman"/>
          <w:sz w:val="24"/>
        </w:rPr>
        <w:footnoteReference w:id="55"/>
      </w:r>
      <w:r w:rsidR="00D3182E" w:rsidRPr="00D35B04">
        <w:rPr>
          <w:rFonts w:ascii="Times New Roman" w:hAnsi="Times New Roman"/>
        </w:rPr>
        <w:t xml:space="preserve"> </w:t>
      </w:r>
      <w:r w:rsidR="00262F8B" w:rsidRPr="00D35B04">
        <w:rPr>
          <w:rFonts w:ascii="Times New Roman" w:hAnsi="Times New Roman"/>
        </w:rPr>
        <w:t xml:space="preserve">As McHugh J explained it in </w:t>
      </w:r>
      <w:r w:rsidR="00262F8B" w:rsidRPr="00D35B04">
        <w:rPr>
          <w:rFonts w:ascii="Times New Roman" w:hAnsi="Times New Roman"/>
          <w:i/>
          <w:iCs/>
        </w:rPr>
        <w:t>Woolcock</w:t>
      </w:r>
      <w:r w:rsidR="00DA36B9" w:rsidRPr="00D35B04">
        <w:rPr>
          <w:rFonts w:ascii="Times New Roman" w:hAnsi="Times New Roman"/>
          <w:i/>
          <w:iCs/>
        </w:rPr>
        <w:t xml:space="preserve"> Street Investments Pty Ltd v CDG Pty Ltd</w:t>
      </w:r>
      <w:r w:rsidR="00262F8B" w:rsidRPr="00D35B04">
        <w:rPr>
          <w:rFonts w:ascii="Times New Roman" w:hAnsi="Times New Roman"/>
        </w:rPr>
        <w:t>,</w:t>
      </w:r>
      <w:r w:rsidR="00262F8B" w:rsidRPr="00D35B04">
        <w:rPr>
          <w:rFonts w:ascii="Times New Roman" w:hAnsi="Times New Roman"/>
          <w:i/>
          <w:iCs/>
        </w:rPr>
        <w:t xml:space="preserve"> </w:t>
      </w:r>
      <w:r w:rsidR="00262F8B" w:rsidRPr="00D35B04">
        <w:rPr>
          <w:rFonts w:ascii="Times New Roman" w:hAnsi="Times New Roman"/>
        </w:rPr>
        <w:t xml:space="preserve">a plaintiff may be unable to protect </w:t>
      </w:r>
      <w:r w:rsidR="002274A2" w:rsidRPr="00D35B04">
        <w:rPr>
          <w:rFonts w:ascii="Times New Roman" w:hAnsi="Times New Roman"/>
        </w:rPr>
        <w:t>him or her</w:t>
      </w:r>
      <w:r w:rsidR="00262F8B" w:rsidRPr="00D35B04">
        <w:rPr>
          <w:rFonts w:ascii="Times New Roman" w:hAnsi="Times New Roman"/>
        </w:rPr>
        <w:t>self from the risk of economic loss by reason of "ignorance or social, political or economic constraints".</w:t>
      </w:r>
      <w:r w:rsidR="00262F8B" w:rsidRPr="00D35B04">
        <w:rPr>
          <w:rStyle w:val="FootnoteReference"/>
          <w:rFonts w:ascii="Times New Roman" w:hAnsi="Times New Roman"/>
          <w:sz w:val="24"/>
        </w:rPr>
        <w:footnoteReference w:id="56"/>
      </w:r>
      <w:r w:rsidR="00354FD7" w:rsidRPr="00D35B04">
        <w:rPr>
          <w:rFonts w:ascii="Times New Roman" w:hAnsi="Times New Roman"/>
        </w:rPr>
        <w:t xml:space="preserve"> </w:t>
      </w:r>
      <w:r w:rsidR="00F659DD" w:rsidRPr="00D35B04">
        <w:rPr>
          <w:rFonts w:ascii="Times New Roman" w:hAnsi="Times New Roman"/>
        </w:rPr>
        <w:t xml:space="preserve">Conversely, the capacity of a person to protect </w:t>
      </w:r>
      <w:r w:rsidR="00D14043" w:rsidRPr="00D35B04">
        <w:rPr>
          <w:rFonts w:ascii="Times New Roman" w:hAnsi="Times New Roman"/>
        </w:rPr>
        <w:t xml:space="preserve">him or </w:t>
      </w:r>
      <w:r w:rsidR="00D14043" w:rsidRPr="00D35B04">
        <w:rPr>
          <w:rFonts w:ascii="Times New Roman" w:hAnsi="Times New Roman"/>
        </w:rPr>
        <w:lastRenderedPageBreak/>
        <w:t xml:space="preserve">herself </w:t>
      </w:r>
      <w:r w:rsidR="00F659DD" w:rsidRPr="00D35B04">
        <w:rPr>
          <w:rFonts w:ascii="Times New Roman" w:hAnsi="Times New Roman"/>
        </w:rPr>
        <w:t xml:space="preserve">from </w:t>
      </w:r>
      <w:r w:rsidR="00FC3EA5" w:rsidRPr="00D35B04">
        <w:rPr>
          <w:rFonts w:ascii="Times New Roman" w:hAnsi="Times New Roman"/>
        </w:rPr>
        <w:t xml:space="preserve">economic loss </w:t>
      </w:r>
      <w:r w:rsidR="00F659DD" w:rsidRPr="00D35B04">
        <w:rPr>
          <w:rFonts w:ascii="Times New Roman" w:hAnsi="Times New Roman"/>
        </w:rPr>
        <w:t xml:space="preserve">by contractual </w:t>
      </w:r>
      <w:r w:rsidR="00106CD2" w:rsidRPr="00D35B04">
        <w:rPr>
          <w:rFonts w:ascii="Times New Roman" w:hAnsi="Times New Roman"/>
        </w:rPr>
        <w:t xml:space="preserve">agreement </w:t>
      </w:r>
      <w:r w:rsidR="00FE639E" w:rsidRPr="00D35B04">
        <w:rPr>
          <w:rFonts w:ascii="Times New Roman" w:hAnsi="Times New Roman"/>
        </w:rPr>
        <w:t xml:space="preserve">(or, by analogy, by any other reasonable means) </w:t>
      </w:r>
      <w:r w:rsidR="00F659DD" w:rsidRPr="00D35B04">
        <w:rPr>
          <w:rFonts w:ascii="Times New Roman" w:hAnsi="Times New Roman"/>
        </w:rPr>
        <w:t>is a reason, and often a decisive one, for rejecting the existence of a duty of care.</w:t>
      </w:r>
      <w:r w:rsidR="00F659DD" w:rsidRPr="00D35B04">
        <w:rPr>
          <w:rStyle w:val="FootnoteReference"/>
          <w:rFonts w:ascii="Times New Roman" w:hAnsi="Times New Roman"/>
          <w:sz w:val="24"/>
        </w:rPr>
        <w:footnoteReference w:id="57"/>
      </w:r>
    </w:p>
    <w:p w14:paraId="5C89482F" w14:textId="43EF5A02" w:rsidR="00E44B2C" w:rsidRPr="00D35B04" w:rsidRDefault="00F659DD"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82357F" w:rsidRPr="00D35B04">
        <w:rPr>
          <w:rFonts w:ascii="Times New Roman" w:hAnsi="Times New Roman"/>
        </w:rPr>
        <w:t>N</w:t>
      </w:r>
      <w:r w:rsidR="00EE6AE8" w:rsidRPr="00D35B04">
        <w:rPr>
          <w:rFonts w:ascii="Times New Roman" w:hAnsi="Times New Roman"/>
        </w:rPr>
        <w:t xml:space="preserve">o duty of care was found in </w:t>
      </w:r>
      <w:r w:rsidR="00E74D66" w:rsidRPr="00D35B04">
        <w:rPr>
          <w:rFonts w:ascii="Times New Roman" w:hAnsi="Times New Roman"/>
          <w:i/>
          <w:iCs/>
        </w:rPr>
        <w:t>Woolcock</w:t>
      </w:r>
      <w:r w:rsidR="00E74D66" w:rsidRPr="00D35B04">
        <w:rPr>
          <w:rFonts w:ascii="Times New Roman" w:hAnsi="Times New Roman"/>
        </w:rPr>
        <w:t xml:space="preserve">, </w:t>
      </w:r>
      <w:r w:rsidR="00BE75FF" w:rsidRPr="00D35B04">
        <w:rPr>
          <w:rFonts w:ascii="Times New Roman" w:hAnsi="Times New Roman"/>
        </w:rPr>
        <w:t>as it was reasoned that</w:t>
      </w:r>
      <w:r w:rsidR="00390297" w:rsidRPr="00D35B04">
        <w:rPr>
          <w:rFonts w:ascii="Times New Roman" w:hAnsi="Times New Roman"/>
        </w:rPr>
        <w:t xml:space="preserve"> the </w:t>
      </w:r>
      <w:r w:rsidR="009B14E2" w:rsidRPr="00D35B04">
        <w:rPr>
          <w:rFonts w:ascii="Times New Roman" w:hAnsi="Times New Roman"/>
        </w:rPr>
        <w:t>facts failed to disclose relevant vulnerability.</w:t>
      </w:r>
      <w:r w:rsidR="005C5D4C" w:rsidRPr="00D35B04">
        <w:rPr>
          <w:rStyle w:val="FootnoteReference"/>
          <w:rFonts w:ascii="Times New Roman" w:hAnsi="Times New Roman"/>
          <w:sz w:val="24"/>
        </w:rPr>
        <w:footnoteReference w:id="58"/>
      </w:r>
      <w:r w:rsidR="005C5D4C" w:rsidRPr="00D35B04">
        <w:rPr>
          <w:rFonts w:ascii="Times New Roman" w:hAnsi="Times New Roman"/>
        </w:rPr>
        <w:t xml:space="preserve"> </w:t>
      </w:r>
      <w:r w:rsidR="001C28CE" w:rsidRPr="00D35B04">
        <w:rPr>
          <w:rFonts w:ascii="Times New Roman" w:hAnsi="Times New Roman"/>
        </w:rPr>
        <w:t>The Court held that an engineering company, which had</w:t>
      </w:r>
      <w:r w:rsidR="00BE75FF" w:rsidRPr="00D35B04">
        <w:rPr>
          <w:rFonts w:ascii="Times New Roman" w:hAnsi="Times New Roman"/>
        </w:rPr>
        <w:t xml:space="preserve"> </w:t>
      </w:r>
      <w:r w:rsidR="001C28CE" w:rsidRPr="00D35B04">
        <w:rPr>
          <w:rFonts w:ascii="Times New Roman" w:hAnsi="Times New Roman"/>
        </w:rPr>
        <w:t>designed inadequate foundations for a warehouse and office complex resulting in subsequent structural damage, did not owe a duty of care in respect of economic loss suffered by a subsequent purchaser of the complex.</w:t>
      </w:r>
      <w:r w:rsidR="007C4FA0" w:rsidRPr="00D35B04">
        <w:rPr>
          <w:rFonts w:ascii="Times New Roman" w:hAnsi="Times New Roman"/>
        </w:rPr>
        <w:t xml:space="preserve"> </w:t>
      </w:r>
      <w:r w:rsidR="0054165F" w:rsidRPr="00D35B04">
        <w:rPr>
          <w:rFonts w:ascii="Times New Roman" w:hAnsi="Times New Roman"/>
        </w:rPr>
        <w:t>This followed from the lack of any factual basis showing that</w:t>
      </w:r>
      <w:r w:rsidR="002A1147" w:rsidRPr="00D35B04">
        <w:rPr>
          <w:rFonts w:ascii="Times New Roman" w:hAnsi="Times New Roman"/>
        </w:rPr>
        <w:t xml:space="preserve"> the </w:t>
      </w:r>
      <w:r w:rsidR="001C28CE" w:rsidRPr="00D35B04">
        <w:rPr>
          <w:rFonts w:ascii="Times New Roman" w:hAnsi="Times New Roman"/>
        </w:rPr>
        <w:t xml:space="preserve">purchaser </w:t>
      </w:r>
      <w:r w:rsidR="002B0E34" w:rsidRPr="00D35B04">
        <w:rPr>
          <w:rFonts w:ascii="Times New Roman" w:hAnsi="Times New Roman"/>
        </w:rPr>
        <w:t xml:space="preserve">could </w:t>
      </w:r>
      <w:r w:rsidR="00D0129D" w:rsidRPr="00D35B04">
        <w:rPr>
          <w:rFonts w:ascii="Times New Roman" w:hAnsi="Times New Roman"/>
        </w:rPr>
        <w:t xml:space="preserve">not </w:t>
      </w:r>
      <w:r w:rsidR="002B0E34" w:rsidRPr="00D35B04">
        <w:rPr>
          <w:rFonts w:ascii="Times New Roman" w:hAnsi="Times New Roman"/>
        </w:rPr>
        <w:t xml:space="preserve">have obtained the benefit of terms in the contract for </w:t>
      </w:r>
      <w:r w:rsidR="005E1155" w:rsidRPr="00D35B04">
        <w:rPr>
          <w:rFonts w:ascii="Times New Roman" w:hAnsi="Times New Roman"/>
        </w:rPr>
        <w:t xml:space="preserve">the </w:t>
      </w:r>
      <w:r w:rsidR="002B0E34" w:rsidRPr="00D35B04">
        <w:rPr>
          <w:rFonts w:ascii="Times New Roman" w:hAnsi="Times New Roman"/>
        </w:rPr>
        <w:t xml:space="preserve">purchase of the </w:t>
      </w:r>
      <w:r w:rsidR="00B734D3" w:rsidRPr="00D35B04">
        <w:rPr>
          <w:rFonts w:ascii="Times New Roman" w:hAnsi="Times New Roman"/>
        </w:rPr>
        <w:t>complex</w:t>
      </w:r>
      <w:r w:rsidR="002B0E34" w:rsidRPr="00D35B04">
        <w:rPr>
          <w:rFonts w:ascii="Times New Roman" w:hAnsi="Times New Roman"/>
        </w:rPr>
        <w:t xml:space="preserve"> </w:t>
      </w:r>
      <w:r w:rsidR="000A4F4F" w:rsidRPr="00D35B04">
        <w:rPr>
          <w:rFonts w:ascii="Times New Roman" w:hAnsi="Times New Roman"/>
        </w:rPr>
        <w:t xml:space="preserve">that would have cast upon the engineering </w:t>
      </w:r>
      <w:r w:rsidR="00273251" w:rsidRPr="00D35B04">
        <w:rPr>
          <w:rFonts w:ascii="Times New Roman" w:hAnsi="Times New Roman"/>
        </w:rPr>
        <w:t xml:space="preserve">company </w:t>
      </w:r>
      <w:r w:rsidR="007A731B" w:rsidRPr="00D35B04">
        <w:rPr>
          <w:rFonts w:ascii="Times New Roman" w:hAnsi="Times New Roman"/>
        </w:rPr>
        <w:t>the burden of the economic consequences of any carelessness on its part.</w:t>
      </w:r>
      <w:r w:rsidR="007A6527" w:rsidRPr="00D35B04">
        <w:rPr>
          <w:rStyle w:val="FootnoteReference"/>
          <w:rFonts w:ascii="Times New Roman" w:hAnsi="Times New Roman"/>
          <w:sz w:val="24"/>
        </w:rPr>
        <w:footnoteReference w:id="59"/>
      </w:r>
      <w:r w:rsidR="00B94C89" w:rsidRPr="00D35B04">
        <w:rPr>
          <w:rFonts w:ascii="Times New Roman" w:hAnsi="Times New Roman"/>
        </w:rPr>
        <w:t xml:space="preserve"> Further</w:t>
      </w:r>
      <w:r w:rsidR="00276378" w:rsidRPr="00D35B04">
        <w:rPr>
          <w:rFonts w:ascii="Times New Roman" w:hAnsi="Times New Roman"/>
        </w:rPr>
        <w:t>more</w:t>
      </w:r>
      <w:r w:rsidR="00B94C89" w:rsidRPr="00D35B04">
        <w:rPr>
          <w:rFonts w:ascii="Times New Roman" w:hAnsi="Times New Roman"/>
        </w:rPr>
        <w:t>, it was not alleged or agreed that the relevant defects could not have been discovered.</w:t>
      </w:r>
      <w:r w:rsidR="00A10583" w:rsidRPr="00D35B04">
        <w:rPr>
          <w:rStyle w:val="FootnoteReference"/>
          <w:rFonts w:ascii="Times New Roman" w:hAnsi="Times New Roman"/>
          <w:sz w:val="24"/>
        </w:rPr>
        <w:footnoteReference w:id="60"/>
      </w:r>
      <w:r w:rsidR="00E44B2C" w:rsidRPr="00D35B04">
        <w:rPr>
          <w:rFonts w:ascii="Times New Roman" w:hAnsi="Times New Roman"/>
        </w:rPr>
        <w:t xml:space="preserve"> </w:t>
      </w:r>
    </w:p>
    <w:p w14:paraId="60434532" w14:textId="71159792" w:rsidR="0006768B" w:rsidRPr="00D35B04" w:rsidRDefault="00313871"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E44B2C" w:rsidRPr="00D35B04">
        <w:rPr>
          <w:rFonts w:ascii="Times New Roman" w:hAnsi="Times New Roman"/>
        </w:rPr>
        <w:t xml:space="preserve">In </w:t>
      </w:r>
      <w:r w:rsidR="00E44B2C" w:rsidRPr="00D35B04">
        <w:rPr>
          <w:rFonts w:ascii="Times New Roman" w:hAnsi="Times New Roman"/>
          <w:i/>
          <w:iCs/>
        </w:rPr>
        <w:t>Brookfield</w:t>
      </w:r>
      <w:r w:rsidR="00D0298C" w:rsidRPr="00D35B04">
        <w:rPr>
          <w:rFonts w:ascii="Times New Roman" w:hAnsi="Times New Roman"/>
          <w:i/>
          <w:iCs/>
        </w:rPr>
        <w:t xml:space="preserve"> Multiplex Ltd v Owners Corporation Strata Plan 61288</w:t>
      </w:r>
      <w:r w:rsidR="00E44B2C" w:rsidRPr="00D35B04">
        <w:rPr>
          <w:rFonts w:ascii="Times New Roman" w:hAnsi="Times New Roman"/>
        </w:rPr>
        <w:t>,</w:t>
      </w:r>
      <w:r w:rsidR="009549B3" w:rsidRPr="00D35B04">
        <w:rPr>
          <w:rStyle w:val="FootnoteReference"/>
          <w:rFonts w:ascii="Times New Roman" w:hAnsi="Times New Roman"/>
          <w:sz w:val="24"/>
        </w:rPr>
        <w:footnoteReference w:id="61"/>
      </w:r>
      <w:r w:rsidR="00E44B2C" w:rsidRPr="00D35B04">
        <w:rPr>
          <w:rFonts w:ascii="Times New Roman" w:hAnsi="Times New Roman"/>
        </w:rPr>
        <w:t xml:space="preserve"> the Court </w:t>
      </w:r>
      <w:r w:rsidR="00C55F2D" w:rsidRPr="00D35B04">
        <w:rPr>
          <w:rFonts w:ascii="Times New Roman" w:hAnsi="Times New Roman"/>
        </w:rPr>
        <w:t>held</w:t>
      </w:r>
      <w:r w:rsidR="00E44B2C" w:rsidRPr="00D35B04">
        <w:rPr>
          <w:rFonts w:ascii="Times New Roman" w:hAnsi="Times New Roman"/>
        </w:rPr>
        <w:t xml:space="preserve"> that </w:t>
      </w:r>
      <w:r w:rsidR="000824A0" w:rsidRPr="00D35B04">
        <w:rPr>
          <w:rFonts w:ascii="Times New Roman" w:hAnsi="Times New Roman"/>
        </w:rPr>
        <w:t xml:space="preserve">a builder did not owe </w:t>
      </w:r>
      <w:r w:rsidR="00C73874" w:rsidRPr="00D35B04">
        <w:rPr>
          <w:rFonts w:ascii="Times New Roman" w:hAnsi="Times New Roman"/>
        </w:rPr>
        <w:t xml:space="preserve">an </w:t>
      </w:r>
      <w:proofErr w:type="gramStart"/>
      <w:r w:rsidR="000824A0" w:rsidRPr="00D35B04">
        <w:rPr>
          <w:rFonts w:ascii="Times New Roman" w:hAnsi="Times New Roman"/>
        </w:rPr>
        <w:t>owners</w:t>
      </w:r>
      <w:proofErr w:type="gramEnd"/>
      <w:r w:rsidR="000824A0" w:rsidRPr="00D35B04">
        <w:rPr>
          <w:rFonts w:ascii="Times New Roman" w:hAnsi="Times New Roman"/>
        </w:rPr>
        <w:t xml:space="preserve"> corporation of </w:t>
      </w:r>
      <w:r w:rsidR="00C55F2D" w:rsidRPr="00D35B04">
        <w:rPr>
          <w:rFonts w:ascii="Times New Roman" w:hAnsi="Times New Roman"/>
        </w:rPr>
        <w:t>a</w:t>
      </w:r>
      <w:r w:rsidR="000824A0" w:rsidRPr="00D35B04">
        <w:rPr>
          <w:rFonts w:ascii="Times New Roman" w:hAnsi="Times New Roman"/>
        </w:rPr>
        <w:t xml:space="preserve"> building </w:t>
      </w:r>
      <w:r w:rsidR="00490715" w:rsidRPr="00D35B04">
        <w:rPr>
          <w:rFonts w:ascii="Times New Roman" w:hAnsi="Times New Roman"/>
        </w:rPr>
        <w:t xml:space="preserve">a duty of care to avoid pure economic loss resulting from latent defects in the common property. </w:t>
      </w:r>
      <w:r w:rsidR="00C3249E" w:rsidRPr="00D35B04">
        <w:rPr>
          <w:rFonts w:ascii="Times New Roman" w:hAnsi="Times New Roman"/>
        </w:rPr>
        <w:t xml:space="preserve">The </w:t>
      </w:r>
      <w:r w:rsidR="00490715" w:rsidRPr="00D35B04">
        <w:rPr>
          <w:rFonts w:ascii="Times New Roman" w:hAnsi="Times New Roman"/>
        </w:rPr>
        <w:t>judgments</w:t>
      </w:r>
      <w:r w:rsidR="00E44B2C" w:rsidRPr="00D35B04">
        <w:rPr>
          <w:rFonts w:ascii="Times New Roman" w:hAnsi="Times New Roman"/>
        </w:rPr>
        <w:t xml:space="preserve"> identified a lack of vulnerability as determinative of the absence of a duty of care in the circumstances of the case.</w:t>
      </w:r>
      <w:r w:rsidR="00E44B2C" w:rsidRPr="00D35B04">
        <w:rPr>
          <w:rStyle w:val="FootnoteReference"/>
          <w:rFonts w:ascii="Times New Roman" w:hAnsi="Times New Roman"/>
          <w:sz w:val="24"/>
        </w:rPr>
        <w:footnoteReference w:id="62"/>
      </w:r>
      <w:r w:rsidR="00490715" w:rsidRPr="00D35B04">
        <w:rPr>
          <w:rFonts w:ascii="Times New Roman" w:hAnsi="Times New Roman"/>
        </w:rPr>
        <w:t xml:space="preserve"> French CJ concluded that the case was analogous to </w:t>
      </w:r>
      <w:r w:rsidR="00490715" w:rsidRPr="00D35B04">
        <w:rPr>
          <w:rFonts w:ascii="Times New Roman" w:hAnsi="Times New Roman"/>
          <w:i/>
          <w:iCs/>
        </w:rPr>
        <w:t>Woolcock.</w:t>
      </w:r>
      <w:r w:rsidR="00490715" w:rsidRPr="00D35B04">
        <w:rPr>
          <w:rStyle w:val="FootnoteReference"/>
          <w:rFonts w:ascii="Times New Roman" w:hAnsi="Times New Roman"/>
          <w:sz w:val="24"/>
        </w:rPr>
        <w:footnoteReference w:id="63"/>
      </w:r>
      <w:r w:rsidR="00490715" w:rsidRPr="00D35B04">
        <w:rPr>
          <w:rFonts w:ascii="Times New Roman" w:hAnsi="Times New Roman"/>
          <w:i/>
          <w:iCs/>
        </w:rPr>
        <w:t xml:space="preserve"> </w:t>
      </w:r>
      <w:r w:rsidR="00490715" w:rsidRPr="00D35B04">
        <w:rPr>
          <w:rFonts w:ascii="Times New Roman" w:hAnsi="Times New Roman"/>
        </w:rPr>
        <w:t>Hayne and Kiefel JJ found that the terms of the contracts made by the developer and the original purchasers</w:t>
      </w:r>
      <w:r w:rsidR="0090524B" w:rsidRPr="00D35B04">
        <w:rPr>
          <w:rFonts w:ascii="Times New Roman" w:hAnsi="Times New Roman"/>
        </w:rPr>
        <w:t>,</w:t>
      </w:r>
      <w:r w:rsidR="00490715" w:rsidRPr="00D35B04">
        <w:rPr>
          <w:rFonts w:ascii="Times New Roman" w:hAnsi="Times New Roman"/>
        </w:rPr>
        <w:t xml:space="preserve"> </w:t>
      </w:r>
      <w:r w:rsidR="00CD24B0" w:rsidRPr="00D35B04">
        <w:rPr>
          <w:rFonts w:ascii="Times New Roman" w:hAnsi="Times New Roman"/>
        </w:rPr>
        <w:t xml:space="preserve">which </w:t>
      </w:r>
      <w:r w:rsidR="00490715" w:rsidRPr="00D35B04">
        <w:rPr>
          <w:rFonts w:ascii="Times New Roman" w:hAnsi="Times New Roman"/>
        </w:rPr>
        <w:t>conferr</w:t>
      </w:r>
      <w:r w:rsidR="00CD24B0" w:rsidRPr="00D35B04">
        <w:rPr>
          <w:rFonts w:ascii="Times New Roman" w:hAnsi="Times New Roman"/>
        </w:rPr>
        <w:t>ed</w:t>
      </w:r>
      <w:r w:rsidR="00490715" w:rsidRPr="00D35B04">
        <w:rPr>
          <w:rFonts w:ascii="Times New Roman" w:hAnsi="Times New Roman"/>
        </w:rPr>
        <w:t xml:space="preserve"> rights for the remedying of defects in the common property, denied the vulnerability of the owners corporation to any lack of care by the builder in the </w:t>
      </w:r>
      <w:r w:rsidR="00490715" w:rsidRPr="00D35B04">
        <w:rPr>
          <w:rFonts w:ascii="Times New Roman" w:hAnsi="Times New Roman"/>
        </w:rPr>
        <w:lastRenderedPageBreak/>
        <w:t>performance of its contractual obligations.</w:t>
      </w:r>
      <w:r w:rsidR="00490715" w:rsidRPr="00D35B04">
        <w:rPr>
          <w:rStyle w:val="FootnoteReference"/>
          <w:rFonts w:ascii="Times New Roman" w:hAnsi="Times New Roman"/>
          <w:sz w:val="24"/>
        </w:rPr>
        <w:footnoteReference w:id="64"/>
      </w:r>
      <w:r w:rsidR="00490715" w:rsidRPr="00D35B04">
        <w:rPr>
          <w:rFonts w:ascii="Times New Roman" w:hAnsi="Times New Roman"/>
        </w:rPr>
        <w:t xml:space="preserve"> </w:t>
      </w:r>
      <w:proofErr w:type="spellStart"/>
      <w:r w:rsidR="00490715" w:rsidRPr="00D35B04">
        <w:rPr>
          <w:rFonts w:ascii="Times New Roman" w:hAnsi="Times New Roman"/>
        </w:rPr>
        <w:t>Crennan</w:t>
      </w:r>
      <w:proofErr w:type="spellEnd"/>
      <w:r w:rsidR="00490715" w:rsidRPr="00D35B04">
        <w:rPr>
          <w:rFonts w:ascii="Times New Roman" w:hAnsi="Times New Roman"/>
        </w:rPr>
        <w:t>, Bell and Keane JJ characterised the case as one of disappointed expectations under a contract which allocated economic risks, including risks which a purchaser could avoid by not entering into the contract</w:t>
      </w:r>
      <w:r w:rsidRPr="00D35B04">
        <w:rPr>
          <w:rFonts w:ascii="Times New Roman" w:hAnsi="Times New Roman"/>
        </w:rPr>
        <w:t>.</w:t>
      </w:r>
      <w:r w:rsidR="00490715" w:rsidRPr="00D35B04">
        <w:rPr>
          <w:rStyle w:val="FootnoteReference"/>
          <w:rFonts w:ascii="Times New Roman" w:hAnsi="Times New Roman"/>
          <w:sz w:val="24"/>
        </w:rPr>
        <w:footnoteReference w:id="65"/>
      </w:r>
      <w:r w:rsidR="00490715" w:rsidRPr="00D35B04">
        <w:rPr>
          <w:rFonts w:ascii="Times New Roman" w:hAnsi="Times New Roman"/>
        </w:rPr>
        <w:t xml:space="preserve"> </w:t>
      </w:r>
    </w:p>
    <w:p w14:paraId="420F2D18" w14:textId="0FC26C14" w:rsidR="00051653" w:rsidRPr="00D35B04" w:rsidRDefault="00DE26D6" w:rsidP="00D35B04">
      <w:pPr>
        <w:pStyle w:val="HeadingL1"/>
        <w:spacing w:after="260" w:line="280" w:lineRule="exact"/>
        <w:ind w:right="0"/>
        <w:jc w:val="both"/>
        <w:rPr>
          <w:rFonts w:ascii="Times New Roman" w:hAnsi="Times New Roman"/>
        </w:rPr>
      </w:pPr>
      <w:r w:rsidRPr="00D35B04">
        <w:rPr>
          <w:rFonts w:ascii="Times New Roman" w:hAnsi="Times New Roman"/>
        </w:rPr>
        <w:t>Resolution of the appeal</w:t>
      </w:r>
      <w:r w:rsidR="00575612" w:rsidRPr="00D35B04">
        <w:rPr>
          <w:rFonts w:ascii="Times New Roman" w:hAnsi="Times New Roman"/>
        </w:rPr>
        <w:t xml:space="preserve"> </w:t>
      </w:r>
    </w:p>
    <w:p w14:paraId="7E69AE03" w14:textId="4F36E03F" w:rsidR="006801B2" w:rsidRPr="00D35B04" w:rsidRDefault="006801B2" w:rsidP="00D35B04">
      <w:pPr>
        <w:pStyle w:val="FixListStyle"/>
        <w:spacing w:after="260" w:line="280" w:lineRule="exact"/>
        <w:ind w:right="0"/>
        <w:jc w:val="both"/>
        <w:rPr>
          <w:rFonts w:ascii="Times New Roman" w:hAnsi="Times New Roman"/>
        </w:rPr>
      </w:pPr>
      <w:r w:rsidRPr="00D35B04">
        <w:rPr>
          <w:rFonts w:ascii="Times New Roman" w:hAnsi="Times New Roman"/>
          <w:b/>
          <w:bCs/>
        </w:rPr>
        <w:tab/>
      </w:r>
      <w:r w:rsidR="009F4E69" w:rsidRPr="00D35B04">
        <w:rPr>
          <w:rFonts w:ascii="Times New Roman" w:hAnsi="Times New Roman"/>
        </w:rPr>
        <w:t>In this Court,</w:t>
      </w:r>
      <w:r w:rsidR="009F4E69" w:rsidRPr="00D35B04">
        <w:rPr>
          <w:rFonts w:ascii="Times New Roman" w:hAnsi="Times New Roman"/>
          <w:b/>
          <w:bCs/>
        </w:rPr>
        <w:t xml:space="preserve"> </w:t>
      </w:r>
      <w:r w:rsidR="009F4E69" w:rsidRPr="00D35B04">
        <w:rPr>
          <w:rFonts w:ascii="Times New Roman" w:hAnsi="Times New Roman"/>
        </w:rPr>
        <w:t>t</w:t>
      </w:r>
      <w:r w:rsidRPr="00D35B04">
        <w:rPr>
          <w:rFonts w:ascii="Times New Roman" w:hAnsi="Times New Roman"/>
        </w:rPr>
        <w:t xml:space="preserve">he growers </w:t>
      </w:r>
      <w:r w:rsidR="0099168C" w:rsidRPr="00D35B04">
        <w:rPr>
          <w:rFonts w:ascii="Times New Roman" w:hAnsi="Times New Roman"/>
        </w:rPr>
        <w:t xml:space="preserve">ultimately </w:t>
      </w:r>
      <w:r w:rsidRPr="00D35B04">
        <w:rPr>
          <w:rFonts w:ascii="Times New Roman" w:hAnsi="Times New Roman"/>
        </w:rPr>
        <w:t xml:space="preserve">argued that the </w:t>
      </w:r>
      <w:r w:rsidR="002D70A4" w:rsidRPr="00D35B04">
        <w:rPr>
          <w:rFonts w:ascii="Times New Roman" w:hAnsi="Times New Roman"/>
        </w:rPr>
        <w:t xml:space="preserve">following matters supported the existence of </w:t>
      </w:r>
      <w:r w:rsidR="00F50030" w:rsidRPr="00D35B04">
        <w:rPr>
          <w:rFonts w:ascii="Times New Roman" w:hAnsi="Times New Roman"/>
        </w:rPr>
        <w:t>the alleged</w:t>
      </w:r>
      <w:r w:rsidR="002D70A4" w:rsidRPr="00D35B04">
        <w:rPr>
          <w:rFonts w:ascii="Times New Roman" w:hAnsi="Times New Roman"/>
        </w:rPr>
        <w:t xml:space="preserve"> duty of care: (1)</w:t>
      </w:r>
      <w:r w:rsidR="00E86F9F" w:rsidRPr="00D35B04">
        <w:rPr>
          <w:rFonts w:ascii="Times New Roman" w:hAnsi="Times New Roman"/>
        </w:rPr>
        <w:t> </w:t>
      </w:r>
      <w:r w:rsidR="002D70A4" w:rsidRPr="00D35B04">
        <w:rPr>
          <w:rFonts w:ascii="Times New Roman" w:hAnsi="Times New Roman"/>
        </w:rPr>
        <w:t xml:space="preserve">the reasonable foreseeability of the relevant risk of </w:t>
      </w:r>
      <w:r w:rsidR="00F50030" w:rsidRPr="00D35B04">
        <w:rPr>
          <w:rFonts w:ascii="Times New Roman" w:hAnsi="Times New Roman"/>
        </w:rPr>
        <w:t xml:space="preserve">economic loss </w:t>
      </w:r>
      <w:r w:rsidR="0040661D" w:rsidRPr="00D35B04">
        <w:rPr>
          <w:rFonts w:ascii="Times New Roman" w:hAnsi="Times New Roman"/>
        </w:rPr>
        <w:t>if reasonable care was not taken in seed production</w:t>
      </w:r>
      <w:r w:rsidR="007041BC" w:rsidRPr="00D35B04">
        <w:rPr>
          <w:rFonts w:ascii="Times New Roman" w:hAnsi="Times New Roman"/>
        </w:rPr>
        <w:t>; (2)</w:t>
      </w:r>
      <w:r w:rsidR="00E86F9F" w:rsidRPr="00D35B04">
        <w:rPr>
          <w:rFonts w:ascii="Times New Roman" w:hAnsi="Times New Roman"/>
        </w:rPr>
        <w:t> </w:t>
      </w:r>
      <w:r w:rsidR="007041BC" w:rsidRPr="00D35B04">
        <w:rPr>
          <w:rFonts w:ascii="Times New Roman" w:hAnsi="Times New Roman"/>
        </w:rPr>
        <w:t xml:space="preserve">the producer's knowledge of the </w:t>
      </w:r>
      <w:r w:rsidR="00AD552C" w:rsidRPr="00D35B04">
        <w:rPr>
          <w:rFonts w:ascii="Times New Roman" w:hAnsi="Times New Roman"/>
        </w:rPr>
        <w:t xml:space="preserve">risks of </w:t>
      </w:r>
      <w:r w:rsidR="00F50030" w:rsidRPr="00D35B04">
        <w:rPr>
          <w:rFonts w:ascii="Times New Roman" w:hAnsi="Times New Roman"/>
        </w:rPr>
        <w:t xml:space="preserve">economic loss </w:t>
      </w:r>
      <w:r w:rsidR="00AD552C" w:rsidRPr="00D35B04">
        <w:rPr>
          <w:rFonts w:ascii="Times New Roman" w:hAnsi="Times New Roman"/>
        </w:rPr>
        <w:t>to which the growers were exposed if reasonable ca</w:t>
      </w:r>
      <w:r w:rsidR="00E17847" w:rsidRPr="00D35B04">
        <w:rPr>
          <w:rFonts w:ascii="Times New Roman" w:hAnsi="Times New Roman"/>
        </w:rPr>
        <w:t>r</w:t>
      </w:r>
      <w:r w:rsidR="00AD552C" w:rsidRPr="00D35B04">
        <w:rPr>
          <w:rFonts w:ascii="Times New Roman" w:hAnsi="Times New Roman"/>
        </w:rPr>
        <w:t>e was not taken in seed production; (3)</w:t>
      </w:r>
      <w:r w:rsidR="00E86F9F" w:rsidRPr="00D35B04">
        <w:rPr>
          <w:rFonts w:ascii="Times New Roman" w:hAnsi="Times New Roman"/>
        </w:rPr>
        <w:t> </w:t>
      </w:r>
      <w:r w:rsidR="00AD552C" w:rsidRPr="00D35B04">
        <w:rPr>
          <w:rFonts w:ascii="Times New Roman" w:hAnsi="Times New Roman"/>
        </w:rPr>
        <w:t xml:space="preserve">the producer's </w:t>
      </w:r>
      <w:r w:rsidR="00D004C5" w:rsidRPr="00D35B04">
        <w:rPr>
          <w:rFonts w:ascii="Times New Roman" w:hAnsi="Times New Roman"/>
        </w:rPr>
        <w:t>capacity</w:t>
      </w:r>
      <w:r w:rsidR="0040661D" w:rsidRPr="00D35B04">
        <w:rPr>
          <w:rFonts w:ascii="Times New Roman" w:hAnsi="Times New Roman"/>
        </w:rPr>
        <w:t xml:space="preserve"> to control th</w:t>
      </w:r>
      <w:r w:rsidR="001F0F1E" w:rsidRPr="00D35B04">
        <w:rPr>
          <w:rFonts w:ascii="Times New Roman" w:hAnsi="Times New Roman"/>
        </w:rPr>
        <w:t>ose</w:t>
      </w:r>
      <w:r w:rsidR="0040661D" w:rsidRPr="00D35B04">
        <w:rPr>
          <w:rFonts w:ascii="Times New Roman" w:hAnsi="Times New Roman"/>
        </w:rPr>
        <w:t xml:space="preserve"> risk</w:t>
      </w:r>
      <w:r w:rsidR="001F0F1E" w:rsidRPr="00D35B04">
        <w:rPr>
          <w:rFonts w:ascii="Times New Roman" w:hAnsi="Times New Roman"/>
        </w:rPr>
        <w:t>s</w:t>
      </w:r>
      <w:r w:rsidR="0040661D" w:rsidRPr="00D35B04">
        <w:rPr>
          <w:rFonts w:ascii="Times New Roman" w:hAnsi="Times New Roman"/>
        </w:rPr>
        <w:t xml:space="preserve"> by careful production; (</w:t>
      </w:r>
      <w:r w:rsidR="00D004C5" w:rsidRPr="00D35B04">
        <w:rPr>
          <w:rFonts w:ascii="Times New Roman" w:hAnsi="Times New Roman"/>
        </w:rPr>
        <w:t>4</w:t>
      </w:r>
      <w:r w:rsidR="0040661D" w:rsidRPr="00D35B04">
        <w:rPr>
          <w:rFonts w:ascii="Times New Roman" w:hAnsi="Times New Roman"/>
        </w:rPr>
        <w:t>)</w:t>
      </w:r>
      <w:r w:rsidR="00E9178A" w:rsidRPr="00D35B04">
        <w:rPr>
          <w:rFonts w:ascii="Times New Roman" w:hAnsi="Times New Roman"/>
        </w:rPr>
        <w:t> </w:t>
      </w:r>
      <w:r w:rsidR="0040661D" w:rsidRPr="00D35B04">
        <w:rPr>
          <w:rFonts w:ascii="Times New Roman" w:hAnsi="Times New Roman"/>
        </w:rPr>
        <w:t>the growers</w:t>
      </w:r>
      <w:r w:rsidR="0040202B" w:rsidRPr="00D35B04">
        <w:rPr>
          <w:rFonts w:ascii="Times New Roman" w:hAnsi="Times New Roman"/>
        </w:rPr>
        <w:t>'</w:t>
      </w:r>
      <w:r w:rsidR="0040661D" w:rsidRPr="00D35B04">
        <w:rPr>
          <w:rFonts w:ascii="Times New Roman" w:hAnsi="Times New Roman"/>
        </w:rPr>
        <w:t xml:space="preserve"> vulnerability</w:t>
      </w:r>
      <w:r w:rsidR="002A05E3" w:rsidRPr="00D35B04">
        <w:rPr>
          <w:rFonts w:ascii="Times New Roman" w:hAnsi="Times New Roman"/>
        </w:rPr>
        <w:t xml:space="preserve">, in the sense that they could not protect themselves from the consequences of </w:t>
      </w:r>
      <w:r w:rsidR="003D5E92" w:rsidRPr="00D35B04">
        <w:rPr>
          <w:rFonts w:ascii="Times New Roman" w:hAnsi="Times New Roman"/>
        </w:rPr>
        <w:t xml:space="preserve">a </w:t>
      </w:r>
      <w:r w:rsidR="002A05E3" w:rsidRPr="00D35B04">
        <w:rPr>
          <w:rFonts w:ascii="Times New Roman" w:hAnsi="Times New Roman"/>
        </w:rPr>
        <w:t>want of reasonable care in the production of the seed in</w:t>
      </w:r>
      <w:r w:rsidR="003D5E92" w:rsidRPr="00D35B04">
        <w:rPr>
          <w:rFonts w:ascii="Times New Roman" w:hAnsi="Times New Roman"/>
        </w:rPr>
        <w:t xml:space="preserve"> such</w:t>
      </w:r>
      <w:r w:rsidR="002A05E3" w:rsidRPr="00D35B04">
        <w:rPr>
          <w:rFonts w:ascii="Times New Roman" w:hAnsi="Times New Roman"/>
        </w:rPr>
        <w:t xml:space="preserve"> a </w:t>
      </w:r>
      <w:r w:rsidR="00956193" w:rsidRPr="00D35B04">
        <w:rPr>
          <w:rFonts w:ascii="Times New Roman" w:hAnsi="Times New Roman"/>
        </w:rPr>
        <w:t xml:space="preserve">way </w:t>
      </w:r>
      <w:r w:rsidR="003D5E92" w:rsidRPr="00D35B04">
        <w:rPr>
          <w:rFonts w:ascii="Times New Roman" w:hAnsi="Times New Roman"/>
        </w:rPr>
        <w:t xml:space="preserve">that </w:t>
      </w:r>
      <w:r w:rsidR="000B0FDA" w:rsidRPr="00D35B04">
        <w:rPr>
          <w:rFonts w:ascii="Times New Roman" w:hAnsi="Times New Roman"/>
        </w:rPr>
        <w:t>w</w:t>
      </w:r>
      <w:r w:rsidR="00956193" w:rsidRPr="00D35B04">
        <w:rPr>
          <w:rFonts w:ascii="Times New Roman" w:hAnsi="Times New Roman"/>
        </w:rPr>
        <w:t>ould cast the consequences on the producer</w:t>
      </w:r>
      <w:r w:rsidR="00574A1D" w:rsidRPr="00D35B04">
        <w:rPr>
          <w:rFonts w:ascii="Times New Roman" w:hAnsi="Times New Roman"/>
        </w:rPr>
        <w:t>;</w:t>
      </w:r>
      <w:r w:rsidR="005D13D1" w:rsidRPr="00D35B04">
        <w:rPr>
          <w:rFonts w:ascii="Times New Roman" w:hAnsi="Times New Roman"/>
        </w:rPr>
        <w:t xml:space="preserve"> (</w:t>
      </w:r>
      <w:r w:rsidR="00347C17" w:rsidRPr="00D35B04">
        <w:rPr>
          <w:rFonts w:ascii="Times New Roman" w:hAnsi="Times New Roman"/>
        </w:rPr>
        <w:t>5)</w:t>
      </w:r>
      <w:r w:rsidR="00E86F9F" w:rsidRPr="00D35B04">
        <w:rPr>
          <w:rFonts w:ascii="Times New Roman" w:hAnsi="Times New Roman"/>
        </w:rPr>
        <w:t> </w:t>
      </w:r>
      <w:r w:rsidR="00AD19CC" w:rsidRPr="00D35B04">
        <w:rPr>
          <w:rFonts w:ascii="Times New Roman" w:hAnsi="Times New Roman"/>
        </w:rPr>
        <w:t>as the intended consumers of the product, the growers were not in an indeterminate class of victims of the producer's want of care; and (6)</w:t>
      </w:r>
      <w:r w:rsidR="00E86F9F" w:rsidRPr="00D35B04">
        <w:rPr>
          <w:rFonts w:ascii="Times New Roman" w:hAnsi="Times New Roman"/>
        </w:rPr>
        <w:t> </w:t>
      </w:r>
      <w:r w:rsidR="00AD19CC" w:rsidRPr="00D35B04">
        <w:rPr>
          <w:rFonts w:ascii="Times New Roman" w:hAnsi="Times New Roman"/>
        </w:rPr>
        <w:t xml:space="preserve">the recognition of the alleged duty of care would not give rise to legal incoherence. </w:t>
      </w:r>
    </w:p>
    <w:p w14:paraId="7D3C989C" w14:textId="10F906CF" w:rsidR="009211A5" w:rsidRPr="00D35B04" w:rsidRDefault="009211A5" w:rsidP="00D35B04">
      <w:pPr>
        <w:pStyle w:val="FixListStyle"/>
        <w:spacing w:after="260" w:line="280" w:lineRule="exact"/>
        <w:ind w:right="0"/>
        <w:jc w:val="both"/>
        <w:rPr>
          <w:rFonts w:ascii="Times New Roman" w:hAnsi="Times New Roman"/>
        </w:rPr>
      </w:pPr>
      <w:r w:rsidRPr="00D35B04">
        <w:rPr>
          <w:rFonts w:ascii="Times New Roman" w:hAnsi="Times New Roman"/>
        </w:rPr>
        <w:tab/>
        <w:t xml:space="preserve">The growers also </w:t>
      </w:r>
      <w:r w:rsidR="00481E69" w:rsidRPr="00D35B04">
        <w:rPr>
          <w:rFonts w:ascii="Times New Roman" w:hAnsi="Times New Roman"/>
        </w:rPr>
        <w:t xml:space="preserve">argued </w:t>
      </w:r>
      <w:r w:rsidR="006C79CA" w:rsidRPr="00D35B04">
        <w:rPr>
          <w:rFonts w:ascii="Times New Roman" w:hAnsi="Times New Roman"/>
        </w:rPr>
        <w:t xml:space="preserve">that the </w:t>
      </w:r>
      <w:r w:rsidR="00FD245F" w:rsidRPr="00D35B04">
        <w:rPr>
          <w:rFonts w:ascii="Times New Roman" w:hAnsi="Times New Roman"/>
        </w:rPr>
        <w:t>packaging</w:t>
      </w:r>
      <w:r w:rsidR="006C79CA" w:rsidRPr="00D35B04">
        <w:rPr>
          <w:rFonts w:ascii="Times New Roman" w:hAnsi="Times New Roman"/>
        </w:rPr>
        <w:t xml:space="preserve"> in which the contaminated seed was sold </w:t>
      </w:r>
      <w:r w:rsidR="00E323AC" w:rsidRPr="00D35B04">
        <w:rPr>
          <w:rFonts w:ascii="Times New Roman" w:hAnsi="Times New Roman"/>
        </w:rPr>
        <w:t xml:space="preserve">did not operate to affect </w:t>
      </w:r>
      <w:r w:rsidR="00FD245F" w:rsidRPr="00D35B04">
        <w:rPr>
          <w:rFonts w:ascii="Times New Roman" w:hAnsi="Times New Roman"/>
        </w:rPr>
        <w:t>the</w:t>
      </w:r>
      <w:r w:rsidR="00E323AC" w:rsidRPr="00D35B04">
        <w:rPr>
          <w:rFonts w:ascii="Times New Roman" w:hAnsi="Times New Roman"/>
        </w:rPr>
        <w:t xml:space="preserve"> duty of care that </w:t>
      </w:r>
      <w:r w:rsidR="004B7352" w:rsidRPr="00D35B04">
        <w:rPr>
          <w:rFonts w:ascii="Times New Roman" w:hAnsi="Times New Roman"/>
        </w:rPr>
        <w:t>was alleged to have arisen at the time of the</w:t>
      </w:r>
      <w:r w:rsidR="00E323AC" w:rsidRPr="00D35B04">
        <w:rPr>
          <w:rFonts w:ascii="Times New Roman" w:hAnsi="Times New Roman"/>
        </w:rPr>
        <w:t xml:space="preserve"> production of the contaminated seed</w:t>
      </w:r>
      <w:r w:rsidR="00590C18" w:rsidRPr="00D35B04">
        <w:rPr>
          <w:rFonts w:ascii="Times New Roman" w:hAnsi="Times New Roman"/>
        </w:rPr>
        <w:t xml:space="preserve"> (that is, before the disclaimer had been given</w:t>
      </w:r>
      <w:r w:rsidR="00FD245F" w:rsidRPr="00D35B04">
        <w:rPr>
          <w:rFonts w:ascii="Times New Roman" w:hAnsi="Times New Roman"/>
        </w:rPr>
        <w:t xml:space="preserve"> to growers on receipt of the bags of seed</w:t>
      </w:r>
      <w:r w:rsidR="00590C18" w:rsidRPr="00D35B04">
        <w:rPr>
          <w:rFonts w:ascii="Times New Roman" w:hAnsi="Times New Roman"/>
        </w:rPr>
        <w:t>)</w:t>
      </w:r>
      <w:r w:rsidR="0046453F" w:rsidRPr="00D35B04">
        <w:rPr>
          <w:rFonts w:ascii="Times New Roman" w:hAnsi="Times New Roman"/>
        </w:rPr>
        <w:t>.</w:t>
      </w:r>
      <w:r w:rsidR="0046453F" w:rsidRPr="00D35B04">
        <w:rPr>
          <w:rFonts w:ascii="Times New Roman" w:hAnsi="Times New Roman"/>
          <w:b/>
          <w:bCs/>
        </w:rPr>
        <w:t xml:space="preserve"> </w:t>
      </w:r>
      <w:r w:rsidR="00DD293E" w:rsidRPr="00D35B04">
        <w:rPr>
          <w:rFonts w:ascii="Times New Roman" w:hAnsi="Times New Roman"/>
        </w:rPr>
        <w:t>Specifically,</w:t>
      </w:r>
      <w:r w:rsidR="00DD293E" w:rsidRPr="00D35B04">
        <w:rPr>
          <w:rFonts w:ascii="Times New Roman" w:hAnsi="Times New Roman"/>
          <w:b/>
          <w:bCs/>
        </w:rPr>
        <w:t xml:space="preserve"> </w:t>
      </w:r>
      <w:r w:rsidR="00DD293E" w:rsidRPr="00D35B04">
        <w:rPr>
          <w:rFonts w:ascii="Times New Roman" w:hAnsi="Times New Roman"/>
        </w:rPr>
        <w:t>t</w:t>
      </w:r>
      <w:r w:rsidR="0046453F" w:rsidRPr="00D35B04">
        <w:rPr>
          <w:rFonts w:ascii="Times New Roman" w:hAnsi="Times New Roman"/>
        </w:rPr>
        <w:t xml:space="preserve">he growers </w:t>
      </w:r>
      <w:r w:rsidR="00164948" w:rsidRPr="00D35B04">
        <w:rPr>
          <w:rFonts w:ascii="Times New Roman" w:hAnsi="Times New Roman"/>
        </w:rPr>
        <w:t xml:space="preserve">submitted </w:t>
      </w:r>
      <w:r w:rsidR="0046453F" w:rsidRPr="00D35B04">
        <w:rPr>
          <w:rFonts w:ascii="Times New Roman" w:hAnsi="Times New Roman"/>
        </w:rPr>
        <w:t xml:space="preserve">that the disclaimer did not "intersect" with the </w:t>
      </w:r>
      <w:r w:rsidR="000E7B72" w:rsidRPr="00D35B04">
        <w:rPr>
          <w:rFonts w:ascii="Times New Roman" w:hAnsi="Times New Roman"/>
        </w:rPr>
        <w:t xml:space="preserve">producer's knowledge </w:t>
      </w:r>
      <w:r w:rsidR="00E339A8" w:rsidRPr="00D35B04">
        <w:rPr>
          <w:rFonts w:ascii="Times New Roman" w:hAnsi="Times New Roman"/>
        </w:rPr>
        <w:t>because, according to the growers,</w:t>
      </w:r>
      <w:r w:rsidR="000E7B72" w:rsidRPr="00D35B04">
        <w:rPr>
          <w:rFonts w:ascii="Times New Roman" w:hAnsi="Times New Roman"/>
        </w:rPr>
        <w:t xml:space="preserve"> </w:t>
      </w:r>
      <w:r w:rsidR="001D6F85" w:rsidRPr="00D35B04">
        <w:rPr>
          <w:rFonts w:ascii="Times New Roman" w:hAnsi="Times New Roman"/>
        </w:rPr>
        <w:t>the disclaimer</w:t>
      </w:r>
      <w:r w:rsidR="000E7B72" w:rsidRPr="00D35B04">
        <w:rPr>
          <w:rFonts w:ascii="Times New Roman" w:hAnsi="Times New Roman"/>
        </w:rPr>
        <w:t xml:space="preserve"> </w:t>
      </w:r>
      <w:r w:rsidR="00E339A8" w:rsidRPr="00D35B04">
        <w:rPr>
          <w:rFonts w:ascii="Times New Roman" w:hAnsi="Times New Roman"/>
        </w:rPr>
        <w:t>did</w:t>
      </w:r>
      <w:r w:rsidR="000E7B72" w:rsidRPr="00D35B04">
        <w:rPr>
          <w:rFonts w:ascii="Times New Roman" w:hAnsi="Times New Roman"/>
        </w:rPr>
        <w:t xml:space="preserve"> not warn of </w:t>
      </w:r>
      <w:r w:rsidR="000B543A" w:rsidRPr="00D35B04">
        <w:rPr>
          <w:rFonts w:ascii="Times New Roman" w:hAnsi="Times New Roman"/>
        </w:rPr>
        <w:t xml:space="preserve">a </w:t>
      </w:r>
      <w:r w:rsidR="000E7B72" w:rsidRPr="00D35B04">
        <w:rPr>
          <w:rFonts w:ascii="Times New Roman" w:hAnsi="Times New Roman"/>
        </w:rPr>
        <w:t>risk of which the producer was aware</w:t>
      </w:r>
      <w:r w:rsidR="00A06053" w:rsidRPr="00D35B04">
        <w:rPr>
          <w:rFonts w:ascii="Times New Roman" w:hAnsi="Times New Roman"/>
        </w:rPr>
        <w:t>. Furthermore,</w:t>
      </w:r>
      <w:r w:rsidR="001D6F85" w:rsidRPr="00D35B04">
        <w:rPr>
          <w:rFonts w:ascii="Times New Roman" w:hAnsi="Times New Roman"/>
        </w:rPr>
        <w:t xml:space="preserve"> it was said that</w:t>
      </w:r>
      <w:r w:rsidR="00A06053" w:rsidRPr="00D35B04">
        <w:rPr>
          <w:rFonts w:ascii="Times New Roman" w:hAnsi="Times New Roman"/>
        </w:rPr>
        <w:t xml:space="preserve"> the disclaimer</w:t>
      </w:r>
      <w:r w:rsidR="000E7B72" w:rsidRPr="00D35B04">
        <w:rPr>
          <w:rFonts w:ascii="Times New Roman" w:hAnsi="Times New Roman"/>
        </w:rPr>
        <w:t xml:space="preserve"> did not attenuate the growers' vulnerability and could not have affected </w:t>
      </w:r>
      <w:r w:rsidR="00336B0C" w:rsidRPr="00D35B04">
        <w:rPr>
          <w:rFonts w:ascii="Times New Roman" w:hAnsi="Times New Roman"/>
        </w:rPr>
        <w:t>whether the producer assumed responsibility for the task of producing the seed</w:t>
      </w:r>
      <w:r w:rsidR="009D5448" w:rsidRPr="00D35B04">
        <w:rPr>
          <w:rFonts w:ascii="Times New Roman" w:hAnsi="Times New Roman"/>
        </w:rPr>
        <w:t>.</w:t>
      </w:r>
      <w:r w:rsidR="00336B0C" w:rsidRPr="00D35B04">
        <w:rPr>
          <w:rFonts w:ascii="Times New Roman" w:hAnsi="Times New Roman"/>
        </w:rPr>
        <w:t xml:space="preserve"> </w:t>
      </w:r>
    </w:p>
    <w:p w14:paraId="19A699BB" w14:textId="55496045" w:rsidR="00366E37" w:rsidRPr="00D35B04" w:rsidRDefault="00AF454E"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2246A9" w:rsidRPr="00D35B04">
        <w:rPr>
          <w:rFonts w:ascii="Times New Roman" w:hAnsi="Times New Roman"/>
        </w:rPr>
        <w:t>The growers' argumen</w:t>
      </w:r>
      <w:r w:rsidR="0090679F" w:rsidRPr="00D35B04">
        <w:rPr>
          <w:rFonts w:ascii="Times New Roman" w:hAnsi="Times New Roman"/>
        </w:rPr>
        <w:t>t</w:t>
      </w:r>
      <w:r w:rsidR="009211A5" w:rsidRPr="00D35B04">
        <w:rPr>
          <w:rFonts w:ascii="Times New Roman" w:hAnsi="Times New Roman"/>
        </w:rPr>
        <w:t>s</w:t>
      </w:r>
      <w:r w:rsidR="0090679F" w:rsidRPr="00D35B04">
        <w:rPr>
          <w:rFonts w:ascii="Times New Roman" w:hAnsi="Times New Roman"/>
        </w:rPr>
        <w:t xml:space="preserve"> fail.</w:t>
      </w:r>
      <w:r w:rsidR="003653F2" w:rsidRPr="00D35B04">
        <w:rPr>
          <w:rFonts w:ascii="Times New Roman" w:hAnsi="Times New Roman"/>
        </w:rPr>
        <w:t xml:space="preserve"> </w:t>
      </w:r>
      <w:r w:rsidR="00366E37" w:rsidRPr="00D35B04">
        <w:rPr>
          <w:rFonts w:ascii="Times New Roman" w:hAnsi="Times New Roman"/>
        </w:rPr>
        <w:t xml:space="preserve">The facts fall far short of identifying a relationship between the producer and the growers that would lead to the existence of a duty to take reasonable care when producing the grain sorghum seed to avoid causing </w:t>
      </w:r>
      <w:r w:rsidR="00D573CD" w:rsidRPr="00D35B04">
        <w:rPr>
          <w:rFonts w:ascii="Times New Roman" w:hAnsi="Times New Roman"/>
        </w:rPr>
        <w:t xml:space="preserve">the growers </w:t>
      </w:r>
      <w:r w:rsidR="00366E37" w:rsidRPr="00D35B04">
        <w:rPr>
          <w:rFonts w:ascii="Times New Roman" w:hAnsi="Times New Roman"/>
        </w:rPr>
        <w:t>pure economic loss</w:t>
      </w:r>
      <w:r w:rsidR="00D573CD" w:rsidRPr="00D35B04">
        <w:rPr>
          <w:rFonts w:ascii="Times New Roman" w:hAnsi="Times New Roman"/>
        </w:rPr>
        <w:t xml:space="preserve"> of the type c</w:t>
      </w:r>
      <w:r w:rsidR="000D1C9E" w:rsidRPr="00D35B04">
        <w:rPr>
          <w:rFonts w:ascii="Times New Roman" w:hAnsi="Times New Roman"/>
        </w:rPr>
        <w:t>l</w:t>
      </w:r>
      <w:r w:rsidR="00D573CD" w:rsidRPr="00D35B04">
        <w:rPr>
          <w:rFonts w:ascii="Times New Roman" w:hAnsi="Times New Roman"/>
        </w:rPr>
        <w:t>aimed</w:t>
      </w:r>
      <w:r w:rsidR="00366E37" w:rsidRPr="00D35B04">
        <w:rPr>
          <w:rFonts w:ascii="Times New Roman" w:hAnsi="Times New Roman"/>
        </w:rPr>
        <w:t>.</w:t>
      </w:r>
    </w:p>
    <w:p w14:paraId="7FF37137" w14:textId="7406A948" w:rsidR="00C40EE0" w:rsidRPr="00D35B04" w:rsidRDefault="00366E37" w:rsidP="00D35B04">
      <w:pPr>
        <w:pStyle w:val="FixListStyle"/>
        <w:spacing w:after="260" w:line="280" w:lineRule="exact"/>
        <w:ind w:right="0"/>
        <w:jc w:val="both"/>
        <w:rPr>
          <w:rFonts w:ascii="Times New Roman" w:hAnsi="Times New Roman"/>
        </w:rPr>
      </w:pPr>
      <w:r w:rsidRPr="00D35B04">
        <w:rPr>
          <w:rFonts w:ascii="Times New Roman" w:hAnsi="Times New Roman"/>
        </w:rPr>
        <w:lastRenderedPageBreak/>
        <w:tab/>
      </w:r>
      <w:r w:rsidR="00801508" w:rsidRPr="00D35B04">
        <w:rPr>
          <w:rFonts w:ascii="Times New Roman" w:hAnsi="Times New Roman"/>
        </w:rPr>
        <w:t>Dealing first with the growers</w:t>
      </w:r>
      <w:r w:rsidR="00276BB4" w:rsidRPr="00D35B04">
        <w:rPr>
          <w:rFonts w:ascii="Times New Roman" w:hAnsi="Times New Roman"/>
        </w:rPr>
        <w:t>'</w:t>
      </w:r>
      <w:r w:rsidR="00801508" w:rsidRPr="00D35B04">
        <w:rPr>
          <w:rFonts w:ascii="Times New Roman" w:hAnsi="Times New Roman"/>
        </w:rPr>
        <w:t xml:space="preserve"> argument based on </w:t>
      </w:r>
      <w:r w:rsidR="00533947" w:rsidRPr="00D35B04">
        <w:rPr>
          <w:rFonts w:ascii="Times New Roman" w:hAnsi="Times New Roman"/>
        </w:rPr>
        <w:t>the packaging, w</w:t>
      </w:r>
      <w:r w:rsidR="002B310C" w:rsidRPr="00D35B04">
        <w:rPr>
          <w:rFonts w:ascii="Times New Roman" w:hAnsi="Times New Roman"/>
        </w:rPr>
        <w:t>hile it is true that the producer could not impose a contract on end users by its packaging,</w:t>
      </w:r>
      <w:r w:rsidR="002B310C" w:rsidRPr="00D35B04">
        <w:rPr>
          <w:rFonts w:ascii="Times New Roman" w:hAnsi="Times New Roman"/>
          <w:b/>
          <w:bCs/>
        </w:rPr>
        <w:t xml:space="preserve"> </w:t>
      </w:r>
      <w:r w:rsidR="002B310C" w:rsidRPr="00D35B04">
        <w:rPr>
          <w:rFonts w:ascii="Times New Roman" w:hAnsi="Times New Roman"/>
        </w:rPr>
        <w:t>t</w:t>
      </w:r>
      <w:r w:rsidR="00946227" w:rsidRPr="00D35B04">
        <w:rPr>
          <w:rFonts w:ascii="Times New Roman" w:hAnsi="Times New Roman"/>
        </w:rPr>
        <w:t>he</w:t>
      </w:r>
      <w:r w:rsidR="00D115BD" w:rsidRPr="00D35B04">
        <w:rPr>
          <w:rFonts w:ascii="Times New Roman" w:hAnsi="Times New Roman"/>
        </w:rPr>
        <w:t xml:space="preserve"> terms on the</w:t>
      </w:r>
      <w:r w:rsidR="00946227" w:rsidRPr="00D35B04">
        <w:rPr>
          <w:rFonts w:ascii="Times New Roman" w:hAnsi="Times New Roman"/>
        </w:rPr>
        <w:t xml:space="preserve"> packaging</w:t>
      </w:r>
      <w:r w:rsidR="00087C74" w:rsidRPr="00D35B04">
        <w:rPr>
          <w:rFonts w:ascii="Times New Roman" w:hAnsi="Times New Roman"/>
        </w:rPr>
        <w:t xml:space="preserve"> (including the </w:t>
      </w:r>
      <w:r w:rsidR="001660B4" w:rsidRPr="00D35B04">
        <w:rPr>
          <w:rFonts w:ascii="Times New Roman" w:hAnsi="Times New Roman"/>
        </w:rPr>
        <w:t>information and warnings it contained</w:t>
      </w:r>
      <w:r w:rsidR="00087C74" w:rsidRPr="00D35B04">
        <w:rPr>
          <w:rFonts w:ascii="Times New Roman" w:hAnsi="Times New Roman"/>
        </w:rPr>
        <w:t>)</w:t>
      </w:r>
      <w:r w:rsidR="00D115BD" w:rsidRPr="00D35B04">
        <w:rPr>
          <w:rFonts w:ascii="Times New Roman" w:hAnsi="Times New Roman"/>
        </w:rPr>
        <w:t xml:space="preserve"> </w:t>
      </w:r>
      <w:r w:rsidR="00EA0D2D" w:rsidRPr="00D35B04">
        <w:rPr>
          <w:rFonts w:ascii="Times New Roman" w:hAnsi="Times New Roman"/>
        </w:rPr>
        <w:t xml:space="preserve">communicated to the class of potential future purchasers </w:t>
      </w:r>
      <w:r w:rsidR="00257430" w:rsidRPr="00D35B04">
        <w:rPr>
          <w:rFonts w:ascii="Times New Roman" w:hAnsi="Times New Roman"/>
        </w:rPr>
        <w:t>that</w:t>
      </w:r>
      <w:r w:rsidR="00955199" w:rsidRPr="00D35B04">
        <w:rPr>
          <w:rFonts w:ascii="Times New Roman" w:hAnsi="Times New Roman"/>
        </w:rPr>
        <w:t xml:space="preserve"> </w:t>
      </w:r>
      <w:r w:rsidR="000B3F05" w:rsidRPr="00D35B04">
        <w:rPr>
          <w:rFonts w:ascii="Times New Roman" w:hAnsi="Times New Roman"/>
        </w:rPr>
        <w:t xml:space="preserve">the producer </w:t>
      </w:r>
      <w:r w:rsidR="00257430" w:rsidRPr="00D35B04">
        <w:rPr>
          <w:rFonts w:ascii="Times New Roman" w:hAnsi="Times New Roman"/>
        </w:rPr>
        <w:t xml:space="preserve">was </w:t>
      </w:r>
      <w:r w:rsidR="000B3F05" w:rsidRPr="00D35B04">
        <w:rPr>
          <w:rFonts w:ascii="Times New Roman" w:hAnsi="Times New Roman"/>
        </w:rPr>
        <w:t>positively not assum</w:t>
      </w:r>
      <w:r w:rsidR="00955199" w:rsidRPr="00D35B04">
        <w:rPr>
          <w:rFonts w:ascii="Times New Roman" w:hAnsi="Times New Roman"/>
        </w:rPr>
        <w:t>ing</w:t>
      </w:r>
      <w:r w:rsidR="004F0E25" w:rsidRPr="00D35B04">
        <w:rPr>
          <w:rFonts w:ascii="Times New Roman" w:hAnsi="Times New Roman"/>
        </w:rPr>
        <w:t xml:space="preserve"> the</w:t>
      </w:r>
      <w:r w:rsidR="000B3F05" w:rsidRPr="00D35B04">
        <w:rPr>
          <w:rFonts w:ascii="Times New Roman" w:hAnsi="Times New Roman"/>
        </w:rPr>
        <w:t xml:space="preserve"> responsibility</w:t>
      </w:r>
      <w:r w:rsidR="004F0E25" w:rsidRPr="00D35B04">
        <w:rPr>
          <w:rFonts w:ascii="Times New Roman" w:hAnsi="Times New Roman"/>
        </w:rPr>
        <w:t xml:space="preserve"> which is at the core of the alleged duty of care.</w:t>
      </w:r>
      <w:r w:rsidR="000B3F05" w:rsidRPr="00D35B04">
        <w:rPr>
          <w:rFonts w:ascii="Times New Roman" w:hAnsi="Times New Roman"/>
        </w:rPr>
        <w:t xml:space="preserve"> </w:t>
      </w:r>
      <w:r w:rsidR="00D26495" w:rsidRPr="00D35B04">
        <w:rPr>
          <w:rFonts w:ascii="Times New Roman" w:hAnsi="Times New Roman"/>
        </w:rPr>
        <w:t xml:space="preserve">The </w:t>
      </w:r>
      <w:r w:rsidR="004F0E25" w:rsidRPr="00D35B04">
        <w:rPr>
          <w:rFonts w:ascii="Times New Roman" w:hAnsi="Times New Roman"/>
        </w:rPr>
        <w:t>significance</w:t>
      </w:r>
      <w:r w:rsidR="00D26495" w:rsidRPr="00D35B04">
        <w:rPr>
          <w:rFonts w:ascii="Times New Roman" w:hAnsi="Times New Roman"/>
        </w:rPr>
        <w:t xml:space="preserve"> of the packaging </w:t>
      </w:r>
      <w:r w:rsidR="003F513C" w:rsidRPr="00D35B04">
        <w:rPr>
          <w:rFonts w:ascii="Times New Roman" w:hAnsi="Times New Roman"/>
        </w:rPr>
        <w:t>is not that it merely disclaims legal liability. It is</w:t>
      </w:r>
      <w:r w:rsidR="00D26495" w:rsidRPr="00D35B04">
        <w:rPr>
          <w:rFonts w:ascii="Times New Roman" w:hAnsi="Times New Roman"/>
        </w:rPr>
        <w:t xml:space="preserve"> that</w:t>
      </w:r>
      <w:r w:rsidR="009627D5" w:rsidRPr="00D35B04">
        <w:rPr>
          <w:rFonts w:ascii="Times New Roman" w:hAnsi="Times New Roman"/>
        </w:rPr>
        <w:t>, by the packaging,</w:t>
      </w:r>
      <w:r w:rsidR="00D26495" w:rsidRPr="00D35B04">
        <w:rPr>
          <w:rFonts w:ascii="Times New Roman" w:hAnsi="Times New Roman"/>
        </w:rPr>
        <w:t xml:space="preserve"> the producer legitimately and clearly delimited the nature of the product that it made available to the market. Th</w:t>
      </w:r>
      <w:r w:rsidR="009627D5" w:rsidRPr="00D35B04">
        <w:rPr>
          <w:rFonts w:ascii="Times New Roman" w:hAnsi="Times New Roman"/>
        </w:rPr>
        <w:t>e</w:t>
      </w:r>
      <w:r w:rsidR="00D26495" w:rsidRPr="00D35B04">
        <w:rPr>
          <w:rFonts w:ascii="Times New Roman" w:hAnsi="Times New Roman"/>
        </w:rPr>
        <w:t xml:space="preserve"> product </w:t>
      </w:r>
      <w:r w:rsidR="009627D5" w:rsidRPr="00D35B04">
        <w:rPr>
          <w:rFonts w:ascii="Times New Roman" w:hAnsi="Times New Roman"/>
        </w:rPr>
        <w:t xml:space="preserve">was one </w:t>
      </w:r>
      <w:r w:rsidR="00D26495" w:rsidRPr="00D35B04">
        <w:rPr>
          <w:rFonts w:ascii="Times New Roman" w:hAnsi="Times New Roman"/>
        </w:rPr>
        <w:t>which had a minimum purity of 99% (but not 100%), and</w:t>
      </w:r>
      <w:r w:rsidR="00CD58BC" w:rsidRPr="00D35B04">
        <w:rPr>
          <w:rFonts w:ascii="Times New Roman" w:hAnsi="Times New Roman"/>
        </w:rPr>
        <w:t xml:space="preserve">, by the terms of the </w:t>
      </w:r>
      <w:r w:rsidR="004F1557" w:rsidRPr="00D35B04">
        <w:rPr>
          <w:rFonts w:ascii="Times New Roman" w:hAnsi="Times New Roman"/>
        </w:rPr>
        <w:t>packaging</w:t>
      </w:r>
      <w:r w:rsidR="00CD58BC" w:rsidRPr="00D35B04">
        <w:rPr>
          <w:rFonts w:ascii="Times New Roman" w:hAnsi="Times New Roman"/>
        </w:rPr>
        <w:t>,</w:t>
      </w:r>
      <w:r w:rsidR="00D26495" w:rsidRPr="00D35B04">
        <w:rPr>
          <w:rFonts w:ascii="Times New Roman" w:hAnsi="Times New Roman"/>
        </w:rPr>
        <w:t xml:space="preserve"> it was a product which the growers were told to open only after reading and agreeing with the conditions stated on the bag. Those conditions </w:t>
      </w:r>
      <w:r w:rsidR="004F1557" w:rsidRPr="00D35B04">
        <w:rPr>
          <w:rFonts w:ascii="Times New Roman" w:hAnsi="Times New Roman"/>
        </w:rPr>
        <w:t xml:space="preserve">also </w:t>
      </w:r>
      <w:r w:rsidR="00D26495" w:rsidRPr="00D35B04">
        <w:rPr>
          <w:rFonts w:ascii="Times New Roman" w:hAnsi="Times New Roman"/>
        </w:rPr>
        <w:t xml:space="preserve">made it clear that the </w:t>
      </w:r>
      <w:r w:rsidR="004F1557" w:rsidRPr="00D35B04">
        <w:rPr>
          <w:rFonts w:ascii="Times New Roman" w:hAnsi="Times New Roman"/>
        </w:rPr>
        <w:t>minimum purity of 99% was within</w:t>
      </w:r>
      <w:r w:rsidR="00095AE2" w:rsidRPr="00D35B04">
        <w:rPr>
          <w:rFonts w:ascii="Times New Roman" w:hAnsi="Times New Roman"/>
        </w:rPr>
        <w:t xml:space="preserve"> </w:t>
      </w:r>
      <w:r w:rsidR="004F1557" w:rsidRPr="00D35B04">
        <w:rPr>
          <w:rFonts w:ascii="Times New Roman" w:hAnsi="Times New Roman"/>
        </w:rPr>
        <w:t>"recognised tolerances"</w:t>
      </w:r>
      <w:r w:rsidR="00D26495" w:rsidRPr="00D35B04">
        <w:rPr>
          <w:rFonts w:ascii="Times New Roman" w:hAnsi="Times New Roman"/>
        </w:rPr>
        <w:t xml:space="preserve">. </w:t>
      </w:r>
      <w:r w:rsidR="00135876" w:rsidRPr="00D35B04">
        <w:rPr>
          <w:rFonts w:ascii="Times New Roman" w:hAnsi="Times New Roman"/>
        </w:rPr>
        <w:t>Those "recognised tolerances" included that the product was not 100% the identified see</w:t>
      </w:r>
      <w:r w:rsidR="00B27965" w:rsidRPr="00D35B04">
        <w:rPr>
          <w:rFonts w:ascii="Times New Roman" w:hAnsi="Times New Roman"/>
        </w:rPr>
        <w:t>d</w:t>
      </w:r>
      <w:r w:rsidR="00135876" w:rsidRPr="00D35B04">
        <w:rPr>
          <w:rFonts w:ascii="Times New Roman" w:hAnsi="Times New Roman"/>
        </w:rPr>
        <w:t xml:space="preserve"> (as it could contain up to 1% of other plant matter) and that it could contain 0.1% "maximum other seeds". </w:t>
      </w:r>
      <w:r w:rsidR="006E13AE" w:rsidRPr="00D35B04">
        <w:rPr>
          <w:rFonts w:ascii="Times New Roman" w:hAnsi="Times New Roman"/>
        </w:rPr>
        <w:t>Moreover, the evidence established that the growers would have readily understood the concept of "tolerance</w:t>
      </w:r>
      <w:r w:rsidR="00E74AB4" w:rsidRPr="00D35B04">
        <w:rPr>
          <w:rFonts w:ascii="Times New Roman" w:hAnsi="Times New Roman"/>
        </w:rPr>
        <w:t>s</w:t>
      </w:r>
      <w:r w:rsidR="006E13AE" w:rsidRPr="00D35B04">
        <w:rPr>
          <w:rFonts w:ascii="Times New Roman" w:hAnsi="Times New Roman"/>
        </w:rPr>
        <w:t>" of impure matter in the seed in this context</w:t>
      </w:r>
      <w:r w:rsidR="000744EC" w:rsidRPr="00D35B04">
        <w:rPr>
          <w:rFonts w:ascii="Times New Roman" w:hAnsi="Times New Roman"/>
        </w:rPr>
        <w:t>.</w:t>
      </w:r>
      <w:r w:rsidR="000744EC" w:rsidRPr="00D35B04">
        <w:rPr>
          <w:rFonts w:ascii="Times New Roman" w:hAnsi="Times New Roman"/>
          <w:b/>
          <w:bCs/>
        </w:rPr>
        <w:t xml:space="preserve"> </w:t>
      </w:r>
      <w:r w:rsidR="00D26495" w:rsidRPr="00D35B04">
        <w:rPr>
          <w:rFonts w:ascii="Times New Roman" w:hAnsi="Times New Roman"/>
        </w:rPr>
        <w:t>Far</w:t>
      </w:r>
      <w:r w:rsidR="00AF6E23" w:rsidRPr="00D35B04">
        <w:rPr>
          <w:rFonts w:ascii="Times New Roman" w:hAnsi="Times New Roman"/>
        </w:rPr>
        <w:t> </w:t>
      </w:r>
      <w:r w:rsidR="00D26495" w:rsidRPr="00D35B04">
        <w:rPr>
          <w:rFonts w:ascii="Times New Roman" w:hAnsi="Times New Roman"/>
        </w:rPr>
        <w:t xml:space="preserve">from assuming responsibility for </w:t>
      </w:r>
      <w:r w:rsidR="00EA214E" w:rsidRPr="00D35B04">
        <w:rPr>
          <w:rFonts w:ascii="Times New Roman" w:hAnsi="Times New Roman"/>
        </w:rPr>
        <w:t xml:space="preserve">production of </w:t>
      </w:r>
      <w:r w:rsidR="00D26495" w:rsidRPr="00D35B04">
        <w:rPr>
          <w:rFonts w:ascii="Times New Roman" w:hAnsi="Times New Roman"/>
        </w:rPr>
        <w:t xml:space="preserve">the </w:t>
      </w:r>
      <w:r w:rsidR="001D4515" w:rsidRPr="00D35B04">
        <w:rPr>
          <w:rFonts w:ascii="Times New Roman" w:hAnsi="Times New Roman"/>
        </w:rPr>
        <w:t xml:space="preserve">nature and </w:t>
      </w:r>
      <w:r w:rsidR="002F026B" w:rsidRPr="00D35B04">
        <w:rPr>
          <w:rFonts w:ascii="Times New Roman" w:hAnsi="Times New Roman"/>
        </w:rPr>
        <w:t>type</w:t>
      </w:r>
      <w:r w:rsidR="001D4515" w:rsidRPr="00D35B04">
        <w:rPr>
          <w:rFonts w:ascii="Times New Roman" w:hAnsi="Times New Roman"/>
        </w:rPr>
        <w:t xml:space="preserve"> </w:t>
      </w:r>
      <w:r w:rsidR="00D26495" w:rsidRPr="00D35B04">
        <w:rPr>
          <w:rFonts w:ascii="Times New Roman" w:hAnsi="Times New Roman"/>
        </w:rPr>
        <w:t xml:space="preserve">of the seed beyond the specifications on the </w:t>
      </w:r>
      <w:r w:rsidR="002F026B" w:rsidRPr="00D35B04">
        <w:rPr>
          <w:rFonts w:ascii="Times New Roman" w:hAnsi="Times New Roman"/>
        </w:rPr>
        <w:t>packaging</w:t>
      </w:r>
      <w:r w:rsidR="00D26495" w:rsidRPr="00D35B04">
        <w:rPr>
          <w:rFonts w:ascii="Times New Roman" w:hAnsi="Times New Roman"/>
        </w:rPr>
        <w:t>, the producer warned the growers that it was not assuming any such responsibility to them.</w:t>
      </w:r>
      <w:r w:rsidR="00CD58BC" w:rsidRPr="00D35B04">
        <w:rPr>
          <w:rFonts w:ascii="Times New Roman" w:hAnsi="Times New Roman"/>
        </w:rPr>
        <w:t xml:space="preserve"> </w:t>
      </w:r>
    </w:p>
    <w:p w14:paraId="7AEF1B2D" w14:textId="3421FE5A" w:rsidR="0071464F" w:rsidRPr="00D35B04" w:rsidRDefault="00AF6E23"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B27965" w:rsidRPr="00D35B04">
        <w:rPr>
          <w:rFonts w:ascii="Times New Roman" w:hAnsi="Times New Roman"/>
        </w:rPr>
        <w:t>T</w:t>
      </w:r>
      <w:r w:rsidR="001D4515" w:rsidRPr="00D35B04">
        <w:rPr>
          <w:rFonts w:ascii="Times New Roman" w:hAnsi="Times New Roman"/>
        </w:rPr>
        <w:t>he extent to which, if at all, the produce</w:t>
      </w:r>
      <w:r w:rsidR="00165183" w:rsidRPr="00D35B04">
        <w:rPr>
          <w:rFonts w:ascii="Times New Roman" w:hAnsi="Times New Roman"/>
        </w:rPr>
        <w:t>r</w:t>
      </w:r>
      <w:r w:rsidR="001D4515" w:rsidRPr="00D35B04">
        <w:rPr>
          <w:rFonts w:ascii="Times New Roman" w:hAnsi="Times New Roman"/>
        </w:rPr>
        <w:t xml:space="preserve"> assumed any responsibility to the growers in relation to any economic loss arising from their use of the seed depends on an assessment of the entirety of the relationship</w:t>
      </w:r>
      <w:r w:rsidR="008A5E45" w:rsidRPr="00D35B04">
        <w:rPr>
          <w:rFonts w:ascii="Times New Roman" w:hAnsi="Times New Roman"/>
        </w:rPr>
        <w:t>,</w:t>
      </w:r>
      <w:r w:rsidR="001D4515" w:rsidRPr="00D35B04">
        <w:rPr>
          <w:rFonts w:ascii="Times New Roman" w:hAnsi="Times New Roman"/>
        </w:rPr>
        <w:t xml:space="preserve"> including the circumstances in which the growers obtained the seed. </w:t>
      </w:r>
      <w:r w:rsidR="008455A2" w:rsidRPr="00D35B04">
        <w:rPr>
          <w:rFonts w:ascii="Times New Roman" w:hAnsi="Times New Roman"/>
        </w:rPr>
        <w:t>The producer arranged for production of the seed, intending that it would be produced in accordance with certain processes</w:t>
      </w:r>
      <w:r w:rsidR="00481E69" w:rsidRPr="00D35B04">
        <w:rPr>
          <w:rFonts w:ascii="Times New Roman" w:hAnsi="Times New Roman"/>
        </w:rPr>
        <w:t xml:space="preserve">, </w:t>
      </w:r>
      <w:r w:rsidR="007E1755" w:rsidRPr="00D35B04">
        <w:rPr>
          <w:rFonts w:ascii="Times New Roman" w:hAnsi="Times New Roman"/>
        </w:rPr>
        <w:t>but without any undertaking to any potential purchaser concerning those processes</w:t>
      </w:r>
      <w:r w:rsidR="00481E69" w:rsidRPr="00D35B04">
        <w:rPr>
          <w:rFonts w:ascii="Times New Roman" w:hAnsi="Times New Roman"/>
        </w:rPr>
        <w:t xml:space="preserve"> beyond the information and warnings on the packaging</w:t>
      </w:r>
      <w:r w:rsidR="007E1755" w:rsidRPr="00D35B04">
        <w:rPr>
          <w:rFonts w:ascii="Times New Roman" w:hAnsi="Times New Roman"/>
        </w:rPr>
        <w:t xml:space="preserve">. </w:t>
      </w:r>
      <w:r w:rsidR="00481E69" w:rsidRPr="00D35B04">
        <w:rPr>
          <w:rFonts w:ascii="Times New Roman" w:hAnsi="Times New Roman"/>
        </w:rPr>
        <w:t>Further</w:t>
      </w:r>
      <w:r w:rsidR="00090846" w:rsidRPr="00D35B04">
        <w:rPr>
          <w:rFonts w:ascii="Times New Roman" w:hAnsi="Times New Roman"/>
        </w:rPr>
        <w:t>more</w:t>
      </w:r>
      <w:r w:rsidR="00481E69" w:rsidRPr="00D35B04">
        <w:rPr>
          <w:rFonts w:ascii="Times New Roman" w:hAnsi="Times New Roman"/>
        </w:rPr>
        <w:t>, t</w:t>
      </w:r>
      <w:r w:rsidR="007E1755" w:rsidRPr="00D35B04">
        <w:rPr>
          <w:rFonts w:ascii="Times New Roman" w:hAnsi="Times New Roman"/>
        </w:rPr>
        <w:t>he growers did not agree to purchase the seed in advance of its supply to distributors for sale. At most, the g</w:t>
      </w:r>
      <w:r w:rsidR="007E41D3" w:rsidRPr="00D35B04">
        <w:rPr>
          <w:rFonts w:ascii="Times New Roman" w:hAnsi="Times New Roman"/>
        </w:rPr>
        <w:t xml:space="preserve">rowers were potential end users of the producer's seed, </w:t>
      </w:r>
      <w:proofErr w:type="gramStart"/>
      <w:r w:rsidR="007E41D3" w:rsidRPr="00D35B04">
        <w:rPr>
          <w:rFonts w:ascii="Times New Roman" w:hAnsi="Times New Roman"/>
        </w:rPr>
        <w:t>if and when</w:t>
      </w:r>
      <w:proofErr w:type="gramEnd"/>
      <w:r w:rsidR="007E41D3" w:rsidRPr="00D35B04">
        <w:rPr>
          <w:rFonts w:ascii="Times New Roman" w:hAnsi="Times New Roman"/>
        </w:rPr>
        <w:t xml:space="preserve"> it was supplied to distributors for sale, in the packaging selected by the producer</w:t>
      </w:r>
      <w:r w:rsidR="008455A2" w:rsidRPr="00D35B04">
        <w:rPr>
          <w:rFonts w:ascii="Times New Roman" w:hAnsi="Times New Roman"/>
        </w:rPr>
        <w:t xml:space="preserve">. </w:t>
      </w:r>
      <w:r w:rsidR="005003AB" w:rsidRPr="00D35B04">
        <w:rPr>
          <w:rFonts w:ascii="Times New Roman" w:hAnsi="Times New Roman"/>
        </w:rPr>
        <w:t xml:space="preserve">Until the growers purchased the contaminated seed from the distributors in the labelled bags and took possession of it, </w:t>
      </w:r>
      <w:r w:rsidR="00A23762" w:rsidRPr="00D35B04">
        <w:rPr>
          <w:rFonts w:ascii="Times New Roman" w:hAnsi="Times New Roman"/>
        </w:rPr>
        <w:t xml:space="preserve">an important aspect of </w:t>
      </w:r>
      <w:r w:rsidR="001069E5" w:rsidRPr="00D35B04">
        <w:rPr>
          <w:rFonts w:ascii="Times New Roman" w:hAnsi="Times New Roman"/>
        </w:rPr>
        <w:t xml:space="preserve">the </w:t>
      </w:r>
      <w:r w:rsidR="007E41D3" w:rsidRPr="00D35B04">
        <w:rPr>
          <w:rFonts w:ascii="Times New Roman" w:hAnsi="Times New Roman"/>
        </w:rPr>
        <w:t>relationship between</w:t>
      </w:r>
      <w:r w:rsidR="005003AB" w:rsidRPr="00D35B04">
        <w:rPr>
          <w:rFonts w:ascii="Times New Roman" w:hAnsi="Times New Roman"/>
        </w:rPr>
        <w:t xml:space="preserve"> the producer and the growers</w:t>
      </w:r>
      <w:r w:rsidR="002077E7" w:rsidRPr="00D35B04">
        <w:rPr>
          <w:rFonts w:ascii="Times New Roman" w:hAnsi="Times New Roman"/>
        </w:rPr>
        <w:t xml:space="preserve"> </w:t>
      </w:r>
      <w:r w:rsidR="00A23762" w:rsidRPr="00D35B04">
        <w:rPr>
          <w:rFonts w:ascii="Times New Roman" w:hAnsi="Times New Roman"/>
        </w:rPr>
        <w:t xml:space="preserve">was that </w:t>
      </w:r>
      <w:r w:rsidR="001069E5" w:rsidRPr="00D35B04">
        <w:rPr>
          <w:rFonts w:ascii="Times New Roman" w:hAnsi="Times New Roman"/>
        </w:rPr>
        <w:t xml:space="preserve">the </w:t>
      </w:r>
      <w:r w:rsidR="002077E7" w:rsidRPr="00D35B04">
        <w:rPr>
          <w:rFonts w:ascii="Times New Roman" w:hAnsi="Times New Roman"/>
        </w:rPr>
        <w:t xml:space="preserve">growers </w:t>
      </w:r>
      <w:r w:rsidR="00A23762" w:rsidRPr="00D35B04">
        <w:rPr>
          <w:rFonts w:ascii="Times New Roman" w:hAnsi="Times New Roman"/>
        </w:rPr>
        <w:t>were</w:t>
      </w:r>
      <w:r w:rsidR="001069E5" w:rsidRPr="00D35B04">
        <w:rPr>
          <w:rFonts w:ascii="Times New Roman" w:hAnsi="Times New Roman"/>
        </w:rPr>
        <w:t xml:space="preserve"> </w:t>
      </w:r>
      <w:r w:rsidR="00512906" w:rsidRPr="00D35B04">
        <w:rPr>
          <w:rFonts w:ascii="Times New Roman" w:hAnsi="Times New Roman"/>
        </w:rPr>
        <w:t xml:space="preserve">unidentified </w:t>
      </w:r>
      <w:r w:rsidR="002077E7" w:rsidRPr="00D35B04">
        <w:rPr>
          <w:rFonts w:ascii="Times New Roman" w:hAnsi="Times New Roman"/>
        </w:rPr>
        <w:t>members of a class of</w:t>
      </w:r>
      <w:r w:rsidR="002E32D5" w:rsidRPr="00D35B04">
        <w:rPr>
          <w:rFonts w:ascii="Times New Roman" w:hAnsi="Times New Roman"/>
        </w:rPr>
        <w:t xml:space="preserve"> potential users of the producer's product</w:t>
      </w:r>
      <w:r w:rsidR="005B312F" w:rsidRPr="00D35B04">
        <w:rPr>
          <w:rFonts w:ascii="Times New Roman" w:hAnsi="Times New Roman"/>
        </w:rPr>
        <w:t xml:space="preserve"> (</w:t>
      </w:r>
      <w:r w:rsidR="00462823" w:rsidRPr="00D35B04">
        <w:rPr>
          <w:rFonts w:ascii="Times New Roman" w:hAnsi="Times New Roman"/>
        </w:rPr>
        <w:t>that product being not merely the seed, but the seed as packaged</w:t>
      </w:r>
      <w:r w:rsidR="005B312F" w:rsidRPr="00D35B04">
        <w:rPr>
          <w:rFonts w:ascii="Times New Roman" w:hAnsi="Times New Roman"/>
        </w:rPr>
        <w:t>)</w:t>
      </w:r>
      <w:r w:rsidR="005003AB" w:rsidRPr="00D35B04">
        <w:rPr>
          <w:rFonts w:ascii="Times New Roman" w:hAnsi="Times New Roman"/>
        </w:rPr>
        <w:t>.</w:t>
      </w:r>
    </w:p>
    <w:p w14:paraId="4FB290EE" w14:textId="6FA198AF" w:rsidR="007124DC" w:rsidRPr="00D35B04" w:rsidRDefault="00613EFC"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284313" w:rsidRPr="00D35B04">
        <w:rPr>
          <w:rFonts w:ascii="Times New Roman" w:hAnsi="Times New Roman"/>
        </w:rPr>
        <w:t xml:space="preserve">In these circumstances, the growers' argument of a temporal disjunct between </w:t>
      </w:r>
      <w:r w:rsidR="00B64FD8" w:rsidRPr="00D35B04">
        <w:rPr>
          <w:rFonts w:ascii="Times New Roman" w:hAnsi="Times New Roman"/>
        </w:rPr>
        <w:t>the time when the growers had an opportunity to read the warnings on the packag</w:t>
      </w:r>
      <w:r w:rsidR="008E56F9" w:rsidRPr="00D35B04">
        <w:rPr>
          <w:rFonts w:ascii="Times New Roman" w:hAnsi="Times New Roman"/>
        </w:rPr>
        <w:t>ing</w:t>
      </w:r>
      <w:r w:rsidR="00B64FD8" w:rsidRPr="00D35B04">
        <w:rPr>
          <w:rFonts w:ascii="Times New Roman" w:hAnsi="Times New Roman"/>
        </w:rPr>
        <w:t xml:space="preserve"> after purchase and the </w:t>
      </w:r>
      <w:r w:rsidR="00EB6007" w:rsidRPr="00D35B04">
        <w:rPr>
          <w:rFonts w:ascii="Times New Roman" w:hAnsi="Times New Roman"/>
        </w:rPr>
        <w:t xml:space="preserve">asserted </w:t>
      </w:r>
      <w:r w:rsidR="00B64FD8" w:rsidRPr="00D35B04">
        <w:rPr>
          <w:rFonts w:ascii="Times New Roman" w:hAnsi="Times New Roman"/>
        </w:rPr>
        <w:t xml:space="preserve">emergence </w:t>
      </w:r>
      <w:r w:rsidR="005C1144" w:rsidRPr="00D35B04">
        <w:rPr>
          <w:rFonts w:ascii="Times New Roman" w:hAnsi="Times New Roman"/>
        </w:rPr>
        <w:t>of the duty of care followed by its breach (by the failure to rogue and grow out the relevant seed crop)</w:t>
      </w:r>
      <w:r w:rsidR="00A01230" w:rsidRPr="00D35B04">
        <w:rPr>
          <w:rFonts w:ascii="Times New Roman" w:hAnsi="Times New Roman"/>
        </w:rPr>
        <w:t>,</w:t>
      </w:r>
      <w:r w:rsidR="005C3B57" w:rsidRPr="00D35B04">
        <w:rPr>
          <w:rFonts w:ascii="Times New Roman" w:hAnsi="Times New Roman"/>
        </w:rPr>
        <w:t xml:space="preserve"> </w:t>
      </w:r>
      <w:r w:rsidR="00BC507C" w:rsidRPr="00D35B04">
        <w:rPr>
          <w:rFonts w:ascii="Times New Roman" w:hAnsi="Times New Roman"/>
        </w:rPr>
        <w:t xml:space="preserve">with the </w:t>
      </w:r>
      <w:r w:rsidR="00BC507C" w:rsidRPr="00D35B04">
        <w:rPr>
          <w:rFonts w:ascii="Times New Roman" w:hAnsi="Times New Roman"/>
        </w:rPr>
        <w:lastRenderedPageBreak/>
        <w:t>consequence that the disclaimer could not "intersect" with or negate the duty of care</w:t>
      </w:r>
      <w:r w:rsidR="009C710D" w:rsidRPr="00D35B04">
        <w:rPr>
          <w:rFonts w:ascii="Times New Roman" w:hAnsi="Times New Roman"/>
        </w:rPr>
        <w:t>,</w:t>
      </w:r>
      <w:r w:rsidR="00BC507C" w:rsidRPr="00D35B04">
        <w:rPr>
          <w:rFonts w:ascii="Times New Roman" w:hAnsi="Times New Roman"/>
        </w:rPr>
        <w:t xml:space="preserve"> is misconceived. </w:t>
      </w:r>
    </w:p>
    <w:p w14:paraId="39A00767" w14:textId="00155780" w:rsidR="007124DC" w:rsidRPr="00D35B04" w:rsidRDefault="00FE1635"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7655A3" w:rsidRPr="00D35B04">
        <w:rPr>
          <w:rFonts w:ascii="Times New Roman" w:hAnsi="Times New Roman"/>
        </w:rPr>
        <w:t>Although</w:t>
      </w:r>
      <w:r w:rsidR="007124DC" w:rsidRPr="00D35B04">
        <w:rPr>
          <w:rFonts w:ascii="Times New Roman" w:hAnsi="Times New Roman"/>
        </w:rPr>
        <w:t xml:space="preserve"> the </w:t>
      </w:r>
      <w:r w:rsidR="000D312E" w:rsidRPr="00D35B04">
        <w:rPr>
          <w:rFonts w:ascii="Times New Roman" w:hAnsi="Times New Roman"/>
        </w:rPr>
        <w:t>primary judge and the Court of Appeal</w:t>
      </w:r>
      <w:r w:rsidR="007124DC" w:rsidRPr="00D35B04">
        <w:rPr>
          <w:rFonts w:ascii="Times New Roman" w:hAnsi="Times New Roman"/>
        </w:rPr>
        <w:t xml:space="preserve"> refer</w:t>
      </w:r>
      <w:r w:rsidR="000D312E" w:rsidRPr="00D35B04">
        <w:rPr>
          <w:rFonts w:ascii="Times New Roman" w:hAnsi="Times New Roman"/>
        </w:rPr>
        <w:t>red</w:t>
      </w:r>
      <w:r w:rsidR="007124DC" w:rsidRPr="00D35B04">
        <w:rPr>
          <w:rFonts w:ascii="Times New Roman" w:hAnsi="Times New Roman"/>
        </w:rPr>
        <w:t xml:space="preserve"> to the disclaimer "negating" a duty of care,</w:t>
      </w:r>
      <w:r w:rsidR="007124DC" w:rsidRPr="00D35B04">
        <w:rPr>
          <w:rStyle w:val="FootnoteReference"/>
          <w:rFonts w:ascii="Times New Roman" w:hAnsi="Times New Roman"/>
          <w:sz w:val="24"/>
        </w:rPr>
        <w:footnoteReference w:id="66"/>
      </w:r>
      <w:r w:rsidR="007124DC" w:rsidRPr="00D35B04">
        <w:rPr>
          <w:rFonts w:ascii="Times New Roman" w:hAnsi="Times New Roman"/>
        </w:rPr>
        <w:t xml:space="preserve"> they should not be understood to </w:t>
      </w:r>
      <w:r w:rsidR="002938C7" w:rsidRPr="00D35B04">
        <w:rPr>
          <w:rFonts w:ascii="Times New Roman" w:hAnsi="Times New Roman"/>
        </w:rPr>
        <w:t xml:space="preserve">have </w:t>
      </w:r>
      <w:r w:rsidR="007124DC" w:rsidRPr="00D35B04">
        <w:rPr>
          <w:rFonts w:ascii="Times New Roman" w:hAnsi="Times New Roman"/>
        </w:rPr>
        <w:t>mean</w:t>
      </w:r>
      <w:r w:rsidR="002938C7" w:rsidRPr="00D35B04">
        <w:rPr>
          <w:rFonts w:ascii="Times New Roman" w:hAnsi="Times New Roman"/>
        </w:rPr>
        <w:t>t</w:t>
      </w:r>
      <w:r w:rsidR="007124DC" w:rsidRPr="00D35B04">
        <w:rPr>
          <w:rFonts w:ascii="Times New Roman" w:hAnsi="Times New Roman"/>
        </w:rPr>
        <w:t xml:space="preserve"> that a duty of care arose, was breached, and </w:t>
      </w:r>
      <w:r w:rsidR="0019569F" w:rsidRPr="00D35B04">
        <w:rPr>
          <w:rFonts w:ascii="Times New Roman" w:hAnsi="Times New Roman"/>
        </w:rPr>
        <w:t>was</w:t>
      </w:r>
      <w:r w:rsidR="007124DC" w:rsidRPr="00D35B04">
        <w:rPr>
          <w:rFonts w:ascii="Times New Roman" w:hAnsi="Times New Roman"/>
        </w:rPr>
        <w:t xml:space="preserve"> subsequently negatived by the opportunity that the growers had to read the packaging. The process of production included the producer placing the seed into the packaging on the basis that</w:t>
      </w:r>
      <w:r w:rsidR="00804B55" w:rsidRPr="00D35B04">
        <w:rPr>
          <w:rFonts w:ascii="Times New Roman" w:hAnsi="Times New Roman"/>
        </w:rPr>
        <w:t xml:space="preserve"> </w:t>
      </w:r>
      <w:r w:rsidR="007124DC" w:rsidRPr="00D35B04">
        <w:rPr>
          <w:rFonts w:ascii="Times New Roman" w:hAnsi="Times New Roman"/>
        </w:rPr>
        <w:t xml:space="preserve">the packaging would provide the future purchaser with clear information in </w:t>
      </w:r>
      <w:r w:rsidR="00F24F02" w:rsidRPr="00D35B04">
        <w:rPr>
          <w:rFonts w:ascii="Times New Roman" w:hAnsi="Times New Roman"/>
        </w:rPr>
        <w:t>"</w:t>
      </w:r>
      <w:r w:rsidR="007124DC" w:rsidRPr="00D35B04">
        <w:rPr>
          <w:rFonts w:ascii="Times New Roman" w:hAnsi="Times New Roman"/>
        </w:rPr>
        <w:t xml:space="preserve">plain words" about the nature of, and scope for impurities in, the seed product. The producer intended that, by the packaging, the future purchaser would be able to make an informed choice, in its own interests, to plant or not to plant the seed. In these circumstances, there is no temporal disjunct of the kind advanced for the growers. No duty of care could arise (and therefore there could be no breach of any such duty of care) because an integral part of the process of </w:t>
      </w:r>
      <w:r w:rsidR="005A4410" w:rsidRPr="00D35B04">
        <w:rPr>
          <w:rFonts w:ascii="Times New Roman" w:hAnsi="Times New Roman"/>
        </w:rPr>
        <w:t>producing</w:t>
      </w:r>
      <w:r w:rsidR="007124DC" w:rsidRPr="00D35B04">
        <w:rPr>
          <w:rFonts w:ascii="Times New Roman" w:hAnsi="Times New Roman"/>
        </w:rPr>
        <w:t xml:space="preserve"> seed of a particular type with a particular potential for impurities (including other seeds) included the warnings on the packaging about the very matter, the potential for impurities (including other seeds), that eventuated and caused the economic loss. Contrary to the submissions for the growers, this was not a case of the producer </w:t>
      </w:r>
      <w:r w:rsidR="00AC4186" w:rsidRPr="00D35B04">
        <w:rPr>
          <w:rFonts w:ascii="Times New Roman" w:hAnsi="Times New Roman"/>
        </w:rPr>
        <w:t xml:space="preserve">merely </w:t>
      </w:r>
      <w:r w:rsidR="007124DC" w:rsidRPr="00D35B04">
        <w:rPr>
          <w:rFonts w:ascii="Times New Roman" w:hAnsi="Times New Roman"/>
        </w:rPr>
        <w:t xml:space="preserve">attempting to disclaim its legal liability by agreement. The circumstances described are all critical aspects of the objective features of the relationship between the producer and the growers. </w:t>
      </w:r>
    </w:p>
    <w:p w14:paraId="738D29C0" w14:textId="00E71AE2" w:rsidR="0005190C" w:rsidRPr="00D35B04" w:rsidRDefault="006C702F"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E82897" w:rsidRPr="00D35B04">
        <w:rPr>
          <w:rFonts w:ascii="Times New Roman" w:hAnsi="Times New Roman"/>
        </w:rPr>
        <w:t xml:space="preserve">Otherwise, the </w:t>
      </w:r>
      <w:r w:rsidR="00E56FDF" w:rsidRPr="00D35B04">
        <w:rPr>
          <w:rFonts w:ascii="Times New Roman" w:hAnsi="Times New Roman"/>
        </w:rPr>
        <w:t xml:space="preserve">six </w:t>
      </w:r>
      <w:r w:rsidR="009B0DAE" w:rsidRPr="00D35B04">
        <w:rPr>
          <w:rFonts w:ascii="Times New Roman" w:hAnsi="Times New Roman"/>
        </w:rPr>
        <w:t xml:space="preserve">matters upon which the growers relied </w:t>
      </w:r>
      <w:r w:rsidR="0005190C" w:rsidRPr="00D35B04">
        <w:rPr>
          <w:rFonts w:ascii="Times New Roman" w:hAnsi="Times New Roman"/>
        </w:rPr>
        <w:t>d</w:t>
      </w:r>
      <w:r w:rsidR="00871213" w:rsidRPr="00D35B04">
        <w:rPr>
          <w:rFonts w:ascii="Times New Roman" w:hAnsi="Times New Roman"/>
        </w:rPr>
        <w:t>o</w:t>
      </w:r>
      <w:r w:rsidR="0005190C" w:rsidRPr="00D35B04">
        <w:rPr>
          <w:rFonts w:ascii="Times New Roman" w:hAnsi="Times New Roman"/>
        </w:rPr>
        <w:t xml:space="preserve"> not afford a principled basis upon which to recognise the alleged duty of care.</w:t>
      </w:r>
    </w:p>
    <w:p w14:paraId="048F3247" w14:textId="1952E81A" w:rsidR="00C71D49" w:rsidRPr="00D35B04" w:rsidRDefault="00F92455"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05190C" w:rsidRPr="00D35B04">
        <w:rPr>
          <w:rFonts w:ascii="Times New Roman" w:hAnsi="Times New Roman"/>
        </w:rPr>
        <w:t xml:space="preserve">First, </w:t>
      </w:r>
      <w:r w:rsidR="00023DE7" w:rsidRPr="00D35B04">
        <w:rPr>
          <w:rFonts w:ascii="Times New Roman" w:hAnsi="Times New Roman"/>
        </w:rPr>
        <w:t>that it was r</w:t>
      </w:r>
      <w:r w:rsidR="008B1662" w:rsidRPr="00D35B04">
        <w:rPr>
          <w:rFonts w:ascii="Times New Roman" w:hAnsi="Times New Roman"/>
        </w:rPr>
        <w:t>easonabl</w:t>
      </w:r>
      <w:r w:rsidR="00C71D49" w:rsidRPr="00D35B04">
        <w:rPr>
          <w:rFonts w:ascii="Times New Roman" w:hAnsi="Times New Roman"/>
        </w:rPr>
        <w:t>y</w:t>
      </w:r>
      <w:r w:rsidR="008B1662" w:rsidRPr="00D35B04">
        <w:rPr>
          <w:rFonts w:ascii="Times New Roman" w:hAnsi="Times New Roman"/>
        </w:rPr>
        <w:t xml:space="preserve"> </w:t>
      </w:r>
      <w:r w:rsidR="00023DE7" w:rsidRPr="00D35B04">
        <w:rPr>
          <w:rFonts w:ascii="Times New Roman" w:hAnsi="Times New Roman"/>
        </w:rPr>
        <w:t xml:space="preserve">foreseeable that the growers would suffer economic loss </w:t>
      </w:r>
      <w:r w:rsidR="008A79C2" w:rsidRPr="00D35B04">
        <w:rPr>
          <w:rFonts w:ascii="Times New Roman" w:hAnsi="Times New Roman"/>
        </w:rPr>
        <w:t>if reasonable care</w:t>
      </w:r>
      <w:r w:rsidR="00E3371B" w:rsidRPr="00D35B04">
        <w:rPr>
          <w:rFonts w:ascii="Times New Roman" w:hAnsi="Times New Roman"/>
        </w:rPr>
        <w:t xml:space="preserve"> </w:t>
      </w:r>
      <w:r w:rsidR="00BF0449" w:rsidRPr="00D35B04">
        <w:rPr>
          <w:rFonts w:ascii="Times New Roman" w:hAnsi="Times New Roman"/>
        </w:rPr>
        <w:t>w</w:t>
      </w:r>
      <w:r w:rsidR="00E3371B" w:rsidRPr="00D35B04">
        <w:rPr>
          <w:rFonts w:ascii="Times New Roman" w:hAnsi="Times New Roman"/>
        </w:rPr>
        <w:t>as not take</w:t>
      </w:r>
      <w:r w:rsidR="00BF0449" w:rsidRPr="00D35B04">
        <w:rPr>
          <w:rFonts w:ascii="Times New Roman" w:hAnsi="Times New Roman"/>
        </w:rPr>
        <w:t>n</w:t>
      </w:r>
      <w:r w:rsidR="008D2264" w:rsidRPr="00D35B04">
        <w:rPr>
          <w:rFonts w:ascii="Times New Roman" w:hAnsi="Times New Roman"/>
        </w:rPr>
        <w:t xml:space="preserve"> in the production process of the grain sorghum seed</w:t>
      </w:r>
      <w:r w:rsidR="00E3371B" w:rsidRPr="00D35B04">
        <w:rPr>
          <w:rFonts w:ascii="Times New Roman" w:hAnsi="Times New Roman"/>
        </w:rPr>
        <w:t xml:space="preserve"> </w:t>
      </w:r>
      <w:r w:rsidR="008B1662" w:rsidRPr="00D35B04">
        <w:rPr>
          <w:rFonts w:ascii="Times New Roman" w:hAnsi="Times New Roman"/>
        </w:rPr>
        <w:t>supported the existence of th</w:t>
      </w:r>
      <w:r w:rsidR="009962B5" w:rsidRPr="00D35B04">
        <w:rPr>
          <w:rFonts w:ascii="Times New Roman" w:hAnsi="Times New Roman"/>
        </w:rPr>
        <w:t>e duty of care</w:t>
      </w:r>
      <w:r w:rsidR="00836E34" w:rsidRPr="00D35B04">
        <w:rPr>
          <w:rFonts w:ascii="Times New Roman" w:hAnsi="Times New Roman"/>
        </w:rPr>
        <w:t>,</w:t>
      </w:r>
      <w:r w:rsidR="002A2739" w:rsidRPr="00D35B04">
        <w:rPr>
          <w:rFonts w:ascii="Times New Roman" w:hAnsi="Times New Roman"/>
        </w:rPr>
        <w:t xml:space="preserve"> </w:t>
      </w:r>
      <w:r w:rsidR="00836E34" w:rsidRPr="00D35B04">
        <w:rPr>
          <w:rFonts w:ascii="Times New Roman" w:hAnsi="Times New Roman"/>
        </w:rPr>
        <w:t>but</w:t>
      </w:r>
      <w:r w:rsidR="007C6D80" w:rsidRPr="00D35B04">
        <w:rPr>
          <w:rFonts w:ascii="Times New Roman" w:hAnsi="Times New Roman"/>
        </w:rPr>
        <w:t xml:space="preserve"> </w:t>
      </w:r>
      <w:r w:rsidR="00EE7A53" w:rsidRPr="00D35B04">
        <w:rPr>
          <w:rFonts w:ascii="Times New Roman" w:hAnsi="Times New Roman"/>
        </w:rPr>
        <w:t xml:space="preserve">only as a necessary </w:t>
      </w:r>
      <w:r w:rsidR="0092052C" w:rsidRPr="00D35B04">
        <w:rPr>
          <w:rFonts w:ascii="Times New Roman" w:hAnsi="Times New Roman"/>
        </w:rPr>
        <w:t xml:space="preserve">and </w:t>
      </w:r>
      <w:r w:rsidR="00EE7A53" w:rsidRPr="00D35B04">
        <w:rPr>
          <w:rFonts w:ascii="Times New Roman" w:hAnsi="Times New Roman"/>
        </w:rPr>
        <w:t>not</w:t>
      </w:r>
      <w:r w:rsidR="007C6D80" w:rsidRPr="00D35B04">
        <w:rPr>
          <w:rFonts w:ascii="Times New Roman" w:hAnsi="Times New Roman"/>
        </w:rPr>
        <w:t xml:space="preserve"> </w:t>
      </w:r>
      <w:r w:rsidR="0092052C" w:rsidRPr="00D35B04">
        <w:rPr>
          <w:rFonts w:ascii="Times New Roman" w:hAnsi="Times New Roman"/>
        </w:rPr>
        <w:t xml:space="preserve">as a </w:t>
      </w:r>
      <w:r w:rsidR="007C6D80" w:rsidRPr="00D35B04">
        <w:rPr>
          <w:rFonts w:ascii="Times New Roman" w:hAnsi="Times New Roman"/>
        </w:rPr>
        <w:t>sufficient condition.</w:t>
      </w:r>
      <w:r w:rsidR="007C6D80" w:rsidRPr="00D35B04">
        <w:rPr>
          <w:rStyle w:val="FootnoteReference"/>
          <w:rFonts w:ascii="Times New Roman" w:hAnsi="Times New Roman"/>
          <w:sz w:val="24"/>
        </w:rPr>
        <w:footnoteReference w:id="67"/>
      </w:r>
      <w:r w:rsidR="007C6D80" w:rsidRPr="00D35B04">
        <w:rPr>
          <w:rFonts w:ascii="Times New Roman" w:hAnsi="Times New Roman"/>
        </w:rPr>
        <w:t xml:space="preserve"> </w:t>
      </w:r>
    </w:p>
    <w:p w14:paraId="166B4E81" w14:textId="3664CA2F" w:rsidR="0099672C" w:rsidRPr="00D35B04" w:rsidRDefault="002E2496"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CD46B4" w:rsidRPr="00D35B04">
        <w:rPr>
          <w:rFonts w:ascii="Times New Roman" w:hAnsi="Times New Roman"/>
        </w:rPr>
        <w:t xml:space="preserve">Secondly, </w:t>
      </w:r>
      <w:r w:rsidR="0030062D" w:rsidRPr="00D35B04">
        <w:rPr>
          <w:rFonts w:ascii="Times New Roman" w:hAnsi="Times New Roman"/>
        </w:rPr>
        <w:t xml:space="preserve">as to the producer's knowledge, the critical fact is that </w:t>
      </w:r>
      <w:r w:rsidR="00EE24AF" w:rsidRPr="00D35B04">
        <w:rPr>
          <w:rFonts w:ascii="Times New Roman" w:hAnsi="Times New Roman"/>
        </w:rPr>
        <w:t xml:space="preserve">the producer did not know </w:t>
      </w:r>
      <w:r w:rsidR="00BB2A42" w:rsidRPr="00D35B04">
        <w:rPr>
          <w:rFonts w:ascii="Times New Roman" w:hAnsi="Times New Roman"/>
        </w:rPr>
        <w:t xml:space="preserve">that </w:t>
      </w:r>
      <w:r w:rsidR="0030062D" w:rsidRPr="00D35B04">
        <w:rPr>
          <w:rFonts w:ascii="Times New Roman" w:hAnsi="Times New Roman"/>
        </w:rPr>
        <w:t xml:space="preserve">the </w:t>
      </w:r>
      <w:r w:rsidR="00EC1FC4" w:rsidRPr="00D35B04">
        <w:rPr>
          <w:rFonts w:ascii="Times New Roman" w:hAnsi="Times New Roman"/>
        </w:rPr>
        <w:t xml:space="preserve">seed it placed into the market for sale was </w:t>
      </w:r>
      <w:r w:rsidR="00EC1FC4" w:rsidRPr="00D35B04">
        <w:rPr>
          <w:rFonts w:ascii="Times New Roman" w:hAnsi="Times New Roman"/>
        </w:rPr>
        <w:lastRenderedPageBreak/>
        <w:t xml:space="preserve">contaminated. </w:t>
      </w:r>
      <w:r w:rsidR="00C71D78" w:rsidRPr="00D35B04">
        <w:rPr>
          <w:rFonts w:ascii="Times New Roman" w:hAnsi="Times New Roman"/>
        </w:rPr>
        <w:t>The producer</w:t>
      </w:r>
      <w:r w:rsidR="002231F9" w:rsidRPr="00D35B04">
        <w:rPr>
          <w:rFonts w:ascii="Times New Roman" w:hAnsi="Times New Roman"/>
        </w:rPr>
        <w:t xml:space="preserve"> </w:t>
      </w:r>
      <w:r w:rsidR="0017698F" w:rsidRPr="00D35B04">
        <w:rPr>
          <w:rFonts w:ascii="Times New Roman" w:hAnsi="Times New Roman"/>
        </w:rPr>
        <w:t xml:space="preserve">knew that </w:t>
      </w:r>
      <w:r w:rsidR="00E82974" w:rsidRPr="00D35B04">
        <w:rPr>
          <w:rFonts w:ascii="Times New Roman" w:hAnsi="Times New Roman"/>
        </w:rPr>
        <w:t xml:space="preserve">if it did not take reasonable care in its production processes, there was a risk that </w:t>
      </w:r>
      <w:r w:rsidR="001734EF" w:rsidRPr="00D35B04">
        <w:rPr>
          <w:rFonts w:ascii="Times New Roman" w:hAnsi="Times New Roman"/>
        </w:rPr>
        <w:t>an ascertainable class of pe</w:t>
      </w:r>
      <w:r w:rsidR="00CB408A" w:rsidRPr="00D35B04">
        <w:rPr>
          <w:rFonts w:ascii="Times New Roman" w:hAnsi="Times New Roman"/>
        </w:rPr>
        <w:t>rsons</w:t>
      </w:r>
      <w:r w:rsidR="00FD54FB" w:rsidRPr="00D35B04">
        <w:rPr>
          <w:rFonts w:ascii="Times New Roman" w:hAnsi="Times New Roman"/>
        </w:rPr>
        <w:t xml:space="preserve">, being persons who would purchase and plant MR43 seed, </w:t>
      </w:r>
      <w:r w:rsidR="00746C24" w:rsidRPr="00D35B04">
        <w:rPr>
          <w:rFonts w:ascii="Times New Roman" w:hAnsi="Times New Roman"/>
        </w:rPr>
        <w:t>would</w:t>
      </w:r>
      <w:r w:rsidR="001734EF" w:rsidRPr="00D35B04">
        <w:rPr>
          <w:rFonts w:ascii="Times New Roman" w:hAnsi="Times New Roman"/>
        </w:rPr>
        <w:t xml:space="preserve"> suffer e</w:t>
      </w:r>
      <w:r w:rsidR="005E603B" w:rsidRPr="00D35B04">
        <w:rPr>
          <w:rFonts w:ascii="Times New Roman" w:hAnsi="Times New Roman"/>
        </w:rPr>
        <w:t>conomic loss</w:t>
      </w:r>
      <w:r w:rsidR="00746C24" w:rsidRPr="00D35B04">
        <w:rPr>
          <w:rFonts w:ascii="Times New Roman" w:hAnsi="Times New Roman"/>
        </w:rPr>
        <w:t xml:space="preserve"> if</w:t>
      </w:r>
      <w:r w:rsidR="005E603B" w:rsidRPr="00D35B04">
        <w:rPr>
          <w:rFonts w:ascii="Times New Roman" w:hAnsi="Times New Roman"/>
        </w:rPr>
        <w:t xml:space="preserve"> the seed contained</w:t>
      </w:r>
      <w:r w:rsidR="00081773" w:rsidRPr="00D35B04">
        <w:rPr>
          <w:rFonts w:ascii="Times New Roman" w:hAnsi="Times New Roman"/>
        </w:rPr>
        <w:t xml:space="preserve"> an off-type seed with a shattering characteristic</w:t>
      </w:r>
      <w:r w:rsidR="00F20689" w:rsidRPr="00D35B04">
        <w:rPr>
          <w:rFonts w:ascii="Times New Roman" w:hAnsi="Times New Roman"/>
        </w:rPr>
        <w:t xml:space="preserve">. </w:t>
      </w:r>
      <w:r w:rsidR="00853AC1" w:rsidRPr="00D35B04">
        <w:rPr>
          <w:rFonts w:ascii="Times New Roman" w:hAnsi="Times New Roman"/>
        </w:rPr>
        <w:t xml:space="preserve">However, </w:t>
      </w:r>
      <w:r w:rsidR="00D21424" w:rsidRPr="00D35B04">
        <w:rPr>
          <w:rFonts w:ascii="Times New Roman" w:hAnsi="Times New Roman"/>
        </w:rPr>
        <w:t>t</w:t>
      </w:r>
      <w:r w:rsidR="00F20689" w:rsidRPr="00D35B04">
        <w:rPr>
          <w:rFonts w:ascii="Times New Roman" w:hAnsi="Times New Roman"/>
        </w:rPr>
        <w:t xml:space="preserve">hat </w:t>
      </w:r>
      <w:r w:rsidR="00EE7A53" w:rsidRPr="00D35B04">
        <w:rPr>
          <w:rFonts w:ascii="Times New Roman" w:hAnsi="Times New Roman"/>
        </w:rPr>
        <w:t>was</w:t>
      </w:r>
      <w:r w:rsidR="00DA43A5" w:rsidRPr="00D35B04">
        <w:rPr>
          <w:rFonts w:ascii="Times New Roman" w:hAnsi="Times New Roman"/>
        </w:rPr>
        <w:t xml:space="preserve"> </w:t>
      </w:r>
      <w:r w:rsidR="00F20689" w:rsidRPr="00D35B04">
        <w:rPr>
          <w:rFonts w:ascii="Times New Roman" w:hAnsi="Times New Roman"/>
        </w:rPr>
        <w:t xml:space="preserve">not </w:t>
      </w:r>
      <w:r w:rsidR="00280F40" w:rsidRPr="00D35B04">
        <w:rPr>
          <w:rFonts w:ascii="Times New Roman" w:hAnsi="Times New Roman"/>
        </w:rPr>
        <w:t xml:space="preserve">knowledge of the risk of </w:t>
      </w:r>
      <w:r w:rsidR="002548DE" w:rsidRPr="00D35B04">
        <w:rPr>
          <w:rFonts w:ascii="Times New Roman" w:hAnsi="Times New Roman"/>
        </w:rPr>
        <w:t>economic loss</w:t>
      </w:r>
      <w:r w:rsidR="00280F40" w:rsidRPr="00D35B04">
        <w:rPr>
          <w:rFonts w:ascii="Times New Roman" w:hAnsi="Times New Roman"/>
        </w:rPr>
        <w:t xml:space="preserve"> to the </w:t>
      </w:r>
      <w:r w:rsidR="00F20689" w:rsidRPr="00D35B04">
        <w:rPr>
          <w:rFonts w:ascii="Times New Roman" w:hAnsi="Times New Roman"/>
        </w:rPr>
        <w:t>appellant</w:t>
      </w:r>
      <w:r w:rsidR="00BD06EC" w:rsidRPr="00D35B04">
        <w:rPr>
          <w:rFonts w:ascii="Times New Roman" w:hAnsi="Times New Roman"/>
        </w:rPr>
        <w:t xml:space="preserve"> </w:t>
      </w:r>
      <w:r w:rsidR="00280F40" w:rsidRPr="00D35B04">
        <w:rPr>
          <w:rFonts w:ascii="Times New Roman" w:hAnsi="Times New Roman"/>
        </w:rPr>
        <w:t>growers</w:t>
      </w:r>
      <w:r w:rsidR="005C5335" w:rsidRPr="00D35B04">
        <w:rPr>
          <w:rFonts w:ascii="Times New Roman" w:hAnsi="Times New Roman"/>
        </w:rPr>
        <w:t xml:space="preserve"> specifically</w:t>
      </w:r>
      <w:r w:rsidR="00F20689" w:rsidRPr="00D35B04">
        <w:rPr>
          <w:rFonts w:ascii="Times New Roman" w:hAnsi="Times New Roman"/>
        </w:rPr>
        <w:t xml:space="preserve">, because the producer did not know that those growers would </w:t>
      </w:r>
      <w:r w:rsidR="00FD5D83" w:rsidRPr="00D35B04">
        <w:rPr>
          <w:rFonts w:ascii="Times New Roman" w:hAnsi="Times New Roman"/>
        </w:rPr>
        <w:t xml:space="preserve">purchase and plant the contaminated seed. </w:t>
      </w:r>
      <w:r w:rsidR="002C0FF2" w:rsidRPr="00D35B04">
        <w:rPr>
          <w:rFonts w:ascii="Times New Roman" w:hAnsi="Times New Roman"/>
        </w:rPr>
        <w:t xml:space="preserve">Furthermore, the </w:t>
      </w:r>
      <w:r w:rsidR="00510766" w:rsidRPr="00D35B04">
        <w:rPr>
          <w:rFonts w:ascii="Times New Roman" w:hAnsi="Times New Roman"/>
        </w:rPr>
        <w:t xml:space="preserve">producer did not have knowledge that </w:t>
      </w:r>
      <w:r w:rsidR="00A31BEA" w:rsidRPr="00D35B04">
        <w:rPr>
          <w:rFonts w:ascii="Times New Roman" w:hAnsi="Times New Roman"/>
        </w:rPr>
        <w:t xml:space="preserve">want of care in the production of the contaminated seed </w:t>
      </w:r>
      <w:r w:rsidR="003B4BF5" w:rsidRPr="00D35B04">
        <w:rPr>
          <w:rFonts w:ascii="Times New Roman" w:hAnsi="Times New Roman"/>
        </w:rPr>
        <w:t xml:space="preserve">would or could cause </w:t>
      </w:r>
      <w:r w:rsidR="00903B4E" w:rsidRPr="00D35B04">
        <w:rPr>
          <w:rFonts w:ascii="Times New Roman" w:hAnsi="Times New Roman"/>
        </w:rPr>
        <w:t>economic loss</w:t>
      </w:r>
      <w:r w:rsidR="00A31BEA" w:rsidRPr="00D35B04">
        <w:rPr>
          <w:rFonts w:ascii="Times New Roman" w:hAnsi="Times New Roman"/>
        </w:rPr>
        <w:t xml:space="preserve"> of the magnitude</w:t>
      </w:r>
      <w:r w:rsidR="00903B4E" w:rsidRPr="00D35B04">
        <w:rPr>
          <w:rFonts w:ascii="Times New Roman" w:hAnsi="Times New Roman"/>
        </w:rPr>
        <w:t xml:space="preserve"> that was suffered by the growers</w:t>
      </w:r>
      <w:r w:rsidR="00C51207" w:rsidRPr="00D35B04">
        <w:rPr>
          <w:rFonts w:ascii="Times New Roman" w:hAnsi="Times New Roman"/>
        </w:rPr>
        <w:t>.</w:t>
      </w:r>
      <w:r w:rsidR="00A72908" w:rsidRPr="00D35B04">
        <w:rPr>
          <w:rFonts w:ascii="Times New Roman" w:hAnsi="Times New Roman"/>
          <w:b/>
          <w:bCs/>
        </w:rPr>
        <w:t xml:space="preserve"> </w:t>
      </w:r>
      <w:r w:rsidR="0026751F" w:rsidRPr="00D35B04">
        <w:rPr>
          <w:rFonts w:ascii="Times New Roman" w:hAnsi="Times New Roman"/>
        </w:rPr>
        <w:t xml:space="preserve">The producer's admissions of knowledge were carefully confined in their terms. </w:t>
      </w:r>
      <w:r w:rsidR="0011242B" w:rsidRPr="00D35B04">
        <w:rPr>
          <w:rFonts w:ascii="Times New Roman" w:hAnsi="Times New Roman"/>
        </w:rPr>
        <w:t>The producer</w:t>
      </w:r>
      <w:r w:rsidR="00F4113C" w:rsidRPr="00D35B04">
        <w:rPr>
          <w:rFonts w:ascii="Times New Roman" w:hAnsi="Times New Roman"/>
        </w:rPr>
        <w:t xml:space="preserve"> </w:t>
      </w:r>
      <w:r w:rsidR="0011242B" w:rsidRPr="00D35B04">
        <w:rPr>
          <w:rFonts w:ascii="Times New Roman" w:hAnsi="Times New Roman"/>
        </w:rPr>
        <w:t xml:space="preserve">did not admit that </w:t>
      </w:r>
      <w:r w:rsidR="00F4113C" w:rsidRPr="00D35B04">
        <w:rPr>
          <w:rFonts w:ascii="Times New Roman" w:hAnsi="Times New Roman"/>
        </w:rPr>
        <w:t>it</w:t>
      </w:r>
      <w:r w:rsidR="0011242B" w:rsidRPr="00D35B04">
        <w:rPr>
          <w:rFonts w:ascii="Times New Roman" w:hAnsi="Times New Roman"/>
        </w:rPr>
        <w:t xml:space="preserve"> knew there was a material risk that the relevant seed was contaminated by a sorghum off-type with a shattering characteristic, let alone that it was so contaminated. The producer did not admit that it knew that a sorghum off-type with a shattering characteristic (as opposed to a sorghum off-type</w:t>
      </w:r>
      <w:r w:rsidR="00FB7618" w:rsidRPr="00D35B04">
        <w:rPr>
          <w:rFonts w:ascii="Times New Roman" w:hAnsi="Times New Roman"/>
        </w:rPr>
        <w:t xml:space="preserve"> more generally</w:t>
      </w:r>
      <w:r w:rsidR="0011242B" w:rsidRPr="00D35B04">
        <w:rPr>
          <w:rFonts w:ascii="Times New Roman" w:hAnsi="Times New Roman"/>
        </w:rPr>
        <w:t xml:space="preserve">) had contaminated previous commercial consignments of its seed products. </w:t>
      </w:r>
      <w:r w:rsidR="00FB7618" w:rsidRPr="00D35B04">
        <w:rPr>
          <w:rFonts w:ascii="Times New Roman" w:hAnsi="Times New Roman"/>
        </w:rPr>
        <w:t>T</w:t>
      </w:r>
      <w:r w:rsidR="00A72908" w:rsidRPr="00D35B04">
        <w:rPr>
          <w:rFonts w:ascii="Times New Roman" w:hAnsi="Times New Roman"/>
        </w:rPr>
        <w:t>he most that can be said is that</w:t>
      </w:r>
      <w:r w:rsidR="003E71D3" w:rsidRPr="00D35B04">
        <w:rPr>
          <w:rFonts w:ascii="Times New Roman" w:hAnsi="Times New Roman"/>
        </w:rPr>
        <w:t>, when the contaminated seed was produced,</w:t>
      </w:r>
      <w:r w:rsidR="00A72908" w:rsidRPr="00D35B04">
        <w:rPr>
          <w:rFonts w:ascii="Times New Roman" w:hAnsi="Times New Roman"/>
        </w:rPr>
        <w:t xml:space="preserve"> the producer knew</w:t>
      </w:r>
      <w:r w:rsidR="008731DE" w:rsidRPr="00D35B04">
        <w:rPr>
          <w:rFonts w:ascii="Times New Roman" w:hAnsi="Times New Roman"/>
        </w:rPr>
        <w:t xml:space="preserve"> that</w:t>
      </w:r>
      <w:r w:rsidR="003E71D3" w:rsidRPr="00D35B04">
        <w:rPr>
          <w:rFonts w:ascii="Times New Roman" w:hAnsi="Times New Roman"/>
        </w:rPr>
        <w:t xml:space="preserve"> future purchasers</w:t>
      </w:r>
      <w:r w:rsidR="006D4C0A" w:rsidRPr="00D35B04">
        <w:rPr>
          <w:rFonts w:ascii="Times New Roman" w:hAnsi="Times New Roman"/>
        </w:rPr>
        <w:t xml:space="preserve"> would</w:t>
      </w:r>
      <w:r w:rsidR="008541D5" w:rsidRPr="00D35B04">
        <w:rPr>
          <w:rFonts w:ascii="Times New Roman" w:hAnsi="Times New Roman"/>
        </w:rPr>
        <w:t xml:space="preserve"> have more difficulty </w:t>
      </w:r>
      <w:r w:rsidR="009817CC" w:rsidRPr="00D35B04">
        <w:rPr>
          <w:rFonts w:ascii="Times New Roman" w:hAnsi="Times New Roman"/>
        </w:rPr>
        <w:t xml:space="preserve">controlling or eradicating </w:t>
      </w:r>
      <w:r w:rsidR="00792969" w:rsidRPr="00D35B04">
        <w:rPr>
          <w:rFonts w:ascii="Times New Roman" w:hAnsi="Times New Roman"/>
        </w:rPr>
        <w:t xml:space="preserve">a sorghum off-type with a shattering characteristic </w:t>
      </w:r>
      <w:r w:rsidR="009817CC" w:rsidRPr="00D35B04">
        <w:rPr>
          <w:rFonts w:ascii="Times New Roman" w:hAnsi="Times New Roman"/>
        </w:rPr>
        <w:t>if it</w:t>
      </w:r>
      <w:r w:rsidR="00D41CDB" w:rsidRPr="00D35B04">
        <w:rPr>
          <w:rFonts w:ascii="Times New Roman" w:hAnsi="Times New Roman"/>
        </w:rPr>
        <w:t xml:space="preserve"> </w:t>
      </w:r>
      <w:r w:rsidR="00792969" w:rsidRPr="00D35B04">
        <w:rPr>
          <w:rFonts w:ascii="Times New Roman" w:hAnsi="Times New Roman"/>
        </w:rPr>
        <w:t xml:space="preserve">was present </w:t>
      </w:r>
      <w:r w:rsidR="00D41CDB" w:rsidRPr="00D35B04">
        <w:rPr>
          <w:rFonts w:ascii="Times New Roman" w:hAnsi="Times New Roman"/>
        </w:rPr>
        <w:t>amongst the seed, and</w:t>
      </w:r>
      <w:r w:rsidR="003233E5" w:rsidRPr="00D35B04">
        <w:rPr>
          <w:rFonts w:ascii="Times New Roman" w:hAnsi="Times New Roman"/>
        </w:rPr>
        <w:t xml:space="preserve"> that</w:t>
      </w:r>
      <w:r w:rsidR="00D41CDB" w:rsidRPr="00D35B04">
        <w:rPr>
          <w:rFonts w:ascii="Times New Roman" w:hAnsi="Times New Roman"/>
        </w:rPr>
        <w:t xml:space="preserve"> if it was planted and</w:t>
      </w:r>
      <w:r w:rsidR="00C27196" w:rsidRPr="00D35B04">
        <w:rPr>
          <w:rFonts w:ascii="Times New Roman" w:hAnsi="Times New Roman"/>
        </w:rPr>
        <w:t xml:space="preserve"> </w:t>
      </w:r>
      <w:r w:rsidR="00846B9B" w:rsidRPr="00D35B04">
        <w:rPr>
          <w:rFonts w:ascii="Times New Roman" w:hAnsi="Times New Roman"/>
        </w:rPr>
        <w:t xml:space="preserve">it </w:t>
      </w:r>
      <w:r w:rsidR="009817CC" w:rsidRPr="00D35B04">
        <w:rPr>
          <w:rFonts w:ascii="Times New Roman" w:hAnsi="Times New Roman"/>
        </w:rPr>
        <w:t>germinated, matured and dropped seed</w:t>
      </w:r>
      <w:r w:rsidR="005D5095" w:rsidRPr="00D35B04">
        <w:rPr>
          <w:rFonts w:ascii="Times New Roman" w:hAnsi="Times New Roman"/>
        </w:rPr>
        <w:t>,</w:t>
      </w:r>
      <w:r w:rsidR="00947412" w:rsidRPr="00D35B04">
        <w:rPr>
          <w:rFonts w:ascii="Times New Roman" w:hAnsi="Times New Roman"/>
        </w:rPr>
        <w:t xml:space="preserve"> such </w:t>
      </w:r>
      <w:r w:rsidR="00187702" w:rsidRPr="00D35B04">
        <w:rPr>
          <w:rFonts w:ascii="Times New Roman" w:hAnsi="Times New Roman"/>
        </w:rPr>
        <w:t>purchaser</w:t>
      </w:r>
      <w:r w:rsidR="00947412" w:rsidRPr="00D35B04">
        <w:rPr>
          <w:rFonts w:ascii="Times New Roman" w:hAnsi="Times New Roman"/>
        </w:rPr>
        <w:t xml:space="preserve">s would </w:t>
      </w:r>
      <w:r w:rsidR="00263030" w:rsidRPr="00D35B04">
        <w:rPr>
          <w:rFonts w:ascii="Times New Roman" w:hAnsi="Times New Roman"/>
        </w:rPr>
        <w:t>probably have more difficulty controlling a sorghum off-type with a shattering characteristic in a sorghum crop than an off-type without that characteristic</w:t>
      </w:r>
      <w:r w:rsidR="00F1767B" w:rsidRPr="00D35B04">
        <w:rPr>
          <w:rFonts w:ascii="Times New Roman" w:hAnsi="Times New Roman"/>
        </w:rPr>
        <w:t>.</w:t>
      </w:r>
      <w:r w:rsidR="00314EAA" w:rsidRPr="00D35B04">
        <w:rPr>
          <w:rFonts w:ascii="Times New Roman" w:hAnsi="Times New Roman"/>
        </w:rPr>
        <w:t xml:space="preserve"> </w:t>
      </w:r>
      <w:r w:rsidR="009F02C3" w:rsidRPr="00D35B04">
        <w:rPr>
          <w:rFonts w:ascii="Times New Roman" w:hAnsi="Times New Roman"/>
        </w:rPr>
        <w:t xml:space="preserve">That kind of knowledge is far distant from </w:t>
      </w:r>
      <w:r w:rsidR="000575E8" w:rsidRPr="00D35B04">
        <w:rPr>
          <w:rFonts w:ascii="Times New Roman" w:hAnsi="Times New Roman"/>
        </w:rPr>
        <w:t xml:space="preserve">the kind that has been identified </w:t>
      </w:r>
      <w:r w:rsidR="009F02C3" w:rsidRPr="00D35B04">
        <w:rPr>
          <w:rFonts w:ascii="Times New Roman" w:hAnsi="Times New Roman"/>
        </w:rPr>
        <w:t xml:space="preserve">in other cases </w:t>
      </w:r>
      <w:r w:rsidR="000575E8" w:rsidRPr="00D35B04">
        <w:rPr>
          <w:rFonts w:ascii="Times New Roman" w:hAnsi="Times New Roman"/>
        </w:rPr>
        <w:t xml:space="preserve">as </w:t>
      </w:r>
      <w:r w:rsidR="009F02C3" w:rsidRPr="00D35B04">
        <w:rPr>
          <w:rFonts w:ascii="Times New Roman" w:hAnsi="Times New Roman"/>
        </w:rPr>
        <w:t>supporting</w:t>
      </w:r>
      <w:r w:rsidR="000575E8" w:rsidRPr="00D35B04">
        <w:rPr>
          <w:rFonts w:ascii="Times New Roman" w:hAnsi="Times New Roman"/>
        </w:rPr>
        <w:t xml:space="preserve"> the case </w:t>
      </w:r>
      <w:r w:rsidR="002B5A26" w:rsidRPr="00D35B04">
        <w:rPr>
          <w:rFonts w:ascii="Times New Roman" w:hAnsi="Times New Roman"/>
        </w:rPr>
        <w:t xml:space="preserve">for </w:t>
      </w:r>
      <w:r w:rsidR="00F12821" w:rsidRPr="00D35B04">
        <w:rPr>
          <w:rFonts w:ascii="Times New Roman" w:hAnsi="Times New Roman"/>
        </w:rPr>
        <w:t xml:space="preserve">finding </w:t>
      </w:r>
      <w:r w:rsidR="000575E8" w:rsidRPr="00D35B04">
        <w:rPr>
          <w:rFonts w:ascii="Times New Roman" w:hAnsi="Times New Roman"/>
        </w:rPr>
        <w:t>a duty of care</w:t>
      </w:r>
      <w:r w:rsidR="00291249" w:rsidRPr="00D35B04">
        <w:rPr>
          <w:rFonts w:ascii="Times New Roman" w:hAnsi="Times New Roman"/>
        </w:rPr>
        <w:t xml:space="preserve"> to avoid economic loss</w:t>
      </w:r>
      <w:r w:rsidR="000575E8" w:rsidRPr="00D35B04">
        <w:rPr>
          <w:rFonts w:ascii="Times New Roman" w:hAnsi="Times New Roman"/>
        </w:rPr>
        <w:t>.</w:t>
      </w:r>
      <w:r w:rsidR="00706B0C" w:rsidRPr="00D35B04">
        <w:rPr>
          <w:rFonts w:ascii="Times New Roman" w:hAnsi="Times New Roman"/>
        </w:rPr>
        <w:t xml:space="preserve"> </w:t>
      </w:r>
    </w:p>
    <w:p w14:paraId="0849EAF7" w14:textId="04ECD25D" w:rsidR="002E0404" w:rsidRPr="00D35B04" w:rsidRDefault="002E27BB"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2E0404" w:rsidRPr="00D35B04">
        <w:rPr>
          <w:rFonts w:ascii="Times New Roman" w:hAnsi="Times New Roman"/>
        </w:rPr>
        <w:t xml:space="preserve">Thirdly, the producer's capacity to control </w:t>
      </w:r>
      <w:r w:rsidR="003817AA" w:rsidRPr="00D35B04">
        <w:rPr>
          <w:rFonts w:ascii="Times New Roman" w:hAnsi="Times New Roman"/>
        </w:rPr>
        <w:t>the risks of seed contamination by careful production was not absolute</w:t>
      </w:r>
      <w:r w:rsidR="00F67D91" w:rsidRPr="00D35B04">
        <w:rPr>
          <w:rFonts w:ascii="Times New Roman" w:hAnsi="Times New Roman"/>
        </w:rPr>
        <w:t>,</w:t>
      </w:r>
      <w:r w:rsidR="00790D5F" w:rsidRPr="00D35B04">
        <w:rPr>
          <w:rFonts w:ascii="Times New Roman" w:hAnsi="Times New Roman"/>
        </w:rPr>
        <w:t xml:space="preserve"> as communicated by the packaging of the seed.</w:t>
      </w:r>
      <w:r w:rsidR="003817AA" w:rsidRPr="00D35B04">
        <w:rPr>
          <w:rFonts w:ascii="Times New Roman" w:hAnsi="Times New Roman"/>
        </w:rPr>
        <w:t xml:space="preserve"> Relatedly, </w:t>
      </w:r>
      <w:r w:rsidR="00790D5F" w:rsidRPr="00D35B04">
        <w:rPr>
          <w:rFonts w:ascii="Times New Roman" w:hAnsi="Times New Roman"/>
        </w:rPr>
        <w:t>there was no finding of conduct or words on the part of the producer that might have conveyed that the contaminated seed was uncontaminated, or different from its description on the</w:t>
      </w:r>
      <w:r w:rsidR="00DA3C69" w:rsidRPr="00D35B04">
        <w:rPr>
          <w:rFonts w:ascii="Times New Roman" w:hAnsi="Times New Roman"/>
        </w:rPr>
        <w:t xml:space="preserve"> </w:t>
      </w:r>
      <w:r w:rsidR="0066420D" w:rsidRPr="00D35B04">
        <w:rPr>
          <w:rFonts w:ascii="Times New Roman" w:hAnsi="Times New Roman"/>
        </w:rPr>
        <w:t>labelled bags</w:t>
      </w:r>
      <w:r w:rsidR="00790D5F" w:rsidRPr="00D35B04">
        <w:rPr>
          <w:rFonts w:ascii="Times New Roman" w:hAnsi="Times New Roman"/>
        </w:rPr>
        <w:t xml:space="preserve">. </w:t>
      </w:r>
    </w:p>
    <w:p w14:paraId="0D54E58D" w14:textId="6E12F911" w:rsidR="00C5465E" w:rsidRPr="00D35B04" w:rsidRDefault="004B51B8"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A62406" w:rsidRPr="00D35B04">
        <w:rPr>
          <w:rFonts w:ascii="Times New Roman" w:hAnsi="Times New Roman"/>
        </w:rPr>
        <w:t>Fourthly, t</w:t>
      </w:r>
      <w:r w:rsidR="004427E3" w:rsidRPr="00D35B04">
        <w:rPr>
          <w:rFonts w:ascii="Times New Roman" w:hAnsi="Times New Roman"/>
        </w:rPr>
        <w:t>he growers</w:t>
      </w:r>
      <w:r w:rsidR="00A62406" w:rsidRPr="00D35B04">
        <w:rPr>
          <w:rFonts w:ascii="Times New Roman" w:hAnsi="Times New Roman"/>
        </w:rPr>
        <w:t>' contention</w:t>
      </w:r>
      <w:r w:rsidR="00862D30" w:rsidRPr="00D35B04">
        <w:rPr>
          <w:rFonts w:ascii="Times New Roman" w:hAnsi="Times New Roman"/>
        </w:rPr>
        <w:t xml:space="preserve"> that they were unable</w:t>
      </w:r>
      <w:r w:rsidR="004427E3" w:rsidRPr="00D35B04">
        <w:rPr>
          <w:rFonts w:ascii="Times New Roman" w:hAnsi="Times New Roman"/>
        </w:rPr>
        <w:t xml:space="preserve"> to protect themselves from the risk of </w:t>
      </w:r>
      <w:proofErr w:type="spellStart"/>
      <w:r w:rsidR="0050639A" w:rsidRPr="00D35B04">
        <w:rPr>
          <w:rFonts w:ascii="Times New Roman" w:hAnsi="Times New Roman"/>
        </w:rPr>
        <w:t>shattercane</w:t>
      </w:r>
      <w:proofErr w:type="spellEnd"/>
      <w:r w:rsidR="0050639A" w:rsidRPr="00D35B04">
        <w:rPr>
          <w:rFonts w:ascii="Times New Roman" w:hAnsi="Times New Roman"/>
        </w:rPr>
        <w:t xml:space="preserve"> in their crops</w:t>
      </w:r>
      <w:r w:rsidR="004164BC" w:rsidRPr="00D35B04">
        <w:rPr>
          <w:rFonts w:ascii="Times New Roman" w:hAnsi="Times New Roman"/>
        </w:rPr>
        <w:t xml:space="preserve"> and the economic loss that would result if that risk materialised</w:t>
      </w:r>
      <w:r w:rsidR="00DA3C69" w:rsidRPr="00D35B04">
        <w:rPr>
          <w:rFonts w:ascii="Times New Roman" w:hAnsi="Times New Roman"/>
        </w:rPr>
        <w:t xml:space="preserve"> </w:t>
      </w:r>
      <w:r w:rsidR="00C55F32" w:rsidRPr="00D35B04">
        <w:rPr>
          <w:rFonts w:ascii="Times New Roman" w:hAnsi="Times New Roman"/>
        </w:rPr>
        <w:t>fails</w:t>
      </w:r>
      <w:r w:rsidR="0050639A" w:rsidRPr="00D35B04">
        <w:rPr>
          <w:rFonts w:ascii="Times New Roman" w:hAnsi="Times New Roman"/>
        </w:rPr>
        <w:t xml:space="preserve">. </w:t>
      </w:r>
      <w:r w:rsidR="00DE46CE" w:rsidRPr="00D35B04">
        <w:rPr>
          <w:rFonts w:ascii="Times New Roman" w:hAnsi="Times New Roman"/>
        </w:rPr>
        <w:t xml:space="preserve">In truth, the growers were </w:t>
      </w:r>
      <w:r w:rsidR="000C727E" w:rsidRPr="00D35B04">
        <w:rPr>
          <w:rFonts w:ascii="Times New Roman" w:hAnsi="Times New Roman"/>
        </w:rPr>
        <w:t>able</w:t>
      </w:r>
      <w:r w:rsidR="00DE46CE" w:rsidRPr="00D35B04">
        <w:rPr>
          <w:rFonts w:ascii="Times New Roman" w:hAnsi="Times New Roman"/>
        </w:rPr>
        <w:t xml:space="preserve"> to protect themselves. </w:t>
      </w:r>
      <w:r w:rsidR="000F16B8" w:rsidRPr="00D35B04">
        <w:rPr>
          <w:rFonts w:ascii="Times New Roman" w:hAnsi="Times New Roman"/>
        </w:rPr>
        <w:t>The packaging enable</w:t>
      </w:r>
      <w:r w:rsidR="00BE7FE3" w:rsidRPr="00D35B04">
        <w:rPr>
          <w:rFonts w:ascii="Times New Roman" w:hAnsi="Times New Roman"/>
        </w:rPr>
        <w:t>d</w:t>
      </w:r>
      <w:r w:rsidR="000F16B8" w:rsidRPr="00D35B04">
        <w:rPr>
          <w:rFonts w:ascii="Times New Roman" w:hAnsi="Times New Roman"/>
        </w:rPr>
        <w:t xml:space="preserve"> potential future purchasers, including the growers, to inform themselves </w:t>
      </w:r>
      <w:r w:rsidR="007E66BB" w:rsidRPr="00D35B04">
        <w:rPr>
          <w:rFonts w:ascii="Times New Roman" w:hAnsi="Times New Roman"/>
        </w:rPr>
        <w:t xml:space="preserve">that the seed </w:t>
      </w:r>
      <w:r w:rsidR="00D85A6F" w:rsidRPr="00D35B04">
        <w:rPr>
          <w:rFonts w:ascii="Times New Roman" w:hAnsi="Times New Roman"/>
        </w:rPr>
        <w:t>might</w:t>
      </w:r>
      <w:r w:rsidR="007E66BB" w:rsidRPr="00D35B04">
        <w:rPr>
          <w:rFonts w:ascii="Times New Roman" w:hAnsi="Times New Roman"/>
        </w:rPr>
        <w:t xml:space="preserve"> not be free from contamination</w:t>
      </w:r>
      <w:r w:rsidR="00B8697F" w:rsidRPr="00D35B04">
        <w:rPr>
          <w:rFonts w:ascii="Times New Roman" w:hAnsi="Times New Roman"/>
        </w:rPr>
        <w:t xml:space="preserve"> and to decide </w:t>
      </w:r>
      <w:proofErr w:type="gramStart"/>
      <w:r w:rsidR="00B8697F" w:rsidRPr="00D35B04">
        <w:rPr>
          <w:rFonts w:ascii="Times New Roman" w:hAnsi="Times New Roman"/>
        </w:rPr>
        <w:t>whether or not</w:t>
      </w:r>
      <w:proofErr w:type="gramEnd"/>
      <w:r w:rsidR="00B8697F" w:rsidRPr="00D35B04">
        <w:rPr>
          <w:rFonts w:ascii="Times New Roman" w:hAnsi="Times New Roman"/>
        </w:rPr>
        <w:t xml:space="preserve"> to plant the seed on that basis. </w:t>
      </w:r>
      <w:r w:rsidR="0025391C" w:rsidRPr="00D35B04">
        <w:rPr>
          <w:rFonts w:ascii="Times New Roman" w:hAnsi="Times New Roman"/>
        </w:rPr>
        <w:t>On receipt of the seed in the packaging, t</w:t>
      </w:r>
      <w:r w:rsidR="002B4EAD" w:rsidRPr="00D35B04">
        <w:rPr>
          <w:rFonts w:ascii="Times New Roman" w:hAnsi="Times New Roman"/>
        </w:rPr>
        <w:t>he growers</w:t>
      </w:r>
      <w:r w:rsidR="00A81403" w:rsidRPr="00D35B04">
        <w:rPr>
          <w:rFonts w:ascii="Times New Roman" w:hAnsi="Times New Roman"/>
        </w:rPr>
        <w:t xml:space="preserve"> </w:t>
      </w:r>
      <w:r w:rsidR="0025391C" w:rsidRPr="00D35B04">
        <w:rPr>
          <w:rFonts w:ascii="Times New Roman" w:hAnsi="Times New Roman"/>
        </w:rPr>
        <w:t xml:space="preserve">were able to make an informed </w:t>
      </w:r>
      <w:r w:rsidR="00EF15BA" w:rsidRPr="00D35B04">
        <w:rPr>
          <w:rFonts w:ascii="Times New Roman" w:hAnsi="Times New Roman"/>
        </w:rPr>
        <w:t xml:space="preserve">choice to </w:t>
      </w:r>
      <w:r w:rsidR="0025391C" w:rsidRPr="00D35B04">
        <w:rPr>
          <w:rFonts w:ascii="Times New Roman" w:hAnsi="Times New Roman"/>
        </w:rPr>
        <w:t xml:space="preserve">plant or not to plant </w:t>
      </w:r>
      <w:r w:rsidR="00EF15BA" w:rsidRPr="00D35B04">
        <w:rPr>
          <w:rFonts w:ascii="Times New Roman" w:hAnsi="Times New Roman"/>
        </w:rPr>
        <w:t>seed that</w:t>
      </w:r>
      <w:r w:rsidR="00BF6636" w:rsidRPr="00D35B04">
        <w:rPr>
          <w:rFonts w:ascii="Times New Roman" w:hAnsi="Times New Roman"/>
        </w:rPr>
        <w:t xml:space="preserve"> might not</w:t>
      </w:r>
      <w:r w:rsidR="00EF15BA" w:rsidRPr="00D35B04">
        <w:rPr>
          <w:rFonts w:ascii="Times New Roman" w:hAnsi="Times New Roman"/>
        </w:rPr>
        <w:t xml:space="preserve"> be free from contamination. </w:t>
      </w:r>
    </w:p>
    <w:p w14:paraId="126661F3" w14:textId="17B1E165" w:rsidR="00521BB4" w:rsidRPr="00D35B04" w:rsidRDefault="00A75D3A" w:rsidP="00D35B04">
      <w:pPr>
        <w:pStyle w:val="FixListStyle"/>
        <w:spacing w:after="260" w:line="280" w:lineRule="exact"/>
        <w:ind w:right="0"/>
        <w:jc w:val="both"/>
        <w:rPr>
          <w:rFonts w:ascii="Times New Roman" w:hAnsi="Times New Roman"/>
        </w:rPr>
      </w:pPr>
      <w:r w:rsidRPr="00D35B04">
        <w:rPr>
          <w:rFonts w:ascii="Times New Roman" w:hAnsi="Times New Roman"/>
        </w:rPr>
        <w:lastRenderedPageBreak/>
        <w:tab/>
      </w:r>
      <w:r w:rsidR="002222EB" w:rsidRPr="00D35B04">
        <w:rPr>
          <w:rFonts w:ascii="Times New Roman" w:hAnsi="Times New Roman"/>
        </w:rPr>
        <w:t>T</w:t>
      </w:r>
      <w:r w:rsidR="00A838BF" w:rsidRPr="00D35B04">
        <w:rPr>
          <w:rFonts w:ascii="Times New Roman" w:hAnsi="Times New Roman"/>
        </w:rPr>
        <w:t xml:space="preserve">he growers </w:t>
      </w:r>
      <w:r w:rsidR="00A81403" w:rsidRPr="00D35B04">
        <w:rPr>
          <w:rFonts w:ascii="Times New Roman" w:hAnsi="Times New Roman"/>
        </w:rPr>
        <w:t>may not have been able to insist</w:t>
      </w:r>
      <w:r w:rsidR="00DA4DD2" w:rsidRPr="00D35B04">
        <w:rPr>
          <w:rFonts w:ascii="Times New Roman" w:hAnsi="Times New Roman"/>
        </w:rPr>
        <w:t xml:space="preserve"> </w:t>
      </w:r>
      <w:r w:rsidR="00A81403" w:rsidRPr="00D35B04">
        <w:rPr>
          <w:rFonts w:ascii="Times New Roman" w:hAnsi="Times New Roman"/>
        </w:rPr>
        <w:t xml:space="preserve">on a warranty </w:t>
      </w:r>
      <w:r w:rsidR="00DA4DD2" w:rsidRPr="00D35B04">
        <w:rPr>
          <w:rFonts w:ascii="Times New Roman" w:hAnsi="Times New Roman"/>
        </w:rPr>
        <w:t xml:space="preserve">from either the producer or the distributor </w:t>
      </w:r>
      <w:r w:rsidR="00D93C22" w:rsidRPr="00D35B04">
        <w:rPr>
          <w:rFonts w:ascii="Times New Roman" w:hAnsi="Times New Roman"/>
        </w:rPr>
        <w:t xml:space="preserve">which </w:t>
      </w:r>
      <w:r w:rsidR="002B4EAD" w:rsidRPr="00D35B04">
        <w:rPr>
          <w:rFonts w:ascii="Times New Roman" w:hAnsi="Times New Roman"/>
        </w:rPr>
        <w:t>guaranteed</w:t>
      </w:r>
      <w:r w:rsidR="00046784" w:rsidRPr="00D35B04">
        <w:rPr>
          <w:rFonts w:ascii="Times New Roman" w:hAnsi="Times New Roman"/>
        </w:rPr>
        <w:t xml:space="preserve"> that the </w:t>
      </w:r>
      <w:r w:rsidR="00F27F30" w:rsidRPr="00D35B04">
        <w:rPr>
          <w:rFonts w:ascii="Times New Roman" w:hAnsi="Times New Roman"/>
        </w:rPr>
        <w:t>producer had complied with reasonable production processes to avoid seed contamination</w:t>
      </w:r>
      <w:r w:rsidR="00BD304A" w:rsidRPr="00D35B04">
        <w:rPr>
          <w:rFonts w:ascii="Times New Roman" w:hAnsi="Times New Roman"/>
        </w:rPr>
        <w:t xml:space="preserve">, </w:t>
      </w:r>
      <w:r w:rsidR="005956E3" w:rsidRPr="00D35B04">
        <w:rPr>
          <w:rFonts w:ascii="Times New Roman" w:hAnsi="Times New Roman"/>
        </w:rPr>
        <w:t>or an indemnity for economic losses resulting from sowing seed</w:t>
      </w:r>
      <w:r w:rsidR="00824C35" w:rsidRPr="00D35B04">
        <w:rPr>
          <w:rFonts w:ascii="Times New Roman" w:hAnsi="Times New Roman"/>
        </w:rPr>
        <w:t xml:space="preserve"> contaminated as a result of </w:t>
      </w:r>
      <w:r w:rsidR="00F1078F" w:rsidRPr="00D35B04">
        <w:rPr>
          <w:rFonts w:ascii="Times New Roman" w:hAnsi="Times New Roman"/>
        </w:rPr>
        <w:t>a failure of compliance</w:t>
      </w:r>
      <w:r w:rsidR="002B4EAD" w:rsidRPr="00D35B04">
        <w:rPr>
          <w:rFonts w:ascii="Times New Roman" w:hAnsi="Times New Roman"/>
        </w:rPr>
        <w:t xml:space="preserve">. </w:t>
      </w:r>
      <w:r w:rsidR="00C55F32" w:rsidRPr="00D35B04">
        <w:rPr>
          <w:rFonts w:ascii="Times New Roman" w:hAnsi="Times New Roman"/>
        </w:rPr>
        <w:t>However,</w:t>
      </w:r>
      <w:r w:rsidR="005956E3" w:rsidRPr="00D35B04">
        <w:rPr>
          <w:rFonts w:ascii="Times New Roman" w:hAnsi="Times New Roman"/>
        </w:rPr>
        <w:t xml:space="preserve"> </w:t>
      </w:r>
      <w:r w:rsidR="007E0CB5" w:rsidRPr="00D35B04">
        <w:rPr>
          <w:rFonts w:ascii="Times New Roman" w:hAnsi="Times New Roman"/>
        </w:rPr>
        <w:t>when the growers obtained possession of the seed</w:t>
      </w:r>
      <w:r w:rsidR="005218A8" w:rsidRPr="00D35B04">
        <w:rPr>
          <w:rFonts w:ascii="Times New Roman" w:hAnsi="Times New Roman"/>
        </w:rPr>
        <w:t xml:space="preserve"> in the </w:t>
      </w:r>
      <w:proofErr w:type="gramStart"/>
      <w:r w:rsidR="005218A8" w:rsidRPr="00D35B04">
        <w:rPr>
          <w:rFonts w:ascii="Times New Roman" w:hAnsi="Times New Roman"/>
        </w:rPr>
        <w:t>packaging</w:t>
      </w:r>
      <w:proofErr w:type="gramEnd"/>
      <w:r w:rsidR="005218A8" w:rsidRPr="00D35B04">
        <w:rPr>
          <w:rFonts w:ascii="Times New Roman" w:hAnsi="Times New Roman"/>
        </w:rPr>
        <w:t xml:space="preserve"> they</w:t>
      </w:r>
      <w:r w:rsidR="007E0CB5" w:rsidRPr="00D35B04">
        <w:rPr>
          <w:rFonts w:ascii="Times New Roman" w:hAnsi="Times New Roman"/>
        </w:rPr>
        <w:t xml:space="preserve"> had a choice to return the seed</w:t>
      </w:r>
      <w:r w:rsidR="00721282" w:rsidRPr="00D35B04">
        <w:rPr>
          <w:rFonts w:ascii="Times New Roman" w:hAnsi="Times New Roman"/>
        </w:rPr>
        <w:t xml:space="preserve"> if they did not want to </w:t>
      </w:r>
      <w:r w:rsidR="005218A8" w:rsidRPr="00D35B04">
        <w:rPr>
          <w:rFonts w:ascii="Times New Roman" w:hAnsi="Times New Roman"/>
        </w:rPr>
        <w:t xml:space="preserve">accept </w:t>
      </w:r>
      <w:r w:rsidR="00721282" w:rsidRPr="00D35B04">
        <w:rPr>
          <w:rFonts w:ascii="Times New Roman" w:hAnsi="Times New Roman"/>
        </w:rPr>
        <w:t>the ris</w:t>
      </w:r>
      <w:r w:rsidR="00E0564C" w:rsidRPr="00D35B04">
        <w:rPr>
          <w:rFonts w:ascii="Times New Roman" w:hAnsi="Times New Roman"/>
        </w:rPr>
        <w:t>k</w:t>
      </w:r>
      <w:r w:rsidR="005218A8" w:rsidRPr="00D35B04">
        <w:rPr>
          <w:rFonts w:ascii="Times New Roman" w:hAnsi="Times New Roman"/>
        </w:rPr>
        <w:t xml:space="preserve"> of impurity</w:t>
      </w:r>
      <w:r w:rsidR="00E0564C" w:rsidRPr="00D35B04">
        <w:rPr>
          <w:rFonts w:ascii="Times New Roman" w:hAnsi="Times New Roman"/>
        </w:rPr>
        <w:t xml:space="preserve"> identified by the packagin</w:t>
      </w:r>
      <w:r w:rsidR="00350CF9" w:rsidRPr="00D35B04">
        <w:rPr>
          <w:rFonts w:ascii="Times New Roman" w:hAnsi="Times New Roman"/>
        </w:rPr>
        <w:t>g</w:t>
      </w:r>
      <w:r w:rsidR="00F23529" w:rsidRPr="00D35B04">
        <w:rPr>
          <w:rFonts w:ascii="Times New Roman" w:hAnsi="Times New Roman"/>
        </w:rPr>
        <w:t>, and a choice not to plant the seed in the face of the clear message on the bags, as found by Morrison JA,</w:t>
      </w:r>
      <w:r w:rsidR="00F23529" w:rsidRPr="00D35B04">
        <w:rPr>
          <w:rStyle w:val="FootnoteReference"/>
          <w:rFonts w:ascii="Times New Roman" w:hAnsi="Times New Roman"/>
          <w:sz w:val="24"/>
        </w:rPr>
        <w:footnoteReference w:id="68"/>
      </w:r>
      <w:r w:rsidR="00F23529" w:rsidRPr="00D35B04">
        <w:rPr>
          <w:rFonts w:ascii="Times New Roman" w:hAnsi="Times New Roman"/>
        </w:rPr>
        <w:t xml:space="preserve"> of the risk that the seed was contaminated</w:t>
      </w:r>
      <w:r w:rsidR="00460C29" w:rsidRPr="00D35B04">
        <w:rPr>
          <w:rFonts w:ascii="Times New Roman" w:hAnsi="Times New Roman"/>
        </w:rPr>
        <w:t>.</w:t>
      </w:r>
      <w:r w:rsidR="00D97DB1" w:rsidRPr="00D35B04">
        <w:rPr>
          <w:rFonts w:ascii="Times New Roman" w:hAnsi="Times New Roman"/>
        </w:rPr>
        <w:t xml:space="preserve"> </w:t>
      </w:r>
      <w:r w:rsidR="00B6484F" w:rsidRPr="00D35B04">
        <w:rPr>
          <w:rFonts w:ascii="Times New Roman" w:hAnsi="Times New Roman"/>
        </w:rPr>
        <w:t xml:space="preserve">The growers' </w:t>
      </w:r>
      <w:r w:rsidR="00105C92" w:rsidRPr="00D35B04">
        <w:rPr>
          <w:rFonts w:ascii="Times New Roman" w:hAnsi="Times New Roman"/>
        </w:rPr>
        <w:t xml:space="preserve">argument </w:t>
      </w:r>
      <w:r w:rsidR="00D903B9" w:rsidRPr="00D35B04">
        <w:rPr>
          <w:rFonts w:ascii="Times New Roman" w:hAnsi="Times New Roman"/>
        </w:rPr>
        <w:t>in this Court</w:t>
      </w:r>
      <w:r w:rsidR="00B6484F" w:rsidRPr="00D35B04">
        <w:rPr>
          <w:rFonts w:ascii="Times New Roman" w:hAnsi="Times New Roman"/>
        </w:rPr>
        <w:t xml:space="preserve"> that</w:t>
      </w:r>
      <w:r w:rsidR="009D6F6B" w:rsidRPr="00D35B04">
        <w:rPr>
          <w:rFonts w:ascii="Times New Roman" w:hAnsi="Times New Roman"/>
        </w:rPr>
        <w:t>, having purchased the seed from an intermediary and not the producer,</w:t>
      </w:r>
      <w:r w:rsidR="00B6484F" w:rsidRPr="00D35B04">
        <w:rPr>
          <w:rFonts w:ascii="Times New Roman" w:hAnsi="Times New Roman"/>
        </w:rPr>
        <w:t xml:space="preserve"> the option of returning the </w:t>
      </w:r>
      <w:r w:rsidR="00350CF9" w:rsidRPr="00D35B04">
        <w:rPr>
          <w:rFonts w:ascii="Times New Roman" w:hAnsi="Times New Roman"/>
        </w:rPr>
        <w:t>seed unopened</w:t>
      </w:r>
      <w:r w:rsidR="00AF1DF2" w:rsidRPr="00D35B04">
        <w:rPr>
          <w:rFonts w:ascii="Times New Roman" w:hAnsi="Times New Roman"/>
        </w:rPr>
        <w:t xml:space="preserve"> </w:t>
      </w:r>
      <w:r w:rsidR="0041431B" w:rsidRPr="00D35B04">
        <w:rPr>
          <w:rFonts w:ascii="Times New Roman" w:hAnsi="Times New Roman"/>
        </w:rPr>
        <w:t>for a</w:t>
      </w:r>
      <w:r w:rsidR="00AF1DF2" w:rsidRPr="00D35B04">
        <w:rPr>
          <w:rFonts w:ascii="Times New Roman" w:hAnsi="Times New Roman"/>
        </w:rPr>
        <w:t xml:space="preserve"> refund was unrealistic</w:t>
      </w:r>
      <w:r w:rsidR="00615FE0" w:rsidRPr="00D35B04">
        <w:rPr>
          <w:rFonts w:ascii="Times New Roman" w:hAnsi="Times New Roman"/>
        </w:rPr>
        <w:t>,</w:t>
      </w:r>
      <w:r w:rsidR="00AF1DF2" w:rsidRPr="00D35B04">
        <w:rPr>
          <w:rFonts w:ascii="Times New Roman" w:hAnsi="Times New Roman"/>
        </w:rPr>
        <w:t xml:space="preserve"> was </w:t>
      </w:r>
      <w:r w:rsidR="00892299" w:rsidRPr="00D35B04">
        <w:rPr>
          <w:rFonts w:ascii="Times New Roman" w:hAnsi="Times New Roman"/>
        </w:rPr>
        <w:t>unsupported by evidence</w:t>
      </w:r>
      <w:r w:rsidR="00615FE0" w:rsidRPr="00D35B04">
        <w:rPr>
          <w:rFonts w:ascii="Times New Roman" w:hAnsi="Times New Roman"/>
        </w:rPr>
        <w:t xml:space="preserve">. </w:t>
      </w:r>
      <w:r w:rsidR="00892299" w:rsidRPr="00D35B04">
        <w:rPr>
          <w:rFonts w:ascii="Times New Roman" w:hAnsi="Times New Roman"/>
        </w:rPr>
        <w:t>It was for t</w:t>
      </w:r>
      <w:r w:rsidR="00615FE0" w:rsidRPr="00D35B04">
        <w:rPr>
          <w:rFonts w:ascii="Times New Roman" w:hAnsi="Times New Roman"/>
        </w:rPr>
        <w:t>he growers</w:t>
      </w:r>
      <w:r w:rsidR="00892299" w:rsidRPr="00D35B04">
        <w:rPr>
          <w:rFonts w:ascii="Times New Roman" w:hAnsi="Times New Roman"/>
        </w:rPr>
        <w:t>, as the parties bearing the onus of proof, to establish that they could not return bags of unopened seed to the distributors in exchange for a refund from the producer.</w:t>
      </w:r>
      <w:r w:rsidRPr="00D35B04">
        <w:rPr>
          <w:rFonts w:ascii="Times New Roman" w:hAnsi="Times New Roman"/>
        </w:rPr>
        <w:t xml:space="preserve"> The growers did not do so.</w:t>
      </w:r>
    </w:p>
    <w:p w14:paraId="02246401" w14:textId="1DD2B3D6" w:rsidR="009C1FCE" w:rsidRPr="00D35B04" w:rsidRDefault="00DE55B2"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3605B1" w:rsidRPr="00D35B04">
        <w:rPr>
          <w:rFonts w:ascii="Times New Roman" w:hAnsi="Times New Roman"/>
        </w:rPr>
        <w:t xml:space="preserve">Fifthly, and in response </w:t>
      </w:r>
      <w:r w:rsidR="00554AFE" w:rsidRPr="00D35B04">
        <w:rPr>
          <w:rFonts w:ascii="Times New Roman" w:hAnsi="Times New Roman"/>
        </w:rPr>
        <w:t>to the growers' argument with respect to indeterminacy, t</w:t>
      </w:r>
      <w:r w:rsidR="00F217FB" w:rsidRPr="00D35B04">
        <w:rPr>
          <w:rFonts w:ascii="Times New Roman" w:hAnsi="Times New Roman"/>
        </w:rPr>
        <w:t xml:space="preserve">he fact that the growers fall within an ascertainable class of persons likely to be affected by </w:t>
      </w:r>
      <w:r w:rsidR="00D474CF" w:rsidRPr="00D35B04">
        <w:rPr>
          <w:rFonts w:ascii="Times New Roman" w:hAnsi="Times New Roman"/>
        </w:rPr>
        <w:t xml:space="preserve">the producer's careless production of contaminated seed does not </w:t>
      </w:r>
      <w:r w:rsidR="00CD0FC9" w:rsidRPr="00D35B04">
        <w:rPr>
          <w:rFonts w:ascii="Times New Roman" w:hAnsi="Times New Roman"/>
        </w:rPr>
        <w:t xml:space="preserve">improve the case for finding a duty of care but rather </w:t>
      </w:r>
      <w:r w:rsidR="00A222BC" w:rsidRPr="00D35B04">
        <w:rPr>
          <w:rFonts w:ascii="Times New Roman" w:hAnsi="Times New Roman"/>
        </w:rPr>
        <w:t xml:space="preserve">excludes the spectre of indeterminate liability that would generally deny the existence of </w:t>
      </w:r>
      <w:r w:rsidR="0091706E" w:rsidRPr="00D35B04">
        <w:rPr>
          <w:rFonts w:ascii="Times New Roman" w:hAnsi="Times New Roman"/>
        </w:rPr>
        <w:t>a</w:t>
      </w:r>
      <w:r w:rsidR="00A222BC" w:rsidRPr="00D35B04">
        <w:rPr>
          <w:rFonts w:ascii="Times New Roman" w:hAnsi="Times New Roman"/>
        </w:rPr>
        <w:t xml:space="preserve"> duty.</w:t>
      </w:r>
      <w:r w:rsidR="004B65E5" w:rsidRPr="00D35B04">
        <w:rPr>
          <w:rFonts w:ascii="Times New Roman" w:hAnsi="Times New Roman"/>
        </w:rPr>
        <w:t xml:space="preserve"> </w:t>
      </w:r>
    </w:p>
    <w:p w14:paraId="177BE399" w14:textId="6BD60D97" w:rsidR="00ED498E" w:rsidRPr="00D35B04" w:rsidRDefault="009848C0"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9C1FCE" w:rsidRPr="00D35B04">
        <w:rPr>
          <w:rFonts w:ascii="Times New Roman" w:hAnsi="Times New Roman"/>
        </w:rPr>
        <w:t>Sixthly,</w:t>
      </w:r>
      <w:r w:rsidR="007A4477" w:rsidRPr="00D35B04">
        <w:rPr>
          <w:rFonts w:ascii="Times New Roman" w:hAnsi="Times New Roman"/>
        </w:rPr>
        <w:t xml:space="preserve"> any lack of legal coherence does not improve the growers' case. </w:t>
      </w:r>
      <w:r w:rsidR="00FB1DB8" w:rsidRPr="00D35B04">
        <w:rPr>
          <w:rFonts w:ascii="Times New Roman" w:hAnsi="Times New Roman"/>
        </w:rPr>
        <w:t>Properly analysed, the growers' case would involve the imposition of a duty of care on the producer to</w:t>
      </w:r>
      <w:r w:rsidR="001F725F" w:rsidRPr="00D35B04">
        <w:rPr>
          <w:rFonts w:ascii="Times New Roman" w:hAnsi="Times New Roman"/>
        </w:rPr>
        <w:t xml:space="preserve"> take reasonable care to</w:t>
      </w:r>
      <w:r w:rsidR="00FB1DB8" w:rsidRPr="00D35B04">
        <w:rPr>
          <w:rFonts w:ascii="Times New Roman" w:hAnsi="Times New Roman"/>
        </w:rPr>
        <w:t xml:space="preserve"> avoid</w:t>
      </w:r>
      <w:r w:rsidR="001F725F" w:rsidRPr="00D35B04">
        <w:rPr>
          <w:rFonts w:ascii="Times New Roman" w:hAnsi="Times New Roman"/>
        </w:rPr>
        <w:t xml:space="preserve"> causing</w:t>
      </w:r>
      <w:r w:rsidR="00FB1DB8" w:rsidRPr="00D35B04">
        <w:rPr>
          <w:rFonts w:ascii="Times New Roman" w:hAnsi="Times New Roman"/>
        </w:rPr>
        <w:t xml:space="preserve"> economic loss </w:t>
      </w:r>
      <w:r w:rsidR="001F725F" w:rsidRPr="00D35B04">
        <w:rPr>
          <w:rFonts w:ascii="Times New Roman" w:hAnsi="Times New Roman"/>
        </w:rPr>
        <w:t xml:space="preserve">to </w:t>
      </w:r>
      <w:r w:rsidR="00FB1DB8" w:rsidRPr="00D35B04">
        <w:rPr>
          <w:rFonts w:ascii="Times New Roman" w:hAnsi="Times New Roman"/>
        </w:rPr>
        <w:t xml:space="preserve">the growers </w:t>
      </w:r>
      <w:r w:rsidR="001F725F" w:rsidRPr="00D35B04">
        <w:rPr>
          <w:rFonts w:ascii="Times New Roman" w:hAnsi="Times New Roman"/>
        </w:rPr>
        <w:t>primari</w:t>
      </w:r>
      <w:r w:rsidR="00FB1DB8" w:rsidRPr="00D35B04">
        <w:rPr>
          <w:rFonts w:ascii="Times New Roman" w:hAnsi="Times New Roman"/>
        </w:rPr>
        <w:t xml:space="preserve">ly because the risk of such loss was reasonably foreseeable, contrary to </w:t>
      </w:r>
      <w:r w:rsidR="006C2832" w:rsidRPr="00D35B04">
        <w:rPr>
          <w:rFonts w:ascii="Times New Roman" w:hAnsi="Times New Roman"/>
        </w:rPr>
        <w:t>the principles identified earlier</w:t>
      </w:r>
      <w:r w:rsidR="00FB1DB8" w:rsidRPr="00D35B04">
        <w:rPr>
          <w:rFonts w:ascii="Times New Roman" w:hAnsi="Times New Roman"/>
        </w:rPr>
        <w:t xml:space="preserve">. </w:t>
      </w:r>
    </w:p>
    <w:p w14:paraId="451D913D" w14:textId="20FCA613" w:rsidR="000657DC" w:rsidRPr="00D35B04" w:rsidRDefault="00A73074" w:rsidP="00D35B04">
      <w:pPr>
        <w:pStyle w:val="HeadingL1"/>
        <w:spacing w:after="260" w:line="280" w:lineRule="exact"/>
        <w:ind w:right="0"/>
        <w:jc w:val="both"/>
        <w:rPr>
          <w:rFonts w:ascii="Times New Roman" w:hAnsi="Times New Roman"/>
        </w:rPr>
      </w:pPr>
      <w:r w:rsidRPr="00D35B04">
        <w:rPr>
          <w:rFonts w:ascii="Times New Roman" w:hAnsi="Times New Roman"/>
        </w:rPr>
        <w:t>Conclusion</w:t>
      </w:r>
    </w:p>
    <w:p w14:paraId="105C72FD" w14:textId="77777777" w:rsidR="001F5442" w:rsidRDefault="000657DC" w:rsidP="00D35B04">
      <w:pPr>
        <w:pStyle w:val="FixListStyle"/>
        <w:spacing w:after="260" w:line="280" w:lineRule="exact"/>
        <w:ind w:right="0"/>
        <w:jc w:val="both"/>
        <w:rPr>
          <w:rFonts w:ascii="Times New Roman" w:hAnsi="Times New Roman"/>
        </w:rPr>
      </w:pPr>
      <w:r w:rsidRPr="00D35B04">
        <w:rPr>
          <w:rFonts w:ascii="Times New Roman" w:hAnsi="Times New Roman"/>
        </w:rPr>
        <w:tab/>
      </w:r>
      <w:r w:rsidR="00A73074" w:rsidRPr="00D35B04">
        <w:rPr>
          <w:rFonts w:ascii="Times New Roman" w:hAnsi="Times New Roman"/>
        </w:rPr>
        <w:t xml:space="preserve">The </w:t>
      </w:r>
      <w:r w:rsidR="000461C7" w:rsidRPr="00D35B04">
        <w:rPr>
          <w:rFonts w:ascii="Times New Roman" w:hAnsi="Times New Roman"/>
        </w:rPr>
        <w:t xml:space="preserve">producer </w:t>
      </w:r>
      <w:r w:rsidR="00AB67E9" w:rsidRPr="00D35B04">
        <w:rPr>
          <w:rFonts w:ascii="Times New Roman" w:hAnsi="Times New Roman"/>
        </w:rPr>
        <w:t xml:space="preserve">owed no </w:t>
      </w:r>
      <w:r w:rsidR="000A08EC" w:rsidRPr="00D35B04">
        <w:rPr>
          <w:rFonts w:ascii="Times New Roman" w:hAnsi="Times New Roman"/>
        </w:rPr>
        <w:t xml:space="preserve">relevant </w:t>
      </w:r>
      <w:r w:rsidR="00AB67E9" w:rsidRPr="00D35B04">
        <w:rPr>
          <w:rFonts w:ascii="Times New Roman" w:hAnsi="Times New Roman"/>
        </w:rPr>
        <w:t xml:space="preserve">duty of care to the </w:t>
      </w:r>
      <w:r w:rsidR="00EF316F" w:rsidRPr="00D35B04">
        <w:rPr>
          <w:rFonts w:ascii="Times New Roman" w:hAnsi="Times New Roman"/>
        </w:rPr>
        <w:t>growers</w:t>
      </w:r>
      <w:r w:rsidR="00AB67E9" w:rsidRPr="00D35B04">
        <w:rPr>
          <w:rFonts w:ascii="Times New Roman" w:hAnsi="Times New Roman"/>
        </w:rPr>
        <w:t xml:space="preserve">. </w:t>
      </w:r>
      <w:r w:rsidR="00FB7DC8" w:rsidRPr="00D35B04">
        <w:rPr>
          <w:rFonts w:ascii="Times New Roman" w:hAnsi="Times New Roman"/>
        </w:rPr>
        <w:t>It follows that</w:t>
      </w:r>
      <w:r w:rsidR="005A46C6" w:rsidRPr="00D35B04">
        <w:rPr>
          <w:rFonts w:ascii="Times New Roman" w:hAnsi="Times New Roman"/>
        </w:rPr>
        <w:t xml:space="preserve"> the </w:t>
      </w:r>
      <w:r w:rsidR="00EF316F" w:rsidRPr="00D35B04">
        <w:rPr>
          <w:rFonts w:ascii="Times New Roman" w:hAnsi="Times New Roman"/>
        </w:rPr>
        <w:t>producer</w:t>
      </w:r>
      <w:r w:rsidR="00D824A1" w:rsidRPr="00D35B04">
        <w:rPr>
          <w:rFonts w:ascii="Times New Roman" w:hAnsi="Times New Roman"/>
        </w:rPr>
        <w:t>'</w:t>
      </w:r>
      <w:r w:rsidR="005A46C6" w:rsidRPr="00D35B04">
        <w:rPr>
          <w:rFonts w:ascii="Times New Roman" w:hAnsi="Times New Roman"/>
        </w:rPr>
        <w:t>s notice of contention does not arise for consideration.</w:t>
      </w:r>
      <w:r w:rsidR="00AB67E9" w:rsidRPr="00D35B04">
        <w:rPr>
          <w:rFonts w:ascii="Times New Roman" w:hAnsi="Times New Roman"/>
        </w:rPr>
        <w:t xml:space="preserve"> The appeal </w:t>
      </w:r>
      <w:r w:rsidR="00F473A9" w:rsidRPr="00D35B04">
        <w:rPr>
          <w:rFonts w:ascii="Times New Roman" w:hAnsi="Times New Roman"/>
        </w:rPr>
        <w:t>should</w:t>
      </w:r>
      <w:r w:rsidR="0071797F" w:rsidRPr="00D35B04">
        <w:rPr>
          <w:rFonts w:ascii="Times New Roman" w:hAnsi="Times New Roman"/>
        </w:rPr>
        <w:t xml:space="preserve"> be</w:t>
      </w:r>
      <w:r w:rsidR="00AB67E9" w:rsidRPr="00D35B04">
        <w:rPr>
          <w:rFonts w:ascii="Times New Roman" w:hAnsi="Times New Roman"/>
        </w:rPr>
        <w:t xml:space="preserve"> dismissed with costs.</w:t>
      </w:r>
    </w:p>
    <w:p w14:paraId="27C8646A" w14:textId="77777777" w:rsidR="001F5442" w:rsidRDefault="001F5442" w:rsidP="00D35B04">
      <w:pPr>
        <w:pStyle w:val="FixListStyle"/>
        <w:spacing w:after="260" w:line="280" w:lineRule="exact"/>
        <w:ind w:right="0"/>
        <w:jc w:val="both"/>
        <w:rPr>
          <w:rFonts w:ascii="Times New Roman" w:hAnsi="Times New Roman"/>
        </w:rPr>
        <w:sectPr w:rsidR="001F5442" w:rsidSect="00BF0B0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B245609" w14:textId="77777777" w:rsidR="001F5442" w:rsidRPr="00883965" w:rsidRDefault="001F5442" w:rsidP="00883965">
      <w:pPr>
        <w:pStyle w:val="NormalBody"/>
        <w:tabs>
          <w:tab w:val="clear" w:pos="720"/>
          <w:tab w:val="left" w:pos="0"/>
        </w:tabs>
        <w:spacing w:after="260" w:line="280" w:lineRule="exact"/>
        <w:ind w:right="0"/>
        <w:jc w:val="both"/>
        <w:rPr>
          <w:rFonts w:ascii="Times New Roman" w:hAnsi="Times New Roman"/>
        </w:rPr>
      </w:pPr>
      <w:r w:rsidRPr="00883965">
        <w:rPr>
          <w:rFonts w:ascii="Times New Roman" w:hAnsi="Times New Roman"/>
        </w:rPr>
        <w:lastRenderedPageBreak/>
        <w:t xml:space="preserve">EDELMAN J.   </w:t>
      </w:r>
    </w:p>
    <w:p w14:paraId="6C058D21" w14:textId="77777777" w:rsidR="001F5442" w:rsidRPr="00883965" w:rsidRDefault="001F5442" w:rsidP="00883965">
      <w:pPr>
        <w:pStyle w:val="HeadingL1"/>
        <w:spacing w:after="260" w:line="280" w:lineRule="exact"/>
        <w:ind w:right="0"/>
        <w:jc w:val="both"/>
        <w:rPr>
          <w:rFonts w:ascii="Times New Roman" w:hAnsi="Times New Roman"/>
        </w:rPr>
      </w:pPr>
      <w:r w:rsidRPr="00883965">
        <w:rPr>
          <w:rFonts w:ascii="Times New Roman" w:hAnsi="Times New Roman"/>
        </w:rPr>
        <w:t>Introduction</w:t>
      </w:r>
    </w:p>
    <w:p w14:paraId="2C04208D"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We should not attempt to breed from a mule.</w:t>
      </w:r>
      <w:r w:rsidRPr="00883965">
        <w:rPr>
          <w:rStyle w:val="FootnoteReference"/>
          <w:rFonts w:ascii="Times New Roman" w:hAnsi="Times New Roman"/>
          <w:sz w:val="24"/>
        </w:rPr>
        <w:footnoteReference w:id="69"/>
      </w:r>
      <w:r w:rsidRPr="00883965">
        <w:rPr>
          <w:rFonts w:ascii="Times New Roman" w:hAnsi="Times New Roman"/>
        </w:rPr>
        <w:t xml:space="preserve"> This appeal arises from attempts to propagate from the decision of this Court in </w:t>
      </w:r>
      <w:r w:rsidRPr="00883965">
        <w:rPr>
          <w:rFonts w:ascii="Times New Roman" w:hAnsi="Times New Roman"/>
          <w:i/>
          <w:iCs/>
        </w:rPr>
        <w:t>Caltex Oil (Australia) Pty Ltd v The Dredge "Willemstad".</w:t>
      </w:r>
      <w:r w:rsidRPr="00883965">
        <w:rPr>
          <w:rStyle w:val="FootnoteReference"/>
          <w:rFonts w:ascii="Times New Roman" w:hAnsi="Times New Roman"/>
          <w:sz w:val="24"/>
        </w:rPr>
        <w:footnoteReference w:id="70"/>
      </w:r>
      <w:r w:rsidRPr="00883965">
        <w:rPr>
          <w:rFonts w:ascii="Times New Roman" w:hAnsi="Times New Roman"/>
          <w:i/>
          <w:iCs/>
        </w:rPr>
        <w:t xml:space="preserve"> </w:t>
      </w:r>
      <w:r w:rsidRPr="00883965">
        <w:rPr>
          <w:rFonts w:ascii="Times New Roman" w:hAnsi="Times New Roman"/>
        </w:rPr>
        <w:t xml:space="preserve">Prior to the decision in </w:t>
      </w:r>
      <w:r w:rsidRPr="00883965">
        <w:rPr>
          <w:rFonts w:ascii="Times New Roman" w:hAnsi="Times New Roman"/>
          <w:i/>
          <w:iCs/>
        </w:rPr>
        <w:t>Caltex</w:t>
      </w:r>
      <w:r w:rsidRPr="00883965">
        <w:rPr>
          <w:rFonts w:ascii="Times New Roman" w:hAnsi="Times New Roman"/>
        </w:rPr>
        <w:t xml:space="preserve"> a duty of care could be owed to a plaintiff if the duty was (</w:t>
      </w:r>
      <w:proofErr w:type="spellStart"/>
      <w:r w:rsidRPr="00883965">
        <w:rPr>
          <w:rFonts w:ascii="Times New Roman" w:hAnsi="Times New Roman"/>
        </w:rPr>
        <w:t>i</w:t>
      </w:r>
      <w:proofErr w:type="spellEnd"/>
      <w:r w:rsidRPr="00883965">
        <w:rPr>
          <w:rFonts w:ascii="Times New Roman" w:hAnsi="Times New Roman"/>
        </w:rPr>
        <w:t xml:space="preserve">) based upon an (objective) assumption of responsibility, by an express or implied undertaking by the defendant to the plaintiff or a class of persons of which the plaintiff is a member, or (ii) imposed by law. A duty of care that was imposed by law upon a defendant corresponded with a plaintiff's right to person or property. </w:t>
      </w:r>
      <w:r w:rsidRPr="00883965">
        <w:rPr>
          <w:rFonts w:ascii="Times New Roman" w:hAnsi="Times New Roman"/>
          <w:i/>
          <w:iCs/>
        </w:rPr>
        <w:t>Caltex</w:t>
      </w:r>
      <w:r w:rsidRPr="00883965">
        <w:rPr>
          <w:rFonts w:ascii="Times New Roman" w:hAnsi="Times New Roman"/>
        </w:rPr>
        <w:t xml:space="preserve"> purported to recognise a new species of duty of care, one which imposed an abstract duty to take care not to expose a person to loss, independently of a right to person or property, in circumstances involving undefined "salient features".</w:t>
      </w:r>
    </w:p>
    <w:p w14:paraId="35619AEA"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As the joint reasons of the other members of this Court explain, the "salient features" approach has been strongly criticised.</w:t>
      </w:r>
      <w:r w:rsidRPr="00883965">
        <w:rPr>
          <w:rStyle w:val="FootnoteReference"/>
          <w:rFonts w:ascii="Times New Roman" w:hAnsi="Times New Roman"/>
          <w:sz w:val="24"/>
        </w:rPr>
        <w:footnoteReference w:id="71"/>
      </w:r>
      <w:r w:rsidRPr="00883965">
        <w:rPr>
          <w:rFonts w:ascii="Times New Roman" w:hAnsi="Times New Roman"/>
        </w:rPr>
        <w:t xml:space="preserve"> But the respondent producer did not challenge </w:t>
      </w:r>
      <w:r w:rsidRPr="00883965">
        <w:rPr>
          <w:rFonts w:ascii="Times New Roman" w:hAnsi="Times New Roman"/>
          <w:i/>
          <w:iCs/>
        </w:rPr>
        <w:t xml:space="preserve">Caltex </w:t>
      </w:r>
      <w:r w:rsidRPr="00883965">
        <w:rPr>
          <w:rFonts w:ascii="Times New Roman" w:hAnsi="Times New Roman"/>
        </w:rPr>
        <w:t>or its progeny. I therefore agree with the application of the salient features approach by the other members of the Court and with their conclusion that the appeal must be dismissed. These additional reasons further address two matters: (</w:t>
      </w:r>
      <w:proofErr w:type="spellStart"/>
      <w:r w:rsidRPr="00883965">
        <w:rPr>
          <w:rFonts w:ascii="Times New Roman" w:hAnsi="Times New Roman"/>
        </w:rPr>
        <w:t>i</w:t>
      </w:r>
      <w:proofErr w:type="spellEnd"/>
      <w:r w:rsidRPr="00883965">
        <w:rPr>
          <w:rFonts w:ascii="Times New Roman" w:hAnsi="Times New Roman"/>
        </w:rPr>
        <w:t xml:space="preserve">) the absence of any assumption of responsibility by the respondent producer; and (ii) how the recognition of a duty of care to avoid exposing another to "pure" economic loss in circumstances of "salient features" has given rise to the highly unsatisfactory state of the present law with the effect that </w:t>
      </w:r>
      <w:r w:rsidRPr="00883965" w:rsidDel="009D1B34">
        <w:rPr>
          <w:rFonts w:ascii="Times New Roman" w:hAnsi="Times New Roman"/>
        </w:rPr>
        <w:t xml:space="preserve">until </w:t>
      </w:r>
      <w:r w:rsidRPr="00883965" w:rsidDel="009D1B34">
        <w:rPr>
          <w:rFonts w:ascii="Times New Roman" w:hAnsi="Times New Roman"/>
          <w:i/>
          <w:iCs/>
        </w:rPr>
        <w:t xml:space="preserve">Caltex </w:t>
      </w:r>
      <w:r w:rsidRPr="00883965" w:rsidDel="009D1B34">
        <w:rPr>
          <w:rFonts w:ascii="Times New Roman" w:hAnsi="Times New Roman"/>
        </w:rPr>
        <w:t>and its progeny are challenged</w:t>
      </w:r>
      <w:r w:rsidRPr="00883965">
        <w:rPr>
          <w:rFonts w:ascii="Times New Roman" w:hAnsi="Times New Roman"/>
        </w:rPr>
        <w:t xml:space="preserve"> or rationalised</w:t>
      </w:r>
      <w:r w:rsidRPr="00883965" w:rsidDel="009D1B34">
        <w:rPr>
          <w:rFonts w:ascii="Times New Roman" w:hAnsi="Times New Roman"/>
        </w:rPr>
        <w:t xml:space="preserve">, </w:t>
      </w:r>
      <w:r w:rsidRPr="00883965">
        <w:rPr>
          <w:rFonts w:ascii="Times New Roman" w:hAnsi="Times New Roman"/>
        </w:rPr>
        <w:t>a duty of care based upon "salient features" must be confined as narrowly as possible.</w:t>
      </w:r>
      <w:r w:rsidRPr="00883965">
        <w:rPr>
          <w:rStyle w:val="FootnoteReference"/>
          <w:rFonts w:ascii="Times New Roman" w:hAnsi="Times New Roman"/>
          <w:sz w:val="24"/>
        </w:rPr>
        <w:footnoteReference w:id="72"/>
      </w:r>
      <w:r w:rsidRPr="00883965">
        <w:rPr>
          <w:rFonts w:ascii="Times New Roman" w:hAnsi="Times New Roman"/>
        </w:rPr>
        <w:t xml:space="preserve"> </w:t>
      </w:r>
    </w:p>
    <w:p w14:paraId="7C80C6BD" w14:textId="77777777" w:rsidR="001F5442" w:rsidRPr="00883965" w:rsidRDefault="001F5442" w:rsidP="00883965">
      <w:pPr>
        <w:pStyle w:val="HeadingL1"/>
        <w:spacing w:after="260" w:line="280" w:lineRule="exact"/>
        <w:ind w:right="0"/>
        <w:jc w:val="both"/>
        <w:rPr>
          <w:rFonts w:ascii="Times New Roman" w:hAnsi="Times New Roman"/>
        </w:rPr>
      </w:pPr>
      <w:r w:rsidRPr="00883965">
        <w:rPr>
          <w:rFonts w:ascii="Times New Roman" w:hAnsi="Times New Roman"/>
        </w:rPr>
        <w:t>Duty of care arising from an assumption of responsibility</w:t>
      </w:r>
    </w:p>
    <w:p w14:paraId="735548A7"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 xml:space="preserve">The nature of a claim based on assumption of </w:t>
      </w:r>
      <w:proofErr w:type="gramStart"/>
      <w:r w:rsidRPr="00883965">
        <w:rPr>
          <w:rFonts w:ascii="Times New Roman" w:hAnsi="Times New Roman"/>
        </w:rPr>
        <w:t>responsibility</w:t>
      </w:r>
      <w:proofErr w:type="gramEnd"/>
      <w:r w:rsidRPr="00883965">
        <w:rPr>
          <w:rFonts w:ascii="Times New Roman" w:hAnsi="Times New Roman"/>
        </w:rPr>
        <w:tab/>
      </w:r>
    </w:p>
    <w:p w14:paraId="29D12295"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Category confusion is dangerous. When Dutch explorers landed on </w:t>
      </w:r>
      <w:proofErr w:type="spellStart"/>
      <w:r w:rsidRPr="00883965">
        <w:rPr>
          <w:rFonts w:ascii="Times New Roman" w:hAnsi="Times New Roman"/>
        </w:rPr>
        <w:t>Wadjemup</w:t>
      </w:r>
      <w:proofErr w:type="spellEnd"/>
      <w:r w:rsidRPr="00883965">
        <w:rPr>
          <w:rFonts w:ascii="Times New Roman" w:hAnsi="Times New Roman"/>
        </w:rPr>
        <w:t xml:space="preserve"> they mistakenly identified the friendly quokka marsupial as a rodent and described the island as "</w:t>
      </w:r>
      <w:proofErr w:type="spellStart"/>
      <w:r w:rsidRPr="00883965">
        <w:rPr>
          <w:rFonts w:ascii="Times New Roman" w:hAnsi="Times New Roman"/>
        </w:rPr>
        <w:t>Rotte</w:t>
      </w:r>
      <w:proofErr w:type="spellEnd"/>
      <w:r w:rsidRPr="00883965">
        <w:rPr>
          <w:rFonts w:ascii="Times New Roman" w:hAnsi="Times New Roman"/>
        </w:rPr>
        <w:t xml:space="preserve">-nest". Without a proper classification of the </w:t>
      </w:r>
      <w:r w:rsidRPr="00883965">
        <w:rPr>
          <w:rFonts w:ascii="Times New Roman" w:hAnsi="Times New Roman"/>
        </w:rPr>
        <w:lastRenderedPageBreak/>
        <w:t xml:space="preserve">legal rule by which a duty of care arises from an assumption of responsibility, there was, and remains, a danger that legal genetic engineering could transform that genial rule into a species of legal rat. </w:t>
      </w:r>
    </w:p>
    <w:p w14:paraId="572887F8"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concept </w:t>
      </w:r>
      <w:r w:rsidRPr="00883965" w:rsidDel="00255DDF">
        <w:rPr>
          <w:rFonts w:ascii="Times New Roman" w:hAnsi="Times New Roman"/>
        </w:rPr>
        <w:t xml:space="preserve">of </w:t>
      </w:r>
      <w:r w:rsidRPr="00883965">
        <w:rPr>
          <w:rFonts w:ascii="Times New Roman" w:hAnsi="Times New Roman"/>
        </w:rPr>
        <w:t>"</w:t>
      </w:r>
      <w:r w:rsidRPr="00883965" w:rsidDel="00255DDF">
        <w:rPr>
          <w:rFonts w:ascii="Times New Roman" w:hAnsi="Times New Roman"/>
        </w:rPr>
        <w:t>assumption of responsibility</w:t>
      </w:r>
      <w:r w:rsidRPr="00883965">
        <w:rPr>
          <w:rFonts w:ascii="Times New Roman" w:hAnsi="Times New Roman"/>
        </w:rPr>
        <w:t xml:space="preserve"> predated categorisation into contract and tort",</w:t>
      </w:r>
      <w:r w:rsidRPr="00883965">
        <w:rPr>
          <w:rStyle w:val="FootnoteReference"/>
          <w:rFonts w:ascii="Times New Roman" w:hAnsi="Times New Roman"/>
          <w:sz w:val="24"/>
        </w:rPr>
        <w:footnoteReference w:id="73"/>
      </w:r>
      <w:r w:rsidRPr="00883965">
        <w:rPr>
          <w:rFonts w:ascii="Times New Roman" w:hAnsi="Times New Roman"/>
        </w:rPr>
        <w:t xml:space="preserve"> </w:t>
      </w:r>
      <w:r w:rsidRPr="00883965" w:rsidDel="00255DDF">
        <w:rPr>
          <w:rFonts w:ascii="Times New Roman" w:hAnsi="Times New Roman"/>
        </w:rPr>
        <w:t xml:space="preserve">although </w:t>
      </w:r>
      <w:r w:rsidRPr="00883965">
        <w:rPr>
          <w:rFonts w:ascii="Times New Roman" w:hAnsi="Times New Roman"/>
        </w:rPr>
        <w:t>an assumption of responsibility shares its foundations with what has now become the law of contract.</w:t>
      </w:r>
      <w:r w:rsidRPr="00883965">
        <w:rPr>
          <w:rStyle w:val="FootnoteReference"/>
          <w:rFonts w:ascii="Times New Roman" w:hAnsi="Times New Roman"/>
          <w:sz w:val="24"/>
        </w:rPr>
        <w:footnoteReference w:id="74"/>
      </w:r>
      <w:r w:rsidRPr="00883965">
        <w:rPr>
          <w:rFonts w:ascii="Times New Roman" w:hAnsi="Times New Roman"/>
        </w:rPr>
        <w:t xml:space="preserve"> Like a contractual duty, an assumption of responsibility has long been recognised as arising from </w:t>
      </w:r>
      <w:r w:rsidRPr="00883965" w:rsidDel="00255DDF">
        <w:rPr>
          <w:rFonts w:ascii="Times New Roman" w:hAnsi="Times New Roman"/>
        </w:rPr>
        <w:t xml:space="preserve">an </w:t>
      </w:r>
      <w:r w:rsidRPr="00883965">
        <w:rPr>
          <w:rFonts w:ascii="Times New Roman" w:hAnsi="Times New Roman"/>
        </w:rPr>
        <w:t xml:space="preserve">expressed </w:t>
      </w:r>
      <w:r w:rsidRPr="00883965" w:rsidDel="00255DDF">
        <w:rPr>
          <w:rFonts w:ascii="Times New Roman" w:hAnsi="Times New Roman"/>
        </w:rPr>
        <w:t xml:space="preserve">undertaking </w:t>
      </w:r>
      <w:r w:rsidRPr="00883965">
        <w:rPr>
          <w:rFonts w:ascii="Times New Roman" w:hAnsi="Times New Roman"/>
        </w:rPr>
        <w:t xml:space="preserve">or an undertaking </w:t>
      </w:r>
      <w:r w:rsidRPr="00883965" w:rsidDel="00255DDF">
        <w:rPr>
          <w:rFonts w:ascii="Times New Roman" w:hAnsi="Times New Roman"/>
        </w:rPr>
        <w:t>implied from conduct or office</w:t>
      </w:r>
      <w:r w:rsidRPr="00883965">
        <w:rPr>
          <w:rFonts w:ascii="Times New Roman" w:hAnsi="Times New Roman"/>
        </w:rPr>
        <w:t>.</w:t>
      </w:r>
      <w:r w:rsidRPr="00883965">
        <w:rPr>
          <w:rStyle w:val="FootnoteReference"/>
          <w:rFonts w:ascii="Times New Roman" w:hAnsi="Times New Roman"/>
          <w:sz w:val="24"/>
        </w:rPr>
        <w:footnoteReference w:id="75"/>
      </w:r>
      <w:r w:rsidRPr="00883965">
        <w:rPr>
          <w:rFonts w:ascii="Times New Roman" w:hAnsi="Times New Roman"/>
        </w:rPr>
        <w:t xml:space="preserve"> But, unlike modern contractual duties, an assumption of responsibility can arise without any consideration. For instance, in actions against gratuitous bailees (and not merely contractual bailees) for a failure to return goods, the courts recognised an assumed duty of the bailee which, "like the action against the surgeon or the carpenter", was based "on an undertaking (an </w:t>
      </w:r>
      <w:r w:rsidRPr="00883965">
        <w:rPr>
          <w:rFonts w:ascii="Times New Roman" w:hAnsi="Times New Roman"/>
          <w:i/>
          <w:iCs/>
        </w:rPr>
        <w:t>assumpsit</w:t>
      </w:r>
      <w:r w:rsidRPr="00883965">
        <w:rPr>
          <w:rFonts w:ascii="Times New Roman" w:hAnsi="Times New Roman"/>
        </w:rPr>
        <w:t>)"</w:t>
      </w:r>
      <w:r w:rsidRPr="00883965">
        <w:rPr>
          <w:rStyle w:val="FootnoteReference"/>
          <w:rFonts w:ascii="Times New Roman" w:hAnsi="Times New Roman"/>
          <w:sz w:val="24"/>
        </w:rPr>
        <w:footnoteReference w:id="76"/>
      </w:r>
      <w:r w:rsidRPr="00883965">
        <w:rPr>
          <w:rFonts w:ascii="Times New Roman" w:hAnsi="Times New Roman"/>
        </w:rPr>
        <w:t xml:space="preserve"> and was, in effect, an action "for failure to perform a promise to return".</w:t>
      </w:r>
      <w:r w:rsidRPr="00883965">
        <w:rPr>
          <w:rStyle w:val="FootnoteReference"/>
          <w:rFonts w:ascii="Times New Roman" w:hAnsi="Times New Roman"/>
          <w:sz w:val="24"/>
        </w:rPr>
        <w:footnoteReference w:id="77"/>
      </w:r>
      <w:r w:rsidRPr="00883965">
        <w:rPr>
          <w:rFonts w:ascii="Times New Roman" w:hAnsi="Times New Roman"/>
        </w:rPr>
        <w:t xml:space="preserve"> The assumed duty or undertaking was also recognised as arising by implication from an office or calling without requiring consideration. Hence, a common carrier or innkeeper was held to have assumed responsibility to the public to provide carriage or lodging. In the absence of any requirement for consideration, their duties were recognised to arise "independently of contract, and whether [their] defaults took the form of acts or of omissions", based upon the "supposition 'that </w:t>
      </w:r>
      <w:proofErr w:type="spellStart"/>
      <w:proofErr w:type="gramStart"/>
      <w:r w:rsidRPr="00883965">
        <w:rPr>
          <w:rFonts w:ascii="Times New Roman" w:hAnsi="Times New Roman"/>
        </w:rPr>
        <w:t>every one</w:t>
      </w:r>
      <w:proofErr w:type="spellEnd"/>
      <w:proofErr w:type="gramEnd"/>
      <w:r w:rsidRPr="00883965">
        <w:rPr>
          <w:rFonts w:ascii="Times New Roman" w:hAnsi="Times New Roman"/>
        </w:rPr>
        <w:t xml:space="preserve"> who undertakes any office, </w:t>
      </w:r>
      <w:r w:rsidRPr="00883965">
        <w:rPr>
          <w:rFonts w:ascii="Times New Roman" w:hAnsi="Times New Roman"/>
        </w:rPr>
        <w:lastRenderedPageBreak/>
        <w:t>employment, trust, or duty, contracts with those who employ or entrust [them], to perform it with integrity, diligence, and skill'".</w:t>
      </w:r>
      <w:r w:rsidRPr="00883965">
        <w:rPr>
          <w:rStyle w:val="FootnoteReference"/>
          <w:rFonts w:ascii="Times New Roman" w:hAnsi="Times New Roman"/>
          <w:sz w:val="24"/>
        </w:rPr>
        <w:footnoteReference w:id="78"/>
      </w:r>
      <w:r w:rsidRPr="00883965">
        <w:rPr>
          <w:rFonts w:ascii="Times New Roman" w:hAnsi="Times New Roman"/>
        </w:rPr>
        <w:t xml:space="preserve"> </w:t>
      </w:r>
    </w:p>
    <w:p w14:paraId="48F506C4"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Beyond these instances of common callings and bailment, an assumption of responsibility is also the reason that obligations arise from undertakings in unilateral formal deeds and unilateral declarations of trusts. It is the reason that in </w:t>
      </w:r>
      <w:proofErr w:type="spellStart"/>
      <w:r w:rsidRPr="00883965">
        <w:rPr>
          <w:rFonts w:ascii="Times New Roman" w:hAnsi="Times New Roman"/>
          <w:i/>
          <w:iCs/>
        </w:rPr>
        <w:t>Nocton</w:t>
      </w:r>
      <w:proofErr w:type="spellEnd"/>
      <w:r w:rsidRPr="00883965">
        <w:rPr>
          <w:rFonts w:ascii="Times New Roman" w:hAnsi="Times New Roman"/>
          <w:i/>
          <w:iCs/>
        </w:rPr>
        <w:t xml:space="preserve"> v Lord Ashburton</w:t>
      </w:r>
      <w:r w:rsidRPr="00883965">
        <w:rPr>
          <w:rFonts w:ascii="Times New Roman" w:hAnsi="Times New Roman"/>
        </w:rPr>
        <w:t>, the "assumed" duty of a fiduciary to exercise care was recognised in circumstances described as "equivalent to a contract".</w:t>
      </w:r>
      <w:r w:rsidRPr="00883965">
        <w:rPr>
          <w:rStyle w:val="FootnoteReference"/>
          <w:rFonts w:ascii="Times New Roman" w:hAnsi="Times New Roman"/>
          <w:sz w:val="24"/>
        </w:rPr>
        <w:footnoteReference w:id="79"/>
      </w:r>
      <w:r w:rsidRPr="00883965">
        <w:rPr>
          <w:rFonts w:ascii="Times New Roman" w:hAnsi="Times New Roman"/>
        </w:rPr>
        <w:t xml:space="preserve"> In all these instances, the obligation can arise outside the law of contract because the undertaking can be given without consideration. </w:t>
      </w:r>
    </w:p>
    <w:p w14:paraId="7B116697"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It is therefore entirely accurate to say that in the law of torts in the twentieth century plaintiffs deployed an assumption of responsibility to "sidestep the doctrine of consideration" by "uncannily echoing both the reasoning and the language of the lawyers of the fifteenth century".</w:t>
      </w:r>
      <w:r w:rsidRPr="00883965">
        <w:rPr>
          <w:rStyle w:val="FootnoteReference"/>
          <w:rFonts w:ascii="Times New Roman" w:hAnsi="Times New Roman"/>
          <w:sz w:val="24"/>
        </w:rPr>
        <w:footnoteReference w:id="80"/>
      </w:r>
      <w:r w:rsidRPr="00883965">
        <w:rPr>
          <w:rFonts w:ascii="Times New Roman" w:hAnsi="Times New Roman"/>
        </w:rPr>
        <w:t xml:space="preserve"> As Professor </w:t>
      </w:r>
      <w:proofErr w:type="spellStart"/>
      <w:r w:rsidRPr="00883965">
        <w:rPr>
          <w:rFonts w:ascii="Times New Roman" w:hAnsi="Times New Roman"/>
        </w:rPr>
        <w:t>Beever</w:t>
      </w:r>
      <w:proofErr w:type="spellEnd"/>
      <w:r w:rsidRPr="00883965">
        <w:rPr>
          <w:rFonts w:ascii="Times New Roman" w:hAnsi="Times New Roman"/>
        </w:rPr>
        <w:t xml:space="preserve"> has astutely observed:</w:t>
      </w:r>
      <w:r w:rsidRPr="00883965">
        <w:rPr>
          <w:rStyle w:val="FootnoteReference"/>
          <w:rFonts w:ascii="Times New Roman" w:hAnsi="Times New Roman"/>
          <w:sz w:val="24"/>
        </w:rPr>
        <w:footnoteReference w:id="81"/>
      </w:r>
      <w:r w:rsidRPr="00883965">
        <w:rPr>
          <w:rFonts w:ascii="Times New Roman" w:hAnsi="Times New Roman"/>
        </w:rPr>
        <w:t xml:space="preserve"> </w:t>
      </w:r>
    </w:p>
    <w:p w14:paraId="6599A371"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"[T]he notion that the law of contract is a completely separate area of the law from the law of tort has done considerable harm to our understanding of the law as a whole ... [B]</w:t>
      </w:r>
      <w:proofErr w:type="spellStart"/>
      <w:r w:rsidRPr="00883965">
        <w:rPr>
          <w:rFonts w:ascii="Times New Roman" w:hAnsi="Times New Roman"/>
        </w:rPr>
        <w:t>reach</w:t>
      </w:r>
      <w:proofErr w:type="spellEnd"/>
      <w:r w:rsidRPr="00883965">
        <w:rPr>
          <w:rFonts w:ascii="Times New Roman" w:hAnsi="Times New Roman"/>
        </w:rPr>
        <w:t xml:space="preserve"> of contract is the wrong of failing to keep one's assumed obligations in exactly the same way as 'negligent misrepresentation', breach of many trusts, or perhaps breach of a fiduciary obligation are violations of assumed obligations."</w:t>
      </w:r>
    </w:p>
    <w:p w14:paraId="5220182A"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source of the modern application of assumption of responsibility in the law of torts is the speeches of their Lordships, and particularly Lord Devlin, in </w:t>
      </w:r>
      <w:r w:rsidRPr="00883965">
        <w:rPr>
          <w:rFonts w:ascii="Times New Roman" w:hAnsi="Times New Roman"/>
          <w:i/>
          <w:iCs/>
        </w:rPr>
        <w:t>Hedley Byrne &amp; Co Ltd v Heller &amp; Partners Ltd.</w:t>
      </w:r>
      <w:r w:rsidRPr="00883965">
        <w:rPr>
          <w:rStyle w:val="FootnoteReference"/>
          <w:rFonts w:ascii="Times New Roman" w:hAnsi="Times New Roman"/>
          <w:sz w:val="24"/>
        </w:rPr>
        <w:footnoteReference w:id="82"/>
      </w:r>
      <w:r w:rsidRPr="00883965">
        <w:rPr>
          <w:rFonts w:ascii="Times New Roman" w:hAnsi="Times New Roman"/>
          <w:i/>
          <w:iCs/>
        </w:rPr>
        <w:t xml:space="preserve"> </w:t>
      </w:r>
      <w:r w:rsidRPr="00883965">
        <w:rPr>
          <w:rFonts w:ascii="Times New Roman" w:hAnsi="Times New Roman"/>
        </w:rPr>
        <w:t xml:space="preserve">Although a disclaimer precluded any finding of an undertaking in that case, their Lordships recognised that liability could arise following an undertaking that care would be taken concerning the accuracy of a statement. As Lord Devlin explained, it would be an "extreme assertion" to suggest that liability based upon an assumption of responsibility could only arise in instances of breach of a "contractual or fiduciary duty". That assertion would mean that a patient who gave up their occupation could </w:t>
      </w:r>
      <w:r w:rsidRPr="00883965">
        <w:rPr>
          <w:rFonts w:ascii="Times New Roman" w:hAnsi="Times New Roman"/>
        </w:rPr>
        <w:lastRenderedPageBreak/>
        <w:t xml:space="preserve">recover damages from a doctor in a private hospital if, for a fee, the doctor had negligently advised the patient that they could not pursue their </w:t>
      </w:r>
      <w:proofErr w:type="gramStart"/>
      <w:r w:rsidRPr="00883965">
        <w:rPr>
          <w:rFonts w:ascii="Times New Roman" w:hAnsi="Times New Roman"/>
        </w:rPr>
        <w:t>occupation, but</w:t>
      </w:r>
      <w:proofErr w:type="gramEnd"/>
      <w:r w:rsidRPr="00883965">
        <w:rPr>
          <w:rFonts w:ascii="Times New Roman" w:hAnsi="Times New Roman"/>
        </w:rPr>
        <w:t xml:space="preserve"> could not recover damages if the same advice had been given in a public hospital without a fee. Lord Devlin rightly explained that this was "nonsense". It was "a refusal to make sense".</w:t>
      </w:r>
      <w:r w:rsidRPr="00883965">
        <w:rPr>
          <w:rStyle w:val="FootnoteReference"/>
          <w:rFonts w:ascii="Times New Roman" w:hAnsi="Times New Roman"/>
          <w:sz w:val="24"/>
        </w:rPr>
        <w:footnoteReference w:id="83"/>
      </w:r>
      <w:r w:rsidRPr="00883965">
        <w:rPr>
          <w:rFonts w:ascii="Times New Roman" w:hAnsi="Times New Roman"/>
        </w:rPr>
        <w:t xml:space="preserve"> Lord Devlin continued, explaining that an assumption of responsibility could not be confined to categories such as common callings:</w:t>
      </w:r>
      <w:r w:rsidRPr="00883965">
        <w:rPr>
          <w:rStyle w:val="FootnoteReference"/>
          <w:rFonts w:ascii="Times New Roman" w:hAnsi="Times New Roman"/>
          <w:sz w:val="24"/>
        </w:rPr>
        <w:footnoteReference w:id="84"/>
      </w:r>
    </w:p>
    <w:p w14:paraId="344BF599"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"If a defendant says to a plaintiff: 'Let me do this for you; do not waste your money in employing a professional, I will do it for nothing and you can rely on me,' I do not think [the defendant] could escape liability simply because [the defendant] belonged to no profession or calling, had no qualifications or special skill and did not hold [themself] out as having any."</w:t>
      </w:r>
    </w:p>
    <w:p w14:paraId="6119CF76" w14:textId="77777777" w:rsidR="001F5442" w:rsidRPr="00883965" w:rsidRDefault="001F5442" w:rsidP="00883965">
      <w:pPr>
        <w:pStyle w:val="NormalBody"/>
        <w:spacing w:after="260" w:line="280" w:lineRule="exact"/>
        <w:ind w:right="0"/>
        <w:jc w:val="both"/>
        <w:rPr>
          <w:rFonts w:ascii="Times New Roman" w:hAnsi="Times New Roman"/>
        </w:rPr>
      </w:pPr>
      <w:r w:rsidRPr="00883965">
        <w:rPr>
          <w:rFonts w:ascii="Times New Roman" w:hAnsi="Times New Roman"/>
        </w:rPr>
        <w:t xml:space="preserve">In other words, </w:t>
      </w:r>
      <w:r w:rsidRPr="00883965">
        <w:rPr>
          <w:rFonts w:ascii="Times New Roman" w:hAnsi="Times New Roman"/>
          <w:i/>
          <w:iCs/>
        </w:rPr>
        <w:t xml:space="preserve">Hedley Byrne </w:t>
      </w:r>
      <w:r w:rsidRPr="00883965">
        <w:rPr>
          <w:rFonts w:ascii="Times New Roman" w:hAnsi="Times New Roman"/>
        </w:rPr>
        <w:t>recognised that liability could arise based upon the breach of an undertaking "which, because there is no consideration, is not enforceable under the rules of contract".</w:t>
      </w:r>
      <w:r w:rsidRPr="00883965">
        <w:rPr>
          <w:rStyle w:val="FootnoteReference"/>
          <w:rFonts w:ascii="Times New Roman" w:hAnsi="Times New Roman"/>
          <w:sz w:val="24"/>
        </w:rPr>
        <w:footnoteReference w:id="85"/>
      </w:r>
      <w:r w:rsidRPr="00883965">
        <w:rPr>
          <w:rFonts w:ascii="Times New Roman" w:hAnsi="Times New Roman"/>
        </w:rPr>
        <w:t xml:space="preserve"> </w:t>
      </w:r>
    </w:p>
    <w:p w14:paraId="3638DCC0"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Like the position in English law,</w:t>
      </w:r>
      <w:r w:rsidRPr="00883965">
        <w:rPr>
          <w:rStyle w:val="FootnoteReference"/>
          <w:rFonts w:ascii="Times New Roman" w:hAnsi="Times New Roman"/>
          <w:sz w:val="24"/>
        </w:rPr>
        <w:footnoteReference w:id="86"/>
      </w:r>
      <w:r w:rsidRPr="00883965">
        <w:rPr>
          <w:rFonts w:ascii="Times New Roman" w:hAnsi="Times New Roman"/>
        </w:rPr>
        <w:t xml:space="preserve"> the "position in Australia"</w:t>
      </w:r>
      <w:r w:rsidRPr="00883965">
        <w:rPr>
          <w:rStyle w:val="FootnoteReference"/>
          <w:rFonts w:ascii="Times New Roman" w:hAnsi="Times New Roman"/>
          <w:sz w:val="24"/>
        </w:rPr>
        <w:footnoteReference w:id="87"/>
      </w:r>
      <w:r w:rsidRPr="00883965">
        <w:rPr>
          <w:rFonts w:ascii="Times New Roman" w:hAnsi="Times New Roman"/>
        </w:rPr>
        <w:t xml:space="preserve"> is that an assumption of responsibility, in the sense explained in </w:t>
      </w:r>
      <w:r w:rsidRPr="00883965">
        <w:rPr>
          <w:rFonts w:ascii="Times New Roman" w:hAnsi="Times New Roman"/>
          <w:i/>
          <w:iCs/>
        </w:rPr>
        <w:t xml:space="preserve">Hedley Byrne </w:t>
      </w:r>
      <w:r w:rsidRPr="00883965">
        <w:rPr>
          <w:rFonts w:ascii="Times New Roman" w:hAnsi="Times New Roman"/>
          <w:iCs/>
        </w:rPr>
        <w:t>and "unanimously affirm[ed]" by the High Court</w:t>
      </w:r>
      <w:r w:rsidRPr="00883965">
        <w:rPr>
          <w:rFonts w:ascii="Times New Roman" w:hAnsi="Times New Roman"/>
        </w:rPr>
        <w:t>,</w:t>
      </w:r>
      <w:r w:rsidRPr="00883965">
        <w:rPr>
          <w:rStyle w:val="FootnoteReference"/>
          <w:rFonts w:ascii="Times New Roman" w:hAnsi="Times New Roman"/>
          <w:sz w:val="24"/>
        </w:rPr>
        <w:footnoteReference w:id="88"/>
      </w:r>
      <w:r w:rsidRPr="00883965">
        <w:rPr>
          <w:rFonts w:ascii="Times New Roman" w:hAnsi="Times New Roman"/>
        </w:rPr>
        <w:t xml:space="preserve"> is sufficient for the law of torts to recognise a duty to take reasonable care when that is what had been expressly or impliedly undertaken. Of course, like any action for the tort of negligence, liability requires proof that the defendant's actions, for which responsibility had been assumed by the defendant's express or implied undertaking, had caused </w:t>
      </w:r>
      <w:r w:rsidRPr="00883965">
        <w:rPr>
          <w:rFonts w:ascii="Times New Roman" w:hAnsi="Times New Roman"/>
        </w:rPr>
        <w:lastRenderedPageBreak/>
        <w:t>consequential loss (including, in some cases, following reasonable reliance upon the defendant's conduct).</w:t>
      </w:r>
      <w:r w:rsidRPr="00883965">
        <w:rPr>
          <w:rStyle w:val="FootnoteReference"/>
          <w:rFonts w:ascii="Times New Roman" w:hAnsi="Times New Roman"/>
          <w:sz w:val="24"/>
        </w:rPr>
        <w:footnoteReference w:id="89"/>
      </w:r>
      <w:r w:rsidRPr="00883965">
        <w:rPr>
          <w:rFonts w:ascii="Times New Roman" w:hAnsi="Times New Roman"/>
        </w:rPr>
        <w:t xml:space="preserve"> </w:t>
      </w:r>
    </w:p>
    <w:p w14:paraId="3E798765"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Application to this appeal</w:t>
      </w:r>
    </w:p>
    <w:p w14:paraId="574BF8C5"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It naturally follows from the nature of an assumption of responsibility as an express or implied undertaking made to a person that the obligation is owed only by those who objectively provide the undertaking and owed only to those to whom they provided the undertaking.</w:t>
      </w:r>
      <w:r w:rsidRPr="00883965">
        <w:rPr>
          <w:rStyle w:val="FootnoteReference"/>
          <w:rFonts w:ascii="Times New Roman" w:hAnsi="Times New Roman"/>
          <w:sz w:val="24"/>
        </w:rPr>
        <w:footnoteReference w:id="90"/>
      </w:r>
      <w:r w:rsidRPr="00883965">
        <w:rPr>
          <w:rFonts w:ascii="Times New Roman" w:hAnsi="Times New Roman"/>
        </w:rPr>
        <w:t xml:space="preserve"> An undertaking that founds an assumption of responsibility is to a person or group of people. No undertaking will be implied if it is not reasonably expected that it would be made to that person or group in those circumstances.</w:t>
      </w:r>
      <w:r w:rsidRPr="00883965">
        <w:rPr>
          <w:rStyle w:val="FootnoteReference"/>
          <w:rFonts w:ascii="Times New Roman" w:hAnsi="Times New Roman"/>
          <w:sz w:val="24"/>
        </w:rPr>
        <w:footnoteReference w:id="91"/>
      </w:r>
      <w:r w:rsidRPr="00883965">
        <w:rPr>
          <w:rFonts w:ascii="Times New Roman" w:hAnsi="Times New Roman"/>
        </w:rPr>
        <w:t xml:space="preserve"> </w:t>
      </w:r>
    </w:p>
    <w:p w14:paraId="1893778F"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Therein lies the insurmountable hurdle for the appellant growers. Contrary to their submission, it is not accurate to say that the respondent producer "assumed responsibility for ... the manufacture [of the seed]". An assumption of responsibility by the respondent producer that care would be taken to ensure that the grain sorghum seed was free from contamination might be implied in its dealings with its customers, the distributors. But there is no basis in any of the evidence for an implication that the respondent producer gave any undertaking to third parties that care would be taken to ensure that the grain sorghum seed was free from contamination. To the contrary, the "Conditions of Sale and Use" printed on the bags disclaimed any undertaking that could form the basis of an assumption of responsibility to ultimate consumers.</w:t>
      </w:r>
    </w:p>
    <w:p w14:paraId="6C5E6231"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order to avoid the constraint that an assumption of responsibility only gives rise to obligations owed to the person or group to whom the undertaking is made, the appellant growers relied upon the decision of this Court in </w:t>
      </w:r>
      <w:r w:rsidRPr="00883965">
        <w:rPr>
          <w:rFonts w:ascii="Times New Roman" w:hAnsi="Times New Roman"/>
          <w:i/>
          <w:iCs/>
        </w:rPr>
        <w:t xml:space="preserve">Hill v Van </w:t>
      </w:r>
      <w:r w:rsidRPr="00883965">
        <w:rPr>
          <w:rFonts w:ascii="Times New Roman" w:hAnsi="Times New Roman"/>
          <w:i/>
          <w:iCs/>
        </w:rPr>
        <w:lastRenderedPageBreak/>
        <w:t>Erp.</w:t>
      </w:r>
      <w:r w:rsidRPr="00883965">
        <w:rPr>
          <w:rStyle w:val="FootnoteReference"/>
          <w:rFonts w:ascii="Times New Roman" w:hAnsi="Times New Roman"/>
          <w:sz w:val="24"/>
        </w:rPr>
        <w:footnoteReference w:id="92"/>
      </w:r>
      <w:r w:rsidRPr="00883965">
        <w:rPr>
          <w:rFonts w:ascii="Times New Roman" w:hAnsi="Times New Roman"/>
          <w:i/>
          <w:iCs/>
        </w:rPr>
        <w:t xml:space="preserve"> </w:t>
      </w:r>
      <w:r w:rsidRPr="00883965">
        <w:rPr>
          <w:rFonts w:ascii="Times New Roman" w:hAnsi="Times New Roman"/>
        </w:rPr>
        <w:t>In that case, a solicitor was held liable to an intended beneficiary under a will for negligently causing economic loss to the intended beneficiary arising from the will being prepared without proper attestation. The solicitor had contractually assumed responsibility to the deceased testator, who was her client. But, as McHugh J observed in dissent, the solicitor had assumed no responsibility to the intended beneficiary.</w:t>
      </w:r>
      <w:r w:rsidRPr="00883965">
        <w:rPr>
          <w:rStyle w:val="FootnoteReference"/>
          <w:rFonts w:ascii="Times New Roman" w:hAnsi="Times New Roman"/>
          <w:sz w:val="24"/>
        </w:rPr>
        <w:footnoteReference w:id="93"/>
      </w:r>
      <w:r w:rsidRPr="00883965">
        <w:rPr>
          <w:rFonts w:ascii="Times New Roman" w:hAnsi="Times New Roman"/>
        </w:rPr>
        <w:t xml:space="preserve">  </w:t>
      </w:r>
    </w:p>
    <w:p w14:paraId="7BE9E94F"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best justification for the result in </w:t>
      </w:r>
      <w:r w:rsidRPr="00883965">
        <w:rPr>
          <w:rFonts w:ascii="Times New Roman" w:hAnsi="Times New Roman"/>
          <w:i/>
          <w:iCs/>
        </w:rPr>
        <w:t xml:space="preserve">Hill v Van Erp </w:t>
      </w:r>
      <w:r w:rsidRPr="00883965">
        <w:rPr>
          <w:rFonts w:ascii="Times New Roman" w:hAnsi="Times New Roman"/>
        </w:rPr>
        <w:t xml:space="preserve">is provided in the reasons of </w:t>
      </w:r>
      <w:proofErr w:type="spellStart"/>
      <w:r w:rsidRPr="00883965">
        <w:rPr>
          <w:rFonts w:ascii="Times New Roman" w:hAnsi="Times New Roman"/>
        </w:rPr>
        <w:t>Gummow</w:t>
      </w:r>
      <w:proofErr w:type="spellEnd"/>
      <w:r w:rsidRPr="00883965">
        <w:rPr>
          <w:rFonts w:ascii="Times New Roman" w:hAnsi="Times New Roman"/>
        </w:rPr>
        <w:t xml:space="preserve"> J, which were relied upon by the appellant growers in this appeal. </w:t>
      </w:r>
      <w:proofErr w:type="spellStart"/>
      <w:r w:rsidRPr="00883965">
        <w:rPr>
          <w:rFonts w:ascii="Times New Roman" w:hAnsi="Times New Roman"/>
        </w:rPr>
        <w:t>Gummow</w:t>
      </w:r>
      <w:proofErr w:type="spellEnd"/>
      <w:r w:rsidRPr="00883965">
        <w:rPr>
          <w:rFonts w:ascii="Times New Roman" w:hAnsi="Times New Roman"/>
        </w:rPr>
        <w:t> J held that although the solicitor had not assumed responsibility to any person other than the deceased testator, to whom the solicitor owed a contractual duty,</w:t>
      </w:r>
      <w:r w:rsidRPr="00883965">
        <w:rPr>
          <w:rStyle w:val="FootnoteReference"/>
          <w:rFonts w:ascii="Times New Roman" w:hAnsi="Times New Roman"/>
          <w:sz w:val="24"/>
        </w:rPr>
        <w:footnoteReference w:id="94"/>
      </w:r>
      <w:r w:rsidRPr="00883965">
        <w:rPr>
          <w:rFonts w:ascii="Times New Roman" w:hAnsi="Times New Roman"/>
        </w:rPr>
        <w:t xml:space="preserve"> that contractual duty was "one of imperfect obligation".</w:t>
      </w:r>
      <w:r w:rsidRPr="00883965">
        <w:rPr>
          <w:rStyle w:val="FootnoteReference"/>
          <w:rFonts w:ascii="Times New Roman" w:hAnsi="Times New Roman"/>
          <w:sz w:val="24"/>
        </w:rPr>
        <w:footnoteReference w:id="95"/>
      </w:r>
      <w:r w:rsidRPr="00883965">
        <w:rPr>
          <w:rFonts w:ascii="Times New Roman" w:hAnsi="Times New Roman"/>
        </w:rPr>
        <w:t xml:space="preserve"> In other words, the breach of duty would only result in loss when the testator was </w:t>
      </w:r>
      <w:proofErr w:type="gramStart"/>
      <w:r w:rsidRPr="00883965">
        <w:rPr>
          <w:rFonts w:ascii="Times New Roman" w:hAnsi="Times New Roman"/>
        </w:rPr>
        <w:t>deceased</w:t>
      </w:r>
      <w:proofErr w:type="gramEnd"/>
      <w:r w:rsidRPr="00883965">
        <w:rPr>
          <w:rFonts w:ascii="Times New Roman" w:hAnsi="Times New Roman"/>
        </w:rPr>
        <w:t xml:space="preserve"> and the loss would only be incurred by third parties. His Honour held that "[t]</w:t>
      </w:r>
      <w:proofErr w:type="gramStart"/>
      <w:r w:rsidRPr="00883965">
        <w:rPr>
          <w:rFonts w:ascii="Times New Roman" w:hAnsi="Times New Roman"/>
        </w:rPr>
        <w:t>he</w:t>
      </w:r>
      <w:proofErr w:type="gramEnd"/>
      <w:r w:rsidRPr="00883965">
        <w:rPr>
          <w:rFonts w:ascii="Times New Roman" w:hAnsi="Times New Roman"/>
        </w:rPr>
        <w:t xml:space="preserve"> law of tort operates in such circumstances to complete and vindicate fulfilment of that contractual obligation".</w:t>
      </w:r>
      <w:r w:rsidRPr="00883965">
        <w:rPr>
          <w:rStyle w:val="FootnoteReference"/>
          <w:rFonts w:ascii="Times New Roman" w:hAnsi="Times New Roman"/>
          <w:sz w:val="24"/>
        </w:rPr>
        <w:footnoteReference w:id="96"/>
      </w:r>
      <w:r w:rsidRPr="00883965">
        <w:rPr>
          <w:rFonts w:ascii="Times New Roman" w:hAnsi="Times New Roman"/>
        </w:rPr>
        <w:t xml:space="preserve"> As Dr </w:t>
      </w:r>
      <w:proofErr w:type="spellStart"/>
      <w:r w:rsidRPr="00883965">
        <w:rPr>
          <w:rFonts w:ascii="Times New Roman" w:hAnsi="Times New Roman"/>
        </w:rPr>
        <w:t>Liau</w:t>
      </w:r>
      <w:proofErr w:type="spellEnd"/>
      <w:r w:rsidRPr="00883965">
        <w:rPr>
          <w:rFonts w:ascii="Times New Roman" w:hAnsi="Times New Roman"/>
        </w:rPr>
        <w:t xml:space="preserve"> has explained of the claims by intended beneficiaries in an equivalent English decision,</w:t>
      </w:r>
      <w:r w:rsidRPr="00883965">
        <w:rPr>
          <w:rStyle w:val="FootnoteReference"/>
          <w:rFonts w:ascii="Times New Roman" w:hAnsi="Times New Roman"/>
          <w:sz w:val="24"/>
        </w:rPr>
        <w:footnoteReference w:id="97"/>
      </w:r>
      <w:r w:rsidRPr="00883965">
        <w:rPr>
          <w:rFonts w:ascii="Times New Roman" w:hAnsi="Times New Roman"/>
        </w:rPr>
        <w:t xml:space="preserve"> "they were exceptionally empowered with the standing to enforce their own secondary rights to damages, 'derived' from the wrong done to [the deceased testator]". </w:t>
      </w:r>
    </w:p>
    <w:p w14:paraId="57A8711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There is no justification for extending the exceptional principle in </w:t>
      </w:r>
      <w:r w:rsidRPr="00883965">
        <w:rPr>
          <w:rFonts w:ascii="Times New Roman" w:hAnsi="Times New Roman"/>
          <w:i/>
          <w:iCs/>
        </w:rPr>
        <w:t xml:space="preserve">Hill v Van Erp </w:t>
      </w:r>
      <w:r w:rsidRPr="00883965">
        <w:rPr>
          <w:rFonts w:ascii="Times New Roman" w:hAnsi="Times New Roman"/>
        </w:rPr>
        <w:t xml:space="preserve">to this case: any contractual duty owed by the respondent producer to the distributors was not one of imperfect obligation like the obligation in </w:t>
      </w:r>
      <w:r w:rsidRPr="00883965">
        <w:rPr>
          <w:rFonts w:ascii="Times New Roman" w:hAnsi="Times New Roman"/>
          <w:i/>
          <w:iCs/>
        </w:rPr>
        <w:t>Hill v Van Erp</w:t>
      </w:r>
      <w:r w:rsidRPr="00883965">
        <w:rPr>
          <w:rFonts w:ascii="Times New Roman" w:hAnsi="Times New Roman"/>
        </w:rPr>
        <w:t>. Whatever the obligation to take reasonable care was that was expressed or implied in contracts between the respondent producer and the distributors, and the evidence at trial was greatly lacking on this point,</w:t>
      </w:r>
      <w:r w:rsidRPr="00883965">
        <w:rPr>
          <w:rStyle w:val="FootnoteReference"/>
          <w:rFonts w:ascii="Times New Roman" w:hAnsi="Times New Roman"/>
          <w:sz w:val="24"/>
        </w:rPr>
        <w:footnoteReference w:id="98"/>
      </w:r>
      <w:r w:rsidRPr="00883965">
        <w:rPr>
          <w:rFonts w:ascii="Times New Roman" w:hAnsi="Times New Roman"/>
        </w:rPr>
        <w:t xml:space="preserve"> there was no suggestion that it </w:t>
      </w:r>
      <w:r w:rsidRPr="00883965">
        <w:rPr>
          <w:rFonts w:ascii="Times New Roman" w:hAnsi="Times New Roman"/>
        </w:rPr>
        <w:lastRenderedPageBreak/>
        <w:t>was an obligation where "the only persons who might have a valid claim ... [would] suffer[] no loss and the only persons who [would] suffer[] a loss ... had no claim".</w:t>
      </w:r>
      <w:r w:rsidRPr="00883965">
        <w:rPr>
          <w:rStyle w:val="FootnoteReference"/>
          <w:rFonts w:ascii="Times New Roman" w:hAnsi="Times New Roman"/>
          <w:sz w:val="24"/>
        </w:rPr>
        <w:footnoteReference w:id="99"/>
      </w:r>
      <w:r w:rsidRPr="00883965">
        <w:rPr>
          <w:rFonts w:ascii="Times New Roman" w:hAnsi="Times New Roman"/>
        </w:rPr>
        <w:t xml:space="preserve">  </w:t>
      </w:r>
    </w:p>
    <w:p w14:paraId="74083149" w14:textId="77777777" w:rsidR="001F5442" w:rsidRPr="00883965" w:rsidRDefault="001F5442" w:rsidP="00883965">
      <w:pPr>
        <w:pStyle w:val="HeadingL1"/>
        <w:spacing w:after="260" w:line="280" w:lineRule="exact"/>
        <w:ind w:right="0"/>
        <w:jc w:val="both"/>
        <w:rPr>
          <w:rFonts w:ascii="Times New Roman" w:hAnsi="Times New Roman"/>
        </w:rPr>
      </w:pPr>
      <w:r w:rsidRPr="00883965">
        <w:rPr>
          <w:rFonts w:ascii="Times New Roman" w:hAnsi="Times New Roman"/>
        </w:rPr>
        <w:t xml:space="preserve">Recovery of economic loss arising from "salient </w:t>
      </w:r>
      <w:proofErr w:type="gramStart"/>
      <w:r w:rsidRPr="00883965">
        <w:rPr>
          <w:rFonts w:ascii="Times New Roman" w:hAnsi="Times New Roman"/>
        </w:rPr>
        <w:t>features"</w:t>
      </w:r>
      <w:proofErr w:type="gramEnd"/>
    </w:p>
    <w:p w14:paraId="7957AFD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the absence of any undertaking by the respondent producer amounting to an assumption of responsibility to the appellant growers, the duty of care (if any) owed by the respondent producer must be one that is imposed by law. But there was no infringement of any right of the appellant growers to their person or property. Hence, the loss sought to be recovered by the appellant growers arose in a "pure" sense; it was not consequential upon any infringement of a right to person or property. But just as there is no general duty at common law upon a non-fraudulent defendant not to expose a plaintiff to "pure" economic loss </w:t>
      </w:r>
      <w:r w:rsidRPr="00883965">
        <w:rPr>
          <w:rFonts w:ascii="Times New Roman" w:hAnsi="Times New Roman"/>
          <w:i/>
          <w:iCs/>
        </w:rPr>
        <w:t>intentionally</w:t>
      </w:r>
      <w:r w:rsidRPr="00883965">
        <w:rPr>
          <w:rFonts w:ascii="Times New Roman" w:hAnsi="Times New Roman"/>
        </w:rPr>
        <w:t>,</w:t>
      </w:r>
      <w:r w:rsidRPr="00883965">
        <w:rPr>
          <w:rStyle w:val="FootnoteReference"/>
          <w:rFonts w:ascii="Times New Roman" w:hAnsi="Times New Roman"/>
          <w:sz w:val="24"/>
        </w:rPr>
        <w:footnoteReference w:id="100"/>
      </w:r>
      <w:r w:rsidRPr="00883965">
        <w:rPr>
          <w:rFonts w:ascii="Times New Roman" w:hAnsi="Times New Roman"/>
        </w:rPr>
        <w:t xml:space="preserve"> there also can be no general duty of care at common law upon a defendant not to expose a person to "pure" economic loss </w:t>
      </w:r>
      <w:r w:rsidRPr="00883965">
        <w:rPr>
          <w:rFonts w:ascii="Times New Roman" w:hAnsi="Times New Roman"/>
          <w:i/>
          <w:iCs/>
        </w:rPr>
        <w:t>negligently</w:t>
      </w:r>
      <w:r w:rsidRPr="00883965">
        <w:rPr>
          <w:rFonts w:ascii="Times New Roman" w:hAnsi="Times New Roman"/>
        </w:rPr>
        <w:t xml:space="preserve">. </w:t>
      </w:r>
      <w:proofErr w:type="gramStart"/>
      <w:r w:rsidRPr="00883965">
        <w:rPr>
          <w:rFonts w:ascii="Times New Roman" w:hAnsi="Times New Roman"/>
        </w:rPr>
        <w:t>So</w:t>
      </w:r>
      <w:proofErr w:type="gramEnd"/>
      <w:r w:rsidRPr="00883965">
        <w:rPr>
          <w:rFonts w:ascii="Times New Roman" w:hAnsi="Times New Roman"/>
        </w:rPr>
        <w:t xml:space="preserve"> what could be the nature of a duty in this case that could permit recovery of such "pure" economic loss?  </w:t>
      </w:r>
    </w:p>
    <w:p w14:paraId="34026BF4"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appellant growers correctly did not assert that there was a general duty not to expose a person to "pure" economic loss negligently. Instead, they relied upon a more limited, yet uncertain, duty not to expose a person to economic loss in particular cases bearing "salient features". The authority relied upon most heavily by the appellant growers, </w:t>
      </w:r>
      <w:r w:rsidRPr="00883965">
        <w:rPr>
          <w:rFonts w:ascii="Times New Roman" w:hAnsi="Times New Roman"/>
          <w:i/>
          <w:iCs/>
        </w:rPr>
        <w:t>Caltex</w:t>
      </w:r>
      <w:r w:rsidRPr="00883965">
        <w:rPr>
          <w:rFonts w:ascii="Times New Roman" w:hAnsi="Times New Roman"/>
        </w:rPr>
        <w:t>, was a case of economic loss caused to a plaintiff by negligent infringement of the property rights of a third party. At first blush, it seems highly implausible that the common law would recognise a duty of care to avoid exposing a plaintiff to economic loss due to the negligent infringement of the property rights of a third party. There is no duty of care to avoid exposing a plaintiff to economic loss by negligently causing the death of, or severe injury to, a third party.</w:t>
      </w:r>
      <w:r w:rsidRPr="00883965">
        <w:rPr>
          <w:rStyle w:val="FootnoteReference"/>
          <w:rFonts w:ascii="Times New Roman" w:hAnsi="Times New Roman"/>
          <w:sz w:val="24"/>
        </w:rPr>
        <w:footnoteReference w:id="101"/>
      </w:r>
      <w:r w:rsidRPr="00883965">
        <w:rPr>
          <w:rFonts w:ascii="Times New Roman" w:hAnsi="Times New Roman"/>
        </w:rPr>
        <w:t xml:space="preserve"> Why should there be a duty of care to avoid exposing a plaintiff to economic loss by negligently infringing the property rights of a third party? </w:t>
      </w:r>
    </w:p>
    <w:p w14:paraId="5BF4522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lastRenderedPageBreak/>
        <w:tab/>
        <w:t xml:space="preserve">The </w:t>
      </w:r>
      <w:r w:rsidRPr="00883965">
        <w:rPr>
          <w:rFonts w:ascii="Times New Roman" w:hAnsi="Times New Roman"/>
          <w:i/>
          <w:iCs/>
        </w:rPr>
        <w:t xml:space="preserve">Restatement (Third) of Torts: Liability for Economic Harm </w:t>
      </w:r>
      <w:r w:rsidRPr="00883965">
        <w:rPr>
          <w:rFonts w:ascii="Times New Roman" w:hAnsi="Times New Roman"/>
        </w:rPr>
        <w:t xml:space="preserve">("the </w:t>
      </w:r>
      <w:r w:rsidRPr="00883965">
        <w:rPr>
          <w:rFonts w:ascii="Times New Roman" w:hAnsi="Times New Roman"/>
          <w:i/>
          <w:iCs/>
        </w:rPr>
        <w:t>Restatement</w:t>
      </w:r>
      <w:r w:rsidRPr="00883965">
        <w:rPr>
          <w:rFonts w:ascii="Times New Roman" w:hAnsi="Times New Roman"/>
        </w:rPr>
        <w:t>")</w:t>
      </w:r>
      <w:r w:rsidRPr="00883965">
        <w:rPr>
          <w:rStyle w:val="FootnoteReference"/>
          <w:rFonts w:ascii="Times New Roman" w:hAnsi="Times New Roman"/>
          <w:sz w:val="24"/>
        </w:rPr>
        <w:footnoteReference w:id="102"/>
      </w:r>
      <w:r w:rsidRPr="00883965">
        <w:rPr>
          <w:rFonts w:ascii="Times New Roman" w:hAnsi="Times New Roman"/>
        </w:rPr>
        <w:t xml:space="preserve"> rejects the existence of a duty of care in the circumstances of the </w:t>
      </w:r>
      <w:r w:rsidRPr="00883965">
        <w:rPr>
          <w:rFonts w:ascii="Times New Roman" w:hAnsi="Times New Roman"/>
          <w:i/>
          <w:iCs/>
        </w:rPr>
        <w:t xml:space="preserve">Caltex </w:t>
      </w:r>
      <w:r w:rsidRPr="00883965">
        <w:rPr>
          <w:rFonts w:ascii="Times New Roman" w:hAnsi="Times New Roman"/>
        </w:rPr>
        <w:t xml:space="preserve">case relied upon by the appellant growers, stating a clear principle that a plaintiff with only a mere contractual interest in relation to property "cannot recover in tort when the property is damaged". The </w:t>
      </w:r>
      <w:r w:rsidRPr="00883965">
        <w:rPr>
          <w:rFonts w:ascii="Times New Roman" w:hAnsi="Times New Roman"/>
          <w:i/>
          <w:iCs/>
        </w:rPr>
        <w:t>Restatement</w:t>
      </w:r>
      <w:r w:rsidRPr="00883965">
        <w:rPr>
          <w:rFonts w:ascii="Times New Roman" w:hAnsi="Times New Roman"/>
        </w:rPr>
        <w:t xml:space="preserve"> gives the illustration of a vessel that negligently damages a bridge that a railroad operator has a contractual right to use, but in which the operator has no property right. If the railroad operator suffers loss due to a need to send its trains on a more expensive route, it cannot recover from the owner of the vessel.</w:t>
      </w:r>
      <w:r w:rsidRPr="00883965">
        <w:rPr>
          <w:rStyle w:val="FootnoteReference"/>
          <w:rFonts w:ascii="Times New Roman" w:hAnsi="Times New Roman"/>
          <w:sz w:val="24"/>
        </w:rPr>
        <w:footnoteReference w:id="103"/>
      </w:r>
      <w:r w:rsidRPr="00883965">
        <w:rPr>
          <w:rFonts w:ascii="Times New Roman" w:hAnsi="Times New Roman"/>
        </w:rPr>
        <w:t xml:space="preserve"> That clear principle and illustration reflects the longstanding position in the United States.</w:t>
      </w:r>
      <w:r w:rsidRPr="00883965">
        <w:rPr>
          <w:rStyle w:val="FootnoteReference"/>
          <w:rFonts w:ascii="Times New Roman" w:hAnsi="Times New Roman"/>
          <w:sz w:val="24"/>
        </w:rPr>
        <w:footnoteReference w:id="104"/>
      </w:r>
      <w:r w:rsidRPr="00883965">
        <w:rPr>
          <w:rFonts w:ascii="Times New Roman" w:hAnsi="Times New Roman"/>
        </w:rPr>
        <w:t xml:space="preserve"> It also reflects longstanding English law.</w:t>
      </w:r>
      <w:r w:rsidRPr="00883965">
        <w:rPr>
          <w:rStyle w:val="FootnoteReference"/>
          <w:rFonts w:ascii="Times New Roman" w:hAnsi="Times New Roman"/>
          <w:sz w:val="24"/>
        </w:rPr>
        <w:footnoteReference w:id="105"/>
      </w:r>
      <w:r w:rsidRPr="00883965">
        <w:rPr>
          <w:rFonts w:ascii="Times New Roman" w:hAnsi="Times New Roman"/>
        </w:rPr>
        <w:t xml:space="preserve"> Canadian law might allow a plaintiff's claim in such circumstances as a categorical exception that permits recovery of "contractual relational economic loss" in the absence of a right to person or property.</w:t>
      </w:r>
      <w:r w:rsidRPr="00883965">
        <w:rPr>
          <w:rStyle w:val="FootnoteReference"/>
          <w:rFonts w:ascii="Times New Roman" w:hAnsi="Times New Roman"/>
          <w:sz w:val="24"/>
        </w:rPr>
        <w:footnoteReference w:id="106"/>
      </w:r>
      <w:r w:rsidRPr="00883965">
        <w:rPr>
          <w:rFonts w:ascii="Times New Roman" w:hAnsi="Times New Roman"/>
        </w:rPr>
        <w:t xml:space="preserve"> But it has been observed that the recoverability of pure economic loss in Canada has become "extraordinarily complex" and that the failure of Canadian courts "to insist that claimants seeking to recover pure economic loss demonstrate injury to a legally cognizable right is at the root of much of the difficulty that lawyers and judges have encountered in litigating and adjudicating such claims".</w:t>
      </w:r>
      <w:r w:rsidRPr="00883965">
        <w:rPr>
          <w:rStyle w:val="FootnoteReference"/>
          <w:rFonts w:ascii="Times New Roman" w:hAnsi="Times New Roman"/>
          <w:sz w:val="24"/>
        </w:rPr>
        <w:footnoteReference w:id="107"/>
      </w:r>
      <w:r w:rsidRPr="00883965">
        <w:rPr>
          <w:rFonts w:ascii="Times New Roman" w:hAnsi="Times New Roman"/>
        </w:rPr>
        <w:t xml:space="preserve"> Since 1976, when this Court also recognised such a claim, in a decision which it </w:t>
      </w:r>
      <w:r w:rsidRPr="00883965">
        <w:rPr>
          <w:rFonts w:ascii="Times New Roman" w:hAnsi="Times New Roman"/>
        </w:rPr>
        <w:lastRenderedPageBreak/>
        <w:t>has been said that even Canadian law would regard as incorrectly decided,</w:t>
      </w:r>
      <w:r w:rsidRPr="00883965">
        <w:rPr>
          <w:rStyle w:val="FootnoteReference"/>
          <w:rFonts w:ascii="Times New Roman" w:hAnsi="Times New Roman"/>
          <w:sz w:val="24"/>
        </w:rPr>
        <w:footnoteReference w:id="108"/>
      </w:r>
      <w:r w:rsidRPr="00883965">
        <w:rPr>
          <w:rFonts w:ascii="Times New Roman" w:hAnsi="Times New Roman"/>
        </w:rPr>
        <w:t xml:space="preserve"> the same problem has plagued Australian law.   </w:t>
      </w:r>
    </w:p>
    <w:p w14:paraId="4701365B"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The mule</w:t>
      </w:r>
    </w:p>
    <w:p w14:paraId="148F08C5"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w:t>
      </w:r>
      <w:r w:rsidRPr="00883965">
        <w:rPr>
          <w:rFonts w:ascii="Times New Roman" w:hAnsi="Times New Roman"/>
          <w:i/>
          <w:iCs/>
        </w:rPr>
        <w:t>Caltex</w:t>
      </w:r>
      <w:r w:rsidRPr="00883965">
        <w:rPr>
          <w:rFonts w:ascii="Times New Roman" w:hAnsi="Times New Roman"/>
        </w:rPr>
        <w:t>,</w:t>
      </w:r>
      <w:r w:rsidRPr="00883965">
        <w:rPr>
          <w:rStyle w:val="FootnoteReference"/>
          <w:rFonts w:ascii="Times New Roman" w:hAnsi="Times New Roman"/>
          <w:sz w:val="24"/>
        </w:rPr>
        <w:footnoteReference w:id="109"/>
      </w:r>
      <w:r w:rsidRPr="00883965">
        <w:rPr>
          <w:rFonts w:ascii="Times New Roman" w:hAnsi="Times New Roman"/>
          <w:i/>
          <w:iCs/>
        </w:rPr>
        <w:t xml:space="preserve"> </w:t>
      </w:r>
      <w:r w:rsidRPr="00883965">
        <w:rPr>
          <w:rFonts w:ascii="Times New Roman" w:hAnsi="Times New Roman"/>
        </w:rPr>
        <w:t>a dredge called the "Willemstad" was used to dredge a deep-water channel in the bed of Botany Bay. Due to carelessness in navigation and charting, the dredge fractured an underwater oil pipeline causing the loss of oil that was contained in the pipeline and resulting in a period during which the pipeline could not be used. The pipeline connected an oil refinery to an oil terminal. The refinery and the pipeline were owned by Australian Oil Refining Pty Ltd ("AOR"). The terminal and the oil were owned by the appellant, Caltex Oil (Australia) Pty Ltd ("Caltex").</w:t>
      </w:r>
    </w:p>
    <w:p w14:paraId="4E501A86"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Caltex did not seek to recover for the lost oil that was being transported through the pipeline. AOR had taken the risk of that loss. Nor did Caltex seek to recover for the damage to the pipeline, which it did not own. Instead, in its Admiralty claim in rem (brought, and enforceable, against the dredge), Caltex claimed $95,000 for the loss it had incurred due to the inability to exercise its contractual right to use AOR's pipeline, arising from (</w:t>
      </w:r>
      <w:proofErr w:type="spellStart"/>
      <w:r w:rsidRPr="00883965">
        <w:rPr>
          <w:rFonts w:ascii="Times New Roman" w:hAnsi="Times New Roman"/>
        </w:rPr>
        <w:t>i</w:t>
      </w:r>
      <w:proofErr w:type="spellEnd"/>
      <w:r w:rsidRPr="00883965">
        <w:rPr>
          <w:rFonts w:ascii="Times New Roman" w:hAnsi="Times New Roman"/>
        </w:rPr>
        <w:t>) obtaining alternative transport for petroleum products from AOR's refinery to Caltex's terminal rather than through the exercise of its contractual right to use AOR's pipeline and (ii) taking delivery of low sulphur fuel oil at a different Caltex terminal.</w:t>
      </w:r>
      <w:r w:rsidRPr="00883965">
        <w:rPr>
          <w:rStyle w:val="FootnoteReference"/>
          <w:rFonts w:ascii="Times New Roman" w:hAnsi="Times New Roman"/>
          <w:sz w:val="24"/>
        </w:rPr>
        <w:footnoteReference w:id="110"/>
      </w:r>
      <w:r w:rsidRPr="00883965">
        <w:rPr>
          <w:rFonts w:ascii="Times New Roman" w:hAnsi="Times New Roman"/>
        </w:rPr>
        <w:t xml:space="preserve"> In essence, Caltex sought to recover economic loss that it suffered due to the interference by the dredge in Caltex's contractual arrangements with AOR. </w:t>
      </w:r>
    </w:p>
    <w:p w14:paraId="72165FE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The reasoning of each of Gibbs J and Mason J focused upon the need to identify an individual plaintiff (as distinct from an unascertained class of persons) who the defendant knew would suffer economic loss as a consequence of the defendant's negligence.</w:t>
      </w:r>
      <w:r w:rsidRPr="00883965">
        <w:rPr>
          <w:rStyle w:val="FootnoteReference"/>
          <w:rFonts w:ascii="Times New Roman" w:hAnsi="Times New Roman"/>
          <w:sz w:val="24"/>
        </w:rPr>
        <w:footnoteReference w:id="111"/>
      </w:r>
      <w:r w:rsidRPr="00883965">
        <w:rPr>
          <w:rFonts w:ascii="Times New Roman" w:hAnsi="Times New Roman"/>
        </w:rPr>
        <w:t xml:space="preserve"> The reasoning of Jacobs J focused upon the "physical propinquity" of the dredge to the terminal owned by Caltex.</w:t>
      </w:r>
      <w:r w:rsidRPr="00883965">
        <w:rPr>
          <w:rStyle w:val="FootnoteReference"/>
          <w:rFonts w:ascii="Times New Roman" w:hAnsi="Times New Roman"/>
          <w:sz w:val="24"/>
        </w:rPr>
        <w:footnoteReference w:id="112"/>
      </w:r>
      <w:r w:rsidRPr="00883965">
        <w:rPr>
          <w:rFonts w:ascii="Times New Roman" w:hAnsi="Times New Roman"/>
          <w:i/>
          <w:iCs/>
        </w:rPr>
        <w:t xml:space="preserve"> </w:t>
      </w:r>
      <w:r w:rsidRPr="00883965">
        <w:rPr>
          <w:rFonts w:ascii="Times New Roman" w:hAnsi="Times New Roman"/>
        </w:rPr>
        <w:t xml:space="preserve">And Murphy J thought that there was a general duty of care not to cause economic loss subject to </w:t>
      </w:r>
      <w:r w:rsidRPr="00883965">
        <w:rPr>
          <w:rFonts w:ascii="Times New Roman" w:hAnsi="Times New Roman"/>
        </w:rPr>
        <w:lastRenderedPageBreak/>
        <w:t>reasons which would deny recovery. His Honour found "no reason for limiting recovery".</w:t>
      </w:r>
      <w:r w:rsidRPr="00883965">
        <w:rPr>
          <w:rStyle w:val="FootnoteReference"/>
          <w:rFonts w:ascii="Times New Roman" w:hAnsi="Times New Roman"/>
          <w:sz w:val="24"/>
        </w:rPr>
        <w:footnoteReference w:id="113"/>
      </w:r>
      <w:r w:rsidRPr="00883965">
        <w:rPr>
          <w:rFonts w:ascii="Times New Roman" w:hAnsi="Times New Roman"/>
        </w:rPr>
        <w:t xml:space="preserve"> Each of these approaches has its own particular difficulties. </w:t>
      </w:r>
    </w:p>
    <w:p w14:paraId="5F6AA105"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It is the reasons of Stephen J, however, that have come to be treated as the basis for recovery of "pure" economic loss in the law of torts. His Honour's approach involved an attempt to find "sufficient proximity between tortious act and compensable detriment" by reference to five "salient features" of the case: (</w:t>
      </w:r>
      <w:proofErr w:type="spellStart"/>
      <w:r w:rsidRPr="00883965">
        <w:rPr>
          <w:rFonts w:ascii="Times New Roman" w:hAnsi="Times New Roman"/>
        </w:rPr>
        <w:t>i</w:t>
      </w:r>
      <w:proofErr w:type="spellEnd"/>
      <w:r w:rsidRPr="00883965">
        <w:rPr>
          <w:rFonts w:ascii="Times New Roman" w:hAnsi="Times New Roman"/>
        </w:rPr>
        <w:t>)</w:t>
      </w:r>
      <w:r>
        <w:rPr>
          <w:rFonts w:ascii="Times New Roman" w:hAnsi="Times New Roman"/>
        </w:rPr>
        <w:t> </w:t>
      </w:r>
      <w:r w:rsidRPr="00883965">
        <w:rPr>
          <w:rFonts w:ascii="Times New Roman" w:hAnsi="Times New Roman"/>
        </w:rPr>
        <w:t>the defendant knew that the pipelines, if damaged, were inherently likely to cause consequential economic loss; (ii) the defendant knew, or had means of knowledge, that the pipelines extended from AOR's refinery to Caltex's terminal;</w:t>
      </w:r>
      <w:r>
        <w:rPr>
          <w:rFonts w:ascii="Times New Roman" w:hAnsi="Times New Roman"/>
        </w:rPr>
        <w:t> </w:t>
      </w:r>
      <w:r w:rsidRPr="00883965">
        <w:rPr>
          <w:rFonts w:ascii="Times New Roman" w:hAnsi="Times New Roman"/>
        </w:rPr>
        <w:t>(iii) the loss suffered by Caltex was a consequence of a breach of a duty of care owed by the defendant to AOR not to cause physical damage to its pipeline; (iv)</w:t>
      </w:r>
      <w:r>
        <w:rPr>
          <w:rFonts w:ascii="Times New Roman" w:hAnsi="Times New Roman"/>
        </w:rPr>
        <w:t> </w:t>
      </w:r>
      <w:r w:rsidRPr="00883965">
        <w:rPr>
          <w:rFonts w:ascii="Times New Roman" w:hAnsi="Times New Roman"/>
        </w:rPr>
        <w:t>the loss suffered by Caltex arose from the loss of use of the pipeline; and (v)</w:t>
      </w:r>
      <w:r>
        <w:rPr>
          <w:rFonts w:ascii="Times New Roman" w:hAnsi="Times New Roman"/>
        </w:rPr>
        <w:t> </w:t>
      </w:r>
      <w:r w:rsidRPr="00883965">
        <w:rPr>
          <w:rFonts w:ascii="Times New Roman" w:hAnsi="Times New Roman"/>
        </w:rPr>
        <w:t>the loss suffered by Caltex, being the expense of employing alternative modes of transport, was a direct consequence of its inability to use the pipeline.</w:t>
      </w:r>
      <w:r w:rsidRPr="00883965">
        <w:rPr>
          <w:rStyle w:val="FootnoteReference"/>
          <w:rFonts w:ascii="Times New Roman" w:hAnsi="Times New Roman"/>
          <w:sz w:val="24"/>
        </w:rPr>
        <w:footnoteReference w:id="114"/>
      </w:r>
      <w:r w:rsidRPr="00883965">
        <w:rPr>
          <w:rFonts w:ascii="Times New Roman" w:hAnsi="Times New Roman"/>
        </w:rPr>
        <w:t xml:space="preserve"> </w:t>
      </w:r>
    </w:p>
    <w:p w14:paraId="18B03754"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w:t>
      </w:r>
      <w:r w:rsidRPr="00883965">
        <w:rPr>
          <w:rFonts w:ascii="Times New Roman" w:hAnsi="Times New Roman"/>
          <w:i/>
          <w:iCs/>
        </w:rPr>
        <w:t>Candlewood Navigation Corporation Ltd v Mitsui OSK Lines Ltd</w:t>
      </w:r>
      <w:r w:rsidRPr="00883965">
        <w:rPr>
          <w:rFonts w:ascii="Times New Roman" w:hAnsi="Times New Roman"/>
        </w:rPr>
        <w:t>,</w:t>
      </w:r>
      <w:r w:rsidRPr="00883965">
        <w:rPr>
          <w:rStyle w:val="FootnoteReference"/>
          <w:rFonts w:ascii="Times New Roman" w:hAnsi="Times New Roman"/>
          <w:sz w:val="24"/>
        </w:rPr>
        <w:footnoteReference w:id="115"/>
      </w:r>
      <w:r w:rsidRPr="00883965">
        <w:rPr>
          <w:rFonts w:ascii="Times New Roman" w:hAnsi="Times New Roman"/>
        </w:rPr>
        <w:t xml:space="preserve"> the Privy Council thought that no ratio decidendi could be extracted from the decision in </w:t>
      </w:r>
      <w:r w:rsidRPr="00883965">
        <w:rPr>
          <w:rFonts w:ascii="Times New Roman" w:hAnsi="Times New Roman"/>
          <w:i/>
          <w:iCs/>
        </w:rPr>
        <w:t>Caltex</w:t>
      </w:r>
      <w:r w:rsidRPr="00883965">
        <w:rPr>
          <w:rFonts w:ascii="Times New Roman" w:hAnsi="Times New Roman"/>
        </w:rPr>
        <w:t>. Their Lordships seem to have assumed that a ratio decidendi must be identified with considerable particularity. At a more general level,</w:t>
      </w:r>
      <w:r w:rsidRPr="00883965">
        <w:rPr>
          <w:rStyle w:val="FootnoteReference"/>
          <w:rFonts w:ascii="Times New Roman" w:hAnsi="Times New Roman"/>
          <w:sz w:val="24"/>
        </w:rPr>
        <w:footnoteReference w:id="116"/>
      </w:r>
      <w:r w:rsidRPr="00883965">
        <w:rPr>
          <w:rFonts w:ascii="Times New Roman" w:hAnsi="Times New Roman"/>
        </w:rPr>
        <w:t xml:space="preserve"> however, the ratio decidendi of the decision (or at least the basis upon which it might be said to be binding) might be expressed in terms of the "salient features" approach of Stephen J, albeit that the relevant salient features might be identified differently, or be attributed different weight, by different judges. In this manner, the reasons of Stephen J encompassed the features with which Gibbs J and Mason J were concerned. Indeed, Stephen J's factors (</w:t>
      </w:r>
      <w:proofErr w:type="spellStart"/>
      <w:r w:rsidRPr="00883965">
        <w:rPr>
          <w:rFonts w:ascii="Times New Roman" w:hAnsi="Times New Roman"/>
        </w:rPr>
        <w:t>i</w:t>
      </w:r>
      <w:proofErr w:type="spellEnd"/>
      <w:r w:rsidRPr="00883965">
        <w:rPr>
          <w:rFonts w:ascii="Times New Roman" w:hAnsi="Times New Roman"/>
        </w:rPr>
        <w:t>) and (ii) were said by his Honour to "lead to the conclusion that Caltex was within the reasonable contemplation of the defendants as a person likely to suffer economic loss if the pipelines were cut".</w:t>
      </w:r>
      <w:r w:rsidRPr="00883965">
        <w:rPr>
          <w:rStyle w:val="FootnoteReference"/>
          <w:rFonts w:ascii="Times New Roman" w:hAnsi="Times New Roman"/>
          <w:sz w:val="24"/>
        </w:rPr>
        <w:footnoteReference w:id="117"/>
      </w:r>
      <w:r w:rsidRPr="00883965">
        <w:rPr>
          <w:rFonts w:ascii="Times New Roman" w:hAnsi="Times New Roman"/>
        </w:rPr>
        <w:t xml:space="preserve"> Ultimately, the salient features approach of Stephen J, like that of the other </w:t>
      </w:r>
      <w:r w:rsidRPr="00883965">
        <w:rPr>
          <w:rFonts w:ascii="Times New Roman" w:hAnsi="Times New Roman"/>
        </w:rPr>
        <w:lastRenderedPageBreak/>
        <w:t>members of the Court, was rightly described as "moulding a notion of 'proximity' to fit particular aspects of the case".</w:t>
      </w:r>
      <w:r w:rsidRPr="00883965">
        <w:rPr>
          <w:rStyle w:val="FootnoteReference"/>
          <w:rFonts w:ascii="Times New Roman" w:hAnsi="Times New Roman"/>
          <w:sz w:val="24"/>
        </w:rPr>
        <w:footnoteReference w:id="118"/>
      </w:r>
    </w:p>
    <w:p w14:paraId="3B474451"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 xml:space="preserve">The progeny </w:t>
      </w:r>
    </w:p>
    <w:p w14:paraId="3814B71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w:t>
      </w:r>
      <w:proofErr w:type="spellStart"/>
      <w:r w:rsidRPr="00883965">
        <w:rPr>
          <w:rFonts w:ascii="Times New Roman" w:hAnsi="Times New Roman"/>
          <w:i/>
          <w:iCs/>
        </w:rPr>
        <w:t>Perre</w:t>
      </w:r>
      <w:proofErr w:type="spellEnd"/>
      <w:r w:rsidRPr="00883965">
        <w:rPr>
          <w:rFonts w:ascii="Times New Roman" w:hAnsi="Times New Roman"/>
          <w:i/>
          <w:iCs/>
        </w:rPr>
        <w:t xml:space="preserve"> v </w:t>
      </w:r>
      <w:proofErr w:type="spellStart"/>
      <w:r w:rsidRPr="00883965">
        <w:rPr>
          <w:rFonts w:ascii="Times New Roman" w:hAnsi="Times New Roman"/>
          <w:i/>
          <w:iCs/>
        </w:rPr>
        <w:t>Apand</w:t>
      </w:r>
      <w:proofErr w:type="spellEnd"/>
      <w:r w:rsidRPr="00883965">
        <w:rPr>
          <w:rFonts w:ascii="Times New Roman" w:hAnsi="Times New Roman"/>
          <w:i/>
          <w:iCs/>
        </w:rPr>
        <w:t xml:space="preserve"> Pty Ltd</w:t>
      </w:r>
      <w:r w:rsidRPr="00883965">
        <w:rPr>
          <w:rFonts w:ascii="Times New Roman" w:hAnsi="Times New Roman"/>
        </w:rPr>
        <w:t>,</w:t>
      </w:r>
      <w:r w:rsidRPr="00883965">
        <w:rPr>
          <w:rStyle w:val="FootnoteReference"/>
          <w:rFonts w:ascii="Times New Roman" w:hAnsi="Times New Roman"/>
          <w:sz w:val="24"/>
        </w:rPr>
        <w:footnoteReference w:id="119"/>
      </w:r>
      <w:r w:rsidRPr="00883965">
        <w:rPr>
          <w:rFonts w:ascii="Times New Roman" w:hAnsi="Times New Roman"/>
        </w:rPr>
        <w:t xml:space="preserve"> an importer of potato seed carelessly supplied diseased seed to potato growers in South Australia which infected their land. Statutory regulations in Western Australia prohibited the importation of potatoes that had been grown within a </w:t>
      </w:r>
      <w:proofErr w:type="gramStart"/>
      <w:r w:rsidRPr="00883965">
        <w:rPr>
          <w:rFonts w:ascii="Times New Roman" w:hAnsi="Times New Roman"/>
        </w:rPr>
        <w:t>20 kilometre</w:t>
      </w:r>
      <w:proofErr w:type="gramEnd"/>
      <w:r w:rsidRPr="00883965">
        <w:rPr>
          <w:rFonts w:ascii="Times New Roman" w:hAnsi="Times New Roman"/>
        </w:rPr>
        <w:t xml:space="preserve"> radius of land infected with the disease. Claims were brought against the importer for economic losses due to an inability to import potatoes into Western Australia. </w:t>
      </w:r>
    </w:p>
    <w:p w14:paraId="0DC1854A"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One claim was brought by a company ("the proximate grower company") that grew potatoes within 20 kilometres of the infected land and, after processing by a potato processing facility, sold many of those potatoes in Western Australia. A second claim was brought by members of the family ("the landowners") who owned the land on which the proximate grower company grew the potatoes. A third claim was brought by a company ("the processor company"), in which the landowners were shareholders, which owned or leased the potato processing facility and associated land. A fourth claim was brought by the landowners, as owners of a business entity ("the distant grower business owners") whose potatoes were sold to the proximate grower company and then processed at the potato processing facility. </w:t>
      </w:r>
    </w:p>
    <w:p w14:paraId="542332B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seven separate judgments, this Court held that the importer owed a duty of care not to cause economic loss to </w:t>
      </w:r>
      <w:proofErr w:type="gramStart"/>
      <w:r w:rsidRPr="00883965">
        <w:rPr>
          <w:rFonts w:ascii="Times New Roman" w:hAnsi="Times New Roman"/>
        </w:rPr>
        <w:t>all of</w:t>
      </w:r>
      <w:proofErr w:type="gramEnd"/>
      <w:r w:rsidRPr="00883965">
        <w:rPr>
          <w:rFonts w:ascii="Times New Roman" w:hAnsi="Times New Roman"/>
        </w:rPr>
        <w:t>: (</w:t>
      </w:r>
      <w:proofErr w:type="spellStart"/>
      <w:r w:rsidRPr="00883965">
        <w:rPr>
          <w:rFonts w:ascii="Times New Roman" w:hAnsi="Times New Roman"/>
        </w:rPr>
        <w:t>i</w:t>
      </w:r>
      <w:proofErr w:type="spellEnd"/>
      <w:r w:rsidRPr="00883965">
        <w:rPr>
          <w:rFonts w:ascii="Times New Roman" w:hAnsi="Times New Roman"/>
        </w:rPr>
        <w:t>) the proximate grower company, (ii)</w:t>
      </w:r>
      <w:r>
        <w:rPr>
          <w:rFonts w:ascii="Times New Roman" w:hAnsi="Times New Roman"/>
        </w:rPr>
        <w:t> </w:t>
      </w:r>
      <w:r w:rsidRPr="00883965">
        <w:rPr>
          <w:rFonts w:ascii="Times New Roman" w:hAnsi="Times New Roman"/>
        </w:rPr>
        <w:t xml:space="preserve">the landowners (Hayne J dissenting), (iii) the distant grower business owners (Hayne J dissenting), and (iv) the processor company (McHugh J and Hayne J dissenting). There was considerable variety in the approaches taken to the basis of recovery across the various reasons in </w:t>
      </w:r>
      <w:proofErr w:type="spellStart"/>
      <w:r w:rsidRPr="00883965">
        <w:rPr>
          <w:rFonts w:ascii="Times New Roman" w:hAnsi="Times New Roman"/>
          <w:i/>
          <w:iCs/>
        </w:rPr>
        <w:t>Perre</w:t>
      </w:r>
      <w:proofErr w:type="spellEnd"/>
      <w:r w:rsidRPr="00883965">
        <w:rPr>
          <w:rFonts w:ascii="Times New Roman" w:hAnsi="Times New Roman"/>
        </w:rPr>
        <w:t xml:space="preserve">, but central to all the reasons was the decision in </w:t>
      </w:r>
      <w:r w:rsidRPr="00883965">
        <w:rPr>
          <w:rFonts w:ascii="Times New Roman" w:hAnsi="Times New Roman"/>
          <w:i/>
          <w:iCs/>
        </w:rPr>
        <w:t xml:space="preserve">Caltex. </w:t>
      </w:r>
      <w:r w:rsidRPr="00883965">
        <w:rPr>
          <w:rFonts w:ascii="Times New Roman" w:hAnsi="Times New Roman"/>
        </w:rPr>
        <w:t xml:space="preserve">In the 154 pages of the Commonwealth Law Report of that case, the </w:t>
      </w:r>
      <w:r w:rsidRPr="00883965">
        <w:rPr>
          <w:rFonts w:ascii="Times New Roman" w:hAnsi="Times New Roman"/>
          <w:i/>
          <w:iCs/>
        </w:rPr>
        <w:t xml:space="preserve">Caltex </w:t>
      </w:r>
      <w:r w:rsidRPr="00883965">
        <w:rPr>
          <w:rFonts w:ascii="Times New Roman" w:hAnsi="Times New Roman"/>
        </w:rPr>
        <w:t xml:space="preserve">decision is referred to more than 130 times. </w:t>
      </w:r>
    </w:p>
    <w:p w14:paraId="655E41BE"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Gleeson CJ rejected as "intolerable" any general rule that one person owes to another a duty to take reasonable care not to cause reasonably foreseeable financial harm.</w:t>
      </w:r>
      <w:r w:rsidRPr="00883965">
        <w:rPr>
          <w:rStyle w:val="FootnoteReference"/>
          <w:rFonts w:ascii="Times New Roman" w:hAnsi="Times New Roman"/>
          <w:sz w:val="24"/>
        </w:rPr>
        <w:footnoteReference w:id="120"/>
      </w:r>
      <w:r w:rsidRPr="00883965">
        <w:rPr>
          <w:rFonts w:ascii="Times New Roman" w:hAnsi="Times New Roman"/>
        </w:rPr>
        <w:t xml:space="preserve"> But Hayne J and </w:t>
      </w:r>
      <w:proofErr w:type="spellStart"/>
      <w:r w:rsidRPr="00883965">
        <w:rPr>
          <w:rFonts w:ascii="Times New Roman" w:hAnsi="Times New Roman"/>
        </w:rPr>
        <w:t>Callinan</w:t>
      </w:r>
      <w:proofErr w:type="spellEnd"/>
      <w:r w:rsidRPr="00883965">
        <w:rPr>
          <w:rFonts w:ascii="Times New Roman" w:hAnsi="Times New Roman"/>
        </w:rPr>
        <w:t> J treated this general rule as the starting point, which was subject to the need for "a control mechanism".</w:t>
      </w:r>
      <w:r w:rsidRPr="00883965">
        <w:rPr>
          <w:rStyle w:val="FootnoteReference"/>
          <w:rFonts w:ascii="Times New Roman" w:hAnsi="Times New Roman"/>
          <w:sz w:val="24"/>
        </w:rPr>
        <w:footnoteReference w:id="121"/>
      </w:r>
      <w:r w:rsidRPr="00883965">
        <w:rPr>
          <w:rFonts w:ascii="Times New Roman" w:hAnsi="Times New Roman"/>
        </w:rPr>
        <w:t xml:space="preserve"> </w:t>
      </w:r>
      <w:proofErr w:type="spellStart"/>
      <w:r w:rsidRPr="00883965">
        <w:rPr>
          <w:rFonts w:ascii="Times New Roman" w:hAnsi="Times New Roman"/>
        </w:rPr>
        <w:lastRenderedPageBreak/>
        <w:t>Gummow</w:t>
      </w:r>
      <w:proofErr w:type="spellEnd"/>
      <w:r w:rsidRPr="00883965">
        <w:rPr>
          <w:rFonts w:ascii="Times New Roman" w:hAnsi="Times New Roman"/>
        </w:rPr>
        <w:t> J (with whom Gleeson CJ agreed on this point</w:t>
      </w:r>
      <w:r w:rsidRPr="00883965">
        <w:rPr>
          <w:rStyle w:val="FootnoteReference"/>
          <w:rFonts w:ascii="Times New Roman" w:hAnsi="Times New Roman"/>
          <w:sz w:val="24"/>
        </w:rPr>
        <w:footnoteReference w:id="122"/>
      </w:r>
      <w:r w:rsidRPr="00883965">
        <w:rPr>
          <w:rFonts w:ascii="Times New Roman" w:hAnsi="Times New Roman"/>
        </w:rPr>
        <w:t>) favoured a general "salient features" approach</w:t>
      </w:r>
      <w:r w:rsidRPr="00883965">
        <w:rPr>
          <w:rStyle w:val="FootnoteReference"/>
          <w:rFonts w:ascii="Times New Roman" w:hAnsi="Times New Roman"/>
          <w:sz w:val="24"/>
        </w:rPr>
        <w:footnoteReference w:id="123"/>
      </w:r>
      <w:r w:rsidRPr="00883965">
        <w:rPr>
          <w:rFonts w:ascii="Times New Roman" w:hAnsi="Times New Roman"/>
        </w:rPr>
        <w:t xml:space="preserve"> and </w:t>
      </w:r>
      <w:proofErr w:type="spellStart"/>
      <w:r w:rsidRPr="00883965">
        <w:rPr>
          <w:rFonts w:ascii="Times New Roman" w:hAnsi="Times New Roman"/>
        </w:rPr>
        <w:t>Callinan</w:t>
      </w:r>
      <w:proofErr w:type="spellEnd"/>
      <w:r w:rsidRPr="00883965">
        <w:rPr>
          <w:rFonts w:ascii="Times New Roman" w:hAnsi="Times New Roman"/>
        </w:rPr>
        <w:t xml:space="preserve"> J followed a similar approach.</w:t>
      </w:r>
      <w:r w:rsidRPr="00883965">
        <w:rPr>
          <w:rStyle w:val="FootnoteReference"/>
          <w:rFonts w:ascii="Times New Roman" w:hAnsi="Times New Roman"/>
          <w:sz w:val="24"/>
        </w:rPr>
        <w:footnoteReference w:id="124"/>
      </w:r>
      <w:r w:rsidRPr="00883965">
        <w:rPr>
          <w:rFonts w:ascii="Times New Roman" w:hAnsi="Times New Roman"/>
        </w:rPr>
        <w:t xml:space="preserve"> </w:t>
      </w:r>
    </w:p>
    <w:p w14:paraId="6C0D01FE"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As to relevant salient features, McHugh J placed particular reliance upon what his Honour saw to be the vulnerability of the parties who suffered economic loss.</w:t>
      </w:r>
      <w:r w:rsidRPr="00883965">
        <w:rPr>
          <w:rStyle w:val="FootnoteReference"/>
          <w:rFonts w:ascii="Times New Roman" w:hAnsi="Times New Roman"/>
          <w:sz w:val="24"/>
        </w:rPr>
        <w:footnoteReference w:id="125"/>
      </w:r>
      <w:r w:rsidRPr="00883965">
        <w:rPr>
          <w:rFonts w:ascii="Times New Roman" w:hAnsi="Times New Roman"/>
        </w:rPr>
        <w:t xml:space="preserve"> But Kirby J thought that this concept of vulnerability was neither essential nor even relevant to every case.</w:t>
      </w:r>
      <w:r w:rsidRPr="00883965">
        <w:rPr>
          <w:rStyle w:val="FootnoteReference"/>
          <w:rFonts w:ascii="Times New Roman" w:hAnsi="Times New Roman"/>
          <w:sz w:val="24"/>
        </w:rPr>
        <w:footnoteReference w:id="126"/>
      </w:r>
      <w:r w:rsidRPr="00883965">
        <w:rPr>
          <w:rFonts w:ascii="Times New Roman" w:hAnsi="Times New Roman"/>
        </w:rPr>
        <w:t xml:space="preserve"> Gleeson CJ, </w:t>
      </w:r>
      <w:proofErr w:type="spellStart"/>
      <w:r w:rsidRPr="00883965">
        <w:rPr>
          <w:rFonts w:ascii="Times New Roman" w:hAnsi="Times New Roman"/>
        </w:rPr>
        <w:t>Gummow</w:t>
      </w:r>
      <w:proofErr w:type="spellEnd"/>
      <w:r w:rsidRPr="00883965">
        <w:rPr>
          <w:rFonts w:ascii="Times New Roman" w:hAnsi="Times New Roman"/>
        </w:rPr>
        <w:t xml:space="preserve"> J and </w:t>
      </w:r>
      <w:proofErr w:type="spellStart"/>
      <w:r w:rsidRPr="00883965">
        <w:rPr>
          <w:rFonts w:ascii="Times New Roman" w:hAnsi="Times New Roman"/>
        </w:rPr>
        <w:t>Callinan</w:t>
      </w:r>
      <w:proofErr w:type="spellEnd"/>
      <w:r w:rsidRPr="00883965">
        <w:rPr>
          <w:rFonts w:ascii="Times New Roman" w:hAnsi="Times New Roman"/>
        </w:rPr>
        <w:t> J considered that a relevant factor was the control exercised by the importer over the relevant activity.</w:t>
      </w:r>
      <w:r w:rsidRPr="00883965">
        <w:rPr>
          <w:rStyle w:val="FootnoteReference"/>
          <w:rFonts w:ascii="Times New Roman" w:hAnsi="Times New Roman"/>
          <w:sz w:val="24"/>
        </w:rPr>
        <w:footnoteReference w:id="127"/>
      </w:r>
      <w:r w:rsidRPr="00883965">
        <w:rPr>
          <w:rFonts w:ascii="Times New Roman" w:hAnsi="Times New Roman"/>
        </w:rPr>
        <w:t xml:space="preserve"> But </w:t>
      </w:r>
      <w:proofErr w:type="spellStart"/>
      <w:r w:rsidRPr="00883965">
        <w:rPr>
          <w:rFonts w:ascii="Times New Roman" w:hAnsi="Times New Roman"/>
        </w:rPr>
        <w:t>Gaudron</w:t>
      </w:r>
      <w:proofErr w:type="spellEnd"/>
      <w:r w:rsidRPr="00883965">
        <w:rPr>
          <w:rFonts w:ascii="Times New Roman" w:hAnsi="Times New Roman"/>
        </w:rPr>
        <w:t> J relied upon control in a different sense, developing reasoning which bore some similarities to an objective assumption of responsibility</w:t>
      </w:r>
      <w:r w:rsidRPr="00883965">
        <w:rPr>
          <w:rStyle w:val="FootnoteReference"/>
          <w:rFonts w:ascii="Times New Roman" w:hAnsi="Times New Roman"/>
          <w:sz w:val="24"/>
        </w:rPr>
        <w:footnoteReference w:id="128"/>
      </w:r>
      <w:r w:rsidRPr="00883965">
        <w:rPr>
          <w:rFonts w:ascii="Times New Roman" w:hAnsi="Times New Roman"/>
        </w:rPr>
        <w:t xml:space="preserve"> by focusing upon whether "a person is in a position to control the exercise or enjoyment by another of a legal right".</w:t>
      </w:r>
      <w:r w:rsidRPr="00883965">
        <w:rPr>
          <w:rStyle w:val="FootnoteReference"/>
          <w:rFonts w:ascii="Times New Roman" w:hAnsi="Times New Roman"/>
          <w:sz w:val="24"/>
        </w:rPr>
        <w:footnoteReference w:id="129"/>
      </w:r>
      <w:r w:rsidRPr="00883965">
        <w:rPr>
          <w:rFonts w:ascii="Times New Roman" w:hAnsi="Times New Roman"/>
        </w:rPr>
        <w:t xml:space="preserve"> McHugh J thought that control in the sense described by </w:t>
      </w:r>
      <w:proofErr w:type="spellStart"/>
      <w:r w:rsidRPr="00883965">
        <w:rPr>
          <w:rFonts w:ascii="Times New Roman" w:hAnsi="Times New Roman"/>
        </w:rPr>
        <w:t>Gaudron</w:t>
      </w:r>
      <w:proofErr w:type="spellEnd"/>
      <w:r w:rsidRPr="00883965">
        <w:rPr>
          <w:rFonts w:ascii="Times New Roman" w:hAnsi="Times New Roman"/>
        </w:rPr>
        <w:t> J was not sufficient, but did not deny that it was relevant,</w:t>
      </w:r>
      <w:r w:rsidRPr="00883965">
        <w:rPr>
          <w:rStyle w:val="FootnoteReference"/>
          <w:rFonts w:ascii="Times New Roman" w:hAnsi="Times New Roman"/>
          <w:sz w:val="24"/>
        </w:rPr>
        <w:footnoteReference w:id="130"/>
      </w:r>
      <w:r w:rsidRPr="00883965">
        <w:rPr>
          <w:rFonts w:ascii="Times New Roman" w:hAnsi="Times New Roman"/>
        </w:rPr>
        <w:t xml:space="preserve"> treating control as instead part of the test for vulnerability.</w:t>
      </w:r>
      <w:r w:rsidRPr="00883965">
        <w:rPr>
          <w:rStyle w:val="FootnoteReference"/>
          <w:rFonts w:ascii="Times New Roman" w:hAnsi="Times New Roman"/>
          <w:sz w:val="24"/>
        </w:rPr>
        <w:footnoteReference w:id="131"/>
      </w:r>
      <w:r w:rsidRPr="00883965">
        <w:rPr>
          <w:rFonts w:ascii="Times New Roman" w:hAnsi="Times New Roman"/>
        </w:rPr>
        <w:t xml:space="preserve"> McHugh J rejected the relevance of insurance.</w:t>
      </w:r>
      <w:r w:rsidRPr="00883965">
        <w:rPr>
          <w:rStyle w:val="FootnoteReference"/>
          <w:rFonts w:ascii="Times New Roman" w:hAnsi="Times New Roman"/>
          <w:sz w:val="24"/>
        </w:rPr>
        <w:footnoteReference w:id="132"/>
      </w:r>
      <w:r w:rsidRPr="00883965">
        <w:rPr>
          <w:rFonts w:ascii="Times New Roman" w:hAnsi="Times New Roman"/>
        </w:rPr>
        <w:t xml:space="preserve"> Kirby J appeared to embrace it.</w:t>
      </w:r>
      <w:r w:rsidRPr="00883965">
        <w:rPr>
          <w:rStyle w:val="FootnoteReference"/>
          <w:rFonts w:ascii="Times New Roman" w:hAnsi="Times New Roman"/>
          <w:sz w:val="24"/>
        </w:rPr>
        <w:footnoteReference w:id="133"/>
      </w:r>
      <w:r w:rsidRPr="00883965">
        <w:rPr>
          <w:rFonts w:ascii="Times New Roman" w:hAnsi="Times New Roman"/>
        </w:rPr>
        <w:t xml:space="preserve"> </w:t>
      </w:r>
    </w:p>
    <w:p w14:paraId="4A1263A9"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lastRenderedPageBreak/>
        <w:tab/>
        <w:t xml:space="preserve">One observation in </w:t>
      </w:r>
      <w:proofErr w:type="spellStart"/>
      <w:r w:rsidRPr="00883965">
        <w:rPr>
          <w:rFonts w:ascii="Times New Roman" w:hAnsi="Times New Roman"/>
          <w:i/>
          <w:iCs/>
        </w:rPr>
        <w:t>Perre</w:t>
      </w:r>
      <w:proofErr w:type="spellEnd"/>
      <w:r w:rsidRPr="00883965">
        <w:rPr>
          <w:rFonts w:ascii="Times New Roman" w:hAnsi="Times New Roman"/>
          <w:i/>
          <w:iCs/>
        </w:rPr>
        <w:t xml:space="preserve"> </w:t>
      </w:r>
      <w:r w:rsidRPr="00883965">
        <w:rPr>
          <w:rFonts w:ascii="Times New Roman" w:hAnsi="Times New Roman"/>
        </w:rPr>
        <w:t xml:space="preserve">cannot be disputed. As Kirby J said, the state of the law was one of "disorder and confusion" requiring "a measure of </w:t>
      </w:r>
      <w:proofErr w:type="spellStart"/>
      <w:r w:rsidRPr="00883965">
        <w:rPr>
          <w:rFonts w:ascii="Times New Roman" w:hAnsi="Times New Roman"/>
        </w:rPr>
        <w:t>reconceptualisation</w:t>
      </w:r>
      <w:proofErr w:type="spellEnd"/>
      <w:r w:rsidRPr="00883965">
        <w:rPr>
          <w:rFonts w:ascii="Times New Roman" w:hAnsi="Times New Roman"/>
        </w:rPr>
        <w:t>".</w:t>
      </w:r>
      <w:r w:rsidRPr="00883965">
        <w:rPr>
          <w:rStyle w:val="FootnoteReference"/>
          <w:rFonts w:ascii="Times New Roman" w:hAnsi="Times New Roman"/>
          <w:sz w:val="24"/>
        </w:rPr>
        <w:footnoteReference w:id="134"/>
      </w:r>
    </w:p>
    <w:p w14:paraId="3E8623EF"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The errors</w:t>
      </w:r>
    </w:p>
    <w:p w14:paraId="3B1D63FD"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force of the learned and strongly argued reasoning of Stephen J in </w:t>
      </w:r>
      <w:r w:rsidRPr="00883965">
        <w:rPr>
          <w:rFonts w:ascii="Times New Roman" w:hAnsi="Times New Roman"/>
          <w:i/>
          <w:iCs/>
        </w:rPr>
        <w:t>Caltex</w:t>
      </w:r>
      <w:r w:rsidRPr="00883965">
        <w:rPr>
          <w:rFonts w:ascii="Times New Roman" w:hAnsi="Times New Roman"/>
        </w:rPr>
        <w:t xml:space="preserve">, supported in various respects by the other judgments, may have contributed to the long life that the decision in </w:t>
      </w:r>
      <w:r w:rsidRPr="00883965">
        <w:rPr>
          <w:rFonts w:ascii="Times New Roman" w:hAnsi="Times New Roman"/>
          <w:i/>
          <w:iCs/>
        </w:rPr>
        <w:t xml:space="preserve">Caltex </w:t>
      </w:r>
      <w:r w:rsidRPr="00883965">
        <w:rPr>
          <w:rFonts w:ascii="Times New Roman" w:hAnsi="Times New Roman"/>
        </w:rPr>
        <w:t>has enjoyed. One of the most apparently compelling aspects of the reasoning of Stephen J was his Honour's argument, developed from that of Professor </w:t>
      </w:r>
      <w:proofErr w:type="spellStart"/>
      <w:r w:rsidRPr="00883965">
        <w:rPr>
          <w:rFonts w:ascii="Times New Roman" w:hAnsi="Times New Roman"/>
        </w:rPr>
        <w:t>Atiyah</w:t>
      </w:r>
      <w:proofErr w:type="spellEnd"/>
      <w:r w:rsidRPr="00883965">
        <w:rPr>
          <w:rFonts w:ascii="Times New Roman" w:hAnsi="Times New Roman"/>
        </w:rPr>
        <w:t>,</w:t>
      </w:r>
      <w:r w:rsidRPr="00883965">
        <w:rPr>
          <w:rStyle w:val="FootnoteReference"/>
          <w:rFonts w:ascii="Times New Roman" w:hAnsi="Times New Roman"/>
          <w:sz w:val="24"/>
        </w:rPr>
        <w:footnoteReference w:id="135"/>
      </w:r>
      <w:r w:rsidRPr="00883965">
        <w:rPr>
          <w:rFonts w:ascii="Times New Roman" w:hAnsi="Times New Roman"/>
        </w:rPr>
        <w:t xml:space="preserve"> that a rule which permits recovery only of economic loss consequent upon damage to person or property can appear to have arbitrary effects.</w:t>
      </w:r>
      <w:r w:rsidRPr="00883965">
        <w:rPr>
          <w:rStyle w:val="FootnoteReference"/>
          <w:rFonts w:ascii="Times New Roman" w:hAnsi="Times New Roman"/>
          <w:sz w:val="24"/>
        </w:rPr>
        <w:footnoteReference w:id="136"/>
      </w:r>
      <w:r w:rsidRPr="00883965">
        <w:rPr>
          <w:rFonts w:ascii="Times New Roman" w:hAnsi="Times New Roman"/>
        </w:rPr>
        <w:t xml:space="preserve"> For instance, the rule had the effect that the time charterer, with only contractual rights to use a ship, cannot recover for the same economic loss as the demise charterer with proprietary rights to the ship. But the suggested arbitrariness of this difference vanishes when it is appreciated that it involves a distinction between contractual rights and property rights. The distinction is no more arbitrary than the different legal effects of a licence and a lease.</w:t>
      </w:r>
      <w:r w:rsidRPr="00883965">
        <w:rPr>
          <w:rStyle w:val="FootnoteReference"/>
          <w:rFonts w:ascii="Times New Roman" w:hAnsi="Times New Roman"/>
          <w:sz w:val="24"/>
        </w:rPr>
        <w:footnoteReference w:id="137"/>
      </w:r>
      <w:r w:rsidRPr="00883965">
        <w:rPr>
          <w:rFonts w:ascii="Times New Roman" w:hAnsi="Times New Roman"/>
        </w:rPr>
        <w:t xml:space="preserve">  </w:t>
      </w:r>
    </w:p>
    <w:p w14:paraId="7191A46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reasoning of Stephen J, however attractive it appears, involved two errors. Those errors were also present in the other reasons for </w:t>
      </w:r>
      <w:proofErr w:type="gramStart"/>
      <w:r w:rsidRPr="00883965">
        <w:rPr>
          <w:rFonts w:ascii="Times New Roman" w:hAnsi="Times New Roman"/>
        </w:rPr>
        <w:t>decision</w:t>
      </w:r>
      <w:proofErr w:type="gramEnd"/>
      <w:r w:rsidRPr="00883965">
        <w:rPr>
          <w:rFonts w:ascii="Times New Roman" w:hAnsi="Times New Roman"/>
        </w:rPr>
        <w:t xml:space="preserve"> but it is convenient to focus upon the "salient features" approach of Stephen J, which has been treated as the ratio decidendi in </w:t>
      </w:r>
      <w:r w:rsidRPr="00883965">
        <w:rPr>
          <w:rFonts w:ascii="Times New Roman" w:hAnsi="Times New Roman"/>
          <w:i/>
          <w:iCs/>
        </w:rPr>
        <w:t>Caltex</w:t>
      </w:r>
      <w:r w:rsidRPr="00883965">
        <w:rPr>
          <w:rFonts w:ascii="Times New Roman" w:hAnsi="Times New Roman"/>
        </w:rPr>
        <w:t xml:space="preserve">. The decision in </w:t>
      </w:r>
      <w:proofErr w:type="spellStart"/>
      <w:r w:rsidRPr="00883965">
        <w:rPr>
          <w:rFonts w:ascii="Times New Roman" w:hAnsi="Times New Roman"/>
          <w:i/>
          <w:iCs/>
        </w:rPr>
        <w:t>Perre</w:t>
      </w:r>
      <w:proofErr w:type="spellEnd"/>
      <w:r w:rsidRPr="00883965">
        <w:rPr>
          <w:rFonts w:ascii="Times New Roman" w:hAnsi="Times New Roman"/>
        </w:rPr>
        <w:t>, and later reasoning in this Court,</w:t>
      </w:r>
      <w:r w:rsidRPr="00883965">
        <w:rPr>
          <w:rStyle w:val="FootnoteReference"/>
          <w:rFonts w:ascii="Times New Roman" w:hAnsi="Times New Roman"/>
          <w:sz w:val="24"/>
        </w:rPr>
        <w:footnoteReference w:id="138"/>
      </w:r>
      <w:r w:rsidRPr="00883965">
        <w:rPr>
          <w:rFonts w:ascii="Times New Roman" w:hAnsi="Times New Roman"/>
          <w:i/>
          <w:iCs/>
        </w:rPr>
        <w:t xml:space="preserve"> </w:t>
      </w:r>
      <w:r w:rsidRPr="00883965">
        <w:rPr>
          <w:rFonts w:ascii="Times New Roman" w:hAnsi="Times New Roman"/>
        </w:rPr>
        <w:t xml:space="preserve">encouraged or required </w:t>
      </w:r>
      <w:r w:rsidRPr="00883965">
        <w:rPr>
          <w:rFonts w:ascii="Times New Roman" w:hAnsi="Times New Roman"/>
          <w:iCs/>
        </w:rPr>
        <w:t>a "regrettable resort"</w:t>
      </w:r>
      <w:r w:rsidRPr="00883965">
        <w:rPr>
          <w:rStyle w:val="FootnoteReference"/>
          <w:rFonts w:ascii="Times New Roman" w:hAnsi="Times New Roman"/>
          <w:iCs/>
          <w:sz w:val="24"/>
        </w:rPr>
        <w:footnoteReference w:id="139"/>
      </w:r>
      <w:r w:rsidRPr="00883965">
        <w:rPr>
          <w:rFonts w:ascii="Times New Roman" w:hAnsi="Times New Roman"/>
          <w:iCs/>
        </w:rPr>
        <w:t xml:space="preserve"> to the "salient features" approach that had been heralded by Stephen J in </w:t>
      </w:r>
      <w:r w:rsidRPr="00883965">
        <w:rPr>
          <w:rFonts w:ascii="Times New Roman" w:hAnsi="Times New Roman"/>
          <w:i/>
        </w:rPr>
        <w:t>Caltex</w:t>
      </w:r>
      <w:r w:rsidRPr="00883965">
        <w:rPr>
          <w:rFonts w:ascii="Times New Roman" w:hAnsi="Times New Roman"/>
          <w:iCs/>
        </w:rPr>
        <w:t>.</w:t>
      </w:r>
    </w:p>
    <w:p w14:paraId="7B5D8FF5"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lastRenderedPageBreak/>
        <w:tab/>
        <w:t xml:space="preserve">The first error made by Stephen J was to treat his "salient features" approach as an extension of the recognition of a duty of care that arose in cases based upon an assumption of responsibility, particularly </w:t>
      </w:r>
      <w:r w:rsidRPr="00883965">
        <w:rPr>
          <w:rFonts w:ascii="Times New Roman" w:hAnsi="Times New Roman"/>
          <w:i/>
          <w:iCs/>
        </w:rPr>
        <w:t>Hedley Byrne</w:t>
      </w:r>
      <w:r w:rsidRPr="00883965">
        <w:rPr>
          <w:rFonts w:ascii="Times New Roman" w:hAnsi="Times New Roman"/>
        </w:rPr>
        <w:t xml:space="preserve">. Senior counsel for the dredge had argued that the principle of assumption of responsibility, as expressed in </w:t>
      </w:r>
      <w:r w:rsidRPr="00883965">
        <w:rPr>
          <w:rFonts w:ascii="Times New Roman" w:hAnsi="Times New Roman"/>
          <w:i/>
          <w:iCs/>
        </w:rPr>
        <w:t>Hedley Byrne</w:t>
      </w:r>
      <w:r w:rsidRPr="00883965">
        <w:rPr>
          <w:rFonts w:ascii="Times New Roman" w:hAnsi="Times New Roman"/>
        </w:rPr>
        <w:t>, was an anomalous exception that allowed recovery of economic loss.</w:t>
      </w:r>
      <w:r w:rsidRPr="00883965">
        <w:rPr>
          <w:rStyle w:val="FootnoteReference"/>
          <w:rFonts w:ascii="Times New Roman" w:hAnsi="Times New Roman"/>
          <w:sz w:val="24"/>
        </w:rPr>
        <w:footnoteReference w:id="140"/>
      </w:r>
      <w:r w:rsidRPr="00883965">
        <w:rPr>
          <w:rFonts w:ascii="Times New Roman" w:hAnsi="Times New Roman"/>
        </w:rPr>
        <w:t xml:space="preserve"> Stephen J rightly recognised that the principle of an assumed duty of care in </w:t>
      </w:r>
      <w:r w:rsidRPr="00883965">
        <w:rPr>
          <w:rFonts w:ascii="Times New Roman" w:hAnsi="Times New Roman"/>
          <w:i/>
          <w:iCs/>
        </w:rPr>
        <w:t xml:space="preserve">Hedley Byrne </w:t>
      </w:r>
      <w:r w:rsidRPr="00883965">
        <w:rPr>
          <w:rFonts w:ascii="Times New Roman" w:hAnsi="Times New Roman"/>
        </w:rPr>
        <w:t>was not an anomaly but his Honour erroneously saw that principle as the basis for recognition of duties of care that are not assumed by a defendant, but are imposed</w:t>
      </w:r>
      <w:r w:rsidRPr="00883965">
        <w:rPr>
          <w:rFonts w:ascii="Times New Roman" w:hAnsi="Times New Roman"/>
          <w:i/>
          <w:iCs/>
        </w:rPr>
        <w:t xml:space="preserve"> </w:t>
      </w:r>
      <w:r w:rsidRPr="00883965">
        <w:rPr>
          <w:rFonts w:ascii="Times New Roman" w:hAnsi="Times New Roman"/>
        </w:rPr>
        <w:t>upon a defendant. Although also relying upon a case where recovery of economic loss was permitted for very different reasons,</w:t>
      </w:r>
      <w:r w:rsidRPr="00883965">
        <w:rPr>
          <w:rStyle w:val="FootnoteReference"/>
          <w:rFonts w:ascii="Times New Roman" w:hAnsi="Times New Roman"/>
          <w:sz w:val="24"/>
        </w:rPr>
        <w:footnoteReference w:id="141"/>
      </w:r>
      <w:r w:rsidRPr="00883965">
        <w:rPr>
          <w:rFonts w:ascii="Times New Roman" w:hAnsi="Times New Roman"/>
        </w:rPr>
        <w:t xml:space="preserve"> Stephen J focused heavily upon the decision in </w:t>
      </w:r>
      <w:r w:rsidRPr="00883965">
        <w:rPr>
          <w:rFonts w:ascii="Times New Roman" w:hAnsi="Times New Roman"/>
          <w:i/>
          <w:iCs/>
        </w:rPr>
        <w:t>Hedley Byrne</w:t>
      </w:r>
      <w:r w:rsidRPr="00883965">
        <w:rPr>
          <w:rFonts w:ascii="Times New Roman" w:hAnsi="Times New Roman"/>
        </w:rPr>
        <w:t>,</w:t>
      </w:r>
      <w:r w:rsidRPr="00883965">
        <w:rPr>
          <w:rFonts w:ascii="Times New Roman" w:hAnsi="Times New Roman"/>
          <w:i/>
          <w:iCs/>
        </w:rPr>
        <w:t xml:space="preserve"> </w:t>
      </w:r>
      <w:r w:rsidRPr="00883965">
        <w:rPr>
          <w:rFonts w:ascii="Times New Roman" w:hAnsi="Times New Roman"/>
        </w:rPr>
        <w:t>saying that it</w:t>
      </w:r>
      <w:r w:rsidRPr="00883965">
        <w:rPr>
          <w:rFonts w:ascii="Times New Roman" w:hAnsi="Times New Roman"/>
          <w:i/>
          <w:iCs/>
        </w:rPr>
        <w:t xml:space="preserve"> </w:t>
      </w:r>
      <w:r w:rsidRPr="00883965">
        <w:rPr>
          <w:rFonts w:ascii="Times New Roman" w:hAnsi="Times New Roman"/>
        </w:rPr>
        <w:t>had:</w:t>
      </w:r>
      <w:r w:rsidRPr="00883965">
        <w:rPr>
          <w:rStyle w:val="FootnoteReference"/>
          <w:rFonts w:ascii="Times New Roman" w:hAnsi="Times New Roman"/>
          <w:sz w:val="24"/>
        </w:rPr>
        <w:footnoteReference w:id="142"/>
      </w:r>
    </w:p>
    <w:p w14:paraId="4F68AA35"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w:t>
      </w:r>
      <w:proofErr w:type="gramStart"/>
      <w:r w:rsidRPr="00883965">
        <w:rPr>
          <w:rFonts w:ascii="Times New Roman" w:hAnsi="Times New Roman"/>
        </w:rPr>
        <w:t>given</w:t>
      </w:r>
      <w:proofErr w:type="gramEnd"/>
      <w:r w:rsidRPr="00883965">
        <w:rPr>
          <w:rFonts w:ascii="Times New Roman" w:hAnsi="Times New Roman"/>
        </w:rPr>
        <w:t xml:space="preserve"> rise to speculation whether [the prohibition on recovery of 'pure economic loss' in negligence] is now, or indeed ever was, the law. Lord Devlin, at least, considered that the fundamental question settled by their Lordships' decision was that purely economic loss will be recoverable if there is sufficient proximity between the parties to give rise to a special duty relationship."</w:t>
      </w:r>
    </w:p>
    <w:p w14:paraId="7D5684FF"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For the reasons already explained, this reasoning of Stephen J does not accurately reflect the decision of Lord Devlin, whose statement of principle in </w:t>
      </w:r>
      <w:r w:rsidRPr="00883965">
        <w:rPr>
          <w:rFonts w:ascii="Times New Roman" w:hAnsi="Times New Roman"/>
          <w:i/>
          <w:iCs/>
        </w:rPr>
        <w:t xml:space="preserve">Hedley Byrne </w:t>
      </w:r>
      <w:r w:rsidRPr="00883965">
        <w:rPr>
          <w:rFonts w:ascii="Times New Roman" w:hAnsi="Times New Roman"/>
        </w:rPr>
        <w:t xml:space="preserve">was concerned with relationships where one party had assumed responsibility by giving an express or implied undertaking to another. The statement of principle in </w:t>
      </w:r>
      <w:r w:rsidRPr="00883965">
        <w:rPr>
          <w:rFonts w:ascii="Times New Roman" w:hAnsi="Times New Roman"/>
          <w:i/>
          <w:iCs/>
        </w:rPr>
        <w:t xml:space="preserve">Hedley Byrne </w:t>
      </w:r>
      <w:r w:rsidRPr="00883965">
        <w:rPr>
          <w:rFonts w:ascii="Times New Roman" w:hAnsi="Times New Roman"/>
        </w:rPr>
        <w:t>was not concerned with general relationships of "proximity" (a concept that has now been rejected in Australian law</w:t>
      </w:r>
      <w:r w:rsidRPr="00883965">
        <w:rPr>
          <w:rStyle w:val="FootnoteReference"/>
          <w:rFonts w:ascii="Times New Roman" w:hAnsi="Times New Roman"/>
          <w:sz w:val="24"/>
        </w:rPr>
        <w:footnoteReference w:id="143"/>
      </w:r>
      <w:r w:rsidRPr="00883965">
        <w:rPr>
          <w:rFonts w:ascii="Times New Roman" w:hAnsi="Times New Roman"/>
        </w:rPr>
        <w:t>) nor with an even more generalised "control mechanism based upon notions of proximity".</w:t>
      </w:r>
      <w:r w:rsidRPr="00883965">
        <w:rPr>
          <w:rStyle w:val="FootnoteReference"/>
          <w:rFonts w:ascii="Times New Roman" w:hAnsi="Times New Roman"/>
          <w:sz w:val="24"/>
        </w:rPr>
        <w:footnoteReference w:id="144"/>
      </w:r>
      <w:r w:rsidRPr="00883965">
        <w:rPr>
          <w:rFonts w:ascii="Times New Roman" w:hAnsi="Times New Roman"/>
        </w:rPr>
        <w:t xml:space="preserve"> The same error was repeated in </w:t>
      </w:r>
      <w:proofErr w:type="gramStart"/>
      <w:r w:rsidRPr="00883965">
        <w:rPr>
          <w:rFonts w:ascii="Times New Roman" w:hAnsi="Times New Roman"/>
        </w:rPr>
        <w:t>a number of</w:t>
      </w:r>
      <w:proofErr w:type="gramEnd"/>
      <w:r w:rsidRPr="00883965">
        <w:rPr>
          <w:rFonts w:ascii="Times New Roman" w:hAnsi="Times New Roman"/>
        </w:rPr>
        <w:t xml:space="preserve"> the judgments in </w:t>
      </w:r>
      <w:proofErr w:type="spellStart"/>
      <w:r w:rsidRPr="00883965">
        <w:rPr>
          <w:rFonts w:ascii="Times New Roman" w:hAnsi="Times New Roman"/>
          <w:i/>
          <w:iCs/>
        </w:rPr>
        <w:t>Perre</w:t>
      </w:r>
      <w:proofErr w:type="spellEnd"/>
      <w:r w:rsidRPr="00883965">
        <w:rPr>
          <w:rFonts w:ascii="Times New Roman" w:hAnsi="Times New Roman"/>
        </w:rPr>
        <w:t>,</w:t>
      </w:r>
      <w:r w:rsidRPr="00883965">
        <w:rPr>
          <w:rFonts w:ascii="Times New Roman" w:hAnsi="Times New Roman"/>
          <w:i/>
          <w:iCs/>
        </w:rPr>
        <w:t xml:space="preserve"> </w:t>
      </w:r>
      <w:r w:rsidRPr="00883965">
        <w:rPr>
          <w:rFonts w:ascii="Times New Roman" w:hAnsi="Times New Roman"/>
        </w:rPr>
        <w:t xml:space="preserve">which conflated the principle upon which </w:t>
      </w:r>
      <w:r w:rsidRPr="00883965">
        <w:rPr>
          <w:rFonts w:ascii="Times New Roman" w:hAnsi="Times New Roman"/>
          <w:i/>
          <w:iCs/>
        </w:rPr>
        <w:t xml:space="preserve">Hedley Byrne </w:t>
      </w:r>
      <w:r w:rsidRPr="00883965">
        <w:rPr>
          <w:rFonts w:ascii="Times New Roman" w:hAnsi="Times New Roman"/>
        </w:rPr>
        <w:t>was based with a duty of care that is imposed by law. As Professor </w:t>
      </w:r>
      <w:proofErr w:type="spellStart"/>
      <w:r w:rsidRPr="00883965">
        <w:rPr>
          <w:rFonts w:ascii="Times New Roman" w:hAnsi="Times New Roman"/>
        </w:rPr>
        <w:t>Feldthusen</w:t>
      </w:r>
      <w:proofErr w:type="spellEnd"/>
      <w:r w:rsidRPr="00883965">
        <w:rPr>
          <w:rFonts w:ascii="Times New Roman" w:hAnsi="Times New Roman"/>
        </w:rPr>
        <w:t xml:space="preserve"> has observed, "[w]hat </w:t>
      </w:r>
      <w:r w:rsidRPr="00883965">
        <w:rPr>
          <w:rFonts w:ascii="Times New Roman" w:hAnsi="Times New Roman"/>
        </w:rPr>
        <w:lastRenderedPageBreak/>
        <w:t xml:space="preserve">the justices in </w:t>
      </w:r>
      <w:proofErr w:type="spellStart"/>
      <w:r w:rsidRPr="00883965">
        <w:rPr>
          <w:rFonts w:ascii="Times New Roman" w:hAnsi="Times New Roman"/>
          <w:i/>
          <w:iCs/>
        </w:rPr>
        <w:t>Perre</w:t>
      </w:r>
      <w:proofErr w:type="spellEnd"/>
      <w:r w:rsidRPr="00883965">
        <w:rPr>
          <w:rFonts w:ascii="Times New Roman" w:hAnsi="Times New Roman"/>
          <w:i/>
          <w:iCs/>
        </w:rPr>
        <w:t xml:space="preserve"> v </w:t>
      </w:r>
      <w:proofErr w:type="spellStart"/>
      <w:r w:rsidRPr="00883965">
        <w:rPr>
          <w:rFonts w:ascii="Times New Roman" w:hAnsi="Times New Roman"/>
          <w:i/>
          <w:iCs/>
        </w:rPr>
        <w:t>Apand</w:t>
      </w:r>
      <w:proofErr w:type="spellEnd"/>
      <w:r w:rsidRPr="00883965">
        <w:rPr>
          <w:rFonts w:ascii="Times New Roman" w:hAnsi="Times New Roman"/>
          <w:i/>
          <w:iCs/>
        </w:rPr>
        <w:t xml:space="preserve"> </w:t>
      </w:r>
      <w:r w:rsidRPr="00883965">
        <w:rPr>
          <w:rFonts w:ascii="Times New Roman" w:hAnsi="Times New Roman"/>
        </w:rPr>
        <w:t xml:space="preserve">identified as a notorious exception to the exclusionary rule [being the rule in </w:t>
      </w:r>
      <w:r w:rsidRPr="00883965">
        <w:rPr>
          <w:rFonts w:ascii="Times New Roman" w:hAnsi="Times New Roman"/>
          <w:i/>
          <w:iCs/>
        </w:rPr>
        <w:t>Hedley Byrne</w:t>
      </w:r>
      <w:r w:rsidRPr="00883965">
        <w:rPr>
          <w:rFonts w:ascii="Times New Roman" w:hAnsi="Times New Roman"/>
        </w:rPr>
        <w:t>] is really an independent line of authority that had not ever, and need not have now, anything to do with an exclusionary rule pertaining to relational economic loss".</w:t>
      </w:r>
      <w:r w:rsidRPr="00883965">
        <w:rPr>
          <w:rStyle w:val="FootnoteReference"/>
          <w:rFonts w:ascii="Times New Roman" w:hAnsi="Times New Roman"/>
          <w:sz w:val="24"/>
        </w:rPr>
        <w:footnoteReference w:id="145"/>
      </w:r>
    </w:p>
    <w:p w14:paraId="7B39315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second error was to treat the whole concept of a duty of care as abstract, not referable to any right of the plaintiff but based upon a class of potentially unlimited "salient features". The same error was made by Kiefel J when her Honour later said in </w:t>
      </w:r>
      <w:r w:rsidRPr="00883965">
        <w:rPr>
          <w:rFonts w:ascii="Times New Roman" w:hAnsi="Times New Roman"/>
          <w:i/>
          <w:iCs/>
        </w:rPr>
        <w:t>Barclay v Penberthy</w:t>
      </w:r>
      <w:r w:rsidRPr="00883965">
        <w:rPr>
          <w:rStyle w:val="FootnoteReference"/>
          <w:rFonts w:ascii="Times New Roman" w:hAnsi="Times New Roman"/>
          <w:sz w:val="24"/>
        </w:rPr>
        <w:footnoteReference w:id="146"/>
      </w:r>
      <w:r w:rsidRPr="00883965">
        <w:rPr>
          <w:rFonts w:ascii="Times New Roman" w:hAnsi="Times New Roman"/>
          <w:i/>
          <w:iCs/>
        </w:rPr>
        <w:t xml:space="preserve"> </w:t>
      </w:r>
      <w:r w:rsidRPr="00883965">
        <w:rPr>
          <w:rFonts w:ascii="Times New Roman" w:hAnsi="Times New Roman"/>
        </w:rPr>
        <w:t>that "[</w:t>
      </w:r>
      <w:proofErr w:type="spellStart"/>
      <w:r w:rsidRPr="00883965">
        <w:rPr>
          <w:rFonts w:ascii="Times New Roman" w:hAnsi="Times New Roman"/>
        </w:rPr>
        <w:t>i</w:t>
      </w:r>
      <w:proofErr w:type="spellEnd"/>
      <w:r w:rsidRPr="00883965">
        <w:rPr>
          <w:rFonts w:ascii="Times New Roman" w:hAnsi="Times New Roman"/>
        </w:rPr>
        <w:t>]n the common law, an abstract concept of duty of care is employed ... In German law, only the enumerated legal interests of life, body, health, freedom, property and 'other right[s]' are protected". But, until recognition of a duty of care based on "salient features", the private duty of care at common law was equally concerned only with a plaintiff's rights, either (</w:t>
      </w:r>
      <w:proofErr w:type="spellStart"/>
      <w:r w:rsidRPr="00883965">
        <w:rPr>
          <w:rFonts w:ascii="Times New Roman" w:hAnsi="Times New Roman"/>
        </w:rPr>
        <w:t>i</w:t>
      </w:r>
      <w:proofErr w:type="spellEnd"/>
      <w:r w:rsidRPr="00883965">
        <w:rPr>
          <w:rFonts w:ascii="Times New Roman" w:hAnsi="Times New Roman"/>
        </w:rPr>
        <w:t>) rights to person or property or (ii) rights arising from an assumption of responsibility where "[a]s in Germany there was a significant extension of liability for negligently false information in the twentieth century".</w:t>
      </w:r>
      <w:r w:rsidRPr="00883965">
        <w:rPr>
          <w:rStyle w:val="FootnoteReference"/>
          <w:rFonts w:ascii="Times New Roman" w:hAnsi="Times New Roman"/>
          <w:sz w:val="24"/>
        </w:rPr>
        <w:footnoteReference w:id="147"/>
      </w:r>
      <w:r w:rsidRPr="00883965">
        <w:rPr>
          <w:rFonts w:ascii="Times New Roman" w:hAnsi="Times New Roman"/>
        </w:rPr>
        <w:t xml:space="preserve"> A duty of care at common law did not exist in the abstract. Hence, for many years before </w:t>
      </w:r>
      <w:r w:rsidRPr="00883965">
        <w:rPr>
          <w:rFonts w:ascii="Times New Roman" w:hAnsi="Times New Roman"/>
          <w:i/>
          <w:iCs/>
        </w:rPr>
        <w:t>Caltex</w:t>
      </w:r>
      <w:r w:rsidRPr="00883965">
        <w:rPr>
          <w:rFonts w:ascii="Times New Roman" w:hAnsi="Times New Roman"/>
        </w:rPr>
        <w:t>, and for many years since, it has been accepted that there is "no negligence in the air".</w:t>
      </w:r>
      <w:r w:rsidRPr="00883965">
        <w:rPr>
          <w:rStyle w:val="FootnoteReference"/>
          <w:rFonts w:ascii="Times New Roman" w:hAnsi="Times New Roman"/>
          <w:sz w:val="24"/>
        </w:rPr>
        <w:footnoteReference w:id="148"/>
      </w:r>
      <w:r w:rsidRPr="00883965">
        <w:rPr>
          <w:rFonts w:ascii="Times New Roman" w:hAnsi="Times New Roman"/>
        </w:rPr>
        <w:t xml:space="preserve"> Apart from duties assumed by undertaking, as the joint reasons in this case rightly express the point, the long-standing general rule at common law is that "damages are not recoverable in negligence for pure economic loss, that is, for loss that is not consequential upon injury to person or property".</w:t>
      </w:r>
      <w:r w:rsidRPr="00883965">
        <w:rPr>
          <w:rStyle w:val="FootnoteReference"/>
          <w:rFonts w:ascii="Times New Roman" w:hAnsi="Times New Roman"/>
          <w:sz w:val="24"/>
        </w:rPr>
        <w:footnoteReference w:id="149"/>
      </w:r>
    </w:p>
    <w:p w14:paraId="5C2760AD"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The duties of care that are imposed based on rights to person or property are concerned with the protection of that which has long been regarded as a person's natural rights.</w:t>
      </w:r>
      <w:r w:rsidRPr="00883965">
        <w:rPr>
          <w:rStyle w:val="FootnoteReference"/>
          <w:rFonts w:ascii="Times New Roman" w:hAnsi="Times New Roman"/>
          <w:sz w:val="24"/>
        </w:rPr>
        <w:footnoteReference w:id="150"/>
      </w:r>
      <w:r w:rsidRPr="00883965">
        <w:rPr>
          <w:rFonts w:ascii="Times New Roman" w:hAnsi="Times New Roman"/>
        </w:rPr>
        <w:t xml:space="preserve"> Even on a minimalist conception of the State, the </w:t>
      </w:r>
      <w:r w:rsidRPr="00883965">
        <w:rPr>
          <w:rFonts w:ascii="Times New Roman" w:hAnsi="Times New Roman"/>
        </w:rPr>
        <w:lastRenderedPageBreak/>
        <w:t>securing of those rights has been said to be the essence of a State's duty.</w:t>
      </w:r>
      <w:r w:rsidRPr="00883965">
        <w:rPr>
          <w:rStyle w:val="FootnoteReference"/>
          <w:rFonts w:ascii="Times New Roman" w:hAnsi="Times New Roman"/>
          <w:sz w:val="24"/>
        </w:rPr>
        <w:footnoteReference w:id="151"/>
      </w:r>
      <w:r w:rsidRPr="00883965">
        <w:rPr>
          <w:rFonts w:ascii="Times New Roman" w:hAnsi="Times New Roman"/>
        </w:rPr>
        <w:t xml:space="preserve"> Blackstone said that "the rights of the people of England ... may be reduced to ... the right of personal security,[</w:t>
      </w:r>
      <w:r w:rsidRPr="00883965">
        <w:rPr>
          <w:rStyle w:val="FootnoteReference"/>
          <w:rFonts w:ascii="Times New Roman" w:hAnsi="Times New Roman"/>
          <w:sz w:val="24"/>
        </w:rPr>
        <w:footnoteReference w:id="152"/>
      </w:r>
      <w:r w:rsidRPr="00883965">
        <w:rPr>
          <w:rFonts w:ascii="Times New Roman" w:hAnsi="Times New Roman"/>
        </w:rPr>
        <w:t>] the right of personal liberty; and the right of private property".</w:t>
      </w:r>
      <w:r w:rsidRPr="00883965">
        <w:rPr>
          <w:rStyle w:val="FootnoteReference"/>
          <w:rFonts w:ascii="Times New Roman" w:hAnsi="Times New Roman"/>
          <w:sz w:val="24"/>
        </w:rPr>
        <w:footnoteReference w:id="153"/>
      </w:r>
      <w:r w:rsidRPr="00883965">
        <w:rPr>
          <w:rFonts w:ascii="Times New Roman" w:hAnsi="Times New Roman"/>
        </w:rPr>
        <w:t xml:space="preserve"> A century later it was said that these were "all the personal rights that are known to the [common] law".</w:t>
      </w:r>
      <w:r w:rsidRPr="00883965">
        <w:rPr>
          <w:rStyle w:val="FootnoteReference"/>
          <w:rFonts w:ascii="Times New Roman" w:hAnsi="Times New Roman"/>
          <w:sz w:val="24"/>
        </w:rPr>
        <w:footnoteReference w:id="154"/>
      </w:r>
      <w:r w:rsidRPr="00883965">
        <w:rPr>
          <w:rFonts w:ascii="Times New Roman" w:hAnsi="Times New Roman"/>
        </w:rPr>
        <w:t xml:space="preserve"> Hence, although German law and the common law have both faced pressure to expand imposed duties of care beyond these rights, as </w:t>
      </w:r>
      <w:proofErr w:type="spellStart"/>
      <w:r w:rsidRPr="00883965">
        <w:rPr>
          <w:rFonts w:ascii="Times New Roman" w:hAnsi="Times New Roman"/>
        </w:rPr>
        <w:t>Gummow</w:t>
      </w:r>
      <w:proofErr w:type="spellEnd"/>
      <w:r w:rsidRPr="00883965">
        <w:rPr>
          <w:rFonts w:ascii="Times New Roman" w:hAnsi="Times New Roman"/>
        </w:rPr>
        <w:t xml:space="preserve"> J observed in </w:t>
      </w:r>
      <w:proofErr w:type="spellStart"/>
      <w:r w:rsidRPr="00883965">
        <w:rPr>
          <w:rFonts w:ascii="Times New Roman" w:hAnsi="Times New Roman"/>
          <w:i/>
          <w:iCs/>
        </w:rPr>
        <w:t>Perre</w:t>
      </w:r>
      <w:proofErr w:type="spellEnd"/>
      <w:r w:rsidRPr="00883965">
        <w:rPr>
          <w:rFonts w:ascii="Times New Roman" w:hAnsi="Times New Roman"/>
        </w:rPr>
        <w:t>, quoting Professor </w:t>
      </w:r>
      <w:proofErr w:type="spellStart"/>
      <w:r w:rsidRPr="00883965">
        <w:rPr>
          <w:rFonts w:ascii="Times New Roman" w:hAnsi="Times New Roman"/>
        </w:rPr>
        <w:t>Markesinis</w:t>
      </w:r>
      <w:proofErr w:type="spellEnd"/>
      <w:r w:rsidRPr="00883965">
        <w:rPr>
          <w:rFonts w:ascii="Times New Roman" w:hAnsi="Times New Roman"/>
        </w:rPr>
        <w:t>,</w:t>
      </w:r>
      <w:r w:rsidRPr="00883965">
        <w:rPr>
          <w:rStyle w:val="FootnoteReference"/>
          <w:rFonts w:ascii="Times New Roman" w:hAnsi="Times New Roman"/>
          <w:sz w:val="24"/>
        </w:rPr>
        <w:footnoteReference w:id="155"/>
      </w:r>
      <w:r w:rsidRPr="00883965">
        <w:rPr>
          <w:rFonts w:ascii="Times New Roman" w:hAnsi="Times New Roman"/>
        </w:rPr>
        <w:t xml:space="preserve"> "it could be argued that in no other area of its law of torts does German law demonstrate such an ideological affinity with the Common law as in its refusal to compensate pure economic loss through the medium of tort rules".</w:t>
      </w:r>
    </w:p>
    <w:p w14:paraId="6DB4A6F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One difficulty with creating an exceptional new imposed duty of care, abstracted from a plaintiff's rights to person or property and based on vague and potentially unlimited "salient features", is that no sufficient justification for such an exceptional form of the duty of care has ever been given. Since the plaintiff has no general abstract right not to be exposed to economic loss, what justification is there to create an almost-general abstract duty based on the existence of vague, salient features? The duty of care in such cases is a duty "in the air", but one that is only inflated in unspecified circumstances.</w:t>
      </w:r>
    </w:p>
    <w:p w14:paraId="4676FF18"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Another difficulty is that the salient features analysis has led to the recognition of duties of care in cases which conflict with the requirements of other primary or secondary duties.</w:t>
      </w:r>
      <w:r w:rsidRPr="00883965">
        <w:rPr>
          <w:rStyle w:val="FootnoteReference"/>
          <w:rFonts w:ascii="Times New Roman" w:hAnsi="Times New Roman"/>
          <w:sz w:val="24"/>
        </w:rPr>
        <w:footnoteReference w:id="156"/>
      </w:r>
      <w:r w:rsidRPr="00883965">
        <w:rPr>
          <w:rFonts w:ascii="Times New Roman" w:hAnsi="Times New Roman"/>
        </w:rPr>
        <w:t xml:space="preserve"> For instance, in </w:t>
      </w:r>
      <w:r w:rsidRPr="00883965">
        <w:rPr>
          <w:rFonts w:ascii="Times New Roman" w:hAnsi="Times New Roman"/>
          <w:i/>
          <w:iCs/>
        </w:rPr>
        <w:t>Caltex</w:t>
      </w:r>
      <w:r w:rsidRPr="00883965">
        <w:rPr>
          <w:rFonts w:ascii="Times New Roman" w:hAnsi="Times New Roman"/>
        </w:rPr>
        <w:t>,</w:t>
      </w:r>
      <w:r w:rsidRPr="00883965">
        <w:rPr>
          <w:rFonts w:ascii="Times New Roman" w:hAnsi="Times New Roman"/>
          <w:i/>
          <w:iCs/>
        </w:rPr>
        <w:t xml:space="preserve"> </w:t>
      </w:r>
      <w:r w:rsidRPr="00883965">
        <w:rPr>
          <w:rFonts w:ascii="Times New Roman" w:hAnsi="Times New Roman"/>
        </w:rPr>
        <w:t xml:space="preserve">the claim by Caltex for pure economic loss based on negligence was one that circumvented the requirements of the tort of intentionally inducing a breach of contract. Caltex's loss was caused by the effect of the dredge's action upon Caltex's contractual arrangements with AOR. The common law recognises a tort of intentionally inducing the breach of another's </w:t>
      </w:r>
      <w:r w:rsidRPr="00883965">
        <w:rPr>
          <w:rFonts w:ascii="Times New Roman" w:hAnsi="Times New Roman"/>
        </w:rPr>
        <w:lastRenderedPageBreak/>
        <w:t>contract,</w:t>
      </w:r>
      <w:r w:rsidRPr="00883965">
        <w:rPr>
          <w:rStyle w:val="FootnoteReference"/>
          <w:rFonts w:ascii="Times New Roman" w:hAnsi="Times New Roman"/>
          <w:sz w:val="24"/>
        </w:rPr>
        <w:footnoteReference w:id="157"/>
      </w:r>
      <w:r w:rsidRPr="00883965">
        <w:rPr>
          <w:rFonts w:ascii="Times New Roman" w:hAnsi="Times New Roman"/>
        </w:rPr>
        <w:t xml:space="preserve"> but that is a tort of accessory liability,</w:t>
      </w:r>
      <w:r w:rsidRPr="00883965">
        <w:rPr>
          <w:rStyle w:val="FootnoteReference"/>
          <w:rFonts w:ascii="Times New Roman" w:hAnsi="Times New Roman"/>
          <w:sz w:val="24"/>
        </w:rPr>
        <w:footnoteReference w:id="158"/>
      </w:r>
      <w:r w:rsidRPr="00883965">
        <w:rPr>
          <w:rFonts w:ascii="Times New Roman" w:hAnsi="Times New Roman"/>
        </w:rPr>
        <w:t xml:space="preserve"> which depends upon infringement of the plaintiff's contractual rights by another party to the contract. By contrast, the duty recognised by the Court in </w:t>
      </w:r>
      <w:r w:rsidRPr="00883965">
        <w:rPr>
          <w:rFonts w:ascii="Times New Roman" w:hAnsi="Times New Roman"/>
          <w:i/>
          <w:iCs/>
        </w:rPr>
        <w:t>Caltex</w:t>
      </w:r>
      <w:r w:rsidRPr="00883965">
        <w:rPr>
          <w:rFonts w:ascii="Times New Roman" w:hAnsi="Times New Roman"/>
        </w:rPr>
        <w:t xml:space="preserve"> avoided the need to establish that the action of the dredge had been done with the intention, and with the result, of causing a breach by AOR of its contract with Caltex. In effect, the tort of accessory liability for intentionally inducing a breach of contract was reformulated as a tort of negligent interference with contractual relations based upon salient features.</w:t>
      </w:r>
      <w:r w:rsidRPr="00883965">
        <w:rPr>
          <w:rStyle w:val="FootnoteReference"/>
          <w:rFonts w:ascii="Times New Roman" w:hAnsi="Times New Roman"/>
          <w:sz w:val="24"/>
        </w:rPr>
        <w:footnoteReference w:id="159"/>
      </w:r>
      <w:r w:rsidRPr="00883965">
        <w:rPr>
          <w:rFonts w:ascii="Times New Roman" w:hAnsi="Times New Roman"/>
        </w:rPr>
        <w:t xml:space="preserve">  </w:t>
      </w:r>
    </w:p>
    <w:p w14:paraId="5E2504C6"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The uncertainty and indeterminacy</w:t>
      </w:r>
    </w:p>
    <w:p w14:paraId="4D34FD97"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salient features approach is, on one view, little more than an insistence that each case will turn upon its own facts, with undetermined and indeterminate salient features relevant to a relationship to be identified from those facts. This approach is indistinguishable from an assessment of "proximity", which was, for a time, the approach that was at the forefront of cases concerning novel duties of care in Australian law. The nature of the salient features approach as a "proximity" approach by another name is apparent from the express reliance by Stephen J upon "proximity" in </w:t>
      </w:r>
      <w:r w:rsidRPr="00883965">
        <w:rPr>
          <w:rFonts w:ascii="Times New Roman" w:hAnsi="Times New Roman"/>
          <w:i/>
        </w:rPr>
        <w:t>Caltex</w:t>
      </w:r>
      <w:r w:rsidRPr="00883965">
        <w:rPr>
          <w:rStyle w:val="FootnoteReference"/>
          <w:rFonts w:ascii="Times New Roman" w:hAnsi="Times New Roman"/>
          <w:sz w:val="24"/>
        </w:rPr>
        <w:footnoteReference w:id="160"/>
      </w:r>
      <w:r w:rsidRPr="00883965">
        <w:rPr>
          <w:rFonts w:ascii="Times New Roman" w:hAnsi="Times New Roman"/>
          <w:i/>
        </w:rPr>
        <w:t xml:space="preserve"> </w:t>
      </w:r>
      <w:r w:rsidRPr="00883965">
        <w:rPr>
          <w:rFonts w:ascii="Times New Roman" w:hAnsi="Times New Roman"/>
        </w:rPr>
        <w:t>and from the best explanation of the salient features approach as one that is "intended to assist an examination of a relationship to determine whether there exist in the relationship the requisite closeness, control and vulnerability".</w:t>
      </w:r>
      <w:r w:rsidRPr="00883965">
        <w:rPr>
          <w:rStyle w:val="FootnoteReference"/>
          <w:rFonts w:ascii="Times New Roman" w:hAnsi="Times New Roman"/>
          <w:sz w:val="24"/>
        </w:rPr>
        <w:footnoteReference w:id="161"/>
      </w:r>
      <w:r w:rsidRPr="00883965">
        <w:rPr>
          <w:rFonts w:ascii="Times New Roman" w:hAnsi="Times New Roman"/>
        </w:rPr>
        <w:t xml:space="preserve"> </w:t>
      </w:r>
    </w:p>
    <w:p w14:paraId="04F165A6"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The comments made by this Court about proximity are thus equally apt to apply to an approach based on salient features: the salient features approach "gives little practical guidance in determining whether a duty of care exists in cases that are not analogous to cases in which a duty has been established".</w:t>
      </w:r>
      <w:r w:rsidRPr="00883965">
        <w:rPr>
          <w:rStyle w:val="FootnoteReference"/>
          <w:rFonts w:ascii="Times New Roman" w:hAnsi="Times New Roman"/>
          <w:sz w:val="24"/>
        </w:rPr>
        <w:footnoteReference w:id="162"/>
      </w:r>
      <w:r w:rsidRPr="00883965">
        <w:rPr>
          <w:rFonts w:ascii="Times New Roman" w:hAnsi="Times New Roman"/>
        </w:rPr>
        <w:t xml:space="preserve"> Indeed, in </w:t>
      </w:r>
      <w:r w:rsidRPr="00883965">
        <w:rPr>
          <w:rFonts w:ascii="Times New Roman" w:hAnsi="Times New Roman"/>
          <w:i/>
          <w:iCs/>
        </w:rPr>
        <w:t xml:space="preserve">Caltex Refineries (Qld) Pty Ltd v </w:t>
      </w:r>
      <w:proofErr w:type="spellStart"/>
      <w:r w:rsidRPr="00883965">
        <w:rPr>
          <w:rFonts w:ascii="Times New Roman" w:hAnsi="Times New Roman"/>
          <w:i/>
          <w:iCs/>
        </w:rPr>
        <w:t>Stavar</w:t>
      </w:r>
      <w:proofErr w:type="spellEnd"/>
      <w:r w:rsidRPr="00883965">
        <w:rPr>
          <w:rFonts w:ascii="Times New Roman" w:hAnsi="Times New Roman"/>
        </w:rPr>
        <w:t>,</w:t>
      </w:r>
      <w:r w:rsidRPr="00883965">
        <w:rPr>
          <w:rStyle w:val="FootnoteReference"/>
          <w:rFonts w:ascii="Times New Roman" w:hAnsi="Times New Roman"/>
          <w:sz w:val="24"/>
        </w:rPr>
        <w:footnoteReference w:id="163"/>
      </w:r>
      <w:r w:rsidRPr="00883965">
        <w:rPr>
          <w:rFonts w:ascii="Times New Roman" w:hAnsi="Times New Roman"/>
        </w:rPr>
        <w:t xml:space="preserve"> </w:t>
      </w:r>
      <w:proofErr w:type="spellStart"/>
      <w:r w:rsidRPr="00883965">
        <w:rPr>
          <w:rFonts w:ascii="Times New Roman" w:hAnsi="Times New Roman"/>
        </w:rPr>
        <w:t>Allsop</w:t>
      </w:r>
      <w:proofErr w:type="spellEnd"/>
      <w:r w:rsidRPr="00883965">
        <w:rPr>
          <w:rFonts w:ascii="Times New Roman" w:hAnsi="Times New Roman"/>
        </w:rPr>
        <w:t xml:space="preserve"> P identified from the cases a non-exhaustive list of 17 different salient features that might be relevant to determining whether the requisite relationship exists for a duty of care to be imposed. Even economic evidence "concerning the impact upon tort law of a </w:t>
      </w:r>
      <w:r w:rsidRPr="00883965">
        <w:rPr>
          <w:rFonts w:ascii="Times New Roman" w:hAnsi="Times New Roman"/>
        </w:rPr>
        <w:lastRenderedPageBreak/>
        <w:t>recognition of a duty of care to avoid economic loss in [the] circumstances" has been treated as a salient factor.</w:t>
      </w:r>
      <w:r w:rsidRPr="00883965">
        <w:rPr>
          <w:rStyle w:val="FootnoteReference"/>
          <w:rFonts w:ascii="Times New Roman" w:hAnsi="Times New Roman"/>
          <w:sz w:val="24"/>
        </w:rPr>
        <w:footnoteReference w:id="164"/>
      </w:r>
      <w:r w:rsidRPr="00883965">
        <w:rPr>
          <w:rFonts w:ascii="Times New Roman" w:hAnsi="Times New Roman"/>
        </w:rPr>
        <w:t xml:space="preserve"> With a potentially unlimited list of factors, and without any explanation as to the relative weight of each factor, the salient features approach has been described by Professor Nolan as one that has:</w:t>
      </w:r>
      <w:r w:rsidRPr="00883965">
        <w:rPr>
          <w:rStyle w:val="FootnoteReference"/>
          <w:rFonts w:ascii="Times New Roman" w:hAnsi="Times New Roman"/>
          <w:sz w:val="24"/>
        </w:rPr>
        <w:t xml:space="preserve"> </w:t>
      </w:r>
      <w:r w:rsidRPr="00883965">
        <w:rPr>
          <w:rStyle w:val="FootnoteReference"/>
          <w:rFonts w:ascii="Times New Roman" w:hAnsi="Times New Roman"/>
          <w:sz w:val="24"/>
        </w:rPr>
        <w:footnoteReference w:id="165"/>
      </w:r>
    </w:p>
    <w:p w14:paraId="3BD531F9"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w:t>
      </w:r>
      <w:proofErr w:type="gramStart"/>
      <w:r w:rsidRPr="00883965">
        <w:rPr>
          <w:rFonts w:ascii="Times New Roman" w:hAnsi="Times New Roman"/>
        </w:rPr>
        <w:t>generated</w:t>
      </w:r>
      <w:proofErr w:type="gramEnd"/>
      <w:r w:rsidRPr="00883965">
        <w:rPr>
          <w:rFonts w:ascii="Times New Roman" w:hAnsi="Times New Roman"/>
        </w:rPr>
        <w:t xml:space="preserve"> disastrous levels of complexity, inconsistency and uncertainty in Australia, the only jurisdiction in which it has been adopted".</w:t>
      </w:r>
    </w:p>
    <w:p w14:paraId="7CEAFEC9"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w:t>
      </w:r>
      <w:r w:rsidRPr="00883965">
        <w:rPr>
          <w:rFonts w:ascii="Times New Roman" w:hAnsi="Times New Roman"/>
          <w:i/>
          <w:iCs/>
        </w:rPr>
        <w:t>Metal Roofing and Cladding Pty Ltd v Eire Pty Ltd</w:t>
      </w:r>
      <w:r w:rsidRPr="00883965">
        <w:rPr>
          <w:rFonts w:ascii="Times New Roman" w:hAnsi="Times New Roman"/>
        </w:rPr>
        <w:t>,</w:t>
      </w:r>
      <w:r w:rsidRPr="00883965">
        <w:rPr>
          <w:rStyle w:val="FootnoteReference"/>
          <w:rFonts w:ascii="Times New Roman" w:hAnsi="Times New Roman"/>
          <w:sz w:val="24"/>
        </w:rPr>
        <w:footnoteReference w:id="166"/>
      </w:r>
      <w:r w:rsidRPr="00883965">
        <w:rPr>
          <w:rFonts w:ascii="Times New Roman" w:hAnsi="Times New Roman"/>
        </w:rPr>
        <w:t xml:space="preserve"> Bailey J referred to the "present disgraceful uncertainty in the law dealing with claims for pure economic loss in negligence" and added that "[w]</w:t>
      </w:r>
      <w:proofErr w:type="spellStart"/>
      <w:r w:rsidRPr="00883965">
        <w:rPr>
          <w:rFonts w:ascii="Times New Roman" w:hAnsi="Times New Roman"/>
        </w:rPr>
        <w:t>ith</w:t>
      </w:r>
      <w:proofErr w:type="spellEnd"/>
      <w:r w:rsidRPr="00883965">
        <w:rPr>
          <w:rFonts w:ascii="Times New Roman" w:hAnsi="Times New Roman"/>
        </w:rPr>
        <w:t xml:space="preserve"> the greatest of respect, there is nothing [in the decision in </w:t>
      </w:r>
      <w:proofErr w:type="spellStart"/>
      <w:r w:rsidRPr="00883965">
        <w:rPr>
          <w:rFonts w:ascii="Times New Roman" w:hAnsi="Times New Roman"/>
          <w:i/>
        </w:rPr>
        <w:t>Perre</w:t>
      </w:r>
      <w:proofErr w:type="spellEnd"/>
      <w:r w:rsidRPr="00883965">
        <w:rPr>
          <w:rFonts w:ascii="Times New Roman" w:hAnsi="Times New Roman"/>
        </w:rPr>
        <w:t xml:space="preserve">] in terms of agreement on basic guiding principles to assist with resolution of claims such as the present". </w:t>
      </w:r>
    </w:p>
    <w:p w14:paraId="5E3D6359"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Vulnerability</w:t>
      </w:r>
    </w:p>
    <w:p w14:paraId="741930C2"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some </w:t>
      </w:r>
      <w:proofErr w:type="gramStart"/>
      <w:r w:rsidRPr="00883965">
        <w:rPr>
          <w:rFonts w:ascii="Times New Roman" w:hAnsi="Times New Roman"/>
        </w:rPr>
        <w:t>cases</w:t>
      </w:r>
      <w:proofErr w:type="gramEnd"/>
      <w:r w:rsidRPr="00883965">
        <w:rPr>
          <w:rFonts w:ascii="Times New Roman" w:hAnsi="Times New Roman"/>
        </w:rPr>
        <w:t xml:space="preserve"> it has been suggested that the most significant of the "salient features" should be the feature of "vulnerability". Following </w:t>
      </w:r>
      <w:proofErr w:type="spellStart"/>
      <w:r w:rsidRPr="00883965">
        <w:rPr>
          <w:rFonts w:ascii="Times New Roman" w:hAnsi="Times New Roman"/>
          <w:i/>
          <w:iCs/>
        </w:rPr>
        <w:t>Perre</w:t>
      </w:r>
      <w:proofErr w:type="spellEnd"/>
      <w:r w:rsidRPr="00883965">
        <w:rPr>
          <w:rFonts w:ascii="Times New Roman" w:hAnsi="Times New Roman"/>
        </w:rPr>
        <w:t xml:space="preserve">, in </w:t>
      </w:r>
      <w:r w:rsidRPr="00883965">
        <w:rPr>
          <w:rFonts w:ascii="Times New Roman" w:hAnsi="Times New Roman"/>
          <w:i/>
          <w:iCs/>
        </w:rPr>
        <w:t>Woolcock Street Investments Pty Ltd v CDG Pty Ltd</w:t>
      </w:r>
      <w:r w:rsidRPr="00883965">
        <w:rPr>
          <w:rFonts w:ascii="Times New Roman" w:hAnsi="Times New Roman"/>
        </w:rPr>
        <w:t>,</w:t>
      </w:r>
      <w:r w:rsidRPr="00883965">
        <w:rPr>
          <w:rStyle w:val="FootnoteReference"/>
          <w:rFonts w:ascii="Times New Roman" w:hAnsi="Times New Roman"/>
          <w:sz w:val="24"/>
        </w:rPr>
        <w:footnoteReference w:id="167"/>
      </w:r>
      <w:r w:rsidRPr="00883965">
        <w:rPr>
          <w:rFonts w:ascii="Times New Roman" w:hAnsi="Times New Roman"/>
        </w:rPr>
        <w:t xml:space="preserve"> four members of this Court said that "the vulnerability of the plaintiff has emerged as an important requirement in cases where a duty of care to avoid economic loss has been held to have been owed". Vulnerability was described "as a reference to the plaintiff's inability to protect itself from the consequences of a defendant's want of reasonable care, either entirely or at least in a way which would cast the consequences of loss on the defendant".</w:t>
      </w:r>
      <w:r w:rsidRPr="00883965">
        <w:rPr>
          <w:rStyle w:val="FootnoteReference"/>
          <w:rFonts w:ascii="Times New Roman" w:hAnsi="Times New Roman"/>
          <w:sz w:val="24"/>
        </w:rPr>
        <w:footnoteReference w:id="168"/>
      </w:r>
      <w:r w:rsidRPr="00883965">
        <w:rPr>
          <w:rFonts w:ascii="Times New Roman" w:hAnsi="Times New Roman"/>
        </w:rPr>
        <w:t xml:space="preserve"> In </w:t>
      </w:r>
      <w:proofErr w:type="spellStart"/>
      <w:r w:rsidRPr="00883965">
        <w:rPr>
          <w:rFonts w:ascii="Times New Roman" w:hAnsi="Times New Roman"/>
          <w:i/>
          <w:iCs/>
        </w:rPr>
        <w:t>Perre</w:t>
      </w:r>
      <w:proofErr w:type="spellEnd"/>
      <w:r w:rsidRPr="00883965">
        <w:rPr>
          <w:rFonts w:ascii="Times New Roman" w:hAnsi="Times New Roman"/>
        </w:rPr>
        <w:t>, McHugh J considered that vulnerability was the salient feature that was "likely to be decisive".</w:t>
      </w:r>
      <w:r w:rsidRPr="00883965">
        <w:rPr>
          <w:rStyle w:val="FootnoteReference"/>
          <w:rFonts w:ascii="Times New Roman" w:hAnsi="Times New Roman"/>
          <w:sz w:val="24"/>
        </w:rPr>
        <w:footnoteReference w:id="169"/>
      </w:r>
      <w:r w:rsidRPr="00883965">
        <w:rPr>
          <w:rFonts w:ascii="Times New Roman" w:hAnsi="Times New Roman"/>
        </w:rPr>
        <w:t xml:space="preserve"> Vulnerability is a concept that promised much. But it has delivered little. It is perhaps unsurprising that it is not uncommon for intermediate appellate courts to apply this concept with different results </w:t>
      </w:r>
      <w:r w:rsidRPr="00883965">
        <w:rPr>
          <w:rFonts w:ascii="Times New Roman" w:hAnsi="Times New Roman"/>
        </w:rPr>
        <w:lastRenderedPageBreak/>
        <w:t>reached by different judges within each court and with different results reached by different courts in cases with some comparable features.</w:t>
      </w:r>
      <w:r w:rsidRPr="00883965">
        <w:rPr>
          <w:rStyle w:val="FootnoteReference"/>
          <w:rFonts w:ascii="Times New Roman" w:hAnsi="Times New Roman"/>
          <w:sz w:val="24"/>
        </w:rPr>
        <w:footnoteReference w:id="170"/>
      </w:r>
      <w:r w:rsidRPr="00883965">
        <w:rPr>
          <w:rFonts w:ascii="Times New Roman" w:hAnsi="Times New Roman"/>
        </w:rPr>
        <w:t xml:space="preserve"> </w:t>
      </w:r>
    </w:p>
    <w:p w14:paraId="0570841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some cases, the concept of vulnerability has been conflated with an assumption of responsibility based upon an implied undertaking. In these cases, vulnerability is just a fifth wheel on the coach. For instance, in </w:t>
      </w:r>
      <w:r w:rsidRPr="00883965">
        <w:rPr>
          <w:rFonts w:ascii="Times New Roman" w:hAnsi="Times New Roman"/>
          <w:i/>
          <w:iCs/>
        </w:rPr>
        <w:t>Barclay v Penberthy</w:t>
      </w:r>
      <w:r w:rsidRPr="00883965">
        <w:rPr>
          <w:rStyle w:val="FootnoteReference"/>
          <w:rFonts w:ascii="Times New Roman" w:hAnsi="Times New Roman"/>
          <w:sz w:val="24"/>
        </w:rPr>
        <w:footnoteReference w:id="171"/>
      </w:r>
      <w:r w:rsidRPr="00883965">
        <w:rPr>
          <w:rFonts w:ascii="Times New Roman" w:hAnsi="Times New Roman"/>
          <w:i/>
          <w:iCs/>
        </w:rPr>
        <w:t xml:space="preserve"> </w:t>
      </w:r>
      <w:r w:rsidRPr="00883965">
        <w:rPr>
          <w:rFonts w:ascii="Times New Roman" w:hAnsi="Times New Roman"/>
        </w:rPr>
        <w:t xml:space="preserve">this Court concluded that a pilot (and, by vicarious liability, his employer) was liable to pay damages for economic loss occasioned by the pilot's breach of a duty of care owed to a company whose employees had been injured, and whose intellectual property had been lost, when a plane crashed due (in part) to the pilot's carelessness. After referring to the principles in </w:t>
      </w:r>
      <w:r w:rsidRPr="00883965">
        <w:rPr>
          <w:rFonts w:ascii="Times New Roman" w:hAnsi="Times New Roman"/>
          <w:i/>
          <w:iCs/>
        </w:rPr>
        <w:t>Woolcock Street Investments Pty Ltd v CDG Pty Ltd</w:t>
      </w:r>
      <w:r w:rsidRPr="00883965">
        <w:rPr>
          <w:rFonts w:ascii="Times New Roman" w:hAnsi="Times New Roman"/>
        </w:rPr>
        <w:t>, which included the importance of vulnerability, five members of this Court held that the company was not required to "establish that it could not have bargained with [the pilot's employer] for [contractual protection from economic loss]".</w:t>
      </w:r>
      <w:r w:rsidRPr="00883965">
        <w:rPr>
          <w:rStyle w:val="FootnoteReference"/>
          <w:rFonts w:ascii="Times New Roman" w:hAnsi="Times New Roman"/>
          <w:sz w:val="24"/>
        </w:rPr>
        <w:footnoteReference w:id="172"/>
      </w:r>
      <w:r w:rsidRPr="00883965">
        <w:rPr>
          <w:rFonts w:ascii="Times New Roman" w:hAnsi="Times New Roman"/>
        </w:rPr>
        <w:t xml:space="preserve"> In short, their Honours appeared to be saying that in order to succeed based upon principles of vulnerability the company was not required to prove that it was vulnerable.</w:t>
      </w:r>
      <w:r w:rsidRPr="00883965">
        <w:rPr>
          <w:rStyle w:val="FootnoteReference"/>
          <w:rFonts w:ascii="Times New Roman" w:hAnsi="Times New Roman"/>
          <w:sz w:val="24"/>
        </w:rPr>
        <w:footnoteReference w:id="173"/>
      </w:r>
      <w:r w:rsidRPr="00883965">
        <w:rPr>
          <w:rFonts w:ascii="Times New Roman" w:hAnsi="Times New Roman"/>
        </w:rPr>
        <w:t xml:space="preserve"> </w:t>
      </w:r>
    </w:p>
    <w:p w14:paraId="4888BC93"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Unsurprisingly, the pilot's duty of care in </w:t>
      </w:r>
      <w:r w:rsidRPr="00883965">
        <w:rPr>
          <w:rFonts w:ascii="Times New Roman" w:hAnsi="Times New Roman"/>
          <w:i/>
          <w:iCs/>
        </w:rPr>
        <w:t xml:space="preserve">Barclay v Penberthy </w:t>
      </w:r>
      <w:r w:rsidRPr="00883965">
        <w:rPr>
          <w:rFonts w:ascii="Times New Roman" w:hAnsi="Times New Roman"/>
        </w:rPr>
        <w:t xml:space="preserve">was later re-explained by </w:t>
      </w:r>
      <w:proofErr w:type="spellStart"/>
      <w:r w:rsidRPr="00883965">
        <w:rPr>
          <w:rFonts w:ascii="Times New Roman" w:hAnsi="Times New Roman"/>
        </w:rPr>
        <w:t>Crennan</w:t>
      </w:r>
      <w:proofErr w:type="spellEnd"/>
      <w:r w:rsidRPr="00883965">
        <w:rPr>
          <w:rFonts w:ascii="Times New Roman" w:hAnsi="Times New Roman"/>
        </w:rPr>
        <w:t>, Bell and Keane JJ as a "duty which arose from the defendant's assumption of responsibility". The pilot's employer had, their Honours said, assumed responsibility by an implied term of the contract with the company and the pilot had assumed responsibility without contract but "the content of the duty was the same in contract and tort".</w:t>
      </w:r>
      <w:r w:rsidRPr="00883965">
        <w:rPr>
          <w:rStyle w:val="FootnoteReference"/>
          <w:rFonts w:ascii="Times New Roman" w:hAnsi="Times New Roman"/>
          <w:sz w:val="24"/>
          <w:szCs w:val="24"/>
          <w:shd w:val="clear" w:color="auto" w:fill="FFFFFF"/>
        </w:rPr>
        <w:footnoteReference w:id="174"/>
      </w:r>
      <w:r w:rsidRPr="00883965">
        <w:rPr>
          <w:rFonts w:ascii="Times New Roman" w:hAnsi="Times New Roman"/>
        </w:rPr>
        <w:t xml:space="preserve"> This assumption of responsibility explanation resonates with other decisions.</w:t>
      </w:r>
      <w:r w:rsidRPr="00883965">
        <w:rPr>
          <w:rStyle w:val="FootnoteReference"/>
          <w:rFonts w:ascii="Times New Roman" w:hAnsi="Times New Roman"/>
          <w:sz w:val="24"/>
        </w:rPr>
        <w:footnoteReference w:id="175"/>
      </w:r>
      <w:r w:rsidRPr="00883965">
        <w:rPr>
          <w:rFonts w:ascii="Times New Roman" w:hAnsi="Times New Roman"/>
        </w:rPr>
        <w:t xml:space="preserve"> An assumption of responsibility, rather than a vulnerability, explanation was also relied upon by the appellant growers as a way to re-explain the problematic reasoning of a majority of this </w:t>
      </w:r>
      <w:r w:rsidRPr="00883965">
        <w:rPr>
          <w:rFonts w:ascii="Times New Roman" w:hAnsi="Times New Roman"/>
        </w:rPr>
        <w:lastRenderedPageBreak/>
        <w:t xml:space="preserve">Court in </w:t>
      </w:r>
      <w:r w:rsidRPr="00883965">
        <w:rPr>
          <w:rFonts w:ascii="Times New Roman" w:hAnsi="Times New Roman"/>
          <w:i/>
          <w:iCs/>
        </w:rPr>
        <w:t>Bryan v Maloney</w:t>
      </w:r>
      <w:r w:rsidRPr="00883965">
        <w:rPr>
          <w:rFonts w:ascii="Times New Roman" w:hAnsi="Times New Roman"/>
        </w:rPr>
        <w:t>.</w:t>
      </w:r>
      <w:r w:rsidRPr="00883965">
        <w:rPr>
          <w:rStyle w:val="FootnoteReference"/>
          <w:rFonts w:ascii="Times New Roman" w:hAnsi="Times New Roman"/>
          <w:sz w:val="24"/>
        </w:rPr>
        <w:footnoteReference w:id="176"/>
      </w:r>
      <w:r w:rsidRPr="00883965">
        <w:rPr>
          <w:rFonts w:ascii="Times New Roman" w:hAnsi="Times New Roman"/>
        </w:rPr>
        <w:t xml:space="preserve"> The reasoning of the majority in that case "depended upon"</w:t>
      </w:r>
      <w:r w:rsidRPr="00883965">
        <w:rPr>
          <w:rStyle w:val="FootnoteReference"/>
          <w:rFonts w:ascii="Times New Roman" w:hAnsi="Times New Roman"/>
          <w:sz w:val="24"/>
        </w:rPr>
        <w:footnoteReference w:id="177"/>
      </w:r>
      <w:r w:rsidRPr="00883965">
        <w:rPr>
          <w:rFonts w:ascii="Times New Roman" w:hAnsi="Times New Roman"/>
        </w:rPr>
        <w:t xml:space="preserve"> the now-rejected</w:t>
      </w:r>
      <w:r w:rsidRPr="00883965">
        <w:rPr>
          <w:rStyle w:val="FootnoteReference"/>
          <w:rFonts w:ascii="Times New Roman" w:hAnsi="Times New Roman"/>
          <w:sz w:val="24"/>
        </w:rPr>
        <w:footnoteReference w:id="178"/>
      </w:r>
      <w:r w:rsidRPr="00883965">
        <w:rPr>
          <w:rFonts w:ascii="Times New Roman" w:hAnsi="Times New Roman"/>
        </w:rPr>
        <w:t xml:space="preserve"> concept of "proximity" to hold that a builder of a dwelling house owed a duty of care to a subsequent purchaser of the property.</w:t>
      </w:r>
      <w:r w:rsidRPr="00883965">
        <w:rPr>
          <w:rStyle w:val="FootnoteReference"/>
          <w:rFonts w:ascii="Times New Roman" w:hAnsi="Times New Roman"/>
          <w:sz w:val="24"/>
        </w:rPr>
        <w:footnoteReference w:id="179"/>
      </w:r>
      <w:r w:rsidRPr="00883965">
        <w:rPr>
          <w:rFonts w:ascii="Times New Roman" w:hAnsi="Times New Roman"/>
        </w:rPr>
        <w:t xml:space="preserve"> It is unnecessary on this appeal to address the detail of the facts in </w:t>
      </w:r>
      <w:r w:rsidRPr="00883965">
        <w:rPr>
          <w:rFonts w:ascii="Times New Roman" w:hAnsi="Times New Roman"/>
          <w:i/>
          <w:iCs/>
        </w:rPr>
        <w:t xml:space="preserve">Bryan v Maloney </w:t>
      </w:r>
      <w:r w:rsidRPr="00883965">
        <w:rPr>
          <w:rFonts w:ascii="Times New Roman" w:hAnsi="Times New Roman"/>
        </w:rPr>
        <w:t xml:space="preserve">to assess whether the builder could truly be said to have manifested an unusual undertaking to an unknown subsequent purchaser of the property, with whom the builder had no contract, that care would be taken in the work done. It suffices to say that if there were truly an assumption of responsibility in </w:t>
      </w:r>
      <w:r w:rsidRPr="00883965">
        <w:rPr>
          <w:rFonts w:ascii="Times New Roman" w:hAnsi="Times New Roman"/>
          <w:i/>
          <w:iCs/>
        </w:rPr>
        <w:t>Bryan v Maloney</w:t>
      </w:r>
      <w:r w:rsidRPr="00883965">
        <w:rPr>
          <w:rFonts w:ascii="Times New Roman" w:hAnsi="Times New Roman"/>
        </w:rPr>
        <w:t>, then any reference to "vulnerability" would be superfluous and confusing at best.</w:t>
      </w:r>
      <w:r w:rsidRPr="00883965">
        <w:rPr>
          <w:rStyle w:val="FootnoteReference"/>
          <w:rFonts w:ascii="Times New Roman" w:hAnsi="Times New Roman"/>
          <w:sz w:val="24"/>
        </w:rPr>
        <w:footnoteReference w:id="180"/>
      </w:r>
      <w:r w:rsidRPr="00883965">
        <w:rPr>
          <w:rFonts w:ascii="Times New Roman" w:hAnsi="Times New Roman"/>
        </w:rPr>
        <w:t xml:space="preserve">  </w:t>
      </w:r>
    </w:p>
    <w:p w14:paraId="40B73928"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Beyond cases where vulnerability is used as a proxy for an assumption of responsibility, vulnerability remains a concept that is highly uncertain and contestable. There is uncertainty in what is meant by a plaintiff's "inability to protect itself", particularly if the issue requires a collateral investigation of the insurance market. In </w:t>
      </w:r>
      <w:proofErr w:type="spellStart"/>
      <w:r w:rsidRPr="00883965">
        <w:rPr>
          <w:rFonts w:ascii="Times New Roman" w:hAnsi="Times New Roman"/>
          <w:i/>
          <w:iCs/>
        </w:rPr>
        <w:t>Perre</w:t>
      </w:r>
      <w:proofErr w:type="spellEnd"/>
      <w:r w:rsidRPr="00883965">
        <w:rPr>
          <w:rFonts w:ascii="Times New Roman" w:hAnsi="Times New Roman"/>
        </w:rPr>
        <w:t>, McHugh J held that an ability to insure against a risk was irrelevant to an assessment of the plaintiff's vulnerability to that risk.</w:t>
      </w:r>
      <w:r w:rsidRPr="00883965">
        <w:rPr>
          <w:rStyle w:val="FootnoteReference"/>
          <w:rFonts w:ascii="Times New Roman" w:hAnsi="Times New Roman"/>
          <w:sz w:val="24"/>
        </w:rPr>
        <w:footnoteReference w:id="181"/>
      </w:r>
      <w:r w:rsidRPr="00883965">
        <w:rPr>
          <w:rFonts w:ascii="Times New Roman" w:hAnsi="Times New Roman"/>
        </w:rPr>
        <w:t xml:space="preserve"> But the ability of a person to bargain for and obtain a contractual indemnity, which is a matter that has been held to reduce vulnerability,</w:t>
      </w:r>
      <w:r w:rsidRPr="00883965">
        <w:rPr>
          <w:rStyle w:val="FootnoteReference"/>
          <w:rFonts w:ascii="Times New Roman" w:hAnsi="Times New Roman"/>
          <w:sz w:val="24"/>
        </w:rPr>
        <w:footnoteReference w:id="182"/>
      </w:r>
      <w:r w:rsidRPr="00883965">
        <w:rPr>
          <w:rFonts w:ascii="Times New Roman" w:hAnsi="Times New Roman"/>
        </w:rPr>
        <w:t xml:space="preserve"> could itself be described as a form of insurance. And, in rejecting a general duty of care to avoid causing economic loss to another, the </w:t>
      </w:r>
      <w:r w:rsidRPr="00883965">
        <w:rPr>
          <w:rFonts w:ascii="Times New Roman" w:hAnsi="Times New Roman"/>
          <w:i/>
          <w:iCs/>
        </w:rPr>
        <w:t>Restatement</w:t>
      </w:r>
      <w:r w:rsidRPr="00883965">
        <w:rPr>
          <w:rFonts w:ascii="Times New Roman" w:hAnsi="Times New Roman"/>
        </w:rPr>
        <w:t xml:space="preserve"> treats the ability to insure or to obtain contractual indemnity alike:</w:t>
      </w:r>
      <w:r w:rsidRPr="00883965">
        <w:rPr>
          <w:rStyle w:val="FootnoteReference"/>
          <w:rFonts w:ascii="Times New Roman" w:hAnsi="Times New Roman"/>
          <w:sz w:val="24"/>
        </w:rPr>
        <w:footnoteReference w:id="183"/>
      </w:r>
      <w:r w:rsidRPr="00883965">
        <w:rPr>
          <w:rFonts w:ascii="Times New Roman" w:hAnsi="Times New Roman"/>
        </w:rPr>
        <w:t xml:space="preserve"> </w:t>
      </w:r>
    </w:p>
    <w:p w14:paraId="501880A2"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"[V]</w:t>
      </w:r>
      <w:proofErr w:type="spellStart"/>
      <w:r w:rsidRPr="00883965">
        <w:rPr>
          <w:rFonts w:ascii="Times New Roman" w:hAnsi="Times New Roman"/>
        </w:rPr>
        <w:t>ictims</w:t>
      </w:r>
      <w:proofErr w:type="spellEnd"/>
      <w:r w:rsidRPr="00883965">
        <w:rPr>
          <w:rFonts w:ascii="Times New Roman" w:hAnsi="Times New Roman"/>
        </w:rPr>
        <w:t xml:space="preserve"> of economic injury often can protect themselves effectively by means other than a tort suit. They may be able to obtain first-party insurance </w:t>
      </w:r>
      <w:r w:rsidRPr="00883965">
        <w:rPr>
          <w:rFonts w:ascii="Times New Roman" w:hAnsi="Times New Roman"/>
        </w:rPr>
        <w:lastRenderedPageBreak/>
        <w:t xml:space="preserve">against their </w:t>
      </w:r>
      <w:proofErr w:type="gramStart"/>
      <w:r w:rsidRPr="00883965">
        <w:rPr>
          <w:rFonts w:ascii="Times New Roman" w:hAnsi="Times New Roman"/>
        </w:rPr>
        <w:t>losses, or</w:t>
      </w:r>
      <w:proofErr w:type="gramEnd"/>
      <w:r w:rsidRPr="00883965">
        <w:rPr>
          <w:rFonts w:ascii="Times New Roman" w:hAnsi="Times New Roman"/>
        </w:rPr>
        <w:t xml:space="preserve"> recover in contract from those who do have good claims against the defendant."</w:t>
      </w:r>
    </w:p>
    <w:p w14:paraId="570B9D2B"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salient feature of vulnerability was also relied upon in the Court of Appeal of the Supreme Court of Queensland in </w:t>
      </w:r>
      <w:bookmarkStart w:id="8" w:name="_Hlk164927602"/>
      <w:r w:rsidRPr="00883965">
        <w:rPr>
          <w:rFonts w:ascii="Times New Roman" w:hAnsi="Times New Roman"/>
          <w:i/>
          <w:iCs/>
        </w:rPr>
        <w:t>Fortuna Seafoods Pty Ltd v The Ship "Eternal Wind"</w:t>
      </w:r>
      <w:bookmarkEnd w:id="8"/>
      <w:r w:rsidRPr="00883965">
        <w:rPr>
          <w:rFonts w:ascii="Times New Roman" w:hAnsi="Times New Roman"/>
        </w:rPr>
        <w:t>.</w:t>
      </w:r>
      <w:r w:rsidRPr="00883965">
        <w:rPr>
          <w:rStyle w:val="FootnoteReference"/>
          <w:rFonts w:ascii="Times New Roman" w:hAnsi="Times New Roman"/>
          <w:sz w:val="24"/>
        </w:rPr>
        <w:footnoteReference w:id="184"/>
      </w:r>
      <w:r w:rsidRPr="00883965">
        <w:rPr>
          <w:rFonts w:ascii="Times New Roman" w:hAnsi="Times New Roman"/>
        </w:rPr>
        <w:t xml:space="preserve"> In that case, the appellant carelessly sank a fishing vessel. Fortuna Seafoods Pty Ltd, a related company to the company that owned the fishing vessel, claimed for its economic losses arising from its inability to process and sell fish caught from the vessel. In the majority, McMurdo P held that the appellant owed a duty of care to Fortuna Seafoods in part because Fortuna Seafoods "could do little to realistically protect itself" from the negligence of the appellant.</w:t>
      </w:r>
      <w:r w:rsidRPr="00883965">
        <w:rPr>
          <w:rStyle w:val="FootnoteReference"/>
          <w:rFonts w:ascii="Times New Roman" w:hAnsi="Times New Roman"/>
          <w:sz w:val="24"/>
        </w:rPr>
        <w:footnoteReference w:id="185"/>
      </w:r>
      <w:r w:rsidRPr="00883965">
        <w:rPr>
          <w:rFonts w:ascii="Times New Roman" w:hAnsi="Times New Roman"/>
        </w:rPr>
        <w:t xml:space="preserve"> Yet, as has been observed,</w:t>
      </w:r>
      <w:r w:rsidRPr="00883965">
        <w:rPr>
          <w:rStyle w:val="FootnoteReference"/>
          <w:rFonts w:ascii="Times New Roman" w:hAnsi="Times New Roman"/>
          <w:sz w:val="24"/>
        </w:rPr>
        <w:footnoteReference w:id="186"/>
      </w:r>
      <w:r w:rsidRPr="00883965">
        <w:rPr>
          <w:rFonts w:ascii="Times New Roman" w:hAnsi="Times New Roman"/>
        </w:rPr>
        <w:t xml:space="preserve"> there is no apparent reason why Fortuna Seafoods could not have obtained an indemnity for such losses from the company whose vessel was sunk by the appellant. This is particularly so since, as </w:t>
      </w:r>
      <w:proofErr w:type="spellStart"/>
      <w:r w:rsidRPr="00883965">
        <w:rPr>
          <w:rFonts w:ascii="Times New Roman" w:hAnsi="Times New Roman"/>
        </w:rPr>
        <w:t>Dutney</w:t>
      </w:r>
      <w:proofErr w:type="spellEnd"/>
      <w:r w:rsidRPr="00883965">
        <w:rPr>
          <w:rFonts w:ascii="Times New Roman" w:hAnsi="Times New Roman"/>
        </w:rPr>
        <w:t> J (also in the majority, but not placing any reliance upon vulnerability) observed, the two companies were so closely related "that in reality there is only one business".</w:t>
      </w:r>
      <w:r w:rsidRPr="00883965">
        <w:rPr>
          <w:rStyle w:val="FootnoteReference"/>
          <w:rFonts w:ascii="Times New Roman" w:hAnsi="Times New Roman"/>
          <w:sz w:val="24"/>
        </w:rPr>
        <w:footnoteReference w:id="187"/>
      </w:r>
    </w:p>
    <w:p w14:paraId="73995E0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In dissent, </w:t>
      </w:r>
      <w:proofErr w:type="spellStart"/>
      <w:r w:rsidRPr="00883965">
        <w:rPr>
          <w:rFonts w:ascii="Times New Roman" w:hAnsi="Times New Roman"/>
        </w:rPr>
        <w:t>Jerrard</w:t>
      </w:r>
      <w:proofErr w:type="spellEnd"/>
      <w:r w:rsidRPr="00883965">
        <w:rPr>
          <w:rFonts w:ascii="Times New Roman" w:hAnsi="Times New Roman"/>
        </w:rPr>
        <w:t> JA relied upon the concept of separate corporate identity to deny that Fortuna Seafoods was owed a duty of care.</w:t>
      </w:r>
      <w:r w:rsidRPr="00883965">
        <w:rPr>
          <w:rStyle w:val="FootnoteReference"/>
          <w:rFonts w:ascii="Times New Roman" w:hAnsi="Times New Roman"/>
          <w:sz w:val="24"/>
        </w:rPr>
        <w:footnoteReference w:id="188"/>
      </w:r>
      <w:r w:rsidRPr="00883965">
        <w:rPr>
          <w:rFonts w:ascii="Times New Roman" w:hAnsi="Times New Roman"/>
        </w:rPr>
        <w:t xml:space="preserve"> Plainly, the company that owned the vessel that was destroyed could recover its consequential losses. But if Fortuna Seafoods could also recover, his Honour held, "then so could each wholesaler or selling agent to whom the owner of an out-of-action fishing vessel might provide its catch, now no longer available for sale".</w:t>
      </w:r>
      <w:r w:rsidRPr="00883965">
        <w:rPr>
          <w:rStyle w:val="FootnoteReference"/>
          <w:rFonts w:ascii="Times New Roman" w:hAnsi="Times New Roman"/>
          <w:sz w:val="24"/>
        </w:rPr>
        <w:footnoteReference w:id="189"/>
      </w:r>
      <w:r w:rsidRPr="00883965">
        <w:rPr>
          <w:rFonts w:ascii="Times New Roman" w:hAnsi="Times New Roman"/>
        </w:rPr>
        <w:t xml:space="preserve"> Indeed, the more remote a wholesaler or selling agent might be from the company, the less ability that such a wholesaler or selling agent would have to protect itself by contractual indemnity from the economic effects in a "niche market"</w:t>
      </w:r>
      <w:r w:rsidRPr="00883965">
        <w:rPr>
          <w:rStyle w:val="FootnoteReference"/>
          <w:rFonts w:ascii="Times New Roman" w:hAnsi="Times New Roman"/>
          <w:sz w:val="24"/>
        </w:rPr>
        <w:footnoteReference w:id="190"/>
      </w:r>
      <w:r w:rsidRPr="00883965">
        <w:rPr>
          <w:rFonts w:ascii="Times New Roman" w:hAnsi="Times New Roman"/>
        </w:rPr>
        <w:t xml:space="preserve"> flowing from the sinking of the fishing vessel. </w:t>
      </w:r>
    </w:p>
    <w:p w14:paraId="5DB9F3FC"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A central focus upon the salient feature of vulnerability also presents difficulties in explaining the results of </w:t>
      </w:r>
      <w:r w:rsidRPr="00883965">
        <w:rPr>
          <w:rFonts w:ascii="Times New Roman" w:hAnsi="Times New Roman"/>
          <w:i/>
          <w:iCs/>
        </w:rPr>
        <w:t xml:space="preserve">Caltex </w:t>
      </w:r>
      <w:r w:rsidRPr="00883965">
        <w:rPr>
          <w:rFonts w:ascii="Times New Roman" w:hAnsi="Times New Roman"/>
        </w:rPr>
        <w:t xml:space="preserve">and </w:t>
      </w:r>
      <w:proofErr w:type="spellStart"/>
      <w:r w:rsidRPr="00883965">
        <w:rPr>
          <w:rFonts w:ascii="Times New Roman" w:hAnsi="Times New Roman"/>
          <w:i/>
          <w:iCs/>
        </w:rPr>
        <w:t>Perre</w:t>
      </w:r>
      <w:proofErr w:type="spellEnd"/>
      <w:r w:rsidRPr="00883965">
        <w:rPr>
          <w:rFonts w:ascii="Times New Roman" w:hAnsi="Times New Roman"/>
        </w:rPr>
        <w:t xml:space="preserve">. In the former, Caltex had </w:t>
      </w:r>
      <w:r w:rsidRPr="00883965">
        <w:rPr>
          <w:rFonts w:ascii="Times New Roman" w:hAnsi="Times New Roman"/>
        </w:rPr>
        <w:lastRenderedPageBreak/>
        <w:t>bargained with AOR for the risk of damage or loss to Caltex's oil to be borne by AOR.</w:t>
      </w:r>
      <w:r w:rsidRPr="00883965">
        <w:rPr>
          <w:rStyle w:val="FootnoteReference"/>
          <w:rFonts w:ascii="Times New Roman" w:hAnsi="Times New Roman"/>
          <w:sz w:val="24"/>
        </w:rPr>
        <w:footnoteReference w:id="191"/>
      </w:r>
      <w:r w:rsidRPr="00883965">
        <w:rPr>
          <w:rFonts w:ascii="Times New Roman" w:hAnsi="Times New Roman"/>
        </w:rPr>
        <w:t xml:space="preserve"> It has been observed that there is no apparent reason why Caltex was not able to bargain for AOR to bear the risk of further consequential losses arising from increased transport costs if the pipeline were damaged.</w:t>
      </w:r>
      <w:r w:rsidRPr="00883965">
        <w:rPr>
          <w:rStyle w:val="FootnoteReference"/>
          <w:rFonts w:ascii="Times New Roman" w:hAnsi="Times New Roman"/>
          <w:sz w:val="24"/>
        </w:rPr>
        <w:footnoteReference w:id="192"/>
      </w:r>
      <w:r w:rsidRPr="00883965">
        <w:rPr>
          <w:rFonts w:ascii="Times New Roman" w:hAnsi="Times New Roman"/>
        </w:rPr>
        <w:t xml:space="preserve"> Similarly, the successful plaintiffs in </w:t>
      </w:r>
      <w:proofErr w:type="spellStart"/>
      <w:r w:rsidRPr="00883965">
        <w:rPr>
          <w:rFonts w:ascii="Times New Roman" w:hAnsi="Times New Roman"/>
          <w:i/>
          <w:iCs/>
        </w:rPr>
        <w:t>Perre</w:t>
      </w:r>
      <w:proofErr w:type="spellEnd"/>
      <w:r w:rsidRPr="00883965">
        <w:rPr>
          <w:rFonts w:ascii="Times New Roman" w:hAnsi="Times New Roman"/>
          <w:i/>
          <w:iCs/>
        </w:rPr>
        <w:t xml:space="preserve"> </w:t>
      </w:r>
      <w:r w:rsidRPr="00883965">
        <w:rPr>
          <w:rFonts w:ascii="Times New Roman" w:hAnsi="Times New Roman"/>
        </w:rPr>
        <w:t xml:space="preserve">were able to recover despite being in an apparent position to arrange their commercial affairs to protect against economic loss. As Professor </w:t>
      </w:r>
      <w:proofErr w:type="spellStart"/>
      <w:r w:rsidRPr="00883965">
        <w:rPr>
          <w:rFonts w:ascii="Times New Roman" w:hAnsi="Times New Roman"/>
        </w:rPr>
        <w:t>Feldthusen</w:t>
      </w:r>
      <w:proofErr w:type="spellEnd"/>
      <w:r w:rsidRPr="00883965">
        <w:rPr>
          <w:rFonts w:ascii="Times New Roman" w:hAnsi="Times New Roman"/>
        </w:rPr>
        <w:t xml:space="preserve"> has said:</w:t>
      </w:r>
      <w:r w:rsidRPr="00883965">
        <w:rPr>
          <w:rStyle w:val="FootnoteReference"/>
          <w:rFonts w:ascii="Times New Roman" w:hAnsi="Times New Roman"/>
          <w:sz w:val="24"/>
        </w:rPr>
        <w:footnoteReference w:id="193"/>
      </w:r>
    </w:p>
    <w:p w14:paraId="41D1EDAD"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 xml:space="preserve">"[I]t is not clear how the plaintiffs in </w:t>
      </w:r>
      <w:proofErr w:type="spellStart"/>
      <w:r w:rsidRPr="00883965">
        <w:rPr>
          <w:rFonts w:ascii="Times New Roman" w:hAnsi="Times New Roman"/>
          <w:i/>
          <w:iCs/>
        </w:rPr>
        <w:t>Perre</w:t>
      </w:r>
      <w:proofErr w:type="spellEnd"/>
      <w:r w:rsidRPr="00883965">
        <w:rPr>
          <w:rFonts w:ascii="Times New Roman" w:hAnsi="Times New Roman"/>
          <w:i/>
          <w:iCs/>
        </w:rPr>
        <w:t xml:space="preserve"> v </w:t>
      </w:r>
      <w:proofErr w:type="spellStart"/>
      <w:r w:rsidRPr="00883965">
        <w:rPr>
          <w:rFonts w:ascii="Times New Roman" w:hAnsi="Times New Roman"/>
          <w:i/>
          <w:iCs/>
        </w:rPr>
        <w:t>Apand</w:t>
      </w:r>
      <w:proofErr w:type="spellEnd"/>
      <w:r w:rsidRPr="00883965">
        <w:rPr>
          <w:rFonts w:ascii="Times New Roman" w:hAnsi="Times New Roman"/>
          <w:i/>
          <w:iCs/>
        </w:rPr>
        <w:t xml:space="preserve"> </w:t>
      </w:r>
      <w:r w:rsidRPr="00883965">
        <w:rPr>
          <w:rFonts w:ascii="Times New Roman" w:hAnsi="Times New Roman"/>
        </w:rPr>
        <w:t xml:space="preserve">were especially vulnerable ... If anything, </w:t>
      </w:r>
      <w:proofErr w:type="spellStart"/>
      <w:r w:rsidRPr="00883965">
        <w:rPr>
          <w:rFonts w:ascii="Times New Roman" w:hAnsi="Times New Roman"/>
          <w:i/>
          <w:iCs/>
        </w:rPr>
        <w:t>Perre</w:t>
      </w:r>
      <w:proofErr w:type="spellEnd"/>
      <w:r w:rsidRPr="00883965">
        <w:rPr>
          <w:rFonts w:ascii="Times New Roman" w:hAnsi="Times New Roman"/>
          <w:i/>
          <w:iCs/>
        </w:rPr>
        <w:t xml:space="preserve"> v </w:t>
      </w:r>
      <w:proofErr w:type="spellStart"/>
      <w:r w:rsidRPr="00883965">
        <w:rPr>
          <w:rFonts w:ascii="Times New Roman" w:hAnsi="Times New Roman"/>
          <w:i/>
          <w:iCs/>
        </w:rPr>
        <w:t>Apand</w:t>
      </w:r>
      <w:proofErr w:type="spellEnd"/>
      <w:r w:rsidRPr="00883965">
        <w:rPr>
          <w:rFonts w:ascii="Times New Roman" w:hAnsi="Times New Roman"/>
          <w:i/>
          <w:iCs/>
        </w:rPr>
        <w:t xml:space="preserve"> </w:t>
      </w:r>
      <w:r w:rsidRPr="00883965">
        <w:rPr>
          <w:rFonts w:ascii="Times New Roman" w:hAnsi="Times New Roman"/>
        </w:rPr>
        <w:t xml:space="preserve">confirms the observation that relational claimants are generally better able to protect themselves from loss than random victims of physical harm. The relational plaintiffs were </w:t>
      </w:r>
      <w:proofErr w:type="gramStart"/>
      <w:r w:rsidRPr="00883965">
        <w:rPr>
          <w:rFonts w:ascii="Times New Roman" w:hAnsi="Times New Roman"/>
        </w:rPr>
        <w:t>closely related to one another</w:t>
      </w:r>
      <w:proofErr w:type="gramEnd"/>
      <w:r w:rsidRPr="00883965">
        <w:rPr>
          <w:rFonts w:ascii="Times New Roman" w:hAnsi="Times New Roman"/>
        </w:rPr>
        <w:t xml:space="preserve"> and to [the proximate grower company]. The family members arranged their commercial affairs in the manner that suited them best. Given their dependence on [the proximate grower company], they could have arranged their affairs differently to protect themselves."</w:t>
      </w:r>
    </w:p>
    <w:p w14:paraId="2D97EB9A"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As a matter of principle, vulnerability is also difficult to justify as a central salient feature. Even if the successful plaintiffs in </w:t>
      </w:r>
      <w:proofErr w:type="spellStart"/>
      <w:r w:rsidRPr="00883965">
        <w:rPr>
          <w:rFonts w:ascii="Times New Roman" w:hAnsi="Times New Roman"/>
          <w:i/>
          <w:iCs/>
        </w:rPr>
        <w:t>Perre</w:t>
      </w:r>
      <w:proofErr w:type="spellEnd"/>
      <w:r w:rsidRPr="00883965">
        <w:rPr>
          <w:rFonts w:ascii="Times New Roman" w:hAnsi="Times New Roman"/>
          <w:i/>
          <w:iCs/>
        </w:rPr>
        <w:t xml:space="preserve"> </w:t>
      </w:r>
      <w:r w:rsidRPr="00883965">
        <w:rPr>
          <w:rFonts w:ascii="Times New Roman" w:hAnsi="Times New Roman"/>
        </w:rPr>
        <w:t>could all be said to have been vulnerable, why should they be able to recover at common law whilst the infant dependants of a deceased or severely injured tort victim cannot?</w:t>
      </w:r>
      <w:r w:rsidRPr="00883965">
        <w:rPr>
          <w:rStyle w:val="FootnoteReference"/>
          <w:rFonts w:ascii="Times New Roman" w:hAnsi="Times New Roman"/>
          <w:sz w:val="24"/>
        </w:rPr>
        <w:footnoteReference w:id="194"/>
      </w:r>
      <w:r w:rsidRPr="00883965">
        <w:rPr>
          <w:rFonts w:ascii="Times New Roman" w:hAnsi="Times New Roman"/>
        </w:rPr>
        <w:t xml:space="preserve"> Further, as Professor Stevens has powerfully argued:</w:t>
      </w:r>
      <w:r w:rsidRPr="00883965">
        <w:rPr>
          <w:rStyle w:val="FootnoteReference"/>
          <w:rFonts w:ascii="Times New Roman" w:hAnsi="Times New Roman"/>
          <w:sz w:val="24"/>
        </w:rPr>
        <w:footnoteReference w:id="195"/>
      </w:r>
    </w:p>
    <w:p w14:paraId="3836400C" w14:textId="77777777" w:rsidR="001F5442" w:rsidRDefault="001F5442" w:rsidP="00883965">
      <w:pPr>
        <w:pStyle w:val="LeftrightafterHC"/>
        <w:spacing w:before="0" w:after="260" w:line="280" w:lineRule="exact"/>
        <w:ind w:right="0"/>
        <w:jc w:val="both"/>
        <w:rPr>
          <w:rFonts w:ascii="Times New Roman" w:hAnsi="Times New Roman"/>
        </w:rPr>
      </w:pPr>
      <w:r w:rsidRPr="00883965">
        <w:rPr>
          <w:rFonts w:ascii="Times New Roman" w:hAnsi="Times New Roman"/>
        </w:rPr>
        <w:tab/>
        <w:t xml:space="preserve">"If we consider the duty of care in the law of torts to be a </w:t>
      </w:r>
      <w:r w:rsidRPr="00883965">
        <w:rPr>
          <w:rFonts w:ascii="Times New Roman" w:hAnsi="Times New Roman"/>
          <w:i/>
          <w:iCs/>
        </w:rPr>
        <w:t xml:space="preserve">duty </w:t>
      </w:r>
      <w:r w:rsidRPr="00883965">
        <w:rPr>
          <w:rFonts w:ascii="Times New Roman" w:hAnsi="Times New Roman"/>
        </w:rPr>
        <w:t xml:space="preserve">owed to another imposed by law, is it acceptable to require parties in the real </w:t>
      </w:r>
      <w:r w:rsidRPr="00883965">
        <w:rPr>
          <w:rFonts w:ascii="Times New Roman" w:hAnsi="Times New Roman"/>
        </w:rPr>
        <w:lastRenderedPageBreak/>
        <w:t>world to deduce their obligations one to another by deduction from such a subtle, indeed Byzantine, concept as that of vulnerability?"</w:t>
      </w:r>
    </w:p>
    <w:p w14:paraId="1443E2AE" w14:textId="77777777" w:rsidR="001F5442" w:rsidRPr="00883965" w:rsidRDefault="001F5442" w:rsidP="00883965">
      <w:pPr>
        <w:pStyle w:val="HeadingL2"/>
        <w:spacing w:after="260" w:line="280" w:lineRule="exact"/>
        <w:ind w:right="0"/>
        <w:jc w:val="both"/>
        <w:rPr>
          <w:rFonts w:ascii="Times New Roman" w:hAnsi="Times New Roman"/>
        </w:rPr>
      </w:pPr>
      <w:r w:rsidRPr="00883965">
        <w:rPr>
          <w:rFonts w:ascii="Times New Roman" w:hAnsi="Times New Roman"/>
        </w:rPr>
        <w:t>Application to this appeal</w:t>
      </w:r>
    </w:p>
    <w:p w14:paraId="0B5BEA48"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On the state of Australian </w:t>
      </w:r>
      <w:proofErr w:type="gramStart"/>
      <w:r w:rsidRPr="00883965">
        <w:rPr>
          <w:rFonts w:ascii="Times New Roman" w:hAnsi="Times New Roman"/>
        </w:rPr>
        <w:t>law</w:t>
      </w:r>
      <w:proofErr w:type="gramEnd"/>
      <w:r w:rsidRPr="00883965">
        <w:rPr>
          <w:rFonts w:ascii="Times New Roman" w:hAnsi="Times New Roman"/>
        </w:rPr>
        <w:t xml:space="preserve"> it is necessary to apply a "salient features" analysis to determine whether a duty of care should be imposed upon the respondent producer, who accepted no responsibility for economic loss that might be suffered by the appellant growers. For the reasons above, however, in the absence of any challenge to an analysis based upon salient features, any application of that analysis should be as narrow as possible. </w:t>
      </w:r>
    </w:p>
    <w:p w14:paraId="6037810E"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The appellant growers relied upon the salient features of the case as involving: (</w:t>
      </w:r>
      <w:proofErr w:type="spellStart"/>
      <w:r w:rsidRPr="00883965">
        <w:rPr>
          <w:rFonts w:ascii="Times New Roman" w:hAnsi="Times New Roman"/>
        </w:rPr>
        <w:t>i</w:t>
      </w:r>
      <w:proofErr w:type="spellEnd"/>
      <w:r w:rsidRPr="00883965">
        <w:rPr>
          <w:rFonts w:ascii="Times New Roman" w:hAnsi="Times New Roman"/>
        </w:rPr>
        <w:t>) reasonable foreseeability of economic loss to end-users such as the appellant growers if the seed was contaminated; (ii) a group such as the appellant growers forming a determinate class of persons; (iii) knowledge of the respondent producer of the risk of economic harm to growers if reasonable care were not taken in seed production; and (iv) the ability of the respondent producer to control that risk by taking reasonable precautions and conversely the vulnerability of the appellant growers, who could not protect themselves from the consequences of a failure by the respondent producer to take reasonable care.</w:t>
      </w:r>
    </w:p>
    <w:p w14:paraId="4C5ED911"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As to the reasonable foreseeability of loss to a determinate class of persons, these salient features can be accepted to have been present, but they have never been sufficient for the recognition of a duty of care to avoid causing pure economic loss to another. An approach that narrowly confines the recognition of a duty of care by application of a salient features analysis must insist upon far more than these factors. The issue is whether the force of the third and fourth factors is sufficient.</w:t>
      </w:r>
    </w:p>
    <w:p w14:paraId="6DBA38FD"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As to the respondent producer's knowledge of the risk of economic harm, it can be accepted that in a case like </w:t>
      </w:r>
      <w:r w:rsidRPr="00883965">
        <w:rPr>
          <w:rFonts w:ascii="Times New Roman" w:hAnsi="Times New Roman"/>
          <w:i/>
          <w:iCs/>
        </w:rPr>
        <w:t xml:space="preserve">Caltex </w:t>
      </w:r>
      <w:r w:rsidRPr="00883965">
        <w:rPr>
          <w:rFonts w:ascii="Times New Roman" w:hAnsi="Times New Roman"/>
        </w:rPr>
        <w:t xml:space="preserve">the type of economic harm known, or which might reasonably have been expected to be known, to AOR was described at a high level of generality involving economic loss consequent upon damage to a pipeline used by Caltex. But the specificity of knowledge that should be required as a salient feature was not the subject of argument in </w:t>
      </w:r>
      <w:r w:rsidRPr="00883965">
        <w:rPr>
          <w:rFonts w:ascii="Times New Roman" w:hAnsi="Times New Roman"/>
          <w:i/>
          <w:iCs/>
        </w:rPr>
        <w:t>Caltex</w:t>
      </w:r>
      <w:r w:rsidRPr="00883965">
        <w:rPr>
          <w:rFonts w:ascii="Times New Roman" w:hAnsi="Times New Roman"/>
        </w:rPr>
        <w:t>. The less specific the knowledge, the less force the salient feature will have. In this case, as the joint reasons observe, the knowledge of the respondent producer was limited.</w:t>
      </w:r>
      <w:r w:rsidRPr="00883965">
        <w:rPr>
          <w:rStyle w:val="FootnoteReference"/>
          <w:rFonts w:ascii="Times New Roman" w:hAnsi="Times New Roman"/>
          <w:sz w:val="24"/>
        </w:rPr>
        <w:footnoteReference w:id="196"/>
      </w:r>
      <w:r w:rsidRPr="00883965">
        <w:rPr>
          <w:rFonts w:ascii="Times New Roman" w:hAnsi="Times New Roman"/>
        </w:rPr>
        <w:t xml:space="preserve"> In broad terms that knowledge was that end-users would have difficulty in controlling or eradicating the consequences of contaminated seed.    </w:t>
      </w:r>
    </w:p>
    <w:p w14:paraId="1C293D9F"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As to the salient features of control and vulnerability, the undisturbed findings of the primary judge were that the respondent producer had failed: (</w:t>
      </w:r>
      <w:proofErr w:type="spellStart"/>
      <w:r w:rsidRPr="00883965">
        <w:rPr>
          <w:rFonts w:ascii="Times New Roman" w:hAnsi="Times New Roman"/>
        </w:rPr>
        <w:t>i</w:t>
      </w:r>
      <w:proofErr w:type="spellEnd"/>
      <w:r w:rsidRPr="00883965">
        <w:rPr>
          <w:rFonts w:ascii="Times New Roman" w:hAnsi="Times New Roman"/>
        </w:rPr>
        <w:t xml:space="preserve">) to </w:t>
      </w:r>
      <w:r w:rsidRPr="00883965">
        <w:rPr>
          <w:rFonts w:ascii="Times New Roman" w:hAnsi="Times New Roman"/>
        </w:rPr>
        <w:lastRenderedPageBreak/>
        <w:t xml:space="preserve">undertake a comprehensive </w:t>
      </w:r>
      <w:proofErr w:type="spellStart"/>
      <w:r w:rsidRPr="00883965">
        <w:rPr>
          <w:rFonts w:ascii="Times New Roman" w:hAnsi="Times New Roman"/>
        </w:rPr>
        <w:t>roguing</w:t>
      </w:r>
      <w:proofErr w:type="spellEnd"/>
      <w:r w:rsidRPr="00883965">
        <w:rPr>
          <w:rFonts w:ascii="Times New Roman" w:hAnsi="Times New Roman"/>
        </w:rPr>
        <w:t xml:space="preserve"> and crop inspection during the production process to ensure the purity of the seed; and (ii) to conduct a commercial grow out before supplying seed for commercial sale to growers to prevent contaminated seed from being supplied. Further, the respondent producer did not seek to disturb the finding concerning the vulnerability of the appellant growers, that "it may be unrealistic to say that the end purchaser is in a position to protect itself against economic loss caused by the negligence of the producer by an appropriate contractual warranty obtained from the retailer".</w:t>
      </w:r>
      <w:r w:rsidRPr="00883965">
        <w:rPr>
          <w:rStyle w:val="FootnoteReference"/>
          <w:rFonts w:ascii="Times New Roman" w:hAnsi="Times New Roman"/>
          <w:sz w:val="24"/>
        </w:rPr>
        <w:footnoteReference w:id="197"/>
      </w:r>
      <w:r w:rsidRPr="00883965">
        <w:rPr>
          <w:rFonts w:ascii="Times New Roman" w:hAnsi="Times New Roman"/>
        </w:rPr>
        <w:t xml:space="preserve"> </w:t>
      </w:r>
    </w:p>
    <w:p w14:paraId="752DAC0A"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Nevertheless, speaking of the vulnerability of the appellant growers to this risk of contaminated seed (and, by extension, of the corresponding control over this risk by the respondent producer), the respondent producer submitted that in transactions for the sale of goods "such vulnerability is of limited utility as a salient factor". That submission should be accepted, at least in the circumstances of this case. The appellant growers had methods by which they could reduce the extent of their vulnerability to the risk controlled by the conduct of the respondent producer. As the joint reasons observe,</w:t>
      </w:r>
      <w:r w:rsidRPr="00883965">
        <w:rPr>
          <w:rStyle w:val="FootnoteReference"/>
          <w:rFonts w:ascii="Times New Roman" w:hAnsi="Times New Roman"/>
          <w:sz w:val="24"/>
        </w:rPr>
        <w:footnoteReference w:id="198"/>
      </w:r>
      <w:r w:rsidRPr="00883965">
        <w:rPr>
          <w:rFonts w:ascii="Times New Roman" w:hAnsi="Times New Roman"/>
        </w:rPr>
        <w:t xml:space="preserve"> those methods included choosing not to plant the seed or choosing to return the seed after reading the "Conditions of Sale and Use" printed on the bags, which warned about contamination.</w:t>
      </w:r>
    </w:p>
    <w:p w14:paraId="742DED12" w14:textId="77777777" w:rsidR="001F5442" w:rsidRPr="00883965"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 xml:space="preserve">The weak justification for any existence of a duty of care based on salient features requires a high bar to establish the presence of salient features of sufficient force. In this case, in the absence of any assumption of responsibility by the respondent producer to the appellant growers, the weaknesses of the two central salient features relied upon by the appellant growers are fatal to their submission that the respondent producer owed them a duty of care, to be imposed by law, to take reasonable care to avoid causing them economic loss that was not consequent upon infringement of any of their rights to person or property. </w:t>
      </w:r>
    </w:p>
    <w:p w14:paraId="20ECCC0B" w14:textId="77777777" w:rsidR="001F5442" w:rsidRPr="00883965" w:rsidRDefault="001F5442" w:rsidP="00883965">
      <w:pPr>
        <w:pStyle w:val="HeadingL1"/>
        <w:spacing w:after="260" w:line="280" w:lineRule="exact"/>
        <w:ind w:right="0"/>
        <w:jc w:val="both"/>
        <w:rPr>
          <w:rFonts w:ascii="Times New Roman" w:hAnsi="Times New Roman"/>
        </w:rPr>
      </w:pPr>
      <w:r w:rsidRPr="00883965">
        <w:rPr>
          <w:rFonts w:ascii="Times New Roman" w:hAnsi="Times New Roman"/>
        </w:rPr>
        <w:t>Conclusion</w:t>
      </w:r>
    </w:p>
    <w:p w14:paraId="16DFDE00" w14:textId="38D42D41" w:rsidR="00380572" w:rsidRPr="001F5442" w:rsidRDefault="001F5442" w:rsidP="001F5442">
      <w:pPr>
        <w:pStyle w:val="FixListStyle"/>
        <w:numPr>
          <w:ilvl w:val="0"/>
          <w:numId w:val="18"/>
        </w:numPr>
        <w:spacing w:after="260" w:line="280" w:lineRule="exact"/>
        <w:ind w:left="0" w:right="0" w:hanging="720"/>
        <w:jc w:val="both"/>
        <w:rPr>
          <w:rFonts w:ascii="Times New Roman" w:hAnsi="Times New Roman"/>
        </w:rPr>
      </w:pPr>
      <w:r w:rsidRPr="00883965">
        <w:rPr>
          <w:rFonts w:ascii="Times New Roman" w:hAnsi="Times New Roman"/>
        </w:rPr>
        <w:tab/>
        <w:t>I agree with the orders proposed in the joint reasons dismissing the appeal with costs.</w:t>
      </w:r>
    </w:p>
    <w:sectPr w:rsidR="00380572" w:rsidRPr="001F5442" w:rsidSect="001F5442">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36D5" w14:textId="77777777" w:rsidR="000A1486" w:rsidRDefault="000A1486">
      <w:pPr>
        <w:spacing w:line="240" w:lineRule="auto"/>
      </w:pPr>
      <w:r>
        <w:separator/>
      </w:r>
    </w:p>
  </w:endnote>
  <w:endnote w:type="continuationSeparator" w:id="0">
    <w:p w14:paraId="3FA75AA7" w14:textId="77777777" w:rsidR="000A1486" w:rsidRDefault="000A1486">
      <w:pPr>
        <w:spacing w:line="240" w:lineRule="auto"/>
      </w:pPr>
      <w:r>
        <w:continuationSeparator/>
      </w:r>
    </w:p>
  </w:endnote>
  <w:endnote w:type="continuationNotice" w:id="1">
    <w:p w14:paraId="4373687D" w14:textId="77777777" w:rsidR="000A1486" w:rsidRDefault="000A14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B56" w14:textId="77777777" w:rsidR="00BF0B04" w:rsidRDefault="00BF0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0C10" w14:textId="77777777" w:rsidR="00BF0B04" w:rsidRDefault="00BF0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678B" w14:textId="77777777" w:rsidR="00BF0B04" w:rsidRDefault="00BF0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BE1F" w14:textId="77777777" w:rsidR="00BF0B04" w:rsidRDefault="00BF0B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C29A" w14:textId="77777777" w:rsidR="00BF0B04" w:rsidRDefault="00BF0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DD35" w14:textId="77777777" w:rsidR="00BF0B04" w:rsidRDefault="00BF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FF2D" w14:textId="77777777" w:rsidR="000A1486" w:rsidRPr="00D35B04" w:rsidRDefault="000A1486" w:rsidP="00D35B04">
      <w:pPr>
        <w:pStyle w:val="Footer"/>
        <w:spacing w:before="120" w:after="20"/>
        <w:ind w:right="0"/>
        <w:rPr>
          <w:rFonts w:ascii="Times New Roman" w:hAnsi="Times New Roman"/>
        </w:rPr>
      </w:pPr>
      <w:r>
        <w:continuationSeparator/>
      </w:r>
    </w:p>
  </w:footnote>
  <w:footnote w:type="continuationSeparator" w:id="0">
    <w:p w14:paraId="752B5C44" w14:textId="77777777" w:rsidR="000A1486" w:rsidRPr="00D35B04" w:rsidRDefault="000A1486" w:rsidP="00D35B04">
      <w:pPr>
        <w:pStyle w:val="Footer"/>
        <w:spacing w:before="120" w:after="20"/>
        <w:ind w:right="0"/>
        <w:rPr>
          <w:rFonts w:ascii="Times New Roman" w:hAnsi="Times New Roman"/>
        </w:rPr>
      </w:pPr>
      <w:r w:rsidRPr="00D35B04">
        <w:rPr>
          <w:rFonts w:ascii="Times New Roman" w:hAnsi="Times New Roman"/>
        </w:rPr>
        <w:continuationSeparator/>
      </w:r>
    </w:p>
  </w:footnote>
  <w:footnote w:type="continuationNotice" w:id="1">
    <w:p w14:paraId="09BEC184" w14:textId="77777777" w:rsidR="000A1486" w:rsidRPr="001F5442" w:rsidRDefault="000A1486">
      <w:pPr>
        <w:jc w:val="right"/>
        <w:rPr>
          <w:rFonts w:ascii="Times New Roman" w:hAnsi="Times New Roman"/>
          <w:sz w:val="24"/>
        </w:rPr>
      </w:pPr>
    </w:p>
  </w:footnote>
  <w:footnote w:id="2">
    <w:p w14:paraId="65E8B3A1" w14:textId="77777777" w:rsidR="00770963" w:rsidRPr="00D35B04" w:rsidRDefault="00770963"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Pr="00D35B04">
        <w:rPr>
          <w:rFonts w:ascii="Times New Roman" w:hAnsi="Times New Roman"/>
          <w:i/>
          <w:iCs/>
          <w:sz w:val="24"/>
          <w:lang w:val="en-US"/>
        </w:rPr>
        <w:t>Mallonland</w:t>
      </w:r>
      <w:proofErr w:type="spellEnd"/>
      <w:r w:rsidRPr="00D35B04">
        <w:rPr>
          <w:rFonts w:ascii="Times New Roman" w:hAnsi="Times New Roman"/>
          <w:i/>
          <w:iCs/>
          <w:sz w:val="24"/>
          <w:lang w:val="en-US"/>
        </w:rPr>
        <w:t xml:space="preserve"> Pty Ltd v Advanta Seeds Pty Ltd</w:t>
      </w:r>
      <w:r w:rsidRPr="00D35B04">
        <w:rPr>
          <w:rFonts w:ascii="Times New Roman" w:hAnsi="Times New Roman"/>
          <w:sz w:val="24"/>
          <w:lang w:val="en-US"/>
        </w:rPr>
        <w:t xml:space="preserve"> (2021) 7 QR 234 at 247 [9] ("</w:t>
      </w:r>
      <w:proofErr w:type="spellStart"/>
      <w:r w:rsidRPr="00D35B04">
        <w:rPr>
          <w:rFonts w:ascii="Times New Roman" w:hAnsi="Times New Roman"/>
          <w:i/>
          <w:iCs/>
          <w:sz w:val="24"/>
          <w:lang w:val="en-US"/>
        </w:rPr>
        <w:t>Mallonland</w:t>
      </w:r>
      <w:proofErr w:type="spellEnd"/>
      <w:r w:rsidRPr="00D35B04">
        <w:rPr>
          <w:rFonts w:ascii="Times New Roman" w:hAnsi="Times New Roman"/>
          <w:sz w:val="24"/>
          <w:lang w:val="en-US"/>
        </w:rPr>
        <w:t>").</w:t>
      </w:r>
    </w:p>
  </w:footnote>
  <w:footnote w:id="3">
    <w:p w14:paraId="3EAF2EA4" w14:textId="77777777" w:rsidR="002F1DD0" w:rsidRPr="00D35B04" w:rsidRDefault="002F1DD0"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(2021) 7 QR 234 at 304-305 [353], 325 [480].</w:t>
      </w:r>
    </w:p>
  </w:footnote>
  <w:footnote w:id="4">
    <w:p w14:paraId="619D139B" w14:textId="77777777" w:rsidR="002F1DD0" w:rsidRPr="00D35B04" w:rsidRDefault="002F1DD0"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(2021) 7 QR 234 at 306-307 [367].</w:t>
      </w:r>
    </w:p>
  </w:footnote>
  <w:footnote w:id="5">
    <w:p w14:paraId="26FBE5BC" w14:textId="1A8DA3B6" w:rsidR="00C71278" w:rsidRPr="00D35B04" w:rsidRDefault="00C71278"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(2021) 7 QR 234 at</w:t>
      </w:r>
      <w:r w:rsidR="007E69AE" w:rsidRPr="00D35B04">
        <w:rPr>
          <w:rFonts w:ascii="Times New Roman" w:hAnsi="Times New Roman"/>
          <w:sz w:val="24"/>
        </w:rPr>
        <w:t xml:space="preserve"> 265</w:t>
      </w:r>
      <w:r w:rsidRPr="00D35B04">
        <w:rPr>
          <w:rFonts w:ascii="Times New Roman" w:hAnsi="Times New Roman"/>
          <w:sz w:val="24"/>
        </w:rPr>
        <w:t xml:space="preserve"> [123].</w:t>
      </w:r>
    </w:p>
  </w:footnote>
  <w:footnote w:id="6">
    <w:p w14:paraId="506B6070" w14:textId="38494CD4" w:rsidR="007E69AE" w:rsidRPr="00D35B04" w:rsidRDefault="007E69AE"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(2021) 7 QR 234 at </w:t>
      </w:r>
      <w:r w:rsidR="00935159" w:rsidRPr="00D35B04">
        <w:rPr>
          <w:rFonts w:ascii="Times New Roman" w:hAnsi="Times New Roman"/>
          <w:sz w:val="24"/>
        </w:rPr>
        <w:t xml:space="preserve">264 </w:t>
      </w:r>
      <w:r w:rsidRPr="00D35B04">
        <w:rPr>
          <w:rFonts w:ascii="Times New Roman" w:hAnsi="Times New Roman"/>
          <w:sz w:val="24"/>
        </w:rPr>
        <w:t>[121]</w:t>
      </w:r>
      <w:r w:rsidR="00935159" w:rsidRPr="00D35B04">
        <w:rPr>
          <w:rFonts w:ascii="Times New Roman" w:hAnsi="Times New Roman"/>
          <w:sz w:val="24"/>
        </w:rPr>
        <w:t>.</w:t>
      </w:r>
    </w:p>
  </w:footnote>
  <w:footnote w:id="7">
    <w:p w14:paraId="3C740A0D" w14:textId="1135CF40" w:rsidR="006743D7" w:rsidRPr="00D35B04" w:rsidRDefault="006743D7"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bookmarkStart w:id="1" w:name="_Hlk161994508"/>
      <w:proofErr w:type="spellStart"/>
      <w:r w:rsidR="00BF175D" w:rsidRPr="00D35B04">
        <w:rPr>
          <w:rFonts w:ascii="Times New Roman" w:hAnsi="Times New Roman"/>
          <w:i/>
          <w:iCs/>
          <w:sz w:val="24"/>
          <w:lang w:val="en-US"/>
        </w:rPr>
        <w:t>Mallonland</w:t>
      </w:r>
      <w:proofErr w:type="spellEnd"/>
      <w:r w:rsidR="00BF175D" w:rsidRPr="00D35B04">
        <w:rPr>
          <w:rFonts w:ascii="Times New Roman" w:hAnsi="Times New Roman"/>
          <w:i/>
          <w:iCs/>
          <w:sz w:val="24"/>
          <w:lang w:val="en-US"/>
        </w:rPr>
        <w:t xml:space="preserve"> </w:t>
      </w:r>
      <w:r w:rsidR="00BF175D" w:rsidRPr="00D35B04">
        <w:rPr>
          <w:rFonts w:ascii="Times New Roman" w:hAnsi="Times New Roman"/>
          <w:sz w:val="24"/>
          <w:lang w:val="en-US"/>
        </w:rPr>
        <w:t>(2021) 7 QR 234</w:t>
      </w:r>
      <w:bookmarkEnd w:id="1"/>
      <w:r w:rsidR="00BF175D" w:rsidRPr="00D35B04">
        <w:rPr>
          <w:rFonts w:ascii="Times New Roman" w:hAnsi="Times New Roman"/>
          <w:sz w:val="24"/>
          <w:lang w:val="en-US"/>
        </w:rPr>
        <w:t>.</w:t>
      </w:r>
    </w:p>
  </w:footnote>
  <w:footnote w:id="8">
    <w:p w14:paraId="05A00C7A" w14:textId="485E074B" w:rsidR="00DD59BA" w:rsidRPr="00D35B04" w:rsidRDefault="00DD59BA"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C00A82" w:rsidRPr="00D35B04">
        <w:rPr>
          <w:rFonts w:ascii="Times New Roman" w:hAnsi="Times New Roman"/>
          <w:i/>
          <w:iCs/>
          <w:sz w:val="24"/>
          <w:lang w:val="en-US"/>
        </w:rPr>
        <w:t>Mallonland</w:t>
      </w:r>
      <w:proofErr w:type="spellEnd"/>
      <w:r w:rsidR="00C00A82" w:rsidRPr="00D35B04">
        <w:rPr>
          <w:rFonts w:ascii="Times New Roman" w:hAnsi="Times New Roman"/>
          <w:i/>
          <w:iCs/>
          <w:sz w:val="24"/>
          <w:lang w:val="en-US"/>
        </w:rPr>
        <w:t xml:space="preserve"> Pty Ltd v Advanta Seeds Pty Ltd</w:t>
      </w:r>
      <w:r w:rsidR="00C00A82" w:rsidRPr="00D35B04">
        <w:rPr>
          <w:rFonts w:ascii="Times New Roman" w:hAnsi="Times New Roman"/>
          <w:sz w:val="24"/>
          <w:lang w:val="en-US"/>
        </w:rPr>
        <w:t xml:space="preserve"> </w:t>
      </w:r>
      <w:r w:rsidR="003D7E65" w:rsidRPr="00D35B04">
        <w:rPr>
          <w:rFonts w:ascii="Times New Roman" w:hAnsi="Times New Roman"/>
          <w:sz w:val="24"/>
          <w:lang w:val="en-US"/>
        </w:rPr>
        <w:t xml:space="preserve">(2023) 13 QR 492 </w:t>
      </w:r>
      <w:r w:rsidR="00B1151D" w:rsidRPr="00D35B04">
        <w:rPr>
          <w:rFonts w:ascii="Times New Roman" w:hAnsi="Times New Roman"/>
          <w:sz w:val="24"/>
          <w:lang w:val="en-US"/>
        </w:rPr>
        <w:t>("</w:t>
      </w:r>
      <w:proofErr w:type="spellStart"/>
      <w:r w:rsidR="00B1151D" w:rsidRPr="00D35B04">
        <w:rPr>
          <w:rFonts w:ascii="Times New Roman" w:hAnsi="Times New Roman"/>
          <w:i/>
          <w:iCs/>
          <w:sz w:val="24"/>
          <w:lang w:val="en-US"/>
        </w:rPr>
        <w:t>Mallonland</w:t>
      </w:r>
      <w:proofErr w:type="spellEnd"/>
      <w:r w:rsidR="00B1151D" w:rsidRPr="00D35B04">
        <w:rPr>
          <w:rFonts w:ascii="Times New Roman" w:hAnsi="Times New Roman"/>
          <w:sz w:val="24"/>
          <w:lang w:val="en-US"/>
        </w:rPr>
        <w:t>")</w:t>
      </w:r>
      <w:r w:rsidR="00C73D38" w:rsidRPr="00D35B04">
        <w:rPr>
          <w:rFonts w:ascii="Times New Roman" w:hAnsi="Times New Roman"/>
          <w:sz w:val="24"/>
          <w:lang w:val="en-US"/>
        </w:rPr>
        <w:t>.</w:t>
      </w:r>
    </w:p>
  </w:footnote>
  <w:footnote w:id="9">
    <w:p w14:paraId="008B7BB8" w14:textId="2E9A8442" w:rsidR="00230839" w:rsidRPr="00D35B04" w:rsidRDefault="00230839"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C00A82" w:rsidRPr="00D35B04">
        <w:rPr>
          <w:rFonts w:ascii="Times New Roman" w:hAnsi="Times New Roman"/>
          <w:i/>
          <w:iCs/>
          <w:sz w:val="24"/>
          <w:lang w:val="en-US"/>
        </w:rPr>
        <w:t>Mallonland</w:t>
      </w:r>
      <w:proofErr w:type="spellEnd"/>
      <w:r w:rsidR="00C00A82" w:rsidRPr="00D35B04">
        <w:rPr>
          <w:rFonts w:ascii="Times New Roman" w:hAnsi="Times New Roman"/>
          <w:i/>
          <w:iCs/>
          <w:sz w:val="24"/>
          <w:lang w:val="en-US"/>
        </w:rPr>
        <w:t xml:space="preserve"> </w:t>
      </w:r>
      <w:r w:rsidR="00C00A82" w:rsidRPr="00D35B04">
        <w:rPr>
          <w:rFonts w:ascii="Times New Roman" w:hAnsi="Times New Roman"/>
          <w:sz w:val="24"/>
          <w:lang w:val="en-US"/>
        </w:rPr>
        <w:t>(2021) 7 QR 234</w:t>
      </w:r>
      <w:r w:rsidR="00C00A82" w:rsidRPr="00D35B04" w:rsidDel="00C00A82">
        <w:rPr>
          <w:rFonts w:ascii="Times New Roman" w:hAnsi="Times New Roman"/>
          <w:sz w:val="24"/>
          <w:lang w:val="en-US"/>
        </w:rPr>
        <w:t xml:space="preserve"> </w:t>
      </w:r>
      <w:r w:rsidR="00C00A82" w:rsidRPr="00D35B04">
        <w:rPr>
          <w:rFonts w:ascii="Times New Roman" w:hAnsi="Times New Roman"/>
          <w:sz w:val="24"/>
          <w:lang w:val="en-US"/>
        </w:rPr>
        <w:t xml:space="preserve">at </w:t>
      </w:r>
      <w:r w:rsidR="00B4151A" w:rsidRPr="00D35B04">
        <w:rPr>
          <w:rFonts w:ascii="Times New Roman" w:hAnsi="Times New Roman"/>
          <w:sz w:val="24"/>
          <w:lang w:val="en-US"/>
        </w:rPr>
        <w:t xml:space="preserve">261 </w:t>
      </w:r>
      <w:r w:rsidR="00B3133E" w:rsidRPr="00D35B04">
        <w:rPr>
          <w:rFonts w:ascii="Times New Roman" w:hAnsi="Times New Roman"/>
          <w:sz w:val="24"/>
          <w:lang w:val="en-US"/>
        </w:rPr>
        <w:t>[106]</w:t>
      </w:r>
      <w:r w:rsidR="00C00A82" w:rsidRPr="00D35B04">
        <w:rPr>
          <w:rFonts w:ascii="Times New Roman" w:hAnsi="Times New Roman"/>
          <w:sz w:val="24"/>
          <w:lang w:val="en-US"/>
        </w:rPr>
        <w:t>.</w:t>
      </w:r>
    </w:p>
  </w:footnote>
  <w:footnote w:id="10">
    <w:p w14:paraId="06BE4AF9" w14:textId="1D61533D" w:rsidR="005D21AA" w:rsidRPr="00D35B04" w:rsidRDefault="005D21AA"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C00A82" w:rsidRPr="00D35B04">
        <w:rPr>
          <w:rFonts w:ascii="Times New Roman" w:hAnsi="Times New Roman"/>
          <w:i/>
          <w:iCs/>
          <w:sz w:val="24"/>
          <w:lang w:val="en-US"/>
        </w:rPr>
        <w:t>Mallonland</w:t>
      </w:r>
      <w:proofErr w:type="spellEnd"/>
      <w:r w:rsidR="00C00A82" w:rsidRPr="00D35B04">
        <w:rPr>
          <w:rFonts w:ascii="Times New Roman" w:hAnsi="Times New Roman"/>
          <w:i/>
          <w:iCs/>
          <w:sz w:val="24"/>
          <w:lang w:val="en-US"/>
        </w:rPr>
        <w:t xml:space="preserve"> </w:t>
      </w:r>
      <w:r w:rsidR="00C00A82" w:rsidRPr="00D35B04">
        <w:rPr>
          <w:rFonts w:ascii="Times New Roman" w:hAnsi="Times New Roman"/>
          <w:sz w:val="24"/>
          <w:lang w:val="en-US"/>
        </w:rPr>
        <w:t xml:space="preserve">(2021) 7 QR 234 at </w:t>
      </w:r>
      <w:r w:rsidR="00677771" w:rsidRPr="00D35B04">
        <w:rPr>
          <w:rFonts w:ascii="Times New Roman" w:hAnsi="Times New Roman"/>
          <w:sz w:val="24"/>
          <w:lang w:val="en-US"/>
        </w:rPr>
        <w:t xml:space="preserve">262 </w:t>
      </w:r>
      <w:r w:rsidRPr="00D35B04">
        <w:rPr>
          <w:rFonts w:ascii="Times New Roman" w:hAnsi="Times New Roman"/>
          <w:sz w:val="24"/>
          <w:lang w:val="en-US"/>
        </w:rPr>
        <w:t>[109]</w:t>
      </w:r>
      <w:r w:rsidR="00C00A82" w:rsidRPr="00D35B04">
        <w:rPr>
          <w:rFonts w:ascii="Times New Roman" w:hAnsi="Times New Roman"/>
          <w:sz w:val="24"/>
          <w:lang w:val="en-US"/>
        </w:rPr>
        <w:t>.</w:t>
      </w:r>
    </w:p>
  </w:footnote>
  <w:footnote w:id="11">
    <w:p w14:paraId="607312E7" w14:textId="02C18792" w:rsidR="008F5137" w:rsidRPr="00D35B04" w:rsidRDefault="008F5137"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677771" w:rsidRPr="00D35B04">
        <w:rPr>
          <w:rFonts w:ascii="Times New Roman" w:hAnsi="Times New Roman"/>
          <w:i/>
          <w:iCs/>
          <w:sz w:val="24"/>
          <w:lang w:val="en-US"/>
        </w:rPr>
        <w:t>Mallonland</w:t>
      </w:r>
      <w:proofErr w:type="spellEnd"/>
      <w:r w:rsidR="00677771" w:rsidRPr="00D35B04">
        <w:rPr>
          <w:rFonts w:ascii="Times New Roman" w:hAnsi="Times New Roman"/>
          <w:i/>
          <w:iCs/>
          <w:sz w:val="24"/>
          <w:lang w:val="en-US"/>
        </w:rPr>
        <w:t xml:space="preserve"> </w:t>
      </w:r>
      <w:r w:rsidR="00677771" w:rsidRPr="00D35B04">
        <w:rPr>
          <w:rFonts w:ascii="Times New Roman" w:hAnsi="Times New Roman"/>
          <w:sz w:val="24"/>
          <w:lang w:val="en-US"/>
        </w:rPr>
        <w:t xml:space="preserve">(2021) 7 QR 234 </w:t>
      </w:r>
      <w:r w:rsidR="00924F8C" w:rsidRPr="00D35B04">
        <w:rPr>
          <w:rFonts w:ascii="Times New Roman" w:hAnsi="Times New Roman"/>
          <w:sz w:val="24"/>
          <w:lang w:val="en-US"/>
        </w:rPr>
        <w:t>at 28</w:t>
      </w:r>
      <w:r w:rsidR="00965E37" w:rsidRPr="00D35B04">
        <w:rPr>
          <w:rFonts w:ascii="Times New Roman" w:hAnsi="Times New Roman"/>
          <w:sz w:val="24"/>
          <w:lang w:val="en-US"/>
        </w:rPr>
        <w:t>4</w:t>
      </w:r>
      <w:r w:rsidR="00924F8C" w:rsidRPr="00D35B04">
        <w:rPr>
          <w:rFonts w:ascii="Times New Roman" w:hAnsi="Times New Roman"/>
          <w:sz w:val="24"/>
          <w:lang w:val="en-US"/>
        </w:rPr>
        <w:t xml:space="preserve"> </w:t>
      </w:r>
      <w:r w:rsidR="008970A4" w:rsidRPr="00D35B04">
        <w:rPr>
          <w:rFonts w:ascii="Times New Roman" w:hAnsi="Times New Roman"/>
          <w:sz w:val="24"/>
          <w:lang w:val="en-US"/>
        </w:rPr>
        <w:t>[205]</w:t>
      </w:r>
      <w:r w:rsidR="00924F8C" w:rsidRPr="00D35B04">
        <w:rPr>
          <w:rFonts w:ascii="Times New Roman" w:hAnsi="Times New Roman"/>
          <w:sz w:val="24"/>
          <w:lang w:val="en-US"/>
        </w:rPr>
        <w:t>.</w:t>
      </w:r>
    </w:p>
  </w:footnote>
  <w:footnote w:id="12">
    <w:p w14:paraId="3D7D7777" w14:textId="559E67FB" w:rsidR="00CA073C" w:rsidRPr="00D35B04" w:rsidRDefault="00CA073C"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sz w:val="24"/>
        </w:rPr>
        <w:t>Mallonland</w:t>
      </w:r>
      <w:proofErr w:type="spellEnd"/>
      <w:r w:rsidRPr="00D35B04">
        <w:rPr>
          <w:rFonts w:ascii="Times New Roman" w:hAnsi="Times New Roman"/>
          <w:sz w:val="24"/>
        </w:rPr>
        <w:t xml:space="preserve"> </w:t>
      </w:r>
      <w:r w:rsidR="00475FF9" w:rsidRPr="00D35B04">
        <w:rPr>
          <w:rFonts w:ascii="Times New Roman" w:hAnsi="Times New Roman"/>
          <w:sz w:val="24"/>
        </w:rPr>
        <w:t xml:space="preserve">(2023) 13 QR 492 </w:t>
      </w:r>
      <w:r w:rsidRPr="00D35B04">
        <w:rPr>
          <w:rFonts w:ascii="Times New Roman" w:hAnsi="Times New Roman"/>
          <w:sz w:val="24"/>
        </w:rPr>
        <w:t xml:space="preserve">at </w:t>
      </w:r>
      <w:r w:rsidR="002B138E" w:rsidRPr="00D35B04">
        <w:rPr>
          <w:rFonts w:ascii="Times New Roman" w:hAnsi="Times New Roman"/>
          <w:sz w:val="24"/>
        </w:rPr>
        <w:t xml:space="preserve">509 </w:t>
      </w:r>
      <w:r w:rsidRPr="00D35B04">
        <w:rPr>
          <w:rFonts w:ascii="Times New Roman" w:hAnsi="Times New Roman"/>
          <w:sz w:val="24"/>
        </w:rPr>
        <w:t>[38].</w:t>
      </w:r>
    </w:p>
  </w:footnote>
  <w:footnote w:id="13">
    <w:p w14:paraId="2FF29304" w14:textId="39DDBA86" w:rsidR="00531767" w:rsidRPr="00D35B04" w:rsidRDefault="00531767"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lang w:val="en-US"/>
        </w:rPr>
        <w:t>Mallonland</w:t>
      </w:r>
      <w:proofErr w:type="spellEnd"/>
      <w:r w:rsidRPr="00D35B04">
        <w:rPr>
          <w:rFonts w:ascii="Times New Roman" w:hAnsi="Times New Roman"/>
          <w:i/>
          <w:iCs/>
          <w:sz w:val="24"/>
          <w:lang w:val="en-US"/>
        </w:rPr>
        <w:t xml:space="preserve"> </w:t>
      </w:r>
      <w:r w:rsidR="00475FF9" w:rsidRPr="00D35B04">
        <w:rPr>
          <w:rFonts w:ascii="Times New Roman" w:hAnsi="Times New Roman"/>
          <w:sz w:val="24"/>
          <w:lang w:val="en-US"/>
        </w:rPr>
        <w:t xml:space="preserve">(2023) 13 QR 492 </w:t>
      </w:r>
      <w:r w:rsidRPr="00D35B04">
        <w:rPr>
          <w:rFonts w:ascii="Times New Roman" w:hAnsi="Times New Roman"/>
          <w:sz w:val="24"/>
          <w:lang w:val="en-US"/>
        </w:rPr>
        <w:t xml:space="preserve">at </w:t>
      </w:r>
      <w:r w:rsidR="00A473B4" w:rsidRPr="00D35B04">
        <w:rPr>
          <w:rFonts w:ascii="Times New Roman" w:hAnsi="Times New Roman"/>
          <w:sz w:val="24"/>
          <w:lang w:val="en-US"/>
        </w:rPr>
        <w:t xml:space="preserve">510 </w:t>
      </w:r>
      <w:r w:rsidRPr="00D35B04">
        <w:rPr>
          <w:rFonts w:ascii="Times New Roman" w:hAnsi="Times New Roman"/>
          <w:sz w:val="24"/>
          <w:lang w:val="en-US"/>
        </w:rPr>
        <w:t>[44].</w:t>
      </w:r>
    </w:p>
  </w:footnote>
  <w:footnote w:id="14">
    <w:p w14:paraId="620A8111" w14:textId="072C7DD8" w:rsidR="006F7787" w:rsidRPr="00D35B04" w:rsidRDefault="006F7787"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006E31CA" w:rsidRPr="00D35B04">
        <w:rPr>
          <w:rFonts w:ascii="Times New Roman" w:hAnsi="Times New Roman"/>
          <w:sz w:val="24"/>
        </w:rPr>
        <w:tab/>
      </w:r>
      <w:proofErr w:type="spellStart"/>
      <w:r w:rsidR="006E31CA" w:rsidRPr="00D35B04">
        <w:rPr>
          <w:rFonts w:ascii="Times New Roman" w:hAnsi="Times New Roman"/>
          <w:i/>
          <w:iCs/>
          <w:sz w:val="24"/>
        </w:rPr>
        <w:t>Mallonland</w:t>
      </w:r>
      <w:proofErr w:type="spellEnd"/>
      <w:r w:rsidR="006E31CA" w:rsidRPr="00D35B04">
        <w:rPr>
          <w:rFonts w:ascii="Times New Roman" w:hAnsi="Times New Roman"/>
          <w:sz w:val="24"/>
        </w:rPr>
        <w:t xml:space="preserve"> </w:t>
      </w:r>
      <w:r w:rsidR="00475FF9" w:rsidRPr="00D35B04">
        <w:rPr>
          <w:rFonts w:ascii="Times New Roman" w:hAnsi="Times New Roman"/>
          <w:sz w:val="24"/>
        </w:rPr>
        <w:t xml:space="preserve">(2023) 13 QR 492 </w:t>
      </w:r>
      <w:r w:rsidR="006E31CA" w:rsidRPr="00D35B04">
        <w:rPr>
          <w:rFonts w:ascii="Times New Roman" w:hAnsi="Times New Roman"/>
          <w:sz w:val="24"/>
        </w:rPr>
        <w:t xml:space="preserve">at </w:t>
      </w:r>
      <w:r w:rsidR="00A473B4" w:rsidRPr="00D35B04">
        <w:rPr>
          <w:rFonts w:ascii="Times New Roman" w:hAnsi="Times New Roman"/>
          <w:sz w:val="24"/>
        </w:rPr>
        <w:t xml:space="preserve">510 </w:t>
      </w:r>
      <w:r w:rsidR="006E31CA" w:rsidRPr="00D35B04">
        <w:rPr>
          <w:rFonts w:ascii="Times New Roman" w:hAnsi="Times New Roman"/>
          <w:sz w:val="24"/>
        </w:rPr>
        <w:t>[44(a)].</w:t>
      </w:r>
    </w:p>
  </w:footnote>
  <w:footnote w:id="15">
    <w:p w14:paraId="6DD8D248" w14:textId="3E5CA914" w:rsidR="00BD25C5" w:rsidRPr="00D35B04" w:rsidRDefault="00BD25C5"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lang w:val="en-US"/>
        </w:rPr>
        <w:t>Mallonland</w:t>
      </w:r>
      <w:proofErr w:type="spellEnd"/>
      <w:r w:rsidRPr="00D35B04">
        <w:rPr>
          <w:rFonts w:ascii="Times New Roman" w:hAnsi="Times New Roman"/>
          <w:i/>
          <w:iCs/>
          <w:sz w:val="24"/>
          <w:lang w:val="en-US"/>
        </w:rPr>
        <w:t xml:space="preserve"> </w:t>
      </w:r>
      <w:r w:rsidR="00475FF9" w:rsidRPr="00D35B04">
        <w:rPr>
          <w:rFonts w:ascii="Times New Roman" w:hAnsi="Times New Roman"/>
          <w:sz w:val="24"/>
          <w:lang w:val="en-US"/>
        </w:rPr>
        <w:t xml:space="preserve">(2023) 13 QR 492 </w:t>
      </w:r>
      <w:r w:rsidRPr="00D35B04">
        <w:rPr>
          <w:rFonts w:ascii="Times New Roman" w:hAnsi="Times New Roman"/>
          <w:sz w:val="24"/>
          <w:lang w:val="en-US"/>
        </w:rPr>
        <w:t xml:space="preserve">at </w:t>
      </w:r>
      <w:r w:rsidR="00A473B4" w:rsidRPr="00D35B04">
        <w:rPr>
          <w:rFonts w:ascii="Times New Roman" w:hAnsi="Times New Roman"/>
          <w:sz w:val="24"/>
          <w:lang w:val="en-US"/>
        </w:rPr>
        <w:t xml:space="preserve">510 </w:t>
      </w:r>
      <w:r w:rsidRPr="00D35B04">
        <w:rPr>
          <w:rFonts w:ascii="Times New Roman" w:hAnsi="Times New Roman"/>
          <w:sz w:val="24"/>
          <w:lang w:val="en-US"/>
        </w:rPr>
        <w:t>[44(d)].</w:t>
      </w:r>
    </w:p>
  </w:footnote>
  <w:footnote w:id="16">
    <w:p w14:paraId="3958F18B" w14:textId="682330FF" w:rsidR="00BD25C5" w:rsidRPr="00D35B04" w:rsidRDefault="00BD25C5"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lang w:val="en-US"/>
        </w:rPr>
        <w:t>Mallonland</w:t>
      </w:r>
      <w:proofErr w:type="spellEnd"/>
      <w:r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Pr="00D35B04">
        <w:rPr>
          <w:rFonts w:ascii="Times New Roman" w:hAnsi="Times New Roman"/>
          <w:sz w:val="24"/>
          <w:lang w:val="en-US"/>
        </w:rPr>
        <w:t xml:space="preserve">at </w:t>
      </w:r>
      <w:r w:rsidR="00A473B4" w:rsidRPr="00D35B04">
        <w:rPr>
          <w:rFonts w:ascii="Times New Roman" w:hAnsi="Times New Roman"/>
          <w:sz w:val="24"/>
          <w:lang w:val="en-US"/>
        </w:rPr>
        <w:t xml:space="preserve">510 </w:t>
      </w:r>
      <w:r w:rsidRPr="00D35B04">
        <w:rPr>
          <w:rFonts w:ascii="Times New Roman" w:hAnsi="Times New Roman"/>
          <w:sz w:val="24"/>
          <w:lang w:val="en-US"/>
        </w:rPr>
        <w:t>[44(e)].</w:t>
      </w:r>
    </w:p>
  </w:footnote>
  <w:footnote w:id="17">
    <w:p w14:paraId="52EB8223" w14:textId="0916CE12" w:rsidR="00AB22E5" w:rsidRPr="00D35B04" w:rsidRDefault="00AB22E5"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1C0822" w:rsidRPr="00D35B04">
        <w:rPr>
          <w:rFonts w:ascii="Times New Roman" w:hAnsi="Times New Roman"/>
          <w:sz w:val="24"/>
          <w:lang w:val="en-US"/>
        </w:rPr>
        <w:t>(2003) 215 CLR 317.</w:t>
      </w:r>
    </w:p>
  </w:footnote>
  <w:footnote w:id="18">
    <w:p w14:paraId="72A8A7F3" w14:textId="0C41312A" w:rsidR="00964117" w:rsidRPr="00D35B04" w:rsidRDefault="00964117"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bookmarkStart w:id="2" w:name="_Hlk162339055"/>
      <w:proofErr w:type="spellStart"/>
      <w:r w:rsidR="00555E56" w:rsidRPr="00D35B04">
        <w:rPr>
          <w:rFonts w:ascii="Times New Roman" w:hAnsi="Times New Roman"/>
          <w:i/>
          <w:iCs/>
          <w:sz w:val="24"/>
          <w:lang w:val="en-US"/>
        </w:rPr>
        <w:t>Mallonland</w:t>
      </w:r>
      <w:proofErr w:type="spellEnd"/>
      <w:r w:rsidR="00555E56"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55E56" w:rsidRPr="00D35B04">
        <w:rPr>
          <w:rFonts w:ascii="Times New Roman" w:hAnsi="Times New Roman"/>
          <w:sz w:val="24"/>
          <w:lang w:val="en-US"/>
        </w:rPr>
        <w:t xml:space="preserve">at </w:t>
      </w:r>
      <w:r w:rsidR="00781CEF" w:rsidRPr="00D35B04">
        <w:rPr>
          <w:rFonts w:ascii="Times New Roman" w:hAnsi="Times New Roman"/>
          <w:sz w:val="24"/>
          <w:lang w:val="en-US"/>
        </w:rPr>
        <w:t xml:space="preserve">539 </w:t>
      </w:r>
      <w:r w:rsidRPr="00D35B04">
        <w:rPr>
          <w:rFonts w:ascii="Times New Roman" w:hAnsi="Times New Roman"/>
          <w:sz w:val="24"/>
          <w:lang w:val="en-US"/>
        </w:rPr>
        <w:t>[173]</w:t>
      </w:r>
      <w:r w:rsidR="00555E56" w:rsidRPr="00D35B04">
        <w:rPr>
          <w:rFonts w:ascii="Times New Roman" w:hAnsi="Times New Roman"/>
          <w:sz w:val="24"/>
          <w:lang w:val="en-US"/>
        </w:rPr>
        <w:t>.</w:t>
      </w:r>
      <w:bookmarkEnd w:id="2"/>
    </w:p>
  </w:footnote>
  <w:footnote w:id="19">
    <w:p w14:paraId="2D290EA2" w14:textId="0CC86061" w:rsidR="00F6524F" w:rsidRPr="00D35B04" w:rsidRDefault="00F6524F"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504E9A" w:rsidRPr="00D35B04" w:rsidDel="00504E9A">
        <w:rPr>
          <w:rFonts w:ascii="Times New Roman" w:hAnsi="Times New Roman"/>
          <w:sz w:val="24"/>
          <w:lang w:val="en-US"/>
        </w:rPr>
        <w:t xml:space="preserve"> </w:t>
      </w:r>
      <w:r w:rsidR="0002066E" w:rsidRPr="00D35B04">
        <w:rPr>
          <w:rFonts w:ascii="Times New Roman" w:hAnsi="Times New Roman"/>
          <w:sz w:val="24"/>
          <w:lang w:val="en-US"/>
        </w:rPr>
        <w:t xml:space="preserve">552 </w:t>
      </w:r>
      <w:r w:rsidRPr="00D35B04">
        <w:rPr>
          <w:rFonts w:ascii="Times New Roman" w:hAnsi="Times New Roman"/>
          <w:sz w:val="24"/>
          <w:lang w:val="en-US"/>
        </w:rPr>
        <w:t>[227]</w:t>
      </w:r>
      <w:r w:rsidR="00504E9A" w:rsidRPr="00D35B04">
        <w:rPr>
          <w:rFonts w:ascii="Times New Roman" w:hAnsi="Times New Roman"/>
          <w:sz w:val="24"/>
          <w:lang w:val="en-US"/>
        </w:rPr>
        <w:t>.</w:t>
      </w:r>
    </w:p>
  </w:footnote>
  <w:footnote w:id="20">
    <w:p w14:paraId="26CC64E2" w14:textId="3629FCEC" w:rsidR="001B3166" w:rsidRPr="00D35B04" w:rsidRDefault="001B3166"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504E9A" w:rsidRPr="00D35B04" w:rsidDel="00504E9A">
        <w:rPr>
          <w:rFonts w:ascii="Times New Roman" w:hAnsi="Times New Roman"/>
          <w:sz w:val="24"/>
          <w:lang w:val="en-US"/>
        </w:rPr>
        <w:t xml:space="preserve"> </w:t>
      </w:r>
      <w:r w:rsidR="0002066E" w:rsidRPr="00D35B04">
        <w:rPr>
          <w:rFonts w:ascii="Times New Roman" w:hAnsi="Times New Roman"/>
          <w:sz w:val="24"/>
          <w:lang w:val="en-US"/>
        </w:rPr>
        <w:t xml:space="preserve">550 </w:t>
      </w:r>
      <w:r w:rsidR="00E31016" w:rsidRPr="00D35B04">
        <w:rPr>
          <w:rFonts w:ascii="Times New Roman" w:hAnsi="Times New Roman"/>
          <w:sz w:val="24"/>
          <w:lang w:val="en-US"/>
        </w:rPr>
        <w:t>[217].</w:t>
      </w:r>
    </w:p>
  </w:footnote>
  <w:footnote w:id="21">
    <w:p w14:paraId="1274A044" w14:textId="074BF45D" w:rsidR="009252C1" w:rsidRPr="00D35B04" w:rsidRDefault="009252C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504E9A" w:rsidRPr="00D35B04" w:rsidDel="00504E9A">
        <w:rPr>
          <w:rFonts w:ascii="Times New Roman" w:hAnsi="Times New Roman"/>
          <w:sz w:val="24"/>
          <w:lang w:val="en-US"/>
        </w:rPr>
        <w:t xml:space="preserve"> </w:t>
      </w:r>
      <w:r w:rsidR="0002066E" w:rsidRPr="00D35B04">
        <w:rPr>
          <w:rFonts w:ascii="Times New Roman" w:hAnsi="Times New Roman"/>
          <w:sz w:val="24"/>
          <w:lang w:val="en-US"/>
        </w:rPr>
        <w:t xml:space="preserve">551 </w:t>
      </w:r>
      <w:r w:rsidRPr="00D35B04">
        <w:rPr>
          <w:rFonts w:ascii="Times New Roman" w:hAnsi="Times New Roman"/>
          <w:sz w:val="24"/>
          <w:lang w:val="en-US"/>
        </w:rPr>
        <w:t>[222]</w:t>
      </w:r>
      <w:r w:rsidR="00504E9A" w:rsidRPr="00D35B04">
        <w:rPr>
          <w:rFonts w:ascii="Times New Roman" w:hAnsi="Times New Roman"/>
          <w:sz w:val="24"/>
          <w:lang w:val="en-US"/>
        </w:rPr>
        <w:t>.</w:t>
      </w:r>
    </w:p>
  </w:footnote>
  <w:footnote w:id="22">
    <w:p w14:paraId="71DCAAC3" w14:textId="55475138" w:rsidR="000113AC" w:rsidRPr="00D35B04" w:rsidRDefault="000113A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504E9A" w:rsidRPr="00D35B04" w:rsidDel="00504E9A">
        <w:rPr>
          <w:rFonts w:ascii="Times New Roman" w:hAnsi="Times New Roman"/>
          <w:sz w:val="24"/>
          <w:lang w:val="en-US"/>
        </w:rPr>
        <w:t xml:space="preserve"> </w:t>
      </w:r>
      <w:r w:rsidR="0002066E" w:rsidRPr="00D35B04">
        <w:rPr>
          <w:rFonts w:ascii="Times New Roman" w:hAnsi="Times New Roman"/>
          <w:sz w:val="24"/>
          <w:lang w:val="en-US"/>
        </w:rPr>
        <w:t xml:space="preserve">551 </w:t>
      </w:r>
      <w:r w:rsidRPr="00D35B04">
        <w:rPr>
          <w:rFonts w:ascii="Times New Roman" w:hAnsi="Times New Roman"/>
          <w:sz w:val="24"/>
          <w:lang w:val="en-US"/>
        </w:rPr>
        <w:t>[223]</w:t>
      </w:r>
      <w:r w:rsidR="00504E9A" w:rsidRPr="00D35B04">
        <w:rPr>
          <w:rFonts w:ascii="Times New Roman" w:hAnsi="Times New Roman"/>
          <w:sz w:val="24"/>
          <w:lang w:val="en-US"/>
        </w:rPr>
        <w:t>.</w:t>
      </w:r>
    </w:p>
  </w:footnote>
  <w:footnote w:id="23">
    <w:p w14:paraId="7DB15B5A" w14:textId="309CF1D5" w:rsidR="0000191D" w:rsidRPr="00D35B04" w:rsidRDefault="0000191D"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504E9A" w:rsidRPr="00D35B04" w:rsidDel="00504E9A">
        <w:rPr>
          <w:rFonts w:ascii="Times New Roman" w:hAnsi="Times New Roman"/>
          <w:sz w:val="24"/>
          <w:lang w:val="en-US"/>
        </w:rPr>
        <w:t xml:space="preserve"> </w:t>
      </w:r>
      <w:r w:rsidR="0002066E" w:rsidRPr="00D35B04">
        <w:rPr>
          <w:rFonts w:ascii="Times New Roman" w:hAnsi="Times New Roman"/>
          <w:sz w:val="24"/>
          <w:lang w:val="en-US"/>
        </w:rPr>
        <w:t xml:space="preserve">552 </w:t>
      </w:r>
      <w:r w:rsidR="00EC55F4" w:rsidRPr="00D35B04">
        <w:rPr>
          <w:rFonts w:ascii="Times New Roman" w:hAnsi="Times New Roman"/>
          <w:sz w:val="24"/>
          <w:lang w:val="en-US"/>
        </w:rPr>
        <w:t>[227].</w:t>
      </w:r>
    </w:p>
  </w:footnote>
  <w:footnote w:id="24">
    <w:p w14:paraId="4DD69673" w14:textId="1FB99F10" w:rsidR="00F56D2B" w:rsidRPr="00D35B04" w:rsidRDefault="00F56D2B"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00FB7B4E" w:rsidRPr="00D35B04">
        <w:rPr>
          <w:rFonts w:ascii="Times New Roman" w:hAnsi="Times New Roman"/>
          <w:sz w:val="24"/>
          <w:lang w:val="en-US"/>
        </w:rPr>
        <w:t xml:space="preserve"> </w:t>
      </w:r>
      <w:r w:rsidR="0002066E" w:rsidRPr="00D35B04">
        <w:rPr>
          <w:rFonts w:ascii="Times New Roman" w:hAnsi="Times New Roman"/>
          <w:sz w:val="24"/>
          <w:lang w:val="en-US"/>
        </w:rPr>
        <w:t xml:space="preserve">527 </w:t>
      </w:r>
      <w:r w:rsidR="00FB7B4E" w:rsidRPr="00D35B04">
        <w:rPr>
          <w:rFonts w:ascii="Times New Roman" w:hAnsi="Times New Roman"/>
          <w:sz w:val="24"/>
          <w:lang w:val="en-US"/>
        </w:rPr>
        <w:t>[1</w:t>
      </w:r>
      <w:r w:rsidR="00FA4BB2" w:rsidRPr="00D35B04">
        <w:rPr>
          <w:rFonts w:ascii="Times New Roman" w:hAnsi="Times New Roman"/>
          <w:sz w:val="24"/>
          <w:lang w:val="en-US"/>
        </w:rPr>
        <w:t>1</w:t>
      </w:r>
      <w:r w:rsidR="00FB7B4E" w:rsidRPr="00D35B04">
        <w:rPr>
          <w:rFonts w:ascii="Times New Roman" w:hAnsi="Times New Roman"/>
          <w:sz w:val="24"/>
          <w:lang w:val="en-US"/>
        </w:rPr>
        <w:t xml:space="preserve">8]. </w:t>
      </w:r>
    </w:p>
  </w:footnote>
  <w:footnote w:id="25">
    <w:p w14:paraId="067EE1BD" w14:textId="1435E1CB" w:rsidR="004817AF" w:rsidRPr="00D35B04" w:rsidRDefault="004817AF"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lang w:val="en-US"/>
        </w:rPr>
        <w:t>Mallonland</w:t>
      </w:r>
      <w:proofErr w:type="spellEnd"/>
      <w:r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Pr="00D35B04">
        <w:rPr>
          <w:rFonts w:ascii="Times New Roman" w:hAnsi="Times New Roman"/>
          <w:sz w:val="24"/>
          <w:lang w:val="en-US"/>
        </w:rPr>
        <w:t xml:space="preserve">at </w:t>
      </w:r>
      <w:r w:rsidR="0002066E" w:rsidRPr="00D35B04">
        <w:rPr>
          <w:rFonts w:ascii="Times New Roman" w:hAnsi="Times New Roman"/>
          <w:sz w:val="24"/>
          <w:lang w:val="en-US"/>
        </w:rPr>
        <w:t xml:space="preserve">530 </w:t>
      </w:r>
      <w:r w:rsidRPr="00D35B04">
        <w:rPr>
          <w:rFonts w:ascii="Times New Roman" w:hAnsi="Times New Roman"/>
          <w:sz w:val="24"/>
          <w:lang w:val="en-US"/>
        </w:rPr>
        <w:t>[</w:t>
      </w:r>
      <w:r w:rsidR="0018604A" w:rsidRPr="00D35B04">
        <w:rPr>
          <w:rFonts w:ascii="Times New Roman" w:hAnsi="Times New Roman"/>
          <w:sz w:val="24"/>
          <w:lang w:val="en-US"/>
        </w:rPr>
        <w:t>143].</w:t>
      </w:r>
    </w:p>
  </w:footnote>
  <w:footnote w:id="26">
    <w:p w14:paraId="04909CD6" w14:textId="3BD6DEE0" w:rsidR="002241DE" w:rsidRPr="00D35B04" w:rsidRDefault="002241DE"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Pr="00D35B04">
        <w:rPr>
          <w:rFonts w:ascii="Times New Roman" w:hAnsi="Times New Roman"/>
          <w:sz w:val="24"/>
          <w:lang w:val="en-US"/>
        </w:rPr>
        <w:t xml:space="preserve"> </w:t>
      </w:r>
      <w:r w:rsidR="0002066E" w:rsidRPr="00D35B04">
        <w:rPr>
          <w:rFonts w:ascii="Times New Roman" w:hAnsi="Times New Roman"/>
          <w:sz w:val="24"/>
          <w:lang w:val="en-US"/>
        </w:rPr>
        <w:t>569-</w:t>
      </w:r>
      <w:r w:rsidR="000C7766" w:rsidRPr="00D35B04">
        <w:rPr>
          <w:rFonts w:ascii="Times New Roman" w:hAnsi="Times New Roman"/>
          <w:sz w:val="24"/>
          <w:lang w:val="en-US"/>
        </w:rPr>
        <w:t xml:space="preserve">570 </w:t>
      </w:r>
      <w:r w:rsidRPr="00D35B04">
        <w:rPr>
          <w:rFonts w:ascii="Times New Roman" w:hAnsi="Times New Roman"/>
          <w:sz w:val="24"/>
          <w:lang w:val="en-US"/>
        </w:rPr>
        <w:t>[299]</w:t>
      </w:r>
      <w:r w:rsidR="00504E9A" w:rsidRPr="00D35B04">
        <w:rPr>
          <w:rFonts w:ascii="Times New Roman" w:hAnsi="Times New Roman"/>
          <w:sz w:val="24"/>
          <w:lang w:val="en-US"/>
        </w:rPr>
        <w:t>.</w:t>
      </w:r>
    </w:p>
  </w:footnote>
  <w:footnote w:id="27">
    <w:p w14:paraId="1D18FC9C" w14:textId="2E416F6B" w:rsidR="006575B8" w:rsidRPr="00D35B04" w:rsidRDefault="006575B8"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504E9A" w:rsidRPr="00D35B04">
        <w:rPr>
          <w:rFonts w:ascii="Times New Roman" w:hAnsi="Times New Roman"/>
          <w:i/>
          <w:iCs/>
          <w:sz w:val="24"/>
          <w:lang w:val="en-US"/>
        </w:rPr>
        <w:t>Mallonland</w:t>
      </w:r>
      <w:proofErr w:type="spellEnd"/>
      <w:r w:rsidR="00504E9A"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504E9A" w:rsidRPr="00D35B04">
        <w:rPr>
          <w:rFonts w:ascii="Times New Roman" w:hAnsi="Times New Roman"/>
          <w:sz w:val="24"/>
          <w:lang w:val="en-US"/>
        </w:rPr>
        <w:t>at</w:t>
      </w:r>
      <w:r w:rsidRPr="00D35B04">
        <w:rPr>
          <w:rFonts w:ascii="Times New Roman" w:hAnsi="Times New Roman"/>
          <w:sz w:val="24"/>
          <w:lang w:val="en-US"/>
        </w:rPr>
        <w:t xml:space="preserve"> </w:t>
      </w:r>
      <w:r w:rsidR="000C7766" w:rsidRPr="00D35B04">
        <w:rPr>
          <w:rFonts w:ascii="Times New Roman" w:hAnsi="Times New Roman"/>
          <w:sz w:val="24"/>
          <w:lang w:val="en-US"/>
        </w:rPr>
        <w:t xml:space="preserve">576-577 </w:t>
      </w:r>
      <w:r w:rsidRPr="00D35B04">
        <w:rPr>
          <w:rFonts w:ascii="Times New Roman" w:hAnsi="Times New Roman"/>
          <w:sz w:val="24"/>
          <w:lang w:val="en-US"/>
        </w:rPr>
        <w:t>[318]</w:t>
      </w:r>
      <w:r w:rsidR="000552D5" w:rsidRPr="00D35B04">
        <w:rPr>
          <w:rFonts w:ascii="Times New Roman" w:hAnsi="Times New Roman"/>
          <w:sz w:val="24"/>
          <w:lang w:val="en-US"/>
        </w:rPr>
        <w:t>-[32</w:t>
      </w:r>
      <w:r w:rsidR="00F42C68" w:rsidRPr="00D35B04">
        <w:rPr>
          <w:rFonts w:ascii="Times New Roman" w:hAnsi="Times New Roman"/>
          <w:sz w:val="24"/>
          <w:lang w:val="en-US"/>
        </w:rPr>
        <w:t>3</w:t>
      </w:r>
      <w:r w:rsidR="000552D5" w:rsidRPr="00D35B04">
        <w:rPr>
          <w:rFonts w:ascii="Times New Roman" w:hAnsi="Times New Roman"/>
          <w:sz w:val="24"/>
          <w:lang w:val="en-US"/>
        </w:rPr>
        <w:t>]</w:t>
      </w:r>
      <w:r w:rsidR="00F42C68" w:rsidRPr="00D35B04">
        <w:rPr>
          <w:rFonts w:ascii="Times New Roman" w:hAnsi="Times New Roman"/>
          <w:sz w:val="24"/>
          <w:lang w:val="en-US"/>
        </w:rPr>
        <w:t>.</w:t>
      </w:r>
    </w:p>
  </w:footnote>
  <w:footnote w:id="28">
    <w:p w14:paraId="262F5190" w14:textId="3DC10A36" w:rsidR="00F14D43" w:rsidRPr="00D35B04" w:rsidRDefault="00F14D43"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F42C68" w:rsidRPr="00D35B04">
        <w:rPr>
          <w:rFonts w:ascii="Times New Roman" w:hAnsi="Times New Roman"/>
          <w:i/>
          <w:iCs/>
          <w:sz w:val="24"/>
          <w:lang w:val="en-US"/>
        </w:rPr>
        <w:t>Mallonland</w:t>
      </w:r>
      <w:proofErr w:type="spellEnd"/>
      <w:r w:rsidR="00F42C68"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F42C68" w:rsidRPr="00D35B04">
        <w:rPr>
          <w:rFonts w:ascii="Times New Roman" w:hAnsi="Times New Roman"/>
          <w:sz w:val="24"/>
          <w:lang w:val="en-US"/>
        </w:rPr>
        <w:t>at</w:t>
      </w:r>
      <w:r w:rsidR="0041143A" w:rsidRPr="00D35B04">
        <w:rPr>
          <w:rFonts w:ascii="Times New Roman" w:hAnsi="Times New Roman"/>
          <w:sz w:val="24"/>
          <w:lang w:val="en-US"/>
        </w:rPr>
        <w:t xml:space="preserve"> </w:t>
      </w:r>
      <w:r w:rsidR="000C7766" w:rsidRPr="00D35B04">
        <w:rPr>
          <w:rFonts w:ascii="Times New Roman" w:hAnsi="Times New Roman"/>
          <w:sz w:val="24"/>
          <w:lang w:val="en-US"/>
        </w:rPr>
        <w:t xml:space="preserve">577 </w:t>
      </w:r>
      <w:r w:rsidR="00605973" w:rsidRPr="00D35B04">
        <w:rPr>
          <w:rFonts w:ascii="Times New Roman" w:hAnsi="Times New Roman"/>
          <w:sz w:val="24"/>
          <w:lang w:val="en-US"/>
        </w:rPr>
        <w:t>[319]-</w:t>
      </w:r>
      <w:r w:rsidR="0041143A" w:rsidRPr="00D35B04">
        <w:rPr>
          <w:rFonts w:ascii="Times New Roman" w:hAnsi="Times New Roman"/>
          <w:sz w:val="24"/>
          <w:lang w:val="en-US"/>
        </w:rPr>
        <w:t>[323].</w:t>
      </w:r>
    </w:p>
  </w:footnote>
  <w:footnote w:id="29">
    <w:p w14:paraId="6D75A855" w14:textId="550BE874" w:rsidR="00F14D43" w:rsidRPr="00D35B04" w:rsidRDefault="00F14D43"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344060" w:rsidRPr="00D35B04">
        <w:rPr>
          <w:rFonts w:ascii="Times New Roman" w:hAnsi="Times New Roman"/>
          <w:i/>
          <w:iCs/>
          <w:sz w:val="24"/>
          <w:lang w:val="en-US"/>
        </w:rPr>
        <w:t>Mallonland</w:t>
      </w:r>
      <w:proofErr w:type="spellEnd"/>
      <w:r w:rsidR="00344060" w:rsidRPr="00D35B04">
        <w:rPr>
          <w:rFonts w:ascii="Times New Roman" w:hAnsi="Times New Roman"/>
          <w:i/>
          <w:iCs/>
          <w:sz w:val="24"/>
          <w:lang w:val="en-US"/>
        </w:rPr>
        <w:t xml:space="preserve"> </w:t>
      </w:r>
      <w:r w:rsidR="00FA06D4" w:rsidRPr="00D35B04">
        <w:rPr>
          <w:rFonts w:ascii="Times New Roman" w:hAnsi="Times New Roman"/>
          <w:sz w:val="24"/>
          <w:lang w:val="en-US"/>
        </w:rPr>
        <w:t xml:space="preserve">(2023) 13 QR 492 </w:t>
      </w:r>
      <w:r w:rsidR="00344060" w:rsidRPr="00D35B04">
        <w:rPr>
          <w:rFonts w:ascii="Times New Roman" w:hAnsi="Times New Roman"/>
          <w:sz w:val="24"/>
          <w:lang w:val="en-US"/>
        </w:rPr>
        <w:t>at</w:t>
      </w:r>
      <w:r w:rsidR="00BA1DCA" w:rsidRPr="00D35B04">
        <w:rPr>
          <w:rFonts w:ascii="Times New Roman" w:hAnsi="Times New Roman"/>
          <w:sz w:val="24"/>
          <w:lang w:val="en-US"/>
        </w:rPr>
        <w:t xml:space="preserve"> </w:t>
      </w:r>
      <w:r w:rsidR="000C7766" w:rsidRPr="00D35B04">
        <w:rPr>
          <w:rFonts w:ascii="Times New Roman" w:hAnsi="Times New Roman"/>
          <w:sz w:val="24"/>
          <w:lang w:val="en-US"/>
        </w:rPr>
        <w:t xml:space="preserve">578 </w:t>
      </w:r>
      <w:r w:rsidR="00BA1DCA" w:rsidRPr="00D35B04">
        <w:rPr>
          <w:rFonts w:ascii="Times New Roman" w:hAnsi="Times New Roman"/>
          <w:sz w:val="24"/>
          <w:lang w:val="en-US"/>
        </w:rPr>
        <w:t>[327].</w:t>
      </w:r>
    </w:p>
  </w:footnote>
  <w:footnote w:id="30">
    <w:p w14:paraId="2DE129E4" w14:textId="326062E3" w:rsidR="002428CB" w:rsidRPr="00D35B04" w:rsidRDefault="002428CB"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Sullivan v Moody</w:t>
      </w:r>
      <w:r w:rsidR="001E0BCF" w:rsidRPr="00D35B04">
        <w:rPr>
          <w:rFonts w:ascii="Times New Roman" w:hAnsi="Times New Roman"/>
          <w:sz w:val="24"/>
          <w:lang w:val="en-US"/>
        </w:rPr>
        <w:t xml:space="preserve"> </w:t>
      </w:r>
      <w:r w:rsidR="006934CB" w:rsidRPr="00D35B04">
        <w:rPr>
          <w:rFonts w:ascii="Times New Roman" w:hAnsi="Times New Roman"/>
          <w:sz w:val="24"/>
          <w:lang w:val="en-US"/>
        </w:rPr>
        <w:t>(2001) 207 CLR 562 at</w:t>
      </w:r>
      <w:r w:rsidR="00F915B3" w:rsidRPr="00D35B04">
        <w:rPr>
          <w:rFonts w:ascii="Times New Roman" w:hAnsi="Times New Roman"/>
          <w:sz w:val="24"/>
          <w:lang w:val="en-US"/>
        </w:rPr>
        <w:t xml:space="preserve"> 576</w:t>
      </w:r>
      <w:r w:rsidR="006934CB" w:rsidRPr="00D35B04">
        <w:rPr>
          <w:rFonts w:ascii="Times New Roman" w:hAnsi="Times New Roman"/>
          <w:sz w:val="24"/>
          <w:lang w:val="en-US"/>
        </w:rPr>
        <w:t xml:space="preserve"> </w:t>
      </w:r>
      <w:r w:rsidR="001E0BCF" w:rsidRPr="00D35B04">
        <w:rPr>
          <w:rFonts w:ascii="Times New Roman" w:hAnsi="Times New Roman"/>
          <w:sz w:val="24"/>
          <w:lang w:val="en-US"/>
        </w:rPr>
        <w:t xml:space="preserve">[42]; </w:t>
      </w:r>
      <w:r w:rsidR="001E0BCF" w:rsidRPr="00D35B04">
        <w:rPr>
          <w:rFonts w:ascii="Times New Roman" w:hAnsi="Times New Roman"/>
          <w:i/>
          <w:iCs/>
          <w:sz w:val="24"/>
          <w:lang w:val="en-US"/>
        </w:rPr>
        <w:t xml:space="preserve">Brookfield </w:t>
      </w:r>
      <w:r w:rsidR="00EF3A5B" w:rsidRPr="00D35B04">
        <w:rPr>
          <w:rFonts w:ascii="Times New Roman" w:hAnsi="Times New Roman"/>
          <w:i/>
          <w:iCs/>
          <w:sz w:val="24"/>
          <w:lang w:val="en-US"/>
        </w:rPr>
        <w:t>Multiplex Ltd v Owners Corporation Strata Plan 61288</w:t>
      </w:r>
      <w:r w:rsidR="00EF3A5B" w:rsidRPr="00D35B04">
        <w:rPr>
          <w:rFonts w:ascii="Times New Roman" w:hAnsi="Times New Roman"/>
          <w:sz w:val="24"/>
          <w:lang w:val="en-US"/>
        </w:rPr>
        <w:t xml:space="preserve"> </w:t>
      </w:r>
      <w:r w:rsidR="00D11F57" w:rsidRPr="00D35B04">
        <w:rPr>
          <w:rFonts w:ascii="Times New Roman" w:hAnsi="Times New Roman"/>
          <w:sz w:val="24"/>
          <w:lang w:val="en-US"/>
        </w:rPr>
        <w:t xml:space="preserve">(2014) 254 CLR 185 </w:t>
      </w:r>
      <w:r w:rsidR="00EF3A5B" w:rsidRPr="00D35B04">
        <w:rPr>
          <w:rFonts w:ascii="Times New Roman" w:hAnsi="Times New Roman"/>
          <w:sz w:val="24"/>
          <w:lang w:val="en-US"/>
        </w:rPr>
        <w:t>at</w:t>
      </w:r>
      <w:r w:rsidR="00233E79" w:rsidRPr="00D35B04">
        <w:rPr>
          <w:rFonts w:ascii="Times New Roman" w:hAnsi="Times New Roman"/>
          <w:sz w:val="24"/>
          <w:lang w:val="en-US"/>
        </w:rPr>
        <w:t xml:space="preserve"> 199</w:t>
      </w:r>
      <w:r w:rsidR="00EF3A5B" w:rsidRPr="00D35B04">
        <w:rPr>
          <w:rFonts w:ascii="Times New Roman" w:hAnsi="Times New Roman"/>
          <w:sz w:val="24"/>
          <w:lang w:val="en-US"/>
        </w:rPr>
        <w:t xml:space="preserve"> </w:t>
      </w:r>
      <w:r w:rsidR="001E0BCF" w:rsidRPr="00D35B04">
        <w:rPr>
          <w:rFonts w:ascii="Times New Roman" w:hAnsi="Times New Roman"/>
          <w:sz w:val="24"/>
          <w:lang w:val="en-US"/>
        </w:rPr>
        <w:t xml:space="preserve">[19], </w:t>
      </w:r>
      <w:r w:rsidR="00470D34" w:rsidRPr="00D35B04">
        <w:rPr>
          <w:rFonts w:ascii="Times New Roman" w:hAnsi="Times New Roman"/>
          <w:sz w:val="24"/>
          <w:lang w:val="en-US"/>
        </w:rPr>
        <w:t xml:space="preserve">240 </w:t>
      </w:r>
      <w:r w:rsidR="006B3DC3" w:rsidRPr="00D35B04">
        <w:rPr>
          <w:rFonts w:ascii="Times New Roman" w:hAnsi="Times New Roman"/>
          <w:sz w:val="24"/>
          <w:lang w:val="en-US"/>
        </w:rPr>
        <w:t>[169]</w:t>
      </w:r>
      <w:r w:rsidR="00D11F57" w:rsidRPr="00D35B04">
        <w:rPr>
          <w:rFonts w:ascii="Times New Roman" w:hAnsi="Times New Roman"/>
          <w:sz w:val="24"/>
          <w:lang w:val="en-US"/>
        </w:rPr>
        <w:t xml:space="preserve"> ("</w:t>
      </w:r>
      <w:r w:rsidR="00D11F57" w:rsidRPr="00D35B04">
        <w:rPr>
          <w:rFonts w:ascii="Times New Roman" w:hAnsi="Times New Roman"/>
          <w:i/>
          <w:iCs/>
          <w:sz w:val="24"/>
          <w:lang w:val="en-US"/>
        </w:rPr>
        <w:t>Brookfield</w:t>
      </w:r>
      <w:r w:rsidR="00D11F57" w:rsidRPr="00D35B04">
        <w:rPr>
          <w:rFonts w:ascii="Times New Roman" w:hAnsi="Times New Roman"/>
          <w:sz w:val="24"/>
          <w:lang w:val="en-US"/>
        </w:rPr>
        <w:t>")</w:t>
      </w:r>
      <w:r w:rsidR="006B3DC3" w:rsidRPr="00D35B04">
        <w:rPr>
          <w:rFonts w:ascii="Times New Roman" w:hAnsi="Times New Roman"/>
          <w:sz w:val="24"/>
          <w:lang w:val="en-US"/>
        </w:rPr>
        <w:t xml:space="preserve">. </w:t>
      </w:r>
    </w:p>
  </w:footnote>
  <w:footnote w:id="31">
    <w:p w14:paraId="09ABC50C" w14:textId="553D1989" w:rsidR="00615E4D" w:rsidRPr="00D35B04" w:rsidRDefault="00615E4D"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00AA410E" w:rsidRPr="00D35B04">
        <w:rPr>
          <w:rFonts w:ascii="Times New Roman" w:hAnsi="Times New Roman"/>
          <w:sz w:val="24"/>
        </w:rPr>
        <w:tab/>
      </w:r>
      <w:r w:rsidR="00AA410E" w:rsidRPr="00D35B04">
        <w:rPr>
          <w:rFonts w:ascii="Times New Roman" w:hAnsi="Times New Roman"/>
          <w:i/>
          <w:iCs/>
          <w:sz w:val="24"/>
        </w:rPr>
        <w:t>Le Lievre v Gould</w:t>
      </w:r>
      <w:r w:rsidR="00AA410E" w:rsidRPr="00D35B04">
        <w:rPr>
          <w:rFonts w:ascii="Times New Roman" w:hAnsi="Times New Roman"/>
          <w:sz w:val="24"/>
        </w:rPr>
        <w:t xml:space="preserve"> [1893] 1 QB 491 at 497</w:t>
      </w:r>
      <w:r w:rsidR="00C96B06" w:rsidRPr="00D35B04">
        <w:rPr>
          <w:rFonts w:ascii="Times New Roman" w:hAnsi="Times New Roman"/>
          <w:sz w:val="24"/>
        </w:rPr>
        <w:t xml:space="preserve">; </w:t>
      </w:r>
      <w:r w:rsidR="004E2052" w:rsidRPr="00D35B04">
        <w:rPr>
          <w:rFonts w:ascii="Times New Roman" w:hAnsi="Times New Roman"/>
          <w:i/>
          <w:iCs/>
          <w:sz w:val="24"/>
        </w:rPr>
        <w:t>Vairy v Wyong Shire Council</w:t>
      </w:r>
      <w:r w:rsidR="004E2052" w:rsidRPr="00D35B04">
        <w:rPr>
          <w:rFonts w:ascii="Times New Roman" w:hAnsi="Times New Roman"/>
          <w:sz w:val="24"/>
        </w:rPr>
        <w:t xml:space="preserve"> (2005) 223 CLR 422</w:t>
      </w:r>
      <w:r w:rsidR="009D69EB" w:rsidRPr="00D35B04">
        <w:rPr>
          <w:rFonts w:ascii="Times New Roman" w:hAnsi="Times New Roman"/>
          <w:sz w:val="24"/>
        </w:rPr>
        <w:t xml:space="preserve"> at </w:t>
      </w:r>
      <w:r w:rsidR="00F241A4" w:rsidRPr="00D35B04">
        <w:rPr>
          <w:rFonts w:ascii="Times New Roman" w:hAnsi="Times New Roman"/>
          <w:sz w:val="24"/>
        </w:rPr>
        <w:t>431 [23]</w:t>
      </w:r>
      <w:r w:rsidR="00AA410E" w:rsidRPr="00D35B04">
        <w:rPr>
          <w:rFonts w:ascii="Times New Roman" w:hAnsi="Times New Roman"/>
          <w:sz w:val="24"/>
        </w:rPr>
        <w:t xml:space="preserve">. </w:t>
      </w:r>
    </w:p>
  </w:footnote>
  <w:footnote w:id="32">
    <w:p w14:paraId="79F8C45C" w14:textId="3BA108A3" w:rsidR="00524831" w:rsidRPr="00D35B04" w:rsidRDefault="0052483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 xml:space="preserve">Caltex Oil </w:t>
      </w:r>
      <w:r w:rsidR="00ED40B3" w:rsidRPr="00D35B04">
        <w:rPr>
          <w:rFonts w:ascii="Times New Roman" w:hAnsi="Times New Roman"/>
          <w:i/>
          <w:iCs/>
          <w:sz w:val="24"/>
          <w:lang w:val="en-US"/>
        </w:rPr>
        <w:t xml:space="preserve">(Australia) Pty Ltd v The Dredge "Willemstad" </w:t>
      </w:r>
      <w:r w:rsidR="00ED40B3" w:rsidRPr="00D35B04">
        <w:rPr>
          <w:rFonts w:ascii="Times New Roman" w:hAnsi="Times New Roman"/>
          <w:sz w:val="24"/>
          <w:lang w:val="en-US"/>
        </w:rPr>
        <w:t xml:space="preserve">(1976) 136 CLR 529 </w:t>
      </w:r>
      <w:r w:rsidRPr="00D35B04">
        <w:rPr>
          <w:rFonts w:ascii="Times New Roman" w:hAnsi="Times New Roman"/>
          <w:sz w:val="24"/>
          <w:lang w:val="en-US"/>
        </w:rPr>
        <w:t>at 555, 558-559, 592, 598</w:t>
      </w:r>
      <w:r w:rsidR="00D11F57" w:rsidRPr="00D35B04">
        <w:rPr>
          <w:rFonts w:ascii="Times New Roman" w:hAnsi="Times New Roman"/>
          <w:sz w:val="24"/>
          <w:lang w:val="en-US"/>
        </w:rPr>
        <w:t xml:space="preserve"> ("</w:t>
      </w:r>
      <w:r w:rsidR="00D11F57" w:rsidRPr="00D35B04">
        <w:rPr>
          <w:rFonts w:ascii="Times New Roman" w:hAnsi="Times New Roman"/>
          <w:i/>
          <w:iCs/>
          <w:sz w:val="24"/>
          <w:lang w:val="en-US"/>
        </w:rPr>
        <w:t>Caltex</w:t>
      </w:r>
      <w:r w:rsidR="00D11F57" w:rsidRPr="00D35B04">
        <w:rPr>
          <w:rFonts w:ascii="Times New Roman" w:hAnsi="Times New Roman"/>
          <w:sz w:val="24"/>
          <w:lang w:val="en-US"/>
        </w:rPr>
        <w:t>")</w:t>
      </w:r>
      <w:r w:rsidRPr="00D35B04">
        <w:rPr>
          <w:rFonts w:ascii="Times New Roman" w:hAnsi="Times New Roman"/>
          <w:sz w:val="24"/>
          <w:lang w:val="en-US"/>
        </w:rPr>
        <w:t xml:space="preserve">; </w:t>
      </w:r>
      <w:proofErr w:type="spellStart"/>
      <w:r w:rsidRPr="00D35B04">
        <w:rPr>
          <w:rFonts w:ascii="Times New Roman" w:hAnsi="Times New Roman"/>
          <w:i/>
          <w:iCs/>
          <w:sz w:val="24"/>
          <w:lang w:val="en-US"/>
        </w:rPr>
        <w:t>Perre</w:t>
      </w:r>
      <w:proofErr w:type="spellEnd"/>
      <w:r w:rsidRPr="00D35B04">
        <w:rPr>
          <w:rFonts w:ascii="Times New Roman" w:hAnsi="Times New Roman"/>
          <w:i/>
          <w:iCs/>
          <w:sz w:val="24"/>
          <w:lang w:val="en-US"/>
        </w:rPr>
        <w:t xml:space="preserve"> v </w:t>
      </w:r>
      <w:proofErr w:type="spellStart"/>
      <w:r w:rsidRPr="00D35B04">
        <w:rPr>
          <w:rFonts w:ascii="Times New Roman" w:hAnsi="Times New Roman"/>
          <w:i/>
          <w:iCs/>
          <w:sz w:val="24"/>
          <w:lang w:val="en-US"/>
        </w:rPr>
        <w:t>Apand</w:t>
      </w:r>
      <w:proofErr w:type="spellEnd"/>
      <w:r w:rsidR="00ED40B3" w:rsidRPr="00D35B04">
        <w:rPr>
          <w:rFonts w:ascii="Times New Roman" w:hAnsi="Times New Roman"/>
          <w:i/>
          <w:iCs/>
          <w:sz w:val="24"/>
          <w:lang w:val="en-US"/>
        </w:rPr>
        <w:t xml:space="preserve"> </w:t>
      </w:r>
      <w:r w:rsidR="00165C02" w:rsidRPr="00D35B04">
        <w:rPr>
          <w:rFonts w:ascii="Times New Roman" w:hAnsi="Times New Roman"/>
          <w:i/>
          <w:iCs/>
          <w:sz w:val="24"/>
          <w:lang w:val="en-US"/>
        </w:rPr>
        <w:t xml:space="preserve">Pty </w:t>
      </w:r>
      <w:r w:rsidR="00ED40B3" w:rsidRPr="00D35B04">
        <w:rPr>
          <w:rFonts w:ascii="Times New Roman" w:hAnsi="Times New Roman"/>
          <w:i/>
          <w:iCs/>
          <w:sz w:val="24"/>
          <w:lang w:val="en-US"/>
        </w:rPr>
        <w:t xml:space="preserve">Ltd </w:t>
      </w:r>
      <w:r w:rsidR="00D22A21" w:rsidRPr="00D35B04">
        <w:rPr>
          <w:rFonts w:ascii="Times New Roman" w:hAnsi="Times New Roman"/>
          <w:sz w:val="24"/>
          <w:lang w:val="en-US"/>
        </w:rPr>
        <w:t>(1999) 198 CLR 180</w:t>
      </w:r>
      <w:r w:rsidRPr="00D35B04">
        <w:rPr>
          <w:rFonts w:ascii="Times New Roman" w:hAnsi="Times New Roman"/>
          <w:i/>
          <w:iCs/>
          <w:sz w:val="24"/>
          <w:lang w:val="en-US"/>
        </w:rPr>
        <w:t xml:space="preserve"> </w:t>
      </w:r>
      <w:r w:rsidRPr="00D35B04">
        <w:rPr>
          <w:rFonts w:ascii="Times New Roman" w:hAnsi="Times New Roman"/>
          <w:sz w:val="24"/>
          <w:lang w:val="en-US"/>
        </w:rPr>
        <w:t>at 192 [4], 198 [27], 219 [101], 267 [242]</w:t>
      </w:r>
      <w:r w:rsidR="00DC40B3" w:rsidRPr="00D35B04">
        <w:rPr>
          <w:rFonts w:ascii="Times New Roman" w:hAnsi="Times New Roman"/>
          <w:sz w:val="24"/>
          <w:lang w:val="en-US"/>
        </w:rPr>
        <w:t xml:space="preserve"> ("</w:t>
      </w:r>
      <w:proofErr w:type="spellStart"/>
      <w:r w:rsidR="00DC40B3" w:rsidRPr="00D35B04">
        <w:rPr>
          <w:rFonts w:ascii="Times New Roman" w:hAnsi="Times New Roman"/>
          <w:i/>
          <w:iCs/>
          <w:sz w:val="24"/>
          <w:lang w:val="en-US"/>
        </w:rPr>
        <w:t>Perre</w:t>
      </w:r>
      <w:proofErr w:type="spellEnd"/>
      <w:r w:rsidR="00DC40B3" w:rsidRPr="00D35B04">
        <w:rPr>
          <w:rFonts w:ascii="Times New Roman" w:hAnsi="Times New Roman"/>
          <w:i/>
          <w:iCs/>
          <w:sz w:val="24"/>
          <w:lang w:val="en-US"/>
        </w:rPr>
        <w:t xml:space="preserve"> v </w:t>
      </w:r>
      <w:proofErr w:type="spellStart"/>
      <w:r w:rsidR="00DC40B3" w:rsidRPr="00D35B04">
        <w:rPr>
          <w:rFonts w:ascii="Times New Roman" w:hAnsi="Times New Roman"/>
          <w:i/>
          <w:iCs/>
          <w:sz w:val="24"/>
          <w:lang w:val="en-US"/>
        </w:rPr>
        <w:t>Apand</w:t>
      </w:r>
      <w:proofErr w:type="spellEnd"/>
      <w:r w:rsidR="00DC40B3" w:rsidRPr="00D35B04">
        <w:rPr>
          <w:rFonts w:ascii="Times New Roman" w:hAnsi="Times New Roman"/>
          <w:sz w:val="24"/>
          <w:lang w:val="en-US"/>
        </w:rPr>
        <w:t>")</w:t>
      </w:r>
      <w:r w:rsidRPr="00D35B04">
        <w:rPr>
          <w:rFonts w:ascii="Times New Roman" w:hAnsi="Times New Roman"/>
          <w:sz w:val="24"/>
          <w:lang w:val="en-US"/>
        </w:rPr>
        <w:t xml:space="preserve">; </w:t>
      </w:r>
      <w:r w:rsidRPr="00D35B04">
        <w:rPr>
          <w:rFonts w:ascii="Times New Roman" w:hAnsi="Times New Roman"/>
          <w:i/>
          <w:iCs/>
          <w:sz w:val="24"/>
          <w:lang w:val="en-US"/>
        </w:rPr>
        <w:t>Woolcock St</w:t>
      </w:r>
      <w:r w:rsidR="00D22A21" w:rsidRPr="00D35B04">
        <w:rPr>
          <w:rFonts w:ascii="Times New Roman" w:hAnsi="Times New Roman"/>
          <w:i/>
          <w:iCs/>
          <w:sz w:val="24"/>
          <w:lang w:val="en-US"/>
        </w:rPr>
        <w:t xml:space="preserve">reet Investments Pty Ltd v CDG Pty Ltd </w:t>
      </w:r>
      <w:r w:rsidR="004E2E77" w:rsidRPr="00D35B04">
        <w:rPr>
          <w:rFonts w:ascii="Times New Roman" w:hAnsi="Times New Roman"/>
          <w:sz w:val="24"/>
          <w:lang w:val="en-US"/>
        </w:rPr>
        <w:t>(2004) 216 CLR 515</w:t>
      </w:r>
      <w:r w:rsidRPr="00D35B04">
        <w:rPr>
          <w:rFonts w:ascii="Times New Roman" w:hAnsi="Times New Roman"/>
          <w:i/>
          <w:iCs/>
          <w:sz w:val="24"/>
          <w:lang w:val="en-US"/>
        </w:rPr>
        <w:t xml:space="preserve"> </w:t>
      </w:r>
      <w:r w:rsidRPr="00D35B04">
        <w:rPr>
          <w:rFonts w:ascii="Times New Roman" w:hAnsi="Times New Roman"/>
          <w:sz w:val="24"/>
          <w:lang w:val="en-US"/>
        </w:rPr>
        <w:t>at 530 [22]</w:t>
      </w:r>
      <w:r w:rsidR="00D11F57" w:rsidRPr="00D35B04">
        <w:rPr>
          <w:rFonts w:ascii="Times New Roman" w:hAnsi="Times New Roman"/>
          <w:sz w:val="24"/>
          <w:lang w:val="en-US"/>
        </w:rPr>
        <w:t xml:space="preserve"> ("</w:t>
      </w:r>
      <w:r w:rsidR="00D11F57" w:rsidRPr="00D35B04">
        <w:rPr>
          <w:rFonts w:ascii="Times New Roman" w:hAnsi="Times New Roman"/>
          <w:i/>
          <w:iCs/>
          <w:sz w:val="24"/>
          <w:lang w:val="en-US"/>
        </w:rPr>
        <w:t>Woolcock</w:t>
      </w:r>
      <w:r w:rsidR="00D11F57" w:rsidRPr="00D35B04">
        <w:rPr>
          <w:rFonts w:ascii="Times New Roman" w:hAnsi="Times New Roman"/>
          <w:sz w:val="24"/>
          <w:lang w:val="en-US"/>
        </w:rPr>
        <w:t>")</w:t>
      </w:r>
      <w:r w:rsidRPr="00D35B04">
        <w:rPr>
          <w:rFonts w:ascii="Times New Roman" w:hAnsi="Times New Roman"/>
          <w:sz w:val="24"/>
          <w:lang w:val="en-US"/>
        </w:rPr>
        <w:t xml:space="preserve">; </w:t>
      </w:r>
      <w:bookmarkStart w:id="3" w:name="_Hlk162010929"/>
      <w:r w:rsidRPr="00D35B04">
        <w:rPr>
          <w:rFonts w:ascii="Times New Roman" w:hAnsi="Times New Roman"/>
          <w:i/>
          <w:iCs/>
          <w:sz w:val="24"/>
          <w:lang w:val="en-US"/>
        </w:rPr>
        <w:t>Brookfield</w:t>
      </w:r>
      <w:r w:rsidRPr="00D35B04">
        <w:rPr>
          <w:rFonts w:ascii="Times New Roman" w:hAnsi="Times New Roman"/>
          <w:sz w:val="24"/>
          <w:lang w:val="en-US"/>
        </w:rPr>
        <w:t xml:space="preserve"> </w:t>
      </w:r>
      <w:r w:rsidR="00D11F57" w:rsidRPr="00D35B04">
        <w:rPr>
          <w:rFonts w:ascii="Times New Roman" w:hAnsi="Times New Roman"/>
          <w:sz w:val="24"/>
          <w:lang w:val="en-US"/>
        </w:rPr>
        <w:t>(2014) 254 CLR 185</w:t>
      </w:r>
      <w:bookmarkEnd w:id="3"/>
      <w:r w:rsidR="00D11F57" w:rsidRPr="00D35B04">
        <w:rPr>
          <w:rFonts w:ascii="Times New Roman" w:hAnsi="Times New Roman"/>
          <w:sz w:val="24"/>
          <w:lang w:val="en-US"/>
        </w:rPr>
        <w:t xml:space="preserve"> </w:t>
      </w:r>
      <w:r w:rsidRPr="00D35B04">
        <w:rPr>
          <w:rFonts w:ascii="Times New Roman" w:hAnsi="Times New Roman"/>
          <w:sz w:val="24"/>
          <w:lang w:val="en-US"/>
        </w:rPr>
        <w:t>at 228 [127].</w:t>
      </w:r>
    </w:p>
  </w:footnote>
  <w:footnote w:id="33">
    <w:p w14:paraId="0A3CE19D" w14:textId="7A0CC636" w:rsidR="003966FB" w:rsidRPr="00D35B04" w:rsidRDefault="003966FB"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Caltex</w:t>
      </w:r>
      <w:r w:rsidRPr="00D35B04">
        <w:rPr>
          <w:rFonts w:ascii="Times New Roman" w:hAnsi="Times New Roman"/>
          <w:sz w:val="24"/>
          <w:lang w:val="en-US"/>
        </w:rPr>
        <w:t xml:space="preserve"> </w:t>
      </w:r>
      <w:r w:rsidR="001E2307" w:rsidRPr="00D35B04">
        <w:rPr>
          <w:rFonts w:ascii="Times New Roman" w:hAnsi="Times New Roman"/>
          <w:sz w:val="24"/>
          <w:lang w:val="en-US"/>
        </w:rPr>
        <w:t xml:space="preserve">(1976) 136 CLR 529 </w:t>
      </w:r>
      <w:r w:rsidRPr="00D35B04">
        <w:rPr>
          <w:rFonts w:ascii="Times New Roman" w:hAnsi="Times New Roman"/>
          <w:sz w:val="24"/>
          <w:lang w:val="en-US"/>
        </w:rPr>
        <w:t>at 54</w:t>
      </w:r>
      <w:r w:rsidR="00CF59AA" w:rsidRPr="00D35B04">
        <w:rPr>
          <w:rFonts w:ascii="Times New Roman" w:hAnsi="Times New Roman"/>
          <w:sz w:val="24"/>
          <w:lang w:val="en-US"/>
        </w:rPr>
        <w:t>4-54</w:t>
      </w:r>
      <w:r w:rsidRPr="00D35B04">
        <w:rPr>
          <w:rFonts w:ascii="Times New Roman" w:hAnsi="Times New Roman"/>
          <w:sz w:val="24"/>
          <w:lang w:val="en-US"/>
        </w:rPr>
        <w:t>5</w:t>
      </w:r>
      <w:r w:rsidR="00644672" w:rsidRPr="00D35B04">
        <w:rPr>
          <w:rFonts w:ascii="Times New Roman" w:hAnsi="Times New Roman"/>
          <w:sz w:val="24"/>
          <w:lang w:val="en-US"/>
        </w:rPr>
        <w:t>, 552</w:t>
      </w:r>
      <w:r w:rsidR="00A838D6" w:rsidRPr="00D35B04">
        <w:rPr>
          <w:rFonts w:ascii="Times New Roman" w:hAnsi="Times New Roman"/>
          <w:sz w:val="24"/>
          <w:lang w:val="en-US"/>
        </w:rPr>
        <w:t>, 555,</w:t>
      </w:r>
      <w:r w:rsidR="00AC4BA9" w:rsidRPr="00D35B04">
        <w:rPr>
          <w:rFonts w:ascii="Times New Roman" w:hAnsi="Times New Roman"/>
          <w:sz w:val="24"/>
          <w:lang w:val="en-US"/>
        </w:rPr>
        <w:t xml:space="preserve"> 558-559, </w:t>
      </w:r>
      <w:r w:rsidR="00FD236F" w:rsidRPr="00D35B04">
        <w:rPr>
          <w:rFonts w:ascii="Times New Roman" w:hAnsi="Times New Roman"/>
          <w:sz w:val="24"/>
          <w:lang w:val="en-US"/>
        </w:rPr>
        <w:t>572-573</w:t>
      </w:r>
      <w:r w:rsidR="00ED734F" w:rsidRPr="00D35B04">
        <w:rPr>
          <w:rFonts w:ascii="Times New Roman" w:hAnsi="Times New Roman"/>
          <w:sz w:val="24"/>
          <w:lang w:val="en-US"/>
        </w:rPr>
        <w:t>, 590</w:t>
      </w:r>
      <w:r w:rsidR="00775623" w:rsidRPr="00D35B04">
        <w:rPr>
          <w:rFonts w:ascii="Times New Roman" w:hAnsi="Times New Roman"/>
          <w:sz w:val="24"/>
          <w:lang w:val="en-US"/>
        </w:rPr>
        <w:t>, 592-593</w:t>
      </w:r>
      <w:r w:rsidR="00AC4BA9" w:rsidRPr="00D35B04">
        <w:rPr>
          <w:rFonts w:ascii="Times New Roman" w:hAnsi="Times New Roman"/>
          <w:sz w:val="24"/>
          <w:lang w:val="en-US"/>
        </w:rPr>
        <w:t>, 598</w:t>
      </w:r>
      <w:r w:rsidRPr="00D35B04">
        <w:rPr>
          <w:rFonts w:ascii="Times New Roman" w:hAnsi="Times New Roman"/>
          <w:sz w:val="24"/>
          <w:lang w:val="en-US"/>
        </w:rPr>
        <w:t xml:space="preserve">; </w:t>
      </w:r>
      <w:r w:rsidRPr="00D35B04">
        <w:rPr>
          <w:rFonts w:ascii="Times New Roman" w:hAnsi="Times New Roman"/>
          <w:i/>
          <w:iCs/>
          <w:sz w:val="24"/>
          <w:lang w:val="en-US"/>
        </w:rPr>
        <w:t>Esanda Finance Corp</w:t>
      </w:r>
      <w:r w:rsidR="00190312" w:rsidRPr="00D35B04">
        <w:rPr>
          <w:rFonts w:ascii="Times New Roman" w:hAnsi="Times New Roman"/>
          <w:i/>
          <w:iCs/>
          <w:sz w:val="24"/>
          <w:lang w:val="en-US"/>
        </w:rPr>
        <w:t>oration</w:t>
      </w:r>
      <w:r w:rsidRPr="00D35B04">
        <w:rPr>
          <w:rFonts w:ascii="Times New Roman" w:hAnsi="Times New Roman"/>
          <w:i/>
          <w:iCs/>
          <w:sz w:val="24"/>
          <w:lang w:val="en-US"/>
        </w:rPr>
        <w:t xml:space="preserve"> Ltd v Peat Marwick </w:t>
      </w:r>
      <w:proofErr w:type="spellStart"/>
      <w:r w:rsidRPr="00D35B04">
        <w:rPr>
          <w:rFonts w:ascii="Times New Roman" w:hAnsi="Times New Roman"/>
          <w:i/>
          <w:iCs/>
          <w:sz w:val="24"/>
          <w:lang w:val="en-US"/>
        </w:rPr>
        <w:t>Hungerfords</w:t>
      </w:r>
      <w:proofErr w:type="spellEnd"/>
      <w:r w:rsidRPr="00D35B04">
        <w:rPr>
          <w:rFonts w:ascii="Times New Roman" w:hAnsi="Times New Roman"/>
          <w:sz w:val="24"/>
          <w:lang w:val="en-US"/>
        </w:rPr>
        <w:t xml:space="preserve"> (1997) 188 CLR 241</w:t>
      </w:r>
      <w:r w:rsidR="00507572" w:rsidRPr="00D35B04">
        <w:rPr>
          <w:rFonts w:ascii="Times New Roman" w:hAnsi="Times New Roman"/>
          <w:sz w:val="24"/>
          <w:lang w:val="en-US"/>
        </w:rPr>
        <w:t xml:space="preserve"> </w:t>
      </w:r>
      <w:r w:rsidRPr="00D35B04">
        <w:rPr>
          <w:rFonts w:ascii="Times New Roman" w:hAnsi="Times New Roman"/>
          <w:sz w:val="24"/>
          <w:lang w:val="en-US"/>
        </w:rPr>
        <w:t>at 249</w:t>
      </w:r>
      <w:r w:rsidR="00190312" w:rsidRPr="00D35B04">
        <w:rPr>
          <w:rFonts w:ascii="Times New Roman" w:hAnsi="Times New Roman"/>
          <w:sz w:val="24"/>
          <w:lang w:val="en-US"/>
        </w:rPr>
        <w:t xml:space="preserve"> ("</w:t>
      </w:r>
      <w:r w:rsidR="00190312" w:rsidRPr="00D35B04">
        <w:rPr>
          <w:rFonts w:ascii="Times New Roman" w:hAnsi="Times New Roman"/>
          <w:i/>
          <w:iCs/>
          <w:sz w:val="24"/>
          <w:lang w:val="en-US"/>
        </w:rPr>
        <w:t>Esanda</w:t>
      </w:r>
      <w:r w:rsidR="00190312" w:rsidRPr="00D35B04">
        <w:rPr>
          <w:rFonts w:ascii="Times New Roman" w:hAnsi="Times New Roman"/>
          <w:sz w:val="24"/>
          <w:lang w:val="en-US"/>
        </w:rPr>
        <w:t>")</w:t>
      </w:r>
      <w:r w:rsidR="00AC4BA9" w:rsidRPr="00D35B04">
        <w:rPr>
          <w:rFonts w:ascii="Times New Roman" w:hAnsi="Times New Roman"/>
          <w:sz w:val="24"/>
          <w:lang w:val="en-US"/>
        </w:rPr>
        <w:t>;</w:t>
      </w:r>
      <w:r w:rsidR="00AC4BA9" w:rsidRPr="00D35B04">
        <w:rPr>
          <w:rFonts w:ascii="Times New Roman" w:hAnsi="Times New Roman"/>
          <w:sz w:val="24"/>
        </w:rPr>
        <w:t xml:space="preserve"> </w:t>
      </w:r>
      <w:proofErr w:type="spellStart"/>
      <w:r w:rsidR="00AC4BA9" w:rsidRPr="00D35B04">
        <w:rPr>
          <w:rFonts w:ascii="Times New Roman" w:hAnsi="Times New Roman"/>
          <w:i/>
          <w:iCs/>
          <w:sz w:val="24"/>
          <w:lang w:val="en-US"/>
        </w:rPr>
        <w:t>Perre</w:t>
      </w:r>
      <w:proofErr w:type="spellEnd"/>
      <w:r w:rsidR="00AC4BA9" w:rsidRPr="00D35B04">
        <w:rPr>
          <w:rFonts w:ascii="Times New Roman" w:hAnsi="Times New Roman"/>
          <w:i/>
          <w:iCs/>
          <w:sz w:val="24"/>
          <w:lang w:val="en-US"/>
        </w:rPr>
        <w:t xml:space="preserve"> v </w:t>
      </w:r>
      <w:proofErr w:type="spellStart"/>
      <w:r w:rsidR="00AC4BA9" w:rsidRPr="00D35B04">
        <w:rPr>
          <w:rFonts w:ascii="Times New Roman" w:hAnsi="Times New Roman"/>
          <w:i/>
          <w:iCs/>
          <w:sz w:val="24"/>
          <w:lang w:val="en-US"/>
        </w:rPr>
        <w:t>Apand</w:t>
      </w:r>
      <w:proofErr w:type="spellEnd"/>
      <w:r w:rsidR="00AC4BA9" w:rsidRPr="00D35B04">
        <w:rPr>
          <w:rFonts w:ascii="Times New Roman" w:hAnsi="Times New Roman"/>
          <w:i/>
          <w:iCs/>
          <w:sz w:val="24"/>
          <w:lang w:val="en-US"/>
        </w:rPr>
        <w:t xml:space="preserve"> </w:t>
      </w:r>
      <w:r w:rsidR="00AC4BA9" w:rsidRPr="00D35B04">
        <w:rPr>
          <w:rFonts w:ascii="Times New Roman" w:hAnsi="Times New Roman"/>
          <w:sz w:val="24"/>
          <w:lang w:val="en-US"/>
        </w:rPr>
        <w:t>(1999) 198 CLR 180 at 192 [4]</w:t>
      </w:r>
      <w:r w:rsidR="00BE720C" w:rsidRPr="00D35B04">
        <w:rPr>
          <w:rFonts w:ascii="Times New Roman" w:hAnsi="Times New Roman"/>
          <w:sz w:val="24"/>
          <w:lang w:val="en-US"/>
        </w:rPr>
        <w:t>, 219 [101]</w:t>
      </w:r>
      <w:r w:rsidR="00D04EEE" w:rsidRPr="00D35B04">
        <w:rPr>
          <w:rFonts w:ascii="Times New Roman" w:hAnsi="Times New Roman"/>
          <w:sz w:val="24"/>
          <w:lang w:val="en-US"/>
        </w:rPr>
        <w:t xml:space="preserve">, 222-223 [112], </w:t>
      </w:r>
      <w:r w:rsidR="00492463" w:rsidRPr="00D35B04">
        <w:rPr>
          <w:rFonts w:ascii="Times New Roman" w:hAnsi="Times New Roman"/>
          <w:sz w:val="24"/>
          <w:lang w:val="en-US"/>
        </w:rPr>
        <w:t xml:space="preserve">281 [275], </w:t>
      </w:r>
      <w:r w:rsidR="00ED78C3" w:rsidRPr="00D35B04">
        <w:rPr>
          <w:rFonts w:ascii="Times New Roman" w:hAnsi="Times New Roman"/>
          <w:sz w:val="24"/>
          <w:lang w:val="en-US"/>
        </w:rPr>
        <w:t>316 [387].</w:t>
      </w:r>
    </w:p>
  </w:footnote>
  <w:footnote w:id="34">
    <w:p w14:paraId="28D6BC49" w14:textId="590B08B4" w:rsidR="00FC2FE6" w:rsidRPr="00D35B04" w:rsidRDefault="00FC2FE6"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r w:rsidRPr="00D35B04">
        <w:rPr>
          <w:rFonts w:ascii="Times New Roman" w:hAnsi="Times New Roman"/>
          <w:i/>
          <w:iCs/>
          <w:sz w:val="24"/>
        </w:rPr>
        <w:t xml:space="preserve">Allen v Flood </w:t>
      </w:r>
      <w:r w:rsidRPr="00D35B04">
        <w:rPr>
          <w:rFonts w:ascii="Times New Roman" w:hAnsi="Times New Roman"/>
          <w:sz w:val="24"/>
        </w:rPr>
        <w:t>[1898] AC 1</w:t>
      </w:r>
      <w:r w:rsidR="00127D79" w:rsidRPr="00D35B04">
        <w:rPr>
          <w:rFonts w:ascii="Times New Roman" w:hAnsi="Times New Roman"/>
          <w:sz w:val="24"/>
        </w:rPr>
        <w:t xml:space="preserve">; </w:t>
      </w:r>
      <w:r w:rsidR="00674149" w:rsidRPr="00D35B04">
        <w:rPr>
          <w:rFonts w:ascii="Times New Roman" w:hAnsi="Times New Roman"/>
          <w:i/>
          <w:iCs/>
          <w:sz w:val="24"/>
        </w:rPr>
        <w:t>Brisbane Shipwrights</w:t>
      </w:r>
      <w:r w:rsidR="00275BD9" w:rsidRPr="00D35B04">
        <w:rPr>
          <w:rFonts w:ascii="Times New Roman" w:hAnsi="Times New Roman"/>
          <w:i/>
          <w:iCs/>
          <w:sz w:val="24"/>
        </w:rPr>
        <w:t>'</w:t>
      </w:r>
      <w:r w:rsidR="00674149" w:rsidRPr="00D35B04">
        <w:rPr>
          <w:rFonts w:ascii="Times New Roman" w:hAnsi="Times New Roman"/>
          <w:i/>
          <w:iCs/>
          <w:sz w:val="24"/>
        </w:rPr>
        <w:t xml:space="preserve"> Provident Union v Heggie</w:t>
      </w:r>
      <w:r w:rsidR="00674149" w:rsidRPr="00D35B04">
        <w:rPr>
          <w:rFonts w:ascii="Times New Roman" w:hAnsi="Times New Roman"/>
          <w:sz w:val="24"/>
        </w:rPr>
        <w:t xml:space="preserve"> </w:t>
      </w:r>
      <w:r w:rsidR="00127D79" w:rsidRPr="00D35B04">
        <w:rPr>
          <w:rFonts w:ascii="Times New Roman" w:hAnsi="Times New Roman"/>
          <w:sz w:val="24"/>
        </w:rPr>
        <w:t xml:space="preserve">(1906) 3 CLR 686 at </w:t>
      </w:r>
      <w:r w:rsidR="00676E45" w:rsidRPr="00D35B04">
        <w:rPr>
          <w:rFonts w:ascii="Times New Roman" w:hAnsi="Times New Roman"/>
          <w:sz w:val="24"/>
        </w:rPr>
        <w:t>698</w:t>
      </w:r>
      <w:r w:rsidR="00576528" w:rsidRPr="00D35B04">
        <w:rPr>
          <w:rFonts w:ascii="Times New Roman" w:hAnsi="Times New Roman"/>
          <w:sz w:val="24"/>
        </w:rPr>
        <w:t>, 700</w:t>
      </w:r>
      <w:r w:rsidR="00674149" w:rsidRPr="00D35B04">
        <w:rPr>
          <w:rFonts w:ascii="Times New Roman" w:hAnsi="Times New Roman"/>
          <w:sz w:val="24"/>
        </w:rPr>
        <w:t xml:space="preserve">; </w:t>
      </w:r>
      <w:r w:rsidR="006F4879" w:rsidRPr="00D35B04">
        <w:rPr>
          <w:rFonts w:ascii="Times New Roman" w:hAnsi="Times New Roman"/>
          <w:i/>
          <w:iCs/>
          <w:sz w:val="24"/>
        </w:rPr>
        <w:t>Sanders v Snell</w:t>
      </w:r>
      <w:r w:rsidR="006F4879" w:rsidRPr="00D35B04">
        <w:rPr>
          <w:rFonts w:ascii="Times New Roman" w:hAnsi="Times New Roman"/>
          <w:sz w:val="24"/>
        </w:rPr>
        <w:t xml:space="preserve"> </w:t>
      </w:r>
      <w:r w:rsidR="00B568DB" w:rsidRPr="00D35B04">
        <w:rPr>
          <w:rFonts w:ascii="Times New Roman" w:hAnsi="Times New Roman"/>
          <w:sz w:val="24"/>
        </w:rPr>
        <w:t xml:space="preserve">(1998) 196 CLR 329 </w:t>
      </w:r>
      <w:r w:rsidR="001E136C" w:rsidRPr="00D35B04">
        <w:rPr>
          <w:rFonts w:ascii="Times New Roman" w:hAnsi="Times New Roman"/>
          <w:sz w:val="24"/>
        </w:rPr>
        <w:t xml:space="preserve">at </w:t>
      </w:r>
      <w:r w:rsidR="00FF563E" w:rsidRPr="00D35B04">
        <w:rPr>
          <w:rFonts w:ascii="Times New Roman" w:hAnsi="Times New Roman"/>
          <w:sz w:val="24"/>
        </w:rPr>
        <w:t xml:space="preserve">341-342 </w:t>
      </w:r>
      <w:r w:rsidR="00247506" w:rsidRPr="00D35B04">
        <w:rPr>
          <w:rFonts w:ascii="Times New Roman" w:hAnsi="Times New Roman"/>
          <w:sz w:val="24"/>
        </w:rPr>
        <w:t>[31]-</w:t>
      </w:r>
      <w:r w:rsidR="001E136C" w:rsidRPr="00D35B04">
        <w:rPr>
          <w:rFonts w:ascii="Times New Roman" w:hAnsi="Times New Roman"/>
          <w:sz w:val="24"/>
        </w:rPr>
        <w:t>[32];</w:t>
      </w:r>
      <w:r w:rsidR="00FF563E" w:rsidRPr="00D35B04">
        <w:rPr>
          <w:rFonts w:ascii="Times New Roman" w:hAnsi="Times New Roman"/>
          <w:sz w:val="24"/>
        </w:rPr>
        <w:t xml:space="preserve"> </w:t>
      </w:r>
      <w:r w:rsidR="004E47BF" w:rsidRPr="00D35B04">
        <w:rPr>
          <w:rFonts w:ascii="Times New Roman" w:hAnsi="Times New Roman"/>
          <w:i/>
          <w:iCs/>
          <w:sz w:val="24"/>
        </w:rPr>
        <w:t>Brookfield</w:t>
      </w:r>
      <w:r w:rsidR="004E47BF" w:rsidRPr="00D35B04">
        <w:rPr>
          <w:rFonts w:ascii="Times New Roman" w:hAnsi="Times New Roman"/>
          <w:sz w:val="24"/>
        </w:rPr>
        <w:t xml:space="preserve"> </w:t>
      </w:r>
      <w:r w:rsidR="00E8121E" w:rsidRPr="00D35B04">
        <w:rPr>
          <w:rFonts w:ascii="Times New Roman" w:hAnsi="Times New Roman"/>
          <w:sz w:val="24"/>
        </w:rPr>
        <w:t xml:space="preserve">(2014) 254 CLR 185 </w:t>
      </w:r>
      <w:r w:rsidR="00DC0D15" w:rsidRPr="00D35B04">
        <w:rPr>
          <w:rFonts w:ascii="Times New Roman" w:hAnsi="Times New Roman"/>
          <w:sz w:val="24"/>
        </w:rPr>
        <w:t xml:space="preserve">at </w:t>
      </w:r>
      <w:r w:rsidR="0070397E" w:rsidRPr="00D35B04">
        <w:rPr>
          <w:rFonts w:ascii="Times New Roman" w:hAnsi="Times New Roman"/>
          <w:sz w:val="24"/>
        </w:rPr>
        <w:t xml:space="preserve">226 </w:t>
      </w:r>
      <w:r w:rsidR="004E47BF" w:rsidRPr="00D35B04">
        <w:rPr>
          <w:rFonts w:ascii="Times New Roman" w:hAnsi="Times New Roman"/>
          <w:sz w:val="24"/>
        </w:rPr>
        <w:t>[122]</w:t>
      </w:r>
      <w:r w:rsidR="00372180" w:rsidRPr="00D35B04">
        <w:rPr>
          <w:rFonts w:ascii="Times New Roman" w:hAnsi="Times New Roman"/>
          <w:sz w:val="24"/>
        </w:rPr>
        <w:t xml:space="preserve">. </w:t>
      </w:r>
    </w:p>
  </w:footnote>
  <w:footnote w:id="35">
    <w:p w14:paraId="5791ECC4" w14:textId="4217090E" w:rsidR="00524831" w:rsidRPr="00D35B04" w:rsidRDefault="0052483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Caltex</w:t>
      </w:r>
      <w:r w:rsidR="00B40FC2" w:rsidRPr="00D35B04">
        <w:rPr>
          <w:rFonts w:ascii="Times New Roman" w:hAnsi="Times New Roman"/>
          <w:sz w:val="24"/>
          <w:lang w:val="en-US"/>
        </w:rPr>
        <w:t xml:space="preserve"> (1976) 136 CLR 529 </w:t>
      </w:r>
      <w:r w:rsidRPr="00D35B04">
        <w:rPr>
          <w:rFonts w:ascii="Times New Roman" w:hAnsi="Times New Roman"/>
          <w:sz w:val="24"/>
          <w:lang w:val="en-US"/>
        </w:rPr>
        <w:t xml:space="preserve">at </w:t>
      </w:r>
      <w:r w:rsidR="005A0E17" w:rsidRPr="00D35B04">
        <w:rPr>
          <w:rFonts w:ascii="Times New Roman" w:hAnsi="Times New Roman"/>
          <w:sz w:val="24"/>
          <w:lang w:val="en-US"/>
        </w:rPr>
        <w:t>568</w:t>
      </w:r>
      <w:r w:rsidR="00036B21" w:rsidRPr="00D35B04">
        <w:rPr>
          <w:rFonts w:ascii="Times New Roman" w:hAnsi="Times New Roman"/>
          <w:sz w:val="24"/>
          <w:lang w:val="en-US"/>
        </w:rPr>
        <w:t>,</w:t>
      </w:r>
      <w:r w:rsidR="005A0E17" w:rsidRPr="00D35B04">
        <w:rPr>
          <w:rFonts w:ascii="Times New Roman" w:hAnsi="Times New Roman"/>
          <w:sz w:val="24"/>
          <w:lang w:val="en-US"/>
        </w:rPr>
        <w:t xml:space="preserve"> 591</w:t>
      </w:r>
      <w:r w:rsidR="00036B21" w:rsidRPr="00D35B04">
        <w:rPr>
          <w:rFonts w:ascii="Times New Roman" w:hAnsi="Times New Roman"/>
          <w:sz w:val="24"/>
          <w:lang w:val="en-US"/>
        </w:rPr>
        <w:t>,</w:t>
      </w:r>
      <w:r w:rsidR="005A0E17" w:rsidRPr="00D35B04">
        <w:rPr>
          <w:rFonts w:ascii="Times New Roman" w:hAnsi="Times New Roman"/>
          <w:sz w:val="24"/>
          <w:lang w:val="en-US"/>
        </w:rPr>
        <w:t xml:space="preserve"> quoting </w:t>
      </w:r>
      <w:proofErr w:type="spellStart"/>
      <w:r w:rsidR="005A0E17" w:rsidRPr="00D35B04">
        <w:rPr>
          <w:rFonts w:ascii="Times New Roman" w:hAnsi="Times New Roman"/>
          <w:i/>
          <w:iCs/>
          <w:sz w:val="24"/>
          <w:lang w:val="en-US"/>
        </w:rPr>
        <w:t>Ultramares</w:t>
      </w:r>
      <w:proofErr w:type="spellEnd"/>
      <w:r w:rsidR="005A0E17" w:rsidRPr="00D35B04">
        <w:rPr>
          <w:rFonts w:ascii="Times New Roman" w:hAnsi="Times New Roman"/>
          <w:i/>
          <w:iCs/>
          <w:sz w:val="24"/>
          <w:lang w:val="en-US"/>
        </w:rPr>
        <w:t xml:space="preserve"> Corporation v </w:t>
      </w:r>
      <w:proofErr w:type="spellStart"/>
      <w:r w:rsidR="005A0E17" w:rsidRPr="00D35B04">
        <w:rPr>
          <w:rFonts w:ascii="Times New Roman" w:hAnsi="Times New Roman"/>
          <w:i/>
          <w:iCs/>
          <w:sz w:val="24"/>
          <w:lang w:val="en-US"/>
        </w:rPr>
        <w:t>Touche</w:t>
      </w:r>
      <w:proofErr w:type="spellEnd"/>
      <w:r w:rsidR="005A0E17" w:rsidRPr="00D35B04">
        <w:rPr>
          <w:rFonts w:ascii="Times New Roman" w:hAnsi="Times New Roman"/>
          <w:i/>
          <w:iCs/>
          <w:sz w:val="24"/>
          <w:lang w:val="en-US"/>
        </w:rPr>
        <w:t xml:space="preserve"> </w:t>
      </w:r>
      <w:r w:rsidR="005A0E17" w:rsidRPr="00D35B04">
        <w:rPr>
          <w:rFonts w:ascii="Times New Roman" w:hAnsi="Times New Roman"/>
          <w:sz w:val="24"/>
          <w:lang w:val="en-US"/>
        </w:rPr>
        <w:t>(1931) 174 NE 441 at 444</w:t>
      </w:r>
      <w:r w:rsidR="007E6173" w:rsidRPr="00D35B04">
        <w:rPr>
          <w:rFonts w:ascii="Times New Roman" w:hAnsi="Times New Roman"/>
          <w:sz w:val="24"/>
          <w:lang w:val="en-US"/>
        </w:rPr>
        <w:t>. See also</w:t>
      </w:r>
      <w:r w:rsidRPr="00D35B04">
        <w:rPr>
          <w:rFonts w:ascii="Times New Roman" w:hAnsi="Times New Roman"/>
          <w:sz w:val="24"/>
          <w:lang w:val="en-US"/>
        </w:rPr>
        <w:t xml:space="preserve"> </w:t>
      </w:r>
      <w:r w:rsidRPr="00D35B04">
        <w:rPr>
          <w:rFonts w:ascii="Times New Roman" w:hAnsi="Times New Roman"/>
          <w:i/>
          <w:iCs/>
          <w:sz w:val="24"/>
          <w:lang w:val="en-US"/>
        </w:rPr>
        <w:t>Bryan v Maloney</w:t>
      </w:r>
      <w:r w:rsidRPr="00D35B04">
        <w:rPr>
          <w:rFonts w:ascii="Times New Roman" w:hAnsi="Times New Roman"/>
          <w:sz w:val="24"/>
          <w:lang w:val="en-US"/>
        </w:rPr>
        <w:t xml:space="preserve"> </w:t>
      </w:r>
      <w:r w:rsidR="008C5CCE" w:rsidRPr="00D35B04">
        <w:rPr>
          <w:rFonts w:ascii="Times New Roman" w:hAnsi="Times New Roman"/>
          <w:sz w:val="24"/>
          <w:lang w:val="en-US"/>
        </w:rPr>
        <w:t>(1</w:t>
      </w:r>
      <w:r w:rsidR="003B3857" w:rsidRPr="00D35B04">
        <w:rPr>
          <w:rFonts w:ascii="Times New Roman" w:hAnsi="Times New Roman"/>
          <w:sz w:val="24"/>
          <w:lang w:val="en-US"/>
        </w:rPr>
        <w:t xml:space="preserve">995) 182 CLR </w:t>
      </w:r>
      <w:r w:rsidR="001623B5" w:rsidRPr="00D35B04">
        <w:rPr>
          <w:rFonts w:ascii="Times New Roman" w:hAnsi="Times New Roman"/>
          <w:sz w:val="24"/>
          <w:lang w:val="en-US"/>
        </w:rPr>
        <w:t xml:space="preserve">609 </w:t>
      </w:r>
      <w:r w:rsidRPr="00D35B04">
        <w:rPr>
          <w:rFonts w:ascii="Times New Roman" w:hAnsi="Times New Roman"/>
          <w:sz w:val="24"/>
          <w:lang w:val="en-US"/>
        </w:rPr>
        <w:t>at 618</w:t>
      </w:r>
      <w:r w:rsidR="00A33587" w:rsidRPr="00D35B04">
        <w:rPr>
          <w:rFonts w:ascii="Times New Roman" w:hAnsi="Times New Roman"/>
          <w:sz w:val="24"/>
          <w:lang w:val="en-US"/>
        </w:rPr>
        <w:t>,</w:t>
      </w:r>
      <w:r w:rsidR="001623B5" w:rsidRPr="00D35B04">
        <w:rPr>
          <w:rFonts w:ascii="Times New Roman" w:hAnsi="Times New Roman"/>
          <w:sz w:val="24"/>
          <w:lang w:val="en-US"/>
        </w:rPr>
        <w:t xml:space="preserve"> 632</w:t>
      </w:r>
      <w:r w:rsidR="001A0CEC" w:rsidRPr="00D35B04">
        <w:rPr>
          <w:rFonts w:ascii="Times New Roman" w:hAnsi="Times New Roman"/>
          <w:sz w:val="24"/>
          <w:lang w:val="en-US"/>
        </w:rPr>
        <w:t xml:space="preserve">; </w:t>
      </w:r>
      <w:r w:rsidRPr="00D35B04">
        <w:rPr>
          <w:rFonts w:ascii="Times New Roman" w:hAnsi="Times New Roman"/>
          <w:i/>
          <w:iCs/>
          <w:sz w:val="24"/>
          <w:lang w:val="en-US"/>
        </w:rPr>
        <w:t>Hill v Van Erp</w:t>
      </w:r>
      <w:r w:rsidRPr="00D35B04">
        <w:rPr>
          <w:rFonts w:ascii="Times New Roman" w:hAnsi="Times New Roman"/>
          <w:sz w:val="24"/>
          <w:lang w:val="en-US"/>
        </w:rPr>
        <w:t xml:space="preserve"> </w:t>
      </w:r>
      <w:r w:rsidR="00E16BD2" w:rsidRPr="00D35B04">
        <w:rPr>
          <w:rFonts w:ascii="Times New Roman" w:hAnsi="Times New Roman"/>
          <w:sz w:val="24"/>
          <w:lang w:val="en-US"/>
        </w:rPr>
        <w:t xml:space="preserve">(1997) 188 CLR 159 </w:t>
      </w:r>
      <w:r w:rsidRPr="00D35B04">
        <w:rPr>
          <w:rFonts w:ascii="Times New Roman" w:hAnsi="Times New Roman"/>
          <w:sz w:val="24"/>
          <w:lang w:val="en-US"/>
        </w:rPr>
        <w:t>at 192</w:t>
      </w:r>
      <w:r w:rsidR="0033266D" w:rsidRPr="00D35B04">
        <w:rPr>
          <w:rFonts w:ascii="Times New Roman" w:hAnsi="Times New Roman"/>
          <w:sz w:val="24"/>
          <w:lang w:val="en-US"/>
        </w:rPr>
        <w:t>;</w:t>
      </w:r>
      <w:r w:rsidRPr="00D35B04">
        <w:rPr>
          <w:rFonts w:ascii="Times New Roman" w:hAnsi="Times New Roman"/>
          <w:sz w:val="24"/>
          <w:lang w:val="en-US"/>
        </w:rPr>
        <w:t xml:space="preserve"> </w:t>
      </w:r>
      <w:proofErr w:type="spellStart"/>
      <w:r w:rsidR="0033266D" w:rsidRPr="00D35B04">
        <w:rPr>
          <w:rFonts w:ascii="Times New Roman" w:hAnsi="Times New Roman"/>
          <w:i/>
          <w:iCs/>
          <w:sz w:val="24"/>
          <w:lang w:val="en-US"/>
        </w:rPr>
        <w:t>Perre</w:t>
      </w:r>
      <w:proofErr w:type="spellEnd"/>
      <w:r w:rsidR="0033266D" w:rsidRPr="00D35B04">
        <w:rPr>
          <w:rFonts w:ascii="Times New Roman" w:hAnsi="Times New Roman"/>
          <w:i/>
          <w:iCs/>
          <w:sz w:val="24"/>
          <w:lang w:val="en-US"/>
        </w:rPr>
        <w:t xml:space="preserve"> v </w:t>
      </w:r>
      <w:proofErr w:type="spellStart"/>
      <w:r w:rsidR="0033266D" w:rsidRPr="00D35B04">
        <w:rPr>
          <w:rFonts w:ascii="Times New Roman" w:hAnsi="Times New Roman"/>
          <w:i/>
          <w:iCs/>
          <w:sz w:val="24"/>
          <w:lang w:val="en-US"/>
        </w:rPr>
        <w:t>Apand</w:t>
      </w:r>
      <w:proofErr w:type="spellEnd"/>
      <w:r w:rsidR="0033266D" w:rsidRPr="00D35B04">
        <w:rPr>
          <w:rFonts w:ascii="Times New Roman" w:hAnsi="Times New Roman"/>
          <w:sz w:val="24"/>
          <w:lang w:val="en-US"/>
        </w:rPr>
        <w:t xml:space="preserve"> (1999) 198 CLR 180</w:t>
      </w:r>
      <w:r w:rsidR="00AC4BA9" w:rsidRPr="00D35B04">
        <w:rPr>
          <w:rFonts w:ascii="Times New Roman" w:hAnsi="Times New Roman"/>
          <w:sz w:val="24"/>
          <w:lang w:val="en-US"/>
        </w:rPr>
        <w:t xml:space="preserve"> </w:t>
      </w:r>
      <w:r w:rsidRPr="00D35B04">
        <w:rPr>
          <w:rFonts w:ascii="Times New Roman" w:hAnsi="Times New Roman"/>
          <w:sz w:val="24"/>
          <w:lang w:val="en-US"/>
        </w:rPr>
        <w:t xml:space="preserve">at </w:t>
      </w:r>
      <w:r w:rsidR="00B835FC" w:rsidRPr="00D35B04">
        <w:rPr>
          <w:rFonts w:ascii="Times New Roman" w:hAnsi="Times New Roman"/>
          <w:sz w:val="24"/>
          <w:lang w:val="en-US"/>
        </w:rPr>
        <w:t xml:space="preserve">220-221 </w:t>
      </w:r>
      <w:r w:rsidRPr="00D35B04">
        <w:rPr>
          <w:rFonts w:ascii="Times New Roman" w:hAnsi="Times New Roman"/>
          <w:sz w:val="24"/>
          <w:lang w:val="en-US"/>
        </w:rPr>
        <w:t>[106]</w:t>
      </w:r>
      <w:r w:rsidR="00B835FC" w:rsidRPr="00D35B04">
        <w:rPr>
          <w:rFonts w:ascii="Times New Roman" w:hAnsi="Times New Roman"/>
          <w:sz w:val="24"/>
          <w:lang w:val="en-US"/>
        </w:rPr>
        <w:t>.</w:t>
      </w:r>
    </w:p>
  </w:footnote>
  <w:footnote w:id="36">
    <w:p w14:paraId="1B8685E3" w14:textId="1DC23B65" w:rsidR="00524831" w:rsidRPr="00D35B04" w:rsidRDefault="0052483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B40FC2" w:rsidRPr="00D35B04">
        <w:rPr>
          <w:rFonts w:ascii="Times New Roman" w:hAnsi="Times New Roman"/>
          <w:i/>
          <w:iCs/>
          <w:sz w:val="24"/>
          <w:lang w:val="en-US"/>
        </w:rPr>
        <w:t>Caltex</w:t>
      </w:r>
      <w:r w:rsidR="00B40FC2" w:rsidRPr="00D35B04">
        <w:rPr>
          <w:rFonts w:ascii="Times New Roman" w:hAnsi="Times New Roman"/>
          <w:sz w:val="24"/>
          <w:lang w:val="en-US"/>
        </w:rPr>
        <w:t xml:space="preserve"> (1976) 136 CLR 529 </w:t>
      </w:r>
      <w:r w:rsidRPr="00D35B04">
        <w:rPr>
          <w:rFonts w:ascii="Times New Roman" w:hAnsi="Times New Roman"/>
          <w:sz w:val="24"/>
          <w:lang w:val="en-US"/>
        </w:rPr>
        <w:t xml:space="preserve">at 552, 572; </w:t>
      </w:r>
      <w:r w:rsidR="003B3857" w:rsidRPr="00D35B04">
        <w:rPr>
          <w:rFonts w:ascii="Times New Roman" w:hAnsi="Times New Roman"/>
          <w:i/>
          <w:iCs/>
          <w:sz w:val="24"/>
          <w:lang w:val="en-US"/>
        </w:rPr>
        <w:t>Bryan v Maloney</w:t>
      </w:r>
      <w:r w:rsidR="003B3857" w:rsidRPr="00D35B04">
        <w:rPr>
          <w:rFonts w:ascii="Times New Roman" w:hAnsi="Times New Roman"/>
          <w:sz w:val="24"/>
          <w:lang w:val="en-US"/>
        </w:rPr>
        <w:t xml:space="preserve"> (1995) 182 CLR </w:t>
      </w:r>
      <w:r w:rsidR="001623B5" w:rsidRPr="00D35B04">
        <w:rPr>
          <w:rFonts w:ascii="Times New Roman" w:hAnsi="Times New Roman"/>
          <w:sz w:val="24"/>
          <w:lang w:val="en-US"/>
        </w:rPr>
        <w:t xml:space="preserve">609 </w:t>
      </w:r>
      <w:r w:rsidR="003B3857" w:rsidRPr="00D35B04">
        <w:rPr>
          <w:rFonts w:ascii="Times New Roman" w:hAnsi="Times New Roman"/>
          <w:sz w:val="24"/>
          <w:lang w:val="en-US"/>
        </w:rPr>
        <w:t xml:space="preserve">at </w:t>
      </w:r>
      <w:r w:rsidRPr="00D35B04">
        <w:rPr>
          <w:rFonts w:ascii="Times New Roman" w:hAnsi="Times New Roman"/>
          <w:sz w:val="24"/>
          <w:lang w:val="en-US"/>
        </w:rPr>
        <w:t>618</w:t>
      </w:r>
      <w:r w:rsidR="007077E7" w:rsidRPr="00D35B04">
        <w:rPr>
          <w:rFonts w:ascii="Times New Roman" w:hAnsi="Times New Roman"/>
          <w:sz w:val="24"/>
          <w:lang w:val="en-US"/>
        </w:rPr>
        <w:t xml:space="preserve">; </w:t>
      </w:r>
      <w:r w:rsidR="007077E7" w:rsidRPr="00D35B04">
        <w:rPr>
          <w:rFonts w:ascii="Times New Roman" w:hAnsi="Times New Roman"/>
          <w:i/>
          <w:iCs/>
          <w:sz w:val="24"/>
          <w:lang w:val="en-US"/>
        </w:rPr>
        <w:t>Hill v Van Erp</w:t>
      </w:r>
      <w:r w:rsidR="007077E7" w:rsidRPr="00D35B04">
        <w:rPr>
          <w:rFonts w:ascii="Times New Roman" w:hAnsi="Times New Roman"/>
          <w:sz w:val="24"/>
          <w:lang w:val="en-US"/>
        </w:rPr>
        <w:t xml:space="preserve"> (1997) 188 CLR 159 at </w:t>
      </w:r>
      <w:r w:rsidR="00101FCA" w:rsidRPr="00D35B04">
        <w:rPr>
          <w:rFonts w:ascii="Times New Roman" w:hAnsi="Times New Roman"/>
          <w:sz w:val="24"/>
          <w:lang w:val="en-US"/>
        </w:rPr>
        <w:t xml:space="preserve">180, </w:t>
      </w:r>
      <w:r w:rsidR="007077E7" w:rsidRPr="00D35B04">
        <w:rPr>
          <w:rFonts w:ascii="Times New Roman" w:hAnsi="Times New Roman"/>
          <w:sz w:val="24"/>
          <w:lang w:val="en-US"/>
        </w:rPr>
        <w:t>236</w:t>
      </w:r>
      <w:r w:rsidR="00385E61" w:rsidRPr="00D35B04">
        <w:rPr>
          <w:rFonts w:ascii="Times New Roman" w:hAnsi="Times New Roman"/>
          <w:sz w:val="24"/>
          <w:lang w:val="en-US"/>
        </w:rPr>
        <w:t>.</w:t>
      </w:r>
      <w:r w:rsidR="003127F5" w:rsidRPr="00D35B04">
        <w:rPr>
          <w:rFonts w:ascii="Times New Roman" w:hAnsi="Times New Roman"/>
          <w:sz w:val="24"/>
          <w:lang w:val="en-US"/>
        </w:rPr>
        <w:t xml:space="preserve"> </w:t>
      </w:r>
      <w:r w:rsidR="00385E61" w:rsidRPr="00D35B04">
        <w:rPr>
          <w:rFonts w:ascii="Times New Roman" w:hAnsi="Times New Roman"/>
          <w:sz w:val="24"/>
          <w:lang w:val="en-US"/>
        </w:rPr>
        <w:t xml:space="preserve">See also </w:t>
      </w:r>
      <w:r w:rsidR="00385E61" w:rsidRPr="00D35B04">
        <w:rPr>
          <w:rFonts w:ascii="Times New Roman" w:hAnsi="Times New Roman"/>
          <w:i/>
          <w:iCs/>
          <w:sz w:val="24"/>
          <w:lang w:val="en-US"/>
        </w:rPr>
        <w:t>Jaensch v Coffey</w:t>
      </w:r>
      <w:r w:rsidR="00385E61" w:rsidRPr="00D35B04">
        <w:rPr>
          <w:rFonts w:ascii="Times New Roman" w:hAnsi="Times New Roman"/>
          <w:sz w:val="24"/>
          <w:lang w:val="en-US"/>
        </w:rPr>
        <w:t xml:space="preserve"> (1984) 155 CLR 549 at 578; </w:t>
      </w:r>
      <w:r w:rsidR="00385E61" w:rsidRPr="00D35B04">
        <w:rPr>
          <w:rFonts w:ascii="Times New Roman" w:hAnsi="Times New Roman"/>
          <w:i/>
          <w:iCs/>
          <w:sz w:val="24"/>
          <w:lang w:val="en-US"/>
        </w:rPr>
        <w:t>Sutherland Shire Council v Heyman</w:t>
      </w:r>
      <w:r w:rsidR="00385E61" w:rsidRPr="00D35B04">
        <w:rPr>
          <w:rFonts w:ascii="Times New Roman" w:hAnsi="Times New Roman"/>
          <w:sz w:val="24"/>
          <w:lang w:val="en-US"/>
        </w:rPr>
        <w:t xml:space="preserve"> (1985) 157 CLR 424 at 503.</w:t>
      </w:r>
    </w:p>
  </w:footnote>
  <w:footnote w:id="37">
    <w:p w14:paraId="13E622EC" w14:textId="56382371" w:rsidR="00524831" w:rsidRPr="00D35B04" w:rsidRDefault="0052483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AF1784" w:rsidRPr="00D35B04">
        <w:rPr>
          <w:rFonts w:ascii="Times New Roman" w:hAnsi="Times New Roman"/>
          <w:i/>
          <w:iCs/>
          <w:sz w:val="24"/>
        </w:rPr>
        <w:t xml:space="preserve">Esanda </w:t>
      </w:r>
      <w:r w:rsidR="00AF1784" w:rsidRPr="00D35B04">
        <w:rPr>
          <w:rFonts w:ascii="Times New Roman" w:hAnsi="Times New Roman"/>
          <w:sz w:val="24"/>
        </w:rPr>
        <w:t>(1997) 188 CLR 241</w:t>
      </w:r>
      <w:r w:rsidR="00967EE9" w:rsidRPr="00D35B04">
        <w:rPr>
          <w:rFonts w:ascii="Times New Roman" w:hAnsi="Times New Roman"/>
          <w:sz w:val="24"/>
        </w:rPr>
        <w:t xml:space="preserve"> </w:t>
      </w:r>
      <w:r w:rsidR="00AF1784" w:rsidRPr="00D35B04">
        <w:rPr>
          <w:rFonts w:ascii="Times New Roman" w:hAnsi="Times New Roman"/>
          <w:sz w:val="24"/>
        </w:rPr>
        <w:t xml:space="preserve">at </w:t>
      </w:r>
      <w:r w:rsidR="008A72DF" w:rsidRPr="00D35B04">
        <w:rPr>
          <w:rFonts w:ascii="Times New Roman" w:hAnsi="Times New Roman"/>
          <w:sz w:val="24"/>
        </w:rPr>
        <w:t xml:space="preserve">249; </w:t>
      </w:r>
      <w:r w:rsidR="00B10D30" w:rsidRPr="00D35B04">
        <w:rPr>
          <w:rFonts w:ascii="Times New Roman" w:hAnsi="Times New Roman"/>
          <w:i/>
          <w:iCs/>
          <w:sz w:val="24"/>
          <w:lang w:val="en-US"/>
        </w:rPr>
        <w:t xml:space="preserve">Woolcock </w:t>
      </w:r>
      <w:r w:rsidR="00B10D30" w:rsidRPr="00D35B04">
        <w:rPr>
          <w:rFonts w:ascii="Times New Roman" w:hAnsi="Times New Roman"/>
          <w:sz w:val="24"/>
          <w:lang w:val="en-US"/>
        </w:rPr>
        <w:t>(2004) 216 CLR 515</w:t>
      </w:r>
      <w:r w:rsidR="00B10D30" w:rsidRPr="00D35B04">
        <w:rPr>
          <w:rFonts w:ascii="Times New Roman" w:hAnsi="Times New Roman"/>
          <w:i/>
          <w:iCs/>
          <w:sz w:val="24"/>
          <w:lang w:val="en-US"/>
        </w:rPr>
        <w:t xml:space="preserve"> </w:t>
      </w:r>
      <w:r w:rsidR="00B10D30" w:rsidRPr="00D35B04">
        <w:rPr>
          <w:rFonts w:ascii="Times New Roman" w:hAnsi="Times New Roman"/>
          <w:sz w:val="24"/>
          <w:lang w:val="en-US"/>
        </w:rPr>
        <w:t xml:space="preserve">at 529-530 </w:t>
      </w:r>
      <w:r w:rsidRPr="00D35B04">
        <w:rPr>
          <w:rFonts w:ascii="Times New Roman" w:hAnsi="Times New Roman"/>
          <w:sz w:val="24"/>
          <w:lang w:val="en-US"/>
        </w:rPr>
        <w:t>[21]</w:t>
      </w:r>
      <w:r w:rsidR="005D7D66" w:rsidRPr="00D35B04">
        <w:rPr>
          <w:rFonts w:ascii="Times New Roman" w:hAnsi="Times New Roman"/>
          <w:sz w:val="24"/>
          <w:lang w:val="en-US"/>
        </w:rPr>
        <w:t>;</w:t>
      </w:r>
      <w:r w:rsidRPr="00D35B04">
        <w:rPr>
          <w:rFonts w:ascii="Times New Roman" w:hAnsi="Times New Roman"/>
          <w:sz w:val="24"/>
          <w:lang w:val="en-US"/>
        </w:rPr>
        <w:t xml:space="preserve"> </w:t>
      </w:r>
      <w:r w:rsidR="00291C42" w:rsidRPr="00D35B04">
        <w:rPr>
          <w:rFonts w:ascii="Times New Roman" w:hAnsi="Times New Roman"/>
          <w:i/>
          <w:iCs/>
          <w:sz w:val="24"/>
          <w:lang w:val="en-US"/>
        </w:rPr>
        <w:t>Brookfield</w:t>
      </w:r>
      <w:r w:rsidR="00291C42" w:rsidRPr="00D35B04">
        <w:rPr>
          <w:rFonts w:ascii="Times New Roman" w:hAnsi="Times New Roman"/>
          <w:sz w:val="24"/>
          <w:lang w:val="en-US"/>
        </w:rPr>
        <w:t xml:space="preserve"> (2014) 254 CLR 185</w:t>
      </w:r>
      <w:r w:rsidRPr="00D35B04">
        <w:rPr>
          <w:rFonts w:ascii="Times New Roman" w:hAnsi="Times New Roman"/>
          <w:sz w:val="24"/>
          <w:lang w:val="en-US"/>
        </w:rPr>
        <w:t xml:space="preserve"> at </w:t>
      </w:r>
      <w:r w:rsidR="009D3EC7" w:rsidRPr="00D35B04">
        <w:rPr>
          <w:rFonts w:ascii="Times New Roman" w:hAnsi="Times New Roman"/>
          <w:sz w:val="24"/>
          <w:lang w:val="en-US"/>
        </w:rPr>
        <w:t xml:space="preserve">214 </w:t>
      </w:r>
      <w:r w:rsidRPr="00D35B04">
        <w:rPr>
          <w:rFonts w:ascii="Times New Roman" w:hAnsi="Times New Roman"/>
          <w:sz w:val="24"/>
          <w:lang w:val="en-US"/>
        </w:rPr>
        <w:t xml:space="preserve">[68]. </w:t>
      </w:r>
    </w:p>
  </w:footnote>
  <w:footnote w:id="38">
    <w:p w14:paraId="5E6B912A" w14:textId="503CCD9F" w:rsidR="00497C91" w:rsidRPr="00D35B04" w:rsidRDefault="00497C9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8A0DFF" w:rsidRPr="00D35B04">
        <w:rPr>
          <w:rFonts w:ascii="Times New Roman" w:hAnsi="Times New Roman"/>
          <w:sz w:val="24"/>
        </w:rPr>
        <w:t>e</w:t>
      </w:r>
      <w:r w:rsidR="00EE7A53" w:rsidRPr="00D35B04">
        <w:rPr>
          <w:rFonts w:ascii="Times New Roman" w:hAnsi="Times New Roman"/>
          <w:sz w:val="24"/>
        </w:rPr>
        <w:t>g</w:t>
      </w:r>
      <w:proofErr w:type="spellEnd"/>
      <w:r w:rsidR="00EE7A53" w:rsidRPr="00D35B04">
        <w:rPr>
          <w:rFonts w:ascii="Times New Roman" w:hAnsi="Times New Roman"/>
          <w:sz w:val="24"/>
        </w:rPr>
        <w:t xml:space="preserve"> </w:t>
      </w:r>
      <w:proofErr w:type="spellStart"/>
      <w:r w:rsidR="00EE7A53" w:rsidRPr="00D35B04">
        <w:rPr>
          <w:rFonts w:ascii="Times New Roman" w:hAnsi="Times New Roman"/>
          <w:i/>
          <w:iCs/>
          <w:sz w:val="24"/>
          <w:lang w:val="en-US"/>
        </w:rPr>
        <w:t>Perre</w:t>
      </w:r>
      <w:proofErr w:type="spellEnd"/>
      <w:r w:rsidR="00EE7A53" w:rsidRPr="00D35B04">
        <w:rPr>
          <w:rFonts w:ascii="Times New Roman" w:hAnsi="Times New Roman"/>
          <w:i/>
          <w:iCs/>
          <w:sz w:val="24"/>
          <w:lang w:val="en-US"/>
        </w:rPr>
        <w:t xml:space="preserve"> v </w:t>
      </w:r>
      <w:proofErr w:type="spellStart"/>
      <w:r w:rsidR="00EE7A53" w:rsidRPr="00D35B04">
        <w:rPr>
          <w:rFonts w:ascii="Times New Roman" w:hAnsi="Times New Roman"/>
          <w:i/>
          <w:iCs/>
          <w:sz w:val="24"/>
          <w:lang w:val="en-US"/>
        </w:rPr>
        <w:t>Apand</w:t>
      </w:r>
      <w:proofErr w:type="spellEnd"/>
      <w:r w:rsidR="00EE7A53" w:rsidRPr="00D35B04">
        <w:rPr>
          <w:rFonts w:ascii="Times New Roman" w:hAnsi="Times New Roman"/>
          <w:i/>
          <w:iCs/>
          <w:sz w:val="24"/>
          <w:lang w:val="en-US"/>
        </w:rPr>
        <w:t xml:space="preserve"> </w:t>
      </w:r>
      <w:r w:rsidR="00EE7A53" w:rsidRPr="00D35B04">
        <w:rPr>
          <w:rFonts w:ascii="Times New Roman" w:hAnsi="Times New Roman"/>
          <w:sz w:val="24"/>
          <w:lang w:val="en-US"/>
        </w:rPr>
        <w:t>(1999) 198 CLR 180</w:t>
      </w:r>
      <w:r w:rsidR="00EE7A53" w:rsidRPr="00D35B04">
        <w:rPr>
          <w:rFonts w:ascii="Times New Roman" w:hAnsi="Times New Roman"/>
          <w:i/>
          <w:iCs/>
          <w:sz w:val="24"/>
          <w:lang w:val="en-US"/>
        </w:rPr>
        <w:t xml:space="preserve"> </w:t>
      </w:r>
      <w:r w:rsidR="00EE7A53" w:rsidRPr="00D35B04">
        <w:rPr>
          <w:rFonts w:ascii="Times New Roman" w:hAnsi="Times New Roman"/>
          <w:sz w:val="24"/>
          <w:lang w:val="en-US"/>
        </w:rPr>
        <w:t>at 192 [5], 198 [27], 207 [66], 213 [83], 222 [111], 231 [132], 241 [168], 248-249 [186], 282 [278], 283 [279], 287 [291], 299-300 [329], 303 [335].</w:t>
      </w:r>
    </w:p>
  </w:footnote>
  <w:footnote w:id="39">
    <w:p w14:paraId="7ED66FED" w14:textId="78763570" w:rsidR="00524831" w:rsidRPr="00D35B04" w:rsidRDefault="0052483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bookmarkStart w:id="4" w:name="_Hlk162174995"/>
      <w:r w:rsidRPr="00D35B04">
        <w:rPr>
          <w:rFonts w:ascii="Times New Roman" w:hAnsi="Times New Roman"/>
          <w:i/>
          <w:iCs/>
          <w:sz w:val="24"/>
          <w:lang w:val="en-US"/>
        </w:rPr>
        <w:t>Woolcock</w:t>
      </w:r>
      <w:r w:rsidR="000B2AF1" w:rsidRPr="00D35B04">
        <w:rPr>
          <w:rFonts w:ascii="Times New Roman" w:hAnsi="Times New Roman"/>
          <w:i/>
          <w:iCs/>
          <w:sz w:val="24"/>
          <w:lang w:val="en-US"/>
        </w:rPr>
        <w:t xml:space="preserve"> </w:t>
      </w:r>
      <w:r w:rsidR="000B2AF1" w:rsidRPr="00D35B04">
        <w:rPr>
          <w:rFonts w:ascii="Times New Roman" w:hAnsi="Times New Roman"/>
          <w:sz w:val="24"/>
          <w:lang w:val="en-US"/>
        </w:rPr>
        <w:t>(2004) 216 CLR 515</w:t>
      </w:r>
      <w:r w:rsidR="000B2AF1" w:rsidRPr="00D35B04">
        <w:rPr>
          <w:rFonts w:ascii="Times New Roman" w:hAnsi="Times New Roman"/>
          <w:i/>
          <w:iCs/>
          <w:sz w:val="24"/>
          <w:lang w:val="en-US"/>
        </w:rPr>
        <w:t xml:space="preserve"> </w:t>
      </w:r>
      <w:bookmarkEnd w:id="4"/>
      <w:r w:rsidR="000B2AF1" w:rsidRPr="00D35B04">
        <w:rPr>
          <w:rFonts w:ascii="Times New Roman" w:hAnsi="Times New Roman"/>
          <w:sz w:val="24"/>
          <w:lang w:val="en-US"/>
        </w:rPr>
        <w:t>at</w:t>
      </w:r>
      <w:r w:rsidRPr="00D35B04">
        <w:rPr>
          <w:rFonts w:ascii="Times New Roman" w:hAnsi="Times New Roman"/>
          <w:sz w:val="24"/>
          <w:lang w:val="en-US"/>
        </w:rPr>
        <w:t xml:space="preserve"> </w:t>
      </w:r>
      <w:r w:rsidR="00BA6CC6" w:rsidRPr="00D35B04">
        <w:rPr>
          <w:rFonts w:ascii="Times New Roman" w:hAnsi="Times New Roman"/>
          <w:sz w:val="24"/>
          <w:lang w:val="en-US"/>
        </w:rPr>
        <w:t xml:space="preserve">548 </w:t>
      </w:r>
      <w:r w:rsidRPr="00D35B04">
        <w:rPr>
          <w:rFonts w:ascii="Times New Roman" w:hAnsi="Times New Roman"/>
          <w:sz w:val="24"/>
          <w:lang w:val="en-US"/>
        </w:rPr>
        <w:t>[77]</w:t>
      </w:r>
      <w:r w:rsidR="004F0F9C" w:rsidRPr="00D35B04">
        <w:rPr>
          <w:rFonts w:ascii="Times New Roman" w:hAnsi="Times New Roman"/>
          <w:sz w:val="24"/>
          <w:lang w:val="en-US"/>
        </w:rPr>
        <w:t xml:space="preserve">; </w:t>
      </w:r>
      <w:r w:rsidR="00291C42" w:rsidRPr="00D35B04">
        <w:rPr>
          <w:rFonts w:ascii="Times New Roman" w:hAnsi="Times New Roman"/>
          <w:i/>
          <w:iCs/>
          <w:sz w:val="24"/>
          <w:lang w:val="en-US"/>
        </w:rPr>
        <w:t>Brookfield</w:t>
      </w:r>
      <w:r w:rsidR="00291C42" w:rsidRPr="00D35B04">
        <w:rPr>
          <w:rFonts w:ascii="Times New Roman" w:hAnsi="Times New Roman"/>
          <w:sz w:val="24"/>
          <w:lang w:val="en-US"/>
        </w:rPr>
        <w:t xml:space="preserve"> (2014) 254 CLR 185</w:t>
      </w:r>
      <w:r w:rsidR="009035A1" w:rsidRPr="00D35B04">
        <w:rPr>
          <w:rFonts w:ascii="Times New Roman" w:hAnsi="Times New Roman"/>
          <w:sz w:val="24"/>
          <w:lang w:val="en-US"/>
        </w:rPr>
        <w:t xml:space="preserve"> </w:t>
      </w:r>
      <w:r w:rsidRPr="00D35B04">
        <w:rPr>
          <w:rFonts w:ascii="Times New Roman" w:hAnsi="Times New Roman"/>
          <w:sz w:val="24"/>
          <w:lang w:val="en-US"/>
        </w:rPr>
        <w:t xml:space="preserve">at </w:t>
      </w:r>
      <w:r w:rsidR="009D3EC7" w:rsidRPr="00D35B04">
        <w:rPr>
          <w:rFonts w:ascii="Times New Roman" w:hAnsi="Times New Roman"/>
          <w:sz w:val="24"/>
          <w:lang w:val="en-US"/>
        </w:rPr>
        <w:t xml:space="preserve">214 </w:t>
      </w:r>
      <w:r w:rsidRPr="00D35B04">
        <w:rPr>
          <w:rFonts w:ascii="Times New Roman" w:hAnsi="Times New Roman"/>
          <w:sz w:val="24"/>
          <w:lang w:val="en-US"/>
        </w:rPr>
        <w:t>[68]</w:t>
      </w:r>
      <w:r w:rsidR="008F30DD" w:rsidRPr="00D35B04">
        <w:rPr>
          <w:rFonts w:ascii="Times New Roman" w:hAnsi="Times New Roman"/>
          <w:sz w:val="24"/>
          <w:lang w:val="en-US"/>
        </w:rPr>
        <w:t>.</w:t>
      </w:r>
    </w:p>
  </w:footnote>
  <w:footnote w:id="40">
    <w:p w14:paraId="143F5204" w14:textId="77777777" w:rsidR="00B75396" w:rsidRPr="00D35B04" w:rsidRDefault="00B75396"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Hill v Van Erp</w:t>
      </w:r>
      <w:r w:rsidRPr="00D35B04">
        <w:rPr>
          <w:rFonts w:ascii="Times New Roman" w:hAnsi="Times New Roman"/>
          <w:sz w:val="24"/>
          <w:lang w:val="en-US"/>
        </w:rPr>
        <w:t xml:space="preserve"> (1997) 188 CLR 159 at 229.</w:t>
      </w:r>
    </w:p>
  </w:footnote>
  <w:footnote w:id="41">
    <w:p w14:paraId="5C3A1F05" w14:textId="35D56BC4" w:rsidR="00B75396" w:rsidRPr="00D35B04" w:rsidRDefault="00B75396"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t xml:space="preserve">See </w:t>
      </w:r>
      <w:r w:rsidR="007170A0" w:rsidRPr="00D35B04">
        <w:rPr>
          <w:rFonts w:ascii="Times New Roman" w:hAnsi="Times New Roman"/>
          <w:i/>
          <w:iCs/>
          <w:sz w:val="24"/>
          <w:lang w:val="en-US"/>
        </w:rPr>
        <w:t xml:space="preserve">Mutual Life </w:t>
      </w:r>
      <w:r w:rsidR="00D41FDE" w:rsidRPr="00D35B04">
        <w:rPr>
          <w:rFonts w:ascii="Times New Roman" w:hAnsi="Times New Roman"/>
          <w:i/>
          <w:iCs/>
          <w:sz w:val="24"/>
          <w:lang w:val="en-US"/>
        </w:rPr>
        <w:t xml:space="preserve">&amp; </w:t>
      </w:r>
      <w:r w:rsidR="007170A0" w:rsidRPr="00D35B04">
        <w:rPr>
          <w:rFonts w:ascii="Times New Roman" w:hAnsi="Times New Roman"/>
          <w:i/>
          <w:iCs/>
          <w:sz w:val="24"/>
          <w:lang w:val="en-US"/>
        </w:rPr>
        <w:t>Citizens' Assurance Co Ltd v Evatt</w:t>
      </w:r>
      <w:r w:rsidR="001202FA" w:rsidRPr="00D35B04">
        <w:rPr>
          <w:rFonts w:ascii="Times New Roman" w:hAnsi="Times New Roman"/>
          <w:sz w:val="24"/>
          <w:lang w:val="en-US"/>
        </w:rPr>
        <w:t xml:space="preserve"> </w:t>
      </w:r>
      <w:r w:rsidR="00F648D9" w:rsidRPr="00D35B04">
        <w:rPr>
          <w:rFonts w:ascii="Times New Roman" w:hAnsi="Times New Roman"/>
          <w:sz w:val="24"/>
          <w:lang w:val="en-US"/>
        </w:rPr>
        <w:t>(1968) 122 CLR 556 at 570, 584, 617</w:t>
      </w:r>
      <w:r w:rsidR="007170A0" w:rsidRPr="00D35B04">
        <w:rPr>
          <w:rFonts w:ascii="Times New Roman" w:hAnsi="Times New Roman"/>
          <w:sz w:val="24"/>
          <w:lang w:val="en-US"/>
        </w:rPr>
        <w:t xml:space="preserve"> ("</w:t>
      </w:r>
      <w:r w:rsidR="007170A0" w:rsidRPr="00D35B04">
        <w:rPr>
          <w:rFonts w:ascii="Times New Roman" w:hAnsi="Times New Roman"/>
          <w:i/>
          <w:iCs/>
          <w:sz w:val="24"/>
          <w:lang w:val="en-US"/>
        </w:rPr>
        <w:t>MLC</w:t>
      </w:r>
      <w:r w:rsidR="007170A0" w:rsidRPr="00D35B04">
        <w:rPr>
          <w:rFonts w:ascii="Times New Roman" w:hAnsi="Times New Roman"/>
          <w:sz w:val="24"/>
          <w:lang w:val="en-US"/>
        </w:rPr>
        <w:t>")</w:t>
      </w:r>
      <w:r w:rsidR="00F648D9" w:rsidRPr="00D35B04">
        <w:rPr>
          <w:rFonts w:ascii="Times New Roman" w:hAnsi="Times New Roman"/>
          <w:sz w:val="24"/>
          <w:lang w:val="en-US"/>
        </w:rPr>
        <w:t xml:space="preserve">; </w:t>
      </w:r>
      <w:r w:rsidR="007F4D5E" w:rsidRPr="00D35B04">
        <w:rPr>
          <w:rFonts w:ascii="Times New Roman" w:hAnsi="Times New Roman"/>
          <w:i/>
          <w:iCs/>
          <w:sz w:val="24"/>
          <w:lang w:val="en-US"/>
        </w:rPr>
        <w:t xml:space="preserve">Shaddock &amp; Associates Pty Ltd v Parramatta City Council </w:t>
      </w:r>
      <w:r w:rsidR="000157B2" w:rsidRPr="00D35B04">
        <w:rPr>
          <w:rFonts w:ascii="Times New Roman" w:hAnsi="Times New Roman"/>
          <w:i/>
          <w:iCs/>
          <w:sz w:val="24"/>
          <w:lang w:val="en-US"/>
        </w:rPr>
        <w:t>[</w:t>
      </w:r>
      <w:r w:rsidR="007F4D5E" w:rsidRPr="00D35B04">
        <w:rPr>
          <w:rFonts w:ascii="Times New Roman" w:hAnsi="Times New Roman"/>
          <w:i/>
          <w:iCs/>
          <w:sz w:val="24"/>
          <w:lang w:val="en-US"/>
        </w:rPr>
        <w:t>No</w:t>
      </w:r>
      <w:r w:rsidR="000D03DF" w:rsidRPr="00D35B04">
        <w:rPr>
          <w:rFonts w:ascii="Times New Roman" w:hAnsi="Times New Roman"/>
          <w:i/>
          <w:iCs/>
          <w:sz w:val="24"/>
          <w:lang w:val="en-US"/>
        </w:rPr>
        <w:t> </w:t>
      </w:r>
      <w:r w:rsidR="007F4D5E" w:rsidRPr="00D35B04">
        <w:rPr>
          <w:rFonts w:ascii="Times New Roman" w:hAnsi="Times New Roman"/>
          <w:i/>
          <w:iCs/>
          <w:sz w:val="24"/>
          <w:lang w:val="en-US"/>
        </w:rPr>
        <w:t>1</w:t>
      </w:r>
      <w:r w:rsidR="000157B2" w:rsidRPr="00D35B04">
        <w:rPr>
          <w:rFonts w:ascii="Times New Roman" w:hAnsi="Times New Roman"/>
          <w:i/>
          <w:iCs/>
          <w:sz w:val="24"/>
          <w:lang w:val="en-US"/>
        </w:rPr>
        <w:t>]</w:t>
      </w:r>
      <w:r w:rsidR="006557F5" w:rsidRPr="00D35B04">
        <w:rPr>
          <w:rFonts w:ascii="Times New Roman" w:hAnsi="Times New Roman"/>
          <w:sz w:val="24"/>
          <w:lang w:val="en-US"/>
        </w:rPr>
        <w:t xml:space="preserve"> </w:t>
      </w:r>
      <w:r w:rsidR="00425F4A" w:rsidRPr="00D35B04">
        <w:rPr>
          <w:rFonts w:ascii="Times New Roman" w:hAnsi="Times New Roman"/>
          <w:sz w:val="24"/>
          <w:lang w:val="en-US"/>
        </w:rPr>
        <w:t>(1981)</w:t>
      </w:r>
      <w:r w:rsidR="007607F0" w:rsidRPr="00D35B04">
        <w:rPr>
          <w:rFonts w:ascii="Times New Roman" w:hAnsi="Times New Roman"/>
          <w:sz w:val="24"/>
          <w:lang w:val="en-US"/>
        </w:rPr>
        <w:t xml:space="preserve"> 150 CLR 225 </w:t>
      </w:r>
      <w:r w:rsidR="00D76922" w:rsidRPr="00D35B04">
        <w:rPr>
          <w:rFonts w:ascii="Times New Roman" w:hAnsi="Times New Roman"/>
          <w:sz w:val="24"/>
          <w:lang w:val="en-US"/>
        </w:rPr>
        <w:t xml:space="preserve">at </w:t>
      </w:r>
      <w:r w:rsidR="007A6C31" w:rsidRPr="00D35B04">
        <w:rPr>
          <w:rFonts w:ascii="Times New Roman" w:hAnsi="Times New Roman"/>
          <w:sz w:val="24"/>
          <w:lang w:val="en-US"/>
        </w:rPr>
        <w:t>235, 243, 248-250</w:t>
      </w:r>
      <w:r w:rsidR="007607F0" w:rsidRPr="00D35B04">
        <w:rPr>
          <w:rFonts w:ascii="Times New Roman" w:hAnsi="Times New Roman"/>
          <w:sz w:val="24"/>
          <w:lang w:val="en-US"/>
        </w:rPr>
        <w:t xml:space="preserve"> ("</w:t>
      </w:r>
      <w:r w:rsidR="007607F0" w:rsidRPr="00D35B04">
        <w:rPr>
          <w:rFonts w:ascii="Times New Roman" w:hAnsi="Times New Roman"/>
          <w:i/>
          <w:iCs/>
          <w:sz w:val="24"/>
          <w:lang w:val="en-US"/>
        </w:rPr>
        <w:t>Shaddock</w:t>
      </w:r>
      <w:r w:rsidR="007607F0" w:rsidRPr="00D35B04">
        <w:rPr>
          <w:rFonts w:ascii="Times New Roman" w:hAnsi="Times New Roman"/>
          <w:sz w:val="24"/>
          <w:lang w:val="en-US"/>
        </w:rPr>
        <w:t>")</w:t>
      </w:r>
      <w:r w:rsidR="006557F5" w:rsidRPr="00D35B04">
        <w:rPr>
          <w:rFonts w:ascii="Times New Roman" w:hAnsi="Times New Roman"/>
          <w:sz w:val="24"/>
          <w:lang w:val="en-US"/>
        </w:rPr>
        <w:t xml:space="preserve">; </w:t>
      </w:r>
      <w:r w:rsidRPr="00D35B04">
        <w:rPr>
          <w:rFonts w:ascii="Times New Roman" w:hAnsi="Times New Roman"/>
          <w:i/>
          <w:iCs/>
          <w:sz w:val="24"/>
          <w:lang w:val="en-US"/>
        </w:rPr>
        <w:t>San Sebastian Pty Ltd v Minister Administering the Environmental Planning and Assessment Act 1979</w:t>
      </w:r>
      <w:r w:rsidRPr="00D35B04">
        <w:rPr>
          <w:rFonts w:ascii="Times New Roman" w:hAnsi="Times New Roman"/>
          <w:sz w:val="24"/>
          <w:lang w:val="en-US"/>
        </w:rPr>
        <w:t xml:space="preserve"> (1986) 162 CLR 340 at 357; </w:t>
      </w:r>
      <w:r w:rsidR="00425F4A" w:rsidRPr="00D35B04">
        <w:rPr>
          <w:rFonts w:ascii="Times New Roman" w:hAnsi="Times New Roman"/>
          <w:i/>
          <w:iCs/>
          <w:sz w:val="24"/>
          <w:lang w:val="en-US"/>
        </w:rPr>
        <w:t>Bryan v Maloney</w:t>
      </w:r>
      <w:r w:rsidR="00425F4A" w:rsidRPr="00D35B04">
        <w:rPr>
          <w:rFonts w:ascii="Times New Roman" w:hAnsi="Times New Roman"/>
          <w:sz w:val="24"/>
          <w:lang w:val="en-US"/>
        </w:rPr>
        <w:t xml:space="preserve"> (1995) 182 CLR </w:t>
      </w:r>
      <w:r w:rsidR="00107F87" w:rsidRPr="00D35B04">
        <w:rPr>
          <w:rFonts w:ascii="Times New Roman" w:hAnsi="Times New Roman"/>
          <w:sz w:val="24"/>
          <w:lang w:val="en-US"/>
        </w:rPr>
        <w:t>609</w:t>
      </w:r>
      <w:r w:rsidR="00425F4A" w:rsidRPr="00D35B04">
        <w:rPr>
          <w:rFonts w:ascii="Times New Roman" w:hAnsi="Times New Roman"/>
          <w:sz w:val="24"/>
          <w:lang w:val="en-US"/>
        </w:rPr>
        <w:t xml:space="preserve"> at 627; </w:t>
      </w:r>
      <w:r w:rsidRPr="00D35B04">
        <w:rPr>
          <w:rFonts w:ascii="Times New Roman" w:hAnsi="Times New Roman"/>
          <w:i/>
          <w:iCs/>
          <w:sz w:val="24"/>
        </w:rPr>
        <w:t xml:space="preserve">Esanda </w:t>
      </w:r>
      <w:r w:rsidRPr="00D35B04">
        <w:rPr>
          <w:rFonts w:ascii="Times New Roman" w:hAnsi="Times New Roman"/>
          <w:sz w:val="24"/>
        </w:rPr>
        <w:t>(1997) 188 CLR 241 at 257-258</w:t>
      </w:r>
      <w:r w:rsidR="009E029A" w:rsidRPr="00D35B04">
        <w:rPr>
          <w:rFonts w:ascii="Times New Roman" w:hAnsi="Times New Roman"/>
          <w:sz w:val="24"/>
        </w:rPr>
        <w:t>, 275</w:t>
      </w:r>
      <w:r w:rsidRPr="00D35B04">
        <w:rPr>
          <w:rFonts w:ascii="Times New Roman" w:hAnsi="Times New Roman"/>
          <w:sz w:val="24"/>
        </w:rPr>
        <w:t xml:space="preserve">; </w:t>
      </w:r>
      <w:r w:rsidRPr="00D35B04">
        <w:rPr>
          <w:rFonts w:ascii="Times New Roman" w:hAnsi="Times New Roman"/>
          <w:i/>
          <w:iCs/>
          <w:sz w:val="24"/>
          <w:lang w:val="en-US"/>
        </w:rPr>
        <w:t>Hill v Van Erp</w:t>
      </w:r>
      <w:r w:rsidRPr="00D35B04">
        <w:rPr>
          <w:rFonts w:ascii="Times New Roman" w:hAnsi="Times New Roman"/>
          <w:sz w:val="24"/>
          <w:lang w:val="en-US"/>
        </w:rPr>
        <w:t xml:space="preserve"> (1997) 188 CLR 159 at 170, 210-211, 230-231; </w:t>
      </w:r>
      <w:r w:rsidRPr="00D35B04">
        <w:rPr>
          <w:rFonts w:ascii="Times New Roman" w:hAnsi="Times New Roman"/>
          <w:i/>
          <w:iCs/>
          <w:sz w:val="24"/>
          <w:lang w:val="en-US"/>
        </w:rPr>
        <w:t>Brookfield</w:t>
      </w:r>
      <w:r w:rsidRPr="00D35B04">
        <w:rPr>
          <w:rFonts w:ascii="Times New Roman" w:hAnsi="Times New Roman"/>
          <w:sz w:val="24"/>
          <w:lang w:val="en-US"/>
        </w:rPr>
        <w:t xml:space="preserve"> (2014) 254 CLR 185 at </w:t>
      </w:r>
      <w:r w:rsidR="00DA3F57" w:rsidRPr="00D35B04">
        <w:rPr>
          <w:rFonts w:ascii="Times New Roman" w:hAnsi="Times New Roman"/>
          <w:sz w:val="24"/>
          <w:lang w:val="en-US"/>
        </w:rPr>
        <w:t>20</w:t>
      </w:r>
      <w:r w:rsidR="00112811" w:rsidRPr="00D35B04">
        <w:rPr>
          <w:rFonts w:ascii="Times New Roman" w:hAnsi="Times New Roman"/>
          <w:sz w:val="24"/>
          <w:lang w:val="en-US"/>
        </w:rPr>
        <w:t xml:space="preserve">2 [27], </w:t>
      </w:r>
      <w:r w:rsidRPr="00D35B04">
        <w:rPr>
          <w:rFonts w:ascii="Times New Roman" w:hAnsi="Times New Roman"/>
          <w:sz w:val="24"/>
          <w:lang w:val="en-US"/>
        </w:rPr>
        <w:t>226 [122], 233 [143], 235 [150]</w:t>
      </w:r>
      <w:r w:rsidR="00560B2D" w:rsidRPr="00D35B04">
        <w:rPr>
          <w:rFonts w:ascii="Times New Roman" w:hAnsi="Times New Roman"/>
          <w:sz w:val="24"/>
          <w:lang w:val="en-US"/>
        </w:rPr>
        <w:t>, 243 [180]</w:t>
      </w:r>
      <w:r w:rsidRPr="00D35B04">
        <w:rPr>
          <w:rFonts w:ascii="Times New Roman" w:hAnsi="Times New Roman"/>
          <w:sz w:val="24"/>
          <w:lang w:val="en-US"/>
        </w:rPr>
        <w:t xml:space="preserve">; </w:t>
      </w:r>
      <w:r w:rsidRPr="00D35B04">
        <w:rPr>
          <w:rFonts w:ascii="Times New Roman" w:hAnsi="Times New Roman"/>
          <w:i/>
          <w:iCs/>
          <w:sz w:val="24"/>
          <w:lang w:val="en-US"/>
        </w:rPr>
        <w:t>Swick</w:t>
      </w:r>
      <w:r w:rsidR="00D61E0A" w:rsidRPr="00D35B04">
        <w:rPr>
          <w:rFonts w:ascii="Times New Roman" w:hAnsi="Times New Roman"/>
          <w:i/>
          <w:iCs/>
          <w:sz w:val="24"/>
          <w:lang w:val="en-US"/>
        </w:rPr>
        <w:t xml:space="preserve"> Nominees Pty Ltd v Le</w:t>
      </w:r>
      <w:r w:rsidR="001F009B" w:rsidRPr="00D35B04">
        <w:rPr>
          <w:rFonts w:ascii="Times New Roman" w:hAnsi="Times New Roman"/>
          <w:i/>
          <w:iCs/>
          <w:sz w:val="24"/>
          <w:lang w:val="en-US"/>
        </w:rPr>
        <w:t>R</w:t>
      </w:r>
      <w:r w:rsidR="00D61E0A" w:rsidRPr="00D35B04">
        <w:rPr>
          <w:rFonts w:ascii="Times New Roman" w:hAnsi="Times New Roman"/>
          <w:i/>
          <w:iCs/>
          <w:sz w:val="24"/>
          <w:lang w:val="en-US"/>
        </w:rPr>
        <w:t>oi International Inc</w:t>
      </w:r>
      <w:r w:rsidR="00BD334D" w:rsidRPr="00D35B04">
        <w:rPr>
          <w:rFonts w:ascii="Times New Roman" w:hAnsi="Times New Roman"/>
          <w:i/>
          <w:iCs/>
          <w:sz w:val="24"/>
          <w:lang w:val="en-US"/>
        </w:rPr>
        <w:t xml:space="preserve"> [No</w:t>
      </w:r>
      <w:r w:rsidR="000D03DF" w:rsidRPr="00D35B04">
        <w:rPr>
          <w:rFonts w:ascii="Times New Roman" w:hAnsi="Times New Roman"/>
          <w:i/>
          <w:iCs/>
          <w:sz w:val="24"/>
          <w:lang w:val="en-US"/>
        </w:rPr>
        <w:t> </w:t>
      </w:r>
      <w:r w:rsidR="00BD334D" w:rsidRPr="00D35B04">
        <w:rPr>
          <w:rFonts w:ascii="Times New Roman" w:hAnsi="Times New Roman"/>
          <w:i/>
          <w:iCs/>
          <w:sz w:val="24"/>
          <w:lang w:val="en-US"/>
        </w:rPr>
        <w:t>2]</w:t>
      </w:r>
      <w:r w:rsidR="00D61E0A" w:rsidRPr="00D35B04">
        <w:rPr>
          <w:rFonts w:ascii="Times New Roman" w:hAnsi="Times New Roman"/>
          <w:sz w:val="24"/>
          <w:lang w:val="en-US"/>
        </w:rPr>
        <w:t xml:space="preserve"> </w:t>
      </w:r>
      <w:r w:rsidRPr="00D35B04">
        <w:rPr>
          <w:rFonts w:ascii="Times New Roman" w:hAnsi="Times New Roman"/>
          <w:sz w:val="24"/>
          <w:lang w:val="en-US"/>
        </w:rPr>
        <w:t>(2015) 48 WAR 376 at 449-450 [389]-[391]</w:t>
      </w:r>
      <w:r w:rsidR="00D61E0A" w:rsidRPr="00D35B04">
        <w:rPr>
          <w:rFonts w:ascii="Times New Roman" w:hAnsi="Times New Roman"/>
          <w:sz w:val="24"/>
          <w:lang w:val="en-US"/>
        </w:rPr>
        <w:t xml:space="preserve"> ("</w:t>
      </w:r>
      <w:r w:rsidR="00D61E0A" w:rsidRPr="00D35B04">
        <w:rPr>
          <w:rFonts w:ascii="Times New Roman" w:hAnsi="Times New Roman"/>
          <w:i/>
          <w:iCs/>
          <w:sz w:val="24"/>
          <w:lang w:val="en-US"/>
        </w:rPr>
        <w:t>Swick</w:t>
      </w:r>
      <w:r w:rsidR="00D61E0A" w:rsidRPr="00D35B04">
        <w:rPr>
          <w:rFonts w:ascii="Times New Roman" w:hAnsi="Times New Roman"/>
          <w:sz w:val="24"/>
          <w:lang w:val="en-US"/>
        </w:rPr>
        <w:t>")</w:t>
      </w:r>
      <w:r w:rsidRPr="00D35B04">
        <w:rPr>
          <w:rFonts w:ascii="Times New Roman" w:hAnsi="Times New Roman"/>
          <w:sz w:val="24"/>
          <w:lang w:val="en-US"/>
        </w:rPr>
        <w:t xml:space="preserve">. </w:t>
      </w:r>
      <w:r w:rsidR="007D54F6" w:rsidRPr="00D35B04">
        <w:rPr>
          <w:rFonts w:ascii="Times New Roman" w:hAnsi="Times New Roman"/>
          <w:sz w:val="24"/>
          <w:lang w:val="en-US"/>
        </w:rPr>
        <w:t xml:space="preserve">See also </w:t>
      </w:r>
      <w:r w:rsidR="00CA69A3" w:rsidRPr="00D35B04">
        <w:rPr>
          <w:rFonts w:ascii="Times New Roman" w:hAnsi="Times New Roman"/>
          <w:sz w:val="24"/>
          <w:lang w:val="en-US"/>
        </w:rPr>
        <w:t xml:space="preserve">Nolan, "Assumption of Responsibility: Four Questions" (2019) 72 </w:t>
      </w:r>
      <w:r w:rsidR="00CA69A3" w:rsidRPr="00D35B04">
        <w:rPr>
          <w:rFonts w:ascii="Times New Roman" w:hAnsi="Times New Roman"/>
          <w:i/>
          <w:iCs/>
          <w:sz w:val="24"/>
          <w:lang w:val="en-US"/>
        </w:rPr>
        <w:t>Current Legal Problems</w:t>
      </w:r>
      <w:r w:rsidR="00CA69A3" w:rsidRPr="00D35B04">
        <w:rPr>
          <w:rFonts w:ascii="Times New Roman" w:hAnsi="Times New Roman"/>
          <w:sz w:val="24"/>
          <w:lang w:val="en-US"/>
        </w:rPr>
        <w:t xml:space="preserve"> 123 at 128-140</w:t>
      </w:r>
      <w:r w:rsidR="0071494D" w:rsidRPr="00D35B04">
        <w:rPr>
          <w:rFonts w:ascii="Times New Roman" w:hAnsi="Times New Roman"/>
          <w:sz w:val="24"/>
          <w:lang w:val="en-US"/>
        </w:rPr>
        <w:t>.</w:t>
      </w:r>
    </w:p>
  </w:footnote>
  <w:footnote w:id="42">
    <w:p w14:paraId="04A5B253" w14:textId="77777777" w:rsidR="006F0D85" w:rsidRPr="00D35B04" w:rsidRDefault="006F0D85"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r w:rsidRPr="00D35B04">
        <w:rPr>
          <w:rFonts w:ascii="Times New Roman" w:hAnsi="Times New Roman"/>
          <w:i/>
          <w:iCs/>
          <w:sz w:val="24"/>
          <w:lang w:val="en-US"/>
        </w:rPr>
        <w:t>Shaddock</w:t>
      </w:r>
      <w:r w:rsidRPr="00D35B04">
        <w:rPr>
          <w:rFonts w:ascii="Times New Roman" w:hAnsi="Times New Roman"/>
          <w:sz w:val="24"/>
          <w:lang w:val="en-US"/>
        </w:rPr>
        <w:t xml:space="preserve"> (1981) 150 CLR 225 at 231. See also </w:t>
      </w:r>
      <w:r w:rsidRPr="00D35B04">
        <w:rPr>
          <w:rFonts w:ascii="Times New Roman" w:hAnsi="Times New Roman"/>
          <w:i/>
          <w:iCs/>
          <w:sz w:val="24"/>
          <w:lang w:val="en-US"/>
        </w:rPr>
        <w:t>MLC</w:t>
      </w:r>
      <w:r w:rsidRPr="00D35B04">
        <w:rPr>
          <w:rFonts w:ascii="Times New Roman" w:hAnsi="Times New Roman"/>
          <w:sz w:val="24"/>
          <w:lang w:val="en-US"/>
        </w:rPr>
        <w:t xml:space="preserve"> (1968) 122 CLR 556 at 585, 587, 614-615, 617.</w:t>
      </w:r>
    </w:p>
  </w:footnote>
  <w:footnote w:id="43">
    <w:p w14:paraId="6B915AA2" w14:textId="6AB6B0EA" w:rsidR="004B3A47" w:rsidRPr="00D35B04" w:rsidRDefault="004B3A47"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t xml:space="preserve">(2001) 207 CLR 562 at </w:t>
      </w:r>
      <w:r w:rsidR="00B75B5C" w:rsidRPr="00D35B04">
        <w:rPr>
          <w:rFonts w:ascii="Times New Roman" w:hAnsi="Times New Roman"/>
          <w:sz w:val="24"/>
          <w:lang w:val="en-US"/>
        </w:rPr>
        <w:t>5</w:t>
      </w:r>
      <w:r w:rsidRPr="00D35B04">
        <w:rPr>
          <w:rFonts w:ascii="Times New Roman" w:hAnsi="Times New Roman"/>
          <w:sz w:val="24"/>
          <w:lang w:val="en-US"/>
        </w:rPr>
        <w:t>79-</w:t>
      </w:r>
      <w:r w:rsidR="00B75B5C" w:rsidRPr="00D35B04">
        <w:rPr>
          <w:rFonts w:ascii="Times New Roman" w:hAnsi="Times New Roman"/>
          <w:sz w:val="24"/>
          <w:lang w:val="en-US"/>
        </w:rPr>
        <w:t>5</w:t>
      </w:r>
      <w:r w:rsidRPr="00D35B04">
        <w:rPr>
          <w:rFonts w:ascii="Times New Roman" w:hAnsi="Times New Roman"/>
          <w:sz w:val="24"/>
          <w:lang w:val="en-US"/>
        </w:rPr>
        <w:t xml:space="preserve">80 [50]. See also </w:t>
      </w:r>
      <w:r w:rsidRPr="00D35B04">
        <w:rPr>
          <w:rFonts w:ascii="Times New Roman" w:hAnsi="Times New Roman"/>
          <w:i/>
          <w:iCs/>
          <w:sz w:val="24"/>
          <w:lang w:val="en-US"/>
        </w:rPr>
        <w:t>Brookfield</w:t>
      </w:r>
      <w:r w:rsidRPr="00D35B04">
        <w:rPr>
          <w:rFonts w:ascii="Times New Roman" w:hAnsi="Times New Roman"/>
          <w:sz w:val="24"/>
          <w:lang w:val="en-US"/>
        </w:rPr>
        <w:t xml:space="preserve"> (2014) 254 CLR 185 at 208 [48], 240 [169], 241 [174].</w:t>
      </w:r>
    </w:p>
  </w:footnote>
  <w:footnote w:id="44">
    <w:p w14:paraId="55C3A0A6" w14:textId="6B133681" w:rsidR="0018054C" w:rsidRPr="00D35B04" w:rsidRDefault="0018054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r w:rsidRPr="00D35B04">
        <w:rPr>
          <w:rFonts w:ascii="Times New Roman" w:hAnsi="Times New Roman"/>
          <w:sz w:val="24"/>
          <w:lang w:val="en-US"/>
        </w:rPr>
        <w:t xml:space="preserve">Witting, </w:t>
      </w:r>
      <w:r w:rsidR="0032785A" w:rsidRPr="00D35B04">
        <w:rPr>
          <w:rFonts w:ascii="Times New Roman" w:hAnsi="Times New Roman"/>
          <w:sz w:val="24"/>
          <w:lang w:val="en-US"/>
        </w:rPr>
        <w:t>"</w:t>
      </w:r>
      <w:r w:rsidRPr="00D35B04">
        <w:rPr>
          <w:rFonts w:ascii="Times New Roman" w:hAnsi="Times New Roman"/>
          <w:sz w:val="24"/>
          <w:lang w:val="en-US"/>
        </w:rPr>
        <w:t>The Three</w:t>
      </w:r>
      <w:r w:rsidR="0032785A" w:rsidRPr="00D35B04">
        <w:rPr>
          <w:rFonts w:ascii="Times New Roman" w:hAnsi="Times New Roman"/>
          <w:sz w:val="24"/>
          <w:lang w:val="en-US"/>
        </w:rPr>
        <w:t>-</w:t>
      </w:r>
      <w:r w:rsidRPr="00D35B04">
        <w:rPr>
          <w:rFonts w:ascii="Times New Roman" w:hAnsi="Times New Roman"/>
          <w:sz w:val="24"/>
          <w:lang w:val="en-US"/>
        </w:rPr>
        <w:t>Stage Test Abandoned in Australia</w:t>
      </w:r>
      <w:r w:rsidR="00304526" w:rsidRPr="00D35B04">
        <w:rPr>
          <w:rFonts w:ascii="Times New Roman" w:hAnsi="Times New Roman"/>
          <w:sz w:val="24"/>
          <w:lang w:val="en-US"/>
        </w:rPr>
        <w:t>—</w:t>
      </w:r>
      <w:r w:rsidRPr="00D35B04">
        <w:rPr>
          <w:rFonts w:ascii="Times New Roman" w:hAnsi="Times New Roman"/>
          <w:sz w:val="24"/>
          <w:lang w:val="en-US"/>
        </w:rPr>
        <w:t>Or Not?</w:t>
      </w:r>
      <w:r w:rsidR="0032785A" w:rsidRPr="00D35B04">
        <w:rPr>
          <w:rFonts w:ascii="Times New Roman" w:hAnsi="Times New Roman"/>
          <w:sz w:val="24"/>
          <w:lang w:val="en-US"/>
        </w:rPr>
        <w:t>"</w:t>
      </w:r>
      <w:r w:rsidRPr="00D35B04">
        <w:rPr>
          <w:rFonts w:ascii="Times New Roman" w:hAnsi="Times New Roman"/>
          <w:sz w:val="24"/>
          <w:lang w:val="en-US"/>
        </w:rPr>
        <w:t xml:space="preserve"> (2002) 118 </w:t>
      </w:r>
      <w:r w:rsidRPr="00D35B04">
        <w:rPr>
          <w:rFonts w:ascii="Times New Roman" w:hAnsi="Times New Roman"/>
          <w:i/>
          <w:iCs/>
          <w:sz w:val="24"/>
          <w:lang w:val="en-US"/>
        </w:rPr>
        <w:t>L</w:t>
      </w:r>
      <w:r w:rsidR="00304526" w:rsidRPr="00D35B04">
        <w:rPr>
          <w:rFonts w:ascii="Times New Roman" w:hAnsi="Times New Roman"/>
          <w:i/>
          <w:iCs/>
          <w:sz w:val="24"/>
          <w:lang w:val="en-US"/>
        </w:rPr>
        <w:t xml:space="preserve">aw </w:t>
      </w:r>
      <w:r w:rsidRPr="00D35B04">
        <w:rPr>
          <w:rFonts w:ascii="Times New Roman" w:hAnsi="Times New Roman"/>
          <w:i/>
          <w:iCs/>
          <w:sz w:val="24"/>
          <w:lang w:val="en-US"/>
        </w:rPr>
        <w:t>Q</w:t>
      </w:r>
      <w:r w:rsidR="00304526" w:rsidRPr="00D35B04">
        <w:rPr>
          <w:rFonts w:ascii="Times New Roman" w:hAnsi="Times New Roman"/>
          <w:i/>
          <w:iCs/>
          <w:sz w:val="24"/>
          <w:lang w:val="en-US"/>
        </w:rPr>
        <w:t xml:space="preserve">uarterly </w:t>
      </w:r>
      <w:r w:rsidRPr="00D35B04">
        <w:rPr>
          <w:rFonts w:ascii="Times New Roman" w:hAnsi="Times New Roman"/>
          <w:i/>
          <w:iCs/>
          <w:sz w:val="24"/>
          <w:lang w:val="en-US"/>
        </w:rPr>
        <w:t>R</w:t>
      </w:r>
      <w:r w:rsidR="00304526" w:rsidRPr="00D35B04">
        <w:rPr>
          <w:rFonts w:ascii="Times New Roman" w:hAnsi="Times New Roman"/>
          <w:i/>
          <w:iCs/>
          <w:sz w:val="24"/>
          <w:lang w:val="en-US"/>
        </w:rPr>
        <w:t>eview</w:t>
      </w:r>
      <w:r w:rsidRPr="00D35B04">
        <w:rPr>
          <w:rFonts w:ascii="Times New Roman" w:hAnsi="Times New Roman"/>
          <w:sz w:val="24"/>
          <w:lang w:val="en-US"/>
        </w:rPr>
        <w:t xml:space="preserve"> 214 at 217-218; Barker, "Negligent Misstatement in Australia—Resolving the Uncertain Legacy of </w:t>
      </w:r>
      <w:r w:rsidRPr="00D35B04">
        <w:rPr>
          <w:rFonts w:ascii="Times New Roman" w:hAnsi="Times New Roman"/>
          <w:i/>
          <w:iCs/>
          <w:sz w:val="24"/>
          <w:lang w:val="en-US"/>
        </w:rPr>
        <w:t>Esanda</w:t>
      </w:r>
      <w:r w:rsidRPr="00D35B04">
        <w:rPr>
          <w:rFonts w:ascii="Times New Roman" w:hAnsi="Times New Roman"/>
          <w:sz w:val="24"/>
          <w:lang w:val="en-US"/>
        </w:rPr>
        <w:t>"</w:t>
      </w:r>
      <w:r w:rsidR="00242DF9" w:rsidRPr="00D35B04">
        <w:rPr>
          <w:rFonts w:ascii="Times New Roman" w:hAnsi="Times New Roman"/>
          <w:sz w:val="24"/>
          <w:lang w:val="en-US"/>
        </w:rPr>
        <w:t>,</w:t>
      </w:r>
      <w:r w:rsidRPr="00D35B04">
        <w:rPr>
          <w:rFonts w:ascii="Times New Roman" w:hAnsi="Times New Roman"/>
          <w:sz w:val="24"/>
          <w:lang w:val="en-US"/>
        </w:rPr>
        <w:t xml:space="preserve"> in Barker, Grantham and Swain (eds), </w:t>
      </w:r>
      <w:r w:rsidRPr="00D35B04">
        <w:rPr>
          <w:rFonts w:ascii="Times New Roman" w:hAnsi="Times New Roman"/>
          <w:i/>
          <w:iCs/>
          <w:sz w:val="24"/>
          <w:lang w:val="en-US"/>
        </w:rPr>
        <w:t>The Law of Misstatements: 50 Years on from Hedley Byrne v Heller</w:t>
      </w:r>
      <w:r w:rsidRPr="00D35B04">
        <w:rPr>
          <w:rFonts w:ascii="Times New Roman" w:hAnsi="Times New Roman"/>
          <w:sz w:val="24"/>
          <w:lang w:val="en-US"/>
        </w:rPr>
        <w:t xml:space="preserve"> (2015) 3</w:t>
      </w:r>
      <w:r w:rsidR="001234C9" w:rsidRPr="00D35B04">
        <w:rPr>
          <w:rFonts w:ascii="Times New Roman" w:hAnsi="Times New Roman"/>
          <w:sz w:val="24"/>
          <w:lang w:val="en-US"/>
        </w:rPr>
        <w:t>19</w:t>
      </w:r>
      <w:r w:rsidRPr="00D35B04">
        <w:rPr>
          <w:rFonts w:ascii="Times New Roman" w:hAnsi="Times New Roman"/>
          <w:sz w:val="24"/>
          <w:lang w:val="en-US"/>
        </w:rPr>
        <w:t xml:space="preserve"> at 342; Robertson, "Proximity: Divergence and Unity"</w:t>
      </w:r>
      <w:r w:rsidR="001234C9" w:rsidRPr="00D35B04">
        <w:rPr>
          <w:rFonts w:ascii="Times New Roman" w:hAnsi="Times New Roman"/>
          <w:sz w:val="24"/>
          <w:lang w:val="en-US"/>
        </w:rPr>
        <w:t>,</w:t>
      </w:r>
      <w:r w:rsidRPr="00D35B04">
        <w:rPr>
          <w:rFonts w:ascii="Times New Roman" w:hAnsi="Times New Roman"/>
          <w:sz w:val="24"/>
          <w:lang w:val="en-US"/>
        </w:rPr>
        <w:t xml:space="preserve"> in Robertson and Tilbury (eds), </w:t>
      </w:r>
      <w:r w:rsidRPr="00D35B04">
        <w:rPr>
          <w:rFonts w:ascii="Times New Roman" w:hAnsi="Times New Roman"/>
          <w:i/>
          <w:iCs/>
          <w:sz w:val="24"/>
          <w:lang w:val="en-US"/>
        </w:rPr>
        <w:t>Divergences in Private Law</w:t>
      </w:r>
      <w:r w:rsidRPr="00D35B04">
        <w:rPr>
          <w:rFonts w:ascii="Times New Roman" w:hAnsi="Times New Roman"/>
          <w:sz w:val="24"/>
          <w:lang w:val="en-US"/>
        </w:rPr>
        <w:t xml:space="preserve"> (2016) </w:t>
      </w:r>
      <w:r w:rsidR="000F7405" w:rsidRPr="00D35B04">
        <w:rPr>
          <w:rFonts w:ascii="Times New Roman" w:hAnsi="Times New Roman"/>
          <w:sz w:val="24"/>
          <w:lang w:val="en-US"/>
        </w:rPr>
        <w:t xml:space="preserve">9 </w:t>
      </w:r>
      <w:r w:rsidRPr="00D35B04">
        <w:rPr>
          <w:rFonts w:ascii="Times New Roman" w:hAnsi="Times New Roman"/>
          <w:sz w:val="24"/>
          <w:lang w:val="en-US"/>
        </w:rPr>
        <w:t xml:space="preserve">at 33-34; Plunkett, </w:t>
      </w:r>
      <w:r w:rsidRPr="00D35B04">
        <w:rPr>
          <w:rFonts w:ascii="Times New Roman" w:hAnsi="Times New Roman"/>
          <w:i/>
          <w:iCs/>
          <w:sz w:val="24"/>
          <w:lang w:val="en-US"/>
        </w:rPr>
        <w:t>The Duty of Care in Negligence</w:t>
      </w:r>
      <w:r w:rsidRPr="00D35B04">
        <w:rPr>
          <w:rFonts w:ascii="Times New Roman" w:hAnsi="Times New Roman"/>
          <w:sz w:val="24"/>
          <w:lang w:val="en-US"/>
        </w:rPr>
        <w:t xml:space="preserve"> (2018) at 69; Davies, Malkin and Voon, </w:t>
      </w:r>
      <w:r w:rsidRPr="00D35B04">
        <w:rPr>
          <w:rFonts w:ascii="Times New Roman" w:hAnsi="Times New Roman"/>
          <w:i/>
          <w:iCs/>
          <w:sz w:val="24"/>
          <w:lang w:val="en-US"/>
        </w:rPr>
        <w:t>Torts</w:t>
      </w:r>
      <w:r w:rsidR="000F7405" w:rsidRPr="00D35B04">
        <w:rPr>
          <w:rFonts w:ascii="Times New Roman" w:hAnsi="Times New Roman"/>
          <w:sz w:val="24"/>
          <w:lang w:val="en-US"/>
        </w:rPr>
        <w:t>, 10th ed</w:t>
      </w:r>
      <w:r w:rsidR="00E112D0" w:rsidRPr="00D35B04">
        <w:rPr>
          <w:rFonts w:ascii="Times New Roman" w:hAnsi="Times New Roman"/>
          <w:sz w:val="24"/>
          <w:lang w:val="en-US"/>
        </w:rPr>
        <w:t xml:space="preserve"> </w:t>
      </w:r>
      <w:r w:rsidRPr="00D35B04">
        <w:rPr>
          <w:rFonts w:ascii="Times New Roman" w:hAnsi="Times New Roman"/>
          <w:sz w:val="24"/>
          <w:lang w:val="en-US"/>
        </w:rPr>
        <w:t>(2024) at 329-330.</w:t>
      </w:r>
    </w:p>
  </w:footnote>
  <w:footnote w:id="45">
    <w:p w14:paraId="4CF6DE44" w14:textId="47FBCD52" w:rsidR="0018054C" w:rsidRPr="00D35B04" w:rsidRDefault="0018054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t xml:space="preserve">See, for example, </w:t>
      </w:r>
      <w:r w:rsidRPr="00D35B04">
        <w:rPr>
          <w:rFonts w:ascii="Times New Roman" w:hAnsi="Times New Roman"/>
          <w:i/>
          <w:iCs/>
          <w:sz w:val="24"/>
          <w:lang w:val="en-US"/>
        </w:rPr>
        <w:t xml:space="preserve">Crimmins v Stevedoring </w:t>
      </w:r>
      <w:r w:rsidR="007465BF" w:rsidRPr="00D35B04">
        <w:rPr>
          <w:rFonts w:ascii="Times New Roman" w:hAnsi="Times New Roman"/>
          <w:i/>
          <w:iCs/>
          <w:sz w:val="24"/>
          <w:lang w:val="en-US"/>
        </w:rPr>
        <w:t xml:space="preserve">Industry Finance </w:t>
      </w:r>
      <w:r w:rsidRPr="00D35B04">
        <w:rPr>
          <w:rFonts w:ascii="Times New Roman" w:hAnsi="Times New Roman"/>
          <w:i/>
          <w:iCs/>
          <w:sz w:val="24"/>
          <w:lang w:val="en-US"/>
        </w:rPr>
        <w:t>Committee</w:t>
      </w:r>
      <w:r w:rsidRPr="00D35B04">
        <w:rPr>
          <w:rFonts w:ascii="Times New Roman" w:hAnsi="Times New Roman"/>
          <w:sz w:val="24"/>
          <w:lang w:val="en-US"/>
        </w:rPr>
        <w:t xml:space="preserve"> (1999) 200 CLR 1</w:t>
      </w:r>
      <w:r w:rsidRPr="00D35B04" w:rsidDel="001B48A4">
        <w:rPr>
          <w:rFonts w:ascii="Times New Roman" w:hAnsi="Times New Roman"/>
          <w:sz w:val="24"/>
          <w:lang w:val="en-US"/>
        </w:rPr>
        <w:t xml:space="preserve"> </w:t>
      </w:r>
      <w:r w:rsidRPr="00D35B04">
        <w:rPr>
          <w:rFonts w:ascii="Times New Roman" w:hAnsi="Times New Roman"/>
          <w:sz w:val="24"/>
          <w:lang w:val="en-US"/>
        </w:rPr>
        <w:t xml:space="preserve">at 13 [3], 33-34 [77]; </w:t>
      </w:r>
      <w:r w:rsidR="000A3D15" w:rsidRPr="00D35B04">
        <w:rPr>
          <w:rFonts w:ascii="Times New Roman" w:hAnsi="Times New Roman"/>
          <w:i/>
          <w:iCs/>
          <w:sz w:val="24"/>
          <w:lang w:val="en-US"/>
        </w:rPr>
        <w:t>Howard Smith &amp; Patrick Travel Pty Ltd v Comcare</w:t>
      </w:r>
      <w:r w:rsidR="000A3D15" w:rsidRPr="00D35B04">
        <w:rPr>
          <w:rFonts w:ascii="Times New Roman" w:hAnsi="Times New Roman"/>
          <w:sz w:val="24"/>
          <w:lang w:val="en-US"/>
        </w:rPr>
        <w:t xml:space="preserve"> [2014] NSWCA 215 at [36]; </w:t>
      </w:r>
      <w:r w:rsidRPr="00D35B04">
        <w:rPr>
          <w:rFonts w:ascii="Times New Roman" w:hAnsi="Times New Roman"/>
          <w:i/>
          <w:iCs/>
          <w:sz w:val="24"/>
          <w:lang w:val="en-US"/>
        </w:rPr>
        <w:t xml:space="preserve">Swick </w:t>
      </w:r>
      <w:r w:rsidRPr="00D35B04">
        <w:rPr>
          <w:rFonts w:ascii="Times New Roman" w:hAnsi="Times New Roman"/>
          <w:sz w:val="24"/>
          <w:lang w:val="en-US"/>
        </w:rPr>
        <w:t>(2015) 48 WAR 376 at 448-449 [385]-[386]</w:t>
      </w:r>
      <w:r w:rsidR="00D61E0A" w:rsidRPr="00D35B04">
        <w:rPr>
          <w:rFonts w:ascii="Times New Roman" w:hAnsi="Times New Roman"/>
          <w:sz w:val="24"/>
          <w:lang w:val="en-US"/>
        </w:rPr>
        <w:t>.</w:t>
      </w:r>
      <w:r w:rsidRPr="00D35B04">
        <w:rPr>
          <w:rFonts w:ascii="Times New Roman" w:hAnsi="Times New Roman"/>
          <w:sz w:val="24"/>
          <w:lang w:val="en-US"/>
        </w:rPr>
        <w:t xml:space="preserve">  </w:t>
      </w:r>
    </w:p>
  </w:footnote>
  <w:footnote w:id="46">
    <w:p w14:paraId="6C1FEC8B" w14:textId="3E1CE32B" w:rsidR="0014138D" w:rsidRPr="00D35B04" w:rsidRDefault="0014138D" w:rsidP="00D35B04">
      <w:pPr>
        <w:pStyle w:val="FootnoteText"/>
        <w:spacing w:line="280" w:lineRule="exact"/>
        <w:ind w:right="0"/>
        <w:jc w:val="both"/>
        <w:rPr>
          <w:rFonts w:ascii="Times New Roman" w:hAnsi="Times New Roman"/>
          <w:i/>
          <w:iCs/>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 xml:space="preserve">Crimmins v Stevedoring </w:t>
      </w:r>
      <w:r w:rsidR="00D17607" w:rsidRPr="00D35B04">
        <w:rPr>
          <w:rFonts w:ascii="Times New Roman" w:hAnsi="Times New Roman"/>
          <w:i/>
          <w:iCs/>
          <w:sz w:val="24"/>
          <w:lang w:val="en-US"/>
        </w:rPr>
        <w:t xml:space="preserve">Industry Finance </w:t>
      </w:r>
      <w:r w:rsidRPr="00D35B04">
        <w:rPr>
          <w:rFonts w:ascii="Times New Roman" w:hAnsi="Times New Roman"/>
          <w:i/>
          <w:iCs/>
          <w:sz w:val="24"/>
          <w:lang w:val="en-US"/>
        </w:rPr>
        <w:t xml:space="preserve">Committee </w:t>
      </w:r>
      <w:r w:rsidRPr="00D35B04">
        <w:rPr>
          <w:rFonts w:ascii="Times New Roman" w:hAnsi="Times New Roman"/>
          <w:sz w:val="24"/>
          <w:lang w:val="en-US"/>
        </w:rPr>
        <w:t>(1999) 200 CLR 1 at 33</w:t>
      </w:r>
      <w:r w:rsidR="00D17607" w:rsidRPr="00D35B04">
        <w:rPr>
          <w:rFonts w:ascii="Times New Roman" w:hAnsi="Times New Roman"/>
          <w:sz w:val="24"/>
          <w:lang w:val="en-US"/>
        </w:rPr>
        <w:t>-34</w:t>
      </w:r>
      <w:r w:rsidRPr="00D35B04">
        <w:rPr>
          <w:rFonts w:ascii="Times New Roman" w:hAnsi="Times New Roman"/>
          <w:sz w:val="24"/>
          <w:lang w:val="en-US"/>
        </w:rPr>
        <w:t xml:space="preserve"> [77]</w:t>
      </w:r>
      <w:r w:rsidRPr="00D35B04">
        <w:rPr>
          <w:rFonts w:ascii="Times New Roman" w:hAnsi="Times New Roman"/>
          <w:i/>
          <w:iCs/>
          <w:sz w:val="24"/>
          <w:lang w:val="en-US"/>
        </w:rPr>
        <w:t xml:space="preserve">. </w:t>
      </w:r>
    </w:p>
  </w:footnote>
  <w:footnote w:id="47">
    <w:p w14:paraId="35B9A800" w14:textId="77777777" w:rsidR="0018054C" w:rsidRPr="00D35B04" w:rsidRDefault="0018054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Brookfield</w:t>
      </w:r>
      <w:r w:rsidRPr="00D35B04">
        <w:rPr>
          <w:rFonts w:ascii="Times New Roman" w:hAnsi="Times New Roman"/>
          <w:sz w:val="24"/>
          <w:lang w:val="en-US"/>
        </w:rPr>
        <w:t xml:space="preserve"> (2014) 254 CLR 185 at 230 [134].</w:t>
      </w:r>
    </w:p>
  </w:footnote>
  <w:footnote w:id="48">
    <w:p w14:paraId="2E6EE4EA" w14:textId="6BE2AAA1" w:rsidR="0018054C" w:rsidRPr="00D35B04" w:rsidRDefault="0018054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A5309C" w:rsidRPr="00D35B04">
        <w:rPr>
          <w:rFonts w:ascii="Times New Roman" w:hAnsi="Times New Roman"/>
          <w:i/>
          <w:iCs/>
          <w:sz w:val="24"/>
          <w:lang w:val="en-US"/>
        </w:rPr>
        <w:t>Sullivan v Moody</w:t>
      </w:r>
      <w:r w:rsidR="00A5309C" w:rsidRPr="00D35B04">
        <w:rPr>
          <w:rFonts w:ascii="Times New Roman" w:hAnsi="Times New Roman"/>
          <w:sz w:val="24"/>
          <w:lang w:val="en-US"/>
        </w:rPr>
        <w:t xml:space="preserve"> (2001) 207 CLR 562 at </w:t>
      </w:r>
      <w:r w:rsidR="00E62539" w:rsidRPr="00D35B04">
        <w:rPr>
          <w:rFonts w:ascii="Times New Roman" w:hAnsi="Times New Roman"/>
          <w:sz w:val="24"/>
          <w:lang w:val="en-US"/>
        </w:rPr>
        <w:t>5</w:t>
      </w:r>
      <w:r w:rsidR="00A5309C" w:rsidRPr="00D35B04">
        <w:rPr>
          <w:rFonts w:ascii="Times New Roman" w:hAnsi="Times New Roman"/>
          <w:sz w:val="24"/>
          <w:lang w:val="en-US"/>
        </w:rPr>
        <w:t>79-</w:t>
      </w:r>
      <w:r w:rsidR="00E62539" w:rsidRPr="00D35B04">
        <w:rPr>
          <w:rFonts w:ascii="Times New Roman" w:hAnsi="Times New Roman"/>
          <w:sz w:val="24"/>
          <w:lang w:val="en-US"/>
        </w:rPr>
        <w:t>5</w:t>
      </w:r>
      <w:r w:rsidR="00A5309C" w:rsidRPr="00D35B04">
        <w:rPr>
          <w:rFonts w:ascii="Times New Roman" w:hAnsi="Times New Roman"/>
          <w:sz w:val="24"/>
          <w:lang w:val="en-US"/>
        </w:rPr>
        <w:t xml:space="preserve">80 [50]; </w:t>
      </w:r>
      <w:r w:rsidRPr="00D35B04">
        <w:rPr>
          <w:rFonts w:ascii="Times New Roman" w:hAnsi="Times New Roman"/>
          <w:i/>
          <w:iCs/>
          <w:sz w:val="24"/>
          <w:lang w:val="en-US"/>
        </w:rPr>
        <w:t>Brookfield</w:t>
      </w:r>
      <w:r w:rsidRPr="00D35B04">
        <w:rPr>
          <w:rFonts w:ascii="Times New Roman" w:hAnsi="Times New Roman"/>
          <w:sz w:val="24"/>
          <w:lang w:val="en-US"/>
        </w:rPr>
        <w:t xml:space="preserve"> (2014) 254 CLR 185 at 201-202 [25], 214 [69]</w:t>
      </w:r>
      <w:r w:rsidR="00A5309C" w:rsidRPr="00D35B04">
        <w:rPr>
          <w:rFonts w:ascii="Times New Roman" w:hAnsi="Times New Roman"/>
          <w:sz w:val="24"/>
          <w:lang w:val="en-US"/>
        </w:rPr>
        <w:t>.</w:t>
      </w:r>
    </w:p>
  </w:footnote>
  <w:footnote w:id="49">
    <w:p w14:paraId="4BA543F0" w14:textId="5CD52FEF" w:rsidR="00B34B41" w:rsidRPr="00D35B04" w:rsidRDefault="00B34B41"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2B7748" w:rsidRPr="00D35B04">
        <w:rPr>
          <w:rFonts w:ascii="Times New Roman" w:hAnsi="Times New Roman"/>
          <w:i/>
          <w:iCs/>
          <w:sz w:val="24"/>
          <w:lang w:val="en-US"/>
        </w:rPr>
        <w:t xml:space="preserve">Woolcock </w:t>
      </w:r>
      <w:r w:rsidR="002B7748" w:rsidRPr="00D35B04">
        <w:rPr>
          <w:rFonts w:ascii="Times New Roman" w:hAnsi="Times New Roman"/>
          <w:sz w:val="24"/>
          <w:lang w:val="en-US"/>
        </w:rPr>
        <w:t>(2004) 216 CLR 515</w:t>
      </w:r>
      <w:r w:rsidR="002B7748" w:rsidRPr="00D35B04">
        <w:rPr>
          <w:rFonts w:ascii="Times New Roman" w:hAnsi="Times New Roman"/>
          <w:i/>
          <w:iCs/>
          <w:sz w:val="24"/>
          <w:lang w:val="en-US"/>
        </w:rPr>
        <w:t xml:space="preserve"> </w:t>
      </w:r>
      <w:r w:rsidR="003F0ECC" w:rsidRPr="00D35B04">
        <w:rPr>
          <w:rFonts w:ascii="Times New Roman" w:hAnsi="Times New Roman"/>
          <w:sz w:val="24"/>
          <w:lang w:val="en-US"/>
        </w:rPr>
        <w:t xml:space="preserve">at </w:t>
      </w:r>
      <w:r w:rsidR="00D4402E" w:rsidRPr="00D35B04">
        <w:rPr>
          <w:rFonts w:ascii="Times New Roman" w:hAnsi="Times New Roman"/>
          <w:sz w:val="24"/>
          <w:lang w:val="en-US"/>
        </w:rPr>
        <w:t xml:space="preserve">530 </w:t>
      </w:r>
      <w:r w:rsidRPr="00D35B04">
        <w:rPr>
          <w:rFonts w:ascii="Times New Roman" w:hAnsi="Times New Roman"/>
          <w:sz w:val="24"/>
          <w:lang w:val="en-US"/>
        </w:rPr>
        <w:t>[22]</w:t>
      </w:r>
      <w:r w:rsidR="00120EB1" w:rsidRPr="00D35B04">
        <w:rPr>
          <w:rFonts w:ascii="Times New Roman" w:hAnsi="Times New Roman"/>
          <w:sz w:val="24"/>
          <w:lang w:val="en-US"/>
        </w:rPr>
        <w:t>,</w:t>
      </w:r>
      <w:r w:rsidRPr="00D35B04">
        <w:rPr>
          <w:rFonts w:ascii="Times New Roman" w:hAnsi="Times New Roman"/>
          <w:sz w:val="24"/>
          <w:lang w:val="en-US"/>
        </w:rPr>
        <w:t xml:space="preserve"> </w:t>
      </w:r>
      <w:r w:rsidR="00D4402E" w:rsidRPr="00D35B04">
        <w:rPr>
          <w:rFonts w:ascii="Times New Roman" w:hAnsi="Times New Roman"/>
          <w:sz w:val="24"/>
          <w:lang w:val="en-US"/>
        </w:rPr>
        <w:t xml:space="preserve">550 </w:t>
      </w:r>
      <w:r w:rsidRPr="00D35B04">
        <w:rPr>
          <w:rFonts w:ascii="Times New Roman" w:hAnsi="Times New Roman"/>
          <w:sz w:val="24"/>
          <w:lang w:val="en-US"/>
        </w:rPr>
        <w:t>[87]</w:t>
      </w:r>
      <w:r w:rsidR="003F0ECC" w:rsidRPr="00D35B04">
        <w:rPr>
          <w:rFonts w:ascii="Times New Roman" w:hAnsi="Times New Roman"/>
          <w:sz w:val="24"/>
          <w:lang w:val="en-US"/>
        </w:rPr>
        <w:t xml:space="preserve">; </w:t>
      </w:r>
      <w:r w:rsidR="003F0ECC" w:rsidRPr="00D35B04">
        <w:rPr>
          <w:rFonts w:ascii="Times New Roman" w:hAnsi="Times New Roman"/>
          <w:i/>
          <w:iCs/>
          <w:sz w:val="24"/>
          <w:lang w:val="en-US"/>
        </w:rPr>
        <w:t>Barclay</w:t>
      </w:r>
      <w:r w:rsidR="003F0ECC" w:rsidRPr="00D35B04">
        <w:rPr>
          <w:rFonts w:ascii="Times New Roman" w:hAnsi="Times New Roman"/>
          <w:sz w:val="24"/>
          <w:lang w:val="en-US"/>
        </w:rPr>
        <w:t xml:space="preserve"> </w:t>
      </w:r>
      <w:bookmarkStart w:id="6" w:name="_Hlk162176022"/>
      <w:r w:rsidR="000923DC" w:rsidRPr="00D35B04">
        <w:rPr>
          <w:rFonts w:ascii="Times New Roman" w:hAnsi="Times New Roman"/>
          <w:i/>
          <w:iCs/>
          <w:sz w:val="24"/>
          <w:lang w:val="en-US"/>
        </w:rPr>
        <w:t>v Penberthy</w:t>
      </w:r>
      <w:r w:rsidR="000923DC" w:rsidRPr="00D35B04">
        <w:rPr>
          <w:rFonts w:ascii="Times New Roman" w:hAnsi="Times New Roman"/>
          <w:sz w:val="24"/>
          <w:lang w:val="en-US"/>
        </w:rPr>
        <w:t xml:space="preserve"> </w:t>
      </w:r>
      <w:r w:rsidR="00C40003" w:rsidRPr="00D35B04">
        <w:rPr>
          <w:rFonts w:ascii="Times New Roman" w:hAnsi="Times New Roman"/>
          <w:sz w:val="24"/>
          <w:lang w:val="en-US"/>
        </w:rPr>
        <w:t xml:space="preserve">(2012) 246 CLR 258 </w:t>
      </w:r>
      <w:r w:rsidR="003F0ECC" w:rsidRPr="00D35B04">
        <w:rPr>
          <w:rFonts w:ascii="Times New Roman" w:hAnsi="Times New Roman"/>
          <w:sz w:val="24"/>
          <w:lang w:val="en-US"/>
        </w:rPr>
        <w:t xml:space="preserve">at </w:t>
      </w:r>
      <w:r w:rsidR="00715453" w:rsidRPr="00D35B04">
        <w:rPr>
          <w:rFonts w:ascii="Times New Roman" w:hAnsi="Times New Roman"/>
          <w:sz w:val="24"/>
          <w:lang w:val="en-US"/>
        </w:rPr>
        <w:t xml:space="preserve">284 </w:t>
      </w:r>
      <w:bookmarkEnd w:id="6"/>
      <w:r w:rsidR="003F0ECC" w:rsidRPr="00D35B04">
        <w:rPr>
          <w:rFonts w:ascii="Times New Roman" w:hAnsi="Times New Roman"/>
          <w:sz w:val="24"/>
          <w:lang w:val="en-US"/>
        </w:rPr>
        <w:t>[42]</w:t>
      </w:r>
      <w:r w:rsidR="00715453" w:rsidRPr="00D35B04">
        <w:rPr>
          <w:rFonts w:ascii="Times New Roman" w:hAnsi="Times New Roman"/>
          <w:sz w:val="24"/>
          <w:lang w:val="en-US"/>
        </w:rPr>
        <w:t>.</w:t>
      </w:r>
    </w:p>
  </w:footnote>
  <w:footnote w:id="50">
    <w:p w14:paraId="724A0C17" w14:textId="55F91903" w:rsidR="00A94D7C" w:rsidRPr="00D35B04" w:rsidRDefault="00A94D7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bookmarkStart w:id="7" w:name="_Hlk162166664"/>
      <w:r w:rsidR="00CC3619" w:rsidRPr="00D35B04">
        <w:rPr>
          <w:rFonts w:ascii="Times New Roman" w:hAnsi="Times New Roman"/>
          <w:sz w:val="24"/>
          <w:lang w:val="en-US"/>
        </w:rPr>
        <w:t>(1999) 198 CLR 180</w:t>
      </w:r>
      <w:r w:rsidR="00CC3619" w:rsidRPr="00D35B04">
        <w:rPr>
          <w:rFonts w:ascii="Times New Roman" w:hAnsi="Times New Roman"/>
          <w:i/>
          <w:iCs/>
          <w:sz w:val="24"/>
          <w:lang w:val="en-US"/>
        </w:rPr>
        <w:t xml:space="preserve"> </w:t>
      </w:r>
      <w:bookmarkEnd w:id="7"/>
      <w:r w:rsidRPr="00D35B04">
        <w:rPr>
          <w:rFonts w:ascii="Times New Roman" w:hAnsi="Times New Roman"/>
          <w:sz w:val="24"/>
          <w:lang w:val="en-US"/>
        </w:rPr>
        <w:t>at</w:t>
      </w:r>
      <w:r w:rsidR="001C0B9F" w:rsidRPr="00D35B04">
        <w:rPr>
          <w:rFonts w:ascii="Times New Roman" w:hAnsi="Times New Roman"/>
          <w:sz w:val="24"/>
          <w:lang w:val="en-US"/>
        </w:rPr>
        <w:t xml:space="preserve"> 230</w:t>
      </w:r>
      <w:r w:rsidRPr="00D35B04">
        <w:rPr>
          <w:rFonts w:ascii="Times New Roman" w:hAnsi="Times New Roman"/>
          <w:sz w:val="24"/>
          <w:lang w:val="en-US"/>
        </w:rPr>
        <w:t xml:space="preserve"> [131]</w:t>
      </w:r>
      <w:r w:rsidR="001C0B9F" w:rsidRPr="00D35B04">
        <w:rPr>
          <w:rFonts w:ascii="Times New Roman" w:hAnsi="Times New Roman"/>
          <w:sz w:val="24"/>
          <w:lang w:val="en-US"/>
        </w:rPr>
        <w:t>.</w:t>
      </w:r>
    </w:p>
  </w:footnote>
  <w:footnote w:id="51">
    <w:p w14:paraId="5A7A3D84" w14:textId="786E1878" w:rsidR="00F83CA1" w:rsidRPr="00D35B04" w:rsidRDefault="00F83CA1"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6201EB" w:rsidRPr="00D35B04">
        <w:rPr>
          <w:rFonts w:ascii="Times New Roman" w:hAnsi="Times New Roman"/>
          <w:i/>
          <w:iCs/>
          <w:sz w:val="24"/>
          <w:lang w:val="en-US"/>
        </w:rPr>
        <w:t>Perre</w:t>
      </w:r>
      <w:proofErr w:type="spellEnd"/>
      <w:r w:rsidR="006201EB" w:rsidRPr="00D35B04">
        <w:rPr>
          <w:rFonts w:ascii="Times New Roman" w:hAnsi="Times New Roman"/>
          <w:i/>
          <w:iCs/>
          <w:sz w:val="24"/>
          <w:lang w:val="en-US"/>
        </w:rPr>
        <w:t xml:space="preserve"> v </w:t>
      </w:r>
      <w:proofErr w:type="spellStart"/>
      <w:r w:rsidR="006201EB" w:rsidRPr="00D35B04">
        <w:rPr>
          <w:rFonts w:ascii="Times New Roman" w:hAnsi="Times New Roman"/>
          <w:i/>
          <w:iCs/>
          <w:sz w:val="24"/>
          <w:lang w:val="en-US"/>
        </w:rPr>
        <w:t>Apand</w:t>
      </w:r>
      <w:proofErr w:type="spellEnd"/>
      <w:r w:rsidR="006201EB" w:rsidRPr="00D35B04">
        <w:rPr>
          <w:rFonts w:ascii="Times New Roman" w:hAnsi="Times New Roman"/>
          <w:i/>
          <w:iCs/>
          <w:sz w:val="24"/>
          <w:lang w:val="en-US"/>
        </w:rPr>
        <w:t xml:space="preserve"> </w:t>
      </w:r>
      <w:r w:rsidR="006201EB" w:rsidRPr="00D35B04">
        <w:rPr>
          <w:rFonts w:ascii="Times New Roman" w:hAnsi="Times New Roman"/>
          <w:sz w:val="24"/>
          <w:lang w:val="en-US"/>
        </w:rPr>
        <w:t>(1999) 198 CLR 180</w:t>
      </w:r>
      <w:r w:rsidR="006201EB" w:rsidRPr="00D35B04">
        <w:rPr>
          <w:rFonts w:ascii="Times New Roman" w:hAnsi="Times New Roman"/>
          <w:i/>
          <w:iCs/>
          <w:sz w:val="24"/>
          <w:lang w:val="en-US"/>
        </w:rPr>
        <w:t xml:space="preserve"> </w:t>
      </w:r>
      <w:r w:rsidR="006201EB" w:rsidRPr="00D35B04">
        <w:rPr>
          <w:rFonts w:ascii="Times New Roman" w:hAnsi="Times New Roman"/>
          <w:sz w:val="24"/>
          <w:lang w:val="en-US"/>
        </w:rPr>
        <w:t>at 230 [131].</w:t>
      </w:r>
    </w:p>
  </w:footnote>
  <w:footnote w:id="52">
    <w:p w14:paraId="7A3B7A13" w14:textId="347F32AC" w:rsidR="00804A0B" w:rsidRPr="00D35B04" w:rsidRDefault="00804A0B"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Pr="00D35B04">
        <w:rPr>
          <w:rFonts w:ascii="Times New Roman" w:hAnsi="Times New Roman"/>
          <w:i/>
          <w:iCs/>
          <w:sz w:val="24"/>
          <w:lang w:val="en-US"/>
        </w:rPr>
        <w:t>Perre</w:t>
      </w:r>
      <w:proofErr w:type="spellEnd"/>
      <w:r w:rsidRPr="00D35B04">
        <w:rPr>
          <w:rFonts w:ascii="Times New Roman" w:hAnsi="Times New Roman"/>
          <w:i/>
          <w:iCs/>
          <w:sz w:val="24"/>
          <w:lang w:val="en-US"/>
        </w:rPr>
        <w:t xml:space="preserve"> v </w:t>
      </w:r>
      <w:proofErr w:type="spellStart"/>
      <w:r w:rsidRPr="00D35B04">
        <w:rPr>
          <w:rFonts w:ascii="Times New Roman" w:hAnsi="Times New Roman"/>
          <w:i/>
          <w:iCs/>
          <w:sz w:val="24"/>
          <w:lang w:val="en-US"/>
        </w:rPr>
        <w:t>Apand</w:t>
      </w:r>
      <w:proofErr w:type="spellEnd"/>
      <w:r w:rsidRPr="00D35B04">
        <w:rPr>
          <w:rFonts w:ascii="Times New Roman" w:hAnsi="Times New Roman"/>
          <w:i/>
          <w:iCs/>
          <w:sz w:val="24"/>
          <w:lang w:val="en-US"/>
        </w:rPr>
        <w:t xml:space="preserve"> </w:t>
      </w:r>
      <w:r w:rsidRPr="00D35B04">
        <w:rPr>
          <w:rFonts w:ascii="Times New Roman" w:hAnsi="Times New Roman"/>
          <w:sz w:val="24"/>
          <w:lang w:val="en-US"/>
        </w:rPr>
        <w:t xml:space="preserve">(1999) 198 CLR 180 at </w:t>
      </w:r>
      <w:r w:rsidR="00DC7ADF" w:rsidRPr="00D35B04">
        <w:rPr>
          <w:rFonts w:ascii="Times New Roman" w:hAnsi="Times New Roman"/>
          <w:sz w:val="24"/>
          <w:lang w:val="en-US"/>
        </w:rPr>
        <w:t>230-231 [132].</w:t>
      </w:r>
    </w:p>
  </w:footnote>
  <w:footnote w:id="53">
    <w:p w14:paraId="680DB040" w14:textId="11AF81AC" w:rsidR="00CE1B96" w:rsidRPr="00D35B04" w:rsidRDefault="00CE1B96"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D4402E" w:rsidRPr="00D35B04">
        <w:rPr>
          <w:rFonts w:ascii="Times New Roman" w:hAnsi="Times New Roman"/>
          <w:i/>
          <w:iCs/>
          <w:sz w:val="24"/>
          <w:lang w:val="en-US"/>
        </w:rPr>
        <w:t xml:space="preserve">Woolcock </w:t>
      </w:r>
      <w:r w:rsidR="00D4402E" w:rsidRPr="00D35B04">
        <w:rPr>
          <w:rFonts w:ascii="Times New Roman" w:hAnsi="Times New Roman"/>
          <w:sz w:val="24"/>
          <w:lang w:val="en-US"/>
        </w:rPr>
        <w:t>(2004) 216 CLR 515</w:t>
      </w:r>
      <w:r w:rsidR="001B640A" w:rsidRPr="00D35B04">
        <w:rPr>
          <w:rFonts w:ascii="Times New Roman" w:hAnsi="Times New Roman"/>
          <w:sz w:val="24"/>
          <w:lang w:val="en-US"/>
        </w:rPr>
        <w:t xml:space="preserve"> at </w:t>
      </w:r>
      <w:r w:rsidR="00825FAD" w:rsidRPr="00D35B04">
        <w:rPr>
          <w:rFonts w:ascii="Times New Roman" w:hAnsi="Times New Roman"/>
          <w:sz w:val="24"/>
          <w:lang w:val="en-US"/>
        </w:rPr>
        <w:t xml:space="preserve">530 </w:t>
      </w:r>
      <w:r w:rsidR="00A5597B" w:rsidRPr="00D35B04">
        <w:rPr>
          <w:rFonts w:ascii="Times New Roman" w:hAnsi="Times New Roman"/>
          <w:sz w:val="24"/>
          <w:lang w:val="en-US"/>
        </w:rPr>
        <w:t>[23]</w:t>
      </w:r>
      <w:r w:rsidR="006340B8" w:rsidRPr="00D35B04">
        <w:rPr>
          <w:rFonts w:ascii="Times New Roman" w:hAnsi="Times New Roman"/>
          <w:sz w:val="24"/>
          <w:lang w:val="en-US"/>
        </w:rPr>
        <w:t>,</w:t>
      </w:r>
      <w:r w:rsidR="00D4402E" w:rsidRPr="00D35B04">
        <w:rPr>
          <w:rFonts w:ascii="Times New Roman" w:hAnsi="Times New Roman"/>
          <w:sz w:val="24"/>
          <w:lang w:val="en-US"/>
        </w:rPr>
        <w:t xml:space="preserve"> 549</w:t>
      </w:r>
      <w:r w:rsidR="00A5597B" w:rsidRPr="00D35B04">
        <w:rPr>
          <w:rFonts w:ascii="Times New Roman" w:hAnsi="Times New Roman"/>
          <w:sz w:val="24"/>
          <w:lang w:val="en-US"/>
        </w:rPr>
        <w:t xml:space="preserve"> </w:t>
      </w:r>
      <w:r w:rsidR="00B977B7" w:rsidRPr="00D35B04">
        <w:rPr>
          <w:rFonts w:ascii="Times New Roman" w:hAnsi="Times New Roman"/>
          <w:sz w:val="24"/>
          <w:lang w:val="en-US"/>
        </w:rPr>
        <w:t>[80]</w:t>
      </w:r>
      <w:r w:rsidR="003F0ECC" w:rsidRPr="00D35B04">
        <w:rPr>
          <w:rFonts w:ascii="Times New Roman" w:hAnsi="Times New Roman"/>
          <w:sz w:val="24"/>
          <w:lang w:val="en-US"/>
        </w:rPr>
        <w:t xml:space="preserve">; </w:t>
      </w:r>
      <w:r w:rsidR="003F0ECC" w:rsidRPr="00D35B04">
        <w:rPr>
          <w:rFonts w:ascii="Times New Roman" w:hAnsi="Times New Roman"/>
          <w:i/>
          <w:iCs/>
          <w:sz w:val="24"/>
          <w:lang w:val="en-US"/>
        </w:rPr>
        <w:t>Barclay</w:t>
      </w:r>
      <w:r w:rsidR="000923DC" w:rsidRPr="00D35B04">
        <w:rPr>
          <w:rFonts w:ascii="Times New Roman" w:hAnsi="Times New Roman"/>
          <w:i/>
          <w:iCs/>
          <w:sz w:val="24"/>
          <w:lang w:val="en-US"/>
        </w:rPr>
        <w:t xml:space="preserve"> v Penberthy</w:t>
      </w:r>
      <w:r w:rsidR="003F0ECC" w:rsidRPr="00D35B04">
        <w:rPr>
          <w:rFonts w:ascii="Times New Roman" w:hAnsi="Times New Roman"/>
          <w:sz w:val="24"/>
          <w:lang w:val="en-US"/>
        </w:rPr>
        <w:t xml:space="preserve"> </w:t>
      </w:r>
      <w:r w:rsidR="00AF3F5F" w:rsidRPr="00D35B04">
        <w:rPr>
          <w:rFonts w:ascii="Times New Roman" w:hAnsi="Times New Roman"/>
          <w:sz w:val="24"/>
          <w:lang w:val="en-US"/>
        </w:rPr>
        <w:t xml:space="preserve">(2012) 246 CLR 258 at 284 </w:t>
      </w:r>
      <w:r w:rsidR="003F0ECC" w:rsidRPr="00D35B04">
        <w:rPr>
          <w:rFonts w:ascii="Times New Roman" w:hAnsi="Times New Roman"/>
          <w:sz w:val="24"/>
          <w:lang w:val="en-US"/>
        </w:rPr>
        <w:t>[42]</w:t>
      </w:r>
      <w:r w:rsidR="00AF3F5F" w:rsidRPr="00D35B04">
        <w:rPr>
          <w:rFonts w:ascii="Times New Roman" w:hAnsi="Times New Roman"/>
          <w:sz w:val="24"/>
          <w:lang w:val="en-US"/>
        </w:rPr>
        <w:t>.</w:t>
      </w:r>
    </w:p>
  </w:footnote>
  <w:footnote w:id="54">
    <w:p w14:paraId="525F4FE1" w14:textId="30BB863A" w:rsidR="003A6E10" w:rsidRPr="00D35B04" w:rsidRDefault="003A6E10"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676376" w:rsidRPr="00D35B04">
        <w:rPr>
          <w:rFonts w:ascii="Times New Roman" w:hAnsi="Times New Roman"/>
          <w:i/>
          <w:iCs/>
          <w:sz w:val="24"/>
          <w:lang w:val="en-US"/>
        </w:rPr>
        <w:t xml:space="preserve">Woolcock </w:t>
      </w:r>
      <w:r w:rsidR="00676376" w:rsidRPr="00D35B04">
        <w:rPr>
          <w:rFonts w:ascii="Times New Roman" w:hAnsi="Times New Roman"/>
          <w:sz w:val="24"/>
          <w:lang w:val="en-US"/>
        </w:rPr>
        <w:t>(2004) 216 CLR 515</w:t>
      </w:r>
      <w:r w:rsidR="00676376" w:rsidRPr="00D35B04">
        <w:rPr>
          <w:rFonts w:ascii="Times New Roman" w:hAnsi="Times New Roman"/>
          <w:i/>
          <w:iCs/>
          <w:sz w:val="24"/>
          <w:lang w:val="en-US"/>
        </w:rPr>
        <w:t xml:space="preserve"> </w:t>
      </w:r>
      <w:r w:rsidR="00676376" w:rsidRPr="00D35B04">
        <w:rPr>
          <w:rFonts w:ascii="Times New Roman" w:hAnsi="Times New Roman"/>
          <w:sz w:val="24"/>
          <w:lang w:val="en-US"/>
        </w:rPr>
        <w:t xml:space="preserve">at 530 [23]. </w:t>
      </w:r>
    </w:p>
  </w:footnote>
  <w:footnote w:id="55">
    <w:p w14:paraId="53073D23" w14:textId="77777777" w:rsidR="00D3182E" w:rsidRPr="00D35B04" w:rsidRDefault="00D3182E"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Pr="00D35B04">
        <w:rPr>
          <w:rFonts w:ascii="Times New Roman" w:hAnsi="Times New Roman"/>
          <w:i/>
          <w:iCs/>
          <w:sz w:val="24"/>
          <w:lang w:val="en-US"/>
        </w:rPr>
        <w:t xml:space="preserve">Woolcock </w:t>
      </w:r>
      <w:r w:rsidRPr="00D35B04">
        <w:rPr>
          <w:rFonts w:ascii="Times New Roman" w:hAnsi="Times New Roman"/>
          <w:sz w:val="24"/>
          <w:lang w:val="en-US"/>
        </w:rPr>
        <w:t>(2004) 216 CLR 515</w:t>
      </w:r>
      <w:r w:rsidRPr="00D35B04">
        <w:rPr>
          <w:rFonts w:ascii="Times New Roman" w:hAnsi="Times New Roman"/>
          <w:i/>
          <w:iCs/>
          <w:sz w:val="24"/>
          <w:lang w:val="en-US"/>
        </w:rPr>
        <w:t xml:space="preserve"> </w:t>
      </w:r>
      <w:r w:rsidRPr="00D35B04">
        <w:rPr>
          <w:rFonts w:ascii="Times New Roman" w:hAnsi="Times New Roman"/>
          <w:sz w:val="24"/>
          <w:lang w:val="en-US"/>
        </w:rPr>
        <w:t>at 530 [23].</w:t>
      </w:r>
    </w:p>
  </w:footnote>
  <w:footnote w:id="56">
    <w:p w14:paraId="0854A7F4" w14:textId="1FD4C648" w:rsidR="00262F8B" w:rsidRPr="00D35B04" w:rsidRDefault="00262F8B"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r w:rsidRPr="00D35B04">
        <w:rPr>
          <w:rFonts w:ascii="Times New Roman" w:hAnsi="Times New Roman"/>
          <w:sz w:val="24"/>
          <w:lang w:val="en-US"/>
        </w:rPr>
        <w:t>(2004) 216 CLR 515</w:t>
      </w:r>
      <w:r w:rsidRPr="00D35B04">
        <w:rPr>
          <w:rFonts w:ascii="Times New Roman" w:hAnsi="Times New Roman"/>
          <w:i/>
          <w:iCs/>
          <w:sz w:val="24"/>
          <w:lang w:val="en-US"/>
        </w:rPr>
        <w:t xml:space="preserve"> </w:t>
      </w:r>
      <w:r w:rsidRPr="00D35B04">
        <w:rPr>
          <w:rFonts w:ascii="Times New Roman" w:hAnsi="Times New Roman"/>
          <w:sz w:val="24"/>
          <w:lang w:val="en-US"/>
        </w:rPr>
        <w:t>at 548-549 [80].</w:t>
      </w:r>
    </w:p>
  </w:footnote>
  <w:footnote w:id="57">
    <w:p w14:paraId="7C29A360" w14:textId="17D93FB7" w:rsidR="00F659DD" w:rsidRPr="00D35B04" w:rsidRDefault="00F659DD"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676376" w:rsidRPr="00D35B04">
        <w:rPr>
          <w:rFonts w:ascii="Times New Roman" w:hAnsi="Times New Roman"/>
          <w:i/>
          <w:iCs/>
          <w:sz w:val="24"/>
          <w:lang w:val="en-US"/>
        </w:rPr>
        <w:t xml:space="preserve">Woolcock </w:t>
      </w:r>
      <w:r w:rsidR="00676376" w:rsidRPr="00D35B04">
        <w:rPr>
          <w:rFonts w:ascii="Times New Roman" w:hAnsi="Times New Roman"/>
          <w:sz w:val="24"/>
          <w:lang w:val="en-US"/>
        </w:rPr>
        <w:t>(2004) 216 CLR 515</w:t>
      </w:r>
      <w:r w:rsidR="00676376" w:rsidRPr="00D35B04">
        <w:rPr>
          <w:rFonts w:ascii="Times New Roman" w:hAnsi="Times New Roman"/>
          <w:i/>
          <w:iCs/>
          <w:sz w:val="24"/>
          <w:lang w:val="en-US"/>
        </w:rPr>
        <w:t xml:space="preserve"> </w:t>
      </w:r>
      <w:r w:rsidR="00676376" w:rsidRPr="00D35B04">
        <w:rPr>
          <w:rFonts w:ascii="Times New Roman" w:hAnsi="Times New Roman"/>
          <w:sz w:val="24"/>
          <w:lang w:val="en-US"/>
        </w:rPr>
        <w:t xml:space="preserve">at </w:t>
      </w:r>
      <w:r w:rsidR="00DE4ABE" w:rsidRPr="00D35B04">
        <w:rPr>
          <w:rFonts w:ascii="Times New Roman" w:hAnsi="Times New Roman"/>
          <w:sz w:val="24"/>
          <w:lang w:val="en-US"/>
        </w:rPr>
        <w:t xml:space="preserve">552 </w:t>
      </w:r>
      <w:r w:rsidRPr="00D35B04">
        <w:rPr>
          <w:rFonts w:ascii="Times New Roman" w:hAnsi="Times New Roman"/>
          <w:sz w:val="24"/>
          <w:lang w:val="en-US"/>
        </w:rPr>
        <w:t>[94]</w:t>
      </w:r>
      <w:r w:rsidR="00DE4ABE" w:rsidRPr="00D35B04">
        <w:rPr>
          <w:rFonts w:ascii="Times New Roman" w:hAnsi="Times New Roman"/>
          <w:sz w:val="24"/>
          <w:lang w:val="en-US"/>
        </w:rPr>
        <w:t>.</w:t>
      </w:r>
    </w:p>
  </w:footnote>
  <w:footnote w:id="58">
    <w:p w14:paraId="14BD1E35" w14:textId="6D77BAAD" w:rsidR="005C5D4C" w:rsidRPr="00D35B04" w:rsidRDefault="005C5D4C"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t>(2004) 216 CLR 515</w:t>
      </w:r>
      <w:r w:rsidR="0023324D" w:rsidRPr="00D35B04">
        <w:rPr>
          <w:rFonts w:ascii="Times New Roman" w:hAnsi="Times New Roman"/>
          <w:sz w:val="24"/>
        </w:rPr>
        <w:t xml:space="preserve"> at 533 [31]-[33]</w:t>
      </w:r>
      <w:r w:rsidR="00C22F93" w:rsidRPr="00D35B04">
        <w:rPr>
          <w:rFonts w:ascii="Times New Roman" w:hAnsi="Times New Roman"/>
          <w:sz w:val="24"/>
        </w:rPr>
        <w:t xml:space="preserve">, </w:t>
      </w:r>
      <w:r w:rsidR="00F270AC" w:rsidRPr="00D35B04">
        <w:rPr>
          <w:rFonts w:ascii="Times New Roman" w:hAnsi="Times New Roman"/>
          <w:sz w:val="24"/>
        </w:rPr>
        <w:t>548-550 [80]-[86]</w:t>
      </w:r>
      <w:r w:rsidRPr="00D35B04">
        <w:rPr>
          <w:rFonts w:ascii="Times New Roman" w:hAnsi="Times New Roman"/>
          <w:sz w:val="24"/>
        </w:rPr>
        <w:t>.</w:t>
      </w:r>
    </w:p>
  </w:footnote>
  <w:footnote w:id="59">
    <w:p w14:paraId="709E807F" w14:textId="7A2B6843" w:rsidR="007A6527" w:rsidRPr="00D35B04" w:rsidRDefault="007A6527"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001327CF" w:rsidRPr="00D35B04">
        <w:rPr>
          <w:rFonts w:ascii="Times New Roman" w:hAnsi="Times New Roman"/>
          <w:sz w:val="24"/>
        </w:rPr>
        <w:tab/>
      </w:r>
      <w:r w:rsidR="00902674" w:rsidRPr="00D35B04">
        <w:rPr>
          <w:rFonts w:ascii="Times New Roman" w:hAnsi="Times New Roman"/>
          <w:i/>
          <w:iCs/>
          <w:sz w:val="24"/>
        </w:rPr>
        <w:t>Woolcock</w:t>
      </w:r>
      <w:r w:rsidR="00902674" w:rsidRPr="00D35B04">
        <w:rPr>
          <w:rFonts w:ascii="Times New Roman" w:hAnsi="Times New Roman"/>
          <w:sz w:val="24"/>
        </w:rPr>
        <w:t xml:space="preserve"> </w:t>
      </w:r>
      <w:r w:rsidR="001327CF" w:rsidRPr="00D35B04">
        <w:rPr>
          <w:rFonts w:ascii="Times New Roman" w:hAnsi="Times New Roman"/>
          <w:sz w:val="24"/>
        </w:rPr>
        <w:t>(2004) 216 CLR 515 at 533 [31].</w:t>
      </w:r>
    </w:p>
  </w:footnote>
  <w:footnote w:id="60">
    <w:p w14:paraId="0E413C67" w14:textId="373418F2" w:rsidR="00A10583" w:rsidRPr="00D35B04" w:rsidRDefault="00A10583"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001327CF" w:rsidRPr="00D35B04">
        <w:rPr>
          <w:rFonts w:ascii="Times New Roman" w:hAnsi="Times New Roman"/>
          <w:sz w:val="24"/>
        </w:rPr>
        <w:tab/>
      </w:r>
      <w:r w:rsidR="00902674" w:rsidRPr="00D35B04">
        <w:rPr>
          <w:rFonts w:ascii="Times New Roman" w:hAnsi="Times New Roman"/>
          <w:i/>
          <w:iCs/>
          <w:sz w:val="24"/>
        </w:rPr>
        <w:t>Woolcock</w:t>
      </w:r>
      <w:r w:rsidR="00902674" w:rsidRPr="00D35B04">
        <w:rPr>
          <w:rFonts w:ascii="Times New Roman" w:hAnsi="Times New Roman"/>
          <w:sz w:val="24"/>
        </w:rPr>
        <w:t xml:space="preserve"> </w:t>
      </w:r>
      <w:r w:rsidR="001327CF" w:rsidRPr="00D35B04">
        <w:rPr>
          <w:rFonts w:ascii="Times New Roman" w:hAnsi="Times New Roman"/>
          <w:sz w:val="24"/>
        </w:rPr>
        <w:t>(2004) 216 CLR 515 at 533 [32].</w:t>
      </w:r>
    </w:p>
  </w:footnote>
  <w:footnote w:id="61">
    <w:p w14:paraId="56ADBA3B" w14:textId="7A3061BD" w:rsidR="009549B3" w:rsidRPr="00D35B04" w:rsidRDefault="009549B3"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t>(2014) 254 CLR 185.</w:t>
      </w:r>
    </w:p>
  </w:footnote>
  <w:footnote w:id="62">
    <w:p w14:paraId="1F195FD9" w14:textId="678B09C0" w:rsidR="00E44B2C" w:rsidRPr="00D35B04" w:rsidRDefault="00E44B2C"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5C2476" w:rsidRPr="00D35B04">
        <w:rPr>
          <w:rFonts w:ascii="Times New Roman" w:hAnsi="Times New Roman"/>
          <w:i/>
          <w:iCs/>
          <w:sz w:val="24"/>
          <w:lang w:val="en-US"/>
        </w:rPr>
        <w:t>Brookfield</w:t>
      </w:r>
      <w:r w:rsidR="005C2476" w:rsidRPr="00D35B04">
        <w:rPr>
          <w:rFonts w:ascii="Times New Roman" w:hAnsi="Times New Roman"/>
          <w:sz w:val="24"/>
          <w:lang w:val="en-US"/>
        </w:rPr>
        <w:t xml:space="preserve"> (2014) 254 CLR 185</w:t>
      </w:r>
      <w:r w:rsidRPr="00D35B04">
        <w:rPr>
          <w:rFonts w:ascii="Times New Roman" w:hAnsi="Times New Roman"/>
          <w:sz w:val="24"/>
          <w:lang w:val="en-US"/>
        </w:rPr>
        <w:t xml:space="preserve"> at </w:t>
      </w:r>
      <w:r w:rsidR="00454B76" w:rsidRPr="00D35B04">
        <w:rPr>
          <w:rFonts w:ascii="Times New Roman" w:hAnsi="Times New Roman"/>
          <w:sz w:val="24"/>
          <w:lang w:val="en-US"/>
        </w:rPr>
        <w:t xml:space="preserve">201 </w:t>
      </w:r>
      <w:r w:rsidRPr="00D35B04">
        <w:rPr>
          <w:rFonts w:ascii="Times New Roman" w:hAnsi="Times New Roman"/>
          <w:sz w:val="24"/>
          <w:lang w:val="en-US"/>
        </w:rPr>
        <w:t xml:space="preserve">[23], </w:t>
      </w:r>
      <w:r w:rsidR="007201B8" w:rsidRPr="00D35B04">
        <w:rPr>
          <w:rFonts w:ascii="Times New Roman" w:hAnsi="Times New Roman"/>
          <w:sz w:val="24"/>
          <w:lang w:val="en-US"/>
        </w:rPr>
        <w:t>204-</w:t>
      </w:r>
      <w:r w:rsidR="009B4996" w:rsidRPr="00D35B04">
        <w:rPr>
          <w:rFonts w:ascii="Times New Roman" w:hAnsi="Times New Roman"/>
          <w:sz w:val="24"/>
          <w:lang w:val="en-US"/>
        </w:rPr>
        <w:t xml:space="preserve">205 </w:t>
      </w:r>
      <w:r w:rsidR="007201B8" w:rsidRPr="00D35B04">
        <w:rPr>
          <w:rFonts w:ascii="Times New Roman" w:hAnsi="Times New Roman"/>
          <w:sz w:val="24"/>
          <w:lang w:val="en-US"/>
        </w:rPr>
        <w:t>[34]-</w:t>
      </w:r>
      <w:r w:rsidRPr="00D35B04">
        <w:rPr>
          <w:rFonts w:ascii="Times New Roman" w:hAnsi="Times New Roman"/>
          <w:sz w:val="24"/>
          <w:lang w:val="en-US"/>
        </w:rPr>
        <w:t xml:space="preserve">[35], </w:t>
      </w:r>
      <w:r w:rsidR="009B4996" w:rsidRPr="00D35B04">
        <w:rPr>
          <w:rFonts w:ascii="Times New Roman" w:hAnsi="Times New Roman"/>
          <w:sz w:val="24"/>
          <w:lang w:val="en-US"/>
        </w:rPr>
        <w:t xml:space="preserve">209 </w:t>
      </w:r>
      <w:r w:rsidRPr="00D35B04">
        <w:rPr>
          <w:rFonts w:ascii="Times New Roman" w:hAnsi="Times New Roman"/>
          <w:sz w:val="24"/>
          <w:lang w:val="en-US"/>
        </w:rPr>
        <w:t xml:space="preserve">[51], </w:t>
      </w:r>
      <w:r w:rsidR="009B4996" w:rsidRPr="00D35B04">
        <w:rPr>
          <w:rFonts w:ascii="Times New Roman" w:hAnsi="Times New Roman"/>
          <w:sz w:val="24"/>
          <w:lang w:val="en-US"/>
        </w:rPr>
        <w:t xml:space="preserve">210-211 </w:t>
      </w:r>
      <w:r w:rsidRPr="00D35B04">
        <w:rPr>
          <w:rFonts w:ascii="Times New Roman" w:hAnsi="Times New Roman"/>
          <w:sz w:val="24"/>
          <w:lang w:val="en-US"/>
        </w:rPr>
        <w:t xml:space="preserve">[58], </w:t>
      </w:r>
      <w:r w:rsidR="00150EF2" w:rsidRPr="00D35B04">
        <w:rPr>
          <w:rFonts w:ascii="Times New Roman" w:hAnsi="Times New Roman"/>
          <w:sz w:val="24"/>
          <w:lang w:val="en-US"/>
        </w:rPr>
        <w:t xml:space="preserve">231-232 </w:t>
      </w:r>
      <w:r w:rsidRPr="00D35B04">
        <w:rPr>
          <w:rFonts w:ascii="Times New Roman" w:hAnsi="Times New Roman"/>
          <w:sz w:val="24"/>
          <w:lang w:val="en-US"/>
        </w:rPr>
        <w:t>[140]</w:t>
      </w:r>
      <w:r w:rsidR="005076DA" w:rsidRPr="00D35B04">
        <w:rPr>
          <w:rFonts w:ascii="Times New Roman" w:hAnsi="Times New Roman"/>
          <w:sz w:val="24"/>
          <w:lang w:val="en-US"/>
        </w:rPr>
        <w:t>.</w:t>
      </w:r>
    </w:p>
  </w:footnote>
  <w:footnote w:id="63">
    <w:p w14:paraId="1FE3527E" w14:textId="26D22B29" w:rsidR="00490715" w:rsidRPr="00D35B04" w:rsidRDefault="00490715"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EE2E7B" w:rsidRPr="00D35B04">
        <w:rPr>
          <w:rFonts w:ascii="Times New Roman" w:hAnsi="Times New Roman"/>
          <w:i/>
          <w:iCs/>
          <w:sz w:val="24"/>
          <w:lang w:val="en-US"/>
        </w:rPr>
        <w:t>Brookfield</w:t>
      </w:r>
      <w:r w:rsidR="00EE2E7B" w:rsidRPr="00D35B04">
        <w:rPr>
          <w:rFonts w:ascii="Times New Roman" w:hAnsi="Times New Roman"/>
          <w:sz w:val="24"/>
          <w:lang w:val="en-US"/>
        </w:rPr>
        <w:t xml:space="preserve"> (2014) 254 CLR 185 at </w:t>
      </w:r>
      <w:r w:rsidR="007201B8" w:rsidRPr="00D35B04">
        <w:rPr>
          <w:rFonts w:ascii="Times New Roman" w:hAnsi="Times New Roman"/>
          <w:sz w:val="24"/>
          <w:lang w:val="en-US"/>
        </w:rPr>
        <w:t>204-</w:t>
      </w:r>
      <w:r w:rsidR="002C417C" w:rsidRPr="00D35B04">
        <w:rPr>
          <w:rFonts w:ascii="Times New Roman" w:hAnsi="Times New Roman"/>
          <w:sz w:val="24"/>
          <w:lang w:val="en-US"/>
        </w:rPr>
        <w:t xml:space="preserve">205 </w:t>
      </w:r>
      <w:r w:rsidR="007201B8" w:rsidRPr="00D35B04">
        <w:rPr>
          <w:rFonts w:ascii="Times New Roman" w:hAnsi="Times New Roman"/>
          <w:sz w:val="24"/>
          <w:lang w:val="en-US"/>
        </w:rPr>
        <w:t>[34]-</w:t>
      </w:r>
      <w:r w:rsidRPr="00D35B04">
        <w:rPr>
          <w:rFonts w:ascii="Times New Roman" w:hAnsi="Times New Roman"/>
          <w:sz w:val="24"/>
          <w:lang w:val="en-US"/>
        </w:rPr>
        <w:t>[35]</w:t>
      </w:r>
      <w:r w:rsidR="00636136" w:rsidRPr="00D35B04">
        <w:rPr>
          <w:rFonts w:ascii="Times New Roman" w:hAnsi="Times New Roman"/>
          <w:sz w:val="24"/>
          <w:lang w:val="en-US"/>
        </w:rPr>
        <w:t>.</w:t>
      </w:r>
    </w:p>
  </w:footnote>
  <w:footnote w:id="64">
    <w:p w14:paraId="6EE05F8C" w14:textId="3781CA4A" w:rsidR="00490715" w:rsidRPr="00D35B04" w:rsidRDefault="00490715"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6B790B" w:rsidRPr="00D35B04">
        <w:rPr>
          <w:rFonts w:ascii="Times New Roman" w:hAnsi="Times New Roman"/>
          <w:i/>
          <w:iCs/>
          <w:sz w:val="24"/>
          <w:lang w:val="en-US"/>
        </w:rPr>
        <w:t>Brookfield</w:t>
      </w:r>
      <w:r w:rsidR="006B790B" w:rsidRPr="00D35B04">
        <w:rPr>
          <w:rFonts w:ascii="Times New Roman" w:hAnsi="Times New Roman"/>
          <w:sz w:val="24"/>
          <w:lang w:val="en-US"/>
        </w:rPr>
        <w:t xml:space="preserve"> (2014) 254 CLR 185 at 210-211 [58]. </w:t>
      </w:r>
    </w:p>
  </w:footnote>
  <w:footnote w:id="65">
    <w:p w14:paraId="30BE6B68" w14:textId="6E23694F" w:rsidR="00490715" w:rsidRPr="00D35B04" w:rsidRDefault="00490715"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r w:rsidR="00D631BE" w:rsidRPr="00D35B04">
        <w:rPr>
          <w:rFonts w:ascii="Times New Roman" w:hAnsi="Times New Roman"/>
          <w:i/>
          <w:iCs/>
          <w:sz w:val="24"/>
          <w:lang w:val="en-US"/>
        </w:rPr>
        <w:t>Brookfield</w:t>
      </w:r>
      <w:r w:rsidR="00D631BE" w:rsidRPr="00D35B04">
        <w:rPr>
          <w:rFonts w:ascii="Times New Roman" w:hAnsi="Times New Roman"/>
          <w:sz w:val="24"/>
          <w:lang w:val="en-US"/>
        </w:rPr>
        <w:t xml:space="preserve"> (2014) 254 CLR 185</w:t>
      </w:r>
      <w:r w:rsidRPr="00D35B04">
        <w:rPr>
          <w:rFonts w:ascii="Times New Roman" w:hAnsi="Times New Roman"/>
          <w:sz w:val="24"/>
          <w:lang w:val="en-US"/>
        </w:rPr>
        <w:t xml:space="preserve"> at </w:t>
      </w:r>
      <w:r w:rsidR="00B601DD" w:rsidRPr="00D35B04">
        <w:rPr>
          <w:rFonts w:ascii="Times New Roman" w:hAnsi="Times New Roman"/>
          <w:sz w:val="24"/>
          <w:lang w:val="en-US"/>
        </w:rPr>
        <w:t>231-232 [140].</w:t>
      </w:r>
    </w:p>
  </w:footnote>
  <w:footnote w:id="66">
    <w:p w14:paraId="409FA0B5" w14:textId="1BB0F1C6" w:rsidR="007124DC" w:rsidRPr="00D35B04" w:rsidRDefault="007124DC"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000A0D0C" w:rsidRPr="00D35B04">
        <w:rPr>
          <w:rFonts w:ascii="Times New Roman" w:hAnsi="Times New Roman"/>
          <w:sz w:val="24"/>
        </w:rPr>
        <w:t>e</w:t>
      </w:r>
      <w:r w:rsidRPr="00D35B04">
        <w:rPr>
          <w:rFonts w:ascii="Times New Roman" w:hAnsi="Times New Roman"/>
          <w:sz w:val="24"/>
        </w:rPr>
        <w:t>g</w:t>
      </w:r>
      <w:proofErr w:type="spellEnd"/>
      <w:r w:rsidRPr="00D35B04">
        <w:rPr>
          <w:rFonts w:ascii="Times New Roman" w:hAnsi="Times New Roman"/>
          <w:sz w:val="24"/>
        </w:rPr>
        <w:t xml:space="preserve"> </w:t>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w:t>
      </w:r>
      <w:r w:rsidRPr="00D35B04">
        <w:rPr>
          <w:rFonts w:ascii="Times New Roman" w:hAnsi="Times New Roman"/>
          <w:sz w:val="24"/>
          <w:lang w:val="en-US"/>
        </w:rPr>
        <w:t xml:space="preserve">(2021) 7 QR 234 </w:t>
      </w:r>
      <w:r w:rsidRPr="00D35B04">
        <w:rPr>
          <w:rFonts w:ascii="Times New Roman" w:hAnsi="Times New Roman"/>
          <w:sz w:val="24"/>
        </w:rPr>
        <w:t xml:space="preserve">at </w:t>
      </w:r>
      <w:r w:rsidR="006E3B2A" w:rsidRPr="00D35B04">
        <w:rPr>
          <w:rFonts w:ascii="Times New Roman" w:hAnsi="Times New Roman"/>
          <w:sz w:val="24"/>
        </w:rPr>
        <w:t xml:space="preserve">282 </w:t>
      </w:r>
      <w:r w:rsidRPr="00D35B04">
        <w:rPr>
          <w:rFonts w:ascii="Times New Roman" w:hAnsi="Times New Roman"/>
          <w:sz w:val="24"/>
        </w:rPr>
        <w:t xml:space="preserve">[197], </w:t>
      </w:r>
      <w:r w:rsidR="006E3B2A" w:rsidRPr="00D35B04">
        <w:rPr>
          <w:rFonts w:ascii="Times New Roman" w:hAnsi="Times New Roman"/>
          <w:sz w:val="24"/>
        </w:rPr>
        <w:t xml:space="preserve">283 </w:t>
      </w:r>
      <w:r w:rsidRPr="00D35B04">
        <w:rPr>
          <w:rFonts w:ascii="Times New Roman" w:hAnsi="Times New Roman"/>
          <w:sz w:val="24"/>
        </w:rPr>
        <w:t xml:space="preserve">[200], </w:t>
      </w:r>
      <w:r w:rsidR="006E3B2A" w:rsidRPr="00D35B04">
        <w:rPr>
          <w:rFonts w:ascii="Times New Roman" w:hAnsi="Times New Roman"/>
          <w:sz w:val="24"/>
        </w:rPr>
        <w:t xml:space="preserve">284 </w:t>
      </w:r>
      <w:r w:rsidRPr="00D35B04">
        <w:rPr>
          <w:rFonts w:ascii="Times New Roman" w:hAnsi="Times New Roman"/>
          <w:sz w:val="24"/>
        </w:rPr>
        <w:t xml:space="preserve">[205]; </w:t>
      </w:r>
      <w:proofErr w:type="spellStart"/>
      <w:r w:rsidRPr="00D35B04">
        <w:rPr>
          <w:rFonts w:ascii="Times New Roman" w:hAnsi="Times New Roman"/>
          <w:i/>
          <w:iCs/>
          <w:sz w:val="24"/>
        </w:rPr>
        <w:t>Mallonland</w:t>
      </w:r>
      <w:proofErr w:type="spellEnd"/>
      <w:r w:rsidRPr="00D35B04">
        <w:rPr>
          <w:rFonts w:ascii="Times New Roman" w:hAnsi="Times New Roman"/>
          <w:sz w:val="24"/>
        </w:rPr>
        <w:t xml:space="preserve"> </w:t>
      </w:r>
      <w:r w:rsidR="006B01C7" w:rsidRPr="00D35B04">
        <w:rPr>
          <w:rFonts w:ascii="Times New Roman" w:hAnsi="Times New Roman"/>
          <w:sz w:val="24"/>
        </w:rPr>
        <w:t xml:space="preserve">(2023) 13 QR 492 </w:t>
      </w:r>
      <w:r w:rsidRPr="00D35B04">
        <w:rPr>
          <w:rFonts w:ascii="Times New Roman" w:hAnsi="Times New Roman"/>
          <w:sz w:val="24"/>
        </w:rPr>
        <w:t xml:space="preserve">at </w:t>
      </w:r>
      <w:r w:rsidR="007F0F27" w:rsidRPr="00D35B04">
        <w:rPr>
          <w:rFonts w:ascii="Times New Roman" w:hAnsi="Times New Roman"/>
          <w:sz w:val="24"/>
        </w:rPr>
        <w:t xml:space="preserve">513 </w:t>
      </w:r>
      <w:r w:rsidRPr="00D35B04">
        <w:rPr>
          <w:rFonts w:ascii="Times New Roman" w:hAnsi="Times New Roman"/>
          <w:sz w:val="24"/>
        </w:rPr>
        <w:t xml:space="preserve">[56], </w:t>
      </w:r>
      <w:r w:rsidR="007F0F27" w:rsidRPr="00D35B04">
        <w:rPr>
          <w:rFonts w:ascii="Times New Roman" w:hAnsi="Times New Roman"/>
          <w:sz w:val="24"/>
        </w:rPr>
        <w:t xml:space="preserve">514 </w:t>
      </w:r>
      <w:r w:rsidRPr="00D35B04">
        <w:rPr>
          <w:rFonts w:ascii="Times New Roman" w:hAnsi="Times New Roman"/>
          <w:sz w:val="24"/>
        </w:rPr>
        <w:t xml:space="preserve">[59], [60], </w:t>
      </w:r>
      <w:r w:rsidR="004F541B" w:rsidRPr="00D35B04">
        <w:rPr>
          <w:rFonts w:ascii="Times New Roman" w:hAnsi="Times New Roman"/>
          <w:sz w:val="24"/>
        </w:rPr>
        <w:t xml:space="preserve">525-527 </w:t>
      </w:r>
      <w:r w:rsidRPr="00D35B04">
        <w:rPr>
          <w:rFonts w:ascii="Times New Roman" w:hAnsi="Times New Roman"/>
          <w:sz w:val="24"/>
        </w:rPr>
        <w:t>[107]-[118].</w:t>
      </w:r>
    </w:p>
  </w:footnote>
  <w:footnote w:id="67">
    <w:p w14:paraId="1E9EE8CF" w14:textId="2F81DD72" w:rsidR="007C6D80" w:rsidRPr="00D35B04" w:rsidRDefault="007C6D80" w:rsidP="00D35B04">
      <w:pPr>
        <w:pStyle w:val="FootnoteText"/>
        <w:spacing w:line="280" w:lineRule="exact"/>
        <w:ind w:right="0"/>
        <w:jc w:val="both"/>
        <w:rPr>
          <w:rFonts w:ascii="Times New Roman" w:hAnsi="Times New Roman"/>
          <w:sz w:val="24"/>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rPr>
        <w:tab/>
      </w:r>
      <w:proofErr w:type="spellStart"/>
      <w:r w:rsidR="001D6564" w:rsidRPr="00D35B04">
        <w:rPr>
          <w:rFonts w:ascii="Times New Roman" w:hAnsi="Times New Roman"/>
          <w:sz w:val="24"/>
        </w:rPr>
        <w:t>e</w:t>
      </w:r>
      <w:r w:rsidRPr="00D35B04">
        <w:rPr>
          <w:rFonts w:ascii="Times New Roman" w:hAnsi="Times New Roman"/>
          <w:sz w:val="24"/>
        </w:rPr>
        <w:t>g</w:t>
      </w:r>
      <w:proofErr w:type="spellEnd"/>
      <w:r w:rsidRPr="00D35B04">
        <w:rPr>
          <w:rFonts w:ascii="Times New Roman" w:hAnsi="Times New Roman"/>
          <w:sz w:val="24"/>
        </w:rPr>
        <w:t xml:space="preserve"> </w:t>
      </w:r>
      <w:proofErr w:type="spellStart"/>
      <w:r w:rsidRPr="00D35B04">
        <w:rPr>
          <w:rFonts w:ascii="Times New Roman" w:hAnsi="Times New Roman"/>
          <w:i/>
          <w:iCs/>
          <w:sz w:val="24"/>
          <w:lang w:val="en-US"/>
        </w:rPr>
        <w:t>Perre</w:t>
      </w:r>
      <w:proofErr w:type="spellEnd"/>
      <w:r w:rsidRPr="00D35B04">
        <w:rPr>
          <w:rFonts w:ascii="Times New Roman" w:hAnsi="Times New Roman"/>
          <w:i/>
          <w:iCs/>
          <w:sz w:val="24"/>
          <w:lang w:val="en-US"/>
        </w:rPr>
        <w:t xml:space="preserve"> v </w:t>
      </w:r>
      <w:proofErr w:type="spellStart"/>
      <w:r w:rsidRPr="00D35B04">
        <w:rPr>
          <w:rFonts w:ascii="Times New Roman" w:hAnsi="Times New Roman"/>
          <w:i/>
          <w:iCs/>
          <w:sz w:val="24"/>
          <w:lang w:val="en-US"/>
        </w:rPr>
        <w:t>Apand</w:t>
      </w:r>
      <w:proofErr w:type="spellEnd"/>
      <w:r w:rsidRPr="00D35B04">
        <w:rPr>
          <w:rFonts w:ascii="Times New Roman" w:hAnsi="Times New Roman"/>
          <w:i/>
          <w:iCs/>
          <w:sz w:val="24"/>
          <w:lang w:val="en-US"/>
        </w:rPr>
        <w:t xml:space="preserve"> </w:t>
      </w:r>
      <w:r w:rsidRPr="00D35B04">
        <w:rPr>
          <w:rFonts w:ascii="Times New Roman" w:hAnsi="Times New Roman"/>
          <w:sz w:val="24"/>
          <w:lang w:val="en-US"/>
        </w:rPr>
        <w:t>(1999) 198 CLR 180</w:t>
      </w:r>
      <w:r w:rsidRPr="00D35B04">
        <w:rPr>
          <w:rFonts w:ascii="Times New Roman" w:hAnsi="Times New Roman"/>
          <w:i/>
          <w:iCs/>
          <w:sz w:val="24"/>
          <w:lang w:val="en-US"/>
        </w:rPr>
        <w:t xml:space="preserve"> </w:t>
      </w:r>
      <w:r w:rsidRPr="00D35B04">
        <w:rPr>
          <w:rFonts w:ascii="Times New Roman" w:hAnsi="Times New Roman"/>
          <w:sz w:val="24"/>
          <w:lang w:val="en-US"/>
        </w:rPr>
        <w:t xml:space="preserve">at 192 [5], 198 [27], 207 [66], 213 [83], 222 [111], 231 [132], 241 [168], 248-249 [186], 282 [278], 283 [279], 287 [291], 299-300 [329], 303 [335].  </w:t>
      </w:r>
    </w:p>
  </w:footnote>
  <w:footnote w:id="68">
    <w:p w14:paraId="2D283C14" w14:textId="12E687B0" w:rsidR="00F23529" w:rsidRPr="00D35B04" w:rsidRDefault="00F23529" w:rsidP="00D35B04">
      <w:pPr>
        <w:pStyle w:val="FootnoteText"/>
        <w:spacing w:line="280" w:lineRule="exact"/>
        <w:ind w:right="0"/>
        <w:jc w:val="both"/>
        <w:rPr>
          <w:rFonts w:ascii="Times New Roman" w:hAnsi="Times New Roman"/>
          <w:sz w:val="24"/>
          <w:lang w:val="en-US"/>
        </w:rPr>
      </w:pPr>
      <w:r w:rsidRPr="00D35B04">
        <w:rPr>
          <w:rStyle w:val="FootnoteReference"/>
          <w:rFonts w:ascii="Times New Roman" w:hAnsi="Times New Roman"/>
          <w:sz w:val="22"/>
          <w:vertAlign w:val="baseline"/>
        </w:rPr>
        <w:footnoteRef/>
      </w:r>
      <w:r w:rsidRPr="00D35B04">
        <w:rPr>
          <w:rFonts w:ascii="Times New Roman" w:hAnsi="Times New Roman"/>
          <w:sz w:val="24"/>
        </w:rPr>
        <w:t xml:space="preserve"> </w:t>
      </w:r>
      <w:r w:rsidRPr="00D35B04">
        <w:rPr>
          <w:rFonts w:ascii="Times New Roman" w:hAnsi="Times New Roman"/>
          <w:sz w:val="24"/>
          <w:lang w:val="en-US"/>
        </w:rPr>
        <w:tab/>
      </w:r>
      <w:proofErr w:type="spellStart"/>
      <w:r w:rsidR="00840CA5" w:rsidRPr="00D35B04">
        <w:rPr>
          <w:rFonts w:ascii="Times New Roman" w:hAnsi="Times New Roman"/>
          <w:i/>
          <w:iCs/>
          <w:sz w:val="24"/>
          <w:lang w:val="en-US"/>
        </w:rPr>
        <w:t>Mallonland</w:t>
      </w:r>
      <w:proofErr w:type="spellEnd"/>
      <w:r w:rsidR="00840CA5" w:rsidRPr="00D35B04">
        <w:rPr>
          <w:rFonts w:ascii="Times New Roman" w:hAnsi="Times New Roman"/>
          <w:i/>
          <w:iCs/>
          <w:sz w:val="24"/>
          <w:lang w:val="en-US"/>
        </w:rPr>
        <w:t xml:space="preserve"> </w:t>
      </w:r>
      <w:r w:rsidR="002001AB" w:rsidRPr="00D35B04">
        <w:rPr>
          <w:rFonts w:ascii="Times New Roman" w:hAnsi="Times New Roman"/>
          <w:sz w:val="24"/>
          <w:lang w:val="en-US"/>
        </w:rPr>
        <w:t xml:space="preserve">(2023) 13 QR 492 </w:t>
      </w:r>
      <w:r w:rsidR="00840CA5" w:rsidRPr="00D35B04">
        <w:rPr>
          <w:rFonts w:ascii="Times New Roman" w:hAnsi="Times New Roman"/>
          <w:sz w:val="24"/>
          <w:lang w:val="en-US"/>
        </w:rPr>
        <w:t>at</w:t>
      </w:r>
      <w:r w:rsidR="0016271D" w:rsidRPr="00D35B04">
        <w:rPr>
          <w:rFonts w:ascii="Times New Roman" w:hAnsi="Times New Roman"/>
          <w:sz w:val="24"/>
          <w:lang w:val="en-US"/>
        </w:rPr>
        <w:t xml:space="preserve"> 530</w:t>
      </w:r>
      <w:r w:rsidR="00840CA5" w:rsidRPr="00D35B04">
        <w:rPr>
          <w:rFonts w:ascii="Times New Roman" w:hAnsi="Times New Roman"/>
          <w:sz w:val="24"/>
          <w:lang w:val="en-US"/>
        </w:rPr>
        <w:t xml:space="preserve"> [143].</w:t>
      </w:r>
    </w:p>
  </w:footnote>
  <w:footnote w:id="69">
    <w:p w14:paraId="740A527C" w14:textId="77777777" w:rsidR="001F5442" w:rsidRPr="00883965" w:rsidRDefault="001F5442" w:rsidP="00883965">
      <w:pPr>
        <w:pStyle w:val="FootnoteText"/>
        <w:tabs>
          <w:tab w:val="left" w:pos="435"/>
        </w:tabs>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sz w:val="24"/>
        </w:rPr>
        <w:tab/>
        <w:t xml:space="preserve">Danby, </w:t>
      </w:r>
      <w:r w:rsidRPr="00883965">
        <w:rPr>
          <w:rFonts w:ascii="Times New Roman" w:hAnsi="Times New Roman"/>
          <w:i/>
          <w:iCs/>
          <w:sz w:val="24"/>
        </w:rPr>
        <w:t xml:space="preserve">The Mishnah </w:t>
      </w:r>
      <w:r w:rsidRPr="00883965">
        <w:rPr>
          <w:rFonts w:ascii="Times New Roman" w:hAnsi="Times New Roman"/>
          <w:sz w:val="24"/>
        </w:rPr>
        <w:t>(1933) at 29 (</w:t>
      </w:r>
      <w:proofErr w:type="spellStart"/>
      <w:r w:rsidRPr="00883965">
        <w:rPr>
          <w:rFonts w:ascii="Times New Roman" w:hAnsi="Times New Roman"/>
          <w:sz w:val="24"/>
        </w:rPr>
        <w:t>Zeraim</w:t>
      </w:r>
      <w:proofErr w:type="spellEnd"/>
      <w:r w:rsidRPr="00883965">
        <w:rPr>
          <w:rFonts w:ascii="Times New Roman" w:hAnsi="Times New Roman"/>
          <w:sz w:val="24"/>
        </w:rPr>
        <w:t xml:space="preserve">, </w:t>
      </w:r>
      <w:proofErr w:type="spellStart"/>
      <w:r w:rsidRPr="00883965">
        <w:rPr>
          <w:rFonts w:ascii="Times New Roman" w:hAnsi="Times New Roman"/>
          <w:sz w:val="24"/>
        </w:rPr>
        <w:t>Kilaim</w:t>
      </w:r>
      <w:proofErr w:type="spellEnd"/>
      <w:r w:rsidRPr="00883965">
        <w:rPr>
          <w:rFonts w:ascii="Times New Roman" w:hAnsi="Times New Roman"/>
          <w:sz w:val="24"/>
        </w:rPr>
        <w:t xml:space="preserve"> 1:6). </w:t>
      </w:r>
    </w:p>
  </w:footnote>
  <w:footnote w:id="70">
    <w:p w14:paraId="4B0B510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(1976) 136 CLR 529. </w:t>
      </w:r>
    </w:p>
  </w:footnote>
  <w:footnote w:id="71">
    <w:p w14:paraId="0C2FC49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Joint reasons at </w:t>
      </w:r>
      <w:r w:rsidRPr="003C5E22">
        <w:rPr>
          <w:rFonts w:ascii="Times New Roman" w:hAnsi="Times New Roman"/>
          <w:sz w:val="24"/>
        </w:rPr>
        <w:t>[</w:t>
      </w:r>
      <w:r w:rsidRPr="000629D2">
        <w:rPr>
          <w:rFonts w:ascii="Times New Roman" w:hAnsi="Times New Roman"/>
          <w:sz w:val="24"/>
        </w:rPr>
        <w:t>36</w:t>
      </w:r>
      <w:r w:rsidRPr="003C5E22">
        <w:rPr>
          <w:rFonts w:ascii="Times New Roman" w:hAnsi="Times New Roman"/>
          <w:sz w:val="24"/>
        </w:rPr>
        <w:t>].</w:t>
      </w:r>
    </w:p>
  </w:footnote>
  <w:footnote w:id="72">
    <w:p w14:paraId="1F94DEC5" w14:textId="77777777" w:rsidR="001F5442" w:rsidRPr="00883965" w:rsidRDefault="001F5442" w:rsidP="00883965">
      <w:pPr>
        <w:pStyle w:val="FootnoteText"/>
        <w:spacing w:line="280" w:lineRule="exact"/>
        <w:ind w:right="0"/>
        <w:jc w:val="both"/>
        <w:rPr>
          <w:rFonts w:ascii="Times New Roman" w:hAnsi="Times New Roman"/>
          <w:i/>
          <w:iCs/>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also the similar suggestion in </w:t>
      </w:r>
      <w:r w:rsidRPr="00883965">
        <w:rPr>
          <w:rFonts w:ascii="Times New Roman" w:hAnsi="Times New Roman"/>
          <w:i/>
          <w:iCs/>
          <w:color w:val="000000" w:themeColor="text1"/>
          <w:sz w:val="24"/>
          <w:shd w:val="clear" w:color="auto" w:fill="FFFFFF"/>
        </w:rPr>
        <w:t>Brookfield Multiplex Ltd v Owners Corporation Strata Plan 61288</w:t>
      </w:r>
      <w:r w:rsidRPr="00883965">
        <w:rPr>
          <w:rFonts w:ascii="Times New Roman" w:hAnsi="Times New Roman"/>
          <w:color w:val="000000" w:themeColor="text1"/>
          <w:sz w:val="24"/>
          <w:shd w:val="clear" w:color="auto" w:fill="FFFFFF"/>
        </w:rPr>
        <w:t xml:space="preserve"> (2014) 254 CLR 185</w:t>
      </w:r>
      <w:r w:rsidRPr="00883965">
        <w:rPr>
          <w:rFonts w:ascii="Times New Roman" w:hAnsi="Times New Roman"/>
          <w:color w:val="000000" w:themeColor="text1"/>
          <w:sz w:val="24"/>
        </w:rPr>
        <w:t xml:space="preserve"> at 245 [185], regarding</w:t>
      </w:r>
      <w:r w:rsidRPr="00883965">
        <w:rPr>
          <w:rFonts w:ascii="Times New Roman" w:hAnsi="Times New Roman"/>
          <w:sz w:val="24"/>
        </w:rPr>
        <w:t xml:space="preserve"> the approach to be taken to </w:t>
      </w:r>
      <w:r w:rsidRPr="00883965">
        <w:rPr>
          <w:rFonts w:ascii="Times New Roman" w:hAnsi="Times New Roman"/>
          <w:i/>
          <w:iCs/>
          <w:sz w:val="24"/>
        </w:rPr>
        <w:t xml:space="preserve">Bryan v Maloney </w:t>
      </w:r>
      <w:r w:rsidRPr="00883965">
        <w:rPr>
          <w:rFonts w:ascii="Times New Roman" w:hAnsi="Times New Roman"/>
          <w:sz w:val="24"/>
        </w:rPr>
        <w:t>(1995) 182 CLR 609 and "[a]</w:t>
      </w:r>
      <w:proofErr w:type="spellStart"/>
      <w:r w:rsidRPr="00883965">
        <w:rPr>
          <w:rFonts w:ascii="Times New Roman" w:hAnsi="Times New Roman"/>
          <w:sz w:val="24"/>
        </w:rPr>
        <w:t>bsent</w:t>
      </w:r>
      <w:proofErr w:type="spellEnd"/>
      <w:r w:rsidRPr="00883965">
        <w:rPr>
          <w:rFonts w:ascii="Times New Roman" w:hAnsi="Times New Roman"/>
          <w:sz w:val="24"/>
        </w:rPr>
        <w:t xml:space="preserve"> any application that </w:t>
      </w:r>
      <w:r w:rsidRPr="00883965">
        <w:rPr>
          <w:rFonts w:ascii="Times New Roman" w:hAnsi="Times New Roman"/>
          <w:i/>
          <w:iCs/>
          <w:sz w:val="24"/>
        </w:rPr>
        <w:t xml:space="preserve">Bryan v Maloney </w:t>
      </w:r>
      <w:r w:rsidRPr="00883965">
        <w:rPr>
          <w:rFonts w:ascii="Times New Roman" w:hAnsi="Times New Roman"/>
          <w:sz w:val="24"/>
        </w:rPr>
        <w:t>should be overruled"</w:t>
      </w:r>
      <w:r w:rsidRPr="00883965">
        <w:rPr>
          <w:rFonts w:ascii="Times New Roman" w:hAnsi="Times New Roman"/>
          <w:color w:val="000000" w:themeColor="text1"/>
          <w:sz w:val="24"/>
        </w:rPr>
        <w:t>.</w:t>
      </w:r>
    </w:p>
  </w:footnote>
  <w:footnote w:id="73">
    <w:p w14:paraId="2D32FB37"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Mitchell, "</w:t>
      </w:r>
      <w:r w:rsidRPr="00883965">
        <w:rPr>
          <w:rFonts w:ascii="Times New Roman" w:hAnsi="Times New Roman"/>
          <w:i/>
          <w:iCs/>
          <w:sz w:val="24"/>
        </w:rPr>
        <w:t xml:space="preserve">Hedley Byrne &amp; Co Ltd v Heller &amp; Partners Ltd </w:t>
      </w:r>
      <w:r w:rsidRPr="00883965">
        <w:rPr>
          <w:rFonts w:ascii="Times New Roman" w:hAnsi="Times New Roman"/>
          <w:sz w:val="24"/>
        </w:rPr>
        <w:t xml:space="preserve">(1963)", in Mitchell and Mitchell (eds), </w:t>
      </w:r>
      <w:r w:rsidRPr="00883965">
        <w:rPr>
          <w:rFonts w:ascii="Times New Roman" w:hAnsi="Times New Roman"/>
          <w:i/>
          <w:iCs/>
          <w:sz w:val="24"/>
        </w:rPr>
        <w:t xml:space="preserve">Landmark Cases in the Law of Tort </w:t>
      </w:r>
      <w:r w:rsidRPr="00883965">
        <w:rPr>
          <w:rFonts w:ascii="Times New Roman" w:hAnsi="Times New Roman"/>
          <w:sz w:val="24"/>
        </w:rPr>
        <w:t xml:space="preserve">(2010) 171 at 195. See also Sales, "Pure economic loss and assumption of responsibility: the Peter Taylor Memorial Address for the Professional Negligence Bar Association 20 April 2023" (2023) 39 </w:t>
      </w:r>
      <w:r w:rsidRPr="00883965">
        <w:rPr>
          <w:rFonts w:ascii="Times New Roman" w:hAnsi="Times New Roman"/>
          <w:i/>
          <w:iCs/>
          <w:sz w:val="24"/>
        </w:rPr>
        <w:t xml:space="preserve">Journal of Professional Negligence </w:t>
      </w:r>
      <w:r w:rsidRPr="00883965">
        <w:rPr>
          <w:rFonts w:ascii="Times New Roman" w:hAnsi="Times New Roman"/>
          <w:sz w:val="24"/>
        </w:rPr>
        <w:t xml:space="preserve">113 at 114, 127. </w:t>
      </w:r>
    </w:p>
  </w:footnote>
  <w:footnote w:id="74">
    <w:p w14:paraId="17DC4A0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Swick Nominees Pty Ltd v LeRoi International Inc [No 2] </w:t>
      </w:r>
      <w:r w:rsidRPr="00883965">
        <w:rPr>
          <w:rFonts w:ascii="Times New Roman" w:hAnsi="Times New Roman"/>
          <w:sz w:val="24"/>
        </w:rPr>
        <w:t xml:space="preserve">(2015) 48 WAR 376 at 443-444 [368]-[373].  </w:t>
      </w:r>
    </w:p>
  </w:footnote>
  <w:footnote w:id="75">
    <w:p w14:paraId="7911526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sidDel="00F8143F">
        <w:rPr>
          <w:rFonts w:ascii="Times New Roman" w:hAnsi="Times New Roman"/>
          <w:i/>
          <w:iCs/>
          <w:sz w:val="24"/>
        </w:rPr>
        <w:t>Hedley Byrne &amp; Co Ltd v Heller &amp; Partners Ltd</w:t>
      </w:r>
      <w:r w:rsidRPr="00883965" w:rsidDel="00F8143F">
        <w:rPr>
          <w:rFonts w:ascii="Times New Roman" w:hAnsi="Times New Roman"/>
          <w:sz w:val="24"/>
        </w:rPr>
        <w:t xml:space="preserve"> [1964] AC 465 at 492, 528-530, 532-533.</w:t>
      </w:r>
    </w:p>
  </w:footnote>
  <w:footnote w:id="76">
    <w:p w14:paraId="2892FB0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Winfield, </w:t>
      </w:r>
      <w:r w:rsidRPr="00883965">
        <w:rPr>
          <w:rFonts w:ascii="Times New Roman" w:hAnsi="Times New Roman"/>
          <w:i/>
          <w:iCs/>
          <w:sz w:val="24"/>
        </w:rPr>
        <w:t xml:space="preserve">The Province of the Law of Tort </w:t>
      </w:r>
      <w:r w:rsidRPr="00883965">
        <w:rPr>
          <w:rFonts w:ascii="Times New Roman" w:hAnsi="Times New Roman"/>
          <w:sz w:val="24"/>
        </w:rPr>
        <w:t xml:space="preserve">(1931) at 93-94. </w:t>
      </w:r>
    </w:p>
  </w:footnote>
  <w:footnote w:id="77">
    <w:p w14:paraId="29B6266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Simpson, </w:t>
      </w:r>
      <w:r w:rsidRPr="00883965">
        <w:rPr>
          <w:rFonts w:ascii="Times New Roman" w:hAnsi="Times New Roman"/>
          <w:i/>
          <w:iCs/>
          <w:sz w:val="24"/>
        </w:rPr>
        <w:t xml:space="preserve">A History of the Common Law of Contract: The Rise of the Action of Assumpsit </w:t>
      </w:r>
      <w:r w:rsidRPr="00883965">
        <w:rPr>
          <w:rFonts w:ascii="Times New Roman" w:hAnsi="Times New Roman"/>
          <w:sz w:val="24"/>
        </w:rPr>
        <w:t xml:space="preserve">(1987) at 409. See also Sales, "Pure economic loss and assumption of responsibility: the Peter Taylor Memorial Address for the Professional Negligence Bar Association 20 April 2023" (2023) 39 </w:t>
      </w:r>
      <w:r w:rsidRPr="00883965">
        <w:rPr>
          <w:rFonts w:ascii="Times New Roman" w:hAnsi="Times New Roman"/>
          <w:i/>
          <w:iCs/>
          <w:sz w:val="24"/>
        </w:rPr>
        <w:t xml:space="preserve">Journal of Professional Negligence </w:t>
      </w:r>
      <w:r w:rsidRPr="00883965">
        <w:rPr>
          <w:rFonts w:ascii="Times New Roman" w:hAnsi="Times New Roman"/>
          <w:sz w:val="24"/>
        </w:rPr>
        <w:t>113 at 118-119.</w:t>
      </w:r>
    </w:p>
  </w:footnote>
  <w:footnote w:id="78">
    <w:p w14:paraId="4BECCB0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Winfield, "The History of Negligence in the Law of Torts" (1926) 42 </w:t>
      </w:r>
      <w:r w:rsidRPr="00883965">
        <w:rPr>
          <w:rFonts w:ascii="Times New Roman" w:hAnsi="Times New Roman"/>
          <w:i/>
          <w:iCs/>
          <w:sz w:val="24"/>
        </w:rPr>
        <w:t xml:space="preserve">Law Quarterly Review </w:t>
      </w:r>
      <w:r w:rsidRPr="00883965">
        <w:rPr>
          <w:rFonts w:ascii="Times New Roman" w:hAnsi="Times New Roman"/>
          <w:sz w:val="24"/>
        </w:rPr>
        <w:t>184 at 188-189; see also at 185-186.</w:t>
      </w:r>
    </w:p>
  </w:footnote>
  <w:footnote w:id="79">
    <w:p w14:paraId="5634FA6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Nocton</w:t>
      </w:r>
      <w:proofErr w:type="spellEnd"/>
      <w:r w:rsidRPr="00883965">
        <w:rPr>
          <w:rFonts w:ascii="Times New Roman" w:hAnsi="Times New Roman"/>
          <w:i/>
          <w:iCs/>
          <w:sz w:val="24"/>
        </w:rPr>
        <w:t xml:space="preserve"> v Lord Ashburton </w:t>
      </w:r>
      <w:r w:rsidRPr="00883965">
        <w:rPr>
          <w:rFonts w:ascii="Times New Roman" w:hAnsi="Times New Roman"/>
          <w:sz w:val="24"/>
        </w:rPr>
        <w:t xml:space="preserve">[1914] AC 932 at 948, 971. See also </w:t>
      </w:r>
      <w:r w:rsidRPr="00883965">
        <w:rPr>
          <w:rFonts w:ascii="Times New Roman" w:hAnsi="Times New Roman"/>
          <w:i/>
          <w:iCs/>
          <w:sz w:val="24"/>
        </w:rPr>
        <w:t xml:space="preserve">Peek v Gurney </w:t>
      </w:r>
      <w:r w:rsidRPr="00883965">
        <w:rPr>
          <w:rFonts w:ascii="Times New Roman" w:hAnsi="Times New Roman"/>
          <w:sz w:val="24"/>
        </w:rPr>
        <w:t xml:space="preserve">(1871) LR 13 Eq 79 at 97; </w:t>
      </w:r>
      <w:r w:rsidRPr="00883965">
        <w:rPr>
          <w:rFonts w:ascii="Times New Roman" w:hAnsi="Times New Roman"/>
          <w:i/>
          <w:iCs/>
          <w:sz w:val="24"/>
        </w:rPr>
        <w:t xml:space="preserve">Hedley Byrne &amp; Co Ltd v Heller &amp; Partners Ltd </w:t>
      </w:r>
      <w:r w:rsidRPr="00883965">
        <w:rPr>
          <w:rFonts w:ascii="Times New Roman" w:hAnsi="Times New Roman"/>
          <w:sz w:val="24"/>
        </w:rPr>
        <w:t xml:space="preserve">[1964] AC 465 at 528-529. </w:t>
      </w:r>
    </w:p>
  </w:footnote>
  <w:footnote w:id="80">
    <w:p w14:paraId="4976D96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Ibbetson, </w:t>
      </w:r>
      <w:r w:rsidRPr="00883965">
        <w:rPr>
          <w:rFonts w:ascii="Times New Roman" w:hAnsi="Times New Roman"/>
          <w:i/>
          <w:iCs/>
          <w:sz w:val="24"/>
        </w:rPr>
        <w:t xml:space="preserve">A Historical Introduction to the Law of Obligations </w:t>
      </w:r>
      <w:r w:rsidRPr="00883965">
        <w:rPr>
          <w:rFonts w:ascii="Times New Roman" w:hAnsi="Times New Roman"/>
          <w:sz w:val="24"/>
        </w:rPr>
        <w:t>(1999) at 239.</w:t>
      </w:r>
    </w:p>
  </w:footnote>
  <w:footnote w:id="81">
    <w:p w14:paraId="6F7ED65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Beever</w:t>
      </w:r>
      <w:proofErr w:type="spellEnd"/>
      <w:r w:rsidRPr="00883965">
        <w:rPr>
          <w:rFonts w:ascii="Times New Roman" w:hAnsi="Times New Roman"/>
          <w:sz w:val="24"/>
        </w:rPr>
        <w:t xml:space="preserve">, </w:t>
      </w:r>
      <w:r w:rsidRPr="00883965">
        <w:rPr>
          <w:rFonts w:ascii="Times New Roman" w:hAnsi="Times New Roman"/>
          <w:i/>
          <w:iCs/>
          <w:sz w:val="24"/>
        </w:rPr>
        <w:t xml:space="preserve">Rediscovering the Law of Negligence </w:t>
      </w:r>
      <w:r w:rsidRPr="00883965">
        <w:rPr>
          <w:rFonts w:ascii="Times New Roman" w:hAnsi="Times New Roman"/>
          <w:sz w:val="24"/>
        </w:rPr>
        <w:t>(2007) at 312.</w:t>
      </w:r>
    </w:p>
  </w:footnote>
  <w:footnote w:id="82">
    <w:p w14:paraId="6FF117C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[1964] AC 465.</w:t>
      </w:r>
    </w:p>
  </w:footnote>
  <w:footnote w:id="83">
    <w:p w14:paraId="0F2AF1D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Hedley Byrne &amp; Co Ltd v Heller &amp; Partners Ltd </w:t>
      </w:r>
      <w:r w:rsidRPr="00883965">
        <w:rPr>
          <w:rFonts w:ascii="Times New Roman" w:hAnsi="Times New Roman"/>
          <w:sz w:val="24"/>
        </w:rPr>
        <w:t>[1964] AC 465 at 517.</w:t>
      </w:r>
    </w:p>
  </w:footnote>
  <w:footnote w:id="84">
    <w:p w14:paraId="7D8B600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Hedley Byrne &amp; Co Ltd v Heller &amp; Partners Ltd </w:t>
      </w:r>
      <w:r w:rsidRPr="00883965">
        <w:rPr>
          <w:rFonts w:ascii="Times New Roman" w:hAnsi="Times New Roman"/>
          <w:sz w:val="24"/>
        </w:rPr>
        <w:t>[1964] AC 465 at 531.</w:t>
      </w:r>
    </w:p>
  </w:footnote>
  <w:footnote w:id="85">
    <w:p w14:paraId="66F0A1F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Jaffey</w:t>
      </w:r>
      <w:proofErr w:type="spellEnd"/>
      <w:r w:rsidRPr="00883965">
        <w:rPr>
          <w:rFonts w:ascii="Times New Roman" w:hAnsi="Times New Roman"/>
          <w:sz w:val="24"/>
        </w:rPr>
        <w:t xml:space="preserve">, "Contract in tort's clothing" (1985) 5 </w:t>
      </w:r>
      <w:r w:rsidRPr="00883965">
        <w:rPr>
          <w:rFonts w:ascii="Times New Roman" w:hAnsi="Times New Roman"/>
          <w:i/>
          <w:iCs/>
          <w:sz w:val="24"/>
        </w:rPr>
        <w:t xml:space="preserve">Legal Studies </w:t>
      </w:r>
      <w:r w:rsidRPr="00883965">
        <w:rPr>
          <w:rFonts w:ascii="Times New Roman" w:hAnsi="Times New Roman"/>
          <w:sz w:val="24"/>
        </w:rPr>
        <w:t>77 at 102-103.</w:t>
      </w:r>
    </w:p>
  </w:footnote>
  <w:footnote w:id="86">
    <w:p w14:paraId="3883945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See</w:t>
      </w:r>
      <w:r w:rsidRPr="00883965">
        <w:rPr>
          <w:rFonts w:ascii="Times New Roman" w:hAnsi="Times New Roman"/>
          <w:i/>
          <w:iCs/>
          <w:sz w:val="24"/>
        </w:rPr>
        <w:t xml:space="preserve"> Customs and Excise Commissioners v Barclays Bank plc </w:t>
      </w:r>
      <w:r w:rsidRPr="00883965">
        <w:rPr>
          <w:rFonts w:ascii="Times New Roman" w:hAnsi="Times New Roman"/>
          <w:sz w:val="24"/>
        </w:rPr>
        <w:t xml:space="preserve">[2007] 1 AC 181 at 190 [4]. </w:t>
      </w:r>
    </w:p>
  </w:footnote>
  <w:footnote w:id="87">
    <w:p w14:paraId="2ADFC719" w14:textId="77777777" w:rsidR="001F5442" w:rsidRPr="00883965" w:rsidRDefault="001F5442" w:rsidP="00883965">
      <w:pPr>
        <w:pStyle w:val="FootnoteText"/>
        <w:spacing w:line="280" w:lineRule="exact"/>
        <w:ind w:right="0"/>
        <w:jc w:val="both"/>
        <w:rPr>
          <w:rFonts w:ascii="Times New Roman" w:hAnsi="Times New Roman"/>
          <w:color w:val="000000" w:themeColor="text1"/>
          <w:sz w:val="24"/>
        </w:rPr>
      </w:pPr>
      <w:r w:rsidRPr="00883965">
        <w:rPr>
          <w:rStyle w:val="FootnoteReference"/>
          <w:rFonts w:ascii="Times New Roman" w:hAnsi="Times New Roman"/>
          <w:color w:val="000000" w:themeColor="text1"/>
          <w:sz w:val="22"/>
          <w:vertAlign w:val="baseline"/>
        </w:rPr>
        <w:footnoteRef/>
      </w:r>
      <w:r w:rsidRPr="00883965">
        <w:rPr>
          <w:rFonts w:ascii="Times New Roman" w:hAnsi="Times New Roman"/>
          <w:color w:val="000000" w:themeColor="text1"/>
          <w:sz w:val="24"/>
        </w:rPr>
        <w:t xml:space="preserve"> </w:t>
      </w:r>
      <w:r w:rsidRPr="00883965">
        <w:rPr>
          <w:rFonts w:ascii="Times New Roman" w:hAnsi="Times New Roman"/>
          <w:color w:val="000000" w:themeColor="text1"/>
          <w:sz w:val="24"/>
        </w:rPr>
        <w:tab/>
      </w:r>
      <w:r w:rsidRPr="00883965">
        <w:rPr>
          <w:rFonts w:ascii="Times New Roman" w:hAnsi="Times New Roman"/>
          <w:i/>
          <w:iCs/>
          <w:color w:val="000000" w:themeColor="text1"/>
          <w:sz w:val="24"/>
        </w:rPr>
        <w:t xml:space="preserve">Esanda Finance Corporation Ltd v Peat Marwick </w:t>
      </w:r>
      <w:proofErr w:type="spellStart"/>
      <w:r w:rsidRPr="00883965">
        <w:rPr>
          <w:rFonts w:ascii="Times New Roman" w:hAnsi="Times New Roman"/>
          <w:i/>
          <w:iCs/>
          <w:color w:val="000000" w:themeColor="text1"/>
          <w:sz w:val="24"/>
        </w:rPr>
        <w:t>Hungerfords</w:t>
      </w:r>
      <w:proofErr w:type="spellEnd"/>
      <w:r w:rsidRPr="00883965">
        <w:rPr>
          <w:rFonts w:ascii="Times New Roman" w:hAnsi="Times New Roman"/>
          <w:i/>
          <w:iCs/>
          <w:color w:val="000000" w:themeColor="text1"/>
          <w:sz w:val="24"/>
        </w:rPr>
        <w:t xml:space="preserve"> </w:t>
      </w:r>
      <w:r w:rsidRPr="00883965">
        <w:rPr>
          <w:rFonts w:ascii="Times New Roman" w:hAnsi="Times New Roman"/>
          <w:color w:val="000000" w:themeColor="text1"/>
          <w:sz w:val="24"/>
        </w:rPr>
        <w:t xml:space="preserve">(1997) 188 CLR 241 at 275. See also </w:t>
      </w:r>
      <w:r w:rsidRPr="00883965">
        <w:rPr>
          <w:rFonts w:ascii="Times New Roman" w:hAnsi="Times New Roman"/>
          <w:i/>
          <w:iCs/>
          <w:color w:val="000000" w:themeColor="text1"/>
          <w:sz w:val="24"/>
          <w:shd w:val="clear" w:color="auto" w:fill="FFFFFF"/>
        </w:rPr>
        <w:t>Brookfield Multiplex Ltd v Owners Corporation Strata Plan 61288</w:t>
      </w:r>
      <w:r w:rsidRPr="00883965">
        <w:rPr>
          <w:rFonts w:ascii="Times New Roman" w:hAnsi="Times New Roman"/>
          <w:color w:val="000000" w:themeColor="text1"/>
          <w:sz w:val="24"/>
          <w:shd w:val="clear" w:color="auto" w:fill="FFFFFF"/>
        </w:rPr>
        <w:t xml:space="preserve"> (2014) 254 CLR 185</w:t>
      </w:r>
      <w:r w:rsidRPr="00883965">
        <w:rPr>
          <w:rFonts w:ascii="Times New Roman" w:hAnsi="Times New Roman"/>
          <w:color w:val="000000" w:themeColor="text1"/>
          <w:sz w:val="24"/>
        </w:rPr>
        <w:t xml:space="preserve"> at 226 [122].</w:t>
      </w:r>
    </w:p>
  </w:footnote>
  <w:footnote w:id="88">
    <w:p w14:paraId="65E5C19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Australian Breeders Co-operative Society Ltd </w:t>
      </w:r>
      <w:proofErr w:type="gramStart"/>
      <w:r w:rsidRPr="00883965">
        <w:rPr>
          <w:rFonts w:ascii="Times New Roman" w:hAnsi="Times New Roman"/>
          <w:i/>
          <w:iCs/>
          <w:sz w:val="24"/>
        </w:rPr>
        <w:t>v</w:t>
      </w:r>
      <w:proofErr w:type="gramEnd"/>
      <w:r w:rsidRPr="00883965">
        <w:rPr>
          <w:rFonts w:ascii="Times New Roman" w:hAnsi="Times New Roman"/>
          <w:i/>
          <w:iCs/>
          <w:sz w:val="24"/>
        </w:rPr>
        <w:t xml:space="preserve"> Jones </w:t>
      </w:r>
      <w:r w:rsidRPr="00883965">
        <w:rPr>
          <w:rFonts w:ascii="Times New Roman" w:hAnsi="Times New Roman"/>
          <w:sz w:val="24"/>
        </w:rPr>
        <w:t xml:space="preserve">(1997) 150 ALR 488 at 523-524. </w:t>
      </w:r>
    </w:p>
  </w:footnote>
  <w:footnote w:id="89">
    <w:p w14:paraId="3A4121A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HXA v Surrey County Council </w:t>
      </w:r>
      <w:r w:rsidRPr="00883965">
        <w:rPr>
          <w:rFonts w:ascii="Times New Roman" w:hAnsi="Times New Roman"/>
          <w:sz w:val="24"/>
        </w:rPr>
        <w:t xml:space="preserve">[2024] 1 WLR 335 at 359 [90], 364 [108]. See Stevens, </w:t>
      </w:r>
      <w:r w:rsidRPr="00883965">
        <w:rPr>
          <w:rFonts w:ascii="Times New Roman" w:hAnsi="Times New Roman"/>
          <w:i/>
          <w:iCs/>
          <w:sz w:val="24"/>
        </w:rPr>
        <w:t xml:space="preserve">Torts and Rights </w:t>
      </w:r>
      <w:r w:rsidRPr="00883965">
        <w:rPr>
          <w:rFonts w:ascii="Times New Roman" w:hAnsi="Times New Roman"/>
          <w:sz w:val="24"/>
        </w:rPr>
        <w:t xml:space="preserve">(2007) at 11, 14-15; Nolan, "Assumption of Responsibility: Four Questions" (2019) 72 </w:t>
      </w:r>
      <w:r w:rsidRPr="00883965">
        <w:rPr>
          <w:rFonts w:ascii="Times New Roman" w:hAnsi="Times New Roman"/>
          <w:i/>
          <w:iCs/>
          <w:sz w:val="24"/>
        </w:rPr>
        <w:t xml:space="preserve">Current Legal Problems </w:t>
      </w:r>
      <w:r w:rsidRPr="00883965">
        <w:rPr>
          <w:rFonts w:ascii="Times New Roman" w:hAnsi="Times New Roman"/>
          <w:sz w:val="24"/>
        </w:rPr>
        <w:t>123 at 153-156.</w:t>
      </w:r>
    </w:p>
  </w:footnote>
  <w:footnote w:id="90">
    <w:p w14:paraId="6FB44B3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Nolan, "Assumption of Responsibility: Four Questions" (2019) 72 </w:t>
      </w:r>
      <w:r w:rsidRPr="00883965">
        <w:rPr>
          <w:rFonts w:ascii="Times New Roman" w:hAnsi="Times New Roman"/>
          <w:i/>
          <w:iCs/>
          <w:sz w:val="24"/>
        </w:rPr>
        <w:t xml:space="preserve">Current Legal Problems </w:t>
      </w:r>
      <w:r w:rsidRPr="00883965">
        <w:rPr>
          <w:rFonts w:ascii="Times New Roman" w:hAnsi="Times New Roman"/>
          <w:sz w:val="24"/>
        </w:rPr>
        <w:t xml:space="preserve">123 at 136, referring to </w:t>
      </w:r>
      <w:r w:rsidRPr="00883965">
        <w:rPr>
          <w:rFonts w:ascii="Times New Roman" w:hAnsi="Times New Roman"/>
          <w:i/>
          <w:iCs/>
          <w:sz w:val="24"/>
        </w:rPr>
        <w:t xml:space="preserve">Williams v Natural Life Health Foods Ltd </w:t>
      </w:r>
      <w:r w:rsidRPr="00883965">
        <w:rPr>
          <w:rFonts w:ascii="Times New Roman" w:hAnsi="Times New Roman"/>
          <w:sz w:val="24"/>
        </w:rPr>
        <w:t xml:space="preserve">[1998] 1 WLR 830; [1998] 2 All ER 577 and </w:t>
      </w:r>
      <w:r w:rsidRPr="00883965">
        <w:rPr>
          <w:rFonts w:ascii="Times New Roman" w:hAnsi="Times New Roman"/>
          <w:i/>
          <w:iCs/>
          <w:sz w:val="24"/>
        </w:rPr>
        <w:t xml:space="preserve">Playboy Club London Ltd v Banca Nazionale del </w:t>
      </w:r>
      <w:proofErr w:type="spellStart"/>
      <w:r w:rsidRPr="00883965">
        <w:rPr>
          <w:rFonts w:ascii="Times New Roman" w:hAnsi="Times New Roman"/>
          <w:i/>
          <w:iCs/>
          <w:sz w:val="24"/>
        </w:rPr>
        <w:t>Lavoro</w:t>
      </w:r>
      <w:proofErr w:type="spellEnd"/>
      <w:r w:rsidRPr="00883965">
        <w:rPr>
          <w:rFonts w:ascii="Times New Roman" w:hAnsi="Times New Roman"/>
          <w:i/>
          <w:iCs/>
          <w:sz w:val="24"/>
        </w:rPr>
        <w:t xml:space="preserve"> </w:t>
      </w:r>
      <w:proofErr w:type="spellStart"/>
      <w:r w:rsidRPr="00883965">
        <w:rPr>
          <w:rFonts w:ascii="Times New Roman" w:hAnsi="Times New Roman"/>
          <w:i/>
          <w:iCs/>
          <w:sz w:val="24"/>
        </w:rPr>
        <w:t>SpA</w:t>
      </w:r>
      <w:proofErr w:type="spellEnd"/>
      <w:r w:rsidRPr="00883965">
        <w:rPr>
          <w:rFonts w:ascii="Times New Roman" w:hAnsi="Times New Roman"/>
          <w:i/>
          <w:iCs/>
          <w:sz w:val="24"/>
        </w:rPr>
        <w:t xml:space="preserve"> </w:t>
      </w:r>
      <w:r w:rsidRPr="00883965">
        <w:rPr>
          <w:rFonts w:ascii="Times New Roman" w:hAnsi="Times New Roman"/>
          <w:sz w:val="24"/>
        </w:rPr>
        <w:t xml:space="preserve">[2018] 1 WLR 4041; [2019] 2 All ER 478. See also Sales, "Pure economic loss and assumption of responsibility: the Peter Taylor Memorial Address for the Professional Negligence Bar Association 20 April 2023" (2023) 39 </w:t>
      </w:r>
      <w:r w:rsidRPr="00883965">
        <w:rPr>
          <w:rFonts w:ascii="Times New Roman" w:hAnsi="Times New Roman"/>
          <w:i/>
          <w:iCs/>
          <w:sz w:val="24"/>
        </w:rPr>
        <w:t xml:space="preserve">Journal of Professional Negligence </w:t>
      </w:r>
      <w:r w:rsidRPr="00883965">
        <w:rPr>
          <w:rFonts w:ascii="Times New Roman" w:hAnsi="Times New Roman"/>
          <w:sz w:val="24"/>
        </w:rPr>
        <w:t>113 at 117.</w:t>
      </w:r>
    </w:p>
  </w:footnote>
  <w:footnote w:id="91">
    <w:p w14:paraId="72B79257"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Great Lakes Reinsurance (UK) plc (as Subrogee of </w:t>
      </w:r>
      <w:proofErr w:type="spellStart"/>
      <w:r w:rsidRPr="00883965">
        <w:rPr>
          <w:rFonts w:ascii="Times New Roman" w:hAnsi="Times New Roman"/>
          <w:i/>
          <w:iCs/>
          <w:sz w:val="24"/>
        </w:rPr>
        <w:t>Modrono's</w:t>
      </w:r>
      <w:proofErr w:type="spellEnd"/>
      <w:r w:rsidRPr="00883965">
        <w:rPr>
          <w:rFonts w:ascii="Times New Roman" w:hAnsi="Times New Roman"/>
          <w:i/>
          <w:iCs/>
          <w:sz w:val="24"/>
        </w:rPr>
        <w:t xml:space="preserve"> Bimini Place Ltd) v RAV Bahamas Ltd </w:t>
      </w:r>
      <w:r w:rsidRPr="00883965">
        <w:rPr>
          <w:rFonts w:ascii="Times New Roman" w:hAnsi="Times New Roman"/>
          <w:sz w:val="24"/>
        </w:rPr>
        <w:t>[2024] UKPC 11 at [26].</w:t>
      </w:r>
    </w:p>
  </w:footnote>
  <w:footnote w:id="92">
    <w:p w14:paraId="0776078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(1997) 188 CLR 159. </w:t>
      </w:r>
    </w:p>
  </w:footnote>
  <w:footnote w:id="93">
    <w:p w14:paraId="560B532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Hill v Van Erp </w:t>
      </w:r>
      <w:r w:rsidRPr="00883965">
        <w:rPr>
          <w:rFonts w:ascii="Times New Roman" w:hAnsi="Times New Roman"/>
          <w:sz w:val="24"/>
        </w:rPr>
        <w:t>(1997) 188 CLR 159 at 200.</w:t>
      </w:r>
    </w:p>
  </w:footnote>
  <w:footnote w:id="94">
    <w:p w14:paraId="0B81F73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Hill v Van Erp </w:t>
      </w:r>
      <w:r w:rsidRPr="00883965">
        <w:rPr>
          <w:rFonts w:ascii="Times New Roman" w:hAnsi="Times New Roman"/>
          <w:sz w:val="24"/>
        </w:rPr>
        <w:t>(1997) 188 CLR 159 at 230-231.</w:t>
      </w:r>
    </w:p>
  </w:footnote>
  <w:footnote w:id="95">
    <w:p w14:paraId="13F55F4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Hill v Van Erp </w:t>
      </w:r>
      <w:r w:rsidRPr="00883965">
        <w:rPr>
          <w:rFonts w:ascii="Times New Roman" w:hAnsi="Times New Roman"/>
          <w:sz w:val="24"/>
        </w:rPr>
        <w:t>(1997) 188 CLR 159 at 233.</w:t>
      </w:r>
    </w:p>
  </w:footnote>
  <w:footnote w:id="96">
    <w:p w14:paraId="47551B6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Hill v Van Erp </w:t>
      </w:r>
      <w:r w:rsidRPr="00883965">
        <w:rPr>
          <w:rFonts w:ascii="Times New Roman" w:hAnsi="Times New Roman"/>
          <w:sz w:val="24"/>
        </w:rPr>
        <w:t>(1997) 188 CLR 159 at 233.</w:t>
      </w:r>
    </w:p>
  </w:footnote>
  <w:footnote w:id="97">
    <w:p w14:paraId="27084A5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Liau</w:t>
      </w:r>
      <w:proofErr w:type="spellEnd"/>
      <w:r w:rsidRPr="00883965">
        <w:rPr>
          <w:rFonts w:ascii="Times New Roman" w:hAnsi="Times New Roman"/>
          <w:sz w:val="24"/>
        </w:rPr>
        <w:t xml:space="preserve">, </w:t>
      </w:r>
      <w:r w:rsidRPr="00883965">
        <w:rPr>
          <w:rFonts w:ascii="Times New Roman" w:hAnsi="Times New Roman"/>
          <w:i/>
          <w:iCs/>
          <w:sz w:val="24"/>
        </w:rPr>
        <w:t xml:space="preserve">Standing in Private Law: Powers of Enforcement in the Law of Obligations and Trusts </w:t>
      </w:r>
      <w:r w:rsidRPr="00883965">
        <w:rPr>
          <w:rFonts w:ascii="Times New Roman" w:hAnsi="Times New Roman"/>
          <w:sz w:val="24"/>
        </w:rPr>
        <w:t xml:space="preserve">(2023) at 226, referring to </w:t>
      </w:r>
      <w:r w:rsidRPr="00883965">
        <w:rPr>
          <w:rFonts w:ascii="Times New Roman" w:hAnsi="Times New Roman"/>
          <w:i/>
          <w:iCs/>
          <w:sz w:val="24"/>
        </w:rPr>
        <w:t xml:space="preserve">White v Jones </w:t>
      </w:r>
      <w:r w:rsidRPr="00883965">
        <w:rPr>
          <w:rFonts w:ascii="Times New Roman" w:hAnsi="Times New Roman"/>
          <w:sz w:val="24"/>
        </w:rPr>
        <w:t xml:space="preserve">[1995] 2 AC 207. </w:t>
      </w:r>
    </w:p>
  </w:footnote>
  <w:footnote w:id="98">
    <w:p w14:paraId="0419510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Mallonland</w:t>
      </w:r>
      <w:proofErr w:type="spellEnd"/>
      <w:r w:rsidRPr="00883965">
        <w:rPr>
          <w:rFonts w:ascii="Times New Roman" w:hAnsi="Times New Roman"/>
          <w:i/>
          <w:iCs/>
          <w:sz w:val="24"/>
        </w:rPr>
        <w:t xml:space="preserve"> Pty Ltd v Advanta Seeds Pty Ltd </w:t>
      </w:r>
      <w:r w:rsidRPr="00883965">
        <w:rPr>
          <w:rFonts w:ascii="Times New Roman" w:hAnsi="Times New Roman"/>
          <w:sz w:val="24"/>
        </w:rPr>
        <w:t xml:space="preserve">(2021) 7 QR 234 at 262-265 [110]-[126]. </w:t>
      </w:r>
    </w:p>
  </w:footnote>
  <w:footnote w:id="99">
    <w:p w14:paraId="5A46A727"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Hill v Van Erp </w:t>
      </w:r>
      <w:r w:rsidRPr="00883965">
        <w:rPr>
          <w:rFonts w:ascii="Times New Roman" w:hAnsi="Times New Roman"/>
          <w:sz w:val="24"/>
        </w:rPr>
        <w:t xml:space="preserve">(1997) 188 CLR 159 at 235, quoting </w:t>
      </w:r>
      <w:r w:rsidRPr="00883965">
        <w:rPr>
          <w:rFonts w:ascii="Times New Roman" w:hAnsi="Times New Roman"/>
          <w:i/>
          <w:iCs/>
          <w:sz w:val="24"/>
        </w:rPr>
        <w:t xml:space="preserve">Goodwill v British Pregnancy Advisory Service </w:t>
      </w:r>
      <w:r w:rsidRPr="00883965">
        <w:rPr>
          <w:rFonts w:ascii="Times New Roman" w:hAnsi="Times New Roman"/>
          <w:sz w:val="24"/>
        </w:rPr>
        <w:t>[1996] 1 WLR 1397 at 1403; [1996] 2 All ER 161 at 167.</w:t>
      </w:r>
    </w:p>
  </w:footnote>
  <w:footnote w:id="100">
    <w:p w14:paraId="638757A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shd w:val="clear" w:color="auto" w:fill="FFFFFF"/>
        </w:rPr>
        <w:t>Brookfield Multiplex Ltd v Owners Corporation Strata Plan 61288</w:t>
      </w:r>
      <w:r w:rsidRPr="00883965">
        <w:rPr>
          <w:rFonts w:ascii="Times New Roman" w:hAnsi="Times New Roman"/>
          <w:sz w:val="24"/>
          <w:shd w:val="clear" w:color="auto" w:fill="FFFFFF"/>
        </w:rPr>
        <w:t xml:space="preserve"> (2014) 254 CLR 185</w:t>
      </w:r>
      <w:r w:rsidRPr="00883965">
        <w:rPr>
          <w:rFonts w:ascii="Times New Roman" w:hAnsi="Times New Roman"/>
          <w:sz w:val="24"/>
        </w:rPr>
        <w:t xml:space="preserve"> at 226 [122], citing </w:t>
      </w:r>
      <w:r w:rsidRPr="00883965">
        <w:rPr>
          <w:rFonts w:ascii="Times New Roman" w:hAnsi="Times New Roman"/>
          <w:i/>
          <w:iCs/>
          <w:sz w:val="24"/>
        </w:rPr>
        <w:t xml:space="preserve">Allen v Flood </w:t>
      </w:r>
      <w:r w:rsidRPr="00883965">
        <w:rPr>
          <w:rFonts w:ascii="Times New Roman" w:hAnsi="Times New Roman"/>
          <w:sz w:val="24"/>
        </w:rPr>
        <w:t xml:space="preserve">[1898] AC 1. </w:t>
      </w:r>
    </w:p>
  </w:footnote>
  <w:footnote w:id="101">
    <w:p w14:paraId="5A3BD09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Baker v Bolton </w:t>
      </w:r>
      <w:r w:rsidRPr="00883965">
        <w:rPr>
          <w:rFonts w:ascii="Times New Roman" w:hAnsi="Times New Roman"/>
          <w:sz w:val="24"/>
        </w:rPr>
        <w:t xml:space="preserve">(1808) 1 Camp 493 [170 ER 1033]; </w:t>
      </w:r>
      <w:r w:rsidRPr="00883965">
        <w:rPr>
          <w:rFonts w:ascii="Times New Roman" w:hAnsi="Times New Roman"/>
          <w:i/>
          <w:iCs/>
          <w:sz w:val="24"/>
        </w:rPr>
        <w:t>Admiralty Commissioners v SS</w:t>
      </w:r>
      <w:r>
        <w:rPr>
          <w:rFonts w:ascii="Times New Roman" w:hAnsi="Times New Roman"/>
          <w:i/>
          <w:iCs/>
          <w:sz w:val="24"/>
        </w:rPr>
        <w:t> </w:t>
      </w:r>
      <w:r w:rsidRPr="00883965">
        <w:rPr>
          <w:rFonts w:ascii="Times New Roman" w:hAnsi="Times New Roman"/>
          <w:i/>
          <w:iCs/>
          <w:sz w:val="24"/>
        </w:rPr>
        <w:t xml:space="preserve">Amerika </w:t>
      </w:r>
      <w:r w:rsidRPr="00883965">
        <w:rPr>
          <w:rFonts w:ascii="Times New Roman" w:hAnsi="Times New Roman"/>
          <w:sz w:val="24"/>
        </w:rPr>
        <w:t xml:space="preserve">[1917] AC 38; </w:t>
      </w:r>
      <w:r w:rsidRPr="00883965">
        <w:rPr>
          <w:rFonts w:ascii="Times New Roman" w:hAnsi="Times New Roman"/>
          <w:i/>
          <w:iCs/>
          <w:sz w:val="24"/>
        </w:rPr>
        <w:t xml:space="preserve">Paul v Royal Wolverhampton NHS Trust </w:t>
      </w:r>
      <w:r w:rsidRPr="00883965">
        <w:rPr>
          <w:rFonts w:ascii="Times New Roman" w:hAnsi="Times New Roman"/>
          <w:sz w:val="24"/>
        </w:rPr>
        <w:t xml:space="preserve">[2024] 2 WLR 417 at 421-422 [2]; [2024] 2 All ER 681 at 685. See </w:t>
      </w:r>
      <w:r w:rsidRPr="00883965">
        <w:rPr>
          <w:rFonts w:ascii="Times New Roman" w:hAnsi="Times New Roman"/>
          <w:i/>
          <w:iCs/>
          <w:sz w:val="24"/>
        </w:rPr>
        <w:t>Barclay v Penberthy</w:t>
      </w:r>
      <w:r w:rsidRPr="00883965">
        <w:rPr>
          <w:rFonts w:ascii="Times New Roman" w:hAnsi="Times New Roman"/>
          <w:sz w:val="24"/>
        </w:rPr>
        <w:t xml:space="preserve"> (2012) 246 CLR 258 at 273 [1], 277 [21(1)].</w:t>
      </w:r>
    </w:p>
  </w:footnote>
  <w:footnote w:id="102">
    <w:p w14:paraId="43BDAF3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American Law Institute, </w:t>
      </w:r>
      <w:r w:rsidRPr="00883965">
        <w:rPr>
          <w:rFonts w:ascii="Times New Roman" w:hAnsi="Times New Roman"/>
          <w:i/>
          <w:iCs/>
          <w:sz w:val="24"/>
        </w:rPr>
        <w:t xml:space="preserve">Restatement (Third) of Torts: Liability for Economic Harm </w:t>
      </w:r>
      <w:r w:rsidRPr="00883965">
        <w:rPr>
          <w:rFonts w:ascii="Times New Roman" w:hAnsi="Times New Roman"/>
          <w:sz w:val="24"/>
        </w:rPr>
        <w:t xml:space="preserve">§7, comment c. </w:t>
      </w:r>
    </w:p>
  </w:footnote>
  <w:footnote w:id="103">
    <w:p w14:paraId="5EF75E3E"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American Law Institute, </w:t>
      </w:r>
      <w:r w:rsidRPr="00883965">
        <w:rPr>
          <w:rFonts w:ascii="Times New Roman" w:hAnsi="Times New Roman"/>
          <w:i/>
          <w:iCs/>
          <w:sz w:val="24"/>
        </w:rPr>
        <w:t xml:space="preserve">Restatement (Third) of Torts: Liability for Economic Harm </w:t>
      </w:r>
      <w:r w:rsidRPr="00883965">
        <w:rPr>
          <w:rFonts w:ascii="Times New Roman" w:hAnsi="Times New Roman"/>
          <w:sz w:val="24"/>
        </w:rPr>
        <w:t xml:space="preserve">§7, illustration 6. </w:t>
      </w:r>
    </w:p>
  </w:footnote>
  <w:footnote w:id="104">
    <w:p w14:paraId="52E7502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Louisville and Nashville Railroad Co v The Tug M/V Bayou Lacombe </w:t>
      </w:r>
      <w:r w:rsidRPr="00883965">
        <w:rPr>
          <w:rFonts w:ascii="Times New Roman" w:hAnsi="Times New Roman"/>
          <w:sz w:val="24"/>
        </w:rPr>
        <w:t>(1979) 597 F</w:t>
      </w:r>
      <w:r>
        <w:rPr>
          <w:rFonts w:ascii="Times New Roman" w:hAnsi="Times New Roman"/>
          <w:sz w:val="24"/>
        </w:rPr>
        <w:t> </w:t>
      </w:r>
      <w:r w:rsidRPr="00883965">
        <w:rPr>
          <w:rFonts w:ascii="Times New Roman" w:hAnsi="Times New Roman"/>
          <w:sz w:val="24"/>
        </w:rPr>
        <w:t xml:space="preserve">2d 469. See also </w:t>
      </w:r>
      <w:r w:rsidRPr="00883965">
        <w:rPr>
          <w:rFonts w:ascii="Times New Roman" w:hAnsi="Times New Roman"/>
          <w:i/>
          <w:iCs/>
          <w:sz w:val="24"/>
        </w:rPr>
        <w:t xml:space="preserve">Robins Dry Dock &amp; Repair Co v Flint </w:t>
      </w:r>
      <w:r w:rsidRPr="00883965">
        <w:rPr>
          <w:rFonts w:ascii="Times New Roman" w:hAnsi="Times New Roman"/>
          <w:sz w:val="24"/>
        </w:rPr>
        <w:t xml:space="preserve">(1927) 275 US 303. </w:t>
      </w:r>
    </w:p>
  </w:footnote>
  <w:footnote w:id="105">
    <w:p w14:paraId="0EF9F981"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Cattle v The Stockton Waterworks Co </w:t>
      </w:r>
      <w:r w:rsidRPr="00883965">
        <w:rPr>
          <w:rFonts w:ascii="Times New Roman" w:hAnsi="Times New Roman"/>
          <w:sz w:val="24"/>
        </w:rPr>
        <w:t xml:space="preserve">(1875) LR 10 QB 453; </w:t>
      </w:r>
      <w:r w:rsidRPr="00883965">
        <w:rPr>
          <w:rFonts w:ascii="Times New Roman" w:hAnsi="Times New Roman"/>
          <w:i/>
          <w:iCs/>
          <w:sz w:val="24"/>
        </w:rPr>
        <w:t xml:space="preserve">Simpson &amp; Co v Thomson </w:t>
      </w:r>
      <w:r w:rsidRPr="00883965">
        <w:rPr>
          <w:rFonts w:ascii="Times New Roman" w:hAnsi="Times New Roman"/>
          <w:sz w:val="24"/>
        </w:rPr>
        <w:t xml:space="preserve">(1877) 3 App Cas 279; </w:t>
      </w:r>
      <w:r w:rsidRPr="00883965">
        <w:rPr>
          <w:rFonts w:ascii="Times New Roman" w:hAnsi="Times New Roman"/>
          <w:i/>
          <w:iCs/>
          <w:sz w:val="24"/>
        </w:rPr>
        <w:t xml:space="preserve">La Société Anonyme de </w:t>
      </w:r>
      <w:proofErr w:type="spellStart"/>
      <w:r w:rsidRPr="00883965">
        <w:rPr>
          <w:rFonts w:ascii="Times New Roman" w:hAnsi="Times New Roman"/>
          <w:i/>
          <w:iCs/>
          <w:sz w:val="24"/>
        </w:rPr>
        <w:t>Remorquage</w:t>
      </w:r>
      <w:proofErr w:type="spellEnd"/>
      <w:r w:rsidRPr="00883965">
        <w:rPr>
          <w:rFonts w:ascii="Times New Roman" w:hAnsi="Times New Roman"/>
          <w:i/>
          <w:iCs/>
          <w:sz w:val="24"/>
        </w:rPr>
        <w:t xml:space="preserve"> à </w:t>
      </w:r>
      <w:proofErr w:type="spellStart"/>
      <w:r w:rsidRPr="00883965">
        <w:rPr>
          <w:rFonts w:ascii="Times New Roman" w:hAnsi="Times New Roman"/>
          <w:i/>
          <w:iCs/>
          <w:sz w:val="24"/>
        </w:rPr>
        <w:t>Hélice</w:t>
      </w:r>
      <w:proofErr w:type="spellEnd"/>
      <w:r w:rsidRPr="00883965">
        <w:rPr>
          <w:rFonts w:ascii="Times New Roman" w:hAnsi="Times New Roman"/>
          <w:i/>
          <w:iCs/>
          <w:sz w:val="24"/>
        </w:rPr>
        <w:t xml:space="preserve"> v Bennetts </w:t>
      </w:r>
      <w:r w:rsidRPr="00883965">
        <w:rPr>
          <w:rFonts w:ascii="Times New Roman" w:hAnsi="Times New Roman"/>
          <w:sz w:val="24"/>
        </w:rPr>
        <w:t xml:space="preserve">[1911] 1 KB 243; </w:t>
      </w:r>
      <w:r w:rsidRPr="00883965">
        <w:rPr>
          <w:rFonts w:ascii="Times New Roman" w:hAnsi="Times New Roman"/>
          <w:i/>
          <w:iCs/>
          <w:sz w:val="24"/>
        </w:rPr>
        <w:t xml:space="preserve">Weller &amp; Co v Foot and Mouth Disease Research Institute </w:t>
      </w:r>
      <w:r w:rsidRPr="00883965">
        <w:rPr>
          <w:rFonts w:ascii="Times New Roman" w:hAnsi="Times New Roman"/>
          <w:sz w:val="24"/>
        </w:rPr>
        <w:t xml:space="preserve">[1966] 1 QB 569; </w:t>
      </w:r>
      <w:r w:rsidRPr="00883965">
        <w:rPr>
          <w:rFonts w:ascii="Times New Roman" w:hAnsi="Times New Roman"/>
          <w:i/>
          <w:iCs/>
          <w:sz w:val="24"/>
        </w:rPr>
        <w:t xml:space="preserve">Margarine Union GmbH v Cambay Prince Steamship Co Ltd </w:t>
      </w:r>
      <w:r w:rsidRPr="00883965">
        <w:rPr>
          <w:rFonts w:ascii="Times New Roman" w:hAnsi="Times New Roman"/>
          <w:sz w:val="24"/>
        </w:rPr>
        <w:t xml:space="preserve">[1969] 1 QB 219; </w:t>
      </w:r>
      <w:r w:rsidRPr="00883965">
        <w:rPr>
          <w:rFonts w:ascii="Times New Roman" w:hAnsi="Times New Roman"/>
          <w:i/>
          <w:iCs/>
          <w:sz w:val="24"/>
        </w:rPr>
        <w:t xml:space="preserve">Spartan Steel &amp; Alloys Ltd v Martin &amp; Co (Contractors) Ltd </w:t>
      </w:r>
      <w:r w:rsidRPr="00883965">
        <w:rPr>
          <w:rFonts w:ascii="Times New Roman" w:hAnsi="Times New Roman"/>
          <w:sz w:val="24"/>
        </w:rPr>
        <w:t xml:space="preserve">[1973] QB 27; </w:t>
      </w:r>
      <w:r w:rsidRPr="00883965">
        <w:rPr>
          <w:rFonts w:ascii="Times New Roman" w:hAnsi="Times New Roman"/>
          <w:i/>
          <w:iCs/>
          <w:sz w:val="24"/>
        </w:rPr>
        <w:t xml:space="preserve">Leigh and </w:t>
      </w:r>
      <w:proofErr w:type="spellStart"/>
      <w:r w:rsidRPr="00883965">
        <w:rPr>
          <w:rFonts w:ascii="Times New Roman" w:hAnsi="Times New Roman"/>
          <w:i/>
          <w:iCs/>
          <w:sz w:val="24"/>
        </w:rPr>
        <w:t>Sillavan</w:t>
      </w:r>
      <w:proofErr w:type="spellEnd"/>
      <w:r w:rsidRPr="00883965">
        <w:rPr>
          <w:rFonts w:ascii="Times New Roman" w:hAnsi="Times New Roman"/>
          <w:i/>
          <w:iCs/>
          <w:sz w:val="24"/>
        </w:rPr>
        <w:t xml:space="preserve"> Ltd v Aliakmon Shipping Co Ltd </w:t>
      </w:r>
      <w:r w:rsidRPr="00883965">
        <w:rPr>
          <w:rFonts w:ascii="Times New Roman" w:hAnsi="Times New Roman"/>
          <w:sz w:val="24"/>
        </w:rPr>
        <w:t xml:space="preserve">[1986] AC 785.  </w:t>
      </w:r>
    </w:p>
  </w:footnote>
  <w:footnote w:id="106">
    <w:p w14:paraId="26E5727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Canadian National Railway Co v </w:t>
      </w:r>
      <w:proofErr w:type="spellStart"/>
      <w:r w:rsidRPr="00883965">
        <w:rPr>
          <w:rFonts w:ascii="Times New Roman" w:hAnsi="Times New Roman"/>
          <w:i/>
          <w:iCs/>
          <w:sz w:val="24"/>
        </w:rPr>
        <w:t>Norsk</w:t>
      </w:r>
      <w:proofErr w:type="spellEnd"/>
      <w:r w:rsidRPr="00883965">
        <w:rPr>
          <w:rFonts w:ascii="Times New Roman" w:hAnsi="Times New Roman"/>
          <w:i/>
          <w:iCs/>
          <w:sz w:val="24"/>
        </w:rPr>
        <w:t xml:space="preserve"> Pacific Steamship Co </w:t>
      </w:r>
      <w:r w:rsidRPr="00883965">
        <w:rPr>
          <w:rFonts w:ascii="Times New Roman" w:hAnsi="Times New Roman"/>
          <w:sz w:val="24"/>
        </w:rPr>
        <w:t xml:space="preserve">[1992] 1 SCR 1021 at 1037. See also </w:t>
      </w:r>
      <w:r w:rsidRPr="00883965">
        <w:rPr>
          <w:rFonts w:ascii="Times New Roman" w:hAnsi="Times New Roman"/>
          <w:i/>
          <w:iCs/>
          <w:sz w:val="24"/>
        </w:rPr>
        <w:t xml:space="preserve">Bow Valley Husky (Bermuda) Ltd v Saint John Shipbuilding Ltd </w:t>
      </w:r>
      <w:r w:rsidRPr="00883965">
        <w:rPr>
          <w:rFonts w:ascii="Times New Roman" w:hAnsi="Times New Roman"/>
          <w:sz w:val="24"/>
        </w:rPr>
        <w:t xml:space="preserve">[1997] 3 SCR 1210 at 1240-1243 [45]-[50]; </w:t>
      </w:r>
      <w:r w:rsidRPr="00883965">
        <w:rPr>
          <w:rFonts w:ascii="Times New Roman" w:hAnsi="Times New Roman"/>
          <w:i/>
          <w:iCs/>
          <w:sz w:val="24"/>
        </w:rPr>
        <w:t>Martel Building Ltd v Canada</w:t>
      </w:r>
      <w:r w:rsidRPr="00883965">
        <w:rPr>
          <w:rFonts w:ascii="Times New Roman" w:hAnsi="Times New Roman"/>
          <w:sz w:val="24"/>
        </w:rPr>
        <w:t xml:space="preserve"> [2000] 2 SCR 860 at 879-880 [44]-[46].</w:t>
      </w:r>
    </w:p>
  </w:footnote>
  <w:footnote w:id="107">
    <w:p w14:paraId="4B657707"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Brown, </w:t>
      </w:r>
      <w:r w:rsidRPr="00883965">
        <w:rPr>
          <w:rFonts w:ascii="Times New Roman" w:hAnsi="Times New Roman"/>
          <w:i/>
          <w:iCs/>
          <w:sz w:val="24"/>
        </w:rPr>
        <w:t xml:space="preserve">Pure Economic Loss in Canadian Negligence Law </w:t>
      </w:r>
      <w:r w:rsidRPr="00883965">
        <w:rPr>
          <w:rFonts w:ascii="Times New Roman" w:hAnsi="Times New Roman"/>
          <w:sz w:val="24"/>
        </w:rPr>
        <w:t xml:space="preserve">(2011) at x, xi. See also </w:t>
      </w:r>
      <w:proofErr w:type="spellStart"/>
      <w:r w:rsidRPr="00883965">
        <w:rPr>
          <w:rFonts w:ascii="Times New Roman" w:hAnsi="Times New Roman"/>
          <w:sz w:val="24"/>
        </w:rPr>
        <w:t>Neyers</w:t>
      </w:r>
      <w:proofErr w:type="spellEnd"/>
      <w:r w:rsidRPr="00883965">
        <w:rPr>
          <w:rFonts w:ascii="Times New Roman" w:hAnsi="Times New Roman"/>
          <w:sz w:val="24"/>
        </w:rPr>
        <w:t xml:space="preserve"> and </w:t>
      </w:r>
      <w:proofErr w:type="spellStart"/>
      <w:r w:rsidRPr="00883965">
        <w:rPr>
          <w:rFonts w:ascii="Times New Roman" w:hAnsi="Times New Roman"/>
          <w:sz w:val="24"/>
        </w:rPr>
        <w:t>Botterell</w:t>
      </w:r>
      <w:proofErr w:type="spellEnd"/>
      <w:r w:rsidRPr="00883965">
        <w:rPr>
          <w:rFonts w:ascii="Times New Roman" w:hAnsi="Times New Roman"/>
          <w:sz w:val="24"/>
        </w:rPr>
        <w:t>, "</w:t>
      </w:r>
      <w:r w:rsidRPr="00883965">
        <w:rPr>
          <w:rFonts w:ascii="Times New Roman" w:hAnsi="Times New Roman"/>
          <w:i/>
          <w:iCs/>
          <w:sz w:val="24"/>
        </w:rPr>
        <w:t>Tate &amp; Lyle</w:t>
      </w:r>
      <w:r w:rsidRPr="00883965">
        <w:rPr>
          <w:rFonts w:ascii="Times New Roman" w:hAnsi="Times New Roman"/>
          <w:sz w:val="24"/>
        </w:rPr>
        <w:t xml:space="preserve">: Pure Economic Loss and the Modern Tort of Public Nuisance" (2016) 53 </w:t>
      </w:r>
      <w:r w:rsidRPr="00883965">
        <w:rPr>
          <w:rFonts w:ascii="Times New Roman" w:hAnsi="Times New Roman"/>
          <w:i/>
          <w:iCs/>
          <w:sz w:val="24"/>
        </w:rPr>
        <w:t xml:space="preserve">Alberta Law Review </w:t>
      </w:r>
      <w:r w:rsidRPr="00883965">
        <w:rPr>
          <w:rFonts w:ascii="Times New Roman" w:hAnsi="Times New Roman"/>
          <w:sz w:val="24"/>
        </w:rPr>
        <w:t xml:space="preserve">1031 at 1045-1046. </w:t>
      </w:r>
    </w:p>
  </w:footnote>
  <w:footnote w:id="108">
    <w:p w14:paraId="0E94370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Brown, </w:t>
      </w:r>
      <w:r w:rsidRPr="00883965">
        <w:rPr>
          <w:rFonts w:ascii="Times New Roman" w:hAnsi="Times New Roman"/>
          <w:i/>
          <w:iCs/>
          <w:sz w:val="24"/>
        </w:rPr>
        <w:t xml:space="preserve">Pure Economic Loss in Canadian Negligence Law </w:t>
      </w:r>
      <w:r w:rsidRPr="00883965">
        <w:rPr>
          <w:rFonts w:ascii="Times New Roman" w:hAnsi="Times New Roman"/>
          <w:sz w:val="24"/>
        </w:rPr>
        <w:t xml:space="preserve">(2011) at 76 [2.36].   </w:t>
      </w:r>
    </w:p>
  </w:footnote>
  <w:footnote w:id="109">
    <w:p w14:paraId="671038E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(1976) 136 CLR 529. </w:t>
      </w:r>
    </w:p>
  </w:footnote>
  <w:footnote w:id="110">
    <w:p w14:paraId="7463A73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 xml:space="preserve">(1976) 136 CLR 529 at 544. </w:t>
      </w:r>
    </w:p>
  </w:footnote>
  <w:footnote w:id="111">
    <w:p w14:paraId="2E12FD1D"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555, 592-593.</w:t>
      </w:r>
    </w:p>
  </w:footnote>
  <w:footnote w:id="112">
    <w:p w14:paraId="29851F6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 xml:space="preserve">(1976) 136 CLR 529 at 604. </w:t>
      </w:r>
    </w:p>
  </w:footnote>
  <w:footnote w:id="113">
    <w:p w14:paraId="73133C8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606.</w:t>
      </w:r>
    </w:p>
  </w:footnote>
  <w:footnote w:id="114">
    <w:p w14:paraId="4407415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575-577.</w:t>
      </w:r>
    </w:p>
  </w:footnote>
  <w:footnote w:id="115">
    <w:p w14:paraId="6562AF7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[1986] AC 1 at 21-22.</w:t>
      </w:r>
    </w:p>
  </w:footnote>
  <w:footnote w:id="116">
    <w:p w14:paraId="15F395D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proofErr w:type="spellStart"/>
      <w:r w:rsidRPr="00883965">
        <w:rPr>
          <w:rFonts w:ascii="Times New Roman" w:hAnsi="Times New Roman"/>
          <w:i/>
          <w:iCs/>
          <w:sz w:val="24"/>
        </w:rPr>
        <w:t>Garlett</w:t>
      </w:r>
      <w:proofErr w:type="spellEnd"/>
      <w:r w:rsidRPr="00883965">
        <w:rPr>
          <w:rFonts w:ascii="Times New Roman" w:hAnsi="Times New Roman"/>
          <w:i/>
          <w:iCs/>
          <w:sz w:val="24"/>
        </w:rPr>
        <w:t xml:space="preserve"> v Western Australia </w:t>
      </w:r>
      <w:r w:rsidRPr="00883965">
        <w:rPr>
          <w:rFonts w:ascii="Times New Roman" w:hAnsi="Times New Roman"/>
          <w:sz w:val="24"/>
        </w:rPr>
        <w:t>(2022) 277 CLR 1 at 87 [239]-[240].</w:t>
      </w:r>
    </w:p>
  </w:footnote>
  <w:footnote w:id="117">
    <w:p w14:paraId="3CC953B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577.</w:t>
      </w:r>
    </w:p>
  </w:footnote>
  <w:footnote w:id="118">
    <w:p w14:paraId="129D8D2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Brown, </w:t>
      </w:r>
      <w:r w:rsidRPr="00883965">
        <w:rPr>
          <w:rFonts w:ascii="Times New Roman" w:hAnsi="Times New Roman"/>
          <w:i/>
          <w:iCs/>
          <w:sz w:val="24"/>
        </w:rPr>
        <w:t xml:space="preserve">Pure Economic Loss in Canadian Negligence Law </w:t>
      </w:r>
      <w:r w:rsidRPr="00883965">
        <w:rPr>
          <w:rFonts w:ascii="Times New Roman" w:hAnsi="Times New Roman"/>
          <w:sz w:val="24"/>
        </w:rPr>
        <w:t xml:space="preserve">(2011) at 75 [2.34].  </w:t>
      </w:r>
    </w:p>
  </w:footnote>
  <w:footnote w:id="119">
    <w:p w14:paraId="413D5D7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(1999) 198 CLR 180. </w:t>
      </w:r>
    </w:p>
  </w:footnote>
  <w:footnote w:id="120">
    <w:p w14:paraId="6A38B7C9"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192 [4].</w:t>
      </w:r>
    </w:p>
  </w:footnote>
  <w:footnote w:id="121">
    <w:p w14:paraId="1CEF9461"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303 [335], 324 [402].</w:t>
      </w:r>
    </w:p>
  </w:footnote>
  <w:footnote w:id="122">
    <w:p w14:paraId="2E1C187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194 [12]. </w:t>
      </w:r>
    </w:p>
  </w:footnote>
  <w:footnote w:id="123">
    <w:p w14:paraId="06E37529"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254 [201].</w:t>
      </w:r>
    </w:p>
  </w:footnote>
  <w:footnote w:id="124">
    <w:p w14:paraId="5F1256E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326 [406].</w:t>
      </w:r>
    </w:p>
  </w:footnote>
  <w:footnote w:id="125">
    <w:p w14:paraId="5D9C877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220 [104].</w:t>
      </w:r>
    </w:p>
  </w:footnote>
  <w:footnote w:id="126">
    <w:p w14:paraId="5905351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285 [286].</w:t>
      </w:r>
    </w:p>
  </w:footnote>
  <w:footnote w:id="127">
    <w:p w14:paraId="37D1DBC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195 [15], 259-260 [215]-[216], 326 [406], [408].</w:t>
      </w:r>
    </w:p>
  </w:footnote>
  <w:footnote w:id="128">
    <w:p w14:paraId="08E8BB1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especially, </w:t>
      </w:r>
      <w:r w:rsidRPr="00883965">
        <w:rPr>
          <w:rFonts w:ascii="Times New Roman" w:hAnsi="Times New Roman"/>
          <w:i/>
          <w:iCs/>
          <w:sz w:val="24"/>
        </w:rPr>
        <w:t xml:space="preserve">Bennett v Minister of Community Welfare </w:t>
      </w:r>
      <w:r w:rsidRPr="00883965">
        <w:rPr>
          <w:rFonts w:ascii="Times New Roman" w:hAnsi="Times New Roman"/>
          <w:sz w:val="24"/>
        </w:rPr>
        <w:t>(1992) 176 CLR 408.</w:t>
      </w:r>
    </w:p>
  </w:footnote>
  <w:footnote w:id="129">
    <w:p w14:paraId="635DD60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201 [38].</w:t>
      </w:r>
    </w:p>
  </w:footnote>
  <w:footnote w:id="130">
    <w:p w14:paraId="21E92D6E"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213 [84].</w:t>
      </w:r>
    </w:p>
  </w:footnote>
  <w:footnote w:id="131">
    <w:p w14:paraId="098088BD"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225-226 [119], 229-230 [129].</w:t>
      </w:r>
    </w:p>
  </w:footnote>
  <w:footnote w:id="132">
    <w:p w14:paraId="230A81D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230 [130].</w:t>
      </w:r>
    </w:p>
  </w:footnote>
  <w:footnote w:id="133">
    <w:p w14:paraId="6524045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271 [250], quoting </w:t>
      </w:r>
      <w:r w:rsidRPr="00883965">
        <w:rPr>
          <w:rFonts w:ascii="Times New Roman" w:hAnsi="Times New Roman"/>
          <w:i/>
          <w:iCs/>
          <w:sz w:val="24"/>
        </w:rPr>
        <w:t xml:space="preserve">Canadian National Railway Co v </w:t>
      </w:r>
      <w:proofErr w:type="spellStart"/>
      <w:r w:rsidRPr="00883965">
        <w:rPr>
          <w:rFonts w:ascii="Times New Roman" w:hAnsi="Times New Roman"/>
          <w:i/>
          <w:iCs/>
          <w:sz w:val="24"/>
        </w:rPr>
        <w:t>Norsk</w:t>
      </w:r>
      <w:proofErr w:type="spellEnd"/>
      <w:r w:rsidRPr="00883965">
        <w:rPr>
          <w:rFonts w:ascii="Times New Roman" w:hAnsi="Times New Roman"/>
          <w:i/>
          <w:iCs/>
          <w:sz w:val="24"/>
        </w:rPr>
        <w:t xml:space="preserve"> Pacific Steamship Co </w:t>
      </w:r>
      <w:r w:rsidRPr="00883965">
        <w:rPr>
          <w:rFonts w:ascii="Times New Roman" w:hAnsi="Times New Roman"/>
          <w:sz w:val="24"/>
        </w:rPr>
        <w:t>[1992] 1 SCR 1021 at 1130-1131.</w:t>
      </w:r>
    </w:p>
  </w:footnote>
  <w:footnote w:id="134">
    <w:p w14:paraId="31C8A69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264 [233].</w:t>
      </w:r>
    </w:p>
  </w:footnote>
  <w:footnote w:id="135">
    <w:p w14:paraId="79AC1F9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Atiyah</w:t>
      </w:r>
      <w:proofErr w:type="spellEnd"/>
      <w:r w:rsidRPr="00883965">
        <w:rPr>
          <w:rFonts w:ascii="Times New Roman" w:hAnsi="Times New Roman"/>
          <w:sz w:val="24"/>
        </w:rPr>
        <w:t xml:space="preserve">, "Negligence and Economic Loss" (1967) 83 </w:t>
      </w:r>
      <w:r w:rsidRPr="00883965">
        <w:rPr>
          <w:rFonts w:ascii="Times New Roman" w:hAnsi="Times New Roman"/>
          <w:i/>
          <w:iCs/>
          <w:sz w:val="24"/>
        </w:rPr>
        <w:t xml:space="preserve">Law Quarterly Review </w:t>
      </w:r>
      <w:r w:rsidRPr="00883965">
        <w:rPr>
          <w:rFonts w:ascii="Times New Roman" w:hAnsi="Times New Roman"/>
          <w:sz w:val="24"/>
        </w:rPr>
        <w:t xml:space="preserve">248, especially at 266-267. </w:t>
      </w:r>
    </w:p>
  </w:footnote>
  <w:footnote w:id="136">
    <w:p w14:paraId="5B459051"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sz w:val="24"/>
        </w:rPr>
        <w:t xml:space="preserve">Caltex Oil (Australia) Pty Ltd v The Dredge "Willemstad" </w:t>
      </w:r>
      <w:r w:rsidRPr="00883965">
        <w:rPr>
          <w:rFonts w:ascii="Times New Roman" w:hAnsi="Times New Roman"/>
          <w:sz w:val="24"/>
        </w:rPr>
        <w:t xml:space="preserve">(1976) 136 CLR 529 at 568-569. </w:t>
      </w:r>
    </w:p>
  </w:footnote>
  <w:footnote w:id="137">
    <w:p w14:paraId="16BE5BF4" w14:textId="77777777" w:rsidR="001F5442" w:rsidRPr="00883965" w:rsidRDefault="001F5442" w:rsidP="00883965">
      <w:pPr>
        <w:pStyle w:val="FootnoteText"/>
        <w:spacing w:line="280" w:lineRule="exact"/>
        <w:ind w:right="0"/>
        <w:jc w:val="both"/>
        <w:rPr>
          <w:rFonts w:ascii="Times New Roman" w:hAnsi="Times New Roman"/>
          <w:i/>
          <w:iCs/>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BA v The King</w:t>
      </w:r>
      <w:r w:rsidRPr="00883965">
        <w:rPr>
          <w:rFonts w:ascii="Times New Roman" w:hAnsi="Times New Roman"/>
          <w:sz w:val="24"/>
        </w:rPr>
        <w:t xml:space="preserve"> (2023) 275 CLR 128 at 156 [69]. See also </w:t>
      </w:r>
      <w:proofErr w:type="spellStart"/>
      <w:r w:rsidRPr="00883965">
        <w:rPr>
          <w:rFonts w:ascii="Times New Roman" w:hAnsi="Times New Roman"/>
          <w:i/>
          <w:iCs/>
          <w:sz w:val="24"/>
        </w:rPr>
        <w:t>Radaich</w:t>
      </w:r>
      <w:proofErr w:type="spellEnd"/>
      <w:r w:rsidRPr="00883965">
        <w:rPr>
          <w:rFonts w:ascii="Times New Roman" w:hAnsi="Times New Roman"/>
          <w:i/>
          <w:iCs/>
          <w:sz w:val="24"/>
        </w:rPr>
        <w:t xml:space="preserve"> v Smith </w:t>
      </w:r>
      <w:r w:rsidRPr="00883965">
        <w:rPr>
          <w:rFonts w:ascii="Times New Roman" w:hAnsi="Times New Roman"/>
          <w:sz w:val="24"/>
        </w:rPr>
        <w:t xml:space="preserve">(1959) 101 CLR 209 at 216-217, 220, 222; </w:t>
      </w:r>
      <w:r w:rsidRPr="00883965">
        <w:rPr>
          <w:rFonts w:ascii="Times New Roman" w:hAnsi="Times New Roman"/>
          <w:i/>
          <w:iCs/>
          <w:sz w:val="24"/>
        </w:rPr>
        <w:t xml:space="preserve">Lewis v Bell </w:t>
      </w:r>
      <w:r w:rsidRPr="00883965">
        <w:rPr>
          <w:rFonts w:ascii="Times New Roman" w:hAnsi="Times New Roman"/>
          <w:sz w:val="24"/>
        </w:rPr>
        <w:t xml:space="preserve">(1985) 1 NSWLR 731 at 734; </w:t>
      </w:r>
      <w:r w:rsidRPr="00883965">
        <w:rPr>
          <w:rFonts w:ascii="Times New Roman" w:hAnsi="Times New Roman"/>
          <w:i/>
          <w:iCs/>
          <w:sz w:val="24"/>
        </w:rPr>
        <w:t xml:space="preserve">Western Australia v Ward </w:t>
      </w:r>
      <w:r w:rsidRPr="00883965">
        <w:rPr>
          <w:rFonts w:ascii="Times New Roman" w:hAnsi="Times New Roman"/>
          <w:sz w:val="24"/>
        </w:rPr>
        <w:t xml:space="preserve">(2002) 213 CLR 1 at 222 [501]; </w:t>
      </w:r>
      <w:proofErr w:type="spellStart"/>
      <w:r w:rsidRPr="00883965">
        <w:rPr>
          <w:rFonts w:ascii="Times New Roman" w:hAnsi="Times New Roman"/>
          <w:i/>
          <w:iCs/>
          <w:sz w:val="24"/>
        </w:rPr>
        <w:t>Georgeski</w:t>
      </w:r>
      <w:proofErr w:type="spellEnd"/>
      <w:r w:rsidRPr="00883965">
        <w:rPr>
          <w:rFonts w:ascii="Times New Roman" w:hAnsi="Times New Roman"/>
          <w:i/>
          <w:iCs/>
          <w:sz w:val="24"/>
        </w:rPr>
        <w:t xml:space="preserve"> v Owners Corporation SP49833 </w:t>
      </w:r>
      <w:r w:rsidRPr="00883965">
        <w:rPr>
          <w:rFonts w:ascii="Times New Roman" w:hAnsi="Times New Roman"/>
          <w:sz w:val="24"/>
        </w:rPr>
        <w:t>(2004) 62 NSWLR 534 at 562 [102].</w:t>
      </w:r>
    </w:p>
  </w:footnote>
  <w:footnote w:id="138">
    <w:p w14:paraId="1FDA620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Graham Barclay Oysters Pty Ltd v Ryan </w:t>
      </w:r>
      <w:r w:rsidRPr="00883965">
        <w:rPr>
          <w:rFonts w:ascii="Times New Roman" w:hAnsi="Times New Roman"/>
          <w:sz w:val="24"/>
        </w:rPr>
        <w:t>(2002) 211 CLR 540</w:t>
      </w:r>
      <w:r w:rsidRPr="00883965">
        <w:rPr>
          <w:rFonts w:ascii="Times New Roman" w:hAnsi="Times New Roman"/>
          <w:i/>
          <w:iCs/>
          <w:sz w:val="24"/>
        </w:rPr>
        <w:t xml:space="preserve"> </w:t>
      </w:r>
      <w:r w:rsidRPr="00883965">
        <w:rPr>
          <w:rFonts w:ascii="Times New Roman" w:hAnsi="Times New Roman"/>
          <w:sz w:val="24"/>
        </w:rPr>
        <w:t xml:space="preserve">at 624-625 [236], 664 [321]; </w:t>
      </w:r>
      <w:r w:rsidRPr="00883965">
        <w:rPr>
          <w:rFonts w:ascii="Times New Roman" w:hAnsi="Times New Roman"/>
          <w:i/>
          <w:iCs/>
          <w:sz w:val="24"/>
        </w:rPr>
        <w:t xml:space="preserve">Woolcock Street Investments Pty Ltd v CDG Pty Ltd </w:t>
      </w:r>
      <w:r w:rsidRPr="00883965">
        <w:rPr>
          <w:rFonts w:ascii="Times New Roman" w:hAnsi="Times New Roman"/>
          <w:sz w:val="24"/>
        </w:rPr>
        <w:t xml:space="preserve">(2004) 216 CLR 515 at 530-531 [22]-[23]. </w:t>
      </w:r>
    </w:p>
  </w:footnote>
  <w:footnote w:id="139">
    <w:p w14:paraId="17EF7DD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Stapleton, </w:t>
      </w:r>
      <w:r w:rsidRPr="00883965">
        <w:rPr>
          <w:rFonts w:ascii="Times New Roman" w:hAnsi="Times New Roman"/>
          <w:i/>
          <w:iCs/>
          <w:sz w:val="24"/>
        </w:rPr>
        <w:t xml:space="preserve">Three Essays on Torts </w:t>
      </w:r>
      <w:r w:rsidRPr="00883965">
        <w:rPr>
          <w:rFonts w:ascii="Times New Roman" w:hAnsi="Times New Roman"/>
          <w:sz w:val="24"/>
        </w:rPr>
        <w:t xml:space="preserve">(2021) at 62, </w:t>
      </w:r>
      <w:proofErr w:type="spellStart"/>
      <w:r w:rsidRPr="00883965">
        <w:rPr>
          <w:rFonts w:ascii="Times New Roman" w:hAnsi="Times New Roman"/>
          <w:sz w:val="24"/>
        </w:rPr>
        <w:t>fn</w:t>
      </w:r>
      <w:proofErr w:type="spellEnd"/>
      <w:r w:rsidRPr="00883965">
        <w:rPr>
          <w:rFonts w:ascii="Times New Roman" w:hAnsi="Times New Roman"/>
          <w:sz w:val="24"/>
        </w:rPr>
        <w:t xml:space="preserve"> 104. </w:t>
      </w:r>
    </w:p>
  </w:footnote>
  <w:footnote w:id="140">
    <w:p w14:paraId="59BB45A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 xml:space="preserve">(1976) 136 CLR 529 at 534. </w:t>
      </w:r>
    </w:p>
  </w:footnote>
  <w:footnote w:id="141">
    <w:p w14:paraId="006CA38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 xml:space="preserve">(1976) 136 CLR 529 at 570-571, referring to </w:t>
      </w:r>
      <w:r w:rsidRPr="00883965">
        <w:rPr>
          <w:rFonts w:ascii="Times New Roman" w:hAnsi="Times New Roman"/>
          <w:i/>
          <w:iCs/>
          <w:sz w:val="24"/>
        </w:rPr>
        <w:t xml:space="preserve">Morrison Steamship Co Ltd v </w:t>
      </w:r>
      <w:proofErr w:type="spellStart"/>
      <w:r w:rsidRPr="00883965">
        <w:rPr>
          <w:rFonts w:ascii="Times New Roman" w:hAnsi="Times New Roman"/>
          <w:i/>
          <w:iCs/>
          <w:sz w:val="24"/>
        </w:rPr>
        <w:t>Greystoke</w:t>
      </w:r>
      <w:proofErr w:type="spellEnd"/>
      <w:r w:rsidRPr="00883965">
        <w:rPr>
          <w:rFonts w:ascii="Times New Roman" w:hAnsi="Times New Roman"/>
          <w:i/>
          <w:iCs/>
          <w:sz w:val="24"/>
        </w:rPr>
        <w:t xml:space="preserve"> Castle (Cargo Owners) </w:t>
      </w:r>
      <w:r w:rsidRPr="00883965">
        <w:rPr>
          <w:rFonts w:ascii="Times New Roman" w:hAnsi="Times New Roman"/>
          <w:sz w:val="24"/>
        </w:rPr>
        <w:t xml:space="preserve">[1947] AC 265. See </w:t>
      </w:r>
      <w:r w:rsidRPr="00883965">
        <w:rPr>
          <w:rFonts w:ascii="Times New Roman" w:hAnsi="Times New Roman"/>
          <w:i/>
          <w:iCs/>
          <w:sz w:val="24"/>
        </w:rPr>
        <w:t xml:space="preserve">Murphy v Brentwood District Council </w:t>
      </w:r>
      <w:r w:rsidRPr="00883965">
        <w:rPr>
          <w:rFonts w:ascii="Times New Roman" w:hAnsi="Times New Roman"/>
          <w:sz w:val="24"/>
        </w:rPr>
        <w:t xml:space="preserve">[1991] 1 AC 398 at 468. </w:t>
      </w:r>
    </w:p>
  </w:footnote>
  <w:footnote w:id="142">
    <w:p w14:paraId="62CAA69E"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 xml:space="preserve">(1976) 136 CLR 529 at 558. </w:t>
      </w:r>
    </w:p>
  </w:footnote>
  <w:footnote w:id="143">
    <w:p w14:paraId="1366F22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Sullivan v Moody </w:t>
      </w:r>
      <w:r w:rsidRPr="00883965">
        <w:rPr>
          <w:rFonts w:ascii="Times New Roman" w:hAnsi="Times New Roman"/>
          <w:sz w:val="24"/>
        </w:rPr>
        <w:t>(2001) 207 CLR 562 at 578-579 [48].</w:t>
      </w:r>
    </w:p>
  </w:footnote>
  <w:footnote w:id="144">
    <w:p w14:paraId="6F64F06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574.</w:t>
      </w:r>
    </w:p>
  </w:footnote>
  <w:footnote w:id="145">
    <w:p w14:paraId="0E6678C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Feldthusen</w:t>
      </w:r>
      <w:proofErr w:type="spellEnd"/>
      <w:r w:rsidRPr="00883965">
        <w:rPr>
          <w:rFonts w:ascii="Times New Roman" w:hAnsi="Times New Roman"/>
          <w:sz w:val="24"/>
        </w:rPr>
        <w:t xml:space="preserve">, "Pure Economic Loss in the High Court of Australia: Reinventing the Square Wheel?" (2000) 8 </w:t>
      </w:r>
      <w:r w:rsidRPr="00883965">
        <w:rPr>
          <w:rFonts w:ascii="Times New Roman" w:hAnsi="Times New Roman"/>
          <w:i/>
          <w:iCs/>
          <w:sz w:val="24"/>
        </w:rPr>
        <w:t xml:space="preserve">Tort Law Review </w:t>
      </w:r>
      <w:r w:rsidRPr="00883965">
        <w:rPr>
          <w:rFonts w:ascii="Times New Roman" w:hAnsi="Times New Roman"/>
          <w:sz w:val="24"/>
        </w:rPr>
        <w:t xml:space="preserve">33 at 39. </w:t>
      </w:r>
    </w:p>
  </w:footnote>
  <w:footnote w:id="146">
    <w:p w14:paraId="0C34455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(2012) 246 CLR 258 at 317-318 [166].</w:t>
      </w:r>
    </w:p>
  </w:footnote>
  <w:footnote w:id="147">
    <w:p w14:paraId="4C549BF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Jansen, </w:t>
      </w:r>
      <w:r w:rsidRPr="00883965">
        <w:rPr>
          <w:rFonts w:ascii="Times New Roman" w:hAnsi="Times New Roman"/>
          <w:i/>
          <w:iCs/>
          <w:sz w:val="24"/>
        </w:rPr>
        <w:t>The Structure of Tort Law: History, theory, and doctrine of non-contractual claims for compensation</w:t>
      </w:r>
      <w:r w:rsidRPr="00883965">
        <w:rPr>
          <w:rFonts w:ascii="Times New Roman" w:hAnsi="Times New Roman"/>
          <w:sz w:val="24"/>
        </w:rPr>
        <w:t>, Steel trans</w:t>
      </w:r>
      <w:r w:rsidRPr="00883965">
        <w:rPr>
          <w:rFonts w:ascii="Times New Roman" w:hAnsi="Times New Roman"/>
          <w:i/>
          <w:iCs/>
          <w:sz w:val="24"/>
        </w:rPr>
        <w:t xml:space="preserve"> </w:t>
      </w:r>
      <w:r w:rsidRPr="00883965">
        <w:rPr>
          <w:rFonts w:ascii="Times New Roman" w:hAnsi="Times New Roman"/>
          <w:sz w:val="24"/>
        </w:rPr>
        <w:t>(2021) at 389.</w:t>
      </w:r>
    </w:p>
  </w:footnote>
  <w:footnote w:id="148">
    <w:p w14:paraId="64EFC3D1"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Work Health Authority v Outback Ballooning Pty Ltd </w:t>
      </w:r>
      <w:r w:rsidRPr="00883965">
        <w:rPr>
          <w:rFonts w:ascii="Times New Roman" w:hAnsi="Times New Roman"/>
          <w:sz w:val="24"/>
        </w:rPr>
        <w:t>(2019) 266 CLR 428</w:t>
      </w:r>
      <w:r w:rsidRPr="00883965">
        <w:rPr>
          <w:rFonts w:ascii="Times New Roman" w:hAnsi="Times New Roman"/>
          <w:i/>
          <w:iCs/>
          <w:sz w:val="24"/>
        </w:rPr>
        <w:t xml:space="preserve"> </w:t>
      </w:r>
      <w:r w:rsidRPr="00883965">
        <w:rPr>
          <w:rFonts w:ascii="Times New Roman" w:hAnsi="Times New Roman"/>
          <w:sz w:val="24"/>
        </w:rPr>
        <w:t xml:space="preserve">at 488-489 [151], citing </w:t>
      </w:r>
      <w:r w:rsidRPr="00883965">
        <w:rPr>
          <w:rFonts w:ascii="Times New Roman" w:hAnsi="Times New Roman"/>
          <w:i/>
          <w:iCs/>
          <w:sz w:val="24"/>
        </w:rPr>
        <w:t>Martin v Herzog</w:t>
      </w:r>
      <w:r w:rsidRPr="00883965">
        <w:rPr>
          <w:rFonts w:ascii="Times New Roman" w:hAnsi="Times New Roman"/>
          <w:sz w:val="24"/>
        </w:rPr>
        <w:t xml:space="preserve"> (1920) 126 NE 814 at 816, </w:t>
      </w:r>
      <w:proofErr w:type="spellStart"/>
      <w:r w:rsidRPr="00883965">
        <w:rPr>
          <w:rFonts w:ascii="Times New Roman" w:hAnsi="Times New Roman"/>
          <w:i/>
          <w:iCs/>
          <w:sz w:val="24"/>
        </w:rPr>
        <w:t>Palsgraf</w:t>
      </w:r>
      <w:proofErr w:type="spellEnd"/>
      <w:r w:rsidRPr="00883965">
        <w:rPr>
          <w:rFonts w:ascii="Times New Roman" w:hAnsi="Times New Roman"/>
          <w:i/>
          <w:iCs/>
          <w:sz w:val="24"/>
        </w:rPr>
        <w:t xml:space="preserve"> v Long Island Railroad Co</w:t>
      </w:r>
      <w:r w:rsidRPr="00883965">
        <w:rPr>
          <w:rFonts w:ascii="Times New Roman" w:hAnsi="Times New Roman"/>
          <w:sz w:val="24"/>
        </w:rPr>
        <w:t> (1928) 162 NE 99 at 101, </w:t>
      </w:r>
      <w:r w:rsidRPr="00883965">
        <w:rPr>
          <w:rFonts w:ascii="Times New Roman" w:hAnsi="Times New Roman"/>
          <w:i/>
          <w:iCs/>
          <w:sz w:val="24"/>
        </w:rPr>
        <w:t>Chester v Waverley Corporation</w:t>
      </w:r>
      <w:r w:rsidRPr="00883965">
        <w:rPr>
          <w:rFonts w:ascii="Times New Roman" w:hAnsi="Times New Roman"/>
          <w:sz w:val="24"/>
        </w:rPr>
        <w:t xml:space="preserve"> (1939) 62 CLR 1 at 12, </w:t>
      </w:r>
      <w:r w:rsidRPr="00883965">
        <w:rPr>
          <w:rFonts w:ascii="Times New Roman" w:hAnsi="Times New Roman"/>
          <w:i/>
          <w:iCs/>
          <w:sz w:val="24"/>
        </w:rPr>
        <w:t>Bourhill v Young</w:t>
      </w:r>
      <w:r w:rsidRPr="00883965">
        <w:rPr>
          <w:rFonts w:ascii="Times New Roman" w:hAnsi="Times New Roman"/>
          <w:sz w:val="24"/>
        </w:rPr>
        <w:t xml:space="preserve"> [1943] AC 92 at 101-102, 108, 116-117, and </w:t>
      </w:r>
      <w:proofErr w:type="spellStart"/>
      <w:r w:rsidRPr="00883965">
        <w:rPr>
          <w:rFonts w:ascii="Times New Roman" w:hAnsi="Times New Roman"/>
          <w:i/>
          <w:iCs/>
          <w:sz w:val="24"/>
        </w:rPr>
        <w:t>Seltsam</w:t>
      </w:r>
      <w:proofErr w:type="spellEnd"/>
      <w:r w:rsidRPr="00883965">
        <w:rPr>
          <w:rFonts w:ascii="Times New Roman" w:hAnsi="Times New Roman"/>
          <w:i/>
          <w:iCs/>
          <w:sz w:val="24"/>
        </w:rPr>
        <w:t xml:space="preserve"> Pty Ltd v McNeill</w:t>
      </w:r>
      <w:r w:rsidRPr="00883965">
        <w:rPr>
          <w:rFonts w:ascii="Times New Roman" w:hAnsi="Times New Roman"/>
          <w:sz w:val="24"/>
        </w:rPr>
        <w:t xml:space="preserve"> (2006) 4 DDCR 1 at 4 [4]. </w:t>
      </w:r>
    </w:p>
  </w:footnote>
  <w:footnote w:id="149">
    <w:p w14:paraId="5D38238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Joint reasons at [</w:t>
      </w:r>
      <w:r w:rsidRPr="000629D2">
        <w:rPr>
          <w:rFonts w:ascii="Times New Roman" w:hAnsi="Times New Roman"/>
          <w:sz w:val="24"/>
        </w:rPr>
        <w:t>30</w:t>
      </w:r>
      <w:r w:rsidRPr="009C138D">
        <w:rPr>
          <w:rFonts w:ascii="Times New Roman" w:hAnsi="Times New Roman"/>
          <w:sz w:val="24"/>
        </w:rPr>
        <w:t>].</w:t>
      </w:r>
      <w:r w:rsidRPr="00883965">
        <w:rPr>
          <w:rFonts w:ascii="Times New Roman" w:hAnsi="Times New Roman"/>
          <w:sz w:val="24"/>
        </w:rPr>
        <w:t xml:space="preserve"> </w:t>
      </w:r>
    </w:p>
  </w:footnote>
  <w:footnote w:id="150">
    <w:p w14:paraId="4DB7125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Locke, </w:t>
      </w:r>
      <w:r w:rsidRPr="00883965">
        <w:rPr>
          <w:rFonts w:ascii="Times New Roman" w:hAnsi="Times New Roman"/>
          <w:i/>
          <w:iCs/>
          <w:sz w:val="24"/>
        </w:rPr>
        <w:t xml:space="preserve">Second Treatise of Government </w:t>
      </w:r>
      <w:r w:rsidRPr="00883965">
        <w:rPr>
          <w:rFonts w:ascii="Times New Roman" w:hAnsi="Times New Roman"/>
          <w:sz w:val="24"/>
        </w:rPr>
        <w:t xml:space="preserve">(1690), Ch II "Of </w:t>
      </w:r>
      <w:proofErr w:type="gramStart"/>
      <w:r w:rsidRPr="00883965">
        <w:rPr>
          <w:rFonts w:ascii="Times New Roman" w:hAnsi="Times New Roman"/>
          <w:sz w:val="24"/>
        </w:rPr>
        <w:t>The</w:t>
      </w:r>
      <w:proofErr w:type="gramEnd"/>
      <w:r w:rsidRPr="00883965">
        <w:rPr>
          <w:rFonts w:ascii="Times New Roman" w:hAnsi="Times New Roman"/>
          <w:sz w:val="24"/>
        </w:rPr>
        <w:t xml:space="preserve"> State of Nature", §6.</w:t>
      </w:r>
    </w:p>
  </w:footnote>
  <w:footnote w:id="151">
    <w:p w14:paraId="03482EFD"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Nozick, </w:t>
      </w:r>
      <w:r w:rsidRPr="00883965">
        <w:rPr>
          <w:rFonts w:ascii="Times New Roman" w:hAnsi="Times New Roman"/>
          <w:i/>
          <w:iCs/>
          <w:sz w:val="24"/>
        </w:rPr>
        <w:t xml:space="preserve">Anarchy, State, and Utopia </w:t>
      </w:r>
      <w:r w:rsidRPr="00883965">
        <w:rPr>
          <w:rFonts w:ascii="Times New Roman" w:hAnsi="Times New Roman"/>
          <w:sz w:val="24"/>
        </w:rPr>
        <w:t>(1974) at ix. See also at 10-11, 26, 52, 132-133.</w:t>
      </w:r>
    </w:p>
  </w:footnote>
  <w:footnote w:id="152">
    <w:p w14:paraId="033F520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"The right of personal security consists in a person's legal and uninterrupted enjoyment of his life, his limbs, his body, his health, and his reputation": Blackstone, </w:t>
      </w:r>
      <w:r w:rsidRPr="00883965">
        <w:rPr>
          <w:rFonts w:ascii="Times New Roman" w:hAnsi="Times New Roman"/>
          <w:i/>
          <w:iCs/>
          <w:sz w:val="24"/>
        </w:rPr>
        <w:t xml:space="preserve">Commentaries on the Laws of England </w:t>
      </w:r>
      <w:r w:rsidRPr="00883965">
        <w:rPr>
          <w:rFonts w:ascii="Times New Roman" w:hAnsi="Times New Roman"/>
          <w:sz w:val="24"/>
        </w:rPr>
        <w:t xml:space="preserve">(1765), bk 1, </w:t>
      </w:r>
      <w:proofErr w:type="spellStart"/>
      <w:r w:rsidRPr="00883965">
        <w:rPr>
          <w:rFonts w:ascii="Times New Roman" w:hAnsi="Times New Roman"/>
          <w:sz w:val="24"/>
        </w:rPr>
        <w:t>ch</w:t>
      </w:r>
      <w:proofErr w:type="spellEnd"/>
      <w:r w:rsidRPr="00883965">
        <w:rPr>
          <w:rFonts w:ascii="Times New Roman" w:hAnsi="Times New Roman"/>
          <w:sz w:val="24"/>
        </w:rPr>
        <w:t xml:space="preserve"> 1 at 125.</w:t>
      </w:r>
    </w:p>
  </w:footnote>
  <w:footnote w:id="153">
    <w:p w14:paraId="2F3B10F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Blackstone, </w:t>
      </w:r>
      <w:r w:rsidRPr="00883965">
        <w:rPr>
          <w:rFonts w:ascii="Times New Roman" w:hAnsi="Times New Roman"/>
          <w:i/>
          <w:iCs/>
          <w:sz w:val="24"/>
        </w:rPr>
        <w:t xml:space="preserve">Commentaries on the Laws of England </w:t>
      </w:r>
      <w:r w:rsidRPr="00883965">
        <w:rPr>
          <w:rFonts w:ascii="Times New Roman" w:hAnsi="Times New Roman"/>
          <w:sz w:val="24"/>
        </w:rPr>
        <w:t xml:space="preserve">(1765), bk 1, </w:t>
      </w:r>
      <w:proofErr w:type="spellStart"/>
      <w:r w:rsidRPr="00883965">
        <w:rPr>
          <w:rFonts w:ascii="Times New Roman" w:hAnsi="Times New Roman"/>
          <w:sz w:val="24"/>
        </w:rPr>
        <w:t>ch</w:t>
      </w:r>
      <w:proofErr w:type="spellEnd"/>
      <w:r w:rsidRPr="00883965">
        <w:rPr>
          <w:rFonts w:ascii="Times New Roman" w:hAnsi="Times New Roman"/>
          <w:sz w:val="24"/>
        </w:rPr>
        <w:t xml:space="preserve"> 1 at 125.</w:t>
      </w:r>
    </w:p>
  </w:footnote>
  <w:footnote w:id="154">
    <w:p w14:paraId="0806C19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Allen v Flood </w:t>
      </w:r>
      <w:r w:rsidRPr="00883965">
        <w:rPr>
          <w:rFonts w:ascii="Times New Roman" w:hAnsi="Times New Roman"/>
          <w:sz w:val="24"/>
        </w:rPr>
        <w:t>[1898] AC 1 at 29.</w:t>
      </w:r>
    </w:p>
  </w:footnote>
  <w:footnote w:id="155">
    <w:p w14:paraId="063CDB2E"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250 [188], quoting </w:t>
      </w:r>
      <w:proofErr w:type="spellStart"/>
      <w:r w:rsidRPr="00883965">
        <w:rPr>
          <w:rFonts w:ascii="Times New Roman" w:hAnsi="Times New Roman"/>
          <w:sz w:val="24"/>
        </w:rPr>
        <w:t>Markesinis</w:t>
      </w:r>
      <w:proofErr w:type="spellEnd"/>
      <w:r w:rsidRPr="00883965">
        <w:rPr>
          <w:rFonts w:ascii="Times New Roman" w:hAnsi="Times New Roman"/>
          <w:sz w:val="24"/>
        </w:rPr>
        <w:t xml:space="preserve">, </w:t>
      </w:r>
      <w:r w:rsidRPr="00883965">
        <w:rPr>
          <w:rFonts w:ascii="Times New Roman" w:hAnsi="Times New Roman"/>
          <w:i/>
          <w:iCs/>
          <w:sz w:val="24"/>
        </w:rPr>
        <w:t>A Comparative Introduction to the German Law of Torts</w:t>
      </w:r>
      <w:r w:rsidRPr="00883965">
        <w:rPr>
          <w:rFonts w:ascii="Times New Roman" w:hAnsi="Times New Roman"/>
          <w:sz w:val="24"/>
        </w:rPr>
        <w:t>, 3rd ed (1994) at 43.</w:t>
      </w:r>
    </w:p>
  </w:footnote>
  <w:footnote w:id="156">
    <w:p w14:paraId="67B11EB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Sullivan v Moody </w:t>
      </w:r>
      <w:r w:rsidRPr="00883965">
        <w:rPr>
          <w:rFonts w:ascii="Times New Roman" w:hAnsi="Times New Roman"/>
          <w:sz w:val="24"/>
        </w:rPr>
        <w:t xml:space="preserve">(2001) 207 CLR 562 at 580 [53]. </w:t>
      </w:r>
    </w:p>
  </w:footnote>
  <w:footnote w:id="157">
    <w:p w14:paraId="10F45CBA"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James v The Commonwealth </w:t>
      </w:r>
      <w:r w:rsidRPr="00883965">
        <w:rPr>
          <w:rFonts w:ascii="Times New Roman" w:hAnsi="Times New Roman"/>
          <w:sz w:val="24"/>
        </w:rPr>
        <w:t xml:space="preserve">(1939) 62 CLR 339 at 370; </w:t>
      </w:r>
      <w:r w:rsidRPr="00883965">
        <w:rPr>
          <w:rFonts w:ascii="Times New Roman" w:hAnsi="Times New Roman"/>
          <w:i/>
          <w:iCs/>
          <w:sz w:val="24"/>
        </w:rPr>
        <w:t>Zhu v Treasurer of New South Wales</w:t>
      </w:r>
      <w:r w:rsidRPr="00883965">
        <w:rPr>
          <w:rFonts w:ascii="Times New Roman" w:hAnsi="Times New Roman"/>
          <w:sz w:val="24"/>
        </w:rPr>
        <w:t xml:space="preserve"> (2004) 218 CLR 530 at 569-570 [114].</w:t>
      </w:r>
    </w:p>
  </w:footnote>
  <w:footnote w:id="158">
    <w:p w14:paraId="099603E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OBG Ltd v Allan </w:t>
      </w:r>
      <w:r w:rsidRPr="00883965">
        <w:rPr>
          <w:rFonts w:ascii="Times New Roman" w:hAnsi="Times New Roman"/>
          <w:sz w:val="24"/>
        </w:rPr>
        <w:t xml:space="preserve">[2008] AC 1 at 19 [5]. </w:t>
      </w:r>
    </w:p>
  </w:footnote>
  <w:footnote w:id="159">
    <w:p w14:paraId="5B2118A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Compare </w:t>
      </w:r>
      <w:r w:rsidRPr="00883965">
        <w:rPr>
          <w:rFonts w:ascii="Times New Roman" w:hAnsi="Times New Roman"/>
          <w:i/>
          <w:iCs/>
          <w:sz w:val="24"/>
        </w:rPr>
        <w:t xml:space="preserve">OBG Ltd v Allan </w:t>
      </w:r>
      <w:r w:rsidRPr="00883965">
        <w:rPr>
          <w:rFonts w:ascii="Times New Roman" w:hAnsi="Times New Roman"/>
          <w:sz w:val="24"/>
        </w:rPr>
        <w:t xml:space="preserve">[2008] AC 1 at 40 [86].  </w:t>
      </w:r>
    </w:p>
  </w:footnote>
  <w:footnote w:id="160">
    <w:p w14:paraId="1FBA8C31"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(1976) 136 CLR 529 at 574-577.</w:t>
      </w:r>
    </w:p>
  </w:footnote>
  <w:footnote w:id="161">
    <w:p w14:paraId="52A0F403"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Minister for the Environment v Sharma </w:t>
      </w:r>
      <w:r w:rsidRPr="00883965">
        <w:rPr>
          <w:rFonts w:ascii="Times New Roman" w:hAnsi="Times New Roman"/>
          <w:sz w:val="24"/>
        </w:rPr>
        <w:t>(2022) 291 FCR 311 at 385 [211].</w:t>
      </w:r>
    </w:p>
  </w:footnote>
  <w:footnote w:id="162">
    <w:p w14:paraId="03BE0A7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Sullivan v Moody </w:t>
      </w:r>
      <w:r w:rsidRPr="00883965">
        <w:rPr>
          <w:rFonts w:ascii="Times New Roman" w:hAnsi="Times New Roman"/>
          <w:sz w:val="24"/>
        </w:rPr>
        <w:t>(2001) 207 CLR 562 at 578 [48].</w:t>
      </w:r>
    </w:p>
  </w:footnote>
  <w:footnote w:id="163">
    <w:p w14:paraId="2CA4E009"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(2009) 75 NSWLR 649 at 676 [103]. </w:t>
      </w:r>
    </w:p>
  </w:footnote>
  <w:footnote w:id="164">
    <w:p w14:paraId="4C337A7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Swick Nominees Pty Ltd v LeRoi International Inc [No 2] </w:t>
      </w:r>
      <w:r w:rsidRPr="00883965">
        <w:rPr>
          <w:rFonts w:ascii="Times New Roman" w:hAnsi="Times New Roman"/>
          <w:sz w:val="24"/>
        </w:rPr>
        <w:t xml:space="preserve">(2015) 48 WAR 376 at 448 [385], referring to </w:t>
      </w:r>
      <w:r w:rsidRPr="00883965">
        <w:rPr>
          <w:rFonts w:ascii="Times New Roman" w:hAnsi="Times New Roman"/>
          <w:i/>
          <w:iCs/>
          <w:sz w:val="24"/>
        </w:rPr>
        <w:t xml:space="preserve">Johnson Tiles Pty Ltd v Esso Australia Pty Ltd </w:t>
      </w:r>
      <w:r w:rsidRPr="00883965">
        <w:rPr>
          <w:rFonts w:ascii="Times New Roman" w:hAnsi="Times New Roman"/>
          <w:sz w:val="24"/>
        </w:rPr>
        <w:t>(2003) Aust</w:t>
      </w:r>
      <w:r>
        <w:rPr>
          <w:rFonts w:ascii="Times New Roman" w:hAnsi="Times New Roman"/>
          <w:sz w:val="24"/>
        </w:rPr>
        <w:t> </w:t>
      </w:r>
      <w:r w:rsidRPr="00883965">
        <w:rPr>
          <w:rFonts w:ascii="Times New Roman" w:hAnsi="Times New Roman"/>
          <w:sz w:val="24"/>
        </w:rPr>
        <w:t>Torts</w:t>
      </w:r>
      <w:r>
        <w:rPr>
          <w:rFonts w:ascii="Times New Roman" w:hAnsi="Times New Roman"/>
          <w:sz w:val="24"/>
        </w:rPr>
        <w:t> </w:t>
      </w:r>
      <w:r w:rsidRPr="00883965">
        <w:rPr>
          <w:rFonts w:ascii="Times New Roman" w:hAnsi="Times New Roman"/>
          <w:sz w:val="24"/>
        </w:rPr>
        <w:t xml:space="preserve">Reports ¶81-692.  </w:t>
      </w:r>
    </w:p>
  </w:footnote>
  <w:footnote w:id="165">
    <w:p w14:paraId="6DEDB56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Nolan, </w:t>
      </w:r>
      <w:r w:rsidRPr="00883965">
        <w:rPr>
          <w:rFonts w:ascii="Times New Roman" w:hAnsi="Times New Roman"/>
          <w:i/>
          <w:iCs/>
          <w:sz w:val="24"/>
        </w:rPr>
        <w:t xml:space="preserve">Questions of Liability: Essays on the Law of Tort </w:t>
      </w:r>
      <w:r w:rsidRPr="00883965">
        <w:rPr>
          <w:rFonts w:ascii="Times New Roman" w:hAnsi="Times New Roman"/>
          <w:sz w:val="24"/>
        </w:rPr>
        <w:t>(2023) at 7.</w:t>
      </w:r>
    </w:p>
  </w:footnote>
  <w:footnote w:id="166">
    <w:p w14:paraId="5354A3D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(1999) 9 NTLR 82 at 96 [24].  </w:t>
      </w:r>
    </w:p>
  </w:footnote>
  <w:footnote w:id="167">
    <w:p w14:paraId="711DE86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(2004) 216 CLR 515 at 530 [23].</w:t>
      </w:r>
    </w:p>
  </w:footnote>
  <w:footnote w:id="168">
    <w:p w14:paraId="236AE429"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Woolcock Street Investments Pty Ltd v CDG Pty Ltd</w:t>
      </w:r>
      <w:r w:rsidRPr="00883965">
        <w:rPr>
          <w:rFonts w:ascii="Times New Roman" w:hAnsi="Times New Roman"/>
          <w:sz w:val="24"/>
        </w:rPr>
        <w:t xml:space="preserve"> (2004) 216 CLR 515 at 530 [23], citing Stapleton, "Comparative Economic Loss: Lessons from Case-Law-Focused 'Middle Theory'" (2002) 50 </w:t>
      </w:r>
      <w:r w:rsidRPr="00883965">
        <w:rPr>
          <w:rFonts w:ascii="Times New Roman" w:hAnsi="Times New Roman"/>
          <w:i/>
          <w:iCs/>
          <w:sz w:val="24"/>
        </w:rPr>
        <w:t xml:space="preserve">UCLA Law Review </w:t>
      </w:r>
      <w:r w:rsidRPr="00883965">
        <w:rPr>
          <w:rFonts w:ascii="Times New Roman" w:hAnsi="Times New Roman"/>
          <w:sz w:val="24"/>
        </w:rPr>
        <w:t>531 at 558-559.</w:t>
      </w:r>
    </w:p>
  </w:footnote>
  <w:footnote w:id="169">
    <w:p w14:paraId="56BFB9D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220 [104].</w:t>
      </w:r>
    </w:p>
  </w:footnote>
  <w:footnote w:id="170">
    <w:p w14:paraId="1449F2E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Fortuna Seafoods Pty Ltd v The Ship "Eternal Wind"</w:t>
      </w:r>
      <w:r w:rsidRPr="00883965">
        <w:rPr>
          <w:rFonts w:ascii="Times New Roman" w:hAnsi="Times New Roman"/>
          <w:sz w:val="24"/>
        </w:rPr>
        <w:t xml:space="preserve"> [2008]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 </w:t>
      </w:r>
      <w:r w:rsidRPr="00883965">
        <w:rPr>
          <w:rFonts w:ascii="Times New Roman" w:hAnsi="Times New Roman"/>
          <w:i/>
          <w:iCs/>
          <w:sz w:val="24"/>
        </w:rPr>
        <w:t xml:space="preserve">Marsh v Baxter </w:t>
      </w:r>
      <w:r w:rsidRPr="00883965">
        <w:rPr>
          <w:rFonts w:ascii="Times New Roman" w:hAnsi="Times New Roman"/>
          <w:sz w:val="24"/>
        </w:rPr>
        <w:t>(2015) 49 WAR 1.</w:t>
      </w:r>
    </w:p>
  </w:footnote>
  <w:footnote w:id="171">
    <w:p w14:paraId="73F87AC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(2012) 246 CLR 258 at 323-324, orders 4 and 5 in each appeal. </w:t>
      </w:r>
    </w:p>
  </w:footnote>
  <w:footnote w:id="172">
    <w:p w14:paraId="1E8B35F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Barclay v Penberthy</w:t>
      </w:r>
      <w:r w:rsidRPr="00883965">
        <w:rPr>
          <w:rFonts w:ascii="Times New Roman" w:hAnsi="Times New Roman"/>
          <w:sz w:val="24"/>
        </w:rPr>
        <w:t xml:space="preserve"> (2012) 246 CLR 258 at 285 [47].</w:t>
      </w:r>
    </w:p>
  </w:footnote>
  <w:footnote w:id="173">
    <w:p w14:paraId="5DA1AFAD"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Compare </w:t>
      </w:r>
      <w:r w:rsidRPr="00883965">
        <w:rPr>
          <w:rFonts w:ascii="Times New Roman" w:hAnsi="Times New Roman"/>
          <w:i/>
          <w:iCs/>
          <w:sz w:val="24"/>
        </w:rPr>
        <w:t>Barclay v Penberthy</w:t>
      </w:r>
      <w:r w:rsidRPr="00883965">
        <w:rPr>
          <w:rFonts w:ascii="Times New Roman" w:hAnsi="Times New Roman"/>
          <w:sz w:val="24"/>
        </w:rPr>
        <w:t xml:space="preserve"> (2012) 246 CLR 258 at 294-295 [87].</w:t>
      </w:r>
    </w:p>
  </w:footnote>
  <w:footnote w:id="174">
    <w:p w14:paraId="1EDD581E" w14:textId="77777777" w:rsidR="001F5442" w:rsidRPr="00883965" w:rsidRDefault="001F5442" w:rsidP="00883965">
      <w:pPr>
        <w:pStyle w:val="FootnoteText"/>
        <w:spacing w:line="280" w:lineRule="exact"/>
        <w:ind w:right="0"/>
        <w:jc w:val="both"/>
        <w:rPr>
          <w:rFonts w:ascii="Times New Roman" w:hAnsi="Times New Roman"/>
          <w:i/>
          <w:iCs/>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shd w:val="clear" w:color="auto" w:fill="FFFFFF"/>
        </w:rPr>
        <w:t>Brookfield Multiplex Ltd v Owners Corporation Strata Plan 61288</w:t>
      </w:r>
      <w:r w:rsidRPr="00883965">
        <w:rPr>
          <w:rFonts w:ascii="Times New Roman" w:hAnsi="Times New Roman"/>
          <w:sz w:val="24"/>
          <w:shd w:val="clear" w:color="auto" w:fill="FFFFFF"/>
        </w:rPr>
        <w:t xml:space="preserve"> (2014) 254 CLR 185</w:t>
      </w:r>
      <w:r w:rsidRPr="00883965">
        <w:rPr>
          <w:rFonts w:ascii="Times New Roman" w:hAnsi="Times New Roman"/>
          <w:sz w:val="24"/>
        </w:rPr>
        <w:t xml:space="preserve"> at 233 [143]. See also </w:t>
      </w:r>
      <w:r w:rsidRPr="00883965">
        <w:rPr>
          <w:rFonts w:ascii="Times New Roman" w:hAnsi="Times New Roman"/>
          <w:i/>
          <w:iCs/>
          <w:sz w:val="24"/>
        </w:rPr>
        <w:t xml:space="preserve">Barclay v Penberthy </w:t>
      </w:r>
      <w:r w:rsidRPr="00883965">
        <w:rPr>
          <w:rFonts w:ascii="Times New Roman" w:hAnsi="Times New Roman"/>
          <w:sz w:val="24"/>
        </w:rPr>
        <w:t>(2012) 246 CLR 258 at 321 [176]-[177].</w:t>
      </w:r>
    </w:p>
  </w:footnote>
  <w:footnote w:id="175">
    <w:p w14:paraId="2C8A295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Swick Nominees Pty Ltd v LeRoi International Inc [No 2] </w:t>
      </w:r>
      <w:r w:rsidRPr="00883965">
        <w:rPr>
          <w:rFonts w:ascii="Times New Roman" w:hAnsi="Times New Roman"/>
          <w:sz w:val="24"/>
        </w:rPr>
        <w:t xml:space="preserve">(2015) 48 WAR 376 at 449-450 [389]-[390], discussing </w:t>
      </w:r>
      <w:r w:rsidRPr="00883965">
        <w:rPr>
          <w:rFonts w:ascii="Times New Roman" w:hAnsi="Times New Roman"/>
          <w:i/>
          <w:iCs/>
          <w:sz w:val="24"/>
        </w:rPr>
        <w:t xml:space="preserve">Junior Books Ltd v </w:t>
      </w:r>
      <w:proofErr w:type="spellStart"/>
      <w:r w:rsidRPr="00883965">
        <w:rPr>
          <w:rFonts w:ascii="Times New Roman" w:hAnsi="Times New Roman"/>
          <w:i/>
          <w:iCs/>
          <w:sz w:val="24"/>
        </w:rPr>
        <w:t>Veitchi</w:t>
      </w:r>
      <w:proofErr w:type="spellEnd"/>
      <w:r w:rsidRPr="00883965">
        <w:rPr>
          <w:rFonts w:ascii="Times New Roman" w:hAnsi="Times New Roman"/>
          <w:i/>
          <w:iCs/>
          <w:sz w:val="24"/>
        </w:rPr>
        <w:t xml:space="preserve"> Co Ltd </w:t>
      </w:r>
      <w:r w:rsidRPr="00883965">
        <w:rPr>
          <w:rFonts w:ascii="Times New Roman" w:hAnsi="Times New Roman"/>
          <w:sz w:val="24"/>
        </w:rPr>
        <w:t xml:space="preserve">[1983] 1 AC 520.   </w:t>
      </w:r>
    </w:p>
  </w:footnote>
  <w:footnote w:id="176">
    <w:p w14:paraId="4B60385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(1995) 182 CLR 609. </w:t>
      </w:r>
    </w:p>
  </w:footnote>
  <w:footnote w:id="177">
    <w:p w14:paraId="455EE7C8" w14:textId="77777777" w:rsidR="001F5442" w:rsidRPr="00883965" w:rsidRDefault="001F5442" w:rsidP="00883965">
      <w:pPr>
        <w:pStyle w:val="FootnoteText"/>
        <w:spacing w:line="280" w:lineRule="exact"/>
        <w:ind w:right="0"/>
        <w:jc w:val="both"/>
        <w:rPr>
          <w:rFonts w:ascii="Times New Roman" w:hAnsi="Times New Roman"/>
          <w:i/>
          <w:iCs/>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Woolcock Street Investments Pty Ltd v CDG Pty Ltd</w:t>
      </w:r>
      <w:r w:rsidRPr="00883965">
        <w:rPr>
          <w:rFonts w:ascii="Times New Roman" w:hAnsi="Times New Roman"/>
          <w:sz w:val="24"/>
        </w:rPr>
        <w:t xml:space="preserve"> (2004) 216 CLR 515 at 528 [18]. </w:t>
      </w:r>
      <w:r w:rsidRPr="00883965">
        <w:rPr>
          <w:rFonts w:ascii="Times New Roman" w:hAnsi="Times New Roman"/>
          <w:i/>
          <w:iCs/>
          <w:sz w:val="24"/>
        </w:rPr>
        <w:t xml:space="preserve"> </w:t>
      </w:r>
    </w:p>
  </w:footnote>
  <w:footnote w:id="178">
    <w:p w14:paraId="64EEACA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Sullivan v Moody </w:t>
      </w:r>
      <w:r w:rsidRPr="00883965">
        <w:rPr>
          <w:rFonts w:ascii="Times New Roman" w:hAnsi="Times New Roman"/>
          <w:sz w:val="24"/>
        </w:rPr>
        <w:t>(2001) 207 CLR 562 at 578-579 [48].</w:t>
      </w:r>
    </w:p>
  </w:footnote>
  <w:footnote w:id="179">
    <w:p w14:paraId="3361BFE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Bryan v Maloney </w:t>
      </w:r>
      <w:r w:rsidRPr="00883965">
        <w:rPr>
          <w:rFonts w:ascii="Times New Roman" w:hAnsi="Times New Roman"/>
          <w:sz w:val="24"/>
        </w:rPr>
        <w:t>(1995) 182 CLR 609 at 627-628, 663-664.</w:t>
      </w:r>
    </w:p>
  </w:footnote>
  <w:footnote w:id="180">
    <w:p w14:paraId="480C073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Compare </w:t>
      </w:r>
      <w:r w:rsidRPr="00883965">
        <w:rPr>
          <w:rFonts w:ascii="Times New Roman" w:hAnsi="Times New Roman"/>
          <w:i/>
          <w:iCs/>
          <w:sz w:val="24"/>
        </w:rPr>
        <w:t>Woolcock Street Investments Pty Ltd v CDG Pty Ltd</w:t>
      </w:r>
      <w:r w:rsidRPr="00883965">
        <w:rPr>
          <w:rFonts w:ascii="Times New Roman" w:hAnsi="Times New Roman"/>
          <w:sz w:val="24"/>
        </w:rPr>
        <w:t xml:space="preserve"> (2004) 216 CLR 515 at 531 [24]. </w:t>
      </w:r>
      <w:r w:rsidRPr="00883965">
        <w:rPr>
          <w:rFonts w:ascii="Times New Roman" w:hAnsi="Times New Roman"/>
          <w:i/>
          <w:iCs/>
          <w:sz w:val="24"/>
        </w:rPr>
        <w:t xml:space="preserve"> </w:t>
      </w:r>
    </w:p>
  </w:footnote>
  <w:footnote w:id="181">
    <w:p w14:paraId="107CA97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Perre</w:t>
      </w:r>
      <w:proofErr w:type="spellEnd"/>
      <w:r w:rsidRPr="00883965">
        <w:rPr>
          <w:rFonts w:ascii="Times New Roman" w:hAnsi="Times New Roman"/>
          <w:i/>
          <w:iCs/>
          <w:sz w:val="24"/>
        </w:rPr>
        <w:t xml:space="preserve"> v </w:t>
      </w:r>
      <w:proofErr w:type="spellStart"/>
      <w:r w:rsidRPr="00883965">
        <w:rPr>
          <w:rFonts w:ascii="Times New Roman" w:hAnsi="Times New Roman"/>
          <w:i/>
          <w:iCs/>
          <w:sz w:val="24"/>
        </w:rPr>
        <w:t>Apand</w:t>
      </w:r>
      <w:proofErr w:type="spellEnd"/>
      <w:r w:rsidRPr="00883965">
        <w:rPr>
          <w:rFonts w:ascii="Times New Roman" w:hAnsi="Times New Roman"/>
          <w:i/>
          <w:iCs/>
          <w:sz w:val="24"/>
        </w:rPr>
        <w:t xml:space="preserve"> Pty Ltd</w:t>
      </w:r>
      <w:r w:rsidRPr="00883965">
        <w:rPr>
          <w:rFonts w:ascii="Times New Roman" w:hAnsi="Times New Roman"/>
          <w:sz w:val="24"/>
        </w:rPr>
        <w:t xml:space="preserve"> (1999) 198 CLR 180 at 230 [130].</w:t>
      </w:r>
    </w:p>
  </w:footnote>
  <w:footnote w:id="182">
    <w:p w14:paraId="197DD25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shd w:val="clear" w:color="auto" w:fill="FFFFFF"/>
        </w:rPr>
        <w:t>Brookfield Multiplex Ltd v Owners Corporation Strata Plan 61288</w:t>
      </w:r>
      <w:r w:rsidRPr="00883965">
        <w:rPr>
          <w:rFonts w:ascii="Times New Roman" w:hAnsi="Times New Roman"/>
          <w:sz w:val="24"/>
          <w:shd w:val="clear" w:color="auto" w:fill="FFFFFF"/>
        </w:rPr>
        <w:t xml:space="preserve"> (2014) 254 CLR 185 at 228-229 [130]-[132]. </w:t>
      </w:r>
      <w:r w:rsidRPr="00883965">
        <w:rPr>
          <w:rFonts w:ascii="Times New Roman" w:hAnsi="Times New Roman"/>
          <w:sz w:val="24"/>
        </w:rPr>
        <w:t xml:space="preserve">  </w:t>
      </w:r>
    </w:p>
  </w:footnote>
  <w:footnote w:id="183">
    <w:p w14:paraId="0AFBD9A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American Law Institute, </w:t>
      </w:r>
      <w:r w:rsidRPr="00883965">
        <w:rPr>
          <w:rFonts w:ascii="Times New Roman" w:hAnsi="Times New Roman"/>
          <w:i/>
          <w:iCs/>
          <w:sz w:val="24"/>
        </w:rPr>
        <w:t>Restatement (Third) of Torts: Liability for Economic Harm</w:t>
      </w:r>
      <w:r w:rsidRPr="00883965">
        <w:rPr>
          <w:rFonts w:ascii="Times New Roman" w:hAnsi="Times New Roman"/>
          <w:sz w:val="24"/>
        </w:rPr>
        <w:t xml:space="preserve"> §7, comment b. </w:t>
      </w:r>
    </w:p>
  </w:footnote>
  <w:footnote w:id="184">
    <w:p w14:paraId="7AD8D6E4"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w:t>
      </w:r>
    </w:p>
  </w:footnote>
  <w:footnote w:id="185">
    <w:p w14:paraId="6BB8EE2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Fortuna Seafoods Pty Ltd v The Ship "Eternal Wind"</w:t>
      </w:r>
      <w:r w:rsidRPr="00883965">
        <w:rPr>
          <w:rFonts w:ascii="Times New Roman" w:hAnsi="Times New Roman"/>
          <w:sz w:val="24"/>
        </w:rPr>
        <w:t xml:space="preserve"> [2008]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 at 441 [23].</w:t>
      </w:r>
    </w:p>
  </w:footnote>
  <w:footnote w:id="186">
    <w:p w14:paraId="309420DC"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Rolph</w:t>
      </w:r>
      <w:proofErr w:type="spellEnd"/>
      <w:r w:rsidRPr="00883965">
        <w:rPr>
          <w:rFonts w:ascii="Times New Roman" w:hAnsi="Times New Roman"/>
          <w:sz w:val="24"/>
        </w:rPr>
        <w:t xml:space="preserve"> et al, </w:t>
      </w:r>
      <w:proofErr w:type="spellStart"/>
      <w:r w:rsidRPr="00883965">
        <w:rPr>
          <w:rFonts w:ascii="Times New Roman" w:hAnsi="Times New Roman"/>
          <w:i/>
          <w:iCs/>
          <w:sz w:val="24"/>
        </w:rPr>
        <w:t>Balkin</w:t>
      </w:r>
      <w:proofErr w:type="spellEnd"/>
      <w:r w:rsidRPr="00883965">
        <w:rPr>
          <w:rFonts w:ascii="Times New Roman" w:hAnsi="Times New Roman"/>
          <w:i/>
          <w:iCs/>
          <w:sz w:val="24"/>
        </w:rPr>
        <w:t xml:space="preserve"> &amp; Davis Law of Torts</w:t>
      </w:r>
      <w:r w:rsidRPr="00883965">
        <w:rPr>
          <w:rFonts w:ascii="Times New Roman" w:hAnsi="Times New Roman"/>
          <w:sz w:val="24"/>
        </w:rPr>
        <w:t>, 6th ed (2021) at 562 [13.54].</w:t>
      </w:r>
    </w:p>
  </w:footnote>
  <w:footnote w:id="187">
    <w:p w14:paraId="3DBD6CA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Fortuna Seafoods Pty Ltd v The Ship "Eternal Wind"</w:t>
      </w:r>
      <w:r w:rsidRPr="00883965">
        <w:rPr>
          <w:rFonts w:ascii="Times New Roman" w:hAnsi="Times New Roman"/>
          <w:sz w:val="24"/>
        </w:rPr>
        <w:t xml:space="preserve"> [2008]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 at 463 [105].</w:t>
      </w:r>
    </w:p>
  </w:footnote>
  <w:footnote w:id="188">
    <w:p w14:paraId="26FEA04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Salomon v A Salomon &amp; Co Ltd </w:t>
      </w:r>
      <w:r w:rsidRPr="00883965">
        <w:rPr>
          <w:rFonts w:ascii="Times New Roman" w:hAnsi="Times New Roman"/>
          <w:sz w:val="24"/>
        </w:rPr>
        <w:t xml:space="preserve">[1897] AC 22 at 31: "[e]ither the limited company was a legal </w:t>
      </w:r>
      <w:proofErr w:type="gramStart"/>
      <w:r w:rsidRPr="00883965">
        <w:rPr>
          <w:rFonts w:ascii="Times New Roman" w:hAnsi="Times New Roman"/>
          <w:sz w:val="24"/>
        </w:rPr>
        <w:t>entity</w:t>
      </w:r>
      <w:proofErr w:type="gramEnd"/>
      <w:r w:rsidRPr="00883965">
        <w:rPr>
          <w:rFonts w:ascii="Times New Roman" w:hAnsi="Times New Roman"/>
          <w:sz w:val="24"/>
        </w:rPr>
        <w:t xml:space="preserve"> or it was not".</w:t>
      </w:r>
    </w:p>
  </w:footnote>
  <w:footnote w:id="189">
    <w:p w14:paraId="1158B56B"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Fortuna Seafoods Pty Ltd v The Ship "Eternal Wind"</w:t>
      </w:r>
      <w:r w:rsidRPr="00883965">
        <w:rPr>
          <w:rFonts w:ascii="Times New Roman" w:hAnsi="Times New Roman"/>
          <w:sz w:val="24"/>
        </w:rPr>
        <w:t xml:space="preserve"> [2008]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 at 458 [79].</w:t>
      </w:r>
    </w:p>
  </w:footnote>
  <w:footnote w:id="190">
    <w:p w14:paraId="13347EA0"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Fortuna Seafoods Pty Ltd v The Ship "Eternal Wind"</w:t>
      </w:r>
      <w:r w:rsidRPr="00883965">
        <w:rPr>
          <w:rFonts w:ascii="Times New Roman" w:hAnsi="Times New Roman"/>
          <w:sz w:val="24"/>
        </w:rPr>
        <w:t xml:space="preserve"> [2008] 1 </w:t>
      </w:r>
      <w:proofErr w:type="spellStart"/>
      <w:r w:rsidRPr="00883965">
        <w:rPr>
          <w:rFonts w:ascii="Times New Roman" w:hAnsi="Times New Roman"/>
          <w:sz w:val="24"/>
        </w:rPr>
        <w:t>Qd</w:t>
      </w:r>
      <w:proofErr w:type="spellEnd"/>
      <w:r w:rsidRPr="00883965">
        <w:rPr>
          <w:rFonts w:ascii="Times New Roman" w:hAnsi="Times New Roman"/>
          <w:sz w:val="24"/>
        </w:rPr>
        <w:t xml:space="preserve"> R 429 at 444 [39].</w:t>
      </w:r>
    </w:p>
  </w:footnote>
  <w:footnote w:id="191">
    <w:p w14:paraId="5FEA6ECE"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r w:rsidRPr="00883965">
        <w:rPr>
          <w:rFonts w:ascii="Times New Roman" w:hAnsi="Times New Roman"/>
          <w:i/>
          <w:iCs/>
          <w:sz w:val="24"/>
        </w:rPr>
        <w:t xml:space="preserve">Caltex Oil (Australia) Pty Ltd v The Dredge "Willemstad" </w:t>
      </w:r>
      <w:r w:rsidRPr="00883965">
        <w:rPr>
          <w:rFonts w:ascii="Times New Roman" w:hAnsi="Times New Roman"/>
          <w:sz w:val="24"/>
        </w:rPr>
        <w:t>(1976) 136 CLR 529 at 535.</w:t>
      </w:r>
    </w:p>
  </w:footnote>
  <w:footnote w:id="192">
    <w:p w14:paraId="3FA9B4E5"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proofErr w:type="spellStart"/>
      <w:r w:rsidRPr="00883965">
        <w:rPr>
          <w:rFonts w:ascii="Times New Roman" w:hAnsi="Times New Roman"/>
          <w:sz w:val="24"/>
        </w:rPr>
        <w:t>Rolph</w:t>
      </w:r>
      <w:proofErr w:type="spellEnd"/>
      <w:r w:rsidRPr="00883965">
        <w:rPr>
          <w:rFonts w:ascii="Times New Roman" w:hAnsi="Times New Roman"/>
          <w:sz w:val="24"/>
        </w:rPr>
        <w:t xml:space="preserve"> et al, </w:t>
      </w:r>
      <w:proofErr w:type="spellStart"/>
      <w:r w:rsidRPr="00883965">
        <w:rPr>
          <w:rFonts w:ascii="Times New Roman" w:hAnsi="Times New Roman"/>
          <w:i/>
          <w:iCs/>
          <w:sz w:val="24"/>
        </w:rPr>
        <w:t>Balkin</w:t>
      </w:r>
      <w:proofErr w:type="spellEnd"/>
      <w:r w:rsidRPr="00883965">
        <w:rPr>
          <w:rFonts w:ascii="Times New Roman" w:hAnsi="Times New Roman"/>
          <w:i/>
          <w:iCs/>
          <w:sz w:val="24"/>
        </w:rPr>
        <w:t xml:space="preserve"> &amp; Davis Law of Torts</w:t>
      </w:r>
      <w:r w:rsidRPr="00883965">
        <w:rPr>
          <w:rFonts w:ascii="Times New Roman" w:hAnsi="Times New Roman"/>
          <w:sz w:val="24"/>
        </w:rPr>
        <w:t xml:space="preserve">, 6th ed (2021) at 561 [13.52], referring to </w:t>
      </w:r>
      <w:r w:rsidRPr="00883965">
        <w:rPr>
          <w:rFonts w:ascii="Times New Roman" w:hAnsi="Times New Roman"/>
          <w:i/>
          <w:iCs/>
          <w:sz w:val="24"/>
        </w:rPr>
        <w:t xml:space="preserve">Canadian National Railway Co v </w:t>
      </w:r>
      <w:proofErr w:type="spellStart"/>
      <w:r w:rsidRPr="00883965">
        <w:rPr>
          <w:rFonts w:ascii="Times New Roman" w:hAnsi="Times New Roman"/>
          <w:i/>
          <w:iCs/>
          <w:sz w:val="24"/>
        </w:rPr>
        <w:t>Norsk</w:t>
      </w:r>
      <w:proofErr w:type="spellEnd"/>
      <w:r w:rsidRPr="00883965">
        <w:rPr>
          <w:rFonts w:ascii="Times New Roman" w:hAnsi="Times New Roman"/>
          <w:i/>
          <w:iCs/>
          <w:sz w:val="24"/>
        </w:rPr>
        <w:t xml:space="preserve"> Pacific Steamship Co </w:t>
      </w:r>
      <w:r w:rsidRPr="00883965">
        <w:rPr>
          <w:rFonts w:ascii="Times New Roman" w:hAnsi="Times New Roman"/>
          <w:sz w:val="24"/>
        </w:rPr>
        <w:t xml:space="preserve">[1992] 1 SCR 1021 at 1125-1127 and </w:t>
      </w:r>
      <w:bookmarkStart w:id="9" w:name="_Hlk167886542"/>
      <w:r w:rsidRPr="00883965">
        <w:rPr>
          <w:rFonts w:ascii="Times New Roman" w:hAnsi="Times New Roman"/>
          <w:i/>
          <w:iCs/>
          <w:sz w:val="24"/>
        </w:rPr>
        <w:t xml:space="preserve">Rail Corporation New South Wales v Fluor Australia Pty Ltd </w:t>
      </w:r>
      <w:r w:rsidRPr="00883965">
        <w:rPr>
          <w:rFonts w:ascii="Times New Roman" w:hAnsi="Times New Roman"/>
          <w:sz w:val="24"/>
        </w:rPr>
        <w:t xml:space="preserve">(2009) Aust Torts Reports ¶82-038 </w:t>
      </w:r>
      <w:bookmarkEnd w:id="9"/>
      <w:r w:rsidRPr="00883965">
        <w:rPr>
          <w:rFonts w:ascii="Times New Roman" w:hAnsi="Times New Roman"/>
          <w:sz w:val="24"/>
        </w:rPr>
        <w:t xml:space="preserve">at 63,725-63,726 [130]-[133]. </w:t>
      </w:r>
    </w:p>
  </w:footnote>
  <w:footnote w:id="193">
    <w:p w14:paraId="6C8D89C8"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sz w:val="24"/>
        </w:rPr>
        <w:t>Feldthusen</w:t>
      </w:r>
      <w:proofErr w:type="spellEnd"/>
      <w:r w:rsidRPr="00883965">
        <w:rPr>
          <w:rFonts w:ascii="Times New Roman" w:hAnsi="Times New Roman"/>
          <w:sz w:val="24"/>
        </w:rPr>
        <w:t xml:space="preserve">, "Pure Economic Loss in the High Court of Australia: Reinventing the Square Wheel?" (2000) 8 </w:t>
      </w:r>
      <w:r w:rsidRPr="00883965">
        <w:rPr>
          <w:rFonts w:ascii="Times New Roman" w:hAnsi="Times New Roman"/>
          <w:i/>
          <w:iCs/>
          <w:sz w:val="24"/>
        </w:rPr>
        <w:t xml:space="preserve">Tort Law Review </w:t>
      </w:r>
      <w:r w:rsidRPr="00883965">
        <w:rPr>
          <w:rFonts w:ascii="Times New Roman" w:hAnsi="Times New Roman"/>
          <w:sz w:val="24"/>
        </w:rPr>
        <w:t>33 at 50.</w:t>
      </w:r>
    </w:p>
  </w:footnote>
  <w:footnote w:id="194">
    <w:p w14:paraId="0CEBC0A2"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See </w:t>
      </w:r>
      <w:r w:rsidRPr="00883965">
        <w:rPr>
          <w:rFonts w:ascii="Times New Roman" w:hAnsi="Times New Roman"/>
          <w:i/>
          <w:iCs/>
          <w:sz w:val="24"/>
        </w:rPr>
        <w:t xml:space="preserve">Baker v Bolton </w:t>
      </w:r>
      <w:r w:rsidRPr="00883965">
        <w:rPr>
          <w:rFonts w:ascii="Times New Roman" w:hAnsi="Times New Roman"/>
          <w:sz w:val="24"/>
        </w:rPr>
        <w:t xml:space="preserve">(1808) 1 Camp 493 [170 ER 1033]; </w:t>
      </w:r>
      <w:r w:rsidRPr="00883965">
        <w:rPr>
          <w:rFonts w:ascii="Times New Roman" w:hAnsi="Times New Roman"/>
          <w:i/>
          <w:iCs/>
          <w:sz w:val="24"/>
        </w:rPr>
        <w:t xml:space="preserve">Admiralty Commissioners v SS Amerika </w:t>
      </w:r>
      <w:r w:rsidRPr="00883965">
        <w:rPr>
          <w:rFonts w:ascii="Times New Roman" w:hAnsi="Times New Roman"/>
          <w:sz w:val="24"/>
        </w:rPr>
        <w:t xml:space="preserve">[1917] AC 38; </w:t>
      </w:r>
      <w:r w:rsidRPr="00883965">
        <w:rPr>
          <w:rFonts w:ascii="Times New Roman" w:hAnsi="Times New Roman"/>
          <w:i/>
          <w:iCs/>
          <w:sz w:val="24"/>
        </w:rPr>
        <w:t xml:space="preserve">Paul v Royal Wolverhampton NHS Trust </w:t>
      </w:r>
      <w:r w:rsidRPr="00883965">
        <w:rPr>
          <w:rFonts w:ascii="Times New Roman" w:hAnsi="Times New Roman"/>
          <w:sz w:val="24"/>
        </w:rPr>
        <w:t xml:space="preserve">[2024] 2 WLR 417 at 421-422 [2]; [2024] 2 All ER 681 at 685. See also </w:t>
      </w:r>
      <w:r w:rsidRPr="00883965">
        <w:rPr>
          <w:rFonts w:ascii="Times New Roman" w:hAnsi="Times New Roman"/>
          <w:i/>
          <w:iCs/>
          <w:sz w:val="24"/>
        </w:rPr>
        <w:t>Barclay v Penberthy</w:t>
      </w:r>
      <w:r w:rsidRPr="00883965">
        <w:rPr>
          <w:rFonts w:ascii="Times New Roman" w:hAnsi="Times New Roman"/>
          <w:sz w:val="24"/>
        </w:rPr>
        <w:t xml:space="preserve"> (2012) 246 CLR 258 at 273 [1], 277 [21(1)].</w:t>
      </w:r>
    </w:p>
  </w:footnote>
  <w:footnote w:id="195">
    <w:p w14:paraId="4B49CDC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 xml:space="preserve">Stevens, "The Divergence of the Australian and English Law of Torts", in </w:t>
      </w:r>
      <w:proofErr w:type="spellStart"/>
      <w:r w:rsidRPr="00883965">
        <w:rPr>
          <w:rFonts w:ascii="Times New Roman" w:hAnsi="Times New Roman"/>
          <w:sz w:val="24"/>
        </w:rPr>
        <w:t>Degeling</w:t>
      </w:r>
      <w:proofErr w:type="spellEnd"/>
      <w:r w:rsidRPr="00883965">
        <w:rPr>
          <w:rFonts w:ascii="Times New Roman" w:hAnsi="Times New Roman"/>
          <w:sz w:val="24"/>
        </w:rPr>
        <w:t xml:space="preserve">, Edelman and </w:t>
      </w:r>
      <w:proofErr w:type="spellStart"/>
      <w:r w:rsidRPr="00883965">
        <w:rPr>
          <w:rFonts w:ascii="Times New Roman" w:hAnsi="Times New Roman"/>
          <w:sz w:val="24"/>
        </w:rPr>
        <w:t>Goudkamp</w:t>
      </w:r>
      <w:proofErr w:type="spellEnd"/>
      <w:r w:rsidRPr="00883965">
        <w:rPr>
          <w:rFonts w:ascii="Times New Roman" w:hAnsi="Times New Roman"/>
          <w:sz w:val="24"/>
        </w:rPr>
        <w:t xml:space="preserve"> (eds), </w:t>
      </w:r>
      <w:r w:rsidRPr="00883965">
        <w:rPr>
          <w:rFonts w:ascii="Times New Roman" w:hAnsi="Times New Roman"/>
          <w:i/>
          <w:iCs/>
          <w:sz w:val="24"/>
        </w:rPr>
        <w:t xml:space="preserve">Torts in Commercial Law </w:t>
      </w:r>
      <w:r w:rsidRPr="00883965">
        <w:rPr>
          <w:rFonts w:ascii="Times New Roman" w:hAnsi="Times New Roman"/>
          <w:sz w:val="24"/>
        </w:rPr>
        <w:t xml:space="preserve">(2011) 37 at 51 (emphasis in original). </w:t>
      </w:r>
    </w:p>
  </w:footnote>
  <w:footnote w:id="196">
    <w:p w14:paraId="6969588F"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Joint reasons at [</w:t>
      </w:r>
      <w:r w:rsidRPr="000629D2">
        <w:rPr>
          <w:rFonts w:ascii="Times New Roman" w:hAnsi="Times New Roman"/>
          <w:sz w:val="24"/>
        </w:rPr>
        <w:t>51</w:t>
      </w:r>
      <w:r w:rsidRPr="009C138D">
        <w:rPr>
          <w:rFonts w:ascii="Times New Roman" w:hAnsi="Times New Roman"/>
          <w:sz w:val="24"/>
        </w:rPr>
        <w:t>].</w:t>
      </w:r>
    </w:p>
  </w:footnote>
  <w:footnote w:id="197">
    <w:p w14:paraId="09776867"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r>
      <w:proofErr w:type="spellStart"/>
      <w:r w:rsidRPr="00883965">
        <w:rPr>
          <w:rFonts w:ascii="Times New Roman" w:hAnsi="Times New Roman"/>
          <w:i/>
          <w:iCs/>
          <w:sz w:val="24"/>
        </w:rPr>
        <w:t>Mallonland</w:t>
      </w:r>
      <w:proofErr w:type="spellEnd"/>
      <w:r w:rsidRPr="00883965">
        <w:rPr>
          <w:rFonts w:ascii="Times New Roman" w:hAnsi="Times New Roman"/>
          <w:i/>
          <w:iCs/>
          <w:sz w:val="24"/>
        </w:rPr>
        <w:t xml:space="preserve"> Pty Ltd v Advanta Seeds Pty Ltd </w:t>
      </w:r>
      <w:r w:rsidRPr="00883965">
        <w:rPr>
          <w:rFonts w:ascii="Times New Roman" w:hAnsi="Times New Roman"/>
          <w:sz w:val="24"/>
        </w:rPr>
        <w:t>(2021) 7 QR 234 at 281 [190].</w:t>
      </w:r>
    </w:p>
  </w:footnote>
  <w:footnote w:id="198">
    <w:p w14:paraId="44ECF3F6" w14:textId="77777777" w:rsidR="001F5442" w:rsidRPr="00883965" w:rsidRDefault="001F5442" w:rsidP="00883965">
      <w:pPr>
        <w:pStyle w:val="FootnoteText"/>
        <w:spacing w:line="280" w:lineRule="exact"/>
        <w:ind w:right="0"/>
        <w:jc w:val="both"/>
        <w:rPr>
          <w:rFonts w:ascii="Times New Roman" w:hAnsi="Times New Roman"/>
          <w:sz w:val="24"/>
        </w:rPr>
      </w:pPr>
      <w:r w:rsidRPr="00883965">
        <w:rPr>
          <w:rStyle w:val="FootnoteReference"/>
          <w:rFonts w:ascii="Times New Roman" w:hAnsi="Times New Roman"/>
          <w:sz w:val="22"/>
          <w:vertAlign w:val="baseline"/>
        </w:rPr>
        <w:footnoteRef/>
      </w:r>
      <w:r w:rsidRPr="00883965">
        <w:rPr>
          <w:rFonts w:ascii="Times New Roman" w:hAnsi="Times New Roman"/>
          <w:sz w:val="24"/>
        </w:rPr>
        <w:t xml:space="preserve"> </w:t>
      </w:r>
      <w:r w:rsidRPr="00883965">
        <w:rPr>
          <w:rFonts w:ascii="Times New Roman" w:hAnsi="Times New Roman"/>
          <w:sz w:val="24"/>
        </w:rPr>
        <w:tab/>
        <w:t>Joint reasons at [</w:t>
      </w:r>
      <w:r w:rsidRPr="000629D2">
        <w:rPr>
          <w:rFonts w:ascii="Times New Roman" w:hAnsi="Times New Roman"/>
          <w:sz w:val="24"/>
        </w:rPr>
        <w:t>53</w:t>
      </w:r>
      <w:r w:rsidRPr="009C138D">
        <w:rPr>
          <w:rFonts w:ascii="Times New Roman" w:hAnsi="Times New Roman"/>
          <w:sz w:val="24"/>
        </w:rPr>
        <w:t>]-[</w:t>
      </w:r>
      <w:r w:rsidRPr="000629D2">
        <w:rPr>
          <w:rFonts w:ascii="Times New Roman" w:hAnsi="Times New Roman"/>
          <w:sz w:val="24"/>
        </w:rPr>
        <w:t>54</w:t>
      </w:r>
      <w:r w:rsidRPr="009C138D">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F58A" w14:textId="77777777" w:rsidR="00D35B04" w:rsidRPr="00BF0B04" w:rsidRDefault="00D35B04" w:rsidP="00BF0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2E25" w14:textId="082F9BE6" w:rsidR="00D35B04" w:rsidRPr="00BF0B04" w:rsidRDefault="00BF0B04" w:rsidP="00BF0B0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09C4" w14:textId="11FF6423" w:rsidR="009103AB" w:rsidRPr="00BF0B04" w:rsidRDefault="009103AB" w:rsidP="00BF0B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6148" w14:textId="77777777" w:rsidR="00BF0B04" w:rsidRPr="00D35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sidRPr="00D35B04">
      <w:rPr>
        <w:rFonts w:ascii="Times New Roman" w:hAnsi="Times New Roman"/>
        <w:i/>
        <w:sz w:val="22"/>
      </w:rPr>
      <w:t>Gageler</w:t>
    </w:r>
    <w:r w:rsidRPr="00D35B04">
      <w:rPr>
        <w:rFonts w:ascii="Times New Roman" w:hAnsi="Times New Roman"/>
        <w:i/>
        <w:sz w:val="22"/>
      </w:rPr>
      <w:tab/>
      <w:t>CJ</w:t>
    </w:r>
  </w:p>
  <w:p w14:paraId="4854DCF3" w14:textId="77777777" w:rsidR="00BF0B04" w:rsidRPr="00D35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sidRPr="00D35B04">
      <w:rPr>
        <w:rFonts w:ascii="Times New Roman" w:hAnsi="Times New Roman"/>
        <w:i/>
        <w:sz w:val="22"/>
      </w:rPr>
      <w:t>Gordon</w:t>
    </w:r>
    <w:r w:rsidRPr="00D35B04">
      <w:rPr>
        <w:rFonts w:ascii="Times New Roman" w:hAnsi="Times New Roman"/>
        <w:i/>
        <w:sz w:val="22"/>
      </w:rPr>
      <w:tab/>
      <w:t>J</w:t>
    </w:r>
  </w:p>
  <w:p w14:paraId="7AAD2F4A" w14:textId="77777777" w:rsidR="00BF0B04" w:rsidRPr="00D35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sidRPr="00D35B04">
      <w:rPr>
        <w:rFonts w:ascii="Times New Roman" w:hAnsi="Times New Roman"/>
        <w:i/>
        <w:sz w:val="22"/>
      </w:rPr>
      <w:t>Steward</w:t>
    </w:r>
    <w:r w:rsidRPr="00D35B04">
      <w:rPr>
        <w:rFonts w:ascii="Times New Roman" w:hAnsi="Times New Roman"/>
        <w:i/>
        <w:sz w:val="22"/>
      </w:rPr>
      <w:tab/>
      <w:t>J</w:t>
    </w:r>
  </w:p>
  <w:p w14:paraId="60FC21FE" w14:textId="77777777" w:rsidR="00BF0B04" w:rsidRPr="00D35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sidRPr="00D35B04">
      <w:rPr>
        <w:rFonts w:ascii="Times New Roman" w:hAnsi="Times New Roman"/>
        <w:i/>
        <w:sz w:val="22"/>
      </w:rPr>
      <w:t>Gleeson</w:t>
    </w:r>
    <w:r w:rsidRPr="00D35B04">
      <w:rPr>
        <w:rFonts w:ascii="Times New Roman" w:hAnsi="Times New Roman"/>
        <w:i/>
        <w:sz w:val="22"/>
      </w:rPr>
      <w:tab/>
      <w:t>J</w:t>
    </w:r>
  </w:p>
  <w:p w14:paraId="43B0EDB5" w14:textId="77777777" w:rsidR="00BF0B04" w:rsidRPr="00D35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sidRPr="00D35B04">
      <w:rPr>
        <w:rFonts w:ascii="Times New Roman" w:hAnsi="Times New Roman"/>
        <w:i/>
        <w:sz w:val="22"/>
      </w:rPr>
      <w:t>Jagot</w:t>
    </w:r>
    <w:r w:rsidRPr="00D35B04">
      <w:rPr>
        <w:rFonts w:ascii="Times New Roman" w:hAnsi="Times New Roman"/>
        <w:i/>
        <w:sz w:val="22"/>
      </w:rPr>
      <w:tab/>
      <w:t>J</w:t>
    </w:r>
  </w:p>
  <w:p w14:paraId="759C09D3" w14:textId="77777777" w:rsidR="00BF0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E31D205" w14:textId="77777777" w:rsidR="00BF0B04" w:rsidRDefault="00BF0B04" w:rsidP="00D35B04">
    <w:pPr>
      <w:pStyle w:val="Header"/>
      <w:tabs>
        <w:tab w:val="clear" w:pos="4153"/>
        <w:tab w:val="clear" w:pos="8306"/>
        <w:tab w:val="right" w:pos="1304"/>
      </w:tabs>
      <w:spacing w:line="280" w:lineRule="exact"/>
      <w:ind w:firstLine="0"/>
      <w:rPr>
        <w:rFonts w:ascii="Times New Roman" w:hAnsi="Times New Roman"/>
        <w:i/>
        <w:sz w:val="22"/>
      </w:rPr>
    </w:pPr>
  </w:p>
  <w:p w14:paraId="5852F915" w14:textId="77777777" w:rsidR="00BF0B04" w:rsidRDefault="00BF0B04" w:rsidP="00D35B0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31</w:t>
    </w:r>
    <w:r>
      <w:rPr>
        <w:rFonts w:ascii="Times New Roman" w:hAnsi="Times New Roman"/>
        <w:sz w:val="22"/>
      </w:rPr>
      <w:fldChar w:fldCharType="end"/>
    </w:r>
    <w:r>
      <w:rPr>
        <w:rFonts w:ascii="Times New Roman" w:hAnsi="Times New Roman"/>
        <w:sz w:val="22"/>
      </w:rPr>
      <w:t>.</w:t>
    </w:r>
  </w:p>
  <w:p w14:paraId="022A90CB" w14:textId="77777777" w:rsidR="00BF0B04" w:rsidRPr="00D35B04" w:rsidRDefault="00BF0B04" w:rsidP="00D35B0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37B" w14:textId="77777777" w:rsidR="00BF0B04" w:rsidRPr="00D35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sidRPr="00D35B04">
      <w:rPr>
        <w:rFonts w:ascii="Times New Roman" w:hAnsi="Times New Roman"/>
        <w:i/>
        <w:sz w:val="22"/>
      </w:rPr>
      <w:tab/>
      <w:t>Gageler</w:t>
    </w:r>
    <w:r w:rsidRPr="00D35B04">
      <w:rPr>
        <w:rFonts w:ascii="Times New Roman" w:hAnsi="Times New Roman"/>
        <w:i/>
        <w:sz w:val="22"/>
      </w:rPr>
      <w:tab/>
      <w:t>CJ</w:t>
    </w:r>
  </w:p>
  <w:p w14:paraId="08C5AAFF" w14:textId="77777777" w:rsidR="00BF0B04" w:rsidRPr="00D35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sidRPr="00D35B04">
      <w:rPr>
        <w:rFonts w:ascii="Times New Roman" w:hAnsi="Times New Roman"/>
        <w:i/>
        <w:sz w:val="22"/>
      </w:rPr>
      <w:tab/>
      <w:t>Gordon</w:t>
    </w:r>
    <w:r w:rsidRPr="00D35B04">
      <w:rPr>
        <w:rFonts w:ascii="Times New Roman" w:hAnsi="Times New Roman"/>
        <w:i/>
        <w:sz w:val="22"/>
      </w:rPr>
      <w:tab/>
      <w:t>J</w:t>
    </w:r>
  </w:p>
  <w:p w14:paraId="223DACCA" w14:textId="77777777" w:rsidR="00BF0B04" w:rsidRPr="00D35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sidRPr="00D35B04">
      <w:rPr>
        <w:rFonts w:ascii="Times New Roman" w:hAnsi="Times New Roman"/>
        <w:i/>
        <w:sz w:val="22"/>
      </w:rPr>
      <w:tab/>
      <w:t>Steward</w:t>
    </w:r>
    <w:r w:rsidRPr="00D35B04">
      <w:rPr>
        <w:rFonts w:ascii="Times New Roman" w:hAnsi="Times New Roman"/>
        <w:i/>
        <w:sz w:val="22"/>
      </w:rPr>
      <w:tab/>
      <w:t>J</w:t>
    </w:r>
  </w:p>
  <w:p w14:paraId="331A850B" w14:textId="77777777" w:rsidR="00BF0B04" w:rsidRPr="00D35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sidRPr="00D35B04">
      <w:rPr>
        <w:rFonts w:ascii="Times New Roman" w:hAnsi="Times New Roman"/>
        <w:i/>
        <w:sz w:val="22"/>
      </w:rPr>
      <w:tab/>
      <w:t>Gleeson</w:t>
    </w:r>
    <w:r w:rsidRPr="00D35B04">
      <w:rPr>
        <w:rFonts w:ascii="Times New Roman" w:hAnsi="Times New Roman"/>
        <w:i/>
        <w:sz w:val="22"/>
      </w:rPr>
      <w:tab/>
      <w:t>J</w:t>
    </w:r>
  </w:p>
  <w:p w14:paraId="1B6ED1A9" w14:textId="77777777" w:rsidR="00BF0B04" w:rsidRPr="00D35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sidRPr="00D35B04">
      <w:rPr>
        <w:rFonts w:ascii="Times New Roman" w:hAnsi="Times New Roman"/>
        <w:i/>
        <w:sz w:val="22"/>
      </w:rPr>
      <w:tab/>
      <w:t>Jagot</w:t>
    </w:r>
    <w:r w:rsidRPr="00D35B04">
      <w:rPr>
        <w:rFonts w:ascii="Times New Roman" w:hAnsi="Times New Roman"/>
        <w:i/>
        <w:sz w:val="22"/>
      </w:rPr>
      <w:tab/>
      <w:t>J</w:t>
    </w:r>
  </w:p>
  <w:p w14:paraId="056E11FF" w14:textId="77777777" w:rsidR="00BF0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AB50FB1" w14:textId="77777777" w:rsidR="00BF0B04" w:rsidRDefault="00BF0B04" w:rsidP="00D35B04">
    <w:pPr>
      <w:pStyle w:val="Header"/>
      <w:tabs>
        <w:tab w:val="clear" w:pos="4153"/>
        <w:tab w:val="clear" w:pos="8306"/>
        <w:tab w:val="left" w:pos="7200"/>
        <w:tab w:val="right" w:pos="8504"/>
      </w:tabs>
      <w:spacing w:line="280" w:lineRule="exact"/>
      <w:jc w:val="right"/>
      <w:rPr>
        <w:rFonts w:ascii="Times New Roman" w:hAnsi="Times New Roman"/>
        <w:i/>
        <w:sz w:val="22"/>
      </w:rPr>
    </w:pPr>
  </w:p>
  <w:p w14:paraId="3F27F203" w14:textId="77777777" w:rsidR="00BF0B04" w:rsidRDefault="00BF0B04" w:rsidP="00D35B0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31</w:t>
    </w:r>
    <w:r>
      <w:rPr>
        <w:rFonts w:ascii="Times New Roman" w:hAnsi="Times New Roman"/>
        <w:sz w:val="22"/>
      </w:rPr>
      <w:fldChar w:fldCharType="end"/>
    </w:r>
    <w:r>
      <w:rPr>
        <w:rFonts w:ascii="Times New Roman" w:hAnsi="Times New Roman"/>
        <w:sz w:val="22"/>
      </w:rPr>
      <w:t>.</w:t>
    </w:r>
  </w:p>
  <w:p w14:paraId="7A7C2877" w14:textId="77777777" w:rsidR="00BF0B04" w:rsidRPr="00D35B04" w:rsidRDefault="00BF0B04" w:rsidP="00D35B0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9834"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5A93EDE3"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781A05FD"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1964A3AA"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44E761D6"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7BA1279B"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70794F7B"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78EB0A5B" w14:textId="77777777" w:rsidR="00BF0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p w14:paraId="6BF93BD1" w14:textId="77777777" w:rsidR="00BF0B04" w:rsidRPr="00D35B04" w:rsidRDefault="00BF0B04" w:rsidP="00D35B0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537" w14:textId="77777777" w:rsidR="00BA7368" w:rsidRDefault="00000000" w:rsidP="0088396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6671872" w14:textId="77777777" w:rsidR="00BA7368" w:rsidRDefault="00BA7368" w:rsidP="00883965">
    <w:pPr>
      <w:pStyle w:val="Header"/>
      <w:tabs>
        <w:tab w:val="clear" w:pos="4153"/>
        <w:tab w:val="clear" w:pos="8306"/>
        <w:tab w:val="right" w:pos="1304"/>
      </w:tabs>
      <w:spacing w:line="280" w:lineRule="exact"/>
      <w:ind w:firstLine="0"/>
      <w:rPr>
        <w:rFonts w:ascii="Times New Roman" w:hAnsi="Times New Roman"/>
        <w:i/>
        <w:sz w:val="22"/>
      </w:rPr>
    </w:pPr>
  </w:p>
  <w:p w14:paraId="2C21A29C" w14:textId="77777777" w:rsidR="00BA7368" w:rsidRDefault="00000000" w:rsidP="008839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2168024E" w14:textId="77777777" w:rsidR="00BA7368" w:rsidRPr="00883965" w:rsidRDefault="00BA7368" w:rsidP="008839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DB4D" w14:textId="77777777" w:rsidR="00BA7368" w:rsidRDefault="00000000" w:rsidP="008839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7C4D8E3" w14:textId="77777777" w:rsidR="00BA7368" w:rsidRDefault="00BA7368" w:rsidP="00883965">
    <w:pPr>
      <w:pStyle w:val="Header"/>
      <w:tabs>
        <w:tab w:val="clear" w:pos="4153"/>
        <w:tab w:val="clear" w:pos="8306"/>
        <w:tab w:val="left" w:pos="7200"/>
        <w:tab w:val="right" w:pos="8504"/>
      </w:tabs>
      <w:spacing w:line="280" w:lineRule="exact"/>
      <w:jc w:val="right"/>
      <w:rPr>
        <w:rFonts w:ascii="Times New Roman" w:hAnsi="Times New Roman"/>
        <w:i/>
        <w:sz w:val="22"/>
      </w:rPr>
    </w:pPr>
  </w:p>
  <w:p w14:paraId="15C153FC" w14:textId="77777777" w:rsidR="00BA7368" w:rsidRDefault="00000000" w:rsidP="008839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34BFA405" w14:textId="77777777" w:rsidR="00BA7368" w:rsidRPr="00883965" w:rsidRDefault="00BA7368" w:rsidP="008839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4D7" w14:textId="77777777" w:rsidR="00BA7368" w:rsidRDefault="00BA7368" w:rsidP="00883965">
    <w:pPr>
      <w:pStyle w:val="Header"/>
      <w:tabs>
        <w:tab w:val="clear" w:pos="4153"/>
        <w:tab w:val="clear" w:pos="8306"/>
        <w:tab w:val="center" w:pos="1134"/>
      </w:tabs>
      <w:spacing w:line="280" w:lineRule="exact"/>
      <w:ind w:firstLine="0"/>
      <w:rPr>
        <w:rFonts w:ascii="Times New Roman" w:hAnsi="Times New Roman"/>
        <w:i/>
        <w:sz w:val="22"/>
      </w:rPr>
    </w:pPr>
  </w:p>
  <w:p w14:paraId="202B11F1" w14:textId="77777777" w:rsidR="00BA7368" w:rsidRDefault="00BA7368" w:rsidP="00883965">
    <w:pPr>
      <w:pStyle w:val="Header"/>
      <w:tabs>
        <w:tab w:val="clear" w:pos="4153"/>
        <w:tab w:val="clear" w:pos="8306"/>
        <w:tab w:val="center" w:pos="1134"/>
      </w:tabs>
      <w:spacing w:line="280" w:lineRule="exact"/>
      <w:ind w:firstLine="0"/>
      <w:rPr>
        <w:rFonts w:ascii="Times New Roman" w:hAnsi="Times New Roman"/>
        <w:i/>
        <w:sz w:val="22"/>
      </w:rPr>
    </w:pPr>
  </w:p>
  <w:p w14:paraId="2F5C091E" w14:textId="77777777" w:rsidR="00BA7368" w:rsidRDefault="00BA7368" w:rsidP="00883965">
    <w:pPr>
      <w:pStyle w:val="Header"/>
      <w:tabs>
        <w:tab w:val="clear" w:pos="4153"/>
        <w:tab w:val="clear" w:pos="8306"/>
        <w:tab w:val="center" w:pos="1134"/>
      </w:tabs>
      <w:spacing w:line="280" w:lineRule="exact"/>
      <w:ind w:firstLine="0"/>
      <w:rPr>
        <w:rFonts w:ascii="Times New Roman" w:hAnsi="Times New Roman"/>
        <w:i/>
        <w:sz w:val="22"/>
      </w:rPr>
    </w:pPr>
  </w:p>
  <w:p w14:paraId="78D69112" w14:textId="77777777" w:rsidR="00BA7368" w:rsidRPr="00883965" w:rsidRDefault="00BA7368" w:rsidP="0088396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2074542225">
    <w:abstractNumId w:val="12"/>
  </w:num>
  <w:num w:numId="21" w16cid:durableId="469252520">
    <w:abstractNumId w:val="12"/>
  </w:num>
  <w:num w:numId="22" w16cid:durableId="1936205917">
    <w:abstractNumId w:val="12"/>
  </w:num>
  <w:num w:numId="23" w16cid:durableId="1710299742">
    <w:abstractNumId w:val="12"/>
  </w:num>
  <w:num w:numId="24" w16cid:durableId="9183830">
    <w:abstractNumId w:val="12"/>
  </w:num>
  <w:num w:numId="25" w16cid:durableId="2056852285">
    <w:abstractNumId w:val="12"/>
  </w:num>
  <w:num w:numId="26" w16cid:durableId="517350661">
    <w:abstractNumId w:val="12"/>
  </w:num>
  <w:num w:numId="27" w16cid:durableId="1770849766">
    <w:abstractNumId w:val="12"/>
  </w:num>
  <w:num w:numId="28" w16cid:durableId="842092261">
    <w:abstractNumId w:val="12"/>
  </w:num>
  <w:num w:numId="29" w16cid:durableId="753009934">
    <w:abstractNumId w:val="12"/>
  </w:num>
  <w:num w:numId="30" w16cid:durableId="541215767">
    <w:abstractNumId w:val="12"/>
  </w:num>
  <w:num w:numId="31" w16cid:durableId="1418357332">
    <w:abstractNumId w:val="12"/>
  </w:num>
  <w:num w:numId="32" w16cid:durableId="1362127735">
    <w:abstractNumId w:val="12"/>
  </w:num>
  <w:num w:numId="33" w16cid:durableId="405613028">
    <w:abstractNumId w:val="12"/>
  </w:num>
  <w:num w:numId="34" w16cid:durableId="1096094333">
    <w:abstractNumId w:val="12"/>
  </w:num>
  <w:num w:numId="35" w16cid:durableId="1723018697">
    <w:abstractNumId w:val="12"/>
  </w:num>
  <w:num w:numId="36" w16cid:durableId="19164880">
    <w:abstractNumId w:val="12"/>
  </w:num>
  <w:num w:numId="37" w16cid:durableId="833492519">
    <w:abstractNumId w:val="12"/>
  </w:num>
  <w:num w:numId="38" w16cid:durableId="1043023824">
    <w:abstractNumId w:val="12"/>
  </w:num>
  <w:num w:numId="39" w16cid:durableId="468942085">
    <w:abstractNumId w:val="12"/>
  </w:num>
  <w:num w:numId="40" w16cid:durableId="1009328320">
    <w:abstractNumId w:val="12"/>
  </w:num>
  <w:num w:numId="41" w16cid:durableId="229535371">
    <w:abstractNumId w:val="12"/>
  </w:num>
  <w:num w:numId="42" w16cid:durableId="1512601457">
    <w:abstractNumId w:val="12"/>
  </w:num>
  <w:num w:numId="43" w16cid:durableId="636835067">
    <w:abstractNumId w:val="12"/>
  </w:num>
  <w:num w:numId="44" w16cid:durableId="257835112">
    <w:abstractNumId w:val="12"/>
  </w:num>
  <w:num w:numId="45" w16cid:durableId="2052534813">
    <w:abstractNumId w:val="12"/>
  </w:num>
  <w:num w:numId="46" w16cid:durableId="1974554619">
    <w:abstractNumId w:val="12"/>
  </w:num>
  <w:num w:numId="47" w16cid:durableId="383140109">
    <w:abstractNumId w:val="12"/>
  </w:num>
  <w:num w:numId="48" w16cid:durableId="476264560">
    <w:abstractNumId w:val="12"/>
  </w:num>
  <w:num w:numId="49" w16cid:durableId="2096244473">
    <w:abstractNumId w:val="12"/>
  </w:num>
  <w:num w:numId="50" w16cid:durableId="800078791">
    <w:abstractNumId w:val="12"/>
  </w:num>
  <w:num w:numId="51" w16cid:durableId="887717079">
    <w:abstractNumId w:val="12"/>
  </w:num>
  <w:num w:numId="52" w16cid:durableId="845362703">
    <w:abstractNumId w:val="12"/>
  </w:num>
  <w:num w:numId="53" w16cid:durableId="2061979579">
    <w:abstractNumId w:val="12"/>
  </w:num>
  <w:num w:numId="54" w16cid:durableId="483082598">
    <w:abstractNumId w:val="12"/>
  </w:num>
  <w:num w:numId="55" w16cid:durableId="625812994">
    <w:abstractNumId w:val="12"/>
  </w:num>
  <w:num w:numId="56" w16cid:durableId="1323658726">
    <w:abstractNumId w:val="12"/>
  </w:num>
  <w:num w:numId="57" w16cid:durableId="207423040">
    <w:abstractNumId w:val="12"/>
  </w:num>
  <w:num w:numId="58" w16cid:durableId="1679850605">
    <w:abstractNumId w:val="12"/>
  </w:num>
  <w:num w:numId="59" w16cid:durableId="1550220140">
    <w:abstractNumId w:val="12"/>
  </w:num>
  <w:num w:numId="60" w16cid:durableId="498812647">
    <w:abstractNumId w:val="12"/>
  </w:num>
  <w:num w:numId="61" w16cid:durableId="846361096">
    <w:abstractNumId w:val="12"/>
  </w:num>
  <w:num w:numId="62" w16cid:durableId="690255818">
    <w:abstractNumId w:val="12"/>
  </w:num>
  <w:num w:numId="63" w16cid:durableId="317349918">
    <w:abstractNumId w:val="12"/>
  </w:num>
  <w:num w:numId="64" w16cid:durableId="1522236987">
    <w:abstractNumId w:val="12"/>
  </w:num>
  <w:num w:numId="65" w16cid:durableId="2020503786">
    <w:abstractNumId w:val="12"/>
  </w:num>
  <w:num w:numId="66" w16cid:durableId="377513022">
    <w:abstractNumId w:val="12"/>
  </w:num>
  <w:num w:numId="67" w16cid:durableId="376856633">
    <w:abstractNumId w:val="12"/>
  </w:num>
  <w:num w:numId="68" w16cid:durableId="18513351">
    <w:abstractNumId w:val="12"/>
  </w:num>
  <w:num w:numId="69" w16cid:durableId="714426893">
    <w:abstractNumId w:val="12"/>
  </w:num>
  <w:num w:numId="70" w16cid:durableId="1525824542">
    <w:abstractNumId w:val="12"/>
  </w:num>
  <w:num w:numId="71" w16cid:durableId="933711262">
    <w:abstractNumId w:val="12"/>
  </w:num>
  <w:num w:numId="72" w16cid:durableId="923757103">
    <w:abstractNumId w:val="12"/>
  </w:num>
  <w:num w:numId="73" w16cid:durableId="757094370">
    <w:abstractNumId w:val="12"/>
  </w:num>
  <w:num w:numId="74" w16cid:durableId="2005932200">
    <w:abstractNumId w:val="12"/>
  </w:num>
  <w:num w:numId="75" w16cid:durableId="1958634792">
    <w:abstractNumId w:val="12"/>
  </w:num>
  <w:num w:numId="76" w16cid:durableId="1462729186">
    <w:abstractNumId w:val="12"/>
  </w:num>
  <w:num w:numId="77" w16cid:durableId="1010835295">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11"/>
    <w:rsid w:val="000002AF"/>
    <w:rsid w:val="0000191D"/>
    <w:rsid w:val="0000199F"/>
    <w:rsid w:val="00001A97"/>
    <w:rsid w:val="00002069"/>
    <w:rsid w:val="00002A0A"/>
    <w:rsid w:val="00002CE6"/>
    <w:rsid w:val="00002E5C"/>
    <w:rsid w:val="0000316A"/>
    <w:rsid w:val="0000326A"/>
    <w:rsid w:val="00003A4B"/>
    <w:rsid w:val="00004066"/>
    <w:rsid w:val="000049B7"/>
    <w:rsid w:val="00004BA2"/>
    <w:rsid w:val="000053F1"/>
    <w:rsid w:val="00005A84"/>
    <w:rsid w:val="000113AC"/>
    <w:rsid w:val="00011600"/>
    <w:rsid w:val="00012671"/>
    <w:rsid w:val="00012B5B"/>
    <w:rsid w:val="000141CA"/>
    <w:rsid w:val="0001471F"/>
    <w:rsid w:val="000149AC"/>
    <w:rsid w:val="00014B34"/>
    <w:rsid w:val="00014D8D"/>
    <w:rsid w:val="0001514D"/>
    <w:rsid w:val="00015656"/>
    <w:rsid w:val="000157B2"/>
    <w:rsid w:val="00015844"/>
    <w:rsid w:val="00015C6C"/>
    <w:rsid w:val="000168C9"/>
    <w:rsid w:val="0001699F"/>
    <w:rsid w:val="00016C20"/>
    <w:rsid w:val="00016DBB"/>
    <w:rsid w:val="00016EF4"/>
    <w:rsid w:val="00017144"/>
    <w:rsid w:val="00017D00"/>
    <w:rsid w:val="00017E45"/>
    <w:rsid w:val="000204B4"/>
    <w:rsid w:val="000205F0"/>
    <w:rsid w:val="0002066E"/>
    <w:rsid w:val="00020B8D"/>
    <w:rsid w:val="00020CE3"/>
    <w:rsid w:val="000212C5"/>
    <w:rsid w:val="00021D0C"/>
    <w:rsid w:val="000226C6"/>
    <w:rsid w:val="00022A53"/>
    <w:rsid w:val="00022B24"/>
    <w:rsid w:val="00023086"/>
    <w:rsid w:val="0002377A"/>
    <w:rsid w:val="00023979"/>
    <w:rsid w:val="00023DE7"/>
    <w:rsid w:val="00023FF1"/>
    <w:rsid w:val="00024117"/>
    <w:rsid w:val="000245E6"/>
    <w:rsid w:val="00024CBF"/>
    <w:rsid w:val="00024D26"/>
    <w:rsid w:val="000250AF"/>
    <w:rsid w:val="00025490"/>
    <w:rsid w:val="0002561E"/>
    <w:rsid w:val="0002592D"/>
    <w:rsid w:val="00026897"/>
    <w:rsid w:val="000268E1"/>
    <w:rsid w:val="00026C5A"/>
    <w:rsid w:val="00026EBA"/>
    <w:rsid w:val="00031001"/>
    <w:rsid w:val="00031976"/>
    <w:rsid w:val="00031B9C"/>
    <w:rsid w:val="00031F5A"/>
    <w:rsid w:val="00032D44"/>
    <w:rsid w:val="00032F8B"/>
    <w:rsid w:val="000330E3"/>
    <w:rsid w:val="0003351D"/>
    <w:rsid w:val="00033C94"/>
    <w:rsid w:val="000345BA"/>
    <w:rsid w:val="00034BBE"/>
    <w:rsid w:val="0003575A"/>
    <w:rsid w:val="000360EB"/>
    <w:rsid w:val="00036770"/>
    <w:rsid w:val="00036B21"/>
    <w:rsid w:val="000374B5"/>
    <w:rsid w:val="00037A5F"/>
    <w:rsid w:val="00037B07"/>
    <w:rsid w:val="00037D87"/>
    <w:rsid w:val="0004116D"/>
    <w:rsid w:val="00041DA4"/>
    <w:rsid w:val="000420B6"/>
    <w:rsid w:val="00042D4A"/>
    <w:rsid w:val="00042DBF"/>
    <w:rsid w:val="00042EF3"/>
    <w:rsid w:val="0004306A"/>
    <w:rsid w:val="00043768"/>
    <w:rsid w:val="00043D2C"/>
    <w:rsid w:val="0004418C"/>
    <w:rsid w:val="000460BE"/>
    <w:rsid w:val="000461C7"/>
    <w:rsid w:val="00046784"/>
    <w:rsid w:val="00046812"/>
    <w:rsid w:val="00046D3C"/>
    <w:rsid w:val="0004725F"/>
    <w:rsid w:val="00047CEE"/>
    <w:rsid w:val="00050177"/>
    <w:rsid w:val="0005060F"/>
    <w:rsid w:val="00051653"/>
    <w:rsid w:val="0005190C"/>
    <w:rsid w:val="0005238E"/>
    <w:rsid w:val="00054F21"/>
    <w:rsid w:val="00054F5B"/>
    <w:rsid w:val="000552D5"/>
    <w:rsid w:val="000553E9"/>
    <w:rsid w:val="00055ACD"/>
    <w:rsid w:val="00055C86"/>
    <w:rsid w:val="00056F27"/>
    <w:rsid w:val="000573AF"/>
    <w:rsid w:val="000575E8"/>
    <w:rsid w:val="000577DE"/>
    <w:rsid w:val="0006075A"/>
    <w:rsid w:val="0006095D"/>
    <w:rsid w:val="00061091"/>
    <w:rsid w:val="0006169E"/>
    <w:rsid w:val="000626FD"/>
    <w:rsid w:val="00062F5B"/>
    <w:rsid w:val="000635A7"/>
    <w:rsid w:val="0006432B"/>
    <w:rsid w:val="000643B3"/>
    <w:rsid w:val="00064D76"/>
    <w:rsid w:val="00064F71"/>
    <w:rsid w:val="000650C4"/>
    <w:rsid w:val="000653D4"/>
    <w:rsid w:val="000657DC"/>
    <w:rsid w:val="0006607F"/>
    <w:rsid w:val="0006645A"/>
    <w:rsid w:val="000674EC"/>
    <w:rsid w:val="0006768B"/>
    <w:rsid w:val="00070A02"/>
    <w:rsid w:val="00070EB6"/>
    <w:rsid w:val="00071096"/>
    <w:rsid w:val="00071C35"/>
    <w:rsid w:val="000724D9"/>
    <w:rsid w:val="00072E2F"/>
    <w:rsid w:val="00073307"/>
    <w:rsid w:val="00073390"/>
    <w:rsid w:val="00073D28"/>
    <w:rsid w:val="00074049"/>
    <w:rsid w:val="000744EC"/>
    <w:rsid w:val="00075728"/>
    <w:rsid w:val="00075A8F"/>
    <w:rsid w:val="00075E01"/>
    <w:rsid w:val="00075F50"/>
    <w:rsid w:val="00075FA0"/>
    <w:rsid w:val="00076876"/>
    <w:rsid w:val="00077B80"/>
    <w:rsid w:val="00077C74"/>
    <w:rsid w:val="000804B2"/>
    <w:rsid w:val="00080B06"/>
    <w:rsid w:val="00080D77"/>
    <w:rsid w:val="0008152F"/>
    <w:rsid w:val="00081773"/>
    <w:rsid w:val="00081A28"/>
    <w:rsid w:val="00082130"/>
    <w:rsid w:val="0008231F"/>
    <w:rsid w:val="0008233F"/>
    <w:rsid w:val="000824A0"/>
    <w:rsid w:val="000824B7"/>
    <w:rsid w:val="00082DCC"/>
    <w:rsid w:val="000832A8"/>
    <w:rsid w:val="00083511"/>
    <w:rsid w:val="00083932"/>
    <w:rsid w:val="000839B8"/>
    <w:rsid w:val="0008435D"/>
    <w:rsid w:val="00084700"/>
    <w:rsid w:val="00084BF4"/>
    <w:rsid w:val="0008558C"/>
    <w:rsid w:val="00085783"/>
    <w:rsid w:val="00085DB8"/>
    <w:rsid w:val="00085F13"/>
    <w:rsid w:val="00086B0A"/>
    <w:rsid w:val="00086FA6"/>
    <w:rsid w:val="00087957"/>
    <w:rsid w:val="00087C74"/>
    <w:rsid w:val="00090124"/>
    <w:rsid w:val="00090846"/>
    <w:rsid w:val="0009085F"/>
    <w:rsid w:val="00090DC5"/>
    <w:rsid w:val="000910AB"/>
    <w:rsid w:val="00091FA2"/>
    <w:rsid w:val="00092035"/>
    <w:rsid w:val="000923DC"/>
    <w:rsid w:val="00093211"/>
    <w:rsid w:val="000934F7"/>
    <w:rsid w:val="00093664"/>
    <w:rsid w:val="00093963"/>
    <w:rsid w:val="00093F1E"/>
    <w:rsid w:val="00094244"/>
    <w:rsid w:val="00094560"/>
    <w:rsid w:val="0009466F"/>
    <w:rsid w:val="000949C0"/>
    <w:rsid w:val="00095520"/>
    <w:rsid w:val="00095AE2"/>
    <w:rsid w:val="00097787"/>
    <w:rsid w:val="000A0064"/>
    <w:rsid w:val="000A035A"/>
    <w:rsid w:val="000A0439"/>
    <w:rsid w:val="000A08EC"/>
    <w:rsid w:val="000A0D0C"/>
    <w:rsid w:val="000A1486"/>
    <w:rsid w:val="000A28D4"/>
    <w:rsid w:val="000A2EB4"/>
    <w:rsid w:val="000A3A0F"/>
    <w:rsid w:val="000A3D15"/>
    <w:rsid w:val="000A3DA3"/>
    <w:rsid w:val="000A4740"/>
    <w:rsid w:val="000A475C"/>
    <w:rsid w:val="000A4F4F"/>
    <w:rsid w:val="000A546E"/>
    <w:rsid w:val="000A5678"/>
    <w:rsid w:val="000A5BB5"/>
    <w:rsid w:val="000A5D23"/>
    <w:rsid w:val="000A62BA"/>
    <w:rsid w:val="000A63C6"/>
    <w:rsid w:val="000A6719"/>
    <w:rsid w:val="000A675F"/>
    <w:rsid w:val="000A72C3"/>
    <w:rsid w:val="000A7CC9"/>
    <w:rsid w:val="000A7E32"/>
    <w:rsid w:val="000B0FDA"/>
    <w:rsid w:val="000B12F8"/>
    <w:rsid w:val="000B1C96"/>
    <w:rsid w:val="000B1CAD"/>
    <w:rsid w:val="000B1E52"/>
    <w:rsid w:val="000B2AF1"/>
    <w:rsid w:val="000B308D"/>
    <w:rsid w:val="000B3803"/>
    <w:rsid w:val="000B3F05"/>
    <w:rsid w:val="000B42E4"/>
    <w:rsid w:val="000B4630"/>
    <w:rsid w:val="000B497F"/>
    <w:rsid w:val="000B4E2D"/>
    <w:rsid w:val="000B543A"/>
    <w:rsid w:val="000B5777"/>
    <w:rsid w:val="000B617F"/>
    <w:rsid w:val="000B6C4B"/>
    <w:rsid w:val="000B710D"/>
    <w:rsid w:val="000B7558"/>
    <w:rsid w:val="000B7A6D"/>
    <w:rsid w:val="000B7CF5"/>
    <w:rsid w:val="000C02EE"/>
    <w:rsid w:val="000C04DC"/>
    <w:rsid w:val="000C0D98"/>
    <w:rsid w:val="000C21A3"/>
    <w:rsid w:val="000C2B41"/>
    <w:rsid w:val="000C38F3"/>
    <w:rsid w:val="000C40BD"/>
    <w:rsid w:val="000C42B5"/>
    <w:rsid w:val="000C469C"/>
    <w:rsid w:val="000C4D3B"/>
    <w:rsid w:val="000C59A4"/>
    <w:rsid w:val="000C6EFE"/>
    <w:rsid w:val="000C6F59"/>
    <w:rsid w:val="000C727E"/>
    <w:rsid w:val="000C7697"/>
    <w:rsid w:val="000C7766"/>
    <w:rsid w:val="000D03DF"/>
    <w:rsid w:val="000D0C11"/>
    <w:rsid w:val="000D0C24"/>
    <w:rsid w:val="000D1347"/>
    <w:rsid w:val="000D1C9E"/>
    <w:rsid w:val="000D25E6"/>
    <w:rsid w:val="000D2A33"/>
    <w:rsid w:val="000D312E"/>
    <w:rsid w:val="000D31DA"/>
    <w:rsid w:val="000D36CF"/>
    <w:rsid w:val="000D396D"/>
    <w:rsid w:val="000D3E2F"/>
    <w:rsid w:val="000D4317"/>
    <w:rsid w:val="000D4500"/>
    <w:rsid w:val="000D4635"/>
    <w:rsid w:val="000D496B"/>
    <w:rsid w:val="000D50DA"/>
    <w:rsid w:val="000D53C8"/>
    <w:rsid w:val="000D5EA1"/>
    <w:rsid w:val="000D5FAA"/>
    <w:rsid w:val="000D611E"/>
    <w:rsid w:val="000D618D"/>
    <w:rsid w:val="000D619F"/>
    <w:rsid w:val="000D6630"/>
    <w:rsid w:val="000D66D1"/>
    <w:rsid w:val="000D690B"/>
    <w:rsid w:val="000D72E0"/>
    <w:rsid w:val="000D789A"/>
    <w:rsid w:val="000D790D"/>
    <w:rsid w:val="000D7DFE"/>
    <w:rsid w:val="000E094C"/>
    <w:rsid w:val="000E0B6E"/>
    <w:rsid w:val="000E1347"/>
    <w:rsid w:val="000E1555"/>
    <w:rsid w:val="000E16E3"/>
    <w:rsid w:val="000E25C2"/>
    <w:rsid w:val="000E25DE"/>
    <w:rsid w:val="000E262D"/>
    <w:rsid w:val="000E280C"/>
    <w:rsid w:val="000E2FEF"/>
    <w:rsid w:val="000E304C"/>
    <w:rsid w:val="000E41FC"/>
    <w:rsid w:val="000E458D"/>
    <w:rsid w:val="000E4C73"/>
    <w:rsid w:val="000E512E"/>
    <w:rsid w:val="000E5C1E"/>
    <w:rsid w:val="000E65F7"/>
    <w:rsid w:val="000E6F6B"/>
    <w:rsid w:val="000E7A77"/>
    <w:rsid w:val="000E7B72"/>
    <w:rsid w:val="000E7EB6"/>
    <w:rsid w:val="000F0F7B"/>
    <w:rsid w:val="000F1345"/>
    <w:rsid w:val="000F16B8"/>
    <w:rsid w:val="000F1707"/>
    <w:rsid w:val="000F1C8F"/>
    <w:rsid w:val="000F1DAB"/>
    <w:rsid w:val="000F3014"/>
    <w:rsid w:val="000F36AF"/>
    <w:rsid w:val="000F3BB3"/>
    <w:rsid w:val="000F3F5F"/>
    <w:rsid w:val="000F4ADB"/>
    <w:rsid w:val="000F4E68"/>
    <w:rsid w:val="000F64CB"/>
    <w:rsid w:val="000F6AFC"/>
    <w:rsid w:val="000F6DBF"/>
    <w:rsid w:val="000F7405"/>
    <w:rsid w:val="000F7E7A"/>
    <w:rsid w:val="001000A8"/>
    <w:rsid w:val="001001B9"/>
    <w:rsid w:val="0010047F"/>
    <w:rsid w:val="00100810"/>
    <w:rsid w:val="00100D86"/>
    <w:rsid w:val="00100FBF"/>
    <w:rsid w:val="00101189"/>
    <w:rsid w:val="001013BC"/>
    <w:rsid w:val="00101BD0"/>
    <w:rsid w:val="00101FCA"/>
    <w:rsid w:val="00102067"/>
    <w:rsid w:val="00102187"/>
    <w:rsid w:val="00102254"/>
    <w:rsid w:val="001031A0"/>
    <w:rsid w:val="001037A0"/>
    <w:rsid w:val="00103CF7"/>
    <w:rsid w:val="00104156"/>
    <w:rsid w:val="001051CA"/>
    <w:rsid w:val="001058BE"/>
    <w:rsid w:val="00105C92"/>
    <w:rsid w:val="001060F3"/>
    <w:rsid w:val="00106485"/>
    <w:rsid w:val="0010665E"/>
    <w:rsid w:val="0010686F"/>
    <w:rsid w:val="00106968"/>
    <w:rsid w:val="001069E5"/>
    <w:rsid w:val="00106CD2"/>
    <w:rsid w:val="0010702C"/>
    <w:rsid w:val="00107705"/>
    <w:rsid w:val="00107D7F"/>
    <w:rsid w:val="00107F87"/>
    <w:rsid w:val="0011032D"/>
    <w:rsid w:val="00110970"/>
    <w:rsid w:val="00110F2D"/>
    <w:rsid w:val="00110F94"/>
    <w:rsid w:val="0011109D"/>
    <w:rsid w:val="001111B3"/>
    <w:rsid w:val="00111549"/>
    <w:rsid w:val="00111568"/>
    <w:rsid w:val="00111E6E"/>
    <w:rsid w:val="001120C0"/>
    <w:rsid w:val="0011242B"/>
    <w:rsid w:val="00112811"/>
    <w:rsid w:val="00113013"/>
    <w:rsid w:val="001130F5"/>
    <w:rsid w:val="0011314F"/>
    <w:rsid w:val="00114DDC"/>
    <w:rsid w:val="001150BF"/>
    <w:rsid w:val="001152F1"/>
    <w:rsid w:val="00115EB0"/>
    <w:rsid w:val="001168F2"/>
    <w:rsid w:val="00117251"/>
    <w:rsid w:val="001172A2"/>
    <w:rsid w:val="00117869"/>
    <w:rsid w:val="00117D21"/>
    <w:rsid w:val="00120207"/>
    <w:rsid w:val="00120270"/>
    <w:rsid w:val="001202FA"/>
    <w:rsid w:val="001203D3"/>
    <w:rsid w:val="00120EB1"/>
    <w:rsid w:val="00120FB0"/>
    <w:rsid w:val="00122F14"/>
    <w:rsid w:val="001234C9"/>
    <w:rsid w:val="00123C1B"/>
    <w:rsid w:val="001244F5"/>
    <w:rsid w:val="001248D3"/>
    <w:rsid w:val="001249DA"/>
    <w:rsid w:val="00124D18"/>
    <w:rsid w:val="00125344"/>
    <w:rsid w:val="00125518"/>
    <w:rsid w:val="00125E3C"/>
    <w:rsid w:val="001263AD"/>
    <w:rsid w:val="00127438"/>
    <w:rsid w:val="0012775E"/>
    <w:rsid w:val="00127D79"/>
    <w:rsid w:val="00127E9D"/>
    <w:rsid w:val="001302C8"/>
    <w:rsid w:val="00130FB6"/>
    <w:rsid w:val="00131404"/>
    <w:rsid w:val="0013149C"/>
    <w:rsid w:val="0013194D"/>
    <w:rsid w:val="00131AEB"/>
    <w:rsid w:val="00132477"/>
    <w:rsid w:val="00132719"/>
    <w:rsid w:val="001327CF"/>
    <w:rsid w:val="001328B3"/>
    <w:rsid w:val="00133E7E"/>
    <w:rsid w:val="00134431"/>
    <w:rsid w:val="0013456F"/>
    <w:rsid w:val="0013476B"/>
    <w:rsid w:val="0013487E"/>
    <w:rsid w:val="00134D3A"/>
    <w:rsid w:val="00135589"/>
    <w:rsid w:val="00135876"/>
    <w:rsid w:val="00136072"/>
    <w:rsid w:val="0013654A"/>
    <w:rsid w:val="00136577"/>
    <w:rsid w:val="00137192"/>
    <w:rsid w:val="00137984"/>
    <w:rsid w:val="001404B9"/>
    <w:rsid w:val="001406A2"/>
    <w:rsid w:val="0014120B"/>
    <w:rsid w:val="0014138D"/>
    <w:rsid w:val="00141392"/>
    <w:rsid w:val="00141480"/>
    <w:rsid w:val="00142072"/>
    <w:rsid w:val="001426F5"/>
    <w:rsid w:val="00143689"/>
    <w:rsid w:val="001436C9"/>
    <w:rsid w:val="001439ED"/>
    <w:rsid w:val="00143A93"/>
    <w:rsid w:val="00143FCB"/>
    <w:rsid w:val="00144E93"/>
    <w:rsid w:val="00144FEF"/>
    <w:rsid w:val="001454E5"/>
    <w:rsid w:val="00145541"/>
    <w:rsid w:val="00145627"/>
    <w:rsid w:val="00146A41"/>
    <w:rsid w:val="00146B30"/>
    <w:rsid w:val="00146BBA"/>
    <w:rsid w:val="00147265"/>
    <w:rsid w:val="00150272"/>
    <w:rsid w:val="0015031C"/>
    <w:rsid w:val="001503BC"/>
    <w:rsid w:val="00150BCF"/>
    <w:rsid w:val="00150DED"/>
    <w:rsid w:val="00150EF2"/>
    <w:rsid w:val="00151679"/>
    <w:rsid w:val="001524BC"/>
    <w:rsid w:val="0015318E"/>
    <w:rsid w:val="001532F5"/>
    <w:rsid w:val="001532F8"/>
    <w:rsid w:val="00154166"/>
    <w:rsid w:val="001547BE"/>
    <w:rsid w:val="00155CA8"/>
    <w:rsid w:val="00155D30"/>
    <w:rsid w:val="00156064"/>
    <w:rsid w:val="001565FB"/>
    <w:rsid w:val="00156D5F"/>
    <w:rsid w:val="001600FF"/>
    <w:rsid w:val="00160101"/>
    <w:rsid w:val="0016093E"/>
    <w:rsid w:val="00161130"/>
    <w:rsid w:val="00161FB0"/>
    <w:rsid w:val="00161FC7"/>
    <w:rsid w:val="00162313"/>
    <w:rsid w:val="001623B5"/>
    <w:rsid w:val="0016271D"/>
    <w:rsid w:val="00162AA0"/>
    <w:rsid w:val="001631BE"/>
    <w:rsid w:val="001632D5"/>
    <w:rsid w:val="00163654"/>
    <w:rsid w:val="00163D4F"/>
    <w:rsid w:val="00163D92"/>
    <w:rsid w:val="00164144"/>
    <w:rsid w:val="001648EF"/>
    <w:rsid w:val="00164948"/>
    <w:rsid w:val="00165183"/>
    <w:rsid w:val="001654C9"/>
    <w:rsid w:val="00165C02"/>
    <w:rsid w:val="001660B4"/>
    <w:rsid w:val="0016686C"/>
    <w:rsid w:val="00166BA5"/>
    <w:rsid w:val="00166E5A"/>
    <w:rsid w:val="00167218"/>
    <w:rsid w:val="00167922"/>
    <w:rsid w:val="001704EF"/>
    <w:rsid w:val="001708DE"/>
    <w:rsid w:val="00171B2D"/>
    <w:rsid w:val="00172ADE"/>
    <w:rsid w:val="001734EF"/>
    <w:rsid w:val="00173AC6"/>
    <w:rsid w:val="00174AE3"/>
    <w:rsid w:val="00174E78"/>
    <w:rsid w:val="00175703"/>
    <w:rsid w:val="001758DE"/>
    <w:rsid w:val="00175BA6"/>
    <w:rsid w:val="0017698F"/>
    <w:rsid w:val="00176D25"/>
    <w:rsid w:val="00176F50"/>
    <w:rsid w:val="0018054B"/>
    <w:rsid w:val="0018054C"/>
    <w:rsid w:val="00180755"/>
    <w:rsid w:val="00180798"/>
    <w:rsid w:val="00180AFC"/>
    <w:rsid w:val="001814D1"/>
    <w:rsid w:val="00181F8F"/>
    <w:rsid w:val="00181F95"/>
    <w:rsid w:val="001820BE"/>
    <w:rsid w:val="00182B5F"/>
    <w:rsid w:val="00182C0F"/>
    <w:rsid w:val="0018342E"/>
    <w:rsid w:val="00183A38"/>
    <w:rsid w:val="00183A73"/>
    <w:rsid w:val="00183EA0"/>
    <w:rsid w:val="001840C2"/>
    <w:rsid w:val="00184415"/>
    <w:rsid w:val="0018465A"/>
    <w:rsid w:val="00184B46"/>
    <w:rsid w:val="00184BA9"/>
    <w:rsid w:val="00185236"/>
    <w:rsid w:val="00185939"/>
    <w:rsid w:val="0018594A"/>
    <w:rsid w:val="00185A42"/>
    <w:rsid w:val="0018604A"/>
    <w:rsid w:val="001874A7"/>
    <w:rsid w:val="001876F6"/>
    <w:rsid w:val="00187702"/>
    <w:rsid w:val="0019017F"/>
    <w:rsid w:val="00190312"/>
    <w:rsid w:val="00190462"/>
    <w:rsid w:val="00191189"/>
    <w:rsid w:val="001911CF"/>
    <w:rsid w:val="00191BE1"/>
    <w:rsid w:val="00191DA3"/>
    <w:rsid w:val="00191E23"/>
    <w:rsid w:val="001921F3"/>
    <w:rsid w:val="00192BF4"/>
    <w:rsid w:val="00192FD0"/>
    <w:rsid w:val="0019371A"/>
    <w:rsid w:val="00194019"/>
    <w:rsid w:val="001947D4"/>
    <w:rsid w:val="00194AE8"/>
    <w:rsid w:val="001950D1"/>
    <w:rsid w:val="001953B1"/>
    <w:rsid w:val="0019569F"/>
    <w:rsid w:val="001962DA"/>
    <w:rsid w:val="001963C0"/>
    <w:rsid w:val="00196A31"/>
    <w:rsid w:val="0019762B"/>
    <w:rsid w:val="00197956"/>
    <w:rsid w:val="00197A50"/>
    <w:rsid w:val="00197A77"/>
    <w:rsid w:val="001A0168"/>
    <w:rsid w:val="001A04AE"/>
    <w:rsid w:val="001A0CC3"/>
    <w:rsid w:val="001A0CEC"/>
    <w:rsid w:val="001A0D82"/>
    <w:rsid w:val="001A15A0"/>
    <w:rsid w:val="001A1994"/>
    <w:rsid w:val="001A1F11"/>
    <w:rsid w:val="001A264F"/>
    <w:rsid w:val="001A2702"/>
    <w:rsid w:val="001A27B9"/>
    <w:rsid w:val="001A2D7D"/>
    <w:rsid w:val="001A3157"/>
    <w:rsid w:val="001A409D"/>
    <w:rsid w:val="001A446E"/>
    <w:rsid w:val="001A4922"/>
    <w:rsid w:val="001A5CB4"/>
    <w:rsid w:val="001A7258"/>
    <w:rsid w:val="001B08F9"/>
    <w:rsid w:val="001B0979"/>
    <w:rsid w:val="001B0E23"/>
    <w:rsid w:val="001B11AC"/>
    <w:rsid w:val="001B1676"/>
    <w:rsid w:val="001B17A8"/>
    <w:rsid w:val="001B1D28"/>
    <w:rsid w:val="001B1E37"/>
    <w:rsid w:val="001B20DB"/>
    <w:rsid w:val="001B22C5"/>
    <w:rsid w:val="001B3121"/>
    <w:rsid w:val="001B3166"/>
    <w:rsid w:val="001B36A3"/>
    <w:rsid w:val="001B3920"/>
    <w:rsid w:val="001B3D77"/>
    <w:rsid w:val="001B3FCD"/>
    <w:rsid w:val="001B48A4"/>
    <w:rsid w:val="001B4C44"/>
    <w:rsid w:val="001B526F"/>
    <w:rsid w:val="001B541A"/>
    <w:rsid w:val="001B55C8"/>
    <w:rsid w:val="001B581F"/>
    <w:rsid w:val="001B63C6"/>
    <w:rsid w:val="001B640A"/>
    <w:rsid w:val="001B6FD6"/>
    <w:rsid w:val="001C0190"/>
    <w:rsid w:val="001C0822"/>
    <w:rsid w:val="001C0B9F"/>
    <w:rsid w:val="001C0D9D"/>
    <w:rsid w:val="001C1104"/>
    <w:rsid w:val="001C13F3"/>
    <w:rsid w:val="001C15CE"/>
    <w:rsid w:val="001C28CE"/>
    <w:rsid w:val="001C2BF0"/>
    <w:rsid w:val="001C3DB8"/>
    <w:rsid w:val="001C48D4"/>
    <w:rsid w:val="001C5019"/>
    <w:rsid w:val="001C51CF"/>
    <w:rsid w:val="001C5B98"/>
    <w:rsid w:val="001C6166"/>
    <w:rsid w:val="001C61EF"/>
    <w:rsid w:val="001C7981"/>
    <w:rsid w:val="001C7C93"/>
    <w:rsid w:val="001D08E9"/>
    <w:rsid w:val="001D0ADF"/>
    <w:rsid w:val="001D1B78"/>
    <w:rsid w:val="001D26C6"/>
    <w:rsid w:val="001D36CD"/>
    <w:rsid w:val="001D4515"/>
    <w:rsid w:val="001D4772"/>
    <w:rsid w:val="001D4F49"/>
    <w:rsid w:val="001D5471"/>
    <w:rsid w:val="001D5A4B"/>
    <w:rsid w:val="001D5E2B"/>
    <w:rsid w:val="001D6483"/>
    <w:rsid w:val="001D6564"/>
    <w:rsid w:val="001D6B28"/>
    <w:rsid w:val="001D6F85"/>
    <w:rsid w:val="001D7982"/>
    <w:rsid w:val="001E0BCF"/>
    <w:rsid w:val="001E0C50"/>
    <w:rsid w:val="001E136C"/>
    <w:rsid w:val="001E15E5"/>
    <w:rsid w:val="001E1847"/>
    <w:rsid w:val="001E1896"/>
    <w:rsid w:val="001E1D3D"/>
    <w:rsid w:val="001E22ED"/>
    <w:rsid w:val="001E2307"/>
    <w:rsid w:val="001E2ACD"/>
    <w:rsid w:val="001E31F3"/>
    <w:rsid w:val="001E3589"/>
    <w:rsid w:val="001E41CB"/>
    <w:rsid w:val="001E47D1"/>
    <w:rsid w:val="001E6A64"/>
    <w:rsid w:val="001E75C5"/>
    <w:rsid w:val="001E7FE3"/>
    <w:rsid w:val="001F009B"/>
    <w:rsid w:val="001F0406"/>
    <w:rsid w:val="001F0419"/>
    <w:rsid w:val="001F0501"/>
    <w:rsid w:val="001F06D9"/>
    <w:rsid w:val="001F0F1E"/>
    <w:rsid w:val="001F1449"/>
    <w:rsid w:val="001F1860"/>
    <w:rsid w:val="001F1B5F"/>
    <w:rsid w:val="001F1B6E"/>
    <w:rsid w:val="001F1CE8"/>
    <w:rsid w:val="001F2432"/>
    <w:rsid w:val="001F29D4"/>
    <w:rsid w:val="001F2BF8"/>
    <w:rsid w:val="001F354B"/>
    <w:rsid w:val="001F35D5"/>
    <w:rsid w:val="001F3F2A"/>
    <w:rsid w:val="001F4E02"/>
    <w:rsid w:val="001F5394"/>
    <w:rsid w:val="001F5442"/>
    <w:rsid w:val="001F550E"/>
    <w:rsid w:val="001F592B"/>
    <w:rsid w:val="001F5D24"/>
    <w:rsid w:val="001F6928"/>
    <w:rsid w:val="001F69C2"/>
    <w:rsid w:val="001F725F"/>
    <w:rsid w:val="002001AB"/>
    <w:rsid w:val="0020054A"/>
    <w:rsid w:val="00200F48"/>
    <w:rsid w:val="00200FA7"/>
    <w:rsid w:val="00201DA6"/>
    <w:rsid w:val="002020FD"/>
    <w:rsid w:val="002021B0"/>
    <w:rsid w:val="00202E0D"/>
    <w:rsid w:val="0020327D"/>
    <w:rsid w:val="002048D1"/>
    <w:rsid w:val="00204915"/>
    <w:rsid w:val="00204BFA"/>
    <w:rsid w:val="00204C32"/>
    <w:rsid w:val="002056A4"/>
    <w:rsid w:val="00206BBE"/>
    <w:rsid w:val="002077E7"/>
    <w:rsid w:val="002079CB"/>
    <w:rsid w:val="00207AB9"/>
    <w:rsid w:val="0021032D"/>
    <w:rsid w:val="0021096E"/>
    <w:rsid w:val="00210DE8"/>
    <w:rsid w:val="00211D73"/>
    <w:rsid w:val="00211F47"/>
    <w:rsid w:val="002120A6"/>
    <w:rsid w:val="00212A3E"/>
    <w:rsid w:val="00212EB5"/>
    <w:rsid w:val="00212F17"/>
    <w:rsid w:val="002130D3"/>
    <w:rsid w:val="00213B44"/>
    <w:rsid w:val="002140B2"/>
    <w:rsid w:val="00214BF2"/>
    <w:rsid w:val="00215765"/>
    <w:rsid w:val="00215A7F"/>
    <w:rsid w:val="00215B51"/>
    <w:rsid w:val="00215BF6"/>
    <w:rsid w:val="00215F65"/>
    <w:rsid w:val="00216522"/>
    <w:rsid w:val="00216554"/>
    <w:rsid w:val="00217A5C"/>
    <w:rsid w:val="00220038"/>
    <w:rsid w:val="00220771"/>
    <w:rsid w:val="00220C31"/>
    <w:rsid w:val="00221D19"/>
    <w:rsid w:val="002222EB"/>
    <w:rsid w:val="002227DB"/>
    <w:rsid w:val="00222897"/>
    <w:rsid w:val="00222A4B"/>
    <w:rsid w:val="00222AD5"/>
    <w:rsid w:val="00222C89"/>
    <w:rsid w:val="002231F9"/>
    <w:rsid w:val="00223231"/>
    <w:rsid w:val="00223B61"/>
    <w:rsid w:val="00223EB3"/>
    <w:rsid w:val="002241DE"/>
    <w:rsid w:val="00224252"/>
    <w:rsid w:val="0022462E"/>
    <w:rsid w:val="002246A9"/>
    <w:rsid w:val="00224A70"/>
    <w:rsid w:val="00224B97"/>
    <w:rsid w:val="0022563F"/>
    <w:rsid w:val="00226362"/>
    <w:rsid w:val="0022666B"/>
    <w:rsid w:val="00226F00"/>
    <w:rsid w:val="0022734D"/>
    <w:rsid w:val="002274A2"/>
    <w:rsid w:val="00227906"/>
    <w:rsid w:val="00230839"/>
    <w:rsid w:val="00231985"/>
    <w:rsid w:val="00231EF5"/>
    <w:rsid w:val="002322D3"/>
    <w:rsid w:val="002326B6"/>
    <w:rsid w:val="002331DD"/>
    <w:rsid w:val="0023324D"/>
    <w:rsid w:val="00233CB4"/>
    <w:rsid w:val="00233DC8"/>
    <w:rsid w:val="00233E79"/>
    <w:rsid w:val="00234124"/>
    <w:rsid w:val="00234285"/>
    <w:rsid w:val="0023447F"/>
    <w:rsid w:val="00234893"/>
    <w:rsid w:val="002350B3"/>
    <w:rsid w:val="002351EE"/>
    <w:rsid w:val="00235634"/>
    <w:rsid w:val="0023675E"/>
    <w:rsid w:val="00236C83"/>
    <w:rsid w:val="0023786C"/>
    <w:rsid w:val="0023798E"/>
    <w:rsid w:val="00240437"/>
    <w:rsid w:val="0024053B"/>
    <w:rsid w:val="00240859"/>
    <w:rsid w:val="00241700"/>
    <w:rsid w:val="00241E20"/>
    <w:rsid w:val="002428CB"/>
    <w:rsid w:val="00242DF9"/>
    <w:rsid w:val="00242EE4"/>
    <w:rsid w:val="002433D3"/>
    <w:rsid w:val="0024373D"/>
    <w:rsid w:val="0024462E"/>
    <w:rsid w:val="002449BA"/>
    <w:rsid w:val="00244CE9"/>
    <w:rsid w:val="00244F58"/>
    <w:rsid w:val="00245699"/>
    <w:rsid w:val="0024586A"/>
    <w:rsid w:val="00245C15"/>
    <w:rsid w:val="00245D97"/>
    <w:rsid w:val="00245F84"/>
    <w:rsid w:val="00246499"/>
    <w:rsid w:val="0024723A"/>
    <w:rsid w:val="002474FA"/>
    <w:rsid w:val="00247506"/>
    <w:rsid w:val="00250DFA"/>
    <w:rsid w:val="00251031"/>
    <w:rsid w:val="002531E3"/>
    <w:rsid w:val="00253493"/>
    <w:rsid w:val="0025372D"/>
    <w:rsid w:val="0025391C"/>
    <w:rsid w:val="00253DE9"/>
    <w:rsid w:val="00254530"/>
    <w:rsid w:val="002548DE"/>
    <w:rsid w:val="002557EF"/>
    <w:rsid w:val="00256112"/>
    <w:rsid w:val="002568C0"/>
    <w:rsid w:val="00257430"/>
    <w:rsid w:val="00257AFB"/>
    <w:rsid w:val="00257E7F"/>
    <w:rsid w:val="00260756"/>
    <w:rsid w:val="00261271"/>
    <w:rsid w:val="0026127F"/>
    <w:rsid w:val="00261594"/>
    <w:rsid w:val="00262184"/>
    <w:rsid w:val="002623B6"/>
    <w:rsid w:val="0026293D"/>
    <w:rsid w:val="00262C0F"/>
    <w:rsid w:val="00262F8B"/>
    <w:rsid w:val="00263030"/>
    <w:rsid w:val="00263314"/>
    <w:rsid w:val="0026410C"/>
    <w:rsid w:val="00264B2F"/>
    <w:rsid w:val="00265982"/>
    <w:rsid w:val="00265B8A"/>
    <w:rsid w:val="00265BD8"/>
    <w:rsid w:val="00266943"/>
    <w:rsid w:val="002671A2"/>
    <w:rsid w:val="0026751F"/>
    <w:rsid w:val="00267CB5"/>
    <w:rsid w:val="00267EAE"/>
    <w:rsid w:val="002700A8"/>
    <w:rsid w:val="00270154"/>
    <w:rsid w:val="00270409"/>
    <w:rsid w:val="00270EB2"/>
    <w:rsid w:val="00271EE7"/>
    <w:rsid w:val="00271F70"/>
    <w:rsid w:val="002720FE"/>
    <w:rsid w:val="00272120"/>
    <w:rsid w:val="00272362"/>
    <w:rsid w:val="00272944"/>
    <w:rsid w:val="00273052"/>
    <w:rsid w:val="0027311B"/>
    <w:rsid w:val="00273251"/>
    <w:rsid w:val="0027408B"/>
    <w:rsid w:val="00274135"/>
    <w:rsid w:val="002744C1"/>
    <w:rsid w:val="00274E3E"/>
    <w:rsid w:val="00275464"/>
    <w:rsid w:val="00275553"/>
    <w:rsid w:val="00275803"/>
    <w:rsid w:val="00275BD9"/>
    <w:rsid w:val="00275C2C"/>
    <w:rsid w:val="00275C8A"/>
    <w:rsid w:val="00276378"/>
    <w:rsid w:val="00276B56"/>
    <w:rsid w:val="00276BB4"/>
    <w:rsid w:val="00277573"/>
    <w:rsid w:val="0027791D"/>
    <w:rsid w:val="002779EF"/>
    <w:rsid w:val="002801D9"/>
    <w:rsid w:val="002802AA"/>
    <w:rsid w:val="002808FB"/>
    <w:rsid w:val="00280F40"/>
    <w:rsid w:val="00280F46"/>
    <w:rsid w:val="002819FD"/>
    <w:rsid w:val="00281D9F"/>
    <w:rsid w:val="002820F9"/>
    <w:rsid w:val="00282A32"/>
    <w:rsid w:val="002834F4"/>
    <w:rsid w:val="00283B54"/>
    <w:rsid w:val="00284313"/>
    <w:rsid w:val="00284576"/>
    <w:rsid w:val="00284766"/>
    <w:rsid w:val="00284DCB"/>
    <w:rsid w:val="0028583A"/>
    <w:rsid w:val="00285C0D"/>
    <w:rsid w:val="0028666A"/>
    <w:rsid w:val="00287368"/>
    <w:rsid w:val="00287873"/>
    <w:rsid w:val="00287E83"/>
    <w:rsid w:val="00290381"/>
    <w:rsid w:val="00290F99"/>
    <w:rsid w:val="00291237"/>
    <w:rsid w:val="00291249"/>
    <w:rsid w:val="002916CC"/>
    <w:rsid w:val="00291A6B"/>
    <w:rsid w:val="00291A6C"/>
    <w:rsid w:val="00291C42"/>
    <w:rsid w:val="0029278C"/>
    <w:rsid w:val="002927E2"/>
    <w:rsid w:val="00292D5F"/>
    <w:rsid w:val="00292E65"/>
    <w:rsid w:val="0029322F"/>
    <w:rsid w:val="00293321"/>
    <w:rsid w:val="002938C7"/>
    <w:rsid w:val="00293923"/>
    <w:rsid w:val="002941D8"/>
    <w:rsid w:val="0029447E"/>
    <w:rsid w:val="00295B63"/>
    <w:rsid w:val="00296618"/>
    <w:rsid w:val="0029675A"/>
    <w:rsid w:val="0029697C"/>
    <w:rsid w:val="002979F1"/>
    <w:rsid w:val="00297BF9"/>
    <w:rsid w:val="00297FDB"/>
    <w:rsid w:val="002A01A7"/>
    <w:rsid w:val="002A05E3"/>
    <w:rsid w:val="002A10E1"/>
    <w:rsid w:val="002A1147"/>
    <w:rsid w:val="002A13E1"/>
    <w:rsid w:val="002A16EE"/>
    <w:rsid w:val="002A2739"/>
    <w:rsid w:val="002A3091"/>
    <w:rsid w:val="002A3248"/>
    <w:rsid w:val="002A47A7"/>
    <w:rsid w:val="002A6D78"/>
    <w:rsid w:val="002A7BAD"/>
    <w:rsid w:val="002B0391"/>
    <w:rsid w:val="002B0846"/>
    <w:rsid w:val="002B0E34"/>
    <w:rsid w:val="002B11A0"/>
    <w:rsid w:val="002B1304"/>
    <w:rsid w:val="002B138E"/>
    <w:rsid w:val="002B1B24"/>
    <w:rsid w:val="002B23E0"/>
    <w:rsid w:val="002B310C"/>
    <w:rsid w:val="002B3940"/>
    <w:rsid w:val="002B4499"/>
    <w:rsid w:val="002B4EAD"/>
    <w:rsid w:val="002B4FEF"/>
    <w:rsid w:val="002B585D"/>
    <w:rsid w:val="002B5A26"/>
    <w:rsid w:val="002B5A8A"/>
    <w:rsid w:val="002B5B24"/>
    <w:rsid w:val="002B60AD"/>
    <w:rsid w:val="002B62F3"/>
    <w:rsid w:val="002B6BC4"/>
    <w:rsid w:val="002B773E"/>
    <w:rsid w:val="002B7748"/>
    <w:rsid w:val="002B77DE"/>
    <w:rsid w:val="002B7D71"/>
    <w:rsid w:val="002C0FF2"/>
    <w:rsid w:val="002C12F4"/>
    <w:rsid w:val="002C15A2"/>
    <w:rsid w:val="002C19A5"/>
    <w:rsid w:val="002C1A49"/>
    <w:rsid w:val="002C1EDE"/>
    <w:rsid w:val="002C279E"/>
    <w:rsid w:val="002C2A96"/>
    <w:rsid w:val="002C31E0"/>
    <w:rsid w:val="002C3482"/>
    <w:rsid w:val="002C34AD"/>
    <w:rsid w:val="002C37D2"/>
    <w:rsid w:val="002C3914"/>
    <w:rsid w:val="002C40B6"/>
    <w:rsid w:val="002C417C"/>
    <w:rsid w:val="002C47B7"/>
    <w:rsid w:val="002C5981"/>
    <w:rsid w:val="002C5E85"/>
    <w:rsid w:val="002C6295"/>
    <w:rsid w:val="002C6B3E"/>
    <w:rsid w:val="002C7307"/>
    <w:rsid w:val="002C74E9"/>
    <w:rsid w:val="002C7F4D"/>
    <w:rsid w:val="002D0410"/>
    <w:rsid w:val="002D0899"/>
    <w:rsid w:val="002D0A96"/>
    <w:rsid w:val="002D0F60"/>
    <w:rsid w:val="002D1033"/>
    <w:rsid w:val="002D10A5"/>
    <w:rsid w:val="002D1707"/>
    <w:rsid w:val="002D17E2"/>
    <w:rsid w:val="002D1CDA"/>
    <w:rsid w:val="002D2105"/>
    <w:rsid w:val="002D2199"/>
    <w:rsid w:val="002D3206"/>
    <w:rsid w:val="002D3491"/>
    <w:rsid w:val="002D3A31"/>
    <w:rsid w:val="002D3F5B"/>
    <w:rsid w:val="002D3FF9"/>
    <w:rsid w:val="002D46BE"/>
    <w:rsid w:val="002D4C66"/>
    <w:rsid w:val="002D4D0E"/>
    <w:rsid w:val="002D66C2"/>
    <w:rsid w:val="002D6DBE"/>
    <w:rsid w:val="002D7071"/>
    <w:rsid w:val="002D70A4"/>
    <w:rsid w:val="002D78BB"/>
    <w:rsid w:val="002D79B6"/>
    <w:rsid w:val="002D7E2D"/>
    <w:rsid w:val="002E03C6"/>
    <w:rsid w:val="002E0404"/>
    <w:rsid w:val="002E05E5"/>
    <w:rsid w:val="002E06B5"/>
    <w:rsid w:val="002E0EC8"/>
    <w:rsid w:val="002E1C23"/>
    <w:rsid w:val="002E217E"/>
    <w:rsid w:val="002E2183"/>
    <w:rsid w:val="002E2496"/>
    <w:rsid w:val="002E278F"/>
    <w:rsid w:val="002E27BB"/>
    <w:rsid w:val="002E32D5"/>
    <w:rsid w:val="002E32FA"/>
    <w:rsid w:val="002E3AE7"/>
    <w:rsid w:val="002E3B4D"/>
    <w:rsid w:val="002E3E5B"/>
    <w:rsid w:val="002E4213"/>
    <w:rsid w:val="002E43B3"/>
    <w:rsid w:val="002E44BA"/>
    <w:rsid w:val="002E46D3"/>
    <w:rsid w:val="002E592D"/>
    <w:rsid w:val="002E594C"/>
    <w:rsid w:val="002F026B"/>
    <w:rsid w:val="002F0337"/>
    <w:rsid w:val="002F0522"/>
    <w:rsid w:val="002F0528"/>
    <w:rsid w:val="002F0734"/>
    <w:rsid w:val="002F1662"/>
    <w:rsid w:val="002F1DD0"/>
    <w:rsid w:val="002F29C6"/>
    <w:rsid w:val="002F2CBA"/>
    <w:rsid w:val="002F2D4B"/>
    <w:rsid w:val="002F2E30"/>
    <w:rsid w:val="002F3576"/>
    <w:rsid w:val="002F3589"/>
    <w:rsid w:val="002F3E3C"/>
    <w:rsid w:val="002F4B13"/>
    <w:rsid w:val="002F4B14"/>
    <w:rsid w:val="002F64D5"/>
    <w:rsid w:val="002F660D"/>
    <w:rsid w:val="002F75CD"/>
    <w:rsid w:val="002F773B"/>
    <w:rsid w:val="002F7754"/>
    <w:rsid w:val="0030016F"/>
    <w:rsid w:val="0030026A"/>
    <w:rsid w:val="00300531"/>
    <w:rsid w:val="0030062D"/>
    <w:rsid w:val="00300FDA"/>
    <w:rsid w:val="00301627"/>
    <w:rsid w:val="00301975"/>
    <w:rsid w:val="00302B60"/>
    <w:rsid w:val="00302CAD"/>
    <w:rsid w:val="0030339E"/>
    <w:rsid w:val="003033C3"/>
    <w:rsid w:val="0030359C"/>
    <w:rsid w:val="00304526"/>
    <w:rsid w:val="0030542C"/>
    <w:rsid w:val="00305CCA"/>
    <w:rsid w:val="00306440"/>
    <w:rsid w:val="00306E88"/>
    <w:rsid w:val="00310244"/>
    <w:rsid w:val="0031039C"/>
    <w:rsid w:val="00310418"/>
    <w:rsid w:val="00310B77"/>
    <w:rsid w:val="00311AAB"/>
    <w:rsid w:val="00311B3E"/>
    <w:rsid w:val="00311C2D"/>
    <w:rsid w:val="00311E69"/>
    <w:rsid w:val="003127F5"/>
    <w:rsid w:val="00312C89"/>
    <w:rsid w:val="00312F8C"/>
    <w:rsid w:val="00312FFC"/>
    <w:rsid w:val="003135BE"/>
    <w:rsid w:val="00313735"/>
    <w:rsid w:val="00313785"/>
    <w:rsid w:val="00313871"/>
    <w:rsid w:val="00314474"/>
    <w:rsid w:val="0031456B"/>
    <w:rsid w:val="00314EAA"/>
    <w:rsid w:val="00314F8A"/>
    <w:rsid w:val="003150BF"/>
    <w:rsid w:val="003150CE"/>
    <w:rsid w:val="00315480"/>
    <w:rsid w:val="00315518"/>
    <w:rsid w:val="00315B0F"/>
    <w:rsid w:val="00315D1C"/>
    <w:rsid w:val="00315E92"/>
    <w:rsid w:val="00316846"/>
    <w:rsid w:val="00316C8C"/>
    <w:rsid w:val="00317312"/>
    <w:rsid w:val="0031766B"/>
    <w:rsid w:val="00317C38"/>
    <w:rsid w:val="003207DE"/>
    <w:rsid w:val="00320A3D"/>
    <w:rsid w:val="00320A6F"/>
    <w:rsid w:val="00320A79"/>
    <w:rsid w:val="003213D8"/>
    <w:rsid w:val="003215EB"/>
    <w:rsid w:val="0032230A"/>
    <w:rsid w:val="00322991"/>
    <w:rsid w:val="003231B1"/>
    <w:rsid w:val="003233E5"/>
    <w:rsid w:val="00323594"/>
    <w:rsid w:val="00323B9E"/>
    <w:rsid w:val="00323CB9"/>
    <w:rsid w:val="00325209"/>
    <w:rsid w:val="00325364"/>
    <w:rsid w:val="003259D0"/>
    <w:rsid w:val="003264F5"/>
    <w:rsid w:val="0032656D"/>
    <w:rsid w:val="00326674"/>
    <w:rsid w:val="00326739"/>
    <w:rsid w:val="00327323"/>
    <w:rsid w:val="0032785A"/>
    <w:rsid w:val="00330804"/>
    <w:rsid w:val="00330A13"/>
    <w:rsid w:val="00330BED"/>
    <w:rsid w:val="003317CA"/>
    <w:rsid w:val="0033194A"/>
    <w:rsid w:val="0033241F"/>
    <w:rsid w:val="0033266D"/>
    <w:rsid w:val="00332857"/>
    <w:rsid w:val="00332909"/>
    <w:rsid w:val="003329DD"/>
    <w:rsid w:val="003344D4"/>
    <w:rsid w:val="00334961"/>
    <w:rsid w:val="00334A6B"/>
    <w:rsid w:val="003357CE"/>
    <w:rsid w:val="00335911"/>
    <w:rsid w:val="003359CC"/>
    <w:rsid w:val="00335B88"/>
    <w:rsid w:val="00335D62"/>
    <w:rsid w:val="00336379"/>
    <w:rsid w:val="003366B2"/>
    <w:rsid w:val="00336B05"/>
    <w:rsid w:val="00336B0C"/>
    <w:rsid w:val="00336B6C"/>
    <w:rsid w:val="00337096"/>
    <w:rsid w:val="00340066"/>
    <w:rsid w:val="0034080B"/>
    <w:rsid w:val="00340B36"/>
    <w:rsid w:val="00340DEA"/>
    <w:rsid w:val="0034122D"/>
    <w:rsid w:val="0034187D"/>
    <w:rsid w:val="0034288B"/>
    <w:rsid w:val="00342D66"/>
    <w:rsid w:val="0034332B"/>
    <w:rsid w:val="00344060"/>
    <w:rsid w:val="003442F2"/>
    <w:rsid w:val="00344402"/>
    <w:rsid w:val="00344E0B"/>
    <w:rsid w:val="00346230"/>
    <w:rsid w:val="0034681C"/>
    <w:rsid w:val="003477B4"/>
    <w:rsid w:val="00347A9B"/>
    <w:rsid w:val="00347C17"/>
    <w:rsid w:val="0035010C"/>
    <w:rsid w:val="00350A2F"/>
    <w:rsid w:val="00350CF9"/>
    <w:rsid w:val="003511DE"/>
    <w:rsid w:val="00351296"/>
    <w:rsid w:val="00352BA3"/>
    <w:rsid w:val="0035387E"/>
    <w:rsid w:val="0035390A"/>
    <w:rsid w:val="003539F4"/>
    <w:rsid w:val="00353A36"/>
    <w:rsid w:val="0035411E"/>
    <w:rsid w:val="00354219"/>
    <w:rsid w:val="00354493"/>
    <w:rsid w:val="00354FD7"/>
    <w:rsid w:val="003574EC"/>
    <w:rsid w:val="00357864"/>
    <w:rsid w:val="0035799E"/>
    <w:rsid w:val="0036002F"/>
    <w:rsid w:val="003600A8"/>
    <w:rsid w:val="003605B1"/>
    <w:rsid w:val="00360C40"/>
    <w:rsid w:val="0036166B"/>
    <w:rsid w:val="00361B1D"/>
    <w:rsid w:val="00362093"/>
    <w:rsid w:val="0036284D"/>
    <w:rsid w:val="003632F5"/>
    <w:rsid w:val="003640B0"/>
    <w:rsid w:val="003653F2"/>
    <w:rsid w:val="00365460"/>
    <w:rsid w:val="00365B5E"/>
    <w:rsid w:val="0036627D"/>
    <w:rsid w:val="003663DE"/>
    <w:rsid w:val="00366524"/>
    <w:rsid w:val="0036674D"/>
    <w:rsid w:val="00366E37"/>
    <w:rsid w:val="003677DF"/>
    <w:rsid w:val="0037007B"/>
    <w:rsid w:val="00370AE6"/>
    <w:rsid w:val="00372180"/>
    <w:rsid w:val="003723CA"/>
    <w:rsid w:val="00372932"/>
    <w:rsid w:val="00373C9A"/>
    <w:rsid w:val="00373E58"/>
    <w:rsid w:val="00374019"/>
    <w:rsid w:val="003740CB"/>
    <w:rsid w:val="003741BB"/>
    <w:rsid w:val="00374955"/>
    <w:rsid w:val="00374A97"/>
    <w:rsid w:val="00375D99"/>
    <w:rsid w:val="00375FEA"/>
    <w:rsid w:val="00376035"/>
    <w:rsid w:val="00376073"/>
    <w:rsid w:val="00376162"/>
    <w:rsid w:val="00376825"/>
    <w:rsid w:val="00376A5E"/>
    <w:rsid w:val="00376B88"/>
    <w:rsid w:val="00377452"/>
    <w:rsid w:val="0037780B"/>
    <w:rsid w:val="003778DE"/>
    <w:rsid w:val="00380079"/>
    <w:rsid w:val="00380298"/>
    <w:rsid w:val="003802BA"/>
    <w:rsid w:val="00380517"/>
    <w:rsid w:val="00380572"/>
    <w:rsid w:val="00381223"/>
    <w:rsid w:val="003817AA"/>
    <w:rsid w:val="00381849"/>
    <w:rsid w:val="0038186E"/>
    <w:rsid w:val="00381D52"/>
    <w:rsid w:val="00382301"/>
    <w:rsid w:val="003823A0"/>
    <w:rsid w:val="00382DB1"/>
    <w:rsid w:val="00384268"/>
    <w:rsid w:val="0038473E"/>
    <w:rsid w:val="00384F36"/>
    <w:rsid w:val="00385271"/>
    <w:rsid w:val="00385E61"/>
    <w:rsid w:val="003861ED"/>
    <w:rsid w:val="00386378"/>
    <w:rsid w:val="00386B14"/>
    <w:rsid w:val="00387469"/>
    <w:rsid w:val="00387B7A"/>
    <w:rsid w:val="00387F1A"/>
    <w:rsid w:val="00390297"/>
    <w:rsid w:val="00390958"/>
    <w:rsid w:val="00390C67"/>
    <w:rsid w:val="003911F3"/>
    <w:rsid w:val="0039226E"/>
    <w:rsid w:val="00392BC6"/>
    <w:rsid w:val="00392CC8"/>
    <w:rsid w:val="00393507"/>
    <w:rsid w:val="00393574"/>
    <w:rsid w:val="003946DC"/>
    <w:rsid w:val="003947B4"/>
    <w:rsid w:val="00394E85"/>
    <w:rsid w:val="00394F19"/>
    <w:rsid w:val="003963DF"/>
    <w:rsid w:val="003966FB"/>
    <w:rsid w:val="00396BCB"/>
    <w:rsid w:val="00396C9D"/>
    <w:rsid w:val="00397224"/>
    <w:rsid w:val="0039760F"/>
    <w:rsid w:val="00397708"/>
    <w:rsid w:val="003A0097"/>
    <w:rsid w:val="003A01BB"/>
    <w:rsid w:val="003A0C9B"/>
    <w:rsid w:val="003A12B8"/>
    <w:rsid w:val="003A2017"/>
    <w:rsid w:val="003A3EF5"/>
    <w:rsid w:val="003A4367"/>
    <w:rsid w:val="003A48CC"/>
    <w:rsid w:val="003A50B6"/>
    <w:rsid w:val="003A593A"/>
    <w:rsid w:val="003A5DA0"/>
    <w:rsid w:val="003A626B"/>
    <w:rsid w:val="003A6578"/>
    <w:rsid w:val="003A6608"/>
    <w:rsid w:val="003A676E"/>
    <w:rsid w:val="003A6E10"/>
    <w:rsid w:val="003A6EAF"/>
    <w:rsid w:val="003A7009"/>
    <w:rsid w:val="003A72EF"/>
    <w:rsid w:val="003A7E21"/>
    <w:rsid w:val="003B1D01"/>
    <w:rsid w:val="003B1DDB"/>
    <w:rsid w:val="003B21B5"/>
    <w:rsid w:val="003B28B9"/>
    <w:rsid w:val="003B3312"/>
    <w:rsid w:val="003B3559"/>
    <w:rsid w:val="003B3857"/>
    <w:rsid w:val="003B41A0"/>
    <w:rsid w:val="003B4BF5"/>
    <w:rsid w:val="003B4D5D"/>
    <w:rsid w:val="003B4DB5"/>
    <w:rsid w:val="003B4EED"/>
    <w:rsid w:val="003B51D9"/>
    <w:rsid w:val="003B52A3"/>
    <w:rsid w:val="003B57E6"/>
    <w:rsid w:val="003B5C0D"/>
    <w:rsid w:val="003B6B2C"/>
    <w:rsid w:val="003B7190"/>
    <w:rsid w:val="003B73B2"/>
    <w:rsid w:val="003B7997"/>
    <w:rsid w:val="003B7D36"/>
    <w:rsid w:val="003C025C"/>
    <w:rsid w:val="003C0737"/>
    <w:rsid w:val="003C092F"/>
    <w:rsid w:val="003C0B33"/>
    <w:rsid w:val="003C162D"/>
    <w:rsid w:val="003C2614"/>
    <w:rsid w:val="003C266A"/>
    <w:rsid w:val="003C319E"/>
    <w:rsid w:val="003C3BD6"/>
    <w:rsid w:val="003C3CBC"/>
    <w:rsid w:val="003C4311"/>
    <w:rsid w:val="003C56BA"/>
    <w:rsid w:val="003C5AB4"/>
    <w:rsid w:val="003C5EDD"/>
    <w:rsid w:val="003C602A"/>
    <w:rsid w:val="003C62B5"/>
    <w:rsid w:val="003C63C3"/>
    <w:rsid w:val="003C69C2"/>
    <w:rsid w:val="003C7C33"/>
    <w:rsid w:val="003D020B"/>
    <w:rsid w:val="003D1759"/>
    <w:rsid w:val="003D1896"/>
    <w:rsid w:val="003D260C"/>
    <w:rsid w:val="003D3019"/>
    <w:rsid w:val="003D3B14"/>
    <w:rsid w:val="003D491A"/>
    <w:rsid w:val="003D4CEE"/>
    <w:rsid w:val="003D4CF3"/>
    <w:rsid w:val="003D59C2"/>
    <w:rsid w:val="003D5E92"/>
    <w:rsid w:val="003D62F7"/>
    <w:rsid w:val="003D633C"/>
    <w:rsid w:val="003D7062"/>
    <w:rsid w:val="003D7E65"/>
    <w:rsid w:val="003D7EE3"/>
    <w:rsid w:val="003E0AB2"/>
    <w:rsid w:val="003E1035"/>
    <w:rsid w:val="003E15F1"/>
    <w:rsid w:val="003E17F2"/>
    <w:rsid w:val="003E19F7"/>
    <w:rsid w:val="003E1EB2"/>
    <w:rsid w:val="003E235D"/>
    <w:rsid w:val="003E24C2"/>
    <w:rsid w:val="003E2DB1"/>
    <w:rsid w:val="003E3640"/>
    <w:rsid w:val="003E491C"/>
    <w:rsid w:val="003E492C"/>
    <w:rsid w:val="003E4ECF"/>
    <w:rsid w:val="003E4FC5"/>
    <w:rsid w:val="003E6520"/>
    <w:rsid w:val="003E661D"/>
    <w:rsid w:val="003E678F"/>
    <w:rsid w:val="003E710D"/>
    <w:rsid w:val="003E71D3"/>
    <w:rsid w:val="003E7941"/>
    <w:rsid w:val="003E7A9C"/>
    <w:rsid w:val="003E7D02"/>
    <w:rsid w:val="003F0950"/>
    <w:rsid w:val="003F0ECC"/>
    <w:rsid w:val="003F1EAA"/>
    <w:rsid w:val="003F1FD9"/>
    <w:rsid w:val="003F2181"/>
    <w:rsid w:val="003F2334"/>
    <w:rsid w:val="003F24CD"/>
    <w:rsid w:val="003F25D5"/>
    <w:rsid w:val="003F2707"/>
    <w:rsid w:val="003F328F"/>
    <w:rsid w:val="003F4C91"/>
    <w:rsid w:val="003F513C"/>
    <w:rsid w:val="003F531A"/>
    <w:rsid w:val="003F5ABB"/>
    <w:rsid w:val="003F6C0E"/>
    <w:rsid w:val="003F7267"/>
    <w:rsid w:val="003F7695"/>
    <w:rsid w:val="003F7C9E"/>
    <w:rsid w:val="004003FD"/>
    <w:rsid w:val="00400BD1"/>
    <w:rsid w:val="00400E64"/>
    <w:rsid w:val="00400EF2"/>
    <w:rsid w:val="00401828"/>
    <w:rsid w:val="00401CF3"/>
    <w:rsid w:val="00401D28"/>
    <w:rsid w:val="0040202B"/>
    <w:rsid w:val="004020FF"/>
    <w:rsid w:val="004025E8"/>
    <w:rsid w:val="00402768"/>
    <w:rsid w:val="00402F4D"/>
    <w:rsid w:val="00403983"/>
    <w:rsid w:val="00403D7B"/>
    <w:rsid w:val="00403D80"/>
    <w:rsid w:val="004042AA"/>
    <w:rsid w:val="0040479F"/>
    <w:rsid w:val="00404C36"/>
    <w:rsid w:val="00404F14"/>
    <w:rsid w:val="004051E1"/>
    <w:rsid w:val="004057AD"/>
    <w:rsid w:val="00405A95"/>
    <w:rsid w:val="00405EA8"/>
    <w:rsid w:val="00405EEF"/>
    <w:rsid w:val="004062E0"/>
    <w:rsid w:val="0040661D"/>
    <w:rsid w:val="00406C87"/>
    <w:rsid w:val="00406F38"/>
    <w:rsid w:val="004107CA"/>
    <w:rsid w:val="00410CE5"/>
    <w:rsid w:val="004111BC"/>
    <w:rsid w:val="0041143A"/>
    <w:rsid w:val="004114CB"/>
    <w:rsid w:val="00411612"/>
    <w:rsid w:val="0041176F"/>
    <w:rsid w:val="00411981"/>
    <w:rsid w:val="004121A6"/>
    <w:rsid w:val="00412256"/>
    <w:rsid w:val="00412582"/>
    <w:rsid w:val="004125F4"/>
    <w:rsid w:val="004126D4"/>
    <w:rsid w:val="004128EB"/>
    <w:rsid w:val="00412C39"/>
    <w:rsid w:val="00412DF8"/>
    <w:rsid w:val="0041431B"/>
    <w:rsid w:val="00414438"/>
    <w:rsid w:val="00414703"/>
    <w:rsid w:val="00415101"/>
    <w:rsid w:val="0041512E"/>
    <w:rsid w:val="00415313"/>
    <w:rsid w:val="0041566E"/>
    <w:rsid w:val="004159E9"/>
    <w:rsid w:val="00415A24"/>
    <w:rsid w:val="00415BD2"/>
    <w:rsid w:val="00415D2B"/>
    <w:rsid w:val="004164BC"/>
    <w:rsid w:val="00416C0A"/>
    <w:rsid w:val="00416FEB"/>
    <w:rsid w:val="00417884"/>
    <w:rsid w:val="00420BD6"/>
    <w:rsid w:val="00420C0E"/>
    <w:rsid w:val="00421659"/>
    <w:rsid w:val="00421941"/>
    <w:rsid w:val="00422442"/>
    <w:rsid w:val="00423076"/>
    <w:rsid w:val="004231B5"/>
    <w:rsid w:val="004234A5"/>
    <w:rsid w:val="00424540"/>
    <w:rsid w:val="0042470A"/>
    <w:rsid w:val="004247EB"/>
    <w:rsid w:val="00424DE2"/>
    <w:rsid w:val="00425E8A"/>
    <w:rsid w:val="00425F4A"/>
    <w:rsid w:val="0042616F"/>
    <w:rsid w:val="00427002"/>
    <w:rsid w:val="004270E0"/>
    <w:rsid w:val="00427AAC"/>
    <w:rsid w:val="004306E9"/>
    <w:rsid w:val="004311D4"/>
    <w:rsid w:val="00431295"/>
    <w:rsid w:val="00432122"/>
    <w:rsid w:val="00432528"/>
    <w:rsid w:val="00432836"/>
    <w:rsid w:val="00432BC9"/>
    <w:rsid w:val="00433A2A"/>
    <w:rsid w:val="00433ACD"/>
    <w:rsid w:val="00433FC8"/>
    <w:rsid w:val="004341F4"/>
    <w:rsid w:val="00434946"/>
    <w:rsid w:val="00434B3F"/>
    <w:rsid w:val="00434EDA"/>
    <w:rsid w:val="00434F02"/>
    <w:rsid w:val="0043564A"/>
    <w:rsid w:val="00435FAA"/>
    <w:rsid w:val="004364F7"/>
    <w:rsid w:val="0043664A"/>
    <w:rsid w:val="004367CD"/>
    <w:rsid w:val="004373D1"/>
    <w:rsid w:val="0043778D"/>
    <w:rsid w:val="00437A6E"/>
    <w:rsid w:val="00440E91"/>
    <w:rsid w:val="00441234"/>
    <w:rsid w:val="0044213D"/>
    <w:rsid w:val="004427E3"/>
    <w:rsid w:val="00443901"/>
    <w:rsid w:val="00443C05"/>
    <w:rsid w:val="00444F46"/>
    <w:rsid w:val="004454C2"/>
    <w:rsid w:val="00445EAA"/>
    <w:rsid w:val="004461DB"/>
    <w:rsid w:val="00446268"/>
    <w:rsid w:val="004467C8"/>
    <w:rsid w:val="00447011"/>
    <w:rsid w:val="00447347"/>
    <w:rsid w:val="0044789F"/>
    <w:rsid w:val="00447DCF"/>
    <w:rsid w:val="00447F33"/>
    <w:rsid w:val="0045032A"/>
    <w:rsid w:val="00450871"/>
    <w:rsid w:val="004508CB"/>
    <w:rsid w:val="00450A27"/>
    <w:rsid w:val="00451A24"/>
    <w:rsid w:val="00451EC2"/>
    <w:rsid w:val="0045283D"/>
    <w:rsid w:val="00452A90"/>
    <w:rsid w:val="00452BD2"/>
    <w:rsid w:val="00453601"/>
    <w:rsid w:val="0045361F"/>
    <w:rsid w:val="004538B0"/>
    <w:rsid w:val="00454B76"/>
    <w:rsid w:val="00455057"/>
    <w:rsid w:val="00455E91"/>
    <w:rsid w:val="00456376"/>
    <w:rsid w:val="004575CD"/>
    <w:rsid w:val="004601C0"/>
    <w:rsid w:val="00460C29"/>
    <w:rsid w:val="00460D6C"/>
    <w:rsid w:val="00460E2B"/>
    <w:rsid w:val="00462823"/>
    <w:rsid w:val="00463357"/>
    <w:rsid w:val="00463A04"/>
    <w:rsid w:val="00463B5E"/>
    <w:rsid w:val="004644A3"/>
    <w:rsid w:val="0046453F"/>
    <w:rsid w:val="00465255"/>
    <w:rsid w:val="00465464"/>
    <w:rsid w:val="0046551C"/>
    <w:rsid w:val="00465642"/>
    <w:rsid w:val="00465E13"/>
    <w:rsid w:val="00466152"/>
    <w:rsid w:val="004664F0"/>
    <w:rsid w:val="00466FE1"/>
    <w:rsid w:val="00467F7F"/>
    <w:rsid w:val="00470BF5"/>
    <w:rsid w:val="00470D34"/>
    <w:rsid w:val="00471D61"/>
    <w:rsid w:val="004726C3"/>
    <w:rsid w:val="00472C10"/>
    <w:rsid w:val="00472E74"/>
    <w:rsid w:val="00472E9A"/>
    <w:rsid w:val="0047302A"/>
    <w:rsid w:val="0047351E"/>
    <w:rsid w:val="00473718"/>
    <w:rsid w:val="00473869"/>
    <w:rsid w:val="0047389D"/>
    <w:rsid w:val="00473E83"/>
    <w:rsid w:val="0047410E"/>
    <w:rsid w:val="00474124"/>
    <w:rsid w:val="0047444C"/>
    <w:rsid w:val="00474A0C"/>
    <w:rsid w:val="00475C12"/>
    <w:rsid w:val="00475DA6"/>
    <w:rsid w:val="00475FF9"/>
    <w:rsid w:val="004760A2"/>
    <w:rsid w:val="0047623A"/>
    <w:rsid w:val="0047677B"/>
    <w:rsid w:val="00476A42"/>
    <w:rsid w:val="00476AD1"/>
    <w:rsid w:val="00476F43"/>
    <w:rsid w:val="00477A18"/>
    <w:rsid w:val="00477D76"/>
    <w:rsid w:val="00477F56"/>
    <w:rsid w:val="0048021F"/>
    <w:rsid w:val="0048054A"/>
    <w:rsid w:val="00480B0C"/>
    <w:rsid w:val="00480ED2"/>
    <w:rsid w:val="004816F9"/>
    <w:rsid w:val="004817AF"/>
    <w:rsid w:val="004818E8"/>
    <w:rsid w:val="00481E69"/>
    <w:rsid w:val="00481F89"/>
    <w:rsid w:val="00482E2C"/>
    <w:rsid w:val="00482F67"/>
    <w:rsid w:val="00483006"/>
    <w:rsid w:val="004833B4"/>
    <w:rsid w:val="00483CEB"/>
    <w:rsid w:val="00484915"/>
    <w:rsid w:val="00484B5B"/>
    <w:rsid w:val="00485961"/>
    <w:rsid w:val="00485E00"/>
    <w:rsid w:val="00486423"/>
    <w:rsid w:val="004868DF"/>
    <w:rsid w:val="00487387"/>
    <w:rsid w:val="004873CC"/>
    <w:rsid w:val="00487946"/>
    <w:rsid w:val="00487FE0"/>
    <w:rsid w:val="00490715"/>
    <w:rsid w:val="0049074A"/>
    <w:rsid w:val="00490CC6"/>
    <w:rsid w:val="00490CF1"/>
    <w:rsid w:val="00490E50"/>
    <w:rsid w:val="00490E6E"/>
    <w:rsid w:val="004913FF"/>
    <w:rsid w:val="004918EA"/>
    <w:rsid w:val="004918F7"/>
    <w:rsid w:val="004919FD"/>
    <w:rsid w:val="00491B65"/>
    <w:rsid w:val="00491F8C"/>
    <w:rsid w:val="00492463"/>
    <w:rsid w:val="004928DC"/>
    <w:rsid w:val="00492FB0"/>
    <w:rsid w:val="00493778"/>
    <w:rsid w:val="00494044"/>
    <w:rsid w:val="0049432C"/>
    <w:rsid w:val="004947AA"/>
    <w:rsid w:val="00495567"/>
    <w:rsid w:val="00495AB0"/>
    <w:rsid w:val="004962FD"/>
    <w:rsid w:val="00496514"/>
    <w:rsid w:val="0049680D"/>
    <w:rsid w:val="00496CA5"/>
    <w:rsid w:val="004970C2"/>
    <w:rsid w:val="004979A8"/>
    <w:rsid w:val="00497C91"/>
    <w:rsid w:val="004A0017"/>
    <w:rsid w:val="004A0431"/>
    <w:rsid w:val="004A050B"/>
    <w:rsid w:val="004A06FC"/>
    <w:rsid w:val="004A0DE1"/>
    <w:rsid w:val="004A0E88"/>
    <w:rsid w:val="004A132C"/>
    <w:rsid w:val="004A1605"/>
    <w:rsid w:val="004A1BFF"/>
    <w:rsid w:val="004A1DB8"/>
    <w:rsid w:val="004A2F80"/>
    <w:rsid w:val="004A4336"/>
    <w:rsid w:val="004A4424"/>
    <w:rsid w:val="004A4C2C"/>
    <w:rsid w:val="004A5DEF"/>
    <w:rsid w:val="004A6870"/>
    <w:rsid w:val="004A777E"/>
    <w:rsid w:val="004A7F5D"/>
    <w:rsid w:val="004B02C4"/>
    <w:rsid w:val="004B0781"/>
    <w:rsid w:val="004B0A97"/>
    <w:rsid w:val="004B0D09"/>
    <w:rsid w:val="004B146A"/>
    <w:rsid w:val="004B1600"/>
    <w:rsid w:val="004B1DAF"/>
    <w:rsid w:val="004B26D9"/>
    <w:rsid w:val="004B2A97"/>
    <w:rsid w:val="004B2C5E"/>
    <w:rsid w:val="004B3246"/>
    <w:rsid w:val="004B35A4"/>
    <w:rsid w:val="004B3A0B"/>
    <w:rsid w:val="004B3A47"/>
    <w:rsid w:val="004B4141"/>
    <w:rsid w:val="004B51B8"/>
    <w:rsid w:val="004B6188"/>
    <w:rsid w:val="004B65E5"/>
    <w:rsid w:val="004B7352"/>
    <w:rsid w:val="004B74D1"/>
    <w:rsid w:val="004B764B"/>
    <w:rsid w:val="004B774B"/>
    <w:rsid w:val="004C0671"/>
    <w:rsid w:val="004C07AC"/>
    <w:rsid w:val="004C1146"/>
    <w:rsid w:val="004C1D21"/>
    <w:rsid w:val="004C1E7B"/>
    <w:rsid w:val="004C246B"/>
    <w:rsid w:val="004C2D99"/>
    <w:rsid w:val="004C380B"/>
    <w:rsid w:val="004C3D60"/>
    <w:rsid w:val="004C3EA8"/>
    <w:rsid w:val="004C4629"/>
    <w:rsid w:val="004C47C9"/>
    <w:rsid w:val="004C48F6"/>
    <w:rsid w:val="004C4B71"/>
    <w:rsid w:val="004C63EC"/>
    <w:rsid w:val="004C6702"/>
    <w:rsid w:val="004C6D6E"/>
    <w:rsid w:val="004C710E"/>
    <w:rsid w:val="004D087E"/>
    <w:rsid w:val="004D1277"/>
    <w:rsid w:val="004D19DB"/>
    <w:rsid w:val="004D19E9"/>
    <w:rsid w:val="004D1ACD"/>
    <w:rsid w:val="004D1E88"/>
    <w:rsid w:val="004D2A41"/>
    <w:rsid w:val="004D2C53"/>
    <w:rsid w:val="004D2D11"/>
    <w:rsid w:val="004D2E5D"/>
    <w:rsid w:val="004D2F79"/>
    <w:rsid w:val="004D2F9F"/>
    <w:rsid w:val="004D35FA"/>
    <w:rsid w:val="004D3602"/>
    <w:rsid w:val="004D37DB"/>
    <w:rsid w:val="004D3CD7"/>
    <w:rsid w:val="004D4F8D"/>
    <w:rsid w:val="004D58DE"/>
    <w:rsid w:val="004D63E2"/>
    <w:rsid w:val="004D732B"/>
    <w:rsid w:val="004D7BE9"/>
    <w:rsid w:val="004E02F6"/>
    <w:rsid w:val="004E08FE"/>
    <w:rsid w:val="004E0EF5"/>
    <w:rsid w:val="004E2045"/>
    <w:rsid w:val="004E2052"/>
    <w:rsid w:val="004E213B"/>
    <w:rsid w:val="004E2E77"/>
    <w:rsid w:val="004E305D"/>
    <w:rsid w:val="004E325E"/>
    <w:rsid w:val="004E39AB"/>
    <w:rsid w:val="004E39FD"/>
    <w:rsid w:val="004E3F30"/>
    <w:rsid w:val="004E40F0"/>
    <w:rsid w:val="004E4266"/>
    <w:rsid w:val="004E46F8"/>
    <w:rsid w:val="004E47BF"/>
    <w:rsid w:val="004E50C8"/>
    <w:rsid w:val="004E5BC5"/>
    <w:rsid w:val="004E5CBD"/>
    <w:rsid w:val="004E6051"/>
    <w:rsid w:val="004E6393"/>
    <w:rsid w:val="004E653E"/>
    <w:rsid w:val="004E65F5"/>
    <w:rsid w:val="004E6ACB"/>
    <w:rsid w:val="004E7E99"/>
    <w:rsid w:val="004F0733"/>
    <w:rsid w:val="004F0CC6"/>
    <w:rsid w:val="004F0E25"/>
    <w:rsid w:val="004F0F9C"/>
    <w:rsid w:val="004F1250"/>
    <w:rsid w:val="004F1421"/>
    <w:rsid w:val="004F1557"/>
    <w:rsid w:val="004F1DBF"/>
    <w:rsid w:val="004F1E94"/>
    <w:rsid w:val="004F20AF"/>
    <w:rsid w:val="004F2226"/>
    <w:rsid w:val="004F226D"/>
    <w:rsid w:val="004F2D77"/>
    <w:rsid w:val="004F3411"/>
    <w:rsid w:val="004F3B9F"/>
    <w:rsid w:val="004F3C00"/>
    <w:rsid w:val="004F3E28"/>
    <w:rsid w:val="004F484F"/>
    <w:rsid w:val="004F541B"/>
    <w:rsid w:val="004F5903"/>
    <w:rsid w:val="004F621F"/>
    <w:rsid w:val="004F71D0"/>
    <w:rsid w:val="004F7324"/>
    <w:rsid w:val="004F76A2"/>
    <w:rsid w:val="004F7834"/>
    <w:rsid w:val="004F7C39"/>
    <w:rsid w:val="005000BC"/>
    <w:rsid w:val="005000EA"/>
    <w:rsid w:val="005003AB"/>
    <w:rsid w:val="00500BB1"/>
    <w:rsid w:val="00501F26"/>
    <w:rsid w:val="00501F95"/>
    <w:rsid w:val="005025A6"/>
    <w:rsid w:val="00502EAE"/>
    <w:rsid w:val="005031C9"/>
    <w:rsid w:val="0050322C"/>
    <w:rsid w:val="00503A1B"/>
    <w:rsid w:val="00503B21"/>
    <w:rsid w:val="00503F57"/>
    <w:rsid w:val="005041E5"/>
    <w:rsid w:val="00504E9A"/>
    <w:rsid w:val="00504FB9"/>
    <w:rsid w:val="0050500F"/>
    <w:rsid w:val="00505279"/>
    <w:rsid w:val="00505511"/>
    <w:rsid w:val="0050639A"/>
    <w:rsid w:val="005063E1"/>
    <w:rsid w:val="00506E03"/>
    <w:rsid w:val="00506E32"/>
    <w:rsid w:val="00506E4B"/>
    <w:rsid w:val="00506FC1"/>
    <w:rsid w:val="00507116"/>
    <w:rsid w:val="0050717D"/>
    <w:rsid w:val="00507572"/>
    <w:rsid w:val="005076DA"/>
    <w:rsid w:val="00507BF0"/>
    <w:rsid w:val="00507CC5"/>
    <w:rsid w:val="0051012A"/>
    <w:rsid w:val="00510252"/>
    <w:rsid w:val="00510766"/>
    <w:rsid w:val="0051115C"/>
    <w:rsid w:val="00511597"/>
    <w:rsid w:val="0051211C"/>
    <w:rsid w:val="0051239B"/>
    <w:rsid w:val="005123FD"/>
    <w:rsid w:val="00512906"/>
    <w:rsid w:val="00513212"/>
    <w:rsid w:val="0051349F"/>
    <w:rsid w:val="0051361C"/>
    <w:rsid w:val="00514B27"/>
    <w:rsid w:val="00515100"/>
    <w:rsid w:val="0051519A"/>
    <w:rsid w:val="0051685D"/>
    <w:rsid w:val="00516953"/>
    <w:rsid w:val="00516BBB"/>
    <w:rsid w:val="00516BE9"/>
    <w:rsid w:val="005172E1"/>
    <w:rsid w:val="005176B2"/>
    <w:rsid w:val="00517C9C"/>
    <w:rsid w:val="005200A5"/>
    <w:rsid w:val="005205FD"/>
    <w:rsid w:val="005218A8"/>
    <w:rsid w:val="00521BB4"/>
    <w:rsid w:val="00522B13"/>
    <w:rsid w:val="00523963"/>
    <w:rsid w:val="00523E83"/>
    <w:rsid w:val="00524831"/>
    <w:rsid w:val="005248BB"/>
    <w:rsid w:val="00526F24"/>
    <w:rsid w:val="005272A1"/>
    <w:rsid w:val="005303F9"/>
    <w:rsid w:val="00530611"/>
    <w:rsid w:val="005308A5"/>
    <w:rsid w:val="005308EA"/>
    <w:rsid w:val="005314E9"/>
    <w:rsid w:val="00531723"/>
    <w:rsid w:val="00531767"/>
    <w:rsid w:val="00531825"/>
    <w:rsid w:val="00531B06"/>
    <w:rsid w:val="0053275E"/>
    <w:rsid w:val="0053307B"/>
    <w:rsid w:val="0053324F"/>
    <w:rsid w:val="005334D7"/>
    <w:rsid w:val="00533947"/>
    <w:rsid w:val="005342F3"/>
    <w:rsid w:val="005348BF"/>
    <w:rsid w:val="0053569E"/>
    <w:rsid w:val="00535E7D"/>
    <w:rsid w:val="005379EA"/>
    <w:rsid w:val="0054165F"/>
    <w:rsid w:val="00541E10"/>
    <w:rsid w:val="00541EF9"/>
    <w:rsid w:val="0054252E"/>
    <w:rsid w:val="00542B70"/>
    <w:rsid w:val="00542BFB"/>
    <w:rsid w:val="005431CF"/>
    <w:rsid w:val="005439FD"/>
    <w:rsid w:val="00543D0A"/>
    <w:rsid w:val="00543E19"/>
    <w:rsid w:val="00544EFB"/>
    <w:rsid w:val="005454F3"/>
    <w:rsid w:val="005455E5"/>
    <w:rsid w:val="00545A8C"/>
    <w:rsid w:val="00545E91"/>
    <w:rsid w:val="00545FA0"/>
    <w:rsid w:val="0054681B"/>
    <w:rsid w:val="00546C5E"/>
    <w:rsid w:val="00546C7D"/>
    <w:rsid w:val="00546DA3"/>
    <w:rsid w:val="00547504"/>
    <w:rsid w:val="0054779A"/>
    <w:rsid w:val="00547BA1"/>
    <w:rsid w:val="00550258"/>
    <w:rsid w:val="00550586"/>
    <w:rsid w:val="00550C41"/>
    <w:rsid w:val="0055100A"/>
    <w:rsid w:val="005522B4"/>
    <w:rsid w:val="0055295F"/>
    <w:rsid w:val="00552A8F"/>
    <w:rsid w:val="00553331"/>
    <w:rsid w:val="00553D28"/>
    <w:rsid w:val="00554255"/>
    <w:rsid w:val="00554AC6"/>
    <w:rsid w:val="00554AFE"/>
    <w:rsid w:val="00554F06"/>
    <w:rsid w:val="00554F32"/>
    <w:rsid w:val="00555583"/>
    <w:rsid w:val="00555A18"/>
    <w:rsid w:val="00555E56"/>
    <w:rsid w:val="00556101"/>
    <w:rsid w:val="00556460"/>
    <w:rsid w:val="00557CB1"/>
    <w:rsid w:val="0056072C"/>
    <w:rsid w:val="005607CA"/>
    <w:rsid w:val="0056091E"/>
    <w:rsid w:val="00560B2D"/>
    <w:rsid w:val="00560FDB"/>
    <w:rsid w:val="005612A7"/>
    <w:rsid w:val="00561371"/>
    <w:rsid w:val="0056172D"/>
    <w:rsid w:val="005619FB"/>
    <w:rsid w:val="00562FF8"/>
    <w:rsid w:val="00563498"/>
    <w:rsid w:val="005635F3"/>
    <w:rsid w:val="005636D1"/>
    <w:rsid w:val="0056411C"/>
    <w:rsid w:val="00564E55"/>
    <w:rsid w:val="00565B4C"/>
    <w:rsid w:val="005663FF"/>
    <w:rsid w:val="005668E4"/>
    <w:rsid w:val="005669BA"/>
    <w:rsid w:val="00566C30"/>
    <w:rsid w:val="00567410"/>
    <w:rsid w:val="005677E5"/>
    <w:rsid w:val="00570D24"/>
    <w:rsid w:val="005711E2"/>
    <w:rsid w:val="00573C90"/>
    <w:rsid w:val="005745F1"/>
    <w:rsid w:val="00574A0E"/>
    <w:rsid w:val="00574A1D"/>
    <w:rsid w:val="00574C1A"/>
    <w:rsid w:val="00575397"/>
    <w:rsid w:val="00575612"/>
    <w:rsid w:val="00575697"/>
    <w:rsid w:val="005756C4"/>
    <w:rsid w:val="0057628D"/>
    <w:rsid w:val="00576528"/>
    <w:rsid w:val="00576A01"/>
    <w:rsid w:val="00576BC0"/>
    <w:rsid w:val="00576ECE"/>
    <w:rsid w:val="00577D92"/>
    <w:rsid w:val="00577E4E"/>
    <w:rsid w:val="00580384"/>
    <w:rsid w:val="00580CDF"/>
    <w:rsid w:val="00580EEB"/>
    <w:rsid w:val="00580FCF"/>
    <w:rsid w:val="00582326"/>
    <w:rsid w:val="00582569"/>
    <w:rsid w:val="00582881"/>
    <w:rsid w:val="005828DC"/>
    <w:rsid w:val="00583327"/>
    <w:rsid w:val="00583404"/>
    <w:rsid w:val="00583673"/>
    <w:rsid w:val="005839F4"/>
    <w:rsid w:val="00583D08"/>
    <w:rsid w:val="005841F7"/>
    <w:rsid w:val="00584E90"/>
    <w:rsid w:val="00585FBF"/>
    <w:rsid w:val="00586EBE"/>
    <w:rsid w:val="005870E1"/>
    <w:rsid w:val="00587866"/>
    <w:rsid w:val="0058792E"/>
    <w:rsid w:val="00587BE7"/>
    <w:rsid w:val="00587CBC"/>
    <w:rsid w:val="0059097C"/>
    <w:rsid w:val="00590C18"/>
    <w:rsid w:val="00591111"/>
    <w:rsid w:val="005912C1"/>
    <w:rsid w:val="005912C2"/>
    <w:rsid w:val="0059354F"/>
    <w:rsid w:val="00594EA2"/>
    <w:rsid w:val="005956E3"/>
    <w:rsid w:val="00595DF1"/>
    <w:rsid w:val="00595E51"/>
    <w:rsid w:val="005963D2"/>
    <w:rsid w:val="00596427"/>
    <w:rsid w:val="005964DA"/>
    <w:rsid w:val="00596524"/>
    <w:rsid w:val="0059666A"/>
    <w:rsid w:val="0059679A"/>
    <w:rsid w:val="005976D7"/>
    <w:rsid w:val="00597C19"/>
    <w:rsid w:val="00597D35"/>
    <w:rsid w:val="005A0E17"/>
    <w:rsid w:val="005A0F02"/>
    <w:rsid w:val="005A1BB7"/>
    <w:rsid w:val="005A1FE1"/>
    <w:rsid w:val="005A2791"/>
    <w:rsid w:val="005A3488"/>
    <w:rsid w:val="005A4123"/>
    <w:rsid w:val="005A4410"/>
    <w:rsid w:val="005A46C6"/>
    <w:rsid w:val="005A4A36"/>
    <w:rsid w:val="005A4D81"/>
    <w:rsid w:val="005A534B"/>
    <w:rsid w:val="005A5BA8"/>
    <w:rsid w:val="005A600B"/>
    <w:rsid w:val="005A650F"/>
    <w:rsid w:val="005A6D6D"/>
    <w:rsid w:val="005A7264"/>
    <w:rsid w:val="005B01AD"/>
    <w:rsid w:val="005B1601"/>
    <w:rsid w:val="005B17F4"/>
    <w:rsid w:val="005B2090"/>
    <w:rsid w:val="005B312F"/>
    <w:rsid w:val="005B34C9"/>
    <w:rsid w:val="005B4017"/>
    <w:rsid w:val="005B4474"/>
    <w:rsid w:val="005B4881"/>
    <w:rsid w:val="005B4CFC"/>
    <w:rsid w:val="005B4F60"/>
    <w:rsid w:val="005B525E"/>
    <w:rsid w:val="005B53E1"/>
    <w:rsid w:val="005B58B0"/>
    <w:rsid w:val="005B6344"/>
    <w:rsid w:val="005B6365"/>
    <w:rsid w:val="005B6E0D"/>
    <w:rsid w:val="005B72C6"/>
    <w:rsid w:val="005B77E0"/>
    <w:rsid w:val="005B78BE"/>
    <w:rsid w:val="005B7DDB"/>
    <w:rsid w:val="005C0298"/>
    <w:rsid w:val="005C0769"/>
    <w:rsid w:val="005C0CF8"/>
    <w:rsid w:val="005C0F1A"/>
    <w:rsid w:val="005C1144"/>
    <w:rsid w:val="005C1939"/>
    <w:rsid w:val="005C2476"/>
    <w:rsid w:val="005C2547"/>
    <w:rsid w:val="005C2617"/>
    <w:rsid w:val="005C29B5"/>
    <w:rsid w:val="005C309C"/>
    <w:rsid w:val="005C345C"/>
    <w:rsid w:val="005C360A"/>
    <w:rsid w:val="005C3B57"/>
    <w:rsid w:val="005C5335"/>
    <w:rsid w:val="005C5407"/>
    <w:rsid w:val="005C5BFE"/>
    <w:rsid w:val="005C5D4C"/>
    <w:rsid w:val="005C6180"/>
    <w:rsid w:val="005C71DC"/>
    <w:rsid w:val="005C72E7"/>
    <w:rsid w:val="005C7891"/>
    <w:rsid w:val="005C7EE9"/>
    <w:rsid w:val="005C7FEC"/>
    <w:rsid w:val="005D0268"/>
    <w:rsid w:val="005D06A3"/>
    <w:rsid w:val="005D12C3"/>
    <w:rsid w:val="005D1368"/>
    <w:rsid w:val="005D13D1"/>
    <w:rsid w:val="005D1AC2"/>
    <w:rsid w:val="005D21AA"/>
    <w:rsid w:val="005D221C"/>
    <w:rsid w:val="005D23FA"/>
    <w:rsid w:val="005D250F"/>
    <w:rsid w:val="005D2A43"/>
    <w:rsid w:val="005D2EF4"/>
    <w:rsid w:val="005D33AD"/>
    <w:rsid w:val="005D3F3A"/>
    <w:rsid w:val="005D4ECD"/>
    <w:rsid w:val="005D4F25"/>
    <w:rsid w:val="005D5095"/>
    <w:rsid w:val="005D5394"/>
    <w:rsid w:val="005D58D2"/>
    <w:rsid w:val="005D5CD9"/>
    <w:rsid w:val="005D6EA0"/>
    <w:rsid w:val="005D7D66"/>
    <w:rsid w:val="005E086F"/>
    <w:rsid w:val="005E10F6"/>
    <w:rsid w:val="005E1155"/>
    <w:rsid w:val="005E1B31"/>
    <w:rsid w:val="005E1D7C"/>
    <w:rsid w:val="005E2109"/>
    <w:rsid w:val="005E2232"/>
    <w:rsid w:val="005E229C"/>
    <w:rsid w:val="005E2D03"/>
    <w:rsid w:val="005E3188"/>
    <w:rsid w:val="005E3ACD"/>
    <w:rsid w:val="005E4339"/>
    <w:rsid w:val="005E4525"/>
    <w:rsid w:val="005E4E18"/>
    <w:rsid w:val="005E54A1"/>
    <w:rsid w:val="005E5868"/>
    <w:rsid w:val="005E5DDE"/>
    <w:rsid w:val="005E5E9B"/>
    <w:rsid w:val="005E603B"/>
    <w:rsid w:val="005E74A9"/>
    <w:rsid w:val="005E76E2"/>
    <w:rsid w:val="005E7B36"/>
    <w:rsid w:val="005F00E1"/>
    <w:rsid w:val="005F0166"/>
    <w:rsid w:val="005F02E6"/>
    <w:rsid w:val="005F0A9A"/>
    <w:rsid w:val="005F10F1"/>
    <w:rsid w:val="005F1441"/>
    <w:rsid w:val="005F1911"/>
    <w:rsid w:val="005F1B4D"/>
    <w:rsid w:val="005F255E"/>
    <w:rsid w:val="005F2CBA"/>
    <w:rsid w:val="005F2E87"/>
    <w:rsid w:val="005F3216"/>
    <w:rsid w:val="005F4310"/>
    <w:rsid w:val="005F4315"/>
    <w:rsid w:val="005F4DFE"/>
    <w:rsid w:val="005F4EB2"/>
    <w:rsid w:val="005F4EF9"/>
    <w:rsid w:val="005F5095"/>
    <w:rsid w:val="005F515A"/>
    <w:rsid w:val="005F51F4"/>
    <w:rsid w:val="005F5AC4"/>
    <w:rsid w:val="005F735B"/>
    <w:rsid w:val="005F7871"/>
    <w:rsid w:val="006004C2"/>
    <w:rsid w:val="00600D13"/>
    <w:rsid w:val="00600EF3"/>
    <w:rsid w:val="00600F22"/>
    <w:rsid w:val="00600FBF"/>
    <w:rsid w:val="006015AE"/>
    <w:rsid w:val="006017B1"/>
    <w:rsid w:val="00601BA0"/>
    <w:rsid w:val="00601D27"/>
    <w:rsid w:val="00601DD8"/>
    <w:rsid w:val="00601E8A"/>
    <w:rsid w:val="00603760"/>
    <w:rsid w:val="00603C16"/>
    <w:rsid w:val="00603CDA"/>
    <w:rsid w:val="0060423E"/>
    <w:rsid w:val="00604347"/>
    <w:rsid w:val="006044BA"/>
    <w:rsid w:val="0060451E"/>
    <w:rsid w:val="00604DD6"/>
    <w:rsid w:val="00605141"/>
    <w:rsid w:val="00605973"/>
    <w:rsid w:val="0060630B"/>
    <w:rsid w:val="0060685F"/>
    <w:rsid w:val="00606F23"/>
    <w:rsid w:val="00607066"/>
    <w:rsid w:val="00607197"/>
    <w:rsid w:val="00607370"/>
    <w:rsid w:val="00607A16"/>
    <w:rsid w:val="006100B5"/>
    <w:rsid w:val="00610224"/>
    <w:rsid w:val="006102DA"/>
    <w:rsid w:val="006109F8"/>
    <w:rsid w:val="00611052"/>
    <w:rsid w:val="0061114B"/>
    <w:rsid w:val="006116EB"/>
    <w:rsid w:val="00611818"/>
    <w:rsid w:val="00611A6A"/>
    <w:rsid w:val="00612609"/>
    <w:rsid w:val="00612C31"/>
    <w:rsid w:val="00613EFC"/>
    <w:rsid w:val="006147EA"/>
    <w:rsid w:val="00615C03"/>
    <w:rsid w:val="00615E4D"/>
    <w:rsid w:val="00615FE0"/>
    <w:rsid w:val="0061740F"/>
    <w:rsid w:val="00617967"/>
    <w:rsid w:val="00617ABF"/>
    <w:rsid w:val="006201EB"/>
    <w:rsid w:val="006201F5"/>
    <w:rsid w:val="00620CFF"/>
    <w:rsid w:val="00621057"/>
    <w:rsid w:val="0062156F"/>
    <w:rsid w:val="00621776"/>
    <w:rsid w:val="00623075"/>
    <w:rsid w:val="00623288"/>
    <w:rsid w:val="00623910"/>
    <w:rsid w:val="00623A3C"/>
    <w:rsid w:val="00624861"/>
    <w:rsid w:val="00624A27"/>
    <w:rsid w:val="00624A5D"/>
    <w:rsid w:val="00624D74"/>
    <w:rsid w:val="00624DFA"/>
    <w:rsid w:val="00625732"/>
    <w:rsid w:val="00625FAB"/>
    <w:rsid w:val="00626889"/>
    <w:rsid w:val="0062716D"/>
    <w:rsid w:val="006275DD"/>
    <w:rsid w:val="00627AF2"/>
    <w:rsid w:val="0063082B"/>
    <w:rsid w:val="00630ED6"/>
    <w:rsid w:val="00630F1E"/>
    <w:rsid w:val="006319B3"/>
    <w:rsid w:val="00631CAB"/>
    <w:rsid w:val="00631CBA"/>
    <w:rsid w:val="0063236F"/>
    <w:rsid w:val="00632E84"/>
    <w:rsid w:val="00632F94"/>
    <w:rsid w:val="0063358C"/>
    <w:rsid w:val="00633EC3"/>
    <w:rsid w:val="006340B8"/>
    <w:rsid w:val="006357AD"/>
    <w:rsid w:val="006359F2"/>
    <w:rsid w:val="00636136"/>
    <w:rsid w:val="0063632F"/>
    <w:rsid w:val="0063677A"/>
    <w:rsid w:val="00636D81"/>
    <w:rsid w:val="00640BAF"/>
    <w:rsid w:val="00640DC6"/>
    <w:rsid w:val="00640E38"/>
    <w:rsid w:val="0064134E"/>
    <w:rsid w:val="00641CCD"/>
    <w:rsid w:val="00642CE2"/>
    <w:rsid w:val="00643A0B"/>
    <w:rsid w:val="00643DE6"/>
    <w:rsid w:val="00644672"/>
    <w:rsid w:val="00644DCC"/>
    <w:rsid w:val="00645503"/>
    <w:rsid w:val="00646B73"/>
    <w:rsid w:val="0064710C"/>
    <w:rsid w:val="00647CF1"/>
    <w:rsid w:val="00647D98"/>
    <w:rsid w:val="00650838"/>
    <w:rsid w:val="006509D1"/>
    <w:rsid w:val="00650B16"/>
    <w:rsid w:val="00650C56"/>
    <w:rsid w:val="00650E79"/>
    <w:rsid w:val="00651950"/>
    <w:rsid w:val="00651F1B"/>
    <w:rsid w:val="00652858"/>
    <w:rsid w:val="006530C2"/>
    <w:rsid w:val="006536D2"/>
    <w:rsid w:val="00654247"/>
    <w:rsid w:val="00654626"/>
    <w:rsid w:val="006546D5"/>
    <w:rsid w:val="006551F5"/>
    <w:rsid w:val="00655611"/>
    <w:rsid w:val="006557F5"/>
    <w:rsid w:val="006558DC"/>
    <w:rsid w:val="00655CE7"/>
    <w:rsid w:val="006560F3"/>
    <w:rsid w:val="00656B27"/>
    <w:rsid w:val="006570D7"/>
    <w:rsid w:val="0065726D"/>
    <w:rsid w:val="006575B8"/>
    <w:rsid w:val="00657F8B"/>
    <w:rsid w:val="00660401"/>
    <w:rsid w:val="006606EC"/>
    <w:rsid w:val="006618FC"/>
    <w:rsid w:val="00661AD8"/>
    <w:rsid w:val="00661DB4"/>
    <w:rsid w:val="00661EB9"/>
    <w:rsid w:val="0066385A"/>
    <w:rsid w:val="0066391C"/>
    <w:rsid w:val="00663C56"/>
    <w:rsid w:val="00663C7E"/>
    <w:rsid w:val="00663D00"/>
    <w:rsid w:val="00663D68"/>
    <w:rsid w:val="00663E86"/>
    <w:rsid w:val="0066420D"/>
    <w:rsid w:val="006661C1"/>
    <w:rsid w:val="00667179"/>
    <w:rsid w:val="00667429"/>
    <w:rsid w:val="006700A9"/>
    <w:rsid w:val="0067017D"/>
    <w:rsid w:val="006703AE"/>
    <w:rsid w:val="00670AEB"/>
    <w:rsid w:val="00671959"/>
    <w:rsid w:val="00671B7E"/>
    <w:rsid w:val="00671DAF"/>
    <w:rsid w:val="00671E48"/>
    <w:rsid w:val="00672024"/>
    <w:rsid w:val="00672A43"/>
    <w:rsid w:val="00674149"/>
    <w:rsid w:val="006742EE"/>
    <w:rsid w:val="0067434C"/>
    <w:rsid w:val="006743D7"/>
    <w:rsid w:val="00674B7F"/>
    <w:rsid w:val="00674DA5"/>
    <w:rsid w:val="00674F05"/>
    <w:rsid w:val="00675367"/>
    <w:rsid w:val="00675A50"/>
    <w:rsid w:val="00675FB2"/>
    <w:rsid w:val="00676376"/>
    <w:rsid w:val="006767BC"/>
    <w:rsid w:val="006769BB"/>
    <w:rsid w:val="00676E45"/>
    <w:rsid w:val="0067748C"/>
    <w:rsid w:val="00677739"/>
    <w:rsid w:val="00677771"/>
    <w:rsid w:val="006801B2"/>
    <w:rsid w:val="00681799"/>
    <w:rsid w:val="00681824"/>
    <w:rsid w:val="00681A6C"/>
    <w:rsid w:val="00681D75"/>
    <w:rsid w:val="0068242E"/>
    <w:rsid w:val="0068255D"/>
    <w:rsid w:val="006829E9"/>
    <w:rsid w:val="00682A1E"/>
    <w:rsid w:val="00682C51"/>
    <w:rsid w:val="0068305D"/>
    <w:rsid w:val="0068395B"/>
    <w:rsid w:val="00683B11"/>
    <w:rsid w:val="00683F45"/>
    <w:rsid w:val="0068410E"/>
    <w:rsid w:val="006842D2"/>
    <w:rsid w:val="00684A96"/>
    <w:rsid w:val="00684BAF"/>
    <w:rsid w:val="0068562D"/>
    <w:rsid w:val="00685F70"/>
    <w:rsid w:val="00686047"/>
    <w:rsid w:val="006861E2"/>
    <w:rsid w:val="00686F88"/>
    <w:rsid w:val="00687D99"/>
    <w:rsid w:val="00687EE9"/>
    <w:rsid w:val="006906DD"/>
    <w:rsid w:val="00691D19"/>
    <w:rsid w:val="00692FE6"/>
    <w:rsid w:val="006934CB"/>
    <w:rsid w:val="0069422F"/>
    <w:rsid w:val="00694947"/>
    <w:rsid w:val="00694E5D"/>
    <w:rsid w:val="00695213"/>
    <w:rsid w:val="00695369"/>
    <w:rsid w:val="006961DB"/>
    <w:rsid w:val="00696EBB"/>
    <w:rsid w:val="006A1D60"/>
    <w:rsid w:val="006A1F10"/>
    <w:rsid w:val="006A1F7B"/>
    <w:rsid w:val="006A23C8"/>
    <w:rsid w:val="006A3002"/>
    <w:rsid w:val="006A3D05"/>
    <w:rsid w:val="006A4D4E"/>
    <w:rsid w:val="006A521F"/>
    <w:rsid w:val="006A76FA"/>
    <w:rsid w:val="006A7AB6"/>
    <w:rsid w:val="006B01C7"/>
    <w:rsid w:val="006B0701"/>
    <w:rsid w:val="006B07E7"/>
    <w:rsid w:val="006B1213"/>
    <w:rsid w:val="006B1554"/>
    <w:rsid w:val="006B15E7"/>
    <w:rsid w:val="006B23D8"/>
    <w:rsid w:val="006B26A3"/>
    <w:rsid w:val="006B2905"/>
    <w:rsid w:val="006B2D93"/>
    <w:rsid w:val="006B3713"/>
    <w:rsid w:val="006B3DC3"/>
    <w:rsid w:val="006B444F"/>
    <w:rsid w:val="006B499F"/>
    <w:rsid w:val="006B4CF3"/>
    <w:rsid w:val="006B55AC"/>
    <w:rsid w:val="006B5AC9"/>
    <w:rsid w:val="006B5B69"/>
    <w:rsid w:val="006B630A"/>
    <w:rsid w:val="006B6FFD"/>
    <w:rsid w:val="006B790B"/>
    <w:rsid w:val="006B7C24"/>
    <w:rsid w:val="006C0218"/>
    <w:rsid w:val="006C13C6"/>
    <w:rsid w:val="006C1577"/>
    <w:rsid w:val="006C1A37"/>
    <w:rsid w:val="006C1DFA"/>
    <w:rsid w:val="006C2752"/>
    <w:rsid w:val="006C2832"/>
    <w:rsid w:val="006C2F98"/>
    <w:rsid w:val="006C3AC3"/>
    <w:rsid w:val="006C42CF"/>
    <w:rsid w:val="006C548B"/>
    <w:rsid w:val="006C5ACD"/>
    <w:rsid w:val="006C5FC9"/>
    <w:rsid w:val="006C605D"/>
    <w:rsid w:val="006C6300"/>
    <w:rsid w:val="006C702F"/>
    <w:rsid w:val="006C79CA"/>
    <w:rsid w:val="006D0C49"/>
    <w:rsid w:val="006D1228"/>
    <w:rsid w:val="006D123A"/>
    <w:rsid w:val="006D1494"/>
    <w:rsid w:val="006D14FB"/>
    <w:rsid w:val="006D1544"/>
    <w:rsid w:val="006D36B7"/>
    <w:rsid w:val="006D3A45"/>
    <w:rsid w:val="006D3A49"/>
    <w:rsid w:val="006D4029"/>
    <w:rsid w:val="006D4124"/>
    <w:rsid w:val="006D41AA"/>
    <w:rsid w:val="006D4BC1"/>
    <w:rsid w:val="006D4C0A"/>
    <w:rsid w:val="006D684A"/>
    <w:rsid w:val="006D686D"/>
    <w:rsid w:val="006D692F"/>
    <w:rsid w:val="006E03A0"/>
    <w:rsid w:val="006E13AE"/>
    <w:rsid w:val="006E16F1"/>
    <w:rsid w:val="006E1A3E"/>
    <w:rsid w:val="006E1C30"/>
    <w:rsid w:val="006E1E5C"/>
    <w:rsid w:val="006E206F"/>
    <w:rsid w:val="006E2AD9"/>
    <w:rsid w:val="006E30CB"/>
    <w:rsid w:val="006E31CA"/>
    <w:rsid w:val="006E3554"/>
    <w:rsid w:val="006E359B"/>
    <w:rsid w:val="006E37C9"/>
    <w:rsid w:val="006E3B2A"/>
    <w:rsid w:val="006E3DEB"/>
    <w:rsid w:val="006E4F06"/>
    <w:rsid w:val="006E72F6"/>
    <w:rsid w:val="006E75BF"/>
    <w:rsid w:val="006E7B1D"/>
    <w:rsid w:val="006E7BB8"/>
    <w:rsid w:val="006F09B5"/>
    <w:rsid w:val="006F0D85"/>
    <w:rsid w:val="006F10D3"/>
    <w:rsid w:val="006F1349"/>
    <w:rsid w:val="006F1F37"/>
    <w:rsid w:val="006F201F"/>
    <w:rsid w:val="006F2834"/>
    <w:rsid w:val="006F2BE6"/>
    <w:rsid w:val="006F2C03"/>
    <w:rsid w:val="006F321A"/>
    <w:rsid w:val="006F4408"/>
    <w:rsid w:val="006F4807"/>
    <w:rsid w:val="006F4879"/>
    <w:rsid w:val="006F48B3"/>
    <w:rsid w:val="006F48B8"/>
    <w:rsid w:val="006F4ACE"/>
    <w:rsid w:val="006F553C"/>
    <w:rsid w:val="006F5924"/>
    <w:rsid w:val="006F6258"/>
    <w:rsid w:val="006F65E1"/>
    <w:rsid w:val="006F6BF6"/>
    <w:rsid w:val="006F6EAA"/>
    <w:rsid w:val="006F7432"/>
    <w:rsid w:val="006F7787"/>
    <w:rsid w:val="006F7BF9"/>
    <w:rsid w:val="006F7F8E"/>
    <w:rsid w:val="00701552"/>
    <w:rsid w:val="00701962"/>
    <w:rsid w:val="00701E0D"/>
    <w:rsid w:val="00702891"/>
    <w:rsid w:val="007028D8"/>
    <w:rsid w:val="0070334E"/>
    <w:rsid w:val="0070397E"/>
    <w:rsid w:val="00703983"/>
    <w:rsid w:val="007041BC"/>
    <w:rsid w:val="00704C4E"/>
    <w:rsid w:val="00704E8A"/>
    <w:rsid w:val="00704FDE"/>
    <w:rsid w:val="0070506F"/>
    <w:rsid w:val="00705448"/>
    <w:rsid w:val="00705921"/>
    <w:rsid w:val="007059CC"/>
    <w:rsid w:val="00706B0C"/>
    <w:rsid w:val="0070749E"/>
    <w:rsid w:val="0070753A"/>
    <w:rsid w:val="007077E7"/>
    <w:rsid w:val="00707E81"/>
    <w:rsid w:val="00707E88"/>
    <w:rsid w:val="00710554"/>
    <w:rsid w:val="00710FDD"/>
    <w:rsid w:val="00711F24"/>
    <w:rsid w:val="00711F56"/>
    <w:rsid w:val="007122EC"/>
    <w:rsid w:val="007124DC"/>
    <w:rsid w:val="007128A8"/>
    <w:rsid w:val="00712CA5"/>
    <w:rsid w:val="00712CE8"/>
    <w:rsid w:val="0071343A"/>
    <w:rsid w:val="0071355E"/>
    <w:rsid w:val="0071437E"/>
    <w:rsid w:val="00714504"/>
    <w:rsid w:val="0071464F"/>
    <w:rsid w:val="007147E8"/>
    <w:rsid w:val="0071494D"/>
    <w:rsid w:val="00714BE6"/>
    <w:rsid w:val="00715093"/>
    <w:rsid w:val="00715453"/>
    <w:rsid w:val="007166AB"/>
    <w:rsid w:val="007170A0"/>
    <w:rsid w:val="00717349"/>
    <w:rsid w:val="0071742A"/>
    <w:rsid w:val="00717546"/>
    <w:rsid w:val="0071797F"/>
    <w:rsid w:val="0072018E"/>
    <w:rsid w:val="007201B8"/>
    <w:rsid w:val="00721282"/>
    <w:rsid w:val="00721443"/>
    <w:rsid w:val="007214B0"/>
    <w:rsid w:val="007216C5"/>
    <w:rsid w:val="00721842"/>
    <w:rsid w:val="00722A3D"/>
    <w:rsid w:val="00723CF7"/>
    <w:rsid w:val="00723F54"/>
    <w:rsid w:val="00724FD7"/>
    <w:rsid w:val="007251A2"/>
    <w:rsid w:val="007253D1"/>
    <w:rsid w:val="007267D0"/>
    <w:rsid w:val="00726861"/>
    <w:rsid w:val="00727723"/>
    <w:rsid w:val="00727CD1"/>
    <w:rsid w:val="007302AB"/>
    <w:rsid w:val="00730C73"/>
    <w:rsid w:val="00730CCE"/>
    <w:rsid w:val="00730E8F"/>
    <w:rsid w:val="00731608"/>
    <w:rsid w:val="007317EF"/>
    <w:rsid w:val="0073182A"/>
    <w:rsid w:val="00731D48"/>
    <w:rsid w:val="0073264A"/>
    <w:rsid w:val="00732D39"/>
    <w:rsid w:val="0073315B"/>
    <w:rsid w:val="0073342F"/>
    <w:rsid w:val="00733D9F"/>
    <w:rsid w:val="007343BE"/>
    <w:rsid w:val="00734484"/>
    <w:rsid w:val="007346AF"/>
    <w:rsid w:val="007347BE"/>
    <w:rsid w:val="007361F0"/>
    <w:rsid w:val="00736459"/>
    <w:rsid w:val="0073787D"/>
    <w:rsid w:val="00737908"/>
    <w:rsid w:val="0074090D"/>
    <w:rsid w:val="00740B27"/>
    <w:rsid w:val="00740F48"/>
    <w:rsid w:val="0074141B"/>
    <w:rsid w:val="00742076"/>
    <w:rsid w:val="0074237A"/>
    <w:rsid w:val="00743094"/>
    <w:rsid w:val="007437C2"/>
    <w:rsid w:val="00743F8F"/>
    <w:rsid w:val="00743FE3"/>
    <w:rsid w:val="00744090"/>
    <w:rsid w:val="007443AD"/>
    <w:rsid w:val="00744791"/>
    <w:rsid w:val="00745136"/>
    <w:rsid w:val="007459DE"/>
    <w:rsid w:val="00745A15"/>
    <w:rsid w:val="00745DD2"/>
    <w:rsid w:val="00746047"/>
    <w:rsid w:val="007465BF"/>
    <w:rsid w:val="00746C24"/>
    <w:rsid w:val="00746ED0"/>
    <w:rsid w:val="00747AA2"/>
    <w:rsid w:val="00750C92"/>
    <w:rsid w:val="00750D6C"/>
    <w:rsid w:val="00750FFD"/>
    <w:rsid w:val="00751180"/>
    <w:rsid w:val="0075129B"/>
    <w:rsid w:val="00751354"/>
    <w:rsid w:val="00753526"/>
    <w:rsid w:val="00753FE9"/>
    <w:rsid w:val="00754C74"/>
    <w:rsid w:val="00755255"/>
    <w:rsid w:val="0075544B"/>
    <w:rsid w:val="00755485"/>
    <w:rsid w:val="007554EE"/>
    <w:rsid w:val="00755F43"/>
    <w:rsid w:val="00756632"/>
    <w:rsid w:val="00756909"/>
    <w:rsid w:val="00757D6A"/>
    <w:rsid w:val="00760093"/>
    <w:rsid w:val="0076065A"/>
    <w:rsid w:val="007607F0"/>
    <w:rsid w:val="00760D10"/>
    <w:rsid w:val="00761045"/>
    <w:rsid w:val="007614F3"/>
    <w:rsid w:val="0076150F"/>
    <w:rsid w:val="00761729"/>
    <w:rsid w:val="00761C2A"/>
    <w:rsid w:val="00761C83"/>
    <w:rsid w:val="00762108"/>
    <w:rsid w:val="00763DDA"/>
    <w:rsid w:val="00764FBA"/>
    <w:rsid w:val="007655A3"/>
    <w:rsid w:val="00765FBF"/>
    <w:rsid w:val="00766010"/>
    <w:rsid w:val="00766371"/>
    <w:rsid w:val="0076673B"/>
    <w:rsid w:val="00766AF8"/>
    <w:rsid w:val="00767D33"/>
    <w:rsid w:val="00767ECB"/>
    <w:rsid w:val="00767F9B"/>
    <w:rsid w:val="0077007A"/>
    <w:rsid w:val="007703A3"/>
    <w:rsid w:val="007705F2"/>
    <w:rsid w:val="00770963"/>
    <w:rsid w:val="007709C0"/>
    <w:rsid w:val="00770E38"/>
    <w:rsid w:val="00771A4D"/>
    <w:rsid w:val="007724AD"/>
    <w:rsid w:val="0077401F"/>
    <w:rsid w:val="00774CF0"/>
    <w:rsid w:val="007751DE"/>
    <w:rsid w:val="00775623"/>
    <w:rsid w:val="007756D5"/>
    <w:rsid w:val="00775BA9"/>
    <w:rsid w:val="00775CF6"/>
    <w:rsid w:val="00775DE9"/>
    <w:rsid w:val="00776502"/>
    <w:rsid w:val="00776AF1"/>
    <w:rsid w:val="00776B5E"/>
    <w:rsid w:val="00777837"/>
    <w:rsid w:val="0077784A"/>
    <w:rsid w:val="0077788D"/>
    <w:rsid w:val="007812D5"/>
    <w:rsid w:val="0078133D"/>
    <w:rsid w:val="007817C4"/>
    <w:rsid w:val="00781CEF"/>
    <w:rsid w:val="00781E34"/>
    <w:rsid w:val="007825CB"/>
    <w:rsid w:val="00782708"/>
    <w:rsid w:val="00782A6E"/>
    <w:rsid w:val="007830F3"/>
    <w:rsid w:val="00783C82"/>
    <w:rsid w:val="007842F8"/>
    <w:rsid w:val="00784A3C"/>
    <w:rsid w:val="00784BA3"/>
    <w:rsid w:val="00785785"/>
    <w:rsid w:val="00785F84"/>
    <w:rsid w:val="00786A74"/>
    <w:rsid w:val="00787B5A"/>
    <w:rsid w:val="00787E64"/>
    <w:rsid w:val="00790D5F"/>
    <w:rsid w:val="007913D1"/>
    <w:rsid w:val="00791BE3"/>
    <w:rsid w:val="00791C3B"/>
    <w:rsid w:val="00791DED"/>
    <w:rsid w:val="007921A1"/>
    <w:rsid w:val="0079275F"/>
    <w:rsid w:val="00792969"/>
    <w:rsid w:val="00792A64"/>
    <w:rsid w:val="00792AA8"/>
    <w:rsid w:val="00793AAE"/>
    <w:rsid w:val="0079446D"/>
    <w:rsid w:val="00794925"/>
    <w:rsid w:val="00794972"/>
    <w:rsid w:val="00794CEF"/>
    <w:rsid w:val="007950F7"/>
    <w:rsid w:val="00795A52"/>
    <w:rsid w:val="00795B1E"/>
    <w:rsid w:val="00795CD9"/>
    <w:rsid w:val="00795E1F"/>
    <w:rsid w:val="0079638B"/>
    <w:rsid w:val="00796EE7"/>
    <w:rsid w:val="00797022"/>
    <w:rsid w:val="007970C9"/>
    <w:rsid w:val="00797560"/>
    <w:rsid w:val="0079778D"/>
    <w:rsid w:val="00797A1A"/>
    <w:rsid w:val="00797E39"/>
    <w:rsid w:val="007A1473"/>
    <w:rsid w:val="007A167E"/>
    <w:rsid w:val="007A2157"/>
    <w:rsid w:val="007A2F31"/>
    <w:rsid w:val="007A33BF"/>
    <w:rsid w:val="007A3ABE"/>
    <w:rsid w:val="007A3BE1"/>
    <w:rsid w:val="007A421B"/>
    <w:rsid w:val="007A4477"/>
    <w:rsid w:val="007A4CB0"/>
    <w:rsid w:val="007A50AD"/>
    <w:rsid w:val="007A5B52"/>
    <w:rsid w:val="007A60F8"/>
    <w:rsid w:val="007A62C3"/>
    <w:rsid w:val="007A6527"/>
    <w:rsid w:val="007A6A17"/>
    <w:rsid w:val="007A6C31"/>
    <w:rsid w:val="007A731B"/>
    <w:rsid w:val="007A7479"/>
    <w:rsid w:val="007A783D"/>
    <w:rsid w:val="007B028B"/>
    <w:rsid w:val="007B067F"/>
    <w:rsid w:val="007B1D99"/>
    <w:rsid w:val="007B1E16"/>
    <w:rsid w:val="007B28F5"/>
    <w:rsid w:val="007B2F5B"/>
    <w:rsid w:val="007B341B"/>
    <w:rsid w:val="007B3548"/>
    <w:rsid w:val="007B4102"/>
    <w:rsid w:val="007B41D1"/>
    <w:rsid w:val="007B4BF8"/>
    <w:rsid w:val="007B4C7B"/>
    <w:rsid w:val="007B4D78"/>
    <w:rsid w:val="007B544F"/>
    <w:rsid w:val="007B5C3D"/>
    <w:rsid w:val="007B649F"/>
    <w:rsid w:val="007B651A"/>
    <w:rsid w:val="007B656B"/>
    <w:rsid w:val="007B6648"/>
    <w:rsid w:val="007B6669"/>
    <w:rsid w:val="007B7759"/>
    <w:rsid w:val="007B7769"/>
    <w:rsid w:val="007C172B"/>
    <w:rsid w:val="007C28EC"/>
    <w:rsid w:val="007C311B"/>
    <w:rsid w:val="007C3DA0"/>
    <w:rsid w:val="007C4436"/>
    <w:rsid w:val="007C462E"/>
    <w:rsid w:val="007C4A2E"/>
    <w:rsid w:val="007C4FA0"/>
    <w:rsid w:val="007C506B"/>
    <w:rsid w:val="007C5266"/>
    <w:rsid w:val="007C56B7"/>
    <w:rsid w:val="007C597E"/>
    <w:rsid w:val="007C5FA4"/>
    <w:rsid w:val="007C5FC3"/>
    <w:rsid w:val="007C6AAA"/>
    <w:rsid w:val="007C6D80"/>
    <w:rsid w:val="007C718F"/>
    <w:rsid w:val="007C7552"/>
    <w:rsid w:val="007C761B"/>
    <w:rsid w:val="007C7850"/>
    <w:rsid w:val="007C7BEB"/>
    <w:rsid w:val="007D0986"/>
    <w:rsid w:val="007D0D9C"/>
    <w:rsid w:val="007D2FC4"/>
    <w:rsid w:val="007D31D4"/>
    <w:rsid w:val="007D3540"/>
    <w:rsid w:val="007D3AB5"/>
    <w:rsid w:val="007D3B32"/>
    <w:rsid w:val="007D4330"/>
    <w:rsid w:val="007D4722"/>
    <w:rsid w:val="007D525B"/>
    <w:rsid w:val="007D54F6"/>
    <w:rsid w:val="007D59A7"/>
    <w:rsid w:val="007D5CA1"/>
    <w:rsid w:val="007D5F7A"/>
    <w:rsid w:val="007D647A"/>
    <w:rsid w:val="007D6954"/>
    <w:rsid w:val="007D698B"/>
    <w:rsid w:val="007D7B6C"/>
    <w:rsid w:val="007D7BB6"/>
    <w:rsid w:val="007E00CB"/>
    <w:rsid w:val="007E0735"/>
    <w:rsid w:val="007E0CB5"/>
    <w:rsid w:val="007E1755"/>
    <w:rsid w:val="007E2402"/>
    <w:rsid w:val="007E2591"/>
    <w:rsid w:val="007E2C68"/>
    <w:rsid w:val="007E33AB"/>
    <w:rsid w:val="007E3E14"/>
    <w:rsid w:val="007E419D"/>
    <w:rsid w:val="007E41D3"/>
    <w:rsid w:val="007E5D35"/>
    <w:rsid w:val="007E5F88"/>
    <w:rsid w:val="007E6173"/>
    <w:rsid w:val="007E664B"/>
    <w:rsid w:val="007E66BB"/>
    <w:rsid w:val="007E69AE"/>
    <w:rsid w:val="007E744E"/>
    <w:rsid w:val="007F07B2"/>
    <w:rsid w:val="007F0F27"/>
    <w:rsid w:val="007F10A9"/>
    <w:rsid w:val="007F16DC"/>
    <w:rsid w:val="007F1942"/>
    <w:rsid w:val="007F1C2A"/>
    <w:rsid w:val="007F1E6C"/>
    <w:rsid w:val="007F2E9F"/>
    <w:rsid w:val="007F35FD"/>
    <w:rsid w:val="007F39B1"/>
    <w:rsid w:val="007F3EBA"/>
    <w:rsid w:val="007F4D5E"/>
    <w:rsid w:val="007F52A6"/>
    <w:rsid w:val="007F5460"/>
    <w:rsid w:val="007F5789"/>
    <w:rsid w:val="007F5CAE"/>
    <w:rsid w:val="007F6559"/>
    <w:rsid w:val="007F68DA"/>
    <w:rsid w:val="007F6B63"/>
    <w:rsid w:val="007F6BBB"/>
    <w:rsid w:val="007F6DE9"/>
    <w:rsid w:val="007F72AB"/>
    <w:rsid w:val="007F7885"/>
    <w:rsid w:val="007F7986"/>
    <w:rsid w:val="007F7FEB"/>
    <w:rsid w:val="008000CA"/>
    <w:rsid w:val="008004E7"/>
    <w:rsid w:val="0080065E"/>
    <w:rsid w:val="00800A06"/>
    <w:rsid w:val="00800A13"/>
    <w:rsid w:val="00801508"/>
    <w:rsid w:val="00801C50"/>
    <w:rsid w:val="00801D19"/>
    <w:rsid w:val="00801F0F"/>
    <w:rsid w:val="00802459"/>
    <w:rsid w:val="0080276C"/>
    <w:rsid w:val="00803D25"/>
    <w:rsid w:val="00804273"/>
    <w:rsid w:val="008043EE"/>
    <w:rsid w:val="008046D3"/>
    <w:rsid w:val="00804A0B"/>
    <w:rsid w:val="00804AB6"/>
    <w:rsid w:val="00804B55"/>
    <w:rsid w:val="0080532F"/>
    <w:rsid w:val="008053F1"/>
    <w:rsid w:val="0080573C"/>
    <w:rsid w:val="008060C8"/>
    <w:rsid w:val="00806353"/>
    <w:rsid w:val="00806777"/>
    <w:rsid w:val="00806BB6"/>
    <w:rsid w:val="00807052"/>
    <w:rsid w:val="00807804"/>
    <w:rsid w:val="00807D08"/>
    <w:rsid w:val="00810430"/>
    <w:rsid w:val="0081094D"/>
    <w:rsid w:val="00810A9B"/>
    <w:rsid w:val="00810F5C"/>
    <w:rsid w:val="008116EB"/>
    <w:rsid w:val="00811D15"/>
    <w:rsid w:val="00812723"/>
    <w:rsid w:val="0081367C"/>
    <w:rsid w:val="00814380"/>
    <w:rsid w:val="00814751"/>
    <w:rsid w:val="008147BB"/>
    <w:rsid w:val="00814A6A"/>
    <w:rsid w:val="00814ED4"/>
    <w:rsid w:val="00815021"/>
    <w:rsid w:val="008152E3"/>
    <w:rsid w:val="0081557C"/>
    <w:rsid w:val="008159B1"/>
    <w:rsid w:val="00816405"/>
    <w:rsid w:val="008164F8"/>
    <w:rsid w:val="0081664B"/>
    <w:rsid w:val="00817D96"/>
    <w:rsid w:val="00820282"/>
    <w:rsid w:val="00820651"/>
    <w:rsid w:val="00820EE7"/>
    <w:rsid w:val="0082117F"/>
    <w:rsid w:val="00821592"/>
    <w:rsid w:val="008217BD"/>
    <w:rsid w:val="00821D94"/>
    <w:rsid w:val="0082269D"/>
    <w:rsid w:val="00822CBF"/>
    <w:rsid w:val="0082357F"/>
    <w:rsid w:val="00823729"/>
    <w:rsid w:val="00824149"/>
    <w:rsid w:val="0082427A"/>
    <w:rsid w:val="00824C35"/>
    <w:rsid w:val="008255D7"/>
    <w:rsid w:val="00825FAD"/>
    <w:rsid w:val="00825FD4"/>
    <w:rsid w:val="0082619C"/>
    <w:rsid w:val="0082676E"/>
    <w:rsid w:val="00826CCB"/>
    <w:rsid w:val="008271F4"/>
    <w:rsid w:val="008302E9"/>
    <w:rsid w:val="00831A0D"/>
    <w:rsid w:val="00832E81"/>
    <w:rsid w:val="00832EDA"/>
    <w:rsid w:val="00833F60"/>
    <w:rsid w:val="00834154"/>
    <w:rsid w:val="00834DAD"/>
    <w:rsid w:val="0083625D"/>
    <w:rsid w:val="00836AD2"/>
    <w:rsid w:val="00836E34"/>
    <w:rsid w:val="008375CC"/>
    <w:rsid w:val="008375FD"/>
    <w:rsid w:val="00837610"/>
    <w:rsid w:val="0084025C"/>
    <w:rsid w:val="0084073E"/>
    <w:rsid w:val="00840CA5"/>
    <w:rsid w:val="00840D86"/>
    <w:rsid w:val="008415CC"/>
    <w:rsid w:val="00841864"/>
    <w:rsid w:val="0084260A"/>
    <w:rsid w:val="00842641"/>
    <w:rsid w:val="00842793"/>
    <w:rsid w:val="00842862"/>
    <w:rsid w:val="00842A5B"/>
    <w:rsid w:val="00842BCD"/>
    <w:rsid w:val="00842DC4"/>
    <w:rsid w:val="008432AF"/>
    <w:rsid w:val="008436E7"/>
    <w:rsid w:val="00843B1C"/>
    <w:rsid w:val="00843F4A"/>
    <w:rsid w:val="00843FBD"/>
    <w:rsid w:val="0084410A"/>
    <w:rsid w:val="00844897"/>
    <w:rsid w:val="00844932"/>
    <w:rsid w:val="00844A64"/>
    <w:rsid w:val="00844C6B"/>
    <w:rsid w:val="00845199"/>
    <w:rsid w:val="008452E2"/>
    <w:rsid w:val="008455A2"/>
    <w:rsid w:val="00845A29"/>
    <w:rsid w:val="008464AC"/>
    <w:rsid w:val="00846B9B"/>
    <w:rsid w:val="00846C26"/>
    <w:rsid w:val="008470F5"/>
    <w:rsid w:val="00847DFE"/>
    <w:rsid w:val="008504DA"/>
    <w:rsid w:val="00851111"/>
    <w:rsid w:val="0085123F"/>
    <w:rsid w:val="008518C5"/>
    <w:rsid w:val="008524CC"/>
    <w:rsid w:val="008525CF"/>
    <w:rsid w:val="00853861"/>
    <w:rsid w:val="00853AC1"/>
    <w:rsid w:val="00853BDB"/>
    <w:rsid w:val="00853D66"/>
    <w:rsid w:val="008541D5"/>
    <w:rsid w:val="008542CC"/>
    <w:rsid w:val="0085462B"/>
    <w:rsid w:val="00854994"/>
    <w:rsid w:val="00855353"/>
    <w:rsid w:val="00855E06"/>
    <w:rsid w:val="0085610E"/>
    <w:rsid w:val="00856532"/>
    <w:rsid w:val="008565DD"/>
    <w:rsid w:val="00856A68"/>
    <w:rsid w:val="0085744C"/>
    <w:rsid w:val="0085787C"/>
    <w:rsid w:val="00860267"/>
    <w:rsid w:val="00860973"/>
    <w:rsid w:val="00860B77"/>
    <w:rsid w:val="00861311"/>
    <w:rsid w:val="008616BC"/>
    <w:rsid w:val="0086183E"/>
    <w:rsid w:val="00862187"/>
    <w:rsid w:val="00862BC3"/>
    <w:rsid w:val="00862D30"/>
    <w:rsid w:val="00863BCC"/>
    <w:rsid w:val="008644D0"/>
    <w:rsid w:val="008648B5"/>
    <w:rsid w:val="00864C8A"/>
    <w:rsid w:val="008655D0"/>
    <w:rsid w:val="00865A78"/>
    <w:rsid w:val="00865D5F"/>
    <w:rsid w:val="00866216"/>
    <w:rsid w:val="00866394"/>
    <w:rsid w:val="0086641A"/>
    <w:rsid w:val="00866C75"/>
    <w:rsid w:val="00866FE0"/>
    <w:rsid w:val="008670C1"/>
    <w:rsid w:val="00867A9A"/>
    <w:rsid w:val="00867F68"/>
    <w:rsid w:val="00871213"/>
    <w:rsid w:val="00871C7D"/>
    <w:rsid w:val="00872038"/>
    <w:rsid w:val="00872D5A"/>
    <w:rsid w:val="008731DE"/>
    <w:rsid w:val="008737D3"/>
    <w:rsid w:val="00873906"/>
    <w:rsid w:val="00873E0E"/>
    <w:rsid w:val="00874864"/>
    <w:rsid w:val="00874AE0"/>
    <w:rsid w:val="00875280"/>
    <w:rsid w:val="008755B5"/>
    <w:rsid w:val="00875A85"/>
    <w:rsid w:val="00877172"/>
    <w:rsid w:val="00877CBF"/>
    <w:rsid w:val="00877F3F"/>
    <w:rsid w:val="00880F28"/>
    <w:rsid w:val="0088103A"/>
    <w:rsid w:val="00882574"/>
    <w:rsid w:val="00882D53"/>
    <w:rsid w:val="00883138"/>
    <w:rsid w:val="00883437"/>
    <w:rsid w:val="008834C5"/>
    <w:rsid w:val="00883537"/>
    <w:rsid w:val="00883C24"/>
    <w:rsid w:val="00883DB5"/>
    <w:rsid w:val="0088470D"/>
    <w:rsid w:val="00884CF0"/>
    <w:rsid w:val="008853F8"/>
    <w:rsid w:val="00885F68"/>
    <w:rsid w:val="008874EF"/>
    <w:rsid w:val="0089114C"/>
    <w:rsid w:val="0089116A"/>
    <w:rsid w:val="008917BF"/>
    <w:rsid w:val="00891C52"/>
    <w:rsid w:val="00892299"/>
    <w:rsid w:val="00892AF4"/>
    <w:rsid w:val="008944A8"/>
    <w:rsid w:val="00894847"/>
    <w:rsid w:val="00894CD1"/>
    <w:rsid w:val="008953BD"/>
    <w:rsid w:val="00895777"/>
    <w:rsid w:val="00895E0D"/>
    <w:rsid w:val="00896B76"/>
    <w:rsid w:val="008970A4"/>
    <w:rsid w:val="008978D7"/>
    <w:rsid w:val="008A0DFF"/>
    <w:rsid w:val="008A14A7"/>
    <w:rsid w:val="008A199E"/>
    <w:rsid w:val="008A1A34"/>
    <w:rsid w:val="008A1FC0"/>
    <w:rsid w:val="008A308F"/>
    <w:rsid w:val="008A344D"/>
    <w:rsid w:val="008A3913"/>
    <w:rsid w:val="008A3C66"/>
    <w:rsid w:val="008A43E8"/>
    <w:rsid w:val="008A4628"/>
    <w:rsid w:val="008A5318"/>
    <w:rsid w:val="008A56DD"/>
    <w:rsid w:val="008A5E45"/>
    <w:rsid w:val="008A60EE"/>
    <w:rsid w:val="008A6155"/>
    <w:rsid w:val="008A631B"/>
    <w:rsid w:val="008A66B3"/>
    <w:rsid w:val="008A66F0"/>
    <w:rsid w:val="008A72DF"/>
    <w:rsid w:val="008A7827"/>
    <w:rsid w:val="008A7915"/>
    <w:rsid w:val="008A79C2"/>
    <w:rsid w:val="008A7B15"/>
    <w:rsid w:val="008B077B"/>
    <w:rsid w:val="008B0D26"/>
    <w:rsid w:val="008B13DB"/>
    <w:rsid w:val="008B1662"/>
    <w:rsid w:val="008B1849"/>
    <w:rsid w:val="008B1AED"/>
    <w:rsid w:val="008B1B2B"/>
    <w:rsid w:val="008B1F7C"/>
    <w:rsid w:val="008B1F83"/>
    <w:rsid w:val="008B287B"/>
    <w:rsid w:val="008B2C74"/>
    <w:rsid w:val="008B47CB"/>
    <w:rsid w:val="008B4D5F"/>
    <w:rsid w:val="008B5CFA"/>
    <w:rsid w:val="008B5D66"/>
    <w:rsid w:val="008B6045"/>
    <w:rsid w:val="008B6220"/>
    <w:rsid w:val="008B686C"/>
    <w:rsid w:val="008B6963"/>
    <w:rsid w:val="008B6A6C"/>
    <w:rsid w:val="008B6F2A"/>
    <w:rsid w:val="008B72AD"/>
    <w:rsid w:val="008C01DE"/>
    <w:rsid w:val="008C01F0"/>
    <w:rsid w:val="008C08A6"/>
    <w:rsid w:val="008C0959"/>
    <w:rsid w:val="008C0D2D"/>
    <w:rsid w:val="008C15BB"/>
    <w:rsid w:val="008C1A50"/>
    <w:rsid w:val="008C1E7E"/>
    <w:rsid w:val="008C28E5"/>
    <w:rsid w:val="008C39C7"/>
    <w:rsid w:val="008C3BC6"/>
    <w:rsid w:val="008C3E86"/>
    <w:rsid w:val="008C4AB1"/>
    <w:rsid w:val="008C4E5F"/>
    <w:rsid w:val="008C5CCE"/>
    <w:rsid w:val="008C6679"/>
    <w:rsid w:val="008C678C"/>
    <w:rsid w:val="008C6886"/>
    <w:rsid w:val="008C6C82"/>
    <w:rsid w:val="008C6E23"/>
    <w:rsid w:val="008C73EE"/>
    <w:rsid w:val="008C7957"/>
    <w:rsid w:val="008C7AB8"/>
    <w:rsid w:val="008C7B57"/>
    <w:rsid w:val="008D0266"/>
    <w:rsid w:val="008D04E3"/>
    <w:rsid w:val="008D1111"/>
    <w:rsid w:val="008D15F7"/>
    <w:rsid w:val="008D17A6"/>
    <w:rsid w:val="008D1FDE"/>
    <w:rsid w:val="008D2264"/>
    <w:rsid w:val="008D28BC"/>
    <w:rsid w:val="008D351D"/>
    <w:rsid w:val="008D3728"/>
    <w:rsid w:val="008D430C"/>
    <w:rsid w:val="008D43FB"/>
    <w:rsid w:val="008D5192"/>
    <w:rsid w:val="008D53A9"/>
    <w:rsid w:val="008D5B51"/>
    <w:rsid w:val="008D630D"/>
    <w:rsid w:val="008D67B4"/>
    <w:rsid w:val="008D698D"/>
    <w:rsid w:val="008D70D2"/>
    <w:rsid w:val="008D74F2"/>
    <w:rsid w:val="008D793D"/>
    <w:rsid w:val="008E1163"/>
    <w:rsid w:val="008E1474"/>
    <w:rsid w:val="008E1C45"/>
    <w:rsid w:val="008E242E"/>
    <w:rsid w:val="008E335D"/>
    <w:rsid w:val="008E3735"/>
    <w:rsid w:val="008E3949"/>
    <w:rsid w:val="008E39C7"/>
    <w:rsid w:val="008E3EFD"/>
    <w:rsid w:val="008E44AC"/>
    <w:rsid w:val="008E56F9"/>
    <w:rsid w:val="008E571F"/>
    <w:rsid w:val="008E61C7"/>
    <w:rsid w:val="008E647B"/>
    <w:rsid w:val="008E69DA"/>
    <w:rsid w:val="008E7329"/>
    <w:rsid w:val="008E7B61"/>
    <w:rsid w:val="008F03D0"/>
    <w:rsid w:val="008F0835"/>
    <w:rsid w:val="008F0EAC"/>
    <w:rsid w:val="008F0EBE"/>
    <w:rsid w:val="008F12B3"/>
    <w:rsid w:val="008F1A6D"/>
    <w:rsid w:val="008F23CE"/>
    <w:rsid w:val="008F30DD"/>
    <w:rsid w:val="008F3AE2"/>
    <w:rsid w:val="008F3EAE"/>
    <w:rsid w:val="008F3F35"/>
    <w:rsid w:val="008F4910"/>
    <w:rsid w:val="008F5137"/>
    <w:rsid w:val="008F577F"/>
    <w:rsid w:val="008F6221"/>
    <w:rsid w:val="008F622A"/>
    <w:rsid w:val="008F66BF"/>
    <w:rsid w:val="008F6C2C"/>
    <w:rsid w:val="008F722B"/>
    <w:rsid w:val="008F72B4"/>
    <w:rsid w:val="008F73FC"/>
    <w:rsid w:val="008F744A"/>
    <w:rsid w:val="008F752A"/>
    <w:rsid w:val="008F7648"/>
    <w:rsid w:val="008F777B"/>
    <w:rsid w:val="008F7CCE"/>
    <w:rsid w:val="0090138A"/>
    <w:rsid w:val="00901D53"/>
    <w:rsid w:val="0090202B"/>
    <w:rsid w:val="00902674"/>
    <w:rsid w:val="009028B0"/>
    <w:rsid w:val="00902BD6"/>
    <w:rsid w:val="009035A1"/>
    <w:rsid w:val="009036DA"/>
    <w:rsid w:val="00903B4E"/>
    <w:rsid w:val="00903E4A"/>
    <w:rsid w:val="009046CB"/>
    <w:rsid w:val="00904F04"/>
    <w:rsid w:val="0090524B"/>
    <w:rsid w:val="00905C1A"/>
    <w:rsid w:val="009064E2"/>
    <w:rsid w:val="0090679F"/>
    <w:rsid w:val="00906EEB"/>
    <w:rsid w:val="009070E8"/>
    <w:rsid w:val="00907785"/>
    <w:rsid w:val="009077C7"/>
    <w:rsid w:val="00907959"/>
    <w:rsid w:val="00910254"/>
    <w:rsid w:val="009103AB"/>
    <w:rsid w:val="009110D6"/>
    <w:rsid w:val="00911161"/>
    <w:rsid w:val="00911637"/>
    <w:rsid w:val="00911A98"/>
    <w:rsid w:val="00911C0C"/>
    <w:rsid w:val="009120B9"/>
    <w:rsid w:val="0091220A"/>
    <w:rsid w:val="0091220E"/>
    <w:rsid w:val="00912322"/>
    <w:rsid w:val="00912A0E"/>
    <w:rsid w:val="00912A2D"/>
    <w:rsid w:val="00912C48"/>
    <w:rsid w:val="00912F1B"/>
    <w:rsid w:val="00913057"/>
    <w:rsid w:val="009130F1"/>
    <w:rsid w:val="0091331A"/>
    <w:rsid w:val="00913DED"/>
    <w:rsid w:val="00914411"/>
    <w:rsid w:val="0091465A"/>
    <w:rsid w:val="00914DE4"/>
    <w:rsid w:val="009156D0"/>
    <w:rsid w:val="00915C88"/>
    <w:rsid w:val="009162FA"/>
    <w:rsid w:val="0091676F"/>
    <w:rsid w:val="009167FD"/>
    <w:rsid w:val="0091706E"/>
    <w:rsid w:val="00917355"/>
    <w:rsid w:val="00917362"/>
    <w:rsid w:val="00917B0F"/>
    <w:rsid w:val="00917B62"/>
    <w:rsid w:val="00920216"/>
    <w:rsid w:val="00920463"/>
    <w:rsid w:val="0092052C"/>
    <w:rsid w:val="009211A5"/>
    <w:rsid w:val="00921261"/>
    <w:rsid w:val="009214EF"/>
    <w:rsid w:val="0092165D"/>
    <w:rsid w:val="00922273"/>
    <w:rsid w:val="009225DD"/>
    <w:rsid w:val="00922AF3"/>
    <w:rsid w:val="00922B5F"/>
    <w:rsid w:val="00922D46"/>
    <w:rsid w:val="009231E5"/>
    <w:rsid w:val="009233B2"/>
    <w:rsid w:val="00923450"/>
    <w:rsid w:val="00923588"/>
    <w:rsid w:val="009237DB"/>
    <w:rsid w:val="009238C7"/>
    <w:rsid w:val="00923D68"/>
    <w:rsid w:val="009245CA"/>
    <w:rsid w:val="00924AB1"/>
    <w:rsid w:val="00924F8C"/>
    <w:rsid w:val="0092517B"/>
    <w:rsid w:val="00925293"/>
    <w:rsid w:val="009252C1"/>
    <w:rsid w:val="00925A03"/>
    <w:rsid w:val="00926660"/>
    <w:rsid w:val="00926A4C"/>
    <w:rsid w:val="00926E4D"/>
    <w:rsid w:val="00927D0C"/>
    <w:rsid w:val="00930532"/>
    <w:rsid w:val="009307C6"/>
    <w:rsid w:val="0093091C"/>
    <w:rsid w:val="00931CEB"/>
    <w:rsid w:val="00931D9E"/>
    <w:rsid w:val="00932487"/>
    <w:rsid w:val="0093352D"/>
    <w:rsid w:val="009335A2"/>
    <w:rsid w:val="0093399C"/>
    <w:rsid w:val="00933A75"/>
    <w:rsid w:val="0093448A"/>
    <w:rsid w:val="00934588"/>
    <w:rsid w:val="00934C6C"/>
    <w:rsid w:val="00935159"/>
    <w:rsid w:val="009356EC"/>
    <w:rsid w:val="009365E3"/>
    <w:rsid w:val="0093715C"/>
    <w:rsid w:val="0093751E"/>
    <w:rsid w:val="009376FF"/>
    <w:rsid w:val="009379C1"/>
    <w:rsid w:val="00937B7B"/>
    <w:rsid w:val="00937BB4"/>
    <w:rsid w:val="00940185"/>
    <w:rsid w:val="00940895"/>
    <w:rsid w:val="00940910"/>
    <w:rsid w:val="00940A1E"/>
    <w:rsid w:val="00940BCD"/>
    <w:rsid w:val="00941279"/>
    <w:rsid w:val="00941547"/>
    <w:rsid w:val="00941E41"/>
    <w:rsid w:val="00942713"/>
    <w:rsid w:val="00942758"/>
    <w:rsid w:val="00942997"/>
    <w:rsid w:val="00943742"/>
    <w:rsid w:val="009445C8"/>
    <w:rsid w:val="00944A2A"/>
    <w:rsid w:val="00945412"/>
    <w:rsid w:val="009457C5"/>
    <w:rsid w:val="00945BB9"/>
    <w:rsid w:val="00945D1D"/>
    <w:rsid w:val="00946227"/>
    <w:rsid w:val="009462D5"/>
    <w:rsid w:val="00946376"/>
    <w:rsid w:val="00947412"/>
    <w:rsid w:val="00951D2F"/>
    <w:rsid w:val="00951E79"/>
    <w:rsid w:val="0095275A"/>
    <w:rsid w:val="00953304"/>
    <w:rsid w:val="00953B2B"/>
    <w:rsid w:val="00953EB6"/>
    <w:rsid w:val="00953F5E"/>
    <w:rsid w:val="0095456C"/>
    <w:rsid w:val="009547B3"/>
    <w:rsid w:val="009549B3"/>
    <w:rsid w:val="00955199"/>
    <w:rsid w:val="00956193"/>
    <w:rsid w:val="00956905"/>
    <w:rsid w:val="00956C64"/>
    <w:rsid w:val="009579F0"/>
    <w:rsid w:val="009604CF"/>
    <w:rsid w:val="0096073B"/>
    <w:rsid w:val="009614C6"/>
    <w:rsid w:val="009615DF"/>
    <w:rsid w:val="009626CE"/>
    <w:rsid w:val="009627D5"/>
    <w:rsid w:val="00962BFB"/>
    <w:rsid w:val="00962D5E"/>
    <w:rsid w:val="00962E1C"/>
    <w:rsid w:val="0096349D"/>
    <w:rsid w:val="00963A16"/>
    <w:rsid w:val="00964117"/>
    <w:rsid w:val="00964954"/>
    <w:rsid w:val="0096518B"/>
    <w:rsid w:val="00965975"/>
    <w:rsid w:val="00965E37"/>
    <w:rsid w:val="00965FDB"/>
    <w:rsid w:val="009663CE"/>
    <w:rsid w:val="009665DD"/>
    <w:rsid w:val="00966DEC"/>
    <w:rsid w:val="00967646"/>
    <w:rsid w:val="00967A09"/>
    <w:rsid w:val="00967A88"/>
    <w:rsid w:val="00967C15"/>
    <w:rsid w:val="00967EE9"/>
    <w:rsid w:val="00967F0B"/>
    <w:rsid w:val="0097019C"/>
    <w:rsid w:val="009705FC"/>
    <w:rsid w:val="00970FE4"/>
    <w:rsid w:val="009711D3"/>
    <w:rsid w:val="009714B2"/>
    <w:rsid w:val="00971774"/>
    <w:rsid w:val="00971F12"/>
    <w:rsid w:val="009720A8"/>
    <w:rsid w:val="009726D9"/>
    <w:rsid w:val="009727F5"/>
    <w:rsid w:val="00973917"/>
    <w:rsid w:val="0097412E"/>
    <w:rsid w:val="00974156"/>
    <w:rsid w:val="00974CB6"/>
    <w:rsid w:val="00974E96"/>
    <w:rsid w:val="00975DF6"/>
    <w:rsid w:val="009766DA"/>
    <w:rsid w:val="0097673B"/>
    <w:rsid w:val="0097689A"/>
    <w:rsid w:val="00976B7A"/>
    <w:rsid w:val="00976DD9"/>
    <w:rsid w:val="009776DF"/>
    <w:rsid w:val="00980488"/>
    <w:rsid w:val="00980811"/>
    <w:rsid w:val="00980C89"/>
    <w:rsid w:val="0098138C"/>
    <w:rsid w:val="009817CC"/>
    <w:rsid w:val="00982710"/>
    <w:rsid w:val="00982907"/>
    <w:rsid w:val="009848C0"/>
    <w:rsid w:val="00984BC2"/>
    <w:rsid w:val="009855E9"/>
    <w:rsid w:val="00986246"/>
    <w:rsid w:val="00986FBD"/>
    <w:rsid w:val="00987611"/>
    <w:rsid w:val="00987B4D"/>
    <w:rsid w:val="00987C7D"/>
    <w:rsid w:val="00990380"/>
    <w:rsid w:val="0099054A"/>
    <w:rsid w:val="009906DE"/>
    <w:rsid w:val="00990DBD"/>
    <w:rsid w:val="0099102F"/>
    <w:rsid w:val="0099168C"/>
    <w:rsid w:val="00991F6F"/>
    <w:rsid w:val="009921DB"/>
    <w:rsid w:val="009926B2"/>
    <w:rsid w:val="00992E50"/>
    <w:rsid w:val="009940EF"/>
    <w:rsid w:val="00994A8D"/>
    <w:rsid w:val="00994D06"/>
    <w:rsid w:val="0099507F"/>
    <w:rsid w:val="009953AD"/>
    <w:rsid w:val="00995C0F"/>
    <w:rsid w:val="00995EA0"/>
    <w:rsid w:val="009962B5"/>
    <w:rsid w:val="0099672C"/>
    <w:rsid w:val="0099724E"/>
    <w:rsid w:val="00997CF0"/>
    <w:rsid w:val="009A02C9"/>
    <w:rsid w:val="009A0425"/>
    <w:rsid w:val="009A04BF"/>
    <w:rsid w:val="009A0671"/>
    <w:rsid w:val="009A0BBC"/>
    <w:rsid w:val="009A0F34"/>
    <w:rsid w:val="009A1539"/>
    <w:rsid w:val="009A27AE"/>
    <w:rsid w:val="009A35CA"/>
    <w:rsid w:val="009A419B"/>
    <w:rsid w:val="009A4950"/>
    <w:rsid w:val="009A5AFD"/>
    <w:rsid w:val="009A6EFD"/>
    <w:rsid w:val="009A7AEA"/>
    <w:rsid w:val="009B0173"/>
    <w:rsid w:val="009B08A9"/>
    <w:rsid w:val="009B0DAE"/>
    <w:rsid w:val="009B0F17"/>
    <w:rsid w:val="009B12C9"/>
    <w:rsid w:val="009B14E2"/>
    <w:rsid w:val="009B19C7"/>
    <w:rsid w:val="009B1B77"/>
    <w:rsid w:val="009B1C86"/>
    <w:rsid w:val="009B25CE"/>
    <w:rsid w:val="009B2A8D"/>
    <w:rsid w:val="009B2E4A"/>
    <w:rsid w:val="009B33CE"/>
    <w:rsid w:val="009B356E"/>
    <w:rsid w:val="009B39DC"/>
    <w:rsid w:val="009B3B99"/>
    <w:rsid w:val="009B3C83"/>
    <w:rsid w:val="009B3F68"/>
    <w:rsid w:val="009B4005"/>
    <w:rsid w:val="009B4043"/>
    <w:rsid w:val="009B4996"/>
    <w:rsid w:val="009B58D9"/>
    <w:rsid w:val="009B61E7"/>
    <w:rsid w:val="009B677A"/>
    <w:rsid w:val="009B6C4A"/>
    <w:rsid w:val="009B6C64"/>
    <w:rsid w:val="009B77FD"/>
    <w:rsid w:val="009C0087"/>
    <w:rsid w:val="009C08FC"/>
    <w:rsid w:val="009C1A23"/>
    <w:rsid w:val="009C1C51"/>
    <w:rsid w:val="009C1FCE"/>
    <w:rsid w:val="009C23D7"/>
    <w:rsid w:val="009C2A44"/>
    <w:rsid w:val="009C3822"/>
    <w:rsid w:val="009C45A8"/>
    <w:rsid w:val="009C491A"/>
    <w:rsid w:val="009C49EA"/>
    <w:rsid w:val="009C4C68"/>
    <w:rsid w:val="009C4D8C"/>
    <w:rsid w:val="009C5421"/>
    <w:rsid w:val="009C5E77"/>
    <w:rsid w:val="009C6551"/>
    <w:rsid w:val="009C6E72"/>
    <w:rsid w:val="009C710D"/>
    <w:rsid w:val="009C71F2"/>
    <w:rsid w:val="009C7D3E"/>
    <w:rsid w:val="009D034A"/>
    <w:rsid w:val="009D05C3"/>
    <w:rsid w:val="009D12DD"/>
    <w:rsid w:val="009D2078"/>
    <w:rsid w:val="009D2102"/>
    <w:rsid w:val="009D29B0"/>
    <w:rsid w:val="009D2C8D"/>
    <w:rsid w:val="009D369F"/>
    <w:rsid w:val="009D3C3F"/>
    <w:rsid w:val="009D3EC7"/>
    <w:rsid w:val="009D4240"/>
    <w:rsid w:val="009D44F1"/>
    <w:rsid w:val="009D466F"/>
    <w:rsid w:val="009D4844"/>
    <w:rsid w:val="009D4BF9"/>
    <w:rsid w:val="009D4D67"/>
    <w:rsid w:val="009D5448"/>
    <w:rsid w:val="009D564A"/>
    <w:rsid w:val="009D5A01"/>
    <w:rsid w:val="009D5B1A"/>
    <w:rsid w:val="009D635B"/>
    <w:rsid w:val="009D6409"/>
    <w:rsid w:val="009D66DC"/>
    <w:rsid w:val="009D69EB"/>
    <w:rsid w:val="009D6F6B"/>
    <w:rsid w:val="009D758E"/>
    <w:rsid w:val="009D7F6F"/>
    <w:rsid w:val="009E029A"/>
    <w:rsid w:val="009E0393"/>
    <w:rsid w:val="009E07D3"/>
    <w:rsid w:val="009E0DE7"/>
    <w:rsid w:val="009E15A3"/>
    <w:rsid w:val="009E19E9"/>
    <w:rsid w:val="009E30B6"/>
    <w:rsid w:val="009E377D"/>
    <w:rsid w:val="009E450A"/>
    <w:rsid w:val="009E4F4B"/>
    <w:rsid w:val="009E509A"/>
    <w:rsid w:val="009E6456"/>
    <w:rsid w:val="009E65CA"/>
    <w:rsid w:val="009E6665"/>
    <w:rsid w:val="009E6D6E"/>
    <w:rsid w:val="009E76D1"/>
    <w:rsid w:val="009F02C3"/>
    <w:rsid w:val="009F02EE"/>
    <w:rsid w:val="009F06F2"/>
    <w:rsid w:val="009F0D98"/>
    <w:rsid w:val="009F1605"/>
    <w:rsid w:val="009F16D0"/>
    <w:rsid w:val="009F1F8B"/>
    <w:rsid w:val="009F2A77"/>
    <w:rsid w:val="009F336D"/>
    <w:rsid w:val="009F3EAD"/>
    <w:rsid w:val="009F4E69"/>
    <w:rsid w:val="009F614B"/>
    <w:rsid w:val="009F635E"/>
    <w:rsid w:val="009F716B"/>
    <w:rsid w:val="009F7642"/>
    <w:rsid w:val="009F7F76"/>
    <w:rsid w:val="00A00ADC"/>
    <w:rsid w:val="00A00E5F"/>
    <w:rsid w:val="00A01109"/>
    <w:rsid w:val="00A01230"/>
    <w:rsid w:val="00A01299"/>
    <w:rsid w:val="00A0196A"/>
    <w:rsid w:val="00A01F74"/>
    <w:rsid w:val="00A02AA4"/>
    <w:rsid w:val="00A02B8D"/>
    <w:rsid w:val="00A02C5D"/>
    <w:rsid w:val="00A049FB"/>
    <w:rsid w:val="00A04F7C"/>
    <w:rsid w:val="00A0566A"/>
    <w:rsid w:val="00A05DEC"/>
    <w:rsid w:val="00A06053"/>
    <w:rsid w:val="00A079A9"/>
    <w:rsid w:val="00A07F23"/>
    <w:rsid w:val="00A07FB8"/>
    <w:rsid w:val="00A10583"/>
    <w:rsid w:val="00A10FA7"/>
    <w:rsid w:val="00A1112A"/>
    <w:rsid w:val="00A11A03"/>
    <w:rsid w:val="00A121B7"/>
    <w:rsid w:val="00A12766"/>
    <w:rsid w:val="00A134C4"/>
    <w:rsid w:val="00A140D3"/>
    <w:rsid w:val="00A1446B"/>
    <w:rsid w:val="00A145B2"/>
    <w:rsid w:val="00A1485A"/>
    <w:rsid w:val="00A15708"/>
    <w:rsid w:val="00A15E19"/>
    <w:rsid w:val="00A16276"/>
    <w:rsid w:val="00A167F2"/>
    <w:rsid w:val="00A16A7F"/>
    <w:rsid w:val="00A17563"/>
    <w:rsid w:val="00A17EFE"/>
    <w:rsid w:val="00A20751"/>
    <w:rsid w:val="00A20C78"/>
    <w:rsid w:val="00A20D38"/>
    <w:rsid w:val="00A20F9D"/>
    <w:rsid w:val="00A21A42"/>
    <w:rsid w:val="00A222BC"/>
    <w:rsid w:val="00A23111"/>
    <w:rsid w:val="00A2312E"/>
    <w:rsid w:val="00A23322"/>
    <w:rsid w:val="00A23366"/>
    <w:rsid w:val="00A23762"/>
    <w:rsid w:val="00A24323"/>
    <w:rsid w:val="00A243A3"/>
    <w:rsid w:val="00A2480B"/>
    <w:rsid w:val="00A2512C"/>
    <w:rsid w:val="00A2515B"/>
    <w:rsid w:val="00A251B2"/>
    <w:rsid w:val="00A2588E"/>
    <w:rsid w:val="00A265C4"/>
    <w:rsid w:val="00A26B11"/>
    <w:rsid w:val="00A26EDF"/>
    <w:rsid w:val="00A3016C"/>
    <w:rsid w:val="00A319F2"/>
    <w:rsid w:val="00A31A09"/>
    <w:rsid w:val="00A31BEA"/>
    <w:rsid w:val="00A31F66"/>
    <w:rsid w:val="00A3213E"/>
    <w:rsid w:val="00A32247"/>
    <w:rsid w:val="00A32761"/>
    <w:rsid w:val="00A32DAC"/>
    <w:rsid w:val="00A32DED"/>
    <w:rsid w:val="00A331EF"/>
    <w:rsid w:val="00A33587"/>
    <w:rsid w:val="00A33B6D"/>
    <w:rsid w:val="00A341EB"/>
    <w:rsid w:val="00A34216"/>
    <w:rsid w:val="00A34789"/>
    <w:rsid w:val="00A34C6D"/>
    <w:rsid w:val="00A351BC"/>
    <w:rsid w:val="00A35884"/>
    <w:rsid w:val="00A3598D"/>
    <w:rsid w:val="00A3630E"/>
    <w:rsid w:val="00A36599"/>
    <w:rsid w:val="00A36C63"/>
    <w:rsid w:val="00A3731C"/>
    <w:rsid w:val="00A379C9"/>
    <w:rsid w:val="00A37BB8"/>
    <w:rsid w:val="00A37D74"/>
    <w:rsid w:val="00A4079A"/>
    <w:rsid w:val="00A40EC5"/>
    <w:rsid w:val="00A412DC"/>
    <w:rsid w:val="00A41A34"/>
    <w:rsid w:val="00A41BC2"/>
    <w:rsid w:val="00A41D2F"/>
    <w:rsid w:val="00A41FF8"/>
    <w:rsid w:val="00A42C2A"/>
    <w:rsid w:val="00A42D87"/>
    <w:rsid w:val="00A43684"/>
    <w:rsid w:val="00A43DE4"/>
    <w:rsid w:val="00A4406E"/>
    <w:rsid w:val="00A44B0C"/>
    <w:rsid w:val="00A44BD3"/>
    <w:rsid w:val="00A4521D"/>
    <w:rsid w:val="00A45C1C"/>
    <w:rsid w:val="00A4604A"/>
    <w:rsid w:val="00A46B3D"/>
    <w:rsid w:val="00A46D69"/>
    <w:rsid w:val="00A46D6F"/>
    <w:rsid w:val="00A46E45"/>
    <w:rsid w:val="00A473B4"/>
    <w:rsid w:val="00A47BF8"/>
    <w:rsid w:val="00A5081C"/>
    <w:rsid w:val="00A50F01"/>
    <w:rsid w:val="00A5145C"/>
    <w:rsid w:val="00A51F0A"/>
    <w:rsid w:val="00A52038"/>
    <w:rsid w:val="00A5309C"/>
    <w:rsid w:val="00A530F4"/>
    <w:rsid w:val="00A5358C"/>
    <w:rsid w:val="00A53EF3"/>
    <w:rsid w:val="00A54519"/>
    <w:rsid w:val="00A54EF2"/>
    <w:rsid w:val="00A55009"/>
    <w:rsid w:val="00A55837"/>
    <w:rsid w:val="00A5597B"/>
    <w:rsid w:val="00A55CAC"/>
    <w:rsid w:val="00A55D48"/>
    <w:rsid w:val="00A57964"/>
    <w:rsid w:val="00A57BEB"/>
    <w:rsid w:val="00A60B15"/>
    <w:rsid w:val="00A60BB2"/>
    <w:rsid w:val="00A60C26"/>
    <w:rsid w:val="00A60DFE"/>
    <w:rsid w:val="00A61673"/>
    <w:rsid w:val="00A61C44"/>
    <w:rsid w:val="00A6204B"/>
    <w:rsid w:val="00A62406"/>
    <w:rsid w:val="00A629CF"/>
    <w:rsid w:val="00A64926"/>
    <w:rsid w:val="00A661A1"/>
    <w:rsid w:val="00A665CF"/>
    <w:rsid w:val="00A6689C"/>
    <w:rsid w:val="00A66D86"/>
    <w:rsid w:val="00A67450"/>
    <w:rsid w:val="00A67AE9"/>
    <w:rsid w:val="00A67CA7"/>
    <w:rsid w:val="00A711BA"/>
    <w:rsid w:val="00A71828"/>
    <w:rsid w:val="00A719DF"/>
    <w:rsid w:val="00A72084"/>
    <w:rsid w:val="00A72908"/>
    <w:rsid w:val="00A72BEF"/>
    <w:rsid w:val="00A73074"/>
    <w:rsid w:val="00A73590"/>
    <w:rsid w:val="00A73989"/>
    <w:rsid w:val="00A73FF5"/>
    <w:rsid w:val="00A745AB"/>
    <w:rsid w:val="00A75068"/>
    <w:rsid w:val="00A75406"/>
    <w:rsid w:val="00A7573E"/>
    <w:rsid w:val="00A75D3A"/>
    <w:rsid w:val="00A75EE5"/>
    <w:rsid w:val="00A7604E"/>
    <w:rsid w:val="00A767EB"/>
    <w:rsid w:val="00A76DBC"/>
    <w:rsid w:val="00A76E22"/>
    <w:rsid w:val="00A77209"/>
    <w:rsid w:val="00A7752F"/>
    <w:rsid w:val="00A8086E"/>
    <w:rsid w:val="00A80CEF"/>
    <w:rsid w:val="00A81069"/>
    <w:rsid w:val="00A81403"/>
    <w:rsid w:val="00A81C29"/>
    <w:rsid w:val="00A82AF7"/>
    <w:rsid w:val="00A82E17"/>
    <w:rsid w:val="00A838BF"/>
    <w:rsid w:val="00A838D6"/>
    <w:rsid w:val="00A840B2"/>
    <w:rsid w:val="00A84235"/>
    <w:rsid w:val="00A84587"/>
    <w:rsid w:val="00A84AC1"/>
    <w:rsid w:val="00A857A5"/>
    <w:rsid w:val="00A85C35"/>
    <w:rsid w:val="00A85CD8"/>
    <w:rsid w:val="00A85E05"/>
    <w:rsid w:val="00A86B69"/>
    <w:rsid w:val="00A87D9D"/>
    <w:rsid w:val="00A87DB2"/>
    <w:rsid w:val="00A87E59"/>
    <w:rsid w:val="00A912BA"/>
    <w:rsid w:val="00A92061"/>
    <w:rsid w:val="00A9234A"/>
    <w:rsid w:val="00A92E39"/>
    <w:rsid w:val="00A93AAC"/>
    <w:rsid w:val="00A94249"/>
    <w:rsid w:val="00A948D0"/>
    <w:rsid w:val="00A948EA"/>
    <w:rsid w:val="00A94BC9"/>
    <w:rsid w:val="00A94D7C"/>
    <w:rsid w:val="00A959BC"/>
    <w:rsid w:val="00A95CE1"/>
    <w:rsid w:val="00A96914"/>
    <w:rsid w:val="00A97707"/>
    <w:rsid w:val="00A97A15"/>
    <w:rsid w:val="00AA08D6"/>
    <w:rsid w:val="00AA0C40"/>
    <w:rsid w:val="00AA1012"/>
    <w:rsid w:val="00AA19D3"/>
    <w:rsid w:val="00AA203D"/>
    <w:rsid w:val="00AA2562"/>
    <w:rsid w:val="00AA29D7"/>
    <w:rsid w:val="00AA31CD"/>
    <w:rsid w:val="00AA34D7"/>
    <w:rsid w:val="00AA3C60"/>
    <w:rsid w:val="00AA410E"/>
    <w:rsid w:val="00AA44C3"/>
    <w:rsid w:val="00AA4BBC"/>
    <w:rsid w:val="00AA59A8"/>
    <w:rsid w:val="00AA6143"/>
    <w:rsid w:val="00AA6493"/>
    <w:rsid w:val="00AA6D0A"/>
    <w:rsid w:val="00AA6EA0"/>
    <w:rsid w:val="00AA78B3"/>
    <w:rsid w:val="00AA7B4C"/>
    <w:rsid w:val="00AB0003"/>
    <w:rsid w:val="00AB0333"/>
    <w:rsid w:val="00AB07F2"/>
    <w:rsid w:val="00AB11B3"/>
    <w:rsid w:val="00AB1DFE"/>
    <w:rsid w:val="00AB22E5"/>
    <w:rsid w:val="00AB2FF4"/>
    <w:rsid w:val="00AB35A6"/>
    <w:rsid w:val="00AB3BB0"/>
    <w:rsid w:val="00AB3D02"/>
    <w:rsid w:val="00AB40D7"/>
    <w:rsid w:val="00AB44D3"/>
    <w:rsid w:val="00AB53D3"/>
    <w:rsid w:val="00AB5798"/>
    <w:rsid w:val="00AB5F9C"/>
    <w:rsid w:val="00AB5FD1"/>
    <w:rsid w:val="00AB63B2"/>
    <w:rsid w:val="00AB67E9"/>
    <w:rsid w:val="00AC1AD6"/>
    <w:rsid w:val="00AC30C5"/>
    <w:rsid w:val="00AC3606"/>
    <w:rsid w:val="00AC36FC"/>
    <w:rsid w:val="00AC4186"/>
    <w:rsid w:val="00AC4BA9"/>
    <w:rsid w:val="00AC4DD2"/>
    <w:rsid w:val="00AC5B59"/>
    <w:rsid w:val="00AC623D"/>
    <w:rsid w:val="00AC7EE1"/>
    <w:rsid w:val="00AC7F04"/>
    <w:rsid w:val="00AD001B"/>
    <w:rsid w:val="00AD0363"/>
    <w:rsid w:val="00AD19CC"/>
    <w:rsid w:val="00AD2022"/>
    <w:rsid w:val="00AD2AB6"/>
    <w:rsid w:val="00AD31B5"/>
    <w:rsid w:val="00AD4736"/>
    <w:rsid w:val="00AD4FBE"/>
    <w:rsid w:val="00AD552C"/>
    <w:rsid w:val="00AD554D"/>
    <w:rsid w:val="00AD64DF"/>
    <w:rsid w:val="00AD6D5A"/>
    <w:rsid w:val="00AD7644"/>
    <w:rsid w:val="00AE1025"/>
    <w:rsid w:val="00AE12E3"/>
    <w:rsid w:val="00AE14A0"/>
    <w:rsid w:val="00AE1809"/>
    <w:rsid w:val="00AE1B82"/>
    <w:rsid w:val="00AE1F7C"/>
    <w:rsid w:val="00AE22CC"/>
    <w:rsid w:val="00AE292A"/>
    <w:rsid w:val="00AE3F03"/>
    <w:rsid w:val="00AE4042"/>
    <w:rsid w:val="00AE5557"/>
    <w:rsid w:val="00AE609C"/>
    <w:rsid w:val="00AE62B4"/>
    <w:rsid w:val="00AE64F0"/>
    <w:rsid w:val="00AE65A0"/>
    <w:rsid w:val="00AE7711"/>
    <w:rsid w:val="00AE7BC3"/>
    <w:rsid w:val="00AE7BD8"/>
    <w:rsid w:val="00AF0224"/>
    <w:rsid w:val="00AF0874"/>
    <w:rsid w:val="00AF1784"/>
    <w:rsid w:val="00AF17B6"/>
    <w:rsid w:val="00AF1DF2"/>
    <w:rsid w:val="00AF20B3"/>
    <w:rsid w:val="00AF23C8"/>
    <w:rsid w:val="00AF247A"/>
    <w:rsid w:val="00AF2AE2"/>
    <w:rsid w:val="00AF2F31"/>
    <w:rsid w:val="00AF36A2"/>
    <w:rsid w:val="00AF3AAE"/>
    <w:rsid w:val="00AF3F5F"/>
    <w:rsid w:val="00AF454E"/>
    <w:rsid w:val="00AF5106"/>
    <w:rsid w:val="00AF52B3"/>
    <w:rsid w:val="00AF5BF6"/>
    <w:rsid w:val="00AF637B"/>
    <w:rsid w:val="00AF6814"/>
    <w:rsid w:val="00AF69A9"/>
    <w:rsid w:val="00AF6D6C"/>
    <w:rsid w:val="00AF6E23"/>
    <w:rsid w:val="00AF71C3"/>
    <w:rsid w:val="00AF74EA"/>
    <w:rsid w:val="00B00D01"/>
    <w:rsid w:val="00B00E74"/>
    <w:rsid w:val="00B011BD"/>
    <w:rsid w:val="00B01297"/>
    <w:rsid w:val="00B02266"/>
    <w:rsid w:val="00B02FAB"/>
    <w:rsid w:val="00B03219"/>
    <w:rsid w:val="00B03604"/>
    <w:rsid w:val="00B0377E"/>
    <w:rsid w:val="00B040C5"/>
    <w:rsid w:val="00B0433F"/>
    <w:rsid w:val="00B044A0"/>
    <w:rsid w:val="00B04C2E"/>
    <w:rsid w:val="00B07036"/>
    <w:rsid w:val="00B07399"/>
    <w:rsid w:val="00B073C2"/>
    <w:rsid w:val="00B07BA9"/>
    <w:rsid w:val="00B07E9B"/>
    <w:rsid w:val="00B10055"/>
    <w:rsid w:val="00B10529"/>
    <w:rsid w:val="00B10D30"/>
    <w:rsid w:val="00B1141E"/>
    <w:rsid w:val="00B1151D"/>
    <w:rsid w:val="00B1278B"/>
    <w:rsid w:val="00B12A5B"/>
    <w:rsid w:val="00B12BDD"/>
    <w:rsid w:val="00B1346E"/>
    <w:rsid w:val="00B13EC3"/>
    <w:rsid w:val="00B156AA"/>
    <w:rsid w:val="00B15AEE"/>
    <w:rsid w:val="00B1612C"/>
    <w:rsid w:val="00B1628F"/>
    <w:rsid w:val="00B16C04"/>
    <w:rsid w:val="00B16CD3"/>
    <w:rsid w:val="00B16CD8"/>
    <w:rsid w:val="00B17295"/>
    <w:rsid w:val="00B1762B"/>
    <w:rsid w:val="00B20193"/>
    <w:rsid w:val="00B215F5"/>
    <w:rsid w:val="00B21DEA"/>
    <w:rsid w:val="00B22462"/>
    <w:rsid w:val="00B2300C"/>
    <w:rsid w:val="00B23666"/>
    <w:rsid w:val="00B23AF2"/>
    <w:rsid w:val="00B24DA9"/>
    <w:rsid w:val="00B2533F"/>
    <w:rsid w:val="00B255F1"/>
    <w:rsid w:val="00B25AB8"/>
    <w:rsid w:val="00B25C32"/>
    <w:rsid w:val="00B2672F"/>
    <w:rsid w:val="00B2687C"/>
    <w:rsid w:val="00B268B0"/>
    <w:rsid w:val="00B26B62"/>
    <w:rsid w:val="00B27040"/>
    <w:rsid w:val="00B278A8"/>
    <w:rsid w:val="00B27965"/>
    <w:rsid w:val="00B27A54"/>
    <w:rsid w:val="00B27DE6"/>
    <w:rsid w:val="00B27FE0"/>
    <w:rsid w:val="00B30080"/>
    <w:rsid w:val="00B30783"/>
    <w:rsid w:val="00B30919"/>
    <w:rsid w:val="00B3133E"/>
    <w:rsid w:val="00B327BA"/>
    <w:rsid w:val="00B32865"/>
    <w:rsid w:val="00B32909"/>
    <w:rsid w:val="00B341DE"/>
    <w:rsid w:val="00B3455B"/>
    <w:rsid w:val="00B34A25"/>
    <w:rsid w:val="00B34B41"/>
    <w:rsid w:val="00B35446"/>
    <w:rsid w:val="00B358F2"/>
    <w:rsid w:val="00B35A03"/>
    <w:rsid w:val="00B36386"/>
    <w:rsid w:val="00B37164"/>
    <w:rsid w:val="00B37502"/>
    <w:rsid w:val="00B3788F"/>
    <w:rsid w:val="00B40EA4"/>
    <w:rsid w:val="00B40EFF"/>
    <w:rsid w:val="00B40F2B"/>
    <w:rsid w:val="00B40F7C"/>
    <w:rsid w:val="00B40FC2"/>
    <w:rsid w:val="00B4151A"/>
    <w:rsid w:val="00B41714"/>
    <w:rsid w:val="00B41F0F"/>
    <w:rsid w:val="00B42560"/>
    <w:rsid w:val="00B42D8F"/>
    <w:rsid w:val="00B43469"/>
    <w:rsid w:val="00B43C26"/>
    <w:rsid w:val="00B44750"/>
    <w:rsid w:val="00B45381"/>
    <w:rsid w:val="00B4545A"/>
    <w:rsid w:val="00B455AA"/>
    <w:rsid w:val="00B45778"/>
    <w:rsid w:val="00B457A1"/>
    <w:rsid w:val="00B461B7"/>
    <w:rsid w:val="00B4630F"/>
    <w:rsid w:val="00B464B1"/>
    <w:rsid w:val="00B46F8C"/>
    <w:rsid w:val="00B47A4A"/>
    <w:rsid w:val="00B47B99"/>
    <w:rsid w:val="00B50574"/>
    <w:rsid w:val="00B506E5"/>
    <w:rsid w:val="00B506F2"/>
    <w:rsid w:val="00B50DF4"/>
    <w:rsid w:val="00B51048"/>
    <w:rsid w:val="00B510E3"/>
    <w:rsid w:val="00B5127F"/>
    <w:rsid w:val="00B517D7"/>
    <w:rsid w:val="00B51B35"/>
    <w:rsid w:val="00B521AC"/>
    <w:rsid w:val="00B52702"/>
    <w:rsid w:val="00B5276B"/>
    <w:rsid w:val="00B530EB"/>
    <w:rsid w:val="00B53760"/>
    <w:rsid w:val="00B5489C"/>
    <w:rsid w:val="00B5498D"/>
    <w:rsid w:val="00B5501D"/>
    <w:rsid w:val="00B55275"/>
    <w:rsid w:val="00B553AA"/>
    <w:rsid w:val="00B55C7F"/>
    <w:rsid w:val="00B56195"/>
    <w:rsid w:val="00B568DB"/>
    <w:rsid w:val="00B569FD"/>
    <w:rsid w:val="00B601DD"/>
    <w:rsid w:val="00B60A3D"/>
    <w:rsid w:val="00B6112E"/>
    <w:rsid w:val="00B6151E"/>
    <w:rsid w:val="00B61AD2"/>
    <w:rsid w:val="00B61B6E"/>
    <w:rsid w:val="00B61D25"/>
    <w:rsid w:val="00B62483"/>
    <w:rsid w:val="00B6281B"/>
    <w:rsid w:val="00B62C11"/>
    <w:rsid w:val="00B62CB8"/>
    <w:rsid w:val="00B633F5"/>
    <w:rsid w:val="00B6402C"/>
    <w:rsid w:val="00B642BE"/>
    <w:rsid w:val="00B6484F"/>
    <w:rsid w:val="00B64962"/>
    <w:rsid w:val="00B64F4F"/>
    <w:rsid w:val="00B64FD8"/>
    <w:rsid w:val="00B651B2"/>
    <w:rsid w:val="00B65454"/>
    <w:rsid w:val="00B65AD2"/>
    <w:rsid w:val="00B65D09"/>
    <w:rsid w:val="00B66FF4"/>
    <w:rsid w:val="00B676EC"/>
    <w:rsid w:val="00B67A8B"/>
    <w:rsid w:val="00B67B46"/>
    <w:rsid w:val="00B7016C"/>
    <w:rsid w:val="00B7039B"/>
    <w:rsid w:val="00B704B2"/>
    <w:rsid w:val="00B716AB"/>
    <w:rsid w:val="00B71B46"/>
    <w:rsid w:val="00B7229A"/>
    <w:rsid w:val="00B724E4"/>
    <w:rsid w:val="00B728DA"/>
    <w:rsid w:val="00B7295F"/>
    <w:rsid w:val="00B72991"/>
    <w:rsid w:val="00B72B50"/>
    <w:rsid w:val="00B72C76"/>
    <w:rsid w:val="00B72D0B"/>
    <w:rsid w:val="00B734D3"/>
    <w:rsid w:val="00B74393"/>
    <w:rsid w:val="00B74768"/>
    <w:rsid w:val="00B74C26"/>
    <w:rsid w:val="00B74D1E"/>
    <w:rsid w:val="00B75396"/>
    <w:rsid w:val="00B757FB"/>
    <w:rsid w:val="00B75B5C"/>
    <w:rsid w:val="00B75EFD"/>
    <w:rsid w:val="00B761C6"/>
    <w:rsid w:val="00B762C4"/>
    <w:rsid w:val="00B767BE"/>
    <w:rsid w:val="00B76A18"/>
    <w:rsid w:val="00B77BD0"/>
    <w:rsid w:val="00B8014A"/>
    <w:rsid w:val="00B808FF"/>
    <w:rsid w:val="00B81457"/>
    <w:rsid w:val="00B815B3"/>
    <w:rsid w:val="00B81656"/>
    <w:rsid w:val="00B825DF"/>
    <w:rsid w:val="00B83178"/>
    <w:rsid w:val="00B835FC"/>
    <w:rsid w:val="00B84C6C"/>
    <w:rsid w:val="00B8531A"/>
    <w:rsid w:val="00B85585"/>
    <w:rsid w:val="00B855E9"/>
    <w:rsid w:val="00B859B4"/>
    <w:rsid w:val="00B85EFB"/>
    <w:rsid w:val="00B86108"/>
    <w:rsid w:val="00B86853"/>
    <w:rsid w:val="00B8697F"/>
    <w:rsid w:val="00B86C70"/>
    <w:rsid w:val="00B87141"/>
    <w:rsid w:val="00B8769B"/>
    <w:rsid w:val="00B9021C"/>
    <w:rsid w:val="00B90BB9"/>
    <w:rsid w:val="00B914F6"/>
    <w:rsid w:val="00B9154E"/>
    <w:rsid w:val="00B91F71"/>
    <w:rsid w:val="00B9242D"/>
    <w:rsid w:val="00B92687"/>
    <w:rsid w:val="00B92712"/>
    <w:rsid w:val="00B929C5"/>
    <w:rsid w:val="00B9412C"/>
    <w:rsid w:val="00B94176"/>
    <w:rsid w:val="00B941D5"/>
    <w:rsid w:val="00B94248"/>
    <w:rsid w:val="00B942A1"/>
    <w:rsid w:val="00B949FE"/>
    <w:rsid w:val="00B94B4F"/>
    <w:rsid w:val="00B94C89"/>
    <w:rsid w:val="00B963FF"/>
    <w:rsid w:val="00B9736C"/>
    <w:rsid w:val="00B97603"/>
    <w:rsid w:val="00B97667"/>
    <w:rsid w:val="00B976F6"/>
    <w:rsid w:val="00B977B7"/>
    <w:rsid w:val="00BA0914"/>
    <w:rsid w:val="00BA13B0"/>
    <w:rsid w:val="00BA1BC7"/>
    <w:rsid w:val="00BA1DCA"/>
    <w:rsid w:val="00BA2346"/>
    <w:rsid w:val="00BA2917"/>
    <w:rsid w:val="00BA38A2"/>
    <w:rsid w:val="00BA3A25"/>
    <w:rsid w:val="00BA3A81"/>
    <w:rsid w:val="00BA3BF4"/>
    <w:rsid w:val="00BA41EE"/>
    <w:rsid w:val="00BA43FC"/>
    <w:rsid w:val="00BA4EE2"/>
    <w:rsid w:val="00BA4FF9"/>
    <w:rsid w:val="00BA52A8"/>
    <w:rsid w:val="00BA533F"/>
    <w:rsid w:val="00BA5669"/>
    <w:rsid w:val="00BA5F41"/>
    <w:rsid w:val="00BA6410"/>
    <w:rsid w:val="00BA6A96"/>
    <w:rsid w:val="00BA6CC6"/>
    <w:rsid w:val="00BA72F2"/>
    <w:rsid w:val="00BA7368"/>
    <w:rsid w:val="00BA7385"/>
    <w:rsid w:val="00BA7DC7"/>
    <w:rsid w:val="00BB0220"/>
    <w:rsid w:val="00BB031C"/>
    <w:rsid w:val="00BB0DF9"/>
    <w:rsid w:val="00BB124B"/>
    <w:rsid w:val="00BB15DF"/>
    <w:rsid w:val="00BB1613"/>
    <w:rsid w:val="00BB187C"/>
    <w:rsid w:val="00BB225E"/>
    <w:rsid w:val="00BB296B"/>
    <w:rsid w:val="00BB2A42"/>
    <w:rsid w:val="00BB2A9C"/>
    <w:rsid w:val="00BB2E5B"/>
    <w:rsid w:val="00BB3622"/>
    <w:rsid w:val="00BB3B36"/>
    <w:rsid w:val="00BB514A"/>
    <w:rsid w:val="00BB51A1"/>
    <w:rsid w:val="00BB6219"/>
    <w:rsid w:val="00BB682C"/>
    <w:rsid w:val="00BB7CA9"/>
    <w:rsid w:val="00BB7D8C"/>
    <w:rsid w:val="00BC0FD7"/>
    <w:rsid w:val="00BC236B"/>
    <w:rsid w:val="00BC2BB4"/>
    <w:rsid w:val="00BC3377"/>
    <w:rsid w:val="00BC4615"/>
    <w:rsid w:val="00BC484B"/>
    <w:rsid w:val="00BC4BF9"/>
    <w:rsid w:val="00BC507C"/>
    <w:rsid w:val="00BC5C89"/>
    <w:rsid w:val="00BC6191"/>
    <w:rsid w:val="00BC6272"/>
    <w:rsid w:val="00BC6518"/>
    <w:rsid w:val="00BC65D9"/>
    <w:rsid w:val="00BC6AEC"/>
    <w:rsid w:val="00BC6DDC"/>
    <w:rsid w:val="00BC77B9"/>
    <w:rsid w:val="00BC78BB"/>
    <w:rsid w:val="00BC7C52"/>
    <w:rsid w:val="00BD025B"/>
    <w:rsid w:val="00BD0538"/>
    <w:rsid w:val="00BD06EC"/>
    <w:rsid w:val="00BD0803"/>
    <w:rsid w:val="00BD091B"/>
    <w:rsid w:val="00BD0CF6"/>
    <w:rsid w:val="00BD0F96"/>
    <w:rsid w:val="00BD1471"/>
    <w:rsid w:val="00BD14C5"/>
    <w:rsid w:val="00BD196A"/>
    <w:rsid w:val="00BD1C06"/>
    <w:rsid w:val="00BD2081"/>
    <w:rsid w:val="00BD2311"/>
    <w:rsid w:val="00BD25C5"/>
    <w:rsid w:val="00BD2AD4"/>
    <w:rsid w:val="00BD2AF6"/>
    <w:rsid w:val="00BD2B7E"/>
    <w:rsid w:val="00BD304A"/>
    <w:rsid w:val="00BD334D"/>
    <w:rsid w:val="00BD4971"/>
    <w:rsid w:val="00BD4B74"/>
    <w:rsid w:val="00BD4C6D"/>
    <w:rsid w:val="00BD4DC2"/>
    <w:rsid w:val="00BD517E"/>
    <w:rsid w:val="00BD51E8"/>
    <w:rsid w:val="00BD6118"/>
    <w:rsid w:val="00BD6262"/>
    <w:rsid w:val="00BD64EA"/>
    <w:rsid w:val="00BD68A6"/>
    <w:rsid w:val="00BD73C3"/>
    <w:rsid w:val="00BD7627"/>
    <w:rsid w:val="00BD7DEB"/>
    <w:rsid w:val="00BD7EED"/>
    <w:rsid w:val="00BE0655"/>
    <w:rsid w:val="00BE1729"/>
    <w:rsid w:val="00BE2067"/>
    <w:rsid w:val="00BE2543"/>
    <w:rsid w:val="00BE2DBD"/>
    <w:rsid w:val="00BE30BB"/>
    <w:rsid w:val="00BE430F"/>
    <w:rsid w:val="00BE4C48"/>
    <w:rsid w:val="00BE51F9"/>
    <w:rsid w:val="00BE52AF"/>
    <w:rsid w:val="00BE5C67"/>
    <w:rsid w:val="00BE5D4E"/>
    <w:rsid w:val="00BE5D5F"/>
    <w:rsid w:val="00BE61C1"/>
    <w:rsid w:val="00BE625C"/>
    <w:rsid w:val="00BE64AF"/>
    <w:rsid w:val="00BE66EA"/>
    <w:rsid w:val="00BE6717"/>
    <w:rsid w:val="00BE6D4C"/>
    <w:rsid w:val="00BE720C"/>
    <w:rsid w:val="00BE75FF"/>
    <w:rsid w:val="00BE7B85"/>
    <w:rsid w:val="00BE7D84"/>
    <w:rsid w:val="00BE7FE3"/>
    <w:rsid w:val="00BF020C"/>
    <w:rsid w:val="00BF0381"/>
    <w:rsid w:val="00BF0441"/>
    <w:rsid w:val="00BF0449"/>
    <w:rsid w:val="00BF04EE"/>
    <w:rsid w:val="00BF0B04"/>
    <w:rsid w:val="00BF0B44"/>
    <w:rsid w:val="00BF1703"/>
    <w:rsid w:val="00BF175D"/>
    <w:rsid w:val="00BF1992"/>
    <w:rsid w:val="00BF1E34"/>
    <w:rsid w:val="00BF2A26"/>
    <w:rsid w:val="00BF446E"/>
    <w:rsid w:val="00BF4576"/>
    <w:rsid w:val="00BF4B30"/>
    <w:rsid w:val="00BF4FDA"/>
    <w:rsid w:val="00BF5261"/>
    <w:rsid w:val="00BF54DF"/>
    <w:rsid w:val="00BF59B3"/>
    <w:rsid w:val="00BF5BF2"/>
    <w:rsid w:val="00BF5CCE"/>
    <w:rsid w:val="00BF5E31"/>
    <w:rsid w:val="00BF6636"/>
    <w:rsid w:val="00BF6C35"/>
    <w:rsid w:val="00BF6E7B"/>
    <w:rsid w:val="00BF7005"/>
    <w:rsid w:val="00BF70DD"/>
    <w:rsid w:val="00BF74D9"/>
    <w:rsid w:val="00BF759C"/>
    <w:rsid w:val="00BF7D4F"/>
    <w:rsid w:val="00C00A82"/>
    <w:rsid w:val="00C01021"/>
    <w:rsid w:val="00C0141F"/>
    <w:rsid w:val="00C01B30"/>
    <w:rsid w:val="00C02110"/>
    <w:rsid w:val="00C022AC"/>
    <w:rsid w:val="00C02817"/>
    <w:rsid w:val="00C02D73"/>
    <w:rsid w:val="00C0320B"/>
    <w:rsid w:val="00C03DBE"/>
    <w:rsid w:val="00C042B5"/>
    <w:rsid w:val="00C048AF"/>
    <w:rsid w:val="00C05824"/>
    <w:rsid w:val="00C05F7B"/>
    <w:rsid w:val="00C077E0"/>
    <w:rsid w:val="00C07DE6"/>
    <w:rsid w:val="00C10A38"/>
    <w:rsid w:val="00C10C48"/>
    <w:rsid w:val="00C11719"/>
    <w:rsid w:val="00C12B79"/>
    <w:rsid w:val="00C12DEB"/>
    <w:rsid w:val="00C13D9C"/>
    <w:rsid w:val="00C14031"/>
    <w:rsid w:val="00C141D4"/>
    <w:rsid w:val="00C1428F"/>
    <w:rsid w:val="00C1433C"/>
    <w:rsid w:val="00C14681"/>
    <w:rsid w:val="00C1486F"/>
    <w:rsid w:val="00C14DE2"/>
    <w:rsid w:val="00C1530E"/>
    <w:rsid w:val="00C154B5"/>
    <w:rsid w:val="00C15D69"/>
    <w:rsid w:val="00C160C1"/>
    <w:rsid w:val="00C16354"/>
    <w:rsid w:val="00C1678A"/>
    <w:rsid w:val="00C17172"/>
    <w:rsid w:val="00C17872"/>
    <w:rsid w:val="00C17E4F"/>
    <w:rsid w:val="00C20123"/>
    <w:rsid w:val="00C20190"/>
    <w:rsid w:val="00C205E9"/>
    <w:rsid w:val="00C212FC"/>
    <w:rsid w:val="00C2139F"/>
    <w:rsid w:val="00C213D7"/>
    <w:rsid w:val="00C21825"/>
    <w:rsid w:val="00C2291D"/>
    <w:rsid w:val="00C22F61"/>
    <w:rsid w:val="00C22F93"/>
    <w:rsid w:val="00C23EDA"/>
    <w:rsid w:val="00C23F48"/>
    <w:rsid w:val="00C2422B"/>
    <w:rsid w:val="00C24FCE"/>
    <w:rsid w:val="00C2555D"/>
    <w:rsid w:val="00C25B21"/>
    <w:rsid w:val="00C25E0C"/>
    <w:rsid w:val="00C260DD"/>
    <w:rsid w:val="00C26289"/>
    <w:rsid w:val="00C262BD"/>
    <w:rsid w:val="00C265DA"/>
    <w:rsid w:val="00C26781"/>
    <w:rsid w:val="00C26A5E"/>
    <w:rsid w:val="00C27196"/>
    <w:rsid w:val="00C271A8"/>
    <w:rsid w:val="00C276B6"/>
    <w:rsid w:val="00C279F0"/>
    <w:rsid w:val="00C3003A"/>
    <w:rsid w:val="00C30227"/>
    <w:rsid w:val="00C304F9"/>
    <w:rsid w:val="00C30E04"/>
    <w:rsid w:val="00C310C2"/>
    <w:rsid w:val="00C314CA"/>
    <w:rsid w:val="00C32134"/>
    <w:rsid w:val="00C3249E"/>
    <w:rsid w:val="00C328ED"/>
    <w:rsid w:val="00C339A5"/>
    <w:rsid w:val="00C34ED5"/>
    <w:rsid w:val="00C3544C"/>
    <w:rsid w:val="00C3573C"/>
    <w:rsid w:val="00C35B0A"/>
    <w:rsid w:val="00C35ECE"/>
    <w:rsid w:val="00C361E4"/>
    <w:rsid w:val="00C36525"/>
    <w:rsid w:val="00C37D68"/>
    <w:rsid w:val="00C40003"/>
    <w:rsid w:val="00C40B9A"/>
    <w:rsid w:val="00C40EB3"/>
    <w:rsid w:val="00C40EE0"/>
    <w:rsid w:val="00C41A83"/>
    <w:rsid w:val="00C41BD9"/>
    <w:rsid w:val="00C4250F"/>
    <w:rsid w:val="00C42DDC"/>
    <w:rsid w:val="00C434FD"/>
    <w:rsid w:val="00C4350E"/>
    <w:rsid w:val="00C43D11"/>
    <w:rsid w:val="00C45469"/>
    <w:rsid w:val="00C45660"/>
    <w:rsid w:val="00C459ED"/>
    <w:rsid w:val="00C45D81"/>
    <w:rsid w:val="00C46485"/>
    <w:rsid w:val="00C4652C"/>
    <w:rsid w:val="00C46787"/>
    <w:rsid w:val="00C46856"/>
    <w:rsid w:val="00C46AC8"/>
    <w:rsid w:val="00C46EDA"/>
    <w:rsid w:val="00C47AC7"/>
    <w:rsid w:val="00C50645"/>
    <w:rsid w:val="00C508B8"/>
    <w:rsid w:val="00C508BE"/>
    <w:rsid w:val="00C50E29"/>
    <w:rsid w:val="00C51183"/>
    <w:rsid w:val="00C51207"/>
    <w:rsid w:val="00C5166A"/>
    <w:rsid w:val="00C5188F"/>
    <w:rsid w:val="00C518B0"/>
    <w:rsid w:val="00C5192E"/>
    <w:rsid w:val="00C51F0D"/>
    <w:rsid w:val="00C52890"/>
    <w:rsid w:val="00C52BE3"/>
    <w:rsid w:val="00C52DE6"/>
    <w:rsid w:val="00C5465E"/>
    <w:rsid w:val="00C54B52"/>
    <w:rsid w:val="00C55F2D"/>
    <w:rsid w:val="00C55F32"/>
    <w:rsid w:val="00C5626D"/>
    <w:rsid w:val="00C56346"/>
    <w:rsid w:val="00C566AB"/>
    <w:rsid w:val="00C56B51"/>
    <w:rsid w:val="00C6016B"/>
    <w:rsid w:val="00C60437"/>
    <w:rsid w:val="00C60FAA"/>
    <w:rsid w:val="00C61015"/>
    <w:rsid w:val="00C619D9"/>
    <w:rsid w:val="00C62AB2"/>
    <w:rsid w:val="00C62C21"/>
    <w:rsid w:val="00C634A7"/>
    <w:rsid w:val="00C638D7"/>
    <w:rsid w:val="00C638DF"/>
    <w:rsid w:val="00C63E8A"/>
    <w:rsid w:val="00C646C3"/>
    <w:rsid w:val="00C64720"/>
    <w:rsid w:val="00C6517F"/>
    <w:rsid w:val="00C653D4"/>
    <w:rsid w:val="00C6559E"/>
    <w:rsid w:val="00C65A0B"/>
    <w:rsid w:val="00C65F26"/>
    <w:rsid w:val="00C6614C"/>
    <w:rsid w:val="00C66171"/>
    <w:rsid w:val="00C6633D"/>
    <w:rsid w:val="00C66A54"/>
    <w:rsid w:val="00C67957"/>
    <w:rsid w:val="00C67BA6"/>
    <w:rsid w:val="00C67DF0"/>
    <w:rsid w:val="00C67E61"/>
    <w:rsid w:val="00C700A2"/>
    <w:rsid w:val="00C70447"/>
    <w:rsid w:val="00C70DA3"/>
    <w:rsid w:val="00C71028"/>
    <w:rsid w:val="00C7120E"/>
    <w:rsid w:val="00C71278"/>
    <w:rsid w:val="00C7147C"/>
    <w:rsid w:val="00C7168B"/>
    <w:rsid w:val="00C71920"/>
    <w:rsid w:val="00C71D49"/>
    <w:rsid w:val="00C71D78"/>
    <w:rsid w:val="00C729D3"/>
    <w:rsid w:val="00C72A63"/>
    <w:rsid w:val="00C737EC"/>
    <w:rsid w:val="00C73874"/>
    <w:rsid w:val="00C73D38"/>
    <w:rsid w:val="00C73DED"/>
    <w:rsid w:val="00C73ECB"/>
    <w:rsid w:val="00C747A7"/>
    <w:rsid w:val="00C74C5F"/>
    <w:rsid w:val="00C751A5"/>
    <w:rsid w:val="00C755A8"/>
    <w:rsid w:val="00C75BE8"/>
    <w:rsid w:val="00C76C2F"/>
    <w:rsid w:val="00C775BE"/>
    <w:rsid w:val="00C77A70"/>
    <w:rsid w:val="00C77AAC"/>
    <w:rsid w:val="00C77C33"/>
    <w:rsid w:val="00C808B2"/>
    <w:rsid w:val="00C80AC2"/>
    <w:rsid w:val="00C80AE4"/>
    <w:rsid w:val="00C80CA1"/>
    <w:rsid w:val="00C80FEC"/>
    <w:rsid w:val="00C814D7"/>
    <w:rsid w:val="00C81E5E"/>
    <w:rsid w:val="00C82787"/>
    <w:rsid w:val="00C82D49"/>
    <w:rsid w:val="00C8302A"/>
    <w:rsid w:val="00C83671"/>
    <w:rsid w:val="00C83AFE"/>
    <w:rsid w:val="00C83BA2"/>
    <w:rsid w:val="00C84B31"/>
    <w:rsid w:val="00C85094"/>
    <w:rsid w:val="00C856C4"/>
    <w:rsid w:val="00C857F1"/>
    <w:rsid w:val="00C858C4"/>
    <w:rsid w:val="00C86D70"/>
    <w:rsid w:val="00C87063"/>
    <w:rsid w:val="00C871C4"/>
    <w:rsid w:val="00C87455"/>
    <w:rsid w:val="00C874BF"/>
    <w:rsid w:val="00C87A13"/>
    <w:rsid w:val="00C9026C"/>
    <w:rsid w:val="00C91939"/>
    <w:rsid w:val="00C9213E"/>
    <w:rsid w:val="00C92322"/>
    <w:rsid w:val="00C92B99"/>
    <w:rsid w:val="00C92C8C"/>
    <w:rsid w:val="00C938C6"/>
    <w:rsid w:val="00C93ECA"/>
    <w:rsid w:val="00C94284"/>
    <w:rsid w:val="00C944C7"/>
    <w:rsid w:val="00C94D1F"/>
    <w:rsid w:val="00C9528D"/>
    <w:rsid w:val="00C95789"/>
    <w:rsid w:val="00C95D9B"/>
    <w:rsid w:val="00C96A5E"/>
    <w:rsid w:val="00C96B06"/>
    <w:rsid w:val="00C970FE"/>
    <w:rsid w:val="00C97113"/>
    <w:rsid w:val="00C97301"/>
    <w:rsid w:val="00CA032A"/>
    <w:rsid w:val="00CA073C"/>
    <w:rsid w:val="00CA1130"/>
    <w:rsid w:val="00CA1A2A"/>
    <w:rsid w:val="00CA21E7"/>
    <w:rsid w:val="00CA23A1"/>
    <w:rsid w:val="00CA2C48"/>
    <w:rsid w:val="00CA369A"/>
    <w:rsid w:val="00CA3934"/>
    <w:rsid w:val="00CA415F"/>
    <w:rsid w:val="00CA4854"/>
    <w:rsid w:val="00CA4916"/>
    <w:rsid w:val="00CA4F08"/>
    <w:rsid w:val="00CA523A"/>
    <w:rsid w:val="00CA529D"/>
    <w:rsid w:val="00CA5CC3"/>
    <w:rsid w:val="00CA5EA7"/>
    <w:rsid w:val="00CA5F3C"/>
    <w:rsid w:val="00CA6637"/>
    <w:rsid w:val="00CA69A3"/>
    <w:rsid w:val="00CA76E0"/>
    <w:rsid w:val="00CA7A13"/>
    <w:rsid w:val="00CB026C"/>
    <w:rsid w:val="00CB06D2"/>
    <w:rsid w:val="00CB2961"/>
    <w:rsid w:val="00CB2C14"/>
    <w:rsid w:val="00CB3C6B"/>
    <w:rsid w:val="00CB408A"/>
    <w:rsid w:val="00CB40B8"/>
    <w:rsid w:val="00CB43A3"/>
    <w:rsid w:val="00CB51AD"/>
    <w:rsid w:val="00CB57ED"/>
    <w:rsid w:val="00CB5A49"/>
    <w:rsid w:val="00CB5C15"/>
    <w:rsid w:val="00CB5EC2"/>
    <w:rsid w:val="00CB678B"/>
    <w:rsid w:val="00CB6811"/>
    <w:rsid w:val="00CB6E9B"/>
    <w:rsid w:val="00CC06B0"/>
    <w:rsid w:val="00CC0CBA"/>
    <w:rsid w:val="00CC0D5A"/>
    <w:rsid w:val="00CC0E37"/>
    <w:rsid w:val="00CC1228"/>
    <w:rsid w:val="00CC13DD"/>
    <w:rsid w:val="00CC1A21"/>
    <w:rsid w:val="00CC1A3C"/>
    <w:rsid w:val="00CC2CC0"/>
    <w:rsid w:val="00CC326A"/>
    <w:rsid w:val="00CC34B4"/>
    <w:rsid w:val="00CC3619"/>
    <w:rsid w:val="00CC3E1B"/>
    <w:rsid w:val="00CC45CA"/>
    <w:rsid w:val="00CC65C0"/>
    <w:rsid w:val="00CC66DE"/>
    <w:rsid w:val="00CC6AC5"/>
    <w:rsid w:val="00CC7C0C"/>
    <w:rsid w:val="00CD030E"/>
    <w:rsid w:val="00CD048D"/>
    <w:rsid w:val="00CD0BBC"/>
    <w:rsid w:val="00CD0FC9"/>
    <w:rsid w:val="00CD1FFF"/>
    <w:rsid w:val="00CD2100"/>
    <w:rsid w:val="00CD24B0"/>
    <w:rsid w:val="00CD3A0E"/>
    <w:rsid w:val="00CD3A23"/>
    <w:rsid w:val="00CD400C"/>
    <w:rsid w:val="00CD4237"/>
    <w:rsid w:val="00CD43D5"/>
    <w:rsid w:val="00CD46B4"/>
    <w:rsid w:val="00CD4934"/>
    <w:rsid w:val="00CD49FD"/>
    <w:rsid w:val="00CD4A43"/>
    <w:rsid w:val="00CD52C8"/>
    <w:rsid w:val="00CD5488"/>
    <w:rsid w:val="00CD5694"/>
    <w:rsid w:val="00CD58BC"/>
    <w:rsid w:val="00CD6261"/>
    <w:rsid w:val="00CD62E7"/>
    <w:rsid w:val="00CD6650"/>
    <w:rsid w:val="00CD68AB"/>
    <w:rsid w:val="00CD7451"/>
    <w:rsid w:val="00CD75E3"/>
    <w:rsid w:val="00CE0844"/>
    <w:rsid w:val="00CE1B96"/>
    <w:rsid w:val="00CE25CB"/>
    <w:rsid w:val="00CE2627"/>
    <w:rsid w:val="00CE2DCB"/>
    <w:rsid w:val="00CE2EB2"/>
    <w:rsid w:val="00CE37A8"/>
    <w:rsid w:val="00CE3A31"/>
    <w:rsid w:val="00CE3CE2"/>
    <w:rsid w:val="00CE465D"/>
    <w:rsid w:val="00CE47ED"/>
    <w:rsid w:val="00CE4CBA"/>
    <w:rsid w:val="00CE525D"/>
    <w:rsid w:val="00CE5ABC"/>
    <w:rsid w:val="00CE5C99"/>
    <w:rsid w:val="00CE5E4A"/>
    <w:rsid w:val="00CE5E9E"/>
    <w:rsid w:val="00CE6017"/>
    <w:rsid w:val="00CE6B03"/>
    <w:rsid w:val="00CE6F1D"/>
    <w:rsid w:val="00CE7160"/>
    <w:rsid w:val="00CE7772"/>
    <w:rsid w:val="00CF0481"/>
    <w:rsid w:val="00CF0886"/>
    <w:rsid w:val="00CF0965"/>
    <w:rsid w:val="00CF0D68"/>
    <w:rsid w:val="00CF13B5"/>
    <w:rsid w:val="00CF1728"/>
    <w:rsid w:val="00CF1CD2"/>
    <w:rsid w:val="00CF23EE"/>
    <w:rsid w:val="00CF299C"/>
    <w:rsid w:val="00CF32C1"/>
    <w:rsid w:val="00CF3690"/>
    <w:rsid w:val="00CF41D3"/>
    <w:rsid w:val="00CF50B1"/>
    <w:rsid w:val="00CF529E"/>
    <w:rsid w:val="00CF56F9"/>
    <w:rsid w:val="00CF59AA"/>
    <w:rsid w:val="00CF5B3E"/>
    <w:rsid w:val="00CF5D41"/>
    <w:rsid w:val="00CF5F5B"/>
    <w:rsid w:val="00CF646D"/>
    <w:rsid w:val="00CF6791"/>
    <w:rsid w:val="00CF6855"/>
    <w:rsid w:val="00CF692A"/>
    <w:rsid w:val="00CF765A"/>
    <w:rsid w:val="00CF79D1"/>
    <w:rsid w:val="00CF7A64"/>
    <w:rsid w:val="00CF7BB4"/>
    <w:rsid w:val="00D004C5"/>
    <w:rsid w:val="00D00510"/>
    <w:rsid w:val="00D0129D"/>
    <w:rsid w:val="00D01855"/>
    <w:rsid w:val="00D0298C"/>
    <w:rsid w:val="00D030CB"/>
    <w:rsid w:val="00D035FA"/>
    <w:rsid w:val="00D03938"/>
    <w:rsid w:val="00D045E3"/>
    <w:rsid w:val="00D04DF0"/>
    <w:rsid w:val="00D04EEE"/>
    <w:rsid w:val="00D05733"/>
    <w:rsid w:val="00D0618D"/>
    <w:rsid w:val="00D065D2"/>
    <w:rsid w:val="00D079B3"/>
    <w:rsid w:val="00D101D0"/>
    <w:rsid w:val="00D1022D"/>
    <w:rsid w:val="00D10561"/>
    <w:rsid w:val="00D1060F"/>
    <w:rsid w:val="00D1063F"/>
    <w:rsid w:val="00D10C2D"/>
    <w:rsid w:val="00D10DE7"/>
    <w:rsid w:val="00D11357"/>
    <w:rsid w:val="00D113E6"/>
    <w:rsid w:val="00D115BD"/>
    <w:rsid w:val="00D11F57"/>
    <w:rsid w:val="00D126F7"/>
    <w:rsid w:val="00D128B9"/>
    <w:rsid w:val="00D129F5"/>
    <w:rsid w:val="00D12ED9"/>
    <w:rsid w:val="00D130A6"/>
    <w:rsid w:val="00D13840"/>
    <w:rsid w:val="00D14043"/>
    <w:rsid w:val="00D141DD"/>
    <w:rsid w:val="00D142DD"/>
    <w:rsid w:val="00D1467B"/>
    <w:rsid w:val="00D146F0"/>
    <w:rsid w:val="00D14793"/>
    <w:rsid w:val="00D1494A"/>
    <w:rsid w:val="00D158DF"/>
    <w:rsid w:val="00D15BA9"/>
    <w:rsid w:val="00D16052"/>
    <w:rsid w:val="00D16491"/>
    <w:rsid w:val="00D16969"/>
    <w:rsid w:val="00D16E10"/>
    <w:rsid w:val="00D17258"/>
    <w:rsid w:val="00D17607"/>
    <w:rsid w:val="00D17CBE"/>
    <w:rsid w:val="00D17E90"/>
    <w:rsid w:val="00D2016B"/>
    <w:rsid w:val="00D20FCD"/>
    <w:rsid w:val="00D21424"/>
    <w:rsid w:val="00D21887"/>
    <w:rsid w:val="00D221BA"/>
    <w:rsid w:val="00D225D6"/>
    <w:rsid w:val="00D22A21"/>
    <w:rsid w:val="00D2407C"/>
    <w:rsid w:val="00D24143"/>
    <w:rsid w:val="00D2484C"/>
    <w:rsid w:val="00D25454"/>
    <w:rsid w:val="00D259B6"/>
    <w:rsid w:val="00D25D87"/>
    <w:rsid w:val="00D25F29"/>
    <w:rsid w:val="00D25F7F"/>
    <w:rsid w:val="00D260D3"/>
    <w:rsid w:val="00D26495"/>
    <w:rsid w:val="00D266DE"/>
    <w:rsid w:val="00D26ADB"/>
    <w:rsid w:val="00D26DBF"/>
    <w:rsid w:val="00D27229"/>
    <w:rsid w:val="00D27AB5"/>
    <w:rsid w:val="00D30523"/>
    <w:rsid w:val="00D31689"/>
    <w:rsid w:val="00D3182E"/>
    <w:rsid w:val="00D318D9"/>
    <w:rsid w:val="00D324F0"/>
    <w:rsid w:val="00D325D3"/>
    <w:rsid w:val="00D33198"/>
    <w:rsid w:val="00D3447B"/>
    <w:rsid w:val="00D34676"/>
    <w:rsid w:val="00D34920"/>
    <w:rsid w:val="00D34EA5"/>
    <w:rsid w:val="00D355E8"/>
    <w:rsid w:val="00D35B04"/>
    <w:rsid w:val="00D35C5F"/>
    <w:rsid w:val="00D36258"/>
    <w:rsid w:val="00D3665A"/>
    <w:rsid w:val="00D371BD"/>
    <w:rsid w:val="00D37C7A"/>
    <w:rsid w:val="00D37CD9"/>
    <w:rsid w:val="00D40361"/>
    <w:rsid w:val="00D407C7"/>
    <w:rsid w:val="00D407F0"/>
    <w:rsid w:val="00D40F21"/>
    <w:rsid w:val="00D410F0"/>
    <w:rsid w:val="00D41C8A"/>
    <w:rsid w:val="00D41CDB"/>
    <w:rsid w:val="00D41FDE"/>
    <w:rsid w:val="00D42AE8"/>
    <w:rsid w:val="00D43971"/>
    <w:rsid w:val="00D43B59"/>
    <w:rsid w:val="00D43DD6"/>
    <w:rsid w:val="00D43E58"/>
    <w:rsid w:val="00D4402E"/>
    <w:rsid w:val="00D44068"/>
    <w:rsid w:val="00D443F7"/>
    <w:rsid w:val="00D4449A"/>
    <w:rsid w:val="00D44AE8"/>
    <w:rsid w:val="00D45292"/>
    <w:rsid w:val="00D454EC"/>
    <w:rsid w:val="00D45534"/>
    <w:rsid w:val="00D45A24"/>
    <w:rsid w:val="00D465B6"/>
    <w:rsid w:val="00D46D0B"/>
    <w:rsid w:val="00D474CF"/>
    <w:rsid w:val="00D47FA1"/>
    <w:rsid w:val="00D509F7"/>
    <w:rsid w:val="00D50C13"/>
    <w:rsid w:val="00D51C2C"/>
    <w:rsid w:val="00D52348"/>
    <w:rsid w:val="00D52A69"/>
    <w:rsid w:val="00D53E2D"/>
    <w:rsid w:val="00D556E3"/>
    <w:rsid w:val="00D55A36"/>
    <w:rsid w:val="00D55B11"/>
    <w:rsid w:val="00D55CD6"/>
    <w:rsid w:val="00D55F73"/>
    <w:rsid w:val="00D5641F"/>
    <w:rsid w:val="00D5689A"/>
    <w:rsid w:val="00D56A28"/>
    <w:rsid w:val="00D56A48"/>
    <w:rsid w:val="00D56BD8"/>
    <w:rsid w:val="00D57044"/>
    <w:rsid w:val="00D57072"/>
    <w:rsid w:val="00D573CD"/>
    <w:rsid w:val="00D5740A"/>
    <w:rsid w:val="00D576CF"/>
    <w:rsid w:val="00D60127"/>
    <w:rsid w:val="00D61249"/>
    <w:rsid w:val="00D6143C"/>
    <w:rsid w:val="00D6197D"/>
    <w:rsid w:val="00D61AE5"/>
    <w:rsid w:val="00D61E0A"/>
    <w:rsid w:val="00D61E65"/>
    <w:rsid w:val="00D627DB"/>
    <w:rsid w:val="00D62B54"/>
    <w:rsid w:val="00D62D84"/>
    <w:rsid w:val="00D631BE"/>
    <w:rsid w:val="00D6456E"/>
    <w:rsid w:val="00D64636"/>
    <w:rsid w:val="00D647E1"/>
    <w:rsid w:val="00D64A03"/>
    <w:rsid w:val="00D64E40"/>
    <w:rsid w:val="00D65C8F"/>
    <w:rsid w:val="00D6627A"/>
    <w:rsid w:val="00D668E4"/>
    <w:rsid w:val="00D66B4A"/>
    <w:rsid w:val="00D67184"/>
    <w:rsid w:val="00D673FE"/>
    <w:rsid w:val="00D67466"/>
    <w:rsid w:val="00D67A5E"/>
    <w:rsid w:val="00D7047B"/>
    <w:rsid w:val="00D70735"/>
    <w:rsid w:val="00D70C48"/>
    <w:rsid w:val="00D71584"/>
    <w:rsid w:val="00D729A9"/>
    <w:rsid w:val="00D72F48"/>
    <w:rsid w:val="00D733D3"/>
    <w:rsid w:val="00D7359A"/>
    <w:rsid w:val="00D739D2"/>
    <w:rsid w:val="00D73BD8"/>
    <w:rsid w:val="00D741F4"/>
    <w:rsid w:val="00D7447C"/>
    <w:rsid w:val="00D74F96"/>
    <w:rsid w:val="00D74FEC"/>
    <w:rsid w:val="00D75505"/>
    <w:rsid w:val="00D75747"/>
    <w:rsid w:val="00D75C48"/>
    <w:rsid w:val="00D762E1"/>
    <w:rsid w:val="00D76695"/>
    <w:rsid w:val="00D76922"/>
    <w:rsid w:val="00D77A10"/>
    <w:rsid w:val="00D77ACB"/>
    <w:rsid w:val="00D77DAB"/>
    <w:rsid w:val="00D80743"/>
    <w:rsid w:val="00D80998"/>
    <w:rsid w:val="00D80A66"/>
    <w:rsid w:val="00D8114C"/>
    <w:rsid w:val="00D81181"/>
    <w:rsid w:val="00D81405"/>
    <w:rsid w:val="00D8228F"/>
    <w:rsid w:val="00D824A1"/>
    <w:rsid w:val="00D82C9C"/>
    <w:rsid w:val="00D82DCF"/>
    <w:rsid w:val="00D839D0"/>
    <w:rsid w:val="00D83B54"/>
    <w:rsid w:val="00D83CB1"/>
    <w:rsid w:val="00D84331"/>
    <w:rsid w:val="00D847F2"/>
    <w:rsid w:val="00D8497C"/>
    <w:rsid w:val="00D84C91"/>
    <w:rsid w:val="00D84D2F"/>
    <w:rsid w:val="00D85760"/>
    <w:rsid w:val="00D85A6F"/>
    <w:rsid w:val="00D85A81"/>
    <w:rsid w:val="00D85F6A"/>
    <w:rsid w:val="00D862DA"/>
    <w:rsid w:val="00D8640C"/>
    <w:rsid w:val="00D86456"/>
    <w:rsid w:val="00D86C1A"/>
    <w:rsid w:val="00D870BD"/>
    <w:rsid w:val="00D903B9"/>
    <w:rsid w:val="00D909F6"/>
    <w:rsid w:val="00D90ED8"/>
    <w:rsid w:val="00D91911"/>
    <w:rsid w:val="00D924FF"/>
    <w:rsid w:val="00D92BC8"/>
    <w:rsid w:val="00D93584"/>
    <w:rsid w:val="00D936C9"/>
    <w:rsid w:val="00D9388F"/>
    <w:rsid w:val="00D9392F"/>
    <w:rsid w:val="00D93C22"/>
    <w:rsid w:val="00D942C4"/>
    <w:rsid w:val="00D9462E"/>
    <w:rsid w:val="00D94A23"/>
    <w:rsid w:val="00D94AB6"/>
    <w:rsid w:val="00D96D7F"/>
    <w:rsid w:val="00D97602"/>
    <w:rsid w:val="00D979A6"/>
    <w:rsid w:val="00D97DB1"/>
    <w:rsid w:val="00DA0259"/>
    <w:rsid w:val="00DA02CF"/>
    <w:rsid w:val="00DA099F"/>
    <w:rsid w:val="00DA11F5"/>
    <w:rsid w:val="00DA168C"/>
    <w:rsid w:val="00DA1910"/>
    <w:rsid w:val="00DA36B9"/>
    <w:rsid w:val="00DA3900"/>
    <w:rsid w:val="00DA3B19"/>
    <w:rsid w:val="00DA3C69"/>
    <w:rsid w:val="00DA3D7B"/>
    <w:rsid w:val="00DA3DFF"/>
    <w:rsid w:val="00DA3F57"/>
    <w:rsid w:val="00DA43A5"/>
    <w:rsid w:val="00DA47B5"/>
    <w:rsid w:val="00DA4DD2"/>
    <w:rsid w:val="00DA542F"/>
    <w:rsid w:val="00DA60D9"/>
    <w:rsid w:val="00DA6721"/>
    <w:rsid w:val="00DA7189"/>
    <w:rsid w:val="00DA7370"/>
    <w:rsid w:val="00DA7377"/>
    <w:rsid w:val="00DA7D78"/>
    <w:rsid w:val="00DB00FC"/>
    <w:rsid w:val="00DB0193"/>
    <w:rsid w:val="00DB0864"/>
    <w:rsid w:val="00DB0C5D"/>
    <w:rsid w:val="00DB109D"/>
    <w:rsid w:val="00DB1190"/>
    <w:rsid w:val="00DB1B4F"/>
    <w:rsid w:val="00DB1C6B"/>
    <w:rsid w:val="00DB25DB"/>
    <w:rsid w:val="00DB2CD2"/>
    <w:rsid w:val="00DB3361"/>
    <w:rsid w:val="00DB3F6A"/>
    <w:rsid w:val="00DB4015"/>
    <w:rsid w:val="00DB4439"/>
    <w:rsid w:val="00DB4594"/>
    <w:rsid w:val="00DB4AA3"/>
    <w:rsid w:val="00DB61CB"/>
    <w:rsid w:val="00DB6747"/>
    <w:rsid w:val="00DB6876"/>
    <w:rsid w:val="00DB68FF"/>
    <w:rsid w:val="00DB695B"/>
    <w:rsid w:val="00DB7230"/>
    <w:rsid w:val="00DC05D7"/>
    <w:rsid w:val="00DC065D"/>
    <w:rsid w:val="00DC0AB3"/>
    <w:rsid w:val="00DC0D15"/>
    <w:rsid w:val="00DC1494"/>
    <w:rsid w:val="00DC1B97"/>
    <w:rsid w:val="00DC2236"/>
    <w:rsid w:val="00DC2903"/>
    <w:rsid w:val="00DC32AE"/>
    <w:rsid w:val="00DC32BA"/>
    <w:rsid w:val="00DC36E2"/>
    <w:rsid w:val="00DC3E10"/>
    <w:rsid w:val="00DC40B3"/>
    <w:rsid w:val="00DC467B"/>
    <w:rsid w:val="00DC4A8E"/>
    <w:rsid w:val="00DC57AF"/>
    <w:rsid w:val="00DC5FD8"/>
    <w:rsid w:val="00DC614F"/>
    <w:rsid w:val="00DC6728"/>
    <w:rsid w:val="00DC6C13"/>
    <w:rsid w:val="00DC6D88"/>
    <w:rsid w:val="00DC6DA7"/>
    <w:rsid w:val="00DC6E8A"/>
    <w:rsid w:val="00DC7786"/>
    <w:rsid w:val="00DC7A4F"/>
    <w:rsid w:val="00DC7ADF"/>
    <w:rsid w:val="00DC7F01"/>
    <w:rsid w:val="00DD0237"/>
    <w:rsid w:val="00DD023B"/>
    <w:rsid w:val="00DD0F53"/>
    <w:rsid w:val="00DD1304"/>
    <w:rsid w:val="00DD223C"/>
    <w:rsid w:val="00DD293E"/>
    <w:rsid w:val="00DD2DA6"/>
    <w:rsid w:val="00DD2F9F"/>
    <w:rsid w:val="00DD3B7F"/>
    <w:rsid w:val="00DD3F91"/>
    <w:rsid w:val="00DD4314"/>
    <w:rsid w:val="00DD52B2"/>
    <w:rsid w:val="00DD547E"/>
    <w:rsid w:val="00DD570A"/>
    <w:rsid w:val="00DD59BA"/>
    <w:rsid w:val="00DD6314"/>
    <w:rsid w:val="00DD63DF"/>
    <w:rsid w:val="00DD6518"/>
    <w:rsid w:val="00DD6533"/>
    <w:rsid w:val="00DD6537"/>
    <w:rsid w:val="00DD6667"/>
    <w:rsid w:val="00DD70BF"/>
    <w:rsid w:val="00DD74A2"/>
    <w:rsid w:val="00DD79CE"/>
    <w:rsid w:val="00DD7B85"/>
    <w:rsid w:val="00DD7E13"/>
    <w:rsid w:val="00DE0A84"/>
    <w:rsid w:val="00DE2136"/>
    <w:rsid w:val="00DE26D6"/>
    <w:rsid w:val="00DE2A5D"/>
    <w:rsid w:val="00DE30C5"/>
    <w:rsid w:val="00DE3399"/>
    <w:rsid w:val="00DE33C5"/>
    <w:rsid w:val="00DE383B"/>
    <w:rsid w:val="00DE3F90"/>
    <w:rsid w:val="00DE46CE"/>
    <w:rsid w:val="00DE49BE"/>
    <w:rsid w:val="00DE4ABE"/>
    <w:rsid w:val="00DE520E"/>
    <w:rsid w:val="00DE55B2"/>
    <w:rsid w:val="00DE5814"/>
    <w:rsid w:val="00DE5AD1"/>
    <w:rsid w:val="00DE6434"/>
    <w:rsid w:val="00DE6576"/>
    <w:rsid w:val="00DE663F"/>
    <w:rsid w:val="00DE787D"/>
    <w:rsid w:val="00DE7A04"/>
    <w:rsid w:val="00DE7F5B"/>
    <w:rsid w:val="00DF0152"/>
    <w:rsid w:val="00DF0655"/>
    <w:rsid w:val="00DF09A0"/>
    <w:rsid w:val="00DF0D9C"/>
    <w:rsid w:val="00DF1116"/>
    <w:rsid w:val="00DF1372"/>
    <w:rsid w:val="00DF14F6"/>
    <w:rsid w:val="00DF4560"/>
    <w:rsid w:val="00DF4614"/>
    <w:rsid w:val="00DF4958"/>
    <w:rsid w:val="00DF4BF5"/>
    <w:rsid w:val="00DF53E3"/>
    <w:rsid w:val="00DF5998"/>
    <w:rsid w:val="00DF5E3F"/>
    <w:rsid w:val="00DF6037"/>
    <w:rsid w:val="00DF67D6"/>
    <w:rsid w:val="00DF6A8D"/>
    <w:rsid w:val="00DF6A9C"/>
    <w:rsid w:val="00DF6D10"/>
    <w:rsid w:val="00DF6E6B"/>
    <w:rsid w:val="00DF70B8"/>
    <w:rsid w:val="00DF7B25"/>
    <w:rsid w:val="00E009B3"/>
    <w:rsid w:val="00E00B67"/>
    <w:rsid w:val="00E00C90"/>
    <w:rsid w:val="00E011F7"/>
    <w:rsid w:val="00E01722"/>
    <w:rsid w:val="00E01A48"/>
    <w:rsid w:val="00E01A7F"/>
    <w:rsid w:val="00E01F3A"/>
    <w:rsid w:val="00E02215"/>
    <w:rsid w:val="00E03B37"/>
    <w:rsid w:val="00E04840"/>
    <w:rsid w:val="00E04A32"/>
    <w:rsid w:val="00E0501A"/>
    <w:rsid w:val="00E0564C"/>
    <w:rsid w:val="00E05CB5"/>
    <w:rsid w:val="00E05CC7"/>
    <w:rsid w:val="00E10CF8"/>
    <w:rsid w:val="00E112D0"/>
    <w:rsid w:val="00E122B1"/>
    <w:rsid w:val="00E124B5"/>
    <w:rsid w:val="00E13360"/>
    <w:rsid w:val="00E135A1"/>
    <w:rsid w:val="00E13C82"/>
    <w:rsid w:val="00E1496E"/>
    <w:rsid w:val="00E14C1D"/>
    <w:rsid w:val="00E15588"/>
    <w:rsid w:val="00E1626C"/>
    <w:rsid w:val="00E16A50"/>
    <w:rsid w:val="00E16BD2"/>
    <w:rsid w:val="00E16EF1"/>
    <w:rsid w:val="00E177A0"/>
    <w:rsid w:val="00E17847"/>
    <w:rsid w:val="00E17F63"/>
    <w:rsid w:val="00E20059"/>
    <w:rsid w:val="00E20189"/>
    <w:rsid w:val="00E2018A"/>
    <w:rsid w:val="00E20589"/>
    <w:rsid w:val="00E20FC4"/>
    <w:rsid w:val="00E22928"/>
    <w:rsid w:val="00E229DE"/>
    <w:rsid w:val="00E23763"/>
    <w:rsid w:val="00E23DD4"/>
    <w:rsid w:val="00E24150"/>
    <w:rsid w:val="00E250A9"/>
    <w:rsid w:val="00E2573B"/>
    <w:rsid w:val="00E25F1E"/>
    <w:rsid w:val="00E265A6"/>
    <w:rsid w:val="00E27AF5"/>
    <w:rsid w:val="00E30074"/>
    <w:rsid w:val="00E3056A"/>
    <w:rsid w:val="00E306C5"/>
    <w:rsid w:val="00E31016"/>
    <w:rsid w:val="00E3123A"/>
    <w:rsid w:val="00E31D23"/>
    <w:rsid w:val="00E323AC"/>
    <w:rsid w:val="00E32AC6"/>
    <w:rsid w:val="00E32E28"/>
    <w:rsid w:val="00E3314B"/>
    <w:rsid w:val="00E33230"/>
    <w:rsid w:val="00E334CA"/>
    <w:rsid w:val="00E3371B"/>
    <w:rsid w:val="00E339A8"/>
    <w:rsid w:val="00E33DB9"/>
    <w:rsid w:val="00E3460A"/>
    <w:rsid w:val="00E34668"/>
    <w:rsid w:val="00E350C2"/>
    <w:rsid w:val="00E353F9"/>
    <w:rsid w:val="00E358C9"/>
    <w:rsid w:val="00E35A03"/>
    <w:rsid w:val="00E368C3"/>
    <w:rsid w:val="00E36A7A"/>
    <w:rsid w:val="00E374B6"/>
    <w:rsid w:val="00E3764A"/>
    <w:rsid w:val="00E376E1"/>
    <w:rsid w:val="00E43088"/>
    <w:rsid w:val="00E43A87"/>
    <w:rsid w:val="00E43C06"/>
    <w:rsid w:val="00E43E6A"/>
    <w:rsid w:val="00E444A9"/>
    <w:rsid w:val="00E449B1"/>
    <w:rsid w:val="00E44B2C"/>
    <w:rsid w:val="00E44CAE"/>
    <w:rsid w:val="00E4507F"/>
    <w:rsid w:val="00E453CF"/>
    <w:rsid w:val="00E4571B"/>
    <w:rsid w:val="00E45892"/>
    <w:rsid w:val="00E45C32"/>
    <w:rsid w:val="00E47070"/>
    <w:rsid w:val="00E470D0"/>
    <w:rsid w:val="00E4720A"/>
    <w:rsid w:val="00E473E6"/>
    <w:rsid w:val="00E47658"/>
    <w:rsid w:val="00E47B31"/>
    <w:rsid w:val="00E50129"/>
    <w:rsid w:val="00E501EB"/>
    <w:rsid w:val="00E501F7"/>
    <w:rsid w:val="00E502E9"/>
    <w:rsid w:val="00E5082D"/>
    <w:rsid w:val="00E50D9E"/>
    <w:rsid w:val="00E51075"/>
    <w:rsid w:val="00E52547"/>
    <w:rsid w:val="00E52741"/>
    <w:rsid w:val="00E52C0C"/>
    <w:rsid w:val="00E52EAD"/>
    <w:rsid w:val="00E5334F"/>
    <w:rsid w:val="00E5446B"/>
    <w:rsid w:val="00E5592D"/>
    <w:rsid w:val="00E56484"/>
    <w:rsid w:val="00E56FDF"/>
    <w:rsid w:val="00E574A9"/>
    <w:rsid w:val="00E57722"/>
    <w:rsid w:val="00E579F5"/>
    <w:rsid w:val="00E61355"/>
    <w:rsid w:val="00E613BC"/>
    <w:rsid w:val="00E6198C"/>
    <w:rsid w:val="00E61DCA"/>
    <w:rsid w:val="00E61F1E"/>
    <w:rsid w:val="00E62120"/>
    <w:rsid w:val="00E62539"/>
    <w:rsid w:val="00E629EA"/>
    <w:rsid w:val="00E62A01"/>
    <w:rsid w:val="00E62FC6"/>
    <w:rsid w:val="00E6320A"/>
    <w:rsid w:val="00E639BF"/>
    <w:rsid w:val="00E64B22"/>
    <w:rsid w:val="00E65309"/>
    <w:rsid w:val="00E65683"/>
    <w:rsid w:val="00E65BED"/>
    <w:rsid w:val="00E65F3B"/>
    <w:rsid w:val="00E6602C"/>
    <w:rsid w:val="00E6611D"/>
    <w:rsid w:val="00E66861"/>
    <w:rsid w:val="00E66B85"/>
    <w:rsid w:val="00E66E21"/>
    <w:rsid w:val="00E67063"/>
    <w:rsid w:val="00E67137"/>
    <w:rsid w:val="00E6749E"/>
    <w:rsid w:val="00E679FC"/>
    <w:rsid w:val="00E70026"/>
    <w:rsid w:val="00E70F38"/>
    <w:rsid w:val="00E710FC"/>
    <w:rsid w:val="00E711D9"/>
    <w:rsid w:val="00E714F9"/>
    <w:rsid w:val="00E71915"/>
    <w:rsid w:val="00E72786"/>
    <w:rsid w:val="00E738F5"/>
    <w:rsid w:val="00E740EE"/>
    <w:rsid w:val="00E7418B"/>
    <w:rsid w:val="00E74AB4"/>
    <w:rsid w:val="00E74D66"/>
    <w:rsid w:val="00E752ED"/>
    <w:rsid w:val="00E75300"/>
    <w:rsid w:val="00E75F49"/>
    <w:rsid w:val="00E76208"/>
    <w:rsid w:val="00E76520"/>
    <w:rsid w:val="00E77A77"/>
    <w:rsid w:val="00E77C19"/>
    <w:rsid w:val="00E77F7C"/>
    <w:rsid w:val="00E801D6"/>
    <w:rsid w:val="00E804CF"/>
    <w:rsid w:val="00E80570"/>
    <w:rsid w:val="00E80916"/>
    <w:rsid w:val="00E80E67"/>
    <w:rsid w:val="00E8121E"/>
    <w:rsid w:val="00E81541"/>
    <w:rsid w:val="00E82897"/>
    <w:rsid w:val="00E82974"/>
    <w:rsid w:val="00E829A2"/>
    <w:rsid w:val="00E83A10"/>
    <w:rsid w:val="00E840DF"/>
    <w:rsid w:val="00E8452A"/>
    <w:rsid w:val="00E84C67"/>
    <w:rsid w:val="00E8511A"/>
    <w:rsid w:val="00E853DC"/>
    <w:rsid w:val="00E85521"/>
    <w:rsid w:val="00E8560F"/>
    <w:rsid w:val="00E85E57"/>
    <w:rsid w:val="00E8685F"/>
    <w:rsid w:val="00E86900"/>
    <w:rsid w:val="00E86AA0"/>
    <w:rsid w:val="00E86F9F"/>
    <w:rsid w:val="00E8705C"/>
    <w:rsid w:val="00E8780A"/>
    <w:rsid w:val="00E908E0"/>
    <w:rsid w:val="00E90E93"/>
    <w:rsid w:val="00E9140D"/>
    <w:rsid w:val="00E916AF"/>
    <w:rsid w:val="00E91730"/>
    <w:rsid w:val="00E9178A"/>
    <w:rsid w:val="00E91AB0"/>
    <w:rsid w:val="00E92110"/>
    <w:rsid w:val="00E92654"/>
    <w:rsid w:val="00E93BD5"/>
    <w:rsid w:val="00E93F2D"/>
    <w:rsid w:val="00E943E3"/>
    <w:rsid w:val="00E94E86"/>
    <w:rsid w:val="00E957FC"/>
    <w:rsid w:val="00E960DE"/>
    <w:rsid w:val="00E972D9"/>
    <w:rsid w:val="00EA0289"/>
    <w:rsid w:val="00EA0661"/>
    <w:rsid w:val="00EA0D21"/>
    <w:rsid w:val="00EA0D2D"/>
    <w:rsid w:val="00EA177A"/>
    <w:rsid w:val="00EA1BAC"/>
    <w:rsid w:val="00EA214E"/>
    <w:rsid w:val="00EA244B"/>
    <w:rsid w:val="00EA2E24"/>
    <w:rsid w:val="00EA33F0"/>
    <w:rsid w:val="00EA5E4A"/>
    <w:rsid w:val="00EA60D2"/>
    <w:rsid w:val="00EA639B"/>
    <w:rsid w:val="00EA63EB"/>
    <w:rsid w:val="00EA70CA"/>
    <w:rsid w:val="00EB0BC9"/>
    <w:rsid w:val="00EB11D1"/>
    <w:rsid w:val="00EB11E7"/>
    <w:rsid w:val="00EB17CD"/>
    <w:rsid w:val="00EB181B"/>
    <w:rsid w:val="00EB1CA4"/>
    <w:rsid w:val="00EB2055"/>
    <w:rsid w:val="00EB2DEA"/>
    <w:rsid w:val="00EB319F"/>
    <w:rsid w:val="00EB4E65"/>
    <w:rsid w:val="00EB4FBD"/>
    <w:rsid w:val="00EB552C"/>
    <w:rsid w:val="00EB5923"/>
    <w:rsid w:val="00EB6007"/>
    <w:rsid w:val="00EB64C9"/>
    <w:rsid w:val="00EB6525"/>
    <w:rsid w:val="00EB66F9"/>
    <w:rsid w:val="00EB751B"/>
    <w:rsid w:val="00EB7BE7"/>
    <w:rsid w:val="00EC006F"/>
    <w:rsid w:val="00EC099E"/>
    <w:rsid w:val="00EC15E9"/>
    <w:rsid w:val="00EC1CAA"/>
    <w:rsid w:val="00EC1FC4"/>
    <w:rsid w:val="00EC341C"/>
    <w:rsid w:val="00EC3856"/>
    <w:rsid w:val="00EC3C5E"/>
    <w:rsid w:val="00EC5058"/>
    <w:rsid w:val="00EC5452"/>
    <w:rsid w:val="00EC55F4"/>
    <w:rsid w:val="00EC5E04"/>
    <w:rsid w:val="00EC676D"/>
    <w:rsid w:val="00EC7741"/>
    <w:rsid w:val="00EC7E05"/>
    <w:rsid w:val="00ED0456"/>
    <w:rsid w:val="00ED1657"/>
    <w:rsid w:val="00ED16BC"/>
    <w:rsid w:val="00ED2651"/>
    <w:rsid w:val="00ED2A27"/>
    <w:rsid w:val="00ED2A2D"/>
    <w:rsid w:val="00ED2D50"/>
    <w:rsid w:val="00ED33C3"/>
    <w:rsid w:val="00ED40B3"/>
    <w:rsid w:val="00ED498E"/>
    <w:rsid w:val="00ED5064"/>
    <w:rsid w:val="00ED5437"/>
    <w:rsid w:val="00ED5637"/>
    <w:rsid w:val="00ED56CE"/>
    <w:rsid w:val="00ED5F21"/>
    <w:rsid w:val="00ED6618"/>
    <w:rsid w:val="00ED686D"/>
    <w:rsid w:val="00ED69FA"/>
    <w:rsid w:val="00ED6B08"/>
    <w:rsid w:val="00ED734F"/>
    <w:rsid w:val="00ED74F0"/>
    <w:rsid w:val="00ED78C3"/>
    <w:rsid w:val="00ED7B4A"/>
    <w:rsid w:val="00EE0235"/>
    <w:rsid w:val="00EE03B5"/>
    <w:rsid w:val="00EE0755"/>
    <w:rsid w:val="00EE13D0"/>
    <w:rsid w:val="00EE1560"/>
    <w:rsid w:val="00EE168D"/>
    <w:rsid w:val="00EE1ECE"/>
    <w:rsid w:val="00EE24AF"/>
    <w:rsid w:val="00EE25E7"/>
    <w:rsid w:val="00EE2E7B"/>
    <w:rsid w:val="00EE4389"/>
    <w:rsid w:val="00EE54F5"/>
    <w:rsid w:val="00EE5BE4"/>
    <w:rsid w:val="00EE5D17"/>
    <w:rsid w:val="00EE6AE8"/>
    <w:rsid w:val="00EE6BBC"/>
    <w:rsid w:val="00EE6CD7"/>
    <w:rsid w:val="00EE71C9"/>
    <w:rsid w:val="00EE75F8"/>
    <w:rsid w:val="00EE7A53"/>
    <w:rsid w:val="00EE7BF9"/>
    <w:rsid w:val="00EF0B26"/>
    <w:rsid w:val="00EF0F70"/>
    <w:rsid w:val="00EF15BA"/>
    <w:rsid w:val="00EF202C"/>
    <w:rsid w:val="00EF2076"/>
    <w:rsid w:val="00EF2A79"/>
    <w:rsid w:val="00EF316F"/>
    <w:rsid w:val="00EF352D"/>
    <w:rsid w:val="00EF39B8"/>
    <w:rsid w:val="00EF3A5B"/>
    <w:rsid w:val="00EF4665"/>
    <w:rsid w:val="00EF4AEE"/>
    <w:rsid w:val="00EF4E3C"/>
    <w:rsid w:val="00EF504A"/>
    <w:rsid w:val="00EF53F7"/>
    <w:rsid w:val="00EF546A"/>
    <w:rsid w:val="00EF5C78"/>
    <w:rsid w:val="00EF5EFF"/>
    <w:rsid w:val="00EF6327"/>
    <w:rsid w:val="00EF6E41"/>
    <w:rsid w:val="00EF797D"/>
    <w:rsid w:val="00F000BC"/>
    <w:rsid w:val="00F000E2"/>
    <w:rsid w:val="00F00A3E"/>
    <w:rsid w:val="00F00C57"/>
    <w:rsid w:val="00F011A8"/>
    <w:rsid w:val="00F013B4"/>
    <w:rsid w:val="00F020A0"/>
    <w:rsid w:val="00F0271A"/>
    <w:rsid w:val="00F03387"/>
    <w:rsid w:val="00F039BA"/>
    <w:rsid w:val="00F03BB6"/>
    <w:rsid w:val="00F03BF4"/>
    <w:rsid w:val="00F03F3B"/>
    <w:rsid w:val="00F0448C"/>
    <w:rsid w:val="00F0451E"/>
    <w:rsid w:val="00F048D9"/>
    <w:rsid w:val="00F0575A"/>
    <w:rsid w:val="00F05A9B"/>
    <w:rsid w:val="00F05D4B"/>
    <w:rsid w:val="00F06046"/>
    <w:rsid w:val="00F07468"/>
    <w:rsid w:val="00F079E5"/>
    <w:rsid w:val="00F07FCA"/>
    <w:rsid w:val="00F100C9"/>
    <w:rsid w:val="00F1078F"/>
    <w:rsid w:val="00F1109E"/>
    <w:rsid w:val="00F1157C"/>
    <w:rsid w:val="00F11DDC"/>
    <w:rsid w:val="00F12821"/>
    <w:rsid w:val="00F12A02"/>
    <w:rsid w:val="00F12E16"/>
    <w:rsid w:val="00F1302B"/>
    <w:rsid w:val="00F13F76"/>
    <w:rsid w:val="00F13FDC"/>
    <w:rsid w:val="00F1419D"/>
    <w:rsid w:val="00F14AA0"/>
    <w:rsid w:val="00F14BBE"/>
    <w:rsid w:val="00F14D43"/>
    <w:rsid w:val="00F153C1"/>
    <w:rsid w:val="00F15BDB"/>
    <w:rsid w:val="00F16658"/>
    <w:rsid w:val="00F16A47"/>
    <w:rsid w:val="00F171EC"/>
    <w:rsid w:val="00F1756C"/>
    <w:rsid w:val="00F1767B"/>
    <w:rsid w:val="00F17C9A"/>
    <w:rsid w:val="00F17D73"/>
    <w:rsid w:val="00F20689"/>
    <w:rsid w:val="00F2176B"/>
    <w:rsid w:val="00F217E8"/>
    <w:rsid w:val="00F217FB"/>
    <w:rsid w:val="00F227EF"/>
    <w:rsid w:val="00F22D82"/>
    <w:rsid w:val="00F22FE8"/>
    <w:rsid w:val="00F2331B"/>
    <w:rsid w:val="00F23529"/>
    <w:rsid w:val="00F23A8E"/>
    <w:rsid w:val="00F241A4"/>
    <w:rsid w:val="00F24F02"/>
    <w:rsid w:val="00F259F2"/>
    <w:rsid w:val="00F25A24"/>
    <w:rsid w:val="00F26D40"/>
    <w:rsid w:val="00F26DE0"/>
    <w:rsid w:val="00F26FEF"/>
    <w:rsid w:val="00F270AC"/>
    <w:rsid w:val="00F2717E"/>
    <w:rsid w:val="00F27F30"/>
    <w:rsid w:val="00F30415"/>
    <w:rsid w:val="00F306CC"/>
    <w:rsid w:val="00F317EE"/>
    <w:rsid w:val="00F31AB1"/>
    <w:rsid w:val="00F31D06"/>
    <w:rsid w:val="00F31D8D"/>
    <w:rsid w:val="00F31ED4"/>
    <w:rsid w:val="00F32CAB"/>
    <w:rsid w:val="00F32EBE"/>
    <w:rsid w:val="00F334F5"/>
    <w:rsid w:val="00F33A97"/>
    <w:rsid w:val="00F33C1A"/>
    <w:rsid w:val="00F340B6"/>
    <w:rsid w:val="00F34CCB"/>
    <w:rsid w:val="00F359E0"/>
    <w:rsid w:val="00F3615C"/>
    <w:rsid w:val="00F361B7"/>
    <w:rsid w:val="00F368AB"/>
    <w:rsid w:val="00F378B6"/>
    <w:rsid w:val="00F37B19"/>
    <w:rsid w:val="00F405D8"/>
    <w:rsid w:val="00F40BAE"/>
    <w:rsid w:val="00F410F8"/>
    <w:rsid w:val="00F4113C"/>
    <w:rsid w:val="00F419A1"/>
    <w:rsid w:val="00F4246F"/>
    <w:rsid w:val="00F427BD"/>
    <w:rsid w:val="00F42C68"/>
    <w:rsid w:val="00F42F37"/>
    <w:rsid w:val="00F43451"/>
    <w:rsid w:val="00F438C5"/>
    <w:rsid w:val="00F43C2E"/>
    <w:rsid w:val="00F43C96"/>
    <w:rsid w:val="00F44226"/>
    <w:rsid w:val="00F4434E"/>
    <w:rsid w:val="00F447E9"/>
    <w:rsid w:val="00F4496C"/>
    <w:rsid w:val="00F44CB1"/>
    <w:rsid w:val="00F452C8"/>
    <w:rsid w:val="00F45344"/>
    <w:rsid w:val="00F473A9"/>
    <w:rsid w:val="00F47EA2"/>
    <w:rsid w:val="00F50030"/>
    <w:rsid w:val="00F5003B"/>
    <w:rsid w:val="00F505D7"/>
    <w:rsid w:val="00F50828"/>
    <w:rsid w:val="00F50F2A"/>
    <w:rsid w:val="00F515DA"/>
    <w:rsid w:val="00F5182C"/>
    <w:rsid w:val="00F525EA"/>
    <w:rsid w:val="00F52820"/>
    <w:rsid w:val="00F52F93"/>
    <w:rsid w:val="00F530FA"/>
    <w:rsid w:val="00F531ED"/>
    <w:rsid w:val="00F5409A"/>
    <w:rsid w:val="00F5446F"/>
    <w:rsid w:val="00F54502"/>
    <w:rsid w:val="00F54608"/>
    <w:rsid w:val="00F54EF3"/>
    <w:rsid w:val="00F552F2"/>
    <w:rsid w:val="00F55E52"/>
    <w:rsid w:val="00F56A8A"/>
    <w:rsid w:val="00F56C38"/>
    <w:rsid w:val="00F56CB7"/>
    <w:rsid w:val="00F56D2B"/>
    <w:rsid w:val="00F572ED"/>
    <w:rsid w:val="00F57EF0"/>
    <w:rsid w:val="00F57FEA"/>
    <w:rsid w:val="00F60457"/>
    <w:rsid w:val="00F607CF"/>
    <w:rsid w:val="00F615E9"/>
    <w:rsid w:val="00F627E2"/>
    <w:rsid w:val="00F62DA8"/>
    <w:rsid w:val="00F637DD"/>
    <w:rsid w:val="00F63E71"/>
    <w:rsid w:val="00F6469F"/>
    <w:rsid w:val="00F648D9"/>
    <w:rsid w:val="00F6524F"/>
    <w:rsid w:val="00F65611"/>
    <w:rsid w:val="00F659DD"/>
    <w:rsid w:val="00F65FE1"/>
    <w:rsid w:val="00F664B9"/>
    <w:rsid w:val="00F66DFC"/>
    <w:rsid w:val="00F6753F"/>
    <w:rsid w:val="00F67D91"/>
    <w:rsid w:val="00F71520"/>
    <w:rsid w:val="00F73259"/>
    <w:rsid w:val="00F73386"/>
    <w:rsid w:val="00F73834"/>
    <w:rsid w:val="00F73D98"/>
    <w:rsid w:val="00F744AA"/>
    <w:rsid w:val="00F74577"/>
    <w:rsid w:val="00F74A5B"/>
    <w:rsid w:val="00F75316"/>
    <w:rsid w:val="00F7590F"/>
    <w:rsid w:val="00F75A22"/>
    <w:rsid w:val="00F75C7D"/>
    <w:rsid w:val="00F75FE2"/>
    <w:rsid w:val="00F76650"/>
    <w:rsid w:val="00F76EB4"/>
    <w:rsid w:val="00F772CC"/>
    <w:rsid w:val="00F772CD"/>
    <w:rsid w:val="00F77F65"/>
    <w:rsid w:val="00F808DF"/>
    <w:rsid w:val="00F80C55"/>
    <w:rsid w:val="00F837CE"/>
    <w:rsid w:val="00F83CA1"/>
    <w:rsid w:val="00F8423D"/>
    <w:rsid w:val="00F844F3"/>
    <w:rsid w:val="00F849D4"/>
    <w:rsid w:val="00F8569E"/>
    <w:rsid w:val="00F85A14"/>
    <w:rsid w:val="00F85F4B"/>
    <w:rsid w:val="00F861E8"/>
    <w:rsid w:val="00F90055"/>
    <w:rsid w:val="00F9062B"/>
    <w:rsid w:val="00F90D61"/>
    <w:rsid w:val="00F90EB0"/>
    <w:rsid w:val="00F913C6"/>
    <w:rsid w:val="00F915B3"/>
    <w:rsid w:val="00F91A49"/>
    <w:rsid w:val="00F9236B"/>
    <w:rsid w:val="00F92455"/>
    <w:rsid w:val="00F92622"/>
    <w:rsid w:val="00F930EF"/>
    <w:rsid w:val="00F935B4"/>
    <w:rsid w:val="00F9385D"/>
    <w:rsid w:val="00F938AE"/>
    <w:rsid w:val="00F93B26"/>
    <w:rsid w:val="00F93C00"/>
    <w:rsid w:val="00F94864"/>
    <w:rsid w:val="00F9541C"/>
    <w:rsid w:val="00F9563C"/>
    <w:rsid w:val="00F95BDD"/>
    <w:rsid w:val="00F95CC4"/>
    <w:rsid w:val="00F9635A"/>
    <w:rsid w:val="00F96608"/>
    <w:rsid w:val="00F97124"/>
    <w:rsid w:val="00F972E1"/>
    <w:rsid w:val="00F97FDE"/>
    <w:rsid w:val="00FA02EE"/>
    <w:rsid w:val="00FA06D4"/>
    <w:rsid w:val="00FA1344"/>
    <w:rsid w:val="00FA2145"/>
    <w:rsid w:val="00FA2306"/>
    <w:rsid w:val="00FA2466"/>
    <w:rsid w:val="00FA25C2"/>
    <w:rsid w:val="00FA2A0B"/>
    <w:rsid w:val="00FA3127"/>
    <w:rsid w:val="00FA33A6"/>
    <w:rsid w:val="00FA3C56"/>
    <w:rsid w:val="00FA4837"/>
    <w:rsid w:val="00FA4934"/>
    <w:rsid w:val="00FA4BB2"/>
    <w:rsid w:val="00FA4C1F"/>
    <w:rsid w:val="00FA50C9"/>
    <w:rsid w:val="00FA5A00"/>
    <w:rsid w:val="00FA5B96"/>
    <w:rsid w:val="00FA67C8"/>
    <w:rsid w:val="00FA6BE9"/>
    <w:rsid w:val="00FA6D12"/>
    <w:rsid w:val="00FA71C4"/>
    <w:rsid w:val="00FA7B80"/>
    <w:rsid w:val="00FB06E0"/>
    <w:rsid w:val="00FB0B18"/>
    <w:rsid w:val="00FB0E54"/>
    <w:rsid w:val="00FB1056"/>
    <w:rsid w:val="00FB127A"/>
    <w:rsid w:val="00FB12F3"/>
    <w:rsid w:val="00FB18EA"/>
    <w:rsid w:val="00FB1BB7"/>
    <w:rsid w:val="00FB1DB8"/>
    <w:rsid w:val="00FB2436"/>
    <w:rsid w:val="00FB2719"/>
    <w:rsid w:val="00FB2ACA"/>
    <w:rsid w:val="00FB2E13"/>
    <w:rsid w:val="00FB300B"/>
    <w:rsid w:val="00FB3236"/>
    <w:rsid w:val="00FB3DFD"/>
    <w:rsid w:val="00FB4A92"/>
    <w:rsid w:val="00FB4F5D"/>
    <w:rsid w:val="00FB50A0"/>
    <w:rsid w:val="00FB5BB4"/>
    <w:rsid w:val="00FB5C87"/>
    <w:rsid w:val="00FB5D98"/>
    <w:rsid w:val="00FB673E"/>
    <w:rsid w:val="00FB753B"/>
    <w:rsid w:val="00FB7618"/>
    <w:rsid w:val="00FB7B4E"/>
    <w:rsid w:val="00FB7DC8"/>
    <w:rsid w:val="00FB7E59"/>
    <w:rsid w:val="00FB7F71"/>
    <w:rsid w:val="00FC0BD6"/>
    <w:rsid w:val="00FC1372"/>
    <w:rsid w:val="00FC25B1"/>
    <w:rsid w:val="00FC2FE6"/>
    <w:rsid w:val="00FC3C0D"/>
    <w:rsid w:val="00FC3D57"/>
    <w:rsid w:val="00FC3EA5"/>
    <w:rsid w:val="00FC3EB4"/>
    <w:rsid w:val="00FC4D3F"/>
    <w:rsid w:val="00FC51B8"/>
    <w:rsid w:val="00FC5C98"/>
    <w:rsid w:val="00FC5FD1"/>
    <w:rsid w:val="00FC6C2D"/>
    <w:rsid w:val="00FC7007"/>
    <w:rsid w:val="00FC7F49"/>
    <w:rsid w:val="00FD10C7"/>
    <w:rsid w:val="00FD10DD"/>
    <w:rsid w:val="00FD134A"/>
    <w:rsid w:val="00FD16AB"/>
    <w:rsid w:val="00FD236F"/>
    <w:rsid w:val="00FD245F"/>
    <w:rsid w:val="00FD2E3A"/>
    <w:rsid w:val="00FD348E"/>
    <w:rsid w:val="00FD3591"/>
    <w:rsid w:val="00FD383E"/>
    <w:rsid w:val="00FD38DC"/>
    <w:rsid w:val="00FD3F06"/>
    <w:rsid w:val="00FD54FB"/>
    <w:rsid w:val="00FD5A11"/>
    <w:rsid w:val="00FD5D83"/>
    <w:rsid w:val="00FD6432"/>
    <w:rsid w:val="00FD6457"/>
    <w:rsid w:val="00FD6D03"/>
    <w:rsid w:val="00FD6F75"/>
    <w:rsid w:val="00FD7292"/>
    <w:rsid w:val="00FD755E"/>
    <w:rsid w:val="00FD7941"/>
    <w:rsid w:val="00FD7AD0"/>
    <w:rsid w:val="00FD7CD3"/>
    <w:rsid w:val="00FE014F"/>
    <w:rsid w:val="00FE1635"/>
    <w:rsid w:val="00FE1AB1"/>
    <w:rsid w:val="00FE1F22"/>
    <w:rsid w:val="00FE20F0"/>
    <w:rsid w:val="00FE2495"/>
    <w:rsid w:val="00FE25AC"/>
    <w:rsid w:val="00FE29B5"/>
    <w:rsid w:val="00FE30DA"/>
    <w:rsid w:val="00FE3529"/>
    <w:rsid w:val="00FE3E3C"/>
    <w:rsid w:val="00FE410C"/>
    <w:rsid w:val="00FE44C5"/>
    <w:rsid w:val="00FE4575"/>
    <w:rsid w:val="00FE4951"/>
    <w:rsid w:val="00FE4A15"/>
    <w:rsid w:val="00FE5042"/>
    <w:rsid w:val="00FE520E"/>
    <w:rsid w:val="00FE567E"/>
    <w:rsid w:val="00FE620A"/>
    <w:rsid w:val="00FE639E"/>
    <w:rsid w:val="00FE63F6"/>
    <w:rsid w:val="00FE7F39"/>
    <w:rsid w:val="00FF1021"/>
    <w:rsid w:val="00FF141F"/>
    <w:rsid w:val="00FF1429"/>
    <w:rsid w:val="00FF1DB6"/>
    <w:rsid w:val="00FF2981"/>
    <w:rsid w:val="00FF2AAD"/>
    <w:rsid w:val="00FF2C11"/>
    <w:rsid w:val="00FF2FE7"/>
    <w:rsid w:val="00FF3103"/>
    <w:rsid w:val="00FF3428"/>
    <w:rsid w:val="00FF34B8"/>
    <w:rsid w:val="00FF3B9E"/>
    <w:rsid w:val="00FF3CA8"/>
    <w:rsid w:val="00FF406D"/>
    <w:rsid w:val="00FF42A1"/>
    <w:rsid w:val="00FF4A1E"/>
    <w:rsid w:val="00FF4D50"/>
    <w:rsid w:val="00FF4D8A"/>
    <w:rsid w:val="00FF563E"/>
    <w:rsid w:val="00FF5CE3"/>
    <w:rsid w:val="00FF5F58"/>
    <w:rsid w:val="00FF7324"/>
    <w:rsid w:val="00FF74F7"/>
    <w:rsid w:val="00FF78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775CF6"/>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9F7642"/>
  </w:style>
  <w:style w:type="character" w:styleId="CommentReference">
    <w:name w:val="annotation reference"/>
    <w:basedOn w:val="DefaultParagraphFont"/>
    <w:uiPriority w:val="99"/>
    <w:semiHidden/>
    <w:unhideWhenUsed/>
    <w:locked/>
    <w:rsid w:val="00BC484B"/>
    <w:rPr>
      <w:sz w:val="16"/>
      <w:szCs w:val="16"/>
    </w:rPr>
  </w:style>
  <w:style w:type="paragraph" w:styleId="CommentText">
    <w:name w:val="annotation text"/>
    <w:basedOn w:val="Normal"/>
    <w:link w:val="CommentTextChar"/>
    <w:uiPriority w:val="99"/>
    <w:unhideWhenUsed/>
    <w:locked/>
    <w:rsid w:val="00BC484B"/>
    <w:pPr>
      <w:spacing w:line="240" w:lineRule="auto"/>
    </w:pPr>
    <w:rPr>
      <w:sz w:val="20"/>
      <w:szCs w:val="20"/>
    </w:rPr>
  </w:style>
  <w:style w:type="character" w:customStyle="1" w:styleId="CommentTextChar">
    <w:name w:val="Comment Text Char"/>
    <w:basedOn w:val="DefaultParagraphFont"/>
    <w:link w:val="CommentText"/>
    <w:uiPriority w:val="99"/>
    <w:rsid w:val="00BC484B"/>
    <w:rPr>
      <w:sz w:val="20"/>
      <w:szCs w:val="20"/>
    </w:rPr>
  </w:style>
  <w:style w:type="paragraph" w:styleId="CommentSubject">
    <w:name w:val="annotation subject"/>
    <w:basedOn w:val="CommentText"/>
    <w:next w:val="CommentText"/>
    <w:link w:val="CommentSubjectChar"/>
    <w:uiPriority w:val="99"/>
    <w:semiHidden/>
    <w:unhideWhenUsed/>
    <w:locked/>
    <w:rsid w:val="00BC484B"/>
    <w:rPr>
      <w:b/>
      <w:bCs/>
    </w:rPr>
  </w:style>
  <w:style w:type="character" w:customStyle="1" w:styleId="CommentSubjectChar">
    <w:name w:val="Comment Subject Char"/>
    <w:basedOn w:val="CommentTextChar"/>
    <w:link w:val="CommentSubject"/>
    <w:uiPriority w:val="99"/>
    <w:semiHidden/>
    <w:rsid w:val="00BC484B"/>
    <w:rPr>
      <w:b/>
      <w:bCs/>
      <w:sz w:val="20"/>
      <w:szCs w:val="20"/>
    </w:rPr>
  </w:style>
  <w:style w:type="paragraph" w:styleId="ListParagraph">
    <w:name w:val="List Paragraph"/>
    <w:basedOn w:val="Normal"/>
    <w:uiPriority w:val="55"/>
    <w:qFormat/>
    <w:locked/>
    <w:rsid w:val="00F4434E"/>
    <w:pPr>
      <w:ind w:left="720"/>
      <w:contextualSpacing/>
    </w:pPr>
  </w:style>
  <w:style w:type="character" w:customStyle="1" w:styleId="cf01">
    <w:name w:val="cf01"/>
    <w:basedOn w:val="DefaultParagraphFont"/>
    <w:rsid w:val="00672A43"/>
    <w:rPr>
      <w:rFonts w:ascii="Segoe UI" w:hAnsi="Segoe UI" w:cs="Segoe UI" w:hint="default"/>
      <w:sz w:val="18"/>
      <w:szCs w:val="18"/>
    </w:rPr>
  </w:style>
  <w:style w:type="character" w:styleId="Hyperlink">
    <w:name w:val="Hyperlink"/>
    <w:basedOn w:val="DefaultParagraphFont"/>
    <w:uiPriority w:val="99"/>
    <w:unhideWhenUsed/>
    <w:locked/>
    <w:rsid w:val="004003FD"/>
    <w:rPr>
      <w:color w:val="0000FF" w:themeColor="hyperlink"/>
      <w:u w:val="single"/>
    </w:rPr>
  </w:style>
  <w:style w:type="character" w:customStyle="1" w:styleId="FootnoteTextChar">
    <w:name w:val="Footnote Text Char"/>
    <w:basedOn w:val="DefaultParagraphFont"/>
    <w:link w:val="FootnoteText"/>
    <w:uiPriority w:val="53"/>
    <w:rsid w:val="001F5442"/>
  </w:style>
  <w:style w:type="paragraph" w:customStyle="1" w:styleId="Body">
    <w:name w:val="Body"/>
    <w:basedOn w:val="Normal"/>
    <w:qFormat/>
    <w:rsid w:val="00BF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F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F0B0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F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F0B0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F0B04"/>
    <w:pPr>
      <w:jc w:val="center"/>
    </w:pPr>
    <w:rPr>
      <w:rFonts w:ascii="Times New Roman" w:hAnsi="Times New Roman"/>
      <w:bCs/>
      <w:szCs w:val="20"/>
      <w:lang w:val="en-GB"/>
    </w:rPr>
  </w:style>
  <w:style w:type="paragraph" w:customStyle="1" w:styleId="Default">
    <w:name w:val="Default"/>
    <w:rsid w:val="00BF0B04"/>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2418">
      <w:bodyDiv w:val="1"/>
      <w:marLeft w:val="0"/>
      <w:marRight w:val="0"/>
      <w:marTop w:val="0"/>
      <w:marBottom w:val="0"/>
      <w:divBdr>
        <w:top w:val="none" w:sz="0" w:space="0" w:color="auto"/>
        <w:left w:val="none" w:sz="0" w:space="0" w:color="auto"/>
        <w:bottom w:val="none" w:sz="0" w:space="0" w:color="auto"/>
        <w:right w:val="none" w:sz="0" w:space="0" w:color="auto"/>
      </w:divBdr>
    </w:div>
    <w:div w:id="11439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D89C6AB4-1F2E-44DC-8A8D-8184A0FE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49</Pages>
  <Words>14564</Words>
  <Characters>74423</Characters>
  <Application>Microsoft Office Word</Application>
  <DocSecurity>0</DocSecurity>
  <Lines>1200</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2024-08-05T02:52:00Z</dcterms:created>
  <dcterms:modified xsi:type="dcterms:W3CDTF">2024-08-05T06:32:00Z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