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85C4" w14:textId="77777777" w:rsidR="00E8603F" w:rsidRPr="00704FF8" w:rsidRDefault="00E8603F" w:rsidP="00704FF8">
      <w:pPr>
        <w:pStyle w:val="OrdersTopLine"/>
      </w:pPr>
      <w:r w:rsidRPr="00704FF8">
        <w:t>HIGH COURT OF AUSTRALIA</w:t>
      </w:r>
    </w:p>
    <w:p w14:paraId="2D357D1E" w14:textId="77777777" w:rsidR="00E8603F" w:rsidRPr="00704FF8" w:rsidRDefault="00E8603F" w:rsidP="00704FF8">
      <w:pPr>
        <w:pStyle w:val="OrderCentre"/>
      </w:pPr>
    </w:p>
    <w:p w14:paraId="780DC003" w14:textId="77777777" w:rsidR="00E8603F" w:rsidRPr="0055284A" w:rsidRDefault="00E8603F" w:rsidP="00704FF8">
      <w:pPr>
        <w:pStyle w:val="OrderCentre"/>
        <w:rPr>
          <w:strike/>
          <w:spacing w:val="-4"/>
          <w:sz w:val="24"/>
          <w:szCs w:val="24"/>
        </w:rPr>
      </w:pPr>
      <w:bookmarkStart w:id="0" w:name="_Hlk166837576"/>
      <w:bookmarkStart w:id="1" w:name="_Hlk166837772"/>
      <w:r w:rsidRPr="0055284A">
        <w:rPr>
          <w:spacing w:val="-4"/>
          <w:sz w:val="24"/>
          <w:szCs w:val="24"/>
        </w:rPr>
        <w:t>GORDON</w:t>
      </w:r>
      <w:r>
        <w:rPr>
          <w:spacing w:val="-4"/>
          <w:sz w:val="24"/>
          <w:szCs w:val="24"/>
        </w:rPr>
        <w:t xml:space="preserve"> </w:t>
      </w:r>
      <w:bookmarkEnd w:id="0"/>
      <w:r w:rsidRPr="001015B7">
        <w:rPr>
          <w:spacing w:val="-4"/>
          <w:sz w:val="24"/>
          <w:szCs w:val="24"/>
        </w:rPr>
        <w:t>A-CJ</w:t>
      </w:r>
      <w:r>
        <w:rPr>
          <w:spacing w:val="-4"/>
          <w:sz w:val="24"/>
          <w:szCs w:val="24"/>
        </w:rPr>
        <w:t>,</w:t>
      </w:r>
    </w:p>
    <w:bookmarkEnd w:id="1"/>
    <w:p w14:paraId="428C244F" w14:textId="77777777" w:rsidR="00E8603F" w:rsidRPr="0055284A" w:rsidRDefault="00E8603F" w:rsidP="00704FF8">
      <w:pPr>
        <w:pStyle w:val="OrderCentre"/>
      </w:pPr>
      <w:r w:rsidRPr="0055284A">
        <w:rPr>
          <w:spacing w:val="-4"/>
          <w:sz w:val="24"/>
          <w:szCs w:val="24"/>
        </w:rPr>
        <w:t>EDELMAN, STEWARD, GLEESON AND JAGOT JJ</w:t>
      </w:r>
    </w:p>
    <w:p w14:paraId="1559AFDC" w14:textId="77777777" w:rsidR="00E8603F" w:rsidRPr="00427F3A" w:rsidRDefault="00E8603F" w:rsidP="00EE5374">
      <w:pPr>
        <w:pStyle w:val="Centre"/>
        <w:rPr>
          <w:lang w:val="en-AU"/>
        </w:rPr>
      </w:pPr>
    </w:p>
    <w:p w14:paraId="2CBC5780" w14:textId="77777777" w:rsidR="00E8603F" w:rsidRPr="00704FF8" w:rsidRDefault="00E8603F" w:rsidP="00704FF8">
      <w:pPr>
        <w:pStyle w:val="OrdersCenteredBorder"/>
      </w:pPr>
    </w:p>
    <w:p w14:paraId="50759567" w14:textId="77777777" w:rsidR="00E8603F" w:rsidRPr="00704FF8" w:rsidRDefault="00E8603F" w:rsidP="0032341F">
      <w:pPr>
        <w:pStyle w:val="OrdersBodyHeading"/>
      </w:pPr>
    </w:p>
    <w:p w14:paraId="49F16A55" w14:textId="77777777" w:rsidR="00E8603F" w:rsidRPr="0032341F" w:rsidRDefault="00E8603F" w:rsidP="009362E8">
      <w:pPr>
        <w:pStyle w:val="OrdersPartyName"/>
        <w:ind w:right="-1"/>
      </w:pPr>
      <w:r w:rsidRPr="00DF4247">
        <w:t>COOK (A PSEUDONYM)</w:t>
      </w:r>
      <w:r w:rsidRPr="0032341F">
        <w:tab/>
        <w:t>APPELLANT</w:t>
      </w:r>
    </w:p>
    <w:p w14:paraId="4D891785" w14:textId="77777777" w:rsidR="00E8603F" w:rsidRPr="0032341F" w:rsidRDefault="00E8603F" w:rsidP="009362E8">
      <w:pPr>
        <w:pStyle w:val="OrdersPartyName"/>
        <w:ind w:right="-1"/>
      </w:pPr>
    </w:p>
    <w:p w14:paraId="1F581E96" w14:textId="77777777" w:rsidR="00E8603F" w:rsidRPr="0032341F" w:rsidRDefault="00E8603F" w:rsidP="009362E8">
      <w:pPr>
        <w:pStyle w:val="OrdersPartyName"/>
        <w:ind w:right="-1"/>
      </w:pPr>
      <w:r w:rsidRPr="0032341F">
        <w:t>AND</w:t>
      </w:r>
    </w:p>
    <w:p w14:paraId="129A2F18" w14:textId="77777777" w:rsidR="00E8603F" w:rsidRPr="0032341F" w:rsidRDefault="00E8603F" w:rsidP="009362E8">
      <w:pPr>
        <w:pStyle w:val="OrdersPartyName"/>
        <w:ind w:right="-1"/>
      </w:pPr>
    </w:p>
    <w:p w14:paraId="400D73F3" w14:textId="77777777" w:rsidR="00E8603F" w:rsidRPr="0032341F" w:rsidRDefault="00E8603F" w:rsidP="009362E8">
      <w:pPr>
        <w:pStyle w:val="OrdersPartyName"/>
        <w:ind w:right="-1"/>
      </w:pPr>
      <w:r w:rsidRPr="00DF4247">
        <w:t>THE KING</w:t>
      </w:r>
      <w:r w:rsidRPr="0032341F">
        <w:tab/>
        <w:t>RESPONDENT</w:t>
      </w:r>
    </w:p>
    <w:p w14:paraId="5F260F03" w14:textId="77777777" w:rsidR="00E8603F" w:rsidRPr="00427F3A" w:rsidRDefault="00E8603F" w:rsidP="00AF0A5E">
      <w:pPr>
        <w:pStyle w:val="BodyHeading"/>
      </w:pPr>
    </w:p>
    <w:p w14:paraId="521AC8D8" w14:textId="77777777" w:rsidR="00E8603F" w:rsidRPr="00427F3A" w:rsidRDefault="00E8603F" w:rsidP="00BE0A6C">
      <w:pPr>
        <w:pStyle w:val="BodyHeading"/>
      </w:pPr>
    </w:p>
    <w:p w14:paraId="6897EFBE" w14:textId="77777777" w:rsidR="00E8603F" w:rsidRPr="00427F3A" w:rsidRDefault="00E8603F" w:rsidP="00EE5374">
      <w:pPr>
        <w:pStyle w:val="CentreItalics"/>
      </w:pPr>
      <w:r w:rsidRPr="00DF4247">
        <w:t>Cook (</w:t>
      </w:r>
      <w:r>
        <w:t>a</w:t>
      </w:r>
      <w:r w:rsidRPr="00DF4247">
        <w:t xml:space="preserve"> </w:t>
      </w:r>
      <w:r>
        <w:t>p</w:t>
      </w:r>
      <w:r w:rsidRPr="00DF4247">
        <w:t>seudonym) v The King</w:t>
      </w:r>
    </w:p>
    <w:p w14:paraId="27D52DBB" w14:textId="77777777" w:rsidR="00E8603F" w:rsidRPr="00427F3A" w:rsidRDefault="00E8603F" w:rsidP="00E90E4F">
      <w:pPr>
        <w:pStyle w:val="OrdersCentre"/>
      </w:pPr>
      <w:r>
        <w:t>[2024</w:t>
      </w:r>
      <w:r w:rsidRPr="00427F3A">
        <w:t xml:space="preserve">] HCA </w:t>
      </w:r>
      <w:r>
        <w:t>26</w:t>
      </w:r>
    </w:p>
    <w:p w14:paraId="38483361" w14:textId="77777777" w:rsidR="00E8603F" w:rsidRDefault="00E8603F" w:rsidP="00E90E4F">
      <w:pPr>
        <w:pStyle w:val="OrdersCentreItalics"/>
      </w:pPr>
      <w:r>
        <w:t xml:space="preserve">Date of Hearing: </w:t>
      </w:r>
      <w:r w:rsidRPr="0055284A">
        <w:t>15 May 2024</w:t>
      </w:r>
    </w:p>
    <w:p w14:paraId="44E7DEEA" w14:textId="77777777" w:rsidR="00E8603F" w:rsidRPr="00427F3A" w:rsidRDefault="00E8603F" w:rsidP="00E90E4F">
      <w:pPr>
        <w:pStyle w:val="OrdersCentreItalics"/>
      </w:pPr>
      <w:r>
        <w:t>Date of Judgment: 7 August 2024</w:t>
      </w:r>
    </w:p>
    <w:p w14:paraId="0E5F8636" w14:textId="77777777" w:rsidR="00E8603F" w:rsidRDefault="00E8603F" w:rsidP="00E90E4F">
      <w:pPr>
        <w:pStyle w:val="OrdersCentre"/>
      </w:pPr>
      <w:r w:rsidRPr="00DF4247">
        <w:t>S158/2023</w:t>
      </w:r>
    </w:p>
    <w:p w14:paraId="01AC78DF" w14:textId="77777777" w:rsidR="00E8603F" w:rsidRPr="00427F3A" w:rsidRDefault="00E8603F" w:rsidP="00E90E4F">
      <w:pPr>
        <w:pStyle w:val="OrdersCentre"/>
      </w:pPr>
    </w:p>
    <w:p w14:paraId="50A5BFC7" w14:textId="77777777" w:rsidR="00E8603F" w:rsidRPr="00BE0A6C" w:rsidRDefault="00E8603F" w:rsidP="00E90E4F">
      <w:pPr>
        <w:pStyle w:val="OrderCentreBold"/>
      </w:pPr>
      <w:r w:rsidRPr="00BE0A6C">
        <w:t>ORDER</w:t>
      </w:r>
    </w:p>
    <w:p w14:paraId="01BB1B0D" w14:textId="77777777" w:rsidR="00E8603F" w:rsidRPr="00427F3A" w:rsidRDefault="00E8603F" w:rsidP="00736C52">
      <w:pPr>
        <w:pStyle w:val="Centre"/>
        <w:rPr>
          <w:lang w:val="en-AU"/>
        </w:rPr>
      </w:pPr>
    </w:p>
    <w:p w14:paraId="02097F78" w14:textId="77777777" w:rsidR="00E8603F" w:rsidRDefault="00E8603F" w:rsidP="009A0828">
      <w:pPr>
        <w:pStyle w:val="OrdersText"/>
      </w:pPr>
      <w:r>
        <w:t>1.</w:t>
      </w:r>
      <w:r>
        <w:tab/>
        <w:t>Appeal allowed in part.</w:t>
      </w:r>
    </w:p>
    <w:p w14:paraId="416BC57C" w14:textId="77777777" w:rsidR="00E8603F" w:rsidRDefault="00E8603F" w:rsidP="009A0828">
      <w:pPr>
        <w:pStyle w:val="OrdersText"/>
      </w:pPr>
    </w:p>
    <w:p w14:paraId="5E83FAEF" w14:textId="77777777" w:rsidR="00E8603F" w:rsidRDefault="00E8603F" w:rsidP="009A0828">
      <w:pPr>
        <w:pStyle w:val="OrdersText"/>
      </w:pPr>
      <w:r>
        <w:t>2.</w:t>
      </w:r>
      <w:r>
        <w:tab/>
        <w:t xml:space="preserve">Set aside order 3 made by the New South Wales Court of Criminal Appeal on 15 December 2022 and, in its place, order that the appeal be allowed </w:t>
      </w:r>
      <w:proofErr w:type="gramStart"/>
      <w:r>
        <w:t>on the basis of</w:t>
      </w:r>
      <w:proofErr w:type="gramEnd"/>
      <w:r>
        <w:t xml:space="preserve"> ground 1 and in part on the basis of ground 3. </w:t>
      </w:r>
    </w:p>
    <w:p w14:paraId="083E93AC" w14:textId="77777777" w:rsidR="00E8603F" w:rsidRDefault="00E8603F" w:rsidP="00EE5374">
      <w:pPr>
        <w:pStyle w:val="Body"/>
      </w:pPr>
    </w:p>
    <w:p w14:paraId="63B3CFBA" w14:textId="77777777" w:rsidR="00E8603F" w:rsidRPr="00427F3A" w:rsidRDefault="00E8603F" w:rsidP="0032341F">
      <w:pPr>
        <w:pStyle w:val="OrdersBody"/>
      </w:pPr>
      <w:r w:rsidRPr="00427F3A">
        <w:t xml:space="preserve">On appeal from the </w:t>
      </w:r>
      <w:r w:rsidRPr="00DF4247">
        <w:t>Supreme Court of New South Wales</w:t>
      </w:r>
    </w:p>
    <w:p w14:paraId="0434ECCA" w14:textId="77777777" w:rsidR="00E8603F" w:rsidRDefault="00E8603F" w:rsidP="00EE5374">
      <w:pPr>
        <w:pStyle w:val="Body"/>
      </w:pPr>
    </w:p>
    <w:p w14:paraId="7D6CA92B" w14:textId="77777777" w:rsidR="00E8603F" w:rsidRPr="00427F3A" w:rsidRDefault="00E8603F" w:rsidP="00E90E4F">
      <w:pPr>
        <w:pStyle w:val="OrdersBodyHeading"/>
      </w:pPr>
      <w:r w:rsidRPr="00427F3A">
        <w:t>Representation</w:t>
      </w:r>
    </w:p>
    <w:p w14:paraId="4CA2C1C5" w14:textId="77777777" w:rsidR="00E8603F" w:rsidRDefault="00E8603F" w:rsidP="00EE5374">
      <w:pPr>
        <w:pStyle w:val="Body"/>
      </w:pPr>
    </w:p>
    <w:p w14:paraId="1AF072D1" w14:textId="77777777" w:rsidR="00E8603F" w:rsidRPr="0055284A" w:rsidRDefault="00E8603F" w:rsidP="00E90E4F">
      <w:pPr>
        <w:pStyle w:val="OrdersBody"/>
      </w:pPr>
      <w:r w:rsidRPr="0055284A">
        <w:t xml:space="preserve">T A Game SC </w:t>
      </w:r>
      <w:r>
        <w:t>and</w:t>
      </w:r>
      <w:r w:rsidRPr="0055284A">
        <w:t xml:space="preserve"> J L Roy </w:t>
      </w:r>
      <w:r>
        <w:t>with</w:t>
      </w:r>
      <w:r w:rsidRPr="0055284A">
        <w:t xml:space="preserve"> R </w:t>
      </w:r>
      <w:proofErr w:type="spellStart"/>
      <w:r w:rsidRPr="0055284A">
        <w:t>Khalilizadeh</w:t>
      </w:r>
      <w:proofErr w:type="spellEnd"/>
      <w:r w:rsidRPr="0055284A">
        <w:t xml:space="preserve"> for the appellant (instructed by Streeton Lawyers)</w:t>
      </w:r>
    </w:p>
    <w:p w14:paraId="15718402" w14:textId="77777777" w:rsidR="00E8603F" w:rsidRPr="0055284A" w:rsidRDefault="00E8603F" w:rsidP="001B3C97">
      <w:pPr>
        <w:pStyle w:val="Body"/>
      </w:pPr>
    </w:p>
    <w:p w14:paraId="3EE21087" w14:textId="77777777" w:rsidR="00E8603F" w:rsidRPr="0055284A" w:rsidRDefault="00E8603F" w:rsidP="00E90E4F">
      <w:pPr>
        <w:pStyle w:val="OrdersBody"/>
      </w:pPr>
      <w:r w:rsidRPr="0055284A">
        <w:t xml:space="preserve">S C Dowling SC with M L Millward and N </w:t>
      </w:r>
      <w:proofErr w:type="gramStart"/>
      <w:r w:rsidRPr="0055284A">
        <w:t>A</w:t>
      </w:r>
      <w:proofErr w:type="gramEnd"/>
      <w:r w:rsidRPr="0055284A">
        <w:t xml:space="preserve"> Wootton for the respondent (instructed by Director of Public Prosecutions (NSW))</w:t>
      </w:r>
    </w:p>
    <w:p w14:paraId="01A0CFAE" w14:textId="77777777" w:rsidR="00E8603F" w:rsidRDefault="00E8603F" w:rsidP="00EE5374">
      <w:pPr>
        <w:pStyle w:val="Body"/>
      </w:pPr>
    </w:p>
    <w:p w14:paraId="4A4EE0E7" w14:textId="77777777" w:rsidR="00E8603F" w:rsidRPr="00427F3A" w:rsidRDefault="00E8603F" w:rsidP="00EE5374">
      <w:pPr>
        <w:pStyle w:val="Body"/>
      </w:pPr>
    </w:p>
    <w:p w14:paraId="114C0860" w14:textId="77777777" w:rsidR="00E8603F" w:rsidRPr="00427F3A" w:rsidRDefault="00E8603F" w:rsidP="00F9713B">
      <w:pPr>
        <w:pStyle w:val="Notice"/>
        <w:rPr>
          <w:lang w:val="en-AU"/>
        </w:rPr>
      </w:pPr>
      <w:r w:rsidRPr="00427F3A">
        <w:rPr>
          <w:lang w:val="en-AU"/>
        </w:rPr>
        <w:t>Notice:  This copy of the Court's Reasons for Judgment is subject to formal revision prior to publication in the Commonwealth Law Reports.</w:t>
      </w:r>
    </w:p>
    <w:p w14:paraId="3EA97837" w14:textId="35EED290" w:rsidR="00E8603F" w:rsidRDefault="00E860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F16DF19" w14:textId="77777777" w:rsidR="00E8603F" w:rsidRDefault="00E860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8603F" w:rsidSect="00E8603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3BB9C43" w14:textId="77777777" w:rsidR="00E8603F" w:rsidRDefault="00E8603F" w:rsidP="001649CA">
      <w:pPr>
        <w:pStyle w:val="CatchwordsBold"/>
      </w:pPr>
      <w:r w:rsidRPr="00B9489E">
        <w:lastRenderedPageBreak/>
        <w:t>CATCHWORDS</w:t>
      </w:r>
    </w:p>
    <w:p w14:paraId="0F668D09" w14:textId="77777777" w:rsidR="00E8603F" w:rsidRPr="00B9489E" w:rsidRDefault="00E8603F" w:rsidP="001649CA">
      <w:pPr>
        <w:pStyle w:val="CatchwordsBold"/>
      </w:pPr>
    </w:p>
    <w:p w14:paraId="6C3D4BD0" w14:textId="77777777" w:rsidR="00E8603F" w:rsidRPr="00B9489E" w:rsidRDefault="00E8603F" w:rsidP="00AD579A">
      <w:pPr>
        <w:pStyle w:val="CatchwordsBold"/>
      </w:pPr>
      <w:r>
        <w:t xml:space="preserve">Cook (a pseudonym) v The King </w:t>
      </w:r>
    </w:p>
    <w:p w14:paraId="06925796" w14:textId="77777777" w:rsidR="00E8603F" w:rsidRPr="00B9489E" w:rsidRDefault="00E8603F" w:rsidP="00E8603F">
      <w:pPr>
        <w:pStyle w:val="CatchwordsText"/>
      </w:pPr>
    </w:p>
    <w:p w14:paraId="3736D40F" w14:textId="77777777" w:rsidR="00E8603F" w:rsidRPr="00C344F4" w:rsidRDefault="00E8603F" w:rsidP="00E8603F">
      <w:pPr>
        <w:pStyle w:val="CatchwordsText"/>
      </w:pPr>
      <w:r>
        <w:t xml:space="preserve">Criminal law </w:t>
      </w:r>
      <w:r w:rsidRPr="00B9489E">
        <w:t>–</w:t>
      </w:r>
      <w:r>
        <w:t xml:space="preserve"> Sexual offences </w:t>
      </w:r>
      <w:r w:rsidRPr="00B9489E">
        <w:t>–</w:t>
      </w:r>
      <w:r>
        <w:t xml:space="preserve"> Appeal against conviction </w:t>
      </w:r>
      <w:r w:rsidRPr="00B9489E">
        <w:t>–</w:t>
      </w:r>
      <w:r>
        <w:t xml:space="preserve"> Admissibility of evidence </w:t>
      </w:r>
      <w:r w:rsidRPr="00B9489E">
        <w:t>–</w:t>
      </w:r>
      <w:r>
        <w:t xml:space="preserve"> Where appellant convicted of sexual offences against child complainant </w:t>
      </w:r>
      <w:r w:rsidRPr="00B9489E">
        <w:t>–</w:t>
      </w:r>
      <w:r>
        <w:t xml:space="preserve"> Where complainant previously sexually assaulted by another person </w:t>
      </w:r>
      <w:r w:rsidRPr="00B9489E">
        <w:t>–</w:t>
      </w:r>
      <w:r>
        <w:t xml:space="preserve"> Where complainant allegedly disclosed previous sexual assaults in detail to appellant </w:t>
      </w:r>
      <w:r w:rsidRPr="00B9489E">
        <w:t>–</w:t>
      </w:r>
      <w:r>
        <w:t xml:space="preserve"> Where appellant sought to call evidence and cross-examine complainant regarding previous sexual assaults </w:t>
      </w:r>
      <w:r w:rsidRPr="00B9489E">
        <w:t>–</w:t>
      </w:r>
      <w:r>
        <w:t xml:space="preserve"> Where s 293(3) of </w:t>
      </w:r>
      <w:r>
        <w:rPr>
          <w:i/>
          <w:iCs/>
        </w:rPr>
        <w:t xml:space="preserve">Criminal Procedure Act 1986 </w:t>
      </w:r>
      <w:r>
        <w:t xml:space="preserve">(NSW) prohibits admission of evidence of complainant's sexual experience or sexual activity </w:t>
      </w:r>
      <w:r w:rsidRPr="00B9489E">
        <w:t>–</w:t>
      </w:r>
      <w:r>
        <w:t xml:space="preserve"> Whether evidence admissible under exception to s 293(3) contained in s 293(4)(a) or (b) </w:t>
      </w:r>
      <w:r w:rsidRPr="00B9489E">
        <w:t>–</w:t>
      </w:r>
      <w:r>
        <w:t xml:space="preserve"> Whether evidence formed part of connected set of circumstances in which alleged offending by appellant occurred </w:t>
      </w:r>
      <w:r w:rsidRPr="00B9489E">
        <w:t>–</w:t>
      </w:r>
      <w:r>
        <w:t xml:space="preserve"> Whether evidence related to relationship between appellant and complainant </w:t>
      </w:r>
      <w:r w:rsidRPr="00B9489E">
        <w:t>–</w:t>
      </w:r>
      <w:r>
        <w:t xml:space="preserve"> Whether jury misled by description of previous sexual assaults as "physical assaults" </w:t>
      </w:r>
      <w:r w:rsidRPr="00B9489E">
        <w:t>–</w:t>
      </w:r>
      <w:r>
        <w:t xml:space="preserve"> Whether acquittal of appellant required to avoid new trial that would be unfair to appellant because such evidence inadmissible.</w:t>
      </w:r>
    </w:p>
    <w:p w14:paraId="4D7210A0" w14:textId="77777777" w:rsidR="00E8603F" w:rsidRDefault="00E8603F" w:rsidP="001649CA">
      <w:pPr>
        <w:pStyle w:val="CatchwordsText"/>
      </w:pPr>
    </w:p>
    <w:p w14:paraId="2BF4A76A" w14:textId="77777777" w:rsidR="00E8603F" w:rsidRDefault="00E8603F" w:rsidP="001649CA">
      <w:pPr>
        <w:pStyle w:val="CatchwordsText"/>
      </w:pPr>
      <w:r w:rsidRPr="00B9489E">
        <w:t>Words and phrases –</w:t>
      </w:r>
      <w:r>
        <w:t xml:space="preserve"> </w:t>
      </w:r>
      <w:r>
        <w:rPr>
          <w:iCs/>
        </w:rPr>
        <w:t xml:space="preserve">"characterisation of sexual experience", </w:t>
      </w:r>
      <w:r>
        <w:t xml:space="preserve">"connected set of circumstances in which the alleged sexual assault occurred", "evidence of sexual activity", "evidence of sexual experience", "forensic disadvantage", "miscarriage of justice", "permanent stay", "power to decide whether to acquit", "probative value", "relates to a relationship", "relationship between the accused person and the complainant", </w:t>
      </w:r>
      <w:r>
        <w:rPr>
          <w:iCs/>
        </w:rPr>
        <w:t>"relationship of trust and confidence",</w:t>
      </w:r>
      <w:r>
        <w:t xml:space="preserve"> "sexual activity", "sexual experience", "unfair trial". </w:t>
      </w:r>
    </w:p>
    <w:p w14:paraId="63C74674" w14:textId="77777777" w:rsidR="00E8603F" w:rsidRDefault="00E8603F" w:rsidP="001649CA">
      <w:pPr>
        <w:pStyle w:val="CatchwordsText"/>
      </w:pPr>
    </w:p>
    <w:p w14:paraId="6EE6ABC6" w14:textId="77777777" w:rsidR="00E8603F" w:rsidRPr="008C2A60" w:rsidRDefault="00E8603F" w:rsidP="001649CA">
      <w:pPr>
        <w:pStyle w:val="CatchwordsText"/>
        <w:rPr>
          <w:iCs/>
        </w:rPr>
      </w:pPr>
      <w:r>
        <w:rPr>
          <w:i/>
        </w:rPr>
        <w:t xml:space="preserve">Criminal Appeal Act 1912 </w:t>
      </w:r>
      <w:r>
        <w:rPr>
          <w:iCs/>
        </w:rPr>
        <w:t>(NSW), ss 6, 8.</w:t>
      </w:r>
    </w:p>
    <w:p w14:paraId="2258D0C1" w14:textId="77777777" w:rsidR="00E8603F" w:rsidRDefault="00E8603F" w:rsidP="001649CA">
      <w:pPr>
        <w:pStyle w:val="CatchwordsText"/>
        <w:rPr>
          <w:iCs/>
        </w:rPr>
      </w:pPr>
      <w:r>
        <w:rPr>
          <w:i/>
        </w:rPr>
        <w:t xml:space="preserve">Criminal Procedure Act 1986 </w:t>
      </w:r>
      <w:r>
        <w:rPr>
          <w:iCs/>
        </w:rPr>
        <w:t>(NSW), ss 293(3), 293(4)(a), 293(4)(b), 294CB.</w:t>
      </w:r>
    </w:p>
    <w:p w14:paraId="2610BF1F" w14:textId="1E32F75C" w:rsidR="00E8603F" w:rsidRPr="00E8603F" w:rsidRDefault="00E8603F" w:rsidP="00E8603F">
      <w:pPr>
        <w:pStyle w:val="CatchwordsText"/>
        <w:rPr>
          <w:iCs/>
        </w:rPr>
      </w:pPr>
      <w:r>
        <w:rPr>
          <w:i/>
        </w:rPr>
        <w:t xml:space="preserve">Evidence Act 1995 </w:t>
      </w:r>
      <w:r>
        <w:rPr>
          <w:iCs/>
        </w:rPr>
        <w:t>(NSW), ss 55, 56.</w:t>
      </w:r>
    </w:p>
    <w:p w14:paraId="48976654" w14:textId="00BAA7CD" w:rsidR="00E8603F" w:rsidRDefault="00E860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3C40318" w14:textId="61B77C38" w:rsidR="00E8603F" w:rsidRDefault="00E860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57256724" w14:textId="77777777" w:rsidR="00E8603F" w:rsidRDefault="00E8603F" w:rsidP="008D3C0D">
      <w:pPr>
        <w:pStyle w:val="NormalBody"/>
        <w:tabs>
          <w:tab w:val="clear" w:pos="720"/>
          <w:tab w:val="left" w:pos="0"/>
        </w:tabs>
        <w:spacing w:after="260" w:line="280" w:lineRule="exact"/>
        <w:ind w:right="0"/>
        <w:jc w:val="both"/>
        <w:rPr>
          <w:rFonts w:ascii="Times New Roman" w:hAnsi="Times New Roman"/>
        </w:rPr>
        <w:sectPr w:rsidR="00E8603F" w:rsidSect="00E8603F">
          <w:pgSz w:w="11907" w:h="16839" w:code="9"/>
          <w:pgMar w:top="1440" w:right="1701" w:bottom="1984" w:left="1701" w:header="720" w:footer="720" w:gutter="0"/>
          <w:pgNumType w:start="1"/>
          <w:cols w:space="720"/>
          <w:titlePg/>
          <w:docGrid w:linePitch="354"/>
        </w:sectPr>
      </w:pPr>
    </w:p>
    <w:p w14:paraId="4DBB8ED7" w14:textId="73482456" w:rsidR="008D3C0D" w:rsidRPr="008D3C0D" w:rsidRDefault="008D3C0D" w:rsidP="008D3C0D">
      <w:pPr>
        <w:pStyle w:val="NormalBody"/>
        <w:tabs>
          <w:tab w:val="clear" w:pos="720"/>
          <w:tab w:val="left" w:pos="0"/>
        </w:tabs>
        <w:spacing w:after="260" w:line="280" w:lineRule="exact"/>
        <w:ind w:right="0"/>
        <w:jc w:val="both"/>
        <w:rPr>
          <w:rFonts w:ascii="Times New Roman" w:hAnsi="Times New Roman"/>
        </w:rPr>
      </w:pPr>
      <w:r w:rsidRPr="008D3C0D">
        <w:rPr>
          <w:rFonts w:ascii="Times New Roman" w:hAnsi="Times New Roman"/>
        </w:rPr>
        <w:lastRenderedPageBreak/>
        <w:t xml:space="preserve">GORDON A-CJ, EDELMAN, STEWARD AND GLEESON JJ.   </w:t>
      </w:r>
    </w:p>
    <w:p w14:paraId="59F3F893" w14:textId="1121836C" w:rsidR="00A73989" w:rsidRPr="008D3C0D" w:rsidRDefault="00E35C24" w:rsidP="008D3C0D">
      <w:pPr>
        <w:pStyle w:val="HeadingL1"/>
        <w:spacing w:after="260" w:line="280" w:lineRule="exact"/>
        <w:ind w:right="0"/>
        <w:jc w:val="both"/>
        <w:rPr>
          <w:rFonts w:ascii="Times New Roman" w:hAnsi="Times New Roman"/>
        </w:rPr>
      </w:pPr>
      <w:r w:rsidRPr="008D3C0D">
        <w:rPr>
          <w:rFonts w:ascii="Times New Roman" w:hAnsi="Times New Roman"/>
        </w:rPr>
        <w:t>Introduction</w:t>
      </w:r>
    </w:p>
    <w:p w14:paraId="20CAE9DB" w14:textId="3980D04A" w:rsidR="00001DD7" w:rsidRPr="008D3C0D" w:rsidRDefault="00E35C24"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980098" w:rsidRPr="008D3C0D">
        <w:rPr>
          <w:rFonts w:ascii="Times New Roman" w:hAnsi="Times New Roman"/>
        </w:rPr>
        <w:t xml:space="preserve">In 2019, </w:t>
      </w:r>
      <w:r w:rsidR="000E0CB4" w:rsidRPr="008D3C0D">
        <w:rPr>
          <w:rFonts w:ascii="Times New Roman" w:hAnsi="Times New Roman"/>
        </w:rPr>
        <w:t>after a trial before a judge a</w:t>
      </w:r>
      <w:r w:rsidR="000C62E7" w:rsidRPr="008D3C0D">
        <w:rPr>
          <w:rFonts w:ascii="Times New Roman" w:hAnsi="Times New Roman"/>
        </w:rPr>
        <w:t>nd</w:t>
      </w:r>
      <w:r w:rsidR="000E0CB4" w:rsidRPr="008D3C0D">
        <w:rPr>
          <w:rFonts w:ascii="Times New Roman" w:hAnsi="Times New Roman"/>
        </w:rPr>
        <w:t xml:space="preserve"> jury in the District Court of New South Wales, </w:t>
      </w:r>
      <w:r w:rsidR="00980098" w:rsidRPr="008D3C0D">
        <w:rPr>
          <w:rFonts w:ascii="Times New Roman" w:hAnsi="Times New Roman"/>
        </w:rPr>
        <w:t>t</w:t>
      </w:r>
      <w:r w:rsidR="002F214D" w:rsidRPr="008D3C0D">
        <w:rPr>
          <w:rFonts w:ascii="Times New Roman" w:hAnsi="Times New Roman"/>
        </w:rPr>
        <w:t>he appellant was convicted</w:t>
      </w:r>
      <w:r w:rsidR="002012B7" w:rsidRPr="008D3C0D">
        <w:rPr>
          <w:rFonts w:ascii="Times New Roman" w:hAnsi="Times New Roman"/>
        </w:rPr>
        <w:t xml:space="preserve"> of 17 sexual offences against the complainant </w:t>
      </w:r>
      <w:r w:rsidR="005E0BA7" w:rsidRPr="008D3C0D">
        <w:rPr>
          <w:rFonts w:ascii="Times New Roman" w:hAnsi="Times New Roman"/>
        </w:rPr>
        <w:t>during</w:t>
      </w:r>
      <w:r w:rsidR="002012B7" w:rsidRPr="008D3C0D">
        <w:rPr>
          <w:rFonts w:ascii="Times New Roman" w:hAnsi="Times New Roman"/>
        </w:rPr>
        <w:t xml:space="preserve"> various periods between </w:t>
      </w:r>
      <w:r w:rsidR="006E6BD3" w:rsidRPr="008D3C0D">
        <w:rPr>
          <w:rFonts w:ascii="Times New Roman" w:hAnsi="Times New Roman"/>
        </w:rPr>
        <w:t xml:space="preserve">1 January </w:t>
      </w:r>
      <w:r w:rsidR="002012B7" w:rsidRPr="008D3C0D">
        <w:rPr>
          <w:rFonts w:ascii="Times New Roman" w:hAnsi="Times New Roman"/>
        </w:rPr>
        <w:t xml:space="preserve">2011 and </w:t>
      </w:r>
      <w:r w:rsidR="006E6BD3" w:rsidRPr="008D3C0D">
        <w:rPr>
          <w:rFonts w:ascii="Times New Roman" w:hAnsi="Times New Roman"/>
        </w:rPr>
        <w:t xml:space="preserve">31 December </w:t>
      </w:r>
      <w:r w:rsidR="002012B7" w:rsidRPr="008D3C0D">
        <w:rPr>
          <w:rFonts w:ascii="Times New Roman" w:hAnsi="Times New Roman"/>
        </w:rPr>
        <w:t>2014</w:t>
      </w:r>
      <w:r w:rsidR="002F214D" w:rsidRPr="008D3C0D">
        <w:rPr>
          <w:rFonts w:ascii="Times New Roman" w:hAnsi="Times New Roman"/>
        </w:rPr>
        <w:t xml:space="preserve">. </w:t>
      </w:r>
      <w:r w:rsidR="00875A89" w:rsidRPr="008D3C0D">
        <w:rPr>
          <w:rFonts w:ascii="Times New Roman" w:hAnsi="Times New Roman"/>
        </w:rPr>
        <w:t>At</w:t>
      </w:r>
      <w:r w:rsidR="00875A89" w:rsidRPr="008D3C0D" w:rsidDel="003A2F25">
        <w:rPr>
          <w:rFonts w:ascii="Times New Roman" w:hAnsi="Times New Roman"/>
        </w:rPr>
        <w:t xml:space="preserve"> </w:t>
      </w:r>
      <w:r w:rsidR="003A2F25" w:rsidRPr="008D3C0D">
        <w:rPr>
          <w:rFonts w:ascii="Times New Roman" w:hAnsi="Times New Roman"/>
        </w:rPr>
        <w:t xml:space="preserve">the </w:t>
      </w:r>
      <w:r w:rsidR="00875A89" w:rsidRPr="008D3C0D">
        <w:rPr>
          <w:rFonts w:ascii="Times New Roman" w:hAnsi="Times New Roman"/>
        </w:rPr>
        <w:t>time</w:t>
      </w:r>
      <w:r w:rsidR="000E0CB4" w:rsidRPr="008D3C0D">
        <w:rPr>
          <w:rFonts w:ascii="Times New Roman" w:hAnsi="Times New Roman"/>
        </w:rPr>
        <w:t xml:space="preserve"> of the offences</w:t>
      </w:r>
      <w:r w:rsidR="00875A89" w:rsidRPr="008D3C0D">
        <w:rPr>
          <w:rFonts w:ascii="Times New Roman" w:hAnsi="Times New Roman"/>
        </w:rPr>
        <w:t xml:space="preserve">, the complainant was aged between 9 and 11 years old and was living </w:t>
      </w:r>
      <w:r w:rsidR="00FB3F55" w:rsidRPr="008D3C0D">
        <w:rPr>
          <w:rFonts w:ascii="Times New Roman" w:hAnsi="Times New Roman"/>
        </w:rPr>
        <w:t xml:space="preserve">in New South Wales </w:t>
      </w:r>
      <w:r w:rsidR="00875A89" w:rsidRPr="008D3C0D">
        <w:rPr>
          <w:rFonts w:ascii="Times New Roman" w:hAnsi="Times New Roman"/>
        </w:rPr>
        <w:t xml:space="preserve">with </w:t>
      </w:r>
      <w:r w:rsidR="00D95656" w:rsidRPr="008D3C0D">
        <w:rPr>
          <w:rFonts w:ascii="Times New Roman" w:hAnsi="Times New Roman"/>
        </w:rPr>
        <w:t xml:space="preserve">her aunt </w:t>
      </w:r>
      <w:r w:rsidR="00D01845" w:rsidRPr="008D3C0D">
        <w:rPr>
          <w:rFonts w:ascii="Times New Roman" w:hAnsi="Times New Roman"/>
        </w:rPr>
        <w:t>(</w:t>
      </w:r>
      <w:r w:rsidR="00A360EF" w:rsidRPr="008D3C0D">
        <w:rPr>
          <w:rFonts w:ascii="Times New Roman" w:hAnsi="Times New Roman"/>
        </w:rPr>
        <w:t>"</w:t>
      </w:r>
      <w:r w:rsidR="00D01845" w:rsidRPr="008D3C0D">
        <w:rPr>
          <w:rFonts w:ascii="Times New Roman" w:hAnsi="Times New Roman"/>
        </w:rPr>
        <w:t>the N</w:t>
      </w:r>
      <w:r w:rsidR="00A360EF" w:rsidRPr="008D3C0D">
        <w:rPr>
          <w:rFonts w:ascii="Times New Roman" w:hAnsi="Times New Roman"/>
        </w:rPr>
        <w:t xml:space="preserve">ew </w:t>
      </w:r>
      <w:r w:rsidR="00D01845" w:rsidRPr="008D3C0D">
        <w:rPr>
          <w:rFonts w:ascii="Times New Roman" w:hAnsi="Times New Roman"/>
        </w:rPr>
        <w:t>S</w:t>
      </w:r>
      <w:r w:rsidR="00A360EF" w:rsidRPr="008D3C0D">
        <w:rPr>
          <w:rFonts w:ascii="Times New Roman" w:hAnsi="Times New Roman"/>
        </w:rPr>
        <w:t xml:space="preserve">outh </w:t>
      </w:r>
      <w:r w:rsidR="00D01845" w:rsidRPr="008D3C0D">
        <w:rPr>
          <w:rFonts w:ascii="Times New Roman" w:hAnsi="Times New Roman"/>
        </w:rPr>
        <w:t>W</w:t>
      </w:r>
      <w:r w:rsidR="00A360EF" w:rsidRPr="008D3C0D">
        <w:rPr>
          <w:rFonts w:ascii="Times New Roman" w:hAnsi="Times New Roman"/>
        </w:rPr>
        <w:t>ales</w:t>
      </w:r>
      <w:r w:rsidR="00D01845" w:rsidRPr="008D3C0D">
        <w:rPr>
          <w:rFonts w:ascii="Times New Roman" w:hAnsi="Times New Roman"/>
        </w:rPr>
        <w:t xml:space="preserve"> aunt</w:t>
      </w:r>
      <w:r w:rsidR="00A360EF" w:rsidRPr="008D3C0D">
        <w:rPr>
          <w:rFonts w:ascii="Times New Roman" w:hAnsi="Times New Roman"/>
        </w:rPr>
        <w:t>"</w:t>
      </w:r>
      <w:r w:rsidR="00D01845" w:rsidRPr="008D3C0D">
        <w:rPr>
          <w:rFonts w:ascii="Times New Roman" w:hAnsi="Times New Roman"/>
        </w:rPr>
        <w:t xml:space="preserve">) </w:t>
      </w:r>
      <w:r w:rsidR="00D95656" w:rsidRPr="008D3C0D">
        <w:rPr>
          <w:rFonts w:ascii="Times New Roman" w:hAnsi="Times New Roman"/>
        </w:rPr>
        <w:t xml:space="preserve">and </w:t>
      </w:r>
      <w:r w:rsidR="00875A89" w:rsidRPr="008D3C0D">
        <w:rPr>
          <w:rFonts w:ascii="Times New Roman" w:hAnsi="Times New Roman"/>
        </w:rPr>
        <w:t>the appellant</w:t>
      </w:r>
      <w:r w:rsidR="00A04884" w:rsidRPr="008D3C0D">
        <w:rPr>
          <w:rFonts w:ascii="Times New Roman" w:hAnsi="Times New Roman"/>
        </w:rPr>
        <w:t xml:space="preserve"> (who was the </w:t>
      </w:r>
      <w:r w:rsidR="008C2460" w:rsidRPr="008D3C0D">
        <w:rPr>
          <w:rFonts w:ascii="Times New Roman" w:hAnsi="Times New Roman"/>
        </w:rPr>
        <w:t xml:space="preserve">New South Wales </w:t>
      </w:r>
      <w:r w:rsidR="00A04884" w:rsidRPr="008D3C0D">
        <w:rPr>
          <w:rFonts w:ascii="Times New Roman" w:hAnsi="Times New Roman"/>
        </w:rPr>
        <w:t>aunt's husband at that time)</w:t>
      </w:r>
      <w:r w:rsidR="00875A89" w:rsidRPr="008D3C0D">
        <w:rPr>
          <w:rFonts w:ascii="Times New Roman" w:hAnsi="Times New Roman"/>
        </w:rPr>
        <w:t xml:space="preserve">. </w:t>
      </w:r>
    </w:p>
    <w:p w14:paraId="66BFBA4C" w14:textId="6AB7FFAB" w:rsidR="00896FB8" w:rsidRPr="008D3C0D" w:rsidRDefault="00001DD7"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E37EBC" w:rsidRPr="008D3C0D">
        <w:rPr>
          <w:rFonts w:ascii="Times New Roman" w:hAnsi="Times New Roman"/>
        </w:rPr>
        <w:t xml:space="preserve">The </w:t>
      </w:r>
      <w:r w:rsidR="008F4763" w:rsidRPr="008D3C0D">
        <w:rPr>
          <w:rFonts w:ascii="Times New Roman" w:hAnsi="Times New Roman"/>
        </w:rPr>
        <w:t>offences charged</w:t>
      </w:r>
      <w:r w:rsidR="00656F4D" w:rsidRPr="008D3C0D">
        <w:rPr>
          <w:rFonts w:ascii="Times New Roman" w:hAnsi="Times New Roman"/>
        </w:rPr>
        <w:t xml:space="preserve">, and the relevant provisions of the </w:t>
      </w:r>
      <w:r w:rsidR="00656F4D" w:rsidRPr="008D3C0D">
        <w:rPr>
          <w:rFonts w:ascii="Times New Roman" w:hAnsi="Times New Roman"/>
          <w:i/>
          <w:iCs/>
        </w:rPr>
        <w:t xml:space="preserve">Crimes Act 1900 </w:t>
      </w:r>
      <w:r w:rsidR="00656F4D" w:rsidRPr="008D3C0D">
        <w:rPr>
          <w:rFonts w:ascii="Times New Roman" w:hAnsi="Times New Roman"/>
        </w:rPr>
        <w:t>(NSW),</w:t>
      </w:r>
      <w:r w:rsidR="00E37EBC" w:rsidRPr="008D3C0D">
        <w:rPr>
          <w:rFonts w:ascii="Times New Roman" w:hAnsi="Times New Roman"/>
        </w:rPr>
        <w:t xml:space="preserve"> </w:t>
      </w:r>
      <w:r w:rsidR="00805093" w:rsidRPr="008D3C0D">
        <w:rPr>
          <w:rFonts w:ascii="Times New Roman" w:hAnsi="Times New Roman"/>
        </w:rPr>
        <w:t>were as follows:</w:t>
      </w:r>
      <w:r w:rsidR="00177FB8" w:rsidRPr="008D3C0D">
        <w:rPr>
          <w:rFonts w:ascii="Times New Roman" w:hAnsi="Times New Roman"/>
        </w:rPr>
        <w:t xml:space="preserve"> (</w:t>
      </w:r>
      <w:proofErr w:type="spellStart"/>
      <w:r w:rsidR="00177FB8" w:rsidRPr="008D3C0D">
        <w:rPr>
          <w:rFonts w:ascii="Times New Roman" w:hAnsi="Times New Roman"/>
        </w:rPr>
        <w:t>i</w:t>
      </w:r>
      <w:proofErr w:type="spellEnd"/>
      <w:r w:rsidR="00177FB8" w:rsidRPr="008D3C0D">
        <w:rPr>
          <w:rFonts w:ascii="Times New Roman" w:hAnsi="Times New Roman"/>
        </w:rPr>
        <w:t>)</w:t>
      </w:r>
      <w:r w:rsidR="00973680" w:rsidRPr="008D3C0D">
        <w:rPr>
          <w:rFonts w:ascii="Times New Roman" w:hAnsi="Times New Roman"/>
        </w:rPr>
        <w:t> </w:t>
      </w:r>
      <w:r w:rsidR="00805093" w:rsidRPr="008D3C0D">
        <w:rPr>
          <w:rFonts w:ascii="Times New Roman" w:hAnsi="Times New Roman"/>
        </w:rPr>
        <w:t>sexual intercourse with a child under 10 years</w:t>
      </w:r>
      <w:r w:rsidR="00BF56E6" w:rsidRPr="008D3C0D">
        <w:rPr>
          <w:rFonts w:ascii="Times New Roman" w:hAnsi="Times New Roman"/>
        </w:rPr>
        <w:t xml:space="preserve"> contrary to s</w:t>
      </w:r>
      <w:r w:rsidR="00973680" w:rsidRPr="008D3C0D">
        <w:rPr>
          <w:rFonts w:ascii="Times New Roman" w:hAnsi="Times New Roman"/>
        </w:rPr>
        <w:t> </w:t>
      </w:r>
      <w:r w:rsidR="00BF56E6" w:rsidRPr="008D3C0D">
        <w:rPr>
          <w:rFonts w:ascii="Times New Roman" w:hAnsi="Times New Roman"/>
        </w:rPr>
        <w:t>66A</w:t>
      </w:r>
      <w:r w:rsidR="001C28B1" w:rsidRPr="008D3C0D">
        <w:rPr>
          <w:rFonts w:ascii="Times New Roman" w:hAnsi="Times New Roman"/>
        </w:rPr>
        <w:t>(1)</w:t>
      </w:r>
      <w:r w:rsidR="00805093" w:rsidRPr="008D3C0D">
        <w:rPr>
          <w:rFonts w:ascii="Times New Roman" w:hAnsi="Times New Roman"/>
        </w:rPr>
        <w:t xml:space="preserve"> </w:t>
      </w:r>
      <w:r w:rsidR="00B331DC" w:rsidRPr="008D3C0D">
        <w:rPr>
          <w:rFonts w:ascii="Times New Roman" w:hAnsi="Times New Roman"/>
        </w:rPr>
        <w:t>(</w:t>
      </w:r>
      <w:r w:rsidR="00177FB8" w:rsidRPr="008D3C0D">
        <w:rPr>
          <w:rFonts w:ascii="Times New Roman" w:hAnsi="Times New Roman"/>
        </w:rPr>
        <w:t>count 1</w:t>
      </w:r>
      <w:r w:rsidR="00BF56E6" w:rsidRPr="008D3C0D">
        <w:rPr>
          <w:rFonts w:ascii="Times New Roman" w:hAnsi="Times New Roman"/>
        </w:rPr>
        <w:t xml:space="preserve"> and counts 6-11</w:t>
      </w:r>
      <w:r w:rsidR="00177FB8" w:rsidRPr="008D3C0D">
        <w:rPr>
          <w:rFonts w:ascii="Times New Roman" w:hAnsi="Times New Roman"/>
        </w:rPr>
        <w:t>); (ii)</w:t>
      </w:r>
      <w:r w:rsidR="00973680" w:rsidRPr="008D3C0D">
        <w:rPr>
          <w:rFonts w:ascii="Times New Roman" w:hAnsi="Times New Roman"/>
        </w:rPr>
        <w:t> </w:t>
      </w:r>
      <w:r w:rsidR="00177FB8" w:rsidRPr="008D3C0D">
        <w:rPr>
          <w:rFonts w:ascii="Times New Roman" w:hAnsi="Times New Roman"/>
        </w:rPr>
        <w:t>indecent assault of a person under 16 years</w:t>
      </w:r>
      <w:r w:rsidR="00E635C4" w:rsidRPr="008D3C0D">
        <w:rPr>
          <w:rFonts w:ascii="Times New Roman" w:hAnsi="Times New Roman"/>
        </w:rPr>
        <w:t xml:space="preserve"> contrary to s</w:t>
      </w:r>
      <w:r w:rsidR="00973680" w:rsidRPr="008D3C0D">
        <w:rPr>
          <w:rFonts w:ascii="Times New Roman" w:hAnsi="Times New Roman"/>
        </w:rPr>
        <w:t> </w:t>
      </w:r>
      <w:r w:rsidR="00E635C4" w:rsidRPr="008D3C0D">
        <w:rPr>
          <w:rFonts w:ascii="Times New Roman" w:hAnsi="Times New Roman"/>
        </w:rPr>
        <w:t>61M(2)</w:t>
      </w:r>
      <w:r w:rsidR="00177FB8" w:rsidRPr="008D3C0D">
        <w:rPr>
          <w:rFonts w:ascii="Times New Roman" w:hAnsi="Times New Roman"/>
        </w:rPr>
        <w:t xml:space="preserve"> </w:t>
      </w:r>
      <w:r w:rsidR="00BF56E6" w:rsidRPr="008D3C0D">
        <w:rPr>
          <w:rFonts w:ascii="Times New Roman" w:hAnsi="Times New Roman"/>
        </w:rPr>
        <w:t>(counts 2-5);</w:t>
      </w:r>
      <w:r w:rsidR="00973680" w:rsidRPr="008D3C0D">
        <w:rPr>
          <w:rFonts w:ascii="Times New Roman" w:hAnsi="Times New Roman"/>
        </w:rPr>
        <w:t> </w:t>
      </w:r>
      <w:r w:rsidR="00FA0E0B" w:rsidRPr="008D3C0D">
        <w:rPr>
          <w:rFonts w:ascii="Times New Roman" w:hAnsi="Times New Roman"/>
        </w:rPr>
        <w:t xml:space="preserve">and </w:t>
      </w:r>
      <w:r w:rsidR="00E635C4" w:rsidRPr="008D3C0D">
        <w:rPr>
          <w:rFonts w:ascii="Times New Roman" w:hAnsi="Times New Roman"/>
        </w:rPr>
        <w:t xml:space="preserve">(iii) </w:t>
      </w:r>
      <w:r w:rsidR="007E546E" w:rsidRPr="008D3C0D">
        <w:rPr>
          <w:rFonts w:ascii="Times New Roman" w:hAnsi="Times New Roman"/>
        </w:rPr>
        <w:t xml:space="preserve">sexual </w:t>
      </w:r>
      <w:r w:rsidR="006C13E4" w:rsidRPr="008D3C0D">
        <w:rPr>
          <w:rFonts w:ascii="Times New Roman" w:hAnsi="Times New Roman"/>
        </w:rPr>
        <w:t>assault of a person under 16 years contrary to s</w:t>
      </w:r>
      <w:r w:rsidR="00973680" w:rsidRPr="008D3C0D">
        <w:rPr>
          <w:rFonts w:ascii="Times New Roman" w:hAnsi="Times New Roman"/>
        </w:rPr>
        <w:t> </w:t>
      </w:r>
      <w:r w:rsidR="006C13E4" w:rsidRPr="008D3C0D">
        <w:rPr>
          <w:rFonts w:ascii="Times New Roman" w:hAnsi="Times New Roman"/>
        </w:rPr>
        <w:t>61J</w:t>
      </w:r>
      <w:r w:rsidR="006E4D40" w:rsidRPr="008D3C0D">
        <w:rPr>
          <w:rFonts w:ascii="Times New Roman" w:hAnsi="Times New Roman"/>
        </w:rPr>
        <w:t>(1)</w:t>
      </w:r>
      <w:r w:rsidR="006C13E4" w:rsidRPr="008D3C0D">
        <w:rPr>
          <w:rFonts w:ascii="Times New Roman" w:hAnsi="Times New Roman"/>
        </w:rPr>
        <w:t xml:space="preserve"> (counts 12-17).</w:t>
      </w:r>
    </w:p>
    <w:p w14:paraId="3E9F3D51" w14:textId="63482CAA" w:rsidR="00C05FAA" w:rsidRPr="008D3C0D" w:rsidRDefault="006C13E4"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7F7D55" w:rsidRPr="008D3C0D">
        <w:rPr>
          <w:rFonts w:ascii="Times New Roman" w:hAnsi="Times New Roman"/>
        </w:rPr>
        <w:t>During 2008 and 2009, p</w:t>
      </w:r>
      <w:r w:rsidR="00473B87" w:rsidRPr="008D3C0D">
        <w:rPr>
          <w:rFonts w:ascii="Times New Roman" w:hAnsi="Times New Roman"/>
        </w:rPr>
        <w:t>rior to the</w:t>
      </w:r>
      <w:r w:rsidR="00124613" w:rsidRPr="008D3C0D">
        <w:rPr>
          <w:rFonts w:ascii="Times New Roman" w:hAnsi="Times New Roman"/>
        </w:rPr>
        <w:t xml:space="preserve"> alleged offences by the appellant, the complainant h</w:t>
      </w:r>
      <w:r w:rsidR="00205887" w:rsidRPr="008D3C0D">
        <w:rPr>
          <w:rFonts w:ascii="Times New Roman" w:hAnsi="Times New Roman"/>
        </w:rPr>
        <w:t xml:space="preserve">ad been subject to </w:t>
      </w:r>
      <w:r w:rsidR="0016113E" w:rsidRPr="008D3C0D">
        <w:rPr>
          <w:rFonts w:ascii="Times New Roman" w:hAnsi="Times New Roman"/>
        </w:rPr>
        <w:t>sexual assault</w:t>
      </w:r>
      <w:r w:rsidR="00D51274" w:rsidRPr="008D3C0D">
        <w:rPr>
          <w:rFonts w:ascii="Times New Roman" w:hAnsi="Times New Roman"/>
        </w:rPr>
        <w:t>s</w:t>
      </w:r>
      <w:r w:rsidR="0016113E" w:rsidRPr="008D3C0D">
        <w:rPr>
          <w:rFonts w:ascii="Times New Roman" w:hAnsi="Times New Roman"/>
        </w:rPr>
        <w:t xml:space="preserve"> </w:t>
      </w:r>
      <w:r w:rsidR="009A55CC" w:rsidRPr="008D3C0D">
        <w:rPr>
          <w:rFonts w:ascii="Times New Roman" w:hAnsi="Times New Roman"/>
        </w:rPr>
        <w:t xml:space="preserve">committed </w:t>
      </w:r>
      <w:r w:rsidR="00D51274" w:rsidRPr="008D3C0D">
        <w:rPr>
          <w:rFonts w:ascii="Times New Roman" w:hAnsi="Times New Roman"/>
        </w:rPr>
        <w:t>by</w:t>
      </w:r>
      <w:r w:rsidR="00F27AFD" w:rsidRPr="008D3C0D">
        <w:rPr>
          <w:rFonts w:ascii="Times New Roman" w:hAnsi="Times New Roman"/>
        </w:rPr>
        <w:t xml:space="preserve"> </w:t>
      </w:r>
      <w:r w:rsidR="00810CA2" w:rsidRPr="008D3C0D">
        <w:rPr>
          <w:rFonts w:ascii="Times New Roman" w:hAnsi="Times New Roman"/>
        </w:rPr>
        <w:t>the de facto partner</w:t>
      </w:r>
      <w:r w:rsidR="006A35B3" w:rsidRPr="008D3C0D">
        <w:rPr>
          <w:rFonts w:ascii="Times New Roman" w:hAnsi="Times New Roman"/>
        </w:rPr>
        <w:t xml:space="preserve"> ("the Queensland offender")</w:t>
      </w:r>
      <w:r w:rsidR="00810CA2" w:rsidRPr="008D3C0D">
        <w:rPr>
          <w:rFonts w:ascii="Times New Roman" w:hAnsi="Times New Roman"/>
        </w:rPr>
        <w:t xml:space="preserve"> o</w:t>
      </w:r>
      <w:r w:rsidR="00275700" w:rsidRPr="008D3C0D">
        <w:rPr>
          <w:rFonts w:ascii="Times New Roman" w:hAnsi="Times New Roman"/>
        </w:rPr>
        <w:t>f</w:t>
      </w:r>
      <w:r w:rsidR="006A35B3" w:rsidRPr="008D3C0D">
        <w:rPr>
          <w:rFonts w:ascii="Times New Roman" w:hAnsi="Times New Roman"/>
        </w:rPr>
        <w:t xml:space="preserve"> a different</w:t>
      </w:r>
      <w:r w:rsidR="00275700" w:rsidRPr="008D3C0D">
        <w:rPr>
          <w:rFonts w:ascii="Times New Roman" w:hAnsi="Times New Roman"/>
        </w:rPr>
        <w:t xml:space="preserve"> aunt</w:t>
      </w:r>
      <w:r w:rsidR="006A35B3" w:rsidRPr="008D3C0D">
        <w:rPr>
          <w:rFonts w:ascii="Times New Roman" w:hAnsi="Times New Roman"/>
        </w:rPr>
        <w:t xml:space="preserve"> </w:t>
      </w:r>
      <w:r w:rsidR="003A2C29" w:rsidRPr="008D3C0D">
        <w:rPr>
          <w:rFonts w:ascii="Times New Roman" w:hAnsi="Times New Roman"/>
        </w:rPr>
        <w:t>("the Queensland aunt")</w:t>
      </w:r>
      <w:r w:rsidR="006E0F63" w:rsidRPr="008D3C0D">
        <w:rPr>
          <w:rFonts w:ascii="Times New Roman" w:hAnsi="Times New Roman"/>
        </w:rPr>
        <w:t xml:space="preserve"> </w:t>
      </w:r>
      <w:r w:rsidR="0004042E" w:rsidRPr="008D3C0D">
        <w:rPr>
          <w:rFonts w:ascii="Times New Roman" w:hAnsi="Times New Roman"/>
        </w:rPr>
        <w:t xml:space="preserve">with </w:t>
      </w:r>
      <w:r w:rsidR="006A35B3" w:rsidRPr="008D3C0D">
        <w:rPr>
          <w:rFonts w:ascii="Times New Roman" w:hAnsi="Times New Roman"/>
        </w:rPr>
        <w:t>who</w:t>
      </w:r>
      <w:r w:rsidR="0004042E" w:rsidRPr="008D3C0D">
        <w:rPr>
          <w:rFonts w:ascii="Times New Roman" w:hAnsi="Times New Roman"/>
        </w:rPr>
        <w:t>m</w:t>
      </w:r>
      <w:r w:rsidR="006A35B3" w:rsidRPr="008D3C0D">
        <w:rPr>
          <w:rFonts w:ascii="Times New Roman" w:hAnsi="Times New Roman"/>
        </w:rPr>
        <w:t xml:space="preserve"> the complainant </w:t>
      </w:r>
      <w:r w:rsidR="007F7D55" w:rsidRPr="008D3C0D">
        <w:rPr>
          <w:rFonts w:ascii="Times New Roman" w:hAnsi="Times New Roman"/>
        </w:rPr>
        <w:t xml:space="preserve">was then living </w:t>
      </w:r>
      <w:r w:rsidR="006A35B3" w:rsidRPr="008D3C0D">
        <w:rPr>
          <w:rFonts w:ascii="Times New Roman" w:hAnsi="Times New Roman"/>
        </w:rPr>
        <w:t>in Queensland</w:t>
      </w:r>
      <w:r w:rsidR="00BB3A1C" w:rsidRPr="008D3C0D">
        <w:rPr>
          <w:rFonts w:ascii="Times New Roman" w:hAnsi="Times New Roman"/>
        </w:rPr>
        <w:t>.</w:t>
      </w:r>
      <w:r w:rsidR="00810CA2" w:rsidRPr="008D3C0D">
        <w:rPr>
          <w:rFonts w:ascii="Times New Roman" w:hAnsi="Times New Roman"/>
        </w:rPr>
        <w:t xml:space="preserve"> </w:t>
      </w:r>
      <w:r w:rsidR="00B2795A" w:rsidRPr="008D3C0D">
        <w:rPr>
          <w:rFonts w:ascii="Times New Roman" w:hAnsi="Times New Roman"/>
        </w:rPr>
        <w:t xml:space="preserve">The Queensland offender </w:t>
      </w:r>
      <w:r w:rsidR="009B5404" w:rsidRPr="008D3C0D">
        <w:rPr>
          <w:rFonts w:ascii="Times New Roman" w:hAnsi="Times New Roman"/>
        </w:rPr>
        <w:t xml:space="preserve">was </w:t>
      </w:r>
      <w:r w:rsidR="004F603F" w:rsidRPr="008D3C0D">
        <w:rPr>
          <w:rFonts w:ascii="Times New Roman" w:hAnsi="Times New Roman"/>
        </w:rPr>
        <w:t>charged with 12 counts of sexual assault</w:t>
      </w:r>
      <w:r w:rsidR="004A7251" w:rsidRPr="008D3C0D">
        <w:rPr>
          <w:rFonts w:ascii="Times New Roman" w:hAnsi="Times New Roman"/>
        </w:rPr>
        <w:t xml:space="preserve"> </w:t>
      </w:r>
      <w:r w:rsidR="00100727" w:rsidRPr="008D3C0D">
        <w:rPr>
          <w:rFonts w:ascii="Times New Roman" w:hAnsi="Times New Roman"/>
        </w:rPr>
        <w:t>("the Queensland conduct")</w:t>
      </w:r>
      <w:r w:rsidR="0026667A" w:rsidRPr="008D3C0D">
        <w:rPr>
          <w:rFonts w:ascii="Times New Roman" w:hAnsi="Times New Roman"/>
        </w:rPr>
        <w:t xml:space="preserve"> and </w:t>
      </w:r>
      <w:r w:rsidR="009B5404" w:rsidRPr="008D3C0D">
        <w:rPr>
          <w:rFonts w:ascii="Times New Roman" w:hAnsi="Times New Roman"/>
        </w:rPr>
        <w:t xml:space="preserve">found guilty of </w:t>
      </w:r>
      <w:r w:rsidR="00C92511" w:rsidRPr="008D3C0D">
        <w:rPr>
          <w:rFonts w:ascii="Times New Roman" w:hAnsi="Times New Roman"/>
        </w:rPr>
        <w:t xml:space="preserve">11 </w:t>
      </w:r>
      <w:r w:rsidR="002B68A4" w:rsidRPr="008D3C0D">
        <w:rPr>
          <w:rFonts w:ascii="Times New Roman" w:hAnsi="Times New Roman"/>
        </w:rPr>
        <w:t>of th</w:t>
      </w:r>
      <w:r w:rsidR="00786977" w:rsidRPr="008D3C0D">
        <w:rPr>
          <w:rFonts w:ascii="Times New Roman" w:hAnsi="Times New Roman"/>
        </w:rPr>
        <w:t>o</w:t>
      </w:r>
      <w:r w:rsidR="002B68A4" w:rsidRPr="008D3C0D">
        <w:rPr>
          <w:rFonts w:ascii="Times New Roman" w:hAnsi="Times New Roman"/>
        </w:rPr>
        <w:t xml:space="preserve">se </w:t>
      </w:r>
      <w:r w:rsidR="00C92511" w:rsidRPr="008D3C0D">
        <w:rPr>
          <w:rFonts w:ascii="Times New Roman" w:hAnsi="Times New Roman"/>
        </w:rPr>
        <w:t>counts</w:t>
      </w:r>
      <w:r w:rsidR="00EB7A1F" w:rsidRPr="008D3C0D">
        <w:rPr>
          <w:rFonts w:ascii="Times New Roman" w:hAnsi="Times New Roman"/>
        </w:rPr>
        <w:t>.</w:t>
      </w:r>
      <w:r w:rsidR="00B4705D" w:rsidRPr="008D3C0D">
        <w:rPr>
          <w:rFonts w:ascii="Times New Roman" w:hAnsi="Times New Roman"/>
        </w:rPr>
        <w:t xml:space="preserve"> Th</w:t>
      </w:r>
      <w:r w:rsidR="00FF47D3" w:rsidRPr="008D3C0D">
        <w:rPr>
          <w:rFonts w:ascii="Times New Roman" w:hAnsi="Times New Roman"/>
        </w:rPr>
        <w:t>e convictions were</w:t>
      </w:r>
      <w:r w:rsidR="00B4705D" w:rsidRPr="008D3C0D">
        <w:rPr>
          <w:rFonts w:ascii="Times New Roman" w:hAnsi="Times New Roman"/>
        </w:rPr>
        <w:t xml:space="preserve"> overturned on appeal and the Queensland offender </w:t>
      </w:r>
      <w:r w:rsidR="00B2795A" w:rsidRPr="008D3C0D">
        <w:rPr>
          <w:rFonts w:ascii="Times New Roman" w:hAnsi="Times New Roman"/>
        </w:rPr>
        <w:t>ultimately plead</w:t>
      </w:r>
      <w:r w:rsidR="00BB1326" w:rsidRPr="008D3C0D">
        <w:rPr>
          <w:rFonts w:ascii="Times New Roman" w:hAnsi="Times New Roman"/>
        </w:rPr>
        <w:t>ed</w:t>
      </w:r>
      <w:r w:rsidR="00B2795A" w:rsidRPr="008D3C0D">
        <w:rPr>
          <w:rFonts w:ascii="Times New Roman" w:hAnsi="Times New Roman"/>
        </w:rPr>
        <w:t xml:space="preserve"> guilty to </w:t>
      </w:r>
      <w:r w:rsidR="00B4705D" w:rsidRPr="008D3C0D">
        <w:rPr>
          <w:rFonts w:ascii="Times New Roman" w:hAnsi="Times New Roman"/>
        </w:rPr>
        <w:t>four</w:t>
      </w:r>
      <w:r w:rsidR="007F0C67" w:rsidRPr="008D3C0D">
        <w:rPr>
          <w:rFonts w:ascii="Times New Roman" w:hAnsi="Times New Roman"/>
        </w:rPr>
        <w:t xml:space="preserve"> counts of indecent treatment of a child under</w:t>
      </w:r>
      <w:r w:rsidR="00910768" w:rsidRPr="008D3C0D">
        <w:rPr>
          <w:rFonts w:ascii="Times New Roman" w:hAnsi="Times New Roman"/>
        </w:rPr>
        <w:t xml:space="preserve"> the age of 12</w:t>
      </w:r>
      <w:r w:rsidR="0009091E" w:rsidRPr="008D3C0D">
        <w:rPr>
          <w:rFonts w:ascii="Times New Roman" w:hAnsi="Times New Roman"/>
        </w:rPr>
        <w:t xml:space="preserve"> ("the </w:t>
      </w:r>
      <w:r w:rsidR="008C7992" w:rsidRPr="008D3C0D">
        <w:rPr>
          <w:rFonts w:ascii="Times New Roman" w:hAnsi="Times New Roman"/>
        </w:rPr>
        <w:t>Queensland offences</w:t>
      </w:r>
      <w:r w:rsidR="00C05FAA" w:rsidRPr="008D3C0D">
        <w:rPr>
          <w:rFonts w:ascii="Times New Roman" w:hAnsi="Times New Roman"/>
        </w:rPr>
        <w:t xml:space="preserve">"). </w:t>
      </w:r>
    </w:p>
    <w:p w14:paraId="50DFE101" w14:textId="5D1D178F" w:rsidR="00313E77" w:rsidRPr="008D3C0D" w:rsidRDefault="005B36F7"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A7157B" w:rsidRPr="008D3C0D">
        <w:rPr>
          <w:rFonts w:ascii="Times New Roman" w:hAnsi="Times New Roman"/>
        </w:rPr>
        <w:t>Events in t</w:t>
      </w:r>
      <w:r w:rsidR="00D51274" w:rsidRPr="008D3C0D">
        <w:rPr>
          <w:rFonts w:ascii="Times New Roman" w:hAnsi="Times New Roman"/>
        </w:rPr>
        <w:t xml:space="preserve">he aftermath of </w:t>
      </w:r>
      <w:r w:rsidR="00A7157B" w:rsidRPr="008D3C0D">
        <w:rPr>
          <w:rFonts w:ascii="Times New Roman" w:hAnsi="Times New Roman"/>
        </w:rPr>
        <w:t>t</w:t>
      </w:r>
      <w:r w:rsidR="000E111E" w:rsidRPr="008D3C0D">
        <w:rPr>
          <w:rFonts w:ascii="Times New Roman" w:hAnsi="Times New Roman"/>
        </w:rPr>
        <w:t xml:space="preserve">he Queensland </w:t>
      </w:r>
      <w:r w:rsidR="00A7157B" w:rsidRPr="008D3C0D">
        <w:rPr>
          <w:rFonts w:ascii="Times New Roman" w:hAnsi="Times New Roman"/>
        </w:rPr>
        <w:t>offences</w:t>
      </w:r>
      <w:r w:rsidR="008C2756" w:rsidRPr="008D3C0D">
        <w:rPr>
          <w:rFonts w:ascii="Times New Roman" w:hAnsi="Times New Roman"/>
        </w:rPr>
        <w:t xml:space="preserve"> preceded or</w:t>
      </w:r>
      <w:r w:rsidR="00A7157B" w:rsidRPr="008D3C0D">
        <w:rPr>
          <w:rFonts w:ascii="Times New Roman" w:hAnsi="Times New Roman"/>
        </w:rPr>
        <w:t xml:space="preserve"> coincided with the </w:t>
      </w:r>
      <w:r w:rsidR="000E111E" w:rsidRPr="008D3C0D">
        <w:rPr>
          <w:rFonts w:ascii="Times New Roman" w:hAnsi="Times New Roman"/>
        </w:rPr>
        <w:t>offen</w:t>
      </w:r>
      <w:r w:rsidR="00E50C13" w:rsidRPr="008D3C0D">
        <w:rPr>
          <w:rFonts w:ascii="Times New Roman" w:hAnsi="Times New Roman"/>
        </w:rPr>
        <w:t xml:space="preserve">ding </w:t>
      </w:r>
      <w:r w:rsidR="001A44B0" w:rsidRPr="008D3C0D">
        <w:rPr>
          <w:rFonts w:ascii="Times New Roman" w:hAnsi="Times New Roman"/>
        </w:rPr>
        <w:t>alleged against the appellant. Those events were</w:t>
      </w:r>
      <w:r w:rsidR="008C2756" w:rsidRPr="008D3C0D">
        <w:rPr>
          <w:rFonts w:ascii="Times New Roman" w:hAnsi="Times New Roman"/>
        </w:rPr>
        <w:t xml:space="preserve">: alleged disclosure by the complainant to the </w:t>
      </w:r>
      <w:r w:rsidR="005D5286" w:rsidRPr="008D3C0D">
        <w:rPr>
          <w:rFonts w:ascii="Times New Roman" w:hAnsi="Times New Roman"/>
        </w:rPr>
        <w:t xml:space="preserve">appellant </w:t>
      </w:r>
      <w:r w:rsidR="008C2756" w:rsidRPr="008D3C0D">
        <w:rPr>
          <w:rFonts w:ascii="Times New Roman" w:hAnsi="Times New Roman"/>
        </w:rPr>
        <w:t xml:space="preserve">of the Queensland </w:t>
      </w:r>
      <w:r w:rsidR="00C90372" w:rsidRPr="008D3C0D">
        <w:rPr>
          <w:rFonts w:ascii="Times New Roman" w:hAnsi="Times New Roman"/>
        </w:rPr>
        <w:t xml:space="preserve">conduct </w:t>
      </w:r>
      <w:r w:rsidR="003966DF" w:rsidRPr="008D3C0D">
        <w:rPr>
          <w:rFonts w:ascii="Times New Roman" w:hAnsi="Times New Roman"/>
        </w:rPr>
        <w:t xml:space="preserve">in late 2009 and </w:t>
      </w:r>
      <w:r w:rsidR="008C2756" w:rsidRPr="008D3C0D">
        <w:rPr>
          <w:rFonts w:ascii="Times New Roman" w:hAnsi="Times New Roman"/>
        </w:rPr>
        <w:t>a statement by the appellant in support of the complainant</w:t>
      </w:r>
      <w:r w:rsidR="005F154B" w:rsidRPr="008D3C0D">
        <w:rPr>
          <w:rFonts w:ascii="Times New Roman" w:hAnsi="Times New Roman"/>
        </w:rPr>
        <w:t>'s allegations</w:t>
      </w:r>
      <w:r w:rsidR="008C2756" w:rsidRPr="008D3C0D">
        <w:rPr>
          <w:rFonts w:ascii="Times New Roman" w:hAnsi="Times New Roman"/>
        </w:rPr>
        <w:t xml:space="preserve"> </w:t>
      </w:r>
      <w:r w:rsidR="003966DF" w:rsidRPr="008D3C0D">
        <w:rPr>
          <w:rFonts w:ascii="Times New Roman" w:hAnsi="Times New Roman"/>
        </w:rPr>
        <w:t>in July 2010</w:t>
      </w:r>
      <w:r w:rsidR="00F676B9" w:rsidRPr="008D3C0D">
        <w:rPr>
          <w:rFonts w:ascii="Times New Roman" w:hAnsi="Times New Roman"/>
        </w:rPr>
        <w:t>;</w:t>
      </w:r>
      <w:r w:rsidR="00313E77" w:rsidRPr="008D3C0D">
        <w:rPr>
          <w:rFonts w:ascii="Times New Roman" w:hAnsi="Times New Roman"/>
        </w:rPr>
        <w:t xml:space="preserve"> a committal hearing </w:t>
      </w:r>
      <w:r w:rsidR="00C84227" w:rsidRPr="008D3C0D">
        <w:rPr>
          <w:rFonts w:ascii="Times New Roman" w:hAnsi="Times New Roman"/>
        </w:rPr>
        <w:t xml:space="preserve">in April 2011 </w:t>
      </w:r>
      <w:r w:rsidR="00313E77" w:rsidRPr="008D3C0D">
        <w:rPr>
          <w:rFonts w:ascii="Times New Roman" w:hAnsi="Times New Roman"/>
        </w:rPr>
        <w:t>for the trial of the Queensland offender</w:t>
      </w:r>
      <w:r w:rsidR="0065337A" w:rsidRPr="008D3C0D">
        <w:rPr>
          <w:rFonts w:ascii="Times New Roman" w:hAnsi="Times New Roman"/>
        </w:rPr>
        <w:t xml:space="preserve"> at which the </w:t>
      </w:r>
      <w:r w:rsidR="00313E77" w:rsidRPr="008D3C0D">
        <w:rPr>
          <w:rFonts w:ascii="Times New Roman" w:hAnsi="Times New Roman"/>
        </w:rPr>
        <w:t>complainant gave evidence</w:t>
      </w:r>
      <w:r w:rsidR="0065337A" w:rsidRPr="008D3C0D">
        <w:rPr>
          <w:rFonts w:ascii="Times New Roman" w:hAnsi="Times New Roman"/>
        </w:rPr>
        <w:t xml:space="preserve">; </w:t>
      </w:r>
      <w:r w:rsidR="00313E77" w:rsidRPr="008D3C0D">
        <w:rPr>
          <w:rFonts w:ascii="Times New Roman" w:hAnsi="Times New Roman"/>
        </w:rPr>
        <w:t>the complainant</w:t>
      </w:r>
      <w:r w:rsidR="002F627C" w:rsidRPr="008D3C0D">
        <w:rPr>
          <w:rFonts w:ascii="Times New Roman" w:hAnsi="Times New Roman"/>
        </w:rPr>
        <w:t>'s giving of</w:t>
      </w:r>
      <w:r w:rsidR="00313E77" w:rsidRPr="008D3C0D">
        <w:rPr>
          <w:rFonts w:ascii="Times New Roman" w:hAnsi="Times New Roman"/>
        </w:rPr>
        <w:t xml:space="preserve"> pre-recorded evidence</w:t>
      </w:r>
      <w:r w:rsidR="00C84227" w:rsidRPr="008D3C0D">
        <w:rPr>
          <w:rFonts w:ascii="Times New Roman" w:hAnsi="Times New Roman"/>
        </w:rPr>
        <w:t xml:space="preserve"> in April 2012</w:t>
      </w:r>
      <w:r w:rsidR="00D712FD" w:rsidRPr="008D3C0D">
        <w:rPr>
          <w:rFonts w:ascii="Times New Roman" w:hAnsi="Times New Roman"/>
        </w:rPr>
        <w:t xml:space="preserve">; </w:t>
      </w:r>
      <w:r w:rsidR="001A5EA7" w:rsidRPr="008D3C0D">
        <w:rPr>
          <w:rFonts w:ascii="Times New Roman" w:hAnsi="Times New Roman"/>
        </w:rPr>
        <w:t xml:space="preserve">the trial of the Queensland offender </w:t>
      </w:r>
      <w:r w:rsidR="002E410F" w:rsidRPr="008D3C0D">
        <w:rPr>
          <w:rFonts w:ascii="Times New Roman" w:hAnsi="Times New Roman"/>
        </w:rPr>
        <w:t>in November 2012</w:t>
      </w:r>
      <w:r w:rsidR="00693F5B" w:rsidRPr="008D3C0D">
        <w:rPr>
          <w:rFonts w:ascii="Times New Roman" w:hAnsi="Times New Roman"/>
        </w:rPr>
        <w:t>,</w:t>
      </w:r>
      <w:r w:rsidR="00A239C9" w:rsidRPr="008D3C0D">
        <w:rPr>
          <w:rFonts w:ascii="Times New Roman" w:hAnsi="Times New Roman"/>
        </w:rPr>
        <w:t xml:space="preserve"> at which the appellant gave evidence </w:t>
      </w:r>
      <w:r w:rsidR="00F71603" w:rsidRPr="008D3C0D">
        <w:rPr>
          <w:rFonts w:ascii="Times New Roman" w:hAnsi="Times New Roman"/>
        </w:rPr>
        <w:t>for</w:t>
      </w:r>
      <w:r w:rsidR="00A239C9" w:rsidRPr="008D3C0D">
        <w:rPr>
          <w:rFonts w:ascii="Times New Roman" w:hAnsi="Times New Roman"/>
        </w:rPr>
        <w:t xml:space="preserve"> the p</w:t>
      </w:r>
      <w:r w:rsidR="00F200A6" w:rsidRPr="008D3C0D">
        <w:rPr>
          <w:rFonts w:ascii="Times New Roman" w:hAnsi="Times New Roman"/>
        </w:rPr>
        <w:t>rosecution case</w:t>
      </w:r>
      <w:r w:rsidR="00860D25" w:rsidRPr="008D3C0D">
        <w:rPr>
          <w:rFonts w:ascii="Times New Roman" w:hAnsi="Times New Roman"/>
        </w:rPr>
        <w:t xml:space="preserve"> as a complaint witness</w:t>
      </w:r>
      <w:r w:rsidR="001A5EA7" w:rsidRPr="008D3C0D">
        <w:rPr>
          <w:rFonts w:ascii="Times New Roman" w:hAnsi="Times New Roman"/>
        </w:rPr>
        <w:t>; and, following the quashing of the convictions from that trial, the complainant</w:t>
      </w:r>
      <w:r w:rsidR="002F627C" w:rsidRPr="008D3C0D">
        <w:rPr>
          <w:rFonts w:ascii="Times New Roman" w:hAnsi="Times New Roman"/>
        </w:rPr>
        <w:t>'s giving of</w:t>
      </w:r>
      <w:r w:rsidR="001A5EA7" w:rsidRPr="008D3C0D">
        <w:rPr>
          <w:rFonts w:ascii="Times New Roman" w:hAnsi="Times New Roman"/>
        </w:rPr>
        <w:t xml:space="preserve"> further recorded evidence</w:t>
      </w:r>
      <w:r w:rsidR="002E410F" w:rsidRPr="008D3C0D">
        <w:rPr>
          <w:rFonts w:ascii="Times New Roman" w:hAnsi="Times New Roman"/>
        </w:rPr>
        <w:t xml:space="preserve"> in October 2013</w:t>
      </w:r>
      <w:r w:rsidR="00313E77" w:rsidRPr="008D3C0D">
        <w:rPr>
          <w:rFonts w:ascii="Times New Roman" w:hAnsi="Times New Roman"/>
        </w:rPr>
        <w:t>.</w:t>
      </w:r>
    </w:p>
    <w:p w14:paraId="7D85125A" w14:textId="38C5B3A8" w:rsidR="00EF7215" w:rsidRPr="008D3C0D" w:rsidRDefault="002E410F"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D4622B" w:rsidRPr="008D3C0D">
        <w:rPr>
          <w:rFonts w:ascii="Times New Roman" w:hAnsi="Times New Roman"/>
        </w:rPr>
        <w:t xml:space="preserve">After a </w:t>
      </w:r>
      <w:proofErr w:type="spellStart"/>
      <w:r w:rsidR="00D4622B" w:rsidRPr="008D3C0D">
        <w:rPr>
          <w:rFonts w:ascii="Times New Roman" w:hAnsi="Times New Roman"/>
        </w:rPr>
        <w:t>voir</w:t>
      </w:r>
      <w:proofErr w:type="spellEnd"/>
      <w:r w:rsidR="00D4622B" w:rsidRPr="008D3C0D">
        <w:rPr>
          <w:rFonts w:ascii="Times New Roman" w:hAnsi="Times New Roman"/>
        </w:rPr>
        <w:t xml:space="preserve"> dire,</w:t>
      </w:r>
      <w:r w:rsidR="00AE12F0" w:rsidRPr="008D3C0D">
        <w:rPr>
          <w:rFonts w:ascii="Times New Roman" w:hAnsi="Times New Roman"/>
        </w:rPr>
        <w:t xml:space="preserve"> the trial judge</w:t>
      </w:r>
      <w:r w:rsidR="00D4622B" w:rsidRPr="008D3C0D">
        <w:rPr>
          <w:rFonts w:ascii="Times New Roman" w:hAnsi="Times New Roman"/>
        </w:rPr>
        <w:t xml:space="preserve"> held that</w:t>
      </w:r>
      <w:r w:rsidR="00EE7F24" w:rsidRPr="008D3C0D">
        <w:rPr>
          <w:rFonts w:ascii="Times New Roman" w:hAnsi="Times New Roman"/>
        </w:rPr>
        <w:t xml:space="preserve"> s</w:t>
      </w:r>
      <w:r w:rsidR="008A6991" w:rsidRPr="008D3C0D">
        <w:rPr>
          <w:rFonts w:ascii="Times New Roman" w:hAnsi="Times New Roman"/>
        </w:rPr>
        <w:t> </w:t>
      </w:r>
      <w:r w:rsidR="0068163F" w:rsidRPr="008D3C0D">
        <w:rPr>
          <w:rFonts w:ascii="Times New Roman" w:hAnsi="Times New Roman"/>
        </w:rPr>
        <w:t xml:space="preserve">293(3) of the </w:t>
      </w:r>
      <w:r w:rsidR="0068163F" w:rsidRPr="008D3C0D">
        <w:rPr>
          <w:rFonts w:ascii="Times New Roman" w:hAnsi="Times New Roman"/>
          <w:i/>
          <w:iCs/>
        </w:rPr>
        <w:t xml:space="preserve">Criminal Procedure Act 1986 </w:t>
      </w:r>
      <w:r w:rsidR="0068163F" w:rsidRPr="008D3C0D">
        <w:rPr>
          <w:rFonts w:ascii="Times New Roman" w:hAnsi="Times New Roman"/>
        </w:rPr>
        <w:t>(NSW)</w:t>
      </w:r>
      <w:r w:rsidR="00D832BB">
        <w:rPr>
          <w:rFonts w:ascii="Times New Roman" w:hAnsi="Times New Roman"/>
        </w:rPr>
        <w:t>—</w:t>
      </w:r>
      <w:r w:rsidR="003A7604" w:rsidRPr="008D3C0D">
        <w:rPr>
          <w:rFonts w:ascii="Times New Roman" w:hAnsi="Times New Roman"/>
          <w:szCs w:val="24"/>
          <w:lang w:val="en-US"/>
        </w:rPr>
        <w:t xml:space="preserve">under the heading </w:t>
      </w:r>
      <w:r w:rsidR="009A68F5" w:rsidRPr="008D3C0D">
        <w:rPr>
          <w:rFonts w:ascii="Times New Roman" w:hAnsi="Times New Roman"/>
          <w:szCs w:val="24"/>
          <w:lang w:val="en-US"/>
        </w:rPr>
        <w:t>"Admissibility of evidence relating to sexual experience"</w:t>
      </w:r>
      <w:r w:rsidR="00D832BB">
        <w:rPr>
          <w:rFonts w:ascii="Times New Roman" w:hAnsi="Times New Roman"/>
        </w:rPr>
        <w:t>—</w:t>
      </w:r>
      <w:r w:rsidR="00774270" w:rsidRPr="008D3C0D">
        <w:rPr>
          <w:rFonts w:ascii="Times New Roman" w:hAnsi="Times New Roman"/>
        </w:rPr>
        <w:t xml:space="preserve">prohibited the appellant from </w:t>
      </w:r>
      <w:r w:rsidR="00C930BF" w:rsidRPr="008D3C0D">
        <w:rPr>
          <w:rFonts w:ascii="Times New Roman" w:hAnsi="Times New Roman"/>
        </w:rPr>
        <w:t xml:space="preserve">calling evidence or cross-examining </w:t>
      </w:r>
      <w:r w:rsidR="002F6B34" w:rsidRPr="008D3C0D">
        <w:rPr>
          <w:rFonts w:ascii="Times New Roman" w:hAnsi="Times New Roman"/>
        </w:rPr>
        <w:t xml:space="preserve">the complainant </w:t>
      </w:r>
      <w:r w:rsidR="00C930BF" w:rsidRPr="008D3C0D">
        <w:rPr>
          <w:rFonts w:ascii="Times New Roman" w:hAnsi="Times New Roman"/>
        </w:rPr>
        <w:t>about</w:t>
      </w:r>
      <w:r w:rsidR="00774270" w:rsidRPr="008D3C0D">
        <w:rPr>
          <w:rFonts w:ascii="Times New Roman" w:hAnsi="Times New Roman"/>
        </w:rPr>
        <w:t xml:space="preserve"> the Queensland </w:t>
      </w:r>
      <w:r w:rsidR="000357B7" w:rsidRPr="008D3C0D">
        <w:rPr>
          <w:rFonts w:ascii="Times New Roman" w:hAnsi="Times New Roman"/>
        </w:rPr>
        <w:t xml:space="preserve">conduct </w:t>
      </w:r>
      <w:r w:rsidR="00790A0F" w:rsidRPr="008D3C0D">
        <w:rPr>
          <w:rFonts w:ascii="Times New Roman" w:hAnsi="Times New Roman"/>
        </w:rPr>
        <w:t>as sexual offences. His Honour</w:t>
      </w:r>
      <w:r w:rsidR="00CC33E6" w:rsidRPr="008D3C0D">
        <w:rPr>
          <w:rFonts w:ascii="Times New Roman" w:hAnsi="Times New Roman"/>
        </w:rPr>
        <w:t xml:space="preserve"> </w:t>
      </w:r>
      <w:r w:rsidR="00C930BF" w:rsidRPr="008D3C0D">
        <w:rPr>
          <w:rFonts w:ascii="Times New Roman" w:hAnsi="Times New Roman"/>
        </w:rPr>
        <w:t xml:space="preserve">held </w:t>
      </w:r>
      <w:r w:rsidR="00CC33E6" w:rsidRPr="008D3C0D">
        <w:rPr>
          <w:rFonts w:ascii="Times New Roman" w:hAnsi="Times New Roman"/>
        </w:rPr>
        <w:t xml:space="preserve">that the exceptions to that prohibition either had not been relied upon </w:t>
      </w:r>
      <w:r w:rsidR="00CC33E6" w:rsidRPr="008D3C0D">
        <w:rPr>
          <w:rFonts w:ascii="Times New Roman" w:hAnsi="Times New Roman"/>
        </w:rPr>
        <w:lastRenderedPageBreak/>
        <w:t>(s 293(4)(a)) or did not apply (s</w:t>
      </w:r>
      <w:r w:rsidR="008A6991" w:rsidRPr="008D3C0D">
        <w:rPr>
          <w:rFonts w:ascii="Times New Roman" w:hAnsi="Times New Roman"/>
        </w:rPr>
        <w:t> </w:t>
      </w:r>
      <w:r w:rsidR="00436267" w:rsidRPr="008D3C0D">
        <w:rPr>
          <w:rFonts w:ascii="Times New Roman" w:hAnsi="Times New Roman"/>
        </w:rPr>
        <w:t>293(4)(b)).</w:t>
      </w:r>
      <w:r w:rsidR="000006DB" w:rsidRPr="008D3C0D">
        <w:rPr>
          <w:rStyle w:val="FootnoteReference"/>
          <w:rFonts w:ascii="Times New Roman" w:hAnsi="Times New Roman"/>
          <w:sz w:val="24"/>
        </w:rPr>
        <w:footnoteReference w:id="2"/>
      </w:r>
      <w:r w:rsidR="00436267" w:rsidRPr="008D3C0D">
        <w:rPr>
          <w:rFonts w:ascii="Times New Roman" w:hAnsi="Times New Roman"/>
        </w:rPr>
        <w:t xml:space="preserve"> Nevertheless, the trial judge adopted the expedient of permitting the </w:t>
      </w:r>
      <w:r w:rsidR="00C930BF" w:rsidRPr="008D3C0D">
        <w:rPr>
          <w:rFonts w:ascii="Times New Roman" w:hAnsi="Times New Roman"/>
        </w:rPr>
        <w:t xml:space="preserve">appellant to ask questions in cross-examination </w:t>
      </w:r>
      <w:r w:rsidR="00DD740C" w:rsidRPr="008D3C0D">
        <w:rPr>
          <w:rFonts w:ascii="Times New Roman" w:hAnsi="Times New Roman"/>
        </w:rPr>
        <w:t xml:space="preserve">that described the Queensland </w:t>
      </w:r>
      <w:r w:rsidR="00BE7446" w:rsidRPr="008D3C0D">
        <w:rPr>
          <w:rFonts w:ascii="Times New Roman" w:hAnsi="Times New Roman"/>
        </w:rPr>
        <w:t xml:space="preserve">conduct </w:t>
      </w:r>
      <w:r w:rsidR="00DD740C" w:rsidRPr="008D3C0D">
        <w:rPr>
          <w:rFonts w:ascii="Times New Roman" w:hAnsi="Times New Roman"/>
        </w:rPr>
        <w:t xml:space="preserve">as "physical assaults". </w:t>
      </w:r>
      <w:r w:rsidR="00790A0F" w:rsidRPr="008D3C0D">
        <w:rPr>
          <w:rFonts w:ascii="Times New Roman" w:hAnsi="Times New Roman"/>
        </w:rPr>
        <w:t>The appellant was convicted</w:t>
      </w:r>
      <w:r w:rsidR="00D32954" w:rsidRPr="008D3C0D">
        <w:rPr>
          <w:rFonts w:ascii="Times New Roman" w:hAnsi="Times New Roman"/>
        </w:rPr>
        <w:t xml:space="preserve"> of all 17 offences</w:t>
      </w:r>
      <w:r w:rsidR="00790A0F" w:rsidRPr="008D3C0D">
        <w:rPr>
          <w:rFonts w:ascii="Times New Roman" w:hAnsi="Times New Roman"/>
        </w:rPr>
        <w:t xml:space="preserve">. He appealed from </w:t>
      </w:r>
      <w:r w:rsidR="00D32954" w:rsidRPr="008D3C0D">
        <w:rPr>
          <w:rFonts w:ascii="Times New Roman" w:hAnsi="Times New Roman"/>
        </w:rPr>
        <w:t>those convictions</w:t>
      </w:r>
      <w:r w:rsidR="00790A0F" w:rsidRPr="008D3C0D">
        <w:rPr>
          <w:rFonts w:ascii="Times New Roman" w:hAnsi="Times New Roman"/>
        </w:rPr>
        <w:t xml:space="preserve"> to the </w:t>
      </w:r>
      <w:r w:rsidR="005C5FCF" w:rsidRPr="008D3C0D">
        <w:rPr>
          <w:rFonts w:ascii="Times New Roman" w:hAnsi="Times New Roman"/>
        </w:rPr>
        <w:t xml:space="preserve">New South Wales </w:t>
      </w:r>
      <w:r w:rsidR="00790A0F" w:rsidRPr="008D3C0D">
        <w:rPr>
          <w:rFonts w:ascii="Times New Roman" w:hAnsi="Times New Roman"/>
        </w:rPr>
        <w:t xml:space="preserve">Court of Criminal Appeal. His appeal was allowed but </w:t>
      </w:r>
      <w:proofErr w:type="gramStart"/>
      <w:r w:rsidR="00D54568" w:rsidRPr="008D3C0D">
        <w:rPr>
          <w:rFonts w:ascii="Times New Roman" w:hAnsi="Times New Roman"/>
        </w:rPr>
        <w:t>a majority of</w:t>
      </w:r>
      <w:proofErr w:type="gramEnd"/>
      <w:r w:rsidR="00D54568" w:rsidRPr="008D3C0D">
        <w:rPr>
          <w:rFonts w:ascii="Times New Roman" w:hAnsi="Times New Roman"/>
        </w:rPr>
        <w:t xml:space="preserve"> the Court of Criminal Appeal dismissed the appellant's ground of appeal </w:t>
      </w:r>
      <w:r w:rsidR="00462121" w:rsidRPr="008D3C0D">
        <w:rPr>
          <w:rFonts w:ascii="Times New Roman" w:hAnsi="Times New Roman"/>
        </w:rPr>
        <w:t xml:space="preserve">which asserted that evidence </w:t>
      </w:r>
      <w:r w:rsidR="006F0FC2" w:rsidRPr="008D3C0D">
        <w:rPr>
          <w:rFonts w:ascii="Times New Roman" w:hAnsi="Times New Roman"/>
        </w:rPr>
        <w:t>describing</w:t>
      </w:r>
      <w:r w:rsidR="00462121" w:rsidRPr="008D3C0D">
        <w:rPr>
          <w:rFonts w:ascii="Times New Roman" w:hAnsi="Times New Roman"/>
        </w:rPr>
        <w:t xml:space="preserve"> the </w:t>
      </w:r>
      <w:r w:rsidR="00AA0BC1" w:rsidRPr="008D3C0D">
        <w:rPr>
          <w:rFonts w:ascii="Times New Roman" w:hAnsi="Times New Roman"/>
        </w:rPr>
        <w:t xml:space="preserve">Queensland </w:t>
      </w:r>
      <w:r w:rsidR="00BE7446" w:rsidRPr="008D3C0D">
        <w:rPr>
          <w:rFonts w:ascii="Times New Roman" w:hAnsi="Times New Roman"/>
        </w:rPr>
        <w:t xml:space="preserve">conduct </w:t>
      </w:r>
      <w:r w:rsidR="00AA0BC1" w:rsidRPr="008D3C0D">
        <w:rPr>
          <w:rFonts w:ascii="Times New Roman" w:hAnsi="Times New Roman"/>
        </w:rPr>
        <w:t xml:space="preserve">as sexual offences was not </w:t>
      </w:r>
      <w:r w:rsidR="00692EAE" w:rsidRPr="008D3C0D">
        <w:rPr>
          <w:rFonts w:ascii="Times New Roman" w:hAnsi="Times New Roman"/>
        </w:rPr>
        <w:t xml:space="preserve">inadmissible </w:t>
      </w:r>
      <w:r w:rsidR="00AA0BC1" w:rsidRPr="008D3C0D">
        <w:rPr>
          <w:rFonts w:ascii="Times New Roman" w:hAnsi="Times New Roman"/>
        </w:rPr>
        <w:t>due to</w:t>
      </w:r>
      <w:r w:rsidR="00462121" w:rsidRPr="008D3C0D">
        <w:rPr>
          <w:rFonts w:ascii="Times New Roman" w:hAnsi="Times New Roman"/>
        </w:rPr>
        <w:t xml:space="preserve"> the exceptions in </w:t>
      </w:r>
      <w:r w:rsidR="00AA0BC1" w:rsidRPr="008D3C0D">
        <w:rPr>
          <w:rFonts w:ascii="Times New Roman" w:hAnsi="Times New Roman"/>
        </w:rPr>
        <w:t xml:space="preserve">either </w:t>
      </w:r>
      <w:r w:rsidR="00462121" w:rsidRPr="008D3C0D">
        <w:rPr>
          <w:rFonts w:ascii="Times New Roman" w:hAnsi="Times New Roman"/>
        </w:rPr>
        <w:t>s 293(4)(a)</w:t>
      </w:r>
      <w:r w:rsidR="004429DA" w:rsidRPr="008D3C0D">
        <w:rPr>
          <w:rFonts w:ascii="Times New Roman" w:hAnsi="Times New Roman"/>
        </w:rPr>
        <w:t xml:space="preserve"> or s</w:t>
      </w:r>
      <w:r w:rsidR="00323866" w:rsidRPr="008D3C0D">
        <w:rPr>
          <w:rFonts w:ascii="Times New Roman" w:hAnsi="Times New Roman"/>
        </w:rPr>
        <w:t> </w:t>
      </w:r>
      <w:r w:rsidR="004429DA" w:rsidRPr="008D3C0D">
        <w:rPr>
          <w:rFonts w:ascii="Times New Roman" w:hAnsi="Times New Roman"/>
        </w:rPr>
        <w:t xml:space="preserve">293(4)(b). On further appeal to this Court the appellant sought to vary the orders of the Court of Criminal Appeal </w:t>
      </w:r>
      <w:r w:rsidR="00EF7215" w:rsidRPr="008D3C0D">
        <w:rPr>
          <w:rFonts w:ascii="Times New Roman" w:hAnsi="Times New Roman"/>
        </w:rPr>
        <w:t>in order</w:t>
      </w:r>
      <w:r w:rsidR="004429DA" w:rsidRPr="008D3C0D">
        <w:rPr>
          <w:rFonts w:ascii="Times New Roman" w:hAnsi="Times New Roman"/>
        </w:rPr>
        <w:t xml:space="preserve"> to recognise </w:t>
      </w:r>
      <w:r w:rsidR="00EF7215" w:rsidRPr="008D3C0D">
        <w:rPr>
          <w:rFonts w:ascii="Times New Roman" w:hAnsi="Times New Roman"/>
        </w:rPr>
        <w:t>that either or both of those exceptions apply.</w:t>
      </w:r>
      <w:r w:rsidR="000E4956" w:rsidRPr="008D3C0D">
        <w:rPr>
          <w:rFonts w:ascii="Times New Roman" w:hAnsi="Times New Roman"/>
        </w:rPr>
        <w:t xml:space="preserve"> In the alternative</w:t>
      </w:r>
      <w:r w:rsidR="00005F80" w:rsidRPr="008D3C0D">
        <w:rPr>
          <w:rFonts w:ascii="Times New Roman" w:hAnsi="Times New Roman"/>
        </w:rPr>
        <w:t>,</w:t>
      </w:r>
      <w:r w:rsidR="000E4956" w:rsidRPr="008D3C0D">
        <w:rPr>
          <w:rFonts w:ascii="Times New Roman" w:hAnsi="Times New Roman"/>
        </w:rPr>
        <w:t xml:space="preserve"> the appellant</w:t>
      </w:r>
      <w:r w:rsidR="00151C73" w:rsidRPr="008D3C0D">
        <w:rPr>
          <w:rFonts w:ascii="Times New Roman" w:hAnsi="Times New Roman"/>
        </w:rPr>
        <w:t xml:space="preserve"> relied upon</w:t>
      </w:r>
      <w:r w:rsidR="007448C0" w:rsidRPr="008D3C0D">
        <w:rPr>
          <w:rFonts w:ascii="Times New Roman" w:hAnsi="Times New Roman"/>
        </w:rPr>
        <w:t xml:space="preserve"> submissions, in support of two further grounds of appeal,</w:t>
      </w:r>
      <w:r w:rsidR="000E4956" w:rsidRPr="008D3C0D">
        <w:rPr>
          <w:rFonts w:ascii="Times New Roman" w:hAnsi="Times New Roman"/>
        </w:rPr>
        <w:t xml:space="preserve"> that </w:t>
      </w:r>
      <w:r w:rsidR="0096286C" w:rsidRPr="008D3C0D">
        <w:rPr>
          <w:rFonts w:ascii="Times New Roman" w:hAnsi="Times New Roman"/>
        </w:rPr>
        <w:t xml:space="preserve">the expedient adopted by the trial judge of permitting reference to the Queensland </w:t>
      </w:r>
      <w:r w:rsidR="00B01C7C" w:rsidRPr="008D3C0D">
        <w:rPr>
          <w:rFonts w:ascii="Times New Roman" w:hAnsi="Times New Roman"/>
        </w:rPr>
        <w:t xml:space="preserve">conduct </w:t>
      </w:r>
      <w:r w:rsidR="0096286C" w:rsidRPr="008D3C0D">
        <w:rPr>
          <w:rFonts w:ascii="Times New Roman" w:hAnsi="Times New Roman"/>
        </w:rPr>
        <w:t xml:space="preserve">as "physical assaults" </w:t>
      </w:r>
      <w:r w:rsidR="00E52554" w:rsidRPr="008D3C0D">
        <w:rPr>
          <w:rFonts w:ascii="Times New Roman" w:hAnsi="Times New Roman"/>
        </w:rPr>
        <w:t xml:space="preserve">had </w:t>
      </w:r>
      <w:r w:rsidR="00FD5B73" w:rsidRPr="008D3C0D">
        <w:rPr>
          <w:rFonts w:ascii="Times New Roman" w:hAnsi="Times New Roman"/>
        </w:rPr>
        <w:t>misled the jury and</w:t>
      </w:r>
      <w:r w:rsidR="00E52554" w:rsidRPr="008D3C0D">
        <w:rPr>
          <w:rFonts w:ascii="Times New Roman" w:hAnsi="Times New Roman"/>
        </w:rPr>
        <w:t>,</w:t>
      </w:r>
      <w:r w:rsidR="00FD5B73" w:rsidRPr="008D3C0D">
        <w:rPr>
          <w:rFonts w:ascii="Times New Roman" w:hAnsi="Times New Roman"/>
        </w:rPr>
        <w:t xml:space="preserve"> for that reason </w:t>
      </w:r>
      <w:r w:rsidR="00A459AA" w:rsidRPr="008D3C0D">
        <w:rPr>
          <w:rFonts w:ascii="Times New Roman" w:hAnsi="Times New Roman"/>
        </w:rPr>
        <w:t>or</w:t>
      </w:r>
      <w:r w:rsidR="00FD5B73" w:rsidRPr="008D3C0D">
        <w:rPr>
          <w:rFonts w:ascii="Times New Roman" w:hAnsi="Times New Roman"/>
        </w:rPr>
        <w:t xml:space="preserve"> </w:t>
      </w:r>
      <w:r w:rsidR="000D190C" w:rsidRPr="008D3C0D">
        <w:rPr>
          <w:rFonts w:ascii="Times New Roman" w:hAnsi="Times New Roman"/>
        </w:rPr>
        <w:t xml:space="preserve">due to the unfairness to the </w:t>
      </w:r>
      <w:r w:rsidR="00213016" w:rsidRPr="008D3C0D">
        <w:rPr>
          <w:rFonts w:ascii="Times New Roman" w:hAnsi="Times New Roman"/>
        </w:rPr>
        <w:t xml:space="preserve">appellant </w:t>
      </w:r>
      <w:r w:rsidR="000D190C" w:rsidRPr="008D3C0D">
        <w:rPr>
          <w:rFonts w:ascii="Times New Roman" w:hAnsi="Times New Roman"/>
        </w:rPr>
        <w:t xml:space="preserve">of excluding evidence about the Queensland </w:t>
      </w:r>
      <w:r w:rsidR="006E6B09" w:rsidRPr="008D3C0D">
        <w:rPr>
          <w:rFonts w:ascii="Times New Roman" w:hAnsi="Times New Roman"/>
        </w:rPr>
        <w:t>conduct</w:t>
      </w:r>
      <w:r w:rsidR="00E52554" w:rsidRPr="008D3C0D">
        <w:rPr>
          <w:rFonts w:ascii="Times New Roman" w:hAnsi="Times New Roman"/>
        </w:rPr>
        <w:t xml:space="preserve">, the appellant sought an order </w:t>
      </w:r>
      <w:r w:rsidR="003C1820" w:rsidRPr="008D3C0D">
        <w:rPr>
          <w:rFonts w:ascii="Times New Roman" w:hAnsi="Times New Roman"/>
        </w:rPr>
        <w:t xml:space="preserve">for his acquittal in place of the order for a retrial. </w:t>
      </w:r>
      <w:r w:rsidR="006301E4" w:rsidRPr="008D3C0D">
        <w:rPr>
          <w:rFonts w:ascii="Times New Roman" w:hAnsi="Times New Roman"/>
        </w:rPr>
        <w:t xml:space="preserve"> </w:t>
      </w:r>
    </w:p>
    <w:p w14:paraId="7B14D9B2" w14:textId="6FC98404" w:rsidR="002E410F" w:rsidRPr="008D3C0D" w:rsidRDefault="00EF7215"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For the reasons below, the appeal should be allowed in part. </w:t>
      </w:r>
      <w:r w:rsidR="000E4956" w:rsidRPr="008D3C0D">
        <w:rPr>
          <w:rFonts w:ascii="Times New Roman" w:hAnsi="Times New Roman"/>
        </w:rPr>
        <w:t>The exception in s</w:t>
      </w:r>
      <w:r w:rsidR="004E364C" w:rsidRPr="008D3C0D">
        <w:rPr>
          <w:rFonts w:ascii="Times New Roman" w:hAnsi="Times New Roman"/>
        </w:rPr>
        <w:t> </w:t>
      </w:r>
      <w:r w:rsidR="000E4956" w:rsidRPr="008D3C0D">
        <w:rPr>
          <w:rFonts w:ascii="Times New Roman" w:hAnsi="Times New Roman"/>
        </w:rPr>
        <w:t xml:space="preserve">293(4)(a) </w:t>
      </w:r>
      <w:r w:rsidR="00C0177F" w:rsidRPr="008D3C0D">
        <w:rPr>
          <w:rFonts w:ascii="Times New Roman" w:hAnsi="Times New Roman"/>
        </w:rPr>
        <w:t>does not apply but</w:t>
      </w:r>
      <w:r w:rsidR="008D3FEA" w:rsidRPr="008D3C0D">
        <w:rPr>
          <w:rFonts w:ascii="Times New Roman" w:hAnsi="Times New Roman"/>
        </w:rPr>
        <w:t>, subject to a consideration of evidence that is not before this Court,</w:t>
      </w:r>
      <w:r w:rsidR="00C0177F" w:rsidRPr="008D3C0D">
        <w:rPr>
          <w:rFonts w:ascii="Times New Roman" w:hAnsi="Times New Roman"/>
        </w:rPr>
        <w:t xml:space="preserve"> the exception </w:t>
      </w:r>
      <w:r w:rsidR="00626EA9" w:rsidRPr="008D3C0D">
        <w:rPr>
          <w:rFonts w:ascii="Times New Roman" w:hAnsi="Times New Roman"/>
        </w:rPr>
        <w:t>in</w:t>
      </w:r>
      <w:r w:rsidR="00C0177F" w:rsidRPr="008D3C0D">
        <w:rPr>
          <w:rFonts w:ascii="Times New Roman" w:hAnsi="Times New Roman"/>
        </w:rPr>
        <w:t xml:space="preserve"> s</w:t>
      </w:r>
      <w:r w:rsidR="008D3FEA" w:rsidRPr="008D3C0D">
        <w:rPr>
          <w:rFonts w:ascii="Times New Roman" w:hAnsi="Times New Roman"/>
        </w:rPr>
        <w:t> </w:t>
      </w:r>
      <w:r w:rsidR="00C0177F" w:rsidRPr="008D3C0D">
        <w:rPr>
          <w:rFonts w:ascii="Times New Roman" w:hAnsi="Times New Roman"/>
        </w:rPr>
        <w:t xml:space="preserve">293(4)(b) </w:t>
      </w:r>
      <w:r w:rsidR="008D3FEA" w:rsidRPr="008D3C0D">
        <w:rPr>
          <w:rFonts w:ascii="Times New Roman" w:hAnsi="Times New Roman"/>
        </w:rPr>
        <w:t>might apply at a retrial of the appellant.</w:t>
      </w:r>
      <w:r w:rsidR="00EF088A" w:rsidRPr="008D3C0D">
        <w:rPr>
          <w:rFonts w:ascii="Times New Roman" w:hAnsi="Times New Roman"/>
        </w:rPr>
        <w:t xml:space="preserve"> </w:t>
      </w:r>
      <w:r w:rsidR="00151C73" w:rsidRPr="008D3C0D">
        <w:rPr>
          <w:rFonts w:ascii="Times New Roman" w:hAnsi="Times New Roman"/>
        </w:rPr>
        <w:t xml:space="preserve">The appellant's alternative grounds of appeal </w:t>
      </w:r>
      <w:r w:rsidR="00004AA4" w:rsidRPr="008D3C0D">
        <w:rPr>
          <w:rFonts w:ascii="Times New Roman" w:hAnsi="Times New Roman"/>
        </w:rPr>
        <w:t xml:space="preserve">should not be accepted. </w:t>
      </w:r>
      <w:r w:rsidR="008D3FEA" w:rsidRPr="008D3C0D">
        <w:rPr>
          <w:rFonts w:ascii="Times New Roman" w:hAnsi="Times New Roman"/>
        </w:rPr>
        <w:t xml:space="preserve"> </w:t>
      </w:r>
      <w:r w:rsidR="00462121" w:rsidRPr="008D3C0D">
        <w:rPr>
          <w:rFonts w:ascii="Times New Roman" w:hAnsi="Times New Roman"/>
        </w:rPr>
        <w:t xml:space="preserve"> </w:t>
      </w:r>
      <w:r w:rsidR="007778AB" w:rsidRPr="008D3C0D">
        <w:rPr>
          <w:rFonts w:ascii="Times New Roman" w:hAnsi="Times New Roman"/>
        </w:rPr>
        <w:t xml:space="preserve"> </w:t>
      </w:r>
      <w:r w:rsidR="00D4622B" w:rsidRPr="008D3C0D">
        <w:rPr>
          <w:rFonts w:ascii="Times New Roman" w:hAnsi="Times New Roman"/>
        </w:rPr>
        <w:t xml:space="preserve"> </w:t>
      </w:r>
      <w:r w:rsidR="00AE12F0" w:rsidRPr="008D3C0D">
        <w:rPr>
          <w:rFonts w:ascii="Times New Roman" w:hAnsi="Times New Roman"/>
        </w:rPr>
        <w:t xml:space="preserve">  </w:t>
      </w:r>
    </w:p>
    <w:p w14:paraId="170F8C7D" w14:textId="77777777" w:rsidR="003C2B3F" w:rsidRPr="008D3C0D" w:rsidRDefault="00796FE2" w:rsidP="008D3C0D">
      <w:pPr>
        <w:pStyle w:val="HeadingL1"/>
        <w:spacing w:after="260" w:line="280" w:lineRule="exact"/>
        <w:ind w:right="0"/>
        <w:jc w:val="both"/>
        <w:rPr>
          <w:rFonts w:ascii="Times New Roman" w:hAnsi="Times New Roman"/>
        </w:rPr>
      </w:pPr>
      <w:r w:rsidRPr="008D3C0D">
        <w:rPr>
          <w:rFonts w:ascii="Times New Roman" w:hAnsi="Times New Roman"/>
        </w:rPr>
        <w:t>Facts and background</w:t>
      </w:r>
    </w:p>
    <w:p w14:paraId="6706F3BA" w14:textId="2014C3C9" w:rsidR="00796FE2" w:rsidRPr="008D3C0D" w:rsidRDefault="003C2B3F" w:rsidP="008D3C0D">
      <w:pPr>
        <w:pStyle w:val="HeadingL2"/>
        <w:spacing w:after="260" w:line="280" w:lineRule="exact"/>
        <w:ind w:right="0"/>
        <w:jc w:val="both"/>
        <w:rPr>
          <w:rFonts w:ascii="Times New Roman" w:hAnsi="Times New Roman"/>
        </w:rPr>
      </w:pPr>
      <w:r w:rsidRPr="008D3C0D">
        <w:rPr>
          <w:rFonts w:ascii="Times New Roman" w:hAnsi="Times New Roman"/>
        </w:rPr>
        <w:t xml:space="preserve">The </w:t>
      </w:r>
      <w:r w:rsidR="00E04B0F" w:rsidRPr="008D3C0D">
        <w:rPr>
          <w:rFonts w:ascii="Times New Roman" w:hAnsi="Times New Roman"/>
        </w:rPr>
        <w:t>background facts</w:t>
      </w:r>
    </w:p>
    <w:p w14:paraId="24F5789C" w14:textId="20597630" w:rsidR="006109AE" w:rsidRPr="008D3C0D" w:rsidRDefault="00796FE2"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0B3808" w:rsidRPr="008D3C0D">
        <w:rPr>
          <w:rFonts w:ascii="Times New Roman" w:hAnsi="Times New Roman"/>
        </w:rPr>
        <w:t xml:space="preserve">Prior to 2008, the complainant </w:t>
      </w:r>
      <w:r w:rsidR="001E2038" w:rsidRPr="008D3C0D">
        <w:rPr>
          <w:rFonts w:ascii="Times New Roman" w:hAnsi="Times New Roman"/>
        </w:rPr>
        <w:t xml:space="preserve">had lived in different homes. </w:t>
      </w:r>
      <w:r w:rsidR="002A1ECE" w:rsidRPr="008D3C0D">
        <w:rPr>
          <w:rFonts w:ascii="Times New Roman" w:hAnsi="Times New Roman"/>
        </w:rPr>
        <w:t>At</w:t>
      </w:r>
      <w:r w:rsidR="00C1335A" w:rsidRPr="008D3C0D">
        <w:rPr>
          <w:rFonts w:ascii="Times New Roman" w:hAnsi="Times New Roman"/>
        </w:rPr>
        <w:t xml:space="preserve"> a</w:t>
      </w:r>
      <w:r w:rsidR="00623E39" w:rsidRPr="008D3C0D">
        <w:rPr>
          <w:rFonts w:ascii="Times New Roman" w:hAnsi="Times New Roman"/>
        </w:rPr>
        <w:t xml:space="preserve"> "</w:t>
      </w:r>
      <w:r w:rsidR="00F0448A" w:rsidRPr="008D3C0D">
        <w:rPr>
          <w:rFonts w:ascii="Times New Roman" w:hAnsi="Times New Roman"/>
        </w:rPr>
        <w:t>[</w:t>
      </w:r>
      <w:r w:rsidR="00623E39" w:rsidRPr="008D3C0D">
        <w:rPr>
          <w:rFonts w:ascii="Times New Roman" w:hAnsi="Times New Roman"/>
        </w:rPr>
        <w:t>v</w:t>
      </w:r>
      <w:r w:rsidR="00F0448A" w:rsidRPr="008D3C0D">
        <w:rPr>
          <w:rFonts w:ascii="Times New Roman" w:hAnsi="Times New Roman"/>
        </w:rPr>
        <w:t>]</w:t>
      </w:r>
      <w:proofErr w:type="spellStart"/>
      <w:r w:rsidR="00623E39" w:rsidRPr="008D3C0D">
        <w:rPr>
          <w:rFonts w:ascii="Times New Roman" w:hAnsi="Times New Roman"/>
        </w:rPr>
        <w:t>ery</w:t>
      </w:r>
      <w:proofErr w:type="spellEnd"/>
      <w:r w:rsidR="00623E39" w:rsidRPr="008D3C0D">
        <w:rPr>
          <w:rFonts w:ascii="Times New Roman" w:hAnsi="Times New Roman"/>
        </w:rPr>
        <w:t>, very</w:t>
      </w:r>
      <w:r w:rsidR="00C1335A" w:rsidRPr="008D3C0D">
        <w:rPr>
          <w:rFonts w:ascii="Times New Roman" w:hAnsi="Times New Roman"/>
        </w:rPr>
        <w:t xml:space="preserve"> young</w:t>
      </w:r>
      <w:r w:rsidR="00623E39" w:rsidRPr="008D3C0D">
        <w:rPr>
          <w:rFonts w:ascii="Times New Roman" w:hAnsi="Times New Roman"/>
        </w:rPr>
        <w:t>"</w:t>
      </w:r>
      <w:r w:rsidR="00C1335A" w:rsidRPr="008D3C0D">
        <w:rPr>
          <w:rFonts w:ascii="Times New Roman" w:hAnsi="Times New Roman"/>
        </w:rPr>
        <w:t xml:space="preserve"> age she </w:t>
      </w:r>
      <w:r w:rsidR="00A31B4F" w:rsidRPr="008D3C0D">
        <w:rPr>
          <w:rFonts w:ascii="Times New Roman" w:hAnsi="Times New Roman"/>
        </w:rPr>
        <w:t>was moved from</w:t>
      </w:r>
      <w:r w:rsidR="00C1335A" w:rsidRPr="008D3C0D">
        <w:rPr>
          <w:rFonts w:ascii="Times New Roman" w:hAnsi="Times New Roman"/>
        </w:rPr>
        <w:t xml:space="preserve"> living with her father and his girlfriend </w:t>
      </w:r>
      <w:r w:rsidR="004A2417" w:rsidRPr="008D3C0D">
        <w:rPr>
          <w:rFonts w:ascii="Times New Roman" w:hAnsi="Times New Roman"/>
        </w:rPr>
        <w:t>to be</w:t>
      </w:r>
      <w:r w:rsidR="002A1ECE" w:rsidRPr="008D3C0D">
        <w:rPr>
          <w:rFonts w:ascii="Times New Roman" w:hAnsi="Times New Roman"/>
        </w:rPr>
        <w:t xml:space="preserve"> placed into foster care</w:t>
      </w:r>
      <w:r w:rsidR="0083492F" w:rsidRPr="008D3C0D">
        <w:rPr>
          <w:rFonts w:ascii="Times New Roman" w:hAnsi="Times New Roman"/>
        </w:rPr>
        <w:t xml:space="preserve">. </w:t>
      </w:r>
      <w:r w:rsidR="00C53DD7" w:rsidRPr="008D3C0D">
        <w:rPr>
          <w:rFonts w:ascii="Times New Roman" w:hAnsi="Times New Roman"/>
        </w:rPr>
        <w:t>On 1</w:t>
      </w:r>
      <w:r w:rsidR="007E3604" w:rsidRPr="008D3C0D">
        <w:rPr>
          <w:rFonts w:ascii="Times New Roman" w:hAnsi="Times New Roman"/>
        </w:rPr>
        <w:t> </w:t>
      </w:r>
      <w:r w:rsidR="00C53DD7" w:rsidRPr="008D3C0D">
        <w:rPr>
          <w:rFonts w:ascii="Times New Roman" w:hAnsi="Times New Roman"/>
        </w:rPr>
        <w:t>January 2008, t</w:t>
      </w:r>
      <w:r w:rsidR="004A4486" w:rsidRPr="008D3C0D">
        <w:rPr>
          <w:rFonts w:ascii="Times New Roman" w:hAnsi="Times New Roman"/>
        </w:rPr>
        <w:t xml:space="preserve">he complainant </w:t>
      </w:r>
      <w:r w:rsidR="00C53DD7" w:rsidRPr="008D3C0D">
        <w:rPr>
          <w:rFonts w:ascii="Times New Roman" w:hAnsi="Times New Roman"/>
        </w:rPr>
        <w:t>moved</w:t>
      </w:r>
      <w:r w:rsidR="004A4486" w:rsidRPr="008D3C0D">
        <w:rPr>
          <w:rFonts w:ascii="Times New Roman" w:hAnsi="Times New Roman"/>
        </w:rPr>
        <w:t xml:space="preserve"> to liv</w:t>
      </w:r>
      <w:r w:rsidR="00DB67FA" w:rsidRPr="008D3C0D">
        <w:rPr>
          <w:rFonts w:ascii="Times New Roman" w:hAnsi="Times New Roman"/>
        </w:rPr>
        <w:t>e</w:t>
      </w:r>
      <w:r w:rsidR="004A4486" w:rsidRPr="008D3C0D">
        <w:rPr>
          <w:rFonts w:ascii="Times New Roman" w:hAnsi="Times New Roman"/>
        </w:rPr>
        <w:t xml:space="preserve"> with the Queensland aunt </w:t>
      </w:r>
      <w:r w:rsidR="00FA5C3F" w:rsidRPr="008D3C0D">
        <w:rPr>
          <w:rFonts w:ascii="Times New Roman" w:hAnsi="Times New Roman"/>
        </w:rPr>
        <w:t xml:space="preserve">and the </w:t>
      </w:r>
      <w:r w:rsidR="00473E03" w:rsidRPr="008D3C0D">
        <w:rPr>
          <w:rFonts w:ascii="Times New Roman" w:hAnsi="Times New Roman"/>
        </w:rPr>
        <w:t>Queensland offender</w:t>
      </w:r>
      <w:r w:rsidR="00131A86" w:rsidRPr="008D3C0D">
        <w:rPr>
          <w:rFonts w:ascii="Times New Roman" w:hAnsi="Times New Roman"/>
        </w:rPr>
        <w:t>, where</w:t>
      </w:r>
      <w:r w:rsidR="002046A4" w:rsidRPr="008D3C0D">
        <w:rPr>
          <w:rFonts w:ascii="Times New Roman" w:hAnsi="Times New Roman"/>
        </w:rPr>
        <w:t xml:space="preserve"> </w:t>
      </w:r>
      <w:r w:rsidR="00131A86" w:rsidRPr="008D3C0D">
        <w:rPr>
          <w:rFonts w:ascii="Times New Roman" w:hAnsi="Times New Roman"/>
        </w:rPr>
        <w:t>s</w:t>
      </w:r>
      <w:r w:rsidR="002046A4" w:rsidRPr="008D3C0D">
        <w:rPr>
          <w:rFonts w:ascii="Times New Roman" w:hAnsi="Times New Roman"/>
        </w:rPr>
        <w:t>he lived</w:t>
      </w:r>
      <w:r w:rsidR="00343A52" w:rsidRPr="008D3C0D">
        <w:rPr>
          <w:rFonts w:ascii="Times New Roman" w:hAnsi="Times New Roman"/>
        </w:rPr>
        <w:t xml:space="preserve"> </w:t>
      </w:r>
      <w:r w:rsidR="000642AE" w:rsidRPr="008D3C0D">
        <w:rPr>
          <w:rFonts w:ascii="Times New Roman" w:hAnsi="Times New Roman"/>
        </w:rPr>
        <w:t>until 17</w:t>
      </w:r>
      <w:r w:rsidR="00C40E55" w:rsidRPr="008D3C0D">
        <w:rPr>
          <w:rFonts w:ascii="Times New Roman" w:hAnsi="Times New Roman"/>
        </w:rPr>
        <w:t> </w:t>
      </w:r>
      <w:r w:rsidR="000642AE" w:rsidRPr="008D3C0D">
        <w:rPr>
          <w:rFonts w:ascii="Times New Roman" w:hAnsi="Times New Roman"/>
        </w:rPr>
        <w:t>June 2009</w:t>
      </w:r>
      <w:r w:rsidR="00473E03" w:rsidRPr="008D3C0D">
        <w:rPr>
          <w:rFonts w:ascii="Times New Roman" w:hAnsi="Times New Roman"/>
        </w:rPr>
        <w:t xml:space="preserve">. </w:t>
      </w:r>
      <w:r w:rsidR="002046A4" w:rsidRPr="008D3C0D">
        <w:rPr>
          <w:rFonts w:ascii="Times New Roman" w:hAnsi="Times New Roman"/>
        </w:rPr>
        <w:t>During that period</w:t>
      </w:r>
      <w:r w:rsidR="00140FEB" w:rsidRPr="008D3C0D">
        <w:rPr>
          <w:rFonts w:ascii="Times New Roman" w:hAnsi="Times New Roman"/>
        </w:rPr>
        <w:t xml:space="preserve">, while the complainant was </w:t>
      </w:r>
      <w:r w:rsidR="00C40E55" w:rsidRPr="008D3C0D">
        <w:rPr>
          <w:rFonts w:ascii="Times New Roman" w:hAnsi="Times New Roman"/>
        </w:rPr>
        <w:t>six</w:t>
      </w:r>
      <w:r w:rsidR="00140FEB" w:rsidRPr="008D3C0D">
        <w:rPr>
          <w:rFonts w:ascii="Times New Roman" w:hAnsi="Times New Roman"/>
        </w:rPr>
        <w:t xml:space="preserve"> to </w:t>
      </w:r>
      <w:r w:rsidR="00C40E55" w:rsidRPr="008D3C0D">
        <w:rPr>
          <w:rFonts w:ascii="Times New Roman" w:hAnsi="Times New Roman"/>
        </w:rPr>
        <w:t>seven</w:t>
      </w:r>
      <w:r w:rsidR="00140FEB" w:rsidRPr="008D3C0D">
        <w:rPr>
          <w:rFonts w:ascii="Times New Roman" w:hAnsi="Times New Roman"/>
        </w:rPr>
        <w:t xml:space="preserve"> years old, the Queensland offender </w:t>
      </w:r>
      <w:r w:rsidR="00175AE4" w:rsidRPr="008D3C0D">
        <w:rPr>
          <w:rFonts w:ascii="Times New Roman" w:hAnsi="Times New Roman"/>
        </w:rPr>
        <w:t xml:space="preserve">committed </w:t>
      </w:r>
      <w:r w:rsidR="001D590A" w:rsidRPr="008D3C0D">
        <w:rPr>
          <w:rFonts w:ascii="Times New Roman" w:hAnsi="Times New Roman"/>
        </w:rPr>
        <w:t>the Queensland offences</w:t>
      </w:r>
      <w:r w:rsidR="00537614" w:rsidRPr="008D3C0D">
        <w:rPr>
          <w:rFonts w:ascii="Times New Roman" w:hAnsi="Times New Roman"/>
        </w:rPr>
        <w:t>.</w:t>
      </w:r>
    </w:p>
    <w:p w14:paraId="616A23A0" w14:textId="2D43C5BC" w:rsidR="00727F73" w:rsidRPr="008D3C0D" w:rsidRDefault="006109AE"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785FDF" w:rsidRPr="008D3C0D">
        <w:rPr>
          <w:rFonts w:ascii="Times New Roman" w:hAnsi="Times New Roman"/>
        </w:rPr>
        <w:t xml:space="preserve">In </w:t>
      </w:r>
      <w:r w:rsidR="008D1BE2" w:rsidRPr="008D3C0D">
        <w:rPr>
          <w:rFonts w:ascii="Times New Roman" w:hAnsi="Times New Roman"/>
        </w:rPr>
        <w:t>June</w:t>
      </w:r>
      <w:r w:rsidR="00785FDF" w:rsidRPr="008D3C0D">
        <w:rPr>
          <w:rFonts w:ascii="Times New Roman" w:hAnsi="Times New Roman"/>
        </w:rPr>
        <w:t xml:space="preserve"> 2009, the complainant told her stepmother about the sexual offences </w:t>
      </w:r>
      <w:r w:rsidR="008B0760" w:rsidRPr="008D3C0D">
        <w:rPr>
          <w:rFonts w:ascii="Times New Roman" w:hAnsi="Times New Roman"/>
        </w:rPr>
        <w:t>committed by</w:t>
      </w:r>
      <w:r w:rsidR="00785FDF" w:rsidRPr="008D3C0D">
        <w:rPr>
          <w:rFonts w:ascii="Times New Roman" w:hAnsi="Times New Roman"/>
        </w:rPr>
        <w:t xml:space="preserve"> the Queensland offender</w:t>
      </w:r>
      <w:r w:rsidR="00D17597" w:rsidRPr="008D3C0D">
        <w:rPr>
          <w:rFonts w:ascii="Times New Roman" w:hAnsi="Times New Roman"/>
        </w:rPr>
        <w:t xml:space="preserve">. </w:t>
      </w:r>
      <w:r w:rsidR="00FB628D" w:rsidRPr="008D3C0D">
        <w:rPr>
          <w:rFonts w:ascii="Times New Roman" w:hAnsi="Times New Roman"/>
        </w:rPr>
        <w:t>Initially</w:t>
      </w:r>
      <w:r w:rsidR="009F0941" w:rsidRPr="008D3C0D">
        <w:rPr>
          <w:rFonts w:ascii="Times New Roman" w:hAnsi="Times New Roman"/>
        </w:rPr>
        <w:t>,</w:t>
      </w:r>
      <w:r w:rsidR="00FB628D" w:rsidRPr="008D3C0D">
        <w:rPr>
          <w:rFonts w:ascii="Times New Roman" w:hAnsi="Times New Roman"/>
        </w:rPr>
        <w:t xml:space="preserve"> the complainant's stepmother and </w:t>
      </w:r>
      <w:r w:rsidR="006B25A0" w:rsidRPr="008D3C0D">
        <w:rPr>
          <w:rFonts w:ascii="Times New Roman" w:hAnsi="Times New Roman"/>
        </w:rPr>
        <w:t>the complainant's</w:t>
      </w:r>
      <w:r w:rsidR="00FB628D" w:rsidRPr="008D3C0D">
        <w:rPr>
          <w:rFonts w:ascii="Times New Roman" w:hAnsi="Times New Roman"/>
        </w:rPr>
        <w:t xml:space="preserve"> father did not believe the complainant. </w:t>
      </w:r>
      <w:r w:rsidR="00E23B92" w:rsidRPr="008D3C0D">
        <w:rPr>
          <w:rFonts w:ascii="Times New Roman" w:hAnsi="Times New Roman"/>
        </w:rPr>
        <w:t>T</w:t>
      </w:r>
      <w:r w:rsidR="00727F73" w:rsidRPr="008D3C0D">
        <w:rPr>
          <w:rFonts w:ascii="Times New Roman" w:hAnsi="Times New Roman"/>
        </w:rPr>
        <w:t xml:space="preserve">he New South Wales aunt and </w:t>
      </w:r>
      <w:r w:rsidR="00E5616D" w:rsidRPr="008D3C0D">
        <w:rPr>
          <w:rFonts w:ascii="Times New Roman" w:hAnsi="Times New Roman"/>
        </w:rPr>
        <w:t xml:space="preserve">her </w:t>
      </w:r>
      <w:r w:rsidR="00284639" w:rsidRPr="008D3C0D">
        <w:rPr>
          <w:rFonts w:ascii="Times New Roman" w:hAnsi="Times New Roman"/>
        </w:rPr>
        <w:t xml:space="preserve">then </w:t>
      </w:r>
      <w:r w:rsidR="00E5616D" w:rsidRPr="008D3C0D">
        <w:rPr>
          <w:rFonts w:ascii="Times New Roman" w:hAnsi="Times New Roman"/>
        </w:rPr>
        <w:t xml:space="preserve">husband, </w:t>
      </w:r>
      <w:r w:rsidR="00727F73" w:rsidRPr="008D3C0D">
        <w:rPr>
          <w:rFonts w:ascii="Times New Roman" w:hAnsi="Times New Roman"/>
        </w:rPr>
        <w:t>the appellant</w:t>
      </w:r>
      <w:r w:rsidR="00E5616D" w:rsidRPr="008D3C0D">
        <w:rPr>
          <w:rFonts w:ascii="Times New Roman" w:hAnsi="Times New Roman"/>
        </w:rPr>
        <w:t>,</w:t>
      </w:r>
      <w:r w:rsidR="00163CB7" w:rsidRPr="008D3C0D">
        <w:rPr>
          <w:rFonts w:ascii="Times New Roman" w:hAnsi="Times New Roman"/>
        </w:rPr>
        <w:t xml:space="preserve"> later</w:t>
      </w:r>
      <w:r w:rsidR="00727F73" w:rsidRPr="008D3C0D">
        <w:rPr>
          <w:rFonts w:ascii="Times New Roman" w:hAnsi="Times New Roman"/>
        </w:rPr>
        <w:t xml:space="preserve"> assisted to persuade the complainant's father that the complainant was telling the truth.</w:t>
      </w:r>
    </w:p>
    <w:p w14:paraId="395A2F2D" w14:textId="4FE4603F" w:rsidR="002B2C28" w:rsidRPr="008D3C0D" w:rsidRDefault="00D06ED4" w:rsidP="008D3C0D">
      <w:pPr>
        <w:pStyle w:val="FixListStyle"/>
        <w:spacing w:after="260" w:line="280" w:lineRule="exact"/>
        <w:ind w:right="0"/>
        <w:jc w:val="both"/>
        <w:rPr>
          <w:rFonts w:ascii="Times New Roman" w:hAnsi="Times New Roman"/>
        </w:rPr>
      </w:pPr>
      <w:r w:rsidRPr="008D3C0D">
        <w:rPr>
          <w:rFonts w:ascii="Times New Roman" w:hAnsi="Times New Roman"/>
        </w:rPr>
        <w:lastRenderedPageBreak/>
        <w:tab/>
      </w:r>
      <w:r w:rsidR="00137467" w:rsidRPr="008D3C0D">
        <w:rPr>
          <w:rFonts w:ascii="Times New Roman" w:hAnsi="Times New Roman"/>
        </w:rPr>
        <w:t>In July 2009, t</w:t>
      </w:r>
      <w:r w:rsidR="009F0941" w:rsidRPr="008D3C0D">
        <w:rPr>
          <w:rFonts w:ascii="Times New Roman" w:hAnsi="Times New Roman"/>
        </w:rPr>
        <w:t xml:space="preserve">he complainant's stepmother and the complainant's father </w:t>
      </w:r>
      <w:r w:rsidR="00B07C8E" w:rsidRPr="008D3C0D">
        <w:rPr>
          <w:rFonts w:ascii="Times New Roman" w:hAnsi="Times New Roman"/>
        </w:rPr>
        <w:t xml:space="preserve">arranged for the complainant to move </w:t>
      </w:r>
      <w:r w:rsidR="00C45B8A" w:rsidRPr="008D3C0D">
        <w:rPr>
          <w:rFonts w:ascii="Times New Roman" w:hAnsi="Times New Roman"/>
        </w:rPr>
        <w:t xml:space="preserve">back </w:t>
      </w:r>
      <w:r w:rsidR="00B07C8E" w:rsidRPr="008D3C0D">
        <w:rPr>
          <w:rFonts w:ascii="Times New Roman" w:hAnsi="Times New Roman"/>
        </w:rPr>
        <w:t>to New South Wales to live with</w:t>
      </w:r>
      <w:r w:rsidR="00FB3F55" w:rsidRPr="008D3C0D">
        <w:rPr>
          <w:rFonts w:ascii="Times New Roman" w:hAnsi="Times New Roman"/>
        </w:rPr>
        <w:t xml:space="preserve"> </w:t>
      </w:r>
      <w:r w:rsidR="002A0E50" w:rsidRPr="008D3C0D">
        <w:rPr>
          <w:rFonts w:ascii="Times New Roman" w:hAnsi="Times New Roman"/>
        </w:rPr>
        <w:t>the</w:t>
      </w:r>
      <w:r w:rsidR="00FB3F55" w:rsidRPr="008D3C0D">
        <w:rPr>
          <w:rFonts w:ascii="Times New Roman" w:hAnsi="Times New Roman"/>
        </w:rPr>
        <w:t xml:space="preserve"> New South Wales aunt and the appellant. </w:t>
      </w:r>
      <w:r w:rsidR="00565F8D" w:rsidRPr="008D3C0D">
        <w:rPr>
          <w:rFonts w:ascii="Times New Roman" w:hAnsi="Times New Roman"/>
        </w:rPr>
        <w:t>In September 2009, the New South Wales aunt beca</w:t>
      </w:r>
      <w:r w:rsidR="00C45B8A" w:rsidRPr="008D3C0D">
        <w:rPr>
          <w:rFonts w:ascii="Times New Roman" w:hAnsi="Times New Roman"/>
        </w:rPr>
        <w:t>me</w:t>
      </w:r>
      <w:r w:rsidR="00565F8D" w:rsidRPr="008D3C0D">
        <w:rPr>
          <w:rFonts w:ascii="Times New Roman" w:hAnsi="Times New Roman"/>
        </w:rPr>
        <w:t xml:space="preserve"> the complainant's legal guardian. </w:t>
      </w:r>
      <w:r w:rsidR="00662EEF" w:rsidRPr="008D3C0D">
        <w:rPr>
          <w:rFonts w:ascii="Times New Roman" w:hAnsi="Times New Roman"/>
        </w:rPr>
        <w:t xml:space="preserve">On 28 February 2010, the complainant disclosed to her father and stepmother further details of </w:t>
      </w:r>
      <w:r w:rsidR="00FC5B48" w:rsidRPr="008D3C0D">
        <w:rPr>
          <w:rFonts w:ascii="Times New Roman" w:hAnsi="Times New Roman"/>
        </w:rPr>
        <w:t>the Queensland conduct</w:t>
      </w:r>
      <w:r w:rsidR="00662EEF" w:rsidRPr="008D3C0D">
        <w:rPr>
          <w:rFonts w:ascii="Times New Roman" w:hAnsi="Times New Roman"/>
        </w:rPr>
        <w:t>.</w:t>
      </w:r>
    </w:p>
    <w:p w14:paraId="15F26DE7" w14:textId="6210B615" w:rsidR="00A641AB" w:rsidRPr="008D3C0D" w:rsidRDefault="002B2C28"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456D9C" w:rsidRPr="008D3C0D">
        <w:rPr>
          <w:rFonts w:ascii="Times New Roman" w:hAnsi="Times New Roman"/>
        </w:rPr>
        <w:t xml:space="preserve">On 21 July 2010, the appellant </w:t>
      </w:r>
      <w:r w:rsidR="000524C8" w:rsidRPr="008D3C0D">
        <w:rPr>
          <w:rFonts w:ascii="Times New Roman" w:hAnsi="Times New Roman"/>
        </w:rPr>
        <w:t>made</w:t>
      </w:r>
      <w:r w:rsidR="00514188" w:rsidRPr="008D3C0D">
        <w:rPr>
          <w:rFonts w:ascii="Times New Roman" w:hAnsi="Times New Roman"/>
        </w:rPr>
        <w:t xml:space="preserve"> a police statement </w:t>
      </w:r>
      <w:r w:rsidR="00EC09BA" w:rsidRPr="008D3C0D">
        <w:rPr>
          <w:rFonts w:ascii="Times New Roman" w:hAnsi="Times New Roman"/>
        </w:rPr>
        <w:t>in support of the complainant's complaint against the Queensland offender</w:t>
      </w:r>
      <w:r w:rsidR="00074086" w:rsidRPr="008D3C0D">
        <w:rPr>
          <w:rFonts w:ascii="Times New Roman" w:hAnsi="Times New Roman"/>
        </w:rPr>
        <w:t xml:space="preserve"> in which he</w:t>
      </w:r>
      <w:r w:rsidR="00514188" w:rsidRPr="008D3C0D">
        <w:rPr>
          <w:rFonts w:ascii="Times New Roman" w:hAnsi="Times New Roman"/>
        </w:rPr>
        <w:t xml:space="preserve"> </w:t>
      </w:r>
      <w:r w:rsidR="00D13571" w:rsidRPr="008D3C0D">
        <w:rPr>
          <w:rFonts w:ascii="Times New Roman" w:hAnsi="Times New Roman"/>
        </w:rPr>
        <w:t>said th</w:t>
      </w:r>
      <w:r w:rsidR="00A641AB" w:rsidRPr="008D3C0D">
        <w:rPr>
          <w:rFonts w:ascii="Times New Roman" w:hAnsi="Times New Roman"/>
        </w:rPr>
        <w:t>e following:</w:t>
      </w:r>
    </w:p>
    <w:p w14:paraId="0D5E2C94" w14:textId="77777777" w:rsidR="008D3C0D" w:rsidRDefault="00AB1AC5" w:rsidP="008D3C0D">
      <w:pPr>
        <w:pStyle w:val="LeftrightafterHC"/>
        <w:spacing w:before="0" w:after="260" w:line="280" w:lineRule="exact"/>
        <w:ind w:right="0"/>
        <w:jc w:val="both"/>
        <w:rPr>
          <w:rFonts w:ascii="Times New Roman" w:hAnsi="Times New Roman"/>
        </w:rPr>
      </w:pPr>
      <w:r w:rsidRPr="008D3C0D">
        <w:rPr>
          <w:rFonts w:ascii="Times New Roman" w:hAnsi="Times New Roman"/>
        </w:rPr>
        <w:t>"After she came to live with us, whenever [the complainant</w:t>
      </w:r>
      <w:r w:rsidR="007F5093" w:rsidRPr="008D3C0D">
        <w:rPr>
          <w:rFonts w:ascii="Times New Roman" w:hAnsi="Times New Roman"/>
        </w:rPr>
        <w:t xml:space="preserve">] and I would go for a drive to anywhere </w:t>
      </w:r>
      <w:r w:rsidR="00707C33" w:rsidRPr="008D3C0D">
        <w:rPr>
          <w:rFonts w:ascii="Times New Roman" w:hAnsi="Times New Roman"/>
        </w:rPr>
        <w:t xml:space="preserve">I would tell her she could sit in the front of the car. [The complainant] would always refuse and would sit in the back </w:t>
      </w:r>
      <w:r w:rsidR="0023799F" w:rsidRPr="008D3C0D">
        <w:rPr>
          <w:rFonts w:ascii="Times New Roman" w:hAnsi="Times New Roman"/>
        </w:rPr>
        <w:t xml:space="preserve">while no-one would sit in the front. After about 4 or 5 times of that occurring I pressed [the complainant] </w:t>
      </w:r>
      <w:r w:rsidR="009A1FEC" w:rsidRPr="008D3C0D">
        <w:rPr>
          <w:rFonts w:ascii="Times New Roman" w:hAnsi="Times New Roman"/>
        </w:rPr>
        <w:t xml:space="preserve">that she could sit in the front. [The complainant] said to me, </w:t>
      </w:r>
      <w:r w:rsidR="00DA4F1A" w:rsidRPr="008D3C0D">
        <w:rPr>
          <w:rFonts w:ascii="Times New Roman" w:hAnsi="Times New Roman"/>
        </w:rPr>
        <w:t>'</w:t>
      </w:r>
      <w:r w:rsidR="009A1FEC" w:rsidRPr="008D3C0D">
        <w:rPr>
          <w:rFonts w:ascii="Times New Roman" w:hAnsi="Times New Roman"/>
        </w:rPr>
        <w:t>You are not going to do what [the Queensland offender] did to me, are you?</w:t>
      </w:r>
      <w:r w:rsidR="00A2484F" w:rsidRPr="008D3C0D">
        <w:rPr>
          <w:rFonts w:ascii="Times New Roman" w:hAnsi="Times New Roman"/>
        </w:rPr>
        <w:t>'</w:t>
      </w:r>
      <w:r w:rsidR="009A1FEC" w:rsidRPr="008D3C0D">
        <w:rPr>
          <w:rFonts w:ascii="Times New Roman" w:hAnsi="Times New Roman"/>
        </w:rPr>
        <w:t>"</w:t>
      </w:r>
      <w:r w:rsidRPr="008D3C0D">
        <w:rPr>
          <w:rFonts w:ascii="Times New Roman" w:hAnsi="Times New Roman"/>
        </w:rPr>
        <w:t xml:space="preserve"> </w:t>
      </w:r>
    </w:p>
    <w:p w14:paraId="12573CC1" w14:textId="74521E37" w:rsidR="00BB3A1C" w:rsidRPr="008D3C0D" w:rsidRDefault="00A641AB"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FF20ED" w:rsidRPr="008D3C0D">
        <w:rPr>
          <w:rFonts w:ascii="Times New Roman" w:hAnsi="Times New Roman"/>
        </w:rPr>
        <w:t xml:space="preserve">This disclosure </w:t>
      </w:r>
      <w:r w:rsidR="00B82F41" w:rsidRPr="008D3C0D">
        <w:rPr>
          <w:rFonts w:ascii="Times New Roman" w:hAnsi="Times New Roman"/>
        </w:rPr>
        <w:t xml:space="preserve">to the appellant </w:t>
      </w:r>
      <w:r w:rsidR="00C934AD" w:rsidRPr="008D3C0D">
        <w:rPr>
          <w:rFonts w:ascii="Times New Roman" w:hAnsi="Times New Roman"/>
        </w:rPr>
        <w:t xml:space="preserve">occurred </w:t>
      </w:r>
      <w:r w:rsidR="00FF20ED" w:rsidRPr="008D3C0D">
        <w:rPr>
          <w:rFonts w:ascii="Times New Roman" w:hAnsi="Times New Roman"/>
        </w:rPr>
        <w:t xml:space="preserve">more than a year before the start of the first </w:t>
      </w:r>
      <w:r w:rsidR="002C4CDB" w:rsidRPr="008D3C0D">
        <w:rPr>
          <w:rFonts w:ascii="Times New Roman" w:hAnsi="Times New Roman"/>
        </w:rPr>
        <w:t xml:space="preserve">period of alleged offending by the appellant. </w:t>
      </w:r>
    </w:p>
    <w:p w14:paraId="34C63E3D" w14:textId="30B1F037" w:rsidR="005458DA" w:rsidRPr="008D3C0D" w:rsidRDefault="00BB3A1C"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077743" w:rsidRPr="008D3C0D">
        <w:rPr>
          <w:rFonts w:ascii="Times New Roman" w:hAnsi="Times New Roman"/>
        </w:rPr>
        <w:t xml:space="preserve">In April 2011, a committal hearing </w:t>
      </w:r>
      <w:r w:rsidR="00490AFD" w:rsidRPr="008D3C0D">
        <w:rPr>
          <w:rFonts w:ascii="Times New Roman" w:hAnsi="Times New Roman"/>
        </w:rPr>
        <w:t xml:space="preserve">was held for the trial of </w:t>
      </w:r>
      <w:r w:rsidR="00077743" w:rsidRPr="008D3C0D">
        <w:rPr>
          <w:rFonts w:ascii="Times New Roman" w:hAnsi="Times New Roman"/>
        </w:rPr>
        <w:t>the Queensland offender</w:t>
      </w:r>
      <w:r w:rsidR="00490AFD" w:rsidRPr="008D3C0D">
        <w:rPr>
          <w:rFonts w:ascii="Times New Roman" w:hAnsi="Times New Roman"/>
        </w:rPr>
        <w:t>. The complainant gave evidence at the committal hearing and the Queensland offender was committed for trial.</w:t>
      </w:r>
      <w:r w:rsidR="00077743" w:rsidRPr="008D3C0D">
        <w:rPr>
          <w:rFonts w:ascii="Times New Roman" w:hAnsi="Times New Roman"/>
        </w:rPr>
        <w:t xml:space="preserve"> </w:t>
      </w:r>
      <w:r w:rsidR="00EF2DCE" w:rsidRPr="008D3C0D">
        <w:rPr>
          <w:rFonts w:ascii="Times New Roman" w:hAnsi="Times New Roman"/>
        </w:rPr>
        <w:t xml:space="preserve">On </w:t>
      </w:r>
      <w:r w:rsidR="00484DA7" w:rsidRPr="008D3C0D">
        <w:rPr>
          <w:rFonts w:ascii="Times New Roman" w:hAnsi="Times New Roman"/>
        </w:rPr>
        <w:t>18 April 2012,</w:t>
      </w:r>
      <w:r w:rsidR="00683C32" w:rsidRPr="008D3C0D">
        <w:rPr>
          <w:rFonts w:ascii="Times New Roman" w:hAnsi="Times New Roman"/>
        </w:rPr>
        <w:t xml:space="preserve"> </w:t>
      </w:r>
      <w:r w:rsidR="00484DA7" w:rsidRPr="008D3C0D">
        <w:rPr>
          <w:rFonts w:ascii="Times New Roman" w:hAnsi="Times New Roman"/>
        </w:rPr>
        <w:t xml:space="preserve">the complainant gave pre-recorded evidence in Queensland </w:t>
      </w:r>
      <w:r w:rsidR="00683C32" w:rsidRPr="008D3C0D">
        <w:rPr>
          <w:rFonts w:ascii="Times New Roman" w:hAnsi="Times New Roman"/>
        </w:rPr>
        <w:t xml:space="preserve">for the trial of the Queensland offender. </w:t>
      </w:r>
      <w:r w:rsidR="00986B25" w:rsidRPr="008D3C0D">
        <w:rPr>
          <w:rFonts w:ascii="Times New Roman" w:hAnsi="Times New Roman"/>
        </w:rPr>
        <w:t xml:space="preserve">On 12 November 2012, the Queensland offender was convicted of four counts </w:t>
      </w:r>
      <w:r w:rsidR="00BD6FEA" w:rsidRPr="008D3C0D">
        <w:rPr>
          <w:rFonts w:ascii="Times New Roman" w:hAnsi="Times New Roman"/>
        </w:rPr>
        <w:t xml:space="preserve">of rape and seven counts of indecent treatment of a child under the age of 12. </w:t>
      </w:r>
      <w:r w:rsidR="003D4D49" w:rsidRPr="008D3C0D">
        <w:rPr>
          <w:rFonts w:ascii="Times New Roman" w:hAnsi="Times New Roman"/>
        </w:rPr>
        <w:t>Following a successful appeal by the Queensland offender,</w:t>
      </w:r>
      <w:r w:rsidR="00765AA4" w:rsidRPr="008D3C0D">
        <w:rPr>
          <w:rFonts w:ascii="Times New Roman" w:hAnsi="Times New Roman"/>
        </w:rPr>
        <w:t xml:space="preserve"> on 1 October 2013</w:t>
      </w:r>
      <w:r w:rsidR="003D4D49" w:rsidRPr="008D3C0D">
        <w:rPr>
          <w:rFonts w:ascii="Times New Roman" w:hAnsi="Times New Roman"/>
        </w:rPr>
        <w:t xml:space="preserve"> </w:t>
      </w:r>
      <w:r w:rsidR="00765AA4" w:rsidRPr="008D3C0D">
        <w:rPr>
          <w:rFonts w:ascii="Times New Roman" w:hAnsi="Times New Roman"/>
        </w:rPr>
        <w:t xml:space="preserve">the complainant gave pre-recorded evidence </w:t>
      </w:r>
      <w:r w:rsidR="00EC73AB" w:rsidRPr="008D3C0D">
        <w:rPr>
          <w:rFonts w:ascii="Times New Roman" w:hAnsi="Times New Roman"/>
        </w:rPr>
        <w:t xml:space="preserve">in Queensland </w:t>
      </w:r>
      <w:r w:rsidR="00765AA4" w:rsidRPr="008D3C0D">
        <w:rPr>
          <w:rFonts w:ascii="Times New Roman" w:hAnsi="Times New Roman"/>
        </w:rPr>
        <w:t xml:space="preserve">for a second time. </w:t>
      </w:r>
      <w:r w:rsidR="000C44AF" w:rsidRPr="008D3C0D">
        <w:rPr>
          <w:rFonts w:ascii="Times New Roman" w:hAnsi="Times New Roman"/>
        </w:rPr>
        <w:t>No retrial took place because the prosecution accepted a plea</w:t>
      </w:r>
      <w:r w:rsidR="004E563C" w:rsidRPr="008D3C0D">
        <w:rPr>
          <w:rFonts w:ascii="Times New Roman" w:hAnsi="Times New Roman"/>
        </w:rPr>
        <w:t xml:space="preserve"> of guilty</w:t>
      </w:r>
      <w:r w:rsidR="000C44AF" w:rsidRPr="008D3C0D">
        <w:rPr>
          <w:rFonts w:ascii="Times New Roman" w:hAnsi="Times New Roman"/>
        </w:rPr>
        <w:t xml:space="preserve"> by the Queensland offender to</w:t>
      </w:r>
      <w:r w:rsidR="00EA4464" w:rsidRPr="008D3C0D">
        <w:rPr>
          <w:rFonts w:ascii="Times New Roman" w:hAnsi="Times New Roman"/>
        </w:rPr>
        <w:t xml:space="preserve"> </w:t>
      </w:r>
      <w:r w:rsidR="004E563C" w:rsidRPr="008D3C0D">
        <w:rPr>
          <w:rFonts w:ascii="Times New Roman" w:hAnsi="Times New Roman"/>
        </w:rPr>
        <w:t>four counts of indecent treatment of a child under 12 years in his care</w:t>
      </w:r>
      <w:r w:rsidR="005316ED" w:rsidRPr="008D3C0D">
        <w:rPr>
          <w:rFonts w:ascii="Times New Roman" w:hAnsi="Times New Roman"/>
        </w:rPr>
        <w:t>.</w:t>
      </w:r>
    </w:p>
    <w:p w14:paraId="24813C76" w14:textId="3CE3EE27" w:rsidR="00886747" w:rsidRPr="008D3C0D" w:rsidRDefault="005458DA"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D5026D" w:rsidRPr="008D3C0D">
        <w:rPr>
          <w:rFonts w:ascii="Times New Roman" w:hAnsi="Times New Roman"/>
        </w:rPr>
        <w:t xml:space="preserve">In March 2015, the appellant and the New South Wales aunt separated but the appellant </w:t>
      </w:r>
      <w:r w:rsidR="003F1C81" w:rsidRPr="008D3C0D">
        <w:rPr>
          <w:rFonts w:ascii="Times New Roman" w:hAnsi="Times New Roman"/>
        </w:rPr>
        <w:t>continued to live in the spare room in their shared house. In December 2016, the appellant and the New S</w:t>
      </w:r>
      <w:r w:rsidR="00E60AC7" w:rsidRPr="008D3C0D">
        <w:rPr>
          <w:rFonts w:ascii="Times New Roman" w:hAnsi="Times New Roman"/>
        </w:rPr>
        <w:t>o</w:t>
      </w:r>
      <w:r w:rsidR="003F1C81" w:rsidRPr="008D3C0D">
        <w:rPr>
          <w:rFonts w:ascii="Times New Roman" w:hAnsi="Times New Roman"/>
        </w:rPr>
        <w:t xml:space="preserve">uth Wales aunt were divorced and </w:t>
      </w:r>
      <w:r w:rsidR="00C7494B" w:rsidRPr="008D3C0D">
        <w:rPr>
          <w:rFonts w:ascii="Times New Roman" w:hAnsi="Times New Roman"/>
        </w:rPr>
        <w:t>from</w:t>
      </w:r>
      <w:r w:rsidR="0095697F" w:rsidRPr="008D3C0D">
        <w:rPr>
          <w:rFonts w:ascii="Times New Roman" w:hAnsi="Times New Roman"/>
        </w:rPr>
        <w:t xml:space="preserve"> then </w:t>
      </w:r>
      <w:r w:rsidR="008E2FA8" w:rsidRPr="008D3C0D">
        <w:rPr>
          <w:rFonts w:ascii="Times New Roman" w:hAnsi="Times New Roman"/>
        </w:rPr>
        <w:t>the</w:t>
      </w:r>
      <w:r w:rsidR="00C7494B" w:rsidRPr="008D3C0D">
        <w:rPr>
          <w:rFonts w:ascii="Times New Roman" w:hAnsi="Times New Roman"/>
        </w:rPr>
        <w:t>y</w:t>
      </w:r>
      <w:r w:rsidR="00396D30" w:rsidRPr="008D3C0D">
        <w:rPr>
          <w:rFonts w:ascii="Times New Roman" w:hAnsi="Times New Roman"/>
        </w:rPr>
        <w:t xml:space="preserve"> lived in separate houses. </w:t>
      </w:r>
      <w:r w:rsidR="00035813" w:rsidRPr="008D3C0D">
        <w:rPr>
          <w:rFonts w:ascii="Times New Roman" w:hAnsi="Times New Roman"/>
        </w:rPr>
        <w:t xml:space="preserve">The </w:t>
      </w:r>
      <w:r w:rsidR="00A22197" w:rsidRPr="008D3C0D">
        <w:rPr>
          <w:rFonts w:ascii="Times New Roman" w:hAnsi="Times New Roman"/>
        </w:rPr>
        <w:t>New South Wales aunt</w:t>
      </w:r>
      <w:r w:rsidR="00035813" w:rsidRPr="008D3C0D">
        <w:rPr>
          <w:rFonts w:ascii="Times New Roman" w:hAnsi="Times New Roman"/>
        </w:rPr>
        <w:t xml:space="preserve"> continued to live with their two children and her niece, the complainant. </w:t>
      </w:r>
    </w:p>
    <w:p w14:paraId="52AFF651" w14:textId="3AFD1C24" w:rsidR="00D039CE" w:rsidRPr="008D3C0D" w:rsidRDefault="001C5D51"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E8621A" w:rsidRPr="008D3C0D">
        <w:rPr>
          <w:rFonts w:ascii="Times New Roman" w:hAnsi="Times New Roman"/>
        </w:rPr>
        <w:t xml:space="preserve">On 10 December 2017, the complainant </w:t>
      </w:r>
      <w:r w:rsidR="00CA2D05" w:rsidRPr="008D3C0D">
        <w:rPr>
          <w:rFonts w:ascii="Times New Roman" w:hAnsi="Times New Roman"/>
        </w:rPr>
        <w:t xml:space="preserve">told </w:t>
      </w:r>
      <w:r w:rsidR="00A22197" w:rsidRPr="008D3C0D">
        <w:rPr>
          <w:rFonts w:ascii="Times New Roman" w:hAnsi="Times New Roman"/>
        </w:rPr>
        <w:t>the New South Wales</w:t>
      </w:r>
      <w:r w:rsidR="00CA2D05" w:rsidRPr="008D3C0D">
        <w:rPr>
          <w:rFonts w:ascii="Times New Roman" w:hAnsi="Times New Roman"/>
        </w:rPr>
        <w:t xml:space="preserve"> aunt about alleged offences committed against her by the appellant. The complainant was then 15 years old. </w:t>
      </w:r>
      <w:r w:rsidR="00C3187F" w:rsidRPr="008D3C0D">
        <w:rPr>
          <w:rFonts w:ascii="Times New Roman" w:hAnsi="Times New Roman"/>
        </w:rPr>
        <w:t xml:space="preserve">The </w:t>
      </w:r>
      <w:r w:rsidR="001E0D2E" w:rsidRPr="008D3C0D">
        <w:rPr>
          <w:rFonts w:ascii="Times New Roman" w:hAnsi="Times New Roman"/>
        </w:rPr>
        <w:t>New South Wales</w:t>
      </w:r>
      <w:r w:rsidR="00C3187F" w:rsidRPr="008D3C0D">
        <w:rPr>
          <w:rFonts w:ascii="Times New Roman" w:hAnsi="Times New Roman"/>
        </w:rPr>
        <w:t xml:space="preserve"> aunt took the complainant to the </w:t>
      </w:r>
      <w:r w:rsidR="00C3187F" w:rsidRPr="008D3C0D">
        <w:rPr>
          <w:rFonts w:ascii="Times New Roman" w:hAnsi="Times New Roman"/>
        </w:rPr>
        <w:lastRenderedPageBreak/>
        <w:t xml:space="preserve">police </w:t>
      </w:r>
      <w:r w:rsidR="002F4F4F" w:rsidRPr="008D3C0D">
        <w:rPr>
          <w:rFonts w:ascii="Times New Roman" w:hAnsi="Times New Roman"/>
        </w:rPr>
        <w:t>and</w:t>
      </w:r>
      <w:r w:rsidR="00C3187F" w:rsidRPr="008D3C0D">
        <w:rPr>
          <w:rFonts w:ascii="Times New Roman" w:hAnsi="Times New Roman"/>
        </w:rPr>
        <w:t xml:space="preserve"> the complainant participated in a recorded inter</w:t>
      </w:r>
      <w:r w:rsidR="002F4F4F" w:rsidRPr="008D3C0D">
        <w:rPr>
          <w:rFonts w:ascii="Times New Roman" w:hAnsi="Times New Roman"/>
        </w:rPr>
        <w:t xml:space="preserve">view. In that interview, the complainant </w:t>
      </w:r>
      <w:r w:rsidR="00D478A1" w:rsidRPr="008D3C0D">
        <w:rPr>
          <w:rFonts w:ascii="Times New Roman" w:hAnsi="Times New Roman"/>
        </w:rPr>
        <w:t xml:space="preserve">told the police about the alleged offending that became counts 1 to 10 of the indictment against the appellant. </w:t>
      </w:r>
      <w:r w:rsidR="00D61A63" w:rsidRPr="008D3C0D">
        <w:rPr>
          <w:rFonts w:ascii="Times New Roman" w:hAnsi="Times New Roman"/>
        </w:rPr>
        <w:t>In the interview, the complainant described o</w:t>
      </w:r>
      <w:r w:rsidR="005A5BDD" w:rsidRPr="008D3C0D">
        <w:rPr>
          <w:rFonts w:ascii="Times New Roman" w:hAnsi="Times New Roman"/>
        </w:rPr>
        <w:t xml:space="preserve">ne sexual assault </w:t>
      </w:r>
      <w:r w:rsidR="00CC5366" w:rsidRPr="008D3C0D">
        <w:rPr>
          <w:rFonts w:ascii="Times New Roman" w:hAnsi="Times New Roman"/>
        </w:rPr>
        <w:t>in early June 2011, six weeks after the committal of the Queensland offender</w:t>
      </w:r>
      <w:r w:rsidR="00282834" w:rsidRPr="008D3C0D">
        <w:rPr>
          <w:rFonts w:ascii="Times New Roman" w:hAnsi="Times New Roman"/>
        </w:rPr>
        <w:t>. The following exchange then took place:</w:t>
      </w:r>
    </w:p>
    <w:p w14:paraId="639D8C06" w14:textId="68DE16CB" w:rsidR="00C93C8F" w:rsidRPr="008D3C0D" w:rsidRDefault="00953619" w:rsidP="008D3C0D">
      <w:pPr>
        <w:pStyle w:val="LeftrightafterHC"/>
        <w:spacing w:before="0" w:after="260" w:line="280" w:lineRule="exact"/>
        <w:ind w:right="0"/>
        <w:jc w:val="both"/>
        <w:rPr>
          <w:rFonts w:ascii="Times New Roman" w:hAnsi="Times New Roman"/>
        </w:rPr>
      </w:pPr>
      <w:r w:rsidRPr="008D3C0D">
        <w:rPr>
          <w:rFonts w:ascii="Times New Roman" w:hAnsi="Times New Roman"/>
        </w:rPr>
        <w:t>"Q:</w:t>
      </w:r>
      <w:r w:rsidRPr="008D3C0D">
        <w:rPr>
          <w:rFonts w:ascii="Times New Roman" w:hAnsi="Times New Roman"/>
        </w:rPr>
        <w:tab/>
        <w:t>Did you tell anyone?</w:t>
      </w:r>
    </w:p>
    <w:p w14:paraId="4E2F1F56" w14:textId="77777777" w:rsidR="008D3C0D" w:rsidRDefault="00953619" w:rsidP="008D3C0D">
      <w:pPr>
        <w:pStyle w:val="leftright"/>
        <w:spacing w:before="0" w:after="260" w:line="280" w:lineRule="exact"/>
        <w:ind w:left="1440" w:right="0" w:hanging="720"/>
        <w:jc w:val="both"/>
        <w:rPr>
          <w:rFonts w:ascii="Times New Roman" w:hAnsi="Times New Roman"/>
          <w:b/>
          <w:bCs/>
        </w:rPr>
      </w:pPr>
      <w:r w:rsidRPr="008D3C0D">
        <w:rPr>
          <w:rFonts w:ascii="Times New Roman" w:hAnsi="Times New Roman"/>
        </w:rPr>
        <w:t xml:space="preserve">A: </w:t>
      </w:r>
      <w:r w:rsidRPr="008D3C0D">
        <w:rPr>
          <w:rFonts w:ascii="Times New Roman" w:hAnsi="Times New Roman"/>
        </w:rPr>
        <w:tab/>
        <w:t>No. '</w:t>
      </w:r>
      <w:r w:rsidR="009F794D" w:rsidRPr="008D3C0D">
        <w:rPr>
          <w:rFonts w:ascii="Times New Roman" w:hAnsi="Times New Roman"/>
        </w:rPr>
        <w:t>[</w:t>
      </w:r>
      <w:r w:rsidRPr="008D3C0D">
        <w:rPr>
          <w:rFonts w:ascii="Times New Roman" w:hAnsi="Times New Roman"/>
        </w:rPr>
        <w:t>C</w:t>
      </w:r>
      <w:r w:rsidR="009F794D" w:rsidRPr="008D3C0D">
        <w:rPr>
          <w:rFonts w:ascii="Times New Roman" w:hAnsi="Times New Roman"/>
        </w:rPr>
        <w:t>]</w:t>
      </w:r>
      <w:proofErr w:type="spellStart"/>
      <w:r w:rsidRPr="008D3C0D">
        <w:rPr>
          <w:rFonts w:ascii="Times New Roman" w:hAnsi="Times New Roman"/>
        </w:rPr>
        <w:t>ause</w:t>
      </w:r>
      <w:proofErr w:type="spellEnd"/>
      <w:r w:rsidRPr="008D3C0D">
        <w:rPr>
          <w:rFonts w:ascii="Times New Roman" w:hAnsi="Times New Roman"/>
        </w:rPr>
        <w:t xml:space="preserve"> I didn't know </w:t>
      </w:r>
      <w:r w:rsidR="00D703A9" w:rsidRPr="008D3C0D">
        <w:rPr>
          <w:rFonts w:ascii="Times New Roman" w:hAnsi="Times New Roman"/>
        </w:rPr>
        <w:t>how to tell anyone,</w:t>
      </w:r>
      <w:r w:rsidR="00322B41" w:rsidRPr="008D3C0D">
        <w:rPr>
          <w:rFonts w:ascii="Times New Roman" w:hAnsi="Times New Roman"/>
        </w:rPr>
        <w:t xml:space="preserve"> </w:t>
      </w:r>
      <w:r w:rsidR="00D703A9" w:rsidRPr="008D3C0D">
        <w:rPr>
          <w:rFonts w:ascii="Times New Roman" w:hAnsi="Times New Roman"/>
        </w:rPr>
        <w:t>cause of what happened the first time."</w:t>
      </w:r>
    </w:p>
    <w:p w14:paraId="089A517D" w14:textId="76F5C90E" w:rsidR="00E04B0F" w:rsidRPr="008D3C0D" w:rsidRDefault="00DA0106"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3C2B3F" w:rsidRPr="008D3C0D">
        <w:rPr>
          <w:rFonts w:ascii="Times New Roman" w:hAnsi="Times New Roman"/>
        </w:rPr>
        <w:t>The complainant subsequently reported the conduct which became counts 11 to 17.</w:t>
      </w:r>
    </w:p>
    <w:p w14:paraId="6F90DB94" w14:textId="34E3AAA2" w:rsidR="00111BAC" w:rsidRPr="008D3C0D" w:rsidRDefault="00111BAC" w:rsidP="008D3C0D">
      <w:pPr>
        <w:pStyle w:val="FixListStyle"/>
        <w:spacing w:after="260" w:line="280" w:lineRule="exact"/>
        <w:ind w:right="0"/>
        <w:jc w:val="both"/>
        <w:rPr>
          <w:rFonts w:ascii="Times New Roman" w:hAnsi="Times New Roman"/>
        </w:rPr>
      </w:pPr>
      <w:r w:rsidRPr="008D3C0D">
        <w:rPr>
          <w:rFonts w:ascii="Times New Roman" w:hAnsi="Times New Roman"/>
        </w:rPr>
        <w:tab/>
        <w:t>On 18 December 2017</w:t>
      </w:r>
      <w:r w:rsidR="00363786" w:rsidRPr="008D3C0D">
        <w:rPr>
          <w:rFonts w:ascii="Times New Roman" w:hAnsi="Times New Roman"/>
        </w:rPr>
        <w:t>, the appellant took part in a record</w:t>
      </w:r>
      <w:r w:rsidR="00296D07" w:rsidRPr="008D3C0D">
        <w:rPr>
          <w:rFonts w:ascii="Times New Roman" w:hAnsi="Times New Roman"/>
        </w:rPr>
        <w:t>ed</w:t>
      </w:r>
      <w:r w:rsidR="00363786" w:rsidRPr="008D3C0D">
        <w:rPr>
          <w:rFonts w:ascii="Times New Roman" w:hAnsi="Times New Roman"/>
        </w:rPr>
        <w:t xml:space="preserve"> interview. </w:t>
      </w:r>
      <w:r w:rsidR="00513CA7" w:rsidRPr="008D3C0D">
        <w:rPr>
          <w:rFonts w:ascii="Times New Roman" w:hAnsi="Times New Roman"/>
        </w:rPr>
        <w:t xml:space="preserve">During that interview the appellant was asked </w:t>
      </w:r>
      <w:r w:rsidR="009817FA" w:rsidRPr="008D3C0D">
        <w:rPr>
          <w:rFonts w:ascii="Times New Roman" w:hAnsi="Times New Roman"/>
        </w:rPr>
        <w:t xml:space="preserve">why the complainant would make an allegation like this. He replied that </w:t>
      </w:r>
      <w:r w:rsidR="00E47347" w:rsidRPr="008D3C0D">
        <w:rPr>
          <w:rFonts w:ascii="Times New Roman" w:hAnsi="Times New Roman"/>
        </w:rPr>
        <w:t>the New South Wales aunt had "put [the complainant] up to it"</w:t>
      </w:r>
      <w:r w:rsidR="00377D2E" w:rsidRPr="008D3C0D">
        <w:rPr>
          <w:rFonts w:ascii="Times New Roman" w:hAnsi="Times New Roman"/>
        </w:rPr>
        <w:t xml:space="preserve"> and later added:</w:t>
      </w:r>
    </w:p>
    <w:p w14:paraId="6E3AF0D2" w14:textId="77777777" w:rsidR="008D3C0D" w:rsidRDefault="00377D2E" w:rsidP="008D3C0D">
      <w:pPr>
        <w:pStyle w:val="LeftrightafterHC"/>
        <w:spacing w:before="0" w:after="260" w:line="280" w:lineRule="exact"/>
        <w:ind w:right="0"/>
        <w:jc w:val="both"/>
        <w:rPr>
          <w:rFonts w:ascii="Times New Roman" w:hAnsi="Times New Roman"/>
        </w:rPr>
      </w:pPr>
      <w:r w:rsidRPr="008D3C0D">
        <w:rPr>
          <w:rFonts w:ascii="Times New Roman" w:hAnsi="Times New Roman"/>
        </w:rPr>
        <w:t>"</w:t>
      </w:r>
      <w:r w:rsidR="00F40799" w:rsidRPr="008D3C0D">
        <w:rPr>
          <w:rFonts w:ascii="Times New Roman" w:hAnsi="Times New Roman"/>
        </w:rPr>
        <w:t>Why do you think we got her out of the situation she was in? I didn't go [to] all that trouble and then do the, do the same sort of shit. Wouldn't touch a kid like that. It's, you</w:t>
      </w:r>
      <w:r w:rsidR="005F6D5E" w:rsidRPr="008D3C0D">
        <w:rPr>
          <w:rFonts w:ascii="Times New Roman" w:hAnsi="Times New Roman"/>
        </w:rPr>
        <w:t>'re making me sick. I've ---"</w:t>
      </w:r>
      <w:r w:rsidR="00DE77C9" w:rsidRPr="008D3C0D">
        <w:rPr>
          <w:rFonts w:ascii="Times New Roman" w:hAnsi="Times New Roman"/>
        </w:rPr>
        <w:t>.</w:t>
      </w:r>
    </w:p>
    <w:p w14:paraId="3D85B5CA" w14:textId="377713AF" w:rsidR="00E04B0F" w:rsidRPr="008D3C0D" w:rsidRDefault="00E04B0F" w:rsidP="008D3C0D">
      <w:pPr>
        <w:pStyle w:val="HeadingL2"/>
        <w:spacing w:after="260" w:line="280" w:lineRule="exact"/>
        <w:ind w:right="0"/>
        <w:jc w:val="both"/>
        <w:rPr>
          <w:rFonts w:ascii="Times New Roman" w:hAnsi="Times New Roman"/>
        </w:rPr>
      </w:pPr>
      <w:r w:rsidRPr="008D3C0D">
        <w:rPr>
          <w:rFonts w:ascii="Times New Roman" w:hAnsi="Times New Roman"/>
        </w:rPr>
        <w:t xml:space="preserve">The </w:t>
      </w:r>
      <w:proofErr w:type="spellStart"/>
      <w:r w:rsidRPr="008D3C0D">
        <w:rPr>
          <w:rFonts w:ascii="Times New Roman" w:hAnsi="Times New Roman"/>
        </w:rPr>
        <w:t>voir</w:t>
      </w:r>
      <w:proofErr w:type="spellEnd"/>
      <w:r w:rsidRPr="008D3C0D">
        <w:rPr>
          <w:rFonts w:ascii="Times New Roman" w:hAnsi="Times New Roman"/>
        </w:rPr>
        <w:t xml:space="preserve"> dire and the trial</w:t>
      </w:r>
    </w:p>
    <w:p w14:paraId="013F6D9B" w14:textId="49F38EDB" w:rsidR="0077224B" w:rsidRPr="008D3C0D" w:rsidRDefault="00E04B0F"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60425D" w:rsidRPr="008D3C0D">
        <w:rPr>
          <w:rFonts w:ascii="Times New Roman" w:hAnsi="Times New Roman"/>
        </w:rPr>
        <w:t xml:space="preserve">It has been </w:t>
      </w:r>
      <w:r w:rsidR="00851A12" w:rsidRPr="008D3C0D">
        <w:rPr>
          <w:rFonts w:ascii="Times New Roman" w:hAnsi="Times New Roman"/>
        </w:rPr>
        <w:t xml:space="preserve">common ground throughout these proceedings that the evidence related to the </w:t>
      </w:r>
      <w:r w:rsidR="00846200" w:rsidRPr="008D3C0D">
        <w:rPr>
          <w:rFonts w:ascii="Times New Roman" w:hAnsi="Times New Roman"/>
        </w:rPr>
        <w:t>Queensland conduct</w:t>
      </w:r>
      <w:r w:rsidR="00851A12" w:rsidRPr="008D3C0D">
        <w:rPr>
          <w:rFonts w:ascii="Times New Roman" w:hAnsi="Times New Roman"/>
        </w:rPr>
        <w:t xml:space="preserve"> was inadmissible under s</w:t>
      </w:r>
      <w:r w:rsidR="000C0BED" w:rsidRPr="008D3C0D">
        <w:rPr>
          <w:rFonts w:ascii="Times New Roman" w:hAnsi="Times New Roman"/>
        </w:rPr>
        <w:t> </w:t>
      </w:r>
      <w:r w:rsidR="00851A12" w:rsidRPr="008D3C0D">
        <w:rPr>
          <w:rFonts w:ascii="Times New Roman" w:hAnsi="Times New Roman"/>
        </w:rPr>
        <w:t xml:space="preserve">293(3) of the </w:t>
      </w:r>
      <w:r w:rsidR="00851A12" w:rsidRPr="008D3C0D">
        <w:rPr>
          <w:rFonts w:ascii="Times New Roman" w:hAnsi="Times New Roman"/>
          <w:i/>
          <w:iCs/>
        </w:rPr>
        <w:t>Criminal Procedure Act</w:t>
      </w:r>
      <w:r w:rsidR="00851A12" w:rsidRPr="008D3C0D">
        <w:rPr>
          <w:rFonts w:ascii="Times New Roman" w:hAnsi="Times New Roman"/>
        </w:rPr>
        <w:t xml:space="preserve"> unless it fell within an exception contained in s</w:t>
      </w:r>
      <w:r w:rsidR="000C0BED" w:rsidRPr="008D3C0D">
        <w:rPr>
          <w:rFonts w:ascii="Times New Roman" w:hAnsi="Times New Roman"/>
        </w:rPr>
        <w:t> </w:t>
      </w:r>
      <w:r w:rsidR="00851A12" w:rsidRPr="008D3C0D">
        <w:rPr>
          <w:rFonts w:ascii="Times New Roman" w:hAnsi="Times New Roman"/>
        </w:rPr>
        <w:t xml:space="preserve">293(4). </w:t>
      </w:r>
      <w:r w:rsidR="00191062" w:rsidRPr="008D3C0D">
        <w:rPr>
          <w:rFonts w:ascii="Times New Roman" w:hAnsi="Times New Roman"/>
        </w:rPr>
        <w:t xml:space="preserve">In the </w:t>
      </w:r>
      <w:proofErr w:type="spellStart"/>
      <w:r w:rsidR="00191062" w:rsidRPr="008D3C0D">
        <w:rPr>
          <w:rFonts w:ascii="Times New Roman" w:hAnsi="Times New Roman"/>
        </w:rPr>
        <w:t>voir</w:t>
      </w:r>
      <w:proofErr w:type="spellEnd"/>
      <w:r w:rsidR="00191062" w:rsidRPr="008D3C0D">
        <w:rPr>
          <w:rFonts w:ascii="Times New Roman" w:hAnsi="Times New Roman"/>
        </w:rPr>
        <w:t xml:space="preserve"> dire b</w:t>
      </w:r>
      <w:r w:rsidR="00CF1003" w:rsidRPr="008D3C0D">
        <w:rPr>
          <w:rFonts w:ascii="Times New Roman" w:hAnsi="Times New Roman"/>
        </w:rPr>
        <w:t>efore the trial judge, t</w:t>
      </w:r>
      <w:r w:rsidR="00097A0E" w:rsidRPr="008D3C0D">
        <w:rPr>
          <w:rFonts w:ascii="Times New Roman" w:hAnsi="Times New Roman"/>
        </w:rPr>
        <w:t>he appellant applied for a pre-trial ruling under s</w:t>
      </w:r>
      <w:r w:rsidR="000C0BED" w:rsidRPr="008D3C0D">
        <w:rPr>
          <w:rFonts w:ascii="Times New Roman" w:hAnsi="Times New Roman"/>
        </w:rPr>
        <w:t> </w:t>
      </w:r>
      <w:r w:rsidR="00097A0E" w:rsidRPr="008D3C0D">
        <w:rPr>
          <w:rFonts w:ascii="Times New Roman" w:hAnsi="Times New Roman"/>
        </w:rPr>
        <w:t xml:space="preserve">192A of the </w:t>
      </w:r>
      <w:r w:rsidR="00097A0E" w:rsidRPr="008D3C0D">
        <w:rPr>
          <w:rFonts w:ascii="Times New Roman" w:hAnsi="Times New Roman"/>
          <w:i/>
          <w:iCs/>
        </w:rPr>
        <w:t xml:space="preserve">Evidence Act 1995 </w:t>
      </w:r>
      <w:r w:rsidR="00097A0E" w:rsidRPr="008D3C0D">
        <w:rPr>
          <w:rFonts w:ascii="Times New Roman" w:hAnsi="Times New Roman"/>
        </w:rPr>
        <w:t>(NSW)</w:t>
      </w:r>
      <w:r w:rsidR="00297B2B" w:rsidRPr="008D3C0D">
        <w:rPr>
          <w:rFonts w:ascii="Times New Roman" w:hAnsi="Times New Roman"/>
        </w:rPr>
        <w:t xml:space="preserve"> </w:t>
      </w:r>
      <w:r w:rsidR="00CF1003" w:rsidRPr="008D3C0D">
        <w:rPr>
          <w:rFonts w:ascii="Times New Roman" w:hAnsi="Times New Roman"/>
        </w:rPr>
        <w:t xml:space="preserve">that </w:t>
      </w:r>
      <w:r w:rsidR="00F278FC" w:rsidRPr="008D3C0D">
        <w:rPr>
          <w:rFonts w:ascii="Times New Roman" w:hAnsi="Times New Roman"/>
        </w:rPr>
        <w:t>evidence</w:t>
      </w:r>
      <w:r w:rsidR="00864926" w:rsidRPr="008D3C0D">
        <w:rPr>
          <w:rFonts w:ascii="Times New Roman" w:hAnsi="Times New Roman"/>
        </w:rPr>
        <w:t xml:space="preserve"> of the complainant's </w:t>
      </w:r>
      <w:r w:rsidR="00A63765" w:rsidRPr="008D3C0D">
        <w:rPr>
          <w:rFonts w:ascii="Times New Roman" w:hAnsi="Times New Roman"/>
        </w:rPr>
        <w:t xml:space="preserve">reporting </w:t>
      </w:r>
      <w:r w:rsidR="003F5D72" w:rsidRPr="008D3C0D">
        <w:rPr>
          <w:rFonts w:ascii="Times New Roman" w:hAnsi="Times New Roman"/>
        </w:rPr>
        <w:t xml:space="preserve">and disclosures </w:t>
      </w:r>
      <w:r w:rsidR="00A63765" w:rsidRPr="008D3C0D">
        <w:rPr>
          <w:rFonts w:ascii="Times New Roman" w:hAnsi="Times New Roman"/>
        </w:rPr>
        <w:t xml:space="preserve">of </w:t>
      </w:r>
      <w:r w:rsidR="00CF1003" w:rsidRPr="008D3C0D">
        <w:rPr>
          <w:rFonts w:ascii="Times New Roman" w:hAnsi="Times New Roman"/>
        </w:rPr>
        <w:t xml:space="preserve">the </w:t>
      </w:r>
      <w:r w:rsidR="00B37D64" w:rsidRPr="008D3C0D">
        <w:rPr>
          <w:rFonts w:ascii="Times New Roman" w:hAnsi="Times New Roman"/>
        </w:rPr>
        <w:t xml:space="preserve">Queensland </w:t>
      </w:r>
      <w:r w:rsidR="008B6063" w:rsidRPr="008D3C0D">
        <w:rPr>
          <w:rFonts w:ascii="Times New Roman" w:hAnsi="Times New Roman"/>
        </w:rPr>
        <w:t xml:space="preserve">conduct </w:t>
      </w:r>
      <w:r w:rsidR="00D65B87" w:rsidRPr="008D3C0D">
        <w:rPr>
          <w:rFonts w:ascii="Times New Roman" w:hAnsi="Times New Roman"/>
        </w:rPr>
        <w:t xml:space="preserve">and </w:t>
      </w:r>
      <w:r w:rsidR="006636C4" w:rsidRPr="008D3C0D">
        <w:rPr>
          <w:rFonts w:ascii="Times New Roman" w:hAnsi="Times New Roman"/>
        </w:rPr>
        <w:t xml:space="preserve">evidence of </w:t>
      </w:r>
      <w:r w:rsidR="00D65B87" w:rsidRPr="008D3C0D">
        <w:rPr>
          <w:rFonts w:ascii="Times New Roman" w:hAnsi="Times New Roman"/>
        </w:rPr>
        <w:t xml:space="preserve">the fact of the proceedings concerning the Queensland </w:t>
      </w:r>
      <w:r w:rsidR="008B6063" w:rsidRPr="008D3C0D">
        <w:rPr>
          <w:rFonts w:ascii="Times New Roman" w:hAnsi="Times New Roman"/>
        </w:rPr>
        <w:t xml:space="preserve">conduct </w:t>
      </w:r>
      <w:r w:rsidR="00CF1003" w:rsidRPr="008D3C0D">
        <w:rPr>
          <w:rFonts w:ascii="Times New Roman" w:hAnsi="Times New Roman"/>
        </w:rPr>
        <w:t>w</w:t>
      </w:r>
      <w:r w:rsidR="00C12CA5" w:rsidRPr="008D3C0D">
        <w:rPr>
          <w:rFonts w:ascii="Times New Roman" w:hAnsi="Times New Roman"/>
        </w:rPr>
        <w:t>ere</w:t>
      </w:r>
      <w:r w:rsidR="00CF1003" w:rsidRPr="008D3C0D">
        <w:rPr>
          <w:rFonts w:ascii="Times New Roman" w:hAnsi="Times New Roman"/>
        </w:rPr>
        <w:t xml:space="preserve"> admissible by operation of the exception in s</w:t>
      </w:r>
      <w:r w:rsidR="006A6E67" w:rsidRPr="008D3C0D">
        <w:rPr>
          <w:rFonts w:ascii="Times New Roman" w:hAnsi="Times New Roman"/>
        </w:rPr>
        <w:t> </w:t>
      </w:r>
      <w:r w:rsidR="00CF1003" w:rsidRPr="008D3C0D">
        <w:rPr>
          <w:rFonts w:ascii="Times New Roman" w:hAnsi="Times New Roman"/>
        </w:rPr>
        <w:t xml:space="preserve">293(4)(b) of the </w:t>
      </w:r>
      <w:r w:rsidR="00CF1003" w:rsidRPr="008D3C0D">
        <w:rPr>
          <w:rFonts w:ascii="Times New Roman" w:hAnsi="Times New Roman"/>
          <w:i/>
          <w:iCs/>
        </w:rPr>
        <w:t>Criminal Procedure Act</w:t>
      </w:r>
      <w:r w:rsidR="00AD409A" w:rsidRPr="008D3C0D">
        <w:rPr>
          <w:rFonts w:ascii="Times New Roman" w:hAnsi="Times New Roman"/>
        </w:rPr>
        <w:t>.</w:t>
      </w:r>
    </w:p>
    <w:p w14:paraId="2FD5E613" w14:textId="4BE54CFA" w:rsidR="008F44F1" w:rsidRPr="008D3C0D" w:rsidRDefault="0077224B"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88263B" w:rsidRPr="008D3C0D">
        <w:rPr>
          <w:rFonts w:ascii="Times New Roman" w:hAnsi="Times New Roman"/>
        </w:rPr>
        <w:t>The evidence which the appellant sought to</w:t>
      </w:r>
      <w:r w:rsidR="00682081" w:rsidRPr="008D3C0D">
        <w:rPr>
          <w:rFonts w:ascii="Times New Roman" w:hAnsi="Times New Roman"/>
        </w:rPr>
        <w:t xml:space="preserve"> adduce in cross-examination</w:t>
      </w:r>
      <w:r w:rsidR="0086635B" w:rsidRPr="008D3C0D">
        <w:rPr>
          <w:rFonts w:ascii="Times New Roman" w:hAnsi="Times New Roman"/>
        </w:rPr>
        <w:t xml:space="preserve"> was set out in detail in a written application. </w:t>
      </w:r>
      <w:r w:rsidRPr="008D3C0D">
        <w:rPr>
          <w:rFonts w:ascii="Times New Roman" w:hAnsi="Times New Roman"/>
        </w:rPr>
        <w:t xml:space="preserve">As the trial judge observed, the appellant properly did not propose </w:t>
      </w:r>
      <w:r w:rsidR="006532C1" w:rsidRPr="008D3C0D">
        <w:rPr>
          <w:rFonts w:ascii="Times New Roman" w:hAnsi="Times New Roman"/>
        </w:rPr>
        <w:t>"</w:t>
      </w:r>
      <w:r w:rsidRPr="008D3C0D">
        <w:rPr>
          <w:rFonts w:ascii="Times New Roman" w:hAnsi="Times New Roman"/>
        </w:rPr>
        <w:t>to descend into any fine detail of the sexual offending itself".</w:t>
      </w:r>
      <w:r w:rsidRPr="008D3C0D">
        <w:rPr>
          <w:rStyle w:val="FootnoteReference"/>
          <w:rFonts w:ascii="Times New Roman" w:hAnsi="Times New Roman"/>
          <w:sz w:val="24"/>
        </w:rPr>
        <w:footnoteReference w:id="3"/>
      </w:r>
      <w:r w:rsidRPr="008D3C0D">
        <w:rPr>
          <w:rFonts w:ascii="Times New Roman" w:hAnsi="Times New Roman"/>
        </w:rPr>
        <w:t xml:space="preserve"> </w:t>
      </w:r>
      <w:r w:rsidR="0086635B" w:rsidRPr="008D3C0D">
        <w:rPr>
          <w:rFonts w:ascii="Times New Roman" w:hAnsi="Times New Roman"/>
        </w:rPr>
        <w:t>Th</w:t>
      </w:r>
      <w:r w:rsidRPr="008D3C0D">
        <w:rPr>
          <w:rFonts w:ascii="Times New Roman" w:hAnsi="Times New Roman"/>
        </w:rPr>
        <w:t xml:space="preserve">e proposed evidence </w:t>
      </w:r>
      <w:r w:rsidR="005536D8" w:rsidRPr="008D3C0D">
        <w:rPr>
          <w:rFonts w:ascii="Times New Roman" w:hAnsi="Times New Roman"/>
        </w:rPr>
        <w:t xml:space="preserve">in the </w:t>
      </w:r>
      <w:r w:rsidR="008B1790" w:rsidRPr="008D3C0D">
        <w:rPr>
          <w:rFonts w:ascii="Times New Roman" w:hAnsi="Times New Roman"/>
        </w:rPr>
        <w:t xml:space="preserve">application contained </w:t>
      </w:r>
      <w:r w:rsidR="00F84042" w:rsidRPr="008D3C0D">
        <w:rPr>
          <w:rFonts w:ascii="Times New Roman" w:hAnsi="Times New Roman"/>
        </w:rPr>
        <w:t xml:space="preserve">19 </w:t>
      </w:r>
      <w:r w:rsidR="008B1790" w:rsidRPr="008D3C0D">
        <w:rPr>
          <w:rFonts w:ascii="Times New Roman" w:hAnsi="Times New Roman"/>
        </w:rPr>
        <w:t>numbered paragraphs</w:t>
      </w:r>
      <w:r w:rsidR="001F0199" w:rsidRPr="008D3C0D">
        <w:rPr>
          <w:rFonts w:ascii="Times New Roman" w:hAnsi="Times New Roman"/>
        </w:rPr>
        <w:t>. Some paragraphs concern</w:t>
      </w:r>
      <w:r w:rsidR="00DE03F5" w:rsidRPr="008D3C0D">
        <w:rPr>
          <w:rFonts w:ascii="Times New Roman" w:hAnsi="Times New Roman"/>
        </w:rPr>
        <w:t>ed</w:t>
      </w:r>
      <w:r w:rsidR="001F0199" w:rsidRPr="008D3C0D">
        <w:rPr>
          <w:rFonts w:ascii="Times New Roman" w:hAnsi="Times New Roman"/>
        </w:rPr>
        <w:t xml:space="preserve"> matters that </w:t>
      </w:r>
      <w:r w:rsidR="001E3E3E" w:rsidRPr="008D3C0D">
        <w:rPr>
          <w:rFonts w:ascii="Times New Roman" w:hAnsi="Times New Roman"/>
        </w:rPr>
        <w:t xml:space="preserve">do not disclose or </w:t>
      </w:r>
      <w:r w:rsidR="001E3E3E" w:rsidRPr="008D3C0D">
        <w:rPr>
          <w:rFonts w:ascii="Times New Roman" w:hAnsi="Times New Roman"/>
        </w:rPr>
        <w:lastRenderedPageBreak/>
        <w:t xml:space="preserve">imply </w:t>
      </w:r>
      <w:r w:rsidR="005A42F3" w:rsidRPr="008D3C0D">
        <w:rPr>
          <w:rFonts w:ascii="Times New Roman" w:hAnsi="Times New Roman"/>
        </w:rPr>
        <w:t>any matters concerning sexual experience or sexual activity. For instance, paragraph</w:t>
      </w:r>
      <w:r w:rsidR="0002497F" w:rsidRPr="008D3C0D">
        <w:rPr>
          <w:rFonts w:ascii="Times New Roman" w:hAnsi="Times New Roman"/>
        </w:rPr>
        <w:t>s</w:t>
      </w:r>
      <w:r w:rsidR="005A42F3" w:rsidRPr="008D3C0D">
        <w:rPr>
          <w:rFonts w:ascii="Times New Roman" w:hAnsi="Times New Roman"/>
        </w:rPr>
        <w:t xml:space="preserve"> 1 </w:t>
      </w:r>
      <w:r w:rsidR="0002497F" w:rsidRPr="008D3C0D">
        <w:rPr>
          <w:rFonts w:ascii="Times New Roman" w:hAnsi="Times New Roman"/>
        </w:rPr>
        <w:t xml:space="preserve">and 2 described how the complainant was moved between "various houses and carers from birth until the age of seven" and that in early 2009, at the age of six, </w:t>
      </w:r>
      <w:r w:rsidR="008B77C7" w:rsidRPr="008D3C0D">
        <w:rPr>
          <w:rFonts w:ascii="Times New Roman" w:hAnsi="Times New Roman"/>
        </w:rPr>
        <w:t xml:space="preserve">the complainant lived with </w:t>
      </w:r>
      <w:r w:rsidR="005D2C28" w:rsidRPr="008D3C0D">
        <w:rPr>
          <w:rFonts w:ascii="Times New Roman" w:hAnsi="Times New Roman"/>
        </w:rPr>
        <w:t>the</w:t>
      </w:r>
      <w:r w:rsidR="008B77C7" w:rsidRPr="008D3C0D">
        <w:rPr>
          <w:rFonts w:ascii="Times New Roman" w:hAnsi="Times New Roman"/>
        </w:rPr>
        <w:t xml:space="preserve"> </w:t>
      </w:r>
      <w:r w:rsidR="004C48DD" w:rsidRPr="008D3C0D">
        <w:rPr>
          <w:rFonts w:ascii="Times New Roman" w:hAnsi="Times New Roman"/>
        </w:rPr>
        <w:t xml:space="preserve">Queensland </w:t>
      </w:r>
      <w:r w:rsidR="008B77C7" w:rsidRPr="008D3C0D">
        <w:rPr>
          <w:rFonts w:ascii="Times New Roman" w:hAnsi="Times New Roman"/>
        </w:rPr>
        <w:t>aunt and the Queensland offender</w:t>
      </w:r>
      <w:r w:rsidR="0073530A" w:rsidRPr="008D3C0D">
        <w:rPr>
          <w:rFonts w:ascii="Times New Roman" w:hAnsi="Times New Roman"/>
        </w:rPr>
        <w:t xml:space="preserve">. </w:t>
      </w:r>
      <w:r w:rsidR="00480592" w:rsidRPr="008D3C0D">
        <w:rPr>
          <w:rFonts w:ascii="Times New Roman" w:hAnsi="Times New Roman"/>
        </w:rPr>
        <w:t>Other paragraphs d</w:t>
      </w:r>
      <w:r w:rsidR="00806FA1" w:rsidRPr="008D3C0D">
        <w:rPr>
          <w:rFonts w:ascii="Times New Roman" w:hAnsi="Times New Roman"/>
        </w:rPr>
        <w:t xml:space="preserve">id relate to complaints of sexual offences </w:t>
      </w:r>
      <w:r w:rsidR="00FD237D" w:rsidRPr="008D3C0D">
        <w:rPr>
          <w:rFonts w:ascii="Times New Roman" w:hAnsi="Times New Roman"/>
        </w:rPr>
        <w:t xml:space="preserve">against </w:t>
      </w:r>
      <w:r w:rsidR="00806FA1" w:rsidRPr="008D3C0D">
        <w:rPr>
          <w:rFonts w:ascii="Times New Roman" w:hAnsi="Times New Roman"/>
        </w:rPr>
        <w:t xml:space="preserve">the complainant </w:t>
      </w:r>
      <w:r w:rsidR="006F32C1" w:rsidRPr="008D3C0D">
        <w:rPr>
          <w:rFonts w:ascii="Times New Roman" w:hAnsi="Times New Roman"/>
        </w:rPr>
        <w:t xml:space="preserve">by </w:t>
      </w:r>
      <w:r w:rsidR="00806FA1" w:rsidRPr="008D3C0D">
        <w:rPr>
          <w:rFonts w:ascii="Times New Roman" w:hAnsi="Times New Roman"/>
        </w:rPr>
        <w:t xml:space="preserve">the Queensland offender. </w:t>
      </w:r>
      <w:r w:rsidR="008F44F1" w:rsidRPr="008D3C0D">
        <w:rPr>
          <w:rFonts w:ascii="Times New Roman" w:hAnsi="Times New Roman"/>
        </w:rPr>
        <w:t>Those paragraphs</w:t>
      </w:r>
      <w:r w:rsidR="009C44C6" w:rsidRPr="008D3C0D">
        <w:rPr>
          <w:rFonts w:ascii="Times New Roman" w:hAnsi="Times New Roman"/>
        </w:rPr>
        <w:t xml:space="preserve"> concern</w:t>
      </w:r>
      <w:r w:rsidR="00DE03F5" w:rsidRPr="008D3C0D">
        <w:rPr>
          <w:rFonts w:ascii="Times New Roman" w:hAnsi="Times New Roman"/>
        </w:rPr>
        <w:t>ed</w:t>
      </w:r>
      <w:r w:rsidR="009C44C6" w:rsidRPr="008D3C0D">
        <w:rPr>
          <w:rFonts w:ascii="Times New Roman" w:hAnsi="Times New Roman"/>
        </w:rPr>
        <w:t xml:space="preserve"> evidence</w:t>
      </w:r>
      <w:r w:rsidR="002B4270" w:rsidRPr="008D3C0D">
        <w:rPr>
          <w:rFonts w:ascii="Times New Roman" w:hAnsi="Times New Roman"/>
        </w:rPr>
        <w:t xml:space="preserve"> ("the Queensland evidence"</w:t>
      </w:r>
      <w:r w:rsidR="00E645EA" w:rsidRPr="008D3C0D">
        <w:rPr>
          <w:rFonts w:ascii="Times New Roman" w:hAnsi="Times New Roman"/>
        </w:rPr>
        <w:t>)</w:t>
      </w:r>
      <w:r w:rsidR="002B4270" w:rsidRPr="008D3C0D">
        <w:rPr>
          <w:rFonts w:ascii="Times New Roman" w:hAnsi="Times New Roman"/>
        </w:rPr>
        <w:t xml:space="preserve"> that </w:t>
      </w:r>
      <w:r w:rsidR="008F44F1" w:rsidRPr="008D3C0D">
        <w:rPr>
          <w:rFonts w:ascii="Times New Roman" w:hAnsi="Times New Roman"/>
        </w:rPr>
        <w:t xml:space="preserve">can be divided into </w:t>
      </w:r>
      <w:r w:rsidR="00AD3C3C" w:rsidRPr="008D3C0D">
        <w:rPr>
          <w:rFonts w:ascii="Times New Roman" w:hAnsi="Times New Roman"/>
        </w:rPr>
        <w:t>four</w:t>
      </w:r>
      <w:r w:rsidR="008F44F1" w:rsidRPr="008D3C0D">
        <w:rPr>
          <w:rFonts w:ascii="Times New Roman" w:hAnsi="Times New Roman"/>
        </w:rPr>
        <w:t xml:space="preserve"> categories:</w:t>
      </w:r>
    </w:p>
    <w:p w14:paraId="7E52A193" w14:textId="2D5CCFB8" w:rsidR="00574921" w:rsidRPr="008D3C0D" w:rsidRDefault="005623F2" w:rsidP="008D3C0D">
      <w:pPr>
        <w:pStyle w:val="NormalBody"/>
        <w:spacing w:after="260" w:line="280" w:lineRule="exact"/>
        <w:ind w:left="720" w:right="0" w:hanging="720"/>
        <w:jc w:val="both"/>
        <w:rPr>
          <w:rFonts w:ascii="Times New Roman" w:hAnsi="Times New Roman"/>
        </w:rPr>
      </w:pPr>
      <w:r w:rsidRPr="008D3C0D">
        <w:rPr>
          <w:rFonts w:ascii="Times New Roman" w:hAnsi="Times New Roman"/>
        </w:rPr>
        <w:t>1.</w:t>
      </w:r>
      <w:r w:rsidRPr="008D3C0D">
        <w:rPr>
          <w:rFonts w:ascii="Times New Roman" w:hAnsi="Times New Roman"/>
        </w:rPr>
        <w:tab/>
      </w:r>
      <w:r w:rsidR="00A47995" w:rsidRPr="008D3C0D">
        <w:rPr>
          <w:rFonts w:ascii="Times New Roman" w:hAnsi="Times New Roman"/>
          <w:b/>
          <w:bCs/>
        </w:rPr>
        <w:t xml:space="preserve">The </w:t>
      </w:r>
      <w:r w:rsidR="000A76D6" w:rsidRPr="008D3C0D">
        <w:rPr>
          <w:rFonts w:ascii="Times New Roman" w:hAnsi="Times New Roman"/>
          <w:b/>
          <w:bCs/>
        </w:rPr>
        <w:t xml:space="preserve">Queensland </w:t>
      </w:r>
      <w:proofErr w:type="gramStart"/>
      <w:r w:rsidR="000A76D6" w:rsidRPr="008D3C0D">
        <w:rPr>
          <w:rFonts w:ascii="Times New Roman" w:hAnsi="Times New Roman"/>
          <w:b/>
          <w:bCs/>
        </w:rPr>
        <w:t>conduct</w:t>
      </w:r>
      <w:proofErr w:type="gramEnd"/>
      <w:r w:rsidR="00A47995" w:rsidRPr="00C8118C">
        <w:rPr>
          <w:rFonts w:ascii="Times New Roman" w:hAnsi="Times New Roman"/>
          <w:lang w:eastAsia="en-AU"/>
        </w:rPr>
        <w:t>.</w:t>
      </w:r>
      <w:r w:rsidR="00A47995" w:rsidRPr="008D3C0D">
        <w:rPr>
          <w:rFonts w:ascii="Times New Roman" w:hAnsi="Times New Roman"/>
          <w:b/>
          <w:bCs/>
          <w:lang w:eastAsia="en-AU"/>
        </w:rPr>
        <w:t xml:space="preserve"> </w:t>
      </w:r>
      <w:r w:rsidR="006D1B94" w:rsidRPr="008D3C0D">
        <w:rPr>
          <w:rFonts w:ascii="Times New Roman" w:hAnsi="Times New Roman"/>
        </w:rPr>
        <w:t xml:space="preserve">The </w:t>
      </w:r>
      <w:r w:rsidR="000A76D6" w:rsidRPr="008D3C0D">
        <w:rPr>
          <w:rFonts w:ascii="Times New Roman" w:hAnsi="Times New Roman"/>
        </w:rPr>
        <w:t xml:space="preserve">Queensland conduct </w:t>
      </w:r>
      <w:r w:rsidR="00FC13A6" w:rsidRPr="008D3C0D">
        <w:rPr>
          <w:rFonts w:ascii="Times New Roman" w:hAnsi="Times New Roman"/>
        </w:rPr>
        <w:t xml:space="preserve">was described </w:t>
      </w:r>
      <w:r w:rsidR="00CF06DA" w:rsidRPr="008D3C0D">
        <w:rPr>
          <w:rFonts w:ascii="Times New Roman" w:hAnsi="Times New Roman"/>
        </w:rPr>
        <w:t xml:space="preserve">either in general terms </w:t>
      </w:r>
      <w:r w:rsidR="005D6DDE" w:rsidRPr="008D3C0D">
        <w:rPr>
          <w:rFonts w:ascii="Times New Roman" w:hAnsi="Times New Roman"/>
        </w:rPr>
        <w:t>("[the Queensland offender</w:t>
      </w:r>
      <w:r w:rsidR="00B350C4" w:rsidRPr="008D3C0D">
        <w:rPr>
          <w:rFonts w:ascii="Times New Roman" w:hAnsi="Times New Roman"/>
        </w:rPr>
        <w:t>] sexually assaulted [the complainant]"</w:t>
      </w:r>
      <w:r w:rsidR="001A73C9" w:rsidRPr="008D3C0D">
        <w:rPr>
          <w:rFonts w:ascii="Times New Roman" w:hAnsi="Times New Roman"/>
        </w:rPr>
        <w:t xml:space="preserve"> </w:t>
      </w:r>
      <w:r w:rsidR="00B350C4" w:rsidRPr="008D3C0D">
        <w:rPr>
          <w:rFonts w:ascii="Times New Roman" w:hAnsi="Times New Roman"/>
        </w:rPr>
        <w:t>(paragraph 3</w:t>
      </w:r>
      <w:r w:rsidR="00B350C4" w:rsidRPr="008D3C0D" w:rsidDel="003F5A04">
        <w:rPr>
          <w:rFonts w:ascii="Times New Roman" w:hAnsi="Times New Roman"/>
        </w:rPr>
        <w:t>)</w:t>
      </w:r>
      <w:r w:rsidR="00AF14C3" w:rsidRPr="008D3C0D">
        <w:rPr>
          <w:rFonts w:ascii="Times New Roman" w:hAnsi="Times New Roman"/>
        </w:rPr>
        <w:t>)</w:t>
      </w:r>
      <w:r w:rsidR="00B350C4" w:rsidRPr="008D3C0D">
        <w:rPr>
          <w:rFonts w:ascii="Times New Roman" w:hAnsi="Times New Roman"/>
        </w:rPr>
        <w:t xml:space="preserve"> or in more particular</w:t>
      </w:r>
      <w:r w:rsidR="007078DB" w:rsidRPr="008D3C0D">
        <w:rPr>
          <w:rFonts w:ascii="Times New Roman" w:hAnsi="Times New Roman"/>
        </w:rPr>
        <w:t>,</w:t>
      </w:r>
      <w:r w:rsidR="00B350C4" w:rsidRPr="008D3C0D">
        <w:rPr>
          <w:rFonts w:ascii="Times New Roman" w:hAnsi="Times New Roman"/>
        </w:rPr>
        <w:t xml:space="preserve"> </w:t>
      </w:r>
      <w:r w:rsidR="00FC13A6" w:rsidRPr="008D3C0D">
        <w:rPr>
          <w:rFonts w:ascii="Times New Roman" w:hAnsi="Times New Roman"/>
        </w:rPr>
        <w:t xml:space="preserve">but still </w:t>
      </w:r>
      <w:r w:rsidR="0079640E" w:rsidRPr="008D3C0D">
        <w:rPr>
          <w:rFonts w:ascii="Times New Roman" w:hAnsi="Times New Roman"/>
        </w:rPr>
        <w:t xml:space="preserve">in </w:t>
      </w:r>
      <w:r w:rsidR="00FC13A6" w:rsidRPr="008D3C0D">
        <w:rPr>
          <w:rFonts w:ascii="Times New Roman" w:hAnsi="Times New Roman"/>
        </w:rPr>
        <w:t>generalised</w:t>
      </w:r>
      <w:r w:rsidR="007078DB" w:rsidRPr="008D3C0D">
        <w:rPr>
          <w:rFonts w:ascii="Times New Roman" w:hAnsi="Times New Roman"/>
        </w:rPr>
        <w:t>,</w:t>
      </w:r>
      <w:r w:rsidR="00FC13A6" w:rsidRPr="008D3C0D">
        <w:rPr>
          <w:rFonts w:ascii="Times New Roman" w:hAnsi="Times New Roman"/>
        </w:rPr>
        <w:t xml:space="preserve"> </w:t>
      </w:r>
      <w:r w:rsidR="00B350C4" w:rsidRPr="008D3C0D">
        <w:rPr>
          <w:rFonts w:ascii="Times New Roman" w:hAnsi="Times New Roman"/>
        </w:rPr>
        <w:t xml:space="preserve">terms </w:t>
      </w:r>
      <w:r w:rsidR="00CF06DA" w:rsidRPr="008D3C0D">
        <w:rPr>
          <w:rFonts w:ascii="Times New Roman" w:hAnsi="Times New Roman"/>
        </w:rPr>
        <w:t>("[12] sexual assault offences including 4 rapes</w:t>
      </w:r>
      <w:r w:rsidR="005D6DDE" w:rsidRPr="008D3C0D">
        <w:rPr>
          <w:rFonts w:ascii="Times New Roman" w:hAnsi="Times New Roman"/>
        </w:rPr>
        <w:t>"</w:t>
      </w:r>
      <w:r w:rsidR="00A80F77" w:rsidRPr="008D3C0D">
        <w:rPr>
          <w:rFonts w:ascii="Times New Roman" w:hAnsi="Times New Roman"/>
        </w:rPr>
        <w:t xml:space="preserve"> </w:t>
      </w:r>
      <w:r w:rsidR="00E20AB3" w:rsidRPr="008D3C0D">
        <w:rPr>
          <w:rFonts w:ascii="Times New Roman" w:hAnsi="Times New Roman"/>
        </w:rPr>
        <w:t>(para</w:t>
      </w:r>
      <w:r w:rsidR="00A96400" w:rsidRPr="008D3C0D">
        <w:rPr>
          <w:rFonts w:ascii="Times New Roman" w:hAnsi="Times New Roman"/>
        </w:rPr>
        <w:t>graph</w:t>
      </w:r>
      <w:r w:rsidR="00E20AB3" w:rsidRPr="008D3C0D">
        <w:rPr>
          <w:rFonts w:ascii="Times New Roman" w:hAnsi="Times New Roman"/>
        </w:rPr>
        <w:t xml:space="preserve"> 10)</w:t>
      </w:r>
      <w:r w:rsidR="00276499" w:rsidRPr="008D3C0D">
        <w:rPr>
          <w:rFonts w:ascii="Times New Roman" w:hAnsi="Times New Roman"/>
        </w:rPr>
        <w:t>)</w:t>
      </w:r>
      <w:r w:rsidR="00574921" w:rsidRPr="008D3C0D">
        <w:rPr>
          <w:rFonts w:ascii="Times New Roman" w:hAnsi="Times New Roman"/>
        </w:rPr>
        <w:t>.</w:t>
      </w:r>
    </w:p>
    <w:p w14:paraId="66E4C914" w14:textId="2D0109AC" w:rsidR="00837D2D" w:rsidRPr="008D3C0D" w:rsidRDefault="001C4488" w:rsidP="008D3C0D">
      <w:pPr>
        <w:pStyle w:val="NormalBody"/>
        <w:spacing w:after="260" w:line="280" w:lineRule="exact"/>
        <w:ind w:left="720" w:right="0" w:hanging="720"/>
        <w:jc w:val="both"/>
        <w:rPr>
          <w:rFonts w:ascii="Times New Roman" w:hAnsi="Times New Roman"/>
        </w:rPr>
      </w:pPr>
      <w:r w:rsidRPr="008D3C0D">
        <w:rPr>
          <w:rFonts w:ascii="Times New Roman" w:hAnsi="Times New Roman"/>
        </w:rPr>
        <w:t>2.</w:t>
      </w:r>
      <w:r w:rsidRPr="008D3C0D">
        <w:rPr>
          <w:rFonts w:ascii="Times New Roman" w:hAnsi="Times New Roman"/>
        </w:rPr>
        <w:tab/>
      </w:r>
      <w:r w:rsidR="00837D2D" w:rsidRPr="008D3C0D">
        <w:rPr>
          <w:rFonts w:ascii="Times New Roman" w:hAnsi="Times New Roman"/>
          <w:b/>
          <w:bCs/>
        </w:rPr>
        <w:t xml:space="preserve">The disclosures to </w:t>
      </w:r>
      <w:r w:rsidR="004779F0" w:rsidRPr="008D3C0D">
        <w:rPr>
          <w:rFonts w:ascii="Times New Roman" w:hAnsi="Times New Roman"/>
          <w:b/>
          <w:bCs/>
        </w:rPr>
        <w:t>the father and stepmother</w:t>
      </w:r>
      <w:r w:rsidR="00837D2D" w:rsidRPr="00C8118C">
        <w:rPr>
          <w:rFonts w:ascii="Times New Roman" w:hAnsi="Times New Roman"/>
          <w:lang w:eastAsia="en-AU"/>
        </w:rPr>
        <w:t>.</w:t>
      </w:r>
      <w:r w:rsidR="00837D2D" w:rsidRPr="008D3C0D">
        <w:rPr>
          <w:rFonts w:ascii="Times New Roman" w:hAnsi="Times New Roman"/>
          <w:b/>
          <w:bCs/>
          <w:lang w:eastAsia="en-AU"/>
        </w:rPr>
        <w:t xml:space="preserve"> </w:t>
      </w:r>
      <w:r w:rsidR="00837D2D" w:rsidRPr="008D3C0D">
        <w:rPr>
          <w:rFonts w:ascii="Times New Roman" w:hAnsi="Times New Roman"/>
        </w:rPr>
        <w:t>Th</w:t>
      </w:r>
      <w:r w:rsidR="00231D39" w:rsidRPr="008D3C0D">
        <w:rPr>
          <w:rFonts w:ascii="Times New Roman" w:hAnsi="Times New Roman"/>
        </w:rPr>
        <w:t>is</w:t>
      </w:r>
      <w:r w:rsidR="005738DC" w:rsidRPr="008D3C0D">
        <w:rPr>
          <w:rFonts w:ascii="Times New Roman" w:hAnsi="Times New Roman"/>
        </w:rPr>
        <w:t xml:space="preserve"> evidence concerned</w:t>
      </w:r>
      <w:r w:rsidR="00837D2D" w:rsidRPr="008D3C0D">
        <w:rPr>
          <w:rFonts w:ascii="Times New Roman" w:hAnsi="Times New Roman"/>
        </w:rPr>
        <w:t xml:space="preserve"> disclosures of the Queensland </w:t>
      </w:r>
      <w:r w:rsidR="007F6705" w:rsidRPr="008D3C0D">
        <w:rPr>
          <w:rFonts w:ascii="Times New Roman" w:hAnsi="Times New Roman"/>
        </w:rPr>
        <w:t xml:space="preserve">conduct </w:t>
      </w:r>
      <w:r w:rsidR="00837D2D" w:rsidRPr="008D3C0D">
        <w:rPr>
          <w:rFonts w:ascii="Times New Roman" w:hAnsi="Times New Roman"/>
        </w:rPr>
        <w:t>by the complainant to her father and stepmother, who "did nothing"</w:t>
      </w:r>
      <w:r w:rsidR="00E20AB3" w:rsidRPr="008D3C0D">
        <w:rPr>
          <w:rFonts w:ascii="Times New Roman" w:hAnsi="Times New Roman"/>
        </w:rPr>
        <w:t xml:space="preserve"> (para</w:t>
      </w:r>
      <w:r w:rsidR="00A96400" w:rsidRPr="008D3C0D">
        <w:rPr>
          <w:rFonts w:ascii="Times New Roman" w:hAnsi="Times New Roman"/>
        </w:rPr>
        <w:t>graph</w:t>
      </w:r>
      <w:r w:rsidR="00E20AB3" w:rsidRPr="008D3C0D">
        <w:rPr>
          <w:rFonts w:ascii="Times New Roman" w:hAnsi="Times New Roman"/>
        </w:rPr>
        <w:t xml:space="preserve"> 4)</w:t>
      </w:r>
      <w:r w:rsidR="00837D2D" w:rsidRPr="008D3C0D">
        <w:rPr>
          <w:rFonts w:ascii="Times New Roman" w:hAnsi="Times New Roman"/>
        </w:rPr>
        <w:t xml:space="preserve">. </w:t>
      </w:r>
    </w:p>
    <w:p w14:paraId="189BDFBD" w14:textId="392C0735" w:rsidR="001D3FC5" w:rsidRPr="008D3C0D" w:rsidRDefault="005623F2" w:rsidP="008D3C0D">
      <w:pPr>
        <w:pStyle w:val="NormalBody"/>
        <w:spacing w:after="260" w:line="280" w:lineRule="exact"/>
        <w:ind w:left="720" w:right="0" w:hanging="720"/>
        <w:jc w:val="both"/>
        <w:rPr>
          <w:rFonts w:ascii="Times New Roman" w:hAnsi="Times New Roman"/>
        </w:rPr>
      </w:pPr>
      <w:r w:rsidRPr="008D3C0D">
        <w:rPr>
          <w:rFonts w:ascii="Times New Roman" w:hAnsi="Times New Roman"/>
        </w:rPr>
        <w:t>3.</w:t>
      </w:r>
      <w:r w:rsidRPr="008D3C0D">
        <w:rPr>
          <w:rFonts w:ascii="Times New Roman" w:hAnsi="Times New Roman"/>
        </w:rPr>
        <w:tab/>
      </w:r>
      <w:r w:rsidR="00A47995" w:rsidRPr="008D3C0D">
        <w:rPr>
          <w:rFonts w:ascii="Times New Roman" w:hAnsi="Times New Roman"/>
          <w:b/>
          <w:bCs/>
        </w:rPr>
        <w:t>The disclosures to the appellant</w:t>
      </w:r>
      <w:r w:rsidR="00A47995" w:rsidRPr="008D3C0D">
        <w:rPr>
          <w:rFonts w:ascii="Times New Roman" w:hAnsi="Times New Roman"/>
        </w:rPr>
        <w:t xml:space="preserve">. </w:t>
      </w:r>
      <w:r w:rsidR="00E61932" w:rsidRPr="008D3C0D">
        <w:rPr>
          <w:rFonts w:ascii="Times New Roman" w:hAnsi="Times New Roman"/>
        </w:rPr>
        <w:t>Th</w:t>
      </w:r>
      <w:r w:rsidR="001D5E62" w:rsidRPr="008D3C0D">
        <w:rPr>
          <w:rFonts w:ascii="Times New Roman" w:hAnsi="Times New Roman"/>
        </w:rPr>
        <w:t>is evidence concerned the</w:t>
      </w:r>
      <w:r w:rsidR="00E61932" w:rsidRPr="008D3C0D">
        <w:rPr>
          <w:rFonts w:ascii="Times New Roman" w:hAnsi="Times New Roman"/>
        </w:rPr>
        <w:t xml:space="preserve"> disclosure in late 2010</w:t>
      </w:r>
      <w:r w:rsidR="005D24A7" w:rsidRPr="008D3C0D">
        <w:rPr>
          <w:rFonts w:ascii="Times New Roman" w:hAnsi="Times New Roman"/>
        </w:rPr>
        <w:t xml:space="preserve"> by the complainant to the appellant</w:t>
      </w:r>
      <w:r w:rsidR="00E61932" w:rsidRPr="008D3C0D">
        <w:rPr>
          <w:rFonts w:ascii="Times New Roman" w:hAnsi="Times New Roman"/>
        </w:rPr>
        <w:t xml:space="preserve">, "progressively </w:t>
      </w:r>
      <w:r w:rsidR="005D24A7" w:rsidRPr="008D3C0D">
        <w:rPr>
          <w:rFonts w:ascii="Times New Roman" w:hAnsi="Times New Roman"/>
        </w:rPr>
        <w:t>... over a period of around a week"</w:t>
      </w:r>
      <w:r w:rsidR="00384795" w:rsidRPr="008D3C0D">
        <w:rPr>
          <w:rFonts w:ascii="Times New Roman" w:hAnsi="Times New Roman"/>
        </w:rPr>
        <w:t>,</w:t>
      </w:r>
      <w:r w:rsidR="005D24A7" w:rsidRPr="008D3C0D">
        <w:rPr>
          <w:rFonts w:ascii="Times New Roman" w:hAnsi="Times New Roman"/>
        </w:rPr>
        <w:t xml:space="preserve"> </w:t>
      </w:r>
      <w:r w:rsidR="001D3FC5" w:rsidRPr="008D3C0D">
        <w:rPr>
          <w:rFonts w:ascii="Times New Roman" w:hAnsi="Times New Roman"/>
        </w:rPr>
        <w:t>that she had been sexually assaulted by the Queensland offender (paragraph</w:t>
      </w:r>
      <w:r w:rsidR="00746CB7" w:rsidRPr="008D3C0D">
        <w:rPr>
          <w:rFonts w:ascii="Times New Roman" w:hAnsi="Times New Roman"/>
        </w:rPr>
        <w:t>s</w:t>
      </w:r>
      <w:r w:rsidR="001D3FC5" w:rsidRPr="008D3C0D">
        <w:rPr>
          <w:rFonts w:ascii="Times New Roman" w:hAnsi="Times New Roman"/>
        </w:rPr>
        <w:t xml:space="preserve"> 7</w:t>
      </w:r>
      <w:r w:rsidR="00746CB7" w:rsidRPr="008D3C0D">
        <w:rPr>
          <w:rFonts w:ascii="Times New Roman" w:hAnsi="Times New Roman"/>
        </w:rPr>
        <w:t xml:space="preserve"> and 11</w:t>
      </w:r>
      <w:r w:rsidR="001D3FC5" w:rsidRPr="008D3C0D">
        <w:rPr>
          <w:rFonts w:ascii="Times New Roman" w:hAnsi="Times New Roman"/>
        </w:rPr>
        <w:t>)</w:t>
      </w:r>
      <w:r w:rsidR="00A47995" w:rsidRPr="008D3C0D">
        <w:rPr>
          <w:rFonts w:ascii="Times New Roman" w:hAnsi="Times New Roman"/>
        </w:rPr>
        <w:t>.</w:t>
      </w:r>
    </w:p>
    <w:p w14:paraId="5D3FE5BD" w14:textId="7D3CA9F5" w:rsidR="00191062" w:rsidRPr="008D3C0D" w:rsidRDefault="006A3FDF" w:rsidP="008D3C0D">
      <w:pPr>
        <w:pStyle w:val="NormalBody"/>
        <w:spacing w:after="260" w:line="280" w:lineRule="exact"/>
        <w:ind w:left="720" w:right="0" w:hanging="720"/>
        <w:jc w:val="both"/>
        <w:rPr>
          <w:rFonts w:ascii="Times New Roman" w:hAnsi="Times New Roman"/>
        </w:rPr>
      </w:pPr>
      <w:r w:rsidRPr="008D3C0D">
        <w:rPr>
          <w:rFonts w:ascii="Times New Roman" w:hAnsi="Times New Roman"/>
        </w:rPr>
        <w:t>4.</w:t>
      </w:r>
      <w:r w:rsidRPr="008D3C0D">
        <w:rPr>
          <w:rFonts w:ascii="Times New Roman" w:hAnsi="Times New Roman"/>
        </w:rPr>
        <w:tab/>
      </w:r>
      <w:r w:rsidR="00D71472" w:rsidRPr="008D3C0D">
        <w:rPr>
          <w:rFonts w:ascii="Times New Roman" w:hAnsi="Times New Roman"/>
          <w:b/>
          <w:bCs/>
        </w:rPr>
        <w:t>The investigation</w:t>
      </w:r>
      <w:r w:rsidR="004779F0" w:rsidRPr="008D3C0D">
        <w:rPr>
          <w:rFonts w:ascii="Times New Roman" w:hAnsi="Times New Roman"/>
          <w:b/>
          <w:bCs/>
        </w:rPr>
        <w:t xml:space="preserve">, </w:t>
      </w:r>
      <w:r w:rsidR="00D71472" w:rsidRPr="008D3C0D">
        <w:rPr>
          <w:rFonts w:ascii="Times New Roman" w:hAnsi="Times New Roman"/>
          <w:b/>
          <w:bCs/>
        </w:rPr>
        <w:t>prosecution</w:t>
      </w:r>
      <w:r w:rsidR="004779F0" w:rsidRPr="008D3C0D">
        <w:rPr>
          <w:rFonts w:ascii="Times New Roman" w:hAnsi="Times New Roman"/>
          <w:b/>
          <w:bCs/>
        </w:rPr>
        <w:t xml:space="preserve"> and conviction</w:t>
      </w:r>
      <w:r w:rsidR="00D71472" w:rsidRPr="008D3C0D">
        <w:rPr>
          <w:rFonts w:ascii="Times New Roman" w:hAnsi="Times New Roman"/>
          <w:b/>
          <w:bCs/>
        </w:rPr>
        <w:t xml:space="preserve"> of the Queensland offend</w:t>
      </w:r>
      <w:r w:rsidR="008113A5" w:rsidRPr="008D3C0D">
        <w:rPr>
          <w:rFonts w:ascii="Times New Roman" w:hAnsi="Times New Roman"/>
          <w:b/>
          <w:bCs/>
        </w:rPr>
        <w:t>er</w:t>
      </w:r>
      <w:r w:rsidR="00D71472" w:rsidRPr="008D3C0D">
        <w:rPr>
          <w:rFonts w:ascii="Times New Roman" w:hAnsi="Times New Roman"/>
        </w:rPr>
        <w:t xml:space="preserve">. </w:t>
      </w:r>
      <w:r w:rsidR="00681B5B" w:rsidRPr="008D3C0D">
        <w:rPr>
          <w:rFonts w:ascii="Times New Roman" w:hAnsi="Times New Roman"/>
        </w:rPr>
        <w:t>Th</w:t>
      </w:r>
      <w:r w:rsidR="00B6635B" w:rsidRPr="008D3C0D">
        <w:rPr>
          <w:rFonts w:ascii="Times New Roman" w:hAnsi="Times New Roman"/>
        </w:rPr>
        <w:t>is evidence concern</w:t>
      </w:r>
      <w:r w:rsidR="00681B5B" w:rsidRPr="008D3C0D">
        <w:rPr>
          <w:rFonts w:ascii="Times New Roman" w:hAnsi="Times New Roman"/>
        </w:rPr>
        <w:t>e</w:t>
      </w:r>
      <w:r w:rsidR="00B6635B" w:rsidRPr="008D3C0D">
        <w:rPr>
          <w:rFonts w:ascii="Times New Roman" w:hAnsi="Times New Roman"/>
        </w:rPr>
        <w:t>d</w:t>
      </w:r>
      <w:r w:rsidR="00933AC6" w:rsidRPr="008D3C0D">
        <w:rPr>
          <w:rFonts w:ascii="Times New Roman" w:hAnsi="Times New Roman"/>
        </w:rPr>
        <w:t xml:space="preserve"> the</w:t>
      </w:r>
      <w:r w:rsidR="00CC201E" w:rsidRPr="008D3C0D">
        <w:rPr>
          <w:rFonts w:ascii="Times New Roman" w:hAnsi="Times New Roman"/>
        </w:rPr>
        <w:t xml:space="preserve"> interview of the complainant by police </w:t>
      </w:r>
      <w:r w:rsidR="00C87E40" w:rsidRPr="008D3C0D">
        <w:rPr>
          <w:rFonts w:ascii="Times New Roman" w:hAnsi="Times New Roman"/>
        </w:rPr>
        <w:t xml:space="preserve">and sexual assault counsellors </w:t>
      </w:r>
      <w:r w:rsidR="00CC201E" w:rsidRPr="008D3C0D">
        <w:rPr>
          <w:rFonts w:ascii="Times New Roman" w:hAnsi="Times New Roman"/>
        </w:rPr>
        <w:t>(para</w:t>
      </w:r>
      <w:r w:rsidR="003E29CE" w:rsidRPr="008D3C0D">
        <w:rPr>
          <w:rFonts w:ascii="Times New Roman" w:hAnsi="Times New Roman"/>
        </w:rPr>
        <w:t>graph </w:t>
      </w:r>
      <w:r w:rsidR="00C87E40" w:rsidRPr="008D3C0D">
        <w:rPr>
          <w:rFonts w:ascii="Times New Roman" w:hAnsi="Times New Roman"/>
        </w:rPr>
        <w:t>9</w:t>
      </w:r>
      <w:r w:rsidR="00CC201E" w:rsidRPr="008D3C0D">
        <w:rPr>
          <w:rFonts w:ascii="Times New Roman" w:hAnsi="Times New Roman"/>
        </w:rPr>
        <w:t>)</w:t>
      </w:r>
      <w:r w:rsidR="008113A5" w:rsidRPr="008D3C0D">
        <w:rPr>
          <w:rFonts w:ascii="Times New Roman" w:hAnsi="Times New Roman"/>
        </w:rPr>
        <w:t>;</w:t>
      </w:r>
      <w:r w:rsidR="00C87E40" w:rsidRPr="008D3C0D">
        <w:rPr>
          <w:rFonts w:ascii="Times New Roman" w:hAnsi="Times New Roman"/>
        </w:rPr>
        <w:t xml:space="preserve"> the holding of a committal hearing on 20 A</w:t>
      </w:r>
      <w:r w:rsidR="00BF1546" w:rsidRPr="008D3C0D">
        <w:rPr>
          <w:rFonts w:ascii="Times New Roman" w:hAnsi="Times New Roman"/>
        </w:rPr>
        <w:t>pril 2011</w:t>
      </w:r>
      <w:r w:rsidR="00C455E5" w:rsidRPr="008D3C0D">
        <w:rPr>
          <w:rFonts w:ascii="Times New Roman" w:hAnsi="Times New Roman"/>
        </w:rPr>
        <w:t xml:space="preserve"> (para</w:t>
      </w:r>
      <w:r w:rsidR="003E29CE" w:rsidRPr="008D3C0D">
        <w:rPr>
          <w:rFonts w:ascii="Times New Roman" w:hAnsi="Times New Roman"/>
        </w:rPr>
        <w:t>graph </w:t>
      </w:r>
      <w:r w:rsidR="00C455E5" w:rsidRPr="008D3C0D">
        <w:rPr>
          <w:rFonts w:ascii="Times New Roman" w:hAnsi="Times New Roman"/>
        </w:rPr>
        <w:t>12)</w:t>
      </w:r>
      <w:r w:rsidR="00BF1546" w:rsidRPr="008D3C0D">
        <w:rPr>
          <w:rFonts w:ascii="Times New Roman" w:hAnsi="Times New Roman"/>
        </w:rPr>
        <w:t xml:space="preserve"> </w:t>
      </w:r>
      <w:r w:rsidR="005C3F8D" w:rsidRPr="008D3C0D">
        <w:rPr>
          <w:rFonts w:ascii="Times New Roman" w:hAnsi="Times New Roman"/>
        </w:rPr>
        <w:t>and a trial on 5-13 November 2012 (para</w:t>
      </w:r>
      <w:r w:rsidR="003E29CE" w:rsidRPr="008D3C0D">
        <w:rPr>
          <w:rFonts w:ascii="Times New Roman" w:hAnsi="Times New Roman"/>
        </w:rPr>
        <w:t>graph </w:t>
      </w:r>
      <w:r w:rsidR="005C3F8D" w:rsidRPr="008D3C0D">
        <w:rPr>
          <w:rFonts w:ascii="Times New Roman" w:hAnsi="Times New Roman"/>
        </w:rPr>
        <w:t>14)</w:t>
      </w:r>
      <w:r w:rsidR="00384795" w:rsidRPr="008D3C0D">
        <w:rPr>
          <w:rFonts w:ascii="Times New Roman" w:hAnsi="Times New Roman"/>
        </w:rPr>
        <w:t>,</w:t>
      </w:r>
      <w:r w:rsidR="005C3F8D" w:rsidRPr="008D3C0D">
        <w:rPr>
          <w:rFonts w:ascii="Times New Roman" w:hAnsi="Times New Roman"/>
        </w:rPr>
        <w:t xml:space="preserve"> </w:t>
      </w:r>
      <w:r w:rsidR="00BF1546" w:rsidRPr="008D3C0D">
        <w:rPr>
          <w:rFonts w:ascii="Times New Roman" w:hAnsi="Times New Roman"/>
        </w:rPr>
        <w:t xml:space="preserve">at </w:t>
      </w:r>
      <w:r w:rsidR="00DA16B6" w:rsidRPr="008D3C0D">
        <w:rPr>
          <w:rFonts w:ascii="Times New Roman" w:hAnsi="Times New Roman"/>
        </w:rPr>
        <w:t xml:space="preserve">both of </w:t>
      </w:r>
      <w:r w:rsidR="00BF1546" w:rsidRPr="008D3C0D">
        <w:rPr>
          <w:rFonts w:ascii="Times New Roman" w:hAnsi="Times New Roman"/>
        </w:rPr>
        <w:t>which the appellant gave evidence (para</w:t>
      </w:r>
      <w:r w:rsidR="003E29CE" w:rsidRPr="008D3C0D">
        <w:rPr>
          <w:rFonts w:ascii="Times New Roman" w:hAnsi="Times New Roman"/>
        </w:rPr>
        <w:t>graph</w:t>
      </w:r>
      <w:r w:rsidR="00BF1546" w:rsidRPr="008D3C0D">
        <w:rPr>
          <w:rFonts w:ascii="Times New Roman" w:hAnsi="Times New Roman"/>
        </w:rPr>
        <w:t>s</w:t>
      </w:r>
      <w:r w:rsidR="003E29CE" w:rsidRPr="008D3C0D">
        <w:rPr>
          <w:rFonts w:ascii="Times New Roman" w:hAnsi="Times New Roman"/>
        </w:rPr>
        <w:t> </w:t>
      </w:r>
      <w:r w:rsidR="00BF1546" w:rsidRPr="008D3C0D">
        <w:rPr>
          <w:rFonts w:ascii="Times New Roman" w:hAnsi="Times New Roman"/>
        </w:rPr>
        <w:t>1</w:t>
      </w:r>
      <w:r w:rsidR="00645D1A" w:rsidRPr="008D3C0D">
        <w:rPr>
          <w:rFonts w:ascii="Times New Roman" w:hAnsi="Times New Roman"/>
        </w:rPr>
        <w:t>3</w:t>
      </w:r>
      <w:r w:rsidR="003E29CE" w:rsidRPr="008D3C0D">
        <w:rPr>
          <w:rFonts w:ascii="Times New Roman" w:hAnsi="Times New Roman"/>
        </w:rPr>
        <w:t xml:space="preserve"> and</w:t>
      </w:r>
      <w:r w:rsidR="00BF1546" w:rsidRPr="008D3C0D">
        <w:rPr>
          <w:rFonts w:ascii="Times New Roman" w:hAnsi="Times New Roman"/>
        </w:rPr>
        <w:t xml:space="preserve"> 1</w:t>
      </w:r>
      <w:r w:rsidR="00645D1A" w:rsidRPr="008D3C0D">
        <w:rPr>
          <w:rFonts w:ascii="Times New Roman" w:hAnsi="Times New Roman"/>
        </w:rPr>
        <w:t>5</w:t>
      </w:r>
      <w:r w:rsidR="00BF1546" w:rsidRPr="008D3C0D">
        <w:rPr>
          <w:rFonts w:ascii="Times New Roman" w:hAnsi="Times New Roman"/>
        </w:rPr>
        <w:t>)</w:t>
      </w:r>
      <w:r w:rsidR="008113A5" w:rsidRPr="008D3C0D">
        <w:rPr>
          <w:rFonts w:ascii="Times New Roman" w:hAnsi="Times New Roman"/>
        </w:rPr>
        <w:t xml:space="preserve">; </w:t>
      </w:r>
      <w:r w:rsidR="009F05E3" w:rsidRPr="008D3C0D">
        <w:rPr>
          <w:rFonts w:ascii="Times New Roman" w:hAnsi="Times New Roman"/>
        </w:rPr>
        <w:t>the finding of guilt of the Queensland offender</w:t>
      </w:r>
      <w:r w:rsidR="0036343D" w:rsidRPr="008D3C0D">
        <w:rPr>
          <w:rFonts w:ascii="Times New Roman" w:hAnsi="Times New Roman"/>
        </w:rPr>
        <w:t xml:space="preserve"> </w:t>
      </w:r>
      <w:r w:rsidR="00F23C28" w:rsidRPr="008D3C0D">
        <w:rPr>
          <w:rFonts w:ascii="Times New Roman" w:hAnsi="Times New Roman"/>
        </w:rPr>
        <w:t>(para</w:t>
      </w:r>
      <w:r w:rsidR="00001DDE" w:rsidRPr="008D3C0D">
        <w:rPr>
          <w:rFonts w:ascii="Times New Roman" w:hAnsi="Times New Roman"/>
        </w:rPr>
        <w:t>graph</w:t>
      </w:r>
      <w:r w:rsidR="003E29CE" w:rsidRPr="008D3C0D">
        <w:rPr>
          <w:rFonts w:ascii="Times New Roman" w:hAnsi="Times New Roman"/>
        </w:rPr>
        <w:t> </w:t>
      </w:r>
      <w:r w:rsidR="00F23C28" w:rsidRPr="008D3C0D">
        <w:rPr>
          <w:rFonts w:ascii="Times New Roman" w:hAnsi="Times New Roman"/>
        </w:rPr>
        <w:t>16)</w:t>
      </w:r>
      <w:r w:rsidR="009F05E3" w:rsidRPr="008D3C0D">
        <w:rPr>
          <w:rFonts w:ascii="Times New Roman" w:hAnsi="Times New Roman"/>
        </w:rPr>
        <w:t>; the quashing of the conviction</w:t>
      </w:r>
      <w:r w:rsidR="00F3365C" w:rsidRPr="008D3C0D">
        <w:rPr>
          <w:rFonts w:ascii="Times New Roman" w:hAnsi="Times New Roman"/>
        </w:rPr>
        <w:t xml:space="preserve"> on the ground that the complainant had not been properly sworn in</w:t>
      </w:r>
      <w:r w:rsidR="00621725" w:rsidRPr="008D3C0D">
        <w:rPr>
          <w:rFonts w:ascii="Times New Roman" w:hAnsi="Times New Roman"/>
        </w:rPr>
        <w:t xml:space="preserve"> (para</w:t>
      </w:r>
      <w:r w:rsidR="00001DDE" w:rsidRPr="008D3C0D">
        <w:rPr>
          <w:rFonts w:ascii="Times New Roman" w:hAnsi="Times New Roman"/>
        </w:rPr>
        <w:t>graph</w:t>
      </w:r>
      <w:r w:rsidR="003E29CE" w:rsidRPr="008D3C0D">
        <w:rPr>
          <w:rFonts w:ascii="Times New Roman" w:hAnsi="Times New Roman"/>
        </w:rPr>
        <w:t> </w:t>
      </w:r>
      <w:r w:rsidR="00621725" w:rsidRPr="008D3C0D">
        <w:rPr>
          <w:rFonts w:ascii="Times New Roman" w:hAnsi="Times New Roman"/>
        </w:rPr>
        <w:t>1</w:t>
      </w:r>
      <w:r w:rsidR="00C43A24" w:rsidRPr="008D3C0D">
        <w:rPr>
          <w:rFonts w:ascii="Times New Roman" w:hAnsi="Times New Roman"/>
        </w:rPr>
        <w:t>7</w:t>
      </w:r>
      <w:r w:rsidR="00621725" w:rsidRPr="008D3C0D">
        <w:rPr>
          <w:rFonts w:ascii="Times New Roman" w:hAnsi="Times New Roman"/>
        </w:rPr>
        <w:t>)</w:t>
      </w:r>
      <w:r w:rsidR="00F3365C" w:rsidRPr="008D3C0D">
        <w:rPr>
          <w:rFonts w:ascii="Times New Roman" w:hAnsi="Times New Roman"/>
        </w:rPr>
        <w:t xml:space="preserve">; </w:t>
      </w:r>
      <w:r w:rsidR="00384795" w:rsidRPr="008D3C0D">
        <w:rPr>
          <w:rFonts w:ascii="Times New Roman" w:hAnsi="Times New Roman"/>
        </w:rPr>
        <w:t xml:space="preserve">and </w:t>
      </w:r>
      <w:r w:rsidR="00F3365C" w:rsidRPr="008D3C0D">
        <w:rPr>
          <w:rFonts w:ascii="Times New Roman" w:hAnsi="Times New Roman"/>
        </w:rPr>
        <w:t xml:space="preserve">the Queensland offender's plea </w:t>
      </w:r>
      <w:r w:rsidR="00621725" w:rsidRPr="008D3C0D">
        <w:rPr>
          <w:rFonts w:ascii="Times New Roman" w:hAnsi="Times New Roman"/>
        </w:rPr>
        <w:t>bargain</w:t>
      </w:r>
      <w:r w:rsidR="00F3365C" w:rsidRPr="008D3C0D">
        <w:rPr>
          <w:rFonts w:ascii="Times New Roman" w:hAnsi="Times New Roman"/>
        </w:rPr>
        <w:t xml:space="preserve"> </w:t>
      </w:r>
      <w:r w:rsidR="00AD3C3C" w:rsidRPr="008D3C0D">
        <w:rPr>
          <w:rFonts w:ascii="Times New Roman" w:hAnsi="Times New Roman"/>
        </w:rPr>
        <w:t>and the lack of a retrial (para</w:t>
      </w:r>
      <w:r w:rsidR="00A649BC" w:rsidRPr="008D3C0D">
        <w:rPr>
          <w:rFonts w:ascii="Times New Roman" w:hAnsi="Times New Roman"/>
        </w:rPr>
        <w:t>graph</w:t>
      </w:r>
      <w:r w:rsidR="00AD3C3C" w:rsidRPr="008D3C0D">
        <w:rPr>
          <w:rFonts w:ascii="Times New Roman" w:hAnsi="Times New Roman"/>
        </w:rPr>
        <w:t xml:space="preserve"> 18).</w:t>
      </w:r>
    </w:p>
    <w:p w14:paraId="10631A9B" w14:textId="55A33FC9" w:rsidR="00526CBA" w:rsidRPr="008D3C0D" w:rsidRDefault="00F1732A"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6525E8" w:rsidRPr="008D3C0D">
        <w:rPr>
          <w:rFonts w:ascii="Times New Roman" w:hAnsi="Times New Roman"/>
        </w:rPr>
        <w:t>The appellant</w:t>
      </w:r>
      <w:r w:rsidR="00AA64B4" w:rsidRPr="008D3C0D">
        <w:rPr>
          <w:rFonts w:ascii="Times New Roman" w:hAnsi="Times New Roman"/>
        </w:rPr>
        <w:t xml:space="preserve"> made diverse</w:t>
      </w:r>
      <w:r w:rsidR="006525E8" w:rsidRPr="008D3C0D">
        <w:rPr>
          <w:rFonts w:ascii="Times New Roman" w:hAnsi="Times New Roman"/>
        </w:rPr>
        <w:t xml:space="preserve"> submi</w:t>
      </w:r>
      <w:r w:rsidR="00405A65" w:rsidRPr="008D3C0D">
        <w:rPr>
          <w:rFonts w:ascii="Times New Roman" w:hAnsi="Times New Roman"/>
        </w:rPr>
        <w:t>ssions</w:t>
      </w:r>
      <w:r w:rsidR="006525E8" w:rsidRPr="008D3C0D">
        <w:rPr>
          <w:rFonts w:ascii="Times New Roman" w:hAnsi="Times New Roman"/>
        </w:rPr>
        <w:t xml:space="preserve"> </w:t>
      </w:r>
      <w:r w:rsidR="00405A65" w:rsidRPr="008D3C0D">
        <w:rPr>
          <w:rFonts w:ascii="Times New Roman" w:hAnsi="Times New Roman"/>
        </w:rPr>
        <w:t>to the trial judge about</w:t>
      </w:r>
      <w:r w:rsidR="002D48B4" w:rsidRPr="008D3C0D">
        <w:rPr>
          <w:rFonts w:ascii="Times New Roman" w:hAnsi="Times New Roman"/>
        </w:rPr>
        <w:t xml:space="preserve"> t</w:t>
      </w:r>
      <w:r w:rsidR="00405A65" w:rsidRPr="008D3C0D">
        <w:rPr>
          <w:rFonts w:ascii="Times New Roman" w:hAnsi="Times New Roman"/>
        </w:rPr>
        <w:t xml:space="preserve">he probative value of </w:t>
      </w:r>
      <w:r w:rsidR="00B66B25" w:rsidRPr="008D3C0D">
        <w:rPr>
          <w:rFonts w:ascii="Times New Roman" w:hAnsi="Times New Roman"/>
        </w:rPr>
        <w:t xml:space="preserve">the Queensland </w:t>
      </w:r>
      <w:r w:rsidR="00405A65" w:rsidRPr="008D3C0D">
        <w:rPr>
          <w:rFonts w:ascii="Times New Roman" w:hAnsi="Times New Roman"/>
        </w:rPr>
        <w:t>evidence</w:t>
      </w:r>
      <w:r w:rsidR="00B73F58" w:rsidRPr="008D3C0D">
        <w:rPr>
          <w:rFonts w:ascii="Times New Roman" w:hAnsi="Times New Roman"/>
        </w:rPr>
        <w:t xml:space="preserve">. At one point in the </w:t>
      </w:r>
      <w:proofErr w:type="gramStart"/>
      <w:r w:rsidR="00B73F58" w:rsidRPr="008D3C0D">
        <w:rPr>
          <w:rFonts w:ascii="Times New Roman" w:hAnsi="Times New Roman"/>
        </w:rPr>
        <w:t>submissions</w:t>
      </w:r>
      <w:proofErr w:type="gramEnd"/>
      <w:r w:rsidR="00B73F58" w:rsidRPr="008D3C0D">
        <w:rPr>
          <w:rFonts w:ascii="Times New Roman" w:hAnsi="Times New Roman"/>
        </w:rPr>
        <w:t xml:space="preserve"> it was said that "[t]he evidence to be admitted </w:t>
      </w:r>
      <w:r w:rsidR="00B41ECA" w:rsidRPr="008D3C0D">
        <w:rPr>
          <w:rFonts w:ascii="Times New Roman" w:hAnsi="Times New Roman"/>
        </w:rPr>
        <w:t xml:space="preserve">is of the reporting of the previous </w:t>
      </w:r>
      <w:r w:rsidR="00200ACF" w:rsidRPr="008D3C0D">
        <w:rPr>
          <w:rFonts w:ascii="Times New Roman" w:hAnsi="Times New Roman"/>
        </w:rPr>
        <w:t xml:space="preserve">sexual </w:t>
      </w:r>
      <w:r w:rsidR="00B41ECA" w:rsidRPr="008D3C0D">
        <w:rPr>
          <w:rFonts w:ascii="Times New Roman" w:hAnsi="Times New Roman"/>
        </w:rPr>
        <w:t>assaults and hearings, not the assaults themselves"</w:t>
      </w:r>
      <w:r w:rsidR="00485425" w:rsidRPr="008D3C0D">
        <w:rPr>
          <w:rFonts w:ascii="Times New Roman" w:hAnsi="Times New Roman"/>
        </w:rPr>
        <w:t>.</w:t>
      </w:r>
      <w:r w:rsidR="00B41ECA" w:rsidRPr="008D3C0D">
        <w:rPr>
          <w:rFonts w:ascii="Times New Roman" w:hAnsi="Times New Roman"/>
        </w:rPr>
        <w:t xml:space="preserve"> </w:t>
      </w:r>
      <w:r w:rsidR="00A821B8" w:rsidRPr="008D3C0D">
        <w:rPr>
          <w:rFonts w:ascii="Times New Roman" w:hAnsi="Times New Roman"/>
        </w:rPr>
        <w:t xml:space="preserve">But that submission was </w:t>
      </w:r>
      <w:r w:rsidR="00B2519B" w:rsidRPr="008D3C0D">
        <w:rPr>
          <w:rFonts w:ascii="Times New Roman" w:hAnsi="Times New Roman"/>
        </w:rPr>
        <w:t xml:space="preserve">made in the context of discussing the </w:t>
      </w:r>
      <w:r w:rsidR="00C66688" w:rsidRPr="008D3C0D">
        <w:rPr>
          <w:rFonts w:ascii="Times New Roman" w:hAnsi="Times New Roman"/>
        </w:rPr>
        <w:t xml:space="preserve">evidence concerning </w:t>
      </w:r>
      <w:r w:rsidR="00CE1232" w:rsidRPr="008D3C0D">
        <w:rPr>
          <w:rFonts w:ascii="Times New Roman" w:hAnsi="Times New Roman"/>
        </w:rPr>
        <w:t>a relationship between the appellant and the complainant</w:t>
      </w:r>
      <w:r w:rsidR="008D1339" w:rsidRPr="008D3C0D">
        <w:rPr>
          <w:rFonts w:ascii="Times New Roman" w:hAnsi="Times New Roman"/>
        </w:rPr>
        <w:t xml:space="preserve">, and </w:t>
      </w:r>
      <w:r w:rsidR="00C66688" w:rsidRPr="008D3C0D">
        <w:rPr>
          <w:rFonts w:ascii="Times New Roman" w:hAnsi="Times New Roman"/>
        </w:rPr>
        <w:t>th</w:t>
      </w:r>
      <w:r w:rsidR="00CB0498" w:rsidRPr="008D3C0D">
        <w:rPr>
          <w:rFonts w:ascii="Times New Roman" w:hAnsi="Times New Roman"/>
        </w:rPr>
        <w:t>e</w:t>
      </w:r>
      <w:r w:rsidR="00C66688" w:rsidRPr="008D3C0D">
        <w:rPr>
          <w:rFonts w:ascii="Times New Roman" w:hAnsi="Times New Roman"/>
        </w:rPr>
        <w:t xml:space="preserve"> submission</w:t>
      </w:r>
      <w:r w:rsidR="008D1339" w:rsidRPr="008D3C0D">
        <w:rPr>
          <w:rFonts w:ascii="Times New Roman" w:hAnsi="Times New Roman"/>
        </w:rPr>
        <w:t xml:space="preserve"> concluded by saying that "</w:t>
      </w:r>
      <w:r w:rsidR="002262E7" w:rsidRPr="008D3C0D">
        <w:rPr>
          <w:rFonts w:ascii="Times New Roman" w:hAnsi="Times New Roman"/>
        </w:rPr>
        <w:t xml:space="preserve">[t]hose matters relate directly to the relationship </w:t>
      </w:r>
      <w:r w:rsidR="008B0B17" w:rsidRPr="008D3C0D">
        <w:rPr>
          <w:rFonts w:ascii="Times New Roman" w:hAnsi="Times New Roman"/>
        </w:rPr>
        <w:t xml:space="preserve">that </w:t>
      </w:r>
      <w:r w:rsidR="002262E7" w:rsidRPr="008D3C0D">
        <w:rPr>
          <w:rFonts w:ascii="Times New Roman" w:hAnsi="Times New Roman"/>
        </w:rPr>
        <w:t>existed between the [appellant] and the complainant an</w:t>
      </w:r>
      <w:r w:rsidR="007617DE" w:rsidRPr="008D3C0D">
        <w:rPr>
          <w:rFonts w:ascii="Times New Roman" w:hAnsi="Times New Roman"/>
        </w:rPr>
        <w:t>d only occurred because of the existence of that relationship".</w:t>
      </w:r>
      <w:r w:rsidR="00526CBA" w:rsidRPr="008D3C0D">
        <w:rPr>
          <w:rFonts w:ascii="Times New Roman" w:hAnsi="Times New Roman"/>
        </w:rPr>
        <w:t xml:space="preserve"> </w:t>
      </w:r>
      <w:r w:rsidR="007617DE" w:rsidRPr="008D3C0D">
        <w:rPr>
          <w:rFonts w:ascii="Times New Roman" w:hAnsi="Times New Roman"/>
        </w:rPr>
        <w:t>In any event, t</w:t>
      </w:r>
      <w:r w:rsidR="00BA7EB1" w:rsidRPr="008D3C0D">
        <w:rPr>
          <w:rFonts w:ascii="Times New Roman" w:hAnsi="Times New Roman"/>
        </w:rPr>
        <w:t>h</w:t>
      </w:r>
      <w:r w:rsidR="007617DE" w:rsidRPr="008D3C0D">
        <w:rPr>
          <w:rFonts w:ascii="Times New Roman" w:hAnsi="Times New Roman"/>
        </w:rPr>
        <w:t>e</w:t>
      </w:r>
      <w:r w:rsidR="00BA7EB1" w:rsidRPr="008D3C0D">
        <w:rPr>
          <w:rFonts w:ascii="Times New Roman" w:hAnsi="Times New Roman"/>
        </w:rPr>
        <w:t xml:space="preserve"> </w:t>
      </w:r>
      <w:r w:rsidR="007617DE" w:rsidRPr="008D3C0D">
        <w:rPr>
          <w:rFonts w:ascii="Times New Roman" w:hAnsi="Times New Roman"/>
        </w:rPr>
        <w:t xml:space="preserve">appellant's </w:t>
      </w:r>
      <w:r w:rsidR="00BA7EB1" w:rsidRPr="008D3C0D">
        <w:rPr>
          <w:rFonts w:ascii="Times New Roman" w:hAnsi="Times New Roman"/>
        </w:rPr>
        <w:t xml:space="preserve">submissions </w:t>
      </w:r>
      <w:r w:rsidR="007617DE" w:rsidRPr="008D3C0D">
        <w:rPr>
          <w:rFonts w:ascii="Times New Roman" w:hAnsi="Times New Roman"/>
        </w:rPr>
        <w:t xml:space="preserve">about the probative value </w:t>
      </w:r>
      <w:r w:rsidR="007617DE" w:rsidRPr="008D3C0D">
        <w:rPr>
          <w:rFonts w:ascii="Times New Roman" w:hAnsi="Times New Roman"/>
        </w:rPr>
        <w:lastRenderedPageBreak/>
        <w:t xml:space="preserve">of the evidence </w:t>
      </w:r>
      <w:r w:rsidR="00BA7EB1" w:rsidRPr="008D3C0D">
        <w:rPr>
          <w:rFonts w:ascii="Times New Roman" w:hAnsi="Times New Roman"/>
        </w:rPr>
        <w:t>were refined in the Court of Criminal Appeal</w:t>
      </w:r>
      <w:r w:rsidR="00BA7EB1" w:rsidRPr="008D3C0D">
        <w:rPr>
          <w:rStyle w:val="FootnoteReference"/>
          <w:rFonts w:ascii="Times New Roman" w:hAnsi="Times New Roman"/>
          <w:sz w:val="24"/>
        </w:rPr>
        <w:footnoteReference w:id="4"/>
      </w:r>
      <w:r w:rsidR="007617DE" w:rsidRPr="008D3C0D">
        <w:rPr>
          <w:rFonts w:ascii="Times New Roman" w:hAnsi="Times New Roman"/>
        </w:rPr>
        <w:t xml:space="preserve"> and </w:t>
      </w:r>
      <w:r w:rsidR="009D3906" w:rsidRPr="008D3C0D">
        <w:rPr>
          <w:rFonts w:ascii="Times New Roman" w:hAnsi="Times New Roman"/>
        </w:rPr>
        <w:t xml:space="preserve">further </w:t>
      </w:r>
      <w:r w:rsidR="000176C9" w:rsidRPr="008D3C0D">
        <w:rPr>
          <w:rFonts w:ascii="Times New Roman" w:hAnsi="Times New Roman"/>
        </w:rPr>
        <w:t>refined</w:t>
      </w:r>
      <w:r w:rsidR="007617DE" w:rsidRPr="008D3C0D">
        <w:rPr>
          <w:rFonts w:ascii="Times New Roman" w:hAnsi="Times New Roman"/>
        </w:rPr>
        <w:t xml:space="preserve"> in this Court</w:t>
      </w:r>
      <w:r w:rsidR="00844520" w:rsidRPr="008D3C0D">
        <w:rPr>
          <w:rFonts w:ascii="Times New Roman" w:hAnsi="Times New Roman"/>
        </w:rPr>
        <w:t xml:space="preserve">. </w:t>
      </w:r>
    </w:p>
    <w:p w14:paraId="18363116" w14:textId="01839F1F" w:rsidR="008105BC" w:rsidRPr="008D3C0D" w:rsidRDefault="00526CBA"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844520" w:rsidRPr="008D3C0D">
        <w:rPr>
          <w:rFonts w:ascii="Times New Roman" w:hAnsi="Times New Roman"/>
        </w:rPr>
        <w:t>In this Court</w:t>
      </w:r>
      <w:r w:rsidR="00ED6652" w:rsidRPr="008D3C0D">
        <w:rPr>
          <w:rFonts w:ascii="Times New Roman" w:hAnsi="Times New Roman"/>
        </w:rPr>
        <w:t>,</w:t>
      </w:r>
      <w:r w:rsidR="00844520" w:rsidRPr="008D3C0D">
        <w:rPr>
          <w:rFonts w:ascii="Times New Roman" w:hAnsi="Times New Roman"/>
        </w:rPr>
        <w:t xml:space="preserve"> the </w:t>
      </w:r>
      <w:r w:rsidR="00FD0C18" w:rsidRPr="008D3C0D">
        <w:rPr>
          <w:rFonts w:ascii="Times New Roman" w:hAnsi="Times New Roman"/>
        </w:rPr>
        <w:t xml:space="preserve">Queensland </w:t>
      </w:r>
      <w:r w:rsidR="00844520" w:rsidRPr="008D3C0D">
        <w:rPr>
          <w:rFonts w:ascii="Times New Roman" w:hAnsi="Times New Roman"/>
        </w:rPr>
        <w:t>evidence was</w:t>
      </w:r>
      <w:r w:rsidR="000176C9" w:rsidRPr="008D3C0D">
        <w:rPr>
          <w:rFonts w:ascii="Times New Roman" w:hAnsi="Times New Roman"/>
        </w:rPr>
        <w:t xml:space="preserve"> said to be </w:t>
      </w:r>
      <w:r w:rsidR="00DA2A3C" w:rsidRPr="008D3C0D">
        <w:rPr>
          <w:rFonts w:ascii="Times New Roman" w:hAnsi="Times New Roman"/>
        </w:rPr>
        <w:t xml:space="preserve">relevant in four </w:t>
      </w:r>
      <w:proofErr w:type="gramStart"/>
      <w:r w:rsidR="00286CE8" w:rsidRPr="008D3C0D">
        <w:rPr>
          <w:rFonts w:ascii="Times New Roman" w:hAnsi="Times New Roman"/>
        </w:rPr>
        <w:t xml:space="preserve">key </w:t>
      </w:r>
      <w:r w:rsidR="00DA2A3C" w:rsidRPr="008D3C0D">
        <w:rPr>
          <w:rFonts w:ascii="Times New Roman" w:hAnsi="Times New Roman"/>
        </w:rPr>
        <w:t>ways</w:t>
      </w:r>
      <w:proofErr w:type="gramEnd"/>
      <w:r w:rsidR="00DA2A3C" w:rsidRPr="008D3C0D">
        <w:rPr>
          <w:rFonts w:ascii="Times New Roman" w:hAnsi="Times New Roman"/>
        </w:rPr>
        <w:t>.</w:t>
      </w:r>
      <w:r w:rsidRPr="008D3C0D">
        <w:rPr>
          <w:rFonts w:ascii="Times New Roman" w:hAnsi="Times New Roman"/>
        </w:rPr>
        <w:t xml:space="preserve"> </w:t>
      </w:r>
      <w:r w:rsidR="00FD4EB5" w:rsidRPr="008D3C0D">
        <w:rPr>
          <w:rFonts w:ascii="Times New Roman" w:hAnsi="Times New Roman"/>
        </w:rPr>
        <w:t xml:space="preserve">First, </w:t>
      </w:r>
      <w:r w:rsidR="0081796C" w:rsidRPr="008D3C0D">
        <w:rPr>
          <w:rFonts w:ascii="Times New Roman" w:hAnsi="Times New Roman"/>
        </w:rPr>
        <w:t xml:space="preserve">it was submitted that the evidence supported a defence case of </w:t>
      </w:r>
      <w:r w:rsidR="00407A4F" w:rsidRPr="008D3C0D">
        <w:rPr>
          <w:rFonts w:ascii="Times New Roman" w:hAnsi="Times New Roman"/>
        </w:rPr>
        <w:t>inherent improbability based upon the asserted "brazen</w:t>
      </w:r>
      <w:r w:rsidR="00D371E1" w:rsidRPr="008D3C0D">
        <w:rPr>
          <w:rFonts w:ascii="Times New Roman" w:hAnsi="Times New Roman"/>
        </w:rPr>
        <w:t xml:space="preserve">ness" of sexual abuse of the complainant at a time when she was engaging with authorities concerning sexual assault by the Queensland offender. </w:t>
      </w:r>
      <w:r w:rsidR="008105BC" w:rsidRPr="008D3C0D">
        <w:rPr>
          <w:rFonts w:ascii="Times New Roman" w:hAnsi="Times New Roman"/>
        </w:rPr>
        <w:t>Secon</w:t>
      </w:r>
      <w:r w:rsidR="000176C9" w:rsidRPr="008D3C0D">
        <w:rPr>
          <w:rFonts w:ascii="Times New Roman" w:hAnsi="Times New Roman"/>
        </w:rPr>
        <w:t xml:space="preserve">dly, it was submitted that the </w:t>
      </w:r>
      <w:r w:rsidR="00BC782E" w:rsidRPr="008D3C0D">
        <w:rPr>
          <w:rFonts w:ascii="Times New Roman" w:hAnsi="Times New Roman"/>
        </w:rPr>
        <w:t xml:space="preserve">"clear opportunity" to complain to the police and others, and the complainant's previous experience of having been believed about sexual misconduct, meant she was </w:t>
      </w:r>
      <w:r w:rsidR="0035278E" w:rsidRPr="008D3C0D">
        <w:rPr>
          <w:rFonts w:ascii="Times New Roman" w:hAnsi="Times New Roman"/>
        </w:rPr>
        <w:t xml:space="preserve">aware that she </w:t>
      </w:r>
      <w:r w:rsidR="00F7512D" w:rsidRPr="008D3C0D">
        <w:rPr>
          <w:rFonts w:ascii="Times New Roman" w:hAnsi="Times New Roman"/>
        </w:rPr>
        <w:t>had a "powerful weapon"</w:t>
      </w:r>
      <w:r w:rsidR="00BC782E" w:rsidRPr="008D3C0D">
        <w:rPr>
          <w:rFonts w:ascii="Times New Roman" w:hAnsi="Times New Roman"/>
        </w:rPr>
        <w:t xml:space="preserve"> </w:t>
      </w:r>
      <w:r w:rsidR="006358E3" w:rsidRPr="008D3C0D">
        <w:rPr>
          <w:rFonts w:ascii="Times New Roman" w:hAnsi="Times New Roman"/>
        </w:rPr>
        <w:t xml:space="preserve">to stop any sexual assaults </w:t>
      </w:r>
      <w:r w:rsidR="00D23E5E" w:rsidRPr="008D3C0D">
        <w:rPr>
          <w:rFonts w:ascii="Times New Roman" w:hAnsi="Times New Roman"/>
        </w:rPr>
        <w:t xml:space="preserve">against </w:t>
      </w:r>
      <w:r w:rsidR="00AB1D08" w:rsidRPr="008D3C0D">
        <w:rPr>
          <w:rFonts w:ascii="Times New Roman" w:hAnsi="Times New Roman"/>
        </w:rPr>
        <w:t xml:space="preserve">her. </w:t>
      </w:r>
      <w:r w:rsidR="008105BC" w:rsidRPr="008D3C0D">
        <w:rPr>
          <w:rFonts w:ascii="Times New Roman" w:hAnsi="Times New Roman"/>
        </w:rPr>
        <w:t>Third</w:t>
      </w:r>
      <w:r w:rsidR="00AB1D08" w:rsidRPr="008D3C0D">
        <w:rPr>
          <w:rFonts w:ascii="Times New Roman" w:hAnsi="Times New Roman"/>
        </w:rPr>
        <w:t xml:space="preserve">ly, it was submitted that </w:t>
      </w:r>
      <w:r w:rsidR="00F816FD" w:rsidRPr="008D3C0D">
        <w:rPr>
          <w:rFonts w:ascii="Times New Roman" w:hAnsi="Times New Roman"/>
        </w:rPr>
        <w:t>the evidence revealed the "true nature" of the complainant's relationship</w:t>
      </w:r>
      <w:r w:rsidR="00E60F8D" w:rsidRPr="008D3C0D">
        <w:rPr>
          <w:rFonts w:ascii="Times New Roman" w:hAnsi="Times New Roman"/>
        </w:rPr>
        <w:t xml:space="preserve"> with the appellant</w:t>
      </w:r>
      <w:r w:rsidR="001D3EEA" w:rsidRPr="008D3C0D">
        <w:rPr>
          <w:rFonts w:ascii="Times New Roman" w:hAnsi="Times New Roman"/>
        </w:rPr>
        <w:t>,</w:t>
      </w:r>
      <w:r w:rsidR="00E60F8D" w:rsidRPr="008D3C0D">
        <w:rPr>
          <w:rFonts w:ascii="Times New Roman" w:hAnsi="Times New Roman"/>
        </w:rPr>
        <w:t xml:space="preserve"> </w:t>
      </w:r>
      <w:r w:rsidR="00476807" w:rsidRPr="008D3C0D">
        <w:rPr>
          <w:rFonts w:ascii="Times New Roman" w:hAnsi="Times New Roman"/>
        </w:rPr>
        <w:t>"</w:t>
      </w:r>
      <w:r w:rsidR="00E60F8D" w:rsidRPr="008D3C0D">
        <w:rPr>
          <w:rFonts w:ascii="Times New Roman" w:hAnsi="Times New Roman"/>
        </w:rPr>
        <w:t>which involved her confiding in him about the [Queensland</w:t>
      </w:r>
      <w:r w:rsidR="00322CDA" w:rsidRPr="008D3C0D">
        <w:rPr>
          <w:rFonts w:ascii="Times New Roman" w:hAnsi="Times New Roman"/>
        </w:rPr>
        <w:t xml:space="preserve"> conduct</w:t>
      </w:r>
      <w:r w:rsidR="00E60F8D" w:rsidRPr="008D3C0D">
        <w:rPr>
          <w:rFonts w:ascii="Times New Roman" w:hAnsi="Times New Roman"/>
        </w:rPr>
        <w:t xml:space="preserve">], and his advocating </w:t>
      </w:r>
      <w:r w:rsidR="006871CB" w:rsidRPr="008D3C0D">
        <w:rPr>
          <w:rFonts w:ascii="Times New Roman" w:hAnsi="Times New Roman"/>
        </w:rPr>
        <w:t>for police intervention on her behalf, prior to the commencement of the alleged abuse".</w:t>
      </w:r>
      <w:r w:rsidR="008105BC" w:rsidRPr="008D3C0D">
        <w:rPr>
          <w:rFonts w:ascii="Times New Roman" w:hAnsi="Times New Roman"/>
        </w:rPr>
        <w:t xml:space="preserve"> Fourthly, there was a submission that the evidence supported a defence case of conflation or fabrication. It was submitted that the evidence "could have provided a source for the complainant's detailed description, and evident memory, of sexual acts and offending against a child".</w:t>
      </w:r>
    </w:p>
    <w:p w14:paraId="335AFE2D" w14:textId="424FA9AC" w:rsidR="002D06B4" w:rsidRPr="008D3C0D" w:rsidRDefault="00836666"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The trial judge </w:t>
      </w:r>
      <w:r w:rsidR="003C3B27" w:rsidRPr="008D3C0D">
        <w:rPr>
          <w:rFonts w:ascii="Times New Roman" w:hAnsi="Times New Roman"/>
        </w:rPr>
        <w:t xml:space="preserve">accepted that the </w:t>
      </w:r>
      <w:r w:rsidR="003516C1" w:rsidRPr="008D3C0D">
        <w:rPr>
          <w:rFonts w:ascii="Times New Roman" w:hAnsi="Times New Roman"/>
        </w:rPr>
        <w:t xml:space="preserve">Queensland </w:t>
      </w:r>
      <w:r w:rsidR="003C3B27" w:rsidRPr="008D3C0D">
        <w:rPr>
          <w:rFonts w:ascii="Times New Roman" w:hAnsi="Times New Roman"/>
        </w:rPr>
        <w:t xml:space="preserve">evidence </w:t>
      </w:r>
      <w:r w:rsidR="00375041" w:rsidRPr="008D3C0D">
        <w:rPr>
          <w:rFonts w:ascii="Times New Roman" w:hAnsi="Times New Roman"/>
        </w:rPr>
        <w:t>was "significantly probative" for the forensic purpose</w:t>
      </w:r>
      <w:r w:rsidR="00D22DEF" w:rsidRPr="008D3C0D">
        <w:rPr>
          <w:rFonts w:ascii="Times New Roman" w:hAnsi="Times New Roman"/>
        </w:rPr>
        <w:t>s</w:t>
      </w:r>
      <w:r w:rsidR="00375041" w:rsidRPr="008D3C0D">
        <w:rPr>
          <w:rFonts w:ascii="Times New Roman" w:hAnsi="Times New Roman"/>
        </w:rPr>
        <w:t xml:space="preserve"> of</w:t>
      </w:r>
      <w:r w:rsidR="00D22DEF" w:rsidRPr="008D3C0D">
        <w:rPr>
          <w:rFonts w:ascii="Times New Roman" w:hAnsi="Times New Roman"/>
        </w:rPr>
        <w:t>: (</w:t>
      </w:r>
      <w:proofErr w:type="spellStart"/>
      <w:r w:rsidR="00D22DEF" w:rsidRPr="008D3C0D">
        <w:rPr>
          <w:rFonts w:ascii="Times New Roman" w:hAnsi="Times New Roman"/>
        </w:rPr>
        <w:t>i</w:t>
      </w:r>
      <w:proofErr w:type="spellEnd"/>
      <w:r w:rsidR="00D22DEF" w:rsidRPr="008D3C0D">
        <w:rPr>
          <w:rFonts w:ascii="Times New Roman" w:hAnsi="Times New Roman"/>
        </w:rPr>
        <w:t>)</w:t>
      </w:r>
      <w:r w:rsidR="00F82841" w:rsidRPr="008D3C0D">
        <w:rPr>
          <w:rFonts w:ascii="Times New Roman" w:hAnsi="Times New Roman"/>
        </w:rPr>
        <w:t> </w:t>
      </w:r>
      <w:r w:rsidR="00751F44" w:rsidRPr="008D3C0D">
        <w:rPr>
          <w:rFonts w:ascii="Times New Roman" w:hAnsi="Times New Roman"/>
        </w:rPr>
        <w:t xml:space="preserve">showing </w:t>
      </w:r>
      <w:r w:rsidR="007320DA" w:rsidRPr="008D3C0D">
        <w:rPr>
          <w:rFonts w:ascii="Times New Roman" w:hAnsi="Times New Roman"/>
        </w:rPr>
        <w:t>"</w:t>
      </w:r>
      <w:r w:rsidR="00751F44" w:rsidRPr="008D3C0D">
        <w:rPr>
          <w:rFonts w:ascii="Times New Roman" w:hAnsi="Times New Roman"/>
        </w:rPr>
        <w:t xml:space="preserve">that the complainant </w:t>
      </w:r>
      <w:r w:rsidRPr="008D3C0D">
        <w:rPr>
          <w:rFonts w:ascii="Times New Roman" w:hAnsi="Times New Roman"/>
        </w:rPr>
        <w:t>had more than</w:t>
      </w:r>
      <w:r w:rsidR="00751F44" w:rsidRPr="008D3C0D">
        <w:rPr>
          <w:rFonts w:ascii="Times New Roman" w:hAnsi="Times New Roman"/>
        </w:rPr>
        <w:t xml:space="preserve"> </w:t>
      </w:r>
      <w:r w:rsidRPr="008D3C0D">
        <w:rPr>
          <w:rFonts w:ascii="Times New Roman" w:hAnsi="Times New Roman"/>
        </w:rPr>
        <w:t>ample opportunity to make complaint about this accused in the ongoing</w:t>
      </w:r>
      <w:r w:rsidR="00751F44" w:rsidRPr="008D3C0D">
        <w:rPr>
          <w:rFonts w:ascii="Times New Roman" w:hAnsi="Times New Roman"/>
        </w:rPr>
        <w:t xml:space="preserve"> </w:t>
      </w:r>
      <w:r w:rsidRPr="008D3C0D">
        <w:rPr>
          <w:rFonts w:ascii="Times New Roman" w:hAnsi="Times New Roman"/>
        </w:rPr>
        <w:t>investigation and prosecution of the Queensland offender, but did not</w:t>
      </w:r>
      <w:r w:rsidR="00C4414C" w:rsidRPr="008D3C0D">
        <w:rPr>
          <w:rFonts w:ascii="Times New Roman" w:hAnsi="Times New Roman"/>
        </w:rPr>
        <w:t>"</w:t>
      </w:r>
      <w:r w:rsidR="00125096" w:rsidRPr="008D3C0D">
        <w:rPr>
          <w:rFonts w:ascii="Times New Roman" w:hAnsi="Times New Roman"/>
        </w:rPr>
        <w:t>;</w:t>
      </w:r>
      <w:r w:rsidRPr="008D3C0D">
        <w:rPr>
          <w:rFonts w:ascii="Times New Roman" w:hAnsi="Times New Roman"/>
        </w:rPr>
        <w:t xml:space="preserve"> and</w:t>
      </w:r>
      <w:r w:rsidR="00D22DEF" w:rsidRPr="008D3C0D">
        <w:rPr>
          <w:rFonts w:ascii="Times New Roman" w:hAnsi="Times New Roman"/>
        </w:rPr>
        <w:t xml:space="preserve"> (ii)</w:t>
      </w:r>
      <w:r w:rsidR="005E5769" w:rsidRPr="008D3C0D">
        <w:rPr>
          <w:rFonts w:ascii="Times New Roman" w:hAnsi="Times New Roman"/>
        </w:rPr>
        <w:t> </w:t>
      </w:r>
      <w:r w:rsidR="00D22DEF" w:rsidRPr="008D3C0D">
        <w:rPr>
          <w:rFonts w:ascii="Times New Roman" w:hAnsi="Times New Roman"/>
        </w:rPr>
        <w:t xml:space="preserve">establishing </w:t>
      </w:r>
      <w:r w:rsidR="00DA7BD2" w:rsidRPr="008D3C0D">
        <w:rPr>
          <w:rFonts w:ascii="Times New Roman" w:hAnsi="Times New Roman"/>
        </w:rPr>
        <w:t>"the improbability of this accused committing the offences with which he has been charged, given that very many of them are said to have occurred</w:t>
      </w:r>
      <w:r w:rsidR="00FE4548" w:rsidRPr="008D3C0D">
        <w:rPr>
          <w:rFonts w:ascii="Times New Roman" w:hAnsi="Times New Roman"/>
        </w:rPr>
        <w:t xml:space="preserve"> </w:t>
      </w:r>
      <w:r w:rsidR="00DA7BD2" w:rsidRPr="008D3C0D">
        <w:rPr>
          <w:rFonts w:ascii="Times New Roman" w:hAnsi="Times New Roman"/>
        </w:rPr>
        <w:t>in or around the time of the Queensland proceedin</w:t>
      </w:r>
      <w:r w:rsidR="00FE4548" w:rsidRPr="008D3C0D">
        <w:rPr>
          <w:rFonts w:ascii="Times New Roman" w:hAnsi="Times New Roman"/>
        </w:rPr>
        <w:t>gs".</w:t>
      </w:r>
      <w:r w:rsidR="00477EC1" w:rsidRPr="008D3C0D">
        <w:rPr>
          <w:rFonts w:ascii="Times New Roman" w:hAnsi="Times New Roman"/>
        </w:rPr>
        <w:t xml:space="preserve"> The trial judge </w:t>
      </w:r>
      <w:r w:rsidR="008C7FAB" w:rsidRPr="008D3C0D">
        <w:rPr>
          <w:rFonts w:ascii="Times New Roman" w:hAnsi="Times New Roman"/>
        </w:rPr>
        <w:t>accepted</w:t>
      </w:r>
      <w:r w:rsidR="00477EC1" w:rsidRPr="008D3C0D">
        <w:rPr>
          <w:rFonts w:ascii="Times New Roman" w:hAnsi="Times New Roman"/>
        </w:rPr>
        <w:t xml:space="preserve"> that th</w:t>
      </w:r>
      <w:r w:rsidR="008C7FAB" w:rsidRPr="008D3C0D">
        <w:rPr>
          <w:rFonts w:ascii="Times New Roman" w:hAnsi="Times New Roman"/>
        </w:rPr>
        <w:t>e</w:t>
      </w:r>
      <w:r w:rsidR="00477EC1" w:rsidRPr="008D3C0D">
        <w:rPr>
          <w:rFonts w:ascii="Times New Roman" w:hAnsi="Times New Roman"/>
        </w:rPr>
        <w:t xml:space="preserve"> </w:t>
      </w:r>
      <w:r w:rsidR="00BA337C" w:rsidRPr="008D3C0D">
        <w:rPr>
          <w:rFonts w:ascii="Times New Roman" w:hAnsi="Times New Roman"/>
        </w:rPr>
        <w:t xml:space="preserve">Queensland </w:t>
      </w:r>
      <w:r w:rsidR="00477EC1" w:rsidRPr="008D3C0D">
        <w:rPr>
          <w:rFonts w:ascii="Times New Roman" w:hAnsi="Times New Roman"/>
        </w:rPr>
        <w:t xml:space="preserve">evidence </w:t>
      </w:r>
      <w:r w:rsidR="00277B34" w:rsidRPr="008D3C0D">
        <w:rPr>
          <w:rFonts w:ascii="Times New Roman" w:hAnsi="Times New Roman"/>
        </w:rPr>
        <w:t>"</w:t>
      </w:r>
      <w:r w:rsidR="007D7186" w:rsidRPr="008D3C0D">
        <w:rPr>
          <w:rFonts w:ascii="Times New Roman" w:hAnsi="Times New Roman"/>
        </w:rPr>
        <w:t>would directly bear on the objective likelihood of the offences having been committed"</w:t>
      </w:r>
      <w:r w:rsidR="009E13D4" w:rsidRPr="008D3C0D">
        <w:rPr>
          <w:rFonts w:ascii="Times New Roman" w:hAnsi="Times New Roman"/>
        </w:rPr>
        <w:t>,</w:t>
      </w:r>
      <w:r w:rsidR="007D7186" w:rsidRPr="008D3C0D">
        <w:rPr>
          <w:rFonts w:ascii="Times New Roman" w:hAnsi="Times New Roman"/>
        </w:rPr>
        <w:t xml:space="preserve"> </w:t>
      </w:r>
      <w:r w:rsidR="00477EC1" w:rsidRPr="008D3C0D">
        <w:rPr>
          <w:rFonts w:ascii="Times New Roman" w:hAnsi="Times New Roman"/>
        </w:rPr>
        <w:t xml:space="preserve">and that to exclude it </w:t>
      </w:r>
      <w:r w:rsidR="00C60CCE" w:rsidRPr="008D3C0D">
        <w:rPr>
          <w:rFonts w:ascii="Times New Roman" w:hAnsi="Times New Roman"/>
        </w:rPr>
        <w:t>"would lead to an unfair distortion of the facts".</w:t>
      </w:r>
      <w:r w:rsidR="00FE4548" w:rsidRPr="008D3C0D">
        <w:rPr>
          <w:rStyle w:val="FootnoteReference"/>
          <w:rFonts w:ascii="Times New Roman" w:hAnsi="Times New Roman"/>
          <w:sz w:val="24"/>
        </w:rPr>
        <w:footnoteReference w:id="5"/>
      </w:r>
    </w:p>
    <w:p w14:paraId="7E61F4A8" w14:textId="4641A046" w:rsidR="00F47A63" w:rsidRPr="008D3C0D" w:rsidRDefault="002D06B4"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737502" w:rsidRPr="008D3C0D">
        <w:rPr>
          <w:rFonts w:ascii="Times New Roman" w:hAnsi="Times New Roman"/>
        </w:rPr>
        <w:t xml:space="preserve">Nevertheless, the trial judge held that the </w:t>
      </w:r>
      <w:r w:rsidR="00FB135E" w:rsidRPr="008D3C0D">
        <w:rPr>
          <w:rFonts w:ascii="Times New Roman" w:hAnsi="Times New Roman"/>
        </w:rPr>
        <w:t xml:space="preserve">Queensland </w:t>
      </w:r>
      <w:r w:rsidR="00737502" w:rsidRPr="008D3C0D">
        <w:rPr>
          <w:rFonts w:ascii="Times New Roman" w:hAnsi="Times New Roman"/>
        </w:rPr>
        <w:t>evidenc</w:t>
      </w:r>
      <w:r w:rsidRPr="008D3C0D">
        <w:rPr>
          <w:rFonts w:ascii="Times New Roman" w:hAnsi="Times New Roman"/>
        </w:rPr>
        <w:t>e</w:t>
      </w:r>
      <w:r w:rsidR="008E20DD" w:rsidRPr="008D3C0D">
        <w:rPr>
          <w:rFonts w:ascii="Times New Roman" w:hAnsi="Times New Roman"/>
        </w:rPr>
        <w:t>,</w:t>
      </w:r>
      <w:r w:rsidRPr="008D3C0D">
        <w:rPr>
          <w:rFonts w:ascii="Times New Roman" w:hAnsi="Times New Roman"/>
        </w:rPr>
        <w:t xml:space="preserve"> </w:t>
      </w:r>
      <w:r w:rsidR="00821680" w:rsidRPr="008D3C0D">
        <w:rPr>
          <w:rFonts w:ascii="Times New Roman" w:hAnsi="Times New Roman"/>
        </w:rPr>
        <w:t xml:space="preserve">which </w:t>
      </w:r>
      <w:r w:rsidR="00805C71" w:rsidRPr="008D3C0D">
        <w:rPr>
          <w:rFonts w:ascii="Times New Roman" w:hAnsi="Times New Roman"/>
        </w:rPr>
        <w:t xml:space="preserve">the appellant sought to use for the purpose of </w:t>
      </w:r>
      <w:r w:rsidR="00821680" w:rsidRPr="008D3C0D">
        <w:rPr>
          <w:rFonts w:ascii="Times New Roman" w:hAnsi="Times New Roman"/>
        </w:rPr>
        <w:t>cross-examination</w:t>
      </w:r>
      <w:r w:rsidR="008E20DD" w:rsidRPr="008D3C0D">
        <w:rPr>
          <w:rFonts w:ascii="Times New Roman" w:hAnsi="Times New Roman"/>
        </w:rPr>
        <w:t>,</w:t>
      </w:r>
      <w:r w:rsidR="00737502" w:rsidRPr="008D3C0D">
        <w:rPr>
          <w:rFonts w:ascii="Times New Roman" w:hAnsi="Times New Roman"/>
        </w:rPr>
        <w:t xml:space="preserve"> was inadmissible by operation of s</w:t>
      </w:r>
      <w:r w:rsidR="00706B19" w:rsidRPr="008D3C0D">
        <w:rPr>
          <w:rFonts w:ascii="Times New Roman" w:hAnsi="Times New Roman"/>
        </w:rPr>
        <w:t> </w:t>
      </w:r>
      <w:r w:rsidR="00737502" w:rsidRPr="008D3C0D">
        <w:rPr>
          <w:rFonts w:ascii="Times New Roman" w:hAnsi="Times New Roman"/>
        </w:rPr>
        <w:t>293</w:t>
      </w:r>
      <w:r w:rsidR="004A23F8" w:rsidRPr="008D3C0D">
        <w:rPr>
          <w:rFonts w:ascii="Times New Roman" w:hAnsi="Times New Roman"/>
        </w:rPr>
        <w:t>(3)</w:t>
      </w:r>
      <w:r w:rsidR="00737502" w:rsidRPr="008D3C0D">
        <w:rPr>
          <w:rFonts w:ascii="Times New Roman" w:hAnsi="Times New Roman"/>
        </w:rPr>
        <w:t xml:space="preserve"> of the </w:t>
      </w:r>
      <w:r w:rsidR="00585763" w:rsidRPr="008D3C0D">
        <w:rPr>
          <w:rFonts w:ascii="Times New Roman" w:hAnsi="Times New Roman"/>
          <w:i/>
          <w:iCs/>
        </w:rPr>
        <w:t>Criminal Procedure Act</w:t>
      </w:r>
      <w:r w:rsidR="00585763" w:rsidRPr="008D3C0D">
        <w:rPr>
          <w:rFonts w:ascii="Times New Roman" w:hAnsi="Times New Roman"/>
        </w:rPr>
        <w:t>.</w:t>
      </w:r>
      <w:r w:rsidR="0048458F" w:rsidRPr="008D3C0D">
        <w:rPr>
          <w:rFonts w:ascii="Times New Roman" w:hAnsi="Times New Roman"/>
        </w:rPr>
        <w:t xml:space="preserve"> </w:t>
      </w:r>
      <w:r w:rsidR="00EC4117" w:rsidRPr="008D3C0D">
        <w:rPr>
          <w:rFonts w:ascii="Times New Roman" w:hAnsi="Times New Roman"/>
        </w:rPr>
        <w:t xml:space="preserve">The trial judge rejected the appellant's submission that the </w:t>
      </w:r>
      <w:r w:rsidR="004A23F8" w:rsidRPr="008D3C0D">
        <w:rPr>
          <w:rFonts w:ascii="Times New Roman" w:hAnsi="Times New Roman"/>
        </w:rPr>
        <w:t>evidence was admissible because it fell within an exception to the prohibition in s</w:t>
      </w:r>
      <w:r w:rsidR="00781BBD" w:rsidRPr="008D3C0D">
        <w:rPr>
          <w:rFonts w:ascii="Times New Roman" w:hAnsi="Times New Roman"/>
        </w:rPr>
        <w:t> </w:t>
      </w:r>
      <w:r w:rsidR="004A23F8" w:rsidRPr="008D3C0D">
        <w:rPr>
          <w:rFonts w:ascii="Times New Roman" w:hAnsi="Times New Roman"/>
        </w:rPr>
        <w:t>293(3)</w:t>
      </w:r>
      <w:r w:rsidR="00147ABF" w:rsidRPr="008D3C0D">
        <w:rPr>
          <w:rFonts w:ascii="Times New Roman" w:hAnsi="Times New Roman"/>
        </w:rPr>
        <w:t xml:space="preserve">, </w:t>
      </w:r>
      <w:r w:rsidR="00781BBD" w:rsidRPr="008D3C0D">
        <w:rPr>
          <w:rFonts w:ascii="Times New Roman" w:hAnsi="Times New Roman"/>
        </w:rPr>
        <w:t xml:space="preserve">namely that </w:t>
      </w:r>
      <w:r w:rsidR="00147ABF" w:rsidRPr="008D3C0D">
        <w:rPr>
          <w:rFonts w:ascii="Times New Roman" w:hAnsi="Times New Roman"/>
        </w:rPr>
        <w:t>contained in s</w:t>
      </w:r>
      <w:r w:rsidR="00781BBD" w:rsidRPr="008D3C0D">
        <w:rPr>
          <w:rFonts w:ascii="Times New Roman" w:hAnsi="Times New Roman"/>
        </w:rPr>
        <w:t> </w:t>
      </w:r>
      <w:r w:rsidR="00147ABF" w:rsidRPr="008D3C0D">
        <w:rPr>
          <w:rFonts w:ascii="Times New Roman" w:hAnsi="Times New Roman"/>
        </w:rPr>
        <w:t>293(4)(b)</w:t>
      </w:r>
      <w:r w:rsidR="00B8563C" w:rsidRPr="008D3C0D">
        <w:rPr>
          <w:rFonts w:ascii="Times New Roman" w:hAnsi="Times New Roman"/>
        </w:rPr>
        <w:t>. That exception</w:t>
      </w:r>
      <w:r w:rsidR="008F56F2" w:rsidRPr="008D3C0D">
        <w:rPr>
          <w:rFonts w:ascii="Times New Roman" w:hAnsi="Times New Roman"/>
        </w:rPr>
        <w:t>, which is</w:t>
      </w:r>
      <w:r w:rsidR="00145F36" w:rsidRPr="008D3C0D">
        <w:rPr>
          <w:rFonts w:ascii="Times New Roman" w:hAnsi="Times New Roman"/>
        </w:rPr>
        <w:t xml:space="preserve"> subject to a proviso</w:t>
      </w:r>
      <w:r w:rsidR="00134C2F" w:rsidRPr="008D3C0D">
        <w:rPr>
          <w:rFonts w:ascii="Times New Roman" w:hAnsi="Times New Roman"/>
        </w:rPr>
        <w:t xml:space="preserve"> that the probative value of the evidence outweighs any distress, humiliation or embarrassment that the complainant might </w:t>
      </w:r>
      <w:r w:rsidR="00134C2F" w:rsidRPr="008D3C0D">
        <w:rPr>
          <w:rFonts w:ascii="Times New Roman" w:hAnsi="Times New Roman"/>
        </w:rPr>
        <w:lastRenderedPageBreak/>
        <w:t>suffer as a result of its admission</w:t>
      </w:r>
      <w:r w:rsidR="00145F36" w:rsidRPr="008D3C0D">
        <w:rPr>
          <w:rFonts w:ascii="Times New Roman" w:hAnsi="Times New Roman"/>
        </w:rPr>
        <w:t>,</w:t>
      </w:r>
      <w:r w:rsidR="00B8563C" w:rsidRPr="008D3C0D">
        <w:rPr>
          <w:rFonts w:ascii="Times New Roman" w:hAnsi="Times New Roman"/>
        </w:rPr>
        <w:t xml:space="preserve"> permits</w:t>
      </w:r>
      <w:r w:rsidR="008F56F2" w:rsidRPr="008D3C0D">
        <w:rPr>
          <w:rFonts w:ascii="Times New Roman" w:hAnsi="Times New Roman"/>
        </w:rPr>
        <w:t xml:space="preserve"> the</w:t>
      </w:r>
      <w:r w:rsidR="00B8563C" w:rsidRPr="008D3C0D">
        <w:rPr>
          <w:rFonts w:ascii="Times New Roman" w:hAnsi="Times New Roman"/>
        </w:rPr>
        <w:t xml:space="preserve"> admission </w:t>
      </w:r>
      <w:r w:rsidR="00145F36" w:rsidRPr="008D3C0D">
        <w:rPr>
          <w:rFonts w:ascii="Times New Roman" w:hAnsi="Times New Roman"/>
        </w:rPr>
        <w:t xml:space="preserve">of </w:t>
      </w:r>
      <w:r w:rsidR="00B165DB" w:rsidRPr="008D3C0D">
        <w:rPr>
          <w:rFonts w:ascii="Times New Roman" w:hAnsi="Times New Roman"/>
        </w:rPr>
        <w:t>"</w:t>
      </w:r>
      <w:r w:rsidR="00B8563C" w:rsidRPr="008D3C0D">
        <w:rPr>
          <w:rFonts w:ascii="Times New Roman" w:hAnsi="Times New Roman"/>
        </w:rPr>
        <w:t>evidence relate</w:t>
      </w:r>
      <w:r w:rsidR="00B165DB" w:rsidRPr="008D3C0D">
        <w:rPr>
          <w:rFonts w:ascii="Times New Roman" w:hAnsi="Times New Roman"/>
        </w:rPr>
        <w:t>[</w:t>
      </w:r>
      <w:r w:rsidR="00B8563C" w:rsidRPr="008D3C0D">
        <w:rPr>
          <w:rFonts w:ascii="Times New Roman" w:hAnsi="Times New Roman"/>
        </w:rPr>
        <w:t>d</w:t>
      </w:r>
      <w:r w:rsidR="00B165DB" w:rsidRPr="008D3C0D">
        <w:rPr>
          <w:rFonts w:ascii="Times New Roman" w:hAnsi="Times New Roman"/>
        </w:rPr>
        <w:t>]</w:t>
      </w:r>
      <w:r w:rsidR="00B8563C" w:rsidRPr="008D3C0D">
        <w:rPr>
          <w:rFonts w:ascii="Times New Roman" w:hAnsi="Times New Roman"/>
        </w:rPr>
        <w:t xml:space="preserve"> to a relationship that was existing or recent at the time of the commission of the alleged prescribed sexual offence, being a relationship between the accused person and the complainant</w:t>
      </w:r>
      <w:r w:rsidR="00B165DB" w:rsidRPr="008D3C0D">
        <w:rPr>
          <w:rFonts w:ascii="Times New Roman" w:hAnsi="Times New Roman"/>
        </w:rPr>
        <w:t>"</w:t>
      </w:r>
      <w:r w:rsidR="00BC354C" w:rsidRPr="008D3C0D">
        <w:rPr>
          <w:rFonts w:ascii="Times New Roman" w:hAnsi="Times New Roman"/>
        </w:rPr>
        <w:t>.</w:t>
      </w:r>
      <w:r w:rsidR="00657491" w:rsidRPr="008D3C0D">
        <w:rPr>
          <w:rFonts w:ascii="Times New Roman" w:hAnsi="Times New Roman"/>
        </w:rPr>
        <w:t xml:space="preserve"> </w:t>
      </w:r>
    </w:p>
    <w:p w14:paraId="1BF34F30" w14:textId="0977BF66" w:rsidR="00F47A63" w:rsidRPr="008D3C0D" w:rsidRDefault="00F47A63"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657491" w:rsidRPr="008D3C0D">
        <w:rPr>
          <w:rFonts w:ascii="Times New Roman" w:hAnsi="Times New Roman"/>
        </w:rPr>
        <w:t xml:space="preserve">In rejecting the </w:t>
      </w:r>
      <w:r w:rsidR="00F11ABC" w:rsidRPr="008D3C0D">
        <w:rPr>
          <w:rFonts w:ascii="Times New Roman" w:hAnsi="Times New Roman"/>
        </w:rPr>
        <w:t xml:space="preserve">admission of the </w:t>
      </w:r>
      <w:r w:rsidR="007068FA" w:rsidRPr="008D3C0D">
        <w:rPr>
          <w:rFonts w:ascii="Times New Roman" w:hAnsi="Times New Roman"/>
        </w:rPr>
        <w:t xml:space="preserve">Queensland </w:t>
      </w:r>
      <w:r w:rsidR="00657491" w:rsidRPr="008D3C0D">
        <w:rPr>
          <w:rFonts w:ascii="Times New Roman" w:hAnsi="Times New Roman"/>
        </w:rPr>
        <w:t xml:space="preserve">evidence, it is common ground that the trial judge </w:t>
      </w:r>
      <w:r w:rsidRPr="008D3C0D">
        <w:rPr>
          <w:rFonts w:ascii="Times New Roman" w:hAnsi="Times New Roman"/>
        </w:rPr>
        <w:t xml:space="preserve">misunderstood the appellant's argument concerning why the proposed evidence fell within the exception in s 293(4)(b) of the </w:t>
      </w:r>
      <w:r w:rsidRPr="008D3C0D">
        <w:rPr>
          <w:rFonts w:ascii="Times New Roman" w:hAnsi="Times New Roman"/>
          <w:i/>
          <w:iCs/>
        </w:rPr>
        <w:t>Criminal Procedure Act</w:t>
      </w:r>
      <w:r w:rsidR="00DF4698" w:rsidRPr="008D3C0D">
        <w:rPr>
          <w:rFonts w:ascii="Times New Roman" w:hAnsi="Times New Roman"/>
        </w:rPr>
        <w:t>,</w:t>
      </w:r>
      <w:r w:rsidRPr="008D3C0D">
        <w:rPr>
          <w:rFonts w:ascii="Times New Roman" w:hAnsi="Times New Roman"/>
          <w:i/>
          <w:iCs/>
        </w:rPr>
        <w:t xml:space="preserve"> </w:t>
      </w:r>
      <w:r w:rsidR="00DF4698" w:rsidRPr="008D3C0D">
        <w:rPr>
          <w:rFonts w:ascii="Times New Roman" w:hAnsi="Times New Roman"/>
        </w:rPr>
        <w:t>which would allow the evidence to</w:t>
      </w:r>
      <w:r w:rsidRPr="008D3C0D">
        <w:rPr>
          <w:rFonts w:ascii="Times New Roman" w:hAnsi="Times New Roman"/>
        </w:rPr>
        <w:t xml:space="preserve"> be the subject of examination or cross-examination. The trial judge had mistakenly treated the relationship that was relied upon by the appellant as a relationship between the complainant and the Queensland offender rather than a relationship </w:t>
      </w:r>
      <w:r w:rsidR="00E60F00" w:rsidRPr="008D3C0D">
        <w:rPr>
          <w:rFonts w:ascii="Times New Roman" w:hAnsi="Times New Roman"/>
        </w:rPr>
        <w:t xml:space="preserve">of confidence </w:t>
      </w:r>
      <w:r w:rsidRPr="008D3C0D">
        <w:rPr>
          <w:rFonts w:ascii="Times New Roman" w:hAnsi="Times New Roman"/>
        </w:rPr>
        <w:t>between the complainant and the appellant.</w:t>
      </w:r>
      <w:r w:rsidRPr="008D3C0D">
        <w:rPr>
          <w:rStyle w:val="FootnoteReference"/>
          <w:rFonts w:ascii="Times New Roman" w:hAnsi="Times New Roman"/>
          <w:sz w:val="24"/>
        </w:rPr>
        <w:footnoteReference w:id="6"/>
      </w:r>
    </w:p>
    <w:p w14:paraId="18EBE10D" w14:textId="0F7BD086" w:rsidR="002450B1" w:rsidRPr="008D3C0D" w:rsidRDefault="00BC354C"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781FA9" w:rsidRPr="008D3C0D">
        <w:rPr>
          <w:rFonts w:ascii="Times New Roman" w:hAnsi="Times New Roman"/>
        </w:rPr>
        <w:t xml:space="preserve">In rejecting </w:t>
      </w:r>
      <w:r w:rsidRPr="008D3C0D">
        <w:rPr>
          <w:rFonts w:ascii="Times New Roman" w:hAnsi="Times New Roman"/>
        </w:rPr>
        <w:t xml:space="preserve">the admission of the </w:t>
      </w:r>
      <w:r w:rsidR="003D1F96" w:rsidRPr="008D3C0D">
        <w:rPr>
          <w:rFonts w:ascii="Times New Roman" w:hAnsi="Times New Roman"/>
        </w:rPr>
        <w:t xml:space="preserve">Queensland </w:t>
      </w:r>
      <w:r w:rsidRPr="008D3C0D">
        <w:rPr>
          <w:rFonts w:ascii="Times New Roman" w:hAnsi="Times New Roman"/>
        </w:rPr>
        <w:t>evidence,</w:t>
      </w:r>
      <w:r w:rsidR="0048458F" w:rsidRPr="008D3C0D">
        <w:rPr>
          <w:rFonts w:ascii="Times New Roman" w:hAnsi="Times New Roman"/>
        </w:rPr>
        <w:t xml:space="preserve"> </w:t>
      </w:r>
      <w:r w:rsidR="00781FA9" w:rsidRPr="008D3C0D">
        <w:rPr>
          <w:rFonts w:ascii="Times New Roman" w:hAnsi="Times New Roman"/>
        </w:rPr>
        <w:t>the trial judge</w:t>
      </w:r>
      <w:r w:rsidR="00904BAF" w:rsidRPr="008D3C0D">
        <w:rPr>
          <w:rFonts w:ascii="Times New Roman" w:hAnsi="Times New Roman"/>
        </w:rPr>
        <w:t xml:space="preserve"> </w:t>
      </w:r>
      <w:r w:rsidR="0048458F" w:rsidRPr="008D3C0D">
        <w:rPr>
          <w:rFonts w:ascii="Times New Roman" w:hAnsi="Times New Roman"/>
        </w:rPr>
        <w:t xml:space="preserve">said that </w:t>
      </w:r>
      <w:r w:rsidR="001C3A0F" w:rsidRPr="008D3C0D">
        <w:rPr>
          <w:rFonts w:ascii="Times New Roman" w:hAnsi="Times New Roman"/>
        </w:rPr>
        <w:t xml:space="preserve">although he considered </w:t>
      </w:r>
      <w:r w:rsidR="00F7096E" w:rsidRPr="008D3C0D">
        <w:rPr>
          <w:rFonts w:ascii="Times New Roman" w:hAnsi="Times New Roman"/>
        </w:rPr>
        <w:t xml:space="preserve">that "Parliament did not intend the result which has occurred in this case" </w:t>
      </w:r>
      <w:r w:rsidR="009C33C6" w:rsidRPr="008D3C0D">
        <w:rPr>
          <w:rFonts w:ascii="Times New Roman" w:hAnsi="Times New Roman"/>
        </w:rPr>
        <w:t xml:space="preserve">by which the complainant could not </w:t>
      </w:r>
      <w:r w:rsidR="009B786C" w:rsidRPr="008D3C0D">
        <w:rPr>
          <w:rFonts w:ascii="Times New Roman" w:hAnsi="Times New Roman"/>
        </w:rPr>
        <w:t>"</w:t>
      </w:r>
      <w:r w:rsidR="009C33C6" w:rsidRPr="008D3C0D">
        <w:rPr>
          <w:rFonts w:ascii="Times New Roman" w:hAnsi="Times New Roman"/>
        </w:rPr>
        <w:t>be cross-examined as extensively as ... the interests of justice require</w:t>
      </w:r>
      <w:r w:rsidR="00B129D3" w:rsidRPr="008D3C0D">
        <w:rPr>
          <w:rFonts w:ascii="Times New Roman" w:hAnsi="Times New Roman"/>
        </w:rPr>
        <w:t>"</w:t>
      </w:r>
      <w:r w:rsidR="00781E89" w:rsidRPr="008D3C0D">
        <w:rPr>
          <w:rFonts w:ascii="Times New Roman" w:hAnsi="Times New Roman"/>
        </w:rPr>
        <w:t>,</w:t>
      </w:r>
      <w:r w:rsidR="00B129D3" w:rsidRPr="008D3C0D">
        <w:rPr>
          <w:rFonts w:ascii="Times New Roman" w:hAnsi="Times New Roman"/>
        </w:rPr>
        <w:t xml:space="preserve"> it was open for counsel for the appellant to </w:t>
      </w:r>
      <w:r w:rsidR="00C522DA" w:rsidRPr="008D3C0D">
        <w:rPr>
          <w:rFonts w:ascii="Times New Roman" w:hAnsi="Times New Roman"/>
        </w:rPr>
        <w:t>"modify his proposed cross-examination so as to delete the context in which the Queensland proceedings occurred".</w:t>
      </w:r>
      <w:r w:rsidR="00C522DA" w:rsidRPr="008D3C0D">
        <w:rPr>
          <w:rStyle w:val="FootnoteReference"/>
          <w:rFonts w:ascii="Times New Roman" w:hAnsi="Times New Roman"/>
          <w:sz w:val="24"/>
        </w:rPr>
        <w:footnoteReference w:id="7"/>
      </w:r>
    </w:p>
    <w:p w14:paraId="41FAAC9F" w14:textId="38798211" w:rsidR="00DF012D" w:rsidRPr="008D3C0D" w:rsidRDefault="002450B1" w:rsidP="008D3C0D">
      <w:pPr>
        <w:pStyle w:val="FixListStyle"/>
        <w:spacing w:after="260" w:line="280" w:lineRule="exact"/>
        <w:ind w:right="0"/>
        <w:jc w:val="both"/>
        <w:rPr>
          <w:rFonts w:ascii="Times New Roman" w:hAnsi="Times New Roman"/>
        </w:rPr>
      </w:pPr>
      <w:r w:rsidRPr="008D3C0D">
        <w:rPr>
          <w:rFonts w:ascii="Times New Roman" w:hAnsi="Times New Roman"/>
        </w:rPr>
        <w:tab/>
      </w:r>
      <w:proofErr w:type="gramStart"/>
      <w:r w:rsidR="003E0547" w:rsidRPr="008D3C0D">
        <w:rPr>
          <w:rFonts w:ascii="Times New Roman" w:hAnsi="Times New Roman"/>
        </w:rPr>
        <w:t>As a consequence of</w:t>
      </w:r>
      <w:proofErr w:type="gramEnd"/>
      <w:r w:rsidR="003E0547" w:rsidRPr="008D3C0D">
        <w:rPr>
          <w:rFonts w:ascii="Times New Roman" w:hAnsi="Times New Roman"/>
        </w:rPr>
        <w:t xml:space="preserve"> the ruling by the trial judge, </w:t>
      </w:r>
      <w:r w:rsidR="007618F1" w:rsidRPr="008D3C0D">
        <w:rPr>
          <w:rFonts w:ascii="Times New Roman" w:hAnsi="Times New Roman"/>
        </w:rPr>
        <w:t xml:space="preserve">counsel for the appellant </w:t>
      </w:r>
      <w:r w:rsidR="00AE7D51" w:rsidRPr="008D3C0D">
        <w:rPr>
          <w:rFonts w:ascii="Times New Roman" w:hAnsi="Times New Roman"/>
        </w:rPr>
        <w:t xml:space="preserve">proposed to refer in cross-examination to the Queensland </w:t>
      </w:r>
      <w:r w:rsidR="00F75344" w:rsidRPr="008D3C0D">
        <w:rPr>
          <w:rFonts w:ascii="Times New Roman" w:hAnsi="Times New Roman"/>
        </w:rPr>
        <w:t xml:space="preserve">conduct </w:t>
      </w:r>
      <w:r w:rsidR="00AE7D51" w:rsidRPr="008D3C0D">
        <w:rPr>
          <w:rFonts w:ascii="Times New Roman" w:hAnsi="Times New Roman"/>
        </w:rPr>
        <w:t xml:space="preserve">as "physical assaults". </w:t>
      </w:r>
      <w:r w:rsidR="00E36F25" w:rsidRPr="008D3C0D">
        <w:rPr>
          <w:rFonts w:ascii="Times New Roman" w:hAnsi="Times New Roman"/>
        </w:rPr>
        <w:t xml:space="preserve">The trial judge accepted that this expedient would not be contrary to his ruling on the </w:t>
      </w:r>
      <w:proofErr w:type="spellStart"/>
      <w:r w:rsidR="00E36F25" w:rsidRPr="008D3C0D">
        <w:rPr>
          <w:rFonts w:ascii="Times New Roman" w:hAnsi="Times New Roman"/>
        </w:rPr>
        <w:t>voir</w:t>
      </w:r>
      <w:proofErr w:type="spellEnd"/>
      <w:r w:rsidR="00E36F25" w:rsidRPr="008D3C0D">
        <w:rPr>
          <w:rFonts w:ascii="Times New Roman" w:hAnsi="Times New Roman"/>
        </w:rPr>
        <w:t xml:space="preserve"> dire.</w:t>
      </w:r>
    </w:p>
    <w:p w14:paraId="53311456" w14:textId="755E5BED" w:rsidR="00836666" w:rsidRPr="008D3C0D" w:rsidRDefault="00DF012D"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7565C8" w:rsidRPr="008D3C0D">
        <w:rPr>
          <w:rFonts w:ascii="Times New Roman" w:hAnsi="Times New Roman"/>
        </w:rPr>
        <w:t xml:space="preserve">The complainant was cross-examined </w:t>
      </w:r>
      <w:r w:rsidRPr="008D3C0D">
        <w:rPr>
          <w:rFonts w:ascii="Times New Roman" w:hAnsi="Times New Roman"/>
        </w:rPr>
        <w:t xml:space="preserve">consistently with that </w:t>
      </w:r>
      <w:r w:rsidR="00365F1C" w:rsidRPr="008D3C0D">
        <w:rPr>
          <w:rFonts w:ascii="Times New Roman" w:hAnsi="Times New Roman"/>
        </w:rPr>
        <w:t>approach</w:t>
      </w:r>
      <w:r w:rsidR="007565C8" w:rsidRPr="008D3C0D">
        <w:rPr>
          <w:rFonts w:ascii="Times New Roman" w:hAnsi="Times New Roman"/>
        </w:rPr>
        <w:t xml:space="preserve">. She </w:t>
      </w:r>
      <w:r w:rsidR="005B6093" w:rsidRPr="008D3C0D">
        <w:rPr>
          <w:rFonts w:ascii="Times New Roman" w:hAnsi="Times New Roman"/>
        </w:rPr>
        <w:t>accepted in cross-examination that she had been "physically assaulted by a person in Queensland"</w:t>
      </w:r>
      <w:r w:rsidR="00BE0883" w:rsidRPr="008D3C0D">
        <w:rPr>
          <w:rFonts w:ascii="Times New Roman" w:hAnsi="Times New Roman"/>
        </w:rPr>
        <w:t xml:space="preserve"> and that the person </w:t>
      </w:r>
      <w:r w:rsidR="00B0242B" w:rsidRPr="008D3C0D">
        <w:rPr>
          <w:rFonts w:ascii="Times New Roman" w:hAnsi="Times New Roman"/>
        </w:rPr>
        <w:t xml:space="preserve">had </w:t>
      </w:r>
      <w:r w:rsidR="008A4A5E" w:rsidRPr="008D3C0D">
        <w:rPr>
          <w:rFonts w:ascii="Times New Roman" w:hAnsi="Times New Roman"/>
        </w:rPr>
        <w:t xml:space="preserve">eventually </w:t>
      </w:r>
      <w:r w:rsidR="00B0242B" w:rsidRPr="008D3C0D">
        <w:rPr>
          <w:rFonts w:ascii="Times New Roman" w:hAnsi="Times New Roman"/>
        </w:rPr>
        <w:t>pleaded guilty to physically assaulting her</w:t>
      </w:r>
      <w:r w:rsidR="00BE0883" w:rsidRPr="008D3C0D">
        <w:rPr>
          <w:rFonts w:ascii="Times New Roman" w:hAnsi="Times New Roman"/>
        </w:rPr>
        <w:t>.</w:t>
      </w:r>
      <w:r w:rsidR="00BF4C54" w:rsidRPr="008D3C0D">
        <w:rPr>
          <w:rFonts w:ascii="Times New Roman" w:hAnsi="Times New Roman"/>
        </w:rPr>
        <w:t xml:space="preserve"> And, as explained later in these reasons in more detail, she was cross-examined in detail about </w:t>
      </w:r>
      <w:r w:rsidR="00DC11FC" w:rsidRPr="008D3C0D">
        <w:rPr>
          <w:rFonts w:ascii="Times New Roman" w:hAnsi="Times New Roman"/>
        </w:rPr>
        <w:t>three</w:t>
      </w:r>
      <w:r w:rsidR="00DE4558" w:rsidRPr="008D3C0D">
        <w:rPr>
          <w:rFonts w:ascii="Times New Roman" w:hAnsi="Times New Roman"/>
        </w:rPr>
        <w:t xml:space="preserve"> of the four </w:t>
      </w:r>
      <w:r w:rsidR="00DC11FC" w:rsidRPr="008D3C0D">
        <w:rPr>
          <w:rFonts w:ascii="Times New Roman" w:hAnsi="Times New Roman"/>
        </w:rPr>
        <w:t>ways</w:t>
      </w:r>
      <w:r w:rsidR="00DE4558" w:rsidRPr="008D3C0D">
        <w:rPr>
          <w:rFonts w:ascii="Times New Roman" w:hAnsi="Times New Roman"/>
        </w:rPr>
        <w:t xml:space="preserve"> in which it had been said that the </w:t>
      </w:r>
      <w:r w:rsidR="00223943" w:rsidRPr="008D3C0D">
        <w:rPr>
          <w:rFonts w:ascii="Times New Roman" w:hAnsi="Times New Roman"/>
        </w:rPr>
        <w:t xml:space="preserve">Queensland </w:t>
      </w:r>
      <w:r w:rsidR="00DE4558" w:rsidRPr="008D3C0D">
        <w:rPr>
          <w:rFonts w:ascii="Times New Roman" w:hAnsi="Times New Roman"/>
        </w:rPr>
        <w:t xml:space="preserve">evidence </w:t>
      </w:r>
      <w:r w:rsidR="00DC11FC" w:rsidRPr="008D3C0D">
        <w:rPr>
          <w:rFonts w:ascii="Times New Roman" w:hAnsi="Times New Roman"/>
        </w:rPr>
        <w:t>was relevant</w:t>
      </w:r>
      <w:r w:rsidR="00E55B12" w:rsidRPr="008D3C0D">
        <w:rPr>
          <w:rFonts w:ascii="Times New Roman" w:hAnsi="Times New Roman"/>
        </w:rPr>
        <w:t xml:space="preserve"> to these proceedings</w:t>
      </w:r>
      <w:r w:rsidR="00DC11FC" w:rsidRPr="008D3C0D">
        <w:rPr>
          <w:rFonts w:ascii="Times New Roman" w:hAnsi="Times New Roman"/>
        </w:rPr>
        <w:t>. The only point of relevance upon which she was not cross-examined</w:t>
      </w:r>
      <w:r w:rsidR="00221BE7" w:rsidRPr="008D3C0D">
        <w:rPr>
          <w:rFonts w:ascii="Times New Roman" w:hAnsi="Times New Roman"/>
        </w:rPr>
        <w:t xml:space="preserve"> concerned the submission that</w:t>
      </w:r>
      <w:r w:rsidR="003C668D" w:rsidRPr="008D3C0D">
        <w:rPr>
          <w:rFonts w:ascii="Times New Roman" w:hAnsi="Times New Roman"/>
        </w:rPr>
        <w:t xml:space="preserve"> her knowledge of</w:t>
      </w:r>
      <w:r w:rsidR="00221BE7" w:rsidRPr="008D3C0D">
        <w:rPr>
          <w:rFonts w:ascii="Times New Roman" w:hAnsi="Times New Roman"/>
        </w:rPr>
        <w:t xml:space="preserve"> the Queensland </w:t>
      </w:r>
      <w:r w:rsidR="00656EEB" w:rsidRPr="008D3C0D">
        <w:rPr>
          <w:rFonts w:ascii="Times New Roman" w:hAnsi="Times New Roman"/>
        </w:rPr>
        <w:t xml:space="preserve">conduct </w:t>
      </w:r>
      <w:r w:rsidR="00221BE7" w:rsidRPr="008D3C0D">
        <w:rPr>
          <w:rFonts w:ascii="Times New Roman" w:hAnsi="Times New Roman"/>
        </w:rPr>
        <w:t>supported a case of</w:t>
      </w:r>
      <w:r w:rsidR="00DC11FC" w:rsidRPr="008D3C0D">
        <w:rPr>
          <w:rFonts w:ascii="Times New Roman" w:hAnsi="Times New Roman"/>
        </w:rPr>
        <w:t xml:space="preserve"> conflation or fabrication. </w:t>
      </w:r>
      <w:r w:rsidR="00BE0883" w:rsidRPr="008D3C0D">
        <w:rPr>
          <w:rFonts w:ascii="Times New Roman" w:hAnsi="Times New Roman"/>
        </w:rPr>
        <w:t xml:space="preserve"> </w:t>
      </w:r>
      <w:r w:rsidR="00FC3EAF" w:rsidRPr="008D3C0D">
        <w:rPr>
          <w:rFonts w:ascii="Times New Roman" w:hAnsi="Times New Roman"/>
        </w:rPr>
        <w:t xml:space="preserve"> </w:t>
      </w:r>
    </w:p>
    <w:p w14:paraId="343C2B94" w14:textId="634EE48C" w:rsidR="002230E4" w:rsidRPr="008D3C0D" w:rsidRDefault="00E04B0F" w:rsidP="008D3C0D">
      <w:pPr>
        <w:pStyle w:val="HeadingL2"/>
        <w:spacing w:after="260" w:line="280" w:lineRule="exact"/>
        <w:ind w:right="0"/>
        <w:jc w:val="both"/>
        <w:rPr>
          <w:rFonts w:ascii="Times New Roman" w:hAnsi="Times New Roman"/>
        </w:rPr>
      </w:pPr>
      <w:r w:rsidRPr="008D3C0D">
        <w:rPr>
          <w:rFonts w:ascii="Times New Roman" w:hAnsi="Times New Roman"/>
        </w:rPr>
        <w:lastRenderedPageBreak/>
        <w:t>The Court of Criminal Appeal</w:t>
      </w:r>
      <w:r w:rsidR="003C2B3F" w:rsidRPr="008D3C0D">
        <w:rPr>
          <w:rFonts w:ascii="Times New Roman" w:hAnsi="Times New Roman"/>
        </w:rPr>
        <w:t xml:space="preserve"> </w:t>
      </w:r>
    </w:p>
    <w:p w14:paraId="51076291" w14:textId="142E1B2F" w:rsidR="00A54029" w:rsidRPr="008D3C0D" w:rsidRDefault="00A54029"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Before the Court of Criminal Appeal, </w:t>
      </w:r>
      <w:r w:rsidR="008E1A67" w:rsidRPr="008D3C0D">
        <w:rPr>
          <w:rFonts w:ascii="Times New Roman" w:hAnsi="Times New Roman"/>
        </w:rPr>
        <w:t>the appellant had three grounds of appeal. T</w:t>
      </w:r>
      <w:r w:rsidRPr="008D3C0D">
        <w:rPr>
          <w:rFonts w:ascii="Times New Roman" w:hAnsi="Times New Roman"/>
        </w:rPr>
        <w:t>he</w:t>
      </w:r>
      <w:r w:rsidR="00304EEA" w:rsidRPr="008D3C0D">
        <w:rPr>
          <w:rFonts w:ascii="Times New Roman" w:hAnsi="Times New Roman"/>
        </w:rPr>
        <w:t xml:space="preserve"> appellant's first ground of appeal was </w:t>
      </w:r>
      <w:r w:rsidR="008E1A67" w:rsidRPr="008D3C0D">
        <w:rPr>
          <w:rFonts w:ascii="Times New Roman" w:hAnsi="Times New Roman"/>
        </w:rPr>
        <w:t xml:space="preserve">unanimously upheld. This ground was </w:t>
      </w:r>
      <w:r w:rsidR="00304EEA" w:rsidRPr="008D3C0D">
        <w:rPr>
          <w:rFonts w:ascii="Times New Roman" w:hAnsi="Times New Roman"/>
        </w:rPr>
        <w:t xml:space="preserve">that </w:t>
      </w:r>
      <w:r w:rsidR="00AA7F28" w:rsidRPr="008D3C0D">
        <w:rPr>
          <w:rFonts w:ascii="Times New Roman" w:hAnsi="Times New Roman"/>
        </w:rPr>
        <w:t xml:space="preserve">the trial </w:t>
      </w:r>
      <w:r w:rsidR="00E467FD" w:rsidRPr="008D3C0D">
        <w:rPr>
          <w:rFonts w:ascii="Times New Roman" w:hAnsi="Times New Roman"/>
        </w:rPr>
        <w:t xml:space="preserve">judge had erred </w:t>
      </w:r>
      <w:r w:rsidR="00304EEA" w:rsidRPr="008D3C0D">
        <w:rPr>
          <w:rFonts w:ascii="Times New Roman" w:hAnsi="Times New Roman"/>
        </w:rPr>
        <w:t xml:space="preserve">by giving </w:t>
      </w:r>
      <w:r w:rsidR="004E7DBC" w:rsidRPr="008D3C0D">
        <w:rPr>
          <w:rFonts w:ascii="Times New Roman" w:hAnsi="Times New Roman"/>
        </w:rPr>
        <w:t xml:space="preserve">the jury a "Jury Question Trail" </w:t>
      </w:r>
      <w:r w:rsidR="000C16D8" w:rsidRPr="008D3C0D">
        <w:rPr>
          <w:rFonts w:ascii="Times New Roman" w:hAnsi="Times New Roman"/>
        </w:rPr>
        <w:t xml:space="preserve">document </w:t>
      </w:r>
      <w:r w:rsidR="004E7DBC" w:rsidRPr="008D3C0D">
        <w:rPr>
          <w:rFonts w:ascii="Times New Roman" w:hAnsi="Times New Roman"/>
        </w:rPr>
        <w:t>w</w:t>
      </w:r>
      <w:r w:rsidR="00304EEA" w:rsidRPr="008D3C0D">
        <w:rPr>
          <w:rFonts w:ascii="Times New Roman" w:hAnsi="Times New Roman"/>
        </w:rPr>
        <w:t>ithout</w:t>
      </w:r>
      <w:r w:rsidR="004E7DBC" w:rsidRPr="008D3C0D">
        <w:rPr>
          <w:rFonts w:ascii="Times New Roman" w:hAnsi="Times New Roman"/>
        </w:rPr>
        <w:t xml:space="preserve"> read</w:t>
      </w:r>
      <w:r w:rsidR="00304EEA" w:rsidRPr="008D3C0D">
        <w:rPr>
          <w:rFonts w:ascii="Times New Roman" w:hAnsi="Times New Roman"/>
        </w:rPr>
        <w:t>ing</w:t>
      </w:r>
      <w:r w:rsidR="004E7DBC" w:rsidRPr="008D3C0D">
        <w:rPr>
          <w:rFonts w:ascii="Times New Roman" w:hAnsi="Times New Roman"/>
        </w:rPr>
        <w:t xml:space="preserve"> or explain</w:t>
      </w:r>
      <w:r w:rsidR="00304EEA" w:rsidRPr="008D3C0D">
        <w:rPr>
          <w:rFonts w:ascii="Times New Roman" w:hAnsi="Times New Roman"/>
        </w:rPr>
        <w:t>ing it</w:t>
      </w:r>
      <w:r w:rsidR="004E7DBC" w:rsidRPr="008D3C0D">
        <w:rPr>
          <w:rFonts w:ascii="Times New Roman" w:hAnsi="Times New Roman"/>
        </w:rPr>
        <w:t xml:space="preserve"> to the jury</w:t>
      </w:r>
      <w:r w:rsidR="00304EEA" w:rsidRPr="008D3C0D">
        <w:rPr>
          <w:rFonts w:ascii="Times New Roman" w:hAnsi="Times New Roman"/>
        </w:rPr>
        <w:t xml:space="preserve">. </w:t>
      </w:r>
      <w:r w:rsidR="006A3625" w:rsidRPr="008D3C0D">
        <w:rPr>
          <w:rFonts w:ascii="Times New Roman" w:hAnsi="Times New Roman"/>
        </w:rPr>
        <w:t>The appellant</w:t>
      </w:r>
      <w:r w:rsidR="00304EEA" w:rsidRPr="008D3C0D">
        <w:rPr>
          <w:rFonts w:ascii="Times New Roman" w:hAnsi="Times New Roman"/>
        </w:rPr>
        <w:t xml:space="preserve"> submitted that the </w:t>
      </w:r>
      <w:r w:rsidR="0038628A" w:rsidRPr="008D3C0D">
        <w:rPr>
          <w:rFonts w:ascii="Times New Roman" w:hAnsi="Times New Roman"/>
        </w:rPr>
        <w:t xml:space="preserve">trial judge </w:t>
      </w:r>
      <w:r w:rsidR="00304EEA" w:rsidRPr="008D3C0D">
        <w:rPr>
          <w:rFonts w:ascii="Times New Roman" w:hAnsi="Times New Roman"/>
        </w:rPr>
        <w:t xml:space="preserve">and the parties were deprived of the </w:t>
      </w:r>
      <w:r w:rsidR="000C6105" w:rsidRPr="008D3C0D">
        <w:rPr>
          <w:rFonts w:ascii="Times New Roman" w:hAnsi="Times New Roman"/>
        </w:rPr>
        <w:t xml:space="preserve">opportunity to observe </w:t>
      </w:r>
      <w:r w:rsidR="00EB3F41" w:rsidRPr="008D3C0D">
        <w:rPr>
          <w:rFonts w:ascii="Times New Roman" w:hAnsi="Times New Roman"/>
        </w:rPr>
        <w:t xml:space="preserve">whether any members of the jury had </w:t>
      </w:r>
      <w:r w:rsidR="000C6105" w:rsidRPr="008D3C0D">
        <w:rPr>
          <w:rFonts w:ascii="Times New Roman" w:hAnsi="Times New Roman"/>
        </w:rPr>
        <w:t xml:space="preserve">any concern </w:t>
      </w:r>
      <w:r w:rsidR="00D720A2" w:rsidRPr="008D3C0D">
        <w:rPr>
          <w:rFonts w:ascii="Times New Roman" w:hAnsi="Times New Roman"/>
        </w:rPr>
        <w:t xml:space="preserve">about the </w:t>
      </w:r>
      <w:proofErr w:type="gramStart"/>
      <w:r w:rsidR="00D720A2" w:rsidRPr="008D3C0D">
        <w:rPr>
          <w:rFonts w:ascii="Times New Roman" w:hAnsi="Times New Roman"/>
        </w:rPr>
        <w:t>document</w:t>
      </w:r>
      <w:proofErr w:type="gramEnd"/>
      <w:r w:rsidR="00D720A2" w:rsidRPr="008D3C0D">
        <w:rPr>
          <w:rFonts w:ascii="Times New Roman" w:hAnsi="Times New Roman"/>
        </w:rPr>
        <w:t xml:space="preserve"> or its terms </w:t>
      </w:r>
      <w:r w:rsidR="008949FA" w:rsidRPr="008D3C0D">
        <w:rPr>
          <w:rFonts w:ascii="Times New Roman" w:hAnsi="Times New Roman"/>
        </w:rPr>
        <w:t>and</w:t>
      </w:r>
      <w:r w:rsidR="00EB3F41" w:rsidRPr="008D3C0D">
        <w:rPr>
          <w:rFonts w:ascii="Times New Roman" w:hAnsi="Times New Roman"/>
        </w:rPr>
        <w:t xml:space="preserve"> that the appellant was</w:t>
      </w:r>
      <w:r w:rsidR="008949FA" w:rsidRPr="008D3C0D">
        <w:rPr>
          <w:rFonts w:ascii="Times New Roman" w:hAnsi="Times New Roman"/>
        </w:rPr>
        <w:t xml:space="preserve"> prevented from assessing the extent to which individual jurors were reading the document and appreciating its gravamen and purpose</w:t>
      </w:r>
      <w:r w:rsidR="00E467FD" w:rsidRPr="008D3C0D">
        <w:rPr>
          <w:rFonts w:ascii="Times New Roman" w:hAnsi="Times New Roman"/>
        </w:rPr>
        <w:t xml:space="preserve">. </w:t>
      </w:r>
      <w:r w:rsidR="00B12ECE" w:rsidRPr="008D3C0D">
        <w:rPr>
          <w:rFonts w:ascii="Times New Roman" w:hAnsi="Times New Roman"/>
        </w:rPr>
        <w:t xml:space="preserve">The Crown conceded this ground of appeal. </w:t>
      </w:r>
      <w:r w:rsidR="005D46EB" w:rsidRPr="008D3C0D">
        <w:rPr>
          <w:rFonts w:ascii="Times New Roman" w:hAnsi="Times New Roman"/>
        </w:rPr>
        <w:t xml:space="preserve">The Court of Criminal Appeal </w:t>
      </w:r>
      <w:r w:rsidR="00D84E3A" w:rsidRPr="008D3C0D">
        <w:rPr>
          <w:rFonts w:ascii="Times New Roman" w:hAnsi="Times New Roman"/>
        </w:rPr>
        <w:t xml:space="preserve">unanimously </w:t>
      </w:r>
      <w:r w:rsidR="005D46EB" w:rsidRPr="008D3C0D">
        <w:rPr>
          <w:rFonts w:ascii="Times New Roman" w:hAnsi="Times New Roman"/>
        </w:rPr>
        <w:t>accepted that concession and held that a new trial should be ordered pursuant to s</w:t>
      </w:r>
      <w:r w:rsidR="0039098E" w:rsidRPr="008D3C0D">
        <w:rPr>
          <w:rFonts w:ascii="Times New Roman" w:hAnsi="Times New Roman"/>
        </w:rPr>
        <w:t> </w:t>
      </w:r>
      <w:r w:rsidR="005D46EB" w:rsidRPr="008D3C0D">
        <w:rPr>
          <w:rFonts w:ascii="Times New Roman" w:hAnsi="Times New Roman"/>
        </w:rPr>
        <w:t xml:space="preserve">8 of the </w:t>
      </w:r>
      <w:r w:rsidR="005D46EB" w:rsidRPr="008D3C0D">
        <w:rPr>
          <w:rFonts w:ascii="Times New Roman" w:hAnsi="Times New Roman"/>
          <w:i/>
          <w:iCs/>
        </w:rPr>
        <w:t xml:space="preserve">Criminal Appeal Act 1912 </w:t>
      </w:r>
      <w:r w:rsidR="005D46EB" w:rsidRPr="008D3C0D">
        <w:rPr>
          <w:rFonts w:ascii="Times New Roman" w:hAnsi="Times New Roman"/>
        </w:rPr>
        <w:t>(NSW).</w:t>
      </w:r>
    </w:p>
    <w:p w14:paraId="41B429A8" w14:textId="4865C69A" w:rsidR="00E57ABE" w:rsidRPr="008D3C0D" w:rsidRDefault="00E57AB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The </w:t>
      </w:r>
      <w:r w:rsidR="0039098E" w:rsidRPr="008D3C0D">
        <w:rPr>
          <w:rFonts w:ascii="Times New Roman" w:hAnsi="Times New Roman"/>
        </w:rPr>
        <w:t>second ground of appeal w</w:t>
      </w:r>
      <w:r w:rsidR="007F41C6" w:rsidRPr="008D3C0D">
        <w:rPr>
          <w:rFonts w:ascii="Times New Roman" w:hAnsi="Times New Roman"/>
        </w:rPr>
        <w:t>ould have been</w:t>
      </w:r>
      <w:r w:rsidR="0039098E" w:rsidRPr="008D3C0D">
        <w:rPr>
          <w:rFonts w:ascii="Times New Roman" w:hAnsi="Times New Roman"/>
        </w:rPr>
        <w:t xml:space="preserve"> upheld</w:t>
      </w:r>
      <w:r w:rsidR="007F41C6" w:rsidRPr="008D3C0D">
        <w:rPr>
          <w:rFonts w:ascii="Times New Roman" w:hAnsi="Times New Roman"/>
        </w:rPr>
        <w:t xml:space="preserve"> by</w:t>
      </w:r>
      <w:r w:rsidR="00064323" w:rsidRPr="008D3C0D">
        <w:rPr>
          <w:rFonts w:ascii="Times New Roman" w:hAnsi="Times New Roman"/>
        </w:rPr>
        <w:t xml:space="preserve"> the two judges who addressed it,</w:t>
      </w:r>
      <w:r w:rsidR="007F41C6" w:rsidRPr="008D3C0D">
        <w:rPr>
          <w:rFonts w:ascii="Times New Roman" w:hAnsi="Times New Roman"/>
        </w:rPr>
        <w:t xml:space="preserve"> </w:t>
      </w:r>
      <w:r w:rsidR="00064323" w:rsidRPr="008D3C0D">
        <w:rPr>
          <w:rFonts w:ascii="Times New Roman" w:hAnsi="Times New Roman"/>
        </w:rPr>
        <w:t>Beech-Jones</w:t>
      </w:r>
      <w:r w:rsidR="00C72CA5" w:rsidRPr="008D3C0D">
        <w:rPr>
          <w:rFonts w:ascii="Times New Roman" w:hAnsi="Times New Roman"/>
        </w:rPr>
        <w:t> </w:t>
      </w:r>
      <w:r w:rsidR="00064323" w:rsidRPr="008D3C0D">
        <w:rPr>
          <w:rFonts w:ascii="Times New Roman" w:hAnsi="Times New Roman"/>
        </w:rPr>
        <w:t>CJ at CL</w:t>
      </w:r>
      <w:r w:rsidR="007C317E" w:rsidRPr="008D3C0D">
        <w:rPr>
          <w:rFonts w:ascii="Times New Roman" w:hAnsi="Times New Roman"/>
        </w:rPr>
        <w:t xml:space="preserve"> and Adamson J</w:t>
      </w:r>
      <w:r w:rsidR="0039098E" w:rsidRPr="008D3C0D">
        <w:rPr>
          <w:rFonts w:ascii="Times New Roman" w:hAnsi="Times New Roman"/>
        </w:rPr>
        <w:t>.</w:t>
      </w:r>
      <w:r w:rsidR="00064323" w:rsidRPr="008D3C0D">
        <w:rPr>
          <w:rStyle w:val="FootnoteReference"/>
          <w:rFonts w:ascii="Times New Roman" w:hAnsi="Times New Roman"/>
          <w:sz w:val="24"/>
        </w:rPr>
        <w:footnoteReference w:id="8"/>
      </w:r>
      <w:r w:rsidR="0039098E" w:rsidRPr="008D3C0D">
        <w:rPr>
          <w:rFonts w:ascii="Times New Roman" w:hAnsi="Times New Roman"/>
        </w:rPr>
        <w:t xml:space="preserve"> This ground of appeal concerned an</w:t>
      </w:r>
      <w:r w:rsidR="00BC38F2" w:rsidRPr="008D3C0D">
        <w:rPr>
          <w:rFonts w:ascii="Times New Roman" w:hAnsi="Times New Roman"/>
        </w:rPr>
        <w:t xml:space="preserve"> error by the trial judge in a potentially prejudicial comment made to the jury.</w:t>
      </w:r>
      <w:r w:rsidR="009B006A" w:rsidRPr="008D3C0D">
        <w:rPr>
          <w:rFonts w:ascii="Times New Roman" w:hAnsi="Times New Roman"/>
        </w:rPr>
        <w:t xml:space="preserve"> </w:t>
      </w:r>
      <w:proofErr w:type="gramStart"/>
      <w:r w:rsidR="0039098E" w:rsidRPr="008D3C0D">
        <w:rPr>
          <w:rFonts w:ascii="Times New Roman" w:hAnsi="Times New Roman"/>
        </w:rPr>
        <w:t>I</w:t>
      </w:r>
      <w:r w:rsidR="009B006A" w:rsidRPr="008D3C0D">
        <w:rPr>
          <w:rFonts w:ascii="Times New Roman" w:hAnsi="Times New Roman"/>
        </w:rPr>
        <w:t>n light of</w:t>
      </w:r>
      <w:proofErr w:type="gramEnd"/>
      <w:r w:rsidR="009B006A" w:rsidRPr="008D3C0D">
        <w:rPr>
          <w:rFonts w:ascii="Times New Roman" w:hAnsi="Times New Roman"/>
        </w:rPr>
        <w:t xml:space="preserve"> the</w:t>
      </w:r>
      <w:r w:rsidR="00104D74" w:rsidRPr="008D3C0D">
        <w:rPr>
          <w:rFonts w:ascii="Times New Roman" w:hAnsi="Times New Roman"/>
        </w:rPr>
        <w:t xml:space="preserve"> acceptance of the </w:t>
      </w:r>
      <w:r w:rsidR="0039098E" w:rsidRPr="008D3C0D">
        <w:rPr>
          <w:rFonts w:ascii="Times New Roman" w:hAnsi="Times New Roman"/>
        </w:rPr>
        <w:t>first</w:t>
      </w:r>
      <w:r w:rsidR="00104D74" w:rsidRPr="008D3C0D">
        <w:rPr>
          <w:rFonts w:ascii="Times New Roman" w:hAnsi="Times New Roman"/>
        </w:rPr>
        <w:t xml:space="preserve"> ground </w:t>
      </w:r>
      <w:r w:rsidR="0039098E" w:rsidRPr="008D3C0D">
        <w:rPr>
          <w:rFonts w:ascii="Times New Roman" w:hAnsi="Times New Roman"/>
        </w:rPr>
        <w:t xml:space="preserve">by the Court of </w:t>
      </w:r>
      <w:r w:rsidR="006446ED" w:rsidRPr="008D3C0D">
        <w:rPr>
          <w:rFonts w:ascii="Times New Roman" w:hAnsi="Times New Roman"/>
        </w:rPr>
        <w:t xml:space="preserve">Criminal </w:t>
      </w:r>
      <w:r w:rsidR="0039098E" w:rsidRPr="008D3C0D">
        <w:rPr>
          <w:rFonts w:ascii="Times New Roman" w:hAnsi="Times New Roman"/>
        </w:rPr>
        <w:t xml:space="preserve">Appeal </w:t>
      </w:r>
      <w:r w:rsidR="00104D74" w:rsidRPr="008D3C0D">
        <w:rPr>
          <w:rFonts w:ascii="Times New Roman" w:hAnsi="Times New Roman"/>
        </w:rPr>
        <w:t>it was not necessary</w:t>
      </w:r>
      <w:r w:rsidR="0039098E" w:rsidRPr="008D3C0D">
        <w:rPr>
          <w:rFonts w:ascii="Times New Roman" w:hAnsi="Times New Roman"/>
        </w:rPr>
        <w:t xml:space="preserve"> for the Court of</w:t>
      </w:r>
      <w:r w:rsidR="006446ED" w:rsidRPr="008D3C0D">
        <w:rPr>
          <w:rFonts w:ascii="Times New Roman" w:hAnsi="Times New Roman"/>
        </w:rPr>
        <w:t xml:space="preserve"> Criminal</w:t>
      </w:r>
      <w:r w:rsidR="0039098E" w:rsidRPr="008D3C0D">
        <w:rPr>
          <w:rFonts w:ascii="Times New Roman" w:hAnsi="Times New Roman"/>
        </w:rPr>
        <w:t xml:space="preserve"> Appeal</w:t>
      </w:r>
      <w:r w:rsidR="00104D74" w:rsidRPr="008D3C0D">
        <w:rPr>
          <w:rFonts w:ascii="Times New Roman" w:hAnsi="Times New Roman"/>
        </w:rPr>
        <w:t xml:space="preserve"> to consider any orders that </w:t>
      </w:r>
      <w:r w:rsidR="0039098E" w:rsidRPr="008D3C0D">
        <w:rPr>
          <w:rFonts w:ascii="Times New Roman" w:hAnsi="Times New Roman"/>
        </w:rPr>
        <w:t>w</w:t>
      </w:r>
      <w:r w:rsidR="00F66E19" w:rsidRPr="008D3C0D">
        <w:rPr>
          <w:rFonts w:ascii="Times New Roman" w:hAnsi="Times New Roman"/>
        </w:rPr>
        <w:t xml:space="preserve">ould be made </w:t>
      </w:r>
      <w:r w:rsidR="00115118" w:rsidRPr="008D3C0D">
        <w:rPr>
          <w:rFonts w:ascii="Times New Roman" w:hAnsi="Times New Roman"/>
        </w:rPr>
        <w:t xml:space="preserve">independently </w:t>
      </w:r>
      <w:r w:rsidR="00F66E19" w:rsidRPr="008D3C0D">
        <w:rPr>
          <w:rFonts w:ascii="Times New Roman" w:hAnsi="Times New Roman"/>
        </w:rPr>
        <w:t xml:space="preserve">as a consequence of upholding </w:t>
      </w:r>
      <w:r w:rsidR="00904BAF" w:rsidRPr="008D3C0D">
        <w:rPr>
          <w:rFonts w:ascii="Times New Roman" w:hAnsi="Times New Roman"/>
        </w:rPr>
        <w:t xml:space="preserve">the second </w:t>
      </w:r>
      <w:r w:rsidR="00F66E19" w:rsidRPr="008D3C0D">
        <w:rPr>
          <w:rFonts w:ascii="Times New Roman" w:hAnsi="Times New Roman"/>
        </w:rPr>
        <w:t>ground</w:t>
      </w:r>
      <w:r w:rsidR="009B006A" w:rsidRPr="008D3C0D">
        <w:rPr>
          <w:rFonts w:ascii="Times New Roman" w:hAnsi="Times New Roman"/>
        </w:rPr>
        <w:t>.</w:t>
      </w:r>
    </w:p>
    <w:p w14:paraId="6982C790" w14:textId="21308962" w:rsidR="00B07BC4" w:rsidRPr="008D3C0D" w:rsidRDefault="006F415A"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8369AE" w:rsidRPr="008D3C0D">
        <w:rPr>
          <w:rFonts w:ascii="Times New Roman" w:hAnsi="Times New Roman"/>
        </w:rPr>
        <w:t xml:space="preserve">The </w:t>
      </w:r>
      <w:r w:rsidR="00D84E3A" w:rsidRPr="008D3C0D">
        <w:rPr>
          <w:rFonts w:ascii="Times New Roman" w:hAnsi="Times New Roman"/>
        </w:rPr>
        <w:t xml:space="preserve">ground of appeal </w:t>
      </w:r>
      <w:r w:rsidR="001B4AE1" w:rsidRPr="008D3C0D">
        <w:rPr>
          <w:rFonts w:ascii="Times New Roman" w:hAnsi="Times New Roman"/>
        </w:rPr>
        <w:t xml:space="preserve">upon which the Court of </w:t>
      </w:r>
      <w:r w:rsidR="006446ED" w:rsidRPr="008D3C0D">
        <w:rPr>
          <w:rFonts w:ascii="Times New Roman" w:hAnsi="Times New Roman"/>
        </w:rPr>
        <w:t xml:space="preserve">Criminal </w:t>
      </w:r>
      <w:r w:rsidR="001B4AE1" w:rsidRPr="008D3C0D">
        <w:rPr>
          <w:rFonts w:ascii="Times New Roman" w:hAnsi="Times New Roman"/>
        </w:rPr>
        <w:t xml:space="preserve">Appeal was </w:t>
      </w:r>
      <w:r w:rsidR="00404BDB" w:rsidRPr="008D3C0D">
        <w:rPr>
          <w:rFonts w:ascii="Times New Roman" w:hAnsi="Times New Roman"/>
        </w:rPr>
        <w:t xml:space="preserve">divided </w:t>
      </w:r>
      <w:r w:rsidR="0039098E" w:rsidRPr="008D3C0D">
        <w:rPr>
          <w:rFonts w:ascii="Times New Roman" w:hAnsi="Times New Roman"/>
        </w:rPr>
        <w:t xml:space="preserve">was the third ground. </w:t>
      </w:r>
      <w:r w:rsidR="00B639EE" w:rsidRPr="008D3C0D">
        <w:rPr>
          <w:rFonts w:ascii="Times New Roman" w:hAnsi="Times New Roman"/>
        </w:rPr>
        <w:t xml:space="preserve">The third ground was that the trial judge erred in excluding the evidence relating to the Queensland </w:t>
      </w:r>
      <w:r w:rsidR="006B3C03" w:rsidRPr="008D3C0D">
        <w:rPr>
          <w:rFonts w:ascii="Times New Roman" w:hAnsi="Times New Roman"/>
        </w:rPr>
        <w:t xml:space="preserve">conduct </w:t>
      </w:r>
      <w:r w:rsidR="00B639EE" w:rsidRPr="008D3C0D">
        <w:rPr>
          <w:rFonts w:ascii="Times New Roman" w:hAnsi="Times New Roman"/>
        </w:rPr>
        <w:t>being sexual offences or, in the alternative, that the trial miscarried due to the exclusion of th</w:t>
      </w:r>
      <w:r w:rsidR="001E40DA" w:rsidRPr="008D3C0D">
        <w:rPr>
          <w:rFonts w:ascii="Times New Roman" w:hAnsi="Times New Roman"/>
        </w:rPr>
        <w:t>e Queensland</w:t>
      </w:r>
      <w:r w:rsidR="00B639EE" w:rsidRPr="008D3C0D">
        <w:rPr>
          <w:rFonts w:ascii="Times New Roman" w:hAnsi="Times New Roman"/>
        </w:rPr>
        <w:t xml:space="preserve"> evidence.</w:t>
      </w:r>
      <w:r w:rsidR="00F2548C" w:rsidRPr="008D3C0D">
        <w:rPr>
          <w:rFonts w:ascii="Times New Roman" w:hAnsi="Times New Roman"/>
        </w:rPr>
        <w:t xml:space="preserve"> </w:t>
      </w:r>
      <w:r w:rsidR="002255EA" w:rsidRPr="008D3C0D">
        <w:rPr>
          <w:rFonts w:ascii="Times New Roman" w:hAnsi="Times New Roman"/>
        </w:rPr>
        <w:t xml:space="preserve">Although the appellant had only relied upon the exception in </w:t>
      </w:r>
      <w:r w:rsidR="00F415FB" w:rsidRPr="008D3C0D">
        <w:rPr>
          <w:rFonts w:ascii="Times New Roman" w:hAnsi="Times New Roman"/>
        </w:rPr>
        <w:t>s</w:t>
      </w:r>
      <w:r w:rsidR="00EF088A" w:rsidRPr="008D3C0D">
        <w:rPr>
          <w:rFonts w:ascii="Times New Roman" w:hAnsi="Times New Roman"/>
        </w:rPr>
        <w:t> </w:t>
      </w:r>
      <w:r w:rsidR="00661C53" w:rsidRPr="008D3C0D">
        <w:rPr>
          <w:rFonts w:ascii="Times New Roman" w:hAnsi="Times New Roman"/>
        </w:rPr>
        <w:t>2</w:t>
      </w:r>
      <w:r w:rsidR="00F415FB" w:rsidRPr="008D3C0D">
        <w:rPr>
          <w:rFonts w:ascii="Times New Roman" w:hAnsi="Times New Roman"/>
        </w:rPr>
        <w:t xml:space="preserve">93(4)(b) of the </w:t>
      </w:r>
      <w:r w:rsidR="00F415FB" w:rsidRPr="008D3C0D">
        <w:rPr>
          <w:rFonts w:ascii="Times New Roman" w:hAnsi="Times New Roman"/>
          <w:i/>
          <w:iCs/>
        </w:rPr>
        <w:t>Criminal Procedure Act</w:t>
      </w:r>
      <w:r w:rsidR="00F415FB" w:rsidRPr="008D3C0D">
        <w:rPr>
          <w:rFonts w:ascii="Times New Roman" w:hAnsi="Times New Roman"/>
        </w:rPr>
        <w:t xml:space="preserve"> at the </w:t>
      </w:r>
      <w:proofErr w:type="spellStart"/>
      <w:r w:rsidR="00F415FB" w:rsidRPr="008D3C0D">
        <w:rPr>
          <w:rFonts w:ascii="Times New Roman" w:hAnsi="Times New Roman"/>
        </w:rPr>
        <w:t>voir</w:t>
      </w:r>
      <w:proofErr w:type="spellEnd"/>
      <w:r w:rsidR="00F415FB" w:rsidRPr="008D3C0D">
        <w:rPr>
          <w:rFonts w:ascii="Times New Roman" w:hAnsi="Times New Roman"/>
        </w:rPr>
        <w:t xml:space="preserve"> dire, i</w:t>
      </w:r>
      <w:r w:rsidR="006F1153" w:rsidRPr="008D3C0D">
        <w:rPr>
          <w:rFonts w:ascii="Times New Roman" w:hAnsi="Times New Roman"/>
        </w:rPr>
        <w:t xml:space="preserve">n the Court of Criminal Appeal the appellant </w:t>
      </w:r>
      <w:r w:rsidR="004452A1" w:rsidRPr="008D3C0D">
        <w:rPr>
          <w:rFonts w:ascii="Times New Roman" w:hAnsi="Times New Roman"/>
        </w:rPr>
        <w:t>also relied upon the exception in s</w:t>
      </w:r>
      <w:r w:rsidR="00843FC9" w:rsidRPr="008D3C0D">
        <w:rPr>
          <w:rFonts w:ascii="Times New Roman" w:hAnsi="Times New Roman"/>
        </w:rPr>
        <w:t> </w:t>
      </w:r>
      <w:r w:rsidR="004452A1" w:rsidRPr="008D3C0D">
        <w:rPr>
          <w:rFonts w:ascii="Times New Roman" w:hAnsi="Times New Roman"/>
        </w:rPr>
        <w:t>293(4)(a)</w:t>
      </w:r>
      <w:r w:rsidR="00F415FB" w:rsidRPr="008D3C0D">
        <w:rPr>
          <w:rFonts w:ascii="Times New Roman" w:hAnsi="Times New Roman"/>
        </w:rPr>
        <w:t xml:space="preserve"> </w:t>
      </w:r>
      <w:r w:rsidR="00843FC9" w:rsidRPr="008D3C0D">
        <w:rPr>
          <w:rFonts w:ascii="Times New Roman" w:hAnsi="Times New Roman"/>
        </w:rPr>
        <w:t xml:space="preserve">in support of the admissibility of the evidence. </w:t>
      </w:r>
      <w:r w:rsidR="00AD406E" w:rsidRPr="008D3C0D">
        <w:rPr>
          <w:rFonts w:ascii="Times New Roman" w:hAnsi="Times New Roman"/>
        </w:rPr>
        <w:t xml:space="preserve"> </w:t>
      </w:r>
    </w:p>
    <w:p w14:paraId="653E93AF" w14:textId="2296767C" w:rsidR="006F415A" w:rsidRPr="008D3C0D" w:rsidRDefault="00B07BC4"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F2548C" w:rsidRPr="008D3C0D">
        <w:rPr>
          <w:rFonts w:ascii="Times New Roman" w:hAnsi="Times New Roman"/>
        </w:rPr>
        <w:t>A majority of the Court of Criminal Appeal (Adamson</w:t>
      </w:r>
      <w:r w:rsidR="002F670D" w:rsidRPr="008D3C0D">
        <w:rPr>
          <w:rFonts w:ascii="Times New Roman" w:hAnsi="Times New Roman"/>
        </w:rPr>
        <w:t> </w:t>
      </w:r>
      <w:r w:rsidR="00F2548C" w:rsidRPr="008D3C0D">
        <w:rPr>
          <w:rFonts w:ascii="Times New Roman" w:hAnsi="Times New Roman"/>
        </w:rPr>
        <w:t>J, with whom Bellew</w:t>
      </w:r>
      <w:r w:rsidR="002F670D" w:rsidRPr="008D3C0D">
        <w:rPr>
          <w:rFonts w:ascii="Times New Roman" w:hAnsi="Times New Roman"/>
        </w:rPr>
        <w:t> </w:t>
      </w:r>
      <w:r w:rsidR="00F2548C" w:rsidRPr="008D3C0D">
        <w:rPr>
          <w:rFonts w:ascii="Times New Roman" w:hAnsi="Times New Roman"/>
        </w:rPr>
        <w:t xml:space="preserve">J agreed) </w:t>
      </w:r>
      <w:r w:rsidR="009163A8" w:rsidRPr="008D3C0D">
        <w:rPr>
          <w:rFonts w:ascii="Times New Roman" w:hAnsi="Times New Roman"/>
        </w:rPr>
        <w:t>would have refused this ground of appeal</w:t>
      </w:r>
      <w:r w:rsidR="00235CA2" w:rsidRPr="008D3C0D">
        <w:rPr>
          <w:rFonts w:ascii="Times New Roman" w:hAnsi="Times New Roman"/>
        </w:rPr>
        <w:t>, concluding that neither</w:t>
      </w:r>
      <w:r w:rsidR="001B65B7" w:rsidRPr="008D3C0D">
        <w:rPr>
          <w:rFonts w:ascii="Times New Roman" w:hAnsi="Times New Roman"/>
        </w:rPr>
        <w:t xml:space="preserve"> the </w:t>
      </w:r>
      <w:r w:rsidR="00235CA2" w:rsidRPr="008D3C0D">
        <w:rPr>
          <w:rFonts w:ascii="Times New Roman" w:hAnsi="Times New Roman"/>
        </w:rPr>
        <w:t>exception in s</w:t>
      </w:r>
      <w:r w:rsidR="00FE56C5" w:rsidRPr="008D3C0D">
        <w:rPr>
          <w:rFonts w:ascii="Times New Roman" w:hAnsi="Times New Roman"/>
        </w:rPr>
        <w:t> </w:t>
      </w:r>
      <w:r w:rsidR="00235CA2" w:rsidRPr="008D3C0D">
        <w:rPr>
          <w:rFonts w:ascii="Times New Roman" w:hAnsi="Times New Roman"/>
        </w:rPr>
        <w:t xml:space="preserve">293(4)(a) </w:t>
      </w:r>
      <w:r w:rsidR="00793DFC" w:rsidRPr="008D3C0D">
        <w:rPr>
          <w:rFonts w:ascii="Times New Roman" w:hAnsi="Times New Roman"/>
        </w:rPr>
        <w:t>n</w:t>
      </w:r>
      <w:r w:rsidR="00317D59" w:rsidRPr="008D3C0D">
        <w:rPr>
          <w:rFonts w:ascii="Times New Roman" w:hAnsi="Times New Roman"/>
        </w:rPr>
        <w:t>or the exception in s 293(4)(b) was applicable</w:t>
      </w:r>
      <w:r w:rsidR="009163A8" w:rsidRPr="008D3C0D">
        <w:rPr>
          <w:rFonts w:ascii="Times New Roman" w:hAnsi="Times New Roman"/>
        </w:rPr>
        <w:t>.</w:t>
      </w:r>
      <w:r w:rsidR="0031356A" w:rsidRPr="008D3C0D">
        <w:rPr>
          <w:rStyle w:val="FootnoteReference"/>
          <w:rFonts w:ascii="Times New Roman" w:hAnsi="Times New Roman"/>
          <w:sz w:val="24"/>
        </w:rPr>
        <w:footnoteReference w:id="9"/>
      </w:r>
      <w:r w:rsidR="009163A8" w:rsidRPr="008D3C0D">
        <w:rPr>
          <w:rFonts w:ascii="Times New Roman" w:hAnsi="Times New Roman"/>
        </w:rPr>
        <w:t xml:space="preserve"> Beech-Jones</w:t>
      </w:r>
      <w:r w:rsidR="008E5905" w:rsidRPr="008D3C0D">
        <w:rPr>
          <w:rFonts w:ascii="Times New Roman" w:hAnsi="Times New Roman"/>
        </w:rPr>
        <w:t> </w:t>
      </w:r>
      <w:r w:rsidR="009163A8" w:rsidRPr="008D3C0D">
        <w:rPr>
          <w:rFonts w:ascii="Times New Roman" w:hAnsi="Times New Roman"/>
        </w:rPr>
        <w:t xml:space="preserve">CJ at CL would have allowed </w:t>
      </w:r>
      <w:r w:rsidR="00317D59" w:rsidRPr="008D3C0D">
        <w:rPr>
          <w:rFonts w:ascii="Times New Roman" w:hAnsi="Times New Roman"/>
        </w:rPr>
        <w:t>the ground of appeal, concluding that both exceptions were</w:t>
      </w:r>
      <w:r w:rsidR="0063480A" w:rsidRPr="008D3C0D">
        <w:rPr>
          <w:rFonts w:ascii="Times New Roman" w:hAnsi="Times New Roman"/>
        </w:rPr>
        <w:t xml:space="preserve"> potentially</w:t>
      </w:r>
      <w:r w:rsidR="00317D59" w:rsidRPr="008D3C0D">
        <w:rPr>
          <w:rFonts w:ascii="Times New Roman" w:hAnsi="Times New Roman"/>
        </w:rPr>
        <w:t xml:space="preserve"> applicable</w:t>
      </w:r>
      <w:r w:rsidR="0063480A" w:rsidRPr="008D3C0D">
        <w:rPr>
          <w:rFonts w:ascii="Times New Roman" w:hAnsi="Times New Roman"/>
        </w:rPr>
        <w:t xml:space="preserve"> but that </w:t>
      </w:r>
      <w:r w:rsidR="00491034" w:rsidRPr="008D3C0D">
        <w:rPr>
          <w:rFonts w:ascii="Times New Roman" w:hAnsi="Times New Roman"/>
        </w:rPr>
        <w:t xml:space="preserve">the matter should be remitted to </w:t>
      </w:r>
      <w:r w:rsidR="00DF62C0" w:rsidRPr="008D3C0D">
        <w:rPr>
          <w:rFonts w:ascii="Times New Roman" w:hAnsi="Times New Roman"/>
        </w:rPr>
        <w:t>another trial judge to determine</w:t>
      </w:r>
      <w:r w:rsidR="0011035E" w:rsidRPr="008D3C0D">
        <w:rPr>
          <w:rFonts w:ascii="Times New Roman" w:hAnsi="Times New Roman"/>
        </w:rPr>
        <w:t>: (</w:t>
      </w:r>
      <w:proofErr w:type="spellStart"/>
      <w:r w:rsidR="0011035E" w:rsidRPr="008D3C0D">
        <w:rPr>
          <w:rFonts w:ascii="Times New Roman" w:hAnsi="Times New Roman"/>
        </w:rPr>
        <w:t>i</w:t>
      </w:r>
      <w:proofErr w:type="spellEnd"/>
      <w:r w:rsidR="0011035E" w:rsidRPr="008D3C0D">
        <w:rPr>
          <w:rFonts w:ascii="Times New Roman" w:hAnsi="Times New Roman"/>
        </w:rPr>
        <w:t>)</w:t>
      </w:r>
      <w:r w:rsidR="00527528" w:rsidRPr="008D3C0D">
        <w:rPr>
          <w:rFonts w:ascii="Times New Roman" w:hAnsi="Times New Roman"/>
        </w:rPr>
        <w:t> </w:t>
      </w:r>
      <w:r w:rsidR="00FA5DB7" w:rsidRPr="008D3C0D">
        <w:rPr>
          <w:rFonts w:ascii="Times New Roman" w:hAnsi="Times New Roman"/>
        </w:rPr>
        <w:t xml:space="preserve">whether </w:t>
      </w:r>
      <w:r w:rsidR="00AF1F71" w:rsidRPr="008D3C0D">
        <w:rPr>
          <w:rFonts w:ascii="Times New Roman" w:hAnsi="Times New Roman"/>
        </w:rPr>
        <w:t xml:space="preserve">there was a </w:t>
      </w:r>
      <w:r w:rsidR="0064445E" w:rsidRPr="008D3C0D">
        <w:rPr>
          <w:rFonts w:ascii="Times New Roman" w:hAnsi="Times New Roman"/>
        </w:rPr>
        <w:t xml:space="preserve">relationship between </w:t>
      </w:r>
      <w:r w:rsidR="0064445E" w:rsidRPr="008D3C0D">
        <w:rPr>
          <w:rFonts w:ascii="Times New Roman" w:hAnsi="Times New Roman"/>
        </w:rPr>
        <w:lastRenderedPageBreak/>
        <w:t xml:space="preserve">the appellant and the complainant </w:t>
      </w:r>
      <w:r w:rsidR="001B02A3" w:rsidRPr="008D3C0D">
        <w:rPr>
          <w:rFonts w:ascii="Times New Roman" w:hAnsi="Times New Roman"/>
        </w:rPr>
        <w:t xml:space="preserve">to which evidence of disclosures by the complainant to the appellant </w:t>
      </w:r>
      <w:r w:rsidR="00261683" w:rsidRPr="008D3C0D">
        <w:rPr>
          <w:rFonts w:ascii="Times New Roman" w:hAnsi="Times New Roman"/>
        </w:rPr>
        <w:t>related</w:t>
      </w:r>
      <w:r w:rsidR="0064445E" w:rsidRPr="008D3C0D">
        <w:rPr>
          <w:rFonts w:ascii="Times New Roman" w:hAnsi="Times New Roman"/>
        </w:rPr>
        <w:t>;</w:t>
      </w:r>
      <w:r w:rsidR="0011035E" w:rsidRPr="008D3C0D">
        <w:rPr>
          <w:rFonts w:ascii="Times New Roman" w:hAnsi="Times New Roman"/>
        </w:rPr>
        <w:t xml:space="preserve"> and (ii)</w:t>
      </w:r>
      <w:r w:rsidR="00261683" w:rsidRPr="008D3C0D">
        <w:rPr>
          <w:rFonts w:ascii="Times New Roman" w:hAnsi="Times New Roman"/>
        </w:rPr>
        <w:t> </w:t>
      </w:r>
      <w:r w:rsidR="0011035E" w:rsidRPr="008D3C0D">
        <w:rPr>
          <w:rFonts w:ascii="Times New Roman" w:hAnsi="Times New Roman"/>
        </w:rPr>
        <w:t>whether</w:t>
      </w:r>
      <w:r w:rsidR="00DF62C0" w:rsidRPr="008D3C0D">
        <w:rPr>
          <w:rFonts w:ascii="Times New Roman" w:hAnsi="Times New Roman"/>
        </w:rPr>
        <w:t xml:space="preserve"> the proviso to the exceptions </w:t>
      </w:r>
      <w:r w:rsidR="0011035E" w:rsidRPr="008D3C0D">
        <w:rPr>
          <w:rFonts w:ascii="Times New Roman" w:hAnsi="Times New Roman"/>
        </w:rPr>
        <w:t>was applicable</w:t>
      </w:r>
      <w:r w:rsidR="009163A8" w:rsidRPr="008D3C0D">
        <w:rPr>
          <w:rFonts w:ascii="Times New Roman" w:hAnsi="Times New Roman"/>
        </w:rPr>
        <w:t>.</w:t>
      </w:r>
      <w:r w:rsidR="00FA5DB7" w:rsidRPr="008D3C0D">
        <w:rPr>
          <w:rStyle w:val="FootnoteReference"/>
          <w:rFonts w:ascii="Times New Roman" w:hAnsi="Times New Roman"/>
          <w:sz w:val="24"/>
        </w:rPr>
        <w:footnoteReference w:id="10"/>
      </w:r>
      <w:r w:rsidR="009163A8" w:rsidRPr="008D3C0D">
        <w:rPr>
          <w:rFonts w:ascii="Times New Roman" w:hAnsi="Times New Roman"/>
        </w:rPr>
        <w:t xml:space="preserve"> </w:t>
      </w:r>
      <w:r w:rsidR="000614AA" w:rsidRPr="008D3C0D">
        <w:rPr>
          <w:rFonts w:ascii="Times New Roman" w:hAnsi="Times New Roman"/>
        </w:rPr>
        <w:t>Order 3 of the orders</w:t>
      </w:r>
      <w:r w:rsidR="00635772" w:rsidRPr="008D3C0D">
        <w:rPr>
          <w:rFonts w:ascii="Times New Roman" w:hAnsi="Times New Roman"/>
        </w:rPr>
        <w:t xml:space="preserve"> made</w:t>
      </w:r>
      <w:r w:rsidR="004C3BD7" w:rsidRPr="008D3C0D">
        <w:rPr>
          <w:rFonts w:ascii="Times New Roman" w:hAnsi="Times New Roman"/>
        </w:rPr>
        <w:t xml:space="preserve"> by the Court of Criminal Appeal</w:t>
      </w:r>
      <w:r w:rsidR="006F2CCD" w:rsidRPr="008D3C0D">
        <w:rPr>
          <w:rFonts w:ascii="Times New Roman" w:hAnsi="Times New Roman"/>
        </w:rPr>
        <w:t>, by majority,</w:t>
      </w:r>
      <w:r w:rsidR="00F647BC" w:rsidRPr="008D3C0D">
        <w:rPr>
          <w:rFonts w:ascii="Times New Roman" w:hAnsi="Times New Roman"/>
        </w:rPr>
        <w:t xml:space="preserve"> </w:t>
      </w:r>
      <w:r w:rsidR="00712A8D" w:rsidRPr="008D3C0D">
        <w:rPr>
          <w:rFonts w:ascii="Times New Roman" w:hAnsi="Times New Roman"/>
        </w:rPr>
        <w:t>was to "</w:t>
      </w:r>
      <w:r w:rsidR="00EF0379" w:rsidRPr="008D3C0D">
        <w:rPr>
          <w:rFonts w:ascii="Times New Roman" w:hAnsi="Times New Roman"/>
        </w:rPr>
        <w:t>[</w:t>
      </w:r>
      <w:r w:rsidR="00712A8D" w:rsidRPr="008D3C0D">
        <w:rPr>
          <w:rFonts w:ascii="Times New Roman" w:hAnsi="Times New Roman"/>
        </w:rPr>
        <w:t>a</w:t>
      </w:r>
      <w:r w:rsidR="00EF0379" w:rsidRPr="008D3C0D">
        <w:rPr>
          <w:rFonts w:ascii="Times New Roman" w:hAnsi="Times New Roman"/>
        </w:rPr>
        <w:t>]</w:t>
      </w:r>
      <w:proofErr w:type="spellStart"/>
      <w:r w:rsidR="00712A8D" w:rsidRPr="008D3C0D">
        <w:rPr>
          <w:rFonts w:ascii="Times New Roman" w:hAnsi="Times New Roman"/>
        </w:rPr>
        <w:t>llow</w:t>
      </w:r>
      <w:proofErr w:type="spellEnd"/>
      <w:r w:rsidR="00712A8D" w:rsidRPr="008D3C0D">
        <w:rPr>
          <w:rFonts w:ascii="Times New Roman" w:hAnsi="Times New Roman"/>
        </w:rPr>
        <w:t xml:space="preserve"> the appeal on the basis of ground 1". </w:t>
      </w:r>
      <w:r w:rsidR="00D66076" w:rsidRPr="008D3C0D">
        <w:rPr>
          <w:rFonts w:ascii="Times New Roman" w:hAnsi="Times New Roman"/>
        </w:rPr>
        <w:t xml:space="preserve">That order </w:t>
      </w:r>
      <w:r w:rsidR="002A695F" w:rsidRPr="008D3C0D">
        <w:rPr>
          <w:rFonts w:ascii="Times New Roman" w:hAnsi="Times New Roman"/>
        </w:rPr>
        <w:t xml:space="preserve">provided for an appeal to this Court </w:t>
      </w:r>
      <w:r w:rsidR="00114EAE" w:rsidRPr="008D3C0D">
        <w:rPr>
          <w:rFonts w:ascii="Times New Roman" w:hAnsi="Times New Roman"/>
        </w:rPr>
        <w:t xml:space="preserve">by </w:t>
      </w:r>
      <w:r w:rsidR="00324B92" w:rsidRPr="008D3C0D">
        <w:rPr>
          <w:rFonts w:ascii="Times New Roman" w:hAnsi="Times New Roman"/>
        </w:rPr>
        <w:t xml:space="preserve">effectively including a declaration </w:t>
      </w:r>
      <w:r w:rsidR="00AC074F" w:rsidRPr="008D3C0D">
        <w:rPr>
          <w:rFonts w:ascii="Times New Roman" w:hAnsi="Times New Roman"/>
        </w:rPr>
        <w:t>that the appeal had been allowed only on ground 1</w:t>
      </w:r>
      <w:r w:rsidR="00E3361D" w:rsidRPr="008D3C0D">
        <w:rPr>
          <w:rFonts w:ascii="Times New Roman" w:hAnsi="Times New Roman"/>
        </w:rPr>
        <w:t xml:space="preserve">. </w:t>
      </w:r>
      <w:r w:rsidR="006F2CCD" w:rsidRPr="008D3C0D">
        <w:rPr>
          <w:rFonts w:ascii="Times New Roman" w:hAnsi="Times New Roman"/>
        </w:rPr>
        <w:t xml:space="preserve"> </w:t>
      </w:r>
      <w:r w:rsidR="00B639EE" w:rsidRPr="008D3C0D">
        <w:rPr>
          <w:rFonts w:ascii="Times New Roman" w:hAnsi="Times New Roman"/>
        </w:rPr>
        <w:t xml:space="preserve"> </w:t>
      </w:r>
    </w:p>
    <w:p w14:paraId="77E482FD" w14:textId="47CE2F0B" w:rsidR="00170867" w:rsidRPr="008D3C0D" w:rsidRDefault="00170867" w:rsidP="008D3C0D">
      <w:pPr>
        <w:pStyle w:val="HeadingL2"/>
        <w:spacing w:after="260" w:line="280" w:lineRule="exact"/>
        <w:ind w:right="0"/>
        <w:jc w:val="both"/>
        <w:rPr>
          <w:rFonts w:ascii="Times New Roman" w:hAnsi="Times New Roman"/>
        </w:rPr>
      </w:pPr>
      <w:r w:rsidRPr="008D3C0D">
        <w:rPr>
          <w:rFonts w:ascii="Times New Roman" w:hAnsi="Times New Roman"/>
        </w:rPr>
        <w:t>The grounds of appeal in this Court</w:t>
      </w:r>
    </w:p>
    <w:p w14:paraId="6F154F14" w14:textId="1FBEA902" w:rsidR="00E477CF" w:rsidRPr="008D3C0D" w:rsidRDefault="006F1153"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70410C" w:rsidRPr="008D3C0D">
        <w:rPr>
          <w:rFonts w:ascii="Times New Roman" w:hAnsi="Times New Roman"/>
        </w:rPr>
        <w:t xml:space="preserve">In this Court the appellant had three grounds of appeal. The first </w:t>
      </w:r>
      <w:r w:rsidR="00E477CF" w:rsidRPr="008D3C0D">
        <w:rPr>
          <w:rFonts w:ascii="Times New Roman" w:hAnsi="Times New Roman"/>
        </w:rPr>
        <w:t xml:space="preserve">ground of appeal </w:t>
      </w:r>
      <w:r w:rsidR="0070410C" w:rsidRPr="008D3C0D">
        <w:rPr>
          <w:rFonts w:ascii="Times New Roman" w:hAnsi="Times New Roman"/>
        </w:rPr>
        <w:t xml:space="preserve">was </w:t>
      </w:r>
      <w:r w:rsidR="00FB35DD" w:rsidRPr="008D3C0D">
        <w:rPr>
          <w:rFonts w:ascii="Times New Roman" w:hAnsi="Times New Roman"/>
        </w:rPr>
        <w:t>that the Court of Criminal Appeal erred in its construction of s</w:t>
      </w:r>
      <w:r w:rsidR="005141EA" w:rsidRPr="008D3C0D">
        <w:rPr>
          <w:rFonts w:ascii="Times New Roman" w:hAnsi="Times New Roman"/>
        </w:rPr>
        <w:t> </w:t>
      </w:r>
      <w:r w:rsidR="00FB35DD" w:rsidRPr="008D3C0D">
        <w:rPr>
          <w:rFonts w:ascii="Times New Roman" w:hAnsi="Times New Roman"/>
        </w:rPr>
        <w:t xml:space="preserve">293(4) of the </w:t>
      </w:r>
      <w:r w:rsidR="00FB35DD" w:rsidRPr="008D3C0D">
        <w:rPr>
          <w:rFonts w:ascii="Times New Roman" w:hAnsi="Times New Roman"/>
          <w:i/>
          <w:iCs/>
        </w:rPr>
        <w:t>Criminal Procedure Act</w:t>
      </w:r>
      <w:r w:rsidR="00FB35DD" w:rsidRPr="008D3C0D">
        <w:rPr>
          <w:rFonts w:ascii="Times New Roman" w:hAnsi="Times New Roman"/>
        </w:rPr>
        <w:t xml:space="preserve">. </w:t>
      </w:r>
      <w:r w:rsidR="00E213C5" w:rsidRPr="008D3C0D">
        <w:rPr>
          <w:rFonts w:ascii="Times New Roman" w:hAnsi="Times New Roman"/>
        </w:rPr>
        <w:t xml:space="preserve">The appellant submitted that </w:t>
      </w:r>
      <w:proofErr w:type="gramStart"/>
      <w:r w:rsidR="00FA6BED" w:rsidRPr="008D3C0D">
        <w:rPr>
          <w:rFonts w:ascii="Times New Roman" w:hAnsi="Times New Roman"/>
        </w:rPr>
        <w:t>all of</w:t>
      </w:r>
      <w:proofErr w:type="gramEnd"/>
      <w:r w:rsidR="00FA6BED" w:rsidRPr="008D3C0D">
        <w:rPr>
          <w:rFonts w:ascii="Times New Roman" w:hAnsi="Times New Roman"/>
        </w:rPr>
        <w:t xml:space="preserve"> the </w:t>
      </w:r>
      <w:r w:rsidR="00472943" w:rsidRPr="008D3C0D">
        <w:rPr>
          <w:rFonts w:ascii="Times New Roman" w:hAnsi="Times New Roman"/>
        </w:rPr>
        <w:t xml:space="preserve">Queensland </w:t>
      </w:r>
      <w:r w:rsidR="00FA6BED" w:rsidRPr="008D3C0D">
        <w:rPr>
          <w:rFonts w:ascii="Times New Roman" w:hAnsi="Times New Roman"/>
        </w:rPr>
        <w:t>evidence fell within the exception in s 293(4)(a) and some of it fell within s</w:t>
      </w:r>
      <w:r w:rsidR="00623EDA">
        <w:rPr>
          <w:rFonts w:ascii="Times New Roman" w:hAnsi="Times New Roman"/>
        </w:rPr>
        <w:t> </w:t>
      </w:r>
      <w:r w:rsidR="00FA6BED" w:rsidRPr="008D3C0D">
        <w:rPr>
          <w:rFonts w:ascii="Times New Roman" w:hAnsi="Times New Roman"/>
        </w:rPr>
        <w:t xml:space="preserve">293(4)(b), and that </w:t>
      </w:r>
      <w:r w:rsidR="00E11760" w:rsidRPr="008D3C0D">
        <w:rPr>
          <w:rFonts w:ascii="Times New Roman" w:hAnsi="Times New Roman"/>
        </w:rPr>
        <w:t xml:space="preserve">the matter should be remitted to a trial judge to determine </w:t>
      </w:r>
      <w:r w:rsidR="00FA6BED" w:rsidRPr="008D3C0D">
        <w:rPr>
          <w:rFonts w:ascii="Times New Roman" w:hAnsi="Times New Roman"/>
        </w:rPr>
        <w:t>whether the proviso to s 293(4) applied to any of that evidence</w:t>
      </w:r>
      <w:r w:rsidR="00E616FD" w:rsidRPr="008D3C0D">
        <w:rPr>
          <w:rFonts w:ascii="Times New Roman" w:hAnsi="Times New Roman"/>
        </w:rPr>
        <w:t>.</w:t>
      </w:r>
    </w:p>
    <w:p w14:paraId="4C87D443" w14:textId="61B25113" w:rsidR="00316BB5" w:rsidRPr="008D3C0D" w:rsidRDefault="00E477CF" w:rsidP="008D3C0D">
      <w:pPr>
        <w:pStyle w:val="FixListStyle"/>
        <w:spacing w:after="260" w:line="280" w:lineRule="exact"/>
        <w:ind w:right="0"/>
        <w:jc w:val="both"/>
        <w:rPr>
          <w:rFonts w:ascii="Times New Roman" w:hAnsi="Times New Roman"/>
        </w:rPr>
      </w:pPr>
      <w:r w:rsidRPr="008D3C0D">
        <w:rPr>
          <w:rFonts w:ascii="Times New Roman" w:hAnsi="Times New Roman"/>
        </w:rPr>
        <w:tab/>
        <w:t>The second and third grounds of appeal were in the alternative to the first</w:t>
      </w:r>
      <w:r w:rsidR="00C4421D" w:rsidRPr="008D3C0D">
        <w:rPr>
          <w:rFonts w:ascii="Times New Roman" w:hAnsi="Times New Roman"/>
        </w:rPr>
        <w:t>, on the basis that</w:t>
      </w:r>
      <w:r w:rsidR="007A4654" w:rsidRPr="008D3C0D">
        <w:rPr>
          <w:rFonts w:ascii="Times New Roman" w:hAnsi="Times New Roman"/>
        </w:rPr>
        <w:t xml:space="preserve"> some or </w:t>
      </w:r>
      <w:proofErr w:type="gramStart"/>
      <w:r w:rsidR="007A4654" w:rsidRPr="008D3C0D">
        <w:rPr>
          <w:rFonts w:ascii="Times New Roman" w:hAnsi="Times New Roman"/>
        </w:rPr>
        <w:t>all of</w:t>
      </w:r>
      <w:proofErr w:type="gramEnd"/>
      <w:r w:rsidR="00842225" w:rsidRPr="008D3C0D">
        <w:rPr>
          <w:rFonts w:ascii="Times New Roman" w:hAnsi="Times New Roman"/>
        </w:rPr>
        <w:t xml:space="preserve"> </w:t>
      </w:r>
      <w:r w:rsidR="00C4421D" w:rsidRPr="008D3C0D">
        <w:rPr>
          <w:rFonts w:ascii="Times New Roman" w:hAnsi="Times New Roman"/>
        </w:rPr>
        <w:t xml:space="preserve">the </w:t>
      </w:r>
      <w:r w:rsidR="00B71790" w:rsidRPr="008D3C0D">
        <w:rPr>
          <w:rFonts w:ascii="Times New Roman" w:hAnsi="Times New Roman"/>
        </w:rPr>
        <w:t xml:space="preserve">Queensland </w:t>
      </w:r>
      <w:r w:rsidR="00842225" w:rsidRPr="008D3C0D">
        <w:rPr>
          <w:rFonts w:ascii="Times New Roman" w:hAnsi="Times New Roman"/>
        </w:rPr>
        <w:t>evidence was inadmissible</w:t>
      </w:r>
      <w:r w:rsidR="007C6FD5" w:rsidRPr="008D3C0D">
        <w:rPr>
          <w:rFonts w:ascii="Times New Roman" w:hAnsi="Times New Roman"/>
        </w:rPr>
        <w:t>.</w:t>
      </w:r>
      <w:r w:rsidRPr="008D3C0D">
        <w:rPr>
          <w:rFonts w:ascii="Times New Roman" w:hAnsi="Times New Roman"/>
        </w:rPr>
        <w:t xml:space="preserve"> The second ground was that the Court of </w:t>
      </w:r>
      <w:r w:rsidR="00141726" w:rsidRPr="008D3C0D">
        <w:rPr>
          <w:rFonts w:ascii="Times New Roman" w:hAnsi="Times New Roman"/>
        </w:rPr>
        <w:t xml:space="preserve">Criminal </w:t>
      </w:r>
      <w:r w:rsidRPr="008D3C0D">
        <w:rPr>
          <w:rFonts w:ascii="Times New Roman" w:hAnsi="Times New Roman"/>
        </w:rPr>
        <w:t xml:space="preserve">Appeal "erred in holding it permissible to mislead a jury in order to </w:t>
      </w:r>
      <w:r w:rsidR="00163761" w:rsidRPr="008D3C0D">
        <w:rPr>
          <w:rFonts w:ascii="Times New Roman" w:hAnsi="Times New Roman"/>
        </w:rPr>
        <w:t xml:space="preserve">attempt to </w:t>
      </w:r>
      <w:r w:rsidRPr="008D3C0D">
        <w:rPr>
          <w:rFonts w:ascii="Times New Roman" w:hAnsi="Times New Roman"/>
        </w:rPr>
        <w:t>counteract unfairness occasioned by the exclusion of the s</w:t>
      </w:r>
      <w:r w:rsidR="00163761" w:rsidRPr="008D3C0D">
        <w:rPr>
          <w:rFonts w:ascii="Times New Roman" w:hAnsi="Times New Roman"/>
        </w:rPr>
        <w:t> </w:t>
      </w:r>
      <w:r w:rsidRPr="008D3C0D">
        <w:rPr>
          <w:rFonts w:ascii="Times New Roman" w:hAnsi="Times New Roman"/>
        </w:rPr>
        <w:t xml:space="preserve">293 evidence". The appellant submitted that the </w:t>
      </w:r>
      <w:r w:rsidR="00134904" w:rsidRPr="008D3C0D">
        <w:rPr>
          <w:rFonts w:ascii="Times New Roman" w:hAnsi="Times New Roman"/>
        </w:rPr>
        <w:t xml:space="preserve">jury had been misled by the </w:t>
      </w:r>
      <w:r w:rsidRPr="008D3C0D">
        <w:rPr>
          <w:rFonts w:ascii="Times New Roman" w:hAnsi="Times New Roman"/>
        </w:rPr>
        <w:t xml:space="preserve">contrivance </w:t>
      </w:r>
      <w:r w:rsidR="00134904" w:rsidRPr="008D3C0D">
        <w:rPr>
          <w:rFonts w:ascii="Times New Roman" w:hAnsi="Times New Roman"/>
        </w:rPr>
        <w:t>of</w:t>
      </w:r>
      <w:r w:rsidRPr="008D3C0D">
        <w:rPr>
          <w:rFonts w:ascii="Times New Roman" w:hAnsi="Times New Roman"/>
        </w:rPr>
        <w:t xml:space="preserve"> the trial judge to permit the </w:t>
      </w:r>
      <w:r w:rsidR="00134904" w:rsidRPr="008D3C0D">
        <w:rPr>
          <w:rFonts w:ascii="Times New Roman" w:hAnsi="Times New Roman"/>
        </w:rPr>
        <w:t xml:space="preserve">appellant to cross-examine the complainant on the basis that the Queensland </w:t>
      </w:r>
      <w:r w:rsidR="00552540" w:rsidRPr="008D3C0D">
        <w:rPr>
          <w:rFonts w:ascii="Times New Roman" w:hAnsi="Times New Roman"/>
        </w:rPr>
        <w:t xml:space="preserve">conduct </w:t>
      </w:r>
      <w:r w:rsidR="00134904" w:rsidRPr="008D3C0D">
        <w:rPr>
          <w:rFonts w:ascii="Times New Roman" w:hAnsi="Times New Roman"/>
        </w:rPr>
        <w:t>involved a "physical assault".</w:t>
      </w:r>
      <w:r w:rsidR="004D4A42" w:rsidRPr="008D3C0D">
        <w:rPr>
          <w:rFonts w:ascii="Times New Roman" w:hAnsi="Times New Roman"/>
        </w:rPr>
        <w:t xml:space="preserve"> </w:t>
      </w:r>
    </w:p>
    <w:p w14:paraId="1280EE19" w14:textId="64A58F8E" w:rsidR="0084766E" w:rsidRPr="008D3C0D" w:rsidRDefault="00316BB5"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The third ground of appeal asserted that the Court of Criminal Appeal erred in ordering a retrial. The appellant submitted that </w:t>
      </w:r>
      <w:r w:rsidR="008A6682" w:rsidRPr="008D3C0D">
        <w:rPr>
          <w:rFonts w:ascii="Times New Roman" w:hAnsi="Times New Roman"/>
        </w:rPr>
        <w:t>an acquittal should have been entered if the</w:t>
      </w:r>
      <w:r w:rsidR="00E20068" w:rsidRPr="008D3C0D">
        <w:rPr>
          <w:rFonts w:ascii="Times New Roman" w:hAnsi="Times New Roman"/>
        </w:rPr>
        <w:t xml:space="preserve"> Queensland</w:t>
      </w:r>
      <w:r w:rsidR="008A6682" w:rsidRPr="008D3C0D">
        <w:rPr>
          <w:rFonts w:ascii="Times New Roman" w:hAnsi="Times New Roman"/>
        </w:rPr>
        <w:t xml:space="preserve"> evidence was inadmissible because </w:t>
      </w:r>
      <w:r w:rsidR="00BB236A" w:rsidRPr="008D3C0D">
        <w:rPr>
          <w:rFonts w:ascii="Times New Roman" w:hAnsi="Times New Roman"/>
        </w:rPr>
        <w:t xml:space="preserve">the institutional integrity of the </w:t>
      </w:r>
      <w:r w:rsidR="00285628" w:rsidRPr="008D3C0D">
        <w:rPr>
          <w:rFonts w:ascii="Times New Roman" w:hAnsi="Times New Roman"/>
        </w:rPr>
        <w:t>District C</w:t>
      </w:r>
      <w:r w:rsidR="00BB236A" w:rsidRPr="008D3C0D">
        <w:rPr>
          <w:rFonts w:ascii="Times New Roman" w:hAnsi="Times New Roman"/>
        </w:rPr>
        <w:t xml:space="preserve">ourt would be compromised if the appellant could </w:t>
      </w:r>
      <w:r w:rsidR="00933C8C" w:rsidRPr="008D3C0D">
        <w:rPr>
          <w:rFonts w:ascii="Times New Roman" w:hAnsi="Times New Roman"/>
        </w:rPr>
        <w:t xml:space="preserve">only </w:t>
      </w:r>
      <w:r w:rsidR="002C3AF2" w:rsidRPr="008D3C0D">
        <w:rPr>
          <w:rFonts w:ascii="Times New Roman" w:hAnsi="Times New Roman"/>
        </w:rPr>
        <w:t xml:space="preserve">cross-examine </w:t>
      </w:r>
      <w:r w:rsidR="00491F4D" w:rsidRPr="008D3C0D">
        <w:rPr>
          <w:rFonts w:ascii="Times New Roman" w:hAnsi="Times New Roman"/>
        </w:rPr>
        <w:t xml:space="preserve">the complainant </w:t>
      </w:r>
      <w:r w:rsidR="002C3AF2" w:rsidRPr="008D3C0D">
        <w:rPr>
          <w:rFonts w:ascii="Times New Roman" w:hAnsi="Times New Roman"/>
        </w:rPr>
        <w:t xml:space="preserve">without mentioning the Queensland </w:t>
      </w:r>
      <w:r w:rsidR="00552540" w:rsidRPr="008D3C0D">
        <w:rPr>
          <w:rFonts w:ascii="Times New Roman" w:hAnsi="Times New Roman"/>
        </w:rPr>
        <w:t xml:space="preserve">conduct </w:t>
      </w:r>
      <w:r w:rsidR="00CA6E08" w:rsidRPr="008D3C0D">
        <w:rPr>
          <w:rFonts w:ascii="Times New Roman" w:hAnsi="Times New Roman"/>
        </w:rPr>
        <w:t xml:space="preserve">(which would be the effect of the appellant succeeding on ground </w:t>
      </w:r>
      <w:r w:rsidR="006E1DA4" w:rsidRPr="008D3C0D">
        <w:rPr>
          <w:rFonts w:ascii="Times New Roman" w:hAnsi="Times New Roman"/>
        </w:rPr>
        <w:t>2</w:t>
      </w:r>
      <w:r w:rsidR="00CA6E08" w:rsidRPr="008D3C0D">
        <w:rPr>
          <w:rFonts w:ascii="Times New Roman" w:hAnsi="Times New Roman"/>
        </w:rPr>
        <w:t>)</w:t>
      </w:r>
      <w:r w:rsidR="006A0D8A" w:rsidRPr="008D3C0D">
        <w:rPr>
          <w:rFonts w:ascii="Times New Roman" w:hAnsi="Times New Roman"/>
        </w:rPr>
        <w:t xml:space="preserve"> </w:t>
      </w:r>
      <w:r w:rsidR="001F0F9E" w:rsidRPr="008D3C0D">
        <w:rPr>
          <w:rFonts w:ascii="Times New Roman" w:hAnsi="Times New Roman"/>
        </w:rPr>
        <w:t xml:space="preserve">or if the appellant's cross-examination were to be confined to treating the Queensland </w:t>
      </w:r>
      <w:r w:rsidR="00552540" w:rsidRPr="008D3C0D">
        <w:rPr>
          <w:rFonts w:ascii="Times New Roman" w:hAnsi="Times New Roman"/>
        </w:rPr>
        <w:t xml:space="preserve">conduct </w:t>
      </w:r>
      <w:r w:rsidR="001F0F9E" w:rsidRPr="008D3C0D">
        <w:rPr>
          <w:rFonts w:ascii="Times New Roman" w:hAnsi="Times New Roman"/>
        </w:rPr>
        <w:t>as physical assaults only</w:t>
      </w:r>
      <w:r w:rsidR="005A4C81" w:rsidRPr="008D3C0D">
        <w:rPr>
          <w:rFonts w:ascii="Times New Roman" w:hAnsi="Times New Roman"/>
        </w:rPr>
        <w:t xml:space="preserve"> (which would be the effect of the appellant failing on ground </w:t>
      </w:r>
      <w:r w:rsidR="006E1DA4" w:rsidRPr="008D3C0D">
        <w:rPr>
          <w:rFonts w:ascii="Times New Roman" w:hAnsi="Times New Roman"/>
        </w:rPr>
        <w:t>2</w:t>
      </w:r>
      <w:r w:rsidR="005A4C81" w:rsidRPr="008D3C0D">
        <w:rPr>
          <w:rFonts w:ascii="Times New Roman" w:hAnsi="Times New Roman"/>
        </w:rPr>
        <w:t>)</w:t>
      </w:r>
      <w:r w:rsidR="00BA543A" w:rsidRPr="008D3C0D">
        <w:rPr>
          <w:rFonts w:ascii="Times New Roman" w:hAnsi="Times New Roman"/>
        </w:rPr>
        <w:t xml:space="preserve">. </w:t>
      </w:r>
      <w:r w:rsidR="00CA6E08" w:rsidRPr="008D3C0D">
        <w:rPr>
          <w:rFonts w:ascii="Times New Roman" w:hAnsi="Times New Roman"/>
        </w:rPr>
        <w:t xml:space="preserve"> </w:t>
      </w:r>
      <w:r w:rsidR="002C3AF2" w:rsidRPr="008D3C0D">
        <w:rPr>
          <w:rFonts w:ascii="Times New Roman" w:hAnsi="Times New Roman"/>
        </w:rPr>
        <w:t xml:space="preserve"> </w:t>
      </w:r>
    </w:p>
    <w:p w14:paraId="4DD081F9" w14:textId="3D24F1DD" w:rsidR="0007633F" w:rsidRPr="008D3C0D" w:rsidRDefault="004E0980" w:rsidP="008D3C0D">
      <w:pPr>
        <w:pStyle w:val="HeadingL1"/>
        <w:spacing w:after="260" w:line="280" w:lineRule="exact"/>
        <w:ind w:right="0"/>
        <w:jc w:val="both"/>
        <w:rPr>
          <w:rFonts w:ascii="Times New Roman" w:hAnsi="Times New Roman"/>
        </w:rPr>
      </w:pPr>
      <w:r w:rsidRPr="008D3C0D">
        <w:rPr>
          <w:rFonts w:ascii="Times New Roman" w:hAnsi="Times New Roman"/>
        </w:rPr>
        <w:t xml:space="preserve">Section 293(3) of the </w:t>
      </w:r>
      <w:r w:rsidRPr="008D3C0D">
        <w:rPr>
          <w:rFonts w:ascii="Times New Roman" w:hAnsi="Times New Roman"/>
          <w:i/>
          <w:iCs/>
        </w:rPr>
        <w:t xml:space="preserve">Criminal Procedure Act </w:t>
      </w:r>
    </w:p>
    <w:p w14:paraId="75174D63" w14:textId="3D49A46E" w:rsidR="00E35C24" w:rsidRPr="008D3C0D" w:rsidRDefault="0007633F"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0C3590" w:rsidRPr="008D3C0D">
        <w:rPr>
          <w:rFonts w:ascii="Times New Roman" w:hAnsi="Times New Roman"/>
        </w:rPr>
        <w:t>Section 293</w:t>
      </w:r>
      <w:r w:rsidR="00DD09D9" w:rsidRPr="008D3C0D">
        <w:rPr>
          <w:rFonts w:ascii="Times New Roman" w:hAnsi="Times New Roman"/>
        </w:rPr>
        <w:t xml:space="preserve"> of the </w:t>
      </w:r>
      <w:r w:rsidR="00DD09D9" w:rsidRPr="008D3C0D">
        <w:rPr>
          <w:rFonts w:ascii="Times New Roman" w:hAnsi="Times New Roman"/>
          <w:i/>
          <w:iCs/>
        </w:rPr>
        <w:t>Criminal Procedure Act</w:t>
      </w:r>
      <w:r w:rsidR="00DD09D9" w:rsidRPr="008D3C0D">
        <w:rPr>
          <w:rFonts w:ascii="Times New Roman" w:hAnsi="Times New Roman"/>
        </w:rPr>
        <w:t>, which is now renumbered as s</w:t>
      </w:r>
      <w:r w:rsidR="00356AF5" w:rsidRPr="008D3C0D">
        <w:rPr>
          <w:rFonts w:ascii="Times New Roman" w:hAnsi="Times New Roman"/>
        </w:rPr>
        <w:t> </w:t>
      </w:r>
      <w:r w:rsidR="00DD09D9" w:rsidRPr="008D3C0D">
        <w:rPr>
          <w:rFonts w:ascii="Times New Roman" w:hAnsi="Times New Roman"/>
        </w:rPr>
        <w:t xml:space="preserve">294CB, </w:t>
      </w:r>
      <w:r w:rsidR="001606A6" w:rsidRPr="008D3C0D">
        <w:rPr>
          <w:rFonts w:ascii="Times New Roman" w:hAnsi="Times New Roman"/>
        </w:rPr>
        <w:t>relevantly provides as follows:</w:t>
      </w:r>
    </w:p>
    <w:p w14:paraId="63A7E972" w14:textId="0C78A28C" w:rsidR="001606A6" w:rsidRPr="008D3C0D" w:rsidRDefault="001606A6" w:rsidP="008D3C0D">
      <w:pPr>
        <w:pStyle w:val="LeftrightafterHC"/>
        <w:keepNext/>
        <w:spacing w:before="0" w:after="260" w:line="280" w:lineRule="exact"/>
        <w:ind w:right="0"/>
        <w:jc w:val="both"/>
        <w:rPr>
          <w:rFonts w:ascii="Times New Roman" w:hAnsi="Times New Roman"/>
        </w:rPr>
      </w:pPr>
      <w:r w:rsidRPr="008D3C0D">
        <w:rPr>
          <w:rFonts w:ascii="Times New Roman" w:hAnsi="Times New Roman"/>
        </w:rPr>
        <w:lastRenderedPageBreak/>
        <w:t>"(3)</w:t>
      </w:r>
      <w:r w:rsidR="00EE1D1B" w:rsidRPr="008D3C0D">
        <w:rPr>
          <w:rFonts w:ascii="Times New Roman" w:hAnsi="Times New Roman"/>
        </w:rPr>
        <w:tab/>
      </w:r>
      <w:r w:rsidRPr="008D3C0D">
        <w:rPr>
          <w:rFonts w:ascii="Times New Roman" w:hAnsi="Times New Roman"/>
        </w:rPr>
        <w:t>Evidence that discloses or implies:</w:t>
      </w:r>
    </w:p>
    <w:p w14:paraId="6793690B" w14:textId="035C8686" w:rsidR="001606A6" w:rsidRPr="008D3C0D" w:rsidRDefault="001606A6" w:rsidP="008D3C0D">
      <w:pPr>
        <w:pStyle w:val="leftright"/>
        <w:spacing w:before="0" w:after="260" w:line="280" w:lineRule="exact"/>
        <w:ind w:left="2160" w:right="0" w:hanging="1440"/>
        <w:jc w:val="both"/>
        <w:rPr>
          <w:rFonts w:ascii="Times New Roman" w:hAnsi="Times New Roman"/>
        </w:rPr>
      </w:pPr>
      <w:r w:rsidRPr="008D3C0D">
        <w:rPr>
          <w:rFonts w:ascii="Times New Roman" w:hAnsi="Times New Roman"/>
        </w:rPr>
        <w:tab/>
        <w:t xml:space="preserve">(a) </w:t>
      </w:r>
      <w:r w:rsidRPr="008D3C0D">
        <w:rPr>
          <w:rFonts w:ascii="Times New Roman" w:hAnsi="Times New Roman"/>
        </w:rPr>
        <w:tab/>
        <w:t>that the complainant has or may have had sexual ex</w:t>
      </w:r>
      <w:r w:rsidR="00252570" w:rsidRPr="008D3C0D">
        <w:rPr>
          <w:rFonts w:ascii="Times New Roman" w:hAnsi="Times New Roman"/>
        </w:rPr>
        <w:t>perience or a lack of sexual experience, or</w:t>
      </w:r>
    </w:p>
    <w:p w14:paraId="64452811" w14:textId="77777777" w:rsidR="00CC03FC" w:rsidRPr="008D3C0D" w:rsidRDefault="00252570" w:rsidP="008D3C0D">
      <w:pPr>
        <w:pStyle w:val="leftright"/>
        <w:spacing w:before="0" w:after="260" w:line="280" w:lineRule="exact"/>
        <w:ind w:left="2160" w:right="0" w:hanging="1440"/>
        <w:jc w:val="both"/>
        <w:rPr>
          <w:rFonts w:ascii="Times New Roman" w:hAnsi="Times New Roman"/>
        </w:rPr>
      </w:pPr>
      <w:r w:rsidRPr="008D3C0D">
        <w:rPr>
          <w:rFonts w:ascii="Times New Roman" w:hAnsi="Times New Roman"/>
        </w:rPr>
        <w:tab/>
        <w:t>(b)</w:t>
      </w:r>
      <w:r w:rsidRPr="008D3C0D">
        <w:rPr>
          <w:rFonts w:ascii="Times New Roman" w:hAnsi="Times New Roman"/>
        </w:rPr>
        <w:tab/>
        <w:t xml:space="preserve">has or may have taken part or not taken part in any sexual activity, </w:t>
      </w:r>
    </w:p>
    <w:p w14:paraId="4249D6AA" w14:textId="4F9C840A" w:rsidR="00252570" w:rsidRPr="008D3C0D" w:rsidRDefault="00CC03FC" w:rsidP="008D3C0D">
      <w:pPr>
        <w:pStyle w:val="leftright"/>
        <w:spacing w:before="0" w:after="260" w:line="280" w:lineRule="exact"/>
        <w:ind w:left="2160" w:right="0" w:hanging="1440"/>
        <w:jc w:val="both"/>
        <w:rPr>
          <w:rFonts w:ascii="Times New Roman" w:hAnsi="Times New Roman"/>
        </w:rPr>
      </w:pPr>
      <w:r w:rsidRPr="008D3C0D">
        <w:rPr>
          <w:rFonts w:ascii="Times New Roman" w:hAnsi="Times New Roman"/>
        </w:rPr>
        <w:tab/>
      </w:r>
      <w:r w:rsidR="00252570" w:rsidRPr="008D3C0D">
        <w:rPr>
          <w:rFonts w:ascii="Times New Roman" w:hAnsi="Times New Roman"/>
        </w:rPr>
        <w:t>is inadmissible.</w:t>
      </w:r>
    </w:p>
    <w:p w14:paraId="694AF797" w14:textId="3C1F6E2D" w:rsidR="00EE1D1B" w:rsidRPr="008D3C0D" w:rsidRDefault="00EE1D1B" w:rsidP="008D3C0D">
      <w:pPr>
        <w:pStyle w:val="leftright"/>
        <w:spacing w:before="0" w:after="260" w:line="280" w:lineRule="exact"/>
        <w:ind w:left="2160" w:right="0" w:hanging="1440"/>
        <w:jc w:val="both"/>
        <w:rPr>
          <w:rFonts w:ascii="Times New Roman" w:hAnsi="Times New Roman"/>
        </w:rPr>
      </w:pPr>
      <w:r w:rsidRPr="008D3C0D">
        <w:rPr>
          <w:rFonts w:ascii="Times New Roman" w:hAnsi="Times New Roman"/>
        </w:rPr>
        <w:t>(4)</w:t>
      </w:r>
      <w:r w:rsidRPr="008D3C0D">
        <w:rPr>
          <w:rFonts w:ascii="Times New Roman" w:hAnsi="Times New Roman"/>
        </w:rPr>
        <w:tab/>
        <w:t>Subsection (3) does not apply:</w:t>
      </w:r>
    </w:p>
    <w:p w14:paraId="1DBA6ED6" w14:textId="21A22934" w:rsidR="00CA4362" w:rsidRPr="008D3C0D" w:rsidRDefault="00EE1D1B" w:rsidP="008D3C0D">
      <w:pPr>
        <w:pStyle w:val="leftright"/>
        <w:spacing w:before="0" w:after="260" w:line="280" w:lineRule="exact"/>
        <w:ind w:left="2160" w:right="0" w:hanging="1440"/>
        <w:jc w:val="both"/>
        <w:rPr>
          <w:rFonts w:ascii="Times New Roman" w:hAnsi="Times New Roman"/>
        </w:rPr>
      </w:pPr>
      <w:r w:rsidRPr="008D3C0D">
        <w:rPr>
          <w:rFonts w:ascii="Times New Roman" w:hAnsi="Times New Roman"/>
        </w:rPr>
        <w:tab/>
        <w:t>(a)</w:t>
      </w:r>
      <w:r w:rsidRPr="008D3C0D">
        <w:rPr>
          <w:rFonts w:ascii="Times New Roman" w:hAnsi="Times New Roman"/>
        </w:rPr>
        <w:tab/>
        <w:t xml:space="preserve">if </w:t>
      </w:r>
      <w:r w:rsidR="00B6598E" w:rsidRPr="008D3C0D">
        <w:rPr>
          <w:rFonts w:ascii="Times New Roman" w:hAnsi="Times New Roman"/>
        </w:rPr>
        <w:t>the evidence:</w:t>
      </w:r>
    </w:p>
    <w:p w14:paraId="748C139C" w14:textId="29B8FC98" w:rsidR="006C6675" w:rsidRPr="008D3C0D" w:rsidRDefault="006C6675" w:rsidP="008D3C0D">
      <w:pPr>
        <w:pStyle w:val="leftright"/>
        <w:spacing w:before="0" w:after="260" w:line="280" w:lineRule="exact"/>
        <w:ind w:left="2880" w:right="0" w:hanging="2160"/>
        <w:jc w:val="both"/>
        <w:rPr>
          <w:rFonts w:ascii="Times New Roman" w:hAnsi="Times New Roman"/>
        </w:rPr>
      </w:pPr>
      <w:r w:rsidRPr="008D3C0D">
        <w:rPr>
          <w:rFonts w:ascii="Times New Roman" w:hAnsi="Times New Roman"/>
        </w:rPr>
        <w:tab/>
      </w:r>
      <w:r w:rsidRPr="008D3C0D">
        <w:rPr>
          <w:rFonts w:ascii="Times New Roman" w:hAnsi="Times New Roman"/>
        </w:rPr>
        <w:tab/>
        <w:t>(</w:t>
      </w:r>
      <w:proofErr w:type="spellStart"/>
      <w:r w:rsidRPr="008D3C0D">
        <w:rPr>
          <w:rFonts w:ascii="Times New Roman" w:hAnsi="Times New Roman"/>
        </w:rPr>
        <w:t>i</w:t>
      </w:r>
      <w:proofErr w:type="spellEnd"/>
      <w:r w:rsidRPr="008D3C0D">
        <w:rPr>
          <w:rFonts w:ascii="Times New Roman" w:hAnsi="Times New Roman"/>
        </w:rPr>
        <w:t xml:space="preserve">) </w:t>
      </w:r>
      <w:r w:rsidRPr="008D3C0D">
        <w:rPr>
          <w:rFonts w:ascii="Times New Roman" w:hAnsi="Times New Roman"/>
        </w:rPr>
        <w:tab/>
        <w:t>is of the complainant's sexual experience or lack of sexual experience, or of sexual activity or lack of sexual activity taken part in by the complainant, at or about the time of the commission of the alleged prescribed sexual offence, and</w:t>
      </w:r>
    </w:p>
    <w:p w14:paraId="4B9675F5" w14:textId="79059D04" w:rsidR="000B0D4A" w:rsidRPr="008D3C0D" w:rsidRDefault="006C6675" w:rsidP="008D3C0D">
      <w:pPr>
        <w:pStyle w:val="leftright"/>
        <w:spacing w:before="0" w:after="260" w:line="280" w:lineRule="exact"/>
        <w:ind w:left="2880" w:right="0" w:hanging="2160"/>
        <w:jc w:val="both"/>
        <w:rPr>
          <w:rFonts w:ascii="Times New Roman" w:hAnsi="Times New Roman"/>
        </w:rPr>
      </w:pPr>
      <w:r w:rsidRPr="008D3C0D">
        <w:rPr>
          <w:rFonts w:ascii="Times New Roman" w:hAnsi="Times New Roman"/>
        </w:rPr>
        <w:tab/>
      </w:r>
      <w:r w:rsidRPr="008D3C0D">
        <w:rPr>
          <w:rFonts w:ascii="Times New Roman" w:hAnsi="Times New Roman"/>
        </w:rPr>
        <w:tab/>
        <w:t>(ii)</w:t>
      </w:r>
      <w:r w:rsidRPr="008D3C0D">
        <w:rPr>
          <w:rFonts w:ascii="Times New Roman" w:hAnsi="Times New Roman"/>
        </w:rPr>
        <w:tab/>
        <w:t>is of events that are alleged to form part of a connected set of circumstances in which the alleged prescribed sexual offence was committed,</w:t>
      </w:r>
    </w:p>
    <w:p w14:paraId="118CCC13" w14:textId="7BE51DFA" w:rsidR="000B0D4A" w:rsidRPr="008D3C0D" w:rsidRDefault="000B0D4A" w:rsidP="008D3C0D">
      <w:pPr>
        <w:pStyle w:val="leftright"/>
        <w:spacing w:before="0" w:after="260" w:line="280" w:lineRule="exact"/>
        <w:ind w:left="2160" w:right="0" w:hanging="1440"/>
        <w:jc w:val="both"/>
        <w:rPr>
          <w:rFonts w:ascii="Times New Roman" w:hAnsi="Times New Roman"/>
        </w:rPr>
      </w:pPr>
      <w:r w:rsidRPr="008D3C0D">
        <w:rPr>
          <w:rFonts w:ascii="Times New Roman" w:hAnsi="Times New Roman"/>
        </w:rPr>
        <w:tab/>
        <w:t xml:space="preserve">(b) </w:t>
      </w:r>
      <w:r w:rsidRPr="008D3C0D">
        <w:rPr>
          <w:rFonts w:ascii="Times New Roman" w:hAnsi="Times New Roman"/>
        </w:rPr>
        <w:tab/>
        <w:t xml:space="preserve">if the evidence relates to a relationship that was existing or recent at the time of the commission of the alleged prescribed sexual offence, being a relationship </w:t>
      </w:r>
      <w:r w:rsidR="00757396" w:rsidRPr="008D3C0D">
        <w:rPr>
          <w:rFonts w:ascii="Times New Roman" w:hAnsi="Times New Roman"/>
        </w:rPr>
        <w:t>between the accused person and the complainant,</w:t>
      </w:r>
    </w:p>
    <w:p w14:paraId="09FDBC12" w14:textId="3DF59ACB" w:rsidR="00757396" w:rsidRPr="008D3C0D" w:rsidRDefault="00757396" w:rsidP="008D3C0D">
      <w:pPr>
        <w:pStyle w:val="leftright"/>
        <w:spacing w:before="0" w:after="260" w:line="280" w:lineRule="exact"/>
        <w:ind w:left="2160" w:right="0" w:hanging="1440"/>
        <w:jc w:val="both"/>
        <w:rPr>
          <w:rFonts w:ascii="Times New Roman" w:hAnsi="Times New Roman"/>
        </w:rPr>
      </w:pPr>
      <w:r w:rsidRPr="008D3C0D">
        <w:rPr>
          <w:rFonts w:ascii="Times New Roman" w:hAnsi="Times New Roman"/>
        </w:rPr>
        <w:tab/>
        <w:t>...</w:t>
      </w:r>
    </w:p>
    <w:p w14:paraId="28E3C453" w14:textId="05917652" w:rsidR="00261683" w:rsidRPr="008D3C0D" w:rsidRDefault="00CA4362" w:rsidP="00E3576D">
      <w:pPr>
        <w:pStyle w:val="leftright"/>
        <w:tabs>
          <w:tab w:val="clear" w:pos="1440"/>
          <w:tab w:val="clear" w:pos="2160"/>
          <w:tab w:val="left" w:pos="1843"/>
          <w:tab w:val="left" w:pos="2268"/>
        </w:tabs>
        <w:spacing w:before="0" w:after="260" w:line="280" w:lineRule="exact"/>
        <w:ind w:left="1418" w:right="0" w:hanging="698"/>
        <w:jc w:val="both"/>
        <w:rPr>
          <w:rFonts w:ascii="Times New Roman" w:hAnsi="Times New Roman"/>
        </w:rPr>
      </w:pPr>
      <w:r w:rsidRPr="008D3C0D">
        <w:rPr>
          <w:rFonts w:ascii="Times New Roman" w:hAnsi="Times New Roman"/>
        </w:rPr>
        <w:tab/>
      </w:r>
      <w:r w:rsidR="00FA164A" w:rsidRPr="008D3C0D">
        <w:rPr>
          <w:rFonts w:ascii="Times New Roman" w:hAnsi="Times New Roman"/>
        </w:rPr>
        <w:t xml:space="preserve">and if the probative value of </w:t>
      </w:r>
      <w:r w:rsidRPr="008D3C0D">
        <w:rPr>
          <w:rFonts w:ascii="Times New Roman" w:hAnsi="Times New Roman"/>
        </w:rPr>
        <w:t>th</w:t>
      </w:r>
      <w:r w:rsidR="00FA164A" w:rsidRPr="008D3C0D">
        <w:rPr>
          <w:rFonts w:ascii="Times New Roman" w:hAnsi="Times New Roman"/>
        </w:rPr>
        <w:t>e evidence outweighs any distress, humiliation or embarrassment that the complainant might suffer as a result of its admission.</w:t>
      </w:r>
      <w:r w:rsidR="00D02B76" w:rsidRPr="008D3C0D">
        <w:rPr>
          <w:rFonts w:ascii="Times New Roman" w:hAnsi="Times New Roman"/>
        </w:rPr>
        <w:t>"</w:t>
      </w:r>
    </w:p>
    <w:p w14:paraId="4978071E" w14:textId="0D78CA36" w:rsidR="00121F1E" w:rsidRPr="008D3C0D" w:rsidRDefault="00121F1E" w:rsidP="008D3C0D">
      <w:pPr>
        <w:pStyle w:val="HeadingL1"/>
        <w:spacing w:after="260" w:line="280" w:lineRule="exact"/>
        <w:ind w:right="0"/>
        <w:jc w:val="both"/>
        <w:rPr>
          <w:rFonts w:ascii="Times New Roman" w:hAnsi="Times New Roman"/>
        </w:rPr>
      </w:pPr>
      <w:r w:rsidRPr="008D3C0D">
        <w:rPr>
          <w:rFonts w:ascii="Times New Roman" w:hAnsi="Times New Roman"/>
        </w:rPr>
        <w:t xml:space="preserve">The prohibition in s 293(3) </w:t>
      </w:r>
      <w:r w:rsidRPr="008D3C0D">
        <w:rPr>
          <w:rFonts w:ascii="Times New Roman" w:hAnsi="Times New Roman"/>
        </w:rPr>
        <w:tab/>
      </w:r>
      <w:r w:rsidRPr="008D3C0D">
        <w:rPr>
          <w:rFonts w:ascii="Times New Roman" w:hAnsi="Times New Roman"/>
        </w:rPr>
        <w:tab/>
        <w:t xml:space="preserve"> </w:t>
      </w:r>
    </w:p>
    <w:p w14:paraId="1CB5F0C7" w14:textId="248F8F14"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As Leeming JA observed in </w:t>
      </w:r>
      <w:proofErr w:type="spellStart"/>
      <w:r w:rsidRPr="008D3C0D">
        <w:rPr>
          <w:rFonts w:ascii="Times New Roman" w:hAnsi="Times New Roman"/>
          <w:i/>
          <w:iCs/>
        </w:rPr>
        <w:t>Jackmain</w:t>
      </w:r>
      <w:proofErr w:type="spellEnd"/>
      <w:r w:rsidRPr="008D3C0D">
        <w:rPr>
          <w:rFonts w:ascii="Times New Roman" w:hAnsi="Times New Roman"/>
          <w:i/>
          <w:iCs/>
        </w:rPr>
        <w:t xml:space="preserve"> (a pseudonym) v The Queen</w:t>
      </w:r>
      <w:r w:rsidRPr="008D3C0D">
        <w:rPr>
          <w:rFonts w:ascii="Times New Roman" w:hAnsi="Times New Roman"/>
        </w:rPr>
        <w:t>,</w:t>
      </w:r>
      <w:r w:rsidRPr="008D3C0D">
        <w:rPr>
          <w:rStyle w:val="FootnoteReference"/>
          <w:rFonts w:ascii="Times New Roman" w:hAnsi="Times New Roman"/>
          <w:sz w:val="24"/>
        </w:rPr>
        <w:footnoteReference w:id="11"/>
      </w:r>
      <w:r w:rsidRPr="008D3C0D">
        <w:rPr>
          <w:rFonts w:ascii="Times New Roman" w:hAnsi="Times New Roman"/>
        </w:rPr>
        <w:t xml:space="preserve"> s</w:t>
      </w:r>
      <w:r w:rsidR="00B5344E" w:rsidRPr="008D3C0D">
        <w:rPr>
          <w:rFonts w:ascii="Times New Roman" w:hAnsi="Times New Roman"/>
        </w:rPr>
        <w:t> </w:t>
      </w:r>
      <w:r w:rsidRPr="008D3C0D">
        <w:rPr>
          <w:rFonts w:ascii="Times New Roman" w:hAnsi="Times New Roman"/>
        </w:rPr>
        <w:t xml:space="preserve">293 "is not a well-drafted law ... It </w:t>
      </w:r>
      <w:r w:rsidR="00BF1373" w:rsidRPr="008D3C0D">
        <w:rPr>
          <w:rFonts w:ascii="Times New Roman" w:hAnsi="Times New Roman"/>
        </w:rPr>
        <w:t xml:space="preserve">also </w:t>
      </w:r>
      <w:r w:rsidRPr="008D3C0D">
        <w:rPr>
          <w:rFonts w:ascii="Times New Roman" w:hAnsi="Times New Roman"/>
        </w:rPr>
        <w:t xml:space="preserve">differs from its counterparts in every other Australian state, because it does not contain a residual discretion, even in an </w:t>
      </w:r>
      <w:r w:rsidRPr="008D3C0D">
        <w:rPr>
          <w:rFonts w:ascii="Times New Roman" w:hAnsi="Times New Roman"/>
        </w:rPr>
        <w:lastRenderedPageBreak/>
        <w:t>exceptional case". The predecessor provision to s</w:t>
      </w:r>
      <w:r w:rsidR="00CB0D25" w:rsidRPr="008D3C0D">
        <w:rPr>
          <w:rFonts w:ascii="Times New Roman" w:hAnsi="Times New Roman"/>
        </w:rPr>
        <w:t> </w:t>
      </w:r>
      <w:r w:rsidRPr="008D3C0D">
        <w:rPr>
          <w:rFonts w:ascii="Times New Roman" w:hAnsi="Times New Roman"/>
        </w:rPr>
        <w:t>293 was enacted in 1981</w:t>
      </w:r>
      <w:r w:rsidRPr="008D3C0D">
        <w:rPr>
          <w:rStyle w:val="FootnoteReference"/>
          <w:rFonts w:ascii="Times New Roman" w:hAnsi="Times New Roman"/>
          <w:sz w:val="24"/>
        </w:rPr>
        <w:footnoteReference w:id="12"/>
      </w:r>
      <w:r w:rsidRPr="008D3C0D">
        <w:rPr>
          <w:rFonts w:ascii="Times New Roman" w:hAnsi="Times New Roman"/>
        </w:rPr>
        <w:t xml:space="preserve"> to "ease, so far as is possible, the humiliation experienced by sexual assault victims, to remove the stigma attached to the rape victim, to encourage victims to report the offences, and to bring the offenders to justice as justice demands".</w:t>
      </w:r>
      <w:r w:rsidRPr="008D3C0D">
        <w:rPr>
          <w:rStyle w:val="FootnoteReference"/>
          <w:rFonts w:ascii="Times New Roman" w:hAnsi="Times New Roman"/>
          <w:sz w:val="24"/>
        </w:rPr>
        <w:footnoteReference w:id="13"/>
      </w:r>
      <w:r w:rsidRPr="008D3C0D">
        <w:rPr>
          <w:rFonts w:ascii="Times New Roman" w:hAnsi="Times New Roman"/>
        </w:rPr>
        <w:t xml:space="preserve"> But the terms of the prohibition in s 293(3) are so broad that, if read without full context</w:t>
      </w:r>
      <w:r w:rsidR="007A3D3E" w:rsidRPr="008D3C0D">
        <w:rPr>
          <w:rFonts w:ascii="Times New Roman" w:hAnsi="Times New Roman"/>
        </w:rPr>
        <w:t>,</w:t>
      </w:r>
      <w:r w:rsidR="0040449F" w:rsidRPr="008D3C0D">
        <w:rPr>
          <w:rFonts w:ascii="Times New Roman" w:hAnsi="Times New Roman"/>
        </w:rPr>
        <w:t xml:space="preserve"> </w:t>
      </w:r>
      <w:r w:rsidRPr="008D3C0D">
        <w:rPr>
          <w:rFonts w:ascii="Times New Roman" w:hAnsi="Times New Roman"/>
        </w:rPr>
        <w:t>the evidence of "sexual experience" or "sexual activity" to which s</w:t>
      </w:r>
      <w:r w:rsidR="00BD41F5" w:rsidRPr="008D3C0D">
        <w:rPr>
          <w:rFonts w:ascii="Times New Roman" w:hAnsi="Times New Roman"/>
        </w:rPr>
        <w:t> </w:t>
      </w:r>
      <w:r w:rsidRPr="008D3C0D">
        <w:rPr>
          <w:rFonts w:ascii="Times New Roman" w:hAnsi="Times New Roman"/>
        </w:rPr>
        <w:t xml:space="preserve">293(3) refers </w:t>
      </w:r>
      <w:r w:rsidR="007A3D3E" w:rsidRPr="008D3C0D">
        <w:rPr>
          <w:rFonts w:ascii="Times New Roman" w:hAnsi="Times New Roman"/>
        </w:rPr>
        <w:t>c</w:t>
      </w:r>
      <w:r w:rsidRPr="008D3C0D">
        <w:rPr>
          <w:rFonts w:ascii="Times New Roman" w:hAnsi="Times New Roman"/>
        </w:rPr>
        <w:t>ould extend even to evidence of the sexual acts which comprise the offence itself.</w:t>
      </w:r>
      <w:r w:rsidRPr="008D3C0D">
        <w:rPr>
          <w:rStyle w:val="FootnoteReference"/>
          <w:rFonts w:ascii="Times New Roman" w:hAnsi="Times New Roman"/>
          <w:sz w:val="24"/>
        </w:rPr>
        <w:footnoteReference w:id="14"/>
      </w:r>
      <w:r w:rsidRPr="008D3C0D">
        <w:rPr>
          <w:rFonts w:ascii="Times New Roman" w:hAnsi="Times New Roman"/>
        </w:rPr>
        <w:t xml:space="preserve"> The prohibition must be taken to concern evidence that discloses or implies relevant sexual experience or sexual act</w:t>
      </w:r>
      <w:r w:rsidR="008A335C" w:rsidRPr="008D3C0D">
        <w:rPr>
          <w:rFonts w:ascii="Times New Roman" w:hAnsi="Times New Roman"/>
        </w:rPr>
        <w:t>ivity</w:t>
      </w:r>
      <w:r w:rsidRPr="008D3C0D">
        <w:rPr>
          <w:rFonts w:ascii="Times New Roman" w:hAnsi="Times New Roman"/>
        </w:rPr>
        <w:t xml:space="preserve"> </w:t>
      </w:r>
      <w:r w:rsidR="008A335C" w:rsidRPr="008D3C0D">
        <w:rPr>
          <w:rFonts w:ascii="Times New Roman" w:hAnsi="Times New Roman"/>
        </w:rPr>
        <w:t xml:space="preserve">which occurred </w:t>
      </w:r>
      <w:r w:rsidRPr="008D3C0D">
        <w:rPr>
          <w:rFonts w:ascii="Times New Roman" w:hAnsi="Times New Roman"/>
        </w:rPr>
        <w:t xml:space="preserve">prior to </w:t>
      </w:r>
      <w:r w:rsidR="002F41A9" w:rsidRPr="008D3C0D">
        <w:rPr>
          <w:rFonts w:ascii="Times New Roman" w:hAnsi="Times New Roman"/>
        </w:rPr>
        <w:t xml:space="preserve">or </w:t>
      </w:r>
      <w:r w:rsidR="00E56C2D" w:rsidRPr="008D3C0D">
        <w:rPr>
          <w:rFonts w:ascii="Times New Roman" w:hAnsi="Times New Roman"/>
        </w:rPr>
        <w:t>at</w:t>
      </w:r>
      <w:r w:rsidRPr="008D3C0D">
        <w:rPr>
          <w:rFonts w:ascii="Times New Roman" w:hAnsi="Times New Roman"/>
        </w:rPr>
        <w:t xml:space="preserve"> </w:t>
      </w:r>
      <w:r w:rsidR="00E56C2D" w:rsidRPr="008D3C0D">
        <w:rPr>
          <w:rFonts w:ascii="Times New Roman" w:hAnsi="Times New Roman"/>
        </w:rPr>
        <w:t>the time of</w:t>
      </w:r>
      <w:r w:rsidRPr="008D3C0D">
        <w:rPr>
          <w:rFonts w:ascii="Times New Roman" w:hAnsi="Times New Roman"/>
        </w:rPr>
        <w:t xml:space="preserve"> the alleged offending.</w:t>
      </w:r>
    </w:p>
    <w:p w14:paraId="0AE2C4D5" w14:textId="316FCF3B"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In other respects, however, the prohibition in s</w:t>
      </w:r>
      <w:r w:rsidR="00F52510" w:rsidRPr="008D3C0D">
        <w:rPr>
          <w:rFonts w:ascii="Times New Roman" w:hAnsi="Times New Roman"/>
        </w:rPr>
        <w:t> </w:t>
      </w:r>
      <w:r w:rsidRPr="008D3C0D">
        <w:rPr>
          <w:rFonts w:ascii="Times New Roman" w:hAnsi="Times New Roman"/>
        </w:rPr>
        <w:t xml:space="preserve">293(3) has not been confined. In </w:t>
      </w:r>
      <w:r w:rsidRPr="008D3C0D">
        <w:rPr>
          <w:rFonts w:ascii="Times New Roman" w:hAnsi="Times New Roman"/>
          <w:i/>
          <w:iCs/>
        </w:rPr>
        <w:t>HG v The Queen</w:t>
      </w:r>
      <w:r w:rsidRPr="008D3C0D">
        <w:rPr>
          <w:rFonts w:ascii="Times New Roman" w:hAnsi="Times New Roman"/>
        </w:rPr>
        <w:t>,</w:t>
      </w:r>
      <w:r w:rsidRPr="008D3C0D">
        <w:rPr>
          <w:rStyle w:val="FootnoteReference"/>
          <w:rFonts w:ascii="Times New Roman" w:hAnsi="Times New Roman"/>
          <w:sz w:val="24"/>
        </w:rPr>
        <w:footnoteReference w:id="15"/>
      </w:r>
      <w:r w:rsidRPr="008D3C0D">
        <w:rPr>
          <w:rFonts w:ascii="Times New Roman" w:hAnsi="Times New Roman"/>
        </w:rPr>
        <w:t xml:space="preserve"> this Court rejected the submission that the predecessor provision to s</w:t>
      </w:r>
      <w:r w:rsidR="00DB1A2E" w:rsidRPr="008D3C0D">
        <w:rPr>
          <w:rFonts w:ascii="Times New Roman" w:hAnsi="Times New Roman"/>
        </w:rPr>
        <w:t> </w:t>
      </w:r>
      <w:r w:rsidRPr="008D3C0D">
        <w:rPr>
          <w:rFonts w:ascii="Times New Roman" w:hAnsi="Times New Roman"/>
        </w:rPr>
        <w:t>293 applie</w:t>
      </w:r>
      <w:r w:rsidR="00061B05" w:rsidRPr="008D3C0D">
        <w:rPr>
          <w:rFonts w:ascii="Times New Roman" w:hAnsi="Times New Roman"/>
        </w:rPr>
        <w:t>d</w:t>
      </w:r>
      <w:r w:rsidRPr="008D3C0D">
        <w:rPr>
          <w:rFonts w:ascii="Times New Roman" w:hAnsi="Times New Roman"/>
        </w:rPr>
        <w:t xml:space="preserve"> only to "prior consensual sexual episodes". On this appeal there were very limited submissions made about the scope of s</w:t>
      </w:r>
      <w:r w:rsidR="00B30DAB" w:rsidRPr="008D3C0D">
        <w:rPr>
          <w:rFonts w:ascii="Times New Roman" w:hAnsi="Times New Roman"/>
        </w:rPr>
        <w:t> </w:t>
      </w:r>
      <w:r w:rsidRPr="008D3C0D">
        <w:rPr>
          <w:rFonts w:ascii="Times New Roman" w:hAnsi="Times New Roman"/>
        </w:rPr>
        <w:t>293(3). It is neither necessary nor appropriate to address the scope of s</w:t>
      </w:r>
      <w:r w:rsidR="00CB6C04" w:rsidRPr="008D3C0D">
        <w:rPr>
          <w:rFonts w:ascii="Times New Roman" w:hAnsi="Times New Roman"/>
        </w:rPr>
        <w:t> </w:t>
      </w:r>
      <w:r w:rsidRPr="008D3C0D">
        <w:rPr>
          <w:rFonts w:ascii="Times New Roman" w:hAnsi="Times New Roman"/>
        </w:rPr>
        <w:t>293(3) or the legal effect</w:t>
      </w:r>
      <w:r w:rsidR="00470F99" w:rsidRPr="008D3C0D">
        <w:rPr>
          <w:rFonts w:ascii="Times New Roman" w:hAnsi="Times New Roman"/>
        </w:rPr>
        <w:t>s</w:t>
      </w:r>
      <w:r w:rsidRPr="008D3C0D">
        <w:rPr>
          <w:rFonts w:ascii="Times New Roman" w:hAnsi="Times New Roman"/>
        </w:rPr>
        <w:t xml:space="preserve"> of the successive re-enactments of the terms of s</w:t>
      </w:r>
      <w:r w:rsidR="00C0278E" w:rsidRPr="008D3C0D">
        <w:rPr>
          <w:rFonts w:ascii="Times New Roman" w:hAnsi="Times New Roman"/>
        </w:rPr>
        <w:t> </w:t>
      </w:r>
      <w:r w:rsidRPr="008D3C0D">
        <w:rPr>
          <w:rFonts w:ascii="Times New Roman" w:hAnsi="Times New Roman"/>
        </w:rPr>
        <w:t xml:space="preserve">293, </w:t>
      </w:r>
      <w:r w:rsidR="00D10130" w:rsidRPr="008D3C0D">
        <w:rPr>
          <w:rFonts w:ascii="Times New Roman" w:hAnsi="Times New Roman"/>
        </w:rPr>
        <w:t xml:space="preserve">which made no </w:t>
      </w:r>
      <w:r w:rsidRPr="008D3C0D">
        <w:rPr>
          <w:rFonts w:ascii="Times New Roman" w:hAnsi="Times New Roman"/>
        </w:rPr>
        <w:t>substantial change</w:t>
      </w:r>
      <w:r w:rsidR="00D10130" w:rsidRPr="008D3C0D">
        <w:rPr>
          <w:rFonts w:ascii="Times New Roman" w:hAnsi="Times New Roman"/>
        </w:rPr>
        <w:t>s</w:t>
      </w:r>
      <w:r w:rsidRPr="008D3C0D">
        <w:rPr>
          <w:rFonts w:ascii="Times New Roman" w:hAnsi="Times New Roman"/>
        </w:rPr>
        <w:t>.</w:t>
      </w:r>
      <w:r w:rsidRPr="008D3C0D">
        <w:rPr>
          <w:rStyle w:val="FootnoteReference"/>
          <w:rFonts w:ascii="Times New Roman" w:hAnsi="Times New Roman"/>
          <w:sz w:val="24"/>
        </w:rPr>
        <w:footnoteReference w:id="16"/>
      </w:r>
      <w:r w:rsidRPr="008D3C0D">
        <w:rPr>
          <w:rFonts w:ascii="Times New Roman" w:hAnsi="Times New Roman"/>
        </w:rPr>
        <w:t xml:space="preserve"> It suffices to say that it was common ground that the evidence that was proposed to be adduced by the appellant was one of the "problem cases" described by the New South Wales Law Reform Commission in 199</w:t>
      </w:r>
      <w:r w:rsidR="00346F9E" w:rsidRPr="008D3C0D">
        <w:rPr>
          <w:rFonts w:ascii="Times New Roman" w:hAnsi="Times New Roman"/>
        </w:rPr>
        <w:t>8</w:t>
      </w:r>
      <w:r w:rsidRPr="008D3C0D">
        <w:rPr>
          <w:rFonts w:ascii="Times New Roman" w:hAnsi="Times New Roman"/>
        </w:rPr>
        <w:t xml:space="preserve"> which fell within the prohibition in s</w:t>
      </w:r>
      <w:r w:rsidR="003F4C9F" w:rsidRPr="008D3C0D">
        <w:rPr>
          <w:rFonts w:ascii="Times New Roman" w:hAnsi="Times New Roman"/>
        </w:rPr>
        <w:t> </w:t>
      </w:r>
      <w:r w:rsidRPr="008D3C0D">
        <w:rPr>
          <w:rFonts w:ascii="Times New Roman" w:hAnsi="Times New Roman"/>
        </w:rPr>
        <w:t>293(3)</w:t>
      </w:r>
      <w:r w:rsidR="00F00C79" w:rsidRPr="008D3C0D">
        <w:rPr>
          <w:rFonts w:ascii="Times New Roman" w:hAnsi="Times New Roman"/>
        </w:rPr>
        <w:t xml:space="preserve">, namely, a case where the complainant was </w:t>
      </w:r>
      <w:r w:rsidR="00F00C79" w:rsidRPr="008D3C0D">
        <w:rPr>
          <w:rFonts w:ascii="Times New Roman" w:hAnsi="Times New Roman"/>
        </w:rPr>
        <w:lastRenderedPageBreak/>
        <w:t>a child, the accused denied</w:t>
      </w:r>
      <w:r w:rsidR="003215B5" w:rsidRPr="008D3C0D">
        <w:rPr>
          <w:rFonts w:ascii="Times New Roman" w:hAnsi="Times New Roman"/>
        </w:rPr>
        <w:t xml:space="preserve"> that</w:t>
      </w:r>
      <w:r w:rsidR="00F00C79" w:rsidRPr="008D3C0D">
        <w:rPr>
          <w:rFonts w:ascii="Times New Roman" w:hAnsi="Times New Roman"/>
        </w:rPr>
        <w:t xml:space="preserve"> the alleged abuse</w:t>
      </w:r>
      <w:r w:rsidR="007B2994" w:rsidRPr="008D3C0D">
        <w:rPr>
          <w:rFonts w:ascii="Times New Roman" w:hAnsi="Times New Roman"/>
        </w:rPr>
        <w:t xml:space="preserve"> occurred and the relevant evidence was about sexual experience or activity (or lack of it) rather than evidence of sexual reputation</w:t>
      </w:r>
      <w:r w:rsidRPr="008D3C0D">
        <w:rPr>
          <w:rFonts w:ascii="Times New Roman" w:hAnsi="Times New Roman"/>
        </w:rPr>
        <w:t>.</w:t>
      </w:r>
      <w:r w:rsidRPr="008D3C0D">
        <w:rPr>
          <w:rStyle w:val="FootnoteReference"/>
          <w:rFonts w:ascii="Times New Roman" w:hAnsi="Times New Roman"/>
          <w:sz w:val="24"/>
        </w:rPr>
        <w:footnoteReference w:id="17"/>
      </w:r>
      <w:r w:rsidRPr="008D3C0D">
        <w:rPr>
          <w:rFonts w:ascii="Times New Roman" w:hAnsi="Times New Roman"/>
        </w:rPr>
        <w:t xml:space="preserve">   </w:t>
      </w:r>
    </w:p>
    <w:p w14:paraId="38A5DE3F" w14:textId="155007C1" w:rsidR="00121F1E" w:rsidRPr="008D3C0D" w:rsidRDefault="00F223F6" w:rsidP="008D3C0D">
      <w:pPr>
        <w:pStyle w:val="HeadingL1"/>
        <w:spacing w:after="260" w:line="280" w:lineRule="exact"/>
        <w:ind w:right="0"/>
        <w:jc w:val="both"/>
        <w:rPr>
          <w:rFonts w:ascii="Times New Roman" w:hAnsi="Times New Roman"/>
        </w:rPr>
      </w:pPr>
      <w:r w:rsidRPr="008D3C0D">
        <w:rPr>
          <w:rFonts w:ascii="Times New Roman" w:hAnsi="Times New Roman"/>
        </w:rPr>
        <w:t xml:space="preserve">Ground 1: </w:t>
      </w:r>
      <w:r w:rsidR="00121F1E" w:rsidRPr="008D3C0D">
        <w:rPr>
          <w:rFonts w:ascii="Times New Roman" w:hAnsi="Times New Roman"/>
        </w:rPr>
        <w:t>The exceptions to inadmissibility</w:t>
      </w:r>
    </w:p>
    <w:p w14:paraId="4E4BD993" w14:textId="440EFD51"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In assessing whether one of the exceptions to inadmissibility applies, it has been said that "no narrow approach should be taken to that part of the statutory provision which permits [the evidence's] reception".</w:t>
      </w:r>
      <w:r w:rsidRPr="008D3C0D">
        <w:rPr>
          <w:rStyle w:val="FootnoteReference"/>
          <w:rFonts w:ascii="Times New Roman" w:hAnsi="Times New Roman"/>
          <w:sz w:val="24"/>
        </w:rPr>
        <w:footnoteReference w:id="18"/>
      </w:r>
      <w:r w:rsidRPr="008D3C0D">
        <w:rPr>
          <w:rFonts w:ascii="Times New Roman" w:hAnsi="Times New Roman"/>
        </w:rPr>
        <w:t xml:space="preserve"> As will be seen below, that caution applies particularly to an assessment of whether the evidence which is sought to be adduced is "of" sexual experience </w:t>
      </w:r>
      <w:r w:rsidR="00831EF5" w:rsidRPr="008D3C0D">
        <w:rPr>
          <w:rFonts w:ascii="Times New Roman" w:hAnsi="Times New Roman"/>
        </w:rPr>
        <w:t>in the first exception</w:t>
      </w:r>
      <w:r w:rsidR="007737A4" w:rsidRPr="008D3C0D">
        <w:rPr>
          <w:rFonts w:ascii="Times New Roman" w:hAnsi="Times New Roman"/>
        </w:rPr>
        <w:t>,</w:t>
      </w:r>
      <w:r w:rsidR="00831EF5" w:rsidRPr="008D3C0D">
        <w:rPr>
          <w:rFonts w:ascii="Times New Roman" w:hAnsi="Times New Roman"/>
        </w:rPr>
        <w:t xml:space="preserve"> contained in</w:t>
      </w:r>
      <w:r w:rsidR="00A73A06" w:rsidRPr="008D3C0D">
        <w:rPr>
          <w:rFonts w:ascii="Times New Roman" w:hAnsi="Times New Roman"/>
        </w:rPr>
        <w:t xml:space="preserve"> s 293(4)(a)</w:t>
      </w:r>
      <w:r w:rsidR="007737A4" w:rsidRPr="008D3C0D">
        <w:rPr>
          <w:rFonts w:ascii="Times New Roman" w:hAnsi="Times New Roman"/>
        </w:rPr>
        <w:t>,</w:t>
      </w:r>
      <w:r w:rsidRPr="008D3C0D">
        <w:rPr>
          <w:rFonts w:ascii="Times New Roman" w:hAnsi="Times New Roman"/>
        </w:rPr>
        <w:t xml:space="preserve"> or whether the evidence "relates to a relationship" of the relevant kind </w:t>
      </w:r>
      <w:r w:rsidR="00831EF5" w:rsidRPr="008D3C0D">
        <w:rPr>
          <w:rFonts w:ascii="Times New Roman" w:hAnsi="Times New Roman"/>
        </w:rPr>
        <w:t>in the second exception</w:t>
      </w:r>
      <w:r w:rsidR="007737A4" w:rsidRPr="008D3C0D">
        <w:rPr>
          <w:rFonts w:ascii="Times New Roman" w:hAnsi="Times New Roman"/>
        </w:rPr>
        <w:t>,</w:t>
      </w:r>
      <w:r w:rsidR="00831EF5" w:rsidRPr="008D3C0D">
        <w:rPr>
          <w:rFonts w:ascii="Times New Roman" w:hAnsi="Times New Roman"/>
        </w:rPr>
        <w:t xml:space="preserve"> contained in</w:t>
      </w:r>
      <w:r w:rsidR="00A50148" w:rsidRPr="008D3C0D">
        <w:rPr>
          <w:rFonts w:ascii="Times New Roman" w:hAnsi="Times New Roman"/>
        </w:rPr>
        <w:t xml:space="preserve"> s 293(4)</w:t>
      </w:r>
      <w:r w:rsidR="00334FB2" w:rsidRPr="008D3C0D">
        <w:rPr>
          <w:rFonts w:ascii="Times New Roman" w:hAnsi="Times New Roman"/>
        </w:rPr>
        <w:t>(b</w:t>
      </w:r>
      <w:r w:rsidR="00A50148" w:rsidRPr="008D3C0D">
        <w:rPr>
          <w:rFonts w:ascii="Times New Roman" w:hAnsi="Times New Roman"/>
        </w:rPr>
        <w:t>)</w:t>
      </w:r>
      <w:r w:rsidRPr="008D3C0D">
        <w:rPr>
          <w:rFonts w:ascii="Times New Roman" w:hAnsi="Times New Roman"/>
        </w:rPr>
        <w:t xml:space="preserve">. </w:t>
      </w:r>
    </w:p>
    <w:p w14:paraId="4EE6A934" w14:textId="77777777" w:rsidR="00121F1E" w:rsidRPr="008D3C0D" w:rsidRDefault="00121F1E" w:rsidP="008D3C0D">
      <w:pPr>
        <w:pStyle w:val="HeadingL2"/>
        <w:spacing w:after="260" w:line="280" w:lineRule="exact"/>
        <w:ind w:right="0"/>
        <w:jc w:val="both"/>
        <w:rPr>
          <w:rFonts w:ascii="Times New Roman" w:hAnsi="Times New Roman"/>
        </w:rPr>
      </w:pPr>
      <w:r w:rsidRPr="008D3C0D">
        <w:rPr>
          <w:rFonts w:ascii="Times New Roman" w:hAnsi="Times New Roman"/>
        </w:rPr>
        <w:t>The operation of the first exception to inadmissibility: s 293(4)(a)</w:t>
      </w:r>
    </w:p>
    <w:p w14:paraId="01F610B4" w14:textId="77777777" w:rsidR="00121F1E" w:rsidRPr="008D3C0D" w:rsidRDefault="00121F1E" w:rsidP="008D3C0D">
      <w:pPr>
        <w:pStyle w:val="HeadingL3"/>
        <w:spacing w:after="260" w:line="280" w:lineRule="exact"/>
        <w:ind w:right="0"/>
        <w:jc w:val="both"/>
        <w:rPr>
          <w:rFonts w:ascii="Times New Roman" w:hAnsi="Times New Roman"/>
        </w:rPr>
      </w:pPr>
      <w:r w:rsidRPr="008D3C0D">
        <w:rPr>
          <w:rFonts w:ascii="Times New Roman" w:hAnsi="Times New Roman"/>
        </w:rPr>
        <w:t>(</w:t>
      </w:r>
      <w:proofErr w:type="spellStart"/>
      <w:r w:rsidRPr="008D3C0D">
        <w:rPr>
          <w:rFonts w:ascii="Times New Roman" w:hAnsi="Times New Roman"/>
        </w:rPr>
        <w:t>i</w:t>
      </w:r>
      <w:proofErr w:type="spellEnd"/>
      <w:r w:rsidRPr="008D3C0D">
        <w:rPr>
          <w:rFonts w:ascii="Times New Roman" w:hAnsi="Times New Roman"/>
        </w:rPr>
        <w:t>) The first limb of the first exception: s 293(4)(a)(</w:t>
      </w:r>
      <w:proofErr w:type="spellStart"/>
      <w:r w:rsidRPr="008D3C0D">
        <w:rPr>
          <w:rFonts w:ascii="Times New Roman" w:hAnsi="Times New Roman"/>
        </w:rPr>
        <w:t>i</w:t>
      </w:r>
      <w:proofErr w:type="spellEnd"/>
      <w:r w:rsidRPr="008D3C0D">
        <w:rPr>
          <w:rFonts w:ascii="Times New Roman" w:hAnsi="Times New Roman"/>
        </w:rPr>
        <w:t>)</w:t>
      </w:r>
    </w:p>
    <w:p w14:paraId="57EB7094" w14:textId="1F4F67EC"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The starting point for any application of the first limb of s 293(4)(a) is a clear identification of the evidence that </w:t>
      </w:r>
      <w:r w:rsidR="00F41F94" w:rsidRPr="008D3C0D">
        <w:rPr>
          <w:rFonts w:ascii="Times New Roman" w:hAnsi="Times New Roman"/>
        </w:rPr>
        <w:t xml:space="preserve">purportedly </w:t>
      </w:r>
      <w:r w:rsidRPr="008D3C0D">
        <w:rPr>
          <w:rFonts w:ascii="Times New Roman" w:hAnsi="Times New Roman"/>
        </w:rPr>
        <w:t xml:space="preserve">discloses or implies the </w:t>
      </w:r>
      <w:r w:rsidR="00D36066" w:rsidRPr="008D3C0D">
        <w:rPr>
          <w:rFonts w:ascii="Times New Roman" w:hAnsi="Times New Roman"/>
        </w:rPr>
        <w:t xml:space="preserve">complainant's </w:t>
      </w:r>
      <w:r w:rsidR="000700C5" w:rsidRPr="008D3C0D">
        <w:rPr>
          <w:rFonts w:ascii="Times New Roman" w:hAnsi="Times New Roman"/>
        </w:rPr>
        <w:t>"</w:t>
      </w:r>
      <w:r w:rsidRPr="008D3C0D">
        <w:rPr>
          <w:rFonts w:ascii="Times New Roman" w:hAnsi="Times New Roman"/>
        </w:rPr>
        <w:t>sexual experience</w:t>
      </w:r>
      <w:r w:rsidR="000700C5" w:rsidRPr="008D3C0D">
        <w:rPr>
          <w:rFonts w:ascii="Times New Roman" w:hAnsi="Times New Roman"/>
        </w:rPr>
        <w:t>"</w:t>
      </w:r>
      <w:r w:rsidRPr="008D3C0D">
        <w:rPr>
          <w:rFonts w:ascii="Times New Roman" w:hAnsi="Times New Roman"/>
        </w:rPr>
        <w:t xml:space="preserve"> or </w:t>
      </w:r>
      <w:r w:rsidR="000700C5" w:rsidRPr="008D3C0D">
        <w:rPr>
          <w:rFonts w:ascii="Times New Roman" w:hAnsi="Times New Roman"/>
        </w:rPr>
        <w:t>"</w:t>
      </w:r>
      <w:r w:rsidRPr="008D3C0D">
        <w:rPr>
          <w:rFonts w:ascii="Times New Roman" w:hAnsi="Times New Roman"/>
        </w:rPr>
        <w:t>sexual activity</w:t>
      </w:r>
      <w:r w:rsidR="000700C5" w:rsidRPr="008D3C0D">
        <w:rPr>
          <w:rFonts w:ascii="Times New Roman" w:hAnsi="Times New Roman"/>
        </w:rPr>
        <w:t>"</w:t>
      </w:r>
      <w:r w:rsidRPr="008D3C0D">
        <w:rPr>
          <w:rFonts w:ascii="Times New Roman" w:hAnsi="Times New Roman"/>
        </w:rPr>
        <w:t xml:space="preserve"> (or lack thereof) and which is said to fall within the exception. There is an important difference in this respect between whether the evidence is relied upon as evidence of sexual experience or </w:t>
      </w:r>
      <w:r w:rsidR="00732DA9" w:rsidRPr="008D3C0D">
        <w:rPr>
          <w:rFonts w:ascii="Times New Roman" w:hAnsi="Times New Roman"/>
        </w:rPr>
        <w:t xml:space="preserve">as evidence of </w:t>
      </w:r>
      <w:r w:rsidRPr="008D3C0D">
        <w:rPr>
          <w:rFonts w:ascii="Times New Roman" w:hAnsi="Times New Roman"/>
        </w:rPr>
        <w:t xml:space="preserve">sexual activity. In </w:t>
      </w:r>
      <w:r w:rsidRPr="008D3C0D">
        <w:rPr>
          <w:rFonts w:ascii="Times New Roman" w:hAnsi="Times New Roman"/>
          <w:i/>
          <w:iCs/>
        </w:rPr>
        <w:t>GEH v The Queen</w:t>
      </w:r>
      <w:r w:rsidRPr="008D3C0D">
        <w:rPr>
          <w:rFonts w:ascii="Times New Roman" w:hAnsi="Times New Roman"/>
        </w:rPr>
        <w:t>,</w:t>
      </w:r>
      <w:r w:rsidRPr="008D3C0D">
        <w:rPr>
          <w:rStyle w:val="FootnoteReference"/>
          <w:rFonts w:ascii="Times New Roman" w:hAnsi="Times New Roman"/>
          <w:sz w:val="24"/>
        </w:rPr>
        <w:footnoteReference w:id="19"/>
      </w:r>
      <w:r w:rsidRPr="008D3C0D">
        <w:rPr>
          <w:rFonts w:ascii="Times New Roman" w:hAnsi="Times New Roman"/>
        </w:rPr>
        <w:t xml:space="preserve"> Harrison</w:t>
      </w:r>
      <w:r w:rsidR="00732DA9" w:rsidRPr="008D3C0D">
        <w:rPr>
          <w:rFonts w:ascii="Times New Roman" w:hAnsi="Times New Roman"/>
        </w:rPr>
        <w:t> </w:t>
      </w:r>
      <w:r w:rsidRPr="008D3C0D">
        <w:rPr>
          <w:rFonts w:ascii="Times New Roman" w:hAnsi="Times New Roman"/>
        </w:rPr>
        <w:t>J (with whom Beech-Jones</w:t>
      </w:r>
      <w:r w:rsidR="00732DA9" w:rsidRPr="008D3C0D">
        <w:rPr>
          <w:rFonts w:ascii="Times New Roman" w:hAnsi="Times New Roman"/>
        </w:rPr>
        <w:t> </w:t>
      </w:r>
      <w:r w:rsidRPr="008D3C0D">
        <w:rPr>
          <w:rFonts w:ascii="Times New Roman" w:hAnsi="Times New Roman"/>
        </w:rPr>
        <w:t>J agreed) distinguished between "sexual experience" and "sexual activity":</w:t>
      </w:r>
      <w:r w:rsidRPr="008D3C0D">
        <w:rPr>
          <w:rStyle w:val="FootnoteReference"/>
          <w:rFonts w:ascii="Times New Roman" w:hAnsi="Times New Roman"/>
          <w:sz w:val="24"/>
        </w:rPr>
        <w:footnoteReference w:id="20"/>
      </w:r>
    </w:p>
    <w:p w14:paraId="1AAF5FD9" w14:textId="77777777" w:rsidR="00A038D2" w:rsidRPr="008D3C0D" w:rsidRDefault="00121F1E" w:rsidP="008D3C0D">
      <w:pPr>
        <w:pStyle w:val="LeftrightafterHC"/>
        <w:spacing w:before="0" w:after="260" w:line="280" w:lineRule="exact"/>
        <w:ind w:right="0"/>
        <w:jc w:val="both"/>
        <w:rPr>
          <w:rFonts w:ascii="Times New Roman" w:hAnsi="Times New Roman"/>
        </w:rPr>
      </w:pPr>
      <w:r w:rsidRPr="008D3C0D">
        <w:rPr>
          <w:rFonts w:ascii="Times New Roman" w:hAnsi="Times New Roman"/>
        </w:rPr>
        <w:t xml:space="preserve">"The former rather encompasses a state acquired over time, whether long or short, but which refers to the condition of having had experience in sexual matters, as opposed to a single or isolated sexual experience, or a number of them, at some particular time ... </w:t>
      </w:r>
    </w:p>
    <w:p w14:paraId="6EFF3790" w14:textId="77777777" w:rsidR="008D3C0D" w:rsidRDefault="00521354" w:rsidP="008D3C0D">
      <w:pPr>
        <w:pStyle w:val="leftright"/>
        <w:spacing w:before="0" w:after="260" w:line="280" w:lineRule="exact"/>
        <w:ind w:right="0"/>
        <w:jc w:val="both"/>
        <w:rPr>
          <w:rFonts w:ascii="Times New Roman" w:hAnsi="Times New Roman"/>
        </w:rPr>
      </w:pPr>
      <w:r w:rsidRPr="008D3C0D">
        <w:rPr>
          <w:rFonts w:ascii="Times New Roman" w:hAnsi="Times New Roman"/>
        </w:rPr>
        <w:lastRenderedPageBreak/>
        <w:tab/>
      </w:r>
      <w:r w:rsidR="00121F1E" w:rsidRPr="008D3C0D">
        <w:rPr>
          <w:rFonts w:ascii="Times New Roman" w:hAnsi="Times New Roman"/>
        </w:rPr>
        <w:t>The distinction may be critical</w:t>
      </w:r>
      <w:r w:rsidR="0065289D" w:rsidRPr="008D3C0D">
        <w:rPr>
          <w:rFonts w:ascii="Times New Roman" w:hAnsi="Times New Roman"/>
        </w:rPr>
        <w:t>,</w:t>
      </w:r>
      <w:r w:rsidR="00121F1E" w:rsidRPr="008D3C0D">
        <w:rPr>
          <w:rFonts w:ascii="Times New Roman" w:hAnsi="Times New Roman"/>
        </w:rPr>
        <w:t xml:space="preserve"> because any complainant's sexual experience, in the historical sense, will necessarily be his or her sexual experience 'at or about' the relevant time. In other words, a complainant's sexual experience will be his or her state of being at or about the time of the commission of </w:t>
      </w:r>
      <w:r w:rsidR="00C601DB" w:rsidRPr="008D3C0D">
        <w:rPr>
          <w:rFonts w:ascii="Times New Roman" w:hAnsi="Times New Roman"/>
        </w:rPr>
        <w:t xml:space="preserve">any </w:t>
      </w:r>
      <w:r w:rsidR="00121F1E" w:rsidRPr="008D3C0D">
        <w:rPr>
          <w:rFonts w:ascii="Times New Roman" w:hAnsi="Times New Roman"/>
        </w:rPr>
        <w:t xml:space="preserve">alleged prescribed </w:t>
      </w:r>
      <w:r w:rsidR="00C11FFA" w:rsidRPr="008D3C0D">
        <w:rPr>
          <w:rFonts w:ascii="Times New Roman" w:hAnsi="Times New Roman"/>
        </w:rPr>
        <w:t xml:space="preserve">sexual </w:t>
      </w:r>
      <w:r w:rsidR="00121F1E" w:rsidRPr="008D3C0D">
        <w:rPr>
          <w:rFonts w:ascii="Times New Roman" w:hAnsi="Times New Roman"/>
        </w:rPr>
        <w:t xml:space="preserve">offence because that state of sexual experience or lack of sexual experience will in an ambulatory fashion always exist at the relevant time." </w:t>
      </w:r>
    </w:p>
    <w:p w14:paraId="136FBE1E" w14:textId="2B5ECD85"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In other words, sexual experience is a characterisation that can persist separately from a particular sexual act. As the </w:t>
      </w:r>
      <w:r w:rsidR="007155B1" w:rsidRPr="008D3C0D">
        <w:rPr>
          <w:rFonts w:ascii="Times New Roman" w:hAnsi="Times New Roman"/>
        </w:rPr>
        <w:t>respondent</w:t>
      </w:r>
      <w:r w:rsidRPr="008D3C0D">
        <w:rPr>
          <w:rFonts w:ascii="Times New Roman" w:hAnsi="Times New Roman"/>
        </w:rPr>
        <w:t xml:space="preserve"> submitted on this appeal, common examples given in the case law are characterisations of "virgin" or "sex worker".</w:t>
      </w:r>
      <w:r w:rsidRPr="008D3C0D">
        <w:rPr>
          <w:rStyle w:val="FootnoteReference"/>
          <w:rFonts w:ascii="Times New Roman" w:hAnsi="Times New Roman"/>
          <w:sz w:val="24"/>
        </w:rPr>
        <w:footnoteReference w:id="21"/>
      </w:r>
      <w:r w:rsidRPr="008D3C0D">
        <w:rPr>
          <w:rFonts w:ascii="Times New Roman" w:hAnsi="Times New Roman"/>
        </w:rPr>
        <w:t xml:space="preserve"> </w:t>
      </w:r>
      <w:r w:rsidR="006875A3" w:rsidRPr="008D3C0D">
        <w:rPr>
          <w:rFonts w:ascii="Times New Roman" w:hAnsi="Times New Roman"/>
        </w:rPr>
        <w:t>These</w:t>
      </w:r>
      <w:r w:rsidRPr="008D3C0D">
        <w:rPr>
          <w:rFonts w:ascii="Times New Roman" w:hAnsi="Times New Roman"/>
        </w:rPr>
        <w:t xml:space="preserve"> instance</w:t>
      </w:r>
      <w:r w:rsidR="006875A3" w:rsidRPr="008D3C0D">
        <w:rPr>
          <w:rFonts w:ascii="Times New Roman" w:hAnsi="Times New Roman"/>
        </w:rPr>
        <w:t>s</w:t>
      </w:r>
      <w:r w:rsidRPr="008D3C0D">
        <w:rPr>
          <w:rFonts w:ascii="Times New Roman" w:hAnsi="Times New Roman"/>
        </w:rPr>
        <w:t xml:space="preserve"> involve a continuing "experience" or lack of experience. Another characterisation, and one applicable to the circumstances of this appeal, is the continuing experience of a survivor of sexual assault.  </w:t>
      </w:r>
    </w:p>
    <w:p w14:paraId="40DD32FB" w14:textId="27B7C010"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b/>
          <w:bCs/>
        </w:rPr>
        <w:tab/>
      </w:r>
      <w:r w:rsidRPr="008D3C0D">
        <w:rPr>
          <w:rFonts w:ascii="Times New Roman" w:hAnsi="Times New Roman"/>
        </w:rPr>
        <w:t xml:space="preserve">The preposition, "of", requires a link between the characterisation </w:t>
      </w:r>
      <w:r w:rsidR="00DB7EBB" w:rsidRPr="008D3C0D">
        <w:rPr>
          <w:rFonts w:ascii="Times New Roman" w:hAnsi="Times New Roman"/>
        </w:rPr>
        <w:t>of the</w:t>
      </w:r>
      <w:r w:rsidRPr="008D3C0D">
        <w:rPr>
          <w:rFonts w:ascii="Times New Roman" w:hAnsi="Times New Roman"/>
        </w:rPr>
        <w:t xml:space="preserve"> sexual experience </w:t>
      </w:r>
      <w:r w:rsidR="00A354AC" w:rsidRPr="008D3C0D">
        <w:rPr>
          <w:rFonts w:ascii="Times New Roman" w:hAnsi="Times New Roman"/>
        </w:rPr>
        <w:t>(or lack thereof)</w:t>
      </w:r>
      <w:r w:rsidRPr="008D3C0D">
        <w:rPr>
          <w:rFonts w:ascii="Times New Roman" w:hAnsi="Times New Roman"/>
        </w:rPr>
        <w:t xml:space="preserve"> and the evidence upon which a person relies</w:t>
      </w:r>
      <w:r w:rsidR="006528DA" w:rsidRPr="008D3C0D">
        <w:rPr>
          <w:rFonts w:ascii="Times New Roman" w:hAnsi="Times New Roman"/>
        </w:rPr>
        <w:t xml:space="preserve"> to establish that sexual experience (or lack thereof)</w:t>
      </w:r>
      <w:r w:rsidRPr="008D3C0D">
        <w:rPr>
          <w:rFonts w:ascii="Times New Roman" w:hAnsi="Times New Roman"/>
        </w:rPr>
        <w:t xml:space="preserve">. Evidence that discloses or implies a characterisation of sexual experience will usually be evidence "of" </w:t>
      </w:r>
      <w:r w:rsidR="00FC2512" w:rsidRPr="008D3C0D">
        <w:rPr>
          <w:rFonts w:ascii="Times New Roman" w:hAnsi="Times New Roman"/>
        </w:rPr>
        <w:t xml:space="preserve">or about </w:t>
      </w:r>
      <w:r w:rsidRPr="008D3C0D">
        <w:rPr>
          <w:rFonts w:ascii="Times New Roman" w:hAnsi="Times New Roman"/>
        </w:rPr>
        <w:t>that characterisation. And, provided that the characterisation continues at the time of the alleged sexual offence, the evidence will also usually be evidence</w:t>
      </w:r>
      <w:r w:rsidR="00E67A0A" w:rsidRPr="008D3C0D">
        <w:rPr>
          <w:rFonts w:ascii="Times New Roman" w:hAnsi="Times New Roman"/>
        </w:rPr>
        <w:t xml:space="preserve"> of sexual experience</w:t>
      </w:r>
      <w:r w:rsidRPr="008D3C0D">
        <w:rPr>
          <w:rFonts w:ascii="Times New Roman" w:hAnsi="Times New Roman"/>
        </w:rPr>
        <w:t xml:space="preserve"> "at or about the time of the commission of the alleged prescribed sexual offence". Hence, as Harrison</w:t>
      </w:r>
      <w:r w:rsidR="00F2799C" w:rsidRPr="008D3C0D">
        <w:rPr>
          <w:rFonts w:ascii="Times New Roman" w:hAnsi="Times New Roman"/>
        </w:rPr>
        <w:t> </w:t>
      </w:r>
      <w:r w:rsidRPr="008D3C0D">
        <w:rPr>
          <w:rFonts w:ascii="Times New Roman" w:hAnsi="Times New Roman"/>
        </w:rPr>
        <w:t xml:space="preserve">J said in </w:t>
      </w:r>
      <w:r w:rsidRPr="008D3C0D">
        <w:rPr>
          <w:rFonts w:ascii="Times New Roman" w:hAnsi="Times New Roman"/>
          <w:i/>
          <w:iCs/>
        </w:rPr>
        <w:t>GEH v The Queen</w:t>
      </w:r>
      <w:r w:rsidRPr="008D3C0D">
        <w:rPr>
          <w:rFonts w:ascii="Times New Roman" w:hAnsi="Times New Roman"/>
        </w:rPr>
        <w:t>,</w:t>
      </w:r>
      <w:r w:rsidRPr="008D3C0D">
        <w:rPr>
          <w:rStyle w:val="FootnoteReference"/>
          <w:rFonts w:ascii="Times New Roman" w:hAnsi="Times New Roman"/>
          <w:sz w:val="24"/>
        </w:rPr>
        <w:footnoteReference w:id="22"/>
      </w:r>
      <w:r w:rsidRPr="008D3C0D">
        <w:rPr>
          <w:rFonts w:ascii="Times New Roman" w:hAnsi="Times New Roman"/>
        </w:rPr>
        <w:t xml:space="preserve"> "evidence that relates to a complainant's general state of sexual experience may more readily satisfy the temporal test in </w:t>
      </w:r>
      <w:r w:rsidR="00693208" w:rsidRPr="008D3C0D">
        <w:rPr>
          <w:rFonts w:ascii="Times New Roman" w:hAnsi="Times New Roman"/>
        </w:rPr>
        <w:t xml:space="preserve">subs </w:t>
      </w:r>
      <w:r w:rsidR="00AF632C" w:rsidRPr="008D3C0D">
        <w:rPr>
          <w:rFonts w:ascii="Times New Roman" w:hAnsi="Times New Roman"/>
        </w:rPr>
        <w:t>(</w:t>
      </w:r>
      <w:r w:rsidRPr="008D3C0D">
        <w:rPr>
          <w:rFonts w:ascii="Times New Roman" w:hAnsi="Times New Roman"/>
        </w:rPr>
        <w:t>4</w:t>
      </w:r>
      <w:r w:rsidR="00AF632C" w:rsidRPr="008D3C0D">
        <w:rPr>
          <w:rFonts w:ascii="Times New Roman" w:hAnsi="Times New Roman"/>
        </w:rPr>
        <w:t>)</w:t>
      </w:r>
      <w:r w:rsidRPr="008D3C0D">
        <w:rPr>
          <w:rFonts w:ascii="Times New Roman" w:hAnsi="Times New Roman"/>
        </w:rPr>
        <w:t>(a)(</w:t>
      </w:r>
      <w:proofErr w:type="spellStart"/>
      <w:r w:rsidRPr="008D3C0D">
        <w:rPr>
          <w:rFonts w:ascii="Times New Roman" w:hAnsi="Times New Roman"/>
        </w:rPr>
        <w:t>i</w:t>
      </w:r>
      <w:proofErr w:type="spellEnd"/>
      <w:r w:rsidRPr="008D3C0D">
        <w:rPr>
          <w:rFonts w:ascii="Times New Roman" w:hAnsi="Times New Roman"/>
        </w:rPr>
        <w:t>) than evidence relating to singular acts of sexual activity".</w:t>
      </w:r>
    </w:p>
    <w:p w14:paraId="00F995DD" w14:textId="06B25DDC"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D15D98" w:rsidRPr="008D3C0D">
        <w:rPr>
          <w:rFonts w:ascii="Times New Roman" w:hAnsi="Times New Roman"/>
        </w:rPr>
        <w:t xml:space="preserve">The Queensland evidence </w:t>
      </w:r>
      <w:r w:rsidR="009A2343" w:rsidRPr="008D3C0D">
        <w:rPr>
          <w:rFonts w:ascii="Times New Roman" w:hAnsi="Times New Roman"/>
        </w:rPr>
        <w:t>was</w:t>
      </w:r>
      <w:r w:rsidR="00FF03B1" w:rsidRPr="008D3C0D">
        <w:rPr>
          <w:rFonts w:ascii="Times New Roman" w:hAnsi="Times New Roman"/>
        </w:rPr>
        <w:t xml:space="preserve"> evidence about </w:t>
      </w:r>
      <w:r w:rsidRPr="008D3C0D">
        <w:rPr>
          <w:rFonts w:ascii="Times New Roman" w:hAnsi="Times New Roman"/>
        </w:rPr>
        <w:t xml:space="preserve">the </w:t>
      </w:r>
      <w:r w:rsidR="00213714" w:rsidRPr="008D3C0D">
        <w:rPr>
          <w:rFonts w:ascii="Times New Roman" w:hAnsi="Times New Roman"/>
        </w:rPr>
        <w:t xml:space="preserve">complainant's </w:t>
      </w:r>
      <w:r w:rsidRPr="008D3C0D">
        <w:rPr>
          <w:rFonts w:ascii="Times New Roman" w:hAnsi="Times New Roman"/>
        </w:rPr>
        <w:t>sexual experience as a survivor of sexual assault.</w:t>
      </w:r>
    </w:p>
    <w:p w14:paraId="01F6E820" w14:textId="5F52B989" w:rsidR="00121F1E" w:rsidRPr="008D3C0D" w:rsidRDefault="00121F1E" w:rsidP="008D3C0D">
      <w:pPr>
        <w:pStyle w:val="HeadingL3"/>
        <w:spacing w:after="260" w:line="280" w:lineRule="exact"/>
        <w:ind w:right="0"/>
        <w:jc w:val="both"/>
        <w:rPr>
          <w:rFonts w:ascii="Times New Roman" w:hAnsi="Times New Roman"/>
        </w:rPr>
      </w:pPr>
      <w:r w:rsidRPr="008D3C0D">
        <w:rPr>
          <w:rFonts w:ascii="Times New Roman" w:hAnsi="Times New Roman"/>
        </w:rPr>
        <w:t>(i</w:t>
      </w:r>
      <w:r w:rsidR="00AF632C" w:rsidRPr="008D3C0D">
        <w:rPr>
          <w:rFonts w:ascii="Times New Roman" w:hAnsi="Times New Roman"/>
        </w:rPr>
        <w:t>i</w:t>
      </w:r>
      <w:r w:rsidRPr="008D3C0D">
        <w:rPr>
          <w:rFonts w:ascii="Times New Roman" w:hAnsi="Times New Roman"/>
        </w:rPr>
        <w:t>) The second limb of the first exception: s 293(4)(a)(ii)</w:t>
      </w:r>
    </w:p>
    <w:p w14:paraId="7833C6E0" w14:textId="6AC7142B"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The obstacle for the appellant's reliance upon the first exception is the second limb, contained in s</w:t>
      </w:r>
      <w:r w:rsidR="00CB170F" w:rsidRPr="008D3C0D">
        <w:rPr>
          <w:rFonts w:ascii="Times New Roman" w:hAnsi="Times New Roman"/>
        </w:rPr>
        <w:t> </w:t>
      </w:r>
      <w:r w:rsidRPr="008D3C0D">
        <w:rPr>
          <w:rFonts w:ascii="Times New Roman" w:hAnsi="Times New Roman"/>
        </w:rPr>
        <w:t xml:space="preserve">293(4)(a)(ii), requiring that the evidence </w:t>
      </w:r>
      <w:r w:rsidR="007A5C70" w:rsidRPr="008D3C0D">
        <w:rPr>
          <w:rFonts w:ascii="Times New Roman" w:hAnsi="Times New Roman"/>
        </w:rPr>
        <w:t>"</w:t>
      </w:r>
      <w:r w:rsidRPr="008D3C0D">
        <w:rPr>
          <w:rFonts w:ascii="Times New Roman" w:hAnsi="Times New Roman"/>
        </w:rPr>
        <w:t xml:space="preserve">is of events </w:t>
      </w:r>
      <w:r w:rsidRPr="008D3C0D">
        <w:rPr>
          <w:rFonts w:ascii="Times New Roman" w:hAnsi="Times New Roman"/>
        </w:rPr>
        <w:lastRenderedPageBreak/>
        <w:t xml:space="preserve">that are alleged to form part of a connected set of circumstances in which the alleged prescribed sexual offence was committed". The appellant's submissions treated this as a requirement that the evidence be of circumstances that were connected to the alleged sexual offences. For instance, the appellant submitted that the "earlier assaults and allegations were the reason the complainant was ultimately moved and placed into the appellant's care". </w:t>
      </w:r>
    </w:p>
    <w:p w14:paraId="75616E00" w14:textId="2742CB70"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It can be accepted that there was a connection between the alleged sexual assaults by the appellant and the evidence of each of the </w:t>
      </w:r>
      <w:r w:rsidR="007D0DDF" w:rsidRPr="008D3C0D">
        <w:rPr>
          <w:rFonts w:ascii="Times New Roman" w:hAnsi="Times New Roman"/>
        </w:rPr>
        <w:t xml:space="preserve">key </w:t>
      </w:r>
      <w:r w:rsidRPr="008D3C0D">
        <w:rPr>
          <w:rFonts w:ascii="Times New Roman" w:hAnsi="Times New Roman"/>
        </w:rPr>
        <w:t xml:space="preserve">events prior to the alleged sexual assaults: the Queensland </w:t>
      </w:r>
      <w:r w:rsidR="006F2A3C" w:rsidRPr="008D3C0D">
        <w:rPr>
          <w:rFonts w:ascii="Times New Roman" w:hAnsi="Times New Roman"/>
        </w:rPr>
        <w:t>conduct</w:t>
      </w:r>
      <w:r w:rsidRPr="008D3C0D">
        <w:rPr>
          <w:rFonts w:ascii="Times New Roman" w:hAnsi="Times New Roman"/>
        </w:rPr>
        <w:t xml:space="preserve">, </w:t>
      </w:r>
      <w:r w:rsidR="007C1BD0" w:rsidRPr="008D3C0D">
        <w:rPr>
          <w:rFonts w:ascii="Times New Roman" w:hAnsi="Times New Roman"/>
        </w:rPr>
        <w:t>the</w:t>
      </w:r>
      <w:r w:rsidRPr="008D3C0D">
        <w:rPr>
          <w:rFonts w:ascii="Times New Roman" w:hAnsi="Times New Roman"/>
        </w:rPr>
        <w:t xml:space="preserve"> investigation and prosecution</w:t>
      </w:r>
      <w:r w:rsidR="006F2A3C" w:rsidRPr="008D3C0D">
        <w:rPr>
          <w:rFonts w:ascii="Times New Roman" w:hAnsi="Times New Roman"/>
        </w:rPr>
        <w:t xml:space="preserve"> of the Queensland conduct</w:t>
      </w:r>
      <w:r w:rsidRPr="008D3C0D">
        <w:rPr>
          <w:rFonts w:ascii="Times New Roman" w:hAnsi="Times New Roman"/>
        </w:rPr>
        <w:t>, and</w:t>
      </w:r>
      <w:r w:rsidRPr="008D3C0D">
        <w:rPr>
          <w:rFonts w:ascii="Times New Roman" w:hAnsi="Times New Roman"/>
          <w:b/>
          <w:bCs/>
        </w:rPr>
        <w:t xml:space="preserve"> </w:t>
      </w:r>
      <w:r w:rsidRPr="008D3C0D">
        <w:rPr>
          <w:rFonts w:ascii="Times New Roman" w:hAnsi="Times New Roman"/>
        </w:rPr>
        <w:t xml:space="preserve">the disclosures of </w:t>
      </w:r>
      <w:r w:rsidR="006F2A3C" w:rsidRPr="008D3C0D">
        <w:rPr>
          <w:rFonts w:ascii="Times New Roman" w:hAnsi="Times New Roman"/>
        </w:rPr>
        <w:t>the Queensland conduct</w:t>
      </w:r>
      <w:r w:rsidR="007C1BD0" w:rsidRPr="008D3C0D">
        <w:rPr>
          <w:rFonts w:ascii="Times New Roman" w:hAnsi="Times New Roman"/>
        </w:rPr>
        <w:t xml:space="preserve"> </w:t>
      </w:r>
      <w:r w:rsidRPr="008D3C0D">
        <w:rPr>
          <w:rFonts w:ascii="Times New Roman" w:hAnsi="Times New Roman"/>
        </w:rPr>
        <w:t>to the complainant's father and stepmother. The connection arose because</w:t>
      </w:r>
      <w:r w:rsidR="009976DE" w:rsidRPr="008D3C0D">
        <w:rPr>
          <w:rFonts w:ascii="Times New Roman" w:hAnsi="Times New Roman"/>
        </w:rPr>
        <w:t>, as the appellant submitted,</w:t>
      </w:r>
      <w:r w:rsidRPr="008D3C0D">
        <w:rPr>
          <w:rFonts w:ascii="Times New Roman" w:hAnsi="Times New Roman"/>
        </w:rPr>
        <w:t xml:space="preserve"> those events were the reason that the complainant was moved into the appellant's care</w:t>
      </w:r>
      <w:r w:rsidR="00282AF5" w:rsidRPr="008D3C0D">
        <w:rPr>
          <w:rFonts w:ascii="Times New Roman" w:hAnsi="Times New Roman"/>
        </w:rPr>
        <w:t>,</w:t>
      </w:r>
      <w:r w:rsidRPr="008D3C0D">
        <w:rPr>
          <w:rFonts w:ascii="Times New Roman" w:hAnsi="Times New Roman"/>
        </w:rPr>
        <w:t xml:space="preserve"> in which the alleged offences occurred. There was also a </w:t>
      </w:r>
      <w:r w:rsidR="00363B7D" w:rsidRPr="008D3C0D">
        <w:rPr>
          <w:rFonts w:ascii="Times New Roman" w:hAnsi="Times New Roman"/>
        </w:rPr>
        <w:t xml:space="preserve">possible </w:t>
      </w:r>
      <w:r w:rsidRPr="008D3C0D">
        <w:rPr>
          <w:rFonts w:ascii="Times New Roman" w:hAnsi="Times New Roman"/>
        </w:rPr>
        <w:t>connection between</w:t>
      </w:r>
      <w:r w:rsidRPr="008D3C0D">
        <w:rPr>
          <w:rFonts w:ascii="Times New Roman" w:hAnsi="Times New Roman"/>
          <w:b/>
          <w:bCs/>
        </w:rPr>
        <w:t xml:space="preserve"> </w:t>
      </w:r>
      <w:r w:rsidRPr="008D3C0D">
        <w:rPr>
          <w:rFonts w:ascii="Times New Roman" w:hAnsi="Times New Roman"/>
        </w:rPr>
        <w:t xml:space="preserve">the sexual offences </w:t>
      </w:r>
      <w:r w:rsidR="00D12957" w:rsidRPr="008D3C0D">
        <w:rPr>
          <w:rFonts w:ascii="Times New Roman" w:hAnsi="Times New Roman"/>
        </w:rPr>
        <w:t>alleged against</w:t>
      </w:r>
      <w:r w:rsidR="00387EF2" w:rsidRPr="008D3C0D">
        <w:rPr>
          <w:rFonts w:ascii="Times New Roman" w:hAnsi="Times New Roman"/>
        </w:rPr>
        <w:t xml:space="preserve"> the appellant</w:t>
      </w:r>
      <w:r w:rsidRPr="008D3C0D">
        <w:rPr>
          <w:rFonts w:ascii="Times New Roman" w:hAnsi="Times New Roman"/>
        </w:rPr>
        <w:t xml:space="preserve"> and the prior disclosures to the appellant </w:t>
      </w:r>
      <w:r w:rsidR="00BF5FEB" w:rsidRPr="008D3C0D">
        <w:rPr>
          <w:rFonts w:ascii="Times New Roman" w:hAnsi="Times New Roman"/>
        </w:rPr>
        <w:t xml:space="preserve">by the complainant </w:t>
      </w:r>
      <w:r w:rsidRPr="008D3C0D">
        <w:rPr>
          <w:rFonts w:ascii="Times New Roman" w:hAnsi="Times New Roman"/>
        </w:rPr>
        <w:t xml:space="preserve">of the Queensland </w:t>
      </w:r>
      <w:r w:rsidR="00710D4A" w:rsidRPr="008D3C0D">
        <w:rPr>
          <w:rFonts w:ascii="Times New Roman" w:hAnsi="Times New Roman"/>
        </w:rPr>
        <w:t>conduct</w:t>
      </w:r>
      <w:r w:rsidRPr="008D3C0D">
        <w:rPr>
          <w:rFonts w:ascii="Times New Roman" w:hAnsi="Times New Roman"/>
        </w:rPr>
        <w:t>, which may have been part of the relationship between the appellant and the complainant at the time of the alleged offending.</w:t>
      </w:r>
    </w:p>
    <w:p w14:paraId="35C5F9CD" w14:textId="35B2CC0D"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But connected events, even those </w:t>
      </w:r>
      <w:r w:rsidR="00091FBE" w:rsidRPr="008D3C0D">
        <w:rPr>
          <w:rFonts w:ascii="Times New Roman" w:hAnsi="Times New Roman"/>
        </w:rPr>
        <w:t>which</w:t>
      </w:r>
      <w:r w:rsidRPr="008D3C0D">
        <w:rPr>
          <w:rFonts w:ascii="Times New Roman" w:hAnsi="Times New Roman"/>
        </w:rPr>
        <w:t xml:space="preserve"> the appellant described as "critically</w:t>
      </w:r>
      <w:r w:rsidR="009F74BA" w:rsidRPr="008D3C0D">
        <w:rPr>
          <w:rFonts w:ascii="Times New Roman" w:hAnsi="Times New Roman"/>
        </w:rPr>
        <w:t>"</w:t>
      </w:r>
      <w:r w:rsidRPr="008D3C0D">
        <w:rPr>
          <w:rFonts w:ascii="Times New Roman" w:hAnsi="Times New Roman"/>
        </w:rPr>
        <w:t xml:space="preserve"> connected</w:t>
      </w:r>
      <w:r w:rsidR="00E20EDF" w:rsidRPr="008D3C0D">
        <w:rPr>
          <w:rFonts w:ascii="Times New Roman" w:hAnsi="Times New Roman"/>
        </w:rPr>
        <w:t>,</w:t>
      </w:r>
      <w:r w:rsidRPr="008D3C0D">
        <w:rPr>
          <w:rFonts w:ascii="Times New Roman" w:hAnsi="Times New Roman"/>
        </w:rPr>
        <w:t xml:space="preserve"> are not sufficient. Section</w:t>
      </w:r>
      <w:r w:rsidR="00335F72" w:rsidRPr="008D3C0D">
        <w:rPr>
          <w:rFonts w:ascii="Times New Roman" w:hAnsi="Times New Roman"/>
        </w:rPr>
        <w:t> </w:t>
      </w:r>
      <w:r w:rsidRPr="008D3C0D">
        <w:rPr>
          <w:rFonts w:ascii="Times New Roman" w:hAnsi="Times New Roman"/>
        </w:rPr>
        <w:t xml:space="preserve">293(4)(a)(ii) contains the additional requirement that the events must </w:t>
      </w:r>
      <w:r w:rsidR="003A595D" w:rsidRPr="008D3C0D">
        <w:rPr>
          <w:rFonts w:ascii="Times New Roman" w:hAnsi="Times New Roman"/>
        </w:rPr>
        <w:t>"</w:t>
      </w:r>
      <w:r w:rsidRPr="008D3C0D">
        <w:rPr>
          <w:rFonts w:ascii="Times New Roman" w:hAnsi="Times New Roman"/>
        </w:rPr>
        <w:t>form part of</w:t>
      </w:r>
      <w:r w:rsidR="003A595D" w:rsidRPr="008D3C0D">
        <w:rPr>
          <w:rFonts w:ascii="Times New Roman" w:hAnsi="Times New Roman"/>
        </w:rPr>
        <w:t>"</w:t>
      </w:r>
      <w:r w:rsidRPr="008D3C0D">
        <w:rPr>
          <w:rFonts w:ascii="Times New Roman" w:hAnsi="Times New Roman"/>
        </w:rPr>
        <w:t xml:space="preserve"> </w:t>
      </w:r>
      <w:r w:rsidR="003C1A3D" w:rsidRPr="008D3C0D">
        <w:rPr>
          <w:rFonts w:ascii="Times New Roman" w:hAnsi="Times New Roman"/>
        </w:rPr>
        <w:t>the connected</w:t>
      </w:r>
      <w:r w:rsidRPr="008D3C0D">
        <w:rPr>
          <w:rFonts w:ascii="Times New Roman" w:hAnsi="Times New Roman"/>
        </w:rPr>
        <w:t xml:space="preserve"> set of circumstances "in which" the alleged sexual offence was committed. The effect of th</w:t>
      </w:r>
      <w:r w:rsidR="00FF2970" w:rsidRPr="008D3C0D">
        <w:rPr>
          <w:rFonts w:ascii="Times New Roman" w:hAnsi="Times New Roman"/>
        </w:rPr>
        <w:t>is</w:t>
      </w:r>
      <w:r w:rsidRPr="008D3C0D">
        <w:rPr>
          <w:rFonts w:ascii="Times New Roman" w:hAnsi="Times New Roman"/>
        </w:rPr>
        <w:t xml:space="preserve"> additional requirement in s</w:t>
      </w:r>
      <w:r w:rsidR="00EA1978" w:rsidRPr="008D3C0D">
        <w:rPr>
          <w:rFonts w:ascii="Times New Roman" w:hAnsi="Times New Roman"/>
        </w:rPr>
        <w:t> </w:t>
      </w:r>
      <w:r w:rsidRPr="008D3C0D">
        <w:rPr>
          <w:rFonts w:ascii="Times New Roman" w:hAnsi="Times New Roman"/>
        </w:rPr>
        <w:t xml:space="preserve">293(4)(a)(ii) is to narrow the operation of </w:t>
      </w:r>
      <w:r w:rsidR="00FC5849" w:rsidRPr="008D3C0D">
        <w:rPr>
          <w:rFonts w:ascii="Times New Roman" w:hAnsi="Times New Roman"/>
        </w:rPr>
        <w:t xml:space="preserve">para </w:t>
      </w:r>
      <w:r w:rsidR="000317F5" w:rsidRPr="008D3C0D">
        <w:rPr>
          <w:rFonts w:ascii="Times New Roman" w:hAnsi="Times New Roman"/>
        </w:rPr>
        <w:t>(a)</w:t>
      </w:r>
      <w:r w:rsidR="00FC5849" w:rsidRPr="008D3C0D">
        <w:rPr>
          <w:rFonts w:ascii="Times New Roman" w:hAnsi="Times New Roman"/>
        </w:rPr>
        <w:t xml:space="preserve"> </w:t>
      </w:r>
      <w:r w:rsidRPr="008D3C0D">
        <w:rPr>
          <w:rFonts w:ascii="Times New Roman" w:hAnsi="Times New Roman"/>
        </w:rPr>
        <w:t xml:space="preserve">to near-contemporaneous events that </w:t>
      </w:r>
      <w:r w:rsidR="0005369B" w:rsidRPr="008D3C0D">
        <w:rPr>
          <w:rFonts w:ascii="Times New Roman" w:hAnsi="Times New Roman"/>
        </w:rPr>
        <w:t xml:space="preserve">were </w:t>
      </w:r>
      <w:r w:rsidRPr="008D3C0D">
        <w:rPr>
          <w:rFonts w:ascii="Times New Roman" w:hAnsi="Times New Roman"/>
        </w:rPr>
        <w:t>sufficiently integrated with the alleged offending so that it can be said that the events are part of the circumstances of the alleged occurrence of the sexual offence itself.</w:t>
      </w:r>
      <w:r w:rsidRPr="008D3C0D">
        <w:rPr>
          <w:rStyle w:val="FootnoteReference"/>
          <w:rFonts w:ascii="Times New Roman" w:hAnsi="Times New Roman"/>
          <w:sz w:val="24"/>
        </w:rPr>
        <w:footnoteReference w:id="23"/>
      </w:r>
      <w:r w:rsidRPr="008D3C0D">
        <w:rPr>
          <w:rFonts w:ascii="Times New Roman" w:hAnsi="Times New Roman"/>
        </w:rPr>
        <w:t xml:space="preserve"> In the second reading speech of the predecessor legislation to s</w:t>
      </w:r>
      <w:r w:rsidR="000D19E2" w:rsidRPr="008D3C0D">
        <w:rPr>
          <w:rFonts w:ascii="Times New Roman" w:hAnsi="Times New Roman"/>
        </w:rPr>
        <w:t> </w:t>
      </w:r>
      <w:r w:rsidRPr="008D3C0D">
        <w:rPr>
          <w:rFonts w:ascii="Times New Roman" w:hAnsi="Times New Roman"/>
        </w:rPr>
        <w:t>293, the Attorney-General and Minister for Justice said:</w:t>
      </w:r>
      <w:r w:rsidRPr="008D3C0D">
        <w:rPr>
          <w:rStyle w:val="FootnoteReference"/>
          <w:rFonts w:ascii="Times New Roman" w:hAnsi="Times New Roman"/>
          <w:sz w:val="24"/>
        </w:rPr>
        <w:footnoteReference w:id="24"/>
      </w:r>
    </w:p>
    <w:p w14:paraId="245A801F" w14:textId="77777777" w:rsidR="008D3C0D" w:rsidRDefault="00121F1E" w:rsidP="008D3C0D">
      <w:pPr>
        <w:pStyle w:val="LeftrightafterHC"/>
        <w:spacing w:before="0" w:after="260" w:line="280" w:lineRule="exact"/>
        <w:ind w:right="0"/>
        <w:jc w:val="both"/>
        <w:rPr>
          <w:rFonts w:ascii="Times New Roman" w:hAnsi="Times New Roman"/>
        </w:rPr>
      </w:pPr>
      <w:r w:rsidRPr="008D3C0D">
        <w:rPr>
          <w:rFonts w:ascii="Times New Roman" w:hAnsi="Times New Roman"/>
        </w:rPr>
        <w:t xml:space="preserve">"From the accused's viewpoint, this section is particularly important in so-called pack assault situations. The accused may cross-examine the complainant about whether or not </w:t>
      </w:r>
      <w:r w:rsidR="00102D01" w:rsidRPr="008D3C0D">
        <w:rPr>
          <w:rFonts w:ascii="Times New Roman" w:hAnsi="Times New Roman"/>
        </w:rPr>
        <w:t>[the complainant]</w:t>
      </w:r>
      <w:r w:rsidRPr="008D3C0D">
        <w:rPr>
          <w:rFonts w:ascii="Times New Roman" w:hAnsi="Times New Roman"/>
        </w:rPr>
        <w:t xml:space="preserve"> had had intercourse with another person or persons immediately before the intercourse with </w:t>
      </w:r>
      <w:r w:rsidR="00102D01" w:rsidRPr="008D3C0D">
        <w:rPr>
          <w:rFonts w:ascii="Times New Roman" w:hAnsi="Times New Roman"/>
        </w:rPr>
        <w:t>[the accused]</w:t>
      </w:r>
      <w:r w:rsidRPr="008D3C0D">
        <w:rPr>
          <w:rFonts w:ascii="Times New Roman" w:hAnsi="Times New Roman"/>
        </w:rPr>
        <w:t xml:space="preserve">." </w:t>
      </w:r>
    </w:p>
    <w:p w14:paraId="1709FA54" w14:textId="582BD36A"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lastRenderedPageBreak/>
        <w:tab/>
        <w:t xml:space="preserve">Another example, given by the respondent, of evidence of events that are sufficiently integrated with the alleged sexual assault so as to form part of the </w:t>
      </w:r>
      <w:r w:rsidR="00085279" w:rsidRPr="008D3C0D">
        <w:rPr>
          <w:rFonts w:ascii="Times New Roman" w:hAnsi="Times New Roman"/>
        </w:rPr>
        <w:t xml:space="preserve">connected </w:t>
      </w:r>
      <w:r w:rsidR="002D22D2" w:rsidRPr="008D3C0D">
        <w:rPr>
          <w:rFonts w:ascii="Times New Roman" w:hAnsi="Times New Roman"/>
        </w:rPr>
        <w:t xml:space="preserve">set of </w:t>
      </w:r>
      <w:r w:rsidRPr="008D3C0D">
        <w:rPr>
          <w:rFonts w:ascii="Times New Roman" w:hAnsi="Times New Roman"/>
        </w:rPr>
        <w:t xml:space="preserve">circumstances in which the alleged sexual assault occurred is the decision in </w:t>
      </w:r>
      <w:r w:rsidRPr="008D3C0D">
        <w:rPr>
          <w:rFonts w:ascii="Times New Roman" w:hAnsi="Times New Roman"/>
          <w:i/>
          <w:iCs/>
        </w:rPr>
        <w:t>Chia v The Queen</w:t>
      </w:r>
      <w:r w:rsidRPr="008D3C0D">
        <w:rPr>
          <w:rFonts w:ascii="Times New Roman" w:hAnsi="Times New Roman"/>
        </w:rPr>
        <w:t>.</w:t>
      </w:r>
      <w:r w:rsidRPr="008D3C0D">
        <w:rPr>
          <w:rStyle w:val="FootnoteReference"/>
          <w:rFonts w:ascii="Times New Roman" w:hAnsi="Times New Roman"/>
          <w:sz w:val="24"/>
        </w:rPr>
        <w:footnoteReference w:id="25"/>
      </w:r>
      <w:r w:rsidRPr="008D3C0D">
        <w:rPr>
          <w:rFonts w:ascii="Times New Roman" w:hAnsi="Times New Roman"/>
        </w:rPr>
        <w:t xml:space="preserve"> In that case, it was held that s</w:t>
      </w:r>
      <w:r w:rsidR="006D1241" w:rsidRPr="008D3C0D">
        <w:rPr>
          <w:rFonts w:ascii="Times New Roman" w:hAnsi="Times New Roman"/>
        </w:rPr>
        <w:t> </w:t>
      </w:r>
      <w:r w:rsidRPr="008D3C0D">
        <w:rPr>
          <w:rFonts w:ascii="Times New Roman" w:hAnsi="Times New Roman"/>
        </w:rPr>
        <w:t>293(4)(a) was satisfied by evidence of statements made by the complainant about her sexual experience</w:t>
      </w:r>
      <w:r w:rsidRPr="008D3C0D">
        <w:rPr>
          <w:rFonts w:ascii="Times New Roman" w:hAnsi="Times New Roman"/>
          <w:i/>
          <w:iCs/>
        </w:rPr>
        <w:t xml:space="preserve"> </w:t>
      </w:r>
      <w:r w:rsidR="00720F8C" w:rsidRPr="008D3C0D">
        <w:rPr>
          <w:rFonts w:ascii="Times New Roman" w:hAnsi="Times New Roman"/>
        </w:rPr>
        <w:t>"</w:t>
      </w:r>
      <w:r w:rsidRPr="008D3C0D">
        <w:rPr>
          <w:rFonts w:ascii="Times New Roman" w:hAnsi="Times New Roman"/>
        </w:rPr>
        <w:t>in the hours or minutes preceding the allegations giving rise to the two counts of sexual intercourse without consent".</w:t>
      </w:r>
      <w:r w:rsidRPr="008D3C0D">
        <w:rPr>
          <w:rStyle w:val="FootnoteReference"/>
          <w:rFonts w:ascii="Times New Roman" w:hAnsi="Times New Roman"/>
          <w:sz w:val="24"/>
        </w:rPr>
        <w:footnoteReference w:id="26"/>
      </w:r>
      <w:r w:rsidRPr="008D3C0D">
        <w:rPr>
          <w:rFonts w:ascii="Times New Roman" w:hAnsi="Times New Roman"/>
        </w:rPr>
        <w:t xml:space="preserve">  </w:t>
      </w:r>
    </w:p>
    <w:p w14:paraId="74D51E3C" w14:textId="5D871E9D"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By contrast, none of the </w:t>
      </w:r>
      <w:r w:rsidR="00E1665E" w:rsidRPr="008D3C0D">
        <w:rPr>
          <w:rFonts w:ascii="Times New Roman" w:hAnsi="Times New Roman"/>
        </w:rPr>
        <w:t xml:space="preserve">Queensland </w:t>
      </w:r>
      <w:r w:rsidRPr="008D3C0D">
        <w:rPr>
          <w:rFonts w:ascii="Times New Roman" w:hAnsi="Times New Roman"/>
        </w:rPr>
        <w:t>evidence was, in this sense, "part" of a set of circumstances "in which" the alleged sexual offence</w:t>
      </w:r>
      <w:r w:rsidR="00E245EE" w:rsidRPr="008D3C0D">
        <w:rPr>
          <w:rFonts w:ascii="Times New Roman" w:hAnsi="Times New Roman"/>
        </w:rPr>
        <w:t>s were</w:t>
      </w:r>
      <w:r w:rsidRPr="008D3C0D">
        <w:rPr>
          <w:rFonts w:ascii="Times New Roman" w:hAnsi="Times New Roman"/>
        </w:rPr>
        <w:t xml:space="preserve"> committed. None of the events in the</w:t>
      </w:r>
      <w:r w:rsidRPr="008D3C0D" w:rsidDel="008E4A06">
        <w:rPr>
          <w:rFonts w:ascii="Times New Roman" w:hAnsi="Times New Roman"/>
        </w:rPr>
        <w:t xml:space="preserve"> </w:t>
      </w:r>
      <w:r w:rsidR="008E4A06" w:rsidRPr="008D3C0D">
        <w:rPr>
          <w:rFonts w:ascii="Times New Roman" w:hAnsi="Times New Roman"/>
        </w:rPr>
        <w:t xml:space="preserve">Queensland </w:t>
      </w:r>
      <w:r w:rsidRPr="008D3C0D">
        <w:rPr>
          <w:rFonts w:ascii="Times New Roman" w:hAnsi="Times New Roman"/>
        </w:rPr>
        <w:t xml:space="preserve">evidence was contemporaneous or </w:t>
      </w:r>
      <w:proofErr w:type="gramStart"/>
      <w:r w:rsidRPr="008D3C0D">
        <w:rPr>
          <w:rFonts w:ascii="Times New Roman" w:hAnsi="Times New Roman"/>
        </w:rPr>
        <w:t>near-contemporaneous</w:t>
      </w:r>
      <w:proofErr w:type="gramEnd"/>
      <w:r w:rsidRPr="008D3C0D">
        <w:rPr>
          <w:rFonts w:ascii="Times New Roman" w:hAnsi="Times New Roman"/>
        </w:rPr>
        <w:t xml:space="preserve"> with the circumstances of the alleged offending or sufficiently integrated with the offending such that it could be said that the events were "part" of the set of circumstances in which the alleged offending occurred.</w:t>
      </w:r>
    </w:p>
    <w:p w14:paraId="2EF5ED11" w14:textId="68EA7E22"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The first exception to inadmissibility does not apply.</w:t>
      </w:r>
    </w:p>
    <w:p w14:paraId="2B947606" w14:textId="622A8223" w:rsidR="00121F1E" w:rsidRPr="008D3C0D" w:rsidRDefault="00121F1E" w:rsidP="008D3C0D">
      <w:pPr>
        <w:pStyle w:val="HeadingL2"/>
        <w:spacing w:after="260" w:line="280" w:lineRule="exact"/>
        <w:ind w:right="0"/>
        <w:jc w:val="both"/>
        <w:rPr>
          <w:rFonts w:ascii="Times New Roman" w:hAnsi="Times New Roman"/>
          <w:i w:val="0"/>
          <w:iCs/>
        </w:rPr>
      </w:pPr>
      <w:r w:rsidRPr="008D3C0D">
        <w:rPr>
          <w:rFonts w:ascii="Times New Roman" w:hAnsi="Times New Roman"/>
        </w:rPr>
        <w:t xml:space="preserve">The </w:t>
      </w:r>
      <w:r w:rsidR="005B4A9C" w:rsidRPr="008D3C0D">
        <w:rPr>
          <w:rFonts w:ascii="Times New Roman" w:hAnsi="Times New Roman"/>
        </w:rPr>
        <w:t xml:space="preserve">operation of the </w:t>
      </w:r>
      <w:r w:rsidRPr="008D3C0D">
        <w:rPr>
          <w:rFonts w:ascii="Times New Roman" w:hAnsi="Times New Roman"/>
        </w:rPr>
        <w:t>second exception to inadmissibility: s 293(4)(b)</w:t>
      </w:r>
    </w:p>
    <w:p w14:paraId="79809DA4" w14:textId="63B417C0"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The second exception to inadmissibility upon which the appellant relied is</w:t>
      </w:r>
      <w:r w:rsidR="00214DAF" w:rsidRPr="008D3C0D">
        <w:rPr>
          <w:rFonts w:ascii="Times New Roman" w:hAnsi="Times New Roman"/>
        </w:rPr>
        <w:t xml:space="preserve"> concerned with different circumstances and</w:t>
      </w:r>
      <w:r w:rsidRPr="008D3C0D">
        <w:rPr>
          <w:rFonts w:ascii="Times New Roman" w:hAnsi="Times New Roman"/>
        </w:rPr>
        <w:t xml:space="preserve">, as the appellant accepted, applies to a narrower range of evidence than the four categories of evidence </w:t>
      </w:r>
      <w:r w:rsidR="003055B0" w:rsidRPr="008D3C0D">
        <w:rPr>
          <w:rFonts w:ascii="Times New Roman" w:hAnsi="Times New Roman"/>
        </w:rPr>
        <w:t>comprising the Queensland evidence</w:t>
      </w:r>
      <w:r w:rsidR="00253F4B" w:rsidRPr="008D3C0D">
        <w:rPr>
          <w:rFonts w:ascii="Times New Roman" w:hAnsi="Times New Roman"/>
        </w:rPr>
        <w:t xml:space="preserve">, </w:t>
      </w:r>
      <w:r w:rsidRPr="008D3C0D">
        <w:rPr>
          <w:rFonts w:ascii="Times New Roman" w:hAnsi="Times New Roman"/>
        </w:rPr>
        <w:t>upon which the appellant relied in relation to the first exception.</w:t>
      </w:r>
      <w:r w:rsidR="00ED7234" w:rsidRPr="008D3C0D">
        <w:rPr>
          <w:rStyle w:val="FootnoteReference"/>
          <w:rFonts w:ascii="Times New Roman" w:hAnsi="Times New Roman"/>
          <w:sz w:val="24"/>
        </w:rPr>
        <w:footnoteReference w:id="27"/>
      </w:r>
      <w:r w:rsidRPr="008D3C0D">
        <w:rPr>
          <w:rFonts w:ascii="Times New Roman" w:hAnsi="Times New Roman"/>
        </w:rPr>
        <w:t xml:space="preserve"> The second exception applies only to </w:t>
      </w:r>
      <w:r w:rsidR="00A251EE" w:rsidRPr="008D3C0D">
        <w:rPr>
          <w:rFonts w:ascii="Times New Roman" w:hAnsi="Times New Roman"/>
        </w:rPr>
        <w:t>that part of the</w:t>
      </w:r>
      <w:r w:rsidR="00343589" w:rsidRPr="008D3C0D">
        <w:rPr>
          <w:rFonts w:ascii="Times New Roman" w:hAnsi="Times New Roman"/>
        </w:rPr>
        <w:t xml:space="preserve"> Queensland</w:t>
      </w:r>
      <w:r w:rsidRPr="008D3C0D">
        <w:rPr>
          <w:rFonts w:ascii="Times New Roman" w:hAnsi="Times New Roman"/>
        </w:rPr>
        <w:t xml:space="preserve"> evidence that relates to a relationship between the appellant and the complainant </w:t>
      </w:r>
      <w:r w:rsidR="004A57BB" w:rsidRPr="008D3C0D">
        <w:rPr>
          <w:rFonts w:ascii="Times New Roman" w:hAnsi="Times New Roman"/>
        </w:rPr>
        <w:t>"</w:t>
      </w:r>
      <w:r w:rsidRPr="008D3C0D">
        <w:rPr>
          <w:rFonts w:ascii="Times New Roman" w:hAnsi="Times New Roman"/>
        </w:rPr>
        <w:t xml:space="preserve">that was existing or recent at the time of the commission of the alleged </w:t>
      </w:r>
      <w:r w:rsidR="006C034E" w:rsidRPr="008D3C0D">
        <w:rPr>
          <w:rFonts w:ascii="Times New Roman" w:hAnsi="Times New Roman"/>
        </w:rPr>
        <w:t xml:space="preserve">... </w:t>
      </w:r>
      <w:r w:rsidRPr="008D3C0D">
        <w:rPr>
          <w:rFonts w:ascii="Times New Roman" w:hAnsi="Times New Roman"/>
        </w:rPr>
        <w:t>sexual offence</w:t>
      </w:r>
      <w:r w:rsidR="00612573" w:rsidRPr="008D3C0D">
        <w:rPr>
          <w:rFonts w:ascii="Times New Roman" w:hAnsi="Times New Roman"/>
        </w:rPr>
        <w:t>[</w:t>
      </w:r>
      <w:r w:rsidRPr="008D3C0D">
        <w:rPr>
          <w:rFonts w:ascii="Times New Roman" w:hAnsi="Times New Roman"/>
        </w:rPr>
        <w:t>s</w:t>
      </w:r>
      <w:r w:rsidR="00612573" w:rsidRPr="008D3C0D">
        <w:rPr>
          <w:rFonts w:ascii="Times New Roman" w:hAnsi="Times New Roman"/>
        </w:rPr>
        <w:t>]"</w:t>
      </w:r>
      <w:r w:rsidRPr="008D3C0D">
        <w:rPr>
          <w:rFonts w:ascii="Times New Roman" w:hAnsi="Times New Roman"/>
        </w:rPr>
        <w:t xml:space="preserve">. </w:t>
      </w:r>
      <w:r w:rsidR="00BB36F4" w:rsidRPr="008D3C0D">
        <w:rPr>
          <w:rFonts w:ascii="Times New Roman" w:hAnsi="Times New Roman"/>
        </w:rPr>
        <w:t>For instan</w:t>
      </w:r>
      <w:r w:rsidR="004D4245" w:rsidRPr="008D3C0D">
        <w:rPr>
          <w:rFonts w:ascii="Times New Roman" w:hAnsi="Times New Roman"/>
        </w:rPr>
        <w:t>c</w:t>
      </w:r>
      <w:r w:rsidR="00BB36F4" w:rsidRPr="008D3C0D">
        <w:rPr>
          <w:rFonts w:ascii="Times New Roman" w:hAnsi="Times New Roman"/>
        </w:rPr>
        <w:t xml:space="preserve">e, </w:t>
      </w:r>
      <w:r w:rsidR="004D4245" w:rsidRPr="008D3C0D">
        <w:rPr>
          <w:rFonts w:ascii="Times New Roman" w:hAnsi="Times New Roman"/>
        </w:rPr>
        <w:t>e</w:t>
      </w:r>
      <w:r w:rsidRPr="008D3C0D">
        <w:rPr>
          <w:rFonts w:ascii="Times New Roman" w:hAnsi="Times New Roman"/>
        </w:rPr>
        <w:t>ven with the breadth of the expression "relates to"</w:t>
      </w:r>
      <w:r w:rsidR="00104606" w:rsidRPr="008D3C0D">
        <w:rPr>
          <w:rFonts w:ascii="Times New Roman" w:hAnsi="Times New Roman"/>
        </w:rPr>
        <w:t>,</w:t>
      </w:r>
      <w:r w:rsidRPr="008D3C0D">
        <w:rPr>
          <w:rStyle w:val="FootnoteReference"/>
          <w:rFonts w:ascii="Times New Roman" w:hAnsi="Times New Roman"/>
          <w:sz w:val="24"/>
        </w:rPr>
        <w:footnoteReference w:id="28"/>
      </w:r>
      <w:r w:rsidRPr="008D3C0D">
        <w:rPr>
          <w:rFonts w:ascii="Times New Roman" w:hAnsi="Times New Roman"/>
        </w:rPr>
        <w:t xml:space="preserve"> the evidence of disclosures by the complainant to her father and stepmother could not, by itself, relate to a relationship between the appellant and the complainant.</w:t>
      </w:r>
    </w:p>
    <w:p w14:paraId="562C9822" w14:textId="58D3EDF4"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The evidence </w:t>
      </w:r>
      <w:r w:rsidR="00A01168" w:rsidRPr="008D3C0D">
        <w:rPr>
          <w:rFonts w:ascii="Times New Roman" w:hAnsi="Times New Roman"/>
        </w:rPr>
        <w:t>that relates to a</w:t>
      </w:r>
      <w:r w:rsidRPr="008D3C0D">
        <w:rPr>
          <w:rFonts w:ascii="Times New Roman" w:hAnsi="Times New Roman"/>
        </w:rPr>
        <w:t xml:space="preserve"> relationship cannot be identified without first identifying the nature and scope of the relationship. The relationship described by the second exception encompasses a wide range of possibilities, permitting </w:t>
      </w:r>
      <w:r w:rsidRPr="008D3C0D">
        <w:rPr>
          <w:rFonts w:ascii="Times New Roman" w:hAnsi="Times New Roman"/>
        </w:rPr>
        <w:lastRenderedPageBreak/>
        <w:t>evidence to be adduced by both the prosecution and the defence which would otherwise be prohibited by s</w:t>
      </w:r>
      <w:r w:rsidR="00453E84" w:rsidRPr="008D3C0D">
        <w:rPr>
          <w:rFonts w:ascii="Times New Roman" w:hAnsi="Times New Roman"/>
        </w:rPr>
        <w:t> </w:t>
      </w:r>
      <w:r w:rsidRPr="008D3C0D">
        <w:rPr>
          <w:rFonts w:ascii="Times New Roman" w:hAnsi="Times New Roman"/>
        </w:rPr>
        <w:t xml:space="preserve">293(3). </w:t>
      </w:r>
    </w:p>
    <w:p w14:paraId="07D53E6D" w14:textId="513AC843"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The relationship could be one of abuse.</w:t>
      </w:r>
      <w:r w:rsidRPr="008D3C0D">
        <w:rPr>
          <w:rStyle w:val="FootnoteReference"/>
          <w:rFonts w:ascii="Times New Roman" w:hAnsi="Times New Roman"/>
          <w:sz w:val="24"/>
        </w:rPr>
        <w:footnoteReference w:id="29"/>
      </w:r>
      <w:r w:rsidRPr="008D3C0D">
        <w:rPr>
          <w:rFonts w:ascii="Times New Roman" w:hAnsi="Times New Roman"/>
        </w:rPr>
        <w:t xml:space="preserve"> As the </w:t>
      </w:r>
      <w:r w:rsidR="00FD0372" w:rsidRPr="008D3C0D">
        <w:rPr>
          <w:rFonts w:ascii="Times New Roman" w:hAnsi="Times New Roman"/>
        </w:rPr>
        <w:t xml:space="preserve">appellant </w:t>
      </w:r>
      <w:r w:rsidRPr="008D3C0D">
        <w:rPr>
          <w:rFonts w:ascii="Times New Roman" w:hAnsi="Times New Roman"/>
        </w:rPr>
        <w:t>submitted in oral submissions, it would extend to evidence of uncharged acts by an accused person against</w:t>
      </w:r>
      <w:r w:rsidR="00F14B19" w:rsidRPr="008D3C0D">
        <w:rPr>
          <w:rFonts w:ascii="Times New Roman" w:hAnsi="Times New Roman"/>
        </w:rPr>
        <w:t xml:space="preserve"> a </w:t>
      </w:r>
      <w:r w:rsidRPr="008D3C0D">
        <w:rPr>
          <w:rFonts w:ascii="Times New Roman" w:hAnsi="Times New Roman"/>
        </w:rPr>
        <w:t xml:space="preserve">complainant. Those uncharged acts might have significant probative value because they strongly support proof of a tendency of the accused person, which in turn </w:t>
      </w:r>
      <w:r w:rsidR="00DC4FC2" w:rsidRPr="008D3C0D">
        <w:rPr>
          <w:rFonts w:ascii="Times New Roman" w:hAnsi="Times New Roman"/>
        </w:rPr>
        <w:t xml:space="preserve">may </w:t>
      </w:r>
      <w:r w:rsidRPr="008D3C0D">
        <w:rPr>
          <w:rFonts w:ascii="Times New Roman" w:hAnsi="Times New Roman"/>
        </w:rPr>
        <w:t>strongly support proof of a fact making up the offence charged.</w:t>
      </w:r>
      <w:r w:rsidRPr="008D3C0D">
        <w:rPr>
          <w:rStyle w:val="FootnoteReference"/>
          <w:rFonts w:ascii="Times New Roman" w:hAnsi="Times New Roman"/>
          <w:sz w:val="24"/>
        </w:rPr>
        <w:footnoteReference w:id="30"/>
      </w:r>
      <w:r w:rsidRPr="008D3C0D">
        <w:rPr>
          <w:rFonts w:ascii="Times New Roman" w:hAnsi="Times New Roman"/>
        </w:rPr>
        <w:t xml:space="preserve"> The evidence of those uncharged acts would be </w:t>
      </w:r>
      <w:r w:rsidR="002A29EE" w:rsidRPr="008D3C0D">
        <w:rPr>
          <w:rFonts w:ascii="Times New Roman" w:hAnsi="Times New Roman"/>
        </w:rPr>
        <w:t>inadmissible pursuant to</w:t>
      </w:r>
      <w:r w:rsidRPr="008D3C0D">
        <w:rPr>
          <w:rFonts w:ascii="Times New Roman" w:hAnsi="Times New Roman"/>
        </w:rPr>
        <w:t xml:space="preserve"> s 293(3) but the tendency </w:t>
      </w:r>
      <w:r w:rsidR="00AD04C2" w:rsidRPr="008D3C0D">
        <w:rPr>
          <w:rFonts w:ascii="Times New Roman" w:hAnsi="Times New Roman"/>
        </w:rPr>
        <w:t xml:space="preserve">would </w:t>
      </w:r>
      <w:r w:rsidRPr="008D3C0D">
        <w:rPr>
          <w:rFonts w:ascii="Times New Roman" w:hAnsi="Times New Roman"/>
        </w:rPr>
        <w:t>almost invariably fall within s</w:t>
      </w:r>
      <w:r w:rsidR="00073C70" w:rsidRPr="008D3C0D">
        <w:rPr>
          <w:rFonts w:ascii="Times New Roman" w:hAnsi="Times New Roman"/>
        </w:rPr>
        <w:t> </w:t>
      </w:r>
      <w:r w:rsidRPr="008D3C0D">
        <w:rPr>
          <w:rFonts w:ascii="Times New Roman" w:hAnsi="Times New Roman"/>
        </w:rPr>
        <w:t xml:space="preserve">293(4)(b) because it would relate to a relationship between the accused person and the complainant that was existing or recent at the time of the commission of the alleged sexual offence. </w:t>
      </w:r>
    </w:p>
    <w:p w14:paraId="1AC8888F" w14:textId="273F3AAE"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The relationship could also be one of trust and confidence or mutual emotional connection between the complainant and the accused person.</w:t>
      </w:r>
      <w:r w:rsidRPr="008D3C0D">
        <w:rPr>
          <w:rStyle w:val="FootnoteReference"/>
          <w:rFonts w:ascii="Times New Roman" w:hAnsi="Times New Roman"/>
          <w:sz w:val="24"/>
        </w:rPr>
        <w:footnoteReference w:id="31"/>
      </w:r>
      <w:r w:rsidRPr="008D3C0D">
        <w:rPr>
          <w:rFonts w:ascii="Times New Roman" w:hAnsi="Times New Roman"/>
        </w:rPr>
        <w:t xml:space="preserve"> But the relationship contemplated by s 293(4)(b) must be more than a casual acquaintance.</w:t>
      </w:r>
      <w:r w:rsidRPr="008D3C0D">
        <w:rPr>
          <w:rStyle w:val="FootnoteReference"/>
          <w:rFonts w:ascii="Times New Roman" w:hAnsi="Times New Roman"/>
          <w:sz w:val="24"/>
        </w:rPr>
        <w:footnoteReference w:id="32"/>
      </w:r>
      <w:r w:rsidRPr="008D3C0D">
        <w:rPr>
          <w:rFonts w:ascii="Times New Roman" w:hAnsi="Times New Roman"/>
        </w:rPr>
        <w:t xml:space="preserve"> It is a question of degree, dependent upon the facts of a particular case, whether interactions between two persons are sufficient for it to be said that they have formed a relationship. </w:t>
      </w:r>
    </w:p>
    <w:p w14:paraId="36EDA430" w14:textId="284E9773" w:rsidR="00E77DD7"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If the trial judge had not erred in his Honour's identification of the parties to the relationship </w:t>
      </w:r>
      <w:r w:rsidR="002F7975" w:rsidRPr="008D3C0D">
        <w:rPr>
          <w:rFonts w:ascii="Times New Roman" w:hAnsi="Times New Roman"/>
        </w:rPr>
        <w:t>with which</w:t>
      </w:r>
      <w:r w:rsidRPr="008D3C0D">
        <w:rPr>
          <w:rFonts w:ascii="Times New Roman" w:hAnsi="Times New Roman"/>
        </w:rPr>
        <w:t xml:space="preserve"> s</w:t>
      </w:r>
      <w:r w:rsidR="00B118AB" w:rsidRPr="008D3C0D">
        <w:rPr>
          <w:rFonts w:ascii="Times New Roman" w:hAnsi="Times New Roman"/>
        </w:rPr>
        <w:t> </w:t>
      </w:r>
      <w:r w:rsidRPr="008D3C0D">
        <w:rPr>
          <w:rFonts w:ascii="Times New Roman" w:hAnsi="Times New Roman"/>
        </w:rPr>
        <w:t>293(4)(b)</w:t>
      </w:r>
      <w:r w:rsidR="002F7975" w:rsidRPr="008D3C0D">
        <w:rPr>
          <w:rFonts w:ascii="Times New Roman" w:hAnsi="Times New Roman"/>
        </w:rPr>
        <w:t xml:space="preserve"> is concerned</w:t>
      </w:r>
      <w:r w:rsidRPr="008D3C0D">
        <w:rPr>
          <w:rFonts w:ascii="Times New Roman" w:hAnsi="Times New Roman"/>
        </w:rPr>
        <w:t xml:space="preserve">, it is possible that his Honour might have found </w:t>
      </w:r>
      <w:r w:rsidR="00970583" w:rsidRPr="008D3C0D">
        <w:rPr>
          <w:rFonts w:ascii="Times New Roman" w:hAnsi="Times New Roman"/>
        </w:rPr>
        <w:t xml:space="preserve">that </w:t>
      </w:r>
      <w:r w:rsidRPr="008D3C0D">
        <w:rPr>
          <w:rFonts w:ascii="Times New Roman" w:hAnsi="Times New Roman"/>
        </w:rPr>
        <w:t xml:space="preserve">the appellant and the complainant </w:t>
      </w:r>
      <w:r w:rsidR="00CB6CFA" w:rsidRPr="008D3C0D">
        <w:rPr>
          <w:rFonts w:ascii="Times New Roman" w:hAnsi="Times New Roman"/>
        </w:rPr>
        <w:t>had a relevant</w:t>
      </w:r>
      <w:r w:rsidRPr="008D3C0D">
        <w:rPr>
          <w:rFonts w:ascii="Times New Roman" w:hAnsi="Times New Roman"/>
        </w:rPr>
        <w:t xml:space="preserve"> relationship and that some of the </w:t>
      </w:r>
      <w:r w:rsidR="00380B78" w:rsidRPr="008D3C0D">
        <w:rPr>
          <w:rFonts w:ascii="Times New Roman" w:hAnsi="Times New Roman"/>
        </w:rPr>
        <w:t xml:space="preserve">Queensland </w:t>
      </w:r>
      <w:r w:rsidRPr="008D3C0D">
        <w:rPr>
          <w:rFonts w:ascii="Times New Roman" w:hAnsi="Times New Roman"/>
        </w:rPr>
        <w:t xml:space="preserve">evidence may have related to that relationship. </w:t>
      </w:r>
      <w:r w:rsidR="00777F71" w:rsidRPr="008D3C0D">
        <w:rPr>
          <w:rFonts w:ascii="Times New Roman" w:hAnsi="Times New Roman"/>
        </w:rPr>
        <w:t xml:space="preserve">Equally, </w:t>
      </w:r>
      <w:r w:rsidR="00BE6D55" w:rsidRPr="008D3C0D">
        <w:rPr>
          <w:rFonts w:ascii="Times New Roman" w:hAnsi="Times New Roman"/>
        </w:rPr>
        <w:t xml:space="preserve">and unsurprisingly in the absence of any findings by the </w:t>
      </w:r>
      <w:r w:rsidR="00752561" w:rsidRPr="008D3C0D">
        <w:rPr>
          <w:rFonts w:ascii="Times New Roman" w:hAnsi="Times New Roman"/>
        </w:rPr>
        <w:t xml:space="preserve">trial </w:t>
      </w:r>
      <w:r w:rsidR="00BE6D55" w:rsidRPr="008D3C0D">
        <w:rPr>
          <w:rFonts w:ascii="Times New Roman" w:hAnsi="Times New Roman"/>
        </w:rPr>
        <w:t>judge</w:t>
      </w:r>
      <w:r w:rsidR="00D168FC" w:rsidRPr="008D3C0D">
        <w:rPr>
          <w:rFonts w:ascii="Times New Roman" w:hAnsi="Times New Roman"/>
        </w:rPr>
        <w:t xml:space="preserve"> concerning any relationship</w:t>
      </w:r>
      <w:r w:rsidR="00BE6D55" w:rsidRPr="008D3C0D">
        <w:rPr>
          <w:rFonts w:ascii="Times New Roman" w:hAnsi="Times New Roman"/>
        </w:rPr>
        <w:t xml:space="preserve">, </w:t>
      </w:r>
      <w:r w:rsidR="008A77F1" w:rsidRPr="008D3C0D">
        <w:rPr>
          <w:rFonts w:ascii="Times New Roman" w:hAnsi="Times New Roman"/>
        </w:rPr>
        <w:t xml:space="preserve">no member of </w:t>
      </w:r>
      <w:r w:rsidR="00777F71" w:rsidRPr="008D3C0D">
        <w:rPr>
          <w:rFonts w:ascii="Times New Roman" w:hAnsi="Times New Roman"/>
        </w:rPr>
        <w:t xml:space="preserve">the Court of </w:t>
      </w:r>
      <w:r w:rsidR="00C821FD" w:rsidRPr="008D3C0D">
        <w:rPr>
          <w:rFonts w:ascii="Times New Roman" w:hAnsi="Times New Roman"/>
        </w:rPr>
        <w:t xml:space="preserve">Criminal </w:t>
      </w:r>
      <w:r w:rsidR="00777F71" w:rsidRPr="008D3C0D">
        <w:rPr>
          <w:rFonts w:ascii="Times New Roman" w:hAnsi="Times New Roman"/>
        </w:rPr>
        <w:t xml:space="preserve">Appeal </w:t>
      </w:r>
      <w:r w:rsidR="00F16D42" w:rsidRPr="008D3C0D">
        <w:rPr>
          <w:rFonts w:ascii="Times New Roman" w:hAnsi="Times New Roman"/>
        </w:rPr>
        <w:t>consider</w:t>
      </w:r>
      <w:r w:rsidR="008A77F1" w:rsidRPr="008D3C0D">
        <w:rPr>
          <w:rFonts w:ascii="Times New Roman" w:hAnsi="Times New Roman"/>
        </w:rPr>
        <w:t>ed</w:t>
      </w:r>
      <w:r w:rsidR="00F16D42" w:rsidRPr="008D3C0D">
        <w:rPr>
          <w:rFonts w:ascii="Times New Roman" w:hAnsi="Times New Roman"/>
        </w:rPr>
        <w:t xml:space="preserve"> </w:t>
      </w:r>
      <w:r w:rsidR="008A77F1" w:rsidRPr="008D3C0D">
        <w:rPr>
          <w:rFonts w:ascii="Times New Roman" w:hAnsi="Times New Roman"/>
        </w:rPr>
        <w:t>the nature and content of the relevant relationship. Their Honours were all correct to abstain from an attempt to do so. Without the context and evidence that was before the trial judge</w:t>
      </w:r>
      <w:r w:rsidR="00DE38D7" w:rsidRPr="008D3C0D">
        <w:rPr>
          <w:rFonts w:ascii="Times New Roman" w:hAnsi="Times New Roman"/>
        </w:rPr>
        <w:t xml:space="preserve"> such consideration</w:t>
      </w:r>
      <w:r w:rsidR="00FB0CE5" w:rsidRPr="008D3C0D">
        <w:rPr>
          <w:rFonts w:ascii="Times New Roman" w:hAnsi="Times New Roman"/>
        </w:rPr>
        <w:t xml:space="preserve"> </w:t>
      </w:r>
      <w:r w:rsidR="00870DEC" w:rsidRPr="008D3C0D">
        <w:rPr>
          <w:rFonts w:ascii="Times New Roman" w:hAnsi="Times New Roman"/>
        </w:rPr>
        <w:t xml:space="preserve">would have been a difficult, perhaps impossible, task. </w:t>
      </w:r>
    </w:p>
    <w:p w14:paraId="604A991F" w14:textId="5BE55D7E" w:rsidR="0021323C" w:rsidRPr="008D3C0D" w:rsidRDefault="00E77DD7"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356A5E" w:rsidRPr="008D3C0D">
        <w:rPr>
          <w:rFonts w:ascii="Times New Roman" w:hAnsi="Times New Roman"/>
        </w:rPr>
        <w:t>Adamson</w:t>
      </w:r>
      <w:r w:rsidR="000133DE" w:rsidRPr="008D3C0D">
        <w:rPr>
          <w:rFonts w:ascii="Times New Roman" w:hAnsi="Times New Roman"/>
        </w:rPr>
        <w:t> </w:t>
      </w:r>
      <w:r w:rsidR="00356A5E" w:rsidRPr="008D3C0D">
        <w:rPr>
          <w:rFonts w:ascii="Times New Roman" w:hAnsi="Times New Roman"/>
        </w:rPr>
        <w:t>J</w:t>
      </w:r>
      <w:r w:rsidR="00A57F85" w:rsidRPr="008D3C0D">
        <w:rPr>
          <w:rFonts w:ascii="Times New Roman" w:hAnsi="Times New Roman"/>
        </w:rPr>
        <w:t>, writing for the majority,</w:t>
      </w:r>
      <w:r w:rsidR="00356A5E" w:rsidRPr="008D3C0D">
        <w:rPr>
          <w:rFonts w:ascii="Times New Roman" w:hAnsi="Times New Roman"/>
        </w:rPr>
        <w:t xml:space="preserve"> </w:t>
      </w:r>
      <w:r w:rsidRPr="008D3C0D">
        <w:rPr>
          <w:rFonts w:ascii="Times New Roman" w:hAnsi="Times New Roman"/>
        </w:rPr>
        <w:t>nevertheless</w:t>
      </w:r>
      <w:r w:rsidR="00A23D6D" w:rsidRPr="008D3C0D">
        <w:rPr>
          <w:rFonts w:ascii="Times New Roman" w:hAnsi="Times New Roman"/>
        </w:rPr>
        <w:t>, and with respect erroneously,</w:t>
      </w:r>
      <w:r w:rsidRPr="008D3C0D">
        <w:rPr>
          <w:rFonts w:ascii="Times New Roman" w:hAnsi="Times New Roman"/>
        </w:rPr>
        <w:t xml:space="preserve"> </w:t>
      </w:r>
      <w:r w:rsidR="00C422DB" w:rsidRPr="008D3C0D">
        <w:rPr>
          <w:rFonts w:ascii="Times New Roman" w:hAnsi="Times New Roman"/>
        </w:rPr>
        <w:t>concluded</w:t>
      </w:r>
      <w:r w:rsidR="00356A5E" w:rsidRPr="008D3C0D">
        <w:rPr>
          <w:rFonts w:ascii="Times New Roman" w:hAnsi="Times New Roman"/>
        </w:rPr>
        <w:t xml:space="preserve"> that </w:t>
      </w:r>
      <w:r w:rsidR="00356A5E" w:rsidRPr="008D3C0D" w:rsidDel="00E41372">
        <w:rPr>
          <w:rFonts w:ascii="Times New Roman" w:hAnsi="Times New Roman"/>
        </w:rPr>
        <w:t xml:space="preserve">she </w:t>
      </w:r>
      <w:r w:rsidR="00356A5E" w:rsidRPr="008D3C0D">
        <w:rPr>
          <w:rFonts w:ascii="Times New Roman" w:hAnsi="Times New Roman"/>
        </w:rPr>
        <w:t xml:space="preserve">was "not persuaded that the disclosure by [the </w:t>
      </w:r>
      <w:r w:rsidR="00356A5E" w:rsidRPr="008D3C0D">
        <w:rPr>
          <w:rFonts w:ascii="Times New Roman" w:hAnsi="Times New Roman"/>
        </w:rPr>
        <w:lastRenderedPageBreak/>
        <w:t>complainant] to [the appellant] of offences perpetrated on [the complainant</w:t>
      </w:r>
      <w:r w:rsidR="00B01FEA" w:rsidRPr="008D3C0D">
        <w:rPr>
          <w:rFonts w:ascii="Times New Roman" w:hAnsi="Times New Roman"/>
        </w:rPr>
        <w:t xml:space="preserve">] by [the </w:t>
      </w:r>
      <w:r w:rsidR="0024168E" w:rsidRPr="008D3C0D">
        <w:rPr>
          <w:rFonts w:ascii="Times New Roman" w:hAnsi="Times New Roman"/>
        </w:rPr>
        <w:t>Queensland offender</w:t>
      </w:r>
      <w:r w:rsidR="00B01FEA" w:rsidRPr="008D3C0D">
        <w:rPr>
          <w:rFonts w:ascii="Times New Roman" w:hAnsi="Times New Roman"/>
        </w:rPr>
        <w:t xml:space="preserve">] </w:t>
      </w:r>
      <w:r w:rsidR="00447F02" w:rsidRPr="008D3C0D">
        <w:rPr>
          <w:rFonts w:ascii="Times New Roman" w:hAnsi="Times New Roman"/>
        </w:rPr>
        <w:t>can be said to 'relate to' the relationship between [the complainant] and [the appellant]".</w:t>
      </w:r>
      <w:r w:rsidR="00447F02" w:rsidRPr="008D3C0D">
        <w:rPr>
          <w:rStyle w:val="FootnoteReference"/>
          <w:rFonts w:ascii="Times New Roman" w:hAnsi="Times New Roman"/>
          <w:sz w:val="24"/>
        </w:rPr>
        <w:footnoteReference w:id="33"/>
      </w:r>
      <w:r w:rsidR="00447F02" w:rsidRPr="008D3C0D">
        <w:rPr>
          <w:rFonts w:ascii="Times New Roman" w:hAnsi="Times New Roman"/>
        </w:rPr>
        <w:t xml:space="preserve"> </w:t>
      </w:r>
      <w:r w:rsidR="004735AD" w:rsidRPr="008D3C0D">
        <w:rPr>
          <w:rFonts w:ascii="Times New Roman" w:hAnsi="Times New Roman"/>
        </w:rPr>
        <w:t xml:space="preserve">Her Honour reached this conclusion </w:t>
      </w:r>
      <w:r w:rsidR="00F714BE" w:rsidRPr="008D3C0D">
        <w:rPr>
          <w:rFonts w:ascii="Times New Roman" w:hAnsi="Times New Roman"/>
        </w:rPr>
        <w:t>based on three substantive paragraphs of reasoning</w:t>
      </w:r>
      <w:r w:rsidR="005B0EF0" w:rsidRPr="008D3C0D">
        <w:rPr>
          <w:rFonts w:ascii="Times New Roman" w:hAnsi="Times New Roman"/>
        </w:rPr>
        <w:t xml:space="preserve"> under the heading "Whether s</w:t>
      </w:r>
      <w:r w:rsidR="001F13B4" w:rsidRPr="008D3C0D">
        <w:rPr>
          <w:rFonts w:ascii="Times New Roman" w:hAnsi="Times New Roman"/>
        </w:rPr>
        <w:t> </w:t>
      </w:r>
      <w:r w:rsidR="005B0EF0" w:rsidRPr="008D3C0D">
        <w:rPr>
          <w:rFonts w:ascii="Times New Roman" w:hAnsi="Times New Roman"/>
        </w:rPr>
        <w:t>293(</w:t>
      </w:r>
      <w:r w:rsidR="00411780" w:rsidRPr="008D3C0D">
        <w:rPr>
          <w:rFonts w:ascii="Times New Roman" w:hAnsi="Times New Roman"/>
        </w:rPr>
        <w:t>4</w:t>
      </w:r>
      <w:r w:rsidR="005B0EF0" w:rsidRPr="008D3C0D">
        <w:rPr>
          <w:rFonts w:ascii="Times New Roman" w:hAnsi="Times New Roman"/>
        </w:rPr>
        <w:t>)(b) applies"</w:t>
      </w:r>
      <w:r w:rsidR="00F714BE" w:rsidRPr="008D3C0D">
        <w:rPr>
          <w:rFonts w:ascii="Times New Roman" w:hAnsi="Times New Roman"/>
        </w:rPr>
        <w:t>.</w:t>
      </w:r>
      <w:r w:rsidR="008E1C02" w:rsidRPr="008D3C0D">
        <w:rPr>
          <w:rStyle w:val="FootnoteReference"/>
          <w:rFonts w:ascii="Times New Roman" w:hAnsi="Times New Roman"/>
          <w:sz w:val="24"/>
        </w:rPr>
        <w:footnoteReference w:id="34"/>
      </w:r>
      <w:r w:rsidR="00F714BE" w:rsidRPr="008D3C0D">
        <w:rPr>
          <w:rFonts w:ascii="Times New Roman" w:hAnsi="Times New Roman"/>
        </w:rPr>
        <w:t xml:space="preserve"> </w:t>
      </w:r>
      <w:r w:rsidR="00764299" w:rsidRPr="008D3C0D">
        <w:rPr>
          <w:rFonts w:ascii="Times New Roman" w:hAnsi="Times New Roman"/>
        </w:rPr>
        <w:t xml:space="preserve">In the first paragraph, her Honour recorded the submission by </w:t>
      </w:r>
      <w:r w:rsidR="00B6293D" w:rsidRPr="008D3C0D">
        <w:rPr>
          <w:rFonts w:ascii="Times New Roman" w:hAnsi="Times New Roman"/>
        </w:rPr>
        <w:t xml:space="preserve">senior </w:t>
      </w:r>
      <w:r w:rsidR="00764299" w:rsidRPr="008D3C0D">
        <w:rPr>
          <w:rFonts w:ascii="Times New Roman" w:hAnsi="Times New Roman"/>
        </w:rPr>
        <w:t xml:space="preserve">counsel for the appellant </w:t>
      </w:r>
      <w:r w:rsidR="001E4F73" w:rsidRPr="008D3C0D">
        <w:rPr>
          <w:rFonts w:ascii="Times New Roman" w:hAnsi="Times New Roman"/>
        </w:rPr>
        <w:t>that "</w:t>
      </w:r>
      <w:r w:rsidR="00D97E1D" w:rsidRPr="008D3C0D">
        <w:rPr>
          <w:rFonts w:ascii="Times New Roman" w:hAnsi="Times New Roman"/>
        </w:rPr>
        <w:t>[</w:t>
      </w:r>
      <w:r w:rsidR="001E4F73" w:rsidRPr="008D3C0D">
        <w:rPr>
          <w:rFonts w:ascii="Times New Roman" w:hAnsi="Times New Roman"/>
        </w:rPr>
        <w:t>t</w:t>
      </w:r>
      <w:r w:rsidR="00D97E1D" w:rsidRPr="008D3C0D">
        <w:rPr>
          <w:rFonts w:ascii="Times New Roman" w:hAnsi="Times New Roman"/>
        </w:rPr>
        <w:t>]</w:t>
      </w:r>
      <w:r w:rsidR="001E4F73" w:rsidRPr="008D3C0D">
        <w:rPr>
          <w:rFonts w:ascii="Times New Roman" w:hAnsi="Times New Roman"/>
        </w:rPr>
        <w:t>he disclosure of the Queensland offences to the appellant and the context surrounding the ensuing proceedings were a significant aspect of the relationship between the complainant and the appellant, particularly at the time of the first 12 counts on the indictment given the overlap with the Queensland proceedings"</w:t>
      </w:r>
      <w:r w:rsidR="007A43EE" w:rsidRPr="008D3C0D">
        <w:rPr>
          <w:rFonts w:ascii="Times New Roman" w:hAnsi="Times New Roman"/>
        </w:rPr>
        <w:t>.</w:t>
      </w:r>
      <w:r w:rsidR="001E4F73" w:rsidRPr="008D3C0D">
        <w:rPr>
          <w:rFonts w:ascii="Times New Roman" w:hAnsi="Times New Roman"/>
        </w:rPr>
        <w:t xml:space="preserve"> In the second paragraph, her Honour </w:t>
      </w:r>
      <w:r w:rsidR="000F5BD8" w:rsidRPr="008D3C0D">
        <w:rPr>
          <w:rFonts w:ascii="Times New Roman" w:hAnsi="Times New Roman"/>
        </w:rPr>
        <w:t xml:space="preserve">explained that </w:t>
      </w:r>
      <w:r w:rsidR="002638D4" w:rsidRPr="008D3C0D">
        <w:rPr>
          <w:rFonts w:ascii="Times New Roman" w:hAnsi="Times New Roman"/>
        </w:rPr>
        <w:t>"what is required for evidence to 'relate to a relationship'</w:t>
      </w:r>
      <w:r w:rsidR="0026522F" w:rsidRPr="008D3C0D">
        <w:rPr>
          <w:rFonts w:ascii="Times New Roman" w:hAnsi="Times New Roman"/>
        </w:rPr>
        <w:t xml:space="preserve">" existing at the time of the offences was considered </w:t>
      </w:r>
      <w:r w:rsidR="001F2EA6" w:rsidRPr="008D3C0D">
        <w:rPr>
          <w:rFonts w:ascii="Times New Roman" w:hAnsi="Times New Roman"/>
        </w:rPr>
        <w:t xml:space="preserve">by this Court </w:t>
      </w:r>
      <w:r w:rsidR="0026522F" w:rsidRPr="008D3C0D">
        <w:rPr>
          <w:rFonts w:ascii="Times New Roman" w:hAnsi="Times New Roman"/>
        </w:rPr>
        <w:t xml:space="preserve">in </w:t>
      </w:r>
      <w:r w:rsidR="0026522F" w:rsidRPr="008D3C0D">
        <w:rPr>
          <w:rFonts w:ascii="Times New Roman" w:hAnsi="Times New Roman"/>
          <w:i/>
          <w:iCs/>
        </w:rPr>
        <w:t>HG v The Queen</w:t>
      </w:r>
      <w:r w:rsidR="0026522F" w:rsidRPr="008D3C0D">
        <w:rPr>
          <w:rFonts w:ascii="Times New Roman" w:hAnsi="Times New Roman"/>
        </w:rPr>
        <w:t>,</w:t>
      </w:r>
      <w:r w:rsidR="0026522F" w:rsidRPr="008D3C0D">
        <w:rPr>
          <w:rStyle w:val="FootnoteReference"/>
          <w:rFonts w:ascii="Times New Roman" w:hAnsi="Times New Roman"/>
          <w:sz w:val="24"/>
        </w:rPr>
        <w:footnoteReference w:id="35"/>
      </w:r>
      <w:r w:rsidR="0026522F" w:rsidRPr="008D3C0D">
        <w:rPr>
          <w:rFonts w:ascii="Times New Roman" w:hAnsi="Times New Roman"/>
        </w:rPr>
        <w:t xml:space="preserve"> quoting from the </w:t>
      </w:r>
      <w:r w:rsidR="007A43EE" w:rsidRPr="008D3C0D">
        <w:rPr>
          <w:rFonts w:ascii="Times New Roman" w:hAnsi="Times New Roman"/>
        </w:rPr>
        <w:t xml:space="preserve">judgment </w:t>
      </w:r>
      <w:r w:rsidR="001A6DB6" w:rsidRPr="008D3C0D">
        <w:rPr>
          <w:rFonts w:ascii="Times New Roman" w:hAnsi="Times New Roman"/>
        </w:rPr>
        <w:t>of Gleeson</w:t>
      </w:r>
      <w:r w:rsidR="00D344BF" w:rsidRPr="008D3C0D">
        <w:rPr>
          <w:rFonts w:ascii="Times New Roman" w:hAnsi="Times New Roman"/>
        </w:rPr>
        <w:t> </w:t>
      </w:r>
      <w:r w:rsidR="001A6DB6" w:rsidRPr="008D3C0D">
        <w:rPr>
          <w:rFonts w:ascii="Times New Roman" w:hAnsi="Times New Roman"/>
        </w:rPr>
        <w:t>CJ in</w:t>
      </w:r>
      <w:r w:rsidR="004735AD" w:rsidRPr="008D3C0D">
        <w:rPr>
          <w:rFonts w:ascii="Times New Roman" w:hAnsi="Times New Roman"/>
        </w:rPr>
        <w:t xml:space="preserve"> </w:t>
      </w:r>
      <w:r w:rsidR="0026522F" w:rsidRPr="008D3C0D">
        <w:rPr>
          <w:rFonts w:ascii="Times New Roman" w:hAnsi="Times New Roman"/>
        </w:rPr>
        <w:t xml:space="preserve">that case. </w:t>
      </w:r>
      <w:r w:rsidR="005E3736" w:rsidRPr="008D3C0D">
        <w:rPr>
          <w:rFonts w:ascii="Times New Roman" w:hAnsi="Times New Roman"/>
        </w:rPr>
        <w:t xml:space="preserve">In the final paragraph, her Honour </w:t>
      </w:r>
      <w:r w:rsidR="001F2EA6" w:rsidRPr="008D3C0D">
        <w:rPr>
          <w:rFonts w:ascii="Times New Roman" w:hAnsi="Times New Roman"/>
        </w:rPr>
        <w:t xml:space="preserve">described, and rejected, the submission of senior counsel for the appellant that the present case could be distinguished from </w:t>
      </w:r>
      <w:r w:rsidR="004735AD" w:rsidRPr="008D3C0D">
        <w:rPr>
          <w:rFonts w:ascii="Times New Roman" w:hAnsi="Times New Roman"/>
          <w:i/>
          <w:iCs/>
        </w:rPr>
        <w:t>HG v The Queen</w:t>
      </w:r>
      <w:r w:rsidR="001F2EA6" w:rsidRPr="008D3C0D">
        <w:rPr>
          <w:rFonts w:ascii="Times New Roman" w:hAnsi="Times New Roman"/>
        </w:rPr>
        <w:t xml:space="preserve">. </w:t>
      </w:r>
      <w:r w:rsidR="005D2AE0" w:rsidRPr="008D3C0D">
        <w:rPr>
          <w:rFonts w:ascii="Times New Roman" w:hAnsi="Times New Roman"/>
        </w:rPr>
        <w:t>With respect, the present case is quite distinguis</w:t>
      </w:r>
      <w:r w:rsidR="00D02BEB" w:rsidRPr="008D3C0D">
        <w:rPr>
          <w:rFonts w:ascii="Times New Roman" w:hAnsi="Times New Roman"/>
        </w:rPr>
        <w:t>h</w:t>
      </w:r>
      <w:r w:rsidR="005D2AE0" w:rsidRPr="008D3C0D">
        <w:rPr>
          <w:rFonts w:ascii="Times New Roman" w:hAnsi="Times New Roman"/>
        </w:rPr>
        <w:t xml:space="preserve">able from </w:t>
      </w:r>
      <w:r w:rsidR="005D2AE0" w:rsidRPr="008D3C0D">
        <w:rPr>
          <w:rFonts w:ascii="Times New Roman" w:hAnsi="Times New Roman"/>
          <w:i/>
          <w:iCs/>
        </w:rPr>
        <w:t>HG v The Queen</w:t>
      </w:r>
      <w:r w:rsidR="00C9242B" w:rsidRPr="008D3C0D">
        <w:rPr>
          <w:rFonts w:ascii="Times New Roman" w:hAnsi="Times New Roman"/>
        </w:rPr>
        <w:t xml:space="preserve">. In </w:t>
      </w:r>
      <w:r w:rsidR="00C9242B" w:rsidRPr="008D3C0D">
        <w:rPr>
          <w:rFonts w:ascii="Times New Roman" w:hAnsi="Times New Roman"/>
          <w:i/>
          <w:iCs/>
        </w:rPr>
        <w:t>HG v The Queen</w:t>
      </w:r>
      <w:r w:rsidR="00513EB0" w:rsidRPr="008D3C0D">
        <w:rPr>
          <w:rFonts w:ascii="Times New Roman" w:hAnsi="Times New Roman"/>
        </w:rPr>
        <w:t xml:space="preserve"> there was scant evidence of any relationship </w:t>
      </w:r>
      <w:r w:rsidR="00C51DF7" w:rsidRPr="008D3C0D">
        <w:rPr>
          <w:rFonts w:ascii="Times New Roman" w:hAnsi="Times New Roman"/>
        </w:rPr>
        <w:t xml:space="preserve">between the appellant and the complainant </w:t>
      </w:r>
      <w:r w:rsidR="00535B1A" w:rsidRPr="008D3C0D">
        <w:rPr>
          <w:rFonts w:ascii="Times New Roman" w:hAnsi="Times New Roman"/>
        </w:rPr>
        <w:t xml:space="preserve">and </w:t>
      </w:r>
      <w:r w:rsidR="00513EB0" w:rsidRPr="008D3C0D">
        <w:rPr>
          <w:rFonts w:ascii="Times New Roman" w:hAnsi="Times New Roman"/>
        </w:rPr>
        <w:t>Gleeson</w:t>
      </w:r>
      <w:r w:rsidR="00A33671" w:rsidRPr="008D3C0D">
        <w:rPr>
          <w:rFonts w:ascii="Times New Roman" w:hAnsi="Times New Roman"/>
        </w:rPr>
        <w:t> </w:t>
      </w:r>
      <w:r w:rsidR="00513EB0" w:rsidRPr="008D3C0D">
        <w:rPr>
          <w:rFonts w:ascii="Times New Roman" w:hAnsi="Times New Roman"/>
        </w:rPr>
        <w:t xml:space="preserve">CJ said that even if </w:t>
      </w:r>
      <w:r w:rsidR="00B44ED8" w:rsidRPr="008D3C0D">
        <w:rPr>
          <w:rFonts w:ascii="Times New Roman" w:hAnsi="Times New Roman"/>
        </w:rPr>
        <w:t xml:space="preserve">the evidence were assumed to establish </w:t>
      </w:r>
      <w:r w:rsidR="00513EB0" w:rsidRPr="008D3C0D">
        <w:rPr>
          <w:rFonts w:ascii="Times New Roman" w:hAnsi="Times New Roman"/>
        </w:rPr>
        <w:t xml:space="preserve">a relevant </w:t>
      </w:r>
      <w:r w:rsidR="009A2C96" w:rsidRPr="008D3C0D">
        <w:rPr>
          <w:rFonts w:ascii="Times New Roman" w:hAnsi="Times New Roman"/>
        </w:rPr>
        <w:t>relationship</w:t>
      </w:r>
      <w:r w:rsidR="00B44ED8" w:rsidRPr="008D3C0D">
        <w:rPr>
          <w:rFonts w:ascii="Times New Roman" w:hAnsi="Times New Roman"/>
        </w:rPr>
        <w:t>, that relationship</w:t>
      </w:r>
      <w:r w:rsidR="00513EB0" w:rsidRPr="008D3C0D">
        <w:rPr>
          <w:rFonts w:ascii="Times New Roman" w:hAnsi="Times New Roman"/>
        </w:rPr>
        <w:t xml:space="preserve"> did not relate to t</w:t>
      </w:r>
      <w:r w:rsidR="00B44ED8" w:rsidRPr="008D3C0D">
        <w:rPr>
          <w:rFonts w:ascii="Times New Roman" w:hAnsi="Times New Roman"/>
        </w:rPr>
        <w:t xml:space="preserve">he </w:t>
      </w:r>
      <w:r w:rsidR="0008431C" w:rsidRPr="008D3C0D">
        <w:rPr>
          <w:rFonts w:ascii="Times New Roman" w:hAnsi="Times New Roman"/>
        </w:rPr>
        <w:t>evidence the appellant sought to admit</w:t>
      </w:r>
      <w:r w:rsidRPr="008D3C0D">
        <w:rPr>
          <w:rFonts w:ascii="Times New Roman" w:hAnsi="Times New Roman"/>
        </w:rPr>
        <w:t>.</w:t>
      </w:r>
      <w:r w:rsidR="00B44ED8" w:rsidRPr="008D3C0D">
        <w:rPr>
          <w:rFonts w:ascii="Times New Roman" w:hAnsi="Times New Roman"/>
        </w:rPr>
        <w:t xml:space="preserve"> </w:t>
      </w:r>
      <w:r w:rsidR="00641C8C" w:rsidRPr="008D3C0D">
        <w:rPr>
          <w:rFonts w:ascii="Times New Roman" w:hAnsi="Times New Roman"/>
        </w:rPr>
        <w:t>As senior counsel for the appellant submitted in this Court: "</w:t>
      </w:r>
      <w:r w:rsidR="00B57797" w:rsidRPr="008D3C0D">
        <w:rPr>
          <w:rFonts w:ascii="Times New Roman" w:hAnsi="Times New Roman"/>
        </w:rPr>
        <w:t xml:space="preserve">[in] </w:t>
      </w:r>
      <w:r w:rsidR="00B57797" w:rsidRPr="008D3C0D">
        <w:rPr>
          <w:rFonts w:ascii="Times New Roman" w:hAnsi="Times New Roman"/>
          <w:i/>
          <w:iCs/>
        </w:rPr>
        <w:t xml:space="preserve">HG </w:t>
      </w:r>
      <w:r w:rsidR="003C68BB" w:rsidRPr="008D3C0D">
        <w:rPr>
          <w:rFonts w:ascii="Times New Roman" w:hAnsi="Times New Roman"/>
        </w:rPr>
        <w:t xml:space="preserve">... </w:t>
      </w:r>
      <w:r w:rsidR="00B57797" w:rsidRPr="008D3C0D">
        <w:rPr>
          <w:rFonts w:ascii="Times New Roman" w:hAnsi="Times New Roman"/>
        </w:rPr>
        <w:t>there was no question about a relationship of the kind that is here"</w:t>
      </w:r>
      <w:r w:rsidR="007F62B5" w:rsidRPr="008D3C0D">
        <w:rPr>
          <w:rFonts w:ascii="Times New Roman" w:hAnsi="Times New Roman"/>
        </w:rPr>
        <w:t>.</w:t>
      </w:r>
      <w:r w:rsidR="00B57797" w:rsidRPr="008D3C0D">
        <w:rPr>
          <w:rFonts w:ascii="Times New Roman" w:hAnsi="Times New Roman"/>
        </w:rPr>
        <w:t xml:space="preserve"> </w:t>
      </w:r>
    </w:p>
    <w:p w14:paraId="1A2B88D4" w14:textId="41048647" w:rsidR="00121F1E" w:rsidRPr="008D3C0D" w:rsidRDefault="0021323C" w:rsidP="008D3C0D">
      <w:pPr>
        <w:pStyle w:val="FixListStyle"/>
        <w:spacing w:after="260" w:line="280" w:lineRule="exact"/>
        <w:ind w:right="0"/>
        <w:jc w:val="both"/>
        <w:rPr>
          <w:rFonts w:ascii="Times New Roman" w:hAnsi="Times New Roman"/>
        </w:rPr>
      </w:pPr>
      <w:r w:rsidRPr="008D3C0D">
        <w:rPr>
          <w:rFonts w:ascii="Times New Roman" w:hAnsi="Times New Roman"/>
        </w:rPr>
        <w:tab/>
        <w:t>I</w:t>
      </w:r>
      <w:r w:rsidR="00121F1E" w:rsidRPr="008D3C0D">
        <w:rPr>
          <w:rFonts w:ascii="Times New Roman" w:hAnsi="Times New Roman"/>
        </w:rPr>
        <w:t>t was common ground on this appeal that</w:t>
      </w:r>
      <w:r w:rsidR="0041396A" w:rsidRPr="008D3C0D">
        <w:rPr>
          <w:rFonts w:ascii="Times New Roman" w:hAnsi="Times New Roman"/>
        </w:rPr>
        <w:t xml:space="preserve"> if error </w:t>
      </w:r>
      <w:r w:rsidR="008948D8" w:rsidRPr="008D3C0D">
        <w:rPr>
          <w:rFonts w:ascii="Times New Roman" w:hAnsi="Times New Roman"/>
        </w:rPr>
        <w:t>in the application of s </w:t>
      </w:r>
      <w:r w:rsidR="006E0719" w:rsidRPr="008D3C0D">
        <w:rPr>
          <w:rFonts w:ascii="Times New Roman" w:hAnsi="Times New Roman"/>
        </w:rPr>
        <w:t xml:space="preserve">293(4)(b) </w:t>
      </w:r>
      <w:r w:rsidR="0041396A" w:rsidRPr="008D3C0D">
        <w:rPr>
          <w:rFonts w:ascii="Times New Roman" w:hAnsi="Times New Roman"/>
        </w:rPr>
        <w:t>were established then</w:t>
      </w:r>
      <w:r w:rsidR="00121F1E" w:rsidRPr="008D3C0D">
        <w:rPr>
          <w:rFonts w:ascii="Times New Roman" w:hAnsi="Times New Roman"/>
        </w:rPr>
        <w:t>, as Beech-Jones</w:t>
      </w:r>
      <w:r w:rsidR="004B6B37" w:rsidRPr="008D3C0D">
        <w:rPr>
          <w:rFonts w:ascii="Times New Roman" w:hAnsi="Times New Roman"/>
        </w:rPr>
        <w:t> </w:t>
      </w:r>
      <w:r w:rsidR="00121F1E" w:rsidRPr="008D3C0D">
        <w:rPr>
          <w:rFonts w:ascii="Times New Roman" w:hAnsi="Times New Roman"/>
        </w:rPr>
        <w:t xml:space="preserve">CJ at CL had held in the Court of </w:t>
      </w:r>
      <w:r w:rsidR="004B6B37" w:rsidRPr="008D3C0D">
        <w:rPr>
          <w:rFonts w:ascii="Times New Roman" w:hAnsi="Times New Roman"/>
        </w:rPr>
        <w:t xml:space="preserve">Criminal </w:t>
      </w:r>
      <w:r w:rsidR="00121F1E" w:rsidRPr="008D3C0D">
        <w:rPr>
          <w:rFonts w:ascii="Times New Roman" w:hAnsi="Times New Roman"/>
        </w:rPr>
        <w:t>Appeal,</w:t>
      </w:r>
      <w:r w:rsidR="00121F1E" w:rsidRPr="008D3C0D">
        <w:rPr>
          <w:rStyle w:val="FootnoteReference"/>
          <w:rFonts w:ascii="Times New Roman" w:hAnsi="Times New Roman"/>
          <w:sz w:val="24"/>
        </w:rPr>
        <w:footnoteReference w:id="36"/>
      </w:r>
      <w:r w:rsidR="00121F1E" w:rsidRPr="008D3C0D">
        <w:rPr>
          <w:rFonts w:ascii="Times New Roman" w:hAnsi="Times New Roman"/>
        </w:rPr>
        <w:t xml:space="preserve"> the evidence before th</w:t>
      </w:r>
      <w:r w:rsidR="00174481" w:rsidRPr="008D3C0D">
        <w:rPr>
          <w:rFonts w:ascii="Times New Roman" w:hAnsi="Times New Roman"/>
        </w:rPr>
        <w:t>is</w:t>
      </w:r>
      <w:r w:rsidR="00121F1E" w:rsidRPr="008D3C0D">
        <w:rPr>
          <w:rFonts w:ascii="Times New Roman" w:hAnsi="Times New Roman"/>
        </w:rPr>
        <w:t xml:space="preserve"> Court was not sufficient to determine whether there was a </w:t>
      </w:r>
      <w:r w:rsidR="00694F63" w:rsidRPr="008D3C0D">
        <w:rPr>
          <w:rFonts w:ascii="Times New Roman" w:hAnsi="Times New Roman"/>
        </w:rPr>
        <w:t xml:space="preserve">relevant </w:t>
      </w:r>
      <w:r w:rsidR="00121F1E" w:rsidRPr="008D3C0D">
        <w:rPr>
          <w:rFonts w:ascii="Times New Roman" w:hAnsi="Times New Roman"/>
        </w:rPr>
        <w:t>relationship between the appellant and the complainan</w:t>
      </w:r>
      <w:r w:rsidR="002F7975" w:rsidRPr="008D3C0D">
        <w:rPr>
          <w:rFonts w:ascii="Times New Roman" w:hAnsi="Times New Roman"/>
        </w:rPr>
        <w:t>t</w:t>
      </w:r>
      <w:r w:rsidR="00121F1E" w:rsidRPr="008D3C0D">
        <w:rPr>
          <w:rFonts w:ascii="Times New Roman" w:hAnsi="Times New Roman"/>
        </w:rPr>
        <w:t>.</w:t>
      </w:r>
      <w:r w:rsidR="00CC2C8C" w:rsidRPr="008D3C0D">
        <w:rPr>
          <w:rFonts w:ascii="Times New Roman" w:hAnsi="Times New Roman"/>
        </w:rPr>
        <w:t xml:space="preserve"> </w:t>
      </w:r>
      <w:r w:rsidR="008F517A" w:rsidRPr="008D3C0D">
        <w:rPr>
          <w:rFonts w:ascii="Times New Roman" w:hAnsi="Times New Roman"/>
        </w:rPr>
        <w:t xml:space="preserve">Whether the present evidence, and any further evidence admitted on remitter, relates to a </w:t>
      </w:r>
      <w:r w:rsidR="00B9632C" w:rsidRPr="008D3C0D">
        <w:rPr>
          <w:rFonts w:ascii="Times New Roman" w:hAnsi="Times New Roman"/>
        </w:rPr>
        <w:t xml:space="preserve">relevant </w:t>
      </w:r>
      <w:r w:rsidR="008F517A" w:rsidRPr="008D3C0D">
        <w:rPr>
          <w:rFonts w:ascii="Times New Roman" w:hAnsi="Times New Roman"/>
        </w:rPr>
        <w:t>relationship will depend upon an assessment of the nature and extent of the relationship alleged in submissions</w:t>
      </w:r>
      <w:r w:rsidR="00FF702D" w:rsidRPr="008D3C0D">
        <w:rPr>
          <w:rFonts w:ascii="Times New Roman" w:hAnsi="Times New Roman"/>
        </w:rPr>
        <w:t xml:space="preserve">. </w:t>
      </w:r>
      <w:r w:rsidR="00096D9A" w:rsidRPr="008D3C0D">
        <w:rPr>
          <w:rFonts w:ascii="Times New Roman" w:hAnsi="Times New Roman"/>
          <w:bCs/>
        </w:rPr>
        <w:t>In th</w:t>
      </w:r>
      <w:r w:rsidR="00FF702D" w:rsidRPr="008D3C0D">
        <w:rPr>
          <w:rFonts w:ascii="Times New Roman" w:hAnsi="Times New Roman"/>
          <w:bCs/>
        </w:rPr>
        <w:t xml:space="preserve">e absence of such </w:t>
      </w:r>
      <w:proofErr w:type="gramStart"/>
      <w:r w:rsidR="00FF702D" w:rsidRPr="008D3C0D">
        <w:rPr>
          <w:rFonts w:ascii="Times New Roman" w:hAnsi="Times New Roman"/>
          <w:bCs/>
        </w:rPr>
        <w:t>submissions</w:t>
      </w:r>
      <w:proofErr w:type="gramEnd"/>
      <w:r w:rsidR="00FF702D" w:rsidRPr="008D3C0D">
        <w:rPr>
          <w:rFonts w:ascii="Times New Roman" w:hAnsi="Times New Roman"/>
          <w:bCs/>
        </w:rPr>
        <w:t xml:space="preserve"> </w:t>
      </w:r>
      <w:r w:rsidR="00096D9A" w:rsidRPr="008D3C0D">
        <w:rPr>
          <w:rFonts w:ascii="Times New Roman" w:hAnsi="Times New Roman"/>
          <w:bCs/>
        </w:rPr>
        <w:t xml:space="preserve">it is </w:t>
      </w:r>
      <w:r w:rsidR="00615572" w:rsidRPr="008D3C0D">
        <w:rPr>
          <w:rFonts w:ascii="Times New Roman" w:hAnsi="Times New Roman"/>
          <w:bCs/>
        </w:rPr>
        <w:t xml:space="preserve">not possible </w:t>
      </w:r>
      <w:r w:rsidR="00897CF1" w:rsidRPr="008D3C0D">
        <w:rPr>
          <w:rFonts w:ascii="Times New Roman" w:hAnsi="Times New Roman"/>
          <w:bCs/>
        </w:rPr>
        <w:t xml:space="preserve">to determine whether </w:t>
      </w:r>
      <w:r w:rsidR="00504CFE" w:rsidRPr="008D3C0D">
        <w:rPr>
          <w:rFonts w:ascii="Times New Roman" w:hAnsi="Times New Roman"/>
          <w:bCs/>
        </w:rPr>
        <w:t xml:space="preserve">the evidence </w:t>
      </w:r>
      <w:r w:rsidR="00E56DF0" w:rsidRPr="008D3C0D">
        <w:rPr>
          <w:rFonts w:ascii="Times New Roman" w:hAnsi="Times New Roman"/>
          <w:bCs/>
        </w:rPr>
        <w:t xml:space="preserve">sought to be adduced "relates to" </w:t>
      </w:r>
      <w:r w:rsidR="00897CF1" w:rsidRPr="008D3C0D">
        <w:rPr>
          <w:rFonts w:ascii="Times New Roman" w:hAnsi="Times New Roman"/>
          <w:bCs/>
        </w:rPr>
        <w:t xml:space="preserve">a relevant </w:t>
      </w:r>
      <w:r w:rsidR="00E56DF0" w:rsidRPr="008D3C0D">
        <w:rPr>
          <w:rFonts w:ascii="Times New Roman" w:hAnsi="Times New Roman"/>
          <w:bCs/>
        </w:rPr>
        <w:t>relationship</w:t>
      </w:r>
      <w:r w:rsidR="00897CF1" w:rsidRPr="008D3C0D">
        <w:rPr>
          <w:rFonts w:ascii="Times New Roman" w:hAnsi="Times New Roman"/>
          <w:bCs/>
        </w:rPr>
        <w:t xml:space="preserve"> in the absence of </w:t>
      </w:r>
      <w:r w:rsidR="002163C7" w:rsidRPr="008D3C0D">
        <w:rPr>
          <w:rFonts w:ascii="Times New Roman" w:hAnsi="Times New Roman"/>
          <w:bCs/>
        </w:rPr>
        <w:t>any</w:t>
      </w:r>
      <w:r w:rsidR="00897CF1" w:rsidRPr="008D3C0D">
        <w:rPr>
          <w:rFonts w:ascii="Times New Roman" w:hAnsi="Times New Roman"/>
          <w:bCs/>
        </w:rPr>
        <w:t xml:space="preserve"> identification of the nature and extent of any relationship.</w:t>
      </w:r>
      <w:r w:rsidR="002148CE" w:rsidRPr="008D3C0D">
        <w:rPr>
          <w:rFonts w:ascii="Times New Roman" w:hAnsi="Times New Roman"/>
          <w:bCs/>
        </w:rPr>
        <w:t xml:space="preserve"> That identification must be a matter for the trial judge in the light of an assessment of </w:t>
      </w:r>
      <w:proofErr w:type="gramStart"/>
      <w:r w:rsidR="002148CE" w:rsidRPr="008D3C0D">
        <w:rPr>
          <w:rFonts w:ascii="Times New Roman" w:hAnsi="Times New Roman"/>
          <w:bCs/>
        </w:rPr>
        <w:t>all of</w:t>
      </w:r>
      <w:proofErr w:type="gramEnd"/>
      <w:r w:rsidR="002148CE" w:rsidRPr="008D3C0D">
        <w:rPr>
          <w:rFonts w:ascii="Times New Roman" w:hAnsi="Times New Roman"/>
          <w:bCs/>
        </w:rPr>
        <w:t xml:space="preserve"> the evidence before the court. </w:t>
      </w:r>
      <w:r w:rsidR="002F7975" w:rsidRPr="008D3C0D">
        <w:rPr>
          <w:rFonts w:ascii="Times New Roman" w:hAnsi="Times New Roman"/>
          <w:bCs/>
        </w:rPr>
        <w:t xml:space="preserve"> </w:t>
      </w:r>
    </w:p>
    <w:p w14:paraId="132CED4F" w14:textId="11982798"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lastRenderedPageBreak/>
        <w:tab/>
      </w:r>
      <w:r w:rsidR="00F50C70" w:rsidRPr="008D3C0D">
        <w:rPr>
          <w:rFonts w:ascii="Times New Roman" w:hAnsi="Times New Roman"/>
        </w:rPr>
        <w:t xml:space="preserve">For these reasons, the third ground of appeal before the Court of </w:t>
      </w:r>
      <w:r w:rsidR="007407E2" w:rsidRPr="008D3C0D">
        <w:rPr>
          <w:rFonts w:ascii="Times New Roman" w:hAnsi="Times New Roman"/>
        </w:rPr>
        <w:t xml:space="preserve">Criminal </w:t>
      </w:r>
      <w:r w:rsidR="00F50C70" w:rsidRPr="008D3C0D">
        <w:rPr>
          <w:rFonts w:ascii="Times New Roman" w:hAnsi="Times New Roman"/>
        </w:rPr>
        <w:t xml:space="preserve">Appeal should have succeeded in part. </w:t>
      </w:r>
      <w:r w:rsidRPr="008D3C0D">
        <w:rPr>
          <w:rFonts w:ascii="Times New Roman" w:hAnsi="Times New Roman"/>
        </w:rPr>
        <w:t>The second exception to inadmissibility is potentially applicable</w:t>
      </w:r>
      <w:r w:rsidR="00430FE1" w:rsidRPr="008D3C0D">
        <w:rPr>
          <w:rFonts w:ascii="Times New Roman" w:hAnsi="Times New Roman"/>
        </w:rPr>
        <w:t xml:space="preserve">. </w:t>
      </w:r>
      <w:r w:rsidR="00E66616" w:rsidRPr="008D3C0D">
        <w:rPr>
          <w:rFonts w:ascii="Times New Roman" w:hAnsi="Times New Roman"/>
        </w:rPr>
        <w:t xml:space="preserve">For the reasons above, and in the absence of any submissions </w:t>
      </w:r>
      <w:r w:rsidR="00920F17" w:rsidRPr="008D3C0D">
        <w:rPr>
          <w:rFonts w:ascii="Times New Roman" w:hAnsi="Times New Roman"/>
        </w:rPr>
        <w:t xml:space="preserve">in this Court </w:t>
      </w:r>
      <w:r w:rsidR="007B6E59" w:rsidRPr="008D3C0D">
        <w:rPr>
          <w:rFonts w:ascii="Times New Roman" w:hAnsi="Times New Roman"/>
        </w:rPr>
        <w:t>concerning the</w:t>
      </w:r>
      <w:r w:rsidR="00920F17" w:rsidRPr="008D3C0D">
        <w:rPr>
          <w:rFonts w:ascii="Times New Roman" w:hAnsi="Times New Roman"/>
        </w:rPr>
        <w:t xml:space="preserve"> relationship </w:t>
      </w:r>
      <w:r w:rsidR="00D72E16" w:rsidRPr="008D3C0D">
        <w:rPr>
          <w:rFonts w:ascii="Times New Roman" w:hAnsi="Times New Roman"/>
        </w:rPr>
        <w:t xml:space="preserve">between the </w:t>
      </w:r>
      <w:r w:rsidR="006F11B0" w:rsidRPr="008D3C0D">
        <w:rPr>
          <w:rFonts w:ascii="Times New Roman" w:hAnsi="Times New Roman"/>
        </w:rPr>
        <w:t xml:space="preserve">appellant and </w:t>
      </w:r>
      <w:r w:rsidR="00DF3F30">
        <w:rPr>
          <w:rFonts w:ascii="Times New Roman" w:hAnsi="Times New Roman"/>
        </w:rPr>
        <w:t xml:space="preserve">the </w:t>
      </w:r>
      <w:r w:rsidR="006F11B0" w:rsidRPr="008D3C0D">
        <w:rPr>
          <w:rFonts w:ascii="Times New Roman" w:hAnsi="Times New Roman"/>
        </w:rPr>
        <w:t xml:space="preserve">complainant </w:t>
      </w:r>
      <w:r w:rsidR="00920F17" w:rsidRPr="008D3C0D">
        <w:rPr>
          <w:rFonts w:ascii="Times New Roman" w:hAnsi="Times New Roman"/>
        </w:rPr>
        <w:t>and its nature and extent, t</w:t>
      </w:r>
      <w:r w:rsidR="00B33F18" w:rsidRPr="008D3C0D">
        <w:rPr>
          <w:rFonts w:ascii="Times New Roman" w:hAnsi="Times New Roman"/>
        </w:rPr>
        <w:t xml:space="preserve">hat exception cannot, and should not, be determined in this Court. </w:t>
      </w:r>
      <w:r w:rsidR="00430FE1" w:rsidRPr="008D3C0D">
        <w:rPr>
          <w:rFonts w:ascii="Times New Roman" w:hAnsi="Times New Roman"/>
        </w:rPr>
        <w:t>A</w:t>
      </w:r>
      <w:r w:rsidRPr="008D3C0D">
        <w:rPr>
          <w:rFonts w:ascii="Times New Roman" w:hAnsi="Times New Roman"/>
        </w:rPr>
        <w:t>t the retrial of the appellant, the trial judge should consider any evidence of a relationship between the appellant and the complainant to determine whether the exception applies, the scope of the evidence to which it applies, and whether the admission of that evidence falls within the proviso to s</w:t>
      </w:r>
      <w:r w:rsidR="00430FE1" w:rsidRPr="008D3C0D">
        <w:rPr>
          <w:rFonts w:ascii="Times New Roman" w:hAnsi="Times New Roman"/>
        </w:rPr>
        <w:t> </w:t>
      </w:r>
      <w:r w:rsidRPr="008D3C0D">
        <w:rPr>
          <w:rFonts w:ascii="Times New Roman" w:hAnsi="Times New Roman"/>
        </w:rPr>
        <w:t>293(4) that its probative value outweighs any distress, humiliation or embarrassment that the complainant might suffer as a result of its admission.</w:t>
      </w:r>
    </w:p>
    <w:p w14:paraId="3D989D55" w14:textId="2D2AE69E" w:rsidR="00121F1E" w:rsidRPr="008D3C0D" w:rsidRDefault="00F223F6" w:rsidP="008D3C0D">
      <w:pPr>
        <w:pStyle w:val="HeadingL1"/>
        <w:spacing w:after="260" w:line="280" w:lineRule="exact"/>
        <w:ind w:right="0"/>
        <w:jc w:val="both"/>
        <w:rPr>
          <w:rFonts w:ascii="Times New Roman" w:hAnsi="Times New Roman"/>
        </w:rPr>
      </w:pPr>
      <w:r w:rsidRPr="008D3C0D">
        <w:rPr>
          <w:rFonts w:ascii="Times New Roman" w:hAnsi="Times New Roman"/>
        </w:rPr>
        <w:t xml:space="preserve">Ground 2: </w:t>
      </w:r>
      <w:r w:rsidR="00121F1E" w:rsidRPr="008D3C0D">
        <w:rPr>
          <w:rFonts w:ascii="Times New Roman" w:hAnsi="Times New Roman"/>
        </w:rPr>
        <w:t>Misleading the jury</w:t>
      </w:r>
      <w:r w:rsidR="0084360D" w:rsidRPr="008D3C0D">
        <w:rPr>
          <w:rFonts w:ascii="Times New Roman" w:hAnsi="Times New Roman"/>
        </w:rPr>
        <w:t>?</w:t>
      </w:r>
    </w:p>
    <w:p w14:paraId="22D8911C" w14:textId="2A0FEDFF"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The premise of the appellant's second ground of appeal is not correct. The jury were not misled by the decision of the trial judge to permit cross-examination of the complainant on the premise that the Queensland offender had physically assaulted her. The starting point is the common concept in criminal trials that a witness is questioned on a particular topic so that the witness does not give evidence to the extent that the evidence would be prohibited by rules concerning hearsay,</w:t>
      </w:r>
      <w:r w:rsidR="00E56DF0" w:rsidRPr="008D3C0D">
        <w:rPr>
          <w:rFonts w:ascii="Times New Roman" w:hAnsi="Times New Roman"/>
        </w:rPr>
        <w:t xml:space="preserve"> tendency, </w:t>
      </w:r>
      <w:r w:rsidR="00FE14EA" w:rsidRPr="008D3C0D">
        <w:rPr>
          <w:rFonts w:ascii="Times New Roman" w:hAnsi="Times New Roman"/>
        </w:rPr>
        <w:t xml:space="preserve">or </w:t>
      </w:r>
      <w:r w:rsidR="00E56DF0" w:rsidRPr="008D3C0D">
        <w:rPr>
          <w:rFonts w:ascii="Times New Roman" w:hAnsi="Times New Roman"/>
        </w:rPr>
        <w:t>character</w:t>
      </w:r>
      <w:r w:rsidR="003B54CD" w:rsidRPr="008D3C0D">
        <w:rPr>
          <w:rFonts w:ascii="Times New Roman" w:hAnsi="Times New Roman"/>
        </w:rPr>
        <w:t>,</w:t>
      </w:r>
      <w:r w:rsidRPr="008D3C0D">
        <w:rPr>
          <w:rFonts w:ascii="Times New Roman" w:hAnsi="Times New Roman"/>
        </w:rPr>
        <w:t xml:space="preserve"> or </w:t>
      </w:r>
      <w:r w:rsidR="00463214" w:rsidRPr="008D3C0D">
        <w:rPr>
          <w:rFonts w:ascii="Times New Roman" w:hAnsi="Times New Roman"/>
        </w:rPr>
        <w:t>by the operation</w:t>
      </w:r>
      <w:r w:rsidRPr="008D3C0D">
        <w:rPr>
          <w:rFonts w:ascii="Times New Roman" w:hAnsi="Times New Roman"/>
        </w:rPr>
        <w:t xml:space="preserve"> of a privilege or immunity.  </w:t>
      </w:r>
    </w:p>
    <w:p w14:paraId="6943A0BB" w14:textId="40C550D4"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C36078" w:rsidRPr="008D3C0D">
        <w:rPr>
          <w:rFonts w:ascii="Times New Roman" w:hAnsi="Times New Roman"/>
        </w:rPr>
        <w:t xml:space="preserve">The complainant was asked two questions which referred to physical assaults. </w:t>
      </w:r>
      <w:r w:rsidR="00447916" w:rsidRPr="008D3C0D">
        <w:rPr>
          <w:rFonts w:ascii="Times New Roman" w:hAnsi="Times New Roman"/>
        </w:rPr>
        <w:t xml:space="preserve">It was not suggested that the </w:t>
      </w:r>
      <w:r w:rsidR="00CA5598" w:rsidRPr="008D3C0D">
        <w:rPr>
          <w:rFonts w:ascii="Times New Roman" w:hAnsi="Times New Roman"/>
        </w:rPr>
        <w:t>complainant's answers were false.</w:t>
      </w:r>
      <w:r w:rsidR="00F454DA" w:rsidRPr="008D3C0D">
        <w:rPr>
          <w:rFonts w:ascii="Times New Roman" w:hAnsi="Times New Roman"/>
        </w:rPr>
        <w:t xml:space="preserve"> The complainant was a</w:t>
      </w:r>
      <w:r w:rsidR="00244997" w:rsidRPr="008D3C0D">
        <w:rPr>
          <w:rFonts w:ascii="Times New Roman" w:hAnsi="Times New Roman"/>
        </w:rPr>
        <w:t xml:space="preserve">lso asked about assaults that involved </w:t>
      </w:r>
      <w:r w:rsidR="006A33EB" w:rsidRPr="008D3C0D">
        <w:rPr>
          <w:rFonts w:ascii="Times New Roman" w:hAnsi="Times New Roman"/>
        </w:rPr>
        <w:t>cable ties</w:t>
      </w:r>
      <w:r w:rsidR="003164C0" w:rsidRPr="008D3C0D">
        <w:rPr>
          <w:rFonts w:ascii="Times New Roman" w:hAnsi="Times New Roman"/>
        </w:rPr>
        <w:t xml:space="preserve"> and </w:t>
      </w:r>
      <w:r w:rsidR="007A3C5C" w:rsidRPr="008D3C0D">
        <w:rPr>
          <w:rFonts w:ascii="Times New Roman" w:hAnsi="Times New Roman"/>
        </w:rPr>
        <w:t>accepted that the Queensland offender had pleaded guilty to physical assaults</w:t>
      </w:r>
      <w:r w:rsidR="00EE450D" w:rsidRPr="008D3C0D">
        <w:rPr>
          <w:rFonts w:ascii="Times New Roman" w:hAnsi="Times New Roman"/>
        </w:rPr>
        <w:t>.</w:t>
      </w:r>
      <w:r w:rsidR="006A33EB" w:rsidRPr="008D3C0D">
        <w:rPr>
          <w:rFonts w:ascii="Times New Roman" w:hAnsi="Times New Roman"/>
        </w:rPr>
        <w:t xml:space="preserve"> </w:t>
      </w:r>
      <w:r w:rsidRPr="008D3C0D">
        <w:rPr>
          <w:rFonts w:ascii="Times New Roman" w:hAnsi="Times New Roman"/>
        </w:rPr>
        <w:t xml:space="preserve">The </w:t>
      </w:r>
      <w:proofErr w:type="gramStart"/>
      <w:r w:rsidRPr="008D3C0D">
        <w:rPr>
          <w:rFonts w:ascii="Times New Roman" w:hAnsi="Times New Roman"/>
        </w:rPr>
        <w:t>particular description</w:t>
      </w:r>
      <w:proofErr w:type="gramEnd"/>
      <w:r w:rsidRPr="008D3C0D">
        <w:rPr>
          <w:rFonts w:ascii="Times New Roman" w:hAnsi="Times New Roman"/>
        </w:rPr>
        <w:t xml:space="preserve"> of the assaults by the Queensland offender as "physical" was not misleading. The description of these assaults as "physical" neither implied that they were sexual assaults nor implied that they were not sexual assaults. Contrary to the submission of the appellant on this appeal, the context of the complainant's claims against the appellant being claims of sexual assault does not invite an inference that a description of the earlier assaults as "physical" excluded the possibility that they were also sexual. </w:t>
      </w:r>
      <w:r w:rsidR="001F5263" w:rsidRPr="008D3C0D">
        <w:rPr>
          <w:rFonts w:ascii="Times New Roman" w:hAnsi="Times New Roman"/>
        </w:rPr>
        <w:t>Even i</w:t>
      </w:r>
      <w:r w:rsidR="00CD3795" w:rsidRPr="008D3C0D">
        <w:rPr>
          <w:rFonts w:ascii="Times New Roman" w:hAnsi="Times New Roman"/>
        </w:rPr>
        <w:t xml:space="preserve">f there </w:t>
      </w:r>
      <w:r w:rsidR="00D90FE3" w:rsidRPr="008D3C0D">
        <w:rPr>
          <w:rFonts w:ascii="Times New Roman" w:hAnsi="Times New Roman"/>
        </w:rPr>
        <w:t xml:space="preserve">were such a possibility, albeit falling short of an implication prohibited by s 293(3), </w:t>
      </w:r>
      <w:r w:rsidR="001F5263" w:rsidRPr="008D3C0D">
        <w:rPr>
          <w:rFonts w:ascii="Times New Roman" w:hAnsi="Times New Roman"/>
        </w:rPr>
        <w:t xml:space="preserve">such a possibility could be </w:t>
      </w:r>
      <w:r w:rsidR="0084360D" w:rsidRPr="008D3C0D">
        <w:rPr>
          <w:rFonts w:ascii="Times New Roman" w:hAnsi="Times New Roman"/>
        </w:rPr>
        <w:t xml:space="preserve">avoided by a </w:t>
      </w:r>
      <w:r w:rsidRPr="008D3C0D">
        <w:rPr>
          <w:rFonts w:ascii="Times New Roman" w:hAnsi="Times New Roman"/>
        </w:rPr>
        <w:t xml:space="preserve">direction </w:t>
      </w:r>
      <w:r w:rsidR="0084360D" w:rsidRPr="008D3C0D">
        <w:rPr>
          <w:rFonts w:ascii="Times New Roman" w:hAnsi="Times New Roman"/>
        </w:rPr>
        <w:t>from</w:t>
      </w:r>
      <w:r w:rsidRPr="008D3C0D">
        <w:rPr>
          <w:rFonts w:ascii="Times New Roman" w:hAnsi="Times New Roman"/>
        </w:rPr>
        <w:t xml:space="preserve"> the trial judge that the jury should not speculate about the content of any of the Queensland </w:t>
      </w:r>
      <w:r w:rsidR="00676205" w:rsidRPr="008D3C0D">
        <w:rPr>
          <w:rFonts w:ascii="Times New Roman" w:hAnsi="Times New Roman"/>
        </w:rPr>
        <w:t>conduct</w:t>
      </w:r>
      <w:r w:rsidRPr="008D3C0D">
        <w:rPr>
          <w:rFonts w:ascii="Times New Roman" w:hAnsi="Times New Roman"/>
        </w:rPr>
        <w:t>.</w:t>
      </w:r>
      <w:r w:rsidRPr="008D3C0D">
        <w:rPr>
          <w:rStyle w:val="FootnoteReference"/>
          <w:rFonts w:ascii="Times New Roman" w:hAnsi="Times New Roman"/>
          <w:sz w:val="24"/>
        </w:rPr>
        <w:footnoteReference w:id="37"/>
      </w:r>
    </w:p>
    <w:p w14:paraId="627A23A9" w14:textId="5A8AD84E"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Whether or not the same decision is made at a retrial of the appellant to allow the appellant to cross-examine the complainant only on the basis that the Queensland </w:t>
      </w:r>
      <w:r w:rsidR="00676205" w:rsidRPr="008D3C0D">
        <w:rPr>
          <w:rFonts w:ascii="Times New Roman" w:hAnsi="Times New Roman"/>
        </w:rPr>
        <w:t>conduct</w:t>
      </w:r>
      <w:r w:rsidRPr="008D3C0D">
        <w:rPr>
          <w:rFonts w:ascii="Times New Roman" w:hAnsi="Times New Roman"/>
        </w:rPr>
        <w:t xml:space="preserve"> involved physical assaults, without mention of any sexual </w:t>
      </w:r>
      <w:r w:rsidRPr="008D3C0D">
        <w:rPr>
          <w:rFonts w:ascii="Times New Roman" w:hAnsi="Times New Roman"/>
        </w:rPr>
        <w:lastRenderedPageBreak/>
        <w:t>aspect to the assaults, might depend upon the conclusion reached by the trial judge concerning the exception in s</w:t>
      </w:r>
      <w:r w:rsidR="00A057D0" w:rsidRPr="008D3C0D">
        <w:rPr>
          <w:rFonts w:ascii="Times New Roman" w:hAnsi="Times New Roman"/>
        </w:rPr>
        <w:t> </w:t>
      </w:r>
      <w:r w:rsidRPr="008D3C0D">
        <w:rPr>
          <w:rFonts w:ascii="Times New Roman" w:hAnsi="Times New Roman"/>
        </w:rPr>
        <w:t xml:space="preserve">293(4)(b). It suffices to say that in the context of the appellant's first trial the decision by the trial judge to allow cross-examination in this way did not mislead the jury and, as in </w:t>
      </w:r>
      <w:proofErr w:type="spellStart"/>
      <w:r w:rsidRPr="008D3C0D">
        <w:rPr>
          <w:rFonts w:ascii="Times New Roman" w:hAnsi="Times New Roman"/>
          <w:i/>
          <w:iCs/>
        </w:rPr>
        <w:t>Jackmain</w:t>
      </w:r>
      <w:proofErr w:type="spellEnd"/>
      <w:r w:rsidRPr="008D3C0D">
        <w:rPr>
          <w:rFonts w:ascii="Times New Roman" w:hAnsi="Times New Roman"/>
          <w:i/>
          <w:iCs/>
        </w:rPr>
        <w:t xml:space="preserve"> (a pseudonym) v The Queen</w:t>
      </w:r>
      <w:r w:rsidRPr="008D3C0D">
        <w:rPr>
          <w:rFonts w:ascii="Times New Roman" w:hAnsi="Times New Roman"/>
        </w:rPr>
        <w:t>,</w:t>
      </w:r>
      <w:r w:rsidRPr="008D3C0D">
        <w:rPr>
          <w:rStyle w:val="FootnoteReference"/>
          <w:rFonts w:ascii="Times New Roman" w:hAnsi="Times New Roman"/>
          <w:sz w:val="24"/>
        </w:rPr>
        <w:footnoteReference w:id="38"/>
      </w:r>
      <w:r w:rsidRPr="008D3C0D">
        <w:rPr>
          <w:rFonts w:ascii="Times New Roman" w:hAnsi="Times New Roman"/>
        </w:rPr>
        <w:t xml:space="preserve"> went "a considerable way" to addressing the prejudice to the appellant that was occasioned by s 293. </w:t>
      </w:r>
    </w:p>
    <w:p w14:paraId="02B702A9" w14:textId="4330AD80" w:rsidR="00121F1E" w:rsidRPr="008D3C0D" w:rsidRDefault="00121F1E" w:rsidP="008D3C0D">
      <w:pPr>
        <w:pStyle w:val="HeadingL1"/>
        <w:spacing w:after="260" w:line="280" w:lineRule="exact"/>
        <w:ind w:right="0"/>
        <w:jc w:val="both"/>
        <w:rPr>
          <w:rFonts w:ascii="Times New Roman" w:hAnsi="Times New Roman"/>
        </w:rPr>
      </w:pPr>
      <w:r w:rsidRPr="008D3C0D">
        <w:rPr>
          <w:rFonts w:ascii="Times New Roman" w:hAnsi="Times New Roman"/>
        </w:rPr>
        <w:t xml:space="preserve">Ground 3: An </w:t>
      </w:r>
      <w:r w:rsidR="0084360D" w:rsidRPr="008D3C0D">
        <w:rPr>
          <w:rFonts w:ascii="Times New Roman" w:hAnsi="Times New Roman"/>
        </w:rPr>
        <w:t xml:space="preserve">otherwise </w:t>
      </w:r>
      <w:r w:rsidRPr="008D3C0D">
        <w:rPr>
          <w:rFonts w:ascii="Times New Roman" w:hAnsi="Times New Roman"/>
        </w:rPr>
        <w:t>unfair trial</w:t>
      </w:r>
      <w:r w:rsidR="0084360D" w:rsidRPr="008D3C0D">
        <w:rPr>
          <w:rFonts w:ascii="Times New Roman" w:hAnsi="Times New Roman"/>
        </w:rPr>
        <w:t>?</w:t>
      </w:r>
    </w:p>
    <w:p w14:paraId="41EDAEF6" w14:textId="77D2805A"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The appellant's final ground of appeal asserted that the Court of Criminal Appeal erred by ordering a new trial</w:t>
      </w:r>
      <w:r w:rsidR="005D1D4E" w:rsidRPr="008D3C0D">
        <w:rPr>
          <w:rFonts w:ascii="Times New Roman" w:hAnsi="Times New Roman"/>
        </w:rPr>
        <w:t xml:space="preserve"> under s</w:t>
      </w:r>
      <w:r w:rsidR="00D63EC9" w:rsidRPr="008D3C0D">
        <w:rPr>
          <w:rFonts w:ascii="Times New Roman" w:hAnsi="Times New Roman"/>
        </w:rPr>
        <w:t> </w:t>
      </w:r>
      <w:r w:rsidR="005D1D4E" w:rsidRPr="008D3C0D">
        <w:rPr>
          <w:rFonts w:ascii="Times New Roman" w:hAnsi="Times New Roman"/>
        </w:rPr>
        <w:t>8</w:t>
      </w:r>
      <w:r w:rsidR="00195D02" w:rsidRPr="008D3C0D">
        <w:rPr>
          <w:rFonts w:ascii="Times New Roman" w:hAnsi="Times New Roman"/>
        </w:rPr>
        <w:t>(1)</w:t>
      </w:r>
      <w:r w:rsidR="005D1D4E" w:rsidRPr="008D3C0D">
        <w:rPr>
          <w:rFonts w:ascii="Times New Roman" w:hAnsi="Times New Roman"/>
        </w:rPr>
        <w:t xml:space="preserve"> of the </w:t>
      </w:r>
      <w:r w:rsidR="005D1D4E" w:rsidRPr="008D3C0D">
        <w:rPr>
          <w:rFonts w:ascii="Times New Roman" w:hAnsi="Times New Roman"/>
          <w:i/>
          <w:iCs/>
        </w:rPr>
        <w:t xml:space="preserve">Criminal Appeal Act 1912 </w:t>
      </w:r>
      <w:r w:rsidR="005D1D4E" w:rsidRPr="008D3C0D">
        <w:rPr>
          <w:rFonts w:ascii="Times New Roman" w:hAnsi="Times New Roman"/>
        </w:rPr>
        <w:t>(NSW)</w:t>
      </w:r>
      <w:r w:rsidRPr="008D3C0D">
        <w:rPr>
          <w:rFonts w:ascii="Times New Roman" w:hAnsi="Times New Roman"/>
        </w:rPr>
        <w:t>. Since s</w:t>
      </w:r>
      <w:r w:rsidR="00A84E70" w:rsidRPr="008D3C0D">
        <w:rPr>
          <w:rFonts w:ascii="Times New Roman" w:hAnsi="Times New Roman"/>
        </w:rPr>
        <w:t> </w:t>
      </w:r>
      <w:r w:rsidRPr="008D3C0D">
        <w:rPr>
          <w:rFonts w:ascii="Times New Roman" w:hAnsi="Times New Roman"/>
        </w:rPr>
        <w:t>8</w:t>
      </w:r>
      <w:r w:rsidR="00A4126E" w:rsidRPr="008D3C0D">
        <w:rPr>
          <w:rFonts w:ascii="Times New Roman" w:hAnsi="Times New Roman"/>
        </w:rPr>
        <w:t>(1)</w:t>
      </w:r>
      <w:r w:rsidRPr="008D3C0D">
        <w:rPr>
          <w:rFonts w:ascii="Times New Roman" w:hAnsi="Times New Roman"/>
        </w:rPr>
        <w:t xml:space="preserve"> of the </w:t>
      </w:r>
      <w:r w:rsidRPr="008D3C0D">
        <w:rPr>
          <w:rFonts w:ascii="Times New Roman" w:hAnsi="Times New Roman"/>
          <w:i/>
          <w:iCs/>
        </w:rPr>
        <w:t>Criminal Appeal Act</w:t>
      </w:r>
      <w:r w:rsidRPr="008D3C0D">
        <w:rPr>
          <w:rFonts w:ascii="Times New Roman" w:hAnsi="Times New Roman"/>
        </w:rPr>
        <w:t xml:space="preserve"> does not permit a conviction to be quashed without further order,</w:t>
      </w:r>
      <w:r w:rsidRPr="008D3C0D">
        <w:rPr>
          <w:rStyle w:val="FootnoteReference"/>
          <w:rFonts w:ascii="Times New Roman" w:hAnsi="Times New Roman"/>
          <w:sz w:val="24"/>
        </w:rPr>
        <w:footnoteReference w:id="39"/>
      </w:r>
      <w:r w:rsidRPr="008D3C0D">
        <w:rPr>
          <w:rFonts w:ascii="Times New Roman" w:hAnsi="Times New Roman"/>
        </w:rPr>
        <w:t xml:space="preserve"> the appellant submitted that the Court of Criminal Appeal should have ordered an acquittal of the appellant to avoid an order for a new trial that would be unfair</w:t>
      </w:r>
      <w:r w:rsidR="00993E53" w:rsidRPr="008D3C0D">
        <w:rPr>
          <w:rFonts w:ascii="Times New Roman" w:hAnsi="Times New Roman"/>
        </w:rPr>
        <w:t>.</w:t>
      </w:r>
      <w:r w:rsidR="00441DF8" w:rsidRPr="008D3C0D">
        <w:rPr>
          <w:rStyle w:val="FootnoteReference"/>
          <w:rFonts w:ascii="Times New Roman" w:hAnsi="Times New Roman"/>
          <w:sz w:val="24"/>
        </w:rPr>
        <w:footnoteReference w:id="40"/>
      </w:r>
      <w:r w:rsidR="00834B0E" w:rsidRPr="008D3C0D">
        <w:rPr>
          <w:rFonts w:ascii="Times New Roman" w:hAnsi="Times New Roman"/>
        </w:rPr>
        <w:t xml:space="preserve"> </w:t>
      </w:r>
      <w:r w:rsidRPr="008D3C0D">
        <w:rPr>
          <w:rFonts w:ascii="Times New Roman" w:hAnsi="Times New Roman"/>
        </w:rPr>
        <w:t>It was submitted that since an inevitable "unacceptable prejudice to a fair trial" by the application of s</w:t>
      </w:r>
      <w:r w:rsidR="00EF67F6" w:rsidRPr="008D3C0D">
        <w:rPr>
          <w:rFonts w:ascii="Times New Roman" w:hAnsi="Times New Roman"/>
        </w:rPr>
        <w:t> </w:t>
      </w:r>
      <w:r w:rsidRPr="008D3C0D">
        <w:rPr>
          <w:rFonts w:ascii="Times New Roman" w:hAnsi="Times New Roman"/>
        </w:rPr>
        <w:t>293</w:t>
      </w:r>
      <w:r w:rsidR="009E56F4" w:rsidRPr="008D3C0D">
        <w:rPr>
          <w:rFonts w:ascii="Times New Roman" w:hAnsi="Times New Roman"/>
        </w:rPr>
        <w:t>(3)</w:t>
      </w:r>
      <w:r w:rsidRPr="008D3C0D">
        <w:rPr>
          <w:rFonts w:ascii="Times New Roman" w:hAnsi="Times New Roman"/>
        </w:rPr>
        <w:t xml:space="preserve"> would lead an appellate court to set aside the verdict,</w:t>
      </w:r>
      <w:r w:rsidRPr="008D3C0D">
        <w:rPr>
          <w:rStyle w:val="FootnoteReference"/>
          <w:rFonts w:ascii="Times New Roman" w:hAnsi="Times New Roman"/>
          <w:sz w:val="24"/>
        </w:rPr>
        <w:footnoteReference w:id="41"/>
      </w:r>
      <w:r w:rsidRPr="008D3C0D">
        <w:rPr>
          <w:rFonts w:ascii="Times New Roman" w:hAnsi="Times New Roman"/>
        </w:rPr>
        <w:t xml:space="preserve"> a new trial should not be ordered and an acquittal should be entered.</w:t>
      </w:r>
    </w:p>
    <w:p w14:paraId="5F879C48" w14:textId="419D6AA2" w:rsidR="006B7948"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This ground of appeal relied heavily upon success by the appellant on ground 2, with the appellant submitting that if "an adequate way of dealing with [</w:t>
      </w:r>
      <w:r w:rsidR="00B47B8B" w:rsidRPr="008D3C0D">
        <w:rPr>
          <w:rFonts w:ascii="Times New Roman" w:hAnsi="Times New Roman"/>
        </w:rPr>
        <w:t xml:space="preserve">the issue of </w:t>
      </w:r>
      <w:r w:rsidRPr="008D3C0D">
        <w:rPr>
          <w:rFonts w:ascii="Times New Roman" w:hAnsi="Times New Roman"/>
        </w:rPr>
        <w:t xml:space="preserve">admissibility] is not identified in describing [the Queensland </w:t>
      </w:r>
      <w:r w:rsidR="008B5FBE" w:rsidRPr="008D3C0D">
        <w:rPr>
          <w:rFonts w:ascii="Times New Roman" w:hAnsi="Times New Roman"/>
        </w:rPr>
        <w:t>conduct</w:t>
      </w:r>
      <w:r w:rsidRPr="008D3C0D">
        <w:rPr>
          <w:rFonts w:ascii="Times New Roman" w:hAnsi="Times New Roman"/>
        </w:rPr>
        <w:t>] as 'assaults'—the appropriate order is not for a retrial but for acquittal". Since ground 2 should be rejected, this submission cannot succeed. Nevertheless, at one point in the appellant's written submissions the appellant submitted that even if ground 2 were rejected there would still be manifest unfairness at any retrial which would require this Court to direct that an acquittal be entered.</w:t>
      </w:r>
      <w:r w:rsidR="001B16C6" w:rsidRPr="008D3C0D">
        <w:rPr>
          <w:rFonts w:ascii="Times New Roman" w:hAnsi="Times New Roman"/>
        </w:rPr>
        <w:t xml:space="preserve"> </w:t>
      </w:r>
      <w:r w:rsidR="00C3107E" w:rsidRPr="008D3C0D">
        <w:rPr>
          <w:rFonts w:ascii="Times New Roman" w:hAnsi="Times New Roman"/>
        </w:rPr>
        <w:t xml:space="preserve">The appellant is correct </w:t>
      </w:r>
      <w:r w:rsidR="00A4200C" w:rsidRPr="008D3C0D">
        <w:rPr>
          <w:rFonts w:ascii="Times New Roman" w:hAnsi="Times New Roman"/>
        </w:rPr>
        <w:t xml:space="preserve">in his basic premise that the power to decide whether to acquit </w:t>
      </w:r>
      <w:r w:rsidR="002829CB" w:rsidRPr="008D3C0D">
        <w:rPr>
          <w:rFonts w:ascii="Times New Roman" w:hAnsi="Times New Roman"/>
        </w:rPr>
        <w:t>under s</w:t>
      </w:r>
      <w:r w:rsidR="006F4EB2" w:rsidRPr="008D3C0D">
        <w:rPr>
          <w:rFonts w:ascii="Times New Roman" w:hAnsi="Times New Roman"/>
        </w:rPr>
        <w:t> </w:t>
      </w:r>
      <w:r w:rsidR="002829CB" w:rsidRPr="008D3C0D">
        <w:rPr>
          <w:rFonts w:ascii="Times New Roman" w:hAnsi="Times New Roman"/>
        </w:rPr>
        <w:t xml:space="preserve">6(2) of the </w:t>
      </w:r>
      <w:r w:rsidR="002829CB" w:rsidRPr="008D3C0D">
        <w:rPr>
          <w:rFonts w:ascii="Times New Roman" w:hAnsi="Times New Roman"/>
          <w:i/>
          <w:iCs/>
        </w:rPr>
        <w:t xml:space="preserve">Criminal Appeal Act </w:t>
      </w:r>
      <w:r w:rsidR="00A4200C" w:rsidRPr="008D3C0D">
        <w:rPr>
          <w:rFonts w:ascii="Times New Roman" w:hAnsi="Times New Roman"/>
        </w:rPr>
        <w:t>or to order a new trial</w:t>
      </w:r>
      <w:r w:rsidR="002829CB" w:rsidRPr="008D3C0D">
        <w:rPr>
          <w:rFonts w:ascii="Times New Roman" w:hAnsi="Times New Roman"/>
        </w:rPr>
        <w:t xml:space="preserve"> under s</w:t>
      </w:r>
      <w:r w:rsidR="006F4EB2" w:rsidRPr="008D3C0D">
        <w:rPr>
          <w:rFonts w:ascii="Times New Roman" w:hAnsi="Times New Roman"/>
        </w:rPr>
        <w:t> </w:t>
      </w:r>
      <w:r w:rsidR="002829CB" w:rsidRPr="008D3C0D">
        <w:rPr>
          <w:rFonts w:ascii="Times New Roman" w:hAnsi="Times New Roman"/>
        </w:rPr>
        <w:t xml:space="preserve">8(1) </w:t>
      </w:r>
      <w:r w:rsidR="00DE23FF" w:rsidRPr="008D3C0D">
        <w:rPr>
          <w:rFonts w:ascii="Times New Roman" w:hAnsi="Times New Roman"/>
        </w:rPr>
        <w:t xml:space="preserve">can look forward to </w:t>
      </w:r>
      <w:r w:rsidR="000D37F2" w:rsidRPr="008D3C0D">
        <w:rPr>
          <w:rFonts w:ascii="Times New Roman" w:hAnsi="Times New Roman"/>
        </w:rPr>
        <w:t xml:space="preserve">events following conviction </w:t>
      </w:r>
      <w:r w:rsidR="000D37F2" w:rsidRPr="008D3C0D" w:rsidDel="00DF7A77">
        <w:rPr>
          <w:rFonts w:ascii="Times New Roman" w:hAnsi="Times New Roman"/>
        </w:rPr>
        <w:t xml:space="preserve">and </w:t>
      </w:r>
      <w:r w:rsidR="00DE23FF" w:rsidRPr="008D3C0D">
        <w:rPr>
          <w:rFonts w:ascii="Times New Roman" w:hAnsi="Times New Roman"/>
        </w:rPr>
        <w:t>the circumstances of a new trial as well as look</w:t>
      </w:r>
      <w:r w:rsidR="00DE23FF" w:rsidRPr="008D3C0D" w:rsidDel="00DF7A77">
        <w:rPr>
          <w:rFonts w:ascii="Times New Roman" w:hAnsi="Times New Roman"/>
        </w:rPr>
        <w:t>ing</w:t>
      </w:r>
      <w:r w:rsidR="00DE23FF" w:rsidRPr="008D3C0D">
        <w:rPr>
          <w:rFonts w:ascii="Times New Roman" w:hAnsi="Times New Roman"/>
        </w:rPr>
        <w:t xml:space="preserve"> backwards to any</w:t>
      </w:r>
      <w:r w:rsidR="00A376B9" w:rsidRPr="008D3C0D">
        <w:rPr>
          <w:rFonts w:ascii="Times New Roman" w:hAnsi="Times New Roman"/>
        </w:rPr>
        <w:t xml:space="preserve"> error of law or</w:t>
      </w:r>
      <w:r w:rsidR="00DE23FF" w:rsidRPr="008D3C0D">
        <w:rPr>
          <w:rFonts w:ascii="Times New Roman" w:hAnsi="Times New Roman"/>
        </w:rPr>
        <w:t xml:space="preserve"> miscarriage of justice</w:t>
      </w:r>
      <w:r w:rsidR="00622ED0" w:rsidRPr="008D3C0D">
        <w:rPr>
          <w:rFonts w:ascii="Times New Roman" w:hAnsi="Times New Roman"/>
        </w:rPr>
        <w:t xml:space="preserve"> that occurred at the previous </w:t>
      </w:r>
      <w:r w:rsidR="00622ED0" w:rsidRPr="008D3C0D">
        <w:rPr>
          <w:rFonts w:ascii="Times New Roman" w:hAnsi="Times New Roman"/>
        </w:rPr>
        <w:lastRenderedPageBreak/>
        <w:t>trial</w:t>
      </w:r>
      <w:r w:rsidR="00DE23FF" w:rsidRPr="008D3C0D">
        <w:rPr>
          <w:rFonts w:ascii="Times New Roman" w:hAnsi="Times New Roman"/>
        </w:rPr>
        <w:t>.</w:t>
      </w:r>
      <w:r w:rsidR="00F447C2" w:rsidRPr="008D3C0D">
        <w:rPr>
          <w:rStyle w:val="FootnoteReference"/>
          <w:rFonts w:ascii="Times New Roman" w:hAnsi="Times New Roman"/>
          <w:sz w:val="24"/>
        </w:rPr>
        <w:footnoteReference w:id="42"/>
      </w:r>
      <w:r w:rsidR="00DE23FF" w:rsidRPr="008D3C0D">
        <w:rPr>
          <w:rFonts w:ascii="Times New Roman" w:hAnsi="Times New Roman"/>
        </w:rPr>
        <w:t xml:space="preserve"> </w:t>
      </w:r>
      <w:r w:rsidR="003F77EA" w:rsidRPr="008D3C0D">
        <w:rPr>
          <w:rFonts w:ascii="Times New Roman" w:hAnsi="Times New Roman"/>
        </w:rPr>
        <w:t xml:space="preserve">The </w:t>
      </w:r>
      <w:r w:rsidR="00B359A6" w:rsidRPr="008D3C0D">
        <w:rPr>
          <w:rFonts w:ascii="Times New Roman" w:hAnsi="Times New Roman"/>
        </w:rPr>
        <w:t xml:space="preserve">circumstances to which regard may be had </w:t>
      </w:r>
      <w:r w:rsidR="00E66981" w:rsidRPr="008D3C0D">
        <w:rPr>
          <w:rFonts w:ascii="Times New Roman" w:hAnsi="Times New Roman"/>
        </w:rPr>
        <w:t xml:space="preserve">do not comprise </w:t>
      </w:r>
      <w:r w:rsidR="00252A3D" w:rsidRPr="008D3C0D">
        <w:rPr>
          <w:rFonts w:ascii="Times New Roman" w:hAnsi="Times New Roman"/>
        </w:rPr>
        <w:t xml:space="preserve">a </w:t>
      </w:r>
      <w:r w:rsidR="000E2DC7" w:rsidRPr="008D3C0D">
        <w:rPr>
          <w:rFonts w:ascii="Times New Roman" w:hAnsi="Times New Roman"/>
        </w:rPr>
        <w:t>closed</w:t>
      </w:r>
      <w:r w:rsidR="00252A3D" w:rsidRPr="008D3C0D">
        <w:rPr>
          <w:rFonts w:ascii="Times New Roman" w:hAnsi="Times New Roman"/>
        </w:rPr>
        <w:t xml:space="preserve"> list</w:t>
      </w:r>
      <w:r w:rsidR="000E2DC7" w:rsidRPr="008D3C0D">
        <w:rPr>
          <w:rFonts w:ascii="Times New Roman" w:hAnsi="Times New Roman"/>
        </w:rPr>
        <w:t xml:space="preserve">. </w:t>
      </w:r>
      <w:r w:rsidR="00BA2E40" w:rsidRPr="008D3C0D">
        <w:rPr>
          <w:rFonts w:ascii="Times New Roman" w:hAnsi="Times New Roman"/>
        </w:rPr>
        <w:t xml:space="preserve">Nor is an assessment of </w:t>
      </w:r>
      <w:r w:rsidR="00227C61" w:rsidRPr="008D3C0D">
        <w:rPr>
          <w:rFonts w:ascii="Times New Roman" w:hAnsi="Times New Roman"/>
        </w:rPr>
        <w:t xml:space="preserve">all </w:t>
      </w:r>
      <w:r w:rsidR="00BA2E40" w:rsidRPr="008D3C0D">
        <w:rPr>
          <w:rFonts w:ascii="Times New Roman" w:hAnsi="Times New Roman"/>
        </w:rPr>
        <w:t xml:space="preserve">those circumstances </w:t>
      </w:r>
      <w:r w:rsidR="00227C61" w:rsidRPr="008D3C0D">
        <w:rPr>
          <w:rFonts w:ascii="Times New Roman" w:hAnsi="Times New Roman"/>
        </w:rPr>
        <w:t xml:space="preserve">as relevant to the case </w:t>
      </w:r>
      <w:r w:rsidR="00BA2E40" w:rsidRPr="008D3C0D">
        <w:rPr>
          <w:rFonts w:ascii="Times New Roman" w:hAnsi="Times New Roman"/>
        </w:rPr>
        <w:t xml:space="preserve">to be </w:t>
      </w:r>
      <w:r w:rsidR="00EC1215" w:rsidRPr="008D3C0D">
        <w:rPr>
          <w:rFonts w:ascii="Times New Roman" w:hAnsi="Times New Roman"/>
        </w:rPr>
        <w:t xml:space="preserve">controlled by </w:t>
      </w:r>
      <w:r w:rsidR="0068607A" w:rsidRPr="008D3C0D">
        <w:rPr>
          <w:rFonts w:ascii="Times New Roman" w:hAnsi="Times New Roman"/>
        </w:rPr>
        <w:t xml:space="preserve">a </w:t>
      </w:r>
      <w:r w:rsidR="00EC1215" w:rsidRPr="008D3C0D">
        <w:rPr>
          <w:rFonts w:ascii="Times New Roman" w:hAnsi="Times New Roman"/>
        </w:rPr>
        <w:t xml:space="preserve">comparison with the test for ordering a permanent stay of proceedings. </w:t>
      </w:r>
      <w:r w:rsidR="003F77EA" w:rsidRPr="008D3C0D">
        <w:rPr>
          <w:rFonts w:ascii="Times New Roman" w:hAnsi="Times New Roman"/>
        </w:rPr>
        <w:t xml:space="preserve">But the circumstances of any new trial </w:t>
      </w:r>
      <w:r w:rsidR="00760BA9" w:rsidRPr="008D3C0D">
        <w:rPr>
          <w:rFonts w:ascii="Times New Roman" w:hAnsi="Times New Roman"/>
        </w:rPr>
        <w:t xml:space="preserve">in this case </w:t>
      </w:r>
      <w:r w:rsidR="003F77EA" w:rsidRPr="008D3C0D">
        <w:rPr>
          <w:rFonts w:ascii="Times New Roman" w:hAnsi="Times New Roman"/>
        </w:rPr>
        <w:t>fall far short</w:t>
      </w:r>
      <w:r w:rsidR="00760BA9" w:rsidRPr="008D3C0D">
        <w:rPr>
          <w:rFonts w:ascii="Times New Roman" w:hAnsi="Times New Roman"/>
        </w:rPr>
        <w:t xml:space="preserve"> of justifying an entry of an acquittal by this Court. </w:t>
      </w:r>
      <w:r w:rsidRPr="008D3C0D">
        <w:rPr>
          <w:rFonts w:ascii="Times New Roman" w:hAnsi="Times New Roman"/>
        </w:rPr>
        <w:t xml:space="preserve"> </w:t>
      </w:r>
    </w:p>
    <w:p w14:paraId="565DFB98" w14:textId="18BD0BAA" w:rsidR="00121F1E" w:rsidRPr="008D3C0D" w:rsidRDefault="00814321"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EC56ED" w:rsidRPr="008D3C0D">
        <w:rPr>
          <w:rFonts w:ascii="Times New Roman" w:hAnsi="Times New Roman"/>
        </w:rPr>
        <w:t xml:space="preserve">The appellant relied upon an assertion that the forensic disadvantage from exclusion of </w:t>
      </w:r>
      <w:r w:rsidR="00354EF6" w:rsidRPr="008D3C0D">
        <w:rPr>
          <w:rFonts w:ascii="Times New Roman" w:hAnsi="Times New Roman"/>
        </w:rPr>
        <w:t xml:space="preserve">the Queensland </w:t>
      </w:r>
      <w:r w:rsidR="00F84730" w:rsidRPr="008D3C0D">
        <w:rPr>
          <w:rFonts w:ascii="Times New Roman" w:hAnsi="Times New Roman"/>
        </w:rPr>
        <w:t>evidence by s</w:t>
      </w:r>
      <w:r w:rsidR="00354EF6" w:rsidRPr="008D3C0D">
        <w:rPr>
          <w:rFonts w:ascii="Times New Roman" w:hAnsi="Times New Roman"/>
        </w:rPr>
        <w:t> </w:t>
      </w:r>
      <w:r w:rsidR="00F84730" w:rsidRPr="008D3C0D">
        <w:rPr>
          <w:rFonts w:ascii="Times New Roman" w:hAnsi="Times New Roman"/>
        </w:rPr>
        <w:t xml:space="preserve">293(3) at any retrial was such that he could not receive a fair trial. </w:t>
      </w:r>
      <w:r w:rsidR="00AF7CD3" w:rsidRPr="008D3C0D">
        <w:rPr>
          <w:rFonts w:ascii="Times New Roman" w:hAnsi="Times New Roman"/>
        </w:rPr>
        <w:t>That submission should not be accepted. The forensic disadvantage to the appellant does not reach such a level e</w:t>
      </w:r>
      <w:r w:rsidR="00B86A8B" w:rsidRPr="008D3C0D">
        <w:rPr>
          <w:rFonts w:ascii="Times New Roman" w:hAnsi="Times New Roman"/>
        </w:rPr>
        <w:t>ven i</w:t>
      </w:r>
      <w:r w:rsidR="00876553" w:rsidRPr="008D3C0D">
        <w:rPr>
          <w:rFonts w:ascii="Times New Roman" w:hAnsi="Times New Roman"/>
        </w:rPr>
        <w:t>f the appellant's submission were to be t</w:t>
      </w:r>
      <w:r w:rsidR="00B86A8B" w:rsidRPr="008D3C0D">
        <w:rPr>
          <w:rFonts w:ascii="Times New Roman" w:hAnsi="Times New Roman"/>
        </w:rPr>
        <w:t xml:space="preserve">aken at its highest, and it were to be assumed that </w:t>
      </w:r>
      <w:r w:rsidR="008912D5" w:rsidRPr="008D3C0D">
        <w:rPr>
          <w:rFonts w:ascii="Times New Roman" w:hAnsi="Times New Roman"/>
        </w:rPr>
        <w:t xml:space="preserve">at a retrial </w:t>
      </w:r>
      <w:r w:rsidR="00121F1E" w:rsidRPr="008D3C0D">
        <w:rPr>
          <w:rFonts w:ascii="Times New Roman" w:hAnsi="Times New Roman"/>
        </w:rPr>
        <w:t>s</w:t>
      </w:r>
      <w:r w:rsidR="00215FB7" w:rsidRPr="008D3C0D">
        <w:rPr>
          <w:rFonts w:ascii="Times New Roman" w:hAnsi="Times New Roman"/>
        </w:rPr>
        <w:t> </w:t>
      </w:r>
      <w:r w:rsidR="00121F1E" w:rsidRPr="008D3C0D">
        <w:rPr>
          <w:rFonts w:ascii="Times New Roman" w:hAnsi="Times New Roman"/>
        </w:rPr>
        <w:t xml:space="preserve">293(3) </w:t>
      </w:r>
      <w:r w:rsidR="00976E7F" w:rsidRPr="008D3C0D">
        <w:rPr>
          <w:rFonts w:ascii="Times New Roman" w:hAnsi="Times New Roman"/>
        </w:rPr>
        <w:t>would</w:t>
      </w:r>
      <w:r w:rsidR="008912D5" w:rsidRPr="008D3C0D">
        <w:rPr>
          <w:rFonts w:ascii="Times New Roman" w:hAnsi="Times New Roman"/>
        </w:rPr>
        <w:t xml:space="preserve"> </w:t>
      </w:r>
      <w:r w:rsidR="00121F1E" w:rsidRPr="008D3C0D">
        <w:rPr>
          <w:rFonts w:ascii="Times New Roman" w:hAnsi="Times New Roman"/>
        </w:rPr>
        <w:t xml:space="preserve">operate to exclude </w:t>
      </w:r>
      <w:proofErr w:type="gramStart"/>
      <w:r w:rsidR="00121F1E" w:rsidRPr="008D3C0D">
        <w:rPr>
          <w:rFonts w:ascii="Times New Roman" w:hAnsi="Times New Roman"/>
        </w:rPr>
        <w:t>all of</w:t>
      </w:r>
      <w:proofErr w:type="gramEnd"/>
      <w:r w:rsidR="00121F1E" w:rsidRPr="008D3C0D">
        <w:rPr>
          <w:rFonts w:ascii="Times New Roman" w:hAnsi="Times New Roman"/>
        </w:rPr>
        <w:t xml:space="preserve"> the </w:t>
      </w:r>
      <w:r w:rsidR="00405E82" w:rsidRPr="008D3C0D">
        <w:rPr>
          <w:rFonts w:ascii="Times New Roman" w:hAnsi="Times New Roman"/>
        </w:rPr>
        <w:t xml:space="preserve">Queensland </w:t>
      </w:r>
      <w:r w:rsidR="00121F1E" w:rsidRPr="008D3C0D">
        <w:rPr>
          <w:rFonts w:ascii="Times New Roman" w:hAnsi="Times New Roman"/>
        </w:rPr>
        <w:t xml:space="preserve">evidence other than to the extent that the appellant could refer to the Queensland </w:t>
      </w:r>
      <w:r w:rsidR="00A67CF9" w:rsidRPr="008D3C0D">
        <w:rPr>
          <w:rFonts w:ascii="Times New Roman" w:hAnsi="Times New Roman"/>
        </w:rPr>
        <w:t xml:space="preserve">conduct </w:t>
      </w:r>
      <w:r w:rsidR="00121F1E" w:rsidRPr="008D3C0D">
        <w:rPr>
          <w:rFonts w:ascii="Times New Roman" w:hAnsi="Times New Roman"/>
        </w:rPr>
        <w:t xml:space="preserve">as "physical assaults". </w:t>
      </w:r>
    </w:p>
    <w:p w14:paraId="6E89DA18" w14:textId="755B6D73"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552F8B" w:rsidRPr="008D3C0D">
        <w:rPr>
          <w:rFonts w:ascii="Times New Roman" w:hAnsi="Times New Roman"/>
        </w:rPr>
        <w:t xml:space="preserve">The extent of </w:t>
      </w:r>
      <w:r w:rsidRPr="008D3C0D">
        <w:rPr>
          <w:rFonts w:ascii="Times New Roman" w:hAnsi="Times New Roman"/>
        </w:rPr>
        <w:t>forensic disadvantage to the appellant</w:t>
      </w:r>
      <w:r w:rsidR="00552F8B" w:rsidRPr="008D3C0D">
        <w:rPr>
          <w:rFonts w:ascii="Times New Roman" w:hAnsi="Times New Roman"/>
        </w:rPr>
        <w:t>, and whether that could be so great as to render a potential trial so unfair that no retrial could be ordered,</w:t>
      </w:r>
      <w:r w:rsidRPr="008D3C0D">
        <w:rPr>
          <w:rFonts w:ascii="Times New Roman" w:hAnsi="Times New Roman"/>
        </w:rPr>
        <w:t xml:space="preserve"> must be assessed by reference to the </w:t>
      </w:r>
      <w:proofErr w:type="gramStart"/>
      <w:r w:rsidRPr="008D3C0D">
        <w:rPr>
          <w:rFonts w:ascii="Times New Roman" w:hAnsi="Times New Roman"/>
        </w:rPr>
        <w:t>key ways</w:t>
      </w:r>
      <w:proofErr w:type="gramEnd"/>
      <w:r w:rsidRPr="008D3C0D">
        <w:rPr>
          <w:rFonts w:ascii="Times New Roman" w:hAnsi="Times New Roman"/>
        </w:rPr>
        <w:t>, described above,</w:t>
      </w:r>
      <w:r w:rsidRPr="008D3C0D">
        <w:rPr>
          <w:rStyle w:val="FootnoteReference"/>
          <w:rFonts w:ascii="Times New Roman" w:hAnsi="Times New Roman"/>
          <w:sz w:val="24"/>
        </w:rPr>
        <w:footnoteReference w:id="43"/>
      </w:r>
      <w:r w:rsidRPr="008D3C0D">
        <w:rPr>
          <w:rFonts w:ascii="Times New Roman" w:hAnsi="Times New Roman"/>
        </w:rPr>
        <w:t xml:space="preserve"> in which the </w:t>
      </w:r>
      <w:r w:rsidR="00E27D85" w:rsidRPr="008D3C0D">
        <w:rPr>
          <w:rFonts w:ascii="Times New Roman" w:hAnsi="Times New Roman"/>
        </w:rPr>
        <w:t xml:space="preserve">Queensland </w:t>
      </w:r>
      <w:r w:rsidRPr="008D3C0D">
        <w:rPr>
          <w:rFonts w:ascii="Times New Roman" w:hAnsi="Times New Roman"/>
        </w:rPr>
        <w:t xml:space="preserve">evidence was said to be relevant. When each of those matters of relevance is considered, </w:t>
      </w:r>
      <w:proofErr w:type="gramStart"/>
      <w:r w:rsidRPr="008D3C0D">
        <w:rPr>
          <w:rFonts w:ascii="Times New Roman" w:hAnsi="Times New Roman"/>
        </w:rPr>
        <w:t>it can be seen that the</w:t>
      </w:r>
      <w:proofErr w:type="gramEnd"/>
      <w:r w:rsidRPr="008D3C0D">
        <w:rPr>
          <w:rFonts w:ascii="Times New Roman" w:hAnsi="Times New Roman"/>
        </w:rPr>
        <w:t xml:space="preserve"> expedient of permitting the appellant to cross-examine the complainant by describing the Queensland </w:t>
      </w:r>
      <w:r w:rsidR="00A67CF9" w:rsidRPr="008D3C0D">
        <w:rPr>
          <w:rFonts w:ascii="Times New Roman" w:hAnsi="Times New Roman"/>
        </w:rPr>
        <w:t xml:space="preserve">conduct </w:t>
      </w:r>
      <w:r w:rsidRPr="008D3C0D">
        <w:rPr>
          <w:rFonts w:ascii="Times New Roman" w:hAnsi="Times New Roman"/>
        </w:rPr>
        <w:t>as "physical</w:t>
      </w:r>
      <w:r w:rsidR="0079018C" w:rsidRPr="008D3C0D">
        <w:rPr>
          <w:rFonts w:ascii="Times New Roman" w:hAnsi="Times New Roman"/>
        </w:rPr>
        <w:t xml:space="preserve"> assaults</w:t>
      </w:r>
      <w:r w:rsidRPr="008D3C0D">
        <w:rPr>
          <w:rFonts w:ascii="Times New Roman" w:hAnsi="Times New Roman"/>
        </w:rPr>
        <w:t xml:space="preserve">" removed </w:t>
      </w:r>
      <w:r w:rsidR="00C56FE7" w:rsidRPr="008D3C0D">
        <w:rPr>
          <w:rFonts w:ascii="Times New Roman" w:hAnsi="Times New Roman"/>
        </w:rPr>
        <w:t xml:space="preserve">much </w:t>
      </w:r>
      <w:r w:rsidRPr="008D3C0D">
        <w:rPr>
          <w:rFonts w:ascii="Times New Roman" w:hAnsi="Times New Roman"/>
        </w:rPr>
        <w:t xml:space="preserve">of the forensic disadvantage suffered </w:t>
      </w:r>
      <w:r w:rsidR="00342B5C" w:rsidRPr="008D3C0D">
        <w:rPr>
          <w:rFonts w:ascii="Times New Roman" w:hAnsi="Times New Roman"/>
        </w:rPr>
        <w:t>as a result of</w:t>
      </w:r>
      <w:r w:rsidRPr="008D3C0D">
        <w:rPr>
          <w:rFonts w:ascii="Times New Roman" w:hAnsi="Times New Roman"/>
        </w:rPr>
        <w:t xml:space="preserve"> s</w:t>
      </w:r>
      <w:r w:rsidR="00C065EB" w:rsidRPr="008D3C0D">
        <w:rPr>
          <w:rFonts w:ascii="Times New Roman" w:hAnsi="Times New Roman"/>
        </w:rPr>
        <w:t> </w:t>
      </w:r>
      <w:r w:rsidRPr="008D3C0D">
        <w:rPr>
          <w:rFonts w:ascii="Times New Roman" w:hAnsi="Times New Roman"/>
        </w:rPr>
        <w:t xml:space="preserve">293 being treated at trial as preventing any reference to the Queensland </w:t>
      </w:r>
      <w:r w:rsidR="00982D0F" w:rsidRPr="008D3C0D">
        <w:rPr>
          <w:rFonts w:ascii="Times New Roman" w:hAnsi="Times New Roman"/>
        </w:rPr>
        <w:t xml:space="preserve">conduct </w:t>
      </w:r>
      <w:r w:rsidRPr="008D3C0D">
        <w:rPr>
          <w:rFonts w:ascii="Times New Roman" w:hAnsi="Times New Roman"/>
        </w:rPr>
        <w:t xml:space="preserve">as sexual. </w:t>
      </w:r>
    </w:p>
    <w:p w14:paraId="3980CFCB" w14:textId="435A96BE"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r>
      <w:r w:rsidR="00D14C4F" w:rsidRPr="008D3C0D">
        <w:rPr>
          <w:rFonts w:ascii="Times New Roman" w:hAnsi="Times New Roman"/>
        </w:rPr>
        <w:t>First</w:t>
      </w:r>
      <w:r w:rsidRPr="008D3C0D">
        <w:rPr>
          <w:rFonts w:ascii="Times New Roman" w:hAnsi="Times New Roman"/>
        </w:rPr>
        <w:t xml:space="preserve">, as to the "inherent improbability" submission based upon </w:t>
      </w:r>
      <w:r w:rsidR="00FF3F78" w:rsidRPr="008D3C0D">
        <w:rPr>
          <w:rFonts w:ascii="Times New Roman" w:hAnsi="Times New Roman"/>
        </w:rPr>
        <w:t xml:space="preserve">the </w:t>
      </w:r>
      <w:r w:rsidRPr="008D3C0D">
        <w:rPr>
          <w:rFonts w:ascii="Times New Roman" w:hAnsi="Times New Roman"/>
        </w:rPr>
        <w:t>"brazenness" of the alleged offending, the complainant was cross-examined on the fact that some of the alleged assaults by the appellant had occurred during the Queensland proceedings. In closing submissions to the jury, counsel for the appellant said that there was "[n]</w:t>
      </w:r>
      <w:proofErr w:type="spellStart"/>
      <w:r w:rsidRPr="008D3C0D">
        <w:rPr>
          <w:rFonts w:ascii="Times New Roman" w:hAnsi="Times New Roman"/>
        </w:rPr>
        <w:t>ot</w:t>
      </w:r>
      <w:proofErr w:type="spellEnd"/>
      <w:r w:rsidRPr="008D3C0D">
        <w:rPr>
          <w:rFonts w:ascii="Times New Roman" w:hAnsi="Times New Roman"/>
        </w:rPr>
        <w:t xml:space="preserve"> a word said, not a word, despite the fact that [the complainant] was with the police, she was with [</w:t>
      </w:r>
      <w:r w:rsidR="00FF3F78" w:rsidRPr="008D3C0D">
        <w:rPr>
          <w:rFonts w:ascii="Times New Roman" w:hAnsi="Times New Roman"/>
        </w:rPr>
        <w:t xml:space="preserve">the </w:t>
      </w:r>
      <w:r w:rsidRPr="008D3C0D">
        <w:rPr>
          <w:rFonts w:ascii="Times New Roman" w:hAnsi="Times New Roman"/>
        </w:rPr>
        <w:t>New South Wales aunt], not a word".</w:t>
      </w:r>
    </w:p>
    <w:p w14:paraId="1DB06901" w14:textId="5FA3D28E"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lastRenderedPageBreak/>
        <w:tab/>
        <w:t>Secondly, as to the submission that the complainant possessed a "powerful weapon" to stop any sexual assaults by the appellant,</w:t>
      </w:r>
      <w:r w:rsidR="006E1730" w:rsidRPr="008D3C0D">
        <w:rPr>
          <w:rFonts w:ascii="Times New Roman" w:hAnsi="Times New Roman"/>
        </w:rPr>
        <w:t xml:space="preserve"> </w:t>
      </w:r>
      <w:r w:rsidRPr="008D3C0D">
        <w:rPr>
          <w:rFonts w:ascii="Times New Roman" w:hAnsi="Times New Roman"/>
        </w:rPr>
        <w:t xml:space="preserve">the exclusion </w:t>
      </w:r>
      <w:r w:rsidR="00094424" w:rsidRPr="008D3C0D">
        <w:rPr>
          <w:rFonts w:ascii="Times New Roman" w:hAnsi="Times New Roman"/>
        </w:rPr>
        <w:t xml:space="preserve">by operation of s 293(3) </w:t>
      </w:r>
      <w:r w:rsidRPr="008D3C0D">
        <w:rPr>
          <w:rFonts w:ascii="Times New Roman" w:hAnsi="Times New Roman"/>
        </w:rPr>
        <w:t xml:space="preserve">of the exchange </w:t>
      </w:r>
      <w:r w:rsidR="00A2611D" w:rsidRPr="008D3C0D">
        <w:rPr>
          <w:rFonts w:ascii="Times New Roman" w:hAnsi="Times New Roman"/>
        </w:rPr>
        <w:t xml:space="preserve">between the complainant and police </w:t>
      </w:r>
      <w:r w:rsidRPr="008D3C0D">
        <w:rPr>
          <w:rFonts w:ascii="Times New Roman" w:hAnsi="Times New Roman"/>
        </w:rPr>
        <w:t>in the complainant's record of interview did prevent her from being cross-examined on th</w:t>
      </w:r>
      <w:r w:rsidR="00B5183F" w:rsidRPr="008D3C0D">
        <w:rPr>
          <w:rFonts w:ascii="Times New Roman" w:hAnsi="Times New Roman"/>
        </w:rPr>
        <w:t>e assertion of</w:t>
      </w:r>
      <w:r w:rsidRPr="008D3C0D">
        <w:rPr>
          <w:rFonts w:ascii="Times New Roman" w:hAnsi="Times New Roman"/>
        </w:rPr>
        <w:t xml:space="preserve"> inconsistency</w:t>
      </w:r>
      <w:r w:rsidR="008E57E1" w:rsidRPr="008D3C0D">
        <w:rPr>
          <w:rFonts w:ascii="Times New Roman" w:hAnsi="Times New Roman"/>
        </w:rPr>
        <w:t xml:space="preserve"> by her failure to complain to </w:t>
      </w:r>
      <w:r w:rsidR="001202EC">
        <w:rPr>
          <w:rFonts w:ascii="Times New Roman" w:hAnsi="Times New Roman"/>
        </w:rPr>
        <w:t xml:space="preserve">the authorities </w:t>
      </w:r>
      <w:r w:rsidR="008E57E1" w:rsidRPr="008D3C0D">
        <w:rPr>
          <w:rFonts w:ascii="Times New Roman" w:hAnsi="Times New Roman"/>
        </w:rPr>
        <w:t>about the appellant</w:t>
      </w:r>
      <w:r w:rsidR="00B5183F" w:rsidRPr="008D3C0D">
        <w:rPr>
          <w:rFonts w:ascii="Times New Roman" w:hAnsi="Times New Roman"/>
        </w:rPr>
        <w:t>.</w:t>
      </w:r>
      <w:r w:rsidRPr="008D3C0D">
        <w:rPr>
          <w:rStyle w:val="FootnoteReference"/>
          <w:rFonts w:ascii="Times New Roman" w:hAnsi="Times New Roman"/>
          <w:sz w:val="24"/>
        </w:rPr>
        <w:footnoteReference w:id="44"/>
      </w:r>
      <w:r w:rsidRPr="008D3C0D">
        <w:rPr>
          <w:rFonts w:ascii="Times New Roman" w:hAnsi="Times New Roman"/>
        </w:rPr>
        <w:t xml:space="preserve"> But, on the other hand, </w:t>
      </w:r>
      <w:r w:rsidR="004A06C6" w:rsidRPr="008D3C0D">
        <w:rPr>
          <w:rFonts w:ascii="Times New Roman" w:hAnsi="Times New Roman"/>
        </w:rPr>
        <w:t>there were</w:t>
      </w:r>
      <w:r w:rsidRPr="008D3C0D">
        <w:rPr>
          <w:rFonts w:ascii="Times New Roman" w:hAnsi="Times New Roman"/>
        </w:rPr>
        <w:t xml:space="preserve"> at least eight separate occasions </w:t>
      </w:r>
      <w:r w:rsidR="004A06C6" w:rsidRPr="008D3C0D">
        <w:rPr>
          <w:rFonts w:ascii="Times New Roman" w:hAnsi="Times New Roman"/>
        </w:rPr>
        <w:t xml:space="preserve">during the cross-examination of the complainant </w:t>
      </w:r>
      <w:r w:rsidR="00182520" w:rsidRPr="008D3C0D">
        <w:rPr>
          <w:rFonts w:ascii="Times New Roman" w:hAnsi="Times New Roman"/>
        </w:rPr>
        <w:t xml:space="preserve">in which </w:t>
      </w:r>
      <w:r w:rsidRPr="008D3C0D">
        <w:rPr>
          <w:rFonts w:ascii="Times New Roman" w:hAnsi="Times New Roman"/>
        </w:rPr>
        <w:t xml:space="preserve">her ability to make a complaint </w:t>
      </w:r>
      <w:r w:rsidR="00637901" w:rsidRPr="008D3C0D">
        <w:rPr>
          <w:rFonts w:ascii="Times New Roman" w:hAnsi="Times New Roman"/>
        </w:rPr>
        <w:t xml:space="preserve">or </w:t>
      </w:r>
      <w:r w:rsidRPr="008D3C0D">
        <w:rPr>
          <w:rFonts w:ascii="Times New Roman" w:hAnsi="Times New Roman"/>
        </w:rPr>
        <w:t>her contact with authorities</w:t>
      </w:r>
      <w:r w:rsidR="00182520" w:rsidRPr="008D3C0D">
        <w:rPr>
          <w:rFonts w:ascii="Times New Roman" w:hAnsi="Times New Roman"/>
        </w:rPr>
        <w:t xml:space="preserve"> was </w:t>
      </w:r>
      <w:r w:rsidR="003C3AF8" w:rsidRPr="008D3C0D">
        <w:rPr>
          <w:rFonts w:ascii="Times New Roman" w:hAnsi="Times New Roman"/>
        </w:rPr>
        <w:t>raised</w:t>
      </w:r>
      <w:r w:rsidRPr="008D3C0D">
        <w:rPr>
          <w:rFonts w:ascii="Times New Roman" w:hAnsi="Times New Roman"/>
        </w:rPr>
        <w:t>. For instance, the complainant was specifically asked</w:t>
      </w:r>
      <w:r w:rsidR="00D26D6B" w:rsidRPr="008D3C0D">
        <w:rPr>
          <w:rFonts w:ascii="Times New Roman" w:hAnsi="Times New Roman"/>
        </w:rPr>
        <w:t xml:space="preserve"> whether</w:t>
      </w:r>
      <w:r w:rsidRPr="008D3C0D" w:rsidDel="0040749E">
        <w:rPr>
          <w:rFonts w:ascii="Times New Roman" w:hAnsi="Times New Roman"/>
        </w:rPr>
        <w:t xml:space="preserve"> </w:t>
      </w:r>
      <w:r w:rsidRPr="008D3C0D">
        <w:rPr>
          <w:rFonts w:ascii="Times New Roman" w:hAnsi="Times New Roman"/>
        </w:rPr>
        <w:t xml:space="preserve">the Queensland offender "pleaded guilty to doing things, to physically assaulting you in Queensland" and </w:t>
      </w:r>
      <w:r w:rsidR="0040749E" w:rsidRPr="008D3C0D">
        <w:rPr>
          <w:rFonts w:ascii="Times New Roman" w:hAnsi="Times New Roman"/>
        </w:rPr>
        <w:t xml:space="preserve">whether, </w:t>
      </w:r>
      <w:r w:rsidRPr="008D3C0D">
        <w:rPr>
          <w:rFonts w:ascii="Times New Roman" w:hAnsi="Times New Roman"/>
        </w:rPr>
        <w:t>after the first alleged sexual assault by the appellant</w:t>
      </w:r>
      <w:r w:rsidR="0040749E" w:rsidRPr="008D3C0D">
        <w:rPr>
          <w:rFonts w:ascii="Times New Roman" w:hAnsi="Times New Roman"/>
        </w:rPr>
        <w:t>,</w:t>
      </w:r>
      <w:r w:rsidRPr="008D3C0D">
        <w:rPr>
          <w:rFonts w:ascii="Times New Roman" w:hAnsi="Times New Roman"/>
        </w:rPr>
        <w:t xml:space="preserve"> she knew that "if [she] complained</w:t>
      </w:r>
      <w:r w:rsidR="006145F1" w:rsidRPr="008D3C0D">
        <w:rPr>
          <w:rFonts w:ascii="Times New Roman" w:hAnsi="Times New Roman"/>
        </w:rPr>
        <w:t>,</w:t>
      </w:r>
      <w:r w:rsidRPr="008D3C0D">
        <w:rPr>
          <w:rFonts w:ascii="Times New Roman" w:hAnsi="Times New Roman"/>
        </w:rPr>
        <w:t xml:space="preserve"> something was likely to happen in terms of police and/or courts"</w:t>
      </w:r>
      <w:r w:rsidR="0040749E" w:rsidRPr="008D3C0D">
        <w:rPr>
          <w:rFonts w:ascii="Times New Roman" w:hAnsi="Times New Roman"/>
        </w:rPr>
        <w:t xml:space="preserve">. The complainant </w:t>
      </w:r>
      <w:r w:rsidR="00285005" w:rsidRPr="008D3C0D">
        <w:rPr>
          <w:rFonts w:ascii="Times New Roman" w:hAnsi="Times New Roman"/>
        </w:rPr>
        <w:t>accepted both propositions</w:t>
      </w:r>
      <w:r w:rsidRPr="008D3C0D">
        <w:rPr>
          <w:rFonts w:ascii="Times New Roman" w:hAnsi="Times New Roman"/>
        </w:rPr>
        <w:t>.</w:t>
      </w:r>
    </w:p>
    <w:p w14:paraId="13B8FF11" w14:textId="75190608"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Thirdly, as to the disclosures to the appellant and the "true nature" of the complainant's relationship with the appellant as one in which she confided in the appellant and he advocated </w:t>
      </w:r>
      <w:r w:rsidR="008D250D" w:rsidRPr="008D3C0D">
        <w:rPr>
          <w:rFonts w:ascii="Times New Roman" w:hAnsi="Times New Roman"/>
        </w:rPr>
        <w:t xml:space="preserve">for her </w:t>
      </w:r>
      <w:r w:rsidRPr="008D3C0D">
        <w:rPr>
          <w:rFonts w:ascii="Times New Roman" w:hAnsi="Times New Roman"/>
        </w:rPr>
        <w:t>on her behalf, although the appellant was prevented from cross-examining the complainant on the particular content of the alleged disclosure described in the appellant's supporting statement to the police,</w:t>
      </w:r>
      <w:r w:rsidRPr="008D3C0D">
        <w:rPr>
          <w:rStyle w:val="FootnoteReference"/>
          <w:rFonts w:ascii="Times New Roman" w:hAnsi="Times New Roman"/>
          <w:sz w:val="24"/>
        </w:rPr>
        <w:footnoteReference w:id="45"/>
      </w:r>
      <w:r w:rsidRPr="008D3C0D">
        <w:rPr>
          <w:rFonts w:ascii="Times New Roman" w:hAnsi="Times New Roman"/>
        </w:rPr>
        <w:t xml:space="preserve"> it was put to the complainant that she had complained to the appellant about "what had happened to you in Queensland" and that when she was in a Repco store s</w:t>
      </w:r>
      <w:r w:rsidR="00AD1C76" w:rsidRPr="008D3C0D">
        <w:rPr>
          <w:rFonts w:ascii="Times New Roman" w:hAnsi="Times New Roman"/>
        </w:rPr>
        <w:t>h</w:t>
      </w:r>
      <w:r w:rsidRPr="008D3C0D">
        <w:rPr>
          <w:rFonts w:ascii="Times New Roman" w:hAnsi="Times New Roman"/>
        </w:rPr>
        <w:t xml:space="preserve">e had said to the appellant that "that was the sort of thing [the Queensland offender] tied me up with". The complainant accepted in cross-examination that she had gone to the police at the suggestion of </w:t>
      </w:r>
      <w:r w:rsidR="005A395D" w:rsidRPr="008D3C0D">
        <w:rPr>
          <w:rFonts w:ascii="Times New Roman" w:hAnsi="Times New Roman"/>
        </w:rPr>
        <w:t>the</w:t>
      </w:r>
      <w:r w:rsidRPr="008D3C0D">
        <w:rPr>
          <w:rFonts w:ascii="Times New Roman" w:hAnsi="Times New Roman"/>
        </w:rPr>
        <w:t xml:space="preserve"> New South Wales aunt and the appellant and that "it wasn't until [she] spoke to [the appellant], personally, alone, about Queensland that even [</w:t>
      </w:r>
      <w:r w:rsidR="006D49BD" w:rsidRPr="008D3C0D">
        <w:rPr>
          <w:rFonts w:ascii="Times New Roman" w:hAnsi="Times New Roman"/>
        </w:rPr>
        <w:t>the</w:t>
      </w:r>
      <w:r w:rsidRPr="008D3C0D">
        <w:rPr>
          <w:rFonts w:ascii="Times New Roman" w:hAnsi="Times New Roman"/>
        </w:rPr>
        <w:t xml:space="preserve"> New South Wales aunt] was prepared to help [her]".</w:t>
      </w:r>
    </w:p>
    <w:p w14:paraId="3B1DEF64" w14:textId="29534E28"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The only one of the four key areas of relevance relied upon by the appellant</w:t>
      </w:r>
      <w:r w:rsidR="006E5C32" w:rsidRPr="008D3C0D">
        <w:rPr>
          <w:rFonts w:ascii="Times New Roman" w:hAnsi="Times New Roman"/>
        </w:rPr>
        <w:t xml:space="preserve"> </w:t>
      </w:r>
      <w:r w:rsidRPr="008D3C0D">
        <w:rPr>
          <w:rFonts w:ascii="Times New Roman" w:hAnsi="Times New Roman"/>
        </w:rPr>
        <w:t xml:space="preserve">which </w:t>
      </w:r>
      <w:r w:rsidR="006E5C32" w:rsidRPr="008D3C0D">
        <w:rPr>
          <w:rFonts w:ascii="Times New Roman" w:hAnsi="Times New Roman"/>
        </w:rPr>
        <w:t>placed</w:t>
      </w:r>
      <w:r w:rsidRPr="008D3C0D">
        <w:rPr>
          <w:rFonts w:ascii="Times New Roman" w:hAnsi="Times New Roman"/>
        </w:rPr>
        <w:t xml:space="preserve"> the appellant at a forensic disadvantage was his ability to cross-examine the complainant about whether the Queensland </w:t>
      </w:r>
      <w:r w:rsidR="00F83D09" w:rsidRPr="008D3C0D">
        <w:rPr>
          <w:rFonts w:ascii="Times New Roman" w:hAnsi="Times New Roman"/>
        </w:rPr>
        <w:t xml:space="preserve">conduct </w:t>
      </w:r>
      <w:r w:rsidRPr="008D3C0D">
        <w:rPr>
          <w:rFonts w:ascii="Times New Roman" w:hAnsi="Times New Roman"/>
        </w:rPr>
        <w:t xml:space="preserve">provided a source for her memory of sexual acts and offending by the appellant. In other words, the appellant was precluded from running a defence based upon unintentional conflation or deliberate fabrication based on the detail of the </w:t>
      </w:r>
      <w:r w:rsidR="00084A97" w:rsidRPr="008D3C0D">
        <w:rPr>
          <w:rFonts w:ascii="Times New Roman" w:hAnsi="Times New Roman"/>
        </w:rPr>
        <w:t xml:space="preserve">Queensland </w:t>
      </w:r>
      <w:r w:rsidR="00F83D09" w:rsidRPr="008D3C0D">
        <w:rPr>
          <w:rFonts w:ascii="Times New Roman" w:hAnsi="Times New Roman"/>
        </w:rPr>
        <w:t>conduct</w:t>
      </w:r>
      <w:r w:rsidRPr="008D3C0D">
        <w:rPr>
          <w:rFonts w:ascii="Times New Roman" w:hAnsi="Times New Roman"/>
        </w:rPr>
        <w:t xml:space="preserve">. But </w:t>
      </w:r>
      <w:r w:rsidR="00C93AC4" w:rsidRPr="008D3C0D">
        <w:rPr>
          <w:rFonts w:ascii="Times New Roman" w:hAnsi="Times New Roman"/>
        </w:rPr>
        <w:t xml:space="preserve">the extent of </w:t>
      </w:r>
      <w:r w:rsidR="00B70DBE" w:rsidRPr="008D3C0D">
        <w:rPr>
          <w:rFonts w:ascii="Times New Roman" w:hAnsi="Times New Roman"/>
        </w:rPr>
        <w:t xml:space="preserve">the </w:t>
      </w:r>
      <w:r w:rsidR="00C93AC4" w:rsidRPr="008D3C0D">
        <w:rPr>
          <w:rFonts w:ascii="Times New Roman" w:hAnsi="Times New Roman"/>
        </w:rPr>
        <w:t xml:space="preserve">forensic disadvantage from being unable to run such a defence can be assessed </w:t>
      </w:r>
      <w:proofErr w:type="gramStart"/>
      <w:r w:rsidR="00C93AC4" w:rsidRPr="008D3C0D">
        <w:rPr>
          <w:rFonts w:ascii="Times New Roman" w:hAnsi="Times New Roman"/>
        </w:rPr>
        <w:t>in light of the fact that</w:t>
      </w:r>
      <w:proofErr w:type="gramEnd"/>
      <w:r w:rsidR="00C93AC4" w:rsidRPr="008D3C0D">
        <w:rPr>
          <w:rFonts w:ascii="Times New Roman" w:hAnsi="Times New Roman"/>
        </w:rPr>
        <w:t xml:space="preserve"> </w:t>
      </w:r>
      <w:r w:rsidRPr="008D3C0D">
        <w:rPr>
          <w:rFonts w:ascii="Times New Roman" w:hAnsi="Times New Roman"/>
        </w:rPr>
        <w:t>no allegation of unintentional conflation was made</w:t>
      </w:r>
      <w:r w:rsidR="005632AF" w:rsidRPr="008D3C0D">
        <w:rPr>
          <w:rFonts w:ascii="Times New Roman" w:hAnsi="Times New Roman"/>
        </w:rPr>
        <w:t xml:space="preserve"> at trial</w:t>
      </w:r>
      <w:r w:rsidRPr="008D3C0D">
        <w:rPr>
          <w:rFonts w:ascii="Times New Roman" w:hAnsi="Times New Roman"/>
        </w:rPr>
        <w:t xml:space="preserve">. </w:t>
      </w:r>
    </w:p>
    <w:p w14:paraId="06759C5C" w14:textId="151454F4"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lastRenderedPageBreak/>
        <w:tab/>
        <w:t xml:space="preserve">As to the allegation of deliberate fabrication, the complainant was cross-examined on this point carefully, in detail, and on </w:t>
      </w:r>
      <w:r w:rsidR="00D53142" w:rsidRPr="008D3C0D">
        <w:rPr>
          <w:rFonts w:ascii="Times New Roman" w:hAnsi="Times New Roman"/>
        </w:rPr>
        <w:t xml:space="preserve">express </w:t>
      </w:r>
      <w:r w:rsidRPr="008D3C0D">
        <w:rPr>
          <w:rFonts w:ascii="Times New Roman" w:hAnsi="Times New Roman"/>
        </w:rPr>
        <w:t xml:space="preserve">instructions. The complainant accepted in cross-examination that the appellant and the New South Wales aunt broke up because the New South Wales aunt </w:t>
      </w:r>
      <w:r w:rsidR="00824E0A" w:rsidRPr="008D3C0D">
        <w:rPr>
          <w:rFonts w:ascii="Times New Roman" w:hAnsi="Times New Roman"/>
        </w:rPr>
        <w:t xml:space="preserve">discovered </w:t>
      </w:r>
      <w:r w:rsidRPr="008D3C0D">
        <w:rPr>
          <w:rFonts w:ascii="Times New Roman" w:hAnsi="Times New Roman"/>
        </w:rPr>
        <w:t>that the appellant was cheating on her</w:t>
      </w:r>
      <w:r w:rsidR="005A3697" w:rsidRPr="008D3C0D">
        <w:rPr>
          <w:rFonts w:ascii="Times New Roman" w:hAnsi="Times New Roman"/>
        </w:rPr>
        <w:t>. The complainant said</w:t>
      </w:r>
      <w:r w:rsidRPr="008D3C0D">
        <w:rPr>
          <w:rFonts w:ascii="Times New Roman" w:hAnsi="Times New Roman"/>
        </w:rPr>
        <w:t xml:space="preserve"> that the appellant had </w:t>
      </w:r>
      <w:r w:rsidR="00E27E60" w:rsidRPr="008D3C0D">
        <w:rPr>
          <w:rFonts w:ascii="Times New Roman" w:hAnsi="Times New Roman"/>
        </w:rPr>
        <w:t>cheated</w:t>
      </w:r>
      <w:r w:rsidRPr="008D3C0D">
        <w:rPr>
          <w:rFonts w:ascii="Times New Roman" w:hAnsi="Times New Roman"/>
        </w:rPr>
        <w:t xml:space="preserve"> multiple times and that the New South Wales aunt had tried to kill herself because the appellant was cheating on her. </w:t>
      </w:r>
      <w:r w:rsidR="004933DA" w:rsidRPr="008D3C0D">
        <w:rPr>
          <w:rFonts w:ascii="Times New Roman" w:hAnsi="Times New Roman"/>
        </w:rPr>
        <w:t xml:space="preserve">The complainant also accepted </w:t>
      </w:r>
      <w:r w:rsidRPr="008D3C0D">
        <w:rPr>
          <w:rFonts w:ascii="Times New Roman" w:hAnsi="Times New Roman"/>
        </w:rPr>
        <w:t xml:space="preserve">in cross-examination that the complainant and </w:t>
      </w:r>
      <w:r w:rsidR="001A28DC" w:rsidRPr="008D3C0D">
        <w:rPr>
          <w:rFonts w:ascii="Times New Roman" w:hAnsi="Times New Roman"/>
        </w:rPr>
        <w:t>the</w:t>
      </w:r>
      <w:r w:rsidRPr="008D3C0D">
        <w:rPr>
          <w:rFonts w:ascii="Times New Roman" w:hAnsi="Times New Roman"/>
        </w:rPr>
        <w:t xml:space="preserve"> New South Wales aunt went to the police less than a month after the appellant's new partner, with whom he had returned to Australia from overseas, had given birth to a son.</w:t>
      </w:r>
      <w:r w:rsidR="00A47C80" w:rsidRPr="008D3C0D">
        <w:rPr>
          <w:rFonts w:ascii="Times New Roman" w:hAnsi="Times New Roman"/>
        </w:rPr>
        <w:t xml:space="preserve"> The </w:t>
      </w:r>
      <w:r w:rsidR="006227F1" w:rsidRPr="008D3C0D">
        <w:rPr>
          <w:rFonts w:ascii="Times New Roman" w:hAnsi="Times New Roman"/>
        </w:rPr>
        <w:t xml:space="preserve">closing address to the jury by counsel for the appellant </w:t>
      </w:r>
      <w:r w:rsidR="00917836" w:rsidRPr="008D3C0D">
        <w:rPr>
          <w:rFonts w:ascii="Times New Roman" w:hAnsi="Times New Roman"/>
        </w:rPr>
        <w:t>relied upon these matters</w:t>
      </w:r>
      <w:r w:rsidR="008A698C" w:rsidRPr="008D3C0D">
        <w:rPr>
          <w:rFonts w:ascii="Times New Roman" w:hAnsi="Times New Roman"/>
        </w:rPr>
        <w:t xml:space="preserve">. </w:t>
      </w:r>
    </w:p>
    <w:p w14:paraId="68FC1E68" w14:textId="2376A3EB" w:rsidR="00121F1E" w:rsidRPr="008D3C0D" w:rsidRDefault="00121F1E" w:rsidP="008D3C0D">
      <w:pPr>
        <w:pStyle w:val="FixListStyle"/>
        <w:spacing w:after="260" w:line="280" w:lineRule="exact"/>
        <w:ind w:right="0"/>
        <w:jc w:val="both"/>
        <w:rPr>
          <w:rFonts w:ascii="Times New Roman" w:hAnsi="Times New Roman"/>
        </w:rPr>
      </w:pPr>
      <w:r w:rsidRPr="008D3C0D">
        <w:rPr>
          <w:rFonts w:ascii="Times New Roman" w:hAnsi="Times New Roman"/>
        </w:rPr>
        <w:tab/>
        <w:t xml:space="preserve">It is unsurprising that at the </w:t>
      </w:r>
      <w:proofErr w:type="spellStart"/>
      <w:r w:rsidRPr="008D3C0D">
        <w:rPr>
          <w:rFonts w:ascii="Times New Roman" w:hAnsi="Times New Roman"/>
        </w:rPr>
        <w:t>voir</w:t>
      </w:r>
      <w:proofErr w:type="spellEnd"/>
      <w:r w:rsidRPr="008D3C0D">
        <w:rPr>
          <w:rFonts w:ascii="Times New Roman" w:hAnsi="Times New Roman"/>
        </w:rPr>
        <w:t xml:space="preserve"> dire before the trial judge the appellant disclaimed any intention of relying upon any of the "fine detail of the sexual offending" in Queensland.</w:t>
      </w:r>
      <w:r w:rsidRPr="008D3C0D">
        <w:rPr>
          <w:rStyle w:val="FootnoteReference"/>
          <w:rFonts w:ascii="Times New Roman" w:hAnsi="Times New Roman"/>
          <w:sz w:val="24"/>
        </w:rPr>
        <w:footnoteReference w:id="46"/>
      </w:r>
      <w:r w:rsidRPr="008D3C0D">
        <w:rPr>
          <w:rFonts w:ascii="Times New Roman" w:hAnsi="Times New Roman"/>
        </w:rPr>
        <w:t xml:space="preserve"> Any forensic disadvantage to the appellant in his inability to descend </w:t>
      </w:r>
      <w:r w:rsidR="00F22A3D" w:rsidRPr="008D3C0D">
        <w:rPr>
          <w:rFonts w:ascii="Times New Roman" w:hAnsi="Times New Roman"/>
        </w:rPr>
        <w:t>in</w:t>
      </w:r>
      <w:r w:rsidRPr="008D3C0D">
        <w:rPr>
          <w:rFonts w:ascii="Times New Roman" w:hAnsi="Times New Roman"/>
        </w:rPr>
        <w:t xml:space="preserve">to any detail of the Queensland </w:t>
      </w:r>
      <w:r w:rsidR="00766766" w:rsidRPr="008D3C0D">
        <w:rPr>
          <w:rFonts w:ascii="Times New Roman" w:hAnsi="Times New Roman"/>
        </w:rPr>
        <w:t xml:space="preserve">conduct </w:t>
      </w:r>
      <w:r w:rsidRPr="008D3C0D">
        <w:rPr>
          <w:rFonts w:ascii="Times New Roman" w:hAnsi="Times New Roman"/>
        </w:rPr>
        <w:t>could not amount to such a degree of unfairness in any retrial as to require an order that the appellant be acquitted rather than a</w:t>
      </w:r>
      <w:r w:rsidR="00217041" w:rsidRPr="008D3C0D">
        <w:rPr>
          <w:rFonts w:ascii="Times New Roman" w:hAnsi="Times New Roman"/>
        </w:rPr>
        <w:t>n</w:t>
      </w:r>
      <w:r w:rsidRPr="008D3C0D">
        <w:rPr>
          <w:rFonts w:ascii="Times New Roman" w:hAnsi="Times New Roman"/>
        </w:rPr>
        <w:t xml:space="preserve"> order for a retrial. </w:t>
      </w:r>
    </w:p>
    <w:p w14:paraId="2B276355" w14:textId="77777777" w:rsidR="00121F1E" w:rsidRPr="008D3C0D" w:rsidRDefault="00121F1E" w:rsidP="008D3C0D">
      <w:pPr>
        <w:pStyle w:val="HeadingL1"/>
        <w:spacing w:after="260" w:line="280" w:lineRule="exact"/>
        <w:ind w:right="0"/>
        <w:jc w:val="both"/>
        <w:rPr>
          <w:rFonts w:ascii="Times New Roman" w:hAnsi="Times New Roman"/>
        </w:rPr>
      </w:pPr>
      <w:r w:rsidRPr="008D3C0D">
        <w:rPr>
          <w:rFonts w:ascii="Times New Roman" w:hAnsi="Times New Roman"/>
        </w:rPr>
        <w:t>Conclusion</w:t>
      </w:r>
    </w:p>
    <w:p w14:paraId="79D2053F" w14:textId="77777777" w:rsidR="00C33509" w:rsidRDefault="00121F1E" w:rsidP="00EC6BFE">
      <w:pPr>
        <w:pStyle w:val="FixListStyle"/>
        <w:spacing w:after="260" w:line="280" w:lineRule="exact"/>
        <w:ind w:right="0"/>
        <w:jc w:val="both"/>
        <w:rPr>
          <w:rFonts w:ascii="Times New Roman" w:hAnsi="Times New Roman"/>
        </w:rPr>
      </w:pPr>
      <w:r w:rsidRPr="008D3C0D">
        <w:rPr>
          <w:rFonts w:ascii="Times New Roman" w:hAnsi="Times New Roman"/>
        </w:rPr>
        <w:tab/>
        <w:t xml:space="preserve">The appeal should be allowed in part. Orders should be made to allow the appeal in part, quash order 3 of the orders of the Court of Criminal Appeal and, in its place, order and declare that the appeal </w:t>
      </w:r>
      <w:r w:rsidR="00AF05E6" w:rsidRPr="008D3C0D">
        <w:rPr>
          <w:rFonts w:ascii="Times New Roman" w:hAnsi="Times New Roman"/>
        </w:rPr>
        <w:t>to that Court</w:t>
      </w:r>
      <w:r w:rsidRPr="008D3C0D">
        <w:rPr>
          <w:rFonts w:ascii="Times New Roman" w:hAnsi="Times New Roman"/>
        </w:rPr>
        <w:t xml:space="preserve"> be allowed </w:t>
      </w:r>
      <w:proofErr w:type="gramStart"/>
      <w:r w:rsidRPr="008D3C0D">
        <w:rPr>
          <w:rFonts w:ascii="Times New Roman" w:hAnsi="Times New Roman"/>
        </w:rPr>
        <w:t>on the basis of</w:t>
      </w:r>
      <w:proofErr w:type="gramEnd"/>
      <w:r w:rsidRPr="008D3C0D">
        <w:rPr>
          <w:rFonts w:ascii="Times New Roman" w:hAnsi="Times New Roman"/>
        </w:rPr>
        <w:t xml:space="preserve"> ground 1 and</w:t>
      </w:r>
      <w:r w:rsidR="009669F8" w:rsidRPr="008D3C0D">
        <w:rPr>
          <w:rFonts w:ascii="Times New Roman" w:hAnsi="Times New Roman"/>
        </w:rPr>
        <w:t>, in part, ground</w:t>
      </w:r>
      <w:r w:rsidRPr="008D3C0D">
        <w:rPr>
          <w:rFonts w:ascii="Times New Roman" w:hAnsi="Times New Roman"/>
        </w:rPr>
        <w:t xml:space="preserve"> 3. </w:t>
      </w:r>
    </w:p>
    <w:p w14:paraId="3349D87C" w14:textId="77777777" w:rsidR="00C33509" w:rsidRDefault="00C33509" w:rsidP="00EC6BFE">
      <w:pPr>
        <w:pStyle w:val="FixListStyle"/>
        <w:spacing w:after="260" w:line="280" w:lineRule="exact"/>
        <w:ind w:right="0"/>
        <w:jc w:val="both"/>
        <w:rPr>
          <w:rFonts w:ascii="Times New Roman" w:hAnsi="Times New Roman"/>
        </w:rPr>
        <w:sectPr w:rsidR="00C33509" w:rsidSect="00E8603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714175B" w14:textId="77777777" w:rsidR="00C33509" w:rsidRPr="00CE3802" w:rsidRDefault="00C33509" w:rsidP="00CE3802">
      <w:pPr>
        <w:pStyle w:val="FixListStyle"/>
        <w:tabs>
          <w:tab w:val="clear" w:pos="720"/>
          <w:tab w:val="left" w:pos="0"/>
        </w:tabs>
        <w:spacing w:after="260" w:line="280" w:lineRule="exact"/>
        <w:ind w:right="0"/>
        <w:jc w:val="both"/>
        <w:rPr>
          <w:rFonts w:ascii="Times New Roman" w:hAnsi="Times New Roman"/>
        </w:rPr>
      </w:pPr>
      <w:r w:rsidRPr="00CE3802">
        <w:rPr>
          <w:rFonts w:ascii="Times New Roman" w:hAnsi="Times New Roman"/>
        </w:rPr>
        <w:lastRenderedPageBreak/>
        <w:t>JAGOT J.   The relevant circumstances in which this appeal is to be determined are set out in the joint reasons of Gordon A</w:t>
      </w:r>
      <w:r w:rsidRPr="00CE3802">
        <w:rPr>
          <w:rFonts w:ascii="Times New Roman" w:hAnsi="Times New Roman"/>
        </w:rPr>
        <w:noBreakHyphen/>
        <w:t>CJ, Edelman, Steward and Gleeson JJ ("the majority"). In contrast to the conclusion of the majority, in which grounds 2 and 3 of the appeal are dismissed but ground 1 is allowed in part, I would dismiss all grounds of the appeal for the following reasons.</w:t>
      </w:r>
    </w:p>
    <w:p w14:paraId="48D0C10B" w14:textId="77777777" w:rsidR="00C33509" w:rsidRPr="00CE3802" w:rsidRDefault="00C33509" w:rsidP="00CE3802">
      <w:pPr>
        <w:pStyle w:val="HeadingL1"/>
        <w:spacing w:after="260" w:line="280" w:lineRule="exact"/>
        <w:ind w:right="0"/>
        <w:jc w:val="both"/>
        <w:rPr>
          <w:rFonts w:ascii="Times New Roman" w:hAnsi="Times New Roman"/>
        </w:rPr>
      </w:pPr>
      <w:r w:rsidRPr="00CE3802">
        <w:rPr>
          <w:rFonts w:ascii="Times New Roman" w:hAnsi="Times New Roman"/>
        </w:rPr>
        <w:t xml:space="preserve">Ground 1 – s 293 of the </w:t>
      </w:r>
      <w:r w:rsidRPr="00CE3802">
        <w:rPr>
          <w:rFonts w:ascii="Times New Roman" w:hAnsi="Times New Roman"/>
          <w:i/>
          <w:iCs/>
        </w:rPr>
        <w:t xml:space="preserve">Criminal Procedure Act </w:t>
      </w:r>
    </w:p>
    <w:p w14:paraId="0B8AABAD"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By ground 1 it is contended for the appellant ("the accused") that the Court of Criminal Appeal of New South Wales misconstrued s 293(4) of the </w:t>
      </w:r>
      <w:r w:rsidRPr="00CE3802">
        <w:rPr>
          <w:rFonts w:ascii="Times New Roman" w:hAnsi="Times New Roman"/>
          <w:i/>
          <w:iCs/>
        </w:rPr>
        <w:t>Criminal Procedure Act 1986</w:t>
      </w:r>
      <w:r w:rsidRPr="00CE3802">
        <w:rPr>
          <w:rFonts w:ascii="Times New Roman" w:hAnsi="Times New Roman"/>
        </w:rPr>
        <w:t xml:space="preserve"> (NSW).</w:t>
      </w:r>
      <w:r w:rsidRPr="00CE3802">
        <w:rPr>
          <w:rStyle w:val="FootnoteReference"/>
          <w:rFonts w:ascii="Times New Roman" w:hAnsi="Times New Roman"/>
          <w:sz w:val="24"/>
        </w:rPr>
        <w:footnoteReference w:id="47"/>
      </w:r>
      <w:r w:rsidRPr="00CE3802">
        <w:rPr>
          <w:rFonts w:ascii="Times New Roman" w:hAnsi="Times New Roman"/>
          <w:b/>
          <w:bCs/>
        </w:rPr>
        <w:t xml:space="preserve"> </w:t>
      </w:r>
      <w:r w:rsidRPr="00CE3802">
        <w:rPr>
          <w:rFonts w:ascii="Times New Roman" w:hAnsi="Times New Roman"/>
        </w:rPr>
        <w:t xml:space="preserve">As explained below, no such misconstruction is apparent. </w:t>
      </w:r>
    </w:p>
    <w:p w14:paraId="61E8B5CE"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The relevant provision, s 293, includes the following parts:</w:t>
      </w:r>
    </w:p>
    <w:p w14:paraId="37939540" w14:textId="77777777" w:rsidR="00C33509" w:rsidRPr="00CE3802" w:rsidRDefault="00C33509" w:rsidP="00CE3802">
      <w:pPr>
        <w:pStyle w:val="leftright"/>
        <w:spacing w:before="0" w:after="260" w:line="280" w:lineRule="exact"/>
        <w:ind w:left="1440" w:right="0" w:hanging="720"/>
        <w:jc w:val="both"/>
        <w:rPr>
          <w:rFonts w:ascii="Times New Roman" w:hAnsi="Times New Roman"/>
        </w:rPr>
      </w:pPr>
      <w:r w:rsidRPr="00CE3802">
        <w:rPr>
          <w:rFonts w:ascii="Times New Roman" w:hAnsi="Times New Roman"/>
        </w:rPr>
        <w:t xml:space="preserve">"(1) </w:t>
      </w:r>
      <w:r w:rsidRPr="00CE3802">
        <w:rPr>
          <w:rFonts w:ascii="Times New Roman" w:hAnsi="Times New Roman"/>
        </w:rPr>
        <w:tab/>
        <w:t>This section applies to proceedings in respect of a prescribed sexual offence.</w:t>
      </w:r>
    </w:p>
    <w:p w14:paraId="33D183EE" w14:textId="77777777" w:rsidR="00C33509" w:rsidRPr="00CE3802" w:rsidRDefault="00C33509" w:rsidP="00CE3802">
      <w:pPr>
        <w:pStyle w:val="leftright"/>
        <w:spacing w:before="0" w:after="260" w:line="280" w:lineRule="exact"/>
        <w:ind w:left="1440" w:right="0" w:hanging="720"/>
        <w:jc w:val="both"/>
        <w:rPr>
          <w:rFonts w:ascii="Times New Roman" w:hAnsi="Times New Roman"/>
        </w:rPr>
      </w:pPr>
      <w:r w:rsidRPr="00CE3802">
        <w:rPr>
          <w:rFonts w:ascii="Times New Roman" w:hAnsi="Times New Roman"/>
        </w:rPr>
        <w:t xml:space="preserve">(2) </w:t>
      </w:r>
      <w:r w:rsidRPr="00CE3802">
        <w:rPr>
          <w:rFonts w:ascii="Times New Roman" w:hAnsi="Times New Roman"/>
        </w:rPr>
        <w:tab/>
        <w:t>Evidence relating to the sexual reputation of the complainant is inadmissible.</w:t>
      </w:r>
    </w:p>
    <w:p w14:paraId="07BF0679" w14:textId="77777777" w:rsidR="00C33509" w:rsidRPr="00CE3802" w:rsidRDefault="00C33509" w:rsidP="00CE3802">
      <w:pPr>
        <w:pStyle w:val="leftright"/>
        <w:spacing w:before="0" w:after="260" w:line="280" w:lineRule="exact"/>
        <w:ind w:right="0"/>
        <w:jc w:val="both"/>
        <w:rPr>
          <w:rFonts w:ascii="Times New Roman" w:hAnsi="Times New Roman"/>
        </w:rPr>
      </w:pPr>
      <w:r w:rsidRPr="00CE3802">
        <w:rPr>
          <w:rFonts w:ascii="Times New Roman" w:hAnsi="Times New Roman"/>
        </w:rPr>
        <w:t xml:space="preserve">(3) </w:t>
      </w:r>
      <w:r w:rsidRPr="00CE3802">
        <w:rPr>
          <w:rFonts w:ascii="Times New Roman" w:hAnsi="Times New Roman"/>
        </w:rPr>
        <w:tab/>
        <w:t>Evidence that discloses or implies:</w:t>
      </w:r>
    </w:p>
    <w:p w14:paraId="46680E99" w14:textId="77777777" w:rsidR="00C33509" w:rsidRPr="00CE3802" w:rsidRDefault="00C33509" w:rsidP="00CE3802">
      <w:pPr>
        <w:pStyle w:val="leftright"/>
        <w:tabs>
          <w:tab w:val="clear" w:pos="720"/>
        </w:tabs>
        <w:spacing w:before="0" w:after="260" w:line="280" w:lineRule="exact"/>
        <w:ind w:left="2160" w:right="0" w:hanging="1167"/>
        <w:jc w:val="both"/>
        <w:rPr>
          <w:rFonts w:ascii="Times New Roman" w:hAnsi="Times New Roman"/>
        </w:rPr>
      </w:pPr>
      <w:r w:rsidRPr="00CE3802">
        <w:rPr>
          <w:rFonts w:ascii="Times New Roman" w:hAnsi="Times New Roman"/>
        </w:rPr>
        <w:tab/>
        <w:t xml:space="preserve">(a) </w:t>
      </w:r>
      <w:r w:rsidRPr="00CE3802">
        <w:rPr>
          <w:rFonts w:ascii="Times New Roman" w:hAnsi="Times New Roman"/>
        </w:rPr>
        <w:tab/>
        <w:t>that the complainant has or may have had sexual experience or a lack of sexual experience, or</w:t>
      </w:r>
    </w:p>
    <w:p w14:paraId="2104D7BB" w14:textId="77777777" w:rsidR="00C33509" w:rsidRPr="00CE3802" w:rsidRDefault="00C33509" w:rsidP="00CE3802">
      <w:pPr>
        <w:pStyle w:val="leftright"/>
        <w:tabs>
          <w:tab w:val="clear" w:pos="720"/>
        </w:tabs>
        <w:spacing w:before="0" w:after="260" w:line="280" w:lineRule="exact"/>
        <w:ind w:left="2160" w:right="0" w:hanging="1167"/>
        <w:jc w:val="both"/>
        <w:rPr>
          <w:rFonts w:ascii="Times New Roman" w:hAnsi="Times New Roman"/>
        </w:rPr>
      </w:pPr>
      <w:r w:rsidRPr="00CE3802">
        <w:rPr>
          <w:rFonts w:ascii="Times New Roman" w:hAnsi="Times New Roman"/>
        </w:rPr>
        <w:tab/>
        <w:t xml:space="preserve">(b) </w:t>
      </w:r>
      <w:r w:rsidRPr="00CE3802">
        <w:rPr>
          <w:rFonts w:ascii="Times New Roman" w:hAnsi="Times New Roman"/>
        </w:rPr>
        <w:tab/>
        <w:t>has or may have taken part or not taken part in any sexual activity,</w:t>
      </w:r>
    </w:p>
    <w:p w14:paraId="51D4D3BC" w14:textId="77777777" w:rsidR="00C33509" w:rsidRPr="00CE3802" w:rsidRDefault="00C33509" w:rsidP="00CE3802">
      <w:pPr>
        <w:pStyle w:val="leftright"/>
        <w:spacing w:before="0" w:after="260" w:line="280" w:lineRule="exact"/>
        <w:ind w:left="1440" w:right="0"/>
        <w:jc w:val="both"/>
        <w:rPr>
          <w:rFonts w:ascii="Times New Roman" w:hAnsi="Times New Roman"/>
        </w:rPr>
      </w:pPr>
      <w:r w:rsidRPr="00CE3802">
        <w:rPr>
          <w:rFonts w:ascii="Times New Roman" w:hAnsi="Times New Roman"/>
        </w:rPr>
        <w:t>is inadmissible.</w:t>
      </w:r>
    </w:p>
    <w:p w14:paraId="6CCBB2FA" w14:textId="77777777" w:rsidR="00C33509" w:rsidRPr="00CE3802" w:rsidRDefault="00C33509" w:rsidP="00CE3802">
      <w:pPr>
        <w:pStyle w:val="leftright"/>
        <w:spacing w:before="0" w:after="260" w:line="280" w:lineRule="exact"/>
        <w:ind w:right="0"/>
        <w:jc w:val="both"/>
        <w:rPr>
          <w:rFonts w:ascii="Times New Roman" w:hAnsi="Times New Roman"/>
        </w:rPr>
      </w:pPr>
      <w:r w:rsidRPr="00CE3802">
        <w:rPr>
          <w:rFonts w:ascii="Times New Roman" w:hAnsi="Times New Roman"/>
        </w:rPr>
        <w:t xml:space="preserve">(4) </w:t>
      </w:r>
      <w:r w:rsidRPr="00CE3802">
        <w:rPr>
          <w:rFonts w:ascii="Times New Roman" w:hAnsi="Times New Roman"/>
        </w:rPr>
        <w:tab/>
        <w:t>Subsection (3) does not apply:</w:t>
      </w:r>
    </w:p>
    <w:p w14:paraId="5D9E1F4C" w14:textId="77777777" w:rsidR="00C33509" w:rsidRPr="00CE3802" w:rsidRDefault="00C33509" w:rsidP="00CE3802">
      <w:pPr>
        <w:pStyle w:val="leftright"/>
        <w:tabs>
          <w:tab w:val="clear" w:pos="720"/>
        </w:tabs>
        <w:spacing w:before="0" w:after="260" w:line="280" w:lineRule="exact"/>
        <w:ind w:left="993" w:right="0"/>
        <w:jc w:val="both"/>
        <w:rPr>
          <w:rFonts w:ascii="Times New Roman" w:hAnsi="Times New Roman"/>
        </w:rPr>
      </w:pPr>
      <w:r w:rsidRPr="00CE3802">
        <w:rPr>
          <w:rFonts w:ascii="Times New Roman" w:hAnsi="Times New Roman"/>
        </w:rPr>
        <w:tab/>
        <w:t xml:space="preserve">(a) </w:t>
      </w:r>
      <w:r w:rsidRPr="00CE3802">
        <w:rPr>
          <w:rFonts w:ascii="Times New Roman" w:hAnsi="Times New Roman"/>
        </w:rPr>
        <w:tab/>
        <w:t>if the evidence:</w:t>
      </w:r>
    </w:p>
    <w:p w14:paraId="162397D4" w14:textId="77777777" w:rsidR="00C33509" w:rsidRPr="00CE3802" w:rsidRDefault="00C33509" w:rsidP="00CE3802">
      <w:pPr>
        <w:pStyle w:val="leftright"/>
        <w:tabs>
          <w:tab w:val="clear" w:pos="720"/>
        </w:tabs>
        <w:spacing w:before="0" w:after="260" w:line="280" w:lineRule="exact"/>
        <w:ind w:left="2880" w:right="0" w:hanging="1604"/>
        <w:jc w:val="both"/>
        <w:rPr>
          <w:rFonts w:ascii="Times New Roman" w:hAnsi="Times New Roman"/>
        </w:rPr>
      </w:pPr>
      <w:r w:rsidRPr="00CE3802">
        <w:rPr>
          <w:rFonts w:ascii="Times New Roman" w:hAnsi="Times New Roman"/>
        </w:rPr>
        <w:tab/>
      </w:r>
      <w:r w:rsidRPr="00CE3802">
        <w:rPr>
          <w:rFonts w:ascii="Times New Roman" w:hAnsi="Times New Roman"/>
        </w:rPr>
        <w:tab/>
        <w:t>(</w:t>
      </w:r>
      <w:proofErr w:type="spellStart"/>
      <w:r w:rsidRPr="00CE3802">
        <w:rPr>
          <w:rFonts w:ascii="Times New Roman" w:hAnsi="Times New Roman"/>
        </w:rPr>
        <w:t>i</w:t>
      </w:r>
      <w:proofErr w:type="spellEnd"/>
      <w:r w:rsidRPr="00CE3802">
        <w:rPr>
          <w:rFonts w:ascii="Times New Roman" w:hAnsi="Times New Roman"/>
        </w:rPr>
        <w:t xml:space="preserve">) </w:t>
      </w:r>
      <w:r w:rsidRPr="00CE3802">
        <w:rPr>
          <w:rFonts w:ascii="Times New Roman" w:hAnsi="Times New Roman"/>
        </w:rPr>
        <w:tab/>
        <w:t>is of the complainant's sexual experience or lack of sexual experience, or of sexual activity or lack of sexual activity taken part in by the complainant, at or about the time of the commission of the alleged prescribed sexual offence, and</w:t>
      </w:r>
    </w:p>
    <w:p w14:paraId="6E846519" w14:textId="77777777" w:rsidR="00C33509" w:rsidRPr="00CE3802" w:rsidRDefault="00C33509" w:rsidP="00CE3802">
      <w:pPr>
        <w:pStyle w:val="leftright"/>
        <w:tabs>
          <w:tab w:val="clear" w:pos="720"/>
        </w:tabs>
        <w:spacing w:before="0" w:after="260" w:line="280" w:lineRule="exact"/>
        <w:ind w:left="2880" w:right="0" w:hanging="1604"/>
        <w:jc w:val="both"/>
        <w:rPr>
          <w:rFonts w:ascii="Times New Roman" w:hAnsi="Times New Roman"/>
        </w:rPr>
      </w:pPr>
      <w:r w:rsidRPr="00CE3802">
        <w:rPr>
          <w:rFonts w:ascii="Times New Roman" w:hAnsi="Times New Roman"/>
        </w:rPr>
        <w:lastRenderedPageBreak/>
        <w:tab/>
      </w:r>
      <w:r w:rsidRPr="00CE3802">
        <w:rPr>
          <w:rFonts w:ascii="Times New Roman" w:hAnsi="Times New Roman"/>
        </w:rPr>
        <w:tab/>
        <w:t xml:space="preserve">(ii) </w:t>
      </w:r>
      <w:r w:rsidRPr="00CE3802">
        <w:rPr>
          <w:rFonts w:ascii="Times New Roman" w:hAnsi="Times New Roman"/>
        </w:rPr>
        <w:tab/>
        <w:t>is of events that are alleged to form part of a connected set of circumstances in which the alleged prescribed sexual offence was committed,</w:t>
      </w:r>
    </w:p>
    <w:p w14:paraId="68275C0D" w14:textId="77777777" w:rsidR="00C33509" w:rsidRPr="00CE3802" w:rsidRDefault="00C33509" w:rsidP="00CE3802">
      <w:pPr>
        <w:pStyle w:val="leftright"/>
        <w:tabs>
          <w:tab w:val="clear" w:pos="720"/>
        </w:tabs>
        <w:spacing w:before="0" w:after="260" w:line="280" w:lineRule="exact"/>
        <w:ind w:left="2160" w:right="0" w:hanging="1167"/>
        <w:jc w:val="both"/>
        <w:rPr>
          <w:rFonts w:ascii="Times New Roman" w:hAnsi="Times New Roman"/>
        </w:rPr>
      </w:pPr>
      <w:r w:rsidRPr="00CE3802">
        <w:rPr>
          <w:rFonts w:ascii="Times New Roman" w:hAnsi="Times New Roman"/>
        </w:rPr>
        <w:tab/>
        <w:t>(b)</w:t>
      </w:r>
      <w:r w:rsidRPr="00CE3802">
        <w:rPr>
          <w:rFonts w:ascii="Times New Roman" w:hAnsi="Times New Roman"/>
        </w:rPr>
        <w:tab/>
        <w:t>if the evidence relates to a relationship that was existing or recent at the time of the commission of the alleged prescribed sexual offence, being a relationship between the accused person and the complainant,</w:t>
      </w:r>
    </w:p>
    <w:p w14:paraId="4903552F" w14:textId="77777777" w:rsidR="00C33509" w:rsidRPr="00CE3802" w:rsidRDefault="00C33509" w:rsidP="00CE3802">
      <w:pPr>
        <w:pStyle w:val="leftright"/>
        <w:spacing w:before="0" w:after="260" w:line="280" w:lineRule="exact"/>
        <w:ind w:right="0"/>
        <w:jc w:val="both"/>
        <w:rPr>
          <w:rFonts w:ascii="Times New Roman" w:hAnsi="Times New Roman"/>
        </w:rPr>
      </w:pPr>
      <w:r w:rsidRPr="00CE3802">
        <w:rPr>
          <w:rFonts w:ascii="Times New Roman" w:hAnsi="Times New Roman"/>
        </w:rPr>
        <w:tab/>
        <w:t>...</w:t>
      </w:r>
    </w:p>
    <w:p w14:paraId="1FE7CC96" w14:textId="77777777" w:rsidR="00C33509" w:rsidRDefault="00C33509" w:rsidP="00CE3802">
      <w:pPr>
        <w:pStyle w:val="leftright"/>
        <w:spacing w:before="0" w:after="260" w:line="280" w:lineRule="exact"/>
        <w:ind w:left="1440" w:right="0" w:hanging="720"/>
        <w:jc w:val="both"/>
        <w:rPr>
          <w:rFonts w:ascii="Times New Roman" w:hAnsi="Times New Roman"/>
        </w:rPr>
      </w:pPr>
      <w:r w:rsidRPr="00CE3802">
        <w:rPr>
          <w:rFonts w:ascii="Times New Roman" w:hAnsi="Times New Roman"/>
        </w:rPr>
        <w:tab/>
        <w:t>and if the probative value of the evidence outweighs any distress, humiliation or embarrassment that the complainant might suffer as a result of its admission."</w:t>
      </w:r>
    </w:p>
    <w:p w14:paraId="1AA0482C" w14:textId="77777777" w:rsidR="00C33509" w:rsidRPr="00CE3802" w:rsidRDefault="00C33509" w:rsidP="00CE3802">
      <w:pPr>
        <w:pStyle w:val="HeadingL2"/>
        <w:spacing w:after="260" w:line="280" w:lineRule="exact"/>
        <w:ind w:right="0"/>
        <w:jc w:val="both"/>
        <w:rPr>
          <w:rFonts w:ascii="Times New Roman" w:hAnsi="Times New Roman"/>
        </w:rPr>
      </w:pPr>
      <w:r w:rsidRPr="00CE3802">
        <w:rPr>
          <w:rFonts w:ascii="Times New Roman" w:hAnsi="Times New Roman"/>
        </w:rPr>
        <w:t>General observations</w:t>
      </w:r>
    </w:p>
    <w:p w14:paraId="11FD83DF"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Section 293 applies to proceedings in respect of a prescribed sexual offence (s 293(1)) and provides that evidence relating to the sexual reputation of the complainant (s 293(2)) or evidence that discloses or implies that the complainant has or may have had sexual experience or a lack of sexual experience or has or may have taken part or not taken part in any sexual activity (s 293(3)(a) and (b)) is inadmissible. Accordingly, the important premise on which s 293 operates is that such evidence would otherwise be admissible.</w:t>
      </w:r>
      <w:r w:rsidRPr="00CE3802">
        <w:rPr>
          <w:rStyle w:val="FootnoteReference"/>
          <w:rFonts w:ascii="Times New Roman" w:hAnsi="Times New Roman"/>
          <w:sz w:val="24"/>
        </w:rPr>
        <w:footnoteReference w:id="48"/>
      </w:r>
      <w:r w:rsidRPr="00CE3802">
        <w:rPr>
          <w:rFonts w:ascii="Times New Roman" w:hAnsi="Times New Roman"/>
        </w:rPr>
        <w:t xml:space="preserve"> To be admissible, the evidence must be relevant in the proceeding.</w:t>
      </w:r>
      <w:r w:rsidRPr="00CE3802">
        <w:rPr>
          <w:rStyle w:val="FootnoteReference"/>
          <w:rFonts w:ascii="Times New Roman" w:hAnsi="Times New Roman"/>
          <w:sz w:val="24"/>
        </w:rPr>
        <w:footnoteReference w:id="49"/>
      </w:r>
      <w:r w:rsidRPr="00CE3802">
        <w:rPr>
          <w:rFonts w:ascii="Times New Roman" w:hAnsi="Times New Roman"/>
        </w:rPr>
        <w:t xml:space="preserve"> It is not to be assumed that, merely because evidence is of the kind referred to in s 293(3), it is thereby "evidence that, if it were accepted, could rationally affect (directly or indirectly) the assessment of the probability of the existence of a fact in issue in the proceeding".</w:t>
      </w:r>
      <w:r w:rsidRPr="00CE3802">
        <w:rPr>
          <w:rStyle w:val="FootnoteReference"/>
          <w:rFonts w:ascii="Times New Roman" w:hAnsi="Times New Roman"/>
          <w:sz w:val="24"/>
        </w:rPr>
        <w:footnoteReference w:id="50"/>
      </w:r>
    </w:p>
    <w:p w14:paraId="45B8CB37"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I reject the submission for the accused that this case is an example of "categories of frequently excluded evidence that were not anticipated by the legislature". It is not to be assumed that the legislature did not anticipate the exclusion of the type of evidence in issue in these proceedings. The Queensland evidence ruled to be inadmissible in this case under s 293(3) was evidence proposed to be adduced from the complainant in cross</w:t>
      </w:r>
      <w:r w:rsidRPr="00CE3802">
        <w:rPr>
          <w:rFonts w:ascii="Times New Roman" w:hAnsi="Times New Roman"/>
        </w:rPr>
        <w:noBreakHyphen/>
        <w:t>examination about the sexual offending to which she was subjected when she was between five and seven years old, while in the care of her Queensland aunt. As the respondent submitted, this is "the very type of distressing cross</w:t>
      </w:r>
      <w:r w:rsidRPr="00CE3802">
        <w:rPr>
          <w:rFonts w:ascii="Times New Roman" w:hAnsi="Times New Roman"/>
        </w:rPr>
        <w:noBreakHyphen/>
        <w:t xml:space="preserve">examination which the legislature sought </w:t>
      </w:r>
      <w:r w:rsidRPr="00CE3802">
        <w:rPr>
          <w:rFonts w:ascii="Times New Roman" w:hAnsi="Times New Roman"/>
        </w:rPr>
        <w:lastRenderedPageBreak/>
        <w:t>to preclude", because such questioning "has been a potent cause of reluctance [of victims] to report sexual assault".</w:t>
      </w:r>
      <w:r w:rsidRPr="00CE3802">
        <w:rPr>
          <w:rStyle w:val="FootnoteReference"/>
          <w:rFonts w:ascii="Times New Roman" w:hAnsi="Times New Roman"/>
          <w:sz w:val="24"/>
        </w:rPr>
        <w:footnoteReference w:id="51"/>
      </w:r>
      <w:r w:rsidRPr="00CE3802">
        <w:rPr>
          <w:rFonts w:ascii="Times New Roman" w:hAnsi="Times New Roman"/>
        </w:rPr>
        <w:t xml:space="preserve"> </w:t>
      </w:r>
    </w:p>
    <w:p w14:paraId="5D58E893"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I also do not accept that the operation of s 293(3), in excluding such evidence, is to be understood as precluding an accused from adducing evidence necessary to be adduced in the interests of justice.</w:t>
      </w:r>
      <w:r w:rsidRPr="00CE3802">
        <w:rPr>
          <w:rStyle w:val="FootnoteReference"/>
          <w:rFonts w:ascii="Times New Roman" w:hAnsi="Times New Roman"/>
          <w:sz w:val="24"/>
        </w:rPr>
        <w:footnoteReference w:id="52"/>
      </w:r>
      <w:r w:rsidRPr="00CE3802">
        <w:rPr>
          <w:rFonts w:ascii="Times New Roman" w:hAnsi="Times New Roman"/>
        </w:rPr>
        <w:t xml:space="preserve"> The interests of justice extend beyond the interest of an accused. Further, the right to a fair trial is a right of both the accused and the Crown (as a representative of the people) and is not to be conflated with an accused's interest in obtaining an acquittal at any cost. In enacting s 293, the legislature struck the balance that it considered appropriate between all competing rights and interests, including those </w:t>
      </w:r>
      <w:proofErr w:type="gramStart"/>
      <w:r w:rsidRPr="00CE3802">
        <w:rPr>
          <w:rFonts w:ascii="Times New Roman" w:hAnsi="Times New Roman"/>
        </w:rPr>
        <w:t>both of the accused</w:t>
      </w:r>
      <w:proofErr w:type="gramEnd"/>
      <w:r w:rsidRPr="00CE3802">
        <w:rPr>
          <w:rFonts w:ascii="Times New Roman" w:hAnsi="Times New Roman"/>
        </w:rPr>
        <w:t xml:space="preserve"> and of the public in facilitating the reporting and prosecution of sexual assaults.</w:t>
      </w:r>
      <w:r w:rsidRPr="00CE3802">
        <w:rPr>
          <w:rStyle w:val="FootnoteReference"/>
          <w:rFonts w:ascii="Times New Roman" w:hAnsi="Times New Roman"/>
          <w:sz w:val="24"/>
        </w:rPr>
        <w:footnoteReference w:id="53"/>
      </w:r>
      <w:r w:rsidRPr="00CE3802">
        <w:rPr>
          <w:rFonts w:ascii="Times New Roman" w:hAnsi="Times New Roman"/>
        </w:rPr>
        <w:t xml:space="preserve"> As Adamson J rightly said in this case, it "is not uncommon that incomplete evidence is adduced in a jury trial to take account of the rules of evidence".</w:t>
      </w:r>
      <w:r w:rsidRPr="00CE3802">
        <w:rPr>
          <w:rStyle w:val="FootnoteReference"/>
          <w:rFonts w:ascii="Times New Roman" w:hAnsi="Times New Roman"/>
          <w:sz w:val="24"/>
        </w:rPr>
        <w:footnoteReference w:id="54"/>
      </w:r>
      <w:r w:rsidRPr="00CE3802">
        <w:rPr>
          <w:rFonts w:ascii="Times New Roman" w:hAnsi="Times New Roman"/>
        </w:rPr>
        <w:t xml:space="preserve"> </w:t>
      </w:r>
    </w:p>
    <w:p w14:paraId="36DF4950" w14:textId="77777777" w:rsidR="00C33509" w:rsidRPr="00CE3802" w:rsidRDefault="00C33509" w:rsidP="00CE3802">
      <w:pPr>
        <w:pStyle w:val="HeadingL2"/>
        <w:spacing w:after="260" w:line="280" w:lineRule="exact"/>
        <w:ind w:right="0"/>
        <w:jc w:val="both"/>
        <w:rPr>
          <w:rFonts w:ascii="Times New Roman" w:hAnsi="Times New Roman"/>
        </w:rPr>
      </w:pPr>
      <w:r w:rsidRPr="00CE3802">
        <w:rPr>
          <w:rFonts w:ascii="Times New Roman" w:hAnsi="Times New Roman"/>
        </w:rPr>
        <w:t>Section 293(4)(a)(</w:t>
      </w:r>
      <w:proofErr w:type="spellStart"/>
      <w:r w:rsidRPr="00CE3802">
        <w:rPr>
          <w:rFonts w:ascii="Times New Roman" w:hAnsi="Times New Roman"/>
        </w:rPr>
        <w:t>i</w:t>
      </w:r>
      <w:proofErr w:type="spellEnd"/>
      <w:r w:rsidRPr="00CE3802">
        <w:rPr>
          <w:rFonts w:ascii="Times New Roman" w:hAnsi="Times New Roman"/>
        </w:rPr>
        <w:t>)</w:t>
      </w:r>
    </w:p>
    <w:p w14:paraId="2F0C49D8"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A point made in the reasons of the majority in this appeal should be emphasised. The point relates to the meaning of "sexual experience" in ss 293(3)(a) and 293(4)(a)(</w:t>
      </w:r>
      <w:proofErr w:type="spellStart"/>
      <w:r w:rsidRPr="00CE3802">
        <w:rPr>
          <w:rFonts w:ascii="Times New Roman" w:hAnsi="Times New Roman"/>
        </w:rPr>
        <w:t>i</w:t>
      </w:r>
      <w:proofErr w:type="spellEnd"/>
      <w:r w:rsidRPr="00CE3802">
        <w:rPr>
          <w:rFonts w:ascii="Times New Roman" w:hAnsi="Times New Roman"/>
        </w:rPr>
        <w:t xml:space="preserve">) as explained in </w:t>
      </w:r>
      <w:r w:rsidRPr="00CE3802">
        <w:rPr>
          <w:rFonts w:ascii="Times New Roman" w:hAnsi="Times New Roman"/>
          <w:i/>
          <w:iCs/>
        </w:rPr>
        <w:t>GEH v The Queen</w:t>
      </w:r>
      <w:r w:rsidRPr="00CE3802">
        <w:rPr>
          <w:rFonts w:ascii="Times New Roman" w:hAnsi="Times New Roman"/>
        </w:rPr>
        <w:t>.</w:t>
      </w:r>
      <w:r w:rsidRPr="00CE3802">
        <w:rPr>
          <w:rStyle w:val="FootnoteReference"/>
          <w:rFonts w:ascii="Times New Roman" w:hAnsi="Times New Roman"/>
          <w:sz w:val="24"/>
        </w:rPr>
        <w:footnoteReference w:id="55"/>
      </w:r>
      <w:r w:rsidRPr="00CE3802">
        <w:rPr>
          <w:rFonts w:ascii="Times New Roman" w:hAnsi="Times New Roman"/>
        </w:rPr>
        <w:t xml:space="preserve"> In that case, Harrison J (with whom Beech</w:t>
      </w:r>
      <w:r w:rsidRPr="00CE3802">
        <w:rPr>
          <w:rFonts w:ascii="Times New Roman" w:hAnsi="Times New Roman"/>
        </w:rPr>
        <w:noBreakHyphen/>
        <w:t>Jones J agreed) said that the provision distinguishes between "sexual experience" and "sexual activity", the former encompassing "a state acquired over time, whether long or short, but which refers to the condition of having had experience in sexual matters, as opposed to a single or isolated sexual experience, or a number of them, at some particular time".</w:t>
      </w:r>
      <w:r w:rsidRPr="00CE3802">
        <w:rPr>
          <w:rStyle w:val="FootnoteReference"/>
          <w:rFonts w:ascii="Times New Roman" w:hAnsi="Times New Roman"/>
          <w:sz w:val="24"/>
        </w:rPr>
        <w:footnoteReference w:id="56"/>
      </w:r>
      <w:r w:rsidRPr="00CE3802">
        <w:rPr>
          <w:rFonts w:ascii="Times New Roman" w:hAnsi="Times New Roman"/>
        </w:rPr>
        <w:t xml:space="preserve"> Harrison J also said that "any complainant's sexual experience, in the historical sense, will necessarily be his or her sexual experience 'at or about' the relevant time. In other words, a complainant's sexual experience will be his or her state of being at or about the time of the commission of any alleged prescribed sexual offence because that state of sexual experience or lack of sexual experience will in an ambulatory </w:t>
      </w:r>
      <w:r w:rsidRPr="00CE3802">
        <w:rPr>
          <w:rFonts w:ascii="Times New Roman" w:hAnsi="Times New Roman"/>
        </w:rPr>
        <w:lastRenderedPageBreak/>
        <w:t>fashion always exist at the relevant time".</w:t>
      </w:r>
      <w:r w:rsidRPr="00CE3802">
        <w:rPr>
          <w:rStyle w:val="FootnoteReference"/>
          <w:rFonts w:ascii="Times New Roman" w:hAnsi="Times New Roman"/>
          <w:sz w:val="24"/>
        </w:rPr>
        <w:footnoteReference w:id="57"/>
      </w:r>
      <w:r w:rsidRPr="00CE3802">
        <w:rPr>
          <w:rFonts w:ascii="Times New Roman" w:hAnsi="Times New Roman"/>
        </w:rPr>
        <w:t xml:space="preserve"> It is this latter statement that I consider needs to be put in a clear context.</w:t>
      </w:r>
    </w:p>
    <w:p w14:paraId="0579BDC3"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The reasons of the majority note that "sexual experience is a characterisation that </w:t>
      </w:r>
      <w:r w:rsidRPr="00CE3802">
        <w:rPr>
          <w:rFonts w:ascii="Times New Roman" w:hAnsi="Times New Roman"/>
          <w:i/>
          <w:iCs/>
        </w:rPr>
        <w:t>can</w:t>
      </w:r>
      <w:r w:rsidRPr="00CE3802">
        <w:rPr>
          <w:rFonts w:ascii="Times New Roman" w:hAnsi="Times New Roman"/>
        </w:rPr>
        <w:t xml:space="preserve"> persist separately from a particular sexual act"</w:t>
      </w:r>
      <w:r w:rsidRPr="00CE3802">
        <w:rPr>
          <w:rStyle w:val="FootnoteReference"/>
          <w:rFonts w:ascii="Times New Roman" w:hAnsi="Times New Roman"/>
          <w:sz w:val="24"/>
        </w:rPr>
        <w:footnoteReference w:id="58"/>
      </w:r>
      <w:r w:rsidRPr="00CE3802">
        <w:rPr>
          <w:rFonts w:ascii="Times New Roman" w:hAnsi="Times New Roman"/>
        </w:rPr>
        <w:t xml:space="preserve"> and that "</w:t>
      </w:r>
      <w:r w:rsidRPr="00CE3802">
        <w:rPr>
          <w:rFonts w:ascii="Times New Roman" w:hAnsi="Times New Roman"/>
          <w:i/>
          <w:iCs/>
        </w:rPr>
        <w:t>provided that the characterisation continues at the time of the alleged sexual offence</w:t>
      </w:r>
      <w:r w:rsidRPr="00CE3802">
        <w:rPr>
          <w:rFonts w:ascii="Times New Roman" w:hAnsi="Times New Roman"/>
        </w:rPr>
        <w:t>, the evidence will also usually be evidence of sexual experience 'at or about the time of the commission of the alleged prescribed sexual offence'".</w:t>
      </w:r>
      <w:r w:rsidRPr="00CE3802">
        <w:rPr>
          <w:rStyle w:val="FootnoteReference"/>
          <w:rFonts w:ascii="Times New Roman" w:hAnsi="Times New Roman"/>
          <w:sz w:val="24"/>
        </w:rPr>
        <w:footnoteReference w:id="59"/>
      </w:r>
      <w:r w:rsidRPr="00CE3802">
        <w:rPr>
          <w:rFonts w:ascii="Times New Roman" w:hAnsi="Times New Roman"/>
        </w:rPr>
        <w:t xml:space="preserve"> I consider that this statement represents the proper understanding of the reasoning in, or a necessary qualification to the relevant parts of, </w:t>
      </w:r>
      <w:r w:rsidRPr="00CE3802">
        <w:rPr>
          <w:rFonts w:ascii="Times New Roman" w:hAnsi="Times New Roman"/>
          <w:i/>
          <w:iCs/>
        </w:rPr>
        <w:t>GEH v The Queen</w:t>
      </w:r>
      <w:r w:rsidRPr="00CE3802">
        <w:rPr>
          <w:rFonts w:ascii="Times New Roman" w:hAnsi="Times New Roman"/>
        </w:rPr>
        <w:t>.</w:t>
      </w:r>
    </w:p>
    <w:p w14:paraId="2A719099"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The assumption on which s 293 operates, that the evidence will otherwise be relevant in order to be admissible, means that irrelevant "sexual experience" and irrelevant "sexual activity" – that is, evidence of a kind which, if it were accepted, could not rationally affect (directly or indirectly) the assessment of the probability of the existence of a fact in issue in the proceeding – ought not to arise for consideration under s 293. As irrelevant evidence, such evidence is inadmissible under s 56(2) of the </w:t>
      </w:r>
      <w:r w:rsidRPr="00CE3802">
        <w:rPr>
          <w:rFonts w:ascii="Times New Roman" w:hAnsi="Times New Roman"/>
          <w:i/>
          <w:iCs/>
        </w:rPr>
        <w:t xml:space="preserve">Evidence Act 1995 </w:t>
      </w:r>
      <w:r w:rsidRPr="00CE3802">
        <w:rPr>
          <w:rFonts w:ascii="Times New Roman" w:hAnsi="Times New Roman"/>
        </w:rPr>
        <w:t xml:space="preserve">(NSW). </w:t>
      </w:r>
    </w:p>
    <w:p w14:paraId="61C4FE3E"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Given that the predicate of s 293 is that the evidence would otherwise be admissible as relevant evidence, it is not the case that a complainant's "sexual experience" should be understood to encompass the entirety of the complainant's "sexual experience, in the historical sense" or that such experience, or any aspect of it, "will necessarily be [the complainant's] sexual experience 'at or about' the relevant time", being the time of the alleged commission of the prescribed sexual offence. The above</w:t>
      </w:r>
      <w:r w:rsidRPr="00CE3802">
        <w:rPr>
          <w:rFonts w:ascii="Times New Roman" w:hAnsi="Times New Roman"/>
        </w:rPr>
        <w:noBreakHyphen/>
        <w:t xml:space="preserve">mentioned statements in </w:t>
      </w:r>
      <w:r w:rsidRPr="00CE3802">
        <w:rPr>
          <w:rFonts w:ascii="Times New Roman" w:hAnsi="Times New Roman"/>
          <w:i/>
          <w:iCs/>
        </w:rPr>
        <w:t>GEH v The Queen</w:t>
      </w:r>
      <w:r w:rsidRPr="00CE3802">
        <w:rPr>
          <w:rFonts w:ascii="Times New Roman" w:hAnsi="Times New Roman"/>
        </w:rPr>
        <w:t xml:space="preserve"> should not be understood to mean this, because those statements themselves assume that the evidence is otherwise relevant and admissible. This also underlies the importance of the qualification in the majority's reasons that the characterisation of a complainant's "sexual experience" needs to be continuing at the time of the alleged commission of the prescribed sexual offence. If the characterisation is not continuing at that time, it is difficult to see how it could be relevant or, if relevant, how it could satisfy the temporal requirement of "at or about the time of the commission of the alleged prescribed sexual offence" in s 293(4)(a)(</w:t>
      </w:r>
      <w:proofErr w:type="spellStart"/>
      <w:r w:rsidRPr="00CE3802">
        <w:rPr>
          <w:rFonts w:ascii="Times New Roman" w:hAnsi="Times New Roman"/>
        </w:rPr>
        <w:t>i</w:t>
      </w:r>
      <w:proofErr w:type="spellEnd"/>
      <w:r w:rsidRPr="00CE3802">
        <w:rPr>
          <w:rFonts w:ascii="Times New Roman" w:hAnsi="Times New Roman"/>
        </w:rPr>
        <w:t xml:space="preserve">). </w:t>
      </w:r>
    </w:p>
    <w:p w14:paraId="5D5A875C"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I also agree with the majority that the Queensland evidence was evidence about the complainant's sexual experience, albeit that I would characterise that experience of the complainant, at or about the time of the alleged prescribed sexual offences, as being (in the sense of relevantly remaining) a child survivor of child </w:t>
      </w:r>
      <w:r w:rsidRPr="00CE3802">
        <w:rPr>
          <w:rFonts w:ascii="Times New Roman" w:hAnsi="Times New Roman"/>
        </w:rPr>
        <w:lastRenderedPageBreak/>
        <w:t>sexual abuse.</w:t>
      </w:r>
      <w:r w:rsidRPr="00CE3802">
        <w:rPr>
          <w:rStyle w:val="FootnoteReference"/>
          <w:rFonts w:ascii="Times New Roman" w:hAnsi="Times New Roman"/>
          <w:sz w:val="24"/>
        </w:rPr>
        <w:footnoteReference w:id="60"/>
      </w:r>
      <w:r w:rsidRPr="00CE3802">
        <w:rPr>
          <w:rFonts w:ascii="Times New Roman" w:hAnsi="Times New Roman"/>
        </w:rPr>
        <w:t xml:space="preserve"> This characterisation of the complainant's sexual experience relevantly continued to the time of the alleged prescribed sexual offences by the accused because at the time of the alleged prescribed sexual offences: (a) the complainant remained a child and a "survivor" of child sexual abuse; and (b) although the complainant was between five and seven years old at the time of the Queensland offences, she remained a young child of only eight to twelve years of age at the time of the alleged prescribed sexual offences by the accused. Accordingly, the "sexual experience" of the complainant by reason of the Queensland offences, meaning her status as a child survivor of child sexual abuse, relevantly continued to the time of the commission of the alleged prescribed sexual offences as provided for in s 293(4)(a)(</w:t>
      </w:r>
      <w:proofErr w:type="spellStart"/>
      <w:r w:rsidRPr="00CE3802">
        <w:rPr>
          <w:rFonts w:ascii="Times New Roman" w:hAnsi="Times New Roman"/>
        </w:rPr>
        <w:t>i</w:t>
      </w:r>
      <w:proofErr w:type="spellEnd"/>
      <w:r w:rsidRPr="00CE3802">
        <w:rPr>
          <w:rFonts w:ascii="Times New Roman" w:hAnsi="Times New Roman"/>
        </w:rPr>
        <w:t>).</w:t>
      </w:r>
    </w:p>
    <w:p w14:paraId="7507B168" w14:textId="77777777" w:rsidR="00C33509" w:rsidRPr="00CE3802" w:rsidRDefault="00C33509" w:rsidP="00CE3802">
      <w:pPr>
        <w:pStyle w:val="HeadingL2"/>
        <w:spacing w:after="260" w:line="280" w:lineRule="exact"/>
        <w:ind w:right="0"/>
        <w:jc w:val="both"/>
        <w:rPr>
          <w:rFonts w:ascii="Times New Roman" w:hAnsi="Times New Roman"/>
        </w:rPr>
      </w:pPr>
      <w:r w:rsidRPr="00CE3802">
        <w:rPr>
          <w:rFonts w:ascii="Times New Roman" w:hAnsi="Times New Roman"/>
        </w:rPr>
        <w:t>Section 293(4)(a)(ii)</w:t>
      </w:r>
    </w:p>
    <w:p w14:paraId="432DCC95"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In respect of the application of s 293(4)(a)(ii) to the facts of the present case, the accused rightly did not suggest that his mere allegation that the Queensland evidence is of events that formed "part of a connected set of circumstances in which the alleged prescribed sexual offence was committed" satisfied the terms of s 293(4)(a)(ii), despite that section referring to "... events that are </w:t>
      </w:r>
      <w:r w:rsidRPr="00CE3802">
        <w:rPr>
          <w:rFonts w:ascii="Times New Roman" w:hAnsi="Times New Roman"/>
          <w:i/>
          <w:iCs/>
        </w:rPr>
        <w:t>alleged</w:t>
      </w:r>
      <w:r w:rsidRPr="00CE3802">
        <w:rPr>
          <w:rFonts w:ascii="Times New Roman" w:hAnsi="Times New Roman"/>
        </w:rPr>
        <w:t xml:space="preserve"> to form ...".</w:t>
      </w:r>
      <w:r w:rsidRPr="00CE3802">
        <w:rPr>
          <w:rStyle w:val="FootnoteReference"/>
          <w:rFonts w:ascii="Times New Roman" w:hAnsi="Times New Roman"/>
          <w:sz w:val="24"/>
        </w:rPr>
        <w:footnoteReference w:id="61"/>
      </w:r>
      <w:r w:rsidRPr="00CE3802">
        <w:rPr>
          <w:rFonts w:ascii="Times New Roman" w:hAnsi="Times New Roman"/>
        </w:rPr>
        <w:t xml:space="preserve"> Nor can the first "alleged" in s 293(4)(a)(ii) ("... if the evidence ... is of events that are </w:t>
      </w:r>
      <w:r w:rsidRPr="00CE3802">
        <w:rPr>
          <w:rFonts w:ascii="Times New Roman" w:hAnsi="Times New Roman"/>
          <w:i/>
          <w:iCs/>
        </w:rPr>
        <w:t>alleged</w:t>
      </w:r>
      <w:r w:rsidRPr="00CE3802">
        <w:rPr>
          <w:rFonts w:ascii="Times New Roman" w:hAnsi="Times New Roman"/>
        </w:rPr>
        <w:t xml:space="preserve"> to form ...") mean only a formal allegation by a prosecutor, in contrast to the second "alleged" in that section ("</w:t>
      </w:r>
      <w:r w:rsidRPr="00CE3802">
        <w:rPr>
          <w:rFonts w:ascii="Times New Roman" w:hAnsi="Times New Roman"/>
          <w:i/>
          <w:iCs/>
        </w:rPr>
        <w:t xml:space="preserve">alleged </w:t>
      </w:r>
      <w:r w:rsidRPr="00CE3802">
        <w:rPr>
          <w:rFonts w:ascii="Times New Roman" w:hAnsi="Times New Roman"/>
        </w:rPr>
        <w:t xml:space="preserve">prescribed sexual offence"), which relates to the formal allegation of a prosecutor against an accused of the commission of the prescribed sexual offence. Consistent with the approach in the cases summarised in </w:t>
      </w:r>
      <w:r w:rsidRPr="00CE3802">
        <w:rPr>
          <w:rFonts w:ascii="Times New Roman" w:hAnsi="Times New Roman"/>
          <w:i/>
          <w:iCs/>
        </w:rPr>
        <w:t>GEH v The Queen</w:t>
      </w:r>
      <w:r w:rsidRPr="00CE3802">
        <w:rPr>
          <w:rFonts w:ascii="Times New Roman" w:hAnsi="Times New Roman"/>
        </w:rPr>
        <w:t>,</w:t>
      </w:r>
      <w:r w:rsidRPr="00CE3802">
        <w:rPr>
          <w:rStyle w:val="FootnoteReference"/>
          <w:rFonts w:ascii="Times New Roman" w:hAnsi="Times New Roman"/>
          <w:sz w:val="24"/>
        </w:rPr>
        <w:footnoteReference w:id="62"/>
      </w:r>
      <w:r w:rsidRPr="00CE3802">
        <w:rPr>
          <w:rFonts w:ascii="Times New Roman" w:hAnsi="Times New Roman"/>
        </w:rPr>
        <w:t xml:space="preserve"> the condition in s 293(4)(a)(ii) is to be construed as requiring the court to be satisfied that there is a rational and objective evidentiary foundation that the evidence is of events that "form part of a connected set of circumstances in which the alleged prescribed sexual offence was committed".</w:t>
      </w:r>
      <w:r w:rsidRPr="00CE3802">
        <w:rPr>
          <w:rStyle w:val="FootnoteReference"/>
          <w:rFonts w:ascii="Times New Roman" w:hAnsi="Times New Roman"/>
          <w:sz w:val="24"/>
        </w:rPr>
        <w:footnoteReference w:id="63"/>
      </w:r>
      <w:r w:rsidRPr="00CE3802">
        <w:rPr>
          <w:rFonts w:ascii="Times New Roman" w:hAnsi="Times New Roman"/>
        </w:rPr>
        <w:t xml:space="preserve"> As the majority concludes,</w:t>
      </w:r>
      <w:r w:rsidRPr="00CE3802">
        <w:rPr>
          <w:rStyle w:val="FootnoteReference"/>
          <w:rFonts w:ascii="Times New Roman" w:hAnsi="Times New Roman"/>
          <w:sz w:val="24"/>
        </w:rPr>
        <w:footnoteReference w:id="64"/>
      </w:r>
      <w:r w:rsidRPr="00CE3802">
        <w:rPr>
          <w:rFonts w:ascii="Times New Roman" w:hAnsi="Times New Roman"/>
        </w:rPr>
        <w:t xml:space="preserve"> none of the Queensland evidence was, in the required sense, part of a set of circumstances in which the alleged sexual offences were committed.</w:t>
      </w:r>
    </w:p>
    <w:p w14:paraId="4F0E35E3" w14:textId="77777777" w:rsidR="00C33509" w:rsidRPr="00CE3802" w:rsidRDefault="00C33509" w:rsidP="00CE3802">
      <w:pPr>
        <w:pStyle w:val="HeadingL2"/>
        <w:spacing w:after="260" w:line="280" w:lineRule="exact"/>
        <w:ind w:right="0"/>
        <w:jc w:val="both"/>
        <w:rPr>
          <w:rFonts w:ascii="Times New Roman" w:hAnsi="Times New Roman"/>
        </w:rPr>
      </w:pPr>
      <w:r w:rsidRPr="00CE3802">
        <w:rPr>
          <w:rFonts w:ascii="Times New Roman" w:hAnsi="Times New Roman"/>
        </w:rPr>
        <w:lastRenderedPageBreak/>
        <w:t>Section 293(4)(b)</w:t>
      </w:r>
    </w:p>
    <w:p w14:paraId="6F36236C"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Turning now to s 293(4)(b), I have reached a different conclusion from that of the majority.</w:t>
      </w:r>
      <w:r w:rsidRPr="00CE3802">
        <w:rPr>
          <w:rStyle w:val="FootnoteReference"/>
          <w:rFonts w:ascii="Times New Roman" w:hAnsi="Times New Roman"/>
          <w:sz w:val="24"/>
        </w:rPr>
        <w:footnoteReference w:id="65"/>
      </w:r>
      <w:r w:rsidRPr="00CE3802">
        <w:rPr>
          <w:rFonts w:ascii="Times New Roman" w:hAnsi="Times New Roman"/>
        </w:rPr>
        <w:t xml:space="preserve"> The accused's case in the Court of Criminal Appeal was that the complainant's alleged disclosure of the Queensland offences to the accused (specifically, the sexual nature of those offences) was evidence that related to a close personal relationship of confidence between the complainant and the accused within the meaning of s 293(4)(b).</w:t>
      </w:r>
      <w:r w:rsidRPr="00CE3802">
        <w:rPr>
          <w:rStyle w:val="FootnoteReference"/>
          <w:rFonts w:ascii="Times New Roman" w:hAnsi="Times New Roman"/>
          <w:sz w:val="24"/>
        </w:rPr>
        <w:footnoteReference w:id="66"/>
      </w:r>
      <w:r w:rsidRPr="00CE3802">
        <w:rPr>
          <w:rFonts w:ascii="Times New Roman" w:hAnsi="Times New Roman"/>
        </w:rPr>
        <w:t xml:space="preserve"> Adamson and Bellew JJ rejected that contention on the basis that, irrespective of the trial judge's error in misunderstanding the relevant relationship for the operation of s 293(4)(b),</w:t>
      </w:r>
      <w:r w:rsidRPr="00CE3802">
        <w:rPr>
          <w:rStyle w:val="FootnoteReference"/>
          <w:rFonts w:ascii="Times New Roman" w:hAnsi="Times New Roman"/>
          <w:sz w:val="24"/>
        </w:rPr>
        <w:footnoteReference w:id="67"/>
      </w:r>
      <w:r w:rsidRPr="00CE3802">
        <w:rPr>
          <w:rFonts w:ascii="Times New Roman" w:hAnsi="Times New Roman"/>
        </w:rPr>
        <w:t xml:space="preserve"> the evidence could not be said to relate to such a relationship between the complainant and the accused.</w:t>
      </w:r>
      <w:r w:rsidRPr="00CE3802">
        <w:rPr>
          <w:rStyle w:val="FootnoteReference"/>
          <w:rFonts w:ascii="Times New Roman" w:hAnsi="Times New Roman"/>
          <w:sz w:val="24"/>
        </w:rPr>
        <w:footnoteReference w:id="68"/>
      </w:r>
      <w:r w:rsidRPr="00CE3802">
        <w:rPr>
          <w:rFonts w:ascii="Times New Roman" w:hAnsi="Times New Roman"/>
        </w:rPr>
        <w:t xml:space="preserve"> Adamson J said (and Bellew J agreed) that she was "not persuaded that the disclosure by [the complainant] to [the accused] of offences perpetrated on [the complainant] by [the Queensland offender] can be said to 'relate to' the relationship between [the complainant] and [the accused]".</w:t>
      </w:r>
      <w:r w:rsidRPr="00CE3802">
        <w:rPr>
          <w:rStyle w:val="FootnoteReference"/>
          <w:rFonts w:ascii="Times New Roman" w:hAnsi="Times New Roman"/>
          <w:sz w:val="24"/>
        </w:rPr>
        <w:footnoteReference w:id="69"/>
      </w:r>
    </w:p>
    <w:p w14:paraId="0AF9DDE6"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Beech</w:t>
      </w:r>
      <w:r w:rsidRPr="00CE3802">
        <w:rPr>
          <w:rFonts w:ascii="Times New Roman" w:hAnsi="Times New Roman"/>
        </w:rPr>
        <w:noBreakHyphen/>
        <w:t xml:space="preserve">Jones CJ at CL considered, however, that the evidence of the alleged disclosure by the complainant to the accused of the Queensland offences (including their sexual nature) </w:t>
      </w:r>
      <w:r w:rsidRPr="00CE3802">
        <w:rPr>
          <w:rFonts w:ascii="Times New Roman" w:hAnsi="Times New Roman"/>
          <w:i/>
          <w:iCs/>
        </w:rPr>
        <w:t>could</w:t>
      </w:r>
      <w:r w:rsidRPr="00CE3802">
        <w:rPr>
          <w:rFonts w:ascii="Times New Roman" w:hAnsi="Times New Roman"/>
        </w:rPr>
        <w:t xml:space="preserve"> relate to a relationship of trust and confidence between the complainant and the accused that was existing or recent at the time of the commission of the alleged prescribed sexual offences, and, because the trial judge misunderstood the relevant relationship,</w:t>
      </w:r>
      <w:r w:rsidRPr="00CE3802">
        <w:rPr>
          <w:rStyle w:val="FootnoteReference"/>
          <w:rFonts w:ascii="Times New Roman" w:hAnsi="Times New Roman"/>
          <w:sz w:val="24"/>
        </w:rPr>
        <w:footnoteReference w:id="70"/>
      </w:r>
      <w:r w:rsidRPr="00CE3802">
        <w:rPr>
          <w:rFonts w:ascii="Times New Roman" w:hAnsi="Times New Roman"/>
        </w:rPr>
        <w:t xml:space="preserve"> insufficient facts had been found to determine that question.</w:t>
      </w:r>
      <w:r w:rsidRPr="00CE3802">
        <w:rPr>
          <w:rStyle w:val="FootnoteReference"/>
          <w:rFonts w:ascii="Times New Roman" w:hAnsi="Times New Roman"/>
          <w:sz w:val="24"/>
        </w:rPr>
        <w:footnoteReference w:id="71"/>
      </w:r>
      <w:r w:rsidRPr="00CE3802">
        <w:rPr>
          <w:rFonts w:ascii="Times New Roman" w:hAnsi="Times New Roman"/>
        </w:rPr>
        <w:t xml:space="preserve"> Accordingly, and in light of s 130A(2) of the </w:t>
      </w:r>
      <w:r w:rsidRPr="00CE3802">
        <w:rPr>
          <w:rFonts w:ascii="Times New Roman" w:hAnsi="Times New Roman"/>
          <w:i/>
          <w:iCs/>
        </w:rPr>
        <w:t>Criminal Procedure Act</w:t>
      </w:r>
      <w:r w:rsidRPr="00CE3802">
        <w:rPr>
          <w:rFonts w:ascii="Times New Roman" w:hAnsi="Times New Roman"/>
        </w:rPr>
        <w:t>, Beech</w:t>
      </w:r>
      <w:r w:rsidRPr="00CE3802">
        <w:rPr>
          <w:rFonts w:ascii="Times New Roman" w:hAnsi="Times New Roman"/>
        </w:rPr>
        <w:noBreakHyphen/>
        <w:t>Jones CJ at CL concluded that this ground of the accused's appeal to the Court of Criminal Appeal should be upheld.</w:t>
      </w:r>
      <w:r w:rsidRPr="00CE3802">
        <w:rPr>
          <w:rStyle w:val="FootnoteReference"/>
          <w:rFonts w:ascii="Times New Roman" w:hAnsi="Times New Roman"/>
          <w:sz w:val="24"/>
        </w:rPr>
        <w:footnoteReference w:id="72"/>
      </w:r>
    </w:p>
    <w:p w14:paraId="2EC2772E"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lastRenderedPageBreak/>
        <w:tab/>
        <w:t xml:space="preserve">Section 130A(2) of the </w:t>
      </w:r>
      <w:r w:rsidRPr="00CE3802">
        <w:rPr>
          <w:rFonts w:ascii="Times New Roman" w:hAnsi="Times New Roman"/>
          <w:i/>
          <w:iCs/>
        </w:rPr>
        <w:t>Criminal Procedure Act</w:t>
      </w:r>
      <w:r w:rsidRPr="00CE3802">
        <w:rPr>
          <w:rFonts w:ascii="Times New Roman" w:hAnsi="Times New Roman"/>
        </w:rPr>
        <w:t xml:space="preserve"> provides that if, on an appeal against a conviction for an offence in proceedings on indictment, a new trial is ordered, a pre</w:t>
      </w:r>
      <w:r w:rsidRPr="00CE3802">
        <w:rPr>
          <w:rFonts w:ascii="Times New Roman" w:hAnsi="Times New Roman"/>
        </w:rPr>
        <w:noBreakHyphen/>
        <w:t>trial order made by a judge, or an order made by the trial judge, in relation to the proceedings from which the conviction arose is binding on the trial judge hearing the fresh trial proceedings unless, (a) in the opinion of the trial judge hearing the fresh trial proceedings, it would not be in the interests of justice for that order to be binding, or (b) that order is inconsistent with an order made on appeal. That is, the appeal to the Court of Criminal Appeal having been allowed on other grounds, Beech</w:t>
      </w:r>
      <w:r w:rsidRPr="00CE3802">
        <w:rPr>
          <w:rFonts w:ascii="Times New Roman" w:hAnsi="Times New Roman"/>
        </w:rPr>
        <w:noBreakHyphen/>
        <w:t>Jones CJ at CL considered that the trial judge's misunderstanding and inadequate factual findings as a consequence, together with the incomplete record of evidence before the Court of Criminal Appeal,</w:t>
      </w:r>
      <w:r w:rsidRPr="00CE3802">
        <w:rPr>
          <w:rStyle w:val="FootnoteReference"/>
          <w:rFonts w:ascii="Times New Roman" w:hAnsi="Times New Roman"/>
          <w:sz w:val="24"/>
        </w:rPr>
        <w:footnoteReference w:id="73"/>
      </w:r>
      <w:r w:rsidRPr="00CE3802">
        <w:rPr>
          <w:rFonts w:ascii="Times New Roman" w:hAnsi="Times New Roman"/>
        </w:rPr>
        <w:t xml:space="preserve"> meant that the ground relating to the exclusion of the sexual nature of the Queensland evidence should be upheld, partly so that, in the fresh trial, the trial judge would not be bound</w:t>
      </w:r>
      <w:r w:rsidRPr="00CE3802">
        <w:rPr>
          <w:rStyle w:val="FootnoteReference"/>
          <w:rFonts w:ascii="Times New Roman" w:hAnsi="Times New Roman"/>
          <w:sz w:val="24"/>
        </w:rPr>
        <w:footnoteReference w:id="74"/>
      </w:r>
      <w:r w:rsidRPr="00CE3802">
        <w:rPr>
          <w:rFonts w:ascii="Times New Roman" w:hAnsi="Times New Roman"/>
        </w:rPr>
        <w:t xml:space="preserve"> to apply the ruling excluding that evidence.</w:t>
      </w:r>
      <w:r w:rsidRPr="00CE3802">
        <w:rPr>
          <w:rStyle w:val="FootnoteReference"/>
          <w:rFonts w:ascii="Times New Roman" w:hAnsi="Times New Roman"/>
          <w:sz w:val="24"/>
        </w:rPr>
        <w:footnoteReference w:id="75"/>
      </w:r>
    </w:p>
    <w:p w14:paraId="7562E325"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As the reasons for Adamson J (Bellew J agreeing) disclose, however: (a) the trial judge conducted a pre-trial </w:t>
      </w:r>
      <w:proofErr w:type="spellStart"/>
      <w:r w:rsidRPr="00CE3802">
        <w:rPr>
          <w:rFonts w:ascii="Times New Roman" w:hAnsi="Times New Roman"/>
          <w:i/>
          <w:iCs/>
        </w:rPr>
        <w:t>voir</w:t>
      </w:r>
      <w:proofErr w:type="spellEnd"/>
      <w:r w:rsidRPr="00CE3802">
        <w:rPr>
          <w:rFonts w:ascii="Times New Roman" w:hAnsi="Times New Roman"/>
          <w:i/>
          <w:iCs/>
        </w:rPr>
        <w:t xml:space="preserve"> dire</w:t>
      </w:r>
      <w:r w:rsidRPr="00CE3802">
        <w:rPr>
          <w:rFonts w:ascii="Times New Roman" w:hAnsi="Times New Roman"/>
        </w:rPr>
        <w:t xml:space="preserve"> to determine the admissibility of the Queensland evidence;</w:t>
      </w:r>
      <w:r w:rsidRPr="00CE3802">
        <w:rPr>
          <w:rStyle w:val="FootnoteReference"/>
          <w:rFonts w:ascii="Times New Roman" w:hAnsi="Times New Roman"/>
          <w:sz w:val="24"/>
        </w:rPr>
        <w:footnoteReference w:id="76"/>
      </w:r>
      <w:r w:rsidRPr="00CE3802">
        <w:rPr>
          <w:rFonts w:ascii="Times New Roman" w:hAnsi="Times New Roman"/>
        </w:rPr>
        <w:t xml:space="preserve"> (b) in the appeal to the Court of Criminal Appeal, counsel for the accused identified the options open to that Court in respect of the argument concerning s 293(4)(a) and (b) and submitted that the options included the Court of Criminal Appeal "</w:t>
      </w:r>
      <w:proofErr w:type="spellStart"/>
      <w:r w:rsidRPr="00CE3802">
        <w:rPr>
          <w:rFonts w:ascii="Times New Roman" w:hAnsi="Times New Roman"/>
        </w:rPr>
        <w:t>determin</w:t>
      </w:r>
      <w:proofErr w:type="spellEnd"/>
      <w:r w:rsidRPr="00CE3802">
        <w:rPr>
          <w:rFonts w:ascii="Times New Roman" w:hAnsi="Times New Roman"/>
        </w:rPr>
        <w:t>[</w:t>
      </w:r>
      <w:proofErr w:type="spellStart"/>
      <w:r w:rsidRPr="00CE3802">
        <w:rPr>
          <w:rFonts w:ascii="Times New Roman" w:hAnsi="Times New Roman"/>
        </w:rPr>
        <w:t>ing</w:t>
      </w:r>
      <w:proofErr w:type="spellEnd"/>
      <w:r w:rsidRPr="00CE3802">
        <w:rPr>
          <w:rFonts w:ascii="Times New Roman" w:hAnsi="Times New Roman"/>
        </w:rPr>
        <w:t>] for itself that the evidence did not fall within the exceptions in s 293(4)(a) and (b)";</w:t>
      </w:r>
      <w:r w:rsidRPr="00CE3802">
        <w:rPr>
          <w:rStyle w:val="FootnoteReference"/>
          <w:rFonts w:ascii="Times New Roman" w:hAnsi="Times New Roman"/>
          <w:sz w:val="24"/>
        </w:rPr>
        <w:footnoteReference w:id="77"/>
      </w:r>
      <w:r w:rsidRPr="00CE3802">
        <w:rPr>
          <w:rFonts w:ascii="Times New Roman" w:hAnsi="Times New Roman"/>
        </w:rPr>
        <w:t xml:space="preserve"> (c) Adamson J recorded that the parties had "joined issue in this Court about the applicability of" s 293(4)(a) and (b) and that there had been "full argument on the question";</w:t>
      </w:r>
      <w:r w:rsidRPr="00CE3802">
        <w:rPr>
          <w:rStyle w:val="FootnoteReference"/>
          <w:rFonts w:ascii="Times New Roman" w:hAnsi="Times New Roman"/>
          <w:sz w:val="24"/>
        </w:rPr>
        <w:footnoteReference w:id="78"/>
      </w:r>
      <w:r w:rsidRPr="00CE3802">
        <w:rPr>
          <w:rFonts w:ascii="Times New Roman" w:hAnsi="Times New Roman"/>
        </w:rPr>
        <w:t xml:space="preserve"> (d) it was in this context that Adamson J was "persuaded that it would be preferable for this Court to decide whether either of s 293(4)(a) or (b) applies in the present case";</w:t>
      </w:r>
      <w:r w:rsidRPr="00CE3802">
        <w:rPr>
          <w:rStyle w:val="FootnoteReference"/>
          <w:rFonts w:ascii="Times New Roman" w:hAnsi="Times New Roman"/>
          <w:sz w:val="24"/>
        </w:rPr>
        <w:footnoteReference w:id="79"/>
      </w:r>
      <w:r w:rsidRPr="00CE3802">
        <w:rPr>
          <w:rFonts w:ascii="Times New Roman" w:hAnsi="Times New Roman"/>
        </w:rPr>
        <w:t xml:space="preserve"> and (e) in considering the arguments put for the accused that s 293(4)(b) applied, Adamson J recorded that counsel "submitted that the complainant's evidence of the Queensland offences </w:t>
      </w:r>
      <w:r w:rsidRPr="00CE3802">
        <w:rPr>
          <w:rFonts w:ascii="Times New Roman" w:hAnsi="Times New Roman"/>
          <w:i/>
          <w:iCs/>
        </w:rPr>
        <w:t>related to</w:t>
      </w:r>
      <w:r w:rsidRPr="00CE3802">
        <w:rPr>
          <w:rFonts w:ascii="Times New Roman" w:hAnsi="Times New Roman"/>
        </w:rPr>
        <w:t xml:space="preserve"> her relationship with the [accused], which existed at the time of the subject offences because she chose to confide in him about the </w:t>
      </w:r>
      <w:r w:rsidRPr="00CE3802">
        <w:rPr>
          <w:rFonts w:ascii="Times New Roman" w:hAnsi="Times New Roman"/>
        </w:rPr>
        <w:lastRenderedPageBreak/>
        <w:t xml:space="preserve">Queensland offences ... Thus, [counsel] argued, the complainant's evidence </w:t>
      </w:r>
      <w:r w:rsidRPr="00CE3802">
        <w:rPr>
          <w:rFonts w:ascii="Times New Roman" w:hAnsi="Times New Roman"/>
          <w:i/>
          <w:iCs/>
        </w:rPr>
        <w:t>related</w:t>
      </w:r>
      <w:r w:rsidRPr="00CE3802">
        <w:rPr>
          <w:rFonts w:ascii="Times New Roman" w:hAnsi="Times New Roman"/>
        </w:rPr>
        <w:t xml:space="preserve"> to their relationship of confidence, which was existing at the time of the commission of the subject offences."</w:t>
      </w:r>
      <w:r w:rsidRPr="00CE3802">
        <w:rPr>
          <w:rStyle w:val="FootnoteReference"/>
          <w:rFonts w:ascii="Times New Roman" w:hAnsi="Times New Roman"/>
          <w:sz w:val="24"/>
        </w:rPr>
        <w:footnoteReference w:id="80"/>
      </w:r>
    </w:p>
    <w:p w14:paraId="6DB0EE8F"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Accordingly, the substantive application of s 293(4)(b) to the evidence of the complainant about her alleged disclosure to the accused of the Queensland offences (including their sexual nature) was in issue before the Court of Criminal Appeal, and the accused's counsel sought that this issue be determined for or against the accused.</w:t>
      </w:r>
      <w:r w:rsidRPr="00CE3802">
        <w:rPr>
          <w:rStyle w:val="FootnoteReference"/>
          <w:rFonts w:ascii="Times New Roman" w:hAnsi="Times New Roman"/>
          <w:sz w:val="24"/>
        </w:rPr>
        <w:footnoteReference w:id="81"/>
      </w:r>
      <w:r w:rsidRPr="00CE3802">
        <w:rPr>
          <w:rFonts w:ascii="Times New Roman" w:hAnsi="Times New Roman"/>
        </w:rPr>
        <w:t xml:space="preserve"> The Court of Criminal Appeal had before it the complainant's evidence of her alleged disclosure of the Queensland offences to the accused. Adamson J (Bellew J agreeing) therefore did not err in determining the issue as put before the Court on behalf of the accused. Further, Adamson J did not reach her conclusion relying on </w:t>
      </w:r>
      <w:r w:rsidRPr="00CE3802">
        <w:rPr>
          <w:rFonts w:ascii="Times New Roman" w:hAnsi="Times New Roman"/>
          <w:i/>
          <w:iCs/>
        </w:rPr>
        <w:t>HG v The Queen</w:t>
      </w:r>
      <w:r w:rsidRPr="00CE3802">
        <w:rPr>
          <w:rFonts w:ascii="Times New Roman" w:hAnsi="Times New Roman"/>
        </w:rPr>
        <w:t>.</w:t>
      </w:r>
      <w:r w:rsidRPr="00CE3802">
        <w:rPr>
          <w:rStyle w:val="FootnoteReference"/>
          <w:rFonts w:ascii="Times New Roman" w:hAnsi="Times New Roman"/>
          <w:sz w:val="24"/>
        </w:rPr>
        <w:footnoteReference w:id="82"/>
      </w:r>
      <w:r w:rsidRPr="00CE3802">
        <w:rPr>
          <w:rFonts w:ascii="Times New Roman" w:hAnsi="Times New Roman"/>
        </w:rPr>
        <w:t xml:space="preserve"> It is apparent that her Honour discussed that case principally because the accused made submissions about it, not to support her conclusion about the inadmissibility of the evidence in this case.</w:t>
      </w:r>
      <w:r w:rsidRPr="00CE3802">
        <w:rPr>
          <w:rStyle w:val="FootnoteReference"/>
          <w:rFonts w:ascii="Times New Roman" w:hAnsi="Times New Roman"/>
          <w:sz w:val="24"/>
        </w:rPr>
        <w:footnoteReference w:id="83"/>
      </w:r>
    </w:p>
    <w:p w14:paraId="37BCE859"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The respondent also did not agree that the evidence before this Court (and the Court of Criminal Appeal) which the accused sought to adduce (of the complainant's disclosure of the Queensland offences, as sexual offences, to the accused), or the balance of the evidence, was insufficient to enable this Court to determine if a relationship of trust and confidence existed at the relevant time between the complainant and the accused. To the contrary, the respondent's principal submission in this respect was that the Court of Criminal Appeal was correct to conclude that the complainant's alleged disclosure to the accused could not be said to relate to the asserted relationship of trust and confidence between them. It was only if</w:t>
      </w:r>
      <w:r w:rsidRPr="00CE3802">
        <w:rPr>
          <w:rFonts w:ascii="Times New Roman" w:hAnsi="Times New Roman"/>
          <w:i/>
          <w:iCs/>
        </w:rPr>
        <w:t xml:space="preserve"> </w:t>
      </w:r>
      <w:r w:rsidRPr="00CE3802">
        <w:rPr>
          <w:rFonts w:ascii="Times New Roman" w:hAnsi="Times New Roman"/>
        </w:rPr>
        <w:t xml:space="preserve">this principal submission were to be rejected that the respondent submitted that it would be necessary to remit the matter for determination on the retrial of the accused. Moreover, the parties again joined issue on the substance of this aspect of the matter before this Court. For example, it was submitted for the accused in this Court that the evidence of the complainant's alleged disclosure of the Queensland offences to the accused brought the evidence of that disclosure within s 293(4)(b). It was submitted for the respondent that it did not. As the respondent also submitted, the accused left "unexplained how the </w:t>
      </w:r>
      <w:r w:rsidRPr="00CE3802">
        <w:rPr>
          <w:rFonts w:ascii="Times New Roman" w:hAnsi="Times New Roman"/>
        </w:rPr>
        <w:lastRenderedPageBreak/>
        <w:t xml:space="preserve">balance of the evidence (outside the disclosure </w:t>
      </w:r>
      <w:r w:rsidRPr="00CE3802">
        <w:rPr>
          <w:rFonts w:ascii="Times New Roman" w:hAnsi="Times New Roman"/>
          <w:i/>
          <w:iCs/>
        </w:rPr>
        <w:t>to him</w:t>
      </w:r>
      <w:r w:rsidRPr="00CE3802">
        <w:rPr>
          <w:rFonts w:ascii="Times New Roman" w:hAnsi="Times New Roman"/>
        </w:rPr>
        <w:t>) ... supported a conclusion as to" a relevant relationship existing between the accused and the complainant.</w:t>
      </w:r>
      <w:r w:rsidRPr="00CE3802">
        <w:rPr>
          <w:rStyle w:val="FootnoteReference"/>
          <w:rFonts w:ascii="Times New Roman" w:hAnsi="Times New Roman"/>
          <w:sz w:val="24"/>
        </w:rPr>
        <w:footnoteReference w:id="84"/>
      </w:r>
      <w:r w:rsidRPr="00CE3802">
        <w:rPr>
          <w:rFonts w:ascii="Times New Roman" w:hAnsi="Times New Roman"/>
        </w:rPr>
        <w:t xml:space="preserve"> </w:t>
      </w:r>
    </w:p>
    <w:p w14:paraId="652A76AC"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Otherwise, as counsel for the accused accepted during oral argument, the type of relationship alleged to have existed must be identified before an assessment can be made of how the evidence sought to be adduced relates to that relationship. In this case, the evidence sought to be adduced is also the evidence of the alleged relationship of trust and confidence. This means it is necessary to consider whether the evidence sought to be adduced is capable of being characterised as evidence of the existence of the alleged relationship. </w:t>
      </w:r>
    </w:p>
    <w:p w14:paraId="2917843F"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The evidence in fact adduced in this case about the complainant's disclosure to the accused is inconsistent with the existence of the alleged relationship of trust and confidence. The accused's counsel was permitted to cross</w:t>
      </w:r>
      <w:r w:rsidRPr="00CE3802">
        <w:rPr>
          <w:rFonts w:ascii="Times New Roman" w:hAnsi="Times New Roman"/>
        </w:rPr>
        <w:noBreakHyphen/>
        <w:t>examine the complainant about the alleged disclosure, albeit that the Queensland offences (on two occasions) were referred to by the accused's counsel as a "physical assault", the accused's counsel saying that he would not "go into the detail" (that is, the sexual nature) of those offences. The complainant was asked if she had told her New South Wales aunt (who was married to the accused) and the accused "about what had happened to [the complainant] in Queensland". The complainant answered: "I do remember that I told them". It was then put to the complainant that she had complained to the accused about what had happened to her in Queensland. The complainant answered: "[n]</w:t>
      </w:r>
      <w:proofErr w:type="spellStart"/>
      <w:r w:rsidRPr="00CE3802">
        <w:rPr>
          <w:rFonts w:ascii="Times New Roman" w:hAnsi="Times New Roman"/>
        </w:rPr>
        <w:t>ot</w:t>
      </w:r>
      <w:proofErr w:type="spellEnd"/>
      <w:r w:rsidRPr="00CE3802">
        <w:rPr>
          <w:rFonts w:ascii="Times New Roman" w:hAnsi="Times New Roman"/>
        </w:rPr>
        <w:t xml:space="preserve"> really". She was then asked if she remembered being at a Repco store and looking at certain items and saying to the accused, "that was the sort of thing he tied me up with". The complainant answered: "[n]o I don't remember it". She was asked next if she knew what cable ties were, to which the complainant answered, "[y]es". It was then put to the complainant that "[she] disclosed to [the accused] in detail" what had happened to her in Queensland, and she answered: "[n]</w:t>
      </w:r>
      <w:proofErr w:type="spellStart"/>
      <w:r w:rsidRPr="00CE3802">
        <w:rPr>
          <w:rFonts w:ascii="Times New Roman" w:hAnsi="Times New Roman"/>
        </w:rPr>
        <w:t>ot</w:t>
      </w:r>
      <w:proofErr w:type="spellEnd"/>
      <w:r w:rsidRPr="00CE3802">
        <w:rPr>
          <w:rFonts w:ascii="Times New Roman" w:hAnsi="Times New Roman"/>
        </w:rPr>
        <w:t xml:space="preserve"> in detail, I didn't tell him a lot of stuff, I told [the New South Wales aunt] a lot of it". </w:t>
      </w:r>
    </w:p>
    <w:p w14:paraId="06391D9C"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The complainant also gave evidence in cross-examination that she did not tell her New South Wales aunt about the accused's sexual offences against her because of her experience in Queensland and because she "didn't want it all to start again", saying that it had taken her years to speak about what happened to her in Queensland. In a similar context, the complainant gave evidence that "[t]</w:t>
      </w:r>
      <w:proofErr w:type="spellStart"/>
      <w:r w:rsidRPr="00CE3802">
        <w:rPr>
          <w:rFonts w:ascii="Times New Roman" w:hAnsi="Times New Roman"/>
        </w:rPr>
        <w:t>hings</w:t>
      </w:r>
      <w:proofErr w:type="spellEnd"/>
      <w:r w:rsidRPr="00CE3802">
        <w:rPr>
          <w:rFonts w:ascii="Times New Roman" w:hAnsi="Times New Roman"/>
        </w:rPr>
        <w:t xml:space="preserve"> aren't easy to speak up about, especially when it's going to ruin a family [and] when I'm so young and I'm going through another court case about a similar issue".</w:t>
      </w:r>
    </w:p>
    <w:p w14:paraId="5831B067"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The evidence that the accused's counsel adduced in cross</w:t>
      </w:r>
      <w:r w:rsidRPr="00CE3802">
        <w:rPr>
          <w:rFonts w:ascii="Times New Roman" w:hAnsi="Times New Roman"/>
        </w:rPr>
        <w:noBreakHyphen/>
        <w:t xml:space="preserve">examination from the complainant does not establish the complainant disclosing the Queensland offences, in detail or otherwise, to the accused. If anything, the evidence establishes the lack of any relationship of trust and confidence between the </w:t>
      </w:r>
      <w:r w:rsidRPr="00CE3802">
        <w:rPr>
          <w:rFonts w:ascii="Times New Roman" w:hAnsi="Times New Roman"/>
        </w:rPr>
        <w:lastRenderedPageBreak/>
        <w:t xml:space="preserve">complainant and the accused. For example, given the complainant said that she did not tell the accused </w:t>
      </w:r>
      <w:proofErr w:type="gramStart"/>
      <w:r w:rsidRPr="00CE3802">
        <w:rPr>
          <w:rFonts w:ascii="Times New Roman" w:hAnsi="Times New Roman"/>
        </w:rPr>
        <w:t>"a</w:t>
      </w:r>
      <w:proofErr w:type="gramEnd"/>
      <w:r w:rsidRPr="00CE3802">
        <w:rPr>
          <w:rFonts w:ascii="Times New Roman" w:hAnsi="Times New Roman"/>
        </w:rPr>
        <w:t xml:space="preserve"> lot of stuff", and instead told her New South Wales aunt, it was immaterial that the cross</w:t>
      </w:r>
      <w:r w:rsidRPr="00CE3802">
        <w:rPr>
          <w:rFonts w:ascii="Times New Roman" w:hAnsi="Times New Roman"/>
        </w:rPr>
        <w:noBreakHyphen/>
        <w:t xml:space="preserve">examination of the complainant could not focus on the sexual nature of the Queensland offences. Nothing more could have been obtained from cross-examining the complainant about the sexual nature of the Queensland offences than was in fact obtained. And as the accused did not give evidence, the point can go no further. </w:t>
      </w:r>
    </w:p>
    <w:p w14:paraId="05494B3E"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In these circumstances, although I would not endorse a general principle that "disclosure by C to A of offences perpetrated on C by B"</w:t>
      </w:r>
      <w:r w:rsidRPr="00CE3802">
        <w:rPr>
          <w:rStyle w:val="FootnoteReference"/>
          <w:rFonts w:ascii="Times New Roman" w:hAnsi="Times New Roman"/>
          <w:sz w:val="24"/>
        </w:rPr>
        <w:footnoteReference w:id="85"/>
      </w:r>
      <w:r w:rsidRPr="00CE3802">
        <w:rPr>
          <w:rFonts w:ascii="Times New Roman" w:hAnsi="Times New Roman"/>
        </w:rPr>
        <w:t xml:space="preserve"> can </w:t>
      </w:r>
      <w:r w:rsidRPr="00CE3802">
        <w:rPr>
          <w:rFonts w:ascii="Times New Roman" w:hAnsi="Times New Roman"/>
          <w:i/>
          <w:iCs/>
        </w:rPr>
        <w:t>never</w:t>
      </w:r>
      <w:r w:rsidRPr="00CE3802">
        <w:rPr>
          <w:rFonts w:ascii="Times New Roman" w:hAnsi="Times New Roman"/>
        </w:rPr>
        <w:t xml:space="preserve"> be said to "'relate to' the relationship between C and A", I am unable to apprehend any error on the part of Adamson and Bellew JJ in rejecting the accused's contentions in this regard.</w:t>
      </w:r>
    </w:p>
    <w:p w14:paraId="67D84B9C"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To the extent it was put for the accused in this Court that the evidence of the complainant's disclosure of the Queensland offences to the accused was "a subset of the wider evidence" required to establish the asserted relationship of trust and confidence for the purposes of s 293(4)(b), two responses are apt. First, while this submission was put in the written submissions in reply for the accused, it was inconsistent with the other submissions for the accused, which focused on the complainant's disclosure of the Queensland offences to the accused as the basis for the asserted relationship. Second, if that was part of the argument for the accused, it was for the accused to ensure that this Court (and, for that matter, the Court of Criminal Appeal) had before it such "wider evidence" and to explain how such evidence supported the existence of the asserted relationship of trust and confidence to which the evidence sought to be adduced might possibly relate. The accused did not do so.</w:t>
      </w:r>
    </w:p>
    <w:p w14:paraId="6FD98173"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In any event, the accused having asked the Court of Criminal Appeal to decide the substance of the application of s 293(4)(b), it cannot be the case that this Court is unable to do so. Accordingly, it is insufficient in this appeal for it to be merely asserted for the accused that Beech</w:t>
      </w:r>
      <w:r w:rsidRPr="00CE3802">
        <w:rPr>
          <w:rFonts w:ascii="Times New Roman" w:hAnsi="Times New Roman"/>
        </w:rPr>
        <w:noBreakHyphen/>
        <w:t>Jones CJ at CL was correct. It was for the accused to establish in this appeal that Adamson and Bellew JJ erred on some evident basis. No such error has been established.</w:t>
      </w:r>
    </w:p>
    <w:p w14:paraId="06481A8F"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For these reasons, I would dismiss ground 1 of the appeal.</w:t>
      </w:r>
    </w:p>
    <w:p w14:paraId="172F8424" w14:textId="77777777" w:rsidR="00C33509" w:rsidRPr="00CE3802" w:rsidRDefault="00C33509" w:rsidP="00CE3802">
      <w:pPr>
        <w:pStyle w:val="HeadingL1"/>
        <w:spacing w:after="260" w:line="280" w:lineRule="exact"/>
        <w:ind w:right="0"/>
        <w:jc w:val="both"/>
        <w:rPr>
          <w:rFonts w:ascii="Times New Roman" w:hAnsi="Times New Roman"/>
        </w:rPr>
      </w:pPr>
      <w:r w:rsidRPr="00CE3802">
        <w:rPr>
          <w:rFonts w:ascii="Times New Roman" w:hAnsi="Times New Roman"/>
        </w:rPr>
        <w:t>Ground 2 – misleading of the jury</w:t>
      </w:r>
    </w:p>
    <w:p w14:paraId="14ED28A8"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The evidence given by the complainant in cross-examination, summarised above, also reinforces the conclusion of the majority that the trial judge's ruling, permitting the cross</w:t>
      </w:r>
      <w:r w:rsidRPr="00CE3802">
        <w:rPr>
          <w:rFonts w:ascii="Times New Roman" w:hAnsi="Times New Roman"/>
        </w:rPr>
        <w:noBreakHyphen/>
        <w:t xml:space="preserve">examination of the complainant on the basis that the Queensland offences involved physical assaults or assaults, did not mislead the </w:t>
      </w:r>
      <w:r w:rsidRPr="00CE3802">
        <w:rPr>
          <w:rFonts w:ascii="Times New Roman" w:hAnsi="Times New Roman"/>
        </w:rPr>
        <w:lastRenderedPageBreak/>
        <w:t>jury.</w:t>
      </w:r>
      <w:r w:rsidRPr="00CE3802">
        <w:rPr>
          <w:rStyle w:val="FootnoteReference"/>
          <w:rFonts w:ascii="Times New Roman" w:hAnsi="Times New Roman"/>
          <w:sz w:val="24"/>
        </w:rPr>
        <w:footnoteReference w:id="86"/>
      </w:r>
      <w:r w:rsidRPr="00CE3802">
        <w:rPr>
          <w:rFonts w:ascii="Times New Roman" w:hAnsi="Times New Roman"/>
        </w:rPr>
        <w:t xml:space="preserve"> There were more references in the cross</w:t>
      </w:r>
      <w:r w:rsidRPr="00CE3802">
        <w:rPr>
          <w:rFonts w:ascii="Times New Roman" w:hAnsi="Times New Roman"/>
        </w:rPr>
        <w:noBreakHyphen/>
        <w:t xml:space="preserve">examination to "what had happened" to the complainant in the Queensland offences than there were to those offences involving the complainant being "physically" assaulted. In closing address, the accused's counsel also referred to "the things that had happened to" the complainant in Queensland. The accused's counsel submitted that reasonable doubt existed because, at the very time the prosecution of the Queensland offender was occurring (facilitated by the accused's encouragement to the complainant and his giving of evidence in that prosecution), the case against the accused depended on the jury accepting that he reasoned, "[o]h well that's all right, I'll do it myself, I'll sexually assault this child". This further context confirms the majority's conclusion that the references by the accused's counsel to the Queensland offences involving "physical assaults" did not implicitly exclude them also being sexual assaults. </w:t>
      </w:r>
    </w:p>
    <w:p w14:paraId="693D64C2"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It was also submitted for the accused that the prosecutor's closing address closed off a possible basis for the jury to hold a reasonable doubt about the accused's guilt. According to counsel for the accused, describing the Queensland offences to the jury as "physical assaults", rather than as sexual assaults, enabled the prosecutor to suggest that the only two possible explanations for the complainant's allegations against the accused were either that the complainant made the allegations up (by herself or encouraged by her New South Wales aunt, whose relationship with the accused had ended) or that the complainant was telling the truth. According to the accused in this appeal, however, a third possibility was that the complainant had deliberately or unintentionally conflated her memories of the sexual assaults in Queensland and the Queensland offender with the accused.</w:t>
      </w:r>
    </w:p>
    <w:p w14:paraId="734F5B5D"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There are several problems with this submission. It assumes that the jury had been misled into believing that the Queensland offences did not involve the sexual assault of the complainant when, as discussed above, this is not so. It also overlooks that the accused's case at trial was that the complainant was knowingly making false allegations at the instigation of her New South Wales aunt, which would have been inconsistent with a case that the complainant had unintentionally conflated in her mind the Queensland offences and the Queensland offender with the accused. Further, while the application of s 293(3) precluded the admission of evidence of the complainant's sexual experience or taking part in sexual activity as part of the Queensland offences (so the accused's counsel could not put to her the sexual character or details of those offences), if the accused's counsel had wished to put to the complainant that, by reason of the trauma of the Queensland offences, she was giving genuine evidence of false memories, the accused's counsel could have done so within the scope of the trial judge's ruling. It must be inferred that the accused's counsel did not do so for some forensic reason. </w:t>
      </w:r>
    </w:p>
    <w:p w14:paraId="4670E669"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lastRenderedPageBreak/>
        <w:tab/>
        <w:t>In fact, the only way in which the accused's case at trial could have been consistent with the newly proposed possibility is if that possibility is confined to the complainant having fabricated the allegations and knowingly using the sexual details of the Queensland offences as source material to support the fabricated allegations. There is no hint in the material that the accused's counsel wished to put such a case below but was precluded from doing so by the trial judge's ruling. And as Adamson J also noted, the evidence about the Queensland offences was by no means only exculpatory of the accused.</w:t>
      </w:r>
      <w:r w:rsidRPr="00CE3802">
        <w:rPr>
          <w:rStyle w:val="FootnoteReference"/>
          <w:rFonts w:ascii="Times New Roman" w:hAnsi="Times New Roman"/>
          <w:sz w:val="24"/>
        </w:rPr>
        <w:footnoteReference w:id="87"/>
      </w:r>
      <w:r w:rsidRPr="00CE3802">
        <w:rPr>
          <w:rFonts w:ascii="Times New Roman" w:hAnsi="Times New Roman"/>
        </w:rPr>
        <w:t xml:space="preserve"> The evidence of the Queensland offences cuts both ways for the accused and the accused's counsel must have made forensic decisions on that basis. </w:t>
      </w:r>
    </w:p>
    <w:p w14:paraId="74442C13"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For these reasons, I would dismiss ground 2 of the appeal.</w:t>
      </w:r>
    </w:p>
    <w:p w14:paraId="765BBE40" w14:textId="77777777" w:rsidR="00C33509" w:rsidRPr="00CE3802" w:rsidRDefault="00C33509" w:rsidP="00CE3802">
      <w:pPr>
        <w:pStyle w:val="HeadingL1"/>
        <w:spacing w:after="260" w:line="280" w:lineRule="exact"/>
        <w:ind w:right="0"/>
        <w:jc w:val="both"/>
        <w:rPr>
          <w:rFonts w:ascii="Times New Roman" w:hAnsi="Times New Roman"/>
        </w:rPr>
      </w:pPr>
      <w:r w:rsidRPr="00CE3802">
        <w:rPr>
          <w:rFonts w:ascii="Times New Roman" w:hAnsi="Times New Roman"/>
        </w:rPr>
        <w:t>Ground 3 – new trial unfair</w:t>
      </w:r>
    </w:p>
    <w:p w14:paraId="389E8613"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It is to be recalled that the Court of Criminal Appeal allowed the appeal on a ground not raised in this appeal and ordered a new trial.</w:t>
      </w:r>
      <w:r w:rsidRPr="00CE3802">
        <w:rPr>
          <w:rStyle w:val="FootnoteReference"/>
          <w:rFonts w:ascii="Times New Roman" w:hAnsi="Times New Roman"/>
          <w:sz w:val="24"/>
        </w:rPr>
        <w:footnoteReference w:id="88"/>
      </w:r>
      <w:r w:rsidRPr="00CE3802">
        <w:rPr>
          <w:rFonts w:ascii="Times New Roman" w:hAnsi="Times New Roman"/>
        </w:rPr>
        <w:t xml:space="preserve"> The power to do so is in s 8(1) of the </w:t>
      </w:r>
      <w:r w:rsidRPr="00CE3802">
        <w:rPr>
          <w:rFonts w:ascii="Times New Roman" w:hAnsi="Times New Roman"/>
          <w:i/>
          <w:iCs/>
        </w:rPr>
        <w:t>Criminal Appeal Act 1912</w:t>
      </w:r>
      <w:r w:rsidRPr="00CE3802">
        <w:rPr>
          <w:rFonts w:ascii="Times New Roman" w:hAnsi="Times New Roman"/>
        </w:rPr>
        <w:t> (NSW). Section 8(1) is in these terms:</w:t>
      </w:r>
    </w:p>
    <w:p w14:paraId="348A653D" w14:textId="77777777" w:rsidR="00C33509" w:rsidRDefault="00C33509" w:rsidP="00CE3802">
      <w:pPr>
        <w:pStyle w:val="leftright"/>
        <w:spacing w:before="0" w:after="260" w:line="280" w:lineRule="exact"/>
        <w:ind w:right="0"/>
        <w:jc w:val="both"/>
        <w:rPr>
          <w:rFonts w:ascii="Times New Roman" w:hAnsi="Times New Roman"/>
        </w:rPr>
      </w:pPr>
      <w:r w:rsidRPr="00CE3802">
        <w:rPr>
          <w:rFonts w:ascii="Times New Roman" w:hAnsi="Times New Roman"/>
        </w:rPr>
        <w:t>"On an appeal against a conviction on indictment, the court may, either of its own motion, or on the application of the appellant, order a new trial in such manner as it thinks fit, if the court considers that a miscarriage of justice has occurred, and, that having regard to all the circumstances, such miscarriage of justice can be more adequately remedied by an order for a new trial than by any other order which the court is empowered to make."</w:t>
      </w:r>
    </w:p>
    <w:p w14:paraId="3C5AA2F0"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One contention for the accused is that, if ground 2 is allowed but ground 1 dismissed, the proper order would be acquittal because a new trial (on this hypothesis, excluding the Queensland evidence because of s 293(3)) would involve a miscarriage of justice within s 8(1). As such, the miscarriage of justice as found by the Court of Criminal Appeal cannot be "more adequately remedied by an order for a new trial than by any other order which the court is empowered to make". Rather, the remedy is an order for acquittal. This argument fails, however, because ground 2 has been rejected. </w:t>
      </w:r>
    </w:p>
    <w:p w14:paraId="7C29997D"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The alternative contention for the accused is new and more inventive. It is that if grounds 1 and 2 are both rejected, the Court of Criminal Appeal nevertheless erred in ordering a new trial. This is said to be so because, in a new trial, the accused would be prevented by s 293(3) from "providing the jury with the 'third alternative'" explanation for the complainant's evidence, being that the complainant does have knowledge and memories of sexual abuse, but they are </w:t>
      </w:r>
      <w:r w:rsidRPr="00CE3802">
        <w:rPr>
          <w:rFonts w:ascii="Times New Roman" w:hAnsi="Times New Roman"/>
        </w:rPr>
        <w:lastRenderedPageBreak/>
        <w:t>sourced from the Queensland offences and not from any conduct of the accused. On this basis, the argument is that the Court of Criminal Appeal erred in ordering a new trial under s 8(1) by reference to the principles of the permanent stay of proceedings rather than by reference to the power in s 8(1) to order an acquittal (being any other order which the court is empowered to make to remedy "such miscarriage of justice") as referred to in s 8(1). The power in s 8(1), according to this argument, is to be exercised to order an acquittal because in a new trial, without the evidence excluded by s 293(3), the accused necessarily will be "denied a chance of acquittal which [is] fairly open to him".</w:t>
      </w:r>
      <w:r w:rsidRPr="00CE3802">
        <w:rPr>
          <w:rStyle w:val="FootnoteReference"/>
          <w:rFonts w:ascii="Times New Roman" w:hAnsi="Times New Roman"/>
          <w:sz w:val="24"/>
        </w:rPr>
        <w:footnoteReference w:id="89"/>
      </w:r>
      <w:r w:rsidRPr="00CE3802">
        <w:rPr>
          <w:rFonts w:ascii="Times New Roman" w:hAnsi="Times New Roman"/>
        </w:rPr>
        <w:t xml:space="preserve"> </w:t>
      </w:r>
    </w:p>
    <w:p w14:paraId="62F25B7A"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These arguments must be firmly rejected.</w:t>
      </w:r>
    </w:p>
    <w:p w14:paraId="06AC35F5"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First, before the Court of Criminal Appeal, "it was common ground that the question whether to order a new trial in the present case was governed by the same principles which would apply to the question whether it was appropriate to permanently stay the trial".</w:t>
      </w:r>
      <w:r w:rsidRPr="00CE3802">
        <w:rPr>
          <w:rStyle w:val="FootnoteReference"/>
          <w:rFonts w:ascii="Times New Roman" w:hAnsi="Times New Roman"/>
          <w:sz w:val="24"/>
        </w:rPr>
        <w:footnoteReference w:id="90"/>
      </w:r>
      <w:r w:rsidRPr="00CE3802">
        <w:rPr>
          <w:rFonts w:ascii="Times New Roman" w:hAnsi="Times New Roman"/>
        </w:rPr>
        <w:t xml:space="preserve"> The relevant principle is that "a permanent stay will only be ordered in an extreme case and there must be a fundamental defect 'of such a nature that nothing that a trial judge can do in the conduct of the trial can relieve against its unfair consequences'".</w:t>
      </w:r>
      <w:r w:rsidRPr="00CE3802">
        <w:rPr>
          <w:rStyle w:val="FootnoteReference"/>
          <w:rFonts w:ascii="Times New Roman" w:hAnsi="Times New Roman"/>
          <w:sz w:val="24"/>
        </w:rPr>
        <w:footnoteReference w:id="91"/>
      </w:r>
      <w:r w:rsidRPr="00CE3802">
        <w:rPr>
          <w:rFonts w:ascii="Times New Roman" w:hAnsi="Times New Roman"/>
        </w:rPr>
        <w:t xml:space="preserve"> The Court of Criminal Appeal did not err in not considering an argument about s 8(1) never put to it and in resolving the issue of whether a new trial should be ordered, or not, on the agreed basis that the relevant test to be applied was whether the circumstances were such that a permanent stay of the prosecution should be granted.</w:t>
      </w:r>
    </w:p>
    <w:p w14:paraId="179EBB4B"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Second, the Court of Criminal Appeal did not err in refusing to acquit the accused by reference to the principles applicable to the grant of a permanent stay of the prosecution. As Adamson J's reasons expose, the evidence of the Queensland offences cuts both ways for the accused. As Adamson J said, based on the Queensland offences: (a) a "jury might reason that the [accused], when the complainant told him of what the Queensland offender had done to her, [thought the complainant] was vulnerable, having already been sexually assaulted as a child and would not complain again, particularly if there was a risk (as well there might have been) that she would again lose her home";</w:t>
      </w:r>
      <w:r w:rsidRPr="00CE3802">
        <w:rPr>
          <w:rStyle w:val="FootnoteReference"/>
          <w:rFonts w:ascii="Times New Roman" w:hAnsi="Times New Roman"/>
          <w:sz w:val="24"/>
        </w:rPr>
        <w:footnoteReference w:id="92"/>
      </w:r>
      <w:r w:rsidRPr="00CE3802">
        <w:rPr>
          <w:rFonts w:ascii="Times New Roman" w:hAnsi="Times New Roman"/>
        </w:rPr>
        <w:t xml:space="preserve"> and (b) a "jury might have assessed the complainant's credit as having been fortified by the circumstance that she had previously made a </w:t>
      </w:r>
      <w:r w:rsidRPr="00CE3802">
        <w:rPr>
          <w:rFonts w:ascii="Times New Roman" w:hAnsi="Times New Roman"/>
          <w:i/>
          <w:iCs/>
        </w:rPr>
        <w:t>true</w:t>
      </w:r>
      <w:r w:rsidRPr="00CE3802">
        <w:rPr>
          <w:rFonts w:ascii="Times New Roman" w:hAnsi="Times New Roman"/>
        </w:rPr>
        <w:t xml:space="preserve"> complaint about the Queensland offences (the truth </w:t>
      </w:r>
      <w:r w:rsidRPr="00CE3802">
        <w:rPr>
          <w:rFonts w:ascii="Times New Roman" w:hAnsi="Times New Roman"/>
        </w:rPr>
        <w:lastRenderedPageBreak/>
        <w:t>of which was amply borne out by [the Queensland offender's] pleas of guilty)".</w:t>
      </w:r>
      <w:r w:rsidRPr="00CE3802">
        <w:rPr>
          <w:rStyle w:val="FootnoteReference"/>
          <w:rFonts w:ascii="Times New Roman" w:hAnsi="Times New Roman"/>
          <w:sz w:val="24"/>
        </w:rPr>
        <w:footnoteReference w:id="93"/>
      </w:r>
      <w:r w:rsidRPr="00CE3802">
        <w:rPr>
          <w:rFonts w:ascii="Times New Roman" w:hAnsi="Times New Roman"/>
        </w:rPr>
        <w:t xml:space="preserve"> On this basis, Adamson J rightly said that all that the accused had lost by reason of the operation of s 293(3) was "the opportunity to </w:t>
      </w:r>
      <w:r w:rsidRPr="00CE3802">
        <w:rPr>
          <w:rFonts w:ascii="Times New Roman" w:hAnsi="Times New Roman"/>
          <w:i/>
          <w:iCs/>
        </w:rPr>
        <w:t>fully</w:t>
      </w:r>
      <w:r w:rsidRPr="00CE3802">
        <w:rPr>
          <w:rFonts w:ascii="Times New Roman" w:hAnsi="Times New Roman"/>
        </w:rPr>
        <w:t xml:space="preserve"> exploit evidence that may or may not have been forensically beneficial to him in the conduct of this defence".</w:t>
      </w:r>
      <w:r w:rsidRPr="00CE3802">
        <w:rPr>
          <w:rStyle w:val="FootnoteReference"/>
          <w:rFonts w:ascii="Times New Roman" w:hAnsi="Times New Roman"/>
          <w:sz w:val="24"/>
        </w:rPr>
        <w:footnoteReference w:id="94"/>
      </w:r>
      <w:r w:rsidRPr="00CE3802">
        <w:rPr>
          <w:rFonts w:ascii="Times New Roman" w:hAnsi="Times New Roman"/>
        </w:rPr>
        <w:t xml:space="preserve"> This very limited form of </w:t>
      </w:r>
      <w:r w:rsidRPr="00CE3802">
        <w:rPr>
          <w:rFonts w:ascii="Times New Roman" w:hAnsi="Times New Roman"/>
          <w:i/>
          <w:iCs/>
        </w:rPr>
        <w:t>possible</w:t>
      </w:r>
      <w:r w:rsidRPr="00CE3802">
        <w:rPr>
          <w:rFonts w:ascii="Times New Roman" w:hAnsi="Times New Roman"/>
        </w:rPr>
        <w:t xml:space="preserve"> forensic disadvantage in any new trial does not approach the high threshold that applies to the grant of a permanent stay. </w:t>
      </w:r>
    </w:p>
    <w:p w14:paraId="3F83E411"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Third, the new submissions for the accused that s 8(1) prescribes a lower threshold for the order of an acquittal than the conventional test for a permanent stay de</w:t>
      </w:r>
      <w:r w:rsidRPr="00CE3802">
        <w:rPr>
          <w:rFonts w:ascii="Times New Roman" w:hAnsi="Times New Roman"/>
        </w:rPr>
        <w:noBreakHyphen/>
        <w:t>contextualise and therefore misapprehend this provision. Part of the context of s 8(1) is s 6, which relevantly provides that:</w:t>
      </w:r>
    </w:p>
    <w:p w14:paraId="41D14661" w14:textId="77777777" w:rsidR="00C33509" w:rsidRPr="00CE3802" w:rsidRDefault="00C33509" w:rsidP="00CE3802">
      <w:pPr>
        <w:pStyle w:val="leftright"/>
        <w:spacing w:before="0" w:after="260" w:line="280" w:lineRule="exact"/>
        <w:ind w:left="1440" w:right="0" w:hanging="720"/>
        <w:jc w:val="both"/>
        <w:rPr>
          <w:rFonts w:ascii="Times New Roman" w:hAnsi="Times New Roman"/>
        </w:rPr>
      </w:pPr>
      <w:r w:rsidRPr="00CE3802">
        <w:rPr>
          <w:rFonts w:ascii="Times New Roman" w:hAnsi="Times New Roman"/>
        </w:rPr>
        <w:t xml:space="preserve">"(1) </w:t>
      </w:r>
      <w:r w:rsidRPr="00CE3802">
        <w:rPr>
          <w:rFonts w:ascii="Times New Roman" w:hAnsi="Times New Roman"/>
        </w:rPr>
        <w:tab/>
        <w:t>The court on any appeal under section 5(1) against conviction shall allow the appeal if it is of opinion that the verdict of the jury should be set aside on the ground that it is unreasonable, or cannot be supported, having regard to the evidence, or that the judgment of the court of trial should be set aside on the ground of the wrong decision of any question of law, or that on any other ground whatsoever there was a miscarriage of justice, and in any other case shall dismiss the appeal; provided that the court may, notwithstanding that it is of opinion that the point or points raised by the appeal might be decided in favour of the appellant, dismiss the appeal if it considers that no substantial miscarriage of justice has actually occurred.</w:t>
      </w:r>
    </w:p>
    <w:p w14:paraId="1485C7CA" w14:textId="77777777" w:rsidR="00C33509" w:rsidRDefault="00C33509" w:rsidP="00CE3802">
      <w:pPr>
        <w:pStyle w:val="leftright"/>
        <w:spacing w:before="0" w:after="260" w:line="280" w:lineRule="exact"/>
        <w:ind w:left="1440" w:right="0" w:hanging="720"/>
        <w:jc w:val="both"/>
        <w:rPr>
          <w:rFonts w:ascii="Times New Roman" w:hAnsi="Times New Roman"/>
        </w:rPr>
      </w:pPr>
      <w:r w:rsidRPr="00CE3802">
        <w:rPr>
          <w:rFonts w:ascii="Times New Roman" w:hAnsi="Times New Roman"/>
        </w:rPr>
        <w:t xml:space="preserve">(2) </w:t>
      </w:r>
      <w:r w:rsidRPr="00CE3802">
        <w:rPr>
          <w:rFonts w:ascii="Times New Roman" w:hAnsi="Times New Roman"/>
        </w:rPr>
        <w:tab/>
        <w:t>Subject to the special provisions of this Act, the court shall, if it allows an appeal under section 5(1) against conviction, quash the conviction and direct a judgment and verdict of acquittal to be entered."</w:t>
      </w:r>
    </w:p>
    <w:p w14:paraId="6B4E4DF9" w14:textId="77777777" w:rsidR="00C33509" w:rsidRPr="00CE3802" w:rsidRDefault="00C33509" w:rsidP="00CE3802">
      <w:pPr>
        <w:pStyle w:val="FixListStyle"/>
        <w:spacing w:after="260" w:line="280" w:lineRule="exact"/>
        <w:ind w:right="0"/>
        <w:jc w:val="both"/>
        <w:rPr>
          <w:rFonts w:ascii="Times New Roman" w:hAnsi="Times New Roman"/>
        </w:rPr>
      </w:pPr>
      <w:r w:rsidRPr="00CE3802">
        <w:rPr>
          <w:rFonts w:ascii="Times New Roman" w:hAnsi="Times New Roman"/>
        </w:rPr>
        <w:tab/>
        <w:t xml:space="preserve">Several provisions of the </w:t>
      </w:r>
      <w:r w:rsidRPr="00CE3802">
        <w:rPr>
          <w:rFonts w:ascii="Times New Roman" w:hAnsi="Times New Roman"/>
          <w:i/>
          <w:iCs/>
        </w:rPr>
        <w:t>Criminal Appeal Act</w:t>
      </w:r>
      <w:r w:rsidRPr="00CE3802">
        <w:rPr>
          <w:rFonts w:ascii="Times New Roman" w:hAnsi="Times New Roman"/>
        </w:rPr>
        <w:t xml:space="preserve"> permit orders to be made other than the quashing of the conviction and entry of a verdict of acquittal. These provisions include: (a) s 6A ("Powers of court in relation to certain convictions and sentences concerning mentally ill persons"); (b) s 7 ("Powers of court in special cases"); and (c) s 8 ("Power of court to grant new trial"). In this context, it is apparent that the arguments for the accused misconceive s 8(1) altogether. Section 8(1) does not enable an accused to be granted an acquittal in mere anticipation that a new trial might be unfair by reason that, depending on forensic decisions yet to be made in the new trial, the accused might be denied a possibility </w:t>
      </w:r>
      <w:r w:rsidRPr="00CE3802">
        <w:rPr>
          <w:rFonts w:ascii="Times New Roman" w:hAnsi="Times New Roman"/>
        </w:rPr>
        <w:lastRenderedPageBreak/>
        <w:t>of acquittal. As the respondent submitted, this conception of s 8(1) is not supported by its text and would introduce radical incoherence into the law by enabling s 8(1) to circumvent the high threshold that must be met to obtain a permanent stay. Such incoherence would arise because, while an accused person seeking a permanent stay before trial would need to satisfy the high threshold required to justify a permanent stay (for instance, by establishing that the exclusion of evidence pursuant to s 293 necessarily rendered any trial unfair), a convicted offender who established some other error on appeal amounting to a miscarriage could obtain an equivalent remedy by meeting some lower threshold under s 8(1).</w:t>
      </w:r>
    </w:p>
    <w:p w14:paraId="3DF17DBC" w14:textId="347A98B9" w:rsidR="006477B3" w:rsidRPr="00C33509" w:rsidRDefault="00C33509" w:rsidP="00C33509">
      <w:pPr>
        <w:pStyle w:val="FixListStyle"/>
        <w:spacing w:after="260" w:line="280" w:lineRule="exact"/>
        <w:ind w:right="0"/>
        <w:jc w:val="both"/>
        <w:rPr>
          <w:rFonts w:ascii="Times New Roman" w:hAnsi="Times New Roman"/>
        </w:rPr>
      </w:pPr>
      <w:r w:rsidRPr="00CE3802">
        <w:rPr>
          <w:rFonts w:ascii="Times New Roman" w:hAnsi="Times New Roman"/>
        </w:rPr>
        <w:tab/>
        <w:t>For these reasons, I would dismiss ground 3 of the appeal.</w:t>
      </w:r>
    </w:p>
    <w:sectPr w:rsidR="006477B3" w:rsidRPr="00C33509" w:rsidSect="00C33509">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80C7" w14:textId="77777777" w:rsidR="00B0631B" w:rsidRDefault="00B0631B">
      <w:pPr>
        <w:spacing w:line="240" w:lineRule="auto"/>
      </w:pPr>
      <w:r>
        <w:separator/>
      </w:r>
    </w:p>
  </w:endnote>
  <w:endnote w:type="continuationSeparator" w:id="0">
    <w:p w14:paraId="4A799E8D" w14:textId="77777777" w:rsidR="00B0631B" w:rsidRDefault="00B0631B">
      <w:pPr>
        <w:spacing w:line="240" w:lineRule="auto"/>
      </w:pPr>
      <w:r>
        <w:continuationSeparator/>
      </w:r>
    </w:p>
  </w:endnote>
  <w:endnote w:type="continuationNotice" w:id="1">
    <w:p w14:paraId="24AA4D0F" w14:textId="77777777" w:rsidR="00B0631B" w:rsidRDefault="00B063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520A" w14:textId="77777777" w:rsidR="00E8603F" w:rsidRDefault="00E86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A9A7" w14:textId="77777777" w:rsidR="00E8603F" w:rsidRDefault="00E86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58AA" w14:textId="77777777" w:rsidR="00E8603F" w:rsidRDefault="00E860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0BCB" w14:textId="77777777" w:rsidR="00E8603F" w:rsidRDefault="00E860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E834" w14:textId="77777777" w:rsidR="00E8603F" w:rsidRDefault="00E860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2957" w14:textId="77777777" w:rsidR="00E8603F" w:rsidRDefault="00E86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C991" w14:textId="77777777" w:rsidR="00B0631B" w:rsidRPr="008D3C0D" w:rsidRDefault="00B0631B" w:rsidP="008D3C0D">
      <w:pPr>
        <w:pStyle w:val="Footer"/>
        <w:spacing w:before="120" w:after="20"/>
        <w:ind w:right="0"/>
        <w:rPr>
          <w:rFonts w:ascii="Times New Roman" w:hAnsi="Times New Roman"/>
        </w:rPr>
      </w:pPr>
      <w:r>
        <w:continuationSeparator/>
      </w:r>
    </w:p>
  </w:footnote>
  <w:footnote w:type="continuationSeparator" w:id="0">
    <w:p w14:paraId="2A597526" w14:textId="77777777" w:rsidR="00B0631B" w:rsidRPr="008D3C0D" w:rsidRDefault="00B0631B" w:rsidP="008D3C0D">
      <w:pPr>
        <w:pStyle w:val="Footer"/>
        <w:spacing w:before="120" w:after="20"/>
        <w:ind w:right="0"/>
        <w:rPr>
          <w:rFonts w:ascii="Times New Roman" w:hAnsi="Times New Roman"/>
        </w:rPr>
      </w:pPr>
      <w:r w:rsidRPr="008D3C0D">
        <w:rPr>
          <w:rFonts w:ascii="Times New Roman" w:hAnsi="Times New Roman"/>
        </w:rPr>
        <w:continuationSeparator/>
      </w:r>
    </w:p>
  </w:footnote>
  <w:footnote w:type="continuationNotice" w:id="1">
    <w:p w14:paraId="47221320" w14:textId="77777777" w:rsidR="00B0631B" w:rsidRPr="00C33509" w:rsidRDefault="00B0631B">
      <w:pPr>
        <w:jc w:val="right"/>
        <w:rPr>
          <w:rFonts w:ascii="Times New Roman" w:hAnsi="Times New Roman"/>
          <w:sz w:val="24"/>
        </w:rPr>
      </w:pPr>
    </w:p>
  </w:footnote>
  <w:footnote w:id="2">
    <w:p w14:paraId="74BC5147" w14:textId="1D96BE80" w:rsidR="000006DB" w:rsidRPr="008D3C0D" w:rsidRDefault="000006DB"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5544E6" w:rsidRPr="008D3C0D">
        <w:rPr>
          <w:rFonts w:ascii="Times New Roman" w:hAnsi="Times New Roman"/>
          <w:i/>
          <w:sz w:val="24"/>
        </w:rPr>
        <w:t xml:space="preserve">R v Cook (a pseudonym) </w:t>
      </w:r>
      <w:r w:rsidR="00431675" w:rsidRPr="008D3C0D">
        <w:rPr>
          <w:rFonts w:ascii="Times New Roman" w:hAnsi="Times New Roman"/>
          <w:sz w:val="24"/>
        </w:rPr>
        <w:t xml:space="preserve">(2019) </w:t>
      </w:r>
      <w:r w:rsidR="006C637C" w:rsidRPr="008D3C0D">
        <w:rPr>
          <w:rFonts w:ascii="Times New Roman" w:hAnsi="Times New Roman"/>
          <w:sz w:val="24"/>
        </w:rPr>
        <w:t xml:space="preserve">32 DCLR(NSW) </w:t>
      </w:r>
      <w:r w:rsidR="00267E23" w:rsidRPr="008D3C0D">
        <w:rPr>
          <w:rFonts w:ascii="Times New Roman" w:hAnsi="Times New Roman"/>
          <w:sz w:val="24"/>
        </w:rPr>
        <w:t xml:space="preserve">9 </w:t>
      </w:r>
      <w:r w:rsidR="005544E6" w:rsidRPr="008D3C0D">
        <w:rPr>
          <w:rFonts w:ascii="Times New Roman" w:hAnsi="Times New Roman"/>
          <w:sz w:val="24"/>
        </w:rPr>
        <w:t xml:space="preserve">at </w:t>
      </w:r>
      <w:r w:rsidR="00267E23" w:rsidRPr="008D3C0D">
        <w:rPr>
          <w:rFonts w:ascii="Times New Roman" w:hAnsi="Times New Roman"/>
          <w:sz w:val="24"/>
        </w:rPr>
        <w:t xml:space="preserve">11 </w:t>
      </w:r>
      <w:r w:rsidR="00DD54D7" w:rsidRPr="008D3C0D">
        <w:rPr>
          <w:rFonts w:ascii="Times New Roman" w:hAnsi="Times New Roman"/>
          <w:sz w:val="24"/>
        </w:rPr>
        <w:t>[21]-[22].</w:t>
      </w:r>
    </w:p>
  </w:footnote>
  <w:footnote w:id="3">
    <w:p w14:paraId="2D171C61" w14:textId="396179F1" w:rsidR="0077224B" w:rsidRPr="008D3C0D" w:rsidRDefault="0077224B"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R v Cook (a pseudonym) </w:t>
      </w:r>
      <w:r w:rsidR="00DD37EC" w:rsidRPr="008D3C0D">
        <w:rPr>
          <w:rFonts w:ascii="Times New Roman" w:hAnsi="Times New Roman"/>
          <w:sz w:val="24"/>
        </w:rPr>
        <w:t xml:space="preserve">(2019) 32 DCLR(NSW) 9 </w:t>
      </w:r>
      <w:r w:rsidRPr="008D3C0D">
        <w:rPr>
          <w:rFonts w:ascii="Times New Roman" w:hAnsi="Times New Roman"/>
          <w:sz w:val="24"/>
        </w:rPr>
        <w:t xml:space="preserve">at </w:t>
      </w:r>
      <w:r w:rsidR="00DD37EC" w:rsidRPr="008D3C0D">
        <w:rPr>
          <w:rFonts w:ascii="Times New Roman" w:hAnsi="Times New Roman"/>
          <w:sz w:val="24"/>
        </w:rPr>
        <w:t xml:space="preserve">10 </w:t>
      </w:r>
      <w:r w:rsidRPr="008D3C0D">
        <w:rPr>
          <w:rFonts w:ascii="Times New Roman" w:hAnsi="Times New Roman"/>
          <w:sz w:val="24"/>
        </w:rPr>
        <w:t>[11].</w:t>
      </w:r>
      <w:r w:rsidRPr="008D3C0D">
        <w:rPr>
          <w:rFonts w:ascii="Times New Roman" w:hAnsi="Times New Roman"/>
          <w:i/>
          <w:iCs/>
          <w:sz w:val="24"/>
        </w:rPr>
        <w:t xml:space="preserve"> </w:t>
      </w:r>
      <w:r w:rsidRPr="008D3C0D">
        <w:rPr>
          <w:rFonts w:ascii="Times New Roman" w:hAnsi="Times New Roman"/>
          <w:sz w:val="24"/>
        </w:rPr>
        <w:t xml:space="preserve">See also </w:t>
      </w:r>
      <w:r w:rsidRPr="008D3C0D">
        <w:rPr>
          <w:rFonts w:ascii="Times New Roman" w:hAnsi="Times New Roman"/>
          <w:i/>
          <w:iCs/>
          <w:sz w:val="24"/>
        </w:rPr>
        <w:t xml:space="preserve">Cook (a pseudonym) v </w:t>
      </w:r>
      <w:r w:rsidR="00F53806"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[2022] NSWCCA 282 at [93].</w:t>
      </w:r>
    </w:p>
  </w:footnote>
  <w:footnote w:id="4">
    <w:p w14:paraId="540DDC94" w14:textId="1DF6DD71" w:rsidR="00BA7EB1" w:rsidRPr="008D3C0D" w:rsidRDefault="00BA7EB1"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Cook (a pseudonym) v </w:t>
      </w:r>
      <w:r w:rsidR="00952056"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 xml:space="preserve">[2022] NSWCCA 282 at [89]. </w:t>
      </w:r>
    </w:p>
  </w:footnote>
  <w:footnote w:id="5">
    <w:p w14:paraId="6A694861" w14:textId="616BE5B5" w:rsidR="00FE4548" w:rsidRPr="008D3C0D" w:rsidRDefault="00FE4548"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CE0832" w:rsidRPr="008D3C0D">
        <w:rPr>
          <w:rFonts w:ascii="Times New Roman" w:hAnsi="Times New Roman"/>
          <w:i/>
          <w:iCs/>
          <w:sz w:val="24"/>
        </w:rPr>
        <w:t xml:space="preserve">R v Cook (a pseudonym) </w:t>
      </w:r>
      <w:r w:rsidR="00C94DA2" w:rsidRPr="008D3C0D">
        <w:rPr>
          <w:rFonts w:ascii="Times New Roman" w:hAnsi="Times New Roman"/>
          <w:sz w:val="24"/>
        </w:rPr>
        <w:t xml:space="preserve">(2019) 32 DCLR(NSW) 9 </w:t>
      </w:r>
      <w:r w:rsidR="0031547D" w:rsidRPr="008D3C0D">
        <w:rPr>
          <w:rFonts w:ascii="Times New Roman" w:hAnsi="Times New Roman"/>
          <w:sz w:val="24"/>
        </w:rPr>
        <w:t xml:space="preserve">at </w:t>
      </w:r>
      <w:r w:rsidR="00C94DA2" w:rsidRPr="008D3C0D">
        <w:rPr>
          <w:rFonts w:ascii="Times New Roman" w:hAnsi="Times New Roman"/>
          <w:sz w:val="24"/>
        </w:rPr>
        <w:t xml:space="preserve">10-11 </w:t>
      </w:r>
      <w:r w:rsidR="0031547D" w:rsidRPr="008D3C0D">
        <w:rPr>
          <w:rFonts w:ascii="Times New Roman" w:hAnsi="Times New Roman"/>
          <w:sz w:val="24"/>
        </w:rPr>
        <w:t>[12]-[1</w:t>
      </w:r>
      <w:r w:rsidR="00477EC1" w:rsidRPr="008D3C0D">
        <w:rPr>
          <w:rFonts w:ascii="Times New Roman" w:hAnsi="Times New Roman"/>
          <w:sz w:val="24"/>
        </w:rPr>
        <w:t>5</w:t>
      </w:r>
      <w:r w:rsidR="0031547D" w:rsidRPr="008D3C0D">
        <w:rPr>
          <w:rFonts w:ascii="Times New Roman" w:hAnsi="Times New Roman"/>
          <w:sz w:val="24"/>
        </w:rPr>
        <w:t>].</w:t>
      </w:r>
    </w:p>
  </w:footnote>
  <w:footnote w:id="6">
    <w:p w14:paraId="694D414C" w14:textId="6401873C" w:rsidR="00F47A63" w:rsidRPr="008D3C0D" w:rsidRDefault="00F47A63"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Cook (a pseudonym) v </w:t>
      </w:r>
      <w:r w:rsidR="00952056"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[2022] NSWCCA 282 at [100].</w:t>
      </w:r>
    </w:p>
  </w:footnote>
  <w:footnote w:id="7">
    <w:p w14:paraId="34AB33EB" w14:textId="74C16A8F" w:rsidR="00C522DA" w:rsidRPr="008D3C0D" w:rsidRDefault="00C522DA"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R v Cook (a pseudonym) </w:t>
      </w:r>
      <w:r w:rsidR="00265A35" w:rsidRPr="008D3C0D">
        <w:rPr>
          <w:rFonts w:ascii="Times New Roman" w:hAnsi="Times New Roman"/>
          <w:sz w:val="24"/>
        </w:rPr>
        <w:t>(</w:t>
      </w:r>
      <w:r w:rsidRPr="008D3C0D">
        <w:rPr>
          <w:rFonts w:ascii="Times New Roman" w:hAnsi="Times New Roman"/>
          <w:sz w:val="24"/>
        </w:rPr>
        <w:t>2019</w:t>
      </w:r>
      <w:r w:rsidR="00265A35" w:rsidRPr="008D3C0D">
        <w:rPr>
          <w:rFonts w:ascii="Times New Roman" w:hAnsi="Times New Roman"/>
          <w:sz w:val="24"/>
        </w:rPr>
        <w:t>)</w:t>
      </w:r>
      <w:r w:rsidRPr="008D3C0D">
        <w:rPr>
          <w:rFonts w:ascii="Times New Roman" w:hAnsi="Times New Roman"/>
          <w:sz w:val="24"/>
        </w:rPr>
        <w:t xml:space="preserve"> </w:t>
      </w:r>
      <w:r w:rsidR="00265A35" w:rsidRPr="008D3C0D">
        <w:rPr>
          <w:rFonts w:ascii="Times New Roman" w:hAnsi="Times New Roman"/>
          <w:sz w:val="24"/>
        </w:rPr>
        <w:t xml:space="preserve">32 DCLR(NSW) 9 </w:t>
      </w:r>
      <w:r w:rsidRPr="008D3C0D">
        <w:rPr>
          <w:rFonts w:ascii="Times New Roman" w:hAnsi="Times New Roman"/>
          <w:sz w:val="24"/>
        </w:rPr>
        <w:t xml:space="preserve">at </w:t>
      </w:r>
      <w:r w:rsidR="00265A35" w:rsidRPr="008D3C0D">
        <w:rPr>
          <w:rFonts w:ascii="Times New Roman" w:hAnsi="Times New Roman"/>
          <w:sz w:val="24"/>
        </w:rPr>
        <w:t xml:space="preserve">11 </w:t>
      </w:r>
      <w:r w:rsidRPr="008D3C0D">
        <w:rPr>
          <w:rFonts w:ascii="Times New Roman" w:hAnsi="Times New Roman"/>
          <w:sz w:val="24"/>
        </w:rPr>
        <w:t>[</w:t>
      </w:r>
      <w:r w:rsidR="00E44C1B" w:rsidRPr="008D3C0D">
        <w:rPr>
          <w:rFonts w:ascii="Times New Roman" w:hAnsi="Times New Roman"/>
          <w:sz w:val="24"/>
        </w:rPr>
        <w:t>23</w:t>
      </w:r>
      <w:r w:rsidRPr="008D3C0D">
        <w:rPr>
          <w:rFonts w:ascii="Times New Roman" w:hAnsi="Times New Roman"/>
          <w:sz w:val="24"/>
        </w:rPr>
        <w:t>].</w:t>
      </w:r>
    </w:p>
  </w:footnote>
  <w:footnote w:id="8">
    <w:p w14:paraId="5CEC6400" w14:textId="58D1F43D" w:rsidR="00064323" w:rsidRPr="008D3C0D" w:rsidRDefault="00064323"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Cook (a pseudonym) v </w:t>
      </w:r>
      <w:r w:rsidR="00952056"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[2022] NSWCCA 282 at</w:t>
      </w:r>
      <w:r w:rsidR="00A8306B" w:rsidRPr="008D3C0D">
        <w:rPr>
          <w:rFonts w:ascii="Times New Roman" w:hAnsi="Times New Roman"/>
          <w:sz w:val="24"/>
        </w:rPr>
        <w:t xml:space="preserve"> [1],</w:t>
      </w:r>
      <w:r w:rsidRPr="008D3C0D">
        <w:rPr>
          <w:rFonts w:ascii="Times New Roman" w:hAnsi="Times New Roman"/>
          <w:sz w:val="24"/>
        </w:rPr>
        <w:t xml:space="preserve"> </w:t>
      </w:r>
      <w:r w:rsidR="0066202D" w:rsidRPr="008D3C0D">
        <w:rPr>
          <w:rFonts w:ascii="Times New Roman" w:hAnsi="Times New Roman"/>
          <w:sz w:val="24"/>
        </w:rPr>
        <w:t>[65]-[66].</w:t>
      </w:r>
    </w:p>
  </w:footnote>
  <w:footnote w:id="9">
    <w:p w14:paraId="02645491" w14:textId="33848100" w:rsidR="0031356A" w:rsidRPr="008D3C0D" w:rsidRDefault="0031356A"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Cook (a pseudonym) v </w:t>
      </w:r>
      <w:r w:rsidR="00952056"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 xml:space="preserve">[2022] NSWCCA 282 at </w:t>
      </w:r>
      <w:r w:rsidR="003162A4" w:rsidRPr="008D3C0D">
        <w:rPr>
          <w:rFonts w:ascii="Times New Roman" w:hAnsi="Times New Roman"/>
          <w:sz w:val="24"/>
        </w:rPr>
        <w:t>[117]</w:t>
      </w:r>
      <w:r w:rsidR="00E53A9E" w:rsidRPr="008D3C0D">
        <w:rPr>
          <w:rFonts w:ascii="Times New Roman" w:hAnsi="Times New Roman"/>
          <w:sz w:val="24"/>
        </w:rPr>
        <w:t>-[118</w:t>
      </w:r>
      <w:r w:rsidR="003162A4" w:rsidRPr="008D3C0D">
        <w:rPr>
          <w:rFonts w:ascii="Times New Roman" w:hAnsi="Times New Roman"/>
          <w:sz w:val="24"/>
        </w:rPr>
        <w:t xml:space="preserve">], </w:t>
      </w:r>
      <w:r w:rsidR="008A4C52" w:rsidRPr="008D3C0D">
        <w:rPr>
          <w:rFonts w:ascii="Times New Roman" w:hAnsi="Times New Roman"/>
          <w:sz w:val="24"/>
        </w:rPr>
        <w:t>[122]</w:t>
      </w:r>
      <w:r w:rsidR="00B703A8" w:rsidRPr="008D3C0D">
        <w:rPr>
          <w:rFonts w:ascii="Times New Roman" w:hAnsi="Times New Roman"/>
          <w:sz w:val="24"/>
        </w:rPr>
        <w:t>, [137]</w:t>
      </w:r>
      <w:r w:rsidR="00C62F1D" w:rsidRPr="008D3C0D">
        <w:rPr>
          <w:rFonts w:ascii="Times New Roman" w:hAnsi="Times New Roman"/>
          <w:sz w:val="24"/>
        </w:rPr>
        <w:t>-</w:t>
      </w:r>
      <w:r w:rsidR="00B703A8" w:rsidRPr="008D3C0D">
        <w:rPr>
          <w:rFonts w:ascii="Times New Roman" w:hAnsi="Times New Roman"/>
          <w:sz w:val="24"/>
        </w:rPr>
        <w:t>[139]</w:t>
      </w:r>
      <w:r w:rsidRPr="008D3C0D">
        <w:rPr>
          <w:rFonts w:ascii="Times New Roman" w:hAnsi="Times New Roman"/>
          <w:sz w:val="24"/>
        </w:rPr>
        <w:t>.</w:t>
      </w:r>
    </w:p>
  </w:footnote>
  <w:footnote w:id="10">
    <w:p w14:paraId="570E0BA0" w14:textId="69811AF6" w:rsidR="00FA5DB7" w:rsidRPr="008D3C0D" w:rsidRDefault="00FA5DB7"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Cook (a pseudonym) v </w:t>
      </w:r>
      <w:r w:rsidR="00952056"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[2022] NSWCCA 282 at [1</w:t>
      </w:r>
      <w:r w:rsidR="00CE31CC" w:rsidRPr="008D3C0D">
        <w:rPr>
          <w:rFonts w:ascii="Times New Roman" w:hAnsi="Times New Roman"/>
          <w:sz w:val="24"/>
        </w:rPr>
        <w:t>6</w:t>
      </w:r>
      <w:r w:rsidRPr="008D3C0D">
        <w:rPr>
          <w:rFonts w:ascii="Times New Roman" w:hAnsi="Times New Roman"/>
          <w:sz w:val="24"/>
        </w:rPr>
        <w:t>], [25].</w:t>
      </w:r>
    </w:p>
  </w:footnote>
  <w:footnote w:id="11">
    <w:p w14:paraId="4A7074D0" w14:textId="77777777"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(2020) 102 NSWLR 847 at 858 [27].</w:t>
      </w:r>
    </w:p>
  </w:footnote>
  <w:footnote w:id="12">
    <w:p w14:paraId="573E2308" w14:textId="06DD51FC"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 xml:space="preserve">See </w:t>
      </w:r>
      <w:r w:rsidRPr="008D3C0D">
        <w:rPr>
          <w:rFonts w:ascii="Times New Roman" w:hAnsi="Times New Roman"/>
          <w:i/>
          <w:iCs/>
          <w:sz w:val="24"/>
        </w:rPr>
        <w:t xml:space="preserve">Crimes (Sexual Assault) Amendment Act 1981 </w:t>
      </w:r>
      <w:r w:rsidRPr="008D3C0D">
        <w:rPr>
          <w:rFonts w:ascii="Times New Roman" w:hAnsi="Times New Roman"/>
          <w:sz w:val="24"/>
        </w:rPr>
        <w:t>(NSW)</w:t>
      </w:r>
      <w:r w:rsidR="00A64CAF" w:rsidRPr="008D3C0D">
        <w:rPr>
          <w:rFonts w:ascii="Times New Roman" w:hAnsi="Times New Roman"/>
          <w:sz w:val="24"/>
        </w:rPr>
        <w:t xml:space="preserve">, </w:t>
      </w:r>
      <w:r w:rsidR="00363C4C" w:rsidRPr="008D3C0D">
        <w:rPr>
          <w:rFonts w:ascii="Times New Roman" w:hAnsi="Times New Roman"/>
          <w:sz w:val="24"/>
        </w:rPr>
        <w:t>Sch 1 item 15</w:t>
      </w:r>
      <w:r w:rsidR="001C7AF3" w:rsidRPr="008D3C0D">
        <w:rPr>
          <w:rFonts w:ascii="Times New Roman" w:hAnsi="Times New Roman"/>
          <w:sz w:val="24"/>
        </w:rPr>
        <w:t xml:space="preserve">, inserting s 409B into the </w:t>
      </w:r>
      <w:r w:rsidR="001C7AF3" w:rsidRPr="008D3C0D">
        <w:rPr>
          <w:rFonts w:ascii="Times New Roman" w:hAnsi="Times New Roman"/>
          <w:i/>
          <w:iCs/>
          <w:sz w:val="24"/>
        </w:rPr>
        <w:t xml:space="preserve">Crimes Act 1900 </w:t>
      </w:r>
      <w:r w:rsidR="001C7AF3" w:rsidRPr="008D3C0D">
        <w:rPr>
          <w:rFonts w:ascii="Times New Roman" w:hAnsi="Times New Roman"/>
          <w:sz w:val="24"/>
        </w:rPr>
        <w:t>(NSW)</w:t>
      </w:r>
      <w:r w:rsidRPr="008D3C0D">
        <w:rPr>
          <w:rFonts w:ascii="Times New Roman" w:hAnsi="Times New Roman"/>
          <w:sz w:val="24"/>
        </w:rPr>
        <w:t xml:space="preserve">. </w:t>
      </w:r>
    </w:p>
  </w:footnote>
  <w:footnote w:id="13">
    <w:p w14:paraId="05D2D116" w14:textId="31ECB885"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 xml:space="preserve">New South Wales, Legislative Assembly, </w:t>
      </w:r>
      <w:r w:rsidRPr="008D3C0D">
        <w:rPr>
          <w:rFonts w:ascii="Times New Roman" w:hAnsi="Times New Roman"/>
          <w:i/>
          <w:iCs/>
          <w:sz w:val="24"/>
        </w:rPr>
        <w:t xml:space="preserve">Parliamentary Debates </w:t>
      </w:r>
      <w:r w:rsidRPr="008D3C0D">
        <w:rPr>
          <w:rFonts w:ascii="Times New Roman" w:hAnsi="Times New Roman"/>
          <w:sz w:val="24"/>
        </w:rPr>
        <w:t>(Hansard), 18</w:t>
      </w:r>
      <w:r w:rsidR="002C1CD5">
        <w:rPr>
          <w:rFonts w:ascii="Times New Roman" w:hAnsi="Times New Roman"/>
          <w:sz w:val="24"/>
        </w:rPr>
        <w:t> </w:t>
      </w:r>
      <w:r w:rsidRPr="008D3C0D">
        <w:rPr>
          <w:rFonts w:ascii="Times New Roman" w:hAnsi="Times New Roman"/>
          <w:sz w:val="24"/>
        </w:rPr>
        <w:t xml:space="preserve">March 1981 at 4759-4760. See </w:t>
      </w:r>
      <w:r w:rsidRPr="008D3C0D">
        <w:rPr>
          <w:rFonts w:ascii="Times New Roman" w:hAnsi="Times New Roman"/>
          <w:i/>
          <w:iCs/>
          <w:sz w:val="24"/>
        </w:rPr>
        <w:t xml:space="preserve">HG v The Queen </w:t>
      </w:r>
      <w:r w:rsidRPr="008D3C0D">
        <w:rPr>
          <w:rFonts w:ascii="Times New Roman" w:hAnsi="Times New Roman"/>
          <w:sz w:val="24"/>
        </w:rPr>
        <w:t>(1999) 197 CLR 414 at 424 [24].</w:t>
      </w:r>
    </w:p>
  </w:footnote>
  <w:footnote w:id="14">
    <w:p w14:paraId="764AE160" w14:textId="77777777"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HG v The Queen </w:t>
      </w:r>
      <w:r w:rsidRPr="008D3C0D">
        <w:rPr>
          <w:rFonts w:ascii="Times New Roman" w:hAnsi="Times New Roman"/>
          <w:sz w:val="24"/>
        </w:rPr>
        <w:t>(1999) 197 CLR 414 at 434 [69].</w:t>
      </w:r>
    </w:p>
  </w:footnote>
  <w:footnote w:id="15">
    <w:p w14:paraId="31B50A6D" w14:textId="4A402A12"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(1999) 197 CLR 414 at 424-425 [28]-[29], 435 [70], 441 [92], 449-450 [124], 456 [147].</w:t>
      </w:r>
    </w:p>
  </w:footnote>
  <w:footnote w:id="16">
    <w:p w14:paraId="53A8C52C" w14:textId="755906CC"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6E1935" w:rsidRPr="008D3C0D">
        <w:rPr>
          <w:rFonts w:ascii="Times New Roman" w:hAnsi="Times New Roman"/>
          <w:i/>
          <w:iCs/>
          <w:sz w:val="24"/>
        </w:rPr>
        <w:t xml:space="preserve">R v Morgan </w:t>
      </w:r>
      <w:r w:rsidR="00160E84" w:rsidRPr="008D3C0D">
        <w:rPr>
          <w:rFonts w:ascii="Times New Roman" w:hAnsi="Times New Roman"/>
          <w:sz w:val="24"/>
        </w:rPr>
        <w:t xml:space="preserve">(1993) 30 NSWLR 543 at 544. See also </w:t>
      </w:r>
      <w:r w:rsidRPr="008D3C0D">
        <w:rPr>
          <w:rFonts w:ascii="Times New Roman" w:hAnsi="Times New Roman"/>
          <w:i/>
          <w:iCs/>
          <w:sz w:val="24"/>
        </w:rPr>
        <w:t>Crimes Legislation Amendment (Sentencing) Act 1999</w:t>
      </w:r>
      <w:r w:rsidRPr="008D3C0D">
        <w:rPr>
          <w:rFonts w:ascii="Times New Roman" w:hAnsi="Times New Roman"/>
          <w:sz w:val="24"/>
        </w:rPr>
        <w:t xml:space="preserve"> (NSW), Sch</w:t>
      </w:r>
      <w:r w:rsidR="00E9273C" w:rsidRPr="008D3C0D">
        <w:rPr>
          <w:rFonts w:ascii="Times New Roman" w:hAnsi="Times New Roman"/>
          <w:sz w:val="24"/>
        </w:rPr>
        <w:t> </w:t>
      </w:r>
      <w:r w:rsidRPr="008D3C0D">
        <w:rPr>
          <w:rFonts w:ascii="Times New Roman" w:hAnsi="Times New Roman"/>
          <w:sz w:val="24"/>
        </w:rPr>
        <w:t>2 item</w:t>
      </w:r>
      <w:r w:rsidR="00E9273C" w:rsidRPr="008D3C0D">
        <w:rPr>
          <w:rFonts w:ascii="Times New Roman" w:hAnsi="Times New Roman"/>
          <w:sz w:val="24"/>
        </w:rPr>
        <w:t> </w:t>
      </w:r>
      <w:r w:rsidRPr="008D3C0D">
        <w:rPr>
          <w:rFonts w:ascii="Times New Roman" w:hAnsi="Times New Roman"/>
          <w:sz w:val="24"/>
        </w:rPr>
        <w:t xml:space="preserve">31; </w:t>
      </w:r>
      <w:r w:rsidRPr="008D3C0D">
        <w:rPr>
          <w:rFonts w:ascii="Times New Roman" w:hAnsi="Times New Roman"/>
          <w:i/>
          <w:iCs/>
          <w:sz w:val="24"/>
        </w:rPr>
        <w:t>Criminal Procedure Amendment (Justices and Local Courts) Act 2001</w:t>
      </w:r>
      <w:r w:rsidRPr="008D3C0D">
        <w:rPr>
          <w:rFonts w:ascii="Times New Roman" w:hAnsi="Times New Roman"/>
          <w:sz w:val="24"/>
        </w:rPr>
        <w:t xml:space="preserve"> (NSW), Sch</w:t>
      </w:r>
      <w:r w:rsidR="00E9273C" w:rsidRPr="008D3C0D">
        <w:rPr>
          <w:rFonts w:ascii="Times New Roman" w:hAnsi="Times New Roman"/>
          <w:sz w:val="24"/>
        </w:rPr>
        <w:t> </w:t>
      </w:r>
      <w:r w:rsidRPr="008D3C0D">
        <w:rPr>
          <w:rFonts w:ascii="Times New Roman" w:hAnsi="Times New Roman"/>
          <w:sz w:val="24"/>
        </w:rPr>
        <w:t>1 item</w:t>
      </w:r>
      <w:r w:rsidR="00E9273C" w:rsidRPr="008D3C0D">
        <w:rPr>
          <w:rFonts w:ascii="Times New Roman" w:hAnsi="Times New Roman"/>
          <w:sz w:val="24"/>
        </w:rPr>
        <w:t> </w:t>
      </w:r>
      <w:r w:rsidRPr="008D3C0D">
        <w:rPr>
          <w:rFonts w:ascii="Times New Roman" w:hAnsi="Times New Roman"/>
          <w:sz w:val="24"/>
        </w:rPr>
        <w:t xml:space="preserve">123; </w:t>
      </w:r>
      <w:r w:rsidRPr="008D3C0D">
        <w:rPr>
          <w:rFonts w:ascii="Times New Roman" w:hAnsi="Times New Roman"/>
          <w:i/>
          <w:iCs/>
          <w:sz w:val="24"/>
        </w:rPr>
        <w:t>Criminal Procedure Further Amendment (Evidence) Act 2005</w:t>
      </w:r>
      <w:r w:rsidRPr="008D3C0D">
        <w:rPr>
          <w:rFonts w:ascii="Times New Roman" w:hAnsi="Times New Roman"/>
          <w:sz w:val="24"/>
        </w:rPr>
        <w:t xml:space="preserve"> (NSW), Sch</w:t>
      </w:r>
      <w:r w:rsidR="00E9273C" w:rsidRPr="008D3C0D">
        <w:rPr>
          <w:rFonts w:ascii="Times New Roman" w:hAnsi="Times New Roman"/>
          <w:sz w:val="24"/>
        </w:rPr>
        <w:t> </w:t>
      </w:r>
      <w:r w:rsidRPr="008D3C0D">
        <w:rPr>
          <w:rFonts w:ascii="Times New Roman" w:hAnsi="Times New Roman"/>
          <w:sz w:val="24"/>
        </w:rPr>
        <w:t>1 item</w:t>
      </w:r>
      <w:r w:rsidR="00E9273C" w:rsidRPr="008D3C0D">
        <w:rPr>
          <w:rFonts w:ascii="Times New Roman" w:hAnsi="Times New Roman"/>
          <w:sz w:val="24"/>
        </w:rPr>
        <w:t> </w:t>
      </w:r>
      <w:r w:rsidRPr="008D3C0D">
        <w:rPr>
          <w:rFonts w:ascii="Times New Roman" w:hAnsi="Times New Roman"/>
          <w:sz w:val="24"/>
        </w:rPr>
        <w:t xml:space="preserve">10; </w:t>
      </w:r>
      <w:r w:rsidRPr="008D3C0D">
        <w:rPr>
          <w:rFonts w:ascii="Times New Roman" w:hAnsi="Times New Roman"/>
          <w:i/>
          <w:iCs/>
          <w:sz w:val="24"/>
        </w:rPr>
        <w:t xml:space="preserve">Criminal Legislation Amendment (Child Sexual Abuse) Act 2018 </w:t>
      </w:r>
      <w:r w:rsidRPr="008D3C0D">
        <w:rPr>
          <w:rFonts w:ascii="Times New Roman" w:hAnsi="Times New Roman"/>
          <w:sz w:val="24"/>
        </w:rPr>
        <w:t>(NSW), Sch</w:t>
      </w:r>
      <w:r w:rsidR="009670D1" w:rsidRPr="008D3C0D">
        <w:rPr>
          <w:rFonts w:ascii="Times New Roman" w:hAnsi="Times New Roman"/>
          <w:sz w:val="24"/>
        </w:rPr>
        <w:t> </w:t>
      </w:r>
      <w:r w:rsidRPr="008D3C0D">
        <w:rPr>
          <w:rFonts w:ascii="Times New Roman" w:hAnsi="Times New Roman"/>
          <w:sz w:val="24"/>
        </w:rPr>
        <w:t>4 item</w:t>
      </w:r>
      <w:r w:rsidR="009670D1" w:rsidRPr="008D3C0D">
        <w:rPr>
          <w:rFonts w:ascii="Times New Roman" w:hAnsi="Times New Roman"/>
          <w:sz w:val="24"/>
        </w:rPr>
        <w:t> </w:t>
      </w:r>
      <w:r w:rsidRPr="008D3C0D">
        <w:rPr>
          <w:rFonts w:ascii="Times New Roman" w:hAnsi="Times New Roman"/>
          <w:sz w:val="24"/>
        </w:rPr>
        <w:t xml:space="preserve">9; </w:t>
      </w:r>
      <w:r w:rsidRPr="008D3C0D">
        <w:rPr>
          <w:rFonts w:ascii="Times New Roman" w:hAnsi="Times New Roman"/>
          <w:i/>
          <w:iCs/>
          <w:sz w:val="24"/>
        </w:rPr>
        <w:t>Crimes Legislation Amendment (Sexual Consent Reforms) Act 2021</w:t>
      </w:r>
      <w:r w:rsidRPr="008D3C0D">
        <w:rPr>
          <w:rFonts w:ascii="Times New Roman" w:hAnsi="Times New Roman"/>
          <w:sz w:val="24"/>
        </w:rPr>
        <w:t xml:space="preserve"> (NSW), Sch</w:t>
      </w:r>
      <w:r w:rsidR="005B1B8F" w:rsidRPr="008D3C0D">
        <w:rPr>
          <w:rFonts w:ascii="Times New Roman" w:hAnsi="Times New Roman"/>
          <w:sz w:val="24"/>
        </w:rPr>
        <w:t> </w:t>
      </w:r>
      <w:r w:rsidRPr="008D3C0D">
        <w:rPr>
          <w:rFonts w:ascii="Times New Roman" w:hAnsi="Times New Roman"/>
          <w:sz w:val="24"/>
        </w:rPr>
        <w:t>2</w:t>
      </w:r>
      <w:r w:rsidR="0076353B" w:rsidRPr="008D3C0D">
        <w:rPr>
          <w:rFonts w:ascii="Times New Roman" w:hAnsi="Times New Roman"/>
          <w:sz w:val="24"/>
        </w:rPr>
        <w:t xml:space="preserve"> </w:t>
      </w:r>
      <w:r w:rsidRPr="008D3C0D">
        <w:rPr>
          <w:rFonts w:ascii="Times New Roman" w:hAnsi="Times New Roman"/>
          <w:sz w:val="24"/>
        </w:rPr>
        <w:t>item</w:t>
      </w:r>
      <w:r w:rsidR="005B1B8F" w:rsidRPr="008D3C0D">
        <w:rPr>
          <w:rFonts w:ascii="Times New Roman" w:hAnsi="Times New Roman"/>
          <w:sz w:val="24"/>
        </w:rPr>
        <w:t> </w:t>
      </w:r>
      <w:r w:rsidRPr="008D3C0D">
        <w:rPr>
          <w:rFonts w:ascii="Times New Roman" w:hAnsi="Times New Roman"/>
          <w:sz w:val="24"/>
        </w:rPr>
        <w:t>4. See</w:t>
      </w:r>
      <w:r w:rsidR="00D773AA" w:rsidRPr="008D3C0D">
        <w:rPr>
          <w:rFonts w:ascii="Times New Roman" w:hAnsi="Times New Roman"/>
          <w:sz w:val="24"/>
        </w:rPr>
        <w:t>, further,</w:t>
      </w:r>
      <w:r w:rsidRPr="008D3C0D">
        <w:rPr>
          <w:rFonts w:ascii="Times New Roman" w:hAnsi="Times New Roman"/>
          <w:sz w:val="24"/>
        </w:rPr>
        <w:t xml:space="preserve"> </w:t>
      </w:r>
      <w:r w:rsidRPr="008D3C0D">
        <w:rPr>
          <w:rFonts w:ascii="Times New Roman" w:hAnsi="Times New Roman"/>
          <w:i/>
          <w:iCs/>
          <w:sz w:val="24"/>
        </w:rPr>
        <w:t xml:space="preserve">Director of Public Prosecutions Reference No 1 of 2019 </w:t>
      </w:r>
      <w:r w:rsidRPr="008D3C0D">
        <w:rPr>
          <w:rFonts w:ascii="Times New Roman" w:hAnsi="Times New Roman"/>
          <w:sz w:val="24"/>
        </w:rPr>
        <w:t xml:space="preserve">(2021) 274 CLR 177 at 184-187 [10]-[17], 198-199 [51]-[52], 215 [92].  </w:t>
      </w:r>
    </w:p>
  </w:footnote>
  <w:footnote w:id="17">
    <w:p w14:paraId="0CA109DF" w14:textId="41B008FC"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 xml:space="preserve">New South Wales Law Reform Commission, </w:t>
      </w:r>
      <w:r w:rsidRPr="008D3C0D">
        <w:rPr>
          <w:rFonts w:ascii="Times New Roman" w:hAnsi="Times New Roman"/>
          <w:i/>
          <w:iCs/>
          <w:sz w:val="24"/>
        </w:rPr>
        <w:t>Review of Section 409B of the Crimes Act 1900 (NSW)</w:t>
      </w:r>
      <w:r w:rsidR="00D64594" w:rsidRPr="008D3C0D">
        <w:rPr>
          <w:rFonts w:ascii="Times New Roman" w:hAnsi="Times New Roman"/>
          <w:sz w:val="24"/>
        </w:rPr>
        <w:t>, Report No 87</w:t>
      </w:r>
      <w:r w:rsidRPr="008D3C0D">
        <w:rPr>
          <w:rFonts w:ascii="Times New Roman" w:hAnsi="Times New Roman"/>
          <w:i/>
          <w:iCs/>
          <w:sz w:val="24"/>
        </w:rPr>
        <w:t xml:space="preserve"> </w:t>
      </w:r>
      <w:r w:rsidRPr="008D3C0D">
        <w:rPr>
          <w:rFonts w:ascii="Times New Roman" w:hAnsi="Times New Roman"/>
          <w:sz w:val="24"/>
        </w:rPr>
        <w:t xml:space="preserve">(1998) at 44-45. </w:t>
      </w:r>
    </w:p>
  </w:footnote>
  <w:footnote w:id="18">
    <w:p w14:paraId="19045E2C" w14:textId="77777777" w:rsidR="00121F1E" w:rsidRPr="008D3C0D" w:rsidRDefault="00121F1E" w:rsidP="008D3C0D">
      <w:pPr>
        <w:pStyle w:val="FootnoteText"/>
        <w:spacing w:line="280" w:lineRule="exact"/>
        <w:ind w:right="0"/>
        <w:jc w:val="both"/>
        <w:rPr>
          <w:rFonts w:ascii="Times New Roman" w:hAnsi="Times New Roman"/>
          <w:i/>
          <w:iCs/>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R v Morgan </w:t>
      </w:r>
      <w:r w:rsidRPr="008D3C0D">
        <w:rPr>
          <w:rFonts w:ascii="Times New Roman" w:hAnsi="Times New Roman"/>
          <w:sz w:val="24"/>
        </w:rPr>
        <w:t>(1993) 30 NSWLR 543 at 544.</w:t>
      </w:r>
      <w:r w:rsidRPr="008D3C0D">
        <w:rPr>
          <w:rFonts w:ascii="Times New Roman" w:hAnsi="Times New Roman"/>
          <w:i/>
          <w:iCs/>
          <w:sz w:val="24"/>
        </w:rPr>
        <w:t xml:space="preserve"> </w:t>
      </w:r>
    </w:p>
  </w:footnote>
  <w:footnote w:id="19">
    <w:p w14:paraId="579D6D43" w14:textId="19559606"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0728B8" w:rsidRPr="008D3C0D">
        <w:rPr>
          <w:rFonts w:ascii="Times New Roman" w:hAnsi="Times New Roman"/>
          <w:sz w:val="24"/>
        </w:rPr>
        <w:t>(2012) 228 A Crim R 32</w:t>
      </w:r>
      <w:r w:rsidRPr="008D3C0D">
        <w:rPr>
          <w:rFonts w:ascii="Times New Roman" w:hAnsi="Times New Roman"/>
          <w:sz w:val="24"/>
        </w:rPr>
        <w:t xml:space="preserve">. </w:t>
      </w:r>
    </w:p>
  </w:footnote>
  <w:footnote w:id="20">
    <w:p w14:paraId="4D7594C8" w14:textId="3EF7C3B9"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531266" w:rsidRPr="008D3C0D">
        <w:rPr>
          <w:rFonts w:ascii="Times New Roman" w:hAnsi="Times New Roman"/>
          <w:sz w:val="24"/>
        </w:rPr>
        <w:t xml:space="preserve">(2012) 228 A Crim R 32 </w:t>
      </w:r>
      <w:r w:rsidRPr="008D3C0D">
        <w:rPr>
          <w:rFonts w:ascii="Times New Roman" w:hAnsi="Times New Roman"/>
          <w:sz w:val="24"/>
        </w:rPr>
        <w:t xml:space="preserve">at </w:t>
      </w:r>
      <w:r w:rsidR="00602226" w:rsidRPr="008D3C0D">
        <w:rPr>
          <w:rFonts w:ascii="Times New Roman" w:hAnsi="Times New Roman"/>
          <w:sz w:val="24"/>
        </w:rPr>
        <w:t xml:space="preserve">50 </w:t>
      </w:r>
      <w:r w:rsidRPr="008D3C0D">
        <w:rPr>
          <w:rFonts w:ascii="Times New Roman" w:hAnsi="Times New Roman"/>
          <w:sz w:val="24"/>
        </w:rPr>
        <w:t>[63]-[64].</w:t>
      </w:r>
      <w:r w:rsidR="00266B30" w:rsidRPr="008D3C0D">
        <w:rPr>
          <w:rFonts w:ascii="Times New Roman" w:hAnsi="Times New Roman"/>
          <w:sz w:val="24"/>
        </w:rPr>
        <w:t xml:space="preserve"> Affirmed in </w:t>
      </w:r>
      <w:r w:rsidR="00266B30" w:rsidRPr="008D3C0D">
        <w:rPr>
          <w:rFonts w:ascii="Times New Roman" w:hAnsi="Times New Roman"/>
          <w:i/>
          <w:iCs/>
          <w:sz w:val="24"/>
        </w:rPr>
        <w:t>R v Ed</w:t>
      </w:r>
      <w:r w:rsidR="007466A5" w:rsidRPr="008D3C0D">
        <w:rPr>
          <w:rFonts w:ascii="Times New Roman" w:hAnsi="Times New Roman"/>
          <w:i/>
          <w:iCs/>
          <w:sz w:val="24"/>
        </w:rPr>
        <w:t xml:space="preserve">wards </w:t>
      </w:r>
      <w:r w:rsidR="0097070C" w:rsidRPr="008D3C0D">
        <w:rPr>
          <w:rFonts w:ascii="Times New Roman" w:hAnsi="Times New Roman"/>
          <w:sz w:val="24"/>
        </w:rPr>
        <w:t>[2015] NSWCCA 24 at [30].</w:t>
      </w:r>
    </w:p>
  </w:footnote>
  <w:footnote w:id="21">
    <w:p w14:paraId="32D996A5" w14:textId="3974E03C"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372549" w:rsidRPr="008D3C0D">
        <w:rPr>
          <w:rFonts w:ascii="Times New Roman" w:hAnsi="Times New Roman"/>
          <w:i/>
          <w:sz w:val="24"/>
        </w:rPr>
        <w:t xml:space="preserve">R v Rahme </w:t>
      </w:r>
      <w:r w:rsidR="00372549" w:rsidRPr="008D3C0D">
        <w:rPr>
          <w:rFonts w:ascii="Times New Roman" w:hAnsi="Times New Roman"/>
          <w:sz w:val="24"/>
        </w:rPr>
        <w:t xml:space="preserve">[2004] NSWCCA 233 at [64]; </w:t>
      </w:r>
      <w:r w:rsidRPr="008D3C0D">
        <w:rPr>
          <w:rFonts w:ascii="Times New Roman" w:hAnsi="Times New Roman"/>
          <w:i/>
          <w:iCs/>
          <w:sz w:val="24"/>
        </w:rPr>
        <w:t xml:space="preserve">Spratt v </w:t>
      </w:r>
      <w:r w:rsidRPr="008D3C0D">
        <w:rPr>
          <w:rFonts w:ascii="Times New Roman" w:hAnsi="Times New Roman"/>
          <w:i/>
          <w:sz w:val="24"/>
        </w:rPr>
        <w:t>D</w:t>
      </w:r>
      <w:r w:rsidR="001E541B" w:rsidRPr="008D3C0D">
        <w:rPr>
          <w:rFonts w:ascii="Times New Roman" w:hAnsi="Times New Roman"/>
          <w:i/>
          <w:sz w:val="24"/>
        </w:rPr>
        <w:t xml:space="preserve">irector of </w:t>
      </w:r>
      <w:r w:rsidRPr="008D3C0D">
        <w:rPr>
          <w:rFonts w:ascii="Times New Roman" w:hAnsi="Times New Roman"/>
          <w:i/>
          <w:sz w:val="24"/>
        </w:rPr>
        <w:t>P</w:t>
      </w:r>
      <w:r w:rsidR="001E541B" w:rsidRPr="008D3C0D">
        <w:rPr>
          <w:rFonts w:ascii="Times New Roman" w:hAnsi="Times New Roman"/>
          <w:i/>
          <w:sz w:val="24"/>
        </w:rPr>
        <w:t xml:space="preserve">ublic </w:t>
      </w:r>
      <w:r w:rsidRPr="008D3C0D">
        <w:rPr>
          <w:rFonts w:ascii="Times New Roman" w:hAnsi="Times New Roman"/>
          <w:i/>
          <w:sz w:val="24"/>
        </w:rPr>
        <w:t>P</w:t>
      </w:r>
      <w:r w:rsidR="001E541B" w:rsidRPr="008D3C0D">
        <w:rPr>
          <w:rFonts w:ascii="Times New Roman" w:hAnsi="Times New Roman"/>
          <w:i/>
          <w:sz w:val="24"/>
        </w:rPr>
        <w:t>rosecutions</w:t>
      </w:r>
      <w:r w:rsidRPr="008D3C0D">
        <w:rPr>
          <w:rFonts w:ascii="Times New Roman" w:hAnsi="Times New Roman"/>
          <w:i/>
          <w:iCs/>
          <w:sz w:val="24"/>
        </w:rPr>
        <w:t xml:space="preserve"> </w:t>
      </w:r>
      <w:r w:rsidRPr="008D3C0D">
        <w:rPr>
          <w:rFonts w:ascii="Times New Roman" w:hAnsi="Times New Roman"/>
          <w:sz w:val="24"/>
        </w:rPr>
        <w:t xml:space="preserve">[2010] NSWSC 355 at [10]; </w:t>
      </w:r>
      <w:r w:rsidRPr="008D3C0D">
        <w:rPr>
          <w:rFonts w:ascii="Times New Roman" w:hAnsi="Times New Roman"/>
          <w:i/>
          <w:iCs/>
          <w:sz w:val="24"/>
        </w:rPr>
        <w:t xml:space="preserve">JWM v The Queen </w:t>
      </w:r>
      <w:r w:rsidRPr="008D3C0D">
        <w:rPr>
          <w:rFonts w:ascii="Times New Roman" w:hAnsi="Times New Roman"/>
          <w:sz w:val="24"/>
        </w:rPr>
        <w:t xml:space="preserve">(2014) 245 A Crim R 538 at 551 [46]; </w:t>
      </w:r>
      <w:r w:rsidRPr="008D3C0D">
        <w:rPr>
          <w:rFonts w:ascii="Times New Roman" w:hAnsi="Times New Roman"/>
          <w:i/>
          <w:iCs/>
          <w:sz w:val="24"/>
        </w:rPr>
        <w:t xml:space="preserve">SC v </w:t>
      </w:r>
      <w:r w:rsidR="00175EB6">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 xml:space="preserve">[2023] NSWCCA 60 at [168]. See also Woods, </w:t>
      </w:r>
      <w:r w:rsidRPr="008D3C0D">
        <w:rPr>
          <w:rFonts w:ascii="Times New Roman" w:hAnsi="Times New Roman"/>
          <w:i/>
          <w:iCs/>
          <w:sz w:val="24"/>
        </w:rPr>
        <w:t>Sexual Assault Law Reforms in New South Wales: A Commentary on the Crimes (Sexual Assault) Amendment Act, 1981, and Cognate Act</w:t>
      </w:r>
      <w:r w:rsidRPr="008D3C0D">
        <w:rPr>
          <w:rFonts w:ascii="Times New Roman" w:hAnsi="Times New Roman"/>
          <w:sz w:val="24"/>
        </w:rPr>
        <w:t xml:space="preserve"> (1981) at 34.</w:t>
      </w:r>
    </w:p>
  </w:footnote>
  <w:footnote w:id="22">
    <w:p w14:paraId="07154D60" w14:textId="0F9B258C"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020B60" w:rsidRPr="008D3C0D">
        <w:rPr>
          <w:rFonts w:ascii="Times New Roman" w:hAnsi="Times New Roman"/>
          <w:sz w:val="24"/>
        </w:rPr>
        <w:t xml:space="preserve">(2012) 228 A Crim R 32 at </w:t>
      </w:r>
      <w:r w:rsidR="009B76D9" w:rsidRPr="008D3C0D">
        <w:rPr>
          <w:rFonts w:ascii="Times New Roman" w:hAnsi="Times New Roman"/>
          <w:sz w:val="24"/>
        </w:rPr>
        <w:t>5</w:t>
      </w:r>
      <w:r w:rsidR="007266D4" w:rsidRPr="008D3C0D">
        <w:rPr>
          <w:rFonts w:ascii="Times New Roman" w:hAnsi="Times New Roman"/>
          <w:sz w:val="24"/>
        </w:rPr>
        <w:t>1</w:t>
      </w:r>
      <w:r w:rsidRPr="008D3C0D">
        <w:rPr>
          <w:rFonts w:ascii="Times New Roman" w:hAnsi="Times New Roman"/>
          <w:sz w:val="24"/>
        </w:rPr>
        <w:t xml:space="preserve"> [64]. </w:t>
      </w:r>
    </w:p>
  </w:footnote>
  <w:footnote w:id="23">
    <w:p w14:paraId="5746047C" w14:textId="4DFC1572"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 xml:space="preserve">Compare </w:t>
      </w:r>
      <w:r w:rsidRPr="008D3C0D">
        <w:rPr>
          <w:rFonts w:ascii="Times New Roman" w:hAnsi="Times New Roman"/>
          <w:i/>
          <w:iCs/>
          <w:sz w:val="24"/>
        </w:rPr>
        <w:t xml:space="preserve">Gregory v The Queen </w:t>
      </w:r>
      <w:r w:rsidRPr="008D3C0D">
        <w:rPr>
          <w:rFonts w:ascii="Times New Roman" w:hAnsi="Times New Roman"/>
          <w:sz w:val="24"/>
        </w:rPr>
        <w:t>(198</w:t>
      </w:r>
      <w:r w:rsidR="00F33D50" w:rsidRPr="008D3C0D">
        <w:rPr>
          <w:rFonts w:ascii="Times New Roman" w:hAnsi="Times New Roman"/>
          <w:sz w:val="24"/>
        </w:rPr>
        <w:t>3</w:t>
      </w:r>
      <w:r w:rsidRPr="008D3C0D">
        <w:rPr>
          <w:rFonts w:ascii="Times New Roman" w:hAnsi="Times New Roman"/>
          <w:sz w:val="24"/>
        </w:rPr>
        <w:t>) 151 CLR 566</w:t>
      </w:r>
      <w:r w:rsidRPr="008D3C0D">
        <w:rPr>
          <w:rFonts w:ascii="Times New Roman" w:hAnsi="Times New Roman"/>
          <w:i/>
          <w:iCs/>
          <w:sz w:val="24"/>
        </w:rPr>
        <w:t xml:space="preserve"> </w:t>
      </w:r>
      <w:r w:rsidRPr="008D3C0D">
        <w:rPr>
          <w:rFonts w:ascii="Times New Roman" w:hAnsi="Times New Roman"/>
          <w:sz w:val="24"/>
        </w:rPr>
        <w:t xml:space="preserve">at 571 with </w:t>
      </w:r>
      <w:r w:rsidRPr="008D3C0D">
        <w:rPr>
          <w:rFonts w:ascii="Times New Roman" w:hAnsi="Times New Roman"/>
          <w:i/>
          <w:iCs/>
          <w:sz w:val="24"/>
        </w:rPr>
        <w:t xml:space="preserve">R v White </w:t>
      </w:r>
      <w:r w:rsidRPr="008D3C0D">
        <w:rPr>
          <w:rFonts w:ascii="Times New Roman" w:hAnsi="Times New Roman"/>
          <w:sz w:val="24"/>
        </w:rPr>
        <w:t>(1989) 18 NSWLR 332 at 339.</w:t>
      </w:r>
    </w:p>
  </w:footnote>
  <w:footnote w:id="24">
    <w:p w14:paraId="3426F41F" w14:textId="02C11996"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 xml:space="preserve">New South Wales, Legislative Assembly, </w:t>
      </w:r>
      <w:r w:rsidRPr="008D3C0D">
        <w:rPr>
          <w:rFonts w:ascii="Times New Roman" w:hAnsi="Times New Roman"/>
          <w:i/>
          <w:iCs/>
          <w:sz w:val="24"/>
        </w:rPr>
        <w:t xml:space="preserve">Parliamentary Debates </w:t>
      </w:r>
      <w:r w:rsidRPr="008D3C0D">
        <w:rPr>
          <w:rFonts w:ascii="Times New Roman" w:hAnsi="Times New Roman"/>
          <w:sz w:val="24"/>
        </w:rPr>
        <w:t>(Hansard), 18</w:t>
      </w:r>
      <w:r w:rsidR="00175EB6">
        <w:rPr>
          <w:rFonts w:ascii="Times New Roman" w:hAnsi="Times New Roman"/>
          <w:sz w:val="24"/>
        </w:rPr>
        <w:t> </w:t>
      </w:r>
      <w:r w:rsidRPr="008D3C0D">
        <w:rPr>
          <w:rFonts w:ascii="Times New Roman" w:hAnsi="Times New Roman"/>
          <w:sz w:val="24"/>
        </w:rPr>
        <w:t>March 1981 at 4764.</w:t>
      </w:r>
    </w:p>
  </w:footnote>
  <w:footnote w:id="25">
    <w:p w14:paraId="55701264" w14:textId="77777777"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 xml:space="preserve">[2021] NSWCCA 51. </w:t>
      </w:r>
    </w:p>
  </w:footnote>
  <w:footnote w:id="26">
    <w:p w14:paraId="477E6AF5" w14:textId="6272EC42"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CB1697" w:rsidRPr="008D3C0D">
        <w:rPr>
          <w:rFonts w:ascii="Times New Roman" w:hAnsi="Times New Roman"/>
          <w:i/>
          <w:sz w:val="24"/>
        </w:rPr>
        <w:t>Chia v The Queen</w:t>
      </w:r>
      <w:r w:rsidR="00CB1697" w:rsidRPr="008D3C0D">
        <w:rPr>
          <w:rFonts w:ascii="Times New Roman" w:hAnsi="Times New Roman"/>
          <w:i/>
          <w:iCs/>
          <w:sz w:val="24"/>
        </w:rPr>
        <w:t xml:space="preserve"> </w:t>
      </w:r>
      <w:r w:rsidRPr="008D3C0D">
        <w:rPr>
          <w:rFonts w:ascii="Times New Roman" w:hAnsi="Times New Roman"/>
          <w:sz w:val="24"/>
        </w:rPr>
        <w:t>[2021] NSWCCA 51 at [58]</w:t>
      </w:r>
      <w:r w:rsidR="0067447D" w:rsidRPr="008D3C0D">
        <w:rPr>
          <w:rFonts w:ascii="Times New Roman" w:hAnsi="Times New Roman"/>
          <w:sz w:val="24"/>
        </w:rPr>
        <w:t>, [60]</w:t>
      </w:r>
      <w:r w:rsidRPr="008D3C0D">
        <w:rPr>
          <w:rFonts w:ascii="Times New Roman" w:hAnsi="Times New Roman"/>
          <w:sz w:val="24"/>
        </w:rPr>
        <w:t>.</w:t>
      </w:r>
    </w:p>
  </w:footnote>
  <w:footnote w:id="27">
    <w:p w14:paraId="5977C8B7" w14:textId="4A8353F3" w:rsidR="00ED7234" w:rsidRPr="008D3C0D" w:rsidRDefault="00ED7234"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See [1</w:t>
      </w:r>
      <w:r w:rsidR="00956A63" w:rsidRPr="008D3C0D">
        <w:rPr>
          <w:rFonts w:ascii="Times New Roman" w:hAnsi="Times New Roman"/>
          <w:sz w:val="24"/>
        </w:rPr>
        <w:t>8</w:t>
      </w:r>
      <w:r w:rsidRPr="008D3C0D">
        <w:rPr>
          <w:rFonts w:ascii="Times New Roman" w:hAnsi="Times New Roman"/>
          <w:sz w:val="24"/>
        </w:rPr>
        <w:t>] above.</w:t>
      </w:r>
    </w:p>
  </w:footnote>
  <w:footnote w:id="28">
    <w:p w14:paraId="57DA10AB" w14:textId="2823FF3A"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123397" w:rsidRPr="008D3C0D">
        <w:rPr>
          <w:rFonts w:ascii="Times New Roman" w:hAnsi="Times New Roman"/>
          <w:sz w:val="24"/>
        </w:rPr>
        <w:t xml:space="preserve">See </w:t>
      </w:r>
      <w:r w:rsidRPr="008D3C0D">
        <w:rPr>
          <w:rFonts w:ascii="Times New Roman" w:hAnsi="Times New Roman"/>
          <w:i/>
          <w:iCs/>
          <w:sz w:val="24"/>
        </w:rPr>
        <w:t xml:space="preserve">Tooheys Ltd v Commissioner of Stamp Duties (NSW) </w:t>
      </w:r>
      <w:r w:rsidRPr="008D3C0D">
        <w:rPr>
          <w:rFonts w:ascii="Times New Roman" w:hAnsi="Times New Roman"/>
          <w:sz w:val="24"/>
        </w:rPr>
        <w:t xml:space="preserve">(1961) 105 CLR 602 at 620. </w:t>
      </w:r>
    </w:p>
  </w:footnote>
  <w:footnote w:id="29">
    <w:p w14:paraId="63BE5DE4" w14:textId="3FF6D2C8"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Taylor</w:t>
      </w:r>
      <w:r w:rsidRPr="008D3C0D">
        <w:rPr>
          <w:rFonts w:ascii="Times New Roman" w:hAnsi="Times New Roman"/>
          <w:sz w:val="24"/>
        </w:rPr>
        <w:t xml:space="preserve"> </w:t>
      </w:r>
      <w:r w:rsidRPr="008D3C0D">
        <w:rPr>
          <w:rFonts w:ascii="Times New Roman" w:hAnsi="Times New Roman"/>
          <w:i/>
          <w:iCs/>
          <w:sz w:val="24"/>
        </w:rPr>
        <w:t xml:space="preserve">v The Queen </w:t>
      </w:r>
      <w:r w:rsidRPr="008D3C0D">
        <w:rPr>
          <w:rFonts w:ascii="Times New Roman" w:hAnsi="Times New Roman"/>
          <w:sz w:val="24"/>
        </w:rPr>
        <w:t>(2009) 78 NSWLR 198 at 209 [33]</w:t>
      </w:r>
      <w:r w:rsidR="005A11CE" w:rsidRPr="008D3C0D">
        <w:rPr>
          <w:rFonts w:ascii="Times New Roman" w:hAnsi="Times New Roman"/>
          <w:sz w:val="24"/>
        </w:rPr>
        <w:t>.</w:t>
      </w:r>
      <w:r w:rsidRPr="008D3C0D">
        <w:rPr>
          <w:rFonts w:ascii="Times New Roman" w:hAnsi="Times New Roman"/>
          <w:sz w:val="24"/>
        </w:rPr>
        <w:t xml:space="preserve"> </w:t>
      </w:r>
    </w:p>
  </w:footnote>
  <w:footnote w:id="30">
    <w:p w14:paraId="1924D1A4" w14:textId="77777777"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Hughes v The Queen </w:t>
      </w:r>
      <w:r w:rsidRPr="008D3C0D">
        <w:rPr>
          <w:rFonts w:ascii="Times New Roman" w:hAnsi="Times New Roman"/>
          <w:sz w:val="24"/>
        </w:rPr>
        <w:t xml:space="preserve">(2017) 263 CLR 338 at 356-357 [41].  </w:t>
      </w:r>
    </w:p>
  </w:footnote>
  <w:footnote w:id="31">
    <w:p w14:paraId="348B43F1" w14:textId="3C7EB458"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48638C" w:rsidRPr="008D3C0D">
        <w:rPr>
          <w:rFonts w:ascii="Times New Roman" w:hAnsi="Times New Roman"/>
          <w:sz w:val="24"/>
        </w:rPr>
        <w:t xml:space="preserve">See </w:t>
      </w:r>
      <w:r w:rsidRPr="008D3C0D">
        <w:rPr>
          <w:rFonts w:ascii="Times New Roman" w:hAnsi="Times New Roman"/>
          <w:i/>
          <w:iCs/>
          <w:sz w:val="24"/>
        </w:rPr>
        <w:t xml:space="preserve">R v Henning </w:t>
      </w:r>
      <w:r w:rsidRPr="008D3C0D">
        <w:rPr>
          <w:rFonts w:ascii="Times New Roman" w:hAnsi="Times New Roman"/>
          <w:sz w:val="24"/>
        </w:rPr>
        <w:t>(</w:t>
      </w:r>
      <w:r w:rsidR="005A11CE" w:rsidRPr="008D3C0D">
        <w:rPr>
          <w:rFonts w:ascii="Times New Roman" w:hAnsi="Times New Roman"/>
          <w:sz w:val="24"/>
        </w:rPr>
        <w:t>u</w:t>
      </w:r>
      <w:r w:rsidRPr="008D3C0D">
        <w:rPr>
          <w:rFonts w:ascii="Times New Roman" w:hAnsi="Times New Roman"/>
          <w:sz w:val="24"/>
        </w:rPr>
        <w:t>nreported, New South Wales Court of Criminal Appeal, 11 May 1990) at 76.</w:t>
      </w:r>
    </w:p>
  </w:footnote>
  <w:footnote w:id="32">
    <w:p w14:paraId="5DBA3357" w14:textId="77777777"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R v White </w:t>
      </w:r>
      <w:r w:rsidRPr="008D3C0D">
        <w:rPr>
          <w:rFonts w:ascii="Times New Roman" w:hAnsi="Times New Roman"/>
          <w:sz w:val="24"/>
        </w:rPr>
        <w:t>(1989) 18 NSWLR 332 at 341.</w:t>
      </w:r>
    </w:p>
  </w:footnote>
  <w:footnote w:id="33">
    <w:p w14:paraId="03AE8A9B" w14:textId="2889A68E" w:rsidR="00447F02" w:rsidRPr="008D3C0D" w:rsidRDefault="00447F02"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Cook (a pseudonym) v </w:t>
      </w:r>
      <w:r w:rsidR="002C6619"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[2022] NSWCCA 282 at [121].</w:t>
      </w:r>
    </w:p>
  </w:footnote>
  <w:footnote w:id="34">
    <w:p w14:paraId="5EC3A98B" w14:textId="585C5395" w:rsidR="008E1C02" w:rsidRPr="008D3C0D" w:rsidRDefault="008E1C02"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Cook (a pseudonym) v </w:t>
      </w:r>
      <w:r w:rsidR="002C6619"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[2022] NSWCCA 282 at [11</w:t>
      </w:r>
      <w:r w:rsidR="00193E91" w:rsidRPr="008D3C0D">
        <w:rPr>
          <w:rFonts w:ascii="Times New Roman" w:hAnsi="Times New Roman"/>
          <w:sz w:val="24"/>
        </w:rPr>
        <w:t>9</w:t>
      </w:r>
      <w:r w:rsidRPr="008D3C0D">
        <w:rPr>
          <w:rFonts w:ascii="Times New Roman" w:hAnsi="Times New Roman"/>
          <w:sz w:val="24"/>
        </w:rPr>
        <w:t>]-[12</w:t>
      </w:r>
      <w:r w:rsidR="00193E91" w:rsidRPr="008D3C0D">
        <w:rPr>
          <w:rFonts w:ascii="Times New Roman" w:hAnsi="Times New Roman"/>
          <w:sz w:val="24"/>
        </w:rPr>
        <w:t>1</w:t>
      </w:r>
      <w:r w:rsidRPr="008D3C0D">
        <w:rPr>
          <w:rFonts w:ascii="Times New Roman" w:hAnsi="Times New Roman"/>
          <w:sz w:val="24"/>
        </w:rPr>
        <w:t>].</w:t>
      </w:r>
    </w:p>
  </w:footnote>
  <w:footnote w:id="35">
    <w:p w14:paraId="43A372B9" w14:textId="77777777" w:rsidR="0026522F" w:rsidRPr="008D3C0D" w:rsidRDefault="0026522F"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 xml:space="preserve">(1999) 197 CLR 414 at 426 [33]. </w:t>
      </w:r>
    </w:p>
  </w:footnote>
  <w:footnote w:id="36">
    <w:p w14:paraId="4B5072B0" w14:textId="5E40CAFC"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Cook (a pseudonym) v </w:t>
      </w:r>
      <w:r w:rsidR="002C6619"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[2022] NSWCCA 282 at [16].</w:t>
      </w:r>
    </w:p>
  </w:footnote>
  <w:footnote w:id="37">
    <w:p w14:paraId="684C9ADC" w14:textId="03B72139"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 xml:space="preserve">Compare </w:t>
      </w:r>
      <w:r w:rsidRPr="008D3C0D">
        <w:rPr>
          <w:rFonts w:ascii="Times New Roman" w:hAnsi="Times New Roman"/>
          <w:i/>
          <w:iCs/>
          <w:sz w:val="24"/>
        </w:rPr>
        <w:t>Dyer</w:t>
      </w:r>
      <w:r w:rsidR="00864370" w:rsidRPr="008D3C0D">
        <w:rPr>
          <w:rFonts w:ascii="Times New Roman" w:hAnsi="Times New Roman"/>
          <w:i/>
          <w:iCs/>
          <w:sz w:val="24"/>
        </w:rPr>
        <w:t>s</w:t>
      </w:r>
      <w:r w:rsidRPr="008D3C0D">
        <w:rPr>
          <w:rFonts w:ascii="Times New Roman" w:hAnsi="Times New Roman"/>
          <w:i/>
          <w:iCs/>
          <w:sz w:val="24"/>
        </w:rPr>
        <w:t xml:space="preserve"> v The Queen </w:t>
      </w:r>
      <w:r w:rsidRPr="008D3C0D">
        <w:rPr>
          <w:rFonts w:ascii="Times New Roman" w:hAnsi="Times New Roman"/>
          <w:sz w:val="24"/>
        </w:rPr>
        <w:t>(2002) 210 CLR 285 at 294 [15].</w:t>
      </w:r>
    </w:p>
  </w:footnote>
  <w:footnote w:id="38">
    <w:p w14:paraId="5DDDCA5A" w14:textId="77777777"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 xml:space="preserve">(2020) 102 NSWLR 847 at 896 [225]. </w:t>
      </w:r>
    </w:p>
  </w:footnote>
  <w:footnote w:id="39">
    <w:p w14:paraId="20A8D622" w14:textId="14143867"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R v A2 </w:t>
      </w:r>
      <w:r w:rsidRPr="008D3C0D">
        <w:rPr>
          <w:rFonts w:ascii="Times New Roman" w:hAnsi="Times New Roman"/>
          <w:sz w:val="24"/>
        </w:rPr>
        <w:t xml:space="preserve">(2019) 269 CLR 507 at </w:t>
      </w:r>
      <w:r w:rsidR="00B856D2" w:rsidRPr="008D3C0D">
        <w:rPr>
          <w:rFonts w:ascii="Times New Roman" w:hAnsi="Times New Roman"/>
          <w:sz w:val="24"/>
        </w:rPr>
        <w:t xml:space="preserve">533-534 [83], </w:t>
      </w:r>
      <w:r w:rsidR="00012035" w:rsidRPr="008D3C0D">
        <w:rPr>
          <w:rFonts w:ascii="Times New Roman" w:hAnsi="Times New Roman"/>
          <w:sz w:val="24"/>
        </w:rPr>
        <w:t xml:space="preserve">554 [148], </w:t>
      </w:r>
      <w:r w:rsidRPr="008D3C0D">
        <w:rPr>
          <w:rFonts w:ascii="Times New Roman" w:hAnsi="Times New Roman"/>
          <w:sz w:val="24"/>
        </w:rPr>
        <w:t>5</w:t>
      </w:r>
      <w:r w:rsidR="00A60C1C" w:rsidRPr="008D3C0D">
        <w:rPr>
          <w:rFonts w:ascii="Times New Roman" w:hAnsi="Times New Roman"/>
          <w:sz w:val="24"/>
        </w:rPr>
        <w:t>69</w:t>
      </w:r>
      <w:r w:rsidRPr="008D3C0D">
        <w:rPr>
          <w:rFonts w:ascii="Times New Roman" w:hAnsi="Times New Roman"/>
          <w:sz w:val="24"/>
        </w:rPr>
        <w:t>-572 [1</w:t>
      </w:r>
      <w:r w:rsidR="00C3107E" w:rsidRPr="008D3C0D">
        <w:rPr>
          <w:rFonts w:ascii="Times New Roman" w:hAnsi="Times New Roman"/>
          <w:sz w:val="24"/>
        </w:rPr>
        <w:t>86</w:t>
      </w:r>
      <w:r w:rsidRPr="008D3C0D">
        <w:rPr>
          <w:rFonts w:ascii="Times New Roman" w:hAnsi="Times New Roman"/>
          <w:sz w:val="24"/>
        </w:rPr>
        <w:t xml:space="preserve">]-[192]. </w:t>
      </w:r>
    </w:p>
  </w:footnote>
  <w:footnote w:id="40">
    <w:p w14:paraId="102E22AC" w14:textId="4B859D10" w:rsidR="00441DF8" w:rsidRPr="008D3C0D" w:rsidRDefault="00441DF8"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702997" w:rsidRPr="008D3C0D">
        <w:rPr>
          <w:rFonts w:ascii="Times New Roman" w:hAnsi="Times New Roman"/>
          <w:sz w:val="24"/>
        </w:rPr>
        <w:t xml:space="preserve">See </w:t>
      </w:r>
      <w:r w:rsidRPr="008D3C0D">
        <w:rPr>
          <w:rFonts w:ascii="Times New Roman" w:hAnsi="Times New Roman"/>
          <w:i/>
          <w:iCs/>
          <w:sz w:val="24"/>
        </w:rPr>
        <w:t xml:space="preserve">Criminal Appeal Act 1912 </w:t>
      </w:r>
      <w:r w:rsidRPr="008D3C0D">
        <w:rPr>
          <w:rFonts w:ascii="Times New Roman" w:hAnsi="Times New Roman"/>
          <w:sz w:val="24"/>
        </w:rPr>
        <w:t>(NSW), s 6(2).</w:t>
      </w:r>
    </w:p>
  </w:footnote>
  <w:footnote w:id="41">
    <w:p w14:paraId="082B9E5D" w14:textId="77777777"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R v Morgan </w:t>
      </w:r>
      <w:r w:rsidRPr="008D3C0D">
        <w:rPr>
          <w:rFonts w:ascii="Times New Roman" w:hAnsi="Times New Roman"/>
          <w:sz w:val="24"/>
        </w:rPr>
        <w:t xml:space="preserve">(1993) 30 NSWLR 543 at 554. </w:t>
      </w:r>
    </w:p>
  </w:footnote>
  <w:footnote w:id="42">
    <w:p w14:paraId="7510225F" w14:textId="58E2110B" w:rsidR="00F447C2" w:rsidRPr="008D3C0D" w:rsidRDefault="00F447C2" w:rsidP="008D3C0D">
      <w:pPr>
        <w:pStyle w:val="FootnoteText"/>
        <w:spacing w:line="280" w:lineRule="exact"/>
        <w:ind w:right="0"/>
        <w:jc w:val="both"/>
        <w:rPr>
          <w:rFonts w:ascii="Times New Roman" w:hAnsi="Times New Roman"/>
          <w:i/>
          <w:iCs/>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002C4A5A" w:rsidRPr="008D3C0D">
        <w:rPr>
          <w:rFonts w:ascii="Times New Roman" w:hAnsi="Times New Roman"/>
          <w:i/>
          <w:iCs/>
          <w:sz w:val="24"/>
        </w:rPr>
        <w:t>R v Taufahema</w:t>
      </w:r>
      <w:r w:rsidR="002C4A5A" w:rsidRPr="008D3C0D">
        <w:rPr>
          <w:rFonts w:ascii="Times New Roman" w:hAnsi="Times New Roman"/>
          <w:sz w:val="24"/>
        </w:rPr>
        <w:t xml:space="preserve"> (2007) 228 CLR 232 at 256-257 </w:t>
      </w:r>
      <w:r w:rsidR="000947E3" w:rsidRPr="008D3C0D">
        <w:rPr>
          <w:rFonts w:ascii="Times New Roman" w:hAnsi="Times New Roman"/>
          <w:sz w:val="24"/>
        </w:rPr>
        <w:t>[55]</w:t>
      </w:r>
      <w:r w:rsidR="00E337CF" w:rsidRPr="008D3C0D">
        <w:rPr>
          <w:rFonts w:ascii="Times New Roman" w:hAnsi="Times New Roman"/>
          <w:sz w:val="24"/>
        </w:rPr>
        <w:t>,</w:t>
      </w:r>
      <w:r w:rsidR="005D610F" w:rsidRPr="008D3C0D">
        <w:rPr>
          <w:rFonts w:ascii="Times New Roman" w:hAnsi="Times New Roman"/>
          <w:sz w:val="24"/>
        </w:rPr>
        <w:t xml:space="preserve"> citing </w:t>
      </w:r>
      <w:r w:rsidR="000947E3" w:rsidRPr="008D3C0D">
        <w:rPr>
          <w:rFonts w:ascii="Times New Roman" w:hAnsi="Times New Roman"/>
          <w:i/>
          <w:iCs/>
          <w:sz w:val="24"/>
        </w:rPr>
        <w:t xml:space="preserve">Jiminez v The Queen </w:t>
      </w:r>
      <w:r w:rsidR="002D539B" w:rsidRPr="008D3C0D">
        <w:rPr>
          <w:rFonts w:ascii="Times New Roman" w:hAnsi="Times New Roman"/>
          <w:sz w:val="24"/>
        </w:rPr>
        <w:t>(1992) 173 CLR 572 at 590</w:t>
      </w:r>
      <w:r w:rsidR="00470113" w:rsidRPr="008D3C0D">
        <w:rPr>
          <w:rFonts w:ascii="Times New Roman" w:hAnsi="Times New Roman"/>
          <w:sz w:val="24"/>
        </w:rPr>
        <w:t>,</w:t>
      </w:r>
      <w:r w:rsidR="002D539B" w:rsidRPr="008D3C0D">
        <w:rPr>
          <w:rFonts w:ascii="Times New Roman" w:hAnsi="Times New Roman"/>
          <w:sz w:val="24"/>
        </w:rPr>
        <w:t xml:space="preserve"> </w:t>
      </w:r>
      <w:r w:rsidR="005D610F" w:rsidRPr="008D3C0D">
        <w:rPr>
          <w:rFonts w:ascii="Times New Roman" w:hAnsi="Times New Roman"/>
          <w:i/>
          <w:iCs/>
          <w:sz w:val="24"/>
        </w:rPr>
        <w:t xml:space="preserve">Reid v The Queen </w:t>
      </w:r>
      <w:r w:rsidR="005D610F" w:rsidRPr="008D3C0D">
        <w:rPr>
          <w:rFonts w:ascii="Times New Roman" w:hAnsi="Times New Roman"/>
          <w:sz w:val="24"/>
        </w:rPr>
        <w:t xml:space="preserve">[1980] </w:t>
      </w:r>
      <w:r w:rsidR="008B47E4" w:rsidRPr="008D3C0D">
        <w:rPr>
          <w:rFonts w:ascii="Times New Roman" w:hAnsi="Times New Roman"/>
          <w:sz w:val="24"/>
        </w:rPr>
        <w:t xml:space="preserve">AC </w:t>
      </w:r>
      <w:r w:rsidR="005D610F" w:rsidRPr="008D3C0D">
        <w:rPr>
          <w:rFonts w:ascii="Times New Roman" w:hAnsi="Times New Roman"/>
          <w:sz w:val="24"/>
        </w:rPr>
        <w:t>343 at 350</w:t>
      </w:r>
      <w:r w:rsidR="00470113" w:rsidRPr="008D3C0D">
        <w:rPr>
          <w:rFonts w:ascii="Times New Roman" w:hAnsi="Times New Roman"/>
          <w:sz w:val="24"/>
        </w:rPr>
        <w:t>,</w:t>
      </w:r>
      <w:r w:rsidR="005D610F" w:rsidRPr="008D3C0D">
        <w:rPr>
          <w:rFonts w:ascii="Times New Roman" w:hAnsi="Times New Roman"/>
          <w:sz w:val="24"/>
        </w:rPr>
        <w:t xml:space="preserve"> </w:t>
      </w:r>
      <w:r w:rsidR="00325830" w:rsidRPr="008D3C0D">
        <w:rPr>
          <w:rFonts w:ascii="Times New Roman" w:hAnsi="Times New Roman"/>
          <w:i/>
          <w:iCs/>
          <w:sz w:val="24"/>
        </w:rPr>
        <w:t xml:space="preserve">Parker v The Queen </w:t>
      </w:r>
      <w:r w:rsidR="00325830" w:rsidRPr="008D3C0D">
        <w:rPr>
          <w:rFonts w:ascii="Times New Roman" w:hAnsi="Times New Roman"/>
          <w:sz w:val="24"/>
        </w:rPr>
        <w:t>(1997) 186 CLR 494 at 520</w:t>
      </w:r>
      <w:r w:rsidR="00470113" w:rsidRPr="008D3C0D">
        <w:rPr>
          <w:rFonts w:ascii="Times New Roman" w:hAnsi="Times New Roman"/>
          <w:sz w:val="24"/>
        </w:rPr>
        <w:t>,</w:t>
      </w:r>
      <w:r w:rsidR="00325830" w:rsidRPr="008D3C0D">
        <w:rPr>
          <w:rFonts w:ascii="Times New Roman" w:hAnsi="Times New Roman"/>
          <w:sz w:val="24"/>
        </w:rPr>
        <w:t xml:space="preserve"> </w:t>
      </w:r>
      <w:r w:rsidR="00E50371" w:rsidRPr="008D3C0D">
        <w:rPr>
          <w:rFonts w:ascii="Times New Roman" w:hAnsi="Times New Roman"/>
          <w:i/>
          <w:iCs/>
          <w:sz w:val="24"/>
        </w:rPr>
        <w:t>Anderson</w:t>
      </w:r>
      <w:r w:rsidR="00325830" w:rsidRPr="008D3C0D">
        <w:rPr>
          <w:rFonts w:ascii="Times New Roman" w:hAnsi="Times New Roman"/>
          <w:i/>
          <w:iCs/>
          <w:sz w:val="24"/>
        </w:rPr>
        <w:t xml:space="preserve"> </w:t>
      </w:r>
      <w:r w:rsidR="00225591" w:rsidRPr="008D3C0D">
        <w:rPr>
          <w:rFonts w:ascii="Times New Roman" w:hAnsi="Times New Roman"/>
          <w:sz w:val="24"/>
        </w:rPr>
        <w:t>(1991) 53 A Crim R 421 at 453</w:t>
      </w:r>
      <w:r w:rsidR="00470113" w:rsidRPr="008D3C0D">
        <w:rPr>
          <w:rFonts w:ascii="Times New Roman" w:hAnsi="Times New Roman"/>
          <w:sz w:val="24"/>
        </w:rPr>
        <w:t>,</w:t>
      </w:r>
      <w:r w:rsidR="00D65C11" w:rsidRPr="008D3C0D">
        <w:rPr>
          <w:rFonts w:ascii="Times New Roman" w:hAnsi="Times New Roman"/>
          <w:sz w:val="24"/>
        </w:rPr>
        <w:t xml:space="preserve"> </w:t>
      </w:r>
      <w:r w:rsidR="00A5379D" w:rsidRPr="008D3C0D">
        <w:rPr>
          <w:rFonts w:ascii="Times New Roman" w:hAnsi="Times New Roman"/>
          <w:i/>
          <w:iCs/>
          <w:sz w:val="24"/>
        </w:rPr>
        <w:t xml:space="preserve">Everett v The Queen </w:t>
      </w:r>
      <w:r w:rsidR="00A5379D" w:rsidRPr="008D3C0D">
        <w:rPr>
          <w:rFonts w:ascii="Times New Roman" w:hAnsi="Times New Roman"/>
          <w:sz w:val="24"/>
        </w:rPr>
        <w:t>(</w:t>
      </w:r>
      <w:r w:rsidR="00864104" w:rsidRPr="008D3C0D">
        <w:rPr>
          <w:rFonts w:ascii="Times New Roman" w:hAnsi="Times New Roman"/>
          <w:sz w:val="24"/>
        </w:rPr>
        <w:t>1994) 181 CLR 295 at 302</w:t>
      </w:r>
      <w:r w:rsidR="00470113" w:rsidRPr="008D3C0D">
        <w:rPr>
          <w:rFonts w:ascii="Times New Roman" w:hAnsi="Times New Roman"/>
          <w:sz w:val="24"/>
        </w:rPr>
        <w:t>,</w:t>
      </w:r>
      <w:r w:rsidR="00864104" w:rsidRPr="008D3C0D">
        <w:rPr>
          <w:rFonts w:ascii="Times New Roman" w:hAnsi="Times New Roman"/>
          <w:sz w:val="24"/>
        </w:rPr>
        <w:t xml:space="preserve"> </w:t>
      </w:r>
      <w:r w:rsidR="00FF3F78" w:rsidRPr="008D3C0D">
        <w:rPr>
          <w:rFonts w:ascii="Times New Roman" w:hAnsi="Times New Roman"/>
          <w:sz w:val="24"/>
        </w:rPr>
        <w:t xml:space="preserve">and </w:t>
      </w:r>
      <w:r w:rsidR="00864104" w:rsidRPr="008D3C0D">
        <w:rPr>
          <w:rFonts w:ascii="Times New Roman" w:hAnsi="Times New Roman"/>
          <w:i/>
          <w:iCs/>
          <w:sz w:val="24"/>
        </w:rPr>
        <w:t xml:space="preserve">R v Wilton </w:t>
      </w:r>
      <w:r w:rsidR="00864104" w:rsidRPr="008D3C0D">
        <w:rPr>
          <w:rFonts w:ascii="Times New Roman" w:hAnsi="Times New Roman"/>
          <w:sz w:val="24"/>
        </w:rPr>
        <w:t xml:space="preserve">(1981) 28 SASR </w:t>
      </w:r>
      <w:r w:rsidR="009E09F4" w:rsidRPr="008D3C0D">
        <w:rPr>
          <w:rFonts w:ascii="Times New Roman" w:hAnsi="Times New Roman"/>
          <w:sz w:val="24"/>
        </w:rPr>
        <w:t>362 at 367-368</w:t>
      </w:r>
      <w:r w:rsidR="00890A32" w:rsidRPr="008D3C0D">
        <w:rPr>
          <w:rFonts w:ascii="Times New Roman" w:hAnsi="Times New Roman"/>
          <w:sz w:val="24"/>
        </w:rPr>
        <w:t>.</w:t>
      </w:r>
      <w:r w:rsidR="009F7C33" w:rsidRPr="008D3C0D">
        <w:rPr>
          <w:rFonts w:ascii="Times New Roman" w:hAnsi="Times New Roman"/>
          <w:i/>
          <w:iCs/>
          <w:sz w:val="24"/>
        </w:rPr>
        <w:t xml:space="preserve"> </w:t>
      </w:r>
      <w:r w:rsidR="009F7C33" w:rsidRPr="008D3C0D">
        <w:rPr>
          <w:rFonts w:ascii="Times New Roman" w:hAnsi="Times New Roman"/>
          <w:sz w:val="24"/>
        </w:rPr>
        <w:t xml:space="preserve">See also </w:t>
      </w:r>
      <w:r w:rsidR="009F7C33" w:rsidRPr="008D3C0D">
        <w:rPr>
          <w:rFonts w:ascii="Times New Roman" w:hAnsi="Times New Roman"/>
          <w:i/>
          <w:iCs/>
          <w:sz w:val="24"/>
        </w:rPr>
        <w:t xml:space="preserve">Dyers v The Queen </w:t>
      </w:r>
      <w:r w:rsidR="009F7C33" w:rsidRPr="008D3C0D">
        <w:rPr>
          <w:rFonts w:ascii="Times New Roman" w:hAnsi="Times New Roman"/>
          <w:sz w:val="24"/>
        </w:rPr>
        <w:t xml:space="preserve">(2002) 210 CLR </w:t>
      </w:r>
      <w:r w:rsidR="008B7AD7" w:rsidRPr="008D3C0D">
        <w:rPr>
          <w:rFonts w:ascii="Times New Roman" w:hAnsi="Times New Roman"/>
          <w:sz w:val="24"/>
        </w:rPr>
        <w:t xml:space="preserve">285 at </w:t>
      </w:r>
      <w:r w:rsidR="00E010EF" w:rsidRPr="008D3C0D">
        <w:rPr>
          <w:rFonts w:ascii="Times New Roman" w:hAnsi="Times New Roman"/>
          <w:sz w:val="24"/>
        </w:rPr>
        <w:t xml:space="preserve">314-315 [82]-[83]. </w:t>
      </w:r>
    </w:p>
  </w:footnote>
  <w:footnote w:id="43">
    <w:p w14:paraId="0C66F841" w14:textId="62858186"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At [</w:t>
      </w:r>
      <w:r w:rsidR="00FC6083" w:rsidRPr="008D3C0D">
        <w:rPr>
          <w:rFonts w:ascii="Times New Roman" w:hAnsi="Times New Roman"/>
          <w:sz w:val="24"/>
        </w:rPr>
        <w:t>2</w:t>
      </w:r>
      <w:r w:rsidR="00385D6C">
        <w:rPr>
          <w:rFonts w:ascii="Times New Roman" w:hAnsi="Times New Roman"/>
          <w:sz w:val="24"/>
        </w:rPr>
        <w:t>0</w:t>
      </w:r>
      <w:r w:rsidRPr="008D3C0D">
        <w:rPr>
          <w:rFonts w:ascii="Times New Roman" w:hAnsi="Times New Roman"/>
          <w:sz w:val="24"/>
        </w:rPr>
        <w:t>].</w:t>
      </w:r>
    </w:p>
  </w:footnote>
  <w:footnote w:id="44">
    <w:p w14:paraId="654E9E5E" w14:textId="5319E398"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Above at [</w:t>
      </w:r>
      <w:r w:rsidR="004C0155" w:rsidRPr="008D3C0D">
        <w:rPr>
          <w:rFonts w:ascii="Times New Roman" w:hAnsi="Times New Roman"/>
          <w:sz w:val="24"/>
        </w:rPr>
        <w:t>1</w:t>
      </w:r>
      <w:r w:rsidR="00FC6083" w:rsidRPr="008D3C0D">
        <w:rPr>
          <w:rFonts w:ascii="Times New Roman" w:hAnsi="Times New Roman"/>
          <w:sz w:val="24"/>
        </w:rPr>
        <w:t>4</w:t>
      </w:r>
      <w:r w:rsidRPr="008D3C0D">
        <w:rPr>
          <w:rFonts w:ascii="Times New Roman" w:hAnsi="Times New Roman"/>
          <w:sz w:val="24"/>
        </w:rPr>
        <w:t>].</w:t>
      </w:r>
    </w:p>
  </w:footnote>
  <w:footnote w:id="45">
    <w:p w14:paraId="141E644D" w14:textId="4A2C0BD2"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t>Above at [</w:t>
      </w:r>
      <w:r w:rsidR="00FC6083" w:rsidRPr="008D3C0D">
        <w:rPr>
          <w:rFonts w:ascii="Times New Roman" w:hAnsi="Times New Roman"/>
          <w:sz w:val="24"/>
        </w:rPr>
        <w:t>10</w:t>
      </w:r>
      <w:r w:rsidRPr="008D3C0D">
        <w:rPr>
          <w:rFonts w:ascii="Times New Roman" w:hAnsi="Times New Roman"/>
          <w:sz w:val="24"/>
        </w:rPr>
        <w:t>].</w:t>
      </w:r>
    </w:p>
  </w:footnote>
  <w:footnote w:id="46">
    <w:p w14:paraId="6CFAA3E1" w14:textId="12952B55" w:rsidR="00121F1E" w:rsidRPr="008D3C0D" w:rsidRDefault="00121F1E" w:rsidP="008D3C0D">
      <w:pPr>
        <w:pStyle w:val="FootnoteText"/>
        <w:spacing w:line="280" w:lineRule="exact"/>
        <w:ind w:right="0"/>
        <w:jc w:val="both"/>
        <w:rPr>
          <w:rFonts w:ascii="Times New Roman" w:hAnsi="Times New Roman"/>
          <w:sz w:val="24"/>
        </w:rPr>
      </w:pPr>
      <w:r w:rsidRPr="008D3C0D">
        <w:rPr>
          <w:rStyle w:val="FootnoteReference"/>
          <w:rFonts w:ascii="Times New Roman" w:hAnsi="Times New Roman"/>
          <w:sz w:val="22"/>
          <w:vertAlign w:val="baseline"/>
        </w:rPr>
        <w:footnoteRef/>
      </w:r>
      <w:r w:rsidRPr="008D3C0D">
        <w:rPr>
          <w:rFonts w:ascii="Times New Roman" w:hAnsi="Times New Roman"/>
          <w:sz w:val="24"/>
        </w:rPr>
        <w:t xml:space="preserve"> </w:t>
      </w:r>
      <w:r w:rsidRPr="008D3C0D">
        <w:rPr>
          <w:rFonts w:ascii="Times New Roman" w:hAnsi="Times New Roman"/>
          <w:sz w:val="24"/>
        </w:rPr>
        <w:tab/>
      </w:r>
      <w:r w:rsidRPr="008D3C0D">
        <w:rPr>
          <w:rFonts w:ascii="Times New Roman" w:hAnsi="Times New Roman"/>
          <w:i/>
          <w:iCs/>
          <w:sz w:val="24"/>
        </w:rPr>
        <w:t xml:space="preserve">R v Cook (a pseudonym) </w:t>
      </w:r>
      <w:r w:rsidR="001A28DC" w:rsidRPr="008D3C0D">
        <w:rPr>
          <w:rFonts w:ascii="Times New Roman" w:hAnsi="Times New Roman"/>
          <w:sz w:val="24"/>
        </w:rPr>
        <w:t xml:space="preserve">(2019) 32 DCLR(NSW) 9 </w:t>
      </w:r>
      <w:r w:rsidRPr="008D3C0D">
        <w:rPr>
          <w:rFonts w:ascii="Times New Roman" w:hAnsi="Times New Roman"/>
          <w:sz w:val="24"/>
        </w:rPr>
        <w:t xml:space="preserve">at </w:t>
      </w:r>
      <w:r w:rsidR="001A28DC" w:rsidRPr="008D3C0D">
        <w:rPr>
          <w:rFonts w:ascii="Times New Roman" w:hAnsi="Times New Roman"/>
          <w:sz w:val="24"/>
        </w:rPr>
        <w:t xml:space="preserve">10 </w:t>
      </w:r>
      <w:r w:rsidRPr="008D3C0D">
        <w:rPr>
          <w:rFonts w:ascii="Times New Roman" w:hAnsi="Times New Roman"/>
          <w:sz w:val="24"/>
        </w:rPr>
        <w:t>[11].</w:t>
      </w:r>
      <w:r w:rsidRPr="008D3C0D">
        <w:rPr>
          <w:rFonts w:ascii="Times New Roman" w:hAnsi="Times New Roman"/>
          <w:i/>
          <w:iCs/>
          <w:sz w:val="24"/>
        </w:rPr>
        <w:t xml:space="preserve"> </w:t>
      </w:r>
      <w:r w:rsidRPr="008D3C0D">
        <w:rPr>
          <w:rFonts w:ascii="Times New Roman" w:hAnsi="Times New Roman"/>
          <w:sz w:val="24"/>
        </w:rPr>
        <w:t xml:space="preserve">See also </w:t>
      </w:r>
      <w:r w:rsidRPr="008D3C0D">
        <w:rPr>
          <w:rFonts w:ascii="Times New Roman" w:hAnsi="Times New Roman"/>
          <w:i/>
          <w:iCs/>
          <w:sz w:val="24"/>
        </w:rPr>
        <w:t xml:space="preserve">Cook (a pseudonym) v </w:t>
      </w:r>
      <w:r w:rsidR="002C6619" w:rsidRPr="008D3C0D">
        <w:rPr>
          <w:rFonts w:ascii="Times New Roman" w:hAnsi="Times New Roman"/>
          <w:i/>
          <w:iCs/>
          <w:sz w:val="24"/>
        </w:rPr>
        <w:t>The King</w:t>
      </w:r>
      <w:r w:rsidRPr="008D3C0D">
        <w:rPr>
          <w:rFonts w:ascii="Times New Roman" w:hAnsi="Times New Roman"/>
          <w:i/>
          <w:iCs/>
          <w:sz w:val="24"/>
        </w:rPr>
        <w:t xml:space="preserve"> </w:t>
      </w:r>
      <w:r w:rsidRPr="008D3C0D">
        <w:rPr>
          <w:rFonts w:ascii="Times New Roman" w:hAnsi="Times New Roman"/>
          <w:sz w:val="24"/>
        </w:rPr>
        <w:t>[2022] NSWCCA 282 at [93].</w:t>
      </w:r>
    </w:p>
  </w:footnote>
  <w:footnote w:id="47">
    <w:p w14:paraId="72A717EB"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 xml:space="preserve">Now renumbered as s 294CB. </w:t>
      </w:r>
    </w:p>
  </w:footnote>
  <w:footnote w:id="48">
    <w:p w14:paraId="0F4D9A25"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proofErr w:type="spellStart"/>
      <w:r w:rsidRPr="00CE3802">
        <w:rPr>
          <w:rFonts w:ascii="Times New Roman" w:hAnsi="Times New Roman"/>
          <w:sz w:val="24"/>
        </w:rPr>
        <w:t>eg</w:t>
      </w:r>
      <w:proofErr w:type="spellEnd"/>
      <w:r w:rsidRPr="00CE3802">
        <w:rPr>
          <w:rFonts w:ascii="Times New Roman" w:hAnsi="Times New Roman"/>
          <w:sz w:val="24"/>
        </w:rPr>
        <w:t xml:space="preserve">, </w:t>
      </w:r>
      <w:r w:rsidRPr="00CE3802">
        <w:rPr>
          <w:rFonts w:ascii="Times New Roman" w:hAnsi="Times New Roman"/>
          <w:i/>
          <w:iCs/>
          <w:sz w:val="24"/>
        </w:rPr>
        <w:t>R v Morgan</w:t>
      </w:r>
      <w:r w:rsidRPr="00CE3802">
        <w:rPr>
          <w:rFonts w:ascii="Times New Roman" w:hAnsi="Times New Roman"/>
          <w:sz w:val="24"/>
        </w:rPr>
        <w:t xml:space="preserve"> (1993) 30 NSWLR 543 at 551.</w:t>
      </w:r>
    </w:p>
  </w:footnote>
  <w:footnote w:id="49">
    <w:p w14:paraId="2F1F3603"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Evidence Act 1995</w:t>
      </w:r>
      <w:r w:rsidRPr="00CE3802">
        <w:rPr>
          <w:rFonts w:ascii="Times New Roman" w:hAnsi="Times New Roman"/>
          <w:sz w:val="24"/>
        </w:rPr>
        <w:t xml:space="preserve"> (NSW), s 56.</w:t>
      </w:r>
    </w:p>
  </w:footnote>
  <w:footnote w:id="50">
    <w:p w14:paraId="5B67F03F"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Evidence Act 1995</w:t>
      </w:r>
      <w:r w:rsidRPr="00CE3802">
        <w:rPr>
          <w:rFonts w:ascii="Times New Roman" w:hAnsi="Times New Roman"/>
          <w:sz w:val="24"/>
        </w:rPr>
        <w:t xml:space="preserve"> (NSW), s 55(1).</w:t>
      </w:r>
    </w:p>
  </w:footnote>
  <w:footnote w:id="51">
    <w:p w14:paraId="3D7894F3"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 xml:space="preserve">New South Wales, Legislative Assembly, </w:t>
      </w:r>
      <w:r w:rsidRPr="00CE3802">
        <w:rPr>
          <w:rFonts w:ascii="Times New Roman" w:hAnsi="Times New Roman"/>
          <w:i/>
          <w:iCs/>
          <w:sz w:val="24"/>
        </w:rPr>
        <w:t xml:space="preserve">Parliamentary Debates </w:t>
      </w:r>
      <w:r w:rsidRPr="00CE3802">
        <w:rPr>
          <w:rFonts w:ascii="Times New Roman" w:hAnsi="Times New Roman"/>
          <w:sz w:val="24"/>
        </w:rPr>
        <w:t>(Hansard), 18 March 1981 at 4763.</w:t>
      </w:r>
    </w:p>
  </w:footnote>
  <w:footnote w:id="52">
    <w:p w14:paraId="55F715FA"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proofErr w:type="spellStart"/>
      <w:r w:rsidRPr="00CE3802">
        <w:rPr>
          <w:rFonts w:ascii="Times New Roman" w:hAnsi="Times New Roman"/>
          <w:sz w:val="24"/>
        </w:rPr>
        <w:t>cf</w:t>
      </w:r>
      <w:proofErr w:type="spellEnd"/>
      <w:r w:rsidRPr="00CE3802">
        <w:rPr>
          <w:rFonts w:ascii="Times New Roman" w:hAnsi="Times New Roman"/>
          <w:sz w:val="24"/>
        </w:rPr>
        <w:t xml:space="preserve"> the observation of the trial judge in this case: </w:t>
      </w:r>
      <w:r w:rsidRPr="00CE3802">
        <w:rPr>
          <w:rFonts w:ascii="Times New Roman" w:hAnsi="Times New Roman"/>
          <w:i/>
          <w:iCs/>
          <w:sz w:val="24"/>
        </w:rPr>
        <w:t>R v Cook (a pseudonym)</w:t>
      </w:r>
      <w:r w:rsidRPr="00CE3802">
        <w:rPr>
          <w:rFonts w:ascii="Times New Roman" w:hAnsi="Times New Roman"/>
          <w:sz w:val="24"/>
        </w:rPr>
        <w:t xml:space="preserve"> (2019) 32 DCLR(NSW) 9 at 11 [23]. </w:t>
      </w:r>
    </w:p>
  </w:footnote>
  <w:footnote w:id="53">
    <w:p w14:paraId="031300A6"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 xml:space="preserve">See, </w:t>
      </w:r>
      <w:proofErr w:type="spellStart"/>
      <w:r w:rsidRPr="00CE3802">
        <w:rPr>
          <w:rFonts w:ascii="Times New Roman" w:hAnsi="Times New Roman"/>
          <w:sz w:val="24"/>
        </w:rPr>
        <w:t>eg</w:t>
      </w:r>
      <w:proofErr w:type="spellEnd"/>
      <w:r w:rsidRPr="00CE3802">
        <w:rPr>
          <w:rFonts w:ascii="Times New Roman" w:hAnsi="Times New Roman"/>
          <w:sz w:val="24"/>
        </w:rPr>
        <w:t xml:space="preserve">, </w:t>
      </w:r>
      <w:proofErr w:type="spellStart"/>
      <w:r w:rsidRPr="00CE3802">
        <w:rPr>
          <w:rFonts w:ascii="Times New Roman" w:hAnsi="Times New Roman"/>
          <w:i/>
          <w:iCs/>
          <w:sz w:val="24"/>
        </w:rPr>
        <w:t>Jackmain</w:t>
      </w:r>
      <w:proofErr w:type="spellEnd"/>
      <w:r w:rsidRPr="00CE3802">
        <w:rPr>
          <w:rFonts w:ascii="Times New Roman" w:hAnsi="Times New Roman"/>
          <w:i/>
          <w:iCs/>
          <w:sz w:val="24"/>
        </w:rPr>
        <w:t xml:space="preserve"> (a pseudonym) v The Queen</w:t>
      </w:r>
      <w:r w:rsidRPr="00CE3802">
        <w:rPr>
          <w:rFonts w:ascii="Times New Roman" w:hAnsi="Times New Roman"/>
          <w:sz w:val="24"/>
        </w:rPr>
        <w:t xml:space="preserve"> (2020) 102 NSWLR 847 at 898 [244].</w:t>
      </w:r>
    </w:p>
  </w:footnote>
  <w:footnote w:id="54">
    <w:p w14:paraId="0B0C9834"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[131].</w:t>
      </w:r>
    </w:p>
  </w:footnote>
  <w:footnote w:id="55">
    <w:p w14:paraId="7D37C9B2"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(2012) 228 A Crim R 32.</w:t>
      </w:r>
    </w:p>
  </w:footnote>
  <w:footnote w:id="56">
    <w:p w14:paraId="6041BB72"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GEH v The Queen</w:t>
      </w:r>
      <w:r w:rsidRPr="00CE3802">
        <w:rPr>
          <w:rFonts w:ascii="Times New Roman" w:hAnsi="Times New Roman"/>
          <w:sz w:val="24"/>
        </w:rPr>
        <w:t xml:space="preserve"> (2012) 228 A Crim R 32 at 50 [63]. See also </w:t>
      </w:r>
      <w:r w:rsidRPr="00CE3802">
        <w:rPr>
          <w:rFonts w:ascii="Times New Roman" w:hAnsi="Times New Roman"/>
          <w:i/>
          <w:iCs/>
          <w:sz w:val="24"/>
        </w:rPr>
        <w:t>R v Edwards</w:t>
      </w:r>
      <w:r w:rsidRPr="00CE3802">
        <w:rPr>
          <w:rFonts w:ascii="Times New Roman" w:hAnsi="Times New Roman"/>
          <w:sz w:val="24"/>
        </w:rPr>
        <w:t xml:space="preserve"> [2015] NSWCCA 24 at [30].</w:t>
      </w:r>
    </w:p>
  </w:footnote>
  <w:footnote w:id="57">
    <w:p w14:paraId="54C0F6D4"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GEH v The Queen</w:t>
      </w:r>
      <w:r w:rsidRPr="00CE3802">
        <w:rPr>
          <w:rFonts w:ascii="Times New Roman" w:hAnsi="Times New Roman"/>
          <w:sz w:val="24"/>
        </w:rPr>
        <w:t xml:space="preserve"> (2012) 228 A Crim R 32 at 50 [64].</w:t>
      </w:r>
    </w:p>
  </w:footnote>
  <w:footnote w:id="58">
    <w:p w14:paraId="09CA0ADF"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At [39] (emphasis added).</w:t>
      </w:r>
    </w:p>
  </w:footnote>
  <w:footnote w:id="59">
    <w:p w14:paraId="270FB70C"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At [40] (emphasis added).</w:t>
      </w:r>
    </w:p>
  </w:footnote>
  <w:footnote w:id="60">
    <w:p w14:paraId="20EE1D61"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proofErr w:type="spellStart"/>
      <w:r w:rsidRPr="00CE3802">
        <w:rPr>
          <w:rFonts w:ascii="Times New Roman" w:hAnsi="Times New Roman"/>
          <w:sz w:val="24"/>
        </w:rPr>
        <w:t>cf</w:t>
      </w:r>
      <w:proofErr w:type="spellEnd"/>
      <w:r w:rsidRPr="00CE3802">
        <w:rPr>
          <w:rFonts w:ascii="Times New Roman" w:hAnsi="Times New Roman"/>
          <w:sz w:val="24"/>
        </w:rPr>
        <w:t xml:space="preserve"> [39], [41].</w:t>
      </w:r>
    </w:p>
  </w:footnote>
  <w:footnote w:id="61">
    <w:p w14:paraId="69E9D9CB"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Emphasis added.</w:t>
      </w:r>
    </w:p>
  </w:footnote>
  <w:footnote w:id="62">
    <w:p w14:paraId="4B552C7E"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(2012) 228 A Crim R 32 at 42-47 [36]-[49].</w:t>
      </w:r>
    </w:p>
  </w:footnote>
  <w:footnote w:id="63">
    <w:p w14:paraId="1D98BF42"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 xml:space="preserve">See, </w:t>
      </w:r>
      <w:proofErr w:type="spellStart"/>
      <w:r w:rsidRPr="00CE3802">
        <w:rPr>
          <w:rFonts w:ascii="Times New Roman" w:hAnsi="Times New Roman"/>
          <w:sz w:val="24"/>
        </w:rPr>
        <w:t>eg</w:t>
      </w:r>
      <w:proofErr w:type="spellEnd"/>
      <w:r w:rsidRPr="00CE3802">
        <w:rPr>
          <w:rFonts w:ascii="Times New Roman" w:hAnsi="Times New Roman"/>
          <w:sz w:val="24"/>
        </w:rPr>
        <w:t xml:space="preserve">, </w:t>
      </w:r>
      <w:proofErr w:type="spellStart"/>
      <w:r w:rsidRPr="00CE3802">
        <w:rPr>
          <w:rFonts w:ascii="Times New Roman" w:hAnsi="Times New Roman"/>
          <w:i/>
          <w:iCs/>
          <w:sz w:val="24"/>
        </w:rPr>
        <w:t>Jackmain</w:t>
      </w:r>
      <w:proofErr w:type="spellEnd"/>
      <w:r w:rsidRPr="00CE3802">
        <w:rPr>
          <w:rFonts w:ascii="Times New Roman" w:hAnsi="Times New Roman"/>
          <w:i/>
          <w:iCs/>
          <w:sz w:val="24"/>
        </w:rPr>
        <w:t xml:space="preserve"> (a pseudonym) v The Queen</w:t>
      </w:r>
      <w:r w:rsidRPr="00CE3802">
        <w:rPr>
          <w:rFonts w:ascii="Times New Roman" w:hAnsi="Times New Roman"/>
          <w:sz w:val="24"/>
        </w:rPr>
        <w:t xml:space="preserve"> (2020) 102 NSWLR 847 at 891 [192].</w:t>
      </w:r>
    </w:p>
  </w:footnote>
  <w:footnote w:id="64">
    <w:p w14:paraId="07EE0685"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At [46].</w:t>
      </w:r>
    </w:p>
  </w:footnote>
  <w:footnote w:id="65">
    <w:p w14:paraId="517CD0FE"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See [48]-[55].</w:t>
      </w:r>
    </w:p>
  </w:footnote>
  <w:footnote w:id="66">
    <w:p w14:paraId="3C6A6E59"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 xml:space="preserve">See </w:t>
      </w:r>
      <w:r w:rsidRPr="00CE3802">
        <w:rPr>
          <w:rFonts w:ascii="Times New Roman" w:hAnsi="Times New Roman"/>
          <w:i/>
          <w:iCs/>
          <w:sz w:val="24"/>
        </w:rPr>
        <w:t>Cook (a pseudonym) v The King</w:t>
      </w:r>
      <w:r w:rsidRPr="00CE3802">
        <w:rPr>
          <w:rFonts w:ascii="Times New Roman" w:hAnsi="Times New Roman"/>
          <w:sz w:val="24"/>
        </w:rPr>
        <w:t xml:space="preserve"> [2022] NSWCCA 282 at [5], [15], [119].</w:t>
      </w:r>
    </w:p>
  </w:footnote>
  <w:footnote w:id="67">
    <w:p w14:paraId="5A183083"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 xml:space="preserve">The trial judge mistakenly proceeded on the basis that the relevant relationship was between the complainant and the Queensland offender, instead of the complainant and the accused. See </w:t>
      </w:r>
      <w:r w:rsidRPr="00CE3802">
        <w:rPr>
          <w:rFonts w:ascii="Times New Roman" w:hAnsi="Times New Roman"/>
          <w:i/>
          <w:iCs/>
          <w:sz w:val="24"/>
        </w:rPr>
        <w:t>Cook (a pseudonym) v The King</w:t>
      </w:r>
      <w:r w:rsidRPr="00CE3802">
        <w:rPr>
          <w:rFonts w:ascii="Times New Roman" w:hAnsi="Times New Roman"/>
          <w:sz w:val="24"/>
        </w:rPr>
        <w:t xml:space="preserve"> [2022] NSWCCA 282 at [100].</w:t>
      </w:r>
    </w:p>
  </w:footnote>
  <w:footnote w:id="68">
    <w:p w14:paraId="6D09E5CF"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[121], [139].</w:t>
      </w:r>
    </w:p>
  </w:footnote>
  <w:footnote w:id="69">
    <w:p w14:paraId="2FC21655"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 xml:space="preserve">Cook (a pseudonym) v The King </w:t>
      </w:r>
      <w:r w:rsidRPr="00CE3802">
        <w:rPr>
          <w:rFonts w:ascii="Times New Roman" w:hAnsi="Times New Roman"/>
          <w:sz w:val="24"/>
        </w:rPr>
        <w:t xml:space="preserve">[2022] NSWCCA 282 at [121].  </w:t>
      </w:r>
    </w:p>
  </w:footnote>
  <w:footnote w:id="70">
    <w:p w14:paraId="43DF9684"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[100].</w:t>
      </w:r>
    </w:p>
  </w:footnote>
  <w:footnote w:id="71">
    <w:p w14:paraId="739E2569"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[16].</w:t>
      </w:r>
    </w:p>
  </w:footnote>
  <w:footnote w:id="72">
    <w:p w14:paraId="150E16B9"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[3], [16].</w:t>
      </w:r>
    </w:p>
  </w:footnote>
  <w:footnote w:id="73">
    <w:p w14:paraId="588A6822"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[16].</w:t>
      </w:r>
    </w:p>
  </w:footnote>
  <w:footnote w:id="74">
    <w:p w14:paraId="50C9D1A4"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 xml:space="preserve">Subject to a determination that the interests of justice warranted it being reconsidered: </w:t>
      </w:r>
      <w:r w:rsidRPr="00CE3802">
        <w:rPr>
          <w:rFonts w:ascii="Times New Roman" w:hAnsi="Times New Roman"/>
          <w:i/>
          <w:iCs/>
          <w:sz w:val="24"/>
        </w:rPr>
        <w:t>Criminal Procedure Act</w:t>
      </w:r>
      <w:r w:rsidRPr="00CE3802">
        <w:rPr>
          <w:rFonts w:ascii="Times New Roman" w:hAnsi="Times New Roman"/>
          <w:sz w:val="24"/>
        </w:rPr>
        <w:t>, s 130</w:t>
      </w:r>
      <w:proofErr w:type="gramStart"/>
      <w:r w:rsidRPr="00CE3802">
        <w:rPr>
          <w:rFonts w:ascii="Times New Roman" w:hAnsi="Times New Roman"/>
          <w:sz w:val="24"/>
        </w:rPr>
        <w:t>A(</w:t>
      </w:r>
      <w:proofErr w:type="gramEnd"/>
      <w:r w:rsidRPr="00CE3802">
        <w:rPr>
          <w:rFonts w:ascii="Times New Roman" w:hAnsi="Times New Roman"/>
          <w:sz w:val="24"/>
        </w:rPr>
        <w:t xml:space="preserve">2). See also </w:t>
      </w:r>
      <w:r w:rsidRPr="00CE3802">
        <w:rPr>
          <w:rFonts w:ascii="Times New Roman" w:hAnsi="Times New Roman"/>
          <w:i/>
          <w:iCs/>
          <w:sz w:val="24"/>
        </w:rPr>
        <w:t>Cook (a pseudonym) v The King</w:t>
      </w:r>
      <w:r w:rsidRPr="00CE3802">
        <w:rPr>
          <w:rFonts w:ascii="Times New Roman" w:hAnsi="Times New Roman"/>
          <w:sz w:val="24"/>
        </w:rPr>
        <w:t xml:space="preserve"> [2022] NSWCCA 282 at [3].</w:t>
      </w:r>
    </w:p>
  </w:footnote>
  <w:footnote w:id="75">
    <w:p w14:paraId="697C72FE"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[3], [24]-[26].</w:t>
      </w:r>
    </w:p>
  </w:footnote>
  <w:footnote w:id="76">
    <w:p w14:paraId="6654621F"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[67].</w:t>
      </w:r>
    </w:p>
  </w:footnote>
  <w:footnote w:id="77">
    <w:p w14:paraId="4E453606"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[98(2)].</w:t>
      </w:r>
    </w:p>
  </w:footnote>
  <w:footnote w:id="78">
    <w:p w14:paraId="50365A32"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[102].</w:t>
      </w:r>
    </w:p>
  </w:footnote>
  <w:footnote w:id="79">
    <w:p w14:paraId="502F1E15"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[102].</w:t>
      </w:r>
    </w:p>
  </w:footnote>
  <w:footnote w:id="80">
    <w:p w14:paraId="3AA1F760"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[119] (emphasis in original).</w:t>
      </w:r>
    </w:p>
  </w:footnote>
  <w:footnote w:id="81">
    <w:p w14:paraId="729BFF5B"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 xml:space="preserve">And, if determined against the accused, had a fallback position of seeking an order for an acquittal, based on the same principles applicable to the question of whether a permanent stay should be granted: </w:t>
      </w:r>
      <w:r w:rsidRPr="00CE3802">
        <w:rPr>
          <w:rFonts w:ascii="Times New Roman" w:hAnsi="Times New Roman"/>
          <w:i/>
          <w:iCs/>
          <w:sz w:val="24"/>
        </w:rPr>
        <w:t>Cook (a pseudonym) v The King</w:t>
      </w:r>
      <w:r w:rsidRPr="00CE3802">
        <w:rPr>
          <w:rFonts w:ascii="Times New Roman" w:hAnsi="Times New Roman"/>
          <w:sz w:val="24"/>
        </w:rPr>
        <w:t xml:space="preserve"> [2022] NSWCCA 282 at [3], [38], [99]-[102], [123].</w:t>
      </w:r>
    </w:p>
  </w:footnote>
  <w:footnote w:id="82">
    <w:p w14:paraId="65A02BF6"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(1999) 197 CLR 414 at 426 [33].</w:t>
      </w:r>
    </w:p>
  </w:footnote>
  <w:footnote w:id="83">
    <w:p w14:paraId="4CC35768"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[120]-[121].</w:t>
      </w:r>
    </w:p>
  </w:footnote>
  <w:footnote w:id="84">
    <w:p w14:paraId="7CFCFEDA"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Emphasis in original.</w:t>
      </w:r>
    </w:p>
  </w:footnote>
  <w:footnote w:id="85">
    <w:p w14:paraId="10C9FBBE"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[121].</w:t>
      </w:r>
    </w:p>
  </w:footnote>
  <w:footnote w:id="86">
    <w:p w14:paraId="2FCB55F5"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At [56]-[58].</w:t>
      </w:r>
    </w:p>
  </w:footnote>
  <w:footnote w:id="87">
    <w:p w14:paraId="26AD58BE"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See [</w:t>
      </w:r>
      <w:r>
        <w:rPr>
          <w:rFonts w:ascii="Times New Roman" w:hAnsi="Times New Roman"/>
          <w:sz w:val="24"/>
        </w:rPr>
        <w:t>106</w:t>
      </w:r>
      <w:r w:rsidRPr="00CE3802">
        <w:rPr>
          <w:rFonts w:ascii="Times New Roman" w:hAnsi="Times New Roman"/>
          <w:sz w:val="24"/>
        </w:rPr>
        <w:t>].</w:t>
      </w:r>
    </w:p>
  </w:footnote>
  <w:footnote w:id="88">
    <w:p w14:paraId="63324877"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t>See [27].</w:t>
      </w:r>
    </w:p>
  </w:footnote>
  <w:footnote w:id="89">
    <w:p w14:paraId="1B12D619"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proofErr w:type="spellStart"/>
      <w:r w:rsidRPr="00CE3802">
        <w:rPr>
          <w:rFonts w:ascii="Times New Roman" w:hAnsi="Times New Roman"/>
          <w:i/>
          <w:iCs/>
          <w:sz w:val="24"/>
        </w:rPr>
        <w:t>Filippou</w:t>
      </w:r>
      <w:proofErr w:type="spellEnd"/>
      <w:r w:rsidRPr="00CE3802">
        <w:rPr>
          <w:rFonts w:ascii="Times New Roman" w:hAnsi="Times New Roman"/>
          <w:i/>
          <w:iCs/>
          <w:sz w:val="24"/>
        </w:rPr>
        <w:t xml:space="preserve"> v The Queen</w:t>
      </w:r>
      <w:r w:rsidRPr="00CE3802">
        <w:rPr>
          <w:rFonts w:ascii="Times New Roman" w:hAnsi="Times New Roman"/>
          <w:sz w:val="24"/>
        </w:rPr>
        <w:t xml:space="preserve"> (2015) 256 CLR 47 at 55 [15].</w:t>
      </w:r>
    </w:p>
  </w:footnote>
  <w:footnote w:id="90">
    <w:p w14:paraId="3CAC40E5"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[38], [126].</w:t>
      </w:r>
    </w:p>
  </w:footnote>
  <w:footnote w:id="91">
    <w:p w14:paraId="3742536E"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R v Glennon</w:t>
      </w:r>
      <w:r w:rsidRPr="00CE3802">
        <w:rPr>
          <w:rFonts w:ascii="Times New Roman" w:hAnsi="Times New Roman"/>
          <w:sz w:val="24"/>
        </w:rPr>
        <w:t xml:space="preserve"> (1992) 173 CLR 592 at 605 (footnotes omitted), quoting </w:t>
      </w:r>
      <w:r w:rsidRPr="00CE3802">
        <w:rPr>
          <w:rFonts w:ascii="Times New Roman" w:hAnsi="Times New Roman"/>
          <w:i/>
          <w:iCs/>
          <w:sz w:val="24"/>
        </w:rPr>
        <w:t>Barton v The Queen</w:t>
      </w:r>
      <w:r w:rsidRPr="00CE3802">
        <w:rPr>
          <w:rFonts w:ascii="Times New Roman" w:hAnsi="Times New Roman"/>
          <w:sz w:val="24"/>
        </w:rPr>
        <w:t xml:space="preserve"> (1980) 147 CLR 75 at 111. See also </w:t>
      </w:r>
      <w:proofErr w:type="spellStart"/>
      <w:r w:rsidRPr="00CE3802">
        <w:rPr>
          <w:rFonts w:ascii="Times New Roman" w:hAnsi="Times New Roman"/>
          <w:i/>
          <w:iCs/>
          <w:sz w:val="24"/>
        </w:rPr>
        <w:t>Dupas</w:t>
      </w:r>
      <w:proofErr w:type="spellEnd"/>
      <w:r w:rsidRPr="00CE3802">
        <w:rPr>
          <w:rFonts w:ascii="Times New Roman" w:hAnsi="Times New Roman"/>
          <w:i/>
          <w:iCs/>
          <w:sz w:val="24"/>
        </w:rPr>
        <w:t xml:space="preserve"> v The Queen</w:t>
      </w:r>
      <w:r w:rsidRPr="00CE3802">
        <w:rPr>
          <w:rFonts w:ascii="Times New Roman" w:hAnsi="Times New Roman"/>
          <w:sz w:val="24"/>
        </w:rPr>
        <w:t xml:space="preserve"> (2010) 241 CLR 237 at 245 [18].</w:t>
      </w:r>
    </w:p>
  </w:footnote>
  <w:footnote w:id="92">
    <w:p w14:paraId="06876C52"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[128].</w:t>
      </w:r>
    </w:p>
  </w:footnote>
  <w:footnote w:id="93">
    <w:p w14:paraId="14533299"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[129] (emphasis in original).</w:t>
      </w:r>
    </w:p>
  </w:footnote>
  <w:footnote w:id="94">
    <w:p w14:paraId="56C8E2E2" w14:textId="77777777" w:rsidR="00C33509" w:rsidRPr="00CE3802" w:rsidRDefault="00C33509" w:rsidP="00CE3802">
      <w:pPr>
        <w:pStyle w:val="FootnoteText"/>
        <w:spacing w:line="280" w:lineRule="exact"/>
        <w:ind w:right="0"/>
        <w:jc w:val="both"/>
        <w:rPr>
          <w:rFonts w:ascii="Times New Roman" w:hAnsi="Times New Roman"/>
          <w:sz w:val="24"/>
        </w:rPr>
      </w:pPr>
      <w:r w:rsidRPr="00CE3802">
        <w:rPr>
          <w:rStyle w:val="FootnoteReference"/>
          <w:rFonts w:ascii="Times New Roman" w:hAnsi="Times New Roman"/>
          <w:sz w:val="22"/>
          <w:vertAlign w:val="baseline"/>
        </w:rPr>
        <w:footnoteRef/>
      </w:r>
      <w:r w:rsidRPr="00CE3802">
        <w:rPr>
          <w:rFonts w:ascii="Times New Roman" w:hAnsi="Times New Roman"/>
          <w:sz w:val="24"/>
        </w:rPr>
        <w:t xml:space="preserve"> </w:t>
      </w:r>
      <w:r w:rsidRPr="00CE3802">
        <w:rPr>
          <w:rFonts w:ascii="Times New Roman" w:hAnsi="Times New Roman"/>
          <w:sz w:val="24"/>
        </w:rPr>
        <w:tab/>
      </w:r>
      <w:r w:rsidRPr="00CE3802">
        <w:rPr>
          <w:rFonts w:ascii="Times New Roman" w:hAnsi="Times New Roman"/>
          <w:i/>
          <w:iCs/>
          <w:sz w:val="24"/>
        </w:rPr>
        <w:t>Cook (a pseudonym) v The King</w:t>
      </w:r>
      <w:r w:rsidRPr="00CE3802">
        <w:rPr>
          <w:rFonts w:ascii="Times New Roman" w:hAnsi="Times New Roman"/>
          <w:sz w:val="24"/>
        </w:rPr>
        <w:t xml:space="preserve"> [2022] NSWCCA 282 at [130] (emphasis in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8834" w14:textId="77777777" w:rsidR="008D3C0D" w:rsidRPr="00E8603F" w:rsidRDefault="008D3C0D" w:rsidP="00E86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7801" w14:textId="5496C345" w:rsidR="008D3C0D" w:rsidRPr="00E8603F" w:rsidRDefault="00E8603F" w:rsidP="00E8603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6748" w14:textId="1B539912" w:rsidR="00B108CD" w:rsidRPr="00E8603F" w:rsidRDefault="00B108CD" w:rsidP="00E860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BAF4" w14:textId="77777777" w:rsidR="00E8603F" w:rsidRPr="008D3C0D" w:rsidRDefault="00E8603F" w:rsidP="008D3C0D">
    <w:pPr>
      <w:pStyle w:val="Header"/>
      <w:tabs>
        <w:tab w:val="clear" w:pos="4153"/>
        <w:tab w:val="clear" w:pos="8306"/>
        <w:tab w:val="right" w:pos="1304"/>
      </w:tabs>
      <w:spacing w:line="280" w:lineRule="exact"/>
      <w:ind w:firstLine="0"/>
      <w:rPr>
        <w:rFonts w:ascii="Times New Roman" w:hAnsi="Times New Roman"/>
        <w:i/>
        <w:sz w:val="22"/>
      </w:rPr>
    </w:pPr>
    <w:r w:rsidRPr="008D3C0D">
      <w:rPr>
        <w:rFonts w:ascii="Times New Roman" w:hAnsi="Times New Roman"/>
        <w:i/>
        <w:sz w:val="22"/>
      </w:rPr>
      <w:t>Gordon</w:t>
    </w:r>
    <w:r w:rsidRPr="008D3C0D">
      <w:rPr>
        <w:rFonts w:ascii="Times New Roman" w:hAnsi="Times New Roman"/>
        <w:i/>
        <w:sz w:val="22"/>
      </w:rPr>
      <w:tab/>
      <w:t>A-CJ</w:t>
    </w:r>
  </w:p>
  <w:p w14:paraId="1B46DF1C" w14:textId="77777777" w:rsidR="00E8603F" w:rsidRPr="008D3C0D" w:rsidRDefault="00E8603F" w:rsidP="008D3C0D">
    <w:pPr>
      <w:pStyle w:val="Header"/>
      <w:tabs>
        <w:tab w:val="clear" w:pos="4153"/>
        <w:tab w:val="clear" w:pos="8306"/>
        <w:tab w:val="right" w:pos="1304"/>
      </w:tabs>
      <w:spacing w:line="280" w:lineRule="exact"/>
      <w:ind w:firstLine="0"/>
      <w:rPr>
        <w:rFonts w:ascii="Times New Roman" w:hAnsi="Times New Roman"/>
        <w:i/>
        <w:sz w:val="22"/>
      </w:rPr>
    </w:pPr>
    <w:r w:rsidRPr="008D3C0D">
      <w:rPr>
        <w:rFonts w:ascii="Times New Roman" w:hAnsi="Times New Roman"/>
        <w:i/>
        <w:sz w:val="22"/>
      </w:rPr>
      <w:t>Edelman</w:t>
    </w:r>
    <w:r w:rsidRPr="008D3C0D">
      <w:rPr>
        <w:rFonts w:ascii="Times New Roman" w:hAnsi="Times New Roman"/>
        <w:i/>
        <w:sz w:val="22"/>
      </w:rPr>
      <w:tab/>
      <w:t>J</w:t>
    </w:r>
  </w:p>
  <w:p w14:paraId="08E9FF0E" w14:textId="77777777" w:rsidR="00E8603F" w:rsidRPr="008D3C0D" w:rsidRDefault="00E8603F" w:rsidP="008D3C0D">
    <w:pPr>
      <w:pStyle w:val="Header"/>
      <w:tabs>
        <w:tab w:val="clear" w:pos="4153"/>
        <w:tab w:val="clear" w:pos="8306"/>
        <w:tab w:val="right" w:pos="1304"/>
      </w:tabs>
      <w:spacing w:line="280" w:lineRule="exact"/>
      <w:ind w:firstLine="0"/>
      <w:rPr>
        <w:rFonts w:ascii="Times New Roman" w:hAnsi="Times New Roman"/>
        <w:i/>
        <w:sz w:val="22"/>
      </w:rPr>
    </w:pPr>
    <w:r w:rsidRPr="008D3C0D">
      <w:rPr>
        <w:rFonts w:ascii="Times New Roman" w:hAnsi="Times New Roman"/>
        <w:i/>
        <w:sz w:val="22"/>
      </w:rPr>
      <w:t>Steward</w:t>
    </w:r>
    <w:r w:rsidRPr="008D3C0D">
      <w:rPr>
        <w:rFonts w:ascii="Times New Roman" w:hAnsi="Times New Roman"/>
        <w:i/>
        <w:sz w:val="22"/>
      </w:rPr>
      <w:tab/>
      <w:t>J</w:t>
    </w:r>
  </w:p>
  <w:p w14:paraId="13EA7350" w14:textId="77777777" w:rsidR="00E8603F" w:rsidRDefault="00E8603F" w:rsidP="008D3C0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4567285" w14:textId="77777777" w:rsidR="00E8603F" w:rsidRDefault="00E8603F" w:rsidP="008D3C0D">
    <w:pPr>
      <w:pStyle w:val="Header"/>
      <w:tabs>
        <w:tab w:val="clear" w:pos="4153"/>
        <w:tab w:val="clear" w:pos="8306"/>
        <w:tab w:val="right" w:pos="1304"/>
      </w:tabs>
      <w:spacing w:line="280" w:lineRule="exact"/>
      <w:ind w:firstLine="0"/>
      <w:rPr>
        <w:rFonts w:ascii="Times New Roman" w:hAnsi="Times New Roman"/>
        <w:i/>
        <w:sz w:val="22"/>
      </w:rPr>
    </w:pPr>
  </w:p>
  <w:p w14:paraId="23742379" w14:textId="77777777" w:rsidR="00E8603F" w:rsidRDefault="00E8603F" w:rsidP="008D3C0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3981938D" w14:textId="77777777" w:rsidR="00E8603F" w:rsidRPr="008D3C0D" w:rsidRDefault="00E8603F" w:rsidP="008D3C0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F2F2" w14:textId="77777777" w:rsidR="00E8603F" w:rsidRPr="008D3C0D" w:rsidRDefault="00E8603F" w:rsidP="008D3C0D">
    <w:pPr>
      <w:pStyle w:val="Header"/>
      <w:tabs>
        <w:tab w:val="clear" w:pos="4153"/>
        <w:tab w:val="clear" w:pos="8306"/>
        <w:tab w:val="left" w:pos="7200"/>
        <w:tab w:val="right" w:pos="8504"/>
      </w:tabs>
      <w:spacing w:line="280" w:lineRule="exact"/>
      <w:jc w:val="right"/>
      <w:rPr>
        <w:rFonts w:ascii="Times New Roman" w:hAnsi="Times New Roman"/>
        <w:i/>
        <w:sz w:val="22"/>
      </w:rPr>
    </w:pPr>
    <w:r w:rsidRPr="008D3C0D">
      <w:rPr>
        <w:rFonts w:ascii="Times New Roman" w:hAnsi="Times New Roman"/>
        <w:i/>
        <w:sz w:val="22"/>
      </w:rPr>
      <w:tab/>
      <w:t>Gordon</w:t>
    </w:r>
    <w:r w:rsidRPr="008D3C0D">
      <w:rPr>
        <w:rFonts w:ascii="Times New Roman" w:hAnsi="Times New Roman"/>
        <w:i/>
        <w:sz w:val="22"/>
      </w:rPr>
      <w:tab/>
      <w:t>A-CJ</w:t>
    </w:r>
  </w:p>
  <w:p w14:paraId="2D1E091A" w14:textId="77777777" w:rsidR="00E8603F" w:rsidRPr="008D3C0D" w:rsidRDefault="00E8603F" w:rsidP="008D3C0D">
    <w:pPr>
      <w:pStyle w:val="Header"/>
      <w:tabs>
        <w:tab w:val="clear" w:pos="4153"/>
        <w:tab w:val="clear" w:pos="8306"/>
        <w:tab w:val="left" w:pos="7200"/>
        <w:tab w:val="right" w:pos="8504"/>
      </w:tabs>
      <w:spacing w:line="280" w:lineRule="exact"/>
      <w:jc w:val="right"/>
      <w:rPr>
        <w:rFonts w:ascii="Times New Roman" w:hAnsi="Times New Roman"/>
        <w:i/>
        <w:sz w:val="22"/>
      </w:rPr>
    </w:pPr>
    <w:r w:rsidRPr="008D3C0D">
      <w:rPr>
        <w:rFonts w:ascii="Times New Roman" w:hAnsi="Times New Roman"/>
        <w:i/>
        <w:sz w:val="22"/>
      </w:rPr>
      <w:tab/>
      <w:t>Edelman</w:t>
    </w:r>
    <w:r w:rsidRPr="008D3C0D">
      <w:rPr>
        <w:rFonts w:ascii="Times New Roman" w:hAnsi="Times New Roman"/>
        <w:i/>
        <w:sz w:val="22"/>
      </w:rPr>
      <w:tab/>
      <w:t>J</w:t>
    </w:r>
  </w:p>
  <w:p w14:paraId="74500674" w14:textId="77777777" w:rsidR="00E8603F" w:rsidRPr="008D3C0D" w:rsidRDefault="00E8603F" w:rsidP="008D3C0D">
    <w:pPr>
      <w:pStyle w:val="Header"/>
      <w:tabs>
        <w:tab w:val="clear" w:pos="4153"/>
        <w:tab w:val="clear" w:pos="8306"/>
        <w:tab w:val="left" w:pos="7200"/>
        <w:tab w:val="right" w:pos="8504"/>
      </w:tabs>
      <w:spacing w:line="280" w:lineRule="exact"/>
      <w:jc w:val="right"/>
      <w:rPr>
        <w:rFonts w:ascii="Times New Roman" w:hAnsi="Times New Roman"/>
        <w:i/>
        <w:sz w:val="22"/>
      </w:rPr>
    </w:pPr>
    <w:r w:rsidRPr="008D3C0D">
      <w:rPr>
        <w:rFonts w:ascii="Times New Roman" w:hAnsi="Times New Roman"/>
        <w:i/>
        <w:sz w:val="22"/>
      </w:rPr>
      <w:tab/>
      <w:t>Steward</w:t>
    </w:r>
    <w:r w:rsidRPr="008D3C0D">
      <w:rPr>
        <w:rFonts w:ascii="Times New Roman" w:hAnsi="Times New Roman"/>
        <w:i/>
        <w:sz w:val="22"/>
      </w:rPr>
      <w:tab/>
      <w:t>J</w:t>
    </w:r>
  </w:p>
  <w:p w14:paraId="3D149271" w14:textId="77777777" w:rsidR="00E8603F" w:rsidRDefault="00E8603F" w:rsidP="008D3C0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942CE18" w14:textId="77777777" w:rsidR="00E8603F" w:rsidRDefault="00E8603F" w:rsidP="008D3C0D">
    <w:pPr>
      <w:pStyle w:val="Header"/>
      <w:tabs>
        <w:tab w:val="clear" w:pos="4153"/>
        <w:tab w:val="clear" w:pos="8306"/>
        <w:tab w:val="left" w:pos="7200"/>
        <w:tab w:val="right" w:pos="8504"/>
      </w:tabs>
      <w:spacing w:line="280" w:lineRule="exact"/>
      <w:jc w:val="right"/>
      <w:rPr>
        <w:rFonts w:ascii="Times New Roman" w:hAnsi="Times New Roman"/>
        <w:i/>
        <w:sz w:val="22"/>
      </w:rPr>
    </w:pPr>
  </w:p>
  <w:p w14:paraId="72E94EC6" w14:textId="77777777" w:rsidR="00E8603F" w:rsidRDefault="00E8603F" w:rsidP="008D3C0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7B7FFCE2" w14:textId="77777777" w:rsidR="00E8603F" w:rsidRPr="008D3C0D" w:rsidRDefault="00E8603F" w:rsidP="008D3C0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CCA8" w14:textId="77777777" w:rsidR="00E8603F" w:rsidRDefault="00E8603F" w:rsidP="008D3C0D">
    <w:pPr>
      <w:pStyle w:val="Header"/>
      <w:tabs>
        <w:tab w:val="clear" w:pos="4153"/>
        <w:tab w:val="clear" w:pos="8306"/>
        <w:tab w:val="center" w:pos="1134"/>
      </w:tabs>
      <w:spacing w:line="280" w:lineRule="exact"/>
      <w:ind w:firstLine="0"/>
      <w:rPr>
        <w:rFonts w:ascii="Times New Roman" w:hAnsi="Times New Roman"/>
        <w:i/>
        <w:sz w:val="22"/>
      </w:rPr>
    </w:pPr>
  </w:p>
  <w:p w14:paraId="6E3119F4" w14:textId="77777777" w:rsidR="00E8603F" w:rsidRDefault="00E8603F" w:rsidP="008D3C0D">
    <w:pPr>
      <w:pStyle w:val="Header"/>
      <w:tabs>
        <w:tab w:val="clear" w:pos="4153"/>
        <w:tab w:val="clear" w:pos="8306"/>
        <w:tab w:val="center" w:pos="1134"/>
      </w:tabs>
      <w:spacing w:line="280" w:lineRule="exact"/>
      <w:ind w:firstLine="0"/>
      <w:rPr>
        <w:rFonts w:ascii="Times New Roman" w:hAnsi="Times New Roman"/>
        <w:i/>
        <w:sz w:val="22"/>
      </w:rPr>
    </w:pPr>
  </w:p>
  <w:p w14:paraId="6CBD8612" w14:textId="77777777" w:rsidR="00E8603F" w:rsidRDefault="00E8603F" w:rsidP="008D3C0D">
    <w:pPr>
      <w:pStyle w:val="Header"/>
      <w:tabs>
        <w:tab w:val="clear" w:pos="4153"/>
        <w:tab w:val="clear" w:pos="8306"/>
        <w:tab w:val="center" w:pos="1134"/>
      </w:tabs>
      <w:spacing w:line="280" w:lineRule="exact"/>
      <w:ind w:firstLine="0"/>
      <w:rPr>
        <w:rFonts w:ascii="Times New Roman" w:hAnsi="Times New Roman"/>
        <w:i/>
        <w:sz w:val="22"/>
      </w:rPr>
    </w:pPr>
  </w:p>
  <w:p w14:paraId="3DCD580D" w14:textId="77777777" w:rsidR="00E8603F" w:rsidRDefault="00E8603F" w:rsidP="008D3C0D">
    <w:pPr>
      <w:pStyle w:val="Header"/>
      <w:tabs>
        <w:tab w:val="clear" w:pos="4153"/>
        <w:tab w:val="clear" w:pos="8306"/>
        <w:tab w:val="center" w:pos="1134"/>
      </w:tabs>
      <w:spacing w:line="280" w:lineRule="exact"/>
      <w:ind w:firstLine="0"/>
      <w:rPr>
        <w:rFonts w:ascii="Times New Roman" w:hAnsi="Times New Roman"/>
        <w:i/>
        <w:sz w:val="22"/>
      </w:rPr>
    </w:pPr>
  </w:p>
  <w:p w14:paraId="09B7B9C7" w14:textId="77777777" w:rsidR="00E8603F" w:rsidRDefault="00E8603F" w:rsidP="008D3C0D">
    <w:pPr>
      <w:pStyle w:val="Header"/>
      <w:tabs>
        <w:tab w:val="clear" w:pos="4153"/>
        <w:tab w:val="clear" w:pos="8306"/>
        <w:tab w:val="center" w:pos="1134"/>
      </w:tabs>
      <w:spacing w:line="280" w:lineRule="exact"/>
      <w:ind w:firstLine="0"/>
      <w:rPr>
        <w:rFonts w:ascii="Times New Roman" w:hAnsi="Times New Roman"/>
        <w:i/>
        <w:sz w:val="22"/>
      </w:rPr>
    </w:pPr>
  </w:p>
  <w:p w14:paraId="685EAC9B" w14:textId="77777777" w:rsidR="00E8603F" w:rsidRDefault="00E8603F" w:rsidP="008D3C0D">
    <w:pPr>
      <w:pStyle w:val="Header"/>
      <w:tabs>
        <w:tab w:val="clear" w:pos="4153"/>
        <w:tab w:val="clear" w:pos="8306"/>
        <w:tab w:val="center" w:pos="1134"/>
      </w:tabs>
      <w:spacing w:line="280" w:lineRule="exact"/>
      <w:ind w:firstLine="0"/>
      <w:rPr>
        <w:rFonts w:ascii="Times New Roman" w:hAnsi="Times New Roman"/>
        <w:i/>
        <w:sz w:val="22"/>
      </w:rPr>
    </w:pPr>
  </w:p>
  <w:p w14:paraId="1310A1AF" w14:textId="77777777" w:rsidR="00E8603F" w:rsidRPr="008D3C0D" w:rsidRDefault="00E8603F" w:rsidP="008D3C0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E6FE" w14:textId="77777777" w:rsidR="00985254" w:rsidRDefault="00000000" w:rsidP="00CE380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E0E97E1" w14:textId="77777777" w:rsidR="00985254" w:rsidRDefault="00985254" w:rsidP="00CE3802">
    <w:pPr>
      <w:pStyle w:val="Header"/>
      <w:tabs>
        <w:tab w:val="clear" w:pos="4153"/>
        <w:tab w:val="clear" w:pos="8306"/>
        <w:tab w:val="right" w:pos="1304"/>
      </w:tabs>
      <w:spacing w:line="280" w:lineRule="exact"/>
      <w:ind w:firstLine="0"/>
      <w:rPr>
        <w:rFonts w:ascii="Times New Roman" w:hAnsi="Times New Roman"/>
        <w:i/>
        <w:sz w:val="22"/>
      </w:rPr>
    </w:pPr>
  </w:p>
  <w:p w14:paraId="10E58B73" w14:textId="77777777" w:rsidR="00985254" w:rsidRDefault="00000000" w:rsidP="00CE380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123863B" w14:textId="77777777" w:rsidR="00985254" w:rsidRPr="00CE3802" w:rsidRDefault="00985254" w:rsidP="00CE380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77ED" w14:textId="77777777" w:rsidR="00985254" w:rsidRDefault="00000000" w:rsidP="00CE380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24F86BC2" w14:textId="77777777" w:rsidR="00985254" w:rsidRDefault="00985254" w:rsidP="00CE3802">
    <w:pPr>
      <w:pStyle w:val="Header"/>
      <w:tabs>
        <w:tab w:val="clear" w:pos="4153"/>
        <w:tab w:val="clear" w:pos="8306"/>
        <w:tab w:val="left" w:pos="7200"/>
        <w:tab w:val="right" w:pos="8504"/>
      </w:tabs>
      <w:spacing w:line="280" w:lineRule="exact"/>
      <w:jc w:val="right"/>
      <w:rPr>
        <w:rFonts w:ascii="Times New Roman" w:hAnsi="Times New Roman"/>
        <w:i/>
        <w:sz w:val="22"/>
      </w:rPr>
    </w:pPr>
  </w:p>
  <w:p w14:paraId="694AAED7" w14:textId="77777777" w:rsidR="00985254" w:rsidRDefault="00000000" w:rsidP="00CE380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122653D" w14:textId="77777777" w:rsidR="00985254" w:rsidRPr="00CE3802" w:rsidRDefault="00985254" w:rsidP="00CE380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6F35" w14:textId="77777777" w:rsidR="00985254" w:rsidRDefault="00985254" w:rsidP="00CE3802">
    <w:pPr>
      <w:pStyle w:val="Header"/>
      <w:tabs>
        <w:tab w:val="clear" w:pos="4153"/>
        <w:tab w:val="clear" w:pos="8306"/>
        <w:tab w:val="center" w:pos="1134"/>
      </w:tabs>
      <w:spacing w:line="280" w:lineRule="exact"/>
      <w:ind w:firstLine="0"/>
      <w:rPr>
        <w:rFonts w:ascii="Times New Roman" w:hAnsi="Times New Roman"/>
        <w:i/>
        <w:sz w:val="22"/>
      </w:rPr>
    </w:pPr>
  </w:p>
  <w:p w14:paraId="0215127C" w14:textId="77777777" w:rsidR="00985254" w:rsidRDefault="00985254" w:rsidP="00CE3802">
    <w:pPr>
      <w:pStyle w:val="Header"/>
      <w:tabs>
        <w:tab w:val="clear" w:pos="4153"/>
        <w:tab w:val="clear" w:pos="8306"/>
        <w:tab w:val="center" w:pos="1134"/>
      </w:tabs>
      <w:spacing w:line="280" w:lineRule="exact"/>
      <w:ind w:firstLine="0"/>
      <w:rPr>
        <w:rFonts w:ascii="Times New Roman" w:hAnsi="Times New Roman"/>
        <w:i/>
        <w:sz w:val="22"/>
      </w:rPr>
    </w:pPr>
  </w:p>
  <w:p w14:paraId="7D72C46F" w14:textId="77777777" w:rsidR="00985254" w:rsidRDefault="00985254" w:rsidP="00CE3802">
    <w:pPr>
      <w:pStyle w:val="Header"/>
      <w:tabs>
        <w:tab w:val="clear" w:pos="4153"/>
        <w:tab w:val="clear" w:pos="8306"/>
        <w:tab w:val="center" w:pos="1134"/>
      </w:tabs>
      <w:spacing w:line="280" w:lineRule="exact"/>
      <w:ind w:firstLine="0"/>
      <w:rPr>
        <w:rFonts w:ascii="Times New Roman" w:hAnsi="Times New Roman"/>
        <w:i/>
        <w:sz w:val="22"/>
      </w:rPr>
    </w:pPr>
  </w:p>
  <w:p w14:paraId="36E6C8AB" w14:textId="77777777" w:rsidR="00985254" w:rsidRPr="00CE3802" w:rsidRDefault="00985254" w:rsidP="00CE380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CD"/>
    <w:rsid w:val="00000438"/>
    <w:rsid w:val="000006DB"/>
    <w:rsid w:val="00000B91"/>
    <w:rsid w:val="00001509"/>
    <w:rsid w:val="00001DD7"/>
    <w:rsid w:val="00001DDE"/>
    <w:rsid w:val="00001FE5"/>
    <w:rsid w:val="00002069"/>
    <w:rsid w:val="000021A0"/>
    <w:rsid w:val="00002CE6"/>
    <w:rsid w:val="0000316A"/>
    <w:rsid w:val="00003517"/>
    <w:rsid w:val="00003C10"/>
    <w:rsid w:val="000046EA"/>
    <w:rsid w:val="000049B7"/>
    <w:rsid w:val="00004A59"/>
    <w:rsid w:val="00004AA4"/>
    <w:rsid w:val="00005AEE"/>
    <w:rsid w:val="00005F80"/>
    <w:rsid w:val="00006295"/>
    <w:rsid w:val="00006725"/>
    <w:rsid w:val="00006F01"/>
    <w:rsid w:val="000079CB"/>
    <w:rsid w:val="00007B86"/>
    <w:rsid w:val="00010923"/>
    <w:rsid w:val="000110A0"/>
    <w:rsid w:val="00011558"/>
    <w:rsid w:val="00011BDD"/>
    <w:rsid w:val="00011CA5"/>
    <w:rsid w:val="00012035"/>
    <w:rsid w:val="00012B44"/>
    <w:rsid w:val="00013340"/>
    <w:rsid w:val="000133DE"/>
    <w:rsid w:val="000141CA"/>
    <w:rsid w:val="000141F9"/>
    <w:rsid w:val="00014B34"/>
    <w:rsid w:val="00014EC6"/>
    <w:rsid w:val="000155B8"/>
    <w:rsid w:val="00015D66"/>
    <w:rsid w:val="00015FD1"/>
    <w:rsid w:val="000168C9"/>
    <w:rsid w:val="00016C20"/>
    <w:rsid w:val="00016DBB"/>
    <w:rsid w:val="00017144"/>
    <w:rsid w:val="000176C9"/>
    <w:rsid w:val="00017BB4"/>
    <w:rsid w:val="000201AB"/>
    <w:rsid w:val="0002084A"/>
    <w:rsid w:val="00020877"/>
    <w:rsid w:val="00020B60"/>
    <w:rsid w:val="00022A53"/>
    <w:rsid w:val="000234F8"/>
    <w:rsid w:val="0002497F"/>
    <w:rsid w:val="00024E82"/>
    <w:rsid w:val="000250AF"/>
    <w:rsid w:val="00025490"/>
    <w:rsid w:val="0002561E"/>
    <w:rsid w:val="000266F8"/>
    <w:rsid w:val="000268E1"/>
    <w:rsid w:val="00027345"/>
    <w:rsid w:val="000275AF"/>
    <w:rsid w:val="00027B5B"/>
    <w:rsid w:val="000302EA"/>
    <w:rsid w:val="000311AF"/>
    <w:rsid w:val="0003134C"/>
    <w:rsid w:val="00031635"/>
    <w:rsid w:val="000317F5"/>
    <w:rsid w:val="00031A5C"/>
    <w:rsid w:val="00032A07"/>
    <w:rsid w:val="00032B8B"/>
    <w:rsid w:val="00032C2F"/>
    <w:rsid w:val="00033E84"/>
    <w:rsid w:val="0003431B"/>
    <w:rsid w:val="00034660"/>
    <w:rsid w:val="00034FE2"/>
    <w:rsid w:val="000354D4"/>
    <w:rsid w:val="0003574F"/>
    <w:rsid w:val="0003575A"/>
    <w:rsid w:val="000357B7"/>
    <w:rsid w:val="00035813"/>
    <w:rsid w:val="000360EB"/>
    <w:rsid w:val="00037A5F"/>
    <w:rsid w:val="00037D87"/>
    <w:rsid w:val="00037FBA"/>
    <w:rsid w:val="00040401"/>
    <w:rsid w:val="0004042E"/>
    <w:rsid w:val="00040466"/>
    <w:rsid w:val="00042EF3"/>
    <w:rsid w:val="00042FA6"/>
    <w:rsid w:val="000434BF"/>
    <w:rsid w:val="00043D2C"/>
    <w:rsid w:val="00044235"/>
    <w:rsid w:val="00044591"/>
    <w:rsid w:val="00044F56"/>
    <w:rsid w:val="0004508F"/>
    <w:rsid w:val="00045559"/>
    <w:rsid w:val="00046206"/>
    <w:rsid w:val="00046812"/>
    <w:rsid w:val="00046866"/>
    <w:rsid w:val="00046BA6"/>
    <w:rsid w:val="00046BEF"/>
    <w:rsid w:val="000471EB"/>
    <w:rsid w:val="00050005"/>
    <w:rsid w:val="000500BD"/>
    <w:rsid w:val="00050BC2"/>
    <w:rsid w:val="00051F9E"/>
    <w:rsid w:val="000523AE"/>
    <w:rsid w:val="000524C8"/>
    <w:rsid w:val="00052659"/>
    <w:rsid w:val="00052A00"/>
    <w:rsid w:val="0005326D"/>
    <w:rsid w:val="0005369B"/>
    <w:rsid w:val="00053E0E"/>
    <w:rsid w:val="00054B3E"/>
    <w:rsid w:val="00054C00"/>
    <w:rsid w:val="00054C72"/>
    <w:rsid w:val="00054C97"/>
    <w:rsid w:val="00054D32"/>
    <w:rsid w:val="00055ACD"/>
    <w:rsid w:val="00055DA5"/>
    <w:rsid w:val="00055DCC"/>
    <w:rsid w:val="00055ED9"/>
    <w:rsid w:val="000561CC"/>
    <w:rsid w:val="0005631A"/>
    <w:rsid w:val="00056F27"/>
    <w:rsid w:val="000573AF"/>
    <w:rsid w:val="0005769F"/>
    <w:rsid w:val="0005776B"/>
    <w:rsid w:val="00057D30"/>
    <w:rsid w:val="00057DED"/>
    <w:rsid w:val="000606D8"/>
    <w:rsid w:val="0006077D"/>
    <w:rsid w:val="000613E4"/>
    <w:rsid w:val="000614AA"/>
    <w:rsid w:val="0006169E"/>
    <w:rsid w:val="000617C0"/>
    <w:rsid w:val="00061B05"/>
    <w:rsid w:val="00061E51"/>
    <w:rsid w:val="00062284"/>
    <w:rsid w:val="000626FD"/>
    <w:rsid w:val="0006342E"/>
    <w:rsid w:val="000634AC"/>
    <w:rsid w:val="0006357F"/>
    <w:rsid w:val="000642AE"/>
    <w:rsid w:val="00064323"/>
    <w:rsid w:val="0006432B"/>
    <w:rsid w:val="000653D4"/>
    <w:rsid w:val="00065694"/>
    <w:rsid w:val="00066872"/>
    <w:rsid w:val="000671D4"/>
    <w:rsid w:val="00067D5A"/>
    <w:rsid w:val="000700C5"/>
    <w:rsid w:val="00071131"/>
    <w:rsid w:val="0007172F"/>
    <w:rsid w:val="00071A74"/>
    <w:rsid w:val="00071C35"/>
    <w:rsid w:val="00072669"/>
    <w:rsid w:val="000728B8"/>
    <w:rsid w:val="00072CEF"/>
    <w:rsid w:val="00073C70"/>
    <w:rsid w:val="00074086"/>
    <w:rsid w:val="0007592E"/>
    <w:rsid w:val="00075F50"/>
    <w:rsid w:val="0007633F"/>
    <w:rsid w:val="0007642B"/>
    <w:rsid w:val="00077087"/>
    <w:rsid w:val="00077743"/>
    <w:rsid w:val="00080D77"/>
    <w:rsid w:val="0008133F"/>
    <w:rsid w:val="0008214D"/>
    <w:rsid w:val="000821FE"/>
    <w:rsid w:val="00082321"/>
    <w:rsid w:val="00083111"/>
    <w:rsid w:val="0008382C"/>
    <w:rsid w:val="00083D5F"/>
    <w:rsid w:val="00084190"/>
    <w:rsid w:val="0008431C"/>
    <w:rsid w:val="0008435D"/>
    <w:rsid w:val="00084874"/>
    <w:rsid w:val="00084A4E"/>
    <w:rsid w:val="00084A97"/>
    <w:rsid w:val="00085279"/>
    <w:rsid w:val="0008558C"/>
    <w:rsid w:val="00085F13"/>
    <w:rsid w:val="00086C0A"/>
    <w:rsid w:val="00090764"/>
    <w:rsid w:val="0009091E"/>
    <w:rsid w:val="00090AE1"/>
    <w:rsid w:val="00090E1A"/>
    <w:rsid w:val="00091533"/>
    <w:rsid w:val="00091B6A"/>
    <w:rsid w:val="00091D7B"/>
    <w:rsid w:val="00091FBE"/>
    <w:rsid w:val="0009273A"/>
    <w:rsid w:val="000935A6"/>
    <w:rsid w:val="00094424"/>
    <w:rsid w:val="00094798"/>
    <w:rsid w:val="000947E3"/>
    <w:rsid w:val="000951B3"/>
    <w:rsid w:val="0009646F"/>
    <w:rsid w:val="00096D9A"/>
    <w:rsid w:val="00097A0E"/>
    <w:rsid w:val="000A02C1"/>
    <w:rsid w:val="000A05B5"/>
    <w:rsid w:val="000A0695"/>
    <w:rsid w:val="000A0B7C"/>
    <w:rsid w:val="000A11D2"/>
    <w:rsid w:val="000A18CD"/>
    <w:rsid w:val="000A27FF"/>
    <w:rsid w:val="000A2865"/>
    <w:rsid w:val="000A28D4"/>
    <w:rsid w:val="000A28FF"/>
    <w:rsid w:val="000A2EB4"/>
    <w:rsid w:val="000A32CA"/>
    <w:rsid w:val="000A361A"/>
    <w:rsid w:val="000A3D3C"/>
    <w:rsid w:val="000A3DA3"/>
    <w:rsid w:val="000A3E1F"/>
    <w:rsid w:val="000A514F"/>
    <w:rsid w:val="000A54B8"/>
    <w:rsid w:val="000A59E8"/>
    <w:rsid w:val="000A5E4A"/>
    <w:rsid w:val="000A63C6"/>
    <w:rsid w:val="000A76D6"/>
    <w:rsid w:val="000A7E25"/>
    <w:rsid w:val="000B0D4A"/>
    <w:rsid w:val="000B1E3E"/>
    <w:rsid w:val="000B262B"/>
    <w:rsid w:val="000B2755"/>
    <w:rsid w:val="000B3808"/>
    <w:rsid w:val="000B4496"/>
    <w:rsid w:val="000B4630"/>
    <w:rsid w:val="000B497F"/>
    <w:rsid w:val="000B5B1C"/>
    <w:rsid w:val="000B654C"/>
    <w:rsid w:val="000B710D"/>
    <w:rsid w:val="000B7558"/>
    <w:rsid w:val="000B7FA2"/>
    <w:rsid w:val="000C04DC"/>
    <w:rsid w:val="000C0BED"/>
    <w:rsid w:val="000C0D98"/>
    <w:rsid w:val="000C16D8"/>
    <w:rsid w:val="000C3590"/>
    <w:rsid w:val="000C3857"/>
    <w:rsid w:val="000C4190"/>
    <w:rsid w:val="000C44AF"/>
    <w:rsid w:val="000C4DCA"/>
    <w:rsid w:val="000C4F27"/>
    <w:rsid w:val="000C5700"/>
    <w:rsid w:val="000C57E7"/>
    <w:rsid w:val="000C5F78"/>
    <w:rsid w:val="000C6105"/>
    <w:rsid w:val="000C62E7"/>
    <w:rsid w:val="000C7610"/>
    <w:rsid w:val="000D007A"/>
    <w:rsid w:val="000D190C"/>
    <w:rsid w:val="000D19E2"/>
    <w:rsid w:val="000D257E"/>
    <w:rsid w:val="000D25E6"/>
    <w:rsid w:val="000D2977"/>
    <w:rsid w:val="000D36D6"/>
    <w:rsid w:val="000D37AB"/>
    <w:rsid w:val="000D37F2"/>
    <w:rsid w:val="000D4E72"/>
    <w:rsid w:val="000D53C8"/>
    <w:rsid w:val="000D6769"/>
    <w:rsid w:val="000D6BAE"/>
    <w:rsid w:val="000D6BE2"/>
    <w:rsid w:val="000D7616"/>
    <w:rsid w:val="000E0254"/>
    <w:rsid w:val="000E07DF"/>
    <w:rsid w:val="000E0CB4"/>
    <w:rsid w:val="000E0CF7"/>
    <w:rsid w:val="000E111E"/>
    <w:rsid w:val="000E1AE4"/>
    <w:rsid w:val="000E1D7C"/>
    <w:rsid w:val="000E20E9"/>
    <w:rsid w:val="000E2DC7"/>
    <w:rsid w:val="000E4956"/>
    <w:rsid w:val="000E65F7"/>
    <w:rsid w:val="000E75EC"/>
    <w:rsid w:val="000E7C8D"/>
    <w:rsid w:val="000E7D1B"/>
    <w:rsid w:val="000E7EE5"/>
    <w:rsid w:val="000F0340"/>
    <w:rsid w:val="000F05CF"/>
    <w:rsid w:val="000F1139"/>
    <w:rsid w:val="000F1345"/>
    <w:rsid w:val="000F2EC8"/>
    <w:rsid w:val="000F374E"/>
    <w:rsid w:val="000F39AD"/>
    <w:rsid w:val="000F3BB3"/>
    <w:rsid w:val="000F3BE5"/>
    <w:rsid w:val="000F4054"/>
    <w:rsid w:val="000F5198"/>
    <w:rsid w:val="000F5B94"/>
    <w:rsid w:val="000F5BD8"/>
    <w:rsid w:val="000F7DDF"/>
    <w:rsid w:val="001001B9"/>
    <w:rsid w:val="00100727"/>
    <w:rsid w:val="001011E5"/>
    <w:rsid w:val="00101C6C"/>
    <w:rsid w:val="00102254"/>
    <w:rsid w:val="00102D01"/>
    <w:rsid w:val="0010319E"/>
    <w:rsid w:val="00104606"/>
    <w:rsid w:val="00104959"/>
    <w:rsid w:val="00104D74"/>
    <w:rsid w:val="001068BA"/>
    <w:rsid w:val="0010702C"/>
    <w:rsid w:val="00107822"/>
    <w:rsid w:val="001100D9"/>
    <w:rsid w:val="0011035E"/>
    <w:rsid w:val="00110970"/>
    <w:rsid w:val="00110FD7"/>
    <w:rsid w:val="00111068"/>
    <w:rsid w:val="00111568"/>
    <w:rsid w:val="00111BAC"/>
    <w:rsid w:val="00111C1F"/>
    <w:rsid w:val="001120C0"/>
    <w:rsid w:val="00112DE8"/>
    <w:rsid w:val="00114111"/>
    <w:rsid w:val="00114EAE"/>
    <w:rsid w:val="001150BF"/>
    <w:rsid w:val="00115118"/>
    <w:rsid w:val="0011541E"/>
    <w:rsid w:val="00115EB0"/>
    <w:rsid w:val="00116773"/>
    <w:rsid w:val="001168F2"/>
    <w:rsid w:val="00117210"/>
    <w:rsid w:val="00120207"/>
    <w:rsid w:val="001202EC"/>
    <w:rsid w:val="00120BB4"/>
    <w:rsid w:val="00121F1E"/>
    <w:rsid w:val="00123397"/>
    <w:rsid w:val="00123C1B"/>
    <w:rsid w:val="00124093"/>
    <w:rsid w:val="00124236"/>
    <w:rsid w:val="00124400"/>
    <w:rsid w:val="00124613"/>
    <w:rsid w:val="00124E9A"/>
    <w:rsid w:val="00125096"/>
    <w:rsid w:val="00125E3C"/>
    <w:rsid w:val="0013103E"/>
    <w:rsid w:val="0013131C"/>
    <w:rsid w:val="0013152D"/>
    <w:rsid w:val="00131A86"/>
    <w:rsid w:val="0013317E"/>
    <w:rsid w:val="0013383C"/>
    <w:rsid w:val="00133E7E"/>
    <w:rsid w:val="0013456F"/>
    <w:rsid w:val="00134904"/>
    <w:rsid w:val="001349C3"/>
    <w:rsid w:val="00134C2F"/>
    <w:rsid w:val="0013547F"/>
    <w:rsid w:val="001354DC"/>
    <w:rsid w:val="0013577F"/>
    <w:rsid w:val="00135A67"/>
    <w:rsid w:val="00135C6C"/>
    <w:rsid w:val="00136570"/>
    <w:rsid w:val="00137467"/>
    <w:rsid w:val="0013797B"/>
    <w:rsid w:val="00140360"/>
    <w:rsid w:val="00140E88"/>
    <w:rsid w:val="00140FEB"/>
    <w:rsid w:val="0014110C"/>
    <w:rsid w:val="001415F5"/>
    <w:rsid w:val="00141726"/>
    <w:rsid w:val="0014204A"/>
    <w:rsid w:val="00142072"/>
    <w:rsid w:val="0014234D"/>
    <w:rsid w:val="00142FA3"/>
    <w:rsid w:val="00143FCB"/>
    <w:rsid w:val="0014478D"/>
    <w:rsid w:val="00144FEF"/>
    <w:rsid w:val="0014542D"/>
    <w:rsid w:val="00145564"/>
    <w:rsid w:val="00145627"/>
    <w:rsid w:val="00145A02"/>
    <w:rsid w:val="00145F36"/>
    <w:rsid w:val="00146A41"/>
    <w:rsid w:val="00147866"/>
    <w:rsid w:val="00147ABF"/>
    <w:rsid w:val="00147F73"/>
    <w:rsid w:val="0015031C"/>
    <w:rsid w:val="00150A60"/>
    <w:rsid w:val="00151679"/>
    <w:rsid w:val="00151C73"/>
    <w:rsid w:val="001521C7"/>
    <w:rsid w:val="00152B56"/>
    <w:rsid w:val="00152D58"/>
    <w:rsid w:val="0015318E"/>
    <w:rsid w:val="00153477"/>
    <w:rsid w:val="00154608"/>
    <w:rsid w:val="00154D06"/>
    <w:rsid w:val="001579D9"/>
    <w:rsid w:val="00160130"/>
    <w:rsid w:val="001606A6"/>
    <w:rsid w:val="00160E84"/>
    <w:rsid w:val="0016113E"/>
    <w:rsid w:val="00161A29"/>
    <w:rsid w:val="00162531"/>
    <w:rsid w:val="0016254E"/>
    <w:rsid w:val="0016306D"/>
    <w:rsid w:val="00163761"/>
    <w:rsid w:val="00163CB7"/>
    <w:rsid w:val="00163D92"/>
    <w:rsid w:val="00164144"/>
    <w:rsid w:val="00164B67"/>
    <w:rsid w:val="00164C88"/>
    <w:rsid w:val="00164F06"/>
    <w:rsid w:val="001654DF"/>
    <w:rsid w:val="001674B6"/>
    <w:rsid w:val="00170867"/>
    <w:rsid w:val="001708DE"/>
    <w:rsid w:val="0017139F"/>
    <w:rsid w:val="001716C1"/>
    <w:rsid w:val="00171CA5"/>
    <w:rsid w:val="00172ADE"/>
    <w:rsid w:val="00172D94"/>
    <w:rsid w:val="00172F44"/>
    <w:rsid w:val="001733A0"/>
    <w:rsid w:val="00173564"/>
    <w:rsid w:val="00174034"/>
    <w:rsid w:val="00174481"/>
    <w:rsid w:val="001750E3"/>
    <w:rsid w:val="001754D7"/>
    <w:rsid w:val="00175559"/>
    <w:rsid w:val="00175703"/>
    <w:rsid w:val="001758DE"/>
    <w:rsid w:val="001759AC"/>
    <w:rsid w:val="00175AE4"/>
    <w:rsid w:val="00175BC7"/>
    <w:rsid w:val="00175EB6"/>
    <w:rsid w:val="001761E4"/>
    <w:rsid w:val="00176A55"/>
    <w:rsid w:val="00176D25"/>
    <w:rsid w:val="00176D84"/>
    <w:rsid w:val="00177FB8"/>
    <w:rsid w:val="00182476"/>
    <w:rsid w:val="00182520"/>
    <w:rsid w:val="00182828"/>
    <w:rsid w:val="001828F5"/>
    <w:rsid w:val="00182BB7"/>
    <w:rsid w:val="00182BD0"/>
    <w:rsid w:val="00182FCF"/>
    <w:rsid w:val="0018305C"/>
    <w:rsid w:val="001831F2"/>
    <w:rsid w:val="0018342E"/>
    <w:rsid w:val="0018370C"/>
    <w:rsid w:val="001840C2"/>
    <w:rsid w:val="0018499B"/>
    <w:rsid w:val="00184B46"/>
    <w:rsid w:val="001854E7"/>
    <w:rsid w:val="00185939"/>
    <w:rsid w:val="00186644"/>
    <w:rsid w:val="00186E92"/>
    <w:rsid w:val="00186EAE"/>
    <w:rsid w:val="00186FC0"/>
    <w:rsid w:val="001873B3"/>
    <w:rsid w:val="001876F6"/>
    <w:rsid w:val="00191062"/>
    <w:rsid w:val="0019113C"/>
    <w:rsid w:val="00191415"/>
    <w:rsid w:val="00191E23"/>
    <w:rsid w:val="001929F5"/>
    <w:rsid w:val="00193E91"/>
    <w:rsid w:val="001950D4"/>
    <w:rsid w:val="001953B1"/>
    <w:rsid w:val="00195D02"/>
    <w:rsid w:val="001963C0"/>
    <w:rsid w:val="001969F3"/>
    <w:rsid w:val="00196F0E"/>
    <w:rsid w:val="00197956"/>
    <w:rsid w:val="00197EBA"/>
    <w:rsid w:val="001A130F"/>
    <w:rsid w:val="001A144C"/>
    <w:rsid w:val="001A1A5C"/>
    <w:rsid w:val="001A28D0"/>
    <w:rsid w:val="001A28DC"/>
    <w:rsid w:val="001A2F87"/>
    <w:rsid w:val="001A3EB5"/>
    <w:rsid w:val="001A409D"/>
    <w:rsid w:val="001A446E"/>
    <w:rsid w:val="001A44B0"/>
    <w:rsid w:val="001A4F11"/>
    <w:rsid w:val="001A5C28"/>
    <w:rsid w:val="001A5CDA"/>
    <w:rsid w:val="001A5E63"/>
    <w:rsid w:val="001A5EA7"/>
    <w:rsid w:val="001A6093"/>
    <w:rsid w:val="001A67D2"/>
    <w:rsid w:val="001A6DB6"/>
    <w:rsid w:val="001A6F97"/>
    <w:rsid w:val="001A73C9"/>
    <w:rsid w:val="001A7D4A"/>
    <w:rsid w:val="001A7F4F"/>
    <w:rsid w:val="001B02A3"/>
    <w:rsid w:val="001B1382"/>
    <w:rsid w:val="001B1676"/>
    <w:rsid w:val="001B16C6"/>
    <w:rsid w:val="001B17A8"/>
    <w:rsid w:val="001B1D81"/>
    <w:rsid w:val="001B2045"/>
    <w:rsid w:val="001B2BD4"/>
    <w:rsid w:val="001B3145"/>
    <w:rsid w:val="001B3C11"/>
    <w:rsid w:val="001B475E"/>
    <w:rsid w:val="001B4AE1"/>
    <w:rsid w:val="001B55C8"/>
    <w:rsid w:val="001B63C6"/>
    <w:rsid w:val="001B65B7"/>
    <w:rsid w:val="001B6EC8"/>
    <w:rsid w:val="001B6EE7"/>
    <w:rsid w:val="001B7060"/>
    <w:rsid w:val="001B7490"/>
    <w:rsid w:val="001B7722"/>
    <w:rsid w:val="001B7938"/>
    <w:rsid w:val="001B7A1A"/>
    <w:rsid w:val="001C0700"/>
    <w:rsid w:val="001C10C5"/>
    <w:rsid w:val="001C2484"/>
    <w:rsid w:val="001C25D4"/>
    <w:rsid w:val="001C26C9"/>
    <w:rsid w:val="001C28B1"/>
    <w:rsid w:val="001C3A0F"/>
    <w:rsid w:val="001C3B3F"/>
    <w:rsid w:val="001C4256"/>
    <w:rsid w:val="001C4488"/>
    <w:rsid w:val="001C48D4"/>
    <w:rsid w:val="001C4C3A"/>
    <w:rsid w:val="001C4E78"/>
    <w:rsid w:val="001C5D51"/>
    <w:rsid w:val="001C5D68"/>
    <w:rsid w:val="001C681C"/>
    <w:rsid w:val="001C687E"/>
    <w:rsid w:val="001C69CD"/>
    <w:rsid w:val="001C72C3"/>
    <w:rsid w:val="001C7581"/>
    <w:rsid w:val="001C7645"/>
    <w:rsid w:val="001C7AF3"/>
    <w:rsid w:val="001C7C93"/>
    <w:rsid w:val="001D1691"/>
    <w:rsid w:val="001D209E"/>
    <w:rsid w:val="001D229B"/>
    <w:rsid w:val="001D2643"/>
    <w:rsid w:val="001D2DBC"/>
    <w:rsid w:val="001D3681"/>
    <w:rsid w:val="001D36CD"/>
    <w:rsid w:val="001D3EEA"/>
    <w:rsid w:val="001D3FC5"/>
    <w:rsid w:val="001D462B"/>
    <w:rsid w:val="001D46C5"/>
    <w:rsid w:val="001D4AB0"/>
    <w:rsid w:val="001D4F49"/>
    <w:rsid w:val="001D590A"/>
    <w:rsid w:val="001D5E62"/>
    <w:rsid w:val="001D652C"/>
    <w:rsid w:val="001D67F3"/>
    <w:rsid w:val="001D6D09"/>
    <w:rsid w:val="001D7982"/>
    <w:rsid w:val="001E0D2E"/>
    <w:rsid w:val="001E1406"/>
    <w:rsid w:val="001E1868"/>
    <w:rsid w:val="001E1D3D"/>
    <w:rsid w:val="001E2038"/>
    <w:rsid w:val="001E216C"/>
    <w:rsid w:val="001E2D8B"/>
    <w:rsid w:val="001E340B"/>
    <w:rsid w:val="001E36A8"/>
    <w:rsid w:val="001E39A8"/>
    <w:rsid w:val="001E39CE"/>
    <w:rsid w:val="001E39DA"/>
    <w:rsid w:val="001E3E3E"/>
    <w:rsid w:val="001E40DA"/>
    <w:rsid w:val="001E47D1"/>
    <w:rsid w:val="001E481E"/>
    <w:rsid w:val="001E4F73"/>
    <w:rsid w:val="001E541B"/>
    <w:rsid w:val="001E56AA"/>
    <w:rsid w:val="001E5706"/>
    <w:rsid w:val="001E5D63"/>
    <w:rsid w:val="001E68E4"/>
    <w:rsid w:val="001E6A64"/>
    <w:rsid w:val="001E715A"/>
    <w:rsid w:val="001E75C5"/>
    <w:rsid w:val="001F0199"/>
    <w:rsid w:val="001F093D"/>
    <w:rsid w:val="001F0D68"/>
    <w:rsid w:val="001F0F9E"/>
    <w:rsid w:val="001F130A"/>
    <w:rsid w:val="001F13B4"/>
    <w:rsid w:val="001F1562"/>
    <w:rsid w:val="001F1B5F"/>
    <w:rsid w:val="001F21A1"/>
    <w:rsid w:val="001F2B3B"/>
    <w:rsid w:val="001F2C7A"/>
    <w:rsid w:val="001F2EA6"/>
    <w:rsid w:val="001F386C"/>
    <w:rsid w:val="001F3F2A"/>
    <w:rsid w:val="001F4226"/>
    <w:rsid w:val="001F42BD"/>
    <w:rsid w:val="001F4CF8"/>
    <w:rsid w:val="001F4D0A"/>
    <w:rsid w:val="001F5032"/>
    <w:rsid w:val="001F5263"/>
    <w:rsid w:val="001F6106"/>
    <w:rsid w:val="001F658E"/>
    <w:rsid w:val="001F688B"/>
    <w:rsid w:val="001F69C2"/>
    <w:rsid w:val="001F69EE"/>
    <w:rsid w:val="001F6BB6"/>
    <w:rsid w:val="001F6CDF"/>
    <w:rsid w:val="001F6DA9"/>
    <w:rsid w:val="001F726D"/>
    <w:rsid w:val="002009F4"/>
    <w:rsid w:val="00200ACF"/>
    <w:rsid w:val="002012B7"/>
    <w:rsid w:val="0020203C"/>
    <w:rsid w:val="002023A7"/>
    <w:rsid w:val="002030EC"/>
    <w:rsid w:val="00204427"/>
    <w:rsid w:val="002046A4"/>
    <w:rsid w:val="002048D1"/>
    <w:rsid w:val="00204A9C"/>
    <w:rsid w:val="00204C8F"/>
    <w:rsid w:val="00204F6E"/>
    <w:rsid w:val="00205598"/>
    <w:rsid w:val="00205887"/>
    <w:rsid w:val="00205F29"/>
    <w:rsid w:val="002068A7"/>
    <w:rsid w:val="00206A3F"/>
    <w:rsid w:val="00207312"/>
    <w:rsid w:val="002079CB"/>
    <w:rsid w:val="00207E45"/>
    <w:rsid w:val="0021096E"/>
    <w:rsid w:val="00210DE8"/>
    <w:rsid w:val="002115E5"/>
    <w:rsid w:val="00211D73"/>
    <w:rsid w:val="00212009"/>
    <w:rsid w:val="00212636"/>
    <w:rsid w:val="00212A3E"/>
    <w:rsid w:val="00212E52"/>
    <w:rsid w:val="00213016"/>
    <w:rsid w:val="002130D9"/>
    <w:rsid w:val="0021323C"/>
    <w:rsid w:val="0021351B"/>
    <w:rsid w:val="002136FE"/>
    <w:rsid w:val="00213714"/>
    <w:rsid w:val="00213764"/>
    <w:rsid w:val="00213927"/>
    <w:rsid w:val="002143FD"/>
    <w:rsid w:val="00214712"/>
    <w:rsid w:val="002148CE"/>
    <w:rsid w:val="00214997"/>
    <w:rsid w:val="00214BF2"/>
    <w:rsid w:val="00214DAF"/>
    <w:rsid w:val="002152B5"/>
    <w:rsid w:val="00215A7F"/>
    <w:rsid w:val="00215C6B"/>
    <w:rsid w:val="00215FB7"/>
    <w:rsid w:val="002163C7"/>
    <w:rsid w:val="00216522"/>
    <w:rsid w:val="00217041"/>
    <w:rsid w:val="00217551"/>
    <w:rsid w:val="00217998"/>
    <w:rsid w:val="0022011D"/>
    <w:rsid w:val="00220258"/>
    <w:rsid w:val="002213BB"/>
    <w:rsid w:val="00221BE7"/>
    <w:rsid w:val="00221D19"/>
    <w:rsid w:val="0022213B"/>
    <w:rsid w:val="00222EA8"/>
    <w:rsid w:val="002230E4"/>
    <w:rsid w:val="00223943"/>
    <w:rsid w:val="0022400A"/>
    <w:rsid w:val="0022472B"/>
    <w:rsid w:val="00224EB5"/>
    <w:rsid w:val="0022512D"/>
    <w:rsid w:val="0022523D"/>
    <w:rsid w:val="00225591"/>
    <w:rsid w:val="002255EA"/>
    <w:rsid w:val="002262E7"/>
    <w:rsid w:val="0022666B"/>
    <w:rsid w:val="00226C06"/>
    <w:rsid w:val="0022734D"/>
    <w:rsid w:val="00227C61"/>
    <w:rsid w:val="00227CDC"/>
    <w:rsid w:val="002304E0"/>
    <w:rsid w:val="00230AAC"/>
    <w:rsid w:val="00230FFB"/>
    <w:rsid w:val="00231D39"/>
    <w:rsid w:val="002321B1"/>
    <w:rsid w:val="002325F7"/>
    <w:rsid w:val="00232C1B"/>
    <w:rsid w:val="00233042"/>
    <w:rsid w:val="002334D5"/>
    <w:rsid w:val="0023350B"/>
    <w:rsid w:val="00233B4E"/>
    <w:rsid w:val="00233D0C"/>
    <w:rsid w:val="0023447F"/>
    <w:rsid w:val="002350B3"/>
    <w:rsid w:val="002355F7"/>
    <w:rsid w:val="00235CA2"/>
    <w:rsid w:val="00235F3B"/>
    <w:rsid w:val="002365CF"/>
    <w:rsid w:val="00236C89"/>
    <w:rsid w:val="0023702A"/>
    <w:rsid w:val="0023798E"/>
    <w:rsid w:val="0023799F"/>
    <w:rsid w:val="00237C00"/>
    <w:rsid w:val="00237D3F"/>
    <w:rsid w:val="00240BD9"/>
    <w:rsid w:val="0024168E"/>
    <w:rsid w:val="00241AEA"/>
    <w:rsid w:val="002425A2"/>
    <w:rsid w:val="0024274E"/>
    <w:rsid w:val="00242EE4"/>
    <w:rsid w:val="0024462E"/>
    <w:rsid w:val="00244997"/>
    <w:rsid w:val="002450B1"/>
    <w:rsid w:val="002450BF"/>
    <w:rsid w:val="0024538C"/>
    <w:rsid w:val="002454EA"/>
    <w:rsid w:val="0024563B"/>
    <w:rsid w:val="002474FA"/>
    <w:rsid w:val="00250336"/>
    <w:rsid w:val="00251111"/>
    <w:rsid w:val="002514EF"/>
    <w:rsid w:val="00251CA8"/>
    <w:rsid w:val="00251CCA"/>
    <w:rsid w:val="00252570"/>
    <w:rsid w:val="002529B1"/>
    <w:rsid w:val="00252A3D"/>
    <w:rsid w:val="00253296"/>
    <w:rsid w:val="00253493"/>
    <w:rsid w:val="00253DE9"/>
    <w:rsid w:val="00253F4B"/>
    <w:rsid w:val="0025709A"/>
    <w:rsid w:val="00257AFB"/>
    <w:rsid w:val="0026098C"/>
    <w:rsid w:val="00260B6D"/>
    <w:rsid w:val="00260B91"/>
    <w:rsid w:val="00261683"/>
    <w:rsid w:val="00262046"/>
    <w:rsid w:val="002624DA"/>
    <w:rsid w:val="00262810"/>
    <w:rsid w:val="0026293D"/>
    <w:rsid w:val="00263810"/>
    <w:rsid w:val="002638D4"/>
    <w:rsid w:val="00263C54"/>
    <w:rsid w:val="00263F1D"/>
    <w:rsid w:val="00264033"/>
    <w:rsid w:val="00264E99"/>
    <w:rsid w:val="0026522F"/>
    <w:rsid w:val="002652B9"/>
    <w:rsid w:val="00265972"/>
    <w:rsid w:val="00265982"/>
    <w:rsid w:val="00265A35"/>
    <w:rsid w:val="00266562"/>
    <w:rsid w:val="0026667A"/>
    <w:rsid w:val="002666A7"/>
    <w:rsid w:val="00266B30"/>
    <w:rsid w:val="002672FA"/>
    <w:rsid w:val="00267E23"/>
    <w:rsid w:val="00270154"/>
    <w:rsid w:val="00270271"/>
    <w:rsid w:val="002706D2"/>
    <w:rsid w:val="00270B8B"/>
    <w:rsid w:val="00270E59"/>
    <w:rsid w:val="00271F70"/>
    <w:rsid w:val="002726C2"/>
    <w:rsid w:val="0027327F"/>
    <w:rsid w:val="00273529"/>
    <w:rsid w:val="002735BE"/>
    <w:rsid w:val="00273B6A"/>
    <w:rsid w:val="0027408B"/>
    <w:rsid w:val="0027440C"/>
    <w:rsid w:val="00275700"/>
    <w:rsid w:val="00276499"/>
    <w:rsid w:val="00276B56"/>
    <w:rsid w:val="002774C7"/>
    <w:rsid w:val="00277B34"/>
    <w:rsid w:val="002802D6"/>
    <w:rsid w:val="00280F46"/>
    <w:rsid w:val="002819FD"/>
    <w:rsid w:val="00281F6D"/>
    <w:rsid w:val="00282259"/>
    <w:rsid w:val="002822FE"/>
    <w:rsid w:val="00282826"/>
    <w:rsid w:val="00282834"/>
    <w:rsid w:val="002829CB"/>
    <w:rsid w:val="00282A9C"/>
    <w:rsid w:val="00282AF5"/>
    <w:rsid w:val="0028453D"/>
    <w:rsid w:val="00284639"/>
    <w:rsid w:val="002846C4"/>
    <w:rsid w:val="002846CE"/>
    <w:rsid w:val="00284FFD"/>
    <w:rsid w:val="00285005"/>
    <w:rsid w:val="0028529D"/>
    <w:rsid w:val="002855DE"/>
    <w:rsid w:val="00285628"/>
    <w:rsid w:val="0028583A"/>
    <w:rsid w:val="00285A97"/>
    <w:rsid w:val="00286CE8"/>
    <w:rsid w:val="00287368"/>
    <w:rsid w:val="00287873"/>
    <w:rsid w:val="00290BC9"/>
    <w:rsid w:val="002916CC"/>
    <w:rsid w:val="0029195B"/>
    <w:rsid w:val="00291CFF"/>
    <w:rsid w:val="0029278C"/>
    <w:rsid w:val="00292C9F"/>
    <w:rsid w:val="00292E11"/>
    <w:rsid w:val="00292E65"/>
    <w:rsid w:val="00292F97"/>
    <w:rsid w:val="00295033"/>
    <w:rsid w:val="002953CB"/>
    <w:rsid w:val="00295434"/>
    <w:rsid w:val="00295572"/>
    <w:rsid w:val="00295C8D"/>
    <w:rsid w:val="00296465"/>
    <w:rsid w:val="0029697C"/>
    <w:rsid w:val="00296D07"/>
    <w:rsid w:val="002979F1"/>
    <w:rsid w:val="00297B2B"/>
    <w:rsid w:val="00297BF9"/>
    <w:rsid w:val="00297C8A"/>
    <w:rsid w:val="002A0761"/>
    <w:rsid w:val="002A0E50"/>
    <w:rsid w:val="002A126C"/>
    <w:rsid w:val="002A13E1"/>
    <w:rsid w:val="002A1ECE"/>
    <w:rsid w:val="002A267A"/>
    <w:rsid w:val="002A29EE"/>
    <w:rsid w:val="002A2DFF"/>
    <w:rsid w:val="002A3248"/>
    <w:rsid w:val="002A3824"/>
    <w:rsid w:val="002A3B06"/>
    <w:rsid w:val="002A67A5"/>
    <w:rsid w:val="002A695F"/>
    <w:rsid w:val="002A7665"/>
    <w:rsid w:val="002A79AC"/>
    <w:rsid w:val="002A7A04"/>
    <w:rsid w:val="002B0846"/>
    <w:rsid w:val="002B0D99"/>
    <w:rsid w:val="002B1304"/>
    <w:rsid w:val="002B1466"/>
    <w:rsid w:val="002B184A"/>
    <w:rsid w:val="002B2C28"/>
    <w:rsid w:val="002B34D1"/>
    <w:rsid w:val="002B416B"/>
    <w:rsid w:val="002B4270"/>
    <w:rsid w:val="002B480B"/>
    <w:rsid w:val="002B5421"/>
    <w:rsid w:val="002B5564"/>
    <w:rsid w:val="002B60DF"/>
    <w:rsid w:val="002B68A4"/>
    <w:rsid w:val="002B6FB4"/>
    <w:rsid w:val="002B747C"/>
    <w:rsid w:val="002B75B1"/>
    <w:rsid w:val="002B77CF"/>
    <w:rsid w:val="002C024A"/>
    <w:rsid w:val="002C0341"/>
    <w:rsid w:val="002C075F"/>
    <w:rsid w:val="002C0853"/>
    <w:rsid w:val="002C1CD5"/>
    <w:rsid w:val="002C1EDE"/>
    <w:rsid w:val="002C2C24"/>
    <w:rsid w:val="002C33B1"/>
    <w:rsid w:val="002C3AF2"/>
    <w:rsid w:val="002C3C9C"/>
    <w:rsid w:val="002C4A5A"/>
    <w:rsid w:val="002C4CDB"/>
    <w:rsid w:val="002C51A1"/>
    <w:rsid w:val="002C5981"/>
    <w:rsid w:val="002C5C83"/>
    <w:rsid w:val="002C5D4D"/>
    <w:rsid w:val="002C6619"/>
    <w:rsid w:val="002C6AEF"/>
    <w:rsid w:val="002C6FF9"/>
    <w:rsid w:val="002C7307"/>
    <w:rsid w:val="002C7734"/>
    <w:rsid w:val="002C78E0"/>
    <w:rsid w:val="002C7921"/>
    <w:rsid w:val="002D0410"/>
    <w:rsid w:val="002D06B4"/>
    <w:rsid w:val="002D0899"/>
    <w:rsid w:val="002D09DF"/>
    <w:rsid w:val="002D1707"/>
    <w:rsid w:val="002D17E2"/>
    <w:rsid w:val="002D22D2"/>
    <w:rsid w:val="002D2428"/>
    <w:rsid w:val="002D2AB0"/>
    <w:rsid w:val="002D2B5B"/>
    <w:rsid w:val="002D30D0"/>
    <w:rsid w:val="002D3F5B"/>
    <w:rsid w:val="002D4073"/>
    <w:rsid w:val="002D48B4"/>
    <w:rsid w:val="002D52D4"/>
    <w:rsid w:val="002D539B"/>
    <w:rsid w:val="002E0377"/>
    <w:rsid w:val="002E03A4"/>
    <w:rsid w:val="002E0C1F"/>
    <w:rsid w:val="002E0EC8"/>
    <w:rsid w:val="002E1063"/>
    <w:rsid w:val="002E10C3"/>
    <w:rsid w:val="002E1B1E"/>
    <w:rsid w:val="002E2312"/>
    <w:rsid w:val="002E23DC"/>
    <w:rsid w:val="002E2707"/>
    <w:rsid w:val="002E278F"/>
    <w:rsid w:val="002E3B0F"/>
    <w:rsid w:val="002E3B4D"/>
    <w:rsid w:val="002E410F"/>
    <w:rsid w:val="002E5510"/>
    <w:rsid w:val="002E570D"/>
    <w:rsid w:val="002E6172"/>
    <w:rsid w:val="002E649D"/>
    <w:rsid w:val="002E6903"/>
    <w:rsid w:val="002E6A55"/>
    <w:rsid w:val="002E7D5D"/>
    <w:rsid w:val="002E7D93"/>
    <w:rsid w:val="002F0522"/>
    <w:rsid w:val="002F057B"/>
    <w:rsid w:val="002F059A"/>
    <w:rsid w:val="002F0734"/>
    <w:rsid w:val="002F0EA4"/>
    <w:rsid w:val="002F13F6"/>
    <w:rsid w:val="002F214D"/>
    <w:rsid w:val="002F21D1"/>
    <w:rsid w:val="002F2C4D"/>
    <w:rsid w:val="002F41A9"/>
    <w:rsid w:val="002F4A07"/>
    <w:rsid w:val="002F4F4F"/>
    <w:rsid w:val="002F4FCB"/>
    <w:rsid w:val="002F5673"/>
    <w:rsid w:val="002F5C2F"/>
    <w:rsid w:val="002F627C"/>
    <w:rsid w:val="002F670D"/>
    <w:rsid w:val="002F6AB9"/>
    <w:rsid w:val="002F6B34"/>
    <w:rsid w:val="002F730D"/>
    <w:rsid w:val="002F7975"/>
    <w:rsid w:val="002F7FF1"/>
    <w:rsid w:val="0030026A"/>
    <w:rsid w:val="00300383"/>
    <w:rsid w:val="003003AC"/>
    <w:rsid w:val="00300684"/>
    <w:rsid w:val="00301255"/>
    <w:rsid w:val="00301421"/>
    <w:rsid w:val="00301746"/>
    <w:rsid w:val="00301975"/>
    <w:rsid w:val="00301C54"/>
    <w:rsid w:val="00302928"/>
    <w:rsid w:val="00302C5E"/>
    <w:rsid w:val="00302EF3"/>
    <w:rsid w:val="00303557"/>
    <w:rsid w:val="00303B14"/>
    <w:rsid w:val="00303BC9"/>
    <w:rsid w:val="00304D72"/>
    <w:rsid w:val="00304EEA"/>
    <w:rsid w:val="0030542C"/>
    <w:rsid w:val="003054F4"/>
    <w:rsid w:val="003055B0"/>
    <w:rsid w:val="00305AFB"/>
    <w:rsid w:val="00307923"/>
    <w:rsid w:val="00307B52"/>
    <w:rsid w:val="00310038"/>
    <w:rsid w:val="003100A2"/>
    <w:rsid w:val="00310418"/>
    <w:rsid w:val="00311579"/>
    <w:rsid w:val="00311E1F"/>
    <w:rsid w:val="00312166"/>
    <w:rsid w:val="0031244F"/>
    <w:rsid w:val="00312CF3"/>
    <w:rsid w:val="00312FFC"/>
    <w:rsid w:val="003134A2"/>
    <w:rsid w:val="0031356A"/>
    <w:rsid w:val="00313A5C"/>
    <w:rsid w:val="00313E77"/>
    <w:rsid w:val="003150BF"/>
    <w:rsid w:val="003150CE"/>
    <w:rsid w:val="003153C8"/>
    <w:rsid w:val="0031547D"/>
    <w:rsid w:val="003158C1"/>
    <w:rsid w:val="00315E92"/>
    <w:rsid w:val="00315F43"/>
    <w:rsid w:val="003162A4"/>
    <w:rsid w:val="003164C0"/>
    <w:rsid w:val="00316BB5"/>
    <w:rsid w:val="00316C36"/>
    <w:rsid w:val="00316EC5"/>
    <w:rsid w:val="00317073"/>
    <w:rsid w:val="00317779"/>
    <w:rsid w:val="00317D59"/>
    <w:rsid w:val="00317D5A"/>
    <w:rsid w:val="003215B5"/>
    <w:rsid w:val="003218E8"/>
    <w:rsid w:val="00322314"/>
    <w:rsid w:val="00322B41"/>
    <w:rsid w:val="00322CDA"/>
    <w:rsid w:val="00322E15"/>
    <w:rsid w:val="0032351E"/>
    <w:rsid w:val="00323792"/>
    <w:rsid w:val="00323866"/>
    <w:rsid w:val="00323B9E"/>
    <w:rsid w:val="00323C98"/>
    <w:rsid w:val="00323D86"/>
    <w:rsid w:val="003240FC"/>
    <w:rsid w:val="00324B92"/>
    <w:rsid w:val="00324C16"/>
    <w:rsid w:val="0032537C"/>
    <w:rsid w:val="00325397"/>
    <w:rsid w:val="00325830"/>
    <w:rsid w:val="00327576"/>
    <w:rsid w:val="00327BC9"/>
    <w:rsid w:val="00327D0D"/>
    <w:rsid w:val="003304D9"/>
    <w:rsid w:val="00330804"/>
    <w:rsid w:val="0033185E"/>
    <w:rsid w:val="00331B75"/>
    <w:rsid w:val="00332900"/>
    <w:rsid w:val="0033347D"/>
    <w:rsid w:val="00333CC8"/>
    <w:rsid w:val="003345C2"/>
    <w:rsid w:val="00334A6B"/>
    <w:rsid w:val="00334AB0"/>
    <w:rsid w:val="00334FB2"/>
    <w:rsid w:val="00335625"/>
    <w:rsid w:val="00335BBC"/>
    <w:rsid w:val="00335D9D"/>
    <w:rsid w:val="00335F72"/>
    <w:rsid w:val="00336601"/>
    <w:rsid w:val="003366B2"/>
    <w:rsid w:val="00337006"/>
    <w:rsid w:val="00340021"/>
    <w:rsid w:val="00340066"/>
    <w:rsid w:val="00340B98"/>
    <w:rsid w:val="003410E4"/>
    <w:rsid w:val="003411F9"/>
    <w:rsid w:val="0034122D"/>
    <w:rsid w:val="0034171D"/>
    <w:rsid w:val="0034192D"/>
    <w:rsid w:val="00341D91"/>
    <w:rsid w:val="00342260"/>
    <w:rsid w:val="003425ED"/>
    <w:rsid w:val="0034288B"/>
    <w:rsid w:val="00342B5C"/>
    <w:rsid w:val="00343199"/>
    <w:rsid w:val="003431EE"/>
    <w:rsid w:val="0034332B"/>
    <w:rsid w:val="00343589"/>
    <w:rsid w:val="00343A52"/>
    <w:rsid w:val="00343E74"/>
    <w:rsid w:val="00345E7C"/>
    <w:rsid w:val="0034681C"/>
    <w:rsid w:val="0034689A"/>
    <w:rsid w:val="003468F7"/>
    <w:rsid w:val="003469C6"/>
    <w:rsid w:val="00346F03"/>
    <w:rsid w:val="00346F9E"/>
    <w:rsid w:val="003500DB"/>
    <w:rsid w:val="003503B0"/>
    <w:rsid w:val="0035109E"/>
    <w:rsid w:val="003510BC"/>
    <w:rsid w:val="003516C1"/>
    <w:rsid w:val="00351746"/>
    <w:rsid w:val="0035278E"/>
    <w:rsid w:val="00354C34"/>
    <w:rsid w:val="00354EF6"/>
    <w:rsid w:val="00355236"/>
    <w:rsid w:val="00355259"/>
    <w:rsid w:val="003554DC"/>
    <w:rsid w:val="00356A5E"/>
    <w:rsid w:val="00356AF5"/>
    <w:rsid w:val="00356B93"/>
    <w:rsid w:val="003600A8"/>
    <w:rsid w:val="003608B8"/>
    <w:rsid w:val="003612FD"/>
    <w:rsid w:val="003622DF"/>
    <w:rsid w:val="003623FE"/>
    <w:rsid w:val="0036284D"/>
    <w:rsid w:val="00362BCE"/>
    <w:rsid w:val="00362CDE"/>
    <w:rsid w:val="0036343D"/>
    <w:rsid w:val="003635A8"/>
    <w:rsid w:val="00363786"/>
    <w:rsid w:val="00363B7D"/>
    <w:rsid w:val="00363C4C"/>
    <w:rsid w:val="00364391"/>
    <w:rsid w:val="003643D2"/>
    <w:rsid w:val="00364BFE"/>
    <w:rsid w:val="00365C11"/>
    <w:rsid w:val="00365F1C"/>
    <w:rsid w:val="00366524"/>
    <w:rsid w:val="00366706"/>
    <w:rsid w:val="003667D2"/>
    <w:rsid w:val="00366EA9"/>
    <w:rsid w:val="003677FC"/>
    <w:rsid w:val="003700B9"/>
    <w:rsid w:val="003716E7"/>
    <w:rsid w:val="00371AF0"/>
    <w:rsid w:val="00372549"/>
    <w:rsid w:val="003729A1"/>
    <w:rsid w:val="00372FE9"/>
    <w:rsid w:val="00373274"/>
    <w:rsid w:val="00373E58"/>
    <w:rsid w:val="00374951"/>
    <w:rsid w:val="00375041"/>
    <w:rsid w:val="003756A6"/>
    <w:rsid w:val="003756E1"/>
    <w:rsid w:val="00376073"/>
    <w:rsid w:val="003764BA"/>
    <w:rsid w:val="00376AEF"/>
    <w:rsid w:val="00377452"/>
    <w:rsid w:val="0037778B"/>
    <w:rsid w:val="00377D2E"/>
    <w:rsid w:val="003801A5"/>
    <w:rsid w:val="00380B78"/>
    <w:rsid w:val="00381223"/>
    <w:rsid w:val="00381573"/>
    <w:rsid w:val="0038167C"/>
    <w:rsid w:val="00381849"/>
    <w:rsid w:val="003823A0"/>
    <w:rsid w:val="00383781"/>
    <w:rsid w:val="0038471A"/>
    <w:rsid w:val="00384795"/>
    <w:rsid w:val="00384F36"/>
    <w:rsid w:val="00385271"/>
    <w:rsid w:val="00385473"/>
    <w:rsid w:val="00385A83"/>
    <w:rsid w:val="00385D6C"/>
    <w:rsid w:val="0038628A"/>
    <w:rsid w:val="003863E9"/>
    <w:rsid w:val="003867F1"/>
    <w:rsid w:val="003868A2"/>
    <w:rsid w:val="003875D4"/>
    <w:rsid w:val="00387923"/>
    <w:rsid w:val="00387BEF"/>
    <w:rsid w:val="00387EF2"/>
    <w:rsid w:val="003903D1"/>
    <w:rsid w:val="00390726"/>
    <w:rsid w:val="0039098E"/>
    <w:rsid w:val="0039226E"/>
    <w:rsid w:val="00392CC8"/>
    <w:rsid w:val="00392FBA"/>
    <w:rsid w:val="003949E8"/>
    <w:rsid w:val="00394F77"/>
    <w:rsid w:val="0039551E"/>
    <w:rsid w:val="00395D0B"/>
    <w:rsid w:val="003966DF"/>
    <w:rsid w:val="00396D30"/>
    <w:rsid w:val="00397708"/>
    <w:rsid w:val="00397AE7"/>
    <w:rsid w:val="003A015F"/>
    <w:rsid w:val="003A04D5"/>
    <w:rsid w:val="003A0896"/>
    <w:rsid w:val="003A186F"/>
    <w:rsid w:val="003A18F3"/>
    <w:rsid w:val="003A19E8"/>
    <w:rsid w:val="003A19FE"/>
    <w:rsid w:val="003A1DC0"/>
    <w:rsid w:val="003A2017"/>
    <w:rsid w:val="003A2078"/>
    <w:rsid w:val="003A2C29"/>
    <w:rsid w:val="003A2F25"/>
    <w:rsid w:val="003A303D"/>
    <w:rsid w:val="003A451C"/>
    <w:rsid w:val="003A48CC"/>
    <w:rsid w:val="003A538D"/>
    <w:rsid w:val="003A549C"/>
    <w:rsid w:val="003A5758"/>
    <w:rsid w:val="003A595D"/>
    <w:rsid w:val="003A68A8"/>
    <w:rsid w:val="003A72EF"/>
    <w:rsid w:val="003A7604"/>
    <w:rsid w:val="003A7788"/>
    <w:rsid w:val="003A78DC"/>
    <w:rsid w:val="003A78EA"/>
    <w:rsid w:val="003A7ADD"/>
    <w:rsid w:val="003A7B82"/>
    <w:rsid w:val="003A7E21"/>
    <w:rsid w:val="003B012B"/>
    <w:rsid w:val="003B01C1"/>
    <w:rsid w:val="003B0286"/>
    <w:rsid w:val="003B030C"/>
    <w:rsid w:val="003B1E4A"/>
    <w:rsid w:val="003B2DDB"/>
    <w:rsid w:val="003B3327"/>
    <w:rsid w:val="003B392F"/>
    <w:rsid w:val="003B3CB8"/>
    <w:rsid w:val="003B47EC"/>
    <w:rsid w:val="003B4EED"/>
    <w:rsid w:val="003B54CD"/>
    <w:rsid w:val="003B623E"/>
    <w:rsid w:val="003B670A"/>
    <w:rsid w:val="003B6A9D"/>
    <w:rsid w:val="003B6B2C"/>
    <w:rsid w:val="003B72B9"/>
    <w:rsid w:val="003B73D2"/>
    <w:rsid w:val="003C0692"/>
    <w:rsid w:val="003C1820"/>
    <w:rsid w:val="003C1A3D"/>
    <w:rsid w:val="003C1B8B"/>
    <w:rsid w:val="003C266A"/>
    <w:rsid w:val="003C2B3F"/>
    <w:rsid w:val="003C2D76"/>
    <w:rsid w:val="003C2F65"/>
    <w:rsid w:val="003C3479"/>
    <w:rsid w:val="003C375D"/>
    <w:rsid w:val="003C3AF8"/>
    <w:rsid w:val="003C3B27"/>
    <w:rsid w:val="003C43DE"/>
    <w:rsid w:val="003C54E2"/>
    <w:rsid w:val="003C602A"/>
    <w:rsid w:val="003C64CB"/>
    <w:rsid w:val="003C668D"/>
    <w:rsid w:val="003C68BB"/>
    <w:rsid w:val="003C7CC0"/>
    <w:rsid w:val="003D06C5"/>
    <w:rsid w:val="003D0E5A"/>
    <w:rsid w:val="003D152C"/>
    <w:rsid w:val="003D1759"/>
    <w:rsid w:val="003D1896"/>
    <w:rsid w:val="003D1DD5"/>
    <w:rsid w:val="003D1F96"/>
    <w:rsid w:val="003D2347"/>
    <w:rsid w:val="003D3921"/>
    <w:rsid w:val="003D3B14"/>
    <w:rsid w:val="003D4439"/>
    <w:rsid w:val="003D449C"/>
    <w:rsid w:val="003D470D"/>
    <w:rsid w:val="003D487E"/>
    <w:rsid w:val="003D4D49"/>
    <w:rsid w:val="003D5D26"/>
    <w:rsid w:val="003D6077"/>
    <w:rsid w:val="003D62F7"/>
    <w:rsid w:val="003D67E1"/>
    <w:rsid w:val="003D7B5B"/>
    <w:rsid w:val="003E0326"/>
    <w:rsid w:val="003E0547"/>
    <w:rsid w:val="003E0816"/>
    <w:rsid w:val="003E0AAF"/>
    <w:rsid w:val="003E0E60"/>
    <w:rsid w:val="003E1035"/>
    <w:rsid w:val="003E17F2"/>
    <w:rsid w:val="003E19F7"/>
    <w:rsid w:val="003E1EB2"/>
    <w:rsid w:val="003E29CE"/>
    <w:rsid w:val="003E2D29"/>
    <w:rsid w:val="003E2E7A"/>
    <w:rsid w:val="003E3563"/>
    <w:rsid w:val="003E3FDE"/>
    <w:rsid w:val="003E4530"/>
    <w:rsid w:val="003E492C"/>
    <w:rsid w:val="003E57A7"/>
    <w:rsid w:val="003E5F31"/>
    <w:rsid w:val="003E60B0"/>
    <w:rsid w:val="003E6103"/>
    <w:rsid w:val="003E6215"/>
    <w:rsid w:val="003E710D"/>
    <w:rsid w:val="003E7A9C"/>
    <w:rsid w:val="003E7B65"/>
    <w:rsid w:val="003F0A32"/>
    <w:rsid w:val="003F1224"/>
    <w:rsid w:val="003F164D"/>
    <w:rsid w:val="003F1C81"/>
    <w:rsid w:val="003F1E20"/>
    <w:rsid w:val="003F2E29"/>
    <w:rsid w:val="003F328F"/>
    <w:rsid w:val="003F3D38"/>
    <w:rsid w:val="003F4381"/>
    <w:rsid w:val="003F4C13"/>
    <w:rsid w:val="003F4C9F"/>
    <w:rsid w:val="003F531A"/>
    <w:rsid w:val="003F5A04"/>
    <w:rsid w:val="003F5D72"/>
    <w:rsid w:val="003F7626"/>
    <w:rsid w:val="003F77EA"/>
    <w:rsid w:val="003F7C9E"/>
    <w:rsid w:val="003F7FCA"/>
    <w:rsid w:val="00401062"/>
    <w:rsid w:val="00401151"/>
    <w:rsid w:val="004025E8"/>
    <w:rsid w:val="00402768"/>
    <w:rsid w:val="00402A9F"/>
    <w:rsid w:val="00403CF2"/>
    <w:rsid w:val="0040449F"/>
    <w:rsid w:val="00404BDB"/>
    <w:rsid w:val="00404C36"/>
    <w:rsid w:val="00404E62"/>
    <w:rsid w:val="00405648"/>
    <w:rsid w:val="00405816"/>
    <w:rsid w:val="00405A21"/>
    <w:rsid w:val="00405A65"/>
    <w:rsid w:val="00405E82"/>
    <w:rsid w:val="00406F38"/>
    <w:rsid w:val="00406FAD"/>
    <w:rsid w:val="0040742B"/>
    <w:rsid w:val="0040749E"/>
    <w:rsid w:val="004074DA"/>
    <w:rsid w:val="0040751F"/>
    <w:rsid w:val="004075C2"/>
    <w:rsid w:val="00407A22"/>
    <w:rsid w:val="00407A4F"/>
    <w:rsid w:val="00407C8F"/>
    <w:rsid w:val="004107CA"/>
    <w:rsid w:val="00410F2A"/>
    <w:rsid w:val="004111BC"/>
    <w:rsid w:val="004111F8"/>
    <w:rsid w:val="004114CB"/>
    <w:rsid w:val="00411780"/>
    <w:rsid w:val="00411A1E"/>
    <w:rsid w:val="00411A3F"/>
    <w:rsid w:val="00411A44"/>
    <w:rsid w:val="00412328"/>
    <w:rsid w:val="0041254B"/>
    <w:rsid w:val="004125F4"/>
    <w:rsid w:val="004126D4"/>
    <w:rsid w:val="0041396A"/>
    <w:rsid w:val="0041436F"/>
    <w:rsid w:val="00414703"/>
    <w:rsid w:val="004147C3"/>
    <w:rsid w:val="004159C6"/>
    <w:rsid w:val="004159E0"/>
    <w:rsid w:val="00415D2B"/>
    <w:rsid w:val="004167C2"/>
    <w:rsid w:val="00416C0A"/>
    <w:rsid w:val="004175F4"/>
    <w:rsid w:val="00420945"/>
    <w:rsid w:val="00420973"/>
    <w:rsid w:val="00421941"/>
    <w:rsid w:val="00421A66"/>
    <w:rsid w:val="00422ABD"/>
    <w:rsid w:val="00423035"/>
    <w:rsid w:val="00423693"/>
    <w:rsid w:val="00424DE2"/>
    <w:rsid w:val="00426599"/>
    <w:rsid w:val="00427091"/>
    <w:rsid w:val="004308A1"/>
    <w:rsid w:val="00430FE1"/>
    <w:rsid w:val="00431675"/>
    <w:rsid w:val="00431B1A"/>
    <w:rsid w:val="004320F7"/>
    <w:rsid w:val="00432528"/>
    <w:rsid w:val="00432721"/>
    <w:rsid w:val="00432836"/>
    <w:rsid w:val="00432F32"/>
    <w:rsid w:val="00433AA7"/>
    <w:rsid w:val="00433DBE"/>
    <w:rsid w:val="00434803"/>
    <w:rsid w:val="004348C7"/>
    <w:rsid w:val="00434D93"/>
    <w:rsid w:val="00435A86"/>
    <w:rsid w:val="00436267"/>
    <w:rsid w:val="004373D1"/>
    <w:rsid w:val="00437447"/>
    <w:rsid w:val="0043778D"/>
    <w:rsid w:val="00437E03"/>
    <w:rsid w:val="00440DF5"/>
    <w:rsid w:val="00441DF8"/>
    <w:rsid w:val="004429DA"/>
    <w:rsid w:val="00442CA1"/>
    <w:rsid w:val="00442D94"/>
    <w:rsid w:val="00443188"/>
    <w:rsid w:val="004432A1"/>
    <w:rsid w:val="004438E6"/>
    <w:rsid w:val="004452A1"/>
    <w:rsid w:val="004454C2"/>
    <w:rsid w:val="00445971"/>
    <w:rsid w:val="00445D69"/>
    <w:rsid w:val="004460A5"/>
    <w:rsid w:val="004460C6"/>
    <w:rsid w:val="00446100"/>
    <w:rsid w:val="00446A79"/>
    <w:rsid w:val="00447347"/>
    <w:rsid w:val="00447916"/>
    <w:rsid w:val="00447917"/>
    <w:rsid w:val="00447F02"/>
    <w:rsid w:val="00447F33"/>
    <w:rsid w:val="004501EF"/>
    <w:rsid w:val="004502DD"/>
    <w:rsid w:val="0045074D"/>
    <w:rsid w:val="00450A27"/>
    <w:rsid w:val="00450F91"/>
    <w:rsid w:val="0045125B"/>
    <w:rsid w:val="0045146C"/>
    <w:rsid w:val="00451EC2"/>
    <w:rsid w:val="00452603"/>
    <w:rsid w:val="00453E84"/>
    <w:rsid w:val="004551CD"/>
    <w:rsid w:val="004553B4"/>
    <w:rsid w:val="004553CC"/>
    <w:rsid w:val="00455BE3"/>
    <w:rsid w:val="00455FD2"/>
    <w:rsid w:val="004565B4"/>
    <w:rsid w:val="00456D9C"/>
    <w:rsid w:val="00457D05"/>
    <w:rsid w:val="004605E5"/>
    <w:rsid w:val="00460911"/>
    <w:rsid w:val="004617AA"/>
    <w:rsid w:val="004618C2"/>
    <w:rsid w:val="00461B43"/>
    <w:rsid w:val="00462121"/>
    <w:rsid w:val="004626D6"/>
    <w:rsid w:val="00463214"/>
    <w:rsid w:val="00463357"/>
    <w:rsid w:val="004633B2"/>
    <w:rsid w:val="00463A04"/>
    <w:rsid w:val="0046479D"/>
    <w:rsid w:val="00464A35"/>
    <w:rsid w:val="00464A54"/>
    <w:rsid w:val="00464AF2"/>
    <w:rsid w:val="00464F5E"/>
    <w:rsid w:val="00465255"/>
    <w:rsid w:val="00466415"/>
    <w:rsid w:val="00466BBC"/>
    <w:rsid w:val="00470113"/>
    <w:rsid w:val="00470F99"/>
    <w:rsid w:val="0047142A"/>
    <w:rsid w:val="004727C1"/>
    <w:rsid w:val="00472943"/>
    <w:rsid w:val="004735AD"/>
    <w:rsid w:val="00473718"/>
    <w:rsid w:val="00473869"/>
    <w:rsid w:val="00473B25"/>
    <w:rsid w:val="00473B87"/>
    <w:rsid w:val="00473E03"/>
    <w:rsid w:val="0047410E"/>
    <w:rsid w:val="00474C38"/>
    <w:rsid w:val="00474C5D"/>
    <w:rsid w:val="004750B1"/>
    <w:rsid w:val="00475DA8"/>
    <w:rsid w:val="0047637F"/>
    <w:rsid w:val="00476807"/>
    <w:rsid w:val="00476866"/>
    <w:rsid w:val="004779F0"/>
    <w:rsid w:val="00477EC1"/>
    <w:rsid w:val="0048054A"/>
    <w:rsid w:val="00480592"/>
    <w:rsid w:val="004805A5"/>
    <w:rsid w:val="004818E8"/>
    <w:rsid w:val="004820AB"/>
    <w:rsid w:val="004822FC"/>
    <w:rsid w:val="004823AD"/>
    <w:rsid w:val="0048270A"/>
    <w:rsid w:val="00482B63"/>
    <w:rsid w:val="00482F67"/>
    <w:rsid w:val="00483006"/>
    <w:rsid w:val="004838F2"/>
    <w:rsid w:val="0048458F"/>
    <w:rsid w:val="00484915"/>
    <w:rsid w:val="00484DA7"/>
    <w:rsid w:val="00485425"/>
    <w:rsid w:val="00485880"/>
    <w:rsid w:val="00485961"/>
    <w:rsid w:val="004862E7"/>
    <w:rsid w:val="0048638C"/>
    <w:rsid w:val="00486831"/>
    <w:rsid w:val="00487387"/>
    <w:rsid w:val="00487C9C"/>
    <w:rsid w:val="004903E7"/>
    <w:rsid w:val="00490AFD"/>
    <w:rsid w:val="00490CF1"/>
    <w:rsid w:val="00490D90"/>
    <w:rsid w:val="00490E50"/>
    <w:rsid w:val="00491034"/>
    <w:rsid w:val="004914C6"/>
    <w:rsid w:val="004919FD"/>
    <w:rsid w:val="00491F4D"/>
    <w:rsid w:val="004920F1"/>
    <w:rsid w:val="004933DA"/>
    <w:rsid w:val="0049380E"/>
    <w:rsid w:val="00493FC0"/>
    <w:rsid w:val="0049574C"/>
    <w:rsid w:val="004969AA"/>
    <w:rsid w:val="00496BB3"/>
    <w:rsid w:val="004A059B"/>
    <w:rsid w:val="004A06C6"/>
    <w:rsid w:val="004A06FC"/>
    <w:rsid w:val="004A132C"/>
    <w:rsid w:val="004A1EF5"/>
    <w:rsid w:val="004A2337"/>
    <w:rsid w:val="004A23F8"/>
    <w:rsid w:val="004A2417"/>
    <w:rsid w:val="004A2759"/>
    <w:rsid w:val="004A281F"/>
    <w:rsid w:val="004A3FFE"/>
    <w:rsid w:val="004A4152"/>
    <w:rsid w:val="004A4486"/>
    <w:rsid w:val="004A50D9"/>
    <w:rsid w:val="004A57BB"/>
    <w:rsid w:val="004A5A30"/>
    <w:rsid w:val="004A5C2B"/>
    <w:rsid w:val="004A5E02"/>
    <w:rsid w:val="004A6007"/>
    <w:rsid w:val="004A6361"/>
    <w:rsid w:val="004A7251"/>
    <w:rsid w:val="004B014F"/>
    <w:rsid w:val="004B116C"/>
    <w:rsid w:val="004B1A0C"/>
    <w:rsid w:val="004B231E"/>
    <w:rsid w:val="004B2539"/>
    <w:rsid w:val="004B26D9"/>
    <w:rsid w:val="004B2A59"/>
    <w:rsid w:val="004B2C5E"/>
    <w:rsid w:val="004B327C"/>
    <w:rsid w:val="004B3644"/>
    <w:rsid w:val="004B36E8"/>
    <w:rsid w:val="004B5105"/>
    <w:rsid w:val="004B6B37"/>
    <w:rsid w:val="004B6EB5"/>
    <w:rsid w:val="004B737A"/>
    <w:rsid w:val="004B7395"/>
    <w:rsid w:val="004B774B"/>
    <w:rsid w:val="004B7842"/>
    <w:rsid w:val="004C0155"/>
    <w:rsid w:val="004C0E5A"/>
    <w:rsid w:val="004C1812"/>
    <w:rsid w:val="004C236F"/>
    <w:rsid w:val="004C2887"/>
    <w:rsid w:val="004C3BD7"/>
    <w:rsid w:val="004C3C9F"/>
    <w:rsid w:val="004C4629"/>
    <w:rsid w:val="004C481D"/>
    <w:rsid w:val="004C48DD"/>
    <w:rsid w:val="004C4B71"/>
    <w:rsid w:val="004C4E97"/>
    <w:rsid w:val="004C5E3A"/>
    <w:rsid w:val="004D02A9"/>
    <w:rsid w:val="004D087E"/>
    <w:rsid w:val="004D0D28"/>
    <w:rsid w:val="004D17C5"/>
    <w:rsid w:val="004D18E5"/>
    <w:rsid w:val="004D19DB"/>
    <w:rsid w:val="004D1E88"/>
    <w:rsid w:val="004D223C"/>
    <w:rsid w:val="004D2696"/>
    <w:rsid w:val="004D315D"/>
    <w:rsid w:val="004D3CD7"/>
    <w:rsid w:val="004D4245"/>
    <w:rsid w:val="004D449D"/>
    <w:rsid w:val="004D4782"/>
    <w:rsid w:val="004D48DC"/>
    <w:rsid w:val="004D4A42"/>
    <w:rsid w:val="004D4C3F"/>
    <w:rsid w:val="004D5723"/>
    <w:rsid w:val="004D5882"/>
    <w:rsid w:val="004D58DE"/>
    <w:rsid w:val="004D5C76"/>
    <w:rsid w:val="004D605B"/>
    <w:rsid w:val="004D630E"/>
    <w:rsid w:val="004D63E2"/>
    <w:rsid w:val="004D663A"/>
    <w:rsid w:val="004D7CCD"/>
    <w:rsid w:val="004E0339"/>
    <w:rsid w:val="004E0980"/>
    <w:rsid w:val="004E2833"/>
    <w:rsid w:val="004E28DE"/>
    <w:rsid w:val="004E2B4F"/>
    <w:rsid w:val="004E364C"/>
    <w:rsid w:val="004E3F30"/>
    <w:rsid w:val="004E46F8"/>
    <w:rsid w:val="004E4832"/>
    <w:rsid w:val="004E4F10"/>
    <w:rsid w:val="004E50C8"/>
    <w:rsid w:val="004E563C"/>
    <w:rsid w:val="004E59A8"/>
    <w:rsid w:val="004E653E"/>
    <w:rsid w:val="004E65F5"/>
    <w:rsid w:val="004E7DBC"/>
    <w:rsid w:val="004F18CA"/>
    <w:rsid w:val="004F1F9E"/>
    <w:rsid w:val="004F2726"/>
    <w:rsid w:val="004F27B4"/>
    <w:rsid w:val="004F2C54"/>
    <w:rsid w:val="004F2D77"/>
    <w:rsid w:val="004F2DF4"/>
    <w:rsid w:val="004F3ABE"/>
    <w:rsid w:val="004F3B95"/>
    <w:rsid w:val="004F3C00"/>
    <w:rsid w:val="004F3E28"/>
    <w:rsid w:val="004F3F4E"/>
    <w:rsid w:val="004F55C7"/>
    <w:rsid w:val="004F603F"/>
    <w:rsid w:val="004F621F"/>
    <w:rsid w:val="004F6815"/>
    <w:rsid w:val="00500466"/>
    <w:rsid w:val="00501258"/>
    <w:rsid w:val="00501E69"/>
    <w:rsid w:val="005022C4"/>
    <w:rsid w:val="00502EAE"/>
    <w:rsid w:val="00503032"/>
    <w:rsid w:val="00503746"/>
    <w:rsid w:val="00503A1B"/>
    <w:rsid w:val="00503B0F"/>
    <w:rsid w:val="00504C86"/>
    <w:rsid w:val="00504CFE"/>
    <w:rsid w:val="0050500F"/>
    <w:rsid w:val="00505279"/>
    <w:rsid w:val="00505922"/>
    <w:rsid w:val="005063E1"/>
    <w:rsid w:val="005074E4"/>
    <w:rsid w:val="00507CC5"/>
    <w:rsid w:val="005108A8"/>
    <w:rsid w:val="005108DF"/>
    <w:rsid w:val="0051106F"/>
    <w:rsid w:val="00511A58"/>
    <w:rsid w:val="0051239B"/>
    <w:rsid w:val="00512621"/>
    <w:rsid w:val="00512C70"/>
    <w:rsid w:val="005137C3"/>
    <w:rsid w:val="00513CA7"/>
    <w:rsid w:val="00513EB0"/>
    <w:rsid w:val="00513F1C"/>
    <w:rsid w:val="00514188"/>
    <w:rsid w:val="005141EA"/>
    <w:rsid w:val="00515015"/>
    <w:rsid w:val="005157FE"/>
    <w:rsid w:val="00515A80"/>
    <w:rsid w:val="00516BBB"/>
    <w:rsid w:val="00516E37"/>
    <w:rsid w:val="00517070"/>
    <w:rsid w:val="005177AC"/>
    <w:rsid w:val="00517D18"/>
    <w:rsid w:val="00521354"/>
    <w:rsid w:val="005218C7"/>
    <w:rsid w:val="00521A8A"/>
    <w:rsid w:val="00522224"/>
    <w:rsid w:val="00523858"/>
    <w:rsid w:val="00523E83"/>
    <w:rsid w:val="005248BB"/>
    <w:rsid w:val="00525BB8"/>
    <w:rsid w:val="00526C81"/>
    <w:rsid w:val="00526CBA"/>
    <w:rsid w:val="00526D26"/>
    <w:rsid w:val="00527163"/>
    <w:rsid w:val="00527528"/>
    <w:rsid w:val="005301DD"/>
    <w:rsid w:val="005308A5"/>
    <w:rsid w:val="005308F7"/>
    <w:rsid w:val="005309BD"/>
    <w:rsid w:val="00530D16"/>
    <w:rsid w:val="00531266"/>
    <w:rsid w:val="005314E9"/>
    <w:rsid w:val="005316ED"/>
    <w:rsid w:val="00531723"/>
    <w:rsid w:val="0053275E"/>
    <w:rsid w:val="0053324F"/>
    <w:rsid w:val="0053435E"/>
    <w:rsid w:val="005348BF"/>
    <w:rsid w:val="00534BD0"/>
    <w:rsid w:val="00534EF8"/>
    <w:rsid w:val="0053593A"/>
    <w:rsid w:val="00535B1A"/>
    <w:rsid w:val="00535E58"/>
    <w:rsid w:val="0053633C"/>
    <w:rsid w:val="005364E5"/>
    <w:rsid w:val="0053737E"/>
    <w:rsid w:val="00537614"/>
    <w:rsid w:val="005400D0"/>
    <w:rsid w:val="00541123"/>
    <w:rsid w:val="00541ABE"/>
    <w:rsid w:val="00541E10"/>
    <w:rsid w:val="00541EF9"/>
    <w:rsid w:val="0054208B"/>
    <w:rsid w:val="005431CF"/>
    <w:rsid w:val="00543B72"/>
    <w:rsid w:val="00543D0A"/>
    <w:rsid w:val="0054401F"/>
    <w:rsid w:val="0054452D"/>
    <w:rsid w:val="00544C63"/>
    <w:rsid w:val="00544E00"/>
    <w:rsid w:val="00544E37"/>
    <w:rsid w:val="00544EFB"/>
    <w:rsid w:val="00544F30"/>
    <w:rsid w:val="0054507C"/>
    <w:rsid w:val="005454F3"/>
    <w:rsid w:val="005455E5"/>
    <w:rsid w:val="005458DA"/>
    <w:rsid w:val="00545F2F"/>
    <w:rsid w:val="0054605D"/>
    <w:rsid w:val="005466F1"/>
    <w:rsid w:val="0054681B"/>
    <w:rsid w:val="00546C9F"/>
    <w:rsid w:val="0054734C"/>
    <w:rsid w:val="0054779A"/>
    <w:rsid w:val="00547BA1"/>
    <w:rsid w:val="00547E5E"/>
    <w:rsid w:val="00547FC5"/>
    <w:rsid w:val="005501E9"/>
    <w:rsid w:val="00550640"/>
    <w:rsid w:val="0055135A"/>
    <w:rsid w:val="00551FC7"/>
    <w:rsid w:val="00552473"/>
    <w:rsid w:val="00552540"/>
    <w:rsid w:val="00552F8B"/>
    <w:rsid w:val="00553540"/>
    <w:rsid w:val="005536D8"/>
    <w:rsid w:val="005544E6"/>
    <w:rsid w:val="005547D6"/>
    <w:rsid w:val="005551D5"/>
    <w:rsid w:val="005552A7"/>
    <w:rsid w:val="00556101"/>
    <w:rsid w:val="00556D6B"/>
    <w:rsid w:val="0055723F"/>
    <w:rsid w:val="0055756E"/>
    <w:rsid w:val="00557CB1"/>
    <w:rsid w:val="00557ECA"/>
    <w:rsid w:val="0056072C"/>
    <w:rsid w:val="00560875"/>
    <w:rsid w:val="0056091E"/>
    <w:rsid w:val="00560A00"/>
    <w:rsid w:val="00561371"/>
    <w:rsid w:val="0056172D"/>
    <w:rsid w:val="005623F2"/>
    <w:rsid w:val="00562994"/>
    <w:rsid w:val="005629D6"/>
    <w:rsid w:val="00562F53"/>
    <w:rsid w:val="005630A6"/>
    <w:rsid w:val="005632AF"/>
    <w:rsid w:val="005635F3"/>
    <w:rsid w:val="0056411C"/>
    <w:rsid w:val="005646A9"/>
    <w:rsid w:val="00564758"/>
    <w:rsid w:val="00565B4C"/>
    <w:rsid w:val="00565D0F"/>
    <w:rsid w:val="00565D4A"/>
    <w:rsid w:val="00565F8D"/>
    <w:rsid w:val="005663FF"/>
    <w:rsid w:val="00566D1B"/>
    <w:rsid w:val="005671F1"/>
    <w:rsid w:val="005677E5"/>
    <w:rsid w:val="00567CA7"/>
    <w:rsid w:val="00570D24"/>
    <w:rsid w:val="00570EA7"/>
    <w:rsid w:val="00571074"/>
    <w:rsid w:val="00572E24"/>
    <w:rsid w:val="0057300F"/>
    <w:rsid w:val="0057321D"/>
    <w:rsid w:val="005738DC"/>
    <w:rsid w:val="00573A9A"/>
    <w:rsid w:val="00574921"/>
    <w:rsid w:val="00574B66"/>
    <w:rsid w:val="00574C1A"/>
    <w:rsid w:val="00574D81"/>
    <w:rsid w:val="00575001"/>
    <w:rsid w:val="00575D46"/>
    <w:rsid w:val="00576DEA"/>
    <w:rsid w:val="00577E4E"/>
    <w:rsid w:val="0058020E"/>
    <w:rsid w:val="00580B10"/>
    <w:rsid w:val="00580EEB"/>
    <w:rsid w:val="00580FCF"/>
    <w:rsid w:val="0058141D"/>
    <w:rsid w:val="00581A88"/>
    <w:rsid w:val="00581B10"/>
    <w:rsid w:val="00582D2C"/>
    <w:rsid w:val="00583673"/>
    <w:rsid w:val="005836B8"/>
    <w:rsid w:val="00583D08"/>
    <w:rsid w:val="0058406D"/>
    <w:rsid w:val="00584821"/>
    <w:rsid w:val="00584A88"/>
    <w:rsid w:val="00584E76"/>
    <w:rsid w:val="00584F15"/>
    <w:rsid w:val="0058523C"/>
    <w:rsid w:val="0058554B"/>
    <w:rsid w:val="00585763"/>
    <w:rsid w:val="00586235"/>
    <w:rsid w:val="00587BE7"/>
    <w:rsid w:val="00587CBC"/>
    <w:rsid w:val="005927F5"/>
    <w:rsid w:val="00592E1D"/>
    <w:rsid w:val="00593458"/>
    <w:rsid w:val="00594E2B"/>
    <w:rsid w:val="00595369"/>
    <w:rsid w:val="005955B6"/>
    <w:rsid w:val="00595DF1"/>
    <w:rsid w:val="00596045"/>
    <w:rsid w:val="00596524"/>
    <w:rsid w:val="005967BC"/>
    <w:rsid w:val="0059748E"/>
    <w:rsid w:val="00597807"/>
    <w:rsid w:val="00597D35"/>
    <w:rsid w:val="005A081C"/>
    <w:rsid w:val="005A082B"/>
    <w:rsid w:val="005A11CE"/>
    <w:rsid w:val="005A197B"/>
    <w:rsid w:val="005A2A08"/>
    <w:rsid w:val="005A2E42"/>
    <w:rsid w:val="005A33E4"/>
    <w:rsid w:val="005A3458"/>
    <w:rsid w:val="005A3697"/>
    <w:rsid w:val="005A395D"/>
    <w:rsid w:val="005A3BDB"/>
    <w:rsid w:val="005A42F3"/>
    <w:rsid w:val="005A4A36"/>
    <w:rsid w:val="005A4B39"/>
    <w:rsid w:val="005A4C81"/>
    <w:rsid w:val="005A4E17"/>
    <w:rsid w:val="005A5683"/>
    <w:rsid w:val="005A5BDD"/>
    <w:rsid w:val="005A630B"/>
    <w:rsid w:val="005A643C"/>
    <w:rsid w:val="005A6529"/>
    <w:rsid w:val="005A6707"/>
    <w:rsid w:val="005A6D6D"/>
    <w:rsid w:val="005A7219"/>
    <w:rsid w:val="005A7264"/>
    <w:rsid w:val="005A7861"/>
    <w:rsid w:val="005A7F2E"/>
    <w:rsid w:val="005B0EF0"/>
    <w:rsid w:val="005B1601"/>
    <w:rsid w:val="005B18F2"/>
    <w:rsid w:val="005B1B8F"/>
    <w:rsid w:val="005B1DB1"/>
    <w:rsid w:val="005B1E83"/>
    <w:rsid w:val="005B2DD8"/>
    <w:rsid w:val="005B2FE7"/>
    <w:rsid w:val="005B36F7"/>
    <w:rsid w:val="005B392A"/>
    <w:rsid w:val="005B3A8F"/>
    <w:rsid w:val="005B4A9C"/>
    <w:rsid w:val="005B4CFC"/>
    <w:rsid w:val="005B58B0"/>
    <w:rsid w:val="005B6093"/>
    <w:rsid w:val="005B6E0D"/>
    <w:rsid w:val="005C0298"/>
    <w:rsid w:val="005C0769"/>
    <w:rsid w:val="005C11C0"/>
    <w:rsid w:val="005C1CD8"/>
    <w:rsid w:val="005C1D77"/>
    <w:rsid w:val="005C1F91"/>
    <w:rsid w:val="005C225C"/>
    <w:rsid w:val="005C27C2"/>
    <w:rsid w:val="005C360A"/>
    <w:rsid w:val="005C3AA0"/>
    <w:rsid w:val="005C3D04"/>
    <w:rsid w:val="005C3F8D"/>
    <w:rsid w:val="005C4A3B"/>
    <w:rsid w:val="005C4C98"/>
    <w:rsid w:val="005C588A"/>
    <w:rsid w:val="005C58BE"/>
    <w:rsid w:val="005C59D0"/>
    <w:rsid w:val="005C5FCF"/>
    <w:rsid w:val="005C68F8"/>
    <w:rsid w:val="005C7439"/>
    <w:rsid w:val="005C7EE9"/>
    <w:rsid w:val="005D0DEE"/>
    <w:rsid w:val="005D136B"/>
    <w:rsid w:val="005D1B2A"/>
    <w:rsid w:val="005D1D4E"/>
    <w:rsid w:val="005D1DBF"/>
    <w:rsid w:val="005D221C"/>
    <w:rsid w:val="005D24A7"/>
    <w:rsid w:val="005D2A43"/>
    <w:rsid w:val="005D2AE0"/>
    <w:rsid w:val="005D2C28"/>
    <w:rsid w:val="005D46EB"/>
    <w:rsid w:val="005D4F2F"/>
    <w:rsid w:val="005D5286"/>
    <w:rsid w:val="005D610F"/>
    <w:rsid w:val="005D670D"/>
    <w:rsid w:val="005D6929"/>
    <w:rsid w:val="005D6D6C"/>
    <w:rsid w:val="005D6DDE"/>
    <w:rsid w:val="005D6EA0"/>
    <w:rsid w:val="005E0084"/>
    <w:rsid w:val="005E0BA7"/>
    <w:rsid w:val="005E194A"/>
    <w:rsid w:val="005E1D6F"/>
    <w:rsid w:val="005E294E"/>
    <w:rsid w:val="005E3188"/>
    <w:rsid w:val="005E3736"/>
    <w:rsid w:val="005E37F5"/>
    <w:rsid w:val="005E4BAC"/>
    <w:rsid w:val="005E4C38"/>
    <w:rsid w:val="005E53AD"/>
    <w:rsid w:val="005E5769"/>
    <w:rsid w:val="005E5F37"/>
    <w:rsid w:val="005E6098"/>
    <w:rsid w:val="005E6572"/>
    <w:rsid w:val="005E7419"/>
    <w:rsid w:val="005E76E2"/>
    <w:rsid w:val="005E7B36"/>
    <w:rsid w:val="005F02E6"/>
    <w:rsid w:val="005F0340"/>
    <w:rsid w:val="005F0576"/>
    <w:rsid w:val="005F0DD2"/>
    <w:rsid w:val="005F10F1"/>
    <w:rsid w:val="005F154B"/>
    <w:rsid w:val="005F1911"/>
    <w:rsid w:val="005F1A3B"/>
    <w:rsid w:val="005F2477"/>
    <w:rsid w:val="005F2CBA"/>
    <w:rsid w:val="005F3216"/>
    <w:rsid w:val="005F3673"/>
    <w:rsid w:val="005F4885"/>
    <w:rsid w:val="005F4969"/>
    <w:rsid w:val="005F4DFE"/>
    <w:rsid w:val="005F4EF9"/>
    <w:rsid w:val="005F58CD"/>
    <w:rsid w:val="005F5A2E"/>
    <w:rsid w:val="005F6668"/>
    <w:rsid w:val="005F6D5E"/>
    <w:rsid w:val="005F6EF5"/>
    <w:rsid w:val="005F702D"/>
    <w:rsid w:val="005F76D3"/>
    <w:rsid w:val="00600127"/>
    <w:rsid w:val="00600BDF"/>
    <w:rsid w:val="00600E32"/>
    <w:rsid w:val="006015AE"/>
    <w:rsid w:val="006017B1"/>
    <w:rsid w:val="00602226"/>
    <w:rsid w:val="006038F2"/>
    <w:rsid w:val="00603C72"/>
    <w:rsid w:val="0060419C"/>
    <w:rsid w:val="0060425D"/>
    <w:rsid w:val="006042F3"/>
    <w:rsid w:val="00604706"/>
    <w:rsid w:val="00604979"/>
    <w:rsid w:val="00605183"/>
    <w:rsid w:val="00605487"/>
    <w:rsid w:val="0060685F"/>
    <w:rsid w:val="00607066"/>
    <w:rsid w:val="00607120"/>
    <w:rsid w:val="00607197"/>
    <w:rsid w:val="00607A16"/>
    <w:rsid w:val="00607A6D"/>
    <w:rsid w:val="00607D2B"/>
    <w:rsid w:val="006100D3"/>
    <w:rsid w:val="00610105"/>
    <w:rsid w:val="006109AE"/>
    <w:rsid w:val="006109F8"/>
    <w:rsid w:val="006114B6"/>
    <w:rsid w:val="00611F04"/>
    <w:rsid w:val="00612573"/>
    <w:rsid w:val="006133B9"/>
    <w:rsid w:val="00613632"/>
    <w:rsid w:val="00613653"/>
    <w:rsid w:val="00613C6D"/>
    <w:rsid w:val="00614496"/>
    <w:rsid w:val="006145F1"/>
    <w:rsid w:val="006147EA"/>
    <w:rsid w:val="00614881"/>
    <w:rsid w:val="006150CC"/>
    <w:rsid w:val="00615572"/>
    <w:rsid w:val="00615E56"/>
    <w:rsid w:val="006162BC"/>
    <w:rsid w:val="006165CD"/>
    <w:rsid w:val="0062028A"/>
    <w:rsid w:val="00620953"/>
    <w:rsid w:val="006213A4"/>
    <w:rsid w:val="00621725"/>
    <w:rsid w:val="00621A25"/>
    <w:rsid w:val="006227F1"/>
    <w:rsid w:val="00622CBA"/>
    <w:rsid w:val="00622ED0"/>
    <w:rsid w:val="00623075"/>
    <w:rsid w:val="006232FE"/>
    <w:rsid w:val="00623910"/>
    <w:rsid w:val="00623D63"/>
    <w:rsid w:val="00623E39"/>
    <w:rsid w:val="00623EDA"/>
    <w:rsid w:val="00624A27"/>
    <w:rsid w:val="00624D74"/>
    <w:rsid w:val="00625DD2"/>
    <w:rsid w:val="00626A38"/>
    <w:rsid w:val="00626B6E"/>
    <w:rsid w:val="00626EA9"/>
    <w:rsid w:val="0062716D"/>
    <w:rsid w:val="006275DD"/>
    <w:rsid w:val="00627737"/>
    <w:rsid w:val="00627AF2"/>
    <w:rsid w:val="006301E4"/>
    <w:rsid w:val="006305E9"/>
    <w:rsid w:val="006307D2"/>
    <w:rsid w:val="00630C9B"/>
    <w:rsid w:val="006313F6"/>
    <w:rsid w:val="006318C5"/>
    <w:rsid w:val="00632F94"/>
    <w:rsid w:val="0063398A"/>
    <w:rsid w:val="00633CAF"/>
    <w:rsid w:val="006340CB"/>
    <w:rsid w:val="00634159"/>
    <w:rsid w:val="0063480A"/>
    <w:rsid w:val="00634BEB"/>
    <w:rsid w:val="00635297"/>
    <w:rsid w:val="00635772"/>
    <w:rsid w:val="006358E3"/>
    <w:rsid w:val="00635AF7"/>
    <w:rsid w:val="0063632F"/>
    <w:rsid w:val="00636EC7"/>
    <w:rsid w:val="00637901"/>
    <w:rsid w:val="00640340"/>
    <w:rsid w:val="00640C01"/>
    <w:rsid w:val="00640E38"/>
    <w:rsid w:val="00641A21"/>
    <w:rsid w:val="00641A88"/>
    <w:rsid w:val="00641B24"/>
    <w:rsid w:val="00641C8C"/>
    <w:rsid w:val="0064206F"/>
    <w:rsid w:val="00642814"/>
    <w:rsid w:val="00643FB3"/>
    <w:rsid w:val="0064445E"/>
    <w:rsid w:val="006446ED"/>
    <w:rsid w:val="00644994"/>
    <w:rsid w:val="00645D1A"/>
    <w:rsid w:val="006477B3"/>
    <w:rsid w:val="006478B8"/>
    <w:rsid w:val="00647913"/>
    <w:rsid w:val="00650523"/>
    <w:rsid w:val="00650C56"/>
    <w:rsid w:val="00651443"/>
    <w:rsid w:val="0065250A"/>
    <w:rsid w:val="006525E8"/>
    <w:rsid w:val="00652858"/>
    <w:rsid w:val="0065289D"/>
    <w:rsid w:val="006528DA"/>
    <w:rsid w:val="0065321B"/>
    <w:rsid w:val="006532C1"/>
    <w:rsid w:val="0065337A"/>
    <w:rsid w:val="006539D9"/>
    <w:rsid w:val="0065436D"/>
    <w:rsid w:val="00654480"/>
    <w:rsid w:val="006547E2"/>
    <w:rsid w:val="006558DC"/>
    <w:rsid w:val="00656924"/>
    <w:rsid w:val="00656B27"/>
    <w:rsid w:val="00656D7C"/>
    <w:rsid w:val="00656EEB"/>
    <w:rsid w:val="00656F4D"/>
    <w:rsid w:val="0065712D"/>
    <w:rsid w:val="00657491"/>
    <w:rsid w:val="00657F8B"/>
    <w:rsid w:val="00660401"/>
    <w:rsid w:val="0066067E"/>
    <w:rsid w:val="00661517"/>
    <w:rsid w:val="006618FC"/>
    <w:rsid w:val="00661C53"/>
    <w:rsid w:val="0066202D"/>
    <w:rsid w:val="00662235"/>
    <w:rsid w:val="00662651"/>
    <w:rsid w:val="00662BE8"/>
    <w:rsid w:val="00662EEF"/>
    <w:rsid w:val="006632B3"/>
    <w:rsid w:val="006636C4"/>
    <w:rsid w:val="00663B60"/>
    <w:rsid w:val="00663D00"/>
    <w:rsid w:val="00663E86"/>
    <w:rsid w:val="006662BB"/>
    <w:rsid w:val="00667407"/>
    <w:rsid w:val="00670164"/>
    <w:rsid w:val="00670248"/>
    <w:rsid w:val="0067142B"/>
    <w:rsid w:val="006719D2"/>
    <w:rsid w:val="006719D6"/>
    <w:rsid w:val="00671B7E"/>
    <w:rsid w:val="00671DBE"/>
    <w:rsid w:val="006728F5"/>
    <w:rsid w:val="00672B66"/>
    <w:rsid w:val="00672EA3"/>
    <w:rsid w:val="0067379C"/>
    <w:rsid w:val="0067447D"/>
    <w:rsid w:val="00675220"/>
    <w:rsid w:val="00675783"/>
    <w:rsid w:val="00675A6D"/>
    <w:rsid w:val="00675EEA"/>
    <w:rsid w:val="00676205"/>
    <w:rsid w:val="00676460"/>
    <w:rsid w:val="006767BC"/>
    <w:rsid w:val="00677CC1"/>
    <w:rsid w:val="006803AE"/>
    <w:rsid w:val="00680987"/>
    <w:rsid w:val="00680CBF"/>
    <w:rsid w:val="00680D31"/>
    <w:rsid w:val="00681359"/>
    <w:rsid w:val="0068163F"/>
    <w:rsid w:val="00681B5B"/>
    <w:rsid w:val="00681BE2"/>
    <w:rsid w:val="00681D75"/>
    <w:rsid w:val="00682081"/>
    <w:rsid w:val="00682091"/>
    <w:rsid w:val="0068242E"/>
    <w:rsid w:val="0068273B"/>
    <w:rsid w:val="00682CBB"/>
    <w:rsid w:val="00682DBB"/>
    <w:rsid w:val="00683AA9"/>
    <w:rsid w:val="00683C32"/>
    <w:rsid w:val="00684BAF"/>
    <w:rsid w:val="00684DA9"/>
    <w:rsid w:val="00685CEE"/>
    <w:rsid w:val="0068607A"/>
    <w:rsid w:val="0068664A"/>
    <w:rsid w:val="006871CB"/>
    <w:rsid w:val="006875A3"/>
    <w:rsid w:val="00690102"/>
    <w:rsid w:val="0069088E"/>
    <w:rsid w:val="00690FE5"/>
    <w:rsid w:val="0069115A"/>
    <w:rsid w:val="00691BC5"/>
    <w:rsid w:val="00691D84"/>
    <w:rsid w:val="00692272"/>
    <w:rsid w:val="00692EAE"/>
    <w:rsid w:val="00693208"/>
    <w:rsid w:val="0069371A"/>
    <w:rsid w:val="00693F5B"/>
    <w:rsid w:val="006942FF"/>
    <w:rsid w:val="006949F5"/>
    <w:rsid w:val="00694F63"/>
    <w:rsid w:val="00695CAE"/>
    <w:rsid w:val="00695DF6"/>
    <w:rsid w:val="00696B02"/>
    <w:rsid w:val="00696EBB"/>
    <w:rsid w:val="006A0C7D"/>
    <w:rsid w:val="006A0D8A"/>
    <w:rsid w:val="006A0E16"/>
    <w:rsid w:val="006A1975"/>
    <w:rsid w:val="006A1F10"/>
    <w:rsid w:val="006A2035"/>
    <w:rsid w:val="006A2115"/>
    <w:rsid w:val="006A29F3"/>
    <w:rsid w:val="006A33EB"/>
    <w:rsid w:val="006A35B3"/>
    <w:rsid w:val="006A3625"/>
    <w:rsid w:val="006A39C7"/>
    <w:rsid w:val="006A3FDF"/>
    <w:rsid w:val="006A4D4E"/>
    <w:rsid w:val="006A5EF7"/>
    <w:rsid w:val="006A685C"/>
    <w:rsid w:val="006A6E67"/>
    <w:rsid w:val="006B1719"/>
    <w:rsid w:val="006B1A84"/>
    <w:rsid w:val="006B1E83"/>
    <w:rsid w:val="006B25A0"/>
    <w:rsid w:val="006B27C9"/>
    <w:rsid w:val="006B28E1"/>
    <w:rsid w:val="006B2933"/>
    <w:rsid w:val="006B2CF4"/>
    <w:rsid w:val="006B3093"/>
    <w:rsid w:val="006B351E"/>
    <w:rsid w:val="006B369D"/>
    <w:rsid w:val="006B3C03"/>
    <w:rsid w:val="006B4C59"/>
    <w:rsid w:val="006B4E72"/>
    <w:rsid w:val="006B569F"/>
    <w:rsid w:val="006B584D"/>
    <w:rsid w:val="006B630A"/>
    <w:rsid w:val="006B708B"/>
    <w:rsid w:val="006B721C"/>
    <w:rsid w:val="006B7948"/>
    <w:rsid w:val="006B7C24"/>
    <w:rsid w:val="006B7D9F"/>
    <w:rsid w:val="006C034E"/>
    <w:rsid w:val="006C0456"/>
    <w:rsid w:val="006C0AC5"/>
    <w:rsid w:val="006C13E4"/>
    <w:rsid w:val="006C1577"/>
    <w:rsid w:val="006C1A37"/>
    <w:rsid w:val="006C22F6"/>
    <w:rsid w:val="006C2F98"/>
    <w:rsid w:val="006C333A"/>
    <w:rsid w:val="006C34FE"/>
    <w:rsid w:val="006C3867"/>
    <w:rsid w:val="006C38D6"/>
    <w:rsid w:val="006C4013"/>
    <w:rsid w:val="006C4618"/>
    <w:rsid w:val="006C5ACD"/>
    <w:rsid w:val="006C6300"/>
    <w:rsid w:val="006C637C"/>
    <w:rsid w:val="006C657B"/>
    <w:rsid w:val="006C6675"/>
    <w:rsid w:val="006C6837"/>
    <w:rsid w:val="006C6A03"/>
    <w:rsid w:val="006C7BAD"/>
    <w:rsid w:val="006D0011"/>
    <w:rsid w:val="006D053F"/>
    <w:rsid w:val="006D0D42"/>
    <w:rsid w:val="006D1241"/>
    <w:rsid w:val="006D153C"/>
    <w:rsid w:val="006D1544"/>
    <w:rsid w:val="006D15D9"/>
    <w:rsid w:val="006D1B94"/>
    <w:rsid w:val="006D1CF9"/>
    <w:rsid w:val="006D2DAC"/>
    <w:rsid w:val="006D30D3"/>
    <w:rsid w:val="006D36B7"/>
    <w:rsid w:val="006D39A7"/>
    <w:rsid w:val="006D3A49"/>
    <w:rsid w:val="006D3DC5"/>
    <w:rsid w:val="006D3FDB"/>
    <w:rsid w:val="006D429E"/>
    <w:rsid w:val="006D49BD"/>
    <w:rsid w:val="006D4D81"/>
    <w:rsid w:val="006D530C"/>
    <w:rsid w:val="006D6060"/>
    <w:rsid w:val="006D62B0"/>
    <w:rsid w:val="006D656D"/>
    <w:rsid w:val="006D686D"/>
    <w:rsid w:val="006D733A"/>
    <w:rsid w:val="006D7C4A"/>
    <w:rsid w:val="006E02B1"/>
    <w:rsid w:val="006E0719"/>
    <w:rsid w:val="006E0DCC"/>
    <w:rsid w:val="006E0F63"/>
    <w:rsid w:val="006E0FE6"/>
    <w:rsid w:val="006E14DF"/>
    <w:rsid w:val="006E16F1"/>
    <w:rsid w:val="006E1730"/>
    <w:rsid w:val="006E1935"/>
    <w:rsid w:val="006E1DA4"/>
    <w:rsid w:val="006E317D"/>
    <w:rsid w:val="006E359B"/>
    <w:rsid w:val="006E45CD"/>
    <w:rsid w:val="006E4D40"/>
    <w:rsid w:val="006E4F83"/>
    <w:rsid w:val="006E504B"/>
    <w:rsid w:val="006E5150"/>
    <w:rsid w:val="006E59B2"/>
    <w:rsid w:val="006E5AC4"/>
    <w:rsid w:val="006E5C32"/>
    <w:rsid w:val="006E5D61"/>
    <w:rsid w:val="006E6B09"/>
    <w:rsid w:val="006E6B5E"/>
    <w:rsid w:val="006E6BD3"/>
    <w:rsid w:val="006E75BF"/>
    <w:rsid w:val="006F09B5"/>
    <w:rsid w:val="006F0FC2"/>
    <w:rsid w:val="006F1153"/>
    <w:rsid w:val="006F11B0"/>
    <w:rsid w:val="006F1349"/>
    <w:rsid w:val="006F1FD6"/>
    <w:rsid w:val="006F201F"/>
    <w:rsid w:val="006F2550"/>
    <w:rsid w:val="006F2A3C"/>
    <w:rsid w:val="006F2C03"/>
    <w:rsid w:val="006F2CB4"/>
    <w:rsid w:val="006F2CCD"/>
    <w:rsid w:val="006F32C1"/>
    <w:rsid w:val="006F3C07"/>
    <w:rsid w:val="006F3CB2"/>
    <w:rsid w:val="006F3D8B"/>
    <w:rsid w:val="006F415A"/>
    <w:rsid w:val="006F48B3"/>
    <w:rsid w:val="006F48B8"/>
    <w:rsid w:val="006F4ACE"/>
    <w:rsid w:val="006F4EB2"/>
    <w:rsid w:val="006F553C"/>
    <w:rsid w:val="006F55C7"/>
    <w:rsid w:val="006F5924"/>
    <w:rsid w:val="006F6258"/>
    <w:rsid w:val="006F658F"/>
    <w:rsid w:val="006F65E1"/>
    <w:rsid w:val="006F7279"/>
    <w:rsid w:val="006F7C04"/>
    <w:rsid w:val="006F7F8E"/>
    <w:rsid w:val="00700AF2"/>
    <w:rsid w:val="00700B04"/>
    <w:rsid w:val="00701075"/>
    <w:rsid w:val="00701552"/>
    <w:rsid w:val="007019AA"/>
    <w:rsid w:val="0070215A"/>
    <w:rsid w:val="007026BB"/>
    <w:rsid w:val="00702997"/>
    <w:rsid w:val="0070410C"/>
    <w:rsid w:val="00704370"/>
    <w:rsid w:val="00704843"/>
    <w:rsid w:val="00704FDE"/>
    <w:rsid w:val="0070502B"/>
    <w:rsid w:val="007051A0"/>
    <w:rsid w:val="00705448"/>
    <w:rsid w:val="00705D32"/>
    <w:rsid w:val="007068CA"/>
    <w:rsid w:val="007068FA"/>
    <w:rsid w:val="00706B19"/>
    <w:rsid w:val="007078DB"/>
    <w:rsid w:val="00707C33"/>
    <w:rsid w:val="00710B6E"/>
    <w:rsid w:val="00710D4A"/>
    <w:rsid w:val="00712092"/>
    <w:rsid w:val="007122EC"/>
    <w:rsid w:val="00712A8D"/>
    <w:rsid w:val="00713D6D"/>
    <w:rsid w:val="00713E94"/>
    <w:rsid w:val="0071408B"/>
    <w:rsid w:val="00714504"/>
    <w:rsid w:val="00714893"/>
    <w:rsid w:val="007155B1"/>
    <w:rsid w:val="0071599C"/>
    <w:rsid w:val="00715A41"/>
    <w:rsid w:val="00715D7E"/>
    <w:rsid w:val="00717215"/>
    <w:rsid w:val="0071742A"/>
    <w:rsid w:val="00717F59"/>
    <w:rsid w:val="00720F8C"/>
    <w:rsid w:val="00721026"/>
    <w:rsid w:val="007225A1"/>
    <w:rsid w:val="007225AF"/>
    <w:rsid w:val="0072298E"/>
    <w:rsid w:val="00723A3C"/>
    <w:rsid w:val="007243E7"/>
    <w:rsid w:val="00724617"/>
    <w:rsid w:val="007250FE"/>
    <w:rsid w:val="00725179"/>
    <w:rsid w:val="007255B1"/>
    <w:rsid w:val="007266D4"/>
    <w:rsid w:val="00727468"/>
    <w:rsid w:val="0072763C"/>
    <w:rsid w:val="00727E73"/>
    <w:rsid w:val="00727F73"/>
    <w:rsid w:val="00730E8F"/>
    <w:rsid w:val="007315AA"/>
    <w:rsid w:val="00731939"/>
    <w:rsid w:val="00731B89"/>
    <w:rsid w:val="00731D48"/>
    <w:rsid w:val="007320DA"/>
    <w:rsid w:val="0073232B"/>
    <w:rsid w:val="007325D0"/>
    <w:rsid w:val="0073297D"/>
    <w:rsid w:val="00732DA9"/>
    <w:rsid w:val="00733D9F"/>
    <w:rsid w:val="00734484"/>
    <w:rsid w:val="0073530A"/>
    <w:rsid w:val="007363A2"/>
    <w:rsid w:val="007367BB"/>
    <w:rsid w:val="00736946"/>
    <w:rsid w:val="00737502"/>
    <w:rsid w:val="007407E2"/>
    <w:rsid w:val="0074094C"/>
    <w:rsid w:val="00740D58"/>
    <w:rsid w:val="00740FEA"/>
    <w:rsid w:val="00741D0C"/>
    <w:rsid w:val="00742076"/>
    <w:rsid w:val="00742B50"/>
    <w:rsid w:val="00743722"/>
    <w:rsid w:val="007448C0"/>
    <w:rsid w:val="00745136"/>
    <w:rsid w:val="00745781"/>
    <w:rsid w:val="007457A0"/>
    <w:rsid w:val="00745915"/>
    <w:rsid w:val="00745A15"/>
    <w:rsid w:val="00745DD2"/>
    <w:rsid w:val="007466A5"/>
    <w:rsid w:val="00746BC8"/>
    <w:rsid w:val="00746CB7"/>
    <w:rsid w:val="0074731E"/>
    <w:rsid w:val="0074736C"/>
    <w:rsid w:val="0074772C"/>
    <w:rsid w:val="00750403"/>
    <w:rsid w:val="00750610"/>
    <w:rsid w:val="00750DE0"/>
    <w:rsid w:val="00751132"/>
    <w:rsid w:val="00751354"/>
    <w:rsid w:val="007515DF"/>
    <w:rsid w:val="00751F44"/>
    <w:rsid w:val="00752561"/>
    <w:rsid w:val="00753FAC"/>
    <w:rsid w:val="00754098"/>
    <w:rsid w:val="00754A74"/>
    <w:rsid w:val="00755691"/>
    <w:rsid w:val="007561E6"/>
    <w:rsid w:val="007565C8"/>
    <w:rsid w:val="00756909"/>
    <w:rsid w:val="00757396"/>
    <w:rsid w:val="00757F2C"/>
    <w:rsid w:val="0076028C"/>
    <w:rsid w:val="00760BA9"/>
    <w:rsid w:val="00760D10"/>
    <w:rsid w:val="0076145A"/>
    <w:rsid w:val="007616E2"/>
    <w:rsid w:val="007617DE"/>
    <w:rsid w:val="007618F1"/>
    <w:rsid w:val="00761AFD"/>
    <w:rsid w:val="00762108"/>
    <w:rsid w:val="00762A44"/>
    <w:rsid w:val="007633CC"/>
    <w:rsid w:val="0076353B"/>
    <w:rsid w:val="00763801"/>
    <w:rsid w:val="00763E66"/>
    <w:rsid w:val="00763F98"/>
    <w:rsid w:val="00764027"/>
    <w:rsid w:val="00764299"/>
    <w:rsid w:val="00764779"/>
    <w:rsid w:val="00764F41"/>
    <w:rsid w:val="00765295"/>
    <w:rsid w:val="00765512"/>
    <w:rsid w:val="007657F0"/>
    <w:rsid w:val="00765AA4"/>
    <w:rsid w:val="00765CE0"/>
    <w:rsid w:val="00765E5F"/>
    <w:rsid w:val="00765F8A"/>
    <w:rsid w:val="00766766"/>
    <w:rsid w:val="00766A32"/>
    <w:rsid w:val="00766A42"/>
    <w:rsid w:val="00770E38"/>
    <w:rsid w:val="00771266"/>
    <w:rsid w:val="0077126B"/>
    <w:rsid w:val="0077224B"/>
    <w:rsid w:val="007725A6"/>
    <w:rsid w:val="007737A4"/>
    <w:rsid w:val="00773A89"/>
    <w:rsid w:val="00774214"/>
    <w:rsid w:val="00774270"/>
    <w:rsid w:val="007751DE"/>
    <w:rsid w:val="00776426"/>
    <w:rsid w:val="007764D9"/>
    <w:rsid w:val="00776714"/>
    <w:rsid w:val="00776839"/>
    <w:rsid w:val="00776AF1"/>
    <w:rsid w:val="007778AB"/>
    <w:rsid w:val="00777F71"/>
    <w:rsid w:val="00780D0B"/>
    <w:rsid w:val="0078133D"/>
    <w:rsid w:val="00781BBD"/>
    <w:rsid w:val="00781E34"/>
    <w:rsid w:val="00781E89"/>
    <w:rsid w:val="00781FA9"/>
    <w:rsid w:val="00782E32"/>
    <w:rsid w:val="007839BF"/>
    <w:rsid w:val="007839D9"/>
    <w:rsid w:val="00784016"/>
    <w:rsid w:val="00785454"/>
    <w:rsid w:val="00785785"/>
    <w:rsid w:val="00785FDF"/>
    <w:rsid w:val="00786977"/>
    <w:rsid w:val="00786E12"/>
    <w:rsid w:val="00787E4A"/>
    <w:rsid w:val="0079018C"/>
    <w:rsid w:val="00790A0F"/>
    <w:rsid w:val="00791219"/>
    <w:rsid w:val="00791D8C"/>
    <w:rsid w:val="00791DED"/>
    <w:rsid w:val="00792AA8"/>
    <w:rsid w:val="0079375B"/>
    <w:rsid w:val="00793AAE"/>
    <w:rsid w:val="00793DFC"/>
    <w:rsid w:val="007942CF"/>
    <w:rsid w:val="0079454D"/>
    <w:rsid w:val="00794920"/>
    <w:rsid w:val="00794972"/>
    <w:rsid w:val="00794982"/>
    <w:rsid w:val="007955A7"/>
    <w:rsid w:val="0079640E"/>
    <w:rsid w:val="0079648D"/>
    <w:rsid w:val="00796EE7"/>
    <w:rsid w:val="00796EFF"/>
    <w:rsid w:val="00796FE2"/>
    <w:rsid w:val="00796FFB"/>
    <w:rsid w:val="00797022"/>
    <w:rsid w:val="00797483"/>
    <w:rsid w:val="00797D52"/>
    <w:rsid w:val="007A0E79"/>
    <w:rsid w:val="007A1014"/>
    <w:rsid w:val="007A13B4"/>
    <w:rsid w:val="007A1A9B"/>
    <w:rsid w:val="007A206A"/>
    <w:rsid w:val="007A2755"/>
    <w:rsid w:val="007A30EF"/>
    <w:rsid w:val="007A3673"/>
    <w:rsid w:val="007A39BE"/>
    <w:rsid w:val="007A3ABE"/>
    <w:rsid w:val="007A3C5C"/>
    <w:rsid w:val="007A3CDA"/>
    <w:rsid w:val="007A3D3E"/>
    <w:rsid w:val="007A43EE"/>
    <w:rsid w:val="007A4654"/>
    <w:rsid w:val="007A4CB0"/>
    <w:rsid w:val="007A4D8B"/>
    <w:rsid w:val="007A52B7"/>
    <w:rsid w:val="007A54E8"/>
    <w:rsid w:val="007A5B52"/>
    <w:rsid w:val="007A5C70"/>
    <w:rsid w:val="007A60F8"/>
    <w:rsid w:val="007A62C3"/>
    <w:rsid w:val="007A692A"/>
    <w:rsid w:val="007A6A87"/>
    <w:rsid w:val="007A6E02"/>
    <w:rsid w:val="007B04D9"/>
    <w:rsid w:val="007B055A"/>
    <w:rsid w:val="007B10F1"/>
    <w:rsid w:val="007B12D6"/>
    <w:rsid w:val="007B1747"/>
    <w:rsid w:val="007B2994"/>
    <w:rsid w:val="007B31CC"/>
    <w:rsid w:val="007B3342"/>
    <w:rsid w:val="007B341B"/>
    <w:rsid w:val="007B3DF2"/>
    <w:rsid w:val="007B4102"/>
    <w:rsid w:val="007B5D92"/>
    <w:rsid w:val="007B651A"/>
    <w:rsid w:val="007B6648"/>
    <w:rsid w:val="007B6669"/>
    <w:rsid w:val="007B67FF"/>
    <w:rsid w:val="007B6C26"/>
    <w:rsid w:val="007B6E59"/>
    <w:rsid w:val="007B6E82"/>
    <w:rsid w:val="007B799D"/>
    <w:rsid w:val="007B7B1B"/>
    <w:rsid w:val="007B7B44"/>
    <w:rsid w:val="007B7FBB"/>
    <w:rsid w:val="007C0B69"/>
    <w:rsid w:val="007C1202"/>
    <w:rsid w:val="007C15FA"/>
    <w:rsid w:val="007C1BD0"/>
    <w:rsid w:val="007C1D71"/>
    <w:rsid w:val="007C26D3"/>
    <w:rsid w:val="007C2867"/>
    <w:rsid w:val="007C2AD9"/>
    <w:rsid w:val="007C2E4B"/>
    <w:rsid w:val="007C311B"/>
    <w:rsid w:val="007C317E"/>
    <w:rsid w:val="007C3B6C"/>
    <w:rsid w:val="007C440C"/>
    <w:rsid w:val="007C462E"/>
    <w:rsid w:val="007C4AC7"/>
    <w:rsid w:val="007C4BAD"/>
    <w:rsid w:val="007C506B"/>
    <w:rsid w:val="007C648A"/>
    <w:rsid w:val="007C6FD5"/>
    <w:rsid w:val="007C7134"/>
    <w:rsid w:val="007C7785"/>
    <w:rsid w:val="007D0546"/>
    <w:rsid w:val="007D0676"/>
    <w:rsid w:val="007D0986"/>
    <w:rsid w:val="007D0DDF"/>
    <w:rsid w:val="007D18CD"/>
    <w:rsid w:val="007D237E"/>
    <w:rsid w:val="007D2563"/>
    <w:rsid w:val="007D283D"/>
    <w:rsid w:val="007D2B36"/>
    <w:rsid w:val="007D3646"/>
    <w:rsid w:val="007D4DCC"/>
    <w:rsid w:val="007D59A7"/>
    <w:rsid w:val="007D67DF"/>
    <w:rsid w:val="007D698B"/>
    <w:rsid w:val="007D6B46"/>
    <w:rsid w:val="007D6EE0"/>
    <w:rsid w:val="007D7186"/>
    <w:rsid w:val="007D7545"/>
    <w:rsid w:val="007D7AFB"/>
    <w:rsid w:val="007D7AFE"/>
    <w:rsid w:val="007D7BB6"/>
    <w:rsid w:val="007D7ED3"/>
    <w:rsid w:val="007E0131"/>
    <w:rsid w:val="007E09D3"/>
    <w:rsid w:val="007E196E"/>
    <w:rsid w:val="007E263D"/>
    <w:rsid w:val="007E2F15"/>
    <w:rsid w:val="007E3604"/>
    <w:rsid w:val="007E406D"/>
    <w:rsid w:val="007E4117"/>
    <w:rsid w:val="007E4F0F"/>
    <w:rsid w:val="007E529C"/>
    <w:rsid w:val="007E546E"/>
    <w:rsid w:val="007E57D6"/>
    <w:rsid w:val="007E5D35"/>
    <w:rsid w:val="007E6010"/>
    <w:rsid w:val="007E67B3"/>
    <w:rsid w:val="007E73C2"/>
    <w:rsid w:val="007E771E"/>
    <w:rsid w:val="007E7E1A"/>
    <w:rsid w:val="007F04B4"/>
    <w:rsid w:val="007F0C67"/>
    <w:rsid w:val="007F16C4"/>
    <w:rsid w:val="007F1EE3"/>
    <w:rsid w:val="007F2152"/>
    <w:rsid w:val="007F2353"/>
    <w:rsid w:val="007F2531"/>
    <w:rsid w:val="007F2599"/>
    <w:rsid w:val="007F3997"/>
    <w:rsid w:val="007F41C6"/>
    <w:rsid w:val="007F4535"/>
    <w:rsid w:val="007F5093"/>
    <w:rsid w:val="007F50ED"/>
    <w:rsid w:val="007F52A6"/>
    <w:rsid w:val="007F5789"/>
    <w:rsid w:val="007F5E99"/>
    <w:rsid w:val="007F62B5"/>
    <w:rsid w:val="007F6705"/>
    <w:rsid w:val="007F68DA"/>
    <w:rsid w:val="007F69B9"/>
    <w:rsid w:val="007F74CC"/>
    <w:rsid w:val="007F7D55"/>
    <w:rsid w:val="008004E7"/>
    <w:rsid w:val="008019DE"/>
    <w:rsid w:val="00801A91"/>
    <w:rsid w:val="0080276C"/>
    <w:rsid w:val="008035A2"/>
    <w:rsid w:val="0080370C"/>
    <w:rsid w:val="00803B6A"/>
    <w:rsid w:val="00804281"/>
    <w:rsid w:val="008043DB"/>
    <w:rsid w:val="00805093"/>
    <w:rsid w:val="00805243"/>
    <w:rsid w:val="0080550C"/>
    <w:rsid w:val="00805C71"/>
    <w:rsid w:val="008060C8"/>
    <w:rsid w:val="008062DA"/>
    <w:rsid w:val="008062FC"/>
    <w:rsid w:val="00806598"/>
    <w:rsid w:val="008066DE"/>
    <w:rsid w:val="00806DED"/>
    <w:rsid w:val="00806FA1"/>
    <w:rsid w:val="0080741C"/>
    <w:rsid w:val="008105BC"/>
    <w:rsid w:val="008106C6"/>
    <w:rsid w:val="00810836"/>
    <w:rsid w:val="00810A0F"/>
    <w:rsid w:val="00810AD2"/>
    <w:rsid w:val="00810B38"/>
    <w:rsid w:val="00810C2B"/>
    <w:rsid w:val="00810CA2"/>
    <w:rsid w:val="00810F5C"/>
    <w:rsid w:val="008113A5"/>
    <w:rsid w:val="008114CE"/>
    <w:rsid w:val="008116EB"/>
    <w:rsid w:val="0081188A"/>
    <w:rsid w:val="00812723"/>
    <w:rsid w:val="00814321"/>
    <w:rsid w:val="00814A6A"/>
    <w:rsid w:val="00814ED4"/>
    <w:rsid w:val="008152E3"/>
    <w:rsid w:val="008153F5"/>
    <w:rsid w:val="0081557C"/>
    <w:rsid w:val="008159B1"/>
    <w:rsid w:val="00815BA9"/>
    <w:rsid w:val="0081609A"/>
    <w:rsid w:val="0081678B"/>
    <w:rsid w:val="00816EA1"/>
    <w:rsid w:val="00817119"/>
    <w:rsid w:val="008177B1"/>
    <w:rsid w:val="0081796C"/>
    <w:rsid w:val="00817AD3"/>
    <w:rsid w:val="00817D67"/>
    <w:rsid w:val="00817D7D"/>
    <w:rsid w:val="00820282"/>
    <w:rsid w:val="00820651"/>
    <w:rsid w:val="00821040"/>
    <w:rsid w:val="0082117F"/>
    <w:rsid w:val="00821680"/>
    <w:rsid w:val="008218B0"/>
    <w:rsid w:val="00821FCA"/>
    <w:rsid w:val="008220E0"/>
    <w:rsid w:val="00822A5D"/>
    <w:rsid w:val="00822D99"/>
    <w:rsid w:val="00823BC0"/>
    <w:rsid w:val="00823D29"/>
    <w:rsid w:val="00823FFE"/>
    <w:rsid w:val="00824528"/>
    <w:rsid w:val="00824774"/>
    <w:rsid w:val="00824BC0"/>
    <w:rsid w:val="00824E0A"/>
    <w:rsid w:val="00825857"/>
    <w:rsid w:val="0082619C"/>
    <w:rsid w:val="0082786A"/>
    <w:rsid w:val="00827DD3"/>
    <w:rsid w:val="00830D97"/>
    <w:rsid w:val="00831A0D"/>
    <w:rsid w:val="00831EF5"/>
    <w:rsid w:val="00832025"/>
    <w:rsid w:val="008320C0"/>
    <w:rsid w:val="00832483"/>
    <w:rsid w:val="00832520"/>
    <w:rsid w:val="00832D2D"/>
    <w:rsid w:val="008335AD"/>
    <w:rsid w:val="00834338"/>
    <w:rsid w:val="0083492F"/>
    <w:rsid w:val="00834B0E"/>
    <w:rsid w:val="008357BD"/>
    <w:rsid w:val="00836666"/>
    <w:rsid w:val="00836943"/>
    <w:rsid w:val="008369AE"/>
    <w:rsid w:val="00836AD2"/>
    <w:rsid w:val="00836EB3"/>
    <w:rsid w:val="008375CC"/>
    <w:rsid w:val="00837D2D"/>
    <w:rsid w:val="008414D6"/>
    <w:rsid w:val="008415CC"/>
    <w:rsid w:val="00841E8D"/>
    <w:rsid w:val="00841ECA"/>
    <w:rsid w:val="00842225"/>
    <w:rsid w:val="00842862"/>
    <w:rsid w:val="0084360D"/>
    <w:rsid w:val="00843B56"/>
    <w:rsid w:val="00843FC9"/>
    <w:rsid w:val="0084420B"/>
    <w:rsid w:val="00844520"/>
    <w:rsid w:val="008449CA"/>
    <w:rsid w:val="00844A64"/>
    <w:rsid w:val="00844C47"/>
    <w:rsid w:val="00845199"/>
    <w:rsid w:val="00845AC1"/>
    <w:rsid w:val="00845AC9"/>
    <w:rsid w:val="00845C92"/>
    <w:rsid w:val="008460D8"/>
    <w:rsid w:val="008461DD"/>
    <w:rsid w:val="00846200"/>
    <w:rsid w:val="00846E21"/>
    <w:rsid w:val="0084766E"/>
    <w:rsid w:val="00847DFE"/>
    <w:rsid w:val="0085035F"/>
    <w:rsid w:val="00850FC0"/>
    <w:rsid w:val="00851111"/>
    <w:rsid w:val="0085126E"/>
    <w:rsid w:val="00851476"/>
    <w:rsid w:val="00851718"/>
    <w:rsid w:val="00851A12"/>
    <w:rsid w:val="008525CF"/>
    <w:rsid w:val="00852D13"/>
    <w:rsid w:val="00852D3C"/>
    <w:rsid w:val="00853E7A"/>
    <w:rsid w:val="00853ECD"/>
    <w:rsid w:val="008542CC"/>
    <w:rsid w:val="00854430"/>
    <w:rsid w:val="00855D04"/>
    <w:rsid w:val="00857D30"/>
    <w:rsid w:val="00857F63"/>
    <w:rsid w:val="00860569"/>
    <w:rsid w:val="00860973"/>
    <w:rsid w:val="00860AB8"/>
    <w:rsid w:val="00860B77"/>
    <w:rsid w:val="00860CA9"/>
    <w:rsid w:val="00860D25"/>
    <w:rsid w:val="0086183E"/>
    <w:rsid w:val="008618A8"/>
    <w:rsid w:val="00861F40"/>
    <w:rsid w:val="00862410"/>
    <w:rsid w:val="0086408F"/>
    <w:rsid w:val="00864104"/>
    <w:rsid w:val="00864292"/>
    <w:rsid w:val="00864370"/>
    <w:rsid w:val="008648B5"/>
    <w:rsid w:val="00864926"/>
    <w:rsid w:val="00864B3F"/>
    <w:rsid w:val="008659E8"/>
    <w:rsid w:val="00865A78"/>
    <w:rsid w:val="00865F20"/>
    <w:rsid w:val="0086635B"/>
    <w:rsid w:val="0086641A"/>
    <w:rsid w:val="00866B1F"/>
    <w:rsid w:val="008672AA"/>
    <w:rsid w:val="00867402"/>
    <w:rsid w:val="0086783F"/>
    <w:rsid w:val="0086797D"/>
    <w:rsid w:val="00867E46"/>
    <w:rsid w:val="00867F68"/>
    <w:rsid w:val="008701E7"/>
    <w:rsid w:val="00870DEC"/>
    <w:rsid w:val="00871876"/>
    <w:rsid w:val="00871F65"/>
    <w:rsid w:val="008737D3"/>
    <w:rsid w:val="00873DA0"/>
    <w:rsid w:val="00873E0E"/>
    <w:rsid w:val="00874A8B"/>
    <w:rsid w:val="00874B9A"/>
    <w:rsid w:val="00875839"/>
    <w:rsid w:val="00875A89"/>
    <w:rsid w:val="0087626D"/>
    <w:rsid w:val="00876553"/>
    <w:rsid w:val="00876618"/>
    <w:rsid w:val="008766D0"/>
    <w:rsid w:val="00877CBF"/>
    <w:rsid w:val="008805C8"/>
    <w:rsid w:val="00881FC9"/>
    <w:rsid w:val="0088263B"/>
    <w:rsid w:val="00882D53"/>
    <w:rsid w:val="00883437"/>
    <w:rsid w:val="008834C5"/>
    <w:rsid w:val="008838B4"/>
    <w:rsid w:val="00883C24"/>
    <w:rsid w:val="00884F40"/>
    <w:rsid w:val="008853F8"/>
    <w:rsid w:val="00886747"/>
    <w:rsid w:val="0088757E"/>
    <w:rsid w:val="00890254"/>
    <w:rsid w:val="00890A32"/>
    <w:rsid w:val="00890B78"/>
    <w:rsid w:val="008912D5"/>
    <w:rsid w:val="00891A65"/>
    <w:rsid w:val="00891CB0"/>
    <w:rsid w:val="0089261F"/>
    <w:rsid w:val="00892A68"/>
    <w:rsid w:val="00892BB0"/>
    <w:rsid w:val="00893544"/>
    <w:rsid w:val="008937C6"/>
    <w:rsid w:val="0089453B"/>
    <w:rsid w:val="008945F1"/>
    <w:rsid w:val="008948D8"/>
    <w:rsid w:val="008949FA"/>
    <w:rsid w:val="00894E74"/>
    <w:rsid w:val="008953BD"/>
    <w:rsid w:val="00895EB4"/>
    <w:rsid w:val="00896FB8"/>
    <w:rsid w:val="00897483"/>
    <w:rsid w:val="00897CF1"/>
    <w:rsid w:val="008A0301"/>
    <w:rsid w:val="008A15A6"/>
    <w:rsid w:val="008A15C2"/>
    <w:rsid w:val="008A2897"/>
    <w:rsid w:val="008A335C"/>
    <w:rsid w:val="008A359C"/>
    <w:rsid w:val="008A4178"/>
    <w:rsid w:val="008A4214"/>
    <w:rsid w:val="008A4628"/>
    <w:rsid w:val="008A4A5E"/>
    <w:rsid w:val="008A4C52"/>
    <w:rsid w:val="008A4E30"/>
    <w:rsid w:val="008A6251"/>
    <w:rsid w:val="008A6682"/>
    <w:rsid w:val="008A698C"/>
    <w:rsid w:val="008A6991"/>
    <w:rsid w:val="008A6AFA"/>
    <w:rsid w:val="008A77F1"/>
    <w:rsid w:val="008B0159"/>
    <w:rsid w:val="008B0390"/>
    <w:rsid w:val="008B0760"/>
    <w:rsid w:val="008B0B17"/>
    <w:rsid w:val="008B0E2F"/>
    <w:rsid w:val="008B1790"/>
    <w:rsid w:val="008B2340"/>
    <w:rsid w:val="008B2773"/>
    <w:rsid w:val="008B2778"/>
    <w:rsid w:val="008B2859"/>
    <w:rsid w:val="008B45D1"/>
    <w:rsid w:val="008B47CB"/>
    <w:rsid w:val="008B47E4"/>
    <w:rsid w:val="008B598B"/>
    <w:rsid w:val="008B5CF2"/>
    <w:rsid w:val="008B5FBE"/>
    <w:rsid w:val="008B6063"/>
    <w:rsid w:val="008B614C"/>
    <w:rsid w:val="008B6474"/>
    <w:rsid w:val="008B67CF"/>
    <w:rsid w:val="008B67D4"/>
    <w:rsid w:val="008B6918"/>
    <w:rsid w:val="008B6A6C"/>
    <w:rsid w:val="008B743E"/>
    <w:rsid w:val="008B74F9"/>
    <w:rsid w:val="008B754B"/>
    <w:rsid w:val="008B77C7"/>
    <w:rsid w:val="008B7AD7"/>
    <w:rsid w:val="008B7C15"/>
    <w:rsid w:val="008C0775"/>
    <w:rsid w:val="008C15BB"/>
    <w:rsid w:val="008C17CD"/>
    <w:rsid w:val="008C1DD8"/>
    <w:rsid w:val="008C232E"/>
    <w:rsid w:val="008C2460"/>
    <w:rsid w:val="008C26B8"/>
    <w:rsid w:val="008C2756"/>
    <w:rsid w:val="008C28E5"/>
    <w:rsid w:val="008C326A"/>
    <w:rsid w:val="008C398D"/>
    <w:rsid w:val="008C3A5A"/>
    <w:rsid w:val="008C40BF"/>
    <w:rsid w:val="008C488B"/>
    <w:rsid w:val="008C4D07"/>
    <w:rsid w:val="008C4E5F"/>
    <w:rsid w:val="008C5EAB"/>
    <w:rsid w:val="008C6886"/>
    <w:rsid w:val="008C68B9"/>
    <w:rsid w:val="008C6C82"/>
    <w:rsid w:val="008C71AF"/>
    <w:rsid w:val="008C7992"/>
    <w:rsid w:val="008C7C07"/>
    <w:rsid w:val="008C7FAB"/>
    <w:rsid w:val="008D0C6C"/>
    <w:rsid w:val="008D1339"/>
    <w:rsid w:val="008D13FF"/>
    <w:rsid w:val="008D15F7"/>
    <w:rsid w:val="008D1BE2"/>
    <w:rsid w:val="008D1C1D"/>
    <w:rsid w:val="008D1D5D"/>
    <w:rsid w:val="008D1FDE"/>
    <w:rsid w:val="008D21CC"/>
    <w:rsid w:val="008D250D"/>
    <w:rsid w:val="008D304B"/>
    <w:rsid w:val="008D351D"/>
    <w:rsid w:val="008D3A7D"/>
    <w:rsid w:val="008D3C0D"/>
    <w:rsid w:val="008D3F2C"/>
    <w:rsid w:val="008D3FEA"/>
    <w:rsid w:val="008D453C"/>
    <w:rsid w:val="008D5817"/>
    <w:rsid w:val="008D5A63"/>
    <w:rsid w:val="008D5B50"/>
    <w:rsid w:val="008D64D0"/>
    <w:rsid w:val="008D66C5"/>
    <w:rsid w:val="008D6780"/>
    <w:rsid w:val="008D7CBF"/>
    <w:rsid w:val="008E0D57"/>
    <w:rsid w:val="008E1A67"/>
    <w:rsid w:val="008E1C02"/>
    <w:rsid w:val="008E1C45"/>
    <w:rsid w:val="008E20DD"/>
    <w:rsid w:val="008E21B7"/>
    <w:rsid w:val="008E242E"/>
    <w:rsid w:val="008E2D3D"/>
    <w:rsid w:val="008E2FA8"/>
    <w:rsid w:val="008E37E7"/>
    <w:rsid w:val="008E3B4A"/>
    <w:rsid w:val="008E4A06"/>
    <w:rsid w:val="008E57E1"/>
    <w:rsid w:val="008E581A"/>
    <w:rsid w:val="008E5905"/>
    <w:rsid w:val="008E647B"/>
    <w:rsid w:val="008E64B2"/>
    <w:rsid w:val="008E7872"/>
    <w:rsid w:val="008E7B61"/>
    <w:rsid w:val="008F14AF"/>
    <w:rsid w:val="008F3AE2"/>
    <w:rsid w:val="008F3D48"/>
    <w:rsid w:val="008F44F1"/>
    <w:rsid w:val="008F4763"/>
    <w:rsid w:val="008F517A"/>
    <w:rsid w:val="008F56F2"/>
    <w:rsid w:val="008F6204"/>
    <w:rsid w:val="008F6221"/>
    <w:rsid w:val="008F6A76"/>
    <w:rsid w:val="008F6B83"/>
    <w:rsid w:val="008F6CDB"/>
    <w:rsid w:val="008F722B"/>
    <w:rsid w:val="008F777B"/>
    <w:rsid w:val="008F7CCE"/>
    <w:rsid w:val="00900CEB"/>
    <w:rsid w:val="00900E5F"/>
    <w:rsid w:val="0090121B"/>
    <w:rsid w:val="00901C40"/>
    <w:rsid w:val="009036D1"/>
    <w:rsid w:val="0090374B"/>
    <w:rsid w:val="009041DF"/>
    <w:rsid w:val="00904BAF"/>
    <w:rsid w:val="009051A3"/>
    <w:rsid w:val="009053E3"/>
    <w:rsid w:val="00905F24"/>
    <w:rsid w:val="00905F25"/>
    <w:rsid w:val="009064E2"/>
    <w:rsid w:val="009072E2"/>
    <w:rsid w:val="009077C7"/>
    <w:rsid w:val="00907A86"/>
    <w:rsid w:val="00907D9E"/>
    <w:rsid w:val="00907E2F"/>
    <w:rsid w:val="0091015D"/>
    <w:rsid w:val="009102B7"/>
    <w:rsid w:val="00910768"/>
    <w:rsid w:val="00910E95"/>
    <w:rsid w:val="0091101A"/>
    <w:rsid w:val="00911788"/>
    <w:rsid w:val="0091220E"/>
    <w:rsid w:val="00912FA7"/>
    <w:rsid w:val="009130C6"/>
    <w:rsid w:val="009135B2"/>
    <w:rsid w:val="009140AA"/>
    <w:rsid w:val="0091465A"/>
    <w:rsid w:val="00914692"/>
    <w:rsid w:val="009163A8"/>
    <w:rsid w:val="009167E1"/>
    <w:rsid w:val="00917836"/>
    <w:rsid w:val="009178A9"/>
    <w:rsid w:val="00920216"/>
    <w:rsid w:val="009202B9"/>
    <w:rsid w:val="00920463"/>
    <w:rsid w:val="00920492"/>
    <w:rsid w:val="00920587"/>
    <w:rsid w:val="00920F17"/>
    <w:rsid w:val="00921D8A"/>
    <w:rsid w:val="009220E9"/>
    <w:rsid w:val="009231E5"/>
    <w:rsid w:val="009238C7"/>
    <w:rsid w:val="00923979"/>
    <w:rsid w:val="00923A24"/>
    <w:rsid w:val="00923A7D"/>
    <w:rsid w:val="00923B51"/>
    <w:rsid w:val="00923D68"/>
    <w:rsid w:val="009245CA"/>
    <w:rsid w:val="009249C4"/>
    <w:rsid w:val="00925B8E"/>
    <w:rsid w:val="00926E4D"/>
    <w:rsid w:val="00927243"/>
    <w:rsid w:val="009277B6"/>
    <w:rsid w:val="009277D5"/>
    <w:rsid w:val="00927B29"/>
    <w:rsid w:val="00927F9D"/>
    <w:rsid w:val="00930AA9"/>
    <w:rsid w:val="009320AB"/>
    <w:rsid w:val="00932688"/>
    <w:rsid w:val="00932F58"/>
    <w:rsid w:val="00933229"/>
    <w:rsid w:val="0093352D"/>
    <w:rsid w:val="00933AC6"/>
    <w:rsid w:val="00933B86"/>
    <w:rsid w:val="00933C8C"/>
    <w:rsid w:val="00933FC6"/>
    <w:rsid w:val="009340AB"/>
    <w:rsid w:val="009341F4"/>
    <w:rsid w:val="00934E94"/>
    <w:rsid w:val="00934F06"/>
    <w:rsid w:val="00935726"/>
    <w:rsid w:val="0093684D"/>
    <w:rsid w:val="009376FF"/>
    <w:rsid w:val="00937DE5"/>
    <w:rsid w:val="00937FA4"/>
    <w:rsid w:val="00940185"/>
    <w:rsid w:val="0094054C"/>
    <w:rsid w:val="00940771"/>
    <w:rsid w:val="00940BCD"/>
    <w:rsid w:val="00941279"/>
    <w:rsid w:val="00943497"/>
    <w:rsid w:val="009437CC"/>
    <w:rsid w:val="00944C9D"/>
    <w:rsid w:val="00945353"/>
    <w:rsid w:val="00945886"/>
    <w:rsid w:val="00945A23"/>
    <w:rsid w:val="00945B86"/>
    <w:rsid w:val="00945DB3"/>
    <w:rsid w:val="009462D5"/>
    <w:rsid w:val="009479BA"/>
    <w:rsid w:val="00950492"/>
    <w:rsid w:val="00950C66"/>
    <w:rsid w:val="00951AEE"/>
    <w:rsid w:val="00952056"/>
    <w:rsid w:val="009521FE"/>
    <w:rsid w:val="0095286A"/>
    <w:rsid w:val="00953619"/>
    <w:rsid w:val="00953EB6"/>
    <w:rsid w:val="009543B9"/>
    <w:rsid w:val="0095456C"/>
    <w:rsid w:val="009547B3"/>
    <w:rsid w:val="00954CB9"/>
    <w:rsid w:val="00956455"/>
    <w:rsid w:val="00956905"/>
    <w:rsid w:val="0095697F"/>
    <w:rsid w:val="00956A63"/>
    <w:rsid w:val="009614C6"/>
    <w:rsid w:val="009619A1"/>
    <w:rsid w:val="0096286C"/>
    <w:rsid w:val="00962BFB"/>
    <w:rsid w:val="00962E1C"/>
    <w:rsid w:val="0096349D"/>
    <w:rsid w:val="00963DD7"/>
    <w:rsid w:val="00964954"/>
    <w:rsid w:val="009660A9"/>
    <w:rsid w:val="00966103"/>
    <w:rsid w:val="009669F8"/>
    <w:rsid w:val="00966DEC"/>
    <w:rsid w:val="009670D1"/>
    <w:rsid w:val="009672ED"/>
    <w:rsid w:val="00967BA1"/>
    <w:rsid w:val="00967E68"/>
    <w:rsid w:val="00970583"/>
    <w:rsid w:val="0097070C"/>
    <w:rsid w:val="0097171B"/>
    <w:rsid w:val="00971A34"/>
    <w:rsid w:val="00972059"/>
    <w:rsid w:val="00972270"/>
    <w:rsid w:val="009726CD"/>
    <w:rsid w:val="00973355"/>
    <w:rsid w:val="00973680"/>
    <w:rsid w:val="009753C5"/>
    <w:rsid w:val="00975A47"/>
    <w:rsid w:val="0097628F"/>
    <w:rsid w:val="0097673B"/>
    <w:rsid w:val="00976E7F"/>
    <w:rsid w:val="0097740C"/>
    <w:rsid w:val="00977B14"/>
    <w:rsid w:val="00980098"/>
    <w:rsid w:val="0098021F"/>
    <w:rsid w:val="009806EE"/>
    <w:rsid w:val="009817FA"/>
    <w:rsid w:val="009823E5"/>
    <w:rsid w:val="00982D0F"/>
    <w:rsid w:val="00984004"/>
    <w:rsid w:val="00984426"/>
    <w:rsid w:val="00984584"/>
    <w:rsid w:val="0098497B"/>
    <w:rsid w:val="009850C5"/>
    <w:rsid w:val="00985254"/>
    <w:rsid w:val="00986B25"/>
    <w:rsid w:val="00986B65"/>
    <w:rsid w:val="009876DF"/>
    <w:rsid w:val="00987C7D"/>
    <w:rsid w:val="00990380"/>
    <w:rsid w:val="00990A4D"/>
    <w:rsid w:val="00990D42"/>
    <w:rsid w:val="0099102F"/>
    <w:rsid w:val="009921DB"/>
    <w:rsid w:val="00992985"/>
    <w:rsid w:val="00992D05"/>
    <w:rsid w:val="00993222"/>
    <w:rsid w:val="009934F4"/>
    <w:rsid w:val="009936B3"/>
    <w:rsid w:val="00993C17"/>
    <w:rsid w:val="00993E53"/>
    <w:rsid w:val="009940EF"/>
    <w:rsid w:val="009944BF"/>
    <w:rsid w:val="00994A8D"/>
    <w:rsid w:val="00994D06"/>
    <w:rsid w:val="00994EED"/>
    <w:rsid w:val="009952C4"/>
    <w:rsid w:val="009952E2"/>
    <w:rsid w:val="009964F3"/>
    <w:rsid w:val="00997374"/>
    <w:rsid w:val="009976DE"/>
    <w:rsid w:val="00997CF0"/>
    <w:rsid w:val="00997D39"/>
    <w:rsid w:val="009A0B2B"/>
    <w:rsid w:val="009A0BBC"/>
    <w:rsid w:val="009A1042"/>
    <w:rsid w:val="009A15F7"/>
    <w:rsid w:val="009A1FEC"/>
    <w:rsid w:val="009A2343"/>
    <w:rsid w:val="009A2886"/>
    <w:rsid w:val="009A29DA"/>
    <w:rsid w:val="009A2C96"/>
    <w:rsid w:val="009A3A1C"/>
    <w:rsid w:val="009A45C8"/>
    <w:rsid w:val="009A4608"/>
    <w:rsid w:val="009A49B5"/>
    <w:rsid w:val="009A5246"/>
    <w:rsid w:val="009A55CC"/>
    <w:rsid w:val="009A56DD"/>
    <w:rsid w:val="009A5AFD"/>
    <w:rsid w:val="009A68F5"/>
    <w:rsid w:val="009A6D05"/>
    <w:rsid w:val="009A6EFD"/>
    <w:rsid w:val="009B006A"/>
    <w:rsid w:val="009B017A"/>
    <w:rsid w:val="009B03A8"/>
    <w:rsid w:val="009B0840"/>
    <w:rsid w:val="009B0EF9"/>
    <w:rsid w:val="009B126A"/>
    <w:rsid w:val="009B157A"/>
    <w:rsid w:val="009B1785"/>
    <w:rsid w:val="009B1859"/>
    <w:rsid w:val="009B1AA6"/>
    <w:rsid w:val="009B1EB4"/>
    <w:rsid w:val="009B1FD0"/>
    <w:rsid w:val="009B38F3"/>
    <w:rsid w:val="009B39DC"/>
    <w:rsid w:val="009B528D"/>
    <w:rsid w:val="009B5404"/>
    <w:rsid w:val="009B61E7"/>
    <w:rsid w:val="009B6A08"/>
    <w:rsid w:val="009B76D9"/>
    <w:rsid w:val="009B786C"/>
    <w:rsid w:val="009C0087"/>
    <w:rsid w:val="009C011A"/>
    <w:rsid w:val="009C0205"/>
    <w:rsid w:val="009C0CDA"/>
    <w:rsid w:val="009C33C6"/>
    <w:rsid w:val="009C4398"/>
    <w:rsid w:val="009C44C6"/>
    <w:rsid w:val="009C4D90"/>
    <w:rsid w:val="009C5B8C"/>
    <w:rsid w:val="009C5E15"/>
    <w:rsid w:val="009C67E8"/>
    <w:rsid w:val="009C6979"/>
    <w:rsid w:val="009C6E72"/>
    <w:rsid w:val="009C723E"/>
    <w:rsid w:val="009D088F"/>
    <w:rsid w:val="009D0C4A"/>
    <w:rsid w:val="009D3906"/>
    <w:rsid w:val="009D3C3F"/>
    <w:rsid w:val="009D3EEF"/>
    <w:rsid w:val="009D4AAA"/>
    <w:rsid w:val="009D4D67"/>
    <w:rsid w:val="009D56AB"/>
    <w:rsid w:val="009D5BE2"/>
    <w:rsid w:val="009D6188"/>
    <w:rsid w:val="009D635B"/>
    <w:rsid w:val="009D66DC"/>
    <w:rsid w:val="009D7F6F"/>
    <w:rsid w:val="009E0393"/>
    <w:rsid w:val="009E0502"/>
    <w:rsid w:val="009E07D3"/>
    <w:rsid w:val="009E09F4"/>
    <w:rsid w:val="009E0C1C"/>
    <w:rsid w:val="009E13D4"/>
    <w:rsid w:val="009E1B47"/>
    <w:rsid w:val="009E3071"/>
    <w:rsid w:val="009E3751"/>
    <w:rsid w:val="009E4B23"/>
    <w:rsid w:val="009E4D4B"/>
    <w:rsid w:val="009E4DEB"/>
    <w:rsid w:val="009E4E87"/>
    <w:rsid w:val="009E56F4"/>
    <w:rsid w:val="009E5749"/>
    <w:rsid w:val="009E5772"/>
    <w:rsid w:val="009E6C21"/>
    <w:rsid w:val="009E6D88"/>
    <w:rsid w:val="009E72A7"/>
    <w:rsid w:val="009E7394"/>
    <w:rsid w:val="009E7675"/>
    <w:rsid w:val="009E7AE4"/>
    <w:rsid w:val="009F05E3"/>
    <w:rsid w:val="009F06F2"/>
    <w:rsid w:val="009F08B1"/>
    <w:rsid w:val="009F0941"/>
    <w:rsid w:val="009F116D"/>
    <w:rsid w:val="009F1991"/>
    <w:rsid w:val="009F2344"/>
    <w:rsid w:val="009F3377"/>
    <w:rsid w:val="009F3BED"/>
    <w:rsid w:val="009F4A42"/>
    <w:rsid w:val="009F635E"/>
    <w:rsid w:val="009F74BA"/>
    <w:rsid w:val="009F7651"/>
    <w:rsid w:val="009F794D"/>
    <w:rsid w:val="009F7C33"/>
    <w:rsid w:val="00A00468"/>
    <w:rsid w:val="00A004A4"/>
    <w:rsid w:val="00A01168"/>
    <w:rsid w:val="00A01458"/>
    <w:rsid w:val="00A0285E"/>
    <w:rsid w:val="00A02BC8"/>
    <w:rsid w:val="00A02C5D"/>
    <w:rsid w:val="00A038D2"/>
    <w:rsid w:val="00A03AB6"/>
    <w:rsid w:val="00A0401A"/>
    <w:rsid w:val="00A04884"/>
    <w:rsid w:val="00A0534B"/>
    <w:rsid w:val="00A057D0"/>
    <w:rsid w:val="00A05B6A"/>
    <w:rsid w:val="00A0611E"/>
    <w:rsid w:val="00A0661D"/>
    <w:rsid w:val="00A076B6"/>
    <w:rsid w:val="00A07866"/>
    <w:rsid w:val="00A140D3"/>
    <w:rsid w:val="00A1446B"/>
    <w:rsid w:val="00A14EC1"/>
    <w:rsid w:val="00A15EC2"/>
    <w:rsid w:val="00A167F2"/>
    <w:rsid w:val="00A17298"/>
    <w:rsid w:val="00A17EFE"/>
    <w:rsid w:val="00A20A05"/>
    <w:rsid w:val="00A20C78"/>
    <w:rsid w:val="00A21607"/>
    <w:rsid w:val="00A22197"/>
    <w:rsid w:val="00A2312E"/>
    <w:rsid w:val="00A2338D"/>
    <w:rsid w:val="00A237DB"/>
    <w:rsid w:val="00A239C9"/>
    <w:rsid w:val="00A23B9D"/>
    <w:rsid w:val="00A23D6D"/>
    <w:rsid w:val="00A23F21"/>
    <w:rsid w:val="00A24323"/>
    <w:rsid w:val="00A2484F"/>
    <w:rsid w:val="00A2512C"/>
    <w:rsid w:val="00A2515B"/>
    <w:rsid w:val="00A251EE"/>
    <w:rsid w:val="00A25378"/>
    <w:rsid w:val="00A2588E"/>
    <w:rsid w:val="00A2611D"/>
    <w:rsid w:val="00A26EDF"/>
    <w:rsid w:val="00A273A4"/>
    <w:rsid w:val="00A30EF5"/>
    <w:rsid w:val="00A31ADF"/>
    <w:rsid w:val="00A31B4F"/>
    <w:rsid w:val="00A321E5"/>
    <w:rsid w:val="00A32283"/>
    <w:rsid w:val="00A32A05"/>
    <w:rsid w:val="00A32F90"/>
    <w:rsid w:val="00A33671"/>
    <w:rsid w:val="00A338A6"/>
    <w:rsid w:val="00A34789"/>
    <w:rsid w:val="00A34BA2"/>
    <w:rsid w:val="00A354AC"/>
    <w:rsid w:val="00A35B6E"/>
    <w:rsid w:val="00A35ED7"/>
    <w:rsid w:val="00A360EF"/>
    <w:rsid w:val="00A3630E"/>
    <w:rsid w:val="00A36EC1"/>
    <w:rsid w:val="00A3749E"/>
    <w:rsid w:val="00A376A4"/>
    <w:rsid w:val="00A376B9"/>
    <w:rsid w:val="00A37BB8"/>
    <w:rsid w:val="00A37BD3"/>
    <w:rsid w:val="00A37C82"/>
    <w:rsid w:val="00A37D74"/>
    <w:rsid w:val="00A4126E"/>
    <w:rsid w:val="00A41FF8"/>
    <w:rsid w:val="00A4200C"/>
    <w:rsid w:val="00A4250B"/>
    <w:rsid w:val="00A42D87"/>
    <w:rsid w:val="00A42EE0"/>
    <w:rsid w:val="00A44BD3"/>
    <w:rsid w:val="00A4509A"/>
    <w:rsid w:val="00A4521D"/>
    <w:rsid w:val="00A459AA"/>
    <w:rsid w:val="00A46082"/>
    <w:rsid w:val="00A462DD"/>
    <w:rsid w:val="00A46D6F"/>
    <w:rsid w:val="00A46FAA"/>
    <w:rsid w:val="00A47995"/>
    <w:rsid w:val="00A47C80"/>
    <w:rsid w:val="00A47DE2"/>
    <w:rsid w:val="00A50148"/>
    <w:rsid w:val="00A505F0"/>
    <w:rsid w:val="00A507B0"/>
    <w:rsid w:val="00A507D8"/>
    <w:rsid w:val="00A50DB7"/>
    <w:rsid w:val="00A51080"/>
    <w:rsid w:val="00A51752"/>
    <w:rsid w:val="00A51A09"/>
    <w:rsid w:val="00A51F0A"/>
    <w:rsid w:val="00A52686"/>
    <w:rsid w:val="00A52AA2"/>
    <w:rsid w:val="00A5379D"/>
    <w:rsid w:val="00A54029"/>
    <w:rsid w:val="00A54085"/>
    <w:rsid w:val="00A54570"/>
    <w:rsid w:val="00A54A58"/>
    <w:rsid w:val="00A54EF2"/>
    <w:rsid w:val="00A55D48"/>
    <w:rsid w:val="00A56E2A"/>
    <w:rsid w:val="00A5713E"/>
    <w:rsid w:val="00A57BEB"/>
    <w:rsid w:val="00A57F85"/>
    <w:rsid w:val="00A60C1C"/>
    <w:rsid w:val="00A60CE2"/>
    <w:rsid w:val="00A61673"/>
    <w:rsid w:val="00A61A00"/>
    <w:rsid w:val="00A62693"/>
    <w:rsid w:val="00A63765"/>
    <w:rsid w:val="00A641AB"/>
    <w:rsid w:val="00A64926"/>
    <w:rsid w:val="00A649BC"/>
    <w:rsid w:val="00A64BE9"/>
    <w:rsid w:val="00A64CAF"/>
    <w:rsid w:val="00A64EC8"/>
    <w:rsid w:val="00A6585B"/>
    <w:rsid w:val="00A65A82"/>
    <w:rsid w:val="00A65C17"/>
    <w:rsid w:val="00A66219"/>
    <w:rsid w:val="00A665CF"/>
    <w:rsid w:val="00A67121"/>
    <w:rsid w:val="00A67CA7"/>
    <w:rsid w:val="00A67CF9"/>
    <w:rsid w:val="00A70AC3"/>
    <w:rsid w:val="00A7157B"/>
    <w:rsid w:val="00A7181A"/>
    <w:rsid w:val="00A72084"/>
    <w:rsid w:val="00A7246D"/>
    <w:rsid w:val="00A736B2"/>
    <w:rsid w:val="00A73989"/>
    <w:rsid w:val="00A73A06"/>
    <w:rsid w:val="00A742E3"/>
    <w:rsid w:val="00A74D9B"/>
    <w:rsid w:val="00A74E56"/>
    <w:rsid w:val="00A74E96"/>
    <w:rsid w:val="00A75964"/>
    <w:rsid w:val="00A762D4"/>
    <w:rsid w:val="00A76D0E"/>
    <w:rsid w:val="00A7752F"/>
    <w:rsid w:val="00A77C9E"/>
    <w:rsid w:val="00A77E46"/>
    <w:rsid w:val="00A80F77"/>
    <w:rsid w:val="00A80FF5"/>
    <w:rsid w:val="00A81358"/>
    <w:rsid w:val="00A815A6"/>
    <w:rsid w:val="00A821B8"/>
    <w:rsid w:val="00A82530"/>
    <w:rsid w:val="00A82A41"/>
    <w:rsid w:val="00A8306B"/>
    <w:rsid w:val="00A83438"/>
    <w:rsid w:val="00A8477E"/>
    <w:rsid w:val="00A84A31"/>
    <w:rsid w:val="00A84E70"/>
    <w:rsid w:val="00A85221"/>
    <w:rsid w:val="00A855A4"/>
    <w:rsid w:val="00A8563B"/>
    <w:rsid w:val="00A8567C"/>
    <w:rsid w:val="00A85AA3"/>
    <w:rsid w:val="00A85C35"/>
    <w:rsid w:val="00A86589"/>
    <w:rsid w:val="00A877B3"/>
    <w:rsid w:val="00A87ACF"/>
    <w:rsid w:val="00A9073E"/>
    <w:rsid w:val="00A91A52"/>
    <w:rsid w:val="00A92061"/>
    <w:rsid w:val="00A92062"/>
    <w:rsid w:val="00A92427"/>
    <w:rsid w:val="00A92AF9"/>
    <w:rsid w:val="00A94249"/>
    <w:rsid w:val="00A94A17"/>
    <w:rsid w:val="00A94BC9"/>
    <w:rsid w:val="00A959BC"/>
    <w:rsid w:val="00A95AFA"/>
    <w:rsid w:val="00A961D6"/>
    <w:rsid w:val="00A96400"/>
    <w:rsid w:val="00A964EC"/>
    <w:rsid w:val="00A96A90"/>
    <w:rsid w:val="00A97244"/>
    <w:rsid w:val="00A97E9B"/>
    <w:rsid w:val="00AA0BA0"/>
    <w:rsid w:val="00AA0BC1"/>
    <w:rsid w:val="00AA2562"/>
    <w:rsid w:val="00AA342F"/>
    <w:rsid w:val="00AA3C60"/>
    <w:rsid w:val="00AA41DE"/>
    <w:rsid w:val="00AA4476"/>
    <w:rsid w:val="00AA451B"/>
    <w:rsid w:val="00AA64B4"/>
    <w:rsid w:val="00AA7F28"/>
    <w:rsid w:val="00AB046A"/>
    <w:rsid w:val="00AB06AD"/>
    <w:rsid w:val="00AB1AC5"/>
    <w:rsid w:val="00AB1D08"/>
    <w:rsid w:val="00AB23B0"/>
    <w:rsid w:val="00AB281B"/>
    <w:rsid w:val="00AB2FF4"/>
    <w:rsid w:val="00AB3554"/>
    <w:rsid w:val="00AB3D44"/>
    <w:rsid w:val="00AB43B9"/>
    <w:rsid w:val="00AB5057"/>
    <w:rsid w:val="00AB5570"/>
    <w:rsid w:val="00AB5F9C"/>
    <w:rsid w:val="00AB6F03"/>
    <w:rsid w:val="00AB6F13"/>
    <w:rsid w:val="00AB714F"/>
    <w:rsid w:val="00AB7307"/>
    <w:rsid w:val="00AB7441"/>
    <w:rsid w:val="00AC074F"/>
    <w:rsid w:val="00AC1AD6"/>
    <w:rsid w:val="00AC1FB4"/>
    <w:rsid w:val="00AC457D"/>
    <w:rsid w:val="00AC4B1B"/>
    <w:rsid w:val="00AC4DE1"/>
    <w:rsid w:val="00AC54DA"/>
    <w:rsid w:val="00AC5585"/>
    <w:rsid w:val="00AC588C"/>
    <w:rsid w:val="00AC5F8E"/>
    <w:rsid w:val="00AC6738"/>
    <w:rsid w:val="00AC6E84"/>
    <w:rsid w:val="00AC7DD2"/>
    <w:rsid w:val="00AD0029"/>
    <w:rsid w:val="00AD029B"/>
    <w:rsid w:val="00AD04C2"/>
    <w:rsid w:val="00AD0998"/>
    <w:rsid w:val="00AD0B31"/>
    <w:rsid w:val="00AD0B7A"/>
    <w:rsid w:val="00AD0F00"/>
    <w:rsid w:val="00AD1544"/>
    <w:rsid w:val="00AD173E"/>
    <w:rsid w:val="00AD1C76"/>
    <w:rsid w:val="00AD1D14"/>
    <w:rsid w:val="00AD35E6"/>
    <w:rsid w:val="00AD3C3C"/>
    <w:rsid w:val="00AD406E"/>
    <w:rsid w:val="00AD409A"/>
    <w:rsid w:val="00AD610E"/>
    <w:rsid w:val="00AD6136"/>
    <w:rsid w:val="00AD64DF"/>
    <w:rsid w:val="00AD7275"/>
    <w:rsid w:val="00AD7D02"/>
    <w:rsid w:val="00AE0EA3"/>
    <w:rsid w:val="00AE1025"/>
    <w:rsid w:val="00AE12F0"/>
    <w:rsid w:val="00AE1666"/>
    <w:rsid w:val="00AE17B3"/>
    <w:rsid w:val="00AE18EC"/>
    <w:rsid w:val="00AE2290"/>
    <w:rsid w:val="00AE31FA"/>
    <w:rsid w:val="00AE3F03"/>
    <w:rsid w:val="00AE422E"/>
    <w:rsid w:val="00AE4704"/>
    <w:rsid w:val="00AE48CC"/>
    <w:rsid w:val="00AE4D9E"/>
    <w:rsid w:val="00AE52D0"/>
    <w:rsid w:val="00AE5C0E"/>
    <w:rsid w:val="00AE5C3B"/>
    <w:rsid w:val="00AE64F0"/>
    <w:rsid w:val="00AE7190"/>
    <w:rsid w:val="00AE7731"/>
    <w:rsid w:val="00AE7D51"/>
    <w:rsid w:val="00AF05E6"/>
    <w:rsid w:val="00AF0846"/>
    <w:rsid w:val="00AF14C3"/>
    <w:rsid w:val="00AF1D84"/>
    <w:rsid w:val="00AF1EC0"/>
    <w:rsid w:val="00AF1F71"/>
    <w:rsid w:val="00AF23C8"/>
    <w:rsid w:val="00AF288A"/>
    <w:rsid w:val="00AF2AE2"/>
    <w:rsid w:val="00AF31F9"/>
    <w:rsid w:val="00AF39EA"/>
    <w:rsid w:val="00AF44CB"/>
    <w:rsid w:val="00AF4BED"/>
    <w:rsid w:val="00AF5C65"/>
    <w:rsid w:val="00AF632C"/>
    <w:rsid w:val="00AF69B0"/>
    <w:rsid w:val="00AF7CD3"/>
    <w:rsid w:val="00B00300"/>
    <w:rsid w:val="00B009A6"/>
    <w:rsid w:val="00B00D5C"/>
    <w:rsid w:val="00B01361"/>
    <w:rsid w:val="00B01C7C"/>
    <w:rsid w:val="00B01FEA"/>
    <w:rsid w:val="00B020BB"/>
    <w:rsid w:val="00B0242B"/>
    <w:rsid w:val="00B03456"/>
    <w:rsid w:val="00B0377E"/>
    <w:rsid w:val="00B0386E"/>
    <w:rsid w:val="00B0397B"/>
    <w:rsid w:val="00B045FA"/>
    <w:rsid w:val="00B06136"/>
    <w:rsid w:val="00B0631B"/>
    <w:rsid w:val="00B06B26"/>
    <w:rsid w:val="00B07A7F"/>
    <w:rsid w:val="00B07BA9"/>
    <w:rsid w:val="00B07BC4"/>
    <w:rsid w:val="00B07C8E"/>
    <w:rsid w:val="00B10055"/>
    <w:rsid w:val="00B107BB"/>
    <w:rsid w:val="00B108CD"/>
    <w:rsid w:val="00B1094C"/>
    <w:rsid w:val="00B10CA5"/>
    <w:rsid w:val="00B10D35"/>
    <w:rsid w:val="00B1141E"/>
    <w:rsid w:val="00B118AB"/>
    <w:rsid w:val="00B12719"/>
    <w:rsid w:val="00B1278B"/>
    <w:rsid w:val="00B129D3"/>
    <w:rsid w:val="00B12ECE"/>
    <w:rsid w:val="00B131BB"/>
    <w:rsid w:val="00B13727"/>
    <w:rsid w:val="00B13D8F"/>
    <w:rsid w:val="00B13DE8"/>
    <w:rsid w:val="00B144F8"/>
    <w:rsid w:val="00B145E4"/>
    <w:rsid w:val="00B14D84"/>
    <w:rsid w:val="00B15019"/>
    <w:rsid w:val="00B165DB"/>
    <w:rsid w:val="00B16A06"/>
    <w:rsid w:val="00B16BBE"/>
    <w:rsid w:val="00B17295"/>
    <w:rsid w:val="00B2067D"/>
    <w:rsid w:val="00B20E81"/>
    <w:rsid w:val="00B20E89"/>
    <w:rsid w:val="00B20EBC"/>
    <w:rsid w:val="00B213ED"/>
    <w:rsid w:val="00B215F5"/>
    <w:rsid w:val="00B22D06"/>
    <w:rsid w:val="00B22D9F"/>
    <w:rsid w:val="00B236C6"/>
    <w:rsid w:val="00B23AC5"/>
    <w:rsid w:val="00B24130"/>
    <w:rsid w:val="00B24FAB"/>
    <w:rsid w:val="00B2506E"/>
    <w:rsid w:val="00B2519B"/>
    <w:rsid w:val="00B259A6"/>
    <w:rsid w:val="00B26516"/>
    <w:rsid w:val="00B26B62"/>
    <w:rsid w:val="00B26EBF"/>
    <w:rsid w:val="00B27193"/>
    <w:rsid w:val="00B2795A"/>
    <w:rsid w:val="00B27A54"/>
    <w:rsid w:val="00B300EA"/>
    <w:rsid w:val="00B30783"/>
    <w:rsid w:val="00B30DAB"/>
    <w:rsid w:val="00B30DBB"/>
    <w:rsid w:val="00B31840"/>
    <w:rsid w:val="00B31A45"/>
    <w:rsid w:val="00B31FDD"/>
    <w:rsid w:val="00B32891"/>
    <w:rsid w:val="00B331DC"/>
    <w:rsid w:val="00B333C9"/>
    <w:rsid w:val="00B33BAE"/>
    <w:rsid w:val="00B33F18"/>
    <w:rsid w:val="00B343FC"/>
    <w:rsid w:val="00B350C4"/>
    <w:rsid w:val="00B35170"/>
    <w:rsid w:val="00B35839"/>
    <w:rsid w:val="00B35910"/>
    <w:rsid w:val="00B359A6"/>
    <w:rsid w:val="00B35B14"/>
    <w:rsid w:val="00B35C13"/>
    <w:rsid w:val="00B36881"/>
    <w:rsid w:val="00B37D64"/>
    <w:rsid w:val="00B40444"/>
    <w:rsid w:val="00B41094"/>
    <w:rsid w:val="00B41ECA"/>
    <w:rsid w:val="00B41F0F"/>
    <w:rsid w:val="00B422CF"/>
    <w:rsid w:val="00B42560"/>
    <w:rsid w:val="00B428F0"/>
    <w:rsid w:val="00B42B08"/>
    <w:rsid w:val="00B4346E"/>
    <w:rsid w:val="00B43CD6"/>
    <w:rsid w:val="00B4474C"/>
    <w:rsid w:val="00B44ED8"/>
    <w:rsid w:val="00B455AA"/>
    <w:rsid w:val="00B45778"/>
    <w:rsid w:val="00B457A1"/>
    <w:rsid w:val="00B4630F"/>
    <w:rsid w:val="00B464B1"/>
    <w:rsid w:val="00B464CC"/>
    <w:rsid w:val="00B46E82"/>
    <w:rsid w:val="00B4705D"/>
    <w:rsid w:val="00B47A4A"/>
    <w:rsid w:val="00B47B8B"/>
    <w:rsid w:val="00B47B99"/>
    <w:rsid w:val="00B47C09"/>
    <w:rsid w:val="00B506F2"/>
    <w:rsid w:val="00B5101B"/>
    <w:rsid w:val="00B510E3"/>
    <w:rsid w:val="00B5183F"/>
    <w:rsid w:val="00B518D7"/>
    <w:rsid w:val="00B51AFF"/>
    <w:rsid w:val="00B51DFB"/>
    <w:rsid w:val="00B521AC"/>
    <w:rsid w:val="00B52702"/>
    <w:rsid w:val="00B52753"/>
    <w:rsid w:val="00B5329F"/>
    <w:rsid w:val="00B5344E"/>
    <w:rsid w:val="00B53827"/>
    <w:rsid w:val="00B53881"/>
    <w:rsid w:val="00B5498D"/>
    <w:rsid w:val="00B54D06"/>
    <w:rsid w:val="00B5501D"/>
    <w:rsid w:val="00B5548B"/>
    <w:rsid w:val="00B557FE"/>
    <w:rsid w:val="00B55E64"/>
    <w:rsid w:val="00B5655C"/>
    <w:rsid w:val="00B5711C"/>
    <w:rsid w:val="00B57797"/>
    <w:rsid w:val="00B57CA9"/>
    <w:rsid w:val="00B6090A"/>
    <w:rsid w:val="00B6151E"/>
    <w:rsid w:val="00B6152E"/>
    <w:rsid w:val="00B62348"/>
    <w:rsid w:val="00B6244A"/>
    <w:rsid w:val="00B6293D"/>
    <w:rsid w:val="00B639EE"/>
    <w:rsid w:val="00B63CC3"/>
    <w:rsid w:val="00B64962"/>
    <w:rsid w:val="00B64978"/>
    <w:rsid w:val="00B6598E"/>
    <w:rsid w:val="00B6635B"/>
    <w:rsid w:val="00B66B25"/>
    <w:rsid w:val="00B66C38"/>
    <w:rsid w:val="00B676EC"/>
    <w:rsid w:val="00B67B36"/>
    <w:rsid w:val="00B67FAB"/>
    <w:rsid w:val="00B7016C"/>
    <w:rsid w:val="00B7039B"/>
    <w:rsid w:val="00B703A8"/>
    <w:rsid w:val="00B708A5"/>
    <w:rsid w:val="00B708E6"/>
    <w:rsid w:val="00B70D46"/>
    <w:rsid w:val="00B70DBE"/>
    <w:rsid w:val="00B71790"/>
    <w:rsid w:val="00B71D19"/>
    <w:rsid w:val="00B71D39"/>
    <w:rsid w:val="00B7214D"/>
    <w:rsid w:val="00B737D3"/>
    <w:rsid w:val="00B73F58"/>
    <w:rsid w:val="00B74D1E"/>
    <w:rsid w:val="00B74FD3"/>
    <w:rsid w:val="00B76359"/>
    <w:rsid w:val="00B76912"/>
    <w:rsid w:val="00B76A18"/>
    <w:rsid w:val="00B76D1C"/>
    <w:rsid w:val="00B76F60"/>
    <w:rsid w:val="00B771EA"/>
    <w:rsid w:val="00B77220"/>
    <w:rsid w:val="00B803CA"/>
    <w:rsid w:val="00B82B3E"/>
    <w:rsid w:val="00B82F41"/>
    <w:rsid w:val="00B834B7"/>
    <w:rsid w:val="00B84061"/>
    <w:rsid w:val="00B84AEE"/>
    <w:rsid w:val="00B84BB2"/>
    <w:rsid w:val="00B84C6C"/>
    <w:rsid w:val="00B8563C"/>
    <w:rsid w:val="00B856D2"/>
    <w:rsid w:val="00B85C46"/>
    <w:rsid w:val="00B86544"/>
    <w:rsid w:val="00B86A8B"/>
    <w:rsid w:val="00B87538"/>
    <w:rsid w:val="00B877AA"/>
    <w:rsid w:val="00B87FBB"/>
    <w:rsid w:val="00B90AB0"/>
    <w:rsid w:val="00B92687"/>
    <w:rsid w:val="00B92F79"/>
    <w:rsid w:val="00B9349C"/>
    <w:rsid w:val="00B94248"/>
    <w:rsid w:val="00B942A1"/>
    <w:rsid w:val="00B94B4F"/>
    <w:rsid w:val="00B950D7"/>
    <w:rsid w:val="00B9632C"/>
    <w:rsid w:val="00B976F6"/>
    <w:rsid w:val="00B97BC1"/>
    <w:rsid w:val="00B97D54"/>
    <w:rsid w:val="00BA0447"/>
    <w:rsid w:val="00BA094A"/>
    <w:rsid w:val="00BA0D6B"/>
    <w:rsid w:val="00BA1916"/>
    <w:rsid w:val="00BA1953"/>
    <w:rsid w:val="00BA2993"/>
    <w:rsid w:val="00BA2E40"/>
    <w:rsid w:val="00BA337C"/>
    <w:rsid w:val="00BA3B1F"/>
    <w:rsid w:val="00BA543A"/>
    <w:rsid w:val="00BA56BE"/>
    <w:rsid w:val="00BA5E3F"/>
    <w:rsid w:val="00BA5F41"/>
    <w:rsid w:val="00BA618D"/>
    <w:rsid w:val="00BA7385"/>
    <w:rsid w:val="00BA7EB1"/>
    <w:rsid w:val="00BB02A0"/>
    <w:rsid w:val="00BB091C"/>
    <w:rsid w:val="00BB0C06"/>
    <w:rsid w:val="00BB1326"/>
    <w:rsid w:val="00BB187C"/>
    <w:rsid w:val="00BB207C"/>
    <w:rsid w:val="00BB236A"/>
    <w:rsid w:val="00BB296B"/>
    <w:rsid w:val="00BB2A9C"/>
    <w:rsid w:val="00BB3622"/>
    <w:rsid w:val="00BB36F4"/>
    <w:rsid w:val="00BB378F"/>
    <w:rsid w:val="00BB3A1C"/>
    <w:rsid w:val="00BB40FC"/>
    <w:rsid w:val="00BB4181"/>
    <w:rsid w:val="00BB4513"/>
    <w:rsid w:val="00BB4D65"/>
    <w:rsid w:val="00BB555F"/>
    <w:rsid w:val="00BB5C76"/>
    <w:rsid w:val="00BB682C"/>
    <w:rsid w:val="00BB7CA9"/>
    <w:rsid w:val="00BC2149"/>
    <w:rsid w:val="00BC236B"/>
    <w:rsid w:val="00BC282E"/>
    <w:rsid w:val="00BC2B5E"/>
    <w:rsid w:val="00BC2BB4"/>
    <w:rsid w:val="00BC2D95"/>
    <w:rsid w:val="00BC354C"/>
    <w:rsid w:val="00BC38F2"/>
    <w:rsid w:val="00BC3A20"/>
    <w:rsid w:val="00BC5AA8"/>
    <w:rsid w:val="00BC65D9"/>
    <w:rsid w:val="00BC782E"/>
    <w:rsid w:val="00BC7C52"/>
    <w:rsid w:val="00BD0CF6"/>
    <w:rsid w:val="00BD11D6"/>
    <w:rsid w:val="00BD146B"/>
    <w:rsid w:val="00BD1471"/>
    <w:rsid w:val="00BD14C5"/>
    <w:rsid w:val="00BD1662"/>
    <w:rsid w:val="00BD196A"/>
    <w:rsid w:val="00BD2081"/>
    <w:rsid w:val="00BD20D1"/>
    <w:rsid w:val="00BD22C3"/>
    <w:rsid w:val="00BD2311"/>
    <w:rsid w:val="00BD2392"/>
    <w:rsid w:val="00BD3070"/>
    <w:rsid w:val="00BD3A5E"/>
    <w:rsid w:val="00BD4094"/>
    <w:rsid w:val="00BD41F5"/>
    <w:rsid w:val="00BD5242"/>
    <w:rsid w:val="00BD6262"/>
    <w:rsid w:val="00BD6675"/>
    <w:rsid w:val="00BD6773"/>
    <w:rsid w:val="00BD6DC4"/>
    <w:rsid w:val="00BD6FEA"/>
    <w:rsid w:val="00BD7BDD"/>
    <w:rsid w:val="00BD7EED"/>
    <w:rsid w:val="00BE0561"/>
    <w:rsid w:val="00BE05B8"/>
    <w:rsid w:val="00BE0883"/>
    <w:rsid w:val="00BE16A1"/>
    <w:rsid w:val="00BE1A7D"/>
    <w:rsid w:val="00BE1D79"/>
    <w:rsid w:val="00BE3568"/>
    <w:rsid w:val="00BE4184"/>
    <w:rsid w:val="00BE4C48"/>
    <w:rsid w:val="00BE518A"/>
    <w:rsid w:val="00BE5D38"/>
    <w:rsid w:val="00BE5F76"/>
    <w:rsid w:val="00BE6014"/>
    <w:rsid w:val="00BE61C1"/>
    <w:rsid w:val="00BE64AF"/>
    <w:rsid w:val="00BE6717"/>
    <w:rsid w:val="00BE6D55"/>
    <w:rsid w:val="00BE7446"/>
    <w:rsid w:val="00BE751B"/>
    <w:rsid w:val="00BE77F7"/>
    <w:rsid w:val="00BE7EE1"/>
    <w:rsid w:val="00BE7F88"/>
    <w:rsid w:val="00BF0381"/>
    <w:rsid w:val="00BF048A"/>
    <w:rsid w:val="00BF0B40"/>
    <w:rsid w:val="00BF1373"/>
    <w:rsid w:val="00BF1546"/>
    <w:rsid w:val="00BF1747"/>
    <w:rsid w:val="00BF1765"/>
    <w:rsid w:val="00BF23C4"/>
    <w:rsid w:val="00BF2914"/>
    <w:rsid w:val="00BF399B"/>
    <w:rsid w:val="00BF446E"/>
    <w:rsid w:val="00BF47DF"/>
    <w:rsid w:val="00BF47EA"/>
    <w:rsid w:val="00BF4B61"/>
    <w:rsid w:val="00BF4C54"/>
    <w:rsid w:val="00BF56E6"/>
    <w:rsid w:val="00BF58D7"/>
    <w:rsid w:val="00BF5FEB"/>
    <w:rsid w:val="00BF6858"/>
    <w:rsid w:val="00BF6E7B"/>
    <w:rsid w:val="00BF7695"/>
    <w:rsid w:val="00C01021"/>
    <w:rsid w:val="00C0141F"/>
    <w:rsid w:val="00C0177F"/>
    <w:rsid w:val="00C01F6C"/>
    <w:rsid w:val="00C0278E"/>
    <w:rsid w:val="00C027FD"/>
    <w:rsid w:val="00C02CE0"/>
    <w:rsid w:val="00C03526"/>
    <w:rsid w:val="00C04596"/>
    <w:rsid w:val="00C048AF"/>
    <w:rsid w:val="00C05FAA"/>
    <w:rsid w:val="00C06308"/>
    <w:rsid w:val="00C06587"/>
    <w:rsid w:val="00C065EB"/>
    <w:rsid w:val="00C06D5B"/>
    <w:rsid w:val="00C06F32"/>
    <w:rsid w:val="00C077E0"/>
    <w:rsid w:val="00C07A6E"/>
    <w:rsid w:val="00C07AD8"/>
    <w:rsid w:val="00C07DE6"/>
    <w:rsid w:val="00C10F68"/>
    <w:rsid w:val="00C116FF"/>
    <w:rsid w:val="00C11E95"/>
    <w:rsid w:val="00C11FFA"/>
    <w:rsid w:val="00C12286"/>
    <w:rsid w:val="00C12530"/>
    <w:rsid w:val="00C12CA5"/>
    <w:rsid w:val="00C12D7E"/>
    <w:rsid w:val="00C1335A"/>
    <w:rsid w:val="00C137E1"/>
    <w:rsid w:val="00C13967"/>
    <w:rsid w:val="00C154B5"/>
    <w:rsid w:val="00C157F4"/>
    <w:rsid w:val="00C15868"/>
    <w:rsid w:val="00C15DF9"/>
    <w:rsid w:val="00C15F1F"/>
    <w:rsid w:val="00C16821"/>
    <w:rsid w:val="00C16D05"/>
    <w:rsid w:val="00C17760"/>
    <w:rsid w:val="00C17872"/>
    <w:rsid w:val="00C205E9"/>
    <w:rsid w:val="00C212FC"/>
    <w:rsid w:val="00C2152A"/>
    <w:rsid w:val="00C21A78"/>
    <w:rsid w:val="00C21FB6"/>
    <w:rsid w:val="00C23553"/>
    <w:rsid w:val="00C23658"/>
    <w:rsid w:val="00C23A0F"/>
    <w:rsid w:val="00C23F48"/>
    <w:rsid w:val="00C242BD"/>
    <w:rsid w:val="00C243AF"/>
    <w:rsid w:val="00C24A6B"/>
    <w:rsid w:val="00C2564B"/>
    <w:rsid w:val="00C25CB8"/>
    <w:rsid w:val="00C262BD"/>
    <w:rsid w:val="00C30E04"/>
    <w:rsid w:val="00C3107E"/>
    <w:rsid w:val="00C310C2"/>
    <w:rsid w:val="00C3187F"/>
    <w:rsid w:val="00C31F38"/>
    <w:rsid w:val="00C328F7"/>
    <w:rsid w:val="00C33509"/>
    <w:rsid w:val="00C33880"/>
    <w:rsid w:val="00C35259"/>
    <w:rsid w:val="00C35A03"/>
    <w:rsid w:val="00C3603C"/>
    <w:rsid w:val="00C36078"/>
    <w:rsid w:val="00C36153"/>
    <w:rsid w:val="00C36525"/>
    <w:rsid w:val="00C373A2"/>
    <w:rsid w:val="00C37989"/>
    <w:rsid w:val="00C37C04"/>
    <w:rsid w:val="00C4006E"/>
    <w:rsid w:val="00C40653"/>
    <w:rsid w:val="00C40AE1"/>
    <w:rsid w:val="00C40E55"/>
    <w:rsid w:val="00C40EB3"/>
    <w:rsid w:val="00C40FD1"/>
    <w:rsid w:val="00C41363"/>
    <w:rsid w:val="00C417B0"/>
    <w:rsid w:val="00C41855"/>
    <w:rsid w:val="00C41935"/>
    <w:rsid w:val="00C41BD9"/>
    <w:rsid w:val="00C422DB"/>
    <w:rsid w:val="00C422EB"/>
    <w:rsid w:val="00C42500"/>
    <w:rsid w:val="00C43024"/>
    <w:rsid w:val="00C434FD"/>
    <w:rsid w:val="00C4350E"/>
    <w:rsid w:val="00C4363A"/>
    <w:rsid w:val="00C438E2"/>
    <w:rsid w:val="00C43A24"/>
    <w:rsid w:val="00C44117"/>
    <w:rsid w:val="00C4414C"/>
    <w:rsid w:val="00C4421D"/>
    <w:rsid w:val="00C4492D"/>
    <w:rsid w:val="00C45335"/>
    <w:rsid w:val="00C455E5"/>
    <w:rsid w:val="00C45B8A"/>
    <w:rsid w:val="00C4693C"/>
    <w:rsid w:val="00C47612"/>
    <w:rsid w:val="00C47AC7"/>
    <w:rsid w:val="00C47C24"/>
    <w:rsid w:val="00C47FB6"/>
    <w:rsid w:val="00C50A27"/>
    <w:rsid w:val="00C50BB4"/>
    <w:rsid w:val="00C50E5D"/>
    <w:rsid w:val="00C5192E"/>
    <w:rsid w:val="00C51DF7"/>
    <w:rsid w:val="00C521EF"/>
    <w:rsid w:val="00C522DA"/>
    <w:rsid w:val="00C52DE6"/>
    <w:rsid w:val="00C53250"/>
    <w:rsid w:val="00C5337B"/>
    <w:rsid w:val="00C53DD7"/>
    <w:rsid w:val="00C54A46"/>
    <w:rsid w:val="00C54CF3"/>
    <w:rsid w:val="00C5518B"/>
    <w:rsid w:val="00C559A6"/>
    <w:rsid w:val="00C56316"/>
    <w:rsid w:val="00C56E56"/>
    <w:rsid w:val="00C56E8F"/>
    <w:rsid w:val="00C56F57"/>
    <w:rsid w:val="00C56FE7"/>
    <w:rsid w:val="00C600DC"/>
    <w:rsid w:val="00C6016B"/>
    <w:rsid w:val="00C601DB"/>
    <w:rsid w:val="00C60CCE"/>
    <w:rsid w:val="00C60F27"/>
    <w:rsid w:val="00C610AB"/>
    <w:rsid w:val="00C6148D"/>
    <w:rsid w:val="00C619D8"/>
    <w:rsid w:val="00C62076"/>
    <w:rsid w:val="00C62F1D"/>
    <w:rsid w:val="00C63285"/>
    <w:rsid w:val="00C634A7"/>
    <w:rsid w:val="00C637B5"/>
    <w:rsid w:val="00C638D7"/>
    <w:rsid w:val="00C638DF"/>
    <w:rsid w:val="00C64720"/>
    <w:rsid w:val="00C65158"/>
    <w:rsid w:val="00C6517F"/>
    <w:rsid w:val="00C65B5F"/>
    <w:rsid w:val="00C661DF"/>
    <w:rsid w:val="00C6661B"/>
    <w:rsid w:val="00C66688"/>
    <w:rsid w:val="00C67BA6"/>
    <w:rsid w:val="00C70036"/>
    <w:rsid w:val="00C7025A"/>
    <w:rsid w:val="00C70DA3"/>
    <w:rsid w:val="00C717AA"/>
    <w:rsid w:val="00C71920"/>
    <w:rsid w:val="00C72A63"/>
    <w:rsid w:val="00C72CA5"/>
    <w:rsid w:val="00C73150"/>
    <w:rsid w:val="00C73225"/>
    <w:rsid w:val="00C7380B"/>
    <w:rsid w:val="00C73ECB"/>
    <w:rsid w:val="00C73FD8"/>
    <w:rsid w:val="00C7423F"/>
    <w:rsid w:val="00C7494B"/>
    <w:rsid w:val="00C75335"/>
    <w:rsid w:val="00C75ED3"/>
    <w:rsid w:val="00C76F8A"/>
    <w:rsid w:val="00C77A70"/>
    <w:rsid w:val="00C80428"/>
    <w:rsid w:val="00C80AE4"/>
    <w:rsid w:val="00C8113A"/>
    <w:rsid w:val="00C8118C"/>
    <w:rsid w:val="00C81208"/>
    <w:rsid w:val="00C81E43"/>
    <w:rsid w:val="00C821FD"/>
    <w:rsid w:val="00C82314"/>
    <w:rsid w:val="00C823F0"/>
    <w:rsid w:val="00C82461"/>
    <w:rsid w:val="00C824B9"/>
    <w:rsid w:val="00C827FD"/>
    <w:rsid w:val="00C8293A"/>
    <w:rsid w:val="00C82E94"/>
    <w:rsid w:val="00C83057"/>
    <w:rsid w:val="00C84227"/>
    <w:rsid w:val="00C84966"/>
    <w:rsid w:val="00C85390"/>
    <w:rsid w:val="00C856A8"/>
    <w:rsid w:val="00C857F1"/>
    <w:rsid w:val="00C86CB0"/>
    <w:rsid w:val="00C870AE"/>
    <w:rsid w:val="00C871C4"/>
    <w:rsid w:val="00C8769A"/>
    <w:rsid w:val="00C87966"/>
    <w:rsid w:val="00C87E40"/>
    <w:rsid w:val="00C90372"/>
    <w:rsid w:val="00C90448"/>
    <w:rsid w:val="00C90DED"/>
    <w:rsid w:val="00C910DD"/>
    <w:rsid w:val="00C9242B"/>
    <w:rsid w:val="00C92511"/>
    <w:rsid w:val="00C930BF"/>
    <w:rsid w:val="00C933D5"/>
    <w:rsid w:val="00C93450"/>
    <w:rsid w:val="00C934AD"/>
    <w:rsid w:val="00C93AC4"/>
    <w:rsid w:val="00C93C8F"/>
    <w:rsid w:val="00C93E1C"/>
    <w:rsid w:val="00C9422F"/>
    <w:rsid w:val="00C94A7F"/>
    <w:rsid w:val="00C94DA2"/>
    <w:rsid w:val="00C95C9B"/>
    <w:rsid w:val="00C96A10"/>
    <w:rsid w:val="00C97301"/>
    <w:rsid w:val="00C97680"/>
    <w:rsid w:val="00C978D8"/>
    <w:rsid w:val="00CA0C4C"/>
    <w:rsid w:val="00CA1130"/>
    <w:rsid w:val="00CA153F"/>
    <w:rsid w:val="00CA1EE3"/>
    <w:rsid w:val="00CA2277"/>
    <w:rsid w:val="00CA25AF"/>
    <w:rsid w:val="00CA29FA"/>
    <w:rsid w:val="00CA2D05"/>
    <w:rsid w:val="00CA2EA8"/>
    <w:rsid w:val="00CA37A0"/>
    <w:rsid w:val="00CA3B88"/>
    <w:rsid w:val="00CA3DB2"/>
    <w:rsid w:val="00CA415F"/>
    <w:rsid w:val="00CA4175"/>
    <w:rsid w:val="00CA4362"/>
    <w:rsid w:val="00CA4798"/>
    <w:rsid w:val="00CA529D"/>
    <w:rsid w:val="00CA5598"/>
    <w:rsid w:val="00CA5620"/>
    <w:rsid w:val="00CA5746"/>
    <w:rsid w:val="00CA57BA"/>
    <w:rsid w:val="00CA5EA7"/>
    <w:rsid w:val="00CA5F28"/>
    <w:rsid w:val="00CA64C8"/>
    <w:rsid w:val="00CA6D0E"/>
    <w:rsid w:val="00CA6E08"/>
    <w:rsid w:val="00CA7048"/>
    <w:rsid w:val="00CA7B6D"/>
    <w:rsid w:val="00CA7E00"/>
    <w:rsid w:val="00CB026C"/>
    <w:rsid w:val="00CB03C6"/>
    <w:rsid w:val="00CB0498"/>
    <w:rsid w:val="00CB08C6"/>
    <w:rsid w:val="00CB0D25"/>
    <w:rsid w:val="00CB0F29"/>
    <w:rsid w:val="00CB1697"/>
    <w:rsid w:val="00CB170F"/>
    <w:rsid w:val="00CB180F"/>
    <w:rsid w:val="00CB188F"/>
    <w:rsid w:val="00CB1A6C"/>
    <w:rsid w:val="00CB1AF7"/>
    <w:rsid w:val="00CB2C14"/>
    <w:rsid w:val="00CB355F"/>
    <w:rsid w:val="00CB57DC"/>
    <w:rsid w:val="00CB5A49"/>
    <w:rsid w:val="00CB5C15"/>
    <w:rsid w:val="00CB65D4"/>
    <w:rsid w:val="00CB678B"/>
    <w:rsid w:val="00CB6C04"/>
    <w:rsid w:val="00CB6CFA"/>
    <w:rsid w:val="00CB75E3"/>
    <w:rsid w:val="00CB79F2"/>
    <w:rsid w:val="00CC03FC"/>
    <w:rsid w:val="00CC0CD7"/>
    <w:rsid w:val="00CC1228"/>
    <w:rsid w:val="00CC1378"/>
    <w:rsid w:val="00CC1831"/>
    <w:rsid w:val="00CC1A21"/>
    <w:rsid w:val="00CC201E"/>
    <w:rsid w:val="00CC2046"/>
    <w:rsid w:val="00CC2C8C"/>
    <w:rsid w:val="00CC33E6"/>
    <w:rsid w:val="00CC43AF"/>
    <w:rsid w:val="00CC5366"/>
    <w:rsid w:val="00CC5B68"/>
    <w:rsid w:val="00CC659B"/>
    <w:rsid w:val="00CC66DE"/>
    <w:rsid w:val="00CC6C5F"/>
    <w:rsid w:val="00CC7074"/>
    <w:rsid w:val="00CC7194"/>
    <w:rsid w:val="00CC73DE"/>
    <w:rsid w:val="00CC75F1"/>
    <w:rsid w:val="00CC7BFD"/>
    <w:rsid w:val="00CC7C0C"/>
    <w:rsid w:val="00CD0ACC"/>
    <w:rsid w:val="00CD16CA"/>
    <w:rsid w:val="00CD17B3"/>
    <w:rsid w:val="00CD1C8F"/>
    <w:rsid w:val="00CD2936"/>
    <w:rsid w:val="00CD2A31"/>
    <w:rsid w:val="00CD2FF1"/>
    <w:rsid w:val="00CD3795"/>
    <w:rsid w:val="00CD4143"/>
    <w:rsid w:val="00CD466C"/>
    <w:rsid w:val="00CD4988"/>
    <w:rsid w:val="00CD4E34"/>
    <w:rsid w:val="00CD5694"/>
    <w:rsid w:val="00CD6545"/>
    <w:rsid w:val="00CD75E3"/>
    <w:rsid w:val="00CD7713"/>
    <w:rsid w:val="00CD79EB"/>
    <w:rsid w:val="00CD7D8B"/>
    <w:rsid w:val="00CE063A"/>
    <w:rsid w:val="00CE0832"/>
    <w:rsid w:val="00CE1232"/>
    <w:rsid w:val="00CE141E"/>
    <w:rsid w:val="00CE1FB3"/>
    <w:rsid w:val="00CE2627"/>
    <w:rsid w:val="00CE2A03"/>
    <w:rsid w:val="00CE2EB2"/>
    <w:rsid w:val="00CE31CC"/>
    <w:rsid w:val="00CE3BAA"/>
    <w:rsid w:val="00CE4A85"/>
    <w:rsid w:val="00CE525D"/>
    <w:rsid w:val="00CE56A8"/>
    <w:rsid w:val="00CE5C6E"/>
    <w:rsid w:val="00CE5C99"/>
    <w:rsid w:val="00CE6CC9"/>
    <w:rsid w:val="00CF06DA"/>
    <w:rsid w:val="00CF0D74"/>
    <w:rsid w:val="00CF0EB7"/>
    <w:rsid w:val="00CF1003"/>
    <w:rsid w:val="00CF1B9A"/>
    <w:rsid w:val="00CF2186"/>
    <w:rsid w:val="00CF23EE"/>
    <w:rsid w:val="00CF41D3"/>
    <w:rsid w:val="00CF4219"/>
    <w:rsid w:val="00CF4D33"/>
    <w:rsid w:val="00CF54E4"/>
    <w:rsid w:val="00CF55C8"/>
    <w:rsid w:val="00CF646C"/>
    <w:rsid w:val="00CF69EF"/>
    <w:rsid w:val="00CF6A00"/>
    <w:rsid w:val="00CF6B59"/>
    <w:rsid w:val="00CF6F3B"/>
    <w:rsid w:val="00D00EBA"/>
    <w:rsid w:val="00D01845"/>
    <w:rsid w:val="00D01E1A"/>
    <w:rsid w:val="00D0201E"/>
    <w:rsid w:val="00D02B76"/>
    <w:rsid w:val="00D02BEB"/>
    <w:rsid w:val="00D034C7"/>
    <w:rsid w:val="00D039CE"/>
    <w:rsid w:val="00D03E96"/>
    <w:rsid w:val="00D052B2"/>
    <w:rsid w:val="00D058F2"/>
    <w:rsid w:val="00D05B98"/>
    <w:rsid w:val="00D05D70"/>
    <w:rsid w:val="00D05E74"/>
    <w:rsid w:val="00D0603E"/>
    <w:rsid w:val="00D06ED4"/>
    <w:rsid w:val="00D0799B"/>
    <w:rsid w:val="00D07C1F"/>
    <w:rsid w:val="00D10130"/>
    <w:rsid w:val="00D103AD"/>
    <w:rsid w:val="00D10FB4"/>
    <w:rsid w:val="00D11357"/>
    <w:rsid w:val="00D11A35"/>
    <w:rsid w:val="00D126F7"/>
    <w:rsid w:val="00D12957"/>
    <w:rsid w:val="00D129F5"/>
    <w:rsid w:val="00D12ADE"/>
    <w:rsid w:val="00D12ED9"/>
    <w:rsid w:val="00D13443"/>
    <w:rsid w:val="00D13571"/>
    <w:rsid w:val="00D13714"/>
    <w:rsid w:val="00D13808"/>
    <w:rsid w:val="00D13F79"/>
    <w:rsid w:val="00D141DD"/>
    <w:rsid w:val="00D1428A"/>
    <w:rsid w:val="00D14387"/>
    <w:rsid w:val="00D14480"/>
    <w:rsid w:val="00D1494A"/>
    <w:rsid w:val="00D14974"/>
    <w:rsid w:val="00D14C4F"/>
    <w:rsid w:val="00D15D98"/>
    <w:rsid w:val="00D16739"/>
    <w:rsid w:val="00D167BD"/>
    <w:rsid w:val="00D168FC"/>
    <w:rsid w:val="00D16AA3"/>
    <w:rsid w:val="00D16C6A"/>
    <w:rsid w:val="00D16F50"/>
    <w:rsid w:val="00D17597"/>
    <w:rsid w:val="00D20218"/>
    <w:rsid w:val="00D20886"/>
    <w:rsid w:val="00D20CC1"/>
    <w:rsid w:val="00D2157C"/>
    <w:rsid w:val="00D21887"/>
    <w:rsid w:val="00D21F23"/>
    <w:rsid w:val="00D22DEF"/>
    <w:rsid w:val="00D2382B"/>
    <w:rsid w:val="00D23E5E"/>
    <w:rsid w:val="00D2414A"/>
    <w:rsid w:val="00D24AE1"/>
    <w:rsid w:val="00D24BEB"/>
    <w:rsid w:val="00D24EB9"/>
    <w:rsid w:val="00D25F74"/>
    <w:rsid w:val="00D266DE"/>
    <w:rsid w:val="00D26CFE"/>
    <w:rsid w:val="00D26D6B"/>
    <w:rsid w:val="00D30A04"/>
    <w:rsid w:val="00D30C54"/>
    <w:rsid w:val="00D3111C"/>
    <w:rsid w:val="00D312FF"/>
    <w:rsid w:val="00D31689"/>
    <w:rsid w:val="00D321B0"/>
    <w:rsid w:val="00D325D3"/>
    <w:rsid w:val="00D32652"/>
    <w:rsid w:val="00D32954"/>
    <w:rsid w:val="00D32ED0"/>
    <w:rsid w:val="00D34116"/>
    <w:rsid w:val="00D344BF"/>
    <w:rsid w:val="00D349D9"/>
    <w:rsid w:val="00D34C1F"/>
    <w:rsid w:val="00D34C72"/>
    <w:rsid w:val="00D35386"/>
    <w:rsid w:val="00D355E8"/>
    <w:rsid w:val="00D36066"/>
    <w:rsid w:val="00D3669C"/>
    <w:rsid w:val="00D371E1"/>
    <w:rsid w:val="00D37890"/>
    <w:rsid w:val="00D41667"/>
    <w:rsid w:val="00D42432"/>
    <w:rsid w:val="00D43166"/>
    <w:rsid w:val="00D43B1F"/>
    <w:rsid w:val="00D43DD6"/>
    <w:rsid w:val="00D45207"/>
    <w:rsid w:val="00D45303"/>
    <w:rsid w:val="00D454EC"/>
    <w:rsid w:val="00D45AAB"/>
    <w:rsid w:val="00D45C9E"/>
    <w:rsid w:val="00D4622B"/>
    <w:rsid w:val="00D464C1"/>
    <w:rsid w:val="00D47069"/>
    <w:rsid w:val="00D475A8"/>
    <w:rsid w:val="00D478A1"/>
    <w:rsid w:val="00D47F9D"/>
    <w:rsid w:val="00D5026D"/>
    <w:rsid w:val="00D510D2"/>
    <w:rsid w:val="00D51274"/>
    <w:rsid w:val="00D51658"/>
    <w:rsid w:val="00D51C2C"/>
    <w:rsid w:val="00D51D15"/>
    <w:rsid w:val="00D53074"/>
    <w:rsid w:val="00D53091"/>
    <w:rsid w:val="00D53142"/>
    <w:rsid w:val="00D54568"/>
    <w:rsid w:val="00D551E9"/>
    <w:rsid w:val="00D55479"/>
    <w:rsid w:val="00D554CC"/>
    <w:rsid w:val="00D55A36"/>
    <w:rsid w:val="00D5689A"/>
    <w:rsid w:val="00D57072"/>
    <w:rsid w:val="00D57148"/>
    <w:rsid w:val="00D575EA"/>
    <w:rsid w:val="00D576B7"/>
    <w:rsid w:val="00D60843"/>
    <w:rsid w:val="00D60BE7"/>
    <w:rsid w:val="00D611BE"/>
    <w:rsid w:val="00D61249"/>
    <w:rsid w:val="00D61A63"/>
    <w:rsid w:val="00D61AE5"/>
    <w:rsid w:val="00D627F0"/>
    <w:rsid w:val="00D63AF4"/>
    <w:rsid w:val="00D63EC9"/>
    <w:rsid w:val="00D640C2"/>
    <w:rsid w:val="00D64231"/>
    <w:rsid w:val="00D64594"/>
    <w:rsid w:val="00D64636"/>
    <w:rsid w:val="00D64773"/>
    <w:rsid w:val="00D6557E"/>
    <w:rsid w:val="00D65862"/>
    <w:rsid w:val="00D65B87"/>
    <w:rsid w:val="00D65C11"/>
    <w:rsid w:val="00D65C7C"/>
    <w:rsid w:val="00D66076"/>
    <w:rsid w:val="00D668E4"/>
    <w:rsid w:val="00D67466"/>
    <w:rsid w:val="00D701E8"/>
    <w:rsid w:val="00D70391"/>
    <w:rsid w:val="00D703A9"/>
    <w:rsid w:val="00D7047B"/>
    <w:rsid w:val="00D70735"/>
    <w:rsid w:val="00D70C34"/>
    <w:rsid w:val="00D712FD"/>
    <w:rsid w:val="00D71472"/>
    <w:rsid w:val="00D7153F"/>
    <w:rsid w:val="00D71BE1"/>
    <w:rsid w:val="00D720A2"/>
    <w:rsid w:val="00D729A9"/>
    <w:rsid w:val="00D72E16"/>
    <w:rsid w:val="00D741F4"/>
    <w:rsid w:val="00D7428F"/>
    <w:rsid w:val="00D744FC"/>
    <w:rsid w:val="00D74BF8"/>
    <w:rsid w:val="00D74FEC"/>
    <w:rsid w:val="00D75041"/>
    <w:rsid w:val="00D75505"/>
    <w:rsid w:val="00D7633E"/>
    <w:rsid w:val="00D76695"/>
    <w:rsid w:val="00D7674D"/>
    <w:rsid w:val="00D773AA"/>
    <w:rsid w:val="00D775FC"/>
    <w:rsid w:val="00D779D1"/>
    <w:rsid w:val="00D77A81"/>
    <w:rsid w:val="00D77DAB"/>
    <w:rsid w:val="00D77E75"/>
    <w:rsid w:val="00D80299"/>
    <w:rsid w:val="00D80998"/>
    <w:rsid w:val="00D80BDE"/>
    <w:rsid w:val="00D81BFF"/>
    <w:rsid w:val="00D82088"/>
    <w:rsid w:val="00D82179"/>
    <w:rsid w:val="00D8228F"/>
    <w:rsid w:val="00D82C52"/>
    <w:rsid w:val="00D832BB"/>
    <w:rsid w:val="00D83CB1"/>
    <w:rsid w:val="00D84D79"/>
    <w:rsid w:val="00D84E3A"/>
    <w:rsid w:val="00D85685"/>
    <w:rsid w:val="00D862DA"/>
    <w:rsid w:val="00D8640C"/>
    <w:rsid w:val="00D86456"/>
    <w:rsid w:val="00D870BD"/>
    <w:rsid w:val="00D87262"/>
    <w:rsid w:val="00D8744C"/>
    <w:rsid w:val="00D877DF"/>
    <w:rsid w:val="00D90607"/>
    <w:rsid w:val="00D90C9D"/>
    <w:rsid w:val="00D90ED8"/>
    <w:rsid w:val="00D90FE3"/>
    <w:rsid w:val="00D923DF"/>
    <w:rsid w:val="00D924D3"/>
    <w:rsid w:val="00D92617"/>
    <w:rsid w:val="00D92F0A"/>
    <w:rsid w:val="00D936C9"/>
    <w:rsid w:val="00D938E3"/>
    <w:rsid w:val="00D943D0"/>
    <w:rsid w:val="00D948FD"/>
    <w:rsid w:val="00D94C0F"/>
    <w:rsid w:val="00D95168"/>
    <w:rsid w:val="00D95215"/>
    <w:rsid w:val="00D95316"/>
    <w:rsid w:val="00D95656"/>
    <w:rsid w:val="00D95CAD"/>
    <w:rsid w:val="00D96E6B"/>
    <w:rsid w:val="00D9750A"/>
    <w:rsid w:val="00D97888"/>
    <w:rsid w:val="00D97E1D"/>
    <w:rsid w:val="00D97FF8"/>
    <w:rsid w:val="00DA0106"/>
    <w:rsid w:val="00DA09EA"/>
    <w:rsid w:val="00DA0AF4"/>
    <w:rsid w:val="00DA0BB0"/>
    <w:rsid w:val="00DA10DC"/>
    <w:rsid w:val="00DA16B6"/>
    <w:rsid w:val="00DA1FE0"/>
    <w:rsid w:val="00DA206E"/>
    <w:rsid w:val="00DA229E"/>
    <w:rsid w:val="00DA24B3"/>
    <w:rsid w:val="00DA28B7"/>
    <w:rsid w:val="00DA2A3C"/>
    <w:rsid w:val="00DA322F"/>
    <w:rsid w:val="00DA3D7B"/>
    <w:rsid w:val="00DA4F1A"/>
    <w:rsid w:val="00DA6161"/>
    <w:rsid w:val="00DA6721"/>
    <w:rsid w:val="00DA7189"/>
    <w:rsid w:val="00DA7370"/>
    <w:rsid w:val="00DA7BD2"/>
    <w:rsid w:val="00DB0608"/>
    <w:rsid w:val="00DB0783"/>
    <w:rsid w:val="00DB08BA"/>
    <w:rsid w:val="00DB1190"/>
    <w:rsid w:val="00DB1530"/>
    <w:rsid w:val="00DB1554"/>
    <w:rsid w:val="00DB1A2E"/>
    <w:rsid w:val="00DB2725"/>
    <w:rsid w:val="00DB28B1"/>
    <w:rsid w:val="00DB36DD"/>
    <w:rsid w:val="00DB4594"/>
    <w:rsid w:val="00DB4AA3"/>
    <w:rsid w:val="00DB4BD5"/>
    <w:rsid w:val="00DB5505"/>
    <w:rsid w:val="00DB67FA"/>
    <w:rsid w:val="00DB68FF"/>
    <w:rsid w:val="00DB7230"/>
    <w:rsid w:val="00DB7957"/>
    <w:rsid w:val="00DB7EBB"/>
    <w:rsid w:val="00DC04D7"/>
    <w:rsid w:val="00DC0712"/>
    <w:rsid w:val="00DC0D20"/>
    <w:rsid w:val="00DC0DCD"/>
    <w:rsid w:val="00DC11FC"/>
    <w:rsid w:val="00DC2D6E"/>
    <w:rsid w:val="00DC3034"/>
    <w:rsid w:val="00DC30BF"/>
    <w:rsid w:val="00DC32BA"/>
    <w:rsid w:val="00DC4FC2"/>
    <w:rsid w:val="00DC5272"/>
    <w:rsid w:val="00DC5A54"/>
    <w:rsid w:val="00DC5FD8"/>
    <w:rsid w:val="00DC6C99"/>
    <w:rsid w:val="00DC71FC"/>
    <w:rsid w:val="00DD0969"/>
    <w:rsid w:val="00DD09D9"/>
    <w:rsid w:val="00DD315E"/>
    <w:rsid w:val="00DD37EC"/>
    <w:rsid w:val="00DD39BC"/>
    <w:rsid w:val="00DD4EFD"/>
    <w:rsid w:val="00DD548D"/>
    <w:rsid w:val="00DD54D7"/>
    <w:rsid w:val="00DD6518"/>
    <w:rsid w:val="00DD6537"/>
    <w:rsid w:val="00DD6667"/>
    <w:rsid w:val="00DD68C0"/>
    <w:rsid w:val="00DD740C"/>
    <w:rsid w:val="00DD74A2"/>
    <w:rsid w:val="00DE0008"/>
    <w:rsid w:val="00DE03F5"/>
    <w:rsid w:val="00DE079D"/>
    <w:rsid w:val="00DE2031"/>
    <w:rsid w:val="00DE23FF"/>
    <w:rsid w:val="00DE383B"/>
    <w:rsid w:val="00DE38D7"/>
    <w:rsid w:val="00DE4558"/>
    <w:rsid w:val="00DE49BE"/>
    <w:rsid w:val="00DE4BB7"/>
    <w:rsid w:val="00DE6576"/>
    <w:rsid w:val="00DE66F6"/>
    <w:rsid w:val="00DE77C9"/>
    <w:rsid w:val="00DF0007"/>
    <w:rsid w:val="00DF012D"/>
    <w:rsid w:val="00DF3F30"/>
    <w:rsid w:val="00DF4413"/>
    <w:rsid w:val="00DF4614"/>
    <w:rsid w:val="00DF4698"/>
    <w:rsid w:val="00DF4B25"/>
    <w:rsid w:val="00DF62C0"/>
    <w:rsid w:val="00DF64D3"/>
    <w:rsid w:val="00DF6D10"/>
    <w:rsid w:val="00DF7A77"/>
    <w:rsid w:val="00DF7B25"/>
    <w:rsid w:val="00DF7D7D"/>
    <w:rsid w:val="00E00B67"/>
    <w:rsid w:val="00E010EF"/>
    <w:rsid w:val="00E01EE5"/>
    <w:rsid w:val="00E0215F"/>
    <w:rsid w:val="00E030A0"/>
    <w:rsid w:val="00E03822"/>
    <w:rsid w:val="00E03B70"/>
    <w:rsid w:val="00E046F9"/>
    <w:rsid w:val="00E04840"/>
    <w:rsid w:val="00E048EF"/>
    <w:rsid w:val="00E04B0F"/>
    <w:rsid w:val="00E06382"/>
    <w:rsid w:val="00E06831"/>
    <w:rsid w:val="00E06B89"/>
    <w:rsid w:val="00E07468"/>
    <w:rsid w:val="00E078C3"/>
    <w:rsid w:val="00E111B3"/>
    <w:rsid w:val="00E1121B"/>
    <w:rsid w:val="00E11760"/>
    <w:rsid w:val="00E11871"/>
    <w:rsid w:val="00E1316E"/>
    <w:rsid w:val="00E135A1"/>
    <w:rsid w:val="00E136B9"/>
    <w:rsid w:val="00E1378A"/>
    <w:rsid w:val="00E13C90"/>
    <w:rsid w:val="00E1411D"/>
    <w:rsid w:val="00E14785"/>
    <w:rsid w:val="00E1496E"/>
    <w:rsid w:val="00E1514D"/>
    <w:rsid w:val="00E15454"/>
    <w:rsid w:val="00E154D5"/>
    <w:rsid w:val="00E15664"/>
    <w:rsid w:val="00E15785"/>
    <w:rsid w:val="00E15A25"/>
    <w:rsid w:val="00E16316"/>
    <w:rsid w:val="00E1665E"/>
    <w:rsid w:val="00E16A5F"/>
    <w:rsid w:val="00E16EF1"/>
    <w:rsid w:val="00E175DF"/>
    <w:rsid w:val="00E177A0"/>
    <w:rsid w:val="00E17CB3"/>
    <w:rsid w:val="00E17F63"/>
    <w:rsid w:val="00E20068"/>
    <w:rsid w:val="00E20AB3"/>
    <w:rsid w:val="00E20E27"/>
    <w:rsid w:val="00E20EDF"/>
    <w:rsid w:val="00E20EFE"/>
    <w:rsid w:val="00E213C5"/>
    <w:rsid w:val="00E21E07"/>
    <w:rsid w:val="00E22F5C"/>
    <w:rsid w:val="00E2312D"/>
    <w:rsid w:val="00E23924"/>
    <w:rsid w:val="00E23B92"/>
    <w:rsid w:val="00E245EE"/>
    <w:rsid w:val="00E24C73"/>
    <w:rsid w:val="00E252EE"/>
    <w:rsid w:val="00E25ABF"/>
    <w:rsid w:val="00E25B6C"/>
    <w:rsid w:val="00E26A65"/>
    <w:rsid w:val="00E27787"/>
    <w:rsid w:val="00E279C6"/>
    <w:rsid w:val="00E27BF7"/>
    <w:rsid w:val="00E27CE6"/>
    <w:rsid w:val="00E27D85"/>
    <w:rsid w:val="00E27E60"/>
    <w:rsid w:val="00E27F2A"/>
    <w:rsid w:val="00E305F0"/>
    <w:rsid w:val="00E30FC7"/>
    <w:rsid w:val="00E32347"/>
    <w:rsid w:val="00E32F01"/>
    <w:rsid w:val="00E3361D"/>
    <w:rsid w:val="00E337CF"/>
    <w:rsid w:val="00E339D8"/>
    <w:rsid w:val="00E3476D"/>
    <w:rsid w:val="00E3538C"/>
    <w:rsid w:val="00E3550E"/>
    <w:rsid w:val="00E3576D"/>
    <w:rsid w:val="00E35A2A"/>
    <w:rsid w:val="00E35C24"/>
    <w:rsid w:val="00E35FF1"/>
    <w:rsid w:val="00E363B7"/>
    <w:rsid w:val="00E368C3"/>
    <w:rsid w:val="00E369E2"/>
    <w:rsid w:val="00E36D33"/>
    <w:rsid w:val="00E36EF7"/>
    <w:rsid w:val="00E36F25"/>
    <w:rsid w:val="00E3764A"/>
    <w:rsid w:val="00E37EBC"/>
    <w:rsid w:val="00E4022E"/>
    <w:rsid w:val="00E41372"/>
    <w:rsid w:val="00E41839"/>
    <w:rsid w:val="00E41DD8"/>
    <w:rsid w:val="00E42098"/>
    <w:rsid w:val="00E4292F"/>
    <w:rsid w:val="00E43BB1"/>
    <w:rsid w:val="00E43C06"/>
    <w:rsid w:val="00E44761"/>
    <w:rsid w:val="00E44787"/>
    <w:rsid w:val="00E447F0"/>
    <w:rsid w:val="00E449B1"/>
    <w:rsid w:val="00E44A20"/>
    <w:rsid w:val="00E44A56"/>
    <w:rsid w:val="00E44C1B"/>
    <w:rsid w:val="00E44F43"/>
    <w:rsid w:val="00E44F52"/>
    <w:rsid w:val="00E45EA2"/>
    <w:rsid w:val="00E467FD"/>
    <w:rsid w:val="00E46FF5"/>
    <w:rsid w:val="00E47347"/>
    <w:rsid w:val="00E476ED"/>
    <w:rsid w:val="00E477CF"/>
    <w:rsid w:val="00E47B31"/>
    <w:rsid w:val="00E501F7"/>
    <w:rsid w:val="00E50371"/>
    <w:rsid w:val="00E5082D"/>
    <w:rsid w:val="00E50C13"/>
    <w:rsid w:val="00E52554"/>
    <w:rsid w:val="00E528E3"/>
    <w:rsid w:val="00E52ADE"/>
    <w:rsid w:val="00E52B08"/>
    <w:rsid w:val="00E53A9E"/>
    <w:rsid w:val="00E53BA2"/>
    <w:rsid w:val="00E53FCE"/>
    <w:rsid w:val="00E5423F"/>
    <w:rsid w:val="00E5446A"/>
    <w:rsid w:val="00E54A29"/>
    <w:rsid w:val="00E55B12"/>
    <w:rsid w:val="00E5616D"/>
    <w:rsid w:val="00E56C2D"/>
    <w:rsid w:val="00E56DF0"/>
    <w:rsid w:val="00E573E2"/>
    <w:rsid w:val="00E574A9"/>
    <w:rsid w:val="00E57ABE"/>
    <w:rsid w:val="00E600D4"/>
    <w:rsid w:val="00E60721"/>
    <w:rsid w:val="00E60913"/>
    <w:rsid w:val="00E60A37"/>
    <w:rsid w:val="00E60AC7"/>
    <w:rsid w:val="00E60DDC"/>
    <w:rsid w:val="00E60ED6"/>
    <w:rsid w:val="00E60F00"/>
    <w:rsid w:val="00E60F8D"/>
    <w:rsid w:val="00E61355"/>
    <w:rsid w:val="00E613BC"/>
    <w:rsid w:val="00E616FD"/>
    <w:rsid w:val="00E61932"/>
    <w:rsid w:val="00E61CE5"/>
    <w:rsid w:val="00E61F1E"/>
    <w:rsid w:val="00E6275A"/>
    <w:rsid w:val="00E62D86"/>
    <w:rsid w:val="00E635C4"/>
    <w:rsid w:val="00E636A2"/>
    <w:rsid w:val="00E645EA"/>
    <w:rsid w:val="00E64C40"/>
    <w:rsid w:val="00E652A2"/>
    <w:rsid w:val="00E653B6"/>
    <w:rsid w:val="00E66484"/>
    <w:rsid w:val="00E665DC"/>
    <w:rsid w:val="00E66616"/>
    <w:rsid w:val="00E66861"/>
    <w:rsid w:val="00E66981"/>
    <w:rsid w:val="00E66A78"/>
    <w:rsid w:val="00E66E21"/>
    <w:rsid w:val="00E67063"/>
    <w:rsid w:val="00E67A0A"/>
    <w:rsid w:val="00E7002E"/>
    <w:rsid w:val="00E70542"/>
    <w:rsid w:val="00E70575"/>
    <w:rsid w:val="00E70732"/>
    <w:rsid w:val="00E70A5D"/>
    <w:rsid w:val="00E70F38"/>
    <w:rsid w:val="00E710FC"/>
    <w:rsid w:val="00E71915"/>
    <w:rsid w:val="00E71B30"/>
    <w:rsid w:val="00E722DE"/>
    <w:rsid w:val="00E74AB1"/>
    <w:rsid w:val="00E77313"/>
    <w:rsid w:val="00E77DD7"/>
    <w:rsid w:val="00E8079A"/>
    <w:rsid w:val="00E80916"/>
    <w:rsid w:val="00E8114E"/>
    <w:rsid w:val="00E811FD"/>
    <w:rsid w:val="00E8124A"/>
    <w:rsid w:val="00E812C8"/>
    <w:rsid w:val="00E817FA"/>
    <w:rsid w:val="00E81FFD"/>
    <w:rsid w:val="00E82DF9"/>
    <w:rsid w:val="00E83023"/>
    <w:rsid w:val="00E837D8"/>
    <w:rsid w:val="00E840DF"/>
    <w:rsid w:val="00E8452A"/>
    <w:rsid w:val="00E84FE0"/>
    <w:rsid w:val="00E8534A"/>
    <w:rsid w:val="00E8560F"/>
    <w:rsid w:val="00E8603F"/>
    <w:rsid w:val="00E8621A"/>
    <w:rsid w:val="00E86D62"/>
    <w:rsid w:val="00E86E64"/>
    <w:rsid w:val="00E87624"/>
    <w:rsid w:val="00E87780"/>
    <w:rsid w:val="00E8780A"/>
    <w:rsid w:val="00E87D77"/>
    <w:rsid w:val="00E907ED"/>
    <w:rsid w:val="00E90912"/>
    <w:rsid w:val="00E9148B"/>
    <w:rsid w:val="00E91D7E"/>
    <w:rsid w:val="00E923C6"/>
    <w:rsid w:val="00E924F6"/>
    <w:rsid w:val="00E9273C"/>
    <w:rsid w:val="00E92CCD"/>
    <w:rsid w:val="00E9326B"/>
    <w:rsid w:val="00E93CC8"/>
    <w:rsid w:val="00E95039"/>
    <w:rsid w:val="00E957FC"/>
    <w:rsid w:val="00E965E6"/>
    <w:rsid w:val="00E979DB"/>
    <w:rsid w:val="00E97B72"/>
    <w:rsid w:val="00E97EB6"/>
    <w:rsid w:val="00EA0289"/>
    <w:rsid w:val="00EA02D4"/>
    <w:rsid w:val="00EA07A1"/>
    <w:rsid w:val="00EA1978"/>
    <w:rsid w:val="00EA2CAA"/>
    <w:rsid w:val="00EA2D80"/>
    <w:rsid w:val="00EA3BB7"/>
    <w:rsid w:val="00EA4464"/>
    <w:rsid w:val="00EA460C"/>
    <w:rsid w:val="00EA462C"/>
    <w:rsid w:val="00EA4893"/>
    <w:rsid w:val="00EA4D64"/>
    <w:rsid w:val="00EA7CAA"/>
    <w:rsid w:val="00EB032D"/>
    <w:rsid w:val="00EB11D1"/>
    <w:rsid w:val="00EB181B"/>
    <w:rsid w:val="00EB1836"/>
    <w:rsid w:val="00EB1CA4"/>
    <w:rsid w:val="00EB1EE2"/>
    <w:rsid w:val="00EB241D"/>
    <w:rsid w:val="00EB2DEA"/>
    <w:rsid w:val="00EB2F3C"/>
    <w:rsid w:val="00EB2F73"/>
    <w:rsid w:val="00EB3F41"/>
    <w:rsid w:val="00EB4F35"/>
    <w:rsid w:val="00EB4FC4"/>
    <w:rsid w:val="00EB54FA"/>
    <w:rsid w:val="00EB57B7"/>
    <w:rsid w:val="00EB5E06"/>
    <w:rsid w:val="00EB64C9"/>
    <w:rsid w:val="00EB7776"/>
    <w:rsid w:val="00EB7A1F"/>
    <w:rsid w:val="00EC09BA"/>
    <w:rsid w:val="00EC1215"/>
    <w:rsid w:val="00EC341C"/>
    <w:rsid w:val="00EC4117"/>
    <w:rsid w:val="00EC48B4"/>
    <w:rsid w:val="00EC4B36"/>
    <w:rsid w:val="00EC4FA7"/>
    <w:rsid w:val="00EC52CE"/>
    <w:rsid w:val="00EC56ED"/>
    <w:rsid w:val="00EC5D40"/>
    <w:rsid w:val="00EC6BFE"/>
    <w:rsid w:val="00EC73AB"/>
    <w:rsid w:val="00EC7AD4"/>
    <w:rsid w:val="00EC7C73"/>
    <w:rsid w:val="00ED03A7"/>
    <w:rsid w:val="00ED1657"/>
    <w:rsid w:val="00ED1C46"/>
    <w:rsid w:val="00ED35B2"/>
    <w:rsid w:val="00ED4518"/>
    <w:rsid w:val="00ED545E"/>
    <w:rsid w:val="00ED5637"/>
    <w:rsid w:val="00ED6030"/>
    <w:rsid w:val="00ED6448"/>
    <w:rsid w:val="00ED6595"/>
    <w:rsid w:val="00ED6618"/>
    <w:rsid w:val="00ED6652"/>
    <w:rsid w:val="00ED704B"/>
    <w:rsid w:val="00ED7234"/>
    <w:rsid w:val="00ED7CEC"/>
    <w:rsid w:val="00EE1D1B"/>
    <w:rsid w:val="00EE36F9"/>
    <w:rsid w:val="00EE3BDD"/>
    <w:rsid w:val="00EE450D"/>
    <w:rsid w:val="00EE501C"/>
    <w:rsid w:val="00EE5C63"/>
    <w:rsid w:val="00EE5DD8"/>
    <w:rsid w:val="00EE6A93"/>
    <w:rsid w:val="00EE6C37"/>
    <w:rsid w:val="00EE7001"/>
    <w:rsid w:val="00EE71C9"/>
    <w:rsid w:val="00EE7736"/>
    <w:rsid w:val="00EE778D"/>
    <w:rsid w:val="00EE7F24"/>
    <w:rsid w:val="00EF0379"/>
    <w:rsid w:val="00EF088A"/>
    <w:rsid w:val="00EF0A5C"/>
    <w:rsid w:val="00EF219D"/>
    <w:rsid w:val="00EF2DCE"/>
    <w:rsid w:val="00EF3067"/>
    <w:rsid w:val="00EF30C5"/>
    <w:rsid w:val="00EF352D"/>
    <w:rsid w:val="00EF3782"/>
    <w:rsid w:val="00EF4AEE"/>
    <w:rsid w:val="00EF4EA0"/>
    <w:rsid w:val="00EF58B7"/>
    <w:rsid w:val="00EF5B11"/>
    <w:rsid w:val="00EF639D"/>
    <w:rsid w:val="00EF67F6"/>
    <w:rsid w:val="00EF6E41"/>
    <w:rsid w:val="00EF7215"/>
    <w:rsid w:val="00EF7CD3"/>
    <w:rsid w:val="00F00377"/>
    <w:rsid w:val="00F009C8"/>
    <w:rsid w:val="00F00C79"/>
    <w:rsid w:val="00F00D28"/>
    <w:rsid w:val="00F00E88"/>
    <w:rsid w:val="00F00F77"/>
    <w:rsid w:val="00F0226C"/>
    <w:rsid w:val="00F03023"/>
    <w:rsid w:val="00F03395"/>
    <w:rsid w:val="00F03BF4"/>
    <w:rsid w:val="00F03E4A"/>
    <w:rsid w:val="00F03EC4"/>
    <w:rsid w:val="00F03F3B"/>
    <w:rsid w:val="00F0448A"/>
    <w:rsid w:val="00F04F75"/>
    <w:rsid w:val="00F05DDC"/>
    <w:rsid w:val="00F0636B"/>
    <w:rsid w:val="00F07295"/>
    <w:rsid w:val="00F07468"/>
    <w:rsid w:val="00F076A3"/>
    <w:rsid w:val="00F119A8"/>
    <w:rsid w:val="00F11ABC"/>
    <w:rsid w:val="00F11DDC"/>
    <w:rsid w:val="00F12B29"/>
    <w:rsid w:val="00F1302B"/>
    <w:rsid w:val="00F130EB"/>
    <w:rsid w:val="00F1327E"/>
    <w:rsid w:val="00F13C5E"/>
    <w:rsid w:val="00F13F20"/>
    <w:rsid w:val="00F13F76"/>
    <w:rsid w:val="00F14642"/>
    <w:rsid w:val="00F146DA"/>
    <w:rsid w:val="00F14B19"/>
    <w:rsid w:val="00F153C1"/>
    <w:rsid w:val="00F16830"/>
    <w:rsid w:val="00F16D42"/>
    <w:rsid w:val="00F1718B"/>
    <w:rsid w:val="00F1732A"/>
    <w:rsid w:val="00F17F25"/>
    <w:rsid w:val="00F17F81"/>
    <w:rsid w:val="00F200A6"/>
    <w:rsid w:val="00F201DA"/>
    <w:rsid w:val="00F2078A"/>
    <w:rsid w:val="00F2081A"/>
    <w:rsid w:val="00F21141"/>
    <w:rsid w:val="00F2176B"/>
    <w:rsid w:val="00F217E6"/>
    <w:rsid w:val="00F217E8"/>
    <w:rsid w:val="00F21C29"/>
    <w:rsid w:val="00F223F6"/>
    <w:rsid w:val="00F22585"/>
    <w:rsid w:val="00F22A3D"/>
    <w:rsid w:val="00F22D82"/>
    <w:rsid w:val="00F22FE8"/>
    <w:rsid w:val="00F23A8E"/>
    <w:rsid w:val="00F23C28"/>
    <w:rsid w:val="00F23E0B"/>
    <w:rsid w:val="00F2512A"/>
    <w:rsid w:val="00F2548C"/>
    <w:rsid w:val="00F25738"/>
    <w:rsid w:val="00F25877"/>
    <w:rsid w:val="00F2622D"/>
    <w:rsid w:val="00F26310"/>
    <w:rsid w:val="00F26D40"/>
    <w:rsid w:val="00F278FC"/>
    <w:rsid w:val="00F2799C"/>
    <w:rsid w:val="00F27AFD"/>
    <w:rsid w:val="00F27E05"/>
    <w:rsid w:val="00F311D3"/>
    <w:rsid w:val="00F3270B"/>
    <w:rsid w:val="00F3365C"/>
    <w:rsid w:val="00F33D50"/>
    <w:rsid w:val="00F340B6"/>
    <w:rsid w:val="00F34B0F"/>
    <w:rsid w:val="00F34B69"/>
    <w:rsid w:val="00F355F6"/>
    <w:rsid w:val="00F361B7"/>
    <w:rsid w:val="00F366BB"/>
    <w:rsid w:val="00F36AF3"/>
    <w:rsid w:val="00F36BFA"/>
    <w:rsid w:val="00F379C4"/>
    <w:rsid w:val="00F40799"/>
    <w:rsid w:val="00F40BAE"/>
    <w:rsid w:val="00F40E21"/>
    <w:rsid w:val="00F40FE4"/>
    <w:rsid w:val="00F41310"/>
    <w:rsid w:val="00F415FB"/>
    <w:rsid w:val="00F41CF6"/>
    <w:rsid w:val="00F41E84"/>
    <w:rsid w:val="00F41F94"/>
    <w:rsid w:val="00F42F8C"/>
    <w:rsid w:val="00F447C2"/>
    <w:rsid w:val="00F454DA"/>
    <w:rsid w:val="00F46544"/>
    <w:rsid w:val="00F46675"/>
    <w:rsid w:val="00F469E2"/>
    <w:rsid w:val="00F46DEF"/>
    <w:rsid w:val="00F46F99"/>
    <w:rsid w:val="00F47A63"/>
    <w:rsid w:val="00F502D5"/>
    <w:rsid w:val="00F50C70"/>
    <w:rsid w:val="00F51006"/>
    <w:rsid w:val="00F5179C"/>
    <w:rsid w:val="00F51A2F"/>
    <w:rsid w:val="00F51C9C"/>
    <w:rsid w:val="00F52510"/>
    <w:rsid w:val="00F52B3C"/>
    <w:rsid w:val="00F52D46"/>
    <w:rsid w:val="00F52EC9"/>
    <w:rsid w:val="00F52F93"/>
    <w:rsid w:val="00F531ED"/>
    <w:rsid w:val="00F53806"/>
    <w:rsid w:val="00F538C8"/>
    <w:rsid w:val="00F53B5E"/>
    <w:rsid w:val="00F54608"/>
    <w:rsid w:val="00F5465B"/>
    <w:rsid w:val="00F549BD"/>
    <w:rsid w:val="00F54E06"/>
    <w:rsid w:val="00F552F2"/>
    <w:rsid w:val="00F5579E"/>
    <w:rsid w:val="00F5593F"/>
    <w:rsid w:val="00F55E52"/>
    <w:rsid w:val="00F57859"/>
    <w:rsid w:val="00F57EF0"/>
    <w:rsid w:val="00F60926"/>
    <w:rsid w:val="00F622F4"/>
    <w:rsid w:val="00F627E2"/>
    <w:rsid w:val="00F63007"/>
    <w:rsid w:val="00F63320"/>
    <w:rsid w:val="00F63952"/>
    <w:rsid w:val="00F647BC"/>
    <w:rsid w:val="00F652EF"/>
    <w:rsid w:val="00F65ED3"/>
    <w:rsid w:val="00F662D2"/>
    <w:rsid w:val="00F6641E"/>
    <w:rsid w:val="00F66B0D"/>
    <w:rsid w:val="00F66DFC"/>
    <w:rsid w:val="00F66E19"/>
    <w:rsid w:val="00F675B5"/>
    <w:rsid w:val="00F676B9"/>
    <w:rsid w:val="00F67DEA"/>
    <w:rsid w:val="00F7096E"/>
    <w:rsid w:val="00F714BE"/>
    <w:rsid w:val="00F71520"/>
    <w:rsid w:val="00F71603"/>
    <w:rsid w:val="00F71A16"/>
    <w:rsid w:val="00F71F69"/>
    <w:rsid w:val="00F7238F"/>
    <w:rsid w:val="00F72486"/>
    <w:rsid w:val="00F7264C"/>
    <w:rsid w:val="00F72E26"/>
    <w:rsid w:val="00F72F48"/>
    <w:rsid w:val="00F73C32"/>
    <w:rsid w:val="00F74E7A"/>
    <w:rsid w:val="00F7512D"/>
    <w:rsid w:val="00F75344"/>
    <w:rsid w:val="00F7590F"/>
    <w:rsid w:val="00F75DE7"/>
    <w:rsid w:val="00F75FE2"/>
    <w:rsid w:val="00F772CC"/>
    <w:rsid w:val="00F77D60"/>
    <w:rsid w:val="00F77FDD"/>
    <w:rsid w:val="00F8006A"/>
    <w:rsid w:val="00F801F4"/>
    <w:rsid w:val="00F80945"/>
    <w:rsid w:val="00F816BE"/>
    <w:rsid w:val="00F816FD"/>
    <w:rsid w:val="00F81C55"/>
    <w:rsid w:val="00F81DE2"/>
    <w:rsid w:val="00F82841"/>
    <w:rsid w:val="00F82964"/>
    <w:rsid w:val="00F83D09"/>
    <w:rsid w:val="00F83FD5"/>
    <w:rsid w:val="00F84042"/>
    <w:rsid w:val="00F84730"/>
    <w:rsid w:val="00F8569E"/>
    <w:rsid w:val="00F85A14"/>
    <w:rsid w:val="00F8692A"/>
    <w:rsid w:val="00F87202"/>
    <w:rsid w:val="00F905F0"/>
    <w:rsid w:val="00F90B79"/>
    <w:rsid w:val="00F90EB0"/>
    <w:rsid w:val="00F90F22"/>
    <w:rsid w:val="00F91069"/>
    <w:rsid w:val="00F913C6"/>
    <w:rsid w:val="00F913FB"/>
    <w:rsid w:val="00F9257C"/>
    <w:rsid w:val="00F931B5"/>
    <w:rsid w:val="00F93B62"/>
    <w:rsid w:val="00F93D5D"/>
    <w:rsid w:val="00F93D82"/>
    <w:rsid w:val="00F941B5"/>
    <w:rsid w:val="00F94864"/>
    <w:rsid w:val="00F94C4E"/>
    <w:rsid w:val="00F95106"/>
    <w:rsid w:val="00F95321"/>
    <w:rsid w:val="00F953DA"/>
    <w:rsid w:val="00F957E3"/>
    <w:rsid w:val="00F95B2F"/>
    <w:rsid w:val="00F95BDD"/>
    <w:rsid w:val="00FA02EE"/>
    <w:rsid w:val="00FA0E0B"/>
    <w:rsid w:val="00FA1600"/>
    <w:rsid w:val="00FA164A"/>
    <w:rsid w:val="00FA1A16"/>
    <w:rsid w:val="00FA2204"/>
    <w:rsid w:val="00FA270D"/>
    <w:rsid w:val="00FA33A6"/>
    <w:rsid w:val="00FA3844"/>
    <w:rsid w:val="00FA3DDD"/>
    <w:rsid w:val="00FA4FE2"/>
    <w:rsid w:val="00FA5233"/>
    <w:rsid w:val="00FA5C3F"/>
    <w:rsid w:val="00FA5DB7"/>
    <w:rsid w:val="00FA61FC"/>
    <w:rsid w:val="00FA6BED"/>
    <w:rsid w:val="00FA79ED"/>
    <w:rsid w:val="00FA7B80"/>
    <w:rsid w:val="00FB0B18"/>
    <w:rsid w:val="00FB0CE5"/>
    <w:rsid w:val="00FB123D"/>
    <w:rsid w:val="00FB135E"/>
    <w:rsid w:val="00FB17A6"/>
    <w:rsid w:val="00FB18EA"/>
    <w:rsid w:val="00FB2ACA"/>
    <w:rsid w:val="00FB2D21"/>
    <w:rsid w:val="00FB3410"/>
    <w:rsid w:val="00FB35DD"/>
    <w:rsid w:val="00FB36AA"/>
    <w:rsid w:val="00FB3F0E"/>
    <w:rsid w:val="00FB3F55"/>
    <w:rsid w:val="00FB4D88"/>
    <w:rsid w:val="00FB6089"/>
    <w:rsid w:val="00FB628D"/>
    <w:rsid w:val="00FB673E"/>
    <w:rsid w:val="00FB68C3"/>
    <w:rsid w:val="00FB753B"/>
    <w:rsid w:val="00FB7597"/>
    <w:rsid w:val="00FC0263"/>
    <w:rsid w:val="00FC0D7D"/>
    <w:rsid w:val="00FC1386"/>
    <w:rsid w:val="00FC13A6"/>
    <w:rsid w:val="00FC186B"/>
    <w:rsid w:val="00FC21B4"/>
    <w:rsid w:val="00FC2512"/>
    <w:rsid w:val="00FC3D57"/>
    <w:rsid w:val="00FC3EAF"/>
    <w:rsid w:val="00FC3EB4"/>
    <w:rsid w:val="00FC47F8"/>
    <w:rsid w:val="00FC5139"/>
    <w:rsid w:val="00FC51B8"/>
    <w:rsid w:val="00FC5644"/>
    <w:rsid w:val="00FC5849"/>
    <w:rsid w:val="00FC5B48"/>
    <w:rsid w:val="00FC5FD1"/>
    <w:rsid w:val="00FC6083"/>
    <w:rsid w:val="00FC6C2D"/>
    <w:rsid w:val="00FD0372"/>
    <w:rsid w:val="00FD064B"/>
    <w:rsid w:val="00FD0C18"/>
    <w:rsid w:val="00FD0F55"/>
    <w:rsid w:val="00FD16AB"/>
    <w:rsid w:val="00FD22D9"/>
    <w:rsid w:val="00FD237D"/>
    <w:rsid w:val="00FD2593"/>
    <w:rsid w:val="00FD2E3A"/>
    <w:rsid w:val="00FD3499"/>
    <w:rsid w:val="00FD357E"/>
    <w:rsid w:val="00FD3703"/>
    <w:rsid w:val="00FD38DC"/>
    <w:rsid w:val="00FD39EA"/>
    <w:rsid w:val="00FD4EB5"/>
    <w:rsid w:val="00FD5B73"/>
    <w:rsid w:val="00FD622B"/>
    <w:rsid w:val="00FD6457"/>
    <w:rsid w:val="00FD6459"/>
    <w:rsid w:val="00FD6754"/>
    <w:rsid w:val="00FD68AF"/>
    <w:rsid w:val="00FD755E"/>
    <w:rsid w:val="00FD7B66"/>
    <w:rsid w:val="00FD7CD3"/>
    <w:rsid w:val="00FE06ED"/>
    <w:rsid w:val="00FE14EA"/>
    <w:rsid w:val="00FE1959"/>
    <w:rsid w:val="00FE278D"/>
    <w:rsid w:val="00FE35E5"/>
    <w:rsid w:val="00FE3904"/>
    <w:rsid w:val="00FE410C"/>
    <w:rsid w:val="00FE44C5"/>
    <w:rsid w:val="00FE4548"/>
    <w:rsid w:val="00FE56C5"/>
    <w:rsid w:val="00FE5AD7"/>
    <w:rsid w:val="00FE5BCB"/>
    <w:rsid w:val="00FE5D7C"/>
    <w:rsid w:val="00FE5DE0"/>
    <w:rsid w:val="00FE6CC9"/>
    <w:rsid w:val="00FE78D5"/>
    <w:rsid w:val="00FE7CD1"/>
    <w:rsid w:val="00FF03B1"/>
    <w:rsid w:val="00FF0561"/>
    <w:rsid w:val="00FF0B3D"/>
    <w:rsid w:val="00FF0FB8"/>
    <w:rsid w:val="00FF1005"/>
    <w:rsid w:val="00FF1021"/>
    <w:rsid w:val="00FF1326"/>
    <w:rsid w:val="00FF13D6"/>
    <w:rsid w:val="00FF141F"/>
    <w:rsid w:val="00FF1D0B"/>
    <w:rsid w:val="00FF20ED"/>
    <w:rsid w:val="00FF2629"/>
    <w:rsid w:val="00FF2970"/>
    <w:rsid w:val="00FF2CE4"/>
    <w:rsid w:val="00FF2F02"/>
    <w:rsid w:val="00FF3281"/>
    <w:rsid w:val="00FF3F78"/>
    <w:rsid w:val="00FF406D"/>
    <w:rsid w:val="00FF47D3"/>
    <w:rsid w:val="00FF4DC5"/>
    <w:rsid w:val="00FF5B50"/>
    <w:rsid w:val="00FF5CE3"/>
    <w:rsid w:val="00FF5E44"/>
    <w:rsid w:val="00FF621C"/>
    <w:rsid w:val="00FF6349"/>
    <w:rsid w:val="00FF6C8D"/>
    <w:rsid w:val="00FF7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B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700B04"/>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700B04"/>
    <w:pPr>
      <w:keepNext/>
      <w:numPr>
        <w:numId w:val="5"/>
      </w:numPr>
      <w:ind w:right="1296"/>
      <w:outlineLvl w:val="0"/>
    </w:pPr>
    <w:rPr>
      <w:u w:val="single"/>
    </w:rPr>
  </w:style>
  <w:style w:type="paragraph" w:styleId="Heading2">
    <w:name w:val="heading 2"/>
    <w:basedOn w:val="Normal"/>
    <w:next w:val="Normal"/>
    <w:uiPriority w:val="99"/>
    <w:semiHidden/>
    <w:qFormat/>
    <w:locked/>
    <w:rsid w:val="00700B04"/>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700B04"/>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700B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0B04"/>
  </w:style>
  <w:style w:type="paragraph" w:styleId="Footer">
    <w:name w:val="footer"/>
    <w:basedOn w:val="Normal"/>
    <w:link w:val="FooterChar"/>
    <w:uiPriority w:val="43"/>
    <w:locked/>
    <w:rsid w:val="00700B04"/>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700B0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700B04"/>
    <w:pPr>
      <w:spacing w:before="240" w:line="240" w:lineRule="exact"/>
      <w:ind w:left="720" w:right="794" w:firstLine="0"/>
    </w:pPr>
  </w:style>
  <w:style w:type="paragraph" w:styleId="FootnoteText">
    <w:name w:val="footnote text"/>
    <w:basedOn w:val="Normal"/>
    <w:link w:val="FootnoteTextChar"/>
    <w:uiPriority w:val="53"/>
    <w:locked/>
    <w:rsid w:val="00700B04"/>
    <w:pPr>
      <w:spacing w:after="240" w:line="240" w:lineRule="exact"/>
      <w:ind w:left="510" w:hanging="510"/>
    </w:pPr>
  </w:style>
  <w:style w:type="character" w:styleId="FootnoteReference">
    <w:name w:val="footnote reference"/>
    <w:uiPriority w:val="51"/>
    <w:locked/>
    <w:rsid w:val="00700B04"/>
    <w:rPr>
      <w:b/>
      <w:sz w:val="28"/>
      <w:vertAlign w:val="superscript"/>
    </w:rPr>
  </w:style>
  <w:style w:type="paragraph" w:customStyle="1" w:styleId="FootIndAgain">
    <w:name w:val="FootIndAgain"/>
    <w:basedOn w:val="FootnoteText"/>
    <w:uiPriority w:val="47"/>
    <w:qFormat/>
    <w:locked/>
    <w:rsid w:val="00700B0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700B04"/>
    <w:pPr>
      <w:ind w:firstLine="0"/>
    </w:pPr>
  </w:style>
  <w:style w:type="character" w:customStyle="1" w:styleId="Heading1Char">
    <w:name w:val="Heading 1 Char"/>
    <w:uiPriority w:val="99"/>
    <w:semiHidden/>
    <w:locked/>
    <w:rsid w:val="00700B04"/>
    <w:rPr>
      <w:rFonts w:ascii="Univers" w:hAnsi="Univers"/>
      <w:sz w:val="26"/>
      <w:u w:val="single"/>
      <w:lang w:val="en-AU"/>
    </w:rPr>
  </w:style>
  <w:style w:type="character" w:customStyle="1" w:styleId="Heading2Char">
    <w:name w:val="Heading 2 Char"/>
    <w:uiPriority w:val="99"/>
    <w:semiHidden/>
    <w:locked/>
    <w:rsid w:val="00700B04"/>
    <w:rPr>
      <w:rFonts w:ascii="Arial" w:hAnsi="Arial"/>
      <w:b/>
      <w:i/>
      <w:sz w:val="24"/>
      <w:lang w:val="en-AU"/>
    </w:rPr>
  </w:style>
  <w:style w:type="character" w:customStyle="1" w:styleId="Heading3Char">
    <w:name w:val="Heading 3 Char"/>
    <w:uiPriority w:val="99"/>
    <w:semiHidden/>
    <w:locked/>
    <w:rsid w:val="00700B04"/>
    <w:rPr>
      <w:rFonts w:ascii="Arial" w:hAnsi="Arial"/>
      <w:sz w:val="24"/>
      <w:lang w:val="en-AU"/>
    </w:rPr>
  </w:style>
  <w:style w:type="paragraph" w:customStyle="1" w:styleId="NormalHC">
    <w:name w:val="Normal HC"/>
    <w:basedOn w:val="Normal"/>
    <w:uiPriority w:val="27"/>
    <w:qFormat/>
    <w:locked/>
    <w:rsid w:val="00700B04"/>
    <w:pPr>
      <w:numPr>
        <w:numId w:val="16"/>
      </w:numPr>
      <w:spacing w:after="480"/>
      <w:ind w:left="0" w:hanging="720"/>
    </w:pPr>
  </w:style>
  <w:style w:type="paragraph" w:customStyle="1" w:styleId="HeadingFirst">
    <w:name w:val="Heading First"/>
    <w:basedOn w:val="NormalHC"/>
    <w:next w:val="HeadingV"/>
    <w:uiPriority w:val="15"/>
    <w:qFormat/>
    <w:locked/>
    <w:rsid w:val="00700B04"/>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700B04"/>
    <w:pPr>
      <w:keepNext/>
      <w:numPr>
        <w:numId w:val="0"/>
      </w:numPr>
      <w:outlineLvl w:val="2"/>
    </w:pPr>
    <w:rPr>
      <w:b/>
      <w:szCs w:val="20"/>
    </w:rPr>
  </w:style>
  <w:style w:type="paragraph" w:customStyle="1" w:styleId="HeadingL2">
    <w:name w:val="Heading L2"/>
    <w:basedOn w:val="HeadingL1"/>
    <w:next w:val="NormalHC"/>
    <w:uiPriority w:val="23"/>
    <w:qFormat/>
    <w:locked/>
    <w:rsid w:val="00700B04"/>
    <w:pPr>
      <w:outlineLvl w:val="3"/>
    </w:pPr>
    <w:rPr>
      <w:b w:val="0"/>
      <w:i/>
    </w:rPr>
  </w:style>
  <w:style w:type="paragraph" w:customStyle="1" w:styleId="HeadingMatter">
    <w:name w:val="Heading Matter"/>
    <w:basedOn w:val="NormalHC"/>
    <w:next w:val="HeadingFirst"/>
    <w:uiPriority w:val="13"/>
    <w:qFormat/>
    <w:locked/>
    <w:rsid w:val="00700B04"/>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700B04"/>
    <w:pPr>
      <w:keepNext w:val="0"/>
    </w:pPr>
  </w:style>
  <w:style w:type="paragraph" w:customStyle="1" w:styleId="HeadingV">
    <w:name w:val="Heading V"/>
    <w:basedOn w:val="HeadingFirst"/>
    <w:next w:val="HeadingSecond"/>
    <w:uiPriority w:val="17"/>
    <w:qFormat/>
    <w:locked/>
    <w:rsid w:val="00700B04"/>
    <w:rPr>
      <w:caps w:val="0"/>
      <w:u w:val="none"/>
    </w:rPr>
  </w:style>
  <w:style w:type="paragraph" w:customStyle="1" w:styleId="LeftrightafterHC">
    <w:name w:val="Leftright after HC"/>
    <w:basedOn w:val="Normal"/>
    <w:next w:val="leftright"/>
    <w:uiPriority w:val="31"/>
    <w:qFormat/>
    <w:locked/>
    <w:rsid w:val="00700B04"/>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700B04"/>
    <w:pPr>
      <w:ind w:firstLine="720"/>
    </w:pPr>
  </w:style>
  <w:style w:type="paragraph" w:customStyle="1" w:styleId="LeftrightHanging">
    <w:name w:val="LeftrightHanging"/>
    <w:basedOn w:val="NormalHC"/>
    <w:uiPriority w:val="35"/>
    <w:qFormat/>
    <w:locked/>
    <w:rsid w:val="00700B04"/>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700B04"/>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700B04"/>
    <w:pPr>
      <w:spacing w:before="200"/>
      <w:ind w:left="2160"/>
    </w:pPr>
  </w:style>
  <w:style w:type="paragraph" w:customStyle="1" w:styleId="NormalafterHd2nd">
    <w:name w:val="Normal after Hd2nd"/>
    <w:basedOn w:val="NormalHC"/>
    <w:next w:val="NormalHC"/>
    <w:uiPriority w:val="29"/>
    <w:locked/>
    <w:rsid w:val="00700B04"/>
    <w:pPr>
      <w:numPr>
        <w:numId w:val="0"/>
      </w:numPr>
      <w:spacing w:before="1000"/>
    </w:pPr>
  </w:style>
  <w:style w:type="character" w:customStyle="1" w:styleId="NormalHCChar">
    <w:name w:val="Normal HC Char"/>
    <w:uiPriority w:val="99"/>
    <w:semiHidden/>
    <w:locked/>
    <w:rsid w:val="00700B04"/>
    <w:rPr>
      <w:rFonts w:ascii="Univers" w:hAnsi="Univers"/>
      <w:sz w:val="26"/>
      <w:szCs w:val="26"/>
    </w:rPr>
  </w:style>
  <w:style w:type="character" w:customStyle="1" w:styleId="StyleFootnoteReferenceChar">
    <w:name w:val="Style Footnote Reference Char"/>
    <w:uiPriority w:val="99"/>
    <w:semiHidden/>
    <w:locked/>
    <w:rsid w:val="00700B04"/>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700B04"/>
  </w:style>
  <w:style w:type="paragraph" w:customStyle="1" w:styleId="HeadingJudgment">
    <w:name w:val="Heading Judgment"/>
    <w:basedOn w:val="Normal"/>
    <w:uiPriority w:val="59"/>
    <w:qFormat/>
    <w:locked/>
    <w:rsid w:val="00700B04"/>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700B04"/>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700B04"/>
    <w:pPr>
      <w:outlineLvl w:val="4"/>
    </w:pPr>
    <w:rPr>
      <w:b w:val="0"/>
    </w:rPr>
  </w:style>
  <w:style w:type="character" w:styleId="PageNumber">
    <w:name w:val="page number"/>
    <w:basedOn w:val="DefaultParagraphFont"/>
    <w:uiPriority w:val="57"/>
    <w:locked/>
    <w:rsid w:val="00700B04"/>
  </w:style>
  <w:style w:type="paragraph" w:styleId="BalloonText">
    <w:name w:val="Balloon Text"/>
    <w:basedOn w:val="Normal"/>
    <w:link w:val="BalloonTextChar"/>
    <w:semiHidden/>
    <w:locked/>
    <w:rsid w:val="00700B04"/>
    <w:rPr>
      <w:rFonts w:ascii="Tahoma" w:hAnsi="Tahoma" w:cs="Tahoma"/>
      <w:sz w:val="16"/>
      <w:szCs w:val="16"/>
      <w:lang w:eastAsia="en-US"/>
    </w:rPr>
  </w:style>
  <w:style w:type="character" w:customStyle="1" w:styleId="BalloonTextChar">
    <w:name w:val="Balloon Text Char"/>
    <w:basedOn w:val="DefaultParagraphFont"/>
    <w:link w:val="BalloonText"/>
    <w:semiHidden/>
    <w:rsid w:val="00700B04"/>
    <w:rPr>
      <w:rFonts w:ascii="Tahoma" w:hAnsi="Tahoma" w:cs="Tahoma"/>
      <w:sz w:val="16"/>
      <w:szCs w:val="16"/>
      <w:lang w:eastAsia="en-US"/>
    </w:rPr>
  </w:style>
  <w:style w:type="paragraph" w:customStyle="1" w:styleId="ClosingText">
    <w:name w:val="Closing Text"/>
    <w:basedOn w:val="Normal"/>
    <w:uiPriority w:val="98"/>
    <w:semiHidden/>
    <w:qFormat/>
    <w:locked/>
    <w:rsid w:val="00700B04"/>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700B04"/>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700B04"/>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700B04"/>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700B04"/>
    <w:rPr>
      <w:szCs w:val="20"/>
      <w:lang w:eastAsia="en-US"/>
    </w:rPr>
  </w:style>
  <w:style w:type="paragraph" w:customStyle="1" w:styleId="NormalBody">
    <w:name w:val="Normal Body"/>
    <w:basedOn w:val="NormalHC"/>
    <w:uiPriority w:val="28"/>
    <w:qFormat/>
    <w:locked/>
    <w:rsid w:val="00700B04"/>
    <w:pPr>
      <w:numPr>
        <w:numId w:val="0"/>
      </w:numPr>
    </w:pPr>
    <w:rPr>
      <w:lang w:eastAsia="en-US"/>
    </w:rPr>
  </w:style>
  <w:style w:type="paragraph" w:customStyle="1" w:styleId="StyleFootnoteReference">
    <w:name w:val="Style Footnote Reference"/>
    <w:basedOn w:val="Normal"/>
    <w:next w:val="Normal"/>
    <w:semiHidden/>
    <w:rsid w:val="00700B04"/>
    <w:rPr>
      <w:vertAlign w:val="superscript"/>
      <w:lang w:eastAsia="en-US"/>
    </w:rPr>
  </w:style>
  <w:style w:type="paragraph" w:styleId="ListNumber">
    <w:name w:val="List Number"/>
    <w:basedOn w:val="Normal"/>
    <w:uiPriority w:val="56"/>
    <w:locked/>
    <w:rsid w:val="00700B04"/>
    <w:pPr>
      <w:numPr>
        <w:numId w:val="11"/>
      </w:numPr>
      <w:contextualSpacing/>
    </w:pPr>
  </w:style>
  <w:style w:type="paragraph" w:customStyle="1" w:styleId="FixListStyle">
    <w:name w:val="FixListStyle"/>
    <w:basedOn w:val="Normal"/>
    <w:uiPriority w:val="99"/>
    <w:qFormat/>
    <w:rsid w:val="00700B04"/>
    <w:pPr>
      <w:numPr>
        <w:numId w:val="19"/>
      </w:numPr>
      <w:spacing w:after="480"/>
      <w:ind w:left="0" w:hanging="720"/>
    </w:pPr>
  </w:style>
  <w:style w:type="paragraph" w:customStyle="1" w:styleId="CatchwordsBold">
    <w:name w:val="Catchwords Bold"/>
    <w:basedOn w:val="Normal"/>
    <w:link w:val="CatchwordsBoldChar"/>
    <w:qFormat/>
    <w:rsid w:val="00700B04"/>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700B04"/>
    <w:rPr>
      <w:rFonts w:ascii="Times New Roman" w:hAnsi="Times New Roman"/>
      <w:b/>
      <w:szCs w:val="20"/>
    </w:rPr>
  </w:style>
  <w:style w:type="paragraph" w:customStyle="1" w:styleId="CatchwordsRight">
    <w:name w:val="Catchwords Right"/>
    <w:basedOn w:val="Normal"/>
    <w:link w:val="CatchwordsRightChar"/>
    <w:qFormat/>
    <w:rsid w:val="00700B04"/>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700B04"/>
    <w:rPr>
      <w:rFonts w:ascii="Times New Roman" w:hAnsi="Times New Roman"/>
      <w:szCs w:val="20"/>
    </w:rPr>
  </w:style>
  <w:style w:type="paragraph" w:customStyle="1" w:styleId="CatchwordsText">
    <w:name w:val="Catchwords Text"/>
    <w:basedOn w:val="Normal"/>
    <w:link w:val="CatchwordsTextChar"/>
    <w:qFormat/>
    <w:rsid w:val="00700B04"/>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700B04"/>
    <w:rPr>
      <w:rFonts w:ascii="Times New Roman" w:hAnsi="Times New Roman"/>
      <w:szCs w:val="20"/>
    </w:rPr>
  </w:style>
  <w:style w:type="paragraph" w:customStyle="1" w:styleId="CenteredBorder">
    <w:name w:val="Centered Border"/>
    <w:qFormat/>
    <w:rsid w:val="00700B0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700B04"/>
    <w:pPr>
      <w:jc w:val="center"/>
    </w:pPr>
    <w:rPr>
      <w:rFonts w:ascii="Times New Roman" w:hAnsi="Times New Roman"/>
      <w:b/>
      <w:bCs/>
      <w:szCs w:val="20"/>
      <w:lang w:val="en-GB"/>
    </w:rPr>
  </w:style>
  <w:style w:type="character" w:customStyle="1" w:styleId="OrderCentred">
    <w:name w:val="Order Centred"/>
    <w:semiHidden/>
    <w:rsid w:val="00700B04"/>
    <w:rPr>
      <w:b/>
      <w:bCs/>
      <w:sz w:val="26"/>
    </w:rPr>
  </w:style>
  <w:style w:type="paragraph" w:customStyle="1" w:styleId="OrdersTopLine">
    <w:name w:val="Orders TopLine"/>
    <w:qFormat/>
    <w:rsid w:val="00700B04"/>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700B0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700B0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700B04"/>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700B0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700B04"/>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700B04"/>
    <w:rPr>
      <w:rFonts w:ascii="Times New Roman" w:hAnsi="Times New Roman"/>
      <w:i/>
      <w:lang w:eastAsia="en-US"/>
    </w:rPr>
  </w:style>
  <w:style w:type="paragraph" w:customStyle="1" w:styleId="OrdersIndentLevel2i">
    <w:name w:val="Orders Indent Level 2 (i)"/>
    <w:basedOn w:val="Normal"/>
    <w:link w:val="OrdersIndentLevel2iChar"/>
    <w:qFormat/>
    <w:rsid w:val="00700B04"/>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700B04"/>
    <w:rPr>
      <w:rFonts w:ascii="Times New Roman" w:hAnsi="Times New Roman"/>
      <w:i/>
      <w:lang w:eastAsia="en-US"/>
    </w:rPr>
  </w:style>
  <w:style w:type="paragraph" w:customStyle="1" w:styleId="OrdersMatter">
    <w:name w:val="Orders Matter"/>
    <w:basedOn w:val="OrderCentreBold"/>
    <w:link w:val="OrdersMatterChar"/>
    <w:qFormat/>
    <w:rsid w:val="00700B04"/>
  </w:style>
  <w:style w:type="character" w:customStyle="1" w:styleId="OrdersMatterChar">
    <w:name w:val="Orders Matter Char"/>
    <w:link w:val="OrdersMatter"/>
    <w:rsid w:val="00700B04"/>
    <w:rPr>
      <w:rFonts w:ascii="Times New Roman" w:hAnsi="Times New Roman"/>
      <w:b/>
      <w:bCs/>
      <w:szCs w:val="20"/>
      <w:lang w:val="en-GB"/>
    </w:rPr>
  </w:style>
  <w:style w:type="paragraph" w:customStyle="1" w:styleId="OrdersNotice">
    <w:name w:val="Orders Notice"/>
    <w:rsid w:val="00700B04"/>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700B04"/>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700B04"/>
    <w:rPr>
      <w:rFonts w:ascii="Times New Roman" w:hAnsi="Times New Roman"/>
      <w:szCs w:val="20"/>
      <w:lang w:eastAsia="en-US"/>
    </w:rPr>
  </w:style>
  <w:style w:type="paragraph" w:customStyle="1" w:styleId="OrdersText">
    <w:name w:val="Orders Text"/>
    <w:basedOn w:val="Normal"/>
    <w:link w:val="OrdersTextChar"/>
    <w:qFormat/>
    <w:rsid w:val="00700B04"/>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700B04"/>
    <w:rPr>
      <w:rFonts w:ascii="Times New Roman" w:hAnsi="Times New Roman"/>
      <w:i/>
      <w:lang w:eastAsia="en-US"/>
    </w:rPr>
  </w:style>
  <w:style w:type="paragraph" w:customStyle="1" w:styleId="OrdersCenteredBorder">
    <w:name w:val="Orders Centered Border"/>
    <w:qFormat/>
    <w:rsid w:val="00700B0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700B04"/>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700B04"/>
    <w:rPr>
      <w:rFonts w:ascii="Times New Roman" w:hAnsi="Times New Roman"/>
      <w:szCs w:val="20"/>
    </w:rPr>
  </w:style>
  <w:style w:type="paragraph" w:customStyle="1" w:styleId="LRHangingafterHC">
    <w:name w:val="LR Hanging after HC"/>
    <w:basedOn w:val="Normal"/>
    <w:next w:val="LeftrightHanging"/>
    <w:uiPriority w:val="99"/>
    <w:qFormat/>
    <w:rsid w:val="00700B04"/>
    <w:pPr>
      <w:spacing w:before="720" w:line="240" w:lineRule="exact"/>
      <w:ind w:left="1440" w:right="794" w:hanging="720"/>
    </w:pPr>
  </w:style>
  <w:style w:type="paragraph" w:styleId="ListParagraph">
    <w:name w:val="List Paragraph"/>
    <w:basedOn w:val="Normal"/>
    <w:uiPriority w:val="55"/>
    <w:qFormat/>
    <w:locked/>
    <w:rsid w:val="008F44F1"/>
    <w:pPr>
      <w:ind w:left="720"/>
      <w:contextualSpacing/>
    </w:pPr>
  </w:style>
  <w:style w:type="paragraph" w:styleId="Revision">
    <w:name w:val="Revision"/>
    <w:hidden/>
    <w:uiPriority w:val="99"/>
    <w:semiHidden/>
    <w:rsid w:val="0004042E"/>
  </w:style>
  <w:style w:type="character" w:styleId="CommentReference">
    <w:name w:val="annotation reference"/>
    <w:basedOn w:val="DefaultParagraphFont"/>
    <w:uiPriority w:val="99"/>
    <w:semiHidden/>
    <w:unhideWhenUsed/>
    <w:locked/>
    <w:rsid w:val="00032C2F"/>
    <w:rPr>
      <w:sz w:val="16"/>
      <w:szCs w:val="16"/>
    </w:rPr>
  </w:style>
  <w:style w:type="paragraph" w:styleId="CommentText">
    <w:name w:val="annotation text"/>
    <w:basedOn w:val="Normal"/>
    <w:link w:val="CommentTextChar"/>
    <w:uiPriority w:val="99"/>
    <w:unhideWhenUsed/>
    <w:locked/>
    <w:rsid w:val="00032C2F"/>
    <w:pPr>
      <w:spacing w:line="240" w:lineRule="auto"/>
    </w:pPr>
    <w:rPr>
      <w:sz w:val="20"/>
      <w:szCs w:val="20"/>
    </w:rPr>
  </w:style>
  <w:style w:type="character" w:customStyle="1" w:styleId="CommentTextChar">
    <w:name w:val="Comment Text Char"/>
    <w:basedOn w:val="DefaultParagraphFont"/>
    <w:link w:val="CommentText"/>
    <w:uiPriority w:val="99"/>
    <w:rsid w:val="00032C2F"/>
    <w:rPr>
      <w:sz w:val="20"/>
      <w:szCs w:val="20"/>
    </w:rPr>
  </w:style>
  <w:style w:type="paragraph" w:styleId="CommentSubject">
    <w:name w:val="annotation subject"/>
    <w:basedOn w:val="CommentText"/>
    <w:next w:val="CommentText"/>
    <w:link w:val="CommentSubjectChar"/>
    <w:uiPriority w:val="99"/>
    <w:semiHidden/>
    <w:unhideWhenUsed/>
    <w:locked/>
    <w:rsid w:val="00032C2F"/>
    <w:rPr>
      <w:b/>
      <w:bCs/>
    </w:rPr>
  </w:style>
  <w:style w:type="character" w:customStyle="1" w:styleId="CommentSubjectChar">
    <w:name w:val="Comment Subject Char"/>
    <w:basedOn w:val="CommentTextChar"/>
    <w:link w:val="CommentSubject"/>
    <w:uiPriority w:val="99"/>
    <w:semiHidden/>
    <w:rsid w:val="00032C2F"/>
    <w:rPr>
      <w:b/>
      <w:bCs/>
      <w:sz w:val="20"/>
      <w:szCs w:val="20"/>
    </w:rPr>
  </w:style>
  <w:style w:type="character" w:customStyle="1" w:styleId="cf01">
    <w:name w:val="cf01"/>
    <w:basedOn w:val="DefaultParagraphFont"/>
    <w:rsid w:val="00E652A2"/>
    <w:rPr>
      <w:rFonts w:ascii="Segoe UI" w:hAnsi="Segoe UI" w:cs="Segoe UI" w:hint="default"/>
      <w:sz w:val="18"/>
      <w:szCs w:val="18"/>
    </w:rPr>
  </w:style>
  <w:style w:type="character" w:customStyle="1" w:styleId="FootnoteTextChar">
    <w:name w:val="Footnote Text Char"/>
    <w:basedOn w:val="DefaultParagraphFont"/>
    <w:link w:val="FootnoteText"/>
    <w:uiPriority w:val="53"/>
    <w:rsid w:val="00C33509"/>
  </w:style>
  <w:style w:type="character" w:styleId="Hyperlink">
    <w:name w:val="Hyperlink"/>
    <w:basedOn w:val="DefaultParagraphFont"/>
    <w:uiPriority w:val="99"/>
    <w:unhideWhenUsed/>
    <w:locked/>
    <w:rsid w:val="00C33509"/>
    <w:rPr>
      <w:color w:val="0000FF" w:themeColor="hyperlink"/>
      <w:u w:val="single"/>
    </w:rPr>
  </w:style>
  <w:style w:type="character" w:styleId="UnresolvedMention">
    <w:name w:val="Unresolved Mention"/>
    <w:basedOn w:val="DefaultParagraphFont"/>
    <w:uiPriority w:val="99"/>
    <w:semiHidden/>
    <w:unhideWhenUsed/>
    <w:rsid w:val="00C33509"/>
    <w:rPr>
      <w:color w:val="605E5C"/>
      <w:shd w:val="clear" w:color="auto" w:fill="E1DFDD"/>
    </w:rPr>
  </w:style>
  <w:style w:type="paragraph" w:customStyle="1" w:styleId="Body">
    <w:name w:val="Body"/>
    <w:basedOn w:val="Normal"/>
    <w:qFormat/>
    <w:rsid w:val="00E8603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8603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8603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8603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8603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8603F"/>
    <w:pPr>
      <w:jc w:val="center"/>
    </w:pPr>
    <w:rPr>
      <w:rFonts w:ascii="Times New Roman" w:hAnsi="Times New Roman"/>
      <w:bCs/>
      <w:szCs w:val="20"/>
      <w:lang w:val="en-GB"/>
    </w:rPr>
  </w:style>
  <w:style w:type="paragraph" w:customStyle="1" w:styleId="Default">
    <w:name w:val="Default"/>
    <w:rsid w:val="00E8603F"/>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E6982-F2AF-4DB5-BBDE-30A03A199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41</Pages>
  <Words>14066</Words>
  <Characters>72164</Characters>
  <Application>Microsoft Office Word</Application>
  <DocSecurity>0</DocSecurity>
  <Lines>1202</Lines>
  <Paragraphs>232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2024-08-05T02:56:00Z</dcterms:created>
  <dcterms:modified xsi:type="dcterms:W3CDTF">2024-08-05T02:57:00Z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