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68B0" w14:textId="77777777" w:rsidR="004445FE" w:rsidRPr="00704FF8" w:rsidRDefault="004445FE" w:rsidP="00704FF8">
      <w:pPr>
        <w:pStyle w:val="OrdersTopLine"/>
      </w:pPr>
      <w:r w:rsidRPr="00704FF8">
        <w:t>HIGH COURT OF AUSTRALIA</w:t>
      </w:r>
    </w:p>
    <w:p w14:paraId="034CE47C" w14:textId="77777777" w:rsidR="004445FE" w:rsidRPr="00704FF8" w:rsidRDefault="004445FE" w:rsidP="00704FF8">
      <w:pPr>
        <w:pStyle w:val="OrderCentre"/>
      </w:pPr>
    </w:p>
    <w:p w14:paraId="37E61388" w14:textId="77777777" w:rsidR="004445FE" w:rsidRPr="00C46004" w:rsidRDefault="004445FE" w:rsidP="00704FF8">
      <w:pPr>
        <w:pStyle w:val="OrderCentre"/>
        <w:rPr>
          <w:spacing w:val="-4"/>
          <w:sz w:val="24"/>
          <w:szCs w:val="24"/>
        </w:rPr>
      </w:pPr>
      <w:r w:rsidRPr="00C46004">
        <w:rPr>
          <w:spacing w:val="-4"/>
          <w:sz w:val="24"/>
          <w:szCs w:val="24"/>
        </w:rPr>
        <w:t>GAGELER CJ,</w:t>
      </w:r>
    </w:p>
    <w:p w14:paraId="108821E0" w14:textId="77777777" w:rsidR="004445FE" w:rsidRPr="00704FF8" w:rsidRDefault="004445FE"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51885435" w14:textId="77777777" w:rsidR="004445FE" w:rsidRPr="00427F3A" w:rsidRDefault="004445FE" w:rsidP="00EE5374">
      <w:pPr>
        <w:pStyle w:val="Centre"/>
        <w:rPr>
          <w:lang w:val="en-AU"/>
        </w:rPr>
      </w:pPr>
    </w:p>
    <w:p w14:paraId="76135A2E" w14:textId="77777777" w:rsidR="004445FE" w:rsidRPr="00704FF8" w:rsidRDefault="004445FE" w:rsidP="00704FF8">
      <w:pPr>
        <w:pStyle w:val="OrdersCenteredBorder"/>
      </w:pPr>
    </w:p>
    <w:p w14:paraId="5F778A40" w14:textId="77777777" w:rsidR="004445FE" w:rsidRPr="00704FF8" w:rsidRDefault="004445FE" w:rsidP="0032341F">
      <w:pPr>
        <w:pStyle w:val="OrdersBodyHeading"/>
      </w:pPr>
    </w:p>
    <w:p w14:paraId="07FF96B0" w14:textId="77777777" w:rsidR="004445FE" w:rsidRPr="0032341F" w:rsidRDefault="004445FE" w:rsidP="009362E8">
      <w:pPr>
        <w:pStyle w:val="OrdersPartyName"/>
        <w:ind w:right="-1"/>
      </w:pPr>
      <w:r w:rsidRPr="000D459F">
        <w:t>CBI CONSTRUCTORS PTY LTD &amp; ANOR</w:t>
      </w:r>
      <w:r w:rsidRPr="0032341F">
        <w:tab/>
        <w:t>APPELLANT</w:t>
      </w:r>
      <w:r>
        <w:t>S</w:t>
      </w:r>
    </w:p>
    <w:p w14:paraId="7344A4D1" w14:textId="77777777" w:rsidR="004445FE" w:rsidRPr="0032341F" w:rsidRDefault="004445FE" w:rsidP="009362E8">
      <w:pPr>
        <w:pStyle w:val="OrdersPartyName"/>
        <w:ind w:right="-1"/>
      </w:pPr>
    </w:p>
    <w:p w14:paraId="2B73DFB0" w14:textId="77777777" w:rsidR="004445FE" w:rsidRPr="0032341F" w:rsidRDefault="004445FE" w:rsidP="009362E8">
      <w:pPr>
        <w:pStyle w:val="OrdersPartyName"/>
        <w:ind w:right="-1"/>
      </w:pPr>
      <w:r w:rsidRPr="0032341F">
        <w:t>AND</w:t>
      </w:r>
    </w:p>
    <w:p w14:paraId="17591CDC" w14:textId="77777777" w:rsidR="004445FE" w:rsidRPr="0032341F" w:rsidRDefault="004445FE" w:rsidP="009362E8">
      <w:pPr>
        <w:pStyle w:val="OrdersPartyName"/>
        <w:ind w:right="-1"/>
      </w:pPr>
    </w:p>
    <w:p w14:paraId="50B4E70F" w14:textId="77777777" w:rsidR="004445FE" w:rsidRPr="0032341F" w:rsidRDefault="004445FE" w:rsidP="009362E8">
      <w:pPr>
        <w:pStyle w:val="OrdersPartyName"/>
        <w:ind w:right="-1"/>
      </w:pPr>
      <w:r w:rsidRPr="000D459F">
        <w:t>CHEVRON AUSTRALIA PTY LTD</w:t>
      </w:r>
      <w:r w:rsidRPr="0032341F">
        <w:tab/>
        <w:t>RESPONDENT</w:t>
      </w:r>
    </w:p>
    <w:p w14:paraId="4710FAB3" w14:textId="77777777" w:rsidR="004445FE" w:rsidRPr="00427F3A" w:rsidRDefault="004445FE" w:rsidP="00AF0A5E">
      <w:pPr>
        <w:pStyle w:val="BodyHeading"/>
      </w:pPr>
    </w:p>
    <w:p w14:paraId="716E6D1B" w14:textId="77777777" w:rsidR="004445FE" w:rsidRPr="00427F3A" w:rsidRDefault="004445FE" w:rsidP="00BE0A6C">
      <w:pPr>
        <w:pStyle w:val="BodyHeading"/>
      </w:pPr>
    </w:p>
    <w:p w14:paraId="345C9AF9" w14:textId="77777777" w:rsidR="004445FE" w:rsidRPr="00427F3A" w:rsidRDefault="004445FE" w:rsidP="00EE5374">
      <w:pPr>
        <w:pStyle w:val="CentreItalics"/>
      </w:pPr>
      <w:r w:rsidRPr="000D459F">
        <w:t>CBI Constructors Pty Ltd v Chevron Australia Pty Ltd</w:t>
      </w:r>
    </w:p>
    <w:p w14:paraId="5FB2072A" w14:textId="77777777" w:rsidR="004445FE" w:rsidRPr="00427F3A" w:rsidRDefault="004445FE" w:rsidP="00E90E4F">
      <w:pPr>
        <w:pStyle w:val="OrdersCentre"/>
      </w:pPr>
      <w:r>
        <w:t>[2024</w:t>
      </w:r>
      <w:r w:rsidRPr="00427F3A">
        <w:t xml:space="preserve">] HCA </w:t>
      </w:r>
      <w:r>
        <w:t>28</w:t>
      </w:r>
    </w:p>
    <w:p w14:paraId="4BC9C5C0" w14:textId="77777777" w:rsidR="004445FE" w:rsidRDefault="004445FE" w:rsidP="00E90E4F">
      <w:pPr>
        <w:pStyle w:val="OrdersCentreItalics"/>
      </w:pPr>
      <w:r>
        <w:t xml:space="preserve">Date of Hearing: </w:t>
      </w:r>
      <w:r w:rsidRPr="000D459F">
        <w:t>16 April 2024</w:t>
      </w:r>
    </w:p>
    <w:p w14:paraId="16B43B62" w14:textId="77777777" w:rsidR="004445FE" w:rsidRPr="00427F3A" w:rsidRDefault="004445FE" w:rsidP="00E90E4F">
      <w:pPr>
        <w:pStyle w:val="OrdersCentreItalics"/>
      </w:pPr>
      <w:r>
        <w:t>Date of Judgment: 14 August 2024</w:t>
      </w:r>
    </w:p>
    <w:p w14:paraId="1B56CFE8" w14:textId="77777777" w:rsidR="004445FE" w:rsidRDefault="004445FE" w:rsidP="00E90E4F">
      <w:pPr>
        <w:pStyle w:val="OrdersCentre"/>
      </w:pPr>
      <w:r w:rsidRPr="000D459F">
        <w:t>P22/2023</w:t>
      </w:r>
    </w:p>
    <w:p w14:paraId="6C72BEAF" w14:textId="77777777" w:rsidR="004445FE" w:rsidRPr="00427F3A" w:rsidRDefault="004445FE" w:rsidP="00E90E4F">
      <w:pPr>
        <w:pStyle w:val="OrdersCentre"/>
      </w:pPr>
    </w:p>
    <w:p w14:paraId="090A43C0" w14:textId="77777777" w:rsidR="004445FE" w:rsidRPr="00BE0A6C" w:rsidRDefault="004445FE" w:rsidP="00E90E4F">
      <w:pPr>
        <w:pStyle w:val="OrderCentreBold"/>
      </w:pPr>
      <w:r w:rsidRPr="00BE0A6C">
        <w:t>ORDER</w:t>
      </w:r>
    </w:p>
    <w:p w14:paraId="69D5E01C" w14:textId="77777777" w:rsidR="004445FE" w:rsidRPr="00427F3A" w:rsidRDefault="004445FE" w:rsidP="00736C52">
      <w:pPr>
        <w:pStyle w:val="Centre"/>
        <w:rPr>
          <w:lang w:val="en-AU"/>
        </w:rPr>
      </w:pPr>
    </w:p>
    <w:p w14:paraId="4D037753" w14:textId="77777777" w:rsidR="004445FE" w:rsidRPr="00E55A71" w:rsidRDefault="004445FE" w:rsidP="00BC587D">
      <w:pPr>
        <w:pStyle w:val="OrdersText"/>
      </w:pPr>
      <w:r>
        <w:t>A</w:t>
      </w:r>
      <w:r w:rsidRPr="00B92BF7">
        <w:t xml:space="preserve">ppeal </w:t>
      </w:r>
      <w:r>
        <w:t>dismissed</w:t>
      </w:r>
      <w:r w:rsidRPr="00B92BF7">
        <w:t xml:space="preserve"> with costs.</w:t>
      </w:r>
    </w:p>
    <w:p w14:paraId="19058D3C" w14:textId="77777777" w:rsidR="004445FE" w:rsidRDefault="004445FE" w:rsidP="00EE5374">
      <w:pPr>
        <w:pStyle w:val="Body"/>
      </w:pPr>
    </w:p>
    <w:p w14:paraId="050807B9" w14:textId="77777777" w:rsidR="004445FE" w:rsidRPr="00427F3A" w:rsidRDefault="004445FE" w:rsidP="00EE5374">
      <w:pPr>
        <w:pStyle w:val="Body"/>
      </w:pPr>
    </w:p>
    <w:p w14:paraId="201CFE47" w14:textId="77777777" w:rsidR="004445FE" w:rsidRPr="00427F3A" w:rsidRDefault="004445FE" w:rsidP="0032341F">
      <w:pPr>
        <w:pStyle w:val="OrdersBody"/>
      </w:pPr>
      <w:r w:rsidRPr="00427F3A">
        <w:t xml:space="preserve">On appeal from the </w:t>
      </w:r>
      <w:r w:rsidRPr="00FD726C">
        <w:t>Supreme Court of Western Australia</w:t>
      </w:r>
    </w:p>
    <w:p w14:paraId="1353BADE" w14:textId="77777777" w:rsidR="004445FE" w:rsidRDefault="004445FE" w:rsidP="00EE5374">
      <w:pPr>
        <w:pStyle w:val="Body"/>
      </w:pPr>
    </w:p>
    <w:p w14:paraId="0E349EA8" w14:textId="77777777" w:rsidR="004445FE" w:rsidRPr="00427F3A" w:rsidRDefault="004445FE" w:rsidP="00EE5374">
      <w:pPr>
        <w:pStyle w:val="Body"/>
      </w:pPr>
    </w:p>
    <w:p w14:paraId="13B75BDD" w14:textId="77777777" w:rsidR="004445FE" w:rsidRPr="00427F3A" w:rsidRDefault="004445FE" w:rsidP="00E90E4F">
      <w:pPr>
        <w:pStyle w:val="OrdersBodyHeading"/>
      </w:pPr>
      <w:r w:rsidRPr="00427F3A">
        <w:t>Representation</w:t>
      </w:r>
    </w:p>
    <w:p w14:paraId="7C4BF60A" w14:textId="77777777" w:rsidR="004445FE" w:rsidRDefault="004445FE" w:rsidP="00EE5374">
      <w:pPr>
        <w:pStyle w:val="Body"/>
      </w:pPr>
    </w:p>
    <w:p w14:paraId="092AC5C9" w14:textId="77777777" w:rsidR="004445FE" w:rsidRPr="00FD726C" w:rsidRDefault="004445FE" w:rsidP="00E90E4F">
      <w:pPr>
        <w:pStyle w:val="OrdersBody"/>
      </w:pPr>
      <w:r w:rsidRPr="00FD726C">
        <w:t>J C Sheahan KC with B Yin for the appellants (instructed by Clayton Utz)</w:t>
      </w:r>
    </w:p>
    <w:p w14:paraId="48F27614" w14:textId="77777777" w:rsidR="004445FE" w:rsidRPr="00FD726C" w:rsidRDefault="004445FE" w:rsidP="001B3C97">
      <w:pPr>
        <w:pStyle w:val="Body"/>
      </w:pPr>
    </w:p>
    <w:p w14:paraId="18A8B0BD" w14:textId="77777777" w:rsidR="004445FE" w:rsidRPr="00FD726C" w:rsidRDefault="004445FE" w:rsidP="00E90E4F">
      <w:pPr>
        <w:pStyle w:val="OrdersBody"/>
      </w:pPr>
      <w:r w:rsidRPr="00FD726C">
        <w:t>S L Doyle KC with S J Davis and D C McKimmie for the respondent (instructed by Norton Rose Fulbright)</w:t>
      </w:r>
    </w:p>
    <w:p w14:paraId="1A91037A" w14:textId="77777777" w:rsidR="004445FE" w:rsidRDefault="004445FE" w:rsidP="00A01277">
      <w:pPr>
        <w:pStyle w:val="Body"/>
        <w:rPr>
          <w:highlight w:val="yellow"/>
        </w:rPr>
      </w:pPr>
    </w:p>
    <w:p w14:paraId="483F175E" w14:textId="77777777" w:rsidR="004445FE" w:rsidRDefault="004445FE" w:rsidP="00A01277">
      <w:pPr>
        <w:pStyle w:val="Body"/>
      </w:pPr>
    </w:p>
    <w:p w14:paraId="377045E5" w14:textId="77777777" w:rsidR="004445FE" w:rsidRDefault="004445FE" w:rsidP="00EE5374">
      <w:pPr>
        <w:pStyle w:val="Body"/>
      </w:pPr>
    </w:p>
    <w:p w14:paraId="69362660" w14:textId="77777777" w:rsidR="004445FE" w:rsidRPr="00427F3A" w:rsidRDefault="004445FE" w:rsidP="00EE5374">
      <w:pPr>
        <w:pStyle w:val="Body"/>
      </w:pPr>
    </w:p>
    <w:p w14:paraId="5D6B15F4" w14:textId="77777777" w:rsidR="004445FE" w:rsidRPr="00427F3A" w:rsidRDefault="004445FE" w:rsidP="00F9713B">
      <w:pPr>
        <w:pStyle w:val="Notice"/>
        <w:rPr>
          <w:lang w:val="en-AU"/>
        </w:rPr>
      </w:pPr>
      <w:r w:rsidRPr="00427F3A">
        <w:rPr>
          <w:lang w:val="en-AU"/>
        </w:rPr>
        <w:t>Notice:  This copy of the Court's Reasons for Judgment is subject to formal revision prior to publication in the Commonwealth Law Reports.</w:t>
      </w:r>
    </w:p>
    <w:p w14:paraId="0F49BF6B" w14:textId="536F768E" w:rsidR="004445FE" w:rsidRDefault="004445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8B3B234" w14:textId="77777777" w:rsidR="004445FE" w:rsidRDefault="004445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445FE" w:rsidSect="004445F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068A617" w14:textId="77777777" w:rsidR="004445FE" w:rsidRDefault="004445FE" w:rsidP="001649CA">
      <w:pPr>
        <w:pStyle w:val="CatchwordsBold"/>
      </w:pPr>
      <w:r w:rsidRPr="00B9489E">
        <w:lastRenderedPageBreak/>
        <w:t>CATCHWORDS</w:t>
      </w:r>
    </w:p>
    <w:p w14:paraId="79B8C62D" w14:textId="77777777" w:rsidR="004445FE" w:rsidRPr="00B9489E" w:rsidRDefault="004445FE" w:rsidP="001649CA">
      <w:pPr>
        <w:pStyle w:val="CatchwordsBold"/>
      </w:pPr>
    </w:p>
    <w:p w14:paraId="40979612" w14:textId="77777777" w:rsidR="004445FE" w:rsidRPr="00B9489E" w:rsidRDefault="004445FE" w:rsidP="000F21D7">
      <w:pPr>
        <w:pStyle w:val="CatchwordsBold"/>
      </w:pPr>
      <w:r w:rsidRPr="000F21D7">
        <w:t>CBI</w:t>
      </w:r>
      <w:r w:rsidRPr="00BE296F">
        <w:t xml:space="preserve"> Constructors Pty Ltd v Chevron Australia Pty Ltd</w:t>
      </w:r>
    </w:p>
    <w:p w14:paraId="126515C5" w14:textId="77777777" w:rsidR="004445FE" w:rsidRPr="00B9489E" w:rsidRDefault="004445FE" w:rsidP="000F21D7">
      <w:pPr>
        <w:pStyle w:val="CatchwordsText"/>
      </w:pPr>
    </w:p>
    <w:p w14:paraId="4B00E941" w14:textId="77777777" w:rsidR="004445FE" w:rsidRPr="00855F55" w:rsidRDefault="004445FE" w:rsidP="000F21D7">
      <w:pPr>
        <w:pStyle w:val="CatchwordsText"/>
        <w:rPr>
          <w:iCs/>
        </w:rPr>
      </w:pPr>
      <w:r w:rsidRPr="000F21D7">
        <w:t>Arbitration</w:t>
      </w:r>
      <w:r w:rsidRPr="007A2416">
        <w:rPr>
          <w:lang w:val="en-US"/>
        </w:rPr>
        <w:t xml:space="preserve"> – </w:t>
      </w:r>
      <w:r>
        <w:rPr>
          <w:lang w:val="en-US"/>
        </w:rPr>
        <w:t xml:space="preserve">Award – Application to set aside arbitral award – </w:t>
      </w:r>
      <w:r w:rsidRPr="007A2416">
        <w:rPr>
          <w:lang w:val="en-US"/>
        </w:rPr>
        <w:t>Where arbitration proceedings arose from</w:t>
      </w:r>
      <w:r>
        <w:rPr>
          <w:lang w:val="en-US"/>
        </w:rPr>
        <w:t xml:space="preserve"> dispute concerning</w:t>
      </w:r>
      <w:r w:rsidRPr="007A2416">
        <w:rPr>
          <w:lang w:val="en-US"/>
        </w:rPr>
        <w:t xml:space="preserve"> contract </w:t>
      </w:r>
      <w:r>
        <w:rPr>
          <w:lang w:val="en-US"/>
        </w:rPr>
        <w:t xml:space="preserve">to provide staff </w:t>
      </w:r>
      <w:r w:rsidRPr="007A2416">
        <w:rPr>
          <w:lang w:val="en-US"/>
        </w:rPr>
        <w:t xml:space="preserve">– </w:t>
      </w:r>
      <w:r>
        <w:rPr>
          <w:lang w:val="en-US"/>
        </w:rPr>
        <w:t xml:space="preserve">Where tribunal issued first interim award on issues of liability </w:t>
      </w:r>
      <w:r w:rsidRPr="007A2416">
        <w:rPr>
          <w:lang w:val="en-US"/>
        </w:rPr>
        <w:t>–</w:t>
      </w:r>
      <w:r>
        <w:rPr>
          <w:lang w:val="en-US"/>
        </w:rPr>
        <w:t xml:space="preserve"> Where appellants repleaded their case on quantum ("Contract Criteria Case") </w:t>
      </w:r>
      <w:r w:rsidRPr="007A2416">
        <w:rPr>
          <w:lang w:val="en-US"/>
        </w:rPr>
        <w:t>–</w:t>
      </w:r>
      <w:r>
        <w:rPr>
          <w:lang w:val="en-US"/>
        </w:rPr>
        <w:t xml:space="preserve"> </w:t>
      </w:r>
      <w:r w:rsidRPr="007A2416">
        <w:rPr>
          <w:lang w:val="en-US"/>
        </w:rPr>
        <w:t xml:space="preserve">Where respondent objected to Contract Criteria Case on basis of </w:t>
      </w:r>
      <w:r w:rsidRPr="007A2416">
        <w:rPr>
          <w:i/>
          <w:iCs/>
          <w:lang w:val="en-US"/>
        </w:rPr>
        <w:t>res judicata</w:t>
      </w:r>
      <w:r w:rsidRPr="007A2416">
        <w:rPr>
          <w:iCs/>
          <w:lang w:val="en-US"/>
        </w:rPr>
        <w:t xml:space="preserve">, issue estoppel, </w:t>
      </w:r>
      <w:r w:rsidRPr="007A2416">
        <w:rPr>
          <w:i/>
          <w:lang w:val="en-US"/>
        </w:rPr>
        <w:t>Anshun</w:t>
      </w:r>
      <w:r w:rsidRPr="007A2416">
        <w:rPr>
          <w:iCs/>
          <w:lang w:val="en-US"/>
        </w:rPr>
        <w:t xml:space="preserve"> estoppel and </w:t>
      </w:r>
      <w:r>
        <w:rPr>
          <w:iCs/>
          <w:lang w:val="en-US"/>
        </w:rPr>
        <w:t>that t</w:t>
      </w:r>
      <w:r w:rsidRPr="007A2416">
        <w:rPr>
          <w:iCs/>
          <w:lang w:val="en-US"/>
        </w:rPr>
        <w:t>ribunal</w:t>
      </w:r>
      <w:r>
        <w:rPr>
          <w:iCs/>
          <w:lang w:val="en-US"/>
        </w:rPr>
        <w:t xml:space="preserve"> was</w:t>
      </w:r>
      <w:r w:rsidRPr="007A2416">
        <w:rPr>
          <w:iCs/>
          <w:lang w:val="en-US"/>
        </w:rPr>
        <w:t xml:space="preserve"> </w:t>
      </w:r>
      <w:r w:rsidRPr="007A2416">
        <w:rPr>
          <w:i/>
          <w:lang w:val="en-US"/>
        </w:rPr>
        <w:t>functus officio</w:t>
      </w:r>
      <w:r>
        <w:rPr>
          <w:iCs/>
          <w:lang w:val="en-US"/>
        </w:rPr>
        <w:t xml:space="preserve"> </w:t>
      </w:r>
      <w:r w:rsidRPr="007A2416">
        <w:rPr>
          <w:iCs/>
          <w:lang w:val="en-US"/>
        </w:rPr>
        <w:t xml:space="preserve">– Where </w:t>
      </w:r>
      <w:r>
        <w:rPr>
          <w:iCs/>
          <w:lang w:val="en-US"/>
        </w:rPr>
        <w:t>t</w:t>
      </w:r>
      <w:r w:rsidRPr="007A2416">
        <w:rPr>
          <w:iCs/>
          <w:lang w:val="en-US"/>
        </w:rPr>
        <w:t>ribunal</w:t>
      </w:r>
      <w:r>
        <w:rPr>
          <w:iCs/>
          <w:lang w:val="en-US"/>
        </w:rPr>
        <w:t xml:space="preserve"> rejected respondent's objections and issued second interim award </w:t>
      </w:r>
      <w:r w:rsidRPr="007A2416">
        <w:rPr>
          <w:iCs/>
          <w:lang w:val="en-US"/>
        </w:rPr>
        <w:t>– Where respondent applied to</w:t>
      </w:r>
      <w:r>
        <w:rPr>
          <w:iCs/>
          <w:lang w:val="en-US"/>
        </w:rPr>
        <w:t xml:space="preserve"> </w:t>
      </w:r>
      <w:r w:rsidRPr="007A2416">
        <w:rPr>
          <w:iCs/>
          <w:lang w:val="en-US"/>
        </w:rPr>
        <w:t>set</w:t>
      </w:r>
      <w:r>
        <w:rPr>
          <w:iCs/>
          <w:lang w:val="en-US"/>
        </w:rPr>
        <w:t xml:space="preserve"> </w:t>
      </w:r>
      <w:r w:rsidRPr="007A2416">
        <w:rPr>
          <w:iCs/>
          <w:lang w:val="en-US"/>
        </w:rPr>
        <w:t xml:space="preserve">aside second interim award </w:t>
      </w:r>
      <w:r>
        <w:rPr>
          <w:iCs/>
          <w:lang w:val="en-US"/>
        </w:rPr>
        <w:t>under</w:t>
      </w:r>
      <w:r w:rsidRPr="007A2416">
        <w:rPr>
          <w:iCs/>
          <w:lang w:val="en-US"/>
        </w:rPr>
        <w:t xml:space="preserve"> s 34(2)(a)(iii) of </w:t>
      </w:r>
      <w:r w:rsidRPr="007A2416">
        <w:rPr>
          <w:i/>
          <w:lang w:val="en-US"/>
        </w:rPr>
        <w:t xml:space="preserve">Commercial Arbitration Act 2012 </w:t>
      </w:r>
      <w:r w:rsidRPr="007A2416">
        <w:rPr>
          <w:iCs/>
          <w:lang w:val="en-US"/>
        </w:rPr>
        <w:t>(WA)</w:t>
      </w:r>
      <w:r w:rsidRPr="007A2416">
        <w:rPr>
          <w:i/>
          <w:lang w:val="en-US"/>
        </w:rPr>
        <w:t xml:space="preserve"> </w:t>
      </w:r>
      <w:r w:rsidRPr="007A2416">
        <w:rPr>
          <w:iCs/>
          <w:lang w:val="en-US"/>
        </w:rPr>
        <w:t xml:space="preserve">– </w:t>
      </w:r>
      <w:r>
        <w:rPr>
          <w:iCs/>
          <w:lang w:val="en-US"/>
        </w:rPr>
        <w:t xml:space="preserve">Where primary judge set aside second interim award and held tribunal was </w:t>
      </w:r>
      <w:r>
        <w:rPr>
          <w:i/>
          <w:lang w:val="en-US"/>
        </w:rPr>
        <w:t xml:space="preserve">functus officio </w:t>
      </w:r>
      <w:r>
        <w:rPr>
          <w:iCs/>
          <w:lang w:val="en-US"/>
        </w:rPr>
        <w:t xml:space="preserve">– </w:t>
      </w:r>
      <w:r w:rsidRPr="007A2416">
        <w:rPr>
          <w:iCs/>
          <w:lang w:val="en-US"/>
        </w:rPr>
        <w:t>Where</w:t>
      </w:r>
      <w:r>
        <w:rPr>
          <w:iCs/>
          <w:lang w:val="en-US"/>
        </w:rPr>
        <w:t xml:space="preserve"> </w:t>
      </w:r>
      <w:r w:rsidRPr="007A2416">
        <w:rPr>
          <w:iCs/>
          <w:lang w:val="en-US"/>
        </w:rPr>
        <w:t xml:space="preserve">Court of Appeal </w:t>
      </w:r>
      <w:r>
        <w:rPr>
          <w:iCs/>
          <w:lang w:val="en-US"/>
        </w:rPr>
        <w:t xml:space="preserve">of </w:t>
      </w:r>
      <w:r w:rsidRPr="00105A92">
        <w:rPr>
          <w:iCs/>
        </w:rPr>
        <w:t>Supreme Court of Western Australia</w:t>
      </w:r>
      <w:r>
        <w:rPr>
          <w:iCs/>
        </w:rPr>
        <w:t xml:space="preserve"> </w:t>
      </w:r>
      <w:r w:rsidRPr="007A2416">
        <w:rPr>
          <w:iCs/>
          <w:lang w:val="en-US"/>
        </w:rPr>
        <w:t>dismissed appeal – Whether</w:t>
      </w:r>
      <w:r>
        <w:rPr>
          <w:iCs/>
          <w:lang w:val="en-US"/>
        </w:rPr>
        <w:t xml:space="preserve"> </w:t>
      </w:r>
      <w:r w:rsidRPr="007A2416">
        <w:rPr>
          <w:iCs/>
        </w:rPr>
        <w:t xml:space="preserve">Court of Appeal erred </w:t>
      </w:r>
      <w:r>
        <w:rPr>
          <w:iCs/>
        </w:rPr>
        <w:t xml:space="preserve">in holding </w:t>
      </w:r>
      <w:r w:rsidRPr="00D01FD3">
        <w:rPr>
          <w:iCs/>
        </w:rPr>
        <w:t xml:space="preserve">Supreme Court had power to set aside </w:t>
      </w:r>
      <w:r>
        <w:rPr>
          <w:iCs/>
        </w:rPr>
        <w:t>second interim award</w:t>
      </w:r>
      <w:r w:rsidRPr="00D01FD3">
        <w:rPr>
          <w:iCs/>
        </w:rPr>
        <w:t xml:space="preserve"> under s 34(2)(a)(iii) of </w:t>
      </w:r>
      <w:r w:rsidRPr="004A0E4C">
        <w:rPr>
          <w:i/>
        </w:rPr>
        <w:t>Commercial</w:t>
      </w:r>
      <w:r>
        <w:rPr>
          <w:iCs/>
        </w:rPr>
        <w:t xml:space="preserve"> </w:t>
      </w:r>
      <w:r w:rsidRPr="006E1A42">
        <w:rPr>
          <w:i/>
        </w:rPr>
        <w:t>Arbitration Act</w:t>
      </w:r>
      <w:r w:rsidRPr="007A2416">
        <w:rPr>
          <w:iCs/>
        </w:rPr>
        <w:t xml:space="preserve"> – Whether Court </w:t>
      </w:r>
      <w:r>
        <w:rPr>
          <w:iCs/>
        </w:rPr>
        <w:t>of Appeal erred in</w:t>
      </w:r>
      <w:r w:rsidRPr="007A2416">
        <w:rPr>
          <w:iCs/>
        </w:rPr>
        <w:t xml:space="preserve"> finding </w:t>
      </w:r>
      <w:r>
        <w:rPr>
          <w:iCs/>
        </w:rPr>
        <w:t xml:space="preserve">standard of review to be applied by Supreme Court is </w:t>
      </w:r>
      <w:r>
        <w:rPr>
          <w:i/>
        </w:rPr>
        <w:t xml:space="preserve">de novo </w:t>
      </w:r>
      <w:r>
        <w:rPr>
          <w:iCs/>
        </w:rPr>
        <w:t xml:space="preserve">review. </w:t>
      </w:r>
    </w:p>
    <w:p w14:paraId="7D012F69" w14:textId="77777777" w:rsidR="004445FE" w:rsidRDefault="004445FE" w:rsidP="001649CA">
      <w:pPr>
        <w:pStyle w:val="CatchwordsText"/>
      </w:pPr>
    </w:p>
    <w:p w14:paraId="3184D651" w14:textId="77777777" w:rsidR="004445FE" w:rsidRDefault="004445FE" w:rsidP="000F21D7">
      <w:pPr>
        <w:pStyle w:val="CatchwordsText"/>
      </w:pPr>
      <w:r w:rsidRPr="000F21D7">
        <w:t>Words</w:t>
      </w:r>
      <w:r>
        <w:t xml:space="preserve"> and phrases – "beyond the scope of the submission to arbitration", "correctness standard", "</w:t>
      </w:r>
      <w:r>
        <w:rPr>
          <w:i/>
          <w:iCs/>
        </w:rPr>
        <w:t xml:space="preserve">de novo </w:t>
      </w:r>
      <w:r>
        <w:t>review", "estoppel", "final and binding", "</w:t>
      </w:r>
      <w:r>
        <w:rPr>
          <w:i/>
          <w:iCs/>
        </w:rPr>
        <w:t>functus officio</w:t>
      </w:r>
      <w:r>
        <w:t>", "jurisdiction", "principle of competence-competence", "</w:t>
      </w:r>
      <w:r>
        <w:rPr>
          <w:i/>
          <w:iCs/>
        </w:rPr>
        <w:t>res judicata</w:t>
      </w:r>
      <w:r>
        <w:t xml:space="preserve">", "want of authority". </w:t>
      </w:r>
    </w:p>
    <w:p w14:paraId="501EAEFA" w14:textId="77777777" w:rsidR="004445FE" w:rsidRPr="00132C52" w:rsidRDefault="004445FE" w:rsidP="001649CA">
      <w:pPr>
        <w:pStyle w:val="CatchwordsText"/>
      </w:pPr>
    </w:p>
    <w:p w14:paraId="442B8696" w14:textId="77777777" w:rsidR="004445FE" w:rsidRDefault="004445FE" w:rsidP="001649CA">
      <w:pPr>
        <w:pStyle w:val="CatchwordsText"/>
        <w:rPr>
          <w:iCs/>
          <w:lang w:val="en-US"/>
        </w:rPr>
      </w:pPr>
      <w:r w:rsidRPr="007A2416">
        <w:rPr>
          <w:i/>
          <w:lang w:val="en-US"/>
        </w:rPr>
        <w:t xml:space="preserve">Commercial Arbitration Act 2012 </w:t>
      </w:r>
      <w:r w:rsidRPr="007A2416">
        <w:rPr>
          <w:iCs/>
          <w:lang w:val="en-US"/>
        </w:rPr>
        <w:t>(WA)</w:t>
      </w:r>
      <w:r>
        <w:rPr>
          <w:iCs/>
          <w:lang w:val="en-US"/>
        </w:rPr>
        <w:t>, ss 16, 34.</w:t>
      </w:r>
    </w:p>
    <w:p w14:paraId="54D6F332" w14:textId="77777777" w:rsidR="004445FE" w:rsidRDefault="004445FE" w:rsidP="001649CA">
      <w:pPr>
        <w:pStyle w:val="CatchwordsText"/>
      </w:pPr>
      <w:r>
        <w:t>UNCITRAL Arbitration Rules (2010), Art 34.</w:t>
      </w:r>
    </w:p>
    <w:p w14:paraId="76240BB6" w14:textId="0A1F94CE" w:rsidR="004445FE" w:rsidRDefault="004445FE" w:rsidP="000F21D7">
      <w:pPr>
        <w:pStyle w:val="CatchwordsText"/>
      </w:pPr>
      <w:r w:rsidRPr="0060560F">
        <w:t>UNCITRAL Model Law on International Commercial Arbitration</w:t>
      </w:r>
      <w:r>
        <w:t xml:space="preserve"> (1985), Arts 16, 34.</w:t>
      </w:r>
    </w:p>
    <w:p w14:paraId="041A68AE" w14:textId="5DDC3513" w:rsidR="004445FE" w:rsidRDefault="004445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3ED050C" w14:textId="16E793D3" w:rsidR="004445FE" w:rsidRDefault="004445F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D1EBFCC" w14:textId="77777777" w:rsidR="004445FE" w:rsidRDefault="004445FE" w:rsidP="006F0A38">
      <w:pPr>
        <w:pStyle w:val="FixListStyle"/>
        <w:tabs>
          <w:tab w:val="clear" w:pos="720"/>
          <w:tab w:val="left" w:pos="0"/>
        </w:tabs>
        <w:spacing w:after="260" w:line="280" w:lineRule="exact"/>
        <w:ind w:right="0"/>
        <w:jc w:val="both"/>
        <w:rPr>
          <w:rFonts w:ascii="Times New Roman" w:hAnsi="Times New Roman"/>
        </w:rPr>
        <w:sectPr w:rsidR="004445FE" w:rsidSect="004445FE">
          <w:pgSz w:w="11907" w:h="16839" w:code="9"/>
          <w:pgMar w:top="1440" w:right="1701" w:bottom="1984" w:left="1701" w:header="720" w:footer="720" w:gutter="0"/>
          <w:pgNumType w:start="1"/>
          <w:cols w:space="720"/>
          <w:titlePg/>
          <w:docGrid w:linePitch="354"/>
        </w:sectPr>
      </w:pPr>
    </w:p>
    <w:p w14:paraId="6830FC48" w14:textId="64E9F446" w:rsidR="001114B9" w:rsidRPr="006F0A38" w:rsidRDefault="006F0A38" w:rsidP="006F0A38">
      <w:pPr>
        <w:pStyle w:val="FixListStyle"/>
        <w:tabs>
          <w:tab w:val="clear" w:pos="720"/>
          <w:tab w:val="left" w:pos="0"/>
        </w:tabs>
        <w:spacing w:after="260" w:line="280" w:lineRule="exact"/>
        <w:ind w:right="0"/>
        <w:jc w:val="both"/>
        <w:rPr>
          <w:rFonts w:ascii="Times New Roman" w:hAnsi="Times New Roman"/>
        </w:rPr>
      </w:pPr>
      <w:r w:rsidRPr="006F0A38">
        <w:rPr>
          <w:rFonts w:ascii="Times New Roman" w:hAnsi="Times New Roman"/>
        </w:rPr>
        <w:lastRenderedPageBreak/>
        <w:t>GAGELER CJ, GORDON, EDELMAN, STEWARD AND GLEESON JJ.</w:t>
      </w:r>
      <w:r w:rsidR="00DF1E1C">
        <w:rPr>
          <w:rFonts w:ascii="Times New Roman" w:hAnsi="Times New Roman"/>
        </w:rPr>
        <w:t xml:space="preserve">  </w:t>
      </w:r>
      <w:r w:rsidR="0083228C">
        <w:rPr>
          <w:rFonts w:ascii="Times New Roman" w:hAnsi="Times New Roman"/>
        </w:rPr>
        <w:t xml:space="preserve"> </w:t>
      </w:r>
      <w:r w:rsidR="001114B9" w:rsidRPr="006F0A38">
        <w:rPr>
          <w:rFonts w:ascii="Times New Roman" w:hAnsi="Times New Roman"/>
        </w:rPr>
        <w:t>An</w:t>
      </w:r>
      <w:r w:rsidR="00B05B03" w:rsidRPr="006F0A38">
        <w:rPr>
          <w:rFonts w:ascii="Times New Roman" w:hAnsi="Times New Roman"/>
        </w:rPr>
        <w:t> </w:t>
      </w:r>
      <w:r w:rsidR="001114B9" w:rsidRPr="006F0A38">
        <w:rPr>
          <w:rFonts w:ascii="Times New Roman" w:hAnsi="Times New Roman"/>
        </w:rPr>
        <w:t>arbitral tribunal</w:t>
      </w:r>
      <w:r w:rsidR="00C16600" w:rsidRPr="006F0A38">
        <w:rPr>
          <w:rFonts w:ascii="Times New Roman" w:hAnsi="Times New Roman"/>
        </w:rPr>
        <w:t xml:space="preserve"> in Western Australia</w:t>
      </w:r>
      <w:r w:rsidR="001114B9" w:rsidRPr="006F0A38">
        <w:rPr>
          <w:rFonts w:ascii="Times New Roman" w:hAnsi="Times New Roman"/>
        </w:rPr>
        <w:t>, in a domestic commercial arbitration governed by the UNCITRAL Model Law on International Commercial Arbitration ("the Model Law")</w:t>
      </w:r>
      <w:r w:rsidR="001114B9" w:rsidRPr="006F0A38">
        <w:rPr>
          <w:rStyle w:val="FootnoteReference"/>
          <w:rFonts w:ascii="Times New Roman" w:hAnsi="Times New Roman"/>
          <w:sz w:val="24"/>
        </w:rPr>
        <w:footnoteReference w:id="2"/>
      </w:r>
      <w:r w:rsidR="001114B9" w:rsidRPr="006F0A38">
        <w:rPr>
          <w:rFonts w:ascii="Times New Roman" w:hAnsi="Times New Roman"/>
        </w:rPr>
        <w:t xml:space="preserve"> and the UNCITRAL Arbitration Rules ("the UNCITRAL Rules"),</w:t>
      </w:r>
      <w:r w:rsidR="00C566B3" w:rsidRPr="006F0A38">
        <w:rPr>
          <w:rStyle w:val="FootnoteReference"/>
          <w:rFonts w:ascii="Times New Roman" w:hAnsi="Times New Roman"/>
          <w:sz w:val="24"/>
        </w:rPr>
        <w:footnoteReference w:id="3"/>
      </w:r>
      <w:r w:rsidR="001114B9" w:rsidRPr="006F0A38">
        <w:rPr>
          <w:rFonts w:ascii="Times New Roman" w:hAnsi="Times New Roman"/>
        </w:rPr>
        <w:t xml:space="preserve"> issued an award that decided all issues of liability. The arbitral tribunal then issued a subsequent award in which the tribunal decided a new issue of liability. This appeal concerns whether </w:t>
      </w:r>
      <w:r w:rsidR="00D174B2" w:rsidRPr="006F0A38">
        <w:rPr>
          <w:rFonts w:ascii="Times New Roman" w:hAnsi="Times New Roman"/>
        </w:rPr>
        <w:t>the Supreme Court of Western Australia ha</w:t>
      </w:r>
      <w:r w:rsidR="004D740B" w:rsidRPr="006F0A38">
        <w:rPr>
          <w:rFonts w:ascii="Times New Roman" w:hAnsi="Times New Roman"/>
        </w:rPr>
        <w:t>d</w:t>
      </w:r>
      <w:r w:rsidR="001114B9" w:rsidRPr="006F0A38">
        <w:rPr>
          <w:rFonts w:ascii="Times New Roman" w:hAnsi="Times New Roman"/>
        </w:rPr>
        <w:t xml:space="preserve"> the power under s 34(2)(a)(iii) of the </w:t>
      </w:r>
      <w:r w:rsidR="001114B9" w:rsidRPr="006F0A38">
        <w:rPr>
          <w:rFonts w:ascii="Times New Roman" w:hAnsi="Times New Roman"/>
          <w:i/>
          <w:iCs/>
        </w:rPr>
        <w:t xml:space="preserve">Commercial Arbitration Act 2012 </w:t>
      </w:r>
      <w:r w:rsidR="001114B9" w:rsidRPr="006F0A38">
        <w:rPr>
          <w:rFonts w:ascii="Times New Roman" w:hAnsi="Times New Roman"/>
        </w:rPr>
        <w:t>(WA) ("the Arbitration Act") to set aside that subsequent award on the grounds that the tribunal</w:t>
      </w:r>
      <w:r w:rsidR="00734C94" w:rsidRPr="006F0A38">
        <w:rPr>
          <w:rFonts w:ascii="Times New Roman" w:hAnsi="Times New Roman"/>
        </w:rPr>
        <w:t>'s</w:t>
      </w:r>
      <w:r w:rsidR="001114B9" w:rsidRPr="006F0A38">
        <w:rPr>
          <w:rFonts w:ascii="Times New Roman" w:hAnsi="Times New Roman"/>
        </w:rPr>
        <w:t xml:space="preserve"> </w:t>
      </w:r>
      <w:r w:rsidR="00CC2D32" w:rsidRPr="006F0A38">
        <w:rPr>
          <w:rFonts w:ascii="Times New Roman" w:hAnsi="Times New Roman"/>
        </w:rPr>
        <w:t>authority ceased when it issued the earlier award</w:t>
      </w:r>
      <w:r w:rsidR="00A85035" w:rsidRPr="006F0A38">
        <w:rPr>
          <w:rFonts w:ascii="Times New Roman" w:hAnsi="Times New Roman"/>
        </w:rPr>
        <w:t>,</w:t>
      </w:r>
      <w:r w:rsidR="005424A3" w:rsidRPr="006F0A38">
        <w:rPr>
          <w:rFonts w:ascii="Times New Roman" w:hAnsi="Times New Roman"/>
        </w:rPr>
        <w:t xml:space="preserve"> and the tribunal </w:t>
      </w:r>
      <w:r w:rsidR="00D37A26" w:rsidRPr="006F0A38">
        <w:rPr>
          <w:rFonts w:ascii="Times New Roman" w:hAnsi="Times New Roman"/>
        </w:rPr>
        <w:t xml:space="preserve">was </w:t>
      </w:r>
      <w:r w:rsidR="00A85035" w:rsidRPr="006F0A38">
        <w:rPr>
          <w:rFonts w:ascii="Times New Roman" w:hAnsi="Times New Roman"/>
        </w:rPr>
        <w:t xml:space="preserve">then </w:t>
      </w:r>
      <w:r w:rsidR="001114B9" w:rsidRPr="006F0A38">
        <w:rPr>
          <w:rFonts w:ascii="Times New Roman" w:hAnsi="Times New Roman"/>
          <w:i/>
          <w:iCs/>
        </w:rPr>
        <w:t>functus officio</w:t>
      </w:r>
      <w:r w:rsidR="001114B9" w:rsidRPr="006F0A38">
        <w:rPr>
          <w:rFonts w:ascii="Times New Roman" w:hAnsi="Times New Roman"/>
        </w:rPr>
        <w:t xml:space="preserve">. And if the </w:t>
      </w:r>
      <w:r w:rsidR="003E15BA" w:rsidRPr="006F0A38">
        <w:rPr>
          <w:rFonts w:ascii="Times New Roman" w:hAnsi="Times New Roman"/>
        </w:rPr>
        <w:t xml:space="preserve">Supreme </w:t>
      </w:r>
      <w:r w:rsidR="001114B9" w:rsidRPr="006F0A38">
        <w:rPr>
          <w:rFonts w:ascii="Times New Roman" w:hAnsi="Times New Roman"/>
        </w:rPr>
        <w:t>Court</w:t>
      </w:r>
      <w:r w:rsidR="003E15BA" w:rsidRPr="006F0A38">
        <w:rPr>
          <w:rFonts w:ascii="Times New Roman" w:hAnsi="Times New Roman"/>
        </w:rPr>
        <w:t xml:space="preserve"> ha</w:t>
      </w:r>
      <w:r w:rsidR="00F15366" w:rsidRPr="006F0A38">
        <w:rPr>
          <w:rFonts w:ascii="Times New Roman" w:hAnsi="Times New Roman"/>
        </w:rPr>
        <w:t>d</w:t>
      </w:r>
      <w:r w:rsidR="003E15BA" w:rsidRPr="006F0A38">
        <w:rPr>
          <w:rFonts w:ascii="Times New Roman" w:hAnsi="Times New Roman"/>
        </w:rPr>
        <w:t xml:space="preserve"> that power</w:t>
      </w:r>
      <w:r w:rsidR="001114B9" w:rsidRPr="006F0A38">
        <w:rPr>
          <w:rFonts w:ascii="Times New Roman" w:hAnsi="Times New Roman"/>
        </w:rPr>
        <w:t xml:space="preserve">, </w:t>
      </w:r>
      <w:r w:rsidR="003E15BA" w:rsidRPr="006F0A38">
        <w:rPr>
          <w:rFonts w:ascii="Times New Roman" w:hAnsi="Times New Roman"/>
        </w:rPr>
        <w:t xml:space="preserve">by </w:t>
      </w:r>
      <w:r w:rsidR="001114B9" w:rsidRPr="006F0A38">
        <w:rPr>
          <w:rFonts w:ascii="Times New Roman" w:hAnsi="Times New Roman"/>
        </w:rPr>
        <w:t xml:space="preserve">what standard </w:t>
      </w:r>
      <w:r w:rsidR="0053107F" w:rsidRPr="006F0A38">
        <w:rPr>
          <w:rFonts w:ascii="Times New Roman" w:hAnsi="Times New Roman"/>
        </w:rPr>
        <w:t>was</w:t>
      </w:r>
      <w:r w:rsidR="002A7A92" w:rsidRPr="006F0A38">
        <w:rPr>
          <w:rFonts w:ascii="Times New Roman" w:hAnsi="Times New Roman"/>
        </w:rPr>
        <w:t xml:space="preserve"> the Supreme Court to exercise it</w:t>
      </w:r>
      <w:r w:rsidR="001114B9" w:rsidRPr="006F0A38">
        <w:rPr>
          <w:rFonts w:ascii="Times New Roman" w:hAnsi="Times New Roman"/>
        </w:rPr>
        <w:t xml:space="preserve">? </w:t>
      </w:r>
    </w:p>
    <w:p w14:paraId="3A4B34B7" w14:textId="365D4E4A"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For the reasons that follow, </w:t>
      </w:r>
      <w:r w:rsidR="002A7A92" w:rsidRPr="006F0A38">
        <w:rPr>
          <w:rFonts w:ascii="Times New Roman" w:hAnsi="Times New Roman"/>
        </w:rPr>
        <w:t>the Supreme Court ha</w:t>
      </w:r>
      <w:r w:rsidR="00F15366" w:rsidRPr="006F0A38">
        <w:rPr>
          <w:rFonts w:ascii="Times New Roman" w:hAnsi="Times New Roman"/>
        </w:rPr>
        <w:t>d</w:t>
      </w:r>
      <w:r w:rsidR="002A7A92" w:rsidRPr="006F0A38">
        <w:rPr>
          <w:rFonts w:ascii="Times New Roman" w:hAnsi="Times New Roman"/>
        </w:rPr>
        <w:t xml:space="preserve"> power</w:t>
      </w:r>
      <w:r w:rsidRPr="006F0A38">
        <w:rPr>
          <w:rFonts w:ascii="Times New Roman" w:hAnsi="Times New Roman"/>
        </w:rPr>
        <w:t xml:space="preserve"> under s 34(2)(a)(iii) of the Arbitration Act </w:t>
      </w:r>
      <w:r w:rsidR="00AA15FE" w:rsidRPr="006F0A38">
        <w:rPr>
          <w:rFonts w:ascii="Times New Roman" w:hAnsi="Times New Roman"/>
        </w:rPr>
        <w:t xml:space="preserve">to set aside the subsequent award </w:t>
      </w:r>
      <w:r w:rsidR="004F73FD" w:rsidRPr="006F0A38">
        <w:rPr>
          <w:rFonts w:ascii="Times New Roman" w:hAnsi="Times New Roman"/>
        </w:rPr>
        <w:t>if the Supreme Court determine</w:t>
      </w:r>
      <w:r w:rsidR="005F0BE2" w:rsidRPr="006F0A38">
        <w:rPr>
          <w:rFonts w:ascii="Times New Roman" w:hAnsi="Times New Roman"/>
        </w:rPr>
        <w:t>d</w:t>
      </w:r>
      <w:r w:rsidR="004F73FD" w:rsidRPr="006F0A38">
        <w:rPr>
          <w:rFonts w:ascii="Times New Roman" w:hAnsi="Times New Roman"/>
        </w:rPr>
        <w:t xml:space="preserve"> </w:t>
      </w:r>
      <w:r w:rsidRPr="006F0A38">
        <w:rPr>
          <w:rFonts w:ascii="Times New Roman" w:hAnsi="Times New Roman"/>
          <w:i/>
        </w:rPr>
        <w:t>de novo</w:t>
      </w:r>
      <w:r w:rsidRPr="006F0A38">
        <w:rPr>
          <w:rFonts w:ascii="Times New Roman" w:hAnsi="Times New Roman"/>
        </w:rPr>
        <w:t xml:space="preserve"> </w:t>
      </w:r>
      <w:r w:rsidR="004F73FD" w:rsidRPr="006F0A38">
        <w:rPr>
          <w:rFonts w:ascii="Times New Roman" w:hAnsi="Times New Roman"/>
        </w:rPr>
        <w:t xml:space="preserve">that the tribunal was </w:t>
      </w:r>
      <w:r w:rsidR="004F73FD" w:rsidRPr="006F0A38">
        <w:rPr>
          <w:rFonts w:ascii="Times New Roman" w:hAnsi="Times New Roman"/>
          <w:i/>
          <w:iCs/>
        </w:rPr>
        <w:t>functus officio</w:t>
      </w:r>
      <w:r w:rsidRPr="006F0A38">
        <w:rPr>
          <w:rFonts w:ascii="Times New Roman" w:hAnsi="Times New Roman"/>
        </w:rPr>
        <w:t>.</w:t>
      </w:r>
    </w:p>
    <w:p w14:paraId="72323329" w14:textId="77777777" w:rsidR="001114B9" w:rsidRPr="006F0A38" w:rsidRDefault="001114B9" w:rsidP="006F0A38">
      <w:pPr>
        <w:pStyle w:val="HeadingL1"/>
        <w:spacing w:after="260" w:line="280" w:lineRule="exact"/>
        <w:ind w:right="0"/>
        <w:jc w:val="both"/>
        <w:rPr>
          <w:rFonts w:ascii="Times New Roman" w:hAnsi="Times New Roman"/>
        </w:rPr>
      </w:pPr>
      <w:r w:rsidRPr="006F0A38">
        <w:rPr>
          <w:rFonts w:ascii="Times New Roman" w:hAnsi="Times New Roman"/>
        </w:rPr>
        <w:t>Background</w:t>
      </w:r>
    </w:p>
    <w:p w14:paraId="0AE18E34" w14:textId="2E37A5DF"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The arbitration arose from a dispute concerning a Contract in relation to an offshore oil and gas project conducted by the respondent ("Chevron"), known as the Gorgon Project. The governing law of the Contract was that of Western Australia.</w:t>
      </w:r>
      <w:r w:rsidRPr="006F0A38">
        <w:rPr>
          <w:rStyle w:val="FootnoteReference"/>
          <w:rFonts w:ascii="Times New Roman" w:hAnsi="Times New Roman"/>
          <w:sz w:val="24"/>
        </w:rPr>
        <w:footnoteReference w:id="4"/>
      </w:r>
      <w:r w:rsidRPr="006F0A38">
        <w:rPr>
          <w:rFonts w:ascii="Times New Roman" w:hAnsi="Times New Roman"/>
        </w:rPr>
        <w:t xml:space="preserve"> Under the Contract, the appellants (collectively, "CKJV") provided staff to work at certain construction</w:t>
      </w:r>
      <w:r w:rsidR="00B56B7B" w:rsidRPr="006F0A38">
        <w:rPr>
          <w:rFonts w:ascii="Times New Roman" w:hAnsi="Times New Roman"/>
        </w:rPr>
        <w:t xml:space="preserve"> </w:t>
      </w:r>
      <w:r w:rsidRPr="006F0A38">
        <w:rPr>
          <w:rFonts w:ascii="Times New Roman" w:hAnsi="Times New Roman"/>
        </w:rPr>
        <w:t xml:space="preserve">sites and Chevron reimbursed CKJV for the cost of the staff ("Staff Costs"). CKJV contended that Chevron had underpaid it for Staff Costs. Chevron alleged (by counterclaim) that it had been overcharged by, and had overpaid, CKJV. </w:t>
      </w:r>
    </w:p>
    <w:p w14:paraId="0A19205C" w14:textId="3F20FBB3"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lastRenderedPageBreak/>
        <w:tab/>
        <w:t xml:space="preserve">The Contract provided that "any dispute or controversy arising out of" the Contract, including "any dispute or controversy regarding the existence, construction, validity, interpretation, enforceability or breach" of the Contract, would "be exclusively and finally settled" by arbitration, that the arbitration would be administered using the UNCITRAL Rules, and that any award would "be final and binding". The Contract </w:t>
      </w:r>
      <w:r w:rsidR="00F02BB9" w:rsidRPr="006F0A38">
        <w:rPr>
          <w:rFonts w:ascii="Times New Roman" w:hAnsi="Times New Roman"/>
        </w:rPr>
        <w:t xml:space="preserve">had the effect </w:t>
      </w:r>
      <w:r w:rsidRPr="006F0A38">
        <w:rPr>
          <w:rFonts w:ascii="Times New Roman" w:hAnsi="Times New Roman"/>
        </w:rPr>
        <w:t xml:space="preserve">that the terms of the arbitration agreement were enforceable under the Arbitration Act, that any disputes relating to, or in connection with, the enforceability of the arbitration agreement would only be brought in the Supreme Court of Western Australia, and that CKJV and Chevron consented to the exclusive jurisdiction of that Court for that purpose. </w:t>
      </w:r>
    </w:p>
    <w:p w14:paraId="00FB1722" w14:textId="6A24D6B5"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CKJV commenced arbitration proceedings against Chevron in February 2017. In</w:t>
      </w:r>
      <w:r w:rsidR="008E1918" w:rsidRPr="006F0A38">
        <w:rPr>
          <w:rFonts w:ascii="Times New Roman" w:hAnsi="Times New Roman"/>
        </w:rPr>
        <w:t> </w:t>
      </w:r>
      <w:r w:rsidRPr="006F0A38">
        <w:rPr>
          <w:rFonts w:ascii="Times New Roman" w:hAnsi="Times New Roman"/>
        </w:rPr>
        <w:t>general terms, CKJV contended, on a number of bases, that it was entitled to recover Staff Costs on the basis of contractual "rates", rather than actual costs, whereas Chevron contended (by</w:t>
      </w:r>
      <w:r w:rsidR="008E1918" w:rsidRPr="006F0A38">
        <w:rPr>
          <w:rFonts w:ascii="Times New Roman" w:hAnsi="Times New Roman"/>
        </w:rPr>
        <w:t> </w:t>
      </w:r>
      <w:r w:rsidRPr="006F0A38">
        <w:rPr>
          <w:rFonts w:ascii="Times New Roman" w:hAnsi="Times New Roman"/>
        </w:rPr>
        <w:t xml:space="preserve">way of its counterclaim) that it had overpaid CKJV for amounts beyond what was contractually agreed </w:t>
      </w:r>
      <w:r w:rsidR="00B732C6" w:rsidRPr="006F0A38">
        <w:rPr>
          <w:rFonts w:ascii="Times New Roman" w:hAnsi="Times New Roman"/>
        </w:rPr>
        <w:t>based on actual costs</w:t>
      </w:r>
      <w:r w:rsidRPr="006F0A38">
        <w:rPr>
          <w:rFonts w:ascii="Times New Roman" w:hAnsi="Times New Roman"/>
        </w:rPr>
        <w:t>. In May 2017, the arbitral tribunal fixed the substantive hearing for November 2018. About three months before the November hearing, Chevron</w:t>
      </w:r>
      <w:r w:rsidR="008E1918" w:rsidRPr="006F0A38">
        <w:rPr>
          <w:rFonts w:ascii="Times New Roman" w:hAnsi="Times New Roman"/>
        </w:rPr>
        <w:t> </w:t>
      </w:r>
      <w:r w:rsidRPr="006F0A38">
        <w:rPr>
          <w:rFonts w:ascii="Times New Roman" w:hAnsi="Times New Roman"/>
        </w:rPr>
        <w:t>provided amended particulars of its counterclaim, which</w:t>
      </w:r>
      <w:r w:rsidR="008E1918" w:rsidRPr="006F0A38">
        <w:rPr>
          <w:rFonts w:ascii="Times New Roman" w:hAnsi="Times New Roman"/>
        </w:rPr>
        <w:t> </w:t>
      </w:r>
      <w:r w:rsidRPr="006F0A38">
        <w:rPr>
          <w:rFonts w:ascii="Times New Roman" w:hAnsi="Times New Roman"/>
        </w:rPr>
        <w:t xml:space="preserve">included a methodology for calculating the alleged overpayment. In order to allow CKJV an opportunity to respond to the particulars, and to preserve the November hearing, the arbitral tribunal issued a series of procedural orders bifurcating the proceedings between issues of liability and issues of quantum. </w:t>
      </w:r>
    </w:p>
    <w:p w14:paraId="3BB31F2F" w14:textId="567C5B28"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r>
      <w:r w:rsidRPr="006F0A38">
        <w:rPr>
          <w:rFonts w:ascii="Times New Roman" w:hAnsi="Times New Roman"/>
          <w:bCs/>
        </w:rPr>
        <w:t>T</w:t>
      </w:r>
      <w:r w:rsidRPr="006F0A38">
        <w:rPr>
          <w:rFonts w:ascii="Times New Roman" w:hAnsi="Times New Roman"/>
        </w:rPr>
        <w:t>he November hearing dealt with "all issues of liability"</w:t>
      </w:r>
      <w:r w:rsidRPr="006F0A38">
        <w:rPr>
          <w:rFonts w:ascii="Times New Roman" w:hAnsi="Times New Roman"/>
          <w:b/>
        </w:rPr>
        <w:t xml:space="preserve"> </w:t>
      </w:r>
      <w:r w:rsidRPr="006F0A38">
        <w:rPr>
          <w:rFonts w:ascii="Times New Roman" w:hAnsi="Times New Roman"/>
        </w:rPr>
        <w:t>under the Contract in respect of CKJV's claimed entitlement to reimbursement of Staff Costs and Chevron's liability for reimbursing CKJV for those costs, as well as Chevron's counterclaim in respect of its alleged overpayment. Th</w:t>
      </w:r>
      <w:r w:rsidR="005D2A46" w:rsidRPr="006F0A38">
        <w:rPr>
          <w:rFonts w:ascii="Times New Roman" w:hAnsi="Times New Roman"/>
        </w:rPr>
        <w:t>e</w:t>
      </w:r>
      <w:r w:rsidRPr="006F0A38">
        <w:rPr>
          <w:rFonts w:ascii="Times New Roman" w:hAnsi="Times New Roman"/>
        </w:rPr>
        <w:t> November hearing, relevantly, excluded "all quantum and quantification issues arising out of [Chevron's] Counterclaim".</w:t>
      </w:r>
    </w:p>
    <w:p w14:paraId="61C031E1" w14:textId="179C49E3"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In December 2018, the arbitral tribunal issued an interim award ("the First Interim Award"). CKJV failed in its primary case that it was entitled, on the proper construction and operation of the Contract, to recover Staff Costs by reference to contractual rates. The First Interim Award relevantly held that there was no binding agreement between the parties to convert the price for staff from actual costs to rates and there was no estoppel to that effect. In substance, the First Interim Award held that "CKJV's entitlement was to be paid actual costs".</w:t>
      </w:r>
      <w:r w:rsidR="00344FAC" w:rsidRPr="006F0A38">
        <w:rPr>
          <w:rFonts w:ascii="Times New Roman" w:hAnsi="Times New Roman"/>
        </w:rPr>
        <w:t xml:space="preserve"> </w:t>
      </w:r>
      <w:r w:rsidRPr="006F0A38">
        <w:rPr>
          <w:rFonts w:ascii="Times New Roman" w:hAnsi="Times New Roman"/>
        </w:rPr>
        <w:t>The arbitral tribunal also held, in</w:t>
      </w:r>
      <w:r w:rsidR="008E1918" w:rsidRPr="006F0A38">
        <w:rPr>
          <w:rFonts w:ascii="Times New Roman" w:hAnsi="Times New Roman"/>
        </w:rPr>
        <w:t> </w:t>
      </w:r>
      <w:r w:rsidRPr="006F0A38">
        <w:rPr>
          <w:rFonts w:ascii="Times New Roman" w:hAnsi="Times New Roman"/>
        </w:rPr>
        <w:t xml:space="preserve">response to Chevron's counterclaim, that CKJV was entitled to bring to account amounts for costs actually incurred but for which it had not billed Chevron. </w:t>
      </w:r>
    </w:p>
    <w:p w14:paraId="254667F2" w14:textId="1B7CD1B7"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lastRenderedPageBreak/>
        <w:tab/>
        <w:t xml:space="preserve">On 24 May 2019, the arbitral tribunal ordered </w:t>
      </w:r>
      <w:r w:rsidR="00C37605" w:rsidRPr="006F0A38">
        <w:rPr>
          <w:rFonts w:ascii="Times New Roman" w:hAnsi="Times New Roman"/>
        </w:rPr>
        <w:t xml:space="preserve">CKJV </w:t>
      </w:r>
      <w:r w:rsidRPr="006F0A38">
        <w:rPr>
          <w:rFonts w:ascii="Times New Roman" w:hAnsi="Times New Roman"/>
        </w:rPr>
        <w:t>to replead</w:t>
      </w:r>
      <w:r w:rsidR="00C37605" w:rsidRPr="006F0A38">
        <w:rPr>
          <w:rFonts w:ascii="Times New Roman" w:hAnsi="Times New Roman"/>
        </w:rPr>
        <w:t xml:space="preserve"> its</w:t>
      </w:r>
      <w:r w:rsidRPr="006F0A38">
        <w:rPr>
          <w:rFonts w:ascii="Times New Roman" w:hAnsi="Times New Roman"/>
        </w:rPr>
        <w:t xml:space="preserve"> case on quantum. In its repleaded case, CKJV claimed that its entitlement to Staff Costs in accordance with the Contract was to be calculated by applying the "Staff Costs Contract Criteria" to actual costs or, alternatively, to approved salaries and hours (</w:t>
      </w:r>
      <w:r w:rsidR="00C5368A" w:rsidRPr="006F0A38">
        <w:rPr>
          <w:rFonts w:ascii="Times New Roman" w:hAnsi="Times New Roman"/>
        </w:rPr>
        <w:t xml:space="preserve">the </w:t>
      </w:r>
      <w:r w:rsidRPr="006F0A38">
        <w:rPr>
          <w:rFonts w:ascii="Times New Roman" w:hAnsi="Times New Roman"/>
        </w:rPr>
        <w:t xml:space="preserve">"Contract Criteria Case"). </w:t>
      </w:r>
    </w:p>
    <w:p w14:paraId="190E7546" w14:textId="2FE46EF9"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By reason of the First Interim Award, Chevron objected to the arbitral tribunal considering the Contract Criteria Case on two bases: firstly, that CKJV was precluded from advancing it by reason of </w:t>
      </w:r>
      <w:r w:rsidRPr="006F0A38">
        <w:rPr>
          <w:rFonts w:ascii="Times New Roman" w:hAnsi="Times New Roman"/>
          <w:i/>
          <w:iCs/>
        </w:rPr>
        <w:t>res judicata</w:t>
      </w:r>
      <w:r w:rsidRPr="006F0A38">
        <w:rPr>
          <w:rFonts w:ascii="Times New Roman" w:hAnsi="Times New Roman"/>
        </w:rPr>
        <w:t xml:space="preserve">, issue estoppel or </w:t>
      </w:r>
      <w:r w:rsidRPr="006F0A38">
        <w:rPr>
          <w:rFonts w:ascii="Times New Roman" w:hAnsi="Times New Roman"/>
          <w:i/>
          <w:iCs/>
        </w:rPr>
        <w:t>Anshun</w:t>
      </w:r>
      <w:r w:rsidRPr="006F0A38">
        <w:rPr>
          <w:rFonts w:ascii="Times New Roman" w:hAnsi="Times New Roman"/>
        </w:rPr>
        <w:t xml:space="preserve"> estoppel (collectively, "the Estoppels"); and, secondly, that the tribunal was </w:t>
      </w:r>
      <w:r w:rsidRPr="006F0A38">
        <w:rPr>
          <w:rFonts w:ascii="Times New Roman" w:hAnsi="Times New Roman"/>
          <w:i/>
          <w:iCs/>
        </w:rPr>
        <w:t xml:space="preserve">functus officio </w:t>
      </w:r>
      <w:r w:rsidRPr="006F0A38">
        <w:rPr>
          <w:rFonts w:ascii="Times New Roman" w:hAnsi="Times New Roman"/>
        </w:rPr>
        <w:t>in respect of the Contract Criteria Case. The arbitral tribunal fixed a hearing for August</w:t>
      </w:r>
      <w:r w:rsidR="00C31288" w:rsidRPr="006F0A38">
        <w:rPr>
          <w:rFonts w:ascii="Times New Roman" w:hAnsi="Times New Roman"/>
        </w:rPr>
        <w:t> </w:t>
      </w:r>
      <w:r w:rsidRPr="006F0A38">
        <w:rPr>
          <w:rFonts w:ascii="Times New Roman" w:hAnsi="Times New Roman"/>
        </w:rPr>
        <w:t>2020 to hear Chevron's objections to, and the merits of, CKJV's Contract Criteria Case together.</w:t>
      </w:r>
    </w:p>
    <w:p w14:paraId="5AB5C769" w14:textId="471713DE"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Following the second hearing in August 2020, the arbitral tribunal issued a further award ("the Second Interim Award"). By majority, the arbitral tribunal rejected each of Chevron's objections.</w:t>
      </w:r>
      <w:r w:rsidRPr="006F0A38">
        <w:rPr>
          <w:rFonts w:ascii="Times New Roman" w:hAnsi="Times New Roman"/>
          <w:b/>
          <w:bCs/>
        </w:rPr>
        <w:t xml:space="preserve"> </w:t>
      </w:r>
      <w:r w:rsidRPr="006F0A38">
        <w:rPr>
          <w:rFonts w:ascii="Times New Roman" w:hAnsi="Times New Roman"/>
        </w:rPr>
        <w:t>The arbitral tribunal declared that CKJV was not prevented from advancing, maintaining</w:t>
      </w:r>
      <w:r w:rsidR="000F561C" w:rsidRPr="006F0A38">
        <w:rPr>
          <w:rFonts w:ascii="Times New Roman" w:hAnsi="Times New Roman"/>
        </w:rPr>
        <w:t> </w:t>
      </w:r>
      <w:r w:rsidRPr="006F0A38">
        <w:rPr>
          <w:rFonts w:ascii="Times New Roman" w:hAnsi="Times New Roman"/>
        </w:rPr>
        <w:t xml:space="preserve">or contending, whether in whole or in part, the Contract Criteria Case by reason of any of the Estoppels and that the tribunal was not </w:t>
      </w:r>
      <w:r w:rsidRPr="006F0A38">
        <w:rPr>
          <w:rFonts w:ascii="Times New Roman" w:hAnsi="Times New Roman"/>
          <w:i/>
          <w:iCs/>
        </w:rPr>
        <w:t>functus officio</w:t>
      </w:r>
      <w:r w:rsidRPr="006F0A38">
        <w:rPr>
          <w:rFonts w:ascii="Times New Roman" w:hAnsi="Times New Roman"/>
        </w:rPr>
        <w:t xml:space="preserve"> in respect of the Contract Criteria Case.</w:t>
      </w:r>
    </w:p>
    <w:p w14:paraId="0AAFDDD7" w14:textId="448E10A0"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b/>
          <w:bCs/>
        </w:rPr>
        <w:tab/>
      </w:r>
      <w:r w:rsidRPr="006F0A38">
        <w:rPr>
          <w:rFonts w:ascii="Times New Roman" w:hAnsi="Times New Roman"/>
        </w:rPr>
        <w:t>Chevron applied to the Supreme Court of Western Australia under s 34(2)(a)(iii) of the Arbitration Act to set aside the Second Interim Award (the</w:t>
      </w:r>
      <w:r w:rsidR="002F5AE0" w:rsidRPr="006F0A38">
        <w:rPr>
          <w:rFonts w:ascii="Times New Roman" w:hAnsi="Times New Roman"/>
        </w:rPr>
        <w:t> </w:t>
      </w:r>
      <w:r w:rsidRPr="006F0A38">
        <w:rPr>
          <w:rFonts w:ascii="Times New Roman" w:hAnsi="Times New Roman"/>
        </w:rPr>
        <w:t xml:space="preserve">"set aside application") </w:t>
      </w:r>
      <w:r w:rsidR="00600F35" w:rsidRPr="006F0A38">
        <w:rPr>
          <w:rFonts w:ascii="Times New Roman" w:hAnsi="Times New Roman"/>
        </w:rPr>
        <w:t>on the basis that the Second Interim Award dealt with a dispute not contemplated by or falling within the terms of the submission to arbitration</w:t>
      </w:r>
      <w:r w:rsidR="00655025" w:rsidRPr="006F0A38">
        <w:rPr>
          <w:rFonts w:ascii="Times New Roman" w:hAnsi="Times New Roman"/>
        </w:rPr>
        <w:t>,</w:t>
      </w:r>
      <w:r w:rsidR="00600F35" w:rsidRPr="006F0A38">
        <w:rPr>
          <w:rFonts w:ascii="Times New Roman" w:hAnsi="Times New Roman"/>
        </w:rPr>
        <w:t xml:space="preserve"> or</w:t>
      </w:r>
      <w:r w:rsidR="00412B4A" w:rsidRPr="006F0A38">
        <w:rPr>
          <w:rFonts w:ascii="Times New Roman" w:hAnsi="Times New Roman"/>
        </w:rPr>
        <w:t> </w:t>
      </w:r>
      <w:r w:rsidR="00600F35" w:rsidRPr="006F0A38">
        <w:rPr>
          <w:rFonts w:ascii="Times New Roman" w:hAnsi="Times New Roman"/>
        </w:rPr>
        <w:t>contained decisions on matters beyond the scope of the submission to arbitration</w:t>
      </w:r>
      <w:r w:rsidRPr="006F0A38">
        <w:rPr>
          <w:rFonts w:ascii="Times New Roman" w:hAnsi="Times New Roman"/>
        </w:rPr>
        <w:t xml:space="preserve">. The primary judge held that it was open to Chevron on its set aside application to seek to have the Court examine afresh its objections to the arbitral tribunal considering the Contract Criteria Case and held that the tribunal was </w:t>
      </w:r>
      <w:r w:rsidRPr="006F0A38">
        <w:rPr>
          <w:rFonts w:ascii="Times New Roman" w:hAnsi="Times New Roman"/>
          <w:i/>
          <w:iCs/>
        </w:rPr>
        <w:t>functus officio</w:t>
      </w:r>
      <w:r w:rsidRPr="006F0A38">
        <w:rPr>
          <w:rFonts w:ascii="Times New Roman" w:hAnsi="Times New Roman"/>
        </w:rPr>
        <w:t>.</w:t>
      </w:r>
      <w:r w:rsidR="00801D58" w:rsidRPr="006F0A38">
        <w:rPr>
          <w:rFonts w:ascii="Times New Roman" w:hAnsi="Times New Roman"/>
        </w:rPr>
        <w:t xml:space="preserve"> </w:t>
      </w:r>
    </w:p>
    <w:p w14:paraId="17DE3AA7" w14:textId="0C4CCFEF"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CKJV's appeal to the Court of Appeal of the Supreme Court of Western Australia was dismissed. The Court of Appeal found that the majority of the arbitral tribunal overlooked the meaning, or mischaracterised the effect, of many of the pleadings, particulars, submissions and procedural orders prior to the November </w:t>
      </w:r>
      <w:r w:rsidR="00122C04" w:rsidRPr="006F0A38">
        <w:rPr>
          <w:rFonts w:ascii="Times New Roman" w:hAnsi="Times New Roman"/>
        </w:rPr>
        <w:t>h</w:t>
      </w:r>
      <w:r w:rsidRPr="006F0A38">
        <w:rPr>
          <w:rFonts w:ascii="Times New Roman" w:hAnsi="Times New Roman"/>
        </w:rPr>
        <w:t xml:space="preserve">earing and that, having found that the Contract Criteria Case only emerged after the </w:t>
      </w:r>
      <w:r w:rsidR="00DF0CB1" w:rsidRPr="006F0A38">
        <w:rPr>
          <w:rFonts w:ascii="Times New Roman" w:hAnsi="Times New Roman"/>
        </w:rPr>
        <w:t>delivery of the First In</w:t>
      </w:r>
      <w:r w:rsidR="00B9688C" w:rsidRPr="006F0A38">
        <w:rPr>
          <w:rFonts w:ascii="Times New Roman" w:hAnsi="Times New Roman"/>
        </w:rPr>
        <w:t>terim Award</w:t>
      </w:r>
      <w:r w:rsidRPr="006F0A38">
        <w:rPr>
          <w:rFonts w:ascii="Times New Roman" w:hAnsi="Times New Roman"/>
        </w:rPr>
        <w:t xml:space="preserve">, the majority of the tribunal made a number of erroneous findings. </w:t>
      </w:r>
    </w:p>
    <w:p w14:paraId="437CDF53" w14:textId="3F60AF32"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The Court of Appeal then made the following four findings, not</w:t>
      </w:r>
      <w:r w:rsidR="000F561C" w:rsidRPr="006F0A38">
        <w:rPr>
          <w:rFonts w:ascii="Times New Roman" w:hAnsi="Times New Roman"/>
        </w:rPr>
        <w:t> </w:t>
      </w:r>
      <w:r w:rsidRPr="006F0A38">
        <w:rPr>
          <w:rFonts w:ascii="Times New Roman" w:hAnsi="Times New Roman"/>
        </w:rPr>
        <w:t>challenged in this Court: (1) the meaning and effect of the procedural orders by which the arbitral tribunal bifurcated the arbitration proceedings was that, at</w:t>
      </w:r>
      <w:r w:rsidR="000F561C" w:rsidRPr="006F0A38">
        <w:rPr>
          <w:rFonts w:ascii="Times New Roman" w:hAnsi="Times New Roman"/>
        </w:rPr>
        <w:t> </w:t>
      </w:r>
      <w:r w:rsidRPr="006F0A38">
        <w:rPr>
          <w:rFonts w:ascii="Times New Roman" w:hAnsi="Times New Roman"/>
        </w:rPr>
        <w:t xml:space="preserve">the November </w:t>
      </w:r>
      <w:r w:rsidR="00582BC1" w:rsidRPr="006F0A38">
        <w:rPr>
          <w:rFonts w:ascii="Times New Roman" w:hAnsi="Times New Roman"/>
        </w:rPr>
        <w:lastRenderedPageBreak/>
        <w:t>h</w:t>
      </w:r>
      <w:r w:rsidRPr="006F0A38">
        <w:rPr>
          <w:rFonts w:ascii="Times New Roman" w:hAnsi="Times New Roman"/>
        </w:rPr>
        <w:t xml:space="preserve">earing, "all issues of liability" would be heard in respect of Chevron's liability to CKJV arising under the Contract, including in respect of payment of staff, and any liability on the part of CKJV to repay any overpayment </w:t>
      </w:r>
      <w:r w:rsidR="00165D17" w:rsidRPr="006F0A38">
        <w:rPr>
          <w:rFonts w:ascii="Times New Roman" w:hAnsi="Times New Roman"/>
        </w:rPr>
        <w:t xml:space="preserve">it </w:t>
      </w:r>
      <w:r w:rsidRPr="006F0A38">
        <w:rPr>
          <w:rFonts w:ascii="Times New Roman" w:hAnsi="Times New Roman"/>
        </w:rPr>
        <w:t xml:space="preserve">received beyond that to which </w:t>
      </w:r>
      <w:r w:rsidR="00C51AEE" w:rsidRPr="006F0A38">
        <w:rPr>
          <w:rFonts w:ascii="Times New Roman" w:hAnsi="Times New Roman"/>
        </w:rPr>
        <w:t xml:space="preserve">it was </w:t>
      </w:r>
      <w:r w:rsidRPr="006F0A38">
        <w:rPr>
          <w:rFonts w:ascii="Times New Roman" w:hAnsi="Times New Roman"/>
        </w:rPr>
        <w:t>contractually entitled as alleged by Chevron, being</w:t>
      </w:r>
      <w:r w:rsidR="00CC2F89" w:rsidRPr="006F0A38">
        <w:rPr>
          <w:rFonts w:ascii="Times New Roman" w:hAnsi="Times New Roman"/>
        </w:rPr>
        <w:t> </w:t>
      </w:r>
      <w:r w:rsidRPr="006F0A38">
        <w:rPr>
          <w:rFonts w:ascii="Times New Roman" w:hAnsi="Times New Roman"/>
        </w:rPr>
        <w:t>costs actually incurred; (2) the First Interim Award was the determination of all issues of liability; (3)</w:t>
      </w:r>
      <w:r w:rsidR="001F42C2" w:rsidRPr="006F0A38">
        <w:rPr>
          <w:rFonts w:ascii="Times New Roman" w:hAnsi="Times New Roman"/>
        </w:rPr>
        <w:t> </w:t>
      </w:r>
      <w:r w:rsidRPr="006F0A38">
        <w:rPr>
          <w:rFonts w:ascii="Times New Roman" w:hAnsi="Times New Roman"/>
        </w:rPr>
        <w:t>the</w:t>
      </w:r>
      <w:r w:rsidR="007923BA" w:rsidRPr="006F0A38">
        <w:rPr>
          <w:rFonts w:ascii="Times New Roman" w:hAnsi="Times New Roman"/>
        </w:rPr>
        <w:t> </w:t>
      </w:r>
      <w:r w:rsidRPr="006F0A38">
        <w:rPr>
          <w:rFonts w:ascii="Times New Roman" w:hAnsi="Times New Roman"/>
        </w:rPr>
        <w:t xml:space="preserve">Contract Criteria Case was a case on liability, not a case on quantum; and (4) there was no residual issue for determination at the second hearing as to whether CKJV had any further or alternative contractual claim for charging Chevron for staff or </w:t>
      </w:r>
      <w:r w:rsidR="00346DCE" w:rsidRPr="006F0A38">
        <w:rPr>
          <w:rFonts w:ascii="Times New Roman" w:hAnsi="Times New Roman"/>
        </w:rPr>
        <w:t xml:space="preserve">any grounds for </w:t>
      </w:r>
      <w:r w:rsidRPr="006F0A38">
        <w:rPr>
          <w:rFonts w:ascii="Times New Roman" w:hAnsi="Times New Roman"/>
        </w:rPr>
        <w:t>resisting Chevron's counterclaim in respect of the alleged overpayments. Given those findings, the</w:t>
      </w:r>
      <w:r w:rsidR="00735C13" w:rsidRPr="006F0A38">
        <w:rPr>
          <w:rFonts w:ascii="Times New Roman" w:hAnsi="Times New Roman"/>
        </w:rPr>
        <w:t> </w:t>
      </w:r>
      <w:r w:rsidRPr="006F0A38">
        <w:rPr>
          <w:rFonts w:ascii="Times New Roman" w:hAnsi="Times New Roman"/>
        </w:rPr>
        <w:t xml:space="preserve">Court of Appeal upheld the primary judge's conclusion that the arbitral tribunal was </w:t>
      </w:r>
      <w:r w:rsidRPr="006F0A38">
        <w:rPr>
          <w:rFonts w:ascii="Times New Roman" w:hAnsi="Times New Roman"/>
          <w:i/>
          <w:iCs/>
        </w:rPr>
        <w:t>functus officio</w:t>
      </w:r>
      <w:r w:rsidRPr="006F0A38">
        <w:rPr>
          <w:rFonts w:ascii="Times New Roman" w:hAnsi="Times New Roman"/>
        </w:rPr>
        <w:t xml:space="preserve"> when it purportedly determined the Contract Criteria Case in the Second Interim Award and that that award should be set aside under s 34(2)(a)(iii) of the Arbitration Act.</w:t>
      </w:r>
    </w:p>
    <w:p w14:paraId="28905802" w14:textId="3E2D0500"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CKJV appealed to this Court on two grounds. Firstly, </w:t>
      </w:r>
      <w:r w:rsidR="00056DB7" w:rsidRPr="006F0A38">
        <w:rPr>
          <w:rFonts w:ascii="Times New Roman" w:hAnsi="Times New Roman"/>
        </w:rPr>
        <w:t>it</w:t>
      </w:r>
      <w:r w:rsidRPr="006F0A38">
        <w:rPr>
          <w:rFonts w:ascii="Times New Roman" w:hAnsi="Times New Roman"/>
        </w:rPr>
        <w:t xml:space="preserve"> submitted that the Court of Appeal erred in </w:t>
      </w:r>
      <w:r w:rsidR="00C2695B" w:rsidRPr="006F0A38">
        <w:rPr>
          <w:rFonts w:ascii="Times New Roman" w:hAnsi="Times New Roman"/>
        </w:rPr>
        <w:t xml:space="preserve">holding that the Supreme Court had power to set aside the Second </w:t>
      </w:r>
      <w:r w:rsidR="008962FD" w:rsidRPr="006F0A38">
        <w:rPr>
          <w:rFonts w:ascii="Times New Roman" w:hAnsi="Times New Roman"/>
        </w:rPr>
        <w:t xml:space="preserve">Interim </w:t>
      </w:r>
      <w:r w:rsidR="00C2695B" w:rsidRPr="006F0A38">
        <w:rPr>
          <w:rFonts w:ascii="Times New Roman" w:hAnsi="Times New Roman"/>
        </w:rPr>
        <w:t xml:space="preserve">Award under s 34(2)(a)(iii) of the Arbitration Act and should instead have held that determination of whether the First </w:t>
      </w:r>
      <w:r w:rsidR="008962FD" w:rsidRPr="006F0A38">
        <w:rPr>
          <w:rFonts w:ascii="Times New Roman" w:hAnsi="Times New Roman"/>
        </w:rPr>
        <w:t xml:space="preserve">Interim </w:t>
      </w:r>
      <w:r w:rsidR="00C2695B" w:rsidRPr="006F0A38">
        <w:rPr>
          <w:rFonts w:ascii="Times New Roman" w:hAnsi="Times New Roman"/>
        </w:rPr>
        <w:t>Award precluded advancement of the Contract Criteria Case was within the exclusive authority of the arbitral tribunal</w:t>
      </w:r>
      <w:r w:rsidRPr="006F0A38">
        <w:rPr>
          <w:rFonts w:ascii="Times New Roman" w:hAnsi="Times New Roman"/>
        </w:rPr>
        <w:t xml:space="preserve">. Secondly, </w:t>
      </w:r>
      <w:r w:rsidR="001410AE" w:rsidRPr="006F0A38">
        <w:rPr>
          <w:rFonts w:ascii="Times New Roman" w:hAnsi="Times New Roman"/>
        </w:rPr>
        <w:t xml:space="preserve">it </w:t>
      </w:r>
      <w:r w:rsidRPr="006F0A38">
        <w:rPr>
          <w:rFonts w:ascii="Times New Roman" w:hAnsi="Times New Roman"/>
        </w:rPr>
        <w:t xml:space="preserve">submitted that the Court of Appeal erred in law in finding that the standard of the </w:t>
      </w:r>
      <w:r w:rsidR="00FF07A9" w:rsidRPr="006F0A38">
        <w:rPr>
          <w:rFonts w:ascii="Times New Roman" w:hAnsi="Times New Roman"/>
        </w:rPr>
        <w:t>Supreme</w:t>
      </w:r>
      <w:r w:rsidRPr="006F0A38">
        <w:rPr>
          <w:rFonts w:ascii="Times New Roman" w:hAnsi="Times New Roman"/>
        </w:rPr>
        <w:t xml:space="preserve"> </w:t>
      </w:r>
      <w:r w:rsidR="00FF07A9" w:rsidRPr="006F0A38">
        <w:rPr>
          <w:rFonts w:ascii="Times New Roman" w:hAnsi="Times New Roman"/>
        </w:rPr>
        <w:t>C</w:t>
      </w:r>
      <w:r w:rsidRPr="006F0A38">
        <w:rPr>
          <w:rFonts w:ascii="Times New Roman" w:hAnsi="Times New Roman"/>
        </w:rPr>
        <w:t xml:space="preserve">ourt's review of the scope of the parties' submission to arbitration in an application to set aside an arbitral award under s 34(2)(a)(iii) of the Arbitration Act is a </w:t>
      </w:r>
      <w:r w:rsidRPr="006F0A38">
        <w:rPr>
          <w:rFonts w:ascii="Times New Roman" w:hAnsi="Times New Roman"/>
          <w:i/>
          <w:iCs/>
        </w:rPr>
        <w:t>de novo</w:t>
      </w:r>
      <w:r w:rsidRPr="006F0A38">
        <w:rPr>
          <w:rFonts w:ascii="Times New Roman" w:hAnsi="Times New Roman"/>
        </w:rPr>
        <w:t xml:space="preserve"> review in which the </w:t>
      </w:r>
      <w:r w:rsidR="00FF07A9" w:rsidRPr="006F0A38">
        <w:rPr>
          <w:rFonts w:ascii="Times New Roman" w:hAnsi="Times New Roman"/>
        </w:rPr>
        <w:t>Supreme C</w:t>
      </w:r>
      <w:r w:rsidRPr="006F0A38">
        <w:rPr>
          <w:rFonts w:ascii="Times New Roman" w:hAnsi="Times New Roman"/>
        </w:rPr>
        <w:t>ourt applies a "correctness" standard of intervention. Those</w:t>
      </w:r>
      <w:r w:rsidR="00412B4A" w:rsidRPr="006F0A38">
        <w:rPr>
          <w:rFonts w:ascii="Times New Roman" w:hAnsi="Times New Roman"/>
        </w:rPr>
        <w:t> </w:t>
      </w:r>
      <w:r w:rsidRPr="006F0A38">
        <w:rPr>
          <w:rFonts w:ascii="Times New Roman" w:hAnsi="Times New Roman"/>
        </w:rPr>
        <w:t>submissions are rejected.</w:t>
      </w:r>
    </w:p>
    <w:p w14:paraId="448D0AEF" w14:textId="77777777" w:rsidR="001114B9" w:rsidRPr="006F0A38" w:rsidRDefault="001114B9" w:rsidP="006F0A38">
      <w:pPr>
        <w:pStyle w:val="HeadingL1"/>
        <w:spacing w:after="260" w:line="280" w:lineRule="exact"/>
        <w:ind w:right="0"/>
        <w:jc w:val="both"/>
        <w:rPr>
          <w:rFonts w:ascii="Times New Roman" w:hAnsi="Times New Roman"/>
        </w:rPr>
      </w:pPr>
      <w:r w:rsidRPr="006F0A38">
        <w:rPr>
          <w:rFonts w:ascii="Times New Roman" w:hAnsi="Times New Roman"/>
        </w:rPr>
        <w:t>Framework</w:t>
      </w:r>
    </w:p>
    <w:p w14:paraId="71E9543A" w14:textId="018BDF56"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In a domestic commercial arbitration governed by the Model Law,</w:t>
      </w:r>
      <w:r w:rsidRPr="006F0A38">
        <w:rPr>
          <w:rStyle w:val="FootnoteReference"/>
          <w:rFonts w:ascii="Times New Roman" w:hAnsi="Times New Roman"/>
          <w:sz w:val="24"/>
        </w:rPr>
        <w:footnoteReference w:id="5"/>
      </w:r>
      <w:r w:rsidRPr="006F0A38">
        <w:rPr>
          <w:rFonts w:ascii="Times New Roman" w:hAnsi="Times New Roman"/>
        </w:rPr>
        <w:t xml:space="preserve"> the principle of party autonomy is foundational.</w:t>
      </w:r>
      <w:r w:rsidRPr="006F0A38">
        <w:rPr>
          <w:rStyle w:val="FootnoteReference"/>
          <w:rFonts w:ascii="Times New Roman" w:hAnsi="Times New Roman"/>
          <w:sz w:val="24"/>
        </w:rPr>
        <w:footnoteReference w:id="6"/>
      </w:r>
      <w:r w:rsidRPr="006F0A38">
        <w:rPr>
          <w:rFonts w:ascii="Times New Roman" w:hAnsi="Times New Roman"/>
        </w:rPr>
        <w:t xml:space="preserve"> The jurisdiction of the arbitral tribunal is </w:t>
      </w:r>
      <w:r w:rsidR="00630482" w:rsidRPr="006F0A38">
        <w:rPr>
          <w:rFonts w:ascii="Times New Roman" w:hAnsi="Times New Roman"/>
        </w:rPr>
        <w:t xml:space="preserve">based on the parties' </w:t>
      </w:r>
      <w:r w:rsidRPr="006F0A38">
        <w:rPr>
          <w:rFonts w:ascii="Times New Roman" w:hAnsi="Times New Roman"/>
        </w:rPr>
        <w:t>agreement and, subject to jurisdiction conferred by statute, depends</w:t>
      </w:r>
      <w:r w:rsidR="00A34105" w:rsidRPr="006F0A38">
        <w:rPr>
          <w:rFonts w:ascii="Times New Roman" w:hAnsi="Times New Roman"/>
        </w:rPr>
        <w:t> </w:t>
      </w:r>
      <w:r w:rsidRPr="006F0A38">
        <w:rPr>
          <w:rFonts w:ascii="Times New Roman" w:hAnsi="Times New Roman"/>
        </w:rPr>
        <w:t xml:space="preserve">on the content and extent of the parties' voluntary consent and </w:t>
      </w:r>
      <w:r w:rsidRPr="006F0A38">
        <w:rPr>
          <w:rFonts w:ascii="Times New Roman" w:hAnsi="Times New Roman"/>
        </w:rPr>
        <w:lastRenderedPageBreak/>
        <w:t>agreement to submit their commercial dispute to arbitration (Art 7 of the Model</w:t>
      </w:r>
      <w:r w:rsidR="00A41E75" w:rsidRPr="006F0A38">
        <w:rPr>
          <w:rFonts w:ascii="Times New Roman" w:hAnsi="Times New Roman"/>
        </w:rPr>
        <w:t> </w:t>
      </w:r>
      <w:r w:rsidRPr="006F0A38">
        <w:rPr>
          <w:rFonts w:ascii="Times New Roman" w:hAnsi="Times New Roman"/>
        </w:rPr>
        <w:t xml:space="preserve">Law; </w:t>
      </w:r>
      <w:r w:rsidR="00F76106" w:rsidRPr="006F0A38">
        <w:rPr>
          <w:rFonts w:ascii="Times New Roman" w:hAnsi="Times New Roman"/>
        </w:rPr>
        <w:t xml:space="preserve">cf </w:t>
      </w:r>
      <w:r w:rsidRPr="006F0A38">
        <w:rPr>
          <w:rFonts w:ascii="Times New Roman" w:hAnsi="Times New Roman"/>
        </w:rPr>
        <w:t>s 7 of the Arbitration Act).</w:t>
      </w:r>
      <w:r w:rsidRPr="006F0A38">
        <w:rPr>
          <w:rStyle w:val="FootnoteReference"/>
          <w:rFonts w:ascii="Times New Roman" w:hAnsi="Times New Roman"/>
          <w:sz w:val="24"/>
        </w:rPr>
        <w:footnoteReference w:id="7"/>
      </w:r>
      <w:r w:rsidR="00801D58" w:rsidRPr="006F0A38">
        <w:rPr>
          <w:rFonts w:ascii="Times New Roman" w:hAnsi="Times New Roman"/>
        </w:rPr>
        <w:t xml:space="preserve"> </w:t>
      </w:r>
    </w:p>
    <w:p w14:paraId="1F513A5F" w14:textId="241B36BA"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The paramount object of the Arbitration Act, consistent with the Model</w:t>
      </w:r>
      <w:r w:rsidR="00A41E75" w:rsidRPr="006F0A38">
        <w:rPr>
          <w:rFonts w:ascii="Times New Roman" w:hAnsi="Times New Roman"/>
        </w:rPr>
        <w:t> </w:t>
      </w:r>
      <w:r w:rsidRPr="006F0A38">
        <w:rPr>
          <w:rFonts w:ascii="Times New Roman" w:hAnsi="Times New Roman"/>
        </w:rPr>
        <w:t>Law,</w:t>
      </w:r>
      <w:r w:rsidRPr="006F0A38">
        <w:rPr>
          <w:rStyle w:val="FootnoteReference"/>
          <w:rFonts w:ascii="Times New Roman" w:hAnsi="Times New Roman"/>
          <w:sz w:val="24"/>
        </w:rPr>
        <w:footnoteReference w:id="8"/>
      </w:r>
      <w:r w:rsidRPr="006F0A38">
        <w:rPr>
          <w:rFonts w:ascii="Times New Roman" w:hAnsi="Times New Roman"/>
        </w:rPr>
        <w:t xml:space="preserve"> is "to facilitate the fair and final resolution of commercial disputes by impartial arbitral tribunals without unnecessary delay or expense".</w:t>
      </w:r>
      <w:r w:rsidRPr="006F0A38">
        <w:rPr>
          <w:rStyle w:val="FootnoteReference"/>
          <w:rFonts w:ascii="Times New Roman" w:hAnsi="Times New Roman"/>
          <w:sz w:val="24"/>
        </w:rPr>
        <w:footnoteReference w:id="9"/>
      </w:r>
      <w:r w:rsidRPr="006F0A38">
        <w:rPr>
          <w:rFonts w:ascii="Times New Roman" w:hAnsi="Times New Roman"/>
        </w:rPr>
        <w:t xml:space="preserve"> The</w:t>
      </w:r>
      <w:r w:rsidR="00A41E75" w:rsidRPr="006F0A38">
        <w:rPr>
          <w:rFonts w:ascii="Times New Roman" w:hAnsi="Times New Roman"/>
        </w:rPr>
        <w:t> </w:t>
      </w:r>
      <w:r w:rsidRPr="006F0A38">
        <w:rPr>
          <w:rFonts w:ascii="Times New Roman" w:hAnsi="Times New Roman"/>
        </w:rPr>
        <w:t>Arbitration Act aims to achieve that paramount object, as far as practicable,</w:t>
      </w:r>
      <w:r w:rsidR="00CC4947" w:rsidRPr="006F0A38">
        <w:rPr>
          <w:rFonts w:ascii="Times New Roman" w:hAnsi="Times New Roman"/>
        </w:rPr>
        <w:t xml:space="preserve"> in</w:t>
      </w:r>
      <w:r w:rsidR="00A41E75" w:rsidRPr="006F0A38">
        <w:rPr>
          <w:rFonts w:ascii="Times New Roman" w:hAnsi="Times New Roman"/>
        </w:rPr>
        <w:t> </w:t>
      </w:r>
      <w:r w:rsidR="00CC4947" w:rsidRPr="006F0A38">
        <w:rPr>
          <w:rFonts w:ascii="Times New Roman" w:hAnsi="Times New Roman"/>
        </w:rPr>
        <w:t>part</w:t>
      </w:r>
      <w:r w:rsidRPr="006F0A38">
        <w:rPr>
          <w:rFonts w:ascii="Times New Roman" w:hAnsi="Times New Roman"/>
        </w:rPr>
        <w:t xml:space="preserve"> by enabling parties to agree </w:t>
      </w:r>
      <w:r w:rsidRPr="006F0A38">
        <w:rPr>
          <w:rFonts w:ascii="Times New Roman" w:hAnsi="Times New Roman"/>
          <w:i/>
          <w:iCs/>
        </w:rPr>
        <w:t>how</w:t>
      </w:r>
      <w:r w:rsidRPr="006F0A38">
        <w:rPr>
          <w:rFonts w:ascii="Times New Roman" w:hAnsi="Times New Roman"/>
        </w:rPr>
        <w:t xml:space="preserve"> their commercial disputes are to be resolved through arbitration, subject to such safeguards as are necessary in the public interest.</w:t>
      </w:r>
      <w:r w:rsidRPr="006F0A38">
        <w:rPr>
          <w:rStyle w:val="FootnoteReference"/>
          <w:rFonts w:ascii="Times New Roman" w:hAnsi="Times New Roman"/>
          <w:sz w:val="24"/>
        </w:rPr>
        <w:footnoteReference w:id="10"/>
      </w:r>
      <w:r w:rsidRPr="006F0A38">
        <w:rPr>
          <w:rFonts w:ascii="Times New Roman" w:hAnsi="Times New Roman"/>
        </w:rPr>
        <w:t xml:space="preserve"> That is, </w:t>
      </w:r>
      <w:r w:rsidR="003E4C28" w:rsidRPr="006F0A38">
        <w:rPr>
          <w:rFonts w:ascii="Times New Roman" w:hAnsi="Times New Roman"/>
        </w:rPr>
        <w:t xml:space="preserve">not only do </w:t>
      </w:r>
      <w:r w:rsidRPr="006F0A38">
        <w:rPr>
          <w:rFonts w:ascii="Times New Roman" w:hAnsi="Times New Roman"/>
        </w:rPr>
        <w:t>arbitral tribunals</w:t>
      </w:r>
      <w:r w:rsidR="006B5571" w:rsidRPr="006F0A38">
        <w:rPr>
          <w:rFonts w:ascii="Times New Roman" w:hAnsi="Times New Roman"/>
        </w:rPr>
        <w:t xml:space="preserve"> </w:t>
      </w:r>
      <w:r w:rsidRPr="006F0A38">
        <w:rPr>
          <w:rFonts w:ascii="Times New Roman" w:hAnsi="Times New Roman"/>
        </w:rPr>
        <w:t>derive their authority or jurisdiction from the voluntary agreement of the parties to submit to arbitration a particular dispute that has arisen between them</w:t>
      </w:r>
      <w:r w:rsidR="001F16FE" w:rsidRPr="006F0A38">
        <w:rPr>
          <w:rFonts w:ascii="Times New Roman" w:hAnsi="Times New Roman"/>
        </w:rPr>
        <w:t xml:space="preserve"> and apply any rules </w:t>
      </w:r>
      <w:r w:rsidR="001C4928" w:rsidRPr="006F0A38">
        <w:rPr>
          <w:rFonts w:ascii="Times New Roman" w:hAnsi="Times New Roman"/>
        </w:rPr>
        <w:t xml:space="preserve">of law </w:t>
      </w:r>
      <w:r w:rsidR="001F16FE" w:rsidRPr="006F0A38">
        <w:rPr>
          <w:rFonts w:ascii="Times New Roman" w:hAnsi="Times New Roman"/>
        </w:rPr>
        <w:t>chosen by the</w:t>
      </w:r>
      <w:r w:rsidR="002B7AFF" w:rsidRPr="006F0A38">
        <w:rPr>
          <w:rFonts w:ascii="Times New Roman" w:hAnsi="Times New Roman"/>
        </w:rPr>
        <w:t xml:space="preserve"> parties</w:t>
      </w:r>
      <w:r w:rsidR="001F16FE" w:rsidRPr="006F0A38">
        <w:rPr>
          <w:rFonts w:ascii="Times New Roman" w:hAnsi="Times New Roman"/>
        </w:rPr>
        <w:t xml:space="preserve"> as applicable to the substance of the dispute</w:t>
      </w:r>
      <w:r w:rsidRPr="006F0A38">
        <w:rPr>
          <w:rFonts w:ascii="Times New Roman" w:hAnsi="Times New Roman"/>
        </w:rPr>
        <w:t xml:space="preserve">, but the parties also can, and often do, choose the rules </w:t>
      </w:r>
      <w:r w:rsidR="00DF11DB" w:rsidRPr="006F0A38">
        <w:rPr>
          <w:rFonts w:ascii="Times New Roman" w:hAnsi="Times New Roman"/>
        </w:rPr>
        <w:t xml:space="preserve">of procedure </w:t>
      </w:r>
      <w:r w:rsidR="004E5474" w:rsidRPr="006F0A38">
        <w:rPr>
          <w:rFonts w:ascii="Times New Roman" w:hAnsi="Times New Roman"/>
        </w:rPr>
        <w:t>to be foll</w:t>
      </w:r>
      <w:r w:rsidR="00FE220A" w:rsidRPr="006F0A38">
        <w:rPr>
          <w:rFonts w:ascii="Times New Roman" w:hAnsi="Times New Roman"/>
        </w:rPr>
        <w:t xml:space="preserve">owed by </w:t>
      </w:r>
      <w:r w:rsidRPr="006F0A38">
        <w:rPr>
          <w:rFonts w:ascii="Times New Roman" w:hAnsi="Times New Roman"/>
        </w:rPr>
        <w:t xml:space="preserve">the </w:t>
      </w:r>
      <w:r w:rsidR="00A00318" w:rsidRPr="006F0A38">
        <w:rPr>
          <w:rFonts w:ascii="Times New Roman" w:hAnsi="Times New Roman"/>
        </w:rPr>
        <w:t xml:space="preserve">arbitral </w:t>
      </w:r>
      <w:r w:rsidRPr="006F0A38">
        <w:rPr>
          <w:rFonts w:ascii="Times New Roman" w:hAnsi="Times New Roman"/>
        </w:rPr>
        <w:t>tribunal</w:t>
      </w:r>
      <w:r w:rsidR="00FD483A" w:rsidRPr="006F0A38">
        <w:rPr>
          <w:rFonts w:ascii="Times New Roman" w:hAnsi="Times New Roman"/>
        </w:rPr>
        <w:t>,</w:t>
      </w:r>
      <w:r w:rsidRPr="006F0A38">
        <w:rPr>
          <w:rFonts w:ascii="Times New Roman" w:hAnsi="Times New Roman"/>
        </w:rPr>
        <w:t xml:space="preserve"> </w:t>
      </w:r>
      <w:r w:rsidR="00FD483A" w:rsidRPr="006F0A38">
        <w:rPr>
          <w:rFonts w:ascii="Times New Roman" w:hAnsi="Times New Roman"/>
        </w:rPr>
        <w:t xml:space="preserve">which includes </w:t>
      </w:r>
      <w:r w:rsidRPr="006F0A38">
        <w:rPr>
          <w:rFonts w:ascii="Times New Roman" w:hAnsi="Times New Roman"/>
        </w:rPr>
        <w:t xml:space="preserve">the making of an award (Art 19 of the Model Law; cf s 19 of the Arbitration Act). </w:t>
      </w:r>
    </w:p>
    <w:p w14:paraId="0A390763" w14:textId="1C761276"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In the domestic commercial arbitration in issue in this appeal, party autonomy is significant because CKJV and Chevron agreed that the arbitral tribunal would use the UNCITRAL Rules in conducting the arbitration and those Rules directly address the making of an award by a tribunal. The word "award" is not defined in the United Nations Convention on the Recognition and Enforcement of Foreign Arbitral Awards (1958), the</w:t>
      </w:r>
      <w:r w:rsidR="00A34105" w:rsidRPr="006F0A38">
        <w:rPr>
          <w:rFonts w:ascii="Times New Roman" w:hAnsi="Times New Roman"/>
        </w:rPr>
        <w:t> </w:t>
      </w:r>
      <w:r w:rsidRPr="006F0A38">
        <w:rPr>
          <w:rFonts w:ascii="Times New Roman" w:hAnsi="Times New Roman"/>
        </w:rPr>
        <w:t xml:space="preserve">Model Law, the </w:t>
      </w:r>
      <w:r w:rsidRPr="006F0A38">
        <w:rPr>
          <w:rFonts w:ascii="Times New Roman" w:hAnsi="Times New Roman"/>
          <w:i/>
          <w:iCs/>
        </w:rPr>
        <w:t>International Arbitration Act 1974</w:t>
      </w:r>
      <w:r w:rsidRPr="006F0A38">
        <w:rPr>
          <w:rFonts w:ascii="Times New Roman" w:hAnsi="Times New Roman"/>
        </w:rPr>
        <w:t xml:space="preserve"> (Cth) or the Arbitration Act. Article 34(1) of the UNCITRAL Rules, however, expressly empowers an arbitral tribunal to "make separate awards on different issues at different times".</w:t>
      </w:r>
      <w:r w:rsidRPr="006F0A38">
        <w:rPr>
          <w:rStyle w:val="FootnoteReference"/>
          <w:rFonts w:ascii="Times New Roman" w:hAnsi="Times New Roman"/>
          <w:sz w:val="24"/>
        </w:rPr>
        <w:footnoteReference w:id="11"/>
      </w:r>
      <w:r w:rsidRPr="006F0A38">
        <w:rPr>
          <w:rFonts w:ascii="Times New Roman" w:hAnsi="Times New Roman"/>
        </w:rPr>
        <w:t xml:space="preserve"> The Working Group on </w:t>
      </w:r>
      <w:r w:rsidR="00BA5EEF" w:rsidRPr="006F0A38">
        <w:rPr>
          <w:rFonts w:ascii="Times New Roman" w:hAnsi="Times New Roman"/>
        </w:rPr>
        <w:t xml:space="preserve">Arbitration and </w:t>
      </w:r>
      <w:r w:rsidR="00BA5EEF" w:rsidRPr="006F0A38">
        <w:rPr>
          <w:rFonts w:ascii="Times New Roman" w:hAnsi="Times New Roman"/>
        </w:rPr>
        <w:lastRenderedPageBreak/>
        <w:t xml:space="preserve">Conciliation </w:t>
      </w:r>
      <w:r w:rsidRPr="006F0A38">
        <w:rPr>
          <w:rFonts w:ascii="Times New Roman" w:hAnsi="Times New Roman"/>
        </w:rPr>
        <w:t>described this rule as a simplification of the pre</w:t>
      </w:r>
      <w:r w:rsidRPr="006F0A38">
        <w:rPr>
          <w:rFonts w:ascii="Times New Roman" w:hAnsi="Times New Roman"/>
        </w:rPr>
        <w:noBreakHyphen/>
        <w:t>existing rule so that rather than listing and distinguishing between possible types of awards (such as interim, interlocutory, or</w:t>
      </w:r>
      <w:r w:rsidR="00A34105" w:rsidRPr="006F0A38">
        <w:rPr>
          <w:rFonts w:ascii="Times New Roman" w:hAnsi="Times New Roman"/>
        </w:rPr>
        <w:t> </w:t>
      </w:r>
      <w:r w:rsidRPr="006F0A38">
        <w:rPr>
          <w:rFonts w:ascii="Times New Roman" w:hAnsi="Times New Roman"/>
        </w:rPr>
        <w:t>final awards), all those various awards would have the same status and effect as any other award made by the arbitral tribunal.</w:t>
      </w:r>
      <w:r w:rsidRPr="006F0A38">
        <w:rPr>
          <w:rStyle w:val="FootnoteReference"/>
          <w:rFonts w:ascii="Times New Roman" w:hAnsi="Times New Roman"/>
          <w:sz w:val="24"/>
        </w:rPr>
        <w:footnoteReference w:id="12"/>
      </w:r>
      <w:r w:rsidRPr="006F0A38">
        <w:rPr>
          <w:rFonts w:ascii="Times New Roman" w:hAnsi="Times New Roman"/>
        </w:rPr>
        <w:t xml:space="preserve"> Article 34(2) then states that "[a]ll awards ... shall be </w:t>
      </w:r>
      <w:r w:rsidRPr="006F0A38">
        <w:rPr>
          <w:rFonts w:ascii="Times New Roman" w:hAnsi="Times New Roman"/>
          <w:i/>
          <w:iCs/>
        </w:rPr>
        <w:t>final and binding</w:t>
      </w:r>
      <w:r w:rsidRPr="006F0A38">
        <w:rPr>
          <w:rFonts w:ascii="Times New Roman" w:hAnsi="Times New Roman"/>
        </w:rPr>
        <w:t>".</w:t>
      </w:r>
      <w:r w:rsidRPr="006F0A38">
        <w:rPr>
          <w:rStyle w:val="FootnoteReference"/>
          <w:rFonts w:ascii="Times New Roman" w:hAnsi="Times New Roman"/>
          <w:sz w:val="24"/>
        </w:rPr>
        <w:footnoteReference w:id="13"/>
      </w:r>
      <w:r w:rsidRPr="006F0A38">
        <w:rPr>
          <w:rFonts w:ascii="Times New Roman" w:hAnsi="Times New Roman"/>
        </w:rPr>
        <w:t xml:space="preserve"> </w:t>
      </w:r>
      <w:r w:rsidR="0055486A" w:rsidRPr="006F0A38">
        <w:rPr>
          <w:rFonts w:ascii="Times New Roman" w:hAnsi="Times New Roman"/>
        </w:rPr>
        <w:t>The</w:t>
      </w:r>
      <w:r w:rsidR="004E346B" w:rsidRPr="006F0A38">
        <w:rPr>
          <w:rFonts w:ascii="Times New Roman" w:hAnsi="Times New Roman"/>
        </w:rPr>
        <w:t> </w:t>
      </w:r>
      <w:r w:rsidR="0055486A" w:rsidRPr="006F0A38">
        <w:rPr>
          <w:rFonts w:ascii="Times New Roman" w:hAnsi="Times New Roman"/>
        </w:rPr>
        <w:t xml:space="preserve">implication in Art 34 is that multiple </w:t>
      </w:r>
      <w:r w:rsidR="006A2425" w:rsidRPr="006F0A38">
        <w:rPr>
          <w:rFonts w:ascii="Times New Roman" w:hAnsi="Times New Roman"/>
        </w:rPr>
        <w:t>awards would not be made on the same issue</w:t>
      </w:r>
      <w:r w:rsidR="00405EFB" w:rsidRPr="006F0A38">
        <w:rPr>
          <w:rFonts w:ascii="Times New Roman" w:hAnsi="Times New Roman"/>
        </w:rPr>
        <w:t>.</w:t>
      </w:r>
    </w:p>
    <w:p w14:paraId="48DD0F45" w14:textId="5B476D53"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An award can be "final" in a number of ways or senses, as</w:t>
      </w:r>
      <w:r w:rsidR="00A34105" w:rsidRPr="006F0A38">
        <w:rPr>
          <w:rFonts w:ascii="Times New Roman" w:hAnsi="Times New Roman"/>
        </w:rPr>
        <w:t> </w:t>
      </w:r>
      <w:r w:rsidRPr="006F0A38">
        <w:rPr>
          <w:rFonts w:ascii="Times New Roman" w:hAnsi="Times New Roman"/>
        </w:rPr>
        <w:t xml:space="preserve">explained by the High Court of Singapore in </w:t>
      </w:r>
      <w:r w:rsidRPr="006F0A38">
        <w:rPr>
          <w:rFonts w:ascii="Times New Roman" w:hAnsi="Times New Roman"/>
          <w:i/>
          <w:iCs/>
        </w:rPr>
        <w:t>ONGC Petro additions Ltd v DL E&amp;C Co Ltd</w:t>
      </w:r>
      <w:r w:rsidRPr="006F0A38">
        <w:rPr>
          <w:rFonts w:ascii="Times New Roman" w:hAnsi="Times New Roman"/>
        </w:rPr>
        <w:t>:</w:t>
      </w:r>
      <w:r w:rsidRPr="006F0A38">
        <w:rPr>
          <w:rStyle w:val="FootnoteReference"/>
          <w:rFonts w:ascii="Times New Roman" w:hAnsi="Times New Roman"/>
          <w:sz w:val="24"/>
        </w:rPr>
        <w:footnoteReference w:id="14"/>
      </w:r>
      <w:r w:rsidRPr="006F0A38">
        <w:rPr>
          <w:rFonts w:ascii="Times New Roman" w:hAnsi="Times New Roman"/>
        </w:rPr>
        <w:t xml:space="preserve"> first,</w:t>
      </w:r>
      <w:r w:rsidRPr="006F0A38">
        <w:rPr>
          <w:rFonts w:ascii="Times New Roman" w:hAnsi="Times New Roman"/>
          <w:i/>
          <w:iCs/>
        </w:rPr>
        <w:t xml:space="preserve"> </w:t>
      </w:r>
      <w:r w:rsidRPr="006F0A38">
        <w:rPr>
          <w:rFonts w:ascii="Times New Roman" w:hAnsi="Times New Roman"/>
        </w:rPr>
        <w:t>"if it resolves a claim or matter in an arbitration with preclusive effect (</w:t>
      </w:r>
      <w:r w:rsidRPr="006F0A38">
        <w:rPr>
          <w:rFonts w:ascii="Times New Roman" w:hAnsi="Times New Roman"/>
          <w:i/>
        </w:rPr>
        <w:t>ie</w:t>
      </w:r>
      <w:r w:rsidRPr="006F0A38">
        <w:rPr>
          <w:rFonts w:ascii="Times New Roman" w:hAnsi="Times New Roman"/>
        </w:rPr>
        <w:t xml:space="preserve">, the same claim or matter in an arbitration cannot be re-litigated)"; second, if it "has achieved a sufficient degree of finality in the arbitral seat"; or third, if it is "the last award made in an arbitration which disposes of all remaining claims". </w:t>
      </w:r>
    </w:p>
    <w:p w14:paraId="639FADA5" w14:textId="434FF066"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The arbitration agreement in this appeal provided that any dispute would "be exclusively and finally settled" by arbitration, that </w:t>
      </w:r>
      <w:r w:rsidRPr="006F0A38">
        <w:rPr>
          <w:rFonts w:ascii="Times New Roman" w:hAnsi="Times New Roman"/>
          <w:i/>
          <w:iCs/>
        </w:rPr>
        <w:t>any</w:t>
      </w:r>
      <w:r w:rsidRPr="006F0A38">
        <w:rPr>
          <w:rFonts w:ascii="Times New Roman" w:hAnsi="Times New Roman"/>
        </w:rPr>
        <w:t xml:space="preserve"> award would "be final and binding", and that the arbitration would be administered using the UNCITRAL Rules. As already noted,</w:t>
      </w:r>
      <w:r w:rsidRPr="006F0A38">
        <w:rPr>
          <w:rStyle w:val="FootnoteReference"/>
          <w:rFonts w:ascii="Times New Roman" w:hAnsi="Times New Roman"/>
          <w:sz w:val="24"/>
        </w:rPr>
        <w:footnoteReference w:id="15"/>
      </w:r>
      <w:r w:rsidRPr="006F0A38">
        <w:rPr>
          <w:rFonts w:ascii="Times New Roman" w:hAnsi="Times New Roman"/>
        </w:rPr>
        <w:t xml:space="preserve"> the UNCITRAL Rules, in terms, empowered the arbitral tribunal to make separate awards on different issues at different times, and provided that all such awards would be final and binding</w:t>
      </w:r>
      <w:r w:rsidR="007E4F52" w:rsidRPr="006F0A38">
        <w:rPr>
          <w:rFonts w:ascii="Times New Roman" w:hAnsi="Times New Roman"/>
        </w:rPr>
        <w:t>, with the implication that multiple awards would not be made on the same issue</w:t>
      </w:r>
      <w:r w:rsidRPr="006F0A38">
        <w:rPr>
          <w:rFonts w:ascii="Times New Roman" w:hAnsi="Times New Roman"/>
        </w:rPr>
        <w:t>.</w:t>
      </w:r>
      <w:r w:rsidRPr="006F0A38">
        <w:rPr>
          <w:rStyle w:val="FootnoteReference"/>
          <w:rFonts w:ascii="Times New Roman" w:hAnsi="Times New Roman"/>
          <w:sz w:val="24"/>
        </w:rPr>
        <w:footnoteReference w:id="16"/>
      </w:r>
      <w:r w:rsidRPr="006F0A38">
        <w:rPr>
          <w:rFonts w:ascii="Times New Roman" w:hAnsi="Times New Roman"/>
        </w:rPr>
        <w:t xml:space="preserve"> In</w:t>
      </w:r>
      <w:r w:rsidR="009135C2" w:rsidRPr="006F0A38">
        <w:rPr>
          <w:rFonts w:ascii="Times New Roman" w:hAnsi="Times New Roman"/>
        </w:rPr>
        <w:t> </w:t>
      </w:r>
      <w:r w:rsidRPr="006F0A38">
        <w:rPr>
          <w:rFonts w:ascii="Times New Roman" w:hAnsi="Times New Roman"/>
        </w:rPr>
        <w:t xml:space="preserve">sum, by the express terms of the arbitration agreement, and by reason of the UNCITRAL Rules, </w:t>
      </w:r>
      <w:r w:rsidRPr="006F0A38">
        <w:rPr>
          <w:rFonts w:ascii="Times New Roman" w:hAnsi="Times New Roman"/>
        </w:rPr>
        <w:lastRenderedPageBreak/>
        <w:t>the</w:t>
      </w:r>
      <w:r w:rsidR="004E346B" w:rsidRPr="006F0A38">
        <w:rPr>
          <w:rFonts w:ascii="Times New Roman" w:hAnsi="Times New Roman"/>
        </w:rPr>
        <w:t> </w:t>
      </w:r>
      <w:r w:rsidRPr="006F0A38">
        <w:rPr>
          <w:rFonts w:ascii="Times New Roman" w:hAnsi="Times New Roman"/>
        </w:rPr>
        <w:t>First Interim Award was to be a final and binding determination of the issues with which it dealt.</w:t>
      </w:r>
      <w:r w:rsidRPr="006F0A38">
        <w:rPr>
          <w:rStyle w:val="FootnoteReference"/>
          <w:rFonts w:ascii="Times New Roman" w:hAnsi="Times New Roman"/>
          <w:sz w:val="24"/>
        </w:rPr>
        <w:footnoteReference w:id="17"/>
      </w:r>
    </w:p>
    <w:p w14:paraId="7FD57C23" w14:textId="16A16D82"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The express terms of the arbitration agreement applying the UNCITRAL Rules to the arbitration are antithetical to CKJV's submission that the arbitral tribunal was not </w:t>
      </w:r>
      <w:r w:rsidRPr="006F0A38">
        <w:rPr>
          <w:rFonts w:ascii="Times New Roman" w:hAnsi="Times New Roman"/>
          <w:i/>
          <w:iCs/>
        </w:rPr>
        <w:t>functus officio</w:t>
      </w:r>
      <w:r w:rsidRPr="006F0A38">
        <w:rPr>
          <w:rFonts w:ascii="Times New Roman" w:hAnsi="Times New Roman"/>
        </w:rPr>
        <w:t xml:space="preserve"> </w:t>
      </w:r>
      <w:r w:rsidR="00630482" w:rsidRPr="006F0A38">
        <w:rPr>
          <w:rFonts w:ascii="Times New Roman" w:hAnsi="Times New Roman"/>
        </w:rPr>
        <w:t xml:space="preserve">with respect to CKJV's Contract Criteria Case </w:t>
      </w:r>
      <w:r w:rsidRPr="006F0A38">
        <w:rPr>
          <w:rFonts w:ascii="Times New Roman" w:hAnsi="Times New Roman"/>
        </w:rPr>
        <w:t>until the arbitration was terminated in accordance with a "final" award as used in the third of the three senses described above</w:t>
      </w:r>
      <w:r w:rsidRPr="006F0A38">
        <w:rPr>
          <w:rStyle w:val="FootnoteReference"/>
          <w:rFonts w:ascii="Times New Roman" w:hAnsi="Times New Roman"/>
          <w:sz w:val="24"/>
        </w:rPr>
        <w:footnoteReference w:id="18"/>
      </w:r>
      <w:r w:rsidRPr="006F0A38">
        <w:rPr>
          <w:rFonts w:ascii="Times New Roman" w:hAnsi="Times New Roman"/>
        </w:rPr>
        <w:t xml:space="preserve"> – that is, a "last award made in an arbitration which disposes of all remaining claims", thereby</w:t>
      </w:r>
      <w:r w:rsidR="00A34105" w:rsidRPr="006F0A38">
        <w:rPr>
          <w:rFonts w:ascii="Times New Roman" w:hAnsi="Times New Roman"/>
        </w:rPr>
        <w:t> </w:t>
      </w:r>
      <w:r w:rsidRPr="006F0A38">
        <w:rPr>
          <w:rFonts w:ascii="Times New Roman" w:hAnsi="Times New Roman"/>
        </w:rPr>
        <w:t>terminating the arbitration in accordance with s 32 of the Arbitration Act (cf Art 32 of the Model</w:t>
      </w:r>
      <w:r w:rsidR="00067CD5" w:rsidRPr="006F0A38">
        <w:rPr>
          <w:rFonts w:ascii="Times New Roman" w:hAnsi="Times New Roman"/>
        </w:rPr>
        <w:t> </w:t>
      </w:r>
      <w:r w:rsidRPr="006F0A38">
        <w:rPr>
          <w:rFonts w:ascii="Times New Roman" w:hAnsi="Times New Roman"/>
        </w:rPr>
        <w:t xml:space="preserve">Law). </w:t>
      </w:r>
    </w:p>
    <w:p w14:paraId="3C084BD1" w14:textId="77777777"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The "final and binding" character of an award then operates at three levels: in respect of the arbitral tribunal, which cannot modify the award after it is rendered; in respect of the parties, who are bound by the findings of the award; and in respect of the courts, which do not entertain any recourse against the award except in exceptional circumstances that justify the setting aside of the award.</w:t>
      </w:r>
      <w:r w:rsidRPr="006F0A38">
        <w:rPr>
          <w:rStyle w:val="FootnoteReference"/>
          <w:rFonts w:ascii="Times New Roman" w:hAnsi="Times New Roman"/>
          <w:sz w:val="24"/>
        </w:rPr>
        <w:footnoteReference w:id="19"/>
      </w:r>
      <w:r w:rsidRPr="006F0A38">
        <w:rPr>
          <w:rFonts w:ascii="Times New Roman" w:hAnsi="Times New Roman"/>
        </w:rPr>
        <w:t xml:space="preserve"> </w:t>
      </w:r>
    </w:p>
    <w:p w14:paraId="25516991" w14:textId="28A5A169"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Unless otherwise agreed by the parties,</w:t>
      </w:r>
      <w:r w:rsidR="00C816F8" w:rsidRPr="006F0A38">
        <w:rPr>
          <w:rStyle w:val="FootnoteReference"/>
          <w:rFonts w:ascii="Times New Roman" w:hAnsi="Times New Roman"/>
          <w:sz w:val="24"/>
        </w:rPr>
        <w:footnoteReference w:id="20"/>
      </w:r>
      <w:r w:rsidRPr="006F0A38">
        <w:rPr>
          <w:rFonts w:ascii="Times New Roman" w:hAnsi="Times New Roman"/>
        </w:rPr>
        <w:t xml:space="preserve"> an arbitral tribunal has authority or jurisdiction to decide the dispute submitted to it by the parties finally and only once.</w:t>
      </w:r>
      <w:r w:rsidRPr="006F0A38">
        <w:rPr>
          <w:rStyle w:val="FootnoteReference"/>
          <w:rFonts w:ascii="Times New Roman" w:hAnsi="Times New Roman"/>
          <w:sz w:val="24"/>
        </w:rPr>
        <w:footnoteReference w:id="21"/>
      </w:r>
      <w:r w:rsidRPr="006F0A38">
        <w:rPr>
          <w:rFonts w:ascii="Times New Roman" w:hAnsi="Times New Roman"/>
        </w:rPr>
        <w:t xml:space="preserve"> When an award is rendered, the arbitral tribunal is not empowered to revisit the award that it has made. As</w:t>
      </w:r>
      <w:r w:rsidRPr="006F0A38" w:rsidDel="00F5620A">
        <w:rPr>
          <w:rFonts w:ascii="Times New Roman" w:hAnsi="Times New Roman"/>
        </w:rPr>
        <w:t xml:space="preserve"> </w:t>
      </w:r>
      <w:r w:rsidR="00CE2C4C" w:rsidRPr="006F0A38">
        <w:rPr>
          <w:rFonts w:ascii="Times New Roman" w:hAnsi="Times New Roman"/>
        </w:rPr>
        <w:t>was</w:t>
      </w:r>
      <w:r w:rsidRPr="006F0A38">
        <w:rPr>
          <w:rFonts w:ascii="Times New Roman" w:hAnsi="Times New Roman"/>
        </w:rPr>
        <w:t xml:space="preserve"> said in </w:t>
      </w:r>
      <w:r w:rsidRPr="006F0A38">
        <w:rPr>
          <w:rFonts w:ascii="Times New Roman" w:hAnsi="Times New Roman"/>
          <w:i/>
          <w:iCs/>
        </w:rPr>
        <w:t>TCL Air Conditioner (Zhongshan) Co Ltd v Judges of the Federal Court of Australia</w:t>
      </w:r>
      <w:r w:rsidRPr="006F0A38">
        <w:rPr>
          <w:rFonts w:ascii="Times New Roman" w:hAnsi="Times New Roman"/>
        </w:rPr>
        <w:t>, "[t]o conclude that a particular arbitral award is final and conclusive does no more than reflect the consequences of the parties having agreed to submit a dispute of the relevant kind to arbitration. ... [O]ne of those consequences is that the parties' rights</w:t>
      </w:r>
      <w:r w:rsidR="00E131DD" w:rsidRPr="006F0A38">
        <w:rPr>
          <w:rFonts w:ascii="Times New Roman" w:hAnsi="Times New Roman"/>
        </w:rPr>
        <w:t> </w:t>
      </w:r>
      <w:r w:rsidRPr="006F0A38">
        <w:rPr>
          <w:rFonts w:ascii="Times New Roman" w:hAnsi="Times New Roman"/>
        </w:rPr>
        <w:t xml:space="preserve">and liabilities under an agreement which gives rise to an arbitration can be, and are, discharged and </w:t>
      </w:r>
      <w:r w:rsidRPr="006F0A38">
        <w:rPr>
          <w:rFonts w:ascii="Times New Roman" w:hAnsi="Times New Roman"/>
        </w:rPr>
        <w:lastRenderedPageBreak/>
        <w:t>replaced by the new obligations that are created by an arbitral award</w:t>
      </w:r>
      <w:r w:rsidR="000D2ABC" w:rsidRPr="006F0A38">
        <w:rPr>
          <w:rFonts w:ascii="Times New Roman" w:hAnsi="Times New Roman"/>
        </w:rPr>
        <w:t>.</w:t>
      </w:r>
      <w:r w:rsidRPr="006F0A38">
        <w:rPr>
          <w:rFonts w:ascii="Times New Roman" w:hAnsi="Times New Roman"/>
        </w:rPr>
        <w:t>"</w:t>
      </w:r>
      <w:r w:rsidRPr="006F0A38">
        <w:rPr>
          <w:rStyle w:val="FootnoteReference"/>
          <w:rFonts w:ascii="Times New Roman" w:hAnsi="Times New Roman"/>
          <w:sz w:val="24"/>
        </w:rPr>
        <w:footnoteReference w:id="22"/>
      </w:r>
      <w:r w:rsidRPr="006F0A38">
        <w:rPr>
          <w:rFonts w:ascii="Times New Roman" w:hAnsi="Times New Roman"/>
        </w:rPr>
        <w:t xml:space="preserve"> The</w:t>
      </w:r>
      <w:r w:rsidR="00067CD5" w:rsidRPr="006F0A38">
        <w:rPr>
          <w:rFonts w:ascii="Times New Roman" w:hAnsi="Times New Roman"/>
        </w:rPr>
        <w:t> </w:t>
      </w:r>
      <w:r w:rsidRPr="006F0A38">
        <w:rPr>
          <w:rFonts w:ascii="Times New Roman" w:hAnsi="Times New Roman"/>
        </w:rPr>
        <w:t>existence and scope of the authority or competence of the arbitral tribunal to make an award is founded on the agreement of the parties and</w:t>
      </w:r>
      <w:r w:rsidR="004468D6" w:rsidRPr="006F0A38">
        <w:rPr>
          <w:rFonts w:ascii="Times New Roman" w:hAnsi="Times New Roman"/>
        </w:rPr>
        <w:t>,</w:t>
      </w:r>
      <w:r w:rsidRPr="006F0A38">
        <w:rPr>
          <w:rFonts w:ascii="Times New Roman" w:hAnsi="Times New Roman"/>
        </w:rPr>
        <w:t xml:space="preserve"> once an award is rendered, the tribunal no longer has the necessary agreement of the parties to revisit the issues that have been determined. </w:t>
      </w:r>
      <w:r w:rsidR="00346E62" w:rsidRPr="006F0A38">
        <w:rPr>
          <w:rFonts w:ascii="Times New Roman" w:hAnsi="Times New Roman"/>
        </w:rPr>
        <w:t>As CKJV admitted before the arbitral tribunal in July 2019, the tribunal was "</w:t>
      </w:r>
      <w:r w:rsidR="00346E62" w:rsidRPr="006F0A38">
        <w:rPr>
          <w:rFonts w:ascii="Times New Roman" w:hAnsi="Times New Roman"/>
          <w:i/>
          <w:iCs/>
        </w:rPr>
        <w:t xml:space="preserve">functus officio </w:t>
      </w:r>
      <w:r w:rsidR="00346E62" w:rsidRPr="006F0A38">
        <w:rPr>
          <w:rFonts w:ascii="Times New Roman" w:hAnsi="Times New Roman"/>
        </w:rPr>
        <w:t>in relation to the issues decided as part of the [November] hearing" following the delivery of the First Interim Award.</w:t>
      </w:r>
    </w:p>
    <w:p w14:paraId="3F4BB4F2" w14:textId="440D8BA7" w:rsidR="001114B9" w:rsidRPr="006F0A38" w:rsidRDefault="001114B9" w:rsidP="006F0A38">
      <w:pPr>
        <w:pStyle w:val="FixListStyle"/>
        <w:spacing w:after="260" w:line="280" w:lineRule="exact"/>
        <w:ind w:right="0"/>
        <w:jc w:val="both"/>
        <w:rPr>
          <w:rFonts w:ascii="Times New Roman" w:hAnsi="Times New Roman"/>
          <w:b/>
          <w:bCs/>
        </w:rPr>
      </w:pPr>
      <w:r w:rsidRPr="006F0A38">
        <w:rPr>
          <w:rFonts w:ascii="Times New Roman" w:hAnsi="Times New Roman"/>
        </w:rPr>
        <w:tab/>
        <w:t xml:space="preserve">At the level of the parties, </w:t>
      </w:r>
      <w:r w:rsidR="00DE7490" w:rsidRPr="006F0A38">
        <w:rPr>
          <w:rFonts w:ascii="Times New Roman" w:hAnsi="Times New Roman"/>
        </w:rPr>
        <w:t>an</w:t>
      </w:r>
      <w:r w:rsidRPr="006F0A38">
        <w:rPr>
          <w:rFonts w:ascii="Times New Roman" w:hAnsi="Times New Roman"/>
        </w:rPr>
        <w:t xml:space="preserve"> arbitral award is binding on them by force of Art 35 of the Model Law (cf s 35 of the Arbitration Act) and, where relevant, </w:t>
      </w:r>
      <w:r w:rsidR="003E0614" w:rsidRPr="006F0A38">
        <w:rPr>
          <w:rFonts w:ascii="Times New Roman" w:hAnsi="Times New Roman"/>
        </w:rPr>
        <w:t>an</w:t>
      </w:r>
      <w:r w:rsidR="00067CD5" w:rsidRPr="006F0A38">
        <w:rPr>
          <w:rFonts w:ascii="Times New Roman" w:hAnsi="Times New Roman"/>
        </w:rPr>
        <w:t> </w:t>
      </w:r>
      <w:r w:rsidR="003E0614" w:rsidRPr="006F0A38">
        <w:rPr>
          <w:rFonts w:ascii="Times New Roman" w:hAnsi="Times New Roman"/>
        </w:rPr>
        <w:t xml:space="preserve">arbitral award may be </w:t>
      </w:r>
      <w:r w:rsidRPr="006F0A38">
        <w:rPr>
          <w:rFonts w:ascii="Times New Roman" w:hAnsi="Times New Roman"/>
        </w:rPr>
        <w:t>enforce</w:t>
      </w:r>
      <w:r w:rsidR="003E0614" w:rsidRPr="006F0A38">
        <w:rPr>
          <w:rFonts w:ascii="Times New Roman" w:hAnsi="Times New Roman"/>
        </w:rPr>
        <w:t xml:space="preserve">d </w:t>
      </w:r>
      <w:r w:rsidRPr="006F0A38">
        <w:rPr>
          <w:rFonts w:ascii="Times New Roman" w:hAnsi="Times New Roman"/>
        </w:rPr>
        <w:t>by a competent court on application under Art</w:t>
      </w:r>
      <w:r w:rsidR="00067CD5" w:rsidRPr="006F0A38">
        <w:rPr>
          <w:rFonts w:ascii="Times New Roman" w:hAnsi="Times New Roman"/>
        </w:rPr>
        <w:t> </w:t>
      </w:r>
      <w:r w:rsidRPr="006F0A38">
        <w:rPr>
          <w:rFonts w:ascii="Times New Roman" w:hAnsi="Times New Roman"/>
        </w:rPr>
        <w:t>35 of the Model Law (</w:t>
      </w:r>
      <w:r w:rsidR="000B1A22" w:rsidRPr="006F0A38">
        <w:rPr>
          <w:rFonts w:ascii="Times New Roman" w:hAnsi="Times New Roman"/>
        </w:rPr>
        <w:t xml:space="preserve">cf </w:t>
      </w:r>
      <w:r w:rsidRPr="006F0A38">
        <w:rPr>
          <w:rFonts w:ascii="Times New Roman" w:hAnsi="Times New Roman"/>
        </w:rPr>
        <w:t xml:space="preserve">s 35 of the Arbitration Act). </w:t>
      </w:r>
      <w:r w:rsidR="00295251" w:rsidRPr="006F0A38">
        <w:rPr>
          <w:rFonts w:ascii="Times New Roman" w:hAnsi="Times New Roman"/>
        </w:rPr>
        <w:t>A</w:t>
      </w:r>
      <w:r w:rsidRPr="006F0A38">
        <w:rPr>
          <w:rFonts w:ascii="Times New Roman" w:hAnsi="Times New Roman"/>
        </w:rPr>
        <w:t>n arbitral award is recognised by Art 35 of the Model Law (</w:t>
      </w:r>
      <w:r w:rsidR="007150C7" w:rsidRPr="006F0A38">
        <w:rPr>
          <w:rFonts w:ascii="Times New Roman" w:hAnsi="Times New Roman"/>
        </w:rPr>
        <w:t xml:space="preserve">cf </w:t>
      </w:r>
      <w:r w:rsidRPr="006F0A38">
        <w:rPr>
          <w:rFonts w:ascii="Times New Roman" w:hAnsi="Times New Roman"/>
        </w:rPr>
        <w:t>s 35 of the Arbitration Act) as binding on the parties from the time it is made.</w:t>
      </w:r>
      <w:r w:rsidRPr="006F0A38">
        <w:rPr>
          <w:rStyle w:val="FootnoteReference"/>
          <w:rFonts w:ascii="Times New Roman" w:hAnsi="Times New Roman"/>
          <w:sz w:val="24"/>
        </w:rPr>
        <w:footnoteReference w:id="23"/>
      </w:r>
      <w:r w:rsidR="000344E6" w:rsidRPr="006F0A38">
        <w:rPr>
          <w:rFonts w:ascii="Times New Roman" w:hAnsi="Times New Roman"/>
        </w:rPr>
        <w:t xml:space="preserve"> </w:t>
      </w:r>
      <w:r w:rsidR="003162C5" w:rsidRPr="006F0A38">
        <w:rPr>
          <w:rFonts w:ascii="Times New Roman" w:hAnsi="Times New Roman"/>
        </w:rPr>
        <w:t>CKJV admitted before the arbitral tribunal in July 2019 that the First Interim Award was final and binding on the parties.</w:t>
      </w:r>
    </w:p>
    <w:p w14:paraId="56697683" w14:textId="7916B9D5"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At the level of the courts, s 34 of the Arbitration Act, drawn</w:t>
      </w:r>
      <w:r w:rsidR="00E131DD" w:rsidRPr="006F0A38">
        <w:rPr>
          <w:rFonts w:ascii="Times New Roman" w:hAnsi="Times New Roman"/>
        </w:rPr>
        <w:t> </w:t>
      </w:r>
      <w:r w:rsidRPr="006F0A38">
        <w:rPr>
          <w:rFonts w:ascii="Times New Roman" w:hAnsi="Times New Roman"/>
        </w:rPr>
        <w:t>from Art 34 of the Model Law, provides that recourse to a court against an arbitral award may only be made by an application for setting aside an award in limited circumstances.</w:t>
      </w:r>
      <w:r w:rsidRPr="006F0A38">
        <w:rPr>
          <w:rStyle w:val="FootnoteReference"/>
          <w:rFonts w:ascii="Times New Roman" w:hAnsi="Times New Roman"/>
          <w:sz w:val="24"/>
        </w:rPr>
        <w:footnoteReference w:id="24"/>
      </w:r>
      <w:r w:rsidRPr="006F0A38">
        <w:rPr>
          <w:rFonts w:ascii="Times New Roman" w:hAnsi="Times New Roman"/>
        </w:rPr>
        <w:t xml:space="preserve"> The first set of circumstances is where the party making the application "furnishes proof" of one of the following:</w:t>
      </w:r>
    </w:p>
    <w:p w14:paraId="26F46E30" w14:textId="77777777" w:rsidR="001114B9" w:rsidRPr="006F0A38" w:rsidRDefault="001114B9" w:rsidP="006F0A38">
      <w:pPr>
        <w:pStyle w:val="NormalBody"/>
        <w:spacing w:after="260" w:line="280" w:lineRule="exact"/>
        <w:ind w:left="720" w:right="0" w:hanging="720"/>
        <w:jc w:val="both"/>
        <w:rPr>
          <w:rFonts w:ascii="Times New Roman" w:hAnsi="Times New Roman"/>
        </w:rPr>
      </w:pPr>
      <w:r w:rsidRPr="006F0A38">
        <w:rPr>
          <w:rFonts w:ascii="Times New Roman" w:hAnsi="Times New Roman"/>
        </w:rPr>
        <w:t>(1)</w:t>
      </w:r>
      <w:r w:rsidRPr="006F0A38">
        <w:rPr>
          <w:rFonts w:ascii="Times New Roman" w:hAnsi="Times New Roman"/>
        </w:rPr>
        <w:tab/>
        <w:t xml:space="preserve">a party to the arbitration agreement was under some incapacity, or the arbitration agreement is not valid under the law to which the parties have subjected it or, failing any indication in it, under the law of Western Australia (s 34(2)(a)(i)); </w:t>
      </w:r>
    </w:p>
    <w:p w14:paraId="0A33DED0" w14:textId="77777777" w:rsidR="001114B9" w:rsidRPr="006F0A38" w:rsidRDefault="001114B9" w:rsidP="006F0A38">
      <w:pPr>
        <w:pStyle w:val="NormalBody"/>
        <w:spacing w:after="260" w:line="280" w:lineRule="exact"/>
        <w:ind w:left="720" w:right="0" w:hanging="720"/>
        <w:jc w:val="both"/>
        <w:rPr>
          <w:rFonts w:ascii="Times New Roman" w:hAnsi="Times New Roman"/>
        </w:rPr>
      </w:pPr>
      <w:r w:rsidRPr="006F0A38">
        <w:rPr>
          <w:rFonts w:ascii="Times New Roman" w:hAnsi="Times New Roman"/>
        </w:rPr>
        <w:t>(2)</w:t>
      </w:r>
      <w:r w:rsidRPr="006F0A38">
        <w:rPr>
          <w:rFonts w:ascii="Times New Roman" w:hAnsi="Times New Roman"/>
        </w:rPr>
        <w:tab/>
        <w:t xml:space="preserve">the party making the application was not given proper notice of the appointment of an arbitral tribunal or of the arbitral proceedings or was otherwise unable to present the party's case (s 34(2)(a)(ii)); </w:t>
      </w:r>
    </w:p>
    <w:p w14:paraId="02F78DF5" w14:textId="55218A9E" w:rsidR="001114B9" w:rsidRPr="006F0A38" w:rsidRDefault="001114B9" w:rsidP="006F0A38">
      <w:pPr>
        <w:pStyle w:val="NormalBody"/>
        <w:spacing w:after="260" w:line="280" w:lineRule="exact"/>
        <w:ind w:left="720" w:right="0" w:hanging="720"/>
        <w:jc w:val="both"/>
        <w:rPr>
          <w:rFonts w:ascii="Times New Roman" w:hAnsi="Times New Roman"/>
        </w:rPr>
      </w:pPr>
      <w:r w:rsidRPr="006F0A38">
        <w:rPr>
          <w:rFonts w:ascii="Times New Roman" w:hAnsi="Times New Roman"/>
        </w:rPr>
        <w:t>(3)</w:t>
      </w:r>
      <w:r w:rsidRPr="006F0A38">
        <w:rPr>
          <w:rFonts w:ascii="Times New Roman" w:hAnsi="Times New Roman"/>
        </w:rPr>
        <w:tab/>
        <w:t>the award deals with a dispute not contemplated by or not falling within the terms of the submission to arbitration, or</w:t>
      </w:r>
      <w:r w:rsidR="00E131DD" w:rsidRPr="006F0A38">
        <w:rPr>
          <w:rFonts w:ascii="Times New Roman" w:hAnsi="Times New Roman"/>
        </w:rPr>
        <w:t> </w:t>
      </w:r>
      <w:r w:rsidRPr="006F0A38">
        <w:rPr>
          <w:rFonts w:ascii="Times New Roman" w:hAnsi="Times New Roman"/>
        </w:rPr>
        <w:t xml:space="preserve">contains decisions on matters </w:t>
      </w:r>
      <w:r w:rsidRPr="006F0A38">
        <w:rPr>
          <w:rFonts w:ascii="Times New Roman" w:hAnsi="Times New Roman"/>
        </w:rPr>
        <w:lastRenderedPageBreak/>
        <w:t xml:space="preserve">beyond the scope of the submission to arbitration, provided that, if the decisions on matters submitted to arbitration can be separated from those not so submitted, only that part of the award which contains decisions on matters not submitted to arbitration may be set aside (s 34(2)(a)(iii)); or </w:t>
      </w:r>
    </w:p>
    <w:p w14:paraId="6E0DB2EA" w14:textId="77777777" w:rsidR="001114B9" w:rsidRPr="006F0A38" w:rsidRDefault="001114B9" w:rsidP="006F0A38">
      <w:pPr>
        <w:pStyle w:val="NormalBody"/>
        <w:spacing w:after="260" w:line="280" w:lineRule="exact"/>
        <w:ind w:left="720" w:right="0" w:hanging="720"/>
        <w:jc w:val="both"/>
        <w:rPr>
          <w:rFonts w:ascii="Times New Roman" w:hAnsi="Times New Roman"/>
        </w:rPr>
      </w:pPr>
      <w:r w:rsidRPr="006F0A38">
        <w:rPr>
          <w:rFonts w:ascii="Times New Roman" w:hAnsi="Times New Roman"/>
        </w:rPr>
        <w:t>(4)</w:t>
      </w:r>
      <w:r w:rsidRPr="006F0A38">
        <w:rPr>
          <w:rFonts w:ascii="Times New Roman" w:hAnsi="Times New Roman"/>
        </w:rPr>
        <w:tab/>
        <w:t>the composition of the arbitral tribunal or the arbitral procedure was not in accordance with the agreement of the parties, unless such agreement was in conflict with a provision of the Arbitration</w:t>
      </w:r>
      <w:r w:rsidRPr="006F0A38" w:rsidDel="00433662">
        <w:rPr>
          <w:rFonts w:ascii="Times New Roman" w:hAnsi="Times New Roman"/>
        </w:rPr>
        <w:t xml:space="preserve"> </w:t>
      </w:r>
      <w:r w:rsidRPr="006F0A38">
        <w:rPr>
          <w:rFonts w:ascii="Times New Roman" w:hAnsi="Times New Roman"/>
        </w:rPr>
        <w:t>Act from which the parties cannot derogate, or, failing such agreement, was not in accordance with that Act (s 34(2)(a)(iv)).</w:t>
      </w:r>
    </w:p>
    <w:p w14:paraId="1E959CB8" w14:textId="67735F69" w:rsidR="001114B9" w:rsidRPr="006F0A38" w:rsidRDefault="001114B9" w:rsidP="006F0A38">
      <w:pPr>
        <w:pStyle w:val="NormalBody"/>
        <w:spacing w:after="260" w:line="280" w:lineRule="exact"/>
        <w:ind w:right="0"/>
        <w:jc w:val="both"/>
        <w:rPr>
          <w:rFonts w:ascii="Times New Roman" w:hAnsi="Times New Roman"/>
        </w:rPr>
      </w:pPr>
      <w:r w:rsidRPr="006F0A38">
        <w:rPr>
          <w:rFonts w:ascii="Times New Roman" w:hAnsi="Times New Roman"/>
        </w:rPr>
        <w:t>The second set of circumstances is where</w:t>
      </w:r>
      <w:r w:rsidR="001E1B55" w:rsidRPr="006F0A38">
        <w:rPr>
          <w:rFonts w:ascii="Times New Roman" w:hAnsi="Times New Roman"/>
        </w:rPr>
        <w:t xml:space="preserve"> the </w:t>
      </w:r>
      <w:r w:rsidR="0092217D">
        <w:rPr>
          <w:rFonts w:ascii="Times New Roman" w:hAnsi="Times New Roman"/>
        </w:rPr>
        <w:t>c</w:t>
      </w:r>
      <w:r w:rsidR="001E1B55" w:rsidRPr="006F0A38">
        <w:rPr>
          <w:rFonts w:ascii="Times New Roman" w:hAnsi="Times New Roman"/>
        </w:rPr>
        <w:t>ourt finds that</w:t>
      </w:r>
      <w:r w:rsidRPr="006F0A38">
        <w:rPr>
          <w:rFonts w:ascii="Times New Roman" w:hAnsi="Times New Roman"/>
        </w:rPr>
        <w:t>:</w:t>
      </w:r>
      <w:r w:rsidR="006D624A" w:rsidRPr="006F0A38">
        <w:rPr>
          <w:rFonts w:ascii="Times New Roman" w:hAnsi="Times New Roman"/>
        </w:rPr>
        <w:t xml:space="preserve"> </w:t>
      </w:r>
      <w:r w:rsidRPr="006F0A38">
        <w:rPr>
          <w:rFonts w:ascii="Times New Roman" w:hAnsi="Times New Roman"/>
        </w:rPr>
        <w:t>(1)</w:t>
      </w:r>
      <w:r w:rsidR="00637945" w:rsidRPr="006F0A38">
        <w:rPr>
          <w:rFonts w:ascii="Times New Roman" w:hAnsi="Times New Roman"/>
        </w:rPr>
        <w:t> </w:t>
      </w:r>
      <w:r w:rsidRPr="006F0A38">
        <w:rPr>
          <w:rFonts w:ascii="Times New Roman" w:hAnsi="Times New Roman"/>
        </w:rPr>
        <w:t>the subject matter of the dispute is not capable of settlement by arbitration under the law of Western Australia (s 34(2)(b)(i)); or</w:t>
      </w:r>
      <w:r w:rsidR="00E131DD" w:rsidRPr="006F0A38">
        <w:rPr>
          <w:rFonts w:ascii="Times New Roman" w:hAnsi="Times New Roman"/>
        </w:rPr>
        <w:t> </w:t>
      </w:r>
      <w:r w:rsidRPr="006F0A38">
        <w:rPr>
          <w:rFonts w:ascii="Times New Roman" w:hAnsi="Times New Roman"/>
        </w:rPr>
        <w:t>(2) the award is in conflict with the public policy of Western Australia (s 34(2)(b)(ii</w:t>
      </w:r>
      <w:r w:rsidRPr="006F0A38" w:rsidDel="002D3172">
        <w:rPr>
          <w:rFonts w:ascii="Times New Roman" w:hAnsi="Times New Roman"/>
        </w:rPr>
        <w:t>)</w:t>
      </w:r>
      <w:r w:rsidRPr="006F0A38">
        <w:rPr>
          <w:rFonts w:ascii="Times New Roman" w:hAnsi="Times New Roman"/>
        </w:rPr>
        <w:t>).</w:t>
      </w:r>
    </w:p>
    <w:p w14:paraId="6CAA0400" w14:textId="77777777" w:rsidR="001114B9" w:rsidRPr="006F0A38" w:rsidRDefault="001114B9" w:rsidP="006F0A38">
      <w:pPr>
        <w:pStyle w:val="HeadingL1"/>
        <w:spacing w:after="260" w:line="280" w:lineRule="exact"/>
        <w:ind w:right="0"/>
        <w:jc w:val="both"/>
        <w:rPr>
          <w:rFonts w:ascii="Times New Roman" w:hAnsi="Times New Roman"/>
        </w:rPr>
      </w:pPr>
      <w:bookmarkStart w:id="0" w:name="_Toc163650020"/>
      <w:r w:rsidRPr="006F0A38">
        <w:rPr>
          <w:rFonts w:ascii="Times New Roman" w:hAnsi="Times New Roman"/>
        </w:rPr>
        <w:t>Ground 1 – Chevron's application to set aside the Second Interim Award under s 34(2)(a)(iii) of the Arbitration Act</w:t>
      </w:r>
      <w:bookmarkEnd w:id="0"/>
    </w:p>
    <w:p w14:paraId="2D41F79B" w14:textId="4F38B98A"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As has just been explained, the First Interim Award was final and binding. But what did it resolve? Determining </w:t>
      </w:r>
      <w:r w:rsidR="006B4414" w:rsidRPr="006F0A38">
        <w:rPr>
          <w:rFonts w:ascii="Times New Roman" w:hAnsi="Times New Roman"/>
        </w:rPr>
        <w:t xml:space="preserve">the scope of the issues that </w:t>
      </w:r>
      <w:r w:rsidRPr="006F0A38">
        <w:rPr>
          <w:rFonts w:ascii="Times New Roman" w:hAnsi="Times New Roman"/>
        </w:rPr>
        <w:t>an arbitral tribunal resolved finally and conclusively is answered by primarily focusing on what the tribunal said and concluded in the award.</w:t>
      </w:r>
      <w:r w:rsidRPr="006F0A38">
        <w:rPr>
          <w:rStyle w:val="FootnoteReference"/>
          <w:rFonts w:ascii="Times New Roman" w:hAnsi="Times New Roman"/>
          <w:sz w:val="24"/>
        </w:rPr>
        <w:footnoteReference w:id="25"/>
      </w:r>
      <w:r w:rsidRPr="006F0A38">
        <w:rPr>
          <w:rFonts w:ascii="Times New Roman" w:hAnsi="Times New Roman"/>
        </w:rPr>
        <w:t xml:space="preserve"> The Court of Appeal undertook that analysis</w:t>
      </w:r>
      <w:r w:rsidRPr="006F0A38">
        <w:rPr>
          <w:rStyle w:val="FootnoteReference"/>
          <w:rFonts w:ascii="Times New Roman" w:hAnsi="Times New Roman"/>
          <w:sz w:val="24"/>
        </w:rPr>
        <w:footnoteReference w:id="26"/>
      </w:r>
      <w:r w:rsidRPr="006F0A38">
        <w:rPr>
          <w:rFonts w:ascii="Times New Roman" w:hAnsi="Times New Roman"/>
        </w:rPr>
        <w:t xml:space="preserve"> and found that, by the First Interim Award, the</w:t>
      </w:r>
      <w:r w:rsidR="00856A95" w:rsidRPr="006F0A38">
        <w:rPr>
          <w:rFonts w:ascii="Times New Roman" w:hAnsi="Times New Roman"/>
        </w:rPr>
        <w:t> </w:t>
      </w:r>
      <w:r w:rsidRPr="006F0A38">
        <w:rPr>
          <w:rFonts w:ascii="Times New Roman" w:hAnsi="Times New Roman"/>
        </w:rPr>
        <w:t>arbitral tribunal determined all issues of liability and that the Contract Criteria Case determined in the Second Interim Award was a case on liability. As already noted, those findings were not challenged in this Court.</w:t>
      </w:r>
      <w:r w:rsidRPr="006F0A38">
        <w:rPr>
          <w:rStyle w:val="FootnoteReference"/>
          <w:rFonts w:ascii="Times New Roman" w:hAnsi="Times New Roman"/>
          <w:sz w:val="24"/>
        </w:rPr>
        <w:footnoteReference w:id="27"/>
      </w:r>
      <w:r w:rsidRPr="006F0A38">
        <w:rPr>
          <w:rFonts w:ascii="Times New Roman" w:hAnsi="Times New Roman"/>
        </w:rPr>
        <w:t xml:space="preserve"> </w:t>
      </w:r>
    </w:p>
    <w:p w14:paraId="26C30351" w14:textId="21617059" w:rsidR="00D14E46"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r>
      <w:r w:rsidR="00D14E46" w:rsidRPr="006F0A38">
        <w:rPr>
          <w:rFonts w:ascii="Times New Roman" w:hAnsi="Times New Roman"/>
        </w:rPr>
        <w:t xml:space="preserve">In </w:t>
      </w:r>
      <w:r w:rsidR="00D14E46" w:rsidRPr="006F0A38">
        <w:rPr>
          <w:rFonts w:ascii="Times New Roman" w:hAnsi="Times New Roman"/>
          <w:i/>
          <w:iCs/>
        </w:rPr>
        <w:t>Fidelitas Shipping Co Ltd v V/O Export</w:t>
      </w:r>
      <w:r w:rsidR="00EB12B9" w:rsidRPr="006F0A38">
        <w:rPr>
          <w:rFonts w:ascii="Times New Roman" w:hAnsi="Times New Roman"/>
          <w:i/>
          <w:iCs/>
        </w:rPr>
        <w:t>chleb</w:t>
      </w:r>
      <w:r w:rsidR="00D14E46" w:rsidRPr="006F0A38">
        <w:rPr>
          <w:rFonts w:ascii="Times New Roman" w:hAnsi="Times New Roman"/>
        </w:rPr>
        <w:t>,</w:t>
      </w:r>
      <w:r w:rsidR="00D14E46" w:rsidRPr="006F0A38">
        <w:rPr>
          <w:rStyle w:val="FootnoteReference"/>
          <w:rFonts w:ascii="Times New Roman" w:hAnsi="Times New Roman"/>
          <w:sz w:val="24"/>
        </w:rPr>
        <w:footnoteReference w:id="28"/>
      </w:r>
      <w:r w:rsidR="00D14E46" w:rsidRPr="006F0A38">
        <w:rPr>
          <w:rFonts w:ascii="Times New Roman" w:hAnsi="Times New Roman"/>
          <w:i/>
          <w:iCs/>
        </w:rPr>
        <w:t xml:space="preserve"> </w:t>
      </w:r>
      <w:r w:rsidR="00D14E46" w:rsidRPr="006F0A38">
        <w:rPr>
          <w:rFonts w:ascii="Times New Roman" w:hAnsi="Times New Roman"/>
        </w:rPr>
        <w:t>Diplock</w:t>
      </w:r>
      <w:r w:rsidR="00AF4EC2" w:rsidRPr="006F0A38">
        <w:rPr>
          <w:rFonts w:ascii="Times New Roman" w:hAnsi="Times New Roman"/>
        </w:rPr>
        <w:t> </w:t>
      </w:r>
      <w:r w:rsidR="00D14E46" w:rsidRPr="006F0A38">
        <w:rPr>
          <w:rFonts w:ascii="Times New Roman" w:hAnsi="Times New Roman"/>
        </w:rPr>
        <w:t>LJ distinguished the effect of a "final award" on an arbitrator from its effect as an issue estoppel on the parties. Diplock</w:t>
      </w:r>
      <w:r w:rsidR="002C3911" w:rsidRPr="006F0A38">
        <w:rPr>
          <w:rFonts w:ascii="Times New Roman" w:hAnsi="Times New Roman"/>
        </w:rPr>
        <w:t> </w:t>
      </w:r>
      <w:r w:rsidR="00D14E46" w:rsidRPr="006F0A38">
        <w:rPr>
          <w:rFonts w:ascii="Times New Roman" w:hAnsi="Times New Roman"/>
        </w:rPr>
        <w:t xml:space="preserve">LJ said that "the arbitrator himself becomes functus officio as respects all </w:t>
      </w:r>
      <w:r w:rsidR="00FD064C" w:rsidRPr="006F0A38">
        <w:rPr>
          <w:rFonts w:ascii="Times New Roman" w:hAnsi="Times New Roman"/>
        </w:rPr>
        <w:t xml:space="preserve">the </w:t>
      </w:r>
      <w:r w:rsidR="00D14E46" w:rsidRPr="006F0A38">
        <w:rPr>
          <w:rFonts w:ascii="Times New Roman" w:hAnsi="Times New Roman"/>
        </w:rPr>
        <w:t xml:space="preserve">issues between the parties" and that the effect of an "interim award" was that "the arbitrator is functus officio as respects the issues to which his interim </w:t>
      </w:r>
      <w:r w:rsidR="00D14E46" w:rsidRPr="006F0A38">
        <w:rPr>
          <w:rFonts w:ascii="Times New Roman" w:hAnsi="Times New Roman"/>
        </w:rPr>
        <w:lastRenderedPageBreak/>
        <w:t>award relates".</w:t>
      </w:r>
      <w:r w:rsidR="00D14E46" w:rsidRPr="006F0A38">
        <w:rPr>
          <w:rStyle w:val="FootnoteReference"/>
          <w:rFonts w:ascii="Times New Roman" w:hAnsi="Times New Roman"/>
          <w:sz w:val="24"/>
        </w:rPr>
        <w:footnoteReference w:id="29"/>
      </w:r>
      <w:r w:rsidR="00D14E46" w:rsidRPr="006F0A38">
        <w:rPr>
          <w:rFonts w:ascii="Times New Roman" w:hAnsi="Times New Roman"/>
        </w:rPr>
        <w:t xml:space="preserve"> Diplock LJ thus considered that where the award is an interim award, such an award "creates an issue estoppel or issue estoppels between the parties and the arbitrator is functus officio as respects the issues to which his interim award relates"</w:t>
      </w:r>
      <w:r w:rsidR="00032DF9" w:rsidRPr="006F0A38">
        <w:rPr>
          <w:rFonts w:ascii="Times New Roman" w:hAnsi="Times New Roman"/>
        </w:rPr>
        <w:t>.</w:t>
      </w:r>
      <w:r w:rsidR="00D14E46" w:rsidRPr="006F0A38">
        <w:rPr>
          <w:rStyle w:val="FootnoteReference"/>
          <w:rFonts w:ascii="Times New Roman" w:hAnsi="Times New Roman"/>
          <w:sz w:val="24"/>
        </w:rPr>
        <w:footnoteReference w:id="30"/>
      </w:r>
      <w:r w:rsidR="00D14E46" w:rsidRPr="006F0A38">
        <w:rPr>
          <w:rFonts w:ascii="Times New Roman" w:hAnsi="Times New Roman"/>
        </w:rPr>
        <w:t xml:space="preserve"> While </w:t>
      </w:r>
      <w:r w:rsidR="00D14E46" w:rsidRPr="006F0A38">
        <w:rPr>
          <w:rFonts w:ascii="Times New Roman" w:hAnsi="Times New Roman"/>
          <w:i/>
          <w:iCs/>
        </w:rPr>
        <w:t xml:space="preserve">Fidelitas </w:t>
      </w:r>
      <w:r w:rsidR="00D14E46" w:rsidRPr="006F0A38">
        <w:rPr>
          <w:rFonts w:ascii="Times New Roman" w:hAnsi="Times New Roman"/>
        </w:rPr>
        <w:t xml:space="preserve">was decided under the </w:t>
      </w:r>
      <w:r w:rsidR="00D14E46" w:rsidRPr="006F0A38">
        <w:rPr>
          <w:rFonts w:ascii="Times New Roman" w:hAnsi="Times New Roman"/>
          <w:i/>
          <w:iCs/>
        </w:rPr>
        <w:t>Arbitration Act 1950</w:t>
      </w:r>
      <w:r w:rsidR="00D14E46" w:rsidRPr="006F0A38">
        <w:rPr>
          <w:rFonts w:ascii="Times New Roman" w:hAnsi="Times New Roman"/>
        </w:rPr>
        <w:t xml:space="preserve"> (UK) in the procedural context of an interim award having been made in the form of a case stated, a procedure which has no equivalent under the Model Law, the reasoning of Diplock LJ in the respect above has been accepted in Australian and English courts.</w:t>
      </w:r>
      <w:r w:rsidR="00D14E46" w:rsidRPr="006F0A38">
        <w:rPr>
          <w:rStyle w:val="FootnoteReference"/>
          <w:rFonts w:ascii="Times New Roman" w:hAnsi="Times New Roman"/>
          <w:sz w:val="24"/>
        </w:rPr>
        <w:footnoteReference w:id="31"/>
      </w:r>
      <w:r w:rsidR="00D14E46" w:rsidRPr="006F0A38">
        <w:rPr>
          <w:rFonts w:ascii="Times New Roman" w:hAnsi="Times New Roman"/>
        </w:rPr>
        <w:t xml:space="preserve"> It has been adopted by leading commentaries as authority for the general proposition that if an award is an interim award, "the arbitrator still has authority to deal with the matters left over, although he is functus officio as regards matters dealt with in the award".</w:t>
      </w:r>
      <w:r w:rsidR="00D14E46" w:rsidRPr="006F0A38">
        <w:rPr>
          <w:rStyle w:val="FootnoteReference"/>
          <w:rFonts w:ascii="Times New Roman" w:hAnsi="Times New Roman"/>
          <w:sz w:val="24"/>
        </w:rPr>
        <w:footnoteReference w:id="32"/>
      </w:r>
      <w:r w:rsidR="00D14E46" w:rsidRPr="006F0A38">
        <w:rPr>
          <w:rFonts w:ascii="Times New Roman" w:hAnsi="Times New Roman"/>
        </w:rPr>
        <w:t xml:space="preserve"> And the Court of Appeals of New York </w:t>
      </w:r>
      <w:r w:rsidR="00D14E46" w:rsidRPr="006F0A38">
        <w:rPr>
          <w:rFonts w:ascii="Times New Roman" w:hAnsi="Times New Roman"/>
          <w:lang w:val="en-US"/>
        </w:rPr>
        <w:t xml:space="preserve">has held that </w:t>
      </w:r>
      <w:r w:rsidR="00D14E46" w:rsidRPr="006F0A38">
        <w:rPr>
          <w:rFonts w:ascii="Times New Roman" w:hAnsi="Times New Roman"/>
        </w:rPr>
        <w:t>"partial determinations may be treated as final awards where the parties expressly agree both that certain issues</w:t>
      </w:r>
      <w:r w:rsidR="006528FB" w:rsidRPr="006F0A38">
        <w:rPr>
          <w:rFonts w:ascii="Times New Roman" w:hAnsi="Times New Roman"/>
        </w:rPr>
        <w:t xml:space="preserve"> submitted to the arbitrators </w:t>
      </w:r>
      <w:r w:rsidR="00D14E46" w:rsidRPr="006F0A38">
        <w:rPr>
          <w:rFonts w:ascii="Times New Roman" w:hAnsi="Times New Roman"/>
        </w:rPr>
        <w:t xml:space="preserve">should be decided in separate partial awards and that such awards will be considered </w:t>
      </w:r>
      <w:r w:rsidR="00AA20E9" w:rsidRPr="006F0A38">
        <w:rPr>
          <w:rFonts w:ascii="Times New Roman" w:hAnsi="Times New Roman"/>
        </w:rPr>
        <w:t xml:space="preserve">to be </w:t>
      </w:r>
      <w:r w:rsidR="00D14E46" w:rsidRPr="006F0A38">
        <w:rPr>
          <w:rFonts w:ascii="Times New Roman" w:hAnsi="Times New Roman"/>
        </w:rPr>
        <w:t>final" with the result that the arbitral tribunal lacks "authority to reconsider the resulting partial final award".</w:t>
      </w:r>
      <w:r w:rsidR="00D14E46" w:rsidRPr="006F0A38">
        <w:rPr>
          <w:rStyle w:val="FootnoteReference"/>
          <w:rFonts w:ascii="Times New Roman" w:hAnsi="Times New Roman"/>
          <w:sz w:val="24"/>
        </w:rPr>
        <w:footnoteReference w:id="33"/>
      </w:r>
      <w:r w:rsidR="00D14E46" w:rsidRPr="006F0A38">
        <w:rPr>
          <w:rFonts w:ascii="Times New Roman" w:hAnsi="Times New Roman"/>
        </w:rPr>
        <w:t xml:space="preserve"> This international treatment confirms the approach of Diplock LJ described above and informs the intended meaning of Art 34(2) of the UNCITRAL Rules. </w:t>
      </w:r>
    </w:p>
    <w:p w14:paraId="56C4B6CB" w14:textId="4E91DD42" w:rsidR="001114B9" w:rsidRPr="006F0A38" w:rsidRDefault="00876DB8" w:rsidP="006F0A38">
      <w:pPr>
        <w:pStyle w:val="FixListStyle"/>
        <w:spacing w:after="260" w:line="280" w:lineRule="exact"/>
        <w:ind w:right="0"/>
        <w:jc w:val="both"/>
        <w:rPr>
          <w:rFonts w:ascii="Times New Roman" w:hAnsi="Times New Roman"/>
        </w:rPr>
      </w:pPr>
      <w:r w:rsidRPr="006F0A38">
        <w:rPr>
          <w:rFonts w:ascii="Times New Roman" w:hAnsi="Times New Roman"/>
        </w:rPr>
        <w:tab/>
      </w:r>
      <w:r w:rsidR="001114B9" w:rsidRPr="006F0A38">
        <w:rPr>
          <w:rFonts w:ascii="Times New Roman" w:hAnsi="Times New Roman"/>
        </w:rPr>
        <w:t xml:space="preserve">On handing down a final and binding award, the position of the arbitral tribunal has been variously described as the tribunal then </w:t>
      </w:r>
      <w:r w:rsidR="0053107F" w:rsidRPr="006F0A38">
        <w:rPr>
          <w:rFonts w:ascii="Times New Roman" w:hAnsi="Times New Roman"/>
        </w:rPr>
        <w:t xml:space="preserve">ceasing to have </w:t>
      </w:r>
      <w:r w:rsidR="001114B9" w:rsidRPr="006F0A38">
        <w:rPr>
          <w:rFonts w:ascii="Times New Roman" w:hAnsi="Times New Roman"/>
        </w:rPr>
        <w:t xml:space="preserve">authority, jurisdiction or capacity, or being </w:t>
      </w:r>
      <w:r w:rsidR="001114B9" w:rsidRPr="006F0A38">
        <w:rPr>
          <w:rFonts w:ascii="Times New Roman" w:hAnsi="Times New Roman"/>
          <w:i/>
          <w:iCs/>
        </w:rPr>
        <w:t>functus officio</w:t>
      </w:r>
      <w:r w:rsidR="001114B9" w:rsidRPr="006F0A38">
        <w:rPr>
          <w:rFonts w:ascii="Times New Roman" w:hAnsi="Times New Roman"/>
        </w:rPr>
        <w:t xml:space="preserve">, in relation to the issues addressed </w:t>
      </w:r>
      <w:r w:rsidR="001114B9" w:rsidRPr="006F0A38">
        <w:rPr>
          <w:rFonts w:ascii="Times New Roman" w:hAnsi="Times New Roman"/>
        </w:rPr>
        <w:lastRenderedPageBreak/>
        <w:t xml:space="preserve">in the award. As explained by Mustill and Boyd in </w:t>
      </w:r>
      <w:r w:rsidR="001114B9" w:rsidRPr="006F0A38">
        <w:rPr>
          <w:rFonts w:ascii="Times New Roman" w:hAnsi="Times New Roman"/>
          <w:i/>
          <w:iCs/>
        </w:rPr>
        <w:t>The Law and Practice of Commercial Arbitration in England</w:t>
      </w:r>
      <w:r w:rsidR="001114B9" w:rsidRPr="006F0A38">
        <w:rPr>
          <w:rFonts w:ascii="Times New Roman" w:hAnsi="Times New Roman"/>
        </w:rPr>
        <w:t>:</w:t>
      </w:r>
      <w:r w:rsidR="001114B9" w:rsidRPr="006F0A38">
        <w:rPr>
          <w:rStyle w:val="FootnoteReference"/>
          <w:rFonts w:ascii="Times New Roman" w:hAnsi="Times New Roman"/>
          <w:sz w:val="24"/>
        </w:rPr>
        <w:footnoteReference w:id="34"/>
      </w:r>
    </w:p>
    <w:p w14:paraId="53A58082" w14:textId="09E00328" w:rsidR="001114B9" w:rsidRPr="006F0A38" w:rsidRDefault="00457401" w:rsidP="006F0A38">
      <w:pPr>
        <w:pStyle w:val="leftright"/>
        <w:spacing w:before="0" w:after="260" w:line="280" w:lineRule="exact"/>
        <w:ind w:right="0"/>
        <w:jc w:val="both"/>
        <w:rPr>
          <w:rFonts w:ascii="Times New Roman" w:hAnsi="Times New Roman"/>
        </w:rPr>
      </w:pPr>
      <w:r w:rsidRPr="006F0A38">
        <w:rPr>
          <w:rFonts w:ascii="Times New Roman" w:hAnsi="Times New Roman"/>
        </w:rPr>
        <w:tab/>
      </w:r>
      <w:r w:rsidR="001114B9" w:rsidRPr="006F0A38">
        <w:rPr>
          <w:rFonts w:ascii="Times New Roman" w:hAnsi="Times New Roman"/>
        </w:rPr>
        <w:t xml:space="preserve">"When an arbitrator makes a valid award his authority as an arbitrator comes to an end and with it his powers and duties in the reference: he is then said to be functus officio. This at least is the general rule, although it needs qualification in two respects: </w:t>
      </w:r>
    </w:p>
    <w:p w14:paraId="0F3FD13F" w14:textId="5074C162" w:rsidR="001114B9" w:rsidRPr="006F0A38" w:rsidRDefault="00457401" w:rsidP="006F0A38">
      <w:pPr>
        <w:pStyle w:val="leftright"/>
        <w:spacing w:before="0" w:after="260" w:line="280" w:lineRule="exact"/>
        <w:ind w:right="0"/>
        <w:jc w:val="both"/>
        <w:rPr>
          <w:rFonts w:ascii="Times New Roman" w:hAnsi="Times New Roman"/>
        </w:rPr>
      </w:pPr>
      <w:r w:rsidRPr="006F0A38">
        <w:rPr>
          <w:rFonts w:ascii="Times New Roman" w:hAnsi="Times New Roman"/>
        </w:rPr>
        <w:tab/>
      </w:r>
      <w:r w:rsidR="001114B9" w:rsidRPr="006F0A38">
        <w:rPr>
          <w:rFonts w:ascii="Times New Roman" w:hAnsi="Times New Roman"/>
        </w:rPr>
        <w:t>First, if the award is merely an interim award, the</w:t>
      </w:r>
      <w:r w:rsidR="00105300" w:rsidRPr="006F0A38">
        <w:rPr>
          <w:rFonts w:ascii="Times New Roman" w:hAnsi="Times New Roman"/>
        </w:rPr>
        <w:t> </w:t>
      </w:r>
      <w:r w:rsidR="001114B9" w:rsidRPr="006F0A38">
        <w:rPr>
          <w:rFonts w:ascii="Times New Roman" w:hAnsi="Times New Roman"/>
        </w:rPr>
        <w:t xml:space="preserve">arbitrator still has authority to deal with the matters left over, </w:t>
      </w:r>
      <w:r w:rsidR="001114B9" w:rsidRPr="006F0A38">
        <w:rPr>
          <w:rFonts w:ascii="Times New Roman" w:hAnsi="Times New Roman"/>
          <w:i/>
          <w:iCs/>
        </w:rPr>
        <w:t>although he is functus officio as regards matters dealt with in the award</w:t>
      </w:r>
      <w:r w:rsidR="001114B9" w:rsidRPr="006F0A38">
        <w:rPr>
          <w:rFonts w:ascii="Times New Roman" w:hAnsi="Times New Roman"/>
        </w:rPr>
        <w:t>.</w:t>
      </w:r>
    </w:p>
    <w:p w14:paraId="11A1D4D7" w14:textId="77777777" w:rsidR="006F0A38" w:rsidRDefault="00457401" w:rsidP="006F0A38">
      <w:pPr>
        <w:pStyle w:val="leftright"/>
        <w:spacing w:before="0" w:after="260" w:line="280" w:lineRule="exact"/>
        <w:ind w:right="0"/>
        <w:jc w:val="both"/>
        <w:rPr>
          <w:rFonts w:ascii="Times New Roman" w:hAnsi="Times New Roman"/>
        </w:rPr>
      </w:pPr>
      <w:r w:rsidRPr="006F0A38">
        <w:rPr>
          <w:rFonts w:ascii="Times New Roman" w:hAnsi="Times New Roman"/>
        </w:rPr>
        <w:tab/>
      </w:r>
      <w:r w:rsidR="001114B9" w:rsidRPr="006F0A38">
        <w:rPr>
          <w:rFonts w:ascii="Times New Roman" w:hAnsi="Times New Roman"/>
        </w:rPr>
        <w:t xml:space="preserve">Second, if the award is remitted to the arbitrator by the Court for reconsideration he has authority to deal with the matters on which the award has been remitted and to make a fresh award." </w:t>
      </w:r>
    </w:p>
    <w:p w14:paraId="41B0B297" w14:textId="21609787"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r>
      <w:r w:rsidR="0050625D" w:rsidRPr="006F0A38">
        <w:rPr>
          <w:rFonts w:ascii="Times New Roman" w:hAnsi="Times New Roman"/>
        </w:rPr>
        <w:t>As has been explained, o</w:t>
      </w:r>
      <w:r w:rsidRPr="006F0A38">
        <w:rPr>
          <w:rFonts w:ascii="Times New Roman" w:hAnsi="Times New Roman"/>
        </w:rPr>
        <w:t>nce a final and binding award is made, an arbitral tribunal has no authority to reconsider, or further consider, the subject matter of that award.</w:t>
      </w:r>
      <w:r w:rsidRPr="006F0A38">
        <w:rPr>
          <w:rStyle w:val="FootnoteReference"/>
          <w:rFonts w:ascii="Times New Roman" w:hAnsi="Times New Roman"/>
          <w:sz w:val="24"/>
        </w:rPr>
        <w:footnoteReference w:id="35"/>
      </w:r>
      <w:r w:rsidRPr="006F0A38">
        <w:rPr>
          <w:rFonts w:ascii="Times New Roman" w:hAnsi="Times New Roman"/>
        </w:rPr>
        <w:t xml:space="preserve"> </w:t>
      </w:r>
      <w:r w:rsidR="00961B59" w:rsidRPr="006F0A38">
        <w:rPr>
          <w:rFonts w:ascii="Times New Roman" w:hAnsi="Times New Roman"/>
        </w:rPr>
        <w:t>That is</w:t>
      </w:r>
      <w:r w:rsidRPr="006F0A38">
        <w:rPr>
          <w:rFonts w:ascii="Times New Roman" w:hAnsi="Times New Roman"/>
        </w:rPr>
        <w:t>, the tribunal no</w:t>
      </w:r>
      <w:r w:rsidRPr="006F0A38" w:rsidDel="00D10C01">
        <w:rPr>
          <w:rFonts w:ascii="Times New Roman" w:hAnsi="Times New Roman"/>
        </w:rPr>
        <w:t xml:space="preserve"> longer has</w:t>
      </w:r>
      <w:r w:rsidRPr="006F0A38">
        <w:rPr>
          <w:rFonts w:ascii="Times New Roman" w:hAnsi="Times New Roman"/>
        </w:rPr>
        <w:t xml:space="preserve"> jurisdiction in relation to </w:t>
      </w:r>
      <w:r w:rsidRPr="006F0A38" w:rsidDel="00F74F8E">
        <w:rPr>
          <w:rFonts w:ascii="Times New Roman" w:hAnsi="Times New Roman"/>
        </w:rPr>
        <w:t xml:space="preserve">the </w:t>
      </w:r>
      <w:r w:rsidRPr="006F0A38">
        <w:rPr>
          <w:rFonts w:ascii="Times New Roman" w:hAnsi="Times New Roman"/>
        </w:rPr>
        <w:t>issues determined by it in an earlier</w:t>
      </w:r>
      <w:r w:rsidRPr="006F0A38" w:rsidDel="00EF1F6F">
        <w:rPr>
          <w:rFonts w:ascii="Times New Roman" w:hAnsi="Times New Roman"/>
        </w:rPr>
        <w:t xml:space="preserve"> </w:t>
      </w:r>
      <w:r w:rsidRPr="006F0A38">
        <w:rPr>
          <w:rFonts w:ascii="Times New Roman" w:hAnsi="Times New Roman"/>
        </w:rPr>
        <w:t>award and will act "in excess of jurisdiction where it revisits an issue it has already dealt with in an earlier award".</w:t>
      </w:r>
      <w:r w:rsidRPr="006F0A38">
        <w:rPr>
          <w:rStyle w:val="FootnoteReference"/>
          <w:rFonts w:ascii="Times New Roman" w:hAnsi="Times New Roman"/>
          <w:sz w:val="24"/>
        </w:rPr>
        <w:footnoteReference w:id="36"/>
      </w:r>
      <w:r w:rsidRPr="006F0A38">
        <w:rPr>
          <w:rFonts w:ascii="Times New Roman" w:hAnsi="Times New Roman"/>
        </w:rPr>
        <w:t xml:space="preserve"> </w:t>
      </w:r>
    </w:p>
    <w:p w14:paraId="32C030C2" w14:textId="190390E2"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When a tribunal </w:t>
      </w:r>
      <w:r w:rsidRPr="006F0A38">
        <w:rPr>
          <w:rFonts w:ascii="Times New Roman" w:hAnsi="Times New Roman"/>
          <w:i/>
          <w:iCs/>
        </w:rPr>
        <w:t>exceeds</w:t>
      </w:r>
      <w:r w:rsidRPr="006F0A38">
        <w:rPr>
          <w:rFonts w:ascii="Times New Roman" w:hAnsi="Times New Roman"/>
        </w:rPr>
        <w:t xml:space="preserve"> its authority or jurisdiction in the making of an award, that award is then liable to be set aside under s 34(2)(a)(iii) of the Arbitration Act (cf Art 34(2)(a)(iii) of the Model Law).</w:t>
      </w:r>
      <w:r w:rsidRPr="006F0A38">
        <w:rPr>
          <w:rStyle w:val="FootnoteReference"/>
          <w:rFonts w:ascii="Times New Roman" w:hAnsi="Times New Roman"/>
          <w:sz w:val="24"/>
        </w:rPr>
        <w:footnoteReference w:id="37"/>
      </w:r>
      <w:r w:rsidRPr="006F0A38">
        <w:rPr>
          <w:rFonts w:ascii="Times New Roman" w:hAnsi="Times New Roman"/>
        </w:rPr>
        <w:t xml:space="preserve"> The party making the application to the court to set aside the award for want of authority or jurisdiction must furnish proof that it "deals with a dispute not contemplated by or not falling </w:t>
      </w:r>
      <w:r w:rsidRPr="006F0A38">
        <w:rPr>
          <w:rFonts w:ascii="Times New Roman" w:hAnsi="Times New Roman"/>
        </w:rPr>
        <w:lastRenderedPageBreak/>
        <w:t xml:space="preserve">within the terms of the submission to arbitration, or contains decisions on matters beyond the scope of the submission to arbitration". What is not capable of being challenged under s 34(2)(a)(iii) of the Arbitration Act (cf Art 34(2)(a)(iii) of the Model Law) is an error made by the arbitral tribunal </w:t>
      </w:r>
      <w:r w:rsidRPr="006F0A38">
        <w:rPr>
          <w:rFonts w:ascii="Times New Roman" w:hAnsi="Times New Roman"/>
          <w:i/>
          <w:iCs/>
        </w:rPr>
        <w:t>within</w:t>
      </w:r>
      <w:r w:rsidRPr="006F0A38">
        <w:rPr>
          <w:rFonts w:ascii="Times New Roman" w:hAnsi="Times New Roman"/>
        </w:rPr>
        <w:t xml:space="preserve"> jurisdiction.</w:t>
      </w:r>
      <w:r w:rsidRPr="006F0A38">
        <w:rPr>
          <w:rStyle w:val="FootnoteReference"/>
          <w:rFonts w:ascii="Times New Roman" w:hAnsi="Times New Roman"/>
          <w:sz w:val="24"/>
        </w:rPr>
        <w:footnoteReference w:id="38"/>
      </w:r>
      <w:r w:rsidRPr="006F0A38">
        <w:rPr>
          <w:rFonts w:ascii="Times New Roman" w:hAnsi="Times New Roman"/>
        </w:rPr>
        <w:t xml:space="preserve"> </w:t>
      </w:r>
    </w:p>
    <w:p w14:paraId="121B5D84" w14:textId="3195F376"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The distinction drawn between an issue being "</w:t>
      </w:r>
      <w:r w:rsidRPr="006F0A38">
        <w:rPr>
          <w:rFonts w:ascii="Times New Roman" w:hAnsi="Times New Roman"/>
          <w:i/>
          <w:iCs/>
        </w:rPr>
        <w:t>beyond</w:t>
      </w:r>
      <w:r w:rsidRPr="006F0A38">
        <w:rPr>
          <w:rFonts w:ascii="Times New Roman" w:hAnsi="Times New Roman"/>
        </w:rPr>
        <w:t xml:space="preserve"> the scope of the submission to arbitration" (that is, beyond the authority or jurisdiction of the arbitral tribunal), on the one hand, and an </w:t>
      </w:r>
      <w:r w:rsidR="00AB2113" w:rsidRPr="006F0A38">
        <w:rPr>
          <w:rFonts w:ascii="Times New Roman" w:hAnsi="Times New Roman"/>
        </w:rPr>
        <w:t xml:space="preserve">issue arising for determination </w:t>
      </w:r>
      <w:r w:rsidRPr="006F0A38">
        <w:rPr>
          <w:rFonts w:ascii="Times New Roman" w:hAnsi="Times New Roman"/>
        </w:rPr>
        <w:t xml:space="preserve">by the tribunal </w:t>
      </w:r>
      <w:r w:rsidRPr="006F0A38">
        <w:rPr>
          <w:rFonts w:ascii="Times New Roman" w:hAnsi="Times New Roman"/>
          <w:i/>
          <w:iCs/>
        </w:rPr>
        <w:t>within</w:t>
      </w:r>
      <w:r w:rsidRPr="006F0A38">
        <w:rPr>
          <w:rFonts w:ascii="Times New Roman" w:hAnsi="Times New Roman"/>
        </w:rPr>
        <w:t xml:space="preserve"> jurisdiction, on the other, has been described in various ways by the courts in Australia</w:t>
      </w:r>
      <w:r w:rsidRPr="006F0A38">
        <w:rPr>
          <w:rStyle w:val="FootnoteReference"/>
          <w:rFonts w:ascii="Times New Roman" w:hAnsi="Times New Roman"/>
          <w:sz w:val="24"/>
        </w:rPr>
        <w:footnoteReference w:id="39"/>
      </w:r>
      <w:r w:rsidRPr="006F0A38">
        <w:rPr>
          <w:rFonts w:ascii="Times New Roman" w:hAnsi="Times New Roman"/>
        </w:rPr>
        <w:t xml:space="preserve"> and overseas.</w:t>
      </w:r>
      <w:r w:rsidRPr="006F0A38">
        <w:rPr>
          <w:rStyle w:val="FootnoteReference"/>
          <w:rFonts w:ascii="Times New Roman" w:hAnsi="Times New Roman"/>
          <w:sz w:val="24"/>
        </w:rPr>
        <w:footnoteReference w:id="40"/>
      </w:r>
      <w:r w:rsidRPr="006F0A38">
        <w:rPr>
          <w:rFonts w:ascii="Times New Roman" w:hAnsi="Times New Roman"/>
        </w:rPr>
        <w:t xml:space="preserve"> Regardless of the language or terminology adopted, the question for the purposes of s 34(2)(a)(iii) is whether, in the particular circumstances of the arbitration, the</w:t>
      </w:r>
      <w:r w:rsidR="00D103A8" w:rsidRPr="006F0A38">
        <w:rPr>
          <w:rFonts w:ascii="Times New Roman" w:hAnsi="Times New Roman"/>
        </w:rPr>
        <w:t> </w:t>
      </w:r>
      <w:r w:rsidRPr="006F0A38">
        <w:rPr>
          <w:rFonts w:ascii="Times New Roman" w:hAnsi="Times New Roman"/>
        </w:rPr>
        <w:t>challenge that is made goes to the authority of the arbitral tribunal. If it does, then s 34(2)(a)(iii) of the Arbitration Act (cf</w:t>
      </w:r>
      <w:r w:rsidR="00425DBF" w:rsidRPr="006F0A38">
        <w:rPr>
          <w:rFonts w:ascii="Times New Roman" w:hAnsi="Times New Roman"/>
        </w:rPr>
        <w:t> </w:t>
      </w:r>
      <w:r w:rsidRPr="006F0A38">
        <w:rPr>
          <w:rFonts w:ascii="Times New Roman" w:hAnsi="Times New Roman"/>
        </w:rPr>
        <w:t>Art 34</w:t>
      </w:r>
      <w:r w:rsidR="00BD278A" w:rsidRPr="006F0A38">
        <w:rPr>
          <w:rFonts w:ascii="Times New Roman" w:hAnsi="Times New Roman"/>
        </w:rPr>
        <w:t>(2)(a)(iii)</w:t>
      </w:r>
      <w:r w:rsidRPr="006F0A38">
        <w:rPr>
          <w:rFonts w:ascii="Times New Roman" w:hAnsi="Times New Roman"/>
        </w:rPr>
        <w:t xml:space="preserve"> of the Model Law) permits a court to consider an application to set aside an award on the grounds that it was made beyond the authority of the arbitral tribunal.</w:t>
      </w:r>
      <w:r w:rsidRPr="006F0A38">
        <w:rPr>
          <w:rStyle w:val="FootnoteReference"/>
          <w:rFonts w:ascii="Times New Roman" w:hAnsi="Times New Roman"/>
          <w:sz w:val="24"/>
        </w:rPr>
        <w:footnoteReference w:id="41"/>
      </w:r>
      <w:r w:rsidRPr="006F0A38">
        <w:rPr>
          <w:rFonts w:ascii="Times New Roman" w:hAnsi="Times New Roman"/>
        </w:rPr>
        <w:t xml:space="preserve"> </w:t>
      </w:r>
    </w:p>
    <w:p w14:paraId="3EDF5F07" w14:textId="321FCA25"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The source of the arbitral tribunal's </w:t>
      </w:r>
      <w:r w:rsidR="002C0DC6" w:rsidRPr="006F0A38">
        <w:rPr>
          <w:rFonts w:ascii="Times New Roman" w:hAnsi="Times New Roman"/>
        </w:rPr>
        <w:t xml:space="preserve">jurisdiction </w:t>
      </w:r>
      <w:r w:rsidRPr="006F0A38">
        <w:rPr>
          <w:rFonts w:ascii="Times New Roman" w:hAnsi="Times New Roman"/>
        </w:rPr>
        <w:t xml:space="preserve">to resolve a dispute, and its mandate, competence or authority to act, is the arbitration agreement. It is well-established that an arbitral tribunal has authority to rule upon its own jurisdiction, even where the jurisdiction is contested by one or more parties. The authority for an arbitral tribunal to rule upon its own authority is </w:t>
      </w:r>
      <w:r w:rsidR="00E72409" w:rsidRPr="006F0A38">
        <w:rPr>
          <w:rFonts w:ascii="Times New Roman" w:hAnsi="Times New Roman"/>
        </w:rPr>
        <w:t>described as</w:t>
      </w:r>
      <w:r w:rsidRPr="006F0A38">
        <w:rPr>
          <w:rFonts w:ascii="Times New Roman" w:hAnsi="Times New Roman"/>
        </w:rPr>
        <w:t xml:space="preserve"> the principle of competence</w:t>
      </w:r>
      <w:r w:rsidRPr="006F0A38">
        <w:rPr>
          <w:rFonts w:ascii="Times New Roman" w:hAnsi="Times New Roman"/>
        </w:rPr>
        <w:noBreakHyphen/>
        <w:t>competence (or "kompetenz</w:t>
      </w:r>
      <w:r w:rsidRPr="006F0A38">
        <w:rPr>
          <w:rFonts w:ascii="Times New Roman" w:hAnsi="Times New Roman"/>
        </w:rPr>
        <w:noBreakHyphen/>
        <w:t>kompetenz")</w:t>
      </w:r>
      <w:r w:rsidR="00D66933" w:rsidRPr="006F0A38">
        <w:rPr>
          <w:rFonts w:ascii="Times New Roman" w:hAnsi="Times New Roman"/>
        </w:rPr>
        <w:t>,</w:t>
      </w:r>
      <w:r w:rsidRPr="006F0A38">
        <w:rPr>
          <w:rStyle w:val="FootnoteReference"/>
          <w:rFonts w:ascii="Times New Roman" w:hAnsi="Times New Roman"/>
          <w:sz w:val="24"/>
        </w:rPr>
        <w:footnoteReference w:id="42"/>
      </w:r>
      <w:r w:rsidRPr="006F0A38">
        <w:rPr>
          <w:rFonts w:ascii="Times New Roman" w:hAnsi="Times New Roman"/>
        </w:rPr>
        <w:t xml:space="preserve"> </w:t>
      </w:r>
      <w:r w:rsidR="00B21569" w:rsidRPr="006F0A38">
        <w:rPr>
          <w:rFonts w:ascii="Times New Roman" w:hAnsi="Times New Roman"/>
        </w:rPr>
        <w:t xml:space="preserve">which is </w:t>
      </w:r>
      <w:r w:rsidRPr="006F0A38">
        <w:rPr>
          <w:rFonts w:ascii="Times New Roman" w:hAnsi="Times New Roman"/>
        </w:rPr>
        <w:t xml:space="preserve">embodied in </w:t>
      </w:r>
      <w:r w:rsidRPr="006F0A38">
        <w:rPr>
          <w:rFonts w:ascii="Times New Roman" w:hAnsi="Times New Roman"/>
        </w:rPr>
        <w:lastRenderedPageBreak/>
        <w:t>Art 16 of the Model Law (cf s 16 of the Arbitration Act)</w:t>
      </w:r>
      <w:r w:rsidR="007E1208" w:rsidRPr="006F0A38">
        <w:rPr>
          <w:rFonts w:ascii="Times New Roman" w:hAnsi="Times New Roman"/>
        </w:rPr>
        <w:t xml:space="preserve"> and is reflected in Art 2</w:t>
      </w:r>
      <w:r w:rsidR="00900F5A" w:rsidRPr="006F0A38">
        <w:rPr>
          <w:rFonts w:ascii="Times New Roman" w:hAnsi="Times New Roman"/>
        </w:rPr>
        <w:t>3</w:t>
      </w:r>
      <w:r w:rsidR="007E1208" w:rsidRPr="006F0A38">
        <w:rPr>
          <w:rFonts w:ascii="Times New Roman" w:hAnsi="Times New Roman"/>
        </w:rPr>
        <w:t>(1) of the UNCITRAL Rules</w:t>
      </w:r>
      <w:r w:rsidRPr="006F0A38">
        <w:rPr>
          <w:rFonts w:ascii="Times New Roman" w:hAnsi="Times New Roman"/>
        </w:rPr>
        <w:t xml:space="preserve">. </w:t>
      </w:r>
    </w:p>
    <w:p w14:paraId="1A4D73BA" w14:textId="10F81E11"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Despite differences in language between </w:t>
      </w:r>
      <w:r w:rsidR="002A54E3" w:rsidRPr="006F0A38">
        <w:rPr>
          <w:rFonts w:ascii="Times New Roman" w:hAnsi="Times New Roman"/>
        </w:rPr>
        <w:t>Art </w:t>
      </w:r>
      <w:r w:rsidRPr="006F0A38">
        <w:rPr>
          <w:rFonts w:ascii="Times New Roman" w:hAnsi="Times New Roman"/>
        </w:rPr>
        <w:t xml:space="preserve">16(1) of the </w:t>
      </w:r>
      <w:r w:rsidR="002A54E3" w:rsidRPr="006F0A38">
        <w:rPr>
          <w:rFonts w:ascii="Times New Roman" w:hAnsi="Times New Roman"/>
        </w:rPr>
        <w:t xml:space="preserve">Model Law </w:t>
      </w:r>
      <w:r w:rsidRPr="006F0A38">
        <w:rPr>
          <w:rFonts w:ascii="Times New Roman" w:hAnsi="Times New Roman"/>
        </w:rPr>
        <w:t>and Art 2</w:t>
      </w:r>
      <w:r w:rsidR="00085D76" w:rsidRPr="006F0A38">
        <w:rPr>
          <w:rFonts w:ascii="Times New Roman" w:hAnsi="Times New Roman"/>
        </w:rPr>
        <w:t>3</w:t>
      </w:r>
      <w:r w:rsidRPr="006F0A38">
        <w:rPr>
          <w:rFonts w:ascii="Times New Roman" w:hAnsi="Times New Roman"/>
        </w:rPr>
        <w:t>(1) of the UNCITRAL Rules,</w:t>
      </w:r>
      <w:r w:rsidRPr="006F0A38">
        <w:rPr>
          <w:rStyle w:val="FootnoteReference"/>
          <w:rFonts w:ascii="Times New Roman" w:hAnsi="Times New Roman"/>
          <w:sz w:val="24"/>
        </w:rPr>
        <w:footnoteReference w:id="43"/>
      </w:r>
      <w:r w:rsidRPr="006F0A38">
        <w:rPr>
          <w:rFonts w:ascii="Times New Roman" w:hAnsi="Times New Roman"/>
        </w:rPr>
        <w:t xml:space="preserve"> each recognises the principle of competence</w:t>
      </w:r>
      <w:r w:rsidRPr="006F0A38">
        <w:rPr>
          <w:rFonts w:ascii="Times New Roman" w:hAnsi="Times New Roman"/>
        </w:rPr>
        <w:noBreakHyphen/>
        <w:t>competence</w:t>
      </w:r>
      <w:r w:rsidR="00F86865" w:rsidRPr="006F0A38">
        <w:rPr>
          <w:rStyle w:val="FootnoteReference"/>
          <w:rFonts w:ascii="Times New Roman" w:hAnsi="Times New Roman"/>
          <w:sz w:val="24"/>
        </w:rPr>
        <w:footnoteReference w:id="44"/>
      </w:r>
      <w:r w:rsidRPr="006F0A38">
        <w:rPr>
          <w:rFonts w:ascii="Times New Roman" w:hAnsi="Times New Roman"/>
        </w:rPr>
        <w:t xml:space="preserve"> </w:t>
      </w:r>
      <w:r w:rsidR="00E35580" w:rsidRPr="006F0A38">
        <w:rPr>
          <w:rFonts w:ascii="Times New Roman" w:hAnsi="Times New Roman"/>
        </w:rPr>
        <w:t xml:space="preserve">– that "[t]he arbitral tribunal may rule on its own jurisdiction" – </w:t>
      </w:r>
      <w:r w:rsidRPr="006F0A38">
        <w:rPr>
          <w:rFonts w:ascii="Times New Roman" w:hAnsi="Times New Roman"/>
        </w:rPr>
        <w:t>as important for the functioning of arbitration. While</w:t>
      </w:r>
      <w:r w:rsidR="00944EE7" w:rsidRPr="006F0A38">
        <w:rPr>
          <w:rFonts w:ascii="Times New Roman" w:hAnsi="Times New Roman"/>
        </w:rPr>
        <w:t> </w:t>
      </w:r>
      <w:r w:rsidRPr="006F0A38">
        <w:rPr>
          <w:rFonts w:ascii="Times New Roman" w:hAnsi="Times New Roman"/>
        </w:rPr>
        <w:t>competence</w:t>
      </w:r>
      <w:r w:rsidRPr="006F0A38">
        <w:rPr>
          <w:rFonts w:ascii="Times New Roman" w:hAnsi="Times New Roman"/>
        </w:rPr>
        <w:noBreakHyphen/>
        <w:t xml:space="preserve">competence grants the arbitral tribunal the competence to determine its own jurisdiction, that is not unfettered. An arbitral tribunal cannot confer on itself an authority which it does not rightly have </w:t>
      </w:r>
      <w:r w:rsidR="00B34296" w:rsidRPr="006F0A38">
        <w:rPr>
          <w:rFonts w:ascii="Times New Roman" w:hAnsi="Times New Roman"/>
        </w:rPr>
        <w:t xml:space="preserve">if it makes </w:t>
      </w:r>
      <w:r w:rsidRPr="006F0A38">
        <w:rPr>
          <w:rFonts w:ascii="Times New Roman" w:hAnsi="Times New Roman"/>
        </w:rPr>
        <w:t>an erroneous decision as to its authority.</w:t>
      </w:r>
      <w:r w:rsidRPr="006F0A38">
        <w:rPr>
          <w:rStyle w:val="FootnoteReference"/>
          <w:rFonts w:ascii="Times New Roman" w:hAnsi="Times New Roman"/>
          <w:sz w:val="24"/>
        </w:rPr>
        <w:footnoteReference w:id="45"/>
      </w:r>
      <w:r w:rsidRPr="006F0A38">
        <w:rPr>
          <w:rFonts w:ascii="Times New Roman" w:hAnsi="Times New Roman"/>
        </w:rPr>
        <w:t xml:space="preserve"> That is, an arbitral tribunal cannot by its own decision create, expand or extend its own authority. </w:t>
      </w:r>
    </w:p>
    <w:p w14:paraId="285D546E" w14:textId="0055D6CD"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The primary judge and the Court of Appeal held that the First Interim Award dealt with and decided all issues of liability, that the Contract Criteria Case was a</w:t>
      </w:r>
      <w:r w:rsidR="00FA3799">
        <w:rPr>
          <w:rFonts w:ascii="Times New Roman" w:hAnsi="Times New Roman"/>
        </w:rPr>
        <w:t xml:space="preserve"> case o</w:t>
      </w:r>
      <w:r w:rsidRPr="006F0A38">
        <w:rPr>
          <w:rFonts w:ascii="Times New Roman" w:hAnsi="Times New Roman"/>
        </w:rPr>
        <w:t xml:space="preserve">n liability, and thus </w:t>
      </w:r>
      <w:r w:rsidR="00387AFE" w:rsidRPr="006F0A38">
        <w:rPr>
          <w:rFonts w:ascii="Times New Roman" w:hAnsi="Times New Roman"/>
        </w:rPr>
        <w:t xml:space="preserve">that </w:t>
      </w:r>
      <w:r w:rsidRPr="006F0A38">
        <w:rPr>
          <w:rFonts w:ascii="Times New Roman" w:hAnsi="Times New Roman"/>
        </w:rPr>
        <w:t xml:space="preserve">the arbitral tribunal did not have jurisdiction to make the Second Interim Award. As the Courts below found, the arbitral tribunal was </w:t>
      </w:r>
      <w:r w:rsidRPr="006F0A38">
        <w:rPr>
          <w:rFonts w:ascii="Times New Roman" w:hAnsi="Times New Roman"/>
          <w:i/>
          <w:iCs/>
        </w:rPr>
        <w:t>functus officio</w:t>
      </w:r>
      <w:r w:rsidRPr="006F0A38">
        <w:rPr>
          <w:rFonts w:ascii="Times New Roman" w:hAnsi="Times New Roman"/>
        </w:rPr>
        <w:t xml:space="preserve"> in relation to the Contract Criteria Case. </w:t>
      </w:r>
    </w:p>
    <w:p w14:paraId="1F7CB9BC" w14:textId="4D7BD501"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The issue then raised in this appeal is whether the </w:t>
      </w:r>
      <w:r w:rsidR="00DD79F5" w:rsidRPr="006F0A38">
        <w:rPr>
          <w:rFonts w:ascii="Times New Roman" w:hAnsi="Times New Roman"/>
        </w:rPr>
        <w:t xml:space="preserve">Supreme </w:t>
      </w:r>
      <w:r w:rsidRPr="006F0A38">
        <w:rPr>
          <w:rFonts w:ascii="Times New Roman" w:hAnsi="Times New Roman"/>
        </w:rPr>
        <w:t>Court was nevertheless precluded from setting aside the Second Interim Award because the arbitral tribunal also dismissed Chevron's objections in relation to the Contract Criteria Case on the grounds of the Estoppels. It is not in dispute that, in at least some respects, the</w:t>
      </w:r>
      <w:r w:rsidR="00D103A8" w:rsidRPr="006F0A38">
        <w:rPr>
          <w:rFonts w:ascii="Times New Roman" w:hAnsi="Times New Roman"/>
        </w:rPr>
        <w:t> </w:t>
      </w:r>
      <w:r w:rsidRPr="006F0A38">
        <w:rPr>
          <w:rFonts w:ascii="Times New Roman" w:hAnsi="Times New Roman"/>
        </w:rPr>
        <w:t xml:space="preserve">arbitral tribunal's findings in relation to Chevron's objections to the Contract Criteria Case on the grounds that the tribunal was not </w:t>
      </w:r>
      <w:r w:rsidRPr="006F0A38">
        <w:rPr>
          <w:rFonts w:ascii="Times New Roman" w:hAnsi="Times New Roman"/>
          <w:i/>
          <w:iCs/>
        </w:rPr>
        <w:t>functus officio</w:t>
      </w:r>
      <w:r w:rsidRPr="006F0A38">
        <w:rPr>
          <w:rFonts w:ascii="Times New Roman" w:hAnsi="Times New Roman"/>
        </w:rPr>
        <w:t xml:space="preserve">, also underpinned the tribunal's findings in rejecting Chevron's objections on the </w:t>
      </w:r>
      <w:r w:rsidRPr="006F0A38">
        <w:rPr>
          <w:rFonts w:ascii="Times New Roman" w:hAnsi="Times New Roman"/>
        </w:rPr>
        <w:lastRenderedPageBreak/>
        <w:t xml:space="preserve">grounds of the Estoppels. </w:t>
      </w:r>
      <w:r w:rsidR="00BB55C8" w:rsidRPr="006F0A38">
        <w:rPr>
          <w:rFonts w:ascii="Times New Roman" w:hAnsi="Times New Roman"/>
        </w:rPr>
        <w:t>But there is a basic difference between Chevron's objections on the grounds of the Estoppels and Chevron's objections on the ground</w:t>
      </w:r>
      <w:r w:rsidR="00AC2B24" w:rsidRPr="006F0A38">
        <w:rPr>
          <w:rFonts w:ascii="Times New Roman" w:hAnsi="Times New Roman"/>
        </w:rPr>
        <w:t>s</w:t>
      </w:r>
      <w:r w:rsidR="00BB55C8" w:rsidRPr="006F0A38">
        <w:rPr>
          <w:rFonts w:ascii="Times New Roman" w:hAnsi="Times New Roman"/>
        </w:rPr>
        <w:t xml:space="preserve"> that the tribunal was </w:t>
      </w:r>
      <w:r w:rsidR="00BB55C8" w:rsidRPr="006F0A38">
        <w:rPr>
          <w:rFonts w:ascii="Times New Roman" w:hAnsi="Times New Roman"/>
          <w:i/>
          <w:iCs/>
        </w:rPr>
        <w:t>functus officio</w:t>
      </w:r>
      <w:r w:rsidR="00BB55C8" w:rsidRPr="006F0A38">
        <w:rPr>
          <w:rFonts w:ascii="Times New Roman" w:hAnsi="Times New Roman"/>
        </w:rPr>
        <w:t>. The former w</w:t>
      </w:r>
      <w:r w:rsidR="00597E3D" w:rsidRPr="006F0A38">
        <w:rPr>
          <w:rFonts w:ascii="Times New Roman" w:hAnsi="Times New Roman"/>
        </w:rPr>
        <w:t>ere</w:t>
      </w:r>
      <w:r w:rsidR="00BB55C8" w:rsidRPr="006F0A38">
        <w:rPr>
          <w:rFonts w:ascii="Times New Roman" w:hAnsi="Times New Roman"/>
        </w:rPr>
        <w:t xml:space="preserve"> objection</w:t>
      </w:r>
      <w:r w:rsidR="00597E3D" w:rsidRPr="006F0A38">
        <w:rPr>
          <w:rFonts w:ascii="Times New Roman" w:hAnsi="Times New Roman"/>
        </w:rPr>
        <w:t>s</w:t>
      </w:r>
      <w:r w:rsidR="00BB55C8" w:rsidRPr="006F0A38">
        <w:rPr>
          <w:rFonts w:ascii="Times New Roman" w:hAnsi="Times New Roman"/>
        </w:rPr>
        <w:t xml:space="preserve"> about an error within jurisdiction. The latter w</w:t>
      </w:r>
      <w:r w:rsidR="00AC2B24" w:rsidRPr="006F0A38">
        <w:rPr>
          <w:rFonts w:ascii="Times New Roman" w:hAnsi="Times New Roman"/>
        </w:rPr>
        <w:t xml:space="preserve">ere </w:t>
      </w:r>
      <w:r w:rsidR="00BB55C8" w:rsidRPr="006F0A38">
        <w:rPr>
          <w:rFonts w:ascii="Times New Roman" w:hAnsi="Times New Roman"/>
        </w:rPr>
        <w:t>objection</w:t>
      </w:r>
      <w:r w:rsidR="00AC2B24" w:rsidRPr="006F0A38">
        <w:rPr>
          <w:rFonts w:ascii="Times New Roman" w:hAnsi="Times New Roman"/>
        </w:rPr>
        <w:t>s</w:t>
      </w:r>
      <w:r w:rsidR="00BB55C8" w:rsidRPr="006F0A38">
        <w:rPr>
          <w:rFonts w:ascii="Times New Roman" w:hAnsi="Times New Roman"/>
        </w:rPr>
        <w:t xml:space="preserve"> that the tribunal lacked jurisdiction.</w:t>
      </w:r>
    </w:p>
    <w:p w14:paraId="0EEE1680" w14:textId="03A79DAD"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It may be accepted that if a tribunal, otherwise acting within jurisdiction, makes an erroneous finding that an earlier decision (by it or any other tribunal or court) did not give rise to an estoppel precluding a party from bringing a particular claim, that would not be a ground for setting aside </w:t>
      </w:r>
      <w:r w:rsidR="00FA408E" w:rsidRPr="006F0A38">
        <w:rPr>
          <w:rFonts w:ascii="Times New Roman" w:hAnsi="Times New Roman"/>
        </w:rPr>
        <w:t xml:space="preserve">that finding </w:t>
      </w:r>
      <w:r w:rsidRPr="006F0A38">
        <w:rPr>
          <w:rFonts w:ascii="Times New Roman" w:hAnsi="Times New Roman"/>
        </w:rPr>
        <w:t xml:space="preserve">under s 34(2)(a)(iii) of the Arbitration Act. As Chevron submitted, preclusionary estoppels, if pleaded, operate </w:t>
      </w:r>
      <w:r w:rsidRPr="006F0A38">
        <w:rPr>
          <w:rFonts w:ascii="Times New Roman" w:hAnsi="Times New Roman"/>
          <w:i/>
          <w:iCs/>
        </w:rPr>
        <w:t>inter partes</w:t>
      </w:r>
      <w:r w:rsidRPr="006F0A38">
        <w:rPr>
          <w:rFonts w:ascii="Times New Roman" w:hAnsi="Times New Roman"/>
        </w:rPr>
        <w:t xml:space="preserve"> and prevent the maintenance of a claim or the advancement of an issue.</w:t>
      </w:r>
      <w:r w:rsidRPr="006F0A38">
        <w:rPr>
          <w:rStyle w:val="FootnoteReference"/>
          <w:rFonts w:ascii="Times New Roman" w:hAnsi="Times New Roman"/>
          <w:sz w:val="24"/>
        </w:rPr>
        <w:footnoteReference w:id="46"/>
      </w:r>
    </w:p>
    <w:p w14:paraId="5EE1DEA0" w14:textId="7C22B53F"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However, </w:t>
      </w:r>
      <w:r w:rsidR="00085877" w:rsidRPr="006F0A38">
        <w:rPr>
          <w:rFonts w:ascii="Times New Roman" w:hAnsi="Times New Roman"/>
        </w:rPr>
        <w:t xml:space="preserve">the </w:t>
      </w:r>
      <w:r w:rsidR="00F071CC" w:rsidRPr="006F0A38">
        <w:rPr>
          <w:rFonts w:ascii="Times New Roman" w:hAnsi="Times New Roman"/>
        </w:rPr>
        <w:t xml:space="preserve">arbitral tribunal's </w:t>
      </w:r>
      <w:r w:rsidR="00085877" w:rsidRPr="006F0A38">
        <w:rPr>
          <w:rFonts w:ascii="Times New Roman" w:hAnsi="Times New Roman"/>
        </w:rPr>
        <w:t>finding</w:t>
      </w:r>
      <w:r w:rsidR="00023F5C" w:rsidRPr="006F0A38">
        <w:rPr>
          <w:rFonts w:ascii="Times New Roman" w:hAnsi="Times New Roman"/>
        </w:rPr>
        <w:t>s</w:t>
      </w:r>
      <w:r w:rsidR="00085877" w:rsidRPr="006F0A38">
        <w:rPr>
          <w:rFonts w:ascii="Times New Roman" w:hAnsi="Times New Roman"/>
        </w:rPr>
        <w:t xml:space="preserve"> concerning the </w:t>
      </w:r>
      <w:r w:rsidR="002542C2" w:rsidRPr="006F0A38">
        <w:rPr>
          <w:rFonts w:ascii="Times New Roman" w:hAnsi="Times New Roman"/>
        </w:rPr>
        <w:t>E</w:t>
      </w:r>
      <w:r w:rsidR="00085877" w:rsidRPr="006F0A38">
        <w:rPr>
          <w:rFonts w:ascii="Times New Roman" w:hAnsi="Times New Roman"/>
        </w:rPr>
        <w:t xml:space="preserve">stoppels </w:t>
      </w:r>
      <w:r w:rsidRPr="006F0A38">
        <w:rPr>
          <w:rFonts w:ascii="Times New Roman" w:hAnsi="Times New Roman"/>
        </w:rPr>
        <w:t>d</w:t>
      </w:r>
      <w:r w:rsidR="00E035CE" w:rsidRPr="006F0A38">
        <w:rPr>
          <w:rFonts w:ascii="Times New Roman" w:hAnsi="Times New Roman"/>
        </w:rPr>
        <w:t>id</w:t>
      </w:r>
      <w:r w:rsidRPr="006F0A38">
        <w:rPr>
          <w:rFonts w:ascii="Times New Roman" w:hAnsi="Times New Roman"/>
        </w:rPr>
        <w:t xml:space="preserve"> not preclude the Court considering Chevron's application to set aside the Second Interim Award. Whether an arbitral tribunal has exhausted its authority precedes, and is separate from, any</w:t>
      </w:r>
      <w:r w:rsidR="00D103A8" w:rsidRPr="006F0A38">
        <w:rPr>
          <w:rFonts w:ascii="Times New Roman" w:hAnsi="Times New Roman"/>
        </w:rPr>
        <w:t> </w:t>
      </w:r>
      <w:r w:rsidRPr="006F0A38">
        <w:rPr>
          <w:rFonts w:ascii="Times New Roman" w:hAnsi="Times New Roman"/>
        </w:rPr>
        <w:t>preclusion by way of an estoppel. Given the structure of the Arbitration Act and, in particular, s 16 (cf Art 16 of the Model Law),</w:t>
      </w:r>
      <w:r w:rsidRPr="006F0A38">
        <w:rPr>
          <w:rStyle w:val="FootnoteReference"/>
          <w:rFonts w:ascii="Times New Roman" w:hAnsi="Times New Roman"/>
          <w:sz w:val="24"/>
        </w:rPr>
        <w:footnoteReference w:id="47"/>
      </w:r>
      <w:r w:rsidRPr="006F0A38">
        <w:rPr>
          <w:rFonts w:ascii="Times New Roman" w:hAnsi="Times New Roman"/>
        </w:rPr>
        <w:t xml:space="preserve"> the</w:t>
      </w:r>
      <w:r w:rsidR="00944EE7" w:rsidRPr="006F0A38">
        <w:rPr>
          <w:rFonts w:ascii="Times New Roman" w:hAnsi="Times New Roman"/>
        </w:rPr>
        <w:t> </w:t>
      </w:r>
      <w:r w:rsidRPr="006F0A38">
        <w:rPr>
          <w:rFonts w:ascii="Times New Roman" w:hAnsi="Times New Roman"/>
        </w:rPr>
        <w:t xml:space="preserve">arbitral tribunal could have addressed the question of its authority being exhausted and ruled on its own jurisdiction as a preliminary </w:t>
      </w:r>
      <w:r w:rsidR="00015998" w:rsidRPr="006F0A38">
        <w:rPr>
          <w:rFonts w:ascii="Times New Roman" w:hAnsi="Times New Roman"/>
        </w:rPr>
        <w:t>question</w:t>
      </w:r>
      <w:r w:rsidRPr="006F0A38">
        <w:rPr>
          <w:rFonts w:ascii="Times New Roman" w:hAnsi="Times New Roman"/>
        </w:rPr>
        <w:t>. Section</w:t>
      </w:r>
      <w:r w:rsidR="00682594" w:rsidRPr="006F0A38">
        <w:rPr>
          <w:rFonts w:ascii="Times New Roman" w:hAnsi="Times New Roman"/>
        </w:rPr>
        <w:t> </w:t>
      </w:r>
      <w:r w:rsidRPr="006F0A38">
        <w:rPr>
          <w:rFonts w:ascii="Times New Roman" w:hAnsi="Times New Roman"/>
        </w:rPr>
        <w:t>16(9) of the Arbitration Act then provides that, within 30 days of the ruling by the arbitral tribunal on that preliminary question, any party can request "the</w:t>
      </w:r>
      <w:r w:rsidR="00682594" w:rsidRPr="006F0A38">
        <w:rPr>
          <w:rFonts w:ascii="Times New Roman" w:hAnsi="Times New Roman"/>
        </w:rPr>
        <w:t> </w:t>
      </w:r>
      <w:r w:rsidRPr="006F0A38">
        <w:rPr>
          <w:rFonts w:ascii="Times New Roman" w:hAnsi="Times New Roman"/>
        </w:rPr>
        <w:t xml:space="preserve">Court to decide the matter". Significantly, s 16(11) provides that while a s 16(9) request is pending, the arbitral tribunal may continue the proceedings and make an award. </w:t>
      </w:r>
    </w:p>
    <w:p w14:paraId="1A268DD3" w14:textId="5255F424"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Sections 16 and 34(2)(a)(iii) are directed to the same question – whether an arbitral tribunal has exceeded its authority. Section 16 addresses it as a preliminary question and recognises that an arbitral tribunal may continue the proceedings and make an award while that preliminary question is before the courts.</w:t>
      </w:r>
      <w:r w:rsidRPr="006F0A38">
        <w:rPr>
          <w:rStyle w:val="FootnoteReference"/>
          <w:rFonts w:ascii="Times New Roman" w:hAnsi="Times New Roman"/>
          <w:sz w:val="24"/>
        </w:rPr>
        <w:footnoteReference w:id="48"/>
      </w:r>
      <w:r w:rsidRPr="006F0A38">
        <w:rPr>
          <w:rFonts w:ascii="Times New Roman" w:hAnsi="Times New Roman"/>
        </w:rPr>
        <w:t xml:space="preserve"> Section</w:t>
      </w:r>
      <w:r w:rsidR="00682594" w:rsidRPr="006F0A38">
        <w:rPr>
          <w:rFonts w:ascii="Times New Roman" w:hAnsi="Times New Roman"/>
        </w:rPr>
        <w:t> </w:t>
      </w:r>
      <w:r w:rsidRPr="006F0A38">
        <w:rPr>
          <w:rFonts w:ascii="Times New Roman" w:hAnsi="Times New Roman"/>
        </w:rPr>
        <w:t xml:space="preserve">34(2)(a)(iii) addresses the question after a binding award (whether it be </w:t>
      </w:r>
      <w:r w:rsidRPr="006F0A38">
        <w:rPr>
          <w:rFonts w:ascii="Times New Roman" w:hAnsi="Times New Roman"/>
        </w:rPr>
        <w:lastRenderedPageBreak/>
        <w:t xml:space="preserve">interim or final) has been made. The fact that, in the face of an objection to the jurisdiction of the arbitral tribunal, </w:t>
      </w:r>
      <w:r w:rsidR="00464195" w:rsidRPr="006F0A38">
        <w:rPr>
          <w:rFonts w:ascii="Times New Roman" w:hAnsi="Times New Roman"/>
        </w:rPr>
        <w:t>the</w:t>
      </w:r>
      <w:r w:rsidRPr="006F0A38">
        <w:rPr>
          <w:rFonts w:ascii="Times New Roman" w:hAnsi="Times New Roman"/>
        </w:rPr>
        <w:t xml:space="preserve"> tribunal continues the arbitral proceedings under s 16 or determines the </w:t>
      </w:r>
      <w:r w:rsidR="00E0213F" w:rsidRPr="006F0A38">
        <w:rPr>
          <w:rFonts w:ascii="Times New Roman" w:hAnsi="Times New Roman"/>
        </w:rPr>
        <w:t xml:space="preserve">substantive </w:t>
      </w:r>
      <w:r w:rsidRPr="006F0A38">
        <w:rPr>
          <w:rFonts w:ascii="Times New Roman" w:hAnsi="Times New Roman"/>
        </w:rPr>
        <w:t>issues as part of a final award subject to a set aside application under s 34(2)(a)(iii) cannot alter the fundamental proposition that an arbitral tribunal cannot expand its own jurisdiction. The order in which the challenge to the jurisdiction of an arbitral tribunal is considered and determined by the tribunal – whether as a preliminary question or as part of a substantive hearing which considers the substance of the issue as part of an award</w:t>
      </w:r>
      <w:r w:rsidR="00486348" w:rsidRPr="006F0A38">
        <w:rPr>
          <w:rFonts w:ascii="Times New Roman" w:hAnsi="Times New Roman"/>
        </w:rPr>
        <w:t> </w:t>
      </w:r>
      <w:r w:rsidRPr="006F0A38">
        <w:rPr>
          <w:rFonts w:ascii="Times New Roman" w:hAnsi="Times New Roman"/>
        </w:rPr>
        <w:t xml:space="preserve">– cannot be used by the tribunal to expand its own jurisdiction. </w:t>
      </w:r>
    </w:p>
    <w:p w14:paraId="541B8821" w14:textId="3E9745EA"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Similarly, if an arbitral tribunal determines to deal with both grounds of objections at the same time – jurisdiction and </w:t>
      </w:r>
      <w:r w:rsidR="000E7831" w:rsidRPr="006F0A38">
        <w:rPr>
          <w:rFonts w:ascii="Times New Roman" w:hAnsi="Times New Roman"/>
        </w:rPr>
        <w:t>e</w:t>
      </w:r>
      <w:r w:rsidRPr="006F0A38">
        <w:rPr>
          <w:rFonts w:ascii="Times New Roman" w:hAnsi="Times New Roman"/>
        </w:rPr>
        <w:t xml:space="preserve">stoppel – and the tribunal makes an error within jurisdiction in relation to </w:t>
      </w:r>
      <w:r w:rsidR="000E7831" w:rsidRPr="006F0A38">
        <w:rPr>
          <w:rFonts w:ascii="Times New Roman" w:hAnsi="Times New Roman"/>
        </w:rPr>
        <w:t>e</w:t>
      </w:r>
      <w:r w:rsidRPr="006F0A38">
        <w:rPr>
          <w:rFonts w:ascii="Times New Roman" w:hAnsi="Times New Roman"/>
        </w:rPr>
        <w:t>stoppel which cannot be challenged under s 34(2)(a)</w:t>
      </w:r>
      <w:r w:rsidR="00775D6C" w:rsidRPr="006F0A38">
        <w:rPr>
          <w:rFonts w:ascii="Times New Roman" w:hAnsi="Times New Roman"/>
        </w:rPr>
        <w:t>(iii)</w:t>
      </w:r>
      <w:r w:rsidRPr="006F0A38">
        <w:rPr>
          <w:rFonts w:ascii="Times New Roman" w:hAnsi="Times New Roman"/>
        </w:rPr>
        <w:t xml:space="preserve"> of the Arbitration Act, that finding cannot preclude the courts addressing the prior question of whether th</w:t>
      </w:r>
      <w:r w:rsidR="00F515A6" w:rsidRPr="006F0A38">
        <w:rPr>
          <w:rFonts w:ascii="Times New Roman" w:hAnsi="Times New Roman"/>
        </w:rPr>
        <w:t>e</w:t>
      </w:r>
      <w:r w:rsidRPr="006F0A38">
        <w:rPr>
          <w:rFonts w:ascii="Times New Roman" w:hAnsi="Times New Roman"/>
        </w:rPr>
        <w:t xml:space="preserve"> finding</w:t>
      </w:r>
      <w:r w:rsidR="00262F7A" w:rsidRPr="006F0A38">
        <w:rPr>
          <w:rFonts w:ascii="Times New Roman" w:hAnsi="Times New Roman"/>
        </w:rPr>
        <w:t xml:space="preserve"> made</w:t>
      </w:r>
      <w:r w:rsidRPr="006F0A38">
        <w:rPr>
          <w:rFonts w:ascii="Times New Roman" w:hAnsi="Times New Roman"/>
        </w:rPr>
        <w:t xml:space="preserve"> was made within or beyond jurisdiction. An</w:t>
      </w:r>
      <w:r w:rsidR="00D103A8" w:rsidRPr="006F0A38">
        <w:rPr>
          <w:rFonts w:ascii="Times New Roman" w:hAnsi="Times New Roman"/>
        </w:rPr>
        <w:t> </w:t>
      </w:r>
      <w:r w:rsidRPr="006F0A38">
        <w:rPr>
          <w:rFonts w:ascii="Times New Roman" w:hAnsi="Times New Roman"/>
        </w:rPr>
        <w:t xml:space="preserve">arbitral tribunal cannot expand its own jurisdiction in any manner, including by making findings that would be unchallengeable if made within jurisdiction. </w:t>
      </w:r>
    </w:p>
    <w:p w14:paraId="3F4247D5" w14:textId="50CC9E4A"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As we have seen, a distinction is drawn between something that is jurisdictional and something </w:t>
      </w:r>
      <w:r w:rsidR="0057329D" w:rsidRPr="006F0A38">
        <w:rPr>
          <w:rFonts w:ascii="Times New Roman" w:hAnsi="Times New Roman"/>
        </w:rPr>
        <w:t xml:space="preserve">within jurisdiction </w:t>
      </w:r>
      <w:r w:rsidRPr="006F0A38">
        <w:rPr>
          <w:rFonts w:ascii="Times New Roman" w:hAnsi="Times New Roman"/>
        </w:rPr>
        <w:t xml:space="preserve">that goes to the capacity of a litigant to advance a claim. Estoppel, in the latter category, is concerned with whether a person is precluded from arguing something or asserting a right that contradicts what that person previously said or agreed to. It may be accepted that both concepts – </w:t>
      </w:r>
      <w:r w:rsidRPr="006F0A38">
        <w:rPr>
          <w:rFonts w:ascii="Times New Roman" w:hAnsi="Times New Roman"/>
          <w:i/>
          <w:iCs/>
        </w:rPr>
        <w:t>functus officio</w:t>
      </w:r>
      <w:r w:rsidRPr="006F0A38">
        <w:rPr>
          <w:rFonts w:ascii="Times New Roman" w:hAnsi="Times New Roman"/>
        </w:rPr>
        <w:t xml:space="preserve"> and </w:t>
      </w:r>
      <w:r w:rsidR="001E0C23" w:rsidRPr="006F0A38">
        <w:rPr>
          <w:rFonts w:ascii="Times New Roman" w:hAnsi="Times New Roman"/>
        </w:rPr>
        <w:t>e</w:t>
      </w:r>
      <w:r w:rsidRPr="006F0A38">
        <w:rPr>
          <w:rFonts w:ascii="Times New Roman" w:hAnsi="Times New Roman"/>
        </w:rPr>
        <w:t xml:space="preserve">stoppel – are informed by the concept of finality. However, they address the concept substantively differently. </w:t>
      </w:r>
      <w:r w:rsidRPr="006F0A38">
        <w:rPr>
          <w:rFonts w:ascii="Times New Roman" w:hAnsi="Times New Roman"/>
          <w:i/>
          <w:iCs/>
        </w:rPr>
        <w:t>Functus</w:t>
      </w:r>
      <w:r w:rsidR="00682594" w:rsidRPr="006F0A38">
        <w:rPr>
          <w:rFonts w:ascii="Times New Roman" w:hAnsi="Times New Roman"/>
        </w:rPr>
        <w:t> </w:t>
      </w:r>
      <w:r w:rsidRPr="006F0A38">
        <w:rPr>
          <w:rFonts w:ascii="Times New Roman" w:hAnsi="Times New Roman"/>
          <w:i/>
          <w:iCs/>
        </w:rPr>
        <w:t>officio</w:t>
      </w:r>
      <w:r w:rsidRPr="006F0A38">
        <w:rPr>
          <w:rFonts w:ascii="Times New Roman" w:hAnsi="Times New Roman"/>
        </w:rPr>
        <w:t xml:space="preserve"> addresses the capacity, or authority, of the arbitral tribunal to adjudicate a matter.</w:t>
      </w:r>
      <w:r w:rsidR="00801D58" w:rsidRPr="006F0A38">
        <w:rPr>
          <w:rFonts w:ascii="Times New Roman" w:hAnsi="Times New Roman"/>
        </w:rPr>
        <w:t xml:space="preserve"> </w:t>
      </w:r>
      <w:r w:rsidRPr="006F0A38">
        <w:rPr>
          <w:rFonts w:ascii="Times New Roman" w:hAnsi="Times New Roman"/>
        </w:rPr>
        <w:t>Estoppel address</w:t>
      </w:r>
      <w:r w:rsidR="001C2AA3" w:rsidRPr="006F0A38">
        <w:rPr>
          <w:rFonts w:ascii="Times New Roman" w:hAnsi="Times New Roman"/>
        </w:rPr>
        <w:t>es</w:t>
      </w:r>
      <w:r w:rsidRPr="006F0A38">
        <w:rPr>
          <w:rFonts w:ascii="Times New Roman" w:hAnsi="Times New Roman"/>
        </w:rPr>
        <w:t xml:space="preserve"> the capacity of the litigants to litigate a matter in any tribunal. </w:t>
      </w:r>
    </w:p>
    <w:p w14:paraId="6CCA9B28" w14:textId="73914E3F"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In the present appeal, the unchallenged findings of the Court of Appeal</w:t>
      </w:r>
      <w:r w:rsidRPr="006F0A38">
        <w:rPr>
          <w:rStyle w:val="FootnoteReference"/>
          <w:rFonts w:ascii="Times New Roman" w:hAnsi="Times New Roman"/>
          <w:sz w:val="24"/>
        </w:rPr>
        <w:footnoteReference w:id="49"/>
      </w:r>
      <w:r w:rsidRPr="006F0A38">
        <w:rPr>
          <w:rFonts w:ascii="Times New Roman" w:hAnsi="Times New Roman"/>
        </w:rPr>
        <w:t xml:space="preserve"> in relation to the arbitral tribunal being </w:t>
      </w:r>
      <w:r w:rsidRPr="006F0A38">
        <w:rPr>
          <w:rFonts w:ascii="Times New Roman" w:hAnsi="Times New Roman"/>
          <w:i/>
          <w:iCs/>
        </w:rPr>
        <w:t xml:space="preserve">functus officio </w:t>
      </w:r>
      <w:r w:rsidRPr="006F0A38">
        <w:rPr>
          <w:rFonts w:ascii="Times New Roman" w:hAnsi="Times New Roman"/>
        </w:rPr>
        <w:t xml:space="preserve">with respect to the Contract Criteria Case compel the conclusion that the </w:t>
      </w:r>
      <w:r w:rsidR="00723D7C">
        <w:rPr>
          <w:rFonts w:ascii="Times New Roman" w:hAnsi="Times New Roman"/>
        </w:rPr>
        <w:t>Supreme C</w:t>
      </w:r>
      <w:r w:rsidRPr="006F0A38">
        <w:rPr>
          <w:rFonts w:ascii="Times New Roman" w:hAnsi="Times New Roman"/>
        </w:rPr>
        <w:t xml:space="preserve">ourt was empowered to consider Chevron's application under s 34(2)(a)(iii) of the Arbitration Act to set aside the Second Interim Award. </w:t>
      </w:r>
    </w:p>
    <w:p w14:paraId="5F2EC130" w14:textId="72548FF8"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Articles 16 and 34 of the Model Law strike an appropriate balance between ensuring the integrity of the arbitral process and the policy of "minimal curial intervention", which is commonly accepted in international practice and underlies </w:t>
      </w:r>
      <w:r w:rsidRPr="006F0A38">
        <w:rPr>
          <w:rFonts w:ascii="Times New Roman" w:hAnsi="Times New Roman"/>
        </w:rPr>
        <w:lastRenderedPageBreak/>
        <w:t>the Model Law.</w:t>
      </w:r>
      <w:r w:rsidRPr="006F0A38">
        <w:rPr>
          <w:rStyle w:val="FootnoteReference"/>
          <w:rFonts w:ascii="Times New Roman" w:hAnsi="Times New Roman"/>
          <w:sz w:val="24"/>
        </w:rPr>
        <w:footnoteReference w:id="50"/>
      </w:r>
      <w:r w:rsidRPr="006F0A38">
        <w:rPr>
          <w:rFonts w:ascii="Times New Roman" w:hAnsi="Times New Roman"/>
        </w:rPr>
        <w:t xml:space="preserve"> Courts are circumspect in their approach to determining whether an error alleged under Art 34(2)(a)(iii) falls within the scope of that provision.</w:t>
      </w:r>
      <w:r w:rsidRPr="006F0A38">
        <w:rPr>
          <w:rStyle w:val="FootnoteReference"/>
          <w:rFonts w:ascii="Times New Roman" w:hAnsi="Times New Roman"/>
          <w:sz w:val="24"/>
        </w:rPr>
        <w:footnoteReference w:id="51"/>
      </w:r>
      <w:r w:rsidRPr="006F0A38">
        <w:rPr>
          <w:rFonts w:ascii="Times New Roman" w:hAnsi="Times New Roman"/>
        </w:rPr>
        <w:t xml:space="preserve"> The question is whether an arbitral tribunal has exceeded its jurisdiction or, put</w:t>
      </w:r>
      <w:r w:rsidR="00682594" w:rsidRPr="006F0A38">
        <w:rPr>
          <w:rFonts w:ascii="Times New Roman" w:hAnsi="Times New Roman"/>
        </w:rPr>
        <w:t> </w:t>
      </w:r>
      <w:r w:rsidRPr="006F0A38">
        <w:rPr>
          <w:rFonts w:ascii="Times New Roman" w:hAnsi="Times New Roman"/>
        </w:rPr>
        <w:t>another way, has travelled beyond the parties' submission to arbitration.</w:t>
      </w:r>
      <w:r w:rsidR="00E27C32" w:rsidRPr="006F0A38">
        <w:rPr>
          <w:rStyle w:val="FootnoteReference"/>
          <w:rFonts w:ascii="Times New Roman" w:hAnsi="Times New Roman"/>
          <w:sz w:val="24"/>
        </w:rPr>
        <w:footnoteReference w:id="52"/>
      </w:r>
      <w:r w:rsidRPr="006F0A38">
        <w:rPr>
          <w:rFonts w:ascii="Times New Roman" w:hAnsi="Times New Roman"/>
        </w:rPr>
        <w:t xml:space="preserve"> That</w:t>
      </w:r>
      <w:r w:rsidR="00682594" w:rsidRPr="006F0A38">
        <w:rPr>
          <w:rFonts w:ascii="Times New Roman" w:hAnsi="Times New Roman"/>
        </w:rPr>
        <w:t> </w:t>
      </w:r>
      <w:r w:rsidRPr="006F0A38">
        <w:rPr>
          <w:rFonts w:ascii="Times New Roman" w:hAnsi="Times New Roman"/>
        </w:rPr>
        <w:t>question is narrow. And when an issue</w:t>
      </w:r>
      <w:r w:rsidR="00B21898" w:rsidRPr="006F0A38">
        <w:rPr>
          <w:rFonts w:ascii="Times New Roman" w:hAnsi="Times New Roman"/>
        </w:rPr>
        <w:t xml:space="preserve"> of jurisdiction</w:t>
      </w:r>
      <w:r w:rsidRPr="006F0A38">
        <w:rPr>
          <w:rFonts w:ascii="Times New Roman" w:hAnsi="Times New Roman"/>
        </w:rPr>
        <w:t xml:space="preserve"> is identified, courts</w:t>
      </w:r>
      <w:r w:rsidR="00682594" w:rsidRPr="006F0A38">
        <w:rPr>
          <w:rFonts w:ascii="Times New Roman" w:hAnsi="Times New Roman"/>
        </w:rPr>
        <w:t> </w:t>
      </w:r>
      <w:r w:rsidRPr="006F0A38">
        <w:rPr>
          <w:rFonts w:ascii="Times New Roman" w:hAnsi="Times New Roman"/>
        </w:rPr>
        <w:t>"carefully limit the issue they address to ensure that they do not, advertently or inadvertently, stray into the merits of the question that was decided by the tribunal".</w:t>
      </w:r>
      <w:r w:rsidRPr="006F0A38">
        <w:rPr>
          <w:rStyle w:val="FootnoteReference"/>
          <w:rFonts w:ascii="Times New Roman" w:hAnsi="Times New Roman"/>
          <w:sz w:val="24"/>
        </w:rPr>
        <w:footnoteReference w:id="53"/>
      </w:r>
      <w:r w:rsidRPr="006F0A38">
        <w:rPr>
          <w:rFonts w:ascii="Times New Roman" w:hAnsi="Times New Roman"/>
        </w:rPr>
        <w:t xml:space="preserve"> Curial intervention is, however, sometimes necessary.</w:t>
      </w:r>
      <w:r w:rsidRPr="006F0A38">
        <w:rPr>
          <w:rStyle w:val="FootnoteReference"/>
          <w:rFonts w:ascii="Times New Roman" w:hAnsi="Times New Roman"/>
          <w:iCs/>
          <w:sz w:val="24"/>
        </w:rPr>
        <w:footnoteReference w:id="54"/>
      </w:r>
      <w:r w:rsidRPr="006F0A38">
        <w:rPr>
          <w:rFonts w:ascii="Times New Roman" w:hAnsi="Times New Roman"/>
        </w:rPr>
        <w:t xml:space="preserve"> This is one of those cases.</w:t>
      </w:r>
    </w:p>
    <w:p w14:paraId="1FB63444" w14:textId="62CB4D84" w:rsidR="001114B9" w:rsidRPr="006F0A38" w:rsidRDefault="001114B9" w:rsidP="006F0A38">
      <w:pPr>
        <w:pStyle w:val="HeadingL1"/>
        <w:spacing w:after="260" w:line="280" w:lineRule="exact"/>
        <w:ind w:right="0"/>
        <w:jc w:val="both"/>
        <w:rPr>
          <w:rFonts w:ascii="Times New Roman" w:hAnsi="Times New Roman"/>
        </w:rPr>
      </w:pPr>
      <w:r w:rsidRPr="006F0A38">
        <w:rPr>
          <w:rFonts w:ascii="Times New Roman" w:hAnsi="Times New Roman"/>
        </w:rPr>
        <w:t xml:space="preserve">Ground 2 – </w:t>
      </w:r>
      <w:r w:rsidR="00A7185F" w:rsidRPr="006F0A38">
        <w:rPr>
          <w:rFonts w:ascii="Times New Roman" w:hAnsi="Times New Roman"/>
        </w:rPr>
        <w:t xml:space="preserve">the applicable standard of </w:t>
      </w:r>
      <w:r w:rsidRPr="006F0A38">
        <w:rPr>
          <w:rFonts w:ascii="Times New Roman" w:hAnsi="Times New Roman"/>
        </w:rPr>
        <w:t>review</w:t>
      </w:r>
    </w:p>
    <w:p w14:paraId="2BFFE8C6" w14:textId="17F8DF6F"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r>
      <w:r w:rsidRPr="006F0A38" w:rsidDel="00FE408C">
        <w:rPr>
          <w:rFonts w:ascii="Times New Roman" w:hAnsi="Times New Roman"/>
        </w:rPr>
        <w:t xml:space="preserve">The </w:t>
      </w:r>
      <w:r w:rsidRPr="006F0A38">
        <w:rPr>
          <w:rFonts w:ascii="Times New Roman" w:hAnsi="Times New Roman"/>
        </w:rPr>
        <w:t xml:space="preserve">second issue that therefore arises concerns the standard of review to be applied by a court on an application for the setting aside of an award under s 34(2)(a)(iii) of the Arbitration Act. </w:t>
      </w:r>
    </w:p>
    <w:p w14:paraId="1391C621" w14:textId="197E572B"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In determining Chevron's set aside</w:t>
      </w:r>
      <w:r w:rsidR="00D2079E" w:rsidRPr="006F0A38">
        <w:rPr>
          <w:rFonts w:ascii="Times New Roman" w:hAnsi="Times New Roman"/>
        </w:rPr>
        <w:t xml:space="preserve"> application</w:t>
      </w:r>
      <w:r w:rsidRPr="006F0A38">
        <w:rPr>
          <w:rFonts w:ascii="Times New Roman" w:hAnsi="Times New Roman"/>
        </w:rPr>
        <w:t xml:space="preserve">, the primary judge adopted a </w:t>
      </w:r>
      <w:r w:rsidRPr="006F0A38">
        <w:rPr>
          <w:rFonts w:ascii="Times New Roman" w:hAnsi="Times New Roman"/>
          <w:i/>
          <w:iCs/>
        </w:rPr>
        <w:t>de novo</w:t>
      </w:r>
      <w:r w:rsidRPr="006F0A38">
        <w:rPr>
          <w:rFonts w:ascii="Times New Roman" w:hAnsi="Times New Roman"/>
        </w:rPr>
        <w:t xml:space="preserve"> review of the correctness of the arbitral tribunal's finding that it was not </w:t>
      </w:r>
      <w:r w:rsidRPr="006F0A38">
        <w:rPr>
          <w:rFonts w:ascii="Times New Roman" w:hAnsi="Times New Roman"/>
          <w:i/>
          <w:iCs/>
        </w:rPr>
        <w:t>functus officio</w:t>
      </w:r>
      <w:r w:rsidRPr="006F0A38">
        <w:rPr>
          <w:rFonts w:ascii="Times New Roman" w:hAnsi="Times New Roman"/>
        </w:rPr>
        <w:t xml:space="preserve">. Although that finding was not challenged in the Court of Appeal, CKJV contended in this Court that the Court of Appeal erred in not affording absolute or, alternatively, substantial deference to the decision of the arbitral tribunal that it was not </w:t>
      </w:r>
      <w:r w:rsidRPr="006F0A38">
        <w:rPr>
          <w:rFonts w:ascii="Times New Roman" w:hAnsi="Times New Roman"/>
          <w:i/>
          <w:iCs/>
        </w:rPr>
        <w:t>functus officio</w:t>
      </w:r>
      <w:r w:rsidRPr="006F0A38">
        <w:rPr>
          <w:rFonts w:ascii="Times New Roman" w:hAnsi="Times New Roman"/>
        </w:rPr>
        <w:t>. That contention should be rejected. The</w:t>
      </w:r>
      <w:r w:rsidR="009E75F1" w:rsidRPr="006F0A38">
        <w:rPr>
          <w:rFonts w:ascii="Times New Roman" w:hAnsi="Times New Roman"/>
        </w:rPr>
        <w:t> </w:t>
      </w:r>
      <w:r w:rsidRPr="006F0A38">
        <w:rPr>
          <w:rFonts w:ascii="Times New Roman" w:hAnsi="Times New Roman"/>
        </w:rPr>
        <w:t xml:space="preserve">standard of review to be applied is a </w:t>
      </w:r>
      <w:r w:rsidRPr="006F0A38">
        <w:rPr>
          <w:rFonts w:ascii="Times New Roman" w:hAnsi="Times New Roman"/>
          <w:i/>
          <w:iCs/>
        </w:rPr>
        <w:t>de novo</w:t>
      </w:r>
      <w:r w:rsidRPr="006F0A38">
        <w:rPr>
          <w:rFonts w:ascii="Times New Roman" w:hAnsi="Times New Roman"/>
        </w:rPr>
        <w:t xml:space="preserve"> review of the decision of the arbitral tribunal as to its jurisdiction. </w:t>
      </w:r>
    </w:p>
    <w:p w14:paraId="5A6A9D6E" w14:textId="3E320556"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First, the text of Art 34(2)(a)(iii) </w:t>
      </w:r>
      <w:r w:rsidR="002D578B">
        <w:rPr>
          <w:rFonts w:ascii="Times New Roman" w:hAnsi="Times New Roman"/>
        </w:rPr>
        <w:t>of</w:t>
      </w:r>
      <w:r w:rsidR="0045241B">
        <w:rPr>
          <w:rFonts w:ascii="Times New Roman" w:hAnsi="Times New Roman"/>
        </w:rPr>
        <w:t xml:space="preserve"> the Model Law </w:t>
      </w:r>
      <w:r w:rsidRPr="006F0A38">
        <w:rPr>
          <w:rFonts w:ascii="Times New Roman" w:hAnsi="Times New Roman"/>
        </w:rPr>
        <w:t xml:space="preserve">(cf s 34(2)(a)(iii) of the Arbitration Act) requires a party seeking to set aside an award to "furnish proof" of one of the matters listed in </w:t>
      </w:r>
      <w:r w:rsidR="004C52C2" w:rsidRPr="006F0A38">
        <w:rPr>
          <w:rFonts w:ascii="Times New Roman" w:hAnsi="Times New Roman"/>
        </w:rPr>
        <w:t>para (a)</w:t>
      </w:r>
      <w:r w:rsidRPr="006F0A38">
        <w:rPr>
          <w:rFonts w:ascii="Times New Roman" w:hAnsi="Times New Roman"/>
        </w:rPr>
        <w:t xml:space="preserve">. The language of the paragraph does not </w:t>
      </w:r>
      <w:r w:rsidRPr="006F0A38">
        <w:rPr>
          <w:rFonts w:ascii="Times New Roman" w:hAnsi="Times New Roman"/>
        </w:rPr>
        <w:lastRenderedPageBreak/>
        <w:t>refer to, or</w:t>
      </w:r>
      <w:r w:rsidR="009E75F1" w:rsidRPr="006F0A38">
        <w:rPr>
          <w:rFonts w:ascii="Times New Roman" w:hAnsi="Times New Roman"/>
          <w:sz w:val="24"/>
        </w:rPr>
        <w:t> </w:t>
      </w:r>
      <w:r w:rsidRPr="006F0A38">
        <w:rPr>
          <w:rFonts w:ascii="Times New Roman" w:hAnsi="Times New Roman"/>
        </w:rPr>
        <w:t>provide for, a standard of absolute or substantial deference to the arbitral tribunal.</w:t>
      </w:r>
    </w:p>
    <w:p w14:paraId="47265CB4" w14:textId="267457AA"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Second, the Model Law itself requires in its interpretation that regard be had "to its international origin and to the need to promote uniformity in its application and the observance of good faith".</w:t>
      </w:r>
      <w:r w:rsidRPr="006F0A38">
        <w:rPr>
          <w:rStyle w:val="FootnoteReference"/>
          <w:rFonts w:ascii="Times New Roman" w:hAnsi="Times New Roman"/>
          <w:sz w:val="24"/>
        </w:rPr>
        <w:footnoteReference w:id="55"/>
      </w:r>
      <w:r w:rsidRPr="006F0A38">
        <w:rPr>
          <w:rFonts w:ascii="Times New Roman" w:hAnsi="Times New Roman"/>
        </w:rPr>
        <w:t xml:space="preserve"> In deciding whether an arbitral tribunal has acted outside its authority or jurisdiction, the correctness standard has been adopted by the Ontario Court of Appeal in </w:t>
      </w:r>
      <w:r w:rsidRPr="006F0A38">
        <w:rPr>
          <w:rFonts w:ascii="Times New Roman" w:hAnsi="Times New Roman"/>
          <w:i/>
          <w:iCs/>
        </w:rPr>
        <w:t>United Mexican States v Cargill Inc</w:t>
      </w:r>
      <w:r w:rsidRPr="006F0A38">
        <w:rPr>
          <w:rFonts w:ascii="Times New Roman" w:hAnsi="Times New Roman"/>
        </w:rPr>
        <w:t>,</w:t>
      </w:r>
      <w:r w:rsidRPr="006F0A38">
        <w:rPr>
          <w:rStyle w:val="FootnoteReference"/>
          <w:rFonts w:ascii="Times New Roman" w:hAnsi="Times New Roman"/>
          <w:sz w:val="24"/>
        </w:rPr>
        <w:footnoteReference w:id="56"/>
      </w:r>
      <w:r w:rsidRPr="006F0A38">
        <w:rPr>
          <w:rFonts w:ascii="Times New Roman" w:hAnsi="Times New Roman"/>
          <w:i/>
          <w:iCs/>
        </w:rPr>
        <w:t xml:space="preserve"> </w:t>
      </w:r>
      <w:r w:rsidRPr="006F0A38">
        <w:rPr>
          <w:rFonts w:ascii="Times New Roman" w:hAnsi="Times New Roman"/>
        </w:rPr>
        <w:t xml:space="preserve">by the British Columbia Court of Appeal in </w:t>
      </w:r>
      <w:r w:rsidRPr="006F0A38">
        <w:rPr>
          <w:rFonts w:ascii="Times New Roman" w:hAnsi="Times New Roman"/>
          <w:i/>
        </w:rPr>
        <w:t>lululemon athletica canada inc v Industrial Color Productions Inc</w:t>
      </w:r>
      <w:r w:rsidRPr="006F0A38">
        <w:rPr>
          <w:rFonts w:ascii="Times New Roman" w:hAnsi="Times New Roman"/>
          <w:iCs/>
        </w:rPr>
        <w:t>,</w:t>
      </w:r>
      <w:r w:rsidRPr="006F0A38">
        <w:rPr>
          <w:rStyle w:val="FootnoteReference"/>
          <w:rFonts w:ascii="Times New Roman" w:hAnsi="Times New Roman"/>
          <w:iCs/>
          <w:sz w:val="24"/>
        </w:rPr>
        <w:footnoteReference w:id="57"/>
      </w:r>
      <w:r w:rsidRPr="006F0A38">
        <w:rPr>
          <w:rFonts w:ascii="Times New Roman" w:hAnsi="Times New Roman"/>
          <w:iCs/>
        </w:rPr>
        <w:t xml:space="preserve"> by the Singapore Court of Appeal in </w:t>
      </w:r>
      <w:r w:rsidRPr="006F0A38">
        <w:rPr>
          <w:rFonts w:ascii="Times New Roman" w:hAnsi="Times New Roman"/>
          <w:i/>
        </w:rPr>
        <w:t>BTN v BTP</w:t>
      </w:r>
      <w:r w:rsidRPr="006F0A38">
        <w:rPr>
          <w:rFonts w:ascii="Times New Roman" w:hAnsi="Times New Roman"/>
          <w:iCs/>
        </w:rPr>
        <w:t>,</w:t>
      </w:r>
      <w:r w:rsidRPr="006F0A38">
        <w:rPr>
          <w:rStyle w:val="FootnoteReference"/>
          <w:rFonts w:ascii="Times New Roman" w:hAnsi="Times New Roman"/>
          <w:sz w:val="24"/>
        </w:rPr>
        <w:footnoteReference w:id="58"/>
      </w:r>
      <w:r w:rsidRPr="006F0A38">
        <w:rPr>
          <w:rFonts w:ascii="Times New Roman" w:hAnsi="Times New Roman"/>
          <w:iCs/>
        </w:rPr>
        <w:t xml:space="preserve"> </w:t>
      </w:r>
      <w:r w:rsidRPr="006F0A38">
        <w:rPr>
          <w:rFonts w:ascii="Times New Roman" w:hAnsi="Times New Roman"/>
          <w:i/>
        </w:rPr>
        <w:t>CBX v CBZ</w:t>
      </w:r>
      <w:r w:rsidRPr="006F0A38">
        <w:rPr>
          <w:rFonts w:ascii="Times New Roman" w:hAnsi="Times New Roman"/>
          <w:iCs/>
        </w:rPr>
        <w:t>,</w:t>
      </w:r>
      <w:r w:rsidRPr="006F0A38">
        <w:rPr>
          <w:rStyle w:val="FootnoteReference"/>
          <w:rFonts w:ascii="Times New Roman" w:hAnsi="Times New Roman"/>
          <w:iCs/>
          <w:sz w:val="24"/>
        </w:rPr>
        <w:footnoteReference w:id="59"/>
      </w:r>
      <w:r w:rsidRPr="006F0A38">
        <w:rPr>
          <w:rFonts w:ascii="Times New Roman" w:hAnsi="Times New Roman"/>
          <w:iCs/>
        </w:rPr>
        <w:t xml:space="preserve"> and </w:t>
      </w:r>
      <w:r w:rsidRPr="006F0A38">
        <w:rPr>
          <w:rFonts w:ascii="Times New Roman" w:hAnsi="Times New Roman"/>
          <w:i/>
        </w:rPr>
        <w:t>CKH v CKG</w:t>
      </w:r>
      <w:r w:rsidRPr="006F0A38">
        <w:rPr>
          <w:rFonts w:ascii="Times New Roman" w:hAnsi="Times New Roman"/>
          <w:iCs/>
        </w:rPr>
        <w:t>,</w:t>
      </w:r>
      <w:r w:rsidRPr="006F0A38">
        <w:rPr>
          <w:rStyle w:val="FootnoteReference"/>
          <w:rFonts w:ascii="Times New Roman" w:hAnsi="Times New Roman"/>
          <w:iCs/>
          <w:sz w:val="24"/>
        </w:rPr>
        <w:footnoteReference w:id="60"/>
      </w:r>
      <w:r w:rsidRPr="006F0A38">
        <w:rPr>
          <w:rFonts w:ascii="Times New Roman" w:hAnsi="Times New Roman"/>
          <w:iCs/>
        </w:rPr>
        <w:t xml:space="preserve"> and by the Hong Kong Court of Final Appeal in </w:t>
      </w:r>
      <w:r w:rsidRPr="006F0A38">
        <w:rPr>
          <w:rFonts w:ascii="Times New Roman" w:hAnsi="Times New Roman"/>
          <w:i/>
        </w:rPr>
        <w:t>C v D</w:t>
      </w:r>
      <w:r w:rsidRPr="006F0A38">
        <w:rPr>
          <w:rFonts w:ascii="Times New Roman" w:hAnsi="Times New Roman"/>
          <w:iCs/>
        </w:rPr>
        <w:t>.</w:t>
      </w:r>
      <w:r w:rsidRPr="006F0A38">
        <w:rPr>
          <w:rStyle w:val="FootnoteReference"/>
          <w:rFonts w:ascii="Times New Roman" w:hAnsi="Times New Roman"/>
          <w:iCs/>
          <w:sz w:val="24"/>
        </w:rPr>
        <w:footnoteReference w:id="61"/>
      </w:r>
      <w:r w:rsidRPr="006F0A38">
        <w:rPr>
          <w:rFonts w:ascii="Times New Roman" w:hAnsi="Times New Roman"/>
          <w:iCs/>
        </w:rPr>
        <w:t xml:space="preserve"> </w:t>
      </w:r>
    </w:p>
    <w:p w14:paraId="25BF33C4" w14:textId="30263DB3"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Third, </w:t>
      </w:r>
      <w:r w:rsidR="00B92071" w:rsidRPr="006F0A38">
        <w:rPr>
          <w:rFonts w:ascii="Times New Roman" w:hAnsi="Times New Roman"/>
          <w:i/>
          <w:iCs/>
        </w:rPr>
        <w:t xml:space="preserve">de novo </w:t>
      </w:r>
      <w:r w:rsidRPr="006F0A38">
        <w:rPr>
          <w:rFonts w:ascii="Times New Roman" w:hAnsi="Times New Roman"/>
        </w:rPr>
        <w:t xml:space="preserve">is the standard adopted in relation to an application made under Art 36 of the Model Law </w:t>
      </w:r>
      <w:r w:rsidR="00085C62" w:rsidRPr="006F0A38">
        <w:rPr>
          <w:rFonts w:ascii="Times New Roman" w:hAnsi="Times New Roman"/>
        </w:rPr>
        <w:t xml:space="preserve">(cf s 36 of the Arbitration Act) </w:t>
      </w:r>
      <w:r w:rsidRPr="006F0A38">
        <w:rPr>
          <w:rFonts w:ascii="Times New Roman" w:hAnsi="Times New Roman"/>
        </w:rPr>
        <w:t>for enforcement of an award.</w:t>
      </w:r>
      <w:r w:rsidR="00A42059" w:rsidRPr="006F0A38">
        <w:rPr>
          <w:rStyle w:val="FootnoteReference"/>
          <w:rFonts w:ascii="Times New Roman" w:hAnsi="Times New Roman"/>
          <w:sz w:val="24"/>
        </w:rPr>
        <w:footnoteReference w:id="62"/>
      </w:r>
      <w:r w:rsidRPr="006F0A38">
        <w:rPr>
          <w:rFonts w:ascii="Times New Roman" w:hAnsi="Times New Roman"/>
        </w:rPr>
        <w:t xml:space="preserve"> Although </w:t>
      </w:r>
      <w:r w:rsidR="00543D29" w:rsidRPr="006F0A38">
        <w:rPr>
          <w:rFonts w:ascii="Times New Roman" w:hAnsi="Times New Roman"/>
        </w:rPr>
        <w:t xml:space="preserve">Arts </w:t>
      </w:r>
      <w:r w:rsidRPr="006F0A38">
        <w:rPr>
          <w:rFonts w:ascii="Times New Roman" w:hAnsi="Times New Roman"/>
        </w:rPr>
        <w:t>34 and 36 are directed to different ends – seeking to set aside an award as distinct from seeking to enforce an award – the language in the Model Law is materially identical. Not only is there nothing in the text, context or purpose of the Model Law that would enable a different meaning to be given to the same words in the two</w:t>
      </w:r>
      <w:r w:rsidR="00A46F9E" w:rsidRPr="006F0A38">
        <w:rPr>
          <w:rFonts w:ascii="Times New Roman" w:hAnsi="Times New Roman"/>
        </w:rPr>
        <w:t xml:space="preserve"> Articles</w:t>
      </w:r>
      <w:r w:rsidRPr="006F0A38">
        <w:rPr>
          <w:rFonts w:ascii="Times New Roman" w:hAnsi="Times New Roman"/>
        </w:rPr>
        <w:t xml:space="preserve">, but the use of the same words was deliberate. </w:t>
      </w:r>
      <w:r w:rsidRPr="006F0A38">
        <w:rPr>
          <w:rFonts w:ascii="Times New Roman" w:hAnsi="Times New Roman"/>
        </w:rPr>
        <w:lastRenderedPageBreak/>
        <w:t>The drafters of the Model Law considered it important to align the grounds.</w:t>
      </w:r>
      <w:r w:rsidR="001A0839" w:rsidRPr="006F0A38">
        <w:rPr>
          <w:rStyle w:val="FootnoteReference"/>
          <w:rFonts w:ascii="Times New Roman" w:hAnsi="Times New Roman"/>
          <w:sz w:val="24"/>
        </w:rPr>
        <w:footnoteReference w:id="63"/>
      </w:r>
      <w:r w:rsidRPr="006F0A38">
        <w:rPr>
          <w:rFonts w:ascii="Times New Roman" w:hAnsi="Times New Roman"/>
        </w:rPr>
        <w:t xml:space="preserve"> As the Analytical Commentary on the Model Law stated in relation to Art 34 of the Model Law (cf s 34 of the Arbitration Act):</w:t>
      </w:r>
      <w:r w:rsidRPr="006F0A38">
        <w:rPr>
          <w:rStyle w:val="FootnoteReference"/>
          <w:rFonts w:ascii="Times New Roman" w:hAnsi="Times New Roman"/>
          <w:sz w:val="24"/>
        </w:rPr>
        <w:footnoteReference w:id="64"/>
      </w:r>
    </w:p>
    <w:p w14:paraId="725459D5" w14:textId="376F840D" w:rsidR="006F0A38" w:rsidRDefault="001114B9" w:rsidP="006F0A38">
      <w:pPr>
        <w:pStyle w:val="leftright"/>
        <w:spacing w:before="0" w:after="260" w:line="280" w:lineRule="exact"/>
        <w:ind w:right="0"/>
        <w:jc w:val="both"/>
        <w:rPr>
          <w:rFonts w:ascii="Times New Roman" w:hAnsi="Times New Roman"/>
        </w:rPr>
      </w:pPr>
      <w:r w:rsidRPr="006F0A38">
        <w:rPr>
          <w:rFonts w:ascii="Times New Roman" w:hAnsi="Times New Roman"/>
        </w:rPr>
        <w:t>"[C]onformity with article 36(1) is regarded as desirable in view of the policy of the model law to reduce the impact of the place of arbitration. It</w:t>
      </w:r>
      <w:r w:rsidR="009E75F1" w:rsidRPr="006F0A38">
        <w:rPr>
          <w:rFonts w:ascii="Times New Roman" w:hAnsi="Times New Roman"/>
          <w:sz w:val="24"/>
        </w:rPr>
        <w:t> </w:t>
      </w:r>
      <w:r w:rsidRPr="006F0A38">
        <w:rPr>
          <w:rFonts w:ascii="Times New Roman" w:hAnsi="Times New Roman"/>
        </w:rPr>
        <w:t>recognizes the fact that both provisions with their different purposes (in</w:t>
      </w:r>
      <w:r w:rsidR="009E75F1" w:rsidRPr="006F0A38">
        <w:rPr>
          <w:rFonts w:ascii="Times New Roman" w:hAnsi="Times New Roman"/>
          <w:sz w:val="24"/>
        </w:rPr>
        <w:t> </w:t>
      </w:r>
      <w:r w:rsidRPr="006F0A38">
        <w:rPr>
          <w:rFonts w:ascii="Times New Roman" w:hAnsi="Times New Roman"/>
        </w:rPr>
        <w:t>one case reasons for setting aside and in the other case grounds for refusing recognition or enforcement) fo</w:t>
      </w:r>
      <w:r w:rsidR="00787FCC" w:rsidRPr="006F0A38">
        <w:rPr>
          <w:rFonts w:ascii="Times New Roman" w:hAnsi="Times New Roman"/>
        </w:rPr>
        <w:t>r</w:t>
      </w:r>
      <w:r w:rsidRPr="006F0A38">
        <w:rPr>
          <w:rFonts w:ascii="Times New Roman" w:hAnsi="Times New Roman"/>
        </w:rPr>
        <w:t>m</w:t>
      </w:r>
      <w:r w:rsidR="00A26AC1" w:rsidRPr="006F0A38">
        <w:rPr>
          <w:rFonts w:ascii="Times New Roman" w:hAnsi="Times New Roman"/>
        </w:rPr>
        <w:t> </w:t>
      </w:r>
      <w:r w:rsidRPr="006F0A38">
        <w:rPr>
          <w:rFonts w:ascii="Times New Roman" w:hAnsi="Times New Roman"/>
        </w:rPr>
        <w:t>part of the alternative defence system which provides a party with the option of attacking the award or invoking the grounds when recognition or enforcement is sought. It also recognizes the fact that these provisions do not operate in isolation."</w:t>
      </w:r>
    </w:p>
    <w:p w14:paraId="7AA6F368" w14:textId="41F66489"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In support of its contention that the </w:t>
      </w:r>
      <w:r w:rsidR="004248FB" w:rsidRPr="006F0A38">
        <w:rPr>
          <w:rFonts w:ascii="Times New Roman" w:hAnsi="Times New Roman"/>
        </w:rPr>
        <w:t>c</w:t>
      </w:r>
      <w:r w:rsidRPr="006F0A38">
        <w:rPr>
          <w:rFonts w:ascii="Times New Roman" w:hAnsi="Times New Roman"/>
        </w:rPr>
        <w:t>ourt should at least "afford substantial deference to the tribunal's interpretation of the meaning and effect of its own orders and processes", CKJV</w:t>
      </w:r>
      <w:r w:rsidR="00A26AC1" w:rsidRPr="006F0A38">
        <w:rPr>
          <w:rFonts w:ascii="Times New Roman" w:hAnsi="Times New Roman"/>
        </w:rPr>
        <w:t> </w:t>
      </w:r>
      <w:r w:rsidRPr="006F0A38">
        <w:rPr>
          <w:rFonts w:ascii="Times New Roman" w:hAnsi="Times New Roman"/>
        </w:rPr>
        <w:t>referred th</w:t>
      </w:r>
      <w:r w:rsidR="00AC238D" w:rsidRPr="006F0A38">
        <w:rPr>
          <w:rFonts w:ascii="Times New Roman" w:hAnsi="Times New Roman"/>
        </w:rPr>
        <w:t>is</w:t>
      </w:r>
      <w:r w:rsidRPr="006F0A38">
        <w:rPr>
          <w:rFonts w:ascii="Times New Roman" w:hAnsi="Times New Roman"/>
        </w:rPr>
        <w:t xml:space="preserve"> Court to the "numerous authorities" cited by Born as authority for the proposition that "a considerable measure of judicial deference is accorded to the arbitrators' interpretation of the </w:t>
      </w:r>
      <w:r w:rsidRPr="006F0A38">
        <w:rPr>
          <w:rFonts w:ascii="Times New Roman" w:hAnsi="Times New Roman"/>
          <w:i/>
          <w:iCs/>
        </w:rPr>
        <w:t>scope of their mandate under the parties' submissions</w:t>
      </w:r>
      <w:r w:rsidRPr="006F0A38">
        <w:rPr>
          <w:rFonts w:ascii="Times New Roman" w:hAnsi="Times New Roman"/>
        </w:rPr>
        <w:t>".</w:t>
      </w:r>
      <w:r w:rsidRPr="006F0A38">
        <w:rPr>
          <w:rStyle w:val="FootnoteReference"/>
          <w:rFonts w:ascii="Times New Roman" w:hAnsi="Times New Roman"/>
          <w:sz w:val="24"/>
        </w:rPr>
        <w:footnoteReference w:id="65"/>
      </w:r>
      <w:r w:rsidRPr="006F0A38">
        <w:rPr>
          <w:rFonts w:ascii="Times New Roman" w:hAnsi="Times New Roman"/>
        </w:rPr>
        <w:t xml:space="preserve"> That passage appears under the heading "Recurrent Grounds for Excess of Authority Claims"</w:t>
      </w:r>
      <w:r w:rsidR="003E7600" w:rsidRPr="006F0A38">
        <w:rPr>
          <w:rFonts w:ascii="Times New Roman" w:hAnsi="Times New Roman"/>
        </w:rPr>
        <w:t>,</w:t>
      </w:r>
      <w:r w:rsidRPr="006F0A38">
        <w:rPr>
          <w:rFonts w:ascii="Times New Roman" w:hAnsi="Times New Roman"/>
        </w:rPr>
        <w:t xml:space="preserve"> where the learned author addresses one of the recurrent grounds for claiming that an arbitral tribunal has exceeded its authority, namely where the award rules on matters outside the scope of the parties' submissions. </w:t>
      </w:r>
      <w:r w:rsidR="00E95DAC" w:rsidRPr="006F0A38">
        <w:rPr>
          <w:rFonts w:ascii="Times New Roman" w:hAnsi="Times New Roman"/>
        </w:rPr>
        <w:t>A</w:t>
      </w:r>
      <w:r w:rsidR="00C83570" w:rsidRPr="006F0A38">
        <w:rPr>
          <w:rFonts w:ascii="Times New Roman" w:hAnsi="Times New Roman"/>
        </w:rPr>
        <w:t xml:space="preserve"> legal question of whether the tribunal denied the parties procedural fairness, like the legal question of whether the tribunal was </w:t>
      </w:r>
      <w:r w:rsidR="00C83570" w:rsidRPr="006F0A38">
        <w:rPr>
          <w:rFonts w:ascii="Times New Roman" w:hAnsi="Times New Roman"/>
          <w:i/>
          <w:iCs/>
        </w:rPr>
        <w:t>functus officio</w:t>
      </w:r>
      <w:r w:rsidR="00C83570" w:rsidRPr="006F0A38">
        <w:rPr>
          <w:rFonts w:ascii="Times New Roman" w:hAnsi="Times New Roman"/>
        </w:rPr>
        <w:t xml:space="preserve">, is a matter upon which </w:t>
      </w:r>
      <w:r w:rsidR="00AF1132" w:rsidRPr="006F0A38">
        <w:rPr>
          <w:rFonts w:ascii="Times New Roman" w:hAnsi="Times New Roman"/>
        </w:rPr>
        <w:t xml:space="preserve">there is only one correct answer. </w:t>
      </w:r>
      <w:r w:rsidRPr="006F0A38">
        <w:rPr>
          <w:rFonts w:ascii="Times New Roman" w:hAnsi="Times New Roman"/>
        </w:rPr>
        <w:t>As Ribeiro</w:t>
      </w:r>
      <w:r w:rsidR="009E75F1" w:rsidRPr="006F0A38">
        <w:rPr>
          <w:rFonts w:ascii="Times New Roman" w:hAnsi="Times New Roman"/>
          <w:sz w:val="24"/>
        </w:rPr>
        <w:t> </w:t>
      </w:r>
      <w:r w:rsidRPr="006F0A38">
        <w:rPr>
          <w:rFonts w:ascii="Times New Roman" w:hAnsi="Times New Roman"/>
        </w:rPr>
        <w:t xml:space="preserve">PJ said in </w:t>
      </w:r>
      <w:r w:rsidRPr="006F0A38">
        <w:rPr>
          <w:rFonts w:ascii="Times New Roman" w:hAnsi="Times New Roman"/>
          <w:i/>
          <w:iCs/>
        </w:rPr>
        <w:t>C v D</w:t>
      </w:r>
      <w:r w:rsidRPr="006F0A38">
        <w:rPr>
          <w:rFonts w:ascii="Times New Roman" w:hAnsi="Times New Roman"/>
        </w:rPr>
        <w:t xml:space="preserve">, an objection under Art 34(2)(a)(iii) of the Model Law </w:t>
      </w:r>
      <w:r w:rsidRPr="006F0A38">
        <w:rPr>
          <w:rFonts w:ascii="Times New Roman" w:hAnsi="Times New Roman"/>
        </w:rPr>
        <w:lastRenderedPageBreak/>
        <w:t>is an objection that the applicant party has not agreed to the arbitral tribunal exercising authority to conduct the arbitration in the circumstances specified.</w:t>
      </w:r>
      <w:r w:rsidR="00845483" w:rsidRPr="006F0A38">
        <w:rPr>
          <w:rStyle w:val="FootnoteReference"/>
          <w:rFonts w:ascii="Times New Roman" w:hAnsi="Times New Roman"/>
          <w:sz w:val="24"/>
        </w:rPr>
        <w:footnoteReference w:id="66"/>
      </w:r>
      <w:r w:rsidRPr="006F0A38">
        <w:rPr>
          <w:rFonts w:ascii="Times New Roman" w:hAnsi="Times New Roman"/>
        </w:rPr>
        <w:t xml:space="preserve"> </w:t>
      </w:r>
    </w:p>
    <w:p w14:paraId="71D4D5F0" w14:textId="6C799580"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 xml:space="preserve">Similarly, CKJV referred the Court to </w:t>
      </w:r>
      <w:r w:rsidRPr="006F0A38">
        <w:rPr>
          <w:rFonts w:ascii="Times New Roman" w:hAnsi="Times New Roman"/>
          <w:i/>
          <w:iCs/>
        </w:rPr>
        <w:t>Oxford Health Plans LLC v Sutter</w:t>
      </w:r>
      <w:r w:rsidRPr="006F0A38">
        <w:rPr>
          <w:rStyle w:val="FootnoteReference"/>
          <w:rFonts w:ascii="Times New Roman" w:hAnsi="Times New Roman"/>
          <w:sz w:val="24"/>
        </w:rPr>
        <w:footnoteReference w:id="67"/>
      </w:r>
      <w:r w:rsidRPr="006F0A38">
        <w:rPr>
          <w:rFonts w:ascii="Times New Roman" w:hAnsi="Times New Roman"/>
        </w:rPr>
        <w:t xml:space="preserve"> as support for the proposition that judicial deference is accorded to the arbitrators' interpretation of the scope of the arbitration agreement. That decision concerned a differently worded provision and the construction of the arbitration agreement. The</w:t>
      </w:r>
      <w:r w:rsidR="009E75F1" w:rsidRPr="006F0A38">
        <w:rPr>
          <w:rFonts w:ascii="Times New Roman" w:hAnsi="Times New Roman"/>
          <w:sz w:val="24"/>
        </w:rPr>
        <w:t> </w:t>
      </w:r>
      <w:r w:rsidRPr="006F0A38">
        <w:rPr>
          <w:rFonts w:ascii="Times New Roman" w:hAnsi="Times New Roman"/>
        </w:rPr>
        <w:t xml:space="preserve">case concerned the power of a supervisory court under §10(a)(4) of the </w:t>
      </w:r>
      <w:r w:rsidRPr="006F0A38">
        <w:rPr>
          <w:rFonts w:ascii="Times New Roman" w:hAnsi="Times New Roman"/>
          <w:i/>
          <w:iCs/>
        </w:rPr>
        <w:t xml:space="preserve">Federal Arbitration Act </w:t>
      </w:r>
      <w:r w:rsidRPr="006F0A38">
        <w:rPr>
          <w:rFonts w:ascii="Times New Roman" w:hAnsi="Times New Roman"/>
        </w:rPr>
        <w:t>to vacate an arbitral award "where the arbitrators exceeded their powers". In </w:t>
      </w:r>
      <w:r w:rsidRPr="006F0A38">
        <w:rPr>
          <w:rFonts w:ascii="Times New Roman" w:hAnsi="Times New Roman"/>
          <w:i/>
          <w:iCs/>
        </w:rPr>
        <w:t>Oxford Health Plans</w:t>
      </w:r>
      <w:r w:rsidRPr="006F0A38">
        <w:rPr>
          <w:rFonts w:ascii="Times New Roman" w:hAnsi="Times New Roman"/>
        </w:rPr>
        <w:t>, a court had referred a case to arbitration and a question arose as to whether, as a matter of construction, the</w:t>
      </w:r>
      <w:r w:rsidR="00A26AC1" w:rsidRPr="006F0A38">
        <w:rPr>
          <w:rFonts w:ascii="Times New Roman" w:hAnsi="Times New Roman"/>
        </w:rPr>
        <w:t> </w:t>
      </w:r>
      <w:r w:rsidRPr="006F0A38">
        <w:rPr>
          <w:rFonts w:ascii="Times New Roman" w:hAnsi="Times New Roman"/>
        </w:rPr>
        <w:t>arbitration provision in the parties' contract permitted class arbitration. As the judgment of the Supreme Court of the United</w:t>
      </w:r>
      <w:r w:rsidR="00E6221C" w:rsidRPr="006F0A38">
        <w:rPr>
          <w:rFonts w:ascii="Times New Roman" w:hAnsi="Times New Roman"/>
        </w:rPr>
        <w:t> </w:t>
      </w:r>
      <w:r w:rsidRPr="006F0A38">
        <w:rPr>
          <w:rFonts w:ascii="Times New Roman" w:hAnsi="Times New Roman"/>
        </w:rPr>
        <w:t>States records,</w:t>
      </w:r>
      <w:r w:rsidRPr="006F0A38">
        <w:rPr>
          <w:rStyle w:val="FootnoteReference"/>
          <w:rFonts w:ascii="Times New Roman" w:hAnsi="Times New Roman"/>
          <w:sz w:val="24"/>
        </w:rPr>
        <w:footnoteReference w:id="68"/>
      </w:r>
      <w:r w:rsidRPr="006F0A38">
        <w:rPr>
          <w:rFonts w:ascii="Times New Roman" w:hAnsi="Times New Roman"/>
        </w:rPr>
        <w:t xml:space="preserve"> the parties agreed to submit that question to the arbitrator for decision with the result that the arbitrator's decision was to stand "regardless of a court's view of its (de)merits". </w:t>
      </w:r>
    </w:p>
    <w:p w14:paraId="2B4818F5" w14:textId="525582A6" w:rsidR="001114B9" w:rsidRPr="006F0A38"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Significantly, the Court recorded in a footnote</w:t>
      </w:r>
      <w:r w:rsidRPr="006F0A38">
        <w:rPr>
          <w:rStyle w:val="FootnoteReference"/>
          <w:rFonts w:ascii="Times New Roman" w:hAnsi="Times New Roman"/>
          <w:sz w:val="24"/>
        </w:rPr>
        <w:footnoteReference w:id="69"/>
      </w:r>
      <w:r w:rsidRPr="006F0A38">
        <w:rPr>
          <w:rFonts w:ascii="Times New Roman" w:hAnsi="Times New Roman"/>
        </w:rPr>
        <w:t xml:space="preserve"> that it would face a "different issue" if other "gateway matters", such as whether the parties had a valid arbitration agreement at all, were in issue because they were "presumptively for courts to decide" such that "[a] court may ... review an arbitrator's determination of such a matter </w:t>
      </w:r>
      <w:r w:rsidRPr="006F0A38">
        <w:rPr>
          <w:rFonts w:ascii="Times New Roman" w:hAnsi="Times New Roman"/>
          <w:i/>
          <w:iCs/>
        </w:rPr>
        <w:t>de novo</w:t>
      </w:r>
      <w:r w:rsidRPr="006F0A38">
        <w:rPr>
          <w:rFonts w:ascii="Times New Roman" w:hAnsi="Times New Roman"/>
        </w:rPr>
        <w:t xml:space="preserve"> absent 'clear[] and unmistakabl[e]' evidence that the parties wanted an arbitrator to resolve the dispute".</w:t>
      </w:r>
      <w:r w:rsidR="00801D58" w:rsidRPr="006F0A38">
        <w:rPr>
          <w:rFonts w:ascii="Times New Roman" w:hAnsi="Times New Roman"/>
        </w:rPr>
        <w:t xml:space="preserve"> </w:t>
      </w:r>
    </w:p>
    <w:p w14:paraId="07F2433A" w14:textId="77777777" w:rsidR="001114B9" w:rsidRPr="006F0A38" w:rsidRDefault="001114B9" w:rsidP="006F0A38">
      <w:pPr>
        <w:pStyle w:val="HeadingL1"/>
        <w:spacing w:after="260" w:line="280" w:lineRule="exact"/>
        <w:ind w:right="0"/>
        <w:jc w:val="both"/>
        <w:rPr>
          <w:rFonts w:ascii="Times New Roman" w:hAnsi="Times New Roman"/>
        </w:rPr>
      </w:pPr>
      <w:r w:rsidRPr="006F0A38">
        <w:rPr>
          <w:rFonts w:ascii="Times New Roman" w:hAnsi="Times New Roman"/>
        </w:rPr>
        <w:t>Conclusion</w:t>
      </w:r>
    </w:p>
    <w:p w14:paraId="3907E614" w14:textId="77777777" w:rsidR="003A3473" w:rsidRDefault="001114B9" w:rsidP="006F0A38">
      <w:pPr>
        <w:pStyle w:val="FixListStyle"/>
        <w:spacing w:after="260" w:line="280" w:lineRule="exact"/>
        <w:ind w:right="0"/>
        <w:jc w:val="both"/>
        <w:rPr>
          <w:rFonts w:ascii="Times New Roman" w:hAnsi="Times New Roman"/>
        </w:rPr>
      </w:pPr>
      <w:r w:rsidRPr="006F0A38">
        <w:rPr>
          <w:rFonts w:ascii="Times New Roman" w:hAnsi="Times New Roman"/>
        </w:rPr>
        <w:tab/>
        <w:t>For those reasons, the appeal should be dismissed with costs.</w:t>
      </w:r>
    </w:p>
    <w:p w14:paraId="7DD401F4" w14:textId="77777777" w:rsidR="003A3473" w:rsidRDefault="003A3473" w:rsidP="006F0A38">
      <w:pPr>
        <w:pStyle w:val="FixListStyle"/>
        <w:spacing w:after="260" w:line="280" w:lineRule="exact"/>
        <w:ind w:right="0"/>
        <w:jc w:val="both"/>
        <w:rPr>
          <w:rFonts w:ascii="Times New Roman" w:hAnsi="Times New Roman"/>
        </w:rPr>
        <w:sectPr w:rsidR="003A3473" w:rsidSect="004445F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74BEC64" w14:textId="77777777" w:rsidR="003A3473" w:rsidRPr="003C38FD" w:rsidRDefault="003A3473" w:rsidP="003C38FD">
      <w:pPr>
        <w:pStyle w:val="FixListStyle"/>
        <w:tabs>
          <w:tab w:val="clear" w:pos="720"/>
          <w:tab w:val="left" w:pos="0"/>
        </w:tabs>
        <w:spacing w:after="260" w:line="280" w:lineRule="exact"/>
        <w:ind w:right="0"/>
        <w:jc w:val="both"/>
        <w:rPr>
          <w:rFonts w:ascii="Times New Roman" w:hAnsi="Times New Roman"/>
        </w:rPr>
      </w:pPr>
      <w:r w:rsidRPr="003C38FD">
        <w:rPr>
          <w:rFonts w:ascii="Times New Roman" w:hAnsi="Times New Roman"/>
        </w:rPr>
        <w:lastRenderedPageBreak/>
        <w:t>JAGOT AND BEECH-JONES JJ.   The appeal should be allowed. Whether or not the First Interim Award precluded the arbitral tribunal from entertaining and upholding the appellants' repleaded case in the Second Interim Award was a matter within that tribunal's jurisdiction to decide. It was not a matter to be considered by a court hearing an application to set aside the Second Interim Award under the statutory equivalent of Art 34 of the UNCITRAL Model Law on International Commercial Arbitration ("the Model Law").</w:t>
      </w:r>
      <w:r w:rsidRPr="003C38FD">
        <w:rPr>
          <w:rStyle w:val="FootnoteReference"/>
          <w:rFonts w:ascii="Times New Roman" w:hAnsi="Times New Roman"/>
          <w:sz w:val="24"/>
        </w:rPr>
        <w:footnoteReference w:id="70"/>
      </w:r>
      <w:r w:rsidRPr="003C38FD">
        <w:rPr>
          <w:rFonts w:ascii="Times New Roman" w:hAnsi="Times New Roman"/>
        </w:rPr>
        <w:t xml:space="preserve"> </w:t>
      </w:r>
    </w:p>
    <w:p w14:paraId="06B87267" w14:textId="77777777" w:rsidR="003A3473" w:rsidRPr="003C38FD" w:rsidRDefault="003A3473" w:rsidP="003C38FD">
      <w:pPr>
        <w:pStyle w:val="HeadingL1"/>
        <w:spacing w:after="260" w:line="280" w:lineRule="exact"/>
        <w:ind w:right="0"/>
        <w:jc w:val="both"/>
        <w:rPr>
          <w:rFonts w:ascii="Times New Roman" w:hAnsi="Times New Roman"/>
          <w:szCs w:val="26"/>
        </w:rPr>
      </w:pPr>
      <w:r w:rsidRPr="003C38FD">
        <w:rPr>
          <w:rFonts w:ascii="Times New Roman" w:hAnsi="Times New Roman"/>
          <w:szCs w:val="26"/>
        </w:rPr>
        <w:t>Background</w:t>
      </w:r>
    </w:p>
    <w:p w14:paraId="6D098420"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The appellants, CBI Constructors Pty Ltd and Kent Projects Pty Ltd ("CKJV"), entered into a contract with the respondent, Chevron Australia Pty Ltd ("Chevron"), to supply construction and other services for Chevron's offshore oil and gas project on Barrow Island. The parties agreed that the law of Western Australia governed their contract and relationship. They agreed to submit any dispute regarding the contract's enforcement or breach to be "exclusively and finally settled" by direct negotiations, and if that failed, by mediation, and if that failed, by "binding arbitration". The parties agreed to arbitration using the UNCITRAL Arbitration Rules ("the UNCITRAL Rules")</w:t>
      </w:r>
      <w:r w:rsidRPr="003C38FD">
        <w:rPr>
          <w:rStyle w:val="FootnoteReference"/>
          <w:rFonts w:ascii="Times New Roman" w:hAnsi="Times New Roman"/>
          <w:sz w:val="24"/>
        </w:rPr>
        <w:footnoteReference w:id="71"/>
      </w:r>
      <w:r w:rsidRPr="003C38FD">
        <w:rPr>
          <w:rFonts w:ascii="Times New Roman" w:hAnsi="Times New Roman"/>
        </w:rPr>
        <w:t xml:space="preserve"> and agreed that "any award shall be final and binding". The UNCITRAL Rules expressly empower an arbitral tribunal to "make separate awards on different issues at different times".</w:t>
      </w:r>
      <w:r w:rsidRPr="003C38FD">
        <w:rPr>
          <w:rStyle w:val="FootnoteReference"/>
          <w:rFonts w:ascii="Times New Roman" w:hAnsi="Times New Roman"/>
          <w:sz w:val="24"/>
        </w:rPr>
        <w:footnoteReference w:id="72"/>
      </w:r>
      <w:r w:rsidRPr="003C38FD">
        <w:rPr>
          <w:rFonts w:ascii="Times New Roman" w:hAnsi="Times New Roman"/>
        </w:rPr>
        <w:t xml:space="preserve"> The parties also agreed that any disputes relating to or in connection with the enforceability of their "arbitration contract" were to be "brought only" in the Supreme Court of Western Australia.  </w:t>
      </w:r>
    </w:p>
    <w:p w14:paraId="211EADFF"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A dispute arose in relation to CKJV's entitlement to the reimbursement of its costs of supplying staff and other services to Chevron under the contract. The dispute was referred to arbitration. Arbitral proceedings commenced in February 2017 before a three-person arbitral tribunal. CKJV claimed that it had been underpaid because it was entitled to recover costs on the basis of contractual rates that had been agreed or which Chevron was estopped from denying. Chevron counterclaimed that CKJV was only entitled to recover staff costs that it had actually incurred.</w:t>
      </w:r>
      <w:r>
        <w:rPr>
          <w:rFonts w:ascii="Times New Roman" w:hAnsi="Times New Roman"/>
        </w:rPr>
        <w:t xml:space="preserve"> </w:t>
      </w:r>
      <w:r w:rsidRPr="003C38FD">
        <w:rPr>
          <w:rFonts w:ascii="Times New Roman" w:hAnsi="Times New Roman"/>
        </w:rPr>
        <w:t xml:space="preserve">Chevron sought to recover what it contended was an </w:t>
      </w:r>
      <w:r w:rsidRPr="003C38FD">
        <w:rPr>
          <w:rFonts w:ascii="Times New Roman" w:hAnsi="Times New Roman"/>
        </w:rPr>
        <w:lastRenderedPageBreak/>
        <w:t>overpayment, being amounts paid in excess of the costs actually incurred by CKJV. In response to Chevron's counterclaim, CKJV contended that it was entitled to set off the actual costs CKJV had incurred but not yet invoiced to Chevron against the amount claimed by Chevron. Chevron contended that such a set</w:t>
      </w:r>
      <w:r w:rsidRPr="003C38FD">
        <w:rPr>
          <w:rFonts w:ascii="Times New Roman" w:hAnsi="Times New Roman"/>
        </w:rPr>
        <w:noBreakHyphen/>
        <w:t xml:space="preserve">off was precluded by a separate agreement between the parties. </w:t>
      </w:r>
    </w:p>
    <w:p w14:paraId="3105D88B"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On 29 July 2018, the arbitral tribunal made Procedural Order 14, by which it determined to hear at the first hearing (to be held in</w:t>
      </w:r>
      <w:r w:rsidRPr="003C38FD" w:rsidDel="00F71DA6">
        <w:rPr>
          <w:rFonts w:ascii="Times New Roman" w:hAnsi="Times New Roman"/>
        </w:rPr>
        <w:t xml:space="preserve"> </w:t>
      </w:r>
      <w:r w:rsidRPr="003C38FD">
        <w:rPr>
          <w:rFonts w:ascii="Times New Roman" w:hAnsi="Times New Roman"/>
        </w:rPr>
        <w:t>November 2018) "all issues of liability in respect of [CKJV's] claim and [Chevron's] [c]ounterclaim" excluding "all quantum and quantification issues". On 21 August 2018, the arbitral tribunal made Procedural Order 15, which was to the effect that the first hearing would "concern all issues of liability only" but not issues of "quantum and quantification or calculation" of CKJV's claim, Chevron's counterclaim or CKJV's set</w:t>
      </w:r>
      <w:r w:rsidRPr="003C38FD">
        <w:rPr>
          <w:rFonts w:ascii="Times New Roman" w:hAnsi="Times New Roman"/>
        </w:rPr>
        <w:noBreakHyphen/>
        <w:t xml:space="preserve">off in response to the counterclaim. </w:t>
      </w:r>
    </w:p>
    <w:p w14:paraId="48511C38"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On 14 December 2018, the arbitral tribunal made the First Interim Award. The arbitral tribunal rejected CKJV's principal claim but, in response to Chevron's counterclaim, allowed CKJV to set off amounts of actual costs incurred but not yet billed. On 24 May 2019, CKJV was ordered to replead its case to better respond to Chevron's counterclaim. In its amended pleading, CKJV contended that it could recover costs determined by reference to certain contractual criteria referred to in an attachment to the contract (the "Contract Criteria Case"). Chevron objected to CKJV's amended pleading on the basis that such a case was precluded by any or all of </w:t>
      </w:r>
      <w:r w:rsidRPr="003C38FD" w:rsidDel="00143779">
        <w:rPr>
          <w:rFonts w:ascii="Times New Roman" w:hAnsi="Times New Roman"/>
        </w:rPr>
        <w:t xml:space="preserve">a </w:t>
      </w:r>
      <w:r w:rsidRPr="003C38FD">
        <w:rPr>
          <w:rFonts w:ascii="Times New Roman" w:hAnsi="Times New Roman"/>
          <w:i/>
          <w:iCs/>
        </w:rPr>
        <w:t>res judicata</w:t>
      </w:r>
      <w:r w:rsidRPr="003C38FD">
        <w:rPr>
          <w:rFonts w:ascii="Times New Roman" w:hAnsi="Times New Roman"/>
        </w:rPr>
        <w:t>, an issue estoppel, or an "</w:t>
      </w:r>
      <w:r w:rsidRPr="003C38FD">
        <w:rPr>
          <w:rFonts w:ascii="Times New Roman" w:hAnsi="Times New Roman"/>
          <w:i/>
          <w:iCs/>
        </w:rPr>
        <w:t>Anshun</w:t>
      </w:r>
      <w:r w:rsidRPr="003C38FD">
        <w:rPr>
          <w:rFonts w:ascii="Times New Roman" w:hAnsi="Times New Roman"/>
        </w:rPr>
        <w:t xml:space="preserve"> estoppel"</w:t>
      </w:r>
      <w:r w:rsidRPr="003C38FD">
        <w:rPr>
          <w:rStyle w:val="FootnoteReference"/>
          <w:rFonts w:ascii="Times New Roman" w:hAnsi="Times New Roman"/>
          <w:sz w:val="24"/>
        </w:rPr>
        <w:footnoteReference w:id="73"/>
      </w:r>
      <w:r w:rsidRPr="003C38FD">
        <w:rPr>
          <w:rFonts w:ascii="Times New Roman" w:hAnsi="Times New Roman"/>
        </w:rPr>
        <w:t xml:space="preserve"> arising out of the First Interim Award and that, so far as CKJV's Contract Criteria Case was concerned, the arbitral tribunal was </w:t>
      </w:r>
      <w:r w:rsidRPr="003C38FD">
        <w:rPr>
          <w:rFonts w:ascii="Times New Roman" w:hAnsi="Times New Roman"/>
          <w:i/>
          <w:iCs/>
        </w:rPr>
        <w:t>functus officio</w:t>
      </w:r>
      <w:r w:rsidRPr="003C38FD">
        <w:rPr>
          <w:rFonts w:ascii="Times New Roman" w:hAnsi="Times New Roman"/>
        </w:rPr>
        <w:t xml:space="preserve">. </w:t>
      </w:r>
    </w:p>
    <w:p w14:paraId="6AB4745F"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On 4 September 2020, the arbitral tribunal made the Second Interim Award, which upheld CKJV's Contract Criteria Case and rejected Chevron's estoppel and </w:t>
      </w:r>
      <w:r w:rsidRPr="003C38FD">
        <w:rPr>
          <w:rFonts w:ascii="Times New Roman" w:hAnsi="Times New Roman"/>
          <w:i/>
          <w:iCs/>
        </w:rPr>
        <w:t>functus officio</w:t>
      </w:r>
      <w:r w:rsidRPr="003C38FD">
        <w:rPr>
          <w:rFonts w:ascii="Times New Roman" w:hAnsi="Times New Roman"/>
        </w:rPr>
        <w:t xml:space="preserve"> claims. A majority of the arbitral tribunal reasoned that the First Interim Award did not decide how the "actual cost" of staff was to be ascertained under the contract. </w:t>
      </w:r>
    </w:p>
    <w:p w14:paraId="27E14D29"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Chevron successfully applied to the Supreme Court of Western Australia to set aside the Second Interim Award on the grounds set out in s 34(2)(a)(iii) of the </w:t>
      </w:r>
      <w:r w:rsidRPr="003C38FD">
        <w:rPr>
          <w:rFonts w:ascii="Times New Roman" w:hAnsi="Times New Roman"/>
          <w:i/>
          <w:iCs/>
        </w:rPr>
        <w:t>Commercial Arbitration Act 2012</w:t>
      </w:r>
      <w:r w:rsidRPr="003C38FD">
        <w:rPr>
          <w:rFonts w:ascii="Times New Roman" w:hAnsi="Times New Roman"/>
        </w:rPr>
        <w:t xml:space="preserve"> (WA) ("the Arbitration Act"). The primary judge (Kenneth Martin J) held that a contention that an arbitral tribunal was </w:t>
      </w:r>
      <w:r w:rsidRPr="003C38FD">
        <w:rPr>
          <w:rFonts w:ascii="Times New Roman" w:hAnsi="Times New Roman"/>
          <w:i/>
          <w:iCs/>
        </w:rPr>
        <w:t>functus officio</w:t>
      </w:r>
      <w:r w:rsidRPr="003C38FD">
        <w:rPr>
          <w:rFonts w:ascii="Times New Roman" w:hAnsi="Times New Roman"/>
        </w:rPr>
        <w:t xml:space="preserve"> engages s 34(2)(a)(iii) and thus it was open to the Court to "examine afresh [Chevron's] arguments ... as to functus officio concerning the [arbitral tribunal] – arising out of the suggested force and effect of [Procedural Order 14] </w:t>
      </w:r>
      <w:r w:rsidRPr="003C38FD">
        <w:rPr>
          <w:rFonts w:ascii="Times New Roman" w:hAnsi="Times New Roman"/>
        </w:rPr>
        <w:lastRenderedPageBreak/>
        <w:t>and the [F]irst [I]nterim [A]ward".</w:t>
      </w:r>
      <w:r w:rsidRPr="003C38FD">
        <w:rPr>
          <w:rStyle w:val="FootnoteReference"/>
          <w:rFonts w:ascii="Times New Roman" w:hAnsi="Times New Roman"/>
          <w:sz w:val="24"/>
        </w:rPr>
        <w:footnoteReference w:id="74"/>
      </w:r>
      <w:r w:rsidRPr="003C38FD">
        <w:rPr>
          <w:rFonts w:ascii="Times New Roman" w:hAnsi="Times New Roman"/>
        </w:rPr>
        <w:t xml:space="preserve"> The primary judge analysed the effect of the arbitral tribunal's procedural orders and concluded that CKJV's Contract Criteria </w:t>
      </w:r>
      <w:r w:rsidRPr="003C38FD" w:rsidDel="00FC0E32">
        <w:rPr>
          <w:rFonts w:ascii="Times New Roman" w:hAnsi="Times New Roman"/>
        </w:rPr>
        <w:t>C</w:t>
      </w:r>
      <w:r w:rsidRPr="003C38FD">
        <w:rPr>
          <w:rFonts w:ascii="Times New Roman" w:hAnsi="Times New Roman"/>
        </w:rPr>
        <w:t xml:space="preserve">ase concerned an issue of liability, not quantum or quantification, and thus the arbitral tribunal was </w:t>
      </w:r>
      <w:r w:rsidRPr="003C38FD">
        <w:rPr>
          <w:rFonts w:ascii="Times New Roman" w:hAnsi="Times New Roman"/>
          <w:i/>
          <w:iCs/>
        </w:rPr>
        <w:t>functus officio</w:t>
      </w:r>
      <w:r w:rsidRPr="003C38FD">
        <w:rPr>
          <w:rFonts w:ascii="Times New Roman" w:hAnsi="Times New Roman"/>
        </w:rPr>
        <w:t>.</w:t>
      </w:r>
      <w:r w:rsidRPr="003C38FD">
        <w:rPr>
          <w:rStyle w:val="FootnoteReference"/>
          <w:rFonts w:ascii="Times New Roman" w:hAnsi="Times New Roman"/>
          <w:sz w:val="24"/>
        </w:rPr>
        <w:footnoteReference w:id="75"/>
      </w:r>
      <w:r w:rsidRPr="003C38FD">
        <w:rPr>
          <w:rFonts w:ascii="Times New Roman" w:hAnsi="Times New Roman"/>
        </w:rPr>
        <w:t xml:space="preserve"> His Honour disagreed with the conclusion of the majority of the arbitral tribunal that the First Interim Award left unresolved issues in relation to the ascertainment of "actual costs".</w:t>
      </w:r>
      <w:r w:rsidRPr="003C38FD">
        <w:rPr>
          <w:rStyle w:val="FootnoteReference"/>
          <w:rFonts w:ascii="Times New Roman" w:hAnsi="Times New Roman"/>
          <w:sz w:val="24"/>
        </w:rPr>
        <w:footnoteReference w:id="76"/>
      </w:r>
      <w:r w:rsidRPr="003C38FD">
        <w:rPr>
          <w:rFonts w:ascii="Times New Roman" w:hAnsi="Times New Roman"/>
        </w:rPr>
        <w:t xml:space="preserve"> </w:t>
      </w:r>
    </w:p>
    <w:p w14:paraId="0959DFE9"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CKJV appealed to the Court of Appeal of the Supreme Court of Western Australia. The Court of Appeal (Quinlan CJ, Murphy JA and Bleby A</w:t>
      </w:r>
      <w:r w:rsidRPr="003C38FD">
        <w:rPr>
          <w:rFonts w:ascii="Times New Roman" w:hAnsi="Times New Roman"/>
        </w:rPr>
        <w:noBreakHyphen/>
        <w:t>JA) upheld the primary judge's decision.</w:t>
      </w:r>
      <w:r w:rsidRPr="003C38FD">
        <w:rPr>
          <w:rStyle w:val="FootnoteReference"/>
          <w:rFonts w:ascii="Times New Roman" w:hAnsi="Times New Roman"/>
          <w:sz w:val="24"/>
        </w:rPr>
        <w:footnoteReference w:id="77"/>
      </w:r>
      <w:r w:rsidRPr="003C38FD">
        <w:rPr>
          <w:rFonts w:ascii="Times New Roman" w:hAnsi="Times New Roman"/>
        </w:rPr>
        <w:t xml:space="preserve"> The Court concluded that, on a proper construction of the contract, the parties agreed to resolve disputes on the basis that various principles of "finality" would apply to "a final award, or to an interim award which determined the, or an, issue of liability".</w:t>
      </w:r>
      <w:r w:rsidRPr="003C38FD">
        <w:rPr>
          <w:rStyle w:val="FootnoteReference"/>
          <w:rFonts w:ascii="Times New Roman" w:hAnsi="Times New Roman"/>
          <w:sz w:val="24"/>
        </w:rPr>
        <w:footnoteReference w:id="78"/>
      </w:r>
      <w:r w:rsidRPr="003C38FD">
        <w:rPr>
          <w:rFonts w:ascii="Times New Roman" w:hAnsi="Times New Roman"/>
        </w:rPr>
        <w:t xml:space="preserve"> The Court considered that the consequence of "finality", insofar as it affected the authority or jurisdiction of the arbitral tribunal, was expressed in the phrase "functus officio".</w:t>
      </w:r>
      <w:r w:rsidRPr="003C38FD">
        <w:rPr>
          <w:rStyle w:val="FootnoteReference"/>
          <w:rFonts w:ascii="Times New Roman" w:hAnsi="Times New Roman"/>
          <w:sz w:val="24"/>
        </w:rPr>
        <w:footnoteReference w:id="79"/>
      </w:r>
      <w:r w:rsidRPr="003C38FD">
        <w:rPr>
          <w:rFonts w:ascii="Times New Roman" w:hAnsi="Times New Roman"/>
        </w:rPr>
        <w:t xml:space="preserve"> Like the primary judge, the Court of Appeal conducted an exhaustive review of the course of the arbitral proceedings, including the procedural orders, to determine the scope of the First Interim Award.</w:t>
      </w:r>
      <w:r w:rsidRPr="003C38FD">
        <w:rPr>
          <w:rStyle w:val="FootnoteReference"/>
          <w:rFonts w:ascii="Times New Roman" w:hAnsi="Times New Roman"/>
          <w:sz w:val="24"/>
        </w:rPr>
        <w:footnoteReference w:id="80"/>
      </w:r>
      <w:r w:rsidRPr="003C38FD">
        <w:rPr>
          <w:rFonts w:ascii="Times New Roman" w:hAnsi="Times New Roman"/>
        </w:rPr>
        <w:t xml:space="preserve"> The Court found that CKJV's Contract Criteria </w:t>
      </w:r>
      <w:r w:rsidRPr="003C38FD" w:rsidDel="00195861">
        <w:rPr>
          <w:rFonts w:ascii="Times New Roman" w:hAnsi="Times New Roman"/>
        </w:rPr>
        <w:t>C</w:t>
      </w:r>
      <w:r w:rsidRPr="003C38FD">
        <w:rPr>
          <w:rFonts w:ascii="Times New Roman" w:hAnsi="Times New Roman"/>
        </w:rPr>
        <w:t>ase was a (</w:t>
      </w:r>
      <w:r w:rsidRPr="003C38FD" w:rsidDel="00195861">
        <w:rPr>
          <w:rFonts w:ascii="Times New Roman" w:hAnsi="Times New Roman"/>
        </w:rPr>
        <w:t>new</w:t>
      </w:r>
      <w:r w:rsidRPr="003C38FD">
        <w:rPr>
          <w:rFonts w:ascii="Times New Roman" w:hAnsi="Times New Roman"/>
        </w:rPr>
        <w:t>) case on liability, not quantum,</w:t>
      </w:r>
      <w:r w:rsidRPr="003C38FD">
        <w:rPr>
          <w:rStyle w:val="FootnoteReference"/>
          <w:rFonts w:ascii="Times New Roman" w:hAnsi="Times New Roman"/>
          <w:sz w:val="24"/>
        </w:rPr>
        <w:footnoteReference w:id="81"/>
      </w:r>
      <w:r w:rsidRPr="003C38FD">
        <w:rPr>
          <w:rFonts w:ascii="Times New Roman" w:hAnsi="Times New Roman"/>
        </w:rPr>
        <w:t xml:space="preserve"> and that after the First Interim Award was made, there was "no residual issue for determination" as to whether CKJV had any further contractual basis for charging Chevron for staff and no further contractual defence or basis for set</w:t>
      </w:r>
      <w:r w:rsidRPr="003C38FD">
        <w:rPr>
          <w:rFonts w:ascii="Times New Roman" w:hAnsi="Times New Roman"/>
        </w:rPr>
        <w:noBreakHyphen/>
        <w:t>off in resisting Chevron's counterclaim.</w:t>
      </w:r>
      <w:r w:rsidRPr="003C38FD">
        <w:rPr>
          <w:rStyle w:val="FootnoteReference"/>
          <w:rFonts w:ascii="Times New Roman" w:hAnsi="Times New Roman"/>
          <w:sz w:val="24"/>
        </w:rPr>
        <w:footnoteReference w:id="82"/>
      </w:r>
      <w:r w:rsidRPr="003C38FD">
        <w:rPr>
          <w:rFonts w:ascii="Times New Roman" w:hAnsi="Times New Roman"/>
        </w:rPr>
        <w:t xml:space="preserve">  </w:t>
      </w:r>
    </w:p>
    <w:p w14:paraId="57EFA218"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lastRenderedPageBreak/>
        <w:tab/>
        <w:t xml:space="preserve">On 17 November 2023, CKJV was granted special leave to appeal from the Court of Appeal's judgment to this Court. CKJV raised two grounds of appeal. First, CKJV contended that the Court of Appeal erred in concluding that the arbitral tribunal was </w:t>
      </w:r>
      <w:r w:rsidRPr="003C38FD">
        <w:rPr>
          <w:rFonts w:ascii="Times New Roman" w:hAnsi="Times New Roman"/>
          <w:i/>
          <w:iCs/>
        </w:rPr>
        <w:t xml:space="preserve">functus officio </w:t>
      </w:r>
      <w:r w:rsidRPr="003C38FD">
        <w:rPr>
          <w:rFonts w:ascii="Times New Roman" w:hAnsi="Times New Roman"/>
        </w:rPr>
        <w:t xml:space="preserve">with respect to CKJV's Contract Criteria Case. In effect, CKJV contended that ascertaining the scope and effect of the First Interim Award only went to the "admissibility" (ie, permissibility) of its Contract Criteria Case and not the jurisdiction of the arbitral tribunal to deal with it in the Second Interim Award. Second, CKJV contended, in the alternative, that, if ascertaining the scope and effect of the First Interim Award determined the jurisdiction of the arbitral tribunal, the Court of Appeal erred in undertaking a </w:t>
      </w:r>
      <w:r w:rsidRPr="003C38FD">
        <w:rPr>
          <w:rFonts w:ascii="Times New Roman" w:hAnsi="Times New Roman"/>
          <w:i/>
          <w:iCs/>
        </w:rPr>
        <w:t>de novo</w:t>
      </w:r>
      <w:r w:rsidRPr="003C38FD">
        <w:rPr>
          <w:rFonts w:ascii="Times New Roman" w:hAnsi="Times New Roman"/>
        </w:rPr>
        <w:t xml:space="preserve"> review of the arbitral tribunal's procedural orders to determine whether the Second Interim Award should be set aside under s 34(2)(a)(iii) of the Arbitration Act. CKJV contended that the Court of Appeal should have instead deferred to the arbitral tribunal's assessment of the effect of its own procedural orders and the scope of the First Interim Award. For the reasons that follow, the first ground of appeal should be allowed and the second ground of appeal should be dismissed. </w:t>
      </w:r>
    </w:p>
    <w:p w14:paraId="1F2A5241" w14:textId="77777777" w:rsidR="003A3473" w:rsidRPr="003C38FD" w:rsidRDefault="003A3473" w:rsidP="003C38FD">
      <w:pPr>
        <w:pStyle w:val="HeadingL1"/>
        <w:spacing w:after="260" w:line="280" w:lineRule="exact"/>
        <w:ind w:right="0"/>
        <w:jc w:val="both"/>
        <w:rPr>
          <w:rFonts w:ascii="Times New Roman" w:hAnsi="Times New Roman"/>
          <w:szCs w:val="26"/>
        </w:rPr>
      </w:pPr>
      <w:r w:rsidRPr="003C38FD">
        <w:rPr>
          <w:rFonts w:ascii="Times New Roman" w:hAnsi="Times New Roman"/>
          <w:szCs w:val="26"/>
        </w:rPr>
        <w:t>Curial intervention in arbitral proceedings</w:t>
      </w:r>
    </w:p>
    <w:p w14:paraId="35A251CB"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The Arbitration Act has two interpretative provisions. The first interpretative provision provides that the Arbitration Act must be interpreted (and the functions of an arbitral tribunal must be exercised) to ensure, so far as practicable, that the "paramount object" of the Act is achieved,</w:t>
      </w:r>
      <w:r w:rsidRPr="003C38FD">
        <w:rPr>
          <w:rStyle w:val="FootnoteReference"/>
          <w:rFonts w:ascii="Times New Roman" w:hAnsi="Times New Roman"/>
          <w:sz w:val="24"/>
        </w:rPr>
        <w:footnoteReference w:id="83"/>
      </w:r>
      <w:r w:rsidRPr="003C38FD">
        <w:rPr>
          <w:rFonts w:ascii="Times New Roman" w:hAnsi="Times New Roman"/>
        </w:rPr>
        <w:t xml:space="preserve"> namely the facilitation of the "fair and final resolution of commercial disputes by impartial arbitral tribunals without unnecessary delay or expense".</w:t>
      </w:r>
      <w:r w:rsidRPr="003C38FD">
        <w:rPr>
          <w:rStyle w:val="FootnoteReference"/>
          <w:rFonts w:ascii="Times New Roman" w:hAnsi="Times New Roman"/>
          <w:sz w:val="24"/>
        </w:rPr>
        <w:footnoteReference w:id="84"/>
      </w:r>
      <w:r w:rsidRPr="003C38FD">
        <w:rPr>
          <w:rFonts w:ascii="Times New Roman" w:hAnsi="Times New Roman"/>
        </w:rPr>
        <w:t xml:space="preserve"> This object is sought to be achieved by "enabling parties to agree about how their commercial disputes are to be resolved"</w:t>
      </w:r>
      <w:r w:rsidRPr="003C38FD">
        <w:rPr>
          <w:rStyle w:val="FootnoteReference"/>
          <w:rFonts w:ascii="Times New Roman" w:hAnsi="Times New Roman"/>
          <w:sz w:val="24"/>
        </w:rPr>
        <w:footnoteReference w:id="85"/>
      </w:r>
      <w:r w:rsidRPr="003C38FD">
        <w:rPr>
          <w:rFonts w:ascii="Times New Roman" w:hAnsi="Times New Roman"/>
        </w:rPr>
        <w:t xml:space="preserve"> and "providing arbitration procedures that enable commercial disputes to be resolved in a cost effective manner, informally and quickly".</w:t>
      </w:r>
      <w:r w:rsidRPr="003C38FD">
        <w:rPr>
          <w:rStyle w:val="FootnoteReference"/>
          <w:rFonts w:ascii="Times New Roman" w:hAnsi="Times New Roman"/>
          <w:sz w:val="24"/>
        </w:rPr>
        <w:footnoteReference w:id="86"/>
      </w:r>
      <w:r w:rsidRPr="003C38FD">
        <w:rPr>
          <w:rFonts w:ascii="Times New Roman" w:hAnsi="Times New Roman"/>
        </w:rPr>
        <w:t xml:space="preserve"> </w:t>
      </w:r>
    </w:p>
    <w:p w14:paraId="2F28ABD8"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The second interpretative provision seeks to ensure that the Arbitration Act is interpreted consistently with the Model Law.</w:t>
      </w:r>
      <w:r w:rsidRPr="003C38FD">
        <w:rPr>
          <w:rStyle w:val="FootnoteReference"/>
          <w:rFonts w:ascii="Times New Roman" w:hAnsi="Times New Roman"/>
          <w:sz w:val="24"/>
        </w:rPr>
        <w:footnoteReference w:id="87"/>
      </w:r>
      <w:r w:rsidRPr="003C38FD">
        <w:rPr>
          <w:rFonts w:ascii="Times New Roman" w:hAnsi="Times New Roman"/>
        </w:rPr>
        <w:t xml:space="preserve"> Section 2A(1) provides that, subject to giving effect to the paramount object, in interpreting the Arbitration Act "regard is to be had to the need to promote so far as practicable" uniformity between the application of the Act to domestic commercial arbitrations and the </w:t>
      </w:r>
      <w:r w:rsidRPr="003C38FD">
        <w:rPr>
          <w:rFonts w:ascii="Times New Roman" w:hAnsi="Times New Roman"/>
        </w:rPr>
        <w:lastRenderedPageBreak/>
        <w:t>application of the provisions of the Model Law to international commercial arbitrations, and the observance of "good faith".</w:t>
      </w:r>
    </w:p>
    <w:p w14:paraId="465541CE"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Through both these interpretative rules and the balance of the provisions of the Arbitration Act, effect is given to the Model Law's intended operation of "arbitration based on voluntary agreement of the parties".</w:t>
      </w:r>
      <w:r w:rsidRPr="003C38FD">
        <w:rPr>
          <w:rStyle w:val="FootnoteReference"/>
          <w:rFonts w:ascii="Times New Roman" w:hAnsi="Times New Roman"/>
          <w:sz w:val="24"/>
        </w:rPr>
        <w:footnoteReference w:id="88"/>
      </w:r>
      <w:r w:rsidRPr="003C38FD">
        <w:rPr>
          <w:rFonts w:ascii="Times New Roman" w:hAnsi="Times New Roman"/>
        </w:rPr>
        <w:t xml:space="preserve"> The objective of the statutory scheme is to produce an arbitral award which, along with arbitral awards of other States and Territories, is made "binding" by s 35(1) of the Arbitration Act and, on application to the Supreme Court,</w:t>
      </w:r>
      <w:r w:rsidRPr="003C38FD">
        <w:rPr>
          <w:rStyle w:val="FootnoteReference"/>
          <w:rFonts w:ascii="Times New Roman" w:hAnsi="Times New Roman"/>
          <w:sz w:val="24"/>
        </w:rPr>
        <w:footnoteReference w:id="89"/>
      </w:r>
      <w:r w:rsidRPr="003C38FD">
        <w:rPr>
          <w:rFonts w:ascii="Times New Roman" w:hAnsi="Times New Roman"/>
        </w:rPr>
        <w:t xml:space="preserve"> is capable of being enforced. </w:t>
      </w:r>
    </w:p>
    <w:p w14:paraId="4FCA487D"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Consistent with the assumption that parties have consented to having their dispute resolved by an arbitral tribunal and not by a court, both the Model Law and the Arbitration Act provide for only a limited basis for curial intervention in the arbitral process. Section 5 of the Arbitration Act provides that "[i]n matters governed by this Act, no court must intervene except where so provided by this Act".</w:t>
      </w:r>
      <w:r w:rsidRPr="003C38FD">
        <w:rPr>
          <w:rStyle w:val="FootnoteReference"/>
          <w:rFonts w:ascii="Times New Roman" w:hAnsi="Times New Roman"/>
          <w:sz w:val="24"/>
        </w:rPr>
        <w:footnoteReference w:id="90"/>
      </w:r>
      <w:r w:rsidRPr="003C38FD">
        <w:rPr>
          <w:rFonts w:ascii="Times New Roman" w:hAnsi="Times New Roman"/>
        </w:rPr>
        <w:t xml:space="preserve"> Various provisions of the Arbitration Act confer powers on a designated court, specifically the Supreme Court,</w:t>
      </w:r>
      <w:r w:rsidRPr="003C38FD">
        <w:rPr>
          <w:rStyle w:val="FootnoteReference"/>
          <w:rFonts w:ascii="Times New Roman" w:hAnsi="Times New Roman"/>
          <w:sz w:val="24"/>
        </w:rPr>
        <w:footnoteReference w:id="91"/>
      </w:r>
      <w:r w:rsidRPr="003C38FD">
        <w:rPr>
          <w:rFonts w:ascii="Times New Roman" w:hAnsi="Times New Roman"/>
        </w:rPr>
        <w:t xml:space="preserve"> but many of those powers do not involve any curial "interven[tion]" in the arbitral process in any real sense. Instead, those provisions contemplate various curial powers being exercised to facilitate the arbitral process. Thus, the Court is expressly empowered to: resolve deadlocks about the appointment of arbitrators,</w:t>
      </w:r>
      <w:r w:rsidRPr="003C38FD">
        <w:rPr>
          <w:rStyle w:val="FootnoteReference"/>
          <w:rFonts w:ascii="Times New Roman" w:hAnsi="Times New Roman"/>
          <w:sz w:val="24"/>
        </w:rPr>
        <w:footnoteReference w:id="92"/>
      </w:r>
      <w:r w:rsidRPr="003C38FD">
        <w:rPr>
          <w:rFonts w:ascii="Times New Roman" w:hAnsi="Times New Roman"/>
        </w:rPr>
        <w:t xml:space="preserve"> challenges to their appointments</w:t>
      </w:r>
      <w:r w:rsidRPr="003C38FD">
        <w:rPr>
          <w:rStyle w:val="FootnoteReference"/>
          <w:rFonts w:ascii="Times New Roman" w:hAnsi="Times New Roman"/>
          <w:sz w:val="24"/>
        </w:rPr>
        <w:footnoteReference w:id="93"/>
      </w:r>
      <w:r w:rsidRPr="003C38FD">
        <w:rPr>
          <w:rFonts w:ascii="Times New Roman" w:hAnsi="Times New Roman"/>
        </w:rPr>
        <w:t xml:space="preserve"> and disputes about their capacity to perform their functions;</w:t>
      </w:r>
      <w:r w:rsidRPr="003C38FD">
        <w:rPr>
          <w:rStyle w:val="FootnoteReference"/>
          <w:rFonts w:ascii="Times New Roman" w:hAnsi="Times New Roman"/>
          <w:sz w:val="24"/>
        </w:rPr>
        <w:footnoteReference w:id="94"/>
      </w:r>
      <w:r w:rsidRPr="003C38FD">
        <w:rPr>
          <w:rFonts w:ascii="Times New Roman" w:hAnsi="Times New Roman"/>
        </w:rPr>
        <w:t xml:space="preserve"> recognise and enforce interim measures</w:t>
      </w:r>
      <w:r w:rsidRPr="003C38FD">
        <w:rPr>
          <w:rStyle w:val="FootnoteReference"/>
          <w:rFonts w:ascii="Times New Roman" w:hAnsi="Times New Roman"/>
          <w:sz w:val="24"/>
        </w:rPr>
        <w:footnoteReference w:id="95"/>
      </w:r>
      <w:r w:rsidRPr="003C38FD">
        <w:rPr>
          <w:rFonts w:ascii="Times New Roman" w:hAnsi="Times New Roman"/>
        </w:rPr>
        <w:t xml:space="preserve"> and orders and directions given by an arbitral tribunal;</w:t>
      </w:r>
      <w:r w:rsidRPr="003C38FD">
        <w:rPr>
          <w:rStyle w:val="FootnoteReference"/>
          <w:rFonts w:ascii="Times New Roman" w:hAnsi="Times New Roman"/>
          <w:sz w:val="24"/>
        </w:rPr>
        <w:footnoteReference w:id="96"/>
      </w:r>
      <w:r w:rsidRPr="003C38FD">
        <w:rPr>
          <w:rFonts w:ascii="Times New Roman" w:hAnsi="Times New Roman"/>
        </w:rPr>
        <w:t xml:space="preserve"> and </w:t>
      </w:r>
      <w:r w:rsidRPr="003C38FD">
        <w:rPr>
          <w:rFonts w:ascii="Times New Roman" w:hAnsi="Times New Roman"/>
        </w:rPr>
        <w:lastRenderedPageBreak/>
        <w:t>make orders to assist in collecting evidence,</w:t>
      </w:r>
      <w:r w:rsidRPr="003C38FD">
        <w:rPr>
          <w:rStyle w:val="FootnoteReference"/>
          <w:rFonts w:ascii="Times New Roman" w:hAnsi="Times New Roman"/>
          <w:sz w:val="24"/>
        </w:rPr>
        <w:footnoteReference w:id="97"/>
      </w:r>
      <w:r w:rsidRPr="003C38FD">
        <w:rPr>
          <w:rFonts w:ascii="Times New Roman" w:hAnsi="Times New Roman"/>
        </w:rPr>
        <w:t xml:space="preserve"> preserving the confidentiality of the arbitral process</w:t>
      </w:r>
      <w:r w:rsidRPr="003C38FD">
        <w:rPr>
          <w:rStyle w:val="FootnoteReference"/>
          <w:rFonts w:ascii="Times New Roman" w:hAnsi="Times New Roman"/>
          <w:sz w:val="24"/>
        </w:rPr>
        <w:footnoteReference w:id="98"/>
      </w:r>
      <w:r w:rsidRPr="003C38FD">
        <w:rPr>
          <w:rFonts w:ascii="Times New Roman" w:hAnsi="Times New Roman"/>
        </w:rPr>
        <w:t xml:space="preserve"> and in relation to the costs of aborted arbitrations.</w:t>
      </w:r>
      <w:r w:rsidRPr="003C38FD">
        <w:rPr>
          <w:rStyle w:val="FootnoteReference"/>
          <w:rFonts w:ascii="Times New Roman" w:hAnsi="Times New Roman"/>
          <w:sz w:val="24"/>
        </w:rPr>
        <w:footnoteReference w:id="99"/>
      </w:r>
      <w:r w:rsidRPr="003C38FD">
        <w:rPr>
          <w:rFonts w:ascii="Times New Roman" w:hAnsi="Times New Roman"/>
        </w:rPr>
        <w:t xml:space="preserve"> </w:t>
      </w:r>
    </w:p>
    <w:p w14:paraId="1E4BB649"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So far as curial intervention is concerned, s 16(1) of the Arbitration Act confirms that an arbitral tribunal may rule on its own "jurisdiction", either as a preliminary question or in an award on the merits.</w:t>
      </w:r>
      <w:r w:rsidRPr="003C38FD">
        <w:rPr>
          <w:rStyle w:val="FootnoteReference"/>
          <w:rFonts w:ascii="Times New Roman" w:hAnsi="Times New Roman"/>
          <w:sz w:val="24"/>
        </w:rPr>
        <w:footnoteReference w:id="100"/>
      </w:r>
      <w:r w:rsidRPr="003C38FD">
        <w:rPr>
          <w:rFonts w:ascii="Times New Roman" w:hAnsi="Times New Roman"/>
        </w:rPr>
        <w:t xml:space="preserve"> If an arbitral tribunal rules as a preliminary question that it has jurisdiction, any party may request the Court to decide the matter.</w:t>
      </w:r>
      <w:r w:rsidRPr="003C38FD">
        <w:rPr>
          <w:rStyle w:val="FootnoteReference"/>
          <w:rFonts w:ascii="Times New Roman" w:hAnsi="Times New Roman"/>
          <w:sz w:val="24"/>
        </w:rPr>
        <w:footnoteReference w:id="101"/>
      </w:r>
      <w:r w:rsidRPr="003C38FD">
        <w:rPr>
          <w:rFonts w:ascii="Times New Roman" w:hAnsi="Times New Roman"/>
        </w:rPr>
        <w:t xml:space="preserve"> Section 16 of the Arbitration Act corresponds with Art 16 of the Model Law.</w:t>
      </w:r>
    </w:p>
    <w:p w14:paraId="599CBDF3"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Consistent with the admonition against unauthorised curial intervention in s 5 of the Arbitration Act, s 34(1) provides that "[r]ecourse to the Court against an arbitral award may be made only by an application for setting aside [the award]</w:t>
      </w:r>
      <w:r w:rsidRPr="003C38FD" w:rsidDel="00343728">
        <w:rPr>
          <w:rFonts w:ascii="Times New Roman" w:hAnsi="Times New Roman"/>
        </w:rPr>
        <w:t xml:space="preserve"> </w:t>
      </w:r>
      <w:r w:rsidRPr="003C38FD">
        <w:rPr>
          <w:rFonts w:ascii="Times New Roman" w:hAnsi="Times New Roman"/>
        </w:rPr>
        <w:t xml:space="preserve">in accordance with" the grounds specified in s 34(2)-(3) "or by an appeal under section 34A". Section 34(2) has two categories of grounds for intervention. The first category is in s 34(2)(a), in respect of which the party applying to set aside the award must furnish proof. The second category is in s 34(2)(b), namely where the Court finds that the dispute concerns a "subject matter ... not capable of settlement by arbitration" or that the award "is in conflict with the public policy" of the State of Western Australia. Other than the reference to s 34A, s 34 of the Arbitration Act corresponds with Art 34 of the Model Law. </w:t>
      </w:r>
    </w:p>
    <w:p w14:paraId="6D2FEC4A"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As mentioned, the purported ground for intervention in this case was s 34(2)(a)(iii) of the Arbitration Act, which is established where there is proof that an award "deals with a dispute not contemplated by or not falling within the terms of the submission to arbitration, or contains decisions on matters beyond the scope of the submission to arbitration". The former concerns an award addressing a "dispute" that was not within the terms of the parties' agreement to submit to arbitration, whereas the latter concerns an arbitral tribunal dealing with a dispute that was submitted to arbitration but making an award that addresses matters beyond the scope of the dispute.</w:t>
      </w:r>
      <w:r w:rsidRPr="003C38FD">
        <w:rPr>
          <w:rStyle w:val="FootnoteReference"/>
          <w:rFonts w:ascii="Times New Roman" w:hAnsi="Times New Roman"/>
          <w:sz w:val="24"/>
        </w:rPr>
        <w:footnoteReference w:id="102"/>
      </w:r>
      <w:r w:rsidRPr="003C38FD">
        <w:rPr>
          <w:rFonts w:ascii="Times New Roman" w:hAnsi="Times New Roman"/>
        </w:rPr>
        <w:t xml:space="preserve"> Section 34(2)(a)(iii) of the Arbitration Act is </w:t>
      </w:r>
      <w:r w:rsidRPr="003C38FD">
        <w:rPr>
          <w:rFonts w:ascii="Times New Roman" w:hAnsi="Times New Roman"/>
        </w:rPr>
        <w:lastRenderedPageBreak/>
        <w:t>not a basis for reviewing an arbitrator's assessment of the merits of a dispute,</w:t>
      </w:r>
      <w:r w:rsidRPr="003C38FD">
        <w:rPr>
          <w:rStyle w:val="FootnoteReference"/>
          <w:rFonts w:ascii="Times New Roman" w:hAnsi="Times New Roman"/>
          <w:sz w:val="24"/>
        </w:rPr>
        <w:footnoteReference w:id="103"/>
      </w:r>
      <w:r w:rsidRPr="003C38FD">
        <w:rPr>
          <w:rFonts w:ascii="Times New Roman" w:hAnsi="Times New Roman"/>
        </w:rPr>
        <w:t xml:space="preserve"> nor is it a basis for reviewing supposedly erroneous answers to questions of law arising in the course of arbitral proceedings. </w:t>
      </w:r>
    </w:p>
    <w:p w14:paraId="6288CAFE"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Two further matters should be noted about these provisions.</w:t>
      </w:r>
    </w:p>
    <w:p w14:paraId="34E052B5"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The first matter concerns the interrelationship between s 16 and the grounds for setting aside an award in s 34 of the Arbitration Act. Section 16 uses the phrase "jurisdiction" but s 34 does not. The phrases "jurisdiction" and "jurisdictional" have a developed understanding in this country.</w:t>
      </w:r>
      <w:r w:rsidRPr="003C38FD">
        <w:rPr>
          <w:rStyle w:val="FootnoteReference"/>
          <w:rFonts w:ascii="Times New Roman" w:hAnsi="Times New Roman"/>
          <w:sz w:val="24"/>
        </w:rPr>
        <w:footnoteReference w:id="104"/>
      </w:r>
      <w:r w:rsidRPr="003C38FD">
        <w:rPr>
          <w:rFonts w:ascii="Times New Roman" w:hAnsi="Times New Roman"/>
        </w:rPr>
        <w:t xml:space="preserve"> However, given the interpretative provisions referred to earlier, the phrase "jurisdiction" may not carry the same richness of meaning when used in s 16 of the Arbitration Act and other Australian legislation that gives effect to the Model Law. </w:t>
      </w:r>
    </w:p>
    <w:p w14:paraId="1CD1BAD4"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In </w:t>
      </w:r>
      <w:r w:rsidRPr="003C38FD">
        <w:rPr>
          <w:rFonts w:ascii="Times New Roman" w:hAnsi="Times New Roman"/>
          <w:i/>
          <w:iCs/>
        </w:rPr>
        <w:t>C v D</w:t>
      </w:r>
      <w:r w:rsidRPr="003C38FD">
        <w:rPr>
          <w:rFonts w:ascii="Times New Roman" w:hAnsi="Times New Roman"/>
        </w:rPr>
        <w:t>,</w:t>
      </w:r>
      <w:r w:rsidRPr="003C38FD">
        <w:rPr>
          <w:rStyle w:val="FootnoteReference"/>
          <w:rFonts w:ascii="Times New Roman" w:hAnsi="Times New Roman"/>
          <w:sz w:val="24"/>
        </w:rPr>
        <w:footnoteReference w:id="105"/>
      </w:r>
      <w:r w:rsidRPr="003C38FD">
        <w:rPr>
          <w:rFonts w:ascii="Times New Roman" w:hAnsi="Times New Roman"/>
        </w:rPr>
        <w:t xml:space="preserve"> the Hong Kong Court of Final Appeal considered that the Hong Kong equivalent provisions to Arts 16</w:t>
      </w:r>
      <w:r w:rsidRPr="003C38FD">
        <w:rPr>
          <w:rStyle w:val="FootnoteReference"/>
          <w:rFonts w:ascii="Times New Roman" w:hAnsi="Times New Roman"/>
          <w:sz w:val="24"/>
        </w:rPr>
        <w:footnoteReference w:id="106"/>
      </w:r>
      <w:r w:rsidRPr="003C38FD">
        <w:rPr>
          <w:rFonts w:ascii="Times New Roman" w:hAnsi="Times New Roman"/>
        </w:rPr>
        <w:t xml:space="preserve"> and 34</w:t>
      </w:r>
      <w:r w:rsidRPr="003C38FD">
        <w:rPr>
          <w:rStyle w:val="FootnoteReference"/>
          <w:rFonts w:ascii="Times New Roman" w:hAnsi="Times New Roman"/>
          <w:sz w:val="24"/>
        </w:rPr>
        <w:footnoteReference w:id="107"/>
      </w:r>
      <w:r w:rsidRPr="003C38FD">
        <w:rPr>
          <w:rFonts w:ascii="Times New Roman" w:hAnsi="Times New Roman"/>
        </w:rPr>
        <w:t xml:space="preserve"> of the Model Law operate together,</w:t>
      </w:r>
      <w:r w:rsidRPr="003C38FD">
        <w:rPr>
          <w:rStyle w:val="FootnoteReference"/>
          <w:rFonts w:ascii="Times New Roman" w:hAnsi="Times New Roman"/>
          <w:sz w:val="24"/>
        </w:rPr>
        <w:footnoteReference w:id="108"/>
      </w:r>
      <w:r w:rsidRPr="003C38FD">
        <w:rPr>
          <w:rFonts w:ascii="Times New Roman" w:hAnsi="Times New Roman"/>
        </w:rPr>
        <w:t xml:space="preserve"> although the reasons of the members of the Court were expressed in slightly different terms. Cheung CJ considered that there was substantial overlap between the two provisions such that Art 34 must "cover an award made by the tribunal without 'jurisdiction' in the [Art 16] sense".</w:t>
      </w:r>
      <w:r w:rsidRPr="003C38FD">
        <w:rPr>
          <w:rStyle w:val="FootnoteReference"/>
          <w:rFonts w:ascii="Times New Roman" w:hAnsi="Times New Roman"/>
          <w:sz w:val="24"/>
        </w:rPr>
        <w:footnoteReference w:id="109"/>
      </w:r>
      <w:r w:rsidRPr="003C38FD">
        <w:rPr>
          <w:rFonts w:ascii="Times New Roman" w:hAnsi="Times New Roman"/>
        </w:rPr>
        <w:t xml:space="preserve"> Ribeiro PJ referred to the two provisions as operating "in tandem"</w:t>
      </w:r>
      <w:r w:rsidRPr="003C38FD">
        <w:rPr>
          <w:rStyle w:val="FootnoteReference"/>
          <w:rFonts w:ascii="Times New Roman" w:hAnsi="Times New Roman"/>
          <w:sz w:val="24"/>
        </w:rPr>
        <w:footnoteReference w:id="110"/>
      </w:r>
      <w:r w:rsidRPr="003C38FD">
        <w:rPr>
          <w:rFonts w:ascii="Times New Roman" w:hAnsi="Times New Roman"/>
        </w:rPr>
        <w:t xml:space="preserve"> such that the matters specified in Art 34 go to the jurisdiction of an arbitral tribunal.</w:t>
      </w:r>
      <w:r w:rsidRPr="003C38FD">
        <w:rPr>
          <w:rStyle w:val="FootnoteReference"/>
          <w:rFonts w:ascii="Times New Roman" w:hAnsi="Times New Roman"/>
          <w:sz w:val="24"/>
        </w:rPr>
        <w:footnoteReference w:id="111"/>
      </w:r>
      <w:r w:rsidRPr="003C38FD">
        <w:rPr>
          <w:rFonts w:ascii="Times New Roman" w:hAnsi="Times New Roman"/>
        </w:rPr>
        <w:t xml:space="preserve"> Gummow NPJ expressed a preference for a construction in which the scope of curial intervention in Art 34 is "epexegetical" (ie, explanatory) of Art 16(1).</w:t>
      </w:r>
      <w:r w:rsidRPr="003C38FD">
        <w:rPr>
          <w:rStyle w:val="FootnoteReference"/>
          <w:rFonts w:ascii="Times New Roman" w:hAnsi="Times New Roman"/>
          <w:sz w:val="24"/>
        </w:rPr>
        <w:footnoteReference w:id="112"/>
      </w:r>
      <w:r w:rsidRPr="003C38FD">
        <w:rPr>
          <w:rFonts w:ascii="Times New Roman" w:hAnsi="Times New Roman"/>
        </w:rPr>
        <w:t xml:space="preserve"> For present purposes, it suffices to </w:t>
      </w:r>
      <w:r w:rsidRPr="003C38FD">
        <w:rPr>
          <w:rFonts w:ascii="Times New Roman" w:hAnsi="Times New Roman"/>
        </w:rPr>
        <w:lastRenderedPageBreak/>
        <w:t xml:space="preserve">treat the grounds for setting aside an award in s 34 of the Arbitration Act as matters going to an arbitral tribunal's jurisdiction without expressing any final view on the degree of overlap between ss 16 and 34 of the Arbitration Act. </w:t>
      </w:r>
    </w:p>
    <w:p w14:paraId="34F91F06"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The second matter concerns ss 27J and 34A of the Arbitration Act. Section 27J(1) confers on the Court jurisdiction to determine any question of law arising during the course of the arbitration following an application by any of the parties, but only with the leave of the Court and the consent of either the arbitrator or all the other parties.</w:t>
      </w:r>
      <w:r w:rsidRPr="003C38FD">
        <w:rPr>
          <w:rStyle w:val="FootnoteReference"/>
          <w:rFonts w:ascii="Times New Roman" w:hAnsi="Times New Roman"/>
          <w:sz w:val="24"/>
        </w:rPr>
        <w:footnoteReference w:id="113"/>
      </w:r>
      <w:r w:rsidRPr="003C38FD">
        <w:rPr>
          <w:rFonts w:ascii="Times New Roman" w:hAnsi="Times New Roman"/>
        </w:rPr>
        <w:t xml:space="preserve"> Similarly, s 34A enables an appeal to the Court on any question of law arising out of an award, but only if the parties agree and the Court grants leave.</w:t>
      </w:r>
      <w:r w:rsidRPr="003C38FD">
        <w:rPr>
          <w:rStyle w:val="FootnoteReference"/>
          <w:rFonts w:ascii="Times New Roman" w:hAnsi="Times New Roman"/>
          <w:sz w:val="24"/>
        </w:rPr>
        <w:footnoteReference w:id="114"/>
      </w:r>
      <w:r w:rsidRPr="003C38FD">
        <w:rPr>
          <w:rFonts w:ascii="Times New Roman" w:hAnsi="Times New Roman"/>
        </w:rPr>
        <w:t xml:space="preserve"> The arbitration statutes of the other States and Territories have similar provisions.</w:t>
      </w:r>
      <w:r w:rsidRPr="003C38FD">
        <w:rPr>
          <w:rStyle w:val="FootnoteReference"/>
          <w:rFonts w:ascii="Times New Roman" w:hAnsi="Times New Roman"/>
          <w:sz w:val="24"/>
        </w:rPr>
        <w:footnoteReference w:id="115"/>
      </w:r>
      <w:r w:rsidRPr="003C38FD">
        <w:rPr>
          <w:rFonts w:ascii="Times New Roman" w:hAnsi="Times New Roman"/>
        </w:rPr>
        <w:t xml:space="preserve"> There is no equivalent to either provision in the Model Law. These provisions represent a (modest) extension of the power of curial intervention contemplated by the Model Law. However, they also serve to confirm that neither s 16 nor s 34 of the Arbitration Act is engaged merely because an arbitral tribunal has given a wrong answer to a question of law.</w:t>
      </w:r>
    </w:p>
    <w:p w14:paraId="5427F202" w14:textId="77777777" w:rsidR="003A3473" w:rsidRPr="003C38FD" w:rsidRDefault="003A3473" w:rsidP="003C38FD">
      <w:pPr>
        <w:pStyle w:val="HeadingL1"/>
        <w:spacing w:after="260" w:line="280" w:lineRule="exact"/>
        <w:ind w:right="0"/>
        <w:jc w:val="both"/>
        <w:rPr>
          <w:rFonts w:ascii="Times New Roman" w:hAnsi="Times New Roman"/>
          <w:szCs w:val="26"/>
        </w:rPr>
      </w:pPr>
      <w:r w:rsidRPr="003C38FD">
        <w:rPr>
          <w:rFonts w:ascii="Times New Roman" w:hAnsi="Times New Roman"/>
          <w:i/>
          <w:szCs w:val="26"/>
        </w:rPr>
        <w:t>Functus officio</w:t>
      </w:r>
      <w:r w:rsidRPr="003C38FD">
        <w:rPr>
          <w:rFonts w:ascii="Times New Roman" w:hAnsi="Times New Roman"/>
          <w:szCs w:val="26"/>
        </w:rPr>
        <w:t xml:space="preserve"> and the arbitral tribunal's mandate</w:t>
      </w:r>
    </w:p>
    <w:p w14:paraId="1B7C25D9"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Both the primary judge and the Court of Appeal reasoned from a finding that the arbitral tribunal was </w:t>
      </w:r>
      <w:r w:rsidRPr="003C38FD">
        <w:rPr>
          <w:rFonts w:ascii="Times New Roman" w:hAnsi="Times New Roman"/>
          <w:i/>
          <w:iCs/>
        </w:rPr>
        <w:t>functus officio</w:t>
      </w:r>
      <w:r w:rsidRPr="003C38FD">
        <w:rPr>
          <w:rFonts w:ascii="Times New Roman" w:hAnsi="Times New Roman"/>
        </w:rPr>
        <w:t xml:space="preserve"> in respect of the matters the subject matter of the First Interim Award to conclude that the Second Interim Award should be set aside under s 34(2)(a)(iii) of the Arbitration Act on the basis that it dealt with such subject matters. The critical step in that reasoning was the conclusion that the arbitral tribunal was </w:t>
      </w:r>
      <w:r w:rsidRPr="003C38FD">
        <w:rPr>
          <w:rFonts w:ascii="Times New Roman" w:hAnsi="Times New Roman"/>
          <w:i/>
          <w:iCs/>
        </w:rPr>
        <w:t>functus officio</w:t>
      </w:r>
      <w:r w:rsidRPr="003C38FD">
        <w:rPr>
          <w:rFonts w:ascii="Times New Roman" w:hAnsi="Times New Roman"/>
        </w:rPr>
        <w:t xml:space="preserve"> in relation to the subject matter of the First Interim Award. </w:t>
      </w:r>
    </w:p>
    <w:p w14:paraId="04C4B79F"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r>
      <w:r w:rsidRPr="003C38FD">
        <w:rPr>
          <w:rFonts w:ascii="Times New Roman" w:hAnsi="Times New Roman"/>
          <w:i/>
          <w:iCs/>
        </w:rPr>
        <w:t>Functus officio</w:t>
      </w:r>
      <w:r w:rsidRPr="003C38FD">
        <w:rPr>
          <w:rFonts w:ascii="Times New Roman" w:hAnsi="Times New Roman"/>
        </w:rPr>
        <w:t xml:space="preserve"> is not a substantive legal doctrine or theory. Instead, it simply "describes a conclusion [about] the legal authority of a person" to the effect that "an exercise of power, or a performance of a function or duty, is complete and </w:t>
      </w:r>
      <w:r w:rsidRPr="003C38FD">
        <w:rPr>
          <w:rFonts w:ascii="Times New Roman" w:hAnsi="Times New Roman"/>
        </w:rPr>
        <w:lastRenderedPageBreak/>
        <w:t>the person has no power left to exercise, or no function or duty left to perform".</w:t>
      </w:r>
      <w:r w:rsidRPr="003C38FD">
        <w:rPr>
          <w:rStyle w:val="FootnoteReference"/>
          <w:rFonts w:ascii="Times New Roman" w:hAnsi="Times New Roman"/>
          <w:sz w:val="24"/>
        </w:rPr>
        <w:footnoteReference w:id="116"/>
      </w:r>
      <w:r w:rsidRPr="003C38FD">
        <w:rPr>
          <w:rFonts w:ascii="Times New Roman" w:hAnsi="Times New Roman"/>
        </w:rPr>
        <w:t xml:space="preserve"> A conclusion that a body is </w:t>
      </w:r>
      <w:r w:rsidRPr="003C38FD">
        <w:rPr>
          <w:rFonts w:ascii="Times New Roman" w:hAnsi="Times New Roman"/>
          <w:i/>
          <w:iCs/>
        </w:rPr>
        <w:t>functus officio</w:t>
      </w:r>
      <w:r w:rsidRPr="003C38FD">
        <w:rPr>
          <w:rFonts w:ascii="Times New Roman" w:hAnsi="Times New Roman"/>
        </w:rPr>
        <w:t xml:space="preserve"> must be justified, rather than asserted. Such a conclusion can only be "reached by close examination of the particular circumstances, and the nature of the power, function or duty in question".</w:t>
      </w:r>
      <w:r w:rsidRPr="003C38FD">
        <w:rPr>
          <w:rStyle w:val="FootnoteReference"/>
          <w:rFonts w:ascii="Times New Roman" w:hAnsi="Times New Roman"/>
          <w:sz w:val="24"/>
        </w:rPr>
        <w:footnoteReference w:id="117"/>
      </w:r>
      <w:r w:rsidRPr="003C38FD">
        <w:rPr>
          <w:rFonts w:ascii="Times New Roman" w:hAnsi="Times New Roman"/>
        </w:rPr>
        <w:t xml:space="preserve"> This is so regardless of whether a public</w:t>
      </w:r>
      <w:r w:rsidRPr="003C38FD">
        <w:rPr>
          <w:rStyle w:val="FootnoteReference"/>
          <w:rFonts w:ascii="Times New Roman" w:hAnsi="Times New Roman"/>
          <w:sz w:val="24"/>
        </w:rPr>
        <w:footnoteReference w:id="118"/>
      </w:r>
      <w:r w:rsidRPr="003C38FD">
        <w:rPr>
          <w:rFonts w:ascii="Times New Roman" w:hAnsi="Times New Roman"/>
        </w:rPr>
        <w:t xml:space="preserve"> or private</w:t>
      </w:r>
      <w:r w:rsidRPr="003C38FD">
        <w:rPr>
          <w:rStyle w:val="FootnoteReference"/>
          <w:rFonts w:ascii="Times New Roman" w:hAnsi="Times New Roman"/>
          <w:sz w:val="24"/>
        </w:rPr>
        <w:footnoteReference w:id="119"/>
      </w:r>
      <w:r w:rsidRPr="003C38FD">
        <w:rPr>
          <w:rFonts w:ascii="Times New Roman" w:hAnsi="Times New Roman"/>
        </w:rPr>
        <w:t xml:space="preserve"> power or duty is exercised or performed and, in cases of public power, </w:t>
      </w:r>
      <w:r w:rsidRPr="003C38FD" w:rsidDel="005D40B5">
        <w:rPr>
          <w:rFonts w:ascii="Times New Roman" w:hAnsi="Times New Roman"/>
        </w:rPr>
        <w:t xml:space="preserve">regardless of </w:t>
      </w:r>
      <w:r w:rsidRPr="003C38FD">
        <w:rPr>
          <w:rFonts w:ascii="Times New Roman" w:hAnsi="Times New Roman"/>
        </w:rPr>
        <w:t>whether a court</w:t>
      </w:r>
      <w:r w:rsidRPr="003C38FD">
        <w:rPr>
          <w:rStyle w:val="FootnoteReference"/>
          <w:rFonts w:ascii="Times New Roman" w:hAnsi="Times New Roman"/>
          <w:sz w:val="24"/>
        </w:rPr>
        <w:footnoteReference w:id="120"/>
      </w:r>
      <w:r w:rsidRPr="003C38FD">
        <w:rPr>
          <w:rFonts w:ascii="Times New Roman" w:hAnsi="Times New Roman"/>
        </w:rPr>
        <w:t xml:space="preserve"> or other body</w:t>
      </w:r>
      <w:r w:rsidRPr="003C38FD">
        <w:rPr>
          <w:rStyle w:val="FootnoteReference"/>
          <w:rFonts w:ascii="Times New Roman" w:hAnsi="Times New Roman"/>
          <w:sz w:val="24"/>
        </w:rPr>
        <w:footnoteReference w:id="121"/>
      </w:r>
      <w:r w:rsidRPr="003C38FD">
        <w:rPr>
          <w:rFonts w:ascii="Times New Roman" w:hAnsi="Times New Roman"/>
        </w:rPr>
        <w:t xml:space="preserve"> exercises that power or performs that duty. The same applies to an arbitral tribunal operating under the Arbitration Act, which derives its jurisdiction from the consent of the parties but has its determinations given the force of law by statute and enforced by curial order.</w:t>
      </w:r>
    </w:p>
    <w:p w14:paraId="09C514AC"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The Arbitration Act specifies at least one circumstance when the mandate of an arbitral tribunal is exhausted such that a court could accurately describe the arbitral tribunal as </w:t>
      </w:r>
      <w:r w:rsidRPr="003C38FD">
        <w:rPr>
          <w:rFonts w:ascii="Times New Roman" w:hAnsi="Times New Roman"/>
          <w:i/>
        </w:rPr>
        <w:t>functus officio</w:t>
      </w:r>
      <w:r w:rsidRPr="003C38FD">
        <w:rPr>
          <w:rFonts w:ascii="Times New Roman" w:hAnsi="Times New Roman"/>
        </w:rPr>
        <w:t xml:space="preserve">. Section 32(1) provides that arbitral proceedings are terminated by a "final award" or an order of an arbitral tribunal made in accordance with s 32(2), namely where there has been: (a) a withdrawal of a claim; (b) an agreement on the termination of the proceedings; (c) a finding that the continuation of the proceedings has, for any other reason, become "unnecessary or impossible"; or (d) an award dismissing the claim for delay. Subject to an arbitral tribunal making a correction or interpretation of an award under s 33 or the Court making an order for the resumption of the arbitral proceedings under s 34(4), the </w:t>
      </w:r>
      <w:r w:rsidRPr="003C38FD">
        <w:rPr>
          <w:rFonts w:ascii="Times New Roman" w:hAnsi="Times New Roman"/>
        </w:rPr>
        <w:lastRenderedPageBreak/>
        <w:t>Arbitration Act provides that "[t]he mandate of the arbitral tribunal terminates with the termination of the arbitral proceedings".</w:t>
      </w:r>
      <w:r w:rsidRPr="003C38FD">
        <w:rPr>
          <w:rStyle w:val="FootnoteReference"/>
          <w:rFonts w:ascii="Times New Roman" w:hAnsi="Times New Roman"/>
          <w:sz w:val="24"/>
        </w:rPr>
        <w:footnoteReference w:id="122"/>
      </w:r>
      <w:r w:rsidRPr="003C38FD">
        <w:rPr>
          <w:rFonts w:ascii="Times New Roman" w:hAnsi="Times New Roman"/>
        </w:rPr>
        <w:t xml:space="preserve"> </w:t>
      </w:r>
    </w:p>
    <w:p w14:paraId="68B6D004"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In this case, there has not been any "final award" and there is no basis to conclude that the mandate of the arbitral tribunal has been exhausted under these provisions. Instead, the primary judge and the Court of Appeal's conclusion that the arbitral tribunal was </w:t>
      </w:r>
      <w:r w:rsidRPr="003C38FD">
        <w:rPr>
          <w:rFonts w:ascii="Times New Roman" w:hAnsi="Times New Roman"/>
          <w:i/>
        </w:rPr>
        <w:t>functus officio</w:t>
      </w:r>
      <w:r w:rsidRPr="003C38FD">
        <w:rPr>
          <w:rFonts w:ascii="Times New Roman" w:hAnsi="Times New Roman"/>
        </w:rPr>
        <w:t xml:space="preserve"> in relation to the First Interim Award was said to follow from the principles of finality applicable to interim awards, as enunciated by Diplock LJ in </w:t>
      </w:r>
      <w:r w:rsidRPr="003C38FD">
        <w:rPr>
          <w:rFonts w:ascii="Times New Roman" w:hAnsi="Times New Roman"/>
          <w:i/>
          <w:iCs/>
        </w:rPr>
        <w:t>Fidelitas Shipping Co Ltd v V/O Exportchleb</w:t>
      </w:r>
      <w:r w:rsidRPr="003C38FD">
        <w:rPr>
          <w:rFonts w:ascii="Times New Roman" w:hAnsi="Times New Roman"/>
        </w:rPr>
        <w:t>,</w:t>
      </w:r>
      <w:r w:rsidRPr="003C38FD">
        <w:rPr>
          <w:rStyle w:val="FootnoteReference"/>
          <w:rFonts w:ascii="Times New Roman" w:hAnsi="Times New Roman"/>
          <w:sz w:val="24"/>
        </w:rPr>
        <w:footnoteReference w:id="123"/>
      </w:r>
      <w:r w:rsidRPr="003C38FD">
        <w:rPr>
          <w:rFonts w:ascii="Times New Roman" w:hAnsi="Times New Roman"/>
        </w:rPr>
        <w:t xml:space="preserve"> the scope of the parties' agreement to submit to arbitration, or both.</w:t>
      </w:r>
      <w:r w:rsidRPr="003C38FD">
        <w:rPr>
          <w:rStyle w:val="FootnoteReference"/>
          <w:rFonts w:ascii="Times New Roman" w:hAnsi="Times New Roman"/>
          <w:sz w:val="24"/>
        </w:rPr>
        <w:footnoteReference w:id="124"/>
      </w:r>
      <w:r w:rsidRPr="003C38FD">
        <w:rPr>
          <w:rFonts w:ascii="Times New Roman" w:hAnsi="Times New Roman"/>
        </w:rPr>
        <w:t xml:space="preserve"> Each will be addressed in turn. </w:t>
      </w:r>
    </w:p>
    <w:p w14:paraId="485718DF" w14:textId="77777777" w:rsidR="003A3473" w:rsidRPr="003C38FD" w:rsidRDefault="003A3473" w:rsidP="003C38FD">
      <w:pPr>
        <w:pStyle w:val="HeadingL1"/>
        <w:spacing w:after="260" w:line="280" w:lineRule="exact"/>
        <w:ind w:right="0"/>
        <w:jc w:val="both"/>
        <w:rPr>
          <w:rFonts w:ascii="Times New Roman" w:hAnsi="Times New Roman"/>
          <w:szCs w:val="26"/>
        </w:rPr>
      </w:pPr>
      <w:r w:rsidRPr="003C38FD">
        <w:rPr>
          <w:rFonts w:ascii="Times New Roman" w:hAnsi="Times New Roman"/>
          <w:szCs w:val="26"/>
        </w:rPr>
        <w:t xml:space="preserve">The jurisdiction/admissibility distinction and </w:t>
      </w:r>
      <w:r w:rsidRPr="003C38FD">
        <w:rPr>
          <w:rFonts w:ascii="Times New Roman" w:hAnsi="Times New Roman"/>
          <w:i/>
          <w:szCs w:val="26"/>
        </w:rPr>
        <w:t>Fidelitas</w:t>
      </w:r>
    </w:p>
    <w:p w14:paraId="506200AC"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In </w:t>
      </w:r>
      <w:r w:rsidRPr="003C38FD">
        <w:rPr>
          <w:rFonts w:ascii="Times New Roman" w:hAnsi="Times New Roman"/>
          <w:i/>
          <w:iCs/>
        </w:rPr>
        <w:t>C v D</w:t>
      </w:r>
      <w:r w:rsidRPr="003C38FD">
        <w:rPr>
          <w:rFonts w:ascii="Times New Roman" w:hAnsi="Times New Roman"/>
        </w:rPr>
        <w:t>, four members of the Hong Kong Court of Final Appeal endorsed the application of the so</w:t>
      </w:r>
      <w:r w:rsidRPr="003C38FD">
        <w:rPr>
          <w:rFonts w:ascii="Times New Roman" w:hAnsi="Times New Roman"/>
        </w:rPr>
        <w:noBreakHyphen/>
        <w:t>called "jurisdiction/admissibility" distinction to the Hong Kong equivalent provisions of Arts 16 and 34</w:t>
      </w:r>
      <w:r w:rsidRPr="003C38FD">
        <w:rPr>
          <w:rStyle w:val="FootnoteReference"/>
          <w:rFonts w:ascii="Times New Roman" w:hAnsi="Times New Roman"/>
          <w:sz w:val="24"/>
        </w:rPr>
        <w:footnoteReference w:id="125"/>
      </w:r>
      <w:r w:rsidRPr="003C38FD">
        <w:rPr>
          <w:rFonts w:ascii="Times New Roman" w:hAnsi="Times New Roman"/>
        </w:rPr>
        <w:t xml:space="preserve"> of the Model Law.</w:t>
      </w:r>
      <w:r w:rsidRPr="003C38FD">
        <w:rPr>
          <w:rStyle w:val="FootnoteReference"/>
          <w:rFonts w:ascii="Times New Roman" w:hAnsi="Times New Roman"/>
          <w:sz w:val="24"/>
        </w:rPr>
        <w:footnoteReference w:id="126"/>
      </w:r>
      <w:r w:rsidRPr="003C38FD">
        <w:rPr>
          <w:rFonts w:ascii="Times New Roman" w:hAnsi="Times New Roman"/>
        </w:rPr>
        <w:t xml:space="preserve"> Applying this distinction, a court exercising a review function under the equivalents of Arts 16 and 34 of the Model Law may review an arbitral tribunal's ruling on jurisdiction and determine that issue </w:t>
      </w:r>
      <w:r w:rsidRPr="003C38FD">
        <w:rPr>
          <w:rFonts w:ascii="Times New Roman" w:hAnsi="Times New Roman"/>
          <w:i/>
          <w:iCs/>
        </w:rPr>
        <w:t>de novo</w:t>
      </w:r>
      <w:r w:rsidRPr="003C38FD">
        <w:rPr>
          <w:rFonts w:ascii="Times New Roman" w:hAnsi="Times New Roman"/>
        </w:rPr>
        <w:t xml:space="preserve"> but may not review a challenge to the admissibility of the claim itself, which is a matter exclusively for the arbitral tribunal.</w:t>
      </w:r>
      <w:r w:rsidRPr="003C38FD">
        <w:rPr>
          <w:rStyle w:val="FootnoteReference"/>
          <w:rFonts w:ascii="Times New Roman" w:hAnsi="Times New Roman"/>
          <w:sz w:val="24"/>
        </w:rPr>
        <w:footnoteReference w:id="127"/>
      </w:r>
      <w:r w:rsidRPr="003C38FD">
        <w:rPr>
          <w:rFonts w:ascii="Times New Roman" w:hAnsi="Times New Roman"/>
        </w:rPr>
        <w:t xml:space="preserve"> The fifth member of the Hong Kong Court of Final Appeal, Gummow NPJ, rejected the "jurisdiction/admissibility" distinction as an "unnecessary distraction"</w:t>
      </w:r>
      <w:r w:rsidRPr="003C38FD">
        <w:rPr>
          <w:rStyle w:val="FootnoteReference"/>
          <w:rFonts w:ascii="Times New Roman" w:hAnsi="Times New Roman"/>
          <w:sz w:val="24"/>
        </w:rPr>
        <w:footnoteReference w:id="128"/>
      </w:r>
      <w:r w:rsidRPr="003C38FD">
        <w:rPr>
          <w:rFonts w:ascii="Times New Roman" w:hAnsi="Times New Roman"/>
        </w:rPr>
        <w:t xml:space="preserve"> from the inquiry into whether any of the grounds for curial intervention in Art 34 had been made out.</w:t>
      </w:r>
      <w:r w:rsidRPr="003C38FD">
        <w:rPr>
          <w:rStyle w:val="FootnoteReference"/>
          <w:rFonts w:ascii="Times New Roman" w:hAnsi="Times New Roman"/>
          <w:sz w:val="24"/>
        </w:rPr>
        <w:footnoteReference w:id="129"/>
      </w:r>
      <w:r w:rsidRPr="003C38FD">
        <w:rPr>
          <w:rFonts w:ascii="Times New Roman" w:hAnsi="Times New Roman"/>
        </w:rPr>
        <w:t xml:space="preserve"> </w:t>
      </w:r>
    </w:p>
    <w:p w14:paraId="5AC0A245"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lastRenderedPageBreak/>
        <w:tab/>
        <w:t>The "jurisdiction/admissibility" distinction has been consistently applied by the Court of Appeal of the Supreme Court of Singapore.</w:t>
      </w:r>
      <w:r w:rsidRPr="003C38FD">
        <w:rPr>
          <w:rStyle w:val="FootnoteReference"/>
          <w:rFonts w:ascii="Times New Roman" w:hAnsi="Times New Roman"/>
          <w:sz w:val="24"/>
        </w:rPr>
        <w:footnoteReference w:id="130"/>
      </w:r>
      <w:r w:rsidRPr="003C38FD">
        <w:rPr>
          <w:rFonts w:ascii="Times New Roman" w:hAnsi="Times New Roman"/>
        </w:rPr>
        <w:t xml:space="preserve"> Thus, in </w:t>
      </w:r>
      <w:r w:rsidRPr="003C38FD">
        <w:rPr>
          <w:rFonts w:ascii="Times New Roman" w:hAnsi="Times New Roman"/>
          <w:i/>
          <w:iCs/>
        </w:rPr>
        <w:t>BBA v BAZ</w:t>
      </w:r>
      <w:r w:rsidRPr="003C38FD">
        <w:rPr>
          <w:rFonts w:ascii="Times New Roman" w:hAnsi="Times New Roman"/>
        </w:rPr>
        <w:t>, that Court held that a contention that a claim is time barred only affects the admissibility of a claim, not the jurisdiction of the arbitral tribunal to determine it.</w:t>
      </w:r>
      <w:r w:rsidRPr="003C38FD">
        <w:rPr>
          <w:rStyle w:val="FootnoteReference"/>
          <w:rFonts w:ascii="Times New Roman" w:hAnsi="Times New Roman"/>
          <w:sz w:val="24"/>
        </w:rPr>
        <w:footnoteReference w:id="131"/>
      </w:r>
      <w:r w:rsidRPr="003C38FD">
        <w:rPr>
          <w:rFonts w:ascii="Times New Roman" w:hAnsi="Times New Roman"/>
        </w:rPr>
        <w:t xml:space="preserve"> Similarly, in </w:t>
      </w:r>
      <w:r w:rsidRPr="003C38FD">
        <w:rPr>
          <w:rFonts w:ascii="Times New Roman" w:hAnsi="Times New Roman"/>
          <w:i/>
          <w:iCs/>
        </w:rPr>
        <w:t>BTN v BTP</w:t>
      </w:r>
      <w:r w:rsidRPr="003C38FD">
        <w:rPr>
          <w:rFonts w:ascii="Times New Roman" w:hAnsi="Times New Roman"/>
        </w:rPr>
        <w:t xml:space="preserve">, that Court held that an objection based on </w:t>
      </w:r>
      <w:r w:rsidRPr="003C38FD">
        <w:rPr>
          <w:rFonts w:ascii="Times New Roman" w:hAnsi="Times New Roman"/>
          <w:i/>
          <w:iCs/>
        </w:rPr>
        <w:t>res judicata</w:t>
      </w:r>
      <w:r w:rsidRPr="003C38FD">
        <w:rPr>
          <w:rFonts w:ascii="Times New Roman" w:hAnsi="Times New Roman"/>
        </w:rPr>
        <w:t xml:space="preserve"> arising from a previous court decision only affects the admissibility of a claim, not the jurisdiction of an arbitral tribunal to determine it.</w:t>
      </w:r>
      <w:r w:rsidRPr="003C38FD">
        <w:rPr>
          <w:rStyle w:val="FootnoteReference"/>
          <w:rFonts w:ascii="Times New Roman" w:hAnsi="Times New Roman"/>
          <w:sz w:val="24"/>
        </w:rPr>
        <w:footnoteReference w:id="132"/>
      </w:r>
      <w:r w:rsidRPr="003C38FD">
        <w:rPr>
          <w:rFonts w:ascii="Times New Roman" w:hAnsi="Times New Roman"/>
        </w:rPr>
        <w:t xml:space="preserve"> </w:t>
      </w:r>
    </w:p>
    <w:p w14:paraId="2B1E1E77"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In this case, the Court of Appeal distinguished </w:t>
      </w:r>
      <w:r w:rsidRPr="003C38FD">
        <w:rPr>
          <w:rFonts w:ascii="Times New Roman" w:hAnsi="Times New Roman"/>
          <w:i/>
          <w:iCs/>
        </w:rPr>
        <w:t>BTN v BTP</w:t>
      </w:r>
      <w:r w:rsidRPr="003C38FD">
        <w:rPr>
          <w:rFonts w:ascii="Times New Roman" w:hAnsi="Times New Roman"/>
        </w:rPr>
        <w:t xml:space="preserve"> on the basis that it concerned an objection to a claim that arose from a previous court decision and not from an interim award in the same arbitral proceedings.</w:t>
      </w:r>
      <w:r w:rsidRPr="003C38FD">
        <w:rPr>
          <w:rStyle w:val="FootnoteReference"/>
          <w:rFonts w:ascii="Times New Roman" w:hAnsi="Times New Roman"/>
          <w:sz w:val="24"/>
        </w:rPr>
        <w:footnoteReference w:id="133"/>
      </w:r>
      <w:r w:rsidRPr="003C38FD">
        <w:rPr>
          <w:rFonts w:ascii="Times New Roman" w:hAnsi="Times New Roman"/>
        </w:rPr>
        <w:t xml:space="preserve"> Thus, the Court of Appeal concluded that </w:t>
      </w:r>
      <w:r w:rsidRPr="003C38FD">
        <w:rPr>
          <w:rFonts w:ascii="Times New Roman" w:hAnsi="Times New Roman"/>
          <w:i/>
          <w:iCs/>
        </w:rPr>
        <w:t>BTN v BTP</w:t>
      </w:r>
      <w:r w:rsidRPr="003C38FD">
        <w:rPr>
          <w:rFonts w:ascii="Times New Roman" w:hAnsi="Times New Roman"/>
        </w:rPr>
        <w:t xml:space="preserve"> "was not concerned with the question of whether the arbitrator was functus officio by reason of having delivered an award which exhausted the arbitrator's function".</w:t>
      </w:r>
      <w:r w:rsidRPr="003C38FD">
        <w:rPr>
          <w:rStyle w:val="FootnoteReference"/>
          <w:rFonts w:ascii="Times New Roman" w:hAnsi="Times New Roman"/>
          <w:sz w:val="24"/>
        </w:rPr>
        <w:footnoteReference w:id="134"/>
      </w:r>
      <w:r w:rsidRPr="003C38FD">
        <w:rPr>
          <w:rFonts w:ascii="Times New Roman" w:hAnsi="Times New Roman"/>
        </w:rPr>
        <w:t xml:space="preserve"> The Court of Appeal cited various authorities for the proposition that "[w]here a valid award is an interim award, the arbitrator is only functus officio with respect to the issues dealt with in that interim award, and retains the authority to deal with the matters left over".</w:t>
      </w:r>
      <w:r w:rsidRPr="003C38FD">
        <w:rPr>
          <w:rStyle w:val="FootnoteReference"/>
          <w:rFonts w:ascii="Times New Roman" w:hAnsi="Times New Roman"/>
          <w:sz w:val="24"/>
        </w:rPr>
        <w:footnoteReference w:id="135"/>
      </w:r>
      <w:r w:rsidRPr="003C38FD">
        <w:rPr>
          <w:rFonts w:ascii="Times New Roman" w:hAnsi="Times New Roman"/>
        </w:rPr>
        <w:t xml:space="preserve"> Mustill and Boyd's </w:t>
      </w:r>
      <w:r w:rsidRPr="003C38FD">
        <w:rPr>
          <w:rFonts w:ascii="Times New Roman" w:hAnsi="Times New Roman"/>
          <w:i/>
          <w:iCs/>
        </w:rPr>
        <w:t>The Law and Practice of Commercial Arbitration in England</w:t>
      </w:r>
      <w:r w:rsidRPr="003C38FD">
        <w:rPr>
          <w:rFonts w:ascii="Times New Roman" w:hAnsi="Times New Roman"/>
        </w:rPr>
        <w:t>, which was cited by the primary judge,</w:t>
      </w:r>
      <w:r w:rsidRPr="003C38FD">
        <w:rPr>
          <w:rStyle w:val="FootnoteReference"/>
          <w:rFonts w:ascii="Times New Roman" w:hAnsi="Times New Roman"/>
          <w:sz w:val="24"/>
        </w:rPr>
        <w:footnoteReference w:id="136"/>
      </w:r>
      <w:r w:rsidRPr="003C38FD">
        <w:rPr>
          <w:rFonts w:ascii="Times New Roman" w:hAnsi="Times New Roman"/>
        </w:rPr>
        <w:t xml:space="preserve"> states the same proposition.</w:t>
      </w:r>
      <w:r w:rsidRPr="003C38FD">
        <w:rPr>
          <w:rStyle w:val="FootnoteReference"/>
          <w:rFonts w:ascii="Times New Roman" w:hAnsi="Times New Roman"/>
          <w:sz w:val="24"/>
        </w:rPr>
        <w:footnoteReference w:id="137"/>
      </w:r>
      <w:r w:rsidRPr="003C38FD">
        <w:rPr>
          <w:rFonts w:ascii="Times New Roman" w:hAnsi="Times New Roman"/>
        </w:rPr>
        <w:t xml:space="preserve"> However, all of the authorities cited by the Court of Appeal,</w:t>
      </w:r>
      <w:r w:rsidRPr="003C38FD">
        <w:rPr>
          <w:rStyle w:val="FootnoteReference"/>
          <w:rFonts w:ascii="Times New Roman" w:hAnsi="Times New Roman"/>
          <w:sz w:val="24"/>
        </w:rPr>
        <w:footnoteReference w:id="138"/>
      </w:r>
      <w:r w:rsidRPr="003C38FD">
        <w:rPr>
          <w:rFonts w:ascii="Times New Roman" w:hAnsi="Times New Roman"/>
        </w:rPr>
        <w:t xml:space="preserve"> as well as the passage in </w:t>
      </w:r>
      <w:r w:rsidRPr="003C38FD">
        <w:rPr>
          <w:rFonts w:ascii="Times New Roman" w:hAnsi="Times New Roman"/>
          <w:i/>
          <w:iCs/>
        </w:rPr>
        <w:t xml:space="preserve">The Law and </w:t>
      </w:r>
      <w:r w:rsidRPr="003C38FD">
        <w:rPr>
          <w:rFonts w:ascii="Times New Roman" w:hAnsi="Times New Roman"/>
          <w:i/>
          <w:iCs/>
        </w:rPr>
        <w:lastRenderedPageBreak/>
        <w:t>Practice of Commercial Arbitration in England</w:t>
      </w:r>
      <w:r w:rsidRPr="003C38FD">
        <w:rPr>
          <w:rFonts w:ascii="Times New Roman" w:hAnsi="Times New Roman"/>
        </w:rPr>
        <w:t>,</w:t>
      </w:r>
      <w:r w:rsidRPr="003C38FD" w:rsidDel="00F652C0">
        <w:rPr>
          <w:rFonts w:ascii="Times New Roman" w:hAnsi="Times New Roman"/>
        </w:rPr>
        <w:t xml:space="preserve"> </w:t>
      </w:r>
      <w:r w:rsidRPr="003C38FD">
        <w:rPr>
          <w:rFonts w:ascii="Times New Roman" w:hAnsi="Times New Roman"/>
        </w:rPr>
        <w:t xml:space="preserve">ultimately lead back to the following passage from the judgment of Diplock LJ in </w:t>
      </w:r>
      <w:r w:rsidRPr="003C38FD">
        <w:rPr>
          <w:rFonts w:ascii="Times New Roman" w:hAnsi="Times New Roman"/>
          <w:i/>
          <w:iCs/>
        </w:rPr>
        <w:t>Fidelitas</w:t>
      </w:r>
      <w:r w:rsidRPr="003C38FD">
        <w:rPr>
          <w:rFonts w:ascii="Times New Roman" w:hAnsi="Times New Roman"/>
        </w:rPr>
        <w:t>:</w:t>
      </w:r>
      <w:r w:rsidRPr="003C38FD">
        <w:rPr>
          <w:rStyle w:val="FootnoteReference"/>
          <w:rFonts w:ascii="Times New Roman" w:hAnsi="Times New Roman"/>
          <w:sz w:val="24"/>
        </w:rPr>
        <w:footnoteReference w:id="139"/>
      </w:r>
      <w:r w:rsidRPr="003C38FD">
        <w:rPr>
          <w:rFonts w:ascii="Times New Roman" w:hAnsi="Times New Roman"/>
        </w:rPr>
        <w:t xml:space="preserve"> </w:t>
      </w:r>
    </w:p>
    <w:p w14:paraId="3D837633" w14:textId="77777777" w:rsidR="003A3473" w:rsidRDefault="003A3473" w:rsidP="003C38FD">
      <w:pPr>
        <w:pStyle w:val="LeftrightafterHC"/>
        <w:spacing w:before="0" w:after="260" w:line="280" w:lineRule="exact"/>
        <w:ind w:right="0"/>
        <w:jc w:val="both"/>
        <w:rPr>
          <w:rFonts w:ascii="Times New Roman" w:hAnsi="Times New Roman"/>
        </w:rPr>
      </w:pPr>
      <w:r w:rsidRPr="003C38FD">
        <w:rPr>
          <w:rFonts w:ascii="Times New Roman" w:hAnsi="Times New Roman"/>
        </w:rPr>
        <w:t>"Where [an arbitrator's] award is an interim award stated in the form of a special case, it determines the particular issue or issues to which it relates in alternative ways dependent upon the answer of the High Court</w:t>
      </w:r>
      <w:r w:rsidRPr="003C38FD">
        <w:rPr>
          <w:rFonts w:ascii="Times New Roman" w:hAnsi="Times New Roman"/>
          <w:i/>
          <w:iCs/>
        </w:rPr>
        <w:t xml:space="preserve"> to the question of law stated in the special case. It creates an issue estoppel or issue estoppels between the parties and the arbitrator is functus officio as respects the issues to which his interim award relates</w:t>
      </w:r>
      <w:r w:rsidRPr="003C38FD">
        <w:rPr>
          <w:rFonts w:ascii="Times New Roman" w:hAnsi="Times New Roman"/>
        </w:rPr>
        <w:t>." (emphasis added)</w:t>
      </w:r>
    </w:p>
    <w:p w14:paraId="775A5A7D"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This statement from </w:t>
      </w:r>
      <w:r w:rsidRPr="003C38FD">
        <w:rPr>
          <w:rFonts w:ascii="Times New Roman" w:hAnsi="Times New Roman"/>
          <w:i/>
          <w:iCs/>
        </w:rPr>
        <w:t>Fidelitas</w:t>
      </w:r>
      <w:r w:rsidRPr="003C38FD">
        <w:rPr>
          <w:rFonts w:ascii="Times New Roman" w:hAnsi="Times New Roman"/>
        </w:rPr>
        <w:t xml:space="preserve"> concerns the circumstance where an arbitral tribunal is rendered </w:t>
      </w:r>
      <w:r w:rsidRPr="003C38FD">
        <w:rPr>
          <w:rFonts w:ascii="Times New Roman" w:hAnsi="Times New Roman"/>
          <w:i/>
        </w:rPr>
        <w:t>functus officio</w:t>
      </w:r>
      <w:r w:rsidRPr="003C38FD">
        <w:rPr>
          <w:rFonts w:ascii="Times New Roman" w:hAnsi="Times New Roman"/>
        </w:rPr>
        <w:t xml:space="preserve"> in respect of an issue because of the effect of an issue estoppel. However, at most a determination that an issue estoppel has arisen and its scope are only conclusions of law within jurisdiction. To use current parlance, this passage from </w:t>
      </w:r>
      <w:r w:rsidRPr="003C38FD">
        <w:rPr>
          <w:rFonts w:ascii="Times New Roman" w:hAnsi="Times New Roman"/>
          <w:i/>
          <w:iCs/>
        </w:rPr>
        <w:t>Fidelitas</w:t>
      </w:r>
      <w:r w:rsidRPr="003C38FD">
        <w:rPr>
          <w:rFonts w:ascii="Times New Roman" w:hAnsi="Times New Roman"/>
        </w:rPr>
        <w:t xml:space="preserve"> only concerned the admissibility of a claim, not the jurisdiction of an arbitral tribunal to determine it. </w:t>
      </w:r>
    </w:p>
    <w:p w14:paraId="604E770D"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Further, </w:t>
      </w:r>
      <w:r w:rsidRPr="003C38FD">
        <w:rPr>
          <w:rFonts w:ascii="Times New Roman" w:hAnsi="Times New Roman"/>
          <w:i/>
          <w:iCs/>
        </w:rPr>
        <w:t>Fidelitas</w:t>
      </w:r>
      <w:r w:rsidRPr="003C38FD">
        <w:rPr>
          <w:rFonts w:ascii="Times New Roman" w:hAnsi="Times New Roman"/>
        </w:rPr>
        <w:t xml:space="preserve"> involved an arbitration conducted under the </w:t>
      </w:r>
      <w:r w:rsidRPr="003C38FD">
        <w:rPr>
          <w:rFonts w:ascii="Times New Roman" w:hAnsi="Times New Roman"/>
          <w:i/>
          <w:iCs/>
        </w:rPr>
        <w:t>Arbitration Act 1950</w:t>
      </w:r>
      <w:r w:rsidRPr="003C38FD">
        <w:rPr>
          <w:rFonts w:ascii="Times New Roman" w:hAnsi="Times New Roman"/>
        </w:rPr>
        <w:t xml:space="preserve"> (UK). Section 14 of that Act empowered an arbitrator to make an interim award as well as a final award.</w:t>
      </w:r>
      <w:r w:rsidRPr="003C38FD">
        <w:rPr>
          <w:rStyle w:val="FootnoteReference"/>
          <w:rFonts w:ascii="Times New Roman" w:hAnsi="Times New Roman"/>
          <w:sz w:val="24"/>
        </w:rPr>
        <w:footnoteReference w:id="140"/>
      </w:r>
      <w:r w:rsidRPr="003C38FD">
        <w:rPr>
          <w:rFonts w:ascii="Times New Roman" w:hAnsi="Times New Roman"/>
        </w:rPr>
        <w:t xml:space="preserve"> An award, including an interim award, stated in the form of a special case was subject to review by the High Court with respect to, inter alia, a question of law arising in the course of the reference to arbitration.</w:t>
      </w:r>
      <w:r w:rsidRPr="003C38FD">
        <w:rPr>
          <w:rStyle w:val="FootnoteReference"/>
          <w:rFonts w:ascii="Times New Roman" w:hAnsi="Times New Roman"/>
          <w:sz w:val="24"/>
        </w:rPr>
        <w:footnoteReference w:id="141"/>
      </w:r>
      <w:r w:rsidRPr="003C38FD">
        <w:rPr>
          <w:rFonts w:ascii="Times New Roman" w:hAnsi="Times New Roman"/>
        </w:rPr>
        <w:t xml:space="preserve"> Hence, Diplock LJ described an arbitrator's determination of the legal consequences of the facts found in the arbitration as "subject to correction by the High Court", with the consequence that the arbitrator is "not the exclusive tribunal to determine all the issues relevant to the dispute referred to him".</w:t>
      </w:r>
      <w:r w:rsidRPr="003C38FD">
        <w:rPr>
          <w:rStyle w:val="FootnoteReference"/>
          <w:rFonts w:ascii="Times New Roman" w:hAnsi="Times New Roman"/>
          <w:sz w:val="24"/>
        </w:rPr>
        <w:footnoteReference w:id="142"/>
      </w:r>
      <w:r w:rsidRPr="003C38FD">
        <w:rPr>
          <w:rFonts w:ascii="Times New Roman" w:hAnsi="Times New Roman"/>
        </w:rPr>
        <w:t xml:space="preserve"> It was in this context that Diplock LJ treated a finding that an issue estoppel arose as having the necessary consequence that the arbitral tribunal was </w:t>
      </w:r>
      <w:r w:rsidRPr="003C38FD">
        <w:rPr>
          <w:rFonts w:ascii="Times New Roman" w:hAnsi="Times New Roman"/>
          <w:i/>
        </w:rPr>
        <w:t>functus officio</w:t>
      </w:r>
      <w:r w:rsidRPr="003C38FD">
        <w:rPr>
          <w:rFonts w:ascii="Times New Roman" w:hAnsi="Times New Roman"/>
        </w:rPr>
        <w:t xml:space="preserve"> with respect to that issue. </w:t>
      </w:r>
    </w:p>
    <w:p w14:paraId="3D3A217D"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The Court of Appeal incorrectly characterised the above passage from </w:t>
      </w:r>
      <w:r w:rsidRPr="003C38FD">
        <w:rPr>
          <w:rFonts w:ascii="Times New Roman" w:hAnsi="Times New Roman"/>
          <w:i/>
          <w:iCs/>
        </w:rPr>
        <w:t>Fidelitas</w:t>
      </w:r>
      <w:r w:rsidRPr="003C38FD">
        <w:rPr>
          <w:rFonts w:ascii="Times New Roman" w:hAnsi="Times New Roman"/>
        </w:rPr>
        <w:t xml:space="preserve"> as distinguishing between the creation of an issue estoppel (ie, affecting the rights of the parties) and an arbitrator being </w:t>
      </w:r>
      <w:r w:rsidRPr="003C38FD">
        <w:rPr>
          <w:rFonts w:ascii="Times New Roman" w:hAnsi="Times New Roman"/>
          <w:i/>
        </w:rPr>
        <w:t>functus officio</w:t>
      </w:r>
      <w:r w:rsidRPr="003C38FD">
        <w:rPr>
          <w:rFonts w:ascii="Times New Roman" w:hAnsi="Times New Roman"/>
        </w:rPr>
        <w:t xml:space="preserve"> (ie, exhausting the arbitrator's authority). Thus, the Court of Appeal described this passage as treating an issue estoppel and </w:t>
      </w:r>
      <w:r w:rsidRPr="003C38FD">
        <w:rPr>
          <w:rFonts w:ascii="Times New Roman" w:hAnsi="Times New Roman"/>
          <w:i/>
          <w:iCs/>
        </w:rPr>
        <w:t>functus officio</w:t>
      </w:r>
      <w:r w:rsidRPr="003C38FD">
        <w:rPr>
          <w:rFonts w:ascii="Times New Roman" w:hAnsi="Times New Roman"/>
        </w:rPr>
        <w:t xml:space="preserve"> as "separate and distinct".</w:t>
      </w:r>
      <w:r w:rsidRPr="003C38FD">
        <w:rPr>
          <w:rStyle w:val="FootnoteReference"/>
          <w:rFonts w:ascii="Times New Roman" w:hAnsi="Times New Roman"/>
          <w:sz w:val="24"/>
        </w:rPr>
        <w:footnoteReference w:id="143"/>
      </w:r>
      <w:r w:rsidRPr="003C38FD">
        <w:rPr>
          <w:rFonts w:ascii="Times New Roman" w:hAnsi="Times New Roman"/>
        </w:rPr>
        <w:t xml:space="preserve"> To the contrary, </w:t>
      </w:r>
      <w:r w:rsidRPr="003C38FD">
        <w:rPr>
          <w:rFonts w:ascii="Times New Roman" w:hAnsi="Times New Roman"/>
          <w:i/>
          <w:iCs/>
        </w:rPr>
        <w:lastRenderedPageBreak/>
        <w:t>Fidelitas</w:t>
      </w:r>
      <w:r w:rsidRPr="003C38FD">
        <w:rPr>
          <w:rFonts w:ascii="Times New Roman" w:hAnsi="Times New Roman"/>
        </w:rPr>
        <w:t xml:space="preserve"> treats one (ie, the arbitrator being </w:t>
      </w:r>
      <w:r w:rsidRPr="003C38FD">
        <w:rPr>
          <w:rFonts w:ascii="Times New Roman" w:hAnsi="Times New Roman"/>
          <w:i/>
          <w:iCs/>
        </w:rPr>
        <w:t>functus officio</w:t>
      </w:r>
      <w:r w:rsidRPr="003C38FD">
        <w:rPr>
          <w:rFonts w:ascii="Times New Roman" w:hAnsi="Times New Roman"/>
        </w:rPr>
        <w:t xml:space="preserve">) as following from the other (ie, the issue estoppel). </w:t>
      </w:r>
    </w:p>
    <w:p w14:paraId="7A23843C"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In this case, the principle articulated in </w:t>
      </w:r>
      <w:r w:rsidRPr="003C38FD">
        <w:rPr>
          <w:rFonts w:ascii="Times New Roman" w:hAnsi="Times New Roman"/>
          <w:i/>
          <w:iCs/>
        </w:rPr>
        <w:t>Fidelitas</w:t>
      </w:r>
      <w:r w:rsidRPr="003C38FD">
        <w:rPr>
          <w:rFonts w:ascii="Times New Roman" w:hAnsi="Times New Roman"/>
        </w:rPr>
        <w:t xml:space="preserve"> would have been engaged if Chevron had either invoked s 27J (which would have required the consent of the arbitrator or CKJV) to have the Court determine a question of law about the scope of the First Interim Award or (again with the required consent of CKJV and having obtained the leave of the Court) appealed to the Court under s 34A on a question of law arising out of the Second Interim Award concerning the scope of the First Interim Award. As noted, those provisions have no counterpart in the Model Law. However, this appeal concerns proceedings brought by Chevron under s 34 of the Arbitration Act, which is relevantly identical to Art 34 of the Model Law. In proceedings under s 34, unlike the arbitrator in </w:t>
      </w:r>
      <w:r w:rsidRPr="003C38FD">
        <w:rPr>
          <w:rFonts w:ascii="Times New Roman" w:hAnsi="Times New Roman"/>
          <w:i/>
          <w:iCs/>
        </w:rPr>
        <w:t>Fidelitas</w:t>
      </w:r>
      <w:r w:rsidRPr="003C38FD">
        <w:rPr>
          <w:rFonts w:ascii="Times New Roman" w:hAnsi="Times New Roman"/>
        </w:rPr>
        <w:t>, an arbitral tribunal is to be treated as though it is "the exclusive tribunal to determine all the issues relevant to the dispute referred to [it]",</w:t>
      </w:r>
      <w:r w:rsidRPr="003C38FD">
        <w:rPr>
          <w:rStyle w:val="FootnoteReference"/>
          <w:rFonts w:ascii="Times New Roman" w:hAnsi="Times New Roman"/>
          <w:sz w:val="24"/>
        </w:rPr>
        <w:footnoteReference w:id="144"/>
      </w:r>
      <w:r w:rsidRPr="003C38FD">
        <w:rPr>
          <w:rFonts w:ascii="Times New Roman" w:hAnsi="Times New Roman"/>
        </w:rPr>
        <w:t xml:space="preserve"> save only where the limited grounds for curial intervention specified in s 34(2) are established. Unlike the procedure for a special case discussed in the above passage from </w:t>
      </w:r>
      <w:r w:rsidRPr="003C38FD">
        <w:rPr>
          <w:rFonts w:ascii="Times New Roman" w:hAnsi="Times New Roman"/>
          <w:i/>
          <w:iCs/>
        </w:rPr>
        <w:t>Fidelitas</w:t>
      </w:r>
      <w:r w:rsidRPr="003C38FD">
        <w:rPr>
          <w:rFonts w:ascii="Times New Roman" w:hAnsi="Times New Roman"/>
        </w:rPr>
        <w:t xml:space="preserve">, none of the grounds in s 34(2) justify </w:t>
      </w:r>
      <w:r w:rsidRPr="002A5710">
        <w:rPr>
          <w:rFonts w:ascii="Times New Roman" w:hAnsi="Times New Roman"/>
        </w:rPr>
        <w:t xml:space="preserve">curial intervention on the basis that an arbitrator has concluded, wrongly, that they were not prevented from determining an issue or cause of action because of </w:t>
      </w:r>
      <w:r w:rsidRPr="002A5710" w:rsidDel="004F33AC">
        <w:rPr>
          <w:rFonts w:ascii="Times New Roman" w:hAnsi="Times New Roman"/>
        </w:rPr>
        <w:t>a</w:t>
      </w:r>
      <w:r w:rsidRPr="002A5710">
        <w:rPr>
          <w:rFonts w:ascii="Times New Roman" w:hAnsi="Times New Roman"/>
        </w:rPr>
        <w:t xml:space="preserve"> </w:t>
      </w:r>
      <w:r w:rsidRPr="002A5710">
        <w:rPr>
          <w:rFonts w:ascii="Times New Roman" w:hAnsi="Times New Roman"/>
          <w:i/>
          <w:iCs/>
        </w:rPr>
        <w:t>res judicata</w:t>
      </w:r>
      <w:r w:rsidRPr="002A5710">
        <w:rPr>
          <w:rFonts w:ascii="Times New Roman" w:hAnsi="Times New Roman"/>
        </w:rPr>
        <w:t>, a</w:t>
      </w:r>
      <w:r w:rsidRPr="002A5710" w:rsidDel="004F33AC">
        <w:rPr>
          <w:rFonts w:ascii="Times New Roman" w:hAnsi="Times New Roman"/>
        </w:rPr>
        <w:t xml:space="preserve">n </w:t>
      </w:r>
      <w:r w:rsidRPr="002A5710">
        <w:rPr>
          <w:rFonts w:ascii="Times New Roman" w:hAnsi="Times New Roman"/>
        </w:rPr>
        <w:t>issue estoppel</w:t>
      </w:r>
      <w:r w:rsidRPr="003C38FD">
        <w:rPr>
          <w:rFonts w:ascii="Times New Roman" w:hAnsi="Times New Roman"/>
        </w:rPr>
        <w:t xml:space="preserve"> or </w:t>
      </w:r>
      <w:r w:rsidRPr="003C38FD" w:rsidDel="00C43A7A">
        <w:rPr>
          <w:rFonts w:ascii="Times New Roman" w:hAnsi="Times New Roman"/>
        </w:rPr>
        <w:t xml:space="preserve">an </w:t>
      </w:r>
      <w:r w:rsidRPr="003C38FD">
        <w:rPr>
          <w:rFonts w:ascii="Times New Roman" w:hAnsi="Times New Roman"/>
          <w:i/>
          <w:iCs/>
        </w:rPr>
        <w:t xml:space="preserve">Anshun </w:t>
      </w:r>
      <w:r w:rsidRPr="003C38FD">
        <w:rPr>
          <w:rFonts w:ascii="Times New Roman" w:hAnsi="Times New Roman"/>
        </w:rPr>
        <w:t xml:space="preserve">estoppel said to arise out of an earlier decision of the arbitral tribunal. It follows that to uphold the Court of Appeal's conclusion, a different basis must be found to justify a finding by a court that the arbitral tribunal was </w:t>
      </w:r>
      <w:r w:rsidRPr="003C38FD">
        <w:rPr>
          <w:rFonts w:ascii="Times New Roman" w:hAnsi="Times New Roman"/>
          <w:i/>
        </w:rPr>
        <w:t>functus officio</w:t>
      </w:r>
      <w:r w:rsidRPr="003C38FD">
        <w:rPr>
          <w:rFonts w:ascii="Times New Roman" w:hAnsi="Times New Roman"/>
        </w:rPr>
        <w:t xml:space="preserve"> in relation to the issues dealt with by the First Interim Award. </w:t>
      </w:r>
    </w:p>
    <w:p w14:paraId="3F94EB1B" w14:textId="77777777" w:rsidR="003A3473" w:rsidRPr="003C38FD" w:rsidRDefault="003A3473" w:rsidP="003C38FD">
      <w:pPr>
        <w:pStyle w:val="HeadingL1"/>
        <w:spacing w:after="260" w:line="280" w:lineRule="exact"/>
        <w:ind w:right="0"/>
        <w:jc w:val="both"/>
        <w:rPr>
          <w:rFonts w:ascii="Times New Roman" w:hAnsi="Times New Roman"/>
          <w:szCs w:val="26"/>
        </w:rPr>
      </w:pPr>
      <w:r w:rsidRPr="003C38FD">
        <w:rPr>
          <w:rFonts w:ascii="Times New Roman" w:hAnsi="Times New Roman"/>
          <w:i/>
          <w:szCs w:val="26"/>
        </w:rPr>
        <w:t>Functus officio</w:t>
      </w:r>
      <w:r w:rsidRPr="003C38FD">
        <w:rPr>
          <w:rFonts w:ascii="Times New Roman" w:hAnsi="Times New Roman"/>
          <w:szCs w:val="26"/>
        </w:rPr>
        <w:t xml:space="preserve"> and imputing agreement to the parties</w:t>
      </w:r>
    </w:p>
    <w:p w14:paraId="4F0C47A5"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As noted, the Court of Appeal's conclusion that s 34(2)(a)(iii) of the Arbitration Act was engaged was in part predicated on its conclusion that the parties agreed to resolve their disputes on the basis that certain "principles of finality ... would apply to a final award, or to an interim award which determined the, or an, issue of liability".</w:t>
      </w:r>
      <w:r w:rsidRPr="003C38FD">
        <w:rPr>
          <w:rStyle w:val="FootnoteReference"/>
          <w:rFonts w:ascii="Times New Roman" w:hAnsi="Times New Roman"/>
          <w:sz w:val="24"/>
        </w:rPr>
        <w:footnoteReference w:id="145"/>
      </w:r>
      <w:r w:rsidRPr="003C38FD">
        <w:rPr>
          <w:rFonts w:ascii="Times New Roman" w:hAnsi="Times New Roman"/>
        </w:rPr>
        <w:t xml:space="preserve"> The principles of finality to which the Court referred were general statements to the effect that: the foundation of arbitration is the determination of the parties' rights by an arbitrator pursuant to the authority given to them by the parties;</w:t>
      </w:r>
      <w:r w:rsidRPr="003C38FD">
        <w:rPr>
          <w:rStyle w:val="FootnoteReference"/>
          <w:rFonts w:ascii="Times New Roman" w:hAnsi="Times New Roman"/>
          <w:sz w:val="24"/>
        </w:rPr>
        <w:footnoteReference w:id="146"/>
      </w:r>
      <w:r w:rsidRPr="003C38FD">
        <w:rPr>
          <w:rFonts w:ascii="Times New Roman" w:hAnsi="Times New Roman"/>
        </w:rPr>
        <w:t xml:space="preserve"> an award made by an arbitrator pursuant to that </w:t>
      </w:r>
      <w:r w:rsidRPr="003C38FD">
        <w:rPr>
          <w:rFonts w:ascii="Times New Roman" w:hAnsi="Times New Roman"/>
        </w:rPr>
        <w:lastRenderedPageBreak/>
        <w:t>authority is final and conclusive;</w:t>
      </w:r>
      <w:r w:rsidRPr="003C38FD">
        <w:rPr>
          <w:rStyle w:val="FootnoteReference"/>
          <w:rFonts w:ascii="Times New Roman" w:hAnsi="Times New Roman"/>
          <w:sz w:val="24"/>
        </w:rPr>
        <w:footnoteReference w:id="147"/>
      </w:r>
      <w:r w:rsidRPr="003C38FD">
        <w:rPr>
          <w:rFonts w:ascii="Times New Roman" w:hAnsi="Times New Roman"/>
        </w:rPr>
        <w:t xml:space="preserve"> issues determined separately bind the parties;</w:t>
      </w:r>
      <w:r w:rsidRPr="003C38FD">
        <w:rPr>
          <w:rStyle w:val="FootnoteReference"/>
          <w:rFonts w:ascii="Times New Roman" w:hAnsi="Times New Roman"/>
          <w:sz w:val="24"/>
        </w:rPr>
        <w:footnoteReference w:id="148"/>
      </w:r>
      <w:r w:rsidRPr="003C38FD">
        <w:rPr>
          <w:rFonts w:ascii="Times New Roman" w:hAnsi="Times New Roman"/>
        </w:rPr>
        <w:t xml:space="preserve"> and an interim award renders an arbitral tribunal </w:t>
      </w:r>
      <w:r w:rsidRPr="003C38FD">
        <w:rPr>
          <w:rFonts w:ascii="Times New Roman" w:hAnsi="Times New Roman"/>
          <w:i/>
        </w:rPr>
        <w:t>functus officio</w:t>
      </w:r>
      <w:r w:rsidRPr="003C38FD">
        <w:rPr>
          <w:rFonts w:ascii="Times New Roman" w:hAnsi="Times New Roman"/>
        </w:rPr>
        <w:t xml:space="preserve"> with respect to the issues decided, a principle supposedly derived from </w:t>
      </w:r>
      <w:r w:rsidRPr="003C38FD">
        <w:rPr>
          <w:rFonts w:ascii="Times New Roman" w:hAnsi="Times New Roman"/>
          <w:i/>
          <w:iCs/>
        </w:rPr>
        <w:t>Fidelitas</w:t>
      </w:r>
      <w:r w:rsidRPr="003C38FD">
        <w:rPr>
          <w:rFonts w:ascii="Times New Roman" w:hAnsi="Times New Roman"/>
        </w:rPr>
        <w:t>.</w:t>
      </w:r>
      <w:r w:rsidRPr="003C38FD">
        <w:rPr>
          <w:rStyle w:val="FootnoteReference"/>
          <w:rFonts w:ascii="Times New Roman" w:hAnsi="Times New Roman"/>
          <w:sz w:val="24"/>
        </w:rPr>
        <w:footnoteReference w:id="149"/>
      </w:r>
      <w:r w:rsidRPr="003C38FD">
        <w:rPr>
          <w:rFonts w:ascii="Times New Roman" w:hAnsi="Times New Roman"/>
        </w:rPr>
        <w:t xml:space="preserve"> The Court's erroneous reliance on </w:t>
      </w:r>
      <w:r w:rsidRPr="003C38FD">
        <w:rPr>
          <w:rFonts w:ascii="Times New Roman" w:hAnsi="Times New Roman"/>
          <w:i/>
          <w:iCs/>
        </w:rPr>
        <w:t>Fidelitas</w:t>
      </w:r>
      <w:r w:rsidRPr="003C38FD">
        <w:rPr>
          <w:rFonts w:ascii="Times New Roman" w:hAnsi="Times New Roman"/>
        </w:rPr>
        <w:t xml:space="preserve"> has already been addressed. </w:t>
      </w:r>
    </w:p>
    <w:p w14:paraId="252560CE"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The principles of finality the Court of Appeal imputed to the parties' agreement did not extend to </w:t>
      </w:r>
      <w:r w:rsidRPr="003C38FD">
        <w:rPr>
          <w:rFonts w:ascii="Times New Roman" w:hAnsi="Times New Roman"/>
          <w:i/>
          <w:iCs/>
        </w:rPr>
        <w:t>res judicata</w:t>
      </w:r>
      <w:r w:rsidRPr="003C38FD">
        <w:rPr>
          <w:rFonts w:ascii="Times New Roman" w:hAnsi="Times New Roman"/>
        </w:rPr>
        <w:t xml:space="preserve">, issue estoppel or </w:t>
      </w:r>
      <w:r w:rsidRPr="003C38FD">
        <w:rPr>
          <w:rFonts w:ascii="Times New Roman" w:hAnsi="Times New Roman"/>
          <w:i/>
          <w:iCs/>
        </w:rPr>
        <w:t>Anshun</w:t>
      </w:r>
      <w:r w:rsidRPr="003C38FD">
        <w:rPr>
          <w:rFonts w:ascii="Times New Roman" w:hAnsi="Times New Roman"/>
        </w:rPr>
        <w:t xml:space="preserve"> estoppel.</w:t>
      </w:r>
      <w:r w:rsidRPr="003C38FD">
        <w:rPr>
          <w:rStyle w:val="FootnoteReference"/>
          <w:rFonts w:ascii="Times New Roman" w:hAnsi="Times New Roman"/>
          <w:sz w:val="24"/>
        </w:rPr>
        <w:footnoteReference w:id="150"/>
      </w:r>
      <w:r w:rsidRPr="003C38FD">
        <w:rPr>
          <w:rFonts w:ascii="Times New Roman" w:hAnsi="Times New Roman"/>
        </w:rPr>
        <w:t xml:space="preserve"> The omission is telling because they are also principles of finality but they clearly operate within the jurisdiction of an arbitral tribunal. This exposes that the real issue is not whether the parties agreed to the application of the principles of finality to the arbitral proceedings or whether they were otherwise applicable, but rather which body (ie, the court or the arbitral tribunal) determines what has been finally decided by an interim award. The answer to that question turns on the provisions of the Arbitration Act and the scope of the parties' agreement to submit to arbitration. The former have been addressed, and none have been of assistance to Chevron. What follows concerns the latter; ie, the scope of the parties' agreement.</w:t>
      </w:r>
    </w:p>
    <w:p w14:paraId="25FF8CD7"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As noted, in </w:t>
      </w:r>
      <w:r w:rsidRPr="003C38FD">
        <w:rPr>
          <w:rFonts w:ascii="Times New Roman" w:hAnsi="Times New Roman"/>
          <w:i/>
          <w:iCs/>
        </w:rPr>
        <w:t>C v D</w:t>
      </w:r>
      <w:r w:rsidRPr="003C38FD">
        <w:rPr>
          <w:rFonts w:ascii="Times New Roman" w:hAnsi="Times New Roman"/>
        </w:rPr>
        <w:t>, the Hong Kong Court of Final Appeal rejected a challenge under the Hong Kong equivalent provision to Art 34(2)(a)(iii) of the Model Law</w:t>
      </w:r>
      <w:r w:rsidRPr="003C38FD">
        <w:rPr>
          <w:rStyle w:val="FootnoteReference"/>
          <w:rFonts w:ascii="Times New Roman" w:hAnsi="Times New Roman"/>
          <w:sz w:val="24"/>
        </w:rPr>
        <w:footnoteReference w:id="151"/>
      </w:r>
      <w:r w:rsidRPr="003C38FD">
        <w:rPr>
          <w:rFonts w:ascii="Times New Roman" w:hAnsi="Times New Roman"/>
        </w:rPr>
        <w:t xml:space="preserve"> which sought to have that Court determine </w:t>
      </w:r>
      <w:r w:rsidRPr="003C38FD">
        <w:rPr>
          <w:rFonts w:ascii="Times New Roman" w:hAnsi="Times New Roman"/>
          <w:i/>
        </w:rPr>
        <w:t>de novo</w:t>
      </w:r>
      <w:r w:rsidRPr="003C38FD">
        <w:rPr>
          <w:rFonts w:ascii="Times New Roman" w:hAnsi="Times New Roman"/>
        </w:rPr>
        <w:t xml:space="preserve"> whether the parties had complied with a condition committing the parties to "good faith negotiations" prior to arbitration.</w:t>
      </w:r>
      <w:r w:rsidRPr="003C38FD">
        <w:rPr>
          <w:rStyle w:val="FootnoteReference"/>
          <w:rFonts w:ascii="Times New Roman" w:hAnsi="Times New Roman"/>
          <w:sz w:val="24"/>
        </w:rPr>
        <w:footnoteReference w:id="152"/>
      </w:r>
      <w:r w:rsidRPr="003C38FD">
        <w:rPr>
          <w:rFonts w:ascii="Times New Roman" w:hAnsi="Times New Roman"/>
        </w:rPr>
        <w:t xml:space="preserve"> Ribeiro PJ noted that while it was open to the parties to expressly agree that such non-compliance was amenable to review by the courts, agreements to that effect would not be inferred lightly:</w:t>
      </w:r>
      <w:r w:rsidRPr="003C38FD">
        <w:rPr>
          <w:rStyle w:val="FootnoteReference"/>
          <w:rFonts w:ascii="Times New Roman" w:hAnsi="Times New Roman"/>
          <w:sz w:val="24"/>
        </w:rPr>
        <w:footnoteReference w:id="153"/>
      </w:r>
      <w:r w:rsidRPr="003C38FD">
        <w:rPr>
          <w:rFonts w:ascii="Times New Roman" w:hAnsi="Times New Roman"/>
        </w:rPr>
        <w:t xml:space="preserve"> </w:t>
      </w:r>
    </w:p>
    <w:p w14:paraId="57CACAF4" w14:textId="77777777" w:rsidR="003A3473" w:rsidRDefault="003A3473" w:rsidP="003C38FD">
      <w:pPr>
        <w:pStyle w:val="LeftrightafterHC"/>
        <w:spacing w:before="0" w:after="260" w:line="280" w:lineRule="exact"/>
        <w:ind w:right="0"/>
        <w:jc w:val="both"/>
        <w:rPr>
          <w:rFonts w:ascii="Times New Roman" w:hAnsi="Times New Roman"/>
        </w:rPr>
      </w:pPr>
      <w:r w:rsidRPr="003C38FD">
        <w:rPr>
          <w:rFonts w:ascii="Times New Roman" w:hAnsi="Times New Roman"/>
        </w:rPr>
        <w:t xml:space="preserve">"[T]he court will require unequivocally clear language to arrive at that conclusion. That is because it would be contrary to all normal expectations to find that such was the parties' intention. They have opted to submit their disputes to an arbitral tribunal rather than a court for resolution. It would be </w:t>
      </w:r>
      <w:r w:rsidRPr="003C38FD">
        <w:rPr>
          <w:rFonts w:ascii="Times New Roman" w:hAnsi="Times New Roman"/>
        </w:rPr>
        <w:lastRenderedPageBreak/>
        <w:t>surprising to discover that they intend to have a court involved and to undergo two rounds of decision-making to determine whether a pre</w:t>
      </w:r>
      <w:r w:rsidRPr="003C38FD">
        <w:rPr>
          <w:rFonts w:ascii="Times New Roman" w:hAnsi="Times New Roman"/>
        </w:rPr>
        <w:noBreakHyphen/>
        <w:t>arbitration condition has been met."</w:t>
      </w:r>
    </w:p>
    <w:p w14:paraId="19D8CAFC"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Gummow NPJ did not accept that the parties could expressly designate a particular dispute as "jurisdictional"</w:t>
      </w:r>
      <w:r w:rsidRPr="003C38FD">
        <w:rPr>
          <w:rStyle w:val="FootnoteReference"/>
          <w:rFonts w:ascii="Times New Roman" w:hAnsi="Times New Roman"/>
          <w:sz w:val="24"/>
        </w:rPr>
        <w:footnoteReference w:id="154"/>
      </w:r>
      <w:r w:rsidRPr="003C38FD">
        <w:rPr>
          <w:rFonts w:ascii="Times New Roman" w:hAnsi="Times New Roman"/>
        </w:rPr>
        <w:t xml:space="preserve"> or agree that an arbitral tribunal's decision could be the subject of court review,</w:t>
      </w:r>
      <w:r w:rsidRPr="003C38FD">
        <w:rPr>
          <w:rStyle w:val="FootnoteReference"/>
          <w:rFonts w:ascii="Times New Roman" w:hAnsi="Times New Roman"/>
          <w:sz w:val="24"/>
        </w:rPr>
        <w:footnoteReference w:id="155"/>
      </w:r>
      <w:r w:rsidRPr="003C38FD">
        <w:rPr>
          <w:rFonts w:ascii="Times New Roman" w:hAnsi="Times New Roman"/>
        </w:rPr>
        <w:t xml:space="preserve"> although his Honour accepted that the availability of curial intervention was, at least at one level, dependent on the proper construction of the parties' agreement and Art 34 of the Model Law.</w:t>
      </w:r>
      <w:r w:rsidRPr="003C38FD">
        <w:rPr>
          <w:rStyle w:val="FootnoteReference"/>
          <w:rFonts w:ascii="Times New Roman" w:hAnsi="Times New Roman"/>
          <w:sz w:val="24"/>
        </w:rPr>
        <w:footnoteReference w:id="156"/>
      </w:r>
    </w:p>
    <w:p w14:paraId="2CEFDEF2"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Ribeiro PJ's statement is the operative interpretative principle to be applied in circumstances where it is contended that there is a jurisdictional limitation on the parties' submission to arbitration arising from their agreement. In this case, the alleged jurisdictional limit did not concern the scope of the substantive dispute contemplated by the parties to be arbitrated. The substantive dispute in this case concerned staffing costs, and the arbitral tribunal did not address anything other than staffing costs. Instead, it is (or must be) contended that there is a procedural jurisdictional limitation on the parties' submission to arbitration to the effect that, prior to the conclusion of the arbitral proceedings, an award cannot deal with a dispute that a court considers was already determined by an interim award in the same arbitral proceedings. </w:t>
      </w:r>
    </w:p>
    <w:p w14:paraId="0948A2A3"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Similar to </w:t>
      </w:r>
      <w:r w:rsidRPr="003C38FD">
        <w:rPr>
          <w:rFonts w:ascii="Times New Roman" w:hAnsi="Times New Roman"/>
          <w:i/>
          <w:iCs/>
        </w:rPr>
        <w:t>C v D</w:t>
      </w:r>
      <w:r w:rsidRPr="003C38FD">
        <w:rPr>
          <w:rFonts w:ascii="Times New Roman" w:hAnsi="Times New Roman"/>
        </w:rPr>
        <w:t xml:space="preserve">, it is especially difficult to impute to the parties such an intention to impose a procedural jurisdictional limitation of that kind on their submission to arbitration. Generally, the parties can be taken to have intended to leave such matters to the arbitral tribunal to determine. Subject to one matter, there is nothing in CKJV's and Chevron's agreement to suggest that they intended that a court might closely inspect the entrails of the pleadings, the particulars, and the arbitral tribunal's procedural orders to determine whether, in making the Second Interim Award, the arbitral tribunal revisited an issue that should have been raised prior to the making of the First Interim Award. The parties agreed to submit their dispute to arbitration, not to a court, much less to that level of scrutiny by a court. </w:t>
      </w:r>
    </w:p>
    <w:p w14:paraId="42940DF3"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The one matter of possible exception is the parties' agreement to adopt the UNCITRAL Rules that enabled the making of an interim award and their agreement that any award, including an interim award, is "final".</w:t>
      </w:r>
      <w:r w:rsidRPr="003C38FD">
        <w:rPr>
          <w:rStyle w:val="FootnoteReference"/>
          <w:rFonts w:ascii="Times New Roman" w:hAnsi="Times New Roman"/>
          <w:sz w:val="24"/>
        </w:rPr>
        <w:footnoteReference w:id="157"/>
      </w:r>
      <w:r w:rsidRPr="003C38FD">
        <w:rPr>
          <w:rFonts w:ascii="Times New Roman" w:hAnsi="Times New Roman"/>
        </w:rPr>
        <w:t xml:space="preserve"> However, for </w:t>
      </w:r>
      <w:r w:rsidRPr="003C38FD">
        <w:rPr>
          <w:rFonts w:ascii="Times New Roman" w:hAnsi="Times New Roman"/>
        </w:rPr>
        <w:lastRenderedPageBreak/>
        <w:t xml:space="preserve">the reasons already explained, for the parties to agree that an award is "final" does not necessarily mean that they intended that a court, </w:t>
      </w:r>
      <w:r w:rsidRPr="003C38FD" w:rsidDel="0034612B">
        <w:rPr>
          <w:rFonts w:ascii="Times New Roman" w:hAnsi="Times New Roman"/>
        </w:rPr>
        <w:t>not</w:t>
      </w:r>
      <w:r w:rsidRPr="003C38FD">
        <w:rPr>
          <w:rFonts w:ascii="Times New Roman" w:hAnsi="Times New Roman"/>
        </w:rPr>
        <w:t xml:space="preserve"> an arbitral tribunal, would determine and give effect to the relevant principle of finality. In this case, the parties' contract provided that the dispute was to be "exclusively and finally settled" by "binding" arbitration. In those circumstances, a sufficiently clear intent to impose a procedural jurisdictional limitation of the requisite kind on the parties' submission to arbitration is not manifest. </w:t>
      </w:r>
    </w:p>
    <w:p w14:paraId="44E7E8BC"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Two further matters should be noted. First, in this context, discussions in Singapore decisions concerning the effect of arbitral awards being rendered "final" should be treated with caution because in that jurisdiction the relevant statute has been amended</w:t>
      </w:r>
      <w:r w:rsidRPr="003C38FD">
        <w:rPr>
          <w:rStyle w:val="FootnoteReference"/>
          <w:rFonts w:ascii="Times New Roman" w:hAnsi="Times New Roman"/>
          <w:sz w:val="24"/>
        </w:rPr>
        <w:footnoteReference w:id="158"/>
      </w:r>
      <w:r w:rsidRPr="003C38FD">
        <w:rPr>
          <w:rFonts w:ascii="Times New Roman" w:hAnsi="Times New Roman"/>
        </w:rPr>
        <w:t xml:space="preserve"> to make any award, including an interim award, "final and binding"</w:t>
      </w:r>
      <w:r w:rsidRPr="003C38FD">
        <w:rPr>
          <w:rStyle w:val="FootnoteReference"/>
          <w:rFonts w:ascii="Times New Roman" w:hAnsi="Times New Roman"/>
          <w:sz w:val="24"/>
        </w:rPr>
        <w:footnoteReference w:id="159"/>
      </w:r>
      <w:r w:rsidRPr="003C38FD">
        <w:rPr>
          <w:rFonts w:ascii="Times New Roman" w:hAnsi="Times New Roman"/>
        </w:rPr>
        <w:t xml:space="preserve"> and to also make it clear that such finality does embody a jurisdictional limit on an arbitral tribunal.</w:t>
      </w:r>
      <w:r w:rsidRPr="003C38FD">
        <w:rPr>
          <w:rStyle w:val="FootnoteReference"/>
          <w:rFonts w:ascii="Times New Roman" w:hAnsi="Times New Roman"/>
          <w:sz w:val="24"/>
        </w:rPr>
        <w:footnoteReference w:id="160"/>
      </w:r>
      <w:r w:rsidRPr="003C38FD">
        <w:rPr>
          <w:rFonts w:ascii="Times New Roman" w:hAnsi="Times New Roman"/>
        </w:rPr>
        <w:t xml:space="preserve"> </w:t>
      </w:r>
    </w:p>
    <w:p w14:paraId="0FD85CC0" w14:textId="1F98544D"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Second, much was sought to be made in this appeal of the fact that CKJV did not "challenge" the Court of Appeal's findings to the effect that CKJV's Contract Criteria Case was not a case on quantum </w:t>
      </w:r>
      <w:r w:rsidR="008E3C7B">
        <w:rPr>
          <w:rFonts w:ascii="Times New Roman" w:hAnsi="Times New Roman"/>
        </w:rPr>
        <w:t xml:space="preserve">but was a new case on liability </w:t>
      </w:r>
      <w:r w:rsidRPr="003C38FD">
        <w:rPr>
          <w:rFonts w:ascii="Times New Roman" w:hAnsi="Times New Roman"/>
        </w:rPr>
        <w:t xml:space="preserve">and that the effect of the arbitral tribunal's procedural orders was that all such </w:t>
      </w:r>
      <w:r w:rsidR="008E3C7B">
        <w:rPr>
          <w:rFonts w:ascii="Times New Roman" w:hAnsi="Times New Roman"/>
        </w:rPr>
        <w:t xml:space="preserve">liability </w:t>
      </w:r>
      <w:r w:rsidRPr="003C38FD">
        <w:rPr>
          <w:rFonts w:ascii="Times New Roman" w:hAnsi="Times New Roman"/>
        </w:rPr>
        <w:t xml:space="preserve">issues were determined by the First Interim Award. It is correct that CKJV did not seek to contend that those findings were "wrong", in the sense that this Court should make findings to the contrary. Instead, CKJV contended that those findings should not have been made in that, as those findings did not go to the jurisdiction of the arbitral tribunal, exclusive authority to make them was vested in the arbitral tribunal and not the Court. In that respect, CKJV was correct. </w:t>
      </w:r>
    </w:p>
    <w:p w14:paraId="7A6AED2A"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It follows that the first ground of appeal should be allowed. </w:t>
      </w:r>
    </w:p>
    <w:p w14:paraId="73196608" w14:textId="77777777" w:rsidR="003A3473" w:rsidRPr="003C38FD" w:rsidRDefault="003A3473" w:rsidP="003C38FD">
      <w:pPr>
        <w:pStyle w:val="HeadingL1"/>
        <w:spacing w:after="260" w:line="280" w:lineRule="exact"/>
        <w:ind w:right="0"/>
        <w:jc w:val="both"/>
        <w:rPr>
          <w:rFonts w:ascii="Times New Roman" w:hAnsi="Times New Roman"/>
          <w:szCs w:val="26"/>
        </w:rPr>
      </w:pPr>
      <w:r w:rsidRPr="003C38FD">
        <w:rPr>
          <w:rFonts w:ascii="Times New Roman" w:hAnsi="Times New Roman"/>
          <w:szCs w:val="26"/>
        </w:rPr>
        <w:t>Deference</w:t>
      </w:r>
    </w:p>
    <w:p w14:paraId="306C31D3"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Although the second ground of appeal does not strictly arise given the success of the first ground of appeal, it raises a question of principle that can be dealt with briefly. A premise of the above reasoning is that the standard of review </w:t>
      </w:r>
      <w:r w:rsidRPr="003C38FD">
        <w:rPr>
          <w:rFonts w:ascii="Times New Roman" w:hAnsi="Times New Roman"/>
        </w:rPr>
        <w:lastRenderedPageBreak/>
        <w:t xml:space="preserve">to be applied, where a jurisdictional issue is properly raised, is the correctness standard; such reviews are to be conducted </w:t>
      </w:r>
      <w:r w:rsidRPr="003C38FD">
        <w:rPr>
          <w:rFonts w:ascii="Times New Roman" w:hAnsi="Times New Roman"/>
          <w:i/>
        </w:rPr>
        <w:t>de novo</w:t>
      </w:r>
      <w:r w:rsidRPr="003C38FD">
        <w:rPr>
          <w:rFonts w:ascii="Times New Roman" w:hAnsi="Times New Roman"/>
        </w:rPr>
        <w:t>. There is no justification for the adoption of something akin to "</w:t>
      </w:r>
      <w:r w:rsidRPr="003C38FD">
        <w:rPr>
          <w:rFonts w:ascii="Times New Roman" w:hAnsi="Times New Roman"/>
          <w:i/>
          <w:iCs/>
        </w:rPr>
        <w:t>Chevron</w:t>
      </w:r>
      <w:r w:rsidRPr="003C38FD">
        <w:rPr>
          <w:rFonts w:ascii="Times New Roman" w:hAnsi="Times New Roman"/>
        </w:rPr>
        <w:t xml:space="preserve"> deference"</w:t>
      </w:r>
      <w:r w:rsidRPr="003C38FD">
        <w:rPr>
          <w:rStyle w:val="FootnoteReference"/>
          <w:rFonts w:ascii="Times New Roman" w:hAnsi="Times New Roman"/>
          <w:sz w:val="24"/>
        </w:rPr>
        <w:footnoteReference w:id="161"/>
      </w:r>
      <w:r w:rsidRPr="003C38FD">
        <w:rPr>
          <w:rFonts w:ascii="Times New Roman" w:hAnsi="Times New Roman"/>
        </w:rPr>
        <w:t xml:space="preserve"> to facts found by arbitrators in considering challenges to their jurisdiction.</w:t>
      </w:r>
      <w:r w:rsidRPr="003C38FD">
        <w:rPr>
          <w:rStyle w:val="FootnoteReference"/>
          <w:rFonts w:ascii="Times New Roman" w:hAnsi="Times New Roman"/>
          <w:sz w:val="24"/>
        </w:rPr>
        <w:footnoteReference w:id="162"/>
      </w:r>
      <w:r w:rsidRPr="003C38FD">
        <w:rPr>
          <w:rFonts w:ascii="Times New Roman" w:hAnsi="Times New Roman"/>
        </w:rPr>
        <w:t xml:space="preserve"> The real issue in cases such as this is the proper identification of the precise matter that goes to an arbitral tribunal's jurisdiction. The fact that an inquiry into the arbitral tribunal's jurisdiction led the Courts below into a journey through the minutiae of the arbitral tribunal's procedural orders is an indicator that the jurisdictional issue was not properly identified. The second ground of appeal should be dismissed. </w:t>
      </w:r>
    </w:p>
    <w:p w14:paraId="41C03B4D" w14:textId="77777777" w:rsidR="003A3473" w:rsidRPr="003C38FD" w:rsidRDefault="003A3473" w:rsidP="003C38FD">
      <w:pPr>
        <w:pStyle w:val="HeadingL1"/>
        <w:spacing w:after="260" w:line="280" w:lineRule="exact"/>
        <w:ind w:right="0"/>
        <w:jc w:val="both"/>
        <w:rPr>
          <w:rFonts w:ascii="Times New Roman" w:hAnsi="Times New Roman"/>
        </w:rPr>
      </w:pPr>
      <w:r w:rsidRPr="003C38FD">
        <w:rPr>
          <w:rFonts w:ascii="Times New Roman" w:hAnsi="Times New Roman"/>
        </w:rPr>
        <w:t>Conclusion</w:t>
      </w:r>
    </w:p>
    <w:p w14:paraId="06AFD60A" w14:textId="77777777" w:rsidR="003A3473" w:rsidRPr="003C38FD" w:rsidRDefault="003A3473" w:rsidP="003C38FD">
      <w:pPr>
        <w:pStyle w:val="FixListStyle"/>
        <w:spacing w:after="260" w:line="280" w:lineRule="exact"/>
        <w:ind w:right="0"/>
        <w:jc w:val="both"/>
        <w:rPr>
          <w:rFonts w:ascii="Times New Roman" w:hAnsi="Times New Roman"/>
        </w:rPr>
      </w:pPr>
      <w:r w:rsidRPr="003C38FD">
        <w:rPr>
          <w:rFonts w:ascii="Times New Roman" w:hAnsi="Times New Roman"/>
        </w:rPr>
        <w:tab/>
        <w:t xml:space="preserve">The end result is that the search for a justification for a conclusion by a court that the First Interim Award rendered the arbitral tribunal </w:t>
      </w:r>
      <w:r w:rsidRPr="003C38FD">
        <w:rPr>
          <w:rFonts w:ascii="Times New Roman" w:hAnsi="Times New Roman"/>
          <w:i/>
        </w:rPr>
        <w:t>functus officio</w:t>
      </w:r>
      <w:r w:rsidRPr="003C38FD">
        <w:rPr>
          <w:rFonts w:ascii="Times New Roman" w:hAnsi="Times New Roman"/>
        </w:rPr>
        <w:t xml:space="preserve"> with respect to the matters the subject of that award fails. It follows that the Second Interim Award was not liable to be set aside under s 34(2)(a)(iii) of the Arbitration Act. </w:t>
      </w:r>
    </w:p>
    <w:p w14:paraId="24B3CEA9" w14:textId="77777777" w:rsidR="00BA648D" w:rsidRDefault="003A3473" w:rsidP="003A3473">
      <w:pPr>
        <w:pStyle w:val="FixListStyle"/>
        <w:spacing w:after="260" w:line="280" w:lineRule="exact"/>
        <w:ind w:right="0"/>
        <w:jc w:val="both"/>
        <w:rPr>
          <w:rFonts w:ascii="Times New Roman" w:hAnsi="Times New Roman"/>
        </w:rPr>
      </w:pPr>
      <w:r w:rsidRPr="003C38FD">
        <w:rPr>
          <w:rFonts w:ascii="Times New Roman" w:hAnsi="Times New Roman"/>
        </w:rPr>
        <w:tab/>
        <w:t>The appeal should be allowed, the orders of the Court of Appeal and the primary judge should be set aside and, in lieu thereof, Chevron's application to the Supreme Court of Western Australia to set aside the Second Interim Award should be dismissed.</w:t>
      </w:r>
    </w:p>
    <w:p w14:paraId="0FBF3A50" w14:textId="77777777" w:rsidR="00025931" w:rsidRDefault="00025931" w:rsidP="003A3473">
      <w:pPr>
        <w:pStyle w:val="FixListStyle"/>
        <w:spacing w:after="260" w:line="280" w:lineRule="exact"/>
        <w:ind w:right="0"/>
        <w:jc w:val="both"/>
        <w:rPr>
          <w:rFonts w:ascii="Times New Roman" w:hAnsi="Times New Roman"/>
        </w:rPr>
        <w:sectPr w:rsidR="00025931" w:rsidSect="00BA648D">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E2A1F22" w14:textId="55E32DB8" w:rsidR="00A73989" w:rsidRPr="003A3473" w:rsidRDefault="00A73989" w:rsidP="00BA648D">
      <w:pPr>
        <w:pStyle w:val="NormalBody"/>
      </w:pPr>
    </w:p>
    <w:sectPr w:rsidR="00A73989" w:rsidRPr="003A3473" w:rsidSect="00BA648D">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C445" w14:textId="77777777" w:rsidR="00662FBD" w:rsidRDefault="00662FBD">
      <w:pPr>
        <w:spacing w:line="240" w:lineRule="auto"/>
      </w:pPr>
      <w:r>
        <w:separator/>
      </w:r>
    </w:p>
  </w:endnote>
  <w:endnote w:type="continuationSeparator" w:id="0">
    <w:p w14:paraId="21C81FB3" w14:textId="77777777" w:rsidR="00662FBD" w:rsidRDefault="00662FBD">
      <w:pPr>
        <w:spacing w:line="240" w:lineRule="auto"/>
      </w:pPr>
      <w:r>
        <w:continuationSeparator/>
      </w:r>
    </w:p>
  </w:endnote>
  <w:endnote w:type="continuationNotice" w:id="1">
    <w:p w14:paraId="3D96BDB3" w14:textId="77777777" w:rsidR="00662FBD" w:rsidRDefault="00662F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BAD7" w14:textId="77777777" w:rsidR="004445FE" w:rsidRDefault="00444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89AF" w14:textId="77777777" w:rsidR="004445FE" w:rsidRDefault="00444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01B5" w14:textId="77777777" w:rsidR="004445FE" w:rsidRDefault="00444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6BC1" w14:textId="77777777" w:rsidR="004445FE" w:rsidRDefault="004445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3EBE" w14:textId="77777777" w:rsidR="004445FE" w:rsidRDefault="004445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A0D" w14:textId="77777777" w:rsidR="004445FE" w:rsidRDefault="0044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F866" w14:textId="77777777" w:rsidR="00662FBD" w:rsidRPr="006F0A38" w:rsidRDefault="00662FBD" w:rsidP="006F0A38">
      <w:pPr>
        <w:pStyle w:val="Footer"/>
        <w:spacing w:before="120" w:after="20"/>
        <w:ind w:right="0"/>
        <w:rPr>
          <w:rFonts w:ascii="Times New Roman" w:hAnsi="Times New Roman"/>
        </w:rPr>
      </w:pPr>
      <w:r>
        <w:continuationSeparator/>
      </w:r>
    </w:p>
  </w:footnote>
  <w:footnote w:type="continuationSeparator" w:id="0">
    <w:p w14:paraId="3DBB7943" w14:textId="77777777" w:rsidR="00662FBD" w:rsidRPr="006F0A38" w:rsidRDefault="00662FBD" w:rsidP="006F0A38">
      <w:pPr>
        <w:pStyle w:val="Footer"/>
        <w:spacing w:before="120" w:after="20"/>
        <w:ind w:right="0"/>
        <w:rPr>
          <w:rFonts w:ascii="Times New Roman" w:hAnsi="Times New Roman"/>
        </w:rPr>
      </w:pPr>
      <w:r w:rsidRPr="006F0A38">
        <w:rPr>
          <w:rFonts w:ascii="Times New Roman" w:hAnsi="Times New Roman"/>
        </w:rPr>
        <w:continuationSeparator/>
      </w:r>
    </w:p>
  </w:footnote>
  <w:footnote w:type="continuationNotice" w:id="1">
    <w:p w14:paraId="7DB2A32D" w14:textId="77777777" w:rsidR="00662FBD" w:rsidRPr="00BA648D" w:rsidRDefault="00662FBD">
      <w:pPr>
        <w:jc w:val="right"/>
        <w:rPr>
          <w:rFonts w:ascii="Times New Roman" w:hAnsi="Times New Roman"/>
          <w:sz w:val="24"/>
        </w:rPr>
      </w:pPr>
    </w:p>
  </w:footnote>
  <w:footnote w:id="2">
    <w:p w14:paraId="355E30AB" w14:textId="21B39F5D"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UNCITRAL Model Law on International Commercial Arbitration (1985) as amended by the United Nations Commission on International Trade Law on 7 July 2006</w:t>
      </w:r>
      <w:r w:rsidR="0001049D" w:rsidRPr="006F0A38">
        <w:rPr>
          <w:rFonts w:ascii="Times New Roman" w:hAnsi="Times New Roman"/>
          <w:sz w:val="24"/>
        </w:rPr>
        <w:t>,</w:t>
      </w:r>
      <w:r w:rsidRPr="006F0A38">
        <w:rPr>
          <w:rFonts w:ascii="Times New Roman" w:hAnsi="Times New Roman"/>
          <w:sz w:val="24"/>
        </w:rPr>
        <w:t xml:space="preserve"> given force of law in Australia by the </w:t>
      </w:r>
      <w:r w:rsidRPr="006F0A38">
        <w:rPr>
          <w:rFonts w:ascii="Times New Roman" w:hAnsi="Times New Roman"/>
          <w:i/>
          <w:iCs/>
          <w:sz w:val="24"/>
        </w:rPr>
        <w:t xml:space="preserve">International Arbitration Act </w:t>
      </w:r>
      <w:r w:rsidRPr="006F0A38">
        <w:rPr>
          <w:rFonts w:ascii="Times New Roman" w:hAnsi="Times New Roman"/>
          <w:i/>
          <w:sz w:val="24"/>
        </w:rPr>
        <w:t>1974</w:t>
      </w:r>
      <w:r w:rsidRPr="006F0A38">
        <w:rPr>
          <w:rFonts w:ascii="Times New Roman" w:hAnsi="Times New Roman"/>
          <w:sz w:val="24"/>
        </w:rPr>
        <w:t xml:space="preserve"> (Cth) and, relevantly, applying to domestic commercial arbitrations as modified by the </w:t>
      </w:r>
      <w:r w:rsidRPr="006F0A38">
        <w:rPr>
          <w:rFonts w:ascii="Times New Roman" w:hAnsi="Times New Roman"/>
          <w:i/>
          <w:iCs/>
          <w:sz w:val="24"/>
        </w:rPr>
        <w:t xml:space="preserve">Commercial Arbitration Act 2012 </w:t>
      </w:r>
      <w:r w:rsidRPr="006F0A38">
        <w:rPr>
          <w:rFonts w:ascii="Times New Roman" w:hAnsi="Times New Roman"/>
          <w:sz w:val="24"/>
        </w:rPr>
        <w:t>(WA).</w:t>
      </w:r>
    </w:p>
  </w:footnote>
  <w:footnote w:id="3">
    <w:p w14:paraId="3F1AA483" w14:textId="77777777" w:rsidR="00C566B3" w:rsidRPr="006F0A38" w:rsidRDefault="00C566B3" w:rsidP="00C566B3">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Arbitration Rules of the United Nations Commission on International Trade Law, initially adopted in 1976 (General Assembly resolution 31/98) and revised in 2010 (General Assembly resolution 65/22).</w:t>
      </w:r>
    </w:p>
  </w:footnote>
  <w:footnote w:id="4">
    <w:p w14:paraId="278F3EEC" w14:textId="5B5F3B15"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Subject to some express exclusions which are not relevant to the resolution of the appeal.</w:t>
      </w:r>
    </w:p>
  </w:footnote>
  <w:footnote w:id="5">
    <w:p w14:paraId="3D6DB9FA"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[1] above.</w:t>
      </w:r>
    </w:p>
  </w:footnote>
  <w:footnote w:id="6">
    <w:p w14:paraId="35848848" w14:textId="7A132E9B"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Tesseract International Pty Ltd v Pascale Construction Pty Ltd</w:t>
      </w:r>
      <w:r w:rsidRPr="006F0A38">
        <w:rPr>
          <w:rFonts w:ascii="Times New Roman" w:hAnsi="Times New Roman"/>
          <w:sz w:val="24"/>
        </w:rPr>
        <w:t xml:space="preserve"> [2024] HCA </w:t>
      </w:r>
      <w:r w:rsidR="00582C83" w:rsidRPr="006F0A38">
        <w:rPr>
          <w:rFonts w:ascii="Times New Roman" w:hAnsi="Times New Roman"/>
          <w:sz w:val="24"/>
        </w:rPr>
        <w:t>24</w:t>
      </w:r>
      <w:r w:rsidRPr="006F0A38">
        <w:rPr>
          <w:rFonts w:ascii="Times New Roman" w:hAnsi="Times New Roman"/>
          <w:sz w:val="24"/>
        </w:rPr>
        <w:t xml:space="preserve"> at [</w:t>
      </w:r>
      <w:r w:rsidR="0063550B" w:rsidRPr="006F0A38">
        <w:rPr>
          <w:rFonts w:ascii="Times New Roman" w:hAnsi="Times New Roman"/>
          <w:sz w:val="24"/>
        </w:rPr>
        <w:t>19</w:t>
      </w:r>
      <w:r w:rsidRPr="006F0A38">
        <w:rPr>
          <w:rFonts w:ascii="Times New Roman" w:hAnsi="Times New Roman"/>
          <w:sz w:val="24"/>
        </w:rPr>
        <w:t>]-[</w:t>
      </w:r>
      <w:r w:rsidR="0063550B" w:rsidRPr="006F0A38">
        <w:rPr>
          <w:rFonts w:ascii="Times New Roman" w:hAnsi="Times New Roman"/>
          <w:sz w:val="24"/>
        </w:rPr>
        <w:t>29</w:t>
      </w:r>
      <w:r w:rsidRPr="006F0A38">
        <w:rPr>
          <w:rFonts w:ascii="Times New Roman" w:hAnsi="Times New Roman"/>
          <w:sz w:val="24"/>
        </w:rPr>
        <w:t>], [</w:t>
      </w:r>
      <w:r w:rsidR="00B561D1">
        <w:rPr>
          <w:rFonts w:ascii="Times New Roman" w:hAnsi="Times New Roman"/>
          <w:sz w:val="24"/>
        </w:rPr>
        <w:t>87</w:t>
      </w:r>
      <w:r w:rsidRPr="006F0A38">
        <w:rPr>
          <w:rFonts w:ascii="Times New Roman" w:hAnsi="Times New Roman"/>
          <w:sz w:val="24"/>
        </w:rPr>
        <w:t>], [</w:t>
      </w:r>
      <w:r w:rsidR="00BF6C5B">
        <w:rPr>
          <w:rFonts w:ascii="Times New Roman" w:hAnsi="Times New Roman"/>
          <w:sz w:val="24"/>
        </w:rPr>
        <w:t>147</w:t>
      </w:r>
      <w:r w:rsidRPr="006F0A38">
        <w:rPr>
          <w:rFonts w:ascii="Times New Roman" w:hAnsi="Times New Roman"/>
          <w:sz w:val="24"/>
        </w:rPr>
        <w:t>], [1</w:t>
      </w:r>
      <w:r w:rsidR="006222CA">
        <w:rPr>
          <w:rFonts w:ascii="Times New Roman" w:hAnsi="Times New Roman"/>
          <w:sz w:val="24"/>
        </w:rPr>
        <w:t>57</w:t>
      </w:r>
      <w:r w:rsidRPr="006F0A38">
        <w:rPr>
          <w:rFonts w:ascii="Times New Roman" w:hAnsi="Times New Roman"/>
          <w:sz w:val="24"/>
        </w:rPr>
        <w:t>]-[</w:t>
      </w:r>
      <w:r w:rsidR="00A340ED">
        <w:rPr>
          <w:rFonts w:ascii="Times New Roman" w:hAnsi="Times New Roman"/>
          <w:sz w:val="24"/>
        </w:rPr>
        <w:t>162</w:t>
      </w:r>
      <w:r w:rsidRPr="006F0A38">
        <w:rPr>
          <w:rFonts w:ascii="Times New Roman" w:hAnsi="Times New Roman"/>
          <w:sz w:val="24"/>
        </w:rPr>
        <w:t xml:space="preserve">], </w:t>
      </w:r>
      <w:r w:rsidR="00F14AE6" w:rsidRPr="006F0A38">
        <w:rPr>
          <w:rFonts w:ascii="Times New Roman" w:hAnsi="Times New Roman"/>
          <w:sz w:val="24"/>
        </w:rPr>
        <w:t>[</w:t>
      </w:r>
      <w:r w:rsidR="00CD3A3C">
        <w:rPr>
          <w:rFonts w:ascii="Times New Roman" w:hAnsi="Times New Roman"/>
          <w:sz w:val="24"/>
        </w:rPr>
        <w:t>230</w:t>
      </w:r>
      <w:r w:rsidR="00F14AE6" w:rsidRPr="006F0A38">
        <w:rPr>
          <w:rFonts w:ascii="Times New Roman" w:hAnsi="Times New Roman"/>
          <w:sz w:val="24"/>
        </w:rPr>
        <w:t>], [</w:t>
      </w:r>
      <w:r w:rsidR="00CB5A78">
        <w:rPr>
          <w:rFonts w:ascii="Times New Roman" w:hAnsi="Times New Roman"/>
          <w:sz w:val="24"/>
        </w:rPr>
        <w:t>273</w:t>
      </w:r>
      <w:r w:rsidR="00F14AE6" w:rsidRPr="006F0A38">
        <w:rPr>
          <w:rFonts w:ascii="Times New Roman" w:hAnsi="Times New Roman"/>
          <w:sz w:val="24"/>
        </w:rPr>
        <w:t>].</w:t>
      </w:r>
    </w:p>
  </w:footnote>
  <w:footnote w:id="7">
    <w:p w14:paraId="386D118A" w14:textId="1EFA4854"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C v D</w:t>
      </w:r>
      <w:r w:rsidRPr="006F0A38" w:rsidDel="00715D7E">
        <w:rPr>
          <w:rFonts w:ascii="Times New Roman" w:hAnsi="Times New Roman"/>
          <w:i/>
          <w:sz w:val="24"/>
        </w:rPr>
        <w:t xml:space="preserve"> </w:t>
      </w:r>
      <w:r w:rsidRPr="006F0A38">
        <w:rPr>
          <w:rFonts w:ascii="Times New Roman" w:hAnsi="Times New Roman"/>
          <w:sz w:val="24"/>
        </w:rPr>
        <w:t>(2023) 26 HKCFAR 216 at 226-227 [7]</w:t>
      </w:r>
      <w:r w:rsidR="000C014E" w:rsidRPr="006F0A38">
        <w:rPr>
          <w:rFonts w:ascii="Times New Roman" w:hAnsi="Times New Roman"/>
          <w:sz w:val="24"/>
        </w:rPr>
        <w:t>.</w:t>
      </w:r>
      <w:r w:rsidRPr="006F0A38">
        <w:rPr>
          <w:rFonts w:ascii="Times New Roman" w:hAnsi="Times New Roman"/>
          <w:sz w:val="24"/>
        </w:rPr>
        <w:t xml:space="preserve"> </w:t>
      </w:r>
      <w:r w:rsidR="000C014E" w:rsidRPr="006F0A38">
        <w:rPr>
          <w:rFonts w:ascii="Times New Roman" w:hAnsi="Times New Roman"/>
          <w:sz w:val="24"/>
        </w:rPr>
        <w:t>S</w:t>
      </w:r>
      <w:r w:rsidRPr="006F0A38">
        <w:rPr>
          <w:rFonts w:ascii="Times New Roman" w:hAnsi="Times New Roman"/>
          <w:sz w:val="24"/>
        </w:rPr>
        <w:t xml:space="preserve">ee also </w:t>
      </w:r>
      <w:r w:rsidRPr="006F0A38">
        <w:rPr>
          <w:rFonts w:ascii="Times New Roman" w:hAnsi="Times New Roman"/>
          <w:i/>
          <w:iCs/>
          <w:sz w:val="24"/>
        </w:rPr>
        <w:t xml:space="preserve">TCL Air Conditioner (Zhongshan) Co Ltd v Judges of the Federal Court of Australia </w:t>
      </w:r>
      <w:r w:rsidRPr="006F0A38">
        <w:rPr>
          <w:rFonts w:ascii="Times New Roman" w:hAnsi="Times New Roman"/>
          <w:sz w:val="24"/>
        </w:rPr>
        <w:t xml:space="preserve">(2013) 251 CLR 533 at 554 [29]. </w:t>
      </w:r>
    </w:p>
  </w:footnote>
  <w:footnote w:id="8">
    <w:p w14:paraId="4B46BDBD" w14:textId="02B56ED9"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00B323AC" w:rsidRPr="006F0A38">
        <w:rPr>
          <w:rFonts w:ascii="Times New Roman" w:hAnsi="Times New Roman"/>
          <w:i/>
          <w:iCs/>
          <w:sz w:val="24"/>
        </w:rPr>
        <w:t>UNCITRAL Model Law on International Commercial Arbitration</w:t>
      </w:r>
      <w:r w:rsidR="00664784" w:rsidRPr="006F0A38">
        <w:rPr>
          <w:rFonts w:ascii="Times New Roman" w:hAnsi="Times New Roman"/>
          <w:i/>
          <w:iCs/>
          <w:sz w:val="24"/>
        </w:rPr>
        <w:t xml:space="preserve"> 1985</w:t>
      </w:r>
      <w:r w:rsidR="003605C4" w:rsidRPr="006F0A38">
        <w:rPr>
          <w:rFonts w:ascii="Times New Roman" w:hAnsi="Times New Roman"/>
          <w:i/>
          <w:iCs/>
          <w:sz w:val="24"/>
        </w:rPr>
        <w:t>, With amendments as adopted in 2006</w:t>
      </w:r>
      <w:r w:rsidR="007A3255" w:rsidRPr="006F0A38">
        <w:rPr>
          <w:rFonts w:ascii="Times New Roman" w:hAnsi="Times New Roman"/>
          <w:i/>
          <w:iCs/>
          <w:sz w:val="24"/>
        </w:rPr>
        <w:t xml:space="preserve"> </w:t>
      </w:r>
      <w:r w:rsidR="007A3255" w:rsidRPr="006F0A38">
        <w:rPr>
          <w:rFonts w:ascii="Times New Roman" w:hAnsi="Times New Roman"/>
          <w:sz w:val="24"/>
        </w:rPr>
        <w:t>(2008)</w:t>
      </w:r>
      <w:r w:rsidR="00B323AC" w:rsidRPr="006F0A38">
        <w:rPr>
          <w:rFonts w:ascii="Times New Roman" w:hAnsi="Times New Roman"/>
          <w:i/>
          <w:iCs/>
          <w:sz w:val="24"/>
        </w:rPr>
        <w:t xml:space="preserve"> </w:t>
      </w:r>
      <w:r w:rsidRPr="006F0A38">
        <w:rPr>
          <w:rFonts w:ascii="Times New Roman" w:hAnsi="Times New Roman"/>
          <w:sz w:val="24"/>
        </w:rPr>
        <w:t>at vii, viii.</w:t>
      </w:r>
    </w:p>
  </w:footnote>
  <w:footnote w:id="9">
    <w:p w14:paraId="73E9D6FF"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Arbitration Act, s 1C(1).</w:t>
      </w:r>
    </w:p>
  </w:footnote>
  <w:footnote w:id="10">
    <w:p w14:paraId="6CE9DE95"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Arbitration Act, s 1C(2)(a) and (3).</w:t>
      </w:r>
    </w:p>
  </w:footnote>
  <w:footnote w:id="11">
    <w:p w14:paraId="630CF456" w14:textId="310A869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See Croft, Kee and Waincymer, </w:t>
      </w:r>
      <w:r w:rsidRPr="006F0A38">
        <w:rPr>
          <w:rFonts w:ascii="Times New Roman" w:hAnsi="Times New Roman"/>
          <w:i/>
          <w:sz w:val="24"/>
        </w:rPr>
        <w:t>A Guide to the UNCITRAL Arbitration Rules</w:t>
      </w:r>
      <w:r w:rsidRPr="006F0A38">
        <w:rPr>
          <w:rFonts w:ascii="Times New Roman" w:hAnsi="Times New Roman"/>
          <w:i/>
          <w:iCs/>
          <w:sz w:val="24"/>
        </w:rPr>
        <w:t xml:space="preserve"> </w:t>
      </w:r>
      <w:r w:rsidRPr="006F0A38">
        <w:rPr>
          <w:rFonts w:ascii="Times New Roman" w:hAnsi="Times New Roman"/>
          <w:sz w:val="24"/>
        </w:rPr>
        <w:t>(2013) at 380-381 [34.6]-[34.7]. See also Report of the Working Group on Arbitration and Conciliation on the work of its forty-seventh session</w:t>
      </w:r>
      <w:r w:rsidR="007D57A4" w:rsidRPr="006F0A38">
        <w:rPr>
          <w:rFonts w:ascii="Times New Roman" w:hAnsi="Times New Roman"/>
          <w:iCs/>
          <w:sz w:val="24"/>
        </w:rPr>
        <w:t>, UN</w:t>
      </w:r>
      <w:r w:rsidR="00565E0E" w:rsidRPr="006F0A38">
        <w:rPr>
          <w:rFonts w:ascii="Times New Roman" w:hAnsi="Times New Roman"/>
          <w:iCs/>
          <w:sz w:val="24"/>
        </w:rPr>
        <w:t xml:space="preserve"> </w:t>
      </w:r>
      <w:r w:rsidR="007D57A4" w:rsidRPr="006F0A38">
        <w:rPr>
          <w:rFonts w:ascii="Times New Roman" w:hAnsi="Times New Roman"/>
          <w:iCs/>
          <w:sz w:val="24"/>
        </w:rPr>
        <w:t>Doc</w:t>
      </w:r>
      <w:r w:rsidR="001B1B67" w:rsidRPr="006F0A38">
        <w:rPr>
          <w:rFonts w:ascii="Times New Roman" w:hAnsi="Times New Roman"/>
          <w:iCs/>
          <w:sz w:val="24"/>
        </w:rPr>
        <w:t xml:space="preserve"> A/CN.9/641</w:t>
      </w:r>
      <w:r w:rsidRPr="006F0A38">
        <w:rPr>
          <w:rFonts w:ascii="Times New Roman" w:hAnsi="Times New Roman"/>
          <w:sz w:val="24"/>
        </w:rPr>
        <w:t xml:space="preserve"> (2007) at 16 [80]. </w:t>
      </w:r>
    </w:p>
  </w:footnote>
  <w:footnote w:id="12">
    <w:p w14:paraId="03066AFA" w14:textId="7BDA23D2"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Report of the Working Group on Arbitration and Conciliation on the work of its forty-seventh session</w:t>
      </w:r>
      <w:r w:rsidR="00AF053B" w:rsidRPr="006F0A38">
        <w:rPr>
          <w:rFonts w:ascii="Times New Roman" w:hAnsi="Times New Roman"/>
          <w:iCs/>
          <w:sz w:val="24"/>
        </w:rPr>
        <w:t>,</w:t>
      </w:r>
      <w:r w:rsidRPr="006F0A38">
        <w:rPr>
          <w:rFonts w:ascii="Times New Roman" w:hAnsi="Times New Roman"/>
          <w:sz w:val="24"/>
        </w:rPr>
        <w:t xml:space="preserve"> </w:t>
      </w:r>
      <w:r w:rsidR="00AF053B" w:rsidRPr="006F0A38">
        <w:rPr>
          <w:rFonts w:ascii="Times New Roman" w:hAnsi="Times New Roman"/>
          <w:iCs/>
          <w:sz w:val="24"/>
        </w:rPr>
        <w:t>UN</w:t>
      </w:r>
      <w:r w:rsidR="00565E0E" w:rsidRPr="006F0A38">
        <w:rPr>
          <w:rFonts w:ascii="Times New Roman" w:hAnsi="Times New Roman"/>
          <w:iCs/>
          <w:sz w:val="24"/>
        </w:rPr>
        <w:t xml:space="preserve"> </w:t>
      </w:r>
      <w:r w:rsidR="00AF053B" w:rsidRPr="006F0A38">
        <w:rPr>
          <w:rFonts w:ascii="Times New Roman" w:hAnsi="Times New Roman"/>
          <w:iCs/>
          <w:sz w:val="24"/>
        </w:rPr>
        <w:t>Doc A/CN.9/641</w:t>
      </w:r>
      <w:r w:rsidR="00AF053B" w:rsidRPr="006F0A38">
        <w:rPr>
          <w:rFonts w:ascii="Times New Roman" w:hAnsi="Times New Roman"/>
          <w:sz w:val="24"/>
        </w:rPr>
        <w:t xml:space="preserve"> </w:t>
      </w:r>
      <w:r w:rsidRPr="006F0A38">
        <w:rPr>
          <w:rFonts w:ascii="Times New Roman" w:hAnsi="Times New Roman"/>
          <w:sz w:val="24"/>
        </w:rPr>
        <w:t>(2007) at 16 [78]-[80].</w:t>
      </w:r>
    </w:p>
  </w:footnote>
  <w:footnote w:id="13">
    <w:p w14:paraId="2842A33B"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UNCITRAL Rules, Art 34(2) (emphasis added). See also Croft, Kee and Waincymer, </w:t>
      </w:r>
      <w:r w:rsidRPr="006F0A38">
        <w:rPr>
          <w:rFonts w:ascii="Times New Roman" w:hAnsi="Times New Roman"/>
          <w:i/>
          <w:sz w:val="24"/>
        </w:rPr>
        <w:t xml:space="preserve">A Guide to the UNCITRAL Arbitration Rules </w:t>
      </w:r>
      <w:r w:rsidRPr="006F0A38">
        <w:rPr>
          <w:rFonts w:ascii="Times New Roman" w:hAnsi="Times New Roman"/>
          <w:iCs/>
          <w:sz w:val="24"/>
        </w:rPr>
        <w:t>(2013)</w:t>
      </w:r>
      <w:r w:rsidRPr="006F0A38">
        <w:rPr>
          <w:rFonts w:ascii="Times New Roman" w:hAnsi="Times New Roman"/>
          <w:sz w:val="24"/>
        </w:rPr>
        <w:t xml:space="preserve"> at 381-382 [34.8]-[34.9]. </w:t>
      </w:r>
    </w:p>
  </w:footnote>
  <w:footnote w:id="14">
    <w:p w14:paraId="1F7CE0EF"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[2023] SGHC 197 at [34], citing </w:t>
      </w:r>
      <w:r w:rsidRPr="006F0A38">
        <w:rPr>
          <w:rFonts w:ascii="Times New Roman" w:hAnsi="Times New Roman"/>
          <w:i/>
          <w:iCs/>
          <w:sz w:val="24"/>
        </w:rPr>
        <w:t xml:space="preserve">PT Perusahaan Gas Negara (Persero) TBK v CRW Joint Operation </w:t>
      </w:r>
      <w:r w:rsidRPr="006F0A38">
        <w:rPr>
          <w:rFonts w:ascii="Times New Roman" w:hAnsi="Times New Roman"/>
          <w:sz w:val="24"/>
        </w:rPr>
        <w:t>[2015] 4 SLR 364 at 386 [51]-[53].</w:t>
      </w:r>
    </w:p>
  </w:footnote>
  <w:footnote w:id="15">
    <w:p w14:paraId="14CDFAC8" w14:textId="77777777" w:rsidR="001114B9" w:rsidRPr="006F0A38" w:rsidRDefault="001114B9" w:rsidP="006F0A38">
      <w:pPr>
        <w:pStyle w:val="FootnoteText"/>
        <w:spacing w:line="280" w:lineRule="exact"/>
        <w:ind w:right="0"/>
        <w:jc w:val="both"/>
        <w:rPr>
          <w:rFonts w:ascii="Times New Roman" w:hAnsi="Times New Roman"/>
          <w:i/>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[17] above.</w:t>
      </w:r>
    </w:p>
  </w:footnote>
  <w:footnote w:id="16">
    <w:p w14:paraId="3D1A88D9"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i/>
          <w:sz w:val="24"/>
        </w:rPr>
        <w:tab/>
      </w:r>
      <w:r w:rsidRPr="006F0A38">
        <w:rPr>
          <w:rFonts w:ascii="Times New Roman" w:hAnsi="Times New Roman"/>
          <w:sz w:val="24"/>
        </w:rPr>
        <w:t>UNCITRAL Rules, Art 34(1) and (2). See [17] above.</w:t>
      </w:r>
    </w:p>
  </w:footnote>
  <w:footnote w:id="17">
    <w:p w14:paraId="3E00BD88"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cf </w:t>
      </w:r>
      <w:r w:rsidRPr="006F0A38">
        <w:rPr>
          <w:rFonts w:ascii="Times New Roman" w:hAnsi="Times New Roman"/>
          <w:i/>
          <w:iCs/>
          <w:sz w:val="24"/>
        </w:rPr>
        <w:t xml:space="preserve">Discovery Beach Project Pty Ltd v Northbuild Construction Pty Ltd </w:t>
      </w:r>
      <w:r w:rsidRPr="006F0A38">
        <w:rPr>
          <w:rFonts w:ascii="Times New Roman" w:hAnsi="Times New Roman"/>
          <w:sz w:val="24"/>
        </w:rPr>
        <w:t xml:space="preserve">[2011] QSC 306 at [76], [78]; Croft, Stamboulakis and Warren, </w:t>
      </w:r>
      <w:r w:rsidRPr="006F0A38">
        <w:rPr>
          <w:rFonts w:ascii="Times New Roman" w:hAnsi="Times New Roman"/>
          <w:i/>
          <w:iCs/>
          <w:sz w:val="24"/>
        </w:rPr>
        <w:t xml:space="preserve">International and Australian Commercial Arbitration </w:t>
      </w:r>
      <w:r w:rsidRPr="006F0A38">
        <w:rPr>
          <w:rFonts w:ascii="Times New Roman" w:hAnsi="Times New Roman"/>
          <w:sz w:val="24"/>
        </w:rPr>
        <w:t>(2022) at 458-460 [8.7]-[8.10].</w:t>
      </w:r>
    </w:p>
  </w:footnote>
  <w:footnote w:id="18">
    <w:p w14:paraId="3D73D5EF"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[18] above.</w:t>
      </w:r>
    </w:p>
  </w:footnote>
  <w:footnote w:id="19">
    <w:p w14:paraId="64CD4438" w14:textId="7A9D2EBD"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See also </w:t>
      </w:r>
      <w:r w:rsidRPr="006F0A38">
        <w:rPr>
          <w:rFonts w:ascii="Times New Roman" w:hAnsi="Times New Roman"/>
          <w:iCs/>
          <w:sz w:val="24"/>
        </w:rPr>
        <w:t>Report of the Working Group on Arbitration and Conciliation on the work of its forty-seventh session</w:t>
      </w:r>
      <w:r w:rsidR="00922B32" w:rsidRPr="006F0A38">
        <w:rPr>
          <w:rFonts w:ascii="Times New Roman" w:hAnsi="Times New Roman"/>
          <w:iCs/>
          <w:sz w:val="24"/>
        </w:rPr>
        <w:t>,</w:t>
      </w:r>
      <w:r w:rsidR="00922B32" w:rsidRPr="006F0A38">
        <w:rPr>
          <w:rFonts w:ascii="Times New Roman" w:hAnsi="Times New Roman"/>
          <w:i/>
          <w:sz w:val="24"/>
        </w:rPr>
        <w:t xml:space="preserve"> </w:t>
      </w:r>
      <w:r w:rsidR="00922B32" w:rsidRPr="006F0A38">
        <w:rPr>
          <w:rFonts w:ascii="Times New Roman" w:hAnsi="Times New Roman"/>
          <w:iCs/>
          <w:sz w:val="24"/>
        </w:rPr>
        <w:t>UN</w:t>
      </w:r>
      <w:r w:rsidR="00CB270D" w:rsidRPr="006F0A38">
        <w:rPr>
          <w:rFonts w:ascii="Times New Roman" w:hAnsi="Times New Roman"/>
          <w:iCs/>
          <w:sz w:val="24"/>
        </w:rPr>
        <w:t xml:space="preserve"> </w:t>
      </w:r>
      <w:r w:rsidR="00922B32" w:rsidRPr="006F0A38">
        <w:rPr>
          <w:rFonts w:ascii="Times New Roman" w:hAnsi="Times New Roman"/>
          <w:iCs/>
          <w:sz w:val="24"/>
        </w:rPr>
        <w:t>Doc A/CN.9/641</w:t>
      </w:r>
      <w:r w:rsidRPr="006F0A38">
        <w:rPr>
          <w:rFonts w:ascii="Times New Roman" w:hAnsi="Times New Roman"/>
          <w:i/>
          <w:sz w:val="24"/>
        </w:rPr>
        <w:t xml:space="preserve"> </w:t>
      </w:r>
      <w:r w:rsidRPr="006F0A38">
        <w:rPr>
          <w:rFonts w:ascii="Times New Roman" w:hAnsi="Times New Roman"/>
          <w:sz w:val="24"/>
        </w:rPr>
        <w:t>(2007) at 17 [81].</w:t>
      </w:r>
    </w:p>
  </w:footnote>
  <w:footnote w:id="20">
    <w:p w14:paraId="2DC6C187" w14:textId="3707D9FE" w:rsidR="00C816F8" w:rsidRPr="006F0A38" w:rsidRDefault="00C816F8"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cf UNCITRAL Rules, Art 34.</w:t>
      </w:r>
    </w:p>
  </w:footnote>
  <w:footnote w:id="21">
    <w:p w14:paraId="0A264FA8" w14:textId="27352B85"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 xml:space="preserve">TCL </w:t>
      </w:r>
      <w:r w:rsidRPr="006F0A38">
        <w:rPr>
          <w:rFonts w:ascii="Times New Roman" w:hAnsi="Times New Roman"/>
          <w:sz w:val="24"/>
        </w:rPr>
        <w:t xml:space="preserve">(2013) 251 CLR 533 at 568 [81], citing Mustill and Boyd, </w:t>
      </w:r>
      <w:r w:rsidRPr="006F0A38">
        <w:rPr>
          <w:rFonts w:ascii="Times New Roman" w:hAnsi="Times New Roman"/>
          <w:i/>
          <w:iCs/>
          <w:sz w:val="24"/>
        </w:rPr>
        <w:t>The Law and Practice of Commercial Arbitration in England</w:t>
      </w:r>
      <w:r w:rsidRPr="006F0A38">
        <w:rPr>
          <w:rFonts w:ascii="Times New Roman" w:hAnsi="Times New Roman"/>
          <w:sz w:val="24"/>
        </w:rPr>
        <w:t>, 2nd ed (1989) at 439; see also 556</w:t>
      </w:r>
      <w:r w:rsidR="00067CD5" w:rsidRPr="006F0A38">
        <w:rPr>
          <w:rFonts w:ascii="Times New Roman" w:hAnsi="Times New Roman"/>
        </w:rPr>
        <w:t> </w:t>
      </w:r>
      <w:r w:rsidRPr="006F0A38">
        <w:rPr>
          <w:rFonts w:ascii="Times New Roman" w:hAnsi="Times New Roman"/>
          <w:sz w:val="24"/>
        </w:rPr>
        <w:t>[37], 567 [78].</w:t>
      </w:r>
    </w:p>
  </w:footnote>
  <w:footnote w:id="22">
    <w:p w14:paraId="7ACA9C32"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(2013) 251 CLR 533 at 575 [108]; see also 567 [78].</w:t>
      </w:r>
    </w:p>
  </w:footnote>
  <w:footnote w:id="23">
    <w:p w14:paraId="2A1FC467"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TCL</w:t>
      </w:r>
      <w:r w:rsidRPr="006F0A38">
        <w:rPr>
          <w:rFonts w:ascii="Times New Roman" w:hAnsi="Times New Roman"/>
          <w:sz w:val="24"/>
        </w:rPr>
        <w:t xml:space="preserve"> (2013) 251 CLR 533 at 555 [31].</w:t>
      </w:r>
    </w:p>
  </w:footnote>
  <w:footnote w:id="24">
    <w:p w14:paraId="1FBE746B" w14:textId="67912654"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Or by an appeal on a question of law: Arbitration Act, s 34A. See</w:t>
      </w:r>
      <w:r w:rsidR="0031370A" w:rsidRPr="006F0A38">
        <w:rPr>
          <w:rFonts w:ascii="Times New Roman" w:hAnsi="Times New Roman"/>
          <w:sz w:val="24"/>
        </w:rPr>
        <w:t xml:space="preserve"> </w:t>
      </w:r>
      <w:r w:rsidRPr="006F0A38">
        <w:rPr>
          <w:rFonts w:ascii="Times New Roman" w:hAnsi="Times New Roman"/>
          <w:sz w:val="24"/>
        </w:rPr>
        <w:t>also Model Law, Art 5 (cf Arbitration Act, s 5).</w:t>
      </w:r>
    </w:p>
  </w:footnote>
  <w:footnote w:id="25">
    <w:p w14:paraId="6884EDE8"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See, eg, </w:t>
      </w:r>
      <w:r w:rsidRPr="006F0A38">
        <w:rPr>
          <w:rFonts w:ascii="Times New Roman" w:hAnsi="Times New Roman"/>
          <w:i/>
          <w:iCs/>
          <w:sz w:val="24"/>
        </w:rPr>
        <w:t>ONGC</w:t>
      </w:r>
      <w:r w:rsidRPr="006F0A38">
        <w:rPr>
          <w:rFonts w:ascii="Times New Roman" w:hAnsi="Times New Roman"/>
          <w:i/>
          <w:sz w:val="24"/>
        </w:rPr>
        <w:t xml:space="preserve"> </w:t>
      </w:r>
      <w:r w:rsidRPr="006F0A38">
        <w:rPr>
          <w:rFonts w:ascii="Times New Roman" w:hAnsi="Times New Roman"/>
          <w:sz w:val="24"/>
        </w:rPr>
        <w:t>[2023] SGHC 197 at [35].</w:t>
      </w:r>
    </w:p>
  </w:footnote>
  <w:footnote w:id="26">
    <w:p w14:paraId="4EA7D098"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[12]-[13] above.</w:t>
      </w:r>
    </w:p>
  </w:footnote>
  <w:footnote w:id="27">
    <w:p w14:paraId="16FA45F7"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[13] above.</w:t>
      </w:r>
    </w:p>
  </w:footnote>
  <w:footnote w:id="28">
    <w:p w14:paraId="4A8F4E98" w14:textId="77777777" w:rsidR="00D14E46" w:rsidRPr="006F0A38" w:rsidRDefault="00D14E46"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[1966] 1 QB 630 at 644.</w:t>
      </w:r>
    </w:p>
  </w:footnote>
  <w:footnote w:id="29">
    <w:p w14:paraId="76C70644" w14:textId="77777777" w:rsidR="00D14E46" w:rsidRPr="006F0A38" w:rsidRDefault="00D14E46"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[1966] 1 QB 630 at 644.</w:t>
      </w:r>
    </w:p>
  </w:footnote>
  <w:footnote w:id="30">
    <w:p w14:paraId="4C4851DE" w14:textId="77777777" w:rsidR="00D14E46" w:rsidRPr="006F0A38" w:rsidRDefault="00D14E46"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[1966] 1 QB 630 at 644.</w:t>
      </w:r>
    </w:p>
  </w:footnote>
  <w:footnote w:id="31">
    <w:p w14:paraId="0D799289" w14:textId="3AFC44B7" w:rsidR="00D14E46" w:rsidRPr="006F0A38" w:rsidRDefault="00D14E46" w:rsidP="006F0A38">
      <w:pPr>
        <w:pStyle w:val="FootnoteText"/>
        <w:spacing w:line="280" w:lineRule="exact"/>
        <w:ind w:right="0"/>
        <w:jc w:val="both"/>
        <w:rPr>
          <w:rFonts w:ascii="Times New Roman" w:hAnsi="Times New Roman"/>
          <w:sz w:val="24"/>
          <w:lang w:val="en-US"/>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lang w:val="en-US"/>
        </w:rPr>
        <w:tab/>
      </w:r>
      <w:r w:rsidR="001C61CC" w:rsidRPr="006F0A38">
        <w:rPr>
          <w:rFonts w:ascii="Times New Roman" w:hAnsi="Times New Roman"/>
          <w:i/>
          <w:iCs/>
          <w:sz w:val="24"/>
          <w:lang w:val="en-US"/>
        </w:rPr>
        <w:t>ABB Service Pty Ltd v Pyrmont Light Rail Company Ltd</w:t>
      </w:r>
      <w:r w:rsidR="001C61CC" w:rsidRPr="006F0A38">
        <w:rPr>
          <w:rFonts w:ascii="Times New Roman" w:hAnsi="Times New Roman"/>
          <w:sz w:val="24"/>
          <w:lang w:val="en-US"/>
        </w:rPr>
        <w:t xml:space="preserve"> (2010) 77 NSWLR 321 at </w:t>
      </w:r>
      <w:r w:rsidR="00BA08E9" w:rsidRPr="006F0A38">
        <w:rPr>
          <w:rFonts w:ascii="Times New Roman" w:hAnsi="Times New Roman"/>
          <w:sz w:val="24"/>
          <w:lang w:val="en-US"/>
        </w:rPr>
        <w:t>33</w:t>
      </w:r>
      <w:r w:rsidR="001C61CC" w:rsidRPr="006F0A38">
        <w:rPr>
          <w:rFonts w:ascii="Times New Roman" w:hAnsi="Times New Roman"/>
          <w:sz w:val="24"/>
          <w:lang w:val="en-US"/>
        </w:rPr>
        <w:t xml:space="preserve">7 [70], </w:t>
      </w:r>
      <w:r w:rsidR="00BA08E9" w:rsidRPr="006F0A38">
        <w:rPr>
          <w:rFonts w:ascii="Times New Roman" w:hAnsi="Times New Roman"/>
          <w:sz w:val="24"/>
          <w:lang w:val="en-US"/>
        </w:rPr>
        <w:t>341-342</w:t>
      </w:r>
      <w:r w:rsidR="00820DFC" w:rsidRPr="006F0A38">
        <w:rPr>
          <w:rFonts w:ascii="Times New Roman" w:hAnsi="Times New Roman"/>
          <w:sz w:val="24"/>
          <w:lang w:val="en-US"/>
        </w:rPr>
        <w:t xml:space="preserve"> </w:t>
      </w:r>
      <w:r w:rsidR="001C61CC" w:rsidRPr="006F0A38">
        <w:rPr>
          <w:rFonts w:ascii="Times New Roman" w:hAnsi="Times New Roman"/>
          <w:sz w:val="24"/>
          <w:lang w:val="en-US"/>
        </w:rPr>
        <w:t xml:space="preserve">[93]-[97]; </w:t>
      </w:r>
      <w:r w:rsidR="001C61CC" w:rsidRPr="006F0A38">
        <w:rPr>
          <w:rFonts w:ascii="Times New Roman" w:hAnsi="Times New Roman"/>
          <w:i/>
          <w:iCs/>
          <w:sz w:val="24"/>
          <w:lang w:val="en-US"/>
        </w:rPr>
        <w:t xml:space="preserve">Discovery Beach </w:t>
      </w:r>
      <w:r w:rsidR="001C61CC" w:rsidRPr="006F0A38">
        <w:rPr>
          <w:rFonts w:ascii="Times New Roman" w:hAnsi="Times New Roman"/>
          <w:sz w:val="24"/>
          <w:lang w:val="en-US"/>
        </w:rPr>
        <w:t xml:space="preserve">[2011] QSC 306 at [68]; </w:t>
      </w:r>
      <w:r w:rsidR="001C61CC" w:rsidRPr="006F0A38">
        <w:rPr>
          <w:rFonts w:ascii="Times New Roman" w:hAnsi="Times New Roman"/>
          <w:i/>
          <w:iCs/>
          <w:sz w:val="24"/>
          <w:lang w:val="en-US"/>
        </w:rPr>
        <w:t>Emirates Trading Agency LLC v Sociedade de Fomento Industrial Private Ltd</w:t>
      </w:r>
      <w:r w:rsidR="001C61CC" w:rsidRPr="006F0A38">
        <w:rPr>
          <w:rFonts w:ascii="Times New Roman" w:hAnsi="Times New Roman"/>
          <w:sz w:val="24"/>
          <w:lang w:val="en-US"/>
        </w:rPr>
        <w:t xml:space="preserve"> [201</w:t>
      </w:r>
      <w:r w:rsidR="00781914" w:rsidRPr="006F0A38">
        <w:rPr>
          <w:rFonts w:ascii="Times New Roman" w:hAnsi="Times New Roman"/>
          <w:sz w:val="24"/>
          <w:lang w:val="en-US"/>
        </w:rPr>
        <w:t>6</w:t>
      </w:r>
      <w:r w:rsidR="001C61CC" w:rsidRPr="006F0A38">
        <w:rPr>
          <w:rFonts w:ascii="Times New Roman" w:hAnsi="Times New Roman"/>
          <w:sz w:val="24"/>
          <w:lang w:val="en-US"/>
        </w:rPr>
        <w:t>] 1 All</w:t>
      </w:r>
      <w:r w:rsidR="00067CD5" w:rsidRPr="006F0A38">
        <w:rPr>
          <w:rFonts w:ascii="Times New Roman" w:hAnsi="Times New Roman"/>
        </w:rPr>
        <w:t> </w:t>
      </w:r>
      <w:r w:rsidR="001C61CC" w:rsidRPr="006F0A38">
        <w:rPr>
          <w:rFonts w:ascii="Times New Roman" w:hAnsi="Times New Roman"/>
          <w:sz w:val="24"/>
          <w:lang w:val="en-US"/>
        </w:rPr>
        <w:t xml:space="preserve">ER (Comm) 517 at 526 [26], 527-528 [33], [35]-[36]. See also </w:t>
      </w:r>
      <w:r w:rsidR="001C61CC" w:rsidRPr="006F0A38">
        <w:rPr>
          <w:rFonts w:ascii="Times New Roman" w:hAnsi="Times New Roman"/>
          <w:i/>
          <w:iCs/>
          <w:sz w:val="24"/>
          <w:lang w:val="en-US"/>
        </w:rPr>
        <w:t>Alvaro v Temple</w:t>
      </w:r>
      <w:r w:rsidR="001C61CC" w:rsidRPr="006F0A38">
        <w:rPr>
          <w:rFonts w:ascii="Times New Roman" w:hAnsi="Times New Roman"/>
          <w:sz w:val="24"/>
          <w:lang w:val="en-US"/>
        </w:rPr>
        <w:t xml:space="preserve"> [2009] WASC 205 at [67]. </w:t>
      </w:r>
    </w:p>
  </w:footnote>
  <w:footnote w:id="32">
    <w:p w14:paraId="0BF73FEE" w14:textId="4479BE5A" w:rsidR="00D14E46" w:rsidRPr="006F0A38" w:rsidRDefault="00D14E46"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Mustill and Boyd, </w:t>
      </w:r>
      <w:r w:rsidRPr="006F0A38">
        <w:rPr>
          <w:rFonts w:ascii="Times New Roman" w:hAnsi="Times New Roman"/>
          <w:i/>
          <w:iCs/>
          <w:sz w:val="24"/>
        </w:rPr>
        <w:t>The Law and Practice of Commercial Arbitration in England</w:t>
      </w:r>
      <w:r w:rsidRPr="006F0A38">
        <w:rPr>
          <w:rFonts w:ascii="Times New Roman" w:hAnsi="Times New Roman"/>
          <w:sz w:val="24"/>
        </w:rPr>
        <w:t xml:space="preserve">, 2nd ed (1989) at 405. See also Sutton, Gill and Gearing, </w:t>
      </w:r>
      <w:r w:rsidRPr="006F0A38">
        <w:rPr>
          <w:rFonts w:ascii="Times New Roman" w:hAnsi="Times New Roman"/>
          <w:i/>
          <w:iCs/>
          <w:sz w:val="24"/>
        </w:rPr>
        <w:t>Russell on Arbitration</w:t>
      </w:r>
      <w:r w:rsidRPr="006F0A38">
        <w:rPr>
          <w:rFonts w:ascii="Times New Roman" w:hAnsi="Times New Roman"/>
          <w:sz w:val="24"/>
        </w:rPr>
        <w:t>, 24th</w:t>
      </w:r>
      <w:r w:rsidR="00067CD5" w:rsidRPr="006F0A38">
        <w:rPr>
          <w:rFonts w:ascii="Times New Roman" w:hAnsi="Times New Roman"/>
        </w:rPr>
        <w:t> </w:t>
      </w:r>
      <w:r w:rsidRPr="006F0A38">
        <w:rPr>
          <w:rFonts w:ascii="Times New Roman" w:hAnsi="Times New Roman"/>
          <w:sz w:val="24"/>
        </w:rPr>
        <w:t>ed (2015) at 297 [6-016]</w:t>
      </w:r>
      <w:r w:rsidR="005867DD" w:rsidRPr="006F0A38">
        <w:rPr>
          <w:rFonts w:ascii="Times New Roman" w:hAnsi="Times New Roman"/>
          <w:sz w:val="24"/>
        </w:rPr>
        <w:t>,</w:t>
      </w:r>
      <w:r w:rsidRPr="006F0A38">
        <w:rPr>
          <w:rFonts w:ascii="Times New Roman" w:hAnsi="Times New Roman"/>
          <w:sz w:val="24"/>
        </w:rPr>
        <w:t xml:space="preserve"> 352 [6-166]. </w:t>
      </w:r>
    </w:p>
  </w:footnote>
  <w:footnote w:id="33">
    <w:p w14:paraId="275C3CBE" w14:textId="17426902" w:rsidR="00D14E46" w:rsidRPr="006F0A38" w:rsidRDefault="00D14E46" w:rsidP="006F0A38">
      <w:pPr>
        <w:pStyle w:val="FootnoteText"/>
        <w:spacing w:line="280" w:lineRule="exact"/>
        <w:ind w:right="0"/>
        <w:jc w:val="both"/>
        <w:rPr>
          <w:rFonts w:ascii="Times New Roman" w:hAnsi="Times New Roman"/>
          <w:sz w:val="24"/>
          <w:lang w:val="en-US"/>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lang w:val="en-US"/>
        </w:rPr>
        <w:tab/>
      </w:r>
      <w:r w:rsidRPr="006F0A38">
        <w:rPr>
          <w:rFonts w:ascii="Times New Roman" w:hAnsi="Times New Roman"/>
          <w:i/>
          <w:iCs/>
          <w:sz w:val="24"/>
          <w:lang w:val="en-US"/>
        </w:rPr>
        <w:t>American International Specialty Lines Insurance Company v Allied Capital Corporation</w:t>
      </w:r>
      <w:r w:rsidRPr="006F0A38">
        <w:rPr>
          <w:rFonts w:ascii="Times New Roman" w:hAnsi="Times New Roman"/>
          <w:sz w:val="24"/>
          <w:lang w:val="en-US"/>
        </w:rPr>
        <w:t xml:space="preserve"> </w:t>
      </w:r>
      <w:r w:rsidR="00855B55" w:rsidRPr="006F0A38">
        <w:rPr>
          <w:rFonts w:ascii="Times New Roman" w:hAnsi="Times New Roman"/>
          <w:sz w:val="24"/>
          <w:lang w:val="en-US"/>
        </w:rPr>
        <w:t xml:space="preserve">(2020) </w:t>
      </w:r>
      <w:r w:rsidRPr="006F0A38">
        <w:rPr>
          <w:rFonts w:ascii="Times New Roman" w:hAnsi="Times New Roman"/>
          <w:sz w:val="24"/>
          <w:lang w:val="en-US"/>
        </w:rPr>
        <w:t>149 NE</w:t>
      </w:r>
      <w:r w:rsidR="007E1455" w:rsidRPr="006F0A38">
        <w:rPr>
          <w:rFonts w:ascii="Times New Roman" w:hAnsi="Times New Roman"/>
          <w:sz w:val="24"/>
          <w:lang w:val="en-US"/>
        </w:rPr>
        <w:t xml:space="preserve"> </w:t>
      </w:r>
      <w:r w:rsidRPr="006F0A38">
        <w:rPr>
          <w:rFonts w:ascii="Times New Roman" w:hAnsi="Times New Roman"/>
          <w:sz w:val="24"/>
          <w:lang w:val="en-US"/>
        </w:rPr>
        <w:t>3d 33 at 38.</w:t>
      </w:r>
    </w:p>
  </w:footnote>
  <w:footnote w:id="34">
    <w:p w14:paraId="2A6B8C26" w14:textId="69C32E0B"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Mustill and Boyd, </w:t>
      </w:r>
      <w:r w:rsidRPr="006F0A38">
        <w:rPr>
          <w:rFonts w:ascii="Times New Roman" w:hAnsi="Times New Roman"/>
          <w:i/>
          <w:iCs/>
          <w:sz w:val="24"/>
        </w:rPr>
        <w:t>The Law and Practice of Commercial Arbitration in England</w:t>
      </w:r>
      <w:r w:rsidRPr="006F0A38">
        <w:rPr>
          <w:rFonts w:ascii="Times New Roman" w:hAnsi="Times New Roman"/>
          <w:sz w:val="24"/>
        </w:rPr>
        <w:t>, 2nd ed (1989) at 404-405 (emphasis added, footnotes omitted).</w:t>
      </w:r>
    </w:p>
  </w:footnote>
  <w:footnote w:id="35">
    <w:p w14:paraId="7AEC5176" w14:textId="619510E9"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See, eg, </w:t>
      </w:r>
      <w:r w:rsidRPr="006F0A38">
        <w:rPr>
          <w:rFonts w:ascii="Times New Roman" w:hAnsi="Times New Roman"/>
          <w:i/>
          <w:sz w:val="24"/>
        </w:rPr>
        <w:t xml:space="preserve">Fidelitas </w:t>
      </w:r>
      <w:r w:rsidRPr="006F0A38">
        <w:rPr>
          <w:rFonts w:ascii="Times New Roman" w:hAnsi="Times New Roman"/>
          <w:sz w:val="24"/>
        </w:rPr>
        <w:t xml:space="preserve">[1966] 1 QB 630 at 644; </w:t>
      </w:r>
      <w:r w:rsidRPr="006F0A38">
        <w:rPr>
          <w:rFonts w:ascii="Times New Roman" w:hAnsi="Times New Roman"/>
          <w:i/>
          <w:iCs/>
          <w:sz w:val="24"/>
        </w:rPr>
        <w:t xml:space="preserve">Alvaro </w:t>
      </w:r>
      <w:r w:rsidRPr="006F0A38">
        <w:rPr>
          <w:rFonts w:ascii="Times New Roman" w:hAnsi="Times New Roman"/>
          <w:sz w:val="24"/>
        </w:rPr>
        <w:t>[2009] WASC 205 at [67];</w:t>
      </w:r>
      <w:r w:rsidR="00425DBF">
        <w:rPr>
          <w:rFonts w:ascii="Times New Roman" w:hAnsi="Times New Roman"/>
          <w:sz w:val="24"/>
        </w:rPr>
        <w:t xml:space="preserve"> </w:t>
      </w:r>
      <w:r w:rsidRPr="006F0A38">
        <w:rPr>
          <w:rFonts w:ascii="Times New Roman" w:hAnsi="Times New Roman"/>
          <w:i/>
          <w:iCs/>
          <w:sz w:val="24"/>
        </w:rPr>
        <w:t>APG</w:t>
      </w:r>
      <w:r w:rsidR="00067CD5" w:rsidRPr="006F0A38">
        <w:rPr>
          <w:rFonts w:ascii="Times New Roman" w:hAnsi="Times New Roman"/>
        </w:rPr>
        <w:t> </w:t>
      </w:r>
      <w:r w:rsidRPr="006F0A38">
        <w:rPr>
          <w:rFonts w:ascii="Times New Roman" w:hAnsi="Times New Roman"/>
          <w:i/>
          <w:iCs/>
          <w:sz w:val="24"/>
        </w:rPr>
        <w:t>Homes</w:t>
      </w:r>
      <w:r w:rsidR="00B81956" w:rsidRPr="006F0A38">
        <w:rPr>
          <w:rFonts w:ascii="Times New Roman" w:hAnsi="Times New Roman"/>
          <w:i/>
          <w:iCs/>
          <w:sz w:val="24"/>
        </w:rPr>
        <w:t xml:space="preserve"> Pty Ltd v Primary Creations Pty Ltd</w:t>
      </w:r>
      <w:r w:rsidRPr="006F0A38">
        <w:rPr>
          <w:rFonts w:ascii="Times New Roman" w:hAnsi="Times New Roman"/>
          <w:i/>
          <w:iCs/>
          <w:sz w:val="24"/>
        </w:rPr>
        <w:t xml:space="preserve"> </w:t>
      </w:r>
      <w:r w:rsidRPr="006F0A38">
        <w:rPr>
          <w:rFonts w:ascii="Times New Roman" w:hAnsi="Times New Roman"/>
          <w:sz w:val="24"/>
        </w:rPr>
        <w:t xml:space="preserve">[2009] WASC 227 at [73]; </w:t>
      </w:r>
      <w:r w:rsidRPr="006F0A38">
        <w:rPr>
          <w:rFonts w:ascii="Times New Roman" w:hAnsi="Times New Roman"/>
          <w:i/>
          <w:iCs/>
          <w:sz w:val="24"/>
        </w:rPr>
        <w:t>ABB</w:t>
      </w:r>
      <w:r w:rsidR="00425DBF" w:rsidRPr="006F0A38">
        <w:rPr>
          <w:rFonts w:ascii="Times New Roman" w:hAnsi="Times New Roman"/>
        </w:rPr>
        <w:t> </w:t>
      </w:r>
      <w:r w:rsidRPr="006F0A38">
        <w:rPr>
          <w:rFonts w:ascii="Times New Roman" w:hAnsi="Times New Roman"/>
          <w:sz w:val="24"/>
        </w:rPr>
        <w:t>(2010) 77 NSWLR 321 at 336 [63]-[64],</w:t>
      </w:r>
      <w:r w:rsidR="00F92C74" w:rsidRPr="006F0A38">
        <w:rPr>
          <w:rFonts w:ascii="Times New Roman" w:hAnsi="Times New Roman"/>
          <w:sz w:val="24"/>
        </w:rPr>
        <w:t xml:space="preserve"> </w:t>
      </w:r>
      <w:r w:rsidRPr="006F0A38">
        <w:rPr>
          <w:rFonts w:ascii="Times New Roman" w:hAnsi="Times New Roman"/>
          <w:sz w:val="24"/>
        </w:rPr>
        <w:t xml:space="preserve">337 [70]; </w:t>
      </w:r>
      <w:r w:rsidRPr="006F0A38">
        <w:rPr>
          <w:rFonts w:ascii="Times New Roman" w:hAnsi="Times New Roman"/>
          <w:i/>
          <w:sz w:val="24"/>
        </w:rPr>
        <w:t xml:space="preserve">Discovery Beach </w:t>
      </w:r>
      <w:r w:rsidRPr="006F0A38">
        <w:rPr>
          <w:rFonts w:ascii="Times New Roman" w:hAnsi="Times New Roman"/>
          <w:sz w:val="24"/>
        </w:rPr>
        <w:t xml:space="preserve">[2011] QSC 306 at [68]; </w:t>
      </w:r>
      <w:r w:rsidRPr="006F0A38">
        <w:rPr>
          <w:rFonts w:ascii="Times New Roman" w:hAnsi="Times New Roman"/>
          <w:i/>
          <w:sz w:val="24"/>
        </w:rPr>
        <w:t>L W Infrastructure</w:t>
      </w:r>
      <w:r w:rsidR="001D5B97" w:rsidRPr="006F0A38">
        <w:rPr>
          <w:rFonts w:ascii="Times New Roman" w:hAnsi="Times New Roman"/>
          <w:i/>
          <w:sz w:val="24"/>
        </w:rPr>
        <w:t xml:space="preserve"> Pte Ltd v Lim Ch</w:t>
      </w:r>
      <w:r w:rsidR="00E30989" w:rsidRPr="006F0A38">
        <w:rPr>
          <w:rFonts w:ascii="Times New Roman" w:hAnsi="Times New Roman"/>
          <w:i/>
          <w:sz w:val="24"/>
        </w:rPr>
        <w:t>i</w:t>
      </w:r>
      <w:r w:rsidR="001D5B97" w:rsidRPr="006F0A38">
        <w:rPr>
          <w:rFonts w:ascii="Times New Roman" w:hAnsi="Times New Roman"/>
          <w:i/>
          <w:sz w:val="24"/>
        </w:rPr>
        <w:t>n San Contractors Pte Ltd</w:t>
      </w:r>
      <w:r w:rsidRPr="006F0A38">
        <w:rPr>
          <w:rFonts w:ascii="Times New Roman" w:hAnsi="Times New Roman"/>
          <w:i/>
          <w:sz w:val="24"/>
        </w:rPr>
        <w:t xml:space="preserve"> </w:t>
      </w:r>
      <w:r w:rsidRPr="006F0A38">
        <w:rPr>
          <w:rFonts w:ascii="Times New Roman" w:hAnsi="Times New Roman"/>
          <w:sz w:val="24"/>
        </w:rPr>
        <w:t xml:space="preserve">[2014] 1 SLR 1221 at 1234 [32]; </w:t>
      </w:r>
      <w:r w:rsidRPr="006F0A38">
        <w:rPr>
          <w:rFonts w:ascii="Times New Roman" w:hAnsi="Times New Roman"/>
          <w:i/>
          <w:iCs/>
          <w:sz w:val="24"/>
        </w:rPr>
        <w:t xml:space="preserve">Emirates Trading </w:t>
      </w:r>
      <w:r w:rsidRPr="006F0A38">
        <w:rPr>
          <w:rFonts w:ascii="Times New Roman" w:hAnsi="Times New Roman"/>
          <w:sz w:val="24"/>
        </w:rPr>
        <w:t xml:space="preserve">[2016] 1 All ER (Comm) 517 at 526 [26]. See also Mustill and Boyd, </w:t>
      </w:r>
      <w:r w:rsidRPr="006F0A38">
        <w:rPr>
          <w:rFonts w:ascii="Times New Roman" w:hAnsi="Times New Roman"/>
          <w:i/>
          <w:iCs/>
          <w:sz w:val="24"/>
        </w:rPr>
        <w:t>The Law and Practice of Commercial Arbitration in England</w:t>
      </w:r>
      <w:r w:rsidRPr="006F0A38">
        <w:rPr>
          <w:rFonts w:ascii="Times New Roman" w:hAnsi="Times New Roman"/>
          <w:sz w:val="24"/>
        </w:rPr>
        <w:t>, 2nd ed (1989) at 404-405.</w:t>
      </w:r>
    </w:p>
  </w:footnote>
  <w:footnote w:id="36">
    <w:p w14:paraId="6DA74EF0" w14:textId="74F1F686"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 xml:space="preserve">ONGC </w:t>
      </w:r>
      <w:r w:rsidRPr="006F0A38">
        <w:rPr>
          <w:rFonts w:ascii="Times New Roman" w:hAnsi="Times New Roman"/>
          <w:sz w:val="24"/>
        </w:rPr>
        <w:t xml:space="preserve">[2023] SGHC 197 at [33]. </w:t>
      </w:r>
    </w:p>
  </w:footnote>
  <w:footnote w:id="37">
    <w:p w14:paraId="468C2D8C"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See, eg, </w:t>
      </w:r>
      <w:r w:rsidRPr="006F0A38">
        <w:rPr>
          <w:rFonts w:ascii="Times New Roman" w:hAnsi="Times New Roman"/>
          <w:i/>
          <w:iCs/>
          <w:sz w:val="24"/>
        </w:rPr>
        <w:t>ONGC</w:t>
      </w:r>
      <w:r w:rsidRPr="006F0A38">
        <w:rPr>
          <w:rFonts w:ascii="Times New Roman" w:hAnsi="Times New Roman"/>
          <w:sz w:val="24"/>
        </w:rPr>
        <w:t xml:space="preserve"> [2023] SGHC 197 at [32].</w:t>
      </w:r>
    </w:p>
  </w:footnote>
  <w:footnote w:id="38">
    <w:p w14:paraId="6DDC1899" w14:textId="1F643623"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See, eg, </w:t>
      </w:r>
      <w:r w:rsidRPr="006F0A38">
        <w:rPr>
          <w:rFonts w:ascii="Times New Roman" w:hAnsi="Times New Roman"/>
          <w:i/>
          <w:iCs/>
          <w:sz w:val="24"/>
        </w:rPr>
        <w:t xml:space="preserve">C v D </w:t>
      </w:r>
      <w:r w:rsidRPr="006F0A38">
        <w:rPr>
          <w:rFonts w:ascii="Times New Roman" w:hAnsi="Times New Roman"/>
          <w:sz w:val="24"/>
        </w:rPr>
        <w:t xml:space="preserve">(2023) 26 HKCFAR 216 at 244 [52(b)]. See also </w:t>
      </w:r>
      <w:r w:rsidRPr="006F0A38">
        <w:rPr>
          <w:rFonts w:ascii="Times New Roman" w:hAnsi="Times New Roman"/>
          <w:i/>
          <w:iCs/>
          <w:sz w:val="24"/>
        </w:rPr>
        <w:t>BBA</w:t>
      </w:r>
      <w:r w:rsidR="00DE222B" w:rsidRPr="006F0A38">
        <w:rPr>
          <w:rFonts w:ascii="Times New Roman" w:hAnsi="Times New Roman"/>
          <w:i/>
          <w:iCs/>
          <w:sz w:val="24"/>
        </w:rPr>
        <w:t xml:space="preserve"> v BAZ</w:t>
      </w:r>
      <w:r w:rsidRPr="006F0A38">
        <w:rPr>
          <w:rFonts w:ascii="Times New Roman" w:hAnsi="Times New Roman"/>
          <w:i/>
          <w:iCs/>
          <w:sz w:val="24"/>
        </w:rPr>
        <w:t xml:space="preserve"> </w:t>
      </w:r>
      <w:r w:rsidRPr="006F0A38">
        <w:rPr>
          <w:rFonts w:ascii="Times New Roman" w:hAnsi="Times New Roman"/>
          <w:sz w:val="24"/>
        </w:rPr>
        <w:t>[2020]</w:t>
      </w:r>
      <w:r w:rsidRPr="006F0A38" w:rsidDel="00673EEE">
        <w:rPr>
          <w:rFonts w:ascii="Times New Roman" w:hAnsi="Times New Roman"/>
          <w:sz w:val="24"/>
        </w:rPr>
        <w:t xml:space="preserve"> </w:t>
      </w:r>
      <w:r w:rsidRPr="006F0A38">
        <w:rPr>
          <w:rFonts w:ascii="Times New Roman" w:hAnsi="Times New Roman"/>
          <w:sz w:val="24"/>
        </w:rPr>
        <w:t xml:space="preserve">2 SLR 453 at 481-482 [76]-[79]; </w:t>
      </w:r>
      <w:r w:rsidRPr="006F0A38">
        <w:rPr>
          <w:rFonts w:ascii="Times New Roman" w:hAnsi="Times New Roman"/>
          <w:i/>
          <w:iCs/>
          <w:sz w:val="24"/>
        </w:rPr>
        <w:t xml:space="preserve">BTN v BTP </w:t>
      </w:r>
      <w:r w:rsidRPr="006F0A38">
        <w:rPr>
          <w:rFonts w:ascii="Times New Roman" w:hAnsi="Times New Roman"/>
          <w:sz w:val="24"/>
        </w:rPr>
        <w:t>[2021] 1 SLR 276 at 299-300 [68]</w:t>
      </w:r>
      <w:r w:rsidR="003B40D3">
        <w:rPr>
          <w:rFonts w:ascii="Times New Roman" w:hAnsi="Times New Roman"/>
          <w:sz w:val="24"/>
        </w:rPr>
        <w:noBreakHyphen/>
      </w:r>
      <w:r w:rsidRPr="006F0A38">
        <w:rPr>
          <w:rFonts w:ascii="Times New Roman" w:hAnsi="Times New Roman"/>
          <w:sz w:val="24"/>
        </w:rPr>
        <w:t xml:space="preserve">[69]. </w:t>
      </w:r>
    </w:p>
  </w:footnote>
  <w:footnote w:id="39">
    <w:p w14:paraId="2FA88C29"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eg,</w:t>
      </w:r>
      <w:r w:rsidRPr="006F0A38" w:rsidDel="00492475">
        <w:rPr>
          <w:rFonts w:ascii="Times New Roman" w:hAnsi="Times New Roman"/>
          <w:sz w:val="24"/>
        </w:rPr>
        <w:t xml:space="preserve"> </w:t>
      </w:r>
      <w:r w:rsidRPr="006F0A38">
        <w:rPr>
          <w:rFonts w:ascii="Times New Roman" w:hAnsi="Times New Roman"/>
          <w:i/>
          <w:iCs/>
          <w:sz w:val="24"/>
        </w:rPr>
        <w:t>The Nuance Group (Australia) Pty Ltd v Shape Australia Pty Ltd</w:t>
      </w:r>
      <w:r w:rsidRPr="006F0A38">
        <w:rPr>
          <w:rFonts w:ascii="Times New Roman" w:hAnsi="Times New Roman"/>
          <w:sz w:val="24"/>
        </w:rPr>
        <w:t xml:space="preserve"> (2021) 395 ALR 720 at 749 [132].</w:t>
      </w:r>
    </w:p>
  </w:footnote>
  <w:footnote w:id="40">
    <w:p w14:paraId="7015CDFE" w14:textId="73AF8EC4"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eg,</w:t>
      </w:r>
      <w:r w:rsidRPr="006F0A38" w:rsidDel="002F72EA">
        <w:rPr>
          <w:rFonts w:ascii="Times New Roman" w:hAnsi="Times New Roman"/>
          <w:sz w:val="24"/>
        </w:rPr>
        <w:t xml:space="preserve"> </w:t>
      </w:r>
      <w:r w:rsidRPr="006F0A38">
        <w:rPr>
          <w:rFonts w:ascii="Times New Roman" w:hAnsi="Times New Roman"/>
          <w:i/>
          <w:sz w:val="24"/>
        </w:rPr>
        <w:t xml:space="preserve">BBA </w:t>
      </w:r>
      <w:r w:rsidRPr="006F0A38">
        <w:rPr>
          <w:rFonts w:ascii="Times New Roman" w:hAnsi="Times New Roman"/>
          <w:sz w:val="24"/>
        </w:rPr>
        <w:t>[2020] 2 SLR 453</w:t>
      </w:r>
      <w:r w:rsidRPr="006F0A38" w:rsidDel="0072058E">
        <w:rPr>
          <w:rFonts w:ascii="Times New Roman" w:hAnsi="Times New Roman"/>
          <w:sz w:val="24"/>
        </w:rPr>
        <w:t xml:space="preserve"> </w:t>
      </w:r>
      <w:r w:rsidRPr="006F0A38">
        <w:rPr>
          <w:rFonts w:ascii="Times New Roman" w:hAnsi="Times New Roman"/>
          <w:sz w:val="24"/>
        </w:rPr>
        <w:t xml:space="preserve">at 480-482 [73]-[79]; </w:t>
      </w:r>
      <w:r w:rsidRPr="006F0A38">
        <w:rPr>
          <w:rFonts w:ascii="Times New Roman" w:hAnsi="Times New Roman"/>
          <w:i/>
          <w:iCs/>
          <w:sz w:val="24"/>
        </w:rPr>
        <w:t>Republic of Sierra Leone v SL Mining Ltd</w:t>
      </w:r>
      <w:r w:rsidRPr="006F0A38">
        <w:rPr>
          <w:rFonts w:ascii="Times New Roman" w:hAnsi="Times New Roman"/>
          <w:sz w:val="24"/>
        </w:rPr>
        <w:t xml:space="preserve"> [2021] Bus LR 704</w:t>
      </w:r>
      <w:r w:rsidR="0095686F" w:rsidRPr="006F0A38">
        <w:rPr>
          <w:rFonts w:ascii="Times New Roman" w:hAnsi="Times New Roman"/>
          <w:sz w:val="24"/>
        </w:rPr>
        <w:t xml:space="preserve"> at</w:t>
      </w:r>
      <w:r w:rsidR="005F45F3" w:rsidRPr="006F0A38">
        <w:rPr>
          <w:rFonts w:ascii="Times New Roman" w:hAnsi="Times New Roman"/>
          <w:sz w:val="24"/>
        </w:rPr>
        <w:t xml:space="preserve"> </w:t>
      </w:r>
      <w:r w:rsidR="00F61FCF" w:rsidRPr="006F0A38">
        <w:rPr>
          <w:rFonts w:ascii="Times New Roman" w:hAnsi="Times New Roman"/>
          <w:sz w:val="24"/>
        </w:rPr>
        <w:t>709-</w:t>
      </w:r>
      <w:r w:rsidR="00055837" w:rsidRPr="006F0A38">
        <w:rPr>
          <w:rFonts w:ascii="Times New Roman" w:hAnsi="Times New Roman"/>
          <w:sz w:val="24"/>
        </w:rPr>
        <w:t>712</w:t>
      </w:r>
      <w:r w:rsidR="00C2722A" w:rsidRPr="006F0A38">
        <w:rPr>
          <w:rFonts w:ascii="Times New Roman" w:hAnsi="Times New Roman"/>
          <w:sz w:val="24"/>
        </w:rPr>
        <w:t> [11]-</w:t>
      </w:r>
      <w:r w:rsidR="0099518A" w:rsidRPr="006F0A38">
        <w:rPr>
          <w:rFonts w:ascii="Times New Roman" w:hAnsi="Times New Roman"/>
          <w:sz w:val="24"/>
        </w:rPr>
        <w:t>[18]</w:t>
      </w:r>
      <w:r w:rsidRPr="006F0A38">
        <w:rPr>
          <w:rFonts w:ascii="Times New Roman" w:hAnsi="Times New Roman"/>
          <w:sz w:val="24"/>
        </w:rPr>
        <w:t xml:space="preserve">; </w:t>
      </w:r>
      <w:r w:rsidRPr="006F0A38">
        <w:rPr>
          <w:rFonts w:ascii="Times New Roman" w:hAnsi="Times New Roman"/>
          <w:i/>
          <w:iCs/>
          <w:sz w:val="24"/>
        </w:rPr>
        <w:t xml:space="preserve">BTN </w:t>
      </w:r>
      <w:r w:rsidRPr="006F0A38">
        <w:rPr>
          <w:rFonts w:ascii="Times New Roman" w:hAnsi="Times New Roman"/>
          <w:sz w:val="24"/>
        </w:rPr>
        <w:t>[2021] 1 SLR 276 at 299</w:t>
      </w:r>
      <w:r w:rsidR="00944EE7">
        <w:rPr>
          <w:rFonts w:ascii="Times New Roman" w:hAnsi="Times New Roman"/>
          <w:sz w:val="24"/>
        </w:rPr>
        <w:noBreakHyphen/>
      </w:r>
      <w:r w:rsidRPr="006F0A38">
        <w:rPr>
          <w:rFonts w:ascii="Times New Roman" w:hAnsi="Times New Roman"/>
          <w:sz w:val="24"/>
        </w:rPr>
        <w:t xml:space="preserve">301 [68]-[71]; </w:t>
      </w:r>
      <w:r w:rsidRPr="006F0A38">
        <w:rPr>
          <w:rFonts w:ascii="Times New Roman" w:hAnsi="Times New Roman"/>
          <w:i/>
          <w:iCs/>
          <w:sz w:val="24"/>
        </w:rPr>
        <w:t>C</w:t>
      </w:r>
      <w:r w:rsidR="00580167" w:rsidRPr="006F0A38">
        <w:rPr>
          <w:rFonts w:ascii="Times New Roman" w:hAnsi="Times New Roman"/>
          <w:sz w:val="24"/>
        </w:rPr>
        <w:t> </w:t>
      </w:r>
      <w:r w:rsidRPr="006F0A38">
        <w:rPr>
          <w:rFonts w:ascii="Times New Roman" w:hAnsi="Times New Roman"/>
          <w:i/>
          <w:iCs/>
          <w:sz w:val="24"/>
        </w:rPr>
        <w:t>v</w:t>
      </w:r>
      <w:r w:rsidR="00580167" w:rsidRPr="006F0A38">
        <w:rPr>
          <w:rFonts w:ascii="Times New Roman" w:hAnsi="Times New Roman"/>
          <w:sz w:val="24"/>
        </w:rPr>
        <w:t> </w:t>
      </w:r>
      <w:r w:rsidRPr="006F0A38">
        <w:rPr>
          <w:rFonts w:ascii="Times New Roman" w:hAnsi="Times New Roman"/>
          <w:i/>
          <w:iCs/>
          <w:sz w:val="24"/>
        </w:rPr>
        <w:t xml:space="preserve">D </w:t>
      </w:r>
      <w:r w:rsidRPr="006F0A38">
        <w:rPr>
          <w:rFonts w:ascii="Times New Roman" w:hAnsi="Times New Roman"/>
          <w:sz w:val="24"/>
        </w:rPr>
        <w:t>(2023)</w:t>
      </w:r>
      <w:r w:rsidRPr="006F0A38">
        <w:rPr>
          <w:rFonts w:ascii="Times New Roman" w:hAnsi="Times New Roman"/>
          <w:i/>
          <w:iCs/>
          <w:sz w:val="24"/>
        </w:rPr>
        <w:t xml:space="preserve"> </w:t>
      </w:r>
      <w:r w:rsidRPr="006F0A38">
        <w:rPr>
          <w:rFonts w:ascii="Times New Roman" w:hAnsi="Times New Roman"/>
          <w:sz w:val="24"/>
        </w:rPr>
        <w:t>26 HKCFAR 216 at 226 [6], 228 [14]</w:t>
      </w:r>
      <w:r w:rsidR="003F2579" w:rsidRPr="006F0A38">
        <w:rPr>
          <w:rFonts w:ascii="Times New Roman" w:hAnsi="Times New Roman"/>
          <w:sz w:val="24"/>
        </w:rPr>
        <w:t>, 255 [90]</w:t>
      </w:r>
      <w:r w:rsidRPr="006F0A38">
        <w:rPr>
          <w:rFonts w:ascii="Times New Roman" w:hAnsi="Times New Roman"/>
          <w:sz w:val="24"/>
        </w:rPr>
        <w:t>, 257 [97],</w:t>
      </w:r>
      <w:r w:rsidRPr="006F0A38" w:rsidDel="00A318B7">
        <w:rPr>
          <w:rFonts w:ascii="Times New Roman" w:hAnsi="Times New Roman"/>
          <w:sz w:val="24"/>
        </w:rPr>
        <w:t xml:space="preserve"> </w:t>
      </w:r>
      <w:r w:rsidRPr="006F0A38">
        <w:rPr>
          <w:rFonts w:ascii="Times New Roman" w:hAnsi="Times New Roman"/>
          <w:sz w:val="24"/>
        </w:rPr>
        <w:t>259-260 [111]</w:t>
      </w:r>
      <w:r w:rsidR="00955328" w:rsidRPr="006F0A38">
        <w:rPr>
          <w:rFonts w:ascii="Times New Roman" w:hAnsi="Times New Roman"/>
          <w:sz w:val="24"/>
        </w:rPr>
        <w:t>,</w:t>
      </w:r>
      <w:r w:rsidRPr="006F0A38">
        <w:rPr>
          <w:rFonts w:ascii="Times New Roman" w:hAnsi="Times New Roman"/>
          <w:sz w:val="24"/>
        </w:rPr>
        <w:t xml:space="preserve"> cf 274 [159]. </w:t>
      </w:r>
    </w:p>
  </w:footnote>
  <w:footnote w:id="41">
    <w:p w14:paraId="01C41ECE"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ONGC</w:t>
      </w:r>
      <w:r w:rsidRPr="006F0A38">
        <w:rPr>
          <w:rFonts w:ascii="Times New Roman" w:hAnsi="Times New Roman"/>
          <w:sz w:val="24"/>
        </w:rPr>
        <w:t xml:space="preserve"> [2023] SGHC 197 at [32].</w:t>
      </w:r>
    </w:p>
  </w:footnote>
  <w:footnote w:id="42">
    <w:p w14:paraId="1792A15A" w14:textId="54610E0E"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 xml:space="preserve">Rinehart v Hancock Prospecting Pty Ltd </w:t>
      </w:r>
      <w:r w:rsidRPr="006F0A38">
        <w:rPr>
          <w:rFonts w:ascii="Times New Roman" w:hAnsi="Times New Roman"/>
          <w:sz w:val="24"/>
        </w:rPr>
        <w:t>(2019) 267 CLR 514 at 526 [13]. See also Croft, Stamboulakis</w:t>
      </w:r>
      <w:r w:rsidR="00A56533" w:rsidRPr="006F0A38">
        <w:rPr>
          <w:rFonts w:ascii="Times New Roman" w:hAnsi="Times New Roman"/>
          <w:sz w:val="24"/>
        </w:rPr>
        <w:t xml:space="preserve"> and</w:t>
      </w:r>
      <w:r w:rsidRPr="006F0A38">
        <w:rPr>
          <w:rFonts w:ascii="Times New Roman" w:hAnsi="Times New Roman"/>
          <w:sz w:val="24"/>
        </w:rPr>
        <w:t xml:space="preserve"> Warren, </w:t>
      </w:r>
      <w:r w:rsidRPr="006F0A38">
        <w:rPr>
          <w:rFonts w:ascii="Times New Roman" w:hAnsi="Times New Roman"/>
          <w:i/>
          <w:sz w:val="24"/>
        </w:rPr>
        <w:t xml:space="preserve">International and Australian Commercial Arbitration </w:t>
      </w:r>
      <w:r w:rsidRPr="006F0A38">
        <w:rPr>
          <w:rFonts w:ascii="Times New Roman" w:hAnsi="Times New Roman"/>
          <w:sz w:val="24"/>
        </w:rPr>
        <w:t>(2022) at 233-234 [5.1].</w:t>
      </w:r>
    </w:p>
  </w:footnote>
  <w:footnote w:id="43">
    <w:p w14:paraId="3C746E77" w14:textId="7BB605C6" w:rsidR="001114B9" w:rsidRPr="006F0A38" w:rsidRDefault="001114B9" w:rsidP="006F0A38">
      <w:pPr>
        <w:pStyle w:val="FootnoteText"/>
        <w:spacing w:line="280" w:lineRule="exact"/>
        <w:ind w:right="0"/>
        <w:jc w:val="both"/>
        <w:rPr>
          <w:rFonts w:ascii="Times New Roman" w:hAnsi="Times New Roman"/>
          <w:i/>
          <w:iCs/>
          <w:sz w:val="24"/>
          <w:u w:val="single"/>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Holtzmann and Neuhaus, </w:t>
      </w:r>
      <w:r w:rsidRPr="006F0A38">
        <w:rPr>
          <w:rFonts w:ascii="Times New Roman" w:hAnsi="Times New Roman"/>
          <w:i/>
          <w:iCs/>
          <w:sz w:val="24"/>
        </w:rPr>
        <w:t>A Guide to the UNCITRAL Model Law on International Commercial Arbitration: Legislative History and Commentary</w:t>
      </w:r>
      <w:r w:rsidRPr="006F0A38">
        <w:rPr>
          <w:rFonts w:ascii="Times New Roman" w:hAnsi="Times New Roman"/>
          <w:sz w:val="24"/>
        </w:rPr>
        <w:t xml:space="preserve"> </w:t>
      </w:r>
      <w:r w:rsidR="008D6509" w:rsidRPr="006F0A38">
        <w:rPr>
          <w:rFonts w:ascii="Times New Roman" w:hAnsi="Times New Roman"/>
          <w:sz w:val="24"/>
        </w:rPr>
        <w:t>(1994)</w:t>
      </w:r>
      <w:r w:rsidRPr="006F0A38">
        <w:rPr>
          <w:rFonts w:ascii="Times New Roman" w:hAnsi="Times New Roman"/>
          <w:sz w:val="24"/>
        </w:rPr>
        <w:t xml:space="preserve"> at 479-480. See also Croft, Stamboulakis</w:t>
      </w:r>
      <w:r w:rsidR="00430F6C" w:rsidRPr="006F0A38">
        <w:rPr>
          <w:rFonts w:ascii="Times New Roman" w:hAnsi="Times New Roman"/>
          <w:sz w:val="24"/>
        </w:rPr>
        <w:t xml:space="preserve"> and</w:t>
      </w:r>
      <w:r w:rsidRPr="006F0A38">
        <w:rPr>
          <w:rFonts w:ascii="Times New Roman" w:hAnsi="Times New Roman"/>
          <w:sz w:val="24"/>
        </w:rPr>
        <w:t xml:space="preserve"> Warren, </w:t>
      </w:r>
      <w:r w:rsidRPr="006F0A38">
        <w:rPr>
          <w:rFonts w:ascii="Times New Roman" w:hAnsi="Times New Roman"/>
          <w:i/>
          <w:iCs/>
          <w:sz w:val="24"/>
        </w:rPr>
        <w:t xml:space="preserve">International and Australian Commercial Arbitration </w:t>
      </w:r>
      <w:r w:rsidRPr="006F0A38">
        <w:rPr>
          <w:rFonts w:ascii="Times New Roman" w:hAnsi="Times New Roman"/>
          <w:sz w:val="24"/>
        </w:rPr>
        <w:t>(2022) at 236 [5.5].</w:t>
      </w:r>
    </w:p>
  </w:footnote>
  <w:footnote w:id="44">
    <w:p w14:paraId="10ECF9B2" w14:textId="16BA20F0" w:rsidR="00F86865" w:rsidRPr="006F0A38" w:rsidRDefault="00F86865"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 xml:space="preserve">Rinehart </w:t>
      </w:r>
      <w:r w:rsidRPr="006F0A38">
        <w:rPr>
          <w:rFonts w:ascii="Times New Roman" w:hAnsi="Times New Roman"/>
          <w:sz w:val="24"/>
        </w:rPr>
        <w:t>(2019) 267 CLR 514 at 526 [13]; Blackaby</w:t>
      </w:r>
      <w:r w:rsidR="007D0180" w:rsidRPr="006F0A38">
        <w:rPr>
          <w:rFonts w:ascii="Times New Roman" w:hAnsi="Times New Roman"/>
          <w:sz w:val="24"/>
        </w:rPr>
        <w:t>, Partasides and Redfern</w:t>
      </w:r>
      <w:r w:rsidRPr="006F0A38">
        <w:rPr>
          <w:rFonts w:ascii="Times New Roman" w:hAnsi="Times New Roman"/>
          <w:sz w:val="24"/>
        </w:rPr>
        <w:t xml:space="preserve">, </w:t>
      </w:r>
      <w:r w:rsidRPr="006F0A38">
        <w:rPr>
          <w:rFonts w:ascii="Times New Roman" w:hAnsi="Times New Roman"/>
          <w:i/>
          <w:sz w:val="24"/>
        </w:rPr>
        <w:t>Redfern and Hunter</w:t>
      </w:r>
      <w:r w:rsidR="007D0180" w:rsidRPr="006F0A38">
        <w:rPr>
          <w:rFonts w:ascii="Times New Roman" w:hAnsi="Times New Roman"/>
          <w:i/>
          <w:sz w:val="24"/>
        </w:rPr>
        <w:t xml:space="preserve"> on</w:t>
      </w:r>
      <w:r w:rsidRPr="006F0A38">
        <w:rPr>
          <w:rFonts w:ascii="Times New Roman" w:hAnsi="Times New Roman"/>
          <w:i/>
          <w:sz w:val="24"/>
        </w:rPr>
        <w:t xml:space="preserve"> International Arbitration</w:t>
      </w:r>
      <w:r w:rsidRPr="006F0A38">
        <w:rPr>
          <w:rFonts w:ascii="Times New Roman" w:hAnsi="Times New Roman"/>
          <w:sz w:val="24"/>
        </w:rPr>
        <w:t>, 7</w:t>
      </w:r>
      <w:r w:rsidR="007C0ADC" w:rsidRPr="006F0A38">
        <w:rPr>
          <w:rFonts w:ascii="Times New Roman" w:hAnsi="Times New Roman"/>
          <w:sz w:val="24"/>
        </w:rPr>
        <w:t>th</w:t>
      </w:r>
      <w:r w:rsidRPr="006F0A38">
        <w:rPr>
          <w:rFonts w:ascii="Times New Roman" w:hAnsi="Times New Roman"/>
          <w:sz w:val="24"/>
        </w:rPr>
        <w:t xml:space="preserve"> ed (20</w:t>
      </w:r>
      <w:r w:rsidR="007C0ADC" w:rsidRPr="006F0A38">
        <w:rPr>
          <w:rFonts w:ascii="Times New Roman" w:hAnsi="Times New Roman"/>
          <w:sz w:val="24"/>
        </w:rPr>
        <w:t>22</w:t>
      </w:r>
      <w:r w:rsidRPr="006F0A38">
        <w:rPr>
          <w:rFonts w:ascii="Times New Roman" w:hAnsi="Times New Roman"/>
          <w:sz w:val="24"/>
        </w:rPr>
        <w:t xml:space="preserve">) at </w:t>
      </w:r>
      <w:r w:rsidR="0072173D" w:rsidRPr="006F0A38">
        <w:rPr>
          <w:rFonts w:ascii="Times New Roman" w:hAnsi="Times New Roman"/>
          <w:sz w:val="24"/>
        </w:rPr>
        <w:t>31</w:t>
      </w:r>
      <w:r w:rsidR="00683BEB" w:rsidRPr="006F0A38">
        <w:rPr>
          <w:rFonts w:ascii="Times New Roman" w:hAnsi="Times New Roman"/>
          <w:sz w:val="24"/>
        </w:rPr>
        <w:t>4</w:t>
      </w:r>
      <w:r w:rsidR="0072173D" w:rsidRPr="006F0A38">
        <w:rPr>
          <w:rFonts w:ascii="Times New Roman" w:hAnsi="Times New Roman"/>
          <w:sz w:val="24"/>
        </w:rPr>
        <w:t xml:space="preserve"> </w:t>
      </w:r>
      <w:r w:rsidRPr="006F0A38">
        <w:rPr>
          <w:rFonts w:ascii="Times New Roman" w:hAnsi="Times New Roman"/>
          <w:sz w:val="24"/>
        </w:rPr>
        <w:t>[5.11</w:t>
      </w:r>
      <w:r w:rsidR="0012573B" w:rsidRPr="006F0A38">
        <w:rPr>
          <w:rFonts w:ascii="Times New Roman" w:hAnsi="Times New Roman"/>
          <w:sz w:val="24"/>
        </w:rPr>
        <w:t>0</w:t>
      </w:r>
      <w:r w:rsidRPr="006F0A38">
        <w:rPr>
          <w:rFonts w:ascii="Times New Roman" w:hAnsi="Times New Roman"/>
          <w:sz w:val="24"/>
        </w:rPr>
        <w:t xml:space="preserve">], </w:t>
      </w:r>
      <w:r w:rsidR="0072173D" w:rsidRPr="006F0A38">
        <w:rPr>
          <w:rFonts w:ascii="Times New Roman" w:hAnsi="Times New Roman"/>
          <w:sz w:val="24"/>
        </w:rPr>
        <w:t>537</w:t>
      </w:r>
      <w:r w:rsidR="00944EE7">
        <w:rPr>
          <w:rFonts w:ascii="Times New Roman" w:hAnsi="Times New Roman"/>
          <w:sz w:val="24"/>
        </w:rPr>
        <w:noBreakHyphen/>
      </w:r>
      <w:r w:rsidR="0072173D" w:rsidRPr="006F0A38">
        <w:rPr>
          <w:rFonts w:ascii="Times New Roman" w:hAnsi="Times New Roman"/>
          <w:sz w:val="24"/>
        </w:rPr>
        <w:t xml:space="preserve">538 </w:t>
      </w:r>
      <w:r w:rsidRPr="006F0A38">
        <w:rPr>
          <w:rFonts w:ascii="Times New Roman" w:hAnsi="Times New Roman"/>
          <w:sz w:val="24"/>
        </w:rPr>
        <w:t>[10.36]; Gaillard and Savage</w:t>
      </w:r>
      <w:r w:rsidR="00501B31" w:rsidRPr="006F0A38">
        <w:rPr>
          <w:rFonts w:ascii="Times New Roman" w:hAnsi="Times New Roman"/>
          <w:sz w:val="24"/>
        </w:rPr>
        <w:t xml:space="preserve"> (eds)</w:t>
      </w:r>
      <w:r w:rsidRPr="006F0A38">
        <w:rPr>
          <w:rFonts w:ascii="Times New Roman" w:hAnsi="Times New Roman"/>
          <w:sz w:val="24"/>
        </w:rPr>
        <w:t xml:space="preserve">, </w:t>
      </w:r>
      <w:r w:rsidRPr="006F0A38">
        <w:rPr>
          <w:rFonts w:ascii="Times New Roman" w:hAnsi="Times New Roman"/>
          <w:i/>
          <w:sz w:val="24"/>
        </w:rPr>
        <w:t>Fouchard Ga</w:t>
      </w:r>
      <w:r w:rsidR="00501B31" w:rsidRPr="006F0A38">
        <w:rPr>
          <w:rFonts w:ascii="Times New Roman" w:hAnsi="Times New Roman"/>
          <w:i/>
          <w:sz w:val="24"/>
        </w:rPr>
        <w:t>i</w:t>
      </w:r>
      <w:r w:rsidRPr="006F0A38">
        <w:rPr>
          <w:rFonts w:ascii="Times New Roman" w:hAnsi="Times New Roman"/>
          <w:i/>
          <w:sz w:val="24"/>
        </w:rPr>
        <w:t>llard Goldman on International Commercial Arbitration</w:t>
      </w:r>
      <w:r w:rsidRPr="006F0A38">
        <w:rPr>
          <w:rFonts w:ascii="Times New Roman" w:hAnsi="Times New Roman"/>
          <w:sz w:val="24"/>
        </w:rPr>
        <w:t xml:space="preserve"> (1999) at 401 [660].</w:t>
      </w:r>
    </w:p>
  </w:footnote>
  <w:footnote w:id="45">
    <w:p w14:paraId="59BEA046" w14:textId="56DBCD0A"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See, eg, </w:t>
      </w:r>
      <w:r w:rsidRPr="006F0A38">
        <w:rPr>
          <w:rFonts w:ascii="Times New Roman" w:hAnsi="Times New Roman"/>
          <w:i/>
          <w:iCs/>
          <w:sz w:val="24"/>
        </w:rPr>
        <w:t xml:space="preserve">Dallah Real Estate and Tourism Holding Co v Ministry of Religious Affairs of the Government of Pakistan </w:t>
      </w:r>
      <w:r w:rsidRPr="006F0A38">
        <w:rPr>
          <w:rFonts w:ascii="Times New Roman" w:hAnsi="Times New Roman"/>
          <w:sz w:val="24"/>
        </w:rPr>
        <w:t>[2011] 1 AC 763</w:t>
      </w:r>
      <w:r w:rsidRPr="006F0A38">
        <w:rPr>
          <w:rFonts w:ascii="Times New Roman" w:hAnsi="Times New Roman"/>
          <w:i/>
          <w:iCs/>
          <w:sz w:val="24"/>
        </w:rPr>
        <w:t xml:space="preserve"> </w:t>
      </w:r>
      <w:r w:rsidRPr="006F0A38">
        <w:rPr>
          <w:rFonts w:ascii="Times New Roman" w:hAnsi="Times New Roman"/>
          <w:sz w:val="24"/>
        </w:rPr>
        <w:t xml:space="preserve">at 810 [24]; </w:t>
      </w:r>
      <w:r w:rsidRPr="006F0A38">
        <w:rPr>
          <w:rFonts w:ascii="Times New Roman" w:hAnsi="Times New Roman"/>
          <w:i/>
          <w:iCs/>
          <w:sz w:val="24"/>
        </w:rPr>
        <w:t>United Mexican States v Cargill Inc</w:t>
      </w:r>
      <w:r w:rsidRPr="006F0A38">
        <w:rPr>
          <w:rFonts w:ascii="Times New Roman" w:hAnsi="Times New Roman"/>
          <w:sz w:val="24"/>
        </w:rPr>
        <w:t xml:space="preserve"> (2011) </w:t>
      </w:r>
      <w:r w:rsidR="004B7055" w:rsidRPr="006F0A38">
        <w:rPr>
          <w:rFonts w:ascii="Times New Roman" w:hAnsi="Times New Roman"/>
          <w:sz w:val="24"/>
        </w:rPr>
        <w:t xml:space="preserve">107 </w:t>
      </w:r>
      <w:r w:rsidR="00624752" w:rsidRPr="006F0A38">
        <w:rPr>
          <w:rFonts w:ascii="Times New Roman" w:hAnsi="Times New Roman"/>
          <w:sz w:val="24"/>
        </w:rPr>
        <w:t xml:space="preserve">OR (3d) 528 at 543 </w:t>
      </w:r>
      <w:r w:rsidRPr="006F0A38">
        <w:rPr>
          <w:rFonts w:ascii="Times New Roman" w:hAnsi="Times New Roman"/>
          <w:sz w:val="24"/>
        </w:rPr>
        <w:t xml:space="preserve">[41]; </w:t>
      </w:r>
      <w:r w:rsidRPr="006F0A38">
        <w:rPr>
          <w:rFonts w:ascii="Times New Roman" w:hAnsi="Times New Roman"/>
          <w:i/>
          <w:iCs/>
          <w:sz w:val="24"/>
        </w:rPr>
        <w:t xml:space="preserve">TCL </w:t>
      </w:r>
      <w:r w:rsidRPr="006F0A38">
        <w:rPr>
          <w:rFonts w:ascii="Times New Roman" w:hAnsi="Times New Roman"/>
          <w:sz w:val="24"/>
        </w:rPr>
        <w:t>(2013) 251 CLR 533 at 547</w:t>
      </w:r>
      <w:r w:rsidR="00944EE7">
        <w:rPr>
          <w:rFonts w:ascii="Times New Roman" w:hAnsi="Times New Roman"/>
          <w:sz w:val="24"/>
        </w:rPr>
        <w:noBreakHyphen/>
      </w:r>
      <w:r w:rsidRPr="006F0A38">
        <w:rPr>
          <w:rFonts w:ascii="Times New Roman" w:hAnsi="Times New Roman"/>
          <w:sz w:val="24"/>
        </w:rPr>
        <w:t>548 [12].</w:t>
      </w:r>
    </w:p>
  </w:footnote>
  <w:footnote w:id="46">
    <w:p w14:paraId="7D35F900" w14:textId="31BB558B"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Style w:val="FootnoteReference"/>
          <w:rFonts w:ascii="Times New Roman" w:hAnsi="Times New Roman"/>
          <w:sz w:val="22"/>
          <w:vertAlign w:val="baseline"/>
        </w:rPr>
        <w:t xml:space="preserve"> </w:t>
      </w:r>
      <w:r w:rsidRPr="006F0A38">
        <w:rPr>
          <w:rFonts w:ascii="Times New Roman" w:hAnsi="Times New Roman"/>
          <w:sz w:val="24"/>
        </w:rPr>
        <w:tab/>
        <w:t>See, eg</w:t>
      </w:r>
      <w:r w:rsidRPr="006F0A38" w:rsidDel="0005313C">
        <w:rPr>
          <w:rFonts w:ascii="Times New Roman" w:hAnsi="Times New Roman"/>
          <w:sz w:val="24"/>
        </w:rPr>
        <w:t xml:space="preserve">, </w:t>
      </w:r>
      <w:r w:rsidRPr="006F0A38">
        <w:rPr>
          <w:rFonts w:ascii="Times New Roman" w:hAnsi="Times New Roman"/>
          <w:i/>
          <w:sz w:val="24"/>
        </w:rPr>
        <w:t xml:space="preserve">Hoysted v Federal Commissioner of Taxation </w:t>
      </w:r>
      <w:r w:rsidRPr="006F0A38">
        <w:rPr>
          <w:rFonts w:ascii="Times New Roman" w:hAnsi="Times New Roman"/>
          <w:sz w:val="24"/>
        </w:rPr>
        <w:t>(1925) 37 CLR 290</w:t>
      </w:r>
      <w:r w:rsidR="003D5281" w:rsidRPr="006F0A38">
        <w:rPr>
          <w:rFonts w:ascii="Times New Roman" w:hAnsi="Times New Roman"/>
          <w:sz w:val="24"/>
        </w:rPr>
        <w:t xml:space="preserve"> at 303</w:t>
      </w:r>
      <w:r w:rsidR="00E00744" w:rsidRPr="006F0A38">
        <w:rPr>
          <w:rFonts w:ascii="Times New Roman" w:hAnsi="Times New Roman"/>
          <w:sz w:val="24"/>
        </w:rPr>
        <w:t xml:space="preserve">; </w:t>
      </w:r>
      <w:r w:rsidR="00A967AA" w:rsidRPr="006F0A38">
        <w:rPr>
          <w:rFonts w:ascii="Times New Roman" w:hAnsi="Times New Roman"/>
          <w:sz w:val="24"/>
        </w:rPr>
        <w:t>[1926] AC 155</w:t>
      </w:r>
      <w:r w:rsidR="000F0627" w:rsidRPr="006F0A38">
        <w:rPr>
          <w:rFonts w:ascii="Times New Roman" w:hAnsi="Times New Roman"/>
          <w:sz w:val="24"/>
        </w:rPr>
        <w:t xml:space="preserve"> at </w:t>
      </w:r>
      <w:r w:rsidR="003237D2" w:rsidRPr="006F0A38">
        <w:rPr>
          <w:rFonts w:ascii="Times New Roman" w:hAnsi="Times New Roman"/>
          <w:sz w:val="24"/>
        </w:rPr>
        <w:t>170</w:t>
      </w:r>
      <w:r w:rsidRPr="006F0A38">
        <w:rPr>
          <w:rFonts w:ascii="Times New Roman" w:hAnsi="Times New Roman"/>
          <w:sz w:val="24"/>
        </w:rPr>
        <w:t xml:space="preserve">; </w:t>
      </w:r>
      <w:r w:rsidRPr="006F0A38">
        <w:rPr>
          <w:rFonts w:ascii="Times New Roman" w:hAnsi="Times New Roman"/>
          <w:i/>
          <w:sz w:val="24"/>
        </w:rPr>
        <w:t xml:space="preserve">Port of Melbourne Authority v Anshun Pty Ltd </w:t>
      </w:r>
      <w:r w:rsidRPr="006F0A38">
        <w:rPr>
          <w:rFonts w:ascii="Times New Roman" w:hAnsi="Times New Roman"/>
          <w:sz w:val="24"/>
        </w:rPr>
        <w:t>(1981) 147</w:t>
      </w:r>
      <w:r w:rsidR="00682594" w:rsidRPr="006F0A38">
        <w:rPr>
          <w:rFonts w:ascii="Times New Roman" w:hAnsi="Times New Roman"/>
        </w:rPr>
        <w:t> </w:t>
      </w:r>
      <w:r w:rsidRPr="006F0A38">
        <w:rPr>
          <w:rFonts w:ascii="Times New Roman" w:hAnsi="Times New Roman"/>
          <w:sz w:val="24"/>
        </w:rPr>
        <w:t xml:space="preserve">CLR 589 at 597-598, 602-603; </w:t>
      </w:r>
      <w:r w:rsidRPr="006F0A38">
        <w:rPr>
          <w:rFonts w:ascii="Times New Roman" w:hAnsi="Times New Roman"/>
          <w:i/>
          <w:iCs/>
          <w:sz w:val="24"/>
        </w:rPr>
        <w:t>Tomlinson v Rams</w:t>
      </w:r>
      <w:r w:rsidR="00706B36" w:rsidRPr="006F0A38">
        <w:rPr>
          <w:rFonts w:ascii="Times New Roman" w:hAnsi="Times New Roman"/>
          <w:i/>
          <w:iCs/>
          <w:sz w:val="24"/>
        </w:rPr>
        <w:t>e</w:t>
      </w:r>
      <w:r w:rsidRPr="006F0A38">
        <w:rPr>
          <w:rFonts w:ascii="Times New Roman" w:hAnsi="Times New Roman"/>
          <w:i/>
          <w:iCs/>
          <w:sz w:val="24"/>
        </w:rPr>
        <w:t xml:space="preserve">y Food Processing Pty Ltd </w:t>
      </w:r>
      <w:r w:rsidRPr="006F0A38">
        <w:rPr>
          <w:rFonts w:ascii="Times New Roman" w:hAnsi="Times New Roman"/>
          <w:sz w:val="24"/>
        </w:rPr>
        <w:t xml:space="preserve">(2015) 256 CLR 507 at 517-518 [22]; </w:t>
      </w:r>
      <w:r w:rsidRPr="006F0A38">
        <w:rPr>
          <w:rFonts w:ascii="Times New Roman" w:hAnsi="Times New Roman"/>
          <w:i/>
          <w:iCs/>
          <w:sz w:val="24"/>
        </w:rPr>
        <w:t xml:space="preserve">BTN </w:t>
      </w:r>
      <w:r w:rsidRPr="006F0A38">
        <w:rPr>
          <w:rFonts w:ascii="Times New Roman" w:hAnsi="Times New Roman"/>
          <w:sz w:val="24"/>
        </w:rPr>
        <w:t xml:space="preserve">[2021] 1 SLR 276 at 300-301 [71]. </w:t>
      </w:r>
    </w:p>
  </w:footnote>
  <w:footnote w:id="47">
    <w:p w14:paraId="4C6D8451"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[32] above.</w:t>
      </w:r>
    </w:p>
  </w:footnote>
  <w:footnote w:id="48">
    <w:p w14:paraId="2079F0BE" w14:textId="0CADB5D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See also </w:t>
      </w:r>
      <w:r w:rsidRPr="006F0A38">
        <w:rPr>
          <w:rFonts w:ascii="Times New Roman" w:hAnsi="Times New Roman"/>
          <w:i/>
          <w:iCs/>
          <w:sz w:val="24"/>
        </w:rPr>
        <w:t>C v D</w:t>
      </w:r>
      <w:r w:rsidRPr="006F0A38">
        <w:rPr>
          <w:rFonts w:ascii="Times New Roman" w:hAnsi="Times New Roman"/>
          <w:sz w:val="24"/>
        </w:rPr>
        <w:t xml:space="preserve"> </w:t>
      </w:r>
      <w:r w:rsidR="00E63287" w:rsidRPr="006F0A38">
        <w:rPr>
          <w:rFonts w:ascii="Times New Roman" w:hAnsi="Times New Roman"/>
          <w:sz w:val="24"/>
        </w:rPr>
        <w:t>(</w:t>
      </w:r>
      <w:r w:rsidRPr="006F0A38">
        <w:rPr>
          <w:rFonts w:ascii="Times New Roman" w:hAnsi="Times New Roman"/>
          <w:sz w:val="24"/>
        </w:rPr>
        <w:t>2023</w:t>
      </w:r>
      <w:r w:rsidR="00E63287" w:rsidRPr="006F0A38">
        <w:rPr>
          <w:rFonts w:ascii="Times New Roman" w:hAnsi="Times New Roman"/>
          <w:sz w:val="24"/>
        </w:rPr>
        <w:t>)</w:t>
      </w:r>
      <w:r w:rsidRPr="006F0A38">
        <w:rPr>
          <w:rFonts w:ascii="Times New Roman" w:hAnsi="Times New Roman"/>
          <w:sz w:val="24"/>
        </w:rPr>
        <w:t xml:space="preserve"> 26 HKCFAR 216 at 258 [103].</w:t>
      </w:r>
    </w:p>
  </w:footnote>
  <w:footnote w:id="49">
    <w:p w14:paraId="01157049"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[13] above.</w:t>
      </w:r>
    </w:p>
  </w:footnote>
  <w:footnote w:id="50">
    <w:p w14:paraId="4293A8C3" w14:textId="1FB6FF6C"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CBX</w:t>
      </w:r>
      <w:r w:rsidRPr="006F0A38">
        <w:rPr>
          <w:rFonts w:ascii="Times New Roman" w:hAnsi="Times New Roman"/>
          <w:sz w:val="24"/>
        </w:rPr>
        <w:t xml:space="preserve"> </w:t>
      </w:r>
      <w:r w:rsidR="00DC624A" w:rsidRPr="006F0A38">
        <w:rPr>
          <w:rFonts w:ascii="Times New Roman" w:hAnsi="Times New Roman"/>
          <w:i/>
          <w:iCs/>
          <w:sz w:val="24"/>
        </w:rPr>
        <w:t xml:space="preserve">v CBZ </w:t>
      </w:r>
      <w:r w:rsidRPr="006F0A38">
        <w:rPr>
          <w:rFonts w:ascii="Times New Roman" w:hAnsi="Times New Roman"/>
          <w:sz w:val="24"/>
        </w:rPr>
        <w:t xml:space="preserve">[2022] 1 SLR 47 at 56 [12], citing </w:t>
      </w:r>
      <w:r w:rsidRPr="006F0A38">
        <w:rPr>
          <w:rFonts w:ascii="Times New Roman" w:hAnsi="Times New Roman"/>
          <w:i/>
          <w:iCs/>
          <w:sz w:val="24"/>
        </w:rPr>
        <w:t>Soh Beng Tee &amp; Co Pte Ltd v</w:t>
      </w:r>
      <w:r w:rsidR="00C22429" w:rsidRPr="006F0A38">
        <w:rPr>
          <w:rFonts w:ascii="Times New Roman" w:hAnsi="Times New Roman"/>
        </w:rPr>
        <w:t> </w:t>
      </w:r>
      <w:r w:rsidRPr="006F0A38">
        <w:rPr>
          <w:rFonts w:ascii="Times New Roman" w:hAnsi="Times New Roman"/>
          <w:i/>
          <w:iCs/>
          <w:sz w:val="24"/>
        </w:rPr>
        <w:t xml:space="preserve">Fairmount Development Pte Ltd </w:t>
      </w:r>
      <w:r w:rsidRPr="006F0A38">
        <w:rPr>
          <w:rFonts w:ascii="Times New Roman" w:hAnsi="Times New Roman"/>
          <w:sz w:val="24"/>
        </w:rPr>
        <w:t>[2007] 3 SLR(R) 86 at 119 [65(c)], [65(d)].</w:t>
      </w:r>
    </w:p>
  </w:footnote>
  <w:footnote w:id="51">
    <w:p w14:paraId="35BE1506" w14:textId="66C19A9D"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also Model Law, Art 5 (cf Arbitration Act</w:t>
      </w:r>
      <w:r w:rsidR="00894A54" w:rsidRPr="006F0A38">
        <w:rPr>
          <w:rFonts w:ascii="Times New Roman" w:hAnsi="Times New Roman"/>
          <w:sz w:val="24"/>
        </w:rPr>
        <w:t>,</w:t>
      </w:r>
      <w:r w:rsidRPr="006F0A38">
        <w:rPr>
          <w:rFonts w:ascii="Times New Roman" w:hAnsi="Times New Roman"/>
          <w:sz w:val="24"/>
        </w:rPr>
        <w:t xml:space="preserve"> s 5). </w:t>
      </w:r>
    </w:p>
  </w:footnote>
  <w:footnote w:id="52">
    <w:p w14:paraId="1444CF36" w14:textId="324B7A0A" w:rsidR="00E27C32" w:rsidRPr="006F0A38" w:rsidRDefault="00E27C32"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See also Ren, "The dichotomy between jurisdiction and admissibility in international arbitration"</w:t>
      </w:r>
      <w:r w:rsidR="0004051A" w:rsidRPr="006F0A38">
        <w:rPr>
          <w:rFonts w:ascii="Times New Roman" w:hAnsi="Times New Roman"/>
          <w:sz w:val="24"/>
        </w:rPr>
        <w:t xml:space="preserve"> </w:t>
      </w:r>
      <w:r w:rsidRPr="006F0A38">
        <w:rPr>
          <w:rFonts w:ascii="Times New Roman" w:hAnsi="Times New Roman"/>
          <w:sz w:val="24"/>
        </w:rPr>
        <w:t xml:space="preserve">(2024) 73 </w:t>
      </w:r>
      <w:r w:rsidRPr="006F0A38">
        <w:rPr>
          <w:rFonts w:ascii="Times New Roman" w:hAnsi="Times New Roman"/>
          <w:i/>
          <w:iCs/>
          <w:sz w:val="24"/>
        </w:rPr>
        <w:t xml:space="preserve">International &amp; Comparative Law Quarterly </w:t>
      </w:r>
      <w:r w:rsidRPr="006F0A38">
        <w:rPr>
          <w:rFonts w:ascii="Times New Roman" w:hAnsi="Times New Roman"/>
          <w:sz w:val="24"/>
        </w:rPr>
        <w:t>417 at 445.</w:t>
      </w:r>
    </w:p>
  </w:footnote>
  <w:footnote w:id="53">
    <w:p w14:paraId="5839509C" w14:textId="4C5338F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 xml:space="preserve">United Mexican States </w:t>
      </w:r>
      <w:r w:rsidRPr="006F0A38">
        <w:rPr>
          <w:rFonts w:ascii="Times New Roman" w:hAnsi="Times New Roman"/>
          <w:sz w:val="24"/>
        </w:rPr>
        <w:t xml:space="preserve">(2011) </w:t>
      </w:r>
      <w:r w:rsidR="001F6BAD" w:rsidRPr="006F0A38">
        <w:rPr>
          <w:rFonts w:ascii="Times New Roman" w:hAnsi="Times New Roman"/>
          <w:sz w:val="24"/>
        </w:rPr>
        <w:t>107 OR (3d) 528 at 544</w:t>
      </w:r>
      <w:r w:rsidRPr="006F0A38">
        <w:rPr>
          <w:rFonts w:ascii="Times New Roman" w:hAnsi="Times New Roman"/>
          <w:sz w:val="24"/>
        </w:rPr>
        <w:t xml:space="preserve"> [47].</w:t>
      </w:r>
    </w:p>
  </w:footnote>
  <w:footnote w:id="54">
    <w:p w14:paraId="29D64AD0" w14:textId="02322E38"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See, eg, </w:t>
      </w:r>
      <w:r w:rsidRPr="006F0A38">
        <w:rPr>
          <w:rFonts w:ascii="Times New Roman" w:hAnsi="Times New Roman"/>
          <w:i/>
          <w:iCs/>
          <w:sz w:val="24"/>
        </w:rPr>
        <w:t>SA Copp</w:t>
      </w:r>
      <w:r w:rsidR="00944F38" w:rsidRPr="006F0A38">
        <w:rPr>
          <w:rFonts w:ascii="Times New Roman" w:hAnsi="Times New Roman"/>
          <w:i/>
          <w:iCs/>
          <w:sz w:val="24"/>
        </w:rPr>
        <w:t>é</w:t>
      </w:r>
      <w:r w:rsidRPr="006F0A38">
        <w:rPr>
          <w:rFonts w:ascii="Times New Roman" w:hAnsi="Times New Roman"/>
          <w:i/>
          <w:iCs/>
          <w:sz w:val="24"/>
        </w:rPr>
        <w:t>e Lavalin NV v Ken-Ren Chemicals and Fertilizers Ltd</w:t>
      </w:r>
      <w:r w:rsidRPr="006F0A38">
        <w:rPr>
          <w:rFonts w:ascii="Times New Roman" w:hAnsi="Times New Roman"/>
          <w:sz w:val="24"/>
        </w:rPr>
        <w:t xml:space="preserve"> [1995] 1</w:t>
      </w:r>
      <w:r w:rsidR="009E75F1" w:rsidRPr="006F0A38">
        <w:rPr>
          <w:rFonts w:ascii="Times New Roman" w:hAnsi="Times New Roman"/>
          <w:sz w:val="24"/>
        </w:rPr>
        <w:t> </w:t>
      </w:r>
      <w:r w:rsidRPr="006F0A38">
        <w:rPr>
          <w:rFonts w:ascii="Times New Roman" w:hAnsi="Times New Roman"/>
          <w:sz w:val="24"/>
        </w:rPr>
        <w:t>AC 38 at 53.</w:t>
      </w:r>
    </w:p>
  </w:footnote>
  <w:footnote w:id="55">
    <w:p w14:paraId="1D00D4BF"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Model Law, Art 2A(1) (cf Arbitration Act, s 2A). See also </w:t>
      </w:r>
      <w:r w:rsidRPr="006F0A38">
        <w:rPr>
          <w:rFonts w:ascii="Times New Roman" w:hAnsi="Times New Roman"/>
          <w:i/>
          <w:iCs/>
          <w:sz w:val="24"/>
        </w:rPr>
        <w:t>TCL</w:t>
      </w:r>
      <w:r w:rsidRPr="006F0A38">
        <w:rPr>
          <w:rFonts w:ascii="Times New Roman" w:hAnsi="Times New Roman"/>
          <w:sz w:val="24"/>
        </w:rPr>
        <w:t xml:space="preserve"> (2013) 251 CLR 533 at 545 [7].</w:t>
      </w:r>
    </w:p>
  </w:footnote>
  <w:footnote w:id="56">
    <w:p w14:paraId="43EE6C4B" w14:textId="6559C266"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(2011) </w:t>
      </w:r>
      <w:r w:rsidR="00451570" w:rsidRPr="006F0A38">
        <w:rPr>
          <w:rFonts w:ascii="Times New Roman" w:hAnsi="Times New Roman"/>
          <w:sz w:val="24"/>
        </w:rPr>
        <w:t xml:space="preserve">107 OR (3d) 528 at 543-544 </w:t>
      </w:r>
      <w:r w:rsidRPr="006F0A38">
        <w:rPr>
          <w:rFonts w:ascii="Times New Roman" w:hAnsi="Times New Roman"/>
          <w:sz w:val="24"/>
        </w:rPr>
        <w:t>[42], [46].</w:t>
      </w:r>
    </w:p>
  </w:footnote>
  <w:footnote w:id="57">
    <w:p w14:paraId="2CBD48F9" w14:textId="79A17C19"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0077197A" w:rsidRPr="006F0A38">
        <w:rPr>
          <w:rFonts w:ascii="Times New Roman" w:hAnsi="Times New Roman"/>
          <w:sz w:val="24"/>
        </w:rPr>
        <w:t>(</w:t>
      </w:r>
      <w:r w:rsidRPr="006F0A38">
        <w:rPr>
          <w:rFonts w:ascii="Times New Roman" w:hAnsi="Times New Roman"/>
          <w:sz w:val="24"/>
        </w:rPr>
        <w:t>2021</w:t>
      </w:r>
      <w:r w:rsidR="0077197A" w:rsidRPr="006F0A38">
        <w:rPr>
          <w:rFonts w:ascii="Times New Roman" w:hAnsi="Times New Roman"/>
          <w:sz w:val="24"/>
        </w:rPr>
        <w:t>)</w:t>
      </w:r>
      <w:r w:rsidRPr="006F0A38">
        <w:rPr>
          <w:rFonts w:ascii="Times New Roman" w:hAnsi="Times New Roman"/>
          <w:sz w:val="24"/>
        </w:rPr>
        <w:t xml:space="preserve"> </w:t>
      </w:r>
      <w:r w:rsidR="0077197A" w:rsidRPr="006F0A38">
        <w:rPr>
          <w:rFonts w:ascii="Times New Roman" w:hAnsi="Times New Roman"/>
          <w:sz w:val="24"/>
        </w:rPr>
        <w:t xml:space="preserve">65 BCLR </w:t>
      </w:r>
      <w:r w:rsidR="00B70ACD" w:rsidRPr="006F0A38">
        <w:rPr>
          <w:rFonts w:ascii="Times New Roman" w:hAnsi="Times New Roman"/>
          <w:sz w:val="24"/>
        </w:rPr>
        <w:t xml:space="preserve">(6th) 90 at 103 </w:t>
      </w:r>
      <w:r w:rsidRPr="006F0A38">
        <w:rPr>
          <w:rFonts w:ascii="Times New Roman" w:hAnsi="Times New Roman"/>
          <w:sz w:val="24"/>
        </w:rPr>
        <w:t xml:space="preserve">[38], [41], </w:t>
      </w:r>
      <w:r w:rsidR="001F77BA" w:rsidRPr="006F0A38">
        <w:rPr>
          <w:rFonts w:ascii="Times New Roman" w:hAnsi="Times New Roman"/>
          <w:sz w:val="24"/>
        </w:rPr>
        <w:t xml:space="preserve">104 </w:t>
      </w:r>
      <w:r w:rsidRPr="006F0A38">
        <w:rPr>
          <w:rFonts w:ascii="Times New Roman" w:hAnsi="Times New Roman"/>
          <w:sz w:val="24"/>
        </w:rPr>
        <w:t xml:space="preserve">[43], </w:t>
      </w:r>
      <w:r w:rsidR="001F77BA" w:rsidRPr="006F0A38">
        <w:rPr>
          <w:rFonts w:ascii="Times New Roman" w:hAnsi="Times New Roman"/>
          <w:sz w:val="24"/>
        </w:rPr>
        <w:t xml:space="preserve">105 </w:t>
      </w:r>
      <w:r w:rsidRPr="006F0A38">
        <w:rPr>
          <w:rFonts w:ascii="Times New Roman" w:hAnsi="Times New Roman"/>
          <w:sz w:val="24"/>
        </w:rPr>
        <w:t>[47].</w:t>
      </w:r>
    </w:p>
  </w:footnote>
  <w:footnote w:id="58">
    <w:p w14:paraId="74A5361F"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[2021] 1 SLR 276 at 299 [68], following </w:t>
      </w:r>
      <w:r w:rsidRPr="006F0A38">
        <w:rPr>
          <w:rFonts w:ascii="Times New Roman" w:hAnsi="Times New Roman"/>
          <w:i/>
          <w:iCs/>
          <w:sz w:val="24"/>
        </w:rPr>
        <w:t xml:space="preserve">BBA </w:t>
      </w:r>
      <w:r w:rsidRPr="006F0A38">
        <w:rPr>
          <w:rFonts w:ascii="Times New Roman" w:hAnsi="Times New Roman"/>
          <w:sz w:val="24"/>
        </w:rPr>
        <w:t>[2020] 2 SLR 453 at 480 [73].</w:t>
      </w:r>
    </w:p>
  </w:footnote>
  <w:footnote w:id="59">
    <w:p w14:paraId="011A2FE9"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[2022] 1 SLR 47 at 55 [11].</w:t>
      </w:r>
    </w:p>
  </w:footnote>
  <w:footnote w:id="60">
    <w:p w14:paraId="64ACBFCE"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[2022] 2 SLR 1 at 7-8 [11].</w:t>
      </w:r>
    </w:p>
  </w:footnote>
  <w:footnote w:id="61">
    <w:p w14:paraId="52472A96" w14:textId="61E0301E"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(2023) 26 HKCFAR 216 at 226 [6]</w:t>
      </w:r>
      <w:r w:rsidR="002E02CC" w:rsidRPr="006F0A38">
        <w:rPr>
          <w:rFonts w:ascii="Times New Roman" w:hAnsi="Times New Roman"/>
          <w:sz w:val="24"/>
        </w:rPr>
        <w:t>,</w:t>
      </w:r>
      <w:r w:rsidRPr="006F0A38">
        <w:rPr>
          <w:rFonts w:ascii="Times New Roman" w:hAnsi="Times New Roman"/>
          <w:sz w:val="24"/>
        </w:rPr>
        <w:t xml:space="preserve"> 231 [21(a)</w:t>
      </w:r>
      <w:r w:rsidR="00843E1C" w:rsidRPr="006F0A38">
        <w:rPr>
          <w:rFonts w:ascii="Times New Roman" w:hAnsi="Times New Roman"/>
          <w:sz w:val="24"/>
        </w:rPr>
        <w:t>]</w:t>
      </w:r>
      <w:r w:rsidR="002E02CC" w:rsidRPr="006F0A38">
        <w:rPr>
          <w:rFonts w:ascii="Times New Roman" w:hAnsi="Times New Roman"/>
          <w:sz w:val="24"/>
        </w:rPr>
        <w:t>,</w:t>
      </w:r>
      <w:r w:rsidRPr="006F0A38">
        <w:rPr>
          <w:rFonts w:ascii="Times New Roman" w:hAnsi="Times New Roman"/>
          <w:sz w:val="24"/>
        </w:rPr>
        <w:t xml:space="preserve"> 241 [45]</w:t>
      </w:r>
      <w:r w:rsidR="002E02CC" w:rsidRPr="006F0A38">
        <w:rPr>
          <w:rFonts w:ascii="Times New Roman" w:hAnsi="Times New Roman"/>
          <w:sz w:val="24"/>
        </w:rPr>
        <w:t>,</w:t>
      </w:r>
      <w:r w:rsidRPr="006F0A38">
        <w:rPr>
          <w:rFonts w:ascii="Times New Roman" w:hAnsi="Times New Roman"/>
          <w:sz w:val="24"/>
        </w:rPr>
        <w:t xml:space="preserve"> 258 [101]</w:t>
      </w:r>
      <w:r w:rsidR="002E02CC" w:rsidRPr="006F0A38">
        <w:rPr>
          <w:rFonts w:ascii="Times New Roman" w:hAnsi="Times New Roman"/>
          <w:sz w:val="24"/>
        </w:rPr>
        <w:t>,</w:t>
      </w:r>
      <w:r w:rsidRPr="006F0A38">
        <w:rPr>
          <w:rFonts w:ascii="Times New Roman" w:hAnsi="Times New Roman"/>
          <w:sz w:val="24"/>
        </w:rPr>
        <w:t xml:space="preserve"> 26</w:t>
      </w:r>
      <w:r w:rsidR="004F6775" w:rsidRPr="006F0A38">
        <w:rPr>
          <w:rFonts w:ascii="Times New Roman" w:hAnsi="Times New Roman"/>
          <w:sz w:val="24"/>
        </w:rPr>
        <w:t>4</w:t>
      </w:r>
      <w:r w:rsidRPr="006F0A38">
        <w:rPr>
          <w:rFonts w:ascii="Times New Roman" w:hAnsi="Times New Roman"/>
          <w:sz w:val="24"/>
        </w:rPr>
        <w:t>-266 [128]</w:t>
      </w:r>
      <w:r w:rsidRPr="006F0A38">
        <w:rPr>
          <w:rFonts w:ascii="Times New Roman" w:hAnsi="Times New Roman"/>
          <w:sz w:val="24"/>
        </w:rPr>
        <w:noBreakHyphen/>
        <w:t>[129].</w:t>
      </w:r>
    </w:p>
  </w:footnote>
  <w:footnote w:id="62">
    <w:p w14:paraId="3B7665E4" w14:textId="57FC7C28" w:rsidR="00A42059" w:rsidRPr="006F0A38" w:rsidRDefault="00A4205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TCL</w:t>
      </w:r>
      <w:r w:rsidRPr="006F0A38">
        <w:rPr>
          <w:rFonts w:ascii="Times New Roman" w:hAnsi="Times New Roman"/>
          <w:sz w:val="24"/>
        </w:rPr>
        <w:t xml:space="preserve"> (2013) 251 CLR 533 at 547-548 [12]. See also </w:t>
      </w:r>
      <w:r w:rsidRPr="006F0A38">
        <w:rPr>
          <w:rFonts w:ascii="Times New Roman" w:hAnsi="Times New Roman"/>
          <w:i/>
          <w:iCs/>
          <w:sz w:val="24"/>
        </w:rPr>
        <w:t xml:space="preserve">Dallah </w:t>
      </w:r>
      <w:r w:rsidRPr="006F0A38">
        <w:rPr>
          <w:rFonts w:ascii="Times New Roman" w:hAnsi="Times New Roman"/>
          <w:sz w:val="24"/>
        </w:rPr>
        <w:t xml:space="preserve">[2011] 1 AC </w:t>
      </w:r>
      <w:r w:rsidR="004C568D" w:rsidRPr="006F0A38">
        <w:rPr>
          <w:rFonts w:ascii="Times New Roman" w:hAnsi="Times New Roman"/>
          <w:sz w:val="24"/>
        </w:rPr>
        <w:t xml:space="preserve">763 at </w:t>
      </w:r>
      <w:r w:rsidRPr="006F0A38" w:rsidDel="009A19D1">
        <w:rPr>
          <w:rFonts w:ascii="Times New Roman" w:hAnsi="Times New Roman"/>
          <w:sz w:val="24"/>
        </w:rPr>
        <w:t>813</w:t>
      </w:r>
      <w:r w:rsidR="009E75F1" w:rsidRPr="006F0A38">
        <w:rPr>
          <w:rFonts w:ascii="Times New Roman" w:hAnsi="Times New Roman"/>
          <w:sz w:val="24"/>
        </w:rPr>
        <w:t> </w:t>
      </w:r>
      <w:r w:rsidRPr="006F0A38">
        <w:rPr>
          <w:rFonts w:ascii="Times New Roman" w:hAnsi="Times New Roman"/>
          <w:sz w:val="24"/>
        </w:rPr>
        <w:t>[30].</w:t>
      </w:r>
    </w:p>
  </w:footnote>
  <w:footnote w:id="63">
    <w:p w14:paraId="4619B63F" w14:textId="6281C0DE" w:rsidR="001A0839" w:rsidRPr="006F0A38" w:rsidRDefault="001A083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Croft, Stamboulakis</w:t>
      </w:r>
      <w:r w:rsidR="00504AAB" w:rsidRPr="006F0A38">
        <w:rPr>
          <w:rFonts w:ascii="Times New Roman" w:hAnsi="Times New Roman"/>
          <w:sz w:val="24"/>
        </w:rPr>
        <w:t xml:space="preserve"> and </w:t>
      </w:r>
      <w:r w:rsidRPr="006F0A38">
        <w:rPr>
          <w:rFonts w:ascii="Times New Roman" w:hAnsi="Times New Roman"/>
          <w:sz w:val="24"/>
        </w:rPr>
        <w:t xml:space="preserve">Warren, </w:t>
      </w:r>
      <w:r w:rsidRPr="006F0A38">
        <w:rPr>
          <w:rFonts w:ascii="Times New Roman" w:hAnsi="Times New Roman"/>
          <w:i/>
          <w:iCs/>
          <w:sz w:val="24"/>
        </w:rPr>
        <w:t xml:space="preserve">International and Australian Commercial Arbitration </w:t>
      </w:r>
      <w:r w:rsidRPr="006F0A38">
        <w:rPr>
          <w:rFonts w:ascii="Times New Roman" w:hAnsi="Times New Roman"/>
          <w:sz w:val="24"/>
        </w:rPr>
        <w:t>(2022) at 552</w:t>
      </w:r>
      <w:r w:rsidR="00504AAB" w:rsidRPr="006F0A38">
        <w:rPr>
          <w:rFonts w:ascii="Times New Roman" w:hAnsi="Times New Roman"/>
          <w:sz w:val="24"/>
        </w:rPr>
        <w:t>-553</w:t>
      </w:r>
      <w:r w:rsidRPr="006F0A38">
        <w:rPr>
          <w:rFonts w:ascii="Times New Roman" w:hAnsi="Times New Roman"/>
          <w:sz w:val="24"/>
        </w:rPr>
        <w:t xml:space="preserve"> [10.9], </w:t>
      </w:r>
      <w:r w:rsidR="00504AAB" w:rsidRPr="006F0A38">
        <w:rPr>
          <w:rFonts w:ascii="Times New Roman" w:hAnsi="Times New Roman"/>
          <w:sz w:val="24"/>
        </w:rPr>
        <w:t>quoting</w:t>
      </w:r>
      <w:r w:rsidR="006528A4" w:rsidRPr="006F0A38">
        <w:rPr>
          <w:rFonts w:ascii="Times New Roman" w:hAnsi="Times New Roman"/>
          <w:sz w:val="24"/>
        </w:rPr>
        <w:t> </w:t>
      </w:r>
      <w:r w:rsidRPr="006F0A38">
        <w:rPr>
          <w:rFonts w:ascii="Times New Roman" w:hAnsi="Times New Roman"/>
          <w:iCs/>
          <w:sz w:val="24"/>
        </w:rPr>
        <w:t>Analytical Commentary on Draft Text of a Model Law on International Commercial Arbitration – Report of the Secretary</w:t>
      </w:r>
      <w:r w:rsidR="00187309" w:rsidRPr="006F0A38">
        <w:rPr>
          <w:rFonts w:ascii="Times New Roman" w:hAnsi="Times New Roman"/>
          <w:iCs/>
          <w:sz w:val="24"/>
        </w:rPr>
        <w:t>-</w:t>
      </w:r>
      <w:r w:rsidRPr="006F0A38">
        <w:rPr>
          <w:rFonts w:ascii="Times New Roman" w:hAnsi="Times New Roman"/>
          <w:iCs/>
          <w:sz w:val="24"/>
        </w:rPr>
        <w:t>General</w:t>
      </w:r>
      <w:r w:rsidRPr="006F0A38">
        <w:rPr>
          <w:rFonts w:ascii="Times New Roman" w:hAnsi="Times New Roman"/>
          <w:sz w:val="24"/>
        </w:rPr>
        <w:t>, UN Doc A/CN.9/264 (1985) at 7</w:t>
      </w:r>
      <w:r w:rsidR="00504AAB" w:rsidRPr="006F0A38">
        <w:rPr>
          <w:rFonts w:ascii="Times New Roman" w:hAnsi="Times New Roman"/>
          <w:sz w:val="24"/>
        </w:rPr>
        <w:t>2</w:t>
      </w:r>
      <w:r w:rsidRPr="006F0A38">
        <w:rPr>
          <w:rFonts w:ascii="Times New Roman" w:hAnsi="Times New Roman"/>
          <w:sz w:val="24"/>
        </w:rPr>
        <w:t>-74.</w:t>
      </w:r>
    </w:p>
  </w:footnote>
  <w:footnote w:id="64">
    <w:p w14:paraId="632E8F99" w14:textId="6CE07656"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Analytical Commentary on Draft Text of a Model Law on International Commercial Arbitration</w:t>
      </w:r>
      <w:r w:rsidRPr="006F0A38">
        <w:rPr>
          <w:rFonts w:ascii="Times New Roman" w:hAnsi="Times New Roman"/>
          <w:i/>
          <w:iCs/>
          <w:sz w:val="24"/>
        </w:rPr>
        <w:t xml:space="preserve"> – </w:t>
      </w:r>
      <w:r w:rsidRPr="006F0A38">
        <w:rPr>
          <w:rFonts w:ascii="Times New Roman" w:hAnsi="Times New Roman"/>
          <w:sz w:val="24"/>
        </w:rPr>
        <w:t>Report of the Secretary</w:t>
      </w:r>
      <w:r w:rsidR="003E7600" w:rsidRPr="006F0A38">
        <w:rPr>
          <w:rFonts w:ascii="Times New Roman" w:hAnsi="Times New Roman"/>
          <w:sz w:val="24"/>
        </w:rPr>
        <w:t>-</w:t>
      </w:r>
      <w:r w:rsidRPr="006F0A38">
        <w:rPr>
          <w:rFonts w:ascii="Times New Roman" w:hAnsi="Times New Roman"/>
          <w:sz w:val="24"/>
        </w:rPr>
        <w:t>General, UN Doc A/CN.9/264 (1985) at 7</w:t>
      </w:r>
      <w:r w:rsidR="006A0217" w:rsidRPr="006F0A38">
        <w:rPr>
          <w:rFonts w:ascii="Times New Roman" w:hAnsi="Times New Roman"/>
          <w:sz w:val="24"/>
        </w:rPr>
        <w:t>2</w:t>
      </w:r>
      <w:r w:rsidRPr="006F0A38">
        <w:rPr>
          <w:rFonts w:ascii="Times New Roman" w:hAnsi="Times New Roman"/>
          <w:sz w:val="24"/>
        </w:rPr>
        <w:t>.</w:t>
      </w:r>
    </w:p>
  </w:footnote>
  <w:footnote w:id="65">
    <w:p w14:paraId="0C47DB65" w14:textId="5293CA6E"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Born, </w:t>
      </w:r>
      <w:r w:rsidRPr="006F0A38">
        <w:rPr>
          <w:rFonts w:ascii="Times New Roman" w:hAnsi="Times New Roman"/>
          <w:i/>
          <w:iCs/>
          <w:sz w:val="24"/>
        </w:rPr>
        <w:t>International Commercial Arbitration</w:t>
      </w:r>
      <w:r w:rsidRPr="006F0A38">
        <w:rPr>
          <w:rFonts w:ascii="Times New Roman" w:hAnsi="Times New Roman"/>
          <w:sz w:val="24"/>
        </w:rPr>
        <w:t>, 3rd ed</w:t>
      </w:r>
      <w:r w:rsidRPr="006F0A38">
        <w:rPr>
          <w:rFonts w:ascii="Times New Roman" w:hAnsi="Times New Roman"/>
          <w:i/>
          <w:iCs/>
          <w:sz w:val="24"/>
        </w:rPr>
        <w:t xml:space="preserve"> </w:t>
      </w:r>
      <w:r w:rsidRPr="006F0A38">
        <w:rPr>
          <w:rFonts w:ascii="Times New Roman" w:hAnsi="Times New Roman"/>
          <w:sz w:val="24"/>
        </w:rPr>
        <w:t>(2021)</w:t>
      </w:r>
      <w:r w:rsidR="00C95E07" w:rsidRPr="006F0A38">
        <w:rPr>
          <w:rFonts w:ascii="Times New Roman" w:hAnsi="Times New Roman"/>
          <w:sz w:val="24"/>
        </w:rPr>
        <w:t>,</w:t>
      </w:r>
      <w:r w:rsidRPr="006F0A38">
        <w:rPr>
          <w:rFonts w:ascii="Times New Roman" w:hAnsi="Times New Roman"/>
          <w:sz w:val="24"/>
        </w:rPr>
        <w:t xml:space="preserve"> vol 1 at 3581 </w:t>
      </w:r>
      <w:r w:rsidR="00F371E0" w:rsidRPr="006F0A38">
        <w:rPr>
          <w:rFonts w:ascii="Times New Roman" w:hAnsi="Times New Roman"/>
          <w:sz w:val="24"/>
        </w:rPr>
        <w:t>§</w:t>
      </w:r>
      <w:r w:rsidRPr="006F0A38">
        <w:rPr>
          <w:rFonts w:ascii="Times New Roman" w:hAnsi="Times New Roman"/>
          <w:sz w:val="24"/>
        </w:rPr>
        <w:t>25.04</w:t>
      </w:r>
      <w:r w:rsidR="00F371E0" w:rsidRPr="006F0A38">
        <w:rPr>
          <w:rFonts w:ascii="Times New Roman" w:hAnsi="Times New Roman"/>
          <w:sz w:val="24"/>
        </w:rPr>
        <w:t>[</w:t>
      </w:r>
      <w:r w:rsidRPr="006F0A38">
        <w:rPr>
          <w:rFonts w:ascii="Times New Roman" w:hAnsi="Times New Roman"/>
          <w:sz w:val="24"/>
        </w:rPr>
        <w:t>F</w:t>
      </w:r>
      <w:r w:rsidR="00F371E0" w:rsidRPr="006F0A38">
        <w:rPr>
          <w:rFonts w:ascii="Times New Roman" w:hAnsi="Times New Roman"/>
          <w:sz w:val="24"/>
        </w:rPr>
        <w:t>][</w:t>
      </w:r>
      <w:r w:rsidRPr="006F0A38">
        <w:rPr>
          <w:rFonts w:ascii="Times New Roman" w:hAnsi="Times New Roman"/>
          <w:sz w:val="24"/>
        </w:rPr>
        <w:t>4</w:t>
      </w:r>
      <w:r w:rsidR="00F371E0" w:rsidRPr="006F0A38">
        <w:rPr>
          <w:rFonts w:ascii="Times New Roman" w:hAnsi="Times New Roman"/>
          <w:sz w:val="24"/>
        </w:rPr>
        <w:t>][</w:t>
      </w:r>
      <w:r w:rsidRPr="006F0A38">
        <w:rPr>
          <w:rFonts w:ascii="Times New Roman" w:hAnsi="Times New Roman"/>
          <w:sz w:val="24"/>
        </w:rPr>
        <w:t>a] (emphasis added)</w:t>
      </w:r>
      <w:r w:rsidR="00D92F79" w:rsidRPr="006F0A38">
        <w:rPr>
          <w:rFonts w:ascii="Times New Roman" w:hAnsi="Times New Roman"/>
          <w:sz w:val="24"/>
        </w:rPr>
        <w:t>,</w:t>
      </w:r>
      <w:r w:rsidRPr="006F0A38">
        <w:rPr>
          <w:rFonts w:ascii="Times New Roman" w:hAnsi="Times New Roman"/>
          <w:sz w:val="24"/>
        </w:rPr>
        <w:t xml:space="preserve"> citing, among others, </w:t>
      </w:r>
      <w:r w:rsidRPr="006F0A38">
        <w:rPr>
          <w:rFonts w:ascii="Times New Roman" w:hAnsi="Times New Roman"/>
          <w:i/>
          <w:iCs/>
          <w:sz w:val="24"/>
        </w:rPr>
        <w:t>Wiregrass Metal Trades Council AFL-CIO v Shaw Environmental</w:t>
      </w:r>
      <w:r w:rsidRPr="006F0A38" w:rsidDel="000D6B46">
        <w:rPr>
          <w:rFonts w:ascii="Times New Roman" w:hAnsi="Times New Roman"/>
          <w:i/>
          <w:sz w:val="24"/>
        </w:rPr>
        <w:t xml:space="preserve"> </w:t>
      </w:r>
      <w:r w:rsidRPr="006F0A38">
        <w:rPr>
          <w:rFonts w:ascii="Times New Roman" w:hAnsi="Times New Roman"/>
          <w:i/>
          <w:iCs/>
          <w:sz w:val="24"/>
        </w:rPr>
        <w:t>&amp; Infrastructure Inc</w:t>
      </w:r>
      <w:r w:rsidRPr="006F0A38" w:rsidDel="000D6B46">
        <w:rPr>
          <w:rFonts w:ascii="Times New Roman" w:hAnsi="Times New Roman"/>
          <w:i/>
          <w:sz w:val="24"/>
        </w:rPr>
        <w:t xml:space="preserve"> </w:t>
      </w:r>
      <w:r w:rsidRPr="006F0A38">
        <w:rPr>
          <w:rFonts w:ascii="Times New Roman" w:hAnsi="Times New Roman"/>
          <w:sz w:val="24"/>
        </w:rPr>
        <w:t>(2016) 837 F 3d 1083 (11th Cir) at 1087</w:t>
      </w:r>
      <w:r w:rsidRPr="006F0A38">
        <w:rPr>
          <w:rFonts w:ascii="Times New Roman" w:hAnsi="Times New Roman"/>
          <w:sz w:val="24"/>
        </w:rPr>
        <w:noBreakHyphen/>
        <w:t>1088</w:t>
      </w:r>
      <w:r w:rsidR="00D01141" w:rsidRPr="006F0A38">
        <w:rPr>
          <w:rFonts w:ascii="Times New Roman" w:hAnsi="Times New Roman"/>
          <w:sz w:val="24"/>
        </w:rPr>
        <w:t>,</w:t>
      </w:r>
      <w:r w:rsidRPr="006F0A38">
        <w:rPr>
          <w:rFonts w:ascii="Times New Roman" w:hAnsi="Times New Roman"/>
          <w:sz w:val="24"/>
        </w:rPr>
        <w:t xml:space="preserve"> </w:t>
      </w:r>
      <w:r w:rsidRPr="006F0A38">
        <w:rPr>
          <w:rFonts w:ascii="Times New Roman" w:hAnsi="Times New Roman"/>
          <w:i/>
          <w:sz w:val="24"/>
        </w:rPr>
        <w:t>Schoenduve Corp</w:t>
      </w:r>
      <w:r w:rsidR="0049578B" w:rsidRPr="006F0A38">
        <w:rPr>
          <w:rFonts w:ascii="Times New Roman" w:hAnsi="Times New Roman"/>
          <w:i/>
          <w:sz w:val="24"/>
        </w:rPr>
        <w:t>oration</w:t>
      </w:r>
      <w:r w:rsidRPr="006F0A38">
        <w:rPr>
          <w:rFonts w:ascii="Times New Roman" w:hAnsi="Times New Roman"/>
          <w:i/>
          <w:sz w:val="24"/>
        </w:rPr>
        <w:t xml:space="preserve"> v Lucent Technologies Inc</w:t>
      </w:r>
      <w:r w:rsidRPr="006F0A38">
        <w:rPr>
          <w:rFonts w:ascii="Times New Roman" w:hAnsi="Times New Roman"/>
          <w:sz w:val="24"/>
        </w:rPr>
        <w:t xml:space="preserve"> (2006) 442 F 3d 727 (9th Cir) at 73</w:t>
      </w:r>
      <w:r w:rsidR="00855E0A" w:rsidRPr="006F0A38">
        <w:rPr>
          <w:rFonts w:ascii="Times New Roman" w:hAnsi="Times New Roman"/>
          <w:sz w:val="24"/>
        </w:rPr>
        <w:t>3</w:t>
      </w:r>
      <w:r w:rsidR="00D01141" w:rsidRPr="006F0A38">
        <w:rPr>
          <w:rFonts w:ascii="Times New Roman" w:hAnsi="Times New Roman"/>
          <w:sz w:val="24"/>
        </w:rPr>
        <w:t xml:space="preserve"> and</w:t>
      </w:r>
      <w:r w:rsidRPr="006F0A38">
        <w:rPr>
          <w:rFonts w:ascii="Times New Roman" w:hAnsi="Times New Roman"/>
          <w:sz w:val="24"/>
        </w:rPr>
        <w:t xml:space="preserve"> </w:t>
      </w:r>
      <w:r w:rsidRPr="006F0A38">
        <w:rPr>
          <w:rFonts w:ascii="Times New Roman" w:hAnsi="Times New Roman"/>
          <w:i/>
          <w:iCs/>
          <w:sz w:val="24"/>
        </w:rPr>
        <w:t xml:space="preserve">ABB AG v Hochtief Airport GmbH </w:t>
      </w:r>
      <w:r w:rsidRPr="006F0A38">
        <w:rPr>
          <w:rFonts w:ascii="Times New Roman" w:hAnsi="Times New Roman"/>
          <w:sz w:val="24"/>
        </w:rPr>
        <w:t>[2006] 2</w:t>
      </w:r>
      <w:r w:rsidR="009E75F1" w:rsidRPr="006F0A38">
        <w:rPr>
          <w:rFonts w:ascii="Times New Roman" w:hAnsi="Times New Roman"/>
          <w:sz w:val="24"/>
        </w:rPr>
        <w:t> </w:t>
      </w:r>
      <w:r w:rsidRPr="006F0A38">
        <w:rPr>
          <w:rFonts w:ascii="Times New Roman" w:hAnsi="Times New Roman"/>
          <w:sz w:val="24"/>
        </w:rPr>
        <w:t>Lloyd's Rep 1.</w:t>
      </w:r>
    </w:p>
  </w:footnote>
  <w:footnote w:id="66">
    <w:p w14:paraId="1CBB86B2" w14:textId="7CE883B0" w:rsidR="00845483" w:rsidRPr="006F0A38" w:rsidRDefault="00845483"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r>
      <w:r w:rsidRPr="006F0A38">
        <w:rPr>
          <w:rFonts w:ascii="Times New Roman" w:hAnsi="Times New Roman"/>
          <w:i/>
          <w:iCs/>
          <w:sz w:val="24"/>
        </w:rPr>
        <w:t>C v D</w:t>
      </w:r>
      <w:r w:rsidRPr="006F0A38" w:rsidDel="00715D7E">
        <w:rPr>
          <w:rFonts w:ascii="Times New Roman" w:hAnsi="Times New Roman"/>
          <w:i/>
          <w:sz w:val="24"/>
        </w:rPr>
        <w:t xml:space="preserve"> </w:t>
      </w:r>
      <w:r w:rsidRPr="006F0A38">
        <w:rPr>
          <w:rFonts w:ascii="Times New Roman" w:hAnsi="Times New Roman"/>
          <w:sz w:val="24"/>
        </w:rPr>
        <w:t xml:space="preserve">(2023) 26 HKCFAR 216 at 245 [53]. </w:t>
      </w:r>
    </w:p>
  </w:footnote>
  <w:footnote w:id="67">
    <w:p w14:paraId="7F6618EC" w14:textId="77777777"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(2013) 569 US 564.</w:t>
      </w:r>
    </w:p>
  </w:footnote>
  <w:footnote w:id="68">
    <w:p w14:paraId="0AD71F3B" w14:textId="45B7B141"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 xml:space="preserve">(2013) 569 US 564 at </w:t>
      </w:r>
      <w:r w:rsidR="00C71915" w:rsidRPr="006F0A38">
        <w:rPr>
          <w:rFonts w:ascii="Times New Roman" w:hAnsi="Times New Roman"/>
          <w:sz w:val="24"/>
        </w:rPr>
        <w:t>569</w:t>
      </w:r>
      <w:r w:rsidRPr="006F0A38">
        <w:rPr>
          <w:rFonts w:ascii="Times New Roman" w:hAnsi="Times New Roman"/>
          <w:sz w:val="24"/>
        </w:rPr>
        <w:t>.</w:t>
      </w:r>
    </w:p>
  </w:footnote>
  <w:footnote w:id="69">
    <w:p w14:paraId="79D5D9E5" w14:textId="367BC9A0" w:rsidR="001114B9" w:rsidRPr="006F0A38" w:rsidRDefault="001114B9" w:rsidP="006F0A38">
      <w:pPr>
        <w:pStyle w:val="FootnoteText"/>
        <w:spacing w:line="280" w:lineRule="exact"/>
        <w:ind w:right="0"/>
        <w:jc w:val="both"/>
        <w:rPr>
          <w:rFonts w:ascii="Times New Roman" w:hAnsi="Times New Roman"/>
          <w:sz w:val="24"/>
        </w:rPr>
      </w:pPr>
      <w:r w:rsidRPr="006F0A38">
        <w:rPr>
          <w:rStyle w:val="FootnoteReference"/>
          <w:rFonts w:ascii="Times New Roman" w:hAnsi="Times New Roman"/>
          <w:sz w:val="22"/>
          <w:vertAlign w:val="baseline"/>
        </w:rPr>
        <w:footnoteRef/>
      </w:r>
      <w:r w:rsidRPr="006F0A38">
        <w:rPr>
          <w:rFonts w:ascii="Times New Roman" w:hAnsi="Times New Roman"/>
          <w:sz w:val="24"/>
        </w:rPr>
        <w:t xml:space="preserve"> </w:t>
      </w:r>
      <w:r w:rsidRPr="006F0A38">
        <w:rPr>
          <w:rFonts w:ascii="Times New Roman" w:hAnsi="Times New Roman"/>
          <w:sz w:val="24"/>
        </w:rPr>
        <w:tab/>
        <w:t>(2013) 569 US 564 at 5</w:t>
      </w:r>
      <w:r w:rsidR="001D3A20" w:rsidRPr="006F0A38">
        <w:rPr>
          <w:rFonts w:ascii="Times New Roman" w:hAnsi="Times New Roman"/>
          <w:sz w:val="24"/>
        </w:rPr>
        <w:t>69</w:t>
      </w:r>
      <w:r w:rsidRPr="006F0A38">
        <w:rPr>
          <w:rFonts w:ascii="Times New Roman" w:hAnsi="Times New Roman"/>
          <w:sz w:val="24"/>
        </w:rPr>
        <w:t>, fn 2.</w:t>
      </w:r>
    </w:p>
  </w:footnote>
  <w:footnote w:id="70">
    <w:p w14:paraId="43886B7C"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UNCITRAL Model Law on International Commercial Arbitration (1985), as amended by the United Nations Commission on International Trade Law on 7 July 2006 ("Model Law"); </w:t>
      </w:r>
      <w:r w:rsidRPr="003C38FD">
        <w:rPr>
          <w:rFonts w:ascii="Times New Roman" w:hAnsi="Times New Roman"/>
          <w:i/>
          <w:sz w:val="24"/>
        </w:rPr>
        <w:t xml:space="preserve">Commercial Arbitration Act </w:t>
      </w:r>
      <w:r w:rsidRPr="003C38FD">
        <w:rPr>
          <w:rFonts w:ascii="Times New Roman" w:hAnsi="Times New Roman"/>
          <w:i/>
          <w:iCs/>
          <w:sz w:val="24"/>
        </w:rPr>
        <w:t>2012</w:t>
      </w:r>
      <w:r w:rsidRPr="003C38FD">
        <w:rPr>
          <w:rFonts w:ascii="Times New Roman" w:hAnsi="Times New Roman"/>
          <w:sz w:val="24"/>
        </w:rPr>
        <w:t xml:space="preserve"> (WA) ("Arbitration Act"), s 34.</w:t>
      </w:r>
    </w:p>
  </w:footnote>
  <w:footnote w:id="71">
    <w:p w14:paraId="63905261"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Rules of the United Nations Commission on International Trade Law, initially adopted in 1976 (General Assembly resolution 31/98) and revised in 2010 (General Assembly resolution 65/22) ("UNCITRAL Rules").</w:t>
      </w:r>
    </w:p>
  </w:footnote>
  <w:footnote w:id="72">
    <w:p w14:paraId="32B54761"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UNCITRAL Rules, Art 34(1).</w:t>
      </w:r>
    </w:p>
  </w:footnote>
  <w:footnote w:id="73">
    <w:p w14:paraId="6F801C8B"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Port of Melbourne Authority v Anshun Pty Ltd</w:t>
      </w:r>
      <w:r w:rsidRPr="003C38FD">
        <w:rPr>
          <w:rFonts w:ascii="Times New Roman" w:hAnsi="Times New Roman"/>
          <w:sz w:val="24"/>
        </w:rPr>
        <w:t xml:space="preserve"> (1981) 147 CLR 589.</w:t>
      </w:r>
    </w:p>
  </w:footnote>
  <w:footnote w:id="74">
    <w:p w14:paraId="20D3E534"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Chevron Australia Pty Ltd v CBI Constructors Pty Ltd </w:t>
      </w:r>
      <w:r w:rsidRPr="003C38FD">
        <w:rPr>
          <w:rFonts w:ascii="Times New Roman" w:hAnsi="Times New Roman"/>
          <w:sz w:val="24"/>
        </w:rPr>
        <w:t>[2021] WASC 323 at [86]-[87], [107].</w:t>
      </w:r>
    </w:p>
  </w:footnote>
  <w:footnote w:id="75">
    <w:p w14:paraId="7C0CB429"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Chevron Australia Pty Ltd v CBI Constructors Pty Ltd </w:t>
      </w:r>
      <w:r w:rsidRPr="003C38FD">
        <w:rPr>
          <w:rFonts w:ascii="Times New Roman" w:hAnsi="Times New Roman"/>
          <w:sz w:val="24"/>
        </w:rPr>
        <w:t>[2021] WASC 323 at [187], [209]-[210], [215].</w:t>
      </w:r>
    </w:p>
  </w:footnote>
  <w:footnote w:id="76">
    <w:p w14:paraId="0E68728C"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Chevron Australia Pty Ltd v CBI Constructors Pty Ltd </w:t>
      </w:r>
      <w:r w:rsidRPr="003C38FD">
        <w:rPr>
          <w:rFonts w:ascii="Times New Roman" w:hAnsi="Times New Roman"/>
          <w:sz w:val="24"/>
        </w:rPr>
        <w:t>[2021] WASC 323 at [199].</w:t>
      </w:r>
    </w:p>
  </w:footnote>
  <w:footnote w:id="77">
    <w:p w14:paraId="57FF1CD4"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CBI Constructors Pty Ltd v Chevron Australia Pty Ltd</w:t>
      </w:r>
      <w:r w:rsidRPr="003C38FD">
        <w:rPr>
          <w:rFonts w:ascii="Times New Roman" w:hAnsi="Times New Roman"/>
          <w:sz w:val="24"/>
        </w:rPr>
        <w:t xml:space="preserve"> [2023] WASCA 1 ("</w:t>
      </w:r>
      <w:r w:rsidRPr="003C38FD">
        <w:rPr>
          <w:rFonts w:ascii="Times New Roman" w:hAnsi="Times New Roman"/>
          <w:i/>
          <w:iCs/>
          <w:sz w:val="24"/>
        </w:rPr>
        <w:t>CBI Constructors</w:t>
      </w:r>
      <w:r w:rsidRPr="003C38FD">
        <w:rPr>
          <w:rFonts w:ascii="Times New Roman" w:hAnsi="Times New Roman"/>
          <w:sz w:val="24"/>
        </w:rPr>
        <w:t>").</w:t>
      </w:r>
    </w:p>
  </w:footnote>
  <w:footnote w:id="78">
    <w:p w14:paraId="7101E527"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[97].</w:t>
      </w:r>
    </w:p>
  </w:footnote>
  <w:footnote w:id="79">
    <w:p w14:paraId="70C0F7D6"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[86].</w:t>
      </w:r>
    </w:p>
  </w:footnote>
  <w:footnote w:id="80">
    <w:p w14:paraId="35F0B186"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[101]-[114], see also the Appendix.</w:t>
      </w:r>
    </w:p>
  </w:footnote>
  <w:footnote w:id="81">
    <w:p w14:paraId="6DD720FE"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[121(1)], [125(1)].</w:t>
      </w:r>
    </w:p>
  </w:footnote>
  <w:footnote w:id="82">
    <w:p w14:paraId="71199CC4"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[114].</w:t>
      </w:r>
    </w:p>
  </w:footnote>
  <w:footnote w:id="83">
    <w:p w14:paraId="7EA00C00"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1C(3).</w:t>
      </w:r>
    </w:p>
  </w:footnote>
  <w:footnote w:id="84">
    <w:p w14:paraId="5CF9657E"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1C(1).</w:t>
      </w:r>
    </w:p>
  </w:footnote>
  <w:footnote w:id="85">
    <w:p w14:paraId="66B77899"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1C(2)(a).</w:t>
      </w:r>
    </w:p>
  </w:footnote>
  <w:footnote w:id="86">
    <w:p w14:paraId="279A8004"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1C(2)(b).</w:t>
      </w:r>
    </w:p>
  </w:footnote>
  <w:footnote w:id="87">
    <w:p w14:paraId="6D2DEBA6"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2A(1).</w:t>
      </w:r>
    </w:p>
  </w:footnote>
  <w:footnote w:id="88">
    <w:p w14:paraId="15B6231D"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Analytical Commentary on Draft Text of a Model Law on International Commercial Arbitration, UN Doc A/CN.9/264 (1985), Art 1 [15], cited in </w:t>
      </w:r>
      <w:r w:rsidRPr="003C38FD">
        <w:rPr>
          <w:rFonts w:ascii="Times New Roman" w:hAnsi="Times New Roman"/>
          <w:i/>
          <w:iCs/>
          <w:sz w:val="24"/>
        </w:rPr>
        <w:t>TCL Air Conditioner (Zhongshan) Co Ltd v Judges of the Federal Court of Australia</w:t>
      </w:r>
      <w:r w:rsidRPr="003C38FD">
        <w:rPr>
          <w:rFonts w:ascii="Times New Roman" w:hAnsi="Times New Roman"/>
          <w:sz w:val="24"/>
        </w:rPr>
        <w:t xml:space="preserve"> (2013) 251 CLR 533 ("</w:t>
      </w:r>
      <w:r w:rsidRPr="003C38FD">
        <w:rPr>
          <w:rFonts w:ascii="Times New Roman" w:hAnsi="Times New Roman"/>
          <w:i/>
          <w:iCs/>
          <w:sz w:val="24"/>
        </w:rPr>
        <w:t>TCL Air Conditioner</w:t>
      </w:r>
      <w:r w:rsidRPr="003C38FD">
        <w:rPr>
          <w:rFonts w:ascii="Times New Roman" w:hAnsi="Times New Roman"/>
          <w:sz w:val="24"/>
        </w:rPr>
        <w:t>") at 547 [11].</w:t>
      </w:r>
    </w:p>
  </w:footnote>
  <w:footnote w:id="89">
    <w:p w14:paraId="076DC0EB"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See s 2(1) of the Arbitration Act.</w:t>
      </w:r>
    </w:p>
  </w:footnote>
  <w:footnote w:id="90">
    <w:p w14:paraId="188E9F63"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Section 5 of the Arbitration Act corresponds with Art 5 of the Model Law.</w:t>
      </w:r>
    </w:p>
  </w:footnote>
  <w:footnote w:id="91">
    <w:p w14:paraId="32854C4B"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6(1).</w:t>
      </w:r>
    </w:p>
  </w:footnote>
  <w:footnote w:id="92">
    <w:p w14:paraId="3ECC9CFB"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11(3)-(4).</w:t>
      </w:r>
    </w:p>
  </w:footnote>
  <w:footnote w:id="93">
    <w:p w14:paraId="4AAF2AD1"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13(4).</w:t>
      </w:r>
    </w:p>
  </w:footnote>
  <w:footnote w:id="94">
    <w:p w14:paraId="3D0A6167"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14(2).</w:t>
      </w:r>
    </w:p>
  </w:footnote>
  <w:footnote w:id="95">
    <w:p w14:paraId="52477F37"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ss 17H-17J.</w:t>
      </w:r>
    </w:p>
  </w:footnote>
  <w:footnote w:id="96">
    <w:p w14:paraId="1BE82FCF"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19(6).</w:t>
      </w:r>
    </w:p>
  </w:footnote>
  <w:footnote w:id="97">
    <w:p w14:paraId="357ECEF9"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ss 27-27B.</w:t>
      </w:r>
    </w:p>
  </w:footnote>
  <w:footnote w:id="98">
    <w:p w14:paraId="5CD6F7D4"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ss 27H-27I.</w:t>
      </w:r>
    </w:p>
  </w:footnote>
  <w:footnote w:id="99">
    <w:p w14:paraId="3DEE63E5"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33D.</w:t>
      </w:r>
    </w:p>
  </w:footnote>
  <w:footnote w:id="100">
    <w:p w14:paraId="7D7B26E6"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16(8).</w:t>
      </w:r>
    </w:p>
  </w:footnote>
  <w:footnote w:id="101">
    <w:p w14:paraId="7890362B" w14:textId="79511B70"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16(9).</w:t>
      </w:r>
    </w:p>
  </w:footnote>
  <w:footnote w:id="102">
    <w:p w14:paraId="4F7B101F"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Bantekas et al, </w:t>
      </w:r>
      <w:r w:rsidRPr="003C38FD">
        <w:rPr>
          <w:rFonts w:ascii="Times New Roman" w:hAnsi="Times New Roman"/>
          <w:i/>
          <w:sz w:val="24"/>
        </w:rPr>
        <w:t>UNCITRAL Model Law on International Commercial Arbitration: A Commentary</w:t>
      </w:r>
      <w:r w:rsidRPr="003C38FD">
        <w:rPr>
          <w:rFonts w:ascii="Times New Roman" w:hAnsi="Times New Roman"/>
          <w:sz w:val="24"/>
        </w:rPr>
        <w:t xml:space="preserve"> (2020) at 882, cited in </w:t>
      </w:r>
      <w:r w:rsidRPr="003C38FD">
        <w:rPr>
          <w:rFonts w:ascii="Times New Roman" w:hAnsi="Times New Roman"/>
          <w:i/>
          <w:iCs/>
          <w:sz w:val="24"/>
        </w:rPr>
        <w:t>C v D</w:t>
      </w:r>
      <w:r w:rsidRPr="003C38FD">
        <w:rPr>
          <w:rFonts w:ascii="Times New Roman" w:hAnsi="Times New Roman"/>
          <w:sz w:val="24"/>
        </w:rPr>
        <w:t xml:space="preserve"> (2023) 26 HKCFAR 216 at 266 [130].</w:t>
      </w:r>
    </w:p>
  </w:footnote>
  <w:footnote w:id="103">
    <w:p w14:paraId="3F2662E2"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268 [134].</w:t>
      </w:r>
    </w:p>
  </w:footnote>
  <w:footnote w:id="104">
    <w:p w14:paraId="3EAC47FA"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See, generally, Leeming, </w:t>
      </w:r>
      <w:r w:rsidRPr="003C38FD">
        <w:rPr>
          <w:rFonts w:ascii="Times New Roman" w:hAnsi="Times New Roman"/>
          <w:i/>
          <w:sz w:val="24"/>
        </w:rPr>
        <w:t>Authority to Decide: The Law of Jurisdiction in Australia</w:t>
      </w:r>
      <w:r w:rsidRPr="003C38FD">
        <w:rPr>
          <w:rFonts w:ascii="Times New Roman" w:hAnsi="Times New Roman"/>
          <w:sz w:val="24"/>
        </w:rPr>
        <w:t>, 2nd ed (2020).</w:t>
      </w:r>
    </w:p>
  </w:footnote>
  <w:footnote w:id="105">
    <w:p w14:paraId="72520D6C"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(2023) 26 HKCFAR 216. </w:t>
      </w:r>
    </w:p>
  </w:footnote>
  <w:footnote w:id="106">
    <w:p w14:paraId="50D9CCA3"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Arbitration Ordinance</w:t>
      </w:r>
      <w:r w:rsidRPr="003C38FD">
        <w:rPr>
          <w:rFonts w:ascii="Times New Roman" w:hAnsi="Times New Roman"/>
          <w:sz w:val="24"/>
        </w:rPr>
        <w:t xml:space="preserve"> (HK), s 34.</w:t>
      </w:r>
    </w:p>
  </w:footnote>
  <w:footnote w:id="107">
    <w:p w14:paraId="4E8C7257"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Arbitration Ordinance </w:t>
      </w:r>
      <w:r w:rsidRPr="003C38FD">
        <w:rPr>
          <w:rFonts w:ascii="Times New Roman" w:hAnsi="Times New Roman"/>
          <w:sz w:val="24"/>
        </w:rPr>
        <w:t>(HK), s 81.</w:t>
      </w:r>
    </w:p>
  </w:footnote>
  <w:footnote w:id="108">
    <w:p w14:paraId="7D0B475F"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226 [3]-[5], 232 [22].</w:t>
      </w:r>
    </w:p>
  </w:footnote>
  <w:footnote w:id="109">
    <w:p w14:paraId="34BE0A90"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226 [4].</w:t>
      </w:r>
    </w:p>
  </w:footnote>
  <w:footnote w:id="110">
    <w:p w14:paraId="79A8044F"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232 [22].</w:t>
      </w:r>
    </w:p>
  </w:footnote>
  <w:footnote w:id="111">
    <w:p w14:paraId="3DBA4E46" w14:textId="77777777" w:rsidR="003A3473" w:rsidRPr="003C38FD" w:rsidRDefault="003A3473" w:rsidP="003C38FD">
      <w:pPr>
        <w:pStyle w:val="FootnoteText"/>
        <w:spacing w:line="280" w:lineRule="exact"/>
        <w:ind w:right="0"/>
        <w:jc w:val="both"/>
        <w:rPr>
          <w:rFonts w:ascii="Times New Roman" w:hAnsi="Times New Roman"/>
          <w:sz w:val="24"/>
        </w:rPr>
      </w:pPr>
      <w:r w:rsidRPr="002A5710">
        <w:rPr>
          <w:rStyle w:val="FootnoteReference"/>
          <w:rFonts w:ascii="Times New Roman" w:hAnsi="Times New Roman"/>
          <w:sz w:val="22"/>
          <w:vertAlign w:val="baseline"/>
        </w:rPr>
        <w:footnoteRef/>
      </w:r>
      <w:r w:rsidRPr="002A5710">
        <w:rPr>
          <w:rFonts w:ascii="Times New Roman" w:hAnsi="Times New Roman"/>
          <w:sz w:val="24"/>
        </w:rPr>
        <w:t xml:space="preserve"> </w:t>
      </w:r>
      <w:r w:rsidRPr="002A5710">
        <w:rPr>
          <w:rFonts w:ascii="Times New Roman" w:hAnsi="Times New Roman"/>
          <w:sz w:val="24"/>
        </w:rPr>
        <w:tab/>
      </w:r>
      <w:r w:rsidRPr="002A5710">
        <w:rPr>
          <w:rFonts w:ascii="Times New Roman" w:hAnsi="Times New Roman"/>
          <w:i/>
          <w:iCs/>
          <w:sz w:val="24"/>
        </w:rPr>
        <w:t>C v D</w:t>
      </w:r>
      <w:r w:rsidRPr="002A5710">
        <w:rPr>
          <w:rFonts w:ascii="Times New Roman" w:hAnsi="Times New Roman"/>
          <w:sz w:val="24"/>
        </w:rPr>
        <w:t xml:space="preserve"> (2023) 26 HKCFAR 216 at 234 [24]; see also at 258 [102] per Lam PJ.</w:t>
      </w:r>
    </w:p>
  </w:footnote>
  <w:footnote w:id="112">
    <w:p w14:paraId="2F59ABC6"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274 [157].</w:t>
      </w:r>
    </w:p>
  </w:footnote>
  <w:footnote w:id="113">
    <w:p w14:paraId="1E1F8454"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27J(2).</w:t>
      </w:r>
    </w:p>
  </w:footnote>
  <w:footnote w:id="114">
    <w:p w14:paraId="3A24433D"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34A(1).</w:t>
      </w:r>
    </w:p>
  </w:footnote>
  <w:footnote w:id="115">
    <w:p w14:paraId="1C3441E5"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Commercial Arbitration Act 2010 </w:t>
      </w:r>
      <w:r w:rsidRPr="003C38FD">
        <w:rPr>
          <w:rFonts w:ascii="Times New Roman" w:hAnsi="Times New Roman"/>
          <w:sz w:val="24"/>
        </w:rPr>
        <w:t xml:space="preserve">(NSW), ss 27J, 34A; </w:t>
      </w:r>
      <w:r w:rsidRPr="003C38FD">
        <w:rPr>
          <w:rFonts w:ascii="Times New Roman" w:hAnsi="Times New Roman"/>
          <w:i/>
          <w:iCs/>
          <w:sz w:val="24"/>
        </w:rPr>
        <w:t xml:space="preserve">Commercial Arbitration Act 2011 </w:t>
      </w:r>
      <w:r w:rsidRPr="003C38FD">
        <w:rPr>
          <w:rFonts w:ascii="Times New Roman" w:hAnsi="Times New Roman"/>
          <w:sz w:val="24"/>
        </w:rPr>
        <w:t xml:space="preserve">(Vic), ss 27J, 34A; </w:t>
      </w:r>
      <w:r w:rsidRPr="003C38FD">
        <w:rPr>
          <w:rFonts w:ascii="Times New Roman" w:hAnsi="Times New Roman"/>
          <w:i/>
          <w:iCs/>
          <w:sz w:val="24"/>
        </w:rPr>
        <w:t xml:space="preserve">Commercial Arbitration Act 2011 </w:t>
      </w:r>
      <w:r w:rsidRPr="003C38FD">
        <w:rPr>
          <w:rFonts w:ascii="Times New Roman" w:hAnsi="Times New Roman"/>
          <w:sz w:val="24"/>
        </w:rPr>
        <w:t xml:space="preserve">(SA), ss 27J, 34A; </w:t>
      </w:r>
      <w:r w:rsidRPr="003C38FD">
        <w:rPr>
          <w:rFonts w:ascii="Times New Roman" w:hAnsi="Times New Roman"/>
          <w:i/>
          <w:iCs/>
          <w:sz w:val="24"/>
        </w:rPr>
        <w:t xml:space="preserve">Commercial Arbitration Act 2011 </w:t>
      </w:r>
      <w:r w:rsidRPr="003C38FD">
        <w:rPr>
          <w:rFonts w:ascii="Times New Roman" w:hAnsi="Times New Roman"/>
          <w:sz w:val="24"/>
        </w:rPr>
        <w:t xml:space="preserve">(Tas), ss 27J, 34A; </w:t>
      </w:r>
      <w:r w:rsidRPr="003C38FD">
        <w:rPr>
          <w:rFonts w:ascii="Times New Roman" w:hAnsi="Times New Roman"/>
          <w:i/>
          <w:iCs/>
          <w:sz w:val="24"/>
        </w:rPr>
        <w:t xml:space="preserve">Commercial Arbitration (National Uniform Legislation) Act 2011 </w:t>
      </w:r>
      <w:r w:rsidRPr="003C38FD">
        <w:rPr>
          <w:rFonts w:ascii="Times New Roman" w:hAnsi="Times New Roman"/>
          <w:sz w:val="24"/>
        </w:rPr>
        <w:t>(NT), ss 27J, 34A;</w:t>
      </w:r>
      <w:r w:rsidRPr="003C38FD">
        <w:rPr>
          <w:rFonts w:ascii="Times New Roman" w:hAnsi="Times New Roman"/>
          <w:i/>
          <w:iCs/>
          <w:sz w:val="24"/>
        </w:rPr>
        <w:t xml:space="preserve"> Commercial Arbitration Act 2013 </w:t>
      </w:r>
      <w:r w:rsidRPr="003C38FD">
        <w:rPr>
          <w:rFonts w:ascii="Times New Roman" w:hAnsi="Times New Roman"/>
          <w:sz w:val="24"/>
        </w:rPr>
        <w:t xml:space="preserve">(Qld), ss 27J, 34A; </w:t>
      </w:r>
      <w:r w:rsidRPr="003C38FD">
        <w:rPr>
          <w:rFonts w:ascii="Times New Roman" w:hAnsi="Times New Roman"/>
          <w:i/>
          <w:iCs/>
          <w:sz w:val="24"/>
        </w:rPr>
        <w:t xml:space="preserve">Commercial Arbitration Act 2017 </w:t>
      </w:r>
      <w:r w:rsidRPr="003C38FD">
        <w:rPr>
          <w:rFonts w:ascii="Times New Roman" w:hAnsi="Times New Roman"/>
          <w:sz w:val="24"/>
        </w:rPr>
        <w:t>(ACT), ss 27J, 34A.</w:t>
      </w:r>
    </w:p>
  </w:footnote>
  <w:footnote w:id="116">
    <w:p w14:paraId="1BD0B3A7"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Minister for Indigenous Affairs v MJD Foundation Ltd</w:t>
      </w:r>
      <w:r w:rsidRPr="003C38FD">
        <w:rPr>
          <w:rFonts w:ascii="Times New Roman" w:hAnsi="Times New Roman"/>
          <w:sz w:val="24"/>
        </w:rPr>
        <w:t xml:space="preserve"> (2017) 250 FCR 31 at 67 [155].</w:t>
      </w:r>
    </w:p>
  </w:footnote>
  <w:footnote w:id="117">
    <w:p w14:paraId="3088CFC2"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Minister for Indigenous Affairs v MJD Foundation Ltd</w:t>
      </w:r>
      <w:r w:rsidRPr="003C38FD">
        <w:rPr>
          <w:rFonts w:ascii="Times New Roman" w:hAnsi="Times New Roman"/>
          <w:sz w:val="24"/>
        </w:rPr>
        <w:t xml:space="preserve"> (2017) 250 FCR 31 at 67 [155]; see also </w:t>
      </w:r>
      <w:r w:rsidRPr="003C38FD">
        <w:rPr>
          <w:rFonts w:ascii="Times New Roman" w:hAnsi="Times New Roman"/>
          <w:i/>
          <w:iCs/>
          <w:sz w:val="24"/>
        </w:rPr>
        <w:t xml:space="preserve">Minister for Immigration and Multicultural Affairs v Bhardwaj </w:t>
      </w:r>
      <w:r w:rsidRPr="003C38FD">
        <w:rPr>
          <w:rFonts w:ascii="Times New Roman" w:hAnsi="Times New Roman"/>
          <w:sz w:val="24"/>
        </w:rPr>
        <w:t>(2002) 209 CLR 597 at 603 [5]-[6].</w:t>
      </w:r>
    </w:p>
  </w:footnote>
  <w:footnote w:id="118">
    <w:p w14:paraId="0B9700E6"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See, for example, </w:t>
      </w:r>
      <w:r w:rsidRPr="003C38FD">
        <w:rPr>
          <w:rFonts w:ascii="Times New Roman" w:eastAsia="Source Sans Pro" w:hAnsi="Times New Roman"/>
          <w:i/>
          <w:sz w:val="24"/>
        </w:rPr>
        <w:t>Jayasinghe v Minister for Immigration and Ethnic Affairs</w:t>
      </w:r>
      <w:r w:rsidRPr="003C38FD">
        <w:rPr>
          <w:rFonts w:ascii="Times New Roman" w:hAnsi="Times New Roman"/>
          <w:i/>
          <w:sz w:val="24"/>
        </w:rPr>
        <w:t xml:space="preserve"> </w:t>
      </w:r>
      <w:r w:rsidRPr="003C38FD">
        <w:rPr>
          <w:rFonts w:ascii="Times New Roman" w:hAnsi="Times New Roman"/>
          <w:sz w:val="24"/>
        </w:rPr>
        <w:t xml:space="preserve">(1997) 76 FCR 301 at 311, 317; </w:t>
      </w:r>
      <w:r w:rsidRPr="003C38FD">
        <w:rPr>
          <w:rFonts w:ascii="Times New Roman" w:hAnsi="Times New Roman"/>
          <w:i/>
          <w:sz w:val="24"/>
        </w:rPr>
        <w:t xml:space="preserve">Kabourakis v Medical Practitioners Board of Victoria </w:t>
      </w:r>
      <w:r w:rsidRPr="003C38FD">
        <w:rPr>
          <w:rFonts w:ascii="Times New Roman" w:hAnsi="Times New Roman"/>
          <w:sz w:val="24"/>
        </w:rPr>
        <w:t xml:space="preserve">(2006) 25 VAR 449 at </w:t>
      </w:r>
      <w:bookmarkStart w:id="1" w:name="_Hlk168998284"/>
      <w:r w:rsidRPr="003C38FD">
        <w:rPr>
          <w:rFonts w:ascii="Times New Roman" w:hAnsi="Times New Roman"/>
          <w:sz w:val="24"/>
        </w:rPr>
        <w:t>472 [80], 474 [89]</w:t>
      </w:r>
      <w:bookmarkEnd w:id="1"/>
      <w:r w:rsidRPr="003C38FD">
        <w:rPr>
          <w:rFonts w:ascii="Times New Roman" w:hAnsi="Times New Roman"/>
          <w:sz w:val="24"/>
        </w:rPr>
        <w:t>.</w:t>
      </w:r>
    </w:p>
  </w:footnote>
  <w:footnote w:id="119">
    <w:p w14:paraId="3B0A2C9B"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See, for example, </w:t>
      </w:r>
      <w:r w:rsidRPr="003C38FD">
        <w:rPr>
          <w:rFonts w:ascii="Times New Roman" w:hAnsi="Times New Roman"/>
          <w:i/>
          <w:sz w:val="24"/>
        </w:rPr>
        <w:t>Barry v Heider</w:t>
      </w:r>
      <w:r w:rsidRPr="003C38FD">
        <w:rPr>
          <w:rFonts w:ascii="Times New Roman" w:hAnsi="Times New Roman"/>
          <w:sz w:val="24"/>
        </w:rPr>
        <w:t xml:space="preserve"> (1914) 19 CLR 197 at 220-221; </w:t>
      </w:r>
      <w:r w:rsidRPr="003C38FD">
        <w:rPr>
          <w:rFonts w:ascii="Times New Roman" w:hAnsi="Times New Roman"/>
          <w:i/>
          <w:sz w:val="24"/>
        </w:rPr>
        <w:t xml:space="preserve">Kirby v Duke of Marlborough </w:t>
      </w:r>
      <w:r w:rsidRPr="003C38FD">
        <w:rPr>
          <w:rFonts w:ascii="Times New Roman" w:hAnsi="Times New Roman"/>
          <w:sz w:val="24"/>
        </w:rPr>
        <w:t xml:space="preserve">(1813) 2 M &amp; S 18 at 22 [105 ER 289 at 291]. </w:t>
      </w:r>
    </w:p>
  </w:footnote>
  <w:footnote w:id="120">
    <w:p w14:paraId="105E00DE"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See, for example, </w:t>
      </w:r>
      <w:r w:rsidRPr="003C38FD">
        <w:rPr>
          <w:rFonts w:ascii="Times New Roman" w:hAnsi="Times New Roman"/>
          <w:i/>
          <w:iCs/>
          <w:sz w:val="24"/>
        </w:rPr>
        <w:t>NH v Director of Public Prosecutions (SA)</w:t>
      </w:r>
      <w:r w:rsidRPr="003C38FD">
        <w:rPr>
          <w:rFonts w:ascii="Times New Roman" w:hAnsi="Times New Roman"/>
          <w:sz w:val="24"/>
        </w:rPr>
        <w:t xml:space="preserve"> (2016) 260 CLR 546 at 588 [95]; </w:t>
      </w:r>
      <w:r w:rsidRPr="003C38FD">
        <w:rPr>
          <w:rFonts w:ascii="Times New Roman" w:hAnsi="Times New Roman"/>
          <w:i/>
          <w:iCs/>
          <w:sz w:val="24"/>
        </w:rPr>
        <w:t>Jovanovic v The Queen</w:t>
      </w:r>
      <w:r w:rsidRPr="003C38FD">
        <w:rPr>
          <w:rFonts w:ascii="Times New Roman" w:hAnsi="Times New Roman"/>
          <w:sz w:val="24"/>
        </w:rPr>
        <w:t xml:space="preserve"> (1999) 92 FCR 580 at 586 [32]; </w:t>
      </w:r>
      <w:r w:rsidRPr="003C38FD">
        <w:rPr>
          <w:rFonts w:ascii="Times New Roman" w:hAnsi="Times New Roman"/>
          <w:i/>
          <w:iCs/>
          <w:sz w:val="24"/>
        </w:rPr>
        <w:t xml:space="preserve">Director of Public Prosecutions v Edwards </w:t>
      </w:r>
      <w:r w:rsidRPr="003C38FD">
        <w:rPr>
          <w:rFonts w:ascii="Times New Roman" w:hAnsi="Times New Roman"/>
          <w:sz w:val="24"/>
        </w:rPr>
        <w:t xml:space="preserve">(2012) 44 VR 114 at 161-162 [230], [235]-[237]. </w:t>
      </w:r>
    </w:p>
  </w:footnote>
  <w:footnote w:id="121">
    <w:p w14:paraId="0153EDDD" w14:textId="77777777" w:rsidR="003A3473" w:rsidRPr="00EB1694" w:rsidRDefault="003A3473" w:rsidP="003C38FD">
      <w:pPr>
        <w:pStyle w:val="FootnoteText"/>
        <w:spacing w:line="280" w:lineRule="exact"/>
        <w:ind w:right="0"/>
        <w:jc w:val="both"/>
        <w:rPr>
          <w:rFonts w:ascii="Times New Roman" w:hAnsi="Times New Roman"/>
          <w:b/>
          <w:bCs/>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See, for example, </w:t>
      </w:r>
      <w:r w:rsidRPr="003C38FD">
        <w:rPr>
          <w:rFonts w:ascii="Times New Roman" w:hAnsi="Times New Roman"/>
          <w:i/>
          <w:iCs/>
          <w:sz w:val="24"/>
        </w:rPr>
        <w:t>R v Moodie; Ex parte Mithen</w:t>
      </w:r>
      <w:r w:rsidRPr="003C38FD">
        <w:rPr>
          <w:rFonts w:ascii="Times New Roman" w:hAnsi="Times New Roman"/>
          <w:sz w:val="24"/>
        </w:rPr>
        <w:t xml:space="preserve"> (1977) 17 ALR 219 at 225;</w:t>
      </w:r>
      <w:r w:rsidRPr="003C38FD">
        <w:rPr>
          <w:rFonts w:ascii="Times New Roman" w:hAnsi="Times New Roman"/>
          <w:i/>
          <w:iCs/>
          <w:sz w:val="24"/>
        </w:rPr>
        <w:t xml:space="preserve"> Collector of Customs (NSW) v Brian Lawlor Automotive Pty Ltd</w:t>
      </w:r>
      <w:r w:rsidRPr="003C38FD">
        <w:rPr>
          <w:rFonts w:ascii="Times New Roman" w:hAnsi="Times New Roman"/>
          <w:sz w:val="24"/>
        </w:rPr>
        <w:t xml:space="preserve"> (1979) 24 ALR 307 at 312, 324-326; </w:t>
      </w:r>
      <w:r w:rsidRPr="003C38FD">
        <w:rPr>
          <w:rFonts w:ascii="Times New Roman" w:hAnsi="Times New Roman"/>
          <w:i/>
          <w:iCs/>
          <w:sz w:val="24"/>
        </w:rPr>
        <w:t>Kabourakis</w:t>
      </w:r>
      <w:r w:rsidRPr="003C38FD">
        <w:rPr>
          <w:rFonts w:ascii="Times New Roman" w:hAnsi="Times New Roman"/>
          <w:i/>
          <w:sz w:val="24"/>
        </w:rPr>
        <w:t xml:space="preserve"> v Medical Practitioners Board of Victoria </w:t>
      </w:r>
      <w:r w:rsidRPr="003C38FD">
        <w:rPr>
          <w:rFonts w:ascii="Times New Roman" w:hAnsi="Times New Roman"/>
          <w:sz w:val="24"/>
        </w:rPr>
        <w:t>(2006) 25 VAR 449 at 472 [80], 474 [89];</w:t>
      </w:r>
      <w:r w:rsidRPr="003C38FD">
        <w:rPr>
          <w:rFonts w:ascii="Times New Roman" w:hAnsi="Times New Roman"/>
          <w:color w:val="000000" w:themeColor="text1"/>
          <w:sz w:val="24"/>
        </w:rPr>
        <w:t xml:space="preserve"> </w:t>
      </w:r>
      <w:r w:rsidRPr="00EB1694">
        <w:rPr>
          <w:rStyle w:val="Strong"/>
          <w:rFonts w:ascii="Times New Roman" w:eastAsia="Calibri" w:hAnsi="Times New Roman"/>
          <w:b w:val="0"/>
          <w:bCs w:val="0"/>
          <w:i/>
          <w:iCs/>
          <w:color w:val="000000" w:themeColor="text1"/>
          <w:sz w:val="24"/>
        </w:rPr>
        <w:t>Independent Liquor &amp; Gaming Authority v 4 Boys (NSW) Pty Ltd</w:t>
      </w:r>
      <w:r w:rsidRPr="00EB1694">
        <w:rPr>
          <w:rStyle w:val="Strong"/>
          <w:rFonts w:ascii="Times New Roman" w:eastAsia="Calibri" w:hAnsi="Times New Roman"/>
          <w:b w:val="0"/>
          <w:bCs w:val="0"/>
          <w:color w:val="000000" w:themeColor="text1"/>
          <w:sz w:val="24"/>
        </w:rPr>
        <w:t xml:space="preserve"> (2023) 112 NSWLR 196 at 221-222 [110], [113].</w:t>
      </w:r>
    </w:p>
  </w:footnote>
  <w:footnote w:id="122">
    <w:p w14:paraId="0BD8E705"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Arbitration Act, s 32(3).</w:t>
      </w:r>
    </w:p>
  </w:footnote>
  <w:footnote w:id="123">
    <w:p w14:paraId="1B2352FB"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[1966] 1 QB 630 ("</w:t>
      </w:r>
      <w:r w:rsidRPr="003C38FD">
        <w:rPr>
          <w:rFonts w:ascii="Times New Roman" w:hAnsi="Times New Roman"/>
          <w:i/>
          <w:iCs/>
          <w:sz w:val="24"/>
        </w:rPr>
        <w:t>Fidelitas</w:t>
      </w:r>
      <w:r w:rsidRPr="003C38FD">
        <w:rPr>
          <w:rFonts w:ascii="Times New Roman" w:hAnsi="Times New Roman"/>
          <w:sz w:val="24"/>
        </w:rPr>
        <w:t xml:space="preserve">"); see </w:t>
      </w:r>
      <w:r w:rsidRPr="0056404B">
        <w:rPr>
          <w:rFonts w:ascii="Times New Roman" w:hAnsi="Times New Roman"/>
          <w:sz w:val="24"/>
        </w:rPr>
        <w:t>below at [77].</w:t>
      </w:r>
    </w:p>
  </w:footnote>
  <w:footnote w:id="124">
    <w:p w14:paraId="353333F3" w14:textId="77777777" w:rsidR="003A3473" w:rsidRPr="003C38FD" w:rsidRDefault="003A3473" w:rsidP="003C38FD">
      <w:pPr>
        <w:pStyle w:val="FootnoteText"/>
        <w:spacing w:line="280" w:lineRule="exact"/>
        <w:ind w:right="0"/>
        <w:jc w:val="both"/>
        <w:rPr>
          <w:rFonts w:ascii="Times New Roman" w:hAnsi="Times New Roman"/>
          <w:i/>
          <w:iCs/>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See </w:t>
      </w:r>
      <w:r w:rsidRPr="003C38FD">
        <w:rPr>
          <w:rFonts w:ascii="Times New Roman" w:hAnsi="Times New Roman"/>
          <w:i/>
          <w:iCs/>
          <w:sz w:val="24"/>
        </w:rPr>
        <w:t xml:space="preserve">Chevron Australia Pty Ltd v CBI Constructors Pty Ltd </w:t>
      </w:r>
      <w:r w:rsidRPr="003C38FD">
        <w:rPr>
          <w:rFonts w:ascii="Times New Roman" w:hAnsi="Times New Roman"/>
          <w:sz w:val="24"/>
        </w:rPr>
        <w:t xml:space="preserve">[2021] WASC 323 at [97]; </w:t>
      </w:r>
      <w:r w:rsidRPr="003C38FD">
        <w:rPr>
          <w:rFonts w:ascii="Times New Roman" w:hAnsi="Times New Roman"/>
          <w:i/>
          <w:iCs/>
          <w:sz w:val="24"/>
        </w:rPr>
        <w:t xml:space="preserve">CBI Constructors </w:t>
      </w:r>
      <w:r w:rsidRPr="003C38FD">
        <w:rPr>
          <w:rFonts w:ascii="Times New Roman" w:hAnsi="Times New Roman"/>
          <w:sz w:val="24"/>
        </w:rPr>
        <w:t>[2023] WASCA 1 at [88]-[91], [97].</w:t>
      </w:r>
    </w:p>
  </w:footnote>
  <w:footnote w:id="125">
    <w:p w14:paraId="085CBB6C"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Arbitration Ordinance </w:t>
      </w:r>
      <w:r w:rsidRPr="003C38FD">
        <w:rPr>
          <w:rFonts w:ascii="Times New Roman" w:hAnsi="Times New Roman"/>
          <w:sz w:val="24"/>
        </w:rPr>
        <w:t>(HK), ss 34, 81.</w:t>
      </w:r>
    </w:p>
  </w:footnote>
  <w:footnote w:id="126">
    <w:p w14:paraId="688EDAA9"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226 [6], 237 [29], 257 [97], 259 [111].</w:t>
      </w:r>
    </w:p>
  </w:footnote>
  <w:footnote w:id="127">
    <w:p w14:paraId="4B678556"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226 [6], 231 [21(a)], 237-238 [29]-[32], 258 [101]; see also </w:t>
      </w:r>
      <w:r w:rsidRPr="003C38FD">
        <w:rPr>
          <w:rFonts w:ascii="Times New Roman" w:hAnsi="Times New Roman"/>
          <w:i/>
          <w:iCs/>
          <w:sz w:val="24"/>
        </w:rPr>
        <w:t>BTN v BTP</w:t>
      </w:r>
      <w:r w:rsidRPr="003C38FD">
        <w:rPr>
          <w:rFonts w:ascii="Times New Roman" w:hAnsi="Times New Roman"/>
          <w:sz w:val="24"/>
        </w:rPr>
        <w:t xml:space="preserve"> [2021] 1 SLR 276 at 298-299 [66], [68].</w:t>
      </w:r>
    </w:p>
  </w:footnote>
  <w:footnote w:id="128">
    <w:p w14:paraId="5D7300AB"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271-273 [147]-[152], 274 [159].</w:t>
      </w:r>
    </w:p>
  </w:footnote>
  <w:footnote w:id="129">
    <w:p w14:paraId="1FED8474"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272-273 [152].</w:t>
      </w:r>
    </w:p>
  </w:footnote>
  <w:footnote w:id="130">
    <w:p w14:paraId="75FF11EE"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See, eg, </w:t>
      </w:r>
      <w:r w:rsidRPr="003C38FD">
        <w:rPr>
          <w:rFonts w:ascii="Times New Roman" w:hAnsi="Times New Roman"/>
          <w:i/>
          <w:iCs/>
          <w:sz w:val="24"/>
        </w:rPr>
        <w:t>BBA v BAZ</w:t>
      </w:r>
      <w:r w:rsidRPr="003C38FD">
        <w:rPr>
          <w:rFonts w:ascii="Times New Roman" w:hAnsi="Times New Roman"/>
          <w:sz w:val="24"/>
        </w:rPr>
        <w:t xml:space="preserve"> [2020] 2 SLR 453 at 481 [76]-[77]; </w:t>
      </w:r>
      <w:r w:rsidRPr="003C38FD">
        <w:rPr>
          <w:rFonts w:ascii="Times New Roman" w:hAnsi="Times New Roman"/>
          <w:i/>
          <w:iCs/>
          <w:sz w:val="24"/>
        </w:rPr>
        <w:t>BTN v BTP</w:t>
      </w:r>
      <w:r w:rsidRPr="003C38FD">
        <w:rPr>
          <w:rFonts w:ascii="Times New Roman" w:hAnsi="Times New Roman"/>
          <w:sz w:val="24"/>
        </w:rPr>
        <w:t xml:space="preserve"> [2021] 1 SLR 276 at 300-301 [71]-[73].</w:t>
      </w:r>
    </w:p>
  </w:footnote>
  <w:footnote w:id="131">
    <w:p w14:paraId="555FD5B7"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[2020] 2 SLR 453 at 480 [73], 482-483 [80]-[82].</w:t>
      </w:r>
    </w:p>
  </w:footnote>
  <w:footnote w:id="132">
    <w:p w14:paraId="5896A9DE"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[2021] 1 SLR 276 at 299-301 [68], [71].</w:t>
      </w:r>
    </w:p>
  </w:footnote>
  <w:footnote w:id="133">
    <w:p w14:paraId="26FF8211"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[93], [96].</w:t>
      </w:r>
    </w:p>
  </w:footnote>
  <w:footnote w:id="134">
    <w:p w14:paraId="332D868A"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[96].</w:t>
      </w:r>
    </w:p>
  </w:footnote>
  <w:footnote w:id="135">
    <w:p w14:paraId="748F3718"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See </w:t>
      </w:r>
      <w:r w:rsidRPr="003C38FD">
        <w:rPr>
          <w:rFonts w:ascii="Times New Roman" w:hAnsi="Times New Roman"/>
          <w:i/>
          <w:iCs/>
          <w:sz w:val="24"/>
        </w:rPr>
        <w:t xml:space="preserve">CBI Constructors </w:t>
      </w:r>
      <w:r w:rsidRPr="003C38FD">
        <w:rPr>
          <w:rFonts w:ascii="Times New Roman" w:hAnsi="Times New Roman"/>
          <w:sz w:val="24"/>
        </w:rPr>
        <w:t>[2023] WASCA 1 at [91] fn 118.</w:t>
      </w:r>
    </w:p>
  </w:footnote>
  <w:footnote w:id="136">
    <w:p w14:paraId="35418131"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Chevron Australia Pty Ltd v CBI Constructors Pty Ltd </w:t>
      </w:r>
      <w:r w:rsidRPr="003C38FD">
        <w:rPr>
          <w:rFonts w:ascii="Times New Roman" w:hAnsi="Times New Roman"/>
          <w:sz w:val="24"/>
        </w:rPr>
        <w:t>[2021] WASC 323 at [81].</w:t>
      </w:r>
    </w:p>
  </w:footnote>
  <w:footnote w:id="137">
    <w:p w14:paraId="2D05F6D0"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Mustill and Boyd, </w:t>
      </w:r>
      <w:r w:rsidRPr="003C38FD">
        <w:rPr>
          <w:rFonts w:ascii="Times New Roman" w:hAnsi="Times New Roman"/>
          <w:i/>
          <w:iCs/>
          <w:sz w:val="24"/>
        </w:rPr>
        <w:t>The Law and Practice of Commercial Arbitration in England</w:t>
      </w:r>
      <w:r w:rsidRPr="003C38FD">
        <w:rPr>
          <w:rFonts w:ascii="Times New Roman" w:hAnsi="Times New Roman"/>
          <w:sz w:val="24"/>
        </w:rPr>
        <w:t>,</w:t>
      </w:r>
      <w:r w:rsidRPr="003C38FD">
        <w:rPr>
          <w:rFonts w:ascii="Times New Roman" w:hAnsi="Times New Roman"/>
          <w:i/>
          <w:iCs/>
          <w:sz w:val="24"/>
        </w:rPr>
        <w:t xml:space="preserve"> </w:t>
      </w:r>
      <w:r w:rsidRPr="003C38FD">
        <w:rPr>
          <w:rFonts w:ascii="Times New Roman" w:hAnsi="Times New Roman"/>
          <w:sz w:val="24"/>
        </w:rPr>
        <w:t xml:space="preserve">2nd ed (1989) at 404-405. </w:t>
      </w:r>
    </w:p>
  </w:footnote>
  <w:footnote w:id="138">
    <w:p w14:paraId="58DA6460"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Alvaro v Temple</w:t>
      </w:r>
      <w:r w:rsidRPr="003C38FD">
        <w:rPr>
          <w:rFonts w:ascii="Times New Roman" w:hAnsi="Times New Roman"/>
          <w:sz w:val="24"/>
        </w:rPr>
        <w:t xml:space="preserve"> [2009] WASC 205 at [67]; </w:t>
      </w:r>
      <w:r w:rsidRPr="003C38FD">
        <w:rPr>
          <w:rFonts w:ascii="Times New Roman" w:hAnsi="Times New Roman"/>
          <w:i/>
          <w:iCs/>
          <w:sz w:val="24"/>
        </w:rPr>
        <w:t>ABB Service Pty Ltd v Pyrmont Light Rail Company Ltd</w:t>
      </w:r>
      <w:r w:rsidRPr="003C38FD">
        <w:rPr>
          <w:rFonts w:ascii="Times New Roman" w:hAnsi="Times New Roman"/>
          <w:sz w:val="24"/>
        </w:rPr>
        <w:t xml:space="preserve"> (2010) 77 NSWLR 321 at 337 [70], 341-342 [93]-[97]; </w:t>
      </w:r>
      <w:r w:rsidRPr="003C38FD">
        <w:rPr>
          <w:rFonts w:ascii="Times New Roman" w:hAnsi="Times New Roman"/>
          <w:i/>
          <w:iCs/>
          <w:sz w:val="24"/>
        </w:rPr>
        <w:t>Discovery Beach Project Pty Ltd v Northbuild Construction Pty Ltd</w:t>
      </w:r>
      <w:r w:rsidRPr="003C38FD">
        <w:rPr>
          <w:rFonts w:ascii="Times New Roman" w:hAnsi="Times New Roman"/>
          <w:sz w:val="24"/>
        </w:rPr>
        <w:t xml:space="preserve"> [2011] QSC 306 at [68]; </w:t>
      </w:r>
      <w:r w:rsidRPr="003C38FD">
        <w:rPr>
          <w:rFonts w:ascii="Times New Roman" w:hAnsi="Times New Roman"/>
          <w:i/>
          <w:iCs/>
          <w:sz w:val="24"/>
        </w:rPr>
        <w:t xml:space="preserve">SL Sethia Liners Ltd v Naviagro Maritime Corporation (The "Kostas Melas") </w:t>
      </w:r>
      <w:r w:rsidRPr="003C38FD">
        <w:rPr>
          <w:rFonts w:ascii="Times New Roman" w:hAnsi="Times New Roman"/>
          <w:sz w:val="24"/>
        </w:rPr>
        <w:t>[1981] 1 Lloyd's Rep 18 at 26.</w:t>
      </w:r>
    </w:p>
  </w:footnote>
  <w:footnote w:id="139">
    <w:p w14:paraId="4D499668"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[1966] 1 QB 630 at 644.</w:t>
      </w:r>
    </w:p>
  </w:footnote>
  <w:footnote w:id="140">
    <w:p w14:paraId="1B1C0453"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Fidelitas</w:t>
      </w:r>
      <w:r w:rsidRPr="003C38FD">
        <w:rPr>
          <w:rFonts w:ascii="Times New Roman" w:hAnsi="Times New Roman"/>
          <w:sz w:val="24"/>
        </w:rPr>
        <w:t xml:space="preserve"> [1966] 1 QB 630 at 644.</w:t>
      </w:r>
    </w:p>
  </w:footnote>
  <w:footnote w:id="141">
    <w:p w14:paraId="1CDEB740"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Fidelitas</w:t>
      </w:r>
      <w:r w:rsidRPr="003C38FD">
        <w:rPr>
          <w:rFonts w:ascii="Times New Roman" w:hAnsi="Times New Roman"/>
          <w:sz w:val="24"/>
        </w:rPr>
        <w:t xml:space="preserve"> [1966] 1 QB 630 at 644.</w:t>
      </w:r>
    </w:p>
  </w:footnote>
  <w:footnote w:id="142">
    <w:p w14:paraId="2728D696"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Fidelitas </w:t>
      </w:r>
      <w:r w:rsidRPr="003C38FD">
        <w:rPr>
          <w:rFonts w:ascii="Times New Roman" w:hAnsi="Times New Roman"/>
          <w:sz w:val="24"/>
        </w:rPr>
        <w:t>[1966] 1 QB 630 at 643.</w:t>
      </w:r>
    </w:p>
  </w:footnote>
  <w:footnote w:id="143">
    <w:p w14:paraId="64BD0524"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[89].</w:t>
      </w:r>
    </w:p>
  </w:footnote>
  <w:footnote w:id="144">
    <w:p w14:paraId="427B2F50"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Fidelitas </w:t>
      </w:r>
      <w:r w:rsidRPr="003C38FD">
        <w:rPr>
          <w:rFonts w:ascii="Times New Roman" w:hAnsi="Times New Roman"/>
          <w:sz w:val="24"/>
        </w:rPr>
        <w:t>[1966] 1 QB 630 at 643.</w:t>
      </w:r>
    </w:p>
  </w:footnote>
  <w:footnote w:id="145">
    <w:p w14:paraId="0AD2E5DC"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[97].</w:t>
      </w:r>
    </w:p>
  </w:footnote>
  <w:footnote w:id="146">
    <w:p w14:paraId="57C8DB93"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 xml:space="preserve">[2023] WASCA 1 at [73], citing </w:t>
      </w:r>
      <w:r w:rsidRPr="003C38FD">
        <w:rPr>
          <w:rFonts w:ascii="Times New Roman" w:hAnsi="Times New Roman"/>
          <w:i/>
          <w:iCs/>
          <w:sz w:val="24"/>
        </w:rPr>
        <w:t>TCL Air Conditioner</w:t>
      </w:r>
      <w:r w:rsidRPr="003C38FD">
        <w:rPr>
          <w:rFonts w:ascii="Times New Roman" w:hAnsi="Times New Roman"/>
          <w:sz w:val="24"/>
        </w:rPr>
        <w:t xml:space="preserve"> (2013) 251 CLR 533 at 545-546 [9], 555 [31].</w:t>
      </w:r>
    </w:p>
  </w:footnote>
  <w:footnote w:id="147">
    <w:p w14:paraId="4F9C6826"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 xml:space="preserve">[2023] WASCA 1 at [74], citing </w:t>
      </w:r>
      <w:r w:rsidRPr="003C38FD">
        <w:rPr>
          <w:rFonts w:ascii="Times New Roman" w:hAnsi="Times New Roman"/>
          <w:i/>
          <w:iCs/>
          <w:sz w:val="24"/>
        </w:rPr>
        <w:t>TCL Air Conditioner</w:t>
      </w:r>
      <w:r w:rsidRPr="003C38FD">
        <w:rPr>
          <w:rFonts w:ascii="Times New Roman" w:hAnsi="Times New Roman"/>
          <w:sz w:val="24"/>
        </w:rPr>
        <w:t xml:space="preserve"> (2013) 251 CLR 533 at 552 [23]; see also </w:t>
      </w:r>
      <w:r>
        <w:rPr>
          <w:rFonts w:ascii="Times New Roman" w:hAnsi="Times New Roman"/>
          <w:sz w:val="24"/>
        </w:rPr>
        <w:t xml:space="preserve">at </w:t>
      </w:r>
      <w:r w:rsidRPr="003C38FD">
        <w:rPr>
          <w:rFonts w:ascii="Times New Roman" w:hAnsi="Times New Roman"/>
          <w:sz w:val="24"/>
        </w:rPr>
        <w:t>568 [82]-[83].</w:t>
      </w:r>
    </w:p>
  </w:footnote>
  <w:footnote w:id="148">
    <w:p w14:paraId="3E545A2A" w14:textId="77777777" w:rsidR="003A3473" w:rsidRPr="003C38FD" w:rsidRDefault="003A3473" w:rsidP="003C38FD">
      <w:pPr>
        <w:pStyle w:val="FootnoteText"/>
        <w:spacing w:line="280" w:lineRule="exact"/>
        <w:ind w:right="0"/>
        <w:jc w:val="both"/>
        <w:rPr>
          <w:rFonts w:ascii="Times New Roman" w:hAnsi="Times New Roman"/>
          <w:sz w:val="24"/>
        </w:rPr>
      </w:pPr>
      <w:r w:rsidRPr="002A5710">
        <w:rPr>
          <w:rStyle w:val="FootnoteReference"/>
          <w:rFonts w:ascii="Times New Roman" w:hAnsi="Times New Roman"/>
          <w:sz w:val="22"/>
          <w:vertAlign w:val="baseline"/>
        </w:rPr>
        <w:footnoteRef/>
      </w:r>
      <w:r w:rsidRPr="002A5710">
        <w:rPr>
          <w:rFonts w:ascii="Times New Roman" w:hAnsi="Times New Roman"/>
          <w:sz w:val="24"/>
        </w:rPr>
        <w:t xml:space="preserve"> </w:t>
      </w:r>
      <w:r w:rsidRPr="002A5710">
        <w:rPr>
          <w:rFonts w:ascii="Times New Roman" w:hAnsi="Times New Roman"/>
          <w:b/>
          <w:bCs/>
          <w:sz w:val="24"/>
        </w:rPr>
        <w:tab/>
      </w:r>
      <w:r w:rsidRPr="002A5710">
        <w:rPr>
          <w:rFonts w:ascii="Times New Roman" w:hAnsi="Times New Roman"/>
          <w:i/>
          <w:iCs/>
          <w:sz w:val="24"/>
        </w:rPr>
        <w:t xml:space="preserve">CBI Constructors </w:t>
      </w:r>
      <w:r w:rsidRPr="002A5710">
        <w:rPr>
          <w:rFonts w:ascii="Times New Roman" w:hAnsi="Times New Roman"/>
          <w:sz w:val="24"/>
        </w:rPr>
        <w:t>[2023] WASCA 1 at [82]-[84].</w:t>
      </w:r>
    </w:p>
  </w:footnote>
  <w:footnote w:id="149">
    <w:p w14:paraId="4513C75D"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 xml:space="preserve">[2023] WASCA 1 at [85]-[91], citing </w:t>
      </w:r>
      <w:r w:rsidRPr="003C38FD">
        <w:rPr>
          <w:rFonts w:ascii="Times New Roman" w:hAnsi="Times New Roman"/>
          <w:i/>
          <w:iCs/>
          <w:sz w:val="24"/>
        </w:rPr>
        <w:t xml:space="preserve">Fidelitas </w:t>
      </w:r>
      <w:r w:rsidRPr="003C38FD">
        <w:rPr>
          <w:rFonts w:ascii="Times New Roman" w:hAnsi="Times New Roman"/>
          <w:sz w:val="24"/>
        </w:rPr>
        <w:t>[1966] 1 QB 630 at 644.</w:t>
      </w:r>
    </w:p>
  </w:footnote>
  <w:footnote w:id="150">
    <w:p w14:paraId="22D406EA"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CBI Constructors </w:t>
      </w:r>
      <w:r w:rsidRPr="003C38FD">
        <w:rPr>
          <w:rFonts w:ascii="Times New Roman" w:hAnsi="Times New Roman"/>
          <w:sz w:val="24"/>
        </w:rPr>
        <w:t>[2023] WASCA 1 at [97], see also at [75]-[81].</w:t>
      </w:r>
    </w:p>
  </w:footnote>
  <w:footnote w:id="151">
    <w:p w14:paraId="3B1A0777"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Arbitration Ordinance</w:t>
      </w:r>
      <w:r w:rsidRPr="003C38FD">
        <w:rPr>
          <w:rFonts w:ascii="Times New Roman" w:hAnsi="Times New Roman"/>
          <w:sz w:val="24"/>
        </w:rPr>
        <w:t xml:space="preserve"> (HK), s 81. </w:t>
      </w:r>
    </w:p>
  </w:footnote>
  <w:footnote w:id="152">
    <w:p w14:paraId="709D2C81"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241 [45]. </w:t>
      </w:r>
    </w:p>
  </w:footnote>
  <w:footnote w:id="153">
    <w:p w14:paraId="58C14D9E"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242 [47], see also at 227 [8], [11].</w:t>
      </w:r>
    </w:p>
  </w:footnote>
  <w:footnote w:id="154">
    <w:p w14:paraId="0ACB90E0"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273 [153]-[156].</w:t>
      </w:r>
    </w:p>
  </w:footnote>
  <w:footnote w:id="155">
    <w:p w14:paraId="3E81991F"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273 [156].</w:t>
      </w:r>
    </w:p>
  </w:footnote>
  <w:footnote w:id="156">
    <w:p w14:paraId="0CDC1980"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 v D</w:t>
      </w:r>
      <w:r w:rsidRPr="003C38FD">
        <w:rPr>
          <w:rFonts w:ascii="Times New Roman" w:hAnsi="Times New Roman"/>
          <w:sz w:val="24"/>
        </w:rPr>
        <w:t xml:space="preserve"> (2023) 26 HKCFAR 216 at 273 [156].</w:t>
      </w:r>
    </w:p>
  </w:footnote>
  <w:footnote w:id="157">
    <w:p w14:paraId="72CAF1CE"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S</w:t>
      </w:r>
      <w:r w:rsidRPr="0056404B">
        <w:rPr>
          <w:rFonts w:ascii="Times New Roman" w:hAnsi="Times New Roman"/>
          <w:sz w:val="24"/>
        </w:rPr>
        <w:t>ee above at [58].</w:t>
      </w:r>
    </w:p>
  </w:footnote>
  <w:footnote w:id="158">
    <w:p w14:paraId="6EAB4F6A"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ab/>
        <w:t xml:space="preserve">With effect from 1 November 2001 by the </w:t>
      </w:r>
      <w:r w:rsidRPr="003C38FD">
        <w:rPr>
          <w:rFonts w:ascii="Times New Roman" w:hAnsi="Times New Roman"/>
          <w:i/>
          <w:iCs/>
          <w:sz w:val="24"/>
        </w:rPr>
        <w:t xml:space="preserve">International Arbitration (Amendment) Act 2001 </w:t>
      </w:r>
      <w:r w:rsidRPr="003C38FD">
        <w:rPr>
          <w:rFonts w:ascii="Times New Roman" w:hAnsi="Times New Roman"/>
          <w:sz w:val="24"/>
        </w:rPr>
        <w:t>(SG), s 14.</w:t>
      </w:r>
      <w:r w:rsidRPr="003C38FD">
        <w:rPr>
          <w:rFonts w:ascii="Times New Roman" w:hAnsi="Times New Roman"/>
          <w:i/>
          <w:iCs/>
          <w:sz w:val="24"/>
        </w:rPr>
        <w:t xml:space="preserve"> </w:t>
      </w:r>
    </w:p>
  </w:footnote>
  <w:footnote w:id="159">
    <w:p w14:paraId="3D127EC8"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International Arbitration Act 1994 </w:t>
      </w:r>
      <w:r w:rsidRPr="003C38FD">
        <w:rPr>
          <w:rFonts w:ascii="Times New Roman" w:hAnsi="Times New Roman"/>
          <w:sz w:val="24"/>
        </w:rPr>
        <w:t>(SG), s 19B(1).</w:t>
      </w:r>
    </w:p>
  </w:footnote>
  <w:footnote w:id="160">
    <w:p w14:paraId="0996A071"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 xml:space="preserve">International Arbitration Act 1994 </w:t>
      </w:r>
      <w:r w:rsidRPr="003C38FD">
        <w:rPr>
          <w:rFonts w:ascii="Times New Roman" w:hAnsi="Times New Roman"/>
          <w:sz w:val="24"/>
        </w:rPr>
        <w:t xml:space="preserve">(SG), s 19B(2). See </w:t>
      </w:r>
      <w:r w:rsidRPr="003C38FD">
        <w:rPr>
          <w:rFonts w:ascii="Times New Roman" w:hAnsi="Times New Roman"/>
          <w:i/>
          <w:iCs/>
          <w:sz w:val="24"/>
        </w:rPr>
        <w:t xml:space="preserve">PT First Media TBK v Astro Nusantara International BV </w:t>
      </w:r>
      <w:r w:rsidRPr="003C38FD">
        <w:rPr>
          <w:rFonts w:ascii="Times New Roman" w:hAnsi="Times New Roman"/>
          <w:sz w:val="24"/>
        </w:rPr>
        <w:t>[2014] 1 SLR 372 at 419-420 [137]</w:t>
      </w:r>
      <w:r w:rsidRPr="003C38FD">
        <w:rPr>
          <w:rFonts w:ascii="Times New Roman" w:hAnsi="Times New Roman"/>
          <w:sz w:val="24"/>
        </w:rPr>
        <w:noBreakHyphen/>
        <w:t xml:space="preserve">[139]; see also </w:t>
      </w:r>
      <w:r w:rsidRPr="003C38FD">
        <w:rPr>
          <w:rFonts w:ascii="Times New Roman" w:hAnsi="Times New Roman"/>
          <w:i/>
          <w:iCs/>
          <w:sz w:val="24"/>
        </w:rPr>
        <w:t xml:space="preserve">PT </w:t>
      </w:r>
      <w:r w:rsidRPr="003C38FD" w:rsidDel="00E51D06">
        <w:rPr>
          <w:rFonts w:ascii="Times New Roman" w:hAnsi="Times New Roman"/>
          <w:i/>
          <w:iCs/>
          <w:sz w:val="24"/>
        </w:rPr>
        <w:t>Asuran</w:t>
      </w:r>
      <w:r w:rsidRPr="003C38FD">
        <w:rPr>
          <w:rFonts w:ascii="Times New Roman" w:hAnsi="Times New Roman"/>
          <w:i/>
          <w:iCs/>
          <w:sz w:val="24"/>
        </w:rPr>
        <w:t>s</w:t>
      </w:r>
      <w:r w:rsidRPr="003C38FD" w:rsidDel="00E51D06">
        <w:rPr>
          <w:rFonts w:ascii="Times New Roman" w:hAnsi="Times New Roman"/>
          <w:i/>
          <w:iCs/>
          <w:sz w:val="24"/>
        </w:rPr>
        <w:t>i</w:t>
      </w:r>
      <w:r w:rsidRPr="003C38FD">
        <w:rPr>
          <w:rFonts w:ascii="Times New Roman" w:hAnsi="Times New Roman"/>
          <w:i/>
          <w:iCs/>
          <w:sz w:val="24"/>
        </w:rPr>
        <w:t xml:space="preserve"> Jasa Indonesia (Persero) v Dexia Bank SA</w:t>
      </w:r>
      <w:r w:rsidRPr="003C38FD">
        <w:rPr>
          <w:rFonts w:ascii="Times New Roman" w:hAnsi="Times New Roman"/>
          <w:sz w:val="24"/>
        </w:rPr>
        <w:t xml:space="preserve"> [2007] 1 SLR(R) 597 at 620 [54]-[55]; </w:t>
      </w:r>
      <w:r w:rsidRPr="003C38FD">
        <w:rPr>
          <w:rFonts w:ascii="Times New Roman" w:hAnsi="Times New Roman"/>
          <w:i/>
          <w:iCs/>
          <w:sz w:val="24"/>
        </w:rPr>
        <w:t xml:space="preserve">ONGC Petro additions Ltd v DL E&amp;C Co Ltd </w:t>
      </w:r>
      <w:r w:rsidRPr="003C38FD">
        <w:rPr>
          <w:rFonts w:ascii="Times New Roman" w:hAnsi="Times New Roman"/>
          <w:sz w:val="24"/>
        </w:rPr>
        <w:t>[2023] SGHC 197 at [33]-[35].</w:t>
      </w:r>
    </w:p>
  </w:footnote>
  <w:footnote w:id="161">
    <w:p w14:paraId="7295C419"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r>
      <w:r w:rsidRPr="003C38FD">
        <w:rPr>
          <w:rFonts w:ascii="Times New Roman" w:hAnsi="Times New Roman"/>
          <w:i/>
          <w:iCs/>
          <w:sz w:val="24"/>
        </w:rPr>
        <w:t>Chevron USA Inc v Natural Resources Defense Council Inc</w:t>
      </w:r>
      <w:r w:rsidRPr="003C38FD">
        <w:rPr>
          <w:rFonts w:ascii="Times New Roman" w:hAnsi="Times New Roman"/>
          <w:sz w:val="24"/>
        </w:rPr>
        <w:t xml:space="preserve"> (1984) 467 US 837.</w:t>
      </w:r>
    </w:p>
  </w:footnote>
  <w:footnote w:id="162">
    <w:p w14:paraId="7690E3FF" w14:textId="77777777" w:rsidR="003A3473" w:rsidRPr="003C38FD" w:rsidRDefault="003A3473" w:rsidP="003C38FD">
      <w:pPr>
        <w:pStyle w:val="FootnoteText"/>
        <w:spacing w:line="280" w:lineRule="exact"/>
        <w:ind w:right="0"/>
        <w:jc w:val="both"/>
        <w:rPr>
          <w:rFonts w:ascii="Times New Roman" w:hAnsi="Times New Roman"/>
          <w:sz w:val="24"/>
        </w:rPr>
      </w:pPr>
      <w:r w:rsidRPr="003C38FD">
        <w:rPr>
          <w:rStyle w:val="FootnoteReference"/>
          <w:rFonts w:ascii="Times New Roman" w:hAnsi="Times New Roman"/>
          <w:sz w:val="22"/>
          <w:vertAlign w:val="baseline"/>
        </w:rPr>
        <w:footnoteRef/>
      </w:r>
      <w:r w:rsidRPr="003C38FD">
        <w:rPr>
          <w:rFonts w:ascii="Times New Roman" w:hAnsi="Times New Roman"/>
          <w:sz w:val="24"/>
        </w:rPr>
        <w:t xml:space="preserve"> </w:t>
      </w:r>
      <w:r w:rsidRPr="003C38FD">
        <w:rPr>
          <w:rFonts w:ascii="Times New Roman" w:hAnsi="Times New Roman"/>
          <w:sz w:val="24"/>
        </w:rPr>
        <w:tab/>
        <w:t xml:space="preserve">See </w:t>
      </w:r>
      <w:r w:rsidRPr="003C38FD">
        <w:rPr>
          <w:rFonts w:ascii="Times New Roman" w:hAnsi="Times New Roman"/>
          <w:i/>
          <w:iCs/>
          <w:sz w:val="24"/>
        </w:rPr>
        <w:t>Enfield City Corporation v Development Assessment Commission</w:t>
      </w:r>
      <w:r w:rsidRPr="003C38FD">
        <w:rPr>
          <w:rFonts w:ascii="Times New Roman" w:hAnsi="Times New Roman"/>
          <w:sz w:val="24"/>
        </w:rPr>
        <w:t xml:space="preserve"> (2000) 199 CLR 135 at 151-154 [39]-[44].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894C" w14:textId="77777777" w:rsidR="006F0A38" w:rsidRPr="004445FE" w:rsidRDefault="006F0A38" w:rsidP="004445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EE62" w14:textId="77777777" w:rsidR="00025931" w:rsidRPr="003C38FD" w:rsidRDefault="00025931" w:rsidP="003C38F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4F0D" w14:textId="1C31BD49" w:rsidR="006F0A38" w:rsidRPr="004445FE" w:rsidRDefault="004445FE" w:rsidP="004445F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9687" w14:textId="61492186" w:rsidR="009F3982" w:rsidRPr="004445FE" w:rsidRDefault="009F3982" w:rsidP="00444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5385" w14:textId="77777777" w:rsidR="004445FE" w:rsidRPr="006F0A38" w:rsidRDefault="004445FE" w:rsidP="006F0A38">
    <w:pPr>
      <w:pStyle w:val="Header"/>
      <w:tabs>
        <w:tab w:val="clear" w:pos="4153"/>
        <w:tab w:val="clear" w:pos="8306"/>
        <w:tab w:val="right" w:pos="1304"/>
      </w:tabs>
      <w:spacing w:line="280" w:lineRule="exact"/>
      <w:ind w:firstLine="0"/>
      <w:rPr>
        <w:rFonts w:ascii="Times New Roman" w:hAnsi="Times New Roman"/>
        <w:i/>
        <w:sz w:val="22"/>
      </w:rPr>
    </w:pPr>
    <w:r w:rsidRPr="006F0A38">
      <w:rPr>
        <w:rFonts w:ascii="Times New Roman" w:hAnsi="Times New Roman"/>
        <w:i/>
        <w:sz w:val="22"/>
      </w:rPr>
      <w:t>Gageler</w:t>
    </w:r>
    <w:r w:rsidRPr="006F0A38">
      <w:rPr>
        <w:rFonts w:ascii="Times New Roman" w:hAnsi="Times New Roman"/>
        <w:i/>
        <w:sz w:val="22"/>
      </w:rPr>
      <w:tab/>
      <w:t>CJ</w:t>
    </w:r>
  </w:p>
  <w:p w14:paraId="667EEFAE" w14:textId="77777777" w:rsidR="004445FE" w:rsidRPr="006F0A38" w:rsidRDefault="004445FE" w:rsidP="006F0A38">
    <w:pPr>
      <w:pStyle w:val="Header"/>
      <w:tabs>
        <w:tab w:val="clear" w:pos="4153"/>
        <w:tab w:val="clear" w:pos="8306"/>
        <w:tab w:val="right" w:pos="1304"/>
      </w:tabs>
      <w:spacing w:line="280" w:lineRule="exact"/>
      <w:ind w:firstLine="0"/>
      <w:rPr>
        <w:rFonts w:ascii="Times New Roman" w:hAnsi="Times New Roman"/>
        <w:i/>
        <w:sz w:val="22"/>
      </w:rPr>
    </w:pPr>
    <w:r w:rsidRPr="006F0A38">
      <w:rPr>
        <w:rFonts w:ascii="Times New Roman" w:hAnsi="Times New Roman"/>
        <w:i/>
        <w:sz w:val="22"/>
      </w:rPr>
      <w:t>Gordon</w:t>
    </w:r>
    <w:r w:rsidRPr="006F0A38">
      <w:rPr>
        <w:rFonts w:ascii="Times New Roman" w:hAnsi="Times New Roman"/>
        <w:i/>
        <w:sz w:val="22"/>
      </w:rPr>
      <w:tab/>
      <w:t>J</w:t>
    </w:r>
  </w:p>
  <w:p w14:paraId="2EBDC24D" w14:textId="77777777" w:rsidR="004445FE" w:rsidRPr="006F0A38" w:rsidRDefault="004445FE" w:rsidP="006F0A38">
    <w:pPr>
      <w:pStyle w:val="Header"/>
      <w:tabs>
        <w:tab w:val="clear" w:pos="4153"/>
        <w:tab w:val="clear" w:pos="8306"/>
        <w:tab w:val="right" w:pos="1304"/>
      </w:tabs>
      <w:spacing w:line="280" w:lineRule="exact"/>
      <w:ind w:firstLine="0"/>
      <w:rPr>
        <w:rFonts w:ascii="Times New Roman" w:hAnsi="Times New Roman"/>
        <w:i/>
        <w:sz w:val="22"/>
      </w:rPr>
    </w:pPr>
    <w:r w:rsidRPr="006F0A38">
      <w:rPr>
        <w:rFonts w:ascii="Times New Roman" w:hAnsi="Times New Roman"/>
        <w:i/>
        <w:sz w:val="22"/>
      </w:rPr>
      <w:t>Edelman</w:t>
    </w:r>
    <w:r w:rsidRPr="006F0A38">
      <w:rPr>
        <w:rFonts w:ascii="Times New Roman" w:hAnsi="Times New Roman"/>
        <w:i/>
        <w:sz w:val="22"/>
      </w:rPr>
      <w:tab/>
      <w:t>J</w:t>
    </w:r>
  </w:p>
  <w:p w14:paraId="40D3C084" w14:textId="77777777" w:rsidR="004445FE" w:rsidRPr="006F0A38" w:rsidRDefault="004445FE" w:rsidP="006F0A38">
    <w:pPr>
      <w:pStyle w:val="Header"/>
      <w:tabs>
        <w:tab w:val="clear" w:pos="4153"/>
        <w:tab w:val="clear" w:pos="8306"/>
        <w:tab w:val="right" w:pos="1304"/>
      </w:tabs>
      <w:spacing w:line="280" w:lineRule="exact"/>
      <w:ind w:firstLine="0"/>
      <w:rPr>
        <w:rFonts w:ascii="Times New Roman" w:hAnsi="Times New Roman"/>
        <w:i/>
        <w:sz w:val="22"/>
      </w:rPr>
    </w:pPr>
    <w:r w:rsidRPr="006F0A38">
      <w:rPr>
        <w:rFonts w:ascii="Times New Roman" w:hAnsi="Times New Roman"/>
        <w:i/>
        <w:sz w:val="22"/>
      </w:rPr>
      <w:t>Steward</w:t>
    </w:r>
    <w:r w:rsidRPr="006F0A38">
      <w:rPr>
        <w:rFonts w:ascii="Times New Roman" w:hAnsi="Times New Roman"/>
        <w:i/>
        <w:sz w:val="22"/>
      </w:rPr>
      <w:tab/>
      <w:t>J</w:t>
    </w:r>
  </w:p>
  <w:p w14:paraId="168D58CE" w14:textId="77777777" w:rsidR="004445FE" w:rsidRDefault="004445FE" w:rsidP="006F0A3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79489F0" w14:textId="77777777" w:rsidR="004445FE" w:rsidRDefault="004445FE" w:rsidP="006F0A38">
    <w:pPr>
      <w:pStyle w:val="Header"/>
      <w:tabs>
        <w:tab w:val="clear" w:pos="4153"/>
        <w:tab w:val="clear" w:pos="8306"/>
        <w:tab w:val="right" w:pos="1304"/>
      </w:tabs>
      <w:spacing w:line="280" w:lineRule="exact"/>
      <w:ind w:firstLine="0"/>
      <w:rPr>
        <w:rFonts w:ascii="Times New Roman" w:hAnsi="Times New Roman"/>
        <w:i/>
        <w:sz w:val="22"/>
      </w:rPr>
    </w:pPr>
  </w:p>
  <w:p w14:paraId="287C9162" w14:textId="77777777" w:rsidR="004445FE" w:rsidRDefault="004445FE" w:rsidP="006F0A3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26</w:t>
    </w:r>
    <w:r>
      <w:rPr>
        <w:rFonts w:ascii="Times New Roman" w:hAnsi="Times New Roman"/>
        <w:sz w:val="22"/>
      </w:rPr>
      <w:fldChar w:fldCharType="end"/>
    </w:r>
    <w:r>
      <w:rPr>
        <w:rFonts w:ascii="Times New Roman" w:hAnsi="Times New Roman"/>
        <w:sz w:val="22"/>
      </w:rPr>
      <w:t>.</w:t>
    </w:r>
  </w:p>
  <w:p w14:paraId="4DE2243C" w14:textId="77777777" w:rsidR="004445FE" w:rsidRPr="006F0A38" w:rsidRDefault="004445FE" w:rsidP="006F0A3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BF8B" w14:textId="77777777" w:rsidR="004445FE" w:rsidRPr="006F0A38" w:rsidRDefault="004445FE" w:rsidP="006F0A38">
    <w:pPr>
      <w:pStyle w:val="Header"/>
      <w:tabs>
        <w:tab w:val="clear" w:pos="4153"/>
        <w:tab w:val="clear" w:pos="8306"/>
        <w:tab w:val="left" w:pos="7200"/>
        <w:tab w:val="right" w:pos="8504"/>
      </w:tabs>
      <w:spacing w:line="280" w:lineRule="exact"/>
      <w:jc w:val="right"/>
      <w:rPr>
        <w:rFonts w:ascii="Times New Roman" w:hAnsi="Times New Roman"/>
        <w:i/>
        <w:sz w:val="22"/>
      </w:rPr>
    </w:pPr>
    <w:r w:rsidRPr="006F0A38">
      <w:rPr>
        <w:rFonts w:ascii="Times New Roman" w:hAnsi="Times New Roman"/>
        <w:i/>
        <w:sz w:val="22"/>
      </w:rPr>
      <w:tab/>
      <w:t>Gageler</w:t>
    </w:r>
    <w:r w:rsidRPr="006F0A38">
      <w:rPr>
        <w:rFonts w:ascii="Times New Roman" w:hAnsi="Times New Roman"/>
        <w:i/>
        <w:sz w:val="22"/>
      </w:rPr>
      <w:tab/>
      <w:t>CJ</w:t>
    </w:r>
  </w:p>
  <w:p w14:paraId="52CAE02E" w14:textId="77777777" w:rsidR="004445FE" w:rsidRPr="006F0A38" w:rsidRDefault="004445FE" w:rsidP="006F0A38">
    <w:pPr>
      <w:pStyle w:val="Header"/>
      <w:tabs>
        <w:tab w:val="clear" w:pos="4153"/>
        <w:tab w:val="clear" w:pos="8306"/>
        <w:tab w:val="left" w:pos="7200"/>
        <w:tab w:val="right" w:pos="8504"/>
      </w:tabs>
      <w:spacing w:line="280" w:lineRule="exact"/>
      <w:jc w:val="right"/>
      <w:rPr>
        <w:rFonts w:ascii="Times New Roman" w:hAnsi="Times New Roman"/>
        <w:i/>
        <w:sz w:val="22"/>
      </w:rPr>
    </w:pPr>
    <w:r w:rsidRPr="006F0A38">
      <w:rPr>
        <w:rFonts w:ascii="Times New Roman" w:hAnsi="Times New Roman"/>
        <w:i/>
        <w:sz w:val="22"/>
      </w:rPr>
      <w:tab/>
      <w:t>Gordon</w:t>
    </w:r>
    <w:r w:rsidRPr="006F0A38">
      <w:rPr>
        <w:rFonts w:ascii="Times New Roman" w:hAnsi="Times New Roman"/>
        <w:i/>
        <w:sz w:val="22"/>
      </w:rPr>
      <w:tab/>
      <w:t>J</w:t>
    </w:r>
  </w:p>
  <w:p w14:paraId="4C0736C1" w14:textId="77777777" w:rsidR="004445FE" w:rsidRPr="006F0A38" w:rsidRDefault="004445FE" w:rsidP="006F0A38">
    <w:pPr>
      <w:pStyle w:val="Header"/>
      <w:tabs>
        <w:tab w:val="clear" w:pos="4153"/>
        <w:tab w:val="clear" w:pos="8306"/>
        <w:tab w:val="left" w:pos="7200"/>
        <w:tab w:val="right" w:pos="8504"/>
      </w:tabs>
      <w:spacing w:line="280" w:lineRule="exact"/>
      <w:jc w:val="right"/>
      <w:rPr>
        <w:rFonts w:ascii="Times New Roman" w:hAnsi="Times New Roman"/>
        <w:i/>
        <w:sz w:val="22"/>
      </w:rPr>
    </w:pPr>
    <w:r w:rsidRPr="006F0A38">
      <w:rPr>
        <w:rFonts w:ascii="Times New Roman" w:hAnsi="Times New Roman"/>
        <w:i/>
        <w:sz w:val="22"/>
      </w:rPr>
      <w:tab/>
      <w:t>Edelman</w:t>
    </w:r>
    <w:r w:rsidRPr="006F0A38">
      <w:rPr>
        <w:rFonts w:ascii="Times New Roman" w:hAnsi="Times New Roman"/>
        <w:i/>
        <w:sz w:val="22"/>
      </w:rPr>
      <w:tab/>
      <w:t>J</w:t>
    </w:r>
  </w:p>
  <w:p w14:paraId="4BCC6620" w14:textId="77777777" w:rsidR="004445FE" w:rsidRPr="006F0A38" w:rsidRDefault="004445FE" w:rsidP="006F0A38">
    <w:pPr>
      <w:pStyle w:val="Header"/>
      <w:tabs>
        <w:tab w:val="clear" w:pos="4153"/>
        <w:tab w:val="clear" w:pos="8306"/>
        <w:tab w:val="left" w:pos="7200"/>
        <w:tab w:val="right" w:pos="8504"/>
      </w:tabs>
      <w:spacing w:line="280" w:lineRule="exact"/>
      <w:jc w:val="right"/>
      <w:rPr>
        <w:rFonts w:ascii="Times New Roman" w:hAnsi="Times New Roman"/>
        <w:i/>
        <w:sz w:val="22"/>
      </w:rPr>
    </w:pPr>
    <w:r w:rsidRPr="006F0A38">
      <w:rPr>
        <w:rFonts w:ascii="Times New Roman" w:hAnsi="Times New Roman"/>
        <w:i/>
        <w:sz w:val="22"/>
      </w:rPr>
      <w:tab/>
      <w:t>Steward</w:t>
    </w:r>
    <w:r w:rsidRPr="006F0A38">
      <w:rPr>
        <w:rFonts w:ascii="Times New Roman" w:hAnsi="Times New Roman"/>
        <w:i/>
        <w:sz w:val="22"/>
      </w:rPr>
      <w:tab/>
      <w:t>J</w:t>
    </w:r>
  </w:p>
  <w:p w14:paraId="7B76B58F" w14:textId="77777777" w:rsidR="004445FE" w:rsidRDefault="004445FE" w:rsidP="006F0A3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4202A49" w14:textId="77777777" w:rsidR="004445FE" w:rsidRDefault="004445FE" w:rsidP="006F0A38">
    <w:pPr>
      <w:pStyle w:val="Header"/>
      <w:tabs>
        <w:tab w:val="clear" w:pos="4153"/>
        <w:tab w:val="clear" w:pos="8306"/>
        <w:tab w:val="left" w:pos="7200"/>
        <w:tab w:val="right" w:pos="8504"/>
      </w:tabs>
      <w:spacing w:line="280" w:lineRule="exact"/>
      <w:jc w:val="right"/>
      <w:rPr>
        <w:rFonts w:ascii="Times New Roman" w:hAnsi="Times New Roman"/>
        <w:i/>
        <w:sz w:val="22"/>
      </w:rPr>
    </w:pPr>
  </w:p>
  <w:p w14:paraId="3102E566" w14:textId="77777777" w:rsidR="004445FE" w:rsidRDefault="004445FE" w:rsidP="006F0A3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26</w:t>
    </w:r>
    <w:r>
      <w:rPr>
        <w:rFonts w:ascii="Times New Roman" w:hAnsi="Times New Roman"/>
        <w:sz w:val="22"/>
      </w:rPr>
      <w:fldChar w:fldCharType="end"/>
    </w:r>
    <w:r>
      <w:rPr>
        <w:rFonts w:ascii="Times New Roman" w:hAnsi="Times New Roman"/>
        <w:sz w:val="22"/>
      </w:rPr>
      <w:t>.</w:t>
    </w:r>
  </w:p>
  <w:p w14:paraId="57273A58" w14:textId="77777777" w:rsidR="004445FE" w:rsidRPr="006F0A38" w:rsidRDefault="004445FE" w:rsidP="006F0A3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43D3" w14:textId="77777777" w:rsidR="004445FE" w:rsidRDefault="004445FE" w:rsidP="006F0A38">
    <w:pPr>
      <w:pStyle w:val="Header"/>
      <w:tabs>
        <w:tab w:val="clear" w:pos="4153"/>
        <w:tab w:val="clear" w:pos="8306"/>
        <w:tab w:val="center" w:pos="1134"/>
      </w:tabs>
      <w:spacing w:line="280" w:lineRule="exact"/>
      <w:ind w:firstLine="0"/>
      <w:rPr>
        <w:rFonts w:ascii="Times New Roman" w:hAnsi="Times New Roman"/>
        <w:i/>
        <w:sz w:val="22"/>
      </w:rPr>
    </w:pPr>
  </w:p>
  <w:p w14:paraId="394CBE2F" w14:textId="77777777" w:rsidR="004445FE" w:rsidRDefault="004445FE" w:rsidP="006F0A38">
    <w:pPr>
      <w:pStyle w:val="Header"/>
      <w:tabs>
        <w:tab w:val="clear" w:pos="4153"/>
        <w:tab w:val="clear" w:pos="8306"/>
        <w:tab w:val="center" w:pos="1134"/>
      </w:tabs>
      <w:spacing w:line="280" w:lineRule="exact"/>
      <w:ind w:firstLine="0"/>
      <w:rPr>
        <w:rFonts w:ascii="Times New Roman" w:hAnsi="Times New Roman"/>
        <w:i/>
        <w:sz w:val="22"/>
      </w:rPr>
    </w:pPr>
  </w:p>
  <w:p w14:paraId="5028E452" w14:textId="77777777" w:rsidR="004445FE" w:rsidRDefault="004445FE" w:rsidP="006F0A38">
    <w:pPr>
      <w:pStyle w:val="Header"/>
      <w:tabs>
        <w:tab w:val="clear" w:pos="4153"/>
        <w:tab w:val="clear" w:pos="8306"/>
        <w:tab w:val="center" w:pos="1134"/>
      </w:tabs>
      <w:spacing w:line="280" w:lineRule="exact"/>
      <w:ind w:firstLine="0"/>
      <w:rPr>
        <w:rFonts w:ascii="Times New Roman" w:hAnsi="Times New Roman"/>
        <w:i/>
        <w:sz w:val="22"/>
      </w:rPr>
    </w:pPr>
  </w:p>
  <w:p w14:paraId="4BCBF00F" w14:textId="77777777" w:rsidR="004445FE" w:rsidRDefault="004445FE" w:rsidP="006F0A38">
    <w:pPr>
      <w:pStyle w:val="Header"/>
      <w:tabs>
        <w:tab w:val="clear" w:pos="4153"/>
        <w:tab w:val="clear" w:pos="8306"/>
        <w:tab w:val="center" w:pos="1134"/>
      </w:tabs>
      <w:spacing w:line="280" w:lineRule="exact"/>
      <w:ind w:firstLine="0"/>
      <w:rPr>
        <w:rFonts w:ascii="Times New Roman" w:hAnsi="Times New Roman"/>
        <w:i/>
        <w:sz w:val="22"/>
      </w:rPr>
    </w:pPr>
  </w:p>
  <w:p w14:paraId="69C55A38" w14:textId="77777777" w:rsidR="004445FE" w:rsidRDefault="004445FE" w:rsidP="006F0A38">
    <w:pPr>
      <w:pStyle w:val="Header"/>
      <w:tabs>
        <w:tab w:val="clear" w:pos="4153"/>
        <w:tab w:val="clear" w:pos="8306"/>
        <w:tab w:val="center" w:pos="1134"/>
      </w:tabs>
      <w:spacing w:line="280" w:lineRule="exact"/>
      <w:ind w:firstLine="0"/>
      <w:rPr>
        <w:rFonts w:ascii="Times New Roman" w:hAnsi="Times New Roman"/>
        <w:i/>
        <w:sz w:val="22"/>
      </w:rPr>
    </w:pPr>
  </w:p>
  <w:p w14:paraId="53231053" w14:textId="77777777" w:rsidR="004445FE" w:rsidRDefault="004445FE" w:rsidP="006F0A38">
    <w:pPr>
      <w:pStyle w:val="Header"/>
      <w:tabs>
        <w:tab w:val="clear" w:pos="4153"/>
        <w:tab w:val="clear" w:pos="8306"/>
        <w:tab w:val="center" w:pos="1134"/>
      </w:tabs>
      <w:spacing w:line="280" w:lineRule="exact"/>
      <w:ind w:firstLine="0"/>
      <w:rPr>
        <w:rFonts w:ascii="Times New Roman" w:hAnsi="Times New Roman"/>
        <w:i/>
        <w:sz w:val="22"/>
      </w:rPr>
    </w:pPr>
  </w:p>
  <w:p w14:paraId="03363545" w14:textId="77777777" w:rsidR="004445FE" w:rsidRDefault="004445FE" w:rsidP="006F0A38">
    <w:pPr>
      <w:pStyle w:val="Header"/>
      <w:tabs>
        <w:tab w:val="clear" w:pos="4153"/>
        <w:tab w:val="clear" w:pos="8306"/>
        <w:tab w:val="center" w:pos="1134"/>
      </w:tabs>
      <w:spacing w:line="280" w:lineRule="exact"/>
      <w:ind w:firstLine="0"/>
      <w:rPr>
        <w:rFonts w:ascii="Times New Roman" w:hAnsi="Times New Roman"/>
        <w:i/>
        <w:sz w:val="22"/>
      </w:rPr>
    </w:pPr>
  </w:p>
  <w:p w14:paraId="51A647DF" w14:textId="77777777" w:rsidR="004445FE" w:rsidRPr="006F0A38" w:rsidRDefault="004445FE" w:rsidP="006F0A3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A3A6" w14:textId="77777777" w:rsidR="00D705D7" w:rsidRPr="003C38FD" w:rsidRDefault="00000000" w:rsidP="003C38FD">
    <w:pPr>
      <w:pStyle w:val="Header"/>
      <w:tabs>
        <w:tab w:val="clear" w:pos="4153"/>
        <w:tab w:val="clear" w:pos="8306"/>
        <w:tab w:val="right" w:pos="1304"/>
      </w:tabs>
      <w:spacing w:line="280" w:lineRule="exact"/>
      <w:ind w:firstLine="0"/>
      <w:rPr>
        <w:rFonts w:ascii="Times New Roman" w:hAnsi="Times New Roman"/>
        <w:i/>
        <w:sz w:val="22"/>
      </w:rPr>
    </w:pPr>
    <w:r w:rsidRPr="003C38FD">
      <w:rPr>
        <w:rFonts w:ascii="Times New Roman" w:hAnsi="Times New Roman"/>
        <w:i/>
        <w:sz w:val="22"/>
      </w:rPr>
      <w:t>Jagot</w:t>
    </w:r>
    <w:r w:rsidRPr="003C38FD">
      <w:rPr>
        <w:rFonts w:ascii="Times New Roman" w:hAnsi="Times New Roman"/>
        <w:i/>
        <w:sz w:val="22"/>
      </w:rPr>
      <w:tab/>
      <w:t>J</w:t>
    </w:r>
  </w:p>
  <w:p w14:paraId="019DF472" w14:textId="77777777" w:rsidR="00D705D7" w:rsidRDefault="00000000" w:rsidP="003C38F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23B7646D" w14:textId="77777777" w:rsidR="00D705D7" w:rsidRDefault="00D705D7" w:rsidP="003C38FD">
    <w:pPr>
      <w:pStyle w:val="Header"/>
      <w:tabs>
        <w:tab w:val="clear" w:pos="4153"/>
        <w:tab w:val="clear" w:pos="8306"/>
        <w:tab w:val="right" w:pos="1304"/>
      </w:tabs>
      <w:spacing w:line="280" w:lineRule="exact"/>
      <w:ind w:firstLine="0"/>
      <w:rPr>
        <w:rFonts w:ascii="Times New Roman" w:hAnsi="Times New Roman"/>
        <w:i/>
        <w:sz w:val="22"/>
      </w:rPr>
    </w:pPr>
  </w:p>
  <w:p w14:paraId="4D94671D" w14:textId="77777777" w:rsidR="00D705D7" w:rsidRDefault="00000000" w:rsidP="003C38F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144ADBF" w14:textId="77777777" w:rsidR="00D705D7" w:rsidRPr="003C38FD" w:rsidRDefault="00D705D7" w:rsidP="003C38F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EE6D" w14:textId="77777777" w:rsidR="00D705D7" w:rsidRPr="003C38FD" w:rsidRDefault="00000000" w:rsidP="003C38FD">
    <w:pPr>
      <w:pStyle w:val="Header"/>
      <w:tabs>
        <w:tab w:val="clear" w:pos="4153"/>
        <w:tab w:val="clear" w:pos="8306"/>
        <w:tab w:val="left" w:pos="7200"/>
        <w:tab w:val="right" w:pos="8504"/>
      </w:tabs>
      <w:spacing w:line="280" w:lineRule="exact"/>
      <w:jc w:val="right"/>
      <w:rPr>
        <w:rFonts w:ascii="Times New Roman" w:hAnsi="Times New Roman"/>
        <w:i/>
        <w:sz w:val="22"/>
      </w:rPr>
    </w:pPr>
    <w:r w:rsidRPr="003C38FD">
      <w:rPr>
        <w:rFonts w:ascii="Times New Roman" w:hAnsi="Times New Roman"/>
        <w:i/>
        <w:sz w:val="22"/>
      </w:rPr>
      <w:tab/>
      <w:t>Jagot</w:t>
    </w:r>
    <w:r w:rsidRPr="003C38FD">
      <w:rPr>
        <w:rFonts w:ascii="Times New Roman" w:hAnsi="Times New Roman"/>
        <w:i/>
        <w:sz w:val="22"/>
      </w:rPr>
      <w:tab/>
      <w:t>J</w:t>
    </w:r>
  </w:p>
  <w:p w14:paraId="17168DD6" w14:textId="77777777" w:rsidR="00D705D7" w:rsidRDefault="00000000" w:rsidP="003C38F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574C1419" w14:textId="77777777" w:rsidR="00D705D7" w:rsidRDefault="00D705D7" w:rsidP="003C38FD">
    <w:pPr>
      <w:pStyle w:val="Header"/>
      <w:tabs>
        <w:tab w:val="clear" w:pos="4153"/>
        <w:tab w:val="clear" w:pos="8306"/>
        <w:tab w:val="left" w:pos="7200"/>
        <w:tab w:val="right" w:pos="8504"/>
      </w:tabs>
      <w:spacing w:line="280" w:lineRule="exact"/>
      <w:jc w:val="right"/>
      <w:rPr>
        <w:rFonts w:ascii="Times New Roman" w:hAnsi="Times New Roman"/>
        <w:i/>
        <w:sz w:val="22"/>
      </w:rPr>
    </w:pPr>
  </w:p>
  <w:p w14:paraId="1CABD641" w14:textId="77777777" w:rsidR="00D705D7" w:rsidRDefault="00000000" w:rsidP="003C38F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74746EC" w14:textId="77777777" w:rsidR="00D705D7" w:rsidRPr="003C38FD" w:rsidRDefault="00D705D7" w:rsidP="003C38F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0A2A" w14:textId="77777777" w:rsidR="00D705D7" w:rsidRDefault="00D705D7" w:rsidP="003C38FD">
    <w:pPr>
      <w:pStyle w:val="Header"/>
      <w:tabs>
        <w:tab w:val="clear" w:pos="4153"/>
        <w:tab w:val="clear" w:pos="8306"/>
        <w:tab w:val="center" w:pos="1134"/>
      </w:tabs>
      <w:spacing w:line="280" w:lineRule="exact"/>
      <w:ind w:firstLine="0"/>
      <w:rPr>
        <w:rFonts w:ascii="Times New Roman" w:hAnsi="Times New Roman"/>
        <w:i/>
        <w:sz w:val="22"/>
      </w:rPr>
    </w:pPr>
  </w:p>
  <w:p w14:paraId="141BBF88" w14:textId="77777777" w:rsidR="00D705D7" w:rsidRDefault="00D705D7" w:rsidP="003C38FD">
    <w:pPr>
      <w:pStyle w:val="Header"/>
      <w:tabs>
        <w:tab w:val="clear" w:pos="4153"/>
        <w:tab w:val="clear" w:pos="8306"/>
        <w:tab w:val="center" w:pos="1134"/>
      </w:tabs>
      <w:spacing w:line="280" w:lineRule="exact"/>
      <w:ind w:firstLine="0"/>
      <w:rPr>
        <w:rFonts w:ascii="Times New Roman" w:hAnsi="Times New Roman"/>
        <w:i/>
        <w:sz w:val="22"/>
      </w:rPr>
    </w:pPr>
  </w:p>
  <w:p w14:paraId="078F88D2" w14:textId="77777777" w:rsidR="00D705D7" w:rsidRDefault="00D705D7" w:rsidP="003C38FD">
    <w:pPr>
      <w:pStyle w:val="Header"/>
      <w:tabs>
        <w:tab w:val="clear" w:pos="4153"/>
        <w:tab w:val="clear" w:pos="8306"/>
        <w:tab w:val="center" w:pos="1134"/>
      </w:tabs>
      <w:spacing w:line="280" w:lineRule="exact"/>
      <w:ind w:firstLine="0"/>
      <w:rPr>
        <w:rFonts w:ascii="Times New Roman" w:hAnsi="Times New Roman"/>
        <w:i/>
        <w:sz w:val="22"/>
      </w:rPr>
    </w:pPr>
  </w:p>
  <w:p w14:paraId="28808D8C" w14:textId="77777777" w:rsidR="00D705D7" w:rsidRDefault="00D705D7" w:rsidP="003C38FD">
    <w:pPr>
      <w:pStyle w:val="Header"/>
      <w:tabs>
        <w:tab w:val="clear" w:pos="4153"/>
        <w:tab w:val="clear" w:pos="8306"/>
        <w:tab w:val="center" w:pos="1134"/>
      </w:tabs>
      <w:spacing w:line="280" w:lineRule="exact"/>
      <w:ind w:firstLine="0"/>
      <w:rPr>
        <w:rFonts w:ascii="Times New Roman" w:hAnsi="Times New Roman"/>
        <w:i/>
        <w:sz w:val="22"/>
      </w:rPr>
    </w:pPr>
  </w:p>
  <w:p w14:paraId="66C3029B" w14:textId="77777777" w:rsidR="00D705D7" w:rsidRPr="003C38FD" w:rsidRDefault="00D705D7" w:rsidP="003C38F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2474D858"/>
    <w:lvl w:ilvl="0" w:tplc="2864EFEC">
      <w:start w:val="1"/>
      <w:numFmt w:val="decimal"/>
      <w:pStyle w:val="NormalHC"/>
      <w:lvlText w:val="%1."/>
      <w:lvlJc w:val="left"/>
      <w:pPr>
        <w:ind w:left="720" w:hanging="144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B9"/>
    <w:rsid w:val="0000199A"/>
    <w:rsid w:val="00002069"/>
    <w:rsid w:val="00002C68"/>
    <w:rsid w:val="00002CE6"/>
    <w:rsid w:val="0000316A"/>
    <w:rsid w:val="000038B1"/>
    <w:rsid w:val="00003F2B"/>
    <w:rsid w:val="000049B7"/>
    <w:rsid w:val="00007D19"/>
    <w:rsid w:val="00010246"/>
    <w:rsid w:val="0001049D"/>
    <w:rsid w:val="00012952"/>
    <w:rsid w:val="000133FC"/>
    <w:rsid w:val="00014169"/>
    <w:rsid w:val="000141CA"/>
    <w:rsid w:val="00014B34"/>
    <w:rsid w:val="00014DF9"/>
    <w:rsid w:val="00015998"/>
    <w:rsid w:val="000168C9"/>
    <w:rsid w:val="00016A3F"/>
    <w:rsid w:val="00016C20"/>
    <w:rsid w:val="00016DBB"/>
    <w:rsid w:val="00017144"/>
    <w:rsid w:val="00022A53"/>
    <w:rsid w:val="00023F5C"/>
    <w:rsid w:val="000250AF"/>
    <w:rsid w:val="00025490"/>
    <w:rsid w:val="0002561E"/>
    <w:rsid w:val="00025931"/>
    <w:rsid w:val="00026265"/>
    <w:rsid w:val="000268E1"/>
    <w:rsid w:val="000329AC"/>
    <w:rsid w:val="00032DF9"/>
    <w:rsid w:val="000344E6"/>
    <w:rsid w:val="0003515F"/>
    <w:rsid w:val="0003575A"/>
    <w:rsid w:val="000360EB"/>
    <w:rsid w:val="00037A5F"/>
    <w:rsid w:val="00037D87"/>
    <w:rsid w:val="0004051A"/>
    <w:rsid w:val="00042EF3"/>
    <w:rsid w:val="00043533"/>
    <w:rsid w:val="00043D2C"/>
    <w:rsid w:val="00045318"/>
    <w:rsid w:val="000464E8"/>
    <w:rsid w:val="00046812"/>
    <w:rsid w:val="00047DE6"/>
    <w:rsid w:val="00047E64"/>
    <w:rsid w:val="00050458"/>
    <w:rsid w:val="00055107"/>
    <w:rsid w:val="00055837"/>
    <w:rsid w:val="000558D4"/>
    <w:rsid w:val="00055ACD"/>
    <w:rsid w:val="00055F5C"/>
    <w:rsid w:val="00056BA1"/>
    <w:rsid w:val="00056DB7"/>
    <w:rsid w:val="00056F27"/>
    <w:rsid w:val="000573AF"/>
    <w:rsid w:val="00060D32"/>
    <w:rsid w:val="0006154A"/>
    <w:rsid w:val="0006169E"/>
    <w:rsid w:val="000626FD"/>
    <w:rsid w:val="00063C0F"/>
    <w:rsid w:val="0006432B"/>
    <w:rsid w:val="000653D4"/>
    <w:rsid w:val="000659D3"/>
    <w:rsid w:val="00067CD5"/>
    <w:rsid w:val="000716D5"/>
    <w:rsid w:val="00071C35"/>
    <w:rsid w:val="00072B87"/>
    <w:rsid w:val="00073031"/>
    <w:rsid w:val="0007434A"/>
    <w:rsid w:val="00074F39"/>
    <w:rsid w:val="00075F50"/>
    <w:rsid w:val="00080D77"/>
    <w:rsid w:val="00081695"/>
    <w:rsid w:val="00081F31"/>
    <w:rsid w:val="0008435D"/>
    <w:rsid w:val="00085306"/>
    <w:rsid w:val="0008558C"/>
    <w:rsid w:val="00085877"/>
    <w:rsid w:val="00085893"/>
    <w:rsid w:val="00085C62"/>
    <w:rsid w:val="00085D76"/>
    <w:rsid w:val="00085F13"/>
    <w:rsid w:val="00086372"/>
    <w:rsid w:val="00086D42"/>
    <w:rsid w:val="00094721"/>
    <w:rsid w:val="000964EC"/>
    <w:rsid w:val="00096665"/>
    <w:rsid w:val="000A13F3"/>
    <w:rsid w:val="000A28D4"/>
    <w:rsid w:val="000A2EB4"/>
    <w:rsid w:val="000A3DA3"/>
    <w:rsid w:val="000A63C6"/>
    <w:rsid w:val="000A6507"/>
    <w:rsid w:val="000B1A22"/>
    <w:rsid w:val="000B2F58"/>
    <w:rsid w:val="000B4630"/>
    <w:rsid w:val="000B497F"/>
    <w:rsid w:val="000B4981"/>
    <w:rsid w:val="000B710D"/>
    <w:rsid w:val="000B7558"/>
    <w:rsid w:val="000C014E"/>
    <w:rsid w:val="000C04DC"/>
    <w:rsid w:val="000C0D98"/>
    <w:rsid w:val="000C25E7"/>
    <w:rsid w:val="000C2C42"/>
    <w:rsid w:val="000C32C2"/>
    <w:rsid w:val="000C3F68"/>
    <w:rsid w:val="000C64D5"/>
    <w:rsid w:val="000D2538"/>
    <w:rsid w:val="000D25E6"/>
    <w:rsid w:val="000D2ABC"/>
    <w:rsid w:val="000D3888"/>
    <w:rsid w:val="000D3BA2"/>
    <w:rsid w:val="000D53C8"/>
    <w:rsid w:val="000D6F17"/>
    <w:rsid w:val="000E41FA"/>
    <w:rsid w:val="000E4349"/>
    <w:rsid w:val="000E4BE8"/>
    <w:rsid w:val="000E4F52"/>
    <w:rsid w:val="000E64E4"/>
    <w:rsid w:val="000E65F7"/>
    <w:rsid w:val="000E7831"/>
    <w:rsid w:val="000F00DC"/>
    <w:rsid w:val="000F0627"/>
    <w:rsid w:val="000F1345"/>
    <w:rsid w:val="000F21CD"/>
    <w:rsid w:val="000F21D7"/>
    <w:rsid w:val="000F3685"/>
    <w:rsid w:val="000F3BB3"/>
    <w:rsid w:val="000F4677"/>
    <w:rsid w:val="000F55EA"/>
    <w:rsid w:val="000F561C"/>
    <w:rsid w:val="000F73FC"/>
    <w:rsid w:val="001001B9"/>
    <w:rsid w:val="00102254"/>
    <w:rsid w:val="00105300"/>
    <w:rsid w:val="001067F7"/>
    <w:rsid w:val="0010702C"/>
    <w:rsid w:val="00107FB5"/>
    <w:rsid w:val="00110970"/>
    <w:rsid w:val="001114B9"/>
    <w:rsid w:val="00111568"/>
    <w:rsid w:val="00111BBB"/>
    <w:rsid w:val="00111DC2"/>
    <w:rsid w:val="001120C0"/>
    <w:rsid w:val="001150BF"/>
    <w:rsid w:val="00115EB0"/>
    <w:rsid w:val="001168F2"/>
    <w:rsid w:val="00116B06"/>
    <w:rsid w:val="00120207"/>
    <w:rsid w:val="00122C04"/>
    <w:rsid w:val="00123C1B"/>
    <w:rsid w:val="00123EBF"/>
    <w:rsid w:val="001252AF"/>
    <w:rsid w:val="0012573B"/>
    <w:rsid w:val="00125E3C"/>
    <w:rsid w:val="001265A7"/>
    <w:rsid w:val="00126C93"/>
    <w:rsid w:val="0012760A"/>
    <w:rsid w:val="00130F00"/>
    <w:rsid w:val="00133E7E"/>
    <w:rsid w:val="0013456F"/>
    <w:rsid w:val="0013492C"/>
    <w:rsid w:val="00134BFD"/>
    <w:rsid w:val="00140447"/>
    <w:rsid w:val="001410AE"/>
    <w:rsid w:val="0014187C"/>
    <w:rsid w:val="00142072"/>
    <w:rsid w:val="0014243A"/>
    <w:rsid w:val="001437C2"/>
    <w:rsid w:val="00143FCB"/>
    <w:rsid w:val="00144FEF"/>
    <w:rsid w:val="00145627"/>
    <w:rsid w:val="00146A41"/>
    <w:rsid w:val="0014752E"/>
    <w:rsid w:val="0015031C"/>
    <w:rsid w:val="00151679"/>
    <w:rsid w:val="0015318E"/>
    <w:rsid w:val="001541AF"/>
    <w:rsid w:val="00157891"/>
    <w:rsid w:val="00157EE8"/>
    <w:rsid w:val="0016071D"/>
    <w:rsid w:val="001617E4"/>
    <w:rsid w:val="00161849"/>
    <w:rsid w:val="00163D92"/>
    <w:rsid w:val="00164144"/>
    <w:rsid w:val="00165B20"/>
    <w:rsid w:val="00165D17"/>
    <w:rsid w:val="001704E1"/>
    <w:rsid w:val="001708DE"/>
    <w:rsid w:val="001725B9"/>
    <w:rsid w:val="001728AF"/>
    <w:rsid w:val="00172ADE"/>
    <w:rsid w:val="00173092"/>
    <w:rsid w:val="0017511C"/>
    <w:rsid w:val="00175703"/>
    <w:rsid w:val="001758DE"/>
    <w:rsid w:val="00176D25"/>
    <w:rsid w:val="00181386"/>
    <w:rsid w:val="0018342E"/>
    <w:rsid w:val="001840C2"/>
    <w:rsid w:val="00184B46"/>
    <w:rsid w:val="001853CA"/>
    <w:rsid w:val="0018577D"/>
    <w:rsid w:val="00185939"/>
    <w:rsid w:val="00186FA0"/>
    <w:rsid w:val="00187309"/>
    <w:rsid w:val="001876F6"/>
    <w:rsid w:val="0019143C"/>
    <w:rsid w:val="00191E23"/>
    <w:rsid w:val="00191FE3"/>
    <w:rsid w:val="001933E7"/>
    <w:rsid w:val="001953B1"/>
    <w:rsid w:val="00195810"/>
    <w:rsid w:val="00195B93"/>
    <w:rsid w:val="001963C0"/>
    <w:rsid w:val="00197956"/>
    <w:rsid w:val="001A0839"/>
    <w:rsid w:val="001A2099"/>
    <w:rsid w:val="001A409D"/>
    <w:rsid w:val="001A446E"/>
    <w:rsid w:val="001A5761"/>
    <w:rsid w:val="001B0827"/>
    <w:rsid w:val="001B1676"/>
    <w:rsid w:val="001B17A8"/>
    <w:rsid w:val="001B1B67"/>
    <w:rsid w:val="001B2371"/>
    <w:rsid w:val="001B3A32"/>
    <w:rsid w:val="001B55C8"/>
    <w:rsid w:val="001B63C6"/>
    <w:rsid w:val="001B699A"/>
    <w:rsid w:val="001C2AA3"/>
    <w:rsid w:val="001C2CD3"/>
    <w:rsid w:val="001C48D4"/>
    <w:rsid w:val="001C4928"/>
    <w:rsid w:val="001C5281"/>
    <w:rsid w:val="001C61CC"/>
    <w:rsid w:val="001C7211"/>
    <w:rsid w:val="001C7C93"/>
    <w:rsid w:val="001D36CD"/>
    <w:rsid w:val="001D3A20"/>
    <w:rsid w:val="001D425B"/>
    <w:rsid w:val="001D4F49"/>
    <w:rsid w:val="001D54D7"/>
    <w:rsid w:val="001D594C"/>
    <w:rsid w:val="001D5B97"/>
    <w:rsid w:val="001D652A"/>
    <w:rsid w:val="001D7982"/>
    <w:rsid w:val="001E0C23"/>
    <w:rsid w:val="001E1B55"/>
    <w:rsid w:val="001E1D3D"/>
    <w:rsid w:val="001E47D1"/>
    <w:rsid w:val="001E58AE"/>
    <w:rsid w:val="001E6A64"/>
    <w:rsid w:val="001E75C5"/>
    <w:rsid w:val="001F1377"/>
    <w:rsid w:val="001F16FE"/>
    <w:rsid w:val="001F1732"/>
    <w:rsid w:val="001F1B5F"/>
    <w:rsid w:val="001F265B"/>
    <w:rsid w:val="001F3F2A"/>
    <w:rsid w:val="001F42C2"/>
    <w:rsid w:val="001F4CA2"/>
    <w:rsid w:val="001F69C2"/>
    <w:rsid w:val="001F6BAD"/>
    <w:rsid w:val="001F6D3A"/>
    <w:rsid w:val="001F77BA"/>
    <w:rsid w:val="001F784F"/>
    <w:rsid w:val="001F7E33"/>
    <w:rsid w:val="001F7EAC"/>
    <w:rsid w:val="00202E65"/>
    <w:rsid w:val="002048D1"/>
    <w:rsid w:val="002079CB"/>
    <w:rsid w:val="00207C85"/>
    <w:rsid w:val="00207E5B"/>
    <w:rsid w:val="0021096E"/>
    <w:rsid w:val="00210DE8"/>
    <w:rsid w:val="00211144"/>
    <w:rsid w:val="00211D73"/>
    <w:rsid w:val="00212A3E"/>
    <w:rsid w:val="00213337"/>
    <w:rsid w:val="00214BF2"/>
    <w:rsid w:val="00215A7F"/>
    <w:rsid w:val="00216522"/>
    <w:rsid w:val="00221D19"/>
    <w:rsid w:val="0022589E"/>
    <w:rsid w:val="00226302"/>
    <w:rsid w:val="0022666B"/>
    <w:rsid w:val="0022734D"/>
    <w:rsid w:val="002311C3"/>
    <w:rsid w:val="0023358A"/>
    <w:rsid w:val="0023447F"/>
    <w:rsid w:val="002350B3"/>
    <w:rsid w:val="00235700"/>
    <w:rsid w:val="00235F26"/>
    <w:rsid w:val="00235F88"/>
    <w:rsid w:val="00236E73"/>
    <w:rsid w:val="0023798E"/>
    <w:rsid w:val="002409A5"/>
    <w:rsid w:val="002418FF"/>
    <w:rsid w:val="00242EE4"/>
    <w:rsid w:val="00243731"/>
    <w:rsid w:val="0024462E"/>
    <w:rsid w:val="00245731"/>
    <w:rsid w:val="002474FA"/>
    <w:rsid w:val="00247AE9"/>
    <w:rsid w:val="00250642"/>
    <w:rsid w:val="00250A9A"/>
    <w:rsid w:val="00252F70"/>
    <w:rsid w:val="00253493"/>
    <w:rsid w:val="00253DE9"/>
    <w:rsid w:val="002542C2"/>
    <w:rsid w:val="0025442F"/>
    <w:rsid w:val="00254B76"/>
    <w:rsid w:val="0025536D"/>
    <w:rsid w:val="00257AFB"/>
    <w:rsid w:val="0026002D"/>
    <w:rsid w:val="002601B4"/>
    <w:rsid w:val="00260573"/>
    <w:rsid w:val="0026293D"/>
    <w:rsid w:val="00262F7A"/>
    <w:rsid w:val="0026376E"/>
    <w:rsid w:val="00265982"/>
    <w:rsid w:val="00266A13"/>
    <w:rsid w:val="00270154"/>
    <w:rsid w:val="00271F70"/>
    <w:rsid w:val="002726F0"/>
    <w:rsid w:val="00272EDA"/>
    <w:rsid w:val="0027408B"/>
    <w:rsid w:val="00276B56"/>
    <w:rsid w:val="00280F46"/>
    <w:rsid w:val="00280FAA"/>
    <w:rsid w:val="002819FD"/>
    <w:rsid w:val="00284B6E"/>
    <w:rsid w:val="0028583A"/>
    <w:rsid w:val="00286F59"/>
    <w:rsid w:val="00287368"/>
    <w:rsid w:val="00287873"/>
    <w:rsid w:val="002912F1"/>
    <w:rsid w:val="002916CC"/>
    <w:rsid w:val="0029278C"/>
    <w:rsid w:val="00292E65"/>
    <w:rsid w:val="00293278"/>
    <w:rsid w:val="00295251"/>
    <w:rsid w:val="0029697C"/>
    <w:rsid w:val="002979F1"/>
    <w:rsid w:val="00297BF9"/>
    <w:rsid w:val="002A13E1"/>
    <w:rsid w:val="002A1E1A"/>
    <w:rsid w:val="002A265A"/>
    <w:rsid w:val="002A3248"/>
    <w:rsid w:val="002A51A5"/>
    <w:rsid w:val="002A54E3"/>
    <w:rsid w:val="002A6262"/>
    <w:rsid w:val="002A7A92"/>
    <w:rsid w:val="002B0846"/>
    <w:rsid w:val="002B0B93"/>
    <w:rsid w:val="002B0E8E"/>
    <w:rsid w:val="002B1304"/>
    <w:rsid w:val="002B13F5"/>
    <w:rsid w:val="002B556B"/>
    <w:rsid w:val="002B6369"/>
    <w:rsid w:val="002B6D15"/>
    <w:rsid w:val="002B7AFF"/>
    <w:rsid w:val="002C0B40"/>
    <w:rsid w:val="002C0DC6"/>
    <w:rsid w:val="002C1EDE"/>
    <w:rsid w:val="002C3911"/>
    <w:rsid w:val="002C5981"/>
    <w:rsid w:val="002C618B"/>
    <w:rsid w:val="002C7307"/>
    <w:rsid w:val="002D0410"/>
    <w:rsid w:val="002D0899"/>
    <w:rsid w:val="002D0FE0"/>
    <w:rsid w:val="002D1707"/>
    <w:rsid w:val="002D17E2"/>
    <w:rsid w:val="002D3F5B"/>
    <w:rsid w:val="002D4273"/>
    <w:rsid w:val="002D4E1B"/>
    <w:rsid w:val="002D4FBF"/>
    <w:rsid w:val="002D5441"/>
    <w:rsid w:val="002D578B"/>
    <w:rsid w:val="002D5A24"/>
    <w:rsid w:val="002D780E"/>
    <w:rsid w:val="002E02CC"/>
    <w:rsid w:val="002E0EC8"/>
    <w:rsid w:val="002E128A"/>
    <w:rsid w:val="002E1FD3"/>
    <w:rsid w:val="002E278F"/>
    <w:rsid w:val="002E3B4D"/>
    <w:rsid w:val="002E720F"/>
    <w:rsid w:val="002E7445"/>
    <w:rsid w:val="002F0522"/>
    <w:rsid w:val="002F0734"/>
    <w:rsid w:val="002F100D"/>
    <w:rsid w:val="002F131F"/>
    <w:rsid w:val="002F4920"/>
    <w:rsid w:val="002F5AE0"/>
    <w:rsid w:val="002F6DC6"/>
    <w:rsid w:val="002F70CF"/>
    <w:rsid w:val="0030026A"/>
    <w:rsid w:val="00301975"/>
    <w:rsid w:val="0030542C"/>
    <w:rsid w:val="00310418"/>
    <w:rsid w:val="00312FFC"/>
    <w:rsid w:val="003135D3"/>
    <w:rsid w:val="0031370A"/>
    <w:rsid w:val="003150BF"/>
    <w:rsid w:val="003150CE"/>
    <w:rsid w:val="00315E92"/>
    <w:rsid w:val="003162C5"/>
    <w:rsid w:val="0031711F"/>
    <w:rsid w:val="0031742C"/>
    <w:rsid w:val="003237D2"/>
    <w:rsid w:val="00323B9E"/>
    <w:rsid w:val="0032564E"/>
    <w:rsid w:val="003279AE"/>
    <w:rsid w:val="00330476"/>
    <w:rsid w:val="00330804"/>
    <w:rsid w:val="003342E9"/>
    <w:rsid w:val="00334A6B"/>
    <w:rsid w:val="003366B2"/>
    <w:rsid w:val="00340066"/>
    <w:rsid w:val="0034122D"/>
    <w:rsid w:val="0034288B"/>
    <w:rsid w:val="00343161"/>
    <w:rsid w:val="0034332B"/>
    <w:rsid w:val="00344FAC"/>
    <w:rsid w:val="0034681C"/>
    <w:rsid w:val="00346DCE"/>
    <w:rsid w:val="00346E62"/>
    <w:rsid w:val="00351C78"/>
    <w:rsid w:val="00352FD1"/>
    <w:rsid w:val="00355A2E"/>
    <w:rsid w:val="003600A8"/>
    <w:rsid w:val="003601A3"/>
    <w:rsid w:val="003605C4"/>
    <w:rsid w:val="0036284D"/>
    <w:rsid w:val="00366524"/>
    <w:rsid w:val="00373E58"/>
    <w:rsid w:val="00374AA9"/>
    <w:rsid w:val="00376073"/>
    <w:rsid w:val="003761F9"/>
    <w:rsid w:val="00377452"/>
    <w:rsid w:val="003805C6"/>
    <w:rsid w:val="00381223"/>
    <w:rsid w:val="00381849"/>
    <w:rsid w:val="003823A0"/>
    <w:rsid w:val="00382BE0"/>
    <w:rsid w:val="00383A7E"/>
    <w:rsid w:val="00384F36"/>
    <w:rsid w:val="00385271"/>
    <w:rsid w:val="00385382"/>
    <w:rsid w:val="00386A09"/>
    <w:rsid w:val="00387AFE"/>
    <w:rsid w:val="00390FD0"/>
    <w:rsid w:val="00391320"/>
    <w:rsid w:val="0039226E"/>
    <w:rsid w:val="00392CC8"/>
    <w:rsid w:val="0039384A"/>
    <w:rsid w:val="00397708"/>
    <w:rsid w:val="00397EE7"/>
    <w:rsid w:val="003A2017"/>
    <w:rsid w:val="003A3473"/>
    <w:rsid w:val="003A48CC"/>
    <w:rsid w:val="003A69FC"/>
    <w:rsid w:val="003A72EF"/>
    <w:rsid w:val="003A7E21"/>
    <w:rsid w:val="003B0FFE"/>
    <w:rsid w:val="003B27B0"/>
    <w:rsid w:val="003B40D3"/>
    <w:rsid w:val="003B4EED"/>
    <w:rsid w:val="003B6B2C"/>
    <w:rsid w:val="003C1172"/>
    <w:rsid w:val="003C266A"/>
    <w:rsid w:val="003C3919"/>
    <w:rsid w:val="003C602A"/>
    <w:rsid w:val="003C7B07"/>
    <w:rsid w:val="003D1759"/>
    <w:rsid w:val="003D1896"/>
    <w:rsid w:val="003D3B14"/>
    <w:rsid w:val="003D4C54"/>
    <w:rsid w:val="003D5281"/>
    <w:rsid w:val="003D62F7"/>
    <w:rsid w:val="003E0614"/>
    <w:rsid w:val="003E1035"/>
    <w:rsid w:val="003E15BA"/>
    <w:rsid w:val="003E17F2"/>
    <w:rsid w:val="003E19E7"/>
    <w:rsid w:val="003E19F7"/>
    <w:rsid w:val="003E1EB2"/>
    <w:rsid w:val="003E2128"/>
    <w:rsid w:val="003E492C"/>
    <w:rsid w:val="003E4C28"/>
    <w:rsid w:val="003E6C52"/>
    <w:rsid w:val="003E710D"/>
    <w:rsid w:val="003E7600"/>
    <w:rsid w:val="003E7A9C"/>
    <w:rsid w:val="003F2579"/>
    <w:rsid w:val="003F328F"/>
    <w:rsid w:val="003F35C4"/>
    <w:rsid w:val="003F531A"/>
    <w:rsid w:val="003F7C9E"/>
    <w:rsid w:val="00400249"/>
    <w:rsid w:val="004002A2"/>
    <w:rsid w:val="004025E8"/>
    <w:rsid w:val="00402768"/>
    <w:rsid w:val="00403160"/>
    <w:rsid w:val="004036C0"/>
    <w:rsid w:val="00404C36"/>
    <w:rsid w:val="00405D77"/>
    <w:rsid w:val="00405EFB"/>
    <w:rsid w:val="00406BB7"/>
    <w:rsid w:val="00406F38"/>
    <w:rsid w:val="004107CA"/>
    <w:rsid w:val="004111BC"/>
    <w:rsid w:val="004114CB"/>
    <w:rsid w:val="004125F4"/>
    <w:rsid w:val="004126D4"/>
    <w:rsid w:val="00412B4A"/>
    <w:rsid w:val="0041336A"/>
    <w:rsid w:val="00414703"/>
    <w:rsid w:val="00415D2B"/>
    <w:rsid w:val="004162C5"/>
    <w:rsid w:val="00416C0A"/>
    <w:rsid w:val="00420AC4"/>
    <w:rsid w:val="00421941"/>
    <w:rsid w:val="004220F0"/>
    <w:rsid w:val="00424667"/>
    <w:rsid w:val="004248FB"/>
    <w:rsid w:val="004249CB"/>
    <w:rsid w:val="00424DE2"/>
    <w:rsid w:val="00425DBF"/>
    <w:rsid w:val="00427769"/>
    <w:rsid w:val="00430F6C"/>
    <w:rsid w:val="0043128C"/>
    <w:rsid w:val="00432528"/>
    <w:rsid w:val="00432836"/>
    <w:rsid w:val="004330E2"/>
    <w:rsid w:val="00433E4E"/>
    <w:rsid w:val="004373D1"/>
    <w:rsid w:val="0043778D"/>
    <w:rsid w:val="004445FE"/>
    <w:rsid w:val="004454C2"/>
    <w:rsid w:val="0044598F"/>
    <w:rsid w:val="004468D6"/>
    <w:rsid w:val="00447347"/>
    <w:rsid w:val="00447F33"/>
    <w:rsid w:val="00450A27"/>
    <w:rsid w:val="00451570"/>
    <w:rsid w:val="00451EC2"/>
    <w:rsid w:val="00451F61"/>
    <w:rsid w:val="0045241B"/>
    <w:rsid w:val="00453A59"/>
    <w:rsid w:val="00455C34"/>
    <w:rsid w:val="00456E0C"/>
    <w:rsid w:val="00457401"/>
    <w:rsid w:val="00457E5F"/>
    <w:rsid w:val="00460046"/>
    <w:rsid w:val="00460525"/>
    <w:rsid w:val="00460704"/>
    <w:rsid w:val="00460D79"/>
    <w:rsid w:val="00462AAF"/>
    <w:rsid w:val="00463357"/>
    <w:rsid w:val="00463A04"/>
    <w:rsid w:val="00464195"/>
    <w:rsid w:val="00464293"/>
    <w:rsid w:val="00465255"/>
    <w:rsid w:val="00465D87"/>
    <w:rsid w:val="00473718"/>
    <w:rsid w:val="00473869"/>
    <w:rsid w:val="0047410E"/>
    <w:rsid w:val="00474379"/>
    <w:rsid w:val="004748AB"/>
    <w:rsid w:val="0047673F"/>
    <w:rsid w:val="0048054A"/>
    <w:rsid w:val="004818E8"/>
    <w:rsid w:val="00482015"/>
    <w:rsid w:val="00482F67"/>
    <w:rsid w:val="00483006"/>
    <w:rsid w:val="00484915"/>
    <w:rsid w:val="00485961"/>
    <w:rsid w:val="00486209"/>
    <w:rsid w:val="00486348"/>
    <w:rsid w:val="00487387"/>
    <w:rsid w:val="004904A8"/>
    <w:rsid w:val="00490E50"/>
    <w:rsid w:val="004919FD"/>
    <w:rsid w:val="0049578B"/>
    <w:rsid w:val="004A06FC"/>
    <w:rsid w:val="004A0A04"/>
    <w:rsid w:val="004A132C"/>
    <w:rsid w:val="004B0994"/>
    <w:rsid w:val="004B26D9"/>
    <w:rsid w:val="004B2C5E"/>
    <w:rsid w:val="004B43FD"/>
    <w:rsid w:val="004B5DA9"/>
    <w:rsid w:val="004B63E4"/>
    <w:rsid w:val="004B7055"/>
    <w:rsid w:val="004B774B"/>
    <w:rsid w:val="004C1C33"/>
    <w:rsid w:val="004C1EB8"/>
    <w:rsid w:val="004C2224"/>
    <w:rsid w:val="004C3376"/>
    <w:rsid w:val="004C356C"/>
    <w:rsid w:val="004C4629"/>
    <w:rsid w:val="004C4B71"/>
    <w:rsid w:val="004C52C2"/>
    <w:rsid w:val="004C568D"/>
    <w:rsid w:val="004C5EC7"/>
    <w:rsid w:val="004C66CC"/>
    <w:rsid w:val="004C741D"/>
    <w:rsid w:val="004D0705"/>
    <w:rsid w:val="004D087E"/>
    <w:rsid w:val="004D19DB"/>
    <w:rsid w:val="004D1E88"/>
    <w:rsid w:val="004D3CD7"/>
    <w:rsid w:val="004D4929"/>
    <w:rsid w:val="004D58DE"/>
    <w:rsid w:val="004D63E2"/>
    <w:rsid w:val="004D683E"/>
    <w:rsid w:val="004D6F6D"/>
    <w:rsid w:val="004D740B"/>
    <w:rsid w:val="004E03D9"/>
    <w:rsid w:val="004E1F19"/>
    <w:rsid w:val="004E2663"/>
    <w:rsid w:val="004E346B"/>
    <w:rsid w:val="004E3F30"/>
    <w:rsid w:val="004E46F8"/>
    <w:rsid w:val="004E50C8"/>
    <w:rsid w:val="004E533D"/>
    <w:rsid w:val="004E5474"/>
    <w:rsid w:val="004E653E"/>
    <w:rsid w:val="004E65F5"/>
    <w:rsid w:val="004F039B"/>
    <w:rsid w:val="004F0478"/>
    <w:rsid w:val="004F10F2"/>
    <w:rsid w:val="004F17D8"/>
    <w:rsid w:val="004F1A2B"/>
    <w:rsid w:val="004F1A7A"/>
    <w:rsid w:val="004F2D77"/>
    <w:rsid w:val="004F3845"/>
    <w:rsid w:val="004F3C00"/>
    <w:rsid w:val="004F3DDC"/>
    <w:rsid w:val="004F3E28"/>
    <w:rsid w:val="004F621F"/>
    <w:rsid w:val="004F6775"/>
    <w:rsid w:val="004F73FD"/>
    <w:rsid w:val="00500C4E"/>
    <w:rsid w:val="0050191C"/>
    <w:rsid w:val="00501B31"/>
    <w:rsid w:val="00502EAE"/>
    <w:rsid w:val="00503554"/>
    <w:rsid w:val="00503A1B"/>
    <w:rsid w:val="00504AAB"/>
    <w:rsid w:val="00504ACE"/>
    <w:rsid w:val="0050500F"/>
    <w:rsid w:val="00505279"/>
    <w:rsid w:val="00505AB6"/>
    <w:rsid w:val="0050625D"/>
    <w:rsid w:val="005063E1"/>
    <w:rsid w:val="00507CC5"/>
    <w:rsid w:val="0051239B"/>
    <w:rsid w:val="00513BD1"/>
    <w:rsid w:val="00515DA3"/>
    <w:rsid w:val="00516BBB"/>
    <w:rsid w:val="00522BC6"/>
    <w:rsid w:val="00523E83"/>
    <w:rsid w:val="005248BB"/>
    <w:rsid w:val="0052581A"/>
    <w:rsid w:val="00526E64"/>
    <w:rsid w:val="005273EA"/>
    <w:rsid w:val="00527E61"/>
    <w:rsid w:val="0053005F"/>
    <w:rsid w:val="005308A5"/>
    <w:rsid w:val="0053107F"/>
    <w:rsid w:val="00531329"/>
    <w:rsid w:val="005314E9"/>
    <w:rsid w:val="00531723"/>
    <w:rsid w:val="0053275E"/>
    <w:rsid w:val="0053324F"/>
    <w:rsid w:val="005348BF"/>
    <w:rsid w:val="005407FC"/>
    <w:rsid w:val="00541E10"/>
    <w:rsid w:val="00541EF9"/>
    <w:rsid w:val="005424A3"/>
    <w:rsid w:val="005431CF"/>
    <w:rsid w:val="00543D0A"/>
    <w:rsid w:val="00543D29"/>
    <w:rsid w:val="00543F70"/>
    <w:rsid w:val="00544EFB"/>
    <w:rsid w:val="005454F3"/>
    <w:rsid w:val="005455E5"/>
    <w:rsid w:val="0054681B"/>
    <w:rsid w:val="0054779A"/>
    <w:rsid w:val="00547BA1"/>
    <w:rsid w:val="00551D2F"/>
    <w:rsid w:val="005522EF"/>
    <w:rsid w:val="0055486A"/>
    <w:rsid w:val="00556101"/>
    <w:rsid w:val="00557CB1"/>
    <w:rsid w:val="0056072C"/>
    <w:rsid w:val="0056091E"/>
    <w:rsid w:val="00561371"/>
    <w:rsid w:val="0056172D"/>
    <w:rsid w:val="005628C1"/>
    <w:rsid w:val="005635F3"/>
    <w:rsid w:val="0056411C"/>
    <w:rsid w:val="00565B4C"/>
    <w:rsid w:val="00565E0E"/>
    <w:rsid w:val="005663FF"/>
    <w:rsid w:val="005677E5"/>
    <w:rsid w:val="00570BA3"/>
    <w:rsid w:val="00570D24"/>
    <w:rsid w:val="0057329D"/>
    <w:rsid w:val="00574C1A"/>
    <w:rsid w:val="0057583F"/>
    <w:rsid w:val="005759D5"/>
    <w:rsid w:val="00577E4E"/>
    <w:rsid w:val="0058002B"/>
    <w:rsid w:val="00580167"/>
    <w:rsid w:val="00580581"/>
    <w:rsid w:val="00580EEB"/>
    <w:rsid w:val="00580FCF"/>
    <w:rsid w:val="00582BC1"/>
    <w:rsid w:val="00582C83"/>
    <w:rsid w:val="00583670"/>
    <w:rsid w:val="00583673"/>
    <w:rsid w:val="00583D08"/>
    <w:rsid w:val="005867DD"/>
    <w:rsid w:val="00587309"/>
    <w:rsid w:val="00587BE7"/>
    <w:rsid w:val="00587CBC"/>
    <w:rsid w:val="00595DF1"/>
    <w:rsid w:val="00596524"/>
    <w:rsid w:val="00597A5D"/>
    <w:rsid w:val="00597D35"/>
    <w:rsid w:val="00597E3D"/>
    <w:rsid w:val="005A1643"/>
    <w:rsid w:val="005A4A36"/>
    <w:rsid w:val="005A4CA1"/>
    <w:rsid w:val="005A6D6D"/>
    <w:rsid w:val="005A6E73"/>
    <w:rsid w:val="005A7264"/>
    <w:rsid w:val="005A784C"/>
    <w:rsid w:val="005A78AE"/>
    <w:rsid w:val="005B1601"/>
    <w:rsid w:val="005B2238"/>
    <w:rsid w:val="005B3106"/>
    <w:rsid w:val="005B36E2"/>
    <w:rsid w:val="005B3F46"/>
    <w:rsid w:val="005B4CFC"/>
    <w:rsid w:val="005B58B0"/>
    <w:rsid w:val="005B6E0D"/>
    <w:rsid w:val="005B729E"/>
    <w:rsid w:val="005B748C"/>
    <w:rsid w:val="005C0298"/>
    <w:rsid w:val="005C02AC"/>
    <w:rsid w:val="005C0769"/>
    <w:rsid w:val="005C1FC7"/>
    <w:rsid w:val="005C360A"/>
    <w:rsid w:val="005C7DBD"/>
    <w:rsid w:val="005C7EE9"/>
    <w:rsid w:val="005D18F7"/>
    <w:rsid w:val="005D221C"/>
    <w:rsid w:val="005D2A43"/>
    <w:rsid w:val="005D2A46"/>
    <w:rsid w:val="005D5DF8"/>
    <w:rsid w:val="005D6EA0"/>
    <w:rsid w:val="005D7D67"/>
    <w:rsid w:val="005D7FCE"/>
    <w:rsid w:val="005E113D"/>
    <w:rsid w:val="005E3188"/>
    <w:rsid w:val="005E368F"/>
    <w:rsid w:val="005E3EDF"/>
    <w:rsid w:val="005E76E2"/>
    <w:rsid w:val="005E7B36"/>
    <w:rsid w:val="005F02E6"/>
    <w:rsid w:val="005F061B"/>
    <w:rsid w:val="005F0BE2"/>
    <w:rsid w:val="005F10F1"/>
    <w:rsid w:val="005F1911"/>
    <w:rsid w:val="005F2CBA"/>
    <w:rsid w:val="005F3216"/>
    <w:rsid w:val="005F3D69"/>
    <w:rsid w:val="005F4299"/>
    <w:rsid w:val="005F45F3"/>
    <w:rsid w:val="005F4DFE"/>
    <w:rsid w:val="005F4EF9"/>
    <w:rsid w:val="00600F35"/>
    <w:rsid w:val="0060141F"/>
    <w:rsid w:val="006015AE"/>
    <w:rsid w:val="006017B1"/>
    <w:rsid w:val="0060303A"/>
    <w:rsid w:val="00604C6F"/>
    <w:rsid w:val="0060685F"/>
    <w:rsid w:val="00607066"/>
    <w:rsid w:val="00607197"/>
    <w:rsid w:val="00607A16"/>
    <w:rsid w:val="006109F8"/>
    <w:rsid w:val="00610BFC"/>
    <w:rsid w:val="006147EA"/>
    <w:rsid w:val="0062147D"/>
    <w:rsid w:val="00622083"/>
    <w:rsid w:val="006222CA"/>
    <w:rsid w:val="00622439"/>
    <w:rsid w:val="00623075"/>
    <w:rsid w:val="00623910"/>
    <w:rsid w:val="00624752"/>
    <w:rsid w:val="00624A27"/>
    <w:rsid w:val="00624D74"/>
    <w:rsid w:val="0062716D"/>
    <w:rsid w:val="00627AF2"/>
    <w:rsid w:val="00630482"/>
    <w:rsid w:val="00632F94"/>
    <w:rsid w:val="0063550B"/>
    <w:rsid w:val="0063632F"/>
    <w:rsid w:val="00637877"/>
    <w:rsid w:val="00637945"/>
    <w:rsid w:val="006404E6"/>
    <w:rsid w:val="00640E38"/>
    <w:rsid w:val="00642366"/>
    <w:rsid w:val="0064345F"/>
    <w:rsid w:val="00646263"/>
    <w:rsid w:val="006474C8"/>
    <w:rsid w:val="006504A2"/>
    <w:rsid w:val="00650C56"/>
    <w:rsid w:val="00652858"/>
    <w:rsid w:val="006528A4"/>
    <w:rsid w:val="006528FB"/>
    <w:rsid w:val="00655025"/>
    <w:rsid w:val="006558DC"/>
    <w:rsid w:val="006565A0"/>
    <w:rsid w:val="00656B27"/>
    <w:rsid w:val="006575A0"/>
    <w:rsid w:val="00657F8B"/>
    <w:rsid w:val="00660401"/>
    <w:rsid w:val="006618FC"/>
    <w:rsid w:val="00661BF2"/>
    <w:rsid w:val="00661C5F"/>
    <w:rsid w:val="00662FBD"/>
    <w:rsid w:val="00663D00"/>
    <w:rsid w:val="00663E86"/>
    <w:rsid w:val="00664784"/>
    <w:rsid w:val="006659D4"/>
    <w:rsid w:val="00666A3C"/>
    <w:rsid w:val="00667EC2"/>
    <w:rsid w:val="006700CE"/>
    <w:rsid w:val="0067088C"/>
    <w:rsid w:val="00671B7E"/>
    <w:rsid w:val="00672AD2"/>
    <w:rsid w:val="006766AB"/>
    <w:rsid w:val="006767BC"/>
    <w:rsid w:val="00677D68"/>
    <w:rsid w:val="00677F91"/>
    <w:rsid w:val="00680186"/>
    <w:rsid w:val="00680AAD"/>
    <w:rsid w:val="00681D75"/>
    <w:rsid w:val="006820A4"/>
    <w:rsid w:val="0068242E"/>
    <w:rsid w:val="00682594"/>
    <w:rsid w:val="00683BEB"/>
    <w:rsid w:val="00684BAF"/>
    <w:rsid w:val="00687606"/>
    <w:rsid w:val="006911EE"/>
    <w:rsid w:val="006938F5"/>
    <w:rsid w:val="00693966"/>
    <w:rsid w:val="00694494"/>
    <w:rsid w:val="00696EBB"/>
    <w:rsid w:val="00696ECA"/>
    <w:rsid w:val="006A0217"/>
    <w:rsid w:val="006A1141"/>
    <w:rsid w:val="006A1F10"/>
    <w:rsid w:val="006A2425"/>
    <w:rsid w:val="006A4D4E"/>
    <w:rsid w:val="006A7AFB"/>
    <w:rsid w:val="006B2010"/>
    <w:rsid w:val="006B37C9"/>
    <w:rsid w:val="006B4414"/>
    <w:rsid w:val="006B5571"/>
    <w:rsid w:val="006B6244"/>
    <w:rsid w:val="006B630A"/>
    <w:rsid w:val="006B7C24"/>
    <w:rsid w:val="006C0554"/>
    <w:rsid w:val="006C138C"/>
    <w:rsid w:val="006C1577"/>
    <w:rsid w:val="006C1A37"/>
    <w:rsid w:val="006C1C14"/>
    <w:rsid w:val="006C5ACD"/>
    <w:rsid w:val="006C6300"/>
    <w:rsid w:val="006C70AA"/>
    <w:rsid w:val="006D0AD0"/>
    <w:rsid w:val="006D1544"/>
    <w:rsid w:val="006D36B7"/>
    <w:rsid w:val="006D3A49"/>
    <w:rsid w:val="006D624A"/>
    <w:rsid w:val="006D686D"/>
    <w:rsid w:val="006D7CE7"/>
    <w:rsid w:val="006E0F38"/>
    <w:rsid w:val="006E16F1"/>
    <w:rsid w:val="006E1C98"/>
    <w:rsid w:val="006E2835"/>
    <w:rsid w:val="006E359B"/>
    <w:rsid w:val="006E70CA"/>
    <w:rsid w:val="006E744D"/>
    <w:rsid w:val="006E75BF"/>
    <w:rsid w:val="006E7EDC"/>
    <w:rsid w:val="006F09B5"/>
    <w:rsid w:val="006F0A38"/>
    <w:rsid w:val="006F1349"/>
    <w:rsid w:val="006F201F"/>
    <w:rsid w:val="006F22F0"/>
    <w:rsid w:val="006F2BE5"/>
    <w:rsid w:val="006F2C03"/>
    <w:rsid w:val="006F3671"/>
    <w:rsid w:val="006F48B3"/>
    <w:rsid w:val="006F48B8"/>
    <w:rsid w:val="006F4ACE"/>
    <w:rsid w:val="006F553C"/>
    <w:rsid w:val="006F5924"/>
    <w:rsid w:val="006F6258"/>
    <w:rsid w:val="006F65E1"/>
    <w:rsid w:val="006F7F8E"/>
    <w:rsid w:val="00701515"/>
    <w:rsid w:val="00701552"/>
    <w:rsid w:val="007018D1"/>
    <w:rsid w:val="00701C15"/>
    <w:rsid w:val="00704FDE"/>
    <w:rsid w:val="00705448"/>
    <w:rsid w:val="00706B36"/>
    <w:rsid w:val="007122EC"/>
    <w:rsid w:val="00713093"/>
    <w:rsid w:val="00714504"/>
    <w:rsid w:val="007150C7"/>
    <w:rsid w:val="007164B4"/>
    <w:rsid w:val="0071742A"/>
    <w:rsid w:val="00720B62"/>
    <w:rsid w:val="0072173D"/>
    <w:rsid w:val="00721B1D"/>
    <w:rsid w:val="00723BFA"/>
    <w:rsid w:val="00723D7C"/>
    <w:rsid w:val="00730E8F"/>
    <w:rsid w:val="00731D48"/>
    <w:rsid w:val="00733C73"/>
    <w:rsid w:val="00733D9F"/>
    <w:rsid w:val="00734484"/>
    <w:rsid w:val="00734C94"/>
    <w:rsid w:val="00735C13"/>
    <w:rsid w:val="00737260"/>
    <w:rsid w:val="0074034F"/>
    <w:rsid w:val="00742076"/>
    <w:rsid w:val="00743471"/>
    <w:rsid w:val="007440C6"/>
    <w:rsid w:val="00745136"/>
    <w:rsid w:val="00745A15"/>
    <w:rsid w:val="00745DD2"/>
    <w:rsid w:val="00751354"/>
    <w:rsid w:val="00751507"/>
    <w:rsid w:val="00754902"/>
    <w:rsid w:val="00756909"/>
    <w:rsid w:val="00756B28"/>
    <w:rsid w:val="00757B4A"/>
    <w:rsid w:val="00760D10"/>
    <w:rsid w:val="007610DA"/>
    <w:rsid w:val="00762108"/>
    <w:rsid w:val="00770E38"/>
    <w:rsid w:val="0077197A"/>
    <w:rsid w:val="0077249F"/>
    <w:rsid w:val="007751DE"/>
    <w:rsid w:val="00775D6C"/>
    <w:rsid w:val="00776AF1"/>
    <w:rsid w:val="0078133D"/>
    <w:rsid w:val="00781914"/>
    <w:rsid w:val="00781E34"/>
    <w:rsid w:val="00783392"/>
    <w:rsid w:val="007833E7"/>
    <w:rsid w:val="00783BD0"/>
    <w:rsid w:val="00785785"/>
    <w:rsid w:val="00787FCC"/>
    <w:rsid w:val="007904B1"/>
    <w:rsid w:val="00791DED"/>
    <w:rsid w:val="007923BA"/>
    <w:rsid w:val="00792AA8"/>
    <w:rsid w:val="00792CE0"/>
    <w:rsid w:val="00792E77"/>
    <w:rsid w:val="00793AAE"/>
    <w:rsid w:val="00794972"/>
    <w:rsid w:val="00796EE7"/>
    <w:rsid w:val="00797022"/>
    <w:rsid w:val="007A267F"/>
    <w:rsid w:val="007A3255"/>
    <w:rsid w:val="007A3ABE"/>
    <w:rsid w:val="007A4CB0"/>
    <w:rsid w:val="007A5912"/>
    <w:rsid w:val="007A5B52"/>
    <w:rsid w:val="007A60F8"/>
    <w:rsid w:val="007A62C3"/>
    <w:rsid w:val="007A7FC1"/>
    <w:rsid w:val="007B27D7"/>
    <w:rsid w:val="007B2E30"/>
    <w:rsid w:val="007B341B"/>
    <w:rsid w:val="007B4102"/>
    <w:rsid w:val="007B651A"/>
    <w:rsid w:val="007B6648"/>
    <w:rsid w:val="007B6669"/>
    <w:rsid w:val="007C0ADC"/>
    <w:rsid w:val="007C0C76"/>
    <w:rsid w:val="007C311B"/>
    <w:rsid w:val="007C462E"/>
    <w:rsid w:val="007C506B"/>
    <w:rsid w:val="007C679D"/>
    <w:rsid w:val="007D0158"/>
    <w:rsid w:val="007D0180"/>
    <w:rsid w:val="007D0986"/>
    <w:rsid w:val="007D0AB1"/>
    <w:rsid w:val="007D123B"/>
    <w:rsid w:val="007D57A4"/>
    <w:rsid w:val="007D59A7"/>
    <w:rsid w:val="007D698B"/>
    <w:rsid w:val="007D7BB6"/>
    <w:rsid w:val="007E0C71"/>
    <w:rsid w:val="007E1208"/>
    <w:rsid w:val="007E1455"/>
    <w:rsid w:val="007E25B9"/>
    <w:rsid w:val="007E25EE"/>
    <w:rsid w:val="007E4C3F"/>
    <w:rsid w:val="007E4F52"/>
    <w:rsid w:val="007E5D35"/>
    <w:rsid w:val="007E7C49"/>
    <w:rsid w:val="007F0FE2"/>
    <w:rsid w:val="007F2790"/>
    <w:rsid w:val="007F323D"/>
    <w:rsid w:val="007F52A6"/>
    <w:rsid w:val="007F5789"/>
    <w:rsid w:val="007F68DA"/>
    <w:rsid w:val="0080011A"/>
    <w:rsid w:val="008004E7"/>
    <w:rsid w:val="00801D58"/>
    <w:rsid w:val="008026EB"/>
    <w:rsid w:val="0080276C"/>
    <w:rsid w:val="00802F50"/>
    <w:rsid w:val="008059D7"/>
    <w:rsid w:val="008060C8"/>
    <w:rsid w:val="00810F5C"/>
    <w:rsid w:val="00810F60"/>
    <w:rsid w:val="008112E9"/>
    <w:rsid w:val="008116EB"/>
    <w:rsid w:val="00812723"/>
    <w:rsid w:val="00813BF0"/>
    <w:rsid w:val="00814A6A"/>
    <w:rsid w:val="00814ED4"/>
    <w:rsid w:val="008152E3"/>
    <w:rsid w:val="0081557C"/>
    <w:rsid w:val="008159B1"/>
    <w:rsid w:val="00816221"/>
    <w:rsid w:val="00820282"/>
    <w:rsid w:val="00820651"/>
    <w:rsid w:val="00820DFC"/>
    <w:rsid w:val="0082117F"/>
    <w:rsid w:val="00822AEE"/>
    <w:rsid w:val="00825D85"/>
    <w:rsid w:val="0082619C"/>
    <w:rsid w:val="00830F80"/>
    <w:rsid w:val="00831A0D"/>
    <w:rsid w:val="0083228C"/>
    <w:rsid w:val="00832340"/>
    <w:rsid w:val="00834933"/>
    <w:rsid w:val="00835AAD"/>
    <w:rsid w:val="00836AD2"/>
    <w:rsid w:val="008375CC"/>
    <w:rsid w:val="008415CC"/>
    <w:rsid w:val="008417C6"/>
    <w:rsid w:val="00842862"/>
    <w:rsid w:val="00843E1C"/>
    <w:rsid w:val="0084475B"/>
    <w:rsid w:val="00844A64"/>
    <w:rsid w:val="00845199"/>
    <w:rsid w:val="00845483"/>
    <w:rsid w:val="00847AC7"/>
    <w:rsid w:val="00847DFE"/>
    <w:rsid w:val="00850EC3"/>
    <w:rsid w:val="00851111"/>
    <w:rsid w:val="008525CF"/>
    <w:rsid w:val="00853095"/>
    <w:rsid w:val="008542CC"/>
    <w:rsid w:val="00855B55"/>
    <w:rsid w:val="00855E0A"/>
    <w:rsid w:val="00856771"/>
    <w:rsid w:val="00856A95"/>
    <w:rsid w:val="0085736A"/>
    <w:rsid w:val="00860973"/>
    <w:rsid w:val="00860B06"/>
    <w:rsid w:val="00860B77"/>
    <w:rsid w:val="0086183E"/>
    <w:rsid w:val="00864550"/>
    <w:rsid w:val="008648B5"/>
    <w:rsid w:val="00865A78"/>
    <w:rsid w:val="00865E22"/>
    <w:rsid w:val="0086641A"/>
    <w:rsid w:val="00867F68"/>
    <w:rsid w:val="0087049E"/>
    <w:rsid w:val="008737D3"/>
    <w:rsid w:val="00873E0E"/>
    <w:rsid w:val="00876DB8"/>
    <w:rsid w:val="00877CBF"/>
    <w:rsid w:val="00882674"/>
    <w:rsid w:val="00882D53"/>
    <w:rsid w:val="00883437"/>
    <w:rsid w:val="008834B9"/>
    <w:rsid w:val="008834C1"/>
    <w:rsid w:val="008834C5"/>
    <w:rsid w:val="008838DB"/>
    <w:rsid w:val="00883C24"/>
    <w:rsid w:val="008853F8"/>
    <w:rsid w:val="008878CB"/>
    <w:rsid w:val="008917F3"/>
    <w:rsid w:val="0089204D"/>
    <w:rsid w:val="008931B4"/>
    <w:rsid w:val="00894A54"/>
    <w:rsid w:val="00894CC1"/>
    <w:rsid w:val="00894FCC"/>
    <w:rsid w:val="008953BD"/>
    <w:rsid w:val="00895425"/>
    <w:rsid w:val="008962FD"/>
    <w:rsid w:val="00896DE5"/>
    <w:rsid w:val="008977EE"/>
    <w:rsid w:val="008A4628"/>
    <w:rsid w:val="008A578D"/>
    <w:rsid w:val="008A61F6"/>
    <w:rsid w:val="008A7CD6"/>
    <w:rsid w:val="008B022E"/>
    <w:rsid w:val="008B17C7"/>
    <w:rsid w:val="008B47CB"/>
    <w:rsid w:val="008B58C5"/>
    <w:rsid w:val="008B5F39"/>
    <w:rsid w:val="008B6A6C"/>
    <w:rsid w:val="008B7066"/>
    <w:rsid w:val="008B7FA4"/>
    <w:rsid w:val="008C059E"/>
    <w:rsid w:val="008C0F97"/>
    <w:rsid w:val="008C15BB"/>
    <w:rsid w:val="008C28E5"/>
    <w:rsid w:val="008C4E5F"/>
    <w:rsid w:val="008C6886"/>
    <w:rsid w:val="008C6C82"/>
    <w:rsid w:val="008D15F7"/>
    <w:rsid w:val="008D1FDE"/>
    <w:rsid w:val="008D351D"/>
    <w:rsid w:val="008D3A38"/>
    <w:rsid w:val="008D5863"/>
    <w:rsid w:val="008D6509"/>
    <w:rsid w:val="008D7293"/>
    <w:rsid w:val="008E1918"/>
    <w:rsid w:val="008E1C45"/>
    <w:rsid w:val="008E242E"/>
    <w:rsid w:val="008E277F"/>
    <w:rsid w:val="008E3335"/>
    <w:rsid w:val="008E3C7B"/>
    <w:rsid w:val="008E3FC2"/>
    <w:rsid w:val="008E647B"/>
    <w:rsid w:val="008E7B61"/>
    <w:rsid w:val="008F203B"/>
    <w:rsid w:val="008F3A5F"/>
    <w:rsid w:val="008F3AE2"/>
    <w:rsid w:val="008F6221"/>
    <w:rsid w:val="008F722B"/>
    <w:rsid w:val="008F777B"/>
    <w:rsid w:val="008F7CCE"/>
    <w:rsid w:val="00900F5A"/>
    <w:rsid w:val="00902A85"/>
    <w:rsid w:val="009064E2"/>
    <w:rsid w:val="009077C7"/>
    <w:rsid w:val="009114E2"/>
    <w:rsid w:val="0091220E"/>
    <w:rsid w:val="009135C2"/>
    <w:rsid w:val="0091465A"/>
    <w:rsid w:val="00914EE2"/>
    <w:rsid w:val="00915897"/>
    <w:rsid w:val="00917388"/>
    <w:rsid w:val="00917FB9"/>
    <w:rsid w:val="00920216"/>
    <w:rsid w:val="00920463"/>
    <w:rsid w:val="0092217D"/>
    <w:rsid w:val="00922B32"/>
    <w:rsid w:val="009231E5"/>
    <w:rsid w:val="009238C7"/>
    <w:rsid w:val="00923D68"/>
    <w:rsid w:val="009245CA"/>
    <w:rsid w:val="009258BA"/>
    <w:rsid w:val="00926E4D"/>
    <w:rsid w:val="0093352D"/>
    <w:rsid w:val="00933B2E"/>
    <w:rsid w:val="009370E9"/>
    <w:rsid w:val="009376FF"/>
    <w:rsid w:val="00940185"/>
    <w:rsid w:val="00940BCD"/>
    <w:rsid w:val="00941279"/>
    <w:rsid w:val="0094265E"/>
    <w:rsid w:val="00944D4F"/>
    <w:rsid w:val="00944EE7"/>
    <w:rsid w:val="00944F38"/>
    <w:rsid w:val="00945CD0"/>
    <w:rsid w:val="009462D5"/>
    <w:rsid w:val="009467CE"/>
    <w:rsid w:val="009470DD"/>
    <w:rsid w:val="00951B26"/>
    <w:rsid w:val="009538AC"/>
    <w:rsid w:val="00953EB6"/>
    <w:rsid w:val="0095456C"/>
    <w:rsid w:val="009547B3"/>
    <w:rsid w:val="00954E57"/>
    <w:rsid w:val="0095512D"/>
    <w:rsid w:val="00955328"/>
    <w:rsid w:val="0095579D"/>
    <w:rsid w:val="00955BF2"/>
    <w:rsid w:val="0095674D"/>
    <w:rsid w:val="0095686F"/>
    <w:rsid w:val="00956905"/>
    <w:rsid w:val="00960419"/>
    <w:rsid w:val="009614C6"/>
    <w:rsid w:val="00961B59"/>
    <w:rsid w:val="00962BFB"/>
    <w:rsid w:val="00962E1C"/>
    <w:rsid w:val="0096349D"/>
    <w:rsid w:val="00964954"/>
    <w:rsid w:val="009652CE"/>
    <w:rsid w:val="00965C02"/>
    <w:rsid w:val="00966B66"/>
    <w:rsid w:val="00966DEC"/>
    <w:rsid w:val="00970575"/>
    <w:rsid w:val="00972C07"/>
    <w:rsid w:val="00974EE5"/>
    <w:rsid w:val="0097673B"/>
    <w:rsid w:val="0098120D"/>
    <w:rsid w:val="0098352B"/>
    <w:rsid w:val="00983BFE"/>
    <w:rsid w:val="00987248"/>
    <w:rsid w:val="00987C7D"/>
    <w:rsid w:val="00990380"/>
    <w:rsid w:val="00990EF3"/>
    <w:rsid w:val="0099102F"/>
    <w:rsid w:val="00992125"/>
    <w:rsid w:val="009921DB"/>
    <w:rsid w:val="009940EF"/>
    <w:rsid w:val="00994A8D"/>
    <w:rsid w:val="00994D06"/>
    <w:rsid w:val="0099518A"/>
    <w:rsid w:val="00995AA2"/>
    <w:rsid w:val="00996FE8"/>
    <w:rsid w:val="00997CF0"/>
    <w:rsid w:val="009A0BBC"/>
    <w:rsid w:val="009A1294"/>
    <w:rsid w:val="009A317B"/>
    <w:rsid w:val="009A5AFD"/>
    <w:rsid w:val="009A6273"/>
    <w:rsid w:val="009A6EFD"/>
    <w:rsid w:val="009B13D4"/>
    <w:rsid w:val="009B1690"/>
    <w:rsid w:val="009B39DC"/>
    <w:rsid w:val="009B5AFD"/>
    <w:rsid w:val="009B61E7"/>
    <w:rsid w:val="009C0087"/>
    <w:rsid w:val="009C09E4"/>
    <w:rsid w:val="009C0AB7"/>
    <w:rsid w:val="009C1969"/>
    <w:rsid w:val="009C6E72"/>
    <w:rsid w:val="009D2791"/>
    <w:rsid w:val="009D2970"/>
    <w:rsid w:val="009D3C3F"/>
    <w:rsid w:val="009D4D67"/>
    <w:rsid w:val="009D635B"/>
    <w:rsid w:val="009D66DC"/>
    <w:rsid w:val="009D6BEE"/>
    <w:rsid w:val="009D701F"/>
    <w:rsid w:val="009D7F6F"/>
    <w:rsid w:val="009E0393"/>
    <w:rsid w:val="009E06A2"/>
    <w:rsid w:val="009E07D3"/>
    <w:rsid w:val="009E37D9"/>
    <w:rsid w:val="009E523F"/>
    <w:rsid w:val="009E5314"/>
    <w:rsid w:val="009E75F1"/>
    <w:rsid w:val="009F06F2"/>
    <w:rsid w:val="009F1E23"/>
    <w:rsid w:val="009F3982"/>
    <w:rsid w:val="009F635E"/>
    <w:rsid w:val="00A001D2"/>
    <w:rsid w:val="00A00318"/>
    <w:rsid w:val="00A02BA7"/>
    <w:rsid w:val="00A02C5D"/>
    <w:rsid w:val="00A05B04"/>
    <w:rsid w:val="00A1293A"/>
    <w:rsid w:val="00A1307D"/>
    <w:rsid w:val="00A13766"/>
    <w:rsid w:val="00A140D3"/>
    <w:rsid w:val="00A1446B"/>
    <w:rsid w:val="00A167F2"/>
    <w:rsid w:val="00A173B4"/>
    <w:rsid w:val="00A17EFE"/>
    <w:rsid w:val="00A20C78"/>
    <w:rsid w:val="00A2277A"/>
    <w:rsid w:val="00A229E0"/>
    <w:rsid w:val="00A2312E"/>
    <w:rsid w:val="00A23938"/>
    <w:rsid w:val="00A24323"/>
    <w:rsid w:val="00A25060"/>
    <w:rsid w:val="00A2512C"/>
    <w:rsid w:val="00A2515B"/>
    <w:rsid w:val="00A252AE"/>
    <w:rsid w:val="00A2588E"/>
    <w:rsid w:val="00A26256"/>
    <w:rsid w:val="00A26AC1"/>
    <w:rsid w:val="00A26EDF"/>
    <w:rsid w:val="00A2724D"/>
    <w:rsid w:val="00A2790D"/>
    <w:rsid w:val="00A27E44"/>
    <w:rsid w:val="00A33B13"/>
    <w:rsid w:val="00A340ED"/>
    <w:rsid w:val="00A34105"/>
    <w:rsid w:val="00A3444A"/>
    <w:rsid w:val="00A34789"/>
    <w:rsid w:val="00A35DF3"/>
    <w:rsid w:val="00A3630E"/>
    <w:rsid w:val="00A37BB8"/>
    <w:rsid w:val="00A37D74"/>
    <w:rsid w:val="00A407A6"/>
    <w:rsid w:val="00A41E75"/>
    <w:rsid w:val="00A41FF8"/>
    <w:rsid w:val="00A42059"/>
    <w:rsid w:val="00A42D87"/>
    <w:rsid w:val="00A4322B"/>
    <w:rsid w:val="00A44BD3"/>
    <w:rsid w:val="00A45029"/>
    <w:rsid w:val="00A4521D"/>
    <w:rsid w:val="00A46D6F"/>
    <w:rsid w:val="00A46F9E"/>
    <w:rsid w:val="00A4742F"/>
    <w:rsid w:val="00A510F5"/>
    <w:rsid w:val="00A51F0A"/>
    <w:rsid w:val="00A53063"/>
    <w:rsid w:val="00A531B7"/>
    <w:rsid w:val="00A54EF2"/>
    <w:rsid w:val="00A55D48"/>
    <w:rsid w:val="00A56533"/>
    <w:rsid w:val="00A57BEB"/>
    <w:rsid w:val="00A57D7D"/>
    <w:rsid w:val="00A61673"/>
    <w:rsid w:val="00A64926"/>
    <w:rsid w:val="00A64DFB"/>
    <w:rsid w:val="00A6560F"/>
    <w:rsid w:val="00A658E6"/>
    <w:rsid w:val="00A665CF"/>
    <w:rsid w:val="00A67CA7"/>
    <w:rsid w:val="00A703EB"/>
    <w:rsid w:val="00A70F44"/>
    <w:rsid w:val="00A7185F"/>
    <w:rsid w:val="00A72084"/>
    <w:rsid w:val="00A72202"/>
    <w:rsid w:val="00A73264"/>
    <w:rsid w:val="00A73801"/>
    <w:rsid w:val="00A73989"/>
    <w:rsid w:val="00A77133"/>
    <w:rsid w:val="00A7752F"/>
    <w:rsid w:val="00A80375"/>
    <w:rsid w:val="00A83BB2"/>
    <w:rsid w:val="00A85035"/>
    <w:rsid w:val="00A85122"/>
    <w:rsid w:val="00A85C35"/>
    <w:rsid w:val="00A86226"/>
    <w:rsid w:val="00A91EDC"/>
    <w:rsid w:val="00A92061"/>
    <w:rsid w:val="00A93299"/>
    <w:rsid w:val="00A94249"/>
    <w:rsid w:val="00A94BC9"/>
    <w:rsid w:val="00A959BC"/>
    <w:rsid w:val="00A95BB1"/>
    <w:rsid w:val="00A9628B"/>
    <w:rsid w:val="00A967AA"/>
    <w:rsid w:val="00AA15FE"/>
    <w:rsid w:val="00AA20E9"/>
    <w:rsid w:val="00AA2562"/>
    <w:rsid w:val="00AA3C60"/>
    <w:rsid w:val="00AA4CB0"/>
    <w:rsid w:val="00AB0B76"/>
    <w:rsid w:val="00AB1065"/>
    <w:rsid w:val="00AB11BE"/>
    <w:rsid w:val="00AB2113"/>
    <w:rsid w:val="00AB2FF4"/>
    <w:rsid w:val="00AB5430"/>
    <w:rsid w:val="00AB5F01"/>
    <w:rsid w:val="00AB5F9C"/>
    <w:rsid w:val="00AB7B37"/>
    <w:rsid w:val="00AC1AD6"/>
    <w:rsid w:val="00AC238D"/>
    <w:rsid w:val="00AC2B24"/>
    <w:rsid w:val="00AC6BD4"/>
    <w:rsid w:val="00AC79AB"/>
    <w:rsid w:val="00AD20DD"/>
    <w:rsid w:val="00AD270A"/>
    <w:rsid w:val="00AD3F4C"/>
    <w:rsid w:val="00AD4A04"/>
    <w:rsid w:val="00AD5310"/>
    <w:rsid w:val="00AD5F38"/>
    <w:rsid w:val="00AD64DF"/>
    <w:rsid w:val="00AE1025"/>
    <w:rsid w:val="00AE3F03"/>
    <w:rsid w:val="00AE64F0"/>
    <w:rsid w:val="00AE71AA"/>
    <w:rsid w:val="00AF053B"/>
    <w:rsid w:val="00AF0DBD"/>
    <w:rsid w:val="00AF1132"/>
    <w:rsid w:val="00AF22B9"/>
    <w:rsid w:val="00AF23C8"/>
    <w:rsid w:val="00AF2AE2"/>
    <w:rsid w:val="00AF2DAD"/>
    <w:rsid w:val="00AF4EC2"/>
    <w:rsid w:val="00AF55A2"/>
    <w:rsid w:val="00AF74B5"/>
    <w:rsid w:val="00B0242D"/>
    <w:rsid w:val="00B0377E"/>
    <w:rsid w:val="00B0575B"/>
    <w:rsid w:val="00B05B03"/>
    <w:rsid w:val="00B05FC8"/>
    <w:rsid w:val="00B07BA9"/>
    <w:rsid w:val="00B10020"/>
    <w:rsid w:val="00B10055"/>
    <w:rsid w:val="00B1141E"/>
    <w:rsid w:val="00B1278B"/>
    <w:rsid w:val="00B1405A"/>
    <w:rsid w:val="00B14D4E"/>
    <w:rsid w:val="00B17295"/>
    <w:rsid w:val="00B21569"/>
    <w:rsid w:val="00B215F5"/>
    <w:rsid w:val="00B21898"/>
    <w:rsid w:val="00B2368D"/>
    <w:rsid w:val="00B249A8"/>
    <w:rsid w:val="00B24F04"/>
    <w:rsid w:val="00B24F38"/>
    <w:rsid w:val="00B257AC"/>
    <w:rsid w:val="00B25AFE"/>
    <w:rsid w:val="00B26B62"/>
    <w:rsid w:val="00B27A54"/>
    <w:rsid w:val="00B27BD2"/>
    <w:rsid w:val="00B30783"/>
    <w:rsid w:val="00B323AC"/>
    <w:rsid w:val="00B34296"/>
    <w:rsid w:val="00B41F0F"/>
    <w:rsid w:val="00B42560"/>
    <w:rsid w:val="00B44F72"/>
    <w:rsid w:val="00B44FF2"/>
    <w:rsid w:val="00B455AA"/>
    <w:rsid w:val="00B45778"/>
    <w:rsid w:val="00B457A1"/>
    <w:rsid w:val="00B4630F"/>
    <w:rsid w:val="00B464B1"/>
    <w:rsid w:val="00B46D44"/>
    <w:rsid w:val="00B46FF9"/>
    <w:rsid w:val="00B47A4A"/>
    <w:rsid w:val="00B47B99"/>
    <w:rsid w:val="00B506F2"/>
    <w:rsid w:val="00B510E3"/>
    <w:rsid w:val="00B521AC"/>
    <w:rsid w:val="00B524E2"/>
    <w:rsid w:val="00B52702"/>
    <w:rsid w:val="00B52C2B"/>
    <w:rsid w:val="00B532ED"/>
    <w:rsid w:val="00B5498D"/>
    <w:rsid w:val="00B5501D"/>
    <w:rsid w:val="00B561D1"/>
    <w:rsid w:val="00B56B7B"/>
    <w:rsid w:val="00B5701C"/>
    <w:rsid w:val="00B574ED"/>
    <w:rsid w:val="00B60027"/>
    <w:rsid w:val="00B6151E"/>
    <w:rsid w:val="00B616D9"/>
    <w:rsid w:val="00B64962"/>
    <w:rsid w:val="00B64DBE"/>
    <w:rsid w:val="00B66096"/>
    <w:rsid w:val="00B676EC"/>
    <w:rsid w:val="00B7016C"/>
    <w:rsid w:val="00B7039B"/>
    <w:rsid w:val="00B70821"/>
    <w:rsid w:val="00B70ACD"/>
    <w:rsid w:val="00B72C72"/>
    <w:rsid w:val="00B732C6"/>
    <w:rsid w:val="00B74D1E"/>
    <w:rsid w:val="00B76A18"/>
    <w:rsid w:val="00B80D08"/>
    <w:rsid w:val="00B81956"/>
    <w:rsid w:val="00B83F16"/>
    <w:rsid w:val="00B84C6C"/>
    <w:rsid w:val="00B866A3"/>
    <w:rsid w:val="00B92071"/>
    <w:rsid w:val="00B92687"/>
    <w:rsid w:val="00B93C0C"/>
    <w:rsid w:val="00B94248"/>
    <w:rsid w:val="00B942A1"/>
    <w:rsid w:val="00B94B4F"/>
    <w:rsid w:val="00B9502B"/>
    <w:rsid w:val="00B9688C"/>
    <w:rsid w:val="00B976F6"/>
    <w:rsid w:val="00BA08E9"/>
    <w:rsid w:val="00BA1B17"/>
    <w:rsid w:val="00BA26BE"/>
    <w:rsid w:val="00BA2DD5"/>
    <w:rsid w:val="00BA3946"/>
    <w:rsid w:val="00BA5EEF"/>
    <w:rsid w:val="00BA5F41"/>
    <w:rsid w:val="00BA60C4"/>
    <w:rsid w:val="00BA648D"/>
    <w:rsid w:val="00BA7385"/>
    <w:rsid w:val="00BB0130"/>
    <w:rsid w:val="00BB187C"/>
    <w:rsid w:val="00BB1EC2"/>
    <w:rsid w:val="00BB296B"/>
    <w:rsid w:val="00BB2A9C"/>
    <w:rsid w:val="00BB3622"/>
    <w:rsid w:val="00BB55C8"/>
    <w:rsid w:val="00BB5A73"/>
    <w:rsid w:val="00BB5D3C"/>
    <w:rsid w:val="00BB6298"/>
    <w:rsid w:val="00BB682C"/>
    <w:rsid w:val="00BB7CA9"/>
    <w:rsid w:val="00BC1C4C"/>
    <w:rsid w:val="00BC236B"/>
    <w:rsid w:val="00BC2BB4"/>
    <w:rsid w:val="00BC3A45"/>
    <w:rsid w:val="00BC5B23"/>
    <w:rsid w:val="00BC5C28"/>
    <w:rsid w:val="00BC65D9"/>
    <w:rsid w:val="00BC691A"/>
    <w:rsid w:val="00BC6AB8"/>
    <w:rsid w:val="00BC7C52"/>
    <w:rsid w:val="00BD0756"/>
    <w:rsid w:val="00BD0CF6"/>
    <w:rsid w:val="00BD1471"/>
    <w:rsid w:val="00BD14C5"/>
    <w:rsid w:val="00BD196A"/>
    <w:rsid w:val="00BD2081"/>
    <w:rsid w:val="00BD2311"/>
    <w:rsid w:val="00BD278A"/>
    <w:rsid w:val="00BD2CFF"/>
    <w:rsid w:val="00BD2EE5"/>
    <w:rsid w:val="00BD470C"/>
    <w:rsid w:val="00BD5055"/>
    <w:rsid w:val="00BD545B"/>
    <w:rsid w:val="00BD6262"/>
    <w:rsid w:val="00BD76D2"/>
    <w:rsid w:val="00BD7EED"/>
    <w:rsid w:val="00BE0EF9"/>
    <w:rsid w:val="00BE4C48"/>
    <w:rsid w:val="00BE5826"/>
    <w:rsid w:val="00BE61C1"/>
    <w:rsid w:val="00BE64AF"/>
    <w:rsid w:val="00BE6717"/>
    <w:rsid w:val="00BF0381"/>
    <w:rsid w:val="00BF04E0"/>
    <w:rsid w:val="00BF446E"/>
    <w:rsid w:val="00BF547B"/>
    <w:rsid w:val="00BF585F"/>
    <w:rsid w:val="00BF6C5B"/>
    <w:rsid w:val="00BF6E7B"/>
    <w:rsid w:val="00C01021"/>
    <w:rsid w:val="00C0141F"/>
    <w:rsid w:val="00C02F25"/>
    <w:rsid w:val="00C04247"/>
    <w:rsid w:val="00C048AF"/>
    <w:rsid w:val="00C0540F"/>
    <w:rsid w:val="00C05956"/>
    <w:rsid w:val="00C077E0"/>
    <w:rsid w:val="00C07DE6"/>
    <w:rsid w:val="00C10926"/>
    <w:rsid w:val="00C154B5"/>
    <w:rsid w:val="00C16600"/>
    <w:rsid w:val="00C17872"/>
    <w:rsid w:val="00C205E9"/>
    <w:rsid w:val="00C212FC"/>
    <w:rsid w:val="00C22429"/>
    <w:rsid w:val="00C23F48"/>
    <w:rsid w:val="00C262BD"/>
    <w:rsid w:val="00C2695B"/>
    <w:rsid w:val="00C26B2E"/>
    <w:rsid w:val="00C2722A"/>
    <w:rsid w:val="00C30E04"/>
    <w:rsid w:val="00C310C2"/>
    <w:rsid w:val="00C31288"/>
    <w:rsid w:val="00C331BE"/>
    <w:rsid w:val="00C36525"/>
    <w:rsid w:val="00C37605"/>
    <w:rsid w:val="00C40EB3"/>
    <w:rsid w:val="00C41ADB"/>
    <w:rsid w:val="00C41BD9"/>
    <w:rsid w:val="00C434FD"/>
    <w:rsid w:val="00C4350E"/>
    <w:rsid w:val="00C43B93"/>
    <w:rsid w:val="00C43E47"/>
    <w:rsid w:val="00C46C8F"/>
    <w:rsid w:val="00C47174"/>
    <w:rsid w:val="00C47A26"/>
    <w:rsid w:val="00C47AC7"/>
    <w:rsid w:val="00C5192E"/>
    <w:rsid w:val="00C51AEE"/>
    <w:rsid w:val="00C5201E"/>
    <w:rsid w:val="00C524D2"/>
    <w:rsid w:val="00C52DE6"/>
    <w:rsid w:val="00C5368A"/>
    <w:rsid w:val="00C544A8"/>
    <w:rsid w:val="00C566B3"/>
    <w:rsid w:val="00C57812"/>
    <w:rsid w:val="00C57A71"/>
    <w:rsid w:val="00C6016B"/>
    <w:rsid w:val="00C6179A"/>
    <w:rsid w:val="00C634A7"/>
    <w:rsid w:val="00C638D7"/>
    <w:rsid w:val="00C638DF"/>
    <w:rsid w:val="00C63E98"/>
    <w:rsid w:val="00C64720"/>
    <w:rsid w:val="00C6517F"/>
    <w:rsid w:val="00C6562E"/>
    <w:rsid w:val="00C67BA6"/>
    <w:rsid w:val="00C70899"/>
    <w:rsid w:val="00C70DA3"/>
    <w:rsid w:val="00C71915"/>
    <w:rsid w:val="00C71920"/>
    <w:rsid w:val="00C72A63"/>
    <w:rsid w:val="00C73114"/>
    <w:rsid w:val="00C73ECB"/>
    <w:rsid w:val="00C77A70"/>
    <w:rsid w:val="00C77D5C"/>
    <w:rsid w:val="00C80149"/>
    <w:rsid w:val="00C807E5"/>
    <w:rsid w:val="00C80AE4"/>
    <w:rsid w:val="00C816F8"/>
    <w:rsid w:val="00C81C5D"/>
    <w:rsid w:val="00C82EC4"/>
    <w:rsid w:val="00C83570"/>
    <w:rsid w:val="00C857F1"/>
    <w:rsid w:val="00C871C4"/>
    <w:rsid w:val="00C9204E"/>
    <w:rsid w:val="00C95E07"/>
    <w:rsid w:val="00C96489"/>
    <w:rsid w:val="00C96B33"/>
    <w:rsid w:val="00C97301"/>
    <w:rsid w:val="00C97A00"/>
    <w:rsid w:val="00CA1130"/>
    <w:rsid w:val="00CA415F"/>
    <w:rsid w:val="00CA529D"/>
    <w:rsid w:val="00CA5EA7"/>
    <w:rsid w:val="00CA757D"/>
    <w:rsid w:val="00CB026C"/>
    <w:rsid w:val="00CB270D"/>
    <w:rsid w:val="00CB2C14"/>
    <w:rsid w:val="00CB2D0E"/>
    <w:rsid w:val="00CB3670"/>
    <w:rsid w:val="00CB5A49"/>
    <w:rsid w:val="00CB5A78"/>
    <w:rsid w:val="00CB5C15"/>
    <w:rsid w:val="00CB678B"/>
    <w:rsid w:val="00CC1228"/>
    <w:rsid w:val="00CC1A21"/>
    <w:rsid w:val="00CC29B8"/>
    <w:rsid w:val="00CC2A48"/>
    <w:rsid w:val="00CC2D32"/>
    <w:rsid w:val="00CC2F89"/>
    <w:rsid w:val="00CC397D"/>
    <w:rsid w:val="00CC45B2"/>
    <w:rsid w:val="00CC4947"/>
    <w:rsid w:val="00CC4DF5"/>
    <w:rsid w:val="00CC66DE"/>
    <w:rsid w:val="00CC719A"/>
    <w:rsid w:val="00CC7C0C"/>
    <w:rsid w:val="00CD0974"/>
    <w:rsid w:val="00CD3A3C"/>
    <w:rsid w:val="00CD4592"/>
    <w:rsid w:val="00CD5694"/>
    <w:rsid w:val="00CD75E3"/>
    <w:rsid w:val="00CE09E6"/>
    <w:rsid w:val="00CE1CE4"/>
    <w:rsid w:val="00CE2627"/>
    <w:rsid w:val="00CE2C11"/>
    <w:rsid w:val="00CE2C4C"/>
    <w:rsid w:val="00CE2EB2"/>
    <w:rsid w:val="00CE45B8"/>
    <w:rsid w:val="00CE509B"/>
    <w:rsid w:val="00CE525D"/>
    <w:rsid w:val="00CE5C99"/>
    <w:rsid w:val="00CE70F5"/>
    <w:rsid w:val="00CF2140"/>
    <w:rsid w:val="00CF23EE"/>
    <w:rsid w:val="00CF3285"/>
    <w:rsid w:val="00CF3497"/>
    <w:rsid w:val="00CF41D3"/>
    <w:rsid w:val="00CF4AA0"/>
    <w:rsid w:val="00CF4B8A"/>
    <w:rsid w:val="00D01141"/>
    <w:rsid w:val="00D06AC1"/>
    <w:rsid w:val="00D103A8"/>
    <w:rsid w:val="00D10A49"/>
    <w:rsid w:val="00D11357"/>
    <w:rsid w:val="00D11953"/>
    <w:rsid w:val="00D126F7"/>
    <w:rsid w:val="00D129F5"/>
    <w:rsid w:val="00D12ED9"/>
    <w:rsid w:val="00D141DD"/>
    <w:rsid w:val="00D1494A"/>
    <w:rsid w:val="00D14E46"/>
    <w:rsid w:val="00D174B2"/>
    <w:rsid w:val="00D2079E"/>
    <w:rsid w:val="00D211F5"/>
    <w:rsid w:val="00D21887"/>
    <w:rsid w:val="00D2257B"/>
    <w:rsid w:val="00D22B3D"/>
    <w:rsid w:val="00D266DE"/>
    <w:rsid w:val="00D313DD"/>
    <w:rsid w:val="00D31689"/>
    <w:rsid w:val="00D325D3"/>
    <w:rsid w:val="00D3316B"/>
    <w:rsid w:val="00D35365"/>
    <w:rsid w:val="00D355E8"/>
    <w:rsid w:val="00D35F85"/>
    <w:rsid w:val="00D36946"/>
    <w:rsid w:val="00D37A26"/>
    <w:rsid w:val="00D421EC"/>
    <w:rsid w:val="00D437FA"/>
    <w:rsid w:val="00D43DD6"/>
    <w:rsid w:val="00D454EC"/>
    <w:rsid w:val="00D46535"/>
    <w:rsid w:val="00D476CD"/>
    <w:rsid w:val="00D47CA7"/>
    <w:rsid w:val="00D51C2C"/>
    <w:rsid w:val="00D559D5"/>
    <w:rsid w:val="00D55A36"/>
    <w:rsid w:val="00D5689A"/>
    <w:rsid w:val="00D569C0"/>
    <w:rsid w:val="00D57072"/>
    <w:rsid w:val="00D5747B"/>
    <w:rsid w:val="00D61249"/>
    <w:rsid w:val="00D61AE5"/>
    <w:rsid w:val="00D63A66"/>
    <w:rsid w:val="00D64636"/>
    <w:rsid w:val="00D668E4"/>
    <w:rsid w:val="00D66933"/>
    <w:rsid w:val="00D67466"/>
    <w:rsid w:val="00D67AF2"/>
    <w:rsid w:val="00D7047B"/>
    <w:rsid w:val="00D705D7"/>
    <w:rsid w:val="00D70735"/>
    <w:rsid w:val="00D71884"/>
    <w:rsid w:val="00D729A9"/>
    <w:rsid w:val="00D741F4"/>
    <w:rsid w:val="00D74FEC"/>
    <w:rsid w:val="00D75505"/>
    <w:rsid w:val="00D763D9"/>
    <w:rsid w:val="00D76695"/>
    <w:rsid w:val="00D77DAB"/>
    <w:rsid w:val="00D80998"/>
    <w:rsid w:val="00D8228F"/>
    <w:rsid w:val="00D83CAB"/>
    <w:rsid w:val="00D83CB1"/>
    <w:rsid w:val="00D8517A"/>
    <w:rsid w:val="00D862DA"/>
    <w:rsid w:val="00D8640C"/>
    <w:rsid w:val="00D86456"/>
    <w:rsid w:val="00D870BD"/>
    <w:rsid w:val="00D90ED8"/>
    <w:rsid w:val="00D91276"/>
    <w:rsid w:val="00D92F79"/>
    <w:rsid w:val="00D930E7"/>
    <w:rsid w:val="00D936C9"/>
    <w:rsid w:val="00D96D83"/>
    <w:rsid w:val="00DA11E2"/>
    <w:rsid w:val="00DA3D7B"/>
    <w:rsid w:val="00DA6721"/>
    <w:rsid w:val="00DA7189"/>
    <w:rsid w:val="00DA7370"/>
    <w:rsid w:val="00DA77D2"/>
    <w:rsid w:val="00DB1190"/>
    <w:rsid w:val="00DB2FE9"/>
    <w:rsid w:val="00DB3E68"/>
    <w:rsid w:val="00DB4594"/>
    <w:rsid w:val="00DB4AA3"/>
    <w:rsid w:val="00DB68B6"/>
    <w:rsid w:val="00DB68FF"/>
    <w:rsid w:val="00DB7230"/>
    <w:rsid w:val="00DB7E34"/>
    <w:rsid w:val="00DC32BA"/>
    <w:rsid w:val="00DC5FD8"/>
    <w:rsid w:val="00DC6160"/>
    <w:rsid w:val="00DC624A"/>
    <w:rsid w:val="00DD0DCC"/>
    <w:rsid w:val="00DD1162"/>
    <w:rsid w:val="00DD1B96"/>
    <w:rsid w:val="00DD6518"/>
    <w:rsid w:val="00DD6537"/>
    <w:rsid w:val="00DD6667"/>
    <w:rsid w:val="00DD6DDA"/>
    <w:rsid w:val="00DD74A2"/>
    <w:rsid w:val="00DD75F9"/>
    <w:rsid w:val="00DD760B"/>
    <w:rsid w:val="00DD79F5"/>
    <w:rsid w:val="00DE222B"/>
    <w:rsid w:val="00DE383B"/>
    <w:rsid w:val="00DE49BE"/>
    <w:rsid w:val="00DE53D5"/>
    <w:rsid w:val="00DE6576"/>
    <w:rsid w:val="00DE7490"/>
    <w:rsid w:val="00DF0664"/>
    <w:rsid w:val="00DF0CB1"/>
    <w:rsid w:val="00DF11DB"/>
    <w:rsid w:val="00DF1E1C"/>
    <w:rsid w:val="00DF4614"/>
    <w:rsid w:val="00DF6221"/>
    <w:rsid w:val="00DF6D10"/>
    <w:rsid w:val="00DF7B25"/>
    <w:rsid w:val="00E00744"/>
    <w:rsid w:val="00E00B67"/>
    <w:rsid w:val="00E01E76"/>
    <w:rsid w:val="00E0213F"/>
    <w:rsid w:val="00E035CE"/>
    <w:rsid w:val="00E03BAE"/>
    <w:rsid w:val="00E04840"/>
    <w:rsid w:val="00E073A2"/>
    <w:rsid w:val="00E131DD"/>
    <w:rsid w:val="00E135A1"/>
    <w:rsid w:val="00E1496E"/>
    <w:rsid w:val="00E16EF1"/>
    <w:rsid w:val="00E177A0"/>
    <w:rsid w:val="00E17F63"/>
    <w:rsid w:val="00E2060C"/>
    <w:rsid w:val="00E20A0E"/>
    <w:rsid w:val="00E20EB8"/>
    <w:rsid w:val="00E21B92"/>
    <w:rsid w:val="00E27C32"/>
    <w:rsid w:val="00E27F71"/>
    <w:rsid w:val="00E30989"/>
    <w:rsid w:val="00E332EE"/>
    <w:rsid w:val="00E350B7"/>
    <w:rsid w:val="00E350D6"/>
    <w:rsid w:val="00E35580"/>
    <w:rsid w:val="00E35CB8"/>
    <w:rsid w:val="00E368C3"/>
    <w:rsid w:val="00E3764A"/>
    <w:rsid w:val="00E43C06"/>
    <w:rsid w:val="00E4429D"/>
    <w:rsid w:val="00E449B1"/>
    <w:rsid w:val="00E452F5"/>
    <w:rsid w:val="00E456F8"/>
    <w:rsid w:val="00E472CF"/>
    <w:rsid w:val="00E47B31"/>
    <w:rsid w:val="00E501F7"/>
    <w:rsid w:val="00E5082D"/>
    <w:rsid w:val="00E52C1E"/>
    <w:rsid w:val="00E53DEA"/>
    <w:rsid w:val="00E55518"/>
    <w:rsid w:val="00E574A9"/>
    <w:rsid w:val="00E60136"/>
    <w:rsid w:val="00E6074E"/>
    <w:rsid w:val="00E61355"/>
    <w:rsid w:val="00E613BC"/>
    <w:rsid w:val="00E61F1E"/>
    <w:rsid w:val="00E6221C"/>
    <w:rsid w:val="00E628B1"/>
    <w:rsid w:val="00E63287"/>
    <w:rsid w:val="00E66861"/>
    <w:rsid w:val="00E66E21"/>
    <w:rsid w:val="00E67063"/>
    <w:rsid w:val="00E67982"/>
    <w:rsid w:val="00E7023C"/>
    <w:rsid w:val="00E70F38"/>
    <w:rsid w:val="00E710FC"/>
    <w:rsid w:val="00E71915"/>
    <w:rsid w:val="00E72409"/>
    <w:rsid w:val="00E74313"/>
    <w:rsid w:val="00E75585"/>
    <w:rsid w:val="00E77FA2"/>
    <w:rsid w:val="00E80916"/>
    <w:rsid w:val="00E8375C"/>
    <w:rsid w:val="00E8380C"/>
    <w:rsid w:val="00E840DF"/>
    <w:rsid w:val="00E8452A"/>
    <w:rsid w:val="00E8560F"/>
    <w:rsid w:val="00E8780A"/>
    <w:rsid w:val="00E903D1"/>
    <w:rsid w:val="00E91441"/>
    <w:rsid w:val="00E93B66"/>
    <w:rsid w:val="00E94C23"/>
    <w:rsid w:val="00E957FC"/>
    <w:rsid w:val="00E95DAC"/>
    <w:rsid w:val="00E97834"/>
    <w:rsid w:val="00EA00D3"/>
    <w:rsid w:val="00EA0289"/>
    <w:rsid w:val="00EA238A"/>
    <w:rsid w:val="00EA3000"/>
    <w:rsid w:val="00EB11D1"/>
    <w:rsid w:val="00EB12B9"/>
    <w:rsid w:val="00EB1694"/>
    <w:rsid w:val="00EB181B"/>
    <w:rsid w:val="00EB1CA4"/>
    <w:rsid w:val="00EB2DEA"/>
    <w:rsid w:val="00EB6FCF"/>
    <w:rsid w:val="00EC0594"/>
    <w:rsid w:val="00EC0915"/>
    <w:rsid w:val="00EC341C"/>
    <w:rsid w:val="00ED1657"/>
    <w:rsid w:val="00ED196A"/>
    <w:rsid w:val="00ED54E1"/>
    <w:rsid w:val="00ED5637"/>
    <w:rsid w:val="00ED6618"/>
    <w:rsid w:val="00ED708F"/>
    <w:rsid w:val="00ED753F"/>
    <w:rsid w:val="00EE203D"/>
    <w:rsid w:val="00EE3631"/>
    <w:rsid w:val="00EE39BB"/>
    <w:rsid w:val="00EE4FBE"/>
    <w:rsid w:val="00EE7136"/>
    <w:rsid w:val="00EE71C9"/>
    <w:rsid w:val="00EF352D"/>
    <w:rsid w:val="00EF38A9"/>
    <w:rsid w:val="00EF4742"/>
    <w:rsid w:val="00EF4AEE"/>
    <w:rsid w:val="00EF6E41"/>
    <w:rsid w:val="00F01419"/>
    <w:rsid w:val="00F02BB9"/>
    <w:rsid w:val="00F03BF4"/>
    <w:rsid w:val="00F03F3B"/>
    <w:rsid w:val="00F0486F"/>
    <w:rsid w:val="00F06FD2"/>
    <w:rsid w:val="00F071CC"/>
    <w:rsid w:val="00F07468"/>
    <w:rsid w:val="00F10365"/>
    <w:rsid w:val="00F10DEB"/>
    <w:rsid w:val="00F1171E"/>
    <w:rsid w:val="00F1196F"/>
    <w:rsid w:val="00F11DDC"/>
    <w:rsid w:val="00F1302B"/>
    <w:rsid w:val="00F13F76"/>
    <w:rsid w:val="00F14130"/>
    <w:rsid w:val="00F14AE6"/>
    <w:rsid w:val="00F15366"/>
    <w:rsid w:val="00F153C1"/>
    <w:rsid w:val="00F20143"/>
    <w:rsid w:val="00F214CA"/>
    <w:rsid w:val="00F2176B"/>
    <w:rsid w:val="00F217E8"/>
    <w:rsid w:val="00F21EDC"/>
    <w:rsid w:val="00F2269F"/>
    <w:rsid w:val="00F22D82"/>
    <w:rsid w:val="00F22FE8"/>
    <w:rsid w:val="00F2333B"/>
    <w:rsid w:val="00F23A8E"/>
    <w:rsid w:val="00F258E1"/>
    <w:rsid w:val="00F265C1"/>
    <w:rsid w:val="00F26D40"/>
    <w:rsid w:val="00F27CC8"/>
    <w:rsid w:val="00F32265"/>
    <w:rsid w:val="00F33504"/>
    <w:rsid w:val="00F340B6"/>
    <w:rsid w:val="00F361B7"/>
    <w:rsid w:val="00F36776"/>
    <w:rsid w:val="00F371E0"/>
    <w:rsid w:val="00F40BAE"/>
    <w:rsid w:val="00F515A6"/>
    <w:rsid w:val="00F51A53"/>
    <w:rsid w:val="00F52F93"/>
    <w:rsid w:val="00F531ED"/>
    <w:rsid w:val="00F54608"/>
    <w:rsid w:val="00F552F2"/>
    <w:rsid w:val="00F55E52"/>
    <w:rsid w:val="00F57B90"/>
    <w:rsid w:val="00F57EF0"/>
    <w:rsid w:val="00F61FCF"/>
    <w:rsid w:val="00F627E2"/>
    <w:rsid w:val="00F66DFC"/>
    <w:rsid w:val="00F70D38"/>
    <w:rsid w:val="00F71520"/>
    <w:rsid w:val="00F74A8A"/>
    <w:rsid w:val="00F7590F"/>
    <w:rsid w:val="00F75FE2"/>
    <w:rsid w:val="00F76106"/>
    <w:rsid w:val="00F77006"/>
    <w:rsid w:val="00F772CC"/>
    <w:rsid w:val="00F7756C"/>
    <w:rsid w:val="00F828F1"/>
    <w:rsid w:val="00F8483F"/>
    <w:rsid w:val="00F8569E"/>
    <w:rsid w:val="00F85A14"/>
    <w:rsid w:val="00F86865"/>
    <w:rsid w:val="00F9055E"/>
    <w:rsid w:val="00F90EB0"/>
    <w:rsid w:val="00F91078"/>
    <w:rsid w:val="00F9125C"/>
    <w:rsid w:val="00F913C6"/>
    <w:rsid w:val="00F92C74"/>
    <w:rsid w:val="00F94864"/>
    <w:rsid w:val="00F95BDD"/>
    <w:rsid w:val="00F9631E"/>
    <w:rsid w:val="00F96E47"/>
    <w:rsid w:val="00FA02EE"/>
    <w:rsid w:val="00FA2F9B"/>
    <w:rsid w:val="00FA33A6"/>
    <w:rsid w:val="00FA3799"/>
    <w:rsid w:val="00FA408E"/>
    <w:rsid w:val="00FA49FF"/>
    <w:rsid w:val="00FA510C"/>
    <w:rsid w:val="00FA525E"/>
    <w:rsid w:val="00FA7B80"/>
    <w:rsid w:val="00FB042D"/>
    <w:rsid w:val="00FB0B18"/>
    <w:rsid w:val="00FB0C48"/>
    <w:rsid w:val="00FB16CB"/>
    <w:rsid w:val="00FB18EA"/>
    <w:rsid w:val="00FB2ACA"/>
    <w:rsid w:val="00FB673E"/>
    <w:rsid w:val="00FB753B"/>
    <w:rsid w:val="00FC2980"/>
    <w:rsid w:val="00FC3CCF"/>
    <w:rsid w:val="00FC3D57"/>
    <w:rsid w:val="00FC3EB4"/>
    <w:rsid w:val="00FC4592"/>
    <w:rsid w:val="00FC51B8"/>
    <w:rsid w:val="00FC5FD1"/>
    <w:rsid w:val="00FC69E5"/>
    <w:rsid w:val="00FC6C2D"/>
    <w:rsid w:val="00FD064C"/>
    <w:rsid w:val="00FD16AB"/>
    <w:rsid w:val="00FD2E3A"/>
    <w:rsid w:val="00FD2F44"/>
    <w:rsid w:val="00FD3495"/>
    <w:rsid w:val="00FD38DC"/>
    <w:rsid w:val="00FD483A"/>
    <w:rsid w:val="00FD57E0"/>
    <w:rsid w:val="00FD6457"/>
    <w:rsid w:val="00FD6811"/>
    <w:rsid w:val="00FD755E"/>
    <w:rsid w:val="00FD7CD3"/>
    <w:rsid w:val="00FE220A"/>
    <w:rsid w:val="00FE2E0A"/>
    <w:rsid w:val="00FE37ED"/>
    <w:rsid w:val="00FE4088"/>
    <w:rsid w:val="00FE410C"/>
    <w:rsid w:val="00FE44C5"/>
    <w:rsid w:val="00FE6AA3"/>
    <w:rsid w:val="00FE72F4"/>
    <w:rsid w:val="00FF07A9"/>
    <w:rsid w:val="00FF1021"/>
    <w:rsid w:val="00FF141F"/>
    <w:rsid w:val="00FF1543"/>
    <w:rsid w:val="00FF3DC2"/>
    <w:rsid w:val="00FF406D"/>
    <w:rsid w:val="00FF5842"/>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8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1114B9"/>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1114B9"/>
  </w:style>
  <w:style w:type="character" w:styleId="CommentReference">
    <w:name w:val="annotation reference"/>
    <w:basedOn w:val="DefaultParagraphFont"/>
    <w:uiPriority w:val="99"/>
    <w:semiHidden/>
    <w:unhideWhenUsed/>
    <w:locked/>
    <w:rsid w:val="001114B9"/>
    <w:rPr>
      <w:sz w:val="16"/>
      <w:szCs w:val="16"/>
    </w:rPr>
  </w:style>
  <w:style w:type="paragraph" w:styleId="CommentText">
    <w:name w:val="annotation text"/>
    <w:basedOn w:val="Normal"/>
    <w:link w:val="CommentTextChar"/>
    <w:uiPriority w:val="99"/>
    <w:unhideWhenUsed/>
    <w:locked/>
    <w:rsid w:val="001114B9"/>
    <w:pPr>
      <w:spacing w:line="240" w:lineRule="auto"/>
    </w:pPr>
    <w:rPr>
      <w:sz w:val="20"/>
      <w:szCs w:val="20"/>
    </w:rPr>
  </w:style>
  <w:style w:type="character" w:customStyle="1" w:styleId="CommentTextChar">
    <w:name w:val="Comment Text Char"/>
    <w:basedOn w:val="DefaultParagraphFont"/>
    <w:link w:val="CommentText"/>
    <w:uiPriority w:val="99"/>
    <w:rsid w:val="001114B9"/>
    <w:rPr>
      <w:sz w:val="20"/>
      <w:szCs w:val="20"/>
    </w:rPr>
  </w:style>
  <w:style w:type="paragraph" w:styleId="CommentSubject">
    <w:name w:val="annotation subject"/>
    <w:basedOn w:val="CommentText"/>
    <w:next w:val="CommentText"/>
    <w:link w:val="CommentSubjectChar"/>
    <w:uiPriority w:val="99"/>
    <w:semiHidden/>
    <w:unhideWhenUsed/>
    <w:locked/>
    <w:rsid w:val="001114B9"/>
    <w:rPr>
      <w:b/>
      <w:bCs/>
    </w:rPr>
  </w:style>
  <w:style w:type="character" w:customStyle="1" w:styleId="CommentSubjectChar">
    <w:name w:val="Comment Subject Char"/>
    <w:basedOn w:val="CommentTextChar"/>
    <w:link w:val="CommentSubject"/>
    <w:uiPriority w:val="99"/>
    <w:semiHidden/>
    <w:rsid w:val="001114B9"/>
    <w:rPr>
      <w:b/>
      <w:bCs/>
      <w:sz w:val="20"/>
      <w:szCs w:val="20"/>
    </w:rPr>
  </w:style>
  <w:style w:type="paragraph" w:styleId="ListBullet5">
    <w:name w:val="List Bullet 5"/>
    <w:basedOn w:val="Normal"/>
    <w:uiPriority w:val="99"/>
    <w:unhideWhenUsed/>
    <w:locked/>
    <w:rsid w:val="001114B9"/>
    <w:pPr>
      <w:tabs>
        <w:tab w:val="clear" w:pos="720"/>
        <w:tab w:val="num" w:pos="1492"/>
      </w:tabs>
      <w:spacing w:before="120" w:line="312" w:lineRule="auto"/>
      <w:ind w:left="1492" w:hanging="360"/>
      <w:contextualSpacing/>
      <w:jc w:val="both"/>
    </w:pPr>
    <w:rPr>
      <w:rFonts w:ascii="Arial" w:hAnsi="Arial" w:cs="Arial"/>
      <w:sz w:val="22"/>
      <w:szCs w:val="22"/>
    </w:rPr>
  </w:style>
  <w:style w:type="paragraph" w:styleId="Quote">
    <w:name w:val="Quote"/>
    <w:basedOn w:val="Normal"/>
    <w:next w:val="Normal"/>
    <w:link w:val="QuoteChar"/>
    <w:uiPriority w:val="29"/>
    <w:qFormat/>
    <w:locked/>
    <w:rsid w:val="001114B9"/>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1114B9"/>
    <w:rPr>
      <w:rFonts w:ascii="Arial" w:eastAsia="Calibri" w:hAnsi="Arial" w:cs="Arial"/>
      <w:sz w:val="20"/>
      <w:szCs w:val="22"/>
    </w:rPr>
  </w:style>
  <w:style w:type="paragraph" w:styleId="Revision">
    <w:name w:val="Revision"/>
    <w:hidden/>
    <w:uiPriority w:val="99"/>
    <w:semiHidden/>
    <w:rsid w:val="001114B9"/>
  </w:style>
  <w:style w:type="character" w:styleId="Hyperlink">
    <w:name w:val="Hyperlink"/>
    <w:basedOn w:val="DefaultParagraphFont"/>
    <w:uiPriority w:val="99"/>
    <w:unhideWhenUsed/>
    <w:locked/>
    <w:rsid w:val="009B1690"/>
    <w:rPr>
      <w:color w:val="0000FF" w:themeColor="hyperlink"/>
      <w:u w:val="single"/>
    </w:rPr>
  </w:style>
  <w:style w:type="character" w:styleId="UnresolvedMention">
    <w:name w:val="Unresolved Mention"/>
    <w:basedOn w:val="DefaultParagraphFont"/>
    <w:uiPriority w:val="99"/>
    <w:semiHidden/>
    <w:unhideWhenUsed/>
    <w:rsid w:val="009B1690"/>
    <w:rPr>
      <w:color w:val="605E5C"/>
      <w:shd w:val="clear" w:color="auto" w:fill="E1DFDD"/>
    </w:rPr>
  </w:style>
  <w:style w:type="character" w:styleId="Strong">
    <w:name w:val="Strong"/>
    <w:basedOn w:val="DefaultParagraphFont"/>
    <w:uiPriority w:val="22"/>
    <w:qFormat/>
    <w:locked/>
    <w:rsid w:val="003A3473"/>
    <w:rPr>
      <w:b/>
      <w:bCs/>
    </w:rPr>
  </w:style>
  <w:style w:type="table" w:styleId="TableGrid">
    <w:name w:val="Table Grid"/>
    <w:basedOn w:val="TableNormal"/>
    <w:uiPriority w:val="59"/>
    <w:locked/>
    <w:rsid w:val="003A34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Normal"/>
    <w:qFormat/>
    <w:rsid w:val="004445F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445F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445F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445F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445F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445FE"/>
    <w:pPr>
      <w:jc w:val="center"/>
    </w:pPr>
    <w:rPr>
      <w:rFonts w:ascii="Times New Roman" w:hAnsi="Times New Roman"/>
      <w:bCs/>
      <w:szCs w:val="20"/>
      <w:lang w:val="en-GB"/>
    </w:rPr>
  </w:style>
  <w:style w:type="paragraph" w:customStyle="1" w:styleId="Default">
    <w:name w:val="Default"/>
    <w:rsid w:val="004445FE"/>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00A1E79-4BB6-44EE-BBFC-09A58C027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41</Pages>
  <Words>10921</Words>
  <Characters>62250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2024-08-09T07:16:00Z</dcterms:created>
  <dcterms:modified xsi:type="dcterms:W3CDTF">2024-08-12T22:31:00Z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