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3FCA" w14:textId="77777777" w:rsidR="006E0B5E" w:rsidRPr="00704FF8" w:rsidRDefault="006E0B5E" w:rsidP="00704FF8">
      <w:pPr>
        <w:pStyle w:val="OrdersTopLine"/>
      </w:pPr>
      <w:r w:rsidRPr="00704FF8">
        <w:t>HIGH COURT OF AUSTRALIA</w:t>
      </w:r>
    </w:p>
    <w:p w14:paraId="76DDE60C" w14:textId="77777777" w:rsidR="006E0B5E" w:rsidRPr="00704FF8" w:rsidRDefault="006E0B5E" w:rsidP="00704FF8">
      <w:pPr>
        <w:pStyle w:val="OrderCentre"/>
      </w:pPr>
    </w:p>
    <w:p w14:paraId="39CF4702" w14:textId="77777777" w:rsidR="006E0B5E" w:rsidRPr="00C46004" w:rsidRDefault="006E0B5E" w:rsidP="00704FF8">
      <w:pPr>
        <w:pStyle w:val="OrderCentre"/>
        <w:rPr>
          <w:spacing w:val="-4"/>
          <w:sz w:val="24"/>
          <w:szCs w:val="24"/>
        </w:rPr>
      </w:pPr>
      <w:r w:rsidRPr="00C46004">
        <w:rPr>
          <w:spacing w:val="-4"/>
          <w:sz w:val="24"/>
          <w:szCs w:val="24"/>
        </w:rPr>
        <w:t>GAGELER CJ,</w:t>
      </w:r>
    </w:p>
    <w:p w14:paraId="5FE3D9E3" w14:textId="77777777" w:rsidR="006E0B5E" w:rsidRPr="00704FF8" w:rsidRDefault="006E0B5E"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432AC237" w14:textId="77777777" w:rsidR="006E0B5E" w:rsidRPr="00427F3A" w:rsidRDefault="006E0B5E" w:rsidP="00EE5374">
      <w:pPr>
        <w:pStyle w:val="Centre"/>
        <w:rPr>
          <w:lang w:val="en-AU"/>
        </w:rPr>
      </w:pPr>
    </w:p>
    <w:p w14:paraId="5A698F45" w14:textId="77777777" w:rsidR="006E0B5E" w:rsidRPr="00704FF8" w:rsidRDefault="006E0B5E" w:rsidP="00704FF8">
      <w:pPr>
        <w:pStyle w:val="OrdersCenteredBorder"/>
      </w:pPr>
    </w:p>
    <w:p w14:paraId="1EAA3B5C" w14:textId="77777777" w:rsidR="006E0B5E" w:rsidRPr="00704FF8" w:rsidRDefault="006E0B5E" w:rsidP="0032341F">
      <w:pPr>
        <w:pStyle w:val="OrdersBodyHeading"/>
      </w:pPr>
    </w:p>
    <w:p w14:paraId="03B4047A" w14:textId="77777777" w:rsidR="006E0B5E" w:rsidRPr="0032341F" w:rsidRDefault="006E0B5E" w:rsidP="009362E8">
      <w:pPr>
        <w:pStyle w:val="OrdersPartyName"/>
        <w:ind w:right="-1"/>
      </w:pPr>
      <w:r w:rsidRPr="00F37F3F">
        <w:t>BQ</w:t>
      </w:r>
      <w:r w:rsidRPr="0032341F">
        <w:tab/>
        <w:t>APPELLANT</w:t>
      </w:r>
    </w:p>
    <w:p w14:paraId="2C1C7DCF" w14:textId="77777777" w:rsidR="006E0B5E" w:rsidRPr="0032341F" w:rsidRDefault="006E0B5E" w:rsidP="009362E8">
      <w:pPr>
        <w:pStyle w:val="OrdersPartyName"/>
        <w:ind w:right="-1"/>
      </w:pPr>
    </w:p>
    <w:p w14:paraId="5C133E99" w14:textId="77777777" w:rsidR="006E0B5E" w:rsidRPr="0032341F" w:rsidRDefault="006E0B5E" w:rsidP="009362E8">
      <w:pPr>
        <w:pStyle w:val="OrdersPartyName"/>
        <w:ind w:right="-1"/>
      </w:pPr>
      <w:r w:rsidRPr="0032341F">
        <w:t>AND</w:t>
      </w:r>
    </w:p>
    <w:p w14:paraId="69554999" w14:textId="77777777" w:rsidR="006E0B5E" w:rsidRPr="0032341F" w:rsidRDefault="006E0B5E" w:rsidP="009362E8">
      <w:pPr>
        <w:pStyle w:val="OrdersPartyName"/>
        <w:ind w:right="-1"/>
      </w:pPr>
    </w:p>
    <w:p w14:paraId="07F56081" w14:textId="77777777" w:rsidR="006E0B5E" w:rsidRPr="0032341F" w:rsidRDefault="006E0B5E" w:rsidP="009362E8">
      <w:pPr>
        <w:pStyle w:val="OrdersPartyName"/>
        <w:ind w:right="-1"/>
      </w:pPr>
      <w:r w:rsidRPr="00F37F3F">
        <w:t>THE KING</w:t>
      </w:r>
      <w:r w:rsidRPr="0032341F">
        <w:tab/>
        <w:t>RESPONDENT</w:t>
      </w:r>
    </w:p>
    <w:p w14:paraId="6B83FA3F" w14:textId="77777777" w:rsidR="006E0B5E" w:rsidRPr="00427F3A" w:rsidRDefault="006E0B5E" w:rsidP="00AF0A5E">
      <w:pPr>
        <w:pStyle w:val="BodyHeading"/>
      </w:pPr>
    </w:p>
    <w:p w14:paraId="4124245E" w14:textId="77777777" w:rsidR="006E0B5E" w:rsidRPr="00427F3A" w:rsidRDefault="006E0B5E" w:rsidP="00BE0A6C">
      <w:pPr>
        <w:pStyle w:val="BodyHeading"/>
      </w:pPr>
    </w:p>
    <w:p w14:paraId="22941021" w14:textId="77777777" w:rsidR="006E0B5E" w:rsidRPr="00427F3A" w:rsidRDefault="006E0B5E" w:rsidP="00EE5374">
      <w:pPr>
        <w:pStyle w:val="CentreItalics"/>
      </w:pPr>
      <w:r w:rsidRPr="00F37F3F">
        <w:t>BQ v The King</w:t>
      </w:r>
    </w:p>
    <w:p w14:paraId="253B7DA2" w14:textId="77777777" w:rsidR="006E0B5E" w:rsidRPr="00427F3A" w:rsidRDefault="006E0B5E" w:rsidP="00E90E4F">
      <w:pPr>
        <w:pStyle w:val="OrdersCentre"/>
      </w:pPr>
      <w:r>
        <w:t>[2024</w:t>
      </w:r>
      <w:r w:rsidRPr="00427F3A">
        <w:t xml:space="preserve">] HCA </w:t>
      </w:r>
      <w:r>
        <w:t>29</w:t>
      </w:r>
    </w:p>
    <w:p w14:paraId="764F79CE" w14:textId="77777777" w:rsidR="006E0B5E" w:rsidRDefault="006E0B5E" w:rsidP="00E90E4F">
      <w:pPr>
        <w:pStyle w:val="OrdersCentreItalics"/>
      </w:pPr>
      <w:r>
        <w:t xml:space="preserve">Date of Hearing: </w:t>
      </w:r>
      <w:r w:rsidRPr="00FE4416">
        <w:t>10 May 2024</w:t>
      </w:r>
    </w:p>
    <w:p w14:paraId="6200B863" w14:textId="77777777" w:rsidR="006E0B5E" w:rsidRPr="00427F3A" w:rsidRDefault="006E0B5E" w:rsidP="00E90E4F">
      <w:pPr>
        <w:pStyle w:val="OrdersCentreItalics"/>
      </w:pPr>
      <w:r>
        <w:t>Date of Judgment: 14 August 2024</w:t>
      </w:r>
    </w:p>
    <w:p w14:paraId="50AEA52D" w14:textId="77777777" w:rsidR="006E0B5E" w:rsidRDefault="006E0B5E" w:rsidP="00E90E4F">
      <w:pPr>
        <w:pStyle w:val="OrdersCentre"/>
      </w:pPr>
      <w:r w:rsidRPr="00F37F3F">
        <w:t>S173/2023</w:t>
      </w:r>
    </w:p>
    <w:p w14:paraId="570388D0" w14:textId="77777777" w:rsidR="006E0B5E" w:rsidRPr="00427F3A" w:rsidRDefault="006E0B5E" w:rsidP="00E90E4F">
      <w:pPr>
        <w:pStyle w:val="OrdersCentre"/>
      </w:pPr>
    </w:p>
    <w:p w14:paraId="3DA468C2" w14:textId="77777777" w:rsidR="006E0B5E" w:rsidRPr="00BE0A6C" w:rsidRDefault="006E0B5E" w:rsidP="00E90E4F">
      <w:pPr>
        <w:pStyle w:val="OrderCentreBold"/>
      </w:pPr>
      <w:r w:rsidRPr="00BE0A6C">
        <w:t>ORDER</w:t>
      </w:r>
    </w:p>
    <w:p w14:paraId="6753A21B" w14:textId="77777777" w:rsidR="006E0B5E" w:rsidRPr="00427F3A" w:rsidRDefault="006E0B5E" w:rsidP="00736C52">
      <w:pPr>
        <w:pStyle w:val="Centre"/>
        <w:rPr>
          <w:lang w:val="en-AU"/>
        </w:rPr>
      </w:pPr>
    </w:p>
    <w:p w14:paraId="0E7ED887" w14:textId="77777777" w:rsidR="006E0B5E" w:rsidRPr="00932312" w:rsidRDefault="006E0B5E" w:rsidP="00BB6076">
      <w:pPr>
        <w:pStyle w:val="OrdersText"/>
      </w:pPr>
      <w:r w:rsidRPr="009F6FDE">
        <w:t xml:space="preserve">Appeal </w:t>
      </w:r>
      <w:r>
        <w:t>dismissed</w:t>
      </w:r>
      <w:r w:rsidRPr="009F6FDE">
        <w:t>.</w:t>
      </w:r>
    </w:p>
    <w:p w14:paraId="33456A0B" w14:textId="77777777" w:rsidR="006E0B5E" w:rsidRDefault="006E0B5E" w:rsidP="00EE5374">
      <w:pPr>
        <w:pStyle w:val="Body"/>
      </w:pPr>
    </w:p>
    <w:p w14:paraId="0901E7EA" w14:textId="77777777" w:rsidR="006E0B5E" w:rsidRPr="00427F3A" w:rsidRDefault="006E0B5E" w:rsidP="00EE5374">
      <w:pPr>
        <w:pStyle w:val="Body"/>
      </w:pPr>
    </w:p>
    <w:p w14:paraId="292AAD2A" w14:textId="77777777" w:rsidR="006E0B5E" w:rsidRPr="00427F3A" w:rsidRDefault="006E0B5E" w:rsidP="0032341F">
      <w:pPr>
        <w:pStyle w:val="OrdersBody"/>
      </w:pPr>
      <w:r w:rsidRPr="00427F3A">
        <w:t xml:space="preserve">On appeal from the </w:t>
      </w:r>
      <w:r w:rsidRPr="00F37F3F">
        <w:t>Supreme Court of New South Wales</w:t>
      </w:r>
    </w:p>
    <w:p w14:paraId="6541DDBA" w14:textId="77777777" w:rsidR="006E0B5E" w:rsidRDefault="006E0B5E" w:rsidP="00EE5374">
      <w:pPr>
        <w:pStyle w:val="Body"/>
      </w:pPr>
    </w:p>
    <w:p w14:paraId="2AE40EA0" w14:textId="77777777" w:rsidR="006E0B5E" w:rsidRPr="00427F3A" w:rsidRDefault="006E0B5E" w:rsidP="00EE5374">
      <w:pPr>
        <w:pStyle w:val="Body"/>
      </w:pPr>
    </w:p>
    <w:p w14:paraId="0A11D2BD" w14:textId="77777777" w:rsidR="006E0B5E" w:rsidRPr="00427F3A" w:rsidRDefault="006E0B5E" w:rsidP="00E90E4F">
      <w:pPr>
        <w:pStyle w:val="OrdersBodyHeading"/>
      </w:pPr>
      <w:r w:rsidRPr="00427F3A">
        <w:t>Representation</w:t>
      </w:r>
    </w:p>
    <w:p w14:paraId="68CE627E" w14:textId="77777777" w:rsidR="006E0B5E" w:rsidRDefault="006E0B5E" w:rsidP="00EE5374">
      <w:pPr>
        <w:pStyle w:val="Body"/>
      </w:pPr>
    </w:p>
    <w:p w14:paraId="50A560B3" w14:textId="77777777" w:rsidR="006E0B5E" w:rsidRPr="00FE4416" w:rsidRDefault="006E0B5E" w:rsidP="00E90E4F">
      <w:pPr>
        <w:pStyle w:val="OrdersBody"/>
      </w:pPr>
      <w:r w:rsidRPr="00FE4416">
        <w:t xml:space="preserve">G A Bashir SC with G E L Huxley and N </w:t>
      </w:r>
      <w:proofErr w:type="gramStart"/>
      <w:r w:rsidRPr="00FE4416">
        <w:t>A</w:t>
      </w:r>
      <w:proofErr w:type="gramEnd"/>
      <w:r w:rsidRPr="00FE4416">
        <w:t xml:space="preserve"> Wootton for the appellant (instructed by Legal Aid NSW)</w:t>
      </w:r>
    </w:p>
    <w:p w14:paraId="737BA690" w14:textId="77777777" w:rsidR="006E0B5E" w:rsidRPr="00FE4416" w:rsidRDefault="006E0B5E" w:rsidP="001B3C97">
      <w:pPr>
        <w:pStyle w:val="Body"/>
      </w:pPr>
    </w:p>
    <w:p w14:paraId="69B1E5F6" w14:textId="77777777" w:rsidR="006E0B5E" w:rsidRPr="00FE4416" w:rsidRDefault="006E0B5E" w:rsidP="00E90E4F">
      <w:pPr>
        <w:pStyle w:val="OrdersBody"/>
      </w:pPr>
      <w:r w:rsidRPr="00FE4416">
        <w:t>H R Roberts SC with M L Millward for the respondent (instructed by Solicitor for Public Prosecutions (NSW))</w:t>
      </w:r>
    </w:p>
    <w:p w14:paraId="68CFEDC0" w14:textId="77777777" w:rsidR="006E0B5E" w:rsidRDefault="006E0B5E" w:rsidP="00A01277">
      <w:pPr>
        <w:pStyle w:val="Body"/>
      </w:pPr>
    </w:p>
    <w:p w14:paraId="0BE0C15C" w14:textId="77777777" w:rsidR="006E0B5E" w:rsidRDefault="006E0B5E" w:rsidP="00EE5374">
      <w:pPr>
        <w:pStyle w:val="Body"/>
      </w:pPr>
    </w:p>
    <w:p w14:paraId="48669B65" w14:textId="77777777" w:rsidR="006E0B5E" w:rsidRPr="00427F3A" w:rsidRDefault="006E0B5E" w:rsidP="00EE5374">
      <w:pPr>
        <w:pStyle w:val="Body"/>
      </w:pPr>
    </w:p>
    <w:p w14:paraId="23645BA4" w14:textId="77777777" w:rsidR="006E0B5E" w:rsidRPr="00427F3A" w:rsidRDefault="006E0B5E" w:rsidP="00F9713B">
      <w:pPr>
        <w:pStyle w:val="Notice"/>
        <w:rPr>
          <w:lang w:val="en-AU"/>
        </w:rPr>
      </w:pPr>
      <w:r w:rsidRPr="00427F3A">
        <w:rPr>
          <w:lang w:val="en-AU"/>
        </w:rPr>
        <w:t>Notice:  This copy of the Court's Reasons for Judgment is subject to formal revision prior to publication in the Commonwealth Law Reports.</w:t>
      </w:r>
    </w:p>
    <w:p w14:paraId="2857AC80" w14:textId="42152F3E" w:rsidR="006E0B5E" w:rsidRDefault="006E0B5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AD9F045" w14:textId="77777777" w:rsidR="006E0B5E" w:rsidRDefault="006E0B5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6E0B5E" w:rsidSect="006E0B5E">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1D5192E" w14:textId="77777777" w:rsidR="006E0B5E" w:rsidRDefault="006E0B5E" w:rsidP="001649CA">
      <w:pPr>
        <w:pStyle w:val="CatchwordsBold"/>
      </w:pPr>
      <w:r w:rsidRPr="00B9489E">
        <w:lastRenderedPageBreak/>
        <w:t>CATCHWORDS</w:t>
      </w:r>
    </w:p>
    <w:p w14:paraId="3733C2C4" w14:textId="77777777" w:rsidR="006E0B5E" w:rsidRPr="00B9489E" w:rsidRDefault="006E0B5E" w:rsidP="001649CA">
      <w:pPr>
        <w:pStyle w:val="CatchwordsBold"/>
      </w:pPr>
    </w:p>
    <w:p w14:paraId="57C3B6DD" w14:textId="77777777" w:rsidR="006E0B5E" w:rsidRPr="00B9489E" w:rsidRDefault="006E0B5E" w:rsidP="001649CA">
      <w:pPr>
        <w:pStyle w:val="CatchwordsBold"/>
      </w:pPr>
      <w:r>
        <w:t xml:space="preserve">BQ v The King </w:t>
      </w:r>
    </w:p>
    <w:p w14:paraId="0A4B1813" w14:textId="77777777" w:rsidR="006E0B5E" w:rsidRPr="00B9489E" w:rsidRDefault="006E0B5E" w:rsidP="00562CAB">
      <w:pPr>
        <w:pStyle w:val="Default"/>
      </w:pPr>
    </w:p>
    <w:p w14:paraId="7DE757EE" w14:textId="77777777" w:rsidR="006E0B5E" w:rsidRDefault="006E0B5E" w:rsidP="00896E8B">
      <w:pPr>
        <w:pStyle w:val="CatchwordsText"/>
      </w:pPr>
      <w:r>
        <w:t>Evidence</w:t>
      </w:r>
      <w:bookmarkStart w:id="0" w:name="_Hlk168414545"/>
      <w:r w:rsidRPr="00916BC7">
        <w:t xml:space="preserve"> </w:t>
      </w:r>
      <w:bookmarkStart w:id="1" w:name="_Hlk169679891"/>
      <w:r w:rsidRPr="00916BC7">
        <w:t xml:space="preserve">– </w:t>
      </w:r>
      <w:bookmarkEnd w:id="0"/>
      <w:bookmarkEnd w:id="1"/>
      <w:r>
        <w:t xml:space="preserve">Criminal trial </w:t>
      </w:r>
      <w:r w:rsidRPr="00916BC7">
        <w:t>–</w:t>
      </w:r>
      <w:r>
        <w:t xml:space="preserve"> Expert evidence </w:t>
      </w:r>
      <w:r w:rsidRPr="00916BC7">
        <w:t>–</w:t>
      </w:r>
      <w:r>
        <w:t xml:space="preserve"> </w:t>
      </w:r>
      <w:r w:rsidRPr="000E2911">
        <w:t>Opinion</w:t>
      </w:r>
      <w:bookmarkStart w:id="2" w:name="_Hlk169679997"/>
      <w:r w:rsidRPr="000E2911">
        <w:t xml:space="preserve"> evidence –</w:t>
      </w:r>
      <w:bookmarkEnd w:id="2"/>
      <w:r w:rsidRPr="000E2911">
        <w:t xml:space="preserve"> Credibility</w:t>
      </w:r>
      <w:r>
        <w:t xml:space="preserve"> evidence </w:t>
      </w:r>
      <w:r w:rsidRPr="00916BC7">
        <w:t>–</w:t>
      </w:r>
      <w:r>
        <w:t xml:space="preserve"> Admissibility </w:t>
      </w:r>
      <w:r w:rsidRPr="00E17FF3">
        <w:t>–</w:t>
      </w:r>
      <w:r>
        <w:t xml:space="preserve"> Where s </w:t>
      </w:r>
      <w:r w:rsidRPr="000F175E">
        <w:t xml:space="preserve">79(1) of </w:t>
      </w:r>
      <w:r w:rsidRPr="000F175E">
        <w:rPr>
          <w:i/>
          <w:iCs/>
        </w:rPr>
        <w:t>Evidence Act 1995</w:t>
      </w:r>
      <w:r>
        <w:t> </w:t>
      </w:r>
      <w:r w:rsidRPr="000F175E">
        <w:t xml:space="preserve">(NSW) </w:t>
      </w:r>
      <w:r>
        <w:t xml:space="preserve">provides </w:t>
      </w:r>
      <w:r w:rsidRPr="000F175E">
        <w:t xml:space="preserve">exception </w:t>
      </w:r>
      <w:r>
        <w:t xml:space="preserve">to opinion rule </w:t>
      </w:r>
      <w:r w:rsidRPr="000F175E">
        <w:t xml:space="preserve">for evidence of opinion </w:t>
      </w:r>
      <w:r>
        <w:t xml:space="preserve">that is </w:t>
      </w:r>
      <w:r w:rsidRPr="000F175E">
        <w:t>based wholly or substantially on specialised knowledge based on training, study or experience –</w:t>
      </w:r>
      <w:r>
        <w:t xml:space="preserve"> Where s 108C of </w:t>
      </w:r>
      <w:r w:rsidRPr="004D6283">
        <w:rPr>
          <w:i/>
          <w:iCs/>
        </w:rPr>
        <w:t>Evidence Act</w:t>
      </w:r>
      <w:r>
        <w:rPr>
          <w:i/>
          <w:iCs/>
        </w:rPr>
        <w:t xml:space="preserve"> </w:t>
      </w:r>
      <w:r>
        <w:t xml:space="preserve">provides similar exception in case of credibility rule </w:t>
      </w:r>
      <w:r w:rsidRPr="000F175E">
        <w:t>–</w:t>
      </w:r>
      <w:r>
        <w:t xml:space="preserve"> Where appellant convicted of multiple child sexual offences against two nieces </w:t>
      </w:r>
      <w:r w:rsidRPr="00872C5E">
        <w:t>–</w:t>
      </w:r>
      <w:r>
        <w:t xml:space="preserve"> Where respondent adduced evidence from expert witness concerning possible responses of victims of child sexual assault </w:t>
      </w:r>
      <w:r w:rsidRPr="00872C5E">
        <w:t>–</w:t>
      </w:r>
      <w:r>
        <w:t xml:space="preserve"> Where expert gave opinion about circumstances of and responses to child sexual assault in "intra-familial" context </w:t>
      </w:r>
      <w:r w:rsidRPr="00F376C7">
        <w:t>–</w:t>
      </w:r>
      <w:r>
        <w:t xml:space="preserve"> Where expert gave evidence that intra-familial child sexual assault often takes place within family home with other family members proximate – Whether expert evidence went beyond accepted area of expertise and was therefore inadmissible</w:t>
      </w:r>
      <w:bookmarkStart w:id="3" w:name="_Hlk173150377"/>
      <w:r>
        <w:t xml:space="preserve"> – </w:t>
      </w:r>
      <w:bookmarkEnd w:id="3"/>
      <w:r>
        <w:t xml:space="preserve">Whether miscarriage of justice arose from failure to give general and particular directions to jury to limit use of expert evidence. </w:t>
      </w:r>
    </w:p>
    <w:p w14:paraId="2F254D28" w14:textId="77777777" w:rsidR="006E0B5E" w:rsidRDefault="006E0B5E" w:rsidP="00896E8B">
      <w:pPr>
        <w:pStyle w:val="CatchwordsText"/>
      </w:pPr>
    </w:p>
    <w:p w14:paraId="450DCF92" w14:textId="77777777" w:rsidR="006E0B5E" w:rsidRDefault="006E0B5E" w:rsidP="00285982">
      <w:pPr>
        <w:pStyle w:val="CatchwordsText"/>
      </w:pPr>
      <w:r w:rsidRPr="00AD18D4">
        <w:t>Words and phrases</w:t>
      </w:r>
      <w:r>
        <w:t xml:space="preserve"> </w:t>
      </w:r>
      <w:bookmarkStart w:id="4" w:name="_Hlk161737022"/>
      <w:r>
        <w:t xml:space="preserve">– </w:t>
      </w:r>
      <w:bookmarkEnd w:id="4"/>
      <w:r>
        <w:t xml:space="preserve">"area of expertise", "behaviour of perpetrators", "child sexual assault", "credibility", "credibility rule", "direction", "evidence", "expert evidence", "expert witness", </w:t>
      </w:r>
      <w:r>
        <w:rPr>
          <w:bCs/>
        </w:rPr>
        <w:t xml:space="preserve">"illegitimate use", </w:t>
      </w:r>
      <w:r>
        <w:t>"intra-familial context"</w:t>
      </w:r>
      <w:r>
        <w:rPr>
          <w:bCs/>
        </w:rPr>
        <w:t xml:space="preserve">, </w:t>
      </w:r>
      <w:r>
        <w:t xml:space="preserve">"opinion rule", "responses of victims of child sexual assault", "specialised knowledge", "wholly or substantially based". </w:t>
      </w:r>
    </w:p>
    <w:p w14:paraId="3DE0FE4A" w14:textId="77777777" w:rsidR="006E0B5E" w:rsidRDefault="006E0B5E" w:rsidP="00285982">
      <w:pPr>
        <w:pStyle w:val="CatchwordsText"/>
      </w:pPr>
    </w:p>
    <w:p w14:paraId="7B882616" w14:textId="77777777" w:rsidR="006E0B5E" w:rsidRPr="00557878" w:rsidRDefault="006E0B5E" w:rsidP="00285982">
      <w:pPr>
        <w:pStyle w:val="CatchwordsText"/>
      </w:pPr>
      <w:r>
        <w:rPr>
          <w:i/>
          <w:iCs/>
        </w:rPr>
        <w:t xml:space="preserve">Evidence Act 1995 </w:t>
      </w:r>
      <w:r>
        <w:t xml:space="preserve">(NSW), ss 79, 108C. </w:t>
      </w:r>
    </w:p>
    <w:p w14:paraId="41C22887" w14:textId="50999610" w:rsidR="006E0B5E" w:rsidRDefault="006E0B5E" w:rsidP="006E0B5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2F1EC78B" w14:textId="209AC6E9" w:rsidR="006E0B5E" w:rsidRDefault="006E0B5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CCD9303" w14:textId="258DC70A" w:rsidR="006E0B5E" w:rsidRDefault="006E0B5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B19824E" w14:textId="77777777" w:rsidR="006E0B5E" w:rsidRDefault="006E0B5E" w:rsidP="00185C1D">
      <w:pPr>
        <w:pStyle w:val="FixListStyle"/>
        <w:tabs>
          <w:tab w:val="clear" w:pos="720"/>
          <w:tab w:val="left" w:pos="0"/>
        </w:tabs>
        <w:spacing w:after="260" w:line="280" w:lineRule="exact"/>
        <w:ind w:right="0"/>
        <w:jc w:val="both"/>
        <w:rPr>
          <w:rFonts w:ascii="Times New Roman" w:hAnsi="Times New Roman"/>
        </w:rPr>
        <w:sectPr w:rsidR="006E0B5E" w:rsidSect="006E0B5E">
          <w:pgSz w:w="11907" w:h="16839" w:code="9"/>
          <w:pgMar w:top="1440" w:right="1701" w:bottom="1984" w:left="1701" w:header="720" w:footer="720" w:gutter="0"/>
          <w:pgNumType w:start="1"/>
          <w:cols w:space="720"/>
          <w:titlePg/>
          <w:docGrid w:linePitch="354"/>
        </w:sectPr>
      </w:pPr>
    </w:p>
    <w:p w14:paraId="4133B7DE" w14:textId="1B4984F6" w:rsidR="00BA59BA" w:rsidRPr="00185C1D" w:rsidRDefault="00185C1D" w:rsidP="00185C1D">
      <w:pPr>
        <w:pStyle w:val="FixListStyle"/>
        <w:tabs>
          <w:tab w:val="clear" w:pos="720"/>
          <w:tab w:val="left" w:pos="0"/>
        </w:tabs>
        <w:spacing w:after="260" w:line="280" w:lineRule="exact"/>
        <w:ind w:right="0"/>
        <w:jc w:val="both"/>
        <w:rPr>
          <w:rFonts w:ascii="Times New Roman" w:hAnsi="Times New Roman"/>
        </w:rPr>
      </w:pPr>
      <w:r w:rsidRPr="00185C1D">
        <w:rPr>
          <w:rFonts w:ascii="Times New Roman" w:hAnsi="Times New Roman"/>
        </w:rPr>
        <w:lastRenderedPageBreak/>
        <w:t xml:space="preserve">GAGELER CJ, GORDON, EDELMAN, STEWARD, GLEESON, JAGOT AND BEECH-JONES JJ.   </w:t>
      </w:r>
      <w:r w:rsidR="00BA59BA" w:rsidRPr="00185C1D">
        <w:rPr>
          <w:rFonts w:ascii="Times New Roman" w:hAnsi="Times New Roman"/>
        </w:rPr>
        <w:t xml:space="preserve">At the appellant's trial for child sexual offences alleged to have been committed against </w:t>
      </w:r>
      <w:r w:rsidR="006B68AF" w:rsidRPr="00185C1D">
        <w:rPr>
          <w:rFonts w:ascii="Times New Roman" w:hAnsi="Times New Roman"/>
        </w:rPr>
        <w:t xml:space="preserve">two of </w:t>
      </w:r>
      <w:r w:rsidR="00D666F9" w:rsidRPr="00185C1D">
        <w:rPr>
          <w:rFonts w:ascii="Times New Roman" w:hAnsi="Times New Roman"/>
        </w:rPr>
        <w:t>his nieces</w:t>
      </w:r>
      <w:r w:rsidR="00BA59BA" w:rsidRPr="00185C1D">
        <w:rPr>
          <w:rFonts w:ascii="Times New Roman" w:hAnsi="Times New Roman"/>
        </w:rPr>
        <w:t xml:space="preserve">, the </w:t>
      </w:r>
      <w:r w:rsidR="001A0F3D" w:rsidRPr="00185C1D">
        <w:rPr>
          <w:rFonts w:ascii="Times New Roman" w:hAnsi="Times New Roman"/>
        </w:rPr>
        <w:t>respondent</w:t>
      </w:r>
      <w:r w:rsidR="00BA59BA" w:rsidRPr="00185C1D">
        <w:rPr>
          <w:rFonts w:ascii="Times New Roman" w:hAnsi="Times New Roman"/>
        </w:rPr>
        <w:t xml:space="preserve"> adduced evidence from an expert witness, Associate Professor Rita </w:t>
      </w:r>
      <w:proofErr w:type="spellStart"/>
      <w:r w:rsidR="00BA59BA" w:rsidRPr="00185C1D">
        <w:rPr>
          <w:rFonts w:ascii="Times New Roman" w:hAnsi="Times New Roman"/>
        </w:rPr>
        <w:t>Shackel</w:t>
      </w:r>
      <w:proofErr w:type="spellEnd"/>
      <w:r w:rsidR="00BA59BA" w:rsidRPr="00185C1D">
        <w:rPr>
          <w:rFonts w:ascii="Times New Roman" w:hAnsi="Times New Roman"/>
        </w:rPr>
        <w:t xml:space="preserve">. The appellant's principal contention is that portions of Associate Professor </w:t>
      </w:r>
      <w:proofErr w:type="spellStart"/>
      <w:r w:rsidR="00BA59BA" w:rsidRPr="00185C1D">
        <w:rPr>
          <w:rFonts w:ascii="Times New Roman" w:hAnsi="Times New Roman"/>
        </w:rPr>
        <w:t>Shackel's</w:t>
      </w:r>
      <w:proofErr w:type="spellEnd"/>
      <w:r w:rsidR="00BA59BA" w:rsidRPr="00185C1D">
        <w:rPr>
          <w:rFonts w:ascii="Times New Roman" w:hAnsi="Times New Roman"/>
        </w:rPr>
        <w:t xml:space="preserve"> evidence, which the appellant characterised as referring to the typical behavioural patterns of perpetrators of child sexual abuse, went beyond her accepted area of expertise concerning how victims of child sexual abuse </w:t>
      </w:r>
      <w:r w:rsidR="00E64537" w:rsidRPr="00185C1D">
        <w:rPr>
          <w:rFonts w:ascii="Times New Roman" w:hAnsi="Times New Roman"/>
        </w:rPr>
        <w:t xml:space="preserve">may </w:t>
      </w:r>
      <w:r w:rsidR="00BA59BA" w:rsidRPr="00185C1D">
        <w:rPr>
          <w:rFonts w:ascii="Times New Roman" w:hAnsi="Times New Roman"/>
        </w:rPr>
        <w:t>respond to that abuse and w</w:t>
      </w:r>
      <w:r w:rsidR="00230CB6" w:rsidRPr="00185C1D">
        <w:rPr>
          <w:rFonts w:ascii="Times New Roman" w:hAnsi="Times New Roman"/>
        </w:rPr>
        <w:t>ere</w:t>
      </w:r>
      <w:r w:rsidR="00BA59BA" w:rsidRPr="00185C1D">
        <w:rPr>
          <w:rFonts w:ascii="Times New Roman" w:hAnsi="Times New Roman"/>
        </w:rPr>
        <w:t xml:space="preserve"> therefore inadmissible. The appellant also contended that various directions should have been given to the jury to limit the use of Associate Professor </w:t>
      </w:r>
      <w:proofErr w:type="spellStart"/>
      <w:r w:rsidR="00BA59BA" w:rsidRPr="00185C1D">
        <w:rPr>
          <w:rFonts w:ascii="Times New Roman" w:hAnsi="Times New Roman"/>
        </w:rPr>
        <w:t>Shackel's</w:t>
      </w:r>
      <w:proofErr w:type="spellEnd"/>
      <w:r w:rsidR="00BA59BA" w:rsidRPr="00185C1D">
        <w:rPr>
          <w:rFonts w:ascii="Times New Roman" w:hAnsi="Times New Roman"/>
        </w:rPr>
        <w:t xml:space="preserve"> evidence, including telling the jury that her evidence "</w:t>
      </w:r>
      <w:proofErr w:type="spellStart"/>
      <w:r w:rsidR="00BA59BA" w:rsidRPr="00185C1D">
        <w:rPr>
          <w:rFonts w:ascii="Times New Roman" w:hAnsi="Times New Roman"/>
        </w:rPr>
        <w:t>sa</w:t>
      </w:r>
      <w:proofErr w:type="spellEnd"/>
      <w:r w:rsidR="00BA59BA" w:rsidRPr="00185C1D">
        <w:rPr>
          <w:rFonts w:ascii="Times New Roman" w:hAnsi="Times New Roman"/>
        </w:rPr>
        <w:t xml:space="preserve">[id] nothing about the credibility of the complainant(s)". </w:t>
      </w:r>
    </w:p>
    <w:p w14:paraId="78218C8F" w14:textId="1F0C06B5"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r>
      <w:proofErr w:type="gramStart"/>
      <w:r w:rsidRPr="00185C1D">
        <w:rPr>
          <w:rFonts w:ascii="Times New Roman" w:hAnsi="Times New Roman"/>
        </w:rPr>
        <w:t>For the reasons that</w:t>
      </w:r>
      <w:proofErr w:type="gramEnd"/>
      <w:r w:rsidRPr="00185C1D">
        <w:rPr>
          <w:rFonts w:ascii="Times New Roman" w:hAnsi="Times New Roman"/>
        </w:rPr>
        <w:t xml:space="preserve"> follow, none of the appellant's contentions are made out. </w:t>
      </w:r>
      <w:proofErr w:type="gramStart"/>
      <w:r w:rsidRPr="00185C1D">
        <w:rPr>
          <w:rFonts w:ascii="Times New Roman" w:hAnsi="Times New Roman"/>
        </w:rPr>
        <w:t>All of</w:t>
      </w:r>
      <w:proofErr w:type="gramEnd"/>
      <w:r w:rsidRPr="00185C1D">
        <w:rPr>
          <w:rFonts w:ascii="Times New Roman" w:hAnsi="Times New Roman"/>
        </w:rPr>
        <w:t xml:space="preserve"> the evidence of Associate Professor </w:t>
      </w:r>
      <w:proofErr w:type="spellStart"/>
      <w:r w:rsidRPr="00185C1D">
        <w:rPr>
          <w:rFonts w:ascii="Times New Roman" w:hAnsi="Times New Roman"/>
        </w:rPr>
        <w:t>Shackel</w:t>
      </w:r>
      <w:proofErr w:type="spellEnd"/>
      <w:r w:rsidRPr="00185C1D">
        <w:rPr>
          <w:rFonts w:ascii="Times New Roman" w:hAnsi="Times New Roman"/>
        </w:rPr>
        <w:t xml:space="preserve"> that was adduced at the appellant's trial concerned the </w:t>
      </w:r>
      <w:r w:rsidR="00B24D21" w:rsidRPr="00185C1D">
        <w:rPr>
          <w:rFonts w:ascii="Times New Roman" w:hAnsi="Times New Roman"/>
        </w:rPr>
        <w:t xml:space="preserve">possible </w:t>
      </w:r>
      <w:r w:rsidRPr="00185C1D">
        <w:rPr>
          <w:rFonts w:ascii="Times New Roman" w:hAnsi="Times New Roman"/>
        </w:rPr>
        <w:t xml:space="preserve">responses of victims of child sexual assault and was within her accepted area of expertise. There was no occasion to give a direction that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w:t>
      </w:r>
      <w:proofErr w:type="spellStart"/>
      <w:r w:rsidRPr="00185C1D">
        <w:rPr>
          <w:rFonts w:ascii="Times New Roman" w:hAnsi="Times New Roman"/>
        </w:rPr>
        <w:t>sa</w:t>
      </w:r>
      <w:proofErr w:type="spellEnd"/>
      <w:r w:rsidR="00DE48EA" w:rsidRPr="00185C1D">
        <w:rPr>
          <w:rFonts w:ascii="Times New Roman" w:hAnsi="Times New Roman"/>
        </w:rPr>
        <w:t>[</w:t>
      </w:r>
      <w:r w:rsidRPr="00185C1D">
        <w:rPr>
          <w:rFonts w:ascii="Times New Roman" w:hAnsi="Times New Roman"/>
        </w:rPr>
        <w:t>id</w:t>
      </w:r>
      <w:r w:rsidR="00DE48EA" w:rsidRPr="00185C1D">
        <w:rPr>
          <w:rFonts w:ascii="Times New Roman" w:hAnsi="Times New Roman"/>
        </w:rPr>
        <w:t>]</w:t>
      </w:r>
      <w:r w:rsidRPr="00185C1D">
        <w:rPr>
          <w:rFonts w:ascii="Times New Roman" w:hAnsi="Times New Roman"/>
        </w:rPr>
        <w:t xml:space="preserve"> nothing about the credibility" of the complainants.</w:t>
      </w:r>
      <w:r w:rsidRPr="00185C1D">
        <w:rPr>
          <w:rFonts w:ascii="Times New Roman" w:hAnsi="Times New Roman"/>
          <w:b/>
          <w:bCs/>
        </w:rPr>
        <w:t xml:space="preserve"> </w:t>
      </w:r>
      <w:r w:rsidRPr="00185C1D">
        <w:rPr>
          <w:rFonts w:ascii="Times New Roman" w:hAnsi="Times New Roman"/>
        </w:rPr>
        <w:t xml:space="preserve">To the contrary, her evidence was relevant to the jury's assessment of the complainants' credibility. Otherwise, in the context of the appellant's trial, there was no appreciable risk of the jury putting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to an illegitimate use that would warrant giving any </w:t>
      </w:r>
      <w:proofErr w:type="gramStart"/>
      <w:r w:rsidRPr="00185C1D">
        <w:rPr>
          <w:rFonts w:ascii="Times New Roman" w:hAnsi="Times New Roman"/>
        </w:rPr>
        <w:t>particular direction</w:t>
      </w:r>
      <w:proofErr w:type="gramEnd"/>
      <w:r w:rsidRPr="00185C1D">
        <w:rPr>
          <w:rFonts w:ascii="Times New Roman" w:hAnsi="Times New Roman"/>
        </w:rPr>
        <w:t xml:space="preserve"> to the jury. The appeal should be dismissed. </w:t>
      </w:r>
    </w:p>
    <w:p w14:paraId="3A1A486E" w14:textId="77777777" w:rsidR="00BA59BA" w:rsidRPr="00185C1D" w:rsidRDefault="00BA59BA" w:rsidP="00185C1D">
      <w:pPr>
        <w:pStyle w:val="HeadingL1"/>
        <w:spacing w:after="260" w:line="280" w:lineRule="exact"/>
        <w:ind w:right="0"/>
        <w:jc w:val="both"/>
        <w:rPr>
          <w:rFonts w:ascii="Times New Roman" w:hAnsi="Times New Roman"/>
        </w:rPr>
      </w:pPr>
      <w:r w:rsidRPr="00185C1D">
        <w:rPr>
          <w:rFonts w:ascii="Times New Roman" w:hAnsi="Times New Roman"/>
        </w:rPr>
        <w:t>Background</w:t>
      </w:r>
    </w:p>
    <w:p w14:paraId="1D596ED1" w14:textId="244997F5"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In 2018, the appellant, BQ, was arraigned before a jury panel in the District Court of New South Wales on an indictment that charged him with 11 child sexual offences under the </w:t>
      </w:r>
      <w:r w:rsidRPr="00185C1D">
        <w:rPr>
          <w:rFonts w:ascii="Times New Roman" w:hAnsi="Times New Roman"/>
          <w:i/>
          <w:iCs/>
        </w:rPr>
        <w:t xml:space="preserve">Crimes Act 1900 </w:t>
      </w:r>
      <w:r w:rsidRPr="00185C1D">
        <w:rPr>
          <w:rFonts w:ascii="Times New Roman" w:hAnsi="Times New Roman"/>
        </w:rPr>
        <w:t>(NSW).</w:t>
      </w:r>
      <w:r w:rsidRPr="00185C1D">
        <w:rPr>
          <w:rFonts w:ascii="Times New Roman" w:hAnsi="Times New Roman"/>
          <w:b/>
          <w:bCs/>
        </w:rPr>
        <w:t xml:space="preserve"> </w:t>
      </w:r>
      <w:r w:rsidRPr="00185C1D">
        <w:rPr>
          <w:rFonts w:ascii="Times New Roman" w:hAnsi="Times New Roman"/>
        </w:rPr>
        <w:t>Seven of the counts concerned his niece BB.</w:t>
      </w:r>
      <w:r w:rsidRPr="00185C1D">
        <w:rPr>
          <w:rStyle w:val="FootnoteReference"/>
          <w:rFonts w:ascii="Times New Roman" w:hAnsi="Times New Roman"/>
          <w:sz w:val="24"/>
        </w:rPr>
        <w:footnoteReference w:id="2"/>
      </w:r>
      <w:r w:rsidRPr="00185C1D">
        <w:rPr>
          <w:rFonts w:ascii="Times New Roman" w:hAnsi="Times New Roman"/>
        </w:rPr>
        <w:t xml:space="preserve"> Those offences were said to have been committed between 1 January 2007 and 28 January 2010 when BB was 10 to 13</w:t>
      </w:r>
      <w:r w:rsidRPr="00185C1D" w:rsidDel="004D3614">
        <w:rPr>
          <w:rFonts w:ascii="Times New Roman" w:hAnsi="Times New Roman"/>
        </w:rPr>
        <w:t> years of age</w:t>
      </w:r>
      <w:r w:rsidRPr="00185C1D">
        <w:rPr>
          <w:rFonts w:ascii="Times New Roman" w:hAnsi="Times New Roman"/>
        </w:rPr>
        <w:t>. The other four counts were said to have been committed against BB's sister, AA,</w:t>
      </w:r>
      <w:r w:rsidR="00977489" w:rsidRPr="00185C1D">
        <w:rPr>
          <w:rStyle w:val="FootnoteReference"/>
          <w:rFonts w:ascii="Times New Roman" w:hAnsi="Times New Roman"/>
          <w:sz w:val="24"/>
        </w:rPr>
        <w:t xml:space="preserve"> </w:t>
      </w:r>
      <w:r w:rsidRPr="00185C1D">
        <w:rPr>
          <w:rFonts w:ascii="Times New Roman" w:hAnsi="Times New Roman"/>
        </w:rPr>
        <w:t xml:space="preserve">between 1 February 2009 and 26 December 2012 when AA was five to nine years of age. </w:t>
      </w:r>
    </w:p>
    <w:p w14:paraId="0AFD0D03" w14:textId="56C5B20B"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lastRenderedPageBreak/>
        <w:tab/>
        <w:t xml:space="preserve">On 30 August 2018, the appellant was found guilty of nine counts on the indictment and acquitted on the other two counts, both of which concerned BB. He was convicted and sentenced to a substantial term of imprisonment. </w:t>
      </w:r>
    </w:p>
    <w:p w14:paraId="28E8F1B3" w14:textId="46D25F4F"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On 3 March 2023, the New South Wales Court of Criminal Appeal</w:t>
      </w:r>
      <w:r w:rsidR="00384F79" w:rsidRPr="00185C1D">
        <w:rPr>
          <w:rFonts w:ascii="Times New Roman" w:hAnsi="Times New Roman"/>
        </w:rPr>
        <w:t>:</w:t>
      </w:r>
      <w:r w:rsidRPr="00185C1D">
        <w:rPr>
          <w:rFonts w:ascii="Times New Roman" w:hAnsi="Times New Roman"/>
        </w:rPr>
        <w:t xml:space="preserve"> granted the appellant an extension of time within which to appeal against his convictions; allowed his appeal in part; quashed his convictions on two counts concerning AA</w:t>
      </w:r>
      <w:r w:rsidR="008F4440" w:rsidRPr="00185C1D">
        <w:rPr>
          <w:rFonts w:ascii="Times New Roman" w:hAnsi="Times New Roman"/>
        </w:rPr>
        <w:t>;</w:t>
      </w:r>
      <w:r w:rsidRPr="00185C1D">
        <w:rPr>
          <w:rFonts w:ascii="Times New Roman" w:hAnsi="Times New Roman"/>
        </w:rPr>
        <w:t xml:space="preserve"> substituted a verdict of guilty for a lesser offence on one count</w:t>
      </w:r>
      <w:r w:rsidR="007B7790" w:rsidRPr="00185C1D">
        <w:rPr>
          <w:rFonts w:ascii="Times New Roman" w:hAnsi="Times New Roman"/>
        </w:rPr>
        <w:t>;</w:t>
      </w:r>
      <w:r w:rsidRPr="00185C1D">
        <w:rPr>
          <w:rFonts w:ascii="Times New Roman" w:hAnsi="Times New Roman"/>
        </w:rPr>
        <w:t xml:space="preserve"> entered a verdict of acquittal on the other count; and remitted the matter to the District Court for the appellant to be re</w:t>
      </w:r>
      <w:r w:rsidRPr="00185C1D">
        <w:rPr>
          <w:rFonts w:ascii="Times New Roman" w:hAnsi="Times New Roman"/>
        </w:rPr>
        <w:noBreakHyphen/>
        <w:t xml:space="preserve">sentenced. In doing so, the Court dismissed a ground of appeal concerning the admissibility of part of the evidence of Associate Professor </w:t>
      </w:r>
      <w:proofErr w:type="spellStart"/>
      <w:r w:rsidRPr="00185C1D">
        <w:rPr>
          <w:rFonts w:ascii="Times New Roman" w:hAnsi="Times New Roman"/>
        </w:rPr>
        <w:t>Shackel</w:t>
      </w:r>
      <w:proofErr w:type="spellEnd"/>
      <w:r w:rsidRPr="00185C1D">
        <w:rPr>
          <w:rFonts w:ascii="Times New Roman" w:hAnsi="Times New Roman"/>
        </w:rPr>
        <w:t xml:space="preserve"> and refused leave to raise a ground of appeal to the effect that the trial judge's failure to direct the jury about the potential misuse of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occasioned a miscarriage of justice</w:t>
      </w:r>
      <w:r w:rsidR="00977489" w:rsidRPr="00185C1D">
        <w:rPr>
          <w:rFonts w:ascii="Times New Roman" w:hAnsi="Times New Roman"/>
        </w:rPr>
        <w:t>.</w:t>
      </w:r>
    </w:p>
    <w:p w14:paraId="0B8D300E" w14:textId="5D4E97AE"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On 7 December 2023, the appellant was granted special leave to appeal from the Court of Criminal Appeal's decision in this Court on both of those grounds. </w:t>
      </w:r>
    </w:p>
    <w:p w14:paraId="42793C43" w14:textId="77777777" w:rsidR="00BA59BA" w:rsidRPr="00185C1D" w:rsidRDefault="00BA59BA" w:rsidP="00185C1D">
      <w:pPr>
        <w:pStyle w:val="HeadingL1"/>
        <w:spacing w:after="260" w:line="280" w:lineRule="exact"/>
        <w:ind w:right="0"/>
        <w:jc w:val="both"/>
        <w:rPr>
          <w:rFonts w:ascii="Times New Roman" w:hAnsi="Times New Roman"/>
        </w:rPr>
      </w:pPr>
      <w:r w:rsidRPr="00185C1D">
        <w:rPr>
          <w:rFonts w:ascii="Times New Roman" w:hAnsi="Times New Roman"/>
        </w:rPr>
        <w:t>The prosecution and defence cases</w:t>
      </w:r>
    </w:p>
    <w:p w14:paraId="4009B281" w14:textId="6927F12A"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The appellant is married to the daughter of AA and BB's paternal grandparents. The appellant and his wife have two children around the same ages as AA and BB.</w:t>
      </w:r>
      <w:r w:rsidRPr="00185C1D">
        <w:rPr>
          <w:rFonts w:ascii="Times New Roman" w:hAnsi="Times New Roman"/>
          <w:b/>
          <w:bCs/>
        </w:rPr>
        <w:t xml:space="preserve"> </w:t>
      </w:r>
      <w:r w:rsidRPr="00185C1D">
        <w:rPr>
          <w:rFonts w:ascii="Times New Roman" w:hAnsi="Times New Roman"/>
        </w:rPr>
        <w:t>The extended family was described as "very close".</w:t>
      </w:r>
      <w:r w:rsidRPr="00185C1D">
        <w:rPr>
          <w:rStyle w:val="FootnoteReference"/>
          <w:rFonts w:ascii="Times New Roman" w:hAnsi="Times New Roman"/>
          <w:sz w:val="24"/>
        </w:rPr>
        <w:footnoteReference w:id="3"/>
      </w:r>
      <w:r w:rsidRPr="00185C1D">
        <w:rPr>
          <w:rFonts w:ascii="Times New Roman" w:hAnsi="Times New Roman"/>
        </w:rPr>
        <w:t xml:space="preserve"> From around the end of 2007 to September 2012, the appellant and his immediate family lived in AA and BB's paternal grandparents' house occupying a large bedroom with an adjoining lounge</w:t>
      </w:r>
      <w:r w:rsidR="00E54446" w:rsidRPr="00185C1D">
        <w:rPr>
          <w:rFonts w:ascii="Times New Roman" w:hAnsi="Times New Roman"/>
        </w:rPr>
        <w:t xml:space="preserve"> </w:t>
      </w:r>
      <w:r w:rsidR="000164E6" w:rsidRPr="00185C1D">
        <w:rPr>
          <w:rFonts w:ascii="Times New Roman" w:hAnsi="Times New Roman"/>
        </w:rPr>
        <w:t>area</w:t>
      </w:r>
      <w:r w:rsidRPr="00185C1D">
        <w:rPr>
          <w:rFonts w:ascii="Times New Roman" w:hAnsi="Times New Roman"/>
        </w:rPr>
        <w:t xml:space="preserve">. From the time of the separation of AA and BB's parents in 2004 until December 2012, AA and BB often stayed at their grandparents' house. </w:t>
      </w:r>
    </w:p>
    <w:p w14:paraId="4F11C260" w14:textId="363233CD"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At the appellant's trial, the respondent</w:t>
      </w:r>
      <w:r w:rsidR="00724C4D" w:rsidRPr="00185C1D">
        <w:rPr>
          <w:rFonts w:ascii="Times New Roman" w:hAnsi="Times New Roman"/>
        </w:rPr>
        <w:t xml:space="preserve"> </w:t>
      </w:r>
      <w:r w:rsidRPr="00185C1D">
        <w:rPr>
          <w:rFonts w:ascii="Times New Roman" w:hAnsi="Times New Roman"/>
        </w:rPr>
        <w:t>relied on direct evidence from AA and BB in support of each count</w:t>
      </w:r>
      <w:r w:rsidR="00C100A6" w:rsidRPr="00185C1D">
        <w:rPr>
          <w:rFonts w:ascii="Times New Roman" w:hAnsi="Times New Roman"/>
        </w:rPr>
        <w:t>,</w:t>
      </w:r>
      <w:r w:rsidRPr="00185C1D">
        <w:rPr>
          <w:rFonts w:ascii="Times New Roman" w:hAnsi="Times New Roman"/>
        </w:rPr>
        <w:t xml:space="preserve"> as well as evidence of uncharged acts which were admitted both as "context evidence" and as evidence that, alongside the charged acts, w</w:t>
      </w:r>
      <w:r w:rsidR="004D7D39" w:rsidRPr="00185C1D">
        <w:rPr>
          <w:rFonts w:ascii="Times New Roman" w:hAnsi="Times New Roman"/>
        </w:rPr>
        <w:t>as</w:t>
      </w:r>
      <w:r w:rsidRPr="00185C1D">
        <w:rPr>
          <w:rFonts w:ascii="Times New Roman" w:hAnsi="Times New Roman"/>
        </w:rPr>
        <w:t xml:space="preserve"> said to demonstrate the appellant's alleged tendency to have a sexual interest in AA and BB and act upon that interest. The appellant gave evidence at his trial denying that any of the sexual acts occurred. He also relied on his good </w:t>
      </w:r>
      <w:r w:rsidRPr="00185C1D">
        <w:rPr>
          <w:rFonts w:ascii="Times New Roman" w:hAnsi="Times New Roman"/>
        </w:rPr>
        <w:lastRenderedPageBreak/>
        <w:t xml:space="preserve">character, being his lack of prior convictions, as supporting the credibility of his denials and rendering it improbable that he committed the offences charged. </w:t>
      </w:r>
    </w:p>
    <w:p w14:paraId="775AA999" w14:textId="14DCF634"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It is unnecessary to describe the direct evidence given by AA and BB in support of each count in detail. It suffices to state that </w:t>
      </w:r>
      <w:r w:rsidR="008852B0" w:rsidRPr="00185C1D">
        <w:rPr>
          <w:rFonts w:ascii="Times New Roman" w:hAnsi="Times New Roman"/>
        </w:rPr>
        <w:t>seven</w:t>
      </w:r>
      <w:r w:rsidRPr="00185C1D">
        <w:rPr>
          <w:rFonts w:ascii="Times New Roman" w:hAnsi="Times New Roman"/>
        </w:rPr>
        <w:t xml:space="preserve"> of the counts as well as the uncharged acts that AA and BB described were said to have taken place in their grandparents' house. The sexual acts mostly occurred with other family members present in the house and often with family members present in the same room but unaware the offending was taking place surreptitiously, such as under a blanket while watching television.</w:t>
      </w:r>
      <w:r w:rsidRPr="00185C1D">
        <w:rPr>
          <w:rFonts w:ascii="Times New Roman" w:hAnsi="Times New Roman"/>
          <w:b/>
          <w:bCs/>
        </w:rPr>
        <w:t xml:space="preserve"> </w:t>
      </w:r>
      <w:r w:rsidR="0035345F" w:rsidRPr="00185C1D">
        <w:rPr>
          <w:rFonts w:ascii="Times New Roman" w:hAnsi="Times New Roman"/>
        </w:rPr>
        <w:t>In relation to</w:t>
      </w:r>
      <w:r w:rsidRPr="00185C1D">
        <w:rPr>
          <w:rFonts w:ascii="Times New Roman" w:hAnsi="Times New Roman"/>
        </w:rPr>
        <w:t xml:space="preserve"> one of the other </w:t>
      </w:r>
      <w:r w:rsidR="0060759D" w:rsidRPr="00185C1D">
        <w:rPr>
          <w:rFonts w:ascii="Times New Roman" w:hAnsi="Times New Roman"/>
        </w:rPr>
        <w:t>four</w:t>
      </w:r>
      <w:r w:rsidRPr="00185C1D">
        <w:rPr>
          <w:rFonts w:ascii="Times New Roman" w:hAnsi="Times New Roman"/>
        </w:rPr>
        <w:t xml:space="preserve"> counts, AA said that the appellant touched her while she was "driving" an old car on a farm owned by her grand</w:t>
      </w:r>
      <w:r w:rsidR="00D56915" w:rsidRPr="00185C1D">
        <w:rPr>
          <w:rFonts w:ascii="Times New Roman" w:hAnsi="Times New Roman"/>
        </w:rPr>
        <w:t>parents</w:t>
      </w:r>
      <w:r w:rsidRPr="00185C1D">
        <w:rPr>
          <w:rFonts w:ascii="Times New Roman" w:hAnsi="Times New Roman"/>
        </w:rPr>
        <w:t xml:space="preserve"> outside of the town in which they lived.</w:t>
      </w:r>
      <w:r w:rsidRPr="00185C1D">
        <w:rPr>
          <w:rFonts w:ascii="Times New Roman" w:hAnsi="Times New Roman"/>
          <w:b/>
          <w:bCs/>
        </w:rPr>
        <w:t xml:space="preserve"> </w:t>
      </w:r>
      <w:r w:rsidR="0035345F" w:rsidRPr="00185C1D">
        <w:rPr>
          <w:rFonts w:ascii="Times New Roman" w:hAnsi="Times New Roman"/>
        </w:rPr>
        <w:t>In relation to</w:t>
      </w:r>
      <w:r w:rsidRPr="00185C1D">
        <w:rPr>
          <w:rFonts w:ascii="Times New Roman" w:hAnsi="Times New Roman"/>
        </w:rPr>
        <w:t xml:space="preserve"> the two counts of which the appellant was acquitted by the jury, BB said that the alleged sexual acts took place when she was with the appellant in his utility vehicle. </w:t>
      </w:r>
    </w:p>
    <w:p w14:paraId="6C2952C8" w14:textId="4E3CAFBC"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The </w:t>
      </w:r>
      <w:r w:rsidR="00197BFE" w:rsidRPr="00185C1D">
        <w:rPr>
          <w:rFonts w:ascii="Times New Roman" w:hAnsi="Times New Roman"/>
        </w:rPr>
        <w:t>honesty</w:t>
      </w:r>
      <w:r w:rsidRPr="00185C1D">
        <w:rPr>
          <w:rFonts w:ascii="Times New Roman" w:hAnsi="Times New Roman"/>
        </w:rPr>
        <w:t xml:space="preserve"> and reliability of AA and BB's evidence was of obvious importance to the respondent's case. One issue that arose at the trial concerned the timing of AA and BB's disclosures of the appellant's alleged offending. AA</w:t>
      </w:r>
      <w:r w:rsidR="00FE24B5" w:rsidRPr="00185C1D">
        <w:rPr>
          <w:rFonts w:ascii="Times New Roman" w:hAnsi="Times New Roman"/>
        </w:rPr>
        <w:t> </w:t>
      </w:r>
      <w:r w:rsidRPr="00185C1D">
        <w:rPr>
          <w:rFonts w:ascii="Times New Roman" w:hAnsi="Times New Roman"/>
        </w:rPr>
        <w:t xml:space="preserve">complained to her mother about the appellant in early 2014 and was interviewed by the police shortly thereafter. Later in 2014, BB provided the police with a statement denying that the appellant had ever "touched" her. However, during a trial of the appellant in 2016 on counts that only concerned AA, BB made a second statement to police in which she said that the appellant "touched [her] like he touched AA". That statement and BB's subsequent disclosures about the appellant resulted in a mistrial. </w:t>
      </w:r>
    </w:p>
    <w:p w14:paraId="0859BAC5" w14:textId="1B94D79D"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The retrial the subject of this appeal took place in 2018. In his closing address to the jury, counsel for the appellant described the delay of approximately two years between the alleged commission of the last offence against AA and her disclosure of that offending to her mother and the circumstances of BB's disclosure as "extraordinary". The cross</w:t>
      </w:r>
      <w:r w:rsidRPr="00185C1D">
        <w:rPr>
          <w:rFonts w:ascii="Times New Roman" w:hAnsi="Times New Roman"/>
        </w:rPr>
        <w:noBreakHyphen/>
        <w:t xml:space="preserve">examination of AA was to the effect that, even though she trusted two of her aunts who were nearby when the appellant allegedly committed one of the counts, she did not disclose that offending to them and was otherwise compliant with the appellant's instructions. </w:t>
      </w:r>
    </w:p>
    <w:p w14:paraId="755ED1A2" w14:textId="77777777" w:rsidR="00BA59BA" w:rsidRPr="00185C1D" w:rsidRDefault="00BA59BA" w:rsidP="00185C1D">
      <w:pPr>
        <w:pStyle w:val="HeadingL1"/>
        <w:spacing w:after="260" w:line="280" w:lineRule="exact"/>
        <w:ind w:right="0"/>
        <w:jc w:val="both"/>
        <w:rPr>
          <w:rFonts w:ascii="Times New Roman" w:hAnsi="Times New Roman"/>
        </w:rPr>
      </w:pPr>
      <w:r w:rsidRPr="00185C1D">
        <w:rPr>
          <w:rFonts w:ascii="Times New Roman" w:hAnsi="Times New Roman"/>
        </w:rPr>
        <w:t xml:space="preserve">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w:t>
      </w:r>
    </w:p>
    <w:p w14:paraId="519D2B49" w14:textId="0BAD89B3"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Associate Professor </w:t>
      </w:r>
      <w:proofErr w:type="spellStart"/>
      <w:r w:rsidRPr="00185C1D">
        <w:rPr>
          <w:rFonts w:ascii="Times New Roman" w:hAnsi="Times New Roman"/>
        </w:rPr>
        <w:t>Shackel</w:t>
      </w:r>
      <w:proofErr w:type="spellEnd"/>
      <w:r w:rsidRPr="00185C1D">
        <w:rPr>
          <w:rFonts w:ascii="Times New Roman" w:hAnsi="Times New Roman"/>
        </w:rPr>
        <w:t xml:space="preserve"> is an Associate Professor and Associate Dean in the School of Law at the University of Sydney. She has Bachelor's and </w:t>
      </w:r>
      <w:proofErr w:type="gramStart"/>
      <w:r w:rsidRPr="00185C1D">
        <w:rPr>
          <w:rFonts w:ascii="Times New Roman" w:hAnsi="Times New Roman"/>
        </w:rPr>
        <w:t>Master's degrees in Psychology</w:t>
      </w:r>
      <w:proofErr w:type="gramEnd"/>
      <w:r w:rsidRPr="00185C1D">
        <w:rPr>
          <w:rFonts w:ascii="Times New Roman" w:hAnsi="Times New Roman"/>
        </w:rPr>
        <w:t xml:space="preserve">, a Bachelor of Laws and a PhD. Her PhD thesis concerned </w:t>
      </w:r>
      <w:r w:rsidRPr="00185C1D">
        <w:rPr>
          <w:rFonts w:ascii="Times New Roman" w:hAnsi="Times New Roman"/>
        </w:rPr>
        <w:lastRenderedPageBreak/>
        <w:t>the use of expert testimony in child sexual assault cases, which involved a review of psychological and other related research and what that body of research demonstrated with respect to "how victims of child sexual assault respond to their victimisation" as well as "how well</w:t>
      </w:r>
      <w:r w:rsidRPr="00185C1D">
        <w:rPr>
          <w:rFonts w:ascii="Times New Roman" w:hAnsi="Times New Roman"/>
        </w:rPr>
        <w:noBreakHyphen/>
        <w:t>understood victims' responses are in the community". Associate Professor </w:t>
      </w:r>
      <w:proofErr w:type="spellStart"/>
      <w:r w:rsidRPr="00185C1D">
        <w:rPr>
          <w:rFonts w:ascii="Times New Roman" w:hAnsi="Times New Roman"/>
        </w:rPr>
        <w:t>Shackel</w:t>
      </w:r>
      <w:proofErr w:type="spellEnd"/>
      <w:r w:rsidRPr="00185C1D">
        <w:rPr>
          <w:rFonts w:ascii="Times New Roman" w:hAnsi="Times New Roman"/>
        </w:rPr>
        <w:t xml:space="preserve"> explained that she had reviewed studies that were based on interviews with victims of child sexual assault as well as interviews with offenders "about how they offended". </w:t>
      </w:r>
    </w:p>
    <w:p w14:paraId="15927E0B" w14:textId="27DC5163"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Prior to the appellant's trial, the respondent gave notice that it intended to adduce evidence from Associate Professor </w:t>
      </w:r>
      <w:proofErr w:type="spellStart"/>
      <w:r w:rsidRPr="00185C1D">
        <w:rPr>
          <w:rFonts w:ascii="Times New Roman" w:hAnsi="Times New Roman"/>
        </w:rPr>
        <w:t>Shackel</w:t>
      </w:r>
      <w:proofErr w:type="spellEnd"/>
      <w:r w:rsidRPr="00185C1D">
        <w:rPr>
          <w:rFonts w:ascii="Times New Roman" w:hAnsi="Times New Roman"/>
        </w:rPr>
        <w:t xml:space="preserve"> on two topics, namely "how victims of childhood sexual assault as a class respond to and disclose their victimisation" and particular "matters relevant to [AA and BB's] conduct during and after the alleged assaults", including whether such conduct was consistent with her conclusions about victims as a class. Over objection, the trial judge allowed Associate Professor </w:t>
      </w:r>
      <w:proofErr w:type="spellStart"/>
      <w:r w:rsidRPr="00185C1D">
        <w:rPr>
          <w:rFonts w:ascii="Times New Roman" w:hAnsi="Times New Roman"/>
        </w:rPr>
        <w:t>Shackel</w:t>
      </w:r>
      <w:proofErr w:type="spellEnd"/>
      <w:r w:rsidRPr="00185C1D">
        <w:rPr>
          <w:rFonts w:ascii="Times New Roman" w:hAnsi="Times New Roman"/>
        </w:rPr>
        <w:t xml:space="preserve"> to give evidence on the former topic but rejected her evidence on the latter topic. </w:t>
      </w:r>
    </w:p>
    <w:p w14:paraId="2FFA1C67" w14:textId="2209AE42"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Associate Professor </w:t>
      </w:r>
      <w:proofErr w:type="spellStart"/>
      <w:r w:rsidRPr="00185C1D">
        <w:rPr>
          <w:rFonts w:ascii="Times New Roman" w:hAnsi="Times New Roman"/>
        </w:rPr>
        <w:t>Shackel</w:t>
      </w:r>
      <w:proofErr w:type="spellEnd"/>
      <w:r w:rsidRPr="00185C1D">
        <w:rPr>
          <w:rFonts w:ascii="Times New Roman" w:hAnsi="Times New Roman"/>
        </w:rPr>
        <w:t xml:space="preserve"> told the jury that there are no typical responses of a child to being sexually assaulted but instead responses will vary and depend on the individual characteristics of the child, the relationship between the child and the perpetrator and the broader family and social context. She explained that "it is not uncommon for children not to resist" and "it is not uncommon for children to acquiesce and to comply [with] directions and requests of a perpetrator".</w:t>
      </w:r>
      <w:r w:rsidRPr="00185C1D">
        <w:rPr>
          <w:rFonts w:ascii="Times New Roman" w:hAnsi="Times New Roman"/>
          <w:b/>
          <w:bCs/>
        </w:rPr>
        <w:t xml:space="preserve"> </w:t>
      </w:r>
      <w:r w:rsidRPr="00185C1D">
        <w:rPr>
          <w:rFonts w:ascii="Times New Roman" w:hAnsi="Times New Roman"/>
        </w:rPr>
        <w:t>She also stated</w:t>
      </w:r>
      <w:r w:rsidRPr="00185C1D">
        <w:rPr>
          <w:rFonts w:ascii="Times New Roman" w:hAnsi="Times New Roman"/>
          <w:b/>
          <w:bCs/>
        </w:rPr>
        <w:t xml:space="preserve"> </w:t>
      </w:r>
      <w:r w:rsidRPr="00185C1D">
        <w:rPr>
          <w:rFonts w:ascii="Times New Roman" w:hAnsi="Times New Roman"/>
        </w:rPr>
        <w:t>that there are various factors that inhibit victims from "tell[</w:t>
      </w:r>
      <w:proofErr w:type="spellStart"/>
      <w:r w:rsidRPr="00185C1D">
        <w:rPr>
          <w:rFonts w:ascii="Times New Roman" w:hAnsi="Times New Roman"/>
        </w:rPr>
        <w:t>ing</w:t>
      </w:r>
      <w:proofErr w:type="spellEnd"/>
      <w:r w:rsidRPr="00185C1D">
        <w:rPr>
          <w:rFonts w:ascii="Times New Roman" w:hAnsi="Times New Roman"/>
        </w:rPr>
        <w:t xml:space="preserve">] anybody about what is happening to them and ... </w:t>
      </w:r>
      <w:proofErr w:type="spellStart"/>
      <w:r w:rsidRPr="00185C1D">
        <w:rPr>
          <w:rFonts w:ascii="Times New Roman" w:hAnsi="Times New Roman"/>
        </w:rPr>
        <w:t>mak</w:t>
      </w:r>
      <w:proofErr w:type="spellEnd"/>
      <w:r w:rsidRPr="00185C1D">
        <w:rPr>
          <w:rFonts w:ascii="Times New Roman" w:hAnsi="Times New Roman"/>
        </w:rPr>
        <w:t>[</w:t>
      </w:r>
      <w:proofErr w:type="spellStart"/>
      <w:r w:rsidRPr="00185C1D">
        <w:rPr>
          <w:rFonts w:ascii="Times New Roman" w:hAnsi="Times New Roman"/>
        </w:rPr>
        <w:t>ing</w:t>
      </w:r>
      <w:proofErr w:type="spellEnd"/>
      <w:r w:rsidRPr="00185C1D">
        <w:rPr>
          <w:rFonts w:ascii="Times New Roman" w:hAnsi="Times New Roman"/>
        </w:rPr>
        <w:t xml:space="preserve">] an official report". </w:t>
      </w:r>
    </w:p>
    <w:p w14:paraId="29205BEF" w14:textId="2678991B"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Associate Professor </w:t>
      </w:r>
      <w:proofErr w:type="spellStart"/>
      <w:r w:rsidRPr="00185C1D">
        <w:rPr>
          <w:rFonts w:ascii="Times New Roman" w:hAnsi="Times New Roman"/>
        </w:rPr>
        <w:t>Shackel</w:t>
      </w:r>
      <w:proofErr w:type="spellEnd"/>
      <w:r w:rsidRPr="00185C1D">
        <w:rPr>
          <w:rFonts w:ascii="Times New Roman" w:hAnsi="Times New Roman"/>
        </w:rPr>
        <w:t xml:space="preserve"> also told the jury that one way of categorising the research was to differentiate between "intra</w:t>
      </w:r>
      <w:r w:rsidRPr="00185C1D">
        <w:rPr>
          <w:rFonts w:ascii="Times New Roman" w:hAnsi="Times New Roman"/>
        </w:rPr>
        <w:noBreakHyphen/>
        <w:t>familial" and "extra-familial" cases of child sexual assault. She was asked by the Crown Prosecutor what the research had demonstrated with respect to the effect an "intra</w:t>
      </w:r>
      <w:r w:rsidRPr="00185C1D">
        <w:rPr>
          <w:rFonts w:ascii="Times New Roman" w:hAnsi="Times New Roman"/>
        </w:rPr>
        <w:noBreakHyphen/>
        <w:t xml:space="preserve">familial situation [in which such abuse occurs] has on the way that children behave". Associate Professor </w:t>
      </w:r>
      <w:proofErr w:type="spellStart"/>
      <w:r w:rsidRPr="00185C1D">
        <w:rPr>
          <w:rFonts w:ascii="Times New Roman" w:hAnsi="Times New Roman"/>
        </w:rPr>
        <w:t>Shackel</w:t>
      </w:r>
      <w:proofErr w:type="spellEnd"/>
      <w:r w:rsidRPr="00185C1D">
        <w:rPr>
          <w:rFonts w:ascii="Times New Roman" w:hAnsi="Times New Roman"/>
        </w:rPr>
        <w:t xml:space="preserve"> responded by explaining that the familial context of sexual abuse gives rise to certain factors that inhibit the child from responding to or resisting the abuse. She observed that "the research shows us that in the context of intrafamilial child sexual assault, the abuse often takes place within the home" and "in the course of everyday activities: bathing, putting children to sleep, watching TV, playing with children". She noted that for children in such contexts, there was a blurring of "normal interaction and appropriate interaction" with "touching". </w:t>
      </w:r>
    </w:p>
    <w:p w14:paraId="5973A25C" w14:textId="43110FAA"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lastRenderedPageBreak/>
        <w:tab/>
        <w:t xml:space="preserve">In both the Court of Criminal Appeal and in this Court, the appellant contended that this part of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was inadmissible because, in opining on where intra-familial child sexual abuse often takes place, she moved from expressing an opinion about the responses of victims of child sexual abuse to opining about the behaviour of perpetrators of such abuse.</w:t>
      </w:r>
      <w:r w:rsidRPr="00185C1D">
        <w:rPr>
          <w:rFonts w:ascii="Times New Roman" w:hAnsi="Times New Roman"/>
          <w:b/>
          <w:bCs/>
        </w:rPr>
        <w:t xml:space="preserve"> </w:t>
      </w:r>
      <w:r w:rsidRPr="00185C1D">
        <w:rPr>
          <w:rFonts w:ascii="Times New Roman" w:hAnsi="Times New Roman"/>
        </w:rPr>
        <w:t xml:space="preserve">The appellant also made the same point in relation to the next part of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which was as follows: </w:t>
      </w:r>
    </w:p>
    <w:p w14:paraId="442888A6" w14:textId="77777777" w:rsidR="00BA59BA" w:rsidRPr="00185C1D" w:rsidRDefault="00BA59BA" w:rsidP="00185C1D">
      <w:pPr>
        <w:pStyle w:val="LeftrightafterHC"/>
        <w:spacing w:before="0" w:after="260" w:line="280" w:lineRule="exact"/>
        <w:ind w:left="1440" w:right="0" w:hanging="720"/>
        <w:jc w:val="both"/>
        <w:rPr>
          <w:rFonts w:ascii="Times New Roman" w:hAnsi="Times New Roman"/>
        </w:rPr>
      </w:pPr>
      <w:r w:rsidRPr="00185C1D">
        <w:rPr>
          <w:rFonts w:ascii="Times New Roman" w:hAnsi="Times New Roman"/>
        </w:rPr>
        <w:t>"Q.</w:t>
      </w:r>
      <w:r w:rsidRPr="00185C1D">
        <w:rPr>
          <w:rFonts w:ascii="Times New Roman" w:hAnsi="Times New Roman"/>
        </w:rPr>
        <w:tab/>
        <w:t>What you've told us is that the research has found it's not uncommon for sexual assaults to happen in the family home. Is that right?</w:t>
      </w:r>
    </w:p>
    <w:p w14:paraId="620F315A" w14:textId="77777777" w:rsidR="00BA59BA" w:rsidRPr="00185C1D" w:rsidRDefault="00BA59BA" w:rsidP="00185C1D">
      <w:pPr>
        <w:pStyle w:val="LeftrightHanging"/>
        <w:spacing w:before="0" w:after="260" w:line="280" w:lineRule="exact"/>
        <w:ind w:right="0"/>
        <w:jc w:val="both"/>
        <w:rPr>
          <w:rFonts w:ascii="Times New Roman" w:hAnsi="Times New Roman"/>
        </w:rPr>
      </w:pPr>
      <w:r w:rsidRPr="00185C1D">
        <w:rPr>
          <w:rFonts w:ascii="Times New Roman" w:hAnsi="Times New Roman"/>
        </w:rPr>
        <w:t>A.</w:t>
      </w:r>
      <w:r w:rsidRPr="00185C1D">
        <w:rPr>
          <w:rFonts w:ascii="Times New Roman" w:hAnsi="Times New Roman"/>
        </w:rPr>
        <w:tab/>
        <w:t>That's correct. Yes.</w:t>
      </w:r>
    </w:p>
    <w:p w14:paraId="7BE53CDB" w14:textId="77777777" w:rsidR="00BA59BA" w:rsidRPr="00185C1D" w:rsidRDefault="00BA59BA" w:rsidP="00185C1D">
      <w:pPr>
        <w:pStyle w:val="LeftrightHanging"/>
        <w:spacing w:before="0" w:after="260" w:line="280" w:lineRule="exact"/>
        <w:ind w:right="0"/>
        <w:jc w:val="both"/>
        <w:rPr>
          <w:rFonts w:ascii="Times New Roman" w:hAnsi="Times New Roman"/>
        </w:rPr>
      </w:pPr>
      <w:r w:rsidRPr="00185C1D">
        <w:rPr>
          <w:rFonts w:ascii="Times New Roman" w:hAnsi="Times New Roman"/>
        </w:rPr>
        <w:t>Q.</w:t>
      </w:r>
      <w:r w:rsidRPr="00185C1D">
        <w:rPr>
          <w:rFonts w:ascii="Times New Roman" w:hAnsi="Times New Roman"/>
        </w:rPr>
        <w:tab/>
        <w:t xml:space="preserve">Does the research say anything about the assaults that happen in homes, </w:t>
      </w:r>
      <w:proofErr w:type="gramStart"/>
      <w:r w:rsidRPr="00185C1D">
        <w:rPr>
          <w:rFonts w:ascii="Times New Roman" w:hAnsi="Times New Roman"/>
        </w:rPr>
        <w:t>whether or not</w:t>
      </w:r>
      <w:proofErr w:type="gramEnd"/>
      <w:r w:rsidRPr="00185C1D">
        <w:rPr>
          <w:rFonts w:ascii="Times New Roman" w:hAnsi="Times New Roman"/>
        </w:rPr>
        <w:t xml:space="preserve"> it's uncommon that they happen in proximity to other people in the home?</w:t>
      </w:r>
    </w:p>
    <w:p w14:paraId="4BC58032" w14:textId="110BDF54" w:rsidR="00185C1D" w:rsidRDefault="00BA59BA" w:rsidP="00185C1D">
      <w:pPr>
        <w:pStyle w:val="LeftrightHanging"/>
        <w:spacing w:before="0" w:after="260" w:line="280" w:lineRule="exact"/>
        <w:ind w:right="0"/>
        <w:jc w:val="both"/>
        <w:rPr>
          <w:rFonts w:ascii="Times New Roman" w:hAnsi="Times New Roman"/>
        </w:rPr>
      </w:pPr>
      <w:r w:rsidRPr="00185C1D">
        <w:rPr>
          <w:rFonts w:ascii="Times New Roman" w:hAnsi="Times New Roman"/>
        </w:rPr>
        <w:t>A.</w:t>
      </w:r>
      <w:r w:rsidRPr="00185C1D">
        <w:rPr>
          <w:rFonts w:ascii="Times New Roman" w:hAnsi="Times New Roman"/>
        </w:rPr>
        <w:tab/>
        <w:t>The research increasingly is pointing to the fact that</w:t>
      </w:r>
      <w:r w:rsidR="00180FC7">
        <w:rPr>
          <w:rFonts w:ascii="Times New Roman" w:hAnsi="Times New Roman"/>
        </w:rPr>
        <w:t xml:space="preserve"> one of the strongest</w:t>
      </w:r>
      <w:r w:rsidRPr="00185C1D">
        <w:rPr>
          <w:rFonts w:ascii="Times New Roman" w:hAnsi="Times New Roman"/>
        </w:rPr>
        <w:t xml:space="preserve"> risk factors for child sexual assault taking place is opportunity, and that opportunity is linked to families, cohabitation, and the familiarity of the offender to the location. So that opportunity often means that the sexual assault will take place within the family home in the course of day-to-day activities with other people also in the home doing their day-to-day activities."</w:t>
      </w:r>
    </w:p>
    <w:p w14:paraId="5616D9CF" w14:textId="52EC3BF8"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Associate Professor </w:t>
      </w:r>
      <w:proofErr w:type="spellStart"/>
      <w:r w:rsidRPr="00185C1D">
        <w:rPr>
          <w:rFonts w:ascii="Times New Roman" w:hAnsi="Times New Roman"/>
        </w:rPr>
        <w:t>Shackel</w:t>
      </w:r>
      <w:proofErr w:type="spellEnd"/>
      <w:r w:rsidRPr="00185C1D">
        <w:rPr>
          <w:rFonts w:ascii="Times New Roman" w:hAnsi="Times New Roman"/>
        </w:rPr>
        <w:t xml:space="preserve"> then explained that some victims of child sexual assault had an ambivalent response to being sexually assaulted by "someone that they trust [and] love". The Crown Prosecutor asked her whether the research showed that it </w:t>
      </w:r>
      <w:r w:rsidR="00750414" w:rsidRPr="00185C1D">
        <w:rPr>
          <w:rFonts w:ascii="Times New Roman" w:hAnsi="Times New Roman"/>
        </w:rPr>
        <w:t>was</w:t>
      </w:r>
      <w:r w:rsidR="00013E04" w:rsidRPr="00185C1D">
        <w:rPr>
          <w:rFonts w:ascii="Times New Roman" w:hAnsi="Times New Roman"/>
        </w:rPr>
        <w:t xml:space="preserve"> at all</w:t>
      </w:r>
      <w:r w:rsidR="00750414" w:rsidRPr="00185C1D">
        <w:rPr>
          <w:rFonts w:ascii="Times New Roman" w:hAnsi="Times New Roman"/>
        </w:rPr>
        <w:t xml:space="preserve"> "uncommon</w:t>
      </w:r>
      <w:r w:rsidRPr="00185C1D">
        <w:rPr>
          <w:rFonts w:ascii="Times New Roman" w:hAnsi="Times New Roman"/>
        </w:rPr>
        <w:t xml:space="preserve"> for a child to perhaps feel positive towards the sexual assault". </w:t>
      </w:r>
      <w:r w:rsidR="002F436B" w:rsidRPr="00185C1D">
        <w:rPr>
          <w:rFonts w:ascii="Times New Roman" w:hAnsi="Times New Roman"/>
        </w:rPr>
        <w:t xml:space="preserve">In response, </w:t>
      </w:r>
      <w:r w:rsidRPr="00185C1D">
        <w:rPr>
          <w:rFonts w:ascii="Times New Roman" w:hAnsi="Times New Roman"/>
        </w:rPr>
        <w:t xml:space="preserve">Associate Professor </w:t>
      </w:r>
      <w:proofErr w:type="spellStart"/>
      <w:r w:rsidRPr="00185C1D">
        <w:rPr>
          <w:rFonts w:ascii="Times New Roman" w:hAnsi="Times New Roman"/>
        </w:rPr>
        <w:t>Shackel</w:t>
      </w:r>
      <w:proofErr w:type="spellEnd"/>
      <w:r w:rsidRPr="00185C1D">
        <w:rPr>
          <w:rFonts w:ascii="Times New Roman" w:hAnsi="Times New Roman"/>
        </w:rPr>
        <w:t xml:space="preserve"> explained that there were examples of research where victims "have described some positive feelings about the abuse, and that adds to their confusion, because it's not uncommon for perpetrators to make a child feel like they're different or special, and that's the way in which they can actually access the child, and that</w:t>
      </w:r>
      <w:r w:rsidR="0062579C" w:rsidRPr="00185C1D">
        <w:rPr>
          <w:rFonts w:ascii="Times New Roman" w:hAnsi="Times New Roman"/>
        </w:rPr>
        <w:t>'</w:t>
      </w:r>
      <w:r w:rsidRPr="00185C1D">
        <w:rPr>
          <w:rFonts w:ascii="Times New Roman" w:hAnsi="Times New Roman"/>
        </w:rPr>
        <w:t>s also a way in which they can keep the abuse secret". She said this left the child feeling "ambivalence because of all of those mixed emotions around the abuse and the way that they</w:t>
      </w:r>
      <w:r w:rsidR="0062579C" w:rsidRPr="00185C1D">
        <w:rPr>
          <w:rFonts w:ascii="Times New Roman" w:hAnsi="Times New Roman"/>
        </w:rPr>
        <w:t>'</w:t>
      </w:r>
      <w:r w:rsidRPr="00185C1D">
        <w:rPr>
          <w:rFonts w:ascii="Times New Roman" w:hAnsi="Times New Roman"/>
        </w:rPr>
        <w:t xml:space="preserve">re being treated". </w:t>
      </w:r>
    </w:p>
    <w:p w14:paraId="45AECB44" w14:textId="0D7B253E"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Associate Professor </w:t>
      </w:r>
      <w:proofErr w:type="spellStart"/>
      <w:r w:rsidRPr="00185C1D">
        <w:rPr>
          <w:rFonts w:ascii="Times New Roman" w:hAnsi="Times New Roman"/>
        </w:rPr>
        <w:t>Shackel</w:t>
      </w:r>
      <w:proofErr w:type="spellEnd"/>
      <w:r w:rsidRPr="00185C1D">
        <w:rPr>
          <w:rFonts w:ascii="Times New Roman" w:hAnsi="Times New Roman"/>
        </w:rPr>
        <w:t xml:space="preserve"> was not cross</w:t>
      </w:r>
      <w:r w:rsidRPr="00185C1D">
        <w:rPr>
          <w:rFonts w:ascii="Times New Roman" w:hAnsi="Times New Roman"/>
        </w:rPr>
        <w:noBreakHyphen/>
        <w:t xml:space="preserve">examined. </w:t>
      </w:r>
    </w:p>
    <w:p w14:paraId="5DB8CD36" w14:textId="77777777" w:rsidR="00BA59BA" w:rsidRPr="00185C1D" w:rsidRDefault="00BA59BA" w:rsidP="00185C1D">
      <w:pPr>
        <w:pStyle w:val="HeadingL1"/>
        <w:spacing w:after="260" w:line="280" w:lineRule="exact"/>
        <w:ind w:right="0"/>
        <w:jc w:val="both"/>
        <w:rPr>
          <w:rFonts w:ascii="Times New Roman" w:hAnsi="Times New Roman"/>
        </w:rPr>
      </w:pPr>
      <w:r w:rsidRPr="00185C1D">
        <w:rPr>
          <w:rFonts w:ascii="Times New Roman" w:hAnsi="Times New Roman"/>
        </w:rPr>
        <w:lastRenderedPageBreak/>
        <w:t>Closing addresses and summing up</w:t>
      </w:r>
    </w:p>
    <w:p w14:paraId="15A584D5" w14:textId="48398E25"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In her closing address, the Crown Prosecutor referred to the evidence of BB in support of one of the counts to the effect that, while other children were present in the room, the appellant touched BB when she was under a blanket. The Crown Prosecutor noted that there was "no evidence of BB saying anything, crying out or making it known in any way what was occurring" but submitted that, based on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"the Crown would say that's not unusual". Later in her address, the Crown Prosecutor summarised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and submitted that, based on her evidence, it was "not unusual for children to make a delayed complaint" and "not unusual for children, when they are involved in this sexual abuse in an intrafamilial situation to not respond in any way to try</w:t>
      </w:r>
      <w:r w:rsidR="00E049E3" w:rsidRPr="00185C1D">
        <w:rPr>
          <w:rFonts w:ascii="Times New Roman" w:hAnsi="Times New Roman"/>
        </w:rPr>
        <w:t xml:space="preserve"> and</w:t>
      </w:r>
      <w:r w:rsidRPr="00185C1D">
        <w:rPr>
          <w:rFonts w:ascii="Times New Roman" w:hAnsi="Times New Roman"/>
        </w:rPr>
        <w:t xml:space="preserve"> stop the abuse". </w:t>
      </w:r>
    </w:p>
    <w:p w14:paraId="09E5AEA8" w14:textId="4D4A2712"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In his closing address, counsel for the appellant addressed the honesty and reliability of AA and BB's evidence in a manner consistent with the points that have already been noted.</w:t>
      </w:r>
      <w:r w:rsidR="00023A92" w:rsidRPr="00185C1D">
        <w:rPr>
          <w:rStyle w:val="FootnoteReference"/>
          <w:rFonts w:ascii="Times New Roman" w:hAnsi="Times New Roman"/>
          <w:sz w:val="24"/>
        </w:rPr>
        <w:footnoteReference w:id="4"/>
      </w:r>
      <w:r w:rsidRPr="00185C1D">
        <w:rPr>
          <w:rFonts w:ascii="Times New Roman" w:hAnsi="Times New Roman"/>
        </w:rPr>
        <w:t xml:space="preserve"> Counsel for the appellant did not refer to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w:t>
      </w:r>
    </w:p>
    <w:p w14:paraId="4B6A1D40" w14:textId="28A30AA3"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In summing up to the jury, the trial judge referred to the delay between the alleged sexual acts committed by the appellant and the disclosures made by AA and BB. His Honour told the jury that "[t]here may be good reasons why a victim of sexual assault may hesitate in making or may refrain from making a complaint about such an assault" and that "Associate Professor </w:t>
      </w:r>
      <w:proofErr w:type="spellStart"/>
      <w:r w:rsidRPr="00185C1D">
        <w:rPr>
          <w:rFonts w:ascii="Times New Roman" w:hAnsi="Times New Roman"/>
        </w:rPr>
        <w:t>Shackel</w:t>
      </w:r>
      <w:proofErr w:type="spellEnd"/>
      <w:r w:rsidRPr="00185C1D">
        <w:rPr>
          <w:rFonts w:ascii="Times New Roman" w:hAnsi="Times New Roman"/>
        </w:rPr>
        <w:t xml:space="preserve"> gave some evidence about these matters"</w:t>
      </w:r>
      <w:r w:rsidR="008F66EF" w:rsidRPr="00185C1D">
        <w:rPr>
          <w:rFonts w:ascii="Times New Roman" w:hAnsi="Times New Roman"/>
        </w:rPr>
        <w:t>.</w:t>
      </w:r>
      <w:r w:rsidRPr="00185C1D">
        <w:rPr>
          <w:rFonts w:ascii="Times New Roman" w:hAnsi="Times New Roman"/>
        </w:rPr>
        <w:t xml:space="preserve"> Later in the summing up, the trial judge referred to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explained the nature of expert evidence in general terms and directed the jury that, if after having </w:t>
      </w:r>
      <w:proofErr w:type="gramStart"/>
      <w:r w:rsidRPr="00185C1D">
        <w:rPr>
          <w:rFonts w:ascii="Times New Roman" w:hAnsi="Times New Roman"/>
        </w:rPr>
        <w:t>given careful consideration to</w:t>
      </w:r>
      <w:proofErr w:type="gramEnd"/>
      <w:r w:rsidRPr="00185C1D">
        <w:rPr>
          <w:rFonts w:ascii="Times New Roman" w:hAnsi="Times New Roman"/>
        </w:rPr>
        <w:t xml:space="preserve"> the expert evidence they do not accept the evidence, they do not have to act upon it. The trial judge told the jury that "[t]he expert evidence here is before you as part of all the evidence to assist you in understanding how children who are victims of sexual assault may react to such abuse, both at the time and afterwards". </w:t>
      </w:r>
    </w:p>
    <w:p w14:paraId="40F0FF42" w14:textId="79BF46FE"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The trial judge also mentioned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when summarising the Crown Prosecutor’s closing address to the jury. His Honour noted that </w:t>
      </w:r>
      <w:r w:rsidR="00671475" w:rsidRPr="00185C1D">
        <w:rPr>
          <w:rFonts w:ascii="Times New Roman" w:hAnsi="Times New Roman"/>
        </w:rPr>
        <w:t xml:space="preserve">the Crown Prosecutor reminded the jury that </w:t>
      </w:r>
      <w:r w:rsidRPr="00185C1D">
        <w:rPr>
          <w:rFonts w:ascii="Times New Roman" w:hAnsi="Times New Roman"/>
        </w:rPr>
        <w:t xml:space="preserve">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was that "it's not unusual for the children to freeze and not move and to acquiesce in what's being suggested to them, and also that complaints </w:t>
      </w:r>
      <w:r w:rsidRPr="00185C1D">
        <w:rPr>
          <w:rFonts w:ascii="Times New Roman" w:hAnsi="Times New Roman"/>
        </w:rPr>
        <w:lastRenderedPageBreak/>
        <w:t xml:space="preserve">in those circumstances can be delayed, and that they come out in a piecemeal fashion". </w:t>
      </w:r>
    </w:p>
    <w:p w14:paraId="787D6D1A" w14:textId="7A800662"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Counsel for the appellant did not seek any direction or redirection in respect of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w:t>
      </w:r>
    </w:p>
    <w:p w14:paraId="7ECF6E62" w14:textId="77777777" w:rsidR="00BA59BA" w:rsidRPr="00185C1D" w:rsidRDefault="00BA59BA" w:rsidP="00185C1D">
      <w:pPr>
        <w:pStyle w:val="HeadingL1"/>
        <w:spacing w:after="260" w:line="280" w:lineRule="exact"/>
        <w:ind w:right="0"/>
        <w:jc w:val="both"/>
        <w:rPr>
          <w:rFonts w:ascii="Times New Roman" w:hAnsi="Times New Roman"/>
        </w:rPr>
      </w:pPr>
      <w:r w:rsidRPr="00185C1D">
        <w:rPr>
          <w:rFonts w:ascii="Times New Roman" w:hAnsi="Times New Roman"/>
        </w:rPr>
        <w:t>The Court of Criminal Appeal's reasoning</w:t>
      </w:r>
    </w:p>
    <w:p w14:paraId="76CAB430" w14:textId="05850140"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As noted, at his trial, the appellant objected to the entirety of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being adduced. However, in the Court of Criminal Appeal, the appellant refined his position by accepting that Associate Professor </w:t>
      </w:r>
      <w:proofErr w:type="spellStart"/>
      <w:r w:rsidRPr="00185C1D">
        <w:rPr>
          <w:rFonts w:ascii="Times New Roman" w:hAnsi="Times New Roman"/>
        </w:rPr>
        <w:t>Shackel</w:t>
      </w:r>
      <w:proofErr w:type="spellEnd"/>
      <w:r w:rsidRPr="00185C1D">
        <w:rPr>
          <w:rFonts w:ascii="Times New Roman" w:hAnsi="Times New Roman"/>
        </w:rPr>
        <w:t xml:space="preserve"> was appropriately qualified to give evidence about the responses of victims of child sexual assault but contended that she was not qualified to give opinion evidence about, inter alia, the behaviour of perpetrators of child sexual assaults. In doing so, the appellant sought to align his submissions to conform with the reasoning of two earlier decisions of the Court of Criminal Appeal, namely </w:t>
      </w:r>
      <w:r w:rsidRPr="00185C1D">
        <w:rPr>
          <w:rFonts w:ascii="Times New Roman" w:hAnsi="Times New Roman"/>
          <w:i/>
          <w:iCs/>
        </w:rPr>
        <w:t>Aziz</w:t>
      </w:r>
      <w:r w:rsidR="005C3CE1" w:rsidRPr="00185C1D">
        <w:rPr>
          <w:rFonts w:ascii="Times New Roman" w:hAnsi="Times New Roman"/>
          <w:i/>
          <w:iCs/>
        </w:rPr>
        <w:t xml:space="preserve"> (a pseudonym)</w:t>
      </w:r>
      <w:r w:rsidRPr="00185C1D">
        <w:rPr>
          <w:rFonts w:ascii="Times New Roman" w:hAnsi="Times New Roman"/>
          <w:i/>
          <w:iCs/>
        </w:rPr>
        <w:t xml:space="preserve"> v The Queen</w:t>
      </w:r>
      <w:r w:rsidRPr="00185C1D">
        <w:rPr>
          <w:rStyle w:val="FootnoteReference"/>
          <w:rFonts w:ascii="Times New Roman" w:hAnsi="Times New Roman"/>
          <w:sz w:val="24"/>
        </w:rPr>
        <w:footnoteReference w:id="5"/>
      </w:r>
      <w:r w:rsidRPr="00185C1D">
        <w:rPr>
          <w:rFonts w:ascii="Times New Roman" w:hAnsi="Times New Roman"/>
        </w:rPr>
        <w:t xml:space="preserve"> and </w:t>
      </w:r>
      <w:r w:rsidRPr="00185C1D">
        <w:rPr>
          <w:rFonts w:ascii="Times New Roman" w:hAnsi="Times New Roman"/>
          <w:i/>
          <w:iCs/>
        </w:rPr>
        <w:t>AJ v The Queen.</w:t>
      </w:r>
      <w:r w:rsidRPr="00185C1D">
        <w:rPr>
          <w:rStyle w:val="FootnoteReference"/>
          <w:rFonts w:ascii="Times New Roman" w:hAnsi="Times New Roman"/>
          <w:sz w:val="24"/>
        </w:rPr>
        <w:footnoteReference w:id="6"/>
      </w:r>
      <w:r w:rsidRPr="00185C1D">
        <w:rPr>
          <w:rFonts w:ascii="Times New Roman" w:hAnsi="Times New Roman"/>
        </w:rPr>
        <w:t xml:space="preserve"> In </w:t>
      </w:r>
      <w:r w:rsidRPr="00185C1D">
        <w:rPr>
          <w:rFonts w:ascii="Times New Roman" w:hAnsi="Times New Roman"/>
          <w:i/>
          <w:iCs/>
        </w:rPr>
        <w:t>Aziz</w:t>
      </w:r>
      <w:r w:rsidRPr="00185C1D">
        <w:rPr>
          <w:rFonts w:ascii="Times New Roman" w:hAnsi="Times New Roman"/>
        </w:rPr>
        <w:t xml:space="preserve">, a majority of the Court of Criminal Appeal rejected a challenge to similar evidence given by Associate Professor </w:t>
      </w:r>
      <w:proofErr w:type="spellStart"/>
      <w:r w:rsidRPr="00185C1D">
        <w:rPr>
          <w:rFonts w:ascii="Times New Roman" w:hAnsi="Times New Roman"/>
        </w:rPr>
        <w:t>Shackel</w:t>
      </w:r>
      <w:proofErr w:type="spellEnd"/>
      <w:r w:rsidRPr="00185C1D">
        <w:rPr>
          <w:rFonts w:ascii="Times New Roman" w:hAnsi="Times New Roman"/>
        </w:rPr>
        <w:t>, which contended that her evidence was not opinion (or credibility) evidence based on specialised knowledge that satisfied s 79 (</w:t>
      </w:r>
      <w:r w:rsidR="002A0B8A" w:rsidRPr="00185C1D">
        <w:rPr>
          <w:rFonts w:ascii="Times New Roman" w:hAnsi="Times New Roman"/>
        </w:rPr>
        <w:t>or</w:t>
      </w:r>
      <w:r w:rsidRPr="00185C1D">
        <w:rPr>
          <w:rFonts w:ascii="Times New Roman" w:hAnsi="Times New Roman"/>
        </w:rPr>
        <w:t xml:space="preserve"> s 108C) of the </w:t>
      </w:r>
      <w:r w:rsidRPr="00185C1D">
        <w:rPr>
          <w:rFonts w:ascii="Times New Roman" w:hAnsi="Times New Roman"/>
          <w:i/>
          <w:iCs/>
        </w:rPr>
        <w:t xml:space="preserve">Evidence Act 1995 </w:t>
      </w:r>
      <w:r w:rsidRPr="00185C1D">
        <w:rPr>
          <w:rFonts w:ascii="Times New Roman" w:hAnsi="Times New Roman"/>
        </w:rPr>
        <w:t>(NSW) but was instead only a form of "literature review" of the opinions of others.</w:t>
      </w:r>
      <w:r w:rsidRPr="00185C1D">
        <w:rPr>
          <w:rStyle w:val="FootnoteReference"/>
          <w:rFonts w:ascii="Times New Roman" w:hAnsi="Times New Roman"/>
          <w:sz w:val="24"/>
        </w:rPr>
        <w:footnoteReference w:id="7"/>
      </w:r>
      <w:r w:rsidRPr="00185C1D">
        <w:rPr>
          <w:rFonts w:ascii="Times New Roman" w:hAnsi="Times New Roman"/>
        </w:rPr>
        <w:t xml:space="preserve"> </w:t>
      </w:r>
      <w:r w:rsidR="00993B20" w:rsidRPr="00185C1D">
        <w:rPr>
          <w:rFonts w:ascii="Times New Roman" w:hAnsi="Times New Roman"/>
        </w:rPr>
        <w:t xml:space="preserve">The Court in </w:t>
      </w:r>
      <w:r w:rsidRPr="00185C1D">
        <w:rPr>
          <w:rFonts w:ascii="Times New Roman" w:hAnsi="Times New Roman"/>
          <w:i/>
          <w:iCs/>
        </w:rPr>
        <w:t>AJ</w:t>
      </w:r>
      <w:r w:rsidRPr="00185C1D">
        <w:rPr>
          <w:rFonts w:ascii="Times New Roman" w:hAnsi="Times New Roman"/>
        </w:rPr>
        <w:t xml:space="preserve"> followed </w:t>
      </w:r>
      <w:r w:rsidRPr="00185C1D">
        <w:rPr>
          <w:rFonts w:ascii="Times New Roman" w:hAnsi="Times New Roman"/>
          <w:i/>
          <w:iCs/>
        </w:rPr>
        <w:t>Aziz</w:t>
      </w:r>
      <w:r w:rsidRPr="00185C1D">
        <w:rPr>
          <w:rFonts w:ascii="Times New Roman" w:hAnsi="Times New Roman"/>
        </w:rPr>
        <w:t>, but found that, in that case, it was not established that Associate Professor </w:t>
      </w:r>
      <w:proofErr w:type="spellStart"/>
      <w:r w:rsidRPr="00185C1D">
        <w:rPr>
          <w:rFonts w:ascii="Times New Roman" w:hAnsi="Times New Roman"/>
        </w:rPr>
        <w:t>Shackel</w:t>
      </w:r>
      <w:proofErr w:type="spellEnd"/>
      <w:r w:rsidRPr="00185C1D">
        <w:rPr>
          <w:rFonts w:ascii="Times New Roman" w:hAnsi="Times New Roman"/>
        </w:rPr>
        <w:t xml:space="preserve"> had the appropriate specialised knowledge to give evidence about the offending patterns of perpetrators of child sexual assault.</w:t>
      </w:r>
      <w:r w:rsidRPr="00185C1D">
        <w:rPr>
          <w:rStyle w:val="FootnoteReference"/>
          <w:rFonts w:ascii="Times New Roman" w:hAnsi="Times New Roman"/>
          <w:sz w:val="24"/>
        </w:rPr>
        <w:footnoteReference w:id="8"/>
      </w:r>
      <w:r w:rsidRPr="00185C1D">
        <w:rPr>
          <w:rFonts w:ascii="Times New Roman" w:hAnsi="Times New Roman"/>
        </w:rPr>
        <w:t xml:space="preserve"> </w:t>
      </w:r>
    </w:p>
    <w:p w14:paraId="596F88C0" w14:textId="07FD3CC9"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Thus, in the Court of Criminal Appeal, the appellant</w:t>
      </w:r>
      <w:r w:rsidR="0041133E" w:rsidRPr="00185C1D">
        <w:rPr>
          <w:rFonts w:ascii="Times New Roman" w:hAnsi="Times New Roman"/>
        </w:rPr>
        <w:t xml:space="preserve"> </w:t>
      </w:r>
      <w:r w:rsidR="002C7543" w:rsidRPr="00185C1D">
        <w:rPr>
          <w:rFonts w:ascii="Times New Roman" w:hAnsi="Times New Roman"/>
        </w:rPr>
        <w:t>in this case</w:t>
      </w:r>
      <w:r w:rsidRPr="00185C1D">
        <w:rPr>
          <w:rFonts w:ascii="Times New Roman" w:hAnsi="Times New Roman"/>
        </w:rPr>
        <w:t xml:space="preserve"> contended that </w:t>
      </w:r>
      <w:r w:rsidR="008A01D1" w:rsidRPr="00185C1D">
        <w:rPr>
          <w:rFonts w:ascii="Times New Roman" w:hAnsi="Times New Roman"/>
        </w:rPr>
        <w:t xml:space="preserve">the </w:t>
      </w:r>
      <w:r w:rsidRPr="00185C1D">
        <w:rPr>
          <w:rFonts w:ascii="Times New Roman" w:hAnsi="Times New Roman"/>
        </w:rPr>
        <w:t xml:space="preserve">part of the evidence given by Associate Professor </w:t>
      </w:r>
      <w:proofErr w:type="spellStart"/>
      <w:r w:rsidRPr="00185C1D">
        <w:rPr>
          <w:rFonts w:ascii="Times New Roman" w:hAnsi="Times New Roman"/>
        </w:rPr>
        <w:t>Shackel</w:t>
      </w:r>
      <w:proofErr w:type="spellEnd"/>
      <w:r w:rsidRPr="00185C1D">
        <w:rPr>
          <w:rFonts w:ascii="Times New Roman" w:hAnsi="Times New Roman"/>
        </w:rPr>
        <w:t xml:space="preserve"> that referred to the common circumstances in which child sexual assault takes place was outside </w:t>
      </w:r>
      <w:r w:rsidRPr="00185C1D">
        <w:rPr>
          <w:rFonts w:ascii="Times New Roman" w:hAnsi="Times New Roman"/>
        </w:rPr>
        <w:lastRenderedPageBreak/>
        <w:t xml:space="preserve">her expertise in the same way that evidence of perpetrator behaviour was held to be outside her expertise in </w:t>
      </w:r>
      <w:r w:rsidRPr="00185C1D">
        <w:rPr>
          <w:rFonts w:ascii="Times New Roman" w:hAnsi="Times New Roman"/>
          <w:i/>
          <w:iCs/>
        </w:rPr>
        <w:t>AJ</w:t>
      </w:r>
      <w:r w:rsidRPr="00185C1D">
        <w:rPr>
          <w:rFonts w:ascii="Times New Roman" w:hAnsi="Times New Roman"/>
        </w:rPr>
        <w:t>.</w:t>
      </w:r>
      <w:r w:rsidRPr="00185C1D">
        <w:rPr>
          <w:rStyle w:val="FootnoteReference"/>
          <w:rFonts w:ascii="Times New Roman" w:hAnsi="Times New Roman"/>
          <w:sz w:val="24"/>
        </w:rPr>
        <w:footnoteReference w:id="9"/>
      </w:r>
      <w:r w:rsidRPr="00185C1D">
        <w:rPr>
          <w:rFonts w:ascii="Times New Roman" w:hAnsi="Times New Roman"/>
        </w:rPr>
        <w:t xml:space="preserve"> </w:t>
      </w:r>
    </w:p>
    <w:p w14:paraId="26DE1C92" w14:textId="6F46F754"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The Court (Davies and McNaughton JJ, R A Hulme A</w:t>
      </w:r>
      <w:r w:rsidRPr="00185C1D">
        <w:rPr>
          <w:rFonts w:ascii="Times New Roman" w:hAnsi="Times New Roman"/>
        </w:rPr>
        <w:noBreakHyphen/>
        <w:t>J) rejected this contention.</w:t>
      </w:r>
      <w:r w:rsidRPr="00185C1D">
        <w:rPr>
          <w:rStyle w:val="FootnoteReference"/>
          <w:rFonts w:ascii="Times New Roman" w:hAnsi="Times New Roman"/>
          <w:sz w:val="24"/>
        </w:rPr>
        <w:footnoteReference w:id="10"/>
      </w:r>
      <w:r w:rsidRPr="00185C1D">
        <w:rPr>
          <w:rFonts w:ascii="Times New Roman" w:hAnsi="Times New Roman"/>
        </w:rPr>
        <w:t xml:space="preserve"> The </w:t>
      </w:r>
      <w:r w:rsidRPr="00185C1D" w:rsidDel="00123339">
        <w:rPr>
          <w:rFonts w:ascii="Times New Roman" w:hAnsi="Times New Roman"/>
        </w:rPr>
        <w:t>Court</w:t>
      </w:r>
      <w:r w:rsidRPr="00185C1D">
        <w:rPr>
          <w:rFonts w:ascii="Times New Roman" w:hAnsi="Times New Roman"/>
        </w:rPr>
        <w:t xml:space="preserve"> concluded that this part of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was "very likely to have been obtained by her study of the cases which are the basis of the research" and was "so closely related to the general discussion of the reactions and behaviour of children, that the evidence was not objectionable", but even if her evidence was inadmissible, no miscarriage of justice was occasioned.</w:t>
      </w:r>
      <w:r w:rsidRPr="00185C1D">
        <w:rPr>
          <w:rStyle w:val="FootnoteReference"/>
          <w:rFonts w:ascii="Times New Roman" w:hAnsi="Times New Roman"/>
          <w:sz w:val="24"/>
        </w:rPr>
        <w:footnoteReference w:id="11"/>
      </w:r>
      <w:r w:rsidRPr="00185C1D">
        <w:rPr>
          <w:rFonts w:ascii="Times New Roman" w:hAnsi="Times New Roman"/>
        </w:rPr>
        <w:t xml:space="preserve"> The Court also rejected the appellant's contention that a miscarriage of justice arose because Associate Professor </w:t>
      </w:r>
      <w:proofErr w:type="spellStart"/>
      <w:r w:rsidRPr="00185C1D">
        <w:rPr>
          <w:rFonts w:ascii="Times New Roman" w:hAnsi="Times New Roman"/>
        </w:rPr>
        <w:t>Shackel</w:t>
      </w:r>
      <w:proofErr w:type="spellEnd"/>
      <w:r w:rsidRPr="00185C1D">
        <w:rPr>
          <w:rFonts w:ascii="Times New Roman" w:hAnsi="Times New Roman"/>
        </w:rPr>
        <w:t xml:space="preserve"> did not explain to the jury what she meant by "intra-familial relationships".</w:t>
      </w:r>
      <w:r w:rsidRPr="00185C1D">
        <w:rPr>
          <w:rStyle w:val="FootnoteReference"/>
          <w:rFonts w:ascii="Times New Roman" w:hAnsi="Times New Roman"/>
          <w:sz w:val="24"/>
        </w:rPr>
        <w:footnoteReference w:id="12"/>
      </w:r>
      <w:r w:rsidRPr="00185C1D">
        <w:rPr>
          <w:rFonts w:ascii="Times New Roman" w:hAnsi="Times New Roman"/>
        </w:rPr>
        <w:t xml:space="preserve"> The Court did not accept that any further directions were required to be given by the trial judge in relation to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w:t>
      </w:r>
      <w:r w:rsidRPr="00185C1D">
        <w:rPr>
          <w:rStyle w:val="FootnoteReference"/>
          <w:rFonts w:ascii="Times New Roman" w:hAnsi="Times New Roman"/>
          <w:sz w:val="24"/>
        </w:rPr>
        <w:footnoteReference w:id="13"/>
      </w:r>
      <w:r w:rsidRPr="00185C1D">
        <w:rPr>
          <w:rFonts w:ascii="Times New Roman" w:hAnsi="Times New Roman"/>
        </w:rPr>
        <w:t xml:space="preserve"> </w:t>
      </w:r>
    </w:p>
    <w:p w14:paraId="31FAD951" w14:textId="14CDA1E1"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In this Court, both parties embraced </w:t>
      </w:r>
      <w:r w:rsidRPr="00185C1D">
        <w:rPr>
          <w:rFonts w:ascii="Times New Roman" w:hAnsi="Times New Roman"/>
          <w:i/>
          <w:iCs/>
        </w:rPr>
        <w:t>Aziz</w:t>
      </w:r>
      <w:r w:rsidRPr="00185C1D">
        <w:rPr>
          <w:rFonts w:ascii="Times New Roman" w:hAnsi="Times New Roman"/>
        </w:rPr>
        <w:t xml:space="preserve"> and </w:t>
      </w:r>
      <w:r w:rsidRPr="00185C1D">
        <w:rPr>
          <w:rFonts w:ascii="Times New Roman" w:hAnsi="Times New Roman"/>
          <w:i/>
          <w:iCs/>
        </w:rPr>
        <w:t>AJ</w:t>
      </w:r>
      <w:r w:rsidRPr="00185C1D">
        <w:rPr>
          <w:rFonts w:ascii="Times New Roman" w:hAnsi="Times New Roman"/>
        </w:rPr>
        <w:t xml:space="preserve">, but differed about their relevance and application to the present circumstances. Caution should be exercised in applying </w:t>
      </w:r>
      <w:r w:rsidRPr="00185C1D">
        <w:rPr>
          <w:rFonts w:ascii="Times New Roman" w:hAnsi="Times New Roman"/>
          <w:i/>
          <w:iCs/>
        </w:rPr>
        <w:t>Aziz</w:t>
      </w:r>
      <w:r w:rsidRPr="00185C1D">
        <w:rPr>
          <w:rFonts w:ascii="Times New Roman" w:hAnsi="Times New Roman"/>
        </w:rPr>
        <w:t xml:space="preserve"> and </w:t>
      </w:r>
      <w:r w:rsidRPr="00185C1D">
        <w:rPr>
          <w:rFonts w:ascii="Times New Roman" w:hAnsi="Times New Roman"/>
          <w:i/>
          <w:iCs/>
        </w:rPr>
        <w:t>AJ</w:t>
      </w:r>
      <w:r w:rsidRPr="00185C1D">
        <w:rPr>
          <w:rFonts w:ascii="Times New Roman" w:hAnsi="Times New Roman"/>
        </w:rPr>
        <w:t xml:space="preserve"> in contexts such as the present, notwithstanding the apparent similarity between the issues in those cases and this appeal and the fact that they concern the same expert witness. Ascertaining the proper scope of an expert witness' evidence will depend upon the evidence led about the witness' expertise in the </w:t>
      </w:r>
      <w:proofErr w:type="gramStart"/>
      <w:r w:rsidRPr="00185C1D">
        <w:rPr>
          <w:rFonts w:ascii="Times New Roman" w:hAnsi="Times New Roman"/>
        </w:rPr>
        <w:t>particular proceedings</w:t>
      </w:r>
      <w:proofErr w:type="gramEnd"/>
      <w:r w:rsidR="00BB2C42" w:rsidRPr="00185C1D">
        <w:rPr>
          <w:rFonts w:ascii="Times New Roman" w:hAnsi="Times New Roman"/>
        </w:rPr>
        <w:t xml:space="preserve"> and the evidence as given in those proceedings</w:t>
      </w:r>
      <w:r w:rsidRPr="00185C1D">
        <w:rPr>
          <w:rFonts w:ascii="Times New Roman" w:hAnsi="Times New Roman"/>
        </w:rPr>
        <w:t xml:space="preserve">. </w:t>
      </w:r>
    </w:p>
    <w:p w14:paraId="7F6FCED1" w14:textId="77777777" w:rsidR="00BA59BA" w:rsidRPr="00185C1D" w:rsidRDefault="00BA59BA" w:rsidP="00185C1D">
      <w:pPr>
        <w:pStyle w:val="HeadingL1"/>
        <w:spacing w:after="260" w:line="280" w:lineRule="exact"/>
        <w:ind w:right="0"/>
        <w:jc w:val="both"/>
        <w:rPr>
          <w:rFonts w:ascii="Times New Roman" w:hAnsi="Times New Roman"/>
        </w:rPr>
      </w:pPr>
      <w:r w:rsidRPr="00185C1D">
        <w:rPr>
          <w:rFonts w:ascii="Times New Roman" w:hAnsi="Times New Roman"/>
        </w:rPr>
        <w:t xml:space="preserve">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was credibility </w:t>
      </w:r>
      <w:proofErr w:type="gramStart"/>
      <w:r w:rsidRPr="00185C1D">
        <w:rPr>
          <w:rFonts w:ascii="Times New Roman" w:hAnsi="Times New Roman"/>
        </w:rPr>
        <w:t>evidence</w:t>
      </w:r>
      <w:proofErr w:type="gramEnd"/>
      <w:r w:rsidRPr="00185C1D">
        <w:rPr>
          <w:rFonts w:ascii="Times New Roman" w:hAnsi="Times New Roman"/>
        </w:rPr>
        <w:t xml:space="preserve"> </w:t>
      </w:r>
    </w:p>
    <w:p w14:paraId="7F5E1252" w14:textId="16ED9FB8"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One issue that arose in this Court was whether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including her evidence the subject of complaint on appeal, was "credibility evidence", that is, whether her evidence was "relevant only </w:t>
      </w:r>
      <w:r w:rsidRPr="00185C1D">
        <w:rPr>
          <w:rFonts w:ascii="Times New Roman" w:hAnsi="Times New Roman"/>
        </w:rPr>
        <w:lastRenderedPageBreak/>
        <w:t xml:space="preserve">because it </w:t>
      </w:r>
      <w:proofErr w:type="gramStart"/>
      <w:r w:rsidRPr="00185C1D">
        <w:rPr>
          <w:rFonts w:ascii="Times New Roman" w:hAnsi="Times New Roman"/>
        </w:rPr>
        <w:t>affect</w:t>
      </w:r>
      <w:proofErr w:type="gramEnd"/>
      <w:r w:rsidRPr="00185C1D">
        <w:rPr>
          <w:rFonts w:ascii="Times New Roman" w:hAnsi="Times New Roman"/>
        </w:rPr>
        <w:t>[ed] the assessment of the credibility of the witness or person",</w:t>
      </w:r>
      <w:r w:rsidRPr="00185C1D">
        <w:rPr>
          <w:rStyle w:val="FootnoteReference"/>
          <w:rFonts w:ascii="Times New Roman" w:hAnsi="Times New Roman"/>
          <w:sz w:val="24"/>
        </w:rPr>
        <w:footnoteReference w:id="14"/>
      </w:r>
      <w:r w:rsidRPr="00185C1D">
        <w:rPr>
          <w:rFonts w:ascii="Times New Roman" w:hAnsi="Times New Roman"/>
        </w:rPr>
        <w:t xml:space="preserve"> namely AA and BB.</w:t>
      </w:r>
      <w:bookmarkStart w:id="5" w:name="_Hlk167954594"/>
      <w:r w:rsidRPr="00185C1D">
        <w:rPr>
          <w:rFonts w:ascii="Times New Roman" w:hAnsi="Times New Roman"/>
        </w:rPr>
        <w:t xml:space="preserve"> </w:t>
      </w:r>
      <w:bookmarkEnd w:id="5"/>
      <w:r w:rsidRPr="00185C1D">
        <w:rPr>
          <w:rFonts w:ascii="Times New Roman" w:hAnsi="Times New Roman"/>
        </w:rPr>
        <w:t xml:space="preserve">The respondent contended that it was. The appellant did not accept that contention, but rather sought to characterise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as "educative", being material designed to prevent inappropriate inferential reasoning processes based on common misconceptions about how victims of child sexual abuse respond to and disclose such abuse. </w:t>
      </w:r>
    </w:p>
    <w:p w14:paraId="56F1D14B" w14:textId="470E7DB6"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Except as "otherwise provided" by the </w:t>
      </w:r>
      <w:r w:rsidRPr="00185C1D">
        <w:rPr>
          <w:rFonts w:ascii="Times New Roman" w:hAnsi="Times New Roman"/>
          <w:i/>
          <w:iCs/>
        </w:rPr>
        <w:t>Evidence Act</w:t>
      </w:r>
      <w:r w:rsidRPr="00185C1D">
        <w:rPr>
          <w:rFonts w:ascii="Times New Roman" w:hAnsi="Times New Roman"/>
        </w:rPr>
        <w:t>, evidence that is relevant in a proceeding is admissible.</w:t>
      </w:r>
      <w:r w:rsidRPr="00185C1D">
        <w:rPr>
          <w:rStyle w:val="FootnoteReference"/>
          <w:rFonts w:ascii="Times New Roman" w:hAnsi="Times New Roman"/>
          <w:sz w:val="24"/>
        </w:rPr>
        <w:footnoteReference w:id="15"/>
      </w:r>
      <w:r w:rsidRPr="00185C1D">
        <w:rPr>
          <w:rFonts w:ascii="Times New Roman" w:hAnsi="Times New Roman"/>
        </w:rPr>
        <w:t xml:space="preserve"> Relevant evidence in a proceeding is "evidence that, if it were accepted, could rationally affect (directly or indirectly) the assessment of the probability of the existence of a fact in issue in the proceeding".</w:t>
      </w:r>
      <w:r w:rsidRPr="00185C1D">
        <w:rPr>
          <w:rStyle w:val="FootnoteReference"/>
          <w:rFonts w:ascii="Times New Roman" w:hAnsi="Times New Roman"/>
          <w:sz w:val="24"/>
        </w:rPr>
        <w:footnoteReference w:id="16"/>
      </w:r>
      <w:r w:rsidRPr="00185C1D">
        <w:rPr>
          <w:rFonts w:ascii="Times New Roman" w:hAnsi="Times New Roman"/>
        </w:rPr>
        <w:t xml:space="preserve"> Evidence is not </w:t>
      </w:r>
      <w:r w:rsidR="007B3CF4" w:rsidRPr="00185C1D">
        <w:rPr>
          <w:rFonts w:ascii="Times New Roman" w:hAnsi="Times New Roman"/>
        </w:rPr>
        <w:t>"</w:t>
      </w:r>
      <w:r w:rsidRPr="00185C1D">
        <w:rPr>
          <w:rFonts w:ascii="Times New Roman" w:hAnsi="Times New Roman"/>
        </w:rPr>
        <w:t>taken to be irrelevant only because it relates only to ... the credibility of a witness".</w:t>
      </w:r>
      <w:r w:rsidRPr="00185C1D">
        <w:rPr>
          <w:rStyle w:val="FootnoteReference"/>
          <w:rFonts w:ascii="Times New Roman" w:hAnsi="Times New Roman"/>
          <w:sz w:val="24"/>
        </w:rPr>
        <w:footnoteReference w:id="17"/>
      </w:r>
      <w:r w:rsidRPr="00185C1D">
        <w:rPr>
          <w:rFonts w:ascii="Times New Roman" w:hAnsi="Times New Roman"/>
        </w:rPr>
        <w:t xml:space="preserve"> Two of the rules established by the </w:t>
      </w:r>
      <w:r w:rsidRPr="00185C1D">
        <w:rPr>
          <w:rFonts w:ascii="Times New Roman" w:hAnsi="Times New Roman"/>
          <w:i/>
          <w:iCs/>
        </w:rPr>
        <w:t>Evidence Act</w:t>
      </w:r>
      <w:r w:rsidRPr="00185C1D">
        <w:rPr>
          <w:rFonts w:ascii="Times New Roman" w:hAnsi="Times New Roman"/>
        </w:rPr>
        <w:t xml:space="preserve"> that "otherwise provide</w:t>
      </w:r>
      <w:r w:rsidR="00A72E4F" w:rsidRPr="00185C1D">
        <w:rPr>
          <w:rFonts w:ascii="Times New Roman" w:hAnsi="Times New Roman"/>
        </w:rPr>
        <w:t>[]</w:t>
      </w:r>
      <w:r w:rsidRPr="00185C1D">
        <w:rPr>
          <w:rFonts w:ascii="Times New Roman" w:hAnsi="Times New Roman"/>
        </w:rPr>
        <w:t>" are the opinion rule, which renders evidence of an opinion not admissible "to prove the existence of a fact about the existence of which the opinion was expressed",</w:t>
      </w:r>
      <w:r w:rsidRPr="00185C1D">
        <w:rPr>
          <w:rStyle w:val="FootnoteReference"/>
          <w:rFonts w:ascii="Times New Roman" w:hAnsi="Times New Roman"/>
          <w:sz w:val="24"/>
        </w:rPr>
        <w:footnoteReference w:id="18"/>
      </w:r>
      <w:r w:rsidRPr="00185C1D">
        <w:rPr>
          <w:rFonts w:ascii="Times New Roman" w:hAnsi="Times New Roman"/>
        </w:rPr>
        <w:t xml:space="preserve"> and the credibility rule, which renders "</w:t>
      </w:r>
      <w:r w:rsidR="00752096" w:rsidRPr="00185C1D">
        <w:rPr>
          <w:rFonts w:ascii="Times New Roman" w:hAnsi="Times New Roman"/>
        </w:rPr>
        <w:t>[</w:t>
      </w:r>
      <w:r w:rsidRPr="00185C1D">
        <w:rPr>
          <w:rFonts w:ascii="Times New Roman" w:hAnsi="Times New Roman"/>
        </w:rPr>
        <w:t>c</w:t>
      </w:r>
      <w:r w:rsidR="00752096" w:rsidRPr="00185C1D">
        <w:rPr>
          <w:rFonts w:ascii="Times New Roman" w:hAnsi="Times New Roman"/>
        </w:rPr>
        <w:t>]</w:t>
      </w:r>
      <w:proofErr w:type="spellStart"/>
      <w:r w:rsidRPr="00185C1D">
        <w:rPr>
          <w:rFonts w:ascii="Times New Roman" w:hAnsi="Times New Roman"/>
        </w:rPr>
        <w:t>redibility</w:t>
      </w:r>
      <w:proofErr w:type="spellEnd"/>
      <w:r w:rsidRPr="00185C1D">
        <w:rPr>
          <w:rFonts w:ascii="Times New Roman" w:hAnsi="Times New Roman"/>
        </w:rPr>
        <w:t xml:space="preserve"> evidence about a witness" not admissible.</w:t>
      </w:r>
      <w:r w:rsidRPr="00185C1D">
        <w:rPr>
          <w:rStyle w:val="FootnoteReference"/>
          <w:rFonts w:ascii="Times New Roman" w:hAnsi="Times New Roman"/>
          <w:sz w:val="24"/>
        </w:rPr>
        <w:footnoteReference w:id="19"/>
      </w:r>
      <w:r w:rsidRPr="00185C1D">
        <w:rPr>
          <w:rFonts w:ascii="Times New Roman" w:hAnsi="Times New Roman"/>
        </w:rPr>
        <w:t xml:space="preserve"> </w:t>
      </w:r>
    </w:p>
    <w:p w14:paraId="15F70DAE" w14:textId="77777777"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There is an exception to both rules,</w:t>
      </w:r>
      <w:r w:rsidRPr="00185C1D" w:rsidDel="00AB6AEB">
        <w:rPr>
          <w:rFonts w:ascii="Times New Roman" w:hAnsi="Times New Roman"/>
        </w:rPr>
        <w:t xml:space="preserve"> </w:t>
      </w:r>
      <w:r w:rsidRPr="00185C1D">
        <w:rPr>
          <w:rFonts w:ascii="Times New Roman" w:hAnsi="Times New Roman"/>
        </w:rPr>
        <w:t>which in the case of the opinion rule is found in s 79 and in the case of the credibility rule is found in s 108C, such that both the opinion rule and the credibility rule do not apply to evidence of a person's opinion that is "wholly or substantially based" on specialised knowledge based on their "training, study or experience".</w:t>
      </w:r>
      <w:r w:rsidRPr="00185C1D">
        <w:rPr>
          <w:rStyle w:val="FootnoteReference"/>
          <w:rFonts w:ascii="Times New Roman" w:hAnsi="Times New Roman"/>
          <w:sz w:val="24"/>
        </w:rPr>
        <w:footnoteReference w:id="20"/>
      </w:r>
      <w:r w:rsidRPr="00185C1D">
        <w:rPr>
          <w:rFonts w:ascii="Times New Roman" w:hAnsi="Times New Roman"/>
        </w:rPr>
        <w:t xml:space="preserve"> In the case of the credibility rule, the exception in s 108C also requires that the evidence</w:t>
      </w:r>
      <w:r w:rsidRPr="00185C1D" w:rsidDel="0006519C">
        <w:rPr>
          <w:rFonts w:ascii="Times New Roman" w:hAnsi="Times New Roman"/>
        </w:rPr>
        <w:t xml:space="preserve"> </w:t>
      </w:r>
      <w:r w:rsidRPr="00185C1D">
        <w:rPr>
          <w:rFonts w:ascii="Times New Roman" w:hAnsi="Times New Roman"/>
        </w:rPr>
        <w:t xml:space="preserve">be capable of "substantially </w:t>
      </w:r>
      <w:r w:rsidRPr="00185C1D">
        <w:rPr>
          <w:rFonts w:ascii="Times New Roman" w:hAnsi="Times New Roman"/>
        </w:rPr>
        <w:lastRenderedPageBreak/>
        <w:t>affect[</w:t>
      </w:r>
      <w:proofErr w:type="spellStart"/>
      <w:r w:rsidRPr="00185C1D">
        <w:rPr>
          <w:rFonts w:ascii="Times New Roman" w:hAnsi="Times New Roman"/>
        </w:rPr>
        <w:t>ing</w:t>
      </w:r>
      <w:proofErr w:type="spellEnd"/>
      <w:r w:rsidRPr="00185C1D">
        <w:rPr>
          <w:rFonts w:ascii="Times New Roman" w:hAnsi="Times New Roman"/>
        </w:rPr>
        <w:t>] the assessment of the credibility of the witness"</w:t>
      </w:r>
      <w:r w:rsidRPr="00185C1D">
        <w:rPr>
          <w:rStyle w:val="FootnoteReference"/>
          <w:rFonts w:ascii="Times New Roman" w:hAnsi="Times New Roman"/>
          <w:sz w:val="24"/>
        </w:rPr>
        <w:footnoteReference w:id="21"/>
      </w:r>
      <w:r w:rsidRPr="00185C1D">
        <w:rPr>
          <w:rFonts w:ascii="Times New Roman" w:hAnsi="Times New Roman"/>
        </w:rPr>
        <w:t xml:space="preserve"> and be the subject of a grant of leave.</w:t>
      </w:r>
      <w:r w:rsidRPr="00185C1D">
        <w:rPr>
          <w:rStyle w:val="FootnoteReference"/>
          <w:rFonts w:ascii="Times New Roman" w:hAnsi="Times New Roman"/>
          <w:sz w:val="24"/>
        </w:rPr>
        <w:footnoteReference w:id="22"/>
      </w:r>
      <w:r w:rsidRPr="00185C1D">
        <w:rPr>
          <w:rFonts w:ascii="Times New Roman" w:hAnsi="Times New Roman"/>
        </w:rPr>
        <w:t xml:space="preserve"> </w:t>
      </w:r>
    </w:p>
    <w:p w14:paraId="41D4811C" w14:textId="77777777"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Both ss 79 and 108C contain provisions confirming what is included in the scope of evidence of a person's opinion being "wholly or substantially based" on specialised knowledge, that is, based on the person's "training, study or experience".</w:t>
      </w:r>
      <w:r w:rsidRPr="00185C1D">
        <w:rPr>
          <w:rStyle w:val="FootnoteReference"/>
          <w:rFonts w:ascii="Times New Roman" w:hAnsi="Times New Roman"/>
          <w:sz w:val="24"/>
        </w:rPr>
        <w:footnoteReference w:id="23"/>
      </w:r>
      <w:r w:rsidRPr="00185C1D">
        <w:rPr>
          <w:rFonts w:ascii="Times New Roman" w:hAnsi="Times New Roman"/>
        </w:rPr>
        <w:t xml:space="preserve"> Thus, at the time of the primary judge's decision, s 79(2) provided as follows:</w:t>
      </w:r>
    </w:p>
    <w:p w14:paraId="1069F228" w14:textId="77777777" w:rsidR="00BA59BA" w:rsidRPr="00185C1D" w:rsidRDefault="00BA59BA" w:rsidP="00185C1D">
      <w:pPr>
        <w:pStyle w:val="LeftrightafterHC"/>
        <w:spacing w:before="0" w:after="260" w:line="280" w:lineRule="exact"/>
        <w:ind w:right="0"/>
        <w:jc w:val="both"/>
        <w:rPr>
          <w:rFonts w:ascii="Times New Roman" w:hAnsi="Times New Roman"/>
        </w:rPr>
      </w:pPr>
      <w:r w:rsidRPr="00185C1D">
        <w:rPr>
          <w:rFonts w:ascii="Times New Roman" w:hAnsi="Times New Roman"/>
        </w:rPr>
        <w:t>"To avoid doubt, and without limiting subsection (1):</w:t>
      </w:r>
    </w:p>
    <w:p w14:paraId="4B7B99FC" w14:textId="77777777" w:rsidR="00BA59BA" w:rsidRPr="00185C1D" w:rsidRDefault="00BA59BA" w:rsidP="00185C1D">
      <w:pPr>
        <w:pStyle w:val="LeftrightHanging"/>
        <w:spacing w:before="0" w:after="260" w:line="280" w:lineRule="exact"/>
        <w:ind w:left="1571" w:right="0"/>
        <w:jc w:val="both"/>
        <w:rPr>
          <w:rFonts w:ascii="Times New Roman" w:hAnsi="Times New Roman"/>
        </w:rPr>
      </w:pPr>
      <w:r w:rsidRPr="00185C1D">
        <w:rPr>
          <w:rFonts w:ascii="Times New Roman" w:hAnsi="Times New Roman"/>
        </w:rPr>
        <w:t>(a)</w:t>
      </w:r>
      <w:r w:rsidRPr="00185C1D">
        <w:rPr>
          <w:rFonts w:ascii="Times New Roman" w:hAnsi="Times New Roman"/>
        </w:rPr>
        <w:tab/>
      </w:r>
      <w:r w:rsidRPr="00185C1D">
        <w:rPr>
          <w:rFonts w:ascii="Times New Roman" w:hAnsi="Times New Roman"/>
        </w:rPr>
        <w:tab/>
        <w:t>a reference in that subsection to specialised knowledge includes a reference to specialised knowledge of child development and child behaviour (including specialised knowledge of the impact of sexual abuse on children and their development and behaviour during and following the abuse), and</w:t>
      </w:r>
    </w:p>
    <w:p w14:paraId="5FCF2DE3" w14:textId="77777777" w:rsidR="00BA59BA" w:rsidRPr="00185C1D" w:rsidRDefault="00BA59BA" w:rsidP="00185C1D">
      <w:pPr>
        <w:pStyle w:val="LeftrightHanging"/>
        <w:spacing w:before="0" w:after="260" w:line="280" w:lineRule="exact"/>
        <w:ind w:left="1571" w:right="0"/>
        <w:jc w:val="both"/>
        <w:rPr>
          <w:rFonts w:ascii="Times New Roman" w:hAnsi="Times New Roman"/>
        </w:rPr>
      </w:pPr>
      <w:r w:rsidRPr="00185C1D">
        <w:rPr>
          <w:rFonts w:ascii="Times New Roman" w:hAnsi="Times New Roman"/>
        </w:rPr>
        <w:t>(b)</w:t>
      </w:r>
      <w:r w:rsidRPr="00185C1D">
        <w:rPr>
          <w:rFonts w:ascii="Times New Roman" w:hAnsi="Times New Roman"/>
        </w:rPr>
        <w:tab/>
      </w:r>
      <w:r w:rsidRPr="00185C1D">
        <w:rPr>
          <w:rFonts w:ascii="Times New Roman" w:hAnsi="Times New Roman"/>
        </w:rPr>
        <w:tab/>
        <w:t>a reference in that subsection to an opinion of a person includes, if the person has specialised knowledge of the kind referred to in paragraph (a), a reference to an opinion relating to either or both of the following:</w:t>
      </w:r>
    </w:p>
    <w:p w14:paraId="2A205966" w14:textId="77777777" w:rsidR="00BA59BA" w:rsidRPr="00185C1D" w:rsidRDefault="00BA59BA" w:rsidP="00185C1D">
      <w:pPr>
        <w:pStyle w:val="LRHangingMore"/>
        <w:spacing w:before="0" w:after="260" w:line="280" w:lineRule="exact"/>
        <w:ind w:left="2251" w:right="0"/>
        <w:jc w:val="both"/>
        <w:rPr>
          <w:rFonts w:ascii="Times New Roman" w:hAnsi="Times New Roman"/>
        </w:rPr>
      </w:pPr>
      <w:r w:rsidRPr="00185C1D">
        <w:rPr>
          <w:rFonts w:ascii="Times New Roman" w:hAnsi="Times New Roman"/>
        </w:rPr>
        <w:t>(</w:t>
      </w:r>
      <w:proofErr w:type="spellStart"/>
      <w:r w:rsidRPr="00185C1D">
        <w:rPr>
          <w:rFonts w:ascii="Times New Roman" w:hAnsi="Times New Roman"/>
        </w:rPr>
        <w:t>i</w:t>
      </w:r>
      <w:proofErr w:type="spellEnd"/>
      <w:r w:rsidRPr="00185C1D">
        <w:rPr>
          <w:rFonts w:ascii="Times New Roman" w:hAnsi="Times New Roman"/>
        </w:rPr>
        <w:t>)</w:t>
      </w:r>
      <w:r w:rsidRPr="00185C1D">
        <w:rPr>
          <w:rFonts w:ascii="Times New Roman" w:hAnsi="Times New Roman"/>
        </w:rPr>
        <w:tab/>
      </w:r>
      <w:r w:rsidRPr="00185C1D">
        <w:rPr>
          <w:rFonts w:ascii="Times New Roman" w:hAnsi="Times New Roman"/>
        </w:rPr>
        <w:tab/>
        <w:t>the development and behaviour of children generally,</w:t>
      </w:r>
    </w:p>
    <w:p w14:paraId="4999ED54" w14:textId="77777777" w:rsidR="00185C1D" w:rsidRDefault="00BA59BA" w:rsidP="00185C1D">
      <w:pPr>
        <w:pStyle w:val="LRHangingMore"/>
        <w:spacing w:before="0" w:after="260" w:line="280" w:lineRule="exact"/>
        <w:ind w:left="2251" w:right="0"/>
        <w:jc w:val="both"/>
        <w:rPr>
          <w:rFonts w:ascii="Times New Roman" w:hAnsi="Times New Roman"/>
        </w:rPr>
      </w:pPr>
      <w:r w:rsidRPr="00185C1D">
        <w:rPr>
          <w:rFonts w:ascii="Times New Roman" w:hAnsi="Times New Roman"/>
        </w:rPr>
        <w:t>(ii)</w:t>
      </w:r>
      <w:r w:rsidRPr="00185C1D">
        <w:rPr>
          <w:rFonts w:ascii="Times New Roman" w:hAnsi="Times New Roman"/>
        </w:rPr>
        <w:tab/>
      </w:r>
      <w:r w:rsidRPr="00185C1D">
        <w:rPr>
          <w:rFonts w:ascii="Times New Roman" w:hAnsi="Times New Roman"/>
        </w:rPr>
        <w:tab/>
        <w:t>the development and behaviour of children who have been victims of sexual offences, or offences similar to sexual offences."</w:t>
      </w:r>
    </w:p>
    <w:p w14:paraId="6DEFCC61" w14:textId="3C41F67D" w:rsidR="00BA59BA" w:rsidRPr="00185C1D" w:rsidRDefault="00BA59BA" w:rsidP="00185C1D">
      <w:pPr>
        <w:pStyle w:val="NormalBody"/>
        <w:spacing w:after="260" w:line="280" w:lineRule="exact"/>
        <w:ind w:right="0"/>
        <w:jc w:val="both"/>
        <w:rPr>
          <w:rFonts w:ascii="Times New Roman" w:hAnsi="Times New Roman"/>
        </w:rPr>
      </w:pPr>
      <w:r w:rsidRPr="00185C1D">
        <w:rPr>
          <w:rFonts w:ascii="Times New Roman" w:hAnsi="Times New Roman"/>
        </w:rPr>
        <w:t>Section 108</w:t>
      </w:r>
      <w:proofErr w:type="gramStart"/>
      <w:r w:rsidRPr="00185C1D">
        <w:rPr>
          <w:rFonts w:ascii="Times New Roman" w:hAnsi="Times New Roman"/>
        </w:rPr>
        <w:t>C(</w:t>
      </w:r>
      <w:proofErr w:type="gramEnd"/>
      <w:r w:rsidRPr="00185C1D">
        <w:rPr>
          <w:rFonts w:ascii="Times New Roman" w:hAnsi="Times New Roman"/>
        </w:rPr>
        <w:t>2) was in similar terms.</w:t>
      </w:r>
    </w:p>
    <w:p w14:paraId="2380A059" w14:textId="511D823C"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This aspect of the exception to the opinion rule for expert evidence (</w:t>
      </w:r>
      <w:proofErr w:type="spellStart"/>
      <w:r w:rsidRPr="00185C1D">
        <w:rPr>
          <w:rFonts w:ascii="Times New Roman" w:hAnsi="Times New Roman"/>
        </w:rPr>
        <w:t>ie</w:t>
      </w:r>
      <w:proofErr w:type="spellEnd"/>
      <w:r w:rsidRPr="00185C1D">
        <w:rPr>
          <w:rFonts w:ascii="Times New Roman" w:hAnsi="Times New Roman"/>
        </w:rPr>
        <w:t>, s</w:t>
      </w:r>
      <w:r w:rsidR="002366AD">
        <w:rPr>
          <w:rFonts w:ascii="Times New Roman" w:hAnsi="Times New Roman"/>
        </w:rPr>
        <w:t> </w:t>
      </w:r>
      <w:r w:rsidRPr="00185C1D">
        <w:rPr>
          <w:rFonts w:ascii="Times New Roman" w:hAnsi="Times New Roman"/>
        </w:rPr>
        <w:t xml:space="preserve">79(2)) and the entirety of the exception to the credibility rule for expert evidence </w:t>
      </w:r>
      <w:r w:rsidRPr="00185C1D">
        <w:rPr>
          <w:rFonts w:ascii="Times New Roman" w:hAnsi="Times New Roman"/>
        </w:rPr>
        <w:lastRenderedPageBreak/>
        <w:t>(</w:t>
      </w:r>
      <w:proofErr w:type="spellStart"/>
      <w:r w:rsidRPr="00185C1D">
        <w:rPr>
          <w:rFonts w:ascii="Times New Roman" w:hAnsi="Times New Roman"/>
        </w:rPr>
        <w:t>ie</w:t>
      </w:r>
      <w:proofErr w:type="spellEnd"/>
      <w:r w:rsidRPr="00185C1D">
        <w:rPr>
          <w:rFonts w:ascii="Times New Roman" w:hAnsi="Times New Roman"/>
        </w:rPr>
        <w:t xml:space="preserve">, s 108C) were inserted into the </w:t>
      </w:r>
      <w:r w:rsidRPr="00185C1D">
        <w:rPr>
          <w:rFonts w:ascii="Times New Roman" w:hAnsi="Times New Roman"/>
          <w:i/>
          <w:iCs/>
        </w:rPr>
        <w:t>Evidence Act</w:t>
      </w:r>
      <w:r w:rsidRPr="00185C1D">
        <w:rPr>
          <w:rStyle w:val="FootnoteReference"/>
          <w:rFonts w:ascii="Times New Roman" w:hAnsi="Times New Roman"/>
          <w:sz w:val="24"/>
        </w:rPr>
        <w:footnoteReference w:id="24"/>
      </w:r>
      <w:r w:rsidRPr="00185C1D">
        <w:rPr>
          <w:rFonts w:ascii="Times New Roman" w:hAnsi="Times New Roman"/>
        </w:rPr>
        <w:t xml:space="preserve"> following the recommendations of a joint report of the Australian Law Reform Commission, the New South Wales Law Reform Commission and the Victorian Law Reform Commission published in December 2005 ("the ALRC</w:t>
      </w:r>
      <w:r w:rsidRPr="00185C1D">
        <w:rPr>
          <w:rFonts w:ascii="Times New Roman" w:hAnsi="Times New Roman"/>
          <w:i/>
          <w:iCs/>
        </w:rPr>
        <w:t xml:space="preserve"> </w:t>
      </w:r>
      <w:r w:rsidRPr="00185C1D">
        <w:rPr>
          <w:rFonts w:ascii="Times New Roman" w:hAnsi="Times New Roman"/>
        </w:rPr>
        <w:t>Report").</w:t>
      </w:r>
      <w:r w:rsidRPr="00185C1D">
        <w:rPr>
          <w:rStyle w:val="FootnoteReference"/>
          <w:rFonts w:ascii="Times New Roman" w:hAnsi="Times New Roman"/>
          <w:sz w:val="24"/>
        </w:rPr>
        <w:footnoteReference w:id="25"/>
      </w:r>
      <w:r w:rsidRPr="00185C1D">
        <w:rPr>
          <w:rFonts w:ascii="Times New Roman" w:hAnsi="Times New Roman"/>
        </w:rPr>
        <w:t xml:space="preserve"> The ALRC Report addressed, inter alia, the admissibility and use of expert evidence concerning children's development and behaviour.</w:t>
      </w:r>
      <w:r w:rsidRPr="00185C1D">
        <w:rPr>
          <w:rStyle w:val="FootnoteReference"/>
          <w:rFonts w:ascii="Times New Roman" w:hAnsi="Times New Roman"/>
          <w:sz w:val="24"/>
        </w:rPr>
        <w:footnoteReference w:id="26"/>
      </w:r>
      <w:r w:rsidRPr="00185C1D">
        <w:rPr>
          <w:rFonts w:ascii="Times New Roman" w:hAnsi="Times New Roman"/>
        </w:rPr>
        <w:t xml:space="preserve"> It noted that such evidence can be relevant to a range of issues in legal proceedings, including a fact in issue, such as whether inferences can be drawn from evidence of the behaviour of a child towards a person alleged to have assaulted the child</w:t>
      </w:r>
      <w:r w:rsidR="003C7E70" w:rsidRPr="00185C1D">
        <w:rPr>
          <w:rFonts w:ascii="Times New Roman" w:hAnsi="Times New Roman"/>
        </w:rPr>
        <w:t>,</w:t>
      </w:r>
      <w:r w:rsidRPr="00185C1D">
        <w:rPr>
          <w:rFonts w:ascii="Times New Roman" w:hAnsi="Times New Roman"/>
        </w:rPr>
        <w:t xml:space="preserve"> and the credibility of a child witness.</w:t>
      </w:r>
      <w:r w:rsidRPr="00185C1D">
        <w:rPr>
          <w:rStyle w:val="FootnoteReference"/>
          <w:rFonts w:ascii="Times New Roman" w:hAnsi="Times New Roman"/>
          <w:sz w:val="24"/>
        </w:rPr>
        <w:footnoteReference w:id="27"/>
      </w:r>
      <w:r w:rsidRPr="00185C1D">
        <w:rPr>
          <w:rFonts w:ascii="Times New Roman" w:hAnsi="Times New Roman"/>
        </w:rPr>
        <w:t xml:space="preserve"> It noted that sometimes Australian courts were reluctant to admit expert evidence on child development and behaviour, including typical patterns of behaviour and responses of child victims of abuse,</w:t>
      </w:r>
      <w:r w:rsidRPr="00185C1D">
        <w:rPr>
          <w:rStyle w:val="FootnoteReference"/>
          <w:rFonts w:ascii="Times New Roman" w:hAnsi="Times New Roman"/>
          <w:sz w:val="24"/>
        </w:rPr>
        <w:footnoteReference w:id="28"/>
      </w:r>
      <w:r w:rsidRPr="00185C1D">
        <w:rPr>
          <w:rFonts w:ascii="Times New Roman" w:hAnsi="Times New Roman"/>
        </w:rPr>
        <w:t xml:space="preserve"> even though such evidence could be important in "assisting the tribunal of fact to assess other evidence or to prevent inappropriate reasoning processes based on misconceived notions about children and their behaviour".</w:t>
      </w:r>
      <w:r w:rsidRPr="00185C1D">
        <w:rPr>
          <w:rStyle w:val="FootnoteReference"/>
          <w:rFonts w:ascii="Times New Roman" w:hAnsi="Times New Roman"/>
          <w:sz w:val="24"/>
        </w:rPr>
        <w:footnoteReference w:id="29"/>
      </w:r>
      <w:r w:rsidRPr="00185C1D">
        <w:rPr>
          <w:rFonts w:ascii="Times New Roman" w:hAnsi="Times New Roman"/>
        </w:rPr>
        <w:t xml:space="preserve"> </w:t>
      </w:r>
    </w:p>
    <w:p w14:paraId="18943A98" w14:textId="3D5CE08A"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In seeking to characterise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as "educative" and resisting any suggestion that it was being adduced for reasons affecting AA and BB's credibility, the appellant relied on </w:t>
      </w:r>
      <w:proofErr w:type="spellStart"/>
      <w:r w:rsidRPr="00185C1D">
        <w:rPr>
          <w:rFonts w:ascii="Times New Roman" w:hAnsi="Times New Roman"/>
        </w:rPr>
        <w:t>Heydon</w:t>
      </w:r>
      <w:proofErr w:type="spellEnd"/>
      <w:r w:rsidRPr="00185C1D">
        <w:rPr>
          <w:rFonts w:ascii="Times New Roman" w:hAnsi="Times New Roman"/>
        </w:rPr>
        <w:t xml:space="preserve"> J's discussion of a certain kind of expert material in </w:t>
      </w:r>
      <w:proofErr w:type="spellStart"/>
      <w:r w:rsidRPr="00185C1D">
        <w:rPr>
          <w:rFonts w:ascii="Times New Roman" w:hAnsi="Times New Roman"/>
          <w:i/>
          <w:iCs/>
        </w:rPr>
        <w:t>Aytugrul</w:t>
      </w:r>
      <w:proofErr w:type="spellEnd"/>
      <w:r w:rsidRPr="00185C1D">
        <w:rPr>
          <w:rFonts w:ascii="Times New Roman" w:hAnsi="Times New Roman"/>
          <w:i/>
          <w:iCs/>
        </w:rPr>
        <w:t xml:space="preserve"> v The Queen</w:t>
      </w:r>
      <w:r w:rsidRPr="00185C1D">
        <w:rPr>
          <w:rFonts w:ascii="Times New Roman" w:hAnsi="Times New Roman"/>
        </w:rPr>
        <w:t>.</w:t>
      </w:r>
      <w:r w:rsidRPr="00185C1D">
        <w:rPr>
          <w:rStyle w:val="FootnoteReference"/>
          <w:rFonts w:ascii="Times New Roman" w:hAnsi="Times New Roman"/>
          <w:sz w:val="24"/>
        </w:rPr>
        <w:footnoteReference w:id="30"/>
      </w:r>
      <w:r w:rsidRPr="00185C1D">
        <w:rPr>
          <w:rFonts w:ascii="Times New Roman" w:hAnsi="Times New Roman"/>
          <w:b/>
          <w:bCs/>
        </w:rPr>
        <w:t xml:space="preserve"> </w:t>
      </w:r>
      <w:r w:rsidRPr="00185C1D">
        <w:rPr>
          <w:rFonts w:ascii="Times New Roman" w:hAnsi="Times New Roman"/>
        </w:rPr>
        <w:t>His Honour noted that such</w:t>
      </w:r>
      <w:r w:rsidR="00F732AE" w:rsidRPr="00185C1D">
        <w:rPr>
          <w:rFonts w:ascii="Times New Roman" w:hAnsi="Times New Roman"/>
        </w:rPr>
        <w:t xml:space="preserve"> </w:t>
      </w:r>
      <w:r w:rsidRPr="00185C1D">
        <w:rPr>
          <w:rFonts w:ascii="Times New Roman" w:hAnsi="Times New Roman"/>
        </w:rPr>
        <w:t xml:space="preserve">material did not establish "adjudicative facts", that is, "facts which are in issue or are relevant to a fact in issue", but instead consisted of </w:t>
      </w:r>
      <w:r w:rsidR="00F732AE" w:rsidRPr="00185C1D">
        <w:rPr>
          <w:rFonts w:ascii="Times New Roman" w:hAnsi="Times New Roman"/>
        </w:rPr>
        <w:t xml:space="preserve">expert </w:t>
      </w:r>
      <w:r w:rsidRPr="00185C1D">
        <w:rPr>
          <w:rFonts w:ascii="Times New Roman" w:hAnsi="Times New Roman"/>
        </w:rPr>
        <w:t xml:space="preserve">material that would </w:t>
      </w:r>
      <w:r w:rsidRPr="00185C1D">
        <w:rPr>
          <w:rFonts w:ascii="Times New Roman" w:hAnsi="Times New Roman"/>
        </w:rPr>
        <w:lastRenderedPageBreak/>
        <w:t xml:space="preserve">assist the </w:t>
      </w:r>
      <w:r w:rsidR="00F56D40" w:rsidRPr="00185C1D">
        <w:rPr>
          <w:rFonts w:ascii="Times New Roman" w:hAnsi="Times New Roman"/>
        </w:rPr>
        <w:t>c</w:t>
      </w:r>
      <w:r w:rsidRPr="00185C1D">
        <w:rPr>
          <w:rFonts w:ascii="Times New Roman" w:hAnsi="Times New Roman"/>
        </w:rPr>
        <w:t>ourt or the tribunal of fact to "assess" those adjudicative facts.</w:t>
      </w:r>
      <w:r w:rsidRPr="00185C1D">
        <w:rPr>
          <w:rStyle w:val="FootnoteReference"/>
          <w:rFonts w:ascii="Times New Roman" w:hAnsi="Times New Roman"/>
          <w:sz w:val="24"/>
        </w:rPr>
        <w:footnoteReference w:id="31"/>
      </w:r>
      <w:r w:rsidRPr="00185C1D">
        <w:rPr>
          <w:rFonts w:ascii="Times New Roman" w:hAnsi="Times New Roman"/>
        </w:rPr>
        <w:t xml:space="preserve"> </w:t>
      </w:r>
      <w:proofErr w:type="spellStart"/>
      <w:r w:rsidRPr="00185C1D">
        <w:rPr>
          <w:rFonts w:ascii="Times New Roman" w:hAnsi="Times New Roman"/>
        </w:rPr>
        <w:t>Heydon</w:t>
      </w:r>
      <w:proofErr w:type="spellEnd"/>
      <w:r w:rsidRPr="00185C1D">
        <w:rPr>
          <w:rFonts w:ascii="Times New Roman" w:hAnsi="Times New Roman"/>
        </w:rPr>
        <w:t> J referred to evidence adduced about "infantile amnesia"</w:t>
      </w:r>
      <w:r w:rsidRPr="00185C1D">
        <w:rPr>
          <w:rStyle w:val="FootnoteReference"/>
          <w:rFonts w:ascii="Times New Roman" w:hAnsi="Times New Roman"/>
          <w:sz w:val="24"/>
        </w:rPr>
        <w:footnoteReference w:id="32"/>
      </w:r>
      <w:r w:rsidRPr="00185C1D">
        <w:rPr>
          <w:rFonts w:ascii="Times New Roman" w:hAnsi="Times New Roman"/>
        </w:rPr>
        <w:t xml:space="preserve"> and the relevance of "battered woman syndrome" to the defence of duress as examples of such material.</w:t>
      </w:r>
      <w:r w:rsidRPr="00185C1D">
        <w:rPr>
          <w:rStyle w:val="FootnoteReference"/>
          <w:rFonts w:ascii="Times New Roman" w:hAnsi="Times New Roman"/>
          <w:sz w:val="24"/>
        </w:rPr>
        <w:footnoteReference w:id="33"/>
      </w:r>
      <w:r w:rsidRPr="00185C1D">
        <w:rPr>
          <w:rFonts w:ascii="Times New Roman" w:hAnsi="Times New Roman"/>
        </w:rPr>
        <w:t xml:space="preserve"> </w:t>
      </w:r>
    </w:p>
    <w:p w14:paraId="09989EE8" w14:textId="624E8058"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The evidence adduced from Associate Professor </w:t>
      </w:r>
      <w:proofErr w:type="spellStart"/>
      <w:r w:rsidRPr="00185C1D">
        <w:rPr>
          <w:rFonts w:ascii="Times New Roman" w:hAnsi="Times New Roman"/>
        </w:rPr>
        <w:t>Shackel</w:t>
      </w:r>
      <w:proofErr w:type="spellEnd"/>
      <w:r w:rsidRPr="00185C1D">
        <w:rPr>
          <w:rFonts w:ascii="Times New Roman" w:hAnsi="Times New Roman"/>
        </w:rPr>
        <w:t xml:space="preserve"> was </w:t>
      </w:r>
      <w:proofErr w:type="gramStart"/>
      <w:r w:rsidRPr="00185C1D">
        <w:rPr>
          <w:rFonts w:ascii="Times New Roman" w:hAnsi="Times New Roman"/>
        </w:rPr>
        <w:t>similar to</w:t>
      </w:r>
      <w:proofErr w:type="gramEnd"/>
      <w:r w:rsidRPr="00185C1D">
        <w:rPr>
          <w:rFonts w:ascii="Times New Roman" w:hAnsi="Times New Roman"/>
        </w:rPr>
        <w:t xml:space="preserve"> the </w:t>
      </w:r>
      <w:r w:rsidR="00E73470" w:rsidRPr="00185C1D">
        <w:rPr>
          <w:rFonts w:ascii="Times New Roman" w:hAnsi="Times New Roman"/>
        </w:rPr>
        <w:t>expert material</w:t>
      </w:r>
      <w:r w:rsidRPr="00185C1D">
        <w:rPr>
          <w:rFonts w:ascii="Times New Roman" w:hAnsi="Times New Roman"/>
        </w:rPr>
        <w:t xml:space="preserve"> described by </w:t>
      </w:r>
      <w:proofErr w:type="spellStart"/>
      <w:r w:rsidRPr="00185C1D">
        <w:rPr>
          <w:rFonts w:ascii="Times New Roman" w:hAnsi="Times New Roman"/>
        </w:rPr>
        <w:t>Heydon</w:t>
      </w:r>
      <w:proofErr w:type="spellEnd"/>
      <w:r w:rsidRPr="00185C1D">
        <w:rPr>
          <w:rFonts w:ascii="Times New Roman" w:hAnsi="Times New Roman"/>
        </w:rPr>
        <w:t xml:space="preserve"> J in </w:t>
      </w:r>
      <w:proofErr w:type="spellStart"/>
      <w:r w:rsidRPr="00185C1D">
        <w:rPr>
          <w:rFonts w:ascii="Times New Roman" w:hAnsi="Times New Roman"/>
          <w:i/>
          <w:iCs/>
        </w:rPr>
        <w:t>Aytugrul</w:t>
      </w:r>
      <w:proofErr w:type="spellEnd"/>
      <w:r w:rsidRPr="00185C1D">
        <w:rPr>
          <w:rFonts w:ascii="Times New Roman" w:hAnsi="Times New Roman"/>
        </w:rPr>
        <w:t xml:space="preserve">, being material that assisted the jury in their assessment of the facts in issue. However, that does not mean that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was not credibility evidence. As noted, to be admissible, all evidence (including the e</w:t>
      </w:r>
      <w:r w:rsidR="006E7791" w:rsidRPr="00185C1D">
        <w:rPr>
          <w:rFonts w:ascii="Times New Roman" w:hAnsi="Times New Roman"/>
        </w:rPr>
        <w:t>xpert material</w:t>
      </w:r>
      <w:r w:rsidRPr="00185C1D">
        <w:rPr>
          <w:rFonts w:ascii="Times New Roman" w:hAnsi="Times New Roman"/>
        </w:rPr>
        <w:t xml:space="preserve"> described by </w:t>
      </w:r>
      <w:proofErr w:type="spellStart"/>
      <w:r w:rsidRPr="00185C1D">
        <w:rPr>
          <w:rFonts w:ascii="Times New Roman" w:hAnsi="Times New Roman"/>
        </w:rPr>
        <w:t>Heydon</w:t>
      </w:r>
      <w:proofErr w:type="spellEnd"/>
      <w:r w:rsidRPr="00185C1D">
        <w:rPr>
          <w:rFonts w:ascii="Times New Roman" w:hAnsi="Times New Roman"/>
        </w:rPr>
        <w:t xml:space="preserve"> J in </w:t>
      </w:r>
      <w:proofErr w:type="spellStart"/>
      <w:r w:rsidRPr="00185C1D">
        <w:rPr>
          <w:rFonts w:ascii="Times New Roman" w:hAnsi="Times New Roman"/>
          <w:i/>
          <w:iCs/>
        </w:rPr>
        <w:t>Aytugrul</w:t>
      </w:r>
      <w:proofErr w:type="spellEnd"/>
      <w:r w:rsidRPr="00185C1D">
        <w:rPr>
          <w:rFonts w:ascii="Times New Roman" w:hAnsi="Times New Roman"/>
        </w:rPr>
        <w:t>) must be relevant,</w:t>
      </w:r>
      <w:r w:rsidRPr="00185C1D">
        <w:rPr>
          <w:rStyle w:val="FootnoteReference"/>
          <w:rFonts w:ascii="Times New Roman" w:hAnsi="Times New Roman"/>
          <w:sz w:val="24"/>
        </w:rPr>
        <w:footnoteReference w:id="34"/>
      </w:r>
      <w:r w:rsidRPr="00185C1D">
        <w:rPr>
          <w:rFonts w:ascii="Times New Roman" w:hAnsi="Times New Roman"/>
        </w:rPr>
        <w:t xml:space="preserve"> even if it is only relevant to the credibility of a witness.</w:t>
      </w:r>
      <w:r w:rsidRPr="00185C1D">
        <w:rPr>
          <w:rStyle w:val="FootnoteReference"/>
          <w:rFonts w:ascii="Times New Roman" w:hAnsi="Times New Roman"/>
          <w:sz w:val="24"/>
        </w:rPr>
        <w:footnoteReference w:id="35"/>
      </w:r>
      <w:r w:rsidRPr="00185C1D">
        <w:rPr>
          <w:rFonts w:ascii="Times New Roman" w:hAnsi="Times New Roman"/>
        </w:rPr>
        <w:t xml:space="preserve"> There is no doubt that the facts in issue in the appellant's trial included whether he committed the alleged sexual acts upon AA and BB.</w:t>
      </w:r>
      <w:r w:rsidRPr="00185C1D">
        <w:rPr>
          <w:rStyle w:val="FootnoteReference"/>
          <w:rFonts w:ascii="Times New Roman" w:hAnsi="Times New Roman"/>
          <w:sz w:val="24"/>
        </w:rPr>
        <w:footnoteReference w:id="36"/>
      </w:r>
      <w:r w:rsidRPr="00185C1D">
        <w:rPr>
          <w:rFonts w:ascii="Times New Roman" w:hAnsi="Times New Roman"/>
        </w:rPr>
        <w:t xml:space="preserve"> The evidence of Associate Professor </w:t>
      </w:r>
      <w:proofErr w:type="spellStart"/>
      <w:r w:rsidRPr="00185C1D">
        <w:rPr>
          <w:rFonts w:ascii="Times New Roman" w:hAnsi="Times New Roman"/>
        </w:rPr>
        <w:t>Shackel</w:t>
      </w:r>
      <w:proofErr w:type="spellEnd"/>
      <w:r w:rsidRPr="00185C1D">
        <w:rPr>
          <w:rFonts w:ascii="Times New Roman" w:hAnsi="Times New Roman"/>
        </w:rPr>
        <w:t xml:space="preserve"> was material that bore upon the assessment of the </w:t>
      </w:r>
      <w:r w:rsidR="00916F8B" w:rsidRPr="00185C1D">
        <w:rPr>
          <w:rFonts w:ascii="Times New Roman" w:hAnsi="Times New Roman"/>
        </w:rPr>
        <w:t xml:space="preserve">honesty and </w:t>
      </w:r>
      <w:r w:rsidRPr="00185C1D">
        <w:rPr>
          <w:rFonts w:ascii="Times New Roman" w:hAnsi="Times New Roman"/>
        </w:rPr>
        <w:t xml:space="preserve">reliability of AA and BB and was thus evidence that could rationally affect, at least indirectly, the assessment of the probability of whether the alleged sexual acts were committed by the appellant. For example,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had the capacity to rebut an attack on AA and BB's credibility</w:t>
      </w:r>
      <w:r w:rsidR="001215B3" w:rsidRPr="00185C1D">
        <w:rPr>
          <w:rFonts w:ascii="Times New Roman" w:hAnsi="Times New Roman"/>
        </w:rPr>
        <w:t xml:space="preserve"> because of</w:t>
      </w:r>
      <w:r w:rsidRPr="00185C1D">
        <w:rPr>
          <w:rFonts w:ascii="Times New Roman" w:hAnsi="Times New Roman"/>
        </w:rPr>
        <w:t xml:space="preserve"> their delay in disclosing the appellant's alleged sexual acts, as was in fact made by counsel for the appellant. </w:t>
      </w:r>
    </w:p>
    <w:p w14:paraId="3F14DAE9" w14:textId="1AA182A2"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The opinion rule found in s 7</w:t>
      </w:r>
      <w:r w:rsidR="0070756E" w:rsidRPr="00185C1D">
        <w:rPr>
          <w:rFonts w:ascii="Times New Roman" w:hAnsi="Times New Roman"/>
        </w:rPr>
        <w:t>6</w:t>
      </w:r>
      <w:r w:rsidRPr="00185C1D">
        <w:rPr>
          <w:rFonts w:ascii="Times New Roman" w:hAnsi="Times New Roman"/>
        </w:rPr>
        <w:t xml:space="preserve"> of the </w:t>
      </w:r>
      <w:r w:rsidRPr="00185C1D">
        <w:rPr>
          <w:rFonts w:ascii="Times New Roman" w:hAnsi="Times New Roman"/>
          <w:i/>
          <w:iCs/>
        </w:rPr>
        <w:t>Evidence Act</w:t>
      </w:r>
      <w:r w:rsidRPr="00185C1D">
        <w:rPr>
          <w:rFonts w:ascii="Times New Roman" w:hAnsi="Times New Roman"/>
        </w:rPr>
        <w:t xml:space="preserve"> "direct[s] attention to why the party tendering the evidence says it is relevant".</w:t>
      </w:r>
      <w:r w:rsidRPr="00185C1D">
        <w:rPr>
          <w:rStyle w:val="FootnoteReference"/>
          <w:rFonts w:ascii="Times New Roman" w:hAnsi="Times New Roman"/>
          <w:sz w:val="24"/>
        </w:rPr>
        <w:footnoteReference w:id="37"/>
      </w:r>
      <w:r w:rsidRPr="00185C1D">
        <w:rPr>
          <w:rFonts w:ascii="Times New Roman" w:hAnsi="Times New Roman"/>
        </w:rPr>
        <w:t xml:space="preserve"> </w:t>
      </w:r>
      <w:r w:rsidR="00341474" w:rsidRPr="00185C1D">
        <w:rPr>
          <w:rFonts w:ascii="Times New Roman" w:hAnsi="Times New Roman"/>
        </w:rPr>
        <w:t xml:space="preserve">Similarly, to </w:t>
      </w:r>
      <w:r w:rsidR="007837E9" w:rsidRPr="00185C1D">
        <w:rPr>
          <w:rFonts w:ascii="Times New Roman" w:hAnsi="Times New Roman"/>
        </w:rPr>
        <w:t>address the exception to the opinion rule in s 79</w:t>
      </w:r>
      <w:r w:rsidR="00262672" w:rsidRPr="00185C1D">
        <w:rPr>
          <w:rFonts w:ascii="Times New Roman" w:hAnsi="Times New Roman"/>
        </w:rPr>
        <w:t xml:space="preserve">(1) </w:t>
      </w:r>
      <w:r w:rsidR="00B6791A" w:rsidRPr="00185C1D">
        <w:rPr>
          <w:rFonts w:ascii="Times New Roman" w:hAnsi="Times New Roman"/>
        </w:rPr>
        <w:t xml:space="preserve">of the </w:t>
      </w:r>
      <w:r w:rsidR="00B6791A" w:rsidRPr="00185C1D">
        <w:rPr>
          <w:rFonts w:ascii="Times New Roman" w:hAnsi="Times New Roman"/>
          <w:i/>
          <w:iCs/>
        </w:rPr>
        <w:t>Evidence Act</w:t>
      </w:r>
      <w:r w:rsidR="00B6791A" w:rsidRPr="00185C1D">
        <w:rPr>
          <w:rFonts w:ascii="Times New Roman" w:hAnsi="Times New Roman"/>
        </w:rPr>
        <w:t xml:space="preserve">, it is necessary </w:t>
      </w:r>
      <w:r w:rsidR="00CB38B8" w:rsidRPr="00185C1D">
        <w:rPr>
          <w:rFonts w:ascii="Times New Roman" w:hAnsi="Times New Roman"/>
        </w:rPr>
        <w:t>"</w:t>
      </w:r>
      <w:r w:rsidR="00B6791A" w:rsidRPr="00185C1D">
        <w:rPr>
          <w:rFonts w:ascii="Times New Roman" w:hAnsi="Times New Roman"/>
        </w:rPr>
        <w:t>to</w:t>
      </w:r>
      <w:r w:rsidR="00CB38B8" w:rsidRPr="00185C1D">
        <w:rPr>
          <w:rFonts w:ascii="Times New Roman" w:hAnsi="Times New Roman"/>
        </w:rPr>
        <w:t xml:space="preserve"> </w:t>
      </w:r>
      <w:r w:rsidR="00CB38B8" w:rsidRPr="00185C1D">
        <w:rPr>
          <w:rFonts w:ascii="Times New Roman" w:hAnsi="Times New Roman"/>
        </w:rPr>
        <w:lastRenderedPageBreak/>
        <w:t>identify why the evidence is relevant".</w:t>
      </w:r>
      <w:r w:rsidR="00CD7EC8" w:rsidRPr="00185C1D">
        <w:rPr>
          <w:rStyle w:val="FootnoteReference"/>
          <w:rFonts w:ascii="Times New Roman" w:hAnsi="Times New Roman"/>
          <w:sz w:val="24"/>
        </w:rPr>
        <w:footnoteReference w:id="38"/>
      </w:r>
      <w:r w:rsidR="00B6791A" w:rsidRPr="00185C1D">
        <w:rPr>
          <w:rFonts w:ascii="Times New Roman" w:hAnsi="Times New Roman"/>
        </w:rPr>
        <w:t xml:space="preserve"> </w:t>
      </w:r>
      <w:r w:rsidRPr="00185C1D">
        <w:rPr>
          <w:rFonts w:ascii="Times New Roman" w:hAnsi="Times New Roman"/>
        </w:rPr>
        <w:t xml:space="preserve">The Crown Prosecutor's closing address to the jury confirmed that the respondent only sought to rely on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to rebut anticipated attacks on the honesty and reliability of AA and BB's evidence. Both at the trial and on appeal to the Court of Criminal Appeal, there was no identification by any party of any use to which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might be put other than to assess the honesty and reliability of AA and BB's evidence. It follows that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was "credibility evidence"</w:t>
      </w:r>
      <w:r w:rsidRPr="00185C1D">
        <w:rPr>
          <w:rStyle w:val="FootnoteReference"/>
          <w:rFonts w:ascii="Times New Roman" w:hAnsi="Times New Roman"/>
          <w:sz w:val="24"/>
        </w:rPr>
        <w:footnoteReference w:id="39"/>
      </w:r>
      <w:r w:rsidRPr="00185C1D">
        <w:rPr>
          <w:rFonts w:ascii="Times New Roman" w:hAnsi="Times New Roman"/>
        </w:rPr>
        <w:t xml:space="preserve"> (as well as </w:t>
      </w:r>
      <w:r w:rsidR="00823BDD" w:rsidRPr="00185C1D">
        <w:rPr>
          <w:rFonts w:ascii="Times New Roman" w:hAnsi="Times New Roman"/>
        </w:rPr>
        <w:t>"</w:t>
      </w:r>
      <w:r w:rsidRPr="00185C1D">
        <w:rPr>
          <w:rFonts w:ascii="Times New Roman" w:hAnsi="Times New Roman"/>
        </w:rPr>
        <w:t>opinion evidence</w:t>
      </w:r>
      <w:r w:rsidR="00823BDD" w:rsidRPr="00185C1D">
        <w:rPr>
          <w:rFonts w:ascii="Times New Roman" w:hAnsi="Times New Roman"/>
        </w:rPr>
        <w:t>"</w:t>
      </w:r>
      <w:r w:rsidR="00F74DD8" w:rsidRPr="00185C1D">
        <w:rPr>
          <w:rStyle w:val="FootnoteReference"/>
          <w:rFonts w:ascii="Times New Roman" w:hAnsi="Times New Roman"/>
          <w:sz w:val="24"/>
        </w:rPr>
        <w:footnoteReference w:id="40"/>
      </w:r>
      <w:r w:rsidRPr="00185C1D">
        <w:rPr>
          <w:rFonts w:ascii="Times New Roman" w:hAnsi="Times New Roman"/>
        </w:rPr>
        <w:t>).</w:t>
      </w:r>
      <w:r w:rsidR="00DB7D46" w:rsidRPr="00185C1D">
        <w:rPr>
          <w:rFonts w:ascii="Times New Roman" w:hAnsi="Times New Roman"/>
        </w:rPr>
        <w:t xml:space="preserve"> </w:t>
      </w:r>
      <w:r w:rsidRPr="00185C1D">
        <w:rPr>
          <w:rFonts w:ascii="Times New Roman" w:hAnsi="Times New Roman"/>
        </w:rPr>
        <w:t xml:space="preserve">Even </w:t>
      </w:r>
      <w:proofErr w:type="gramStart"/>
      <w:r w:rsidRPr="00185C1D">
        <w:rPr>
          <w:rFonts w:ascii="Times New Roman" w:hAnsi="Times New Roman"/>
        </w:rPr>
        <w:t>so, and</w:t>
      </w:r>
      <w:proofErr w:type="gramEnd"/>
      <w:r w:rsidRPr="00185C1D">
        <w:rPr>
          <w:rFonts w:ascii="Times New Roman" w:hAnsi="Times New Roman"/>
        </w:rPr>
        <w:t xml:space="preserve"> leaving aside the particular portions of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to which objection is taken and which are addressed next, her evidence fell within the exceptions to those rules described above. Her evidence concerned the development and behaviour of victims of child sexual assault and was "wholly or substantially based" on her specialised knowledge on that topic based upon (at least) her "study".</w:t>
      </w:r>
      <w:r w:rsidRPr="00185C1D">
        <w:rPr>
          <w:rStyle w:val="FootnoteReference"/>
          <w:rFonts w:ascii="Times New Roman" w:hAnsi="Times New Roman"/>
          <w:sz w:val="24"/>
        </w:rPr>
        <w:footnoteReference w:id="41"/>
      </w:r>
      <w:r w:rsidRPr="00185C1D">
        <w:rPr>
          <w:rFonts w:ascii="Times New Roman" w:hAnsi="Times New Roman"/>
        </w:rPr>
        <w:t xml:space="preserve"> Otherwise, no issue was raised in the Court of Criminal Appeal about the satisfaction of the balance of the requirements of s 108C of the </w:t>
      </w:r>
      <w:r w:rsidRPr="00185C1D">
        <w:rPr>
          <w:rFonts w:ascii="Times New Roman" w:hAnsi="Times New Roman"/>
          <w:i/>
          <w:iCs/>
        </w:rPr>
        <w:t>Evidence Act</w:t>
      </w:r>
      <w:r w:rsidRPr="00185C1D">
        <w:rPr>
          <w:rFonts w:ascii="Times New Roman" w:hAnsi="Times New Roman"/>
        </w:rPr>
        <w:t xml:space="preserve">. </w:t>
      </w:r>
    </w:p>
    <w:p w14:paraId="1E1EF211" w14:textId="77777777" w:rsidR="00BA59BA" w:rsidRPr="00185C1D" w:rsidRDefault="00BA59BA" w:rsidP="00185C1D">
      <w:pPr>
        <w:pStyle w:val="HeadingL1"/>
        <w:spacing w:after="260" w:line="280" w:lineRule="exact"/>
        <w:ind w:right="0"/>
        <w:jc w:val="both"/>
        <w:rPr>
          <w:rFonts w:ascii="Times New Roman" w:hAnsi="Times New Roman"/>
        </w:rPr>
      </w:pPr>
      <w:r w:rsidRPr="00185C1D">
        <w:rPr>
          <w:rFonts w:ascii="Times New Roman" w:hAnsi="Times New Roman"/>
        </w:rPr>
        <w:t xml:space="preserve">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was </w:t>
      </w:r>
      <w:proofErr w:type="gramStart"/>
      <w:r w:rsidRPr="00185C1D">
        <w:rPr>
          <w:rFonts w:ascii="Times New Roman" w:hAnsi="Times New Roman"/>
        </w:rPr>
        <w:t>admissible</w:t>
      </w:r>
      <w:proofErr w:type="gramEnd"/>
    </w:p>
    <w:p w14:paraId="24392C5A" w14:textId="1FF918F4"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The principal basis for the appellant's contention that the above portions of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were inadmissible was that, </w:t>
      </w:r>
      <w:proofErr w:type="gramStart"/>
      <w:r w:rsidRPr="00185C1D">
        <w:rPr>
          <w:rFonts w:ascii="Times New Roman" w:hAnsi="Times New Roman"/>
        </w:rPr>
        <w:t>similar to</w:t>
      </w:r>
      <w:proofErr w:type="gramEnd"/>
      <w:r w:rsidRPr="00185C1D">
        <w:rPr>
          <w:rFonts w:ascii="Times New Roman" w:hAnsi="Times New Roman"/>
        </w:rPr>
        <w:t xml:space="preserve"> </w:t>
      </w:r>
      <w:r w:rsidRPr="00185C1D">
        <w:rPr>
          <w:rFonts w:ascii="Times New Roman" w:hAnsi="Times New Roman"/>
          <w:i/>
          <w:iCs/>
        </w:rPr>
        <w:t>AJ</w:t>
      </w:r>
      <w:r w:rsidRPr="00185C1D">
        <w:rPr>
          <w:rFonts w:ascii="Times New Roman" w:hAnsi="Times New Roman"/>
        </w:rPr>
        <w:t xml:space="preserve">, those portions involved Associate Professor </w:t>
      </w:r>
      <w:proofErr w:type="spellStart"/>
      <w:r w:rsidRPr="00185C1D">
        <w:rPr>
          <w:rFonts w:ascii="Times New Roman" w:hAnsi="Times New Roman"/>
        </w:rPr>
        <w:t>Shackel</w:t>
      </w:r>
      <w:proofErr w:type="spellEnd"/>
      <w:r w:rsidRPr="00185C1D">
        <w:rPr>
          <w:rFonts w:ascii="Times New Roman" w:hAnsi="Times New Roman"/>
        </w:rPr>
        <w:t xml:space="preserve"> testifying to the behaviour of perpetrators when it was not demonstrated that she had any specialised knowledge in that field.</w:t>
      </w:r>
      <w:r w:rsidRPr="00185C1D">
        <w:rPr>
          <w:rFonts w:ascii="Times New Roman" w:hAnsi="Times New Roman"/>
          <w:b/>
          <w:bCs/>
        </w:rPr>
        <w:t xml:space="preserve"> </w:t>
      </w:r>
      <w:r w:rsidRPr="00185C1D">
        <w:rPr>
          <w:rFonts w:ascii="Times New Roman" w:hAnsi="Times New Roman"/>
        </w:rPr>
        <w:t xml:space="preserve">Neither in the Courts below nor in this Court did the respondent contend that Associate Professor </w:t>
      </w:r>
      <w:proofErr w:type="spellStart"/>
      <w:r w:rsidRPr="00185C1D">
        <w:rPr>
          <w:rFonts w:ascii="Times New Roman" w:hAnsi="Times New Roman"/>
        </w:rPr>
        <w:t>Shackel</w:t>
      </w:r>
      <w:proofErr w:type="spellEnd"/>
      <w:r w:rsidRPr="00185C1D">
        <w:rPr>
          <w:rFonts w:ascii="Times New Roman" w:hAnsi="Times New Roman"/>
        </w:rPr>
        <w:t xml:space="preserve"> had such specialised knowledge. However, the respondent contended that, unlike the evidence found to be inadmissible in </w:t>
      </w:r>
      <w:r w:rsidRPr="00185C1D">
        <w:rPr>
          <w:rFonts w:ascii="Times New Roman" w:hAnsi="Times New Roman"/>
          <w:i/>
          <w:iCs/>
        </w:rPr>
        <w:t>AJ</w:t>
      </w:r>
      <w:r w:rsidRPr="00185C1D">
        <w:rPr>
          <w:rFonts w:ascii="Times New Roman" w:hAnsi="Times New Roman"/>
        </w:rPr>
        <w:t>,</w:t>
      </w:r>
      <w:r w:rsidRPr="00185C1D">
        <w:rPr>
          <w:rStyle w:val="FootnoteReference"/>
          <w:rFonts w:ascii="Times New Roman" w:hAnsi="Times New Roman"/>
          <w:sz w:val="24"/>
        </w:rPr>
        <w:footnoteReference w:id="42"/>
      </w:r>
      <w:r w:rsidRPr="00185C1D">
        <w:rPr>
          <w:rFonts w:ascii="Times New Roman" w:hAnsi="Times New Roman"/>
        </w:rPr>
        <w:t xml:space="preserve"> that part of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that is objected to in this Court did not concern the psychology of perpetrators but was </w:t>
      </w:r>
      <w:r w:rsidRPr="00185C1D">
        <w:rPr>
          <w:rFonts w:ascii="Times New Roman" w:hAnsi="Times New Roman"/>
        </w:rPr>
        <w:lastRenderedPageBreak/>
        <w:t xml:space="preserve">instead directed to how victims of child sexual abuse respond to the circumstances that often arise with intra-familial abuse. The respondent's submission should be accepted. </w:t>
      </w:r>
    </w:p>
    <w:p w14:paraId="406738AF" w14:textId="14F02A14"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In </w:t>
      </w:r>
      <w:r w:rsidRPr="00185C1D">
        <w:rPr>
          <w:rFonts w:ascii="Times New Roman" w:hAnsi="Times New Roman"/>
          <w:i/>
          <w:iCs/>
        </w:rPr>
        <w:t>AJ</w:t>
      </w:r>
      <w:r w:rsidRPr="00185C1D">
        <w:rPr>
          <w:rFonts w:ascii="Times New Roman" w:hAnsi="Times New Roman"/>
        </w:rPr>
        <w:t xml:space="preserve">, the portions of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found to be inadmissible were answers to question</w:t>
      </w:r>
      <w:r w:rsidR="006C244D" w:rsidRPr="00185C1D">
        <w:rPr>
          <w:rFonts w:ascii="Times New Roman" w:hAnsi="Times New Roman"/>
        </w:rPr>
        <w:t>s</w:t>
      </w:r>
      <w:r w:rsidRPr="00185C1D">
        <w:rPr>
          <w:rFonts w:ascii="Times New Roman" w:hAnsi="Times New Roman"/>
        </w:rPr>
        <w:t xml:space="preserve"> that asked "</w:t>
      </w:r>
      <w:r w:rsidRPr="00185C1D">
        <w:rPr>
          <w:rFonts w:ascii="Times New Roman" w:hAnsi="Times New Roman"/>
          <w:i/>
          <w:iCs/>
        </w:rPr>
        <w:t>why</w:t>
      </w:r>
      <w:r w:rsidRPr="00185C1D">
        <w:rPr>
          <w:rFonts w:ascii="Times New Roman" w:hAnsi="Times New Roman"/>
        </w:rPr>
        <w:t xml:space="preserve">" perpetrators of child sexual assault chose "brazen settings" to offend and whether the presence of other persons was "necessarily </w:t>
      </w:r>
      <w:r w:rsidRPr="00185C1D">
        <w:rPr>
          <w:rFonts w:ascii="Times New Roman" w:hAnsi="Times New Roman"/>
          <w:i/>
          <w:iCs/>
        </w:rPr>
        <w:t>a deterrent</w:t>
      </w:r>
      <w:r w:rsidRPr="00185C1D">
        <w:rPr>
          <w:rFonts w:ascii="Times New Roman" w:hAnsi="Times New Roman"/>
        </w:rPr>
        <w:t>" to such offending (emphasis added).</w:t>
      </w:r>
      <w:r w:rsidRPr="00185C1D">
        <w:rPr>
          <w:rStyle w:val="FootnoteReference"/>
          <w:rFonts w:ascii="Times New Roman" w:hAnsi="Times New Roman"/>
          <w:sz w:val="24"/>
        </w:rPr>
        <w:footnoteReference w:id="43"/>
      </w:r>
      <w:r w:rsidRPr="00185C1D">
        <w:rPr>
          <w:rFonts w:ascii="Times New Roman" w:hAnsi="Times New Roman"/>
        </w:rPr>
        <w:t xml:space="preserve"> Although those questions were described as relating to the "behaviour of perpetrators",</w:t>
      </w:r>
      <w:r w:rsidRPr="00185C1D">
        <w:rPr>
          <w:rStyle w:val="FootnoteReference"/>
          <w:rFonts w:ascii="Times New Roman" w:hAnsi="Times New Roman"/>
          <w:sz w:val="24"/>
        </w:rPr>
        <w:footnoteReference w:id="44"/>
      </w:r>
      <w:r w:rsidRPr="00185C1D">
        <w:rPr>
          <w:rFonts w:ascii="Times New Roman" w:hAnsi="Times New Roman"/>
        </w:rPr>
        <w:t xml:space="preserve"> they invited Associate Professor </w:t>
      </w:r>
      <w:proofErr w:type="spellStart"/>
      <w:r w:rsidRPr="00185C1D">
        <w:rPr>
          <w:rFonts w:ascii="Times New Roman" w:hAnsi="Times New Roman"/>
        </w:rPr>
        <w:t>Shackel</w:t>
      </w:r>
      <w:proofErr w:type="spellEnd"/>
      <w:r w:rsidRPr="00185C1D">
        <w:rPr>
          <w:rFonts w:ascii="Times New Roman" w:hAnsi="Times New Roman"/>
        </w:rPr>
        <w:t xml:space="preserve"> to opine on the psychology of perpetrator behaviour, which was relevant to addressing an anticipated submission that it was implausible that the alleged offender in that case might have behaved in the way the prosecution alleged.</w:t>
      </w:r>
      <w:r w:rsidRPr="00185C1D">
        <w:rPr>
          <w:rStyle w:val="FootnoteReference"/>
          <w:rFonts w:ascii="Times New Roman" w:hAnsi="Times New Roman"/>
          <w:sz w:val="24"/>
        </w:rPr>
        <w:footnoteReference w:id="45"/>
      </w:r>
      <w:r w:rsidRPr="00185C1D">
        <w:rPr>
          <w:rFonts w:ascii="Times New Roman" w:hAnsi="Times New Roman"/>
        </w:rPr>
        <w:t xml:space="preserve"> Hence, in </w:t>
      </w:r>
      <w:r w:rsidRPr="00185C1D">
        <w:rPr>
          <w:rFonts w:ascii="Times New Roman" w:hAnsi="Times New Roman"/>
          <w:i/>
          <w:iCs/>
        </w:rPr>
        <w:t>AJ</w:t>
      </w:r>
      <w:r w:rsidRPr="00185C1D">
        <w:rPr>
          <w:rFonts w:ascii="Times New Roman" w:hAnsi="Times New Roman"/>
        </w:rPr>
        <w:t xml:space="preserve">, the Court contrasted Associate Professor </w:t>
      </w:r>
      <w:proofErr w:type="spellStart"/>
      <w:r w:rsidRPr="00185C1D">
        <w:rPr>
          <w:rFonts w:ascii="Times New Roman" w:hAnsi="Times New Roman"/>
        </w:rPr>
        <w:t>Shackel's</w:t>
      </w:r>
      <w:proofErr w:type="spellEnd"/>
      <w:r w:rsidRPr="00185C1D">
        <w:rPr>
          <w:rFonts w:ascii="Times New Roman" w:hAnsi="Times New Roman"/>
        </w:rPr>
        <w:t xml:space="preserve"> lack of demonstrated expertise in relation to the topic of offending patterns of perpetrator</w:t>
      </w:r>
      <w:r w:rsidR="00F04DF2" w:rsidRPr="00185C1D">
        <w:rPr>
          <w:rFonts w:ascii="Times New Roman" w:hAnsi="Times New Roman"/>
        </w:rPr>
        <w:t>s</w:t>
      </w:r>
      <w:r w:rsidRPr="00185C1D">
        <w:rPr>
          <w:rFonts w:ascii="Times New Roman" w:hAnsi="Times New Roman"/>
        </w:rPr>
        <w:t xml:space="preserve"> with that of forensic psychologists and psychiatrists who often address topics such as the "recidivism of sexual offenders".</w:t>
      </w:r>
      <w:r w:rsidRPr="00185C1D">
        <w:rPr>
          <w:rStyle w:val="FootnoteReference"/>
          <w:rFonts w:ascii="Times New Roman" w:hAnsi="Times New Roman"/>
          <w:sz w:val="24"/>
        </w:rPr>
        <w:footnoteReference w:id="46"/>
      </w:r>
      <w:r w:rsidRPr="00185C1D">
        <w:rPr>
          <w:rFonts w:ascii="Times New Roman" w:hAnsi="Times New Roman"/>
        </w:rPr>
        <w:t xml:space="preserve"> </w:t>
      </w:r>
    </w:p>
    <w:p w14:paraId="52F6700F" w14:textId="1829B8CE"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In the first part of her evidence set out above to which objection is taken,</w:t>
      </w:r>
      <w:r w:rsidRPr="00185C1D">
        <w:rPr>
          <w:rStyle w:val="FootnoteReference"/>
          <w:rFonts w:ascii="Times New Roman" w:hAnsi="Times New Roman"/>
          <w:sz w:val="24"/>
        </w:rPr>
        <w:footnoteReference w:id="47"/>
      </w:r>
      <w:r w:rsidRPr="00185C1D">
        <w:rPr>
          <w:rFonts w:ascii="Times New Roman" w:hAnsi="Times New Roman"/>
        </w:rPr>
        <w:t xml:space="preserve"> Associate Professor </w:t>
      </w:r>
      <w:proofErr w:type="spellStart"/>
      <w:r w:rsidRPr="00185C1D">
        <w:rPr>
          <w:rFonts w:ascii="Times New Roman" w:hAnsi="Times New Roman"/>
        </w:rPr>
        <w:t>Shackel</w:t>
      </w:r>
      <w:proofErr w:type="spellEnd"/>
      <w:r w:rsidRPr="00185C1D">
        <w:rPr>
          <w:rFonts w:ascii="Times New Roman" w:hAnsi="Times New Roman"/>
        </w:rPr>
        <w:t xml:space="preserve"> was asked about how children </w:t>
      </w:r>
      <w:r w:rsidR="002B0FF2" w:rsidRPr="00185C1D">
        <w:rPr>
          <w:rFonts w:ascii="Times New Roman" w:hAnsi="Times New Roman"/>
        </w:rPr>
        <w:t xml:space="preserve">may </w:t>
      </w:r>
      <w:r w:rsidRPr="00185C1D">
        <w:rPr>
          <w:rFonts w:ascii="Times New Roman" w:hAnsi="Times New Roman"/>
        </w:rPr>
        <w:t>respond to sexual abuse in an intra</w:t>
      </w:r>
      <w:r w:rsidRPr="00185C1D">
        <w:rPr>
          <w:rFonts w:ascii="Times New Roman" w:hAnsi="Times New Roman"/>
        </w:rPr>
        <w:noBreakHyphen/>
        <w:t xml:space="preserve">familial context. Associate Professor </w:t>
      </w:r>
      <w:proofErr w:type="spellStart"/>
      <w:r w:rsidRPr="00185C1D">
        <w:rPr>
          <w:rFonts w:ascii="Times New Roman" w:hAnsi="Times New Roman"/>
        </w:rPr>
        <w:t>Shackel</w:t>
      </w:r>
      <w:proofErr w:type="spellEnd"/>
      <w:r w:rsidRPr="00185C1D">
        <w:rPr>
          <w:rFonts w:ascii="Times New Roman" w:hAnsi="Times New Roman"/>
        </w:rPr>
        <w:t xml:space="preserve"> re</w:t>
      </w:r>
      <w:r w:rsidR="00BE6D56" w:rsidRPr="00185C1D">
        <w:rPr>
          <w:rFonts w:ascii="Times New Roman" w:hAnsi="Times New Roman"/>
        </w:rPr>
        <w:t>plied</w:t>
      </w:r>
      <w:r w:rsidRPr="00185C1D">
        <w:rPr>
          <w:rFonts w:ascii="Times New Roman" w:hAnsi="Times New Roman"/>
        </w:rPr>
        <w:t xml:space="preserve"> by observing that "the research shows us that in the context of intrafamilial child sexual assault, the abuse often takes place within the home" and "in the course of everyday activities", which for the child involves a blurring of "normal interaction and appropriate interaction" with "touching". In that answer, Associate Professor </w:t>
      </w:r>
      <w:proofErr w:type="spellStart"/>
      <w:r w:rsidRPr="00185C1D">
        <w:rPr>
          <w:rFonts w:ascii="Times New Roman" w:hAnsi="Times New Roman"/>
        </w:rPr>
        <w:t>Shackel</w:t>
      </w:r>
      <w:proofErr w:type="spellEnd"/>
      <w:r w:rsidRPr="00185C1D">
        <w:rPr>
          <w:rFonts w:ascii="Times New Roman" w:hAnsi="Times New Roman"/>
        </w:rPr>
        <w:t xml:space="preserve"> addressed how child victims </w:t>
      </w:r>
      <w:r w:rsidR="007706FF" w:rsidRPr="00185C1D">
        <w:rPr>
          <w:rFonts w:ascii="Times New Roman" w:hAnsi="Times New Roman"/>
        </w:rPr>
        <w:t xml:space="preserve">may </w:t>
      </w:r>
      <w:r w:rsidRPr="00185C1D">
        <w:rPr>
          <w:rFonts w:ascii="Times New Roman" w:hAnsi="Times New Roman"/>
        </w:rPr>
        <w:t xml:space="preserve">respond in an intra-familial context. There was nothing objectionable in Associate Professor </w:t>
      </w:r>
      <w:proofErr w:type="spellStart"/>
      <w:r w:rsidRPr="00185C1D">
        <w:rPr>
          <w:rFonts w:ascii="Times New Roman" w:hAnsi="Times New Roman"/>
        </w:rPr>
        <w:t>Shackel</w:t>
      </w:r>
      <w:proofErr w:type="spellEnd"/>
      <w:r w:rsidRPr="00185C1D">
        <w:rPr>
          <w:rFonts w:ascii="Times New Roman" w:hAnsi="Times New Roman"/>
        </w:rPr>
        <w:t xml:space="preserve"> contextualising the effect of her research by explaining that (not surprisingly) such crimes often </w:t>
      </w:r>
      <w:r w:rsidRPr="00185C1D">
        <w:rPr>
          <w:rFonts w:ascii="Times New Roman" w:hAnsi="Times New Roman"/>
        </w:rPr>
        <w:lastRenderedPageBreak/>
        <w:t>take place in the home, which is an important part of the context in which child victims respond.</w:t>
      </w:r>
    </w:p>
    <w:p w14:paraId="5335CB29" w14:textId="381973DA"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The position is less clear, but ultimately no different, with the next part of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set out above to which objection is taken.</w:t>
      </w:r>
      <w:r w:rsidRPr="00185C1D">
        <w:rPr>
          <w:rStyle w:val="FootnoteReference"/>
          <w:rFonts w:ascii="Times New Roman" w:hAnsi="Times New Roman"/>
          <w:sz w:val="24"/>
        </w:rPr>
        <w:footnoteReference w:id="48"/>
      </w:r>
      <w:r w:rsidRPr="00185C1D">
        <w:rPr>
          <w:rFonts w:ascii="Times New Roman" w:hAnsi="Times New Roman"/>
        </w:rPr>
        <w:t xml:space="preserve"> The Crown Prosecutor asked Associate Professor </w:t>
      </w:r>
      <w:proofErr w:type="spellStart"/>
      <w:r w:rsidRPr="00185C1D">
        <w:rPr>
          <w:rFonts w:ascii="Times New Roman" w:hAnsi="Times New Roman"/>
        </w:rPr>
        <w:t>Shackel</w:t>
      </w:r>
      <w:proofErr w:type="spellEnd"/>
      <w:r w:rsidRPr="00185C1D">
        <w:rPr>
          <w:rFonts w:ascii="Times New Roman" w:hAnsi="Times New Roman"/>
        </w:rPr>
        <w:t xml:space="preserve"> whether the research she had studied found that it was common for child sexual abuse to be committed in the family home in proximity to "other people".</w:t>
      </w:r>
      <w:r w:rsidRPr="00185C1D">
        <w:rPr>
          <w:rFonts w:ascii="Times New Roman" w:hAnsi="Times New Roman"/>
          <w:b/>
          <w:bCs/>
        </w:rPr>
        <w:t xml:space="preserve"> </w:t>
      </w:r>
      <w:r w:rsidRPr="00185C1D">
        <w:rPr>
          <w:rFonts w:ascii="Times New Roman" w:hAnsi="Times New Roman"/>
        </w:rPr>
        <w:t xml:space="preserve">At one level, the question might be understood as seeking to elicit evidence about the offending patterns of perpetrators of child sexual assault akin to the evidence of "brazen </w:t>
      </w:r>
      <w:r w:rsidR="00BB6414" w:rsidRPr="00185C1D">
        <w:rPr>
          <w:rFonts w:ascii="Times New Roman" w:hAnsi="Times New Roman"/>
        </w:rPr>
        <w:t>settings</w:t>
      </w:r>
      <w:r w:rsidRPr="00185C1D">
        <w:rPr>
          <w:rFonts w:ascii="Times New Roman" w:hAnsi="Times New Roman"/>
        </w:rPr>
        <w:t>"</w:t>
      </w:r>
      <w:r w:rsidR="00BB6414" w:rsidRPr="00185C1D">
        <w:rPr>
          <w:rFonts w:ascii="Times New Roman" w:hAnsi="Times New Roman"/>
        </w:rPr>
        <w:t xml:space="preserve"> of offending</w:t>
      </w:r>
      <w:r w:rsidRPr="00185C1D">
        <w:rPr>
          <w:rFonts w:ascii="Times New Roman" w:hAnsi="Times New Roman"/>
        </w:rPr>
        <w:t xml:space="preserve"> that was adduced in </w:t>
      </w:r>
      <w:r w:rsidRPr="00185C1D">
        <w:rPr>
          <w:rFonts w:ascii="Times New Roman" w:hAnsi="Times New Roman"/>
          <w:i/>
          <w:iCs/>
        </w:rPr>
        <w:t>AJ</w:t>
      </w:r>
      <w:r w:rsidRPr="00185C1D">
        <w:rPr>
          <w:rFonts w:ascii="Times New Roman" w:hAnsi="Times New Roman"/>
        </w:rPr>
        <w:t>.</w:t>
      </w:r>
      <w:r w:rsidRPr="00185C1D">
        <w:rPr>
          <w:rStyle w:val="FootnoteReference"/>
          <w:rFonts w:ascii="Times New Roman" w:hAnsi="Times New Roman"/>
          <w:sz w:val="24"/>
        </w:rPr>
        <w:footnoteReference w:id="49"/>
      </w:r>
      <w:r w:rsidRPr="00185C1D">
        <w:rPr>
          <w:rFonts w:ascii="Times New Roman" w:hAnsi="Times New Roman"/>
        </w:rPr>
        <w:t xml:space="preserve"> However, the significance of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that such offending is often committed while other family members are proximate is that it reinforces the otherwise normal domestic contexts in which such abuse may occur and in which victims may or may not respond. This is made clear by the questions and answers that immediately followed, which concerned</w:t>
      </w:r>
      <w:r w:rsidRPr="00185C1D" w:rsidDel="005233F2">
        <w:rPr>
          <w:rFonts w:ascii="Times New Roman" w:hAnsi="Times New Roman"/>
        </w:rPr>
        <w:t xml:space="preserve"> </w:t>
      </w:r>
      <w:r w:rsidRPr="00185C1D">
        <w:rPr>
          <w:rFonts w:ascii="Times New Roman" w:hAnsi="Times New Roman"/>
        </w:rPr>
        <w:t xml:space="preserve">the possible ambivalence of a child victim about their abuse at the time it was committed and their possible affection for their abuser. </w:t>
      </w:r>
    </w:p>
    <w:p w14:paraId="51BFCA52" w14:textId="005B094F"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The portions of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to which objection is taken did not involve Associate Professor </w:t>
      </w:r>
      <w:proofErr w:type="spellStart"/>
      <w:r w:rsidRPr="00185C1D">
        <w:rPr>
          <w:rFonts w:ascii="Times New Roman" w:hAnsi="Times New Roman"/>
        </w:rPr>
        <w:t>Shackel</w:t>
      </w:r>
      <w:proofErr w:type="spellEnd"/>
      <w:r w:rsidRPr="00185C1D">
        <w:rPr>
          <w:rFonts w:ascii="Times New Roman" w:hAnsi="Times New Roman"/>
        </w:rPr>
        <w:t xml:space="preserve"> straying beyond her demonstrated area of expertise in relation to the responses of victims of child sexual assault to opine about perpetrator behaviour, that is, the psychology of perpetrators, as was found to have occurred in </w:t>
      </w:r>
      <w:r w:rsidRPr="00185C1D">
        <w:rPr>
          <w:rFonts w:ascii="Times New Roman" w:hAnsi="Times New Roman"/>
          <w:i/>
          <w:iCs/>
        </w:rPr>
        <w:t>AJ</w:t>
      </w:r>
      <w:r w:rsidRPr="00185C1D">
        <w:rPr>
          <w:rFonts w:ascii="Times New Roman" w:hAnsi="Times New Roman"/>
        </w:rPr>
        <w:t xml:space="preserve">. Instead,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explained that her research included many cases where intra-familial child sexual assault was committed "within the family home in the course of day</w:t>
      </w:r>
      <w:r w:rsidRPr="00185C1D">
        <w:rPr>
          <w:rFonts w:ascii="Times New Roman" w:hAnsi="Times New Roman"/>
        </w:rPr>
        <w:noBreakHyphen/>
        <w:t>to</w:t>
      </w:r>
      <w:r w:rsidRPr="00185C1D">
        <w:rPr>
          <w:rFonts w:ascii="Times New Roman" w:hAnsi="Times New Roman"/>
        </w:rPr>
        <w:noBreakHyphen/>
        <w:t xml:space="preserve">day activities" and with other family members proximate. </w:t>
      </w:r>
    </w:p>
    <w:p w14:paraId="45C1913E" w14:textId="5A99D0C8"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The appellant also contended that the Court of Criminal Appeal engaged in speculation in concluding that Associate Professor </w:t>
      </w:r>
      <w:proofErr w:type="spellStart"/>
      <w:r w:rsidRPr="00185C1D">
        <w:rPr>
          <w:rFonts w:ascii="Times New Roman" w:hAnsi="Times New Roman"/>
        </w:rPr>
        <w:t>Shackel's</w:t>
      </w:r>
      <w:proofErr w:type="spellEnd"/>
      <w:r w:rsidRPr="00185C1D">
        <w:rPr>
          <w:rFonts w:ascii="Times New Roman" w:hAnsi="Times New Roman"/>
        </w:rPr>
        <w:t xml:space="preserve"> description of where such abuse commonly takes place was "very likely to have been obtained by her study of the cases which are the basis of the research".</w:t>
      </w:r>
      <w:r w:rsidRPr="00185C1D">
        <w:rPr>
          <w:rStyle w:val="FootnoteReference"/>
          <w:rFonts w:ascii="Times New Roman" w:hAnsi="Times New Roman"/>
          <w:sz w:val="24"/>
        </w:rPr>
        <w:footnoteReference w:id="50"/>
      </w:r>
      <w:r w:rsidRPr="00185C1D">
        <w:rPr>
          <w:rFonts w:ascii="Times New Roman" w:hAnsi="Times New Roman"/>
        </w:rPr>
        <w:t xml:space="preserve"> That contention has no substance. As noted, Associate Professor </w:t>
      </w:r>
      <w:proofErr w:type="spellStart"/>
      <w:r w:rsidRPr="00185C1D">
        <w:rPr>
          <w:rFonts w:ascii="Times New Roman" w:hAnsi="Times New Roman"/>
        </w:rPr>
        <w:t>Shackel</w:t>
      </w:r>
      <w:proofErr w:type="spellEnd"/>
      <w:r w:rsidRPr="00185C1D">
        <w:rPr>
          <w:rFonts w:ascii="Times New Roman" w:hAnsi="Times New Roman"/>
        </w:rPr>
        <w:t xml:space="preserve"> gave evidence that she had analysed research that included interviews of perpetrators discussing how they </w:t>
      </w:r>
      <w:r w:rsidRPr="00185C1D">
        <w:rPr>
          <w:rFonts w:ascii="Times New Roman" w:hAnsi="Times New Roman"/>
        </w:rPr>
        <w:lastRenderedPageBreak/>
        <w:t xml:space="preserve">offended and their experiences and strategies in offending. It is difficult to see how one could analyse research into the responses of victims of child sexual assault without being apprised of the circumstances in which such abuse occurs. No further elucidation was required by Associate Professor </w:t>
      </w:r>
      <w:proofErr w:type="spellStart"/>
      <w:r w:rsidRPr="00185C1D">
        <w:rPr>
          <w:rFonts w:ascii="Times New Roman" w:hAnsi="Times New Roman"/>
        </w:rPr>
        <w:t>Shackel</w:t>
      </w:r>
      <w:proofErr w:type="spellEnd"/>
      <w:r w:rsidRPr="00185C1D">
        <w:rPr>
          <w:rFonts w:ascii="Times New Roman" w:hAnsi="Times New Roman"/>
        </w:rPr>
        <w:t xml:space="preserve"> to demonstrate that her answers were "wholly or substantially based" on her specialised knowledge.</w:t>
      </w:r>
      <w:r w:rsidRPr="00185C1D">
        <w:rPr>
          <w:rStyle w:val="FootnoteReference"/>
          <w:rFonts w:ascii="Times New Roman" w:hAnsi="Times New Roman"/>
          <w:sz w:val="24"/>
        </w:rPr>
        <w:footnoteReference w:id="51"/>
      </w:r>
      <w:r w:rsidRPr="00185C1D">
        <w:rPr>
          <w:rFonts w:ascii="Times New Roman" w:hAnsi="Times New Roman"/>
        </w:rPr>
        <w:t xml:space="preserve"> </w:t>
      </w:r>
    </w:p>
    <w:p w14:paraId="2DEDCF1E" w14:textId="75E65782"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The appellant was also critical of the Court of Criminal Appeal for supposedly treating these aspects of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as admissible because they were "so closely related to the general discussion of the reactions and behaviour of children, that the evidence was not objectionable".</w:t>
      </w:r>
      <w:r w:rsidRPr="00185C1D">
        <w:rPr>
          <w:rStyle w:val="FootnoteReference"/>
          <w:rFonts w:ascii="Times New Roman" w:hAnsi="Times New Roman"/>
          <w:sz w:val="24"/>
        </w:rPr>
        <w:footnoteReference w:id="52"/>
      </w:r>
      <w:r w:rsidRPr="00185C1D">
        <w:rPr>
          <w:rFonts w:ascii="Times New Roman" w:hAnsi="Times New Roman"/>
          <w:b/>
          <w:bCs/>
        </w:rPr>
        <w:t xml:space="preserve"> </w:t>
      </w:r>
      <w:r w:rsidRPr="00185C1D">
        <w:rPr>
          <w:rFonts w:ascii="Times New Roman" w:hAnsi="Times New Roman"/>
        </w:rPr>
        <w:t>It is correct that a body of evidence does not become admissible merely because it is "closely related" to another body of admissible evidence</w:t>
      </w:r>
      <w:r w:rsidR="005D1D21" w:rsidRPr="00185C1D">
        <w:rPr>
          <w:rFonts w:ascii="Times New Roman" w:hAnsi="Times New Roman"/>
        </w:rPr>
        <w:t>;</w:t>
      </w:r>
      <w:r w:rsidRPr="00185C1D">
        <w:rPr>
          <w:rFonts w:ascii="Times New Roman" w:hAnsi="Times New Roman"/>
        </w:rPr>
        <w:t xml:space="preserve"> however</w:t>
      </w:r>
      <w:r w:rsidR="005D1D21" w:rsidRPr="00185C1D">
        <w:rPr>
          <w:rFonts w:ascii="Times New Roman" w:hAnsi="Times New Roman"/>
        </w:rPr>
        <w:t>,</w:t>
      </w:r>
      <w:r w:rsidRPr="00185C1D">
        <w:rPr>
          <w:rFonts w:ascii="Times New Roman" w:hAnsi="Times New Roman"/>
        </w:rPr>
        <w:t xml:space="preserve"> the appellant's criticism to that effect does not fairly reflect the Court of Criminal Appeal's reasoning. The parts of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to which objection was taken were simply part of her evidence that addressed the responses of victims of child sexual assault committed in an intra</w:t>
      </w:r>
      <w:r w:rsidRPr="00185C1D">
        <w:rPr>
          <w:rFonts w:ascii="Times New Roman" w:hAnsi="Times New Roman"/>
        </w:rPr>
        <w:noBreakHyphen/>
        <w:t xml:space="preserve">familial context. </w:t>
      </w:r>
    </w:p>
    <w:p w14:paraId="172F7257" w14:textId="6C808336"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Lastly, the appellant repeated a separate criticism that was made in the Court of Criminal Appeal to the effect that, to the extent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concerned child sexual assault </w:t>
      </w:r>
      <w:r w:rsidR="0024155A" w:rsidRPr="00185C1D">
        <w:rPr>
          <w:rFonts w:ascii="Times New Roman" w:hAnsi="Times New Roman"/>
        </w:rPr>
        <w:t xml:space="preserve">committed </w:t>
      </w:r>
      <w:r w:rsidRPr="00185C1D">
        <w:rPr>
          <w:rFonts w:ascii="Times New Roman" w:hAnsi="Times New Roman"/>
        </w:rPr>
        <w:t>in</w:t>
      </w:r>
      <w:r w:rsidR="0024155A" w:rsidRPr="00185C1D">
        <w:rPr>
          <w:rFonts w:ascii="Times New Roman" w:hAnsi="Times New Roman"/>
        </w:rPr>
        <w:t xml:space="preserve"> an</w:t>
      </w:r>
      <w:r w:rsidRPr="00185C1D">
        <w:rPr>
          <w:rFonts w:ascii="Times New Roman" w:hAnsi="Times New Roman"/>
        </w:rPr>
        <w:t xml:space="preserve"> intra</w:t>
      </w:r>
      <w:r w:rsidRPr="00185C1D">
        <w:rPr>
          <w:rFonts w:ascii="Times New Roman" w:hAnsi="Times New Roman"/>
        </w:rPr>
        <w:noBreakHyphen/>
        <w:t>familial context, it was inadmissible because she did not specify what form of relationships were encompassed by the phrase "intra-familial".</w:t>
      </w:r>
      <w:r w:rsidRPr="00185C1D">
        <w:rPr>
          <w:rFonts w:ascii="Times New Roman" w:hAnsi="Times New Roman"/>
          <w:b/>
          <w:bCs/>
        </w:rPr>
        <w:t xml:space="preserve"> </w:t>
      </w:r>
      <w:r w:rsidRPr="00185C1D">
        <w:rPr>
          <w:rFonts w:ascii="Times New Roman" w:hAnsi="Times New Roman"/>
        </w:rPr>
        <w:t xml:space="preserve">This failure was said (somehow) to result in there being a failure to demonstrate that Associate Professor </w:t>
      </w:r>
      <w:proofErr w:type="spellStart"/>
      <w:r w:rsidRPr="00185C1D">
        <w:rPr>
          <w:rFonts w:ascii="Times New Roman" w:hAnsi="Times New Roman"/>
        </w:rPr>
        <w:t>Shackel's</w:t>
      </w:r>
      <w:proofErr w:type="spellEnd"/>
      <w:r w:rsidRPr="00185C1D">
        <w:rPr>
          <w:rFonts w:ascii="Times New Roman" w:hAnsi="Times New Roman"/>
        </w:rPr>
        <w:t xml:space="preserve"> opinion was based on her specialised knowledge based on "training, study or experience".</w:t>
      </w:r>
      <w:r w:rsidRPr="00185C1D">
        <w:rPr>
          <w:rStyle w:val="FootnoteReference"/>
          <w:rFonts w:ascii="Times New Roman" w:hAnsi="Times New Roman"/>
          <w:sz w:val="24"/>
        </w:rPr>
        <w:footnoteReference w:id="53"/>
      </w:r>
      <w:r w:rsidRPr="00185C1D">
        <w:rPr>
          <w:rFonts w:ascii="Times New Roman" w:hAnsi="Times New Roman"/>
        </w:rPr>
        <w:t xml:space="preserve"> This contention should also be rejected. Associate Professor </w:t>
      </w:r>
      <w:proofErr w:type="spellStart"/>
      <w:r w:rsidRPr="00185C1D">
        <w:rPr>
          <w:rFonts w:ascii="Times New Roman" w:hAnsi="Times New Roman"/>
        </w:rPr>
        <w:t>Shackel's</w:t>
      </w:r>
      <w:proofErr w:type="spellEnd"/>
      <w:r w:rsidRPr="00185C1D">
        <w:rPr>
          <w:rFonts w:ascii="Times New Roman" w:hAnsi="Times New Roman"/>
        </w:rPr>
        <w:t xml:space="preserve"> reference to "intra-familial" clearly referred to events occurring within a family, and that concept was given context by her explanation of the family settings in which</w:t>
      </w:r>
      <w:r w:rsidRPr="00185C1D" w:rsidDel="00C654F2">
        <w:rPr>
          <w:rFonts w:ascii="Times New Roman" w:hAnsi="Times New Roman"/>
        </w:rPr>
        <w:t xml:space="preserve"> </w:t>
      </w:r>
      <w:r w:rsidRPr="00185C1D">
        <w:rPr>
          <w:rFonts w:ascii="Times New Roman" w:hAnsi="Times New Roman"/>
        </w:rPr>
        <w:t>child sexual assault commonly takes place. As noted by the Court of Criminal Appeal, "[t]he question of who might fall within the scope of 'intrafamilial' will vary from family to family and case to case" such that "[</w:t>
      </w:r>
      <w:proofErr w:type="spellStart"/>
      <w:r w:rsidRPr="00185C1D">
        <w:rPr>
          <w:rFonts w:ascii="Times New Roman" w:hAnsi="Times New Roman"/>
        </w:rPr>
        <w:t>i</w:t>
      </w:r>
      <w:proofErr w:type="spellEnd"/>
      <w:r w:rsidRPr="00185C1D">
        <w:rPr>
          <w:rFonts w:ascii="Times New Roman" w:hAnsi="Times New Roman"/>
        </w:rPr>
        <w:t xml:space="preserve">]t is </w:t>
      </w:r>
      <w:r w:rsidRPr="00185C1D">
        <w:rPr>
          <w:rFonts w:ascii="Times New Roman" w:hAnsi="Times New Roman"/>
        </w:rPr>
        <w:lastRenderedPageBreak/>
        <w:t>not helpful to be prescriptive in that way".</w:t>
      </w:r>
      <w:r w:rsidRPr="00185C1D">
        <w:rPr>
          <w:rStyle w:val="FootnoteReference"/>
          <w:rFonts w:ascii="Times New Roman" w:hAnsi="Times New Roman"/>
          <w:sz w:val="24"/>
        </w:rPr>
        <w:footnoteReference w:id="54"/>
      </w:r>
      <w:r w:rsidRPr="00185C1D">
        <w:rPr>
          <w:rFonts w:ascii="Times New Roman" w:hAnsi="Times New Roman"/>
        </w:rPr>
        <w:t xml:space="preserve"> Given that the appellant was AA and BB's uncle and </w:t>
      </w:r>
      <w:r w:rsidR="00387368" w:rsidRPr="00185C1D">
        <w:rPr>
          <w:rFonts w:ascii="Times New Roman" w:hAnsi="Times New Roman"/>
        </w:rPr>
        <w:t xml:space="preserve">given </w:t>
      </w:r>
      <w:r w:rsidRPr="00185C1D">
        <w:rPr>
          <w:rFonts w:ascii="Times New Roman" w:hAnsi="Times New Roman"/>
        </w:rPr>
        <w:t>the undisputed evidence concerning the living arrangements at their grandparents' house, their relationship with the appellant was clearly familial and it was well open to the jury to proceed on that basis.</w:t>
      </w:r>
    </w:p>
    <w:p w14:paraId="12422F2D" w14:textId="77777777"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The Court of Criminal Appeal did not err in rejecting the appellant's complaint about the admissibility of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w:t>
      </w:r>
    </w:p>
    <w:p w14:paraId="10189456" w14:textId="77777777" w:rsidR="00BA59BA" w:rsidRPr="00185C1D" w:rsidRDefault="00BA59BA" w:rsidP="00185C1D">
      <w:pPr>
        <w:pStyle w:val="HeadingL1"/>
        <w:spacing w:after="260" w:line="280" w:lineRule="exact"/>
        <w:ind w:right="0"/>
        <w:jc w:val="both"/>
        <w:rPr>
          <w:rFonts w:ascii="Times New Roman" w:hAnsi="Times New Roman"/>
        </w:rPr>
      </w:pPr>
      <w:r w:rsidRPr="00185C1D">
        <w:rPr>
          <w:rFonts w:ascii="Times New Roman" w:hAnsi="Times New Roman"/>
        </w:rPr>
        <w:t xml:space="preserve">No further direction was </w:t>
      </w:r>
      <w:proofErr w:type="gramStart"/>
      <w:r w:rsidRPr="00185C1D">
        <w:rPr>
          <w:rFonts w:ascii="Times New Roman" w:hAnsi="Times New Roman"/>
        </w:rPr>
        <w:t>required</w:t>
      </w:r>
      <w:proofErr w:type="gramEnd"/>
      <w:r w:rsidRPr="00185C1D">
        <w:rPr>
          <w:rFonts w:ascii="Times New Roman" w:hAnsi="Times New Roman"/>
        </w:rPr>
        <w:t xml:space="preserve"> </w:t>
      </w:r>
    </w:p>
    <w:p w14:paraId="19FF698E" w14:textId="0DF2DD41"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The appellant contended that a miscarriage of justice was occasioned by the trial judge's directions to the jury. The appellant contended that a miscarriage arose from the failure of the trial judge to give a general direction to the jury of a kind that he</w:t>
      </w:r>
      <w:r w:rsidRPr="00185C1D" w:rsidDel="000129D4">
        <w:rPr>
          <w:rFonts w:ascii="Times New Roman" w:hAnsi="Times New Roman"/>
        </w:rPr>
        <w:t xml:space="preserve"> </w:t>
      </w:r>
      <w:r w:rsidRPr="00185C1D">
        <w:rPr>
          <w:rFonts w:ascii="Times New Roman" w:hAnsi="Times New Roman"/>
        </w:rPr>
        <w:t xml:space="preserve">contended should be given in </w:t>
      </w:r>
      <w:r w:rsidR="0057647E" w:rsidRPr="00185C1D">
        <w:rPr>
          <w:rFonts w:ascii="Times New Roman" w:hAnsi="Times New Roman"/>
        </w:rPr>
        <w:t xml:space="preserve">a </w:t>
      </w:r>
      <w:r w:rsidRPr="00185C1D">
        <w:rPr>
          <w:rFonts w:ascii="Times New Roman" w:hAnsi="Times New Roman"/>
        </w:rPr>
        <w:t>criminal trial</w:t>
      </w:r>
      <w:r w:rsidR="00533C01" w:rsidRPr="00185C1D">
        <w:rPr>
          <w:rFonts w:ascii="Times New Roman" w:hAnsi="Times New Roman"/>
        </w:rPr>
        <w:t xml:space="preserve"> </w:t>
      </w:r>
      <w:r w:rsidRPr="00185C1D">
        <w:rPr>
          <w:rFonts w:ascii="Times New Roman" w:hAnsi="Times New Roman"/>
        </w:rPr>
        <w:t>where expert evidence concerning the behaviour and responses of children to being sexually assaulted is adduced.</w:t>
      </w:r>
      <w:r w:rsidRPr="00185C1D">
        <w:rPr>
          <w:rFonts w:ascii="Times New Roman" w:hAnsi="Times New Roman"/>
          <w:b/>
          <w:bCs/>
        </w:rPr>
        <w:t xml:space="preserve"> </w:t>
      </w:r>
      <w:r w:rsidRPr="00185C1D">
        <w:rPr>
          <w:rFonts w:ascii="Times New Roman" w:hAnsi="Times New Roman"/>
        </w:rPr>
        <w:t>The appellant also contended that a miscarriage of justice arose from</w:t>
      </w:r>
      <w:r w:rsidRPr="00185C1D" w:rsidDel="00DA1FF6">
        <w:rPr>
          <w:rFonts w:ascii="Times New Roman" w:hAnsi="Times New Roman"/>
        </w:rPr>
        <w:t xml:space="preserve"> </w:t>
      </w:r>
      <w:r w:rsidRPr="00185C1D">
        <w:rPr>
          <w:rFonts w:ascii="Times New Roman" w:hAnsi="Times New Roman"/>
        </w:rPr>
        <w:t xml:space="preserve">the failure of the trial judge to give a particular direction, the necessity for which was said to arise from the evidence adduced and the submissions made at the appellant's trial. </w:t>
      </w:r>
    </w:p>
    <w:p w14:paraId="4AA6151F" w14:textId="3A609D9D" w:rsidR="007A2C09" w:rsidRPr="00185C1D" w:rsidRDefault="007A2C09" w:rsidP="00185C1D">
      <w:pPr>
        <w:pStyle w:val="HeadingL2"/>
        <w:spacing w:after="260" w:line="280" w:lineRule="exact"/>
        <w:ind w:right="0"/>
        <w:jc w:val="both"/>
        <w:rPr>
          <w:rFonts w:ascii="Times New Roman" w:hAnsi="Times New Roman"/>
        </w:rPr>
      </w:pPr>
      <w:r w:rsidRPr="00185C1D">
        <w:rPr>
          <w:rFonts w:ascii="Times New Roman" w:hAnsi="Times New Roman"/>
        </w:rPr>
        <w:t>The proposed general direction</w:t>
      </w:r>
    </w:p>
    <w:p w14:paraId="76813CE8" w14:textId="31AE0885"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The proposed general direction was to the effect that: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was only led for an "educative" purpose in relation to inferences that might be drawn from children's behaviour; her evidence "says nothing about the credibility of the complainant(s)" and was not led by the respondent for the purpose of addressing their credibility; and it would be wrong to reason from any correlation between what the research has found as to how children may respond to abuse and how AA and BB say they responded to the appellant's alleged sexual acts "that the complainant(s) must be telling the truth". </w:t>
      </w:r>
    </w:p>
    <w:p w14:paraId="570A85B1" w14:textId="4A866E17"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The appellant referred to a decision of the Supreme Court of New Zealand in </w:t>
      </w:r>
      <w:r w:rsidRPr="00185C1D">
        <w:rPr>
          <w:rFonts w:ascii="Times New Roman" w:hAnsi="Times New Roman"/>
          <w:i/>
          <w:iCs/>
        </w:rPr>
        <w:t>DH v The Queen</w:t>
      </w:r>
      <w:r w:rsidRPr="00185C1D">
        <w:rPr>
          <w:rFonts w:ascii="Times New Roman" w:hAnsi="Times New Roman"/>
        </w:rPr>
        <w:t>,</w:t>
      </w:r>
      <w:r w:rsidRPr="00185C1D">
        <w:rPr>
          <w:rStyle w:val="FootnoteReference"/>
          <w:rFonts w:ascii="Times New Roman" w:hAnsi="Times New Roman"/>
          <w:sz w:val="24"/>
        </w:rPr>
        <w:footnoteReference w:id="55"/>
      </w:r>
      <w:r w:rsidRPr="00185C1D">
        <w:rPr>
          <w:rFonts w:ascii="Times New Roman" w:hAnsi="Times New Roman"/>
        </w:rPr>
        <w:t xml:space="preserve"> which concerned what was described by that Court as "counter</w:t>
      </w:r>
      <w:r w:rsidRPr="00185C1D">
        <w:rPr>
          <w:rFonts w:ascii="Times New Roman" w:hAnsi="Times New Roman"/>
        </w:rPr>
        <w:noBreakHyphen/>
        <w:t xml:space="preserve">intuitive evidence" adduced from an expert in cases involving allegations of sexual abuse of young people for the purpose of correcting erroneous beliefs or </w:t>
      </w:r>
      <w:r w:rsidRPr="00185C1D">
        <w:rPr>
          <w:rFonts w:ascii="Times New Roman" w:hAnsi="Times New Roman"/>
        </w:rPr>
        <w:lastRenderedPageBreak/>
        <w:t>assumptions that may be held and which, if uncorrected, may lead to illegitimate reasoning.</w:t>
      </w:r>
      <w:r w:rsidRPr="00185C1D">
        <w:rPr>
          <w:rStyle w:val="FootnoteReference"/>
          <w:rFonts w:ascii="Times New Roman" w:hAnsi="Times New Roman"/>
          <w:sz w:val="24"/>
        </w:rPr>
        <w:footnoteReference w:id="56"/>
      </w:r>
      <w:r w:rsidRPr="00185C1D">
        <w:rPr>
          <w:rFonts w:ascii="Times New Roman" w:hAnsi="Times New Roman"/>
          <w:b/>
          <w:bCs/>
        </w:rPr>
        <w:t xml:space="preserve"> </w:t>
      </w:r>
      <w:r w:rsidRPr="00185C1D">
        <w:rPr>
          <w:rFonts w:ascii="Times New Roman" w:hAnsi="Times New Roman"/>
        </w:rPr>
        <w:t xml:space="preserve">Similar to this case, the expert in </w:t>
      </w:r>
      <w:r w:rsidRPr="00185C1D">
        <w:rPr>
          <w:rFonts w:ascii="Times New Roman" w:hAnsi="Times New Roman"/>
          <w:i/>
          <w:iCs/>
        </w:rPr>
        <w:t>DH</w:t>
      </w:r>
      <w:r w:rsidRPr="00185C1D">
        <w:rPr>
          <w:rFonts w:ascii="Times New Roman" w:hAnsi="Times New Roman"/>
        </w:rPr>
        <w:t xml:space="preserve"> had opined that the reporting of such abuse was "most commonly delayed", especially where the alleged perpetrator was a family member.</w:t>
      </w:r>
      <w:r w:rsidRPr="00185C1D">
        <w:rPr>
          <w:rStyle w:val="FootnoteReference"/>
          <w:rFonts w:ascii="Times New Roman" w:hAnsi="Times New Roman"/>
          <w:sz w:val="24"/>
        </w:rPr>
        <w:footnoteReference w:id="57"/>
      </w:r>
      <w:r w:rsidRPr="00185C1D">
        <w:rPr>
          <w:rFonts w:ascii="Times New Roman" w:hAnsi="Times New Roman"/>
        </w:rPr>
        <w:t xml:space="preserve"> The trial judge in that case had directed the jury that the expert's evidence said "nothing about the credibility, the believability of [the complainant]" and was "completely neutral".</w:t>
      </w:r>
      <w:r w:rsidRPr="00185C1D">
        <w:rPr>
          <w:rStyle w:val="FootnoteReference"/>
          <w:rFonts w:ascii="Times New Roman" w:hAnsi="Times New Roman"/>
          <w:sz w:val="24"/>
        </w:rPr>
        <w:footnoteReference w:id="58"/>
      </w:r>
      <w:r w:rsidRPr="00185C1D">
        <w:rPr>
          <w:rFonts w:ascii="Times New Roman" w:hAnsi="Times New Roman"/>
        </w:rPr>
        <w:t xml:space="preserve"> The appeal from DH's conviction following that direction was dismissed.</w:t>
      </w:r>
      <w:r w:rsidRPr="00185C1D">
        <w:rPr>
          <w:rStyle w:val="FootnoteReference"/>
          <w:rFonts w:ascii="Times New Roman" w:hAnsi="Times New Roman"/>
          <w:sz w:val="24"/>
        </w:rPr>
        <w:footnoteReference w:id="59"/>
      </w:r>
      <w:r w:rsidRPr="00185C1D">
        <w:rPr>
          <w:rFonts w:ascii="Times New Roman" w:hAnsi="Times New Roman"/>
        </w:rPr>
        <w:t xml:space="preserve"> </w:t>
      </w:r>
    </w:p>
    <w:p w14:paraId="49B7C96B" w14:textId="4EC3870E"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The appellant </w:t>
      </w:r>
      <w:r w:rsidR="007404E5" w:rsidRPr="00185C1D">
        <w:rPr>
          <w:rFonts w:ascii="Times New Roman" w:hAnsi="Times New Roman"/>
        </w:rPr>
        <w:t xml:space="preserve">in this case </w:t>
      </w:r>
      <w:r w:rsidRPr="00185C1D">
        <w:rPr>
          <w:rFonts w:ascii="Times New Roman" w:hAnsi="Times New Roman"/>
        </w:rPr>
        <w:t>relied on the Supreme Court of New Zealand's apparent endorsement of two decisions of the Court of Appeal of New Zealand,</w:t>
      </w:r>
      <w:r w:rsidRPr="00185C1D">
        <w:rPr>
          <w:rStyle w:val="FootnoteReference"/>
          <w:rFonts w:ascii="Times New Roman" w:hAnsi="Times New Roman"/>
          <w:sz w:val="24"/>
        </w:rPr>
        <w:footnoteReference w:id="60"/>
      </w:r>
      <w:r w:rsidRPr="00185C1D">
        <w:rPr>
          <w:rFonts w:ascii="Times New Roman" w:hAnsi="Times New Roman"/>
        </w:rPr>
        <w:t xml:space="preserve"> which was to the effect that "[w]here counter</w:t>
      </w:r>
      <w:r w:rsidRPr="00185C1D">
        <w:rPr>
          <w:rFonts w:ascii="Times New Roman" w:hAnsi="Times New Roman"/>
        </w:rPr>
        <w:noBreakHyphen/>
        <w:t>intuitive evidence is admitted in a jury trial, the judge must instruct the jury of the purpose of the evidence and that it says nothing about the credibility of the particular complainant".</w:t>
      </w:r>
      <w:r w:rsidRPr="00185C1D">
        <w:rPr>
          <w:rStyle w:val="FootnoteReference"/>
          <w:rFonts w:ascii="Times New Roman" w:hAnsi="Times New Roman"/>
          <w:sz w:val="24"/>
        </w:rPr>
        <w:footnoteReference w:id="61"/>
      </w:r>
    </w:p>
    <w:p w14:paraId="2AB6D9DA" w14:textId="377848E3"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It would have been erroneous and confusing for the trial judge to have given a direction to that effect at the appellant's trial. As explained, the evidence of Associate Professor </w:t>
      </w:r>
      <w:proofErr w:type="spellStart"/>
      <w:r w:rsidRPr="00185C1D">
        <w:rPr>
          <w:rFonts w:ascii="Times New Roman" w:hAnsi="Times New Roman"/>
        </w:rPr>
        <w:t>Shackel</w:t>
      </w:r>
      <w:proofErr w:type="spellEnd"/>
      <w:r w:rsidRPr="00185C1D">
        <w:rPr>
          <w:rFonts w:ascii="Times New Roman" w:hAnsi="Times New Roman"/>
        </w:rPr>
        <w:t xml:space="preserve"> did say </w:t>
      </w:r>
      <w:r w:rsidRPr="00185C1D">
        <w:rPr>
          <w:rFonts w:ascii="Times New Roman" w:hAnsi="Times New Roman"/>
          <w:i/>
          <w:iCs/>
        </w:rPr>
        <w:t>something</w:t>
      </w:r>
      <w:r w:rsidRPr="00185C1D">
        <w:rPr>
          <w:rFonts w:ascii="Times New Roman" w:hAnsi="Times New Roman"/>
        </w:rPr>
        <w:t xml:space="preserve"> about the credibility of AA and BB</w:t>
      </w:r>
      <w:r w:rsidR="009D1532" w:rsidRPr="00185C1D">
        <w:rPr>
          <w:rFonts w:ascii="Times New Roman" w:hAnsi="Times New Roman"/>
        </w:rPr>
        <w:t>.</w:t>
      </w:r>
      <w:r w:rsidR="009D1532" w:rsidRPr="00185C1D" w:rsidDel="009D1532">
        <w:rPr>
          <w:rFonts w:ascii="Times New Roman" w:hAnsi="Times New Roman"/>
        </w:rPr>
        <w:t xml:space="preserve"> </w:t>
      </w:r>
      <w:r w:rsidR="00F66B6E" w:rsidRPr="00185C1D">
        <w:rPr>
          <w:rFonts w:ascii="Times New Roman" w:hAnsi="Times New Roman"/>
        </w:rPr>
        <w:t>The very purpose for which her evidence was led was to avoid the jury</w:t>
      </w:r>
      <w:r w:rsidR="00D03D83" w:rsidRPr="00185C1D">
        <w:rPr>
          <w:rFonts w:ascii="Times New Roman" w:hAnsi="Times New Roman"/>
        </w:rPr>
        <w:t>'s assessment of the</w:t>
      </w:r>
      <w:r w:rsidR="00F66B6E" w:rsidRPr="00185C1D">
        <w:rPr>
          <w:rFonts w:ascii="Times New Roman" w:hAnsi="Times New Roman"/>
        </w:rPr>
        <w:t xml:space="preserve"> honesty and reliability of AA and BB's evidence</w:t>
      </w:r>
      <w:r w:rsidR="00433A37" w:rsidRPr="00185C1D">
        <w:rPr>
          <w:rFonts w:ascii="Times New Roman" w:hAnsi="Times New Roman"/>
        </w:rPr>
        <w:t xml:space="preserve"> being </w:t>
      </w:r>
      <w:r w:rsidR="00F66B6E" w:rsidRPr="00185C1D">
        <w:rPr>
          <w:rFonts w:ascii="Times New Roman" w:hAnsi="Times New Roman"/>
        </w:rPr>
        <w:t>affected by common misapprehensions, such as there being typical responses of a child to being sexually assaulted and that</w:t>
      </w:r>
      <w:r w:rsidR="00644F02" w:rsidRPr="00185C1D">
        <w:rPr>
          <w:rFonts w:ascii="Times New Roman" w:hAnsi="Times New Roman"/>
        </w:rPr>
        <w:t>, commonly,</w:t>
      </w:r>
      <w:r w:rsidR="00F66B6E" w:rsidRPr="00185C1D">
        <w:rPr>
          <w:rFonts w:ascii="Times New Roman" w:hAnsi="Times New Roman"/>
        </w:rPr>
        <w:t xml:space="preserve"> children who are sexually assaulted in an intra-familial context will not acquiesce but instead protest. </w:t>
      </w:r>
    </w:p>
    <w:p w14:paraId="43D03AB7" w14:textId="53B29639"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This highlights the difficulty with the formulation of any general direction for such expert evidence in that the direction might become untethered from the issues and evidence in the trial and may mislead the jury as to the legitimate use to which </w:t>
      </w:r>
      <w:r w:rsidR="00456E9D" w:rsidRPr="00185C1D">
        <w:rPr>
          <w:rFonts w:ascii="Times New Roman" w:hAnsi="Times New Roman"/>
        </w:rPr>
        <w:t xml:space="preserve">that expert </w:t>
      </w:r>
      <w:r w:rsidRPr="00185C1D">
        <w:rPr>
          <w:rFonts w:ascii="Times New Roman" w:hAnsi="Times New Roman"/>
        </w:rPr>
        <w:t xml:space="preserve">evidence might be put. As noted, the ALRC Report adverted to </w:t>
      </w:r>
      <w:r w:rsidRPr="00185C1D">
        <w:rPr>
          <w:rFonts w:ascii="Times New Roman" w:hAnsi="Times New Roman"/>
        </w:rPr>
        <w:lastRenderedPageBreak/>
        <w:t>the possibility that evidence of child behavioural responses to being sexually assaulted may be relevant to a fact in issue, such as whether inferences can be drawn from evidence of the behaviour of a child towards a person alleged to have assaulted the child.</w:t>
      </w:r>
      <w:r w:rsidRPr="00185C1D">
        <w:rPr>
          <w:rStyle w:val="FootnoteReference"/>
          <w:rFonts w:ascii="Times New Roman" w:hAnsi="Times New Roman"/>
          <w:sz w:val="24"/>
        </w:rPr>
        <w:footnoteReference w:id="62"/>
      </w:r>
      <w:r w:rsidRPr="00185C1D">
        <w:rPr>
          <w:rFonts w:ascii="Times New Roman" w:hAnsi="Times New Roman"/>
        </w:rPr>
        <w:t xml:space="preserve"> For example, it may be that there is expert evidence indicating that a teenage child who is sexually assaulted may commence exhibiting anti-social or oppositional behaviour or that a young child who is sexually assaulted may exhibit sexualised behaviour. If there </w:t>
      </w:r>
      <w:r w:rsidR="00D96BE9" w:rsidRPr="00185C1D">
        <w:rPr>
          <w:rFonts w:ascii="Times New Roman" w:hAnsi="Times New Roman"/>
        </w:rPr>
        <w:t>wer</w:t>
      </w:r>
      <w:r w:rsidR="00554997" w:rsidRPr="00185C1D">
        <w:rPr>
          <w:rFonts w:ascii="Times New Roman" w:hAnsi="Times New Roman"/>
        </w:rPr>
        <w:t>e</w:t>
      </w:r>
      <w:r w:rsidRPr="00185C1D">
        <w:rPr>
          <w:rFonts w:ascii="Times New Roman" w:hAnsi="Times New Roman"/>
        </w:rPr>
        <w:t xml:space="preserve"> evidence of such behaviour of a complainant at a trial, then that expert evidence would not just relate to the credibility of the complainant but might</w:t>
      </w:r>
      <w:r w:rsidR="009F7D59" w:rsidRPr="00185C1D">
        <w:rPr>
          <w:rFonts w:ascii="Times New Roman" w:hAnsi="Times New Roman"/>
        </w:rPr>
        <w:t xml:space="preserve"> also</w:t>
      </w:r>
      <w:r w:rsidRPr="00185C1D">
        <w:rPr>
          <w:rFonts w:ascii="Times New Roman" w:hAnsi="Times New Roman"/>
        </w:rPr>
        <w:t xml:space="preserve"> be directly probative of whether they were abused. On the other hand, in this case, it would have been wrong to direct the jury that the absence of any complaint by AA and BB</w:t>
      </w:r>
      <w:r w:rsidR="003B1553" w:rsidRPr="00185C1D">
        <w:rPr>
          <w:rFonts w:ascii="Times New Roman" w:hAnsi="Times New Roman"/>
        </w:rPr>
        <w:t xml:space="preserve"> shortly after the alleged sexual acts</w:t>
      </w:r>
      <w:r w:rsidR="00BB440B" w:rsidRPr="00185C1D">
        <w:rPr>
          <w:rFonts w:ascii="Times New Roman" w:hAnsi="Times New Roman"/>
        </w:rPr>
        <w:t xml:space="preserve"> took place</w:t>
      </w:r>
      <w:r w:rsidRPr="00185C1D">
        <w:rPr>
          <w:rFonts w:ascii="Times New Roman" w:hAnsi="Times New Roman"/>
        </w:rPr>
        <w:t xml:space="preserve"> made it more likely that the sexual abuse occurred. Such a direction would have attributed to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a force it did not possess and would otherwise invite illogical reasoning. </w:t>
      </w:r>
    </w:p>
    <w:p w14:paraId="26695300" w14:textId="5C8AF0C5"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The proper approach in such cases is not to attempt to enunciate a general direction appropriate to all forms of counter</w:t>
      </w:r>
      <w:r w:rsidRPr="00185C1D">
        <w:rPr>
          <w:rFonts w:ascii="Times New Roman" w:hAnsi="Times New Roman"/>
        </w:rPr>
        <w:noBreakHyphen/>
        <w:t xml:space="preserve">intuitive </w:t>
      </w:r>
      <w:r w:rsidR="007933D4" w:rsidRPr="00185C1D">
        <w:rPr>
          <w:rFonts w:ascii="Times New Roman" w:hAnsi="Times New Roman"/>
        </w:rPr>
        <w:t xml:space="preserve">or educative </w:t>
      </w:r>
      <w:r w:rsidRPr="00185C1D">
        <w:rPr>
          <w:rFonts w:ascii="Times New Roman" w:hAnsi="Times New Roman"/>
        </w:rPr>
        <w:t xml:space="preserve">evidence or to direct the jury that such evidence might be used only to respond to an attack on a complainant's credibility but not to support </w:t>
      </w:r>
      <w:r w:rsidR="00AA2DEE" w:rsidRPr="00185C1D">
        <w:rPr>
          <w:rFonts w:ascii="Times New Roman" w:hAnsi="Times New Roman"/>
        </w:rPr>
        <w:t>their credibility</w:t>
      </w:r>
      <w:r w:rsidRPr="00185C1D">
        <w:rPr>
          <w:rFonts w:ascii="Times New Roman" w:hAnsi="Times New Roman"/>
        </w:rPr>
        <w:t xml:space="preserve">. Instead, where necessary, the legitimate and potentially illegitimate uses to which such evidence might be put should be identified and, if there is a sufficient likelihood or risk that such evidence might be put to an illegitimate use, then that may warrant consideration of its exclusion under s 135 or </w:t>
      </w:r>
      <w:r w:rsidR="00333EA7" w:rsidRPr="00185C1D">
        <w:rPr>
          <w:rFonts w:ascii="Times New Roman" w:hAnsi="Times New Roman"/>
        </w:rPr>
        <w:t xml:space="preserve">s </w:t>
      </w:r>
      <w:r w:rsidRPr="00185C1D">
        <w:rPr>
          <w:rFonts w:ascii="Times New Roman" w:hAnsi="Times New Roman"/>
        </w:rPr>
        <w:t xml:space="preserve">137 of the </w:t>
      </w:r>
      <w:r w:rsidRPr="00185C1D">
        <w:rPr>
          <w:rFonts w:ascii="Times New Roman" w:hAnsi="Times New Roman"/>
          <w:i/>
          <w:iCs/>
        </w:rPr>
        <w:t>Evidence Act</w:t>
      </w:r>
      <w:r w:rsidRPr="00185C1D">
        <w:rPr>
          <w:rFonts w:ascii="Times New Roman" w:hAnsi="Times New Roman"/>
        </w:rPr>
        <w:t xml:space="preserve"> or the giving of a direction to the jury to guard against that illegitimate use. </w:t>
      </w:r>
    </w:p>
    <w:p w14:paraId="21248596" w14:textId="7B46A397" w:rsidR="00EF2224" w:rsidRPr="00185C1D" w:rsidRDefault="00EA5390" w:rsidP="00185C1D">
      <w:pPr>
        <w:pStyle w:val="HeadingL2"/>
        <w:spacing w:after="260" w:line="280" w:lineRule="exact"/>
        <w:ind w:right="0"/>
        <w:jc w:val="both"/>
        <w:rPr>
          <w:rFonts w:ascii="Times New Roman" w:hAnsi="Times New Roman"/>
        </w:rPr>
      </w:pPr>
      <w:r w:rsidRPr="00185C1D">
        <w:rPr>
          <w:rFonts w:ascii="Times New Roman" w:hAnsi="Times New Roman"/>
        </w:rPr>
        <w:t xml:space="preserve">The proposed </w:t>
      </w:r>
      <w:proofErr w:type="gramStart"/>
      <w:r w:rsidRPr="00185C1D">
        <w:rPr>
          <w:rFonts w:ascii="Times New Roman" w:hAnsi="Times New Roman"/>
        </w:rPr>
        <w:t>particular direction</w:t>
      </w:r>
      <w:proofErr w:type="gramEnd"/>
    </w:p>
    <w:p w14:paraId="31A1FCA5" w14:textId="639F45FA"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The </w:t>
      </w:r>
      <w:proofErr w:type="gramStart"/>
      <w:r w:rsidRPr="00185C1D">
        <w:rPr>
          <w:rFonts w:ascii="Times New Roman" w:hAnsi="Times New Roman"/>
        </w:rPr>
        <w:t>particular direction</w:t>
      </w:r>
      <w:proofErr w:type="gramEnd"/>
      <w:r w:rsidRPr="00185C1D">
        <w:rPr>
          <w:rFonts w:ascii="Times New Roman" w:hAnsi="Times New Roman"/>
        </w:rPr>
        <w:t xml:space="preserve"> the appellant contends should have been given by the trial judge accords more with th</w:t>
      </w:r>
      <w:r w:rsidR="00AD0AAD" w:rsidRPr="00185C1D">
        <w:rPr>
          <w:rFonts w:ascii="Times New Roman" w:hAnsi="Times New Roman"/>
        </w:rPr>
        <w:t>e</w:t>
      </w:r>
      <w:r w:rsidRPr="00185C1D">
        <w:rPr>
          <w:rFonts w:ascii="Times New Roman" w:hAnsi="Times New Roman"/>
        </w:rPr>
        <w:t xml:space="preserve"> approach</w:t>
      </w:r>
      <w:r w:rsidR="00811C38" w:rsidRPr="00185C1D">
        <w:rPr>
          <w:rFonts w:ascii="Times New Roman" w:hAnsi="Times New Roman"/>
        </w:rPr>
        <w:t xml:space="preserve"> just outlined</w:t>
      </w:r>
      <w:r w:rsidRPr="00185C1D">
        <w:rPr>
          <w:rFonts w:ascii="Times New Roman" w:hAnsi="Times New Roman"/>
        </w:rPr>
        <w:t xml:space="preserve">, although the risks to which it is directed did not arise at the appellant's trial. The suggested direction had three aspects. </w:t>
      </w:r>
    </w:p>
    <w:p w14:paraId="2E661105" w14:textId="1E92CDF6"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First, the appellant contended that the jury should have been directed that it w</w:t>
      </w:r>
      <w:r w:rsidR="0006314D" w:rsidRPr="00185C1D">
        <w:rPr>
          <w:rFonts w:ascii="Times New Roman" w:hAnsi="Times New Roman"/>
        </w:rPr>
        <w:t>ould be</w:t>
      </w:r>
      <w:r w:rsidRPr="00185C1D">
        <w:rPr>
          <w:rFonts w:ascii="Times New Roman" w:hAnsi="Times New Roman"/>
        </w:rPr>
        <w:t xml:space="preserve"> wrong to use the evidence of Associate Professor </w:t>
      </w:r>
      <w:proofErr w:type="spellStart"/>
      <w:r w:rsidRPr="00185C1D">
        <w:rPr>
          <w:rFonts w:ascii="Times New Roman" w:hAnsi="Times New Roman"/>
        </w:rPr>
        <w:t>Shackel</w:t>
      </w:r>
      <w:proofErr w:type="spellEnd"/>
      <w:r w:rsidRPr="00185C1D">
        <w:rPr>
          <w:rFonts w:ascii="Times New Roman" w:hAnsi="Times New Roman"/>
        </w:rPr>
        <w:t xml:space="preserve"> to assume or support the suggestion that the appellant had the tendency asserted by the respondent. Nothing in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the Crown </w:t>
      </w:r>
      <w:r w:rsidRPr="00185C1D">
        <w:rPr>
          <w:rFonts w:ascii="Times New Roman" w:hAnsi="Times New Roman"/>
        </w:rPr>
        <w:lastRenderedPageBreak/>
        <w:t>Prosecutor's address or the trial judge's summing up suggested to the jury the possibility of reasoning in that way.</w:t>
      </w:r>
    </w:p>
    <w:p w14:paraId="1CA7C6CF" w14:textId="0448B574"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Second, the appellant contended that the jury should have been directed that it would be wrong to reason that any correlation between what the research had shown as to how perpetrators commit child sexual abuse, including abuse in an "intra</w:t>
      </w:r>
      <w:r w:rsidRPr="00185C1D">
        <w:rPr>
          <w:rFonts w:ascii="Times New Roman" w:hAnsi="Times New Roman"/>
        </w:rPr>
        <w:noBreakHyphen/>
        <w:t xml:space="preserve">familial" context, and how the appellant was alleged to have abused AA and BB meant that he must have committed the offences charged or was predictive of how such </w:t>
      </w:r>
      <w:r w:rsidR="00B51D61" w:rsidRPr="00185C1D">
        <w:rPr>
          <w:rFonts w:ascii="Times New Roman" w:hAnsi="Times New Roman"/>
        </w:rPr>
        <w:t xml:space="preserve">alleged </w:t>
      </w:r>
      <w:r w:rsidRPr="00185C1D">
        <w:rPr>
          <w:rFonts w:ascii="Times New Roman" w:hAnsi="Times New Roman"/>
        </w:rPr>
        <w:t xml:space="preserve">perpetrators, including the appellant, behaved. </w:t>
      </w:r>
    </w:p>
    <w:p w14:paraId="6B82AC71" w14:textId="6B676A43"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Third, the appellant contended that the jury should have been directed that it would be wrong to assume that the appellant fell within the term "intra</w:t>
      </w:r>
      <w:r w:rsidRPr="00185C1D">
        <w:rPr>
          <w:rFonts w:ascii="Times New Roman" w:hAnsi="Times New Roman"/>
        </w:rPr>
        <w:noBreakHyphen/>
        <w:t xml:space="preserve">familial" and "therefore the evidence was predictive of the conduct of the complainants and the [appellant]". </w:t>
      </w:r>
    </w:p>
    <w:p w14:paraId="0F1E6291" w14:textId="78CBBB7F"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It follows from what has been stated</w:t>
      </w:r>
      <w:r w:rsidR="00F11804" w:rsidRPr="00185C1D">
        <w:rPr>
          <w:rStyle w:val="FootnoteReference"/>
          <w:rFonts w:ascii="Times New Roman" w:hAnsi="Times New Roman"/>
          <w:sz w:val="24"/>
        </w:rPr>
        <w:footnoteReference w:id="63"/>
      </w:r>
      <w:r w:rsidRPr="00185C1D">
        <w:rPr>
          <w:rFonts w:ascii="Times New Roman" w:hAnsi="Times New Roman"/>
        </w:rPr>
        <w:t xml:space="preserve"> that it was well open to the jury to conclude that the relationship between the appellant and AA and BB fell within what Associate Professor </w:t>
      </w:r>
      <w:proofErr w:type="spellStart"/>
      <w:r w:rsidRPr="00185C1D">
        <w:rPr>
          <w:rFonts w:ascii="Times New Roman" w:hAnsi="Times New Roman"/>
        </w:rPr>
        <w:t>Shackel</w:t>
      </w:r>
      <w:proofErr w:type="spellEnd"/>
      <w:r w:rsidRPr="00185C1D">
        <w:rPr>
          <w:rFonts w:ascii="Times New Roman" w:hAnsi="Times New Roman"/>
        </w:rPr>
        <w:t xml:space="preserve"> described as "intra-familial". Otherwise, the </w:t>
      </w:r>
      <w:r w:rsidR="005F3BD8" w:rsidRPr="00185C1D">
        <w:rPr>
          <w:rFonts w:ascii="Times New Roman" w:hAnsi="Times New Roman"/>
        </w:rPr>
        <w:t xml:space="preserve">appellant's proposed direction </w:t>
      </w:r>
      <w:r w:rsidRPr="00185C1D">
        <w:rPr>
          <w:rFonts w:ascii="Times New Roman" w:hAnsi="Times New Roman"/>
        </w:rPr>
        <w:t>identifies a particular form of illegitimate reasoning that theoretically arose</w:t>
      </w:r>
      <w:r w:rsidRPr="00185C1D">
        <w:rPr>
          <w:rStyle w:val="FootnoteReference"/>
          <w:rFonts w:ascii="Times New Roman" w:hAnsi="Times New Roman"/>
          <w:sz w:val="24"/>
        </w:rPr>
        <w:footnoteReference w:id="64"/>
      </w:r>
      <w:r w:rsidRPr="00185C1D">
        <w:rPr>
          <w:rFonts w:ascii="Times New Roman" w:hAnsi="Times New Roman"/>
        </w:rPr>
        <w:t xml:space="preserve"> from</w:t>
      </w:r>
      <w:r w:rsidR="00480C65" w:rsidRPr="00185C1D">
        <w:rPr>
          <w:rFonts w:ascii="Times New Roman" w:hAnsi="Times New Roman"/>
        </w:rPr>
        <w:t xml:space="preserve"> that part</w:t>
      </w:r>
      <w:r w:rsidRPr="00185C1D">
        <w:rPr>
          <w:rFonts w:ascii="Times New Roman" w:hAnsi="Times New Roman"/>
        </w:rPr>
        <w:t xml:space="preserve"> of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 that referred to the common circumstances in which "intra</w:t>
      </w:r>
      <w:r w:rsidRPr="00185C1D">
        <w:rPr>
          <w:rFonts w:ascii="Times New Roman" w:hAnsi="Times New Roman"/>
        </w:rPr>
        <w:noBreakHyphen/>
        <w:t xml:space="preserve">familial" </w:t>
      </w:r>
      <w:r w:rsidR="003A4053" w:rsidRPr="00185C1D">
        <w:rPr>
          <w:rFonts w:ascii="Times New Roman" w:hAnsi="Times New Roman"/>
        </w:rPr>
        <w:t xml:space="preserve">child </w:t>
      </w:r>
      <w:r w:rsidRPr="00185C1D">
        <w:rPr>
          <w:rFonts w:ascii="Times New Roman" w:hAnsi="Times New Roman"/>
        </w:rPr>
        <w:t xml:space="preserve">sexual assault occurs, namely the possibility that the jury might reason that, because the respondent's case against the appellant accorded with those circumstances, the alleged sexual acts were more likely to have occurred. However, there was no realistic possibility or likelihood in this trial that the jury would have employed such illegitimate reasoning. The Crown Prosecutor's address did not make any direct or indirect appeal to such reasoning. Of particular significance is that counsel for the appellant did not seek a direction telling the jury not to adopt such reasoning. Counsel for the appellant was astute in protecting his client's interests at the trial. The failure to seek a direction to this effect during the trial is a strong </w:t>
      </w:r>
      <w:r w:rsidRPr="00185C1D">
        <w:rPr>
          <w:rFonts w:ascii="Times New Roman" w:hAnsi="Times New Roman"/>
        </w:rPr>
        <w:lastRenderedPageBreak/>
        <w:t>indication that, in the atmosphere of the appellant's trial, there was no appreciable risk of such reasoning being adopted.</w:t>
      </w:r>
      <w:r w:rsidRPr="00185C1D">
        <w:rPr>
          <w:rStyle w:val="FootnoteReference"/>
          <w:rFonts w:ascii="Times New Roman" w:hAnsi="Times New Roman"/>
          <w:sz w:val="24"/>
        </w:rPr>
        <w:footnoteReference w:id="65"/>
      </w:r>
    </w:p>
    <w:p w14:paraId="1BB7FD5D" w14:textId="77777777"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The Court of Criminal Appeal did not err in refusing the appellant leave to raise a ground of appeal contending that his trial miscarried on account of the trial judge's directions concerning the use of Associate Professor </w:t>
      </w:r>
      <w:proofErr w:type="spellStart"/>
      <w:r w:rsidRPr="00185C1D">
        <w:rPr>
          <w:rFonts w:ascii="Times New Roman" w:hAnsi="Times New Roman"/>
        </w:rPr>
        <w:t>Shackel's</w:t>
      </w:r>
      <w:proofErr w:type="spellEnd"/>
      <w:r w:rsidRPr="00185C1D">
        <w:rPr>
          <w:rFonts w:ascii="Times New Roman" w:hAnsi="Times New Roman"/>
        </w:rPr>
        <w:t xml:space="preserve"> evidence.</w:t>
      </w:r>
    </w:p>
    <w:p w14:paraId="7C7FA476" w14:textId="7FE39892" w:rsidR="00BA59BA" w:rsidRPr="00185C1D" w:rsidRDefault="00BA59BA" w:rsidP="00185C1D">
      <w:pPr>
        <w:pStyle w:val="HeadingL1"/>
        <w:spacing w:after="260" w:line="280" w:lineRule="exact"/>
        <w:ind w:right="0"/>
        <w:jc w:val="both"/>
        <w:rPr>
          <w:rFonts w:ascii="Times New Roman" w:hAnsi="Times New Roman"/>
        </w:rPr>
      </w:pPr>
      <w:r w:rsidRPr="00185C1D">
        <w:rPr>
          <w:rFonts w:ascii="Times New Roman" w:hAnsi="Times New Roman"/>
        </w:rPr>
        <w:t xml:space="preserve">Undisputed </w:t>
      </w:r>
      <w:r w:rsidR="007143EA" w:rsidRPr="00185C1D">
        <w:rPr>
          <w:rFonts w:ascii="Times New Roman" w:hAnsi="Times New Roman"/>
        </w:rPr>
        <w:t xml:space="preserve">educative </w:t>
      </w:r>
      <w:r w:rsidRPr="00185C1D">
        <w:rPr>
          <w:rFonts w:ascii="Times New Roman" w:hAnsi="Times New Roman"/>
        </w:rPr>
        <w:t>evidence</w:t>
      </w:r>
    </w:p>
    <w:p w14:paraId="47D52E3D" w14:textId="330E886B"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 xml:space="preserve">The substance of the evidence given by Associate Professor </w:t>
      </w:r>
      <w:proofErr w:type="spellStart"/>
      <w:r w:rsidRPr="00185C1D">
        <w:rPr>
          <w:rFonts w:ascii="Times New Roman" w:hAnsi="Times New Roman"/>
        </w:rPr>
        <w:t>Shackel</w:t>
      </w:r>
      <w:proofErr w:type="spellEnd"/>
      <w:r w:rsidRPr="00185C1D">
        <w:rPr>
          <w:rFonts w:ascii="Times New Roman" w:hAnsi="Times New Roman"/>
        </w:rPr>
        <w:t xml:space="preserve"> at the appellant's trial was not disputed and it is difficult to see how it could have been disputed. At the hearing of this appeal, it was queried whether the necessity to call Associate Professor </w:t>
      </w:r>
      <w:proofErr w:type="spellStart"/>
      <w:r w:rsidRPr="00185C1D">
        <w:rPr>
          <w:rFonts w:ascii="Times New Roman" w:hAnsi="Times New Roman"/>
        </w:rPr>
        <w:t>Shackel</w:t>
      </w:r>
      <w:proofErr w:type="spellEnd"/>
      <w:r w:rsidRPr="00185C1D">
        <w:rPr>
          <w:rFonts w:ascii="Times New Roman" w:hAnsi="Times New Roman"/>
        </w:rPr>
        <w:t xml:space="preserve"> could have been avoided by the parties reaching an agreement on certain facts</w:t>
      </w:r>
      <w:r w:rsidRPr="00185C1D">
        <w:rPr>
          <w:rStyle w:val="FootnoteReference"/>
          <w:rFonts w:ascii="Times New Roman" w:hAnsi="Times New Roman"/>
          <w:sz w:val="24"/>
        </w:rPr>
        <w:footnoteReference w:id="66"/>
      </w:r>
      <w:r w:rsidRPr="00185C1D">
        <w:rPr>
          <w:rFonts w:ascii="Times New Roman" w:hAnsi="Times New Roman"/>
        </w:rPr>
        <w:t xml:space="preserve"> or on directions for the trial judge to give similar to </w:t>
      </w:r>
      <w:r w:rsidRPr="00185C1D" w:rsidDel="00EA2686">
        <w:rPr>
          <w:rFonts w:ascii="Times New Roman" w:hAnsi="Times New Roman"/>
        </w:rPr>
        <w:t xml:space="preserve">those </w:t>
      </w:r>
      <w:r w:rsidRPr="00185C1D">
        <w:rPr>
          <w:rFonts w:ascii="Times New Roman" w:hAnsi="Times New Roman"/>
        </w:rPr>
        <w:t>that can be given by trial judges in New South Wales in relation to consent in sexual assault trials.</w:t>
      </w:r>
      <w:r w:rsidRPr="00185C1D">
        <w:rPr>
          <w:rStyle w:val="FootnoteReference"/>
          <w:rFonts w:ascii="Times New Roman" w:hAnsi="Times New Roman"/>
          <w:sz w:val="24"/>
        </w:rPr>
        <w:footnoteReference w:id="67"/>
      </w:r>
      <w:r w:rsidRPr="00185C1D">
        <w:rPr>
          <w:rFonts w:ascii="Times New Roman" w:hAnsi="Times New Roman"/>
        </w:rPr>
        <w:t xml:space="preserve"> The respondent resisted the use of such expedients on the basis that there may be a benefit in terms of persuading the jury not to act on any misconceptions about the </w:t>
      </w:r>
      <w:r w:rsidR="00F4042A" w:rsidRPr="00185C1D">
        <w:rPr>
          <w:rFonts w:ascii="Times New Roman" w:hAnsi="Times New Roman"/>
        </w:rPr>
        <w:t xml:space="preserve">possible </w:t>
      </w:r>
      <w:r w:rsidRPr="00185C1D">
        <w:rPr>
          <w:rFonts w:ascii="Times New Roman" w:hAnsi="Times New Roman"/>
        </w:rPr>
        <w:t>responses of victims of child sexual assault if they hear evidence from an expert witness explaining why those misconceptions are wrong</w:t>
      </w:r>
      <w:r w:rsidRPr="00185C1D" w:rsidDel="00144CD7">
        <w:rPr>
          <w:rFonts w:ascii="Times New Roman" w:hAnsi="Times New Roman"/>
        </w:rPr>
        <w:t xml:space="preserve"> </w:t>
      </w:r>
      <w:r w:rsidRPr="00185C1D">
        <w:rPr>
          <w:rFonts w:ascii="Times New Roman" w:hAnsi="Times New Roman"/>
        </w:rPr>
        <w:t xml:space="preserve">as opposed to simply being told that by counsel or a trial judge. </w:t>
      </w:r>
    </w:p>
    <w:p w14:paraId="585BBF3D" w14:textId="27EF26FC" w:rsidR="00BA59BA" w:rsidRP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Initially at least, it is a matter for the parties as to what evidence they will adduce in support of their respective cases. However, the necessity for evidence of opinions based on specialised knowledge to be presented in a form that demonstrates its admissibility</w:t>
      </w:r>
      <w:r w:rsidRPr="00185C1D">
        <w:rPr>
          <w:rStyle w:val="FootnoteReference"/>
          <w:rFonts w:ascii="Times New Roman" w:hAnsi="Times New Roman"/>
          <w:sz w:val="24"/>
        </w:rPr>
        <w:footnoteReference w:id="68"/>
      </w:r>
      <w:r w:rsidRPr="00185C1D">
        <w:rPr>
          <w:rFonts w:ascii="Times New Roman" w:hAnsi="Times New Roman"/>
        </w:rPr>
        <w:t xml:space="preserve"> means that the facts to which the opinion relates or </w:t>
      </w:r>
      <w:r w:rsidR="00CD7B51" w:rsidRPr="00185C1D">
        <w:rPr>
          <w:rFonts w:ascii="Times New Roman" w:hAnsi="Times New Roman"/>
        </w:rPr>
        <w:t xml:space="preserve">which the opinion </w:t>
      </w:r>
      <w:r w:rsidRPr="00185C1D">
        <w:rPr>
          <w:rFonts w:ascii="Times New Roman" w:hAnsi="Times New Roman"/>
        </w:rPr>
        <w:t>is adduced to establish should be clearly identified</w:t>
      </w:r>
      <w:r w:rsidR="00F427F5" w:rsidRPr="00185C1D">
        <w:rPr>
          <w:rFonts w:ascii="Times New Roman" w:hAnsi="Times New Roman"/>
        </w:rPr>
        <w:t xml:space="preserve">. </w:t>
      </w:r>
      <w:r w:rsidR="003949E1" w:rsidRPr="00185C1D">
        <w:rPr>
          <w:rFonts w:ascii="Times New Roman" w:hAnsi="Times New Roman"/>
        </w:rPr>
        <w:t>This clear identification will enable an accused</w:t>
      </w:r>
      <w:r w:rsidRPr="00185C1D">
        <w:rPr>
          <w:rFonts w:ascii="Times New Roman" w:hAnsi="Times New Roman"/>
        </w:rPr>
        <w:t>, if they so choose, to admit those facts.</w:t>
      </w:r>
      <w:r w:rsidRPr="00185C1D">
        <w:rPr>
          <w:rStyle w:val="FootnoteReference"/>
          <w:rFonts w:ascii="Times New Roman" w:hAnsi="Times New Roman"/>
          <w:sz w:val="24"/>
        </w:rPr>
        <w:footnoteReference w:id="69"/>
      </w:r>
      <w:r w:rsidRPr="00185C1D">
        <w:rPr>
          <w:rFonts w:ascii="Times New Roman" w:hAnsi="Times New Roman"/>
        </w:rPr>
        <w:t xml:space="preserve"> Leaving aside the issue as to whether or not the effect of the admission of such </w:t>
      </w:r>
      <w:r w:rsidRPr="00185C1D">
        <w:rPr>
          <w:rFonts w:ascii="Times New Roman" w:hAnsi="Times New Roman"/>
        </w:rPr>
        <w:lastRenderedPageBreak/>
        <w:t>facts removes the capacity of the prosecution to call evidence to demonstrate that those facts exist (or to clarify the admission),</w:t>
      </w:r>
      <w:r w:rsidRPr="00185C1D">
        <w:rPr>
          <w:rStyle w:val="FootnoteReference"/>
          <w:rFonts w:ascii="Times New Roman" w:hAnsi="Times New Roman"/>
          <w:sz w:val="24"/>
        </w:rPr>
        <w:footnoteReference w:id="70"/>
      </w:r>
      <w:r w:rsidRPr="00185C1D">
        <w:rPr>
          <w:rFonts w:ascii="Times New Roman" w:hAnsi="Times New Roman"/>
        </w:rPr>
        <w:t xml:space="preserve"> at the very least, such admissions w</w:t>
      </w:r>
      <w:r w:rsidR="00F37295" w:rsidRPr="00185C1D">
        <w:rPr>
          <w:rFonts w:ascii="Times New Roman" w:hAnsi="Times New Roman"/>
        </w:rPr>
        <w:t>ould</w:t>
      </w:r>
      <w:r w:rsidRPr="00185C1D">
        <w:rPr>
          <w:rFonts w:ascii="Times New Roman" w:hAnsi="Times New Roman"/>
        </w:rPr>
        <w:t xml:space="preserve"> afford greater scope for the exclusion of such evidence,</w:t>
      </w:r>
      <w:r w:rsidRPr="00185C1D">
        <w:rPr>
          <w:rStyle w:val="FootnoteReference"/>
          <w:rFonts w:ascii="Times New Roman" w:hAnsi="Times New Roman"/>
          <w:sz w:val="24"/>
        </w:rPr>
        <w:footnoteReference w:id="71"/>
      </w:r>
      <w:r w:rsidRPr="00185C1D">
        <w:rPr>
          <w:rFonts w:ascii="Times New Roman" w:hAnsi="Times New Roman"/>
        </w:rPr>
        <w:t xml:space="preserve"> especially if </w:t>
      </w:r>
      <w:r w:rsidR="00874CEB" w:rsidRPr="00185C1D">
        <w:rPr>
          <w:rFonts w:ascii="Times New Roman" w:hAnsi="Times New Roman"/>
        </w:rPr>
        <w:t>the</w:t>
      </w:r>
      <w:r w:rsidRPr="00185C1D">
        <w:rPr>
          <w:rFonts w:ascii="Times New Roman" w:hAnsi="Times New Roman"/>
        </w:rPr>
        <w:t xml:space="preserve"> probative value</w:t>
      </w:r>
      <w:r w:rsidR="00874CEB" w:rsidRPr="00185C1D">
        <w:rPr>
          <w:rFonts w:ascii="Times New Roman" w:hAnsi="Times New Roman"/>
        </w:rPr>
        <w:t xml:space="preserve"> of the evidence</w:t>
      </w:r>
      <w:r w:rsidRPr="00185C1D">
        <w:rPr>
          <w:rFonts w:ascii="Times New Roman" w:hAnsi="Times New Roman"/>
        </w:rPr>
        <w:t xml:space="preserve"> is outweighed by the danger that the evidence will be unfairly prejudicial to the accused</w:t>
      </w:r>
      <w:r w:rsidR="0040182D" w:rsidRPr="00185C1D">
        <w:rPr>
          <w:rStyle w:val="FootnoteReference"/>
          <w:rFonts w:ascii="Times New Roman" w:hAnsi="Times New Roman"/>
          <w:sz w:val="24"/>
        </w:rPr>
        <w:footnoteReference w:id="72"/>
      </w:r>
      <w:r w:rsidRPr="00185C1D">
        <w:rPr>
          <w:rFonts w:ascii="Times New Roman" w:hAnsi="Times New Roman"/>
        </w:rPr>
        <w:t xml:space="preserve"> or </w:t>
      </w:r>
      <w:r w:rsidR="00FE0AC6" w:rsidRPr="00185C1D">
        <w:rPr>
          <w:rFonts w:ascii="Times New Roman" w:hAnsi="Times New Roman"/>
        </w:rPr>
        <w:t>might</w:t>
      </w:r>
      <w:r w:rsidRPr="00185C1D">
        <w:rPr>
          <w:rFonts w:ascii="Times New Roman" w:hAnsi="Times New Roman"/>
        </w:rPr>
        <w:t xml:space="preserve"> cause or result in undue waste of time.</w:t>
      </w:r>
      <w:r w:rsidRPr="00185C1D">
        <w:rPr>
          <w:rStyle w:val="FootnoteReference"/>
          <w:rFonts w:ascii="Times New Roman" w:hAnsi="Times New Roman"/>
          <w:sz w:val="24"/>
        </w:rPr>
        <w:footnoteReference w:id="73"/>
      </w:r>
      <w:r w:rsidRPr="00185C1D">
        <w:rPr>
          <w:rFonts w:ascii="Times New Roman" w:hAnsi="Times New Roman"/>
        </w:rPr>
        <w:t xml:space="preserve"> Further, in a case such as this where the expert evidence adduced was also credibility evidence, then, as noted, to be adduced the evidence requires a grant of leave from the Court.</w:t>
      </w:r>
      <w:r w:rsidRPr="00185C1D">
        <w:rPr>
          <w:rStyle w:val="FootnoteReference"/>
          <w:rFonts w:ascii="Times New Roman" w:hAnsi="Times New Roman"/>
          <w:sz w:val="24"/>
        </w:rPr>
        <w:footnoteReference w:id="74"/>
      </w:r>
      <w:r w:rsidRPr="00185C1D">
        <w:rPr>
          <w:rFonts w:ascii="Times New Roman" w:hAnsi="Times New Roman"/>
        </w:rPr>
        <w:t xml:space="preserve"> Such leave can be granted on condition,</w:t>
      </w:r>
      <w:r w:rsidRPr="00185C1D">
        <w:rPr>
          <w:rStyle w:val="FootnoteReference"/>
          <w:rFonts w:ascii="Times New Roman" w:hAnsi="Times New Roman"/>
          <w:sz w:val="24"/>
        </w:rPr>
        <w:footnoteReference w:id="75"/>
      </w:r>
      <w:r w:rsidRPr="00185C1D">
        <w:rPr>
          <w:rFonts w:ascii="Times New Roman" w:hAnsi="Times New Roman"/>
        </w:rPr>
        <w:t xml:space="preserve"> and an assessment of whether to grant such leave requires consideration of, inter alia, the effect of adducing the evidence on the length of the trial and the importance and effect of the evidence.</w:t>
      </w:r>
      <w:r w:rsidRPr="00185C1D">
        <w:rPr>
          <w:rStyle w:val="FootnoteReference"/>
          <w:rFonts w:ascii="Times New Roman" w:hAnsi="Times New Roman"/>
          <w:sz w:val="24"/>
        </w:rPr>
        <w:footnoteReference w:id="76"/>
      </w:r>
      <w:r w:rsidRPr="00185C1D">
        <w:rPr>
          <w:rFonts w:ascii="Times New Roman" w:hAnsi="Times New Roman"/>
        </w:rPr>
        <w:t xml:space="preserve"> For these reasons, any suggestion, if it was made, that the prosecution has an unfettered licence to adduce evidence of the kind given by Associate Professor </w:t>
      </w:r>
      <w:proofErr w:type="spellStart"/>
      <w:r w:rsidRPr="00185C1D">
        <w:rPr>
          <w:rFonts w:ascii="Times New Roman" w:hAnsi="Times New Roman"/>
        </w:rPr>
        <w:t>Shackel</w:t>
      </w:r>
      <w:proofErr w:type="spellEnd"/>
      <w:r w:rsidR="000F65FE" w:rsidRPr="00185C1D">
        <w:rPr>
          <w:rFonts w:ascii="Times New Roman" w:hAnsi="Times New Roman"/>
        </w:rPr>
        <w:t xml:space="preserve"> </w:t>
      </w:r>
      <w:r w:rsidRPr="00185C1D">
        <w:rPr>
          <w:rFonts w:ascii="Times New Roman" w:hAnsi="Times New Roman"/>
        </w:rPr>
        <w:t xml:space="preserve">should not be accepted. </w:t>
      </w:r>
    </w:p>
    <w:p w14:paraId="52C46246" w14:textId="77777777" w:rsidR="00BA59BA" w:rsidRPr="00185C1D" w:rsidRDefault="00BA59BA" w:rsidP="00185C1D">
      <w:pPr>
        <w:pStyle w:val="HeadingL1"/>
        <w:spacing w:after="260" w:line="280" w:lineRule="exact"/>
        <w:ind w:right="0"/>
        <w:jc w:val="both"/>
        <w:rPr>
          <w:rFonts w:ascii="Times New Roman" w:hAnsi="Times New Roman"/>
        </w:rPr>
      </w:pPr>
      <w:r w:rsidRPr="00185C1D">
        <w:rPr>
          <w:rFonts w:ascii="Times New Roman" w:hAnsi="Times New Roman"/>
        </w:rPr>
        <w:t>Relief</w:t>
      </w:r>
    </w:p>
    <w:p w14:paraId="24402FE0" w14:textId="77777777" w:rsidR="00185C1D" w:rsidRDefault="00BA59BA" w:rsidP="00185C1D">
      <w:pPr>
        <w:pStyle w:val="FixListStyle"/>
        <w:spacing w:after="260" w:line="280" w:lineRule="exact"/>
        <w:ind w:right="0"/>
        <w:jc w:val="both"/>
        <w:rPr>
          <w:rFonts w:ascii="Times New Roman" w:hAnsi="Times New Roman"/>
        </w:rPr>
      </w:pPr>
      <w:r w:rsidRPr="00185C1D">
        <w:rPr>
          <w:rFonts w:ascii="Times New Roman" w:hAnsi="Times New Roman"/>
        </w:rPr>
        <w:tab/>
        <w:t>The appeal should be dismissed.</w:t>
      </w:r>
    </w:p>
    <w:p w14:paraId="7EA8A865" w14:textId="77777777" w:rsidR="00A552D7" w:rsidRDefault="00A552D7" w:rsidP="00455EEC">
      <w:pPr>
        <w:pStyle w:val="FixListStyle"/>
        <w:numPr>
          <w:ilvl w:val="0"/>
          <w:numId w:val="0"/>
        </w:numPr>
        <w:spacing w:after="260" w:line="280" w:lineRule="exact"/>
        <w:ind w:right="0"/>
        <w:jc w:val="both"/>
        <w:rPr>
          <w:rFonts w:ascii="Times New Roman" w:hAnsi="Times New Roman"/>
        </w:rPr>
        <w:sectPr w:rsidR="00A552D7" w:rsidSect="006E0B5E">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42342BB6" w14:textId="056C3BD6" w:rsidR="00A73989" w:rsidRPr="00185C1D" w:rsidRDefault="00A73989" w:rsidP="00A552D7">
      <w:pPr>
        <w:pStyle w:val="NormalBody"/>
      </w:pPr>
    </w:p>
    <w:sectPr w:rsidR="00A73989" w:rsidRPr="00185C1D" w:rsidSect="00A552D7">
      <w:headerReference w:type="first" r:id="rId23"/>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8ECA" w14:textId="77777777" w:rsidR="00ED0C58" w:rsidRDefault="00ED0C58">
      <w:pPr>
        <w:spacing w:line="240" w:lineRule="auto"/>
      </w:pPr>
      <w:r>
        <w:separator/>
      </w:r>
    </w:p>
  </w:endnote>
  <w:endnote w:type="continuationSeparator" w:id="0">
    <w:p w14:paraId="54ED3126" w14:textId="77777777" w:rsidR="00ED0C58" w:rsidRDefault="00ED0C58">
      <w:pPr>
        <w:spacing w:line="240" w:lineRule="auto"/>
      </w:pPr>
      <w:r>
        <w:continuationSeparator/>
      </w:r>
    </w:p>
  </w:endnote>
  <w:endnote w:type="continuationNotice" w:id="1">
    <w:p w14:paraId="0D5C7310" w14:textId="77777777" w:rsidR="00ED0C58" w:rsidRDefault="00ED0C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5709" w14:textId="77777777" w:rsidR="006E0B5E" w:rsidRDefault="006E0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FD35" w14:textId="77777777" w:rsidR="006E0B5E" w:rsidRDefault="006E0B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190D" w14:textId="77777777" w:rsidR="006E0B5E" w:rsidRDefault="006E0B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E3CF" w14:textId="77777777" w:rsidR="006E0B5E" w:rsidRDefault="006E0B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5FCE" w14:textId="77777777" w:rsidR="006E0B5E" w:rsidRDefault="006E0B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428C" w14:textId="77777777" w:rsidR="006E0B5E" w:rsidRDefault="006E0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A9A9" w14:textId="77777777" w:rsidR="00ED0C58" w:rsidRPr="00185C1D" w:rsidRDefault="00ED0C58" w:rsidP="00185C1D">
      <w:pPr>
        <w:pStyle w:val="Footer"/>
        <w:spacing w:before="120" w:after="20"/>
        <w:ind w:right="0"/>
        <w:rPr>
          <w:rFonts w:ascii="Times New Roman" w:hAnsi="Times New Roman"/>
        </w:rPr>
      </w:pPr>
      <w:r>
        <w:continuationSeparator/>
      </w:r>
    </w:p>
  </w:footnote>
  <w:footnote w:type="continuationSeparator" w:id="0">
    <w:p w14:paraId="6FBAE802" w14:textId="77777777" w:rsidR="00ED0C58" w:rsidRPr="00185C1D" w:rsidRDefault="00ED0C58" w:rsidP="00185C1D">
      <w:pPr>
        <w:pStyle w:val="Footer"/>
        <w:spacing w:before="120" w:after="20"/>
        <w:ind w:right="0"/>
        <w:rPr>
          <w:rFonts w:ascii="Times New Roman" w:hAnsi="Times New Roman"/>
        </w:rPr>
      </w:pPr>
      <w:r w:rsidRPr="00185C1D">
        <w:rPr>
          <w:rFonts w:ascii="Times New Roman" w:hAnsi="Times New Roman"/>
        </w:rPr>
        <w:continuationSeparator/>
      </w:r>
    </w:p>
  </w:footnote>
  <w:footnote w:type="continuationNotice" w:id="1">
    <w:p w14:paraId="34614226" w14:textId="77777777" w:rsidR="00ED0C58" w:rsidRPr="00A552D7" w:rsidRDefault="00ED0C58">
      <w:pPr>
        <w:jc w:val="right"/>
        <w:rPr>
          <w:rFonts w:ascii="Times New Roman" w:hAnsi="Times New Roman"/>
          <w:sz w:val="24"/>
        </w:rPr>
      </w:pPr>
    </w:p>
  </w:footnote>
  <w:footnote w:id="2">
    <w:p w14:paraId="4F77ADC3"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 xml:space="preserve">The publication of the identity of AA or BB or any information that is likely to lead to their identification is prohibited: </w:t>
      </w:r>
      <w:r w:rsidRPr="00185C1D">
        <w:rPr>
          <w:rFonts w:ascii="Times New Roman" w:hAnsi="Times New Roman"/>
          <w:i/>
          <w:iCs/>
          <w:sz w:val="24"/>
        </w:rPr>
        <w:t xml:space="preserve">Crimes Act 1900 </w:t>
      </w:r>
      <w:r w:rsidRPr="00185C1D">
        <w:rPr>
          <w:rFonts w:ascii="Times New Roman" w:hAnsi="Times New Roman"/>
          <w:sz w:val="24"/>
        </w:rPr>
        <w:t xml:space="preserve">(NSW), s 578A(2); </w:t>
      </w:r>
      <w:r w:rsidRPr="00185C1D">
        <w:rPr>
          <w:rFonts w:ascii="Times New Roman" w:hAnsi="Times New Roman"/>
          <w:i/>
          <w:iCs/>
          <w:sz w:val="24"/>
        </w:rPr>
        <w:t xml:space="preserve">Children (Criminal Proceedings) Act 1987 </w:t>
      </w:r>
      <w:r w:rsidRPr="00185C1D">
        <w:rPr>
          <w:rFonts w:ascii="Times New Roman" w:hAnsi="Times New Roman"/>
          <w:sz w:val="24"/>
        </w:rPr>
        <w:t>(NSW), s 15A(1)(a).</w:t>
      </w:r>
    </w:p>
  </w:footnote>
  <w:footnote w:id="3">
    <w:p w14:paraId="0B32BF3B" w14:textId="4BF6E9E3"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 xml:space="preserve">BQ v The King </w:t>
      </w:r>
      <w:r w:rsidRPr="00185C1D">
        <w:rPr>
          <w:rFonts w:ascii="Times New Roman" w:hAnsi="Times New Roman"/>
          <w:sz w:val="24"/>
        </w:rPr>
        <w:t xml:space="preserve">[2023] NSWCCA 34 at [23]. </w:t>
      </w:r>
    </w:p>
  </w:footnote>
  <w:footnote w:id="4">
    <w:p w14:paraId="187C38D3" w14:textId="0B731BFC" w:rsidR="00023A92" w:rsidRPr="00185C1D" w:rsidRDefault="00023A92"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See above at [11]</w:t>
      </w:r>
      <w:r w:rsidR="000C5EA4" w:rsidRPr="00185C1D">
        <w:rPr>
          <w:rFonts w:ascii="Times New Roman" w:hAnsi="Times New Roman"/>
          <w:sz w:val="24"/>
        </w:rPr>
        <w:t>.</w:t>
      </w:r>
    </w:p>
  </w:footnote>
  <w:footnote w:id="5">
    <w:p w14:paraId="34DEF28E" w14:textId="2EC21F2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(2022) 110 NSWLR 317.</w:t>
      </w:r>
    </w:p>
  </w:footnote>
  <w:footnote w:id="6">
    <w:p w14:paraId="680C0D4C" w14:textId="12B9E9CA"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 xml:space="preserve">(2022) 110 NSWLR 339; see </w:t>
      </w:r>
      <w:r w:rsidRPr="00185C1D">
        <w:rPr>
          <w:rFonts w:ascii="Times New Roman" w:hAnsi="Times New Roman"/>
          <w:i/>
          <w:iCs/>
          <w:sz w:val="24"/>
        </w:rPr>
        <w:t xml:space="preserve">BQ </w:t>
      </w:r>
      <w:r w:rsidRPr="00185C1D">
        <w:rPr>
          <w:rFonts w:ascii="Times New Roman" w:hAnsi="Times New Roman"/>
          <w:sz w:val="24"/>
        </w:rPr>
        <w:t>[2023] NSWCCA 34 at [4]-[5], [216]-[217], [220].</w:t>
      </w:r>
    </w:p>
  </w:footnote>
  <w:footnote w:id="7">
    <w:p w14:paraId="3167030A" w14:textId="0CB60913"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Aziz</w:t>
      </w:r>
      <w:r w:rsidRPr="00185C1D">
        <w:rPr>
          <w:rFonts w:ascii="Times New Roman" w:hAnsi="Times New Roman"/>
          <w:sz w:val="24"/>
        </w:rPr>
        <w:t xml:space="preserve"> (2022) 110 NSWLR 317 at 333 [80], 335 [92], 338 [109]</w:t>
      </w:r>
      <w:r w:rsidR="004B70CF" w:rsidRPr="00185C1D">
        <w:rPr>
          <w:rFonts w:ascii="Times New Roman" w:hAnsi="Times New Roman"/>
          <w:sz w:val="24"/>
        </w:rPr>
        <w:t>;</w:t>
      </w:r>
      <w:r w:rsidRPr="00185C1D">
        <w:rPr>
          <w:rFonts w:ascii="Times New Roman" w:hAnsi="Times New Roman"/>
          <w:sz w:val="24"/>
        </w:rPr>
        <w:t xml:space="preserve"> see also at 338 [105], [107].</w:t>
      </w:r>
    </w:p>
  </w:footnote>
  <w:footnote w:id="8">
    <w:p w14:paraId="57EC55B9"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AJ</w:t>
      </w:r>
      <w:r w:rsidRPr="00185C1D">
        <w:rPr>
          <w:rFonts w:ascii="Times New Roman" w:hAnsi="Times New Roman"/>
          <w:sz w:val="24"/>
        </w:rPr>
        <w:t xml:space="preserve"> (2022) 110 NSWLR 339 at 359-360 [82]-[85], 370 [130],</w:t>
      </w:r>
      <w:r w:rsidRPr="00185C1D" w:rsidDel="00385671">
        <w:rPr>
          <w:rFonts w:ascii="Times New Roman" w:hAnsi="Times New Roman"/>
          <w:sz w:val="24"/>
        </w:rPr>
        <w:t xml:space="preserve"> </w:t>
      </w:r>
      <w:r w:rsidRPr="00185C1D">
        <w:rPr>
          <w:rFonts w:ascii="Times New Roman" w:hAnsi="Times New Roman"/>
          <w:sz w:val="24"/>
        </w:rPr>
        <w:t>376 [162], 378 [170].</w:t>
      </w:r>
    </w:p>
  </w:footnote>
  <w:footnote w:id="9">
    <w:p w14:paraId="20A171CD"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 xml:space="preserve">BQ </w:t>
      </w:r>
      <w:r w:rsidRPr="00185C1D">
        <w:rPr>
          <w:rFonts w:ascii="Times New Roman" w:hAnsi="Times New Roman"/>
          <w:sz w:val="24"/>
        </w:rPr>
        <w:t xml:space="preserve">[2023] NSWCCA 34 at [221]-[222]. </w:t>
      </w:r>
    </w:p>
  </w:footnote>
  <w:footnote w:id="10">
    <w:p w14:paraId="6C9785E9" w14:textId="66AE021C"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 xml:space="preserve">BQ </w:t>
      </w:r>
      <w:r w:rsidRPr="00185C1D">
        <w:rPr>
          <w:rFonts w:ascii="Times New Roman" w:hAnsi="Times New Roman"/>
          <w:sz w:val="24"/>
        </w:rPr>
        <w:t xml:space="preserve">[2023] NSWCCA 34 at [234]-[239]. </w:t>
      </w:r>
    </w:p>
  </w:footnote>
  <w:footnote w:id="11">
    <w:p w14:paraId="0BF91D94"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BQ</w:t>
      </w:r>
      <w:r w:rsidRPr="00185C1D">
        <w:rPr>
          <w:rFonts w:ascii="Times New Roman" w:hAnsi="Times New Roman"/>
          <w:sz w:val="24"/>
        </w:rPr>
        <w:t xml:space="preserve"> [2023] NSWCCA 34 at [240].</w:t>
      </w:r>
    </w:p>
  </w:footnote>
  <w:footnote w:id="12">
    <w:p w14:paraId="6EF079D3"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BQ</w:t>
      </w:r>
      <w:r w:rsidRPr="00185C1D">
        <w:rPr>
          <w:rFonts w:ascii="Times New Roman" w:hAnsi="Times New Roman"/>
          <w:sz w:val="24"/>
        </w:rPr>
        <w:t xml:space="preserve"> [2023] NSWCCA 34 at [223],</w:t>
      </w:r>
      <w:r w:rsidRPr="00185C1D" w:rsidDel="006D4E90">
        <w:rPr>
          <w:rFonts w:ascii="Times New Roman" w:hAnsi="Times New Roman"/>
          <w:sz w:val="24"/>
        </w:rPr>
        <w:t xml:space="preserve"> </w:t>
      </w:r>
      <w:r w:rsidRPr="00185C1D">
        <w:rPr>
          <w:rFonts w:ascii="Times New Roman" w:hAnsi="Times New Roman"/>
          <w:sz w:val="24"/>
        </w:rPr>
        <w:t>[237].</w:t>
      </w:r>
    </w:p>
  </w:footnote>
  <w:footnote w:id="13">
    <w:p w14:paraId="1A7E834C"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BQ</w:t>
      </w:r>
      <w:r w:rsidRPr="00185C1D">
        <w:rPr>
          <w:rFonts w:ascii="Times New Roman" w:hAnsi="Times New Roman"/>
          <w:sz w:val="24"/>
        </w:rPr>
        <w:t xml:space="preserve"> [2023] NSWCCA 34 at [276].</w:t>
      </w:r>
    </w:p>
  </w:footnote>
  <w:footnote w:id="14">
    <w:p w14:paraId="027FC6F7"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 1995</w:t>
      </w:r>
      <w:r w:rsidRPr="00185C1D">
        <w:rPr>
          <w:rFonts w:ascii="Times New Roman" w:hAnsi="Times New Roman"/>
          <w:sz w:val="24"/>
        </w:rPr>
        <w:t xml:space="preserve"> (NSW), </w:t>
      </w:r>
      <w:r w:rsidRPr="00185C1D" w:rsidDel="00891D6F">
        <w:rPr>
          <w:rFonts w:ascii="Times New Roman" w:hAnsi="Times New Roman"/>
          <w:sz w:val="24"/>
        </w:rPr>
        <w:t>s</w:t>
      </w:r>
      <w:r w:rsidRPr="00185C1D">
        <w:rPr>
          <w:rFonts w:ascii="Times New Roman" w:hAnsi="Times New Roman"/>
          <w:sz w:val="24"/>
        </w:rPr>
        <w:t> 101A(a).</w:t>
      </w:r>
    </w:p>
  </w:footnote>
  <w:footnote w:id="15">
    <w:p w14:paraId="7B00A8B9"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 s 56(1).</w:t>
      </w:r>
    </w:p>
  </w:footnote>
  <w:footnote w:id="16">
    <w:p w14:paraId="6355CDD9"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 s 55(1).</w:t>
      </w:r>
    </w:p>
  </w:footnote>
  <w:footnote w:id="17">
    <w:p w14:paraId="6DC6EC59"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 s 55(2)(a).</w:t>
      </w:r>
    </w:p>
  </w:footnote>
  <w:footnote w:id="18">
    <w:p w14:paraId="03660F77"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w:t>
      </w:r>
      <w:r w:rsidRPr="00185C1D">
        <w:rPr>
          <w:rFonts w:ascii="Times New Roman" w:hAnsi="Times New Roman"/>
          <w:i/>
          <w:iCs/>
          <w:sz w:val="24"/>
        </w:rPr>
        <w:t xml:space="preserve"> </w:t>
      </w:r>
      <w:r w:rsidRPr="00185C1D">
        <w:rPr>
          <w:rFonts w:ascii="Times New Roman" w:hAnsi="Times New Roman"/>
          <w:sz w:val="24"/>
        </w:rPr>
        <w:t>s 76(1).</w:t>
      </w:r>
    </w:p>
  </w:footnote>
  <w:footnote w:id="19">
    <w:p w14:paraId="7D6C08E4"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 s 102.</w:t>
      </w:r>
    </w:p>
  </w:footnote>
  <w:footnote w:id="20">
    <w:p w14:paraId="349E09AA"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 ss 79(1), 108C(1)(a)-(b)(</w:t>
      </w:r>
      <w:r w:rsidRPr="00185C1D">
        <w:rPr>
          <w:rFonts w:ascii="Times New Roman" w:hAnsi="Times New Roman"/>
          <w:sz w:val="24"/>
        </w:rPr>
        <w:t>i).</w:t>
      </w:r>
    </w:p>
  </w:footnote>
  <w:footnote w:id="21">
    <w:p w14:paraId="2DE59BE5"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 s 108C(1)(b)(ii).</w:t>
      </w:r>
    </w:p>
  </w:footnote>
  <w:footnote w:id="22">
    <w:p w14:paraId="5C9A7190"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 s 108C(1)(c).</w:t>
      </w:r>
    </w:p>
  </w:footnote>
  <w:footnote w:id="23">
    <w:p w14:paraId="2C038532"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 ss 79(2), 108</w:t>
      </w:r>
      <w:r w:rsidRPr="00185C1D">
        <w:rPr>
          <w:rFonts w:ascii="Times New Roman" w:hAnsi="Times New Roman"/>
          <w:sz w:val="24"/>
        </w:rPr>
        <w:t>C(2).</w:t>
      </w:r>
    </w:p>
  </w:footnote>
  <w:footnote w:id="24">
    <w:p w14:paraId="1E198783" w14:textId="43E5E1E5"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 xml:space="preserve">By the </w:t>
      </w:r>
      <w:r w:rsidRPr="00185C1D">
        <w:rPr>
          <w:rFonts w:ascii="Times New Roman" w:hAnsi="Times New Roman"/>
          <w:i/>
          <w:iCs/>
          <w:sz w:val="24"/>
        </w:rPr>
        <w:t xml:space="preserve">Evidence Amendment Act 2007 </w:t>
      </w:r>
      <w:r w:rsidRPr="00185C1D">
        <w:rPr>
          <w:rFonts w:ascii="Times New Roman" w:hAnsi="Times New Roman"/>
          <w:sz w:val="24"/>
        </w:rPr>
        <w:t>(NSW), Sch 1 [34], [51], with effect from 1</w:t>
      </w:r>
      <w:r w:rsidR="00746768">
        <w:rPr>
          <w:rFonts w:ascii="Times New Roman" w:hAnsi="Times New Roman"/>
          <w:sz w:val="24"/>
        </w:rPr>
        <w:t> </w:t>
      </w:r>
      <w:r w:rsidRPr="00185C1D">
        <w:rPr>
          <w:rFonts w:ascii="Times New Roman" w:hAnsi="Times New Roman"/>
          <w:sz w:val="24"/>
        </w:rPr>
        <w:t>January 2009</w:t>
      </w:r>
      <w:r w:rsidR="00FB0EFB" w:rsidRPr="00185C1D">
        <w:rPr>
          <w:rFonts w:ascii="Times New Roman" w:hAnsi="Times New Roman"/>
          <w:sz w:val="24"/>
        </w:rPr>
        <w:t>.</w:t>
      </w:r>
      <w:r w:rsidRPr="00185C1D">
        <w:rPr>
          <w:rFonts w:ascii="Times New Roman" w:hAnsi="Times New Roman"/>
          <w:sz w:val="24"/>
        </w:rPr>
        <w:t xml:space="preserve"> </w:t>
      </w:r>
      <w:r w:rsidR="00FB0EFB" w:rsidRPr="00185C1D">
        <w:rPr>
          <w:rFonts w:ascii="Times New Roman" w:hAnsi="Times New Roman"/>
          <w:sz w:val="24"/>
        </w:rPr>
        <w:t>T</w:t>
      </w:r>
      <w:r w:rsidRPr="00185C1D">
        <w:rPr>
          <w:rFonts w:ascii="Times New Roman" w:hAnsi="Times New Roman"/>
          <w:sz w:val="24"/>
        </w:rPr>
        <w:t xml:space="preserve">he corresponding provisions in the </w:t>
      </w:r>
      <w:r w:rsidRPr="00185C1D">
        <w:rPr>
          <w:rFonts w:ascii="Times New Roman" w:hAnsi="Times New Roman"/>
          <w:i/>
          <w:iCs/>
          <w:sz w:val="24"/>
        </w:rPr>
        <w:t xml:space="preserve">Evidence Act 2008 </w:t>
      </w:r>
      <w:r w:rsidRPr="00185C1D">
        <w:rPr>
          <w:rFonts w:ascii="Times New Roman" w:hAnsi="Times New Roman"/>
          <w:sz w:val="24"/>
        </w:rPr>
        <w:t xml:space="preserve">(Vic) were </w:t>
      </w:r>
      <w:r w:rsidR="00D37F9C" w:rsidRPr="00185C1D">
        <w:rPr>
          <w:rFonts w:ascii="Times New Roman" w:hAnsi="Times New Roman"/>
          <w:sz w:val="24"/>
        </w:rPr>
        <w:t>created</w:t>
      </w:r>
      <w:r w:rsidRPr="00185C1D">
        <w:rPr>
          <w:rFonts w:ascii="Times New Roman" w:hAnsi="Times New Roman"/>
          <w:sz w:val="24"/>
        </w:rPr>
        <w:t xml:space="preserve"> by the enactment of that Act</w:t>
      </w:r>
      <w:r w:rsidR="00CF2902" w:rsidRPr="00185C1D">
        <w:rPr>
          <w:rFonts w:ascii="Times New Roman" w:hAnsi="Times New Roman"/>
          <w:sz w:val="24"/>
        </w:rPr>
        <w:t>, which</w:t>
      </w:r>
      <w:r w:rsidR="00D402E5" w:rsidRPr="00185C1D">
        <w:rPr>
          <w:rFonts w:ascii="Times New Roman" w:hAnsi="Times New Roman"/>
          <w:sz w:val="24"/>
        </w:rPr>
        <w:t xml:space="preserve"> </w:t>
      </w:r>
      <w:r w:rsidR="001D31F6" w:rsidRPr="00185C1D">
        <w:rPr>
          <w:rFonts w:ascii="Times New Roman" w:hAnsi="Times New Roman"/>
          <w:sz w:val="24"/>
        </w:rPr>
        <w:t xml:space="preserve">relevantly came into operation </w:t>
      </w:r>
      <w:r w:rsidRPr="00185C1D">
        <w:rPr>
          <w:rFonts w:ascii="Times New Roman" w:hAnsi="Times New Roman"/>
          <w:sz w:val="24"/>
        </w:rPr>
        <w:t>on</w:t>
      </w:r>
      <w:r w:rsidR="007E7D5E" w:rsidRPr="00185C1D">
        <w:rPr>
          <w:rFonts w:ascii="Times New Roman" w:hAnsi="Times New Roman"/>
          <w:sz w:val="24"/>
        </w:rPr>
        <w:t xml:space="preserve"> 1</w:t>
      </w:r>
      <w:r w:rsidR="00FC37DA">
        <w:rPr>
          <w:rFonts w:ascii="Times New Roman" w:hAnsi="Times New Roman"/>
          <w:sz w:val="24"/>
        </w:rPr>
        <w:t> </w:t>
      </w:r>
      <w:r w:rsidR="007E7D5E" w:rsidRPr="00185C1D">
        <w:rPr>
          <w:rFonts w:ascii="Times New Roman" w:hAnsi="Times New Roman"/>
          <w:sz w:val="24"/>
        </w:rPr>
        <w:t>January 2010</w:t>
      </w:r>
      <w:r w:rsidRPr="00185C1D">
        <w:rPr>
          <w:rFonts w:ascii="Times New Roman" w:hAnsi="Times New Roman"/>
          <w:sz w:val="24"/>
        </w:rPr>
        <w:t xml:space="preserve">. </w:t>
      </w:r>
    </w:p>
  </w:footnote>
  <w:footnote w:id="25">
    <w:p w14:paraId="547076D8" w14:textId="42671CB2"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Australian Law Reform Commission, New South Wales Law Reform Commission</w:t>
      </w:r>
      <w:r w:rsidR="00253BB2" w:rsidRPr="00185C1D">
        <w:rPr>
          <w:rFonts w:ascii="Times New Roman" w:hAnsi="Times New Roman"/>
          <w:sz w:val="24"/>
        </w:rPr>
        <w:t xml:space="preserve"> and</w:t>
      </w:r>
      <w:r w:rsidRPr="00185C1D">
        <w:rPr>
          <w:rFonts w:ascii="Times New Roman" w:hAnsi="Times New Roman"/>
          <w:sz w:val="24"/>
        </w:rPr>
        <w:t xml:space="preserve"> Victorian Law Reform Commission, </w:t>
      </w:r>
      <w:r w:rsidRPr="00185C1D">
        <w:rPr>
          <w:rFonts w:ascii="Times New Roman" w:hAnsi="Times New Roman"/>
          <w:i/>
          <w:iCs/>
          <w:sz w:val="24"/>
        </w:rPr>
        <w:t>Uniform Evidence Law</w:t>
      </w:r>
      <w:r w:rsidRPr="00185C1D">
        <w:rPr>
          <w:rFonts w:ascii="Times New Roman" w:hAnsi="Times New Roman"/>
          <w:sz w:val="24"/>
        </w:rPr>
        <w:t>, Report (2005)</w:t>
      </w:r>
      <w:r w:rsidRPr="00185C1D">
        <w:rPr>
          <w:rFonts w:ascii="Times New Roman" w:hAnsi="Times New Roman"/>
          <w:i/>
          <w:iCs/>
          <w:sz w:val="24"/>
        </w:rPr>
        <w:t xml:space="preserve"> </w:t>
      </w:r>
      <w:r w:rsidRPr="00185C1D">
        <w:rPr>
          <w:rFonts w:ascii="Times New Roman" w:hAnsi="Times New Roman"/>
          <w:sz w:val="24"/>
        </w:rPr>
        <w:t>("ALRC</w:t>
      </w:r>
      <w:r w:rsidRPr="00185C1D">
        <w:rPr>
          <w:rFonts w:ascii="Times New Roman" w:hAnsi="Times New Roman"/>
          <w:i/>
          <w:iCs/>
          <w:sz w:val="24"/>
        </w:rPr>
        <w:t xml:space="preserve"> </w:t>
      </w:r>
      <w:r w:rsidRPr="00185C1D">
        <w:rPr>
          <w:rFonts w:ascii="Times New Roman" w:hAnsi="Times New Roman"/>
          <w:sz w:val="24"/>
        </w:rPr>
        <w:t>Report") at 29 [9</w:t>
      </w:r>
      <w:r w:rsidRPr="00185C1D">
        <w:rPr>
          <w:rFonts w:ascii="Times New Roman" w:hAnsi="Times New Roman"/>
          <w:sz w:val="24"/>
        </w:rPr>
        <w:noBreakHyphen/>
        <w:t>1], 31 [12-7].</w:t>
      </w:r>
    </w:p>
  </w:footnote>
  <w:footnote w:id="26">
    <w:p w14:paraId="798C1688"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See ALRC Report at 314-320 [9.138]</w:t>
      </w:r>
      <w:r w:rsidRPr="00185C1D">
        <w:rPr>
          <w:rFonts w:ascii="Times New Roman" w:hAnsi="Times New Roman"/>
          <w:sz w:val="24"/>
        </w:rPr>
        <w:t>-[9.158].</w:t>
      </w:r>
    </w:p>
  </w:footnote>
  <w:footnote w:id="27">
    <w:p w14:paraId="0E4945FD"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ALRC</w:t>
      </w:r>
      <w:r w:rsidRPr="00185C1D">
        <w:rPr>
          <w:rFonts w:ascii="Times New Roman" w:hAnsi="Times New Roman"/>
          <w:i/>
          <w:iCs/>
          <w:sz w:val="24"/>
        </w:rPr>
        <w:t xml:space="preserve"> </w:t>
      </w:r>
      <w:r w:rsidRPr="00185C1D">
        <w:rPr>
          <w:rFonts w:ascii="Times New Roman" w:hAnsi="Times New Roman"/>
          <w:sz w:val="24"/>
        </w:rPr>
        <w:t>Report at 314-315 [9.139].</w:t>
      </w:r>
    </w:p>
  </w:footnote>
  <w:footnote w:id="28">
    <w:p w14:paraId="2C0EA1A6"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ALRC Report</w:t>
      </w:r>
      <w:r w:rsidRPr="00185C1D">
        <w:rPr>
          <w:rFonts w:ascii="Times New Roman" w:hAnsi="Times New Roman"/>
          <w:i/>
          <w:iCs/>
          <w:sz w:val="24"/>
        </w:rPr>
        <w:t xml:space="preserve"> </w:t>
      </w:r>
      <w:r w:rsidRPr="00185C1D">
        <w:rPr>
          <w:rFonts w:ascii="Times New Roman" w:hAnsi="Times New Roman"/>
          <w:sz w:val="24"/>
        </w:rPr>
        <w:t>at 316 [9.144], 319 [9.156].</w:t>
      </w:r>
    </w:p>
  </w:footnote>
  <w:footnote w:id="29">
    <w:p w14:paraId="485C339F"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ALRC</w:t>
      </w:r>
      <w:r w:rsidRPr="00185C1D">
        <w:rPr>
          <w:rFonts w:ascii="Times New Roman" w:hAnsi="Times New Roman"/>
          <w:i/>
          <w:iCs/>
          <w:sz w:val="24"/>
        </w:rPr>
        <w:t xml:space="preserve"> </w:t>
      </w:r>
      <w:r w:rsidRPr="00185C1D">
        <w:rPr>
          <w:rFonts w:ascii="Times New Roman" w:hAnsi="Times New Roman"/>
          <w:sz w:val="24"/>
        </w:rPr>
        <w:t>Report</w:t>
      </w:r>
      <w:r w:rsidRPr="00185C1D">
        <w:rPr>
          <w:rFonts w:ascii="Times New Roman" w:hAnsi="Times New Roman"/>
          <w:i/>
          <w:iCs/>
          <w:sz w:val="24"/>
        </w:rPr>
        <w:t xml:space="preserve"> </w:t>
      </w:r>
      <w:r w:rsidRPr="00185C1D">
        <w:rPr>
          <w:rFonts w:ascii="Times New Roman" w:hAnsi="Times New Roman"/>
          <w:sz w:val="24"/>
        </w:rPr>
        <w:t>at 319 [9.155].</w:t>
      </w:r>
    </w:p>
  </w:footnote>
  <w:footnote w:id="30">
    <w:p w14:paraId="14353E32" w14:textId="630F1630"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(2012) 247 CLR 170 at 200-201 [69]-[70].</w:t>
      </w:r>
    </w:p>
  </w:footnote>
  <w:footnote w:id="31">
    <w:p w14:paraId="599FB910"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Aytugrul</w:t>
      </w:r>
      <w:r w:rsidRPr="00185C1D">
        <w:rPr>
          <w:rFonts w:ascii="Times New Roman" w:hAnsi="Times New Roman"/>
          <w:sz w:val="24"/>
        </w:rPr>
        <w:t xml:space="preserve"> (2012) 247 CLR 170 at 200-201 [70].</w:t>
      </w:r>
    </w:p>
  </w:footnote>
  <w:footnote w:id="32">
    <w:p w14:paraId="5F8B7DCB" w14:textId="7838FB51"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 xml:space="preserve">Aytugrul </w:t>
      </w:r>
      <w:r w:rsidRPr="00185C1D">
        <w:rPr>
          <w:rFonts w:ascii="Times New Roman" w:hAnsi="Times New Roman"/>
          <w:sz w:val="24"/>
        </w:rPr>
        <w:t>(2012) 247 CLR 1</w:t>
      </w:r>
      <w:r w:rsidR="00321D3F" w:rsidRPr="00185C1D">
        <w:rPr>
          <w:rFonts w:ascii="Times New Roman" w:hAnsi="Times New Roman"/>
          <w:sz w:val="24"/>
        </w:rPr>
        <w:t>7</w:t>
      </w:r>
      <w:r w:rsidRPr="00185C1D">
        <w:rPr>
          <w:rFonts w:ascii="Times New Roman" w:hAnsi="Times New Roman"/>
          <w:sz w:val="24"/>
        </w:rPr>
        <w:t xml:space="preserve">0 at 200 [69], citing </w:t>
      </w:r>
      <w:r w:rsidRPr="00185C1D">
        <w:rPr>
          <w:rFonts w:ascii="Times New Roman" w:hAnsi="Times New Roman"/>
          <w:i/>
          <w:iCs/>
          <w:sz w:val="24"/>
        </w:rPr>
        <w:t>R v BDX</w:t>
      </w:r>
      <w:r w:rsidRPr="00185C1D">
        <w:rPr>
          <w:rFonts w:ascii="Times New Roman" w:hAnsi="Times New Roman"/>
          <w:sz w:val="24"/>
        </w:rPr>
        <w:t xml:space="preserve"> (200</w:t>
      </w:r>
      <w:r w:rsidR="00321D3F" w:rsidRPr="00185C1D">
        <w:rPr>
          <w:rFonts w:ascii="Times New Roman" w:hAnsi="Times New Roman"/>
          <w:sz w:val="24"/>
        </w:rPr>
        <w:t>9</w:t>
      </w:r>
      <w:r w:rsidRPr="00185C1D">
        <w:rPr>
          <w:rFonts w:ascii="Times New Roman" w:hAnsi="Times New Roman"/>
          <w:sz w:val="24"/>
        </w:rPr>
        <w:t>) 24 VR 288 at 298-305.</w:t>
      </w:r>
    </w:p>
  </w:footnote>
  <w:footnote w:id="33">
    <w:p w14:paraId="0565AC91" w14:textId="119AAC05"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 xml:space="preserve">Aytugrul </w:t>
      </w:r>
      <w:r w:rsidRPr="00185C1D">
        <w:rPr>
          <w:rFonts w:ascii="Times New Roman" w:hAnsi="Times New Roman"/>
          <w:sz w:val="24"/>
        </w:rPr>
        <w:t>(2012) 247 CLR 1</w:t>
      </w:r>
      <w:r w:rsidR="00321D3F" w:rsidRPr="00185C1D">
        <w:rPr>
          <w:rFonts w:ascii="Times New Roman" w:hAnsi="Times New Roman"/>
          <w:sz w:val="24"/>
        </w:rPr>
        <w:t>7</w:t>
      </w:r>
      <w:r w:rsidRPr="00185C1D">
        <w:rPr>
          <w:rFonts w:ascii="Times New Roman" w:hAnsi="Times New Roman"/>
          <w:sz w:val="24"/>
        </w:rPr>
        <w:t xml:space="preserve">0 at 200 [69], citing </w:t>
      </w:r>
      <w:r w:rsidRPr="00185C1D">
        <w:rPr>
          <w:rFonts w:ascii="Times New Roman" w:hAnsi="Times New Roman"/>
          <w:i/>
          <w:iCs/>
          <w:sz w:val="24"/>
        </w:rPr>
        <w:t>R v Runjanjic</w:t>
      </w:r>
      <w:r w:rsidRPr="00185C1D">
        <w:rPr>
          <w:rFonts w:ascii="Times New Roman" w:hAnsi="Times New Roman"/>
          <w:sz w:val="24"/>
        </w:rPr>
        <w:t xml:space="preserve"> (1991) 56 SASR 114.</w:t>
      </w:r>
    </w:p>
  </w:footnote>
  <w:footnote w:id="34">
    <w:p w14:paraId="2899E5A8" w14:textId="3612637B"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 s 5</w:t>
      </w:r>
      <w:r w:rsidR="00B578FB" w:rsidRPr="00185C1D">
        <w:rPr>
          <w:rFonts w:ascii="Times New Roman" w:hAnsi="Times New Roman"/>
          <w:sz w:val="24"/>
        </w:rPr>
        <w:t>6</w:t>
      </w:r>
      <w:r w:rsidRPr="00185C1D">
        <w:rPr>
          <w:rFonts w:ascii="Times New Roman" w:hAnsi="Times New Roman"/>
          <w:sz w:val="24"/>
        </w:rPr>
        <w:t>(1).</w:t>
      </w:r>
    </w:p>
  </w:footnote>
  <w:footnote w:id="35">
    <w:p w14:paraId="330C339A"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 s 55(2)(a).</w:t>
      </w:r>
    </w:p>
  </w:footnote>
  <w:footnote w:id="36">
    <w:p w14:paraId="76245F0D" w14:textId="1A06C066"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 xml:space="preserve">See </w:t>
      </w:r>
      <w:r w:rsidRPr="00185C1D">
        <w:rPr>
          <w:rFonts w:ascii="Times New Roman" w:hAnsi="Times New Roman"/>
          <w:i/>
          <w:iCs/>
          <w:sz w:val="24"/>
        </w:rPr>
        <w:t>Hughes v The Queen</w:t>
      </w:r>
      <w:r w:rsidRPr="00185C1D">
        <w:rPr>
          <w:rFonts w:ascii="Times New Roman" w:hAnsi="Times New Roman"/>
          <w:sz w:val="24"/>
        </w:rPr>
        <w:t xml:space="preserve"> (2017) 263 CLR 338 at 349 [16].</w:t>
      </w:r>
    </w:p>
  </w:footnote>
  <w:footnote w:id="37">
    <w:p w14:paraId="6C5F7A32" w14:textId="31DD5FFA"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bookmarkStart w:id="6" w:name="_Hlk172017002"/>
      <w:r w:rsidRPr="00185C1D">
        <w:rPr>
          <w:rFonts w:ascii="Times New Roman" w:hAnsi="Times New Roman"/>
          <w:i/>
          <w:iCs/>
          <w:sz w:val="24"/>
        </w:rPr>
        <w:t>Dasreef Pty Ltd v Hawchar</w:t>
      </w:r>
      <w:r w:rsidRPr="00185C1D">
        <w:rPr>
          <w:rFonts w:ascii="Times New Roman" w:hAnsi="Times New Roman"/>
          <w:sz w:val="24"/>
        </w:rPr>
        <w:t xml:space="preserve"> (2011) 243 CLR 588 at 602 [31].</w:t>
      </w:r>
      <w:bookmarkEnd w:id="6"/>
    </w:p>
  </w:footnote>
  <w:footnote w:id="38">
    <w:p w14:paraId="3F3DEF4B" w14:textId="3453CC36" w:rsidR="00CD7EC8" w:rsidRPr="00185C1D" w:rsidRDefault="00CD7EC8"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 xml:space="preserve">Dasreef </w:t>
      </w:r>
      <w:r w:rsidRPr="00185C1D">
        <w:rPr>
          <w:rFonts w:ascii="Times New Roman" w:hAnsi="Times New Roman"/>
          <w:sz w:val="24"/>
        </w:rPr>
        <w:t>(2011) 243 CLR 588 at 602 [31].</w:t>
      </w:r>
    </w:p>
  </w:footnote>
  <w:footnote w:id="39">
    <w:p w14:paraId="25DFAF66"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 s 101A(a).</w:t>
      </w:r>
    </w:p>
  </w:footnote>
  <w:footnote w:id="40">
    <w:p w14:paraId="7BA641FB" w14:textId="77777777" w:rsidR="00F74DD8" w:rsidRPr="00185C1D" w:rsidRDefault="00F74DD8"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 s 79(1).</w:t>
      </w:r>
    </w:p>
  </w:footnote>
  <w:footnote w:id="41">
    <w:p w14:paraId="12836CA9"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 xml:space="preserve">, s 79(1). </w:t>
      </w:r>
    </w:p>
  </w:footnote>
  <w:footnote w:id="42">
    <w:p w14:paraId="56EC4E1C" w14:textId="4D5D87C0"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 xml:space="preserve">See </w:t>
      </w:r>
      <w:r w:rsidRPr="00185C1D">
        <w:rPr>
          <w:rFonts w:ascii="Times New Roman" w:hAnsi="Times New Roman"/>
          <w:i/>
          <w:iCs/>
          <w:sz w:val="24"/>
        </w:rPr>
        <w:t>AJ</w:t>
      </w:r>
      <w:r w:rsidRPr="00185C1D">
        <w:rPr>
          <w:rFonts w:ascii="Times New Roman" w:hAnsi="Times New Roman"/>
          <w:sz w:val="24"/>
        </w:rPr>
        <w:t xml:space="preserve"> (2022) 110 NSWLR 339 at 354 [66]</w:t>
      </w:r>
      <w:r w:rsidR="00BC3433" w:rsidRPr="00185C1D">
        <w:rPr>
          <w:rFonts w:ascii="Times New Roman" w:hAnsi="Times New Roman"/>
          <w:sz w:val="24"/>
        </w:rPr>
        <w:t xml:space="preserve">, </w:t>
      </w:r>
      <w:r w:rsidR="0024655A" w:rsidRPr="00185C1D">
        <w:rPr>
          <w:rFonts w:ascii="Times New Roman" w:hAnsi="Times New Roman"/>
          <w:sz w:val="24"/>
        </w:rPr>
        <w:t>360 [85]</w:t>
      </w:r>
      <w:r w:rsidR="00A42007" w:rsidRPr="00185C1D">
        <w:rPr>
          <w:rFonts w:ascii="Times New Roman" w:hAnsi="Times New Roman"/>
          <w:sz w:val="24"/>
        </w:rPr>
        <w:t>, 370 [130]</w:t>
      </w:r>
      <w:r w:rsidR="0024655A" w:rsidRPr="00185C1D">
        <w:rPr>
          <w:rFonts w:ascii="Times New Roman" w:hAnsi="Times New Roman"/>
          <w:sz w:val="24"/>
        </w:rPr>
        <w:t>; see also at 378 [170]</w:t>
      </w:r>
      <w:r w:rsidRPr="00185C1D">
        <w:rPr>
          <w:rFonts w:ascii="Times New Roman" w:hAnsi="Times New Roman"/>
          <w:sz w:val="24"/>
        </w:rPr>
        <w:t>.</w:t>
      </w:r>
    </w:p>
  </w:footnote>
  <w:footnote w:id="43">
    <w:p w14:paraId="427D6349" w14:textId="01596EF4"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AJ</w:t>
      </w:r>
      <w:r w:rsidRPr="00185C1D">
        <w:rPr>
          <w:rFonts w:ascii="Times New Roman" w:hAnsi="Times New Roman"/>
          <w:sz w:val="24"/>
        </w:rPr>
        <w:t xml:space="preserve"> (2022) 110 NSWLR 339 at 354 [66]</w:t>
      </w:r>
      <w:r w:rsidR="00C71D56" w:rsidRPr="00185C1D">
        <w:rPr>
          <w:rFonts w:ascii="Times New Roman" w:hAnsi="Times New Roman"/>
          <w:sz w:val="24"/>
        </w:rPr>
        <w:t>, 370 [130]</w:t>
      </w:r>
      <w:r w:rsidRPr="00185C1D">
        <w:rPr>
          <w:rFonts w:ascii="Times New Roman" w:hAnsi="Times New Roman"/>
          <w:sz w:val="24"/>
        </w:rPr>
        <w:t>; see also at 378 [170].</w:t>
      </w:r>
    </w:p>
  </w:footnote>
  <w:footnote w:id="44">
    <w:p w14:paraId="5F56BC90"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AJ</w:t>
      </w:r>
      <w:r w:rsidRPr="00185C1D">
        <w:rPr>
          <w:rFonts w:ascii="Times New Roman" w:hAnsi="Times New Roman"/>
          <w:sz w:val="24"/>
        </w:rPr>
        <w:t xml:space="preserve"> (2022) 110 NSWLR 339 at 354 [66].</w:t>
      </w:r>
    </w:p>
  </w:footnote>
  <w:footnote w:id="45">
    <w:p w14:paraId="1D8CC05F"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bookmarkStart w:id="7" w:name="_Hlk167882495"/>
      <w:r w:rsidRPr="00185C1D">
        <w:rPr>
          <w:rFonts w:ascii="Times New Roman" w:hAnsi="Times New Roman"/>
          <w:i/>
          <w:iCs/>
          <w:sz w:val="24"/>
        </w:rPr>
        <w:t>AJ</w:t>
      </w:r>
      <w:r w:rsidRPr="00185C1D">
        <w:rPr>
          <w:rFonts w:ascii="Times New Roman" w:hAnsi="Times New Roman"/>
          <w:sz w:val="24"/>
        </w:rPr>
        <w:t xml:space="preserve"> (2022) 110 NSWLR 339 </w:t>
      </w:r>
      <w:bookmarkEnd w:id="7"/>
      <w:r w:rsidRPr="00185C1D">
        <w:rPr>
          <w:rFonts w:ascii="Times New Roman" w:hAnsi="Times New Roman"/>
          <w:sz w:val="24"/>
        </w:rPr>
        <w:t>at 354 [68].</w:t>
      </w:r>
    </w:p>
  </w:footnote>
  <w:footnote w:id="46">
    <w:p w14:paraId="3BBCD11B"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AJ</w:t>
      </w:r>
      <w:r w:rsidRPr="00185C1D">
        <w:rPr>
          <w:rFonts w:ascii="Times New Roman" w:hAnsi="Times New Roman"/>
          <w:sz w:val="24"/>
        </w:rPr>
        <w:t xml:space="preserve"> (2022) 110 NSWLR 339 at 359-360 [83].</w:t>
      </w:r>
    </w:p>
  </w:footnote>
  <w:footnote w:id="47">
    <w:p w14:paraId="55AED56B" w14:textId="3EC89F9F"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See above at [15].</w:t>
      </w:r>
    </w:p>
  </w:footnote>
  <w:footnote w:id="48">
    <w:p w14:paraId="2F3E5731"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See above at [16].</w:t>
      </w:r>
    </w:p>
  </w:footnote>
  <w:footnote w:id="49">
    <w:p w14:paraId="05A3CD2B"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 xml:space="preserve">See </w:t>
      </w:r>
      <w:r w:rsidRPr="00185C1D">
        <w:rPr>
          <w:rFonts w:ascii="Times New Roman" w:hAnsi="Times New Roman"/>
          <w:i/>
          <w:iCs/>
          <w:sz w:val="24"/>
        </w:rPr>
        <w:t>AJ</w:t>
      </w:r>
      <w:r w:rsidRPr="00185C1D">
        <w:rPr>
          <w:rFonts w:ascii="Times New Roman" w:hAnsi="Times New Roman"/>
          <w:sz w:val="24"/>
        </w:rPr>
        <w:t xml:space="preserve"> (2022) 110 NSWLR 339 at 354 [66].</w:t>
      </w:r>
    </w:p>
  </w:footnote>
  <w:footnote w:id="50">
    <w:p w14:paraId="7802A057"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 xml:space="preserve">See </w:t>
      </w:r>
      <w:r w:rsidRPr="00185C1D">
        <w:rPr>
          <w:rFonts w:ascii="Times New Roman" w:hAnsi="Times New Roman"/>
          <w:i/>
          <w:iCs/>
          <w:sz w:val="24"/>
        </w:rPr>
        <w:t xml:space="preserve">BQ </w:t>
      </w:r>
      <w:r w:rsidRPr="00185C1D">
        <w:rPr>
          <w:rFonts w:ascii="Times New Roman" w:hAnsi="Times New Roman"/>
          <w:sz w:val="24"/>
        </w:rPr>
        <w:t>[2023] NSWCCA 34 at [240].</w:t>
      </w:r>
    </w:p>
  </w:footnote>
  <w:footnote w:id="51">
    <w:p w14:paraId="17CE32E0"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 xml:space="preserve">, s 79(1); </w:t>
      </w:r>
      <w:r w:rsidRPr="00185C1D">
        <w:rPr>
          <w:rFonts w:ascii="Times New Roman" w:hAnsi="Times New Roman"/>
          <w:i/>
          <w:iCs/>
          <w:sz w:val="24"/>
        </w:rPr>
        <w:t>Dasreef</w:t>
      </w:r>
      <w:r w:rsidRPr="00185C1D">
        <w:rPr>
          <w:rFonts w:ascii="Times New Roman" w:hAnsi="Times New Roman"/>
          <w:sz w:val="24"/>
        </w:rPr>
        <w:t xml:space="preserve"> (2011) 243 CLR 588 at 604 [37].</w:t>
      </w:r>
    </w:p>
  </w:footnote>
  <w:footnote w:id="52">
    <w:p w14:paraId="5C828C39"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BQ</w:t>
      </w:r>
      <w:r w:rsidRPr="00185C1D">
        <w:rPr>
          <w:rFonts w:ascii="Times New Roman" w:hAnsi="Times New Roman"/>
          <w:sz w:val="24"/>
        </w:rPr>
        <w:t xml:space="preserve"> [2023] NSWCCA 34 at [240].</w:t>
      </w:r>
    </w:p>
  </w:footnote>
  <w:footnote w:id="53">
    <w:p w14:paraId="174A402D"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sz w:val="24"/>
        </w:rPr>
        <w:t>Evidence Act</w:t>
      </w:r>
      <w:r w:rsidRPr="00185C1D">
        <w:rPr>
          <w:rFonts w:ascii="Times New Roman" w:hAnsi="Times New Roman"/>
          <w:sz w:val="24"/>
        </w:rPr>
        <w:t xml:space="preserve">, s 79(1); see </w:t>
      </w:r>
      <w:r w:rsidRPr="00185C1D">
        <w:rPr>
          <w:rFonts w:ascii="Times New Roman" w:hAnsi="Times New Roman"/>
          <w:i/>
          <w:iCs/>
          <w:sz w:val="24"/>
        </w:rPr>
        <w:t>Dasreef</w:t>
      </w:r>
      <w:r w:rsidRPr="00185C1D">
        <w:rPr>
          <w:rFonts w:ascii="Times New Roman" w:hAnsi="Times New Roman"/>
          <w:sz w:val="24"/>
        </w:rPr>
        <w:t xml:space="preserve"> (2011) 243 CLR 588 at 605 [42].</w:t>
      </w:r>
    </w:p>
  </w:footnote>
  <w:footnote w:id="54">
    <w:p w14:paraId="168CAD2E"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BQ</w:t>
      </w:r>
      <w:r w:rsidRPr="00185C1D">
        <w:rPr>
          <w:rFonts w:ascii="Times New Roman" w:hAnsi="Times New Roman"/>
          <w:sz w:val="24"/>
        </w:rPr>
        <w:t xml:space="preserve"> [2023] NSWCCA 34 at [237].</w:t>
      </w:r>
    </w:p>
  </w:footnote>
  <w:footnote w:id="55">
    <w:p w14:paraId="2DDC8558" w14:textId="46457D4A"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[2015] 1 NZLR 625.</w:t>
      </w:r>
    </w:p>
  </w:footnote>
  <w:footnote w:id="56">
    <w:p w14:paraId="7FF44D51"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 xml:space="preserve">DH </w:t>
      </w:r>
      <w:r w:rsidRPr="00185C1D">
        <w:rPr>
          <w:rFonts w:ascii="Times New Roman" w:hAnsi="Times New Roman"/>
          <w:sz w:val="24"/>
        </w:rPr>
        <w:t>[2015] 1 NZLR 625</w:t>
      </w:r>
      <w:r w:rsidRPr="00185C1D">
        <w:rPr>
          <w:rFonts w:ascii="Times New Roman" w:hAnsi="Times New Roman"/>
          <w:i/>
          <w:iCs/>
          <w:sz w:val="24"/>
        </w:rPr>
        <w:t xml:space="preserve"> </w:t>
      </w:r>
      <w:r w:rsidRPr="00185C1D">
        <w:rPr>
          <w:rFonts w:ascii="Times New Roman" w:hAnsi="Times New Roman"/>
          <w:sz w:val="24"/>
        </w:rPr>
        <w:t>at 631 [2].</w:t>
      </w:r>
    </w:p>
  </w:footnote>
  <w:footnote w:id="57">
    <w:p w14:paraId="5A472026"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 xml:space="preserve">DH </w:t>
      </w:r>
      <w:r w:rsidRPr="00185C1D">
        <w:rPr>
          <w:rFonts w:ascii="Times New Roman" w:hAnsi="Times New Roman"/>
          <w:sz w:val="24"/>
        </w:rPr>
        <w:t>[2015] 1 NZLR 625 at 639 [45].</w:t>
      </w:r>
    </w:p>
  </w:footnote>
  <w:footnote w:id="58">
    <w:p w14:paraId="75A9383B"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 xml:space="preserve">DH </w:t>
      </w:r>
      <w:r w:rsidRPr="00185C1D">
        <w:rPr>
          <w:rFonts w:ascii="Times New Roman" w:hAnsi="Times New Roman"/>
          <w:sz w:val="24"/>
        </w:rPr>
        <w:t>[2015] 1 NZLR 625 at 653 [114].</w:t>
      </w:r>
    </w:p>
  </w:footnote>
  <w:footnote w:id="59">
    <w:p w14:paraId="77DF14E2"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 xml:space="preserve">DH v The Queen </w:t>
      </w:r>
      <w:r w:rsidRPr="00185C1D">
        <w:rPr>
          <w:rFonts w:ascii="Times New Roman" w:hAnsi="Times New Roman"/>
          <w:sz w:val="24"/>
        </w:rPr>
        <w:t xml:space="preserve">[2013] NZCA 670. </w:t>
      </w:r>
    </w:p>
  </w:footnote>
  <w:footnote w:id="60">
    <w:p w14:paraId="44312035"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M v The Queen</w:t>
      </w:r>
      <w:r w:rsidRPr="00185C1D">
        <w:rPr>
          <w:rFonts w:ascii="Times New Roman" w:hAnsi="Times New Roman"/>
          <w:sz w:val="24"/>
        </w:rPr>
        <w:t xml:space="preserve"> [2011] NZCA 191; </w:t>
      </w:r>
      <w:r w:rsidRPr="00185C1D">
        <w:rPr>
          <w:rFonts w:ascii="Times New Roman" w:hAnsi="Times New Roman"/>
          <w:i/>
          <w:iCs/>
          <w:sz w:val="24"/>
        </w:rPr>
        <w:t>OY v Complaints Hearing Committee</w:t>
      </w:r>
      <w:r w:rsidRPr="00185C1D">
        <w:rPr>
          <w:rFonts w:ascii="Times New Roman" w:hAnsi="Times New Roman"/>
          <w:sz w:val="24"/>
        </w:rPr>
        <w:t xml:space="preserve"> [2013] NZCA 107.</w:t>
      </w:r>
    </w:p>
  </w:footnote>
  <w:footnote w:id="61">
    <w:p w14:paraId="2BAD5FB5"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 xml:space="preserve">DH </w:t>
      </w:r>
      <w:r w:rsidRPr="00185C1D">
        <w:rPr>
          <w:rFonts w:ascii="Times New Roman" w:hAnsi="Times New Roman"/>
          <w:sz w:val="24"/>
        </w:rPr>
        <w:t>[2015] 1 NZLR 625 at 637 [30(e)].</w:t>
      </w:r>
    </w:p>
  </w:footnote>
  <w:footnote w:id="62">
    <w:p w14:paraId="353D5D0D"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ALRC Report at 314-315 [9.139].</w:t>
      </w:r>
    </w:p>
  </w:footnote>
  <w:footnote w:id="63">
    <w:p w14:paraId="46AB6B8D" w14:textId="3D74FE57" w:rsidR="00F11804" w:rsidRPr="00185C1D" w:rsidRDefault="00F11804"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00BA524E" w:rsidRPr="00185C1D">
        <w:rPr>
          <w:rFonts w:ascii="Times New Roman" w:hAnsi="Times New Roman"/>
          <w:sz w:val="24"/>
        </w:rPr>
        <w:t>See above at [43].</w:t>
      </w:r>
    </w:p>
  </w:footnote>
  <w:footnote w:id="64">
    <w:p w14:paraId="0E277B57" w14:textId="2F616468"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 xml:space="preserve">See, </w:t>
      </w:r>
      <w:r w:rsidR="00CA7801" w:rsidRPr="00185C1D">
        <w:rPr>
          <w:rFonts w:ascii="Times New Roman" w:hAnsi="Times New Roman"/>
          <w:sz w:val="24"/>
        </w:rPr>
        <w:t>eg</w:t>
      </w:r>
      <w:r w:rsidRPr="00185C1D">
        <w:rPr>
          <w:rFonts w:ascii="Times New Roman" w:hAnsi="Times New Roman"/>
          <w:sz w:val="24"/>
        </w:rPr>
        <w:t xml:space="preserve">, </w:t>
      </w:r>
      <w:r w:rsidRPr="00185C1D">
        <w:rPr>
          <w:rFonts w:ascii="Times New Roman" w:hAnsi="Times New Roman"/>
          <w:i/>
          <w:iCs/>
          <w:sz w:val="24"/>
        </w:rPr>
        <w:t xml:space="preserve">Hamilton (a pseudonym) v The Queen </w:t>
      </w:r>
      <w:r w:rsidRPr="00185C1D">
        <w:rPr>
          <w:rFonts w:ascii="Times New Roman" w:hAnsi="Times New Roman"/>
          <w:sz w:val="24"/>
        </w:rPr>
        <w:t>(2021) 274 CLR 531 at 557-558 [57].</w:t>
      </w:r>
    </w:p>
  </w:footnote>
  <w:footnote w:id="65">
    <w:p w14:paraId="1BB37440" w14:textId="4A425476"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De Silva v The Queen</w:t>
      </w:r>
      <w:r w:rsidRPr="00185C1D">
        <w:rPr>
          <w:rFonts w:ascii="Times New Roman" w:hAnsi="Times New Roman"/>
          <w:sz w:val="24"/>
        </w:rPr>
        <w:t xml:space="preserve"> (2019) 268 CLR 57 at 70 [35]; </w:t>
      </w:r>
      <w:r w:rsidRPr="00185C1D">
        <w:rPr>
          <w:rFonts w:ascii="Times New Roman" w:hAnsi="Times New Roman"/>
          <w:i/>
          <w:iCs/>
          <w:sz w:val="24"/>
        </w:rPr>
        <w:t xml:space="preserve">Hamilton </w:t>
      </w:r>
      <w:r w:rsidRPr="00185C1D">
        <w:rPr>
          <w:rFonts w:ascii="Times New Roman" w:hAnsi="Times New Roman"/>
          <w:sz w:val="24"/>
        </w:rPr>
        <w:t>(2021) 27</w:t>
      </w:r>
      <w:r w:rsidR="00DE44D3" w:rsidRPr="00185C1D">
        <w:rPr>
          <w:rFonts w:ascii="Times New Roman" w:hAnsi="Times New Roman"/>
          <w:sz w:val="24"/>
        </w:rPr>
        <w:t>4</w:t>
      </w:r>
      <w:r w:rsidRPr="00185C1D">
        <w:rPr>
          <w:rFonts w:ascii="Times New Roman" w:hAnsi="Times New Roman"/>
          <w:sz w:val="24"/>
        </w:rPr>
        <w:t xml:space="preserve"> CLR 531 at 557-558 [57].</w:t>
      </w:r>
    </w:p>
  </w:footnote>
  <w:footnote w:id="66">
    <w:p w14:paraId="4E7F8534" w14:textId="7CF08A35"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 s 191.</w:t>
      </w:r>
    </w:p>
  </w:footnote>
  <w:footnote w:id="67">
    <w:p w14:paraId="0D260073"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Criminal Procedure Act 1986</w:t>
      </w:r>
      <w:r w:rsidRPr="00185C1D">
        <w:rPr>
          <w:rFonts w:ascii="Times New Roman" w:hAnsi="Times New Roman"/>
          <w:sz w:val="24"/>
        </w:rPr>
        <w:t xml:space="preserve"> (NSW) as current, ss 292-292E.</w:t>
      </w:r>
    </w:p>
  </w:footnote>
  <w:footnote w:id="68">
    <w:p w14:paraId="05EBE61E"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Dasreef</w:t>
      </w:r>
      <w:r w:rsidRPr="00185C1D">
        <w:rPr>
          <w:rFonts w:ascii="Times New Roman" w:hAnsi="Times New Roman"/>
          <w:sz w:val="24"/>
        </w:rPr>
        <w:t xml:space="preserve"> (2011) 243 CLR 588 at 604 [36], citing </w:t>
      </w:r>
      <w:r w:rsidRPr="00185C1D">
        <w:rPr>
          <w:rFonts w:ascii="Times New Roman" w:hAnsi="Times New Roman"/>
          <w:i/>
          <w:iCs/>
          <w:sz w:val="24"/>
        </w:rPr>
        <w:t>HG v The Queen</w:t>
      </w:r>
      <w:r w:rsidRPr="00185C1D">
        <w:rPr>
          <w:rFonts w:ascii="Times New Roman" w:hAnsi="Times New Roman"/>
          <w:sz w:val="24"/>
        </w:rPr>
        <w:t xml:space="preserve"> (1999) 197 CLR 414 at 427 [39].</w:t>
      </w:r>
    </w:p>
  </w:footnote>
  <w:footnote w:id="69">
    <w:p w14:paraId="45E7B210"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 s 184.</w:t>
      </w:r>
    </w:p>
  </w:footnote>
  <w:footnote w:id="70">
    <w:p w14:paraId="64A6ED3F" w14:textId="02D19238"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t xml:space="preserve">See </w:t>
      </w:r>
      <w:r w:rsidRPr="00185C1D">
        <w:rPr>
          <w:rFonts w:ascii="Times New Roman" w:hAnsi="Times New Roman"/>
          <w:i/>
          <w:iCs/>
          <w:sz w:val="24"/>
        </w:rPr>
        <w:t>Stubley v Western Australia</w:t>
      </w:r>
      <w:r w:rsidRPr="00185C1D">
        <w:rPr>
          <w:rFonts w:ascii="Times New Roman" w:hAnsi="Times New Roman"/>
          <w:sz w:val="24"/>
        </w:rPr>
        <w:t xml:space="preserve"> (2011) 242 CLR 374 at 391 [63]</w:t>
      </w:r>
      <w:r w:rsidR="0009086C" w:rsidRPr="00185C1D">
        <w:rPr>
          <w:rFonts w:ascii="Times New Roman" w:hAnsi="Times New Roman"/>
          <w:sz w:val="24"/>
        </w:rPr>
        <w:t>;</w:t>
      </w:r>
      <w:r w:rsidRPr="00185C1D">
        <w:rPr>
          <w:rFonts w:ascii="Times New Roman" w:hAnsi="Times New Roman"/>
          <w:sz w:val="24"/>
        </w:rPr>
        <w:t xml:space="preserve"> see also at 401-402 [94]</w:t>
      </w:r>
      <w:r w:rsidR="00267CD2" w:rsidRPr="00185C1D">
        <w:rPr>
          <w:rFonts w:ascii="Times New Roman" w:hAnsi="Times New Roman"/>
          <w:sz w:val="24"/>
        </w:rPr>
        <w:t>. See also</w:t>
      </w:r>
      <w:r w:rsidRPr="00185C1D">
        <w:rPr>
          <w:rFonts w:ascii="Times New Roman" w:hAnsi="Times New Roman"/>
          <w:sz w:val="24"/>
        </w:rPr>
        <w:t xml:space="preserve"> </w:t>
      </w:r>
      <w:r w:rsidRPr="00185C1D">
        <w:rPr>
          <w:rFonts w:ascii="Times New Roman" w:hAnsi="Times New Roman"/>
          <w:i/>
          <w:iCs/>
          <w:sz w:val="24"/>
        </w:rPr>
        <w:t>Ali v The Queen</w:t>
      </w:r>
      <w:r w:rsidRPr="00185C1D">
        <w:rPr>
          <w:rFonts w:ascii="Times New Roman" w:hAnsi="Times New Roman"/>
          <w:sz w:val="24"/>
        </w:rPr>
        <w:t xml:space="preserve"> (2005) 79 ALJR 662 at 674 [73]; 214 ALR 1 at 17; </w:t>
      </w:r>
      <w:r w:rsidRPr="00185C1D">
        <w:rPr>
          <w:rFonts w:ascii="Times New Roman" w:hAnsi="Times New Roman"/>
          <w:i/>
          <w:iCs/>
          <w:sz w:val="24"/>
        </w:rPr>
        <w:t>R v Smith</w:t>
      </w:r>
      <w:r w:rsidRPr="00185C1D">
        <w:rPr>
          <w:rFonts w:ascii="Times New Roman" w:hAnsi="Times New Roman"/>
          <w:sz w:val="24"/>
        </w:rPr>
        <w:t xml:space="preserve"> [1981] 1 NSWLR 193 at 195.</w:t>
      </w:r>
    </w:p>
  </w:footnote>
  <w:footnote w:id="71">
    <w:p w14:paraId="72E87721" w14:textId="55B9EE58"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sz w:val="24"/>
        </w:rPr>
        <w:t>Evidence Act</w:t>
      </w:r>
      <w:r w:rsidRPr="00185C1D">
        <w:rPr>
          <w:rFonts w:ascii="Times New Roman" w:hAnsi="Times New Roman"/>
          <w:sz w:val="24"/>
        </w:rPr>
        <w:t>, ss 135</w:t>
      </w:r>
      <w:r w:rsidR="00611C63" w:rsidRPr="00185C1D">
        <w:rPr>
          <w:rFonts w:ascii="Times New Roman" w:hAnsi="Times New Roman"/>
          <w:sz w:val="24"/>
        </w:rPr>
        <w:t xml:space="preserve">, </w:t>
      </w:r>
      <w:r w:rsidRPr="00185C1D">
        <w:rPr>
          <w:rFonts w:ascii="Times New Roman" w:hAnsi="Times New Roman"/>
          <w:sz w:val="24"/>
        </w:rPr>
        <w:t>137.</w:t>
      </w:r>
    </w:p>
  </w:footnote>
  <w:footnote w:id="72">
    <w:p w14:paraId="7BBA6A30" w14:textId="0DB448A4" w:rsidR="0040182D" w:rsidRPr="00185C1D" w:rsidRDefault="0040182D"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 xml:space="preserve">, s 137. </w:t>
      </w:r>
    </w:p>
  </w:footnote>
  <w:footnote w:id="73">
    <w:p w14:paraId="5B2F26BF" w14:textId="6C60DB4E"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sz w:val="24"/>
        </w:rPr>
        <w:t>Evidence Act</w:t>
      </w:r>
      <w:r w:rsidRPr="00185C1D">
        <w:rPr>
          <w:rFonts w:ascii="Times New Roman" w:hAnsi="Times New Roman"/>
          <w:sz w:val="24"/>
        </w:rPr>
        <w:t>, s 135(c).</w:t>
      </w:r>
    </w:p>
  </w:footnote>
  <w:footnote w:id="74">
    <w:p w14:paraId="3AEE4DAC"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 s 108C(1)(c).</w:t>
      </w:r>
    </w:p>
  </w:footnote>
  <w:footnote w:id="75">
    <w:p w14:paraId="6326829E"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 s 192(1).</w:t>
      </w:r>
    </w:p>
  </w:footnote>
  <w:footnote w:id="76">
    <w:p w14:paraId="576DDE02" w14:textId="77777777" w:rsidR="00BA59BA" w:rsidRPr="00185C1D" w:rsidRDefault="00BA59BA" w:rsidP="00185C1D">
      <w:pPr>
        <w:pStyle w:val="FootnoteText"/>
        <w:spacing w:line="280" w:lineRule="exact"/>
        <w:ind w:right="0"/>
        <w:jc w:val="both"/>
        <w:rPr>
          <w:rFonts w:ascii="Times New Roman" w:hAnsi="Times New Roman"/>
          <w:sz w:val="24"/>
        </w:rPr>
      </w:pPr>
      <w:r w:rsidRPr="00185C1D">
        <w:rPr>
          <w:rStyle w:val="FootnoteReference"/>
          <w:rFonts w:ascii="Times New Roman" w:hAnsi="Times New Roman"/>
          <w:sz w:val="22"/>
          <w:vertAlign w:val="baseline"/>
        </w:rPr>
        <w:footnoteRef/>
      </w:r>
      <w:r w:rsidRPr="00185C1D">
        <w:rPr>
          <w:rFonts w:ascii="Times New Roman" w:hAnsi="Times New Roman"/>
          <w:sz w:val="24"/>
        </w:rPr>
        <w:t xml:space="preserve"> </w:t>
      </w:r>
      <w:r w:rsidRPr="00185C1D">
        <w:rPr>
          <w:rFonts w:ascii="Times New Roman" w:hAnsi="Times New Roman"/>
          <w:sz w:val="24"/>
        </w:rPr>
        <w:tab/>
      </w:r>
      <w:r w:rsidRPr="00185C1D">
        <w:rPr>
          <w:rFonts w:ascii="Times New Roman" w:hAnsi="Times New Roman"/>
          <w:i/>
          <w:iCs/>
          <w:sz w:val="24"/>
        </w:rPr>
        <w:t>Evidence Act</w:t>
      </w:r>
      <w:r w:rsidRPr="00185C1D">
        <w:rPr>
          <w:rFonts w:ascii="Times New Roman" w:hAnsi="Times New Roman"/>
          <w:sz w:val="24"/>
        </w:rPr>
        <w:t>, s 192(2)(a),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11FA" w14:textId="77777777" w:rsidR="00185C1D" w:rsidRPr="006E0B5E" w:rsidRDefault="00185C1D" w:rsidP="006E0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A8B4" w14:textId="69A73351" w:rsidR="00185C1D" w:rsidRPr="006E0B5E" w:rsidRDefault="006E0B5E" w:rsidP="006E0B5E">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754D" w14:textId="64C024DB" w:rsidR="00F469D8" w:rsidRPr="006E0B5E" w:rsidRDefault="00F469D8" w:rsidP="006E0B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178E" w14:textId="77777777" w:rsidR="006E0B5E" w:rsidRPr="00185C1D" w:rsidRDefault="006E0B5E" w:rsidP="00185C1D">
    <w:pPr>
      <w:pStyle w:val="Header"/>
      <w:tabs>
        <w:tab w:val="clear" w:pos="4153"/>
        <w:tab w:val="clear" w:pos="8306"/>
        <w:tab w:val="right" w:pos="1304"/>
      </w:tabs>
      <w:spacing w:line="280" w:lineRule="exact"/>
      <w:ind w:firstLine="0"/>
      <w:rPr>
        <w:rFonts w:ascii="Times New Roman" w:hAnsi="Times New Roman"/>
        <w:i/>
        <w:sz w:val="22"/>
      </w:rPr>
    </w:pPr>
    <w:proofErr w:type="spellStart"/>
    <w:r w:rsidRPr="00185C1D">
      <w:rPr>
        <w:rFonts w:ascii="Times New Roman" w:hAnsi="Times New Roman"/>
        <w:i/>
        <w:sz w:val="22"/>
      </w:rPr>
      <w:t>Gageler</w:t>
    </w:r>
    <w:proofErr w:type="spellEnd"/>
    <w:r w:rsidRPr="00185C1D">
      <w:rPr>
        <w:rFonts w:ascii="Times New Roman" w:hAnsi="Times New Roman"/>
        <w:i/>
        <w:sz w:val="22"/>
      </w:rPr>
      <w:tab/>
      <w:t>CJ</w:t>
    </w:r>
  </w:p>
  <w:p w14:paraId="424A7AED" w14:textId="77777777" w:rsidR="006E0B5E" w:rsidRPr="00185C1D" w:rsidRDefault="006E0B5E" w:rsidP="00185C1D">
    <w:pPr>
      <w:pStyle w:val="Header"/>
      <w:tabs>
        <w:tab w:val="clear" w:pos="4153"/>
        <w:tab w:val="clear" w:pos="8306"/>
        <w:tab w:val="right" w:pos="1304"/>
      </w:tabs>
      <w:spacing w:line="280" w:lineRule="exact"/>
      <w:ind w:firstLine="0"/>
      <w:rPr>
        <w:rFonts w:ascii="Times New Roman" w:hAnsi="Times New Roman"/>
        <w:i/>
        <w:sz w:val="22"/>
      </w:rPr>
    </w:pPr>
    <w:r w:rsidRPr="00185C1D">
      <w:rPr>
        <w:rFonts w:ascii="Times New Roman" w:hAnsi="Times New Roman"/>
        <w:i/>
        <w:sz w:val="22"/>
      </w:rPr>
      <w:t>Gordon</w:t>
    </w:r>
    <w:r w:rsidRPr="00185C1D">
      <w:rPr>
        <w:rFonts w:ascii="Times New Roman" w:hAnsi="Times New Roman"/>
        <w:i/>
        <w:sz w:val="22"/>
      </w:rPr>
      <w:tab/>
      <w:t>J</w:t>
    </w:r>
  </w:p>
  <w:p w14:paraId="3E5AB5DB" w14:textId="77777777" w:rsidR="006E0B5E" w:rsidRPr="00185C1D" w:rsidRDefault="006E0B5E" w:rsidP="00185C1D">
    <w:pPr>
      <w:pStyle w:val="Header"/>
      <w:tabs>
        <w:tab w:val="clear" w:pos="4153"/>
        <w:tab w:val="clear" w:pos="8306"/>
        <w:tab w:val="right" w:pos="1304"/>
      </w:tabs>
      <w:spacing w:line="280" w:lineRule="exact"/>
      <w:ind w:firstLine="0"/>
      <w:rPr>
        <w:rFonts w:ascii="Times New Roman" w:hAnsi="Times New Roman"/>
        <w:i/>
        <w:sz w:val="22"/>
      </w:rPr>
    </w:pPr>
    <w:r w:rsidRPr="00185C1D">
      <w:rPr>
        <w:rFonts w:ascii="Times New Roman" w:hAnsi="Times New Roman"/>
        <w:i/>
        <w:sz w:val="22"/>
      </w:rPr>
      <w:t>Edelman</w:t>
    </w:r>
    <w:r w:rsidRPr="00185C1D">
      <w:rPr>
        <w:rFonts w:ascii="Times New Roman" w:hAnsi="Times New Roman"/>
        <w:i/>
        <w:sz w:val="22"/>
      </w:rPr>
      <w:tab/>
      <w:t>J</w:t>
    </w:r>
  </w:p>
  <w:p w14:paraId="38FF71A5" w14:textId="77777777" w:rsidR="006E0B5E" w:rsidRPr="00185C1D" w:rsidRDefault="006E0B5E" w:rsidP="00185C1D">
    <w:pPr>
      <w:pStyle w:val="Header"/>
      <w:tabs>
        <w:tab w:val="clear" w:pos="4153"/>
        <w:tab w:val="clear" w:pos="8306"/>
        <w:tab w:val="right" w:pos="1304"/>
      </w:tabs>
      <w:spacing w:line="280" w:lineRule="exact"/>
      <w:ind w:firstLine="0"/>
      <w:rPr>
        <w:rFonts w:ascii="Times New Roman" w:hAnsi="Times New Roman"/>
        <w:i/>
        <w:sz w:val="22"/>
      </w:rPr>
    </w:pPr>
    <w:r w:rsidRPr="00185C1D">
      <w:rPr>
        <w:rFonts w:ascii="Times New Roman" w:hAnsi="Times New Roman"/>
        <w:i/>
        <w:sz w:val="22"/>
      </w:rPr>
      <w:t>Steward</w:t>
    </w:r>
    <w:r w:rsidRPr="00185C1D">
      <w:rPr>
        <w:rFonts w:ascii="Times New Roman" w:hAnsi="Times New Roman"/>
        <w:i/>
        <w:sz w:val="22"/>
      </w:rPr>
      <w:tab/>
      <w:t>J</w:t>
    </w:r>
  </w:p>
  <w:p w14:paraId="3AB78DAD" w14:textId="77777777" w:rsidR="006E0B5E" w:rsidRPr="00185C1D" w:rsidRDefault="006E0B5E" w:rsidP="00185C1D">
    <w:pPr>
      <w:pStyle w:val="Header"/>
      <w:tabs>
        <w:tab w:val="clear" w:pos="4153"/>
        <w:tab w:val="clear" w:pos="8306"/>
        <w:tab w:val="right" w:pos="1304"/>
      </w:tabs>
      <w:spacing w:line="280" w:lineRule="exact"/>
      <w:ind w:firstLine="0"/>
      <w:rPr>
        <w:rFonts w:ascii="Times New Roman" w:hAnsi="Times New Roman"/>
        <w:i/>
        <w:sz w:val="22"/>
      </w:rPr>
    </w:pPr>
    <w:r w:rsidRPr="00185C1D">
      <w:rPr>
        <w:rFonts w:ascii="Times New Roman" w:hAnsi="Times New Roman"/>
        <w:i/>
        <w:sz w:val="22"/>
      </w:rPr>
      <w:t>Gleeson</w:t>
    </w:r>
    <w:r w:rsidRPr="00185C1D">
      <w:rPr>
        <w:rFonts w:ascii="Times New Roman" w:hAnsi="Times New Roman"/>
        <w:i/>
        <w:sz w:val="22"/>
      </w:rPr>
      <w:tab/>
      <w:t>J</w:t>
    </w:r>
  </w:p>
  <w:p w14:paraId="2EC2EB4F" w14:textId="77777777" w:rsidR="006E0B5E" w:rsidRPr="00185C1D" w:rsidRDefault="006E0B5E" w:rsidP="00185C1D">
    <w:pPr>
      <w:pStyle w:val="Header"/>
      <w:tabs>
        <w:tab w:val="clear" w:pos="4153"/>
        <w:tab w:val="clear" w:pos="8306"/>
        <w:tab w:val="right" w:pos="1304"/>
      </w:tabs>
      <w:spacing w:line="280" w:lineRule="exact"/>
      <w:ind w:firstLine="0"/>
      <w:rPr>
        <w:rFonts w:ascii="Times New Roman" w:hAnsi="Times New Roman"/>
        <w:i/>
        <w:sz w:val="22"/>
      </w:rPr>
    </w:pPr>
    <w:proofErr w:type="spellStart"/>
    <w:r w:rsidRPr="00185C1D">
      <w:rPr>
        <w:rFonts w:ascii="Times New Roman" w:hAnsi="Times New Roman"/>
        <w:i/>
        <w:sz w:val="22"/>
      </w:rPr>
      <w:t>Jagot</w:t>
    </w:r>
    <w:proofErr w:type="spellEnd"/>
    <w:r w:rsidRPr="00185C1D">
      <w:rPr>
        <w:rFonts w:ascii="Times New Roman" w:hAnsi="Times New Roman"/>
        <w:i/>
        <w:sz w:val="22"/>
      </w:rPr>
      <w:tab/>
      <w:t>J</w:t>
    </w:r>
  </w:p>
  <w:p w14:paraId="06C9F7CA" w14:textId="77777777" w:rsidR="006E0B5E" w:rsidRDefault="006E0B5E" w:rsidP="00185C1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0D33BBCE" w14:textId="77777777" w:rsidR="006E0B5E" w:rsidRDefault="006E0B5E" w:rsidP="00185C1D">
    <w:pPr>
      <w:pStyle w:val="Header"/>
      <w:tabs>
        <w:tab w:val="clear" w:pos="4153"/>
        <w:tab w:val="clear" w:pos="8306"/>
        <w:tab w:val="right" w:pos="1304"/>
      </w:tabs>
      <w:spacing w:line="280" w:lineRule="exact"/>
      <w:ind w:firstLine="0"/>
      <w:rPr>
        <w:rFonts w:ascii="Times New Roman" w:hAnsi="Times New Roman"/>
        <w:i/>
        <w:sz w:val="22"/>
      </w:rPr>
    </w:pPr>
  </w:p>
  <w:p w14:paraId="14B882E3" w14:textId="77777777" w:rsidR="006E0B5E" w:rsidRDefault="006E0B5E" w:rsidP="00185C1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5820906" w14:textId="77777777" w:rsidR="006E0B5E" w:rsidRPr="00185C1D" w:rsidRDefault="006E0B5E" w:rsidP="00185C1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352B" w14:textId="77777777" w:rsidR="006E0B5E" w:rsidRPr="00185C1D" w:rsidRDefault="006E0B5E" w:rsidP="00185C1D">
    <w:pPr>
      <w:pStyle w:val="Header"/>
      <w:tabs>
        <w:tab w:val="clear" w:pos="4153"/>
        <w:tab w:val="clear" w:pos="8306"/>
        <w:tab w:val="left" w:pos="7200"/>
        <w:tab w:val="right" w:pos="8504"/>
      </w:tabs>
      <w:spacing w:line="280" w:lineRule="exact"/>
      <w:jc w:val="right"/>
      <w:rPr>
        <w:rFonts w:ascii="Times New Roman" w:hAnsi="Times New Roman"/>
        <w:i/>
        <w:sz w:val="22"/>
      </w:rPr>
    </w:pPr>
    <w:r w:rsidRPr="00185C1D">
      <w:rPr>
        <w:rFonts w:ascii="Times New Roman" w:hAnsi="Times New Roman"/>
        <w:i/>
        <w:sz w:val="22"/>
      </w:rPr>
      <w:tab/>
    </w:r>
    <w:proofErr w:type="spellStart"/>
    <w:r w:rsidRPr="00185C1D">
      <w:rPr>
        <w:rFonts w:ascii="Times New Roman" w:hAnsi="Times New Roman"/>
        <w:i/>
        <w:sz w:val="22"/>
      </w:rPr>
      <w:t>Gageler</w:t>
    </w:r>
    <w:proofErr w:type="spellEnd"/>
    <w:r w:rsidRPr="00185C1D">
      <w:rPr>
        <w:rFonts w:ascii="Times New Roman" w:hAnsi="Times New Roman"/>
        <w:i/>
        <w:sz w:val="22"/>
      </w:rPr>
      <w:tab/>
      <w:t>CJ</w:t>
    </w:r>
  </w:p>
  <w:p w14:paraId="43C87AB4" w14:textId="77777777" w:rsidR="006E0B5E" w:rsidRPr="00185C1D" w:rsidRDefault="006E0B5E" w:rsidP="00185C1D">
    <w:pPr>
      <w:pStyle w:val="Header"/>
      <w:tabs>
        <w:tab w:val="clear" w:pos="4153"/>
        <w:tab w:val="clear" w:pos="8306"/>
        <w:tab w:val="left" w:pos="7200"/>
        <w:tab w:val="right" w:pos="8504"/>
      </w:tabs>
      <w:spacing w:line="280" w:lineRule="exact"/>
      <w:jc w:val="right"/>
      <w:rPr>
        <w:rFonts w:ascii="Times New Roman" w:hAnsi="Times New Roman"/>
        <w:i/>
        <w:sz w:val="22"/>
      </w:rPr>
    </w:pPr>
    <w:r w:rsidRPr="00185C1D">
      <w:rPr>
        <w:rFonts w:ascii="Times New Roman" w:hAnsi="Times New Roman"/>
        <w:i/>
        <w:sz w:val="22"/>
      </w:rPr>
      <w:tab/>
      <w:t>Gordon</w:t>
    </w:r>
    <w:r w:rsidRPr="00185C1D">
      <w:rPr>
        <w:rFonts w:ascii="Times New Roman" w:hAnsi="Times New Roman"/>
        <w:i/>
        <w:sz w:val="22"/>
      </w:rPr>
      <w:tab/>
      <w:t>J</w:t>
    </w:r>
  </w:p>
  <w:p w14:paraId="7D181B30" w14:textId="77777777" w:rsidR="006E0B5E" w:rsidRPr="00185C1D" w:rsidRDefault="006E0B5E" w:rsidP="00185C1D">
    <w:pPr>
      <w:pStyle w:val="Header"/>
      <w:tabs>
        <w:tab w:val="clear" w:pos="4153"/>
        <w:tab w:val="clear" w:pos="8306"/>
        <w:tab w:val="left" w:pos="7200"/>
        <w:tab w:val="right" w:pos="8504"/>
      </w:tabs>
      <w:spacing w:line="280" w:lineRule="exact"/>
      <w:jc w:val="right"/>
      <w:rPr>
        <w:rFonts w:ascii="Times New Roman" w:hAnsi="Times New Roman"/>
        <w:i/>
        <w:sz w:val="22"/>
      </w:rPr>
    </w:pPr>
    <w:r w:rsidRPr="00185C1D">
      <w:rPr>
        <w:rFonts w:ascii="Times New Roman" w:hAnsi="Times New Roman"/>
        <w:i/>
        <w:sz w:val="22"/>
      </w:rPr>
      <w:tab/>
      <w:t>Edelman</w:t>
    </w:r>
    <w:r w:rsidRPr="00185C1D">
      <w:rPr>
        <w:rFonts w:ascii="Times New Roman" w:hAnsi="Times New Roman"/>
        <w:i/>
        <w:sz w:val="22"/>
      </w:rPr>
      <w:tab/>
      <w:t>J</w:t>
    </w:r>
  </w:p>
  <w:p w14:paraId="20D7EB70" w14:textId="77777777" w:rsidR="006E0B5E" w:rsidRPr="00185C1D" w:rsidRDefault="006E0B5E" w:rsidP="00185C1D">
    <w:pPr>
      <w:pStyle w:val="Header"/>
      <w:tabs>
        <w:tab w:val="clear" w:pos="4153"/>
        <w:tab w:val="clear" w:pos="8306"/>
        <w:tab w:val="left" w:pos="7200"/>
        <w:tab w:val="right" w:pos="8504"/>
      </w:tabs>
      <w:spacing w:line="280" w:lineRule="exact"/>
      <w:jc w:val="right"/>
      <w:rPr>
        <w:rFonts w:ascii="Times New Roman" w:hAnsi="Times New Roman"/>
        <w:i/>
        <w:sz w:val="22"/>
      </w:rPr>
    </w:pPr>
    <w:r w:rsidRPr="00185C1D">
      <w:rPr>
        <w:rFonts w:ascii="Times New Roman" w:hAnsi="Times New Roman"/>
        <w:i/>
        <w:sz w:val="22"/>
      </w:rPr>
      <w:tab/>
      <w:t>Steward</w:t>
    </w:r>
    <w:r w:rsidRPr="00185C1D">
      <w:rPr>
        <w:rFonts w:ascii="Times New Roman" w:hAnsi="Times New Roman"/>
        <w:i/>
        <w:sz w:val="22"/>
      </w:rPr>
      <w:tab/>
      <w:t>J</w:t>
    </w:r>
  </w:p>
  <w:p w14:paraId="166FE9DA" w14:textId="77777777" w:rsidR="006E0B5E" w:rsidRPr="00185C1D" w:rsidRDefault="006E0B5E" w:rsidP="00185C1D">
    <w:pPr>
      <w:pStyle w:val="Header"/>
      <w:tabs>
        <w:tab w:val="clear" w:pos="4153"/>
        <w:tab w:val="clear" w:pos="8306"/>
        <w:tab w:val="left" w:pos="7200"/>
        <w:tab w:val="right" w:pos="8504"/>
      </w:tabs>
      <w:spacing w:line="280" w:lineRule="exact"/>
      <w:jc w:val="right"/>
      <w:rPr>
        <w:rFonts w:ascii="Times New Roman" w:hAnsi="Times New Roman"/>
        <w:i/>
        <w:sz w:val="22"/>
      </w:rPr>
    </w:pPr>
    <w:r w:rsidRPr="00185C1D">
      <w:rPr>
        <w:rFonts w:ascii="Times New Roman" w:hAnsi="Times New Roman"/>
        <w:i/>
        <w:sz w:val="22"/>
      </w:rPr>
      <w:tab/>
      <w:t>Gleeson</w:t>
    </w:r>
    <w:r w:rsidRPr="00185C1D">
      <w:rPr>
        <w:rFonts w:ascii="Times New Roman" w:hAnsi="Times New Roman"/>
        <w:i/>
        <w:sz w:val="22"/>
      </w:rPr>
      <w:tab/>
      <w:t>J</w:t>
    </w:r>
  </w:p>
  <w:p w14:paraId="5E6B1295" w14:textId="77777777" w:rsidR="006E0B5E" w:rsidRPr="00185C1D" w:rsidRDefault="006E0B5E" w:rsidP="00185C1D">
    <w:pPr>
      <w:pStyle w:val="Header"/>
      <w:tabs>
        <w:tab w:val="clear" w:pos="4153"/>
        <w:tab w:val="clear" w:pos="8306"/>
        <w:tab w:val="left" w:pos="7200"/>
        <w:tab w:val="right" w:pos="8504"/>
      </w:tabs>
      <w:spacing w:line="280" w:lineRule="exact"/>
      <w:jc w:val="right"/>
      <w:rPr>
        <w:rFonts w:ascii="Times New Roman" w:hAnsi="Times New Roman"/>
        <w:i/>
        <w:sz w:val="22"/>
      </w:rPr>
    </w:pPr>
    <w:r w:rsidRPr="00185C1D">
      <w:rPr>
        <w:rFonts w:ascii="Times New Roman" w:hAnsi="Times New Roman"/>
        <w:i/>
        <w:sz w:val="22"/>
      </w:rPr>
      <w:tab/>
    </w:r>
    <w:proofErr w:type="spellStart"/>
    <w:r w:rsidRPr="00185C1D">
      <w:rPr>
        <w:rFonts w:ascii="Times New Roman" w:hAnsi="Times New Roman"/>
        <w:i/>
        <w:sz w:val="22"/>
      </w:rPr>
      <w:t>Jagot</w:t>
    </w:r>
    <w:proofErr w:type="spellEnd"/>
    <w:r w:rsidRPr="00185C1D">
      <w:rPr>
        <w:rFonts w:ascii="Times New Roman" w:hAnsi="Times New Roman"/>
        <w:i/>
        <w:sz w:val="22"/>
      </w:rPr>
      <w:tab/>
      <w:t>J</w:t>
    </w:r>
  </w:p>
  <w:p w14:paraId="4CB4B56B" w14:textId="77777777" w:rsidR="006E0B5E" w:rsidRDefault="006E0B5E" w:rsidP="00185C1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4BA0BB2A" w14:textId="77777777" w:rsidR="006E0B5E" w:rsidRDefault="006E0B5E" w:rsidP="00185C1D">
    <w:pPr>
      <w:pStyle w:val="Header"/>
      <w:tabs>
        <w:tab w:val="clear" w:pos="4153"/>
        <w:tab w:val="clear" w:pos="8306"/>
        <w:tab w:val="left" w:pos="7200"/>
        <w:tab w:val="right" w:pos="8504"/>
      </w:tabs>
      <w:spacing w:line="280" w:lineRule="exact"/>
      <w:jc w:val="right"/>
      <w:rPr>
        <w:rFonts w:ascii="Times New Roman" w:hAnsi="Times New Roman"/>
        <w:i/>
        <w:sz w:val="22"/>
      </w:rPr>
    </w:pPr>
  </w:p>
  <w:p w14:paraId="7039064F" w14:textId="77777777" w:rsidR="006E0B5E" w:rsidRDefault="006E0B5E" w:rsidP="00185C1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6B3EC8C" w14:textId="77777777" w:rsidR="006E0B5E" w:rsidRPr="00185C1D" w:rsidRDefault="006E0B5E" w:rsidP="00185C1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3E07" w14:textId="77777777" w:rsidR="006E0B5E" w:rsidRDefault="006E0B5E" w:rsidP="00185C1D">
    <w:pPr>
      <w:pStyle w:val="Header"/>
      <w:tabs>
        <w:tab w:val="clear" w:pos="4153"/>
        <w:tab w:val="clear" w:pos="8306"/>
        <w:tab w:val="center" w:pos="1134"/>
      </w:tabs>
      <w:spacing w:line="280" w:lineRule="exact"/>
      <w:ind w:firstLine="0"/>
      <w:rPr>
        <w:rFonts w:ascii="Times New Roman" w:hAnsi="Times New Roman"/>
        <w:i/>
        <w:sz w:val="22"/>
      </w:rPr>
    </w:pPr>
  </w:p>
  <w:p w14:paraId="17BD60D9" w14:textId="77777777" w:rsidR="006E0B5E" w:rsidRDefault="006E0B5E" w:rsidP="00185C1D">
    <w:pPr>
      <w:pStyle w:val="Header"/>
      <w:tabs>
        <w:tab w:val="clear" w:pos="4153"/>
        <w:tab w:val="clear" w:pos="8306"/>
        <w:tab w:val="center" w:pos="1134"/>
      </w:tabs>
      <w:spacing w:line="280" w:lineRule="exact"/>
      <w:ind w:firstLine="0"/>
      <w:rPr>
        <w:rFonts w:ascii="Times New Roman" w:hAnsi="Times New Roman"/>
        <w:i/>
        <w:sz w:val="22"/>
      </w:rPr>
    </w:pPr>
  </w:p>
  <w:p w14:paraId="57391130" w14:textId="77777777" w:rsidR="006E0B5E" w:rsidRDefault="006E0B5E" w:rsidP="00185C1D">
    <w:pPr>
      <w:pStyle w:val="Header"/>
      <w:tabs>
        <w:tab w:val="clear" w:pos="4153"/>
        <w:tab w:val="clear" w:pos="8306"/>
        <w:tab w:val="center" w:pos="1134"/>
      </w:tabs>
      <w:spacing w:line="280" w:lineRule="exact"/>
      <w:ind w:firstLine="0"/>
      <w:rPr>
        <w:rFonts w:ascii="Times New Roman" w:hAnsi="Times New Roman"/>
        <w:i/>
        <w:sz w:val="22"/>
      </w:rPr>
    </w:pPr>
  </w:p>
  <w:p w14:paraId="43554CA8" w14:textId="77777777" w:rsidR="006E0B5E" w:rsidRDefault="006E0B5E" w:rsidP="00185C1D">
    <w:pPr>
      <w:pStyle w:val="Header"/>
      <w:tabs>
        <w:tab w:val="clear" w:pos="4153"/>
        <w:tab w:val="clear" w:pos="8306"/>
        <w:tab w:val="center" w:pos="1134"/>
      </w:tabs>
      <w:spacing w:line="280" w:lineRule="exact"/>
      <w:ind w:firstLine="0"/>
      <w:rPr>
        <w:rFonts w:ascii="Times New Roman" w:hAnsi="Times New Roman"/>
        <w:i/>
        <w:sz w:val="22"/>
      </w:rPr>
    </w:pPr>
  </w:p>
  <w:p w14:paraId="3A6AAA4A" w14:textId="77777777" w:rsidR="006E0B5E" w:rsidRDefault="006E0B5E" w:rsidP="00185C1D">
    <w:pPr>
      <w:pStyle w:val="Header"/>
      <w:tabs>
        <w:tab w:val="clear" w:pos="4153"/>
        <w:tab w:val="clear" w:pos="8306"/>
        <w:tab w:val="center" w:pos="1134"/>
      </w:tabs>
      <w:spacing w:line="280" w:lineRule="exact"/>
      <w:ind w:firstLine="0"/>
      <w:rPr>
        <w:rFonts w:ascii="Times New Roman" w:hAnsi="Times New Roman"/>
        <w:i/>
        <w:sz w:val="22"/>
      </w:rPr>
    </w:pPr>
  </w:p>
  <w:p w14:paraId="2913A9E2" w14:textId="77777777" w:rsidR="006E0B5E" w:rsidRDefault="006E0B5E" w:rsidP="00185C1D">
    <w:pPr>
      <w:pStyle w:val="Header"/>
      <w:tabs>
        <w:tab w:val="clear" w:pos="4153"/>
        <w:tab w:val="clear" w:pos="8306"/>
        <w:tab w:val="center" w:pos="1134"/>
      </w:tabs>
      <w:spacing w:line="280" w:lineRule="exact"/>
      <w:ind w:firstLine="0"/>
      <w:rPr>
        <w:rFonts w:ascii="Times New Roman" w:hAnsi="Times New Roman"/>
        <w:i/>
        <w:sz w:val="22"/>
      </w:rPr>
    </w:pPr>
  </w:p>
  <w:p w14:paraId="72690423" w14:textId="77777777" w:rsidR="006E0B5E" w:rsidRDefault="006E0B5E" w:rsidP="00185C1D">
    <w:pPr>
      <w:pStyle w:val="Header"/>
      <w:tabs>
        <w:tab w:val="clear" w:pos="4153"/>
        <w:tab w:val="clear" w:pos="8306"/>
        <w:tab w:val="center" w:pos="1134"/>
      </w:tabs>
      <w:spacing w:line="280" w:lineRule="exact"/>
      <w:ind w:firstLine="0"/>
      <w:rPr>
        <w:rFonts w:ascii="Times New Roman" w:hAnsi="Times New Roman"/>
        <w:i/>
        <w:sz w:val="22"/>
      </w:rPr>
    </w:pPr>
  </w:p>
  <w:p w14:paraId="41D0A608" w14:textId="77777777" w:rsidR="006E0B5E" w:rsidRDefault="006E0B5E" w:rsidP="00185C1D">
    <w:pPr>
      <w:pStyle w:val="Header"/>
      <w:tabs>
        <w:tab w:val="clear" w:pos="4153"/>
        <w:tab w:val="clear" w:pos="8306"/>
        <w:tab w:val="center" w:pos="1134"/>
      </w:tabs>
      <w:spacing w:line="280" w:lineRule="exact"/>
      <w:ind w:firstLine="0"/>
      <w:rPr>
        <w:rFonts w:ascii="Times New Roman" w:hAnsi="Times New Roman"/>
        <w:i/>
        <w:sz w:val="22"/>
      </w:rPr>
    </w:pPr>
  </w:p>
  <w:p w14:paraId="7C7E495C" w14:textId="77777777" w:rsidR="006E0B5E" w:rsidRDefault="006E0B5E" w:rsidP="00185C1D">
    <w:pPr>
      <w:pStyle w:val="Header"/>
      <w:tabs>
        <w:tab w:val="clear" w:pos="4153"/>
        <w:tab w:val="clear" w:pos="8306"/>
        <w:tab w:val="center" w:pos="1134"/>
      </w:tabs>
      <w:spacing w:line="280" w:lineRule="exact"/>
      <w:ind w:firstLine="0"/>
      <w:rPr>
        <w:rFonts w:ascii="Times New Roman" w:hAnsi="Times New Roman"/>
        <w:i/>
        <w:sz w:val="22"/>
      </w:rPr>
    </w:pPr>
  </w:p>
  <w:p w14:paraId="13D14111" w14:textId="77777777" w:rsidR="006E0B5E" w:rsidRPr="00185C1D" w:rsidRDefault="006E0B5E" w:rsidP="00185C1D">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C389" w14:textId="77777777" w:rsidR="00A552D7" w:rsidRPr="00A552D7" w:rsidRDefault="00A552D7" w:rsidP="00A55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BA"/>
    <w:rsid w:val="00001303"/>
    <w:rsid w:val="00002069"/>
    <w:rsid w:val="00002BE8"/>
    <w:rsid w:val="00002CE6"/>
    <w:rsid w:val="0000316A"/>
    <w:rsid w:val="0000385A"/>
    <w:rsid w:val="000049B7"/>
    <w:rsid w:val="00006A65"/>
    <w:rsid w:val="00013E04"/>
    <w:rsid w:val="000141CA"/>
    <w:rsid w:val="00014B34"/>
    <w:rsid w:val="000157A6"/>
    <w:rsid w:val="00015FE6"/>
    <w:rsid w:val="000164E6"/>
    <w:rsid w:val="000168C9"/>
    <w:rsid w:val="00016C20"/>
    <w:rsid w:val="00016DBB"/>
    <w:rsid w:val="00017144"/>
    <w:rsid w:val="00022A53"/>
    <w:rsid w:val="00023A92"/>
    <w:rsid w:val="00024539"/>
    <w:rsid w:val="000250AF"/>
    <w:rsid w:val="00025490"/>
    <w:rsid w:val="0002561E"/>
    <w:rsid w:val="000268E1"/>
    <w:rsid w:val="00035049"/>
    <w:rsid w:val="0003575A"/>
    <w:rsid w:val="00035D4B"/>
    <w:rsid w:val="000360EB"/>
    <w:rsid w:val="00037A5F"/>
    <w:rsid w:val="00037D87"/>
    <w:rsid w:val="00042EF3"/>
    <w:rsid w:val="00043CF9"/>
    <w:rsid w:val="00043D2C"/>
    <w:rsid w:val="00046812"/>
    <w:rsid w:val="00050F7F"/>
    <w:rsid w:val="000514E5"/>
    <w:rsid w:val="0005484C"/>
    <w:rsid w:val="00055ACD"/>
    <w:rsid w:val="00055D42"/>
    <w:rsid w:val="00055E74"/>
    <w:rsid w:val="00056F27"/>
    <w:rsid w:val="000573AF"/>
    <w:rsid w:val="000611CF"/>
    <w:rsid w:val="0006169E"/>
    <w:rsid w:val="0006214D"/>
    <w:rsid w:val="000626FD"/>
    <w:rsid w:val="0006314D"/>
    <w:rsid w:val="0006355F"/>
    <w:rsid w:val="0006432B"/>
    <w:rsid w:val="000653D4"/>
    <w:rsid w:val="000674CC"/>
    <w:rsid w:val="00071C35"/>
    <w:rsid w:val="00075F50"/>
    <w:rsid w:val="00077152"/>
    <w:rsid w:val="00080D77"/>
    <w:rsid w:val="0008435D"/>
    <w:rsid w:val="0008558C"/>
    <w:rsid w:val="00085F13"/>
    <w:rsid w:val="0009017A"/>
    <w:rsid w:val="0009086C"/>
    <w:rsid w:val="000956F5"/>
    <w:rsid w:val="000A14C3"/>
    <w:rsid w:val="000A28D4"/>
    <w:rsid w:val="000A2EB4"/>
    <w:rsid w:val="000A3747"/>
    <w:rsid w:val="000A3DA3"/>
    <w:rsid w:val="000A63C6"/>
    <w:rsid w:val="000B4630"/>
    <w:rsid w:val="000B479B"/>
    <w:rsid w:val="000B497F"/>
    <w:rsid w:val="000B710D"/>
    <w:rsid w:val="000B7558"/>
    <w:rsid w:val="000C04DC"/>
    <w:rsid w:val="000C0D98"/>
    <w:rsid w:val="000C5948"/>
    <w:rsid w:val="000C5EA4"/>
    <w:rsid w:val="000D1413"/>
    <w:rsid w:val="000D19F4"/>
    <w:rsid w:val="000D25E6"/>
    <w:rsid w:val="000D2E5C"/>
    <w:rsid w:val="000D5249"/>
    <w:rsid w:val="000D53C8"/>
    <w:rsid w:val="000D68C0"/>
    <w:rsid w:val="000E65F7"/>
    <w:rsid w:val="000F1345"/>
    <w:rsid w:val="000F3BB3"/>
    <w:rsid w:val="000F65FE"/>
    <w:rsid w:val="001001B9"/>
    <w:rsid w:val="00102254"/>
    <w:rsid w:val="0010258B"/>
    <w:rsid w:val="0010702C"/>
    <w:rsid w:val="0010776E"/>
    <w:rsid w:val="00110456"/>
    <w:rsid w:val="00110970"/>
    <w:rsid w:val="00111568"/>
    <w:rsid w:val="001120C0"/>
    <w:rsid w:val="001128FC"/>
    <w:rsid w:val="001150BF"/>
    <w:rsid w:val="00115EB0"/>
    <w:rsid w:val="0011600B"/>
    <w:rsid w:val="001168F2"/>
    <w:rsid w:val="00120207"/>
    <w:rsid w:val="001215B3"/>
    <w:rsid w:val="00123C1B"/>
    <w:rsid w:val="00125E3C"/>
    <w:rsid w:val="00133E7E"/>
    <w:rsid w:val="0013456F"/>
    <w:rsid w:val="00142072"/>
    <w:rsid w:val="00143FCB"/>
    <w:rsid w:val="00144FEF"/>
    <w:rsid w:val="00145627"/>
    <w:rsid w:val="00146A41"/>
    <w:rsid w:val="0015031C"/>
    <w:rsid w:val="00151679"/>
    <w:rsid w:val="0015318E"/>
    <w:rsid w:val="001555D0"/>
    <w:rsid w:val="00156736"/>
    <w:rsid w:val="00160DB0"/>
    <w:rsid w:val="00163D92"/>
    <w:rsid w:val="00164144"/>
    <w:rsid w:val="001708DE"/>
    <w:rsid w:val="00172ADE"/>
    <w:rsid w:val="00175703"/>
    <w:rsid w:val="001758DE"/>
    <w:rsid w:val="00175974"/>
    <w:rsid w:val="00176C12"/>
    <w:rsid w:val="00176D25"/>
    <w:rsid w:val="00176F61"/>
    <w:rsid w:val="00180FC7"/>
    <w:rsid w:val="00181F75"/>
    <w:rsid w:val="0018342E"/>
    <w:rsid w:val="001840C2"/>
    <w:rsid w:val="00184B46"/>
    <w:rsid w:val="00185939"/>
    <w:rsid w:val="00185C1D"/>
    <w:rsid w:val="001876F6"/>
    <w:rsid w:val="001905F9"/>
    <w:rsid w:val="00191321"/>
    <w:rsid w:val="00191E23"/>
    <w:rsid w:val="001953B1"/>
    <w:rsid w:val="00195EA0"/>
    <w:rsid w:val="001963C0"/>
    <w:rsid w:val="00197956"/>
    <w:rsid w:val="00197BFE"/>
    <w:rsid w:val="001A0F3D"/>
    <w:rsid w:val="001A409D"/>
    <w:rsid w:val="001A446E"/>
    <w:rsid w:val="001B1676"/>
    <w:rsid w:val="001B17A8"/>
    <w:rsid w:val="001B398A"/>
    <w:rsid w:val="001B55C8"/>
    <w:rsid w:val="001B63C6"/>
    <w:rsid w:val="001C2323"/>
    <w:rsid w:val="001C48D4"/>
    <w:rsid w:val="001C7C93"/>
    <w:rsid w:val="001D2B4D"/>
    <w:rsid w:val="001D31F6"/>
    <w:rsid w:val="001D36CD"/>
    <w:rsid w:val="001D4F49"/>
    <w:rsid w:val="001D7982"/>
    <w:rsid w:val="001E00BF"/>
    <w:rsid w:val="001E0B23"/>
    <w:rsid w:val="001E1D3D"/>
    <w:rsid w:val="001E47D1"/>
    <w:rsid w:val="001E4A58"/>
    <w:rsid w:val="001E598B"/>
    <w:rsid w:val="001E6A64"/>
    <w:rsid w:val="001E75C5"/>
    <w:rsid w:val="001F1B5F"/>
    <w:rsid w:val="001F38BF"/>
    <w:rsid w:val="001F3F2A"/>
    <w:rsid w:val="001F69C2"/>
    <w:rsid w:val="001F7E76"/>
    <w:rsid w:val="00203BA5"/>
    <w:rsid w:val="002048D1"/>
    <w:rsid w:val="002079CB"/>
    <w:rsid w:val="0021096E"/>
    <w:rsid w:val="00210DE8"/>
    <w:rsid w:val="00211D73"/>
    <w:rsid w:val="00212A3E"/>
    <w:rsid w:val="0021481C"/>
    <w:rsid w:val="00214BF2"/>
    <w:rsid w:val="00215A7F"/>
    <w:rsid w:val="00216522"/>
    <w:rsid w:val="00217416"/>
    <w:rsid w:val="00221D19"/>
    <w:rsid w:val="00222B43"/>
    <w:rsid w:val="00225CC9"/>
    <w:rsid w:val="0022666B"/>
    <w:rsid w:val="0022734D"/>
    <w:rsid w:val="00227F8D"/>
    <w:rsid w:val="00230CB6"/>
    <w:rsid w:val="002341C6"/>
    <w:rsid w:val="0023447F"/>
    <w:rsid w:val="002350B3"/>
    <w:rsid w:val="002366AD"/>
    <w:rsid w:val="0023798E"/>
    <w:rsid w:val="0024155A"/>
    <w:rsid w:val="00242EE4"/>
    <w:rsid w:val="0024462E"/>
    <w:rsid w:val="0024655A"/>
    <w:rsid w:val="002474FA"/>
    <w:rsid w:val="00253493"/>
    <w:rsid w:val="00253BB2"/>
    <w:rsid w:val="00253DE9"/>
    <w:rsid w:val="00257AFB"/>
    <w:rsid w:val="00262672"/>
    <w:rsid w:val="0026293D"/>
    <w:rsid w:val="00264B00"/>
    <w:rsid w:val="00265982"/>
    <w:rsid w:val="00265A91"/>
    <w:rsid w:val="00267CD2"/>
    <w:rsid w:val="00270154"/>
    <w:rsid w:val="00271F70"/>
    <w:rsid w:val="0027408B"/>
    <w:rsid w:val="00276B56"/>
    <w:rsid w:val="00280678"/>
    <w:rsid w:val="00280F46"/>
    <w:rsid w:val="002819FD"/>
    <w:rsid w:val="002826F0"/>
    <w:rsid w:val="00285182"/>
    <w:rsid w:val="0028583A"/>
    <w:rsid w:val="00287368"/>
    <w:rsid w:val="00287873"/>
    <w:rsid w:val="00287D55"/>
    <w:rsid w:val="002916CC"/>
    <w:rsid w:val="002922B7"/>
    <w:rsid w:val="0029278C"/>
    <w:rsid w:val="00292E65"/>
    <w:rsid w:val="002947FB"/>
    <w:rsid w:val="0029697C"/>
    <w:rsid w:val="002979F1"/>
    <w:rsid w:val="00297BF9"/>
    <w:rsid w:val="002A0B8A"/>
    <w:rsid w:val="002A13E1"/>
    <w:rsid w:val="002A25BF"/>
    <w:rsid w:val="002A3248"/>
    <w:rsid w:val="002A4A03"/>
    <w:rsid w:val="002B0846"/>
    <w:rsid w:val="002B0FF2"/>
    <w:rsid w:val="002B1304"/>
    <w:rsid w:val="002B1B76"/>
    <w:rsid w:val="002C1EDE"/>
    <w:rsid w:val="002C395F"/>
    <w:rsid w:val="002C5981"/>
    <w:rsid w:val="002C7307"/>
    <w:rsid w:val="002C7543"/>
    <w:rsid w:val="002D0410"/>
    <w:rsid w:val="002D0899"/>
    <w:rsid w:val="002D1707"/>
    <w:rsid w:val="002D17E2"/>
    <w:rsid w:val="002D3F5B"/>
    <w:rsid w:val="002E0EC8"/>
    <w:rsid w:val="002E159A"/>
    <w:rsid w:val="002E1A81"/>
    <w:rsid w:val="002E278F"/>
    <w:rsid w:val="002E3B4D"/>
    <w:rsid w:val="002F0522"/>
    <w:rsid w:val="002F0645"/>
    <w:rsid w:val="002F0734"/>
    <w:rsid w:val="002F346B"/>
    <w:rsid w:val="002F436B"/>
    <w:rsid w:val="002F7E4C"/>
    <w:rsid w:val="0030026A"/>
    <w:rsid w:val="00300588"/>
    <w:rsid w:val="0030099D"/>
    <w:rsid w:val="00301975"/>
    <w:rsid w:val="0030542C"/>
    <w:rsid w:val="00310418"/>
    <w:rsid w:val="00312FFC"/>
    <w:rsid w:val="003150BF"/>
    <w:rsid w:val="003150CE"/>
    <w:rsid w:val="00315E92"/>
    <w:rsid w:val="003210F9"/>
    <w:rsid w:val="00321D3F"/>
    <w:rsid w:val="00323B9E"/>
    <w:rsid w:val="0032704C"/>
    <w:rsid w:val="00327C3D"/>
    <w:rsid w:val="00330804"/>
    <w:rsid w:val="00332AD8"/>
    <w:rsid w:val="00333EA7"/>
    <w:rsid w:val="00334569"/>
    <w:rsid w:val="00334A6B"/>
    <w:rsid w:val="003366B2"/>
    <w:rsid w:val="00340066"/>
    <w:rsid w:val="0034122D"/>
    <w:rsid w:val="00341474"/>
    <w:rsid w:val="0034288B"/>
    <w:rsid w:val="0034332B"/>
    <w:rsid w:val="0034681C"/>
    <w:rsid w:val="00350547"/>
    <w:rsid w:val="0035345F"/>
    <w:rsid w:val="00357379"/>
    <w:rsid w:val="003600A8"/>
    <w:rsid w:val="0036284D"/>
    <w:rsid w:val="00366524"/>
    <w:rsid w:val="00371542"/>
    <w:rsid w:val="00373E58"/>
    <w:rsid w:val="00374EEE"/>
    <w:rsid w:val="00376073"/>
    <w:rsid w:val="00377452"/>
    <w:rsid w:val="00381223"/>
    <w:rsid w:val="00381849"/>
    <w:rsid w:val="003823A0"/>
    <w:rsid w:val="00384F36"/>
    <w:rsid w:val="00384F79"/>
    <w:rsid w:val="00385271"/>
    <w:rsid w:val="00387368"/>
    <w:rsid w:val="0039226E"/>
    <w:rsid w:val="00392CC8"/>
    <w:rsid w:val="003949E1"/>
    <w:rsid w:val="00397708"/>
    <w:rsid w:val="003A2017"/>
    <w:rsid w:val="003A3A45"/>
    <w:rsid w:val="003A4053"/>
    <w:rsid w:val="003A48CC"/>
    <w:rsid w:val="003A72EF"/>
    <w:rsid w:val="003A7E21"/>
    <w:rsid w:val="003B1553"/>
    <w:rsid w:val="003B4EED"/>
    <w:rsid w:val="003B6B2C"/>
    <w:rsid w:val="003C0126"/>
    <w:rsid w:val="003C266A"/>
    <w:rsid w:val="003C602A"/>
    <w:rsid w:val="003C7E70"/>
    <w:rsid w:val="003D1759"/>
    <w:rsid w:val="003D1896"/>
    <w:rsid w:val="003D3B14"/>
    <w:rsid w:val="003D62F7"/>
    <w:rsid w:val="003E1035"/>
    <w:rsid w:val="003E17F2"/>
    <w:rsid w:val="003E19F7"/>
    <w:rsid w:val="003E1EB2"/>
    <w:rsid w:val="003E3EB9"/>
    <w:rsid w:val="003E492C"/>
    <w:rsid w:val="003E710D"/>
    <w:rsid w:val="003E7A9C"/>
    <w:rsid w:val="003F328F"/>
    <w:rsid w:val="003F531A"/>
    <w:rsid w:val="003F7562"/>
    <w:rsid w:val="003F7C9E"/>
    <w:rsid w:val="0040182D"/>
    <w:rsid w:val="004025E8"/>
    <w:rsid w:val="00402768"/>
    <w:rsid w:val="004038C2"/>
    <w:rsid w:val="00404C36"/>
    <w:rsid w:val="00406F38"/>
    <w:rsid w:val="004107CA"/>
    <w:rsid w:val="00410B3F"/>
    <w:rsid w:val="004111BC"/>
    <w:rsid w:val="0041133E"/>
    <w:rsid w:val="004114CB"/>
    <w:rsid w:val="004125F4"/>
    <w:rsid w:val="004126D4"/>
    <w:rsid w:val="00414703"/>
    <w:rsid w:val="00414CBF"/>
    <w:rsid w:val="00415D2B"/>
    <w:rsid w:val="00416C0A"/>
    <w:rsid w:val="00421941"/>
    <w:rsid w:val="0042233C"/>
    <w:rsid w:val="0042393D"/>
    <w:rsid w:val="00424DE2"/>
    <w:rsid w:val="00430CCE"/>
    <w:rsid w:val="004316B6"/>
    <w:rsid w:val="00432257"/>
    <w:rsid w:val="00432528"/>
    <w:rsid w:val="00432836"/>
    <w:rsid w:val="00433A37"/>
    <w:rsid w:val="004369C1"/>
    <w:rsid w:val="004373D1"/>
    <w:rsid w:val="0043778D"/>
    <w:rsid w:val="004450C8"/>
    <w:rsid w:val="004454C2"/>
    <w:rsid w:val="00445837"/>
    <w:rsid w:val="00447347"/>
    <w:rsid w:val="00447F33"/>
    <w:rsid w:val="00450A27"/>
    <w:rsid w:val="00451EC2"/>
    <w:rsid w:val="0045310D"/>
    <w:rsid w:val="00455EEC"/>
    <w:rsid w:val="00456E9D"/>
    <w:rsid w:val="00461D40"/>
    <w:rsid w:val="0046204F"/>
    <w:rsid w:val="00463357"/>
    <w:rsid w:val="00463A04"/>
    <w:rsid w:val="00465255"/>
    <w:rsid w:val="004655E7"/>
    <w:rsid w:val="00470C0D"/>
    <w:rsid w:val="00473718"/>
    <w:rsid w:val="00473869"/>
    <w:rsid w:val="0047410E"/>
    <w:rsid w:val="0048054A"/>
    <w:rsid w:val="00480C65"/>
    <w:rsid w:val="004818E8"/>
    <w:rsid w:val="00482A0C"/>
    <w:rsid w:val="00482F67"/>
    <w:rsid w:val="00483006"/>
    <w:rsid w:val="00484915"/>
    <w:rsid w:val="00485961"/>
    <w:rsid w:val="00485C64"/>
    <w:rsid w:val="00487387"/>
    <w:rsid w:val="00490E50"/>
    <w:rsid w:val="004919FD"/>
    <w:rsid w:val="004A06FC"/>
    <w:rsid w:val="004A132C"/>
    <w:rsid w:val="004A189C"/>
    <w:rsid w:val="004A1E99"/>
    <w:rsid w:val="004A21BF"/>
    <w:rsid w:val="004B26D9"/>
    <w:rsid w:val="004B2C5E"/>
    <w:rsid w:val="004B33D9"/>
    <w:rsid w:val="004B70CF"/>
    <w:rsid w:val="004B774B"/>
    <w:rsid w:val="004C4629"/>
    <w:rsid w:val="004C4B71"/>
    <w:rsid w:val="004C4D22"/>
    <w:rsid w:val="004D087E"/>
    <w:rsid w:val="004D141F"/>
    <w:rsid w:val="004D19DB"/>
    <w:rsid w:val="004D1E88"/>
    <w:rsid w:val="004D3CD7"/>
    <w:rsid w:val="004D58DE"/>
    <w:rsid w:val="004D63E2"/>
    <w:rsid w:val="004D785D"/>
    <w:rsid w:val="004D7D39"/>
    <w:rsid w:val="004E3CA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2E8"/>
    <w:rsid w:val="0051239B"/>
    <w:rsid w:val="00516BBB"/>
    <w:rsid w:val="005218F7"/>
    <w:rsid w:val="005220FE"/>
    <w:rsid w:val="00523E83"/>
    <w:rsid w:val="005248BB"/>
    <w:rsid w:val="005308A5"/>
    <w:rsid w:val="005314E9"/>
    <w:rsid w:val="00531723"/>
    <w:rsid w:val="0053275E"/>
    <w:rsid w:val="0053324F"/>
    <w:rsid w:val="00533C01"/>
    <w:rsid w:val="005348BF"/>
    <w:rsid w:val="00541E10"/>
    <w:rsid w:val="00541EF9"/>
    <w:rsid w:val="005431CF"/>
    <w:rsid w:val="00543D0A"/>
    <w:rsid w:val="00544E85"/>
    <w:rsid w:val="00544EFB"/>
    <w:rsid w:val="005454F3"/>
    <w:rsid w:val="005455E5"/>
    <w:rsid w:val="0054681B"/>
    <w:rsid w:val="0054779A"/>
    <w:rsid w:val="00547BA1"/>
    <w:rsid w:val="005506C4"/>
    <w:rsid w:val="00554997"/>
    <w:rsid w:val="00556101"/>
    <w:rsid w:val="00556446"/>
    <w:rsid w:val="00557CB1"/>
    <w:rsid w:val="0056072C"/>
    <w:rsid w:val="0056091E"/>
    <w:rsid w:val="00561371"/>
    <w:rsid w:val="0056172D"/>
    <w:rsid w:val="005621C5"/>
    <w:rsid w:val="00562388"/>
    <w:rsid w:val="00562C8A"/>
    <w:rsid w:val="005635F3"/>
    <w:rsid w:val="0056411C"/>
    <w:rsid w:val="00565B4C"/>
    <w:rsid w:val="005663FF"/>
    <w:rsid w:val="005669C5"/>
    <w:rsid w:val="005677E5"/>
    <w:rsid w:val="00570D24"/>
    <w:rsid w:val="00574C1A"/>
    <w:rsid w:val="0057647E"/>
    <w:rsid w:val="00577438"/>
    <w:rsid w:val="00577E4E"/>
    <w:rsid w:val="00580002"/>
    <w:rsid w:val="00580EEB"/>
    <w:rsid w:val="00580FAE"/>
    <w:rsid w:val="00580FCF"/>
    <w:rsid w:val="00583673"/>
    <w:rsid w:val="00583D08"/>
    <w:rsid w:val="005874BD"/>
    <w:rsid w:val="00587BE7"/>
    <w:rsid w:val="00587CBC"/>
    <w:rsid w:val="005904F9"/>
    <w:rsid w:val="0059292C"/>
    <w:rsid w:val="00595DF1"/>
    <w:rsid w:val="00596524"/>
    <w:rsid w:val="00597D35"/>
    <w:rsid w:val="005A0B73"/>
    <w:rsid w:val="005A1251"/>
    <w:rsid w:val="005A4A36"/>
    <w:rsid w:val="005A6A1D"/>
    <w:rsid w:val="005A6D6D"/>
    <w:rsid w:val="005A7264"/>
    <w:rsid w:val="005B1601"/>
    <w:rsid w:val="005B4CFC"/>
    <w:rsid w:val="005B5899"/>
    <w:rsid w:val="005B58B0"/>
    <w:rsid w:val="005B6E0D"/>
    <w:rsid w:val="005C0298"/>
    <w:rsid w:val="005C0769"/>
    <w:rsid w:val="005C360A"/>
    <w:rsid w:val="005C3CE1"/>
    <w:rsid w:val="005C5419"/>
    <w:rsid w:val="005C5685"/>
    <w:rsid w:val="005C7EE9"/>
    <w:rsid w:val="005D1D21"/>
    <w:rsid w:val="005D221C"/>
    <w:rsid w:val="005D2A43"/>
    <w:rsid w:val="005D6EA0"/>
    <w:rsid w:val="005E01AA"/>
    <w:rsid w:val="005E0EA9"/>
    <w:rsid w:val="005E100F"/>
    <w:rsid w:val="005E3188"/>
    <w:rsid w:val="005E76E2"/>
    <w:rsid w:val="005E7B36"/>
    <w:rsid w:val="005F02E6"/>
    <w:rsid w:val="005F10F1"/>
    <w:rsid w:val="005F1911"/>
    <w:rsid w:val="005F2432"/>
    <w:rsid w:val="005F2CBA"/>
    <w:rsid w:val="005F3216"/>
    <w:rsid w:val="005F3BD8"/>
    <w:rsid w:val="005F4DFE"/>
    <w:rsid w:val="005F4EF9"/>
    <w:rsid w:val="005F73FA"/>
    <w:rsid w:val="005F7555"/>
    <w:rsid w:val="006007D8"/>
    <w:rsid w:val="006013F4"/>
    <w:rsid w:val="006015AE"/>
    <w:rsid w:val="006017B1"/>
    <w:rsid w:val="0060685F"/>
    <w:rsid w:val="00607066"/>
    <w:rsid w:val="00607197"/>
    <w:rsid w:val="0060759D"/>
    <w:rsid w:val="00607A16"/>
    <w:rsid w:val="00607FDC"/>
    <w:rsid w:val="006109F8"/>
    <w:rsid w:val="00611C63"/>
    <w:rsid w:val="00614522"/>
    <w:rsid w:val="006147EA"/>
    <w:rsid w:val="00622652"/>
    <w:rsid w:val="00623075"/>
    <w:rsid w:val="0062367A"/>
    <w:rsid w:val="00623910"/>
    <w:rsid w:val="00624A27"/>
    <w:rsid w:val="00624D74"/>
    <w:rsid w:val="0062579C"/>
    <w:rsid w:val="0062716D"/>
    <w:rsid w:val="00627AF2"/>
    <w:rsid w:val="00630200"/>
    <w:rsid w:val="00632F94"/>
    <w:rsid w:val="0063632F"/>
    <w:rsid w:val="00640E38"/>
    <w:rsid w:val="00643FD7"/>
    <w:rsid w:val="00644F02"/>
    <w:rsid w:val="00647124"/>
    <w:rsid w:val="006505BC"/>
    <w:rsid w:val="00650C56"/>
    <w:rsid w:val="00652858"/>
    <w:rsid w:val="006558DC"/>
    <w:rsid w:val="00656B27"/>
    <w:rsid w:val="006578A7"/>
    <w:rsid w:val="00657F8B"/>
    <w:rsid w:val="00660401"/>
    <w:rsid w:val="006618FC"/>
    <w:rsid w:val="00663D00"/>
    <w:rsid w:val="00663E86"/>
    <w:rsid w:val="00671475"/>
    <w:rsid w:val="00671B7E"/>
    <w:rsid w:val="0067380E"/>
    <w:rsid w:val="006767BC"/>
    <w:rsid w:val="00681D75"/>
    <w:rsid w:val="0068242E"/>
    <w:rsid w:val="00684BAF"/>
    <w:rsid w:val="00685ED1"/>
    <w:rsid w:val="00687CC2"/>
    <w:rsid w:val="00694F2C"/>
    <w:rsid w:val="00694F3F"/>
    <w:rsid w:val="00696EBB"/>
    <w:rsid w:val="006A13D7"/>
    <w:rsid w:val="006A1F10"/>
    <w:rsid w:val="006A4D4E"/>
    <w:rsid w:val="006B3FDA"/>
    <w:rsid w:val="006B630A"/>
    <w:rsid w:val="006B68AF"/>
    <w:rsid w:val="006B7C24"/>
    <w:rsid w:val="006C1577"/>
    <w:rsid w:val="006C1A37"/>
    <w:rsid w:val="006C244D"/>
    <w:rsid w:val="006C5ACD"/>
    <w:rsid w:val="006C6300"/>
    <w:rsid w:val="006D1544"/>
    <w:rsid w:val="006D228B"/>
    <w:rsid w:val="006D36B7"/>
    <w:rsid w:val="006D3A49"/>
    <w:rsid w:val="006D686D"/>
    <w:rsid w:val="006E0B5E"/>
    <w:rsid w:val="006E16F1"/>
    <w:rsid w:val="006E2BE3"/>
    <w:rsid w:val="006E359B"/>
    <w:rsid w:val="006E64FA"/>
    <w:rsid w:val="006E75BF"/>
    <w:rsid w:val="006E7791"/>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06972"/>
    <w:rsid w:val="0070756E"/>
    <w:rsid w:val="007122EC"/>
    <w:rsid w:val="007143EA"/>
    <w:rsid w:val="00714504"/>
    <w:rsid w:val="00714751"/>
    <w:rsid w:val="0071742A"/>
    <w:rsid w:val="00717B24"/>
    <w:rsid w:val="00724C4D"/>
    <w:rsid w:val="00730E8F"/>
    <w:rsid w:val="00731D48"/>
    <w:rsid w:val="00733D9F"/>
    <w:rsid w:val="00734484"/>
    <w:rsid w:val="00735872"/>
    <w:rsid w:val="007404E5"/>
    <w:rsid w:val="00742076"/>
    <w:rsid w:val="0074415E"/>
    <w:rsid w:val="00745136"/>
    <w:rsid w:val="00745A15"/>
    <w:rsid w:val="00745DD2"/>
    <w:rsid w:val="00746768"/>
    <w:rsid w:val="00750414"/>
    <w:rsid w:val="00750B2E"/>
    <w:rsid w:val="00751354"/>
    <w:rsid w:val="00752096"/>
    <w:rsid w:val="00756909"/>
    <w:rsid w:val="00756D42"/>
    <w:rsid w:val="00760D10"/>
    <w:rsid w:val="007618E0"/>
    <w:rsid w:val="00762108"/>
    <w:rsid w:val="007706FF"/>
    <w:rsid w:val="00770E38"/>
    <w:rsid w:val="00774125"/>
    <w:rsid w:val="007751DE"/>
    <w:rsid w:val="00776AF1"/>
    <w:rsid w:val="0078133D"/>
    <w:rsid w:val="00781E34"/>
    <w:rsid w:val="007837E9"/>
    <w:rsid w:val="00785785"/>
    <w:rsid w:val="00786E30"/>
    <w:rsid w:val="00791DED"/>
    <w:rsid w:val="00792AA8"/>
    <w:rsid w:val="007933D4"/>
    <w:rsid w:val="00793AAE"/>
    <w:rsid w:val="00794972"/>
    <w:rsid w:val="00796EE7"/>
    <w:rsid w:val="00797022"/>
    <w:rsid w:val="007A2C09"/>
    <w:rsid w:val="007A3ABE"/>
    <w:rsid w:val="007A4CB0"/>
    <w:rsid w:val="007A5B52"/>
    <w:rsid w:val="007A60F8"/>
    <w:rsid w:val="007A62C3"/>
    <w:rsid w:val="007B071A"/>
    <w:rsid w:val="007B341B"/>
    <w:rsid w:val="007B3CF4"/>
    <w:rsid w:val="007B3D67"/>
    <w:rsid w:val="007B4102"/>
    <w:rsid w:val="007B651A"/>
    <w:rsid w:val="007B6648"/>
    <w:rsid w:val="007B6669"/>
    <w:rsid w:val="007B6B5F"/>
    <w:rsid w:val="007B7790"/>
    <w:rsid w:val="007C2192"/>
    <w:rsid w:val="007C311B"/>
    <w:rsid w:val="007C3C70"/>
    <w:rsid w:val="007C462E"/>
    <w:rsid w:val="007C506B"/>
    <w:rsid w:val="007C600C"/>
    <w:rsid w:val="007D0986"/>
    <w:rsid w:val="007D59A7"/>
    <w:rsid w:val="007D698B"/>
    <w:rsid w:val="007D7BB6"/>
    <w:rsid w:val="007E0F01"/>
    <w:rsid w:val="007E5D35"/>
    <w:rsid w:val="007E7D5E"/>
    <w:rsid w:val="007F52A6"/>
    <w:rsid w:val="007F5789"/>
    <w:rsid w:val="007F68DA"/>
    <w:rsid w:val="007F74C3"/>
    <w:rsid w:val="008004E7"/>
    <w:rsid w:val="0080276C"/>
    <w:rsid w:val="008060C8"/>
    <w:rsid w:val="00810F5C"/>
    <w:rsid w:val="008116EB"/>
    <w:rsid w:val="00811C38"/>
    <w:rsid w:val="00812723"/>
    <w:rsid w:val="00814A6A"/>
    <w:rsid w:val="00814ED4"/>
    <w:rsid w:val="008152E3"/>
    <w:rsid w:val="0081557C"/>
    <w:rsid w:val="008159B1"/>
    <w:rsid w:val="00820282"/>
    <w:rsid w:val="00820651"/>
    <w:rsid w:val="0082117F"/>
    <w:rsid w:val="00823BDD"/>
    <w:rsid w:val="0082619C"/>
    <w:rsid w:val="00831A0D"/>
    <w:rsid w:val="00836AD2"/>
    <w:rsid w:val="008375CC"/>
    <w:rsid w:val="008415CC"/>
    <w:rsid w:val="00842862"/>
    <w:rsid w:val="00844A64"/>
    <w:rsid w:val="00845199"/>
    <w:rsid w:val="00846C00"/>
    <w:rsid w:val="00847DFE"/>
    <w:rsid w:val="00851111"/>
    <w:rsid w:val="008525CF"/>
    <w:rsid w:val="00853050"/>
    <w:rsid w:val="008542CC"/>
    <w:rsid w:val="00857E41"/>
    <w:rsid w:val="00860973"/>
    <w:rsid w:val="00860B77"/>
    <w:rsid w:val="0086183E"/>
    <w:rsid w:val="008648B5"/>
    <w:rsid w:val="00865A78"/>
    <w:rsid w:val="0086641A"/>
    <w:rsid w:val="00867F68"/>
    <w:rsid w:val="008730EF"/>
    <w:rsid w:val="008737D3"/>
    <w:rsid w:val="00873E0E"/>
    <w:rsid w:val="00874CEB"/>
    <w:rsid w:val="00876749"/>
    <w:rsid w:val="00877310"/>
    <w:rsid w:val="00877CBF"/>
    <w:rsid w:val="00880FB4"/>
    <w:rsid w:val="00882D53"/>
    <w:rsid w:val="00883437"/>
    <w:rsid w:val="008834C5"/>
    <w:rsid w:val="00883C24"/>
    <w:rsid w:val="008852B0"/>
    <w:rsid w:val="008853F8"/>
    <w:rsid w:val="0089219E"/>
    <w:rsid w:val="008953BD"/>
    <w:rsid w:val="008A01D1"/>
    <w:rsid w:val="008A4628"/>
    <w:rsid w:val="008A61CE"/>
    <w:rsid w:val="008A7E1B"/>
    <w:rsid w:val="008B47CB"/>
    <w:rsid w:val="008B6A6C"/>
    <w:rsid w:val="008C15BB"/>
    <w:rsid w:val="008C28E5"/>
    <w:rsid w:val="008C4E5F"/>
    <w:rsid w:val="008C6886"/>
    <w:rsid w:val="008C6C82"/>
    <w:rsid w:val="008C7938"/>
    <w:rsid w:val="008D15F7"/>
    <w:rsid w:val="008D1FDE"/>
    <w:rsid w:val="008D351D"/>
    <w:rsid w:val="008D7297"/>
    <w:rsid w:val="008E1C45"/>
    <w:rsid w:val="008E242E"/>
    <w:rsid w:val="008E647B"/>
    <w:rsid w:val="008E6575"/>
    <w:rsid w:val="008E7B61"/>
    <w:rsid w:val="008E7F7E"/>
    <w:rsid w:val="008F1877"/>
    <w:rsid w:val="008F3AE2"/>
    <w:rsid w:val="008F4440"/>
    <w:rsid w:val="008F5981"/>
    <w:rsid w:val="008F5E61"/>
    <w:rsid w:val="008F6221"/>
    <w:rsid w:val="008F66EF"/>
    <w:rsid w:val="008F722B"/>
    <w:rsid w:val="008F777B"/>
    <w:rsid w:val="008F7CCE"/>
    <w:rsid w:val="00903CA5"/>
    <w:rsid w:val="009052A1"/>
    <w:rsid w:val="009052A3"/>
    <w:rsid w:val="0090532E"/>
    <w:rsid w:val="009064E2"/>
    <w:rsid w:val="00906A85"/>
    <w:rsid w:val="009075DA"/>
    <w:rsid w:val="009077C7"/>
    <w:rsid w:val="0091220E"/>
    <w:rsid w:val="0091294F"/>
    <w:rsid w:val="009139BF"/>
    <w:rsid w:val="0091465A"/>
    <w:rsid w:val="00916F8B"/>
    <w:rsid w:val="00920216"/>
    <w:rsid w:val="00920463"/>
    <w:rsid w:val="009208F1"/>
    <w:rsid w:val="009231E5"/>
    <w:rsid w:val="009238C7"/>
    <w:rsid w:val="00923D68"/>
    <w:rsid w:val="009245CA"/>
    <w:rsid w:val="00926E4D"/>
    <w:rsid w:val="009278A6"/>
    <w:rsid w:val="00930773"/>
    <w:rsid w:val="0093352D"/>
    <w:rsid w:val="00935CB5"/>
    <w:rsid w:val="00936175"/>
    <w:rsid w:val="009376FF"/>
    <w:rsid w:val="00940185"/>
    <w:rsid w:val="00940BCD"/>
    <w:rsid w:val="00941279"/>
    <w:rsid w:val="009462D5"/>
    <w:rsid w:val="00953EB6"/>
    <w:rsid w:val="0095456C"/>
    <w:rsid w:val="009547B3"/>
    <w:rsid w:val="00956485"/>
    <w:rsid w:val="00956905"/>
    <w:rsid w:val="009614C6"/>
    <w:rsid w:val="00962BFB"/>
    <w:rsid w:val="00962E1C"/>
    <w:rsid w:val="0096349D"/>
    <w:rsid w:val="00964954"/>
    <w:rsid w:val="00964EAB"/>
    <w:rsid w:val="00966DEC"/>
    <w:rsid w:val="0097673B"/>
    <w:rsid w:val="00976A06"/>
    <w:rsid w:val="00977489"/>
    <w:rsid w:val="009803F3"/>
    <w:rsid w:val="00984E2A"/>
    <w:rsid w:val="00987C7D"/>
    <w:rsid w:val="00990380"/>
    <w:rsid w:val="0099102F"/>
    <w:rsid w:val="009920A8"/>
    <w:rsid w:val="009921DB"/>
    <w:rsid w:val="00993B20"/>
    <w:rsid w:val="009940EF"/>
    <w:rsid w:val="00994A8D"/>
    <w:rsid w:val="00994D06"/>
    <w:rsid w:val="00997CF0"/>
    <w:rsid w:val="009A05FB"/>
    <w:rsid w:val="009A0BBC"/>
    <w:rsid w:val="009A32FF"/>
    <w:rsid w:val="009A5AFD"/>
    <w:rsid w:val="009A6187"/>
    <w:rsid w:val="009A633E"/>
    <w:rsid w:val="009A6EFD"/>
    <w:rsid w:val="009B10A4"/>
    <w:rsid w:val="009B39DC"/>
    <w:rsid w:val="009B61E7"/>
    <w:rsid w:val="009C0087"/>
    <w:rsid w:val="009C6E72"/>
    <w:rsid w:val="009D0AE2"/>
    <w:rsid w:val="009D1532"/>
    <w:rsid w:val="009D1BEF"/>
    <w:rsid w:val="009D3C3F"/>
    <w:rsid w:val="009D4D67"/>
    <w:rsid w:val="009D635B"/>
    <w:rsid w:val="009D66DC"/>
    <w:rsid w:val="009D7F6F"/>
    <w:rsid w:val="009E0393"/>
    <w:rsid w:val="009E07D3"/>
    <w:rsid w:val="009F06F2"/>
    <w:rsid w:val="009F2946"/>
    <w:rsid w:val="009F3462"/>
    <w:rsid w:val="009F4B0B"/>
    <w:rsid w:val="009F635E"/>
    <w:rsid w:val="009F7D59"/>
    <w:rsid w:val="00A02C5D"/>
    <w:rsid w:val="00A03F7A"/>
    <w:rsid w:val="00A140D3"/>
    <w:rsid w:val="00A1446B"/>
    <w:rsid w:val="00A1574F"/>
    <w:rsid w:val="00A15B69"/>
    <w:rsid w:val="00A167F2"/>
    <w:rsid w:val="00A17EFE"/>
    <w:rsid w:val="00A20C78"/>
    <w:rsid w:val="00A229E6"/>
    <w:rsid w:val="00A2312E"/>
    <w:rsid w:val="00A24323"/>
    <w:rsid w:val="00A2512C"/>
    <w:rsid w:val="00A2515B"/>
    <w:rsid w:val="00A2588E"/>
    <w:rsid w:val="00A258AB"/>
    <w:rsid w:val="00A26EDF"/>
    <w:rsid w:val="00A34789"/>
    <w:rsid w:val="00A3630E"/>
    <w:rsid w:val="00A37BB8"/>
    <w:rsid w:val="00A37D74"/>
    <w:rsid w:val="00A41FF8"/>
    <w:rsid w:val="00A42007"/>
    <w:rsid w:val="00A42D08"/>
    <w:rsid w:val="00A42D87"/>
    <w:rsid w:val="00A436A3"/>
    <w:rsid w:val="00A44BD3"/>
    <w:rsid w:val="00A4521D"/>
    <w:rsid w:val="00A46D6F"/>
    <w:rsid w:val="00A50E83"/>
    <w:rsid w:val="00A51F0A"/>
    <w:rsid w:val="00A53E9F"/>
    <w:rsid w:val="00A54EF2"/>
    <w:rsid w:val="00A552D7"/>
    <w:rsid w:val="00A55D48"/>
    <w:rsid w:val="00A565BA"/>
    <w:rsid w:val="00A57BEB"/>
    <w:rsid w:val="00A61673"/>
    <w:rsid w:val="00A630C6"/>
    <w:rsid w:val="00A64926"/>
    <w:rsid w:val="00A65A0B"/>
    <w:rsid w:val="00A65A62"/>
    <w:rsid w:val="00A663A3"/>
    <w:rsid w:val="00A665CF"/>
    <w:rsid w:val="00A67CA7"/>
    <w:rsid w:val="00A72084"/>
    <w:rsid w:val="00A72E4F"/>
    <w:rsid w:val="00A73989"/>
    <w:rsid w:val="00A75109"/>
    <w:rsid w:val="00A7752F"/>
    <w:rsid w:val="00A85C35"/>
    <w:rsid w:val="00A92061"/>
    <w:rsid w:val="00A94249"/>
    <w:rsid w:val="00A94BC9"/>
    <w:rsid w:val="00A959BC"/>
    <w:rsid w:val="00AA2562"/>
    <w:rsid w:val="00AA2DEE"/>
    <w:rsid w:val="00AA2FA9"/>
    <w:rsid w:val="00AA3C60"/>
    <w:rsid w:val="00AA5E2B"/>
    <w:rsid w:val="00AA6EDC"/>
    <w:rsid w:val="00AA753E"/>
    <w:rsid w:val="00AB2FF4"/>
    <w:rsid w:val="00AB5705"/>
    <w:rsid w:val="00AB5F9C"/>
    <w:rsid w:val="00AC03BA"/>
    <w:rsid w:val="00AC1AD6"/>
    <w:rsid w:val="00AC628A"/>
    <w:rsid w:val="00AD03EA"/>
    <w:rsid w:val="00AD0AAD"/>
    <w:rsid w:val="00AD6431"/>
    <w:rsid w:val="00AD64DF"/>
    <w:rsid w:val="00AE1025"/>
    <w:rsid w:val="00AE3F03"/>
    <w:rsid w:val="00AE4EAD"/>
    <w:rsid w:val="00AE64F0"/>
    <w:rsid w:val="00AF08F9"/>
    <w:rsid w:val="00AF23C8"/>
    <w:rsid w:val="00AF2AE2"/>
    <w:rsid w:val="00B009A0"/>
    <w:rsid w:val="00B033EA"/>
    <w:rsid w:val="00B0377E"/>
    <w:rsid w:val="00B06AED"/>
    <w:rsid w:val="00B07BA9"/>
    <w:rsid w:val="00B10055"/>
    <w:rsid w:val="00B1141E"/>
    <w:rsid w:val="00B1278B"/>
    <w:rsid w:val="00B17295"/>
    <w:rsid w:val="00B215F5"/>
    <w:rsid w:val="00B24D21"/>
    <w:rsid w:val="00B25FF4"/>
    <w:rsid w:val="00B26B62"/>
    <w:rsid w:val="00B27836"/>
    <w:rsid w:val="00B27A54"/>
    <w:rsid w:val="00B30783"/>
    <w:rsid w:val="00B33EC6"/>
    <w:rsid w:val="00B41F0F"/>
    <w:rsid w:val="00B42391"/>
    <w:rsid w:val="00B42560"/>
    <w:rsid w:val="00B43504"/>
    <w:rsid w:val="00B43AD8"/>
    <w:rsid w:val="00B455AA"/>
    <w:rsid w:val="00B45778"/>
    <w:rsid w:val="00B457A1"/>
    <w:rsid w:val="00B4630F"/>
    <w:rsid w:val="00B464B1"/>
    <w:rsid w:val="00B47A4A"/>
    <w:rsid w:val="00B47B99"/>
    <w:rsid w:val="00B506F2"/>
    <w:rsid w:val="00B510E3"/>
    <w:rsid w:val="00B51D61"/>
    <w:rsid w:val="00B521AC"/>
    <w:rsid w:val="00B52702"/>
    <w:rsid w:val="00B5498D"/>
    <w:rsid w:val="00B5501D"/>
    <w:rsid w:val="00B578FB"/>
    <w:rsid w:val="00B6151E"/>
    <w:rsid w:val="00B64962"/>
    <w:rsid w:val="00B676EC"/>
    <w:rsid w:val="00B6791A"/>
    <w:rsid w:val="00B7016C"/>
    <w:rsid w:val="00B7039B"/>
    <w:rsid w:val="00B7286D"/>
    <w:rsid w:val="00B728C1"/>
    <w:rsid w:val="00B74D1E"/>
    <w:rsid w:val="00B7533C"/>
    <w:rsid w:val="00B76A18"/>
    <w:rsid w:val="00B84C6C"/>
    <w:rsid w:val="00B92687"/>
    <w:rsid w:val="00B92C2B"/>
    <w:rsid w:val="00B94248"/>
    <w:rsid w:val="00B942A1"/>
    <w:rsid w:val="00B94B4F"/>
    <w:rsid w:val="00B96415"/>
    <w:rsid w:val="00B976F6"/>
    <w:rsid w:val="00BA524E"/>
    <w:rsid w:val="00BA59BA"/>
    <w:rsid w:val="00BA5C45"/>
    <w:rsid w:val="00BA5F41"/>
    <w:rsid w:val="00BA7385"/>
    <w:rsid w:val="00BB187C"/>
    <w:rsid w:val="00BB296B"/>
    <w:rsid w:val="00BB2A9C"/>
    <w:rsid w:val="00BB2C42"/>
    <w:rsid w:val="00BB3622"/>
    <w:rsid w:val="00BB440B"/>
    <w:rsid w:val="00BB6414"/>
    <w:rsid w:val="00BB682C"/>
    <w:rsid w:val="00BB7CA9"/>
    <w:rsid w:val="00BC236B"/>
    <w:rsid w:val="00BC2BB4"/>
    <w:rsid w:val="00BC3433"/>
    <w:rsid w:val="00BC474F"/>
    <w:rsid w:val="00BC65D9"/>
    <w:rsid w:val="00BC7C52"/>
    <w:rsid w:val="00BD0CF6"/>
    <w:rsid w:val="00BD1471"/>
    <w:rsid w:val="00BD14C5"/>
    <w:rsid w:val="00BD196A"/>
    <w:rsid w:val="00BD2081"/>
    <w:rsid w:val="00BD2311"/>
    <w:rsid w:val="00BD27E1"/>
    <w:rsid w:val="00BD40BC"/>
    <w:rsid w:val="00BD6262"/>
    <w:rsid w:val="00BD7EED"/>
    <w:rsid w:val="00BE05EF"/>
    <w:rsid w:val="00BE06B3"/>
    <w:rsid w:val="00BE37BD"/>
    <w:rsid w:val="00BE4C48"/>
    <w:rsid w:val="00BE5268"/>
    <w:rsid w:val="00BE61C1"/>
    <w:rsid w:val="00BE64AF"/>
    <w:rsid w:val="00BE6717"/>
    <w:rsid w:val="00BE6D56"/>
    <w:rsid w:val="00BF0381"/>
    <w:rsid w:val="00BF446E"/>
    <w:rsid w:val="00BF6791"/>
    <w:rsid w:val="00BF6E7B"/>
    <w:rsid w:val="00BF6FD0"/>
    <w:rsid w:val="00C01021"/>
    <w:rsid w:val="00C0141F"/>
    <w:rsid w:val="00C048AF"/>
    <w:rsid w:val="00C077E0"/>
    <w:rsid w:val="00C07DE6"/>
    <w:rsid w:val="00C100A6"/>
    <w:rsid w:val="00C128DA"/>
    <w:rsid w:val="00C154B5"/>
    <w:rsid w:val="00C17872"/>
    <w:rsid w:val="00C205E9"/>
    <w:rsid w:val="00C212FC"/>
    <w:rsid w:val="00C23F48"/>
    <w:rsid w:val="00C262BD"/>
    <w:rsid w:val="00C30E04"/>
    <w:rsid w:val="00C310C2"/>
    <w:rsid w:val="00C31596"/>
    <w:rsid w:val="00C3561E"/>
    <w:rsid w:val="00C36525"/>
    <w:rsid w:val="00C40EB3"/>
    <w:rsid w:val="00C413A1"/>
    <w:rsid w:val="00C41BD9"/>
    <w:rsid w:val="00C434FD"/>
    <w:rsid w:val="00C4350E"/>
    <w:rsid w:val="00C477CA"/>
    <w:rsid w:val="00C47AC7"/>
    <w:rsid w:val="00C514FB"/>
    <w:rsid w:val="00C5192E"/>
    <w:rsid w:val="00C52461"/>
    <w:rsid w:val="00C52DE6"/>
    <w:rsid w:val="00C6016B"/>
    <w:rsid w:val="00C62BBD"/>
    <w:rsid w:val="00C6310E"/>
    <w:rsid w:val="00C634A7"/>
    <w:rsid w:val="00C638D7"/>
    <w:rsid w:val="00C638DF"/>
    <w:rsid w:val="00C64720"/>
    <w:rsid w:val="00C6517F"/>
    <w:rsid w:val="00C67BA6"/>
    <w:rsid w:val="00C67D5E"/>
    <w:rsid w:val="00C70DA3"/>
    <w:rsid w:val="00C71920"/>
    <w:rsid w:val="00C71D56"/>
    <w:rsid w:val="00C723AC"/>
    <w:rsid w:val="00C72A63"/>
    <w:rsid w:val="00C73ECB"/>
    <w:rsid w:val="00C77A70"/>
    <w:rsid w:val="00C80AE4"/>
    <w:rsid w:val="00C80CEE"/>
    <w:rsid w:val="00C812B6"/>
    <w:rsid w:val="00C84EBF"/>
    <w:rsid w:val="00C857F1"/>
    <w:rsid w:val="00C871C4"/>
    <w:rsid w:val="00C902F8"/>
    <w:rsid w:val="00C91CB8"/>
    <w:rsid w:val="00C95FA5"/>
    <w:rsid w:val="00C97301"/>
    <w:rsid w:val="00CA03D4"/>
    <w:rsid w:val="00CA1130"/>
    <w:rsid w:val="00CA415F"/>
    <w:rsid w:val="00CA529D"/>
    <w:rsid w:val="00CA5EA7"/>
    <w:rsid w:val="00CA7801"/>
    <w:rsid w:val="00CB026C"/>
    <w:rsid w:val="00CB18D0"/>
    <w:rsid w:val="00CB2585"/>
    <w:rsid w:val="00CB2C14"/>
    <w:rsid w:val="00CB38B8"/>
    <w:rsid w:val="00CB5A49"/>
    <w:rsid w:val="00CB5C15"/>
    <w:rsid w:val="00CB678B"/>
    <w:rsid w:val="00CC1228"/>
    <w:rsid w:val="00CC1A21"/>
    <w:rsid w:val="00CC4206"/>
    <w:rsid w:val="00CC66DE"/>
    <w:rsid w:val="00CC7C0C"/>
    <w:rsid w:val="00CD155C"/>
    <w:rsid w:val="00CD5694"/>
    <w:rsid w:val="00CD75E3"/>
    <w:rsid w:val="00CD7B51"/>
    <w:rsid w:val="00CD7EC8"/>
    <w:rsid w:val="00CE2627"/>
    <w:rsid w:val="00CE2EB2"/>
    <w:rsid w:val="00CE525D"/>
    <w:rsid w:val="00CE5C99"/>
    <w:rsid w:val="00CF23EE"/>
    <w:rsid w:val="00CF2902"/>
    <w:rsid w:val="00CF41D3"/>
    <w:rsid w:val="00D03A36"/>
    <w:rsid w:val="00D03D83"/>
    <w:rsid w:val="00D06FA9"/>
    <w:rsid w:val="00D11357"/>
    <w:rsid w:val="00D126F7"/>
    <w:rsid w:val="00D129F5"/>
    <w:rsid w:val="00D12ED9"/>
    <w:rsid w:val="00D141DD"/>
    <w:rsid w:val="00D1469B"/>
    <w:rsid w:val="00D1494A"/>
    <w:rsid w:val="00D21887"/>
    <w:rsid w:val="00D23BE5"/>
    <w:rsid w:val="00D266DE"/>
    <w:rsid w:val="00D273D9"/>
    <w:rsid w:val="00D31689"/>
    <w:rsid w:val="00D3212F"/>
    <w:rsid w:val="00D325D3"/>
    <w:rsid w:val="00D34222"/>
    <w:rsid w:val="00D355E8"/>
    <w:rsid w:val="00D361D9"/>
    <w:rsid w:val="00D36DA5"/>
    <w:rsid w:val="00D37F9C"/>
    <w:rsid w:val="00D402E5"/>
    <w:rsid w:val="00D43DD6"/>
    <w:rsid w:val="00D454EC"/>
    <w:rsid w:val="00D46E09"/>
    <w:rsid w:val="00D51C2C"/>
    <w:rsid w:val="00D5207D"/>
    <w:rsid w:val="00D537E9"/>
    <w:rsid w:val="00D55A36"/>
    <w:rsid w:val="00D5689A"/>
    <w:rsid w:val="00D56915"/>
    <w:rsid w:val="00D57072"/>
    <w:rsid w:val="00D57C98"/>
    <w:rsid w:val="00D606C6"/>
    <w:rsid w:val="00D61249"/>
    <w:rsid w:val="00D61AE5"/>
    <w:rsid w:val="00D64636"/>
    <w:rsid w:val="00D648DF"/>
    <w:rsid w:val="00D666F9"/>
    <w:rsid w:val="00D668E4"/>
    <w:rsid w:val="00D67466"/>
    <w:rsid w:val="00D7047B"/>
    <w:rsid w:val="00D70735"/>
    <w:rsid w:val="00D729A9"/>
    <w:rsid w:val="00D73169"/>
    <w:rsid w:val="00D73A17"/>
    <w:rsid w:val="00D741F4"/>
    <w:rsid w:val="00D74817"/>
    <w:rsid w:val="00D74FEC"/>
    <w:rsid w:val="00D75505"/>
    <w:rsid w:val="00D765B0"/>
    <w:rsid w:val="00D76695"/>
    <w:rsid w:val="00D77DAB"/>
    <w:rsid w:val="00D80998"/>
    <w:rsid w:val="00D8228F"/>
    <w:rsid w:val="00D83CB1"/>
    <w:rsid w:val="00D862DA"/>
    <w:rsid w:val="00D8640C"/>
    <w:rsid w:val="00D86456"/>
    <w:rsid w:val="00D86906"/>
    <w:rsid w:val="00D86D91"/>
    <w:rsid w:val="00D870BD"/>
    <w:rsid w:val="00D90ED8"/>
    <w:rsid w:val="00D936C9"/>
    <w:rsid w:val="00D94F5D"/>
    <w:rsid w:val="00D96BE9"/>
    <w:rsid w:val="00DA00C7"/>
    <w:rsid w:val="00DA3D7B"/>
    <w:rsid w:val="00DA6721"/>
    <w:rsid w:val="00DA7189"/>
    <w:rsid w:val="00DA7370"/>
    <w:rsid w:val="00DB1190"/>
    <w:rsid w:val="00DB2081"/>
    <w:rsid w:val="00DB4594"/>
    <w:rsid w:val="00DB4AA3"/>
    <w:rsid w:val="00DB6818"/>
    <w:rsid w:val="00DB68FF"/>
    <w:rsid w:val="00DB7230"/>
    <w:rsid w:val="00DB7D46"/>
    <w:rsid w:val="00DC0BEE"/>
    <w:rsid w:val="00DC32BA"/>
    <w:rsid w:val="00DC5FD8"/>
    <w:rsid w:val="00DD6518"/>
    <w:rsid w:val="00DD6537"/>
    <w:rsid w:val="00DD6667"/>
    <w:rsid w:val="00DD74A2"/>
    <w:rsid w:val="00DE383B"/>
    <w:rsid w:val="00DE44D3"/>
    <w:rsid w:val="00DE48EA"/>
    <w:rsid w:val="00DE49BE"/>
    <w:rsid w:val="00DE56C3"/>
    <w:rsid w:val="00DE6576"/>
    <w:rsid w:val="00DF3E05"/>
    <w:rsid w:val="00DF45E1"/>
    <w:rsid w:val="00DF4614"/>
    <w:rsid w:val="00DF5A81"/>
    <w:rsid w:val="00DF6D10"/>
    <w:rsid w:val="00DF7B25"/>
    <w:rsid w:val="00E00582"/>
    <w:rsid w:val="00E00B67"/>
    <w:rsid w:val="00E04840"/>
    <w:rsid w:val="00E049E3"/>
    <w:rsid w:val="00E0628F"/>
    <w:rsid w:val="00E135A1"/>
    <w:rsid w:val="00E1496E"/>
    <w:rsid w:val="00E16EF1"/>
    <w:rsid w:val="00E17287"/>
    <w:rsid w:val="00E177A0"/>
    <w:rsid w:val="00E17F63"/>
    <w:rsid w:val="00E365E1"/>
    <w:rsid w:val="00E368C3"/>
    <w:rsid w:val="00E3764A"/>
    <w:rsid w:val="00E41F5B"/>
    <w:rsid w:val="00E43C06"/>
    <w:rsid w:val="00E449B1"/>
    <w:rsid w:val="00E47B31"/>
    <w:rsid w:val="00E501F7"/>
    <w:rsid w:val="00E5082D"/>
    <w:rsid w:val="00E54446"/>
    <w:rsid w:val="00E574A9"/>
    <w:rsid w:val="00E61355"/>
    <w:rsid w:val="00E613BC"/>
    <w:rsid w:val="00E61F1E"/>
    <w:rsid w:val="00E62C63"/>
    <w:rsid w:val="00E64537"/>
    <w:rsid w:val="00E6475E"/>
    <w:rsid w:val="00E66861"/>
    <w:rsid w:val="00E66E21"/>
    <w:rsid w:val="00E67063"/>
    <w:rsid w:val="00E70F38"/>
    <w:rsid w:val="00E710FC"/>
    <w:rsid w:val="00E71915"/>
    <w:rsid w:val="00E73470"/>
    <w:rsid w:val="00E75571"/>
    <w:rsid w:val="00E80916"/>
    <w:rsid w:val="00E8240A"/>
    <w:rsid w:val="00E8336E"/>
    <w:rsid w:val="00E840DF"/>
    <w:rsid w:val="00E8452A"/>
    <w:rsid w:val="00E8560F"/>
    <w:rsid w:val="00E85A8E"/>
    <w:rsid w:val="00E8780A"/>
    <w:rsid w:val="00E94FE6"/>
    <w:rsid w:val="00E957FC"/>
    <w:rsid w:val="00E97C5C"/>
    <w:rsid w:val="00EA0289"/>
    <w:rsid w:val="00EA4B2E"/>
    <w:rsid w:val="00EA50F2"/>
    <w:rsid w:val="00EA5390"/>
    <w:rsid w:val="00EA7C49"/>
    <w:rsid w:val="00EB11D1"/>
    <w:rsid w:val="00EB181B"/>
    <w:rsid w:val="00EB1CA4"/>
    <w:rsid w:val="00EB20ED"/>
    <w:rsid w:val="00EB2DEA"/>
    <w:rsid w:val="00EB517D"/>
    <w:rsid w:val="00EC2671"/>
    <w:rsid w:val="00EC341C"/>
    <w:rsid w:val="00EC52A5"/>
    <w:rsid w:val="00ED0C58"/>
    <w:rsid w:val="00ED1657"/>
    <w:rsid w:val="00ED5637"/>
    <w:rsid w:val="00ED6618"/>
    <w:rsid w:val="00EE71C9"/>
    <w:rsid w:val="00EE7CF0"/>
    <w:rsid w:val="00EF2224"/>
    <w:rsid w:val="00EF352D"/>
    <w:rsid w:val="00EF4AEE"/>
    <w:rsid w:val="00EF51F8"/>
    <w:rsid w:val="00EF670B"/>
    <w:rsid w:val="00EF6E41"/>
    <w:rsid w:val="00EF71B9"/>
    <w:rsid w:val="00F02467"/>
    <w:rsid w:val="00F03BF4"/>
    <w:rsid w:val="00F03F3B"/>
    <w:rsid w:val="00F04DF2"/>
    <w:rsid w:val="00F06FA4"/>
    <w:rsid w:val="00F07468"/>
    <w:rsid w:val="00F079CE"/>
    <w:rsid w:val="00F11804"/>
    <w:rsid w:val="00F11DDC"/>
    <w:rsid w:val="00F1302B"/>
    <w:rsid w:val="00F13F76"/>
    <w:rsid w:val="00F153C1"/>
    <w:rsid w:val="00F159B5"/>
    <w:rsid w:val="00F16BBF"/>
    <w:rsid w:val="00F20859"/>
    <w:rsid w:val="00F2176B"/>
    <w:rsid w:val="00F217E8"/>
    <w:rsid w:val="00F22D82"/>
    <w:rsid w:val="00F22FE8"/>
    <w:rsid w:val="00F238B0"/>
    <w:rsid w:val="00F23A8E"/>
    <w:rsid w:val="00F26D40"/>
    <w:rsid w:val="00F33304"/>
    <w:rsid w:val="00F340B6"/>
    <w:rsid w:val="00F361B7"/>
    <w:rsid w:val="00F37295"/>
    <w:rsid w:val="00F4030F"/>
    <w:rsid w:val="00F4042A"/>
    <w:rsid w:val="00F40BAE"/>
    <w:rsid w:val="00F427F5"/>
    <w:rsid w:val="00F440F9"/>
    <w:rsid w:val="00F469D8"/>
    <w:rsid w:val="00F52F93"/>
    <w:rsid w:val="00F531ED"/>
    <w:rsid w:val="00F54608"/>
    <w:rsid w:val="00F552F2"/>
    <w:rsid w:val="00F55E52"/>
    <w:rsid w:val="00F56D40"/>
    <w:rsid w:val="00F57EF0"/>
    <w:rsid w:val="00F627E2"/>
    <w:rsid w:val="00F66041"/>
    <w:rsid w:val="00F66591"/>
    <w:rsid w:val="00F66B6E"/>
    <w:rsid w:val="00F66DFC"/>
    <w:rsid w:val="00F71520"/>
    <w:rsid w:val="00F7159C"/>
    <w:rsid w:val="00F7322B"/>
    <w:rsid w:val="00F732AE"/>
    <w:rsid w:val="00F74DD8"/>
    <w:rsid w:val="00F7590F"/>
    <w:rsid w:val="00F75FE2"/>
    <w:rsid w:val="00F772CC"/>
    <w:rsid w:val="00F8499E"/>
    <w:rsid w:val="00F8569E"/>
    <w:rsid w:val="00F85A14"/>
    <w:rsid w:val="00F90EB0"/>
    <w:rsid w:val="00F913C6"/>
    <w:rsid w:val="00F94864"/>
    <w:rsid w:val="00F95BDD"/>
    <w:rsid w:val="00FA02EE"/>
    <w:rsid w:val="00FA33A6"/>
    <w:rsid w:val="00FA7B80"/>
    <w:rsid w:val="00FB0B18"/>
    <w:rsid w:val="00FB0EFB"/>
    <w:rsid w:val="00FB18EA"/>
    <w:rsid w:val="00FB2ACA"/>
    <w:rsid w:val="00FB673E"/>
    <w:rsid w:val="00FB753B"/>
    <w:rsid w:val="00FC37DA"/>
    <w:rsid w:val="00FC3D57"/>
    <w:rsid w:val="00FC3EB4"/>
    <w:rsid w:val="00FC47EA"/>
    <w:rsid w:val="00FC51B8"/>
    <w:rsid w:val="00FC5FD1"/>
    <w:rsid w:val="00FC6C2D"/>
    <w:rsid w:val="00FD0669"/>
    <w:rsid w:val="00FD16AB"/>
    <w:rsid w:val="00FD2E3A"/>
    <w:rsid w:val="00FD38DC"/>
    <w:rsid w:val="00FD3FEF"/>
    <w:rsid w:val="00FD6457"/>
    <w:rsid w:val="00FD755E"/>
    <w:rsid w:val="00FD7CD3"/>
    <w:rsid w:val="00FE0AC6"/>
    <w:rsid w:val="00FE24B5"/>
    <w:rsid w:val="00FE2FF3"/>
    <w:rsid w:val="00FE410C"/>
    <w:rsid w:val="00FE44C5"/>
    <w:rsid w:val="00FF1021"/>
    <w:rsid w:val="00FF141F"/>
    <w:rsid w:val="00FF401C"/>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7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BA59BA"/>
    <w:rPr>
      <w:sz w:val="16"/>
      <w:szCs w:val="16"/>
    </w:rPr>
  </w:style>
  <w:style w:type="paragraph" w:styleId="CommentText">
    <w:name w:val="annotation text"/>
    <w:basedOn w:val="Normal"/>
    <w:link w:val="CommentTextChar"/>
    <w:uiPriority w:val="99"/>
    <w:unhideWhenUsed/>
    <w:locked/>
    <w:rsid w:val="00BA59BA"/>
    <w:pPr>
      <w:spacing w:line="240" w:lineRule="auto"/>
    </w:pPr>
    <w:rPr>
      <w:sz w:val="20"/>
      <w:szCs w:val="20"/>
    </w:rPr>
  </w:style>
  <w:style w:type="character" w:customStyle="1" w:styleId="CommentTextChar">
    <w:name w:val="Comment Text Char"/>
    <w:basedOn w:val="DefaultParagraphFont"/>
    <w:link w:val="CommentText"/>
    <w:uiPriority w:val="99"/>
    <w:rsid w:val="00BA59BA"/>
    <w:rPr>
      <w:sz w:val="20"/>
      <w:szCs w:val="20"/>
    </w:rPr>
  </w:style>
  <w:style w:type="paragraph" w:styleId="Revision">
    <w:name w:val="Revision"/>
    <w:hidden/>
    <w:uiPriority w:val="99"/>
    <w:semiHidden/>
    <w:rsid w:val="000674CC"/>
  </w:style>
  <w:style w:type="paragraph" w:styleId="CommentSubject">
    <w:name w:val="annotation subject"/>
    <w:basedOn w:val="CommentText"/>
    <w:next w:val="CommentText"/>
    <w:link w:val="CommentSubjectChar"/>
    <w:uiPriority w:val="99"/>
    <w:semiHidden/>
    <w:unhideWhenUsed/>
    <w:locked/>
    <w:rsid w:val="00AD03EA"/>
    <w:rPr>
      <w:b/>
      <w:bCs/>
    </w:rPr>
  </w:style>
  <w:style w:type="character" w:customStyle="1" w:styleId="CommentSubjectChar">
    <w:name w:val="Comment Subject Char"/>
    <w:basedOn w:val="CommentTextChar"/>
    <w:link w:val="CommentSubject"/>
    <w:uiPriority w:val="99"/>
    <w:semiHidden/>
    <w:rsid w:val="00AD03EA"/>
    <w:rPr>
      <w:b/>
      <w:bCs/>
      <w:sz w:val="20"/>
      <w:szCs w:val="20"/>
    </w:rPr>
  </w:style>
  <w:style w:type="paragraph" w:customStyle="1" w:styleId="Body">
    <w:name w:val="Body"/>
    <w:basedOn w:val="Normal"/>
    <w:qFormat/>
    <w:rsid w:val="006E0B5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6E0B5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6E0B5E"/>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6E0B5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6E0B5E"/>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6E0B5E"/>
    <w:pPr>
      <w:jc w:val="center"/>
    </w:pPr>
    <w:rPr>
      <w:rFonts w:ascii="Times New Roman" w:hAnsi="Times New Roman"/>
      <w:bCs/>
      <w:szCs w:val="20"/>
      <w:lang w:val="en-GB"/>
    </w:rPr>
  </w:style>
  <w:style w:type="paragraph" w:customStyle="1" w:styleId="Default">
    <w:name w:val="Default"/>
    <w:rsid w:val="006E0B5E"/>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8A19BA2C-EE3A-4167-A5A4-4107BF2A5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27</Pages>
  <Words>6986</Words>
  <Characters>39823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2024-08-11T23:16:00Z</dcterms:created>
  <dcterms:modified xsi:type="dcterms:W3CDTF">2024-08-11T23:16:00Z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