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7235" w14:textId="77777777" w:rsidR="00D237B7" w:rsidRPr="00704FF8" w:rsidRDefault="00D237B7" w:rsidP="00704FF8">
      <w:pPr>
        <w:pStyle w:val="OrdersTopLine"/>
      </w:pPr>
      <w:r w:rsidRPr="00704FF8">
        <w:t>HIGH COURT OF AUSTRALIA</w:t>
      </w:r>
    </w:p>
    <w:p w14:paraId="28091AA5" w14:textId="77777777" w:rsidR="00D237B7" w:rsidRPr="00704FF8" w:rsidRDefault="00D237B7" w:rsidP="00704FF8">
      <w:pPr>
        <w:pStyle w:val="OrderCentre"/>
      </w:pPr>
    </w:p>
    <w:p w14:paraId="004FF90C" w14:textId="77777777" w:rsidR="00D237B7" w:rsidRPr="00C46004" w:rsidRDefault="00D237B7" w:rsidP="00704FF8">
      <w:pPr>
        <w:pStyle w:val="OrderCentre"/>
        <w:rPr>
          <w:spacing w:val="-4"/>
          <w:sz w:val="24"/>
          <w:szCs w:val="24"/>
        </w:rPr>
      </w:pPr>
      <w:r w:rsidRPr="00C46004">
        <w:rPr>
          <w:spacing w:val="-4"/>
          <w:sz w:val="24"/>
          <w:szCs w:val="24"/>
        </w:rPr>
        <w:t>GAGELER CJ,</w:t>
      </w:r>
    </w:p>
    <w:p w14:paraId="1711F151" w14:textId="77777777" w:rsidR="00D237B7" w:rsidRPr="00704FF8" w:rsidRDefault="00D237B7" w:rsidP="00704FF8">
      <w:pPr>
        <w:pStyle w:val="OrderCentre"/>
      </w:pPr>
      <w:r w:rsidRPr="00C46004">
        <w:rPr>
          <w:spacing w:val="-4"/>
          <w:sz w:val="24"/>
          <w:szCs w:val="24"/>
        </w:rPr>
        <w:t>EDELMAN, STEWARD, GLEESON AND BEECH</w:t>
      </w:r>
      <w:r w:rsidRPr="00C46004">
        <w:rPr>
          <w:spacing w:val="-4"/>
          <w:sz w:val="24"/>
          <w:szCs w:val="24"/>
        </w:rPr>
        <w:noBreakHyphen/>
        <w:t>JONES JJ</w:t>
      </w:r>
    </w:p>
    <w:p w14:paraId="26636D7F" w14:textId="77777777" w:rsidR="00D237B7" w:rsidRPr="00427F3A" w:rsidRDefault="00D237B7" w:rsidP="00EE5374">
      <w:pPr>
        <w:pStyle w:val="Centre"/>
        <w:rPr>
          <w:lang w:val="en-AU"/>
        </w:rPr>
      </w:pPr>
    </w:p>
    <w:p w14:paraId="4F6C6467" w14:textId="77777777" w:rsidR="00D237B7" w:rsidRPr="00704FF8" w:rsidRDefault="00D237B7" w:rsidP="00704FF8">
      <w:pPr>
        <w:pStyle w:val="OrdersCenteredBorder"/>
      </w:pPr>
    </w:p>
    <w:p w14:paraId="0C54A979" w14:textId="77777777" w:rsidR="00D237B7" w:rsidRPr="00704FF8" w:rsidRDefault="00D237B7" w:rsidP="0032341F">
      <w:pPr>
        <w:pStyle w:val="OrdersBodyHeading"/>
      </w:pPr>
    </w:p>
    <w:p w14:paraId="26F64992" w14:textId="77777777" w:rsidR="00D237B7" w:rsidRPr="0032341F" w:rsidRDefault="00D237B7" w:rsidP="009362E8">
      <w:pPr>
        <w:pStyle w:val="OrdersPartyName"/>
        <w:ind w:right="-1"/>
      </w:pPr>
      <w:r w:rsidRPr="00C57295">
        <w:t>STEVEN MOORE (A PSEUDONYM)</w:t>
      </w:r>
      <w:r w:rsidRPr="0032341F">
        <w:tab/>
        <w:t>APPELLANT</w:t>
      </w:r>
    </w:p>
    <w:p w14:paraId="51712BDF" w14:textId="77777777" w:rsidR="00D237B7" w:rsidRPr="0032341F" w:rsidRDefault="00D237B7" w:rsidP="009362E8">
      <w:pPr>
        <w:pStyle w:val="OrdersPartyName"/>
        <w:ind w:right="-1"/>
      </w:pPr>
    </w:p>
    <w:p w14:paraId="7DACEEF0" w14:textId="77777777" w:rsidR="00D237B7" w:rsidRPr="0032341F" w:rsidRDefault="00D237B7" w:rsidP="009362E8">
      <w:pPr>
        <w:pStyle w:val="OrdersPartyName"/>
        <w:ind w:right="-1"/>
      </w:pPr>
      <w:r w:rsidRPr="0032341F">
        <w:t>AND</w:t>
      </w:r>
    </w:p>
    <w:p w14:paraId="6E5760B9" w14:textId="77777777" w:rsidR="00D237B7" w:rsidRPr="0032341F" w:rsidRDefault="00D237B7" w:rsidP="009362E8">
      <w:pPr>
        <w:pStyle w:val="OrdersPartyName"/>
        <w:ind w:right="-1"/>
      </w:pPr>
    </w:p>
    <w:p w14:paraId="29269D02" w14:textId="77777777" w:rsidR="00D237B7" w:rsidRPr="0032341F" w:rsidRDefault="00D237B7" w:rsidP="009362E8">
      <w:pPr>
        <w:pStyle w:val="OrdersPartyName"/>
        <w:ind w:right="-1"/>
      </w:pPr>
      <w:r w:rsidRPr="00C57295">
        <w:t>THE KING</w:t>
      </w:r>
      <w:r w:rsidRPr="0032341F">
        <w:tab/>
        <w:t>RESPONDENT</w:t>
      </w:r>
    </w:p>
    <w:p w14:paraId="49621CAF" w14:textId="77777777" w:rsidR="00D237B7" w:rsidRPr="00427F3A" w:rsidRDefault="00D237B7" w:rsidP="00AF0A5E">
      <w:pPr>
        <w:pStyle w:val="BodyHeading"/>
      </w:pPr>
    </w:p>
    <w:p w14:paraId="53F33FF0" w14:textId="77777777" w:rsidR="00D237B7" w:rsidRPr="00427F3A" w:rsidRDefault="00D237B7" w:rsidP="00BE0A6C">
      <w:pPr>
        <w:pStyle w:val="BodyHeading"/>
      </w:pPr>
    </w:p>
    <w:p w14:paraId="35E8B646" w14:textId="77777777" w:rsidR="00D237B7" w:rsidRPr="00427F3A" w:rsidRDefault="00D237B7" w:rsidP="00EE5374">
      <w:pPr>
        <w:pStyle w:val="CentreItalics"/>
      </w:pPr>
      <w:r w:rsidRPr="00C57295">
        <w:t>Steven Moore (a pseudonym) v The King</w:t>
      </w:r>
    </w:p>
    <w:p w14:paraId="3BA57E56" w14:textId="77777777" w:rsidR="00D237B7" w:rsidRPr="00427F3A" w:rsidRDefault="00D237B7" w:rsidP="00E90E4F">
      <w:pPr>
        <w:pStyle w:val="OrdersCentre"/>
      </w:pPr>
      <w:r>
        <w:t>[2024</w:t>
      </w:r>
      <w:r w:rsidRPr="00427F3A">
        <w:t xml:space="preserve">] HCA </w:t>
      </w:r>
      <w:r>
        <w:t>30</w:t>
      </w:r>
    </w:p>
    <w:p w14:paraId="56EC7A17" w14:textId="77777777" w:rsidR="00D237B7" w:rsidRDefault="00D237B7" w:rsidP="00E90E4F">
      <w:pPr>
        <w:pStyle w:val="OrdersCentreItalics"/>
      </w:pPr>
      <w:r>
        <w:t xml:space="preserve">Date of Hearing: </w:t>
      </w:r>
      <w:r w:rsidRPr="00C57295">
        <w:t>5 June 2024</w:t>
      </w:r>
    </w:p>
    <w:p w14:paraId="49149DD2" w14:textId="77777777" w:rsidR="00D237B7" w:rsidRPr="00427F3A" w:rsidRDefault="00D237B7" w:rsidP="00E90E4F">
      <w:pPr>
        <w:pStyle w:val="OrdersCentreItalics"/>
      </w:pPr>
      <w:r>
        <w:t>Date of Judgment: 14 August 2024</w:t>
      </w:r>
    </w:p>
    <w:p w14:paraId="36F7567C" w14:textId="77777777" w:rsidR="00D237B7" w:rsidRDefault="00D237B7" w:rsidP="00E90E4F">
      <w:pPr>
        <w:pStyle w:val="OrdersCentre"/>
      </w:pPr>
      <w:r w:rsidRPr="00C57295">
        <w:t>M23/2024</w:t>
      </w:r>
    </w:p>
    <w:p w14:paraId="49BD9AAE" w14:textId="77777777" w:rsidR="00D237B7" w:rsidRPr="00427F3A" w:rsidRDefault="00D237B7" w:rsidP="00E90E4F">
      <w:pPr>
        <w:pStyle w:val="OrdersCentre"/>
      </w:pPr>
    </w:p>
    <w:p w14:paraId="09E3D191" w14:textId="77777777" w:rsidR="00D237B7" w:rsidRPr="00BE0A6C" w:rsidRDefault="00D237B7" w:rsidP="00E90E4F">
      <w:pPr>
        <w:pStyle w:val="OrderCentreBold"/>
      </w:pPr>
      <w:r w:rsidRPr="00BE0A6C">
        <w:t>ORDER</w:t>
      </w:r>
    </w:p>
    <w:p w14:paraId="03EB5EAD" w14:textId="77777777" w:rsidR="00D237B7" w:rsidRPr="00427F3A" w:rsidRDefault="00D237B7" w:rsidP="00736C52">
      <w:pPr>
        <w:pStyle w:val="Centre"/>
        <w:rPr>
          <w:lang w:val="en-AU"/>
        </w:rPr>
      </w:pPr>
    </w:p>
    <w:p w14:paraId="779BD2C2" w14:textId="77777777" w:rsidR="00D237B7" w:rsidRPr="00190784" w:rsidRDefault="00D237B7" w:rsidP="0032341F">
      <w:pPr>
        <w:pStyle w:val="OrdersText"/>
      </w:pPr>
      <w:r>
        <w:t>Appeal dismissed.</w:t>
      </w:r>
    </w:p>
    <w:p w14:paraId="2FF15A5B" w14:textId="77777777" w:rsidR="00D237B7" w:rsidRDefault="00D237B7" w:rsidP="00EE5374">
      <w:pPr>
        <w:pStyle w:val="Body"/>
      </w:pPr>
    </w:p>
    <w:p w14:paraId="592434E4" w14:textId="77777777" w:rsidR="00D237B7" w:rsidRPr="00427F3A" w:rsidRDefault="00D237B7" w:rsidP="00EE5374">
      <w:pPr>
        <w:pStyle w:val="Body"/>
      </w:pPr>
    </w:p>
    <w:p w14:paraId="5D0DF4E1" w14:textId="77777777" w:rsidR="00D237B7" w:rsidRPr="00427F3A" w:rsidRDefault="00D237B7" w:rsidP="0032341F">
      <w:pPr>
        <w:pStyle w:val="OrdersBody"/>
      </w:pPr>
      <w:r w:rsidRPr="00427F3A">
        <w:t xml:space="preserve">On appeal from the </w:t>
      </w:r>
      <w:r w:rsidRPr="00C57295">
        <w:t>Supreme Court of Victoria</w:t>
      </w:r>
    </w:p>
    <w:p w14:paraId="7B7844B6" w14:textId="77777777" w:rsidR="00D237B7" w:rsidRDefault="00D237B7" w:rsidP="00EE5374">
      <w:pPr>
        <w:pStyle w:val="Body"/>
      </w:pPr>
    </w:p>
    <w:p w14:paraId="4FF0E650" w14:textId="77777777" w:rsidR="00D237B7" w:rsidRPr="00427F3A" w:rsidRDefault="00D237B7" w:rsidP="00EE5374">
      <w:pPr>
        <w:pStyle w:val="Body"/>
      </w:pPr>
    </w:p>
    <w:p w14:paraId="67C06FFD" w14:textId="77777777" w:rsidR="00D237B7" w:rsidRPr="00427F3A" w:rsidRDefault="00D237B7" w:rsidP="00E90E4F">
      <w:pPr>
        <w:pStyle w:val="OrdersBodyHeading"/>
      </w:pPr>
      <w:r w:rsidRPr="00427F3A">
        <w:t>Representation</w:t>
      </w:r>
    </w:p>
    <w:p w14:paraId="5C953073" w14:textId="77777777" w:rsidR="00D237B7" w:rsidRDefault="00D237B7" w:rsidP="00EE5374">
      <w:pPr>
        <w:pStyle w:val="Body"/>
      </w:pPr>
    </w:p>
    <w:p w14:paraId="62708910" w14:textId="77777777" w:rsidR="00D237B7" w:rsidRPr="00C57295" w:rsidRDefault="00D237B7" w:rsidP="00E90E4F">
      <w:pPr>
        <w:pStyle w:val="OrdersBody"/>
      </w:pPr>
      <w:r w:rsidRPr="00C57295">
        <w:t xml:space="preserve">C T Carr SC </w:t>
      </w:r>
      <w:r>
        <w:t>and</w:t>
      </w:r>
      <w:r w:rsidRPr="00C57295">
        <w:t xml:space="preserve"> J R Murphy </w:t>
      </w:r>
      <w:r>
        <w:t>with</w:t>
      </w:r>
      <w:r w:rsidRPr="00C57295">
        <w:t xml:space="preserve"> P D Coleridge for the appellant (instructed by Angus Cameron Lawyers)</w:t>
      </w:r>
    </w:p>
    <w:p w14:paraId="12470A20" w14:textId="77777777" w:rsidR="00D237B7" w:rsidRPr="00C57295" w:rsidRDefault="00D237B7" w:rsidP="001B3C97">
      <w:pPr>
        <w:pStyle w:val="Body"/>
      </w:pPr>
    </w:p>
    <w:p w14:paraId="4A5C22E6" w14:textId="77777777" w:rsidR="00D237B7" w:rsidRPr="00C57295" w:rsidRDefault="00D237B7" w:rsidP="00E90E4F">
      <w:pPr>
        <w:pStyle w:val="OrdersBody"/>
      </w:pPr>
      <w:r w:rsidRPr="00C57295">
        <w:t>B F Kissane KC with J P O</w:t>
      </w:r>
      <w:r w:rsidRPr="00C57295">
        <w:rPr>
          <w:lang w:val="en-AU"/>
        </w:rPr>
        <w:t>'C</w:t>
      </w:r>
      <w:proofErr w:type="spellStart"/>
      <w:r w:rsidRPr="00C57295">
        <w:t>onnor</w:t>
      </w:r>
      <w:proofErr w:type="spellEnd"/>
      <w:r w:rsidRPr="00C57295">
        <w:t xml:space="preserve"> for the respondent (instructed by Office of Public Prosecutions (Vic))</w:t>
      </w:r>
    </w:p>
    <w:p w14:paraId="4BB3B103" w14:textId="77777777" w:rsidR="00D237B7" w:rsidRDefault="00D237B7" w:rsidP="00A01277">
      <w:pPr>
        <w:pStyle w:val="Body"/>
      </w:pPr>
    </w:p>
    <w:p w14:paraId="479AA9AA" w14:textId="77777777" w:rsidR="00D237B7" w:rsidRDefault="00D237B7" w:rsidP="00EE5374">
      <w:pPr>
        <w:pStyle w:val="Body"/>
      </w:pPr>
    </w:p>
    <w:p w14:paraId="136BB5FA" w14:textId="77777777" w:rsidR="00D237B7" w:rsidRPr="00427F3A" w:rsidRDefault="00D237B7" w:rsidP="00EE5374">
      <w:pPr>
        <w:pStyle w:val="Body"/>
      </w:pPr>
    </w:p>
    <w:p w14:paraId="2630FBC8" w14:textId="77777777" w:rsidR="00D237B7" w:rsidRPr="00427F3A" w:rsidRDefault="00D237B7" w:rsidP="00F9713B">
      <w:pPr>
        <w:pStyle w:val="Notice"/>
        <w:rPr>
          <w:lang w:val="en-AU"/>
        </w:rPr>
      </w:pPr>
      <w:r w:rsidRPr="00427F3A">
        <w:rPr>
          <w:lang w:val="en-AU"/>
        </w:rPr>
        <w:t>Notice:  This copy of the Court's Reasons for Judgment is subject to formal revision prior to publication in the Commonwealth Law Reports.</w:t>
      </w:r>
    </w:p>
    <w:p w14:paraId="27943C25" w14:textId="1A1C92EB" w:rsidR="00D237B7" w:rsidRDefault="00D237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7008D6A" w14:textId="77777777" w:rsidR="00DA6452" w:rsidRDefault="00D237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A6452" w:rsidSect="00D237B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8DF51BB" w14:textId="77777777" w:rsidR="00DA6452" w:rsidRDefault="00DA6452" w:rsidP="001649CA">
      <w:pPr>
        <w:pStyle w:val="CatchwordsBold"/>
      </w:pPr>
      <w:r w:rsidRPr="00B9489E">
        <w:lastRenderedPageBreak/>
        <w:t>CATCHWORDS</w:t>
      </w:r>
    </w:p>
    <w:p w14:paraId="6A4F40EF" w14:textId="77777777" w:rsidR="00DA6452" w:rsidRPr="00B9489E" w:rsidRDefault="00DA6452" w:rsidP="001649CA">
      <w:pPr>
        <w:pStyle w:val="CatchwordsBold"/>
      </w:pPr>
    </w:p>
    <w:p w14:paraId="7D7AEE08" w14:textId="77777777" w:rsidR="00DA6452" w:rsidRDefault="00DA6452" w:rsidP="00DA6452">
      <w:pPr>
        <w:pStyle w:val="CatchwordsBold"/>
      </w:pPr>
      <w:r w:rsidRPr="00DA6452">
        <w:t>Steven</w:t>
      </w:r>
      <w:r>
        <w:t xml:space="preserve"> Moore (a pseudonym) v The King </w:t>
      </w:r>
    </w:p>
    <w:p w14:paraId="2FF1EF50" w14:textId="77777777" w:rsidR="00DA6452" w:rsidRDefault="00DA6452" w:rsidP="0021149B">
      <w:pPr>
        <w:pStyle w:val="CatchwordsText"/>
      </w:pPr>
    </w:p>
    <w:p w14:paraId="700AA79B" w14:textId="6E1ED583" w:rsidR="00DA6452" w:rsidRDefault="00DA6452" w:rsidP="0021149B">
      <w:pPr>
        <w:pStyle w:val="CatchwordsText"/>
      </w:pPr>
      <w:r>
        <w:t>Evidence</w:t>
      </w:r>
      <w:bookmarkStart w:id="0" w:name="_Hlk168414545"/>
      <w:r w:rsidRPr="00916BC7">
        <w:t xml:space="preserve"> </w:t>
      </w:r>
      <w:bookmarkStart w:id="1" w:name="_Hlk169679891"/>
      <w:r w:rsidRPr="00916BC7">
        <w:t xml:space="preserve">– </w:t>
      </w:r>
      <w:bookmarkEnd w:id="0"/>
      <w:bookmarkEnd w:id="1"/>
      <w:r>
        <w:t xml:space="preserve">Interlocutory appeal </w:t>
      </w:r>
      <w:r w:rsidRPr="00916BC7">
        <w:t>–</w:t>
      </w:r>
      <w:r>
        <w:t xml:space="preserve"> Admissibility – Hearsay evidence – Judicial discretion to exclude evidence </w:t>
      </w:r>
      <w:bookmarkStart w:id="2" w:name="_Hlk173425766"/>
      <w:r>
        <w:t>–</w:t>
      </w:r>
      <w:bookmarkEnd w:id="2"/>
      <w:r>
        <w:t xml:space="preserve"> Standard of appellate review – Where s 65 of </w:t>
      </w:r>
      <w:r w:rsidRPr="003E3789">
        <w:rPr>
          <w:i/>
          <w:iCs/>
        </w:rPr>
        <w:t>Evidence Act</w:t>
      </w:r>
      <w:r>
        <w:t xml:space="preserve"> 2008 (Vic) applied in criminal proceeding if person who made previous representation was not available to give evidence about asserted fact – Where appellant due to stand trial for seven offences committed against one complainant – Where complainant passed away in unrelated circumstances – Where respondent notified appellant of intention to adduce evidence of previous representations made by complainant – Where trial judge ruled evidence satisfied s 65 and refused to exclude evidence of representations under s 137 of </w:t>
      </w:r>
      <w:r w:rsidRPr="003E3789">
        <w:rPr>
          <w:i/>
          <w:iCs/>
        </w:rPr>
        <w:t>Evidence Act</w:t>
      </w:r>
      <w:r>
        <w:t xml:space="preserve"> – Whether Court of Appeal required to apply principles in </w:t>
      </w:r>
      <w:r w:rsidRPr="00300AB9">
        <w:rPr>
          <w:i/>
          <w:iCs/>
        </w:rPr>
        <w:t>House v The King</w:t>
      </w:r>
      <w:r w:rsidRPr="00300AB9">
        <w:t xml:space="preserve"> (1936) 55 CLR 499</w:t>
      </w:r>
      <w:r>
        <w:t xml:space="preserve"> or "correctness" standard in reviewing trial judge's decision under s 137 of </w:t>
      </w:r>
      <w:r w:rsidRPr="00E12792">
        <w:rPr>
          <w:i/>
          <w:iCs/>
        </w:rPr>
        <w:t>Evidence Act</w:t>
      </w:r>
      <w:r>
        <w:t xml:space="preserve"> – Whether Court of Appeal erred in assessing danger of unfair prejudice that would result from admission of evidence of representations. </w:t>
      </w:r>
    </w:p>
    <w:p w14:paraId="63CCEB81" w14:textId="77777777" w:rsidR="00DA6452" w:rsidRDefault="00DA6452" w:rsidP="0021149B">
      <w:pPr>
        <w:pStyle w:val="CatchwordsText"/>
      </w:pPr>
    </w:p>
    <w:p w14:paraId="477399FE" w14:textId="77777777" w:rsidR="00DA6452" w:rsidRDefault="00DA6452" w:rsidP="0021149B">
      <w:pPr>
        <w:pStyle w:val="CatchwordsText"/>
      </w:pPr>
      <w:r w:rsidRPr="00AD18D4">
        <w:t>Words and phrases</w:t>
      </w:r>
      <w:r>
        <w:t xml:space="preserve"> </w:t>
      </w:r>
      <w:bookmarkStart w:id="3" w:name="_Hlk161737022"/>
      <w:r>
        <w:t xml:space="preserve">– </w:t>
      </w:r>
      <w:bookmarkEnd w:id="3"/>
      <w:r>
        <w:t xml:space="preserve">"appellate court", "correctness standard", "discretionary decision", "evidence", "hearsay", "hearsay rule", "interlocutory", "not available", "probative value", "representation", "standard of review", "unfair prejudice". </w:t>
      </w:r>
    </w:p>
    <w:p w14:paraId="38E76EDB" w14:textId="77777777" w:rsidR="00DA6452" w:rsidRDefault="00DA6452" w:rsidP="0021149B">
      <w:pPr>
        <w:pStyle w:val="CatchwordsText"/>
      </w:pPr>
    </w:p>
    <w:p w14:paraId="21948946" w14:textId="77777777" w:rsidR="00DA6452" w:rsidRPr="00557878" w:rsidRDefault="00DA6452" w:rsidP="0021149B">
      <w:pPr>
        <w:pStyle w:val="CatchwordsText"/>
      </w:pPr>
      <w:r w:rsidRPr="00D83585">
        <w:rPr>
          <w:i/>
          <w:iCs/>
        </w:rPr>
        <w:t>Criminal Procedure Act 2009</w:t>
      </w:r>
      <w:r>
        <w:t xml:space="preserve"> (Vic), ss 295, 296, 297, 300. </w:t>
      </w:r>
    </w:p>
    <w:p w14:paraId="553D0927" w14:textId="2D1D6BE9" w:rsidR="00D237B7" w:rsidRDefault="00DA6452" w:rsidP="00DA6452">
      <w:pPr>
        <w:pStyle w:val="CatchwordsText"/>
      </w:pPr>
      <w:r>
        <w:rPr>
          <w:i/>
          <w:iCs/>
        </w:rPr>
        <w:t xml:space="preserve">Evidence Act 2008 </w:t>
      </w:r>
      <w:r>
        <w:t xml:space="preserve">(Vic), ss 59, 65, 67, 137. </w:t>
      </w:r>
    </w:p>
    <w:p w14:paraId="6AE6189F" w14:textId="75F23602" w:rsidR="00DA6452" w:rsidRDefault="00DA64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80ED50C" w14:textId="1C1023F9" w:rsidR="00DA6452" w:rsidRDefault="00DA64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240CF8A" w14:textId="77777777" w:rsidR="00D237B7" w:rsidRDefault="00D237B7" w:rsidP="00B90394">
      <w:pPr>
        <w:pStyle w:val="FixListStyle"/>
        <w:tabs>
          <w:tab w:val="clear" w:pos="720"/>
          <w:tab w:val="left" w:pos="0"/>
        </w:tabs>
        <w:spacing w:after="260" w:line="280" w:lineRule="exact"/>
        <w:ind w:right="0"/>
        <w:jc w:val="both"/>
        <w:rPr>
          <w:rFonts w:ascii="Times New Roman" w:hAnsi="Times New Roman"/>
        </w:rPr>
        <w:sectPr w:rsidR="00D237B7" w:rsidSect="00DA6452">
          <w:pgSz w:w="11907" w:h="16839" w:code="9"/>
          <w:pgMar w:top="1440" w:right="1701" w:bottom="1984" w:left="1701" w:header="720" w:footer="720" w:gutter="0"/>
          <w:pgNumType w:start="1"/>
          <w:cols w:space="720"/>
          <w:titlePg/>
          <w:docGrid w:linePitch="354"/>
        </w:sectPr>
      </w:pPr>
    </w:p>
    <w:p w14:paraId="29514C0B" w14:textId="00138857" w:rsidR="00000230" w:rsidRPr="00B90394" w:rsidRDefault="00B90394" w:rsidP="00B90394">
      <w:pPr>
        <w:pStyle w:val="FixListStyle"/>
        <w:tabs>
          <w:tab w:val="clear" w:pos="720"/>
          <w:tab w:val="left" w:pos="0"/>
        </w:tabs>
        <w:spacing w:after="260" w:line="280" w:lineRule="exact"/>
        <w:ind w:right="0"/>
        <w:jc w:val="both"/>
        <w:rPr>
          <w:rFonts w:ascii="Times New Roman" w:hAnsi="Times New Roman"/>
        </w:rPr>
      </w:pPr>
      <w:r w:rsidRPr="00B90394">
        <w:rPr>
          <w:rFonts w:ascii="Times New Roman" w:hAnsi="Times New Roman"/>
        </w:rPr>
        <w:lastRenderedPageBreak/>
        <w:t xml:space="preserve">GAGELER CJ, EDELMAN, STEWARD, GLEESON AND BEECH-JONES JJ.   </w:t>
      </w:r>
      <w:r w:rsidR="000A3C27" w:rsidRPr="00B90394">
        <w:rPr>
          <w:rFonts w:ascii="Times New Roman" w:hAnsi="Times New Roman"/>
        </w:rPr>
        <w:t>During pre-trial argument, t</w:t>
      </w:r>
      <w:r w:rsidR="00000230" w:rsidRPr="00B90394">
        <w:rPr>
          <w:rFonts w:ascii="Times New Roman" w:hAnsi="Times New Roman"/>
        </w:rPr>
        <w:t xml:space="preserve">he appellant unsuccessfully objected to the prosecution adducing evidence of </w:t>
      </w:r>
      <w:r w:rsidR="00A86DB1" w:rsidRPr="00B90394">
        <w:rPr>
          <w:rFonts w:ascii="Times New Roman" w:hAnsi="Times New Roman"/>
        </w:rPr>
        <w:t>"</w:t>
      </w:r>
      <w:r w:rsidR="00000230" w:rsidRPr="00B90394">
        <w:rPr>
          <w:rFonts w:ascii="Times New Roman" w:hAnsi="Times New Roman"/>
        </w:rPr>
        <w:t>representations</w:t>
      </w:r>
      <w:r w:rsidR="00A86DB1" w:rsidRPr="00B90394">
        <w:rPr>
          <w:rFonts w:ascii="Times New Roman" w:hAnsi="Times New Roman"/>
        </w:rPr>
        <w:t>"</w:t>
      </w:r>
      <w:r w:rsidR="00000230" w:rsidRPr="00B90394">
        <w:rPr>
          <w:rFonts w:ascii="Times New Roman" w:hAnsi="Times New Roman"/>
        </w:rPr>
        <w:t xml:space="preserve"> made by the complainant in the immediate aftermath of her detention and assault allegedly </w:t>
      </w:r>
      <w:r w:rsidR="00E142EC" w:rsidRPr="00B90394">
        <w:rPr>
          <w:rFonts w:ascii="Times New Roman" w:hAnsi="Times New Roman"/>
        </w:rPr>
        <w:t xml:space="preserve">committed </w:t>
      </w:r>
      <w:r w:rsidR="00000230" w:rsidRPr="00B90394">
        <w:rPr>
          <w:rFonts w:ascii="Times New Roman" w:hAnsi="Times New Roman"/>
        </w:rPr>
        <w:t xml:space="preserve">by the appellant. </w:t>
      </w:r>
      <w:r w:rsidR="004972B0" w:rsidRPr="00B90394">
        <w:rPr>
          <w:rFonts w:ascii="Times New Roman" w:hAnsi="Times New Roman"/>
        </w:rPr>
        <w:t>The complainant has passed away since she was detained and assaulted.</w:t>
      </w:r>
      <w:r w:rsidR="00C7500D" w:rsidRPr="00B90394">
        <w:rPr>
          <w:rFonts w:ascii="Times New Roman" w:hAnsi="Times New Roman"/>
        </w:rPr>
        <w:t xml:space="preserve"> </w:t>
      </w:r>
    </w:p>
    <w:p w14:paraId="6503B163" w14:textId="04D8D374" w:rsidR="00EB13F5" w:rsidRPr="00B90394" w:rsidRDefault="00000230" w:rsidP="00B90394">
      <w:pPr>
        <w:pStyle w:val="FixListStyle"/>
        <w:spacing w:after="260" w:line="280" w:lineRule="exact"/>
        <w:ind w:right="0"/>
        <w:jc w:val="both"/>
        <w:rPr>
          <w:rFonts w:ascii="Times New Roman" w:hAnsi="Times New Roman"/>
        </w:rPr>
      </w:pPr>
      <w:r w:rsidRPr="00B90394">
        <w:rPr>
          <w:rFonts w:ascii="Times New Roman" w:hAnsi="Times New Roman"/>
        </w:rPr>
        <w:tab/>
        <w:t xml:space="preserve">The trial judge found that the evidence </w:t>
      </w:r>
      <w:r w:rsidR="004972B0" w:rsidRPr="00B90394">
        <w:rPr>
          <w:rFonts w:ascii="Times New Roman" w:hAnsi="Times New Roman"/>
        </w:rPr>
        <w:t xml:space="preserve">of the representations </w:t>
      </w:r>
      <w:r w:rsidRPr="00B90394">
        <w:rPr>
          <w:rFonts w:ascii="Times New Roman" w:hAnsi="Times New Roman"/>
        </w:rPr>
        <w:t xml:space="preserve">was admissible under the exception to </w:t>
      </w:r>
      <w:r w:rsidR="00A86DB1" w:rsidRPr="00B90394">
        <w:rPr>
          <w:rFonts w:ascii="Times New Roman" w:hAnsi="Times New Roman"/>
        </w:rPr>
        <w:t>the "</w:t>
      </w:r>
      <w:r w:rsidRPr="00B90394">
        <w:rPr>
          <w:rFonts w:ascii="Times New Roman" w:hAnsi="Times New Roman"/>
        </w:rPr>
        <w:t>hearsay rule</w:t>
      </w:r>
      <w:r w:rsidR="00A86DB1" w:rsidRPr="00B90394">
        <w:rPr>
          <w:rFonts w:ascii="Times New Roman" w:hAnsi="Times New Roman"/>
        </w:rPr>
        <w:t>"</w:t>
      </w:r>
      <w:r w:rsidR="00A86DB1" w:rsidRPr="00B90394">
        <w:rPr>
          <w:rStyle w:val="FootnoteReference"/>
          <w:rFonts w:ascii="Times New Roman" w:hAnsi="Times New Roman"/>
          <w:sz w:val="24"/>
        </w:rPr>
        <w:footnoteReference w:id="2"/>
      </w:r>
      <w:r w:rsidRPr="00B90394">
        <w:rPr>
          <w:rFonts w:ascii="Times New Roman" w:hAnsi="Times New Roman"/>
        </w:rPr>
        <w:t xml:space="preserve"> provided for in s 65 of the </w:t>
      </w:r>
      <w:r w:rsidRPr="00B90394">
        <w:rPr>
          <w:rFonts w:ascii="Times New Roman" w:hAnsi="Times New Roman"/>
          <w:i/>
          <w:iCs/>
        </w:rPr>
        <w:t>Evidence Act 2008</w:t>
      </w:r>
      <w:r w:rsidRPr="00B90394">
        <w:rPr>
          <w:rFonts w:ascii="Times New Roman" w:hAnsi="Times New Roman"/>
        </w:rPr>
        <w:t xml:space="preserve"> (Vic</w:t>
      </w:r>
      <w:proofErr w:type="gramStart"/>
      <w:r w:rsidRPr="00B90394">
        <w:rPr>
          <w:rFonts w:ascii="Times New Roman" w:hAnsi="Times New Roman"/>
        </w:rPr>
        <w:t>)</w:t>
      </w:r>
      <w:r w:rsidR="0063087D" w:rsidRPr="00B90394">
        <w:rPr>
          <w:rFonts w:ascii="Times New Roman" w:hAnsi="Times New Roman"/>
        </w:rPr>
        <w:t>,</w:t>
      </w:r>
      <w:r w:rsidR="00571D2D" w:rsidRPr="00B90394">
        <w:rPr>
          <w:rFonts w:ascii="Times New Roman" w:hAnsi="Times New Roman"/>
        </w:rPr>
        <w:t xml:space="preserve"> </w:t>
      </w:r>
      <w:r w:rsidRPr="00B90394">
        <w:rPr>
          <w:rFonts w:ascii="Times New Roman" w:hAnsi="Times New Roman"/>
        </w:rPr>
        <w:t>and</w:t>
      </w:r>
      <w:proofErr w:type="gramEnd"/>
      <w:r w:rsidRPr="00B90394">
        <w:rPr>
          <w:rFonts w:ascii="Times New Roman" w:hAnsi="Times New Roman"/>
        </w:rPr>
        <w:t xml:space="preserve"> declined to exclude the evidence under s 137</w:t>
      </w:r>
      <w:r w:rsidR="00987C76" w:rsidRPr="00B90394">
        <w:rPr>
          <w:rFonts w:ascii="Times New Roman" w:hAnsi="Times New Roman"/>
        </w:rPr>
        <w:t xml:space="preserve"> of that Act</w:t>
      </w:r>
      <w:r w:rsidRPr="00B90394">
        <w:rPr>
          <w:rFonts w:ascii="Times New Roman" w:hAnsi="Times New Roman"/>
        </w:rPr>
        <w:t xml:space="preserve">. The appellant was granted leave to appeal </w:t>
      </w:r>
      <w:r w:rsidR="00A86DB1" w:rsidRPr="00B90394">
        <w:rPr>
          <w:rFonts w:ascii="Times New Roman" w:hAnsi="Times New Roman"/>
        </w:rPr>
        <w:t xml:space="preserve">from the trial judge's ruling </w:t>
      </w:r>
      <w:r w:rsidRPr="00B90394">
        <w:rPr>
          <w:rFonts w:ascii="Times New Roman" w:hAnsi="Times New Roman"/>
        </w:rPr>
        <w:t xml:space="preserve">to the Court of Appeal </w:t>
      </w:r>
      <w:r w:rsidR="009700B9" w:rsidRPr="00B90394">
        <w:rPr>
          <w:rFonts w:ascii="Times New Roman" w:hAnsi="Times New Roman"/>
        </w:rPr>
        <w:t>of the Supreme Court of Victoria</w:t>
      </w:r>
      <w:r w:rsidRPr="00B90394">
        <w:rPr>
          <w:rFonts w:ascii="Times New Roman" w:hAnsi="Times New Roman"/>
        </w:rPr>
        <w:t xml:space="preserve">, but </w:t>
      </w:r>
      <w:r w:rsidR="00421D92" w:rsidRPr="00B90394">
        <w:rPr>
          <w:rFonts w:ascii="Times New Roman" w:hAnsi="Times New Roman"/>
        </w:rPr>
        <w:t xml:space="preserve">the Court </w:t>
      </w:r>
      <w:r w:rsidR="00EC77D8" w:rsidRPr="00B90394">
        <w:rPr>
          <w:rFonts w:ascii="Times New Roman" w:hAnsi="Times New Roman"/>
        </w:rPr>
        <w:t xml:space="preserve">affirmed the </w:t>
      </w:r>
      <w:r w:rsidR="00421D92" w:rsidRPr="00B90394">
        <w:rPr>
          <w:rFonts w:ascii="Times New Roman" w:hAnsi="Times New Roman"/>
        </w:rPr>
        <w:t xml:space="preserve">trial judge's </w:t>
      </w:r>
      <w:r w:rsidR="00C51583" w:rsidRPr="00B90394">
        <w:rPr>
          <w:rFonts w:ascii="Times New Roman" w:hAnsi="Times New Roman"/>
        </w:rPr>
        <w:t>(</w:t>
      </w:r>
      <w:r w:rsidR="00A7104E" w:rsidRPr="00B90394">
        <w:rPr>
          <w:rFonts w:ascii="Times New Roman" w:hAnsi="Times New Roman"/>
        </w:rPr>
        <w:t>interlocutory</w:t>
      </w:r>
      <w:r w:rsidR="00C51583" w:rsidRPr="00B90394">
        <w:rPr>
          <w:rFonts w:ascii="Times New Roman" w:hAnsi="Times New Roman"/>
        </w:rPr>
        <w:t>)</w:t>
      </w:r>
      <w:r w:rsidR="00A7104E" w:rsidRPr="00B90394">
        <w:rPr>
          <w:rFonts w:ascii="Times New Roman" w:hAnsi="Times New Roman"/>
        </w:rPr>
        <w:t xml:space="preserve"> decision</w:t>
      </w:r>
      <w:r w:rsidR="00E20DED" w:rsidRPr="00B90394">
        <w:rPr>
          <w:rFonts w:ascii="Times New Roman" w:hAnsi="Times New Roman"/>
        </w:rPr>
        <w:t xml:space="preserve"> that the evidence in question was not excluded under s 137</w:t>
      </w:r>
      <w:r w:rsidR="00A7104E" w:rsidRPr="00B90394">
        <w:rPr>
          <w:rFonts w:ascii="Times New Roman" w:hAnsi="Times New Roman"/>
        </w:rPr>
        <w:t>.</w:t>
      </w:r>
      <w:r w:rsidR="00430EC0" w:rsidRPr="00B90394">
        <w:rPr>
          <w:rStyle w:val="FootnoteReference"/>
          <w:rFonts w:ascii="Times New Roman" w:hAnsi="Times New Roman"/>
          <w:sz w:val="24"/>
        </w:rPr>
        <w:footnoteReference w:id="3"/>
      </w:r>
      <w:r w:rsidR="00C747DB" w:rsidRPr="00B90394">
        <w:rPr>
          <w:rFonts w:ascii="Times New Roman" w:hAnsi="Times New Roman"/>
        </w:rPr>
        <w:t xml:space="preserve"> </w:t>
      </w:r>
    </w:p>
    <w:p w14:paraId="2EDF0F79" w14:textId="7452538F" w:rsidR="00000230" w:rsidRPr="00B90394" w:rsidRDefault="00EB13F5" w:rsidP="00B90394">
      <w:pPr>
        <w:pStyle w:val="FixListStyle"/>
        <w:spacing w:after="260" w:line="280" w:lineRule="exact"/>
        <w:ind w:right="0"/>
        <w:jc w:val="both"/>
        <w:rPr>
          <w:rFonts w:ascii="Times New Roman" w:hAnsi="Times New Roman"/>
        </w:rPr>
      </w:pPr>
      <w:r w:rsidRPr="00B90394">
        <w:rPr>
          <w:rFonts w:ascii="Times New Roman" w:hAnsi="Times New Roman"/>
          <w:b/>
        </w:rPr>
        <w:tab/>
      </w:r>
      <w:r w:rsidR="00000230" w:rsidRPr="00B90394">
        <w:rPr>
          <w:rFonts w:ascii="Times New Roman" w:hAnsi="Times New Roman"/>
        </w:rPr>
        <w:t>The princip</w:t>
      </w:r>
      <w:r w:rsidR="00DC31CA" w:rsidRPr="00B90394">
        <w:rPr>
          <w:rFonts w:ascii="Times New Roman" w:hAnsi="Times New Roman"/>
        </w:rPr>
        <w:t>al</w:t>
      </w:r>
      <w:r w:rsidR="00000230" w:rsidRPr="00B90394">
        <w:rPr>
          <w:rFonts w:ascii="Times New Roman" w:hAnsi="Times New Roman"/>
        </w:rPr>
        <w:t xml:space="preserve"> issue arising in this appeal is whether, in hearing an interlocutory appeal concerning the trial judge's refusal to exclude evidence under s 137</w:t>
      </w:r>
      <w:r w:rsidR="00987949" w:rsidRPr="00B90394">
        <w:rPr>
          <w:rFonts w:ascii="Times New Roman" w:hAnsi="Times New Roman"/>
        </w:rPr>
        <w:t xml:space="preserve"> of the </w:t>
      </w:r>
      <w:r w:rsidR="00987949" w:rsidRPr="00B90394">
        <w:rPr>
          <w:rFonts w:ascii="Times New Roman" w:hAnsi="Times New Roman"/>
          <w:i/>
          <w:iCs/>
        </w:rPr>
        <w:t>Evidence Act</w:t>
      </w:r>
      <w:r w:rsidR="00000230" w:rsidRPr="00B90394">
        <w:rPr>
          <w:rFonts w:ascii="Times New Roman" w:hAnsi="Times New Roman"/>
        </w:rPr>
        <w:t xml:space="preserve">, the Court of Appeal was required to apply the principles in </w:t>
      </w:r>
      <w:r w:rsidR="00000230" w:rsidRPr="00B90394">
        <w:rPr>
          <w:rFonts w:ascii="Times New Roman" w:hAnsi="Times New Roman"/>
          <w:i/>
          <w:iCs/>
        </w:rPr>
        <w:t>House v The King</w:t>
      </w:r>
      <w:r w:rsidR="00000230" w:rsidRPr="00B90394">
        <w:rPr>
          <w:rStyle w:val="FootnoteReference"/>
          <w:rFonts w:ascii="Times New Roman" w:hAnsi="Times New Roman"/>
          <w:sz w:val="24"/>
        </w:rPr>
        <w:footnoteReference w:id="4"/>
      </w:r>
      <w:r w:rsidR="00000230" w:rsidRPr="00B90394">
        <w:rPr>
          <w:rFonts w:ascii="Times New Roman" w:hAnsi="Times New Roman"/>
        </w:rPr>
        <w:t xml:space="preserve"> applicable to the review of discretionary decisions or the "correctness" standard.</w:t>
      </w:r>
      <w:r w:rsidR="00000230" w:rsidRPr="00B90394">
        <w:rPr>
          <w:rStyle w:val="FootnoteReference"/>
          <w:rFonts w:ascii="Times New Roman" w:hAnsi="Times New Roman"/>
          <w:sz w:val="24"/>
        </w:rPr>
        <w:footnoteReference w:id="5"/>
      </w:r>
      <w:r w:rsidR="00000230" w:rsidRPr="00B90394">
        <w:rPr>
          <w:rFonts w:ascii="Times New Roman" w:hAnsi="Times New Roman"/>
        </w:rPr>
        <w:t xml:space="preserve"> For the reasons that follow, the Court of Appeal was obliged to apply the correctness standard. </w:t>
      </w:r>
    </w:p>
    <w:p w14:paraId="3E6167C1" w14:textId="3B152C7E" w:rsidR="00000230" w:rsidRPr="00B90394" w:rsidRDefault="00000230"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65188" w:rsidRPr="00B90394">
        <w:rPr>
          <w:rFonts w:ascii="Times New Roman" w:hAnsi="Times New Roman"/>
        </w:rPr>
        <w:t>T</w:t>
      </w:r>
      <w:r w:rsidRPr="00B90394">
        <w:rPr>
          <w:rFonts w:ascii="Times New Roman" w:hAnsi="Times New Roman"/>
        </w:rPr>
        <w:t>he appellant accept</w:t>
      </w:r>
      <w:r w:rsidR="00DF393A" w:rsidRPr="00B90394">
        <w:rPr>
          <w:rFonts w:ascii="Times New Roman" w:hAnsi="Times New Roman"/>
        </w:rPr>
        <w:t>ed</w:t>
      </w:r>
      <w:r w:rsidRPr="00B90394">
        <w:rPr>
          <w:rFonts w:ascii="Times New Roman" w:hAnsi="Times New Roman"/>
        </w:rPr>
        <w:t xml:space="preserve"> that the probative value of the evidence of the representations was </w:t>
      </w:r>
      <w:proofErr w:type="gramStart"/>
      <w:r w:rsidRPr="00B90394">
        <w:rPr>
          <w:rFonts w:ascii="Times New Roman" w:hAnsi="Times New Roman"/>
        </w:rPr>
        <w:t>high</w:t>
      </w:r>
      <w:r w:rsidR="00065188" w:rsidRPr="00B90394">
        <w:rPr>
          <w:rFonts w:ascii="Times New Roman" w:hAnsi="Times New Roman"/>
        </w:rPr>
        <w:t>,</w:t>
      </w:r>
      <w:r w:rsidRPr="00B90394">
        <w:rPr>
          <w:rFonts w:ascii="Times New Roman" w:hAnsi="Times New Roman"/>
        </w:rPr>
        <w:t xml:space="preserve"> but</w:t>
      </w:r>
      <w:proofErr w:type="gramEnd"/>
      <w:r w:rsidRPr="00B90394">
        <w:rPr>
          <w:rFonts w:ascii="Times New Roman" w:hAnsi="Times New Roman"/>
        </w:rPr>
        <w:t xml:space="preserve"> contend</w:t>
      </w:r>
      <w:r w:rsidR="00DF393A" w:rsidRPr="00B90394">
        <w:rPr>
          <w:rFonts w:ascii="Times New Roman" w:hAnsi="Times New Roman"/>
        </w:rPr>
        <w:t>ed</w:t>
      </w:r>
      <w:r w:rsidRPr="00B90394">
        <w:rPr>
          <w:rFonts w:ascii="Times New Roman" w:hAnsi="Times New Roman"/>
        </w:rPr>
        <w:t xml:space="preserve"> that its exclusion </w:t>
      </w:r>
      <w:r w:rsidR="00A86DB1" w:rsidRPr="00B90394">
        <w:rPr>
          <w:rFonts w:ascii="Times New Roman" w:hAnsi="Times New Roman"/>
        </w:rPr>
        <w:t xml:space="preserve">under s 137 </w:t>
      </w:r>
      <w:r w:rsidRPr="00B90394">
        <w:rPr>
          <w:rFonts w:ascii="Times New Roman" w:hAnsi="Times New Roman"/>
        </w:rPr>
        <w:t xml:space="preserve">was warranted because that probative value was outweighed by the danger of unfair prejudice resulting from </w:t>
      </w:r>
      <w:r w:rsidR="00A86DB1" w:rsidRPr="00B90394">
        <w:rPr>
          <w:rFonts w:ascii="Times New Roman" w:hAnsi="Times New Roman"/>
        </w:rPr>
        <w:t>the</w:t>
      </w:r>
      <w:r w:rsidRPr="00B90394">
        <w:rPr>
          <w:rFonts w:ascii="Times New Roman" w:hAnsi="Times New Roman"/>
        </w:rPr>
        <w:t xml:space="preserve"> admission </w:t>
      </w:r>
      <w:r w:rsidR="00A86DB1" w:rsidRPr="00B90394">
        <w:rPr>
          <w:rFonts w:ascii="Times New Roman" w:hAnsi="Times New Roman"/>
        </w:rPr>
        <w:t>of that evidence</w:t>
      </w:r>
      <w:r w:rsidR="004D16FB" w:rsidRPr="00B90394">
        <w:rPr>
          <w:rFonts w:ascii="Times New Roman" w:hAnsi="Times New Roman"/>
        </w:rPr>
        <w:t>,</w:t>
      </w:r>
      <w:r w:rsidR="00A86DB1" w:rsidRPr="00B90394">
        <w:rPr>
          <w:rFonts w:ascii="Times New Roman" w:hAnsi="Times New Roman"/>
        </w:rPr>
        <w:t xml:space="preserve"> </w:t>
      </w:r>
      <w:r w:rsidRPr="00B90394">
        <w:rPr>
          <w:rFonts w:ascii="Times New Roman" w:hAnsi="Times New Roman"/>
        </w:rPr>
        <w:t xml:space="preserve">especially such danger </w:t>
      </w:r>
      <w:r w:rsidR="00A86DB1" w:rsidRPr="00B90394">
        <w:rPr>
          <w:rFonts w:ascii="Times New Roman" w:hAnsi="Times New Roman"/>
        </w:rPr>
        <w:t xml:space="preserve">of prejudice </w:t>
      </w:r>
      <w:r w:rsidRPr="00B90394">
        <w:rPr>
          <w:rFonts w:ascii="Times New Roman" w:hAnsi="Times New Roman"/>
        </w:rPr>
        <w:t xml:space="preserve">as would follow from </w:t>
      </w:r>
      <w:r w:rsidR="003049E5" w:rsidRPr="00B90394">
        <w:rPr>
          <w:rFonts w:ascii="Times New Roman" w:hAnsi="Times New Roman"/>
        </w:rPr>
        <w:t>the appellant's</w:t>
      </w:r>
      <w:r w:rsidRPr="00B90394">
        <w:rPr>
          <w:rFonts w:ascii="Times New Roman" w:hAnsi="Times New Roman"/>
        </w:rPr>
        <w:t xml:space="preserve"> inability to cross</w:t>
      </w:r>
      <w:r w:rsidR="00DE7E4F" w:rsidRPr="00B90394">
        <w:rPr>
          <w:rFonts w:ascii="Times New Roman" w:hAnsi="Times New Roman"/>
        </w:rPr>
        <w:t>-</w:t>
      </w:r>
      <w:r w:rsidRPr="00B90394">
        <w:rPr>
          <w:rFonts w:ascii="Times New Roman" w:hAnsi="Times New Roman"/>
        </w:rPr>
        <w:t>examine the complainant</w:t>
      </w:r>
      <w:r w:rsidRPr="00B90394">
        <w:rPr>
          <w:rFonts w:ascii="Times New Roman" w:hAnsi="Times New Roman"/>
          <w:b/>
        </w:rPr>
        <w:t xml:space="preserve">. </w:t>
      </w:r>
      <w:proofErr w:type="gramStart"/>
      <w:r w:rsidRPr="00B90394">
        <w:rPr>
          <w:rFonts w:ascii="Times New Roman" w:hAnsi="Times New Roman"/>
        </w:rPr>
        <w:t>For the reasons that</w:t>
      </w:r>
      <w:proofErr w:type="gramEnd"/>
      <w:r w:rsidRPr="00B90394">
        <w:rPr>
          <w:rFonts w:ascii="Times New Roman" w:hAnsi="Times New Roman"/>
        </w:rPr>
        <w:t xml:space="preserve"> follow, that contention should not be accepted. The trial judge correct</w:t>
      </w:r>
      <w:r w:rsidR="00A677E2" w:rsidRPr="00B90394">
        <w:rPr>
          <w:rFonts w:ascii="Times New Roman" w:hAnsi="Times New Roman"/>
        </w:rPr>
        <w:t>ly declined</w:t>
      </w:r>
      <w:r w:rsidR="00A76425" w:rsidRPr="00B90394">
        <w:rPr>
          <w:rFonts w:ascii="Times New Roman" w:hAnsi="Times New Roman"/>
        </w:rPr>
        <w:t xml:space="preserve"> to</w:t>
      </w:r>
      <w:r w:rsidRPr="00B90394">
        <w:rPr>
          <w:rFonts w:ascii="Times New Roman" w:hAnsi="Times New Roman"/>
        </w:rPr>
        <w:t xml:space="preserve"> exclud</w:t>
      </w:r>
      <w:r w:rsidR="00A76425" w:rsidRPr="00B90394">
        <w:rPr>
          <w:rFonts w:ascii="Times New Roman" w:hAnsi="Times New Roman"/>
        </w:rPr>
        <w:t>e</w:t>
      </w:r>
      <w:r w:rsidRPr="00B90394">
        <w:rPr>
          <w:rFonts w:ascii="Times New Roman" w:hAnsi="Times New Roman"/>
        </w:rPr>
        <w:t xml:space="preserve"> the evidence</w:t>
      </w:r>
      <w:r w:rsidR="00A86DB1" w:rsidRPr="00B90394">
        <w:rPr>
          <w:rFonts w:ascii="Times New Roman" w:hAnsi="Times New Roman"/>
        </w:rPr>
        <w:t>. The</w:t>
      </w:r>
      <w:r w:rsidRPr="00B90394">
        <w:rPr>
          <w:rFonts w:ascii="Times New Roman" w:hAnsi="Times New Roman"/>
        </w:rPr>
        <w:t xml:space="preserve"> appeal should be dismissed.</w:t>
      </w:r>
    </w:p>
    <w:p w14:paraId="39D625F0" w14:textId="77777777" w:rsidR="00000230" w:rsidRPr="00B90394" w:rsidRDefault="00000230" w:rsidP="00B90394">
      <w:pPr>
        <w:pStyle w:val="HeadingL1"/>
        <w:spacing w:after="260" w:line="280" w:lineRule="exact"/>
        <w:ind w:right="0"/>
        <w:jc w:val="both"/>
        <w:rPr>
          <w:rFonts w:ascii="Times New Roman" w:hAnsi="Times New Roman"/>
        </w:rPr>
      </w:pPr>
      <w:r w:rsidRPr="00B90394">
        <w:rPr>
          <w:rFonts w:ascii="Times New Roman" w:hAnsi="Times New Roman"/>
        </w:rPr>
        <w:lastRenderedPageBreak/>
        <w:t>Background</w:t>
      </w:r>
    </w:p>
    <w:p w14:paraId="677A4552" w14:textId="7550D98C" w:rsidR="00000230" w:rsidRPr="00B90394" w:rsidRDefault="00000230" w:rsidP="00B90394">
      <w:pPr>
        <w:pStyle w:val="FixListStyle"/>
        <w:spacing w:after="260" w:line="280" w:lineRule="exact"/>
        <w:ind w:right="0"/>
        <w:jc w:val="both"/>
        <w:rPr>
          <w:rFonts w:ascii="Times New Roman" w:hAnsi="Times New Roman"/>
        </w:rPr>
      </w:pPr>
      <w:r w:rsidRPr="00B90394">
        <w:rPr>
          <w:rFonts w:ascii="Times New Roman" w:hAnsi="Times New Roman"/>
        </w:rPr>
        <w:tab/>
        <w:t xml:space="preserve">The appellant is due to </w:t>
      </w:r>
      <w:r w:rsidR="00294B70" w:rsidRPr="00B90394">
        <w:rPr>
          <w:rFonts w:ascii="Times New Roman" w:hAnsi="Times New Roman"/>
        </w:rPr>
        <w:t xml:space="preserve">stand </w:t>
      </w:r>
      <w:r w:rsidRPr="00B90394">
        <w:rPr>
          <w:rFonts w:ascii="Times New Roman" w:hAnsi="Times New Roman"/>
        </w:rPr>
        <w:t xml:space="preserve">trial </w:t>
      </w:r>
      <w:r w:rsidR="00831D4F" w:rsidRPr="00B90394">
        <w:rPr>
          <w:rFonts w:ascii="Times New Roman" w:hAnsi="Times New Roman"/>
        </w:rPr>
        <w:t xml:space="preserve">in the County Court of Victoria </w:t>
      </w:r>
      <w:r w:rsidRPr="00B90394">
        <w:rPr>
          <w:rFonts w:ascii="Times New Roman" w:hAnsi="Times New Roman"/>
        </w:rPr>
        <w:t xml:space="preserve">for </w:t>
      </w:r>
      <w:r w:rsidR="00F26166" w:rsidRPr="00B90394">
        <w:rPr>
          <w:rFonts w:ascii="Times New Roman" w:hAnsi="Times New Roman"/>
        </w:rPr>
        <w:t xml:space="preserve">six </w:t>
      </w:r>
      <w:r w:rsidRPr="00B90394">
        <w:rPr>
          <w:rFonts w:ascii="Times New Roman" w:hAnsi="Times New Roman"/>
        </w:rPr>
        <w:t xml:space="preserve">offences under the </w:t>
      </w:r>
      <w:r w:rsidRPr="00B90394">
        <w:rPr>
          <w:rFonts w:ascii="Times New Roman" w:hAnsi="Times New Roman"/>
          <w:i/>
          <w:iCs/>
        </w:rPr>
        <w:t>Crimes Act 1958</w:t>
      </w:r>
      <w:r w:rsidRPr="00B90394">
        <w:rPr>
          <w:rFonts w:ascii="Times New Roman" w:hAnsi="Times New Roman"/>
        </w:rPr>
        <w:t xml:space="preserve"> (Vic)</w:t>
      </w:r>
      <w:r w:rsidR="00BC4F2C" w:rsidRPr="00B90394">
        <w:rPr>
          <w:rFonts w:ascii="Times New Roman" w:hAnsi="Times New Roman"/>
        </w:rPr>
        <w:t>,</w:t>
      </w:r>
      <w:r w:rsidR="00F26166" w:rsidRPr="00B90394">
        <w:rPr>
          <w:rFonts w:ascii="Times New Roman" w:hAnsi="Times New Roman"/>
        </w:rPr>
        <w:t xml:space="preserve"> and one offence under the common law</w:t>
      </w:r>
      <w:r w:rsidR="00BC4F2C" w:rsidRPr="00B90394">
        <w:rPr>
          <w:rFonts w:ascii="Times New Roman" w:hAnsi="Times New Roman"/>
        </w:rPr>
        <w:t>,</w:t>
      </w:r>
      <w:r w:rsidRPr="00B90394">
        <w:rPr>
          <w:rFonts w:ascii="Times New Roman" w:hAnsi="Times New Roman"/>
        </w:rPr>
        <w:t xml:space="preserve"> alleged to have been committed against the complainant on 30 and 31 August 2021. The respondent alleges that the appellant entered the complainant's home without her permission at about 6</w:t>
      </w:r>
      <w:r w:rsidR="00924FD2" w:rsidRPr="00B90394">
        <w:rPr>
          <w:rFonts w:ascii="Times New Roman" w:hAnsi="Times New Roman"/>
        </w:rPr>
        <w:t>.</w:t>
      </w:r>
      <w:r w:rsidRPr="00B90394">
        <w:rPr>
          <w:rFonts w:ascii="Times New Roman" w:hAnsi="Times New Roman"/>
        </w:rPr>
        <w:t>00 pm on 30 August 2021 and remained there until around 5</w:t>
      </w:r>
      <w:r w:rsidR="00924FD2" w:rsidRPr="00B90394">
        <w:rPr>
          <w:rFonts w:ascii="Times New Roman" w:hAnsi="Times New Roman"/>
        </w:rPr>
        <w:t>.</w:t>
      </w:r>
      <w:r w:rsidRPr="00B90394">
        <w:rPr>
          <w:rFonts w:ascii="Times New Roman" w:hAnsi="Times New Roman"/>
        </w:rPr>
        <w:t xml:space="preserve">00 am on 31 August 2021. During that time, the appellant </w:t>
      </w:r>
      <w:r w:rsidR="0020476A" w:rsidRPr="00B90394">
        <w:rPr>
          <w:rFonts w:ascii="Times New Roman" w:hAnsi="Times New Roman"/>
        </w:rPr>
        <w:t>is alleged</w:t>
      </w:r>
      <w:r w:rsidRPr="00B90394">
        <w:rPr>
          <w:rFonts w:ascii="Times New Roman" w:hAnsi="Times New Roman"/>
        </w:rPr>
        <w:t xml:space="preserve"> to have</w:t>
      </w:r>
      <w:r w:rsidR="00C427FC" w:rsidRPr="00B90394">
        <w:rPr>
          <w:rFonts w:ascii="Times New Roman" w:hAnsi="Times New Roman"/>
        </w:rPr>
        <w:t>:</w:t>
      </w:r>
      <w:r w:rsidRPr="00B90394">
        <w:rPr>
          <w:rFonts w:ascii="Times New Roman" w:hAnsi="Times New Roman"/>
        </w:rPr>
        <w:t xml:space="preserve"> intentionally or</w:t>
      </w:r>
      <w:r w:rsidR="00DE7E4F" w:rsidRPr="00B90394">
        <w:rPr>
          <w:rFonts w:ascii="Times New Roman" w:hAnsi="Times New Roman"/>
        </w:rPr>
        <w:t>,</w:t>
      </w:r>
      <w:r w:rsidRPr="00B90394">
        <w:rPr>
          <w:rFonts w:ascii="Times New Roman" w:hAnsi="Times New Roman"/>
        </w:rPr>
        <w:t xml:space="preserve"> in the alternative</w:t>
      </w:r>
      <w:r w:rsidR="00B01E9B" w:rsidRPr="00B90394">
        <w:rPr>
          <w:rFonts w:ascii="Times New Roman" w:hAnsi="Times New Roman"/>
        </w:rPr>
        <w:t>,</w:t>
      </w:r>
      <w:r w:rsidRPr="00B90394">
        <w:rPr>
          <w:rFonts w:ascii="Times New Roman" w:hAnsi="Times New Roman"/>
        </w:rPr>
        <w:t xml:space="preserve"> recklessly caused injury</w:t>
      </w:r>
      <w:r w:rsidR="00353BCD" w:rsidRPr="00B90394">
        <w:rPr>
          <w:rFonts w:ascii="Times New Roman" w:hAnsi="Times New Roman"/>
        </w:rPr>
        <w:t xml:space="preserve"> to the complainant</w:t>
      </w:r>
      <w:r w:rsidR="0037013C" w:rsidRPr="00B90394">
        <w:rPr>
          <w:rFonts w:ascii="Times New Roman" w:hAnsi="Times New Roman"/>
        </w:rPr>
        <w:t>;</w:t>
      </w:r>
      <w:r w:rsidRPr="00B90394">
        <w:rPr>
          <w:rStyle w:val="FootnoteReference"/>
          <w:rFonts w:ascii="Times New Roman" w:hAnsi="Times New Roman"/>
          <w:sz w:val="24"/>
        </w:rPr>
        <w:footnoteReference w:id="6"/>
      </w:r>
      <w:r w:rsidRPr="00B90394">
        <w:rPr>
          <w:rFonts w:ascii="Times New Roman" w:hAnsi="Times New Roman"/>
        </w:rPr>
        <w:t xml:space="preserve"> </w:t>
      </w:r>
      <w:r w:rsidR="00326125" w:rsidRPr="00B90394">
        <w:rPr>
          <w:rFonts w:ascii="Times New Roman" w:hAnsi="Times New Roman"/>
        </w:rPr>
        <w:t xml:space="preserve">made a </w:t>
      </w:r>
      <w:r w:rsidRPr="00B90394">
        <w:rPr>
          <w:rFonts w:ascii="Times New Roman" w:hAnsi="Times New Roman"/>
        </w:rPr>
        <w:t>threat to kill her or</w:t>
      </w:r>
      <w:r w:rsidR="00DE7E4F" w:rsidRPr="00B90394">
        <w:rPr>
          <w:rFonts w:ascii="Times New Roman" w:hAnsi="Times New Roman"/>
        </w:rPr>
        <w:t>,</w:t>
      </w:r>
      <w:r w:rsidRPr="00B90394">
        <w:rPr>
          <w:rFonts w:ascii="Times New Roman" w:hAnsi="Times New Roman"/>
        </w:rPr>
        <w:t xml:space="preserve"> in the alternative, </w:t>
      </w:r>
      <w:r w:rsidR="00326125" w:rsidRPr="00B90394">
        <w:rPr>
          <w:rFonts w:ascii="Times New Roman" w:hAnsi="Times New Roman"/>
        </w:rPr>
        <w:t xml:space="preserve">to </w:t>
      </w:r>
      <w:r w:rsidRPr="00B90394">
        <w:rPr>
          <w:rFonts w:ascii="Times New Roman" w:hAnsi="Times New Roman"/>
        </w:rPr>
        <w:t>inflict serious injury</w:t>
      </w:r>
      <w:r w:rsidR="00AE7AD9" w:rsidRPr="00B90394">
        <w:rPr>
          <w:rFonts w:ascii="Times New Roman" w:hAnsi="Times New Roman"/>
        </w:rPr>
        <w:t>;</w:t>
      </w:r>
      <w:r w:rsidRPr="00B90394">
        <w:rPr>
          <w:rStyle w:val="FootnoteReference"/>
          <w:rFonts w:ascii="Times New Roman" w:hAnsi="Times New Roman"/>
          <w:sz w:val="24"/>
        </w:rPr>
        <w:footnoteReference w:id="7"/>
      </w:r>
      <w:r w:rsidRPr="00B90394">
        <w:rPr>
          <w:rFonts w:ascii="Times New Roman" w:hAnsi="Times New Roman"/>
        </w:rPr>
        <w:t xml:space="preserve"> prevented her from leaving her unit</w:t>
      </w:r>
      <w:r w:rsidR="005454D2" w:rsidRPr="00B90394">
        <w:rPr>
          <w:rFonts w:ascii="Times New Roman" w:hAnsi="Times New Roman"/>
        </w:rPr>
        <w:t>;</w:t>
      </w:r>
      <w:r w:rsidRPr="00B90394">
        <w:rPr>
          <w:rStyle w:val="FootnoteReference"/>
          <w:rFonts w:ascii="Times New Roman" w:hAnsi="Times New Roman"/>
          <w:sz w:val="24"/>
        </w:rPr>
        <w:footnoteReference w:id="8"/>
      </w:r>
      <w:r w:rsidRPr="00B90394">
        <w:rPr>
          <w:rFonts w:ascii="Times New Roman" w:hAnsi="Times New Roman"/>
        </w:rPr>
        <w:t xml:space="preserve"> and </w:t>
      </w:r>
      <w:r w:rsidR="00A45D45" w:rsidRPr="00B90394">
        <w:rPr>
          <w:rFonts w:ascii="Times New Roman" w:hAnsi="Times New Roman"/>
        </w:rPr>
        <w:t>recklessly engaged in conduct that</w:t>
      </w:r>
      <w:r w:rsidRPr="00B90394">
        <w:rPr>
          <w:rFonts w:ascii="Times New Roman" w:hAnsi="Times New Roman"/>
        </w:rPr>
        <w:t xml:space="preserve"> </w:t>
      </w:r>
      <w:r w:rsidR="00945274" w:rsidRPr="00B90394">
        <w:rPr>
          <w:rFonts w:ascii="Times New Roman" w:hAnsi="Times New Roman"/>
        </w:rPr>
        <w:t>placed her in</w:t>
      </w:r>
      <w:r w:rsidR="00D951F9" w:rsidRPr="00B90394">
        <w:rPr>
          <w:rFonts w:ascii="Times New Roman" w:hAnsi="Times New Roman"/>
        </w:rPr>
        <w:t xml:space="preserve"> danger </w:t>
      </w:r>
      <w:r w:rsidR="00DD0B7D" w:rsidRPr="00B90394">
        <w:rPr>
          <w:rFonts w:ascii="Times New Roman" w:hAnsi="Times New Roman"/>
        </w:rPr>
        <w:t>of death</w:t>
      </w:r>
      <w:r w:rsidRPr="00B90394">
        <w:rPr>
          <w:rFonts w:ascii="Times New Roman" w:hAnsi="Times New Roman"/>
        </w:rPr>
        <w:t xml:space="preserve"> or</w:t>
      </w:r>
      <w:r w:rsidR="00DE7E4F" w:rsidRPr="00B90394">
        <w:rPr>
          <w:rFonts w:ascii="Times New Roman" w:hAnsi="Times New Roman"/>
        </w:rPr>
        <w:t>,</w:t>
      </w:r>
      <w:r w:rsidRPr="00B90394">
        <w:rPr>
          <w:rFonts w:ascii="Times New Roman" w:hAnsi="Times New Roman"/>
        </w:rPr>
        <w:t xml:space="preserve"> in the alternative</w:t>
      </w:r>
      <w:r w:rsidR="00C1371B" w:rsidRPr="00B90394">
        <w:rPr>
          <w:rFonts w:ascii="Times New Roman" w:hAnsi="Times New Roman"/>
        </w:rPr>
        <w:t>,</w:t>
      </w:r>
      <w:r w:rsidRPr="00B90394">
        <w:rPr>
          <w:rFonts w:ascii="Times New Roman" w:hAnsi="Times New Roman"/>
        </w:rPr>
        <w:t xml:space="preserve"> danger of serious injury by smothering her with his hands on her neck, mouth and nose, causing her to lose consciousness.</w:t>
      </w:r>
      <w:r w:rsidRPr="00B90394">
        <w:rPr>
          <w:rStyle w:val="FootnoteReference"/>
          <w:rFonts w:ascii="Times New Roman" w:hAnsi="Times New Roman"/>
          <w:sz w:val="24"/>
        </w:rPr>
        <w:footnoteReference w:id="9"/>
      </w:r>
      <w:r w:rsidRPr="00B90394">
        <w:rPr>
          <w:rFonts w:ascii="Times New Roman" w:hAnsi="Times New Roman"/>
        </w:rPr>
        <w:t xml:space="preserve"> The app</w:t>
      </w:r>
      <w:r w:rsidR="00B2259F" w:rsidRPr="00B90394">
        <w:rPr>
          <w:rFonts w:ascii="Times New Roman" w:hAnsi="Times New Roman"/>
        </w:rPr>
        <w:t>ellant</w:t>
      </w:r>
      <w:r w:rsidRPr="00B90394">
        <w:rPr>
          <w:rFonts w:ascii="Times New Roman" w:hAnsi="Times New Roman"/>
        </w:rPr>
        <w:t xml:space="preserve"> has also been charged with attempting to pervert the course of justice as a consequence of a letter he wrote to the complainant from custody on 18 July 2022 asking her to have the charges against him withdrawn and offering to pay her if she did what he asked. </w:t>
      </w:r>
    </w:p>
    <w:p w14:paraId="58C25286" w14:textId="55398FFE" w:rsidR="00000230" w:rsidRPr="00B90394" w:rsidRDefault="00747873"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The app</w:t>
      </w:r>
      <w:r w:rsidR="00A01E88" w:rsidRPr="00B90394">
        <w:rPr>
          <w:rFonts w:ascii="Times New Roman" w:hAnsi="Times New Roman"/>
        </w:rPr>
        <w:t>ellant</w:t>
      </w:r>
      <w:r w:rsidR="00000230" w:rsidRPr="00B90394">
        <w:rPr>
          <w:rFonts w:ascii="Times New Roman" w:hAnsi="Times New Roman"/>
        </w:rPr>
        <w:t xml:space="preserve"> has pleaded not guilty to all the charges </w:t>
      </w:r>
      <w:r w:rsidR="00993C07" w:rsidRPr="00B90394">
        <w:rPr>
          <w:rFonts w:ascii="Times New Roman" w:hAnsi="Times New Roman"/>
        </w:rPr>
        <w:t xml:space="preserve">other than the charge </w:t>
      </w:r>
      <w:r w:rsidR="00000230" w:rsidRPr="00B90394">
        <w:rPr>
          <w:rFonts w:ascii="Times New Roman" w:hAnsi="Times New Roman"/>
        </w:rPr>
        <w:t>of attempting to pervert the course of justice.</w:t>
      </w:r>
      <w:r w:rsidR="007B35EA" w:rsidRPr="00B90394">
        <w:rPr>
          <w:rFonts w:ascii="Times New Roman" w:hAnsi="Times New Roman"/>
        </w:rPr>
        <w:t xml:space="preserve"> </w:t>
      </w:r>
      <w:r w:rsidR="00000230" w:rsidRPr="00B90394">
        <w:rPr>
          <w:rFonts w:ascii="Times New Roman" w:hAnsi="Times New Roman"/>
        </w:rPr>
        <w:t>In relation to the contested charges, the appellant admits that he entered the complainant</w:t>
      </w:r>
      <w:r w:rsidR="00DE7E4F" w:rsidRPr="00B90394">
        <w:rPr>
          <w:rFonts w:ascii="Times New Roman" w:hAnsi="Times New Roman"/>
        </w:rPr>
        <w:t>'</w:t>
      </w:r>
      <w:r w:rsidR="00000230" w:rsidRPr="00B90394">
        <w:rPr>
          <w:rFonts w:ascii="Times New Roman" w:hAnsi="Times New Roman"/>
        </w:rPr>
        <w:t>s home on the evening of 30</w:t>
      </w:r>
      <w:r w:rsidRPr="00B90394">
        <w:rPr>
          <w:rFonts w:ascii="Times New Roman" w:hAnsi="Times New Roman"/>
        </w:rPr>
        <w:t> </w:t>
      </w:r>
      <w:r w:rsidR="00000230" w:rsidRPr="00B90394">
        <w:rPr>
          <w:rFonts w:ascii="Times New Roman" w:hAnsi="Times New Roman"/>
        </w:rPr>
        <w:t>August 2021</w:t>
      </w:r>
      <w:r w:rsidRPr="00B90394">
        <w:rPr>
          <w:rFonts w:ascii="Times New Roman" w:hAnsi="Times New Roman"/>
        </w:rPr>
        <w:t>,</w:t>
      </w:r>
      <w:r w:rsidR="00000230" w:rsidRPr="00B90394">
        <w:rPr>
          <w:rFonts w:ascii="Times New Roman" w:hAnsi="Times New Roman"/>
        </w:rPr>
        <w:t xml:space="preserve"> but sa</w:t>
      </w:r>
      <w:r w:rsidR="00D70093" w:rsidRPr="00B90394">
        <w:rPr>
          <w:rFonts w:ascii="Times New Roman" w:hAnsi="Times New Roman"/>
        </w:rPr>
        <w:t>ys</w:t>
      </w:r>
      <w:r w:rsidR="00000230" w:rsidRPr="00B90394">
        <w:rPr>
          <w:rFonts w:ascii="Times New Roman" w:hAnsi="Times New Roman"/>
        </w:rPr>
        <w:t xml:space="preserve"> he did so with her permission. He </w:t>
      </w:r>
      <w:r w:rsidR="00805B34" w:rsidRPr="00B90394">
        <w:rPr>
          <w:rFonts w:ascii="Times New Roman" w:hAnsi="Times New Roman"/>
        </w:rPr>
        <w:t xml:space="preserve">admits </w:t>
      </w:r>
      <w:r w:rsidR="00000230" w:rsidRPr="00B90394">
        <w:rPr>
          <w:rFonts w:ascii="Times New Roman" w:hAnsi="Times New Roman"/>
        </w:rPr>
        <w:t xml:space="preserve">that </w:t>
      </w:r>
      <w:r w:rsidR="00805B34" w:rsidRPr="00B90394">
        <w:rPr>
          <w:rFonts w:ascii="Times New Roman" w:hAnsi="Times New Roman"/>
        </w:rPr>
        <w:t xml:space="preserve">once </w:t>
      </w:r>
      <w:r w:rsidR="006711ED" w:rsidRPr="00B90394">
        <w:rPr>
          <w:rFonts w:ascii="Times New Roman" w:hAnsi="Times New Roman"/>
        </w:rPr>
        <w:t xml:space="preserve">he was </w:t>
      </w:r>
      <w:r w:rsidR="00805B34" w:rsidRPr="00B90394">
        <w:rPr>
          <w:rFonts w:ascii="Times New Roman" w:hAnsi="Times New Roman"/>
        </w:rPr>
        <w:t xml:space="preserve">inside the complainant's home </w:t>
      </w:r>
      <w:r w:rsidR="00000230" w:rsidRPr="00B90394">
        <w:rPr>
          <w:rFonts w:ascii="Times New Roman" w:hAnsi="Times New Roman"/>
        </w:rPr>
        <w:t xml:space="preserve">they had an argument </w:t>
      </w:r>
      <w:r w:rsidR="006711ED" w:rsidRPr="00B90394">
        <w:rPr>
          <w:rFonts w:ascii="Times New Roman" w:hAnsi="Times New Roman"/>
        </w:rPr>
        <w:t>but states that</w:t>
      </w:r>
      <w:r w:rsidR="00000230" w:rsidRPr="00B90394">
        <w:rPr>
          <w:rFonts w:ascii="Times New Roman" w:hAnsi="Times New Roman"/>
        </w:rPr>
        <w:t xml:space="preserve"> he </w:t>
      </w:r>
      <w:r w:rsidR="008079C5" w:rsidRPr="00B90394">
        <w:rPr>
          <w:rFonts w:ascii="Times New Roman" w:hAnsi="Times New Roman"/>
        </w:rPr>
        <w:t xml:space="preserve">then </w:t>
      </w:r>
      <w:r w:rsidR="00000230" w:rsidRPr="00B90394">
        <w:rPr>
          <w:rFonts w:ascii="Times New Roman" w:hAnsi="Times New Roman"/>
        </w:rPr>
        <w:t xml:space="preserve">left. He denies he assaulted her or was otherwise responsible for her injuries. </w:t>
      </w:r>
    </w:p>
    <w:p w14:paraId="31E4C28F" w14:textId="7E1D61C9" w:rsidR="00000230" w:rsidRPr="00B90394" w:rsidRDefault="00747873"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The complainant passed away in January 2023 in circumstances unrelated</w:t>
      </w:r>
      <w:r w:rsidR="009D0427" w:rsidRPr="00B90394">
        <w:rPr>
          <w:rFonts w:ascii="Times New Roman" w:hAnsi="Times New Roman"/>
        </w:rPr>
        <w:t xml:space="preserve"> to the alleged offending</w:t>
      </w:r>
      <w:r w:rsidR="00000230" w:rsidRPr="00B90394">
        <w:rPr>
          <w:rFonts w:ascii="Times New Roman" w:hAnsi="Times New Roman"/>
        </w:rPr>
        <w:t>. After her death</w:t>
      </w:r>
      <w:r w:rsidRPr="00B90394">
        <w:rPr>
          <w:rFonts w:ascii="Times New Roman" w:hAnsi="Times New Roman"/>
        </w:rPr>
        <w:t>,</w:t>
      </w:r>
      <w:r w:rsidR="00000230" w:rsidRPr="00B90394">
        <w:rPr>
          <w:rFonts w:ascii="Times New Roman" w:hAnsi="Times New Roman"/>
        </w:rPr>
        <w:t xml:space="preserve"> the respondent </w:t>
      </w:r>
      <w:r w:rsidR="007715DD" w:rsidRPr="00B90394">
        <w:rPr>
          <w:rFonts w:ascii="Times New Roman" w:hAnsi="Times New Roman"/>
        </w:rPr>
        <w:t xml:space="preserve">served a </w:t>
      </w:r>
      <w:r w:rsidR="00000230" w:rsidRPr="00B90394">
        <w:rPr>
          <w:rFonts w:ascii="Times New Roman" w:hAnsi="Times New Roman"/>
        </w:rPr>
        <w:t xml:space="preserve">notice </w:t>
      </w:r>
      <w:r w:rsidR="007715DD" w:rsidRPr="00B90394">
        <w:rPr>
          <w:rFonts w:ascii="Times New Roman" w:hAnsi="Times New Roman"/>
        </w:rPr>
        <w:t xml:space="preserve">under s 67 of the </w:t>
      </w:r>
      <w:r w:rsidR="007715DD" w:rsidRPr="00B90394">
        <w:rPr>
          <w:rFonts w:ascii="Times New Roman" w:hAnsi="Times New Roman"/>
          <w:i/>
          <w:iCs/>
        </w:rPr>
        <w:t>Evidence Act</w:t>
      </w:r>
      <w:r w:rsidR="007715DD" w:rsidRPr="00B90394">
        <w:rPr>
          <w:rFonts w:ascii="Times New Roman" w:hAnsi="Times New Roman"/>
        </w:rPr>
        <w:t xml:space="preserve"> notifying its intention </w:t>
      </w:r>
      <w:r w:rsidR="00000230" w:rsidRPr="00B90394">
        <w:rPr>
          <w:rFonts w:ascii="Times New Roman" w:hAnsi="Times New Roman"/>
        </w:rPr>
        <w:t xml:space="preserve">to adduce evidence at the appellant's trial of representations made by the complainant </w:t>
      </w:r>
      <w:r w:rsidR="008813A7" w:rsidRPr="00B90394">
        <w:rPr>
          <w:rFonts w:ascii="Times New Roman" w:hAnsi="Times New Roman"/>
        </w:rPr>
        <w:t xml:space="preserve">under the </w:t>
      </w:r>
      <w:r w:rsidR="00000230" w:rsidRPr="00B90394">
        <w:rPr>
          <w:rFonts w:ascii="Times New Roman" w:hAnsi="Times New Roman"/>
        </w:rPr>
        <w:t>exception to the hearsay rule</w:t>
      </w:r>
      <w:r w:rsidRPr="00B90394">
        <w:rPr>
          <w:rStyle w:val="FootnoteReference"/>
          <w:rFonts w:ascii="Times New Roman" w:hAnsi="Times New Roman"/>
          <w:sz w:val="24"/>
        </w:rPr>
        <w:footnoteReference w:id="10"/>
      </w:r>
      <w:r w:rsidR="00000230" w:rsidRPr="00B90394">
        <w:rPr>
          <w:rFonts w:ascii="Times New Roman" w:hAnsi="Times New Roman"/>
        </w:rPr>
        <w:t xml:space="preserve"> provided for in s</w:t>
      </w:r>
      <w:r w:rsidRPr="00B90394">
        <w:rPr>
          <w:rFonts w:ascii="Times New Roman" w:hAnsi="Times New Roman"/>
        </w:rPr>
        <w:t> </w:t>
      </w:r>
      <w:r w:rsidR="00000230" w:rsidRPr="00B90394">
        <w:rPr>
          <w:rFonts w:ascii="Times New Roman" w:hAnsi="Times New Roman"/>
        </w:rPr>
        <w:t xml:space="preserve">65 of the </w:t>
      </w:r>
      <w:r w:rsidR="00000230" w:rsidRPr="00B90394">
        <w:rPr>
          <w:rFonts w:ascii="Times New Roman" w:hAnsi="Times New Roman"/>
          <w:i/>
          <w:iCs/>
        </w:rPr>
        <w:t>Evidence Act</w:t>
      </w:r>
      <w:r w:rsidR="00D728E9" w:rsidRPr="00B90394">
        <w:rPr>
          <w:rFonts w:ascii="Times New Roman" w:hAnsi="Times New Roman"/>
        </w:rPr>
        <w:t>. Section 65 applies</w:t>
      </w:r>
      <w:r w:rsidR="003D5297" w:rsidRPr="00B90394">
        <w:rPr>
          <w:rFonts w:ascii="Times New Roman" w:hAnsi="Times New Roman"/>
        </w:rPr>
        <w:t xml:space="preserve"> </w:t>
      </w:r>
      <w:r w:rsidR="00D728E9" w:rsidRPr="00B90394">
        <w:rPr>
          <w:rFonts w:ascii="Times New Roman" w:hAnsi="Times New Roman"/>
        </w:rPr>
        <w:t>to</w:t>
      </w:r>
      <w:r w:rsidR="00A86DB1" w:rsidRPr="00B90394">
        <w:rPr>
          <w:rFonts w:ascii="Times New Roman" w:hAnsi="Times New Roman"/>
        </w:rPr>
        <w:t xml:space="preserve"> criminal proceedings </w:t>
      </w:r>
      <w:r w:rsidR="00000230" w:rsidRPr="00B90394">
        <w:rPr>
          <w:rFonts w:ascii="Times New Roman" w:hAnsi="Times New Roman"/>
        </w:rPr>
        <w:t xml:space="preserve">where the maker of </w:t>
      </w:r>
      <w:r w:rsidR="003720B0" w:rsidRPr="00B90394">
        <w:rPr>
          <w:rFonts w:ascii="Times New Roman" w:hAnsi="Times New Roman"/>
        </w:rPr>
        <w:t>a previous</w:t>
      </w:r>
      <w:r w:rsidR="00000230" w:rsidRPr="00B90394">
        <w:rPr>
          <w:rFonts w:ascii="Times New Roman" w:hAnsi="Times New Roman"/>
        </w:rPr>
        <w:t xml:space="preserve"> representation is not available to give evidence about an asserted fact</w:t>
      </w:r>
      <w:r w:rsidR="006224C9" w:rsidRPr="00B90394">
        <w:rPr>
          <w:rFonts w:ascii="Times New Roman" w:hAnsi="Times New Roman"/>
        </w:rPr>
        <w:t>.</w:t>
      </w:r>
      <w:r w:rsidR="00000230" w:rsidRPr="00B90394">
        <w:rPr>
          <w:rFonts w:ascii="Times New Roman" w:hAnsi="Times New Roman"/>
        </w:rPr>
        <w:t xml:space="preserve"> Of present relevance are </w:t>
      </w:r>
      <w:r w:rsidR="00DC5DF7" w:rsidRPr="00B90394">
        <w:rPr>
          <w:rFonts w:ascii="Times New Roman" w:hAnsi="Times New Roman"/>
        </w:rPr>
        <w:t>several</w:t>
      </w:r>
      <w:r w:rsidR="00000230" w:rsidRPr="00B90394">
        <w:rPr>
          <w:rFonts w:ascii="Times New Roman" w:hAnsi="Times New Roman"/>
        </w:rPr>
        <w:t xml:space="preserve"> representations </w:t>
      </w:r>
      <w:r w:rsidR="00000230" w:rsidRPr="00B90394">
        <w:rPr>
          <w:rFonts w:ascii="Times New Roman" w:hAnsi="Times New Roman"/>
        </w:rPr>
        <w:lastRenderedPageBreak/>
        <w:t>said to have been made</w:t>
      </w:r>
      <w:r w:rsidR="009E2A9E" w:rsidRPr="00B90394">
        <w:rPr>
          <w:rFonts w:ascii="Times New Roman" w:hAnsi="Times New Roman"/>
        </w:rPr>
        <w:t xml:space="preserve"> on 31 August 2021</w:t>
      </w:r>
      <w:r w:rsidR="00000230" w:rsidRPr="00B90394">
        <w:rPr>
          <w:rFonts w:ascii="Times New Roman" w:hAnsi="Times New Roman"/>
        </w:rPr>
        <w:t xml:space="preserve"> by the complainant: (</w:t>
      </w:r>
      <w:proofErr w:type="spellStart"/>
      <w:r w:rsidR="00000230" w:rsidRPr="00B90394">
        <w:rPr>
          <w:rFonts w:ascii="Times New Roman" w:hAnsi="Times New Roman"/>
        </w:rPr>
        <w:t>i</w:t>
      </w:r>
      <w:proofErr w:type="spellEnd"/>
      <w:r w:rsidR="00000230" w:rsidRPr="00B90394">
        <w:rPr>
          <w:rFonts w:ascii="Times New Roman" w:hAnsi="Times New Roman"/>
        </w:rPr>
        <w:t>) in a telephone call to her mother sometime between 11.30</w:t>
      </w:r>
      <w:r w:rsidRPr="00B90394">
        <w:rPr>
          <w:rFonts w:ascii="Times New Roman" w:hAnsi="Times New Roman"/>
        </w:rPr>
        <w:t> </w:t>
      </w:r>
      <w:r w:rsidR="00000230" w:rsidRPr="00B90394">
        <w:rPr>
          <w:rFonts w:ascii="Times New Roman" w:hAnsi="Times New Roman"/>
        </w:rPr>
        <w:t>am and 12.20</w:t>
      </w:r>
      <w:r w:rsidR="00D70093" w:rsidRPr="00B90394">
        <w:rPr>
          <w:rFonts w:ascii="Times New Roman" w:hAnsi="Times New Roman"/>
        </w:rPr>
        <w:t> </w:t>
      </w:r>
      <w:r w:rsidR="00000230" w:rsidRPr="00B90394">
        <w:rPr>
          <w:rFonts w:ascii="Times New Roman" w:hAnsi="Times New Roman"/>
        </w:rPr>
        <w:t>pm; (ii) in a triple</w:t>
      </w:r>
      <w:r w:rsidR="00B02CF8" w:rsidRPr="00B90394">
        <w:rPr>
          <w:rFonts w:ascii="Times New Roman" w:hAnsi="Times New Roman"/>
        </w:rPr>
        <w:noBreakHyphen/>
        <w:t>0</w:t>
      </w:r>
      <w:r w:rsidR="00000230" w:rsidRPr="00B90394">
        <w:rPr>
          <w:rFonts w:ascii="Times New Roman" w:hAnsi="Times New Roman"/>
        </w:rPr>
        <w:t xml:space="preserve"> call at 12.20</w:t>
      </w:r>
      <w:r w:rsidR="00D70093" w:rsidRPr="00B90394">
        <w:rPr>
          <w:rFonts w:ascii="Times New Roman" w:hAnsi="Times New Roman"/>
        </w:rPr>
        <w:t> </w:t>
      </w:r>
      <w:r w:rsidR="00000230" w:rsidRPr="00B90394">
        <w:rPr>
          <w:rFonts w:ascii="Times New Roman" w:hAnsi="Times New Roman"/>
        </w:rPr>
        <w:t>pm;</w:t>
      </w:r>
      <w:r w:rsidR="00884850" w:rsidRPr="00B90394">
        <w:rPr>
          <w:rFonts w:ascii="Times New Roman" w:hAnsi="Times New Roman"/>
        </w:rPr>
        <w:t xml:space="preserve"> </w:t>
      </w:r>
      <w:r w:rsidR="00000230" w:rsidRPr="00B90394">
        <w:rPr>
          <w:rFonts w:ascii="Times New Roman" w:hAnsi="Times New Roman"/>
        </w:rPr>
        <w:t>(iii) to a police officer at 1.05</w:t>
      </w:r>
      <w:r w:rsidR="00941C13" w:rsidRPr="00B90394">
        <w:rPr>
          <w:rFonts w:ascii="Times New Roman" w:hAnsi="Times New Roman"/>
        </w:rPr>
        <w:t> </w:t>
      </w:r>
      <w:r w:rsidR="00000230" w:rsidRPr="00B90394">
        <w:rPr>
          <w:rFonts w:ascii="Times New Roman" w:hAnsi="Times New Roman"/>
        </w:rPr>
        <w:t>pm a</w:t>
      </w:r>
      <w:r w:rsidR="00A86DB1" w:rsidRPr="00B90394">
        <w:rPr>
          <w:rFonts w:ascii="Times New Roman" w:hAnsi="Times New Roman"/>
        </w:rPr>
        <w:t>s</w:t>
      </w:r>
      <w:r w:rsidR="00000230" w:rsidRPr="00B90394">
        <w:rPr>
          <w:rFonts w:ascii="Times New Roman" w:hAnsi="Times New Roman"/>
        </w:rPr>
        <w:t xml:space="preserve"> recorded by a body worn camera; (iv) to the same police office</w:t>
      </w:r>
      <w:r w:rsidR="001619E8" w:rsidRPr="00B90394">
        <w:rPr>
          <w:rFonts w:ascii="Times New Roman" w:hAnsi="Times New Roman"/>
        </w:rPr>
        <w:t>r</w:t>
      </w:r>
      <w:r w:rsidR="00000230" w:rsidRPr="00B90394">
        <w:rPr>
          <w:rFonts w:ascii="Times New Roman" w:hAnsi="Times New Roman"/>
        </w:rPr>
        <w:t xml:space="preserve"> at 1.30</w:t>
      </w:r>
      <w:r w:rsidR="00941C13" w:rsidRPr="00B90394">
        <w:rPr>
          <w:rFonts w:ascii="Times New Roman" w:hAnsi="Times New Roman"/>
        </w:rPr>
        <w:t> </w:t>
      </w:r>
      <w:r w:rsidR="00000230" w:rsidRPr="00B90394">
        <w:rPr>
          <w:rFonts w:ascii="Times New Roman" w:hAnsi="Times New Roman"/>
        </w:rPr>
        <w:t>pm</w:t>
      </w:r>
      <w:r w:rsidR="00D33D8E" w:rsidRPr="00B90394">
        <w:rPr>
          <w:rFonts w:ascii="Times New Roman" w:hAnsi="Times New Roman"/>
        </w:rPr>
        <w:t>,</w:t>
      </w:r>
      <w:r w:rsidR="00C1264B" w:rsidRPr="00B90394">
        <w:rPr>
          <w:rFonts w:ascii="Times New Roman" w:hAnsi="Times New Roman"/>
        </w:rPr>
        <w:t xml:space="preserve"> </w:t>
      </w:r>
      <w:r w:rsidR="00000230" w:rsidRPr="00B90394">
        <w:rPr>
          <w:rFonts w:ascii="Times New Roman" w:hAnsi="Times New Roman"/>
        </w:rPr>
        <w:t>also recorded by a body worn camera;</w:t>
      </w:r>
      <w:r w:rsidR="00BE75CD" w:rsidRPr="00B90394">
        <w:rPr>
          <w:rFonts w:ascii="Times New Roman" w:hAnsi="Times New Roman"/>
        </w:rPr>
        <w:t xml:space="preserve"> </w:t>
      </w:r>
      <w:r w:rsidR="00000230" w:rsidRPr="00B90394">
        <w:rPr>
          <w:rFonts w:ascii="Times New Roman" w:hAnsi="Times New Roman"/>
        </w:rPr>
        <w:t xml:space="preserve">and (v) in a written statement taken by a different police officer and signed by the complainant at </w:t>
      </w:r>
      <w:r w:rsidR="00A86DB1" w:rsidRPr="00B90394">
        <w:rPr>
          <w:rFonts w:ascii="Times New Roman" w:hAnsi="Times New Roman"/>
        </w:rPr>
        <w:t xml:space="preserve">around </w:t>
      </w:r>
      <w:r w:rsidR="00000230" w:rsidRPr="00B90394">
        <w:rPr>
          <w:rFonts w:ascii="Times New Roman" w:hAnsi="Times New Roman"/>
        </w:rPr>
        <w:t>5.28</w:t>
      </w:r>
      <w:r w:rsidR="00941C13" w:rsidRPr="00B90394">
        <w:rPr>
          <w:rFonts w:ascii="Times New Roman" w:hAnsi="Times New Roman"/>
        </w:rPr>
        <w:t> </w:t>
      </w:r>
      <w:r w:rsidR="00000230" w:rsidRPr="00B90394">
        <w:rPr>
          <w:rFonts w:ascii="Times New Roman" w:hAnsi="Times New Roman"/>
        </w:rPr>
        <w:t>pm</w:t>
      </w:r>
      <w:r w:rsidR="00CA79AE" w:rsidRPr="00B90394">
        <w:rPr>
          <w:rFonts w:ascii="Times New Roman" w:hAnsi="Times New Roman"/>
        </w:rPr>
        <w:t>.</w:t>
      </w:r>
      <w:r w:rsidR="00000230" w:rsidRPr="00B90394">
        <w:rPr>
          <w:rFonts w:ascii="Times New Roman" w:hAnsi="Times New Roman"/>
        </w:rPr>
        <w:t xml:space="preserve"> </w:t>
      </w:r>
    </w:p>
    <w:p w14:paraId="3008C6A9" w14:textId="3A4FC1DE" w:rsidR="00000230" w:rsidRPr="00B90394" w:rsidRDefault="00941C13"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The appellant objected to the admission of the evidence of these representations. The trial judge</w:t>
      </w:r>
      <w:r w:rsidR="004C7A47" w:rsidRPr="00B90394">
        <w:rPr>
          <w:rFonts w:ascii="Times New Roman" w:hAnsi="Times New Roman"/>
        </w:rPr>
        <w:t xml:space="preserve"> </w:t>
      </w:r>
      <w:r w:rsidR="00A86DB1" w:rsidRPr="00B90394">
        <w:rPr>
          <w:rFonts w:ascii="Times New Roman" w:hAnsi="Times New Roman"/>
        </w:rPr>
        <w:t>ruled</w:t>
      </w:r>
      <w:r w:rsidR="00000230" w:rsidRPr="00B90394">
        <w:rPr>
          <w:rFonts w:ascii="Times New Roman" w:hAnsi="Times New Roman"/>
        </w:rPr>
        <w:t xml:space="preserve"> that the evidence was admissible. His Honour held </w:t>
      </w:r>
      <w:r w:rsidRPr="00B90394">
        <w:rPr>
          <w:rFonts w:ascii="Times New Roman" w:hAnsi="Times New Roman"/>
        </w:rPr>
        <w:t xml:space="preserve">that </w:t>
      </w:r>
      <w:r w:rsidR="00000230" w:rsidRPr="00B90394">
        <w:rPr>
          <w:rFonts w:ascii="Times New Roman" w:hAnsi="Times New Roman"/>
        </w:rPr>
        <w:t>s</w:t>
      </w:r>
      <w:r w:rsidRPr="00B90394">
        <w:rPr>
          <w:rFonts w:ascii="Times New Roman" w:hAnsi="Times New Roman"/>
        </w:rPr>
        <w:t> </w:t>
      </w:r>
      <w:r w:rsidR="00000230" w:rsidRPr="00B90394">
        <w:rPr>
          <w:rFonts w:ascii="Times New Roman" w:hAnsi="Times New Roman"/>
        </w:rPr>
        <w:t xml:space="preserve">65(2)(b) of the </w:t>
      </w:r>
      <w:r w:rsidR="00000230" w:rsidRPr="00B90394">
        <w:rPr>
          <w:rFonts w:ascii="Times New Roman" w:hAnsi="Times New Roman"/>
          <w:i/>
          <w:iCs/>
        </w:rPr>
        <w:t>Evidence Act</w:t>
      </w:r>
      <w:r w:rsidR="00000230" w:rsidRPr="00B90394">
        <w:rPr>
          <w:rFonts w:ascii="Times New Roman" w:hAnsi="Times New Roman"/>
        </w:rPr>
        <w:t xml:space="preserve"> was satisfied in that each of the representations was made shortly after </w:t>
      </w:r>
      <w:r w:rsidR="007A60CE" w:rsidRPr="00B90394">
        <w:rPr>
          <w:rFonts w:ascii="Times New Roman" w:hAnsi="Times New Roman"/>
        </w:rPr>
        <w:t xml:space="preserve">when </w:t>
      </w:r>
      <w:r w:rsidR="00000230" w:rsidRPr="00B90394">
        <w:rPr>
          <w:rFonts w:ascii="Times New Roman" w:hAnsi="Times New Roman"/>
        </w:rPr>
        <w:t>the fact</w:t>
      </w:r>
      <w:r w:rsidR="00A634DC" w:rsidRPr="00B90394">
        <w:rPr>
          <w:rFonts w:ascii="Times New Roman" w:hAnsi="Times New Roman"/>
        </w:rPr>
        <w:t>s</w:t>
      </w:r>
      <w:r w:rsidR="00000230" w:rsidRPr="00B90394">
        <w:rPr>
          <w:rFonts w:ascii="Times New Roman" w:hAnsi="Times New Roman"/>
        </w:rPr>
        <w:t xml:space="preserve"> asserted by the representation</w:t>
      </w:r>
      <w:r w:rsidR="00A634DC" w:rsidRPr="00B90394">
        <w:rPr>
          <w:rFonts w:ascii="Times New Roman" w:hAnsi="Times New Roman"/>
        </w:rPr>
        <w:t>s</w:t>
      </w:r>
      <w:r w:rsidR="00000230" w:rsidRPr="00B90394">
        <w:rPr>
          <w:rFonts w:ascii="Times New Roman" w:hAnsi="Times New Roman"/>
        </w:rPr>
        <w:t xml:space="preserve"> occurred and in circumstances that ma</w:t>
      </w:r>
      <w:r w:rsidRPr="00B90394">
        <w:rPr>
          <w:rFonts w:ascii="Times New Roman" w:hAnsi="Times New Roman"/>
        </w:rPr>
        <w:t>d</w:t>
      </w:r>
      <w:r w:rsidR="00000230" w:rsidRPr="00B90394">
        <w:rPr>
          <w:rFonts w:ascii="Times New Roman" w:hAnsi="Times New Roman"/>
        </w:rPr>
        <w:t>e it unlikely that the representation</w:t>
      </w:r>
      <w:r w:rsidR="00D67568" w:rsidRPr="00B90394">
        <w:rPr>
          <w:rFonts w:ascii="Times New Roman" w:hAnsi="Times New Roman"/>
        </w:rPr>
        <w:t>s</w:t>
      </w:r>
      <w:r w:rsidR="00000230" w:rsidRPr="00B90394">
        <w:rPr>
          <w:rFonts w:ascii="Times New Roman" w:hAnsi="Times New Roman"/>
        </w:rPr>
        <w:t xml:space="preserve"> </w:t>
      </w:r>
      <w:r w:rsidRPr="00B90394">
        <w:rPr>
          <w:rFonts w:ascii="Times New Roman" w:hAnsi="Times New Roman"/>
        </w:rPr>
        <w:t>w</w:t>
      </w:r>
      <w:r w:rsidR="00D67568" w:rsidRPr="00B90394">
        <w:rPr>
          <w:rFonts w:ascii="Times New Roman" w:hAnsi="Times New Roman"/>
        </w:rPr>
        <w:t>ere</w:t>
      </w:r>
      <w:r w:rsidR="00000230" w:rsidRPr="00B90394">
        <w:rPr>
          <w:rFonts w:ascii="Times New Roman" w:hAnsi="Times New Roman"/>
        </w:rPr>
        <w:t xml:space="preserve"> a fabrication. His Honour also held that s</w:t>
      </w:r>
      <w:r w:rsidRPr="00B90394">
        <w:rPr>
          <w:rFonts w:ascii="Times New Roman" w:hAnsi="Times New Roman"/>
        </w:rPr>
        <w:t> </w:t>
      </w:r>
      <w:r w:rsidR="00000230" w:rsidRPr="00B90394">
        <w:rPr>
          <w:rFonts w:ascii="Times New Roman" w:hAnsi="Times New Roman"/>
        </w:rPr>
        <w:t xml:space="preserve">65(2)(c) was satisfied in that each </w:t>
      </w:r>
      <w:r w:rsidR="00FA66A0" w:rsidRPr="00B90394">
        <w:rPr>
          <w:rFonts w:ascii="Times New Roman" w:hAnsi="Times New Roman"/>
        </w:rPr>
        <w:t xml:space="preserve">of the </w:t>
      </w:r>
      <w:r w:rsidR="00000230" w:rsidRPr="00B90394">
        <w:rPr>
          <w:rFonts w:ascii="Times New Roman" w:hAnsi="Times New Roman"/>
        </w:rPr>
        <w:t>representation</w:t>
      </w:r>
      <w:r w:rsidR="00FA66A0" w:rsidRPr="00B90394">
        <w:rPr>
          <w:rFonts w:ascii="Times New Roman" w:hAnsi="Times New Roman"/>
        </w:rPr>
        <w:t>s</w:t>
      </w:r>
      <w:r w:rsidR="00000230" w:rsidRPr="00B90394">
        <w:rPr>
          <w:rFonts w:ascii="Times New Roman" w:hAnsi="Times New Roman"/>
        </w:rPr>
        <w:t xml:space="preserve"> was made in circumstances that ma</w:t>
      </w:r>
      <w:r w:rsidRPr="00B90394">
        <w:rPr>
          <w:rFonts w:ascii="Times New Roman" w:hAnsi="Times New Roman"/>
        </w:rPr>
        <w:t>d</w:t>
      </w:r>
      <w:r w:rsidR="00000230" w:rsidRPr="00B90394">
        <w:rPr>
          <w:rFonts w:ascii="Times New Roman" w:hAnsi="Times New Roman"/>
        </w:rPr>
        <w:t>e it highly probable that the representation</w:t>
      </w:r>
      <w:r w:rsidR="00FA66A0" w:rsidRPr="00B90394">
        <w:rPr>
          <w:rFonts w:ascii="Times New Roman" w:hAnsi="Times New Roman"/>
        </w:rPr>
        <w:t>s</w:t>
      </w:r>
      <w:r w:rsidR="00000230" w:rsidRPr="00B90394">
        <w:rPr>
          <w:rFonts w:ascii="Times New Roman" w:hAnsi="Times New Roman"/>
        </w:rPr>
        <w:t xml:space="preserve"> </w:t>
      </w:r>
      <w:r w:rsidRPr="00B90394">
        <w:rPr>
          <w:rFonts w:ascii="Times New Roman" w:hAnsi="Times New Roman"/>
        </w:rPr>
        <w:t>w</w:t>
      </w:r>
      <w:r w:rsidR="00FA66A0" w:rsidRPr="00B90394">
        <w:rPr>
          <w:rFonts w:ascii="Times New Roman" w:hAnsi="Times New Roman"/>
        </w:rPr>
        <w:t>ere</w:t>
      </w:r>
      <w:r w:rsidR="00000230" w:rsidRPr="00B90394">
        <w:rPr>
          <w:rFonts w:ascii="Times New Roman" w:hAnsi="Times New Roman"/>
        </w:rPr>
        <w:t xml:space="preserve"> reliable. Either finding was sufficient to satisfy s</w:t>
      </w:r>
      <w:r w:rsidRPr="00B90394">
        <w:rPr>
          <w:rFonts w:ascii="Times New Roman" w:hAnsi="Times New Roman"/>
        </w:rPr>
        <w:t> </w:t>
      </w:r>
      <w:r w:rsidR="00000230" w:rsidRPr="00B90394">
        <w:rPr>
          <w:rFonts w:ascii="Times New Roman" w:hAnsi="Times New Roman"/>
        </w:rPr>
        <w:t xml:space="preserve">65(2) of the </w:t>
      </w:r>
      <w:r w:rsidR="00000230" w:rsidRPr="00B90394">
        <w:rPr>
          <w:rFonts w:ascii="Times New Roman" w:hAnsi="Times New Roman"/>
          <w:i/>
          <w:iCs/>
        </w:rPr>
        <w:t>Evidence Act</w:t>
      </w:r>
      <w:r w:rsidR="00000230" w:rsidRPr="00B90394">
        <w:rPr>
          <w:rFonts w:ascii="Times New Roman" w:hAnsi="Times New Roman"/>
        </w:rPr>
        <w:t>. The trial judge declined to exclude the evidence under s</w:t>
      </w:r>
      <w:r w:rsidRPr="00B90394">
        <w:rPr>
          <w:rFonts w:ascii="Times New Roman" w:hAnsi="Times New Roman"/>
        </w:rPr>
        <w:t> </w:t>
      </w:r>
      <w:r w:rsidR="00000230" w:rsidRPr="00B90394">
        <w:rPr>
          <w:rFonts w:ascii="Times New Roman" w:hAnsi="Times New Roman"/>
        </w:rPr>
        <w:t xml:space="preserve">137 of the </w:t>
      </w:r>
      <w:r w:rsidR="00000230" w:rsidRPr="00B90394">
        <w:rPr>
          <w:rFonts w:ascii="Times New Roman" w:hAnsi="Times New Roman"/>
          <w:i/>
          <w:iCs/>
        </w:rPr>
        <w:t>Evidence Act</w:t>
      </w:r>
      <w:r w:rsidR="00000230" w:rsidRPr="00B90394">
        <w:rPr>
          <w:rFonts w:ascii="Times New Roman" w:hAnsi="Times New Roman"/>
        </w:rPr>
        <w:t xml:space="preserve">. </w:t>
      </w:r>
    </w:p>
    <w:p w14:paraId="5BBA0BA6" w14:textId="7B87268E" w:rsidR="00000230" w:rsidRPr="00B90394" w:rsidRDefault="00000230" w:rsidP="00B90394">
      <w:pPr>
        <w:pStyle w:val="FixListStyle"/>
        <w:spacing w:after="260" w:line="280" w:lineRule="exact"/>
        <w:ind w:right="0"/>
        <w:jc w:val="both"/>
        <w:rPr>
          <w:rFonts w:ascii="Times New Roman" w:hAnsi="Times New Roman"/>
        </w:rPr>
      </w:pPr>
      <w:r w:rsidRPr="00B90394">
        <w:rPr>
          <w:rFonts w:ascii="Times New Roman" w:hAnsi="Times New Roman"/>
        </w:rPr>
        <w:tab/>
        <w:t>The trial judge certified that his interlocutory decision concerned the admissibility of evidence that, if ruled inadmissible, would eliminate or substantially weaken the prosecution case.</w:t>
      </w:r>
      <w:r w:rsidR="00941C13" w:rsidRPr="00B90394">
        <w:rPr>
          <w:rStyle w:val="FootnoteReference"/>
          <w:rFonts w:ascii="Times New Roman" w:hAnsi="Times New Roman"/>
          <w:sz w:val="24"/>
        </w:rPr>
        <w:footnoteReference w:id="11"/>
      </w:r>
      <w:r w:rsidRPr="00B90394">
        <w:rPr>
          <w:rFonts w:ascii="Times New Roman" w:hAnsi="Times New Roman"/>
        </w:rPr>
        <w:t xml:space="preserve"> This certification enabled the appellant to seek leave to appeal to the Court of Appeal.</w:t>
      </w:r>
      <w:r w:rsidR="00941C13" w:rsidRPr="00B90394">
        <w:rPr>
          <w:rStyle w:val="FootnoteReference"/>
          <w:rFonts w:ascii="Times New Roman" w:hAnsi="Times New Roman"/>
          <w:sz w:val="24"/>
        </w:rPr>
        <w:footnoteReference w:id="12"/>
      </w:r>
      <w:r w:rsidRPr="00B90394">
        <w:rPr>
          <w:rFonts w:ascii="Times New Roman" w:hAnsi="Times New Roman"/>
        </w:rPr>
        <w:t xml:space="preserve"> The appellant sought leave to appeal </w:t>
      </w:r>
      <w:r w:rsidR="004A4842" w:rsidRPr="00B90394">
        <w:rPr>
          <w:rFonts w:ascii="Times New Roman" w:hAnsi="Times New Roman"/>
        </w:rPr>
        <w:t xml:space="preserve">and raised </w:t>
      </w:r>
      <w:r w:rsidRPr="00B90394">
        <w:rPr>
          <w:rFonts w:ascii="Times New Roman" w:hAnsi="Times New Roman"/>
        </w:rPr>
        <w:t>four</w:t>
      </w:r>
      <w:r w:rsidR="004A4842" w:rsidRPr="00B90394">
        <w:rPr>
          <w:rFonts w:ascii="Times New Roman" w:hAnsi="Times New Roman"/>
        </w:rPr>
        <w:t xml:space="preserve"> proposed </w:t>
      </w:r>
      <w:r w:rsidRPr="00B90394">
        <w:rPr>
          <w:rFonts w:ascii="Times New Roman" w:hAnsi="Times New Roman"/>
        </w:rPr>
        <w:t>grounds</w:t>
      </w:r>
      <w:r w:rsidR="004A4842" w:rsidRPr="00B90394">
        <w:rPr>
          <w:rFonts w:ascii="Times New Roman" w:hAnsi="Times New Roman"/>
        </w:rPr>
        <w:t xml:space="preserve"> of appeal</w:t>
      </w:r>
      <w:r w:rsidRPr="00B90394">
        <w:rPr>
          <w:rFonts w:ascii="Times New Roman" w:hAnsi="Times New Roman"/>
        </w:rPr>
        <w:t>, three of which concerned s</w:t>
      </w:r>
      <w:r w:rsidR="00AC1453" w:rsidRPr="00B90394">
        <w:rPr>
          <w:rFonts w:ascii="Times New Roman" w:hAnsi="Times New Roman"/>
        </w:rPr>
        <w:t> </w:t>
      </w:r>
      <w:r w:rsidRPr="00B90394">
        <w:rPr>
          <w:rFonts w:ascii="Times New Roman" w:hAnsi="Times New Roman"/>
        </w:rPr>
        <w:t xml:space="preserve">65 of the </w:t>
      </w:r>
      <w:r w:rsidRPr="00B90394">
        <w:rPr>
          <w:rFonts w:ascii="Times New Roman" w:hAnsi="Times New Roman"/>
          <w:i/>
          <w:iCs/>
        </w:rPr>
        <w:t>Evidence Act</w:t>
      </w:r>
      <w:r w:rsidRPr="00B90394">
        <w:rPr>
          <w:rFonts w:ascii="Times New Roman" w:hAnsi="Times New Roman"/>
        </w:rPr>
        <w:t xml:space="preserve"> and </w:t>
      </w:r>
      <w:r w:rsidR="00F343D2" w:rsidRPr="00B90394">
        <w:rPr>
          <w:rFonts w:ascii="Times New Roman" w:hAnsi="Times New Roman"/>
        </w:rPr>
        <w:t xml:space="preserve">one </w:t>
      </w:r>
      <w:r w:rsidR="00D70093" w:rsidRPr="00B90394">
        <w:rPr>
          <w:rFonts w:ascii="Times New Roman" w:hAnsi="Times New Roman"/>
        </w:rPr>
        <w:t xml:space="preserve">of </w:t>
      </w:r>
      <w:r w:rsidR="00F343D2" w:rsidRPr="00B90394">
        <w:rPr>
          <w:rFonts w:ascii="Times New Roman" w:hAnsi="Times New Roman"/>
        </w:rPr>
        <w:t xml:space="preserve">which concerned </w:t>
      </w:r>
      <w:r w:rsidRPr="00B90394">
        <w:rPr>
          <w:rFonts w:ascii="Times New Roman" w:hAnsi="Times New Roman"/>
        </w:rPr>
        <w:t>the trial judge</w:t>
      </w:r>
      <w:r w:rsidR="00AC1453" w:rsidRPr="00B90394">
        <w:rPr>
          <w:rFonts w:ascii="Times New Roman" w:hAnsi="Times New Roman"/>
        </w:rPr>
        <w:t>'</w:t>
      </w:r>
      <w:r w:rsidRPr="00B90394">
        <w:rPr>
          <w:rFonts w:ascii="Times New Roman" w:hAnsi="Times New Roman"/>
        </w:rPr>
        <w:t>s refusal to exclude the evidence of the</w:t>
      </w:r>
      <w:r w:rsidR="00AC1453" w:rsidRPr="00B90394">
        <w:rPr>
          <w:rFonts w:ascii="Times New Roman" w:hAnsi="Times New Roman"/>
        </w:rPr>
        <w:t xml:space="preserve"> </w:t>
      </w:r>
      <w:r w:rsidRPr="00B90394">
        <w:rPr>
          <w:rFonts w:ascii="Times New Roman" w:hAnsi="Times New Roman"/>
        </w:rPr>
        <w:t>representations under s</w:t>
      </w:r>
      <w:r w:rsidR="00AC1453" w:rsidRPr="00B90394">
        <w:rPr>
          <w:rFonts w:ascii="Times New Roman" w:hAnsi="Times New Roman"/>
        </w:rPr>
        <w:t> </w:t>
      </w:r>
      <w:r w:rsidRPr="00B90394">
        <w:rPr>
          <w:rFonts w:ascii="Times New Roman" w:hAnsi="Times New Roman"/>
        </w:rPr>
        <w:t xml:space="preserve">137. </w:t>
      </w:r>
    </w:p>
    <w:p w14:paraId="0B5DB95F" w14:textId="28320412" w:rsidR="00000230" w:rsidRPr="00B90394" w:rsidRDefault="00000230" w:rsidP="00B90394">
      <w:pPr>
        <w:pStyle w:val="FixListStyle"/>
        <w:spacing w:after="260" w:line="280" w:lineRule="exact"/>
        <w:ind w:right="0"/>
        <w:jc w:val="both"/>
        <w:rPr>
          <w:rFonts w:ascii="Times New Roman" w:hAnsi="Times New Roman"/>
        </w:rPr>
      </w:pPr>
      <w:r w:rsidRPr="00B90394">
        <w:rPr>
          <w:rFonts w:ascii="Times New Roman" w:hAnsi="Times New Roman"/>
        </w:rPr>
        <w:tab/>
        <w:t>On 28</w:t>
      </w:r>
      <w:r w:rsidR="00AC1453" w:rsidRPr="00B90394">
        <w:rPr>
          <w:rFonts w:ascii="Times New Roman" w:hAnsi="Times New Roman"/>
        </w:rPr>
        <w:t> </w:t>
      </w:r>
      <w:r w:rsidRPr="00B90394">
        <w:rPr>
          <w:rFonts w:ascii="Times New Roman" w:hAnsi="Times New Roman"/>
        </w:rPr>
        <w:t>September 20</w:t>
      </w:r>
      <w:r w:rsidR="000067A9" w:rsidRPr="00B90394">
        <w:rPr>
          <w:rFonts w:ascii="Times New Roman" w:hAnsi="Times New Roman"/>
        </w:rPr>
        <w:t>2</w:t>
      </w:r>
      <w:r w:rsidRPr="00B90394">
        <w:rPr>
          <w:rFonts w:ascii="Times New Roman" w:hAnsi="Times New Roman"/>
        </w:rPr>
        <w:t>3</w:t>
      </w:r>
      <w:r w:rsidR="00AC1453" w:rsidRPr="00B90394">
        <w:rPr>
          <w:rFonts w:ascii="Times New Roman" w:hAnsi="Times New Roman"/>
        </w:rPr>
        <w:t>,</w:t>
      </w:r>
      <w:r w:rsidRPr="00B90394">
        <w:rPr>
          <w:rFonts w:ascii="Times New Roman" w:hAnsi="Times New Roman"/>
        </w:rPr>
        <w:t xml:space="preserve"> the Court of Appeal</w:t>
      </w:r>
      <w:r w:rsidR="00A17712" w:rsidRPr="00B90394">
        <w:rPr>
          <w:rFonts w:ascii="Times New Roman" w:hAnsi="Times New Roman"/>
        </w:rPr>
        <w:t>:</w:t>
      </w:r>
      <w:r w:rsidRPr="00B90394">
        <w:rPr>
          <w:rFonts w:ascii="Times New Roman" w:hAnsi="Times New Roman"/>
        </w:rPr>
        <w:t xml:space="preserve"> refused leave to appeal in respect of two of the grounds of appeal concerning s 65 of the </w:t>
      </w:r>
      <w:r w:rsidRPr="00B90394">
        <w:rPr>
          <w:rFonts w:ascii="Times New Roman" w:hAnsi="Times New Roman"/>
          <w:i/>
          <w:iCs/>
        </w:rPr>
        <w:t>Evidence Act</w:t>
      </w:r>
      <w:r w:rsidR="00A17712" w:rsidRPr="00B90394">
        <w:rPr>
          <w:rFonts w:ascii="Times New Roman" w:hAnsi="Times New Roman"/>
        </w:rPr>
        <w:t>;</w:t>
      </w:r>
      <w:r w:rsidR="00A069C9" w:rsidRPr="00B90394">
        <w:rPr>
          <w:rFonts w:ascii="Times New Roman" w:hAnsi="Times New Roman"/>
        </w:rPr>
        <w:t xml:space="preserve"> </w:t>
      </w:r>
      <w:r w:rsidR="00B27373" w:rsidRPr="00B90394">
        <w:rPr>
          <w:rFonts w:ascii="Times New Roman" w:hAnsi="Times New Roman"/>
        </w:rPr>
        <w:t xml:space="preserve">and </w:t>
      </w:r>
      <w:r w:rsidRPr="00B90394">
        <w:rPr>
          <w:rFonts w:ascii="Times New Roman" w:hAnsi="Times New Roman"/>
        </w:rPr>
        <w:t>granted leave to appeal in respect of the remaining two grounds of appeal but affirmed the trial judge's ruling.</w:t>
      </w:r>
      <w:r w:rsidR="00D23D93" w:rsidRPr="00B90394">
        <w:rPr>
          <w:rFonts w:ascii="Times New Roman" w:hAnsi="Times New Roman"/>
        </w:rPr>
        <w:t xml:space="preserve"> </w:t>
      </w:r>
      <w:r w:rsidRPr="00B90394">
        <w:rPr>
          <w:rFonts w:ascii="Times New Roman" w:hAnsi="Times New Roman"/>
        </w:rPr>
        <w:t>The Court of Appeal upheld the trial judge's finding that s</w:t>
      </w:r>
      <w:r w:rsidR="00AC1453" w:rsidRPr="00B90394">
        <w:rPr>
          <w:rFonts w:ascii="Times New Roman" w:hAnsi="Times New Roman"/>
        </w:rPr>
        <w:t> </w:t>
      </w:r>
      <w:r w:rsidRPr="00B90394">
        <w:rPr>
          <w:rFonts w:ascii="Times New Roman" w:hAnsi="Times New Roman"/>
        </w:rPr>
        <w:t xml:space="preserve">65(2)(b) of the </w:t>
      </w:r>
      <w:r w:rsidRPr="00B90394">
        <w:rPr>
          <w:rFonts w:ascii="Times New Roman" w:hAnsi="Times New Roman"/>
          <w:i/>
          <w:iCs/>
        </w:rPr>
        <w:t>Evidence Act</w:t>
      </w:r>
      <w:r w:rsidRPr="00B90394">
        <w:rPr>
          <w:rFonts w:ascii="Times New Roman" w:hAnsi="Times New Roman"/>
        </w:rPr>
        <w:t xml:space="preserve"> was satisfied in relation to each representation</w:t>
      </w:r>
      <w:r w:rsidR="00B02CF8" w:rsidRPr="00B90394">
        <w:rPr>
          <w:rStyle w:val="FootnoteReference"/>
          <w:rFonts w:ascii="Times New Roman" w:hAnsi="Times New Roman"/>
          <w:sz w:val="24"/>
        </w:rPr>
        <w:footnoteReference w:id="13"/>
      </w:r>
      <w:r w:rsidRPr="00B90394">
        <w:rPr>
          <w:rFonts w:ascii="Times New Roman" w:hAnsi="Times New Roman"/>
        </w:rPr>
        <w:t xml:space="preserve"> </w:t>
      </w:r>
      <w:r w:rsidR="00A86DB1" w:rsidRPr="00B90394">
        <w:rPr>
          <w:rFonts w:ascii="Times New Roman" w:hAnsi="Times New Roman"/>
        </w:rPr>
        <w:t>and found it</w:t>
      </w:r>
      <w:r w:rsidRPr="00B90394">
        <w:rPr>
          <w:rFonts w:ascii="Times New Roman" w:hAnsi="Times New Roman"/>
        </w:rPr>
        <w:t xml:space="preserve"> unnecessary to address s</w:t>
      </w:r>
      <w:r w:rsidR="00AC1453" w:rsidRPr="00B90394">
        <w:rPr>
          <w:rFonts w:ascii="Times New Roman" w:hAnsi="Times New Roman"/>
        </w:rPr>
        <w:t> </w:t>
      </w:r>
      <w:r w:rsidRPr="00B90394">
        <w:rPr>
          <w:rFonts w:ascii="Times New Roman" w:hAnsi="Times New Roman"/>
        </w:rPr>
        <w:t>65(2)(c)</w:t>
      </w:r>
      <w:r w:rsidR="00B02CF8" w:rsidRPr="00B90394">
        <w:rPr>
          <w:rFonts w:ascii="Times New Roman" w:hAnsi="Times New Roman"/>
        </w:rPr>
        <w:t>.</w:t>
      </w:r>
      <w:r w:rsidR="00B02CF8" w:rsidRPr="00B90394">
        <w:rPr>
          <w:rStyle w:val="FootnoteReference"/>
          <w:rFonts w:ascii="Times New Roman" w:hAnsi="Times New Roman"/>
          <w:sz w:val="24"/>
        </w:rPr>
        <w:footnoteReference w:id="14"/>
      </w:r>
      <w:r w:rsidRPr="00B90394">
        <w:rPr>
          <w:rFonts w:ascii="Times New Roman" w:hAnsi="Times New Roman"/>
        </w:rPr>
        <w:t xml:space="preserve"> The Court of Appeal </w:t>
      </w:r>
      <w:r w:rsidR="006F3742" w:rsidRPr="00B90394">
        <w:rPr>
          <w:rFonts w:ascii="Times New Roman" w:hAnsi="Times New Roman"/>
        </w:rPr>
        <w:t xml:space="preserve">also </w:t>
      </w:r>
      <w:r w:rsidRPr="00B90394">
        <w:rPr>
          <w:rFonts w:ascii="Times New Roman" w:hAnsi="Times New Roman"/>
        </w:rPr>
        <w:t xml:space="preserve">upheld the trial judge's refusal to exclude the evidence of the </w:t>
      </w:r>
      <w:r w:rsidRPr="00B90394">
        <w:rPr>
          <w:rFonts w:ascii="Times New Roman" w:hAnsi="Times New Roman"/>
        </w:rPr>
        <w:lastRenderedPageBreak/>
        <w:t>representations under s</w:t>
      </w:r>
      <w:r w:rsidR="00AC1453" w:rsidRPr="00B90394">
        <w:rPr>
          <w:rFonts w:ascii="Times New Roman" w:hAnsi="Times New Roman"/>
        </w:rPr>
        <w:t> </w:t>
      </w:r>
      <w:r w:rsidRPr="00B90394">
        <w:rPr>
          <w:rFonts w:ascii="Times New Roman" w:hAnsi="Times New Roman"/>
        </w:rPr>
        <w:t>137.</w:t>
      </w:r>
      <w:r w:rsidR="005B025F" w:rsidRPr="00B90394">
        <w:rPr>
          <w:rFonts w:ascii="Times New Roman" w:hAnsi="Times New Roman"/>
        </w:rPr>
        <w:t xml:space="preserve"> </w:t>
      </w:r>
      <w:r w:rsidRPr="00B90394">
        <w:rPr>
          <w:rFonts w:ascii="Times New Roman" w:hAnsi="Times New Roman"/>
        </w:rPr>
        <w:t>The Court observed that it was "well</w:t>
      </w:r>
      <w:r w:rsidR="00C55D7B" w:rsidRPr="00B90394">
        <w:rPr>
          <w:rFonts w:ascii="Times New Roman" w:hAnsi="Times New Roman"/>
        </w:rPr>
        <w:t>-</w:t>
      </w:r>
      <w:r w:rsidRPr="00B90394">
        <w:rPr>
          <w:rFonts w:ascii="Times New Roman" w:hAnsi="Times New Roman"/>
        </w:rPr>
        <w:t xml:space="preserve">established" that </w:t>
      </w:r>
      <w:r w:rsidRPr="00B90394">
        <w:rPr>
          <w:rFonts w:ascii="Times New Roman" w:hAnsi="Times New Roman"/>
          <w:i/>
          <w:iCs/>
        </w:rPr>
        <w:t xml:space="preserve">House v </w:t>
      </w:r>
      <w:r w:rsidR="004B6CA5" w:rsidRPr="00B90394">
        <w:rPr>
          <w:rFonts w:ascii="Times New Roman" w:hAnsi="Times New Roman"/>
          <w:i/>
          <w:iCs/>
        </w:rPr>
        <w:t xml:space="preserve">The </w:t>
      </w:r>
      <w:r w:rsidRPr="00B90394">
        <w:rPr>
          <w:rFonts w:ascii="Times New Roman" w:hAnsi="Times New Roman"/>
          <w:i/>
          <w:iCs/>
        </w:rPr>
        <w:t>King</w:t>
      </w:r>
      <w:r w:rsidRPr="00B90394">
        <w:rPr>
          <w:rFonts w:ascii="Times New Roman" w:hAnsi="Times New Roman"/>
        </w:rPr>
        <w:t xml:space="preserve"> principles apply in relation to an </w:t>
      </w:r>
      <w:r w:rsidR="00A86DB1" w:rsidRPr="00B90394">
        <w:rPr>
          <w:rFonts w:ascii="Times New Roman" w:hAnsi="Times New Roman"/>
          <w:i/>
          <w:iCs/>
        </w:rPr>
        <w:t xml:space="preserve">interlocutory </w:t>
      </w:r>
      <w:r w:rsidRPr="00B90394">
        <w:rPr>
          <w:rFonts w:ascii="Times New Roman" w:hAnsi="Times New Roman"/>
          <w:i/>
          <w:iCs/>
        </w:rPr>
        <w:t>appeal</w:t>
      </w:r>
      <w:r w:rsidRPr="00B90394">
        <w:rPr>
          <w:rFonts w:ascii="Times New Roman" w:hAnsi="Times New Roman"/>
        </w:rPr>
        <w:t xml:space="preserve"> from a trial judge's decision addressing whether to exclude evidence under s</w:t>
      </w:r>
      <w:r w:rsidR="00AC1453" w:rsidRPr="00B90394">
        <w:rPr>
          <w:rFonts w:ascii="Times New Roman" w:hAnsi="Times New Roman"/>
        </w:rPr>
        <w:t> </w:t>
      </w:r>
      <w:r w:rsidRPr="00B90394">
        <w:rPr>
          <w:rFonts w:ascii="Times New Roman" w:hAnsi="Times New Roman"/>
        </w:rPr>
        <w:t>137.</w:t>
      </w:r>
      <w:r w:rsidR="00B02CF8" w:rsidRPr="00B90394">
        <w:rPr>
          <w:rStyle w:val="FootnoteReference"/>
          <w:rFonts w:ascii="Times New Roman" w:hAnsi="Times New Roman"/>
          <w:sz w:val="24"/>
        </w:rPr>
        <w:footnoteReference w:id="15"/>
      </w:r>
      <w:r w:rsidRPr="00B90394">
        <w:rPr>
          <w:rFonts w:ascii="Times New Roman" w:hAnsi="Times New Roman"/>
        </w:rPr>
        <w:t xml:space="preserve"> </w:t>
      </w:r>
    </w:p>
    <w:p w14:paraId="259D31BA" w14:textId="3639E634" w:rsidR="00000230" w:rsidRPr="00B90394" w:rsidRDefault="00000230" w:rsidP="00B90394">
      <w:pPr>
        <w:pStyle w:val="FixListStyle"/>
        <w:spacing w:after="260" w:line="280" w:lineRule="exact"/>
        <w:ind w:right="0"/>
        <w:jc w:val="both"/>
        <w:rPr>
          <w:rFonts w:ascii="Times New Roman" w:hAnsi="Times New Roman"/>
        </w:rPr>
      </w:pPr>
      <w:r w:rsidRPr="00B90394">
        <w:rPr>
          <w:rFonts w:ascii="Times New Roman" w:hAnsi="Times New Roman"/>
        </w:rPr>
        <w:tab/>
        <w:t>On 7</w:t>
      </w:r>
      <w:r w:rsidR="00AC1453" w:rsidRPr="00B90394">
        <w:rPr>
          <w:rFonts w:ascii="Times New Roman" w:hAnsi="Times New Roman"/>
        </w:rPr>
        <w:t> </w:t>
      </w:r>
      <w:r w:rsidRPr="00B90394">
        <w:rPr>
          <w:rFonts w:ascii="Times New Roman" w:hAnsi="Times New Roman"/>
        </w:rPr>
        <w:t>March 2024</w:t>
      </w:r>
      <w:r w:rsidR="00AC1453" w:rsidRPr="00B90394">
        <w:rPr>
          <w:rFonts w:ascii="Times New Roman" w:hAnsi="Times New Roman"/>
        </w:rPr>
        <w:t>,</w:t>
      </w:r>
      <w:r w:rsidRPr="00B90394">
        <w:rPr>
          <w:rFonts w:ascii="Times New Roman" w:hAnsi="Times New Roman"/>
        </w:rPr>
        <w:t xml:space="preserve"> the appellant was granted special leave to appeal </w:t>
      </w:r>
      <w:r w:rsidR="0094356F" w:rsidRPr="00B90394">
        <w:rPr>
          <w:rFonts w:ascii="Times New Roman" w:hAnsi="Times New Roman"/>
        </w:rPr>
        <w:t>to</w:t>
      </w:r>
      <w:r w:rsidR="00320B86" w:rsidRPr="00B90394">
        <w:rPr>
          <w:rFonts w:ascii="Times New Roman" w:hAnsi="Times New Roman"/>
        </w:rPr>
        <w:t xml:space="preserve"> this Court in</w:t>
      </w:r>
      <w:r w:rsidRPr="00B90394">
        <w:rPr>
          <w:rFonts w:ascii="Times New Roman" w:hAnsi="Times New Roman"/>
        </w:rPr>
        <w:t xml:space="preserve"> respect of that part of the Court of Appeal's judgment </w:t>
      </w:r>
      <w:r w:rsidR="00287E46" w:rsidRPr="00B90394">
        <w:rPr>
          <w:rFonts w:ascii="Times New Roman" w:hAnsi="Times New Roman"/>
        </w:rPr>
        <w:t>that</w:t>
      </w:r>
      <w:r w:rsidRPr="00B90394">
        <w:rPr>
          <w:rFonts w:ascii="Times New Roman" w:hAnsi="Times New Roman"/>
        </w:rPr>
        <w:t xml:space="preserve"> affirmed the trial judge's refusal to exclude the evidence of the representations under s</w:t>
      </w:r>
      <w:r w:rsidR="00AC1453" w:rsidRPr="00B90394">
        <w:rPr>
          <w:rFonts w:ascii="Times New Roman" w:hAnsi="Times New Roman"/>
        </w:rPr>
        <w:t> </w:t>
      </w:r>
      <w:r w:rsidRPr="00B90394">
        <w:rPr>
          <w:rFonts w:ascii="Times New Roman" w:hAnsi="Times New Roman"/>
        </w:rPr>
        <w:t xml:space="preserve">137 of the </w:t>
      </w:r>
      <w:r w:rsidRPr="00B90394">
        <w:rPr>
          <w:rFonts w:ascii="Times New Roman" w:hAnsi="Times New Roman"/>
          <w:i/>
          <w:iCs/>
        </w:rPr>
        <w:t>Evidence Act</w:t>
      </w:r>
      <w:r w:rsidRPr="00B90394">
        <w:rPr>
          <w:rFonts w:ascii="Times New Roman" w:hAnsi="Times New Roman"/>
        </w:rPr>
        <w:t xml:space="preserve">. </w:t>
      </w:r>
    </w:p>
    <w:p w14:paraId="1A897999" w14:textId="6DA5E8B7" w:rsidR="00000230" w:rsidRPr="00B90394" w:rsidRDefault="00AC1453"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By his notice of appeal, the appellant contends that the Court of Appeal erred in reviewing the trial judge</w:t>
      </w:r>
      <w:r w:rsidR="00DE7E4F" w:rsidRPr="00B90394">
        <w:rPr>
          <w:rFonts w:ascii="Times New Roman" w:hAnsi="Times New Roman"/>
        </w:rPr>
        <w:t>'</w:t>
      </w:r>
      <w:r w:rsidR="00000230" w:rsidRPr="00B90394">
        <w:rPr>
          <w:rFonts w:ascii="Times New Roman" w:hAnsi="Times New Roman"/>
        </w:rPr>
        <w:t>s refusal to exclude the evidence of the representations under s</w:t>
      </w:r>
      <w:r w:rsidRPr="00B90394">
        <w:rPr>
          <w:rFonts w:ascii="Times New Roman" w:hAnsi="Times New Roman"/>
        </w:rPr>
        <w:t> </w:t>
      </w:r>
      <w:r w:rsidR="00000230" w:rsidRPr="00B90394">
        <w:rPr>
          <w:rFonts w:ascii="Times New Roman" w:hAnsi="Times New Roman"/>
        </w:rPr>
        <w:t xml:space="preserve">137 by reference to </w:t>
      </w:r>
      <w:r w:rsidR="00000230" w:rsidRPr="00B90394">
        <w:rPr>
          <w:rFonts w:ascii="Times New Roman" w:hAnsi="Times New Roman"/>
          <w:i/>
          <w:iCs/>
        </w:rPr>
        <w:t xml:space="preserve">House v </w:t>
      </w:r>
      <w:r w:rsidR="004B6CA5" w:rsidRPr="00B90394">
        <w:rPr>
          <w:rFonts w:ascii="Times New Roman" w:hAnsi="Times New Roman"/>
          <w:i/>
          <w:iCs/>
        </w:rPr>
        <w:t xml:space="preserve">The </w:t>
      </w:r>
      <w:r w:rsidR="00000230" w:rsidRPr="00B90394">
        <w:rPr>
          <w:rFonts w:ascii="Times New Roman" w:hAnsi="Times New Roman"/>
          <w:i/>
          <w:iCs/>
        </w:rPr>
        <w:t>King</w:t>
      </w:r>
      <w:r w:rsidR="00000230" w:rsidRPr="00B90394">
        <w:rPr>
          <w:rFonts w:ascii="Times New Roman" w:hAnsi="Times New Roman"/>
        </w:rPr>
        <w:t xml:space="preserve"> principles as opposed to applying the correctness standard. The appellant also contends that the Court of Appeal erred in its assessment of the danger of unfair prejudice that would result from the admission of the evidence of the representations. </w:t>
      </w:r>
    </w:p>
    <w:p w14:paraId="60DA5959" w14:textId="1C7CCC64" w:rsidR="00A86DB1" w:rsidRPr="00B90394" w:rsidRDefault="00A86DB1" w:rsidP="00B90394">
      <w:pPr>
        <w:pStyle w:val="HeadingL1"/>
        <w:spacing w:after="260" w:line="280" w:lineRule="exact"/>
        <w:ind w:right="0"/>
        <w:jc w:val="both"/>
        <w:rPr>
          <w:rFonts w:ascii="Times New Roman" w:hAnsi="Times New Roman"/>
        </w:rPr>
      </w:pPr>
      <w:r w:rsidRPr="00B90394">
        <w:rPr>
          <w:rFonts w:ascii="Times New Roman" w:hAnsi="Times New Roman"/>
        </w:rPr>
        <w:t xml:space="preserve">The </w:t>
      </w:r>
      <w:r w:rsidR="00046841" w:rsidRPr="00B90394">
        <w:rPr>
          <w:rFonts w:ascii="Times New Roman" w:hAnsi="Times New Roman"/>
        </w:rPr>
        <w:t>c</w:t>
      </w:r>
      <w:r w:rsidRPr="00B90394">
        <w:rPr>
          <w:rFonts w:ascii="Times New Roman" w:hAnsi="Times New Roman"/>
        </w:rPr>
        <w:t xml:space="preserve">orrectness </w:t>
      </w:r>
      <w:r w:rsidR="00046841" w:rsidRPr="00B90394">
        <w:rPr>
          <w:rFonts w:ascii="Times New Roman" w:hAnsi="Times New Roman"/>
        </w:rPr>
        <w:t>s</w:t>
      </w:r>
      <w:r w:rsidRPr="00B90394">
        <w:rPr>
          <w:rFonts w:ascii="Times New Roman" w:hAnsi="Times New Roman"/>
        </w:rPr>
        <w:t xml:space="preserve">tandard applies to </w:t>
      </w:r>
      <w:r w:rsidR="00046841" w:rsidRPr="00B90394">
        <w:rPr>
          <w:rFonts w:ascii="Times New Roman" w:hAnsi="Times New Roman"/>
        </w:rPr>
        <w:t>i</w:t>
      </w:r>
      <w:r w:rsidRPr="00B90394">
        <w:rPr>
          <w:rFonts w:ascii="Times New Roman" w:hAnsi="Times New Roman"/>
        </w:rPr>
        <w:t xml:space="preserve">nterlocutory </w:t>
      </w:r>
      <w:r w:rsidR="00046841" w:rsidRPr="00B90394">
        <w:rPr>
          <w:rFonts w:ascii="Times New Roman" w:hAnsi="Times New Roman"/>
        </w:rPr>
        <w:t>a</w:t>
      </w:r>
      <w:r w:rsidRPr="00B90394">
        <w:rPr>
          <w:rFonts w:ascii="Times New Roman" w:hAnsi="Times New Roman"/>
        </w:rPr>
        <w:t xml:space="preserve">ppeals from </w:t>
      </w:r>
      <w:r w:rsidR="00046841" w:rsidRPr="00B90394">
        <w:rPr>
          <w:rFonts w:ascii="Times New Roman" w:hAnsi="Times New Roman"/>
        </w:rPr>
        <w:t>r</w:t>
      </w:r>
      <w:r w:rsidRPr="00B90394">
        <w:rPr>
          <w:rFonts w:ascii="Times New Roman" w:hAnsi="Times New Roman"/>
        </w:rPr>
        <w:t>ulings under s </w:t>
      </w:r>
      <w:proofErr w:type="gramStart"/>
      <w:r w:rsidRPr="00B90394">
        <w:rPr>
          <w:rFonts w:ascii="Times New Roman" w:hAnsi="Times New Roman"/>
        </w:rPr>
        <w:t>137</w:t>
      </w:r>
      <w:proofErr w:type="gramEnd"/>
    </w:p>
    <w:p w14:paraId="6058DF03" w14:textId="275A92EA" w:rsidR="00000230" w:rsidRPr="00B90394" w:rsidRDefault="00AC1453"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parties were at issue as to the appropriate standard of review to be applied on an interlocutory appeal from a ruling of a trial judge in relation to whether </w:t>
      </w:r>
      <w:r w:rsidR="00117AFC" w:rsidRPr="00B90394">
        <w:rPr>
          <w:rFonts w:ascii="Times New Roman" w:hAnsi="Times New Roman"/>
        </w:rPr>
        <w:t xml:space="preserve">to </w:t>
      </w:r>
      <w:r w:rsidR="00000230" w:rsidRPr="00B90394">
        <w:rPr>
          <w:rFonts w:ascii="Times New Roman" w:hAnsi="Times New Roman"/>
        </w:rPr>
        <w:t>exclude evidence under s</w:t>
      </w:r>
      <w:r w:rsidRPr="00B90394">
        <w:rPr>
          <w:rFonts w:ascii="Times New Roman" w:hAnsi="Times New Roman"/>
        </w:rPr>
        <w:t> </w:t>
      </w:r>
      <w:r w:rsidR="00000230" w:rsidRPr="00B90394">
        <w:rPr>
          <w:rFonts w:ascii="Times New Roman" w:hAnsi="Times New Roman"/>
        </w:rPr>
        <w:t xml:space="preserve">137 of the </w:t>
      </w:r>
      <w:r w:rsidR="00000230" w:rsidRPr="00B90394">
        <w:rPr>
          <w:rFonts w:ascii="Times New Roman" w:hAnsi="Times New Roman"/>
          <w:i/>
          <w:iCs/>
        </w:rPr>
        <w:t>Evidence</w:t>
      </w:r>
      <w:r w:rsidR="00000230" w:rsidRPr="00B90394">
        <w:rPr>
          <w:rFonts w:ascii="Times New Roman" w:hAnsi="Times New Roman"/>
        </w:rPr>
        <w:t xml:space="preserve"> </w:t>
      </w:r>
      <w:r w:rsidR="00000230" w:rsidRPr="00B90394">
        <w:rPr>
          <w:rFonts w:ascii="Times New Roman" w:hAnsi="Times New Roman"/>
          <w:i/>
          <w:iCs/>
        </w:rPr>
        <w:t>Act</w:t>
      </w:r>
      <w:r w:rsidR="00000230" w:rsidRPr="00B90394">
        <w:rPr>
          <w:rFonts w:ascii="Times New Roman" w:hAnsi="Times New Roman"/>
        </w:rPr>
        <w:t xml:space="preserve">. </w:t>
      </w:r>
    </w:p>
    <w:p w14:paraId="4C7050FA" w14:textId="08F56486" w:rsidR="00000230" w:rsidRPr="00B90394" w:rsidRDefault="00AC1453"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Two standards of appell</w:t>
      </w:r>
      <w:r w:rsidR="001C6673" w:rsidRPr="00B90394">
        <w:rPr>
          <w:rFonts w:ascii="Times New Roman" w:hAnsi="Times New Roman"/>
        </w:rPr>
        <w:t>ate</w:t>
      </w:r>
      <w:r w:rsidR="00000230" w:rsidRPr="00B90394">
        <w:rPr>
          <w:rFonts w:ascii="Times New Roman" w:hAnsi="Times New Roman"/>
        </w:rPr>
        <w:t xml:space="preserve"> review of first instance judicial determinations are of present relevance, namely what has come to be referred to as the correctness standard</w:t>
      </w:r>
      <w:r w:rsidRPr="00B90394">
        <w:rPr>
          <w:rStyle w:val="FootnoteReference"/>
          <w:rFonts w:ascii="Times New Roman" w:hAnsi="Times New Roman"/>
          <w:sz w:val="24"/>
        </w:rPr>
        <w:footnoteReference w:id="16"/>
      </w:r>
      <w:r w:rsidR="00000230" w:rsidRPr="00B90394">
        <w:rPr>
          <w:rFonts w:ascii="Times New Roman" w:hAnsi="Times New Roman"/>
        </w:rPr>
        <w:t xml:space="preserve"> and</w:t>
      </w:r>
      <w:r w:rsidR="00E10BFE" w:rsidRPr="00B90394">
        <w:rPr>
          <w:rFonts w:ascii="Times New Roman" w:hAnsi="Times New Roman"/>
        </w:rPr>
        <w:t xml:space="preserve"> a</w:t>
      </w:r>
      <w:r w:rsidR="00000230" w:rsidRPr="00B90394">
        <w:rPr>
          <w:rFonts w:ascii="Times New Roman" w:hAnsi="Times New Roman"/>
        </w:rPr>
        <w:t xml:space="preserve"> </w:t>
      </w:r>
      <w:r w:rsidR="002468EF" w:rsidRPr="00B90394">
        <w:rPr>
          <w:rFonts w:ascii="Times New Roman" w:hAnsi="Times New Roman"/>
        </w:rPr>
        <w:t>"</w:t>
      </w:r>
      <w:r w:rsidR="00000230" w:rsidRPr="00B90394">
        <w:rPr>
          <w:rFonts w:ascii="Times New Roman" w:hAnsi="Times New Roman"/>
          <w:i/>
          <w:iCs/>
        </w:rPr>
        <w:t xml:space="preserve">House v </w:t>
      </w:r>
      <w:r w:rsidR="004B6CA5" w:rsidRPr="00B90394">
        <w:rPr>
          <w:rFonts w:ascii="Times New Roman" w:hAnsi="Times New Roman"/>
          <w:i/>
          <w:iCs/>
        </w:rPr>
        <w:t xml:space="preserve">The </w:t>
      </w:r>
      <w:r w:rsidR="00000230" w:rsidRPr="00B90394">
        <w:rPr>
          <w:rFonts w:ascii="Times New Roman" w:hAnsi="Times New Roman"/>
          <w:i/>
          <w:iCs/>
        </w:rPr>
        <w:t>King</w:t>
      </w:r>
      <w:r w:rsidR="002468EF" w:rsidRPr="00B90394">
        <w:rPr>
          <w:rFonts w:ascii="Times New Roman" w:hAnsi="Times New Roman"/>
        </w:rPr>
        <w:t>" standard involving judicial restraint affording latitude to a trial judge</w:t>
      </w:r>
      <w:r w:rsidR="00000230" w:rsidRPr="00B90394">
        <w:rPr>
          <w:rFonts w:ascii="Times New Roman" w:hAnsi="Times New Roman"/>
        </w:rPr>
        <w:t>.</w:t>
      </w:r>
      <w:r w:rsidR="002468EF" w:rsidRPr="00B90394">
        <w:rPr>
          <w:rStyle w:val="FootnoteReference"/>
          <w:rFonts w:ascii="Times New Roman" w:hAnsi="Times New Roman"/>
          <w:sz w:val="24"/>
        </w:rPr>
        <w:footnoteReference w:id="17"/>
      </w:r>
      <w:r w:rsidR="00000230" w:rsidRPr="00B90394">
        <w:rPr>
          <w:rFonts w:ascii="Times New Roman" w:hAnsi="Times New Roman"/>
        </w:rPr>
        <w:t xml:space="preserve"> </w:t>
      </w:r>
      <w:r w:rsidR="00A86DB1" w:rsidRPr="00B90394">
        <w:rPr>
          <w:rFonts w:ascii="Times New Roman" w:hAnsi="Times New Roman"/>
        </w:rPr>
        <w:t>Under</w:t>
      </w:r>
      <w:r w:rsidR="00000230" w:rsidRPr="00B90394">
        <w:rPr>
          <w:rFonts w:ascii="Times New Roman" w:hAnsi="Times New Roman"/>
        </w:rPr>
        <w:t xml:space="preserve"> the correctness standard</w:t>
      </w:r>
      <w:r w:rsidR="00507C42" w:rsidRPr="00B90394">
        <w:rPr>
          <w:rFonts w:ascii="Times New Roman" w:hAnsi="Times New Roman"/>
        </w:rPr>
        <w:t>,</w:t>
      </w:r>
      <w:r w:rsidR="00000230" w:rsidRPr="00B90394">
        <w:rPr>
          <w:rFonts w:ascii="Times New Roman" w:hAnsi="Times New Roman"/>
        </w:rPr>
        <w:t xml:space="preserve"> the app</w:t>
      </w:r>
      <w:r w:rsidR="00E96B49" w:rsidRPr="00B90394">
        <w:rPr>
          <w:rFonts w:ascii="Times New Roman" w:hAnsi="Times New Roman"/>
        </w:rPr>
        <w:t>ellate</w:t>
      </w:r>
      <w:r w:rsidR="00000230" w:rsidRPr="00B90394">
        <w:rPr>
          <w:rFonts w:ascii="Times New Roman" w:hAnsi="Times New Roman"/>
        </w:rPr>
        <w:t xml:space="preserve"> court determines for itself the correct outcome while making </w:t>
      </w:r>
      <w:r w:rsidR="00A86DB1" w:rsidRPr="00B90394">
        <w:rPr>
          <w:rFonts w:ascii="Times New Roman" w:hAnsi="Times New Roman"/>
        </w:rPr>
        <w:t xml:space="preserve">due </w:t>
      </w:r>
      <w:r w:rsidR="00000230" w:rsidRPr="00B90394">
        <w:rPr>
          <w:rFonts w:ascii="Times New Roman" w:hAnsi="Times New Roman"/>
        </w:rPr>
        <w:t>allowance for such "advantages</w:t>
      </w:r>
      <w:r w:rsidR="002E4934" w:rsidRPr="00B90394">
        <w:rPr>
          <w:rFonts w:ascii="Times New Roman" w:hAnsi="Times New Roman"/>
        </w:rPr>
        <w:t>"</w:t>
      </w:r>
      <w:r w:rsidR="00000230" w:rsidRPr="00B90394">
        <w:rPr>
          <w:rFonts w:ascii="Times New Roman" w:hAnsi="Times New Roman"/>
        </w:rPr>
        <w:t xml:space="preserve"> as may have been enjoyed by the judge</w:t>
      </w:r>
      <w:r w:rsidR="000346E8" w:rsidRPr="00B90394">
        <w:rPr>
          <w:rFonts w:ascii="Times New Roman" w:hAnsi="Times New Roman"/>
        </w:rPr>
        <w:t xml:space="preserve"> who conducted the trial</w:t>
      </w:r>
      <w:r w:rsidR="00850B2A" w:rsidRPr="00B90394">
        <w:rPr>
          <w:rFonts w:ascii="Times New Roman" w:hAnsi="Times New Roman"/>
        </w:rPr>
        <w:t xml:space="preserve"> </w:t>
      </w:r>
      <w:r w:rsidR="001B31E0" w:rsidRPr="00B90394">
        <w:rPr>
          <w:rFonts w:ascii="Times New Roman" w:hAnsi="Times New Roman"/>
        </w:rPr>
        <w:t>or hearing.</w:t>
      </w:r>
      <w:r w:rsidR="00850B2A" w:rsidRPr="00B90394">
        <w:rPr>
          <w:rStyle w:val="FootnoteReference"/>
          <w:rFonts w:ascii="Times New Roman" w:hAnsi="Times New Roman"/>
          <w:sz w:val="24"/>
        </w:rPr>
        <w:footnoteReference w:id="18"/>
      </w:r>
      <w:r w:rsidR="00850B2A" w:rsidRPr="00B90394">
        <w:rPr>
          <w:rFonts w:ascii="Times New Roman" w:hAnsi="Times New Roman"/>
        </w:rPr>
        <w:t xml:space="preserve"> </w:t>
      </w:r>
      <w:r w:rsidR="00000230" w:rsidRPr="00B90394">
        <w:rPr>
          <w:rFonts w:ascii="Times New Roman" w:hAnsi="Times New Roman"/>
        </w:rPr>
        <w:t xml:space="preserve">With </w:t>
      </w:r>
      <w:r w:rsidR="00000230" w:rsidRPr="00B90394">
        <w:rPr>
          <w:rFonts w:ascii="Times New Roman" w:hAnsi="Times New Roman"/>
          <w:i/>
          <w:iCs/>
        </w:rPr>
        <w:t xml:space="preserve">House v </w:t>
      </w:r>
      <w:r w:rsidR="004B6CA5" w:rsidRPr="00B90394">
        <w:rPr>
          <w:rFonts w:ascii="Times New Roman" w:hAnsi="Times New Roman"/>
          <w:i/>
          <w:iCs/>
        </w:rPr>
        <w:t xml:space="preserve">The </w:t>
      </w:r>
      <w:r w:rsidR="00000230" w:rsidRPr="00B90394">
        <w:rPr>
          <w:rFonts w:ascii="Times New Roman" w:hAnsi="Times New Roman"/>
          <w:i/>
          <w:iCs/>
        </w:rPr>
        <w:t>King</w:t>
      </w:r>
      <w:r w:rsidR="00000230" w:rsidRPr="00B90394">
        <w:rPr>
          <w:rFonts w:ascii="Times New Roman" w:hAnsi="Times New Roman"/>
        </w:rPr>
        <w:t>, appella</w:t>
      </w:r>
      <w:r w:rsidR="00E74537" w:rsidRPr="00B90394">
        <w:rPr>
          <w:rFonts w:ascii="Times New Roman" w:hAnsi="Times New Roman"/>
        </w:rPr>
        <w:t>te</w:t>
      </w:r>
      <w:r w:rsidR="00000230" w:rsidRPr="00B90394">
        <w:rPr>
          <w:rFonts w:ascii="Times New Roman" w:hAnsi="Times New Roman"/>
        </w:rPr>
        <w:t xml:space="preserve"> intervention </w:t>
      </w:r>
      <w:r w:rsidR="00A86DB1" w:rsidRPr="00B90394">
        <w:rPr>
          <w:rFonts w:ascii="Times New Roman" w:hAnsi="Times New Roman"/>
        </w:rPr>
        <w:t xml:space="preserve">is </w:t>
      </w:r>
      <w:r w:rsidR="00000230" w:rsidRPr="00B90394">
        <w:rPr>
          <w:rFonts w:ascii="Times New Roman" w:hAnsi="Times New Roman"/>
        </w:rPr>
        <w:t xml:space="preserve">limited to circumstances where the </w:t>
      </w:r>
      <w:r w:rsidR="00C6596D" w:rsidRPr="00B90394">
        <w:rPr>
          <w:rFonts w:ascii="Times New Roman" w:hAnsi="Times New Roman"/>
        </w:rPr>
        <w:t xml:space="preserve">trial </w:t>
      </w:r>
      <w:r w:rsidR="00000230" w:rsidRPr="00B90394">
        <w:rPr>
          <w:rFonts w:ascii="Times New Roman" w:hAnsi="Times New Roman"/>
        </w:rPr>
        <w:t>judge</w:t>
      </w:r>
      <w:r w:rsidR="00CD3DAE" w:rsidRPr="00B90394">
        <w:rPr>
          <w:rFonts w:ascii="Times New Roman" w:hAnsi="Times New Roman"/>
        </w:rPr>
        <w:t>:</w:t>
      </w:r>
      <w:r w:rsidR="00000230" w:rsidRPr="00B90394">
        <w:rPr>
          <w:rFonts w:ascii="Times New Roman" w:hAnsi="Times New Roman"/>
        </w:rPr>
        <w:t xml:space="preserve"> acted upon a wrong principle, </w:t>
      </w:r>
      <w:r w:rsidR="00CD3DAE" w:rsidRPr="00B90394">
        <w:rPr>
          <w:rFonts w:ascii="Times New Roman" w:hAnsi="Times New Roman"/>
        </w:rPr>
        <w:t xml:space="preserve">or </w:t>
      </w:r>
      <w:r w:rsidR="00000230" w:rsidRPr="00B90394">
        <w:rPr>
          <w:rFonts w:ascii="Times New Roman" w:hAnsi="Times New Roman"/>
        </w:rPr>
        <w:t>allowed extraneous or irrelevant matters to affect the decision</w:t>
      </w:r>
      <w:r w:rsidR="00BE4D75" w:rsidRPr="00B90394">
        <w:rPr>
          <w:rFonts w:ascii="Times New Roman" w:hAnsi="Times New Roman"/>
        </w:rPr>
        <w:t>;</w:t>
      </w:r>
      <w:r w:rsidR="00000230" w:rsidRPr="00B90394">
        <w:rPr>
          <w:rFonts w:ascii="Times New Roman" w:hAnsi="Times New Roman"/>
        </w:rPr>
        <w:t xml:space="preserve"> mistook the facts</w:t>
      </w:r>
      <w:r w:rsidR="00BE4D75" w:rsidRPr="00B90394">
        <w:rPr>
          <w:rFonts w:ascii="Times New Roman" w:hAnsi="Times New Roman"/>
        </w:rPr>
        <w:t>;</w:t>
      </w:r>
      <w:r w:rsidR="00000230" w:rsidRPr="00B90394">
        <w:rPr>
          <w:rFonts w:ascii="Times New Roman" w:hAnsi="Times New Roman"/>
        </w:rPr>
        <w:t xml:space="preserve"> failed to </w:t>
      </w:r>
      <w:r w:rsidR="00000230" w:rsidRPr="00B90394">
        <w:rPr>
          <w:rFonts w:ascii="Times New Roman" w:hAnsi="Times New Roman"/>
        </w:rPr>
        <w:lastRenderedPageBreak/>
        <w:t>take into account some material consideration</w:t>
      </w:r>
      <w:r w:rsidR="00BE4D75" w:rsidRPr="00B90394">
        <w:rPr>
          <w:rFonts w:ascii="Times New Roman" w:hAnsi="Times New Roman"/>
        </w:rPr>
        <w:t>;</w:t>
      </w:r>
      <w:r w:rsidR="00000230" w:rsidRPr="00B90394">
        <w:rPr>
          <w:rFonts w:ascii="Times New Roman" w:hAnsi="Times New Roman"/>
        </w:rPr>
        <w:t xml:space="preserve"> or ma</w:t>
      </w:r>
      <w:r w:rsidR="00A86DB1" w:rsidRPr="00B90394">
        <w:rPr>
          <w:rFonts w:ascii="Times New Roman" w:hAnsi="Times New Roman"/>
        </w:rPr>
        <w:t>de</w:t>
      </w:r>
      <w:r w:rsidR="00000230" w:rsidRPr="00B90394">
        <w:rPr>
          <w:rFonts w:ascii="Times New Roman" w:hAnsi="Times New Roman"/>
        </w:rPr>
        <w:t xml:space="preserve"> a decision that was unreasonable or plainly unjust.</w:t>
      </w:r>
      <w:r w:rsidRPr="00B90394">
        <w:rPr>
          <w:rStyle w:val="FootnoteReference"/>
          <w:rFonts w:ascii="Times New Roman" w:hAnsi="Times New Roman"/>
          <w:sz w:val="24"/>
        </w:rPr>
        <w:footnoteReference w:id="19"/>
      </w:r>
      <w:r w:rsidR="00000230" w:rsidRPr="00B90394">
        <w:rPr>
          <w:rFonts w:ascii="Times New Roman" w:hAnsi="Times New Roman"/>
        </w:rPr>
        <w:t xml:space="preserve"> These grounds for intervention contemplate the appe</w:t>
      </w:r>
      <w:r w:rsidR="00E96B49" w:rsidRPr="00B90394">
        <w:rPr>
          <w:rFonts w:ascii="Times New Roman" w:hAnsi="Times New Roman"/>
        </w:rPr>
        <w:t>llate</w:t>
      </w:r>
      <w:r w:rsidR="00000230" w:rsidRPr="00B90394">
        <w:rPr>
          <w:rFonts w:ascii="Times New Roman" w:hAnsi="Times New Roman"/>
        </w:rPr>
        <w:t xml:space="preserve"> court accepting that intervention is not warranted even though the members of the appe</w:t>
      </w:r>
      <w:r w:rsidR="00E96B49" w:rsidRPr="00B90394">
        <w:rPr>
          <w:rFonts w:ascii="Times New Roman" w:hAnsi="Times New Roman"/>
        </w:rPr>
        <w:t>llate</w:t>
      </w:r>
      <w:r w:rsidR="00000230" w:rsidRPr="00B90394">
        <w:rPr>
          <w:rFonts w:ascii="Times New Roman" w:hAnsi="Times New Roman"/>
        </w:rPr>
        <w:t xml:space="preserve"> court may have decided the matter differently to the judge at first instance,</w:t>
      </w:r>
      <w:r w:rsidRPr="00B90394">
        <w:rPr>
          <w:rStyle w:val="FootnoteReference"/>
          <w:rFonts w:ascii="Times New Roman" w:hAnsi="Times New Roman"/>
          <w:sz w:val="24"/>
        </w:rPr>
        <w:footnoteReference w:id="20"/>
      </w:r>
      <w:r w:rsidR="00000230" w:rsidRPr="00B90394">
        <w:rPr>
          <w:rFonts w:ascii="Times New Roman" w:hAnsi="Times New Roman"/>
        </w:rPr>
        <w:t xml:space="preserve"> a circumstance that is reflected in the language adopted by the Court of Appeal in this case when it described the trial judge</w:t>
      </w:r>
      <w:r w:rsidR="00DE7E4F" w:rsidRPr="00B90394">
        <w:rPr>
          <w:rFonts w:ascii="Times New Roman" w:hAnsi="Times New Roman"/>
        </w:rPr>
        <w:t>'</w:t>
      </w:r>
      <w:r w:rsidR="00000230" w:rsidRPr="00B90394">
        <w:rPr>
          <w:rFonts w:ascii="Times New Roman" w:hAnsi="Times New Roman"/>
        </w:rPr>
        <w:t xml:space="preserve">s conclusion as </w:t>
      </w:r>
      <w:r w:rsidR="00DA300E" w:rsidRPr="00B90394">
        <w:rPr>
          <w:rFonts w:ascii="Times New Roman" w:hAnsi="Times New Roman"/>
        </w:rPr>
        <w:t>"</w:t>
      </w:r>
      <w:r w:rsidR="00000230" w:rsidRPr="00B90394">
        <w:rPr>
          <w:rFonts w:ascii="Times New Roman" w:hAnsi="Times New Roman"/>
        </w:rPr>
        <w:t>open</w:t>
      </w:r>
      <w:r w:rsidR="00DA300E" w:rsidRPr="00B90394">
        <w:rPr>
          <w:rFonts w:ascii="Times New Roman" w:hAnsi="Times New Roman"/>
        </w:rPr>
        <w:t>"</w:t>
      </w:r>
      <w:r w:rsidR="00000230" w:rsidRPr="00B90394">
        <w:rPr>
          <w:rFonts w:ascii="Times New Roman" w:hAnsi="Times New Roman"/>
        </w:rPr>
        <w:t xml:space="preserve"> to his Honour.</w:t>
      </w:r>
      <w:r w:rsidR="002266FB" w:rsidRPr="00B90394">
        <w:rPr>
          <w:rStyle w:val="FootnoteReference"/>
          <w:rFonts w:ascii="Times New Roman" w:hAnsi="Times New Roman"/>
          <w:sz w:val="24"/>
        </w:rPr>
        <w:footnoteReference w:id="21"/>
      </w:r>
      <w:r w:rsidR="00000230" w:rsidRPr="00B90394">
        <w:rPr>
          <w:rFonts w:ascii="Times New Roman" w:hAnsi="Times New Roman"/>
        </w:rPr>
        <w:t xml:space="preserve"> </w:t>
      </w:r>
    </w:p>
    <w:p w14:paraId="0BDF6D53" w14:textId="2C10FFFF" w:rsidR="00000230" w:rsidRPr="00B90394" w:rsidRDefault="00AC1453"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basis for intervention identified in </w:t>
      </w:r>
      <w:r w:rsidR="00000230" w:rsidRPr="00B90394">
        <w:rPr>
          <w:rFonts w:ascii="Times New Roman" w:hAnsi="Times New Roman"/>
          <w:i/>
          <w:iCs/>
        </w:rPr>
        <w:t xml:space="preserve">House v </w:t>
      </w:r>
      <w:r w:rsidR="004B6CA5" w:rsidRPr="00B90394">
        <w:rPr>
          <w:rFonts w:ascii="Times New Roman" w:hAnsi="Times New Roman"/>
          <w:i/>
          <w:iCs/>
        </w:rPr>
        <w:t xml:space="preserve">The </w:t>
      </w:r>
      <w:r w:rsidR="00000230" w:rsidRPr="00B90394">
        <w:rPr>
          <w:rFonts w:ascii="Times New Roman" w:hAnsi="Times New Roman"/>
          <w:i/>
          <w:iCs/>
        </w:rPr>
        <w:t>King</w:t>
      </w:r>
      <w:r w:rsidR="00000230" w:rsidRPr="00B90394">
        <w:rPr>
          <w:rFonts w:ascii="Times New Roman" w:hAnsi="Times New Roman"/>
        </w:rPr>
        <w:t xml:space="preserve"> was expressed to be dependent upon the subject</w:t>
      </w:r>
      <w:r w:rsidR="00DD64F2" w:rsidRPr="00B90394">
        <w:rPr>
          <w:rFonts w:ascii="Times New Roman" w:hAnsi="Times New Roman"/>
        </w:rPr>
        <w:t xml:space="preserve"> </w:t>
      </w:r>
      <w:r w:rsidR="00000230" w:rsidRPr="00B90394">
        <w:rPr>
          <w:rFonts w:ascii="Times New Roman" w:hAnsi="Times New Roman"/>
        </w:rPr>
        <w:t>matter of the appeal</w:t>
      </w:r>
      <w:r w:rsidR="00DD64F2" w:rsidRPr="00B90394">
        <w:rPr>
          <w:rFonts w:ascii="Times New Roman" w:hAnsi="Times New Roman"/>
        </w:rPr>
        <w:t>,</w:t>
      </w:r>
      <w:r w:rsidR="00000230" w:rsidRPr="00B90394">
        <w:rPr>
          <w:rFonts w:ascii="Times New Roman" w:hAnsi="Times New Roman"/>
        </w:rPr>
        <w:t xml:space="preserve"> being the exercise of a judicial </w:t>
      </w:r>
      <w:r w:rsidR="0085721F" w:rsidRPr="00B90394">
        <w:rPr>
          <w:rFonts w:ascii="Times New Roman" w:hAnsi="Times New Roman"/>
        </w:rPr>
        <w:t>"</w:t>
      </w:r>
      <w:r w:rsidR="00000230" w:rsidRPr="00B90394">
        <w:rPr>
          <w:rFonts w:ascii="Times New Roman" w:hAnsi="Times New Roman"/>
        </w:rPr>
        <w:t>discretion</w:t>
      </w:r>
      <w:r w:rsidR="0085721F" w:rsidRPr="00B90394">
        <w:rPr>
          <w:rFonts w:ascii="Times New Roman" w:hAnsi="Times New Roman"/>
        </w:rPr>
        <w:t>"</w:t>
      </w:r>
      <w:r w:rsidR="00000230" w:rsidRPr="00B90394">
        <w:rPr>
          <w:rFonts w:ascii="Times New Roman" w:hAnsi="Times New Roman"/>
        </w:rPr>
        <w:t>.</w:t>
      </w:r>
      <w:r w:rsidRPr="00B90394">
        <w:rPr>
          <w:rStyle w:val="FootnoteReference"/>
          <w:rFonts w:ascii="Times New Roman" w:hAnsi="Times New Roman"/>
          <w:sz w:val="24"/>
        </w:rPr>
        <w:footnoteReference w:id="22"/>
      </w:r>
      <w:r w:rsidR="00000230" w:rsidRPr="00B90394">
        <w:rPr>
          <w:rFonts w:ascii="Times New Roman" w:hAnsi="Times New Roman"/>
        </w:rPr>
        <w:t xml:space="preserve"> </w:t>
      </w:r>
      <w:r w:rsidR="00000230" w:rsidRPr="00B90394">
        <w:rPr>
          <w:rFonts w:ascii="Times New Roman" w:hAnsi="Times New Roman"/>
          <w:i/>
          <w:iCs/>
        </w:rPr>
        <w:t>House v The King</w:t>
      </w:r>
      <w:r w:rsidR="00000230" w:rsidRPr="00B90394">
        <w:rPr>
          <w:rFonts w:ascii="Times New Roman" w:hAnsi="Times New Roman"/>
        </w:rPr>
        <w:t xml:space="preserve"> was an appeal against the imposition of a sentence of three </w:t>
      </w:r>
      <w:proofErr w:type="spellStart"/>
      <w:r w:rsidR="00000230" w:rsidRPr="00B90394">
        <w:rPr>
          <w:rFonts w:ascii="Times New Roman" w:hAnsi="Times New Roman"/>
        </w:rPr>
        <w:t>months</w:t>
      </w:r>
      <w:proofErr w:type="spellEnd"/>
      <w:r w:rsidR="00000230" w:rsidRPr="00B90394">
        <w:rPr>
          <w:rFonts w:ascii="Times New Roman" w:hAnsi="Times New Roman"/>
        </w:rPr>
        <w:t xml:space="preserve"> imprisonment for an offence </w:t>
      </w:r>
      <w:r w:rsidR="00E218A0" w:rsidRPr="00B90394">
        <w:rPr>
          <w:rFonts w:ascii="Times New Roman" w:hAnsi="Times New Roman"/>
        </w:rPr>
        <w:t>under</w:t>
      </w:r>
      <w:r w:rsidR="00000230" w:rsidRPr="00B90394">
        <w:rPr>
          <w:rFonts w:ascii="Times New Roman" w:hAnsi="Times New Roman"/>
        </w:rPr>
        <w:t xml:space="preserve"> the </w:t>
      </w:r>
      <w:r w:rsidR="00000230" w:rsidRPr="00B90394">
        <w:rPr>
          <w:rFonts w:ascii="Times New Roman" w:hAnsi="Times New Roman"/>
          <w:i/>
          <w:iCs/>
        </w:rPr>
        <w:t>Bankruptcy Act 1924</w:t>
      </w:r>
      <w:r w:rsidR="00A86DB1" w:rsidRPr="00B90394">
        <w:rPr>
          <w:rFonts w:ascii="Times New Roman" w:hAnsi="Times New Roman"/>
          <w:i/>
          <w:iCs/>
        </w:rPr>
        <w:t xml:space="preserve"> </w:t>
      </w:r>
      <w:r w:rsidR="00A86DB1" w:rsidRPr="00B90394">
        <w:rPr>
          <w:rFonts w:ascii="Times New Roman" w:hAnsi="Times New Roman"/>
        </w:rPr>
        <w:t>(</w:t>
      </w:r>
      <w:proofErr w:type="spellStart"/>
      <w:r w:rsidR="00A86DB1" w:rsidRPr="00B90394">
        <w:rPr>
          <w:rFonts w:ascii="Times New Roman" w:hAnsi="Times New Roman"/>
        </w:rPr>
        <w:t>Cth</w:t>
      </w:r>
      <w:proofErr w:type="spellEnd"/>
      <w:r w:rsidR="00A86DB1" w:rsidRPr="00B90394">
        <w:rPr>
          <w:rFonts w:ascii="Times New Roman" w:hAnsi="Times New Roman"/>
        </w:rPr>
        <w:t>)</w:t>
      </w:r>
      <w:r w:rsidR="00000230" w:rsidRPr="00B90394">
        <w:rPr>
          <w:rFonts w:ascii="Times New Roman" w:hAnsi="Times New Roman"/>
        </w:rPr>
        <w:t xml:space="preserve">. While </w:t>
      </w:r>
      <w:r w:rsidR="00A86DB1" w:rsidRPr="00B90394">
        <w:rPr>
          <w:rFonts w:ascii="Times New Roman" w:hAnsi="Times New Roman"/>
        </w:rPr>
        <w:t>what constitutes a</w:t>
      </w:r>
      <w:r w:rsidR="00000230" w:rsidRPr="00B90394">
        <w:rPr>
          <w:rFonts w:ascii="Times New Roman" w:hAnsi="Times New Roman"/>
        </w:rPr>
        <w:t xml:space="preserve"> </w:t>
      </w:r>
      <w:r w:rsidR="00FD6C24" w:rsidRPr="00B90394">
        <w:rPr>
          <w:rFonts w:ascii="Times New Roman" w:hAnsi="Times New Roman"/>
        </w:rPr>
        <w:t>"</w:t>
      </w:r>
      <w:r w:rsidR="00000230" w:rsidRPr="00B90394">
        <w:rPr>
          <w:rFonts w:ascii="Times New Roman" w:hAnsi="Times New Roman"/>
        </w:rPr>
        <w:t>discretionary decision</w:t>
      </w:r>
      <w:r w:rsidR="00FD6C24" w:rsidRPr="00B90394">
        <w:rPr>
          <w:rFonts w:ascii="Times New Roman" w:hAnsi="Times New Roman"/>
        </w:rPr>
        <w:t>"</w:t>
      </w:r>
      <w:r w:rsidR="00000230" w:rsidRPr="00B90394">
        <w:rPr>
          <w:rFonts w:ascii="Times New Roman" w:hAnsi="Times New Roman"/>
        </w:rPr>
        <w:t xml:space="preserve"> in this context can be ambiguous</w:t>
      </w:r>
      <w:r w:rsidR="00A86DB1" w:rsidRPr="00B90394">
        <w:rPr>
          <w:rFonts w:ascii="Times New Roman" w:hAnsi="Times New Roman"/>
        </w:rPr>
        <w:t xml:space="preserve">, </w:t>
      </w:r>
      <w:r w:rsidR="00000230" w:rsidRPr="00B90394">
        <w:rPr>
          <w:rFonts w:ascii="Times New Roman" w:hAnsi="Times New Roman"/>
        </w:rPr>
        <w:t xml:space="preserve">in essence it </w:t>
      </w:r>
      <w:r w:rsidR="002B54D5" w:rsidRPr="00B90394">
        <w:rPr>
          <w:rFonts w:ascii="Times New Roman" w:hAnsi="Times New Roman"/>
        </w:rPr>
        <w:t>refers to</w:t>
      </w:r>
      <w:r w:rsidR="00000230" w:rsidRPr="00B90394">
        <w:rPr>
          <w:rFonts w:ascii="Times New Roman" w:hAnsi="Times New Roman"/>
        </w:rPr>
        <w:t xml:space="preserve"> the circumstance where the decision maker is allowed </w:t>
      </w:r>
      <w:r w:rsidR="002B54D5" w:rsidRPr="00B90394">
        <w:rPr>
          <w:rFonts w:ascii="Times New Roman" w:hAnsi="Times New Roman"/>
        </w:rPr>
        <w:t>"</w:t>
      </w:r>
      <w:r w:rsidR="00000230" w:rsidRPr="00B90394">
        <w:rPr>
          <w:rFonts w:ascii="Times New Roman" w:hAnsi="Times New Roman"/>
        </w:rPr>
        <w:t>some latitude as to the choice of</w:t>
      </w:r>
      <w:r w:rsidR="00933BA5" w:rsidRPr="00B90394">
        <w:rPr>
          <w:rFonts w:ascii="Times New Roman" w:hAnsi="Times New Roman"/>
        </w:rPr>
        <w:t xml:space="preserve"> the</w:t>
      </w:r>
      <w:r w:rsidR="00000230" w:rsidRPr="00B90394">
        <w:rPr>
          <w:rFonts w:ascii="Times New Roman" w:hAnsi="Times New Roman"/>
        </w:rPr>
        <w:t xml:space="preserve"> decision to be made</w:t>
      </w:r>
      <w:r w:rsidR="00FD6C24" w:rsidRPr="00B90394">
        <w:rPr>
          <w:rFonts w:ascii="Times New Roman" w:hAnsi="Times New Roman"/>
        </w:rPr>
        <w:t>"</w:t>
      </w:r>
      <w:r w:rsidR="00000230" w:rsidRPr="00B90394">
        <w:rPr>
          <w:rFonts w:ascii="Times New Roman" w:hAnsi="Times New Roman"/>
        </w:rPr>
        <w:t>.</w:t>
      </w:r>
      <w:r w:rsidRPr="00B90394">
        <w:rPr>
          <w:rStyle w:val="FootnoteReference"/>
          <w:rFonts w:ascii="Times New Roman" w:hAnsi="Times New Roman"/>
          <w:sz w:val="24"/>
        </w:rPr>
        <w:footnoteReference w:id="23"/>
      </w:r>
      <w:r w:rsidR="00000230" w:rsidRPr="00B90394">
        <w:rPr>
          <w:rFonts w:ascii="Times New Roman" w:hAnsi="Times New Roman"/>
        </w:rPr>
        <w:t xml:space="preserve"> A determination of which standard of review is applicable does not depend on whether the reasoning to be applied </w:t>
      </w:r>
      <w:r w:rsidR="00FE4F40" w:rsidRPr="00B90394">
        <w:rPr>
          <w:rFonts w:ascii="Times New Roman" w:hAnsi="Times New Roman"/>
        </w:rPr>
        <w:t>i</w:t>
      </w:r>
      <w:r w:rsidR="00000230" w:rsidRPr="00B90394">
        <w:rPr>
          <w:rFonts w:ascii="Times New Roman" w:hAnsi="Times New Roman"/>
        </w:rPr>
        <w:t xml:space="preserve">s evaluative or </w:t>
      </w:r>
      <w:r w:rsidR="002B54D5" w:rsidRPr="00B90394">
        <w:rPr>
          <w:rFonts w:ascii="Times New Roman" w:hAnsi="Times New Roman"/>
        </w:rPr>
        <w:t>in respect of</w:t>
      </w:r>
      <w:r w:rsidR="00000230" w:rsidRPr="00B90394">
        <w:rPr>
          <w:rFonts w:ascii="Times New Roman" w:hAnsi="Times New Roman"/>
        </w:rPr>
        <w:t xml:space="preserve"> which reasonable minds may differ</w:t>
      </w:r>
      <w:r w:rsidR="002B54D5" w:rsidRPr="00B90394">
        <w:rPr>
          <w:rFonts w:ascii="Times New Roman" w:hAnsi="Times New Roman"/>
        </w:rPr>
        <w:t>. Instead</w:t>
      </w:r>
      <w:r w:rsidR="00FE4F40" w:rsidRPr="00B90394">
        <w:rPr>
          <w:rFonts w:ascii="Times New Roman" w:hAnsi="Times New Roman"/>
        </w:rPr>
        <w:t>,</w:t>
      </w:r>
      <w:r w:rsidR="002B54D5" w:rsidRPr="00B90394">
        <w:rPr>
          <w:rFonts w:ascii="Times New Roman" w:hAnsi="Times New Roman"/>
        </w:rPr>
        <w:t xml:space="preserve"> the determination</w:t>
      </w:r>
      <w:r w:rsidR="00000230" w:rsidRPr="00B90394">
        <w:rPr>
          <w:rFonts w:ascii="Times New Roman" w:hAnsi="Times New Roman"/>
        </w:rPr>
        <w:t xml:space="preserve"> </w:t>
      </w:r>
      <w:r w:rsidR="002B54D5" w:rsidRPr="00B90394">
        <w:rPr>
          <w:rFonts w:ascii="Times New Roman" w:hAnsi="Times New Roman"/>
        </w:rPr>
        <w:t>t</w:t>
      </w:r>
      <w:r w:rsidR="00000230" w:rsidRPr="00B90394">
        <w:rPr>
          <w:rFonts w:ascii="Times New Roman" w:hAnsi="Times New Roman"/>
        </w:rPr>
        <w:t xml:space="preserve">urns on whether the legal criterion to be applied </w:t>
      </w:r>
      <w:r w:rsidR="00933BA5" w:rsidRPr="00B90394">
        <w:rPr>
          <w:rFonts w:ascii="Times New Roman" w:hAnsi="Times New Roman"/>
        </w:rPr>
        <w:t>"</w:t>
      </w:r>
      <w:r w:rsidR="00000230" w:rsidRPr="00B90394">
        <w:rPr>
          <w:rFonts w:ascii="Times New Roman" w:hAnsi="Times New Roman"/>
        </w:rPr>
        <w:t xml:space="preserve">demands a unique outcome, in which case the correctness standard applies, or tolerates a range of outcomes, in which case the </w:t>
      </w:r>
      <w:r w:rsidR="00000230" w:rsidRPr="00B90394">
        <w:rPr>
          <w:rFonts w:ascii="Times New Roman" w:hAnsi="Times New Roman"/>
          <w:i/>
          <w:iCs/>
        </w:rPr>
        <w:t xml:space="preserve">House v </w:t>
      </w:r>
      <w:r w:rsidR="004B6CA5" w:rsidRPr="00B90394">
        <w:rPr>
          <w:rFonts w:ascii="Times New Roman" w:hAnsi="Times New Roman"/>
          <w:i/>
          <w:iCs/>
        </w:rPr>
        <w:t>T</w:t>
      </w:r>
      <w:r w:rsidRPr="00B90394">
        <w:rPr>
          <w:rFonts w:ascii="Times New Roman" w:hAnsi="Times New Roman"/>
          <w:i/>
          <w:iCs/>
        </w:rPr>
        <w:t xml:space="preserve">he </w:t>
      </w:r>
      <w:r w:rsidR="00000230" w:rsidRPr="00B90394">
        <w:rPr>
          <w:rFonts w:ascii="Times New Roman" w:hAnsi="Times New Roman"/>
          <w:i/>
          <w:iCs/>
        </w:rPr>
        <w:t>King</w:t>
      </w:r>
      <w:r w:rsidR="00000230" w:rsidRPr="00B90394">
        <w:rPr>
          <w:rFonts w:ascii="Times New Roman" w:hAnsi="Times New Roman"/>
        </w:rPr>
        <w:t xml:space="preserve"> standard applies</w:t>
      </w:r>
      <w:r w:rsidR="00FD6C24" w:rsidRPr="00B90394">
        <w:rPr>
          <w:rFonts w:ascii="Times New Roman" w:hAnsi="Times New Roman"/>
        </w:rPr>
        <w:t>"</w:t>
      </w:r>
      <w:r w:rsidR="00000230" w:rsidRPr="00B90394">
        <w:rPr>
          <w:rFonts w:ascii="Times New Roman" w:hAnsi="Times New Roman"/>
        </w:rPr>
        <w:t>.</w:t>
      </w:r>
      <w:r w:rsidRPr="00B90394">
        <w:rPr>
          <w:rStyle w:val="FootnoteReference"/>
          <w:rFonts w:ascii="Times New Roman" w:hAnsi="Times New Roman"/>
          <w:sz w:val="24"/>
        </w:rPr>
        <w:footnoteReference w:id="24"/>
      </w:r>
    </w:p>
    <w:p w14:paraId="1571CF37" w14:textId="64D32A90" w:rsidR="00000230" w:rsidRPr="00B90394" w:rsidRDefault="00BE7F3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Consistent with this approach, in </w:t>
      </w:r>
      <w:r w:rsidR="00366592" w:rsidRPr="00B90394">
        <w:rPr>
          <w:rFonts w:ascii="Times New Roman" w:hAnsi="Times New Roman"/>
          <w:i/>
          <w:iCs/>
        </w:rPr>
        <w:t>R</w:t>
      </w:r>
      <w:r w:rsidR="003E1090" w:rsidRPr="00B90394">
        <w:rPr>
          <w:rFonts w:ascii="Times New Roman" w:hAnsi="Times New Roman"/>
          <w:i/>
          <w:iCs/>
        </w:rPr>
        <w:t xml:space="preserve"> v Dennis Bauer (a </w:t>
      </w:r>
      <w:r w:rsidR="00AC61C6" w:rsidRPr="00B90394">
        <w:rPr>
          <w:rFonts w:ascii="Times New Roman" w:hAnsi="Times New Roman"/>
          <w:i/>
          <w:iCs/>
        </w:rPr>
        <w:t>pseudo</w:t>
      </w:r>
      <w:r w:rsidR="0010786A" w:rsidRPr="00B90394">
        <w:rPr>
          <w:rFonts w:ascii="Times New Roman" w:hAnsi="Times New Roman"/>
          <w:i/>
          <w:iCs/>
        </w:rPr>
        <w:t>nym</w:t>
      </w:r>
      <w:r w:rsidR="003E1090" w:rsidRPr="00B90394">
        <w:rPr>
          <w:rFonts w:ascii="Times New Roman" w:hAnsi="Times New Roman"/>
          <w:i/>
          <w:iCs/>
        </w:rPr>
        <w:t>)</w:t>
      </w:r>
      <w:r w:rsidRPr="00B90394">
        <w:rPr>
          <w:rStyle w:val="FootnoteReference"/>
          <w:rFonts w:ascii="Times New Roman" w:hAnsi="Times New Roman"/>
          <w:sz w:val="24"/>
        </w:rPr>
        <w:footnoteReference w:id="25"/>
      </w:r>
      <w:r w:rsidR="00000230" w:rsidRPr="00B90394">
        <w:rPr>
          <w:rFonts w:ascii="Times New Roman" w:hAnsi="Times New Roman"/>
        </w:rPr>
        <w:t xml:space="preserve"> this Court observed that an assessment of whether tendency evidence has </w:t>
      </w:r>
      <w:r w:rsidR="00FD6C24" w:rsidRPr="00B90394">
        <w:rPr>
          <w:rFonts w:ascii="Times New Roman" w:hAnsi="Times New Roman"/>
        </w:rPr>
        <w:t>"</w:t>
      </w:r>
      <w:r w:rsidR="00000230" w:rsidRPr="00B90394">
        <w:rPr>
          <w:rFonts w:ascii="Times New Roman" w:hAnsi="Times New Roman"/>
        </w:rPr>
        <w:t>significant probative value</w:t>
      </w:r>
      <w:r w:rsidR="00FD6C24" w:rsidRPr="00B90394">
        <w:rPr>
          <w:rFonts w:ascii="Times New Roman" w:hAnsi="Times New Roman"/>
        </w:rPr>
        <w:t>"</w:t>
      </w:r>
      <w:r w:rsidR="00000230" w:rsidRPr="00B90394">
        <w:rPr>
          <w:rFonts w:ascii="Times New Roman" w:hAnsi="Times New Roman"/>
        </w:rPr>
        <w:t xml:space="preserve"> for the purposes of s</w:t>
      </w:r>
      <w:r w:rsidRPr="00B90394">
        <w:rPr>
          <w:rFonts w:ascii="Times New Roman" w:hAnsi="Times New Roman"/>
        </w:rPr>
        <w:t> </w:t>
      </w:r>
      <w:r w:rsidR="00000230" w:rsidRPr="00B90394">
        <w:rPr>
          <w:rFonts w:ascii="Times New Roman" w:hAnsi="Times New Roman"/>
        </w:rPr>
        <w:t xml:space="preserve">97(1)(b) of the </w:t>
      </w:r>
      <w:r w:rsidR="00000230" w:rsidRPr="00B90394">
        <w:rPr>
          <w:rFonts w:ascii="Times New Roman" w:hAnsi="Times New Roman"/>
          <w:i/>
          <w:iCs/>
        </w:rPr>
        <w:t>Evidence Act</w:t>
      </w:r>
      <w:r w:rsidR="00000230" w:rsidRPr="00B90394">
        <w:rPr>
          <w:rFonts w:ascii="Times New Roman" w:hAnsi="Times New Roman"/>
        </w:rPr>
        <w:t xml:space="preserve"> is </w:t>
      </w:r>
      <w:r w:rsidR="00DE7E4F" w:rsidRPr="00B90394">
        <w:rPr>
          <w:rFonts w:ascii="Times New Roman" w:hAnsi="Times New Roman"/>
        </w:rPr>
        <w:t>"</w:t>
      </w:r>
      <w:r w:rsidR="00000230" w:rsidRPr="00B90394">
        <w:rPr>
          <w:rFonts w:ascii="Times New Roman" w:hAnsi="Times New Roman"/>
        </w:rPr>
        <w:t xml:space="preserve">one to which </w:t>
      </w:r>
      <w:r w:rsidR="00000230" w:rsidRPr="00B90394">
        <w:rPr>
          <w:rFonts w:ascii="Times New Roman" w:hAnsi="Times New Roman"/>
        </w:rPr>
        <w:lastRenderedPageBreak/>
        <w:t>there can only ever be one correct answer</w:t>
      </w:r>
      <w:r w:rsidR="00DE7E4F" w:rsidRPr="00B90394">
        <w:rPr>
          <w:rFonts w:ascii="Times New Roman" w:hAnsi="Times New Roman"/>
        </w:rPr>
        <w:t>"</w:t>
      </w:r>
      <w:r w:rsidR="002E064C" w:rsidRPr="00B90394">
        <w:rPr>
          <w:rFonts w:ascii="Times New Roman" w:hAnsi="Times New Roman"/>
        </w:rPr>
        <w:t>,</w:t>
      </w:r>
      <w:r w:rsidR="00000230" w:rsidRPr="00B90394">
        <w:rPr>
          <w:rFonts w:ascii="Times New Roman" w:hAnsi="Times New Roman"/>
        </w:rPr>
        <w:t xml:space="preserve"> although </w:t>
      </w:r>
      <w:r w:rsidR="00761A95" w:rsidRPr="00B90394">
        <w:rPr>
          <w:rFonts w:ascii="Times New Roman" w:hAnsi="Times New Roman"/>
        </w:rPr>
        <w:t>"</w:t>
      </w:r>
      <w:r w:rsidR="00000230" w:rsidRPr="00B90394">
        <w:rPr>
          <w:rFonts w:ascii="Times New Roman" w:hAnsi="Times New Roman"/>
        </w:rPr>
        <w:t>reasonable minds may sometime</w:t>
      </w:r>
      <w:r w:rsidR="00981267" w:rsidRPr="00B90394">
        <w:rPr>
          <w:rFonts w:ascii="Times New Roman" w:hAnsi="Times New Roman"/>
        </w:rPr>
        <w:t>s</w:t>
      </w:r>
      <w:r w:rsidR="00000230" w:rsidRPr="00B90394">
        <w:rPr>
          <w:rFonts w:ascii="Times New Roman" w:hAnsi="Times New Roman"/>
        </w:rPr>
        <w:t xml:space="preserve"> differ</w:t>
      </w:r>
      <w:r w:rsidR="009D0DE2" w:rsidRPr="00B90394">
        <w:rPr>
          <w:rFonts w:ascii="Times New Roman" w:hAnsi="Times New Roman"/>
        </w:rPr>
        <w:t>"</w:t>
      </w:r>
      <w:r w:rsidR="00000230" w:rsidRPr="00B90394">
        <w:rPr>
          <w:rFonts w:ascii="Times New Roman" w:hAnsi="Times New Roman"/>
        </w:rPr>
        <w:t xml:space="preserve"> about that answer.</w:t>
      </w:r>
      <w:r w:rsidR="002B24C2" w:rsidRPr="00B90394">
        <w:rPr>
          <w:rStyle w:val="FootnoteReference"/>
          <w:rFonts w:ascii="Times New Roman" w:hAnsi="Times New Roman"/>
          <w:sz w:val="24"/>
        </w:rPr>
        <w:footnoteReference w:id="26"/>
      </w:r>
      <w:r w:rsidR="00000230" w:rsidRPr="00B90394">
        <w:rPr>
          <w:rFonts w:ascii="Times New Roman" w:hAnsi="Times New Roman"/>
        </w:rPr>
        <w:t xml:space="preserve"> Th</w:t>
      </w:r>
      <w:r w:rsidR="00E8419F" w:rsidRPr="00B90394">
        <w:rPr>
          <w:rFonts w:ascii="Times New Roman" w:hAnsi="Times New Roman"/>
        </w:rPr>
        <w:t>us it</w:t>
      </w:r>
      <w:r w:rsidR="00000230" w:rsidRPr="00B90394">
        <w:rPr>
          <w:rFonts w:ascii="Times New Roman" w:hAnsi="Times New Roman"/>
        </w:rPr>
        <w:t xml:space="preserve"> is for the app</w:t>
      </w:r>
      <w:r w:rsidR="00E77783" w:rsidRPr="00B90394">
        <w:rPr>
          <w:rFonts w:ascii="Times New Roman" w:hAnsi="Times New Roman"/>
        </w:rPr>
        <w:t>ellate</w:t>
      </w:r>
      <w:r w:rsidR="00000230" w:rsidRPr="00B90394">
        <w:rPr>
          <w:rFonts w:ascii="Times New Roman" w:hAnsi="Times New Roman"/>
        </w:rPr>
        <w:t xml:space="preserve"> court to determine whether the evidence meets that threshold</w:t>
      </w:r>
      <w:r w:rsidR="002E064C" w:rsidRPr="00B90394">
        <w:rPr>
          <w:rFonts w:ascii="Times New Roman" w:hAnsi="Times New Roman"/>
        </w:rPr>
        <w:t>,</w:t>
      </w:r>
      <w:r w:rsidR="00000230" w:rsidRPr="00B90394">
        <w:rPr>
          <w:rFonts w:ascii="Times New Roman" w:hAnsi="Times New Roman"/>
        </w:rPr>
        <w:t xml:space="preserve"> rather than deciding whether it was </w:t>
      </w:r>
      <w:r w:rsidR="009D0DE2" w:rsidRPr="00B90394">
        <w:rPr>
          <w:rFonts w:ascii="Times New Roman" w:hAnsi="Times New Roman"/>
        </w:rPr>
        <w:t>"</w:t>
      </w:r>
      <w:r w:rsidR="00000230" w:rsidRPr="00B90394">
        <w:rPr>
          <w:rFonts w:ascii="Times New Roman" w:hAnsi="Times New Roman"/>
        </w:rPr>
        <w:t>open to the trial judge</w:t>
      </w:r>
      <w:r w:rsidR="00DE7E4F" w:rsidRPr="00B90394">
        <w:rPr>
          <w:rFonts w:ascii="Times New Roman" w:hAnsi="Times New Roman"/>
        </w:rPr>
        <w:t>" to reach that conclusion</w:t>
      </w:r>
      <w:r w:rsidR="00000230" w:rsidRPr="00B90394">
        <w:rPr>
          <w:rFonts w:ascii="Times New Roman" w:hAnsi="Times New Roman"/>
        </w:rPr>
        <w:t>.</w:t>
      </w:r>
      <w:r w:rsidRPr="00B90394">
        <w:rPr>
          <w:rStyle w:val="FootnoteReference"/>
          <w:rFonts w:ascii="Times New Roman" w:hAnsi="Times New Roman"/>
          <w:sz w:val="24"/>
        </w:rPr>
        <w:footnoteReference w:id="27"/>
      </w:r>
      <w:r w:rsidR="00000230" w:rsidRPr="00B90394">
        <w:rPr>
          <w:rFonts w:ascii="Times New Roman" w:hAnsi="Times New Roman"/>
        </w:rPr>
        <w:t xml:space="preserve"> </w:t>
      </w:r>
    </w:p>
    <w:p w14:paraId="7F4F45C2" w14:textId="133F54A4" w:rsidR="002B54D5" w:rsidRPr="00B90394" w:rsidRDefault="00BE7F3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In </w:t>
      </w:r>
      <w:proofErr w:type="spellStart"/>
      <w:r w:rsidR="00000230" w:rsidRPr="00B90394">
        <w:rPr>
          <w:rFonts w:ascii="Times New Roman" w:hAnsi="Times New Roman"/>
          <w:i/>
          <w:iCs/>
        </w:rPr>
        <w:t>Aytugrul</w:t>
      </w:r>
      <w:proofErr w:type="spellEnd"/>
      <w:r w:rsidR="00000230" w:rsidRPr="00B90394">
        <w:rPr>
          <w:rFonts w:ascii="Times New Roman" w:hAnsi="Times New Roman"/>
          <w:i/>
          <w:iCs/>
        </w:rPr>
        <w:t xml:space="preserve"> v The Queen</w:t>
      </w:r>
      <w:r w:rsidR="002E064C" w:rsidRPr="00B90394">
        <w:rPr>
          <w:rFonts w:ascii="Times New Roman" w:hAnsi="Times New Roman"/>
        </w:rPr>
        <w:t>,</w:t>
      </w:r>
      <w:r w:rsidRPr="00B90394">
        <w:rPr>
          <w:rStyle w:val="FootnoteReference"/>
          <w:rFonts w:ascii="Times New Roman" w:hAnsi="Times New Roman"/>
          <w:sz w:val="24"/>
        </w:rPr>
        <w:footnoteReference w:id="28"/>
      </w:r>
      <w:r w:rsidR="00000230" w:rsidRPr="00B90394">
        <w:rPr>
          <w:rFonts w:ascii="Times New Roman" w:hAnsi="Times New Roman"/>
        </w:rPr>
        <w:t xml:space="preserve"> </w:t>
      </w:r>
      <w:r w:rsidR="00DE7E4F" w:rsidRPr="00B90394">
        <w:rPr>
          <w:rFonts w:ascii="Times New Roman" w:hAnsi="Times New Roman"/>
        </w:rPr>
        <w:t xml:space="preserve">four members of </w:t>
      </w:r>
      <w:r w:rsidR="00000230" w:rsidRPr="00B90394">
        <w:rPr>
          <w:rFonts w:ascii="Times New Roman" w:hAnsi="Times New Roman"/>
        </w:rPr>
        <w:t xml:space="preserve">this </w:t>
      </w:r>
      <w:r w:rsidR="008B0D15" w:rsidRPr="00B90394">
        <w:rPr>
          <w:rFonts w:ascii="Times New Roman" w:hAnsi="Times New Roman"/>
        </w:rPr>
        <w:t>C</w:t>
      </w:r>
      <w:r w:rsidR="00000230" w:rsidRPr="00B90394">
        <w:rPr>
          <w:rFonts w:ascii="Times New Roman" w:hAnsi="Times New Roman"/>
        </w:rPr>
        <w:t xml:space="preserve">ourt </w:t>
      </w:r>
      <w:r w:rsidR="002B54D5" w:rsidRPr="00B90394">
        <w:rPr>
          <w:rFonts w:ascii="Times New Roman" w:hAnsi="Times New Roman"/>
        </w:rPr>
        <w:t xml:space="preserve">(implicitly) applied the correctness standard in </w:t>
      </w:r>
      <w:r w:rsidR="00000230" w:rsidRPr="00B90394">
        <w:rPr>
          <w:rFonts w:ascii="Times New Roman" w:hAnsi="Times New Roman"/>
        </w:rPr>
        <w:t>determin</w:t>
      </w:r>
      <w:r w:rsidR="002B54D5" w:rsidRPr="00B90394">
        <w:rPr>
          <w:rFonts w:ascii="Times New Roman" w:hAnsi="Times New Roman"/>
        </w:rPr>
        <w:t>ing</w:t>
      </w:r>
      <w:r w:rsidR="00000230" w:rsidRPr="00B90394">
        <w:rPr>
          <w:rFonts w:ascii="Times New Roman" w:hAnsi="Times New Roman"/>
        </w:rPr>
        <w:t xml:space="preserve"> an appeal against conviction by determining for</w:t>
      </w:r>
      <w:r w:rsidR="00C66152" w:rsidRPr="00B90394">
        <w:rPr>
          <w:rFonts w:ascii="Times New Roman" w:hAnsi="Times New Roman"/>
        </w:rPr>
        <w:t xml:space="preserve"> themselves </w:t>
      </w:r>
      <w:r w:rsidR="00000230" w:rsidRPr="00B90394">
        <w:rPr>
          <w:rFonts w:ascii="Times New Roman" w:hAnsi="Times New Roman"/>
        </w:rPr>
        <w:t xml:space="preserve">whether certain evidence should </w:t>
      </w:r>
      <w:r w:rsidR="002B54D5" w:rsidRPr="00B90394">
        <w:rPr>
          <w:rFonts w:ascii="Times New Roman" w:hAnsi="Times New Roman"/>
        </w:rPr>
        <w:t xml:space="preserve">have </w:t>
      </w:r>
      <w:r w:rsidR="00000230" w:rsidRPr="00B90394">
        <w:rPr>
          <w:rFonts w:ascii="Times New Roman" w:hAnsi="Times New Roman"/>
        </w:rPr>
        <w:t>be</w:t>
      </w:r>
      <w:r w:rsidR="002B54D5" w:rsidRPr="00B90394">
        <w:rPr>
          <w:rFonts w:ascii="Times New Roman" w:hAnsi="Times New Roman"/>
        </w:rPr>
        <w:t>en</w:t>
      </w:r>
      <w:r w:rsidR="00000230" w:rsidRPr="00B90394">
        <w:rPr>
          <w:rFonts w:ascii="Times New Roman" w:hAnsi="Times New Roman"/>
        </w:rPr>
        <w:t xml:space="preserve"> excluded under </w:t>
      </w:r>
      <w:r w:rsidR="00DE7E4F" w:rsidRPr="00B90394">
        <w:rPr>
          <w:rFonts w:ascii="Times New Roman" w:hAnsi="Times New Roman"/>
        </w:rPr>
        <w:t>the N</w:t>
      </w:r>
      <w:r w:rsidR="00731361" w:rsidRPr="00B90394">
        <w:rPr>
          <w:rFonts w:ascii="Times New Roman" w:hAnsi="Times New Roman"/>
        </w:rPr>
        <w:t xml:space="preserve">ew </w:t>
      </w:r>
      <w:r w:rsidR="00DE7E4F" w:rsidRPr="00B90394">
        <w:rPr>
          <w:rFonts w:ascii="Times New Roman" w:hAnsi="Times New Roman"/>
        </w:rPr>
        <w:t>S</w:t>
      </w:r>
      <w:r w:rsidR="00731361" w:rsidRPr="00B90394">
        <w:rPr>
          <w:rFonts w:ascii="Times New Roman" w:hAnsi="Times New Roman"/>
        </w:rPr>
        <w:t xml:space="preserve">outh </w:t>
      </w:r>
      <w:r w:rsidR="00DE7E4F" w:rsidRPr="00B90394">
        <w:rPr>
          <w:rFonts w:ascii="Times New Roman" w:hAnsi="Times New Roman"/>
        </w:rPr>
        <w:t>W</w:t>
      </w:r>
      <w:r w:rsidR="00731361" w:rsidRPr="00B90394">
        <w:rPr>
          <w:rFonts w:ascii="Times New Roman" w:hAnsi="Times New Roman"/>
        </w:rPr>
        <w:t>ales</w:t>
      </w:r>
      <w:r w:rsidR="00DE7E4F" w:rsidRPr="00B90394">
        <w:rPr>
          <w:rFonts w:ascii="Times New Roman" w:hAnsi="Times New Roman"/>
        </w:rPr>
        <w:t xml:space="preserve"> equivalent of </w:t>
      </w:r>
      <w:r w:rsidR="00000230" w:rsidRPr="00B90394">
        <w:rPr>
          <w:rFonts w:ascii="Times New Roman" w:hAnsi="Times New Roman"/>
        </w:rPr>
        <w:t>s</w:t>
      </w:r>
      <w:r w:rsidRPr="00B90394">
        <w:rPr>
          <w:rFonts w:ascii="Times New Roman" w:hAnsi="Times New Roman"/>
        </w:rPr>
        <w:t> </w:t>
      </w:r>
      <w:r w:rsidR="00000230" w:rsidRPr="00B90394">
        <w:rPr>
          <w:rFonts w:ascii="Times New Roman" w:hAnsi="Times New Roman"/>
        </w:rPr>
        <w:t>137.</w:t>
      </w:r>
      <w:r w:rsidRPr="00B90394">
        <w:rPr>
          <w:rStyle w:val="FootnoteReference"/>
          <w:rFonts w:ascii="Times New Roman" w:hAnsi="Times New Roman"/>
          <w:sz w:val="24"/>
        </w:rPr>
        <w:footnoteReference w:id="29"/>
      </w:r>
      <w:r w:rsidR="002B54D5" w:rsidRPr="00B90394">
        <w:rPr>
          <w:rFonts w:ascii="Times New Roman" w:hAnsi="Times New Roman"/>
        </w:rPr>
        <w:t xml:space="preserve"> However</w:t>
      </w:r>
      <w:r w:rsidR="00A66BE9" w:rsidRPr="00B90394">
        <w:rPr>
          <w:rFonts w:ascii="Times New Roman" w:hAnsi="Times New Roman"/>
        </w:rPr>
        <w:t>,</w:t>
      </w:r>
      <w:r w:rsidR="002B54D5" w:rsidRPr="00B90394">
        <w:rPr>
          <w:rFonts w:ascii="Times New Roman" w:hAnsi="Times New Roman"/>
        </w:rPr>
        <w:t xml:space="preserve"> </w:t>
      </w:r>
      <w:r w:rsidR="00C66152" w:rsidRPr="00B90394">
        <w:rPr>
          <w:rFonts w:ascii="Times New Roman" w:hAnsi="Times New Roman"/>
        </w:rPr>
        <w:t>their Honours</w:t>
      </w:r>
      <w:r w:rsidR="002B54D5" w:rsidRPr="00B90394">
        <w:rPr>
          <w:rFonts w:ascii="Times New Roman" w:hAnsi="Times New Roman"/>
        </w:rPr>
        <w:t xml:space="preserve"> did not expressly determine whether that</w:t>
      </w:r>
      <w:r w:rsidR="004211C0" w:rsidRPr="00B90394">
        <w:rPr>
          <w:rFonts w:ascii="Times New Roman" w:hAnsi="Times New Roman"/>
        </w:rPr>
        <w:t xml:space="preserve"> standard</w:t>
      </w:r>
      <w:r w:rsidR="002B54D5" w:rsidRPr="00B90394">
        <w:rPr>
          <w:rFonts w:ascii="Times New Roman" w:hAnsi="Times New Roman"/>
        </w:rPr>
        <w:t xml:space="preserve"> or some other standard should be applied</w:t>
      </w:r>
      <w:r w:rsidR="004211C0" w:rsidRPr="00B90394">
        <w:rPr>
          <w:rFonts w:ascii="Times New Roman" w:hAnsi="Times New Roman"/>
        </w:rPr>
        <w:t>.</w:t>
      </w:r>
      <w:r w:rsidR="00000230" w:rsidRPr="00B90394">
        <w:rPr>
          <w:rFonts w:ascii="Times New Roman" w:hAnsi="Times New Roman"/>
        </w:rPr>
        <w:t xml:space="preserve"> </w:t>
      </w:r>
    </w:p>
    <w:p w14:paraId="4A271E16" w14:textId="79623811" w:rsidR="00000230" w:rsidRPr="00B90394" w:rsidRDefault="000D1105"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Section</w:t>
      </w:r>
      <w:r w:rsidR="00BE7F38" w:rsidRPr="00B90394">
        <w:rPr>
          <w:rFonts w:ascii="Times New Roman" w:hAnsi="Times New Roman"/>
        </w:rPr>
        <w:t> </w:t>
      </w:r>
      <w:r w:rsidR="00000230" w:rsidRPr="00B90394">
        <w:rPr>
          <w:rFonts w:ascii="Times New Roman" w:hAnsi="Times New Roman"/>
        </w:rPr>
        <w:t xml:space="preserve">137 of the </w:t>
      </w:r>
      <w:r w:rsidR="00000230" w:rsidRPr="00B90394">
        <w:rPr>
          <w:rFonts w:ascii="Times New Roman" w:hAnsi="Times New Roman"/>
          <w:i/>
          <w:iCs/>
        </w:rPr>
        <w:t>Evidence Act</w:t>
      </w:r>
      <w:r w:rsidR="00000230" w:rsidRPr="00B90394">
        <w:rPr>
          <w:rFonts w:ascii="Times New Roman" w:hAnsi="Times New Roman"/>
        </w:rPr>
        <w:t xml:space="preserve"> provides that </w:t>
      </w:r>
      <w:r w:rsidR="00B630B7" w:rsidRPr="00B90394">
        <w:rPr>
          <w:rFonts w:ascii="Times New Roman" w:hAnsi="Times New Roman"/>
        </w:rPr>
        <w:t>"</w:t>
      </w:r>
      <w:r w:rsidR="006618F6" w:rsidRPr="00B90394">
        <w:rPr>
          <w:rFonts w:ascii="Times New Roman" w:hAnsi="Times New Roman"/>
        </w:rPr>
        <w:t>[</w:t>
      </w:r>
      <w:proofErr w:type="spellStart"/>
      <w:r w:rsidR="00000230" w:rsidRPr="00B90394">
        <w:rPr>
          <w:rFonts w:ascii="Times New Roman" w:hAnsi="Times New Roman"/>
        </w:rPr>
        <w:t>i</w:t>
      </w:r>
      <w:proofErr w:type="spellEnd"/>
      <w:r w:rsidR="006618F6" w:rsidRPr="00B90394">
        <w:rPr>
          <w:rFonts w:ascii="Times New Roman" w:hAnsi="Times New Roman"/>
        </w:rPr>
        <w:t>]</w:t>
      </w:r>
      <w:r w:rsidR="00000230" w:rsidRPr="00B90394">
        <w:rPr>
          <w:rFonts w:ascii="Times New Roman" w:hAnsi="Times New Roman"/>
        </w:rPr>
        <w:t xml:space="preserve">n a criminal proceeding, the </w:t>
      </w:r>
      <w:r w:rsidR="00472BF2" w:rsidRPr="00B90394">
        <w:rPr>
          <w:rFonts w:ascii="Times New Roman" w:hAnsi="Times New Roman"/>
        </w:rPr>
        <w:t>c</w:t>
      </w:r>
      <w:r w:rsidR="00000230" w:rsidRPr="00B90394">
        <w:rPr>
          <w:rFonts w:ascii="Times New Roman" w:hAnsi="Times New Roman"/>
        </w:rPr>
        <w:t>ourt must refuse to admit evidence adduced by the prosecutor if its probative value is outweighed by the danger of unfair prejudice</w:t>
      </w:r>
      <w:r w:rsidR="005B4142" w:rsidRPr="00B90394">
        <w:rPr>
          <w:rFonts w:ascii="Times New Roman" w:hAnsi="Times New Roman"/>
        </w:rPr>
        <w:t xml:space="preserve"> to the accused</w:t>
      </w:r>
      <w:r w:rsidR="009D0DE2" w:rsidRPr="00B90394">
        <w:rPr>
          <w:rFonts w:ascii="Times New Roman" w:hAnsi="Times New Roman"/>
        </w:rPr>
        <w:t>"</w:t>
      </w:r>
      <w:r w:rsidR="00B64674" w:rsidRPr="00B90394">
        <w:rPr>
          <w:rFonts w:ascii="Times New Roman" w:hAnsi="Times New Roman"/>
        </w:rPr>
        <w:t>.</w:t>
      </w:r>
      <w:r w:rsidR="00000230" w:rsidRPr="00B90394">
        <w:rPr>
          <w:rFonts w:ascii="Times New Roman" w:hAnsi="Times New Roman"/>
        </w:rPr>
        <w:t xml:space="preserve"> </w:t>
      </w:r>
      <w:r w:rsidR="00386B08" w:rsidRPr="00B90394">
        <w:rPr>
          <w:rFonts w:ascii="Times New Roman" w:hAnsi="Times New Roman"/>
        </w:rPr>
        <w:t>T</w:t>
      </w:r>
      <w:r w:rsidR="00000230" w:rsidRPr="00B90394">
        <w:rPr>
          <w:rFonts w:ascii="Times New Roman" w:hAnsi="Times New Roman"/>
        </w:rPr>
        <w:t xml:space="preserve">he application of </w:t>
      </w:r>
      <w:r w:rsidR="002B54D5" w:rsidRPr="00B90394">
        <w:rPr>
          <w:rFonts w:ascii="Times New Roman" w:hAnsi="Times New Roman"/>
        </w:rPr>
        <w:t>s 137</w:t>
      </w:r>
      <w:r w:rsidR="00000230" w:rsidRPr="00B90394">
        <w:rPr>
          <w:rFonts w:ascii="Times New Roman" w:hAnsi="Times New Roman"/>
        </w:rPr>
        <w:t xml:space="preserve"> requires the making of t</w:t>
      </w:r>
      <w:r w:rsidR="00543DE5" w:rsidRPr="00B90394">
        <w:rPr>
          <w:rFonts w:ascii="Times New Roman" w:hAnsi="Times New Roman"/>
        </w:rPr>
        <w:t>hree</w:t>
      </w:r>
      <w:r w:rsidR="00000230" w:rsidRPr="00B90394">
        <w:rPr>
          <w:rFonts w:ascii="Times New Roman" w:hAnsi="Times New Roman"/>
        </w:rPr>
        <w:t xml:space="preserve"> evaluative assessments, namely the weight of </w:t>
      </w:r>
      <w:r w:rsidR="00893554" w:rsidRPr="00B90394">
        <w:rPr>
          <w:rFonts w:ascii="Times New Roman" w:hAnsi="Times New Roman"/>
        </w:rPr>
        <w:t xml:space="preserve">the </w:t>
      </w:r>
      <w:r w:rsidR="00000230" w:rsidRPr="00B90394">
        <w:rPr>
          <w:rFonts w:ascii="Times New Roman" w:hAnsi="Times New Roman"/>
        </w:rPr>
        <w:t>probative value of the evidence</w:t>
      </w:r>
      <w:r w:rsidR="00553D67" w:rsidRPr="00B90394">
        <w:rPr>
          <w:rFonts w:ascii="Times New Roman" w:hAnsi="Times New Roman"/>
        </w:rPr>
        <w:t>,</w:t>
      </w:r>
      <w:r w:rsidR="00000230" w:rsidRPr="00B90394">
        <w:rPr>
          <w:rFonts w:ascii="Times New Roman" w:hAnsi="Times New Roman"/>
        </w:rPr>
        <w:t xml:space="preserve"> the extent of any danger of unfair prejudice,</w:t>
      </w:r>
      <w:r w:rsidR="002B54D5" w:rsidRPr="00B90394">
        <w:rPr>
          <w:rFonts w:ascii="Times New Roman" w:hAnsi="Times New Roman"/>
        </w:rPr>
        <w:t xml:space="preserve"> and</w:t>
      </w:r>
      <w:r w:rsidR="00000230" w:rsidRPr="00B90394">
        <w:rPr>
          <w:rFonts w:ascii="Times New Roman" w:hAnsi="Times New Roman"/>
        </w:rPr>
        <w:t xml:space="preserve"> then a comparison </w:t>
      </w:r>
      <w:r w:rsidR="002B54D5" w:rsidRPr="00B90394">
        <w:rPr>
          <w:rFonts w:ascii="Times New Roman" w:hAnsi="Times New Roman"/>
        </w:rPr>
        <w:t xml:space="preserve">of </w:t>
      </w:r>
      <w:r w:rsidR="00000230" w:rsidRPr="00B90394">
        <w:rPr>
          <w:rFonts w:ascii="Times New Roman" w:hAnsi="Times New Roman"/>
        </w:rPr>
        <w:t>one with the other.</w:t>
      </w:r>
      <w:r w:rsidR="00BE7F38" w:rsidRPr="00B90394">
        <w:rPr>
          <w:rStyle w:val="FootnoteReference"/>
          <w:rFonts w:ascii="Times New Roman" w:hAnsi="Times New Roman"/>
          <w:sz w:val="24"/>
        </w:rPr>
        <w:footnoteReference w:id="30"/>
      </w:r>
      <w:r w:rsidR="00000230" w:rsidRPr="00B90394">
        <w:rPr>
          <w:rFonts w:ascii="Times New Roman" w:hAnsi="Times New Roman"/>
        </w:rPr>
        <w:t xml:space="preserve"> Th</w:t>
      </w:r>
      <w:r w:rsidR="00C93888" w:rsidRPr="00B90394">
        <w:rPr>
          <w:rFonts w:ascii="Times New Roman" w:hAnsi="Times New Roman"/>
        </w:rPr>
        <w:t xml:space="preserve">e first two </w:t>
      </w:r>
      <w:r w:rsidR="00000230" w:rsidRPr="00B90394">
        <w:rPr>
          <w:rFonts w:ascii="Times New Roman" w:hAnsi="Times New Roman"/>
        </w:rPr>
        <w:t xml:space="preserve">assessments are no different in substance to </w:t>
      </w:r>
      <w:r w:rsidR="006618F6" w:rsidRPr="00B90394">
        <w:rPr>
          <w:rFonts w:ascii="Times New Roman" w:hAnsi="Times New Roman"/>
        </w:rPr>
        <w:t>the</w:t>
      </w:r>
      <w:r w:rsidR="00000230" w:rsidRPr="00B90394">
        <w:rPr>
          <w:rFonts w:ascii="Times New Roman" w:hAnsi="Times New Roman"/>
        </w:rPr>
        <w:t xml:space="preserve"> assessment of </w:t>
      </w:r>
      <w:r w:rsidR="00B630B7" w:rsidRPr="00B90394">
        <w:rPr>
          <w:rFonts w:ascii="Times New Roman" w:hAnsi="Times New Roman"/>
        </w:rPr>
        <w:t>"</w:t>
      </w:r>
      <w:r w:rsidR="00000230" w:rsidRPr="00B90394">
        <w:rPr>
          <w:rFonts w:ascii="Times New Roman" w:hAnsi="Times New Roman"/>
        </w:rPr>
        <w:t>significant probative value</w:t>
      </w:r>
      <w:r w:rsidR="00B630B7" w:rsidRPr="00B90394">
        <w:rPr>
          <w:rFonts w:ascii="Times New Roman" w:hAnsi="Times New Roman"/>
        </w:rPr>
        <w:t>"</w:t>
      </w:r>
      <w:r w:rsidR="00000230" w:rsidRPr="00B90394">
        <w:rPr>
          <w:rFonts w:ascii="Times New Roman" w:hAnsi="Times New Roman"/>
        </w:rPr>
        <w:t xml:space="preserve"> referred to in </w:t>
      </w:r>
      <w:r w:rsidR="00000230" w:rsidRPr="00B90394">
        <w:rPr>
          <w:rFonts w:ascii="Times New Roman" w:hAnsi="Times New Roman"/>
          <w:i/>
          <w:iCs/>
        </w:rPr>
        <w:t>Bauer</w:t>
      </w:r>
      <w:r w:rsidR="006618F6" w:rsidRPr="00B90394">
        <w:rPr>
          <w:rFonts w:ascii="Times New Roman" w:hAnsi="Times New Roman"/>
        </w:rPr>
        <w:t>,</w:t>
      </w:r>
      <w:r w:rsidR="00000230" w:rsidRPr="00B90394">
        <w:rPr>
          <w:rFonts w:ascii="Times New Roman" w:hAnsi="Times New Roman"/>
        </w:rPr>
        <w:t xml:space="preserve"> </w:t>
      </w:r>
      <w:r w:rsidR="00061B98" w:rsidRPr="00B90394">
        <w:rPr>
          <w:rFonts w:ascii="Times New Roman" w:hAnsi="Times New Roman"/>
        </w:rPr>
        <w:t>and neither is</w:t>
      </w:r>
      <w:r w:rsidR="00000230" w:rsidRPr="00B90394">
        <w:rPr>
          <w:rFonts w:ascii="Times New Roman" w:hAnsi="Times New Roman"/>
        </w:rPr>
        <w:t xml:space="preserve"> the comparison between the two. There can only be one correct answer </w:t>
      </w:r>
      <w:r w:rsidR="002B54D5" w:rsidRPr="00B90394">
        <w:rPr>
          <w:rFonts w:ascii="Times New Roman" w:hAnsi="Times New Roman"/>
        </w:rPr>
        <w:t>resulting from this process.</w:t>
      </w:r>
      <w:r w:rsidR="00000230" w:rsidRPr="00B90394">
        <w:rPr>
          <w:rFonts w:ascii="Times New Roman" w:hAnsi="Times New Roman"/>
        </w:rPr>
        <w:t xml:space="preserve"> It follows that the relevant standard to be applied by an appell</w:t>
      </w:r>
      <w:r w:rsidR="00463576" w:rsidRPr="00B90394">
        <w:rPr>
          <w:rFonts w:ascii="Times New Roman" w:hAnsi="Times New Roman"/>
        </w:rPr>
        <w:t>ate</w:t>
      </w:r>
      <w:r w:rsidR="00000230" w:rsidRPr="00B90394">
        <w:rPr>
          <w:rFonts w:ascii="Times New Roman" w:hAnsi="Times New Roman"/>
        </w:rPr>
        <w:t xml:space="preserve"> court in considering an appeal from a </w:t>
      </w:r>
      <w:r w:rsidR="002B54D5" w:rsidRPr="00B90394">
        <w:rPr>
          <w:rFonts w:ascii="Times New Roman" w:hAnsi="Times New Roman"/>
        </w:rPr>
        <w:t xml:space="preserve">ruling as to </w:t>
      </w:r>
      <w:proofErr w:type="gramStart"/>
      <w:r w:rsidR="002B54D5" w:rsidRPr="00B90394">
        <w:rPr>
          <w:rFonts w:ascii="Times New Roman" w:hAnsi="Times New Roman"/>
        </w:rPr>
        <w:t>whether or not</w:t>
      </w:r>
      <w:proofErr w:type="gramEnd"/>
      <w:r w:rsidR="002B54D5" w:rsidRPr="00B90394">
        <w:rPr>
          <w:rFonts w:ascii="Times New Roman" w:hAnsi="Times New Roman"/>
        </w:rPr>
        <w:t xml:space="preserve"> evidence should be excluded under s 137 </w:t>
      </w:r>
      <w:r w:rsidR="00000230" w:rsidRPr="00B90394">
        <w:rPr>
          <w:rFonts w:ascii="Times New Roman" w:hAnsi="Times New Roman"/>
        </w:rPr>
        <w:t xml:space="preserve">is the correctness standard. </w:t>
      </w:r>
    </w:p>
    <w:p w14:paraId="2BE603D6" w14:textId="7E63FB8F" w:rsidR="002B54D5" w:rsidRPr="00B90394" w:rsidRDefault="00BE7F3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In this case, the Court of Appeal followed its previous decisions</w:t>
      </w:r>
      <w:r w:rsidR="002E36BC" w:rsidRPr="00B90394">
        <w:rPr>
          <w:rFonts w:ascii="Times New Roman" w:hAnsi="Times New Roman"/>
        </w:rPr>
        <w:t>,</w:t>
      </w:r>
      <w:r w:rsidR="00000230" w:rsidRPr="00B90394">
        <w:rPr>
          <w:rFonts w:ascii="Times New Roman" w:hAnsi="Times New Roman"/>
        </w:rPr>
        <w:t xml:space="preserve"> including </w:t>
      </w:r>
      <w:r w:rsidR="00000230" w:rsidRPr="00B90394">
        <w:rPr>
          <w:rFonts w:ascii="Times New Roman" w:hAnsi="Times New Roman"/>
          <w:i/>
          <w:iCs/>
        </w:rPr>
        <w:t>McCartney v The Queen</w:t>
      </w:r>
      <w:r w:rsidR="00FD7CE2" w:rsidRPr="00B90394">
        <w:rPr>
          <w:rFonts w:ascii="Times New Roman" w:hAnsi="Times New Roman"/>
        </w:rPr>
        <w:t>,</w:t>
      </w:r>
      <w:r w:rsidRPr="00B90394">
        <w:rPr>
          <w:rStyle w:val="FootnoteReference"/>
          <w:rFonts w:ascii="Times New Roman" w:hAnsi="Times New Roman"/>
          <w:sz w:val="24"/>
        </w:rPr>
        <w:footnoteReference w:id="31"/>
      </w:r>
      <w:r w:rsidR="00000230" w:rsidRPr="00B90394">
        <w:rPr>
          <w:rFonts w:ascii="Times New Roman" w:hAnsi="Times New Roman"/>
        </w:rPr>
        <w:t xml:space="preserve"> in concluding that</w:t>
      </w:r>
      <w:r w:rsidR="00D331D8" w:rsidRPr="00B90394">
        <w:rPr>
          <w:rFonts w:ascii="Times New Roman" w:hAnsi="Times New Roman"/>
        </w:rPr>
        <w:t xml:space="preserve"> the standard which it described as based on</w:t>
      </w:r>
      <w:r w:rsidR="00000230" w:rsidRPr="00B90394">
        <w:rPr>
          <w:rFonts w:ascii="Times New Roman" w:hAnsi="Times New Roman"/>
        </w:rPr>
        <w:t xml:space="preserve"> </w:t>
      </w:r>
      <w:r w:rsidR="00D331D8" w:rsidRPr="00B90394">
        <w:rPr>
          <w:rFonts w:ascii="Times New Roman" w:hAnsi="Times New Roman"/>
        </w:rPr>
        <w:t>"</w:t>
      </w:r>
      <w:r w:rsidR="00000230" w:rsidRPr="00B90394">
        <w:rPr>
          <w:rFonts w:ascii="Times New Roman" w:hAnsi="Times New Roman"/>
          <w:i/>
          <w:iCs/>
        </w:rPr>
        <w:t xml:space="preserve">House v </w:t>
      </w:r>
      <w:r w:rsidRPr="00B90394">
        <w:rPr>
          <w:rFonts w:ascii="Times New Roman" w:hAnsi="Times New Roman"/>
          <w:i/>
          <w:iCs/>
        </w:rPr>
        <w:t xml:space="preserve">The </w:t>
      </w:r>
      <w:r w:rsidR="00000230" w:rsidRPr="00B90394">
        <w:rPr>
          <w:rFonts w:ascii="Times New Roman" w:hAnsi="Times New Roman"/>
          <w:i/>
          <w:iCs/>
        </w:rPr>
        <w:t>King</w:t>
      </w:r>
      <w:r w:rsidR="00B579F0" w:rsidRPr="00B90394">
        <w:rPr>
          <w:rFonts w:ascii="Times New Roman" w:hAnsi="Times New Roman"/>
          <w:i/>
          <w:iCs/>
        </w:rPr>
        <w:t xml:space="preserve"> </w:t>
      </w:r>
      <w:r w:rsidR="00B579F0" w:rsidRPr="00B90394">
        <w:rPr>
          <w:rFonts w:ascii="Times New Roman" w:hAnsi="Times New Roman"/>
        </w:rPr>
        <w:t>principles"</w:t>
      </w:r>
      <w:r w:rsidR="00000230" w:rsidRPr="00B90394">
        <w:rPr>
          <w:rFonts w:ascii="Times New Roman" w:hAnsi="Times New Roman"/>
        </w:rPr>
        <w:t xml:space="preserve"> applies to an interlocutory appeal in </w:t>
      </w:r>
      <w:r w:rsidR="00000230" w:rsidRPr="00B90394">
        <w:rPr>
          <w:rFonts w:ascii="Times New Roman" w:hAnsi="Times New Roman"/>
        </w:rPr>
        <w:lastRenderedPageBreak/>
        <w:t>relation to a trial judge</w:t>
      </w:r>
      <w:r w:rsidR="00061B98" w:rsidRPr="00B90394">
        <w:rPr>
          <w:rFonts w:ascii="Times New Roman" w:hAnsi="Times New Roman"/>
        </w:rPr>
        <w:t>'</w:t>
      </w:r>
      <w:r w:rsidR="00000230" w:rsidRPr="00B90394">
        <w:rPr>
          <w:rFonts w:ascii="Times New Roman" w:hAnsi="Times New Roman"/>
        </w:rPr>
        <w:t xml:space="preserve">s decision </w:t>
      </w:r>
      <w:r w:rsidR="002B54D5" w:rsidRPr="00B90394">
        <w:rPr>
          <w:rFonts w:ascii="Times New Roman" w:hAnsi="Times New Roman"/>
        </w:rPr>
        <w:t xml:space="preserve">as to </w:t>
      </w:r>
      <w:r w:rsidR="00000230" w:rsidRPr="00B90394">
        <w:rPr>
          <w:rFonts w:ascii="Times New Roman" w:hAnsi="Times New Roman"/>
        </w:rPr>
        <w:t>whether to exclude evidence under s</w:t>
      </w:r>
      <w:r w:rsidRPr="00B90394">
        <w:rPr>
          <w:rFonts w:ascii="Times New Roman" w:hAnsi="Times New Roman"/>
        </w:rPr>
        <w:t> </w:t>
      </w:r>
      <w:r w:rsidR="00000230" w:rsidRPr="00B90394">
        <w:rPr>
          <w:rFonts w:ascii="Times New Roman" w:hAnsi="Times New Roman"/>
        </w:rPr>
        <w:t>137.</w:t>
      </w:r>
      <w:r w:rsidRPr="00B90394">
        <w:rPr>
          <w:rStyle w:val="FootnoteReference"/>
          <w:rFonts w:ascii="Times New Roman" w:hAnsi="Times New Roman"/>
          <w:sz w:val="24"/>
        </w:rPr>
        <w:footnoteReference w:id="32"/>
      </w:r>
      <w:r w:rsidR="00000230" w:rsidRPr="00B90394">
        <w:rPr>
          <w:rFonts w:ascii="Times New Roman" w:hAnsi="Times New Roman"/>
        </w:rPr>
        <w:t xml:space="preserve"> Those previous decisions distinguish between an interlocutory appeal and an appeal following conviction where the trial judge declined to exclude evidence under s</w:t>
      </w:r>
      <w:r w:rsidRPr="00B90394">
        <w:rPr>
          <w:rFonts w:ascii="Times New Roman" w:hAnsi="Times New Roman"/>
        </w:rPr>
        <w:t> </w:t>
      </w:r>
      <w:r w:rsidR="00000230" w:rsidRPr="00B90394">
        <w:rPr>
          <w:rFonts w:ascii="Times New Roman" w:hAnsi="Times New Roman"/>
        </w:rPr>
        <w:t>137</w:t>
      </w:r>
      <w:r w:rsidR="00061B98" w:rsidRPr="00B90394">
        <w:rPr>
          <w:rFonts w:ascii="Times New Roman" w:hAnsi="Times New Roman"/>
        </w:rPr>
        <w:t>,</w:t>
      </w:r>
      <w:r w:rsidR="00000230" w:rsidRPr="00B90394">
        <w:rPr>
          <w:rFonts w:ascii="Times New Roman" w:hAnsi="Times New Roman"/>
        </w:rPr>
        <w:t xml:space="preserve"> in which case the correctness standard is applied to determine whether the admission of the evidence was productive of a miscarriage of justice.</w:t>
      </w:r>
      <w:r w:rsidRPr="00B90394">
        <w:rPr>
          <w:rStyle w:val="FootnoteReference"/>
          <w:rFonts w:ascii="Times New Roman" w:hAnsi="Times New Roman"/>
          <w:sz w:val="24"/>
        </w:rPr>
        <w:footnoteReference w:id="33"/>
      </w:r>
      <w:r w:rsidR="00000230" w:rsidRPr="00B90394">
        <w:rPr>
          <w:rFonts w:ascii="Times New Roman" w:hAnsi="Times New Roman"/>
        </w:rPr>
        <w:t xml:space="preserve"> In </w:t>
      </w:r>
      <w:r w:rsidR="00000230" w:rsidRPr="00B90394">
        <w:rPr>
          <w:rFonts w:ascii="Times New Roman" w:hAnsi="Times New Roman"/>
          <w:i/>
          <w:iCs/>
        </w:rPr>
        <w:t>McCartney</w:t>
      </w:r>
      <w:r w:rsidRPr="00B90394">
        <w:rPr>
          <w:rFonts w:ascii="Times New Roman" w:hAnsi="Times New Roman"/>
        </w:rPr>
        <w:t>,</w:t>
      </w:r>
      <w:r w:rsidR="00000230" w:rsidRPr="00B90394">
        <w:rPr>
          <w:rFonts w:ascii="Times New Roman" w:hAnsi="Times New Roman"/>
        </w:rPr>
        <w:t xml:space="preserve"> it was accepted that "the legal character of a decision under s</w:t>
      </w:r>
      <w:r w:rsidRPr="00B90394">
        <w:rPr>
          <w:rFonts w:ascii="Times New Roman" w:hAnsi="Times New Roman"/>
        </w:rPr>
        <w:t> </w:t>
      </w:r>
      <w:r w:rsidR="00000230" w:rsidRPr="00B90394">
        <w:rPr>
          <w:rFonts w:ascii="Times New Roman" w:hAnsi="Times New Roman"/>
        </w:rPr>
        <w:t>137 remains the same whether the decision falls to be examined at the interlocutory appeal stage or after the trial is concluded</w:t>
      </w:r>
      <w:r w:rsidR="00B630B7" w:rsidRPr="00B90394">
        <w:rPr>
          <w:rFonts w:ascii="Times New Roman" w:hAnsi="Times New Roman"/>
        </w:rPr>
        <w:t>"</w:t>
      </w:r>
      <w:r w:rsidR="00015F8A" w:rsidRPr="00B90394">
        <w:rPr>
          <w:rFonts w:ascii="Times New Roman" w:hAnsi="Times New Roman"/>
        </w:rPr>
        <w:t>,</w:t>
      </w:r>
      <w:r w:rsidR="00000230" w:rsidRPr="00B90394">
        <w:rPr>
          <w:rFonts w:ascii="Times New Roman" w:hAnsi="Times New Roman"/>
        </w:rPr>
        <w:t xml:space="preserve"> </w:t>
      </w:r>
      <w:r w:rsidR="002B54D5" w:rsidRPr="00B90394">
        <w:rPr>
          <w:rFonts w:ascii="Times New Roman" w:hAnsi="Times New Roman"/>
        </w:rPr>
        <w:t xml:space="preserve">but </w:t>
      </w:r>
      <w:r w:rsidR="00D553E7" w:rsidRPr="00B90394">
        <w:rPr>
          <w:rFonts w:ascii="Times New Roman" w:hAnsi="Times New Roman"/>
        </w:rPr>
        <w:t xml:space="preserve">it was </w:t>
      </w:r>
      <w:r w:rsidR="00CB1EF5" w:rsidRPr="00B90394">
        <w:rPr>
          <w:rFonts w:ascii="Times New Roman" w:hAnsi="Times New Roman"/>
        </w:rPr>
        <w:t xml:space="preserve">held that </w:t>
      </w:r>
      <w:r w:rsidR="00000230" w:rsidRPr="00B90394">
        <w:rPr>
          <w:rFonts w:ascii="Times New Roman" w:hAnsi="Times New Roman"/>
        </w:rPr>
        <w:t xml:space="preserve">the </w:t>
      </w:r>
      <w:r w:rsidR="002B54D5" w:rsidRPr="00B90394">
        <w:rPr>
          <w:rFonts w:ascii="Times New Roman" w:hAnsi="Times New Roman"/>
        </w:rPr>
        <w:t xml:space="preserve">application of different standards of review </w:t>
      </w:r>
      <w:r w:rsidR="00000230" w:rsidRPr="00B90394">
        <w:rPr>
          <w:rFonts w:ascii="Times New Roman" w:hAnsi="Times New Roman"/>
        </w:rPr>
        <w:t xml:space="preserve">was justified </w:t>
      </w:r>
      <w:r w:rsidR="00B630B7" w:rsidRPr="00B90394">
        <w:rPr>
          <w:rFonts w:ascii="Times New Roman" w:hAnsi="Times New Roman"/>
        </w:rPr>
        <w:t>"</w:t>
      </w:r>
      <w:r w:rsidR="00000230" w:rsidRPr="00B90394">
        <w:rPr>
          <w:rFonts w:ascii="Times New Roman" w:hAnsi="Times New Roman"/>
        </w:rPr>
        <w:t xml:space="preserve">by the different functions, and perspectives, of the appeal court at those different stages of </w:t>
      </w:r>
      <w:r w:rsidR="006B7E53" w:rsidRPr="00B90394">
        <w:rPr>
          <w:rFonts w:ascii="Times New Roman" w:hAnsi="Times New Roman"/>
        </w:rPr>
        <w:t xml:space="preserve">the </w:t>
      </w:r>
      <w:r w:rsidR="00000230" w:rsidRPr="00B90394">
        <w:rPr>
          <w:rFonts w:ascii="Times New Roman" w:hAnsi="Times New Roman"/>
        </w:rPr>
        <w:t>proceeding</w:t>
      </w:r>
      <w:r w:rsidR="00B630B7" w:rsidRPr="00B90394">
        <w:rPr>
          <w:rFonts w:ascii="Times New Roman" w:hAnsi="Times New Roman"/>
        </w:rPr>
        <w:t>"</w:t>
      </w:r>
      <w:r w:rsidR="00D74635" w:rsidRPr="00B90394">
        <w:rPr>
          <w:rFonts w:ascii="Times New Roman" w:hAnsi="Times New Roman"/>
        </w:rPr>
        <w:t>,</w:t>
      </w:r>
      <w:r w:rsidRPr="00B90394">
        <w:rPr>
          <w:rStyle w:val="FootnoteReference"/>
          <w:rFonts w:ascii="Times New Roman" w:hAnsi="Times New Roman"/>
          <w:sz w:val="24"/>
        </w:rPr>
        <w:footnoteReference w:id="34"/>
      </w:r>
      <w:r w:rsidR="00000230" w:rsidRPr="00B90394">
        <w:rPr>
          <w:rFonts w:ascii="Times New Roman" w:hAnsi="Times New Roman"/>
        </w:rPr>
        <w:t xml:space="preserve"> including the </w:t>
      </w:r>
      <w:r w:rsidR="00334E74" w:rsidRPr="00B90394">
        <w:rPr>
          <w:rFonts w:ascii="Times New Roman" w:hAnsi="Times New Roman"/>
        </w:rPr>
        <w:t xml:space="preserve">assertion of a </w:t>
      </w:r>
      <w:r w:rsidR="00000230" w:rsidRPr="00B90394">
        <w:rPr>
          <w:rFonts w:ascii="Times New Roman" w:hAnsi="Times New Roman"/>
        </w:rPr>
        <w:t xml:space="preserve">clear intention of the </w:t>
      </w:r>
      <w:r w:rsidR="00000230" w:rsidRPr="00B90394">
        <w:rPr>
          <w:rFonts w:ascii="Times New Roman" w:hAnsi="Times New Roman"/>
          <w:i/>
          <w:iCs/>
        </w:rPr>
        <w:t>Criminal Procedure Act</w:t>
      </w:r>
      <w:r w:rsidR="0071450B" w:rsidRPr="00B90394">
        <w:rPr>
          <w:rFonts w:ascii="Times New Roman" w:hAnsi="Times New Roman"/>
          <w:i/>
          <w:iCs/>
        </w:rPr>
        <w:t xml:space="preserve"> 2009 </w:t>
      </w:r>
      <w:r w:rsidR="0071450B" w:rsidRPr="00B90394">
        <w:rPr>
          <w:rFonts w:ascii="Times New Roman" w:hAnsi="Times New Roman"/>
        </w:rPr>
        <w:t>(Vic)</w:t>
      </w:r>
      <w:r w:rsidR="00000230" w:rsidRPr="00B90394">
        <w:rPr>
          <w:rFonts w:ascii="Times New Roman" w:hAnsi="Times New Roman"/>
        </w:rPr>
        <w:t xml:space="preserve"> that interlocutory appeals </w:t>
      </w:r>
      <w:r w:rsidR="006E3B60" w:rsidRPr="00B90394">
        <w:rPr>
          <w:rFonts w:ascii="Times New Roman" w:hAnsi="Times New Roman"/>
        </w:rPr>
        <w:t xml:space="preserve">on questions of evidence </w:t>
      </w:r>
      <w:r w:rsidR="00CF31D7" w:rsidRPr="00B90394">
        <w:rPr>
          <w:rFonts w:ascii="Times New Roman" w:hAnsi="Times New Roman"/>
        </w:rPr>
        <w:t xml:space="preserve">"should </w:t>
      </w:r>
      <w:r w:rsidR="00000230" w:rsidRPr="00B90394">
        <w:rPr>
          <w:rFonts w:ascii="Times New Roman" w:hAnsi="Times New Roman"/>
        </w:rPr>
        <w:t>be strictly confined".</w:t>
      </w:r>
      <w:r w:rsidRPr="00B90394">
        <w:rPr>
          <w:rStyle w:val="FootnoteReference"/>
          <w:rFonts w:ascii="Times New Roman" w:hAnsi="Times New Roman"/>
          <w:sz w:val="24"/>
        </w:rPr>
        <w:footnoteReference w:id="35"/>
      </w:r>
      <w:r w:rsidR="00000230" w:rsidRPr="00B90394">
        <w:rPr>
          <w:rFonts w:ascii="Times New Roman" w:hAnsi="Times New Roman"/>
        </w:rPr>
        <w:t xml:space="preserve"> </w:t>
      </w:r>
    </w:p>
    <w:p w14:paraId="59BA192B" w14:textId="084B4614" w:rsidR="00000230" w:rsidRPr="00B90394" w:rsidRDefault="00180F34"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previous decisions of the Court of Appeal </w:t>
      </w:r>
      <w:r w:rsidR="00304F09" w:rsidRPr="00B90394">
        <w:rPr>
          <w:rFonts w:ascii="Times New Roman" w:hAnsi="Times New Roman"/>
        </w:rPr>
        <w:t xml:space="preserve">that </w:t>
      </w:r>
      <w:r w:rsidR="00000230" w:rsidRPr="00B90394">
        <w:rPr>
          <w:rFonts w:ascii="Times New Roman" w:hAnsi="Times New Roman"/>
        </w:rPr>
        <w:t>invok</w:t>
      </w:r>
      <w:r w:rsidR="00304F09" w:rsidRPr="00B90394">
        <w:rPr>
          <w:rFonts w:ascii="Times New Roman" w:hAnsi="Times New Roman"/>
        </w:rPr>
        <w:t>ed</w:t>
      </w:r>
      <w:r w:rsidR="00000230" w:rsidRPr="00B90394">
        <w:rPr>
          <w:rFonts w:ascii="Times New Roman" w:hAnsi="Times New Roman"/>
        </w:rPr>
        <w:t xml:space="preserve"> this distinction relied </w:t>
      </w:r>
      <w:r w:rsidR="0065518B" w:rsidRPr="00B90394">
        <w:rPr>
          <w:rFonts w:ascii="Times New Roman" w:hAnsi="Times New Roman"/>
        </w:rPr>
        <w:t xml:space="preserve">in part on a </w:t>
      </w:r>
      <w:r w:rsidR="00000230" w:rsidRPr="00B90394">
        <w:rPr>
          <w:rFonts w:ascii="Times New Roman" w:hAnsi="Times New Roman"/>
        </w:rPr>
        <w:t xml:space="preserve">decision of a five-judge bench of the New South Wales Court of Criminal Appeal in </w:t>
      </w:r>
      <w:r w:rsidR="00000230" w:rsidRPr="00B90394">
        <w:rPr>
          <w:rFonts w:ascii="Times New Roman" w:hAnsi="Times New Roman"/>
          <w:i/>
          <w:iCs/>
        </w:rPr>
        <w:t>DAO v The Queen</w:t>
      </w:r>
      <w:r w:rsidR="0065518B" w:rsidRPr="00B90394">
        <w:rPr>
          <w:rFonts w:ascii="Times New Roman" w:hAnsi="Times New Roman"/>
          <w:i/>
          <w:iCs/>
        </w:rPr>
        <w:t>.</w:t>
      </w:r>
      <w:r w:rsidR="001A5691" w:rsidRPr="00B90394">
        <w:rPr>
          <w:rStyle w:val="FootnoteReference"/>
          <w:rFonts w:ascii="Times New Roman" w:hAnsi="Times New Roman"/>
          <w:sz w:val="24"/>
        </w:rPr>
        <w:footnoteReference w:id="36"/>
      </w:r>
      <w:r w:rsidR="00000230" w:rsidRPr="00B90394">
        <w:rPr>
          <w:rFonts w:ascii="Times New Roman" w:hAnsi="Times New Roman"/>
        </w:rPr>
        <w:t xml:space="preserve"> </w:t>
      </w:r>
      <w:r w:rsidR="0065518B" w:rsidRPr="00B90394">
        <w:rPr>
          <w:rFonts w:ascii="Times New Roman" w:hAnsi="Times New Roman"/>
          <w:i/>
        </w:rPr>
        <w:t>DAO</w:t>
      </w:r>
      <w:r w:rsidR="0065518B" w:rsidRPr="00B90394">
        <w:rPr>
          <w:rFonts w:ascii="Times New Roman" w:hAnsi="Times New Roman"/>
        </w:rPr>
        <w:t xml:space="preserve"> was</w:t>
      </w:r>
      <w:r w:rsidR="00000230" w:rsidRPr="00B90394">
        <w:rPr>
          <w:rFonts w:ascii="Times New Roman" w:hAnsi="Times New Roman"/>
        </w:rPr>
        <w:t xml:space="preserve"> an application for leave </w:t>
      </w:r>
      <w:r w:rsidR="0065518B" w:rsidRPr="00B90394">
        <w:rPr>
          <w:rFonts w:ascii="Times New Roman" w:hAnsi="Times New Roman"/>
        </w:rPr>
        <w:t xml:space="preserve">to </w:t>
      </w:r>
      <w:r w:rsidR="00000230" w:rsidRPr="00B90394">
        <w:rPr>
          <w:rFonts w:ascii="Times New Roman" w:hAnsi="Times New Roman"/>
        </w:rPr>
        <w:t>appeal from a refusal to order separate trials</w:t>
      </w:r>
      <w:r w:rsidR="001629B7" w:rsidRPr="00B90394">
        <w:rPr>
          <w:rFonts w:ascii="Times New Roman" w:hAnsi="Times New Roman"/>
        </w:rPr>
        <w:t>,</w:t>
      </w:r>
      <w:r w:rsidR="00000230" w:rsidRPr="00B90394">
        <w:rPr>
          <w:rFonts w:ascii="Times New Roman" w:hAnsi="Times New Roman"/>
        </w:rPr>
        <w:t xml:space="preserve"> which </w:t>
      </w:r>
      <w:r w:rsidR="0065518B" w:rsidRPr="00B90394">
        <w:rPr>
          <w:rFonts w:ascii="Times New Roman" w:hAnsi="Times New Roman"/>
        </w:rPr>
        <w:t xml:space="preserve">in turn </w:t>
      </w:r>
      <w:r w:rsidR="00000230" w:rsidRPr="00B90394">
        <w:rPr>
          <w:rFonts w:ascii="Times New Roman" w:hAnsi="Times New Roman"/>
        </w:rPr>
        <w:t>followed from an evidentiary ruling in relation to tendency evidence. Four members of that Court held that some standard other than the correctness standard applied to appellate review of assessments of "significant probative value" under s</w:t>
      </w:r>
      <w:r w:rsidR="001A5691" w:rsidRPr="00B90394">
        <w:rPr>
          <w:rFonts w:ascii="Times New Roman" w:hAnsi="Times New Roman"/>
        </w:rPr>
        <w:t> </w:t>
      </w:r>
      <w:r w:rsidR="00000230" w:rsidRPr="00B90394">
        <w:rPr>
          <w:rFonts w:ascii="Times New Roman" w:hAnsi="Times New Roman"/>
        </w:rPr>
        <w:t xml:space="preserve">97 of the </w:t>
      </w:r>
      <w:r w:rsidR="00000230" w:rsidRPr="00B90394">
        <w:rPr>
          <w:rFonts w:ascii="Times New Roman" w:hAnsi="Times New Roman"/>
          <w:i/>
          <w:iCs/>
        </w:rPr>
        <w:t xml:space="preserve">Evidence </w:t>
      </w:r>
      <w:r w:rsidR="00000230" w:rsidRPr="00B90394">
        <w:rPr>
          <w:rFonts w:ascii="Times New Roman" w:hAnsi="Times New Roman"/>
          <w:i/>
          <w:iCs/>
        </w:rPr>
        <w:lastRenderedPageBreak/>
        <w:t>Act 1995</w:t>
      </w:r>
      <w:r w:rsidR="00000230" w:rsidRPr="00B90394">
        <w:rPr>
          <w:rFonts w:ascii="Times New Roman" w:hAnsi="Times New Roman"/>
        </w:rPr>
        <w:t xml:space="preserve"> (NSW)</w:t>
      </w:r>
      <w:r w:rsidR="0077304C" w:rsidRPr="00B90394">
        <w:rPr>
          <w:rFonts w:ascii="Times New Roman" w:hAnsi="Times New Roman"/>
        </w:rPr>
        <w:t>.</w:t>
      </w:r>
      <w:r w:rsidR="001A5691" w:rsidRPr="00B90394">
        <w:rPr>
          <w:rStyle w:val="FootnoteReference"/>
          <w:rFonts w:ascii="Times New Roman" w:hAnsi="Times New Roman"/>
          <w:sz w:val="24"/>
        </w:rPr>
        <w:footnoteReference w:id="37"/>
      </w:r>
      <w:r w:rsidR="00000230" w:rsidRPr="00B90394">
        <w:rPr>
          <w:rFonts w:ascii="Times New Roman" w:hAnsi="Times New Roman"/>
        </w:rPr>
        <w:t xml:space="preserve"> That conclusion was inconsistent with</w:t>
      </w:r>
      <w:r w:rsidR="00CE7AA6" w:rsidRPr="00B90394">
        <w:rPr>
          <w:rFonts w:ascii="Times New Roman" w:hAnsi="Times New Roman"/>
        </w:rPr>
        <w:t xml:space="preserve"> this Court's subsequent decision in</w:t>
      </w:r>
      <w:r w:rsidR="00000230" w:rsidRPr="00B90394">
        <w:rPr>
          <w:rFonts w:ascii="Times New Roman" w:hAnsi="Times New Roman"/>
        </w:rPr>
        <w:t xml:space="preserve"> </w:t>
      </w:r>
      <w:r w:rsidR="00000230" w:rsidRPr="00B90394">
        <w:rPr>
          <w:rFonts w:ascii="Times New Roman" w:hAnsi="Times New Roman"/>
          <w:i/>
          <w:iCs/>
        </w:rPr>
        <w:t>Bauer</w:t>
      </w:r>
      <w:r w:rsidR="00000230" w:rsidRPr="00B90394">
        <w:rPr>
          <w:rFonts w:ascii="Times New Roman" w:hAnsi="Times New Roman"/>
        </w:rPr>
        <w:t xml:space="preserve">. </w:t>
      </w:r>
    </w:p>
    <w:p w14:paraId="53646508" w14:textId="45D20443" w:rsidR="00000230" w:rsidRPr="00B90394" w:rsidRDefault="001A5691"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In this Court</w:t>
      </w:r>
      <w:r w:rsidRPr="00B90394">
        <w:rPr>
          <w:rFonts w:ascii="Times New Roman" w:hAnsi="Times New Roman"/>
        </w:rPr>
        <w:t>,</w:t>
      </w:r>
      <w:r w:rsidR="00000230" w:rsidRPr="00B90394">
        <w:rPr>
          <w:rFonts w:ascii="Times New Roman" w:hAnsi="Times New Roman"/>
        </w:rPr>
        <w:t xml:space="preserve"> the </w:t>
      </w:r>
      <w:r w:rsidRPr="00B90394">
        <w:rPr>
          <w:rFonts w:ascii="Times New Roman" w:hAnsi="Times New Roman"/>
        </w:rPr>
        <w:t>r</w:t>
      </w:r>
      <w:r w:rsidR="00000230" w:rsidRPr="00B90394">
        <w:rPr>
          <w:rFonts w:ascii="Times New Roman" w:hAnsi="Times New Roman"/>
        </w:rPr>
        <w:t xml:space="preserve">espondent sought to maintain </w:t>
      </w:r>
      <w:r w:rsidR="0077304C" w:rsidRPr="00B90394">
        <w:rPr>
          <w:rFonts w:ascii="Times New Roman" w:hAnsi="Times New Roman"/>
        </w:rPr>
        <w:t>the</w:t>
      </w:r>
      <w:r w:rsidR="00000230" w:rsidRPr="00B90394">
        <w:rPr>
          <w:rFonts w:ascii="Times New Roman" w:hAnsi="Times New Roman"/>
        </w:rPr>
        <w:t xml:space="preserve"> distinction between the standard of review of decisions under s</w:t>
      </w:r>
      <w:r w:rsidRPr="00B90394">
        <w:rPr>
          <w:rFonts w:ascii="Times New Roman" w:hAnsi="Times New Roman"/>
        </w:rPr>
        <w:t> </w:t>
      </w:r>
      <w:r w:rsidR="00000230" w:rsidRPr="00B90394">
        <w:rPr>
          <w:rFonts w:ascii="Times New Roman" w:hAnsi="Times New Roman"/>
        </w:rPr>
        <w:t xml:space="preserve">137 applicable to interlocutory appeals </w:t>
      </w:r>
      <w:r w:rsidR="005C5AD6" w:rsidRPr="00B90394">
        <w:rPr>
          <w:rFonts w:ascii="Times New Roman" w:hAnsi="Times New Roman"/>
        </w:rPr>
        <w:t>and</w:t>
      </w:r>
      <w:r w:rsidR="0070021A" w:rsidRPr="00B90394">
        <w:rPr>
          <w:rFonts w:ascii="Times New Roman" w:hAnsi="Times New Roman"/>
        </w:rPr>
        <w:t xml:space="preserve"> </w:t>
      </w:r>
      <w:r w:rsidR="00235A10" w:rsidRPr="00B90394">
        <w:rPr>
          <w:rFonts w:ascii="Times New Roman" w:hAnsi="Times New Roman"/>
        </w:rPr>
        <w:t>th</w:t>
      </w:r>
      <w:r w:rsidR="00C27722" w:rsidRPr="00B90394">
        <w:rPr>
          <w:rFonts w:ascii="Times New Roman" w:hAnsi="Times New Roman"/>
        </w:rPr>
        <w:t>e standard</w:t>
      </w:r>
      <w:r w:rsidR="00235A10" w:rsidRPr="00B90394">
        <w:rPr>
          <w:rFonts w:ascii="Times New Roman" w:hAnsi="Times New Roman"/>
        </w:rPr>
        <w:t xml:space="preserve"> </w:t>
      </w:r>
      <w:r w:rsidR="00D63186" w:rsidRPr="00B90394">
        <w:rPr>
          <w:rFonts w:ascii="Times New Roman" w:hAnsi="Times New Roman"/>
        </w:rPr>
        <w:t>applicable to</w:t>
      </w:r>
      <w:r w:rsidR="00000230" w:rsidRPr="00B90394">
        <w:rPr>
          <w:rFonts w:ascii="Times New Roman" w:hAnsi="Times New Roman"/>
        </w:rPr>
        <w:t xml:space="preserve"> conviction appeals.</w:t>
      </w:r>
      <w:r w:rsidR="00657CAA" w:rsidRPr="00B90394">
        <w:rPr>
          <w:rFonts w:ascii="Times New Roman" w:hAnsi="Times New Roman"/>
        </w:rPr>
        <w:t xml:space="preserve"> </w:t>
      </w:r>
      <w:r w:rsidR="00000230" w:rsidRPr="00B90394">
        <w:rPr>
          <w:rFonts w:ascii="Times New Roman" w:hAnsi="Times New Roman"/>
        </w:rPr>
        <w:t>Th</w:t>
      </w:r>
      <w:r w:rsidR="00B03FE3" w:rsidRPr="00B90394">
        <w:rPr>
          <w:rFonts w:ascii="Times New Roman" w:hAnsi="Times New Roman"/>
        </w:rPr>
        <w:t>at</w:t>
      </w:r>
      <w:r w:rsidR="00000230" w:rsidRPr="00B90394">
        <w:rPr>
          <w:rFonts w:ascii="Times New Roman" w:hAnsi="Times New Roman"/>
        </w:rPr>
        <w:t xml:space="preserve"> distinction should not be accepted. </w:t>
      </w:r>
    </w:p>
    <w:p w14:paraId="4D84B8A6" w14:textId="795CF84B" w:rsidR="00000230" w:rsidRPr="00B90394" w:rsidRDefault="001A5691"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Appeals from interlocutory decisions made by trial judges in the County Cou</w:t>
      </w:r>
      <w:r w:rsidR="00C27722" w:rsidRPr="00B90394">
        <w:rPr>
          <w:rFonts w:ascii="Times New Roman" w:hAnsi="Times New Roman"/>
        </w:rPr>
        <w:t>r</w:t>
      </w:r>
      <w:r w:rsidR="00000230" w:rsidRPr="00B90394">
        <w:rPr>
          <w:rFonts w:ascii="Times New Roman" w:hAnsi="Times New Roman"/>
        </w:rPr>
        <w:t>t of Victoria</w:t>
      </w:r>
      <w:r w:rsidR="00F122C4" w:rsidRPr="00B90394">
        <w:rPr>
          <w:rFonts w:ascii="Times New Roman" w:hAnsi="Times New Roman"/>
        </w:rPr>
        <w:t xml:space="preserve"> </w:t>
      </w:r>
      <w:r w:rsidR="00132265" w:rsidRPr="00B90394">
        <w:rPr>
          <w:rFonts w:ascii="Times New Roman" w:hAnsi="Times New Roman"/>
        </w:rPr>
        <w:t>and</w:t>
      </w:r>
      <w:r w:rsidR="00000230" w:rsidRPr="00B90394">
        <w:rPr>
          <w:rFonts w:ascii="Times New Roman" w:hAnsi="Times New Roman"/>
        </w:rPr>
        <w:t xml:space="preserve"> </w:t>
      </w:r>
      <w:r w:rsidR="00132265" w:rsidRPr="00B90394">
        <w:rPr>
          <w:rFonts w:ascii="Times New Roman" w:hAnsi="Times New Roman"/>
        </w:rPr>
        <w:t xml:space="preserve">in </w:t>
      </w:r>
      <w:r w:rsidR="00000230" w:rsidRPr="00B90394">
        <w:rPr>
          <w:rFonts w:ascii="Times New Roman" w:hAnsi="Times New Roman"/>
        </w:rPr>
        <w:t>the Trial Division of the Supreme Court of Victoria are governed by Div</w:t>
      </w:r>
      <w:r w:rsidRPr="00B90394">
        <w:rPr>
          <w:rFonts w:ascii="Times New Roman" w:hAnsi="Times New Roman"/>
        </w:rPr>
        <w:t> </w:t>
      </w:r>
      <w:r w:rsidR="00000230" w:rsidRPr="00B90394">
        <w:rPr>
          <w:rFonts w:ascii="Times New Roman" w:hAnsi="Times New Roman"/>
        </w:rPr>
        <w:t>4 of Pt</w:t>
      </w:r>
      <w:r w:rsidRPr="00B90394">
        <w:rPr>
          <w:rFonts w:ascii="Times New Roman" w:hAnsi="Times New Roman"/>
        </w:rPr>
        <w:t> </w:t>
      </w:r>
      <w:r w:rsidR="00000230" w:rsidRPr="00B90394">
        <w:rPr>
          <w:rFonts w:ascii="Times New Roman" w:hAnsi="Times New Roman"/>
        </w:rPr>
        <w:t xml:space="preserve">6.3 of the </w:t>
      </w:r>
      <w:r w:rsidR="00000230" w:rsidRPr="00B90394">
        <w:rPr>
          <w:rFonts w:ascii="Times New Roman" w:hAnsi="Times New Roman"/>
          <w:i/>
          <w:iCs/>
        </w:rPr>
        <w:t>Criminal Procedure Act</w:t>
      </w:r>
      <w:r w:rsidR="00000230" w:rsidRPr="00B90394">
        <w:rPr>
          <w:rFonts w:ascii="Times New Roman" w:hAnsi="Times New Roman"/>
        </w:rPr>
        <w:t>. A party to such</w:t>
      </w:r>
      <w:r w:rsidR="00C269F5" w:rsidRPr="00B90394">
        <w:rPr>
          <w:rFonts w:ascii="Times New Roman" w:hAnsi="Times New Roman"/>
        </w:rPr>
        <w:t xml:space="preserve"> a</w:t>
      </w:r>
      <w:r w:rsidR="00000230" w:rsidRPr="00B90394">
        <w:rPr>
          <w:rFonts w:ascii="Times New Roman" w:hAnsi="Times New Roman"/>
        </w:rPr>
        <w:t xml:space="preserve"> proceeding may appeal</w:t>
      </w:r>
      <w:r w:rsidR="00B7787E" w:rsidRPr="00B90394">
        <w:rPr>
          <w:rFonts w:ascii="Times New Roman" w:hAnsi="Times New Roman"/>
        </w:rPr>
        <w:t xml:space="preserve"> to the Court of Appe</w:t>
      </w:r>
      <w:r w:rsidR="002D7EBE" w:rsidRPr="00B90394">
        <w:rPr>
          <w:rFonts w:ascii="Times New Roman" w:hAnsi="Times New Roman"/>
        </w:rPr>
        <w:t>al</w:t>
      </w:r>
      <w:r w:rsidR="00B931D9" w:rsidRPr="00B90394">
        <w:rPr>
          <w:rFonts w:ascii="Times New Roman" w:hAnsi="Times New Roman"/>
        </w:rPr>
        <w:t xml:space="preserve"> against</w:t>
      </w:r>
      <w:r w:rsidR="00000230" w:rsidRPr="00B90394">
        <w:rPr>
          <w:rFonts w:ascii="Times New Roman" w:hAnsi="Times New Roman"/>
        </w:rPr>
        <w:t xml:space="preserve"> an interlocutory decision with the leave of the Court</w:t>
      </w:r>
      <w:r w:rsidRPr="00B90394">
        <w:rPr>
          <w:rFonts w:ascii="Times New Roman" w:hAnsi="Times New Roman"/>
        </w:rPr>
        <w:t>.</w:t>
      </w:r>
      <w:r w:rsidRPr="00B90394">
        <w:rPr>
          <w:rStyle w:val="FootnoteReference"/>
          <w:rFonts w:ascii="Times New Roman" w:hAnsi="Times New Roman"/>
          <w:sz w:val="24"/>
        </w:rPr>
        <w:footnoteReference w:id="38"/>
      </w:r>
      <w:r w:rsidR="00000230" w:rsidRPr="00B90394">
        <w:rPr>
          <w:rFonts w:ascii="Times New Roman" w:hAnsi="Times New Roman"/>
        </w:rPr>
        <w:t xml:space="preserve"> However, a party may not seek leave to appeal without certification from the</w:t>
      </w:r>
      <w:r w:rsidR="001B58B8" w:rsidRPr="00B90394">
        <w:rPr>
          <w:rFonts w:ascii="Times New Roman" w:hAnsi="Times New Roman"/>
        </w:rPr>
        <w:t xml:space="preserve"> </w:t>
      </w:r>
      <w:r w:rsidR="00115E29" w:rsidRPr="00B90394">
        <w:rPr>
          <w:rFonts w:ascii="Times New Roman" w:hAnsi="Times New Roman"/>
        </w:rPr>
        <w:t xml:space="preserve">trial </w:t>
      </w:r>
      <w:r w:rsidR="001B58B8" w:rsidRPr="00B90394">
        <w:rPr>
          <w:rFonts w:ascii="Times New Roman" w:hAnsi="Times New Roman"/>
        </w:rPr>
        <w:t>judge who made the interlocutory decision</w:t>
      </w:r>
      <w:r w:rsidR="00000230" w:rsidRPr="00B90394">
        <w:rPr>
          <w:rFonts w:ascii="Times New Roman" w:hAnsi="Times New Roman"/>
        </w:rPr>
        <w:t>.</w:t>
      </w:r>
      <w:r w:rsidRPr="00B90394">
        <w:rPr>
          <w:rStyle w:val="FootnoteReference"/>
          <w:rFonts w:ascii="Times New Roman" w:hAnsi="Times New Roman"/>
          <w:sz w:val="24"/>
        </w:rPr>
        <w:footnoteReference w:id="39"/>
      </w:r>
      <w:r w:rsidR="00000230" w:rsidRPr="00B90394">
        <w:rPr>
          <w:rFonts w:ascii="Times New Roman" w:hAnsi="Times New Roman"/>
        </w:rPr>
        <w:t xml:space="preserve"> If the </w:t>
      </w:r>
      <w:r w:rsidR="004D7ADD" w:rsidRPr="00B90394">
        <w:rPr>
          <w:rFonts w:ascii="Times New Roman" w:hAnsi="Times New Roman"/>
        </w:rPr>
        <w:t xml:space="preserve">interlocutory </w:t>
      </w:r>
      <w:r w:rsidR="00000230" w:rsidRPr="00B90394">
        <w:rPr>
          <w:rFonts w:ascii="Times New Roman" w:hAnsi="Times New Roman"/>
        </w:rPr>
        <w:t>decision concerns the admissibility of evidence</w:t>
      </w:r>
      <w:r w:rsidR="002B54D5" w:rsidRPr="00B90394">
        <w:rPr>
          <w:rFonts w:ascii="Times New Roman" w:hAnsi="Times New Roman"/>
        </w:rPr>
        <w:t>,</w:t>
      </w:r>
      <w:r w:rsidR="00000230" w:rsidRPr="00B90394">
        <w:rPr>
          <w:rFonts w:ascii="Times New Roman" w:hAnsi="Times New Roman"/>
        </w:rPr>
        <w:t xml:space="preserve"> the trial judge must certify that</w:t>
      </w:r>
      <w:r w:rsidR="002B54D5" w:rsidRPr="00B90394">
        <w:rPr>
          <w:rFonts w:ascii="Times New Roman" w:hAnsi="Times New Roman"/>
        </w:rPr>
        <w:t>,</w:t>
      </w:r>
      <w:r w:rsidR="00000230" w:rsidRPr="00B90394">
        <w:rPr>
          <w:rFonts w:ascii="Times New Roman" w:hAnsi="Times New Roman"/>
        </w:rPr>
        <w:t xml:space="preserve"> if the evidence was ruled inadmissible</w:t>
      </w:r>
      <w:r w:rsidR="002B54D5" w:rsidRPr="00B90394">
        <w:rPr>
          <w:rFonts w:ascii="Times New Roman" w:hAnsi="Times New Roman"/>
        </w:rPr>
        <w:t>,</w:t>
      </w:r>
      <w:r w:rsidR="00000230" w:rsidRPr="00B90394">
        <w:rPr>
          <w:rFonts w:ascii="Times New Roman" w:hAnsi="Times New Roman"/>
        </w:rPr>
        <w:t xml:space="preserve"> it would eliminate or substantially weaken the prosecution case.</w:t>
      </w:r>
      <w:r w:rsidRPr="00B90394">
        <w:rPr>
          <w:rStyle w:val="FootnoteReference"/>
          <w:rFonts w:ascii="Times New Roman" w:hAnsi="Times New Roman"/>
          <w:sz w:val="24"/>
        </w:rPr>
        <w:footnoteReference w:id="40"/>
      </w:r>
      <w:r w:rsidR="00000230" w:rsidRPr="00B90394">
        <w:rPr>
          <w:rFonts w:ascii="Times New Roman" w:hAnsi="Times New Roman"/>
        </w:rPr>
        <w:t xml:space="preserve"> If the interlocutory decision does not concern the admissibility of evidence</w:t>
      </w:r>
      <w:r w:rsidR="005251A8" w:rsidRPr="00B90394">
        <w:rPr>
          <w:rFonts w:ascii="Times New Roman" w:hAnsi="Times New Roman"/>
        </w:rPr>
        <w:t>,</w:t>
      </w:r>
      <w:r w:rsidR="00000230" w:rsidRPr="00B90394">
        <w:rPr>
          <w:rFonts w:ascii="Times New Roman" w:hAnsi="Times New Roman"/>
        </w:rPr>
        <w:t xml:space="preserve"> the trial judge must certify that the decision is </w:t>
      </w:r>
      <w:r w:rsidR="004F2BA8" w:rsidRPr="00B90394">
        <w:rPr>
          <w:rFonts w:ascii="Times New Roman" w:hAnsi="Times New Roman"/>
        </w:rPr>
        <w:t xml:space="preserve">otherwise </w:t>
      </w:r>
      <w:r w:rsidR="00697010" w:rsidRPr="00B90394">
        <w:rPr>
          <w:rFonts w:ascii="Times New Roman" w:hAnsi="Times New Roman"/>
        </w:rPr>
        <w:t xml:space="preserve">of </w:t>
      </w:r>
      <w:r w:rsidR="00000230" w:rsidRPr="00B90394">
        <w:rPr>
          <w:rFonts w:ascii="Times New Roman" w:hAnsi="Times New Roman"/>
        </w:rPr>
        <w:t>sufficient importance to</w:t>
      </w:r>
      <w:r w:rsidR="00F91BDC" w:rsidRPr="00B90394">
        <w:rPr>
          <w:rFonts w:ascii="Times New Roman" w:hAnsi="Times New Roman"/>
        </w:rPr>
        <w:t xml:space="preserve"> the trial</w:t>
      </w:r>
      <w:r w:rsidR="002A7B99" w:rsidRPr="00B90394">
        <w:rPr>
          <w:rFonts w:ascii="Times New Roman" w:hAnsi="Times New Roman"/>
        </w:rPr>
        <w:t xml:space="preserve"> to</w:t>
      </w:r>
      <w:r w:rsidR="00000230" w:rsidRPr="00B90394">
        <w:rPr>
          <w:rFonts w:ascii="Times New Roman" w:hAnsi="Times New Roman"/>
        </w:rPr>
        <w:t xml:space="preserve"> justify it being determined on an interlocutory appeal.</w:t>
      </w:r>
      <w:r w:rsidRPr="00B90394">
        <w:rPr>
          <w:rStyle w:val="FootnoteReference"/>
          <w:rFonts w:ascii="Times New Roman" w:hAnsi="Times New Roman"/>
          <w:sz w:val="24"/>
        </w:rPr>
        <w:footnoteReference w:id="41"/>
      </w:r>
      <w:r w:rsidR="00000230" w:rsidRPr="00B90394">
        <w:rPr>
          <w:rFonts w:ascii="Times New Roman" w:hAnsi="Times New Roman"/>
        </w:rPr>
        <w:t xml:space="preserve"> In either case, if the decision is made after the trial commences</w:t>
      </w:r>
      <w:r w:rsidR="00697010" w:rsidRPr="00B90394">
        <w:rPr>
          <w:rFonts w:ascii="Times New Roman" w:hAnsi="Times New Roman"/>
        </w:rPr>
        <w:t>,</w:t>
      </w:r>
      <w:r w:rsidR="00000230" w:rsidRPr="00B90394">
        <w:rPr>
          <w:rFonts w:ascii="Times New Roman" w:hAnsi="Times New Roman"/>
        </w:rPr>
        <w:t xml:space="preserve"> the trial judge must certify </w:t>
      </w:r>
      <w:r w:rsidR="00C27722" w:rsidRPr="00B90394">
        <w:rPr>
          <w:rFonts w:ascii="Times New Roman" w:hAnsi="Times New Roman"/>
        </w:rPr>
        <w:t xml:space="preserve">either </w:t>
      </w:r>
      <w:r w:rsidR="00000230" w:rsidRPr="00B90394">
        <w:rPr>
          <w:rFonts w:ascii="Times New Roman" w:hAnsi="Times New Roman"/>
        </w:rPr>
        <w:t xml:space="preserve">that the issue the subject of the proposed appeal was not reasonably able to be identified before the trial or </w:t>
      </w:r>
      <w:r w:rsidR="00633D99" w:rsidRPr="00B90394">
        <w:rPr>
          <w:rFonts w:ascii="Times New Roman" w:hAnsi="Times New Roman"/>
        </w:rPr>
        <w:t xml:space="preserve">that </w:t>
      </w:r>
      <w:r w:rsidR="00000230" w:rsidRPr="00B90394">
        <w:rPr>
          <w:rFonts w:ascii="Times New Roman" w:hAnsi="Times New Roman"/>
        </w:rPr>
        <w:t xml:space="preserve">the appealing party was not at fault </w:t>
      </w:r>
      <w:r w:rsidR="00351402" w:rsidRPr="00B90394">
        <w:rPr>
          <w:rFonts w:ascii="Times New Roman" w:hAnsi="Times New Roman"/>
        </w:rPr>
        <w:t>in</w:t>
      </w:r>
      <w:r w:rsidR="00000230" w:rsidRPr="00B90394">
        <w:rPr>
          <w:rFonts w:ascii="Times New Roman" w:hAnsi="Times New Roman"/>
        </w:rPr>
        <w:t xml:space="preserve"> failing to identify that issue.</w:t>
      </w:r>
      <w:r w:rsidRPr="00B90394">
        <w:rPr>
          <w:rStyle w:val="FootnoteReference"/>
          <w:rFonts w:ascii="Times New Roman" w:hAnsi="Times New Roman"/>
          <w:sz w:val="24"/>
        </w:rPr>
        <w:footnoteReference w:id="42"/>
      </w:r>
      <w:r w:rsidR="00000230" w:rsidRPr="00B90394">
        <w:rPr>
          <w:rFonts w:ascii="Times New Roman" w:hAnsi="Times New Roman"/>
        </w:rPr>
        <w:t xml:space="preserve"> The refusal of a trial judge to provide such certification </w:t>
      </w:r>
      <w:r w:rsidR="00F436A5" w:rsidRPr="00B90394">
        <w:rPr>
          <w:rFonts w:ascii="Times New Roman" w:hAnsi="Times New Roman"/>
        </w:rPr>
        <w:t>may</w:t>
      </w:r>
      <w:r w:rsidR="00000230" w:rsidRPr="00B90394">
        <w:rPr>
          <w:rFonts w:ascii="Times New Roman" w:hAnsi="Times New Roman"/>
        </w:rPr>
        <w:t xml:space="preserve"> be the subject of application for review by the Court of Appeal.</w:t>
      </w:r>
      <w:r w:rsidRPr="00B90394">
        <w:rPr>
          <w:rStyle w:val="FootnoteReference"/>
          <w:rFonts w:ascii="Times New Roman" w:hAnsi="Times New Roman"/>
          <w:sz w:val="24"/>
        </w:rPr>
        <w:footnoteReference w:id="43"/>
      </w:r>
      <w:r w:rsidR="00000230" w:rsidRPr="00B90394">
        <w:rPr>
          <w:rFonts w:ascii="Times New Roman" w:hAnsi="Times New Roman"/>
        </w:rPr>
        <w:t xml:space="preserve"> </w:t>
      </w:r>
    </w:p>
    <w:p w14:paraId="77ACA2DA" w14:textId="1F49452F" w:rsidR="00000230" w:rsidRPr="00B90394" w:rsidRDefault="001A5691" w:rsidP="00B90394">
      <w:pPr>
        <w:pStyle w:val="FixListStyle"/>
        <w:spacing w:after="260" w:line="280" w:lineRule="exact"/>
        <w:ind w:right="0"/>
        <w:jc w:val="both"/>
        <w:rPr>
          <w:rFonts w:ascii="Times New Roman" w:hAnsi="Times New Roman"/>
        </w:rPr>
      </w:pPr>
      <w:r w:rsidRPr="00B90394">
        <w:rPr>
          <w:rFonts w:ascii="Times New Roman" w:hAnsi="Times New Roman"/>
        </w:rPr>
        <w:lastRenderedPageBreak/>
        <w:tab/>
      </w:r>
      <w:r w:rsidR="00000230" w:rsidRPr="00B90394">
        <w:rPr>
          <w:rFonts w:ascii="Times New Roman" w:hAnsi="Times New Roman"/>
        </w:rPr>
        <w:t xml:space="preserve">The Court of Appeal may only grant leave to appeal </w:t>
      </w:r>
      <w:r w:rsidR="0006460D" w:rsidRPr="00B90394">
        <w:rPr>
          <w:rFonts w:ascii="Times New Roman" w:hAnsi="Times New Roman"/>
        </w:rPr>
        <w:t xml:space="preserve">against an interlocutory decision </w:t>
      </w:r>
      <w:r w:rsidR="00000230" w:rsidRPr="00B90394">
        <w:rPr>
          <w:rFonts w:ascii="Times New Roman" w:hAnsi="Times New Roman"/>
        </w:rPr>
        <w:t>if it is satisfied that it is in the interests of justice to do so</w:t>
      </w:r>
      <w:r w:rsidR="00AE164A" w:rsidRPr="00B90394">
        <w:rPr>
          <w:rFonts w:ascii="Times New Roman" w:hAnsi="Times New Roman"/>
        </w:rPr>
        <w:t>,</w:t>
      </w:r>
      <w:r w:rsidR="00000230" w:rsidRPr="00B90394">
        <w:rPr>
          <w:rFonts w:ascii="Times New Roman" w:hAnsi="Times New Roman"/>
        </w:rPr>
        <w:t xml:space="preserve"> having </w:t>
      </w:r>
      <w:r w:rsidR="00697010" w:rsidRPr="00B90394">
        <w:rPr>
          <w:rFonts w:ascii="Times New Roman" w:hAnsi="Times New Roman"/>
        </w:rPr>
        <w:t xml:space="preserve">regard to </w:t>
      </w:r>
      <w:r w:rsidR="00000230" w:rsidRPr="00B90394">
        <w:rPr>
          <w:rFonts w:ascii="Times New Roman" w:hAnsi="Times New Roman"/>
        </w:rPr>
        <w:t>various factors</w:t>
      </w:r>
      <w:r w:rsidR="005C0036" w:rsidRPr="00B90394">
        <w:rPr>
          <w:rFonts w:ascii="Times New Roman" w:hAnsi="Times New Roman"/>
        </w:rPr>
        <w:t>,</w:t>
      </w:r>
      <w:r w:rsidR="00000230" w:rsidRPr="00B90394">
        <w:rPr>
          <w:rFonts w:ascii="Times New Roman" w:hAnsi="Times New Roman"/>
        </w:rPr>
        <w:t xml:space="preserve"> including the extent of </w:t>
      </w:r>
      <w:r w:rsidR="001444E3" w:rsidRPr="00B90394">
        <w:rPr>
          <w:rFonts w:ascii="Times New Roman" w:hAnsi="Times New Roman"/>
        </w:rPr>
        <w:t>any</w:t>
      </w:r>
      <w:r w:rsidR="00000230" w:rsidRPr="00B90394">
        <w:rPr>
          <w:rFonts w:ascii="Times New Roman" w:hAnsi="Times New Roman"/>
        </w:rPr>
        <w:t xml:space="preserve"> disruption or delay to the trial</w:t>
      </w:r>
      <w:r w:rsidR="00697010" w:rsidRPr="00B90394">
        <w:rPr>
          <w:rFonts w:ascii="Times New Roman" w:hAnsi="Times New Roman"/>
        </w:rPr>
        <w:t xml:space="preserve"> </w:t>
      </w:r>
      <w:r w:rsidR="00F177F0" w:rsidRPr="00B90394">
        <w:rPr>
          <w:rFonts w:ascii="Times New Roman" w:hAnsi="Times New Roman"/>
        </w:rPr>
        <w:t xml:space="preserve">process </w:t>
      </w:r>
      <w:r w:rsidR="001444E3" w:rsidRPr="00B90394">
        <w:rPr>
          <w:rFonts w:ascii="Times New Roman" w:hAnsi="Times New Roman"/>
        </w:rPr>
        <w:t xml:space="preserve">that may arise </w:t>
      </w:r>
      <w:r w:rsidR="00697010" w:rsidRPr="00B90394">
        <w:rPr>
          <w:rFonts w:ascii="Times New Roman" w:hAnsi="Times New Roman"/>
        </w:rPr>
        <w:t>and</w:t>
      </w:r>
      <w:r w:rsidR="00000230" w:rsidRPr="00B90394">
        <w:rPr>
          <w:rFonts w:ascii="Times New Roman" w:hAnsi="Times New Roman"/>
        </w:rPr>
        <w:t xml:space="preserve"> whether the determination of the appeal </w:t>
      </w:r>
      <w:r w:rsidR="00A12DF2" w:rsidRPr="00B90394">
        <w:rPr>
          <w:rFonts w:ascii="Times New Roman" w:hAnsi="Times New Roman"/>
        </w:rPr>
        <w:t>may</w:t>
      </w:r>
      <w:r w:rsidR="002A19D3" w:rsidRPr="00B90394">
        <w:rPr>
          <w:rFonts w:ascii="Times New Roman" w:hAnsi="Times New Roman"/>
        </w:rPr>
        <w:t>:</w:t>
      </w:r>
      <w:r w:rsidR="00000230" w:rsidRPr="00B90394">
        <w:rPr>
          <w:rFonts w:ascii="Times New Roman" w:hAnsi="Times New Roman"/>
        </w:rPr>
        <w:t xml:space="preserve"> render the trial unnecessary</w:t>
      </w:r>
      <w:r w:rsidR="002A19D3" w:rsidRPr="00B90394">
        <w:rPr>
          <w:rFonts w:ascii="Times New Roman" w:hAnsi="Times New Roman"/>
        </w:rPr>
        <w:t>;</w:t>
      </w:r>
      <w:r w:rsidR="00000230" w:rsidRPr="00B90394">
        <w:rPr>
          <w:rFonts w:ascii="Times New Roman" w:hAnsi="Times New Roman"/>
        </w:rPr>
        <w:t xml:space="preserve"> substantially reduce the time required for the trial</w:t>
      </w:r>
      <w:r w:rsidR="002A19D3" w:rsidRPr="00B90394">
        <w:rPr>
          <w:rFonts w:ascii="Times New Roman" w:hAnsi="Times New Roman"/>
        </w:rPr>
        <w:t>;</w:t>
      </w:r>
      <w:r w:rsidR="00000230" w:rsidRPr="00B90394">
        <w:rPr>
          <w:rFonts w:ascii="Times New Roman" w:hAnsi="Times New Roman"/>
        </w:rPr>
        <w:t xml:space="preserve"> resolve any issue of law, evidence or procedure that is necessary for the proper conduct of the trial</w:t>
      </w:r>
      <w:r w:rsidR="00406186" w:rsidRPr="00B90394">
        <w:rPr>
          <w:rFonts w:ascii="Times New Roman" w:hAnsi="Times New Roman"/>
        </w:rPr>
        <w:t>;</w:t>
      </w:r>
      <w:r w:rsidR="00000230" w:rsidRPr="00B90394">
        <w:rPr>
          <w:rFonts w:ascii="Times New Roman" w:hAnsi="Times New Roman"/>
        </w:rPr>
        <w:t xml:space="preserve"> or "reduce the likelihood of a successful appeal against conviction in the event that the accused is convicted at trial".</w:t>
      </w:r>
      <w:r w:rsidRPr="00B90394">
        <w:rPr>
          <w:rStyle w:val="FootnoteReference"/>
          <w:rFonts w:ascii="Times New Roman" w:hAnsi="Times New Roman"/>
          <w:sz w:val="24"/>
        </w:rPr>
        <w:footnoteReference w:id="44"/>
      </w:r>
      <w:r w:rsidR="00000230" w:rsidRPr="00B90394">
        <w:rPr>
          <w:rFonts w:ascii="Times New Roman" w:hAnsi="Times New Roman"/>
        </w:rPr>
        <w:t xml:space="preserve"> The Court is precluded from granting leave to appeal after a trial has commenced </w:t>
      </w:r>
      <w:r w:rsidR="007C20AF" w:rsidRPr="00B90394">
        <w:rPr>
          <w:rFonts w:ascii="Times New Roman" w:hAnsi="Times New Roman"/>
        </w:rPr>
        <w:t>"</w:t>
      </w:r>
      <w:r w:rsidR="00000230" w:rsidRPr="00B90394">
        <w:rPr>
          <w:rFonts w:ascii="Times New Roman" w:hAnsi="Times New Roman"/>
        </w:rPr>
        <w:t>unless the reasons for doing so clearly outweigh any disruption to the trial".</w:t>
      </w:r>
      <w:r w:rsidRPr="00B90394">
        <w:rPr>
          <w:rStyle w:val="FootnoteReference"/>
          <w:rFonts w:ascii="Times New Roman" w:hAnsi="Times New Roman"/>
          <w:sz w:val="24"/>
        </w:rPr>
        <w:footnoteReference w:id="45"/>
      </w:r>
      <w:r w:rsidR="00000230" w:rsidRPr="00B90394">
        <w:rPr>
          <w:rFonts w:ascii="Times New Roman" w:hAnsi="Times New Roman"/>
        </w:rPr>
        <w:t xml:space="preserve"> The refusal of a grant of leave does not preclude any other appeal</w:t>
      </w:r>
      <w:r w:rsidR="00697010" w:rsidRPr="00B90394">
        <w:rPr>
          <w:rFonts w:ascii="Times New Roman" w:hAnsi="Times New Roman"/>
        </w:rPr>
        <w:t>,</w:t>
      </w:r>
      <w:r w:rsidR="00000230" w:rsidRPr="00B90394">
        <w:rPr>
          <w:rFonts w:ascii="Times New Roman" w:hAnsi="Times New Roman"/>
        </w:rPr>
        <w:t xml:space="preserve"> such as a conviction appeal</w:t>
      </w:r>
      <w:r w:rsidR="00697010" w:rsidRPr="00B90394">
        <w:rPr>
          <w:rFonts w:ascii="Times New Roman" w:hAnsi="Times New Roman"/>
        </w:rPr>
        <w:t>,</w:t>
      </w:r>
      <w:r w:rsidR="00000230" w:rsidRPr="00B90394">
        <w:rPr>
          <w:rFonts w:ascii="Times New Roman" w:hAnsi="Times New Roman"/>
        </w:rPr>
        <w:t xml:space="preserve"> concerning the issue that was the subject of the proposed appeal.</w:t>
      </w:r>
      <w:r w:rsidRPr="00B90394">
        <w:rPr>
          <w:rStyle w:val="FootnoteReference"/>
          <w:rFonts w:ascii="Times New Roman" w:hAnsi="Times New Roman"/>
          <w:sz w:val="24"/>
        </w:rPr>
        <w:footnoteReference w:id="46"/>
      </w:r>
      <w:r w:rsidR="00000230" w:rsidRPr="00B90394">
        <w:rPr>
          <w:rFonts w:ascii="Times New Roman" w:hAnsi="Times New Roman"/>
        </w:rPr>
        <w:t xml:space="preserve"> </w:t>
      </w:r>
    </w:p>
    <w:p w14:paraId="34F06A46" w14:textId="7DE05E12" w:rsidR="00000230" w:rsidRPr="00B90394" w:rsidRDefault="001A5691"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If leave to appeal is granted, the appeal is determined by reference to the </w:t>
      </w:r>
      <w:r w:rsidR="00697010" w:rsidRPr="00B90394">
        <w:rPr>
          <w:rFonts w:ascii="Times New Roman" w:hAnsi="Times New Roman"/>
        </w:rPr>
        <w:t>evidence</w:t>
      </w:r>
      <w:r w:rsidR="00000230" w:rsidRPr="00B90394">
        <w:rPr>
          <w:rFonts w:ascii="Times New Roman" w:hAnsi="Times New Roman"/>
        </w:rPr>
        <w:t xml:space="preserve"> </w:t>
      </w:r>
      <w:r w:rsidR="005140AA" w:rsidRPr="00B90394">
        <w:rPr>
          <w:rFonts w:ascii="Times New Roman" w:hAnsi="Times New Roman"/>
        </w:rPr>
        <w:t xml:space="preserve">given </w:t>
      </w:r>
      <w:r w:rsidR="00000230" w:rsidRPr="00B90394">
        <w:rPr>
          <w:rFonts w:ascii="Times New Roman" w:hAnsi="Times New Roman"/>
        </w:rPr>
        <w:t>before the trial judge</w:t>
      </w:r>
      <w:r w:rsidR="00E236E2" w:rsidRPr="00B90394">
        <w:rPr>
          <w:rFonts w:ascii="Times New Roman" w:hAnsi="Times New Roman"/>
        </w:rPr>
        <w:t>,</w:t>
      </w:r>
      <w:r w:rsidR="00000230" w:rsidRPr="00B90394">
        <w:rPr>
          <w:rFonts w:ascii="Times New Roman" w:hAnsi="Times New Roman"/>
        </w:rPr>
        <w:t xml:space="preserve"> unless the Court of Appeal grants leave to adduce additional evidence.</w:t>
      </w:r>
      <w:r w:rsidRPr="00B90394">
        <w:rPr>
          <w:rStyle w:val="FootnoteReference"/>
          <w:rFonts w:ascii="Times New Roman" w:hAnsi="Times New Roman"/>
          <w:sz w:val="24"/>
        </w:rPr>
        <w:footnoteReference w:id="47"/>
      </w:r>
      <w:r w:rsidR="00000230" w:rsidRPr="00B90394">
        <w:rPr>
          <w:rFonts w:ascii="Times New Roman" w:hAnsi="Times New Roman"/>
        </w:rPr>
        <w:t xml:space="preserve"> The Court of Appeal </w:t>
      </w:r>
      <w:r w:rsidR="008F66ED" w:rsidRPr="00B90394">
        <w:rPr>
          <w:rFonts w:ascii="Times New Roman" w:hAnsi="Times New Roman"/>
        </w:rPr>
        <w:t>"</w:t>
      </w:r>
      <w:r w:rsidR="00000230" w:rsidRPr="00B90394">
        <w:rPr>
          <w:rFonts w:ascii="Times New Roman" w:hAnsi="Times New Roman"/>
        </w:rPr>
        <w:t>may affirm or set aside the interlocutory decision</w:t>
      </w:r>
      <w:r w:rsidR="008F66ED" w:rsidRPr="00B90394">
        <w:rPr>
          <w:rFonts w:ascii="Times New Roman" w:hAnsi="Times New Roman"/>
        </w:rPr>
        <w:t>"</w:t>
      </w:r>
      <w:r w:rsidR="00000230" w:rsidRPr="00B90394">
        <w:rPr>
          <w:rFonts w:ascii="Times New Roman" w:hAnsi="Times New Roman"/>
        </w:rPr>
        <w:t xml:space="preserve"> and</w:t>
      </w:r>
      <w:r w:rsidR="00697010" w:rsidRPr="00B90394">
        <w:rPr>
          <w:rFonts w:ascii="Times New Roman" w:hAnsi="Times New Roman"/>
        </w:rPr>
        <w:t>,</w:t>
      </w:r>
      <w:r w:rsidR="00000230" w:rsidRPr="00B90394">
        <w:rPr>
          <w:rFonts w:ascii="Times New Roman" w:hAnsi="Times New Roman"/>
        </w:rPr>
        <w:t xml:space="preserve"> if the decision is set aside</w:t>
      </w:r>
      <w:r w:rsidR="001A176B" w:rsidRPr="00B90394">
        <w:rPr>
          <w:rFonts w:ascii="Times New Roman" w:hAnsi="Times New Roman"/>
        </w:rPr>
        <w:t>,</w:t>
      </w:r>
      <w:r w:rsidR="00000230" w:rsidRPr="00B90394">
        <w:rPr>
          <w:rFonts w:ascii="Times New Roman" w:hAnsi="Times New Roman"/>
        </w:rPr>
        <w:t xml:space="preserve"> the Court </w:t>
      </w:r>
      <w:r w:rsidR="007F3C27" w:rsidRPr="00B90394">
        <w:rPr>
          <w:rFonts w:ascii="Times New Roman" w:hAnsi="Times New Roman"/>
        </w:rPr>
        <w:t>"</w:t>
      </w:r>
      <w:r w:rsidR="00000230" w:rsidRPr="00B90394">
        <w:rPr>
          <w:rFonts w:ascii="Times New Roman" w:hAnsi="Times New Roman"/>
        </w:rPr>
        <w:t xml:space="preserve">may make any other decision that </w:t>
      </w:r>
      <w:r w:rsidR="0045495D" w:rsidRPr="00B90394">
        <w:rPr>
          <w:rFonts w:ascii="Times New Roman" w:hAnsi="Times New Roman"/>
        </w:rPr>
        <w:t>[it]</w:t>
      </w:r>
      <w:r w:rsidR="00000230" w:rsidRPr="00B90394">
        <w:rPr>
          <w:rFonts w:ascii="Times New Roman" w:hAnsi="Times New Roman"/>
        </w:rPr>
        <w:t xml:space="preserve"> considers ought to have been made</w:t>
      </w:r>
      <w:r w:rsidR="007F3C27" w:rsidRPr="00B90394">
        <w:rPr>
          <w:rFonts w:ascii="Times New Roman" w:hAnsi="Times New Roman"/>
        </w:rPr>
        <w:t>"</w:t>
      </w:r>
      <w:r w:rsidR="00000230" w:rsidRPr="00B90394">
        <w:rPr>
          <w:rFonts w:ascii="Times New Roman" w:hAnsi="Times New Roman"/>
        </w:rPr>
        <w:t xml:space="preserve"> or </w:t>
      </w:r>
      <w:r w:rsidR="001020B2" w:rsidRPr="00B90394">
        <w:rPr>
          <w:rFonts w:ascii="Times New Roman" w:hAnsi="Times New Roman"/>
        </w:rPr>
        <w:t xml:space="preserve">may </w:t>
      </w:r>
      <w:r w:rsidR="00000230" w:rsidRPr="00B90394">
        <w:rPr>
          <w:rFonts w:ascii="Times New Roman" w:hAnsi="Times New Roman"/>
        </w:rPr>
        <w:t>remit the matter to the court which made the interlocutory decision</w:t>
      </w:r>
      <w:r w:rsidR="0024689F" w:rsidRPr="00B90394">
        <w:rPr>
          <w:rFonts w:ascii="Times New Roman" w:hAnsi="Times New Roman"/>
        </w:rPr>
        <w:t xml:space="preserve"> for determination</w:t>
      </w:r>
      <w:r w:rsidR="00000230" w:rsidRPr="00B90394">
        <w:rPr>
          <w:rFonts w:ascii="Times New Roman" w:hAnsi="Times New Roman"/>
        </w:rPr>
        <w:t>.</w:t>
      </w:r>
      <w:r w:rsidRPr="00B90394">
        <w:rPr>
          <w:rStyle w:val="FootnoteReference"/>
          <w:rFonts w:ascii="Times New Roman" w:hAnsi="Times New Roman"/>
          <w:sz w:val="24"/>
        </w:rPr>
        <w:footnoteReference w:id="48"/>
      </w:r>
      <w:r w:rsidR="00000230" w:rsidRPr="00B90394">
        <w:rPr>
          <w:rFonts w:ascii="Times New Roman" w:hAnsi="Times New Roman"/>
        </w:rPr>
        <w:t xml:space="preserve"> These statutory provisions confirm that the Court of Appeal undertakes an appeal by way of rehearing.</w:t>
      </w:r>
      <w:r w:rsidRPr="00B90394">
        <w:rPr>
          <w:rStyle w:val="FootnoteReference"/>
          <w:rFonts w:ascii="Times New Roman" w:hAnsi="Times New Roman"/>
          <w:sz w:val="24"/>
        </w:rPr>
        <w:footnoteReference w:id="49"/>
      </w:r>
      <w:r w:rsidR="00000230" w:rsidRPr="00B90394">
        <w:rPr>
          <w:rFonts w:ascii="Times New Roman" w:hAnsi="Times New Roman"/>
        </w:rPr>
        <w:t xml:space="preserve"> </w:t>
      </w:r>
    </w:p>
    <w:p w14:paraId="7E41EBF8" w14:textId="65791E27" w:rsidR="00697010" w:rsidRPr="00B90394" w:rsidRDefault="001A5691"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As the second</w:t>
      </w:r>
      <w:r w:rsidR="00697010" w:rsidRPr="00B90394">
        <w:rPr>
          <w:rFonts w:ascii="Times New Roman" w:hAnsi="Times New Roman"/>
        </w:rPr>
        <w:t>ary</w:t>
      </w:r>
      <w:r w:rsidR="00000230" w:rsidRPr="00B90394">
        <w:rPr>
          <w:rFonts w:ascii="Times New Roman" w:hAnsi="Times New Roman"/>
        </w:rPr>
        <w:t xml:space="preserve"> materials relating to the introduction of the </w:t>
      </w:r>
      <w:r w:rsidR="00000230" w:rsidRPr="00B90394">
        <w:rPr>
          <w:rFonts w:ascii="Times New Roman" w:hAnsi="Times New Roman"/>
          <w:i/>
          <w:iCs/>
        </w:rPr>
        <w:t>Criminal Procedure Act</w:t>
      </w:r>
      <w:r w:rsidR="00000230" w:rsidRPr="00B90394">
        <w:rPr>
          <w:rFonts w:ascii="Times New Roman" w:hAnsi="Times New Roman"/>
        </w:rPr>
        <w:t xml:space="preserve"> confirm,</w:t>
      </w:r>
      <w:r w:rsidRPr="00B90394">
        <w:rPr>
          <w:rStyle w:val="FootnoteReference"/>
          <w:rFonts w:ascii="Times New Roman" w:hAnsi="Times New Roman"/>
          <w:sz w:val="24"/>
        </w:rPr>
        <w:footnoteReference w:id="50"/>
      </w:r>
      <w:r w:rsidR="00000230" w:rsidRPr="00B90394">
        <w:rPr>
          <w:rFonts w:ascii="Times New Roman" w:hAnsi="Times New Roman"/>
        </w:rPr>
        <w:t xml:space="preserve"> the statutory provisions requiring certification by the trial judge before a party ma</w:t>
      </w:r>
      <w:r w:rsidR="00F727FE" w:rsidRPr="00B90394">
        <w:rPr>
          <w:rFonts w:ascii="Times New Roman" w:hAnsi="Times New Roman"/>
        </w:rPr>
        <w:t>y</w:t>
      </w:r>
      <w:r w:rsidR="00000230" w:rsidRPr="00B90394">
        <w:rPr>
          <w:rFonts w:ascii="Times New Roman" w:hAnsi="Times New Roman"/>
        </w:rPr>
        <w:t xml:space="preserve"> seek leave to appeal</w:t>
      </w:r>
      <w:r w:rsidR="003B4EF4" w:rsidRPr="00B90394">
        <w:rPr>
          <w:rFonts w:ascii="Times New Roman" w:hAnsi="Times New Roman"/>
        </w:rPr>
        <w:t>,</w:t>
      </w:r>
      <w:r w:rsidR="00000230" w:rsidRPr="00B90394">
        <w:rPr>
          <w:rFonts w:ascii="Times New Roman" w:hAnsi="Times New Roman"/>
        </w:rPr>
        <w:t xml:space="preserve"> and specifying the matters to which the Court of Appeal may have regard in determining whether to grant leave to </w:t>
      </w:r>
      <w:r w:rsidR="00000230" w:rsidRPr="00B90394">
        <w:rPr>
          <w:rFonts w:ascii="Times New Roman" w:hAnsi="Times New Roman"/>
        </w:rPr>
        <w:lastRenderedPageBreak/>
        <w:t>appeal</w:t>
      </w:r>
      <w:r w:rsidR="003B4EF4" w:rsidRPr="00B90394">
        <w:rPr>
          <w:rFonts w:ascii="Times New Roman" w:hAnsi="Times New Roman"/>
        </w:rPr>
        <w:t>,</w:t>
      </w:r>
      <w:r w:rsidR="00000230" w:rsidRPr="00B90394">
        <w:rPr>
          <w:rFonts w:ascii="Times New Roman" w:hAnsi="Times New Roman"/>
        </w:rPr>
        <w:t xml:space="preserve"> seek to balance the desirability of allowing interlocutory appeals that are genuinely likely to reduce delay against the </w:t>
      </w:r>
      <w:r w:rsidR="00697010" w:rsidRPr="00B90394">
        <w:rPr>
          <w:rFonts w:ascii="Times New Roman" w:hAnsi="Times New Roman"/>
        </w:rPr>
        <w:t xml:space="preserve">consequences of </w:t>
      </w:r>
      <w:r w:rsidR="00000230" w:rsidRPr="00B90394">
        <w:rPr>
          <w:rFonts w:ascii="Times New Roman" w:hAnsi="Times New Roman"/>
        </w:rPr>
        <w:t>fragmenti</w:t>
      </w:r>
      <w:r w:rsidR="00697010" w:rsidRPr="00B90394">
        <w:rPr>
          <w:rFonts w:ascii="Times New Roman" w:hAnsi="Times New Roman"/>
        </w:rPr>
        <w:t xml:space="preserve">ng the process </w:t>
      </w:r>
      <w:r w:rsidR="00000230" w:rsidRPr="00B90394">
        <w:rPr>
          <w:rFonts w:ascii="Times New Roman" w:hAnsi="Times New Roman"/>
        </w:rPr>
        <w:t xml:space="preserve">of a criminal trial. Nevertheless, nothing in these statutory provisions provides any support for </w:t>
      </w:r>
      <w:r w:rsidR="00697010" w:rsidRPr="00B90394">
        <w:rPr>
          <w:rFonts w:ascii="Times New Roman" w:hAnsi="Times New Roman"/>
        </w:rPr>
        <w:t xml:space="preserve">applying a different standard to </w:t>
      </w:r>
      <w:r w:rsidR="00000230" w:rsidRPr="00B90394">
        <w:rPr>
          <w:rFonts w:ascii="Times New Roman" w:hAnsi="Times New Roman"/>
        </w:rPr>
        <w:t xml:space="preserve">the review undertaken by the Court of Appeal </w:t>
      </w:r>
      <w:r w:rsidR="00833D73" w:rsidRPr="00B90394">
        <w:rPr>
          <w:rFonts w:ascii="Times New Roman" w:hAnsi="Times New Roman"/>
        </w:rPr>
        <w:t>of</w:t>
      </w:r>
      <w:r w:rsidR="00B973B6" w:rsidRPr="00B90394">
        <w:rPr>
          <w:rFonts w:ascii="Times New Roman" w:hAnsi="Times New Roman"/>
        </w:rPr>
        <w:t xml:space="preserve"> </w:t>
      </w:r>
      <w:r w:rsidR="00000230" w:rsidRPr="00B90394">
        <w:rPr>
          <w:rFonts w:ascii="Times New Roman" w:hAnsi="Times New Roman"/>
        </w:rPr>
        <w:t>a decision under s</w:t>
      </w:r>
      <w:r w:rsidRPr="00B90394">
        <w:rPr>
          <w:rFonts w:ascii="Times New Roman" w:hAnsi="Times New Roman"/>
        </w:rPr>
        <w:t> </w:t>
      </w:r>
      <w:r w:rsidR="00000230" w:rsidRPr="00B90394">
        <w:rPr>
          <w:rFonts w:ascii="Times New Roman" w:hAnsi="Times New Roman"/>
        </w:rPr>
        <w:t xml:space="preserve">137 of the </w:t>
      </w:r>
      <w:r w:rsidR="00000230" w:rsidRPr="00B90394">
        <w:rPr>
          <w:rFonts w:ascii="Times New Roman" w:hAnsi="Times New Roman"/>
          <w:i/>
          <w:iCs/>
        </w:rPr>
        <w:t>Evidence Act</w:t>
      </w:r>
      <w:r w:rsidR="00000230" w:rsidRPr="00B90394">
        <w:rPr>
          <w:rFonts w:ascii="Times New Roman" w:hAnsi="Times New Roman"/>
        </w:rPr>
        <w:t xml:space="preserve"> once leave to appeal has been granted</w:t>
      </w:r>
      <w:r w:rsidR="00697010" w:rsidRPr="00B90394">
        <w:rPr>
          <w:rFonts w:ascii="Times New Roman" w:hAnsi="Times New Roman"/>
        </w:rPr>
        <w:t xml:space="preserve"> to that which follows from the nature of the decision itself</w:t>
      </w:r>
      <w:r w:rsidR="00000230" w:rsidRPr="00B90394">
        <w:rPr>
          <w:rFonts w:ascii="Times New Roman" w:hAnsi="Times New Roman"/>
        </w:rPr>
        <w:t>. It may be that</w:t>
      </w:r>
      <w:r w:rsidR="00697010" w:rsidRPr="00B90394">
        <w:rPr>
          <w:rFonts w:ascii="Times New Roman" w:hAnsi="Times New Roman"/>
        </w:rPr>
        <w:t>,</w:t>
      </w:r>
      <w:r w:rsidR="00000230" w:rsidRPr="00B90394">
        <w:rPr>
          <w:rFonts w:ascii="Times New Roman" w:hAnsi="Times New Roman"/>
        </w:rPr>
        <w:t xml:space="preserve"> in determining whether to grant leave to appeal from such a decision</w:t>
      </w:r>
      <w:r w:rsidR="00697010" w:rsidRPr="00B90394">
        <w:rPr>
          <w:rFonts w:ascii="Times New Roman" w:hAnsi="Times New Roman"/>
        </w:rPr>
        <w:t>,</w:t>
      </w:r>
      <w:r w:rsidR="00000230" w:rsidRPr="00B90394">
        <w:rPr>
          <w:rFonts w:ascii="Times New Roman" w:hAnsi="Times New Roman"/>
        </w:rPr>
        <w:t xml:space="preserve"> the Court of Appeal will consider whether the trial judge</w:t>
      </w:r>
      <w:r w:rsidR="00E672EA" w:rsidRPr="00B90394">
        <w:rPr>
          <w:rFonts w:ascii="Times New Roman" w:hAnsi="Times New Roman"/>
        </w:rPr>
        <w:t>'</w:t>
      </w:r>
      <w:r w:rsidR="00000230" w:rsidRPr="00B90394">
        <w:rPr>
          <w:rFonts w:ascii="Times New Roman" w:hAnsi="Times New Roman"/>
        </w:rPr>
        <w:t xml:space="preserve">s decision reveals some error of principle which, along with the various other factors, may weigh in the determination of whether the Court is satisfied that the interests of justice warrant a grant of leave to appeal. However, if leave </w:t>
      </w:r>
      <w:r w:rsidR="00697010" w:rsidRPr="00B90394">
        <w:rPr>
          <w:rFonts w:ascii="Times New Roman" w:hAnsi="Times New Roman"/>
        </w:rPr>
        <w:t xml:space="preserve">to appeal </w:t>
      </w:r>
      <w:r w:rsidR="00000230" w:rsidRPr="00B90394">
        <w:rPr>
          <w:rFonts w:ascii="Times New Roman" w:hAnsi="Times New Roman"/>
        </w:rPr>
        <w:t>is granted, then</w:t>
      </w:r>
      <w:r w:rsidR="00BA4D96" w:rsidRPr="00B90394">
        <w:rPr>
          <w:rFonts w:ascii="Times New Roman" w:hAnsi="Times New Roman"/>
        </w:rPr>
        <w:t>,</w:t>
      </w:r>
      <w:r w:rsidR="00000230" w:rsidRPr="00B90394">
        <w:rPr>
          <w:rFonts w:ascii="Times New Roman" w:hAnsi="Times New Roman"/>
        </w:rPr>
        <w:t xml:space="preserve"> in determining whether to affirm or set aside the interlocutory decision</w:t>
      </w:r>
      <w:r w:rsidR="003F4EEB" w:rsidRPr="00B90394">
        <w:rPr>
          <w:rFonts w:ascii="Times New Roman" w:hAnsi="Times New Roman"/>
        </w:rPr>
        <w:t>,</w:t>
      </w:r>
      <w:r w:rsidRPr="00B90394">
        <w:rPr>
          <w:rStyle w:val="FootnoteReference"/>
          <w:rFonts w:ascii="Times New Roman" w:hAnsi="Times New Roman"/>
          <w:sz w:val="24"/>
        </w:rPr>
        <w:footnoteReference w:id="51"/>
      </w:r>
      <w:r w:rsidR="00000230" w:rsidRPr="00B90394">
        <w:rPr>
          <w:rFonts w:ascii="Times New Roman" w:hAnsi="Times New Roman"/>
        </w:rPr>
        <w:t xml:space="preserve"> the Court of Appeal is required to </w:t>
      </w:r>
      <w:r w:rsidR="002525F7" w:rsidRPr="00B90394">
        <w:rPr>
          <w:rFonts w:ascii="Times New Roman" w:hAnsi="Times New Roman"/>
        </w:rPr>
        <w:t xml:space="preserve">apply the standard of review dictated by the nature of the decision the subject of the appeal. </w:t>
      </w:r>
      <w:r w:rsidR="00000230" w:rsidRPr="00B90394">
        <w:rPr>
          <w:rFonts w:ascii="Times New Roman" w:hAnsi="Times New Roman"/>
        </w:rPr>
        <w:t>For the reasons already explained</w:t>
      </w:r>
      <w:r w:rsidR="00E92740" w:rsidRPr="00B90394">
        <w:rPr>
          <w:rFonts w:ascii="Times New Roman" w:hAnsi="Times New Roman"/>
        </w:rPr>
        <w:t>,</w:t>
      </w:r>
      <w:r w:rsidR="00000230" w:rsidRPr="00B90394">
        <w:rPr>
          <w:rFonts w:ascii="Times New Roman" w:hAnsi="Times New Roman"/>
        </w:rPr>
        <w:t xml:space="preserve"> </w:t>
      </w:r>
      <w:r w:rsidR="00335E85" w:rsidRPr="00B90394">
        <w:rPr>
          <w:rFonts w:ascii="Times New Roman" w:hAnsi="Times New Roman"/>
        </w:rPr>
        <w:t xml:space="preserve">where the decision the subject of the appeal </w:t>
      </w:r>
      <w:r w:rsidR="00F379D4" w:rsidRPr="00B90394">
        <w:rPr>
          <w:rFonts w:ascii="Times New Roman" w:hAnsi="Times New Roman"/>
        </w:rPr>
        <w:t xml:space="preserve">concerns whether evidence should be excluded under s 137 </w:t>
      </w:r>
      <w:r w:rsidR="002525F7" w:rsidRPr="00B90394">
        <w:rPr>
          <w:rFonts w:ascii="Times New Roman" w:hAnsi="Times New Roman"/>
        </w:rPr>
        <w:t xml:space="preserve">of the </w:t>
      </w:r>
      <w:r w:rsidR="002525F7" w:rsidRPr="00B90394">
        <w:rPr>
          <w:rFonts w:ascii="Times New Roman" w:hAnsi="Times New Roman"/>
          <w:i/>
          <w:iCs/>
        </w:rPr>
        <w:t>Evidence Act</w:t>
      </w:r>
      <w:r w:rsidR="00E92740" w:rsidRPr="00B90394">
        <w:rPr>
          <w:rFonts w:ascii="Times New Roman" w:hAnsi="Times New Roman"/>
        </w:rPr>
        <w:t>,</w:t>
      </w:r>
      <w:r w:rsidR="002525F7" w:rsidRPr="00B90394">
        <w:rPr>
          <w:rFonts w:ascii="Times New Roman" w:hAnsi="Times New Roman"/>
        </w:rPr>
        <w:t xml:space="preserve"> </w:t>
      </w:r>
      <w:r w:rsidR="00E71BB0" w:rsidRPr="00B90394">
        <w:rPr>
          <w:rFonts w:ascii="Times New Roman" w:hAnsi="Times New Roman"/>
        </w:rPr>
        <w:t xml:space="preserve">that standard is the </w:t>
      </w:r>
      <w:r w:rsidR="00000230" w:rsidRPr="00B90394">
        <w:rPr>
          <w:rFonts w:ascii="Times New Roman" w:hAnsi="Times New Roman"/>
        </w:rPr>
        <w:t xml:space="preserve">correctness standard. </w:t>
      </w:r>
    </w:p>
    <w:p w14:paraId="0629DA9F" w14:textId="22226F58" w:rsidR="00000230" w:rsidRPr="00B90394" w:rsidRDefault="00CB531E"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outcome of </w:t>
      </w:r>
      <w:r w:rsidR="00697010" w:rsidRPr="00B90394">
        <w:rPr>
          <w:rFonts w:ascii="Times New Roman" w:hAnsi="Times New Roman"/>
        </w:rPr>
        <w:t>an interlocutory</w:t>
      </w:r>
      <w:r w:rsidR="00000230" w:rsidRPr="00B90394">
        <w:rPr>
          <w:rFonts w:ascii="Times New Roman" w:hAnsi="Times New Roman"/>
        </w:rPr>
        <w:t xml:space="preserve"> appeal </w:t>
      </w:r>
      <w:r w:rsidR="00697010" w:rsidRPr="00B90394">
        <w:rPr>
          <w:rFonts w:ascii="Times New Roman" w:hAnsi="Times New Roman"/>
        </w:rPr>
        <w:t xml:space="preserve">under these provisions </w:t>
      </w:r>
      <w:r w:rsidR="00000230" w:rsidRPr="00B90394">
        <w:rPr>
          <w:rFonts w:ascii="Times New Roman" w:hAnsi="Times New Roman"/>
        </w:rPr>
        <w:t>will still be an interlocutory decision which</w:t>
      </w:r>
      <w:r w:rsidR="00697010" w:rsidRPr="00B90394">
        <w:rPr>
          <w:rFonts w:ascii="Times New Roman" w:hAnsi="Times New Roman"/>
        </w:rPr>
        <w:t>,</w:t>
      </w:r>
      <w:r w:rsidR="00000230" w:rsidRPr="00B90394">
        <w:rPr>
          <w:rFonts w:ascii="Times New Roman" w:hAnsi="Times New Roman"/>
        </w:rPr>
        <w:t xml:space="preserve"> like all such decisions</w:t>
      </w:r>
      <w:r w:rsidR="00697010" w:rsidRPr="00B90394">
        <w:rPr>
          <w:rFonts w:ascii="Times New Roman" w:hAnsi="Times New Roman"/>
        </w:rPr>
        <w:t>,</w:t>
      </w:r>
      <w:r w:rsidR="00000230" w:rsidRPr="00B90394">
        <w:rPr>
          <w:rFonts w:ascii="Times New Roman" w:hAnsi="Times New Roman"/>
        </w:rPr>
        <w:t xml:space="preserve"> may be altered or reversed at trial</w:t>
      </w:r>
      <w:r w:rsidR="00C1016F" w:rsidRPr="00B90394">
        <w:rPr>
          <w:rFonts w:ascii="Times New Roman" w:hAnsi="Times New Roman"/>
        </w:rPr>
        <w:t>,</w:t>
      </w:r>
      <w:r w:rsidR="002038E4" w:rsidRPr="00B90394">
        <w:rPr>
          <w:rFonts w:ascii="Times New Roman" w:hAnsi="Times New Roman"/>
        </w:rPr>
        <w:t xml:space="preserve"> at least</w:t>
      </w:r>
      <w:r w:rsidR="00000230" w:rsidRPr="00B90394">
        <w:rPr>
          <w:rFonts w:ascii="Times New Roman" w:hAnsi="Times New Roman"/>
        </w:rPr>
        <w:t xml:space="preserve"> if circumstances change.</w:t>
      </w:r>
      <w:r w:rsidR="001A5691" w:rsidRPr="00B90394">
        <w:rPr>
          <w:rStyle w:val="FootnoteReference"/>
          <w:rFonts w:ascii="Times New Roman" w:hAnsi="Times New Roman"/>
          <w:sz w:val="24"/>
        </w:rPr>
        <w:footnoteReference w:id="52"/>
      </w:r>
      <w:r w:rsidR="00000230" w:rsidRPr="00B90394">
        <w:rPr>
          <w:rFonts w:ascii="Times New Roman" w:hAnsi="Times New Roman"/>
        </w:rPr>
        <w:t xml:space="preserve"> Even so</w:t>
      </w:r>
      <w:r w:rsidR="006B213B" w:rsidRPr="00B90394">
        <w:rPr>
          <w:rFonts w:ascii="Times New Roman" w:hAnsi="Times New Roman"/>
        </w:rPr>
        <w:t>,</w:t>
      </w:r>
      <w:r w:rsidR="00000230" w:rsidRPr="00B90394">
        <w:rPr>
          <w:rFonts w:ascii="Times New Roman" w:hAnsi="Times New Roman"/>
        </w:rPr>
        <w:t xml:space="preserve"> the application of the same standard of review at an interlocutory stage if leave is granted and on appeal after conviction will minimise the potential for inconsistent rulings</w:t>
      </w:r>
      <w:r w:rsidR="00697010" w:rsidRPr="00B90394">
        <w:rPr>
          <w:rFonts w:ascii="Times New Roman" w:hAnsi="Times New Roman"/>
        </w:rPr>
        <w:t xml:space="preserve">. It will </w:t>
      </w:r>
      <w:r w:rsidR="00000230" w:rsidRPr="00B90394">
        <w:rPr>
          <w:rFonts w:ascii="Times New Roman" w:hAnsi="Times New Roman"/>
        </w:rPr>
        <w:t xml:space="preserve">enhance that part of the statutory scheme for interlocutory appeals that supports the grant of leave to appeal </w:t>
      </w:r>
      <w:r w:rsidR="00697010" w:rsidRPr="00B90394">
        <w:rPr>
          <w:rFonts w:ascii="Times New Roman" w:hAnsi="Times New Roman"/>
        </w:rPr>
        <w:t xml:space="preserve">in circumstances where </w:t>
      </w:r>
      <w:r w:rsidR="00C15E9F" w:rsidRPr="00B90394">
        <w:rPr>
          <w:rFonts w:ascii="Times New Roman" w:hAnsi="Times New Roman"/>
        </w:rPr>
        <w:t xml:space="preserve">the </w:t>
      </w:r>
      <w:r w:rsidR="00697010" w:rsidRPr="00B90394">
        <w:rPr>
          <w:rFonts w:ascii="Times New Roman" w:hAnsi="Times New Roman"/>
        </w:rPr>
        <w:t>hearing of an interlocutory appeal</w:t>
      </w:r>
      <w:r w:rsidR="00000230" w:rsidRPr="00B90394">
        <w:rPr>
          <w:rFonts w:ascii="Times New Roman" w:hAnsi="Times New Roman"/>
        </w:rPr>
        <w:t xml:space="preserve"> will reduce the likelihood of a successful appeal against conviction </w:t>
      </w:r>
      <w:proofErr w:type="gramStart"/>
      <w:r w:rsidR="00000230" w:rsidRPr="00B90394">
        <w:rPr>
          <w:rFonts w:ascii="Times New Roman" w:hAnsi="Times New Roman"/>
        </w:rPr>
        <w:t>in the event that</w:t>
      </w:r>
      <w:proofErr w:type="gramEnd"/>
      <w:r w:rsidR="00000230" w:rsidRPr="00B90394">
        <w:rPr>
          <w:rFonts w:ascii="Times New Roman" w:hAnsi="Times New Roman"/>
        </w:rPr>
        <w:t xml:space="preserve"> the accused is convicted at trial.</w:t>
      </w:r>
      <w:r w:rsidR="001A5691" w:rsidRPr="00B90394">
        <w:rPr>
          <w:rStyle w:val="FootnoteReference"/>
          <w:rFonts w:ascii="Times New Roman" w:hAnsi="Times New Roman"/>
          <w:sz w:val="24"/>
        </w:rPr>
        <w:footnoteReference w:id="53"/>
      </w:r>
      <w:r w:rsidR="00000230" w:rsidRPr="00B90394">
        <w:rPr>
          <w:rFonts w:ascii="Times New Roman" w:hAnsi="Times New Roman"/>
        </w:rPr>
        <w:t xml:space="preserve"> </w:t>
      </w:r>
    </w:p>
    <w:p w14:paraId="0EB4BB6A" w14:textId="0FA4EC87" w:rsidR="00000230" w:rsidRPr="00B90394" w:rsidRDefault="001A5691"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In this case</w:t>
      </w:r>
      <w:r w:rsidRPr="00B90394">
        <w:rPr>
          <w:rFonts w:ascii="Times New Roman" w:hAnsi="Times New Roman"/>
        </w:rPr>
        <w:t>,</w:t>
      </w:r>
      <w:r w:rsidR="00000230" w:rsidRPr="00B90394">
        <w:rPr>
          <w:rFonts w:ascii="Times New Roman" w:hAnsi="Times New Roman"/>
        </w:rPr>
        <w:t xml:space="preserve"> the Court of Appeal granted leave to appeal and thus was required to determine for itself whether the evidence of the representations should be excluded under s</w:t>
      </w:r>
      <w:r w:rsidRPr="00B90394">
        <w:rPr>
          <w:rFonts w:ascii="Times New Roman" w:hAnsi="Times New Roman"/>
        </w:rPr>
        <w:t> </w:t>
      </w:r>
      <w:r w:rsidR="00000230" w:rsidRPr="00B90394">
        <w:rPr>
          <w:rFonts w:ascii="Times New Roman" w:hAnsi="Times New Roman"/>
        </w:rPr>
        <w:t>137. The appellant contend</w:t>
      </w:r>
      <w:r w:rsidR="007021DE" w:rsidRPr="00B90394">
        <w:rPr>
          <w:rFonts w:ascii="Times New Roman" w:hAnsi="Times New Roman"/>
        </w:rPr>
        <w:t>ed</w:t>
      </w:r>
      <w:r w:rsidR="00000230" w:rsidRPr="00B90394">
        <w:rPr>
          <w:rFonts w:ascii="Times New Roman" w:hAnsi="Times New Roman"/>
        </w:rPr>
        <w:t xml:space="preserve"> that </w:t>
      </w:r>
      <w:r w:rsidR="00752BB0" w:rsidRPr="00B90394">
        <w:rPr>
          <w:rFonts w:ascii="Times New Roman" w:hAnsi="Times New Roman"/>
        </w:rPr>
        <w:t>the Court of Appeal</w:t>
      </w:r>
      <w:r w:rsidR="00000230" w:rsidRPr="00B90394">
        <w:rPr>
          <w:rFonts w:ascii="Times New Roman" w:hAnsi="Times New Roman"/>
        </w:rPr>
        <w:t xml:space="preserve"> did not do so because it referred to </w:t>
      </w:r>
      <w:r w:rsidR="00000230" w:rsidRPr="00B90394">
        <w:rPr>
          <w:rFonts w:ascii="Times New Roman" w:hAnsi="Times New Roman"/>
          <w:i/>
          <w:iCs/>
        </w:rPr>
        <w:t xml:space="preserve">House v </w:t>
      </w:r>
      <w:r w:rsidRPr="00B90394">
        <w:rPr>
          <w:rFonts w:ascii="Times New Roman" w:hAnsi="Times New Roman"/>
          <w:i/>
          <w:iCs/>
        </w:rPr>
        <w:t xml:space="preserve">The </w:t>
      </w:r>
      <w:r w:rsidR="00000230" w:rsidRPr="00B90394">
        <w:rPr>
          <w:rFonts w:ascii="Times New Roman" w:hAnsi="Times New Roman"/>
          <w:i/>
          <w:iCs/>
        </w:rPr>
        <w:t>King</w:t>
      </w:r>
      <w:r w:rsidR="00000230" w:rsidRPr="00B90394">
        <w:rPr>
          <w:rFonts w:ascii="Times New Roman" w:hAnsi="Times New Roman"/>
        </w:rPr>
        <w:t xml:space="preserve"> and concluded that "it was well open" to the trial judge to </w:t>
      </w:r>
      <w:r w:rsidR="00697010" w:rsidRPr="00B90394">
        <w:rPr>
          <w:rFonts w:ascii="Times New Roman" w:hAnsi="Times New Roman"/>
        </w:rPr>
        <w:t xml:space="preserve">find that </w:t>
      </w:r>
      <w:r w:rsidR="00000230" w:rsidRPr="00B90394">
        <w:rPr>
          <w:rFonts w:ascii="Times New Roman" w:hAnsi="Times New Roman"/>
        </w:rPr>
        <w:t xml:space="preserve">the probative value of the evidence of the </w:t>
      </w:r>
      <w:r w:rsidR="00000230" w:rsidRPr="00B90394">
        <w:rPr>
          <w:rFonts w:ascii="Times New Roman" w:hAnsi="Times New Roman"/>
        </w:rPr>
        <w:lastRenderedPageBreak/>
        <w:t>representations was "high"</w:t>
      </w:r>
      <w:r w:rsidR="00E56122" w:rsidRPr="00B90394">
        <w:rPr>
          <w:rStyle w:val="FootnoteReference"/>
          <w:rFonts w:ascii="Times New Roman" w:hAnsi="Times New Roman"/>
          <w:sz w:val="24"/>
        </w:rPr>
        <w:footnoteReference w:id="54"/>
      </w:r>
      <w:r w:rsidR="00000230" w:rsidRPr="00B90394">
        <w:rPr>
          <w:rFonts w:ascii="Times New Roman" w:hAnsi="Times New Roman"/>
        </w:rPr>
        <w:t xml:space="preserve"> and </w:t>
      </w:r>
      <w:r w:rsidR="00647765" w:rsidRPr="00B90394">
        <w:rPr>
          <w:rFonts w:ascii="Times New Roman" w:hAnsi="Times New Roman"/>
        </w:rPr>
        <w:t xml:space="preserve">that it was </w:t>
      </w:r>
      <w:r w:rsidR="00000230" w:rsidRPr="00B90394">
        <w:rPr>
          <w:rFonts w:ascii="Times New Roman" w:hAnsi="Times New Roman"/>
        </w:rPr>
        <w:t>"open to the trial judge to conclude that the danger of any unfair prejudice would not outweigh the probative value of the evidence</w:t>
      </w:r>
      <w:r w:rsidR="00D45A34" w:rsidRPr="00B90394">
        <w:rPr>
          <w:rFonts w:ascii="Times New Roman" w:hAnsi="Times New Roman"/>
        </w:rPr>
        <w:t>"</w:t>
      </w:r>
      <w:r w:rsidR="00000230" w:rsidRPr="00B90394">
        <w:rPr>
          <w:rFonts w:ascii="Times New Roman" w:hAnsi="Times New Roman"/>
        </w:rPr>
        <w:t>.</w:t>
      </w:r>
      <w:r w:rsidR="00E56122" w:rsidRPr="00B90394">
        <w:rPr>
          <w:rStyle w:val="FootnoteReference"/>
          <w:rFonts w:ascii="Times New Roman" w:hAnsi="Times New Roman"/>
          <w:sz w:val="24"/>
        </w:rPr>
        <w:footnoteReference w:id="55"/>
      </w:r>
      <w:r w:rsidR="00000230" w:rsidRPr="00B90394">
        <w:rPr>
          <w:rFonts w:ascii="Times New Roman" w:hAnsi="Times New Roman"/>
        </w:rPr>
        <w:t xml:space="preserve"> However, the </w:t>
      </w:r>
      <w:r w:rsidR="00E56122" w:rsidRPr="00B90394">
        <w:rPr>
          <w:rFonts w:ascii="Times New Roman" w:hAnsi="Times New Roman"/>
        </w:rPr>
        <w:t>r</w:t>
      </w:r>
      <w:r w:rsidR="00000230" w:rsidRPr="00B90394">
        <w:rPr>
          <w:rFonts w:ascii="Times New Roman" w:hAnsi="Times New Roman"/>
        </w:rPr>
        <w:t xml:space="preserve">espondent noted that the Court </w:t>
      </w:r>
      <w:r w:rsidR="00697010" w:rsidRPr="00B90394">
        <w:rPr>
          <w:rFonts w:ascii="Times New Roman" w:hAnsi="Times New Roman"/>
        </w:rPr>
        <w:t xml:space="preserve">of Appeal also found </w:t>
      </w:r>
      <w:r w:rsidR="00000230" w:rsidRPr="00B90394">
        <w:rPr>
          <w:rFonts w:ascii="Times New Roman" w:hAnsi="Times New Roman"/>
        </w:rPr>
        <w:t xml:space="preserve">that "[f]or completeness, we also observe that in our view the trial </w:t>
      </w:r>
      <w:r w:rsidR="00C1016F" w:rsidRPr="00B90394">
        <w:rPr>
          <w:rFonts w:ascii="Times New Roman" w:hAnsi="Times New Roman"/>
        </w:rPr>
        <w:t xml:space="preserve">judge </w:t>
      </w:r>
      <w:r w:rsidR="00000230" w:rsidRPr="00B90394">
        <w:rPr>
          <w:rFonts w:ascii="Times New Roman" w:hAnsi="Times New Roman"/>
        </w:rPr>
        <w:t>was correct not to exclude the evidence pursuant to s</w:t>
      </w:r>
      <w:r w:rsidR="00E56122" w:rsidRPr="00B90394">
        <w:rPr>
          <w:rFonts w:ascii="Times New Roman" w:hAnsi="Times New Roman"/>
        </w:rPr>
        <w:t> </w:t>
      </w:r>
      <w:r w:rsidR="00000230" w:rsidRPr="00B90394">
        <w:rPr>
          <w:rFonts w:ascii="Times New Roman" w:hAnsi="Times New Roman"/>
        </w:rPr>
        <w:t>137"</w:t>
      </w:r>
      <w:r w:rsidR="001A6BD9" w:rsidRPr="00B90394">
        <w:rPr>
          <w:rFonts w:ascii="Times New Roman" w:hAnsi="Times New Roman"/>
        </w:rPr>
        <w:t>.</w:t>
      </w:r>
      <w:r w:rsidR="00E56122" w:rsidRPr="00B90394">
        <w:rPr>
          <w:rStyle w:val="FootnoteReference"/>
          <w:rFonts w:ascii="Times New Roman" w:hAnsi="Times New Roman"/>
          <w:sz w:val="24"/>
        </w:rPr>
        <w:footnoteReference w:id="56"/>
      </w:r>
      <w:r w:rsidR="00000230" w:rsidRPr="00B90394">
        <w:rPr>
          <w:rFonts w:ascii="Times New Roman" w:hAnsi="Times New Roman"/>
        </w:rPr>
        <w:t xml:space="preserve"> The </w:t>
      </w:r>
      <w:r w:rsidR="00E56122" w:rsidRPr="00B90394">
        <w:rPr>
          <w:rFonts w:ascii="Times New Roman" w:hAnsi="Times New Roman"/>
        </w:rPr>
        <w:t>r</w:t>
      </w:r>
      <w:r w:rsidR="00000230" w:rsidRPr="00B90394">
        <w:rPr>
          <w:rFonts w:ascii="Times New Roman" w:hAnsi="Times New Roman"/>
        </w:rPr>
        <w:t>espondent contended that this amounted to a contingent finding that, if the correctness standard was applicable, then the Court of Appeal applied that standard. The appellant contended that this finding was no more than a bare assertion and not</w:t>
      </w:r>
      <w:r w:rsidR="00736E32" w:rsidRPr="00B90394">
        <w:rPr>
          <w:rFonts w:ascii="Times New Roman" w:hAnsi="Times New Roman"/>
        </w:rPr>
        <w:t xml:space="preserve"> a separate basis for the </w:t>
      </w:r>
      <w:r w:rsidR="00000230" w:rsidRPr="00B90394">
        <w:rPr>
          <w:rFonts w:ascii="Times New Roman" w:hAnsi="Times New Roman"/>
        </w:rPr>
        <w:t>Court of Appeal</w:t>
      </w:r>
      <w:r w:rsidR="00E3144C" w:rsidRPr="00B90394">
        <w:rPr>
          <w:rFonts w:ascii="Times New Roman" w:hAnsi="Times New Roman"/>
        </w:rPr>
        <w:t xml:space="preserve"> upholding the trial judge's conclusion in relation to the application of s 137.</w:t>
      </w:r>
      <w:r w:rsidR="00000230" w:rsidRPr="00B90394">
        <w:rPr>
          <w:rFonts w:ascii="Times New Roman" w:hAnsi="Times New Roman"/>
        </w:rPr>
        <w:t xml:space="preserve"> It is not necessary to consider this further because</w:t>
      </w:r>
      <w:r w:rsidR="00864BC1" w:rsidRPr="00B90394">
        <w:rPr>
          <w:rFonts w:ascii="Times New Roman" w:hAnsi="Times New Roman"/>
        </w:rPr>
        <w:t>,</w:t>
      </w:r>
      <w:r w:rsidR="00000230" w:rsidRPr="00B90394">
        <w:rPr>
          <w:rFonts w:ascii="Times New Roman" w:hAnsi="Times New Roman"/>
        </w:rPr>
        <w:t xml:space="preserve"> </w:t>
      </w:r>
      <w:proofErr w:type="gramStart"/>
      <w:r w:rsidR="00000230" w:rsidRPr="00B90394">
        <w:rPr>
          <w:rFonts w:ascii="Times New Roman" w:hAnsi="Times New Roman"/>
        </w:rPr>
        <w:t>for the reasons that</w:t>
      </w:r>
      <w:proofErr w:type="gramEnd"/>
      <w:r w:rsidR="00000230" w:rsidRPr="00B90394">
        <w:rPr>
          <w:rFonts w:ascii="Times New Roman" w:hAnsi="Times New Roman"/>
        </w:rPr>
        <w:t xml:space="preserve"> follow</w:t>
      </w:r>
      <w:r w:rsidR="00AB45A0" w:rsidRPr="00B90394">
        <w:rPr>
          <w:rFonts w:ascii="Times New Roman" w:hAnsi="Times New Roman"/>
        </w:rPr>
        <w:t>,</w:t>
      </w:r>
      <w:r w:rsidR="00000230" w:rsidRPr="00B90394">
        <w:rPr>
          <w:rFonts w:ascii="Times New Roman" w:hAnsi="Times New Roman"/>
        </w:rPr>
        <w:t xml:space="preserve"> the decision of the trial judge to refuse to exclude the evidence under s</w:t>
      </w:r>
      <w:r w:rsidR="00E56122" w:rsidRPr="00B90394">
        <w:rPr>
          <w:rFonts w:ascii="Times New Roman" w:hAnsi="Times New Roman"/>
        </w:rPr>
        <w:t> </w:t>
      </w:r>
      <w:r w:rsidR="00000230" w:rsidRPr="00B90394">
        <w:rPr>
          <w:rFonts w:ascii="Times New Roman" w:hAnsi="Times New Roman"/>
        </w:rPr>
        <w:t>137 was correct.</w:t>
      </w:r>
    </w:p>
    <w:p w14:paraId="46868715" w14:textId="40E24E2F" w:rsidR="00000230" w:rsidRPr="00B90394" w:rsidRDefault="00000230" w:rsidP="00B90394">
      <w:pPr>
        <w:pStyle w:val="HeadingL1"/>
        <w:spacing w:after="260" w:line="280" w:lineRule="exact"/>
        <w:ind w:right="0"/>
        <w:jc w:val="both"/>
        <w:rPr>
          <w:rFonts w:ascii="Times New Roman" w:hAnsi="Times New Roman"/>
        </w:rPr>
      </w:pPr>
      <w:r w:rsidRPr="00B90394">
        <w:rPr>
          <w:rFonts w:ascii="Times New Roman" w:hAnsi="Times New Roman"/>
        </w:rPr>
        <w:t xml:space="preserve">Danger of </w:t>
      </w:r>
      <w:r w:rsidR="00E56122" w:rsidRPr="00B90394">
        <w:rPr>
          <w:rFonts w:ascii="Times New Roman" w:hAnsi="Times New Roman"/>
        </w:rPr>
        <w:t>u</w:t>
      </w:r>
      <w:r w:rsidRPr="00B90394">
        <w:rPr>
          <w:rFonts w:ascii="Times New Roman" w:hAnsi="Times New Roman"/>
        </w:rPr>
        <w:t xml:space="preserve">nfair </w:t>
      </w:r>
      <w:r w:rsidR="00E56122" w:rsidRPr="00B90394">
        <w:rPr>
          <w:rFonts w:ascii="Times New Roman" w:hAnsi="Times New Roman"/>
        </w:rPr>
        <w:t>p</w:t>
      </w:r>
      <w:r w:rsidRPr="00B90394">
        <w:rPr>
          <w:rFonts w:ascii="Times New Roman" w:hAnsi="Times New Roman"/>
        </w:rPr>
        <w:t>rejudice</w:t>
      </w:r>
    </w:p>
    <w:p w14:paraId="31F90599" w14:textId="4F72C379" w:rsidR="00000230" w:rsidRPr="00B90394" w:rsidRDefault="00E56122"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five occasions </w:t>
      </w:r>
      <w:r w:rsidR="00A52CFF" w:rsidRPr="00B90394">
        <w:rPr>
          <w:rFonts w:ascii="Times New Roman" w:hAnsi="Times New Roman"/>
        </w:rPr>
        <w:t xml:space="preserve">on 31 August 2021 when the complainant </w:t>
      </w:r>
      <w:r w:rsidR="00041CFE" w:rsidRPr="00B90394">
        <w:rPr>
          <w:rFonts w:ascii="Times New Roman" w:hAnsi="Times New Roman"/>
        </w:rPr>
        <w:t>made representations the subject of this appeal have been noted.</w:t>
      </w:r>
      <w:r w:rsidR="00697010" w:rsidRPr="00B90394">
        <w:rPr>
          <w:rStyle w:val="FootnoteReference"/>
          <w:rFonts w:ascii="Times New Roman" w:hAnsi="Times New Roman"/>
          <w:sz w:val="24"/>
        </w:rPr>
        <w:footnoteReference w:id="57"/>
      </w:r>
      <w:r w:rsidR="00000230" w:rsidRPr="00B90394">
        <w:rPr>
          <w:rFonts w:ascii="Times New Roman" w:hAnsi="Times New Roman"/>
        </w:rPr>
        <w:t xml:space="preserve"> The representations made to the complainant's mother in a telephone call sometime between 11.30</w:t>
      </w:r>
      <w:r w:rsidRPr="00B90394">
        <w:rPr>
          <w:rFonts w:ascii="Times New Roman" w:hAnsi="Times New Roman"/>
        </w:rPr>
        <w:t> </w:t>
      </w:r>
      <w:r w:rsidR="00000230" w:rsidRPr="00B90394">
        <w:rPr>
          <w:rFonts w:ascii="Times New Roman" w:hAnsi="Times New Roman"/>
        </w:rPr>
        <w:t>am and 12.20</w:t>
      </w:r>
      <w:r w:rsidRPr="00B90394">
        <w:rPr>
          <w:rFonts w:ascii="Times New Roman" w:hAnsi="Times New Roman"/>
        </w:rPr>
        <w:t> </w:t>
      </w:r>
      <w:r w:rsidR="00000230" w:rsidRPr="00B90394">
        <w:rPr>
          <w:rFonts w:ascii="Times New Roman" w:hAnsi="Times New Roman"/>
        </w:rPr>
        <w:t xml:space="preserve">pm on that day </w:t>
      </w:r>
      <w:r w:rsidR="003546BD" w:rsidRPr="00B90394">
        <w:rPr>
          <w:rFonts w:ascii="Times New Roman" w:hAnsi="Times New Roman"/>
        </w:rPr>
        <w:t>alleged</w:t>
      </w:r>
      <w:r w:rsidR="00000230" w:rsidRPr="00B90394">
        <w:rPr>
          <w:rFonts w:ascii="Times New Roman" w:hAnsi="Times New Roman"/>
        </w:rPr>
        <w:t xml:space="preserve"> </w:t>
      </w:r>
      <w:r w:rsidR="00933C58" w:rsidRPr="00B90394">
        <w:rPr>
          <w:rFonts w:ascii="Times New Roman" w:hAnsi="Times New Roman"/>
        </w:rPr>
        <w:t xml:space="preserve">that </w:t>
      </w:r>
      <w:r w:rsidR="00000230" w:rsidRPr="00B90394">
        <w:rPr>
          <w:rFonts w:ascii="Times New Roman" w:hAnsi="Times New Roman"/>
        </w:rPr>
        <w:t xml:space="preserve">the </w:t>
      </w:r>
      <w:r w:rsidRPr="00B90394">
        <w:rPr>
          <w:rFonts w:ascii="Times New Roman" w:hAnsi="Times New Roman"/>
        </w:rPr>
        <w:t>a</w:t>
      </w:r>
      <w:r w:rsidR="00000230" w:rsidRPr="00B90394">
        <w:rPr>
          <w:rFonts w:ascii="Times New Roman" w:hAnsi="Times New Roman"/>
        </w:rPr>
        <w:t>ppellant</w:t>
      </w:r>
      <w:r w:rsidR="00C016E1" w:rsidRPr="00B90394">
        <w:rPr>
          <w:rFonts w:ascii="Times New Roman" w:hAnsi="Times New Roman"/>
        </w:rPr>
        <w:t>:</w:t>
      </w:r>
      <w:r w:rsidR="00000230" w:rsidRPr="00B90394">
        <w:rPr>
          <w:rFonts w:ascii="Times New Roman" w:hAnsi="Times New Roman"/>
        </w:rPr>
        <w:t xml:space="preserve"> held the complainant hostage overnight at her unit</w:t>
      </w:r>
      <w:r w:rsidR="00C016E1" w:rsidRPr="00B90394">
        <w:rPr>
          <w:rFonts w:ascii="Times New Roman" w:hAnsi="Times New Roman"/>
        </w:rPr>
        <w:t>;</w:t>
      </w:r>
      <w:r w:rsidR="00000230" w:rsidRPr="00B90394">
        <w:rPr>
          <w:rFonts w:ascii="Times New Roman" w:hAnsi="Times New Roman"/>
        </w:rPr>
        <w:t xml:space="preserve"> made the complainant lie down on the flo</w:t>
      </w:r>
      <w:r w:rsidR="00C016E1" w:rsidRPr="00B90394">
        <w:rPr>
          <w:rFonts w:ascii="Times New Roman" w:hAnsi="Times New Roman"/>
        </w:rPr>
        <w:t>o</w:t>
      </w:r>
      <w:r w:rsidR="00000230" w:rsidRPr="00B90394">
        <w:rPr>
          <w:rFonts w:ascii="Times New Roman" w:hAnsi="Times New Roman"/>
        </w:rPr>
        <w:t>r and poured water over her</w:t>
      </w:r>
      <w:r w:rsidR="00936C00" w:rsidRPr="00B90394">
        <w:rPr>
          <w:rFonts w:ascii="Times New Roman" w:hAnsi="Times New Roman"/>
        </w:rPr>
        <w:t xml:space="preserve"> all night;</w:t>
      </w:r>
      <w:r w:rsidR="00000230" w:rsidRPr="00B90394">
        <w:rPr>
          <w:rFonts w:ascii="Times New Roman" w:hAnsi="Times New Roman"/>
        </w:rPr>
        <w:t xml:space="preserve"> smashed a porcelain bowl over the complainant and slashed her with it</w:t>
      </w:r>
      <w:r w:rsidR="0015224D" w:rsidRPr="00B90394">
        <w:rPr>
          <w:rFonts w:ascii="Times New Roman" w:hAnsi="Times New Roman"/>
        </w:rPr>
        <w:t>;</w:t>
      </w:r>
      <w:r w:rsidR="00000230" w:rsidRPr="00B90394">
        <w:rPr>
          <w:rFonts w:ascii="Times New Roman" w:hAnsi="Times New Roman"/>
        </w:rPr>
        <w:t xml:space="preserve"> stabbed the complainant's wrist</w:t>
      </w:r>
      <w:r w:rsidR="003546BD" w:rsidRPr="00B90394">
        <w:rPr>
          <w:rFonts w:ascii="Times New Roman" w:hAnsi="Times New Roman"/>
        </w:rPr>
        <w:t>;</w:t>
      </w:r>
      <w:r w:rsidR="00000230" w:rsidRPr="00B90394">
        <w:rPr>
          <w:rFonts w:ascii="Times New Roman" w:hAnsi="Times New Roman"/>
        </w:rPr>
        <w:t xml:space="preserve"> and told the complainant she would bleed out in the bath. The complain</w:t>
      </w:r>
      <w:r w:rsidR="0007138B" w:rsidRPr="00B90394">
        <w:rPr>
          <w:rFonts w:ascii="Times New Roman" w:hAnsi="Times New Roman"/>
        </w:rPr>
        <w:t>an</w:t>
      </w:r>
      <w:r w:rsidR="00000230" w:rsidRPr="00B90394">
        <w:rPr>
          <w:rFonts w:ascii="Times New Roman" w:hAnsi="Times New Roman"/>
        </w:rPr>
        <w:t xml:space="preserve">t's mother provided a statement </w:t>
      </w:r>
      <w:r w:rsidR="00FD429C" w:rsidRPr="00B90394">
        <w:rPr>
          <w:rFonts w:ascii="Times New Roman" w:hAnsi="Times New Roman"/>
        </w:rPr>
        <w:t xml:space="preserve">that </w:t>
      </w:r>
      <w:r w:rsidR="00000230" w:rsidRPr="00B90394">
        <w:rPr>
          <w:rFonts w:ascii="Times New Roman" w:hAnsi="Times New Roman"/>
        </w:rPr>
        <w:t>support</w:t>
      </w:r>
      <w:r w:rsidR="00FD429C" w:rsidRPr="00B90394">
        <w:rPr>
          <w:rFonts w:ascii="Times New Roman" w:hAnsi="Times New Roman"/>
        </w:rPr>
        <w:t>ed</w:t>
      </w:r>
      <w:r w:rsidR="00000230" w:rsidRPr="00B90394">
        <w:rPr>
          <w:rFonts w:ascii="Times New Roman" w:hAnsi="Times New Roman"/>
        </w:rPr>
        <w:t xml:space="preserve"> the making of representations to that effect by the complainant. As </w:t>
      </w:r>
      <w:r w:rsidR="004D715F" w:rsidRPr="00B90394">
        <w:rPr>
          <w:rFonts w:ascii="Times New Roman" w:hAnsi="Times New Roman"/>
        </w:rPr>
        <w:t xml:space="preserve">the </w:t>
      </w:r>
      <w:r w:rsidR="00912713" w:rsidRPr="00B90394">
        <w:rPr>
          <w:rFonts w:ascii="Times New Roman" w:hAnsi="Times New Roman"/>
        </w:rPr>
        <w:t xml:space="preserve">evidence of </w:t>
      </w:r>
      <w:r w:rsidR="00000230" w:rsidRPr="00B90394">
        <w:rPr>
          <w:rFonts w:ascii="Times New Roman" w:hAnsi="Times New Roman"/>
        </w:rPr>
        <w:t>these representations identified the appellant</w:t>
      </w:r>
      <w:r w:rsidR="00A17C4F" w:rsidRPr="00B90394">
        <w:rPr>
          <w:rFonts w:ascii="Times New Roman" w:hAnsi="Times New Roman"/>
        </w:rPr>
        <w:t>,</w:t>
      </w:r>
      <w:r w:rsidR="00000230" w:rsidRPr="00B90394">
        <w:rPr>
          <w:rFonts w:ascii="Times New Roman" w:hAnsi="Times New Roman"/>
        </w:rPr>
        <w:t xml:space="preserve"> </w:t>
      </w:r>
      <w:r w:rsidR="00DE11A7" w:rsidRPr="00B90394">
        <w:rPr>
          <w:rFonts w:ascii="Times New Roman" w:hAnsi="Times New Roman"/>
        </w:rPr>
        <w:t>it</w:t>
      </w:r>
      <w:r w:rsidR="004D715F" w:rsidRPr="00B90394">
        <w:rPr>
          <w:rFonts w:ascii="Times New Roman" w:hAnsi="Times New Roman"/>
        </w:rPr>
        <w:t xml:space="preserve"> </w:t>
      </w:r>
      <w:r w:rsidR="00DE11A7" w:rsidRPr="00B90394">
        <w:rPr>
          <w:rFonts w:ascii="Times New Roman" w:hAnsi="Times New Roman"/>
        </w:rPr>
        <w:t>was</w:t>
      </w:r>
      <w:r w:rsidR="004D715F" w:rsidRPr="00B90394">
        <w:rPr>
          <w:rFonts w:ascii="Times New Roman" w:hAnsi="Times New Roman"/>
        </w:rPr>
        <w:t xml:space="preserve"> objected to in </w:t>
      </w:r>
      <w:r w:rsidR="00DE11A7" w:rsidRPr="00B90394">
        <w:rPr>
          <w:rFonts w:ascii="Times New Roman" w:hAnsi="Times New Roman"/>
        </w:rPr>
        <w:t>its</w:t>
      </w:r>
      <w:r w:rsidR="00000230" w:rsidRPr="00B90394">
        <w:rPr>
          <w:rFonts w:ascii="Times New Roman" w:hAnsi="Times New Roman"/>
        </w:rPr>
        <w:t xml:space="preserve"> entirety.</w:t>
      </w:r>
      <w:r w:rsidRPr="00B90394">
        <w:rPr>
          <w:rStyle w:val="FootnoteReference"/>
          <w:rFonts w:ascii="Times New Roman" w:hAnsi="Times New Roman"/>
          <w:sz w:val="24"/>
        </w:rPr>
        <w:footnoteReference w:id="58"/>
      </w:r>
      <w:r w:rsidR="00000230" w:rsidRPr="00B90394">
        <w:rPr>
          <w:rFonts w:ascii="Times New Roman" w:hAnsi="Times New Roman"/>
        </w:rPr>
        <w:t xml:space="preserve"> </w:t>
      </w:r>
    </w:p>
    <w:p w14:paraId="16BF7A34" w14:textId="26C66D86" w:rsidR="00000230" w:rsidRPr="00B90394" w:rsidRDefault="00E56122"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evidence of the other four sets of representations was recorded. The representations said to have been made in the </w:t>
      </w:r>
      <w:r w:rsidRPr="00B90394">
        <w:rPr>
          <w:rFonts w:ascii="Times New Roman" w:hAnsi="Times New Roman"/>
        </w:rPr>
        <w:t>triple</w:t>
      </w:r>
      <w:r w:rsidRPr="00B90394">
        <w:rPr>
          <w:rFonts w:ascii="Times New Roman" w:hAnsi="Times New Roman"/>
        </w:rPr>
        <w:noBreakHyphen/>
        <w:t>0</w:t>
      </w:r>
      <w:r w:rsidR="00000230" w:rsidRPr="00B90394">
        <w:rPr>
          <w:rFonts w:ascii="Times New Roman" w:hAnsi="Times New Roman"/>
        </w:rPr>
        <w:t xml:space="preserve"> call were to</w:t>
      </w:r>
      <w:r w:rsidR="00E34BB7" w:rsidRPr="00B90394">
        <w:rPr>
          <w:rFonts w:ascii="Times New Roman" w:hAnsi="Times New Roman"/>
        </w:rPr>
        <w:t xml:space="preserve"> a</w:t>
      </w:r>
      <w:r w:rsidR="00000230" w:rsidRPr="00B90394">
        <w:rPr>
          <w:rFonts w:ascii="Times New Roman" w:hAnsi="Times New Roman"/>
        </w:rPr>
        <w:t xml:space="preserve"> similar effect </w:t>
      </w:r>
      <w:r w:rsidR="00C1016F" w:rsidRPr="00B90394">
        <w:rPr>
          <w:rFonts w:ascii="Times New Roman" w:hAnsi="Times New Roman"/>
        </w:rPr>
        <w:t>to</w:t>
      </w:r>
      <w:r w:rsidR="00000230" w:rsidRPr="00B90394">
        <w:rPr>
          <w:rFonts w:ascii="Times New Roman" w:hAnsi="Times New Roman"/>
        </w:rPr>
        <w:t xml:space="preserve"> those made to the complainant's mother</w:t>
      </w:r>
      <w:r w:rsidR="00E362EA" w:rsidRPr="00B90394">
        <w:rPr>
          <w:rFonts w:ascii="Times New Roman" w:hAnsi="Times New Roman"/>
        </w:rPr>
        <w:t>,</w:t>
      </w:r>
      <w:r w:rsidR="00FE1A0E" w:rsidRPr="00B90394">
        <w:rPr>
          <w:rFonts w:ascii="Times New Roman" w:hAnsi="Times New Roman"/>
        </w:rPr>
        <w:t xml:space="preserve"> except they did not identify the appellant as the perpetrator.</w:t>
      </w:r>
      <w:r w:rsidRPr="00B90394">
        <w:rPr>
          <w:rStyle w:val="FootnoteReference"/>
          <w:rFonts w:ascii="Times New Roman" w:hAnsi="Times New Roman"/>
          <w:sz w:val="24"/>
        </w:rPr>
        <w:footnoteReference w:id="59"/>
      </w:r>
      <w:r w:rsidR="00000230" w:rsidRPr="00B90394">
        <w:rPr>
          <w:rFonts w:ascii="Times New Roman" w:hAnsi="Times New Roman"/>
        </w:rPr>
        <w:t xml:space="preserve"> However, one of the representations was to the effect </w:t>
      </w:r>
      <w:r w:rsidR="00000230" w:rsidRPr="00B90394">
        <w:rPr>
          <w:rFonts w:ascii="Times New Roman" w:hAnsi="Times New Roman"/>
        </w:rPr>
        <w:lastRenderedPageBreak/>
        <w:t>that the complainant was "bashed during the night"</w:t>
      </w:r>
      <w:r w:rsidR="004915DA" w:rsidRPr="00B90394">
        <w:rPr>
          <w:rStyle w:val="FootnoteReference"/>
          <w:rFonts w:ascii="Times New Roman" w:hAnsi="Times New Roman"/>
          <w:sz w:val="24"/>
        </w:rPr>
        <w:footnoteReference w:id="60"/>
      </w:r>
      <w:r w:rsidR="00000230" w:rsidRPr="00B90394">
        <w:rPr>
          <w:rFonts w:ascii="Times New Roman" w:hAnsi="Times New Roman"/>
        </w:rPr>
        <w:t xml:space="preserve"> and was thus capable of referring to the appellant</w:t>
      </w:r>
      <w:r w:rsidR="00697010" w:rsidRPr="00B90394">
        <w:rPr>
          <w:rFonts w:ascii="Times New Roman" w:hAnsi="Times New Roman"/>
        </w:rPr>
        <w:t xml:space="preserve"> given he admitted </w:t>
      </w:r>
      <w:r w:rsidR="008A4500" w:rsidRPr="00B90394">
        <w:rPr>
          <w:rFonts w:ascii="Times New Roman" w:hAnsi="Times New Roman"/>
        </w:rPr>
        <w:t xml:space="preserve">to </w:t>
      </w:r>
      <w:r w:rsidR="00FB4661" w:rsidRPr="00B90394">
        <w:rPr>
          <w:rFonts w:ascii="Times New Roman" w:hAnsi="Times New Roman"/>
        </w:rPr>
        <w:t xml:space="preserve">entering </w:t>
      </w:r>
      <w:r w:rsidR="00697010" w:rsidRPr="00B90394">
        <w:rPr>
          <w:rFonts w:ascii="Times New Roman" w:hAnsi="Times New Roman"/>
        </w:rPr>
        <w:t>the complainant's home</w:t>
      </w:r>
      <w:r w:rsidR="00000230" w:rsidRPr="00B90394">
        <w:rPr>
          <w:rFonts w:ascii="Times New Roman" w:hAnsi="Times New Roman"/>
        </w:rPr>
        <w:t>. Only the evidence of that representation was objected to.</w:t>
      </w:r>
      <w:r w:rsidRPr="00B90394">
        <w:rPr>
          <w:rStyle w:val="FootnoteReference"/>
          <w:rFonts w:ascii="Times New Roman" w:hAnsi="Times New Roman"/>
          <w:sz w:val="24"/>
        </w:rPr>
        <w:footnoteReference w:id="61"/>
      </w:r>
      <w:r w:rsidR="00000230" w:rsidRPr="00B90394">
        <w:rPr>
          <w:rFonts w:ascii="Times New Roman" w:hAnsi="Times New Roman"/>
        </w:rPr>
        <w:t xml:space="preserve"> The representations made </w:t>
      </w:r>
      <w:r w:rsidR="00224A4E" w:rsidRPr="00B90394">
        <w:rPr>
          <w:rFonts w:ascii="Times New Roman" w:hAnsi="Times New Roman"/>
        </w:rPr>
        <w:t xml:space="preserve">to a police officer </w:t>
      </w:r>
      <w:r w:rsidR="00000230" w:rsidRPr="00B90394">
        <w:rPr>
          <w:rFonts w:ascii="Times New Roman" w:hAnsi="Times New Roman"/>
        </w:rPr>
        <w:t>at around 1.30</w:t>
      </w:r>
      <w:r w:rsidRPr="00B90394">
        <w:rPr>
          <w:rFonts w:ascii="Times New Roman" w:hAnsi="Times New Roman"/>
        </w:rPr>
        <w:t> </w:t>
      </w:r>
      <w:r w:rsidR="00000230" w:rsidRPr="00B90394">
        <w:rPr>
          <w:rFonts w:ascii="Times New Roman" w:hAnsi="Times New Roman"/>
        </w:rPr>
        <w:t>pm on 31</w:t>
      </w:r>
      <w:r w:rsidRPr="00B90394">
        <w:rPr>
          <w:rFonts w:ascii="Times New Roman" w:hAnsi="Times New Roman"/>
        </w:rPr>
        <w:t> </w:t>
      </w:r>
      <w:r w:rsidR="00000230" w:rsidRPr="00B90394">
        <w:rPr>
          <w:rFonts w:ascii="Times New Roman" w:hAnsi="Times New Roman"/>
        </w:rPr>
        <w:t xml:space="preserve">August 2021 identified the appellant, referred to him possessing </w:t>
      </w:r>
      <w:r w:rsidR="00513CD8" w:rsidRPr="00B90394">
        <w:rPr>
          <w:rFonts w:ascii="Times New Roman" w:hAnsi="Times New Roman"/>
        </w:rPr>
        <w:t>the</w:t>
      </w:r>
      <w:r w:rsidR="00000230" w:rsidRPr="00B90394">
        <w:rPr>
          <w:rFonts w:ascii="Times New Roman" w:hAnsi="Times New Roman"/>
        </w:rPr>
        <w:t xml:space="preserve"> knife and plate </w:t>
      </w:r>
      <w:r w:rsidR="00513CD8" w:rsidRPr="00B90394">
        <w:rPr>
          <w:rFonts w:ascii="Times New Roman" w:hAnsi="Times New Roman"/>
        </w:rPr>
        <w:t xml:space="preserve">identified in the </w:t>
      </w:r>
      <w:r w:rsidR="00541B49" w:rsidRPr="00B90394">
        <w:rPr>
          <w:rFonts w:ascii="Times New Roman" w:hAnsi="Times New Roman"/>
        </w:rPr>
        <w:t xml:space="preserve">body worn camera </w:t>
      </w:r>
      <w:r w:rsidR="00513CD8" w:rsidRPr="00B90394">
        <w:rPr>
          <w:rFonts w:ascii="Times New Roman" w:hAnsi="Times New Roman"/>
        </w:rPr>
        <w:t xml:space="preserve">footage </w:t>
      </w:r>
      <w:r w:rsidR="00000230" w:rsidRPr="00B90394">
        <w:rPr>
          <w:rFonts w:ascii="Times New Roman" w:hAnsi="Times New Roman"/>
        </w:rPr>
        <w:t>and</w:t>
      </w:r>
      <w:r w:rsidR="00774D0D" w:rsidRPr="00B90394">
        <w:rPr>
          <w:rFonts w:ascii="Times New Roman" w:hAnsi="Times New Roman"/>
        </w:rPr>
        <w:t xml:space="preserve"> alleged</w:t>
      </w:r>
      <w:r w:rsidR="004219AB" w:rsidRPr="00B90394">
        <w:rPr>
          <w:rFonts w:ascii="Times New Roman" w:hAnsi="Times New Roman"/>
        </w:rPr>
        <w:t xml:space="preserve"> that the appellant </w:t>
      </w:r>
      <w:r w:rsidR="00000230" w:rsidRPr="00B90394">
        <w:rPr>
          <w:rFonts w:ascii="Times New Roman" w:hAnsi="Times New Roman"/>
        </w:rPr>
        <w:t>prevent</w:t>
      </w:r>
      <w:r w:rsidR="004219AB" w:rsidRPr="00B90394">
        <w:rPr>
          <w:rFonts w:ascii="Times New Roman" w:hAnsi="Times New Roman"/>
        </w:rPr>
        <w:t>ed the complainant</w:t>
      </w:r>
      <w:r w:rsidR="00000230" w:rsidRPr="00B90394">
        <w:rPr>
          <w:rFonts w:ascii="Times New Roman" w:hAnsi="Times New Roman"/>
        </w:rPr>
        <w:t xml:space="preserve"> from leaving the premises.</w:t>
      </w:r>
      <w:r w:rsidRPr="00B90394">
        <w:rPr>
          <w:rStyle w:val="FootnoteReference"/>
          <w:rFonts w:ascii="Times New Roman" w:hAnsi="Times New Roman"/>
          <w:sz w:val="24"/>
        </w:rPr>
        <w:footnoteReference w:id="62"/>
      </w:r>
      <w:r w:rsidR="00000230" w:rsidRPr="00B90394">
        <w:rPr>
          <w:rFonts w:ascii="Times New Roman" w:hAnsi="Times New Roman"/>
        </w:rPr>
        <w:t xml:space="preserve"> The representations made to a police officer at around 1.05</w:t>
      </w:r>
      <w:r w:rsidRPr="00B90394">
        <w:rPr>
          <w:rFonts w:ascii="Times New Roman" w:hAnsi="Times New Roman"/>
        </w:rPr>
        <w:t> </w:t>
      </w:r>
      <w:r w:rsidR="00000230" w:rsidRPr="00B90394">
        <w:rPr>
          <w:rFonts w:ascii="Times New Roman" w:hAnsi="Times New Roman"/>
        </w:rPr>
        <w:t>pm and in the written statement signed by the complainant at around 5.28</w:t>
      </w:r>
      <w:r w:rsidRPr="00B90394">
        <w:rPr>
          <w:rFonts w:ascii="Times New Roman" w:hAnsi="Times New Roman"/>
        </w:rPr>
        <w:t> </w:t>
      </w:r>
      <w:r w:rsidR="00000230" w:rsidRPr="00B90394">
        <w:rPr>
          <w:rFonts w:ascii="Times New Roman" w:hAnsi="Times New Roman"/>
        </w:rPr>
        <w:t xml:space="preserve">pm specifically identified the appellant as the perpetrator </w:t>
      </w:r>
      <w:r w:rsidR="00B758D7" w:rsidRPr="00B90394">
        <w:rPr>
          <w:rFonts w:ascii="Times New Roman" w:hAnsi="Times New Roman"/>
        </w:rPr>
        <w:t>and</w:t>
      </w:r>
      <w:r w:rsidR="00000230" w:rsidRPr="00B90394">
        <w:rPr>
          <w:rFonts w:ascii="Times New Roman" w:hAnsi="Times New Roman"/>
        </w:rPr>
        <w:t xml:space="preserve"> provided far more detail of the complainant's</w:t>
      </w:r>
      <w:r w:rsidR="00F36F7C" w:rsidRPr="00B90394">
        <w:rPr>
          <w:rFonts w:ascii="Times New Roman" w:hAnsi="Times New Roman"/>
        </w:rPr>
        <w:t xml:space="preserve"> alleged</w:t>
      </w:r>
      <w:r w:rsidR="00000230" w:rsidRPr="00B90394">
        <w:rPr>
          <w:rFonts w:ascii="Times New Roman" w:hAnsi="Times New Roman"/>
        </w:rPr>
        <w:t xml:space="preserve"> mistreatment and detention at </w:t>
      </w:r>
      <w:r w:rsidR="00F74DEF" w:rsidRPr="00B90394">
        <w:rPr>
          <w:rFonts w:ascii="Times New Roman" w:hAnsi="Times New Roman"/>
        </w:rPr>
        <w:t>the</w:t>
      </w:r>
      <w:r w:rsidR="00000230" w:rsidRPr="00B90394">
        <w:rPr>
          <w:rFonts w:ascii="Times New Roman" w:hAnsi="Times New Roman"/>
        </w:rPr>
        <w:t xml:space="preserve"> hands</w:t>
      </w:r>
      <w:r w:rsidR="00F74DEF" w:rsidRPr="00B90394">
        <w:rPr>
          <w:rFonts w:ascii="Times New Roman" w:hAnsi="Times New Roman"/>
        </w:rPr>
        <w:t xml:space="preserve"> of the appellant</w:t>
      </w:r>
      <w:r w:rsidR="00000230" w:rsidRPr="00B90394">
        <w:rPr>
          <w:rFonts w:ascii="Times New Roman" w:hAnsi="Times New Roman"/>
        </w:rPr>
        <w:t>.</w:t>
      </w:r>
      <w:r w:rsidRPr="00B90394">
        <w:rPr>
          <w:rStyle w:val="FootnoteReference"/>
          <w:rFonts w:ascii="Times New Roman" w:hAnsi="Times New Roman"/>
          <w:sz w:val="24"/>
        </w:rPr>
        <w:footnoteReference w:id="63"/>
      </w:r>
      <w:r w:rsidR="00000230" w:rsidRPr="00B90394">
        <w:rPr>
          <w:rFonts w:ascii="Times New Roman" w:hAnsi="Times New Roman"/>
        </w:rPr>
        <w:t xml:space="preserve"> To the extent that the evidence of these three sets</w:t>
      </w:r>
      <w:r w:rsidR="00DA0A0E" w:rsidRPr="00B90394">
        <w:rPr>
          <w:rFonts w:ascii="Times New Roman" w:hAnsi="Times New Roman"/>
        </w:rPr>
        <w:t xml:space="preserve"> of</w:t>
      </w:r>
      <w:r w:rsidR="00000230" w:rsidRPr="00B90394">
        <w:rPr>
          <w:rFonts w:ascii="Times New Roman" w:hAnsi="Times New Roman"/>
        </w:rPr>
        <w:t xml:space="preserve"> representations was capable of </w:t>
      </w:r>
      <w:r w:rsidR="00250D56" w:rsidRPr="00B90394">
        <w:rPr>
          <w:rFonts w:ascii="Times New Roman" w:hAnsi="Times New Roman"/>
        </w:rPr>
        <w:t xml:space="preserve">identifying </w:t>
      </w:r>
      <w:r w:rsidR="00000230" w:rsidRPr="00B90394">
        <w:rPr>
          <w:rFonts w:ascii="Times New Roman" w:hAnsi="Times New Roman"/>
        </w:rPr>
        <w:t>the appellant as the perpetrator</w:t>
      </w:r>
      <w:r w:rsidR="009E7077" w:rsidRPr="00B90394">
        <w:rPr>
          <w:rFonts w:ascii="Times New Roman" w:hAnsi="Times New Roman"/>
        </w:rPr>
        <w:t>,</w:t>
      </w:r>
      <w:r w:rsidR="00000230" w:rsidRPr="00B90394">
        <w:rPr>
          <w:rFonts w:ascii="Times New Roman" w:hAnsi="Times New Roman"/>
        </w:rPr>
        <w:t xml:space="preserve"> it was </w:t>
      </w:r>
      <w:r w:rsidR="0018225B" w:rsidRPr="00B90394">
        <w:rPr>
          <w:rFonts w:ascii="Times New Roman" w:hAnsi="Times New Roman"/>
        </w:rPr>
        <w:t xml:space="preserve">also </w:t>
      </w:r>
      <w:r w:rsidR="00000230" w:rsidRPr="00B90394">
        <w:rPr>
          <w:rFonts w:ascii="Times New Roman" w:hAnsi="Times New Roman"/>
        </w:rPr>
        <w:t>objected to.</w:t>
      </w:r>
      <w:r w:rsidRPr="00B90394">
        <w:rPr>
          <w:rStyle w:val="FootnoteReference"/>
          <w:rFonts w:ascii="Times New Roman" w:hAnsi="Times New Roman"/>
          <w:sz w:val="24"/>
        </w:rPr>
        <w:footnoteReference w:id="64"/>
      </w:r>
    </w:p>
    <w:p w14:paraId="74386EA0" w14:textId="1B62657E" w:rsidR="00B718DD" w:rsidRPr="00B90394" w:rsidRDefault="00E56122"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18225B" w:rsidRPr="00B90394">
        <w:rPr>
          <w:rFonts w:ascii="Times New Roman" w:hAnsi="Times New Roman"/>
        </w:rPr>
        <w:t>In this Court, t</w:t>
      </w:r>
      <w:r w:rsidR="00000230" w:rsidRPr="00B90394">
        <w:rPr>
          <w:rFonts w:ascii="Times New Roman" w:hAnsi="Times New Roman"/>
        </w:rPr>
        <w:t xml:space="preserve">he appellant accepted that the probative value of the evidence of the representations was "high". </w:t>
      </w:r>
      <w:r w:rsidR="003A2D68" w:rsidRPr="00B90394">
        <w:rPr>
          <w:rFonts w:ascii="Times New Roman" w:hAnsi="Times New Roman"/>
        </w:rPr>
        <w:t>The possible use of the evidence extends to the proof of the matters asserted by the representations. As the Court of Appeal found, assuming the evidence of the representations was credible and reliable, it was "strongly supportive of the allegation that it was the [appellant] who assaulted" the complainant</w:t>
      </w:r>
      <w:r w:rsidR="006C4C3C" w:rsidRPr="00B90394">
        <w:rPr>
          <w:rFonts w:ascii="Times New Roman" w:hAnsi="Times New Roman"/>
        </w:rPr>
        <w:t>.</w:t>
      </w:r>
      <w:r w:rsidR="006C4C3C" w:rsidRPr="00B90394">
        <w:rPr>
          <w:rStyle w:val="FootnoteReference"/>
          <w:rFonts w:ascii="Times New Roman" w:hAnsi="Times New Roman"/>
          <w:sz w:val="24"/>
        </w:rPr>
        <w:footnoteReference w:id="65"/>
      </w:r>
      <w:r w:rsidR="003A2D68" w:rsidRPr="00B90394">
        <w:rPr>
          <w:rFonts w:ascii="Times New Roman" w:hAnsi="Times New Roman"/>
        </w:rPr>
        <w:t xml:space="preserve"> </w:t>
      </w:r>
      <w:r w:rsidR="00000230" w:rsidRPr="00B90394">
        <w:rPr>
          <w:rFonts w:ascii="Times New Roman" w:hAnsi="Times New Roman"/>
        </w:rPr>
        <w:t xml:space="preserve">The fact that the evidence has high probative value makes the appellant's task of demonstrating a danger of prejudice that outweighs that value much harder. </w:t>
      </w:r>
    </w:p>
    <w:p w14:paraId="4ABFD2C4" w14:textId="7394EF1E" w:rsidR="00000230" w:rsidRPr="00B90394" w:rsidRDefault="00B718DD"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Nevertheless, the appellant contended that</w:t>
      </w:r>
      <w:r w:rsidR="00EB32D9" w:rsidRPr="00B90394">
        <w:rPr>
          <w:rFonts w:ascii="Times New Roman" w:hAnsi="Times New Roman"/>
        </w:rPr>
        <w:t>,</w:t>
      </w:r>
      <w:r w:rsidR="00000230" w:rsidRPr="00B90394">
        <w:rPr>
          <w:rFonts w:ascii="Times New Roman" w:hAnsi="Times New Roman"/>
        </w:rPr>
        <w:t xml:space="preserve"> in addressing the danger of unfair prejudice arising from the admission of the evidence of the representations</w:t>
      </w:r>
      <w:r w:rsidR="00EB32D9" w:rsidRPr="00B90394">
        <w:rPr>
          <w:rFonts w:ascii="Times New Roman" w:hAnsi="Times New Roman"/>
        </w:rPr>
        <w:t>,</w:t>
      </w:r>
      <w:r w:rsidR="00000230" w:rsidRPr="00B90394">
        <w:rPr>
          <w:rFonts w:ascii="Times New Roman" w:hAnsi="Times New Roman"/>
        </w:rPr>
        <w:t xml:space="preserve"> the Court of Appeal erred in</w:t>
      </w:r>
      <w:r w:rsidR="00986FF6" w:rsidRPr="00B90394">
        <w:rPr>
          <w:rFonts w:ascii="Times New Roman" w:hAnsi="Times New Roman"/>
        </w:rPr>
        <w:t>:</w:t>
      </w:r>
      <w:r w:rsidR="00000230" w:rsidRPr="00B90394">
        <w:rPr>
          <w:rFonts w:ascii="Times New Roman" w:hAnsi="Times New Roman"/>
        </w:rPr>
        <w:t xml:space="preserve"> failing to recognise </w:t>
      </w:r>
      <w:r w:rsidR="00822844" w:rsidRPr="00B90394">
        <w:rPr>
          <w:rFonts w:ascii="Times New Roman" w:hAnsi="Times New Roman"/>
        </w:rPr>
        <w:t xml:space="preserve">that </w:t>
      </w:r>
      <w:r w:rsidR="00000230" w:rsidRPr="00B90394">
        <w:rPr>
          <w:rFonts w:ascii="Times New Roman" w:hAnsi="Times New Roman"/>
        </w:rPr>
        <w:t>the "existence of plausible lines of cross</w:t>
      </w:r>
      <w:r w:rsidR="00132840" w:rsidRPr="00B90394">
        <w:rPr>
          <w:rFonts w:ascii="Times New Roman" w:hAnsi="Times New Roman"/>
        </w:rPr>
        <w:t>-</w:t>
      </w:r>
      <w:r w:rsidR="00000230" w:rsidRPr="00B90394">
        <w:rPr>
          <w:rFonts w:ascii="Times New Roman" w:hAnsi="Times New Roman"/>
        </w:rPr>
        <w:t>examination" of the complainant that could not be pursued in her absence increased the danger of unfair prejudice</w:t>
      </w:r>
      <w:r w:rsidR="00822844" w:rsidRPr="00B90394">
        <w:rPr>
          <w:rFonts w:ascii="Times New Roman" w:hAnsi="Times New Roman"/>
        </w:rPr>
        <w:t>;</w:t>
      </w:r>
      <w:r w:rsidR="00000230" w:rsidRPr="00B90394">
        <w:rPr>
          <w:rFonts w:ascii="Times New Roman" w:hAnsi="Times New Roman"/>
        </w:rPr>
        <w:t xml:space="preserve"> fail</w:t>
      </w:r>
      <w:r w:rsidR="007A383E" w:rsidRPr="00B90394">
        <w:rPr>
          <w:rFonts w:ascii="Times New Roman" w:hAnsi="Times New Roman"/>
        </w:rPr>
        <w:t>ing</w:t>
      </w:r>
      <w:r w:rsidR="00000230" w:rsidRPr="00B90394">
        <w:rPr>
          <w:rFonts w:ascii="Times New Roman" w:hAnsi="Times New Roman"/>
        </w:rPr>
        <w:t xml:space="preserve"> to recognise the effect of the "sheer volume, and repetitive nature</w:t>
      </w:r>
      <w:r w:rsidR="00EB32D9" w:rsidRPr="00B90394">
        <w:rPr>
          <w:rFonts w:ascii="Times New Roman" w:hAnsi="Times New Roman"/>
        </w:rPr>
        <w:t>"</w:t>
      </w:r>
      <w:r w:rsidR="00000230" w:rsidRPr="00B90394">
        <w:rPr>
          <w:rFonts w:ascii="Times New Roman" w:hAnsi="Times New Roman"/>
        </w:rPr>
        <w:t xml:space="preserve"> of the representations</w:t>
      </w:r>
      <w:r w:rsidR="00FF4D93" w:rsidRPr="00B90394">
        <w:rPr>
          <w:rFonts w:ascii="Times New Roman" w:hAnsi="Times New Roman"/>
        </w:rPr>
        <w:t>;</w:t>
      </w:r>
      <w:r w:rsidR="00000230" w:rsidRPr="00B90394">
        <w:rPr>
          <w:rFonts w:ascii="Times New Roman" w:hAnsi="Times New Roman"/>
        </w:rPr>
        <w:t xml:space="preserve"> and wrongly </w:t>
      </w:r>
      <w:r w:rsidR="00000230" w:rsidRPr="00B90394">
        <w:rPr>
          <w:rFonts w:ascii="Times New Roman" w:hAnsi="Times New Roman"/>
        </w:rPr>
        <w:lastRenderedPageBreak/>
        <w:t>assum</w:t>
      </w:r>
      <w:r w:rsidR="0065171C" w:rsidRPr="00B90394">
        <w:rPr>
          <w:rFonts w:ascii="Times New Roman" w:hAnsi="Times New Roman"/>
        </w:rPr>
        <w:t>ing</w:t>
      </w:r>
      <w:r w:rsidR="00000230" w:rsidRPr="00B90394">
        <w:rPr>
          <w:rFonts w:ascii="Times New Roman" w:hAnsi="Times New Roman"/>
        </w:rPr>
        <w:t xml:space="preserve"> that the jury would </w:t>
      </w:r>
      <w:r w:rsidR="0018225B" w:rsidRPr="00B90394">
        <w:rPr>
          <w:rFonts w:ascii="Times New Roman" w:hAnsi="Times New Roman"/>
        </w:rPr>
        <w:t xml:space="preserve">follow </w:t>
      </w:r>
      <w:r w:rsidR="00000230" w:rsidRPr="00B90394">
        <w:rPr>
          <w:rFonts w:ascii="Times New Roman" w:hAnsi="Times New Roman"/>
        </w:rPr>
        <w:t xml:space="preserve">any and all directions that might be given by the trial judge to protect against unfair prejudice. </w:t>
      </w:r>
    </w:p>
    <w:p w14:paraId="3C0573AF" w14:textId="7EAE5D3D" w:rsidR="00000230" w:rsidRPr="00B90394" w:rsidRDefault="00E56122"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contention that there is a danger of unfair prejudice </w:t>
      </w:r>
      <w:r w:rsidR="00865FEE" w:rsidRPr="00B90394">
        <w:rPr>
          <w:rFonts w:ascii="Times New Roman" w:hAnsi="Times New Roman"/>
        </w:rPr>
        <w:t xml:space="preserve">arising </w:t>
      </w:r>
      <w:r w:rsidR="00000230" w:rsidRPr="00B90394">
        <w:rPr>
          <w:rFonts w:ascii="Times New Roman" w:hAnsi="Times New Roman"/>
        </w:rPr>
        <w:t>from the inability to cross</w:t>
      </w:r>
      <w:r w:rsidR="00DE7E4F" w:rsidRPr="00B90394">
        <w:rPr>
          <w:rFonts w:ascii="Times New Roman" w:hAnsi="Times New Roman"/>
        </w:rPr>
        <w:t>-</w:t>
      </w:r>
      <w:r w:rsidR="00000230" w:rsidRPr="00B90394">
        <w:rPr>
          <w:rFonts w:ascii="Times New Roman" w:hAnsi="Times New Roman"/>
        </w:rPr>
        <w:t xml:space="preserve">examine the maker of a representation where evidence of that representation is admitted under an exception to the hearsay rule </w:t>
      </w:r>
      <w:r w:rsidR="00881D01" w:rsidRPr="00B90394">
        <w:rPr>
          <w:rFonts w:ascii="Times New Roman" w:hAnsi="Times New Roman"/>
        </w:rPr>
        <w:t>and</w:t>
      </w:r>
      <w:r w:rsidR="00000230" w:rsidRPr="00B90394">
        <w:rPr>
          <w:rFonts w:ascii="Times New Roman" w:hAnsi="Times New Roman"/>
        </w:rPr>
        <w:t xml:space="preserve"> the maker of the representation is not available to give evidence</w:t>
      </w:r>
      <w:r w:rsidRPr="00B90394">
        <w:rPr>
          <w:rStyle w:val="FootnoteReference"/>
          <w:rFonts w:ascii="Times New Roman" w:hAnsi="Times New Roman"/>
          <w:sz w:val="24"/>
        </w:rPr>
        <w:footnoteReference w:id="66"/>
      </w:r>
      <w:r w:rsidR="00000230" w:rsidRPr="00B90394">
        <w:rPr>
          <w:rFonts w:ascii="Times New Roman" w:hAnsi="Times New Roman"/>
        </w:rPr>
        <w:t xml:space="preserve"> warrants consideration. </w:t>
      </w:r>
      <w:r w:rsidR="00BA4F6A" w:rsidRPr="00B90394">
        <w:rPr>
          <w:rFonts w:ascii="Times New Roman" w:hAnsi="Times New Roman"/>
        </w:rPr>
        <w:t>Without more, the</w:t>
      </w:r>
      <w:r w:rsidR="00000230" w:rsidRPr="00B90394">
        <w:rPr>
          <w:rFonts w:ascii="Times New Roman" w:hAnsi="Times New Roman"/>
        </w:rPr>
        <w:t xml:space="preserve"> inability to cross</w:t>
      </w:r>
      <w:r w:rsidR="00DE7E4F" w:rsidRPr="00B90394">
        <w:rPr>
          <w:rFonts w:ascii="Times New Roman" w:hAnsi="Times New Roman"/>
        </w:rPr>
        <w:t>-</w:t>
      </w:r>
      <w:r w:rsidR="00000230" w:rsidRPr="00B90394">
        <w:rPr>
          <w:rFonts w:ascii="Times New Roman" w:hAnsi="Times New Roman"/>
        </w:rPr>
        <w:t>examine could not justify the exclusion of such evidence</w:t>
      </w:r>
      <w:r w:rsidR="00C1016F" w:rsidRPr="00B90394">
        <w:rPr>
          <w:rFonts w:ascii="Times New Roman" w:hAnsi="Times New Roman"/>
        </w:rPr>
        <w:t>,</w:t>
      </w:r>
      <w:r w:rsidR="00000230" w:rsidRPr="00B90394">
        <w:rPr>
          <w:rFonts w:ascii="Times New Roman" w:hAnsi="Times New Roman"/>
        </w:rPr>
        <w:t xml:space="preserve"> as otherwise the power of exclusion would swallow the exception.</w:t>
      </w:r>
    </w:p>
    <w:p w14:paraId="3833C92E" w14:textId="4CB4EBA8" w:rsidR="00000230" w:rsidRPr="00B90394" w:rsidRDefault="00E56122"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hearsay provisions of the </w:t>
      </w:r>
      <w:r w:rsidR="00000230" w:rsidRPr="00B90394">
        <w:rPr>
          <w:rFonts w:ascii="Times New Roman" w:hAnsi="Times New Roman"/>
          <w:i/>
          <w:iCs/>
        </w:rPr>
        <w:t>Evidence Act</w:t>
      </w:r>
      <w:r w:rsidR="00000230" w:rsidRPr="00B90394">
        <w:rPr>
          <w:rFonts w:ascii="Times New Roman" w:hAnsi="Times New Roman"/>
        </w:rPr>
        <w:t xml:space="preserve"> ha</w:t>
      </w:r>
      <w:r w:rsidR="006F7909" w:rsidRPr="00B90394">
        <w:rPr>
          <w:rFonts w:ascii="Times New Roman" w:hAnsi="Times New Roman"/>
        </w:rPr>
        <w:t xml:space="preserve">ve </w:t>
      </w:r>
      <w:r w:rsidR="00000230" w:rsidRPr="00B90394">
        <w:rPr>
          <w:rFonts w:ascii="Times New Roman" w:hAnsi="Times New Roman"/>
        </w:rPr>
        <w:t>their origin</w:t>
      </w:r>
      <w:r w:rsidR="007F5FE6" w:rsidRPr="00B90394">
        <w:rPr>
          <w:rFonts w:ascii="Times New Roman" w:hAnsi="Times New Roman"/>
        </w:rPr>
        <w:t>s</w:t>
      </w:r>
      <w:r w:rsidR="00000230" w:rsidRPr="00B90394">
        <w:rPr>
          <w:rFonts w:ascii="Times New Roman" w:hAnsi="Times New Roman"/>
        </w:rPr>
        <w:t xml:space="preserve"> in the interim and final reports of the Australian Law Reform Commission (</w:t>
      </w:r>
      <w:r w:rsidR="007F3C27" w:rsidRPr="00B90394">
        <w:rPr>
          <w:rFonts w:ascii="Times New Roman" w:hAnsi="Times New Roman"/>
        </w:rPr>
        <w:t>"</w:t>
      </w:r>
      <w:r w:rsidR="00000230" w:rsidRPr="00B90394">
        <w:rPr>
          <w:rFonts w:ascii="Times New Roman" w:hAnsi="Times New Roman"/>
        </w:rPr>
        <w:t>ALRC</w:t>
      </w:r>
      <w:r w:rsidR="007F3C27" w:rsidRPr="00B90394">
        <w:rPr>
          <w:rFonts w:ascii="Times New Roman" w:hAnsi="Times New Roman"/>
        </w:rPr>
        <w:t>"</w:t>
      </w:r>
      <w:r w:rsidR="00000230" w:rsidRPr="00B90394">
        <w:rPr>
          <w:rFonts w:ascii="Times New Roman" w:hAnsi="Times New Roman"/>
        </w:rPr>
        <w:t>)</w:t>
      </w:r>
      <w:r w:rsidR="00541C6F" w:rsidRPr="00B90394">
        <w:rPr>
          <w:rStyle w:val="FootnoteReference"/>
          <w:rFonts w:ascii="Times New Roman" w:hAnsi="Times New Roman"/>
          <w:sz w:val="24"/>
        </w:rPr>
        <w:footnoteReference w:id="67"/>
      </w:r>
      <w:r w:rsidR="00541C6F" w:rsidRPr="00B90394">
        <w:rPr>
          <w:rFonts w:ascii="Times New Roman" w:hAnsi="Times New Roman"/>
        </w:rPr>
        <w:t xml:space="preserve"> </w:t>
      </w:r>
      <w:r w:rsidR="00000230" w:rsidRPr="00B90394">
        <w:rPr>
          <w:rFonts w:ascii="Times New Roman" w:hAnsi="Times New Roman"/>
        </w:rPr>
        <w:t xml:space="preserve">that led to the introduction of the </w:t>
      </w:r>
      <w:r w:rsidR="00000230" w:rsidRPr="00B90394">
        <w:rPr>
          <w:rFonts w:ascii="Times New Roman" w:hAnsi="Times New Roman"/>
          <w:i/>
          <w:iCs/>
        </w:rPr>
        <w:t>Evidence Act 1995</w:t>
      </w:r>
      <w:r w:rsidR="00000230" w:rsidRPr="00B90394">
        <w:rPr>
          <w:rFonts w:ascii="Times New Roman" w:hAnsi="Times New Roman"/>
        </w:rPr>
        <w:t xml:space="preserve"> (</w:t>
      </w:r>
      <w:proofErr w:type="spellStart"/>
      <w:r w:rsidR="00000230" w:rsidRPr="00B90394">
        <w:rPr>
          <w:rFonts w:ascii="Times New Roman" w:hAnsi="Times New Roman"/>
        </w:rPr>
        <w:t>Cth</w:t>
      </w:r>
      <w:proofErr w:type="spellEnd"/>
      <w:r w:rsidR="00000230" w:rsidRPr="00B90394">
        <w:rPr>
          <w:rFonts w:ascii="Times New Roman" w:hAnsi="Times New Roman"/>
        </w:rPr>
        <w:t xml:space="preserve">) and the </w:t>
      </w:r>
      <w:r w:rsidR="00000230" w:rsidRPr="00B90394">
        <w:rPr>
          <w:rFonts w:ascii="Times New Roman" w:hAnsi="Times New Roman"/>
          <w:i/>
          <w:iCs/>
        </w:rPr>
        <w:t>Evidence Act 1995</w:t>
      </w:r>
      <w:r w:rsidR="00000230" w:rsidRPr="00B90394">
        <w:rPr>
          <w:rFonts w:ascii="Times New Roman" w:hAnsi="Times New Roman"/>
        </w:rPr>
        <w:t xml:space="preserve"> (NSW)</w:t>
      </w:r>
      <w:r w:rsidRPr="00B90394">
        <w:rPr>
          <w:rFonts w:ascii="Times New Roman" w:hAnsi="Times New Roman"/>
        </w:rPr>
        <w:t>.</w:t>
      </w:r>
      <w:r w:rsidR="00000230" w:rsidRPr="00B90394">
        <w:rPr>
          <w:rFonts w:ascii="Times New Roman" w:hAnsi="Times New Roman"/>
        </w:rPr>
        <w:t xml:space="preserve"> </w:t>
      </w:r>
      <w:r w:rsidR="004E0481" w:rsidRPr="00B90394">
        <w:rPr>
          <w:rFonts w:ascii="Times New Roman" w:hAnsi="Times New Roman"/>
        </w:rPr>
        <w:t xml:space="preserve">What became s 137 was </w:t>
      </w:r>
      <w:r w:rsidR="002947B8" w:rsidRPr="00B90394">
        <w:rPr>
          <w:rFonts w:ascii="Times New Roman" w:hAnsi="Times New Roman"/>
        </w:rPr>
        <w:t>characterised</w:t>
      </w:r>
      <w:r w:rsidR="004E0481" w:rsidRPr="00B90394">
        <w:rPr>
          <w:rFonts w:ascii="Times New Roman" w:hAnsi="Times New Roman"/>
        </w:rPr>
        <w:t xml:space="preserve"> as </w:t>
      </w:r>
      <w:r w:rsidR="0071320F" w:rsidRPr="00B90394">
        <w:rPr>
          <w:rFonts w:ascii="Times New Roman" w:hAnsi="Times New Roman"/>
        </w:rPr>
        <w:t xml:space="preserve">a statutory retention of a common law </w:t>
      </w:r>
      <w:r w:rsidR="003A5DCD" w:rsidRPr="00B90394">
        <w:rPr>
          <w:rFonts w:ascii="Times New Roman" w:hAnsi="Times New Roman"/>
        </w:rPr>
        <w:t xml:space="preserve">discretionary </w:t>
      </w:r>
      <w:r w:rsidR="001A27CB" w:rsidRPr="00B90394">
        <w:rPr>
          <w:rFonts w:ascii="Times New Roman" w:hAnsi="Times New Roman"/>
        </w:rPr>
        <w:t>power</w:t>
      </w:r>
      <w:r w:rsidR="0071320F" w:rsidRPr="00B90394">
        <w:rPr>
          <w:rFonts w:ascii="Times New Roman" w:hAnsi="Times New Roman"/>
        </w:rPr>
        <w:t>.</w:t>
      </w:r>
      <w:r w:rsidR="0071320F" w:rsidRPr="00B90394">
        <w:rPr>
          <w:rStyle w:val="FootnoteReference"/>
          <w:rFonts w:ascii="Times New Roman" w:hAnsi="Times New Roman"/>
          <w:sz w:val="24"/>
        </w:rPr>
        <w:footnoteReference w:id="68"/>
      </w:r>
      <w:r w:rsidR="0071320F" w:rsidRPr="00B90394">
        <w:rPr>
          <w:rFonts w:ascii="Times New Roman" w:hAnsi="Times New Roman"/>
        </w:rPr>
        <w:t xml:space="preserve"> </w:t>
      </w:r>
      <w:r w:rsidR="00000230" w:rsidRPr="00B90394">
        <w:rPr>
          <w:rFonts w:ascii="Times New Roman" w:hAnsi="Times New Roman"/>
        </w:rPr>
        <w:t xml:space="preserve">The interim report described </w:t>
      </w:r>
      <w:r w:rsidR="00D4578A" w:rsidRPr="00B90394">
        <w:rPr>
          <w:rFonts w:ascii="Times New Roman" w:hAnsi="Times New Roman"/>
        </w:rPr>
        <w:t>"</w:t>
      </w:r>
      <w:r w:rsidR="00000230" w:rsidRPr="00B90394">
        <w:rPr>
          <w:rFonts w:ascii="Times New Roman" w:hAnsi="Times New Roman"/>
        </w:rPr>
        <w:t>prejudice</w:t>
      </w:r>
      <w:r w:rsidR="00D4578A" w:rsidRPr="00B90394">
        <w:rPr>
          <w:rFonts w:ascii="Times New Roman" w:hAnsi="Times New Roman"/>
        </w:rPr>
        <w:t>"</w:t>
      </w:r>
      <w:r w:rsidR="00000230" w:rsidRPr="00B90394">
        <w:rPr>
          <w:rFonts w:ascii="Times New Roman" w:hAnsi="Times New Roman"/>
        </w:rPr>
        <w:t xml:space="preserve"> as </w:t>
      </w:r>
      <w:r w:rsidR="007E22BF" w:rsidRPr="00B90394">
        <w:rPr>
          <w:rFonts w:ascii="Times New Roman" w:hAnsi="Times New Roman"/>
        </w:rPr>
        <w:t>"</w:t>
      </w:r>
      <w:r w:rsidR="00000230" w:rsidRPr="00B90394">
        <w:rPr>
          <w:rFonts w:ascii="Times New Roman" w:hAnsi="Times New Roman"/>
        </w:rPr>
        <w:t>danger that the fact</w:t>
      </w:r>
      <w:r w:rsidR="007E22BF" w:rsidRPr="00B90394">
        <w:rPr>
          <w:rFonts w:ascii="Times New Roman" w:hAnsi="Times New Roman"/>
        </w:rPr>
        <w:t>-</w:t>
      </w:r>
      <w:r w:rsidR="00000230" w:rsidRPr="00B90394">
        <w:rPr>
          <w:rFonts w:ascii="Times New Roman" w:hAnsi="Times New Roman"/>
        </w:rPr>
        <w:t>finder may over</w:t>
      </w:r>
      <w:r w:rsidR="007E22BF" w:rsidRPr="00B90394">
        <w:rPr>
          <w:rFonts w:ascii="Times New Roman" w:hAnsi="Times New Roman"/>
        </w:rPr>
        <w:t>-</w:t>
      </w:r>
      <w:r w:rsidR="00000230" w:rsidRPr="00B90394">
        <w:rPr>
          <w:rFonts w:ascii="Times New Roman" w:hAnsi="Times New Roman"/>
        </w:rPr>
        <w:t>estimate the probative value of the evidence</w:t>
      </w:r>
      <w:r w:rsidR="00297426" w:rsidRPr="00B90394">
        <w:rPr>
          <w:rFonts w:ascii="Times New Roman" w:hAnsi="Times New Roman"/>
        </w:rPr>
        <w:t>"</w:t>
      </w:r>
      <w:r w:rsidR="00000230" w:rsidRPr="00B90394">
        <w:rPr>
          <w:rFonts w:ascii="Times New Roman" w:hAnsi="Times New Roman"/>
        </w:rPr>
        <w:t xml:space="preserve"> or may decide the matter on an improper basis</w:t>
      </w:r>
      <w:r w:rsidR="00636475" w:rsidRPr="00B90394">
        <w:rPr>
          <w:rFonts w:ascii="Times New Roman" w:hAnsi="Times New Roman"/>
        </w:rPr>
        <w:t xml:space="preserve">, </w:t>
      </w:r>
      <w:r w:rsidR="00DF70F5" w:rsidRPr="00B90394">
        <w:rPr>
          <w:rFonts w:ascii="Times New Roman" w:hAnsi="Times New Roman"/>
        </w:rPr>
        <w:t>"</w:t>
      </w:r>
      <w:proofErr w:type="spellStart"/>
      <w:r w:rsidR="00DF70F5" w:rsidRPr="00B90394">
        <w:rPr>
          <w:rFonts w:ascii="Times New Roman" w:hAnsi="Times New Roman"/>
        </w:rPr>
        <w:t>ie</w:t>
      </w:r>
      <w:proofErr w:type="spellEnd"/>
      <w:r w:rsidR="00DF70F5" w:rsidRPr="00B90394">
        <w:rPr>
          <w:rFonts w:ascii="Times New Roman" w:hAnsi="Times New Roman"/>
        </w:rPr>
        <w:t xml:space="preserve"> on</w:t>
      </w:r>
      <w:r w:rsidR="00833B9E" w:rsidRPr="00B90394">
        <w:rPr>
          <w:rFonts w:ascii="Times New Roman" w:hAnsi="Times New Roman"/>
        </w:rPr>
        <w:t xml:space="preserve"> a basis</w:t>
      </w:r>
      <w:r w:rsidR="00000230" w:rsidRPr="00B90394">
        <w:rPr>
          <w:rFonts w:ascii="Times New Roman" w:hAnsi="Times New Roman"/>
        </w:rPr>
        <w:t xml:space="preserve"> logically unconnected </w:t>
      </w:r>
      <w:r w:rsidR="00C1016F" w:rsidRPr="00B90394">
        <w:rPr>
          <w:rFonts w:ascii="Times New Roman" w:hAnsi="Times New Roman"/>
        </w:rPr>
        <w:t>with</w:t>
      </w:r>
      <w:r w:rsidR="00000230" w:rsidRPr="00B90394">
        <w:rPr>
          <w:rFonts w:ascii="Times New Roman" w:hAnsi="Times New Roman"/>
        </w:rPr>
        <w:t xml:space="preserve"> the issues in the </w:t>
      </w:r>
      <w:r w:rsidR="00DF70F5" w:rsidRPr="00B90394">
        <w:rPr>
          <w:rFonts w:ascii="Times New Roman" w:hAnsi="Times New Roman"/>
        </w:rPr>
        <w:t>case"</w:t>
      </w:r>
      <w:r w:rsidR="0040290C" w:rsidRPr="00B90394">
        <w:rPr>
          <w:rFonts w:ascii="Times New Roman" w:hAnsi="Times New Roman"/>
        </w:rPr>
        <w:t>.</w:t>
      </w:r>
      <w:r w:rsidRPr="00B90394">
        <w:rPr>
          <w:rStyle w:val="FootnoteReference"/>
          <w:rFonts w:ascii="Times New Roman" w:hAnsi="Times New Roman"/>
          <w:sz w:val="24"/>
        </w:rPr>
        <w:footnoteReference w:id="69"/>
      </w:r>
      <w:r w:rsidR="00000230" w:rsidRPr="00B90394">
        <w:rPr>
          <w:rFonts w:ascii="Times New Roman" w:hAnsi="Times New Roman"/>
        </w:rPr>
        <w:t xml:space="preserve"> Neither the </w:t>
      </w:r>
      <w:r w:rsidR="00646803" w:rsidRPr="00B90394">
        <w:rPr>
          <w:rFonts w:ascii="Times New Roman" w:hAnsi="Times New Roman"/>
        </w:rPr>
        <w:t xml:space="preserve">interim report </w:t>
      </w:r>
      <w:r w:rsidR="002E17D7" w:rsidRPr="00B90394">
        <w:rPr>
          <w:rFonts w:ascii="Times New Roman" w:hAnsi="Times New Roman"/>
        </w:rPr>
        <w:t>nor</w:t>
      </w:r>
      <w:r w:rsidR="00646803" w:rsidRPr="00B90394">
        <w:rPr>
          <w:rFonts w:ascii="Times New Roman" w:hAnsi="Times New Roman"/>
        </w:rPr>
        <w:t xml:space="preserve"> the final </w:t>
      </w:r>
      <w:r w:rsidR="00000230" w:rsidRPr="00B90394">
        <w:rPr>
          <w:rFonts w:ascii="Times New Roman" w:hAnsi="Times New Roman"/>
        </w:rPr>
        <w:t>report identified the absence of an ability to cross</w:t>
      </w:r>
      <w:r w:rsidR="00DE7E4F" w:rsidRPr="00B90394">
        <w:rPr>
          <w:rFonts w:ascii="Times New Roman" w:hAnsi="Times New Roman"/>
        </w:rPr>
        <w:t>-</w:t>
      </w:r>
      <w:r w:rsidR="00000230" w:rsidRPr="00B90394">
        <w:rPr>
          <w:rFonts w:ascii="Times New Roman" w:hAnsi="Times New Roman"/>
        </w:rPr>
        <w:t>examine the maker of a representation as a form of potential prejudice that might warrant the exclusion of the evidence of the representation. Having regard to th</w:t>
      </w:r>
      <w:r w:rsidR="009E5490" w:rsidRPr="00B90394">
        <w:rPr>
          <w:rFonts w:ascii="Times New Roman" w:hAnsi="Times New Roman"/>
        </w:rPr>
        <w:t>e</w:t>
      </w:r>
      <w:r w:rsidR="00000230" w:rsidRPr="00B90394">
        <w:rPr>
          <w:rFonts w:ascii="Times New Roman" w:hAnsi="Times New Roman"/>
        </w:rPr>
        <w:t xml:space="preserve"> discussion of prejudice in the </w:t>
      </w:r>
      <w:r w:rsidR="00473719" w:rsidRPr="00B90394">
        <w:rPr>
          <w:rFonts w:ascii="Times New Roman" w:hAnsi="Times New Roman"/>
        </w:rPr>
        <w:t>i</w:t>
      </w:r>
      <w:r w:rsidR="00000230" w:rsidRPr="00B90394">
        <w:rPr>
          <w:rFonts w:ascii="Times New Roman" w:hAnsi="Times New Roman"/>
        </w:rPr>
        <w:t xml:space="preserve">nterim </w:t>
      </w:r>
      <w:r w:rsidR="00473719" w:rsidRPr="00B90394">
        <w:rPr>
          <w:rFonts w:ascii="Times New Roman" w:hAnsi="Times New Roman"/>
        </w:rPr>
        <w:t>r</w:t>
      </w:r>
      <w:r w:rsidR="00000230" w:rsidRPr="00B90394">
        <w:rPr>
          <w:rFonts w:ascii="Times New Roman" w:hAnsi="Times New Roman"/>
        </w:rPr>
        <w:t xml:space="preserve">eport, in </w:t>
      </w:r>
      <w:proofErr w:type="spellStart"/>
      <w:r w:rsidR="00000230" w:rsidRPr="00B90394">
        <w:rPr>
          <w:rFonts w:ascii="Times New Roman" w:hAnsi="Times New Roman"/>
          <w:i/>
          <w:iCs/>
        </w:rPr>
        <w:t>Papakosmas</w:t>
      </w:r>
      <w:proofErr w:type="spellEnd"/>
      <w:r w:rsidR="00000230" w:rsidRPr="00B90394">
        <w:rPr>
          <w:rFonts w:ascii="Times New Roman" w:hAnsi="Times New Roman"/>
          <w:i/>
          <w:iCs/>
        </w:rPr>
        <w:t xml:space="preserve"> v The Queen</w:t>
      </w:r>
      <w:r w:rsidRPr="00B90394">
        <w:rPr>
          <w:rStyle w:val="FootnoteReference"/>
          <w:rFonts w:ascii="Times New Roman" w:hAnsi="Times New Roman"/>
          <w:sz w:val="24"/>
        </w:rPr>
        <w:footnoteReference w:id="70"/>
      </w:r>
      <w:r w:rsidR="00000230" w:rsidRPr="00B90394">
        <w:rPr>
          <w:rFonts w:ascii="Times New Roman" w:hAnsi="Times New Roman"/>
        </w:rPr>
        <w:t xml:space="preserve"> McHugh</w:t>
      </w:r>
      <w:r w:rsidRPr="00B90394">
        <w:rPr>
          <w:rFonts w:ascii="Times New Roman" w:hAnsi="Times New Roman"/>
        </w:rPr>
        <w:t> </w:t>
      </w:r>
      <w:r w:rsidR="00000230" w:rsidRPr="00B90394">
        <w:rPr>
          <w:rFonts w:ascii="Times New Roman" w:hAnsi="Times New Roman"/>
        </w:rPr>
        <w:t xml:space="preserve">J doubted whether unfair prejudice extended to </w:t>
      </w:r>
      <w:r w:rsidR="002F6D24" w:rsidRPr="00B90394">
        <w:rPr>
          <w:rFonts w:ascii="Times New Roman" w:hAnsi="Times New Roman"/>
        </w:rPr>
        <w:t>"</w:t>
      </w:r>
      <w:r w:rsidR="00000230" w:rsidRPr="00B90394">
        <w:rPr>
          <w:rFonts w:ascii="Times New Roman" w:hAnsi="Times New Roman"/>
        </w:rPr>
        <w:t>procedural disadvantages</w:t>
      </w:r>
      <w:r w:rsidR="002F6D24" w:rsidRPr="00B90394">
        <w:rPr>
          <w:rFonts w:ascii="Times New Roman" w:hAnsi="Times New Roman"/>
        </w:rPr>
        <w:t>"</w:t>
      </w:r>
      <w:r w:rsidR="002A44BA" w:rsidRPr="00B90394">
        <w:rPr>
          <w:rFonts w:ascii="Times New Roman" w:hAnsi="Times New Roman"/>
        </w:rPr>
        <w:t>,</w:t>
      </w:r>
      <w:r w:rsidR="00000230" w:rsidRPr="00B90394">
        <w:rPr>
          <w:rFonts w:ascii="Times New Roman" w:hAnsi="Times New Roman"/>
        </w:rPr>
        <w:t xml:space="preserve"> such as the inability to cross</w:t>
      </w:r>
      <w:r w:rsidR="00DE7E4F" w:rsidRPr="00B90394">
        <w:rPr>
          <w:rFonts w:ascii="Times New Roman" w:hAnsi="Times New Roman"/>
        </w:rPr>
        <w:t>-</w:t>
      </w:r>
      <w:r w:rsidR="00000230" w:rsidRPr="00B90394">
        <w:rPr>
          <w:rFonts w:ascii="Times New Roman" w:hAnsi="Times New Roman"/>
        </w:rPr>
        <w:t>examine the maker of the representation.</w:t>
      </w:r>
      <w:r w:rsidRPr="00B90394">
        <w:rPr>
          <w:rStyle w:val="FootnoteReference"/>
          <w:rFonts w:ascii="Times New Roman" w:hAnsi="Times New Roman"/>
          <w:sz w:val="24"/>
        </w:rPr>
        <w:footnoteReference w:id="71"/>
      </w:r>
      <w:r w:rsidR="00000230" w:rsidRPr="00B90394">
        <w:rPr>
          <w:rFonts w:ascii="Times New Roman" w:hAnsi="Times New Roman"/>
        </w:rPr>
        <w:t xml:space="preserve"> </w:t>
      </w:r>
    </w:p>
    <w:p w14:paraId="51AD99F4" w14:textId="3AF80737" w:rsidR="004069C9" w:rsidRPr="00B90394" w:rsidRDefault="00E56122"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2005 joint review of the </w:t>
      </w:r>
      <w:r w:rsidR="00000230" w:rsidRPr="00B90394">
        <w:rPr>
          <w:rFonts w:ascii="Times New Roman" w:hAnsi="Times New Roman"/>
          <w:i/>
          <w:iCs/>
        </w:rPr>
        <w:t>Evidence Act 1995</w:t>
      </w:r>
      <w:r w:rsidR="00000230" w:rsidRPr="00B90394">
        <w:rPr>
          <w:rFonts w:ascii="Times New Roman" w:hAnsi="Times New Roman"/>
        </w:rPr>
        <w:t xml:space="preserve"> (</w:t>
      </w:r>
      <w:proofErr w:type="spellStart"/>
      <w:r w:rsidR="00000230" w:rsidRPr="00B90394">
        <w:rPr>
          <w:rFonts w:ascii="Times New Roman" w:hAnsi="Times New Roman"/>
        </w:rPr>
        <w:t>Cth</w:t>
      </w:r>
      <w:proofErr w:type="spellEnd"/>
      <w:r w:rsidR="00000230" w:rsidRPr="00B90394">
        <w:rPr>
          <w:rFonts w:ascii="Times New Roman" w:hAnsi="Times New Roman"/>
        </w:rPr>
        <w:t xml:space="preserve">) and the </w:t>
      </w:r>
      <w:r w:rsidR="00000230" w:rsidRPr="00B90394">
        <w:rPr>
          <w:rFonts w:ascii="Times New Roman" w:hAnsi="Times New Roman"/>
          <w:i/>
          <w:iCs/>
        </w:rPr>
        <w:t>Evidence Act 1995</w:t>
      </w:r>
      <w:r w:rsidR="00000230" w:rsidRPr="00B90394">
        <w:rPr>
          <w:rFonts w:ascii="Times New Roman" w:hAnsi="Times New Roman"/>
        </w:rPr>
        <w:t xml:space="preserve"> (NSW) conducted by the </w:t>
      </w:r>
      <w:r w:rsidR="00C637AD" w:rsidRPr="00B90394">
        <w:rPr>
          <w:rFonts w:ascii="Times New Roman" w:hAnsi="Times New Roman"/>
        </w:rPr>
        <w:t>ALRC,</w:t>
      </w:r>
      <w:r w:rsidR="00000230" w:rsidRPr="00B90394">
        <w:rPr>
          <w:rFonts w:ascii="Times New Roman" w:hAnsi="Times New Roman"/>
        </w:rPr>
        <w:t xml:space="preserve"> the New South Wales Law Reform </w:t>
      </w:r>
      <w:r w:rsidR="00000230" w:rsidRPr="00B90394">
        <w:rPr>
          <w:rFonts w:ascii="Times New Roman" w:hAnsi="Times New Roman"/>
        </w:rPr>
        <w:lastRenderedPageBreak/>
        <w:t xml:space="preserve">Commission and the Victorian Law Reform Commission </w:t>
      </w:r>
      <w:r w:rsidR="00F45136" w:rsidRPr="00B90394">
        <w:rPr>
          <w:rFonts w:ascii="Times New Roman" w:hAnsi="Times New Roman"/>
        </w:rPr>
        <w:t xml:space="preserve">("ALRC 102") </w:t>
      </w:r>
      <w:r w:rsidR="00000230" w:rsidRPr="00B90394">
        <w:rPr>
          <w:rFonts w:ascii="Times New Roman" w:hAnsi="Times New Roman"/>
        </w:rPr>
        <w:t>acknowledged a debate in the authorities about this aspect of prejudice</w:t>
      </w:r>
      <w:r w:rsidR="00717FF6" w:rsidRPr="00B90394">
        <w:rPr>
          <w:rFonts w:ascii="Times New Roman" w:hAnsi="Times New Roman"/>
        </w:rPr>
        <w:t>,</w:t>
      </w:r>
      <w:r w:rsidR="00000230" w:rsidRPr="00B90394">
        <w:rPr>
          <w:rFonts w:ascii="Times New Roman" w:hAnsi="Times New Roman"/>
        </w:rPr>
        <w:t xml:space="preserve"> but accepted that an inability to test evidence by cross</w:t>
      </w:r>
      <w:r w:rsidR="00DE7E4F" w:rsidRPr="00B90394">
        <w:rPr>
          <w:rFonts w:ascii="Times New Roman" w:hAnsi="Times New Roman"/>
        </w:rPr>
        <w:t>-</w:t>
      </w:r>
      <w:r w:rsidR="00000230" w:rsidRPr="00B90394">
        <w:rPr>
          <w:rFonts w:ascii="Times New Roman" w:hAnsi="Times New Roman"/>
        </w:rPr>
        <w:t xml:space="preserve">examination </w:t>
      </w:r>
      <w:r w:rsidR="007C2094" w:rsidRPr="00B90394">
        <w:rPr>
          <w:rFonts w:ascii="Times New Roman" w:hAnsi="Times New Roman"/>
        </w:rPr>
        <w:t>"</w:t>
      </w:r>
      <w:r w:rsidR="00000230" w:rsidRPr="00B90394">
        <w:rPr>
          <w:rFonts w:ascii="Times New Roman" w:hAnsi="Times New Roman"/>
        </w:rPr>
        <w:t>may constitute a legitimate ground for its exclusion where this will affect the ability of the fact</w:t>
      </w:r>
      <w:r w:rsidR="00300472" w:rsidRPr="00B90394">
        <w:rPr>
          <w:rFonts w:ascii="Times New Roman" w:hAnsi="Times New Roman"/>
        </w:rPr>
        <w:t>-</w:t>
      </w:r>
      <w:r w:rsidR="00000230" w:rsidRPr="00B90394">
        <w:rPr>
          <w:rFonts w:ascii="Times New Roman" w:hAnsi="Times New Roman"/>
        </w:rPr>
        <w:t>finder to assess rationally the weight of the evidence</w:t>
      </w:r>
      <w:r w:rsidR="007C2094" w:rsidRPr="00B90394">
        <w:rPr>
          <w:rFonts w:ascii="Times New Roman" w:hAnsi="Times New Roman"/>
        </w:rPr>
        <w:t>"</w:t>
      </w:r>
      <w:r w:rsidRPr="00B90394">
        <w:rPr>
          <w:rFonts w:ascii="Times New Roman" w:hAnsi="Times New Roman"/>
        </w:rPr>
        <w:t>.</w:t>
      </w:r>
      <w:r w:rsidRPr="00B90394">
        <w:rPr>
          <w:rStyle w:val="FootnoteReference"/>
          <w:rFonts w:ascii="Times New Roman" w:hAnsi="Times New Roman"/>
          <w:sz w:val="24"/>
        </w:rPr>
        <w:footnoteReference w:id="72"/>
      </w:r>
      <w:r w:rsidR="00000230" w:rsidRPr="00B90394">
        <w:rPr>
          <w:rFonts w:ascii="Times New Roman" w:hAnsi="Times New Roman"/>
        </w:rPr>
        <w:t xml:space="preserve"> </w:t>
      </w:r>
      <w:r w:rsidR="00555330" w:rsidRPr="00B90394">
        <w:rPr>
          <w:rFonts w:ascii="Times New Roman" w:hAnsi="Times New Roman"/>
        </w:rPr>
        <w:t>ALRC 102</w:t>
      </w:r>
      <w:r w:rsidR="00000230" w:rsidRPr="00B90394">
        <w:rPr>
          <w:rFonts w:ascii="Times New Roman" w:hAnsi="Times New Roman"/>
        </w:rPr>
        <w:t xml:space="preserve"> stated that this assessment would depend on a number of factors</w:t>
      </w:r>
      <w:r w:rsidR="00DB04BA" w:rsidRPr="00B90394">
        <w:rPr>
          <w:rFonts w:ascii="Times New Roman" w:hAnsi="Times New Roman"/>
        </w:rPr>
        <w:t>,</w:t>
      </w:r>
      <w:r w:rsidR="00000230" w:rsidRPr="00B90394">
        <w:rPr>
          <w:rFonts w:ascii="Times New Roman" w:hAnsi="Times New Roman"/>
        </w:rPr>
        <w:t xml:space="preserve"> including </w:t>
      </w:r>
      <w:r w:rsidR="002143B1" w:rsidRPr="00B90394">
        <w:rPr>
          <w:rFonts w:ascii="Times New Roman" w:hAnsi="Times New Roman"/>
        </w:rPr>
        <w:t>"</w:t>
      </w:r>
      <w:r w:rsidR="00000230" w:rsidRPr="00B90394">
        <w:rPr>
          <w:rFonts w:ascii="Times New Roman" w:hAnsi="Times New Roman"/>
        </w:rPr>
        <w:t>the basis on which the hearsay rule did not apply</w:t>
      </w:r>
      <w:r w:rsidR="00300472" w:rsidRPr="00B90394">
        <w:rPr>
          <w:rFonts w:ascii="Times New Roman" w:hAnsi="Times New Roman"/>
        </w:rPr>
        <w:t>;</w:t>
      </w:r>
      <w:r w:rsidR="00000230" w:rsidRPr="00B90394">
        <w:rPr>
          <w:rFonts w:ascii="Times New Roman" w:hAnsi="Times New Roman"/>
        </w:rPr>
        <w:t xml:space="preserve"> the possible significance of cross</w:t>
      </w:r>
      <w:r w:rsidR="00303E2F" w:rsidRPr="00B90394">
        <w:rPr>
          <w:rFonts w:ascii="Times New Roman" w:hAnsi="Times New Roman"/>
        </w:rPr>
        <w:t>-</w:t>
      </w:r>
      <w:r w:rsidR="00000230" w:rsidRPr="00B90394">
        <w:rPr>
          <w:rFonts w:ascii="Times New Roman" w:hAnsi="Times New Roman"/>
        </w:rPr>
        <w:t>examination</w:t>
      </w:r>
      <w:r w:rsidR="00300472" w:rsidRPr="00B90394">
        <w:rPr>
          <w:rFonts w:ascii="Times New Roman" w:hAnsi="Times New Roman"/>
        </w:rPr>
        <w:t>;</w:t>
      </w:r>
      <w:r w:rsidR="00000230" w:rsidRPr="00B90394">
        <w:rPr>
          <w:rFonts w:ascii="Times New Roman" w:hAnsi="Times New Roman"/>
        </w:rPr>
        <w:t xml:space="preserve"> and whether there are other means of assessing the reliability of th</w:t>
      </w:r>
      <w:r w:rsidR="00300472" w:rsidRPr="00B90394">
        <w:rPr>
          <w:rFonts w:ascii="Times New Roman" w:hAnsi="Times New Roman"/>
        </w:rPr>
        <w:t>e</w:t>
      </w:r>
      <w:r w:rsidR="00000230" w:rsidRPr="00B90394">
        <w:rPr>
          <w:rFonts w:ascii="Times New Roman" w:hAnsi="Times New Roman"/>
        </w:rPr>
        <w:t xml:space="preserve"> evidence</w:t>
      </w:r>
      <w:r w:rsidR="001913C2" w:rsidRPr="00B90394">
        <w:rPr>
          <w:rFonts w:ascii="Times New Roman" w:hAnsi="Times New Roman"/>
        </w:rPr>
        <w:t>"</w:t>
      </w:r>
      <w:r w:rsidR="00000230" w:rsidRPr="00B90394">
        <w:rPr>
          <w:rFonts w:ascii="Times New Roman" w:hAnsi="Times New Roman"/>
        </w:rPr>
        <w:t>.</w:t>
      </w:r>
      <w:r w:rsidR="00B02CF8" w:rsidRPr="00B90394">
        <w:rPr>
          <w:rStyle w:val="FootnoteReference"/>
          <w:rFonts w:ascii="Times New Roman" w:hAnsi="Times New Roman"/>
          <w:sz w:val="24"/>
        </w:rPr>
        <w:footnoteReference w:id="73"/>
      </w:r>
      <w:r w:rsidR="00000230" w:rsidRPr="00B90394">
        <w:rPr>
          <w:rFonts w:ascii="Times New Roman" w:hAnsi="Times New Roman"/>
        </w:rPr>
        <w:t xml:space="preserve"> </w:t>
      </w:r>
    </w:p>
    <w:p w14:paraId="35B9C3ED" w14:textId="023BE114" w:rsidR="00000230" w:rsidRPr="00B90394" w:rsidRDefault="00B718DD"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1913C2" w:rsidRPr="00B90394">
        <w:rPr>
          <w:rFonts w:ascii="Times New Roman" w:hAnsi="Times New Roman"/>
        </w:rPr>
        <w:t xml:space="preserve">ALRC 102 </w:t>
      </w:r>
      <w:r w:rsidR="00000230" w:rsidRPr="00B90394">
        <w:rPr>
          <w:rFonts w:ascii="Times New Roman" w:hAnsi="Times New Roman"/>
        </w:rPr>
        <w:t xml:space="preserve">preceded the enactment of the </w:t>
      </w:r>
      <w:r w:rsidR="00000230" w:rsidRPr="00B90394">
        <w:rPr>
          <w:rFonts w:ascii="Times New Roman" w:hAnsi="Times New Roman"/>
          <w:i/>
          <w:iCs/>
        </w:rPr>
        <w:t>Evidence Act 2008</w:t>
      </w:r>
      <w:r w:rsidR="00000230" w:rsidRPr="00B90394">
        <w:rPr>
          <w:rFonts w:ascii="Times New Roman" w:hAnsi="Times New Roman"/>
        </w:rPr>
        <w:t xml:space="preserve"> (Vic) and can be considered in its construction.</w:t>
      </w:r>
      <w:r w:rsidR="00B02CF8" w:rsidRPr="00B90394">
        <w:rPr>
          <w:rStyle w:val="FootnoteReference"/>
          <w:rFonts w:ascii="Times New Roman" w:hAnsi="Times New Roman"/>
          <w:sz w:val="24"/>
        </w:rPr>
        <w:footnoteReference w:id="74"/>
      </w:r>
      <w:r w:rsidR="00000230" w:rsidRPr="00B90394">
        <w:rPr>
          <w:rFonts w:ascii="Times New Roman" w:hAnsi="Times New Roman"/>
        </w:rPr>
        <w:t xml:space="preserve"> </w:t>
      </w:r>
      <w:r w:rsidR="0018225B" w:rsidRPr="00B90394">
        <w:rPr>
          <w:rFonts w:ascii="Times New Roman" w:hAnsi="Times New Roman"/>
        </w:rPr>
        <w:t xml:space="preserve">The </w:t>
      </w:r>
      <w:r w:rsidR="00385520" w:rsidRPr="00B90394">
        <w:rPr>
          <w:rFonts w:ascii="Times New Roman" w:hAnsi="Times New Roman"/>
        </w:rPr>
        <w:t>report</w:t>
      </w:r>
      <w:r w:rsidR="0040290C" w:rsidRPr="00B90394">
        <w:rPr>
          <w:rFonts w:ascii="Times New Roman" w:hAnsi="Times New Roman"/>
        </w:rPr>
        <w:t>'</w:t>
      </w:r>
      <w:r w:rsidR="00385520" w:rsidRPr="00B90394">
        <w:rPr>
          <w:rFonts w:ascii="Times New Roman" w:hAnsi="Times New Roman"/>
        </w:rPr>
        <w:t>s analysis</w:t>
      </w:r>
      <w:r w:rsidR="0018225B" w:rsidRPr="00B90394">
        <w:rPr>
          <w:rFonts w:ascii="Times New Roman" w:hAnsi="Times New Roman"/>
        </w:rPr>
        <w:t xml:space="preserve"> of </w:t>
      </w:r>
      <w:r w:rsidR="00000230" w:rsidRPr="00B90394">
        <w:rPr>
          <w:rFonts w:ascii="Times New Roman" w:hAnsi="Times New Roman"/>
        </w:rPr>
        <w:t>the</w:t>
      </w:r>
      <w:r w:rsidR="004E602B" w:rsidRPr="00B90394">
        <w:rPr>
          <w:rFonts w:ascii="Times New Roman" w:hAnsi="Times New Roman"/>
        </w:rPr>
        <w:t xml:space="preserve"> interrelationship between the</w:t>
      </w:r>
      <w:r w:rsidR="00000230" w:rsidRPr="00B90394">
        <w:rPr>
          <w:rFonts w:ascii="Times New Roman" w:hAnsi="Times New Roman"/>
        </w:rPr>
        <w:t xml:space="preserve"> inability to cross</w:t>
      </w:r>
      <w:r w:rsidR="00DE7E4F" w:rsidRPr="00B90394">
        <w:rPr>
          <w:rFonts w:ascii="Times New Roman" w:hAnsi="Times New Roman"/>
        </w:rPr>
        <w:t>-</w:t>
      </w:r>
      <w:r w:rsidR="00000230" w:rsidRPr="00B90394">
        <w:rPr>
          <w:rFonts w:ascii="Times New Roman" w:hAnsi="Times New Roman"/>
        </w:rPr>
        <w:t xml:space="preserve">examine the maker of a representation </w:t>
      </w:r>
      <w:r w:rsidR="0018225B" w:rsidRPr="00B90394">
        <w:rPr>
          <w:rFonts w:ascii="Times New Roman" w:hAnsi="Times New Roman"/>
        </w:rPr>
        <w:t xml:space="preserve">and unfair prejudice </w:t>
      </w:r>
      <w:r w:rsidR="004E602B" w:rsidRPr="00B90394">
        <w:rPr>
          <w:rFonts w:ascii="Times New Roman" w:hAnsi="Times New Roman"/>
        </w:rPr>
        <w:t xml:space="preserve">should be accepted. It reconciles </w:t>
      </w:r>
      <w:r w:rsidR="00752AC4" w:rsidRPr="00B90394">
        <w:rPr>
          <w:rFonts w:ascii="Times New Roman" w:hAnsi="Times New Roman"/>
        </w:rPr>
        <w:t>the procedural disadvantage arising from the inability to cross</w:t>
      </w:r>
      <w:r w:rsidR="00DE7E4F" w:rsidRPr="00B90394">
        <w:rPr>
          <w:rFonts w:ascii="Times New Roman" w:hAnsi="Times New Roman"/>
        </w:rPr>
        <w:t>-</w:t>
      </w:r>
      <w:r w:rsidR="00752AC4" w:rsidRPr="00B90394">
        <w:rPr>
          <w:rFonts w:ascii="Times New Roman" w:hAnsi="Times New Roman"/>
        </w:rPr>
        <w:t xml:space="preserve">examine with the </w:t>
      </w:r>
      <w:r w:rsidR="00C41093" w:rsidRPr="00B90394">
        <w:rPr>
          <w:rFonts w:ascii="Times New Roman" w:hAnsi="Times New Roman"/>
        </w:rPr>
        <w:t xml:space="preserve">understanding of prejudice </w:t>
      </w:r>
      <w:r w:rsidR="00431E4A" w:rsidRPr="00B90394">
        <w:rPr>
          <w:rFonts w:ascii="Times New Roman" w:hAnsi="Times New Roman"/>
        </w:rPr>
        <w:t>described in the interim report.</w:t>
      </w:r>
    </w:p>
    <w:p w14:paraId="2647D4EC" w14:textId="77777777" w:rsidR="00CE2875" w:rsidRPr="00B90394" w:rsidRDefault="00B02CF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18225B" w:rsidRPr="00B90394">
        <w:rPr>
          <w:rFonts w:ascii="Times New Roman" w:hAnsi="Times New Roman"/>
        </w:rPr>
        <w:t xml:space="preserve">The </w:t>
      </w:r>
      <w:r w:rsidR="00000230" w:rsidRPr="00B90394">
        <w:rPr>
          <w:rFonts w:ascii="Times New Roman" w:hAnsi="Times New Roman"/>
        </w:rPr>
        <w:t>basis for the admission of the evidence of the representations i</w:t>
      </w:r>
      <w:r w:rsidR="0018225B" w:rsidRPr="00B90394">
        <w:rPr>
          <w:rFonts w:ascii="Times New Roman" w:hAnsi="Times New Roman"/>
        </w:rPr>
        <w:t>n this case i</w:t>
      </w:r>
      <w:r w:rsidR="00000230" w:rsidRPr="00B90394">
        <w:rPr>
          <w:rFonts w:ascii="Times New Roman" w:hAnsi="Times New Roman"/>
        </w:rPr>
        <w:t xml:space="preserve">s that the complainant is not available to give evidence and the uncontested findings by the Court of Appeal that each representation was made shortly after the asserted fact happened and in circumstances that made it unlikely that the representation was a fabrication. </w:t>
      </w:r>
    </w:p>
    <w:p w14:paraId="329E2940" w14:textId="2EB25BBE" w:rsidR="00000230" w:rsidRPr="00B90394" w:rsidRDefault="00060E94"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18225B" w:rsidRPr="00B90394">
        <w:rPr>
          <w:rFonts w:ascii="Times New Roman" w:hAnsi="Times New Roman"/>
        </w:rPr>
        <w:t>T</w:t>
      </w:r>
      <w:r w:rsidR="00000230" w:rsidRPr="00B90394">
        <w:rPr>
          <w:rFonts w:ascii="Times New Roman" w:hAnsi="Times New Roman"/>
        </w:rPr>
        <w:t>he appellant contended that the denial of the ability to cross</w:t>
      </w:r>
      <w:r w:rsidR="00DE7E4F" w:rsidRPr="00B90394">
        <w:rPr>
          <w:rFonts w:ascii="Times New Roman" w:hAnsi="Times New Roman"/>
        </w:rPr>
        <w:t>-</w:t>
      </w:r>
      <w:r w:rsidR="00000230" w:rsidRPr="00B90394">
        <w:rPr>
          <w:rFonts w:ascii="Times New Roman" w:hAnsi="Times New Roman"/>
        </w:rPr>
        <w:t xml:space="preserve">examine </w:t>
      </w:r>
      <w:r w:rsidR="0018225B" w:rsidRPr="00B90394">
        <w:rPr>
          <w:rFonts w:ascii="Times New Roman" w:hAnsi="Times New Roman"/>
        </w:rPr>
        <w:t xml:space="preserve">the complainant </w:t>
      </w:r>
      <w:r w:rsidR="00000230" w:rsidRPr="00B90394">
        <w:rPr>
          <w:rFonts w:ascii="Times New Roman" w:hAnsi="Times New Roman"/>
        </w:rPr>
        <w:t xml:space="preserve">on various matters affecting </w:t>
      </w:r>
      <w:r w:rsidR="0018225B" w:rsidRPr="00B90394">
        <w:rPr>
          <w:rFonts w:ascii="Times New Roman" w:hAnsi="Times New Roman"/>
        </w:rPr>
        <w:t>the</w:t>
      </w:r>
      <w:r w:rsidR="00000230" w:rsidRPr="00B90394">
        <w:rPr>
          <w:rFonts w:ascii="Times New Roman" w:hAnsi="Times New Roman"/>
        </w:rPr>
        <w:t xml:space="preserve"> honesty of </w:t>
      </w:r>
      <w:r w:rsidR="0018225B" w:rsidRPr="00B90394">
        <w:rPr>
          <w:rFonts w:ascii="Times New Roman" w:hAnsi="Times New Roman"/>
        </w:rPr>
        <w:t>her</w:t>
      </w:r>
      <w:r w:rsidR="00000230" w:rsidRPr="00B90394">
        <w:rPr>
          <w:rFonts w:ascii="Times New Roman" w:hAnsi="Times New Roman"/>
        </w:rPr>
        <w:t xml:space="preserve"> identification of the appellant as the perpetrator warranted </w:t>
      </w:r>
      <w:r w:rsidR="0018225B" w:rsidRPr="00B90394">
        <w:rPr>
          <w:rFonts w:ascii="Times New Roman" w:hAnsi="Times New Roman"/>
        </w:rPr>
        <w:t>the</w:t>
      </w:r>
      <w:r w:rsidR="00000230" w:rsidRPr="00B90394">
        <w:rPr>
          <w:rFonts w:ascii="Times New Roman" w:hAnsi="Times New Roman"/>
        </w:rPr>
        <w:t xml:space="preserve"> rejection of the evidence of the representations. The </w:t>
      </w:r>
      <w:r w:rsidR="00495646" w:rsidRPr="00B90394">
        <w:rPr>
          <w:rFonts w:ascii="Times New Roman" w:hAnsi="Times New Roman"/>
        </w:rPr>
        <w:t>"plausible lines of cross</w:t>
      </w:r>
      <w:r w:rsidR="0085404C" w:rsidRPr="00B90394">
        <w:rPr>
          <w:rFonts w:ascii="Times New Roman" w:hAnsi="Times New Roman"/>
        </w:rPr>
        <w:t>-</w:t>
      </w:r>
      <w:r w:rsidR="00495646" w:rsidRPr="00B90394">
        <w:rPr>
          <w:rFonts w:ascii="Times New Roman" w:hAnsi="Times New Roman"/>
        </w:rPr>
        <w:t>examination"</w:t>
      </w:r>
      <w:r w:rsidR="00482C66" w:rsidRPr="00B90394">
        <w:rPr>
          <w:rFonts w:ascii="Times New Roman" w:hAnsi="Times New Roman"/>
        </w:rPr>
        <w:t>,</w:t>
      </w:r>
      <w:r w:rsidR="00495646" w:rsidRPr="00B90394">
        <w:rPr>
          <w:rFonts w:ascii="Times New Roman" w:hAnsi="Times New Roman"/>
        </w:rPr>
        <w:t xml:space="preserve"> which </w:t>
      </w:r>
      <w:r w:rsidR="00507603" w:rsidRPr="00B90394">
        <w:rPr>
          <w:rFonts w:ascii="Times New Roman" w:hAnsi="Times New Roman"/>
        </w:rPr>
        <w:t>t</w:t>
      </w:r>
      <w:r w:rsidR="00495646" w:rsidRPr="00B90394">
        <w:rPr>
          <w:rFonts w:ascii="Times New Roman" w:hAnsi="Times New Roman"/>
        </w:rPr>
        <w:t xml:space="preserve">he </w:t>
      </w:r>
      <w:r w:rsidR="00507603" w:rsidRPr="00B90394">
        <w:rPr>
          <w:rFonts w:ascii="Times New Roman" w:hAnsi="Times New Roman"/>
        </w:rPr>
        <w:t>appellant contend</w:t>
      </w:r>
      <w:r w:rsidR="0040290C" w:rsidRPr="00B90394">
        <w:rPr>
          <w:rFonts w:ascii="Times New Roman" w:hAnsi="Times New Roman"/>
        </w:rPr>
        <w:t>ed</w:t>
      </w:r>
      <w:r w:rsidR="00507603" w:rsidRPr="00B90394">
        <w:rPr>
          <w:rFonts w:ascii="Times New Roman" w:hAnsi="Times New Roman"/>
        </w:rPr>
        <w:t xml:space="preserve"> he </w:t>
      </w:r>
      <w:r w:rsidR="00495646" w:rsidRPr="00B90394">
        <w:rPr>
          <w:rFonts w:ascii="Times New Roman" w:hAnsi="Times New Roman"/>
        </w:rPr>
        <w:t>was denied</w:t>
      </w:r>
      <w:r w:rsidR="001B1711" w:rsidRPr="00B90394">
        <w:rPr>
          <w:rFonts w:ascii="Times New Roman" w:hAnsi="Times New Roman"/>
        </w:rPr>
        <w:t>,</w:t>
      </w:r>
      <w:r w:rsidR="00507603" w:rsidRPr="00B90394">
        <w:rPr>
          <w:rFonts w:ascii="Times New Roman" w:hAnsi="Times New Roman"/>
        </w:rPr>
        <w:t xml:space="preserve"> </w:t>
      </w:r>
      <w:r w:rsidR="00FA39D3" w:rsidRPr="00B90394">
        <w:rPr>
          <w:rFonts w:ascii="Times New Roman" w:hAnsi="Times New Roman"/>
        </w:rPr>
        <w:t xml:space="preserve">included </w:t>
      </w:r>
      <w:r w:rsidR="00000230" w:rsidRPr="00B90394">
        <w:rPr>
          <w:rFonts w:ascii="Times New Roman" w:hAnsi="Times New Roman"/>
        </w:rPr>
        <w:t>various statements made by the complainant about the identity of her assailant that were arguably inconsistent</w:t>
      </w:r>
      <w:r w:rsidR="00850844" w:rsidRPr="00B90394">
        <w:rPr>
          <w:rFonts w:ascii="Times New Roman" w:hAnsi="Times New Roman"/>
        </w:rPr>
        <w:t>,</w:t>
      </w:r>
      <w:r w:rsidR="00000230" w:rsidRPr="00B90394">
        <w:rPr>
          <w:rFonts w:ascii="Times New Roman" w:hAnsi="Times New Roman"/>
        </w:rPr>
        <w:t xml:space="preserve"> such as her referring to him in the </w:t>
      </w:r>
      <w:r w:rsidR="00B02CF8" w:rsidRPr="00B90394">
        <w:rPr>
          <w:rFonts w:ascii="Times New Roman" w:hAnsi="Times New Roman"/>
        </w:rPr>
        <w:t>triple</w:t>
      </w:r>
      <w:r w:rsidR="00B02CF8" w:rsidRPr="00B90394">
        <w:rPr>
          <w:rFonts w:ascii="Times New Roman" w:hAnsi="Times New Roman"/>
        </w:rPr>
        <w:noBreakHyphen/>
        <w:t>0</w:t>
      </w:r>
      <w:r w:rsidR="00000230" w:rsidRPr="00B90394">
        <w:rPr>
          <w:rFonts w:ascii="Times New Roman" w:hAnsi="Times New Roman"/>
        </w:rPr>
        <w:t xml:space="preserve"> call as her "ex-partner"</w:t>
      </w:r>
      <w:r w:rsidR="00850844" w:rsidRPr="00B90394">
        <w:rPr>
          <w:rFonts w:ascii="Times New Roman" w:hAnsi="Times New Roman"/>
        </w:rPr>
        <w:t>,</w:t>
      </w:r>
      <w:r w:rsidR="00000230" w:rsidRPr="00B90394">
        <w:rPr>
          <w:rFonts w:ascii="Times New Roman" w:hAnsi="Times New Roman"/>
        </w:rPr>
        <w:t xml:space="preserve"> which was said to be inaccurate</w:t>
      </w:r>
      <w:r w:rsidR="00AF3C14" w:rsidRPr="00B90394">
        <w:rPr>
          <w:rFonts w:ascii="Times New Roman" w:hAnsi="Times New Roman"/>
        </w:rPr>
        <w:t>.</w:t>
      </w:r>
      <w:r w:rsidR="00000230" w:rsidRPr="00B90394">
        <w:rPr>
          <w:rFonts w:ascii="Times New Roman" w:hAnsi="Times New Roman"/>
        </w:rPr>
        <w:t xml:space="preserve"> </w:t>
      </w:r>
      <w:r w:rsidR="000F2254" w:rsidRPr="00B90394">
        <w:rPr>
          <w:rFonts w:ascii="Times New Roman" w:hAnsi="Times New Roman"/>
        </w:rPr>
        <w:t xml:space="preserve">The </w:t>
      </w:r>
      <w:r w:rsidR="00587429" w:rsidRPr="00B90394">
        <w:rPr>
          <w:rFonts w:ascii="Times New Roman" w:hAnsi="Times New Roman"/>
        </w:rPr>
        <w:t>other lines of cross</w:t>
      </w:r>
      <w:r w:rsidR="00DE7E4F" w:rsidRPr="00B90394">
        <w:rPr>
          <w:rFonts w:ascii="Times New Roman" w:hAnsi="Times New Roman"/>
        </w:rPr>
        <w:t>-</w:t>
      </w:r>
      <w:r w:rsidR="00587429" w:rsidRPr="00B90394">
        <w:rPr>
          <w:rFonts w:ascii="Times New Roman" w:hAnsi="Times New Roman"/>
        </w:rPr>
        <w:t xml:space="preserve">examination the </w:t>
      </w:r>
      <w:r w:rsidR="00BD0F80" w:rsidRPr="00B90394">
        <w:rPr>
          <w:rFonts w:ascii="Times New Roman" w:hAnsi="Times New Roman"/>
        </w:rPr>
        <w:t>a</w:t>
      </w:r>
      <w:r w:rsidR="00BE5F5D" w:rsidRPr="00B90394">
        <w:rPr>
          <w:rFonts w:ascii="Times New Roman" w:hAnsi="Times New Roman"/>
        </w:rPr>
        <w:t>p</w:t>
      </w:r>
      <w:r w:rsidR="000F2254" w:rsidRPr="00B90394">
        <w:rPr>
          <w:rFonts w:ascii="Times New Roman" w:hAnsi="Times New Roman"/>
        </w:rPr>
        <w:t>pellant referred to</w:t>
      </w:r>
      <w:r w:rsidR="00587429" w:rsidRPr="00B90394">
        <w:rPr>
          <w:rFonts w:ascii="Times New Roman" w:hAnsi="Times New Roman"/>
        </w:rPr>
        <w:t xml:space="preserve"> were</w:t>
      </w:r>
      <w:r w:rsidR="00F92A0C" w:rsidRPr="00B90394">
        <w:rPr>
          <w:rFonts w:ascii="Times New Roman" w:hAnsi="Times New Roman"/>
        </w:rPr>
        <w:t>:</w:t>
      </w:r>
      <w:r w:rsidR="000F2254" w:rsidRPr="00B90394">
        <w:rPr>
          <w:rFonts w:ascii="Times New Roman" w:hAnsi="Times New Roman"/>
        </w:rPr>
        <w:t xml:space="preserve"> the </w:t>
      </w:r>
      <w:r w:rsidR="00802E4F" w:rsidRPr="00B90394">
        <w:rPr>
          <w:rFonts w:ascii="Times New Roman" w:hAnsi="Times New Roman"/>
        </w:rPr>
        <w:t xml:space="preserve">approximately </w:t>
      </w:r>
      <w:r w:rsidR="00B93418" w:rsidRPr="00B90394">
        <w:rPr>
          <w:rFonts w:ascii="Times New Roman" w:hAnsi="Times New Roman"/>
        </w:rPr>
        <w:t xml:space="preserve">six and </w:t>
      </w:r>
      <w:r w:rsidR="006B5208" w:rsidRPr="00B90394">
        <w:rPr>
          <w:rFonts w:ascii="Times New Roman" w:hAnsi="Times New Roman"/>
        </w:rPr>
        <w:t xml:space="preserve">a </w:t>
      </w:r>
      <w:r w:rsidR="00B93418" w:rsidRPr="00B90394">
        <w:rPr>
          <w:rFonts w:ascii="Times New Roman" w:hAnsi="Times New Roman"/>
        </w:rPr>
        <w:t xml:space="preserve">half hour </w:t>
      </w:r>
      <w:r w:rsidR="00802E4F" w:rsidRPr="00B90394">
        <w:rPr>
          <w:rFonts w:ascii="Times New Roman" w:hAnsi="Times New Roman"/>
        </w:rPr>
        <w:t>period between the end of the alleged ordeal and the first recorded complaint</w:t>
      </w:r>
      <w:r w:rsidR="00F92A0C" w:rsidRPr="00B90394">
        <w:rPr>
          <w:rFonts w:ascii="Times New Roman" w:hAnsi="Times New Roman"/>
        </w:rPr>
        <w:t>;</w:t>
      </w:r>
      <w:r w:rsidR="00802E4F" w:rsidRPr="00B90394">
        <w:rPr>
          <w:rFonts w:ascii="Times New Roman" w:hAnsi="Times New Roman"/>
          <w:b/>
          <w:bCs/>
        </w:rPr>
        <w:t xml:space="preserve"> </w:t>
      </w:r>
      <w:r w:rsidR="009D10B3" w:rsidRPr="00B90394">
        <w:rPr>
          <w:rFonts w:ascii="Times New Roman" w:hAnsi="Times New Roman"/>
        </w:rPr>
        <w:t xml:space="preserve">the </w:t>
      </w:r>
      <w:r w:rsidR="000F2254" w:rsidRPr="00B90394">
        <w:rPr>
          <w:rFonts w:ascii="Times New Roman" w:hAnsi="Times New Roman"/>
        </w:rPr>
        <w:t>complai</w:t>
      </w:r>
      <w:r w:rsidR="0040290C" w:rsidRPr="00B90394">
        <w:rPr>
          <w:rFonts w:ascii="Times New Roman" w:hAnsi="Times New Roman"/>
        </w:rPr>
        <w:t>na</w:t>
      </w:r>
      <w:r w:rsidR="000F2254" w:rsidRPr="00B90394">
        <w:rPr>
          <w:rFonts w:ascii="Times New Roman" w:hAnsi="Times New Roman"/>
        </w:rPr>
        <w:t>n</w:t>
      </w:r>
      <w:r w:rsidR="000D2527" w:rsidRPr="00B90394">
        <w:rPr>
          <w:rFonts w:ascii="Times New Roman" w:hAnsi="Times New Roman"/>
        </w:rPr>
        <w:t>t's alleged excessive drinking and use of medication</w:t>
      </w:r>
      <w:r w:rsidR="00263CDF" w:rsidRPr="00B90394">
        <w:rPr>
          <w:rFonts w:ascii="Times New Roman" w:hAnsi="Times New Roman"/>
        </w:rPr>
        <w:t>;</w:t>
      </w:r>
      <w:r w:rsidR="000D2527" w:rsidRPr="00B90394">
        <w:rPr>
          <w:rFonts w:ascii="Times New Roman" w:hAnsi="Times New Roman"/>
          <w:b/>
          <w:bCs/>
        </w:rPr>
        <w:t xml:space="preserve"> </w:t>
      </w:r>
      <w:r w:rsidR="00263CDF" w:rsidRPr="00B90394">
        <w:rPr>
          <w:rFonts w:ascii="Times New Roman" w:hAnsi="Times New Roman"/>
        </w:rPr>
        <w:t>the complainant's</w:t>
      </w:r>
      <w:r w:rsidR="009D626D" w:rsidRPr="00B90394">
        <w:rPr>
          <w:rFonts w:ascii="Times New Roman" w:hAnsi="Times New Roman"/>
        </w:rPr>
        <w:t xml:space="preserve"> apparently calm demeanour as dep</w:t>
      </w:r>
      <w:r w:rsidR="00FB5C87" w:rsidRPr="00B90394">
        <w:rPr>
          <w:rFonts w:ascii="Times New Roman" w:hAnsi="Times New Roman"/>
        </w:rPr>
        <w:t xml:space="preserve">icted in the </w:t>
      </w:r>
      <w:r w:rsidR="00FB5C87" w:rsidRPr="00B90394">
        <w:rPr>
          <w:rFonts w:ascii="Times New Roman" w:hAnsi="Times New Roman"/>
        </w:rPr>
        <w:lastRenderedPageBreak/>
        <w:t>footage taken from the body worn camera in contrast to the abuse she allegedly</w:t>
      </w:r>
      <w:r w:rsidR="009A0169" w:rsidRPr="00B90394">
        <w:rPr>
          <w:rFonts w:ascii="Times New Roman" w:hAnsi="Times New Roman"/>
        </w:rPr>
        <w:t xml:space="preserve"> had</w:t>
      </w:r>
      <w:r w:rsidR="00FB5C87" w:rsidRPr="00B90394">
        <w:rPr>
          <w:rFonts w:ascii="Times New Roman" w:hAnsi="Times New Roman"/>
        </w:rPr>
        <w:t xml:space="preserve"> been subjected to</w:t>
      </w:r>
      <w:r w:rsidR="00193C1A" w:rsidRPr="00B90394">
        <w:rPr>
          <w:rFonts w:ascii="Times New Roman" w:hAnsi="Times New Roman"/>
        </w:rPr>
        <w:t>;</w:t>
      </w:r>
      <w:r w:rsidR="00FB5C87" w:rsidRPr="00B90394">
        <w:rPr>
          <w:rFonts w:ascii="Times New Roman" w:hAnsi="Times New Roman"/>
        </w:rPr>
        <w:t xml:space="preserve"> </w:t>
      </w:r>
      <w:r w:rsidR="009D10B3" w:rsidRPr="00B90394">
        <w:rPr>
          <w:rFonts w:ascii="Times New Roman" w:hAnsi="Times New Roman"/>
        </w:rPr>
        <w:t xml:space="preserve">and the complainant's subsequent resumption of </w:t>
      </w:r>
      <w:r w:rsidR="00CF3A80" w:rsidRPr="00B90394">
        <w:rPr>
          <w:rFonts w:ascii="Times New Roman" w:hAnsi="Times New Roman"/>
        </w:rPr>
        <w:t>affectionate</w:t>
      </w:r>
      <w:r w:rsidR="009D10B3" w:rsidRPr="00B90394">
        <w:rPr>
          <w:rFonts w:ascii="Times New Roman" w:hAnsi="Times New Roman"/>
        </w:rPr>
        <w:t xml:space="preserve"> relations with the a</w:t>
      </w:r>
      <w:r w:rsidR="005F497F" w:rsidRPr="00B90394">
        <w:rPr>
          <w:rFonts w:ascii="Times New Roman" w:hAnsi="Times New Roman"/>
        </w:rPr>
        <w:t xml:space="preserve">ppellant. </w:t>
      </w:r>
      <w:r w:rsidR="00FA39D3" w:rsidRPr="00B90394">
        <w:rPr>
          <w:rFonts w:ascii="Times New Roman" w:hAnsi="Times New Roman"/>
        </w:rPr>
        <w:t xml:space="preserve">The appellant also contended that the complainant's failure to attend </w:t>
      </w:r>
      <w:r w:rsidR="0040290C" w:rsidRPr="00B90394">
        <w:rPr>
          <w:rFonts w:ascii="Times New Roman" w:hAnsi="Times New Roman"/>
        </w:rPr>
        <w:t>c</w:t>
      </w:r>
      <w:r w:rsidR="00FA39D3" w:rsidRPr="00B90394">
        <w:rPr>
          <w:rFonts w:ascii="Times New Roman" w:hAnsi="Times New Roman"/>
        </w:rPr>
        <w:t>ourt for limited preparatory cross</w:t>
      </w:r>
      <w:r w:rsidR="00DE7E4F" w:rsidRPr="00B90394">
        <w:rPr>
          <w:rFonts w:ascii="Times New Roman" w:hAnsi="Times New Roman"/>
        </w:rPr>
        <w:t>-</w:t>
      </w:r>
      <w:r w:rsidR="00FA39D3" w:rsidRPr="00B90394">
        <w:rPr>
          <w:rFonts w:ascii="Times New Roman" w:hAnsi="Times New Roman"/>
        </w:rPr>
        <w:t xml:space="preserve">examination on oath pursuant to s 198B of the </w:t>
      </w:r>
      <w:r w:rsidR="00FA39D3" w:rsidRPr="00B90394">
        <w:rPr>
          <w:rFonts w:ascii="Times New Roman" w:hAnsi="Times New Roman"/>
          <w:i/>
          <w:iCs/>
        </w:rPr>
        <w:t>Criminal Procedure Act</w:t>
      </w:r>
      <w:r w:rsidR="00FA39D3" w:rsidRPr="00B90394">
        <w:rPr>
          <w:rFonts w:ascii="Times New Roman" w:hAnsi="Times New Roman"/>
        </w:rPr>
        <w:t xml:space="preserve"> was indicative of her lack of credibility. </w:t>
      </w:r>
    </w:p>
    <w:p w14:paraId="187E6366" w14:textId="19699DB3" w:rsidR="00884FD0" w:rsidRPr="00B90394" w:rsidRDefault="00B02CF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These matters do not advance the case for exclusion very far. </w:t>
      </w:r>
      <w:r w:rsidR="00325D1F" w:rsidRPr="00B90394">
        <w:rPr>
          <w:rFonts w:ascii="Times New Roman" w:hAnsi="Times New Roman"/>
        </w:rPr>
        <w:t xml:space="preserve">The appellant did not point to any matter affecting the honesty of the complainant </w:t>
      </w:r>
      <w:r w:rsidR="001644B8" w:rsidRPr="00B90394">
        <w:rPr>
          <w:rFonts w:ascii="Times New Roman" w:hAnsi="Times New Roman"/>
        </w:rPr>
        <w:t>that</w:t>
      </w:r>
      <w:r w:rsidR="00325D1F" w:rsidRPr="00B90394">
        <w:rPr>
          <w:rFonts w:ascii="Times New Roman" w:hAnsi="Times New Roman"/>
        </w:rPr>
        <w:t xml:space="preserve"> cross</w:t>
      </w:r>
      <w:r w:rsidR="00DE7E4F" w:rsidRPr="00B90394">
        <w:rPr>
          <w:rFonts w:ascii="Times New Roman" w:hAnsi="Times New Roman"/>
        </w:rPr>
        <w:t>-</w:t>
      </w:r>
      <w:r w:rsidR="00325D1F" w:rsidRPr="00B90394">
        <w:rPr>
          <w:rFonts w:ascii="Times New Roman" w:hAnsi="Times New Roman"/>
        </w:rPr>
        <w:t xml:space="preserve">examination was especially suited to address. </w:t>
      </w:r>
      <w:r w:rsidR="00000230" w:rsidRPr="00B90394">
        <w:rPr>
          <w:rFonts w:ascii="Times New Roman" w:hAnsi="Times New Roman"/>
        </w:rPr>
        <w:t>The evidentiary basis for each of the</w:t>
      </w:r>
      <w:r w:rsidR="0018225B" w:rsidRPr="00B90394">
        <w:rPr>
          <w:rFonts w:ascii="Times New Roman" w:hAnsi="Times New Roman"/>
        </w:rPr>
        <w:t xml:space="preserve"> points sought to be raised</w:t>
      </w:r>
      <w:r w:rsidR="00000230" w:rsidRPr="00B90394">
        <w:rPr>
          <w:rFonts w:ascii="Times New Roman" w:hAnsi="Times New Roman"/>
        </w:rPr>
        <w:t xml:space="preserve"> can be established and then made the subject of submissions to the jury bearing in mind, as the Court of Appeal found, that it can be expected that the jury will receive "appropriate and strong directions regard</w:t>
      </w:r>
      <w:r w:rsidR="003008CD" w:rsidRPr="00B90394">
        <w:rPr>
          <w:rFonts w:ascii="Times New Roman" w:hAnsi="Times New Roman"/>
        </w:rPr>
        <w:t>ing the</w:t>
      </w:r>
      <w:r w:rsidR="00000230" w:rsidRPr="00B90394">
        <w:rPr>
          <w:rFonts w:ascii="Times New Roman" w:hAnsi="Times New Roman"/>
        </w:rPr>
        <w:t xml:space="preserve"> danger</w:t>
      </w:r>
      <w:r w:rsidR="00300472" w:rsidRPr="00B90394">
        <w:rPr>
          <w:rFonts w:ascii="Times New Roman" w:hAnsi="Times New Roman"/>
        </w:rPr>
        <w:t>s</w:t>
      </w:r>
      <w:r w:rsidR="00000230" w:rsidRPr="00B90394">
        <w:rPr>
          <w:rFonts w:ascii="Times New Roman" w:hAnsi="Times New Roman"/>
        </w:rPr>
        <w:t xml:space="preserve"> of giving too much weight to untested statements</w:t>
      </w:r>
      <w:r w:rsidR="00BC635F" w:rsidRPr="00B90394">
        <w:rPr>
          <w:rFonts w:ascii="Times New Roman" w:hAnsi="Times New Roman"/>
        </w:rPr>
        <w:t>"</w:t>
      </w:r>
      <w:r w:rsidR="0018225B" w:rsidRPr="00B90394">
        <w:rPr>
          <w:rFonts w:ascii="Times New Roman" w:hAnsi="Times New Roman"/>
        </w:rPr>
        <w:t>.</w:t>
      </w:r>
      <w:r w:rsidRPr="00B90394">
        <w:rPr>
          <w:rStyle w:val="FootnoteReference"/>
          <w:rFonts w:ascii="Times New Roman" w:hAnsi="Times New Roman"/>
          <w:sz w:val="24"/>
        </w:rPr>
        <w:footnoteReference w:id="75"/>
      </w:r>
      <w:r w:rsidR="00000230" w:rsidRPr="00B90394">
        <w:rPr>
          <w:rFonts w:ascii="Times New Roman" w:hAnsi="Times New Roman"/>
        </w:rPr>
        <w:t xml:space="preserve"> </w:t>
      </w:r>
      <w:r w:rsidR="0018225B" w:rsidRPr="00B90394">
        <w:rPr>
          <w:rFonts w:ascii="Times New Roman" w:hAnsi="Times New Roman"/>
        </w:rPr>
        <w:t xml:space="preserve">This </w:t>
      </w:r>
      <w:r w:rsidR="00000230" w:rsidRPr="00B90394">
        <w:rPr>
          <w:rFonts w:ascii="Times New Roman" w:hAnsi="Times New Roman"/>
        </w:rPr>
        <w:t xml:space="preserve">may </w:t>
      </w:r>
      <w:r w:rsidR="0018225B" w:rsidRPr="00B90394">
        <w:rPr>
          <w:rFonts w:ascii="Times New Roman" w:hAnsi="Times New Roman"/>
        </w:rPr>
        <w:t>include</w:t>
      </w:r>
      <w:r w:rsidR="00000230" w:rsidRPr="00B90394">
        <w:rPr>
          <w:rFonts w:ascii="Times New Roman" w:hAnsi="Times New Roman"/>
        </w:rPr>
        <w:t xml:space="preserve"> a direction under s</w:t>
      </w:r>
      <w:r w:rsidRPr="00B90394">
        <w:rPr>
          <w:rFonts w:ascii="Times New Roman" w:hAnsi="Times New Roman"/>
        </w:rPr>
        <w:t> </w:t>
      </w:r>
      <w:r w:rsidR="00000230" w:rsidRPr="00B90394">
        <w:rPr>
          <w:rFonts w:ascii="Times New Roman" w:hAnsi="Times New Roman"/>
        </w:rPr>
        <w:t xml:space="preserve">32 of the </w:t>
      </w:r>
      <w:r w:rsidR="00000230" w:rsidRPr="00B90394">
        <w:rPr>
          <w:rFonts w:ascii="Times New Roman" w:hAnsi="Times New Roman"/>
          <w:i/>
          <w:iCs/>
        </w:rPr>
        <w:t>Jury Directions Act</w:t>
      </w:r>
      <w:r w:rsidR="007F552F" w:rsidRPr="00B90394">
        <w:rPr>
          <w:rFonts w:ascii="Times New Roman" w:hAnsi="Times New Roman"/>
          <w:i/>
          <w:iCs/>
        </w:rPr>
        <w:t xml:space="preserve"> 2015 </w:t>
      </w:r>
      <w:r w:rsidR="007F552F" w:rsidRPr="00B90394">
        <w:rPr>
          <w:rFonts w:ascii="Times New Roman" w:hAnsi="Times New Roman"/>
        </w:rPr>
        <w:t>(Vic)</w:t>
      </w:r>
      <w:r w:rsidR="00000230" w:rsidRPr="00B90394">
        <w:rPr>
          <w:rFonts w:ascii="Times New Roman" w:hAnsi="Times New Roman"/>
        </w:rPr>
        <w:t xml:space="preserve"> that the</w:t>
      </w:r>
      <w:r w:rsidR="00AD0F6E" w:rsidRPr="00B90394">
        <w:rPr>
          <w:rFonts w:ascii="Times New Roman" w:hAnsi="Times New Roman"/>
        </w:rPr>
        <w:t xml:space="preserve"> evidence of the</w:t>
      </w:r>
      <w:r w:rsidR="00000230" w:rsidRPr="00B90394">
        <w:rPr>
          <w:rFonts w:ascii="Times New Roman" w:hAnsi="Times New Roman"/>
        </w:rPr>
        <w:t xml:space="preserve"> representations </w:t>
      </w:r>
      <w:r w:rsidR="00E441A2" w:rsidRPr="00B90394">
        <w:rPr>
          <w:rFonts w:ascii="Times New Roman" w:hAnsi="Times New Roman"/>
        </w:rPr>
        <w:t>may be</w:t>
      </w:r>
      <w:r w:rsidR="00000230" w:rsidRPr="00B90394">
        <w:rPr>
          <w:rFonts w:ascii="Times New Roman" w:hAnsi="Times New Roman"/>
        </w:rPr>
        <w:t xml:space="preserve"> unreliable. </w:t>
      </w:r>
    </w:p>
    <w:p w14:paraId="5D48C65E" w14:textId="0CF862B3" w:rsidR="00000230" w:rsidRPr="00B90394" w:rsidRDefault="00160641"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Beyond matters of credit</w:t>
      </w:r>
      <w:r w:rsidR="005D7DFE" w:rsidRPr="00B90394">
        <w:rPr>
          <w:rFonts w:ascii="Times New Roman" w:hAnsi="Times New Roman"/>
        </w:rPr>
        <w:t>,</w:t>
      </w:r>
      <w:r w:rsidR="00000230" w:rsidRPr="00B90394">
        <w:rPr>
          <w:rFonts w:ascii="Times New Roman" w:hAnsi="Times New Roman"/>
        </w:rPr>
        <w:t xml:space="preserve"> which can be the subject of evidence and submissions, there is no basis for concluding that the inability to test evidence by cross</w:t>
      </w:r>
      <w:r w:rsidR="00DE7E4F" w:rsidRPr="00B90394">
        <w:rPr>
          <w:rFonts w:ascii="Times New Roman" w:hAnsi="Times New Roman"/>
        </w:rPr>
        <w:t>-</w:t>
      </w:r>
      <w:r w:rsidR="00000230" w:rsidRPr="00B90394">
        <w:rPr>
          <w:rFonts w:ascii="Times New Roman" w:hAnsi="Times New Roman"/>
        </w:rPr>
        <w:t xml:space="preserve">examination will substantially affect the ability of the </w:t>
      </w:r>
      <w:r w:rsidR="00F53848" w:rsidRPr="00B90394">
        <w:rPr>
          <w:rFonts w:ascii="Times New Roman" w:hAnsi="Times New Roman"/>
        </w:rPr>
        <w:t xml:space="preserve">trier of </w:t>
      </w:r>
      <w:r w:rsidR="00000230" w:rsidRPr="00B90394">
        <w:rPr>
          <w:rFonts w:ascii="Times New Roman" w:hAnsi="Times New Roman"/>
        </w:rPr>
        <w:t xml:space="preserve">fact to </w:t>
      </w:r>
      <w:r w:rsidR="00CE540D" w:rsidRPr="00B90394">
        <w:rPr>
          <w:rFonts w:ascii="Times New Roman" w:hAnsi="Times New Roman"/>
        </w:rPr>
        <w:t xml:space="preserve">rationally </w:t>
      </w:r>
      <w:r w:rsidR="00000230" w:rsidRPr="00B90394">
        <w:rPr>
          <w:rFonts w:ascii="Times New Roman" w:hAnsi="Times New Roman"/>
        </w:rPr>
        <w:t xml:space="preserve">assess the weight </w:t>
      </w:r>
      <w:r w:rsidR="008D0612" w:rsidRPr="00B90394">
        <w:rPr>
          <w:rFonts w:ascii="Times New Roman" w:hAnsi="Times New Roman"/>
        </w:rPr>
        <w:t>to be attached to</w:t>
      </w:r>
      <w:r w:rsidR="00000230" w:rsidRPr="00B90394">
        <w:rPr>
          <w:rFonts w:ascii="Times New Roman" w:hAnsi="Times New Roman"/>
        </w:rPr>
        <w:t xml:space="preserve"> the evidence</w:t>
      </w:r>
      <w:r w:rsidR="00E55DBB" w:rsidRPr="00B90394">
        <w:rPr>
          <w:rFonts w:ascii="Times New Roman" w:hAnsi="Times New Roman"/>
        </w:rPr>
        <w:t xml:space="preserve"> of the representations</w:t>
      </w:r>
      <w:r w:rsidR="00000230" w:rsidRPr="00B90394">
        <w:rPr>
          <w:rFonts w:ascii="Times New Roman" w:hAnsi="Times New Roman"/>
        </w:rPr>
        <w:t xml:space="preserve">. </w:t>
      </w:r>
      <w:r w:rsidR="00E55DBB" w:rsidRPr="00B90394">
        <w:rPr>
          <w:rFonts w:ascii="Times New Roman" w:hAnsi="Times New Roman"/>
        </w:rPr>
        <w:t>T</w:t>
      </w:r>
      <w:r w:rsidR="00000230" w:rsidRPr="00B90394">
        <w:rPr>
          <w:rFonts w:ascii="Times New Roman" w:hAnsi="Times New Roman"/>
        </w:rPr>
        <w:t>here is no scope for uncertainty about the source of the complainant's knowledge of the subject matter of the representations</w:t>
      </w:r>
      <w:r w:rsidR="00A766D7" w:rsidRPr="00B90394">
        <w:rPr>
          <w:rFonts w:ascii="Times New Roman" w:hAnsi="Times New Roman"/>
        </w:rPr>
        <w:t>.</w:t>
      </w:r>
      <w:r w:rsidR="00000230" w:rsidRPr="00B90394">
        <w:rPr>
          <w:rFonts w:ascii="Times New Roman" w:hAnsi="Times New Roman"/>
        </w:rPr>
        <w:t xml:space="preserve"> </w:t>
      </w:r>
      <w:r w:rsidR="002F0E6D" w:rsidRPr="00B90394">
        <w:rPr>
          <w:rFonts w:ascii="Times New Roman" w:hAnsi="Times New Roman"/>
        </w:rPr>
        <w:t xml:space="preserve">The complainant was </w:t>
      </w:r>
      <w:r w:rsidR="00000230" w:rsidRPr="00B90394">
        <w:rPr>
          <w:rFonts w:ascii="Times New Roman" w:hAnsi="Times New Roman"/>
        </w:rPr>
        <w:t xml:space="preserve">plainly purporting to recount matters she directly (and recently) </w:t>
      </w:r>
      <w:r w:rsidR="000F49BB" w:rsidRPr="00B90394">
        <w:rPr>
          <w:rFonts w:ascii="Times New Roman" w:hAnsi="Times New Roman"/>
        </w:rPr>
        <w:t>observed,</w:t>
      </w:r>
      <w:r w:rsidR="00000230" w:rsidRPr="00B90394">
        <w:rPr>
          <w:rFonts w:ascii="Times New Roman" w:hAnsi="Times New Roman"/>
        </w:rPr>
        <w:t xml:space="preserve"> and </w:t>
      </w:r>
      <w:r w:rsidR="000F49BB" w:rsidRPr="00B90394">
        <w:rPr>
          <w:rFonts w:ascii="Times New Roman" w:hAnsi="Times New Roman"/>
        </w:rPr>
        <w:t xml:space="preserve">she </w:t>
      </w:r>
      <w:r w:rsidR="00000230" w:rsidRPr="00B90394">
        <w:rPr>
          <w:rFonts w:ascii="Times New Roman" w:hAnsi="Times New Roman"/>
        </w:rPr>
        <w:t xml:space="preserve">was very familiar with the appellant. To the extent that there </w:t>
      </w:r>
      <w:r w:rsidR="00C9353D" w:rsidRPr="00B90394">
        <w:rPr>
          <w:rFonts w:ascii="Times New Roman" w:hAnsi="Times New Roman"/>
        </w:rPr>
        <w:t>is</w:t>
      </w:r>
      <w:r w:rsidR="00000230" w:rsidRPr="00B90394">
        <w:rPr>
          <w:rFonts w:ascii="Times New Roman" w:hAnsi="Times New Roman"/>
        </w:rPr>
        <w:t xml:space="preserve"> a danger of unfair prejudice arising from the inability to cross</w:t>
      </w:r>
      <w:r w:rsidR="00DE7E4F" w:rsidRPr="00B90394">
        <w:rPr>
          <w:rFonts w:ascii="Times New Roman" w:hAnsi="Times New Roman"/>
        </w:rPr>
        <w:t>-</w:t>
      </w:r>
      <w:r w:rsidR="00000230" w:rsidRPr="00B90394">
        <w:rPr>
          <w:rFonts w:ascii="Times New Roman" w:hAnsi="Times New Roman"/>
        </w:rPr>
        <w:t>examine the complainant</w:t>
      </w:r>
      <w:r w:rsidR="000F49BB" w:rsidRPr="00B90394">
        <w:rPr>
          <w:rFonts w:ascii="Times New Roman" w:hAnsi="Times New Roman"/>
        </w:rPr>
        <w:t>,</w:t>
      </w:r>
      <w:r w:rsidR="00000230" w:rsidRPr="00B90394">
        <w:rPr>
          <w:rFonts w:ascii="Times New Roman" w:hAnsi="Times New Roman"/>
        </w:rPr>
        <w:t xml:space="preserve"> it </w:t>
      </w:r>
      <w:r w:rsidR="00C9353D" w:rsidRPr="00B90394">
        <w:rPr>
          <w:rFonts w:ascii="Times New Roman" w:hAnsi="Times New Roman"/>
        </w:rPr>
        <w:t>is</w:t>
      </w:r>
      <w:r w:rsidR="00000230" w:rsidRPr="00B90394">
        <w:rPr>
          <w:rFonts w:ascii="Times New Roman" w:hAnsi="Times New Roman"/>
        </w:rPr>
        <w:t xml:space="preserve"> not substantial when regard is had to the capacity </w:t>
      </w:r>
      <w:r w:rsidR="0018225B" w:rsidRPr="00B90394">
        <w:rPr>
          <w:rFonts w:ascii="Times New Roman" w:hAnsi="Times New Roman"/>
        </w:rPr>
        <w:t xml:space="preserve">of the appellant </w:t>
      </w:r>
      <w:r w:rsidR="00000230" w:rsidRPr="00B90394">
        <w:rPr>
          <w:rFonts w:ascii="Times New Roman" w:hAnsi="Times New Roman"/>
        </w:rPr>
        <w:t xml:space="preserve">to address her credibility </w:t>
      </w:r>
      <w:r w:rsidR="0018225B" w:rsidRPr="00B90394">
        <w:rPr>
          <w:rFonts w:ascii="Times New Roman" w:hAnsi="Times New Roman"/>
        </w:rPr>
        <w:t>by</w:t>
      </w:r>
      <w:r w:rsidR="008953DA" w:rsidRPr="00B90394">
        <w:rPr>
          <w:rFonts w:ascii="Times New Roman" w:hAnsi="Times New Roman"/>
        </w:rPr>
        <w:t xml:space="preserve"> way of</w:t>
      </w:r>
      <w:r w:rsidR="0018225B" w:rsidRPr="00B90394">
        <w:rPr>
          <w:rFonts w:ascii="Times New Roman" w:hAnsi="Times New Roman"/>
        </w:rPr>
        <w:t xml:space="preserve"> evidence and submissions</w:t>
      </w:r>
      <w:r w:rsidR="008953DA" w:rsidRPr="00B90394">
        <w:rPr>
          <w:rFonts w:ascii="Times New Roman" w:hAnsi="Times New Roman"/>
        </w:rPr>
        <w:t>,</w:t>
      </w:r>
      <w:r w:rsidR="0018225B" w:rsidRPr="00B90394">
        <w:rPr>
          <w:rFonts w:ascii="Times New Roman" w:hAnsi="Times New Roman"/>
        </w:rPr>
        <w:t xml:space="preserve"> </w:t>
      </w:r>
      <w:r w:rsidR="00000230" w:rsidRPr="00B90394">
        <w:rPr>
          <w:rFonts w:ascii="Times New Roman" w:hAnsi="Times New Roman"/>
        </w:rPr>
        <w:t>and the</w:t>
      </w:r>
      <w:r w:rsidR="008953DA" w:rsidRPr="00B90394">
        <w:rPr>
          <w:rFonts w:ascii="Times New Roman" w:hAnsi="Times New Roman"/>
        </w:rPr>
        <w:t xml:space="preserve"> ability of the</w:t>
      </w:r>
      <w:r w:rsidR="00000230" w:rsidRPr="00B90394">
        <w:rPr>
          <w:rFonts w:ascii="Times New Roman" w:hAnsi="Times New Roman"/>
        </w:rPr>
        <w:t xml:space="preserve"> trial judge to </w:t>
      </w:r>
      <w:r w:rsidR="0018225B" w:rsidRPr="00B90394">
        <w:rPr>
          <w:rFonts w:ascii="Times New Roman" w:hAnsi="Times New Roman"/>
        </w:rPr>
        <w:t xml:space="preserve">give appropriate </w:t>
      </w:r>
      <w:r w:rsidR="00000230" w:rsidRPr="00B90394">
        <w:rPr>
          <w:rFonts w:ascii="Times New Roman" w:hAnsi="Times New Roman"/>
        </w:rPr>
        <w:t>direct</w:t>
      </w:r>
      <w:r w:rsidR="0018225B" w:rsidRPr="00B90394">
        <w:rPr>
          <w:rFonts w:ascii="Times New Roman" w:hAnsi="Times New Roman"/>
        </w:rPr>
        <w:t>ions to</w:t>
      </w:r>
      <w:r w:rsidR="00000230" w:rsidRPr="00B90394">
        <w:rPr>
          <w:rFonts w:ascii="Times New Roman" w:hAnsi="Times New Roman"/>
        </w:rPr>
        <w:t xml:space="preserve"> the jury. </w:t>
      </w:r>
    </w:p>
    <w:p w14:paraId="2A9C0609" w14:textId="1796EB41" w:rsidR="004A7C40" w:rsidRPr="00B90394" w:rsidRDefault="00B02CF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As noted, the appellant also contended that the Court of Appeal failed to recognise the effect of the "sheer volume, and repetitive nature" of the representations. This contention sits uneasily with the appellant's contention that the inability to cross</w:t>
      </w:r>
      <w:r w:rsidR="00DE7E4F" w:rsidRPr="00B90394">
        <w:rPr>
          <w:rFonts w:ascii="Times New Roman" w:hAnsi="Times New Roman"/>
        </w:rPr>
        <w:t>-</w:t>
      </w:r>
      <w:r w:rsidR="00000230" w:rsidRPr="00B90394">
        <w:rPr>
          <w:rFonts w:ascii="Times New Roman" w:hAnsi="Times New Roman"/>
        </w:rPr>
        <w:t>examine</w:t>
      </w:r>
      <w:r w:rsidR="00092992" w:rsidRPr="00B90394">
        <w:rPr>
          <w:rFonts w:ascii="Times New Roman" w:hAnsi="Times New Roman"/>
        </w:rPr>
        <w:t xml:space="preserve"> </w:t>
      </w:r>
      <w:r w:rsidR="00CA7B9B" w:rsidRPr="00B90394">
        <w:rPr>
          <w:rFonts w:ascii="Times New Roman" w:hAnsi="Times New Roman"/>
        </w:rPr>
        <w:t>the complainant</w:t>
      </w:r>
      <w:r w:rsidR="009843A8" w:rsidRPr="00B90394">
        <w:rPr>
          <w:rFonts w:ascii="Times New Roman" w:hAnsi="Times New Roman"/>
        </w:rPr>
        <w:t xml:space="preserve"> </w:t>
      </w:r>
      <w:r w:rsidR="00000230" w:rsidRPr="00B90394">
        <w:rPr>
          <w:rFonts w:ascii="Times New Roman" w:hAnsi="Times New Roman"/>
        </w:rPr>
        <w:t xml:space="preserve">about inconsistencies between the </w:t>
      </w:r>
      <w:r w:rsidR="009843A8" w:rsidRPr="00B90394">
        <w:rPr>
          <w:rFonts w:ascii="Times New Roman" w:hAnsi="Times New Roman"/>
        </w:rPr>
        <w:t xml:space="preserve">evidence of the </w:t>
      </w:r>
      <w:r w:rsidR="00000230" w:rsidRPr="00B90394">
        <w:rPr>
          <w:rFonts w:ascii="Times New Roman" w:hAnsi="Times New Roman"/>
        </w:rPr>
        <w:t>representations</w:t>
      </w:r>
      <w:r w:rsidR="00092992" w:rsidRPr="00B90394">
        <w:rPr>
          <w:rFonts w:ascii="Times New Roman" w:hAnsi="Times New Roman"/>
        </w:rPr>
        <w:t xml:space="preserve"> </w:t>
      </w:r>
      <w:r w:rsidR="00000230" w:rsidRPr="00B90394">
        <w:rPr>
          <w:rFonts w:ascii="Times New Roman" w:hAnsi="Times New Roman"/>
        </w:rPr>
        <w:t xml:space="preserve">warranted </w:t>
      </w:r>
      <w:r w:rsidR="007E591C" w:rsidRPr="00B90394">
        <w:rPr>
          <w:rFonts w:ascii="Times New Roman" w:hAnsi="Times New Roman"/>
        </w:rPr>
        <w:t>its</w:t>
      </w:r>
      <w:r w:rsidR="00000230" w:rsidRPr="00B90394">
        <w:rPr>
          <w:rFonts w:ascii="Times New Roman" w:hAnsi="Times New Roman"/>
        </w:rPr>
        <w:t xml:space="preserve"> exclusion. In any event</w:t>
      </w:r>
      <w:r w:rsidR="007E591C" w:rsidRPr="00B90394">
        <w:rPr>
          <w:rFonts w:ascii="Times New Roman" w:hAnsi="Times New Roman"/>
        </w:rPr>
        <w:t>,</w:t>
      </w:r>
      <w:r w:rsidR="00000230" w:rsidRPr="00B90394">
        <w:rPr>
          <w:rFonts w:ascii="Times New Roman" w:hAnsi="Times New Roman"/>
        </w:rPr>
        <w:t xml:space="preserve"> the appellant's concern is that the jury might place undue weight on repeated representations by the complainant identifying the appellant as the offender.  </w:t>
      </w:r>
    </w:p>
    <w:p w14:paraId="4BEEE4BB" w14:textId="1E5CCB5D" w:rsidR="00000230" w:rsidRPr="00B90394" w:rsidRDefault="0067125F" w:rsidP="00B90394">
      <w:pPr>
        <w:pStyle w:val="FixListStyle"/>
        <w:spacing w:after="260" w:line="280" w:lineRule="exact"/>
        <w:ind w:right="0"/>
        <w:jc w:val="both"/>
        <w:rPr>
          <w:rFonts w:ascii="Times New Roman" w:hAnsi="Times New Roman"/>
        </w:rPr>
      </w:pPr>
      <w:r w:rsidRPr="00B90394">
        <w:rPr>
          <w:rFonts w:ascii="Times New Roman" w:hAnsi="Times New Roman"/>
        </w:rPr>
        <w:lastRenderedPageBreak/>
        <w:tab/>
      </w:r>
      <w:r w:rsidR="00000230" w:rsidRPr="00B90394">
        <w:rPr>
          <w:rFonts w:ascii="Times New Roman" w:hAnsi="Times New Roman"/>
        </w:rPr>
        <w:t>As the Court of Appeal recognised,</w:t>
      </w:r>
      <w:r w:rsidR="00B02CF8" w:rsidRPr="00B90394">
        <w:rPr>
          <w:rStyle w:val="FootnoteReference"/>
          <w:rFonts w:ascii="Times New Roman" w:hAnsi="Times New Roman"/>
          <w:sz w:val="24"/>
        </w:rPr>
        <w:footnoteReference w:id="76"/>
      </w:r>
      <w:r w:rsidR="00000230" w:rsidRPr="00B90394">
        <w:rPr>
          <w:rFonts w:ascii="Times New Roman" w:hAnsi="Times New Roman"/>
        </w:rPr>
        <w:t xml:space="preserve"> it </w:t>
      </w:r>
      <w:r w:rsidR="0018225B" w:rsidRPr="00B90394">
        <w:rPr>
          <w:rFonts w:ascii="Times New Roman" w:hAnsi="Times New Roman"/>
        </w:rPr>
        <w:t>will be</w:t>
      </w:r>
      <w:r w:rsidR="00000230" w:rsidRPr="00B90394">
        <w:rPr>
          <w:rFonts w:ascii="Times New Roman" w:hAnsi="Times New Roman"/>
        </w:rPr>
        <w:t xml:space="preserve"> open to the</w:t>
      </w:r>
      <w:r w:rsidR="006B2684" w:rsidRPr="00B90394">
        <w:rPr>
          <w:rFonts w:ascii="Times New Roman" w:hAnsi="Times New Roman"/>
        </w:rPr>
        <w:t xml:space="preserve"> </w:t>
      </w:r>
      <w:r w:rsidR="00000230" w:rsidRPr="00B90394">
        <w:rPr>
          <w:rFonts w:ascii="Times New Roman" w:hAnsi="Times New Roman"/>
        </w:rPr>
        <w:t xml:space="preserve">trier of fact to regard the consistency of </w:t>
      </w:r>
      <w:r w:rsidR="00092992" w:rsidRPr="00B90394">
        <w:rPr>
          <w:rFonts w:ascii="Times New Roman" w:hAnsi="Times New Roman"/>
        </w:rPr>
        <w:t xml:space="preserve">the evidence of </w:t>
      </w:r>
      <w:r w:rsidR="000D7E0B" w:rsidRPr="00B90394">
        <w:rPr>
          <w:rFonts w:ascii="Times New Roman" w:hAnsi="Times New Roman"/>
        </w:rPr>
        <w:t>the</w:t>
      </w:r>
      <w:r w:rsidR="00000230" w:rsidRPr="00B90394">
        <w:rPr>
          <w:rFonts w:ascii="Times New Roman" w:hAnsi="Times New Roman"/>
        </w:rPr>
        <w:t xml:space="preserve"> representations </w:t>
      </w:r>
      <w:r w:rsidR="000D7E0B" w:rsidRPr="00B90394">
        <w:rPr>
          <w:rFonts w:ascii="Times New Roman" w:hAnsi="Times New Roman"/>
        </w:rPr>
        <w:t xml:space="preserve">made </w:t>
      </w:r>
      <w:r w:rsidR="008C011B" w:rsidRPr="00B90394">
        <w:rPr>
          <w:rFonts w:ascii="Times New Roman" w:hAnsi="Times New Roman"/>
        </w:rPr>
        <w:t xml:space="preserve">by the complainant </w:t>
      </w:r>
      <w:r w:rsidR="00000230" w:rsidRPr="00B90394">
        <w:rPr>
          <w:rFonts w:ascii="Times New Roman" w:hAnsi="Times New Roman"/>
        </w:rPr>
        <w:t>to different witnesses as a matter affecting the assessment of the probability that the appellant was the offender.</w:t>
      </w:r>
      <w:r w:rsidR="00B02CF8" w:rsidRPr="00B90394">
        <w:rPr>
          <w:rStyle w:val="FootnoteReference"/>
          <w:rFonts w:ascii="Times New Roman" w:hAnsi="Times New Roman"/>
          <w:sz w:val="24"/>
        </w:rPr>
        <w:footnoteReference w:id="77"/>
      </w:r>
      <w:r w:rsidR="00000230" w:rsidRPr="00B90394">
        <w:rPr>
          <w:rFonts w:ascii="Times New Roman" w:hAnsi="Times New Roman"/>
        </w:rPr>
        <w:t xml:space="preserve"> The adoption of such reasoning would not entail "unfair prejudice". At most, the potential danger to be guarded against is the jury treating "</w:t>
      </w:r>
      <w:r w:rsidR="00000230" w:rsidRPr="00B90394">
        <w:rPr>
          <w:rFonts w:ascii="Times New Roman" w:hAnsi="Times New Roman"/>
          <w:i/>
          <w:iCs/>
        </w:rPr>
        <w:t>mere repetition</w:t>
      </w:r>
      <w:r w:rsidR="00000230" w:rsidRPr="00B90394">
        <w:rPr>
          <w:rFonts w:ascii="Times New Roman" w:hAnsi="Times New Roman"/>
        </w:rPr>
        <w:t xml:space="preserve"> as adding weight to the complainant's allegations"</w:t>
      </w:r>
      <w:r w:rsidR="00C01923" w:rsidRPr="00B90394">
        <w:rPr>
          <w:rFonts w:ascii="Times New Roman" w:hAnsi="Times New Roman"/>
        </w:rPr>
        <w:t xml:space="preserve"> (emphasis added)</w:t>
      </w:r>
      <w:r w:rsidR="0018225B" w:rsidRPr="00B90394">
        <w:rPr>
          <w:rFonts w:ascii="Times New Roman" w:hAnsi="Times New Roman"/>
        </w:rPr>
        <w:t>.</w:t>
      </w:r>
      <w:r w:rsidR="00B02CF8" w:rsidRPr="00B90394">
        <w:rPr>
          <w:rStyle w:val="FootnoteReference"/>
          <w:rFonts w:ascii="Times New Roman" w:hAnsi="Times New Roman"/>
          <w:sz w:val="24"/>
        </w:rPr>
        <w:footnoteReference w:id="78"/>
      </w:r>
      <w:r w:rsidR="00000230" w:rsidRPr="00B90394">
        <w:rPr>
          <w:rFonts w:ascii="Times New Roman" w:hAnsi="Times New Roman"/>
        </w:rPr>
        <w:t xml:space="preserve"> While a trial judge is not obliged to give a direction guarding against such reasoning</w:t>
      </w:r>
      <w:r w:rsidR="0018225B" w:rsidRPr="00B90394">
        <w:rPr>
          <w:rFonts w:ascii="Times New Roman" w:hAnsi="Times New Roman"/>
        </w:rPr>
        <w:t>,</w:t>
      </w:r>
      <w:r w:rsidR="00B02CF8" w:rsidRPr="00B90394">
        <w:rPr>
          <w:rStyle w:val="FootnoteReference"/>
          <w:rFonts w:ascii="Times New Roman" w:hAnsi="Times New Roman"/>
          <w:sz w:val="24"/>
        </w:rPr>
        <w:footnoteReference w:id="79"/>
      </w:r>
      <w:r w:rsidR="008D4CA9" w:rsidRPr="00B90394">
        <w:rPr>
          <w:rFonts w:ascii="Times New Roman" w:hAnsi="Times New Roman"/>
        </w:rPr>
        <w:t xml:space="preserve"> </w:t>
      </w:r>
      <w:r w:rsidR="00000230" w:rsidRPr="00B90394">
        <w:rPr>
          <w:rFonts w:ascii="Times New Roman" w:hAnsi="Times New Roman"/>
        </w:rPr>
        <w:t>they are not precluded from doing so.</w:t>
      </w:r>
      <w:r w:rsidR="00B02CF8" w:rsidRPr="00B90394">
        <w:rPr>
          <w:rStyle w:val="FootnoteReference"/>
          <w:rFonts w:ascii="Times New Roman" w:hAnsi="Times New Roman"/>
          <w:sz w:val="24"/>
        </w:rPr>
        <w:footnoteReference w:id="80"/>
      </w:r>
      <w:r w:rsidR="00000230" w:rsidRPr="00B90394">
        <w:rPr>
          <w:rFonts w:ascii="Times New Roman" w:hAnsi="Times New Roman"/>
        </w:rPr>
        <w:t xml:space="preserve"> </w:t>
      </w:r>
    </w:p>
    <w:p w14:paraId="26C9B8F2" w14:textId="4AD597C3" w:rsidR="00000230" w:rsidRPr="00B90394" w:rsidRDefault="00B02CF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Lastly, the appellant contended that the Court of Appeal erred in considering the effect of </w:t>
      </w:r>
      <w:r w:rsidR="00FB644B" w:rsidRPr="00B90394">
        <w:rPr>
          <w:rFonts w:ascii="Times New Roman" w:hAnsi="Times New Roman"/>
        </w:rPr>
        <w:t xml:space="preserve">any </w:t>
      </w:r>
      <w:r w:rsidR="00000230" w:rsidRPr="00B90394">
        <w:rPr>
          <w:rFonts w:ascii="Times New Roman" w:hAnsi="Times New Roman"/>
        </w:rPr>
        <w:t>directions to ameliorate the danger of unfair prejudice by observing that "[</w:t>
      </w:r>
      <w:proofErr w:type="spellStart"/>
      <w:r w:rsidR="00000230" w:rsidRPr="00B90394">
        <w:rPr>
          <w:rFonts w:ascii="Times New Roman" w:hAnsi="Times New Roman"/>
        </w:rPr>
        <w:t>i</w:t>
      </w:r>
      <w:proofErr w:type="spellEnd"/>
      <w:r w:rsidR="00000230" w:rsidRPr="00B90394">
        <w:rPr>
          <w:rFonts w:ascii="Times New Roman" w:hAnsi="Times New Roman"/>
        </w:rPr>
        <w:t xml:space="preserve">]t must be assumed that the jury will follow such </w:t>
      </w:r>
      <w:r w:rsidR="00C01923" w:rsidRPr="00B90394">
        <w:rPr>
          <w:rFonts w:ascii="Times New Roman" w:hAnsi="Times New Roman"/>
        </w:rPr>
        <w:t xml:space="preserve">judicial </w:t>
      </w:r>
      <w:r w:rsidR="00000230" w:rsidRPr="00B90394">
        <w:rPr>
          <w:rFonts w:ascii="Times New Roman" w:hAnsi="Times New Roman"/>
        </w:rPr>
        <w:t>directions".</w:t>
      </w:r>
      <w:r w:rsidRPr="00B90394">
        <w:rPr>
          <w:rStyle w:val="FootnoteReference"/>
          <w:rFonts w:ascii="Times New Roman" w:hAnsi="Times New Roman"/>
          <w:sz w:val="24"/>
        </w:rPr>
        <w:footnoteReference w:id="81"/>
      </w:r>
      <w:r w:rsidR="00000230" w:rsidRPr="00B90394">
        <w:rPr>
          <w:rFonts w:ascii="Times New Roman" w:hAnsi="Times New Roman"/>
        </w:rPr>
        <w:t xml:space="preserve"> It is correct that</w:t>
      </w:r>
      <w:r w:rsidR="0018225B" w:rsidRPr="00B90394">
        <w:rPr>
          <w:rFonts w:ascii="Times New Roman" w:hAnsi="Times New Roman"/>
        </w:rPr>
        <w:t xml:space="preserve"> it is only an </w:t>
      </w:r>
      <w:r w:rsidR="00000230" w:rsidRPr="00B90394">
        <w:rPr>
          <w:rFonts w:ascii="Times New Roman" w:hAnsi="Times New Roman"/>
        </w:rPr>
        <w:t>"assumption</w:t>
      </w:r>
      <w:r w:rsidR="0040290C" w:rsidRPr="00B90394">
        <w:rPr>
          <w:rFonts w:ascii="Times New Roman" w:hAnsi="Times New Roman"/>
        </w:rPr>
        <w:t>,</w:t>
      </w:r>
      <w:r w:rsidR="005D730C" w:rsidRPr="00B90394">
        <w:rPr>
          <w:rFonts w:ascii="Times New Roman" w:hAnsi="Times New Roman"/>
        </w:rPr>
        <w:t xml:space="preserve"> that,</w:t>
      </w:r>
      <w:r w:rsidR="00000230" w:rsidRPr="00B90394">
        <w:rPr>
          <w:rFonts w:ascii="Times New Roman" w:hAnsi="Times New Roman"/>
        </w:rPr>
        <w:t xml:space="preserve"> as a general rule</w:t>
      </w:r>
      <w:r w:rsidR="00AA7518" w:rsidRPr="00B90394">
        <w:rPr>
          <w:rFonts w:ascii="Times New Roman" w:hAnsi="Times New Roman"/>
        </w:rPr>
        <w:t>,</w:t>
      </w:r>
      <w:r w:rsidR="00000230" w:rsidRPr="00B90394">
        <w:rPr>
          <w:rFonts w:ascii="Times New Roman" w:hAnsi="Times New Roman"/>
        </w:rPr>
        <w:t xml:space="preserve"> juries understand, and follow, the directions they are given by trial judges".</w:t>
      </w:r>
      <w:r w:rsidRPr="00B90394">
        <w:rPr>
          <w:rStyle w:val="FootnoteReference"/>
          <w:rFonts w:ascii="Times New Roman" w:hAnsi="Times New Roman"/>
          <w:sz w:val="24"/>
        </w:rPr>
        <w:footnoteReference w:id="82"/>
      </w:r>
      <w:r w:rsidR="00000230" w:rsidRPr="00B90394">
        <w:rPr>
          <w:rFonts w:ascii="Times New Roman" w:hAnsi="Times New Roman"/>
        </w:rPr>
        <w:t xml:space="preserve"> </w:t>
      </w:r>
      <w:r w:rsidR="0018225B" w:rsidRPr="00B90394">
        <w:rPr>
          <w:rFonts w:ascii="Times New Roman" w:hAnsi="Times New Roman"/>
        </w:rPr>
        <w:t>T</w:t>
      </w:r>
      <w:r w:rsidR="00000230" w:rsidRPr="00B90394">
        <w:rPr>
          <w:rFonts w:ascii="Times New Roman" w:hAnsi="Times New Roman"/>
        </w:rPr>
        <w:t>hat assumption is not imm</w:t>
      </w:r>
      <w:r w:rsidR="0046719D" w:rsidRPr="00B90394">
        <w:rPr>
          <w:rFonts w:ascii="Times New Roman" w:hAnsi="Times New Roman"/>
        </w:rPr>
        <w:t>utable</w:t>
      </w:r>
      <w:r w:rsidR="0018225B" w:rsidRPr="00B90394">
        <w:rPr>
          <w:rFonts w:ascii="Times New Roman" w:hAnsi="Times New Roman"/>
        </w:rPr>
        <w:t>. T</w:t>
      </w:r>
      <w:r w:rsidR="00000230" w:rsidRPr="00B90394">
        <w:rPr>
          <w:rFonts w:ascii="Times New Roman" w:hAnsi="Times New Roman"/>
        </w:rPr>
        <w:t xml:space="preserve">he possibility that unfair prejudice in the form of the jury misusing evidence might not be alleviated </w:t>
      </w:r>
      <w:r w:rsidR="00E77B2D" w:rsidRPr="00B90394">
        <w:rPr>
          <w:rFonts w:ascii="Times New Roman" w:hAnsi="Times New Roman"/>
        </w:rPr>
        <w:t xml:space="preserve">in some circumstances </w:t>
      </w:r>
      <w:r w:rsidR="00000230" w:rsidRPr="00B90394">
        <w:rPr>
          <w:rFonts w:ascii="Times New Roman" w:hAnsi="Times New Roman"/>
        </w:rPr>
        <w:t>by directions can be accepted. That danger is protected against by the exercise of the exclusionary powers conferred by ss</w:t>
      </w:r>
      <w:r w:rsidRPr="00B90394">
        <w:rPr>
          <w:rFonts w:ascii="Times New Roman" w:hAnsi="Times New Roman"/>
        </w:rPr>
        <w:t> </w:t>
      </w:r>
      <w:r w:rsidR="00000230" w:rsidRPr="00B90394">
        <w:rPr>
          <w:rFonts w:ascii="Times New Roman" w:hAnsi="Times New Roman"/>
        </w:rPr>
        <w:t xml:space="preserve">135 and 137 of the </w:t>
      </w:r>
      <w:r w:rsidR="00000230" w:rsidRPr="00B90394">
        <w:rPr>
          <w:rFonts w:ascii="Times New Roman" w:hAnsi="Times New Roman"/>
          <w:i/>
          <w:iCs/>
        </w:rPr>
        <w:t>Evidence Act</w:t>
      </w:r>
      <w:r w:rsidR="007843AC" w:rsidRPr="00B90394">
        <w:rPr>
          <w:rFonts w:ascii="Times New Roman" w:hAnsi="Times New Roman"/>
          <w:i/>
          <w:iCs/>
        </w:rPr>
        <w:t>.</w:t>
      </w:r>
      <w:r w:rsidRPr="00B90394">
        <w:rPr>
          <w:rStyle w:val="FootnoteReference"/>
          <w:rFonts w:ascii="Times New Roman" w:hAnsi="Times New Roman"/>
          <w:sz w:val="24"/>
        </w:rPr>
        <w:footnoteReference w:id="83"/>
      </w:r>
      <w:r w:rsidR="00000230" w:rsidRPr="00B90394">
        <w:rPr>
          <w:rFonts w:ascii="Times New Roman" w:hAnsi="Times New Roman"/>
        </w:rPr>
        <w:t xml:space="preserve"> </w:t>
      </w:r>
      <w:r w:rsidR="007843AC" w:rsidRPr="00B90394">
        <w:rPr>
          <w:rFonts w:ascii="Times New Roman" w:hAnsi="Times New Roman"/>
        </w:rPr>
        <w:t>H</w:t>
      </w:r>
      <w:r w:rsidR="00000230" w:rsidRPr="00B90394">
        <w:rPr>
          <w:rFonts w:ascii="Times New Roman" w:hAnsi="Times New Roman"/>
        </w:rPr>
        <w:t>owever, considered in context</w:t>
      </w:r>
      <w:r w:rsidR="00C442AB" w:rsidRPr="00B90394">
        <w:rPr>
          <w:rFonts w:ascii="Times New Roman" w:hAnsi="Times New Roman"/>
        </w:rPr>
        <w:t>,</w:t>
      </w:r>
      <w:r w:rsidR="00000230" w:rsidRPr="00B90394">
        <w:rPr>
          <w:rFonts w:ascii="Times New Roman" w:hAnsi="Times New Roman"/>
        </w:rPr>
        <w:t xml:space="preserve"> the Court of Appeal did not state to the contrary. Instead, the</w:t>
      </w:r>
      <w:r w:rsidR="007843AC" w:rsidRPr="00B90394">
        <w:rPr>
          <w:rFonts w:ascii="Times New Roman" w:hAnsi="Times New Roman"/>
        </w:rPr>
        <w:t xml:space="preserve"> </w:t>
      </w:r>
      <w:r w:rsidR="00BE22C2" w:rsidRPr="00B90394">
        <w:rPr>
          <w:rFonts w:ascii="Times New Roman" w:hAnsi="Times New Roman"/>
        </w:rPr>
        <w:t>C</w:t>
      </w:r>
      <w:r w:rsidR="007843AC" w:rsidRPr="00B90394">
        <w:rPr>
          <w:rFonts w:ascii="Times New Roman" w:hAnsi="Times New Roman"/>
        </w:rPr>
        <w:t>ourt's</w:t>
      </w:r>
      <w:r w:rsidR="00000230" w:rsidRPr="00B90394">
        <w:rPr>
          <w:rFonts w:ascii="Times New Roman" w:hAnsi="Times New Roman"/>
        </w:rPr>
        <w:t xml:space="preserve"> observation was directed to the circumstances </w:t>
      </w:r>
      <w:r w:rsidR="007843AC" w:rsidRPr="00B90394">
        <w:rPr>
          <w:rFonts w:ascii="Times New Roman" w:hAnsi="Times New Roman"/>
        </w:rPr>
        <w:t xml:space="preserve">of </w:t>
      </w:r>
      <w:r w:rsidR="00000230" w:rsidRPr="00B90394">
        <w:rPr>
          <w:rFonts w:ascii="Times New Roman" w:hAnsi="Times New Roman"/>
        </w:rPr>
        <w:t>this case</w:t>
      </w:r>
      <w:r w:rsidRPr="00B90394">
        <w:rPr>
          <w:rFonts w:ascii="Times New Roman" w:hAnsi="Times New Roman"/>
        </w:rPr>
        <w:t>.</w:t>
      </w:r>
      <w:r w:rsidRPr="00B90394">
        <w:rPr>
          <w:rStyle w:val="FootnoteReference"/>
          <w:rFonts w:ascii="Times New Roman" w:hAnsi="Times New Roman"/>
          <w:sz w:val="24"/>
        </w:rPr>
        <w:footnoteReference w:id="84"/>
      </w:r>
      <w:r w:rsidR="00000230" w:rsidRPr="00B90394">
        <w:rPr>
          <w:rFonts w:ascii="Times New Roman" w:hAnsi="Times New Roman"/>
        </w:rPr>
        <w:t xml:space="preserve"> </w:t>
      </w:r>
      <w:r w:rsidR="007843AC" w:rsidRPr="00B90394">
        <w:rPr>
          <w:rFonts w:ascii="Times New Roman" w:hAnsi="Times New Roman"/>
        </w:rPr>
        <w:t>In this case</w:t>
      </w:r>
      <w:r w:rsidRPr="00B90394">
        <w:rPr>
          <w:rFonts w:ascii="Times New Roman" w:hAnsi="Times New Roman"/>
        </w:rPr>
        <w:t>,</w:t>
      </w:r>
      <w:r w:rsidR="00000230" w:rsidRPr="00B90394">
        <w:rPr>
          <w:rFonts w:ascii="Times New Roman" w:hAnsi="Times New Roman"/>
        </w:rPr>
        <w:t xml:space="preserve"> the assumption that a jury would follow the </w:t>
      </w:r>
      <w:r w:rsidR="007843AC" w:rsidRPr="00B90394">
        <w:rPr>
          <w:rFonts w:ascii="Times New Roman" w:hAnsi="Times New Roman"/>
        </w:rPr>
        <w:t xml:space="preserve">suggested directions </w:t>
      </w:r>
      <w:r w:rsidR="00000230" w:rsidRPr="00B90394">
        <w:rPr>
          <w:rFonts w:ascii="Times New Roman" w:hAnsi="Times New Roman"/>
        </w:rPr>
        <w:t xml:space="preserve">to alleviate </w:t>
      </w:r>
      <w:r w:rsidR="00000230" w:rsidRPr="00B90394">
        <w:rPr>
          <w:rFonts w:ascii="Times New Roman" w:hAnsi="Times New Roman"/>
        </w:rPr>
        <w:lastRenderedPageBreak/>
        <w:t xml:space="preserve">the </w:t>
      </w:r>
      <w:r w:rsidR="007843AC" w:rsidRPr="00B90394">
        <w:rPr>
          <w:rFonts w:ascii="Times New Roman" w:hAnsi="Times New Roman"/>
        </w:rPr>
        <w:t>relatively</w:t>
      </w:r>
      <w:r w:rsidR="00000230" w:rsidRPr="00B90394">
        <w:rPr>
          <w:rFonts w:ascii="Times New Roman" w:hAnsi="Times New Roman"/>
        </w:rPr>
        <w:t xml:space="preserve"> modest danger of prejudice that was accepted as having arisen from the admission of the evidence of the representations was sound</w:t>
      </w:r>
      <w:r w:rsidR="007843AC" w:rsidRPr="00B90394">
        <w:rPr>
          <w:rFonts w:ascii="Times New Roman" w:hAnsi="Times New Roman"/>
        </w:rPr>
        <w:t>ly based</w:t>
      </w:r>
      <w:r w:rsidR="00000230" w:rsidRPr="00B90394">
        <w:rPr>
          <w:rFonts w:ascii="Times New Roman" w:hAnsi="Times New Roman"/>
        </w:rPr>
        <w:t xml:space="preserve">. </w:t>
      </w:r>
    </w:p>
    <w:p w14:paraId="23C8DBAE" w14:textId="77777777" w:rsidR="00000230" w:rsidRPr="00B90394" w:rsidRDefault="00000230" w:rsidP="00B90394">
      <w:pPr>
        <w:pStyle w:val="HeadingL1"/>
        <w:spacing w:after="260" w:line="280" w:lineRule="exact"/>
        <w:ind w:right="0"/>
        <w:jc w:val="both"/>
        <w:rPr>
          <w:rFonts w:ascii="Times New Roman" w:hAnsi="Times New Roman"/>
        </w:rPr>
      </w:pPr>
      <w:r w:rsidRPr="00B90394">
        <w:rPr>
          <w:rFonts w:ascii="Times New Roman" w:hAnsi="Times New Roman"/>
        </w:rPr>
        <w:t>Conclusion</w:t>
      </w:r>
    </w:p>
    <w:p w14:paraId="6BA06BCA" w14:textId="78DCBEBA" w:rsidR="00000230" w:rsidRPr="00B90394" w:rsidRDefault="00930358"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000230" w:rsidRPr="00B90394">
        <w:rPr>
          <w:rFonts w:ascii="Times New Roman" w:hAnsi="Times New Roman"/>
        </w:rPr>
        <w:t xml:space="preserve">The </w:t>
      </w:r>
      <w:r w:rsidR="0080727E" w:rsidRPr="00B90394">
        <w:rPr>
          <w:rFonts w:ascii="Times New Roman" w:hAnsi="Times New Roman"/>
        </w:rPr>
        <w:t>danger of</w:t>
      </w:r>
      <w:r w:rsidR="00F03F21" w:rsidRPr="00B90394">
        <w:rPr>
          <w:rFonts w:ascii="Times New Roman" w:hAnsi="Times New Roman"/>
        </w:rPr>
        <w:t xml:space="preserve"> prejudice to the appellant from the admission of the evidence of the representations does not outweigh the probative value of that evidence. The </w:t>
      </w:r>
      <w:r w:rsidR="00000230" w:rsidRPr="00B90394">
        <w:rPr>
          <w:rFonts w:ascii="Times New Roman" w:hAnsi="Times New Roman"/>
        </w:rPr>
        <w:t>trial judge's decision not to exclude the evidence of the representations made by the complainant under s</w:t>
      </w:r>
      <w:r w:rsidR="00B02CF8" w:rsidRPr="00B90394">
        <w:rPr>
          <w:rFonts w:ascii="Times New Roman" w:hAnsi="Times New Roman"/>
        </w:rPr>
        <w:t> </w:t>
      </w:r>
      <w:r w:rsidR="00000230" w:rsidRPr="00B90394">
        <w:rPr>
          <w:rFonts w:ascii="Times New Roman" w:hAnsi="Times New Roman"/>
        </w:rPr>
        <w:t xml:space="preserve">137 of the </w:t>
      </w:r>
      <w:r w:rsidR="00000230" w:rsidRPr="00B90394">
        <w:rPr>
          <w:rFonts w:ascii="Times New Roman" w:hAnsi="Times New Roman"/>
          <w:i/>
          <w:iCs/>
        </w:rPr>
        <w:t>Evidence Act</w:t>
      </w:r>
      <w:r w:rsidR="00000230" w:rsidRPr="00B90394">
        <w:rPr>
          <w:rFonts w:ascii="Times New Roman" w:hAnsi="Times New Roman"/>
        </w:rPr>
        <w:t xml:space="preserve"> was correct. </w:t>
      </w:r>
    </w:p>
    <w:p w14:paraId="3C50075F" w14:textId="50F8DB76" w:rsidR="00A73989" w:rsidRPr="00B90394" w:rsidRDefault="008F2202" w:rsidP="00B90394">
      <w:pPr>
        <w:pStyle w:val="FixListStyle"/>
        <w:spacing w:after="260" w:line="280" w:lineRule="exact"/>
        <w:ind w:right="0"/>
        <w:jc w:val="both"/>
        <w:rPr>
          <w:rFonts w:ascii="Times New Roman" w:hAnsi="Times New Roman"/>
        </w:rPr>
      </w:pPr>
      <w:r w:rsidRPr="00B90394">
        <w:rPr>
          <w:rFonts w:ascii="Times New Roman" w:hAnsi="Times New Roman"/>
        </w:rPr>
        <w:tab/>
      </w:r>
      <w:r w:rsidR="002A77A7" w:rsidRPr="00B90394">
        <w:rPr>
          <w:rFonts w:ascii="Times New Roman" w:hAnsi="Times New Roman"/>
        </w:rPr>
        <w:t xml:space="preserve">The appeal should be </w:t>
      </w:r>
      <w:r w:rsidR="00000230" w:rsidRPr="00B90394">
        <w:rPr>
          <w:rFonts w:ascii="Times New Roman" w:hAnsi="Times New Roman"/>
        </w:rPr>
        <w:t>dismiss</w:t>
      </w:r>
      <w:r w:rsidR="002A77A7" w:rsidRPr="00B90394">
        <w:rPr>
          <w:rFonts w:ascii="Times New Roman" w:hAnsi="Times New Roman"/>
        </w:rPr>
        <w:t>ed</w:t>
      </w:r>
      <w:r w:rsidR="00000230" w:rsidRPr="00B90394">
        <w:rPr>
          <w:rFonts w:ascii="Times New Roman" w:hAnsi="Times New Roman"/>
        </w:rPr>
        <w:t>.</w:t>
      </w:r>
    </w:p>
    <w:sectPr w:rsidR="00A73989" w:rsidRPr="00B90394" w:rsidSect="00D237B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24E0" w14:textId="77777777" w:rsidR="00D66CC8" w:rsidRDefault="00D66CC8">
      <w:pPr>
        <w:spacing w:line="240" w:lineRule="auto"/>
      </w:pPr>
      <w:r>
        <w:separator/>
      </w:r>
    </w:p>
  </w:endnote>
  <w:endnote w:type="continuationSeparator" w:id="0">
    <w:p w14:paraId="696E5F23" w14:textId="77777777" w:rsidR="00D66CC8" w:rsidRDefault="00D66CC8">
      <w:pPr>
        <w:spacing w:line="240" w:lineRule="auto"/>
      </w:pPr>
      <w:r>
        <w:continuationSeparator/>
      </w:r>
    </w:p>
  </w:endnote>
  <w:endnote w:type="continuationNotice" w:id="1">
    <w:p w14:paraId="4A79E9EC" w14:textId="77777777" w:rsidR="00D66CC8" w:rsidRDefault="00D66C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774F" w14:textId="77777777" w:rsidR="00D237B7" w:rsidRDefault="00D23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1B1E" w14:textId="77777777" w:rsidR="00D237B7" w:rsidRDefault="00D23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194E" w14:textId="77777777" w:rsidR="00D237B7" w:rsidRDefault="00D23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CBCD" w14:textId="77777777" w:rsidR="00D237B7" w:rsidRDefault="00D237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5B25" w14:textId="77777777" w:rsidR="00D237B7" w:rsidRDefault="00D237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269A" w14:textId="77777777" w:rsidR="00D237B7" w:rsidRDefault="00D23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850E" w14:textId="77777777" w:rsidR="00D66CC8" w:rsidRPr="00B90394" w:rsidRDefault="00D66CC8" w:rsidP="00B90394">
      <w:pPr>
        <w:pStyle w:val="Footer"/>
        <w:spacing w:before="120" w:after="20"/>
        <w:ind w:right="0"/>
        <w:rPr>
          <w:rFonts w:ascii="Times New Roman" w:hAnsi="Times New Roman"/>
        </w:rPr>
      </w:pPr>
      <w:r>
        <w:continuationSeparator/>
      </w:r>
    </w:p>
  </w:footnote>
  <w:footnote w:type="continuationSeparator" w:id="0">
    <w:p w14:paraId="1D3DB3E7" w14:textId="77777777" w:rsidR="00D66CC8" w:rsidRPr="00B90394" w:rsidRDefault="00D66CC8" w:rsidP="00B90394">
      <w:pPr>
        <w:pStyle w:val="Footer"/>
        <w:spacing w:before="120" w:after="20"/>
        <w:ind w:right="0"/>
        <w:rPr>
          <w:rFonts w:ascii="Times New Roman" w:hAnsi="Times New Roman"/>
        </w:rPr>
      </w:pPr>
      <w:r w:rsidRPr="00B90394">
        <w:rPr>
          <w:rFonts w:ascii="Times New Roman" w:hAnsi="Times New Roman"/>
        </w:rPr>
        <w:continuationSeparator/>
      </w:r>
    </w:p>
  </w:footnote>
  <w:footnote w:type="continuationNotice" w:id="1">
    <w:p w14:paraId="115267B6" w14:textId="77777777" w:rsidR="00D66CC8" w:rsidRPr="00B90394" w:rsidRDefault="00D66CC8">
      <w:pPr>
        <w:jc w:val="right"/>
        <w:rPr>
          <w:rFonts w:ascii="Times Roman" w:hAnsi="Times Roman"/>
          <w:sz w:val="24"/>
        </w:rPr>
      </w:pPr>
    </w:p>
  </w:footnote>
  <w:footnote w:id="2">
    <w:p w14:paraId="118EC84A" w14:textId="708FC404" w:rsidR="00A86DB1" w:rsidRPr="00B90394" w:rsidRDefault="00A86DB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Evidence Act 2008</w:t>
      </w:r>
      <w:r w:rsidRPr="00B90394">
        <w:rPr>
          <w:rFonts w:ascii="Times New Roman" w:hAnsi="Times New Roman"/>
          <w:sz w:val="24"/>
        </w:rPr>
        <w:t xml:space="preserve"> (Vic), s 59(1)</w:t>
      </w:r>
      <w:r w:rsidR="00BA6229" w:rsidRPr="00B90394">
        <w:rPr>
          <w:rFonts w:ascii="Times New Roman" w:hAnsi="Times New Roman"/>
          <w:sz w:val="24"/>
        </w:rPr>
        <w:t>.</w:t>
      </w:r>
    </w:p>
  </w:footnote>
  <w:footnote w:id="3">
    <w:p w14:paraId="5C2BCFA2" w14:textId="015E3635" w:rsidR="00430EC0" w:rsidRPr="00B90394" w:rsidRDefault="00430EC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Steven Moore (a pseudonym) v The King</w:t>
      </w:r>
      <w:r w:rsidRPr="00B90394">
        <w:rPr>
          <w:rFonts w:ascii="Times New Roman" w:hAnsi="Times New Roman"/>
          <w:sz w:val="24"/>
        </w:rPr>
        <w:t xml:space="preserve"> </w:t>
      </w:r>
      <w:bookmarkStart w:id="4" w:name="_Hlk172729673"/>
      <w:r w:rsidRPr="00B90394">
        <w:rPr>
          <w:rFonts w:ascii="Times New Roman" w:hAnsi="Times New Roman"/>
          <w:sz w:val="24"/>
        </w:rPr>
        <w:t>[2023] VSCA 236</w:t>
      </w:r>
      <w:bookmarkEnd w:id="4"/>
      <w:r w:rsidR="00BA6229" w:rsidRPr="00B90394">
        <w:rPr>
          <w:rFonts w:ascii="Times New Roman" w:hAnsi="Times New Roman"/>
          <w:sz w:val="24"/>
        </w:rPr>
        <w:t>.</w:t>
      </w:r>
    </w:p>
  </w:footnote>
  <w:footnote w:id="4">
    <w:p w14:paraId="65C79F97" w14:textId="13043EDA" w:rsidR="00000230" w:rsidRPr="00B90394" w:rsidRDefault="0000023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(1936) 55 CLR 4</w:t>
      </w:r>
      <w:r w:rsidR="000A2FE7" w:rsidRPr="00B90394">
        <w:rPr>
          <w:rFonts w:ascii="Times New Roman" w:hAnsi="Times New Roman"/>
          <w:sz w:val="24"/>
        </w:rPr>
        <w:t>9</w:t>
      </w:r>
      <w:r w:rsidRPr="00B90394">
        <w:rPr>
          <w:rFonts w:ascii="Times New Roman" w:hAnsi="Times New Roman"/>
          <w:sz w:val="24"/>
        </w:rPr>
        <w:t>9.</w:t>
      </w:r>
    </w:p>
  </w:footnote>
  <w:footnote w:id="5">
    <w:p w14:paraId="704D9901" w14:textId="33F8C8F0" w:rsidR="00000230" w:rsidRPr="00B90394" w:rsidRDefault="0000023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Minister for Immigration and Border Protection v SZVFW</w:t>
      </w:r>
      <w:r w:rsidRPr="00B90394">
        <w:rPr>
          <w:rFonts w:ascii="Times New Roman" w:hAnsi="Times New Roman"/>
          <w:sz w:val="24"/>
        </w:rPr>
        <w:t xml:space="preserve"> (2018) 264 CLR 541</w:t>
      </w:r>
      <w:r w:rsidR="0068566D" w:rsidRPr="00B90394">
        <w:rPr>
          <w:rFonts w:ascii="Times New Roman" w:hAnsi="Times New Roman"/>
          <w:sz w:val="24"/>
        </w:rPr>
        <w:t xml:space="preserve"> at</w:t>
      </w:r>
      <w:r w:rsidRPr="00B90394">
        <w:rPr>
          <w:rFonts w:ascii="Times New Roman" w:hAnsi="Times New Roman"/>
          <w:sz w:val="24"/>
        </w:rPr>
        <w:t xml:space="preserve"> </w:t>
      </w:r>
      <w:r w:rsidR="000C6A11" w:rsidRPr="00B90394">
        <w:rPr>
          <w:rFonts w:ascii="Times New Roman" w:hAnsi="Times New Roman"/>
          <w:sz w:val="24"/>
        </w:rPr>
        <w:t xml:space="preserve">559-560 </w:t>
      </w:r>
      <w:r w:rsidRPr="00B90394">
        <w:rPr>
          <w:rFonts w:ascii="Times New Roman" w:hAnsi="Times New Roman"/>
          <w:sz w:val="24"/>
        </w:rPr>
        <w:t>[41]</w:t>
      </w:r>
      <w:r w:rsidR="000E6B51" w:rsidRPr="00B90394">
        <w:rPr>
          <w:rFonts w:ascii="Times New Roman" w:hAnsi="Times New Roman"/>
          <w:sz w:val="24"/>
        </w:rPr>
        <w:t>,</w:t>
      </w:r>
      <w:r w:rsidR="00902BB2" w:rsidRPr="00B90394">
        <w:rPr>
          <w:rFonts w:ascii="Times New Roman" w:hAnsi="Times New Roman"/>
          <w:sz w:val="24"/>
        </w:rPr>
        <w:t xml:space="preserve"> 560-561 </w:t>
      </w:r>
      <w:r w:rsidR="000A2FE7" w:rsidRPr="00B90394">
        <w:rPr>
          <w:rFonts w:ascii="Times New Roman" w:hAnsi="Times New Roman"/>
          <w:sz w:val="24"/>
        </w:rPr>
        <w:t xml:space="preserve">[43], </w:t>
      </w:r>
      <w:r w:rsidR="00902BB2" w:rsidRPr="00B90394">
        <w:rPr>
          <w:rFonts w:ascii="Times New Roman" w:hAnsi="Times New Roman"/>
          <w:sz w:val="24"/>
        </w:rPr>
        <w:t>562-</w:t>
      </w:r>
      <w:r w:rsidR="0007650A" w:rsidRPr="00B90394">
        <w:rPr>
          <w:rFonts w:ascii="Times New Roman" w:hAnsi="Times New Roman"/>
          <w:sz w:val="24"/>
        </w:rPr>
        <w:t xml:space="preserve">563 </w:t>
      </w:r>
      <w:r w:rsidR="000A2FE7" w:rsidRPr="00B90394">
        <w:rPr>
          <w:rFonts w:ascii="Times New Roman" w:hAnsi="Times New Roman"/>
          <w:sz w:val="24"/>
        </w:rPr>
        <w:t>[46]</w:t>
      </w:r>
      <w:r w:rsidR="00024B25" w:rsidRPr="00B90394">
        <w:rPr>
          <w:rFonts w:ascii="Times New Roman" w:hAnsi="Times New Roman"/>
          <w:sz w:val="24"/>
        </w:rPr>
        <w:t>,</w:t>
      </w:r>
      <w:r w:rsidR="000A2FE7" w:rsidRPr="00B90394">
        <w:rPr>
          <w:rFonts w:ascii="Times New Roman" w:hAnsi="Times New Roman"/>
          <w:sz w:val="24"/>
        </w:rPr>
        <w:t xml:space="preserve"> </w:t>
      </w:r>
      <w:r w:rsidR="0007650A" w:rsidRPr="00B90394">
        <w:rPr>
          <w:rFonts w:ascii="Times New Roman" w:hAnsi="Times New Roman"/>
          <w:sz w:val="24"/>
        </w:rPr>
        <w:t xml:space="preserve">563 </w:t>
      </w:r>
      <w:r w:rsidR="000A2FE7" w:rsidRPr="00B90394">
        <w:rPr>
          <w:rFonts w:ascii="Times New Roman" w:hAnsi="Times New Roman"/>
          <w:sz w:val="24"/>
        </w:rPr>
        <w:t>[48]</w:t>
      </w:r>
      <w:r w:rsidR="0007650A" w:rsidRPr="00B90394">
        <w:rPr>
          <w:rFonts w:ascii="Times New Roman" w:hAnsi="Times New Roman"/>
          <w:sz w:val="24"/>
        </w:rPr>
        <w:t>-</w:t>
      </w:r>
      <w:r w:rsidR="000A2FE7" w:rsidRPr="00B90394">
        <w:rPr>
          <w:rFonts w:ascii="Times New Roman" w:hAnsi="Times New Roman"/>
          <w:sz w:val="24"/>
        </w:rPr>
        <w:t>[49]</w:t>
      </w:r>
      <w:r w:rsidR="00D12F64" w:rsidRPr="00B90394">
        <w:rPr>
          <w:rFonts w:ascii="Times New Roman" w:hAnsi="Times New Roman"/>
          <w:sz w:val="24"/>
        </w:rPr>
        <w:t>, citing</w:t>
      </w:r>
      <w:r w:rsidRPr="00B90394" w:rsidDel="00C95656">
        <w:rPr>
          <w:rFonts w:ascii="Times New Roman" w:hAnsi="Times New Roman"/>
          <w:sz w:val="24"/>
        </w:rPr>
        <w:t xml:space="preserve"> </w:t>
      </w:r>
      <w:r w:rsidRPr="00B90394" w:rsidDel="00C95656">
        <w:rPr>
          <w:rFonts w:ascii="Times New Roman" w:hAnsi="Times New Roman"/>
          <w:i/>
          <w:iCs/>
          <w:sz w:val="24"/>
        </w:rPr>
        <w:t>Warren v Coombes</w:t>
      </w:r>
      <w:r w:rsidRPr="00B90394" w:rsidDel="00C95656">
        <w:rPr>
          <w:rFonts w:ascii="Times New Roman" w:hAnsi="Times New Roman"/>
          <w:sz w:val="24"/>
        </w:rPr>
        <w:t xml:space="preserve"> (1979) 142 CLR 531 at </w:t>
      </w:r>
      <w:r w:rsidR="007E5958" w:rsidRPr="00B90394">
        <w:rPr>
          <w:rFonts w:ascii="Times New Roman" w:hAnsi="Times New Roman"/>
          <w:sz w:val="24"/>
        </w:rPr>
        <w:t>551-</w:t>
      </w:r>
      <w:r w:rsidRPr="00B90394" w:rsidDel="00C95656">
        <w:rPr>
          <w:rFonts w:ascii="Times New Roman" w:hAnsi="Times New Roman"/>
          <w:sz w:val="24"/>
        </w:rPr>
        <w:t>552.</w:t>
      </w:r>
    </w:p>
  </w:footnote>
  <w:footnote w:id="6">
    <w:p w14:paraId="4EA3F1A5" w14:textId="7B46F41C" w:rsidR="00000230" w:rsidRPr="00B90394" w:rsidRDefault="0000023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Crimes Act 1958</w:t>
      </w:r>
      <w:r w:rsidR="005D4AE8" w:rsidRPr="00B90394">
        <w:rPr>
          <w:rFonts w:ascii="Times New Roman" w:hAnsi="Times New Roman"/>
          <w:i/>
          <w:iCs/>
          <w:sz w:val="24"/>
        </w:rPr>
        <w:t xml:space="preserve"> </w:t>
      </w:r>
      <w:r w:rsidR="005D4AE8" w:rsidRPr="00B90394">
        <w:rPr>
          <w:rFonts w:ascii="Times New Roman" w:hAnsi="Times New Roman"/>
          <w:sz w:val="24"/>
        </w:rPr>
        <w:t>(Vic)</w:t>
      </w:r>
      <w:r w:rsidRPr="00B90394">
        <w:rPr>
          <w:rFonts w:ascii="Times New Roman" w:hAnsi="Times New Roman"/>
          <w:sz w:val="24"/>
        </w:rPr>
        <w:t>, s</w:t>
      </w:r>
      <w:r w:rsidR="001C70C6" w:rsidRPr="00B90394">
        <w:rPr>
          <w:rFonts w:ascii="Times New Roman" w:hAnsi="Times New Roman"/>
          <w:sz w:val="24"/>
        </w:rPr>
        <w:t xml:space="preserve"> </w:t>
      </w:r>
      <w:r w:rsidR="005D4AE8" w:rsidRPr="00B90394">
        <w:rPr>
          <w:rFonts w:ascii="Times New Roman" w:hAnsi="Times New Roman"/>
          <w:sz w:val="24"/>
        </w:rPr>
        <w:t>18</w:t>
      </w:r>
      <w:r w:rsidRPr="00B90394">
        <w:rPr>
          <w:rFonts w:ascii="Times New Roman" w:hAnsi="Times New Roman"/>
          <w:sz w:val="24"/>
        </w:rPr>
        <w:t>.</w:t>
      </w:r>
    </w:p>
  </w:footnote>
  <w:footnote w:id="7">
    <w:p w14:paraId="5CE93B5B" w14:textId="7BAFD298" w:rsidR="00000230" w:rsidRPr="00B90394" w:rsidRDefault="0000023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Crimes Act</w:t>
      </w:r>
      <w:r w:rsidRPr="00B90394">
        <w:rPr>
          <w:rFonts w:ascii="Times New Roman" w:hAnsi="Times New Roman"/>
          <w:sz w:val="24"/>
        </w:rPr>
        <w:t>, s</w:t>
      </w:r>
      <w:r w:rsidR="00700ED4" w:rsidRPr="00B90394">
        <w:rPr>
          <w:rFonts w:ascii="Times New Roman" w:hAnsi="Times New Roman"/>
          <w:sz w:val="24"/>
        </w:rPr>
        <w:t>s 20, 21.</w:t>
      </w:r>
      <w:r w:rsidRPr="00B90394">
        <w:rPr>
          <w:rFonts w:ascii="Times New Roman" w:hAnsi="Times New Roman"/>
          <w:sz w:val="24"/>
        </w:rPr>
        <w:t xml:space="preserve"> </w:t>
      </w:r>
    </w:p>
  </w:footnote>
  <w:footnote w:id="8">
    <w:p w14:paraId="4D12124B" w14:textId="2F80F2F7" w:rsidR="00000230" w:rsidRPr="00B90394" w:rsidRDefault="0000023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700ED4" w:rsidRPr="00B90394">
        <w:rPr>
          <w:rFonts w:ascii="Times New Roman" w:hAnsi="Times New Roman"/>
          <w:sz w:val="24"/>
        </w:rPr>
        <w:t xml:space="preserve">False imprisonment, contrary to common law. </w:t>
      </w:r>
    </w:p>
  </w:footnote>
  <w:footnote w:id="9">
    <w:p w14:paraId="2CEF158E" w14:textId="42F2C871" w:rsidR="00000230" w:rsidRPr="00B90394" w:rsidRDefault="0000023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Crimes Act</w:t>
      </w:r>
      <w:r w:rsidRPr="00B90394">
        <w:rPr>
          <w:rFonts w:ascii="Times New Roman" w:hAnsi="Times New Roman"/>
          <w:sz w:val="24"/>
        </w:rPr>
        <w:t>, s</w:t>
      </w:r>
      <w:r w:rsidR="00700ED4" w:rsidRPr="00B90394">
        <w:rPr>
          <w:rFonts w:ascii="Times New Roman" w:hAnsi="Times New Roman"/>
          <w:sz w:val="24"/>
        </w:rPr>
        <w:t>s 22, 23.</w:t>
      </w:r>
    </w:p>
  </w:footnote>
  <w:footnote w:id="10">
    <w:p w14:paraId="2A9D0ACF" w14:textId="366F14E5" w:rsidR="00747873" w:rsidRPr="00B90394" w:rsidRDefault="0074787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Evidence Act</w:t>
      </w:r>
      <w:r w:rsidRPr="00B90394">
        <w:rPr>
          <w:rFonts w:ascii="Times New Roman" w:hAnsi="Times New Roman"/>
          <w:sz w:val="24"/>
        </w:rPr>
        <w:t>, s</w:t>
      </w:r>
      <w:r w:rsidR="001C70C6" w:rsidRPr="00B90394">
        <w:rPr>
          <w:rFonts w:ascii="Times New Roman" w:hAnsi="Times New Roman"/>
          <w:sz w:val="24"/>
        </w:rPr>
        <w:t xml:space="preserve"> </w:t>
      </w:r>
      <w:r w:rsidRPr="00B90394">
        <w:rPr>
          <w:rFonts w:ascii="Times New Roman" w:hAnsi="Times New Roman"/>
          <w:sz w:val="24"/>
        </w:rPr>
        <w:t>59</w:t>
      </w:r>
      <w:r w:rsidR="00EC1ABF" w:rsidRPr="00B90394">
        <w:rPr>
          <w:rFonts w:ascii="Times New Roman" w:hAnsi="Times New Roman"/>
          <w:sz w:val="24"/>
        </w:rPr>
        <w:t>(1)</w:t>
      </w:r>
      <w:r w:rsidRPr="00B90394">
        <w:rPr>
          <w:rFonts w:ascii="Times New Roman" w:hAnsi="Times New Roman"/>
          <w:sz w:val="24"/>
        </w:rPr>
        <w:t>.</w:t>
      </w:r>
    </w:p>
  </w:footnote>
  <w:footnote w:id="11">
    <w:p w14:paraId="1E8D55EC" w14:textId="540AC295" w:rsidR="00941C13" w:rsidRPr="00B90394" w:rsidRDefault="00941C1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Criminal Procedure Act 2009</w:t>
      </w:r>
      <w:r w:rsidRPr="00B90394">
        <w:rPr>
          <w:rFonts w:ascii="Times New Roman" w:hAnsi="Times New Roman"/>
          <w:sz w:val="24"/>
        </w:rPr>
        <w:t xml:space="preserve"> (Vic), s 295(3)(a).</w:t>
      </w:r>
    </w:p>
  </w:footnote>
  <w:footnote w:id="12">
    <w:p w14:paraId="438C8FFA" w14:textId="3D342AA3" w:rsidR="00941C13" w:rsidRPr="00B90394" w:rsidRDefault="00941C1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Criminal Procedure</w:t>
      </w:r>
      <w:r w:rsidRPr="00B90394">
        <w:rPr>
          <w:rFonts w:ascii="Times New Roman" w:hAnsi="Times New Roman"/>
          <w:sz w:val="24"/>
        </w:rPr>
        <w:t xml:space="preserve"> </w:t>
      </w:r>
      <w:r w:rsidRPr="00B90394">
        <w:rPr>
          <w:rFonts w:ascii="Times New Roman" w:hAnsi="Times New Roman"/>
          <w:i/>
          <w:iCs/>
          <w:sz w:val="24"/>
        </w:rPr>
        <w:t>Act</w:t>
      </w:r>
      <w:r w:rsidRPr="00B90394">
        <w:rPr>
          <w:rFonts w:ascii="Times New Roman" w:hAnsi="Times New Roman"/>
          <w:sz w:val="24"/>
        </w:rPr>
        <w:t>, s 295(2).</w:t>
      </w:r>
    </w:p>
  </w:footnote>
  <w:footnote w:id="13">
    <w:p w14:paraId="69C1B2B6" w14:textId="2E8725F9"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CF168E" w:rsidRPr="00B90394">
        <w:rPr>
          <w:rFonts w:ascii="Times New Roman" w:hAnsi="Times New Roman"/>
          <w:sz w:val="24"/>
        </w:rPr>
        <w:t xml:space="preserve">[2023] VSCA 236 </w:t>
      </w:r>
      <w:r w:rsidRPr="00B90394">
        <w:rPr>
          <w:rFonts w:ascii="Times New Roman" w:hAnsi="Times New Roman"/>
          <w:sz w:val="24"/>
        </w:rPr>
        <w:t>at [97], [106], [119], [130]</w:t>
      </w:r>
      <w:r w:rsidR="00DF25CC" w:rsidRPr="00B90394">
        <w:rPr>
          <w:rFonts w:ascii="Times New Roman" w:hAnsi="Times New Roman"/>
          <w:sz w:val="24"/>
        </w:rPr>
        <w:t xml:space="preserve">, </w:t>
      </w:r>
      <w:r w:rsidRPr="00B90394">
        <w:rPr>
          <w:rFonts w:ascii="Times New Roman" w:hAnsi="Times New Roman"/>
          <w:sz w:val="24"/>
        </w:rPr>
        <w:t>[150].</w:t>
      </w:r>
    </w:p>
  </w:footnote>
  <w:footnote w:id="14">
    <w:p w14:paraId="1B92550B" w14:textId="11C8A018"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CF168E" w:rsidRPr="00B90394">
        <w:rPr>
          <w:rFonts w:ascii="Times New Roman" w:hAnsi="Times New Roman"/>
          <w:sz w:val="24"/>
        </w:rPr>
        <w:t xml:space="preserve">[2023] VSCA 236 </w:t>
      </w:r>
      <w:r w:rsidRPr="00B90394">
        <w:rPr>
          <w:rFonts w:ascii="Times New Roman" w:hAnsi="Times New Roman"/>
          <w:sz w:val="24"/>
        </w:rPr>
        <w:t>at [98], [107], [120], [131]</w:t>
      </w:r>
      <w:r w:rsidR="00DF25CC" w:rsidRPr="00B90394">
        <w:rPr>
          <w:rFonts w:ascii="Times New Roman" w:hAnsi="Times New Roman"/>
          <w:sz w:val="24"/>
        </w:rPr>
        <w:t xml:space="preserve">, </w:t>
      </w:r>
      <w:r w:rsidRPr="00B90394">
        <w:rPr>
          <w:rFonts w:ascii="Times New Roman" w:hAnsi="Times New Roman"/>
          <w:sz w:val="24"/>
        </w:rPr>
        <w:t>[151].</w:t>
      </w:r>
    </w:p>
  </w:footnote>
  <w:footnote w:id="15">
    <w:p w14:paraId="0FD171BF" w14:textId="6F2BDCC6"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bookmarkStart w:id="5" w:name="_Hlk172730375"/>
      <w:r w:rsidR="00696D2E" w:rsidRPr="00B90394">
        <w:rPr>
          <w:rFonts w:ascii="Times New Roman" w:hAnsi="Times New Roman"/>
          <w:sz w:val="24"/>
        </w:rPr>
        <w:t xml:space="preserve">[2023] VSCA 236 </w:t>
      </w:r>
      <w:bookmarkEnd w:id="5"/>
      <w:r w:rsidRPr="00B90394">
        <w:rPr>
          <w:rFonts w:ascii="Times New Roman" w:hAnsi="Times New Roman"/>
          <w:sz w:val="24"/>
        </w:rPr>
        <w:t>at [178].</w:t>
      </w:r>
    </w:p>
  </w:footnote>
  <w:footnote w:id="16">
    <w:p w14:paraId="7ADAFF73" w14:textId="6A43FC8D" w:rsidR="00AC1453" w:rsidRPr="00B90394" w:rsidRDefault="00AC145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SZVFW</w:t>
      </w:r>
      <w:r w:rsidRPr="00B90394">
        <w:rPr>
          <w:rFonts w:ascii="Times New Roman" w:hAnsi="Times New Roman"/>
          <w:sz w:val="24"/>
        </w:rPr>
        <w:t xml:space="preserve"> (2018) 264 CLR 541</w:t>
      </w:r>
      <w:r w:rsidR="003114D6" w:rsidRPr="00B90394">
        <w:rPr>
          <w:rFonts w:ascii="Times New Roman" w:hAnsi="Times New Roman"/>
          <w:sz w:val="24"/>
        </w:rPr>
        <w:t xml:space="preserve"> </w:t>
      </w:r>
      <w:r w:rsidR="009600D3" w:rsidRPr="00B90394">
        <w:rPr>
          <w:rFonts w:ascii="Times New Roman" w:hAnsi="Times New Roman"/>
          <w:sz w:val="24"/>
        </w:rPr>
        <w:t>at 559-560 [41], 560-561 [43], 562-563 [46]</w:t>
      </w:r>
      <w:r w:rsidR="006667A9" w:rsidRPr="00B90394">
        <w:rPr>
          <w:rFonts w:ascii="Times New Roman" w:hAnsi="Times New Roman"/>
          <w:sz w:val="24"/>
        </w:rPr>
        <w:t>,</w:t>
      </w:r>
      <w:r w:rsidR="007D7731" w:rsidRPr="00B90394">
        <w:rPr>
          <w:rFonts w:ascii="Times New Roman" w:hAnsi="Times New Roman"/>
          <w:sz w:val="24"/>
        </w:rPr>
        <w:t xml:space="preserve"> </w:t>
      </w:r>
      <w:r w:rsidR="009600D3" w:rsidRPr="00B90394">
        <w:rPr>
          <w:rFonts w:ascii="Times New Roman" w:hAnsi="Times New Roman"/>
          <w:sz w:val="24"/>
        </w:rPr>
        <w:t xml:space="preserve">563 [48]-[49]. </w:t>
      </w:r>
    </w:p>
  </w:footnote>
  <w:footnote w:id="17">
    <w:p w14:paraId="7E54C2E4" w14:textId="4F573624" w:rsidR="002468EF" w:rsidRPr="00B90394" w:rsidRDefault="002468EF"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894B1B" w:rsidRPr="00B90394">
        <w:rPr>
          <w:rFonts w:ascii="Times New Roman" w:hAnsi="Times New Roman"/>
          <w:sz w:val="24"/>
        </w:rPr>
        <w:t xml:space="preserve">See </w:t>
      </w:r>
      <w:r w:rsidR="00894B1B" w:rsidRPr="00B90394">
        <w:rPr>
          <w:rFonts w:ascii="Times New Roman" w:hAnsi="Times New Roman"/>
          <w:i/>
          <w:iCs/>
          <w:sz w:val="24"/>
        </w:rPr>
        <w:t>SZVFW</w:t>
      </w:r>
      <w:r w:rsidR="00894B1B" w:rsidRPr="00B90394">
        <w:rPr>
          <w:rFonts w:ascii="Times New Roman" w:hAnsi="Times New Roman"/>
          <w:sz w:val="24"/>
        </w:rPr>
        <w:t xml:space="preserve"> (2018) 264 CLR 541 at 591-592 [150]-[151].</w:t>
      </w:r>
    </w:p>
  </w:footnote>
  <w:footnote w:id="18">
    <w:p w14:paraId="6BC7273C" w14:textId="77777777" w:rsidR="00850B2A" w:rsidRPr="00B90394" w:rsidRDefault="00850B2A"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Warren v Coombes</w:t>
      </w:r>
      <w:r w:rsidRPr="00B90394">
        <w:rPr>
          <w:rFonts w:ascii="Times New Roman" w:hAnsi="Times New Roman"/>
          <w:sz w:val="24"/>
        </w:rPr>
        <w:t xml:space="preserve"> (1979) 142 CLR 531 at 552; see also </w:t>
      </w:r>
      <w:r w:rsidRPr="00B90394">
        <w:rPr>
          <w:rFonts w:ascii="Times New Roman" w:hAnsi="Times New Roman"/>
          <w:i/>
          <w:iCs/>
          <w:sz w:val="24"/>
        </w:rPr>
        <w:t>Fox v Percy</w:t>
      </w:r>
      <w:r w:rsidRPr="00B90394">
        <w:rPr>
          <w:rFonts w:ascii="Times New Roman" w:hAnsi="Times New Roman"/>
          <w:sz w:val="24"/>
        </w:rPr>
        <w:t xml:space="preserve"> (2003) 214 CLR 118 at 125-126 [23].</w:t>
      </w:r>
    </w:p>
  </w:footnote>
  <w:footnote w:id="19">
    <w:p w14:paraId="37CA7243" w14:textId="79046C01" w:rsidR="00AC1453" w:rsidRPr="00B90394" w:rsidRDefault="00AC145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House v The King</w:t>
      </w:r>
      <w:r w:rsidRPr="00B90394">
        <w:rPr>
          <w:rFonts w:ascii="Times New Roman" w:hAnsi="Times New Roman"/>
          <w:sz w:val="24"/>
        </w:rPr>
        <w:t xml:space="preserve"> </w:t>
      </w:r>
      <w:bookmarkStart w:id="6" w:name="_Hlk172730390"/>
      <w:r w:rsidR="00702BEE" w:rsidRPr="00B90394">
        <w:rPr>
          <w:rFonts w:ascii="Times New Roman" w:hAnsi="Times New Roman"/>
          <w:sz w:val="24"/>
        </w:rPr>
        <w:t xml:space="preserve">(1936) 55 CLR 499 </w:t>
      </w:r>
      <w:bookmarkEnd w:id="6"/>
      <w:r w:rsidRPr="00B90394">
        <w:rPr>
          <w:rFonts w:ascii="Times New Roman" w:hAnsi="Times New Roman"/>
          <w:sz w:val="24"/>
        </w:rPr>
        <w:t>at 505.</w:t>
      </w:r>
    </w:p>
  </w:footnote>
  <w:footnote w:id="20">
    <w:p w14:paraId="74B1BD9F" w14:textId="63617C46" w:rsidR="00AC1453" w:rsidRPr="00B90394" w:rsidRDefault="00AC145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Lovell v Lovell</w:t>
      </w:r>
      <w:r w:rsidRPr="00B90394">
        <w:rPr>
          <w:rFonts w:ascii="Times New Roman" w:hAnsi="Times New Roman"/>
          <w:sz w:val="24"/>
        </w:rPr>
        <w:t xml:space="preserve"> (1950) 81 CLR 513 at 519.</w:t>
      </w:r>
    </w:p>
  </w:footnote>
  <w:footnote w:id="21">
    <w:p w14:paraId="4CC36192" w14:textId="48CF7171" w:rsidR="002266FB" w:rsidRPr="00B90394" w:rsidRDefault="002266FB"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bookmarkStart w:id="7" w:name="_Hlk172800110"/>
      <w:r w:rsidR="007D7731" w:rsidRPr="00B90394">
        <w:rPr>
          <w:rFonts w:ascii="Times New Roman" w:hAnsi="Times New Roman"/>
          <w:sz w:val="24"/>
        </w:rPr>
        <w:t xml:space="preserve">[2023] VSCA 236 </w:t>
      </w:r>
      <w:bookmarkEnd w:id="7"/>
      <w:r w:rsidRPr="00B90394">
        <w:rPr>
          <w:rFonts w:ascii="Times New Roman" w:hAnsi="Times New Roman"/>
          <w:sz w:val="24"/>
        </w:rPr>
        <w:t>at [187]</w:t>
      </w:r>
      <w:r w:rsidR="00047BB9" w:rsidRPr="00B90394">
        <w:rPr>
          <w:rFonts w:ascii="Times New Roman" w:hAnsi="Times New Roman"/>
          <w:sz w:val="24"/>
        </w:rPr>
        <w:t>.</w:t>
      </w:r>
    </w:p>
  </w:footnote>
  <w:footnote w:id="22">
    <w:p w14:paraId="2E9F1556" w14:textId="14904B79" w:rsidR="00AC1453" w:rsidRPr="00B90394" w:rsidRDefault="00AC145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House v The King</w:t>
      </w:r>
      <w:r w:rsidRPr="00B90394">
        <w:rPr>
          <w:rFonts w:ascii="Times New Roman" w:hAnsi="Times New Roman"/>
          <w:sz w:val="24"/>
        </w:rPr>
        <w:t xml:space="preserve"> </w:t>
      </w:r>
      <w:r w:rsidR="007D7731" w:rsidRPr="00B90394">
        <w:rPr>
          <w:rFonts w:ascii="Times New Roman" w:hAnsi="Times New Roman"/>
          <w:sz w:val="24"/>
        </w:rPr>
        <w:t xml:space="preserve">(1936) 55 CLR 499 </w:t>
      </w:r>
      <w:r w:rsidRPr="00B90394">
        <w:rPr>
          <w:rFonts w:ascii="Times New Roman" w:hAnsi="Times New Roman"/>
          <w:sz w:val="24"/>
        </w:rPr>
        <w:t>at 504.</w:t>
      </w:r>
    </w:p>
  </w:footnote>
  <w:footnote w:id="23">
    <w:p w14:paraId="67C220FD" w14:textId="65877DA4" w:rsidR="00AC1453" w:rsidRPr="00B90394" w:rsidRDefault="00AC145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 xml:space="preserve">Coal </w:t>
      </w:r>
      <w:r w:rsidR="00CB4591" w:rsidRPr="00B90394">
        <w:rPr>
          <w:rFonts w:ascii="Times New Roman" w:hAnsi="Times New Roman"/>
          <w:i/>
          <w:iCs/>
          <w:sz w:val="24"/>
        </w:rPr>
        <w:t>and</w:t>
      </w:r>
      <w:r w:rsidRPr="00B90394">
        <w:rPr>
          <w:rFonts w:ascii="Times New Roman" w:hAnsi="Times New Roman"/>
          <w:i/>
          <w:iCs/>
          <w:sz w:val="24"/>
        </w:rPr>
        <w:t xml:space="preserve"> Allied Operations Pty Ltd v Australian Industrial Relations Commission</w:t>
      </w:r>
      <w:r w:rsidRPr="00B90394">
        <w:rPr>
          <w:rFonts w:ascii="Times New Roman" w:hAnsi="Times New Roman"/>
          <w:sz w:val="24"/>
        </w:rPr>
        <w:t xml:space="preserve"> (2000) 203 CLR 194 at </w:t>
      </w:r>
      <w:r w:rsidR="009F5384" w:rsidRPr="00B90394">
        <w:rPr>
          <w:rFonts w:ascii="Times New Roman" w:hAnsi="Times New Roman"/>
          <w:sz w:val="24"/>
        </w:rPr>
        <w:t xml:space="preserve">205 </w:t>
      </w:r>
      <w:r w:rsidRPr="00B90394">
        <w:rPr>
          <w:rFonts w:ascii="Times New Roman" w:hAnsi="Times New Roman"/>
          <w:sz w:val="24"/>
        </w:rPr>
        <w:t xml:space="preserve">[19]; </w:t>
      </w:r>
      <w:r w:rsidR="003B3684" w:rsidRPr="00B90394">
        <w:rPr>
          <w:rFonts w:ascii="Times New Roman" w:hAnsi="Times New Roman"/>
          <w:sz w:val="24"/>
        </w:rPr>
        <w:t xml:space="preserve">see also </w:t>
      </w:r>
      <w:r w:rsidRPr="00B90394">
        <w:rPr>
          <w:rFonts w:ascii="Times New Roman" w:hAnsi="Times New Roman"/>
          <w:i/>
          <w:iCs/>
          <w:sz w:val="24"/>
        </w:rPr>
        <w:t>SZ</w:t>
      </w:r>
      <w:r w:rsidR="00CB4591" w:rsidRPr="00B90394">
        <w:rPr>
          <w:rFonts w:ascii="Times New Roman" w:hAnsi="Times New Roman"/>
          <w:i/>
          <w:iCs/>
          <w:sz w:val="24"/>
        </w:rPr>
        <w:t>V</w:t>
      </w:r>
      <w:r w:rsidRPr="00B90394">
        <w:rPr>
          <w:rFonts w:ascii="Times New Roman" w:hAnsi="Times New Roman"/>
          <w:i/>
          <w:iCs/>
          <w:sz w:val="24"/>
        </w:rPr>
        <w:t>FW</w:t>
      </w:r>
      <w:r w:rsidR="00360454" w:rsidRPr="00B90394">
        <w:rPr>
          <w:rFonts w:ascii="Times New Roman" w:hAnsi="Times New Roman"/>
          <w:sz w:val="24"/>
        </w:rPr>
        <w:t xml:space="preserve"> </w:t>
      </w:r>
      <w:bookmarkStart w:id="8" w:name="_Hlk172733328"/>
      <w:r w:rsidR="00360454" w:rsidRPr="00B90394">
        <w:rPr>
          <w:rFonts w:ascii="Times New Roman" w:hAnsi="Times New Roman"/>
          <w:sz w:val="24"/>
        </w:rPr>
        <w:t xml:space="preserve">(2018) 264 CLR 541 </w:t>
      </w:r>
      <w:bookmarkEnd w:id="8"/>
      <w:r w:rsidRPr="00B90394">
        <w:rPr>
          <w:rFonts w:ascii="Times New Roman" w:hAnsi="Times New Roman"/>
          <w:sz w:val="24"/>
        </w:rPr>
        <w:t>at</w:t>
      </w:r>
      <w:r w:rsidR="0022551E" w:rsidRPr="00B90394">
        <w:rPr>
          <w:rFonts w:ascii="Times New Roman" w:hAnsi="Times New Roman"/>
          <w:sz w:val="24"/>
        </w:rPr>
        <w:t xml:space="preserve"> 589-590</w:t>
      </w:r>
      <w:r w:rsidRPr="00B90394">
        <w:rPr>
          <w:rFonts w:ascii="Times New Roman" w:hAnsi="Times New Roman"/>
          <w:sz w:val="24"/>
        </w:rPr>
        <w:t xml:space="preserve"> [</w:t>
      </w:r>
      <w:proofErr w:type="gramStart"/>
      <w:r w:rsidRPr="00B90394">
        <w:rPr>
          <w:rFonts w:ascii="Times New Roman" w:hAnsi="Times New Roman"/>
          <w:sz w:val="24"/>
        </w:rPr>
        <w:t>146]</w:t>
      </w:r>
      <w:r w:rsidRPr="00B90394">
        <w:rPr>
          <w:rFonts w:ascii="Times New Roman" w:hAnsi="Times New Roman"/>
          <w:sz w:val="24"/>
        </w:rPr>
        <w:noBreakHyphen/>
      </w:r>
      <w:proofErr w:type="gramEnd"/>
      <w:r w:rsidRPr="00B90394">
        <w:rPr>
          <w:rFonts w:ascii="Times New Roman" w:hAnsi="Times New Roman"/>
          <w:sz w:val="24"/>
        </w:rPr>
        <w:t>[148].</w:t>
      </w:r>
    </w:p>
  </w:footnote>
  <w:footnote w:id="24">
    <w:p w14:paraId="5DD8A907" w14:textId="5AF537D7" w:rsidR="00AC1453" w:rsidRPr="00B90394" w:rsidRDefault="00AC1453"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SZ</w:t>
      </w:r>
      <w:r w:rsidR="00CB4591" w:rsidRPr="00B90394">
        <w:rPr>
          <w:rFonts w:ascii="Times New Roman" w:hAnsi="Times New Roman"/>
          <w:i/>
          <w:iCs/>
          <w:sz w:val="24"/>
        </w:rPr>
        <w:t>V</w:t>
      </w:r>
      <w:r w:rsidRPr="00B90394">
        <w:rPr>
          <w:rFonts w:ascii="Times New Roman" w:hAnsi="Times New Roman"/>
          <w:i/>
          <w:iCs/>
          <w:sz w:val="24"/>
        </w:rPr>
        <w:t>FW</w:t>
      </w:r>
      <w:r w:rsidR="006F7C49" w:rsidRPr="00B90394">
        <w:rPr>
          <w:rFonts w:ascii="Times New Roman" w:hAnsi="Times New Roman"/>
          <w:i/>
          <w:iCs/>
          <w:sz w:val="24"/>
        </w:rPr>
        <w:t xml:space="preserve"> </w:t>
      </w:r>
      <w:r w:rsidR="006F7C49" w:rsidRPr="00B90394">
        <w:rPr>
          <w:rFonts w:ascii="Times New Roman" w:hAnsi="Times New Roman"/>
          <w:sz w:val="24"/>
        </w:rPr>
        <w:t xml:space="preserve">(2018) 264 CLR 541 </w:t>
      </w:r>
      <w:r w:rsidRPr="00B90394">
        <w:rPr>
          <w:rFonts w:ascii="Times New Roman" w:hAnsi="Times New Roman"/>
          <w:sz w:val="24"/>
        </w:rPr>
        <w:t xml:space="preserve">at </w:t>
      </w:r>
      <w:r w:rsidR="00E977FA" w:rsidRPr="00B90394">
        <w:rPr>
          <w:rFonts w:ascii="Times New Roman" w:hAnsi="Times New Roman"/>
          <w:sz w:val="24"/>
        </w:rPr>
        <w:t xml:space="preserve">563 </w:t>
      </w:r>
      <w:r w:rsidRPr="00B90394">
        <w:rPr>
          <w:rFonts w:ascii="Times New Roman" w:hAnsi="Times New Roman"/>
          <w:sz w:val="24"/>
        </w:rPr>
        <w:t xml:space="preserve">[49]; </w:t>
      </w:r>
      <w:r w:rsidR="00CD3DAE" w:rsidRPr="00B90394">
        <w:rPr>
          <w:rFonts w:ascii="Times New Roman" w:hAnsi="Times New Roman"/>
          <w:sz w:val="24"/>
        </w:rPr>
        <w:t xml:space="preserve">see also </w:t>
      </w:r>
      <w:r w:rsidRPr="00B90394">
        <w:rPr>
          <w:rFonts w:ascii="Times New Roman" w:hAnsi="Times New Roman"/>
          <w:i/>
          <w:iCs/>
          <w:sz w:val="24"/>
        </w:rPr>
        <w:t xml:space="preserve">GLJ v </w:t>
      </w:r>
      <w:r w:rsidR="00CB4591" w:rsidRPr="00B90394">
        <w:rPr>
          <w:rFonts w:ascii="Times New Roman" w:hAnsi="Times New Roman"/>
          <w:i/>
          <w:iCs/>
          <w:sz w:val="24"/>
        </w:rPr>
        <w:t xml:space="preserve">Trustees of the </w:t>
      </w:r>
      <w:r w:rsidRPr="00B90394">
        <w:rPr>
          <w:rFonts w:ascii="Times New Roman" w:hAnsi="Times New Roman"/>
          <w:i/>
          <w:iCs/>
          <w:sz w:val="24"/>
        </w:rPr>
        <w:t xml:space="preserve">Roman Catholic Church </w:t>
      </w:r>
      <w:r w:rsidR="00CB4591" w:rsidRPr="00B90394">
        <w:rPr>
          <w:rFonts w:ascii="Times New Roman" w:hAnsi="Times New Roman"/>
          <w:i/>
          <w:iCs/>
          <w:sz w:val="24"/>
        </w:rPr>
        <w:t xml:space="preserve">for the Diocese of </w:t>
      </w:r>
      <w:r w:rsidRPr="00B90394">
        <w:rPr>
          <w:rFonts w:ascii="Times New Roman" w:hAnsi="Times New Roman"/>
          <w:i/>
          <w:iCs/>
          <w:sz w:val="24"/>
        </w:rPr>
        <w:t>Lismore</w:t>
      </w:r>
      <w:r w:rsidRPr="00B90394">
        <w:rPr>
          <w:rFonts w:ascii="Times New Roman" w:hAnsi="Times New Roman"/>
          <w:sz w:val="24"/>
        </w:rPr>
        <w:t xml:space="preserve"> (2023) 97 ALJR 857 at </w:t>
      </w:r>
      <w:r w:rsidR="008373DA" w:rsidRPr="00B90394">
        <w:rPr>
          <w:rFonts w:ascii="Times New Roman" w:hAnsi="Times New Roman"/>
          <w:sz w:val="24"/>
        </w:rPr>
        <w:t xml:space="preserve">865 </w:t>
      </w:r>
      <w:r w:rsidRPr="00B90394">
        <w:rPr>
          <w:rFonts w:ascii="Times New Roman" w:hAnsi="Times New Roman"/>
          <w:sz w:val="24"/>
        </w:rPr>
        <w:t>[15]</w:t>
      </w:r>
      <w:r w:rsidR="00426A46" w:rsidRPr="00B90394">
        <w:rPr>
          <w:rFonts w:ascii="Times New Roman" w:hAnsi="Times New Roman"/>
          <w:sz w:val="24"/>
        </w:rPr>
        <w:t xml:space="preserve">; </w:t>
      </w:r>
      <w:r w:rsidR="0063458B" w:rsidRPr="00B90394">
        <w:rPr>
          <w:rFonts w:ascii="Times New Roman" w:hAnsi="Times New Roman"/>
          <w:sz w:val="24"/>
        </w:rPr>
        <w:t xml:space="preserve">414 ALR 635 at </w:t>
      </w:r>
      <w:r w:rsidR="00133D97" w:rsidRPr="00B90394">
        <w:rPr>
          <w:rFonts w:ascii="Times New Roman" w:hAnsi="Times New Roman"/>
          <w:sz w:val="24"/>
        </w:rPr>
        <w:t>641-642</w:t>
      </w:r>
      <w:r w:rsidRPr="00B90394">
        <w:rPr>
          <w:rFonts w:ascii="Times New Roman" w:hAnsi="Times New Roman"/>
          <w:sz w:val="24"/>
        </w:rPr>
        <w:t>.</w:t>
      </w:r>
    </w:p>
  </w:footnote>
  <w:footnote w:id="25">
    <w:p w14:paraId="14BAF7E1" w14:textId="5FE9ACD7"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(201</w:t>
      </w:r>
      <w:r w:rsidR="00A50470" w:rsidRPr="00B90394">
        <w:rPr>
          <w:rFonts w:ascii="Times New Roman" w:hAnsi="Times New Roman"/>
          <w:sz w:val="24"/>
        </w:rPr>
        <w:t>8</w:t>
      </w:r>
      <w:r w:rsidRPr="00B90394">
        <w:rPr>
          <w:rFonts w:ascii="Times New Roman" w:hAnsi="Times New Roman"/>
          <w:sz w:val="24"/>
        </w:rPr>
        <w:t>) 266 CLR 56.</w:t>
      </w:r>
    </w:p>
  </w:footnote>
  <w:footnote w:id="26">
    <w:p w14:paraId="7756C885" w14:textId="7FF36E8E" w:rsidR="002B24C2" w:rsidRPr="00B90394" w:rsidRDefault="002B24C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00BE25C0" w:rsidRPr="00B90394">
        <w:rPr>
          <w:rFonts w:ascii="Times New Roman" w:hAnsi="Times New Roman"/>
          <w:sz w:val="24"/>
        </w:rPr>
        <w:tab/>
      </w:r>
      <w:r w:rsidR="00366592" w:rsidRPr="00B90394">
        <w:rPr>
          <w:rFonts w:ascii="Times New Roman" w:hAnsi="Times New Roman"/>
          <w:i/>
          <w:iCs/>
          <w:sz w:val="24"/>
        </w:rPr>
        <w:t>R</w:t>
      </w:r>
      <w:r w:rsidR="00BE25C0" w:rsidRPr="00B90394">
        <w:rPr>
          <w:rFonts w:ascii="Times New Roman" w:hAnsi="Times New Roman"/>
          <w:i/>
          <w:iCs/>
          <w:sz w:val="24"/>
        </w:rPr>
        <w:t xml:space="preserve"> v Dennis Bauer (a pseudonym) </w:t>
      </w:r>
      <w:bookmarkStart w:id="9" w:name="_Hlk172735427"/>
      <w:r w:rsidR="00BE25C0" w:rsidRPr="00B90394">
        <w:rPr>
          <w:rFonts w:ascii="Times New Roman" w:hAnsi="Times New Roman"/>
          <w:sz w:val="24"/>
        </w:rPr>
        <w:t xml:space="preserve">(2018) 266 CLR 56 </w:t>
      </w:r>
      <w:bookmarkEnd w:id="9"/>
      <w:r w:rsidR="00BE25C0" w:rsidRPr="00B90394">
        <w:rPr>
          <w:rFonts w:ascii="Times New Roman" w:hAnsi="Times New Roman"/>
          <w:sz w:val="24"/>
        </w:rPr>
        <w:t>at 8</w:t>
      </w:r>
      <w:r w:rsidR="00C27035" w:rsidRPr="00B90394">
        <w:rPr>
          <w:rFonts w:ascii="Times New Roman" w:hAnsi="Times New Roman"/>
          <w:sz w:val="24"/>
        </w:rPr>
        <w:t>8</w:t>
      </w:r>
      <w:r w:rsidR="006618F6" w:rsidRPr="00B90394">
        <w:rPr>
          <w:rFonts w:ascii="Times New Roman" w:hAnsi="Times New Roman"/>
          <w:sz w:val="24"/>
        </w:rPr>
        <w:t>-89</w:t>
      </w:r>
      <w:r w:rsidR="00BE25C0" w:rsidRPr="00B90394">
        <w:rPr>
          <w:rFonts w:ascii="Times New Roman" w:hAnsi="Times New Roman"/>
          <w:sz w:val="24"/>
        </w:rPr>
        <w:t xml:space="preserve"> [61].</w:t>
      </w:r>
    </w:p>
  </w:footnote>
  <w:footnote w:id="27">
    <w:p w14:paraId="4CE6BF36" w14:textId="60F54220"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bookmarkStart w:id="10" w:name="_Hlk172617936"/>
      <w:r w:rsidRPr="00B90394">
        <w:rPr>
          <w:rFonts w:ascii="Times New Roman" w:hAnsi="Times New Roman"/>
          <w:i/>
          <w:iCs/>
          <w:sz w:val="24"/>
        </w:rPr>
        <w:t>Bauer</w:t>
      </w:r>
      <w:r w:rsidRPr="00B90394">
        <w:rPr>
          <w:rFonts w:ascii="Times New Roman" w:hAnsi="Times New Roman"/>
          <w:sz w:val="24"/>
        </w:rPr>
        <w:t xml:space="preserve"> </w:t>
      </w:r>
      <w:r w:rsidR="00394A39" w:rsidRPr="00B90394">
        <w:rPr>
          <w:rFonts w:ascii="Times New Roman" w:hAnsi="Times New Roman"/>
          <w:sz w:val="24"/>
        </w:rPr>
        <w:t xml:space="preserve">(2018) 266 CLR 56 </w:t>
      </w:r>
      <w:r w:rsidRPr="00B90394">
        <w:rPr>
          <w:rFonts w:ascii="Times New Roman" w:hAnsi="Times New Roman"/>
          <w:sz w:val="24"/>
        </w:rPr>
        <w:t xml:space="preserve">at </w:t>
      </w:r>
      <w:r w:rsidR="008874E9" w:rsidRPr="00B90394">
        <w:rPr>
          <w:rFonts w:ascii="Times New Roman" w:hAnsi="Times New Roman"/>
          <w:sz w:val="24"/>
        </w:rPr>
        <w:t xml:space="preserve">89 </w:t>
      </w:r>
      <w:r w:rsidRPr="00B90394">
        <w:rPr>
          <w:rFonts w:ascii="Times New Roman" w:hAnsi="Times New Roman"/>
          <w:sz w:val="24"/>
        </w:rPr>
        <w:t>[61].</w:t>
      </w:r>
      <w:bookmarkEnd w:id="10"/>
    </w:p>
  </w:footnote>
  <w:footnote w:id="28">
    <w:p w14:paraId="3206FFF3" w14:textId="093F2C40"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(2012) 247 CLR 170.</w:t>
      </w:r>
    </w:p>
  </w:footnote>
  <w:footnote w:id="29">
    <w:p w14:paraId="3239A3B7" w14:textId="3723026B"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proofErr w:type="spellStart"/>
      <w:r w:rsidR="003B708F" w:rsidRPr="00B90394">
        <w:rPr>
          <w:rFonts w:ascii="Times New Roman" w:hAnsi="Times New Roman"/>
          <w:i/>
          <w:iCs/>
          <w:sz w:val="24"/>
        </w:rPr>
        <w:t>Aytugrul</w:t>
      </w:r>
      <w:proofErr w:type="spellEnd"/>
      <w:r w:rsidR="003B708F" w:rsidRPr="00B90394">
        <w:rPr>
          <w:rFonts w:ascii="Times New Roman" w:hAnsi="Times New Roman"/>
          <w:i/>
          <w:iCs/>
          <w:sz w:val="24"/>
        </w:rPr>
        <w:t xml:space="preserve"> v The Queen </w:t>
      </w:r>
      <w:r w:rsidR="003B708F" w:rsidRPr="00B90394">
        <w:rPr>
          <w:rFonts w:ascii="Times New Roman" w:hAnsi="Times New Roman"/>
          <w:sz w:val="24"/>
        </w:rPr>
        <w:t xml:space="preserve">(2012) 247 CLR 170 </w:t>
      </w:r>
      <w:r w:rsidRPr="00B90394">
        <w:rPr>
          <w:rFonts w:ascii="Times New Roman" w:hAnsi="Times New Roman"/>
          <w:sz w:val="24"/>
        </w:rPr>
        <w:t>at</w:t>
      </w:r>
      <w:r w:rsidR="00F729F4" w:rsidRPr="00B90394">
        <w:rPr>
          <w:rFonts w:ascii="Times New Roman" w:hAnsi="Times New Roman"/>
          <w:sz w:val="24"/>
        </w:rPr>
        <w:t xml:space="preserve"> </w:t>
      </w:r>
      <w:r w:rsidR="008614D0" w:rsidRPr="00B90394">
        <w:rPr>
          <w:rFonts w:ascii="Times New Roman" w:hAnsi="Times New Roman"/>
          <w:sz w:val="24"/>
        </w:rPr>
        <w:t>184-</w:t>
      </w:r>
      <w:r w:rsidR="00F136CB" w:rsidRPr="00B90394">
        <w:rPr>
          <w:rFonts w:ascii="Times New Roman" w:hAnsi="Times New Roman"/>
          <w:sz w:val="24"/>
        </w:rPr>
        <w:t xml:space="preserve">187 </w:t>
      </w:r>
      <w:r w:rsidRPr="00B90394">
        <w:rPr>
          <w:rFonts w:ascii="Times New Roman" w:hAnsi="Times New Roman"/>
          <w:sz w:val="24"/>
        </w:rPr>
        <w:t>[23]-[34].</w:t>
      </w:r>
    </w:p>
  </w:footnote>
  <w:footnote w:id="30">
    <w:p w14:paraId="2ECD4D7D" w14:textId="2ADABACB"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IMM v The</w:t>
      </w:r>
      <w:r w:rsidRPr="00B90394">
        <w:rPr>
          <w:rFonts w:ascii="Times New Roman" w:hAnsi="Times New Roman"/>
          <w:sz w:val="24"/>
        </w:rPr>
        <w:t xml:space="preserve"> </w:t>
      </w:r>
      <w:r w:rsidRPr="00B90394">
        <w:rPr>
          <w:rFonts w:ascii="Times New Roman" w:hAnsi="Times New Roman"/>
          <w:i/>
          <w:iCs/>
          <w:sz w:val="24"/>
        </w:rPr>
        <w:t>Queen</w:t>
      </w:r>
      <w:r w:rsidRPr="00B90394">
        <w:rPr>
          <w:rFonts w:ascii="Times New Roman" w:hAnsi="Times New Roman"/>
          <w:sz w:val="24"/>
        </w:rPr>
        <w:t xml:space="preserve"> (2016) 257 CLR 300 at </w:t>
      </w:r>
      <w:r w:rsidR="004E18E6" w:rsidRPr="00B90394">
        <w:rPr>
          <w:rFonts w:ascii="Times New Roman" w:hAnsi="Times New Roman"/>
          <w:sz w:val="24"/>
        </w:rPr>
        <w:t xml:space="preserve">329 </w:t>
      </w:r>
      <w:r w:rsidRPr="00B90394">
        <w:rPr>
          <w:rFonts w:ascii="Times New Roman" w:hAnsi="Times New Roman"/>
          <w:sz w:val="24"/>
        </w:rPr>
        <w:t>[109].</w:t>
      </w:r>
    </w:p>
  </w:footnote>
  <w:footnote w:id="31">
    <w:p w14:paraId="1F6D8E6C" w14:textId="15B26D3C"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bookmarkStart w:id="11" w:name="_Hlk172800715"/>
      <w:r w:rsidRPr="00B90394">
        <w:rPr>
          <w:rFonts w:ascii="Times New Roman" w:hAnsi="Times New Roman"/>
          <w:sz w:val="24"/>
        </w:rPr>
        <w:t>(2012) 38 VR 1</w:t>
      </w:r>
      <w:bookmarkEnd w:id="11"/>
      <w:r w:rsidRPr="00B90394">
        <w:rPr>
          <w:rFonts w:ascii="Times New Roman" w:hAnsi="Times New Roman"/>
          <w:sz w:val="24"/>
        </w:rPr>
        <w:t>.</w:t>
      </w:r>
    </w:p>
  </w:footnote>
  <w:footnote w:id="32">
    <w:p w14:paraId="72FE3E37" w14:textId="7A776F5A"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4B6CA5" w:rsidRPr="00B90394">
        <w:rPr>
          <w:rFonts w:ascii="Times New Roman" w:hAnsi="Times New Roman"/>
          <w:i/>
          <w:iCs/>
          <w:sz w:val="24"/>
        </w:rPr>
        <w:t>Moore</w:t>
      </w:r>
      <w:r w:rsidR="004B6CA5" w:rsidRPr="00B90394">
        <w:rPr>
          <w:rFonts w:ascii="Times New Roman" w:hAnsi="Times New Roman"/>
          <w:sz w:val="24"/>
        </w:rPr>
        <w:t xml:space="preserve"> </w:t>
      </w:r>
      <w:r w:rsidR="00086A2E" w:rsidRPr="00B90394">
        <w:rPr>
          <w:rFonts w:ascii="Times New Roman" w:hAnsi="Times New Roman"/>
          <w:sz w:val="24"/>
        </w:rPr>
        <w:t xml:space="preserve">[2023] VSCA 236 </w:t>
      </w:r>
      <w:r w:rsidR="004B6CA5" w:rsidRPr="00B90394">
        <w:rPr>
          <w:rFonts w:ascii="Times New Roman" w:hAnsi="Times New Roman"/>
          <w:sz w:val="24"/>
        </w:rPr>
        <w:t>at [178]</w:t>
      </w:r>
      <w:r w:rsidR="001A4AD9" w:rsidRPr="00B90394">
        <w:rPr>
          <w:rFonts w:ascii="Times New Roman" w:hAnsi="Times New Roman"/>
          <w:sz w:val="24"/>
        </w:rPr>
        <w:t>, citing</w:t>
      </w:r>
      <w:r w:rsidR="004B6CA5" w:rsidRPr="00B90394">
        <w:rPr>
          <w:rFonts w:ascii="Times New Roman" w:hAnsi="Times New Roman"/>
          <w:sz w:val="24"/>
        </w:rPr>
        <w:t xml:space="preserve"> </w:t>
      </w:r>
      <w:r w:rsidR="00B13421" w:rsidRPr="00B90394">
        <w:rPr>
          <w:rFonts w:ascii="Times New Roman" w:hAnsi="Times New Roman"/>
          <w:i/>
          <w:iCs/>
          <w:sz w:val="24"/>
        </w:rPr>
        <w:t xml:space="preserve">Gilbert </w:t>
      </w:r>
      <w:r w:rsidRPr="00B90394">
        <w:rPr>
          <w:rFonts w:ascii="Times New Roman" w:hAnsi="Times New Roman"/>
          <w:i/>
          <w:iCs/>
          <w:sz w:val="24"/>
        </w:rPr>
        <w:t>Lewis (a pseudonym) v The Queen</w:t>
      </w:r>
      <w:r w:rsidRPr="00B90394">
        <w:rPr>
          <w:rFonts w:ascii="Times New Roman" w:hAnsi="Times New Roman"/>
          <w:sz w:val="24"/>
        </w:rPr>
        <w:t xml:space="preserve"> [2018] VSCA 40</w:t>
      </w:r>
      <w:r w:rsidR="00C1350E" w:rsidRPr="00B90394">
        <w:rPr>
          <w:rFonts w:ascii="Times New Roman" w:hAnsi="Times New Roman"/>
          <w:sz w:val="24"/>
        </w:rPr>
        <w:t xml:space="preserve"> at</w:t>
      </w:r>
      <w:r w:rsidRPr="00B90394">
        <w:rPr>
          <w:rFonts w:ascii="Times New Roman" w:hAnsi="Times New Roman"/>
          <w:sz w:val="24"/>
        </w:rPr>
        <w:t xml:space="preserve"> [50]</w:t>
      </w:r>
      <w:r w:rsidR="00121F42" w:rsidRPr="00B90394">
        <w:rPr>
          <w:rFonts w:ascii="Times New Roman" w:hAnsi="Times New Roman"/>
          <w:sz w:val="24"/>
        </w:rPr>
        <w:t xml:space="preserve">, </w:t>
      </w:r>
      <w:r w:rsidR="006618F6" w:rsidRPr="00B90394">
        <w:rPr>
          <w:rFonts w:ascii="Times New Roman" w:hAnsi="Times New Roman"/>
          <w:sz w:val="24"/>
        </w:rPr>
        <w:t xml:space="preserve">in turn </w:t>
      </w:r>
      <w:r w:rsidR="005801BF" w:rsidRPr="00B90394">
        <w:rPr>
          <w:rFonts w:ascii="Times New Roman" w:hAnsi="Times New Roman"/>
          <w:sz w:val="24"/>
        </w:rPr>
        <w:t>referring</w:t>
      </w:r>
      <w:r w:rsidR="00121F42" w:rsidRPr="00B90394">
        <w:rPr>
          <w:rFonts w:ascii="Times New Roman" w:hAnsi="Times New Roman"/>
          <w:sz w:val="24"/>
        </w:rPr>
        <w:t xml:space="preserve"> to</w:t>
      </w:r>
      <w:r w:rsidR="0017264E" w:rsidRPr="00B90394">
        <w:rPr>
          <w:rFonts w:ascii="Times New Roman" w:hAnsi="Times New Roman"/>
          <w:sz w:val="24"/>
        </w:rPr>
        <w:t xml:space="preserve"> </w:t>
      </w:r>
      <w:r w:rsidR="001E4CAD" w:rsidRPr="00B90394">
        <w:rPr>
          <w:rFonts w:ascii="Times New Roman" w:hAnsi="Times New Roman"/>
          <w:i/>
          <w:iCs/>
          <w:sz w:val="24"/>
        </w:rPr>
        <w:t>McCartney v The Queen</w:t>
      </w:r>
      <w:r w:rsidR="001E4CAD" w:rsidRPr="00B90394">
        <w:rPr>
          <w:rFonts w:ascii="Times New Roman" w:hAnsi="Times New Roman"/>
          <w:sz w:val="24"/>
        </w:rPr>
        <w:t xml:space="preserve"> (2012) 38 VR 1</w:t>
      </w:r>
      <w:r w:rsidR="006618F6" w:rsidRPr="00B90394">
        <w:rPr>
          <w:rFonts w:ascii="Times New Roman" w:hAnsi="Times New Roman"/>
          <w:sz w:val="24"/>
        </w:rPr>
        <w:t>,</w:t>
      </w:r>
      <w:r w:rsidR="001E4CAD" w:rsidRPr="00B90394">
        <w:rPr>
          <w:rFonts w:ascii="Times New Roman" w:hAnsi="Times New Roman"/>
          <w:sz w:val="24"/>
        </w:rPr>
        <w:t xml:space="preserve"> </w:t>
      </w:r>
      <w:bookmarkStart w:id="12" w:name="_Hlk172885096"/>
      <w:r w:rsidR="00A87E26" w:rsidRPr="00B90394">
        <w:rPr>
          <w:rFonts w:ascii="Times New Roman" w:hAnsi="Times New Roman"/>
          <w:i/>
          <w:iCs/>
          <w:sz w:val="24"/>
        </w:rPr>
        <w:t>KJM v The Queen [No 2]</w:t>
      </w:r>
      <w:r w:rsidR="00A87E26" w:rsidRPr="00B90394">
        <w:rPr>
          <w:rFonts w:ascii="Times New Roman" w:hAnsi="Times New Roman"/>
          <w:sz w:val="24"/>
        </w:rPr>
        <w:t xml:space="preserve"> </w:t>
      </w:r>
      <w:r w:rsidR="0023351E" w:rsidRPr="00B90394">
        <w:rPr>
          <w:rFonts w:ascii="Times New Roman" w:hAnsi="Times New Roman"/>
          <w:sz w:val="24"/>
        </w:rPr>
        <w:t>(2011) 33 VR 11</w:t>
      </w:r>
      <w:r w:rsidR="006618F6" w:rsidRPr="00B90394">
        <w:rPr>
          <w:rFonts w:ascii="Times New Roman" w:hAnsi="Times New Roman"/>
          <w:sz w:val="24"/>
        </w:rPr>
        <w:t xml:space="preserve"> and</w:t>
      </w:r>
      <w:r w:rsidR="00221E45" w:rsidRPr="00B90394">
        <w:rPr>
          <w:rFonts w:ascii="Times New Roman" w:hAnsi="Times New Roman"/>
          <w:sz w:val="24"/>
        </w:rPr>
        <w:t xml:space="preserve"> </w:t>
      </w:r>
      <w:bookmarkEnd w:id="12"/>
      <w:r w:rsidR="000709A5" w:rsidRPr="00B90394">
        <w:rPr>
          <w:rFonts w:ascii="Times New Roman" w:hAnsi="Times New Roman"/>
          <w:i/>
          <w:iCs/>
          <w:sz w:val="24"/>
        </w:rPr>
        <w:t>Bray (</w:t>
      </w:r>
      <w:r w:rsidR="00C27722" w:rsidRPr="00B90394">
        <w:rPr>
          <w:rFonts w:ascii="Times New Roman" w:hAnsi="Times New Roman"/>
          <w:i/>
          <w:iCs/>
          <w:sz w:val="24"/>
        </w:rPr>
        <w:t>A</w:t>
      </w:r>
      <w:r w:rsidR="000709A5" w:rsidRPr="00B90394">
        <w:rPr>
          <w:rFonts w:ascii="Times New Roman" w:hAnsi="Times New Roman"/>
          <w:i/>
          <w:iCs/>
          <w:sz w:val="24"/>
        </w:rPr>
        <w:t xml:space="preserve"> </w:t>
      </w:r>
      <w:r w:rsidR="00C27722" w:rsidRPr="00B90394">
        <w:rPr>
          <w:rFonts w:ascii="Times New Roman" w:hAnsi="Times New Roman"/>
          <w:i/>
          <w:iCs/>
          <w:sz w:val="24"/>
        </w:rPr>
        <w:t>P</w:t>
      </w:r>
      <w:r w:rsidR="000709A5" w:rsidRPr="00B90394">
        <w:rPr>
          <w:rFonts w:ascii="Times New Roman" w:hAnsi="Times New Roman"/>
          <w:i/>
          <w:iCs/>
          <w:sz w:val="24"/>
        </w:rPr>
        <w:t xml:space="preserve">seudonym) v The Queen </w:t>
      </w:r>
      <w:r w:rsidR="0023351E" w:rsidRPr="00B90394">
        <w:rPr>
          <w:rFonts w:ascii="Times New Roman" w:hAnsi="Times New Roman"/>
          <w:sz w:val="24"/>
        </w:rPr>
        <w:t>(2014) 46 VR 623</w:t>
      </w:r>
      <w:r w:rsidRPr="00B90394">
        <w:rPr>
          <w:rFonts w:ascii="Times New Roman" w:hAnsi="Times New Roman"/>
          <w:sz w:val="24"/>
        </w:rPr>
        <w:t>.</w:t>
      </w:r>
      <w:r w:rsidR="005B21B4" w:rsidRPr="00B90394">
        <w:rPr>
          <w:rFonts w:ascii="Times New Roman" w:hAnsi="Times New Roman"/>
          <w:sz w:val="24"/>
        </w:rPr>
        <w:t xml:space="preserve"> </w:t>
      </w:r>
    </w:p>
  </w:footnote>
  <w:footnote w:id="33">
    <w:p w14:paraId="01C849B3" w14:textId="71CB24AC"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3F4146" w:rsidRPr="00B90394">
        <w:rPr>
          <w:rFonts w:ascii="Times New Roman" w:hAnsi="Times New Roman"/>
          <w:i/>
          <w:iCs/>
          <w:sz w:val="24"/>
        </w:rPr>
        <w:t>KJM [No 2]</w:t>
      </w:r>
      <w:r w:rsidR="003F4146" w:rsidRPr="00B90394">
        <w:rPr>
          <w:rFonts w:ascii="Times New Roman" w:hAnsi="Times New Roman"/>
          <w:sz w:val="24"/>
        </w:rPr>
        <w:t xml:space="preserve"> (2011) 33 VR 11 at 13 [12]-[14]; </w:t>
      </w:r>
      <w:r w:rsidRPr="00B90394">
        <w:rPr>
          <w:rFonts w:ascii="Times New Roman" w:hAnsi="Times New Roman"/>
          <w:i/>
          <w:iCs/>
          <w:sz w:val="24"/>
        </w:rPr>
        <w:t>McCartney</w:t>
      </w:r>
      <w:r w:rsidR="00B548D1" w:rsidRPr="00B90394">
        <w:rPr>
          <w:rFonts w:ascii="Times New Roman" w:hAnsi="Times New Roman"/>
          <w:i/>
          <w:iCs/>
          <w:sz w:val="24"/>
        </w:rPr>
        <w:t xml:space="preserve"> </w:t>
      </w:r>
      <w:r w:rsidR="00B548D1" w:rsidRPr="00B90394">
        <w:rPr>
          <w:rFonts w:ascii="Times New Roman" w:hAnsi="Times New Roman"/>
          <w:sz w:val="24"/>
        </w:rPr>
        <w:t>(2012) 38 VR 1</w:t>
      </w:r>
      <w:r w:rsidRPr="00B90394">
        <w:rPr>
          <w:rFonts w:ascii="Times New Roman" w:hAnsi="Times New Roman"/>
          <w:i/>
          <w:iCs/>
          <w:sz w:val="24"/>
        </w:rPr>
        <w:t xml:space="preserve"> </w:t>
      </w:r>
      <w:r w:rsidRPr="00B90394">
        <w:rPr>
          <w:rFonts w:ascii="Times New Roman" w:hAnsi="Times New Roman"/>
          <w:sz w:val="24"/>
        </w:rPr>
        <w:t xml:space="preserve">at </w:t>
      </w:r>
      <w:r w:rsidR="00E0596A" w:rsidRPr="00B90394">
        <w:rPr>
          <w:rFonts w:ascii="Times New Roman" w:hAnsi="Times New Roman"/>
          <w:sz w:val="24"/>
        </w:rPr>
        <w:t xml:space="preserve">10-12 </w:t>
      </w:r>
      <w:r w:rsidRPr="00B90394">
        <w:rPr>
          <w:rFonts w:ascii="Times New Roman" w:hAnsi="Times New Roman"/>
          <w:sz w:val="24"/>
        </w:rPr>
        <w:t>[45]-[51]</w:t>
      </w:r>
      <w:r w:rsidR="002A319B" w:rsidRPr="00B90394">
        <w:rPr>
          <w:rFonts w:ascii="Times New Roman" w:hAnsi="Times New Roman"/>
          <w:sz w:val="24"/>
        </w:rPr>
        <w:t xml:space="preserve">; </w:t>
      </w:r>
      <w:r w:rsidR="00F00D36" w:rsidRPr="00B90394">
        <w:rPr>
          <w:rFonts w:ascii="Times New Roman" w:hAnsi="Times New Roman"/>
          <w:i/>
          <w:iCs/>
          <w:sz w:val="24"/>
        </w:rPr>
        <w:t xml:space="preserve">Bray </w:t>
      </w:r>
      <w:r w:rsidR="00F00D36" w:rsidRPr="00B90394">
        <w:rPr>
          <w:rFonts w:ascii="Times New Roman" w:hAnsi="Times New Roman"/>
          <w:sz w:val="24"/>
        </w:rPr>
        <w:t>(2014)</w:t>
      </w:r>
      <w:r w:rsidR="00986A78" w:rsidRPr="00B90394">
        <w:rPr>
          <w:rFonts w:ascii="Times New Roman" w:hAnsi="Times New Roman"/>
          <w:sz w:val="24"/>
        </w:rPr>
        <w:t xml:space="preserve"> </w:t>
      </w:r>
      <w:r w:rsidR="00CC20EA" w:rsidRPr="00B90394">
        <w:rPr>
          <w:rFonts w:ascii="Times New Roman" w:hAnsi="Times New Roman"/>
          <w:sz w:val="24"/>
        </w:rPr>
        <w:t>46 VR 623</w:t>
      </w:r>
      <w:r w:rsidR="009D1BA7" w:rsidRPr="00B90394">
        <w:rPr>
          <w:rFonts w:ascii="Times New Roman" w:hAnsi="Times New Roman"/>
          <w:sz w:val="24"/>
        </w:rPr>
        <w:t xml:space="preserve"> at</w:t>
      </w:r>
      <w:r w:rsidR="0033693C" w:rsidRPr="00B90394">
        <w:rPr>
          <w:rFonts w:ascii="Times New Roman" w:hAnsi="Times New Roman"/>
          <w:sz w:val="24"/>
        </w:rPr>
        <w:t xml:space="preserve"> 631 [34],</w:t>
      </w:r>
      <w:r w:rsidR="008848EA" w:rsidRPr="00B90394">
        <w:rPr>
          <w:rFonts w:ascii="Times New Roman" w:hAnsi="Times New Roman"/>
          <w:sz w:val="24"/>
        </w:rPr>
        <w:t xml:space="preserve"> 638 [62]</w:t>
      </w:r>
      <w:r w:rsidR="009D1BA7" w:rsidRPr="00B90394">
        <w:rPr>
          <w:rFonts w:ascii="Times New Roman" w:hAnsi="Times New Roman"/>
          <w:sz w:val="24"/>
        </w:rPr>
        <w:t xml:space="preserve">; </w:t>
      </w:r>
      <w:r w:rsidR="0016614A" w:rsidRPr="00B90394">
        <w:rPr>
          <w:rFonts w:ascii="Times New Roman" w:hAnsi="Times New Roman"/>
          <w:i/>
          <w:iCs/>
          <w:sz w:val="24"/>
        </w:rPr>
        <w:t xml:space="preserve">Lewis </w:t>
      </w:r>
      <w:r w:rsidR="0016614A" w:rsidRPr="00B90394">
        <w:rPr>
          <w:rFonts w:ascii="Times New Roman" w:hAnsi="Times New Roman"/>
          <w:sz w:val="24"/>
        </w:rPr>
        <w:t xml:space="preserve">[2018] </w:t>
      </w:r>
      <w:r w:rsidR="00DD621B" w:rsidRPr="00B90394">
        <w:rPr>
          <w:rFonts w:ascii="Times New Roman" w:hAnsi="Times New Roman"/>
          <w:sz w:val="24"/>
        </w:rPr>
        <w:t>VSCA 40 at</w:t>
      </w:r>
      <w:r w:rsidR="000C235F" w:rsidRPr="00B90394">
        <w:rPr>
          <w:rFonts w:ascii="Times New Roman" w:hAnsi="Times New Roman"/>
          <w:sz w:val="24"/>
        </w:rPr>
        <w:t xml:space="preserve"> [50]</w:t>
      </w:r>
      <w:r w:rsidRPr="00B90394">
        <w:rPr>
          <w:rFonts w:ascii="Times New Roman" w:hAnsi="Times New Roman"/>
          <w:sz w:val="24"/>
        </w:rPr>
        <w:t>.</w:t>
      </w:r>
    </w:p>
  </w:footnote>
  <w:footnote w:id="34">
    <w:p w14:paraId="208FCFD0" w14:textId="69E4CD07"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McCartney</w:t>
      </w:r>
      <w:r w:rsidRPr="00B90394">
        <w:rPr>
          <w:rFonts w:ascii="Times New Roman" w:hAnsi="Times New Roman"/>
          <w:sz w:val="24"/>
        </w:rPr>
        <w:t xml:space="preserve"> </w:t>
      </w:r>
      <w:r w:rsidR="002A48AC" w:rsidRPr="00B90394">
        <w:rPr>
          <w:rFonts w:ascii="Times New Roman" w:hAnsi="Times New Roman"/>
          <w:sz w:val="24"/>
        </w:rPr>
        <w:t>(2012) 38 VR 1</w:t>
      </w:r>
      <w:r w:rsidR="002A48AC" w:rsidRPr="00B90394">
        <w:rPr>
          <w:rFonts w:ascii="Times New Roman" w:hAnsi="Times New Roman"/>
          <w:i/>
          <w:iCs/>
          <w:sz w:val="24"/>
        </w:rPr>
        <w:t xml:space="preserve"> </w:t>
      </w:r>
      <w:r w:rsidRPr="00B90394">
        <w:rPr>
          <w:rFonts w:ascii="Times New Roman" w:hAnsi="Times New Roman"/>
          <w:sz w:val="24"/>
        </w:rPr>
        <w:t xml:space="preserve">at </w:t>
      </w:r>
      <w:r w:rsidR="00E0596A" w:rsidRPr="00B90394">
        <w:rPr>
          <w:rFonts w:ascii="Times New Roman" w:hAnsi="Times New Roman"/>
          <w:sz w:val="24"/>
        </w:rPr>
        <w:t xml:space="preserve">12 </w:t>
      </w:r>
      <w:r w:rsidRPr="00B90394">
        <w:rPr>
          <w:rFonts w:ascii="Times New Roman" w:hAnsi="Times New Roman"/>
          <w:sz w:val="24"/>
        </w:rPr>
        <w:t>[51].</w:t>
      </w:r>
    </w:p>
  </w:footnote>
  <w:footnote w:id="35">
    <w:p w14:paraId="7486D275" w14:textId="68650B46" w:rsidR="00BE7F38" w:rsidRPr="00B90394" w:rsidRDefault="00BE7F3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McCartney</w:t>
      </w:r>
      <w:r w:rsidRPr="00B90394">
        <w:rPr>
          <w:rFonts w:ascii="Times New Roman" w:hAnsi="Times New Roman"/>
          <w:sz w:val="24"/>
        </w:rPr>
        <w:t xml:space="preserve"> </w:t>
      </w:r>
      <w:r w:rsidR="00216348" w:rsidRPr="00B90394">
        <w:rPr>
          <w:rFonts w:ascii="Times New Roman" w:hAnsi="Times New Roman"/>
          <w:sz w:val="24"/>
        </w:rPr>
        <w:t>(2012) 38 VR 1</w:t>
      </w:r>
      <w:r w:rsidR="00216348" w:rsidRPr="00B90394">
        <w:rPr>
          <w:rFonts w:ascii="Times New Roman" w:hAnsi="Times New Roman"/>
          <w:i/>
          <w:iCs/>
          <w:sz w:val="24"/>
        </w:rPr>
        <w:t xml:space="preserve"> </w:t>
      </w:r>
      <w:r w:rsidRPr="00B90394">
        <w:rPr>
          <w:rFonts w:ascii="Times New Roman" w:hAnsi="Times New Roman"/>
          <w:sz w:val="24"/>
        </w:rPr>
        <w:t xml:space="preserve">at </w:t>
      </w:r>
      <w:r w:rsidR="00E0596A" w:rsidRPr="00B90394">
        <w:rPr>
          <w:rFonts w:ascii="Times New Roman" w:hAnsi="Times New Roman"/>
          <w:sz w:val="24"/>
        </w:rPr>
        <w:t xml:space="preserve">12 </w:t>
      </w:r>
      <w:r w:rsidRPr="00B90394">
        <w:rPr>
          <w:rFonts w:ascii="Times New Roman" w:hAnsi="Times New Roman"/>
          <w:sz w:val="24"/>
        </w:rPr>
        <w:t>[51]</w:t>
      </w:r>
      <w:r w:rsidR="000709A5" w:rsidRPr="00B90394">
        <w:rPr>
          <w:rFonts w:ascii="Times New Roman" w:hAnsi="Times New Roman"/>
          <w:sz w:val="24"/>
        </w:rPr>
        <w:t>,</w:t>
      </w:r>
      <w:r w:rsidRPr="00B90394">
        <w:rPr>
          <w:rFonts w:ascii="Times New Roman" w:hAnsi="Times New Roman"/>
          <w:sz w:val="24"/>
        </w:rPr>
        <w:t xml:space="preserve"> citing </w:t>
      </w:r>
      <w:r w:rsidRPr="00B90394">
        <w:rPr>
          <w:rFonts w:ascii="Times New Roman" w:hAnsi="Times New Roman"/>
          <w:i/>
          <w:iCs/>
          <w:sz w:val="24"/>
        </w:rPr>
        <w:t>KJM</w:t>
      </w:r>
      <w:r w:rsidR="009623FA" w:rsidRPr="00B90394">
        <w:rPr>
          <w:rFonts w:ascii="Times New Roman" w:hAnsi="Times New Roman"/>
          <w:i/>
          <w:iCs/>
          <w:sz w:val="24"/>
        </w:rPr>
        <w:t xml:space="preserve"> [No 2]</w:t>
      </w:r>
      <w:r w:rsidR="00216348" w:rsidRPr="00B90394">
        <w:rPr>
          <w:rFonts w:ascii="Times New Roman" w:hAnsi="Times New Roman"/>
          <w:sz w:val="24"/>
        </w:rPr>
        <w:t xml:space="preserve"> (2011) 33 VR 11</w:t>
      </w:r>
      <w:r w:rsidRPr="00B90394">
        <w:rPr>
          <w:rFonts w:ascii="Times New Roman" w:hAnsi="Times New Roman"/>
          <w:i/>
          <w:iCs/>
          <w:sz w:val="24"/>
        </w:rPr>
        <w:t xml:space="preserve"> </w:t>
      </w:r>
      <w:r w:rsidRPr="00B90394">
        <w:rPr>
          <w:rFonts w:ascii="Times New Roman" w:hAnsi="Times New Roman"/>
          <w:sz w:val="24"/>
        </w:rPr>
        <w:t xml:space="preserve">at </w:t>
      </w:r>
      <w:r w:rsidR="009B69F1" w:rsidRPr="00B90394">
        <w:rPr>
          <w:rFonts w:ascii="Times New Roman" w:hAnsi="Times New Roman"/>
          <w:sz w:val="24"/>
        </w:rPr>
        <w:t xml:space="preserve">13 </w:t>
      </w:r>
      <w:r w:rsidRPr="00B90394">
        <w:rPr>
          <w:rFonts w:ascii="Times New Roman" w:hAnsi="Times New Roman"/>
          <w:sz w:val="24"/>
        </w:rPr>
        <w:t>[13].</w:t>
      </w:r>
    </w:p>
  </w:footnote>
  <w:footnote w:id="36">
    <w:p w14:paraId="2CC324CD" w14:textId="2F40E31E"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 xml:space="preserve">(2011) 81 NSWLR 568; see </w:t>
      </w:r>
      <w:r w:rsidRPr="00B90394">
        <w:rPr>
          <w:rFonts w:ascii="Times New Roman" w:hAnsi="Times New Roman"/>
          <w:i/>
          <w:iCs/>
          <w:sz w:val="24"/>
        </w:rPr>
        <w:t>KJM</w:t>
      </w:r>
      <w:r w:rsidR="009623FA" w:rsidRPr="00B90394">
        <w:rPr>
          <w:rFonts w:ascii="Times New Roman" w:hAnsi="Times New Roman"/>
          <w:i/>
          <w:iCs/>
          <w:sz w:val="24"/>
        </w:rPr>
        <w:t xml:space="preserve"> [No 2]</w:t>
      </w:r>
      <w:r w:rsidRPr="00B90394">
        <w:rPr>
          <w:rFonts w:ascii="Times New Roman" w:hAnsi="Times New Roman"/>
          <w:i/>
          <w:iCs/>
          <w:sz w:val="24"/>
        </w:rPr>
        <w:t xml:space="preserve"> </w:t>
      </w:r>
      <w:bookmarkStart w:id="13" w:name="_Hlk172801242"/>
      <w:r w:rsidR="00216348" w:rsidRPr="00B90394">
        <w:rPr>
          <w:rFonts w:ascii="Times New Roman" w:hAnsi="Times New Roman"/>
          <w:sz w:val="24"/>
        </w:rPr>
        <w:t xml:space="preserve">(2011) 33 VR 11 </w:t>
      </w:r>
      <w:bookmarkEnd w:id="13"/>
      <w:r w:rsidR="00EF72D5" w:rsidRPr="00B90394">
        <w:rPr>
          <w:rFonts w:ascii="Times New Roman" w:hAnsi="Times New Roman"/>
          <w:sz w:val="24"/>
        </w:rPr>
        <w:t xml:space="preserve">at </w:t>
      </w:r>
      <w:r w:rsidR="009B69F1" w:rsidRPr="00B90394">
        <w:rPr>
          <w:rFonts w:ascii="Times New Roman" w:hAnsi="Times New Roman"/>
          <w:sz w:val="24"/>
        </w:rPr>
        <w:t xml:space="preserve">12-13 </w:t>
      </w:r>
      <w:r w:rsidR="006A2D23" w:rsidRPr="00B90394">
        <w:rPr>
          <w:rFonts w:ascii="Times New Roman" w:hAnsi="Times New Roman"/>
          <w:sz w:val="24"/>
        </w:rPr>
        <w:t>[10]-[14].</w:t>
      </w:r>
    </w:p>
  </w:footnote>
  <w:footnote w:id="37">
    <w:p w14:paraId="4EEC148D" w14:textId="125DC1BF"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6A2D23" w:rsidRPr="00B90394">
        <w:rPr>
          <w:rFonts w:ascii="Times New Roman" w:hAnsi="Times New Roman"/>
          <w:i/>
          <w:iCs/>
          <w:sz w:val="24"/>
        </w:rPr>
        <w:t xml:space="preserve">DAO v The Queen </w:t>
      </w:r>
      <w:r w:rsidR="006A2D23" w:rsidRPr="00B90394">
        <w:rPr>
          <w:rFonts w:ascii="Times New Roman" w:hAnsi="Times New Roman"/>
          <w:sz w:val="24"/>
        </w:rPr>
        <w:t>(2011) 81 NSWLR 568 a</w:t>
      </w:r>
      <w:r w:rsidRPr="00B90394">
        <w:rPr>
          <w:rFonts w:ascii="Times New Roman" w:hAnsi="Times New Roman"/>
          <w:sz w:val="24"/>
        </w:rPr>
        <w:t xml:space="preserve">t </w:t>
      </w:r>
      <w:r w:rsidR="00A73682" w:rsidRPr="00B90394">
        <w:rPr>
          <w:rFonts w:ascii="Times New Roman" w:hAnsi="Times New Roman"/>
          <w:sz w:val="24"/>
        </w:rPr>
        <w:t xml:space="preserve">589-590 </w:t>
      </w:r>
      <w:r w:rsidRPr="00B90394">
        <w:rPr>
          <w:rFonts w:ascii="Times New Roman" w:hAnsi="Times New Roman"/>
          <w:sz w:val="24"/>
        </w:rPr>
        <w:t xml:space="preserve">[100]-[101], </w:t>
      </w:r>
      <w:r w:rsidR="00A1278F" w:rsidRPr="00B90394">
        <w:rPr>
          <w:rFonts w:ascii="Times New Roman" w:hAnsi="Times New Roman"/>
          <w:sz w:val="24"/>
        </w:rPr>
        <w:t xml:space="preserve">599 </w:t>
      </w:r>
      <w:r w:rsidRPr="00B90394">
        <w:rPr>
          <w:rFonts w:ascii="Times New Roman" w:hAnsi="Times New Roman"/>
          <w:sz w:val="24"/>
        </w:rPr>
        <w:t>[157],</w:t>
      </w:r>
      <w:r w:rsidR="00A1278F" w:rsidRPr="00B90394">
        <w:rPr>
          <w:rFonts w:ascii="Times New Roman" w:hAnsi="Times New Roman"/>
          <w:sz w:val="24"/>
        </w:rPr>
        <w:t xml:space="preserve"> </w:t>
      </w:r>
      <w:r w:rsidR="00E53077" w:rsidRPr="00B90394">
        <w:rPr>
          <w:rFonts w:ascii="Times New Roman" w:hAnsi="Times New Roman"/>
          <w:sz w:val="24"/>
        </w:rPr>
        <w:t xml:space="preserve">607-608 </w:t>
      </w:r>
      <w:r w:rsidRPr="00B90394">
        <w:rPr>
          <w:rFonts w:ascii="Times New Roman" w:hAnsi="Times New Roman"/>
          <w:sz w:val="24"/>
        </w:rPr>
        <w:t>[211]</w:t>
      </w:r>
      <w:r w:rsidR="00A80AA2" w:rsidRPr="00B90394">
        <w:rPr>
          <w:rFonts w:ascii="Times New Roman" w:hAnsi="Times New Roman"/>
          <w:sz w:val="24"/>
        </w:rPr>
        <w:t>,</w:t>
      </w:r>
      <w:r w:rsidRPr="00B90394">
        <w:rPr>
          <w:rFonts w:ascii="Times New Roman" w:hAnsi="Times New Roman"/>
          <w:sz w:val="24"/>
        </w:rPr>
        <w:t xml:space="preserve"> </w:t>
      </w:r>
      <w:r w:rsidR="00E53077" w:rsidRPr="00B90394">
        <w:rPr>
          <w:rFonts w:ascii="Times New Roman" w:hAnsi="Times New Roman"/>
          <w:sz w:val="24"/>
        </w:rPr>
        <w:t xml:space="preserve">608 </w:t>
      </w:r>
      <w:r w:rsidRPr="00B90394">
        <w:rPr>
          <w:rFonts w:ascii="Times New Roman" w:hAnsi="Times New Roman"/>
          <w:sz w:val="24"/>
        </w:rPr>
        <w:t>[212].</w:t>
      </w:r>
    </w:p>
  </w:footnote>
  <w:footnote w:id="38">
    <w:p w14:paraId="67D5C7D7" w14:textId="5401E840"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E170AB" w:rsidRPr="00B90394">
        <w:rPr>
          <w:rFonts w:ascii="Times New Roman" w:hAnsi="Times New Roman"/>
          <w:i/>
          <w:iCs/>
          <w:sz w:val="24"/>
        </w:rPr>
        <w:t>Criminal Procedure Act</w:t>
      </w:r>
      <w:r w:rsidR="005002DD" w:rsidRPr="00B90394">
        <w:rPr>
          <w:rFonts w:ascii="Times New Roman" w:hAnsi="Times New Roman"/>
          <w:sz w:val="24"/>
        </w:rPr>
        <w:t>,</w:t>
      </w:r>
      <w:r w:rsidR="00E170AB" w:rsidRPr="00B90394">
        <w:rPr>
          <w:rFonts w:ascii="Times New Roman" w:hAnsi="Times New Roman"/>
          <w:i/>
          <w:iCs/>
          <w:sz w:val="24"/>
        </w:rPr>
        <w:t xml:space="preserve"> </w:t>
      </w:r>
      <w:r w:rsidR="00E170AB" w:rsidRPr="00B90394">
        <w:rPr>
          <w:rFonts w:ascii="Times New Roman" w:hAnsi="Times New Roman"/>
          <w:sz w:val="24"/>
        </w:rPr>
        <w:t>s </w:t>
      </w:r>
      <w:r w:rsidRPr="00B90394">
        <w:rPr>
          <w:rFonts w:ascii="Times New Roman" w:hAnsi="Times New Roman"/>
          <w:sz w:val="24"/>
        </w:rPr>
        <w:t>295(2).</w:t>
      </w:r>
    </w:p>
  </w:footnote>
  <w:footnote w:id="39">
    <w:p w14:paraId="4560F7A6" w14:textId="6962AB1D"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E4659B" w:rsidRPr="00B90394">
        <w:rPr>
          <w:rFonts w:ascii="Times New Roman" w:hAnsi="Times New Roman"/>
          <w:i/>
          <w:iCs/>
          <w:sz w:val="24"/>
        </w:rPr>
        <w:t>Criminal Procedure Act</w:t>
      </w:r>
      <w:r w:rsidR="005002DD" w:rsidRPr="00B90394">
        <w:rPr>
          <w:rFonts w:ascii="Times New Roman" w:hAnsi="Times New Roman"/>
          <w:sz w:val="24"/>
        </w:rPr>
        <w:t>,</w:t>
      </w:r>
      <w:r w:rsidR="00E4659B" w:rsidRPr="00B90394">
        <w:rPr>
          <w:rFonts w:ascii="Times New Roman" w:hAnsi="Times New Roman"/>
          <w:i/>
          <w:iCs/>
          <w:sz w:val="24"/>
        </w:rPr>
        <w:t xml:space="preserve"> </w:t>
      </w:r>
      <w:r w:rsidR="00E4659B" w:rsidRPr="00B90394">
        <w:rPr>
          <w:rFonts w:ascii="Times New Roman" w:hAnsi="Times New Roman"/>
          <w:sz w:val="24"/>
        </w:rPr>
        <w:t>s </w:t>
      </w:r>
      <w:r w:rsidRPr="00B90394">
        <w:rPr>
          <w:rFonts w:ascii="Times New Roman" w:hAnsi="Times New Roman"/>
          <w:sz w:val="24"/>
        </w:rPr>
        <w:t>295(3).</w:t>
      </w:r>
    </w:p>
  </w:footnote>
  <w:footnote w:id="40">
    <w:p w14:paraId="01859BB8" w14:textId="3E41A091"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E4659B" w:rsidRPr="00B90394">
        <w:rPr>
          <w:rFonts w:ascii="Times New Roman" w:hAnsi="Times New Roman"/>
          <w:i/>
          <w:iCs/>
          <w:sz w:val="24"/>
        </w:rPr>
        <w:t>Criminal Procedure Act</w:t>
      </w:r>
      <w:r w:rsidR="00E4659B" w:rsidRPr="00B90394">
        <w:rPr>
          <w:rFonts w:ascii="Times New Roman" w:hAnsi="Times New Roman"/>
          <w:sz w:val="24"/>
        </w:rPr>
        <w:t>,</w:t>
      </w:r>
      <w:r w:rsidR="00E4659B" w:rsidRPr="00B90394">
        <w:rPr>
          <w:rFonts w:ascii="Times New Roman" w:hAnsi="Times New Roman"/>
          <w:i/>
          <w:iCs/>
          <w:sz w:val="24"/>
        </w:rPr>
        <w:t xml:space="preserve"> </w:t>
      </w:r>
      <w:r w:rsidR="00E4659B" w:rsidRPr="00B90394">
        <w:rPr>
          <w:rFonts w:ascii="Times New Roman" w:hAnsi="Times New Roman"/>
          <w:sz w:val="24"/>
        </w:rPr>
        <w:t>s </w:t>
      </w:r>
      <w:r w:rsidRPr="00B90394">
        <w:rPr>
          <w:rFonts w:ascii="Times New Roman" w:hAnsi="Times New Roman"/>
          <w:sz w:val="24"/>
        </w:rPr>
        <w:t xml:space="preserve">295(3)(a); </w:t>
      </w:r>
      <w:proofErr w:type="spellStart"/>
      <w:r w:rsidRPr="00B90394">
        <w:rPr>
          <w:rFonts w:ascii="Times New Roman" w:hAnsi="Times New Roman"/>
          <w:sz w:val="24"/>
        </w:rPr>
        <w:t>cf</w:t>
      </w:r>
      <w:proofErr w:type="spellEnd"/>
      <w:r w:rsidRPr="00B90394">
        <w:rPr>
          <w:rFonts w:ascii="Times New Roman" w:hAnsi="Times New Roman"/>
          <w:sz w:val="24"/>
        </w:rPr>
        <w:t xml:space="preserve"> </w:t>
      </w:r>
      <w:r w:rsidRPr="00B90394">
        <w:rPr>
          <w:rFonts w:ascii="Times New Roman" w:hAnsi="Times New Roman"/>
          <w:i/>
          <w:iCs/>
          <w:sz w:val="24"/>
        </w:rPr>
        <w:t>Criminal Appeal Act 1912</w:t>
      </w:r>
      <w:r w:rsidRPr="00B90394">
        <w:rPr>
          <w:rFonts w:ascii="Times New Roman" w:hAnsi="Times New Roman"/>
          <w:sz w:val="24"/>
        </w:rPr>
        <w:t xml:space="preserve"> (NSW), s 5F(3A).</w:t>
      </w:r>
    </w:p>
  </w:footnote>
  <w:footnote w:id="41">
    <w:p w14:paraId="3004B686" w14:textId="76B9A72D"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9C030D" w:rsidRPr="00B90394">
        <w:rPr>
          <w:rFonts w:ascii="Times New Roman" w:hAnsi="Times New Roman"/>
          <w:i/>
          <w:iCs/>
          <w:sz w:val="24"/>
        </w:rPr>
        <w:t>Criminal Procedure Act</w:t>
      </w:r>
      <w:r w:rsidR="009C030D" w:rsidRPr="00B90394">
        <w:rPr>
          <w:rFonts w:ascii="Times New Roman" w:hAnsi="Times New Roman"/>
          <w:sz w:val="24"/>
        </w:rPr>
        <w:t>, s </w:t>
      </w:r>
      <w:r w:rsidRPr="00B90394">
        <w:rPr>
          <w:rFonts w:ascii="Times New Roman" w:hAnsi="Times New Roman"/>
          <w:sz w:val="24"/>
        </w:rPr>
        <w:t>295(3)(b).</w:t>
      </w:r>
    </w:p>
  </w:footnote>
  <w:footnote w:id="42">
    <w:p w14:paraId="5D2D44B7" w14:textId="4B4F54A5"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2C33A1" w:rsidRPr="00B90394">
        <w:rPr>
          <w:rFonts w:ascii="Times New Roman" w:hAnsi="Times New Roman"/>
          <w:i/>
          <w:iCs/>
          <w:sz w:val="24"/>
        </w:rPr>
        <w:t>Criminal Procedure Act</w:t>
      </w:r>
      <w:r w:rsidR="002C33A1" w:rsidRPr="00B90394">
        <w:rPr>
          <w:rFonts w:ascii="Times New Roman" w:hAnsi="Times New Roman"/>
          <w:sz w:val="24"/>
        </w:rPr>
        <w:t>,</w:t>
      </w:r>
      <w:r w:rsidR="002C33A1" w:rsidRPr="00B90394">
        <w:rPr>
          <w:rFonts w:ascii="Times New Roman" w:hAnsi="Times New Roman"/>
          <w:i/>
          <w:iCs/>
          <w:sz w:val="24"/>
        </w:rPr>
        <w:t xml:space="preserve"> </w:t>
      </w:r>
      <w:r w:rsidR="002C33A1" w:rsidRPr="00B90394">
        <w:rPr>
          <w:rFonts w:ascii="Times New Roman" w:hAnsi="Times New Roman"/>
          <w:sz w:val="24"/>
        </w:rPr>
        <w:t>s </w:t>
      </w:r>
      <w:r w:rsidRPr="00B90394">
        <w:rPr>
          <w:rFonts w:ascii="Times New Roman" w:hAnsi="Times New Roman"/>
          <w:sz w:val="24"/>
        </w:rPr>
        <w:t>295(3)(c).</w:t>
      </w:r>
    </w:p>
  </w:footnote>
  <w:footnote w:id="43">
    <w:p w14:paraId="48FEBB27" w14:textId="3D6F1BFA"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2C33A1" w:rsidRPr="00B90394">
        <w:rPr>
          <w:rFonts w:ascii="Times New Roman" w:hAnsi="Times New Roman"/>
          <w:i/>
          <w:iCs/>
          <w:sz w:val="24"/>
        </w:rPr>
        <w:t>Criminal Procedure Act</w:t>
      </w:r>
      <w:r w:rsidR="002C33A1" w:rsidRPr="00B90394">
        <w:rPr>
          <w:rFonts w:ascii="Times New Roman" w:hAnsi="Times New Roman"/>
          <w:sz w:val="24"/>
        </w:rPr>
        <w:t>, s </w:t>
      </w:r>
      <w:r w:rsidRPr="00B90394">
        <w:rPr>
          <w:rFonts w:ascii="Times New Roman" w:hAnsi="Times New Roman"/>
          <w:sz w:val="24"/>
        </w:rPr>
        <w:t>296.</w:t>
      </w:r>
    </w:p>
  </w:footnote>
  <w:footnote w:id="44">
    <w:p w14:paraId="035B8EEF" w14:textId="6A911E15"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002C33A1" w:rsidRPr="00B90394">
        <w:rPr>
          <w:rFonts w:ascii="Times New Roman" w:hAnsi="Times New Roman"/>
          <w:sz w:val="24"/>
        </w:rPr>
        <w:tab/>
      </w:r>
      <w:r w:rsidR="002C33A1" w:rsidRPr="00B90394">
        <w:rPr>
          <w:rFonts w:ascii="Times New Roman" w:hAnsi="Times New Roman"/>
          <w:i/>
          <w:iCs/>
          <w:sz w:val="24"/>
        </w:rPr>
        <w:t>Criminal Procedure Act</w:t>
      </w:r>
      <w:r w:rsidR="002C33A1" w:rsidRPr="00B90394">
        <w:rPr>
          <w:rFonts w:ascii="Times New Roman" w:hAnsi="Times New Roman"/>
          <w:sz w:val="24"/>
        </w:rPr>
        <w:t>, s </w:t>
      </w:r>
      <w:r w:rsidRPr="00B90394">
        <w:rPr>
          <w:rFonts w:ascii="Times New Roman" w:hAnsi="Times New Roman"/>
          <w:sz w:val="24"/>
        </w:rPr>
        <w:t>297(1).</w:t>
      </w:r>
    </w:p>
  </w:footnote>
  <w:footnote w:id="45">
    <w:p w14:paraId="7DBD88D5" w14:textId="06767DDD"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2C33A1" w:rsidRPr="00B90394">
        <w:rPr>
          <w:rFonts w:ascii="Times New Roman" w:hAnsi="Times New Roman"/>
          <w:i/>
          <w:iCs/>
          <w:sz w:val="24"/>
        </w:rPr>
        <w:t>Criminal Procedure Act</w:t>
      </w:r>
      <w:r w:rsidR="002C33A1" w:rsidRPr="00B90394">
        <w:rPr>
          <w:rFonts w:ascii="Times New Roman" w:hAnsi="Times New Roman"/>
          <w:sz w:val="24"/>
        </w:rPr>
        <w:t>,</w:t>
      </w:r>
      <w:r w:rsidR="002C33A1" w:rsidRPr="00B90394">
        <w:rPr>
          <w:rFonts w:ascii="Times New Roman" w:hAnsi="Times New Roman"/>
          <w:i/>
          <w:iCs/>
          <w:sz w:val="24"/>
        </w:rPr>
        <w:t xml:space="preserve"> </w:t>
      </w:r>
      <w:r w:rsidR="002C33A1" w:rsidRPr="00B90394">
        <w:rPr>
          <w:rFonts w:ascii="Times New Roman" w:hAnsi="Times New Roman"/>
          <w:sz w:val="24"/>
        </w:rPr>
        <w:t>s </w:t>
      </w:r>
      <w:r w:rsidRPr="00B90394">
        <w:rPr>
          <w:rFonts w:ascii="Times New Roman" w:hAnsi="Times New Roman"/>
          <w:sz w:val="24"/>
        </w:rPr>
        <w:t>297(2).</w:t>
      </w:r>
    </w:p>
  </w:footnote>
  <w:footnote w:id="46">
    <w:p w14:paraId="2975BE27" w14:textId="0AC74DA5"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2C33A1" w:rsidRPr="00B90394">
        <w:rPr>
          <w:rFonts w:ascii="Times New Roman" w:hAnsi="Times New Roman"/>
          <w:i/>
          <w:iCs/>
          <w:sz w:val="24"/>
        </w:rPr>
        <w:t>Criminal Procedure Act</w:t>
      </w:r>
      <w:r w:rsidR="002C33A1" w:rsidRPr="00B90394">
        <w:rPr>
          <w:rFonts w:ascii="Times New Roman" w:hAnsi="Times New Roman"/>
          <w:sz w:val="24"/>
        </w:rPr>
        <w:t>, s </w:t>
      </w:r>
      <w:r w:rsidRPr="00B90394">
        <w:rPr>
          <w:rFonts w:ascii="Times New Roman" w:hAnsi="Times New Roman"/>
          <w:sz w:val="24"/>
        </w:rPr>
        <w:t>297(3).</w:t>
      </w:r>
    </w:p>
  </w:footnote>
  <w:footnote w:id="47">
    <w:p w14:paraId="5C73372E" w14:textId="64B20ECF"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2C33A1" w:rsidRPr="00B90394">
        <w:rPr>
          <w:rFonts w:ascii="Times New Roman" w:hAnsi="Times New Roman"/>
          <w:i/>
          <w:iCs/>
          <w:sz w:val="24"/>
        </w:rPr>
        <w:t>Criminal Procedure Act</w:t>
      </w:r>
      <w:r w:rsidR="002C33A1" w:rsidRPr="00B90394">
        <w:rPr>
          <w:rFonts w:ascii="Times New Roman" w:hAnsi="Times New Roman"/>
          <w:sz w:val="24"/>
        </w:rPr>
        <w:t>, s</w:t>
      </w:r>
      <w:r w:rsidR="00E672EA" w:rsidRPr="00B90394">
        <w:rPr>
          <w:rFonts w:ascii="Times New Roman" w:hAnsi="Times New Roman"/>
          <w:sz w:val="24"/>
        </w:rPr>
        <w:t> </w:t>
      </w:r>
      <w:r w:rsidRPr="00B90394">
        <w:rPr>
          <w:rFonts w:ascii="Times New Roman" w:hAnsi="Times New Roman"/>
          <w:sz w:val="24"/>
        </w:rPr>
        <w:t>300(1).</w:t>
      </w:r>
    </w:p>
  </w:footnote>
  <w:footnote w:id="48">
    <w:p w14:paraId="7C9DA516" w14:textId="1670E36E"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2C33A1" w:rsidRPr="00B90394">
        <w:rPr>
          <w:rFonts w:ascii="Times New Roman" w:hAnsi="Times New Roman"/>
          <w:i/>
          <w:iCs/>
          <w:sz w:val="24"/>
        </w:rPr>
        <w:t>Criminal Procedure Act</w:t>
      </w:r>
      <w:r w:rsidR="002C33A1" w:rsidRPr="00B90394">
        <w:rPr>
          <w:rFonts w:ascii="Times New Roman" w:hAnsi="Times New Roman"/>
          <w:sz w:val="24"/>
        </w:rPr>
        <w:t>, s </w:t>
      </w:r>
      <w:r w:rsidRPr="00B90394">
        <w:rPr>
          <w:rFonts w:ascii="Times New Roman" w:hAnsi="Times New Roman"/>
          <w:sz w:val="24"/>
        </w:rPr>
        <w:t>300(2).</w:t>
      </w:r>
    </w:p>
  </w:footnote>
  <w:footnote w:id="49">
    <w:p w14:paraId="4D68D617" w14:textId="2F751B16"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A948C4" w:rsidRPr="00B90394">
        <w:rPr>
          <w:rFonts w:ascii="Times New Roman" w:hAnsi="Times New Roman"/>
          <w:sz w:val="24"/>
        </w:rPr>
        <w:t xml:space="preserve">See, </w:t>
      </w:r>
      <w:proofErr w:type="spellStart"/>
      <w:r w:rsidR="00A948C4" w:rsidRPr="00B90394">
        <w:rPr>
          <w:rFonts w:ascii="Times New Roman" w:hAnsi="Times New Roman"/>
          <w:sz w:val="24"/>
        </w:rPr>
        <w:t>eg</w:t>
      </w:r>
      <w:proofErr w:type="spellEnd"/>
      <w:r w:rsidR="00A948C4" w:rsidRPr="00B90394">
        <w:rPr>
          <w:rFonts w:ascii="Times New Roman" w:hAnsi="Times New Roman"/>
          <w:sz w:val="24"/>
        </w:rPr>
        <w:t xml:space="preserve">, </w:t>
      </w:r>
      <w:proofErr w:type="spellStart"/>
      <w:r w:rsidRPr="00B90394">
        <w:rPr>
          <w:rFonts w:ascii="Times New Roman" w:hAnsi="Times New Roman"/>
          <w:i/>
          <w:iCs/>
          <w:sz w:val="24"/>
        </w:rPr>
        <w:t>Allesch</w:t>
      </w:r>
      <w:proofErr w:type="spellEnd"/>
      <w:r w:rsidRPr="00B90394">
        <w:rPr>
          <w:rFonts w:ascii="Times New Roman" w:hAnsi="Times New Roman"/>
          <w:i/>
          <w:iCs/>
          <w:sz w:val="24"/>
        </w:rPr>
        <w:t xml:space="preserve"> v </w:t>
      </w:r>
      <w:proofErr w:type="spellStart"/>
      <w:r w:rsidRPr="00B90394">
        <w:rPr>
          <w:rFonts w:ascii="Times New Roman" w:hAnsi="Times New Roman"/>
          <w:i/>
          <w:iCs/>
          <w:sz w:val="24"/>
        </w:rPr>
        <w:t>Maunz</w:t>
      </w:r>
      <w:proofErr w:type="spellEnd"/>
      <w:r w:rsidRPr="00B90394">
        <w:rPr>
          <w:rFonts w:ascii="Times New Roman" w:hAnsi="Times New Roman"/>
          <w:sz w:val="24"/>
        </w:rPr>
        <w:t xml:space="preserve"> (2000) 203 CLR 172 at </w:t>
      </w:r>
      <w:r w:rsidR="00A948C4" w:rsidRPr="00B90394">
        <w:rPr>
          <w:rFonts w:ascii="Times New Roman" w:hAnsi="Times New Roman"/>
          <w:sz w:val="24"/>
        </w:rPr>
        <w:t xml:space="preserve">179-181 </w:t>
      </w:r>
      <w:r w:rsidRPr="00B90394">
        <w:rPr>
          <w:rFonts w:ascii="Times New Roman" w:hAnsi="Times New Roman"/>
          <w:sz w:val="24"/>
        </w:rPr>
        <w:t>[20]-[23].</w:t>
      </w:r>
    </w:p>
  </w:footnote>
  <w:footnote w:id="50">
    <w:p w14:paraId="6895053C" w14:textId="411FF195"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CD3CB0" w:rsidRPr="00B90394">
        <w:rPr>
          <w:rFonts w:ascii="Times New Roman" w:hAnsi="Times New Roman"/>
          <w:sz w:val="24"/>
        </w:rPr>
        <w:t xml:space="preserve">Victoria, </w:t>
      </w:r>
      <w:r w:rsidR="003D6C95" w:rsidRPr="00B90394">
        <w:rPr>
          <w:rFonts w:ascii="Times New Roman" w:hAnsi="Times New Roman"/>
          <w:sz w:val="24"/>
        </w:rPr>
        <w:t xml:space="preserve">Legislative Assembly, </w:t>
      </w:r>
      <w:r w:rsidR="00B46195" w:rsidRPr="00B90394">
        <w:rPr>
          <w:rFonts w:ascii="Times New Roman" w:hAnsi="Times New Roman"/>
          <w:i/>
          <w:iCs/>
          <w:sz w:val="24"/>
        </w:rPr>
        <w:t>Criminal Procedure Bill 2008</w:t>
      </w:r>
      <w:r w:rsidR="00FC5E18" w:rsidRPr="00B90394">
        <w:rPr>
          <w:rFonts w:ascii="Times New Roman" w:hAnsi="Times New Roman"/>
          <w:sz w:val="24"/>
        </w:rPr>
        <w:t>, Explanatory Memorandum</w:t>
      </w:r>
      <w:r w:rsidR="00173F00" w:rsidRPr="00B90394">
        <w:rPr>
          <w:rFonts w:ascii="Times New Roman" w:hAnsi="Times New Roman"/>
          <w:sz w:val="24"/>
        </w:rPr>
        <w:t xml:space="preserve"> at</w:t>
      </w:r>
      <w:r w:rsidR="00670306" w:rsidRPr="00B90394">
        <w:rPr>
          <w:rFonts w:ascii="Times New Roman" w:hAnsi="Times New Roman"/>
          <w:sz w:val="24"/>
        </w:rPr>
        <w:t xml:space="preserve"> </w:t>
      </w:r>
      <w:r w:rsidR="00DF6A47" w:rsidRPr="00B90394">
        <w:rPr>
          <w:rFonts w:ascii="Times New Roman" w:hAnsi="Times New Roman"/>
          <w:sz w:val="24"/>
        </w:rPr>
        <w:t>10</w:t>
      </w:r>
      <w:r w:rsidR="00D920C7" w:rsidRPr="00B90394">
        <w:rPr>
          <w:rFonts w:ascii="Times New Roman" w:hAnsi="Times New Roman"/>
          <w:sz w:val="24"/>
        </w:rPr>
        <w:t>8</w:t>
      </w:r>
      <w:r w:rsidR="00DB7A8E" w:rsidRPr="00B90394">
        <w:rPr>
          <w:rFonts w:ascii="Times New Roman" w:hAnsi="Times New Roman"/>
          <w:sz w:val="24"/>
        </w:rPr>
        <w:t>-109</w:t>
      </w:r>
      <w:r w:rsidR="00670306" w:rsidRPr="00B90394">
        <w:rPr>
          <w:rFonts w:ascii="Times New Roman" w:hAnsi="Times New Roman"/>
          <w:sz w:val="24"/>
        </w:rPr>
        <w:t xml:space="preserve">; </w:t>
      </w:r>
      <w:r w:rsidR="003D4565" w:rsidRPr="00B90394">
        <w:rPr>
          <w:rFonts w:ascii="Times New Roman" w:hAnsi="Times New Roman"/>
          <w:sz w:val="24"/>
        </w:rPr>
        <w:t xml:space="preserve">Victoria, </w:t>
      </w:r>
      <w:r w:rsidR="00B42521" w:rsidRPr="00B90394">
        <w:rPr>
          <w:rFonts w:ascii="Times New Roman" w:hAnsi="Times New Roman"/>
          <w:sz w:val="24"/>
        </w:rPr>
        <w:t xml:space="preserve">Legislative Assembly, </w:t>
      </w:r>
      <w:r w:rsidR="003D4565" w:rsidRPr="00B90394">
        <w:rPr>
          <w:rFonts w:ascii="Times New Roman" w:hAnsi="Times New Roman"/>
          <w:i/>
          <w:iCs/>
          <w:sz w:val="24"/>
        </w:rPr>
        <w:t>Parliamentary Debates</w:t>
      </w:r>
      <w:r w:rsidR="001B720D" w:rsidRPr="00B90394">
        <w:rPr>
          <w:rFonts w:ascii="Times New Roman" w:hAnsi="Times New Roman"/>
          <w:i/>
          <w:iCs/>
          <w:sz w:val="24"/>
        </w:rPr>
        <w:t xml:space="preserve"> </w:t>
      </w:r>
      <w:r w:rsidR="001B720D" w:rsidRPr="00B90394">
        <w:rPr>
          <w:rFonts w:ascii="Times New Roman" w:hAnsi="Times New Roman"/>
          <w:sz w:val="24"/>
        </w:rPr>
        <w:t>(Hansard)</w:t>
      </w:r>
      <w:r w:rsidR="003D4565" w:rsidRPr="00B90394">
        <w:rPr>
          <w:rFonts w:ascii="Times New Roman" w:hAnsi="Times New Roman"/>
          <w:sz w:val="24"/>
        </w:rPr>
        <w:t xml:space="preserve">, </w:t>
      </w:r>
      <w:r w:rsidR="005F06C9" w:rsidRPr="00B90394">
        <w:rPr>
          <w:rFonts w:ascii="Times New Roman" w:hAnsi="Times New Roman"/>
          <w:sz w:val="24"/>
        </w:rPr>
        <w:t xml:space="preserve">4 December 2008 at </w:t>
      </w:r>
      <w:r w:rsidR="00241C74" w:rsidRPr="00B90394">
        <w:rPr>
          <w:rFonts w:ascii="Times New Roman" w:hAnsi="Times New Roman"/>
          <w:sz w:val="24"/>
        </w:rPr>
        <w:t>4986-4987.</w:t>
      </w:r>
    </w:p>
  </w:footnote>
  <w:footnote w:id="51">
    <w:p w14:paraId="66E1C70B" w14:textId="5F286BF4"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001B1793" w:rsidRPr="00B90394">
        <w:rPr>
          <w:rFonts w:ascii="Times New Roman" w:hAnsi="Times New Roman"/>
          <w:sz w:val="24"/>
        </w:rPr>
        <w:tab/>
      </w:r>
      <w:r w:rsidR="001B1793" w:rsidRPr="00B90394">
        <w:rPr>
          <w:rFonts w:ascii="Times New Roman" w:hAnsi="Times New Roman"/>
          <w:i/>
          <w:iCs/>
          <w:sz w:val="24"/>
        </w:rPr>
        <w:t>Criminal Procedure Act</w:t>
      </w:r>
      <w:r w:rsidR="001B1793" w:rsidRPr="00B90394">
        <w:rPr>
          <w:rFonts w:ascii="Times New Roman" w:hAnsi="Times New Roman"/>
          <w:sz w:val="24"/>
        </w:rPr>
        <w:t>,</w:t>
      </w:r>
      <w:r w:rsidR="001B1793" w:rsidRPr="00B90394">
        <w:rPr>
          <w:rFonts w:ascii="Times New Roman" w:hAnsi="Times New Roman"/>
          <w:i/>
          <w:iCs/>
          <w:sz w:val="24"/>
        </w:rPr>
        <w:t xml:space="preserve"> </w:t>
      </w:r>
      <w:r w:rsidR="001B1793" w:rsidRPr="00B90394">
        <w:rPr>
          <w:rFonts w:ascii="Times New Roman" w:hAnsi="Times New Roman"/>
          <w:sz w:val="24"/>
        </w:rPr>
        <w:t>s </w:t>
      </w:r>
      <w:r w:rsidRPr="00B90394">
        <w:rPr>
          <w:rFonts w:ascii="Times New Roman" w:hAnsi="Times New Roman"/>
          <w:sz w:val="24"/>
        </w:rPr>
        <w:t>300(2).</w:t>
      </w:r>
    </w:p>
  </w:footnote>
  <w:footnote w:id="52">
    <w:p w14:paraId="6904E8D7" w14:textId="0D7E494D"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 xml:space="preserve">Saunders </w:t>
      </w:r>
      <w:r w:rsidRPr="00B90394">
        <w:rPr>
          <w:rFonts w:ascii="Times New Roman" w:hAnsi="Times New Roman"/>
          <w:sz w:val="24"/>
        </w:rPr>
        <w:t>(1994) 72 A Crim R 347 at 353</w:t>
      </w:r>
      <w:r w:rsidR="001113CA" w:rsidRPr="00B90394">
        <w:rPr>
          <w:rFonts w:ascii="Times New Roman" w:hAnsi="Times New Roman"/>
          <w:sz w:val="24"/>
        </w:rPr>
        <w:t>; see also</w:t>
      </w:r>
      <w:r w:rsidR="006606CA" w:rsidRPr="00B90394">
        <w:rPr>
          <w:rFonts w:ascii="Times New Roman" w:hAnsi="Times New Roman"/>
          <w:sz w:val="24"/>
        </w:rPr>
        <w:t xml:space="preserve"> </w:t>
      </w:r>
      <w:r w:rsidR="006606CA" w:rsidRPr="00B90394">
        <w:rPr>
          <w:rFonts w:ascii="Times New Roman" w:hAnsi="Times New Roman"/>
          <w:i/>
          <w:iCs/>
          <w:sz w:val="24"/>
        </w:rPr>
        <w:t>Cornelius v The King</w:t>
      </w:r>
      <w:r w:rsidR="006606CA" w:rsidRPr="00B90394">
        <w:rPr>
          <w:rFonts w:ascii="Times New Roman" w:hAnsi="Times New Roman"/>
          <w:sz w:val="24"/>
        </w:rPr>
        <w:t xml:space="preserve"> (1936) 55 CLR 235 at 249; </w:t>
      </w:r>
      <w:r w:rsidR="006606CA" w:rsidRPr="00B90394">
        <w:rPr>
          <w:rFonts w:ascii="Times New Roman" w:hAnsi="Times New Roman"/>
          <w:i/>
          <w:iCs/>
          <w:sz w:val="24"/>
        </w:rPr>
        <w:t>Sinclair v The King</w:t>
      </w:r>
      <w:r w:rsidR="006606CA" w:rsidRPr="00B90394">
        <w:rPr>
          <w:rFonts w:ascii="Times New Roman" w:hAnsi="Times New Roman"/>
          <w:sz w:val="24"/>
        </w:rPr>
        <w:t xml:space="preserve"> (1946) 73 CLR 316 at 324</w:t>
      </w:r>
      <w:r w:rsidRPr="00B90394">
        <w:rPr>
          <w:rFonts w:ascii="Times New Roman" w:hAnsi="Times New Roman"/>
          <w:sz w:val="24"/>
        </w:rPr>
        <w:t>.</w:t>
      </w:r>
    </w:p>
  </w:footnote>
  <w:footnote w:id="53">
    <w:p w14:paraId="49133552" w14:textId="5A4717AD" w:rsidR="001A5691" w:rsidRPr="00B90394" w:rsidRDefault="001A5691"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Criminal Procedure Act</w:t>
      </w:r>
      <w:r w:rsidRPr="00B90394">
        <w:rPr>
          <w:rFonts w:ascii="Times New Roman" w:hAnsi="Times New Roman"/>
          <w:sz w:val="24"/>
        </w:rPr>
        <w:t>, s 297(1)(b)(iv).</w:t>
      </w:r>
    </w:p>
  </w:footnote>
  <w:footnote w:id="54">
    <w:p w14:paraId="29EEB2EF" w14:textId="2D84317C"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bookmarkStart w:id="14" w:name="_Hlk172809358"/>
      <w:r w:rsidR="00FD10FD" w:rsidRPr="00B90394">
        <w:rPr>
          <w:rFonts w:ascii="Times New Roman" w:hAnsi="Times New Roman"/>
          <w:sz w:val="24"/>
        </w:rPr>
        <w:t xml:space="preserve">[2023] VSCA 236 </w:t>
      </w:r>
      <w:bookmarkEnd w:id="14"/>
      <w:r w:rsidRPr="00B90394">
        <w:rPr>
          <w:rFonts w:ascii="Times New Roman" w:hAnsi="Times New Roman"/>
          <w:sz w:val="24"/>
        </w:rPr>
        <w:t>at [179].</w:t>
      </w:r>
    </w:p>
  </w:footnote>
  <w:footnote w:id="55">
    <w:p w14:paraId="2048F9B3" w14:textId="6B0564F2"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674AFA" w:rsidRPr="00B90394">
        <w:rPr>
          <w:rFonts w:ascii="Times New Roman" w:hAnsi="Times New Roman"/>
          <w:sz w:val="24"/>
        </w:rPr>
        <w:t xml:space="preserve">[2023] VSCA 236 </w:t>
      </w:r>
      <w:r w:rsidRPr="00B90394">
        <w:rPr>
          <w:rFonts w:ascii="Times New Roman" w:hAnsi="Times New Roman"/>
          <w:sz w:val="24"/>
        </w:rPr>
        <w:t>at [187</w:t>
      </w:r>
      <w:r w:rsidR="001D3E1B" w:rsidRPr="00B90394">
        <w:rPr>
          <w:rFonts w:ascii="Times New Roman" w:hAnsi="Times New Roman"/>
          <w:sz w:val="24"/>
        </w:rPr>
        <w:t>]</w:t>
      </w:r>
      <w:r w:rsidRPr="00B90394">
        <w:rPr>
          <w:rFonts w:ascii="Times New Roman" w:hAnsi="Times New Roman"/>
          <w:sz w:val="24"/>
        </w:rPr>
        <w:t>.</w:t>
      </w:r>
    </w:p>
  </w:footnote>
  <w:footnote w:id="56">
    <w:p w14:paraId="0F9C1A64" w14:textId="2BBD0FA2"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674AFA" w:rsidRPr="00B90394">
        <w:rPr>
          <w:rFonts w:ascii="Times New Roman" w:hAnsi="Times New Roman"/>
          <w:sz w:val="24"/>
        </w:rPr>
        <w:t xml:space="preserve">[2023] VSCA 236 </w:t>
      </w:r>
      <w:r w:rsidRPr="00B90394">
        <w:rPr>
          <w:rFonts w:ascii="Times New Roman" w:hAnsi="Times New Roman"/>
          <w:sz w:val="24"/>
        </w:rPr>
        <w:t>at [188].</w:t>
      </w:r>
    </w:p>
  </w:footnote>
  <w:footnote w:id="57">
    <w:p w14:paraId="4A1B273C" w14:textId="73D9A4D2" w:rsidR="00697010" w:rsidRPr="00B90394" w:rsidRDefault="00697010"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3B4EA4" w:rsidRPr="00B90394">
        <w:rPr>
          <w:rFonts w:ascii="Times New Roman" w:hAnsi="Times New Roman"/>
          <w:sz w:val="24"/>
        </w:rPr>
        <w:t>S</w:t>
      </w:r>
      <w:r w:rsidRPr="00B90394">
        <w:rPr>
          <w:rFonts w:ascii="Times New Roman" w:hAnsi="Times New Roman"/>
          <w:sz w:val="24"/>
        </w:rPr>
        <w:t>ee</w:t>
      </w:r>
      <w:r w:rsidR="003B4EA4" w:rsidRPr="00B90394">
        <w:rPr>
          <w:rFonts w:ascii="Times New Roman" w:hAnsi="Times New Roman"/>
          <w:sz w:val="24"/>
        </w:rPr>
        <w:t xml:space="preserve"> above at</w:t>
      </w:r>
      <w:r w:rsidRPr="00B90394">
        <w:rPr>
          <w:rFonts w:ascii="Times New Roman" w:hAnsi="Times New Roman"/>
          <w:sz w:val="24"/>
        </w:rPr>
        <w:t xml:space="preserve"> [</w:t>
      </w:r>
      <w:r w:rsidR="00EE0563" w:rsidRPr="00B90394">
        <w:rPr>
          <w:rFonts w:ascii="Times New Roman" w:hAnsi="Times New Roman"/>
          <w:sz w:val="24"/>
        </w:rPr>
        <w:t>7</w:t>
      </w:r>
      <w:r w:rsidRPr="00B90394">
        <w:rPr>
          <w:rFonts w:ascii="Times New Roman" w:hAnsi="Times New Roman"/>
          <w:sz w:val="24"/>
        </w:rPr>
        <w:t>]</w:t>
      </w:r>
      <w:r w:rsidR="003B4EA4" w:rsidRPr="00B90394">
        <w:rPr>
          <w:rFonts w:ascii="Times New Roman" w:hAnsi="Times New Roman"/>
          <w:sz w:val="24"/>
        </w:rPr>
        <w:t>.</w:t>
      </w:r>
    </w:p>
  </w:footnote>
  <w:footnote w:id="58">
    <w:p w14:paraId="096DD13E" w14:textId="629D125F"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07165F" w:rsidRPr="00B90394">
        <w:rPr>
          <w:rFonts w:ascii="Times New Roman" w:hAnsi="Times New Roman"/>
          <w:sz w:val="24"/>
        </w:rPr>
        <w:t xml:space="preserve">[2023] VSCA 236 </w:t>
      </w:r>
      <w:r w:rsidRPr="00B90394">
        <w:rPr>
          <w:rFonts w:ascii="Times New Roman" w:hAnsi="Times New Roman"/>
          <w:sz w:val="24"/>
        </w:rPr>
        <w:t>at [89].</w:t>
      </w:r>
    </w:p>
  </w:footnote>
  <w:footnote w:id="59">
    <w:p w14:paraId="7273BDB0" w14:textId="7367B702"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521EB4" w:rsidRPr="00B90394">
        <w:rPr>
          <w:rFonts w:ascii="Times New Roman" w:hAnsi="Times New Roman"/>
          <w:sz w:val="24"/>
        </w:rPr>
        <w:t xml:space="preserve">[2023] VSCA 236 </w:t>
      </w:r>
      <w:r w:rsidRPr="00B90394">
        <w:rPr>
          <w:rFonts w:ascii="Times New Roman" w:hAnsi="Times New Roman"/>
          <w:sz w:val="24"/>
        </w:rPr>
        <w:t>at [99]</w:t>
      </w:r>
      <w:r w:rsidR="00225441" w:rsidRPr="00B90394">
        <w:rPr>
          <w:rFonts w:ascii="Times New Roman" w:hAnsi="Times New Roman"/>
          <w:sz w:val="24"/>
        </w:rPr>
        <w:t>-[100]</w:t>
      </w:r>
      <w:r w:rsidRPr="00B90394">
        <w:rPr>
          <w:rFonts w:ascii="Times New Roman" w:hAnsi="Times New Roman"/>
          <w:sz w:val="24"/>
        </w:rPr>
        <w:t>.</w:t>
      </w:r>
    </w:p>
  </w:footnote>
  <w:footnote w:id="60">
    <w:p w14:paraId="5B1BD3C1" w14:textId="0B2D3790" w:rsidR="004915DA" w:rsidRPr="00B90394" w:rsidRDefault="004915DA"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 xml:space="preserve">Moore </w:t>
      </w:r>
      <w:r w:rsidR="00521EB4" w:rsidRPr="00B90394">
        <w:rPr>
          <w:rFonts w:ascii="Times New Roman" w:hAnsi="Times New Roman"/>
          <w:sz w:val="24"/>
        </w:rPr>
        <w:t xml:space="preserve">[2023] VSCA 236 </w:t>
      </w:r>
      <w:r w:rsidRPr="00B90394">
        <w:rPr>
          <w:rFonts w:ascii="Times New Roman" w:hAnsi="Times New Roman"/>
          <w:sz w:val="24"/>
        </w:rPr>
        <w:t>at [99].</w:t>
      </w:r>
    </w:p>
  </w:footnote>
  <w:footnote w:id="61">
    <w:p w14:paraId="18136D2D" w14:textId="2ED78CF6"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521EB4" w:rsidRPr="00B90394">
        <w:rPr>
          <w:rFonts w:ascii="Times New Roman" w:hAnsi="Times New Roman"/>
          <w:sz w:val="24"/>
        </w:rPr>
        <w:t xml:space="preserve">[2023] VSCA 236 </w:t>
      </w:r>
      <w:r w:rsidRPr="00B90394">
        <w:rPr>
          <w:rFonts w:ascii="Times New Roman" w:hAnsi="Times New Roman"/>
          <w:sz w:val="24"/>
        </w:rPr>
        <w:t xml:space="preserve">at </w:t>
      </w:r>
      <w:r w:rsidR="001E54AD" w:rsidRPr="00B90394">
        <w:rPr>
          <w:rFonts w:ascii="Times New Roman" w:hAnsi="Times New Roman"/>
          <w:sz w:val="24"/>
        </w:rPr>
        <w:t>[99]-</w:t>
      </w:r>
      <w:r w:rsidRPr="00B90394">
        <w:rPr>
          <w:rFonts w:ascii="Times New Roman" w:hAnsi="Times New Roman"/>
          <w:sz w:val="24"/>
        </w:rPr>
        <w:t>[100].</w:t>
      </w:r>
    </w:p>
  </w:footnote>
  <w:footnote w:id="62">
    <w:p w14:paraId="729D4DE9" w14:textId="50362D42"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521EB4" w:rsidRPr="00B90394">
        <w:rPr>
          <w:rFonts w:ascii="Times New Roman" w:hAnsi="Times New Roman"/>
          <w:sz w:val="24"/>
        </w:rPr>
        <w:t xml:space="preserve">[2023] VSCA 236 </w:t>
      </w:r>
      <w:r w:rsidRPr="00B90394">
        <w:rPr>
          <w:rFonts w:ascii="Times New Roman" w:hAnsi="Times New Roman"/>
          <w:sz w:val="24"/>
        </w:rPr>
        <w:t>at [121].</w:t>
      </w:r>
    </w:p>
  </w:footnote>
  <w:footnote w:id="63">
    <w:p w14:paraId="04B3760C" w14:textId="5528761D"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521EB4" w:rsidRPr="00B90394">
        <w:rPr>
          <w:rFonts w:ascii="Times New Roman" w:hAnsi="Times New Roman"/>
          <w:sz w:val="24"/>
        </w:rPr>
        <w:t xml:space="preserve">[2023] VSCA 236 </w:t>
      </w:r>
      <w:r w:rsidRPr="00B90394">
        <w:rPr>
          <w:rFonts w:ascii="Times New Roman" w:hAnsi="Times New Roman"/>
          <w:sz w:val="24"/>
        </w:rPr>
        <w:t>at [108]</w:t>
      </w:r>
      <w:r w:rsidR="00E024BC" w:rsidRPr="00B90394">
        <w:rPr>
          <w:rFonts w:ascii="Times New Roman" w:hAnsi="Times New Roman"/>
          <w:sz w:val="24"/>
        </w:rPr>
        <w:t xml:space="preserve">, </w:t>
      </w:r>
      <w:r w:rsidRPr="00B90394">
        <w:rPr>
          <w:rFonts w:ascii="Times New Roman" w:hAnsi="Times New Roman"/>
          <w:sz w:val="24"/>
        </w:rPr>
        <w:t>[132].</w:t>
      </w:r>
    </w:p>
  </w:footnote>
  <w:footnote w:id="64">
    <w:p w14:paraId="33CB2B80" w14:textId="0C4815B3"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7F75ED" w:rsidRPr="00B90394">
        <w:rPr>
          <w:rFonts w:ascii="Times New Roman" w:hAnsi="Times New Roman"/>
          <w:sz w:val="24"/>
        </w:rPr>
        <w:t xml:space="preserve">[2023] VSCA 236 </w:t>
      </w:r>
      <w:r w:rsidRPr="00B90394">
        <w:rPr>
          <w:rFonts w:ascii="Times New Roman" w:hAnsi="Times New Roman"/>
          <w:sz w:val="24"/>
        </w:rPr>
        <w:t>at [112], [123]</w:t>
      </w:r>
      <w:r w:rsidR="00384D74" w:rsidRPr="00B90394">
        <w:rPr>
          <w:rFonts w:ascii="Times New Roman" w:hAnsi="Times New Roman"/>
          <w:sz w:val="24"/>
        </w:rPr>
        <w:t xml:space="preserve">, </w:t>
      </w:r>
      <w:r w:rsidRPr="00B90394">
        <w:rPr>
          <w:rFonts w:ascii="Times New Roman" w:hAnsi="Times New Roman"/>
          <w:sz w:val="24"/>
        </w:rPr>
        <w:t>[133].</w:t>
      </w:r>
    </w:p>
  </w:footnote>
  <w:footnote w:id="65">
    <w:p w14:paraId="27FEECA3" w14:textId="226B351E" w:rsidR="006C4C3C" w:rsidRPr="00B90394" w:rsidRDefault="006C4C3C"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D732D8" w:rsidRPr="00B90394">
        <w:rPr>
          <w:rFonts w:ascii="Times New Roman" w:hAnsi="Times New Roman"/>
          <w:i/>
          <w:iCs/>
          <w:sz w:val="24"/>
        </w:rPr>
        <w:t>Moore</w:t>
      </w:r>
      <w:r w:rsidR="00D732D8" w:rsidRPr="00B90394">
        <w:rPr>
          <w:rFonts w:ascii="Times New Roman" w:hAnsi="Times New Roman"/>
          <w:sz w:val="24"/>
        </w:rPr>
        <w:t xml:space="preserve"> [2023] VSCA 236 at [180].</w:t>
      </w:r>
    </w:p>
  </w:footnote>
  <w:footnote w:id="66">
    <w:p w14:paraId="4AFF2631" w14:textId="385C0846"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Evidence Act</w:t>
      </w:r>
      <w:r w:rsidRPr="00B90394">
        <w:rPr>
          <w:rFonts w:ascii="Times New Roman" w:hAnsi="Times New Roman"/>
          <w:sz w:val="24"/>
        </w:rPr>
        <w:t>, ss 63, 6</w:t>
      </w:r>
      <w:r w:rsidR="008A3C35" w:rsidRPr="00B90394">
        <w:rPr>
          <w:rFonts w:ascii="Times New Roman" w:hAnsi="Times New Roman"/>
          <w:sz w:val="24"/>
        </w:rPr>
        <w:t>5</w:t>
      </w:r>
      <w:r w:rsidRPr="00B90394">
        <w:rPr>
          <w:rFonts w:ascii="Times New Roman" w:hAnsi="Times New Roman"/>
          <w:sz w:val="24"/>
        </w:rPr>
        <w:t>.</w:t>
      </w:r>
    </w:p>
  </w:footnote>
  <w:footnote w:id="67">
    <w:p w14:paraId="45C304C3" w14:textId="62F5B1EA" w:rsidR="00541C6F" w:rsidRPr="00B90394" w:rsidRDefault="00541C6F"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 xml:space="preserve">Australian Law Reform Commission, </w:t>
      </w:r>
      <w:r w:rsidRPr="00B90394">
        <w:rPr>
          <w:rFonts w:ascii="Times New Roman" w:hAnsi="Times New Roman"/>
          <w:i/>
          <w:iCs/>
          <w:sz w:val="24"/>
        </w:rPr>
        <w:t>Evidence</w:t>
      </w:r>
      <w:r w:rsidRPr="00B90394">
        <w:rPr>
          <w:rFonts w:ascii="Times New Roman" w:hAnsi="Times New Roman"/>
          <w:sz w:val="24"/>
        </w:rPr>
        <w:t>, Report</w:t>
      </w:r>
      <w:r w:rsidR="00073133" w:rsidRPr="00B90394">
        <w:rPr>
          <w:rFonts w:ascii="Times New Roman" w:hAnsi="Times New Roman"/>
          <w:sz w:val="24"/>
        </w:rPr>
        <w:t xml:space="preserve"> No</w:t>
      </w:r>
      <w:r w:rsidRPr="00B90394">
        <w:rPr>
          <w:rFonts w:ascii="Times New Roman" w:hAnsi="Times New Roman"/>
          <w:sz w:val="24"/>
        </w:rPr>
        <w:t xml:space="preserve"> 26 </w:t>
      </w:r>
      <w:r w:rsidR="00C1016F" w:rsidRPr="00B90394">
        <w:rPr>
          <w:rFonts w:ascii="Times New Roman" w:hAnsi="Times New Roman"/>
          <w:sz w:val="24"/>
        </w:rPr>
        <w:t xml:space="preserve">(Interim) </w:t>
      </w:r>
      <w:r w:rsidRPr="00B90394">
        <w:rPr>
          <w:rFonts w:ascii="Times New Roman" w:hAnsi="Times New Roman"/>
          <w:sz w:val="24"/>
        </w:rPr>
        <w:t>(1985) ("ALRC 26")</w:t>
      </w:r>
      <w:r w:rsidR="006B2684" w:rsidRPr="00B90394">
        <w:rPr>
          <w:rFonts w:ascii="Times New Roman" w:hAnsi="Times New Roman"/>
          <w:sz w:val="24"/>
        </w:rPr>
        <w:t>,</w:t>
      </w:r>
      <w:r w:rsidRPr="00B90394">
        <w:rPr>
          <w:rFonts w:ascii="Times New Roman" w:hAnsi="Times New Roman"/>
          <w:sz w:val="24"/>
        </w:rPr>
        <w:t xml:space="preserve"> vol 1, </w:t>
      </w:r>
      <w:proofErr w:type="spellStart"/>
      <w:r w:rsidRPr="00B90394">
        <w:rPr>
          <w:rFonts w:ascii="Times New Roman" w:hAnsi="Times New Roman"/>
          <w:sz w:val="24"/>
        </w:rPr>
        <w:t>ch</w:t>
      </w:r>
      <w:proofErr w:type="spellEnd"/>
      <w:r w:rsidRPr="00B90394">
        <w:rPr>
          <w:rFonts w:ascii="Times New Roman" w:hAnsi="Times New Roman"/>
          <w:sz w:val="24"/>
        </w:rPr>
        <w:t xml:space="preserve"> 13; Australian Law Reform Commission, </w:t>
      </w:r>
      <w:r w:rsidRPr="00B90394">
        <w:rPr>
          <w:rFonts w:ascii="Times New Roman" w:hAnsi="Times New Roman"/>
          <w:i/>
          <w:iCs/>
          <w:sz w:val="24"/>
        </w:rPr>
        <w:t>Evidence</w:t>
      </w:r>
      <w:r w:rsidRPr="00B90394">
        <w:rPr>
          <w:rFonts w:ascii="Times New Roman" w:hAnsi="Times New Roman"/>
          <w:sz w:val="24"/>
        </w:rPr>
        <w:t>, Report</w:t>
      </w:r>
      <w:r w:rsidR="001D7B37" w:rsidRPr="00B90394">
        <w:rPr>
          <w:rFonts w:ascii="Times New Roman" w:hAnsi="Times New Roman"/>
          <w:sz w:val="24"/>
        </w:rPr>
        <w:t xml:space="preserve"> No</w:t>
      </w:r>
      <w:r w:rsidRPr="00B90394">
        <w:rPr>
          <w:rFonts w:ascii="Times New Roman" w:hAnsi="Times New Roman"/>
          <w:sz w:val="24"/>
        </w:rPr>
        <w:t xml:space="preserve"> 38 (1987)</w:t>
      </w:r>
      <w:r w:rsidR="006B2684" w:rsidRPr="00B90394">
        <w:rPr>
          <w:rFonts w:ascii="Times New Roman" w:hAnsi="Times New Roman"/>
          <w:sz w:val="24"/>
        </w:rPr>
        <w:t xml:space="preserve">, </w:t>
      </w:r>
      <w:proofErr w:type="spellStart"/>
      <w:r w:rsidRPr="00B90394">
        <w:rPr>
          <w:rFonts w:ascii="Times New Roman" w:hAnsi="Times New Roman"/>
          <w:sz w:val="24"/>
        </w:rPr>
        <w:t>ch</w:t>
      </w:r>
      <w:proofErr w:type="spellEnd"/>
      <w:r w:rsidRPr="00B90394">
        <w:rPr>
          <w:rFonts w:ascii="Times New Roman" w:hAnsi="Times New Roman"/>
          <w:sz w:val="24"/>
        </w:rPr>
        <w:t xml:space="preserve"> 10</w:t>
      </w:r>
      <w:r w:rsidR="006216FF" w:rsidRPr="00B90394">
        <w:rPr>
          <w:rFonts w:ascii="Times New Roman" w:hAnsi="Times New Roman"/>
          <w:sz w:val="24"/>
        </w:rPr>
        <w:t>.</w:t>
      </w:r>
    </w:p>
  </w:footnote>
  <w:footnote w:id="68">
    <w:p w14:paraId="40DED52A" w14:textId="085283D7" w:rsidR="0071320F" w:rsidRPr="00B90394" w:rsidRDefault="0071320F"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3F442E" w:rsidRPr="00B90394">
        <w:rPr>
          <w:rFonts w:ascii="Times New Roman" w:hAnsi="Times New Roman"/>
          <w:sz w:val="24"/>
        </w:rPr>
        <w:t>ALRC 26</w:t>
      </w:r>
      <w:r w:rsidR="006B2684" w:rsidRPr="00B90394">
        <w:rPr>
          <w:rFonts w:ascii="Times New Roman" w:hAnsi="Times New Roman"/>
          <w:sz w:val="24"/>
        </w:rPr>
        <w:t xml:space="preserve">, </w:t>
      </w:r>
      <w:r w:rsidR="003F442E" w:rsidRPr="00B90394">
        <w:rPr>
          <w:rFonts w:ascii="Times New Roman" w:hAnsi="Times New Roman"/>
          <w:sz w:val="24"/>
        </w:rPr>
        <w:t>vol 1</w:t>
      </w:r>
      <w:r w:rsidR="006B2684" w:rsidRPr="00B90394">
        <w:rPr>
          <w:rFonts w:ascii="Times New Roman" w:hAnsi="Times New Roman"/>
          <w:sz w:val="24"/>
        </w:rPr>
        <w:t xml:space="preserve"> at</w:t>
      </w:r>
      <w:r w:rsidR="003F442E" w:rsidRPr="00B90394">
        <w:rPr>
          <w:rFonts w:ascii="Times New Roman" w:hAnsi="Times New Roman"/>
          <w:sz w:val="24"/>
        </w:rPr>
        <w:t xml:space="preserve"> </w:t>
      </w:r>
      <w:r w:rsidR="00A56B80" w:rsidRPr="00B90394">
        <w:rPr>
          <w:rFonts w:ascii="Times New Roman" w:hAnsi="Times New Roman"/>
          <w:sz w:val="24"/>
        </w:rPr>
        <w:t xml:space="preserve">529 [957]; </w:t>
      </w:r>
      <w:r w:rsidR="003900A2" w:rsidRPr="00B90394">
        <w:rPr>
          <w:rFonts w:ascii="Times New Roman" w:hAnsi="Times New Roman"/>
          <w:sz w:val="24"/>
        </w:rPr>
        <w:t xml:space="preserve">see also </w:t>
      </w:r>
      <w:r w:rsidR="001B1F11" w:rsidRPr="00B90394">
        <w:rPr>
          <w:rFonts w:ascii="Times New Roman" w:hAnsi="Times New Roman"/>
          <w:sz w:val="24"/>
        </w:rPr>
        <w:t xml:space="preserve">proposed s 114 </w:t>
      </w:r>
      <w:r w:rsidR="007C4422" w:rsidRPr="00B90394">
        <w:rPr>
          <w:rFonts w:ascii="Times New Roman" w:hAnsi="Times New Roman"/>
          <w:sz w:val="24"/>
        </w:rPr>
        <w:t>in the Draft Evidence Bill</w:t>
      </w:r>
      <w:r w:rsidR="0040290C" w:rsidRPr="00B90394">
        <w:rPr>
          <w:rFonts w:ascii="Times New Roman" w:hAnsi="Times New Roman"/>
          <w:sz w:val="24"/>
        </w:rPr>
        <w:t>: ALRC 26</w:t>
      </w:r>
      <w:r w:rsidR="006B2684" w:rsidRPr="00B90394">
        <w:rPr>
          <w:rFonts w:ascii="Times New Roman" w:hAnsi="Times New Roman"/>
          <w:sz w:val="24"/>
        </w:rPr>
        <w:t>,</w:t>
      </w:r>
      <w:r w:rsidR="00FE74A6" w:rsidRPr="00B90394">
        <w:rPr>
          <w:rFonts w:ascii="Times New Roman" w:hAnsi="Times New Roman"/>
          <w:sz w:val="24"/>
        </w:rPr>
        <w:t xml:space="preserve"> </w:t>
      </w:r>
      <w:r w:rsidR="000737B7" w:rsidRPr="00B90394">
        <w:rPr>
          <w:rFonts w:ascii="Times New Roman" w:hAnsi="Times New Roman"/>
          <w:sz w:val="24"/>
        </w:rPr>
        <w:t xml:space="preserve">vol 2 </w:t>
      </w:r>
      <w:r w:rsidR="0040290C" w:rsidRPr="00B90394">
        <w:rPr>
          <w:rFonts w:ascii="Times New Roman" w:hAnsi="Times New Roman"/>
          <w:sz w:val="24"/>
        </w:rPr>
        <w:t xml:space="preserve">at </w:t>
      </w:r>
      <w:r w:rsidR="000737B7" w:rsidRPr="00B90394">
        <w:rPr>
          <w:rFonts w:ascii="Times New Roman" w:hAnsi="Times New Roman"/>
          <w:sz w:val="24"/>
        </w:rPr>
        <w:t xml:space="preserve">57. </w:t>
      </w:r>
    </w:p>
  </w:footnote>
  <w:footnote w:id="69">
    <w:p w14:paraId="34188647" w14:textId="3D2ACC1B"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ALRC 26</w:t>
      </w:r>
      <w:r w:rsidR="006B2684" w:rsidRPr="00B90394">
        <w:rPr>
          <w:rFonts w:ascii="Times New Roman" w:hAnsi="Times New Roman"/>
          <w:sz w:val="24"/>
        </w:rPr>
        <w:t xml:space="preserve">, </w:t>
      </w:r>
      <w:r w:rsidRPr="00B90394">
        <w:rPr>
          <w:rFonts w:ascii="Times New Roman" w:hAnsi="Times New Roman"/>
          <w:sz w:val="24"/>
        </w:rPr>
        <w:t>vol 2</w:t>
      </w:r>
      <w:r w:rsidR="006B2684" w:rsidRPr="00B90394">
        <w:rPr>
          <w:rFonts w:ascii="Times New Roman" w:hAnsi="Times New Roman"/>
          <w:sz w:val="24"/>
        </w:rPr>
        <w:t xml:space="preserve"> at</w:t>
      </w:r>
      <w:r w:rsidRPr="00B90394">
        <w:rPr>
          <w:rFonts w:ascii="Times New Roman" w:hAnsi="Times New Roman"/>
          <w:sz w:val="24"/>
        </w:rPr>
        <w:t xml:space="preserve"> </w:t>
      </w:r>
      <w:r w:rsidR="00F466FA" w:rsidRPr="00B90394">
        <w:rPr>
          <w:rFonts w:ascii="Times New Roman" w:hAnsi="Times New Roman"/>
          <w:sz w:val="24"/>
        </w:rPr>
        <w:t xml:space="preserve">290 </w:t>
      </w:r>
      <w:r w:rsidRPr="00B90394">
        <w:rPr>
          <w:rFonts w:ascii="Times New Roman" w:hAnsi="Times New Roman"/>
          <w:sz w:val="24"/>
        </w:rPr>
        <w:t>[259]; see also ALRC 26</w:t>
      </w:r>
      <w:r w:rsidR="006B2684" w:rsidRPr="00B90394">
        <w:rPr>
          <w:rFonts w:ascii="Times New Roman" w:hAnsi="Times New Roman"/>
          <w:sz w:val="24"/>
        </w:rPr>
        <w:t xml:space="preserve">, </w:t>
      </w:r>
      <w:r w:rsidRPr="00B90394">
        <w:rPr>
          <w:rFonts w:ascii="Times New Roman" w:hAnsi="Times New Roman"/>
          <w:sz w:val="24"/>
        </w:rPr>
        <w:t>vol 1</w:t>
      </w:r>
      <w:r w:rsidR="006B2684" w:rsidRPr="00B90394">
        <w:rPr>
          <w:rFonts w:ascii="Times New Roman" w:hAnsi="Times New Roman"/>
          <w:sz w:val="24"/>
        </w:rPr>
        <w:t xml:space="preserve"> at</w:t>
      </w:r>
      <w:r w:rsidRPr="00B90394">
        <w:rPr>
          <w:rFonts w:ascii="Times New Roman" w:hAnsi="Times New Roman"/>
          <w:sz w:val="24"/>
        </w:rPr>
        <w:t xml:space="preserve"> </w:t>
      </w:r>
      <w:r w:rsidR="00E07C1F" w:rsidRPr="00B90394">
        <w:rPr>
          <w:rFonts w:ascii="Times New Roman" w:hAnsi="Times New Roman"/>
          <w:sz w:val="24"/>
        </w:rPr>
        <w:t xml:space="preserve">351-352 </w:t>
      </w:r>
      <w:r w:rsidRPr="00B90394">
        <w:rPr>
          <w:rFonts w:ascii="Times New Roman" w:hAnsi="Times New Roman"/>
          <w:sz w:val="24"/>
        </w:rPr>
        <w:t>[644]</w:t>
      </w:r>
      <w:r w:rsidR="006B2684" w:rsidRPr="00B90394">
        <w:rPr>
          <w:rFonts w:ascii="Times New Roman" w:hAnsi="Times New Roman"/>
          <w:sz w:val="24"/>
        </w:rPr>
        <w:t xml:space="preserve">, </w:t>
      </w:r>
      <w:r w:rsidR="00F466FA" w:rsidRPr="00B90394">
        <w:rPr>
          <w:rFonts w:ascii="Times New Roman" w:hAnsi="Times New Roman"/>
          <w:sz w:val="24"/>
        </w:rPr>
        <w:t xml:space="preserve">529 </w:t>
      </w:r>
      <w:r w:rsidRPr="00B90394">
        <w:rPr>
          <w:rFonts w:ascii="Times New Roman" w:hAnsi="Times New Roman"/>
          <w:sz w:val="24"/>
        </w:rPr>
        <w:t>[957].</w:t>
      </w:r>
    </w:p>
  </w:footnote>
  <w:footnote w:id="70">
    <w:p w14:paraId="6EF75CDE" w14:textId="63E0720A"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(1999) 196 CLR 297.</w:t>
      </w:r>
    </w:p>
  </w:footnote>
  <w:footnote w:id="71">
    <w:p w14:paraId="45A7EB71" w14:textId="44104850"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proofErr w:type="spellStart"/>
      <w:r w:rsidRPr="00B90394">
        <w:rPr>
          <w:rFonts w:ascii="Times New Roman" w:hAnsi="Times New Roman"/>
          <w:i/>
          <w:iCs/>
          <w:sz w:val="24"/>
        </w:rPr>
        <w:t>Papakosmas</w:t>
      </w:r>
      <w:proofErr w:type="spellEnd"/>
      <w:r w:rsidR="00FC47E1" w:rsidRPr="00B90394">
        <w:rPr>
          <w:rFonts w:ascii="Times New Roman" w:hAnsi="Times New Roman"/>
          <w:i/>
          <w:iCs/>
          <w:sz w:val="24"/>
        </w:rPr>
        <w:t xml:space="preserve"> v The Queen</w:t>
      </w:r>
      <w:r w:rsidRPr="00B90394">
        <w:rPr>
          <w:rFonts w:ascii="Times New Roman" w:hAnsi="Times New Roman"/>
          <w:sz w:val="24"/>
        </w:rPr>
        <w:t xml:space="preserve"> </w:t>
      </w:r>
      <w:r w:rsidR="00FC47E1" w:rsidRPr="00B90394">
        <w:rPr>
          <w:rFonts w:ascii="Times New Roman" w:hAnsi="Times New Roman"/>
          <w:sz w:val="24"/>
        </w:rPr>
        <w:t>(1999) 196 CLR 297</w:t>
      </w:r>
      <w:r w:rsidR="000417F1" w:rsidRPr="00B90394">
        <w:rPr>
          <w:rFonts w:ascii="Times New Roman" w:hAnsi="Times New Roman"/>
          <w:sz w:val="24"/>
        </w:rPr>
        <w:t xml:space="preserve"> </w:t>
      </w:r>
      <w:r w:rsidRPr="00B90394">
        <w:rPr>
          <w:rFonts w:ascii="Times New Roman" w:hAnsi="Times New Roman"/>
          <w:sz w:val="24"/>
        </w:rPr>
        <w:t>at 325</w:t>
      </w:r>
      <w:r w:rsidRPr="00B90394">
        <w:rPr>
          <w:rFonts w:ascii="Times New Roman" w:hAnsi="Times New Roman"/>
          <w:sz w:val="24"/>
        </w:rPr>
        <w:noBreakHyphen/>
        <w:t>326</w:t>
      </w:r>
      <w:r w:rsidR="0040290C" w:rsidRPr="00B90394">
        <w:rPr>
          <w:rFonts w:ascii="Times New Roman" w:hAnsi="Times New Roman"/>
          <w:sz w:val="24"/>
        </w:rPr>
        <w:t xml:space="preserve"> [93]</w:t>
      </w:r>
      <w:r w:rsidRPr="00B90394">
        <w:rPr>
          <w:rFonts w:ascii="Times New Roman" w:hAnsi="Times New Roman"/>
          <w:sz w:val="24"/>
        </w:rPr>
        <w:t>.</w:t>
      </w:r>
    </w:p>
  </w:footnote>
  <w:footnote w:id="72">
    <w:p w14:paraId="01E1E5F0" w14:textId="30109409" w:rsidR="00E56122" w:rsidRPr="00B90394" w:rsidRDefault="00E56122"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BC2916" w:rsidRPr="00B90394">
        <w:rPr>
          <w:rFonts w:ascii="Times New Roman" w:hAnsi="Times New Roman"/>
          <w:sz w:val="24"/>
        </w:rPr>
        <w:t>Austral</w:t>
      </w:r>
      <w:r w:rsidR="009C6C28" w:rsidRPr="00B90394">
        <w:rPr>
          <w:rFonts w:ascii="Times New Roman" w:hAnsi="Times New Roman"/>
          <w:sz w:val="24"/>
        </w:rPr>
        <w:t xml:space="preserve">ian Law Reform Commission, New South Wales Law Reform Commission, Victorian Law Reform Commission, </w:t>
      </w:r>
      <w:r w:rsidR="009C6C28" w:rsidRPr="00B90394">
        <w:rPr>
          <w:rFonts w:ascii="Times New Roman" w:hAnsi="Times New Roman"/>
          <w:i/>
          <w:iCs/>
          <w:sz w:val="24"/>
        </w:rPr>
        <w:t>Uniform Evidence Law</w:t>
      </w:r>
      <w:r w:rsidR="009C6C28" w:rsidRPr="00B90394">
        <w:rPr>
          <w:rFonts w:ascii="Times New Roman" w:hAnsi="Times New Roman"/>
          <w:sz w:val="24"/>
        </w:rPr>
        <w:t xml:space="preserve">, </w:t>
      </w:r>
      <w:r w:rsidR="0040290C" w:rsidRPr="00B90394">
        <w:rPr>
          <w:rFonts w:ascii="Times New Roman" w:hAnsi="Times New Roman"/>
          <w:sz w:val="24"/>
        </w:rPr>
        <w:t xml:space="preserve">ALRC </w:t>
      </w:r>
      <w:r w:rsidR="009C6C28" w:rsidRPr="00B90394">
        <w:rPr>
          <w:rFonts w:ascii="Times New Roman" w:hAnsi="Times New Roman"/>
          <w:sz w:val="24"/>
        </w:rPr>
        <w:t>Report</w:t>
      </w:r>
      <w:r w:rsidR="005748C5" w:rsidRPr="00B90394">
        <w:rPr>
          <w:rFonts w:ascii="Times New Roman" w:hAnsi="Times New Roman"/>
          <w:sz w:val="24"/>
        </w:rPr>
        <w:t xml:space="preserve"> No 102</w:t>
      </w:r>
      <w:r w:rsidR="009C6C28" w:rsidRPr="00B90394">
        <w:rPr>
          <w:rFonts w:ascii="Times New Roman" w:hAnsi="Times New Roman"/>
          <w:sz w:val="24"/>
        </w:rPr>
        <w:t xml:space="preserve"> (2005) ("</w:t>
      </w:r>
      <w:r w:rsidR="002B07CD" w:rsidRPr="00B90394">
        <w:rPr>
          <w:rFonts w:ascii="Times New Roman" w:hAnsi="Times New Roman"/>
          <w:sz w:val="24"/>
        </w:rPr>
        <w:t xml:space="preserve">ALRC </w:t>
      </w:r>
      <w:r w:rsidR="000D289F" w:rsidRPr="00B90394">
        <w:rPr>
          <w:rFonts w:ascii="Times New Roman" w:hAnsi="Times New Roman"/>
          <w:sz w:val="24"/>
        </w:rPr>
        <w:t>102</w:t>
      </w:r>
      <w:r w:rsidR="009C6C28" w:rsidRPr="00B90394">
        <w:rPr>
          <w:rFonts w:ascii="Times New Roman" w:hAnsi="Times New Roman"/>
          <w:sz w:val="24"/>
        </w:rPr>
        <w:t xml:space="preserve">") </w:t>
      </w:r>
      <w:r w:rsidRPr="00B90394">
        <w:rPr>
          <w:rFonts w:ascii="Times New Roman" w:hAnsi="Times New Roman"/>
          <w:sz w:val="24"/>
        </w:rPr>
        <w:t>at 564 [16.45].</w:t>
      </w:r>
    </w:p>
  </w:footnote>
  <w:footnote w:id="73">
    <w:p w14:paraId="714EEF38" w14:textId="0FC86B65"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9550CF" w:rsidRPr="00B90394">
        <w:rPr>
          <w:rFonts w:ascii="Times New Roman" w:hAnsi="Times New Roman"/>
          <w:sz w:val="24"/>
        </w:rPr>
        <w:t>ALRC 102</w:t>
      </w:r>
      <w:r w:rsidR="00F95EBE" w:rsidRPr="00B90394">
        <w:rPr>
          <w:rFonts w:ascii="Times New Roman" w:hAnsi="Times New Roman"/>
          <w:sz w:val="24"/>
        </w:rPr>
        <w:t xml:space="preserve"> </w:t>
      </w:r>
      <w:r w:rsidRPr="00B90394">
        <w:rPr>
          <w:rFonts w:ascii="Times New Roman" w:hAnsi="Times New Roman"/>
          <w:sz w:val="24"/>
        </w:rPr>
        <w:t>at 564-565 [16.46]</w:t>
      </w:r>
      <w:r w:rsidR="0040290C" w:rsidRPr="00B90394">
        <w:rPr>
          <w:rFonts w:ascii="Times New Roman" w:hAnsi="Times New Roman"/>
          <w:sz w:val="24"/>
        </w:rPr>
        <w:t xml:space="preserve"> (footnotes omitted)</w:t>
      </w:r>
      <w:r w:rsidRPr="00B90394">
        <w:rPr>
          <w:rFonts w:ascii="Times New Roman" w:hAnsi="Times New Roman"/>
          <w:sz w:val="24"/>
        </w:rPr>
        <w:t>.</w:t>
      </w:r>
    </w:p>
  </w:footnote>
  <w:footnote w:id="74">
    <w:p w14:paraId="5BB9C8C9" w14:textId="2C0EE430"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Interpretation of Legislation Act 1984</w:t>
      </w:r>
      <w:r w:rsidRPr="00B90394">
        <w:rPr>
          <w:rFonts w:ascii="Times New Roman" w:hAnsi="Times New Roman"/>
          <w:sz w:val="24"/>
        </w:rPr>
        <w:t xml:space="preserve"> (Vic), s 35</w:t>
      </w:r>
      <w:r w:rsidR="00A03AD0" w:rsidRPr="00B90394">
        <w:rPr>
          <w:rFonts w:ascii="Times New Roman" w:hAnsi="Times New Roman"/>
          <w:sz w:val="24"/>
        </w:rPr>
        <w:t>(b)</w:t>
      </w:r>
      <w:r w:rsidRPr="00B90394">
        <w:rPr>
          <w:rFonts w:ascii="Times New Roman" w:hAnsi="Times New Roman"/>
          <w:sz w:val="24"/>
        </w:rPr>
        <w:t>(iv).</w:t>
      </w:r>
    </w:p>
  </w:footnote>
  <w:footnote w:id="75">
    <w:p w14:paraId="47D60B40" w14:textId="7BD2F294"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1F5C2A" w:rsidRPr="00B90394">
        <w:rPr>
          <w:rFonts w:ascii="Times New Roman" w:hAnsi="Times New Roman"/>
          <w:sz w:val="24"/>
        </w:rPr>
        <w:t xml:space="preserve">[2023] VSCA 236 </w:t>
      </w:r>
      <w:r w:rsidRPr="00B90394">
        <w:rPr>
          <w:rFonts w:ascii="Times New Roman" w:hAnsi="Times New Roman"/>
          <w:sz w:val="24"/>
        </w:rPr>
        <w:t>at [183]</w:t>
      </w:r>
      <w:r w:rsidR="00703AEC" w:rsidRPr="00B90394">
        <w:rPr>
          <w:rFonts w:ascii="Times New Roman" w:hAnsi="Times New Roman"/>
          <w:sz w:val="24"/>
        </w:rPr>
        <w:t>,</w:t>
      </w:r>
      <w:r w:rsidR="00BC635F" w:rsidRPr="00B90394">
        <w:rPr>
          <w:rFonts w:ascii="Times New Roman" w:hAnsi="Times New Roman"/>
          <w:sz w:val="24"/>
        </w:rPr>
        <w:t xml:space="preserve"> citing </w:t>
      </w:r>
      <w:r w:rsidR="002269E7" w:rsidRPr="00B90394">
        <w:rPr>
          <w:rFonts w:ascii="Times New Roman" w:hAnsi="Times New Roman"/>
          <w:i/>
          <w:iCs/>
          <w:sz w:val="24"/>
        </w:rPr>
        <w:t xml:space="preserve">Lewis </w:t>
      </w:r>
      <w:r w:rsidR="002269E7" w:rsidRPr="00B90394">
        <w:rPr>
          <w:rFonts w:ascii="Times New Roman" w:hAnsi="Times New Roman"/>
          <w:sz w:val="24"/>
        </w:rPr>
        <w:t>[2018] VSCA 40 at</w:t>
      </w:r>
      <w:r w:rsidR="00703AEC" w:rsidRPr="00B90394">
        <w:rPr>
          <w:rFonts w:ascii="Times New Roman" w:hAnsi="Times New Roman"/>
          <w:sz w:val="24"/>
        </w:rPr>
        <w:t xml:space="preserve"> </w:t>
      </w:r>
      <w:r w:rsidR="002269E7" w:rsidRPr="00B90394">
        <w:rPr>
          <w:rFonts w:ascii="Times New Roman" w:hAnsi="Times New Roman"/>
          <w:sz w:val="24"/>
        </w:rPr>
        <w:t>[59]</w:t>
      </w:r>
      <w:r w:rsidRPr="00B90394">
        <w:rPr>
          <w:rFonts w:ascii="Times New Roman" w:hAnsi="Times New Roman"/>
          <w:sz w:val="24"/>
        </w:rPr>
        <w:t>.</w:t>
      </w:r>
    </w:p>
  </w:footnote>
  <w:footnote w:id="76">
    <w:p w14:paraId="793B71B6" w14:textId="489A8153"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877033" w:rsidRPr="00B90394">
        <w:rPr>
          <w:rFonts w:ascii="Times New Roman" w:hAnsi="Times New Roman"/>
          <w:sz w:val="24"/>
        </w:rPr>
        <w:t xml:space="preserve">[2023] VSCA 236 </w:t>
      </w:r>
      <w:r w:rsidRPr="00B90394">
        <w:rPr>
          <w:rFonts w:ascii="Times New Roman" w:hAnsi="Times New Roman"/>
          <w:sz w:val="24"/>
        </w:rPr>
        <w:t>at</w:t>
      </w:r>
      <w:r w:rsidR="0059145C" w:rsidRPr="00B90394">
        <w:rPr>
          <w:rFonts w:ascii="Times New Roman" w:hAnsi="Times New Roman"/>
          <w:sz w:val="24"/>
        </w:rPr>
        <w:t xml:space="preserve"> </w:t>
      </w:r>
      <w:r w:rsidRPr="00B90394">
        <w:rPr>
          <w:rFonts w:ascii="Times New Roman" w:hAnsi="Times New Roman"/>
          <w:sz w:val="24"/>
        </w:rPr>
        <w:t>[186].</w:t>
      </w:r>
    </w:p>
  </w:footnote>
  <w:footnote w:id="77">
    <w:p w14:paraId="2AE8D70C" w14:textId="6F752505"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proofErr w:type="spellStart"/>
      <w:r w:rsidRPr="00B90394">
        <w:rPr>
          <w:rFonts w:ascii="Times New Roman" w:hAnsi="Times New Roman"/>
          <w:i/>
          <w:iCs/>
          <w:sz w:val="24"/>
        </w:rPr>
        <w:t>Papakosmas</w:t>
      </w:r>
      <w:proofErr w:type="spellEnd"/>
      <w:r w:rsidRPr="00B90394">
        <w:rPr>
          <w:rFonts w:ascii="Times New Roman" w:hAnsi="Times New Roman"/>
          <w:sz w:val="24"/>
        </w:rPr>
        <w:t xml:space="preserve"> </w:t>
      </w:r>
      <w:r w:rsidR="00877033" w:rsidRPr="00B90394">
        <w:rPr>
          <w:rFonts w:ascii="Times New Roman" w:hAnsi="Times New Roman"/>
          <w:sz w:val="24"/>
        </w:rPr>
        <w:t xml:space="preserve">(1999) 196 CLR 297 </w:t>
      </w:r>
      <w:r w:rsidRPr="00B90394">
        <w:rPr>
          <w:rFonts w:ascii="Times New Roman" w:hAnsi="Times New Roman"/>
          <w:sz w:val="24"/>
        </w:rPr>
        <w:t>at</w:t>
      </w:r>
      <w:r w:rsidR="00A2544E" w:rsidRPr="00B90394">
        <w:rPr>
          <w:rFonts w:ascii="Times New Roman" w:hAnsi="Times New Roman"/>
          <w:sz w:val="24"/>
        </w:rPr>
        <w:t xml:space="preserve"> 309</w:t>
      </w:r>
      <w:r w:rsidRPr="00B90394">
        <w:rPr>
          <w:rFonts w:ascii="Times New Roman" w:hAnsi="Times New Roman"/>
          <w:sz w:val="24"/>
        </w:rPr>
        <w:t xml:space="preserve"> [31].</w:t>
      </w:r>
    </w:p>
  </w:footnote>
  <w:footnote w:id="78">
    <w:p w14:paraId="7AB21618" w14:textId="0D13B163"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proofErr w:type="spellStart"/>
      <w:r w:rsidRPr="00B90394">
        <w:rPr>
          <w:rFonts w:ascii="Times New Roman" w:hAnsi="Times New Roman"/>
          <w:i/>
          <w:iCs/>
          <w:sz w:val="24"/>
        </w:rPr>
        <w:t>Papakosmas</w:t>
      </w:r>
      <w:proofErr w:type="spellEnd"/>
      <w:r w:rsidRPr="00B90394">
        <w:rPr>
          <w:rFonts w:ascii="Times New Roman" w:hAnsi="Times New Roman"/>
          <w:sz w:val="24"/>
        </w:rPr>
        <w:t xml:space="preserve"> </w:t>
      </w:r>
      <w:r w:rsidR="00877033" w:rsidRPr="00B90394">
        <w:rPr>
          <w:rFonts w:ascii="Times New Roman" w:hAnsi="Times New Roman"/>
          <w:sz w:val="24"/>
        </w:rPr>
        <w:t xml:space="preserve">(1999) 196 CLR 297 </w:t>
      </w:r>
      <w:r w:rsidRPr="00B90394">
        <w:rPr>
          <w:rFonts w:ascii="Times New Roman" w:hAnsi="Times New Roman"/>
          <w:sz w:val="24"/>
        </w:rPr>
        <w:t xml:space="preserve">at </w:t>
      </w:r>
      <w:r w:rsidR="007D01EB" w:rsidRPr="00B90394">
        <w:rPr>
          <w:rFonts w:ascii="Times New Roman" w:hAnsi="Times New Roman"/>
          <w:sz w:val="24"/>
        </w:rPr>
        <w:t xml:space="preserve">311 </w:t>
      </w:r>
      <w:r w:rsidRPr="00B90394">
        <w:rPr>
          <w:rFonts w:ascii="Times New Roman" w:hAnsi="Times New Roman"/>
          <w:sz w:val="24"/>
        </w:rPr>
        <w:t>[42].</w:t>
      </w:r>
    </w:p>
  </w:footnote>
  <w:footnote w:id="79">
    <w:p w14:paraId="2DD35FE5" w14:textId="55DC17BA"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Jury Directions Act 2015</w:t>
      </w:r>
      <w:r w:rsidR="007D01EB" w:rsidRPr="00B90394">
        <w:rPr>
          <w:rFonts w:ascii="Times New Roman" w:hAnsi="Times New Roman"/>
          <w:i/>
          <w:iCs/>
          <w:sz w:val="24"/>
        </w:rPr>
        <w:t xml:space="preserve"> </w:t>
      </w:r>
      <w:r w:rsidR="007D01EB" w:rsidRPr="00B90394">
        <w:rPr>
          <w:rFonts w:ascii="Times New Roman" w:hAnsi="Times New Roman"/>
          <w:sz w:val="24"/>
        </w:rPr>
        <w:t>(Vic)</w:t>
      </w:r>
      <w:r w:rsidRPr="00B90394">
        <w:rPr>
          <w:rFonts w:ascii="Times New Roman" w:hAnsi="Times New Roman"/>
          <w:sz w:val="24"/>
        </w:rPr>
        <w:t>, s 44B.</w:t>
      </w:r>
    </w:p>
  </w:footnote>
  <w:footnote w:id="80">
    <w:p w14:paraId="3E784D39" w14:textId="17DE8E65"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7D01EB" w:rsidRPr="00B90394">
        <w:rPr>
          <w:rFonts w:ascii="Times New Roman" w:hAnsi="Times New Roman"/>
          <w:sz w:val="24"/>
        </w:rPr>
        <w:t xml:space="preserve">See, </w:t>
      </w:r>
      <w:proofErr w:type="spellStart"/>
      <w:r w:rsidR="007D01EB" w:rsidRPr="00B90394">
        <w:rPr>
          <w:rFonts w:ascii="Times New Roman" w:hAnsi="Times New Roman"/>
          <w:sz w:val="24"/>
        </w:rPr>
        <w:t>eg</w:t>
      </w:r>
      <w:proofErr w:type="spellEnd"/>
      <w:r w:rsidR="007D01EB" w:rsidRPr="00B90394">
        <w:rPr>
          <w:rFonts w:ascii="Times New Roman" w:hAnsi="Times New Roman"/>
          <w:sz w:val="24"/>
        </w:rPr>
        <w:t xml:space="preserve">, </w:t>
      </w:r>
      <w:r w:rsidR="0040290C" w:rsidRPr="00B90394">
        <w:rPr>
          <w:rFonts w:ascii="Times New Roman" w:hAnsi="Times New Roman"/>
          <w:i/>
          <w:iCs/>
          <w:sz w:val="24"/>
        </w:rPr>
        <w:t>Glen</w:t>
      </w:r>
      <w:r w:rsidR="0040290C" w:rsidRPr="00B90394">
        <w:rPr>
          <w:rFonts w:ascii="Times New Roman" w:hAnsi="Times New Roman"/>
          <w:sz w:val="24"/>
        </w:rPr>
        <w:t xml:space="preserve"> </w:t>
      </w:r>
      <w:r w:rsidRPr="00B90394">
        <w:rPr>
          <w:rFonts w:ascii="Times New Roman" w:hAnsi="Times New Roman"/>
          <w:i/>
          <w:iCs/>
          <w:sz w:val="24"/>
        </w:rPr>
        <w:t xml:space="preserve">Jacobs </w:t>
      </w:r>
      <w:r w:rsidR="0040290C" w:rsidRPr="00B90394">
        <w:rPr>
          <w:rFonts w:ascii="Times New Roman" w:hAnsi="Times New Roman"/>
          <w:i/>
          <w:iCs/>
          <w:sz w:val="24"/>
        </w:rPr>
        <w:t xml:space="preserve">(a pseudonym) </w:t>
      </w:r>
      <w:r w:rsidRPr="00B90394">
        <w:rPr>
          <w:rFonts w:ascii="Times New Roman" w:hAnsi="Times New Roman"/>
          <w:i/>
          <w:iCs/>
          <w:sz w:val="24"/>
        </w:rPr>
        <w:t>v The Queen</w:t>
      </w:r>
      <w:r w:rsidRPr="00B90394">
        <w:rPr>
          <w:rFonts w:ascii="Times New Roman" w:hAnsi="Times New Roman"/>
          <w:sz w:val="24"/>
        </w:rPr>
        <w:t xml:space="preserve"> [2019] VSCA 285</w:t>
      </w:r>
      <w:r w:rsidR="007D01EB" w:rsidRPr="00B90394">
        <w:rPr>
          <w:rFonts w:ascii="Times New Roman" w:hAnsi="Times New Roman"/>
          <w:sz w:val="24"/>
        </w:rPr>
        <w:t xml:space="preserve"> at </w:t>
      </w:r>
      <w:r w:rsidRPr="00B90394">
        <w:rPr>
          <w:rFonts w:ascii="Times New Roman" w:hAnsi="Times New Roman"/>
          <w:sz w:val="24"/>
        </w:rPr>
        <w:t>[90]</w:t>
      </w:r>
      <w:r w:rsidR="007D01EB" w:rsidRPr="00B90394">
        <w:rPr>
          <w:rFonts w:ascii="Times New Roman" w:hAnsi="Times New Roman"/>
          <w:sz w:val="24"/>
        </w:rPr>
        <w:t xml:space="preserve"> in the context of s 44</w:t>
      </w:r>
      <w:proofErr w:type="gramStart"/>
      <w:r w:rsidR="007D01EB" w:rsidRPr="00B90394">
        <w:rPr>
          <w:rFonts w:ascii="Times New Roman" w:hAnsi="Times New Roman"/>
          <w:sz w:val="24"/>
        </w:rPr>
        <w:t>C(</w:t>
      </w:r>
      <w:proofErr w:type="gramEnd"/>
      <w:r w:rsidR="007D01EB" w:rsidRPr="00B90394">
        <w:rPr>
          <w:rFonts w:ascii="Times New Roman" w:hAnsi="Times New Roman"/>
          <w:sz w:val="24"/>
        </w:rPr>
        <w:t xml:space="preserve">2) of the </w:t>
      </w:r>
      <w:r w:rsidR="007D01EB" w:rsidRPr="00B90394">
        <w:rPr>
          <w:rFonts w:ascii="Times New Roman" w:hAnsi="Times New Roman"/>
          <w:i/>
          <w:iCs/>
          <w:sz w:val="24"/>
        </w:rPr>
        <w:t>Jury Directions Act</w:t>
      </w:r>
      <w:r w:rsidRPr="00B90394">
        <w:rPr>
          <w:rFonts w:ascii="Times New Roman" w:hAnsi="Times New Roman"/>
          <w:sz w:val="24"/>
        </w:rPr>
        <w:t>.</w:t>
      </w:r>
    </w:p>
  </w:footnote>
  <w:footnote w:id="81">
    <w:p w14:paraId="0789F220" w14:textId="460FF764"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Moore</w:t>
      </w:r>
      <w:r w:rsidRPr="00B90394">
        <w:rPr>
          <w:rFonts w:ascii="Times New Roman" w:hAnsi="Times New Roman"/>
          <w:sz w:val="24"/>
        </w:rPr>
        <w:t xml:space="preserve"> </w:t>
      </w:r>
      <w:r w:rsidR="00053B79" w:rsidRPr="00B90394">
        <w:rPr>
          <w:rFonts w:ascii="Times New Roman" w:hAnsi="Times New Roman"/>
          <w:sz w:val="24"/>
        </w:rPr>
        <w:t xml:space="preserve">[2023] VSCA 236 </w:t>
      </w:r>
      <w:r w:rsidRPr="00B90394">
        <w:rPr>
          <w:rFonts w:ascii="Times New Roman" w:hAnsi="Times New Roman"/>
          <w:sz w:val="24"/>
        </w:rPr>
        <w:t>at [187].</w:t>
      </w:r>
    </w:p>
  </w:footnote>
  <w:footnote w:id="82">
    <w:p w14:paraId="7EF5CA87" w14:textId="4B361043"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Pr="00B90394">
        <w:rPr>
          <w:rFonts w:ascii="Times New Roman" w:hAnsi="Times New Roman"/>
          <w:i/>
          <w:iCs/>
          <w:sz w:val="24"/>
        </w:rPr>
        <w:t>Gilbert v The Queen</w:t>
      </w:r>
      <w:r w:rsidRPr="00B90394">
        <w:rPr>
          <w:rFonts w:ascii="Times New Roman" w:hAnsi="Times New Roman"/>
          <w:sz w:val="24"/>
        </w:rPr>
        <w:t xml:space="preserve"> (2000) 201 CLR 414 at </w:t>
      </w:r>
      <w:r w:rsidR="007D01EB" w:rsidRPr="00B90394">
        <w:rPr>
          <w:rFonts w:ascii="Times New Roman" w:hAnsi="Times New Roman"/>
          <w:sz w:val="24"/>
        </w:rPr>
        <w:t xml:space="preserve">420 </w:t>
      </w:r>
      <w:r w:rsidRPr="00B90394">
        <w:rPr>
          <w:rFonts w:ascii="Times New Roman" w:hAnsi="Times New Roman"/>
          <w:sz w:val="24"/>
        </w:rPr>
        <w:t>[13]</w:t>
      </w:r>
      <w:r w:rsidR="00053B79" w:rsidRPr="00B90394">
        <w:rPr>
          <w:rFonts w:ascii="Times New Roman" w:hAnsi="Times New Roman"/>
          <w:sz w:val="24"/>
        </w:rPr>
        <w:t>,</w:t>
      </w:r>
      <w:r w:rsidRPr="00B90394">
        <w:rPr>
          <w:rFonts w:ascii="Times New Roman" w:hAnsi="Times New Roman"/>
          <w:sz w:val="24"/>
        </w:rPr>
        <w:t xml:space="preserve"> </w:t>
      </w:r>
      <w:r w:rsidR="00683C8E" w:rsidRPr="00B90394">
        <w:rPr>
          <w:rFonts w:ascii="Times New Roman" w:hAnsi="Times New Roman"/>
          <w:sz w:val="24"/>
        </w:rPr>
        <w:t xml:space="preserve">see also at </w:t>
      </w:r>
      <w:r w:rsidR="007D01EB" w:rsidRPr="00B90394">
        <w:rPr>
          <w:rFonts w:ascii="Times New Roman" w:hAnsi="Times New Roman"/>
          <w:sz w:val="24"/>
        </w:rPr>
        <w:t xml:space="preserve">426 </w:t>
      </w:r>
      <w:r w:rsidRPr="00B90394">
        <w:rPr>
          <w:rFonts w:ascii="Times New Roman" w:hAnsi="Times New Roman"/>
          <w:sz w:val="24"/>
        </w:rPr>
        <w:t>[32].</w:t>
      </w:r>
    </w:p>
  </w:footnote>
  <w:footnote w:id="83">
    <w:p w14:paraId="6CD75F8F" w14:textId="5C154679"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r>
      <w:r w:rsidR="00F67DD4" w:rsidRPr="00B90394">
        <w:rPr>
          <w:rFonts w:ascii="Times New Roman" w:hAnsi="Times New Roman"/>
          <w:sz w:val="24"/>
        </w:rPr>
        <w:t xml:space="preserve">See </w:t>
      </w:r>
      <w:r w:rsidRPr="00B90394">
        <w:rPr>
          <w:rFonts w:ascii="Times New Roman" w:hAnsi="Times New Roman"/>
          <w:i/>
          <w:sz w:val="24"/>
        </w:rPr>
        <w:t>HML v The Queen</w:t>
      </w:r>
      <w:r w:rsidRPr="00B90394">
        <w:rPr>
          <w:rFonts w:ascii="Times New Roman" w:hAnsi="Times New Roman"/>
          <w:sz w:val="24"/>
        </w:rPr>
        <w:t xml:space="preserve"> (2008) 235 CLR 334 at </w:t>
      </w:r>
      <w:r w:rsidR="007D01EB" w:rsidRPr="00B90394">
        <w:rPr>
          <w:rFonts w:ascii="Times New Roman" w:hAnsi="Times New Roman"/>
          <w:sz w:val="24"/>
        </w:rPr>
        <w:t xml:space="preserve">385 </w:t>
      </w:r>
      <w:r w:rsidRPr="00B90394">
        <w:rPr>
          <w:rFonts w:ascii="Times New Roman" w:hAnsi="Times New Roman"/>
          <w:sz w:val="24"/>
        </w:rPr>
        <w:t>[116].</w:t>
      </w:r>
    </w:p>
  </w:footnote>
  <w:footnote w:id="84">
    <w:p w14:paraId="07FEF2B1" w14:textId="40062338" w:rsidR="00B02CF8" w:rsidRPr="00B90394" w:rsidRDefault="00B02CF8" w:rsidP="00B90394">
      <w:pPr>
        <w:pStyle w:val="FootnoteText"/>
        <w:spacing w:line="280" w:lineRule="exact"/>
        <w:ind w:right="0"/>
        <w:jc w:val="both"/>
        <w:rPr>
          <w:rFonts w:ascii="Times New Roman" w:hAnsi="Times New Roman"/>
          <w:sz w:val="24"/>
        </w:rPr>
      </w:pPr>
      <w:r w:rsidRPr="00B90394">
        <w:rPr>
          <w:rStyle w:val="FootnoteReference"/>
          <w:rFonts w:ascii="Times New Roman" w:hAnsi="Times New Roman"/>
          <w:sz w:val="22"/>
          <w:vertAlign w:val="baseline"/>
        </w:rPr>
        <w:footnoteRef/>
      </w:r>
      <w:r w:rsidRPr="00B90394">
        <w:rPr>
          <w:rFonts w:ascii="Times New Roman" w:hAnsi="Times New Roman"/>
          <w:sz w:val="24"/>
        </w:rPr>
        <w:t xml:space="preserve"> </w:t>
      </w:r>
      <w:r w:rsidRPr="00B90394">
        <w:rPr>
          <w:rFonts w:ascii="Times New Roman" w:hAnsi="Times New Roman"/>
          <w:sz w:val="24"/>
        </w:rPr>
        <w:tab/>
        <w:t xml:space="preserve">See </w:t>
      </w:r>
      <w:r w:rsidRPr="00B90394">
        <w:rPr>
          <w:rFonts w:ascii="Times New Roman" w:hAnsi="Times New Roman"/>
          <w:i/>
          <w:iCs/>
          <w:sz w:val="24"/>
        </w:rPr>
        <w:t>R v Georgiou</w:t>
      </w:r>
      <w:r w:rsidRPr="00B90394">
        <w:rPr>
          <w:rFonts w:ascii="Times New Roman" w:hAnsi="Times New Roman"/>
          <w:sz w:val="24"/>
        </w:rPr>
        <w:t xml:space="preserve"> [1999] NSWCCA 125</w:t>
      </w:r>
      <w:r w:rsidR="007D01EB" w:rsidRPr="00B90394">
        <w:rPr>
          <w:rFonts w:ascii="Times New Roman" w:hAnsi="Times New Roman"/>
          <w:sz w:val="24"/>
        </w:rPr>
        <w:t xml:space="preserve"> at</w:t>
      </w:r>
      <w:r w:rsidRPr="00B90394">
        <w:rPr>
          <w:rFonts w:ascii="Times New Roman" w:hAnsi="Times New Roman"/>
          <w:sz w:val="24"/>
        </w:rPr>
        <w:t xml:space="preserv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541B" w14:textId="77777777" w:rsidR="00B90394" w:rsidRPr="00D237B7" w:rsidRDefault="00B90394" w:rsidP="00D2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5DDC" w14:textId="62CA88CE" w:rsidR="00B90394" w:rsidRPr="00D237B7" w:rsidRDefault="00D237B7" w:rsidP="00D237B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2D1B" w14:textId="18DECCB7" w:rsidR="00F53B59" w:rsidRPr="00D237B7" w:rsidRDefault="00F53B59" w:rsidP="00D23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9B29" w14:textId="77777777" w:rsidR="00D237B7" w:rsidRPr="00B90394" w:rsidRDefault="00D237B7" w:rsidP="00B90394">
    <w:pPr>
      <w:pStyle w:val="Header"/>
      <w:tabs>
        <w:tab w:val="clear" w:pos="4153"/>
        <w:tab w:val="clear" w:pos="8306"/>
        <w:tab w:val="right" w:pos="1304"/>
      </w:tabs>
      <w:spacing w:line="280" w:lineRule="exact"/>
      <w:ind w:firstLine="0"/>
      <w:rPr>
        <w:rFonts w:ascii="Times New Roman" w:hAnsi="Times New Roman"/>
        <w:i/>
        <w:sz w:val="22"/>
      </w:rPr>
    </w:pPr>
    <w:r w:rsidRPr="00B90394">
      <w:rPr>
        <w:rFonts w:ascii="Times New Roman" w:hAnsi="Times New Roman"/>
        <w:i/>
        <w:sz w:val="22"/>
      </w:rPr>
      <w:t>Gageler</w:t>
    </w:r>
    <w:r w:rsidRPr="00B90394">
      <w:rPr>
        <w:rFonts w:ascii="Times New Roman" w:hAnsi="Times New Roman"/>
        <w:i/>
        <w:sz w:val="22"/>
      </w:rPr>
      <w:tab/>
      <w:t>CJ</w:t>
    </w:r>
  </w:p>
  <w:p w14:paraId="453F21E7" w14:textId="77777777" w:rsidR="00D237B7" w:rsidRPr="00B90394" w:rsidRDefault="00D237B7" w:rsidP="00B90394">
    <w:pPr>
      <w:pStyle w:val="Header"/>
      <w:tabs>
        <w:tab w:val="clear" w:pos="4153"/>
        <w:tab w:val="clear" w:pos="8306"/>
        <w:tab w:val="right" w:pos="1304"/>
      </w:tabs>
      <w:spacing w:line="280" w:lineRule="exact"/>
      <w:ind w:firstLine="0"/>
      <w:rPr>
        <w:rFonts w:ascii="Times New Roman" w:hAnsi="Times New Roman"/>
        <w:i/>
        <w:sz w:val="22"/>
      </w:rPr>
    </w:pPr>
    <w:r w:rsidRPr="00B90394">
      <w:rPr>
        <w:rFonts w:ascii="Times New Roman" w:hAnsi="Times New Roman"/>
        <w:i/>
        <w:sz w:val="22"/>
      </w:rPr>
      <w:t>Edelman</w:t>
    </w:r>
    <w:r w:rsidRPr="00B90394">
      <w:rPr>
        <w:rFonts w:ascii="Times New Roman" w:hAnsi="Times New Roman"/>
        <w:i/>
        <w:sz w:val="22"/>
      </w:rPr>
      <w:tab/>
      <w:t>J</w:t>
    </w:r>
  </w:p>
  <w:p w14:paraId="220462A0" w14:textId="77777777" w:rsidR="00D237B7" w:rsidRPr="00B90394" w:rsidRDefault="00D237B7" w:rsidP="00B90394">
    <w:pPr>
      <w:pStyle w:val="Header"/>
      <w:tabs>
        <w:tab w:val="clear" w:pos="4153"/>
        <w:tab w:val="clear" w:pos="8306"/>
        <w:tab w:val="right" w:pos="1304"/>
      </w:tabs>
      <w:spacing w:line="280" w:lineRule="exact"/>
      <w:ind w:firstLine="0"/>
      <w:rPr>
        <w:rFonts w:ascii="Times New Roman" w:hAnsi="Times New Roman"/>
        <w:i/>
        <w:sz w:val="22"/>
      </w:rPr>
    </w:pPr>
    <w:r w:rsidRPr="00B90394">
      <w:rPr>
        <w:rFonts w:ascii="Times New Roman" w:hAnsi="Times New Roman"/>
        <w:i/>
        <w:sz w:val="22"/>
      </w:rPr>
      <w:t>Steward</w:t>
    </w:r>
    <w:r w:rsidRPr="00B90394">
      <w:rPr>
        <w:rFonts w:ascii="Times New Roman" w:hAnsi="Times New Roman"/>
        <w:i/>
        <w:sz w:val="22"/>
      </w:rPr>
      <w:tab/>
      <w:t>J</w:t>
    </w:r>
  </w:p>
  <w:p w14:paraId="1D486773" w14:textId="77777777" w:rsidR="00D237B7" w:rsidRPr="00B90394" w:rsidRDefault="00D237B7" w:rsidP="00B90394">
    <w:pPr>
      <w:pStyle w:val="Header"/>
      <w:tabs>
        <w:tab w:val="clear" w:pos="4153"/>
        <w:tab w:val="clear" w:pos="8306"/>
        <w:tab w:val="right" w:pos="1304"/>
      </w:tabs>
      <w:spacing w:line="280" w:lineRule="exact"/>
      <w:ind w:firstLine="0"/>
      <w:rPr>
        <w:rFonts w:ascii="Times New Roman" w:hAnsi="Times New Roman"/>
        <w:i/>
        <w:sz w:val="22"/>
      </w:rPr>
    </w:pPr>
    <w:r w:rsidRPr="00B90394">
      <w:rPr>
        <w:rFonts w:ascii="Times New Roman" w:hAnsi="Times New Roman"/>
        <w:i/>
        <w:sz w:val="22"/>
      </w:rPr>
      <w:t>Gleeson</w:t>
    </w:r>
    <w:r w:rsidRPr="00B90394">
      <w:rPr>
        <w:rFonts w:ascii="Times New Roman" w:hAnsi="Times New Roman"/>
        <w:i/>
        <w:sz w:val="22"/>
      </w:rPr>
      <w:tab/>
      <w:t>J</w:t>
    </w:r>
  </w:p>
  <w:p w14:paraId="7DB559A6" w14:textId="77777777" w:rsidR="00D237B7" w:rsidRDefault="00D237B7" w:rsidP="00B9039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13D4252" w14:textId="77777777" w:rsidR="00D237B7" w:rsidRDefault="00D237B7" w:rsidP="00B90394">
    <w:pPr>
      <w:pStyle w:val="Header"/>
      <w:tabs>
        <w:tab w:val="clear" w:pos="4153"/>
        <w:tab w:val="clear" w:pos="8306"/>
        <w:tab w:val="right" w:pos="1304"/>
      </w:tabs>
      <w:spacing w:line="280" w:lineRule="exact"/>
      <w:ind w:firstLine="0"/>
      <w:rPr>
        <w:rFonts w:ascii="Times New Roman" w:hAnsi="Times New Roman"/>
        <w:i/>
        <w:sz w:val="22"/>
      </w:rPr>
    </w:pPr>
  </w:p>
  <w:p w14:paraId="162617F0" w14:textId="77777777" w:rsidR="00D237B7" w:rsidRDefault="00D237B7" w:rsidP="00B9039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E7104FD" w14:textId="77777777" w:rsidR="00D237B7" w:rsidRPr="00B90394" w:rsidRDefault="00D237B7" w:rsidP="00B9039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DA82" w14:textId="77777777" w:rsidR="00D237B7" w:rsidRPr="00B90394" w:rsidRDefault="00D237B7" w:rsidP="00B90394">
    <w:pPr>
      <w:pStyle w:val="Header"/>
      <w:tabs>
        <w:tab w:val="clear" w:pos="4153"/>
        <w:tab w:val="clear" w:pos="8306"/>
        <w:tab w:val="left" w:pos="7200"/>
        <w:tab w:val="right" w:pos="8504"/>
      </w:tabs>
      <w:spacing w:line="280" w:lineRule="exact"/>
      <w:jc w:val="right"/>
      <w:rPr>
        <w:rFonts w:ascii="Times New Roman" w:hAnsi="Times New Roman"/>
        <w:i/>
        <w:sz w:val="22"/>
      </w:rPr>
    </w:pPr>
    <w:r w:rsidRPr="00B90394">
      <w:rPr>
        <w:rFonts w:ascii="Times New Roman" w:hAnsi="Times New Roman"/>
        <w:i/>
        <w:sz w:val="22"/>
      </w:rPr>
      <w:tab/>
      <w:t>Gageler</w:t>
    </w:r>
    <w:r w:rsidRPr="00B90394">
      <w:rPr>
        <w:rFonts w:ascii="Times New Roman" w:hAnsi="Times New Roman"/>
        <w:i/>
        <w:sz w:val="22"/>
      </w:rPr>
      <w:tab/>
      <w:t>CJ</w:t>
    </w:r>
  </w:p>
  <w:p w14:paraId="114B8712" w14:textId="77777777" w:rsidR="00D237B7" w:rsidRPr="00B90394" w:rsidRDefault="00D237B7" w:rsidP="00B90394">
    <w:pPr>
      <w:pStyle w:val="Header"/>
      <w:tabs>
        <w:tab w:val="clear" w:pos="4153"/>
        <w:tab w:val="clear" w:pos="8306"/>
        <w:tab w:val="left" w:pos="7200"/>
        <w:tab w:val="right" w:pos="8504"/>
      </w:tabs>
      <w:spacing w:line="280" w:lineRule="exact"/>
      <w:jc w:val="right"/>
      <w:rPr>
        <w:rFonts w:ascii="Times New Roman" w:hAnsi="Times New Roman"/>
        <w:i/>
        <w:sz w:val="22"/>
      </w:rPr>
    </w:pPr>
    <w:r w:rsidRPr="00B90394">
      <w:rPr>
        <w:rFonts w:ascii="Times New Roman" w:hAnsi="Times New Roman"/>
        <w:i/>
        <w:sz w:val="22"/>
      </w:rPr>
      <w:tab/>
      <w:t>Edelman</w:t>
    </w:r>
    <w:r w:rsidRPr="00B90394">
      <w:rPr>
        <w:rFonts w:ascii="Times New Roman" w:hAnsi="Times New Roman"/>
        <w:i/>
        <w:sz w:val="22"/>
      </w:rPr>
      <w:tab/>
      <w:t>J</w:t>
    </w:r>
  </w:p>
  <w:p w14:paraId="198968DA" w14:textId="77777777" w:rsidR="00D237B7" w:rsidRPr="00B90394" w:rsidRDefault="00D237B7" w:rsidP="00B90394">
    <w:pPr>
      <w:pStyle w:val="Header"/>
      <w:tabs>
        <w:tab w:val="clear" w:pos="4153"/>
        <w:tab w:val="clear" w:pos="8306"/>
        <w:tab w:val="left" w:pos="7200"/>
        <w:tab w:val="right" w:pos="8504"/>
      </w:tabs>
      <w:spacing w:line="280" w:lineRule="exact"/>
      <w:jc w:val="right"/>
      <w:rPr>
        <w:rFonts w:ascii="Times New Roman" w:hAnsi="Times New Roman"/>
        <w:i/>
        <w:sz w:val="22"/>
      </w:rPr>
    </w:pPr>
    <w:r w:rsidRPr="00B90394">
      <w:rPr>
        <w:rFonts w:ascii="Times New Roman" w:hAnsi="Times New Roman"/>
        <w:i/>
        <w:sz w:val="22"/>
      </w:rPr>
      <w:tab/>
      <w:t>Steward</w:t>
    </w:r>
    <w:r w:rsidRPr="00B90394">
      <w:rPr>
        <w:rFonts w:ascii="Times New Roman" w:hAnsi="Times New Roman"/>
        <w:i/>
        <w:sz w:val="22"/>
      </w:rPr>
      <w:tab/>
      <w:t>J</w:t>
    </w:r>
  </w:p>
  <w:p w14:paraId="47882639" w14:textId="77777777" w:rsidR="00D237B7" w:rsidRPr="00B90394" w:rsidRDefault="00D237B7" w:rsidP="00B90394">
    <w:pPr>
      <w:pStyle w:val="Header"/>
      <w:tabs>
        <w:tab w:val="clear" w:pos="4153"/>
        <w:tab w:val="clear" w:pos="8306"/>
        <w:tab w:val="left" w:pos="7200"/>
        <w:tab w:val="right" w:pos="8504"/>
      </w:tabs>
      <w:spacing w:line="280" w:lineRule="exact"/>
      <w:jc w:val="right"/>
      <w:rPr>
        <w:rFonts w:ascii="Times New Roman" w:hAnsi="Times New Roman"/>
        <w:i/>
        <w:sz w:val="22"/>
      </w:rPr>
    </w:pPr>
    <w:r w:rsidRPr="00B90394">
      <w:rPr>
        <w:rFonts w:ascii="Times New Roman" w:hAnsi="Times New Roman"/>
        <w:i/>
        <w:sz w:val="22"/>
      </w:rPr>
      <w:tab/>
      <w:t>Gleeson</w:t>
    </w:r>
    <w:r w:rsidRPr="00B90394">
      <w:rPr>
        <w:rFonts w:ascii="Times New Roman" w:hAnsi="Times New Roman"/>
        <w:i/>
        <w:sz w:val="22"/>
      </w:rPr>
      <w:tab/>
      <w:t>J</w:t>
    </w:r>
  </w:p>
  <w:p w14:paraId="4D2F26EF" w14:textId="77777777" w:rsidR="00D237B7" w:rsidRDefault="00D237B7" w:rsidP="00B9039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4F56A94" w14:textId="77777777" w:rsidR="00D237B7" w:rsidRDefault="00D237B7" w:rsidP="00B90394">
    <w:pPr>
      <w:pStyle w:val="Header"/>
      <w:tabs>
        <w:tab w:val="clear" w:pos="4153"/>
        <w:tab w:val="clear" w:pos="8306"/>
        <w:tab w:val="left" w:pos="7200"/>
        <w:tab w:val="right" w:pos="8504"/>
      </w:tabs>
      <w:spacing w:line="280" w:lineRule="exact"/>
      <w:jc w:val="right"/>
      <w:rPr>
        <w:rFonts w:ascii="Times New Roman" w:hAnsi="Times New Roman"/>
        <w:i/>
        <w:sz w:val="22"/>
      </w:rPr>
    </w:pPr>
  </w:p>
  <w:p w14:paraId="76067BBD" w14:textId="77777777" w:rsidR="00D237B7" w:rsidRDefault="00D237B7" w:rsidP="00B9039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1C608E7" w14:textId="77777777" w:rsidR="00D237B7" w:rsidRPr="00B90394" w:rsidRDefault="00D237B7" w:rsidP="00B9039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4F1" w14:textId="77777777" w:rsidR="00D237B7"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p w14:paraId="0046204E" w14:textId="77777777" w:rsidR="00D237B7"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p w14:paraId="1D520025" w14:textId="77777777" w:rsidR="00D237B7"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p w14:paraId="6DDC3A92" w14:textId="77777777" w:rsidR="00D237B7"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p w14:paraId="34BFE4EE" w14:textId="77777777" w:rsidR="00D237B7"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p w14:paraId="40BE5BE6" w14:textId="77777777" w:rsidR="00D237B7"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p w14:paraId="61D84D6F" w14:textId="77777777" w:rsidR="00D237B7"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p w14:paraId="421F9515" w14:textId="77777777" w:rsidR="00D237B7" w:rsidRPr="00B90394" w:rsidRDefault="00D237B7" w:rsidP="00B9039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8BF6F27"/>
    <w:multiLevelType w:val="hybridMultilevel"/>
    <w:tmpl w:val="E1D8A5D0"/>
    <w:lvl w:ilvl="0" w:tplc="A9E89862">
      <w:start w:val="1"/>
      <w:numFmt w:val="decimal"/>
      <w:lvlText w:val="%1."/>
      <w:lvlJc w:val="left"/>
      <w:pPr>
        <w:ind w:left="1020" w:hanging="360"/>
      </w:pPr>
    </w:lvl>
    <w:lvl w:ilvl="1" w:tplc="75388766">
      <w:start w:val="1"/>
      <w:numFmt w:val="decimal"/>
      <w:lvlText w:val="%2."/>
      <w:lvlJc w:val="left"/>
      <w:pPr>
        <w:ind w:left="1020" w:hanging="360"/>
      </w:pPr>
    </w:lvl>
    <w:lvl w:ilvl="2" w:tplc="F08CF146">
      <w:start w:val="1"/>
      <w:numFmt w:val="decimal"/>
      <w:lvlText w:val="%3."/>
      <w:lvlJc w:val="left"/>
      <w:pPr>
        <w:ind w:left="1020" w:hanging="360"/>
      </w:pPr>
    </w:lvl>
    <w:lvl w:ilvl="3" w:tplc="8B142598">
      <w:start w:val="1"/>
      <w:numFmt w:val="decimal"/>
      <w:lvlText w:val="%4."/>
      <w:lvlJc w:val="left"/>
      <w:pPr>
        <w:ind w:left="1020" w:hanging="360"/>
      </w:pPr>
    </w:lvl>
    <w:lvl w:ilvl="4" w:tplc="9DC8936E">
      <w:start w:val="1"/>
      <w:numFmt w:val="decimal"/>
      <w:lvlText w:val="%5."/>
      <w:lvlJc w:val="left"/>
      <w:pPr>
        <w:ind w:left="1020" w:hanging="360"/>
      </w:pPr>
    </w:lvl>
    <w:lvl w:ilvl="5" w:tplc="79449E84">
      <w:start w:val="1"/>
      <w:numFmt w:val="decimal"/>
      <w:lvlText w:val="%6."/>
      <w:lvlJc w:val="left"/>
      <w:pPr>
        <w:ind w:left="1020" w:hanging="360"/>
      </w:pPr>
    </w:lvl>
    <w:lvl w:ilvl="6" w:tplc="B6F6A286">
      <w:start w:val="1"/>
      <w:numFmt w:val="decimal"/>
      <w:lvlText w:val="%7."/>
      <w:lvlJc w:val="left"/>
      <w:pPr>
        <w:ind w:left="1020" w:hanging="360"/>
      </w:pPr>
    </w:lvl>
    <w:lvl w:ilvl="7" w:tplc="92A8BAD6">
      <w:start w:val="1"/>
      <w:numFmt w:val="decimal"/>
      <w:lvlText w:val="%8."/>
      <w:lvlJc w:val="left"/>
      <w:pPr>
        <w:ind w:left="1020" w:hanging="360"/>
      </w:pPr>
    </w:lvl>
    <w:lvl w:ilvl="8" w:tplc="1A6AD07C">
      <w:start w:val="1"/>
      <w:numFmt w:val="decimal"/>
      <w:lvlText w:val="%9."/>
      <w:lvlJc w:val="left"/>
      <w:pPr>
        <w:ind w:left="1020" w:hanging="36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773454B"/>
    <w:multiLevelType w:val="hybridMultilevel"/>
    <w:tmpl w:val="320EB4F0"/>
    <w:lvl w:ilvl="0" w:tplc="E4485756">
      <w:start w:val="1"/>
      <w:numFmt w:val="decimal"/>
      <w:lvlText w:val="%1."/>
      <w:lvlJc w:val="left"/>
      <w:pPr>
        <w:ind w:left="1020" w:hanging="360"/>
      </w:pPr>
    </w:lvl>
    <w:lvl w:ilvl="1" w:tplc="FA9A8818">
      <w:start w:val="1"/>
      <w:numFmt w:val="decimal"/>
      <w:lvlText w:val="%2."/>
      <w:lvlJc w:val="left"/>
      <w:pPr>
        <w:ind w:left="1020" w:hanging="360"/>
      </w:pPr>
    </w:lvl>
    <w:lvl w:ilvl="2" w:tplc="9B0828B2">
      <w:start w:val="1"/>
      <w:numFmt w:val="decimal"/>
      <w:lvlText w:val="%3."/>
      <w:lvlJc w:val="left"/>
      <w:pPr>
        <w:ind w:left="1020" w:hanging="360"/>
      </w:pPr>
    </w:lvl>
    <w:lvl w:ilvl="3" w:tplc="7CDEB2CC">
      <w:start w:val="1"/>
      <w:numFmt w:val="decimal"/>
      <w:lvlText w:val="%4."/>
      <w:lvlJc w:val="left"/>
      <w:pPr>
        <w:ind w:left="1020" w:hanging="360"/>
      </w:pPr>
    </w:lvl>
    <w:lvl w:ilvl="4" w:tplc="AB0A251E">
      <w:start w:val="1"/>
      <w:numFmt w:val="decimal"/>
      <w:lvlText w:val="%5."/>
      <w:lvlJc w:val="left"/>
      <w:pPr>
        <w:ind w:left="1020" w:hanging="360"/>
      </w:pPr>
    </w:lvl>
    <w:lvl w:ilvl="5" w:tplc="6C2A01EA">
      <w:start w:val="1"/>
      <w:numFmt w:val="decimal"/>
      <w:lvlText w:val="%6."/>
      <w:lvlJc w:val="left"/>
      <w:pPr>
        <w:ind w:left="1020" w:hanging="360"/>
      </w:pPr>
    </w:lvl>
    <w:lvl w:ilvl="6" w:tplc="D67CE8B4">
      <w:start w:val="1"/>
      <w:numFmt w:val="decimal"/>
      <w:lvlText w:val="%7."/>
      <w:lvlJc w:val="left"/>
      <w:pPr>
        <w:ind w:left="1020" w:hanging="360"/>
      </w:pPr>
    </w:lvl>
    <w:lvl w:ilvl="7" w:tplc="FD647182">
      <w:start w:val="1"/>
      <w:numFmt w:val="decimal"/>
      <w:lvlText w:val="%8."/>
      <w:lvlJc w:val="left"/>
      <w:pPr>
        <w:ind w:left="1020" w:hanging="360"/>
      </w:pPr>
    </w:lvl>
    <w:lvl w:ilvl="8" w:tplc="FEFE0A58">
      <w:start w:val="1"/>
      <w:numFmt w:val="decimal"/>
      <w:lvlText w:val="%9."/>
      <w:lvlJc w:val="left"/>
      <w:pPr>
        <w:ind w:left="1020" w:hanging="36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19"/>
  </w:num>
  <w:num w:numId="4" w16cid:durableId="1020468450">
    <w:abstractNumId w:val="14"/>
  </w:num>
  <w:num w:numId="5" w16cid:durableId="298609604">
    <w:abstractNumId w:val="1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7"/>
  </w:num>
  <w:num w:numId="18" w16cid:durableId="586305847">
    <w:abstractNumId w:val="11"/>
  </w:num>
  <w:num w:numId="19" w16cid:durableId="650985869">
    <w:abstractNumId w:val="11"/>
  </w:num>
  <w:num w:numId="20" w16cid:durableId="1288854435">
    <w:abstractNumId w:val="13"/>
  </w:num>
  <w:num w:numId="21" w16cid:durableId="528377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30"/>
    <w:rsid w:val="00000230"/>
    <w:rsid w:val="00002069"/>
    <w:rsid w:val="00002CE6"/>
    <w:rsid w:val="0000316A"/>
    <w:rsid w:val="000049B7"/>
    <w:rsid w:val="00005E1D"/>
    <w:rsid w:val="000067A9"/>
    <w:rsid w:val="00007D2C"/>
    <w:rsid w:val="00011E2A"/>
    <w:rsid w:val="000141CA"/>
    <w:rsid w:val="00014B34"/>
    <w:rsid w:val="00015C30"/>
    <w:rsid w:val="00015F8A"/>
    <w:rsid w:val="000168C9"/>
    <w:rsid w:val="00016B22"/>
    <w:rsid w:val="00016C20"/>
    <w:rsid w:val="00016DBB"/>
    <w:rsid w:val="00017080"/>
    <w:rsid w:val="00017144"/>
    <w:rsid w:val="00020944"/>
    <w:rsid w:val="00020A1D"/>
    <w:rsid w:val="00020BB1"/>
    <w:rsid w:val="00021A34"/>
    <w:rsid w:val="00022A53"/>
    <w:rsid w:val="00024665"/>
    <w:rsid w:val="00024B25"/>
    <w:rsid w:val="000250AF"/>
    <w:rsid w:val="00025490"/>
    <w:rsid w:val="0002561E"/>
    <w:rsid w:val="00025F91"/>
    <w:rsid w:val="00026137"/>
    <w:rsid w:val="000268E1"/>
    <w:rsid w:val="000279B0"/>
    <w:rsid w:val="0003307F"/>
    <w:rsid w:val="0003425B"/>
    <w:rsid w:val="000346E8"/>
    <w:rsid w:val="0003575A"/>
    <w:rsid w:val="00035DC1"/>
    <w:rsid w:val="000360EB"/>
    <w:rsid w:val="00037A5F"/>
    <w:rsid w:val="00037D87"/>
    <w:rsid w:val="000417F1"/>
    <w:rsid w:val="00041CFE"/>
    <w:rsid w:val="00041D98"/>
    <w:rsid w:val="00042EF3"/>
    <w:rsid w:val="00043D2C"/>
    <w:rsid w:val="00044CA1"/>
    <w:rsid w:val="00044FA7"/>
    <w:rsid w:val="000454FB"/>
    <w:rsid w:val="00046812"/>
    <w:rsid w:val="00046841"/>
    <w:rsid w:val="00047BB9"/>
    <w:rsid w:val="00051EEB"/>
    <w:rsid w:val="00052D4F"/>
    <w:rsid w:val="00053B79"/>
    <w:rsid w:val="00053CBD"/>
    <w:rsid w:val="00055ACD"/>
    <w:rsid w:val="000565FE"/>
    <w:rsid w:val="00056F27"/>
    <w:rsid w:val="000573AF"/>
    <w:rsid w:val="00057B34"/>
    <w:rsid w:val="00057D2F"/>
    <w:rsid w:val="00060AA2"/>
    <w:rsid w:val="00060E94"/>
    <w:rsid w:val="0006169E"/>
    <w:rsid w:val="00061B98"/>
    <w:rsid w:val="00061EAD"/>
    <w:rsid w:val="000626FD"/>
    <w:rsid w:val="00062A7B"/>
    <w:rsid w:val="00063ACB"/>
    <w:rsid w:val="0006432B"/>
    <w:rsid w:val="0006460D"/>
    <w:rsid w:val="00065188"/>
    <w:rsid w:val="000653D4"/>
    <w:rsid w:val="00067A85"/>
    <w:rsid w:val="000709A5"/>
    <w:rsid w:val="0007138B"/>
    <w:rsid w:val="0007165F"/>
    <w:rsid w:val="00071C35"/>
    <w:rsid w:val="000725D4"/>
    <w:rsid w:val="00073133"/>
    <w:rsid w:val="000737B7"/>
    <w:rsid w:val="00075F50"/>
    <w:rsid w:val="00076354"/>
    <w:rsid w:val="0007650A"/>
    <w:rsid w:val="00080D77"/>
    <w:rsid w:val="000817B4"/>
    <w:rsid w:val="00082BEC"/>
    <w:rsid w:val="0008342C"/>
    <w:rsid w:val="0008435D"/>
    <w:rsid w:val="0008558C"/>
    <w:rsid w:val="00085A88"/>
    <w:rsid w:val="00085F13"/>
    <w:rsid w:val="00085F27"/>
    <w:rsid w:val="0008646B"/>
    <w:rsid w:val="00086963"/>
    <w:rsid w:val="00086A2E"/>
    <w:rsid w:val="0009004E"/>
    <w:rsid w:val="00091308"/>
    <w:rsid w:val="0009221F"/>
    <w:rsid w:val="00092992"/>
    <w:rsid w:val="0009541B"/>
    <w:rsid w:val="00095BD8"/>
    <w:rsid w:val="00097E32"/>
    <w:rsid w:val="000A1023"/>
    <w:rsid w:val="000A28D4"/>
    <w:rsid w:val="000A2EB4"/>
    <w:rsid w:val="000A2FE7"/>
    <w:rsid w:val="000A3AB3"/>
    <w:rsid w:val="000A3C27"/>
    <w:rsid w:val="000A3DA3"/>
    <w:rsid w:val="000A4918"/>
    <w:rsid w:val="000A5C9C"/>
    <w:rsid w:val="000A63C6"/>
    <w:rsid w:val="000B160C"/>
    <w:rsid w:val="000B20E2"/>
    <w:rsid w:val="000B417C"/>
    <w:rsid w:val="000B4630"/>
    <w:rsid w:val="000B497F"/>
    <w:rsid w:val="000B59DC"/>
    <w:rsid w:val="000B710D"/>
    <w:rsid w:val="000B7558"/>
    <w:rsid w:val="000C02B7"/>
    <w:rsid w:val="000C04DC"/>
    <w:rsid w:val="000C0D98"/>
    <w:rsid w:val="000C158A"/>
    <w:rsid w:val="000C235F"/>
    <w:rsid w:val="000C2FBA"/>
    <w:rsid w:val="000C36B1"/>
    <w:rsid w:val="000C5B44"/>
    <w:rsid w:val="000C631D"/>
    <w:rsid w:val="000C65A7"/>
    <w:rsid w:val="000C6A11"/>
    <w:rsid w:val="000D03EB"/>
    <w:rsid w:val="000D08E7"/>
    <w:rsid w:val="000D1105"/>
    <w:rsid w:val="000D2527"/>
    <w:rsid w:val="000D25E6"/>
    <w:rsid w:val="000D289F"/>
    <w:rsid w:val="000D48AF"/>
    <w:rsid w:val="000D53C8"/>
    <w:rsid w:val="000D55D4"/>
    <w:rsid w:val="000D5B05"/>
    <w:rsid w:val="000D6849"/>
    <w:rsid w:val="000D76DB"/>
    <w:rsid w:val="000D7E0B"/>
    <w:rsid w:val="000E29BB"/>
    <w:rsid w:val="000E3077"/>
    <w:rsid w:val="000E3B0C"/>
    <w:rsid w:val="000E63BC"/>
    <w:rsid w:val="000E65F7"/>
    <w:rsid w:val="000E6B51"/>
    <w:rsid w:val="000E76A9"/>
    <w:rsid w:val="000F1345"/>
    <w:rsid w:val="000F2254"/>
    <w:rsid w:val="000F3BB3"/>
    <w:rsid w:val="000F49BB"/>
    <w:rsid w:val="000F60EB"/>
    <w:rsid w:val="000F6534"/>
    <w:rsid w:val="001001B9"/>
    <w:rsid w:val="00100D45"/>
    <w:rsid w:val="001020B2"/>
    <w:rsid w:val="00102254"/>
    <w:rsid w:val="00104382"/>
    <w:rsid w:val="001048B7"/>
    <w:rsid w:val="00106E45"/>
    <w:rsid w:val="0010702C"/>
    <w:rsid w:val="00107404"/>
    <w:rsid w:val="0010784E"/>
    <w:rsid w:val="0010786A"/>
    <w:rsid w:val="00110970"/>
    <w:rsid w:val="001113CA"/>
    <w:rsid w:val="00111568"/>
    <w:rsid w:val="001120C0"/>
    <w:rsid w:val="001150BF"/>
    <w:rsid w:val="00115E29"/>
    <w:rsid w:val="00115EB0"/>
    <w:rsid w:val="001168F2"/>
    <w:rsid w:val="00117AB5"/>
    <w:rsid w:val="00117AFC"/>
    <w:rsid w:val="00120207"/>
    <w:rsid w:val="00120A08"/>
    <w:rsid w:val="00121F42"/>
    <w:rsid w:val="00121F5B"/>
    <w:rsid w:val="0012270D"/>
    <w:rsid w:val="00123645"/>
    <w:rsid w:val="00123C1B"/>
    <w:rsid w:val="00125E3C"/>
    <w:rsid w:val="00127309"/>
    <w:rsid w:val="00132265"/>
    <w:rsid w:val="001324DA"/>
    <w:rsid w:val="00132840"/>
    <w:rsid w:val="00133D97"/>
    <w:rsid w:val="00133E7E"/>
    <w:rsid w:val="0013456F"/>
    <w:rsid w:val="00134D8F"/>
    <w:rsid w:val="00137B46"/>
    <w:rsid w:val="00140561"/>
    <w:rsid w:val="00142072"/>
    <w:rsid w:val="00143FCB"/>
    <w:rsid w:val="001444E3"/>
    <w:rsid w:val="00144F8D"/>
    <w:rsid w:val="00144FEF"/>
    <w:rsid w:val="00145627"/>
    <w:rsid w:val="00146A41"/>
    <w:rsid w:val="00147571"/>
    <w:rsid w:val="0015031C"/>
    <w:rsid w:val="001506E8"/>
    <w:rsid w:val="00151679"/>
    <w:rsid w:val="00151F5A"/>
    <w:rsid w:val="0015224D"/>
    <w:rsid w:val="0015318E"/>
    <w:rsid w:val="001537C1"/>
    <w:rsid w:val="00157DDB"/>
    <w:rsid w:val="00157E96"/>
    <w:rsid w:val="00160641"/>
    <w:rsid w:val="00161937"/>
    <w:rsid w:val="001619E8"/>
    <w:rsid w:val="001629B7"/>
    <w:rsid w:val="00163D92"/>
    <w:rsid w:val="00163E11"/>
    <w:rsid w:val="00164144"/>
    <w:rsid w:val="00164433"/>
    <w:rsid w:val="001644B8"/>
    <w:rsid w:val="00164E03"/>
    <w:rsid w:val="0016614A"/>
    <w:rsid w:val="00166663"/>
    <w:rsid w:val="00167270"/>
    <w:rsid w:val="00167BBE"/>
    <w:rsid w:val="001708DE"/>
    <w:rsid w:val="00170DA0"/>
    <w:rsid w:val="0017264E"/>
    <w:rsid w:val="00172ADE"/>
    <w:rsid w:val="00172E35"/>
    <w:rsid w:val="00173F00"/>
    <w:rsid w:val="00175703"/>
    <w:rsid w:val="001758DE"/>
    <w:rsid w:val="00176D25"/>
    <w:rsid w:val="00177DAA"/>
    <w:rsid w:val="00180F34"/>
    <w:rsid w:val="0018225B"/>
    <w:rsid w:val="0018342E"/>
    <w:rsid w:val="001840C2"/>
    <w:rsid w:val="00184B46"/>
    <w:rsid w:val="00185939"/>
    <w:rsid w:val="001876F6"/>
    <w:rsid w:val="0019060B"/>
    <w:rsid w:val="001913C2"/>
    <w:rsid w:val="00191E23"/>
    <w:rsid w:val="001938B4"/>
    <w:rsid w:val="00193C1A"/>
    <w:rsid w:val="001953B1"/>
    <w:rsid w:val="00195CB3"/>
    <w:rsid w:val="00196352"/>
    <w:rsid w:val="001963C0"/>
    <w:rsid w:val="001970D4"/>
    <w:rsid w:val="00197541"/>
    <w:rsid w:val="00197956"/>
    <w:rsid w:val="001A176B"/>
    <w:rsid w:val="001A27CB"/>
    <w:rsid w:val="001A3A1B"/>
    <w:rsid w:val="001A3C52"/>
    <w:rsid w:val="001A409D"/>
    <w:rsid w:val="001A41EA"/>
    <w:rsid w:val="001A4319"/>
    <w:rsid w:val="001A446E"/>
    <w:rsid w:val="001A4AD9"/>
    <w:rsid w:val="001A5627"/>
    <w:rsid w:val="001A5691"/>
    <w:rsid w:val="001A6BD9"/>
    <w:rsid w:val="001A7D3F"/>
    <w:rsid w:val="001B04CC"/>
    <w:rsid w:val="001B0ECA"/>
    <w:rsid w:val="001B1676"/>
    <w:rsid w:val="001B1711"/>
    <w:rsid w:val="001B1793"/>
    <w:rsid w:val="001B17A8"/>
    <w:rsid w:val="001B1F11"/>
    <w:rsid w:val="001B31E0"/>
    <w:rsid w:val="001B55C8"/>
    <w:rsid w:val="001B58B8"/>
    <w:rsid w:val="001B63C6"/>
    <w:rsid w:val="001B720D"/>
    <w:rsid w:val="001C05BD"/>
    <w:rsid w:val="001C1B49"/>
    <w:rsid w:val="001C3DC9"/>
    <w:rsid w:val="001C4728"/>
    <w:rsid w:val="001C48D4"/>
    <w:rsid w:val="001C5499"/>
    <w:rsid w:val="001C6673"/>
    <w:rsid w:val="001C679B"/>
    <w:rsid w:val="001C70C6"/>
    <w:rsid w:val="001C7C93"/>
    <w:rsid w:val="001D03CA"/>
    <w:rsid w:val="001D04FF"/>
    <w:rsid w:val="001D36CD"/>
    <w:rsid w:val="001D3E1B"/>
    <w:rsid w:val="001D47B5"/>
    <w:rsid w:val="001D4F49"/>
    <w:rsid w:val="001D5650"/>
    <w:rsid w:val="001D7982"/>
    <w:rsid w:val="001D7B37"/>
    <w:rsid w:val="001E0AFD"/>
    <w:rsid w:val="001E0CC5"/>
    <w:rsid w:val="001E0CCC"/>
    <w:rsid w:val="001E1D3D"/>
    <w:rsid w:val="001E3371"/>
    <w:rsid w:val="001E47D1"/>
    <w:rsid w:val="001E4CAD"/>
    <w:rsid w:val="001E54AD"/>
    <w:rsid w:val="001E6A64"/>
    <w:rsid w:val="001E75C5"/>
    <w:rsid w:val="001F1B5F"/>
    <w:rsid w:val="001F1B6B"/>
    <w:rsid w:val="001F22A7"/>
    <w:rsid w:val="001F2A13"/>
    <w:rsid w:val="001F35E3"/>
    <w:rsid w:val="001F3C69"/>
    <w:rsid w:val="001F3F2A"/>
    <w:rsid w:val="001F5C2A"/>
    <w:rsid w:val="001F69C2"/>
    <w:rsid w:val="001F6A8D"/>
    <w:rsid w:val="0020057C"/>
    <w:rsid w:val="00202DA2"/>
    <w:rsid w:val="00203839"/>
    <w:rsid w:val="002038E4"/>
    <w:rsid w:val="0020436F"/>
    <w:rsid w:val="0020476A"/>
    <w:rsid w:val="002048D1"/>
    <w:rsid w:val="0020550A"/>
    <w:rsid w:val="002079CB"/>
    <w:rsid w:val="00210844"/>
    <w:rsid w:val="0021096E"/>
    <w:rsid w:val="002109AE"/>
    <w:rsid w:val="00210A65"/>
    <w:rsid w:val="00210DE8"/>
    <w:rsid w:val="00210F2B"/>
    <w:rsid w:val="00211D73"/>
    <w:rsid w:val="00212A3E"/>
    <w:rsid w:val="002143B1"/>
    <w:rsid w:val="00214BF2"/>
    <w:rsid w:val="00215A7F"/>
    <w:rsid w:val="00215CF9"/>
    <w:rsid w:val="00216348"/>
    <w:rsid w:val="00216522"/>
    <w:rsid w:val="00217137"/>
    <w:rsid w:val="00221832"/>
    <w:rsid w:val="00221D19"/>
    <w:rsid w:val="00221E45"/>
    <w:rsid w:val="00223F47"/>
    <w:rsid w:val="00224A4E"/>
    <w:rsid w:val="00225441"/>
    <w:rsid w:val="0022551E"/>
    <w:rsid w:val="00225ED6"/>
    <w:rsid w:val="0022666B"/>
    <w:rsid w:val="002266FB"/>
    <w:rsid w:val="002269E7"/>
    <w:rsid w:val="0022734D"/>
    <w:rsid w:val="0023351E"/>
    <w:rsid w:val="002335E4"/>
    <w:rsid w:val="0023392D"/>
    <w:rsid w:val="0023447F"/>
    <w:rsid w:val="002350B3"/>
    <w:rsid w:val="002350EF"/>
    <w:rsid w:val="00235A10"/>
    <w:rsid w:val="0023798E"/>
    <w:rsid w:val="00240D96"/>
    <w:rsid w:val="00241C74"/>
    <w:rsid w:val="002426F4"/>
    <w:rsid w:val="00242EE4"/>
    <w:rsid w:val="0024462E"/>
    <w:rsid w:val="00244689"/>
    <w:rsid w:val="002449B8"/>
    <w:rsid w:val="0024689F"/>
    <w:rsid w:val="002468EF"/>
    <w:rsid w:val="002474FA"/>
    <w:rsid w:val="00247693"/>
    <w:rsid w:val="00250466"/>
    <w:rsid w:val="00250D56"/>
    <w:rsid w:val="00252044"/>
    <w:rsid w:val="002524D9"/>
    <w:rsid w:val="002525F7"/>
    <w:rsid w:val="00253493"/>
    <w:rsid w:val="0025381B"/>
    <w:rsid w:val="00253DE9"/>
    <w:rsid w:val="00255B74"/>
    <w:rsid w:val="002563EB"/>
    <w:rsid w:val="00257AFB"/>
    <w:rsid w:val="002619F9"/>
    <w:rsid w:val="0026251F"/>
    <w:rsid w:val="0026265D"/>
    <w:rsid w:val="0026280C"/>
    <w:rsid w:val="0026293D"/>
    <w:rsid w:val="00263CDF"/>
    <w:rsid w:val="00265982"/>
    <w:rsid w:val="00265CA6"/>
    <w:rsid w:val="002661A0"/>
    <w:rsid w:val="00270154"/>
    <w:rsid w:val="00271F70"/>
    <w:rsid w:val="002724C8"/>
    <w:rsid w:val="00273C7E"/>
    <w:rsid w:val="0027408B"/>
    <w:rsid w:val="00276B56"/>
    <w:rsid w:val="00276B77"/>
    <w:rsid w:val="00280BFE"/>
    <w:rsid w:val="00280F46"/>
    <w:rsid w:val="002819FD"/>
    <w:rsid w:val="0028583A"/>
    <w:rsid w:val="00286794"/>
    <w:rsid w:val="00287368"/>
    <w:rsid w:val="00287873"/>
    <w:rsid w:val="00287E46"/>
    <w:rsid w:val="002911B2"/>
    <w:rsid w:val="002916CC"/>
    <w:rsid w:val="0029278C"/>
    <w:rsid w:val="00292E65"/>
    <w:rsid w:val="002936FE"/>
    <w:rsid w:val="0029416F"/>
    <w:rsid w:val="002947B8"/>
    <w:rsid w:val="00294B70"/>
    <w:rsid w:val="00294F92"/>
    <w:rsid w:val="002950A1"/>
    <w:rsid w:val="0029697C"/>
    <w:rsid w:val="00297426"/>
    <w:rsid w:val="002979F1"/>
    <w:rsid w:val="00297BF9"/>
    <w:rsid w:val="002A07A4"/>
    <w:rsid w:val="002A13E1"/>
    <w:rsid w:val="002A19D3"/>
    <w:rsid w:val="002A1E79"/>
    <w:rsid w:val="002A255A"/>
    <w:rsid w:val="002A319B"/>
    <w:rsid w:val="002A3248"/>
    <w:rsid w:val="002A3B3D"/>
    <w:rsid w:val="002A44BA"/>
    <w:rsid w:val="002A48AC"/>
    <w:rsid w:val="002A519F"/>
    <w:rsid w:val="002A77A7"/>
    <w:rsid w:val="002A7B99"/>
    <w:rsid w:val="002B07CD"/>
    <w:rsid w:val="002B0846"/>
    <w:rsid w:val="002B1304"/>
    <w:rsid w:val="002B1B7C"/>
    <w:rsid w:val="002B1C94"/>
    <w:rsid w:val="002B24C2"/>
    <w:rsid w:val="002B359D"/>
    <w:rsid w:val="002B54D5"/>
    <w:rsid w:val="002B7146"/>
    <w:rsid w:val="002C10C0"/>
    <w:rsid w:val="002C1EDE"/>
    <w:rsid w:val="002C33A1"/>
    <w:rsid w:val="002C3FB4"/>
    <w:rsid w:val="002C5773"/>
    <w:rsid w:val="002C5981"/>
    <w:rsid w:val="002C7307"/>
    <w:rsid w:val="002D0410"/>
    <w:rsid w:val="002D0899"/>
    <w:rsid w:val="002D1707"/>
    <w:rsid w:val="002D17E2"/>
    <w:rsid w:val="002D228D"/>
    <w:rsid w:val="002D262D"/>
    <w:rsid w:val="002D3F5B"/>
    <w:rsid w:val="002D4849"/>
    <w:rsid w:val="002D7925"/>
    <w:rsid w:val="002D7EBE"/>
    <w:rsid w:val="002E0488"/>
    <w:rsid w:val="002E064C"/>
    <w:rsid w:val="002E0E52"/>
    <w:rsid w:val="002E0EC8"/>
    <w:rsid w:val="002E17D7"/>
    <w:rsid w:val="002E278F"/>
    <w:rsid w:val="002E27A8"/>
    <w:rsid w:val="002E36BC"/>
    <w:rsid w:val="002E3B4D"/>
    <w:rsid w:val="002E4934"/>
    <w:rsid w:val="002F0522"/>
    <w:rsid w:val="002F0734"/>
    <w:rsid w:val="002F0E6D"/>
    <w:rsid w:val="002F13CC"/>
    <w:rsid w:val="002F2B2F"/>
    <w:rsid w:val="002F3B33"/>
    <w:rsid w:val="002F6D24"/>
    <w:rsid w:val="0030026A"/>
    <w:rsid w:val="00300472"/>
    <w:rsid w:val="003008CD"/>
    <w:rsid w:val="00300FF1"/>
    <w:rsid w:val="0030192A"/>
    <w:rsid w:val="00301975"/>
    <w:rsid w:val="003035A4"/>
    <w:rsid w:val="00303E2F"/>
    <w:rsid w:val="00304994"/>
    <w:rsid w:val="003049E5"/>
    <w:rsid w:val="00304AC7"/>
    <w:rsid w:val="00304B15"/>
    <w:rsid w:val="00304F09"/>
    <w:rsid w:val="0030542C"/>
    <w:rsid w:val="003054A7"/>
    <w:rsid w:val="00305EE5"/>
    <w:rsid w:val="003101BC"/>
    <w:rsid w:val="00310418"/>
    <w:rsid w:val="003114D6"/>
    <w:rsid w:val="00312B62"/>
    <w:rsid w:val="00312FFC"/>
    <w:rsid w:val="00313C1F"/>
    <w:rsid w:val="003150BF"/>
    <w:rsid w:val="003150CE"/>
    <w:rsid w:val="003157C9"/>
    <w:rsid w:val="00315E92"/>
    <w:rsid w:val="00320B86"/>
    <w:rsid w:val="00322C28"/>
    <w:rsid w:val="0032398F"/>
    <w:rsid w:val="00323B9E"/>
    <w:rsid w:val="00323DC3"/>
    <w:rsid w:val="00325D1F"/>
    <w:rsid w:val="00326125"/>
    <w:rsid w:val="0032613C"/>
    <w:rsid w:val="00330804"/>
    <w:rsid w:val="003313A5"/>
    <w:rsid w:val="00334A6B"/>
    <w:rsid w:val="00334E74"/>
    <w:rsid w:val="00335E85"/>
    <w:rsid w:val="00335F2D"/>
    <w:rsid w:val="003366B2"/>
    <w:rsid w:val="0033693C"/>
    <w:rsid w:val="00336ACE"/>
    <w:rsid w:val="00340066"/>
    <w:rsid w:val="003407E2"/>
    <w:rsid w:val="0034122D"/>
    <w:rsid w:val="0034288B"/>
    <w:rsid w:val="00342A8F"/>
    <w:rsid w:val="00342E33"/>
    <w:rsid w:val="0034332B"/>
    <w:rsid w:val="00345CD7"/>
    <w:rsid w:val="0034681C"/>
    <w:rsid w:val="003501C9"/>
    <w:rsid w:val="003508A4"/>
    <w:rsid w:val="00351402"/>
    <w:rsid w:val="00351942"/>
    <w:rsid w:val="0035234E"/>
    <w:rsid w:val="003524F1"/>
    <w:rsid w:val="00353474"/>
    <w:rsid w:val="0035350E"/>
    <w:rsid w:val="00353BCD"/>
    <w:rsid w:val="003546BD"/>
    <w:rsid w:val="00355470"/>
    <w:rsid w:val="00357185"/>
    <w:rsid w:val="003577C9"/>
    <w:rsid w:val="00360043"/>
    <w:rsid w:val="003600A8"/>
    <w:rsid w:val="00360454"/>
    <w:rsid w:val="0036284D"/>
    <w:rsid w:val="003632F1"/>
    <w:rsid w:val="00363901"/>
    <w:rsid w:val="00363D0F"/>
    <w:rsid w:val="00366524"/>
    <w:rsid w:val="00366592"/>
    <w:rsid w:val="003673BA"/>
    <w:rsid w:val="0037013C"/>
    <w:rsid w:val="00370B5A"/>
    <w:rsid w:val="003720B0"/>
    <w:rsid w:val="003729FA"/>
    <w:rsid w:val="00373E58"/>
    <w:rsid w:val="00376073"/>
    <w:rsid w:val="00377452"/>
    <w:rsid w:val="00381223"/>
    <w:rsid w:val="00381849"/>
    <w:rsid w:val="00381B3F"/>
    <w:rsid w:val="003823A0"/>
    <w:rsid w:val="00382410"/>
    <w:rsid w:val="0038459E"/>
    <w:rsid w:val="0038468E"/>
    <w:rsid w:val="00384D74"/>
    <w:rsid w:val="00384F36"/>
    <w:rsid w:val="0038506E"/>
    <w:rsid w:val="00385271"/>
    <w:rsid w:val="00385520"/>
    <w:rsid w:val="00385853"/>
    <w:rsid w:val="00386B08"/>
    <w:rsid w:val="00386DC5"/>
    <w:rsid w:val="003900A2"/>
    <w:rsid w:val="00391A5D"/>
    <w:rsid w:val="0039226E"/>
    <w:rsid w:val="00392CC8"/>
    <w:rsid w:val="00394A39"/>
    <w:rsid w:val="00394F18"/>
    <w:rsid w:val="00396319"/>
    <w:rsid w:val="00397708"/>
    <w:rsid w:val="003A0022"/>
    <w:rsid w:val="003A1715"/>
    <w:rsid w:val="003A2017"/>
    <w:rsid w:val="003A2D68"/>
    <w:rsid w:val="003A48CC"/>
    <w:rsid w:val="003A4CAB"/>
    <w:rsid w:val="003A5DCD"/>
    <w:rsid w:val="003A5F7F"/>
    <w:rsid w:val="003A65C1"/>
    <w:rsid w:val="003A72EF"/>
    <w:rsid w:val="003A7E21"/>
    <w:rsid w:val="003B3684"/>
    <w:rsid w:val="003B4EA4"/>
    <w:rsid w:val="003B4EED"/>
    <w:rsid w:val="003B4EF4"/>
    <w:rsid w:val="003B5231"/>
    <w:rsid w:val="003B55ED"/>
    <w:rsid w:val="003B6B2C"/>
    <w:rsid w:val="003B708F"/>
    <w:rsid w:val="003B7E9A"/>
    <w:rsid w:val="003C1B52"/>
    <w:rsid w:val="003C1C7B"/>
    <w:rsid w:val="003C2242"/>
    <w:rsid w:val="003C266A"/>
    <w:rsid w:val="003C39CF"/>
    <w:rsid w:val="003C49CC"/>
    <w:rsid w:val="003C602A"/>
    <w:rsid w:val="003C7BA1"/>
    <w:rsid w:val="003D1759"/>
    <w:rsid w:val="003D1896"/>
    <w:rsid w:val="003D1C93"/>
    <w:rsid w:val="003D311B"/>
    <w:rsid w:val="003D3790"/>
    <w:rsid w:val="003D3B14"/>
    <w:rsid w:val="003D4565"/>
    <w:rsid w:val="003D490C"/>
    <w:rsid w:val="003D5297"/>
    <w:rsid w:val="003D62F7"/>
    <w:rsid w:val="003D6C95"/>
    <w:rsid w:val="003D6D1D"/>
    <w:rsid w:val="003D714C"/>
    <w:rsid w:val="003E1035"/>
    <w:rsid w:val="003E1090"/>
    <w:rsid w:val="003E17F2"/>
    <w:rsid w:val="003E19F7"/>
    <w:rsid w:val="003E1EB2"/>
    <w:rsid w:val="003E29CF"/>
    <w:rsid w:val="003E4800"/>
    <w:rsid w:val="003E492C"/>
    <w:rsid w:val="003E623A"/>
    <w:rsid w:val="003E710D"/>
    <w:rsid w:val="003E7A9C"/>
    <w:rsid w:val="003F05C1"/>
    <w:rsid w:val="003F14E9"/>
    <w:rsid w:val="003F1682"/>
    <w:rsid w:val="003F318A"/>
    <w:rsid w:val="003F328F"/>
    <w:rsid w:val="003F4146"/>
    <w:rsid w:val="003F442E"/>
    <w:rsid w:val="003F4EEB"/>
    <w:rsid w:val="003F5125"/>
    <w:rsid w:val="003F531A"/>
    <w:rsid w:val="003F6E7B"/>
    <w:rsid w:val="003F7C9E"/>
    <w:rsid w:val="004025E8"/>
    <w:rsid w:val="00402768"/>
    <w:rsid w:val="0040290C"/>
    <w:rsid w:val="00403CF0"/>
    <w:rsid w:val="004049BB"/>
    <w:rsid w:val="00404C36"/>
    <w:rsid w:val="00406186"/>
    <w:rsid w:val="004069C9"/>
    <w:rsid w:val="00406F38"/>
    <w:rsid w:val="004107CA"/>
    <w:rsid w:val="004111BC"/>
    <w:rsid w:val="004114CB"/>
    <w:rsid w:val="004125F4"/>
    <w:rsid w:val="004126D4"/>
    <w:rsid w:val="00414703"/>
    <w:rsid w:val="004147CD"/>
    <w:rsid w:val="00415D2B"/>
    <w:rsid w:val="00416C0A"/>
    <w:rsid w:val="004211C0"/>
    <w:rsid w:val="00421941"/>
    <w:rsid w:val="004219AB"/>
    <w:rsid w:val="00421D92"/>
    <w:rsid w:val="00423FDF"/>
    <w:rsid w:val="004248C7"/>
    <w:rsid w:val="00424C2D"/>
    <w:rsid w:val="00424DE2"/>
    <w:rsid w:val="00426A46"/>
    <w:rsid w:val="0042769A"/>
    <w:rsid w:val="004309B4"/>
    <w:rsid w:val="00430EC0"/>
    <w:rsid w:val="00431E4A"/>
    <w:rsid w:val="00432528"/>
    <w:rsid w:val="00432836"/>
    <w:rsid w:val="0043429B"/>
    <w:rsid w:val="004345C5"/>
    <w:rsid w:val="004373D1"/>
    <w:rsid w:val="004373E1"/>
    <w:rsid w:val="0043778D"/>
    <w:rsid w:val="00441447"/>
    <w:rsid w:val="004415B5"/>
    <w:rsid w:val="0044217E"/>
    <w:rsid w:val="004446BA"/>
    <w:rsid w:val="004450B4"/>
    <w:rsid w:val="004454C2"/>
    <w:rsid w:val="00445F68"/>
    <w:rsid w:val="004466BC"/>
    <w:rsid w:val="004470EB"/>
    <w:rsid w:val="00447347"/>
    <w:rsid w:val="00447F33"/>
    <w:rsid w:val="00450A27"/>
    <w:rsid w:val="004511FC"/>
    <w:rsid w:val="004515E8"/>
    <w:rsid w:val="00451EC2"/>
    <w:rsid w:val="00452BC5"/>
    <w:rsid w:val="00452F59"/>
    <w:rsid w:val="00453810"/>
    <w:rsid w:val="0045495D"/>
    <w:rsid w:val="00462E7B"/>
    <w:rsid w:val="00463357"/>
    <w:rsid w:val="00463576"/>
    <w:rsid w:val="0046357E"/>
    <w:rsid w:val="00463A04"/>
    <w:rsid w:val="00465255"/>
    <w:rsid w:val="00466D1A"/>
    <w:rsid w:val="0046719D"/>
    <w:rsid w:val="0047121C"/>
    <w:rsid w:val="00471703"/>
    <w:rsid w:val="0047171D"/>
    <w:rsid w:val="00471BD4"/>
    <w:rsid w:val="00472BF2"/>
    <w:rsid w:val="00473718"/>
    <w:rsid w:val="00473719"/>
    <w:rsid w:val="00473869"/>
    <w:rsid w:val="0047410E"/>
    <w:rsid w:val="00475BEE"/>
    <w:rsid w:val="004766AA"/>
    <w:rsid w:val="004767D5"/>
    <w:rsid w:val="00476BF3"/>
    <w:rsid w:val="004778B6"/>
    <w:rsid w:val="00477EB5"/>
    <w:rsid w:val="0048054A"/>
    <w:rsid w:val="004818E8"/>
    <w:rsid w:val="00482C66"/>
    <w:rsid w:val="00482F67"/>
    <w:rsid w:val="00483006"/>
    <w:rsid w:val="00483A39"/>
    <w:rsid w:val="00484915"/>
    <w:rsid w:val="00485961"/>
    <w:rsid w:val="00485BF3"/>
    <w:rsid w:val="00487387"/>
    <w:rsid w:val="00487A11"/>
    <w:rsid w:val="00490093"/>
    <w:rsid w:val="00490E50"/>
    <w:rsid w:val="004913EA"/>
    <w:rsid w:val="004915DA"/>
    <w:rsid w:val="004919FD"/>
    <w:rsid w:val="00494861"/>
    <w:rsid w:val="00495646"/>
    <w:rsid w:val="00495A52"/>
    <w:rsid w:val="004961F7"/>
    <w:rsid w:val="0049641F"/>
    <w:rsid w:val="00496B7A"/>
    <w:rsid w:val="004972B0"/>
    <w:rsid w:val="004974AD"/>
    <w:rsid w:val="00497500"/>
    <w:rsid w:val="004A06FC"/>
    <w:rsid w:val="004A0FC7"/>
    <w:rsid w:val="004A132C"/>
    <w:rsid w:val="004A1434"/>
    <w:rsid w:val="004A4842"/>
    <w:rsid w:val="004A6FC2"/>
    <w:rsid w:val="004A72AE"/>
    <w:rsid w:val="004A7C40"/>
    <w:rsid w:val="004B0E97"/>
    <w:rsid w:val="004B26D9"/>
    <w:rsid w:val="004B2C5E"/>
    <w:rsid w:val="004B4AB7"/>
    <w:rsid w:val="004B6CA5"/>
    <w:rsid w:val="004B707D"/>
    <w:rsid w:val="004B774B"/>
    <w:rsid w:val="004C0DF5"/>
    <w:rsid w:val="004C2E25"/>
    <w:rsid w:val="004C352D"/>
    <w:rsid w:val="004C3709"/>
    <w:rsid w:val="004C4629"/>
    <w:rsid w:val="004C4B71"/>
    <w:rsid w:val="004C7A47"/>
    <w:rsid w:val="004C7E9A"/>
    <w:rsid w:val="004D087E"/>
    <w:rsid w:val="004D16FB"/>
    <w:rsid w:val="004D19DB"/>
    <w:rsid w:val="004D1E88"/>
    <w:rsid w:val="004D3CD7"/>
    <w:rsid w:val="004D3DED"/>
    <w:rsid w:val="004D538B"/>
    <w:rsid w:val="004D58DE"/>
    <w:rsid w:val="004D5F98"/>
    <w:rsid w:val="004D63E2"/>
    <w:rsid w:val="004D715F"/>
    <w:rsid w:val="004D75BB"/>
    <w:rsid w:val="004D7ADD"/>
    <w:rsid w:val="004E0481"/>
    <w:rsid w:val="004E1807"/>
    <w:rsid w:val="004E18E6"/>
    <w:rsid w:val="004E3F30"/>
    <w:rsid w:val="004E46F8"/>
    <w:rsid w:val="004E50C8"/>
    <w:rsid w:val="004E602B"/>
    <w:rsid w:val="004E653E"/>
    <w:rsid w:val="004E65F5"/>
    <w:rsid w:val="004E68AE"/>
    <w:rsid w:val="004E7A8C"/>
    <w:rsid w:val="004F0733"/>
    <w:rsid w:val="004F0910"/>
    <w:rsid w:val="004F165D"/>
    <w:rsid w:val="004F2BA8"/>
    <w:rsid w:val="004F2D77"/>
    <w:rsid w:val="004F348C"/>
    <w:rsid w:val="004F375B"/>
    <w:rsid w:val="004F3C00"/>
    <w:rsid w:val="004F3E28"/>
    <w:rsid w:val="004F43F4"/>
    <w:rsid w:val="004F621F"/>
    <w:rsid w:val="004F7C8D"/>
    <w:rsid w:val="005002DD"/>
    <w:rsid w:val="00500369"/>
    <w:rsid w:val="00500AF6"/>
    <w:rsid w:val="00501183"/>
    <w:rsid w:val="00502EAE"/>
    <w:rsid w:val="00503A1B"/>
    <w:rsid w:val="00503D4E"/>
    <w:rsid w:val="0050500F"/>
    <w:rsid w:val="0050510D"/>
    <w:rsid w:val="00505279"/>
    <w:rsid w:val="005063E1"/>
    <w:rsid w:val="00506B35"/>
    <w:rsid w:val="00506BB4"/>
    <w:rsid w:val="00507603"/>
    <w:rsid w:val="00507C42"/>
    <w:rsid w:val="00507CC5"/>
    <w:rsid w:val="00510C39"/>
    <w:rsid w:val="00511F5D"/>
    <w:rsid w:val="0051239B"/>
    <w:rsid w:val="00512893"/>
    <w:rsid w:val="00513CD8"/>
    <w:rsid w:val="005140AA"/>
    <w:rsid w:val="005155E7"/>
    <w:rsid w:val="00516650"/>
    <w:rsid w:val="00516BBB"/>
    <w:rsid w:val="00521284"/>
    <w:rsid w:val="00521EB4"/>
    <w:rsid w:val="0052290A"/>
    <w:rsid w:val="00523E83"/>
    <w:rsid w:val="0052447B"/>
    <w:rsid w:val="005248BB"/>
    <w:rsid w:val="005251A8"/>
    <w:rsid w:val="005304A9"/>
    <w:rsid w:val="005308A5"/>
    <w:rsid w:val="005314E9"/>
    <w:rsid w:val="00531528"/>
    <w:rsid w:val="00531723"/>
    <w:rsid w:val="0053275E"/>
    <w:rsid w:val="0053324F"/>
    <w:rsid w:val="00533632"/>
    <w:rsid w:val="005348BF"/>
    <w:rsid w:val="005374AB"/>
    <w:rsid w:val="00537644"/>
    <w:rsid w:val="005416AE"/>
    <w:rsid w:val="00541B49"/>
    <w:rsid w:val="00541C6F"/>
    <w:rsid w:val="00541E10"/>
    <w:rsid w:val="00541EF9"/>
    <w:rsid w:val="00542D64"/>
    <w:rsid w:val="005431CF"/>
    <w:rsid w:val="00543D0A"/>
    <w:rsid w:val="00543DE5"/>
    <w:rsid w:val="00544EFB"/>
    <w:rsid w:val="005454D2"/>
    <w:rsid w:val="005454F3"/>
    <w:rsid w:val="005455E5"/>
    <w:rsid w:val="00546455"/>
    <w:rsid w:val="00546753"/>
    <w:rsid w:val="0054681B"/>
    <w:rsid w:val="0054779A"/>
    <w:rsid w:val="00547BA1"/>
    <w:rsid w:val="00550EFC"/>
    <w:rsid w:val="00550FCC"/>
    <w:rsid w:val="00551ED0"/>
    <w:rsid w:val="00553D67"/>
    <w:rsid w:val="00554AEA"/>
    <w:rsid w:val="00555330"/>
    <w:rsid w:val="00556101"/>
    <w:rsid w:val="00556ABB"/>
    <w:rsid w:val="00557CB1"/>
    <w:rsid w:val="005606FB"/>
    <w:rsid w:val="0056072C"/>
    <w:rsid w:val="0056091E"/>
    <w:rsid w:val="00560C62"/>
    <w:rsid w:val="00561371"/>
    <w:rsid w:val="0056172D"/>
    <w:rsid w:val="00561B17"/>
    <w:rsid w:val="00561C4F"/>
    <w:rsid w:val="00562368"/>
    <w:rsid w:val="005635F3"/>
    <w:rsid w:val="0056411C"/>
    <w:rsid w:val="0056445C"/>
    <w:rsid w:val="00565B4C"/>
    <w:rsid w:val="00565C45"/>
    <w:rsid w:val="005663FF"/>
    <w:rsid w:val="00566534"/>
    <w:rsid w:val="005677E5"/>
    <w:rsid w:val="005700CB"/>
    <w:rsid w:val="0057050F"/>
    <w:rsid w:val="00570D24"/>
    <w:rsid w:val="00570FD1"/>
    <w:rsid w:val="00571D2D"/>
    <w:rsid w:val="0057326C"/>
    <w:rsid w:val="005748C5"/>
    <w:rsid w:val="00574C1A"/>
    <w:rsid w:val="00577A90"/>
    <w:rsid w:val="00577B93"/>
    <w:rsid w:val="00577E4E"/>
    <w:rsid w:val="00577EB6"/>
    <w:rsid w:val="005801BF"/>
    <w:rsid w:val="00580EEB"/>
    <w:rsid w:val="00580FCF"/>
    <w:rsid w:val="005812C6"/>
    <w:rsid w:val="00582987"/>
    <w:rsid w:val="00583673"/>
    <w:rsid w:val="005836A0"/>
    <w:rsid w:val="00583D08"/>
    <w:rsid w:val="0058585F"/>
    <w:rsid w:val="00587429"/>
    <w:rsid w:val="00587BE7"/>
    <w:rsid w:val="00587CBC"/>
    <w:rsid w:val="005904ED"/>
    <w:rsid w:val="0059145C"/>
    <w:rsid w:val="005933F3"/>
    <w:rsid w:val="00595DF1"/>
    <w:rsid w:val="00596524"/>
    <w:rsid w:val="00597A72"/>
    <w:rsid w:val="00597D35"/>
    <w:rsid w:val="005A05DB"/>
    <w:rsid w:val="005A1B99"/>
    <w:rsid w:val="005A3714"/>
    <w:rsid w:val="005A4A36"/>
    <w:rsid w:val="005A6D6D"/>
    <w:rsid w:val="005A7264"/>
    <w:rsid w:val="005B025F"/>
    <w:rsid w:val="005B0F05"/>
    <w:rsid w:val="005B1601"/>
    <w:rsid w:val="005B1CB1"/>
    <w:rsid w:val="005B21B4"/>
    <w:rsid w:val="005B314E"/>
    <w:rsid w:val="005B34F2"/>
    <w:rsid w:val="005B3FB2"/>
    <w:rsid w:val="005B4142"/>
    <w:rsid w:val="005B4CFC"/>
    <w:rsid w:val="005B5255"/>
    <w:rsid w:val="005B58B0"/>
    <w:rsid w:val="005B6209"/>
    <w:rsid w:val="005B6E0D"/>
    <w:rsid w:val="005C0036"/>
    <w:rsid w:val="005C0298"/>
    <w:rsid w:val="005C0769"/>
    <w:rsid w:val="005C2FDE"/>
    <w:rsid w:val="005C360A"/>
    <w:rsid w:val="005C5AD6"/>
    <w:rsid w:val="005C6BF7"/>
    <w:rsid w:val="005C7633"/>
    <w:rsid w:val="005C7EE9"/>
    <w:rsid w:val="005D1963"/>
    <w:rsid w:val="005D221C"/>
    <w:rsid w:val="005D2A43"/>
    <w:rsid w:val="005D4AE8"/>
    <w:rsid w:val="005D6EA0"/>
    <w:rsid w:val="005D7139"/>
    <w:rsid w:val="005D730C"/>
    <w:rsid w:val="005D7DFE"/>
    <w:rsid w:val="005E3188"/>
    <w:rsid w:val="005E52C4"/>
    <w:rsid w:val="005E76E2"/>
    <w:rsid w:val="005E7B36"/>
    <w:rsid w:val="005F02E6"/>
    <w:rsid w:val="005F06C9"/>
    <w:rsid w:val="005F1002"/>
    <w:rsid w:val="005F10F1"/>
    <w:rsid w:val="005F1911"/>
    <w:rsid w:val="005F1AE2"/>
    <w:rsid w:val="005F2CBA"/>
    <w:rsid w:val="005F2ECE"/>
    <w:rsid w:val="005F3216"/>
    <w:rsid w:val="005F497F"/>
    <w:rsid w:val="005F4DFE"/>
    <w:rsid w:val="005F4EF9"/>
    <w:rsid w:val="005F6482"/>
    <w:rsid w:val="005F6D8D"/>
    <w:rsid w:val="005F7678"/>
    <w:rsid w:val="005F7EB5"/>
    <w:rsid w:val="006015AE"/>
    <w:rsid w:val="006017B1"/>
    <w:rsid w:val="0060526F"/>
    <w:rsid w:val="0060685F"/>
    <w:rsid w:val="00607066"/>
    <w:rsid w:val="00607197"/>
    <w:rsid w:val="00607A16"/>
    <w:rsid w:val="006109F8"/>
    <w:rsid w:val="006113C5"/>
    <w:rsid w:val="006147EA"/>
    <w:rsid w:val="00614FE1"/>
    <w:rsid w:val="006150AA"/>
    <w:rsid w:val="006169DA"/>
    <w:rsid w:val="00620610"/>
    <w:rsid w:val="006216FF"/>
    <w:rsid w:val="00621C9D"/>
    <w:rsid w:val="006224C9"/>
    <w:rsid w:val="00623075"/>
    <w:rsid w:val="00623910"/>
    <w:rsid w:val="00624A27"/>
    <w:rsid w:val="00624AF1"/>
    <w:rsid w:val="00624D74"/>
    <w:rsid w:val="0062716D"/>
    <w:rsid w:val="00627566"/>
    <w:rsid w:val="0062784F"/>
    <w:rsid w:val="00627AF2"/>
    <w:rsid w:val="0063087D"/>
    <w:rsid w:val="00631938"/>
    <w:rsid w:val="00632C5C"/>
    <w:rsid w:val="00632F94"/>
    <w:rsid w:val="00633D99"/>
    <w:rsid w:val="0063458B"/>
    <w:rsid w:val="006347ED"/>
    <w:rsid w:val="0063565D"/>
    <w:rsid w:val="0063628B"/>
    <w:rsid w:val="0063632F"/>
    <w:rsid w:val="00636475"/>
    <w:rsid w:val="00636FAD"/>
    <w:rsid w:val="006408D9"/>
    <w:rsid w:val="00640E38"/>
    <w:rsid w:val="00642E9B"/>
    <w:rsid w:val="006448B0"/>
    <w:rsid w:val="00646803"/>
    <w:rsid w:val="00647765"/>
    <w:rsid w:val="00647D80"/>
    <w:rsid w:val="00647F1F"/>
    <w:rsid w:val="00650C56"/>
    <w:rsid w:val="00651178"/>
    <w:rsid w:val="0065171C"/>
    <w:rsid w:val="00652858"/>
    <w:rsid w:val="006532D0"/>
    <w:rsid w:val="00653C9E"/>
    <w:rsid w:val="00653DF2"/>
    <w:rsid w:val="0065413E"/>
    <w:rsid w:val="0065518B"/>
    <w:rsid w:val="006558DC"/>
    <w:rsid w:val="00656074"/>
    <w:rsid w:val="00656B27"/>
    <w:rsid w:val="00657CAA"/>
    <w:rsid w:val="00657F8B"/>
    <w:rsid w:val="00660401"/>
    <w:rsid w:val="006606CA"/>
    <w:rsid w:val="006618F6"/>
    <w:rsid w:val="006618FC"/>
    <w:rsid w:val="00663AC5"/>
    <w:rsid w:val="00663D00"/>
    <w:rsid w:val="00663E86"/>
    <w:rsid w:val="00664F2B"/>
    <w:rsid w:val="0066614B"/>
    <w:rsid w:val="006667A9"/>
    <w:rsid w:val="00667C0C"/>
    <w:rsid w:val="00670306"/>
    <w:rsid w:val="00671136"/>
    <w:rsid w:val="006711ED"/>
    <w:rsid w:val="0067125F"/>
    <w:rsid w:val="00671B7E"/>
    <w:rsid w:val="00674AFA"/>
    <w:rsid w:val="006767BC"/>
    <w:rsid w:val="006773C4"/>
    <w:rsid w:val="00680272"/>
    <w:rsid w:val="00681D75"/>
    <w:rsid w:val="0068242E"/>
    <w:rsid w:val="00682E37"/>
    <w:rsid w:val="00683C8E"/>
    <w:rsid w:val="00684BAF"/>
    <w:rsid w:val="0068566D"/>
    <w:rsid w:val="00686F88"/>
    <w:rsid w:val="00687C1D"/>
    <w:rsid w:val="00690395"/>
    <w:rsid w:val="006906D8"/>
    <w:rsid w:val="00692559"/>
    <w:rsid w:val="00692C5A"/>
    <w:rsid w:val="00694699"/>
    <w:rsid w:val="0069526B"/>
    <w:rsid w:val="0069576B"/>
    <w:rsid w:val="00696912"/>
    <w:rsid w:val="00696A00"/>
    <w:rsid w:val="00696D2E"/>
    <w:rsid w:val="00696EBB"/>
    <w:rsid w:val="00697010"/>
    <w:rsid w:val="00697547"/>
    <w:rsid w:val="0069771D"/>
    <w:rsid w:val="006A084B"/>
    <w:rsid w:val="006A1F10"/>
    <w:rsid w:val="006A28FE"/>
    <w:rsid w:val="006A2D23"/>
    <w:rsid w:val="006A4D4E"/>
    <w:rsid w:val="006A5B56"/>
    <w:rsid w:val="006B0982"/>
    <w:rsid w:val="006B1F0C"/>
    <w:rsid w:val="006B213B"/>
    <w:rsid w:val="006B2684"/>
    <w:rsid w:val="006B28E9"/>
    <w:rsid w:val="006B5208"/>
    <w:rsid w:val="006B61B4"/>
    <w:rsid w:val="006B630A"/>
    <w:rsid w:val="006B7C24"/>
    <w:rsid w:val="006B7E53"/>
    <w:rsid w:val="006C1577"/>
    <w:rsid w:val="006C1A37"/>
    <w:rsid w:val="006C3BDB"/>
    <w:rsid w:val="006C4C3C"/>
    <w:rsid w:val="006C5ACD"/>
    <w:rsid w:val="006C6300"/>
    <w:rsid w:val="006C743E"/>
    <w:rsid w:val="006C7BFF"/>
    <w:rsid w:val="006D116B"/>
    <w:rsid w:val="006D1544"/>
    <w:rsid w:val="006D2EA4"/>
    <w:rsid w:val="006D36B7"/>
    <w:rsid w:val="006D3A49"/>
    <w:rsid w:val="006D3C5B"/>
    <w:rsid w:val="006D523B"/>
    <w:rsid w:val="006D554A"/>
    <w:rsid w:val="006D5BAF"/>
    <w:rsid w:val="006D62D9"/>
    <w:rsid w:val="006D686D"/>
    <w:rsid w:val="006D6DBA"/>
    <w:rsid w:val="006D7BD9"/>
    <w:rsid w:val="006E0367"/>
    <w:rsid w:val="006E16F1"/>
    <w:rsid w:val="006E1BC7"/>
    <w:rsid w:val="006E2CEB"/>
    <w:rsid w:val="006E359B"/>
    <w:rsid w:val="006E3B60"/>
    <w:rsid w:val="006E5C49"/>
    <w:rsid w:val="006E73F5"/>
    <w:rsid w:val="006E75BF"/>
    <w:rsid w:val="006E7EDA"/>
    <w:rsid w:val="006F09B5"/>
    <w:rsid w:val="006F0F01"/>
    <w:rsid w:val="006F1349"/>
    <w:rsid w:val="006F1CD0"/>
    <w:rsid w:val="006F201F"/>
    <w:rsid w:val="006F2C03"/>
    <w:rsid w:val="006F3742"/>
    <w:rsid w:val="006F4356"/>
    <w:rsid w:val="006F48B3"/>
    <w:rsid w:val="006F48B8"/>
    <w:rsid w:val="006F4ACE"/>
    <w:rsid w:val="006F553C"/>
    <w:rsid w:val="006F5924"/>
    <w:rsid w:val="006F6258"/>
    <w:rsid w:val="006F65E1"/>
    <w:rsid w:val="006F740C"/>
    <w:rsid w:val="006F7909"/>
    <w:rsid w:val="006F7924"/>
    <w:rsid w:val="006F7C49"/>
    <w:rsid w:val="006F7F8E"/>
    <w:rsid w:val="0070021A"/>
    <w:rsid w:val="00700B80"/>
    <w:rsid w:val="00700ED4"/>
    <w:rsid w:val="00701552"/>
    <w:rsid w:val="00701604"/>
    <w:rsid w:val="007021DE"/>
    <w:rsid w:val="00702BEE"/>
    <w:rsid w:val="00703AEC"/>
    <w:rsid w:val="00704158"/>
    <w:rsid w:val="0070429A"/>
    <w:rsid w:val="00704FDE"/>
    <w:rsid w:val="00705448"/>
    <w:rsid w:val="00705FAD"/>
    <w:rsid w:val="00706477"/>
    <w:rsid w:val="00707622"/>
    <w:rsid w:val="007077EF"/>
    <w:rsid w:val="00711C06"/>
    <w:rsid w:val="007121BB"/>
    <w:rsid w:val="007122EC"/>
    <w:rsid w:val="00712621"/>
    <w:rsid w:val="0071320F"/>
    <w:rsid w:val="00713700"/>
    <w:rsid w:val="00713C86"/>
    <w:rsid w:val="00714504"/>
    <w:rsid w:val="0071450B"/>
    <w:rsid w:val="00714A61"/>
    <w:rsid w:val="0071742A"/>
    <w:rsid w:val="00717A8B"/>
    <w:rsid w:val="00717FF6"/>
    <w:rsid w:val="00722B98"/>
    <w:rsid w:val="00730917"/>
    <w:rsid w:val="00730E8F"/>
    <w:rsid w:val="00731361"/>
    <w:rsid w:val="00731D48"/>
    <w:rsid w:val="007324DC"/>
    <w:rsid w:val="00733D9F"/>
    <w:rsid w:val="00734438"/>
    <w:rsid w:val="00734484"/>
    <w:rsid w:val="00736E32"/>
    <w:rsid w:val="00737C3D"/>
    <w:rsid w:val="00740D36"/>
    <w:rsid w:val="00742076"/>
    <w:rsid w:val="00744121"/>
    <w:rsid w:val="00744610"/>
    <w:rsid w:val="0074477F"/>
    <w:rsid w:val="00745136"/>
    <w:rsid w:val="007453DC"/>
    <w:rsid w:val="00745A15"/>
    <w:rsid w:val="00745DD2"/>
    <w:rsid w:val="00747717"/>
    <w:rsid w:val="00747873"/>
    <w:rsid w:val="0075044E"/>
    <w:rsid w:val="00751354"/>
    <w:rsid w:val="00752AC4"/>
    <w:rsid w:val="00752BB0"/>
    <w:rsid w:val="00752BD7"/>
    <w:rsid w:val="00752DB6"/>
    <w:rsid w:val="00753C85"/>
    <w:rsid w:val="00755349"/>
    <w:rsid w:val="00755B46"/>
    <w:rsid w:val="00756909"/>
    <w:rsid w:val="00757DC9"/>
    <w:rsid w:val="00760D10"/>
    <w:rsid w:val="00761A95"/>
    <w:rsid w:val="00761BF3"/>
    <w:rsid w:val="00762108"/>
    <w:rsid w:val="007623D8"/>
    <w:rsid w:val="007624FE"/>
    <w:rsid w:val="007652A0"/>
    <w:rsid w:val="00766A75"/>
    <w:rsid w:val="00766AF4"/>
    <w:rsid w:val="00770B87"/>
    <w:rsid w:val="00770E38"/>
    <w:rsid w:val="007715DD"/>
    <w:rsid w:val="00771783"/>
    <w:rsid w:val="00771DB8"/>
    <w:rsid w:val="007724A3"/>
    <w:rsid w:val="0077304C"/>
    <w:rsid w:val="007747CF"/>
    <w:rsid w:val="00774D0D"/>
    <w:rsid w:val="007751DE"/>
    <w:rsid w:val="00776746"/>
    <w:rsid w:val="00776AF1"/>
    <w:rsid w:val="0077798F"/>
    <w:rsid w:val="00777F79"/>
    <w:rsid w:val="0078133D"/>
    <w:rsid w:val="00781602"/>
    <w:rsid w:val="00781E34"/>
    <w:rsid w:val="007843AC"/>
    <w:rsid w:val="00785785"/>
    <w:rsid w:val="0078648C"/>
    <w:rsid w:val="00787D73"/>
    <w:rsid w:val="007909EB"/>
    <w:rsid w:val="00790A2D"/>
    <w:rsid w:val="00791DED"/>
    <w:rsid w:val="00792AA8"/>
    <w:rsid w:val="00793AAE"/>
    <w:rsid w:val="00794522"/>
    <w:rsid w:val="00794972"/>
    <w:rsid w:val="0079533D"/>
    <w:rsid w:val="00796364"/>
    <w:rsid w:val="007964F4"/>
    <w:rsid w:val="00796EE7"/>
    <w:rsid w:val="00797022"/>
    <w:rsid w:val="007A383E"/>
    <w:rsid w:val="007A3ABE"/>
    <w:rsid w:val="007A3D4C"/>
    <w:rsid w:val="007A4CB0"/>
    <w:rsid w:val="007A4DC9"/>
    <w:rsid w:val="007A5B52"/>
    <w:rsid w:val="007A60CE"/>
    <w:rsid w:val="007A60F8"/>
    <w:rsid w:val="007A62C3"/>
    <w:rsid w:val="007A6677"/>
    <w:rsid w:val="007A7BBE"/>
    <w:rsid w:val="007B2FA2"/>
    <w:rsid w:val="007B341B"/>
    <w:rsid w:val="007B35EA"/>
    <w:rsid w:val="007B4102"/>
    <w:rsid w:val="007B4DC8"/>
    <w:rsid w:val="007B5DC9"/>
    <w:rsid w:val="007B5F71"/>
    <w:rsid w:val="007B651A"/>
    <w:rsid w:val="007B6648"/>
    <w:rsid w:val="007B6669"/>
    <w:rsid w:val="007B70F4"/>
    <w:rsid w:val="007B784B"/>
    <w:rsid w:val="007C1EA2"/>
    <w:rsid w:val="007C2094"/>
    <w:rsid w:val="007C20AF"/>
    <w:rsid w:val="007C20B5"/>
    <w:rsid w:val="007C311B"/>
    <w:rsid w:val="007C4422"/>
    <w:rsid w:val="007C462E"/>
    <w:rsid w:val="007C506B"/>
    <w:rsid w:val="007C60DD"/>
    <w:rsid w:val="007D01EB"/>
    <w:rsid w:val="007D0986"/>
    <w:rsid w:val="007D11B6"/>
    <w:rsid w:val="007D1EBD"/>
    <w:rsid w:val="007D4EBC"/>
    <w:rsid w:val="007D59A7"/>
    <w:rsid w:val="007D698B"/>
    <w:rsid w:val="007D7731"/>
    <w:rsid w:val="007D7BB6"/>
    <w:rsid w:val="007E01E1"/>
    <w:rsid w:val="007E1D98"/>
    <w:rsid w:val="007E22BF"/>
    <w:rsid w:val="007E591C"/>
    <w:rsid w:val="007E5958"/>
    <w:rsid w:val="007E5D35"/>
    <w:rsid w:val="007F27C4"/>
    <w:rsid w:val="007F3161"/>
    <w:rsid w:val="007F3C27"/>
    <w:rsid w:val="007F52A6"/>
    <w:rsid w:val="007F552F"/>
    <w:rsid w:val="007F5789"/>
    <w:rsid w:val="007F5FE6"/>
    <w:rsid w:val="007F68DA"/>
    <w:rsid w:val="007F75ED"/>
    <w:rsid w:val="008004E7"/>
    <w:rsid w:val="00800AD6"/>
    <w:rsid w:val="0080276C"/>
    <w:rsid w:val="00802E4F"/>
    <w:rsid w:val="0080349A"/>
    <w:rsid w:val="00803E9C"/>
    <w:rsid w:val="00805B34"/>
    <w:rsid w:val="008060C8"/>
    <w:rsid w:val="0080632A"/>
    <w:rsid w:val="0080727E"/>
    <w:rsid w:val="008079C5"/>
    <w:rsid w:val="00810F5C"/>
    <w:rsid w:val="008116EB"/>
    <w:rsid w:val="00812723"/>
    <w:rsid w:val="00812B35"/>
    <w:rsid w:val="00814A6A"/>
    <w:rsid w:val="00814ED4"/>
    <w:rsid w:val="008152E3"/>
    <w:rsid w:val="0081557C"/>
    <w:rsid w:val="008159B1"/>
    <w:rsid w:val="00820282"/>
    <w:rsid w:val="00820651"/>
    <w:rsid w:val="0082117F"/>
    <w:rsid w:val="00822844"/>
    <w:rsid w:val="0082535C"/>
    <w:rsid w:val="008257E7"/>
    <w:rsid w:val="0082619C"/>
    <w:rsid w:val="008271ED"/>
    <w:rsid w:val="00827DD9"/>
    <w:rsid w:val="00831A0D"/>
    <w:rsid w:val="00831D4F"/>
    <w:rsid w:val="00833B9E"/>
    <w:rsid w:val="00833D73"/>
    <w:rsid w:val="00834D1B"/>
    <w:rsid w:val="00836AD2"/>
    <w:rsid w:val="008373DA"/>
    <w:rsid w:val="008375CC"/>
    <w:rsid w:val="00837BE0"/>
    <w:rsid w:val="0084029F"/>
    <w:rsid w:val="008406A3"/>
    <w:rsid w:val="008415CC"/>
    <w:rsid w:val="00842862"/>
    <w:rsid w:val="00844964"/>
    <w:rsid w:val="00844A64"/>
    <w:rsid w:val="00845199"/>
    <w:rsid w:val="008458CC"/>
    <w:rsid w:val="00846A8F"/>
    <w:rsid w:val="00847DFE"/>
    <w:rsid w:val="00847EF9"/>
    <w:rsid w:val="0085077A"/>
    <w:rsid w:val="00850844"/>
    <w:rsid w:val="00850B2A"/>
    <w:rsid w:val="00850E34"/>
    <w:rsid w:val="008510F6"/>
    <w:rsid w:val="00851111"/>
    <w:rsid w:val="008525CF"/>
    <w:rsid w:val="00853BB8"/>
    <w:rsid w:val="0085404C"/>
    <w:rsid w:val="008542CC"/>
    <w:rsid w:val="00855198"/>
    <w:rsid w:val="00856156"/>
    <w:rsid w:val="0085650D"/>
    <w:rsid w:val="0085721F"/>
    <w:rsid w:val="008604DA"/>
    <w:rsid w:val="00860973"/>
    <w:rsid w:val="00860B77"/>
    <w:rsid w:val="008614D0"/>
    <w:rsid w:val="0086183E"/>
    <w:rsid w:val="008648B5"/>
    <w:rsid w:val="00864BC1"/>
    <w:rsid w:val="00865A78"/>
    <w:rsid w:val="00865FEE"/>
    <w:rsid w:val="0086641A"/>
    <w:rsid w:val="00867F68"/>
    <w:rsid w:val="00870650"/>
    <w:rsid w:val="00870CF4"/>
    <w:rsid w:val="00872950"/>
    <w:rsid w:val="008737D3"/>
    <w:rsid w:val="00873E0E"/>
    <w:rsid w:val="00874CDA"/>
    <w:rsid w:val="00877033"/>
    <w:rsid w:val="00877CBF"/>
    <w:rsid w:val="008813A7"/>
    <w:rsid w:val="00881D01"/>
    <w:rsid w:val="00882D53"/>
    <w:rsid w:val="00883437"/>
    <w:rsid w:val="008834C5"/>
    <w:rsid w:val="00883C24"/>
    <w:rsid w:val="00884850"/>
    <w:rsid w:val="008848EA"/>
    <w:rsid w:val="00884FD0"/>
    <w:rsid w:val="008853F8"/>
    <w:rsid w:val="008874E9"/>
    <w:rsid w:val="008906C1"/>
    <w:rsid w:val="008907BB"/>
    <w:rsid w:val="00890FCA"/>
    <w:rsid w:val="00891C02"/>
    <w:rsid w:val="00892D34"/>
    <w:rsid w:val="00893554"/>
    <w:rsid w:val="00894183"/>
    <w:rsid w:val="00894B1B"/>
    <w:rsid w:val="00894FF6"/>
    <w:rsid w:val="008953BD"/>
    <w:rsid w:val="008953DA"/>
    <w:rsid w:val="008955AA"/>
    <w:rsid w:val="008958CC"/>
    <w:rsid w:val="008965B5"/>
    <w:rsid w:val="008A222B"/>
    <w:rsid w:val="008A34DB"/>
    <w:rsid w:val="008A3C35"/>
    <w:rsid w:val="008A4500"/>
    <w:rsid w:val="008A4628"/>
    <w:rsid w:val="008A4E2E"/>
    <w:rsid w:val="008A5E24"/>
    <w:rsid w:val="008A6E61"/>
    <w:rsid w:val="008A72E3"/>
    <w:rsid w:val="008B0D15"/>
    <w:rsid w:val="008B47CB"/>
    <w:rsid w:val="008B6A6C"/>
    <w:rsid w:val="008B7080"/>
    <w:rsid w:val="008B78A6"/>
    <w:rsid w:val="008C011B"/>
    <w:rsid w:val="008C15BB"/>
    <w:rsid w:val="008C28E5"/>
    <w:rsid w:val="008C4E5F"/>
    <w:rsid w:val="008C6156"/>
    <w:rsid w:val="008C6657"/>
    <w:rsid w:val="008C6886"/>
    <w:rsid w:val="008C6C82"/>
    <w:rsid w:val="008C6D55"/>
    <w:rsid w:val="008C6E4B"/>
    <w:rsid w:val="008D0612"/>
    <w:rsid w:val="008D15F7"/>
    <w:rsid w:val="008D1E74"/>
    <w:rsid w:val="008D1FDE"/>
    <w:rsid w:val="008D23C7"/>
    <w:rsid w:val="008D351D"/>
    <w:rsid w:val="008D3955"/>
    <w:rsid w:val="008D400F"/>
    <w:rsid w:val="008D4778"/>
    <w:rsid w:val="008D4CA9"/>
    <w:rsid w:val="008E0F9B"/>
    <w:rsid w:val="008E1C45"/>
    <w:rsid w:val="008E242E"/>
    <w:rsid w:val="008E5183"/>
    <w:rsid w:val="008E647B"/>
    <w:rsid w:val="008E6638"/>
    <w:rsid w:val="008E7B61"/>
    <w:rsid w:val="008F2202"/>
    <w:rsid w:val="008F3742"/>
    <w:rsid w:val="008F3AE2"/>
    <w:rsid w:val="008F6221"/>
    <w:rsid w:val="008F66ED"/>
    <w:rsid w:val="008F722B"/>
    <w:rsid w:val="008F777B"/>
    <w:rsid w:val="008F7CCE"/>
    <w:rsid w:val="00901FB3"/>
    <w:rsid w:val="00902BB2"/>
    <w:rsid w:val="00902E5B"/>
    <w:rsid w:val="009042C9"/>
    <w:rsid w:val="00905DD9"/>
    <w:rsid w:val="009064E2"/>
    <w:rsid w:val="009077C7"/>
    <w:rsid w:val="0091220E"/>
    <w:rsid w:val="00912713"/>
    <w:rsid w:val="00912A3B"/>
    <w:rsid w:val="0091465A"/>
    <w:rsid w:val="00914E43"/>
    <w:rsid w:val="00915AF8"/>
    <w:rsid w:val="00920216"/>
    <w:rsid w:val="00920463"/>
    <w:rsid w:val="00921AFD"/>
    <w:rsid w:val="009231E5"/>
    <w:rsid w:val="009238C7"/>
    <w:rsid w:val="00923D68"/>
    <w:rsid w:val="009245CA"/>
    <w:rsid w:val="00924A23"/>
    <w:rsid w:val="00924FD2"/>
    <w:rsid w:val="00925A83"/>
    <w:rsid w:val="00926CCC"/>
    <w:rsid w:val="00926E4D"/>
    <w:rsid w:val="009279E0"/>
    <w:rsid w:val="00930358"/>
    <w:rsid w:val="0093054B"/>
    <w:rsid w:val="0093352D"/>
    <w:rsid w:val="00933BA5"/>
    <w:rsid w:val="00933C58"/>
    <w:rsid w:val="00936C00"/>
    <w:rsid w:val="00936EC4"/>
    <w:rsid w:val="009376FF"/>
    <w:rsid w:val="00940185"/>
    <w:rsid w:val="00940BCD"/>
    <w:rsid w:val="00941279"/>
    <w:rsid w:val="00941C13"/>
    <w:rsid w:val="0094356F"/>
    <w:rsid w:val="00945274"/>
    <w:rsid w:val="009462D5"/>
    <w:rsid w:val="00946A1E"/>
    <w:rsid w:val="00946FED"/>
    <w:rsid w:val="00950BAF"/>
    <w:rsid w:val="00953EB6"/>
    <w:rsid w:val="0095456C"/>
    <w:rsid w:val="009546EB"/>
    <w:rsid w:val="009547B3"/>
    <w:rsid w:val="009550CF"/>
    <w:rsid w:val="00956514"/>
    <w:rsid w:val="00956905"/>
    <w:rsid w:val="00956C6C"/>
    <w:rsid w:val="009600D3"/>
    <w:rsid w:val="009610FA"/>
    <w:rsid w:val="009614C6"/>
    <w:rsid w:val="009617EC"/>
    <w:rsid w:val="009623FA"/>
    <w:rsid w:val="00962BFB"/>
    <w:rsid w:val="00962E1C"/>
    <w:rsid w:val="00963240"/>
    <w:rsid w:val="0096349D"/>
    <w:rsid w:val="00964954"/>
    <w:rsid w:val="009651D8"/>
    <w:rsid w:val="00966A48"/>
    <w:rsid w:val="00966DEC"/>
    <w:rsid w:val="009700B9"/>
    <w:rsid w:val="00970EC1"/>
    <w:rsid w:val="00971956"/>
    <w:rsid w:val="00974445"/>
    <w:rsid w:val="009757BB"/>
    <w:rsid w:val="009763D2"/>
    <w:rsid w:val="0097673B"/>
    <w:rsid w:val="00976E21"/>
    <w:rsid w:val="00981267"/>
    <w:rsid w:val="00983543"/>
    <w:rsid w:val="009843A8"/>
    <w:rsid w:val="00984CE8"/>
    <w:rsid w:val="00986A78"/>
    <w:rsid w:val="00986FF6"/>
    <w:rsid w:val="00987949"/>
    <w:rsid w:val="00987C76"/>
    <w:rsid w:val="00987C7D"/>
    <w:rsid w:val="009902B2"/>
    <w:rsid w:val="00990380"/>
    <w:rsid w:val="0099102F"/>
    <w:rsid w:val="009921DB"/>
    <w:rsid w:val="00993C07"/>
    <w:rsid w:val="009940EF"/>
    <w:rsid w:val="00994A8D"/>
    <w:rsid w:val="00994D06"/>
    <w:rsid w:val="009950C6"/>
    <w:rsid w:val="00996954"/>
    <w:rsid w:val="00997865"/>
    <w:rsid w:val="00997CF0"/>
    <w:rsid w:val="00997D93"/>
    <w:rsid w:val="009A0169"/>
    <w:rsid w:val="009A0BBC"/>
    <w:rsid w:val="009A42C2"/>
    <w:rsid w:val="009A5AFD"/>
    <w:rsid w:val="009A6EFD"/>
    <w:rsid w:val="009A7FB8"/>
    <w:rsid w:val="009B39DC"/>
    <w:rsid w:val="009B61E7"/>
    <w:rsid w:val="009B69F1"/>
    <w:rsid w:val="009C0087"/>
    <w:rsid w:val="009C030D"/>
    <w:rsid w:val="009C18FB"/>
    <w:rsid w:val="009C6C28"/>
    <w:rsid w:val="009C6E72"/>
    <w:rsid w:val="009D0427"/>
    <w:rsid w:val="009D0DE2"/>
    <w:rsid w:val="009D10B3"/>
    <w:rsid w:val="009D1BA7"/>
    <w:rsid w:val="009D3C3F"/>
    <w:rsid w:val="009D4D67"/>
    <w:rsid w:val="009D626D"/>
    <w:rsid w:val="009D635B"/>
    <w:rsid w:val="009D6496"/>
    <w:rsid w:val="009D66DC"/>
    <w:rsid w:val="009D7231"/>
    <w:rsid w:val="009D7F6F"/>
    <w:rsid w:val="009E0393"/>
    <w:rsid w:val="009E07D3"/>
    <w:rsid w:val="009E0DB1"/>
    <w:rsid w:val="009E2A9E"/>
    <w:rsid w:val="009E5490"/>
    <w:rsid w:val="009E580A"/>
    <w:rsid w:val="009E7077"/>
    <w:rsid w:val="009E7296"/>
    <w:rsid w:val="009E72B9"/>
    <w:rsid w:val="009E7546"/>
    <w:rsid w:val="009F06F2"/>
    <w:rsid w:val="009F2CC6"/>
    <w:rsid w:val="009F30D2"/>
    <w:rsid w:val="009F456C"/>
    <w:rsid w:val="009F48DC"/>
    <w:rsid w:val="009F5384"/>
    <w:rsid w:val="009F635E"/>
    <w:rsid w:val="00A01074"/>
    <w:rsid w:val="00A01E88"/>
    <w:rsid w:val="00A02C5D"/>
    <w:rsid w:val="00A03AD0"/>
    <w:rsid w:val="00A05AFB"/>
    <w:rsid w:val="00A05C61"/>
    <w:rsid w:val="00A069C9"/>
    <w:rsid w:val="00A107DE"/>
    <w:rsid w:val="00A11276"/>
    <w:rsid w:val="00A1278F"/>
    <w:rsid w:val="00A12DF2"/>
    <w:rsid w:val="00A140D3"/>
    <w:rsid w:val="00A1446B"/>
    <w:rsid w:val="00A167F2"/>
    <w:rsid w:val="00A17712"/>
    <w:rsid w:val="00A17C4F"/>
    <w:rsid w:val="00A17EFE"/>
    <w:rsid w:val="00A20C78"/>
    <w:rsid w:val="00A2312E"/>
    <w:rsid w:val="00A24323"/>
    <w:rsid w:val="00A2512C"/>
    <w:rsid w:val="00A2515B"/>
    <w:rsid w:val="00A2544E"/>
    <w:rsid w:val="00A2588E"/>
    <w:rsid w:val="00A26204"/>
    <w:rsid w:val="00A2693B"/>
    <w:rsid w:val="00A26EDF"/>
    <w:rsid w:val="00A3001E"/>
    <w:rsid w:val="00A31E7D"/>
    <w:rsid w:val="00A329BF"/>
    <w:rsid w:val="00A334CE"/>
    <w:rsid w:val="00A34789"/>
    <w:rsid w:val="00A3503A"/>
    <w:rsid w:val="00A35CCB"/>
    <w:rsid w:val="00A3630E"/>
    <w:rsid w:val="00A37BB8"/>
    <w:rsid w:val="00A37D74"/>
    <w:rsid w:val="00A40479"/>
    <w:rsid w:val="00A41FF8"/>
    <w:rsid w:val="00A42D87"/>
    <w:rsid w:val="00A42FEE"/>
    <w:rsid w:val="00A44BD3"/>
    <w:rsid w:val="00A44DE0"/>
    <w:rsid w:val="00A4521D"/>
    <w:rsid w:val="00A452F8"/>
    <w:rsid w:val="00A45D45"/>
    <w:rsid w:val="00A46D6F"/>
    <w:rsid w:val="00A4723A"/>
    <w:rsid w:val="00A50470"/>
    <w:rsid w:val="00A50B03"/>
    <w:rsid w:val="00A513FB"/>
    <w:rsid w:val="00A51F0A"/>
    <w:rsid w:val="00A52CFF"/>
    <w:rsid w:val="00A53E15"/>
    <w:rsid w:val="00A54EF2"/>
    <w:rsid w:val="00A55D48"/>
    <w:rsid w:val="00A56B80"/>
    <w:rsid w:val="00A57BEB"/>
    <w:rsid w:val="00A6057B"/>
    <w:rsid w:val="00A60590"/>
    <w:rsid w:val="00A61673"/>
    <w:rsid w:val="00A634DC"/>
    <w:rsid w:val="00A64926"/>
    <w:rsid w:val="00A665CF"/>
    <w:rsid w:val="00A66BE9"/>
    <w:rsid w:val="00A677E2"/>
    <w:rsid w:val="00A67CA7"/>
    <w:rsid w:val="00A7104E"/>
    <w:rsid w:val="00A717BD"/>
    <w:rsid w:val="00A72084"/>
    <w:rsid w:val="00A7245B"/>
    <w:rsid w:val="00A73123"/>
    <w:rsid w:val="00A73682"/>
    <w:rsid w:val="00A73989"/>
    <w:rsid w:val="00A73F51"/>
    <w:rsid w:val="00A76425"/>
    <w:rsid w:val="00A766D7"/>
    <w:rsid w:val="00A773F8"/>
    <w:rsid w:val="00A7752F"/>
    <w:rsid w:val="00A80AA2"/>
    <w:rsid w:val="00A8195B"/>
    <w:rsid w:val="00A85C35"/>
    <w:rsid w:val="00A86410"/>
    <w:rsid w:val="00A86C00"/>
    <w:rsid w:val="00A86DB1"/>
    <w:rsid w:val="00A87E26"/>
    <w:rsid w:val="00A92061"/>
    <w:rsid w:val="00A94249"/>
    <w:rsid w:val="00A948C4"/>
    <w:rsid w:val="00A94BC9"/>
    <w:rsid w:val="00A959BC"/>
    <w:rsid w:val="00A97047"/>
    <w:rsid w:val="00AA0FBB"/>
    <w:rsid w:val="00AA2562"/>
    <w:rsid w:val="00AA3C60"/>
    <w:rsid w:val="00AA5319"/>
    <w:rsid w:val="00AA7518"/>
    <w:rsid w:val="00AA79DB"/>
    <w:rsid w:val="00AB242A"/>
    <w:rsid w:val="00AB2950"/>
    <w:rsid w:val="00AB2FF4"/>
    <w:rsid w:val="00AB45A0"/>
    <w:rsid w:val="00AB5F9C"/>
    <w:rsid w:val="00AC0406"/>
    <w:rsid w:val="00AC1453"/>
    <w:rsid w:val="00AC1AD6"/>
    <w:rsid w:val="00AC44B2"/>
    <w:rsid w:val="00AC4513"/>
    <w:rsid w:val="00AC61C6"/>
    <w:rsid w:val="00AC6496"/>
    <w:rsid w:val="00AC6BAE"/>
    <w:rsid w:val="00AD0322"/>
    <w:rsid w:val="00AD0984"/>
    <w:rsid w:val="00AD0C31"/>
    <w:rsid w:val="00AD0F6E"/>
    <w:rsid w:val="00AD19E8"/>
    <w:rsid w:val="00AD333F"/>
    <w:rsid w:val="00AD64DF"/>
    <w:rsid w:val="00AD6D02"/>
    <w:rsid w:val="00AD6DAC"/>
    <w:rsid w:val="00AE1025"/>
    <w:rsid w:val="00AE164A"/>
    <w:rsid w:val="00AE2D82"/>
    <w:rsid w:val="00AE3F03"/>
    <w:rsid w:val="00AE4846"/>
    <w:rsid w:val="00AE64F0"/>
    <w:rsid w:val="00AE7AD9"/>
    <w:rsid w:val="00AF009F"/>
    <w:rsid w:val="00AF23C8"/>
    <w:rsid w:val="00AF2AE2"/>
    <w:rsid w:val="00AF32D9"/>
    <w:rsid w:val="00AF3C14"/>
    <w:rsid w:val="00AF63BD"/>
    <w:rsid w:val="00AF73CD"/>
    <w:rsid w:val="00B01A54"/>
    <w:rsid w:val="00B01E9B"/>
    <w:rsid w:val="00B02CF8"/>
    <w:rsid w:val="00B0377E"/>
    <w:rsid w:val="00B03DA2"/>
    <w:rsid w:val="00B03FE3"/>
    <w:rsid w:val="00B04D48"/>
    <w:rsid w:val="00B0665C"/>
    <w:rsid w:val="00B07BA9"/>
    <w:rsid w:val="00B07D0F"/>
    <w:rsid w:val="00B10055"/>
    <w:rsid w:val="00B1141E"/>
    <w:rsid w:val="00B1278B"/>
    <w:rsid w:val="00B13421"/>
    <w:rsid w:val="00B15BFD"/>
    <w:rsid w:val="00B17295"/>
    <w:rsid w:val="00B210F0"/>
    <w:rsid w:val="00B210FF"/>
    <w:rsid w:val="00B215F5"/>
    <w:rsid w:val="00B22223"/>
    <w:rsid w:val="00B2259F"/>
    <w:rsid w:val="00B2665D"/>
    <w:rsid w:val="00B26B62"/>
    <w:rsid w:val="00B27373"/>
    <w:rsid w:val="00B27A54"/>
    <w:rsid w:val="00B27F48"/>
    <w:rsid w:val="00B30783"/>
    <w:rsid w:val="00B310CA"/>
    <w:rsid w:val="00B34E12"/>
    <w:rsid w:val="00B365F6"/>
    <w:rsid w:val="00B415E9"/>
    <w:rsid w:val="00B41F0F"/>
    <w:rsid w:val="00B42521"/>
    <w:rsid w:val="00B42560"/>
    <w:rsid w:val="00B455AA"/>
    <w:rsid w:val="00B45778"/>
    <w:rsid w:val="00B457A1"/>
    <w:rsid w:val="00B458BF"/>
    <w:rsid w:val="00B46195"/>
    <w:rsid w:val="00B4630F"/>
    <w:rsid w:val="00B464B1"/>
    <w:rsid w:val="00B47A4A"/>
    <w:rsid w:val="00B47B99"/>
    <w:rsid w:val="00B506F2"/>
    <w:rsid w:val="00B5098F"/>
    <w:rsid w:val="00B510E3"/>
    <w:rsid w:val="00B521AC"/>
    <w:rsid w:val="00B52702"/>
    <w:rsid w:val="00B52BEE"/>
    <w:rsid w:val="00B53E4D"/>
    <w:rsid w:val="00B548D1"/>
    <w:rsid w:val="00B5498D"/>
    <w:rsid w:val="00B5501D"/>
    <w:rsid w:val="00B579F0"/>
    <w:rsid w:val="00B6151E"/>
    <w:rsid w:val="00B61960"/>
    <w:rsid w:val="00B630B7"/>
    <w:rsid w:val="00B63CDD"/>
    <w:rsid w:val="00B64674"/>
    <w:rsid w:val="00B64962"/>
    <w:rsid w:val="00B6560D"/>
    <w:rsid w:val="00B66869"/>
    <w:rsid w:val="00B67020"/>
    <w:rsid w:val="00B676DF"/>
    <w:rsid w:val="00B676EC"/>
    <w:rsid w:val="00B67C18"/>
    <w:rsid w:val="00B7016C"/>
    <w:rsid w:val="00B7039B"/>
    <w:rsid w:val="00B71346"/>
    <w:rsid w:val="00B718DD"/>
    <w:rsid w:val="00B7221D"/>
    <w:rsid w:val="00B72F80"/>
    <w:rsid w:val="00B736D8"/>
    <w:rsid w:val="00B74D1E"/>
    <w:rsid w:val="00B74FA8"/>
    <w:rsid w:val="00B758D7"/>
    <w:rsid w:val="00B76A18"/>
    <w:rsid w:val="00B7787E"/>
    <w:rsid w:val="00B80E54"/>
    <w:rsid w:val="00B81353"/>
    <w:rsid w:val="00B83887"/>
    <w:rsid w:val="00B848DC"/>
    <w:rsid w:val="00B84C6C"/>
    <w:rsid w:val="00B84FEF"/>
    <w:rsid w:val="00B85284"/>
    <w:rsid w:val="00B876E2"/>
    <w:rsid w:val="00B90149"/>
    <w:rsid w:val="00B90394"/>
    <w:rsid w:val="00B903E3"/>
    <w:rsid w:val="00B92687"/>
    <w:rsid w:val="00B92A90"/>
    <w:rsid w:val="00B92E95"/>
    <w:rsid w:val="00B931D9"/>
    <w:rsid w:val="00B93418"/>
    <w:rsid w:val="00B9357C"/>
    <w:rsid w:val="00B94248"/>
    <w:rsid w:val="00B942A1"/>
    <w:rsid w:val="00B94B4F"/>
    <w:rsid w:val="00B9572E"/>
    <w:rsid w:val="00B973B6"/>
    <w:rsid w:val="00B97431"/>
    <w:rsid w:val="00B976F6"/>
    <w:rsid w:val="00BA1339"/>
    <w:rsid w:val="00BA4D96"/>
    <w:rsid w:val="00BA4F6A"/>
    <w:rsid w:val="00BA5F41"/>
    <w:rsid w:val="00BA6229"/>
    <w:rsid w:val="00BA7385"/>
    <w:rsid w:val="00BA7B5C"/>
    <w:rsid w:val="00BB1470"/>
    <w:rsid w:val="00BB187C"/>
    <w:rsid w:val="00BB296B"/>
    <w:rsid w:val="00BB2A9C"/>
    <w:rsid w:val="00BB3622"/>
    <w:rsid w:val="00BB645F"/>
    <w:rsid w:val="00BB682C"/>
    <w:rsid w:val="00BB7961"/>
    <w:rsid w:val="00BB7CA9"/>
    <w:rsid w:val="00BC236B"/>
    <w:rsid w:val="00BC2916"/>
    <w:rsid w:val="00BC2BB4"/>
    <w:rsid w:val="00BC3FDB"/>
    <w:rsid w:val="00BC4F2C"/>
    <w:rsid w:val="00BC635F"/>
    <w:rsid w:val="00BC65D9"/>
    <w:rsid w:val="00BC7C52"/>
    <w:rsid w:val="00BD0CBF"/>
    <w:rsid w:val="00BD0CF6"/>
    <w:rsid w:val="00BD0F80"/>
    <w:rsid w:val="00BD1471"/>
    <w:rsid w:val="00BD14C5"/>
    <w:rsid w:val="00BD196A"/>
    <w:rsid w:val="00BD1FAE"/>
    <w:rsid w:val="00BD2081"/>
    <w:rsid w:val="00BD20EB"/>
    <w:rsid w:val="00BD2311"/>
    <w:rsid w:val="00BD35A9"/>
    <w:rsid w:val="00BD3928"/>
    <w:rsid w:val="00BD3B78"/>
    <w:rsid w:val="00BD3DB0"/>
    <w:rsid w:val="00BD4A3A"/>
    <w:rsid w:val="00BD6262"/>
    <w:rsid w:val="00BD7EED"/>
    <w:rsid w:val="00BE1AC9"/>
    <w:rsid w:val="00BE22C2"/>
    <w:rsid w:val="00BE253B"/>
    <w:rsid w:val="00BE25C0"/>
    <w:rsid w:val="00BE28D9"/>
    <w:rsid w:val="00BE4C48"/>
    <w:rsid w:val="00BE4D75"/>
    <w:rsid w:val="00BE4F93"/>
    <w:rsid w:val="00BE53C3"/>
    <w:rsid w:val="00BE580A"/>
    <w:rsid w:val="00BE5F5D"/>
    <w:rsid w:val="00BE61C1"/>
    <w:rsid w:val="00BE64AF"/>
    <w:rsid w:val="00BE6717"/>
    <w:rsid w:val="00BE75CD"/>
    <w:rsid w:val="00BE7942"/>
    <w:rsid w:val="00BE7F38"/>
    <w:rsid w:val="00BF0381"/>
    <w:rsid w:val="00BF144D"/>
    <w:rsid w:val="00BF1E3D"/>
    <w:rsid w:val="00BF446E"/>
    <w:rsid w:val="00BF50A0"/>
    <w:rsid w:val="00BF6E7B"/>
    <w:rsid w:val="00BF7873"/>
    <w:rsid w:val="00C01021"/>
    <w:rsid w:val="00C0141F"/>
    <w:rsid w:val="00C016E1"/>
    <w:rsid w:val="00C01923"/>
    <w:rsid w:val="00C0327D"/>
    <w:rsid w:val="00C03411"/>
    <w:rsid w:val="00C048AF"/>
    <w:rsid w:val="00C05251"/>
    <w:rsid w:val="00C068B3"/>
    <w:rsid w:val="00C076E6"/>
    <w:rsid w:val="00C077E0"/>
    <w:rsid w:val="00C07DE6"/>
    <w:rsid w:val="00C1016F"/>
    <w:rsid w:val="00C1264B"/>
    <w:rsid w:val="00C12FEA"/>
    <w:rsid w:val="00C1350E"/>
    <w:rsid w:val="00C135DD"/>
    <w:rsid w:val="00C1371B"/>
    <w:rsid w:val="00C154B5"/>
    <w:rsid w:val="00C15A93"/>
    <w:rsid w:val="00C15E9F"/>
    <w:rsid w:val="00C16CE4"/>
    <w:rsid w:val="00C17872"/>
    <w:rsid w:val="00C205E9"/>
    <w:rsid w:val="00C212FC"/>
    <w:rsid w:val="00C21BD9"/>
    <w:rsid w:val="00C2231B"/>
    <w:rsid w:val="00C23382"/>
    <w:rsid w:val="00C23F48"/>
    <w:rsid w:val="00C24052"/>
    <w:rsid w:val="00C2439F"/>
    <w:rsid w:val="00C260D2"/>
    <w:rsid w:val="00C262BD"/>
    <w:rsid w:val="00C269F5"/>
    <w:rsid w:val="00C26D4F"/>
    <w:rsid w:val="00C27035"/>
    <w:rsid w:val="00C2709E"/>
    <w:rsid w:val="00C27722"/>
    <w:rsid w:val="00C30E04"/>
    <w:rsid w:val="00C30F37"/>
    <w:rsid w:val="00C310C2"/>
    <w:rsid w:val="00C3112E"/>
    <w:rsid w:val="00C332B3"/>
    <w:rsid w:val="00C33492"/>
    <w:rsid w:val="00C339DA"/>
    <w:rsid w:val="00C35235"/>
    <w:rsid w:val="00C359B5"/>
    <w:rsid w:val="00C36525"/>
    <w:rsid w:val="00C36E43"/>
    <w:rsid w:val="00C40EB3"/>
    <w:rsid w:val="00C41093"/>
    <w:rsid w:val="00C41BD9"/>
    <w:rsid w:val="00C427FC"/>
    <w:rsid w:val="00C42F67"/>
    <w:rsid w:val="00C434FD"/>
    <w:rsid w:val="00C4350E"/>
    <w:rsid w:val="00C435DB"/>
    <w:rsid w:val="00C442AB"/>
    <w:rsid w:val="00C44963"/>
    <w:rsid w:val="00C46BA6"/>
    <w:rsid w:val="00C47AC7"/>
    <w:rsid w:val="00C51583"/>
    <w:rsid w:val="00C5192E"/>
    <w:rsid w:val="00C52C5E"/>
    <w:rsid w:val="00C52DE6"/>
    <w:rsid w:val="00C530E0"/>
    <w:rsid w:val="00C53CA2"/>
    <w:rsid w:val="00C53DF5"/>
    <w:rsid w:val="00C540D1"/>
    <w:rsid w:val="00C546BF"/>
    <w:rsid w:val="00C55568"/>
    <w:rsid w:val="00C556B4"/>
    <w:rsid w:val="00C55D7B"/>
    <w:rsid w:val="00C55F50"/>
    <w:rsid w:val="00C56A0A"/>
    <w:rsid w:val="00C6016B"/>
    <w:rsid w:val="00C621D9"/>
    <w:rsid w:val="00C6226C"/>
    <w:rsid w:val="00C634A7"/>
    <w:rsid w:val="00C637AD"/>
    <w:rsid w:val="00C638D7"/>
    <w:rsid w:val="00C638DF"/>
    <w:rsid w:val="00C63C77"/>
    <w:rsid w:val="00C642D6"/>
    <w:rsid w:val="00C64720"/>
    <w:rsid w:val="00C6517F"/>
    <w:rsid w:val="00C6596D"/>
    <w:rsid w:val="00C65FF5"/>
    <w:rsid w:val="00C66152"/>
    <w:rsid w:val="00C6623D"/>
    <w:rsid w:val="00C66442"/>
    <w:rsid w:val="00C67BA6"/>
    <w:rsid w:val="00C708F5"/>
    <w:rsid w:val="00C70DA3"/>
    <w:rsid w:val="00C71920"/>
    <w:rsid w:val="00C725E8"/>
    <w:rsid w:val="00C72A63"/>
    <w:rsid w:val="00C73ECB"/>
    <w:rsid w:val="00C747DB"/>
    <w:rsid w:val="00C7500D"/>
    <w:rsid w:val="00C75CC0"/>
    <w:rsid w:val="00C76A31"/>
    <w:rsid w:val="00C77A70"/>
    <w:rsid w:val="00C77DC0"/>
    <w:rsid w:val="00C80AE4"/>
    <w:rsid w:val="00C81E04"/>
    <w:rsid w:val="00C83390"/>
    <w:rsid w:val="00C857F1"/>
    <w:rsid w:val="00C86500"/>
    <w:rsid w:val="00C871C4"/>
    <w:rsid w:val="00C9119D"/>
    <w:rsid w:val="00C929A0"/>
    <w:rsid w:val="00C9353D"/>
    <w:rsid w:val="00C93888"/>
    <w:rsid w:val="00C95656"/>
    <w:rsid w:val="00C97301"/>
    <w:rsid w:val="00CA1130"/>
    <w:rsid w:val="00CA311A"/>
    <w:rsid w:val="00CA415F"/>
    <w:rsid w:val="00CA529D"/>
    <w:rsid w:val="00CA5EA7"/>
    <w:rsid w:val="00CA79AE"/>
    <w:rsid w:val="00CA7B9B"/>
    <w:rsid w:val="00CB012F"/>
    <w:rsid w:val="00CB026C"/>
    <w:rsid w:val="00CB1EF5"/>
    <w:rsid w:val="00CB2C14"/>
    <w:rsid w:val="00CB3345"/>
    <w:rsid w:val="00CB388D"/>
    <w:rsid w:val="00CB4591"/>
    <w:rsid w:val="00CB528F"/>
    <w:rsid w:val="00CB531E"/>
    <w:rsid w:val="00CB5A49"/>
    <w:rsid w:val="00CB5C15"/>
    <w:rsid w:val="00CB5C4F"/>
    <w:rsid w:val="00CB61D9"/>
    <w:rsid w:val="00CB678B"/>
    <w:rsid w:val="00CB6E59"/>
    <w:rsid w:val="00CC067D"/>
    <w:rsid w:val="00CC1228"/>
    <w:rsid w:val="00CC1A21"/>
    <w:rsid w:val="00CC20EA"/>
    <w:rsid w:val="00CC2AE8"/>
    <w:rsid w:val="00CC50BD"/>
    <w:rsid w:val="00CC66DE"/>
    <w:rsid w:val="00CC7C0C"/>
    <w:rsid w:val="00CD0057"/>
    <w:rsid w:val="00CD0CC7"/>
    <w:rsid w:val="00CD2609"/>
    <w:rsid w:val="00CD3CB0"/>
    <w:rsid w:val="00CD3DAE"/>
    <w:rsid w:val="00CD3E1E"/>
    <w:rsid w:val="00CD3EEA"/>
    <w:rsid w:val="00CD5694"/>
    <w:rsid w:val="00CD75E3"/>
    <w:rsid w:val="00CE2627"/>
    <w:rsid w:val="00CE2875"/>
    <w:rsid w:val="00CE2EB2"/>
    <w:rsid w:val="00CE50F9"/>
    <w:rsid w:val="00CE525D"/>
    <w:rsid w:val="00CE540D"/>
    <w:rsid w:val="00CE57ED"/>
    <w:rsid w:val="00CE5C99"/>
    <w:rsid w:val="00CE765E"/>
    <w:rsid w:val="00CE77C3"/>
    <w:rsid w:val="00CE7AA6"/>
    <w:rsid w:val="00CF058E"/>
    <w:rsid w:val="00CF168E"/>
    <w:rsid w:val="00CF1995"/>
    <w:rsid w:val="00CF1998"/>
    <w:rsid w:val="00CF1E0C"/>
    <w:rsid w:val="00CF23EE"/>
    <w:rsid w:val="00CF2D5B"/>
    <w:rsid w:val="00CF31D7"/>
    <w:rsid w:val="00CF333E"/>
    <w:rsid w:val="00CF3A80"/>
    <w:rsid w:val="00CF3AA7"/>
    <w:rsid w:val="00CF41D3"/>
    <w:rsid w:val="00CF4243"/>
    <w:rsid w:val="00CF5B3B"/>
    <w:rsid w:val="00CF6C6D"/>
    <w:rsid w:val="00CF7DBA"/>
    <w:rsid w:val="00D001B3"/>
    <w:rsid w:val="00D00610"/>
    <w:rsid w:val="00D014B9"/>
    <w:rsid w:val="00D0204E"/>
    <w:rsid w:val="00D0312F"/>
    <w:rsid w:val="00D057D6"/>
    <w:rsid w:val="00D06978"/>
    <w:rsid w:val="00D11357"/>
    <w:rsid w:val="00D126F7"/>
    <w:rsid w:val="00D129F5"/>
    <w:rsid w:val="00D12ED9"/>
    <w:rsid w:val="00D12F64"/>
    <w:rsid w:val="00D141DD"/>
    <w:rsid w:val="00D1494A"/>
    <w:rsid w:val="00D14D17"/>
    <w:rsid w:val="00D165B5"/>
    <w:rsid w:val="00D16A25"/>
    <w:rsid w:val="00D175A6"/>
    <w:rsid w:val="00D20D00"/>
    <w:rsid w:val="00D2183F"/>
    <w:rsid w:val="00D21887"/>
    <w:rsid w:val="00D237B7"/>
    <w:rsid w:val="00D23D93"/>
    <w:rsid w:val="00D256F4"/>
    <w:rsid w:val="00D266DE"/>
    <w:rsid w:val="00D270B9"/>
    <w:rsid w:val="00D274FD"/>
    <w:rsid w:val="00D31689"/>
    <w:rsid w:val="00D325D3"/>
    <w:rsid w:val="00D329ED"/>
    <w:rsid w:val="00D32B43"/>
    <w:rsid w:val="00D331D8"/>
    <w:rsid w:val="00D33D8E"/>
    <w:rsid w:val="00D34484"/>
    <w:rsid w:val="00D34921"/>
    <w:rsid w:val="00D35238"/>
    <w:rsid w:val="00D355E8"/>
    <w:rsid w:val="00D36F62"/>
    <w:rsid w:val="00D43DD6"/>
    <w:rsid w:val="00D442A9"/>
    <w:rsid w:val="00D454EC"/>
    <w:rsid w:val="00D4578A"/>
    <w:rsid w:val="00D45A34"/>
    <w:rsid w:val="00D51C2C"/>
    <w:rsid w:val="00D521C7"/>
    <w:rsid w:val="00D521FB"/>
    <w:rsid w:val="00D52F9A"/>
    <w:rsid w:val="00D53DB7"/>
    <w:rsid w:val="00D54D99"/>
    <w:rsid w:val="00D553E7"/>
    <w:rsid w:val="00D559DE"/>
    <w:rsid w:val="00D55A36"/>
    <w:rsid w:val="00D567D4"/>
    <w:rsid w:val="00D5689A"/>
    <w:rsid w:val="00D57072"/>
    <w:rsid w:val="00D57C53"/>
    <w:rsid w:val="00D61249"/>
    <w:rsid w:val="00D61AE5"/>
    <w:rsid w:val="00D62ECA"/>
    <w:rsid w:val="00D63186"/>
    <w:rsid w:val="00D63421"/>
    <w:rsid w:val="00D63D76"/>
    <w:rsid w:val="00D64636"/>
    <w:rsid w:val="00D654F3"/>
    <w:rsid w:val="00D668E4"/>
    <w:rsid w:val="00D66CC8"/>
    <w:rsid w:val="00D67466"/>
    <w:rsid w:val="00D67568"/>
    <w:rsid w:val="00D70093"/>
    <w:rsid w:val="00D7047B"/>
    <w:rsid w:val="00D70735"/>
    <w:rsid w:val="00D70A3B"/>
    <w:rsid w:val="00D728E9"/>
    <w:rsid w:val="00D729A9"/>
    <w:rsid w:val="00D732D8"/>
    <w:rsid w:val="00D741F4"/>
    <w:rsid w:val="00D74292"/>
    <w:rsid w:val="00D74635"/>
    <w:rsid w:val="00D74FEC"/>
    <w:rsid w:val="00D75505"/>
    <w:rsid w:val="00D76695"/>
    <w:rsid w:val="00D7765D"/>
    <w:rsid w:val="00D77DAB"/>
    <w:rsid w:val="00D80998"/>
    <w:rsid w:val="00D8228F"/>
    <w:rsid w:val="00D82931"/>
    <w:rsid w:val="00D82F13"/>
    <w:rsid w:val="00D83B27"/>
    <w:rsid w:val="00D83CB1"/>
    <w:rsid w:val="00D84D28"/>
    <w:rsid w:val="00D862DA"/>
    <w:rsid w:val="00D8640C"/>
    <w:rsid w:val="00D86456"/>
    <w:rsid w:val="00D865A8"/>
    <w:rsid w:val="00D870BD"/>
    <w:rsid w:val="00D90ED8"/>
    <w:rsid w:val="00D914C2"/>
    <w:rsid w:val="00D920C7"/>
    <w:rsid w:val="00D936C9"/>
    <w:rsid w:val="00D93BC2"/>
    <w:rsid w:val="00D951F9"/>
    <w:rsid w:val="00D95680"/>
    <w:rsid w:val="00DA0A0E"/>
    <w:rsid w:val="00DA1AA3"/>
    <w:rsid w:val="00DA300E"/>
    <w:rsid w:val="00DA3D7B"/>
    <w:rsid w:val="00DA4E3A"/>
    <w:rsid w:val="00DA5F33"/>
    <w:rsid w:val="00DA6452"/>
    <w:rsid w:val="00DA6721"/>
    <w:rsid w:val="00DA69D0"/>
    <w:rsid w:val="00DA7189"/>
    <w:rsid w:val="00DA7370"/>
    <w:rsid w:val="00DA7638"/>
    <w:rsid w:val="00DA7854"/>
    <w:rsid w:val="00DA7BF0"/>
    <w:rsid w:val="00DB04BA"/>
    <w:rsid w:val="00DB1190"/>
    <w:rsid w:val="00DB4594"/>
    <w:rsid w:val="00DB4AA3"/>
    <w:rsid w:val="00DB4FE9"/>
    <w:rsid w:val="00DB506D"/>
    <w:rsid w:val="00DB560D"/>
    <w:rsid w:val="00DB58CD"/>
    <w:rsid w:val="00DB68FF"/>
    <w:rsid w:val="00DB7230"/>
    <w:rsid w:val="00DB7482"/>
    <w:rsid w:val="00DB7A8E"/>
    <w:rsid w:val="00DB7FBC"/>
    <w:rsid w:val="00DC0BBB"/>
    <w:rsid w:val="00DC1364"/>
    <w:rsid w:val="00DC1922"/>
    <w:rsid w:val="00DC1FE5"/>
    <w:rsid w:val="00DC31CA"/>
    <w:rsid w:val="00DC32BA"/>
    <w:rsid w:val="00DC4B9A"/>
    <w:rsid w:val="00DC5236"/>
    <w:rsid w:val="00DC5BFC"/>
    <w:rsid w:val="00DC5DF7"/>
    <w:rsid w:val="00DC5FD8"/>
    <w:rsid w:val="00DC64C0"/>
    <w:rsid w:val="00DD0B7D"/>
    <w:rsid w:val="00DD2349"/>
    <w:rsid w:val="00DD241F"/>
    <w:rsid w:val="00DD514B"/>
    <w:rsid w:val="00DD5CB3"/>
    <w:rsid w:val="00DD621B"/>
    <w:rsid w:val="00DD64F2"/>
    <w:rsid w:val="00DD6518"/>
    <w:rsid w:val="00DD6537"/>
    <w:rsid w:val="00DD6667"/>
    <w:rsid w:val="00DD74A2"/>
    <w:rsid w:val="00DE0194"/>
    <w:rsid w:val="00DE08BC"/>
    <w:rsid w:val="00DE11A7"/>
    <w:rsid w:val="00DE11D2"/>
    <w:rsid w:val="00DE1FE0"/>
    <w:rsid w:val="00DE383B"/>
    <w:rsid w:val="00DE40FA"/>
    <w:rsid w:val="00DE49BE"/>
    <w:rsid w:val="00DE6576"/>
    <w:rsid w:val="00DE6A23"/>
    <w:rsid w:val="00DE7E4F"/>
    <w:rsid w:val="00DF06B4"/>
    <w:rsid w:val="00DF091A"/>
    <w:rsid w:val="00DF25CC"/>
    <w:rsid w:val="00DF2CF4"/>
    <w:rsid w:val="00DF3151"/>
    <w:rsid w:val="00DF393A"/>
    <w:rsid w:val="00DF4614"/>
    <w:rsid w:val="00DF6A47"/>
    <w:rsid w:val="00DF6D10"/>
    <w:rsid w:val="00DF7028"/>
    <w:rsid w:val="00DF70F5"/>
    <w:rsid w:val="00DF7B25"/>
    <w:rsid w:val="00E00B67"/>
    <w:rsid w:val="00E024BC"/>
    <w:rsid w:val="00E02F15"/>
    <w:rsid w:val="00E04840"/>
    <w:rsid w:val="00E0596A"/>
    <w:rsid w:val="00E07C1F"/>
    <w:rsid w:val="00E10BFE"/>
    <w:rsid w:val="00E10E0E"/>
    <w:rsid w:val="00E10E18"/>
    <w:rsid w:val="00E12A0C"/>
    <w:rsid w:val="00E135A1"/>
    <w:rsid w:val="00E142EC"/>
    <w:rsid w:val="00E14599"/>
    <w:rsid w:val="00E1496E"/>
    <w:rsid w:val="00E15BCB"/>
    <w:rsid w:val="00E1672C"/>
    <w:rsid w:val="00E16EF1"/>
    <w:rsid w:val="00E170AB"/>
    <w:rsid w:val="00E177A0"/>
    <w:rsid w:val="00E17F63"/>
    <w:rsid w:val="00E20DED"/>
    <w:rsid w:val="00E218A0"/>
    <w:rsid w:val="00E22766"/>
    <w:rsid w:val="00E2292D"/>
    <w:rsid w:val="00E230CA"/>
    <w:rsid w:val="00E23692"/>
    <w:rsid w:val="00E236E2"/>
    <w:rsid w:val="00E23A63"/>
    <w:rsid w:val="00E23F95"/>
    <w:rsid w:val="00E25EDF"/>
    <w:rsid w:val="00E26539"/>
    <w:rsid w:val="00E2693B"/>
    <w:rsid w:val="00E269C9"/>
    <w:rsid w:val="00E30081"/>
    <w:rsid w:val="00E30C70"/>
    <w:rsid w:val="00E3144C"/>
    <w:rsid w:val="00E31F18"/>
    <w:rsid w:val="00E321F9"/>
    <w:rsid w:val="00E34BB7"/>
    <w:rsid w:val="00E35284"/>
    <w:rsid w:val="00E362EA"/>
    <w:rsid w:val="00E368C3"/>
    <w:rsid w:val="00E3764A"/>
    <w:rsid w:val="00E378F2"/>
    <w:rsid w:val="00E379C6"/>
    <w:rsid w:val="00E426EB"/>
    <w:rsid w:val="00E42AB7"/>
    <w:rsid w:val="00E43B4E"/>
    <w:rsid w:val="00E43C06"/>
    <w:rsid w:val="00E441A2"/>
    <w:rsid w:val="00E449B1"/>
    <w:rsid w:val="00E4583C"/>
    <w:rsid w:val="00E45B7E"/>
    <w:rsid w:val="00E4659B"/>
    <w:rsid w:val="00E47B31"/>
    <w:rsid w:val="00E501F7"/>
    <w:rsid w:val="00E5082D"/>
    <w:rsid w:val="00E51C74"/>
    <w:rsid w:val="00E53077"/>
    <w:rsid w:val="00E54DF2"/>
    <w:rsid w:val="00E55B23"/>
    <w:rsid w:val="00E55DBB"/>
    <w:rsid w:val="00E56122"/>
    <w:rsid w:val="00E5647F"/>
    <w:rsid w:val="00E574A9"/>
    <w:rsid w:val="00E61355"/>
    <w:rsid w:val="00E613BC"/>
    <w:rsid w:val="00E61F1E"/>
    <w:rsid w:val="00E62C6A"/>
    <w:rsid w:val="00E65335"/>
    <w:rsid w:val="00E66327"/>
    <w:rsid w:val="00E66861"/>
    <w:rsid w:val="00E66E21"/>
    <w:rsid w:val="00E66F3D"/>
    <w:rsid w:val="00E67063"/>
    <w:rsid w:val="00E672EA"/>
    <w:rsid w:val="00E70F38"/>
    <w:rsid w:val="00E710FC"/>
    <w:rsid w:val="00E71915"/>
    <w:rsid w:val="00E71BB0"/>
    <w:rsid w:val="00E74537"/>
    <w:rsid w:val="00E749FA"/>
    <w:rsid w:val="00E75022"/>
    <w:rsid w:val="00E77783"/>
    <w:rsid w:val="00E77B2D"/>
    <w:rsid w:val="00E80916"/>
    <w:rsid w:val="00E81BB0"/>
    <w:rsid w:val="00E82DE2"/>
    <w:rsid w:val="00E830B5"/>
    <w:rsid w:val="00E83EED"/>
    <w:rsid w:val="00E840DF"/>
    <w:rsid w:val="00E8419F"/>
    <w:rsid w:val="00E8452A"/>
    <w:rsid w:val="00E8560F"/>
    <w:rsid w:val="00E85C07"/>
    <w:rsid w:val="00E8714D"/>
    <w:rsid w:val="00E875BC"/>
    <w:rsid w:val="00E8780A"/>
    <w:rsid w:val="00E916B8"/>
    <w:rsid w:val="00E92740"/>
    <w:rsid w:val="00E94F09"/>
    <w:rsid w:val="00E9551E"/>
    <w:rsid w:val="00E957FC"/>
    <w:rsid w:val="00E95F6E"/>
    <w:rsid w:val="00E9693E"/>
    <w:rsid w:val="00E96B49"/>
    <w:rsid w:val="00E977FA"/>
    <w:rsid w:val="00EA0289"/>
    <w:rsid w:val="00EA6B3A"/>
    <w:rsid w:val="00EA7FFE"/>
    <w:rsid w:val="00EB11D1"/>
    <w:rsid w:val="00EB13F5"/>
    <w:rsid w:val="00EB181B"/>
    <w:rsid w:val="00EB1CA4"/>
    <w:rsid w:val="00EB2DEA"/>
    <w:rsid w:val="00EB32D9"/>
    <w:rsid w:val="00EB4A31"/>
    <w:rsid w:val="00EB516D"/>
    <w:rsid w:val="00EC0214"/>
    <w:rsid w:val="00EC1ABF"/>
    <w:rsid w:val="00EC1D32"/>
    <w:rsid w:val="00EC1E13"/>
    <w:rsid w:val="00EC341C"/>
    <w:rsid w:val="00EC3856"/>
    <w:rsid w:val="00EC5414"/>
    <w:rsid w:val="00EC77D8"/>
    <w:rsid w:val="00EC7CD4"/>
    <w:rsid w:val="00ED1240"/>
    <w:rsid w:val="00ED1657"/>
    <w:rsid w:val="00ED2BBC"/>
    <w:rsid w:val="00ED2D42"/>
    <w:rsid w:val="00ED4CB6"/>
    <w:rsid w:val="00ED4EB6"/>
    <w:rsid w:val="00ED5637"/>
    <w:rsid w:val="00ED6618"/>
    <w:rsid w:val="00ED755F"/>
    <w:rsid w:val="00EE0563"/>
    <w:rsid w:val="00EE3BCA"/>
    <w:rsid w:val="00EE44F9"/>
    <w:rsid w:val="00EE4542"/>
    <w:rsid w:val="00EE6754"/>
    <w:rsid w:val="00EE6AFD"/>
    <w:rsid w:val="00EE6F26"/>
    <w:rsid w:val="00EE71C9"/>
    <w:rsid w:val="00EF27F1"/>
    <w:rsid w:val="00EF352D"/>
    <w:rsid w:val="00EF37E6"/>
    <w:rsid w:val="00EF4AEE"/>
    <w:rsid w:val="00EF5364"/>
    <w:rsid w:val="00EF57FC"/>
    <w:rsid w:val="00EF59C5"/>
    <w:rsid w:val="00EF6907"/>
    <w:rsid w:val="00EF6E41"/>
    <w:rsid w:val="00EF72D5"/>
    <w:rsid w:val="00EF7E1E"/>
    <w:rsid w:val="00F00D36"/>
    <w:rsid w:val="00F02A45"/>
    <w:rsid w:val="00F02C49"/>
    <w:rsid w:val="00F03565"/>
    <w:rsid w:val="00F03BF4"/>
    <w:rsid w:val="00F03F21"/>
    <w:rsid w:val="00F03F3B"/>
    <w:rsid w:val="00F04BFF"/>
    <w:rsid w:val="00F07468"/>
    <w:rsid w:val="00F07DD2"/>
    <w:rsid w:val="00F1031E"/>
    <w:rsid w:val="00F11072"/>
    <w:rsid w:val="00F113CE"/>
    <w:rsid w:val="00F11DDC"/>
    <w:rsid w:val="00F122C4"/>
    <w:rsid w:val="00F128A3"/>
    <w:rsid w:val="00F1302B"/>
    <w:rsid w:val="00F136CB"/>
    <w:rsid w:val="00F13F76"/>
    <w:rsid w:val="00F1478B"/>
    <w:rsid w:val="00F153C1"/>
    <w:rsid w:val="00F15EFD"/>
    <w:rsid w:val="00F1660D"/>
    <w:rsid w:val="00F1676E"/>
    <w:rsid w:val="00F177F0"/>
    <w:rsid w:val="00F2176B"/>
    <w:rsid w:val="00F217E8"/>
    <w:rsid w:val="00F21877"/>
    <w:rsid w:val="00F2240D"/>
    <w:rsid w:val="00F22D82"/>
    <w:rsid w:val="00F22FE8"/>
    <w:rsid w:val="00F23A8E"/>
    <w:rsid w:val="00F2420B"/>
    <w:rsid w:val="00F2562E"/>
    <w:rsid w:val="00F257E2"/>
    <w:rsid w:val="00F26166"/>
    <w:rsid w:val="00F26D40"/>
    <w:rsid w:val="00F30233"/>
    <w:rsid w:val="00F32246"/>
    <w:rsid w:val="00F340B6"/>
    <w:rsid w:val="00F343D2"/>
    <w:rsid w:val="00F361B7"/>
    <w:rsid w:val="00F36AF4"/>
    <w:rsid w:val="00F36F7C"/>
    <w:rsid w:val="00F374A5"/>
    <w:rsid w:val="00F379D4"/>
    <w:rsid w:val="00F40BAE"/>
    <w:rsid w:val="00F42652"/>
    <w:rsid w:val="00F436A5"/>
    <w:rsid w:val="00F43D4B"/>
    <w:rsid w:val="00F44A7F"/>
    <w:rsid w:val="00F45136"/>
    <w:rsid w:val="00F466FA"/>
    <w:rsid w:val="00F4770C"/>
    <w:rsid w:val="00F51AA8"/>
    <w:rsid w:val="00F52F93"/>
    <w:rsid w:val="00F531ED"/>
    <w:rsid w:val="00F53848"/>
    <w:rsid w:val="00F53B59"/>
    <w:rsid w:val="00F54608"/>
    <w:rsid w:val="00F552F2"/>
    <w:rsid w:val="00F55E52"/>
    <w:rsid w:val="00F571AC"/>
    <w:rsid w:val="00F57EF0"/>
    <w:rsid w:val="00F60724"/>
    <w:rsid w:val="00F6127D"/>
    <w:rsid w:val="00F627E2"/>
    <w:rsid w:val="00F6338D"/>
    <w:rsid w:val="00F647FC"/>
    <w:rsid w:val="00F66DFC"/>
    <w:rsid w:val="00F6786E"/>
    <w:rsid w:val="00F67DD4"/>
    <w:rsid w:val="00F70CA2"/>
    <w:rsid w:val="00F71520"/>
    <w:rsid w:val="00F727FE"/>
    <w:rsid w:val="00F729F4"/>
    <w:rsid w:val="00F74DEF"/>
    <w:rsid w:val="00F7590F"/>
    <w:rsid w:val="00F75FE2"/>
    <w:rsid w:val="00F76B11"/>
    <w:rsid w:val="00F772CC"/>
    <w:rsid w:val="00F83937"/>
    <w:rsid w:val="00F8569E"/>
    <w:rsid w:val="00F85A14"/>
    <w:rsid w:val="00F8741D"/>
    <w:rsid w:val="00F904B8"/>
    <w:rsid w:val="00F90EB0"/>
    <w:rsid w:val="00F913C6"/>
    <w:rsid w:val="00F91BDC"/>
    <w:rsid w:val="00F92A0C"/>
    <w:rsid w:val="00F93D1E"/>
    <w:rsid w:val="00F94864"/>
    <w:rsid w:val="00F95B84"/>
    <w:rsid w:val="00F95BDD"/>
    <w:rsid w:val="00F95C99"/>
    <w:rsid w:val="00F95EBE"/>
    <w:rsid w:val="00F961B0"/>
    <w:rsid w:val="00F96713"/>
    <w:rsid w:val="00FA02EE"/>
    <w:rsid w:val="00FA0603"/>
    <w:rsid w:val="00FA2067"/>
    <w:rsid w:val="00FA33A6"/>
    <w:rsid w:val="00FA39D3"/>
    <w:rsid w:val="00FA66A0"/>
    <w:rsid w:val="00FA6BFA"/>
    <w:rsid w:val="00FA7B80"/>
    <w:rsid w:val="00FB0B18"/>
    <w:rsid w:val="00FB0D0D"/>
    <w:rsid w:val="00FB18EA"/>
    <w:rsid w:val="00FB1D19"/>
    <w:rsid w:val="00FB2ACA"/>
    <w:rsid w:val="00FB4661"/>
    <w:rsid w:val="00FB5C87"/>
    <w:rsid w:val="00FB644B"/>
    <w:rsid w:val="00FB673E"/>
    <w:rsid w:val="00FB753B"/>
    <w:rsid w:val="00FB7E49"/>
    <w:rsid w:val="00FC270B"/>
    <w:rsid w:val="00FC3D57"/>
    <w:rsid w:val="00FC3EB4"/>
    <w:rsid w:val="00FC47E1"/>
    <w:rsid w:val="00FC51B8"/>
    <w:rsid w:val="00FC5E18"/>
    <w:rsid w:val="00FC5FD1"/>
    <w:rsid w:val="00FC6335"/>
    <w:rsid w:val="00FC6C2D"/>
    <w:rsid w:val="00FD030F"/>
    <w:rsid w:val="00FD10FD"/>
    <w:rsid w:val="00FD16AB"/>
    <w:rsid w:val="00FD2E3A"/>
    <w:rsid w:val="00FD38DC"/>
    <w:rsid w:val="00FD429C"/>
    <w:rsid w:val="00FD6457"/>
    <w:rsid w:val="00FD6C24"/>
    <w:rsid w:val="00FD72F4"/>
    <w:rsid w:val="00FD755E"/>
    <w:rsid w:val="00FD7CD3"/>
    <w:rsid w:val="00FD7CE2"/>
    <w:rsid w:val="00FE0545"/>
    <w:rsid w:val="00FE1A0E"/>
    <w:rsid w:val="00FE2C40"/>
    <w:rsid w:val="00FE410C"/>
    <w:rsid w:val="00FE437E"/>
    <w:rsid w:val="00FE44C5"/>
    <w:rsid w:val="00FE4F40"/>
    <w:rsid w:val="00FE6501"/>
    <w:rsid w:val="00FE6BE5"/>
    <w:rsid w:val="00FE74A6"/>
    <w:rsid w:val="00FE7717"/>
    <w:rsid w:val="00FF1021"/>
    <w:rsid w:val="00FF141F"/>
    <w:rsid w:val="00FF406D"/>
    <w:rsid w:val="00FF4D93"/>
    <w:rsid w:val="00FF5CE3"/>
    <w:rsid w:val="00FF6A2A"/>
    <w:rsid w:val="00FF75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D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1A4319"/>
  </w:style>
  <w:style w:type="character" w:styleId="CommentReference">
    <w:name w:val="annotation reference"/>
    <w:basedOn w:val="DefaultParagraphFont"/>
    <w:uiPriority w:val="99"/>
    <w:semiHidden/>
    <w:unhideWhenUsed/>
    <w:locked/>
    <w:rsid w:val="00C46BA6"/>
    <w:rPr>
      <w:sz w:val="16"/>
      <w:szCs w:val="16"/>
    </w:rPr>
  </w:style>
  <w:style w:type="paragraph" w:styleId="CommentText">
    <w:name w:val="annotation text"/>
    <w:basedOn w:val="Normal"/>
    <w:link w:val="CommentTextChar"/>
    <w:uiPriority w:val="99"/>
    <w:unhideWhenUsed/>
    <w:locked/>
    <w:rsid w:val="00C46BA6"/>
    <w:pPr>
      <w:spacing w:line="240" w:lineRule="auto"/>
    </w:pPr>
    <w:rPr>
      <w:sz w:val="20"/>
      <w:szCs w:val="20"/>
    </w:rPr>
  </w:style>
  <w:style w:type="character" w:customStyle="1" w:styleId="CommentTextChar">
    <w:name w:val="Comment Text Char"/>
    <w:basedOn w:val="DefaultParagraphFont"/>
    <w:link w:val="CommentText"/>
    <w:uiPriority w:val="99"/>
    <w:rsid w:val="00C46BA6"/>
    <w:rPr>
      <w:sz w:val="20"/>
      <w:szCs w:val="20"/>
    </w:rPr>
  </w:style>
  <w:style w:type="paragraph" w:styleId="CommentSubject">
    <w:name w:val="annotation subject"/>
    <w:basedOn w:val="CommentText"/>
    <w:next w:val="CommentText"/>
    <w:link w:val="CommentSubjectChar"/>
    <w:uiPriority w:val="99"/>
    <w:semiHidden/>
    <w:unhideWhenUsed/>
    <w:locked/>
    <w:rsid w:val="00C46BA6"/>
    <w:rPr>
      <w:b/>
      <w:bCs/>
    </w:rPr>
  </w:style>
  <w:style w:type="character" w:customStyle="1" w:styleId="CommentSubjectChar">
    <w:name w:val="Comment Subject Char"/>
    <w:basedOn w:val="CommentTextChar"/>
    <w:link w:val="CommentSubject"/>
    <w:uiPriority w:val="99"/>
    <w:semiHidden/>
    <w:rsid w:val="00C46BA6"/>
    <w:rPr>
      <w:b/>
      <w:bCs/>
      <w:sz w:val="20"/>
      <w:szCs w:val="20"/>
    </w:rPr>
  </w:style>
  <w:style w:type="character" w:styleId="Hyperlink">
    <w:name w:val="Hyperlink"/>
    <w:basedOn w:val="DefaultParagraphFont"/>
    <w:uiPriority w:val="99"/>
    <w:unhideWhenUsed/>
    <w:locked/>
    <w:rsid w:val="00A87E26"/>
    <w:rPr>
      <w:color w:val="0000FF" w:themeColor="hyperlink"/>
      <w:u w:val="single"/>
    </w:rPr>
  </w:style>
  <w:style w:type="character" w:styleId="UnresolvedMention">
    <w:name w:val="Unresolved Mention"/>
    <w:basedOn w:val="DefaultParagraphFont"/>
    <w:uiPriority w:val="99"/>
    <w:semiHidden/>
    <w:unhideWhenUsed/>
    <w:rsid w:val="00A87E26"/>
    <w:rPr>
      <w:color w:val="605E5C"/>
      <w:shd w:val="clear" w:color="auto" w:fill="E1DFDD"/>
    </w:rPr>
  </w:style>
  <w:style w:type="paragraph" w:customStyle="1" w:styleId="Body">
    <w:name w:val="Body"/>
    <w:basedOn w:val="Normal"/>
    <w:qFormat/>
    <w:rsid w:val="00D237B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237B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237B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237B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237B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237B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documentManagement/types"/>
    <ds:schemaRef ds:uri="http://www.w3.org/XML/1998/namespace"/>
    <ds:schemaRef ds:uri="http://schemas.openxmlformats.org/package/2006/metadata/core-properties"/>
    <ds:schemaRef ds:uri="http://purl.org/dc/dcmitype/"/>
    <ds:schemaRef ds:uri="cbc5b7fd-636f-49ec-b8cc-eb8a3f2ba19e"/>
    <ds:schemaRef ds:uri="http://schemas.microsoft.com/office/2006/metadata/properties"/>
    <ds:schemaRef ds:uri="3cc3f26d-d9cc-46f3-89c7-f1482de8c8f1"/>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7C4BE3D3-D04A-4219-BDD7-004A944BA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21</Pages>
  <Words>5588</Words>
  <Characters>28788</Characters>
  <Application>Microsoft Office Word</Application>
  <DocSecurity>0</DocSecurity>
  <Lines>505</Lines>
  <Paragraphs>85</Paragraphs>
  <ScaleCrop>false</ScaleCrop>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2024-08-09T06:44:00Z</dcterms:created>
  <dcterms:modified xsi:type="dcterms:W3CDTF">2024-08-09T06:46:00Z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