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8BFA" w14:textId="77777777" w:rsidR="00CF754B" w:rsidRPr="00704FF8" w:rsidRDefault="00CF754B" w:rsidP="00704FF8">
      <w:pPr>
        <w:pStyle w:val="OrdersTopLine"/>
      </w:pPr>
      <w:r w:rsidRPr="00704FF8">
        <w:t>HIGH COURT OF AUSTRALIA</w:t>
      </w:r>
    </w:p>
    <w:p w14:paraId="78A8E9A8" w14:textId="77777777" w:rsidR="00CF754B" w:rsidRPr="00704FF8" w:rsidRDefault="00CF754B" w:rsidP="00704FF8">
      <w:pPr>
        <w:pStyle w:val="OrderCentre"/>
      </w:pPr>
    </w:p>
    <w:p w14:paraId="0318CB32" w14:textId="77777777" w:rsidR="00CF754B" w:rsidRPr="00C46004" w:rsidRDefault="00CF754B" w:rsidP="00704FF8">
      <w:pPr>
        <w:pStyle w:val="OrderCentre"/>
        <w:rPr>
          <w:spacing w:val="-4"/>
          <w:sz w:val="24"/>
          <w:szCs w:val="24"/>
        </w:rPr>
      </w:pPr>
      <w:r w:rsidRPr="00C46004">
        <w:rPr>
          <w:spacing w:val="-4"/>
          <w:sz w:val="24"/>
          <w:szCs w:val="24"/>
        </w:rPr>
        <w:t>GAGELER CJ,</w:t>
      </w:r>
    </w:p>
    <w:p w14:paraId="6937E5B3" w14:textId="77777777" w:rsidR="00CF754B" w:rsidRPr="00704FF8" w:rsidRDefault="00CF754B"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2073E823" w14:textId="77777777" w:rsidR="00CF754B" w:rsidRPr="00427F3A" w:rsidRDefault="00CF754B" w:rsidP="00EE5374">
      <w:pPr>
        <w:pStyle w:val="Centre"/>
        <w:rPr>
          <w:lang w:val="en-AU"/>
        </w:rPr>
      </w:pPr>
    </w:p>
    <w:p w14:paraId="199D449C" w14:textId="77777777" w:rsidR="00CF754B" w:rsidRPr="00704FF8" w:rsidRDefault="00CF754B" w:rsidP="00704FF8">
      <w:pPr>
        <w:pStyle w:val="OrdersCenteredBorder"/>
      </w:pPr>
    </w:p>
    <w:p w14:paraId="415DC97F" w14:textId="77777777" w:rsidR="00CF754B" w:rsidRPr="00704FF8" w:rsidRDefault="00CF754B" w:rsidP="0032341F">
      <w:pPr>
        <w:pStyle w:val="OrdersBodyHeading"/>
      </w:pPr>
    </w:p>
    <w:p w14:paraId="4607E926" w14:textId="77777777" w:rsidR="00CF754B" w:rsidRDefault="00CF754B" w:rsidP="00C90C76">
      <w:pPr>
        <w:pStyle w:val="OrdersPartyName"/>
        <w:ind w:right="-1"/>
        <w:jc w:val="left"/>
      </w:pPr>
      <w:r w:rsidRPr="00C90C76">
        <w:t xml:space="preserve">ATTORNEY-GENERAL FOR THE STATE OF </w:t>
      </w:r>
    </w:p>
    <w:p w14:paraId="388832BE" w14:textId="77777777" w:rsidR="00CF754B" w:rsidRPr="0032341F" w:rsidRDefault="00CF754B" w:rsidP="00C90C76">
      <w:pPr>
        <w:pStyle w:val="OrdersPartyName"/>
        <w:ind w:right="-1"/>
        <w:jc w:val="left"/>
      </w:pPr>
      <w:r w:rsidRPr="00C90C76">
        <w:t>TASMANIA</w:t>
      </w:r>
      <w:r w:rsidRPr="0032341F">
        <w:tab/>
        <w:t>APPELLANT</w:t>
      </w:r>
    </w:p>
    <w:p w14:paraId="5C0F77FE" w14:textId="77777777" w:rsidR="00CF754B" w:rsidRPr="0032341F" w:rsidRDefault="00CF754B" w:rsidP="009362E8">
      <w:pPr>
        <w:pStyle w:val="OrdersPartyName"/>
        <w:ind w:right="-1"/>
      </w:pPr>
    </w:p>
    <w:p w14:paraId="587B245D" w14:textId="77777777" w:rsidR="00CF754B" w:rsidRPr="0032341F" w:rsidRDefault="00CF754B" w:rsidP="009362E8">
      <w:pPr>
        <w:pStyle w:val="OrdersPartyName"/>
        <w:ind w:right="-1"/>
      </w:pPr>
      <w:r w:rsidRPr="0032341F">
        <w:t>AND</w:t>
      </w:r>
    </w:p>
    <w:p w14:paraId="072EDC81" w14:textId="77777777" w:rsidR="00CF754B" w:rsidRPr="0032341F" w:rsidRDefault="00CF754B" w:rsidP="009362E8">
      <w:pPr>
        <w:pStyle w:val="OrdersPartyName"/>
        <w:ind w:right="-1"/>
      </w:pPr>
    </w:p>
    <w:p w14:paraId="2BCDF6BD" w14:textId="77777777" w:rsidR="00CF754B" w:rsidRPr="0032341F" w:rsidRDefault="00CF754B" w:rsidP="009362E8">
      <w:pPr>
        <w:pStyle w:val="OrdersPartyName"/>
        <w:ind w:right="-1"/>
      </w:pPr>
      <w:r w:rsidRPr="00C90C76">
        <w:t>GREGORY JOHN</w:t>
      </w:r>
      <w:r>
        <w:t xml:space="preserve"> </w:t>
      </w:r>
      <w:r w:rsidRPr="00C90C76">
        <w:t>CASIMATY &amp; ANOR</w:t>
      </w:r>
      <w:r w:rsidRPr="0032341F">
        <w:tab/>
        <w:t>RESPONDENT</w:t>
      </w:r>
      <w:r>
        <w:t>S</w:t>
      </w:r>
    </w:p>
    <w:p w14:paraId="177F7B24" w14:textId="77777777" w:rsidR="00CF754B" w:rsidRPr="00427F3A" w:rsidRDefault="00CF754B" w:rsidP="00AF0A5E">
      <w:pPr>
        <w:pStyle w:val="BodyHeading"/>
      </w:pPr>
    </w:p>
    <w:p w14:paraId="10A3DCB0" w14:textId="77777777" w:rsidR="00CF754B" w:rsidRPr="00427F3A" w:rsidRDefault="00CF754B" w:rsidP="00BE0A6C">
      <w:pPr>
        <w:pStyle w:val="BodyHeading"/>
      </w:pPr>
    </w:p>
    <w:p w14:paraId="7955FFC9" w14:textId="77777777" w:rsidR="00CF754B" w:rsidRPr="00427F3A" w:rsidRDefault="00CF754B" w:rsidP="00EE5374">
      <w:pPr>
        <w:pStyle w:val="CentreItalics"/>
      </w:pPr>
      <w:r w:rsidRPr="00C90C76">
        <w:t xml:space="preserve">Attorney-General </w:t>
      </w:r>
      <w:r>
        <w:t>(Tas)</w:t>
      </w:r>
      <w:r w:rsidRPr="00C90C76">
        <w:t xml:space="preserve"> v </w:t>
      </w:r>
      <w:proofErr w:type="spellStart"/>
      <w:r w:rsidRPr="00C90C76">
        <w:t>Casimaty</w:t>
      </w:r>
      <w:proofErr w:type="spellEnd"/>
    </w:p>
    <w:p w14:paraId="7342B688" w14:textId="77777777" w:rsidR="00CF754B" w:rsidRPr="00427F3A" w:rsidRDefault="00CF754B" w:rsidP="00E90E4F">
      <w:pPr>
        <w:pStyle w:val="OrdersCentre"/>
      </w:pPr>
      <w:r>
        <w:t>[2024</w:t>
      </w:r>
      <w:r w:rsidRPr="00427F3A">
        <w:t xml:space="preserve">] HCA </w:t>
      </w:r>
      <w:r>
        <w:t>31</w:t>
      </w:r>
    </w:p>
    <w:p w14:paraId="61616AA0" w14:textId="77777777" w:rsidR="00CF754B" w:rsidRDefault="00CF754B" w:rsidP="00E90E4F">
      <w:pPr>
        <w:pStyle w:val="OrdersCentreItalics"/>
      </w:pPr>
      <w:r>
        <w:t xml:space="preserve">Date of Hearing: </w:t>
      </w:r>
      <w:r w:rsidRPr="00C90C76">
        <w:t>9 April 2024</w:t>
      </w:r>
    </w:p>
    <w:p w14:paraId="714479A1" w14:textId="77777777" w:rsidR="00CF754B" w:rsidRPr="00427F3A" w:rsidRDefault="00CF754B" w:rsidP="00E90E4F">
      <w:pPr>
        <w:pStyle w:val="OrdersCentreItalics"/>
      </w:pPr>
      <w:r>
        <w:t>Date of Judgment: 11 September 2024</w:t>
      </w:r>
    </w:p>
    <w:p w14:paraId="6AFAF8D7" w14:textId="77777777" w:rsidR="00CF754B" w:rsidRDefault="00CF754B" w:rsidP="00E90E4F">
      <w:pPr>
        <w:pStyle w:val="OrdersCentre"/>
      </w:pPr>
      <w:r w:rsidRPr="00C90C76">
        <w:t>H3/2023</w:t>
      </w:r>
    </w:p>
    <w:p w14:paraId="39294AEA" w14:textId="77777777" w:rsidR="00CF754B" w:rsidRPr="00427F3A" w:rsidRDefault="00CF754B" w:rsidP="00E90E4F">
      <w:pPr>
        <w:pStyle w:val="OrdersCentre"/>
      </w:pPr>
    </w:p>
    <w:p w14:paraId="002BC1C3" w14:textId="77777777" w:rsidR="00CF754B" w:rsidRPr="00BE0A6C" w:rsidRDefault="00CF754B" w:rsidP="00E90E4F">
      <w:pPr>
        <w:pStyle w:val="OrderCentreBold"/>
      </w:pPr>
      <w:r w:rsidRPr="00BE0A6C">
        <w:t>ORDER</w:t>
      </w:r>
    </w:p>
    <w:p w14:paraId="29B505A5" w14:textId="77777777" w:rsidR="00CF754B" w:rsidRPr="00427F3A" w:rsidRDefault="00CF754B" w:rsidP="00736C52">
      <w:pPr>
        <w:pStyle w:val="Centre"/>
        <w:rPr>
          <w:lang w:val="en-AU"/>
        </w:rPr>
      </w:pPr>
    </w:p>
    <w:p w14:paraId="20A66070" w14:textId="77777777" w:rsidR="00CF754B" w:rsidRDefault="00CF754B" w:rsidP="006879C4">
      <w:pPr>
        <w:pStyle w:val="OrdersText"/>
      </w:pPr>
      <w:r>
        <w:t>1.</w:t>
      </w:r>
      <w:r>
        <w:tab/>
        <w:t>A</w:t>
      </w:r>
      <w:r w:rsidRPr="00B92BF7">
        <w:t>ppeal allowed.</w:t>
      </w:r>
    </w:p>
    <w:p w14:paraId="29CE7438" w14:textId="77777777" w:rsidR="00CF754B" w:rsidRPr="00B92BF7" w:rsidRDefault="00CF754B" w:rsidP="006879C4">
      <w:pPr>
        <w:pStyle w:val="OrdersText"/>
      </w:pPr>
    </w:p>
    <w:p w14:paraId="704D3F6A" w14:textId="77777777" w:rsidR="00CF754B" w:rsidRDefault="00CF754B" w:rsidP="006879C4">
      <w:pPr>
        <w:pStyle w:val="OrdersText"/>
      </w:pPr>
      <w:r>
        <w:t>2.</w:t>
      </w:r>
      <w:r>
        <w:tab/>
      </w:r>
      <w:r w:rsidRPr="00CC2861">
        <w:t>Set aside the order</w:t>
      </w:r>
      <w:r w:rsidRPr="00DB709A">
        <w:t>s</w:t>
      </w:r>
      <w:r w:rsidRPr="00CC2861">
        <w:t xml:space="preserve"> made by the </w:t>
      </w:r>
      <w:r>
        <w:t xml:space="preserve">Full Court of the </w:t>
      </w:r>
      <w:r w:rsidRPr="00CC2861">
        <w:t xml:space="preserve">Supreme Court of </w:t>
      </w:r>
      <w:r>
        <w:t xml:space="preserve">Tasmania </w:t>
      </w:r>
      <w:r w:rsidRPr="00CC2861">
        <w:t>on</w:t>
      </w:r>
      <w:r>
        <w:t xml:space="preserve"> 4 May 2023</w:t>
      </w:r>
      <w:r w:rsidRPr="00CC2861">
        <w:t xml:space="preserve"> and, in </w:t>
      </w:r>
      <w:r>
        <w:t>their place</w:t>
      </w:r>
      <w:r w:rsidRPr="00CC2861">
        <w:t>, order that</w:t>
      </w:r>
      <w:r>
        <w:t xml:space="preserve"> </w:t>
      </w:r>
      <w:r w:rsidRPr="00144187">
        <w:t>the appeal from the order</w:t>
      </w:r>
      <w:r>
        <w:t>s</w:t>
      </w:r>
      <w:r w:rsidRPr="00144187">
        <w:t xml:space="preserve"> </w:t>
      </w:r>
      <w:r>
        <w:t>made by the Supreme Court of Tasmania on 21 February 2022</w:t>
      </w:r>
      <w:r w:rsidRPr="00144187">
        <w:t xml:space="preserve"> be dismissed with costs</w:t>
      </w:r>
      <w:r>
        <w:t>.</w:t>
      </w:r>
    </w:p>
    <w:p w14:paraId="5E86B2C0" w14:textId="77777777" w:rsidR="00CF754B" w:rsidRDefault="00CF754B" w:rsidP="006879C4">
      <w:pPr>
        <w:pStyle w:val="OrdersText"/>
      </w:pPr>
    </w:p>
    <w:p w14:paraId="708469A8" w14:textId="77777777" w:rsidR="00CF754B" w:rsidRPr="00CB2709" w:rsidRDefault="00CF754B" w:rsidP="006879C4">
      <w:pPr>
        <w:pStyle w:val="OrdersText"/>
      </w:pPr>
      <w:r>
        <w:t>3.</w:t>
      </w:r>
      <w:r>
        <w:tab/>
        <w:t xml:space="preserve">The first respondent </w:t>
      </w:r>
      <w:proofErr w:type="gramStart"/>
      <w:r>
        <w:t>pay</w:t>
      </w:r>
      <w:proofErr w:type="gramEnd"/>
      <w:r>
        <w:t xml:space="preserve"> the appellant's costs of the appeal to this Court.</w:t>
      </w:r>
    </w:p>
    <w:p w14:paraId="22D6402E" w14:textId="77777777" w:rsidR="00CF754B" w:rsidRDefault="00CF754B" w:rsidP="00EE5374">
      <w:pPr>
        <w:pStyle w:val="Body"/>
      </w:pPr>
    </w:p>
    <w:p w14:paraId="1068D8CA" w14:textId="77777777" w:rsidR="00CF754B" w:rsidRPr="00427F3A" w:rsidRDefault="00CF754B" w:rsidP="00EE5374">
      <w:pPr>
        <w:pStyle w:val="Body"/>
      </w:pPr>
    </w:p>
    <w:p w14:paraId="21517A14" w14:textId="77777777" w:rsidR="00CF754B" w:rsidRPr="00427F3A" w:rsidRDefault="00CF754B" w:rsidP="0032341F">
      <w:pPr>
        <w:pStyle w:val="OrdersBody"/>
      </w:pPr>
      <w:r w:rsidRPr="00427F3A">
        <w:t xml:space="preserve">On appeal from the Supreme </w:t>
      </w:r>
      <w:r w:rsidRPr="00C90C76">
        <w:t>Court of Tasmania</w:t>
      </w:r>
    </w:p>
    <w:p w14:paraId="4DC509B0" w14:textId="77777777" w:rsidR="00CF754B" w:rsidRDefault="00CF754B" w:rsidP="00EE5374">
      <w:pPr>
        <w:pStyle w:val="Body"/>
      </w:pPr>
    </w:p>
    <w:p w14:paraId="1B11762A" w14:textId="77777777" w:rsidR="00CF754B" w:rsidRPr="00427F3A" w:rsidRDefault="00CF754B" w:rsidP="00EE5374">
      <w:pPr>
        <w:pStyle w:val="Body"/>
      </w:pPr>
    </w:p>
    <w:p w14:paraId="07EED8D7" w14:textId="77777777" w:rsidR="00CF754B" w:rsidRPr="00427F3A" w:rsidRDefault="00CF754B" w:rsidP="00E90E4F">
      <w:pPr>
        <w:pStyle w:val="OrdersBodyHeading"/>
      </w:pPr>
      <w:r w:rsidRPr="00427F3A">
        <w:t>Representation</w:t>
      </w:r>
    </w:p>
    <w:p w14:paraId="710170B1" w14:textId="77777777" w:rsidR="00CF754B" w:rsidRDefault="00CF754B" w:rsidP="00EE5374">
      <w:pPr>
        <w:pStyle w:val="Body"/>
      </w:pPr>
    </w:p>
    <w:p w14:paraId="5F4D262B" w14:textId="77777777" w:rsidR="00CF754B" w:rsidRPr="00627B29" w:rsidRDefault="00CF754B" w:rsidP="00E90E4F">
      <w:pPr>
        <w:pStyle w:val="OrdersBody"/>
      </w:pPr>
      <w:r w:rsidRPr="00627B29">
        <w:t>S K Kay SC, Solicitor</w:t>
      </w:r>
      <w:r>
        <w:t>-</w:t>
      </w:r>
      <w:r w:rsidRPr="00627B29">
        <w:t>General for the State of Tasmania, with E</w:t>
      </w:r>
      <w:r>
        <w:t xml:space="preserve"> </w:t>
      </w:r>
      <w:r w:rsidRPr="00627B29">
        <w:t>A</w:t>
      </w:r>
      <w:r>
        <w:t xml:space="preserve"> </w:t>
      </w:r>
      <w:r w:rsidRPr="00627B29">
        <w:t>Warner for the appellant (instructed by Office of the Solicitor-General (Tas))</w:t>
      </w:r>
    </w:p>
    <w:p w14:paraId="2DBE20CE" w14:textId="77777777" w:rsidR="00CF754B" w:rsidRPr="00627B29" w:rsidRDefault="00CF754B" w:rsidP="00C90C76">
      <w:pPr>
        <w:pStyle w:val="Body"/>
      </w:pPr>
    </w:p>
    <w:p w14:paraId="554FE8B4" w14:textId="77777777" w:rsidR="00CF754B" w:rsidRDefault="00CF754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748290FD" w14:textId="77777777" w:rsidR="00CF754B" w:rsidRDefault="00CF754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71FD48DD" w14:textId="759F1F59" w:rsidR="00CF754B" w:rsidRPr="00627B29" w:rsidRDefault="00CF754B" w:rsidP="00C90C76">
      <w:pPr>
        <w:pStyle w:val="OrdersBody"/>
      </w:pPr>
      <w:r w:rsidRPr="00627B29">
        <w:lastRenderedPageBreak/>
        <w:t>B R McTaggart SC with G M O</w:t>
      </w:r>
      <w:r w:rsidRPr="00627B29">
        <w:rPr>
          <w:lang w:val="en-AU"/>
        </w:rPr>
        <w:t>'</w:t>
      </w:r>
      <w:r w:rsidRPr="00627B29">
        <w:t>Rafferty for the first respondent (instructed by Leonard Fernandez Barristers &amp; Solicitors)</w:t>
      </w:r>
    </w:p>
    <w:p w14:paraId="1CE131CF" w14:textId="77777777" w:rsidR="00CF754B" w:rsidRPr="00627B29" w:rsidRDefault="00CF754B" w:rsidP="00627B29">
      <w:pPr>
        <w:pStyle w:val="Body"/>
      </w:pPr>
    </w:p>
    <w:p w14:paraId="06409EDB" w14:textId="77777777" w:rsidR="00CF754B" w:rsidRPr="00627B29" w:rsidRDefault="00CF754B" w:rsidP="00CF754B">
      <w:pPr>
        <w:pStyle w:val="OrdersBody"/>
      </w:pPr>
      <w:r w:rsidRPr="00627B29">
        <w:t xml:space="preserve">S P </w:t>
      </w:r>
      <w:proofErr w:type="spellStart"/>
      <w:r w:rsidRPr="00627B29">
        <w:t>Donaghue</w:t>
      </w:r>
      <w:proofErr w:type="spellEnd"/>
      <w:r w:rsidRPr="00627B29">
        <w:t xml:space="preserve"> KC, Solicitor-General of the Commonwealth, with E H I Smith and M</w:t>
      </w:r>
      <w:r w:rsidRPr="00627B29">
        <w:noBreakHyphen/>
        <w:t>Q T Nguyen for the Attorney-General of the Commonwealth, intervening (instructed by Australian Government Solicitor)</w:t>
      </w:r>
    </w:p>
    <w:p w14:paraId="781AE410" w14:textId="77777777" w:rsidR="00CF754B" w:rsidRPr="00627B29" w:rsidRDefault="00CF754B" w:rsidP="00627B29">
      <w:pPr>
        <w:pStyle w:val="Body"/>
      </w:pPr>
    </w:p>
    <w:p w14:paraId="3AAC35F8" w14:textId="77777777" w:rsidR="00CF754B" w:rsidRPr="00627B29" w:rsidRDefault="00CF754B" w:rsidP="00627B29">
      <w:pPr>
        <w:pStyle w:val="OrdersBody"/>
      </w:pPr>
      <w:r w:rsidRPr="00627B29">
        <w:t>M J Wait SC, Solicitor-General for the State of South Australia, with J F </w:t>
      </w:r>
      <w:proofErr w:type="spellStart"/>
      <w:r w:rsidRPr="00627B29">
        <w:t>Metzer</w:t>
      </w:r>
      <w:proofErr w:type="spellEnd"/>
      <w:r w:rsidRPr="00627B29">
        <w:t xml:space="preserve"> for the Attorney</w:t>
      </w:r>
      <w:r>
        <w:t>-</w:t>
      </w:r>
      <w:r w:rsidRPr="00627B29">
        <w:t xml:space="preserve">General for </w:t>
      </w:r>
      <w:r>
        <w:t xml:space="preserve">the State of </w:t>
      </w:r>
      <w:r w:rsidRPr="00627B29">
        <w:t>South Australia, intervening (instructed by Crown Solicitor</w:t>
      </w:r>
      <w:r>
        <w:t>'</w:t>
      </w:r>
      <w:r w:rsidRPr="00627B29">
        <w:t>s Office (SA))</w:t>
      </w:r>
    </w:p>
    <w:p w14:paraId="7B9F442E" w14:textId="77777777" w:rsidR="00CF754B" w:rsidRPr="00627B29" w:rsidRDefault="00CF754B" w:rsidP="00A01277">
      <w:pPr>
        <w:pStyle w:val="Body"/>
      </w:pPr>
    </w:p>
    <w:p w14:paraId="280797CB" w14:textId="77777777" w:rsidR="00CF754B" w:rsidRPr="00627B29" w:rsidRDefault="00CF754B" w:rsidP="00EB2770">
      <w:pPr>
        <w:pStyle w:val="OrdersBody"/>
      </w:pPr>
      <w:r w:rsidRPr="00627B29">
        <w:t>A P Berger KC with P M Bindon for the Attorney</w:t>
      </w:r>
      <w:r>
        <w:t>-</w:t>
      </w:r>
      <w:r w:rsidRPr="00627B29">
        <w:t>General for the Australian Capital Territory, intervening (instructed by ACT Government Solicitor)</w:t>
      </w:r>
    </w:p>
    <w:p w14:paraId="4656FC9F" w14:textId="77777777" w:rsidR="00CF754B" w:rsidRPr="002A11DF" w:rsidRDefault="00CF754B" w:rsidP="00A01277">
      <w:pPr>
        <w:pStyle w:val="Body"/>
      </w:pPr>
    </w:p>
    <w:p w14:paraId="12262A3E" w14:textId="77777777" w:rsidR="00CF754B" w:rsidRPr="002A11DF" w:rsidRDefault="00CF754B" w:rsidP="00E90E4F">
      <w:pPr>
        <w:pStyle w:val="OrdersBody"/>
      </w:pPr>
      <w:r w:rsidRPr="002A11DF">
        <w:t>Submitting appearance for the second respondent</w:t>
      </w:r>
    </w:p>
    <w:p w14:paraId="5D2F5521" w14:textId="77777777" w:rsidR="00CF754B" w:rsidRDefault="00CF754B" w:rsidP="00A01277">
      <w:pPr>
        <w:pStyle w:val="Body"/>
      </w:pPr>
    </w:p>
    <w:p w14:paraId="7BE1AD33" w14:textId="77777777" w:rsidR="00CF754B" w:rsidRDefault="00CF754B" w:rsidP="00EE5374">
      <w:pPr>
        <w:pStyle w:val="Body"/>
      </w:pPr>
    </w:p>
    <w:p w14:paraId="1BBE720B" w14:textId="77777777" w:rsidR="00CF754B" w:rsidRPr="00427F3A" w:rsidRDefault="00CF754B" w:rsidP="00EE5374">
      <w:pPr>
        <w:pStyle w:val="Body"/>
      </w:pPr>
    </w:p>
    <w:p w14:paraId="7429D4DA" w14:textId="77777777" w:rsidR="00CF754B" w:rsidRDefault="00CF754B" w:rsidP="00F9713B">
      <w:pPr>
        <w:pStyle w:val="Notice"/>
        <w:rPr>
          <w:lang w:val="en-AU"/>
        </w:rPr>
      </w:pPr>
    </w:p>
    <w:p w14:paraId="03D7ACA1" w14:textId="77777777" w:rsidR="00CF754B" w:rsidRDefault="00CF754B" w:rsidP="00F9713B">
      <w:pPr>
        <w:pStyle w:val="Notice"/>
        <w:rPr>
          <w:lang w:val="en-AU"/>
        </w:rPr>
      </w:pPr>
    </w:p>
    <w:p w14:paraId="040652AA" w14:textId="77777777" w:rsidR="00CF754B" w:rsidRDefault="00CF754B" w:rsidP="00F9713B">
      <w:pPr>
        <w:pStyle w:val="Notice"/>
        <w:rPr>
          <w:lang w:val="en-AU"/>
        </w:rPr>
      </w:pPr>
    </w:p>
    <w:p w14:paraId="019E03C0" w14:textId="77777777" w:rsidR="00CF754B" w:rsidRDefault="00CF754B" w:rsidP="00F9713B">
      <w:pPr>
        <w:pStyle w:val="Notice"/>
        <w:rPr>
          <w:lang w:val="en-AU"/>
        </w:rPr>
      </w:pPr>
    </w:p>
    <w:p w14:paraId="260294E0" w14:textId="77777777" w:rsidR="00CF754B" w:rsidRDefault="00CF754B" w:rsidP="00F9713B">
      <w:pPr>
        <w:pStyle w:val="Notice"/>
        <w:rPr>
          <w:lang w:val="en-AU"/>
        </w:rPr>
      </w:pPr>
    </w:p>
    <w:p w14:paraId="4C160ABA" w14:textId="77777777" w:rsidR="00CF754B" w:rsidRDefault="00CF754B" w:rsidP="00F9713B">
      <w:pPr>
        <w:pStyle w:val="Notice"/>
        <w:rPr>
          <w:lang w:val="en-AU"/>
        </w:rPr>
      </w:pPr>
    </w:p>
    <w:p w14:paraId="04A64D24" w14:textId="77777777" w:rsidR="00CF754B" w:rsidRDefault="00CF754B" w:rsidP="00F9713B">
      <w:pPr>
        <w:pStyle w:val="Notice"/>
        <w:rPr>
          <w:lang w:val="en-AU"/>
        </w:rPr>
      </w:pPr>
    </w:p>
    <w:p w14:paraId="7AEA057D" w14:textId="77777777" w:rsidR="00CF754B" w:rsidRDefault="00CF754B" w:rsidP="00F9713B">
      <w:pPr>
        <w:pStyle w:val="Notice"/>
        <w:rPr>
          <w:lang w:val="en-AU"/>
        </w:rPr>
      </w:pPr>
    </w:p>
    <w:p w14:paraId="7EE17B13" w14:textId="77777777" w:rsidR="00CF754B" w:rsidRDefault="00CF754B" w:rsidP="00F9713B">
      <w:pPr>
        <w:pStyle w:val="Notice"/>
        <w:rPr>
          <w:lang w:val="en-AU"/>
        </w:rPr>
      </w:pPr>
    </w:p>
    <w:p w14:paraId="2B3B930C" w14:textId="77777777" w:rsidR="00CF754B" w:rsidRDefault="00CF754B" w:rsidP="00F9713B">
      <w:pPr>
        <w:pStyle w:val="Notice"/>
        <w:rPr>
          <w:lang w:val="en-AU"/>
        </w:rPr>
      </w:pPr>
    </w:p>
    <w:p w14:paraId="2784F2AD" w14:textId="77777777" w:rsidR="00CF754B" w:rsidRDefault="00CF754B" w:rsidP="00F9713B">
      <w:pPr>
        <w:pStyle w:val="Notice"/>
        <w:rPr>
          <w:lang w:val="en-AU"/>
        </w:rPr>
      </w:pPr>
    </w:p>
    <w:p w14:paraId="325E9CFB" w14:textId="77777777" w:rsidR="00CF754B" w:rsidRDefault="00CF754B" w:rsidP="00F9713B">
      <w:pPr>
        <w:pStyle w:val="Notice"/>
        <w:rPr>
          <w:lang w:val="en-AU"/>
        </w:rPr>
      </w:pPr>
    </w:p>
    <w:p w14:paraId="72B9239F" w14:textId="77777777" w:rsidR="00CF754B" w:rsidRDefault="00CF754B" w:rsidP="00F9713B">
      <w:pPr>
        <w:pStyle w:val="Notice"/>
        <w:rPr>
          <w:lang w:val="en-AU"/>
        </w:rPr>
      </w:pPr>
    </w:p>
    <w:p w14:paraId="43986DD1" w14:textId="77777777" w:rsidR="00CF754B" w:rsidRDefault="00CF754B" w:rsidP="00F9713B">
      <w:pPr>
        <w:pStyle w:val="Notice"/>
        <w:rPr>
          <w:lang w:val="en-AU"/>
        </w:rPr>
      </w:pPr>
    </w:p>
    <w:p w14:paraId="49B9C9DC" w14:textId="77777777" w:rsidR="00CF754B" w:rsidRDefault="00CF754B" w:rsidP="00F9713B">
      <w:pPr>
        <w:pStyle w:val="Notice"/>
        <w:rPr>
          <w:lang w:val="en-AU"/>
        </w:rPr>
      </w:pPr>
    </w:p>
    <w:p w14:paraId="7781DC14" w14:textId="77777777" w:rsidR="00CF754B" w:rsidRDefault="00CF754B" w:rsidP="00F9713B">
      <w:pPr>
        <w:pStyle w:val="Notice"/>
        <w:rPr>
          <w:lang w:val="en-AU"/>
        </w:rPr>
      </w:pPr>
    </w:p>
    <w:p w14:paraId="4BE4DF54" w14:textId="77777777" w:rsidR="00CF754B" w:rsidRDefault="00CF754B" w:rsidP="00F9713B">
      <w:pPr>
        <w:pStyle w:val="Notice"/>
        <w:rPr>
          <w:lang w:val="en-AU"/>
        </w:rPr>
      </w:pPr>
    </w:p>
    <w:p w14:paraId="2658814B" w14:textId="77777777" w:rsidR="00CF754B" w:rsidRDefault="00CF754B" w:rsidP="00F9713B">
      <w:pPr>
        <w:pStyle w:val="Notice"/>
        <w:rPr>
          <w:lang w:val="en-AU"/>
        </w:rPr>
      </w:pPr>
    </w:p>
    <w:p w14:paraId="2C64E3AD" w14:textId="77777777" w:rsidR="00CF754B" w:rsidRDefault="00CF754B" w:rsidP="00F9713B">
      <w:pPr>
        <w:pStyle w:val="Notice"/>
        <w:rPr>
          <w:lang w:val="en-AU"/>
        </w:rPr>
      </w:pPr>
    </w:p>
    <w:p w14:paraId="6BB23D73" w14:textId="77777777" w:rsidR="00CF754B" w:rsidRDefault="00CF754B" w:rsidP="00F9713B">
      <w:pPr>
        <w:pStyle w:val="Notice"/>
        <w:rPr>
          <w:lang w:val="en-AU"/>
        </w:rPr>
      </w:pPr>
    </w:p>
    <w:p w14:paraId="34A119F5" w14:textId="77777777" w:rsidR="00CF754B" w:rsidRDefault="00CF754B" w:rsidP="00F9713B">
      <w:pPr>
        <w:pStyle w:val="Notice"/>
        <w:rPr>
          <w:lang w:val="en-AU"/>
        </w:rPr>
      </w:pPr>
    </w:p>
    <w:p w14:paraId="357F3DFD" w14:textId="4CC4CAB3" w:rsidR="00CF754B" w:rsidRPr="00427F3A" w:rsidRDefault="00CF754B" w:rsidP="00F9713B">
      <w:pPr>
        <w:pStyle w:val="Notice"/>
        <w:rPr>
          <w:lang w:val="en-AU"/>
        </w:rPr>
      </w:pPr>
      <w:r w:rsidRPr="00427F3A">
        <w:rPr>
          <w:lang w:val="en-AU"/>
        </w:rPr>
        <w:t>Notice:  This copy of the Court's Reasons for Judgment is subject to formal revision prior to publication in the Commonwealth Law Reports.</w:t>
      </w:r>
    </w:p>
    <w:p w14:paraId="6E879807" w14:textId="493B2918" w:rsidR="00CF754B" w:rsidRDefault="00CF754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3293663" w14:textId="77777777" w:rsidR="00323EE3" w:rsidRDefault="00CF754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323EE3" w:rsidSect="00CF754B">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C2619B9" w14:textId="77777777" w:rsidR="00323EE3" w:rsidRPr="00094A09" w:rsidRDefault="00323EE3" w:rsidP="00323EE3">
      <w:pPr>
        <w:pStyle w:val="CatchwordsBold"/>
      </w:pPr>
      <w:r w:rsidRPr="00094A09">
        <w:lastRenderedPageBreak/>
        <w:t>CATCHWORDS</w:t>
      </w:r>
    </w:p>
    <w:p w14:paraId="4CB59F6E" w14:textId="77777777" w:rsidR="00323EE3" w:rsidRPr="00323EE3" w:rsidRDefault="00323EE3" w:rsidP="00323EE3">
      <w:pPr>
        <w:pStyle w:val="CatchwordsBold"/>
      </w:pPr>
    </w:p>
    <w:p w14:paraId="6EB214E7" w14:textId="77777777" w:rsidR="00323EE3" w:rsidRPr="00094A09" w:rsidRDefault="00323EE3" w:rsidP="00323EE3">
      <w:pPr>
        <w:pStyle w:val="CatchwordsBold"/>
      </w:pPr>
      <w:r>
        <w:t xml:space="preserve">Attorney-General (Tas) v </w:t>
      </w:r>
      <w:proofErr w:type="spellStart"/>
      <w:r>
        <w:t>Casimaty</w:t>
      </w:r>
      <w:proofErr w:type="spellEnd"/>
    </w:p>
    <w:p w14:paraId="40D8C8DF" w14:textId="77777777" w:rsidR="00323EE3" w:rsidRPr="00094A09" w:rsidRDefault="00323EE3" w:rsidP="00323EE3">
      <w:pPr>
        <w:pStyle w:val="CatchwordsBold"/>
      </w:pPr>
    </w:p>
    <w:p w14:paraId="579EDCAA" w14:textId="77777777" w:rsidR="00323EE3" w:rsidRPr="00323EE3" w:rsidRDefault="00323EE3" w:rsidP="00323EE3">
      <w:pPr>
        <w:pStyle w:val="CatchwordsText"/>
      </w:pPr>
      <w:r>
        <w:t>Statutes</w:t>
      </w:r>
      <w:r w:rsidRPr="00094A09">
        <w:t xml:space="preserve"> –</w:t>
      </w:r>
      <w:r>
        <w:t xml:space="preserve"> Construction – Statutory consequence of non-compliance with statutory condition of exercise of power </w:t>
      </w:r>
      <w:r w:rsidRPr="00094A09">
        <w:t>–</w:t>
      </w:r>
      <w:r>
        <w:t xml:space="preserve"> Where s 16(1) of </w:t>
      </w:r>
      <w:bookmarkStart w:id="0" w:name="_Hlk175221567"/>
      <w:r w:rsidRPr="00946707">
        <w:rPr>
          <w:i/>
          <w:iCs/>
        </w:rPr>
        <w:t>Public Works Committee Act 1914</w:t>
      </w:r>
      <w:r w:rsidRPr="00946707">
        <w:t xml:space="preserve"> (Tas)</w:t>
      </w:r>
      <w:r>
        <w:t xml:space="preserve"> </w:t>
      </w:r>
      <w:bookmarkEnd w:id="0"/>
      <w:r>
        <w:t xml:space="preserve">("Act") stipulates conditions precedent to commencement of public work proposed to be undertaken by Tasmanian Government department or State authority </w:t>
      </w:r>
      <w:r w:rsidRPr="00094A09">
        <w:t>–</w:t>
      </w:r>
      <w:r>
        <w:t xml:space="preserve"> Conditions precedent that </w:t>
      </w:r>
      <w:r w:rsidRPr="0010219C">
        <w:t>public work referred to and reported upon by</w:t>
      </w:r>
      <w:r>
        <w:t xml:space="preserve"> Parliamentary Standing Committee on Public Works ("Committee") </w:t>
      </w:r>
      <w:r w:rsidRPr="00094A09">
        <w:t xml:space="preserve">– </w:t>
      </w:r>
      <w:r>
        <w:t xml:space="preserve">Where </w:t>
      </w:r>
      <w:r w:rsidRPr="00B44ED3">
        <w:t>Tasmanian Government Department of State Growth</w:t>
      </w:r>
      <w:r>
        <w:t xml:space="preserve"> </w:t>
      </w:r>
      <w:r w:rsidRPr="00B44ED3">
        <w:t>proposed new interchange be constructed</w:t>
      </w:r>
      <w:r>
        <w:t xml:space="preserve"> – Where proposal referred to and reported upon by Committee – Where person with claimed interest in adjacent land brought proceeding against construction company in Supreme Court of Tasmania alleging commencement of road work contravened s 16(1) of Act as different from proposal referred to and reported upon by Committee – Where Attorney-General for Tasmania joined as defendant to proceeding – Where Attorney-General sought order that statement of claim be struck out or proceeding be dismissed because statement of claim failed to disclose cause of action in that no justiciable issue before Court or because adjudication by Court would contravene privilege of Tasmanian Parliament – </w:t>
      </w:r>
      <w:r w:rsidRPr="00094A09">
        <w:t xml:space="preserve">Whether </w:t>
      </w:r>
      <w:r>
        <w:t>observance of conditions precedent to commencement of public work stipulated by s 16(1) of Act an obligation enforceable by a court</w:t>
      </w:r>
      <w:r w:rsidRPr="00094A09">
        <w:t>.</w:t>
      </w:r>
    </w:p>
    <w:p w14:paraId="048454CE" w14:textId="77777777" w:rsidR="00323EE3" w:rsidRPr="00323EE3" w:rsidRDefault="00323EE3" w:rsidP="00323EE3">
      <w:pPr>
        <w:pStyle w:val="CatchwordsText"/>
      </w:pPr>
    </w:p>
    <w:p w14:paraId="63B61DA7" w14:textId="77777777" w:rsidR="00323EE3" w:rsidRPr="00323EE3" w:rsidRDefault="00323EE3" w:rsidP="00323EE3">
      <w:pPr>
        <w:pStyle w:val="CatchwordsText"/>
      </w:pPr>
      <w:r w:rsidRPr="00094A09">
        <w:t>Words and phrases –</w:t>
      </w:r>
      <w:r>
        <w:t xml:space="preserve"> "conditions precedent", "duty", </w:t>
      </w:r>
      <w:r w:rsidRPr="00094A09">
        <w:t>"</w:t>
      </w:r>
      <w:r>
        <w:t xml:space="preserve">exclusive cognisance of Parliament", "impeached or questioned", "intra-mural", </w:t>
      </w:r>
      <w:r w:rsidRPr="00094A09">
        <w:t>"</w:t>
      </w:r>
      <w:r>
        <w:t>justiciable controversy</w:t>
      </w:r>
      <w:r w:rsidRPr="00094A09">
        <w:t>"</w:t>
      </w:r>
      <w:r>
        <w:t xml:space="preserve">, "non-compliance", "non-justiciable", </w:t>
      </w:r>
      <w:r w:rsidRPr="00094A09">
        <w:t>"</w:t>
      </w:r>
      <w:r>
        <w:t>parliamentary privilege</w:t>
      </w:r>
      <w:r w:rsidRPr="00094A09">
        <w:t>"</w:t>
      </w:r>
      <w:r>
        <w:t xml:space="preserve">, </w:t>
      </w:r>
      <w:r w:rsidRPr="00094A09">
        <w:t>"</w:t>
      </w:r>
      <w:r>
        <w:t>political accountability</w:t>
      </w:r>
      <w:r w:rsidRPr="00094A09">
        <w:t>"</w:t>
      </w:r>
      <w:r>
        <w:t xml:space="preserve">, "public obligation", </w:t>
      </w:r>
      <w:r w:rsidRPr="00094A09">
        <w:t>"</w:t>
      </w:r>
      <w:r>
        <w:t>public work</w:t>
      </w:r>
      <w:r w:rsidRPr="00094A09">
        <w:t>", "</w:t>
      </w:r>
      <w:r>
        <w:t>public works committee</w:t>
      </w:r>
      <w:r w:rsidRPr="00094A09">
        <w:t>"</w:t>
      </w:r>
      <w:r>
        <w:t xml:space="preserve">, </w:t>
      </w:r>
      <w:r w:rsidRPr="00094A09">
        <w:t>"</w:t>
      </w:r>
      <w:r>
        <w:t>referred to and reported upon by</w:t>
      </w:r>
      <w:r w:rsidRPr="00094A09">
        <w:t>", "</w:t>
      </w:r>
      <w:r>
        <w:t>responsible government</w:t>
      </w:r>
      <w:r w:rsidRPr="00094A09">
        <w:t>".</w:t>
      </w:r>
    </w:p>
    <w:p w14:paraId="5C9C800F" w14:textId="77777777" w:rsidR="00323EE3" w:rsidRPr="00323EE3" w:rsidRDefault="00323EE3" w:rsidP="00323EE3">
      <w:pPr>
        <w:pStyle w:val="CatchwordsText"/>
      </w:pPr>
    </w:p>
    <w:p w14:paraId="7AE9AAF8" w14:textId="77777777" w:rsidR="00323EE3" w:rsidRPr="00323EE3" w:rsidRDefault="00323EE3" w:rsidP="00323EE3">
      <w:pPr>
        <w:pStyle w:val="CatchwordsText"/>
      </w:pPr>
      <w:r>
        <w:rPr>
          <w:i/>
          <w:iCs/>
        </w:rPr>
        <w:t xml:space="preserve">Bill of Rights 1688 </w:t>
      </w:r>
      <w:r>
        <w:t xml:space="preserve">(1 W &amp; M </w:t>
      </w:r>
      <w:proofErr w:type="spellStart"/>
      <w:r>
        <w:t>sess</w:t>
      </w:r>
      <w:proofErr w:type="spellEnd"/>
      <w:r>
        <w:t xml:space="preserve"> 2 c 2), Art 9.</w:t>
      </w:r>
    </w:p>
    <w:p w14:paraId="7DA45E99" w14:textId="40CCF0E5" w:rsidR="00CF754B" w:rsidRDefault="00323EE3" w:rsidP="00323EE3">
      <w:pPr>
        <w:pStyle w:val="CatchwordsText"/>
      </w:pPr>
      <w:r w:rsidRPr="00323EE3">
        <w:rPr>
          <w:i/>
          <w:iCs/>
        </w:rPr>
        <w:t>Public Works Committee Act 1914</w:t>
      </w:r>
      <w:r w:rsidRPr="00CB21BB">
        <w:t xml:space="preserve"> (Tas)</w:t>
      </w:r>
      <w:r w:rsidRPr="00094A09">
        <w:t xml:space="preserve">, </w:t>
      </w:r>
      <w:r>
        <w:t>ss 15, 16, 17.</w:t>
      </w:r>
    </w:p>
    <w:p w14:paraId="6D0DC0DF" w14:textId="480BBCE9" w:rsidR="00323EE3" w:rsidRDefault="00323EE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55B0134" w14:textId="0F49D11B" w:rsidR="00323EE3" w:rsidRDefault="00323EE3">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DE7A88A" w14:textId="77777777" w:rsidR="00CF754B" w:rsidRDefault="00CF754B" w:rsidP="00B247DF">
      <w:pPr>
        <w:pStyle w:val="FixListStyle"/>
        <w:tabs>
          <w:tab w:val="clear" w:pos="720"/>
          <w:tab w:val="left" w:pos="0"/>
        </w:tabs>
        <w:spacing w:after="260" w:line="280" w:lineRule="exact"/>
        <w:ind w:right="0"/>
        <w:jc w:val="both"/>
        <w:rPr>
          <w:rFonts w:ascii="Times New Roman" w:hAnsi="Times New Roman"/>
        </w:rPr>
        <w:sectPr w:rsidR="00CF754B" w:rsidSect="00323EE3">
          <w:pgSz w:w="11907" w:h="16839" w:code="9"/>
          <w:pgMar w:top="1440" w:right="1701" w:bottom="1984" w:left="1701" w:header="720" w:footer="720" w:gutter="0"/>
          <w:pgNumType w:start="1"/>
          <w:cols w:space="720"/>
          <w:titlePg/>
          <w:docGrid w:linePitch="354"/>
        </w:sectPr>
      </w:pPr>
    </w:p>
    <w:p w14:paraId="0E395AD8" w14:textId="79EF5A4B" w:rsidR="00A10FAA" w:rsidRPr="00B247DF" w:rsidRDefault="00B247DF" w:rsidP="00B247DF">
      <w:pPr>
        <w:pStyle w:val="FixListStyle"/>
        <w:tabs>
          <w:tab w:val="clear" w:pos="720"/>
          <w:tab w:val="left" w:pos="0"/>
        </w:tabs>
        <w:spacing w:after="260" w:line="280" w:lineRule="exact"/>
        <w:ind w:right="0"/>
        <w:jc w:val="both"/>
        <w:rPr>
          <w:rFonts w:ascii="Times New Roman" w:hAnsi="Times New Roman"/>
        </w:rPr>
      </w:pPr>
      <w:r w:rsidRPr="00B247DF">
        <w:rPr>
          <w:rFonts w:ascii="Times New Roman" w:hAnsi="Times New Roman"/>
        </w:rPr>
        <w:lastRenderedPageBreak/>
        <w:t xml:space="preserve">GAGELER CJ, GORDON, STEWARD, GLEESON, JAGOT AND BEECH-JONES JJ.   </w:t>
      </w:r>
      <w:r w:rsidR="0018624D" w:rsidRPr="00B247DF">
        <w:rPr>
          <w:rFonts w:ascii="Times New Roman" w:hAnsi="Times New Roman"/>
        </w:rPr>
        <w:t>Section</w:t>
      </w:r>
      <w:r w:rsidR="0084654F" w:rsidRPr="00B247DF">
        <w:rPr>
          <w:rFonts w:ascii="Times New Roman" w:hAnsi="Times New Roman"/>
        </w:rPr>
        <w:t xml:space="preserve"> </w:t>
      </w:r>
      <w:r w:rsidR="00D93705" w:rsidRPr="00B247DF">
        <w:rPr>
          <w:rFonts w:ascii="Times New Roman" w:hAnsi="Times New Roman"/>
        </w:rPr>
        <w:t>16</w:t>
      </w:r>
      <w:r w:rsidR="004B7FA1" w:rsidRPr="00B247DF">
        <w:rPr>
          <w:rFonts w:ascii="Times New Roman" w:hAnsi="Times New Roman"/>
        </w:rPr>
        <w:t>(1)</w:t>
      </w:r>
      <w:r w:rsidR="00D93705" w:rsidRPr="00B247DF">
        <w:rPr>
          <w:rFonts w:ascii="Times New Roman" w:hAnsi="Times New Roman"/>
        </w:rPr>
        <w:t xml:space="preserve"> of the </w:t>
      </w:r>
      <w:r w:rsidR="00D93705" w:rsidRPr="00B247DF">
        <w:rPr>
          <w:rFonts w:ascii="Times New Roman" w:hAnsi="Times New Roman"/>
          <w:i/>
          <w:iCs/>
        </w:rPr>
        <w:t>Public Works Committee Act 1914</w:t>
      </w:r>
      <w:r w:rsidR="00D93705" w:rsidRPr="00B247DF">
        <w:rPr>
          <w:rFonts w:ascii="Times New Roman" w:hAnsi="Times New Roman"/>
        </w:rPr>
        <w:t xml:space="preserve"> </w:t>
      </w:r>
      <w:r w:rsidR="00572958" w:rsidRPr="00B247DF">
        <w:rPr>
          <w:rFonts w:ascii="Times New Roman" w:hAnsi="Times New Roman"/>
        </w:rPr>
        <w:t>(Tas</w:t>
      </w:r>
      <w:r w:rsidR="002C0E03" w:rsidRPr="00B247DF">
        <w:rPr>
          <w:rFonts w:ascii="Times New Roman" w:hAnsi="Times New Roman"/>
        </w:rPr>
        <w:t>)</w:t>
      </w:r>
      <w:r w:rsidR="001373AF" w:rsidRPr="00B247DF">
        <w:rPr>
          <w:rFonts w:ascii="Times New Roman" w:hAnsi="Times New Roman"/>
        </w:rPr>
        <w:t xml:space="preserve"> </w:t>
      </w:r>
      <w:r w:rsidR="00E34C8C" w:rsidRPr="00B247DF">
        <w:rPr>
          <w:rFonts w:ascii="Times New Roman" w:hAnsi="Times New Roman"/>
        </w:rPr>
        <w:t>("the Act")</w:t>
      </w:r>
      <w:r w:rsidR="00B22649" w:rsidRPr="00B247DF">
        <w:rPr>
          <w:rFonts w:ascii="Times New Roman" w:hAnsi="Times New Roman"/>
        </w:rPr>
        <w:t xml:space="preserve"> </w:t>
      </w:r>
      <w:r w:rsidR="00AD7766" w:rsidRPr="00B247DF">
        <w:rPr>
          <w:rFonts w:ascii="Times New Roman" w:hAnsi="Times New Roman"/>
        </w:rPr>
        <w:t>stipulates</w:t>
      </w:r>
      <w:r w:rsidR="00B22649" w:rsidRPr="00B247DF">
        <w:rPr>
          <w:rFonts w:ascii="Times New Roman" w:hAnsi="Times New Roman"/>
        </w:rPr>
        <w:t xml:space="preserve"> </w:t>
      </w:r>
      <w:r w:rsidR="006E760A" w:rsidRPr="00B247DF">
        <w:rPr>
          <w:rFonts w:ascii="Times New Roman" w:hAnsi="Times New Roman"/>
        </w:rPr>
        <w:t>condition</w:t>
      </w:r>
      <w:r w:rsidR="00C836C3" w:rsidRPr="00B247DF">
        <w:rPr>
          <w:rFonts w:ascii="Times New Roman" w:hAnsi="Times New Roman"/>
        </w:rPr>
        <w:t>s</w:t>
      </w:r>
      <w:r w:rsidR="006E760A" w:rsidRPr="00B247DF">
        <w:rPr>
          <w:rFonts w:ascii="Times New Roman" w:hAnsi="Times New Roman"/>
        </w:rPr>
        <w:t xml:space="preserve"> precedent </w:t>
      </w:r>
      <w:r w:rsidR="00B9156F" w:rsidRPr="00B247DF">
        <w:rPr>
          <w:rFonts w:ascii="Times New Roman" w:hAnsi="Times New Roman"/>
        </w:rPr>
        <w:t>to the commencement of</w:t>
      </w:r>
      <w:r w:rsidR="001373AF" w:rsidRPr="00B247DF">
        <w:rPr>
          <w:rFonts w:ascii="Times New Roman" w:hAnsi="Times New Roman"/>
        </w:rPr>
        <w:t xml:space="preserve"> a public work</w:t>
      </w:r>
      <w:r w:rsidR="00B9156F" w:rsidRPr="00B247DF">
        <w:rPr>
          <w:rFonts w:ascii="Times New Roman" w:hAnsi="Times New Roman"/>
        </w:rPr>
        <w:t xml:space="preserve"> </w:t>
      </w:r>
      <w:r w:rsidR="00FB685F" w:rsidRPr="00B247DF">
        <w:rPr>
          <w:rFonts w:ascii="Times New Roman" w:hAnsi="Times New Roman"/>
        </w:rPr>
        <w:t xml:space="preserve">proposed to be undertaken by </w:t>
      </w:r>
      <w:r w:rsidR="00D97C9B" w:rsidRPr="00B247DF">
        <w:rPr>
          <w:rFonts w:ascii="Times New Roman" w:hAnsi="Times New Roman"/>
        </w:rPr>
        <w:t xml:space="preserve">a </w:t>
      </w:r>
      <w:r w:rsidR="00922CFB" w:rsidRPr="00B247DF">
        <w:rPr>
          <w:rFonts w:ascii="Times New Roman" w:hAnsi="Times New Roman"/>
        </w:rPr>
        <w:t xml:space="preserve">Tasmanian Government </w:t>
      </w:r>
      <w:r w:rsidR="00CE4EA9" w:rsidRPr="00B247DF">
        <w:rPr>
          <w:rFonts w:ascii="Times New Roman" w:hAnsi="Times New Roman"/>
        </w:rPr>
        <w:t xml:space="preserve">department </w:t>
      </w:r>
      <w:r w:rsidR="00922CFB" w:rsidRPr="00B247DF">
        <w:rPr>
          <w:rFonts w:ascii="Times New Roman" w:hAnsi="Times New Roman"/>
        </w:rPr>
        <w:t xml:space="preserve">or State authority. </w:t>
      </w:r>
      <w:r w:rsidR="009360A4" w:rsidRPr="00B247DF">
        <w:rPr>
          <w:rFonts w:ascii="Times New Roman" w:hAnsi="Times New Roman"/>
        </w:rPr>
        <w:t>The condition</w:t>
      </w:r>
      <w:r w:rsidR="00C836C3" w:rsidRPr="00B247DF">
        <w:rPr>
          <w:rFonts w:ascii="Times New Roman" w:hAnsi="Times New Roman"/>
        </w:rPr>
        <w:t>s</w:t>
      </w:r>
      <w:r w:rsidR="009360A4" w:rsidRPr="00B247DF">
        <w:rPr>
          <w:rFonts w:ascii="Times New Roman" w:hAnsi="Times New Roman"/>
        </w:rPr>
        <w:t xml:space="preserve"> precedent </w:t>
      </w:r>
      <w:proofErr w:type="gramStart"/>
      <w:r w:rsidR="00C836C3" w:rsidRPr="00B247DF">
        <w:rPr>
          <w:rFonts w:ascii="Times New Roman" w:hAnsi="Times New Roman"/>
        </w:rPr>
        <w:t>are</w:t>
      </w:r>
      <w:proofErr w:type="gramEnd"/>
      <w:r w:rsidR="009360A4" w:rsidRPr="00B247DF">
        <w:rPr>
          <w:rFonts w:ascii="Times New Roman" w:hAnsi="Times New Roman"/>
        </w:rPr>
        <w:t xml:space="preserve"> </w:t>
      </w:r>
      <w:r w:rsidR="004B7FA1" w:rsidRPr="00B247DF">
        <w:rPr>
          <w:rFonts w:ascii="Times New Roman" w:hAnsi="Times New Roman"/>
        </w:rPr>
        <w:t xml:space="preserve">that </w:t>
      </w:r>
      <w:r w:rsidR="00B9156F" w:rsidRPr="00B247DF">
        <w:rPr>
          <w:rFonts w:ascii="Times New Roman" w:hAnsi="Times New Roman"/>
        </w:rPr>
        <w:t xml:space="preserve">the </w:t>
      </w:r>
      <w:r w:rsidR="00CB044F" w:rsidRPr="00B247DF">
        <w:rPr>
          <w:rFonts w:ascii="Times New Roman" w:hAnsi="Times New Roman"/>
        </w:rPr>
        <w:t xml:space="preserve">public work </w:t>
      </w:r>
      <w:r w:rsidR="004B7FA1" w:rsidRPr="00B247DF">
        <w:rPr>
          <w:rFonts w:ascii="Times New Roman" w:hAnsi="Times New Roman"/>
        </w:rPr>
        <w:t>ha</w:t>
      </w:r>
      <w:r w:rsidR="007F34F1" w:rsidRPr="00B247DF">
        <w:rPr>
          <w:rFonts w:ascii="Times New Roman" w:hAnsi="Times New Roman"/>
        </w:rPr>
        <w:t>s</w:t>
      </w:r>
      <w:r w:rsidR="004B7FA1" w:rsidRPr="00B247DF">
        <w:rPr>
          <w:rFonts w:ascii="Times New Roman" w:hAnsi="Times New Roman"/>
        </w:rPr>
        <w:t xml:space="preserve"> been referred to</w:t>
      </w:r>
      <w:r w:rsidR="00E34C8C" w:rsidRPr="00B247DF">
        <w:rPr>
          <w:rFonts w:ascii="Times New Roman" w:hAnsi="Times New Roman"/>
        </w:rPr>
        <w:t xml:space="preserve"> and reported upon by </w:t>
      </w:r>
      <w:r w:rsidR="00DA5365" w:rsidRPr="00B247DF">
        <w:rPr>
          <w:rFonts w:ascii="Times New Roman" w:hAnsi="Times New Roman"/>
        </w:rPr>
        <w:t xml:space="preserve">a Joint Committee of Members </w:t>
      </w:r>
      <w:r w:rsidR="0069567E" w:rsidRPr="00B247DF">
        <w:rPr>
          <w:rFonts w:ascii="Times New Roman" w:hAnsi="Times New Roman"/>
        </w:rPr>
        <w:t xml:space="preserve">of </w:t>
      </w:r>
      <w:r w:rsidR="004B7FA1" w:rsidRPr="00B247DF">
        <w:rPr>
          <w:rFonts w:ascii="Times New Roman" w:hAnsi="Times New Roman"/>
        </w:rPr>
        <w:t>the</w:t>
      </w:r>
      <w:r w:rsidR="00570EFF" w:rsidRPr="00B247DF">
        <w:rPr>
          <w:rFonts w:ascii="Times New Roman" w:hAnsi="Times New Roman"/>
        </w:rPr>
        <w:t xml:space="preserve"> </w:t>
      </w:r>
      <w:r w:rsidR="00904C30" w:rsidRPr="00B247DF">
        <w:rPr>
          <w:rFonts w:ascii="Times New Roman" w:hAnsi="Times New Roman"/>
        </w:rPr>
        <w:t xml:space="preserve">Legislative </w:t>
      </w:r>
      <w:r w:rsidR="00154496" w:rsidRPr="00B247DF">
        <w:rPr>
          <w:rFonts w:ascii="Times New Roman" w:hAnsi="Times New Roman"/>
        </w:rPr>
        <w:t xml:space="preserve">Council and House of </w:t>
      </w:r>
      <w:r w:rsidR="00904C30" w:rsidRPr="00B247DF">
        <w:rPr>
          <w:rFonts w:ascii="Times New Roman" w:hAnsi="Times New Roman"/>
        </w:rPr>
        <w:t xml:space="preserve">Assembly </w:t>
      </w:r>
      <w:r w:rsidR="00A10FAA" w:rsidRPr="00B247DF">
        <w:rPr>
          <w:rFonts w:ascii="Times New Roman" w:hAnsi="Times New Roman"/>
        </w:rPr>
        <w:t>known as</w:t>
      </w:r>
      <w:r w:rsidR="00AD7766" w:rsidRPr="00B247DF">
        <w:rPr>
          <w:rFonts w:ascii="Times New Roman" w:hAnsi="Times New Roman"/>
        </w:rPr>
        <w:t xml:space="preserve"> the </w:t>
      </w:r>
      <w:r w:rsidR="00A10FAA" w:rsidRPr="00B247DF">
        <w:rPr>
          <w:rFonts w:ascii="Times New Roman" w:hAnsi="Times New Roman"/>
        </w:rPr>
        <w:t>"</w:t>
      </w:r>
      <w:r w:rsidR="00570EFF" w:rsidRPr="00B247DF">
        <w:rPr>
          <w:rFonts w:ascii="Times New Roman" w:hAnsi="Times New Roman"/>
        </w:rPr>
        <w:t xml:space="preserve">Parliamentary </w:t>
      </w:r>
      <w:r w:rsidR="00E34C8C" w:rsidRPr="00B247DF">
        <w:rPr>
          <w:rFonts w:ascii="Times New Roman" w:hAnsi="Times New Roman"/>
        </w:rPr>
        <w:t>Standing Committee on Public Works</w:t>
      </w:r>
      <w:r w:rsidR="00A10FAA" w:rsidRPr="00B247DF">
        <w:rPr>
          <w:rFonts w:ascii="Times New Roman" w:hAnsi="Times New Roman"/>
        </w:rPr>
        <w:t>" ("the Committee").</w:t>
      </w:r>
      <w:r w:rsidR="00E34C8C" w:rsidRPr="00B247DF">
        <w:rPr>
          <w:rFonts w:ascii="Times New Roman" w:hAnsi="Times New Roman"/>
        </w:rPr>
        <w:t xml:space="preserve"> </w:t>
      </w:r>
    </w:p>
    <w:p w14:paraId="10EB061D" w14:textId="7551D837" w:rsidR="00A73989" w:rsidRPr="00B247DF" w:rsidRDefault="003C2175"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E47B90" w:rsidRPr="00B247DF">
        <w:rPr>
          <w:rFonts w:ascii="Times New Roman" w:hAnsi="Times New Roman"/>
        </w:rPr>
        <w:t xml:space="preserve">The dispositive question in this appeal </w:t>
      </w:r>
      <w:r w:rsidR="00156D6B" w:rsidRPr="00B247DF">
        <w:rPr>
          <w:rFonts w:ascii="Times New Roman" w:hAnsi="Times New Roman"/>
        </w:rPr>
        <w:t xml:space="preserve">is whether </w:t>
      </w:r>
      <w:r w:rsidR="00A66EBA" w:rsidRPr="00B247DF">
        <w:rPr>
          <w:rFonts w:ascii="Times New Roman" w:hAnsi="Times New Roman"/>
        </w:rPr>
        <w:t>observance of th</w:t>
      </w:r>
      <w:r w:rsidR="00C836C3" w:rsidRPr="00B247DF">
        <w:rPr>
          <w:rFonts w:ascii="Times New Roman" w:hAnsi="Times New Roman"/>
        </w:rPr>
        <w:t>ose</w:t>
      </w:r>
      <w:r w:rsidR="00A66EBA" w:rsidRPr="00B247DF">
        <w:rPr>
          <w:rFonts w:ascii="Times New Roman" w:hAnsi="Times New Roman"/>
        </w:rPr>
        <w:t xml:space="preserve"> </w:t>
      </w:r>
      <w:proofErr w:type="gramStart"/>
      <w:r w:rsidR="00A66EBA" w:rsidRPr="00B247DF">
        <w:rPr>
          <w:rFonts w:ascii="Times New Roman" w:hAnsi="Times New Roman"/>
        </w:rPr>
        <w:t>condition</w:t>
      </w:r>
      <w:r w:rsidR="00C836C3" w:rsidRPr="00B247DF">
        <w:rPr>
          <w:rFonts w:ascii="Times New Roman" w:hAnsi="Times New Roman"/>
        </w:rPr>
        <w:t>s</w:t>
      </w:r>
      <w:proofErr w:type="gramEnd"/>
      <w:r w:rsidR="00A66EBA" w:rsidRPr="00B247DF">
        <w:rPr>
          <w:rFonts w:ascii="Times New Roman" w:hAnsi="Times New Roman"/>
        </w:rPr>
        <w:t xml:space="preserve"> precedent</w:t>
      </w:r>
      <w:r w:rsidR="00156D6B" w:rsidRPr="00B247DF">
        <w:rPr>
          <w:rFonts w:ascii="Times New Roman" w:hAnsi="Times New Roman"/>
        </w:rPr>
        <w:t xml:space="preserve"> </w:t>
      </w:r>
      <w:r w:rsidR="001A4B7F" w:rsidRPr="00B247DF">
        <w:rPr>
          <w:rFonts w:ascii="Times New Roman" w:hAnsi="Times New Roman"/>
        </w:rPr>
        <w:t xml:space="preserve">to the commencement of a public work </w:t>
      </w:r>
      <w:r w:rsidR="0007482B" w:rsidRPr="00B247DF">
        <w:rPr>
          <w:rFonts w:ascii="Times New Roman" w:hAnsi="Times New Roman"/>
        </w:rPr>
        <w:t>is an</w:t>
      </w:r>
      <w:r w:rsidR="00156D6B" w:rsidRPr="00B247DF">
        <w:rPr>
          <w:rFonts w:ascii="Times New Roman" w:hAnsi="Times New Roman"/>
        </w:rPr>
        <w:t xml:space="preserve"> </w:t>
      </w:r>
      <w:r w:rsidR="005B3197" w:rsidRPr="00B247DF">
        <w:rPr>
          <w:rFonts w:ascii="Times New Roman" w:hAnsi="Times New Roman"/>
        </w:rPr>
        <w:t>obligation</w:t>
      </w:r>
      <w:r w:rsidR="00F76B23" w:rsidRPr="00B247DF">
        <w:rPr>
          <w:rFonts w:ascii="Times New Roman" w:hAnsi="Times New Roman"/>
        </w:rPr>
        <w:t xml:space="preserve"> </w:t>
      </w:r>
      <w:r w:rsidR="001A4B7F" w:rsidRPr="00B247DF">
        <w:rPr>
          <w:rFonts w:ascii="Times New Roman" w:hAnsi="Times New Roman"/>
        </w:rPr>
        <w:t xml:space="preserve">that is </w:t>
      </w:r>
      <w:r w:rsidR="00F76B23" w:rsidRPr="00B247DF">
        <w:rPr>
          <w:rFonts w:ascii="Times New Roman" w:hAnsi="Times New Roman"/>
        </w:rPr>
        <w:t xml:space="preserve">enforceable </w:t>
      </w:r>
      <w:r w:rsidR="00EB7F77" w:rsidRPr="00B247DF">
        <w:rPr>
          <w:rFonts w:ascii="Times New Roman" w:hAnsi="Times New Roman"/>
        </w:rPr>
        <w:t xml:space="preserve">by a court. </w:t>
      </w:r>
      <w:r w:rsidR="003023F9" w:rsidRPr="00B247DF">
        <w:rPr>
          <w:rFonts w:ascii="Times New Roman" w:hAnsi="Times New Roman"/>
        </w:rPr>
        <w:t xml:space="preserve">The answer is that it </w:t>
      </w:r>
      <w:r w:rsidR="00B82A37" w:rsidRPr="00B247DF">
        <w:rPr>
          <w:rFonts w:ascii="Times New Roman" w:hAnsi="Times New Roman"/>
        </w:rPr>
        <w:t>is</w:t>
      </w:r>
      <w:r w:rsidR="003023F9" w:rsidRPr="00B247DF">
        <w:rPr>
          <w:rFonts w:ascii="Times New Roman" w:hAnsi="Times New Roman"/>
        </w:rPr>
        <w:t xml:space="preserve"> not.</w:t>
      </w:r>
    </w:p>
    <w:p w14:paraId="6FA2AE00" w14:textId="200CF047" w:rsidR="00343798" w:rsidRPr="00B247DF" w:rsidRDefault="00343798" w:rsidP="00B247DF">
      <w:pPr>
        <w:pStyle w:val="HeadingL1"/>
        <w:spacing w:after="260" w:line="280" w:lineRule="exact"/>
        <w:ind w:right="0"/>
        <w:jc w:val="both"/>
        <w:rPr>
          <w:rFonts w:ascii="Times New Roman" w:hAnsi="Times New Roman"/>
        </w:rPr>
      </w:pPr>
      <w:r w:rsidRPr="00B247DF">
        <w:rPr>
          <w:rFonts w:ascii="Times New Roman" w:hAnsi="Times New Roman"/>
        </w:rPr>
        <w:t>Facts and procedural history</w:t>
      </w:r>
    </w:p>
    <w:p w14:paraId="0167B363" w14:textId="53B4F8A8" w:rsidR="00343798" w:rsidRPr="00B247DF" w:rsidRDefault="00343798"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DE7279" w:rsidRPr="00B247DF">
        <w:rPr>
          <w:rFonts w:ascii="Times New Roman" w:hAnsi="Times New Roman"/>
        </w:rPr>
        <w:t xml:space="preserve">The Tasmanian Government Department of </w:t>
      </w:r>
      <w:r w:rsidR="00345122" w:rsidRPr="00B247DF">
        <w:rPr>
          <w:rFonts w:ascii="Times New Roman" w:hAnsi="Times New Roman"/>
        </w:rPr>
        <w:t>State Growth</w:t>
      </w:r>
      <w:r w:rsidR="0004508F" w:rsidRPr="00B247DF">
        <w:rPr>
          <w:rFonts w:ascii="Times New Roman" w:hAnsi="Times New Roman"/>
        </w:rPr>
        <w:t xml:space="preserve"> ("the Department")</w:t>
      </w:r>
      <w:r w:rsidR="00FB60AE" w:rsidRPr="00B247DF">
        <w:rPr>
          <w:rFonts w:ascii="Times New Roman" w:hAnsi="Times New Roman"/>
        </w:rPr>
        <w:t xml:space="preserve"> </w:t>
      </w:r>
      <w:r w:rsidR="00014065" w:rsidRPr="00B247DF">
        <w:rPr>
          <w:rFonts w:ascii="Times New Roman" w:hAnsi="Times New Roman"/>
        </w:rPr>
        <w:t xml:space="preserve">proposed </w:t>
      </w:r>
      <w:r w:rsidR="00FB60AE" w:rsidRPr="00B247DF">
        <w:rPr>
          <w:rFonts w:ascii="Times New Roman" w:hAnsi="Times New Roman"/>
        </w:rPr>
        <w:t>that a new interchange be constructed</w:t>
      </w:r>
      <w:r w:rsidR="00014065" w:rsidRPr="00B247DF">
        <w:rPr>
          <w:rFonts w:ascii="Times New Roman" w:hAnsi="Times New Roman"/>
        </w:rPr>
        <w:t xml:space="preserve"> </w:t>
      </w:r>
      <w:r w:rsidR="00FD3F66" w:rsidRPr="00B247DF">
        <w:rPr>
          <w:rFonts w:ascii="Times New Roman" w:hAnsi="Times New Roman"/>
        </w:rPr>
        <w:t xml:space="preserve">at a </w:t>
      </w:r>
      <w:r w:rsidR="00713A2A" w:rsidRPr="00B247DF">
        <w:rPr>
          <w:rFonts w:ascii="Times New Roman" w:hAnsi="Times New Roman"/>
        </w:rPr>
        <w:t xml:space="preserve">road </w:t>
      </w:r>
      <w:r w:rsidR="00FD3F66" w:rsidRPr="00B247DF">
        <w:rPr>
          <w:rFonts w:ascii="Times New Roman" w:hAnsi="Times New Roman"/>
        </w:rPr>
        <w:t xml:space="preserve">junction </w:t>
      </w:r>
      <w:r w:rsidR="00014065" w:rsidRPr="00B247DF">
        <w:rPr>
          <w:rFonts w:ascii="Times New Roman" w:hAnsi="Times New Roman"/>
        </w:rPr>
        <w:t xml:space="preserve">near Hobart Airport where </w:t>
      </w:r>
      <w:proofErr w:type="spellStart"/>
      <w:r w:rsidR="00014065" w:rsidRPr="00B247DF">
        <w:rPr>
          <w:rFonts w:ascii="Times New Roman" w:hAnsi="Times New Roman"/>
        </w:rPr>
        <w:t>Holyman</w:t>
      </w:r>
      <w:proofErr w:type="spellEnd"/>
      <w:r w:rsidR="00014065" w:rsidRPr="00B247DF">
        <w:rPr>
          <w:rFonts w:ascii="Times New Roman" w:hAnsi="Times New Roman"/>
        </w:rPr>
        <w:t xml:space="preserve"> Avenue and Cranston Parade meet the Tasman Highway.</w:t>
      </w:r>
      <w:r w:rsidR="00EF43A5" w:rsidRPr="00B247DF">
        <w:rPr>
          <w:rFonts w:ascii="Times New Roman" w:hAnsi="Times New Roman"/>
        </w:rPr>
        <w:t xml:space="preserve"> The </w:t>
      </w:r>
      <w:r w:rsidR="00914250" w:rsidRPr="00B247DF">
        <w:rPr>
          <w:rFonts w:ascii="Times New Roman" w:hAnsi="Times New Roman"/>
        </w:rPr>
        <w:t xml:space="preserve">proposal was referred to </w:t>
      </w:r>
      <w:r w:rsidR="000734FE" w:rsidRPr="00B247DF">
        <w:rPr>
          <w:rFonts w:ascii="Times New Roman" w:hAnsi="Times New Roman"/>
        </w:rPr>
        <w:t xml:space="preserve">and reported upon by </w:t>
      </w:r>
      <w:r w:rsidR="00914250" w:rsidRPr="00B247DF">
        <w:rPr>
          <w:rFonts w:ascii="Times New Roman" w:hAnsi="Times New Roman"/>
        </w:rPr>
        <w:t xml:space="preserve">the </w:t>
      </w:r>
      <w:r w:rsidR="00EF43A5" w:rsidRPr="00B247DF">
        <w:rPr>
          <w:rFonts w:ascii="Times New Roman" w:hAnsi="Times New Roman"/>
        </w:rPr>
        <w:t>Committee</w:t>
      </w:r>
      <w:r w:rsidR="0004508F" w:rsidRPr="00B247DF">
        <w:rPr>
          <w:rFonts w:ascii="Times New Roman" w:hAnsi="Times New Roman"/>
        </w:rPr>
        <w:t xml:space="preserve"> in 2017. </w:t>
      </w:r>
      <w:r w:rsidR="001768E6" w:rsidRPr="00B247DF">
        <w:rPr>
          <w:rFonts w:ascii="Times New Roman" w:hAnsi="Times New Roman"/>
        </w:rPr>
        <w:t xml:space="preserve">The Department subsequently engaged </w:t>
      </w:r>
      <w:r w:rsidR="00DB2A2D" w:rsidRPr="00B247DF">
        <w:rPr>
          <w:rFonts w:ascii="Times New Roman" w:hAnsi="Times New Roman"/>
        </w:rPr>
        <w:t xml:space="preserve">Hazell Bros Group </w:t>
      </w:r>
      <w:r w:rsidR="009D0CF5" w:rsidRPr="00B247DF">
        <w:rPr>
          <w:rFonts w:ascii="Times New Roman" w:hAnsi="Times New Roman"/>
        </w:rPr>
        <w:t xml:space="preserve">Pty </w:t>
      </w:r>
      <w:r w:rsidR="00DB2A2D" w:rsidRPr="00B247DF">
        <w:rPr>
          <w:rFonts w:ascii="Times New Roman" w:hAnsi="Times New Roman"/>
        </w:rPr>
        <w:t xml:space="preserve">Ltd ("Hazell Bros") to construct </w:t>
      </w:r>
      <w:r w:rsidR="00FD3F66" w:rsidRPr="00B247DF">
        <w:rPr>
          <w:rFonts w:ascii="Times New Roman" w:hAnsi="Times New Roman"/>
        </w:rPr>
        <w:t>a</w:t>
      </w:r>
      <w:r w:rsidR="003243C1" w:rsidRPr="00B247DF">
        <w:rPr>
          <w:rFonts w:ascii="Times New Roman" w:hAnsi="Times New Roman"/>
        </w:rPr>
        <w:t xml:space="preserve"> new</w:t>
      </w:r>
      <w:r w:rsidR="00DB2A2D" w:rsidRPr="00B247DF">
        <w:rPr>
          <w:rFonts w:ascii="Times New Roman" w:hAnsi="Times New Roman"/>
        </w:rPr>
        <w:t xml:space="preserve"> </w:t>
      </w:r>
      <w:r w:rsidR="003F4C44" w:rsidRPr="00B247DF">
        <w:rPr>
          <w:rFonts w:ascii="Times New Roman" w:hAnsi="Times New Roman"/>
        </w:rPr>
        <w:t>interchange</w:t>
      </w:r>
      <w:r w:rsidR="00FD3F66" w:rsidRPr="00B247DF">
        <w:rPr>
          <w:rFonts w:ascii="Times New Roman" w:hAnsi="Times New Roman"/>
        </w:rPr>
        <w:t xml:space="preserve"> at the junction</w:t>
      </w:r>
      <w:r w:rsidR="003F4C44" w:rsidRPr="00B247DF">
        <w:rPr>
          <w:rFonts w:ascii="Times New Roman" w:hAnsi="Times New Roman"/>
        </w:rPr>
        <w:t xml:space="preserve">. </w:t>
      </w:r>
    </w:p>
    <w:p w14:paraId="1EF12C05" w14:textId="5B2370A1" w:rsidR="00E40080" w:rsidRPr="00B247DF" w:rsidRDefault="00E40080"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261C7B" w:rsidRPr="00B247DF">
        <w:rPr>
          <w:rFonts w:ascii="Times New Roman" w:hAnsi="Times New Roman"/>
        </w:rPr>
        <w:t xml:space="preserve">Mr </w:t>
      </w:r>
      <w:proofErr w:type="spellStart"/>
      <w:r w:rsidR="002C1BA6" w:rsidRPr="00B247DF">
        <w:rPr>
          <w:rFonts w:ascii="Times New Roman" w:hAnsi="Times New Roman"/>
        </w:rPr>
        <w:t>Casimaty</w:t>
      </w:r>
      <w:proofErr w:type="spellEnd"/>
      <w:r w:rsidR="002C1BA6" w:rsidRPr="00B247DF">
        <w:rPr>
          <w:rFonts w:ascii="Times New Roman" w:hAnsi="Times New Roman"/>
        </w:rPr>
        <w:t xml:space="preserve"> claims to have an interest in land adjacent to Cranston Parade. </w:t>
      </w:r>
      <w:r w:rsidR="00BB2385" w:rsidRPr="00B247DF">
        <w:rPr>
          <w:rFonts w:ascii="Times New Roman" w:hAnsi="Times New Roman"/>
        </w:rPr>
        <w:t>By writ and statement of claim filed in the Supreme Court of Tasmania i</w:t>
      </w:r>
      <w:r w:rsidR="00EC2F50" w:rsidRPr="00B247DF">
        <w:rPr>
          <w:rFonts w:ascii="Times New Roman" w:hAnsi="Times New Roman"/>
        </w:rPr>
        <w:t xml:space="preserve">n 2020, </w:t>
      </w:r>
      <w:r w:rsidR="00E97032" w:rsidRPr="00B247DF">
        <w:rPr>
          <w:rFonts w:ascii="Times New Roman" w:hAnsi="Times New Roman"/>
        </w:rPr>
        <w:t xml:space="preserve">apparently at a time </w:t>
      </w:r>
      <w:r w:rsidR="001057A0" w:rsidRPr="00B247DF">
        <w:rPr>
          <w:rFonts w:ascii="Times New Roman" w:hAnsi="Times New Roman"/>
        </w:rPr>
        <w:t xml:space="preserve">before </w:t>
      </w:r>
      <w:r w:rsidR="0065016B" w:rsidRPr="00B247DF">
        <w:rPr>
          <w:rFonts w:ascii="Times New Roman" w:hAnsi="Times New Roman"/>
        </w:rPr>
        <w:t xml:space="preserve">Hazell Bros commenced </w:t>
      </w:r>
      <w:r w:rsidR="00EC2F50" w:rsidRPr="00B247DF">
        <w:rPr>
          <w:rFonts w:ascii="Times New Roman" w:hAnsi="Times New Roman"/>
        </w:rPr>
        <w:t xml:space="preserve">the construction, </w:t>
      </w:r>
      <w:r w:rsidR="0076446C" w:rsidRPr="00B247DF">
        <w:rPr>
          <w:rFonts w:ascii="Times New Roman" w:hAnsi="Times New Roman"/>
        </w:rPr>
        <w:t xml:space="preserve">Mr </w:t>
      </w:r>
      <w:proofErr w:type="spellStart"/>
      <w:r w:rsidR="0076446C" w:rsidRPr="00B247DF">
        <w:rPr>
          <w:rFonts w:ascii="Times New Roman" w:hAnsi="Times New Roman"/>
        </w:rPr>
        <w:t>Casimaty</w:t>
      </w:r>
      <w:proofErr w:type="spellEnd"/>
      <w:r w:rsidR="0076446C" w:rsidRPr="00B247DF">
        <w:rPr>
          <w:rFonts w:ascii="Times New Roman" w:hAnsi="Times New Roman"/>
        </w:rPr>
        <w:t xml:space="preserve"> </w:t>
      </w:r>
      <w:r w:rsidR="00D447CB" w:rsidRPr="00B247DF">
        <w:rPr>
          <w:rFonts w:ascii="Times New Roman" w:hAnsi="Times New Roman"/>
        </w:rPr>
        <w:t>brought</w:t>
      </w:r>
      <w:r w:rsidR="0076446C" w:rsidRPr="00B247DF">
        <w:rPr>
          <w:rFonts w:ascii="Times New Roman" w:hAnsi="Times New Roman"/>
        </w:rPr>
        <w:t xml:space="preserve"> a proceeding against Hazel</w:t>
      </w:r>
      <w:r w:rsidR="00DE3F4F" w:rsidRPr="00B247DF">
        <w:rPr>
          <w:rFonts w:ascii="Times New Roman" w:hAnsi="Times New Roman"/>
        </w:rPr>
        <w:t xml:space="preserve">l Bros </w:t>
      </w:r>
      <w:r w:rsidR="00D447CB" w:rsidRPr="00B247DF">
        <w:rPr>
          <w:rFonts w:ascii="Times New Roman" w:hAnsi="Times New Roman"/>
        </w:rPr>
        <w:t>in which he sought</w:t>
      </w:r>
      <w:r w:rsidR="00B21EBD" w:rsidRPr="00B247DF">
        <w:rPr>
          <w:rFonts w:ascii="Times New Roman" w:hAnsi="Times New Roman"/>
        </w:rPr>
        <w:t xml:space="preserve"> </w:t>
      </w:r>
      <w:r w:rsidR="003C152A" w:rsidRPr="00B247DF">
        <w:rPr>
          <w:rFonts w:ascii="Times New Roman" w:hAnsi="Times New Roman"/>
        </w:rPr>
        <w:t xml:space="preserve">a declaration that </w:t>
      </w:r>
      <w:r w:rsidR="0078159C" w:rsidRPr="00B247DF">
        <w:rPr>
          <w:rFonts w:ascii="Times New Roman" w:hAnsi="Times New Roman"/>
        </w:rPr>
        <w:t xml:space="preserve">construction of the </w:t>
      </w:r>
      <w:r w:rsidR="008C57F8" w:rsidRPr="00B247DF">
        <w:rPr>
          <w:rFonts w:ascii="Times New Roman" w:hAnsi="Times New Roman"/>
        </w:rPr>
        <w:t xml:space="preserve">new </w:t>
      </w:r>
      <w:r w:rsidR="0078159C" w:rsidRPr="00B247DF">
        <w:rPr>
          <w:rFonts w:ascii="Times New Roman" w:hAnsi="Times New Roman"/>
        </w:rPr>
        <w:t xml:space="preserve">interchange was a public work and </w:t>
      </w:r>
      <w:r w:rsidR="00B21EBD" w:rsidRPr="00B247DF">
        <w:rPr>
          <w:rFonts w:ascii="Times New Roman" w:hAnsi="Times New Roman"/>
        </w:rPr>
        <w:t>a</w:t>
      </w:r>
      <w:r w:rsidR="004566EE" w:rsidRPr="00B247DF">
        <w:rPr>
          <w:rFonts w:ascii="Times New Roman" w:hAnsi="Times New Roman"/>
        </w:rPr>
        <w:t xml:space="preserve">n injunction </w:t>
      </w:r>
      <w:r w:rsidR="00E3682C" w:rsidRPr="00B247DF">
        <w:rPr>
          <w:rFonts w:ascii="Times New Roman" w:hAnsi="Times New Roman"/>
        </w:rPr>
        <w:t>restrain</w:t>
      </w:r>
      <w:r w:rsidR="0078159C" w:rsidRPr="00B247DF">
        <w:rPr>
          <w:rFonts w:ascii="Times New Roman" w:hAnsi="Times New Roman"/>
        </w:rPr>
        <w:t>ing</w:t>
      </w:r>
      <w:r w:rsidR="001057A0" w:rsidRPr="00B247DF">
        <w:rPr>
          <w:rFonts w:ascii="Times New Roman" w:hAnsi="Times New Roman"/>
        </w:rPr>
        <w:t xml:space="preserve"> </w:t>
      </w:r>
      <w:r w:rsidR="009C658A" w:rsidRPr="00B247DF">
        <w:rPr>
          <w:rFonts w:ascii="Times New Roman" w:hAnsi="Times New Roman"/>
        </w:rPr>
        <w:t xml:space="preserve">Hazell Bros from commencing construction </w:t>
      </w:r>
      <w:r w:rsidR="00325026" w:rsidRPr="00B247DF">
        <w:rPr>
          <w:rFonts w:ascii="Times New Roman" w:hAnsi="Times New Roman"/>
        </w:rPr>
        <w:t xml:space="preserve">until </w:t>
      </w:r>
      <w:r w:rsidR="00AC0FC5" w:rsidRPr="00B247DF">
        <w:rPr>
          <w:rFonts w:ascii="Times New Roman" w:hAnsi="Times New Roman"/>
        </w:rPr>
        <w:t>a proposal for that public work</w:t>
      </w:r>
      <w:r w:rsidR="00325026" w:rsidRPr="00B247DF">
        <w:rPr>
          <w:rFonts w:ascii="Times New Roman" w:hAnsi="Times New Roman"/>
        </w:rPr>
        <w:t xml:space="preserve"> had been referred to and reported upon by</w:t>
      </w:r>
      <w:r w:rsidR="00AE06B0" w:rsidRPr="00B247DF">
        <w:rPr>
          <w:rFonts w:ascii="Times New Roman" w:hAnsi="Times New Roman"/>
        </w:rPr>
        <w:t xml:space="preserve"> the Committee. The essence of Mr </w:t>
      </w:r>
      <w:proofErr w:type="spellStart"/>
      <w:r w:rsidR="00AE06B0" w:rsidRPr="00B247DF">
        <w:rPr>
          <w:rFonts w:ascii="Times New Roman" w:hAnsi="Times New Roman"/>
        </w:rPr>
        <w:t>Ca</w:t>
      </w:r>
      <w:r w:rsidR="00F82345" w:rsidRPr="00B247DF">
        <w:rPr>
          <w:rFonts w:ascii="Times New Roman" w:hAnsi="Times New Roman"/>
        </w:rPr>
        <w:t>simaty's</w:t>
      </w:r>
      <w:proofErr w:type="spellEnd"/>
      <w:r w:rsidR="00F82345" w:rsidRPr="00B247DF">
        <w:rPr>
          <w:rFonts w:ascii="Times New Roman" w:hAnsi="Times New Roman"/>
        </w:rPr>
        <w:t xml:space="preserve"> pleaded case </w:t>
      </w:r>
      <w:r w:rsidR="00ED2BA5" w:rsidRPr="00B247DF">
        <w:rPr>
          <w:rFonts w:ascii="Times New Roman" w:hAnsi="Times New Roman"/>
        </w:rPr>
        <w:t xml:space="preserve">was that </w:t>
      </w:r>
      <w:r w:rsidR="00320EFD" w:rsidRPr="00B247DF">
        <w:rPr>
          <w:rFonts w:ascii="Times New Roman" w:hAnsi="Times New Roman"/>
        </w:rPr>
        <w:t xml:space="preserve">commencement of </w:t>
      </w:r>
      <w:r w:rsidR="00682EEC" w:rsidRPr="00B247DF">
        <w:rPr>
          <w:rFonts w:ascii="Times New Roman" w:hAnsi="Times New Roman"/>
        </w:rPr>
        <w:t xml:space="preserve">the </w:t>
      </w:r>
      <w:r w:rsidR="009E03BE" w:rsidRPr="00B247DF">
        <w:rPr>
          <w:rFonts w:ascii="Times New Roman" w:hAnsi="Times New Roman"/>
        </w:rPr>
        <w:t>road work</w:t>
      </w:r>
      <w:r w:rsidR="000C56DF" w:rsidRPr="00B247DF">
        <w:rPr>
          <w:rFonts w:ascii="Times New Roman" w:hAnsi="Times New Roman"/>
        </w:rPr>
        <w:t xml:space="preserve"> </w:t>
      </w:r>
      <w:r w:rsidR="00160110" w:rsidRPr="00B247DF">
        <w:rPr>
          <w:rFonts w:ascii="Times New Roman" w:hAnsi="Times New Roman"/>
        </w:rPr>
        <w:t xml:space="preserve">that </w:t>
      </w:r>
      <w:r w:rsidR="00335772" w:rsidRPr="00B247DF">
        <w:rPr>
          <w:rFonts w:ascii="Times New Roman" w:hAnsi="Times New Roman"/>
        </w:rPr>
        <w:t>Hazell Bros</w:t>
      </w:r>
      <w:r w:rsidR="00AD7A0B" w:rsidRPr="00B247DF">
        <w:rPr>
          <w:rFonts w:ascii="Times New Roman" w:hAnsi="Times New Roman"/>
        </w:rPr>
        <w:t xml:space="preserve"> had been</w:t>
      </w:r>
      <w:r w:rsidR="00335772" w:rsidRPr="00B247DF">
        <w:rPr>
          <w:rFonts w:ascii="Times New Roman" w:hAnsi="Times New Roman"/>
        </w:rPr>
        <w:t xml:space="preserve"> engaged to </w:t>
      </w:r>
      <w:r w:rsidR="00656334" w:rsidRPr="00B247DF">
        <w:rPr>
          <w:rFonts w:ascii="Times New Roman" w:hAnsi="Times New Roman"/>
        </w:rPr>
        <w:t>undertake</w:t>
      </w:r>
      <w:r w:rsidR="00335772" w:rsidRPr="00B247DF">
        <w:rPr>
          <w:rFonts w:ascii="Times New Roman" w:hAnsi="Times New Roman"/>
        </w:rPr>
        <w:t xml:space="preserve"> </w:t>
      </w:r>
      <w:r w:rsidR="00536174" w:rsidRPr="00B247DF">
        <w:rPr>
          <w:rFonts w:ascii="Times New Roman" w:hAnsi="Times New Roman"/>
        </w:rPr>
        <w:t xml:space="preserve">contravened s 16(1) of the Act in that </w:t>
      </w:r>
      <w:r w:rsidR="005A7D87" w:rsidRPr="00B247DF">
        <w:rPr>
          <w:rFonts w:ascii="Times New Roman" w:hAnsi="Times New Roman"/>
        </w:rPr>
        <w:t>the road work</w:t>
      </w:r>
      <w:r w:rsidR="00536174" w:rsidRPr="00B247DF">
        <w:rPr>
          <w:rFonts w:ascii="Times New Roman" w:hAnsi="Times New Roman"/>
        </w:rPr>
        <w:t xml:space="preserve"> </w:t>
      </w:r>
      <w:r w:rsidR="00CF2144" w:rsidRPr="00B247DF">
        <w:rPr>
          <w:rFonts w:ascii="Times New Roman" w:hAnsi="Times New Roman"/>
        </w:rPr>
        <w:t>w</w:t>
      </w:r>
      <w:r w:rsidR="00233F3B" w:rsidRPr="00B247DF">
        <w:rPr>
          <w:rFonts w:ascii="Times New Roman" w:hAnsi="Times New Roman"/>
        </w:rPr>
        <w:t xml:space="preserve">as </w:t>
      </w:r>
      <w:r w:rsidR="00CF2144" w:rsidRPr="00B247DF">
        <w:rPr>
          <w:rFonts w:ascii="Times New Roman" w:hAnsi="Times New Roman"/>
        </w:rPr>
        <w:t xml:space="preserve">different from </w:t>
      </w:r>
      <w:r w:rsidR="00AD7A0B" w:rsidRPr="00B247DF">
        <w:rPr>
          <w:rFonts w:ascii="Times New Roman" w:hAnsi="Times New Roman"/>
        </w:rPr>
        <w:t xml:space="preserve">the </w:t>
      </w:r>
      <w:r w:rsidR="00D25370" w:rsidRPr="00B247DF">
        <w:rPr>
          <w:rFonts w:ascii="Times New Roman" w:hAnsi="Times New Roman"/>
        </w:rPr>
        <w:t xml:space="preserve">proposed </w:t>
      </w:r>
      <w:r w:rsidR="009E03BE" w:rsidRPr="00B247DF">
        <w:rPr>
          <w:rFonts w:ascii="Times New Roman" w:hAnsi="Times New Roman"/>
        </w:rPr>
        <w:t>road work</w:t>
      </w:r>
      <w:r w:rsidR="00B32406" w:rsidRPr="00B247DF">
        <w:rPr>
          <w:rFonts w:ascii="Times New Roman" w:hAnsi="Times New Roman"/>
        </w:rPr>
        <w:t xml:space="preserve"> </w:t>
      </w:r>
      <w:r w:rsidR="00160110" w:rsidRPr="00B247DF">
        <w:rPr>
          <w:rFonts w:ascii="Times New Roman" w:hAnsi="Times New Roman"/>
        </w:rPr>
        <w:t xml:space="preserve">that had been </w:t>
      </w:r>
      <w:r w:rsidR="00D25370" w:rsidRPr="00B247DF">
        <w:rPr>
          <w:rFonts w:ascii="Times New Roman" w:hAnsi="Times New Roman"/>
        </w:rPr>
        <w:t>referred to and reported upon by the Committee in 2017</w:t>
      </w:r>
      <w:r w:rsidR="008A6DF1" w:rsidRPr="00B247DF">
        <w:rPr>
          <w:rFonts w:ascii="Times New Roman" w:hAnsi="Times New Roman"/>
        </w:rPr>
        <w:t xml:space="preserve">. </w:t>
      </w:r>
      <w:r w:rsidR="004337F2" w:rsidRPr="00B247DF">
        <w:rPr>
          <w:rFonts w:ascii="Times New Roman" w:hAnsi="Times New Roman"/>
        </w:rPr>
        <w:t>The pleaded differences were</w:t>
      </w:r>
      <w:r w:rsidR="00133CF1" w:rsidRPr="00B247DF">
        <w:rPr>
          <w:rFonts w:ascii="Times New Roman" w:hAnsi="Times New Roman"/>
        </w:rPr>
        <w:t xml:space="preserve"> </w:t>
      </w:r>
      <w:r w:rsidR="00160129" w:rsidRPr="00B247DF">
        <w:rPr>
          <w:rFonts w:ascii="Times New Roman" w:hAnsi="Times New Roman"/>
        </w:rPr>
        <w:t xml:space="preserve">that </w:t>
      </w:r>
      <w:r w:rsidR="00096CE7" w:rsidRPr="00B247DF">
        <w:rPr>
          <w:rFonts w:ascii="Times New Roman" w:hAnsi="Times New Roman"/>
        </w:rPr>
        <w:t xml:space="preserve">the interchange Hazell Bros had been engaged to </w:t>
      </w:r>
      <w:r w:rsidR="00FC3CF1" w:rsidRPr="00B247DF">
        <w:rPr>
          <w:rFonts w:ascii="Times New Roman" w:hAnsi="Times New Roman"/>
        </w:rPr>
        <w:t>construct</w:t>
      </w:r>
      <w:r w:rsidR="007029F0" w:rsidRPr="00B247DF">
        <w:rPr>
          <w:rFonts w:ascii="Times New Roman" w:hAnsi="Times New Roman"/>
        </w:rPr>
        <w:t>: was to cost $46</w:t>
      </w:r>
      <w:r w:rsidR="00581B09" w:rsidRPr="00B247DF">
        <w:rPr>
          <w:rFonts w:ascii="Times New Roman" w:hAnsi="Times New Roman"/>
        </w:rPr>
        <w:t>.4</w:t>
      </w:r>
      <w:r w:rsidR="003B54DC">
        <w:rPr>
          <w:rFonts w:ascii="Times New Roman" w:hAnsi="Times New Roman"/>
        </w:rPr>
        <w:t> </w:t>
      </w:r>
      <w:r w:rsidR="00BF6D89" w:rsidRPr="00B247DF">
        <w:rPr>
          <w:rFonts w:ascii="Times New Roman" w:hAnsi="Times New Roman"/>
        </w:rPr>
        <w:t>million</w:t>
      </w:r>
      <w:r w:rsidR="00581B09" w:rsidRPr="00B247DF">
        <w:rPr>
          <w:rFonts w:ascii="Times New Roman" w:hAnsi="Times New Roman"/>
        </w:rPr>
        <w:t xml:space="preserve"> </w:t>
      </w:r>
      <w:r w:rsidR="00392637" w:rsidRPr="00B247DF">
        <w:rPr>
          <w:rFonts w:ascii="Times New Roman" w:hAnsi="Times New Roman"/>
        </w:rPr>
        <w:t>rather than between $28.08</w:t>
      </w:r>
      <w:r w:rsidR="00BF6D89" w:rsidRPr="00B247DF">
        <w:rPr>
          <w:rFonts w:ascii="Times New Roman" w:hAnsi="Times New Roman"/>
        </w:rPr>
        <w:t xml:space="preserve"> million</w:t>
      </w:r>
      <w:r w:rsidR="00392637" w:rsidRPr="00B247DF">
        <w:rPr>
          <w:rFonts w:ascii="Times New Roman" w:hAnsi="Times New Roman"/>
        </w:rPr>
        <w:t xml:space="preserve"> and </w:t>
      </w:r>
      <w:r w:rsidR="00AD4C60" w:rsidRPr="00B247DF">
        <w:rPr>
          <w:rFonts w:ascii="Times New Roman" w:hAnsi="Times New Roman"/>
        </w:rPr>
        <w:t>$29.99</w:t>
      </w:r>
      <w:r w:rsidR="00BF6D89" w:rsidRPr="00B247DF">
        <w:rPr>
          <w:rFonts w:ascii="Times New Roman" w:hAnsi="Times New Roman"/>
        </w:rPr>
        <w:t xml:space="preserve"> million</w:t>
      </w:r>
      <w:r w:rsidR="00AD4C60" w:rsidRPr="00B247DF">
        <w:rPr>
          <w:rFonts w:ascii="Times New Roman" w:hAnsi="Times New Roman"/>
        </w:rPr>
        <w:t xml:space="preserve">; </w:t>
      </w:r>
      <w:r w:rsidR="00DA53C3" w:rsidRPr="00B247DF">
        <w:rPr>
          <w:rFonts w:ascii="Times New Roman" w:hAnsi="Times New Roman"/>
        </w:rPr>
        <w:t>was not to have connections from the westbound on</w:t>
      </w:r>
      <w:r w:rsidR="00CB4639" w:rsidRPr="00B247DF">
        <w:rPr>
          <w:rFonts w:ascii="Times New Roman" w:hAnsi="Times New Roman"/>
        </w:rPr>
        <w:t>-</w:t>
      </w:r>
      <w:r w:rsidR="00DA53C3" w:rsidRPr="00B247DF">
        <w:rPr>
          <w:rFonts w:ascii="Times New Roman" w:hAnsi="Times New Roman"/>
        </w:rPr>
        <w:t xml:space="preserve">ramp to Cranston Parade that would allow only left turn movements; and </w:t>
      </w:r>
      <w:r w:rsidR="00096CE7" w:rsidRPr="00B247DF">
        <w:rPr>
          <w:rFonts w:ascii="Times New Roman" w:hAnsi="Times New Roman"/>
        </w:rPr>
        <w:t>was to have</w:t>
      </w:r>
      <w:r w:rsidR="00AF345A" w:rsidRPr="00B247DF">
        <w:rPr>
          <w:rFonts w:ascii="Times New Roman" w:hAnsi="Times New Roman"/>
        </w:rPr>
        <w:t xml:space="preserve"> two roundabouts providing access to </w:t>
      </w:r>
      <w:proofErr w:type="spellStart"/>
      <w:r w:rsidR="00096CE7" w:rsidRPr="00B247DF">
        <w:rPr>
          <w:rFonts w:ascii="Times New Roman" w:hAnsi="Times New Roman"/>
        </w:rPr>
        <w:t>Holyman</w:t>
      </w:r>
      <w:proofErr w:type="spellEnd"/>
      <w:r w:rsidR="00096CE7" w:rsidRPr="00B247DF">
        <w:rPr>
          <w:rFonts w:ascii="Times New Roman" w:hAnsi="Times New Roman"/>
        </w:rPr>
        <w:t xml:space="preserve"> Avenue</w:t>
      </w:r>
      <w:r w:rsidR="00AD4C60" w:rsidRPr="00B247DF">
        <w:rPr>
          <w:rFonts w:ascii="Times New Roman" w:hAnsi="Times New Roman"/>
        </w:rPr>
        <w:t xml:space="preserve"> </w:t>
      </w:r>
      <w:r w:rsidR="00096CE7" w:rsidRPr="00B247DF">
        <w:rPr>
          <w:rFonts w:ascii="Times New Roman" w:hAnsi="Times New Roman"/>
        </w:rPr>
        <w:t xml:space="preserve">and </w:t>
      </w:r>
      <w:r w:rsidR="008C7380" w:rsidRPr="00B247DF">
        <w:rPr>
          <w:rFonts w:ascii="Times New Roman" w:hAnsi="Times New Roman"/>
        </w:rPr>
        <w:t>Kennedy Drive</w:t>
      </w:r>
      <w:r w:rsidR="00DA53C3" w:rsidRPr="00B247DF">
        <w:rPr>
          <w:rFonts w:ascii="Times New Roman" w:hAnsi="Times New Roman"/>
        </w:rPr>
        <w:t>.</w:t>
      </w:r>
    </w:p>
    <w:p w14:paraId="4BCA11B0" w14:textId="7EF5CD72" w:rsidR="00FE62B7" w:rsidRPr="00B247DF" w:rsidRDefault="00FE62B7"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E83F6C" w:rsidRPr="00B247DF">
        <w:rPr>
          <w:rFonts w:ascii="Times New Roman" w:hAnsi="Times New Roman"/>
        </w:rPr>
        <w:t xml:space="preserve">By order under s 58(1)(j) of the </w:t>
      </w:r>
      <w:r w:rsidR="0048335D" w:rsidRPr="00B247DF">
        <w:rPr>
          <w:rFonts w:ascii="Times New Roman" w:hAnsi="Times New Roman"/>
          <w:i/>
          <w:iCs/>
        </w:rPr>
        <w:t xml:space="preserve">Supreme Court </w:t>
      </w:r>
      <w:r w:rsidR="00064E78" w:rsidRPr="00B247DF">
        <w:rPr>
          <w:rFonts w:ascii="Times New Roman" w:hAnsi="Times New Roman"/>
          <w:i/>
          <w:iCs/>
        </w:rPr>
        <w:t>Civil Procedure Act 1932</w:t>
      </w:r>
      <w:r w:rsidR="00064E78" w:rsidRPr="00B247DF">
        <w:rPr>
          <w:rFonts w:ascii="Times New Roman" w:hAnsi="Times New Roman"/>
        </w:rPr>
        <w:t xml:space="preserve"> (Tas), t</w:t>
      </w:r>
      <w:r w:rsidR="003013F3" w:rsidRPr="00B247DF">
        <w:rPr>
          <w:rFonts w:ascii="Times New Roman" w:hAnsi="Times New Roman"/>
        </w:rPr>
        <w:t xml:space="preserve">he Attorney-General </w:t>
      </w:r>
      <w:r w:rsidR="003C0579" w:rsidRPr="00B247DF">
        <w:rPr>
          <w:rFonts w:ascii="Times New Roman" w:hAnsi="Times New Roman"/>
        </w:rPr>
        <w:t>for</w:t>
      </w:r>
      <w:r w:rsidR="003013F3" w:rsidRPr="00B247DF">
        <w:rPr>
          <w:rFonts w:ascii="Times New Roman" w:hAnsi="Times New Roman"/>
        </w:rPr>
        <w:t xml:space="preserve"> Tasmania</w:t>
      </w:r>
      <w:r w:rsidR="00490B54" w:rsidRPr="00B247DF">
        <w:rPr>
          <w:rFonts w:ascii="Times New Roman" w:hAnsi="Times New Roman"/>
        </w:rPr>
        <w:t xml:space="preserve"> was joined as a defendant </w:t>
      </w:r>
      <w:r w:rsidR="002C1EBE" w:rsidRPr="00B247DF">
        <w:rPr>
          <w:rFonts w:ascii="Times New Roman" w:hAnsi="Times New Roman"/>
        </w:rPr>
        <w:t xml:space="preserve">to the </w:t>
      </w:r>
      <w:r w:rsidR="002C1EBE" w:rsidRPr="00B247DF">
        <w:rPr>
          <w:rFonts w:ascii="Times New Roman" w:hAnsi="Times New Roman"/>
        </w:rPr>
        <w:lastRenderedPageBreak/>
        <w:t>proceeding</w:t>
      </w:r>
      <w:r w:rsidR="00E83F6C" w:rsidRPr="00B247DF">
        <w:rPr>
          <w:rFonts w:ascii="Times New Roman" w:hAnsi="Times New Roman"/>
        </w:rPr>
        <w:t>.</w:t>
      </w:r>
      <w:r w:rsidR="00064E78" w:rsidRPr="00B247DF">
        <w:rPr>
          <w:rFonts w:ascii="Times New Roman" w:hAnsi="Times New Roman"/>
        </w:rPr>
        <w:t xml:space="preserve"> Upon being joined</w:t>
      </w:r>
      <w:r w:rsidR="00454AF4" w:rsidRPr="00B247DF">
        <w:rPr>
          <w:rFonts w:ascii="Times New Roman" w:hAnsi="Times New Roman"/>
        </w:rPr>
        <w:t xml:space="preserve"> as a defendant</w:t>
      </w:r>
      <w:r w:rsidR="00064E78" w:rsidRPr="00B247DF">
        <w:rPr>
          <w:rFonts w:ascii="Times New Roman" w:hAnsi="Times New Roman"/>
        </w:rPr>
        <w:t>, the Attorney-General</w:t>
      </w:r>
      <w:r w:rsidR="00757BEB" w:rsidRPr="00B247DF">
        <w:rPr>
          <w:rFonts w:ascii="Times New Roman" w:hAnsi="Times New Roman"/>
        </w:rPr>
        <w:t xml:space="preserve"> filed </w:t>
      </w:r>
      <w:r w:rsidR="00BA7574" w:rsidRPr="00B247DF">
        <w:rPr>
          <w:rFonts w:ascii="Times New Roman" w:hAnsi="Times New Roman"/>
        </w:rPr>
        <w:t>an interlocutory application</w:t>
      </w:r>
      <w:r w:rsidR="00593677" w:rsidRPr="00B247DF">
        <w:rPr>
          <w:rFonts w:ascii="Times New Roman" w:hAnsi="Times New Roman"/>
        </w:rPr>
        <w:t xml:space="preserve"> </w:t>
      </w:r>
      <w:r w:rsidR="00B2545A" w:rsidRPr="00B247DF">
        <w:rPr>
          <w:rFonts w:ascii="Times New Roman" w:hAnsi="Times New Roman"/>
        </w:rPr>
        <w:t>seeking</w:t>
      </w:r>
      <w:r w:rsidR="00593677" w:rsidRPr="00B247DF">
        <w:rPr>
          <w:rFonts w:ascii="Times New Roman" w:hAnsi="Times New Roman"/>
        </w:rPr>
        <w:t xml:space="preserve"> an</w:t>
      </w:r>
      <w:r w:rsidR="00BA7574" w:rsidRPr="00B247DF">
        <w:rPr>
          <w:rFonts w:ascii="Times New Roman" w:hAnsi="Times New Roman"/>
        </w:rPr>
        <w:t xml:space="preserve"> order that </w:t>
      </w:r>
      <w:r w:rsidR="009D3224" w:rsidRPr="00B247DF">
        <w:rPr>
          <w:rFonts w:ascii="Times New Roman" w:hAnsi="Times New Roman"/>
        </w:rPr>
        <w:t>the</w:t>
      </w:r>
      <w:r w:rsidR="00D64B78" w:rsidRPr="00B247DF">
        <w:rPr>
          <w:rFonts w:ascii="Times New Roman" w:hAnsi="Times New Roman"/>
        </w:rPr>
        <w:t xml:space="preserve"> </w:t>
      </w:r>
      <w:r w:rsidR="008079E2" w:rsidRPr="00B247DF">
        <w:rPr>
          <w:rFonts w:ascii="Times New Roman" w:hAnsi="Times New Roman"/>
        </w:rPr>
        <w:t>statement of claim</w:t>
      </w:r>
      <w:r w:rsidR="00D64B78" w:rsidRPr="00B247DF">
        <w:rPr>
          <w:rFonts w:ascii="Times New Roman" w:hAnsi="Times New Roman"/>
        </w:rPr>
        <w:t xml:space="preserve"> be struck out </w:t>
      </w:r>
      <w:r w:rsidR="003754BC" w:rsidRPr="00B247DF">
        <w:rPr>
          <w:rFonts w:ascii="Times New Roman" w:hAnsi="Times New Roman"/>
        </w:rPr>
        <w:t>or</w:t>
      </w:r>
      <w:r w:rsidR="00D64B78" w:rsidRPr="00B247DF">
        <w:rPr>
          <w:rFonts w:ascii="Times New Roman" w:hAnsi="Times New Roman"/>
        </w:rPr>
        <w:t xml:space="preserve"> </w:t>
      </w:r>
      <w:r w:rsidR="007C5EF5" w:rsidRPr="00B247DF">
        <w:rPr>
          <w:rFonts w:ascii="Times New Roman" w:hAnsi="Times New Roman"/>
        </w:rPr>
        <w:t>that the</w:t>
      </w:r>
      <w:r w:rsidR="00D64B78" w:rsidRPr="00B247DF">
        <w:rPr>
          <w:rFonts w:ascii="Times New Roman" w:hAnsi="Times New Roman"/>
        </w:rPr>
        <w:t xml:space="preserve"> </w:t>
      </w:r>
      <w:r w:rsidR="003C453C" w:rsidRPr="00B247DF">
        <w:rPr>
          <w:rFonts w:ascii="Times New Roman" w:hAnsi="Times New Roman"/>
        </w:rPr>
        <w:t>proceeding</w:t>
      </w:r>
      <w:r w:rsidR="002E5BF0" w:rsidRPr="00B247DF">
        <w:rPr>
          <w:rFonts w:ascii="Times New Roman" w:hAnsi="Times New Roman"/>
        </w:rPr>
        <w:t xml:space="preserve"> be</w:t>
      </w:r>
      <w:r w:rsidR="00265AA0" w:rsidRPr="00B247DF">
        <w:rPr>
          <w:rFonts w:ascii="Times New Roman" w:hAnsi="Times New Roman"/>
        </w:rPr>
        <w:t xml:space="preserve"> dismissed either </w:t>
      </w:r>
      <w:r w:rsidR="008079E2" w:rsidRPr="00B247DF">
        <w:rPr>
          <w:rFonts w:ascii="Times New Roman" w:hAnsi="Times New Roman"/>
        </w:rPr>
        <w:t xml:space="preserve">because the statement of claim </w:t>
      </w:r>
      <w:r w:rsidR="00760F9E" w:rsidRPr="00B247DF">
        <w:rPr>
          <w:rFonts w:ascii="Times New Roman" w:hAnsi="Times New Roman"/>
        </w:rPr>
        <w:t xml:space="preserve">as then amended </w:t>
      </w:r>
      <w:r w:rsidR="008079E2" w:rsidRPr="00B247DF">
        <w:rPr>
          <w:rFonts w:ascii="Times New Roman" w:hAnsi="Times New Roman"/>
        </w:rPr>
        <w:t>failed</w:t>
      </w:r>
      <w:r w:rsidR="00A3205E" w:rsidRPr="00B247DF">
        <w:rPr>
          <w:rFonts w:ascii="Times New Roman" w:hAnsi="Times New Roman"/>
        </w:rPr>
        <w:t xml:space="preserve"> to disclose </w:t>
      </w:r>
      <w:r w:rsidR="00265AA0" w:rsidRPr="00B247DF">
        <w:rPr>
          <w:rFonts w:ascii="Times New Roman" w:hAnsi="Times New Roman"/>
        </w:rPr>
        <w:t xml:space="preserve">a cause of action </w:t>
      </w:r>
      <w:r w:rsidR="00DE218B" w:rsidRPr="00B247DF">
        <w:rPr>
          <w:rFonts w:ascii="Times New Roman" w:hAnsi="Times New Roman"/>
        </w:rPr>
        <w:t xml:space="preserve">in that there was "no justiciable issue before the </w:t>
      </w:r>
      <w:r w:rsidR="00C150D4" w:rsidRPr="00B247DF">
        <w:rPr>
          <w:rFonts w:ascii="Times New Roman" w:hAnsi="Times New Roman"/>
        </w:rPr>
        <w:t>C</w:t>
      </w:r>
      <w:r w:rsidR="00DE218B" w:rsidRPr="00B247DF">
        <w:rPr>
          <w:rFonts w:ascii="Times New Roman" w:hAnsi="Times New Roman"/>
        </w:rPr>
        <w:t xml:space="preserve">ourt" </w:t>
      </w:r>
      <w:r w:rsidR="007C5EF5" w:rsidRPr="00B247DF">
        <w:rPr>
          <w:rFonts w:ascii="Times New Roman" w:hAnsi="Times New Roman"/>
        </w:rPr>
        <w:t xml:space="preserve">or </w:t>
      </w:r>
      <w:r w:rsidR="00A3205E" w:rsidRPr="00B247DF">
        <w:rPr>
          <w:rFonts w:ascii="Times New Roman" w:hAnsi="Times New Roman"/>
        </w:rPr>
        <w:t xml:space="preserve">because </w:t>
      </w:r>
      <w:r w:rsidR="00810B69" w:rsidRPr="00B247DF">
        <w:rPr>
          <w:rFonts w:ascii="Times New Roman" w:hAnsi="Times New Roman"/>
        </w:rPr>
        <w:t>adjudication</w:t>
      </w:r>
      <w:r w:rsidR="00A3205E" w:rsidRPr="00B247DF">
        <w:rPr>
          <w:rFonts w:ascii="Times New Roman" w:hAnsi="Times New Roman"/>
        </w:rPr>
        <w:t xml:space="preserve"> </w:t>
      </w:r>
      <w:r w:rsidR="00D31AB4" w:rsidRPr="00B247DF">
        <w:rPr>
          <w:rFonts w:ascii="Times New Roman" w:hAnsi="Times New Roman"/>
        </w:rPr>
        <w:t xml:space="preserve">by the Supreme Court </w:t>
      </w:r>
      <w:r w:rsidR="00775E26" w:rsidRPr="00B247DF">
        <w:rPr>
          <w:rFonts w:ascii="Times New Roman" w:hAnsi="Times New Roman"/>
        </w:rPr>
        <w:t xml:space="preserve">of issues of fact raised on the pleadings </w:t>
      </w:r>
      <w:r w:rsidR="00A3205E" w:rsidRPr="00B247DF">
        <w:rPr>
          <w:rFonts w:ascii="Times New Roman" w:hAnsi="Times New Roman"/>
        </w:rPr>
        <w:t>would</w:t>
      </w:r>
      <w:r w:rsidR="0001240F" w:rsidRPr="00B247DF">
        <w:rPr>
          <w:rFonts w:ascii="Times New Roman" w:hAnsi="Times New Roman"/>
        </w:rPr>
        <w:t xml:space="preserve"> "offend the principle that parliamentary proceedings </w:t>
      </w:r>
      <w:r w:rsidR="00A36111" w:rsidRPr="00B247DF">
        <w:rPr>
          <w:rFonts w:ascii="Times New Roman" w:hAnsi="Times New Roman"/>
        </w:rPr>
        <w:t>are absolutely privileged"</w:t>
      </w:r>
      <w:r w:rsidR="008F6397" w:rsidRPr="00B247DF">
        <w:rPr>
          <w:rFonts w:ascii="Times New Roman" w:hAnsi="Times New Roman"/>
        </w:rPr>
        <w:t>.</w:t>
      </w:r>
    </w:p>
    <w:p w14:paraId="0D9FC999" w14:textId="721207EA" w:rsidR="00762BF1" w:rsidRPr="00B247DF" w:rsidRDefault="00762BF1"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032866" w:rsidRPr="00B247DF">
        <w:rPr>
          <w:rFonts w:ascii="Times New Roman" w:hAnsi="Times New Roman"/>
        </w:rPr>
        <w:t>The interlocutory application was heard</w:t>
      </w:r>
      <w:r w:rsidR="000575D6" w:rsidRPr="00B247DF">
        <w:rPr>
          <w:rFonts w:ascii="Times New Roman" w:hAnsi="Times New Roman"/>
        </w:rPr>
        <w:t xml:space="preserve"> and determined </w:t>
      </w:r>
      <w:r w:rsidR="00A732E0" w:rsidRPr="00B247DF">
        <w:rPr>
          <w:rFonts w:ascii="Times New Roman" w:hAnsi="Times New Roman"/>
        </w:rPr>
        <w:t xml:space="preserve">at first instance </w:t>
      </w:r>
      <w:r w:rsidR="000575D6" w:rsidRPr="00B247DF">
        <w:rPr>
          <w:rFonts w:ascii="Times New Roman" w:hAnsi="Times New Roman"/>
        </w:rPr>
        <w:t>by Blow CJ</w:t>
      </w:r>
      <w:r w:rsidR="00BE79F1" w:rsidRPr="00B247DF">
        <w:rPr>
          <w:rFonts w:ascii="Times New Roman" w:hAnsi="Times New Roman"/>
        </w:rPr>
        <w:t>.</w:t>
      </w:r>
      <w:r w:rsidR="00367ACA" w:rsidRPr="00B247DF">
        <w:rPr>
          <w:rStyle w:val="FootnoteReference"/>
          <w:rFonts w:ascii="Times New Roman" w:hAnsi="Times New Roman"/>
          <w:sz w:val="24"/>
        </w:rPr>
        <w:footnoteReference w:id="2"/>
      </w:r>
      <w:r w:rsidR="00BE79F1" w:rsidRPr="00B247DF">
        <w:rPr>
          <w:rFonts w:ascii="Times New Roman" w:hAnsi="Times New Roman"/>
        </w:rPr>
        <w:t xml:space="preserve"> </w:t>
      </w:r>
      <w:r w:rsidR="00A36111" w:rsidRPr="00B247DF">
        <w:rPr>
          <w:rFonts w:ascii="Times New Roman" w:hAnsi="Times New Roman"/>
        </w:rPr>
        <w:t>His Honour was</w:t>
      </w:r>
      <w:r w:rsidR="00ED5760" w:rsidRPr="00B247DF">
        <w:rPr>
          <w:rFonts w:ascii="Times New Roman" w:hAnsi="Times New Roman"/>
        </w:rPr>
        <w:t xml:space="preserve"> persuaded that</w:t>
      </w:r>
      <w:r w:rsidR="007F5708" w:rsidRPr="00B247DF">
        <w:rPr>
          <w:rFonts w:ascii="Times New Roman" w:hAnsi="Times New Roman"/>
        </w:rPr>
        <w:t xml:space="preserve"> </w:t>
      </w:r>
      <w:r w:rsidR="00367ACA" w:rsidRPr="00B247DF">
        <w:rPr>
          <w:rFonts w:ascii="Times New Roman" w:hAnsi="Times New Roman"/>
        </w:rPr>
        <w:t xml:space="preserve">for the Supreme Court </w:t>
      </w:r>
      <w:r w:rsidR="008E4884" w:rsidRPr="00B247DF">
        <w:rPr>
          <w:rFonts w:ascii="Times New Roman" w:hAnsi="Times New Roman"/>
        </w:rPr>
        <w:t xml:space="preserve">to </w:t>
      </w:r>
      <w:r w:rsidR="00D67CA2" w:rsidRPr="00B247DF">
        <w:rPr>
          <w:rFonts w:ascii="Times New Roman" w:hAnsi="Times New Roman"/>
        </w:rPr>
        <w:t xml:space="preserve">adjudicate on the </w:t>
      </w:r>
      <w:r w:rsidR="002D0EE1" w:rsidRPr="00B247DF">
        <w:rPr>
          <w:rFonts w:ascii="Times New Roman" w:hAnsi="Times New Roman"/>
        </w:rPr>
        <w:t>existence</w:t>
      </w:r>
      <w:r w:rsidR="00D67CA2" w:rsidRPr="00B247DF">
        <w:rPr>
          <w:rFonts w:ascii="Times New Roman" w:hAnsi="Times New Roman"/>
        </w:rPr>
        <w:t xml:space="preserve"> and significance</w:t>
      </w:r>
      <w:r w:rsidR="002D0EE1" w:rsidRPr="00B247DF">
        <w:rPr>
          <w:rFonts w:ascii="Times New Roman" w:hAnsi="Times New Roman"/>
        </w:rPr>
        <w:t xml:space="preserve"> of the </w:t>
      </w:r>
      <w:r w:rsidR="00F90640" w:rsidRPr="00B247DF">
        <w:rPr>
          <w:rFonts w:ascii="Times New Roman" w:hAnsi="Times New Roman"/>
        </w:rPr>
        <w:t xml:space="preserve">pleaded </w:t>
      </w:r>
      <w:r w:rsidR="002D0EE1" w:rsidRPr="00B247DF">
        <w:rPr>
          <w:rFonts w:ascii="Times New Roman" w:hAnsi="Times New Roman"/>
        </w:rPr>
        <w:t>difference</w:t>
      </w:r>
      <w:r w:rsidR="00F90640" w:rsidRPr="00B247DF">
        <w:rPr>
          <w:rFonts w:ascii="Times New Roman" w:hAnsi="Times New Roman"/>
        </w:rPr>
        <w:t>s</w:t>
      </w:r>
      <w:r w:rsidR="002D0EE1" w:rsidRPr="00B247DF">
        <w:rPr>
          <w:rFonts w:ascii="Times New Roman" w:hAnsi="Times New Roman"/>
        </w:rPr>
        <w:t xml:space="preserve"> </w:t>
      </w:r>
      <w:r w:rsidR="008E4884" w:rsidRPr="00B247DF">
        <w:rPr>
          <w:rFonts w:ascii="Times New Roman" w:hAnsi="Times New Roman"/>
        </w:rPr>
        <w:t>between the road work that Hazell Bros had been engaged to undertake and the proposed road work that had been referred to and reported upon by the Committee in 2017</w:t>
      </w:r>
      <w:r w:rsidR="007F5708" w:rsidRPr="00B247DF">
        <w:rPr>
          <w:rFonts w:ascii="Times New Roman" w:hAnsi="Times New Roman"/>
        </w:rPr>
        <w:t xml:space="preserve"> </w:t>
      </w:r>
      <w:r w:rsidR="00ED5760" w:rsidRPr="00B247DF">
        <w:rPr>
          <w:rFonts w:ascii="Times New Roman" w:hAnsi="Times New Roman"/>
        </w:rPr>
        <w:t>would necessarily contravene the privilege of the Tasmanian Parliament</w:t>
      </w:r>
      <w:r w:rsidR="00EB2699" w:rsidRPr="00B247DF">
        <w:rPr>
          <w:rFonts w:ascii="Times New Roman" w:hAnsi="Times New Roman"/>
        </w:rPr>
        <w:t>.</w:t>
      </w:r>
      <w:r w:rsidR="00367ACA" w:rsidRPr="00B247DF">
        <w:rPr>
          <w:rStyle w:val="FootnoteReference"/>
          <w:rFonts w:ascii="Times New Roman" w:hAnsi="Times New Roman"/>
          <w:sz w:val="24"/>
        </w:rPr>
        <w:footnoteReference w:id="3"/>
      </w:r>
      <w:r w:rsidR="00EB2699" w:rsidRPr="00B247DF">
        <w:rPr>
          <w:rFonts w:ascii="Times New Roman" w:hAnsi="Times New Roman"/>
        </w:rPr>
        <w:t xml:space="preserve"> H</w:t>
      </w:r>
      <w:r w:rsidR="00BE79F1" w:rsidRPr="00B247DF">
        <w:rPr>
          <w:rFonts w:ascii="Times New Roman" w:hAnsi="Times New Roman"/>
        </w:rPr>
        <w:t>is Honour</w:t>
      </w:r>
      <w:r w:rsidR="00A47757" w:rsidRPr="00B247DF">
        <w:rPr>
          <w:rFonts w:ascii="Times New Roman" w:hAnsi="Times New Roman"/>
        </w:rPr>
        <w:t xml:space="preserve"> </w:t>
      </w:r>
      <w:r w:rsidR="00E17C61" w:rsidRPr="00B247DF">
        <w:rPr>
          <w:rFonts w:ascii="Times New Roman" w:hAnsi="Times New Roman"/>
        </w:rPr>
        <w:t>for that reason</w:t>
      </w:r>
      <w:r w:rsidR="00367ACA" w:rsidRPr="00B247DF">
        <w:rPr>
          <w:rFonts w:ascii="Times New Roman" w:hAnsi="Times New Roman"/>
        </w:rPr>
        <w:t xml:space="preserve"> </w:t>
      </w:r>
      <w:r w:rsidR="00310A27" w:rsidRPr="00B247DF">
        <w:rPr>
          <w:rFonts w:ascii="Times New Roman" w:hAnsi="Times New Roman"/>
        </w:rPr>
        <w:t xml:space="preserve">struck out the </w:t>
      </w:r>
      <w:r w:rsidR="00EB65ED" w:rsidRPr="00B247DF">
        <w:rPr>
          <w:rFonts w:ascii="Times New Roman" w:hAnsi="Times New Roman"/>
        </w:rPr>
        <w:t>statement of claim</w:t>
      </w:r>
      <w:r w:rsidR="00310A27" w:rsidRPr="00B247DF">
        <w:rPr>
          <w:rFonts w:ascii="Times New Roman" w:hAnsi="Times New Roman"/>
        </w:rPr>
        <w:t xml:space="preserve"> and dismissed the proceeding.</w:t>
      </w:r>
    </w:p>
    <w:p w14:paraId="3159369E" w14:textId="653D9BAA" w:rsidR="00307EC9" w:rsidRPr="00B247DF" w:rsidRDefault="00307EC9" w:rsidP="00B247DF">
      <w:pPr>
        <w:pStyle w:val="FixListStyle"/>
        <w:spacing w:after="260" w:line="280" w:lineRule="exact"/>
        <w:ind w:right="0"/>
        <w:jc w:val="both"/>
        <w:rPr>
          <w:rFonts w:ascii="Times New Roman" w:hAnsi="Times New Roman"/>
        </w:rPr>
      </w:pPr>
      <w:r w:rsidRPr="00B247DF">
        <w:rPr>
          <w:rFonts w:ascii="Times New Roman" w:hAnsi="Times New Roman"/>
        </w:rPr>
        <w:tab/>
        <w:t xml:space="preserve">Mr </w:t>
      </w:r>
      <w:proofErr w:type="spellStart"/>
      <w:r w:rsidRPr="00B247DF">
        <w:rPr>
          <w:rFonts w:ascii="Times New Roman" w:hAnsi="Times New Roman"/>
        </w:rPr>
        <w:t>Casimaty</w:t>
      </w:r>
      <w:proofErr w:type="spellEnd"/>
      <w:r w:rsidRPr="00B247DF">
        <w:rPr>
          <w:rFonts w:ascii="Times New Roman" w:hAnsi="Times New Roman"/>
        </w:rPr>
        <w:t xml:space="preserve"> appealed to the </w:t>
      </w:r>
      <w:r w:rsidR="00F35CFF" w:rsidRPr="00B247DF">
        <w:rPr>
          <w:rFonts w:ascii="Times New Roman" w:hAnsi="Times New Roman"/>
        </w:rPr>
        <w:t>Full Court of the Supreme Court</w:t>
      </w:r>
      <w:r w:rsidR="00C54544" w:rsidRPr="00B247DF">
        <w:rPr>
          <w:rFonts w:ascii="Times New Roman" w:hAnsi="Times New Roman"/>
        </w:rPr>
        <w:t>. B</w:t>
      </w:r>
      <w:r w:rsidR="006A4440" w:rsidRPr="00B247DF">
        <w:rPr>
          <w:rFonts w:ascii="Times New Roman" w:hAnsi="Times New Roman"/>
        </w:rPr>
        <w:t xml:space="preserve">y majority, </w:t>
      </w:r>
      <w:r w:rsidR="00120232" w:rsidRPr="00B247DF">
        <w:rPr>
          <w:rFonts w:ascii="Times New Roman" w:hAnsi="Times New Roman"/>
        </w:rPr>
        <w:t xml:space="preserve">the Full Court </w:t>
      </w:r>
      <w:r w:rsidR="00472CDC" w:rsidRPr="00B247DF">
        <w:rPr>
          <w:rFonts w:ascii="Times New Roman" w:hAnsi="Times New Roman"/>
        </w:rPr>
        <w:t xml:space="preserve">allowed the appeal, set aside the order of </w:t>
      </w:r>
      <w:r w:rsidR="00FE6BE1" w:rsidRPr="00B247DF">
        <w:rPr>
          <w:rFonts w:ascii="Times New Roman" w:hAnsi="Times New Roman"/>
        </w:rPr>
        <w:t>the primary judge</w:t>
      </w:r>
      <w:r w:rsidR="00B60085" w:rsidRPr="00B247DF">
        <w:rPr>
          <w:rFonts w:ascii="Times New Roman" w:hAnsi="Times New Roman"/>
        </w:rPr>
        <w:t xml:space="preserve"> </w:t>
      </w:r>
      <w:r w:rsidR="00B100B3" w:rsidRPr="00B247DF">
        <w:rPr>
          <w:rFonts w:ascii="Times New Roman" w:hAnsi="Times New Roman"/>
        </w:rPr>
        <w:t xml:space="preserve">and in its place ordered </w:t>
      </w:r>
      <w:r w:rsidR="00367ACA" w:rsidRPr="00B247DF">
        <w:rPr>
          <w:rFonts w:ascii="Times New Roman" w:hAnsi="Times New Roman"/>
        </w:rPr>
        <w:t xml:space="preserve">dismissal of </w:t>
      </w:r>
      <w:r w:rsidR="00B100B3" w:rsidRPr="00B247DF">
        <w:rPr>
          <w:rFonts w:ascii="Times New Roman" w:hAnsi="Times New Roman"/>
        </w:rPr>
        <w:t>the Attorney-General's interlocutory application.</w:t>
      </w:r>
      <w:r w:rsidR="0087511C" w:rsidRPr="00B247DF">
        <w:rPr>
          <w:rStyle w:val="FootnoteReference"/>
          <w:rFonts w:ascii="Times New Roman" w:hAnsi="Times New Roman"/>
          <w:sz w:val="24"/>
        </w:rPr>
        <w:footnoteReference w:id="4"/>
      </w:r>
      <w:r w:rsidR="001E63DF" w:rsidRPr="00B247DF">
        <w:rPr>
          <w:rFonts w:ascii="Times New Roman" w:hAnsi="Times New Roman"/>
        </w:rPr>
        <w:t xml:space="preserve"> Brett J</w:t>
      </w:r>
      <w:r w:rsidR="00217D35" w:rsidRPr="00B247DF">
        <w:rPr>
          <w:rFonts w:ascii="Times New Roman" w:hAnsi="Times New Roman"/>
        </w:rPr>
        <w:t xml:space="preserve">, with whom Pearce J agreed, </w:t>
      </w:r>
      <w:r w:rsidR="00783B43" w:rsidRPr="00B247DF">
        <w:rPr>
          <w:rFonts w:ascii="Times New Roman" w:hAnsi="Times New Roman"/>
        </w:rPr>
        <w:t xml:space="preserve">construed </w:t>
      </w:r>
      <w:proofErr w:type="spellStart"/>
      <w:r w:rsidR="004701A1" w:rsidRPr="00B247DF">
        <w:rPr>
          <w:rFonts w:ascii="Times New Roman" w:hAnsi="Times New Roman"/>
        </w:rPr>
        <w:t>s</w:t>
      </w:r>
      <w:proofErr w:type="spellEnd"/>
      <w:r w:rsidR="004701A1" w:rsidRPr="00B247DF">
        <w:rPr>
          <w:rFonts w:ascii="Times New Roman" w:hAnsi="Times New Roman"/>
        </w:rPr>
        <w:t xml:space="preserve"> 16(1) of the Act</w:t>
      </w:r>
      <w:r w:rsidR="0085696E" w:rsidRPr="00B247DF">
        <w:rPr>
          <w:rFonts w:ascii="Times New Roman" w:hAnsi="Times New Roman"/>
        </w:rPr>
        <w:t xml:space="preserve"> </w:t>
      </w:r>
      <w:r w:rsidR="00C54544" w:rsidRPr="00B247DF">
        <w:rPr>
          <w:rFonts w:ascii="Times New Roman" w:hAnsi="Times New Roman"/>
        </w:rPr>
        <w:t>as</w:t>
      </w:r>
      <w:r w:rsidR="001121C7" w:rsidRPr="00B247DF">
        <w:rPr>
          <w:rFonts w:ascii="Times New Roman" w:hAnsi="Times New Roman"/>
        </w:rPr>
        <w:t xml:space="preserve"> </w:t>
      </w:r>
      <w:r w:rsidR="00213C41" w:rsidRPr="00B247DF">
        <w:rPr>
          <w:rFonts w:ascii="Times New Roman" w:hAnsi="Times New Roman"/>
        </w:rPr>
        <w:t>creating</w:t>
      </w:r>
      <w:r w:rsidR="001121C7" w:rsidRPr="00B247DF">
        <w:rPr>
          <w:rFonts w:ascii="Times New Roman" w:hAnsi="Times New Roman"/>
        </w:rPr>
        <w:t xml:space="preserve"> "a public obligation enforceable under the general law"</w:t>
      </w:r>
      <w:r w:rsidR="008177AD" w:rsidRPr="00B247DF">
        <w:rPr>
          <w:rFonts w:ascii="Times New Roman" w:hAnsi="Times New Roman"/>
        </w:rPr>
        <w:t>.</w:t>
      </w:r>
      <w:r w:rsidR="001121C7" w:rsidRPr="00B247DF">
        <w:rPr>
          <w:rStyle w:val="FootnoteReference"/>
          <w:rFonts w:ascii="Times New Roman" w:hAnsi="Times New Roman"/>
          <w:sz w:val="24"/>
        </w:rPr>
        <w:footnoteReference w:id="5"/>
      </w:r>
      <w:r w:rsidR="008177AD" w:rsidRPr="00B247DF">
        <w:rPr>
          <w:rFonts w:ascii="Times New Roman" w:hAnsi="Times New Roman"/>
        </w:rPr>
        <w:t xml:space="preserve"> </w:t>
      </w:r>
      <w:r w:rsidR="00794E6C" w:rsidRPr="00B247DF">
        <w:rPr>
          <w:rFonts w:ascii="Times New Roman" w:hAnsi="Times New Roman"/>
        </w:rPr>
        <w:t>His Honour accepted</w:t>
      </w:r>
      <w:r w:rsidR="005D255A" w:rsidRPr="00B247DF">
        <w:rPr>
          <w:rFonts w:ascii="Times New Roman" w:hAnsi="Times New Roman"/>
        </w:rPr>
        <w:t xml:space="preserve"> that adjudication</w:t>
      </w:r>
      <w:r w:rsidR="008177AD" w:rsidRPr="00B247DF">
        <w:rPr>
          <w:rFonts w:ascii="Times New Roman" w:hAnsi="Times New Roman"/>
        </w:rPr>
        <w:t xml:space="preserve"> of</w:t>
      </w:r>
      <w:r w:rsidR="00E500AE" w:rsidRPr="00B247DF">
        <w:rPr>
          <w:rFonts w:ascii="Times New Roman" w:hAnsi="Times New Roman"/>
        </w:rPr>
        <w:t xml:space="preserve"> Mr </w:t>
      </w:r>
      <w:proofErr w:type="spellStart"/>
      <w:r w:rsidR="00E500AE" w:rsidRPr="00B247DF">
        <w:rPr>
          <w:rFonts w:ascii="Times New Roman" w:hAnsi="Times New Roman"/>
        </w:rPr>
        <w:t>Casimaty's</w:t>
      </w:r>
      <w:proofErr w:type="spellEnd"/>
      <w:r w:rsidR="00E500AE" w:rsidRPr="00B247DF">
        <w:rPr>
          <w:rFonts w:ascii="Times New Roman" w:hAnsi="Times New Roman"/>
        </w:rPr>
        <w:t xml:space="preserve"> pleaded case</w:t>
      </w:r>
      <w:r w:rsidR="008177AD" w:rsidRPr="00B247DF">
        <w:rPr>
          <w:rFonts w:ascii="Times New Roman" w:hAnsi="Times New Roman"/>
        </w:rPr>
        <w:t xml:space="preserve"> for the enforcement of that</w:t>
      </w:r>
      <w:r w:rsidR="006053C8" w:rsidRPr="00B247DF">
        <w:rPr>
          <w:rFonts w:ascii="Times New Roman" w:hAnsi="Times New Roman"/>
        </w:rPr>
        <w:t xml:space="preserve"> public</w:t>
      </w:r>
      <w:r w:rsidR="008177AD" w:rsidRPr="00B247DF">
        <w:rPr>
          <w:rFonts w:ascii="Times New Roman" w:hAnsi="Times New Roman"/>
        </w:rPr>
        <w:t xml:space="preserve"> obligation </w:t>
      </w:r>
      <w:r w:rsidR="00B10B03" w:rsidRPr="00B247DF">
        <w:rPr>
          <w:rFonts w:ascii="Times New Roman" w:hAnsi="Times New Roman"/>
        </w:rPr>
        <w:t xml:space="preserve">by injunction would </w:t>
      </w:r>
      <w:r w:rsidR="00F8299C" w:rsidRPr="00B247DF">
        <w:rPr>
          <w:rFonts w:ascii="Times New Roman" w:hAnsi="Times New Roman"/>
        </w:rPr>
        <w:t xml:space="preserve">require the Supreme Court to compare the </w:t>
      </w:r>
      <w:r w:rsidR="00E620F0" w:rsidRPr="00B247DF">
        <w:rPr>
          <w:rFonts w:ascii="Times New Roman" w:hAnsi="Times New Roman"/>
        </w:rPr>
        <w:t>road work</w:t>
      </w:r>
      <w:r w:rsidR="00F8299C" w:rsidRPr="00B247DF">
        <w:rPr>
          <w:rFonts w:ascii="Times New Roman" w:hAnsi="Times New Roman"/>
        </w:rPr>
        <w:t xml:space="preserve"> that Hazell Bros had been engaged to </w:t>
      </w:r>
      <w:r w:rsidR="002D0EE1" w:rsidRPr="00B247DF">
        <w:rPr>
          <w:rFonts w:ascii="Times New Roman" w:hAnsi="Times New Roman"/>
        </w:rPr>
        <w:t>undertake</w:t>
      </w:r>
      <w:r w:rsidR="00F8299C" w:rsidRPr="00B247DF">
        <w:rPr>
          <w:rFonts w:ascii="Times New Roman" w:hAnsi="Times New Roman"/>
        </w:rPr>
        <w:t xml:space="preserve"> </w:t>
      </w:r>
      <w:r w:rsidR="001C5035" w:rsidRPr="00B247DF">
        <w:rPr>
          <w:rFonts w:ascii="Times New Roman" w:hAnsi="Times New Roman"/>
        </w:rPr>
        <w:t>with</w:t>
      </w:r>
      <w:r w:rsidR="00F8299C" w:rsidRPr="00B247DF">
        <w:rPr>
          <w:rFonts w:ascii="Times New Roman" w:hAnsi="Times New Roman"/>
        </w:rPr>
        <w:t xml:space="preserve"> the proposed </w:t>
      </w:r>
      <w:r w:rsidR="00E620F0" w:rsidRPr="00B247DF">
        <w:rPr>
          <w:rFonts w:ascii="Times New Roman" w:hAnsi="Times New Roman"/>
        </w:rPr>
        <w:t>road work</w:t>
      </w:r>
      <w:r w:rsidR="00F8299C" w:rsidRPr="00B247DF">
        <w:rPr>
          <w:rFonts w:ascii="Times New Roman" w:hAnsi="Times New Roman"/>
        </w:rPr>
        <w:t xml:space="preserve"> that had been referred to and reported upon by the Committee in 2017</w:t>
      </w:r>
      <w:r w:rsidR="005A02DA" w:rsidRPr="00B247DF">
        <w:rPr>
          <w:rFonts w:ascii="Times New Roman" w:hAnsi="Times New Roman"/>
        </w:rPr>
        <w:t>.</w:t>
      </w:r>
      <w:r w:rsidR="007D252C" w:rsidRPr="00B247DF">
        <w:rPr>
          <w:rStyle w:val="FootnoteReference"/>
          <w:rFonts w:ascii="Times New Roman" w:hAnsi="Times New Roman"/>
          <w:sz w:val="24"/>
        </w:rPr>
        <w:footnoteReference w:id="6"/>
      </w:r>
      <w:r w:rsidR="005A02DA" w:rsidRPr="00B247DF">
        <w:rPr>
          <w:rFonts w:ascii="Times New Roman" w:hAnsi="Times New Roman"/>
        </w:rPr>
        <w:t xml:space="preserve"> D</w:t>
      </w:r>
      <w:r w:rsidR="00372A49" w:rsidRPr="00B247DF">
        <w:rPr>
          <w:rFonts w:ascii="Times New Roman" w:hAnsi="Times New Roman"/>
        </w:rPr>
        <w:t>iffering</w:t>
      </w:r>
      <w:r w:rsidR="005A02DA" w:rsidRPr="00B247DF">
        <w:rPr>
          <w:rFonts w:ascii="Times New Roman" w:hAnsi="Times New Roman"/>
        </w:rPr>
        <w:t xml:space="preserve"> from the primary judge</w:t>
      </w:r>
      <w:r w:rsidR="00506B07" w:rsidRPr="00B247DF">
        <w:rPr>
          <w:rFonts w:ascii="Times New Roman" w:hAnsi="Times New Roman"/>
        </w:rPr>
        <w:t>, however,</w:t>
      </w:r>
      <w:r w:rsidR="001C5035" w:rsidRPr="00B247DF">
        <w:rPr>
          <w:rFonts w:ascii="Times New Roman" w:hAnsi="Times New Roman"/>
        </w:rPr>
        <w:t xml:space="preserve"> his Honour </w:t>
      </w:r>
      <w:r w:rsidR="00F31245" w:rsidRPr="00B247DF">
        <w:rPr>
          <w:rFonts w:ascii="Times New Roman" w:hAnsi="Times New Roman"/>
        </w:rPr>
        <w:t xml:space="preserve">found that making that comparison would not necessarily contravene </w:t>
      </w:r>
      <w:r w:rsidR="007C0E0C" w:rsidRPr="00B247DF">
        <w:rPr>
          <w:rFonts w:ascii="Times New Roman" w:hAnsi="Times New Roman"/>
        </w:rPr>
        <w:t>any</w:t>
      </w:r>
      <w:r w:rsidR="00F31245" w:rsidRPr="00B247DF">
        <w:rPr>
          <w:rFonts w:ascii="Times New Roman" w:hAnsi="Times New Roman"/>
        </w:rPr>
        <w:t xml:space="preserve"> privilege of the Tasmanian Parliament.</w:t>
      </w:r>
      <w:r w:rsidR="00E84193" w:rsidRPr="00B247DF">
        <w:rPr>
          <w:rStyle w:val="FootnoteReference"/>
          <w:rFonts w:ascii="Times New Roman" w:hAnsi="Times New Roman"/>
          <w:sz w:val="24"/>
        </w:rPr>
        <w:footnoteReference w:id="7"/>
      </w:r>
      <w:r w:rsidR="009E1C4D" w:rsidRPr="00B247DF">
        <w:rPr>
          <w:rFonts w:ascii="Times New Roman" w:hAnsi="Times New Roman"/>
        </w:rPr>
        <w:t xml:space="preserve"> </w:t>
      </w:r>
      <w:proofErr w:type="spellStart"/>
      <w:r w:rsidR="009E1C4D" w:rsidRPr="00B247DF">
        <w:rPr>
          <w:rFonts w:ascii="Times New Roman" w:hAnsi="Times New Roman"/>
        </w:rPr>
        <w:t>Geason</w:t>
      </w:r>
      <w:proofErr w:type="spellEnd"/>
      <w:r w:rsidR="009E1C4D" w:rsidRPr="00B247DF">
        <w:rPr>
          <w:rFonts w:ascii="Times New Roman" w:hAnsi="Times New Roman"/>
        </w:rPr>
        <w:t xml:space="preserve"> J dissented.</w:t>
      </w:r>
    </w:p>
    <w:p w14:paraId="1FC4A2E3" w14:textId="36D777EA" w:rsidR="00F31245" w:rsidRPr="00B247DF" w:rsidRDefault="00F31245" w:rsidP="00B247DF">
      <w:pPr>
        <w:pStyle w:val="FixListStyle"/>
        <w:spacing w:after="260" w:line="280" w:lineRule="exact"/>
        <w:ind w:right="0"/>
        <w:jc w:val="both"/>
        <w:rPr>
          <w:rFonts w:ascii="Times New Roman" w:hAnsi="Times New Roman"/>
        </w:rPr>
      </w:pPr>
      <w:r w:rsidRPr="00B247DF">
        <w:rPr>
          <w:rFonts w:ascii="Times New Roman" w:hAnsi="Times New Roman"/>
        </w:rPr>
        <w:lastRenderedPageBreak/>
        <w:tab/>
        <w:t xml:space="preserve">The </w:t>
      </w:r>
      <w:r w:rsidR="00B2545A" w:rsidRPr="00B247DF">
        <w:rPr>
          <w:rFonts w:ascii="Times New Roman" w:hAnsi="Times New Roman"/>
        </w:rPr>
        <w:t xml:space="preserve">Tasmanian </w:t>
      </w:r>
      <w:r w:rsidRPr="00B247DF">
        <w:rPr>
          <w:rFonts w:ascii="Times New Roman" w:hAnsi="Times New Roman"/>
        </w:rPr>
        <w:t xml:space="preserve">Attorney-General sought and was granted special leave to appeal from </w:t>
      </w:r>
      <w:r w:rsidR="0000003F" w:rsidRPr="00B247DF">
        <w:rPr>
          <w:rFonts w:ascii="Times New Roman" w:hAnsi="Times New Roman"/>
        </w:rPr>
        <w:t xml:space="preserve">the </w:t>
      </w:r>
      <w:r w:rsidR="00681284" w:rsidRPr="00B247DF">
        <w:rPr>
          <w:rFonts w:ascii="Times New Roman" w:hAnsi="Times New Roman"/>
        </w:rPr>
        <w:t>order</w:t>
      </w:r>
      <w:r w:rsidR="0000003F" w:rsidRPr="00B247DF">
        <w:rPr>
          <w:rFonts w:ascii="Times New Roman" w:hAnsi="Times New Roman"/>
        </w:rPr>
        <w:t xml:space="preserve"> of the Full Court.</w:t>
      </w:r>
      <w:r w:rsidR="008C4C28" w:rsidRPr="00B247DF">
        <w:rPr>
          <w:rFonts w:ascii="Times New Roman" w:hAnsi="Times New Roman"/>
        </w:rPr>
        <w:t xml:space="preserve"> </w:t>
      </w:r>
      <w:r w:rsidR="004950D1" w:rsidRPr="00B247DF">
        <w:rPr>
          <w:rFonts w:ascii="Times New Roman" w:hAnsi="Times New Roman"/>
        </w:rPr>
        <w:t>Th</w:t>
      </w:r>
      <w:r w:rsidR="006C1DAA" w:rsidRPr="00B247DF">
        <w:rPr>
          <w:rFonts w:ascii="Times New Roman" w:hAnsi="Times New Roman"/>
        </w:rPr>
        <w:t>is</w:t>
      </w:r>
      <w:r w:rsidR="004950D1" w:rsidRPr="00B247DF">
        <w:rPr>
          <w:rFonts w:ascii="Times New Roman" w:hAnsi="Times New Roman"/>
        </w:rPr>
        <w:t xml:space="preserve"> Court was informed on the hearing of the appeal that c</w:t>
      </w:r>
      <w:r w:rsidR="008C4C28" w:rsidRPr="00B247DF">
        <w:rPr>
          <w:rFonts w:ascii="Times New Roman" w:hAnsi="Times New Roman"/>
        </w:rPr>
        <w:t xml:space="preserve">onstruction of the interchange </w:t>
      </w:r>
      <w:r w:rsidR="001B23AD" w:rsidRPr="00B247DF">
        <w:rPr>
          <w:rFonts w:ascii="Times New Roman" w:hAnsi="Times New Roman"/>
        </w:rPr>
        <w:t>had been</w:t>
      </w:r>
      <w:r w:rsidR="008C4C28" w:rsidRPr="00B247DF">
        <w:rPr>
          <w:rFonts w:ascii="Times New Roman" w:hAnsi="Times New Roman"/>
        </w:rPr>
        <w:t xml:space="preserve"> complete</w:t>
      </w:r>
      <w:r w:rsidR="0067759B" w:rsidRPr="00B247DF">
        <w:rPr>
          <w:rFonts w:ascii="Times New Roman" w:hAnsi="Times New Roman"/>
        </w:rPr>
        <w:t>d</w:t>
      </w:r>
      <w:r w:rsidR="008C4C28" w:rsidRPr="00B247DF">
        <w:rPr>
          <w:rFonts w:ascii="Times New Roman" w:hAnsi="Times New Roman"/>
        </w:rPr>
        <w:t>.</w:t>
      </w:r>
      <w:r w:rsidR="00F416E0" w:rsidRPr="00B247DF">
        <w:rPr>
          <w:rFonts w:ascii="Times New Roman" w:hAnsi="Times New Roman"/>
        </w:rPr>
        <w:t xml:space="preserve"> </w:t>
      </w:r>
      <w:r w:rsidR="00994327" w:rsidRPr="00B247DF">
        <w:rPr>
          <w:rFonts w:ascii="Times New Roman" w:hAnsi="Times New Roman"/>
        </w:rPr>
        <w:t xml:space="preserve">On the basis that </w:t>
      </w:r>
      <w:r w:rsidR="00BC2ACC" w:rsidRPr="00B247DF">
        <w:rPr>
          <w:rFonts w:ascii="Times New Roman" w:hAnsi="Times New Roman"/>
        </w:rPr>
        <w:t xml:space="preserve">the </w:t>
      </w:r>
      <w:r w:rsidR="00B478C0" w:rsidRPr="00B247DF">
        <w:rPr>
          <w:rFonts w:ascii="Times New Roman" w:hAnsi="Times New Roman"/>
        </w:rPr>
        <w:t xml:space="preserve">effect of the </w:t>
      </w:r>
      <w:r w:rsidR="00BC2ACC" w:rsidRPr="00B247DF">
        <w:rPr>
          <w:rFonts w:ascii="Times New Roman" w:hAnsi="Times New Roman"/>
        </w:rPr>
        <w:t>order of the Full Court</w:t>
      </w:r>
      <w:r w:rsidR="0075645B" w:rsidRPr="00B247DF">
        <w:rPr>
          <w:rFonts w:ascii="Times New Roman" w:hAnsi="Times New Roman"/>
        </w:rPr>
        <w:t xml:space="preserve"> </w:t>
      </w:r>
      <w:r w:rsidR="00B478C0" w:rsidRPr="00B247DF">
        <w:rPr>
          <w:rFonts w:ascii="Times New Roman" w:hAnsi="Times New Roman"/>
        </w:rPr>
        <w:t>was to leave</w:t>
      </w:r>
      <w:r w:rsidR="00213234" w:rsidRPr="00B247DF">
        <w:rPr>
          <w:rFonts w:ascii="Times New Roman" w:hAnsi="Times New Roman"/>
        </w:rPr>
        <w:t xml:space="preserve"> the proceeding in the Supreme Court on foot and </w:t>
      </w:r>
      <w:r w:rsidR="00B478C0" w:rsidRPr="00B247DF">
        <w:rPr>
          <w:rFonts w:ascii="Times New Roman" w:hAnsi="Times New Roman"/>
        </w:rPr>
        <w:t>that</w:t>
      </w:r>
      <w:r w:rsidR="00BC2ACC" w:rsidRPr="00B247DF">
        <w:rPr>
          <w:rFonts w:ascii="Times New Roman" w:hAnsi="Times New Roman"/>
        </w:rPr>
        <w:t xml:space="preserve"> it </w:t>
      </w:r>
      <w:r w:rsidR="003159A1" w:rsidRPr="00B247DF">
        <w:rPr>
          <w:rFonts w:ascii="Times New Roman" w:hAnsi="Times New Roman"/>
        </w:rPr>
        <w:t xml:space="preserve">was </w:t>
      </w:r>
      <w:r w:rsidR="00994327" w:rsidRPr="00B247DF">
        <w:rPr>
          <w:rFonts w:ascii="Times New Roman" w:hAnsi="Times New Roman"/>
        </w:rPr>
        <w:t xml:space="preserve">open </w:t>
      </w:r>
      <w:r w:rsidR="00BC2ACC" w:rsidRPr="00B247DF">
        <w:rPr>
          <w:rFonts w:ascii="Times New Roman" w:hAnsi="Times New Roman"/>
        </w:rPr>
        <w:t xml:space="preserve">to Mr </w:t>
      </w:r>
      <w:proofErr w:type="spellStart"/>
      <w:r w:rsidR="00BC2ACC" w:rsidRPr="00B247DF">
        <w:rPr>
          <w:rFonts w:ascii="Times New Roman" w:hAnsi="Times New Roman"/>
        </w:rPr>
        <w:t>Casimaty</w:t>
      </w:r>
      <w:proofErr w:type="spellEnd"/>
      <w:r w:rsidR="00BC2ACC" w:rsidRPr="00B247DF" w:rsidDel="00994327">
        <w:rPr>
          <w:rFonts w:ascii="Times New Roman" w:hAnsi="Times New Roman"/>
        </w:rPr>
        <w:t xml:space="preserve"> </w:t>
      </w:r>
      <w:r w:rsidR="00BC2ACC" w:rsidRPr="00B247DF">
        <w:rPr>
          <w:rFonts w:ascii="Times New Roman" w:hAnsi="Times New Roman"/>
        </w:rPr>
        <w:t>to apply to further amend his statement of claim</w:t>
      </w:r>
      <w:r w:rsidR="0017799C" w:rsidRPr="00B247DF">
        <w:rPr>
          <w:rFonts w:ascii="Times New Roman" w:hAnsi="Times New Roman"/>
        </w:rPr>
        <w:t xml:space="preserve"> to vary</w:t>
      </w:r>
      <w:r w:rsidR="00D832D5" w:rsidRPr="00B247DF">
        <w:rPr>
          <w:rFonts w:ascii="Times New Roman" w:hAnsi="Times New Roman"/>
        </w:rPr>
        <w:t xml:space="preserve"> the relief he sought</w:t>
      </w:r>
      <w:r w:rsidR="00C02234" w:rsidRPr="00B247DF">
        <w:rPr>
          <w:rFonts w:ascii="Times New Roman" w:hAnsi="Times New Roman"/>
        </w:rPr>
        <w:t xml:space="preserve"> in the proceedin</w:t>
      </w:r>
      <w:r w:rsidR="00213234" w:rsidRPr="00B247DF">
        <w:rPr>
          <w:rFonts w:ascii="Times New Roman" w:hAnsi="Times New Roman"/>
        </w:rPr>
        <w:t>g</w:t>
      </w:r>
      <w:r w:rsidR="00BC2ACC" w:rsidRPr="00B247DF">
        <w:rPr>
          <w:rFonts w:ascii="Times New Roman" w:hAnsi="Times New Roman"/>
        </w:rPr>
        <w:t xml:space="preserve">, </w:t>
      </w:r>
      <w:r w:rsidR="00230794" w:rsidRPr="00B247DF">
        <w:rPr>
          <w:rFonts w:ascii="Times New Roman" w:hAnsi="Times New Roman"/>
        </w:rPr>
        <w:t>it was not suggested</w:t>
      </w:r>
      <w:r w:rsidR="0075645B" w:rsidRPr="00B247DF">
        <w:rPr>
          <w:rFonts w:ascii="Times New Roman" w:hAnsi="Times New Roman"/>
        </w:rPr>
        <w:t xml:space="preserve"> </w:t>
      </w:r>
      <w:r w:rsidR="00E87CB8" w:rsidRPr="00B247DF">
        <w:rPr>
          <w:rFonts w:ascii="Times New Roman" w:hAnsi="Times New Roman"/>
        </w:rPr>
        <w:t xml:space="preserve">that completion of the interchange </w:t>
      </w:r>
      <w:r w:rsidR="00F249BE" w:rsidRPr="00B247DF">
        <w:rPr>
          <w:rFonts w:ascii="Times New Roman" w:hAnsi="Times New Roman"/>
        </w:rPr>
        <w:t>render</w:t>
      </w:r>
      <w:r w:rsidR="00230794" w:rsidRPr="00B247DF">
        <w:rPr>
          <w:rFonts w:ascii="Times New Roman" w:hAnsi="Times New Roman"/>
        </w:rPr>
        <w:t>ed</w:t>
      </w:r>
      <w:r w:rsidR="00F249BE" w:rsidRPr="00B247DF">
        <w:rPr>
          <w:rFonts w:ascii="Times New Roman" w:hAnsi="Times New Roman"/>
        </w:rPr>
        <w:t xml:space="preserve"> the appeal moot.</w:t>
      </w:r>
    </w:p>
    <w:p w14:paraId="4977044E" w14:textId="3739350A" w:rsidR="0000003F" w:rsidRPr="00B247DF" w:rsidRDefault="00531DEF" w:rsidP="00B247DF">
      <w:pPr>
        <w:pStyle w:val="HeadingL1"/>
        <w:spacing w:after="260" w:line="280" w:lineRule="exact"/>
        <w:ind w:right="0"/>
        <w:jc w:val="both"/>
        <w:rPr>
          <w:rFonts w:ascii="Times New Roman" w:hAnsi="Times New Roman"/>
        </w:rPr>
      </w:pPr>
      <w:r w:rsidRPr="00B247DF">
        <w:rPr>
          <w:rFonts w:ascii="Times New Roman" w:hAnsi="Times New Roman"/>
        </w:rPr>
        <w:t>The appeal</w:t>
      </w:r>
    </w:p>
    <w:p w14:paraId="6ACB010E" w14:textId="34D2F2B7" w:rsidR="0000003F" w:rsidRPr="00B247DF" w:rsidRDefault="0000003F"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7F7C54" w:rsidRPr="00B247DF">
        <w:rPr>
          <w:rFonts w:ascii="Times New Roman" w:hAnsi="Times New Roman"/>
        </w:rPr>
        <w:t>Reflecting</w:t>
      </w:r>
      <w:r w:rsidR="00531DEF" w:rsidRPr="00B247DF">
        <w:rPr>
          <w:rFonts w:ascii="Times New Roman" w:hAnsi="Times New Roman"/>
        </w:rPr>
        <w:t xml:space="preserve"> </w:t>
      </w:r>
      <w:r w:rsidR="00F40537" w:rsidRPr="00B247DF">
        <w:rPr>
          <w:rFonts w:ascii="Times New Roman" w:hAnsi="Times New Roman"/>
        </w:rPr>
        <w:t xml:space="preserve">the </w:t>
      </w:r>
      <w:r w:rsidR="00DD0596" w:rsidRPr="00B247DF">
        <w:rPr>
          <w:rFonts w:ascii="Times New Roman" w:hAnsi="Times New Roman"/>
        </w:rPr>
        <w:t xml:space="preserve">terms of the </w:t>
      </w:r>
      <w:r w:rsidR="00F40537" w:rsidRPr="00B247DF">
        <w:rPr>
          <w:rFonts w:ascii="Times New Roman" w:hAnsi="Times New Roman"/>
        </w:rPr>
        <w:t xml:space="preserve">interlocutory application filed in the Supreme Court, the </w:t>
      </w:r>
      <w:r w:rsidR="00B2545A" w:rsidRPr="00B247DF">
        <w:rPr>
          <w:rFonts w:ascii="Times New Roman" w:hAnsi="Times New Roman"/>
        </w:rPr>
        <w:t xml:space="preserve">Tasmanian </w:t>
      </w:r>
      <w:r w:rsidR="00F40537" w:rsidRPr="00B247DF">
        <w:rPr>
          <w:rFonts w:ascii="Times New Roman" w:hAnsi="Times New Roman"/>
        </w:rPr>
        <w:t xml:space="preserve">Attorney-General's appeal </w:t>
      </w:r>
      <w:r w:rsidR="00C5455A" w:rsidRPr="00B247DF">
        <w:rPr>
          <w:rFonts w:ascii="Times New Roman" w:hAnsi="Times New Roman"/>
        </w:rPr>
        <w:t>raise</w:t>
      </w:r>
      <w:r w:rsidR="0006167E" w:rsidRPr="00B247DF">
        <w:rPr>
          <w:rFonts w:ascii="Times New Roman" w:hAnsi="Times New Roman"/>
        </w:rPr>
        <w:t>s</w:t>
      </w:r>
      <w:r w:rsidR="00C5455A" w:rsidRPr="00B247DF">
        <w:rPr>
          <w:rFonts w:ascii="Times New Roman" w:hAnsi="Times New Roman"/>
        </w:rPr>
        <w:t xml:space="preserve"> two grounds. </w:t>
      </w:r>
      <w:r w:rsidR="00213C41" w:rsidRPr="00B247DF">
        <w:rPr>
          <w:rFonts w:ascii="Times New Roman" w:hAnsi="Times New Roman"/>
        </w:rPr>
        <w:t>The first</w:t>
      </w:r>
      <w:r w:rsidR="007549C1" w:rsidRPr="00B247DF">
        <w:rPr>
          <w:rFonts w:ascii="Times New Roman" w:hAnsi="Times New Roman"/>
        </w:rPr>
        <w:t xml:space="preserve"> ground</w:t>
      </w:r>
      <w:r w:rsidR="00213C41" w:rsidRPr="00B247DF">
        <w:rPr>
          <w:rFonts w:ascii="Times New Roman" w:hAnsi="Times New Roman"/>
        </w:rPr>
        <w:t xml:space="preserve"> </w:t>
      </w:r>
      <w:r w:rsidR="0006167E" w:rsidRPr="00B247DF">
        <w:rPr>
          <w:rFonts w:ascii="Times New Roman" w:hAnsi="Times New Roman"/>
        </w:rPr>
        <w:t>i</w:t>
      </w:r>
      <w:r w:rsidR="00213C41" w:rsidRPr="00B247DF">
        <w:rPr>
          <w:rFonts w:ascii="Times New Roman" w:hAnsi="Times New Roman"/>
        </w:rPr>
        <w:t xml:space="preserve">s to the effect that the Full Court </w:t>
      </w:r>
      <w:r w:rsidR="00332CA3" w:rsidRPr="00B247DF">
        <w:rPr>
          <w:rFonts w:ascii="Times New Roman" w:hAnsi="Times New Roman"/>
        </w:rPr>
        <w:t>was wrong to</w:t>
      </w:r>
      <w:r w:rsidR="00213C41" w:rsidRPr="00B247DF">
        <w:rPr>
          <w:rFonts w:ascii="Times New Roman" w:hAnsi="Times New Roman"/>
        </w:rPr>
        <w:t xml:space="preserve"> constru</w:t>
      </w:r>
      <w:r w:rsidR="00332CA3" w:rsidRPr="00B247DF">
        <w:rPr>
          <w:rFonts w:ascii="Times New Roman" w:hAnsi="Times New Roman"/>
        </w:rPr>
        <w:t>e</w:t>
      </w:r>
      <w:r w:rsidR="00213C41" w:rsidRPr="00B247DF">
        <w:rPr>
          <w:rFonts w:ascii="Times New Roman" w:hAnsi="Times New Roman"/>
        </w:rPr>
        <w:t xml:space="preserve"> s 16(1) of the Act </w:t>
      </w:r>
      <w:r w:rsidR="00332CA3" w:rsidRPr="00B247DF">
        <w:rPr>
          <w:rFonts w:ascii="Times New Roman" w:hAnsi="Times New Roman"/>
        </w:rPr>
        <w:t>as</w:t>
      </w:r>
      <w:r w:rsidR="00213C41" w:rsidRPr="00B247DF">
        <w:rPr>
          <w:rFonts w:ascii="Times New Roman" w:hAnsi="Times New Roman"/>
        </w:rPr>
        <w:t xml:space="preserve"> creat</w:t>
      </w:r>
      <w:r w:rsidR="00332CA3" w:rsidRPr="00B247DF">
        <w:rPr>
          <w:rFonts w:ascii="Times New Roman" w:hAnsi="Times New Roman"/>
        </w:rPr>
        <w:t>ing</w:t>
      </w:r>
      <w:r w:rsidR="00213C41" w:rsidRPr="00B247DF">
        <w:rPr>
          <w:rFonts w:ascii="Times New Roman" w:hAnsi="Times New Roman"/>
        </w:rPr>
        <w:t xml:space="preserve"> "a public obligation</w:t>
      </w:r>
      <w:r w:rsidR="00332CA3" w:rsidRPr="00B247DF">
        <w:rPr>
          <w:rFonts w:ascii="Times New Roman" w:hAnsi="Times New Roman"/>
        </w:rPr>
        <w:t>"</w:t>
      </w:r>
      <w:r w:rsidR="00213C41" w:rsidRPr="00B247DF">
        <w:rPr>
          <w:rFonts w:ascii="Times New Roman" w:hAnsi="Times New Roman"/>
        </w:rPr>
        <w:t xml:space="preserve"> </w:t>
      </w:r>
      <w:r w:rsidR="00332CA3" w:rsidRPr="00B247DF">
        <w:rPr>
          <w:rFonts w:ascii="Times New Roman" w:hAnsi="Times New Roman"/>
        </w:rPr>
        <w:t>enforceable by a court</w:t>
      </w:r>
      <w:r w:rsidR="00213C41" w:rsidRPr="00B247DF">
        <w:rPr>
          <w:rFonts w:ascii="Times New Roman" w:hAnsi="Times New Roman"/>
        </w:rPr>
        <w:t>.</w:t>
      </w:r>
      <w:r w:rsidR="00332CA3" w:rsidRPr="00B247DF">
        <w:rPr>
          <w:rFonts w:ascii="Times New Roman" w:hAnsi="Times New Roman"/>
        </w:rPr>
        <w:t xml:space="preserve"> The second </w:t>
      </w:r>
      <w:r w:rsidR="007549C1" w:rsidRPr="00B247DF">
        <w:rPr>
          <w:rFonts w:ascii="Times New Roman" w:hAnsi="Times New Roman"/>
        </w:rPr>
        <w:t xml:space="preserve">ground </w:t>
      </w:r>
      <w:r w:rsidR="0006167E" w:rsidRPr="00B247DF">
        <w:rPr>
          <w:rFonts w:ascii="Times New Roman" w:hAnsi="Times New Roman"/>
        </w:rPr>
        <w:t>i</w:t>
      </w:r>
      <w:r w:rsidR="00332CA3" w:rsidRPr="00B247DF">
        <w:rPr>
          <w:rFonts w:ascii="Times New Roman" w:hAnsi="Times New Roman"/>
        </w:rPr>
        <w:t>s</w:t>
      </w:r>
      <w:r w:rsidR="00DD0596" w:rsidRPr="00B247DF">
        <w:rPr>
          <w:rFonts w:ascii="Times New Roman" w:hAnsi="Times New Roman"/>
        </w:rPr>
        <w:t xml:space="preserve"> to the effect</w:t>
      </w:r>
      <w:r w:rsidR="00332CA3" w:rsidRPr="00B247DF">
        <w:rPr>
          <w:rFonts w:ascii="Times New Roman" w:hAnsi="Times New Roman"/>
        </w:rPr>
        <w:t xml:space="preserve"> that </w:t>
      </w:r>
      <w:r w:rsidR="00C1430E" w:rsidRPr="00B247DF">
        <w:rPr>
          <w:rFonts w:ascii="Times New Roman" w:hAnsi="Times New Roman"/>
        </w:rPr>
        <w:t>the Full Court</w:t>
      </w:r>
      <w:r w:rsidR="00431E67" w:rsidRPr="00B247DF">
        <w:rPr>
          <w:rFonts w:ascii="Times New Roman" w:hAnsi="Times New Roman"/>
        </w:rPr>
        <w:t xml:space="preserve"> ought to have concluded that </w:t>
      </w:r>
      <w:r w:rsidR="00FE6BE1" w:rsidRPr="00B247DF">
        <w:rPr>
          <w:rFonts w:ascii="Times New Roman" w:hAnsi="Times New Roman"/>
        </w:rPr>
        <w:t>the primary judge</w:t>
      </w:r>
      <w:r w:rsidR="00867575" w:rsidRPr="00B247DF">
        <w:rPr>
          <w:rFonts w:ascii="Times New Roman" w:hAnsi="Times New Roman"/>
        </w:rPr>
        <w:t xml:space="preserve"> was correct </w:t>
      </w:r>
      <w:r w:rsidR="00DD77C0" w:rsidRPr="00B247DF">
        <w:rPr>
          <w:rFonts w:ascii="Times New Roman" w:hAnsi="Times New Roman"/>
        </w:rPr>
        <w:t xml:space="preserve">to consider that adjudication of the pleaded case would </w:t>
      </w:r>
      <w:r w:rsidR="00431E67" w:rsidRPr="00B247DF">
        <w:rPr>
          <w:rFonts w:ascii="Times New Roman" w:hAnsi="Times New Roman"/>
        </w:rPr>
        <w:t xml:space="preserve">contravene the privilege of </w:t>
      </w:r>
      <w:r w:rsidR="00467000" w:rsidRPr="00B247DF">
        <w:rPr>
          <w:rFonts w:ascii="Times New Roman" w:hAnsi="Times New Roman"/>
        </w:rPr>
        <w:t xml:space="preserve">proceedings in </w:t>
      </w:r>
      <w:r w:rsidR="00431E67" w:rsidRPr="00B247DF">
        <w:rPr>
          <w:rFonts w:ascii="Times New Roman" w:hAnsi="Times New Roman"/>
        </w:rPr>
        <w:t>the Tasmanian Parliament</w:t>
      </w:r>
      <w:r w:rsidR="00867575" w:rsidRPr="00B247DF">
        <w:rPr>
          <w:rFonts w:ascii="Times New Roman" w:hAnsi="Times New Roman"/>
        </w:rPr>
        <w:t>.</w:t>
      </w:r>
    </w:p>
    <w:p w14:paraId="31721647" w14:textId="5E7CCB5B" w:rsidR="001364DC" w:rsidRPr="00B247DF" w:rsidRDefault="001364DC"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736EA6" w:rsidRPr="00B247DF">
        <w:rPr>
          <w:rFonts w:ascii="Times New Roman" w:hAnsi="Times New Roman"/>
        </w:rPr>
        <w:t xml:space="preserve">Mr </w:t>
      </w:r>
      <w:proofErr w:type="spellStart"/>
      <w:r w:rsidR="00736EA6" w:rsidRPr="00B247DF">
        <w:rPr>
          <w:rFonts w:ascii="Times New Roman" w:hAnsi="Times New Roman"/>
        </w:rPr>
        <w:t>Casimaty</w:t>
      </w:r>
      <w:proofErr w:type="spellEnd"/>
      <w:r w:rsidR="00736EA6" w:rsidRPr="00B247DF" w:rsidDel="00994327">
        <w:rPr>
          <w:rFonts w:ascii="Times New Roman" w:hAnsi="Times New Roman"/>
        </w:rPr>
        <w:t xml:space="preserve"> </w:t>
      </w:r>
      <w:r w:rsidR="000E1681" w:rsidRPr="00B247DF">
        <w:rPr>
          <w:rFonts w:ascii="Times New Roman" w:hAnsi="Times New Roman"/>
        </w:rPr>
        <w:t xml:space="preserve">contested both grounds of appeal. </w:t>
      </w:r>
      <w:r w:rsidRPr="00B247DF">
        <w:rPr>
          <w:rFonts w:ascii="Times New Roman" w:hAnsi="Times New Roman"/>
        </w:rPr>
        <w:t xml:space="preserve">Consistently with </w:t>
      </w:r>
      <w:r w:rsidR="00B42416" w:rsidRPr="00B247DF">
        <w:rPr>
          <w:rFonts w:ascii="Times New Roman" w:hAnsi="Times New Roman"/>
        </w:rPr>
        <w:t>its</w:t>
      </w:r>
      <w:r w:rsidRPr="00B247DF">
        <w:rPr>
          <w:rFonts w:ascii="Times New Roman" w:hAnsi="Times New Roman"/>
        </w:rPr>
        <w:t xml:space="preserve"> stance before </w:t>
      </w:r>
      <w:r w:rsidR="0067759D" w:rsidRPr="00B247DF">
        <w:rPr>
          <w:rFonts w:ascii="Times New Roman" w:hAnsi="Times New Roman"/>
        </w:rPr>
        <w:t>the primary judge</w:t>
      </w:r>
      <w:r w:rsidR="000B0BD9" w:rsidRPr="00B247DF">
        <w:rPr>
          <w:rFonts w:ascii="Times New Roman" w:hAnsi="Times New Roman"/>
        </w:rPr>
        <w:t xml:space="preserve"> and the Full Court</w:t>
      </w:r>
      <w:r w:rsidR="00BC761E" w:rsidRPr="00B247DF">
        <w:rPr>
          <w:rFonts w:ascii="Times New Roman" w:hAnsi="Times New Roman"/>
        </w:rPr>
        <w:t xml:space="preserve">, Hazell Bros played no active role </w:t>
      </w:r>
      <w:r w:rsidR="0006167E" w:rsidRPr="00B247DF">
        <w:rPr>
          <w:rFonts w:ascii="Times New Roman" w:hAnsi="Times New Roman"/>
        </w:rPr>
        <w:t>in</w:t>
      </w:r>
      <w:r w:rsidR="00BC761E" w:rsidRPr="00B247DF">
        <w:rPr>
          <w:rFonts w:ascii="Times New Roman" w:hAnsi="Times New Roman"/>
        </w:rPr>
        <w:t xml:space="preserve"> the appeal.</w:t>
      </w:r>
    </w:p>
    <w:p w14:paraId="3BF0EC63" w14:textId="6D50D162" w:rsidR="00977613" w:rsidRPr="00B247DF" w:rsidRDefault="00C772C0"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AC402B" w:rsidRPr="00B247DF">
        <w:rPr>
          <w:rFonts w:ascii="Times New Roman" w:hAnsi="Times New Roman"/>
        </w:rPr>
        <w:t>T</w:t>
      </w:r>
      <w:r w:rsidR="003B2F31" w:rsidRPr="00B247DF">
        <w:rPr>
          <w:rFonts w:ascii="Times New Roman" w:hAnsi="Times New Roman"/>
        </w:rPr>
        <w:t xml:space="preserve">he Attorney-General </w:t>
      </w:r>
      <w:r w:rsidR="00BD4334" w:rsidRPr="00B247DF">
        <w:rPr>
          <w:rFonts w:ascii="Times New Roman" w:hAnsi="Times New Roman"/>
        </w:rPr>
        <w:t xml:space="preserve">of the Commonwealth </w:t>
      </w:r>
      <w:r w:rsidR="005F050A" w:rsidRPr="00B247DF">
        <w:rPr>
          <w:rFonts w:ascii="Times New Roman" w:hAnsi="Times New Roman"/>
        </w:rPr>
        <w:t xml:space="preserve">was granted leave to intervene on the hearing of the appeal, as were </w:t>
      </w:r>
      <w:r w:rsidR="004D2796" w:rsidRPr="00B247DF">
        <w:rPr>
          <w:rFonts w:ascii="Times New Roman" w:hAnsi="Times New Roman"/>
        </w:rPr>
        <w:t xml:space="preserve">the Attorneys-General </w:t>
      </w:r>
      <w:r w:rsidR="003B2F31" w:rsidRPr="00B247DF">
        <w:rPr>
          <w:rFonts w:ascii="Times New Roman" w:hAnsi="Times New Roman"/>
        </w:rPr>
        <w:t>for South Australia and the Australian Capital Territory</w:t>
      </w:r>
      <w:r w:rsidR="00BD4334" w:rsidRPr="00B247DF">
        <w:rPr>
          <w:rFonts w:ascii="Times New Roman" w:hAnsi="Times New Roman"/>
        </w:rPr>
        <w:t xml:space="preserve">. </w:t>
      </w:r>
      <w:r w:rsidR="006E6240" w:rsidRPr="00B247DF">
        <w:rPr>
          <w:rFonts w:ascii="Times New Roman" w:hAnsi="Times New Roman"/>
        </w:rPr>
        <w:t>The Attorneys-General for South Australia and the Australian Capital Territory each support</w:t>
      </w:r>
      <w:r w:rsidR="00736EA6" w:rsidRPr="00B247DF">
        <w:rPr>
          <w:rFonts w:ascii="Times New Roman" w:hAnsi="Times New Roman"/>
        </w:rPr>
        <w:t>ed</w:t>
      </w:r>
      <w:r w:rsidR="004F583B" w:rsidRPr="00B247DF">
        <w:rPr>
          <w:rFonts w:ascii="Times New Roman" w:hAnsi="Times New Roman"/>
        </w:rPr>
        <w:t xml:space="preserve"> </w:t>
      </w:r>
      <w:r w:rsidR="00C43C12" w:rsidRPr="00B247DF">
        <w:rPr>
          <w:rFonts w:ascii="Times New Roman" w:hAnsi="Times New Roman"/>
        </w:rPr>
        <w:t xml:space="preserve">the </w:t>
      </w:r>
      <w:r w:rsidR="005F050A" w:rsidRPr="00B247DF">
        <w:rPr>
          <w:rFonts w:ascii="Times New Roman" w:hAnsi="Times New Roman"/>
        </w:rPr>
        <w:t xml:space="preserve">Tasmanian Attorney-General </w:t>
      </w:r>
      <w:r w:rsidR="00C43C12" w:rsidRPr="00B247DF">
        <w:rPr>
          <w:rFonts w:ascii="Times New Roman" w:hAnsi="Times New Roman"/>
        </w:rPr>
        <w:t>on</w:t>
      </w:r>
      <w:r w:rsidR="0072774C" w:rsidRPr="00B247DF">
        <w:rPr>
          <w:rFonts w:ascii="Times New Roman" w:hAnsi="Times New Roman"/>
        </w:rPr>
        <w:t xml:space="preserve"> both </w:t>
      </w:r>
      <w:r w:rsidR="006E6240" w:rsidRPr="00B247DF">
        <w:rPr>
          <w:rFonts w:ascii="Times New Roman" w:hAnsi="Times New Roman"/>
        </w:rPr>
        <w:t>ground</w:t>
      </w:r>
      <w:r w:rsidR="0072774C" w:rsidRPr="00B247DF">
        <w:rPr>
          <w:rFonts w:ascii="Times New Roman" w:hAnsi="Times New Roman"/>
        </w:rPr>
        <w:t>s</w:t>
      </w:r>
      <w:r w:rsidR="006E6240" w:rsidRPr="00B247DF">
        <w:rPr>
          <w:rFonts w:ascii="Times New Roman" w:hAnsi="Times New Roman"/>
        </w:rPr>
        <w:t xml:space="preserve"> of appeal. </w:t>
      </w:r>
      <w:r w:rsidR="00BD4334" w:rsidRPr="00B247DF">
        <w:rPr>
          <w:rFonts w:ascii="Times New Roman" w:hAnsi="Times New Roman"/>
        </w:rPr>
        <w:t xml:space="preserve">The Attorney-General of the Commonwealth </w:t>
      </w:r>
      <w:r w:rsidR="00736EA6" w:rsidRPr="00B247DF">
        <w:rPr>
          <w:rFonts w:ascii="Times New Roman" w:hAnsi="Times New Roman"/>
        </w:rPr>
        <w:t>contested</w:t>
      </w:r>
      <w:r w:rsidR="00CC614A" w:rsidRPr="00B247DF">
        <w:rPr>
          <w:rFonts w:ascii="Times New Roman" w:hAnsi="Times New Roman"/>
        </w:rPr>
        <w:t xml:space="preserve"> </w:t>
      </w:r>
      <w:r w:rsidR="00021B09" w:rsidRPr="00B247DF">
        <w:rPr>
          <w:rFonts w:ascii="Times New Roman" w:hAnsi="Times New Roman"/>
        </w:rPr>
        <w:t>the second</w:t>
      </w:r>
      <w:r w:rsidR="003D0831" w:rsidRPr="00B247DF">
        <w:rPr>
          <w:rFonts w:ascii="Times New Roman" w:hAnsi="Times New Roman"/>
        </w:rPr>
        <w:t xml:space="preserve"> </w:t>
      </w:r>
      <w:r w:rsidR="006E6240" w:rsidRPr="00B247DF">
        <w:rPr>
          <w:rFonts w:ascii="Times New Roman" w:hAnsi="Times New Roman"/>
        </w:rPr>
        <w:t>ground</w:t>
      </w:r>
      <w:r w:rsidR="00CC614A" w:rsidRPr="00B247DF">
        <w:rPr>
          <w:rFonts w:ascii="Times New Roman" w:hAnsi="Times New Roman"/>
        </w:rPr>
        <w:t>.</w:t>
      </w:r>
      <w:r w:rsidR="007A5136" w:rsidRPr="00B247DF">
        <w:rPr>
          <w:rFonts w:ascii="Times New Roman" w:hAnsi="Times New Roman"/>
        </w:rPr>
        <w:t xml:space="preserve"> </w:t>
      </w:r>
      <w:r w:rsidR="0013495C" w:rsidRPr="00B247DF">
        <w:rPr>
          <w:rFonts w:ascii="Times New Roman" w:hAnsi="Times New Roman"/>
        </w:rPr>
        <w:t xml:space="preserve">In the result, it </w:t>
      </w:r>
      <w:r w:rsidR="00B14E45" w:rsidRPr="00B247DF">
        <w:rPr>
          <w:rFonts w:ascii="Times New Roman" w:hAnsi="Times New Roman"/>
        </w:rPr>
        <w:t>is unnecessary</w:t>
      </w:r>
      <w:r w:rsidR="0013495C" w:rsidRPr="00B247DF">
        <w:rPr>
          <w:rFonts w:ascii="Times New Roman" w:hAnsi="Times New Roman"/>
        </w:rPr>
        <w:t xml:space="preserve"> to </w:t>
      </w:r>
      <w:r w:rsidR="00FE6BE1" w:rsidRPr="00B247DF">
        <w:rPr>
          <w:rFonts w:ascii="Times New Roman" w:hAnsi="Times New Roman"/>
        </w:rPr>
        <w:t>address</w:t>
      </w:r>
      <w:r w:rsidR="0013495C" w:rsidRPr="00B247DF">
        <w:rPr>
          <w:rFonts w:ascii="Times New Roman" w:hAnsi="Times New Roman"/>
        </w:rPr>
        <w:t xml:space="preserve"> </w:t>
      </w:r>
      <w:r w:rsidR="001170A6" w:rsidRPr="00B247DF">
        <w:rPr>
          <w:rFonts w:ascii="Times New Roman" w:hAnsi="Times New Roman"/>
        </w:rPr>
        <w:t xml:space="preserve">any of </w:t>
      </w:r>
      <w:r w:rsidR="00D14FCC" w:rsidRPr="00B247DF">
        <w:rPr>
          <w:rFonts w:ascii="Times New Roman" w:hAnsi="Times New Roman"/>
        </w:rPr>
        <w:t>th</w:t>
      </w:r>
      <w:r w:rsidR="00800EAB" w:rsidRPr="00B247DF">
        <w:rPr>
          <w:rFonts w:ascii="Times New Roman" w:hAnsi="Times New Roman"/>
        </w:rPr>
        <w:t>e</w:t>
      </w:r>
      <w:r w:rsidR="00CA79BF" w:rsidRPr="00B247DF">
        <w:rPr>
          <w:rFonts w:ascii="Times New Roman" w:hAnsi="Times New Roman"/>
        </w:rPr>
        <w:t xml:space="preserve"> </w:t>
      </w:r>
      <w:r w:rsidR="00D14FCC" w:rsidRPr="00B247DF">
        <w:rPr>
          <w:rFonts w:ascii="Times New Roman" w:hAnsi="Times New Roman"/>
        </w:rPr>
        <w:t xml:space="preserve">competing </w:t>
      </w:r>
      <w:r w:rsidR="00455A5F" w:rsidRPr="00B247DF">
        <w:rPr>
          <w:rFonts w:ascii="Times New Roman" w:hAnsi="Times New Roman"/>
        </w:rPr>
        <w:t>arguments</w:t>
      </w:r>
      <w:r w:rsidR="00D14FCC" w:rsidRPr="00B247DF">
        <w:rPr>
          <w:rFonts w:ascii="Times New Roman" w:hAnsi="Times New Roman"/>
        </w:rPr>
        <w:t xml:space="preserve"> on parliamentary privilege. </w:t>
      </w:r>
    </w:p>
    <w:p w14:paraId="681D0BB7" w14:textId="737A0EEA" w:rsidR="00C772C0" w:rsidRPr="00B247DF" w:rsidRDefault="00977613"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B61581" w:rsidRPr="00B247DF">
        <w:rPr>
          <w:rFonts w:ascii="Times New Roman" w:hAnsi="Times New Roman"/>
        </w:rPr>
        <w:t xml:space="preserve">The appeal can and should be resolved </w:t>
      </w:r>
      <w:r w:rsidRPr="00B247DF">
        <w:rPr>
          <w:rFonts w:ascii="Times New Roman" w:hAnsi="Times New Roman"/>
        </w:rPr>
        <w:t>by upholding the first ground</w:t>
      </w:r>
      <w:r w:rsidR="00CB4C45" w:rsidRPr="00B247DF">
        <w:rPr>
          <w:rFonts w:ascii="Times New Roman" w:hAnsi="Times New Roman"/>
        </w:rPr>
        <w:t xml:space="preserve">, </w:t>
      </w:r>
      <w:r w:rsidR="00C80828" w:rsidRPr="00B247DF">
        <w:rPr>
          <w:rFonts w:ascii="Times New Roman" w:hAnsi="Times New Roman"/>
        </w:rPr>
        <w:t xml:space="preserve">concerning the </w:t>
      </w:r>
      <w:r w:rsidRPr="00B247DF">
        <w:rPr>
          <w:rFonts w:ascii="Times New Roman" w:hAnsi="Times New Roman"/>
        </w:rPr>
        <w:t>constru</w:t>
      </w:r>
      <w:r w:rsidR="00C80828" w:rsidRPr="00B247DF">
        <w:rPr>
          <w:rFonts w:ascii="Times New Roman" w:hAnsi="Times New Roman"/>
        </w:rPr>
        <w:t>ction of</w:t>
      </w:r>
      <w:r w:rsidRPr="00B247DF">
        <w:rPr>
          <w:rFonts w:ascii="Times New Roman" w:hAnsi="Times New Roman"/>
        </w:rPr>
        <w:t xml:space="preserve"> s 16(1) of the Act</w:t>
      </w:r>
      <w:r w:rsidR="00CB4C45" w:rsidRPr="00B247DF">
        <w:rPr>
          <w:rFonts w:ascii="Times New Roman" w:hAnsi="Times New Roman"/>
        </w:rPr>
        <w:t>,</w:t>
      </w:r>
      <w:r w:rsidR="00C80828" w:rsidRPr="00B247DF">
        <w:rPr>
          <w:rFonts w:ascii="Times New Roman" w:hAnsi="Times New Roman"/>
        </w:rPr>
        <w:t xml:space="preserve"> with the </w:t>
      </w:r>
      <w:r w:rsidR="003F3F09" w:rsidRPr="00B247DF">
        <w:rPr>
          <w:rFonts w:ascii="Times New Roman" w:hAnsi="Times New Roman"/>
        </w:rPr>
        <w:t>consequence</w:t>
      </w:r>
      <w:r w:rsidR="00C80828" w:rsidRPr="00B247DF">
        <w:rPr>
          <w:rFonts w:ascii="Times New Roman" w:hAnsi="Times New Roman"/>
        </w:rPr>
        <w:t xml:space="preserve"> that the second ground does not </w:t>
      </w:r>
      <w:r w:rsidR="006A4FED" w:rsidRPr="00B247DF">
        <w:rPr>
          <w:rFonts w:ascii="Times New Roman" w:hAnsi="Times New Roman"/>
        </w:rPr>
        <w:t>arise for determination.</w:t>
      </w:r>
    </w:p>
    <w:p w14:paraId="6B20FE88" w14:textId="1ECC9AA5" w:rsidR="0005784C" w:rsidRPr="00B247DF" w:rsidRDefault="00E6491E" w:rsidP="00B247DF">
      <w:pPr>
        <w:pStyle w:val="HeadingL1"/>
        <w:spacing w:after="260" w:line="280" w:lineRule="exact"/>
        <w:ind w:right="0"/>
        <w:jc w:val="both"/>
        <w:rPr>
          <w:rFonts w:ascii="Times New Roman" w:hAnsi="Times New Roman"/>
        </w:rPr>
      </w:pPr>
      <w:r w:rsidRPr="00B247DF">
        <w:rPr>
          <w:rFonts w:ascii="Times New Roman" w:hAnsi="Times New Roman"/>
        </w:rPr>
        <w:t>The origin and scheme of the Act</w:t>
      </w:r>
    </w:p>
    <w:p w14:paraId="154088BC" w14:textId="72C02747" w:rsidR="00521BAF" w:rsidRPr="00B247DF" w:rsidRDefault="00942900"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E36121" w:rsidRPr="00B247DF">
        <w:rPr>
          <w:rFonts w:ascii="Times New Roman" w:hAnsi="Times New Roman"/>
        </w:rPr>
        <w:t xml:space="preserve">The Act has its origin in the </w:t>
      </w:r>
      <w:r w:rsidR="003B76B3" w:rsidRPr="00B247DF">
        <w:rPr>
          <w:rFonts w:ascii="Times New Roman" w:hAnsi="Times New Roman"/>
          <w:i/>
          <w:iCs/>
        </w:rPr>
        <w:t>Public Works Act of 1888</w:t>
      </w:r>
      <w:r w:rsidR="003B76B3" w:rsidRPr="00B247DF">
        <w:rPr>
          <w:rFonts w:ascii="Times New Roman" w:hAnsi="Times New Roman"/>
        </w:rPr>
        <w:t xml:space="preserve"> (NSW)</w:t>
      </w:r>
      <w:r w:rsidR="000E2969" w:rsidRPr="00B247DF">
        <w:rPr>
          <w:rFonts w:ascii="Times New Roman" w:hAnsi="Times New Roman"/>
        </w:rPr>
        <w:t>. I</w:t>
      </w:r>
      <w:r w:rsidR="00632BF6" w:rsidRPr="00B247DF">
        <w:rPr>
          <w:rFonts w:ascii="Times New Roman" w:hAnsi="Times New Roman"/>
        </w:rPr>
        <w:t xml:space="preserve">n the </w:t>
      </w:r>
      <w:r w:rsidR="00643483" w:rsidRPr="00B247DF">
        <w:rPr>
          <w:rFonts w:ascii="Times New Roman" w:hAnsi="Times New Roman"/>
        </w:rPr>
        <w:t>vision</w:t>
      </w:r>
      <w:r w:rsidR="00632BF6" w:rsidRPr="00B247DF">
        <w:rPr>
          <w:rFonts w:ascii="Times New Roman" w:hAnsi="Times New Roman"/>
        </w:rPr>
        <w:t xml:space="preserve"> of Sir Henry Parkes who introduced it, </w:t>
      </w:r>
      <w:r w:rsidR="008A69BA" w:rsidRPr="00B247DF">
        <w:rPr>
          <w:rFonts w:ascii="Times New Roman" w:hAnsi="Times New Roman"/>
        </w:rPr>
        <w:t xml:space="preserve">the object of the </w:t>
      </w:r>
      <w:r w:rsidR="008A69BA" w:rsidRPr="00B247DF">
        <w:rPr>
          <w:rFonts w:ascii="Times New Roman" w:hAnsi="Times New Roman"/>
          <w:i/>
          <w:iCs/>
        </w:rPr>
        <w:t>Public Works Act of 1888</w:t>
      </w:r>
      <w:r w:rsidR="008A69BA" w:rsidRPr="00B247DF">
        <w:rPr>
          <w:rFonts w:ascii="Times New Roman" w:hAnsi="Times New Roman"/>
        </w:rPr>
        <w:t xml:space="preserve"> was </w:t>
      </w:r>
      <w:r w:rsidR="00643483" w:rsidRPr="00B247DF">
        <w:rPr>
          <w:rFonts w:ascii="Times New Roman" w:hAnsi="Times New Roman"/>
        </w:rPr>
        <w:t xml:space="preserve">to strengthen parliamentary oversight of executive expenditure on public works by providing a standing parliamentary mechanism for investigating and </w:t>
      </w:r>
      <w:r w:rsidR="00643483" w:rsidRPr="00B247DF">
        <w:rPr>
          <w:rFonts w:ascii="Times New Roman" w:hAnsi="Times New Roman"/>
        </w:rPr>
        <w:lastRenderedPageBreak/>
        <w:t>advising on Ministerial proposals</w:t>
      </w:r>
      <w:r w:rsidR="000578E7" w:rsidRPr="00B247DF">
        <w:rPr>
          <w:rFonts w:ascii="Times New Roman" w:hAnsi="Times New Roman"/>
        </w:rPr>
        <w:t xml:space="preserve"> for expenditure on public works</w:t>
      </w:r>
      <w:r w:rsidR="00643483" w:rsidRPr="00B247DF">
        <w:rPr>
          <w:rFonts w:ascii="Times New Roman" w:hAnsi="Times New Roman"/>
        </w:rPr>
        <w:t>.</w:t>
      </w:r>
      <w:r w:rsidR="00643483" w:rsidRPr="00B247DF">
        <w:rPr>
          <w:rStyle w:val="FootnoteReference"/>
          <w:rFonts w:ascii="Times New Roman" w:hAnsi="Times New Roman"/>
          <w:sz w:val="24"/>
        </w:rPr>
        <w:footnoteReference w:id="8"/>
      </w:r>
      <w:r w:rsidR="00643483" w:rsidRPr="00B247DF">
        <w:rPr>
          <w:rFonts w:ascii="Times New Roman" w:hAnsi="Times New Roman"/>
        </w:rPr>
        <w:t xml:space="preserve"> </w:t>
      </w:r>
      <w:r w:rsidR="00E67F54" w:rsidRPr="00B247DF">
        <w:rPr>
          <w:rFonts w:ascii="Times New Roman" w:hAnsi="Times New Roman"/>
        </w:rPr>
        <w:t xml:space="preserve">Through the operation of </w:t>
      </w:r>
      <w:r w:rsidR="00AE3595" w:rsidRPr="00B247DF">
        <w:rPr>
          <w:rFonts w:ascii="Times New Roman" w:hAnsi="Times New Roman"/>
        </w:rPr>
        <w:t>a</w:t>
      </w:r>
      <w:r w:rsidR="000808BF" w:rsidRPr="00B247DF">
        <w:rPr>
          <w:rFonts w:ascii="Times New Roman" w:hAnsi="Times New Roman"/>
        </w:rPr>
        <w:t xml:space="preserve"> </w:t>
      </w:r>
      <w:r w:rsidR="00AE3595" w:rsidRPr="00B247DF">
        <w:rPr>
          <w:rFonts w:ascii="Times New Roman" w:hAnsi="Times New Roman"/>
        </w:rPr>
        <w:t>p</w:t>
      </w:r>
      <w:r w:rsidR="000808BF" w:rsidRPr="00B247DF">
        <w:rPr>
          <w:rFonts w:ascii="Times New Roman" w:hAnsi="Times New Roman"/>
        </w:rPr>
        <w:t xml:space="preserve">ublic </w:t>
      </w:r>
      <w:r w:rsidR="00AE3595" w:rsidRPr="00B247DF">
        <w:rPr>
          <w:rFonts w:ascii="Times New Roman" w:hAnsi="Times New Roman"/>
        </w:rPr>
        <w:t>w</w:t>
      </w:r>
      <w:r w:rsidR="000808BF" w:rsidRPr="00B247DF">
        <w:rPr>
          <w:rFonts w:ascii="Times New Roman" w:hAnsi="Times New Roman"/>
        </w:rPr>
        <w:t xml:space="preserve">orks </w:t>
      </w:r>
      <w:r w:rsidR="00AE3595" w:rsidRPr="00B247DF">
        <w:rPr>
          <w:rFonts w:ascii="Times New Roman" w:hAnsi="Times New Roman"/>
        </w:rPr>
        <w:t>c</w:t>
      </w:r>
      <w:r w:rsidR="000808BF" w:rsidRPr="00B247DF">
        <w:rPr>
          <w:rFonts w:ascii="Times New Roman" w:hAnsi="Times New Roman"/>
        </w:rPr>
        <w:t>ommittee</w:t>
      </w:r>
      <w:r w:rsidR="00F656CD" w:rsidRPr="00B247DF">
        <w:rPr>
          <w:rFonts w:ascii="Times New Roman" w:hAnsi="Times New Roman"/>
        </w:rPr>
        <w:t xml:space="preserve">, </w:t>
      </w:r>
      <w:r w:rsidR="002244EA" w:rsidRPr="00B247DF">
        <w:rPr>
          <w:rFonts w:ascii="Times New Roman" w:hAnsi="Times New Roman"/>
        </w:rPr>
        <w:t>Parke</w:t>
      </w:r>
      <w:r w:rsidR="009C7714" w:rsidRPr="00B247DF">
        <w:rPr>
          <w:rFonts w:ascii="Times New Roman" w:hAnsi="Times New Roman"/>
        </w:rPr>
        <w:t>s'</w:t>
      </w:r>
      <w:r w:rsidR="005A09F7" w:rsidRPr="00B247DF">
        <w:rPr>
          <w:rFonts w:ascii="Times New Roman" w:hAnsi="Times New Roman"/>
        </w:rPr>
        <w:t xml:space="preserve"> </w:t>
      </w:r>
      <w:r w:rsidR="005A09F7" w:rsidRPr="00B247DF">
        <w:rPr>
          <w:rFonts w:ascii="Times New Roman" w:hAnsi="Times New Roman"/>
          <w:i/>
          <w:iCs/>
        </w:rPr>
        <w:t>Public Works Act of 1888</w:t>
      </w:r>
      <w:r w:rsidR="00F656CD" w:rsidRPr="00B247DF">
        <w:rPr>
          <w:rFonts w:ascii="Times New Roman" w:hAnsi="Times New Roman"/>
        </w:rPr>
        <w:t xml:space="preserve"> was </w:t>
      </w:r>
      <w:r w:rsidR="00CB033A" w:rsidRPr="00B247DF">
        <w:rPr>
          <w:rFonts w:ascii="Times New Roman" w:hAnsi="Times New Roman"/>
        </w:rPr>
        <w:t xml:space="preserve">"to preserve the power of </w:t>
      </w:r>
      <w:r w:rsidR="0069185F" w:rsidRPr="00B247DF">
        <w:rPr>
          <w:rFonts w:ascii="Times New Roman" w:hAnsi="Times New Roman"/>
        </w:rPr>
        <w:t xml:space="preserve">[the] </w:t>
      </w:r>
      <w:r w:rsidR="0026630F" w:rsidRPr="00B247DF">
        <w:rPr>
          <w:rFonts w:ascii="Times New Roman" w:hAnsi="Times New Roman"/>
        </w:rPr>
        <w:t>Parliament as unimpaired as possible over</w:t>
      </w:r>
      <w:r w:rsidR="00C90B36" w:rsidRPr="00B247DF">
        <w:rPr>
          <w:rFonts w:ascii="Times New Roman" w:hAnsi="Times New Roman"/>
        </w:rPr>
        <w:t xml:space="preserve"> the</w:t>
      </w:r>
      <w:r w:rsidR="0026630F" w:rsidRPr="00B247DF">
        <w:rPr>
          <w:rFonts w:ascii="Times New Roman" w:hAnsi="Times New Roman"/>
        </w:rPr>
        <w:t xml:space="preserve"> whole province of </w:t>
      </w:r>
      <w:r w:rsidR="00C90B36" w:rsidRPr="00B247DF">
        <w:rPr>
          <w:rFonts w:ascii="Times New Roman" w:hAnsi="Times New Roman"/>
        </w:rPr>
        <w:t xml:space="preserve">the </w:t>
      </w:r>
      <w:r w:rsidR="0026630F" w:rsidRPr="00B247DF">
        <w:rPr>
          <w:rFonts w:ascii="Times New Roman" w:hAnsi="Times New Roman"/>
        </w:rPr>
        <w:t>public expenditure</w:t>
      </w:r>
      <w:r w:rsidR="0099289F" w:rsidRPr="00B247DF">
        <w:rPr>
          <w:rFonts w:ascii="Times New Roman" w:hAnsi="Times New Roman"/>
        </w:rPr>
        <w:t xml:space="preserve"> ... and at the same time </w:t>
      </w:r>
      <w:r w:rsidR="00C60889" w:rsidRPr="00B247DF">
        <w:rPr>
          <w:rFonts w:ascii="Times New Roman" w:hAnsi="Times New Roman"/>
        </w:rPr>
        <w:t xml:space="preserve">to throw around the expenditure of the </w:t>
      </w:r>
      <w:r w:rsidR="00861414" w:rsidRPr="00B247DF">
        <w:rPr>
          <w:rFonts w:ascii="Times New Roman" w:hAnsi="Times New Roman"/>
        </w:rPr>
        <w:t xml:space="preserve">public revenues </w:t>
      </w:r>
      <w:r w:rsidR="00090602" w:rsidRPr="00B247DF">
        <w:rPr>
          <w:rFonts w:ascii="Times New Roman" w:hAnsi="Times New Roman"/>
        </w:rPr>
        <w:t>the strongest security [</w:t>
      </w:r>
      <w:r w:rsidR="003935BF" w:rsidRPr="00B247DF">
        <w:rPr>
          <w:rFonts w:ascii="Times New Roman" w:hAnsi="Times New Roman"/>
        </w:rPr>
        <w:t>Parkes</w:t>
      </w:r>
      <w:r w:rsidR="00090602" w:rsidRPr="00B247DF">
        <w:rPr>
          <w:rFonts w:ascii="Times New Roman" w:hAnsi="Times New Roman"/>
        </w:rPr>
        <w:t xml:space="preserve">] could </w:t>
      </w:r>
      <w:r w:rsidR="000D7FB9" w:rsidRPr="00B247DF">
        <w:rPr>
          <w:rFonts w:ascii="Times New Roman" w:hAnsi="Times New Roman"/>
        </w:rPr>
        <w:t xml:space="preserve">invent to prevent extravagance or misdirection </w:t>
      </w:r>
      <w:r w:rsidR="00936F1E" w:rsidRPr="00B247DF">
        <w:rPr>
          <w:rFonts w:ascii="Times New Roman" w:hAnsi="Times New Roman"/>
        </w:rPr>
        <w:t>in the expenditure of public money".</w:t>
      </w:r>
      <w:r w:rsidR="0063720B" w:rsidRPr="00B247DF">
        <w:rPr>
          <w:rStyle w:val="FootnoteReference"/>
          <w:rFonts w:ascii="Times New Roman" w:hAnsi="Times New Roman"/>
          <w:sz w:val="24"/>
        </w:rPr>
        <w:footnoteReference w:id="9"/>
      </w:r>
      <w:r w:rsidR="00073870" w:rsidRPr="00B247DF">
        <w:rPr>
          <w:rFonts w:ascii="Times New Roman" w:hAnsi="Times New Roman"/>
        </w:rPr>
        <w:t xml:space="preserve"> </w:t>
      </w:r>
    </w:p>
    <w:p w14:paraId="1D1C1367" w14:textId="03CD6B7B" w:rsidR="0005784C" w:rsidRPr="00B247DF" w:rsidRDefault="00663080"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073870" w:rsidRPr="00B247DF">
        <w:rPr>
          <w:rFonts w:ascii="Times New Roman" w:hAnsi="Times New Roman"/>
        </w:rPr>
        <w:t>The</w:t>
      </w:r>
      <w:r w:rsidR="006A004E" w:rsidRPr="00B247DF">
        <w:rPr>
          <w:rFonts w:ascii="Times New Roman" w:hAnsi="Times New Roman"/>
        </w:rPr>
        <w:t xml:space="preserve"> scheme of the</w:t>
      </w:r>
      <w:r w:rsidR="00073870" w:rsidRPr="00B247DF">
        <w:rPr>
          <w:rFonts w:ascii="Times New Roman" w:hAnsi="Times New Roman"/>
        </w:rPr>
        <w:t xml:space="preserve"> </w:t>
      </w:r>
      <w:r w:rsidR="007C15E8" w:rsidRPr="00B247DF">
        <w:rPr>
          <w:rFonts w:ascii="Times New Roman" w:hAnsi="Times New Roman"/>
          <w:i/>
          <w:iCs/>
        </w:rPr>
        <w:t>Public Works Act of 1888</w:t>
      </w:r>
      <w:r w:rsidR="00797FF6" w:rsidRPr="00B247DF">
        <w:rPr>
          <w:rFonts w:ascii="Times New Roman" w:hAnsi="Times New Roman"/>
        </w:rPr>
        <w:t xml:space="preserve"> </w:t>
      </w:r>
      <w:r w:rsidR="0077329F" w:rsidRPr="00B247DF">
        <w:rPr>
          <w:rFonts w:ascii="Times New Roman" w:hAnsi="Times New Roman"/>
        </w:rPr>
        <w:t>was reproduced in</w:t>
      </w:r>
      <w:r w:rsidR="00E92133" w:rsidRPr="00B247DF">
        <w:rPr>
          <w:rFonts w:ascii="Times New Roman" w:hAnsi="Times New Roman"/>
        </w:rPr>
        <w:t xml:space="preserve"> the </w:t>
      </w:r>
      <w:r w:rsidR="005A2B2F" w:rsidRPr="00B247DF">
        <w:rPr>
          <w:rFonts w:ascii="Times New Roman" w:hAnsi="Times New Roman"/>
          <w:i/>
          <w:iCs/>
        </w:rPr>
        <w:t>Public Works Act 1900</w:t>
      </w:r>
      <w:r w:rsidR="005A2B2F" w:rsidRPr="00B247DF">
        <w:rPr>
          <w:rFonts w:ascii="Times New Roman" w:hAnsi="Times New Roman"/>
        </w:rPr>
        <w:t xml:space="preserve"> (NSW)</w:t>
      </w:r>
      <w:r w:rsidR="00ED49CF" w:rsidRPr="00B247DF">
        <w:rPr>
          <w:rFonts w:ascii="Times New Roman" w:hAnsi="Times New Roman"/>
        </w:rPr>
        <w:t xml:space="preserve"> </w:t>
      </w:r>
      <w:r w:rsidR="005A2B2F" w:rsidRPr="00B247DF">
        <w:rPr>
          <w:rFonts w:ascii="Times New Roman" w:hAnsi="Times New Roman"/>
        </w:rPr>
        <w:t xml:space="preserve">and in turn </w:t>
      </w:r>
      <w:r w:rsidR="0077329F" w:rsidRPr="00B247DF">
        <w:rPr>
          <w:rFonts w:ascii="Times New Roman" w:hAnsi="Times New Roman"/>
        </w:rPr>
        <w:t>in</w:t>
      </w:r>
      <w:r w:rsidR="005A2B2F" w:rsidRPr="00B247DF">
        <w:rPr>
          <w:rFonts w:ascii="Times New Roman" w:hAnsi="Times New Roman"/>
        </w:rPr>
        <w:t xml:space="preserve"> the </w:t>
      </w:r>
      <w:r w:rsidR="00521BAF" w:rsidRPr="00B247DF">
        <w:rPr>
          <w:rFonts w:ascii="Times New Roman" w:hAnsi="Times New Roman"/>
          <w:i/>
          <w:iCs/>
        </w:rPr>
        <w:t>Public Works Act 1912</w:t>
      </w:r>
      <w:r w:rsidR="00521BAF" w:rsidRPr="00B247DF">
        <w:rPr>
          <w:rFonts w:ascii="Times New Roman" w:hAnsi="Times New Roman"/>
        </w:rPr>
        <w:t xml:space="preserve"> (NSW)</w:t>
      </w:r>
      <w:r w:rsidR="00413931" w:rsidRPr="00B247DF">
        <w:rPr>
          <w:rFonts w:ascii="Times New Roman" w:hAnsi="Times New Roman"/>
        </w:rPr>
        <w:t xml:space="preserve">. </w:t>
      </w:r>
      <w:r w:rsidR="00D60698" w:rsidRPr="00B247DF">
        <w:rPr>
          <w:rFonts w:ascii="Times New Roman" w:hAnsi="Times New Roman"/>
        </w:rPr>
        <w:t>I</w:t>
      </w:r>
      <w:r w:rsidR="005179BF" w:rsidRPr="00B247DF">
        <w:rPr>
          <w:rFonts w:ascii="Times New Roman" w:hAnsi="Times New Roman"/>
        </w:rPr>
        <w:t>ts central provisions</w:t>
      </w:r>
      <w:r w:rsidR="00413931" w:rsidRPr="00B247DF">
        <w:rPr>
          <w:rFonts w:ascii="Times New Roman" w:hAnsi="Times New Roman"/>
        </w:rPr>
        <w:t xml:space="preserve"> </w:t>
      </w:r>
      <w:r w:rsidR="007456BD" w:rsidRPr="00B247DF">
        <w:rPr>
          <w:rFonts w:ascii="Times New Roman" w:hAnsi="Times New Roman"/>
        </w:rPr>
        <w:t xml:space="preserve">regarding the </w:t>
      </w:r>
      <w:r w:rsidR="0092440A" w:rsidRPr="00B247DF">
        <w:rPr>
          <w:rFonts w:ascii="Times New Roman" w:hAnsi="Times New Roman"/>
        </w:rPr>
        <w:t>p</w:t>
      </w:r>
      <w:r w:rsidR="007456BD" w:rsidRPr="00B247DF">
        <w:rPr>
          <w:rFonts w:ascii="Times New Roman" w:hAnsi="Times New Roman"/>
        </w:rPr>
        <w:t xml:space="preserve">ublic </w:t>
      </w:r>
      <w:r w:rsidR="0092440A" w:rsidRPr="00B247DF">
        <w:rPr>
          <w:rFonts w:ascii="Times New Roman" w:hAnsi="Times New Roman"/>
        </w:rPr>
        <w:t>w</w:t>
      </w:r>
      <w:r w:rsidR="007456BD" w:rsidRPr="00B247DF">
        <w:rPr>
          <w:rFonts w:ascii="Times New Roman" w:hAnsi="Times New Roman"/>
        </w:rPr>
        <w:t xml:space="preserve">orks </w:t>
      </w:r>
      <w:r w:rsidR="0092440A" w:rsidRPr="00B247DF">
        <w:rPr>
          <w:rFonts w:ascii="Times New Roman" w:hAnsi="Times New Roman"/>
        </w:rPr>
        <w:t>c</w:t>
      </w:r>
      <w:r w:rsidR="007456BD" w:rsidRPr="00B247DF">
        <w:rPr>
          <w:rFonts w:ascii="Times New Roman" w:hAnsi="Times New Roman"/>
        </w:rPr>
        <w:t xml:space="preserve">ommittee </w:t>
      </w:r>
      <w:r w:rsidR="00B11C53" w:rsidRPr="00B247DF">
        <w:rPr>
          <w:rFonts w:ascii="Times New Roman" w:hAnsi="Times New Roman"/>
        </w:rPr>
        <w:t>were</w:t>
      </w:r>
      <w:r w:rsidR="0098139A" w:rsidRPr="00B247DF">
        <w:rPr>
          <w:rFonts w:ascii="Times New Roman" w:hAnsi="Times New Roman"/>
        </w:rPr>
        <w:t xml:space="preserve"> substantially</w:t>
      </w:r>
      <w:r w:rsidR="009A0D4F" w:rsidRPr="00B247DF">
        <w:rPr>
          <w:rFonts w:ascii="Times New Roman" w:hAnsi="Times New Roman"/>
        </w:rPr>
        <w:t xml:space="preserve"> </w:t>
      </w:r>
      <w:r w:rsidR="00BD6E24" w:rsidRPr="00B247DF">
        <w:rPr>
          <w:rFonts w:ascii="Times New Roman" w:hAnsi="Times New Roman"/>
        </w:rPr>
        <w:t>replicated</w:t>
      </w:r>
      <w:r w:rsidR="00644870" w:rsidRPr="00B247DF">
        <w:rPr>
          <w:rFonts w:ascii="Times New Roman" w:hAnsi="Times New Roman"/>
        </w:rPr>
        <w:t xml:space="preserve"> </w:t>
      </w:r>
      <w:r w:rsidR="00892D2A" w:rsidRPr="00B247DF">
        <w:rPr>
          <w:rFonts w:ascii="Times New Roman" w:hAnsi="Times New Roman"/>
        </w:rPr>
        <w:t xml:space="preserve">in </w:t>
      </w:r>
      <w:r w:rsidR="00644870" w:rsidRPr="00B247DF">
        <w:rPr>
          <w:rFonts w:ascii="Times New Roman" w:hAnsi="Times New Roman"/>
        </w:rPr>
        <w:t xml:space="preserve">the </w:t>
      </w:r>
      <w:r w:rsidR="00644870" w:rsidRPr="00B247DF">
        <w:rPr>
          <w:rFonts w:ascii="Times New Roman" w:hAnsi="Times New Roman"/>
          <w:i/>
          <w:iCs/>
        </w:rPr>
        <w:t>Railways Standing Committee Act 1890</w:t>
      </w:r>
      <w:r w:rsidR="00644870" w:rsidRPr="00B247DF">
        <w:rPr>
          <w:rFonts w:ascii="Times New Roman" w:hAnsi="Times New Roman"/>
        </w:rPr>
        <w:t xml:space="preserve"> (Vic) and in </w:t>
      </w:r>
      <w:r w:rsidR="00892D2A" w:rsidRPr="00B247DF">
        <w:rPr>
          <w:rFonts w:ascii="Times New Roman" w:hAnsi="Times New Roman"/>
        </w:rPr>
        <w:t xml:space="preserve">the </w:t>
      </w:r>
      <w:r w:rsidR="0074459B" w:rsidRPr="00B247DF">
        <w:rPr>
          <w:rFonts w:ascii="Times New Roman" w:hAnsi="Times New Roman"/>
          <w:i/>
          <w:iCs/>
        </w:rPr>
        <w:t>Commonwealth Public Works Committ</w:t>
      </w:r>
      <w:r w:rsidR="00664CF6" w:rsidRPr="00B247DF">
        <w:rPr>
          <w:rFonts w:ascii="Times New Roman" w:hAnsi="Times New Roman"/>
          <w:i/>
          <w:iCs/>
        </w:rPr>
        <w:t>ee Act 1913</w:t>
      </w:r>
      <w:r w:rsidR="00664CF6" w:rsidRPr="00B247DF">
        <w:rPr>
          <w:rFonts w:ascii="Times New Roman" w:hAnsi="Times New Roman"/>
        </w:rPr>
        <w:t xml:space="preserve"> (</w:t>
      </w:r>
      <w:proofErr w:type="spellStart"/>
      <w:r w:rsidR="00664CF6" w:rsidRPr="00B247DF">
        <w:rPr>
          <w:rFonts w:ascii="Times New Roman" w:hAnsi="Times New Roman"/>
        </w:rPr>
        <w:t>Cth</w:t>
      </w:r>
      <w:proofErr w:type="spellEnd"/>
      <w:r w:rsidR="00664CF6" w:rsidRPr="00B247DF">
        <w:rPr>
          <w:rFonts w:ascii="Times New Roman" w:hAnsi="Times New Roman"/>
        </w:rPr>
        <w:t xml:space="preserve">). </w:t>
      </w:r>
      <w:r w:rsidR="009B68A1" w:rsidRPr="00B247DF">
        <w:rPr>
          <w:rFonts w:ascii="Times New Roman" w:hAnsi="Times New Roman"/>
        </w:rPr>
        <w:t xml:space="preserve">Echoing the </w:t>
      </w:r>
      <w:r w:rsidR="00ED3C43" w:rsidRPr="00B247DF">
        <w:rPr>
          <w:rFonts w:ascii="Times New Roman" w:hAnsi="Times New Roman"/>
        </w:rPr>
        <w:t xml:space="preserve">earlier </w:t>
      </w:r>
      <w:r w:rsidR="009B68A1" w:rsidRPr="00B247DF">
        <w:rPr>
          <w:rFonts w:ascii="Times New Roman" w:hAnsi="Times New Roman"/>
        </w:rPr>
        <w:t>language of</w:t>
      </w:r>
      <w:r w:rsidR="00ED3C43" w:rsidRPr="00B247DF">
        <w:rPr>
          <w:rFonts w:ascii="Times New Roman" w:hAnsi="Times New Roman"/>
        </w:rPr>
        <w:t xml:space="preserve"> Parkes, </w:t>
      </w:r>
      <w:r w:rsidR="00AB3F2B" w:rsidRPr="00B247DF">
        <w:rPr>
          <w:rFonts w:ascii="Times New Roman" w:hAnsi="Times New Roman"/>
        </w:rPr>
        <w:t>Prime Minister Joseph Coo</w:t>
      </w:r>
      <w:r w:rsidR="000D47E5" w:rsidRPr="00B247DF">
        <w:rPr>
          <w:rFonts w:ascii="Times New Roman" w:hAnsi="Times New Roman"/>
        </w:rPr>
        <w:t>k re</w:t>
      </w:r>
      <w:r w:rsidR="00067A5C" w:rsidRPr="00B247DF">
        <w:rPr>
          <w:rFonts w:ascii="Times New Roman" w:hAnsi="Times New Roman"/>
        </w:rPr>
        <w:t>corded</w:t>
      </w:r>
      <w:r w:rsidR="000D47E5" w:rsidRPr="00B247DF">
        <w:rPr>
          <w:rFonts w:ascii="Times New Roman" w:hAnsi="Times New Roman"/>
        </w:rPr>
        <w:t xml:space="preserve"> </w:t>
      </w:r>
      <w:r w:rsidR="00067A5C" w:rsidRPr="00B247DF">
        <w:rPr>
          <w:rFonts w:ascii="Times New Roman" w:hAnsi="Times New Roman"/>
        </w:rPr>
        <w:t xml:space="preserve">that </w:t>
      </w:r>
      <w:r w:rsidR="00F13714" w:rsidRPr="00B247DF">
        <w:rPr>
          <w:rFonts w:ascii="Times New Roman" w:hAnsi="Times New Roman"/>
        </w:rPr>
        <w:t xml:space="preserve">the </w:t>
      </w:r>
      <w:r w:rsidR="00F13714" w:rsidRPr="00B247DF">
        <w:rPr>
          <w:rFonts w:ascii="Times New Roman" w:hAnsi="Times New Roman"/>
          <w:i/>
          <w:iCs/>
        </w:rPr>
        <w:t>Commonwealth Public Works Committee Act</w:t>
      </w:r>
      <w:r w:rsidR="000D47E5" w:rsidRPr="00B247DF">
        <w:rPr>
          <w:rFonts w:ascii="Times New Roman" w:hAnsi="Times New Roman"/>
        </w:rPr>
        <w:t xml:space="preserve"> </w:t>
      </w:r>
      <w:r w:rsidR="00F13714" w:rsidRPr="00B247DF">
        <w:rPr>
          <w:rFonts w:ascii="Times New Roman" w:hAnsi="Times New Roman"/>
        </w:rPr>
        <w:t>"</w:t>
      </w:r>
      <w:r w:rsidR="000D47E5" w:rsidRPr="00B247DF">
        <w:rPr>
          <w:rFonts w:ascii="Times New Roman" w:hAnsi="Times New Roman"/>
        </w:rPr>
        <w:t>preserv</w:t>
      </w:r>
      <w:r w:rsidR="00067A5C" w:rsidRPr="00B247DF">
        <w:rPr>
          <w:rFonts w:ascii="Times New Roman" w:hAnsi="Times New Roman"/>
        </w:rPr>
        <w:t>es</w:t>
      </w:r>
      <w:r w:rsidR="000D47E5" w:rsidRPr="00B247DF">
        <w:rPr>
          <w:rFonts w:ascii="Times New Roman" w:hAnsi="Times New Roman"/>
        </w:rPr>
        <w:t xml:space="preserve"> the power of [the] Parliament over </w:t>
      </w:r>
      <w:r w:rsidR="000B419D" w:rsidRPr="00B247DF">
        <w:rPr>
          <w:rFonts w:ascii="Times New Roman" w:hAnsi="Times New Roman"/>
        </w:rPr>
        <w:t>the</w:t>
      </w:r>
      <w:r w:rsidR="000D47E5" w:rsidRPr="00B247DF">
        <w:rPr>
          <w:rFonts w:ascii="Times New Roman" w:hAnsi="Times New Roman"/>
        </w:rPr>
        <w:t xml:space="preserve"> whole province of public expenditure"</w:t>
      </w:r>
      <w:r w:rsidR="00067A5C" w:rsidRPr="00B247DF">
        <w:rPr>
          <w:rFonts w:ascii="Times New Roman" w:hAnsi="Times New Roman"/>
        </w:rPr>
        <w:t xml:space="preserve"> and</w:t>
      </w:r>
      <w:r w:rsidR="00391D83" w:rsidRPr="00B247DF">
        <w:rPr>
          <w:rFonts w:ascii="Times New Roman" w:hAnsi="Times New Roman"/>
        </w:rPr>
        <w:t xml:space="preserve"> </w:t>
      </w:r>
      <w:r w:rsidR="00071546" w:rsidRPr="00B247DF">
        <w:rPr>
          <w:rFonts w:ascii="Times New Roman" w:hAnsi="Times New Roman"/>
        </w:rPr>
        <w:t xml:space="preserve">emphasised </w:t>
      </w:r>
      <w:r w:rsidR="00391D83" w:rsidRPr="00B247DF">
        <w:rPr>
          <w:rFonts w:ascii="Times New Roman" w:hAnsi="Times New Roman"/>
        </w:rPr>
        <w:t xml:space="preserve">that the </w:t>
      </w:r>
      <w:r w:rsidR="00022E6A" w:rsidRPr="00B247DF">
        <w:rPr>
          <w:rFonts w:ascii="Times New Roman" w:hAnsi="Times New Roman"/>
        </w:rPr>
        <w:t xml:space="preserve">legislative </w:t>
      </w:r>
      <w:r w:rsidR="00D46FB5" w:rsidRPr="00B247DF">
        <w:rPr>
          <w:rFonts w:ascii="Times New Roman" w:hAnsi="Times New Roman"/>
        </w:rPr>
        <w:t xml:space="preserve">scheme </w:t>
      </w:r>
      <w:r w:rsidR="005A7F95" w:rsidRPr="00B247DF">
        <w:rPr>
          <w:rFonts w:ascii="Times New Roman" w:hAnsi="Times New Roman"/>
        </w:rPr>
        <w:t xml:space="preserve">was </w:t>
      </w:r>
      <w:r w:rsidR="003B51E5" w:rsidRPr="00B247DF">
        <w:rPr>
          <w:rFonts w:ascii="Times New Roman" w:hAnsi="Times New Roman"/>
        </w:rPr>
        <w:t>for</w:t>
      </w:r>
      <w:r w:rsidR="005A7F95" w:rsidRPr="00B247DF">
        <w:rPr>
          <w:rFonts w:ascii="Times New Roman" w:hAnsi="Times New Roman"/>
        </w:rPr>
        <w:t xml:space="preserve"> </w:t>
      </w:r>
      <w:r w:rsidR="00CC0A8C" w:rsidRPr="00B247DF">
        <w:rPr>
          <w:rFonts w:ascii="Times New Roman" w:hAnsi="Times New Roman"/>
        </w:rPr>
        <w:t xml:space="preserve">Ministerial </w:t>
      </w:r>
      <w:r w:rsidR="00E63475" w:rsidRPr="00B247DF">
        <w:rPr>
          <w:rFonts w:ascii="Times New Roman" w:hAnsi="Times New Roman"/>
        </w:rPr>
        <w:t>responsibility</w:t>
      </w:r>
      <w:r w:rsidR="00CC0A8C" w:rsidRPr="00B247DF">
        <w:rPr>
          <w:rFonts w:ascii="Times New Roman" w:hAnsi="Times New Roman"/>
        </w:rPr>
        <w:t xml:space="preserve"> </w:t>
      </w:r>
      <w:r w:rsidR="003B51E5" w:rsidRPr="00B247DF">
        <w:rPr>
          <w:rFonts w:ascii="Times New Roman" w:hAnsi="Times New Roman"/>
        </w:rPr>
        <w:t>to be "preserved at every stage".</w:t>
      </w:r>
      <w:r w:rsidR="0002385D" w:rsidRPr="00B247DF">
        <w:rPr>
          <w:rStyle w:val="FootnoteReference"/>
          <w:rFonts w:ascii="Times New Roman" w:hAnsi="Times New Roman"/>
          <w:sz w:val="24"/>
        </w:rPr>
        <w:footnoteReference w:id="10"/>
      </w:r>
      <w:r w:rsidR="00D46FB5" w:rsidRPr="00B247DF">
        <w:rPr>
          <w:rFonts w:ascii="Times New Roman" w:hAnsi="Times New Roman"/>
        </w:rPr>
        <w:t xml:space="preserve"> </w:t>
      </w:r>
    </w:p>
    <w:p w14:paraId="55CC2D42" w14:textId="059815E8" w:rsidR="000D47E5" w:rsidRPr="00B247DF" w:rsidRDefault="003B51E5"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D2448B" w:rsidRPr="00B247DF">
        <w:rPr>
          <w:rFonts w:ascii="Times New Roman" w:hAnsi="Times New Roman"/>
        </w:rPr>
        <w:t xml:space="preserve">The Act as originally enacted </w:t>
      </w:r>
      <w:r w:rsidR="00C03871" w:rsidRPr="00B247DF">
        <w:rPr>
          <w:rFonts w:ascii="Times New Roman" w:hAnsi="Times New Roman"/>
        </w:rPr>
        <w:t xml:space="preserve">by the Tasmanian Parliament </w:t>
      </w:r>
      <w:r w:rsidR="00D2448B" w:rsidRPr="00B247DF">
        <w:rPr>
          <w:rFonts w:ascii="Times New Roman" w:hAnsi="Times New Roman"/>
        </w:rPr>
        <w:t>in 191</w:t>
      </w:r>
      <w:r w:rsidR="009B6666">
        <w:rPr>
          <w:rFonts w:ascii="Times New Roman" w:hAnsi="Times New Roman"/>
        </w:rPr>
        <w:t>5</w:t>
      </w:r>
      <w:r w:rsidR="00D2448B" w:rsidRPr="00B247DF">
        <w:rPr>
          <w:rFonts w:ascii="Times New Roman" w:hAnsi="Times New Roman"/>
        </w:rPr>
        <w:t xml:space="preserve"> </w:t>
      </w:r>
      <w:r w:rsidR="0065673F" w:rsidRPr="00B247DF">
        <w:rPr>
          <w:rFonts w:ascii="Times New Roman" w:hAnsi="Times New Roman"/>
        </w:rPr>
        <w:t>replicated</w:t>
      </w:r>
      <w:r w:rsidR="00D2448B" w:rsidRPr="00B247DF">
        <w:rPr>
          <w:rFonts w:ascii="Times New Roman" w:hAnsi="Times New Roman"/>
        </w:rPr>
        <w:t xml:space="preserve"> </w:t>
      </w:r>
      <w:r w:rsidR="008B2ED0" w:rsidRPr="00B247DF">
        <w:rPr>
          <w:rFonts w:ascii="Times New Roman" w:hAnsi="Times New Roman"/>
        </w:rPr>
        <w:t xml:space="preserve">the scheme of </w:t>
      </w:r>
      <w:r w:rsidR="00D2448B" w:rsidRPr="00B247DF">
        <w:rPr>
          <w:rFonts w:ascii="Times New Roman" w:hAnsi="Times New Roman"/>
        </w:rPr>
        <w:t>those</w:t>
      </w:r>
      <w:r w:rsidR="00B81A79" w:rsidRPr="00B247DF">
        <w:rPr>
          <w:rFonts w:ascii="Times New Roman" w:hAnsi="Times New Roman"/>
        </w:rPr>
        <w:t xml:space="preserve"> Commonwealth, New South Wales</w:t>
      </w:r>
      <w:r w:rsidR="0059150C" w:rsidRPr="00B247DF">
        <w:rPr>
          <w:rFonts w:ascii="Times New Roman" w:hAnsi="Times New Roman"/>
        </w:rPr>
        <w:t>,</w:t>
      </w:r>
      <w:r w:rsidR="00B81A79" w:rsidRPr="00B247DF">
        <w:rPr>
          <w:rFonts w:ascii="Times New Roman" w:hAnsi="Times New Roman"/>
        </w:rPr>
        <w:t xml:space="preserve"> and </w:t>
      </w:r>
      <w:r w:rsidR="00901569" w:rsidRPr="00B247DF">
        <w:rPr>
          <w:rFonts w:ascii="Times New Roman" w:hAnsi="Times New Roman"/>
        </w:rPr>
        <w:t>Victorian legislative precedents</w:t>
      </w:r>
      <w:r w:rsidR="0059150C" w:rsidRPr="00B247DF">
        <w:rPr>
          <w:rFonts w:ascii="Times New Roman" w:hAnsi="Times New Roman"/>
        </w:rPr>
        <w:t>. The Act</w:t>
      </w:r>
      <w:r w:rsidR="00897BBD" w:rsidRPr="00B247DF">
        <w:rPr>
          <w:rFonts w:ascii="Times New Roman" w:hAnsi="Times New Roman"/>
        </w:rPr>
        <w:t xml:space="preserve"> is reported to have been explained </w:t>
      </w:r>
      <w:r w:rsidR="00503466" w:rsidRPr="00B247DF">
        <w:rPr>
          <w:rFonts w:ascii="Times New Roman" w:hAnsi="Times New Roman"/>
        </w:rPr>
        <w:t xml:space="preserve">in the Tasmanian House of Assembly </w:t>
      </w:r>
      <w:r w:rsidR="00897BBD" w:rsidRPr="00B247DF">
        <w:rPr>
          <w:rFonts w:ascii="Times New Roman" w:hAnsi="Times New Roman"/>
        </w:rPr>
        <w:t xml:space="preserve">at </w:t>
      </w:r>
      <w:r w:rsidR="006F52E8" w:rsidRPr="00B247DF">
        <w:rPr>
          <w:rFonts w:ascii="Times New Roman" w:hAnsi="Times New Roman"/>
        </w:rPr>
        <w:t xml:space="preserve">the time </w:t>
      </w:r>
      <w:r w:rsidR="0059150C" w:rsidRPr="00B247DF">
        <w:rPr>
          <w:rFonts w:ascii="Times New Roman" w:hAnsi="Times New Roman"/>
        </w:rPr>
        <w:t xml:space="preserve">of its enactment </w:t>
      </w:r>
      <w:r w:rsidR="00535F83" w:rsidRPr="00B247DF">
        <w:rPr>
          <w:rFonts w:ascii="Times New Roman" w:hAnsi="Times New Roman"/>
        </w:rPr>
        <w:t xml:space="preserve">as intended </w:t>
      </w:r>
      <w:r w:rsidR="00B776B3" w:rsidRPr="00B247DF">
        <w:rPr>
          <w:rFonts w:ascii="Times New Roman" w:hAnsi="Times New Roman"/>
        </w:rPr>
        <w:t>"</w:t>
      </w:r>
      <w:r w:rsidR="00535F83" w:rsidRPr="00B247DF">
        <w:rPr>
          <w:rFonts w:ascii="Times New Roman" w:hAnsi="Times New Roman"/>
        </w:rPr>
        <w:t xml:space="preserve">to </w:t>
      </w:r>
      <w:r w:rsidR="00B776B3" w:rsidRPr="00B247DF">
        <w:rPr>
          <w:rFonts w:ascii="Times New Roman" w:hAnsi="Times New Roman"/>
        </w:rPr>
        <w:t>ensure that members should have needful information on public works proposals"</w:t>
      </w:r>
      <w:r w:rsidR="0002385D" w:rsidRPr="00B247DF">
        <w:rPr>
          <w:rFonts w:ascii="Times New Roman" w:hAnsi="Times New Roman"/>
        </w:rPr>
        <w:t>.</w:t>
      </w:r>
      <w:r w:rsidR="0002385D" w:rsidRPr="00B247DF">
        <w:rPr>
          <w:rStyle w:val="FootnoteReference"/>
          <w:rFonts w:ascii="Times New Roman" w:hAnsi="Times New Roman"/>
          <w:sz w:val="24"/>
        </w:rPr>
        <w:footnoteReference w:id="11"/>
      </w:r>
      <w:r w:rsidR="00B776B3" w:rsidRPr="00B247DF">
        <w:rPr>
          <w:rFonts w:ascii="Times New Roman" w:hAnsi="Times New Roman"/>
        </w:rPr>
        <w:t xml:space="preserve"> </w:t>
      </w:r>
      <w:r w:rsidR="00A8390D" w:rsidRPr="00B247DF">
        <w:rPr>
          <w:rFonts w:ascii="Times New Roman" w:hAnsi="Times New Roman"/>
        </w:rPr>
        <w:t>Its long title was and r</w:t>
      </w:r>
      <w:r w:rsidR="00AD7C17" w:rsidRPr="00B247DF">
        <w:rPr>
          <w:rFonts w:ascii="Times New Roman" w:hAnsi="Times New Roman"/>
        </w:rPr>
        <w:t xml:space="preserve">emains "[a]n Act to provide for the Establishment </w:t>
      </w:r>
      <w:r w:rsidR="00273145" w:rsidRPr="00B247DF">
        <w:rPr>
          <w:rFonts w:ascii="Times New Roman" w:hAnsi="Times New Roman"/>
        </w:rPr>
        <w:t>of a Parliamentary Standing Committee on Public Works".</w:t>
      </w:r>
    </w:p>
    <w:p w14:paraId="5D335A1A" w14:textId="0B75329B" w:rsidR="00201B5E" w:rsidRPr="00B247DF" w:rsidRDefault="009D4A45" w:rsidP="00B247DF">
      <w:pPr>
        <w:pStyle w:val="FixListStyle"/>
        <w:spacing w:after="260" w:line="280" w:lineRule="exact"/>
        <w:ind w:right="0"/>
        <w:jc w:val="both"/>
        <w:rPr>
          <w:rFonts w:ascii="Times New Roman" w:hAnsi="Times New Roman"/>
        </w:rPr>
      </w:pPr>
      <w:r w:rsidRPr="00B247DF">
        <w:rPr>
          <w:rFonts w:ascii="Times New Roman" w:hAnsi="Times New Roman"/>
        </w:rPr>
        <w:lastRenderedPageBreak/>
        <w:tab/>
      </w:r>
      <w:r w:rsidR="0008795C" w:rsidRPr="00B247DF">
        <w:rPr>
          <w:rFonts w:ascii="Times New Roman" w:hAnsi="Times New Roman"/>
        </w:rPr>
        <w:t xml:space="preserve">The </w:t>
      </w:r>
      <w:r w:rsidR="004B5122" w:rsidRPr="00B247DF">
        <w:rPr>
          <w:rFonts w:ascii="Times New Roman" w:hAnsi="Times New Roman"/>
        </w:rPr>
        <w:t>cu</w:t>
      </w:r>
      <w:r w:rsidR="0096682A" w:rsidRPr="00B247DF">
        <w:rPr>
          <w:rFonts w:ascii="Times New Roman" w:hAnsi="Times New Roman"/>
        </w:rPr>
        <w:t xml:space="preserve">rrent </w:t>
      </w:r>
      <w:r w:rsidR="002E1963" w:rsidRPr="00B247DF">
        <w:rPr>
          <w:rFonts w:ascii="Times New Roman" w:hAnsi="Times New Roman"/>
        </w:rPr>
        <w:t xml:space="preserve">scheme of </w:t>
      </w:r>
      <w:r w:rsidR="001518B9" w:rsidRPr="00B247DF">
        <w:rPr>
          <w:rFonts w:ascii="Times New Roman" w:hAnsi="Times New Roman"/>
        </w:rPr>
        <w:t xml:space="preserve">the </w:t>
      </w:r>
      <w:r w:rsidR="00F657EF" w:rsidRPr="00B247DF">
        <w:rPr>
          <w:rFonts w:ascii="Times New Roman" w:hAnsi="Times New Roman"/>
        </w:rPr>
        <w:t xml:space="preserve">Act </w:t>
      </w:r>
      <w:r w:rsidR="006E061F" w:rsidRPr="00B247DF">
        <w:rPr>
          <w:rFonts w:ascii="Times New Roman" w:hAnsi="Times New Roman"/>
        </w:rPr>
        <w:t xml:space="preserve">maintains </w:t>
      </w:r>
      <w:r w:rsidR="00B728F8" w:rsidRPr="00B247DF">
        <w:rPr>
          <w:rFonts w:ascii="Times New Roman" w:hAnsi="Times New Roman"/>
        </w:rPr>
        <w:t>in essential respects</w:t>
      </w:r>
      <w:r w:rsidR="00201B5E" w:rsidRPr="00B247DF">
        <w:rPr>
          <w:rFonts w:ascii="Times New Roman" w:hAnsi="Times New Roman"/>
        </w:rPr>
        <w:t xml:space="preserve"> the scheme of the Act </w:t>
      </w:r>
      <w:r w:rsidR="00F657EF" w:rsidRPr="00B247DF">
        <w:rPr>
          <w:rFonts w:ascii="Times New Roman" w:hAnsi="Times New Roman"/>
        </w:rPr>
        <w:t>as originally enacted</w:t>
      </w:r>
      <w:r w:rsidR="00201B5E" w:rsidRPr="00B247DF">
        <w:rPr>
          <w:rFonts w:ascii="Times New Roman" w:hAnsi="Times New Roman"/>
        </w:rPr>
        <w:t>.</w:t>
      </w:r>
    </w:p>
    <w:p w14:paraId="5C0C1345" w14:textId="143B6766" w:rsidR="007810AB" w:rsidRPr="00B247DF" w:rsidRDefault="007810AB" w:rsidP="00B247DF">
      <w:pPr>
        <w:pStyle w:val="FixListStyle"/>
        <w:spacing w:after="260" w:line="280" w:lineRule="exact"/>
        <w:ind w:right="0"/>
        <w:jc w:val="both"/>
        <w:rPr>
          <w:rFonts w:ascii="Times New Roman" w:hAnsi="Times New Roman"/>
        </w:rPr>
      </w:pPr>
      <w:r w:rsidRPr="00B247DF">
        <w:rPr>
          <w:rFonts w:ascii="Times New Roman" w:hAnsi="Times New Roman"/>
        </w:rPr>
        <w:tab/>
        <w:t xml:space="preserve">Part II of the Act </w:t>
      </w:r>
      <w:r w:rsidR="004603F0" w:rsidRPr="00B247DF">
        <w:rPr>
          <w:rFonts w:ascii="Times New Roman" w:hAnsi="Times New Roman"/>
        </w:rPr>
        <w:t xml:space="preserve">deals with the </w:t>
      </w:r>
      <w:r w:rsidR="00CF52FE" w:rsidRPr="00B247DF">
        <w:rPr>
          <w:rFonts w:ascii="Times New Roman" w:hAnsi="Times New Roman"/>
        </w:rPr>
        <w:t>constitution</w:t>
      </w:r>
      <w:r w:rsidR="004603F0" w:rsidRPr="00B247DF">
        <w:rPr>
          <w:rFonts w:ascii="Times New Roman" w:hAnsi="Times New Roman"/>
        </w:rPr>
        <w:t xml:space="preserve"> and composition of the Committee</w:t>
      </w:r>
      <w:r w:rsidR="00615B37" w:rsidRPr="00B247DF">
        <w:rPr>
          <w:rFonts w:ascii="Times New Roman" w:hAnsi="Times New Roman"/>
        </w:rPr>
        <w:t>. Under it, the Committee</w:t>
      </w:r>
      <w:r w:rsidR="00CF52FE" w:rsidRPr="00B247DF">
        <w:rPr>
          <w:rFonts w:ascii="Times New Roman" w:hAnsi="Times New Roman"/>
        </w:rPr>
        <w:t xml:space="preserve"> is to be </w:t>
      </w:r>
      <w:r w:rsidR="00812969" w:rsidRPr="00B247DF">
        <w:rPr>
          <w:rFonts w:ascii="Times New Roman" w:hAnsi="Times New Roman"/>
        </w:rPr>
        <w:t>re</w:t>
      </w:r>
      <w:r w:rsidR="00D32064" w:rsidRPr="00B247DF">
        <w:rPr>
          <w:rFonts w:ascii="Times New Roman" w:hAnsi="Times New Roman"/>
        </w:rPr>
        <w:t>-</w:t>
      </w:r>
      <w:r w:rsidR="0071652A" w:rsidRPr="00B247DF">
        <w:rPr>
          <w:rFonts w:ascii="Times New Roman" w:hAnsi="Times New Roman"/>
        </w:rPr>
        <w:t>established at the commencement of the first session of every Parliament</w:t>
      </w:r>
      <w:r w:rsidR="00615B37" w:rsidRPr="00B247DF">
        <w:rPr>
          <w:rFonts w:ascii="Times New Roman" w:hAnsi="Times New Roman"/>
        </w:rPr>
        <w:t>,</w:t>
      </w:r>
      <w:r w:rsidR="00615B37" w:rsidRPr="00B247DF">
        <w:rPr>
          <w:rStyle w:val="FootnoteReference"/>
          <w:rFonts w:ascii="Times New Roman" w:hAnsi="Times New Roman"/>
          <w:sz w:val="24"/>
        </w:rPr>
        <w:footnoteReference w:id="12"/>
      </w:r>
      <w:r w:rsidR="00615B37" w:rsidRPr="00B247DF">
        <w:rPr>
          <w:rFonts w:ascii="Times New Roman" w:hAnsi="Times New Roman"/>
        </w:rPr>
        <w:t xml:space="preserve"> is to comprise specified numbers of Members both of the Legislative Council and the </w:t>
      </w:r>
      <w:r w:rsidR="00684422" w:rsidRPr="00B247DF">
        <w:rPr>
          <w:rFonts w:ascii="Times New Roman" w:hAnsi="Times New Roman"/>
        </w:rPr>
        <w:t xml:space="preserve">House of </w:t>
      </w:r>
      <w:r w:rsidR="00615B37" w:rsidRPr="00B247DF">
        <w:rPr>
          <w:rFonts w:ascii="Times New Roman" w:hAnsi="Times New Roman"/>
        </w:rPr>
        <w:t>Assembly,</w:t>
      </w:r>
      <w:r w:rsidR="00DE23D8" w:rsidRPr="00B247DF">
        <w:rPr>
          <w:rStyle w:val="FootnoteReference"/>
          <w:rFonts w:ascii="Times New Roman" w:hAnsi="Times New Roman"/>
          <w:sz w:val="24"/>
        </w:rPr>
        <w:footnoteReference w:id="13"/>
      </w:r>
      <w:r w:rsidR="00615B37" w:rsidRPr="00B247DF">
        <w:rPr>
          <w:rFonts w:ascii="Times New Roman" w:hAnsi="Times New Roman"/>
        </w:rPr>
        <w:t xml:space="preserve"> </w:t>
      </w:r>
      <w:r w:rsidR="00DE23D8" w:rsidRPr="00B247DF">
        <w:rPr>
          <w:rFonts w:ascii="Times New Roman" w:hAnsi="Times New Roman"/>
        </w:rPr>
        <w:t>and is to exclude Ministers</w:t>
      </w:r>
      <w:r w:rsidR="0093318D" w:rsidRPr="00B247DF">
        <w:rPr>
          <w:rFonts w:ascii="Times New Roman" w:hAnsi="Times New Roman"/>
        </w:rPr>
        <w:t xml:space="preserve"> as well as the President of the Legislative Council and the Speaker of the </w:t>
      </w:r>
      <w:r w:rsidR="00DD7FB5" w:rsidRPr="00B247DF">
        <w:rPr>
          <w:rFonts w:ascii="Times New Roman" w:hAnsi="Times New Roman"/>
        </w:rPr>
        <w:t xml:space="preserve">House of </w:t>
      </w:r>
      <w:r w:rsidR="0093318D" w:rsidRPr="00B247DF">
        <w:rPr>
          <w:rFonts w:ascii="Times New Roman" w:hAnsi="Times New Roman"/>
        </w:rPr>
        <w:t>Assembly.</w:t>
      </w:r>
      <w:r w:rsidR="0093318D" w:rsidRPr="00B247DF">
        <w:rPr>
          <w:rStyle w:val="FootnoteReference"/>
          <w:rFonts w:ascii="Times New Roman" w:hAnsi="Times New Roman"/>
          <w:sz w:val="24"/>
        </w:rPr>
        <w:footnoteReference w:id="14"/>
      </w:r>
      <w:r w:rsidR="00960715" w:rsidRPr="00B247DF">
        <w:rPr>
          <w:rFonts w:ascii="Times New Roman" w:hAnsi="Times New Roman"/>
        </w:rPr>
        <w:t xml:space="preserve"> </w:t>
      </w:r>
      <w:r w:rsidR="00CD6EE7" w:rsidRPr="00B247DF">
        <w:rPr>
          <w:rFonts w:ascii="Times New Roman" w:hAnsi="Times New Roman"/>
        </w:rPr>
        <w:t>Though</w:t>
      </w:r>
      <w:r w:rsidR="00960715" w:rsidRPr="00B247DF">
        <w:rPr>
          <w:rFonts w:ascii="Times New Roman" w:hAnsi="Times New Roman"/>
        </w:rPr>
        <w:t xml:space="preserve"> any three </w:t>
      </w:r>
      <w:r w:rsidR="002F2CE1" w:rsidRPr="00B247DF">
        <w:rPr>
          <w:rFonts w:ascii="Times New Roman" w:hAnsi="Times New Roman"/>
        </w:rPr>
        <w:t>members of the Committee are sufficient to form a q</w:t>
      </w:r>
      <w:r w:rsidR="00CD6EE7" w:rsidRPr="00B247DF">
        <w:rPr>
          <w:rFonts w:ascii="Times New Roman" w:hAnsi="Times New Roman"/>
        </w:rPr>
        <w:t xml:space="preserve">uorum for the exercise of its powers, </w:t>
      </w:r>
      <w:r w:rsidR="00886773" w:rsidRPr="00B247DF">
        <w:rPr>
          <w:rFonts w:ascii="Times New Roman" w:hAnsi="Times New Roman"/>
        </w:rPr>
        <w:t>any report or recommendation to Parliament is to be approved by a majority of the whole Committee.</w:t>
      </w:r>
      <w:r w:rsidR="006278C9" w:rsidRPr="00B247DF">
        <w:rPr>
          <w:rStyle w:val="FootnoteReference"/>
          <w:rFonts w:ascii="Times New Roman" w:hAnsi="Times New Roman"/>
          <w:sz w:val="24"/>
        </w:rPr>
        <w:footnoteReference w:id="15"/>
      </w:r>
    </w:p>
    <w:p w14:paraId="3284C989" w14:textId="3B57ECB1" w:rsidR="00374B52" w:rsidRPr="00B247DF" w:rsidRDefault="00886773" w:rsidP="00B247DF">
      <w:pPr>
        <w:pStyle w:val="FixListStyle"/>
        <w:spacing w:after="260" w:line="280" w:lineRule="exact"/>
        <w:ind w:right="0"/>
        <w:jc w:val="both"/>
        <w:rPr>
          <w:rFonts w:ascii="Times New Roman" w:hAnsi="Times New Roman"/>
        </w:rPr>
      </w:pPr>
      <w:r w:rsidRPr="00B247DF">
        <w:rPr>
          <w:rFonts w:ascii="Times New Roman" w:hAnsi="Times New Roman"/>
        </w:rPr>
        <w:tab/>
        <w:t>Part III of the Act deals with the powers of the Committee.</w:t>
      </w:r>
      <w:r w:rsidR="00F05B32" w:rsidRPr="00B247DF">
        <w:rPr>
          <w:rFonts w:ascii="Times New Roman" w:hAnsi="Times New Roman"/>
        </w:rPr>
        <w:t xml:space="preserve"> Th</w:t>
      </w:r>
      <w:r w:rsidR="00724E70" w:rsidRPr="00B247DF">
        <w:rPr>
          <w:rFonts w:ascii="Times New Roman" w:hAnsi="Times New Roman"/>
        </w:rPr>
        <w:t>ose powers</w:t>
      </w:r>
      <w:r w:rsidR="00F05B32" w:rsidRPr="00B247DF">
        <w:rPr>
          <w:rFonts w:ascii="Times New Roman" w:hAnsi="Times New Roman"/>
        </w:rPr>
        <w:t xml:space="preserve"> include power</w:t>
      </w:r>
      <w:r w:rsidR="00ED1FA9" w:rsidRPr="00B247DF">
        <w:rPr>
          <w:rFonts w:ascii="Times New Roman" w:hAnsi="Times New Roman"/>
        </w:rPr>
        <w:t>s</w:t>
      </w:r>
      <w:r w:rsidR="00F05B32" w:rsidRPr="00B247DF">
        <w:rPr>
          <w:rFonts w:ascii="Times New Roman" w:hAnsi="Times New Roman"/>
        </w:rPr>
        <w:t xml:space="preserve"> to enter </w:t>
      </w:r>
      <w:r w:rsidR="00ED1FA9" w:rsidRPr="00B247DF">
        <w:rPr>
          <w:rFonts w:ascii="Times New Roman" w:hAnsi="Times New Roman"/>
        </w:rPr>
        <w:t>land,</w:t>
      </w:r>
      <w:r w:rsidR="00ED1FA9" w:rsidRPr="00B247DF">
        <w:rPr>
          <w:rStyle w:val="FootnoteReference"/>
          <w:rFonts w:ascii="Times New Roman" w:hAnsi="Times New Roman"/>
          <w:sz w:val="24"/>
        </w:rPr>
        <w:footnoteReference w:id="16"/>
      </w:r>
      <w:r w:rsidR="00ED1FA9" w:rsidRPr="00B247DF">
        <w:rPr>
          <w:rFonts w:ascii="Times New Roman" w:hAnsi="Times New Roman"/>
        </w:rPr>
        <w:t xml:space="preserve"> to summon </w:t>
      </w:r>
      <w:r w:rsidR="00B03710" w:rsidRPr="00B247DF">
        <w:rPr>
          <w:rFonts w:ascii="Times New Roman" w:hAnsi="Times New Roman"/>
        </w:rPr>
        <w:t>witnesses</w:t>
      </w:r>
      <w:r w:rsidR="00B03710" w:rsidRPr="00B247DF">
        <w:rPr>
          <w:rStyle w:val="FootnoteReference"/>
          <w:rFonts w:ascii="Times New Roman" w:hAnsi="Times New Roman"/>
          <w:sz w:val="24"/>
        </w:rPr>
        <w:footnoteReference w:id="17"/>
      </w:r>
      <w:r w:rsidR="00B03710" w:rsidRPr="00B247DF">
        <w:rPr>
          <w:rFonts w:ascii="Times New Roman" w:hAnsi="Times New Roman"/>
        </w:rPr>
        <w:t xml:space="preserve"> </w:t>
      </w:r>
      <w:r w:rsidR="00FA2056" w:rsidRPr="00B247DF">
        <w:rPr>
          <w:rFonts w:ascii="Times New Roman" w:hAnsi="Times New Roman"/>
        </w:rPr>
        <w:t>and to examine witnesses on their solemn declaration.</w:t>
      </w:r>
      <w:r w:rsidR="00FA2056" w:rsidRPr="00B247DF">
        <w:rPr>
          <w:rStyle w:val="FootnoteReference"/>
          <w:rFonts w:ascii="Times New Roman" w:hAnsi="Times New Roman"/>
          <w:sz w:val="24"/>
        </w:rPr>
        <w:footnoteReference w:id="18"/>
      </w:r>
      <w:r w:rsidR="008417E0" w:rsidRPr="00B247DF">
        <w:rPr>
          <w:rFonts w:ascii="Times New Roman" w:hAnsi="Times New Roman"/>
        </w:rPr>
        <w:t xml:space="preserve"> </w:t>
      </w:r>
    </w:p>
    <w:p w14:paraId="17C5717F" w14:textId="4BFE89A1" w:rsidR="00886773" w:rsidRPr="00B247DF" w:rsidRDefault="00374B52"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724E70" w:rsidRPr="00B247DF">
        <w:rPr>
          <w:rFonts w:ascii="Times New Roman" w:hAnsi="Times New Roman"/>
        </w:rPr>
        <w:t>Pivotal provisions w</w:t>
      </w:r>
      <w:r w:rsidR="008417E0" w:rsidRPr="00B247DF">
        <w:rPr>
          <w:rFonts w:ascii="Times New Roman" w:hAnsi="Times New Roman"/>
        </w:rPr>
        <w:t xml:space="preserve">ithin Pt III </w:t>
      </w:r>
      <w:r w:rsidR="00E92955" w:rsidRPr="00B247DF">
        <w:rPr>
          <w:rFonts w:ascii="Times New Roman" w:hAnsi="Times New Roman"/>
        </w:rPr>
        <w:t xml:space="preserve">of the Act </w:t>
      </w:r>
      <w:r w:rsidR="00F06DFF" w:rsidRPr="00B247DF">
        <w:rPr>
          <w:rFonts w:ascii="Times New Roman" w:hAnsi="Times New Roman"/>
        </w:rPr>
        <w:t>are s</w:t>
      </w:r>
      <w:r w:rsidR="00CE6F09" w:rsidRPr="00B247DF">
        <w:rPr>
          <w:rFonts w:ascii="Times New Roman" w:hAnsi="Times New Roman"/>
        </w:rPr>
        <w:t xml:space="preserve">s </w:t>
      </w:r>
      <w:r w:rsidR="00F06DFF" w:rsidRPr="00B247DF">
        <w:rPr>
          <w:rFonts w:ascii="Times New Roman" w:hAnsi="Times New Roman"/>
        </w:rPr>
        <w:t xml:space="preserve">15, </w:t>
      </w:r>
      <w:r w:rsidR="004D72E0" w:rsidRPr="00B247DF">
        <w:rPr>
          <w:rFonts w:ascii="Times New Roman" w:hAnsi="Times New Roman"/>
        </w:rPr>
        <w:t>16</w:t>
      </w:r>
      <w:r w:rsidR="00C15101" w:rsidRPr="00B247DF">
        <w:rPr>
          <w:rFonts w:ascii="Times New Roman" w:hAnsi="Times New Roman"/>
        </w:rPr>
        <w:t xml:space="preserve"> and </w:t>
      </w:r>
      <w:r w:rsidR="00441D56" w:rsidRPr="00B247DF">
        <w:rPr>
          <w:rFonts w:ascii="Times New Roman" w:hAnsi="Times New Roman"/>
        </w:rPr>
        <w:t>17</w:t>
      </w:r>
      <w:r w:rsidR="009663DB" w:rsidRPr="00B247DF">
        <w:rPr>
          <w:rFonts w:ascii="Times New Roman" w:hAnsi="Times New Roman"/>
        </w:rPr>
        <w:t xml:space="preserve">. </w:t>
      </w:r>
      <w:r w:rsidR="00846D83" w:rsidRPr="00B247DF">
        <w:rPr>
          <w:rFonts w:ascii="Times New Roman" w:hAnsi="Times New Roman"/>
        </w:rPr>
        <w:t xml:space="preserve">Each </w:t>
      </w:r>
      <w:r w:rsidR="00F03428" w:rsidRPr="00B247DF">
        <w:rPr>
          <w:rFonts w:ascii="Times New Roman" w:hAnsi="Times New Roman"/>
        </w:rPr>
        <w:t>refers to</w:t>
      </w:r>
      <w:r w:rsidR="00EC5D74" w:rsidRPr="00B247DF">
        <w:rPr>
          <w:rFonts w:ascii="Times New Roman" w:hAnsi="Times New Roman"/>
        </w:rPr>
        <w:t xml:space="preserve"> a</w:t>
      </w:r>
      <w:r w:rsidRPr="00B247DF">
        <w:rPr>
          <w:rFonts w:ascii="Times New Roman" w:hAnsi="Times New Roman"/>
        </w:rPr>
        <w:t xml:space="preserve"> "public work"</w:t>
      </w:r>
      <w:r w:rsidR="00AE42D2" w:rsidRPr="00B247DF">
        <w:rPr>
          <w:rFonts w:ascii="Times New Roman" w:hAnsi="Times New Roman"/>
        </w:rPr>
        <w:t xml:space="preserve"> a</w:t>
      </w:r>
      <w:r w:rsidR="009B5235" w:rsidRPr="00B247DF">
        <w:rPr>
          <w:rFonts w:ascii="Times New Roman" w:hAnsi="Times New Roman"/>
        </w:rPr>
        <w:t>nd</w:t>
      </w:r>
      <w:r w:rsidR="00AE42D2" w:rsidRPr="00B247DF">
        <w:rPr>
          <w:rFonts w:ascii="Times New Roman" w:hAnsi="Times New Roman"/>
        </w:rPr>
        <w:t xml:space="preserve"> to </w:t>
      </w:r>
      <w:r w:rsidR="00EC5D74" w:rsidRPr="00B247DF">
        <w:rPr>
          <w:rFonts w:ascii="Times New Roman" w:hAnsi="Times New Roman"/>
        </w:rPr>
        <w:t xml:space="preserve">the </w:t>
      </w:r>
      <w:r w:rsidR="00AE42D2" w:rsidRPr="00B247DF">
        <w:rPr>
          <w:rFonts w:ascii="Times New Roman" w:hAnsi="Times New Roman"/>
        </w:rPr>
        <w:t xml:space="preserve">"relevant monetary threshold". </w:t>
      </w:r>
      <w:proofErr w:type="gramStart"/>
      <w:r w:rsidR="00FE65A0" w:rsidRPr="00B247DF">
        <w:rPr>
          <w:rFonts w:ascii="Times New Roman" w:hAnsi="Times New Roman"/>
        </w:rPr>
        <w:t>For the purpose of</w:t>
      </w:r>
      <w:proofErr w:type="gramEnd"/>
      <w:r w:rsidR="00FE65A0" w:rsidRPr="00B247DF">
        <w:rPr>
          <w:rFonts w:ascii="Times New Roman" w:hAnsi="Times New Roman"/>
        </w:rPr>
        <w:t xml:space="preserve"> the Act, </w:t>
      </w:r>
      <w:r w:rsidR="00134F8D" w:rsidRPr="00B247DF">
        <w:rPr>
          <w:rFonts w:ascii="Times New Roman" w:hAnsi="Times New Roman"/>
        </w:rPr>
        <w:t xml:space="preserve">a </w:t>
      </w:r>
      <w:r w:rsidR="00FA4300" w:rsidRPr="00B247DF">
        <w:rPr>
          <w:rFonts w:ascii="Times New Roman" w:hAnsi="Times New Roman"/>
        </w:rPr>
        <w:t>"</w:t>
      </w:r>
      <w:r w:rsidR="00FE65A0" w:rsidRPr="00B247DF">
        <w:rPr>
          <w:rFonts w:ascii="Times New Roman" w:hAnsi="Times New Roman"/>
        </w:rPr>
        <w:t>p</w:t>
      </w:r>
      <w:r w:rsidR="00FA4300" w:rsidRPr="00B247DF">
        <w:rPr>
          <w:rFonts w:ascii="Times New Roman" w:hAnsi="Times New Roman"/>
        </w:rPr>
        <w:t>ublic work"</w:t>
      </w:r>
      <w:r w:rsidR="00EC5D74" w:rsidRPr="00B247DF">
        <w:rPr>
          <w:rFonts w:ascii="Times New Roman" w:hAnsi="Times New Roman"/>
        </w:rPr>
        <w:t xml:space="preserve"> </w:t>
      </w:r>
      <w:r w:rsidR="00302C9A" w:rsidRPr="00B247DF">
        <w:rPr>
          <w:rFonts w:ascii="Times New Roman" w:hAnsi="Times New Roman"/>
        </w:rPr>
        <w:t>is</w:t>
      </w:r>
      <w:r w:rsidR="002E3C2C" w:rsidRPr="00B247DF">
        <w:rPr>
          <w:rFonts w:ascii="Times New Roman" w:hAnsi="Times New Roman"/>
        </w:rPr>
        <w:t xml:space="preserve"> either</w:t>
      </w:r>
      <w:r w:rsidR="00EC5D74" w:rsidRPr="00B247DF">
        <w:rPr>
          <w:rFonts w:ascii="Times New Roman" w:hAnsi="Times New Roman"/>
        </w:rPr>
        <w:t xml:space="preserve"> "building </w:t>
      </w:r>
      <w:r w:rsidR="00EE6A6C" w:rsidRPr="00B247DF">
        <w:rPr>
          <w:rFonts w:ascii="Times New Roman" w:hAnsi="Times New Roman"/>
        </w:rPr>
        <w:t xml:space="preserve">or </w:t>
      </w:r>
      <w:r w:rsidR="00EC5D74" w:rsidRPr="00B247DF">
        <w:rPr>
          <w:rFonts w:ascii="Times New Roman" w:hAnsi="Times New Roman"/>
        </w:rPr>
        <w:t>construction works"</w:t>
      </w:r>
      <w:r w:rsidR="00327CC7" w:rsidRPr="00B247DF">
        <w:rPr>
          <w:rFonts w:ascii="Times New Roman" w:hAnsi="Times New Roman"/>
        </w:rPr>
        <w:t xml:space="preserve"> (</w:t>
      </w:r>
      <w:r w:rsidR="002102FB" w:rsidRPr="00B247DF">
        <w:rPr>
          <w:rFonts w:ascii="Times New Roman" w:hAnsi="Times New Roman"/>
        </w:rPr>
        <w:t>in relation to which the "relevant monetary threshold" is $8 m</w:t>
      </w:r>
      <w:r w:rsidR="001065A0" w:rsidRPr="00B247DF">
        <w:rPr>
          <w:rFonts w:ascii="Times New Roman" w:hAnsi="Times New Roman"/>
        </w:rPr>
        <w:t>illion</w:t>
      </w:r>
      <w:r w:rsidR="00327CC7" w:rsidRPr="00B247DF">
        <w:rPr>
          <w:rFonts w:ascii="Times New Roman" w:hAnsi="Times New Roman"/>
        </w:rPr>
        <w:t>)</w:t>
      </w:r>
      <w:r w:rsidR="002102FB" w:rsidRPr="00B247DF">
        <w:rPr>
          <w:rFonts w:ascii="Times New Roman" w:hAnsi="Times New Roman"/>
        </w:rPr>
        <w:t xml:space="preserve"> </w:t>
      </w:r>
      <w:r w:rsidR="002E3C2C" w:rsidRPr="00B247DF">
        <w:rPr>
          <w:rFonts w:ascii="Times New Roman" w:hAnsi="Times New Roman"/>
        </w:rPr>
        <w:t>or</w:t>
      </w:r>
      <w:r w:rsidR="00EC5D74" w:rsidRPr="00B247DF">
        <w:rPr>
          <w:rFonts w:ascii="Times New Roman" w:hAnsi="Times New Roman"/>
        </w:rPr>
        <w:t xml:space="preserve"> </w:t>
      </w:r>
      <w:r w:rsidR="001213A9" w:rsidRPr="00B247DF">
        <w:rPr>
          <w:rFonts w:ascii="Times New Roman" w:hAnsi="Times New Roman"/>
        </w:rPr>
        <w:t>"road or bridge</w:t>
      </w:r>
      <w:r w:rsidR="0034138C" w:rsidRPr="00B247DF">
        <w:rPr>
          <w:rFonts w:ascii="Times New Roman" w:hAnsi="Times New Roman"/>
        </w:rPr>
        <w:t>s</w:t>
      </w:r>
      <w:r w:rsidR="001213A9" w:rsidRPr="00B247DF">
        <w:rPr>
          <w:rFonts w:ascii="Times New Roman" w:hAnsi="Times New Roman"/>
        </w:rPr>
        <w:t xml:space="preserve"> works" </w:t>
      </w:r>
      <w:r w:rsidR="00327CC7" w:rsidRPr="00B247DF">
        <w:rPr>
          <w:rFonts w:ascii="Times New Roman" w:hAnsi="Times New Roman"/>
        </w:rPr>
        <w:t>(in relation to which the "relevant monetary threshold" is $15 m</w:t>
      </w:r>
      <w:r w:rsidR="001065A0" w:rsidRPr="00B247DF">
        <w:rPr>
          <w:rFonts w:ascii="Times New Roman" w:hAnsi="Times New Roman"/>
        </w:rPr>
        <w:t>illion</w:t>
      </w:r>
      <w:r w:rsidR="00327CC7" w:rsidRPr="00B247DF">
        <w:rPr>
          <w:rFonts w:ascii="Times New Roman" w:hAnsi="Times New Roman"/>
        </w:rPr>
        <w:t>).</w:t>
      </w:r>
      <w:r w:rsidR="00017CF5" w:rsidRPr="00B247DF">
        <w:rPr>
          <w:rStyle w:val="FootnoteReference"/>
          <w:rFonts w:ascii="Times New Roman" w:hAnsi="Times New Roman"/>
          <w:sz w:val="24"/>
        </w:rPr>
        <w:footnoteReference w:id="19"/>
      </w:r>
      <w:r w:rsidR="00327CC7" w:rsidRPr="00B247DF">
        <w:rPr>
          <w:rFonts w:ascii="Times New Roman" w:hAnsi="Times New Roman"/>
        </w:rPr>
        <w:t xml:space="preserve"> </w:t>
      </w:r>
    </w:p>
    <w:p w14:paraId="3D14B9C1" w14:textId="2E7859AD" w:rsidR="00564A0D" w:rsidRPr="00B247DF" w:rsidRDefault="00564A0D" w:rsidP="00B247DF">
      <w:pPr>
        <w:pStyle w:val="FixListStyle"/>
        <w:spacing w:after="260" w:line="280" w:lineRule="exact"/>
        <w:ind w:right="0"/>
        <w:jc w:val="both"/>
        <w:rPr>
          <w:rFonts w:ascii="Times New Roman" w:hAnsi="Times New Roman"/>
        </w:rPr>
      </w:pPr>
      <w:r w:rsidRPr="00B247DF">
        <w:rPr>
          <w:rFonts w:ascii="Times New Roman" w:hAnsi="Times New Roman"/>
        </w:rPr>
        <w:tab/>
        <w:t>Section 15</w:t>
      </w:r>
      <w:r w:rsidR="00A55F25" w:rsidRPr="00B247DF">
        <w:rPr>
          <w:rFonts w:ascii="Times New Roman" w:hAnsi="Times New Roman"/>
        </w:rPr>
        <w:t xml:space="preserve"> </w:t>
      </w:r>
      <w:r w:rsidR="007336C8" w:rsidRPr="00B247DF">
        <w:rPr>
          <w:rFonts w:ascii="Times New Roman" w:hAnsi="Times New Roman"/>
        </w:rPr>
        <w:t xml:space="preserve">of the Act </w:t>
      </w:r>
      <w:r w:rsidR="00E460BA" w:rsidRPr="00B247DF">
        <w:rPr>
          <w:rFonts w:ascii="Times New Roman" w:hAnsi="Times New Roman"/>
        </w:rPr>
        <w:t xml:space="preserve">is </w:t>
      </w:r>
      <w:r w:rsidR="00CE6F09" w:rsidRPr="00B247DF">
        <w:rPr>
          <w:rFonts w:ascii="Times New Roman" w:hAnsi="Times New Roman"/>
        </w:rPr>
        <w:t>headed "Functions of Committee"</w:t>
      </w:r>
      <w:r w:rsidR="00E460BA" w:rsidRPr="00B247DF">
        <w:rPr>
          <w:rFonts w:ascii="Times New Roman" w:hAnsi="Times New Roman"/>
        </w:rPr>
        <w:t xml:space="preserve">. Section 15(1) </w:t>
      </w:r>
      <w:r w:rsidR="00A55F25" w:rsidRPr="00B247DF">
        <w:rPr>
          <w:rFonts w:ascii="Times New Roman" w:hAnsi="Times New Roman"/>
        </w:rPr>
        <w:t>provides that</w:t>
      </w:r>
      <w:r w:rsidR="000656B5" w:rsidRPr="00B247DF">
        <w:rPr>
          <w:rFonts w:ascii="Times New Roman" w:hAnsi="Times New Roman"/>
        </w:rPr>
        <w:t xml:space="preserve"> "[t]he Committee shall, subject to the provisions of [the] Act, </w:t>
      </w:r>
      <w:r w:rsidR="000656B5" w:rsidRPr="00B247DF">
        <w:rPr>
          <w:rFonts w:ascii="Times New Roman" w:hAnsi="Times New Roman"/>
        </w:rPr>
        <w:lastRenderedPageBreak/>
        <w:t>consider and report upon every public work that is proposed to be undertaken by a general government sector body</w:t>
      </w:r>
      <w:r w:rsidR="00E76E73" w:rsidRPr="00B247DF">
        <w:rPr>
          <w:rFonts w:ascii="Times New Roman" w:hAnsi="Times New Roman"/>
        </w:rPr>
        <w:t xml:space="preserve"> ... </w:t>
      </w:r>
      <w:r w:rsidR="000656B5" w:rsidRPr="00B247DF">
        <w:rPr>
          <w:rFonts w:ascii="Times New Roman" w:hAnsi="Times New Roman"/>
        </w:rPr>
        <w:t>in all cases where the estimated cost of completing the work exceeds the relevant monetary threshold in relation to the work</w:t>
      </w:r>
      <w:r w:rsidR="00E76E73" w:rsidRPr="00B247DF">
        <w:rPr>
          <w:rFonts w:ascii="Times New Roman" w:hAnsi="Times New Roman"/>
        </w:rPr>
        <w:t>"</w:t>
      </w:r>
      <w:r w:rsidR="00ED3567" w:rsidRPr="00B247DF">
        <w:rPr>
          <w:rFonts w:ascii="Times New Roman" w:hAnsi="Times New Roman"/>
        </w:rPr>
        <w:t xml:space="preserve">. There is an </w:t>
      </w:r>
      <w:r w:rsidR="00E76E73" w:rsidRPr="00B247DF">
        <w:rPr>
          <w:rFonts w:ascii="Times New Roman" w:hAnsi="Times New Roman"/>
        </w:rPr>
        <w:t>except</w:t>
      </w:r>
      <w:r w:rsidR="00ED3567" w:rsidRPr="00B247DF">
        <w:rPr>
          <w:rFonts w:ascii="Times New Roman" w:hAnsi="Times New Roman"/>
        </w:rPr>
        <w:t>ion</w:t>
      </w:r>
      <w:r w:rsidR="00E76E73" w:rsidRPr="00B247DF">
        <w:rPr>
          <w:rFonts w:ascii="Times New Roman" w:hAnsi="Times New Roman"/>
        </w:rPr>
        <w:t xml:space="preserve"> </w:t>
      </w:r>
      <w:r w:rsidR="00C9647E" w:rsidRPr="00B247DF">
        <w:rPr>
          <w:rFonts w:ascii="Times New Roman" w:hAnsi="Times New Roman"/>
        </w:rPr>
        <w:t>for a</w:t>
      </w:r>
      <w:r w:rsidR="00E76E73" w:rsidRPr="00B247DF">
        <w:rPr>
          <w:rFonts w:ascii="Times New Roman" w:hAnsi="Times New Roman"/>
        </w:rPr>
        <w:t xml:space="preserve"> public work </w:t>
      </w:r>
      <w:r w:rsidR="00C9647E" w:rsidRPr="00B247DF">
        <w:rPr>
          <w:rFonts w:ascii="Times New Roman" w:hAnsi="Times New Roman"/>
        </w:rPr>
        <w:t xml:space="preserve">that is </w:t>
      </w:r>
      <w:r w:rsidR="00E76E73" w:rsidRPr="00B247DF">
        <w:rPr>
          <w:rFonts w:ascii="Times New Roman" w:hAnsi="Times New Roman"/>
        </w:rPr>
        <w:t xml:space="preserve">withdrawn from the operation of </w:t>
      </w:r>
      <w:r w:rsidR="00FB5EC5" w:rsidRPr="00B247DF">
        <w:rPr>
          <w:rFonts w:ascii="Times New Roman" w:hAnsi="Times New Roman"/>
        </w:rPr>
        <w:t>the</w:t>
      </w:r>
      <w:r w:rsidR="00E76E73" w:rsidRPr="00B247DF">
        <w:rPr>
          <w:rFonts w:ascii="Times New Roman" w:hAnsi="Times New Roman"/>
        </w:rPr>
        <w:t xml:space="preserve"> </w:t>
      </w:r>
      <w:r w:rsidR="00FB5EC5" w:rsidRPr="00B247DF">
        <w:rPr>
          <w:rFonts w:ascii="Times New Roman" w:hAnsi="Times New Roman"/>
        </w:rPr>
        <w:t>A</w:t>
      </w:r>
      <w:r w:rsidR="00E76E73" w:rsidRPr="00B247DF">
        <w:rPr>
          <w:rFonts w:ascii="Times New Roman" w:hAnsi="Times New Roman"/>
        </w:rPr>
        <w:t>ct by a resolution adopted by each House of Parliament</w:t>
      </w:r>
      <w:r w:rsidR="00C9647E" w:rsidRPr="00B247DF">
        <w:rPr>
          <w:rFonts w:ascii="Times New Roman" w:hAnsi="Times New Roman"/>
        </w:rPr>
        <w:t xml:space="preserve">. </w:t>
      </w:r>
      <w:r w:rsidR="009B3959" w:rsidRPr="00B247DF">
        <w:rPr>
          <w:rFonts w:ascii="Times New Roman" w:hAnsi="Times New Roman"/>
        </w:rPr>
        <w:t xml:space="preserve">For </w:t>
      </w:r>
      <w:r w:rsidR="000C38F8" w:rsidRPr="00B247DF">
        <w:rPr>
          <w:rFonts w:ascii="Times New Roman" w:hAnsi="Times New Roman"/>
        </w:rPr>
        <w:t>the</w:t>
      </w:r>
      <w:r w:rsidR="009B3959" w:rsidRPr="00B247DF">
        <w:rPr>
          <w:rFonts w:ascii="Times New Roman" w:hAnsi="Times New Roman"/>
        </w:rPr>
        <w:t xml:space="preserve"> purpose</w:t>
      </w:r>
      <w:r w:rsidR="000C38F8" w:rsidRPr="00B247DF">
        <w:rPr>
          <w:rFonts w:ascii="Times New Roman" w:hAnsi="Times New Roman"/>
        </w:rPr>
        <w:t xml:space="preserve"> of the section</w:t>
      </w:r>
      <w:r w:rsidR="006C3F09" w:rsidRPr="00B247DF">
        <w:rPr>
          <w:rFonts w:ascii="Times New Roman" w:hAnsi="Times New Roman"/>
        </w:rPr>
        <w:t>,</w:t>
      </w:r>
      <w:r w:rsidR="00A41409" w:rsidRPr="00B247DF">
        <w:rPr>
          <w:rFonts w:ascii="Times New Roman" w:hAnsi="Times New Roman"/>
        </w:rPr>
        <w:t xml:space="preserve"> a "general government sector body"</w:t>
      </w:r>
      <w:r w:rsidR="001D4AD7" w:rsidRPr="00B247DF">
        <w:rPr>
          <w:rFonts w:ascii="Times New Roman" w:hAnsi="Times New Roman"/>
        </w:rPr>
        <w:t xml:space="preserve"> is</w:t>
      </w:r>
      <w:r w:rsidR="00A41409" w:rsidRPr="00B247DF">
        <w:rPr>
          <w:rFonts w:ascii="Times New Roman" w:hAnsi="Times New Roman"/>
        </w:rPr>
        <w:t xml:space="preserve"> a </w:t>
      </w:r>
      <w:r w:rsidR="001D4AD7" w:rsidRPr="00B247DF">
        <w:rPr>
          <w:rFonts w:ascii="Times New Roman" w:hAnsi="Times New Roman"/>
        </w:rPr>
        <w:t>"</w:t>
      </w:r>
      <w:r w:rsidR="00A41409" w:rsidRPr="00B247DF">
        <w:rPr>
          <w:rFonts w:ascii="Times New Roman" w:hAnsi="Times New Roman"/>
        </w:rPr>
        <w:t xml:space="preserve">Government </w:t>
      </w:r>
      <w:r w:rsidR="000F1BEF" w:rsidRPr="00B247DF">
        <w:rPr>
          <w:rFonts w:ascii="Times New Roman" w:hAnsi="Times New Roman"/>
        </w:rPr>
        <w:t>d</w:t>
      </w:r>
      <w:r w:rsidR="00A41409" w:rsidRPr="00B247DF">
        <w:rPr>
          <w:rFonts w:ascii="Times New Roman" w:hAnsi="Times New Roman"/>
        </w:rPr>
        <w:t>epartment</w:t>
      </w:r>
      <w:r w:rsidR="001D4AD7" w:rsidRPr="00B247DF">
        <w:rPr>
          <w:rFonts w:ascii="Times New Roman" w:hAnsi="Times New Roman"/>
        </w:rPr>
        <w:t>"</w:t>
      </w:r>
      <w:r w:rsidR="00A41409" w:rsidRPr="00B247DF">
        <w:rPr>
          <w:rFonts w:ascii="Times New Roman" w:hAnsi="Times New Roman"/>
        </w:rPr>
        <w:t xml:space="preserve"> within the meaning of the </w:t>
      </w:r>
      <w:r w:rsidR="00526760" w:rsidRPr="00B247DF">
        <w:rPr>
          <w:rFonts w:ascii="Times New Roman" w:hAnsi="Times New Roman"/>
          <w:i/>
          <w:iCs/>
        </w:rPr>
        <w:t>State Service Act 2000</w:t>
      </w:r>
      <w:r w:rsidR="00526760" w:rsidRPr="00B247DF">
        <w:rPr>
          <w:rFonts w:ascii="Times New Roman" w:hAnsi="Times New Roman"/>
        </w:rPr>
        <w:t xml:space="preserve"> (Tas) or </w:t>
      </w:r>
      <w:r w:rsidR="00403E23" w:rsidRPr="00B247DF">
        <w:rPr>
          <w:rFonts w:ascii="Times New Roman" w:hAnsi="Times New Roman"/>
        </w:rPr>
        <w:t xml:space="preserve">any </w:t>
      </w:r>
      <w:r w:rsidR="001A7EA3" w:rsidRPr="00B247DF">
        <w:rPr>
          <w:rFonts w:ascii="Times New Roman" w:hAnsi="Times New Roman"/>
        </w:rPr>
        <w:t>"</w:t>
      </w:r>
      <w:r w:rsidR="00403E23" w:rsidRPr="00B247DF">
        <w:rPr>
          <w:rFonts w:ascii="Times New Roman" w:hAnsi="Times New Roman"/>
        </w:rPr>
        <w:t>State authority</w:t>
      </w:r>
      <w:r w:rsidR="001A7EA3" w:rsidRPr="00B247DF">
        <w:rPr>
          <w:rFonts w:ascii="Times New Roman" w:hAnsi="Times New Roman"/>
        </w:rPr>
        <w:t>"</w:t>
      </w:r>
      <w:r w:rsidR="00403E23" w:rsidRPr="00B247DF">
        <w:rPr>
          <w:rFonts w:ascii="Times New Roman" w:hAnsi="Times New Roman"/>
        </w:rPr>
        <w:t xml:space="preserve"> classified as an entity within the general government sector </w:t>
      </w:r>
      <w:r w:rsidR="00FD0667" w:rsidRPr="00B247DF">
        <w:rPr>
          <w:rFonts w:ascii="Times New Roman" w:hAnsi="Times New Roman"/>
        </w:rPr>
        <w:t xml:space="preserve">in the annual </w:t>
      </w:r>
      <w:r w:rsidR="00AC3053" w:rsidRPr="00B247DF">
        <w:rPr>
          <w:rFonts w:ascii="Times New Roman" w:hAnsi="Times New Roman"/>
        </w:rPr>
        <w:t xml:space="preserve">financial </w:t>
      </w:r>
      <w:r w:rsidR="00FD0667" w:rsidRPr="00B247DF">
        <w:rPr>
          <w:rFonts w:ascii="Times New Roman" w:hAnsi="Times New Roman"/>
        </w:rPr>
        <w:t>report prepared by the Treasurer under</w:t>
      </w:r>
      <w:r w:rsidR="00384E67" w:rsidRPr="00B247DF">
        <w:rPr>
          <w:rFonts w:ascii="Times New Roman" w:hAnsi="Times New Roman"/>
        </w:rPr>
        <w:t xml:space="preserve"> the </w:t>
      </w:r>
      <w:r w:rsidR="00384E67" w:rsidRPr="00B247DF">
        <w:rPr>
          <w:rFonts w:ascii="Times New Roman" w:hAnsi="Times New Roman"/>
          <w:i/>
          <w:iCs/>
        </w:rPr>
        <w:t>Financial Management Act 2016</w:t>
      </w:r>
      <w:r w:rsidR="00384E67" w:rsidRPr="00B247DF">
        <w:rPr>
          <w:rFonts w:ascii="Times New Roman" w:hAnsi="Times New Roman"/>
        </w:rPr>
        <w:t xml:space="preserve"> (Tas)</w:t>
      </w:r>
      <w:r w:rsidR="001D4AD7" w:rsidRPr="00B247DF">
        <w:rPr>
          <w:rFonts w:ascii="Times New Roman" w:hAnsi="Times New Roman"/>
        </w:rPr>
        <w:t xml:space="preserve"> and a</w:t>
      </w:r>
      <w:r w:rsidR="001A7EA3" w:rsidRPr="00B247DF">
        <w:rPr>
          <w:rFonts w:ascii="Times New Roman" w:hAnsi="Times New Roman"/>
        </w:rPr>
        <w:t xml:space="preserve"> "State authority"</w:t>
      </w:r>
      <w:r w:rsidR="001D4AD7" w:rsidRPr="00B247DF">
        <w:rPr>
          <w:rFonts w:ascii="Times New Roman" w:hAnsi="Times New Roman"/>
        </w:rPr>
        <w:t xml:space="preserve"> is "</w:t>
      </w:r>
      <w:r w:rsidR="001A62A5" w:rsidRPr="00B247DF">
        <w:rPr>
          <w:rFonts w:ascii="Times New Roman" w:hAnsi="Times New Roman"/>
        </w:rPr>
        <w:t>a body or authority</w:t>
      </w:r>
      <w:r w:rsidR="00D930CF" w:rsidRPr="00B247DF">
        <w:rPr>
          <w:rFonts w:ascii="Times New Roman" w:hAnsi="Times New Roman"/>
        </w:rPr>
        <w:t xml:space="preserve">", not </w:t>
      </w:r>
      <w:r w:rsidR="00AA0850" w:rsidRPr="00B247DF">
        <w:rPr>
          <w:rFonts w:ascii="Times New Roman" w:hAnsi="Times New Roman"/>
        </w:rPr>
        <w:t>including</w:t>
      </w:r>
      <w:r w:rsidR="00D930CF" w:rsidRPr="00B247DF">
        <w:rPr>
          <w:rFonts w:ascii="Times New Roman" w:hAnsi="Times New Roman"/>
        </w:rPr>
        <w:t xml:space="preserve"> a Government department</w:t>
      </w:r>
      <w:r w:rsidR="009F6CCE" w:rsidRPr="00B247DF">
        <w:rPr>
          <w:rFonts w:ascii="Times New Roman" w:hAnsi="Times New Roman"/>
        </w:rPr>
        <w:t>, being "a body or authority</w:t>
      </w:r>
      <w:r w:rsidR="0018713D">
        <w:rPr>
          <w:rFonts w:ascii="Times New Roman" w:hAnsi="Times New Roman"/>
        </w:rPr>
        <w:t>,</w:t>
      </w:r>
      <w:r w:rsidR="001A62A5" w:rsidRPr="00B247DF">
        <w:rPr>
          <w:rFonts w:ascii="Times New Roman" w:hAnsi="Times New Roman"/>
        </w:rPr>
        <w:t xml:space="preserve"> w</w:t>
      </w:r>
      <w:r w:rsidR="00D95E72" w:rsidRPr="00B247DF">
        <w:rPr>
          <w:rFonts w:ascii="Times New Roman" w:hAnsi="Times New Roman"/>
        </w:rPr>
        <w:t>hether</w:t>
      </w:r>
      <w:r w:rsidR="001A62A5" w:rsidRPr="00B247DF">
        <w:rPr>
          <w:rFonts w:ascii="Times New Roman" w:hAnsi="Times New Roman"/>
        </w:rPr>
        <w:t xml:space="preserve"> incorporated or not, that is established or constituted under a written law </w:t>
      </w:r>
      <w:r w:rsidR="00BA2076" w:rsidRPr="00B247DF">
        <w:rPr>
          <w:rFonts w:ascii="Times New Roman" w:hAnsi="Times New Roman"/>
        </w:rPr>
        <w:t>or under the royal pr</w:t>
      </w:r>
      <w:r w:rsidR="00D95E72" w:rsidRPr="00B247DF">
        <w:rPr>
          <w:rFonts w:ascii="Times New Roman" w:hAnsi="Times New Roman"/>
        </w:rPr>
        <w:t>erogative</w:t>
      </w:r>
      <w:r w:rsidR="00FB41E8">
        <w:rPr>
          <w:rFonts w:ascii="Times New Roman" w:hAnsi="Times New Roman"/>
        </w:rPr>
        <w:t> </w:t>
      </w:r>
      <w:r w:rsidR="00D930CF" w:rsidRPr="00B247DF">
        <w:rPr>
          <w:rFonts w:ascii="Times New Roman" w:hAnsi="Times New Roman"/>
        </w:rPr>
        <w:t>...</w:t>
      </w:r>
      <w:r w:rsidR="005F5524" w:rsidRPr="00B247DF">
        <w:rPr>
          <w:rFonts w:ascii="Times New Roman" w:hAnsi="Times New Roman"/>
        </w:rPr>
        <w:t xml:space="preserve"> </w:t>
      </w:r>
      <w:r w:rsidR="00BA2076" w:rsidRPr="00B247DF">
        <w:rPr>
          <w:rFonts w:ascii="Times New Roman" w:hAnsi="Times New Roman"/>
        </w:rPr>
        <w:t>which,</w:t>
      </w:r>
      <w:r w:rsidR="00646F6B" w:rsidRPr="00B247DF">
        <w:rPr>
          <w:rFonts w:ascii="Times New Roman" w:hAnsi="Times New Roman"/>
        </w:rPr>
        <w:t xml:space="preserve"> or of which the governing authority, wholly or partly comprises a person or persons appointed by the </w:t>
      </w:r>
      <w:r w:rsidR="005F5524" w:rsidRPr="00B247DF">
        <w:rPr>
          <w:rFonts w:ascii="Times New Roman" w:hAnsi="Times New Roman"/>
        </w:rPr>
        <w:t>G</w:t>
      </w:r>
      <w:r w:rsidR="00646F6B" w:rsidRPr="00B247DF">
        <w:rPr>
          <w:rFonts w:ascii="Times New Roman" w:hAnsi="Times New Roman"/>
        </w:rPr>
        <w:t xml:space="preserve">overnor, a </w:t>
      </w:r>
      <w:r w:rsidR="009F6CCE" w:rsidRPr="00B247DF">
        <w:rPr>
          <w:rFonts w:ascii="Times New Roman" w:hAnsi="Times New Roman"/>
        </w:rPr>
        <w:t>M</w:t>
      </w:r>
      <w:r w:rsidR="00646F6B" w:rsidRPr="00B247DF">
        <w:rPr>
          <w:rFonts w:ascii="Times New Roman" w:hAnsi="Times New Roman"/>
        </w:rPr>
        <w:t xml:space="preserve">inister or another </w:t>
      </w:r>
      <w:r w:rsidR="009F6CCE" w:rsidRPr="00B247DF">
        <w:rPr>
          <w:rFonts w:ascii="Times New Roman" w:hAnsi="Times New Roman"/>
        </w:rPr>
        <w:t>S</w:t>
      </w:r>
      <w:r w:rsidR="00646F6B" w:rsidRPr="00B247DF">
        <w:rPr>
          <w:rFonts w:ascii="Times New Roman" w:hAnsi="Times New Roman"/>
        </w:rPr>
        <w:t>tate authority</w:t>
      </w:r>
      <w:r w:rsidR="009F6CCE" w:rsidRPr="00B247DF">
        <w:rPr>
          <w:rFonts w:ascii="Times New Roman" w:hAnsi="Times New Roman"/>
        </w:rPr>
        <w:t>".</w:t>
      </w:r>
      <w:r w:rsidR="0069441A" w:rsidRPr="00B247DF">
        <w:rPr>
          <w:rStyle w:val="FootnoteReference"/>
          <w:rFonts w:ascii="Times New Roman" w:hAnsi="Times New Roman"/>
          <w:sz w:val="24"/>
        </w:rPr>
        <w:footnoteReference w:id="20"/>
      </w:r>
    </w:p>
    <w:p w14:paraId="57BDE737" w14:textId="3235D7DC" w:rsidR="00160D3E" w:rsidRPr="00B247DF" w:rsidRDefault="00160D3E" w:rsidP="00B247DF">
      <w:pPr>
        <w:pStyle w:val="FixListStyle"/>
        <w:spacing w:after="260" w:line="280" w:lineRule="exact"/>
        <w:ind w:right="0"/>
        <w:jc w:val="both"/>
        <w:rPr>
          <w:rFonts w:ascii="Times New Roman" w:hAnsi="Times New Roman"/>
        </w:rPr>
      </w:pPr>
      <w:r w:rsidRPr="00B247DF">
        <w:rPr>
          <w:rFonts w:ascii="Times New Roman" w:hAnsi="Times New Roman"/>
        </w:rPr>
        <w:tab/>
        <w:t>Section 15(</w:t>
      </w:r>
      <w:r w:rsidR="007336C8" w:rsidRPr="00B247DF">
        <w:rPr>
          <w:rFonts w:ascii="Times New Roman" w:hAnsi="Times New Roman"/>
        </w:rPr>
        <w:t>2</w:t>
      </w:r>
      <w:r w:rsidRPr="00B247DF">
        <w:rPr>
          <w:rFonts w:ascii="Times New Roman" w:hAnsi="Times New Roman"/>
        </w:rPr>
        <w:t>)</w:t>
      </w:r>
      <w:r w:rsidR="007336C8" w:rsidRPr="00B247DF">
        <w:rPr>
          <w:rFonts w:ascii="Times New Roman" w:hAnsi="Times New Roman"/>
        </w:rPr>
        <w:t xml:space="preserve"> </w:t>
      </w:r>
      <w:r w:rsidR="00C83137" w:rsidRPr="00B247DF">
        <w:rPr>
          <w:rFonts w:ascii="Times New Roman" w:hAnsi="Times New Roman"/>
        </w:rPr>
        <w:t xml:space="preserve">sets out considerations to which the </w:t>
      </w:r>
      <w:r w:rsidR="00E82930" w:rsidRPr="00B247DF">
        <w:rPr>
          <w:rFonts w:ascii="Times New Roman" w:hAnsi="Times New Roman"/>
        </w:rPr>
        <w:t>Committee</w:t>
      </w:r>
      <w:r w:rsidR="00697707" w:rsidRPr="00B247DF">
        <w:rPr>
          <w:rFonts w:ascii="Times New Roman" w:hAnsi="Times New Roman"/>
        </w:rPr>
        <w:t xml:space="preserve"> is to</w:t>
      </w:r>
      <w:r w:rsidR="00E82930" w:rsidRPr="00B247DF">
        <w:rPr>
          <w:rFonts w:ascii="Times New Roman" w:hAnsi="Times New Roman"/>
        </w:rPr>
        <w:t xml:space="preserve"> have regard in performing the function </w:t>
      </w:r>
      <w:r w:rsidR="00EA1AF3" w:rsidRPr="00B247DF">
        <w:rPr>
          <w:rFonts w:ascii="Times New Roman" w:hAnsi="Times New Roman"/>
        </w:rPr>
        <w:t xml:space="preserve">under s 15(1). </w:t>
      </w:r>
      <w:r w:rsidR="00ED3567" w:rsidRPr="00B247DF">
        <w:rPr>
          <w:rFonts w:ascii="Times New Roman" w:hAnsi="Times New Roman"/>
        </w:rPr>
        <w:t xml:space="preserve">They </w:t>
      </w:r>
      <w:r w:rsidR="004521C0" w:rsidRPr="00B247DF">
        <w:rPr>
          <w:rFonts w:ascii="Times New Roman" w:hAnsi="Times New Roman"/>
        </w:rPr>
        <w:t>include</w:t>
      </w:r>
      <w:r w:rsidR="00052483" w:rsidRPr="00B247DF">
        <w:rPr>
          <w:rFonts w:ascii="Times New Roman" w:hAnsi="Times New Roman"/>
        </w:rPr>
        <w:t xml:space="preserve"> </w:t>
      </w:r>
      <w:r w:rsidR="004521C0" w:rsidRPr="00B247DF">
        <w:rPr>
          <w:rFonts w:ascii="Times New Roman" w:hAnsi="Times New Roman"/>
        </w:rPr>
        <w:t>"</w:t>
      </w:r>
      <w:r w:rsidR="008E22A2" w:rsidRPr="00B247DF">
        <w:rPr>
          <w:rFonts w:ascii="Times New Roman" w:hAnsi="Times New Roman"/>
        </w:rPr>
        <w:t>the stated purpose</w:t>
      </w:r>
      <w:r w:rsidR="004521C0" w:rsidRPr="00B247DF">
        <w:rPr>
          <w:rFonts w:ascii="Times New Roman" w:hAnsi="Times New Roman"/>
        </w:rPr>
        <w:t>"</w:t>
      </w:r>
      <w:r w:rsidR="008E22A2" w:rsidRPr="00B247DF">
        <w:rPr>
          <w:rFonts w:ascii="Times New Roman" w:hAnsi="Times New Roman"/>
        </w:rPr>
        <w:t xml:space="preserve"> of the work, </w:t>
      </w:r>
      <w:r w:rsidR="004521C0" w:rsidRPr="00B247DF">
        <w:rPr>
          <w:rFonts w:ascii="Times New Roman" w:hAnsi="Times New Roman"/>
        </w:rPr>
        <w:t>"</w:t>
      </w:r>
      <w:r w:rsidR="008E22A2" w:rsidRPr="00B247DF">
        <w:rPr>
          <w:rFonts w:ascii="Times New Roman" w:hAnsi="Times New Roman"/>
        </w:rPr>
        <w:t>the necessity or advisability of carrying it out</w:t>
      </w:r>
      <w:r w:rsidR="00A94BE2" w:rsidRPr="00B247DF">
        <w:rPr>
          <w:rFonts w:ascii="Times New Roman" w:hAnsi="Times New Roman"/>
        </w:rPr>
        <w:t>",</w:t>
      </w:r>
      <w:r w:rsidR="008E22A2" w:rsidRPr="00B247DF">
        <w:rPr>
          <w:rFonts w:ascii="Times New Roman" w:hAnsi="Times New Roman"/>
        </w:rPr>
        <w:t xml:space="preserve"> and </w:t>
      </w:r>
      <w:r w:rsidR="00A94BE2" w:rsidRPr="00B247DF">
        <w:rPr>
          <w:rFonts w:ascii="Times New Roman" w:hAnsi="Times New Roman"/>
        </w:rPr>
        <w:t>"</w:t>
      </w:r>
      <w:r w:rsidR="008E22A2" w:rsidRPr="00B247DF">
        <w:rPr>
          <w:rFonts w:ascii="Times New Roman" w:hAnsi="Times New Roman"/>
        </w:rPr>
        <w:t>the present and prospective public value of the work</w:t>
      </w:r>
      <w:r w:rsidR="00A94BE2" w:rsidRPr="00B247DF">
        <w:rPr>
          <w:rFonts w:ascii="Times New Roman" w:hAnsi="Times New Roman"/>
        </w:rPr>
        <w:t xml:space="preserve">". </w:t>
      </w:r>
      <w:r w:rsidR="00EA1AF3" w:rsidRPr="00B247DF">
        <w:rPr>
          <w:rFonts w:ascii="Times New Roman" w:hAnsi="Times New Roman"/>
        </w:rPr>
        <w:t xml:space="preserve">Section 15(2) </w:t>
      </w:r>
      <w:r w:rsidR="00193C98" w:rsidRPr="00B247DF">
        <w:rPr>
          <w:rFonts w:ascii="Times New Roman" w:hAnsi="Times New Roman"/>
        </w:rPr>
        <w:t>further</w:t>
      </w:r>
      <w:r w:rsidR="00D2686A" w:rsidRPr="00B247DF">
        <w:rPr>
          <w:rFonts w:ascii="Times New Roman" w:hAnsi="Times New Roman"/>
        </w:rPr>
        <w:t xml:space="preserve"> </w:t>
      </w:r>
      <w:r w:rsidR="00697707" w:rsidRPr="00B247DF">
        <w:rPr>
          <w:rFonts w:ascii="Times New Roman" w:hAnsi="Times New Roman"/>
        </w:rPr>
        <w:t>require</w:t>
      </w:r>
      <w:r w:rsidR="00065536" w:rsidRPr="00B247DF">
        <w:rPr>
          <w:rFonts w:ascii="Times New Roman" w:hAnsi="Times New Roman"/>
        </w:rPr>
        <w:t>s</w:t>
      </w:r>
      <w:r w:rsidR="00D2686A" w:rsidRPr="00B247DF">
        <w:rPr>
          <w:rFonts w:ascii="Times New Roman" w:hAnsi="Times New Roman"/>
        </w:rPr>
        <w:t xml:space="preserve"> the C</w:t>
      </w:r>
      <w:r w:rsidR="008E22A2" w:rsidRPr="00B247DF">
        <w:rPr>
          <w:rFonts w:ascii="Times New Roman" w:hAnsi="Times New Roman"/>
        </w:rPr>
        <w:t>ommittee</w:t>
      </w:r>
      <w:r w:rsidR="00193C98" w:rsidRPr="00B247DF">
        <w:rPr>
          <w:rFonts w:ascii="Times New Roman" w:hAnsi="Times New Roman"/>
        </w:rPr>
        <w:t xml:space="preserve"> to "</w:t>
      </w:r>
      <w:r w:rsidR="008E22A2" w:rsidRPr="00B247DF">
        <w:rPr>
          <w:rFonts w:ascii="Times New Roman" w:hAnsi="Times New Roman"/>
        </w:rPr>
        <w:t xml:space="preserve">take such measures and procure such information as may enable them to inform or satisfy </w:t>
      </w:r>
      <w:r w:rsidR="00E73A48" w:rsidRPr="00B247DF">
        <w:rPr>
          <w:rFonts w:ascii="Times New Roman" w:hAnsi="Times New Roman"/>
        </w:rPr>
        <w:t>P</w:t>
      </w:r>
      <w:r w:rsidR="008E22A2" w:rsidRPr="00B247DF">
        <w:rPr>
          <w:rFonts w:ascii="Times New Roman" w:hAnsi="Times New Roman"/>
        </w:rPr>
        <w:t xml:space="preserve">arliament as to the expedience </w:t>
      </w:r>
      <w:r w:rsidR="00D2686A" w:rsidRPr="00B247DF">
        <w:rPr>
          <w:rFonts w:ascii="Times New Roman" w:hAnsi="Times New Roman"/>
        </w:rPr>
        <w:t>o</w:t>
      </w:r>
      <w:r w:rsidR="008E22A2" w:rsidRPr="00B247DF">
        <w:rPr>
          <w:rFonts w:ascii="Times New Roman" w:hAnsi="Times New Roman"/>
        </w:rPr>
        <w:t>f carrying out the work</w:t>
      </w:r>
      <w:r w:rsidR="00D2686A" w:rsidRPr="00B247DF">
        <w:rPr>
          <w:rFonts w:ascii="Times New Roman" w:hAnsi="Times New Roman"/>
        </w:rPr>
        <w:t>"</w:t>
      </w:r>
      <w:r w:rsidR="008E22A2" w:rsidRPr="00B247DF">
        <w:rPr>
          <w:rFonts w:ascii="Times New Roman" w:hAnsi="Times New Roman"/>
        </w:rPr>
        <w:t>.</w:t>
      </w:r>
      <w:r w:rsidR="0054232D" w:rsidRPr="00B247DF">
        <w:rPr>
          <w:rFonts w:ascii="Times New Roman" w:hAnsi="Times New Roman"/>
        </w:rPr>
        <w:t xml:space="preserve"> Section 15(1) and (2) make clear that the Committee is limited in its function and focus. It is to </w:t>
      </w:r>
      <w:r w:rsidR="00983C9F" w:rsidRPr="00B247DF">
        <w:rPr>
          <w:rFonts w:ascii="Times New Roman" w:hAnsi="Times New Roman"/>
        </w:rPr>
        <w:t>"</w:t>
      </w:r>
      <w:r w:rsidR="0054232D" w:rsidRPr="00B247DF">
        <w:rPr>
          <w:rFonts w:ascii="Times New Roman" w:hAnsi="Times New Roman"/>
        </w:rPr>
        <w:t>consider and report</w:t>
      </w:r>
      <w:r w:rsidR="00983C9F" w:rsidRPr="00B247DF">
        <w:rPr>
          <w:rFonts w:ascii="Times New Roman" w:hAnsi="Times New Roman"/>
        </w:rPr>
        <w:t>"</w:t>
      </w:r>
      <w:r w:rsidR="0054232D" w:rsidRPr="00B247DF">
        <w:rPr>
          <w:rFonts w:ascii="Times New Roman" w:hAnsi="Times New Roman"/>
        </w:rPr>
        <w:t xml:space="preserve"> upon the relevant works. It is not </w:t>
      </w:r>
      <w:r w:rsidR="000155E7" w:rsidRPr="00B247DF">
        <w:rPr>
          <w:rFonts w:ascii="Times New Roman" w:hAnsi="Times New Roman"/>
        </w:rPr>
        <w:t xml:space="preserve">necessarily </w:t>
      </w:r>
      <w:r w:rsidR="0054232D" w:rsidRPr="00B247DF">
        <w:rPr>
          <w:rFonts w:ascii="Times New Roman" w:hAnsi="Times New Roman"/>
        </w:rPr>
        <w:t xml:space="preserve">required, for example, to furnish any recommendations or provide any advisory opinions. Further, it is to inform or satisfy the Parliament </w:t>
      </w:r>
      <w:r w:rsidR="00983C9F" w:rsidRPr="00B247DF">
        <w:rPr>
          <w:rFonts w:ascii="Times New Roman" w:hAnsi="Times New Roman"/>
        </w:rPr>
        <w:t>"</w:t>
      </w:r>
      <w:r w:rsidR="0054232D" w:rsidRPr="00B247DF">
        <w:rPr>
          <w:rFonts w:ascii="Times New Roman" w:hAnsi="Times New Roman"/>
        </w:rPr>
        <w:t>as to the expedience</w:t>
      </w:r>
      <w:r w:rsidR="00983C9F" w:rsidRPr="00B247DF">
        <w:rPr>
          <w:rFonts w:ascii="Times New Roman" w:hAnsi="Times New Roman"/>
        </w:rPr>
        <w:t>"</w:t>
      </w:r>
      <w:r w:rsidR="0054232D" w:rsidRPr="00B247DF">
        <w:rPr>
          <w:rFonts w:ascii="Times New Roman" w:hAnsi="Times New Roman"/>
        </w:rPr>
        <w:t xml:space="preserve"> of carrying out the work only; not anything more general.</w:t>
      </w:r>
    </w:p>
    <w:p w14:paraId="56E3996A" w14:textId="33D86338" w:rsidR="00904F92" w:rsidRPr="00B247DF" w:rsidRDefault="00904F92"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A06D37" w:rsidRPr="00B247DF">
        <w:rPr>
          <w:rFonts w:ascii="Times New Roman" w:hAnsi="Times New Roman"/>
        </w:rPr>
        <w:t xml:space="preserve">Section 16 </w:t>
      </w:r>
      <w:r w:rsidR="007336C8" w:rsidRPr="00B247DF">
        <w:rPr>
          <w:rFonts w:ascii="Times New Roman" w:hAnsi="Times New Roman"/>
        </w:rPr>
        <w:t>of the Act</w:t>
      </w:r>
      <w:r w:rsidR="0041215C" w:rsidRPr="00B247DF">
        <w:rPr>
          <w:rFonts w:ascii="Times New Roman" w:hAnsi="Times New Roman"/>
        </w:rPr>
        <w:t xml:space="preserve"> </w:t>
      </w:r>
      <w:r w:rsidR="005F4273" w:rsidRPr="00B247DF">
        <w:rPr>
          <w:rFonts w:ascii="Times New Roman" w:hAnsi="Times New Roman"/>
        </w:rPr>
        <w:t xml:space="preserve">is </w:t>
      </w:r>
      <w:r w:rsidR="00E460BA" w:rsidRPr="00B247DF">
        <w:rPr>
          <w:rFonts w:ascii="Times New Roman" w:hAnsi="Times New Roman"/>
        </w:rPr>
        <w:t>headed "Conditions precedent to commencing public works"</w:t>
      </w:r>
      <w:r w:rsidR="005F4273" w:rsidRPr="00B247DF">
        <w:rPr>
          <w:rFonts w:ascii="Times New Roman" w:hAnsi="Times New Roman"/>
        </w:rPr>
        <w:t xml:space="preserve">. It </w:t>
      </w:r>
      <w:r w:rsidR="0041215C" w:rsidRPr="00B247DF">
        <w:rPr>
          <w:rFonts w:ascii="Times New Roman" w:hAnsi="Times New Roman"/>
        </w:rPr>
        <w:t>provides</w:t>
      </w:r>
      <w:r w:rsidR="00755BB1" w:rsidRPr="00B247DF">
        <w:rPr>
          <w:rFonts w:ascii="Times New Roman" w:hAnsi="Times New Roman"/>
        </w:rPr>
        <w:t xml:space="preserve"> in full</w:t>
      </w:r>
      <w:r w:rsidR="00E73A48" w:rsidRPr="00B247DF">
        <w:rPr>
          <w:rFonts w:ascii="Times New Roman" w:hAnsi="Times New Roman"/>
        </w:rPr>
        <w:t>:</w:t>
      </w:r>
    </w:p>
    <w:p w14:paraId="31BB9F57" w14:textId="5D634300" w:rsidR="00B42B6E" w:rsidRPr="00B247DF" w:rsidRDefault="008621CB" w:rsidP="00B247DF">
      <w:pPr>
        <w:pStyle w:val="leftright"/>
        <w:spacing w:before="0" w:after="260" w:line="280" w:lineRule="exact"/>
        <w:ind w:left="1440" w:right="0" w:hanging="720"/>
        <w:jc w:val="both"/>
        <w:rPr>
          <w:rFonts w:ascii="Times New Roman" w:hAnsi="Times New Roman"/>
        </w:rPr>
      </w:pPr>
      <w:r w:rsidRPr="00B247DF">
        <w:rPr>
          <w:rFonts w:ascii="Times New Roman" w:hAnsi="Times New Roman"/>
        </w:rPr>
        <w:t>"</w:t>
      </w:r>
      <w:r w:rsidR="00C30D91" w:rsidRPr="00B247DF">
        <w:rPr>
          <w:rFonts w:ascii="Times New Roman" w:hAnsi="Times New Roman"/>
        </w:rPr>
        <w:t>(1)</w:t>
      </w:r>
      <w:r w:rsidR="00786447" w:rsidRPr="00B247DF">
        <w:rPr>
          <w:rFonts w:ascii="Times New Roman" w:hAnsi="Times New Roman"/>
        </w:rPr>
        <w:tab/>
      </w:r>
      <w:r w:rsidR="003A1507" w:rsidRPr="00B247DF">
        <w:rPr>
          <w:rFonts w:ascii="Times New Roman" w:hAnsi="Times New Roman"/>
        </w:rPr>
        <w:t>No public work to which section fifteen applies</w:t>
      </w:r>
      <w:r w:rsidR="00640563" w:rsidRPr="00B247DF">
        <w:rPr>
          <w:rFonts w:ascii="Times New Roman" w:hAnsi="Times New Roman"/>
        </w:rPr>
        <w:t xml:space="preserve"> </w:t>
      </w:r>
      <w:r w:rsidR="003A1507" w:rsidRPr="00B247DF">
        <w:rPr>
          <w:rFonts w:ascii="Times New Roman" w:hAnsi="Times New Roman"/>
        </w:rPr>
        <w:t>(except such works as have already been</w:t>
      </w:r>
      <w:r w:rsidR="00640563" w:rsidRPr="00B247DF">
        <w:rPr>
          <w:rFonts w:ascii="Times New Roman" w:hAnsi="Times New Roman"/>
        </w:rPr>
        <w:t xml:space="preserve"> </w:t>
      </w:r>
      <w:r w:rsidR="003A1507" w:rsidRPr="00B247DF">
        <w:rPr>
          <w:rFonts w:ascii="Times New Roman" w:hAnsi="Times New Roman"/>
        </w:rPr>
        <w:t>authorized by Parliament or hereafter may be</w:t>
      </w:r>
      <w:r w:rsidR="00640563" w:rsidRPr="00B247DF">
        <w:rPr>
          <w:rFonts w:ascii="Times New Roman" w:hAnsi="Times New Roman"/>
        </w:rPr>
        <w:t xml:space="preserve"> </w:t>
      </w:r>
      <w:r w:rsidR="003A1507" w:rsidRPr="00B247DF">
        <w:rPr>
          <w:rFonts w:ascii="Times New Roman" w:hAnsi="Times New Roman"/>
        </w:rPr>
        <w:t>withdrawn from the operation of this Act by a</w:t>
      </w:r>
      <w:r w:rsidR="00640563" w:rsidRPr="00B247DF">
        <w:rPr>
          <w:rFonts w:ascii="Times New Roman" w:hAnsi="Times New Roman"/>
        </w:rPr>
        <w:t xml:space="preserve"> </w:t>
      </w:r>
      <w:r w:rsidR="003A1507" w:rsidRPr="00B247DF">
        <w:rPr>
          <w:rFonts w:ascii="Times New Roman" w:hAnsi="Times New Roman"/>
        </w:rPr>
        <w:t>resolution withdrawing same adopted by each</w:t>
      </w:r>
      <w:r w:rsidR="00640563" w:rsidRPr="00B247DF">
        <w:rPr>
          <w:rFonts w:ascii="Times New Roman" w:hAnsi="Times New Roman"/>
        </w:rPr>
        <w:t xml:space="preserve"> </w:t>
      </w:r>
      <w:r w:rsidR="003A1507" w:rsidRPr="00B247DF">
        <w:rPr>
          <w:rFonts w:ascii="Times New Roman" w:hAnsi="Times New Roman"/>
        </w:rPr>
        <w:t>House of Parliament), the estimated cost of</w:t>
      </w:r>
      <w:r w:rsidR="00640563" w:rsidRPr="00B247DF">
        <w:rPr>
          <w:rFonts w:ascii="Times New Roman" w:hAnsi="Times New Roman"/>
        </w:rPr>
        <w:t xml:space="preserve"> </w:t>
      </w:r>
      <w:r w:rsidR="003A1507" w:rsidRPr="00B247DF">
        <w:rPr>
          <w:rFonts w:ascii="Times New Roman" w:hAnsi="Times New Roman"/>
        </w:rPr>
        <w:t>completing which exceeds the relevant monetary</w:t>
      </w:r>
      <w:r w:rsidR="00640563" w:rsidRPr="00B247DF">
        <w:rPr>
          <w:rFonts w:ascii="Times New Roman" w:hAnsi="Times New Roman"/>
        </w:rPr>
        <w:t xml:space="preserve"> </w:t>
      </w:r>
      <w:r w:rsidR="003A1507" w:rsidRPr="00B247DF">
        <w:rPr>
          <w:rFonts w:ascii="Times New Roman" w:hAnsi="Times New Roman"/>
        </w:rPr>
        <w:t>threshold in relation to such work, and whether</w:t>
      </w:r>
      <w:r w:rsidR="00640563" w:rsidRPr="00B247DF">
        <w:rPr>
          <w:rFonts w:ascii="Times New Roman" w:hAnsi="Times New Roman"/>
        </w:rPr>
        <w:t xml:space="preserve"> </w:t>
      </w:r>
      <w:r w:rsidR="003A1507" w:rsidRPr="00B247DF">
        <w:rPr>
          <w:rFonts w:ascii="Times New Roman" w:hAnsi="Times New Roman"/>
        </w:rPr>
        <w:t>such work is a continuation, completion, repair,</w:t>
      </w:r>
      <w:r w:rsidR="00640563" w:rsidRPr="00B247DF">
        <w:rPr>
          <w:rFonts w:ascii="Times New Roman" w:hAnsi="Times New Roman"/>
        </w:rPr>
        <w:t xml:space="preserve"> </w:t>
      </w:r>
      <w:r w:rsidR="003A1507" w:rsidRPr="00B247DF">
        <w:rPr>
          <w:rFonts w:ascii="Times New Roman" w:hAnsi="Times New Roman"/>
        </w:rPr>
        <w:t xml:space="preserve">reconstruction, extension, or new </w:t>
      </w:r>
      <w:r w:rsidR="003A1507" w:rsidRPr="00B247DF">
        <w:rPr>
          <w:rFonts w:ascii="Times New Roman" w:hAnsi="Times New Roman"/>
        </w:rPr>
        <w:lastRenderedPageBreak/>
        <w:t>work, shall be</w:t>
      </w:r>
      <w:r w:rsidR="00640563" w:rsidRPr="00B247DF">
        <w:rPr>
          <w:rFonts w:ascii="Times New Roman" w:hAnsi="Times New Roman"/>
        </w:rPr>
        <w:t xml:space="preserve"> </w:t>
      </w:r>
      <w:r w:rsidR="003A1507" w:rsidRPr="00B247DF">
        <w:rPr>
          <w:rFonts w:ascii="Times New Roman" w:hAnsi="Times New Roman"/>
        </w:rPr>
        <w:t>commenced unless it has first been referred to</w:t>
      </w:r>
      <w:r w:rsidR="00904DD6" w:rsidRPr="00B247DF">
        <w:rPr>
          <w:rFonts w:ascii="Times New Roman" w:hAnsi="Times New Roman"/>
        </w:rPr>
        <w:t xml:space="preserve"> and reported upon by the Committee in accordance with this section.</w:t>
      </w:r>
    </w:p>
    <w:p w14:paraId="516703E3" w14:textId="33460868" w:rsidR="00904DD6" w:rsidRPr="00B247DF" w:rsidRDefault="0025020B" w:rsidP="00B247DF">
      <w:pPr>
        <w:pStyle w:val="leftright"/>
        <w:spacing w:before="0" w:after="260" w:line="280" w:lineRule="exact"/>
        <w:ind w:left="1440" w:right="0" w:hanging="720"/>
        <w:jc w:val="both"/>
        <w:rPr>
          <w:rFonts w:ascii="Times New Roman" w:hAnsi="Times New Roman"/>
        </w:rPr>
      </w:pPr>
      <w:r w:rsidRPr="00B247DF">
        <w:rPr>
          <w:rFonts w:ascii="Times New Roman" w:hAnsi="Times New Roman"/>
        </w:rPr>
        <w:t>(2)</w:t>
      </w:r>
      <w:r w:rsidRPr="00B247DF">
        <w:rPr>
          <w:rFonts w:ascii="Times New Roman" w:hAnsi="Times New Roman"/>
        </w:rPr>
        <w:tab/>
      </w:r>
      <w:r w:rsidR="00E93CE5" w:rsidRPr="00B247DF">
        <w:rPr>
          <w:rFonts w:ascii="Times New Roman" w:hAnsi="Times New Roman"/>
        </w:rPr>
        <w:t>The Governor shall by writing under his hand addressed to the Committee refer every proposed public work that exceeds the relevant monetary threshold in relation to such work to the Committee for their report thereon.</w:t>
      </w:r>
    </w:p>
    <w:p w14:paraId="4F569066" w14:textId="324C352A" w:rsidR="00E93CE5" w:rsidRPr="00B247DF" w:rsidRDefault="00E93CE5" w:rsidP="00B247DF">
      <w:pPr>
        <w:pStyle w:val="leftright"/>
        <w:spacing w:before="0" w:after="260" w:line="280" w:lineRule="exact"/>
        <w:ind w:left="1440" w:right="0" w:hanging="720"/>
        <w:jc w:val="both"/>
        <w:rPr>
          <w:rFonts w:ascii="Times New Roman" w:hAnsi="Times New Roman"/>
        </w:rPr>
      </w:pPr>
      <w:r w:rsidRPr="00B247DF">
        <w:rPr>
          <w:rFonts w:ascii="Times New Roman" w:hAnsi="Times New Roman"/>
        </w:rPr>
        <w:t>(3)</w:t>
      </w:r>
      <w:r w:rsidRPr="00B247DF">
        <w:rPr>
          <w:rFonts w:ascii="Times New Roman" w:hAnsi="Times New Roman"/>
        </w:rPr>
        <w:tab/>
      </w:r>
      <w:r w:rsidR="00AD76FB" w:rsidRPr="00B247DF">
        <w:rPr>
          <w:rFonts w:ascii="Times New Roman" w:hAnsi="Times New Roman"/>
        </w:rPr>
        <w:t xml:space="preserve">With every such reference to the Committee there shall be furnished to the Committee an estimate of the cost of such work when completed, together with such plans and specifications or other descriptions as the Minister administering the </w:t>
      </w:r>
      <w:r w:rsidR="00AD76FB" w:rsidRPr="00B247DF">
        <w:rPr>
          <w:rFonts w:ascii="Times New Roman" w:hAnsi="Times New Roman"/>
          <w:i/>
          <w:iCs/>
        </w:rPr>
        <w:t>Public Works</w:t>
      </w:r>
      <w:r w:rsidR="00C47E6F" w:rsidRPr="00B247DF">
        <w:rPr>
          <w:rFonts w:ascii="Times New Roman" w:hAnsi="Times New Roman"/>
          <w:i/>
          <w:iCs/>
        </w:rPr>
        <w:t xml:space="preserve"> </w:t>
      </w:r>
      <w:r w:rsidR="00AD76FB" w:rsidRPr="00B247DF">
        <w:rPr>
          <w:rFonts w:ascii="Times New Roman" w:hAnsi="Times New Roman"/>
          <w:i/>
          <w:iCs/>
        </w:rPr>
        <w:t xml:space="preserve">Construction Act 1880 </w:t>
      </w:r>
      <w:r w:rsidR="00AD76FB" w:rsidRPr="00B247DF">
        <w:rPr>
          <w:rFonts w:ascii="Times New Roman" w:hAnsi="Times New Roman"/>
        </w:rPr>
        <w:t>for the time being deems</w:t>
      </w:r>
      <w:r w:rsidR="00082A4F" w:rsidRPr="00B247DF">
        <w:rPr>
          <w:rFonts w:ascii="Times New Roman" w:hAnsi="Times New Roman"/>
        </w:rPr>
        <w:t xml:space="preserve"> </w:t>
      </w:r>
      <w:r w:rsidR="00AD76FB" w:rsidRPr="00B247DF">
        <w:rPr>
          <w:rFonts w:ascii="Times New Roman" w:hAnsi="Times New Roman"/>
        </w:rPr>
        <w:t>proper, together with the prescribed reports on</w:t>
      </w:r>
      <w:r w:rsidR="00082A4F" w:rsidRPr="00B247DF">
        <w:rPr>
          <w:rFonts w:ascii="Times New Roman" w:hAnsi="Times New Roman"/>
        </w:rPr>
        <w:t xml:space="preserve"> </w:t>
      </w:r>
      <w:r w:rsidR="00AD76FB" w:rsidRPr="00B247DF">
        <w:rPr>
          <w:rFonts w:ascii="Times New Roman" w:hAnsi="Times New Roman"/>
        </w:rPr>
        <w:t>the probable cost of construction and</w:t>
      </w:r>
      <w:r w:rsidR="00082A4F" w:rsidRPr="00B247DF">
        <w:rPr>
          <w:rFonts w:ascii="Times New Roman" w:hAnsi="Times New Roman"/>
        </w:rPr>
        <w:t xml:space="preserve"> </w:t>
      </w:r>
      <w:r w:rsidR="00AD76FB" w:rsidRPr="00B247DF">
        <w:rPr>
          <w:rFonts w:ascii="Times New Roman" w:hAnsi="Times New Roman"/>
        </w:rPr>
        <w:t>maintenance, and an estimate of the probable</w:t>
      </w:r>
      <w:r w:rsidR="00082A4F" w:rsidRPr="00B247DF">
        <w:rPr>
          <w:rFonts w:ascii="Times New Roman" w:hAnsi="Times New Roman"/>
        </w:rPr>
        <w:t xml:space="preserve"> </w:t>
      </w:r>
      <w:r w:rsidR="00AD76FB" w:rsidRPr="00B247DF">
        <w:rPr>
          <w:rFonts w:ascii="Times New Roman" w:hAnsi="Times New Roman"/>
        </w:rPr>
        <w:t>revenue, if any, to be derived therefrom. Such</w:t>
      </w:r>
      <w:r w:rsidR="00082A4F" w:rsidRPr="00B247DF">
        <w:rPr>
          <w:rFonts w:ascii="Times New Roman" w:hAnsi="Times New Roman"/>
        </w:rPr>
        <w:t xml:space="preserve"> </w:t>
      </w:r>
      <w:r w:rsidR="00AD76FB" w:rsidRPr="00B247DF">
        <w:rPr>
          <w:rFonts w:ascii="Times New Roman" w:hAnsi="Times New Roman"/>
        </w:rPr>
        <w:t>estimates, plans, specifications, descriptions, and</w:t>
      </w:r>
      <w:r w:rsidR="00082A4F" w:rsidRPr="00B247DF">
        <w:rPr>
          <w:rFonts w:ascii="Times New Roman" w:hAnsi="Times New Roman"/>
        </w:rPr>
        <w:t xml:space="preserve"> </w:t>
      </w:r>
      <w:r w:rsidR="00AD76FB" w:rsidRPr="00B247DF">
        <w:rPr>
          <w:rFonts w:ascii="Times New Roman" w:hAnsi="Times New Roman"/>
        </w:rPr>
        <w:t>reports to be authenticated or verified in the</w:t>
      </w:r>
      <w:r w:rsidR="00082A4F" w:rsidRPr="00B247DF">
        <w:rPr>
          <w:rFonts w:ascii="Times New Roman" w:hAnsi="Times New Roman"/>
        </w:rPr>
        <w:t xml:space="preserve"> </w:t>
      </w:r>
      <w:r w:rsidR="00AD76FB" w:rsidRPr="00B247DF">
        <w:rPr>
          <w:rFonts w:ascii="Times New Roman" w:hAnsi="Times New Roman"/>
        </w:rPr>
        <w:t>prescribed manner.</w:t>
      </w:r>
    </w:p>
    <w:p w14:paraId="72C2CF93" w14:textId="36B0E53C" w:rsidR="00082A4F" w:rsidRPr="00B247DF" w:rsidRDefault="00082A4F" w:rsidP="00B247DF">
      <w:pPr>
        <w:pStyle w:val="leftright"/>
        <w:spacing w:before="0" w:after="260" w:line="280" w:lineRule="exact"/>
        <w:ind w:left="1440" w:right="0" w:hanging="720"/>
        <w:jc w:val="both"/>
        <w:rPr>
          <w:rFonts w:ascii="Times New Roman" w:hAnsi="Times New Roman"/>
        </w:rPr>
      </w:pPr>
      <w:r w:rsidRPr="00B247DF">
        <w:rPr>
          <w:rFonts w:ascii="Times New Roman" w:hAnsi="Times New Roman"/>
        </w:rPr>
        <w:t>(4)</w:t>
      </w:r>
      <w:r w:rsidRPr="00B247DF">
        <w:rPr>
          <w:rFonts w:ascii="Times New Roman" w:hAnsi="Times New Roman"/>
        </w:rPr>
        <w:tab/>
      </w:r>
      <w:r w:rsidR="00AB3E28" w:rsidRPr="00B247DF">
        <w:rPr>
          <w:rFonts w:ascii="Times New Roman" w:hAnsi="Times New Roman"/>
        </w:rPr>
        <w:t>The Committee shall, with all convenient dispatch, deal with the matter and shall as soon as conveniently practicable, regard being had to the nature and importance of the proposed work, report to the House of Assembly, if the House of Assembly is then in session, and, if not, to the Governor, the result of their inquiries.</w:t>
      </w:r>
    </w:p>
    <w:p w14:paraId="7E3ABB51" w14:textId="77777777" w:rsidR="00B247DF" w:rsidRDefault="00AB3E28" w:rsidP="00B247DF">
      <w:pPr>
        <w:pStyle w:val="leftright"/>
        <w:spacing w:before="0" w:after="260" w:line="280" w:lineRule="exact"/>
        <w:ind w:left="1440" w:right="0" w:hanging="720"/>
        <w:jc w:val="both"/>
        <w:rPr>
          <w:rFonts w:ascii="Times New Roman" w:hAnsi="Times New Roman"/>
        </w:rPr>
      </w:pPr>
      <w:r w:rsidRPr="00B247DF">
        <w:rPr>
          <w:rFonts w:ascii="Times New Roman" w:hAnsi="Times New Roman"/>
        </w:rPr>
        <w:t>(5)</w:t>
      </w:r>
      <w:r w:rsidRPr="00B247DF">
        <w:rPr>
          <w:rFonts w:ascii="Times New Roman" w:hAnsi="Times New Roman"/>
        </w:rPr>
        <w:tab/>
      </w:r>
      <w:r w:rsidR="00F13501" w:rsidRPr="00B247DF">
        <w:rPr>
          <w:rFonts w:ascii="Times New Roman" w:hAnsi="Times New Roman"/>
        </w:rPr>
        <w:t>If in a report under subsection (4) of this section, the Committee does not recommend the carrying out of the work to which the report relates, that</w:t>
      </w:r>
      <w:r w:rsidR="0025564A" w:rsidRPr="00B247DF">
        <w:rPr>
          <w:rFonts w:ascii="Times New Roman" w:hAnsi="Times New Roman"/>
        </w:rPr>
        <w:t xml:space="preserve"> work shall not be commenced unless and until it has been authorized by an Act.</w:t>
      </w:r>
      <w:r w:rsidR="00C271CB" w:rsidRPr="00B247DF">
        <w:rPr>
          <w:rFonts w:ascii="Times New Roman" w:hAnsi="Times New Roman"/>
        </w:rPr>
        <w:t>"</w:t>
      </w:r>
    </w:p>
    <w:p w14:paraId="03395F41" w14:textId="6CDB1AAE" w:rsidR="002B1F0D" w:rsidRPr="00B247DF" w:rsidRDefault="00755BB1"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0F6089" w:rsidRPr="00B247DF">
        <w:rPr>
          <w:rFonts w:ascii="Times New Roman" w:hAnsi="Times New Roman"/>
        </w:rPr>
        <w:t>Though sub</w:t>
      </w:r>
      <w:r w:rsidR="002C1EEA" w:rsidRPr="00B247DF">
        <w:rPr>
          <w:rFonts w:ascii="Times New Roman" w:hAnsi="Times New Roman"/>
        </w:rPr>
        <w:t>-</w:t>
      </w:r>
      <w:r w:rsidR="006834E1">
        <w:rPr>
          <w:rFonts w:ascii="Times New Roman" w:hAnsi="Times New Roman"/>
        </w:rPr>
        <w:t>s</w:t>
      </w:r>
      <w:r w:rsidR="000F6089" w:rsidRPr="00B247DF">
        <w:rPr>
          <w:rFonts w:ascii="Times New Roman" w:hAnsi="Times New Roman"/>
        </w:rPr>
        <w:t>s (2), (3) and (4) of s 16</w:t>
      </w:r>
      <w:r w:rsidR="00513017" w:rsidRPr="00B247DF">
        <w:rPr>
          <w:rFonts w:ascii="Times New Roman" w:hAnsi="Times New Roman"/>
        </w:rPr>
        <w:t xml:space="preserve"> are substantially </w:t>
      </w:r>
      <w:r w:rsidR="008B2710" w:rsidRPr="00B247DF">
        <w:rPr>
          <w:rFonts w:ascii="Times New Roman" w:hAnsi="Times New Roman"/>
        </w:rPr>
        <w:t>unchanged from</w:t>
      </w:r>
      <w:r w:rsidR="00534663" w:rsidRPr="00B247DF">
        <w:rPr>
          <w:rFonts w:ascii="Times New Roman" w:hAnsi="Times New Roman"/>
        </w:rPr>
        <w:t xml:space="preserve"> sub</w:t>
      </w:r>
      <w:r w:rsidR="006834E1">
        <w:rPr>
          <w:rFonts w:ascii="Times New Roman" w:hAnsi="Times New Roman"/>
        </w:rPr>
        <w:noBreakHyphen/>
        <w:t>s</w:t>
      </w:r>
      <w:r w:rsidR="00534663" w:rsidRPr="00B247DF">
        <w:rPr>
          <w:rFonts w:ascii="Times New Roman" w:hAnsi="Times New Roman"/>
        </w:rPr>
        <w:t>s (2), (3) and (4) as originally enacted</w:t>
      </w:r>
      <w:r w:rsidR="00C619D3" w:rsidRPr="00B247DF">
        <w:rPr>
          <w:rFonts w:ascii="Times New Roman" w:hAnsi="Times New Roman"/>
        </w:rPr>
        <w:t xml:space="preserve"> in 191</w:t>
      </w:r>
      <w:r w:rsidR="00F76A6F">
        <w:rPr>
          <w:rFonts w:ascii="Times New Roman" w:hAnsi="Times New Roman"/>
        </w:rPr>
        <w:t>5</w:t>
      </w:r>
      <w:r w:rsidR="00534663" w:rsidRPr="00B247DF">
        <w:rPr>
          <w:rFonts w:ascii="Times New Roman" w:hAnsi="Times New Roman"/>
        </w:rPr>
        <w:t xml:space="preserve">, </w:t>
      </w:r>
      <w:r w:rsidR="00F166CC" w:rsidRPr="00B247DF">
        <w:rPr>
          <w:rFonts w:ascii="Times New Roman" w:hAnsi="Times New Roman"/>
        </w:rPr>
        <w:t>sub</w:t>
      </w:r>
      <w:r w:rsidR="002C1EEA" w:rsidRPr="00B247DF">
        <w:rPr>
          <w:rFonts w:ascii="Times New Roman" w:hAnsi="Times New Roman"/>
        </w:rPr>
        <w:t>-</w:t>
      </w:r>
      <w:r w:rsidR="006834E1">
        <w:rPr>
          <w:rFonts w:ascii="Times New Roman" w:hAnsi="Times New Roman"/>
        </w:rPr>
        <w:t>s</w:t>
      </w:r>
      <w:r w:rsidR="00F166CC" w:rsidRPr="00B247DF">
        <w:rPr>
          <w:rFonts w:ascii="Times New Roman" w:hAnsi="Times New Roman"/>
        </w:rPr>
        <w:t>s (1) and (5)</w:t>
      </w:r>
      <w:r w:rsidR="006D1453" w:rsidRPr="00B247DF">
        <w:rPr>
          <w:rFonts w:ascii="Times New Roman" w:hAnsi="Times New Roman"/>
        </w:rPr>
        <w:t xml:space="preserve"> differ in material re</w:t>
      </w:r>
      <w:r w:rsidR="003F1CA5" w:rsidRPr="00B247DF">
        <w:rPr>
          <w:rFonts w:ascii="Times New Roman" w:hAnsi="Times New Roman"/>
        </w:rPr>
        <w:t>spects from sub</w:t>
      </w:r>
      <w:r w:rsidR="00DC7F7E" w:rsidRPr="00B247DF">
        <w:rPr>
          <w:rFonts w:ascii="Times New Roman" w:hAnsi="Times New Roman"/>
        </w:rPr>
        <w:noBreakHyphen/>
      </w:r>
      <w:r w:rsidR="006834E1">
        <w:rPr>
          <w:rFonts w:ascii="Times New Roman" w:hAnsi="Times New Roman"/>
        </w:rPr>
        <w:t>s</w:t>
      </w:r>
      <w:r w:rsidR="003F1CA5" w:rsidRPr="00B247DF">
        <w:rPr>
          <w:rFonts w:ascii="Times New Roman" w:hAnsi="Times New Roman"/>
        </w:rPr>
        <w:t>s (1) and (5) as originally enacted.</w:t>
      </w:r>
      <w:r w:rsidR="00777E02" w:rsidRPr="00B247DF">
        <w:rPr>
          <w:rFonts w:ascii="Times New Roman" w:hAnsi="Times New Roman"/>
        </w:rPr>
        <w:t xml:space="preserve"> </w:t>
      </w:r>
      <w:r w:rsidR="00C619D3" w:rsidRPr="00B247DF">
        <w:rPr>
          <w:rFonts w:ascii="Times New Roman" w:hAnsi="Times New Roman"/>
        </w:rPr>
        <w:t>The material amendments to sub</w:t>
      </w:r>
      <w:r w:rsidR="00545EB4" w:rsidRPr="00B247DF">
        <w:rPr>
          <w:rFonts w:ascii="Times New Roman" w:hAnsi="Times New Roman"/>
        </w:rPr>
        <w:t>-</w:t>
      </w:r>
      <w:r w:rsidR="006834E1">
        <w:rPr>
          <w:rFonts w:ascii="Times New Roman" w:hAnsi="Times New Roman"/>
        </w:rPr>
        <w:t>s</w:t>
      </w:r>
      <w:r w:rsidR="00C619D3" w:rsidRPr="00B247DF">
        <w:rPr>
          <w:rFonts w:ascii="Times New Roman" w:hAnsi="Times New Roman"/>
        </w:rPr>
        <w:t>s (1) and (5) wer</w:t>
      </w:r>
      <w:r w:rsidR="00C77431" w:rsidRPr="00B247DF">
        <w:rPr>
          <w:rFonts w:ascii="Times New Roman" w:hAnsi="Times New Roman"/>
        </w:rPr>
        <w:t>e</w:t>
      </w:r>
      <w:r w:rsidR="00C619D3" w:rsidRPr="00B247DF">
        <w:rPr>
          <w:rFonts w:ascii="Times New Roman" w:hAnsi="Times New Roman"/>
        </w:rPr>
        <w:t xml:space="preserve"> in 196</w:t>
      </w:r>
      <w:r w:rsidR="00C77431" w:rsidRPr="00B247DF">
        <w:rPr>
          <w:rFonts w:ascii="Times New Roman" w:hAnsi="Times New Roman"/>
        </w:rPr>
        <w:t>2</w:t>
      </w:r>
      <w:r w:rsidR="00C77431" w:rsidRPr="00B247DF">
        <w:rPr>
          <w:rStyle w:val="FootnoteReference"/>
          <w:rFonts w:ascii="Times New Roman" w:hAnsi="Times New Roman"/>
          <w:sz w:val="24"/>
        </w:rPr>
        <w:footnoteReference w:id="21"/>
      </w:r>
      <w:r w:rsidR="00C77431" w:rsidRPr="00B247DF">
        <w:rPr>
          <w:rFonts w:ascii="Times New Roman" w:hAnsi="Times New Roman"/>
        </w:rPr>
        <w:t xml:space="preserve"> and 1964.</w:t>
      </w:r>
      <w:r w:rsidR="00C77431" w:rsidRPr="00B247DF">
        <w:rPr>
          <w:rStyle w:val="FootnoteReference"/>
          <w:rFonts w:ascii="Times New Roman" w:hAnsi="Times New Roman"/>
          <w:sz w:val="24"/>
        </w:rPr>
        <w:footnoteReference w:id="22"/>
      </w:r>
    </w:p>
    <w:p w14:paraId="1CC697C7" w14:textId="4AFD0979" w:rsidR="00606951" w:rsidRPr="00B247DF" w:rsidRDefault="002B1F0D" w:rsidP="00B247DF">
      <w:pPr>
        <w:pStyle w:val="FixListStyle"/>
        <w:spacing w:after="260" w:line="280" w:lineRule="exact"/>
        <w:ind w:right="0"/>
        <w:jc w:val="both"/>
        <w:rPr>
          <w:rFonts w:ascii="Times New Roman" w:hAnsi="Times New Roman"/>
        </w:rPr>
      </w:pPr>
      <w:r w:rsidRPr="00B247DF">
        <w:rPr>
          <w:rFonts w:ascii="Times New Roman" w:hAnsi="Times New Roman"/>
        </w:rPr>
        <w:lastRenderedPageBreak/>
        <w:tab/>
      </w:r>
      <w:r w:rsidR="00C026A5" w:rsidRPr="00B247DF">
        <w:rPr>
          <w:rFonts w:ascii="Times New Roman" w:hAnsi="Times New Roman"/>
        </w:rPr>
        <w:t xml:space="preserve">As originally enacted, s </w:t>
      </w:r>
      <w:r w:rsidR="00777E02" w:rsidRPr="00B247DF">
        <w:rPr>
          <w:rFonts w:ascii="Times New Roman" w:hAnsi="Times New Roman"/>
        </w:rPr>
        <w:t>16(1)</w:t>
      </w:r>
      <w:r w:rsidRPr="00B247DF">
        <w:rPr>
          <w:rFonts w:ascii="Times New Roman" w:hAnsi="Times New Roman"/>
        </w:rPr>
        <w:t xml:space="preserve"> provided</w:t>
      </w:r>
      <w:r w:rsidR="00F77DFA" w:rsidRPr="00B247DF">
        <w:rPr>
          <w:rFonts w:ascii="Times New Roman" w:hAnsi="Times New Roman"/>
        </w:rPr>
        <w:t xml:space="preserve"> that</w:t>
      </w:r>
      <w:r w:rsidR="006A0D2A" w:rsidRPr="00B247DF">
        <w:rPr>
          <w:rFonts w:ascii="Times New Roman" w:hAnsi="Times New Roman"/>
        </w:rPr>
        <w:t xml:space="preserve"> </w:t>
      </w:r>
      <w:r w:rsidR="00913380" w:rsidRPr="00B247DF">
        <w:rPr>
          <w:rFonts w:ascii="Times New Roman" w:hAnsi="Times New Roman"/>
        </w:rPr>
        <w:t>"</w:t>
      </w:r>
      <w:r w:rsidR="006A0D2A" w:rsidRPr="00B247DF">
        <w:rPr>
          <w:rFonts w:ascii="Times New Roman" w:hAnsi="Times New Roman"/>
        </w:rPr>
        <w:t>[n]</w:t>
      </w:r>
      <w:r w:rsidR="00D41348" w:rsidRPr="00B247DF">
        <w:rPr>
          <w:rFonts w:ascii="Times New Roman" w:hAnsi="Times New Roman"/>
        </w:rPr>
        <w:t xml:space="preserve">o </w:t>
      </w:r>
      <w:r w:rsidR="001F1B4E" w:rsidRPr="00B247DF">
        <w:rPr>
          <w:rFonts w:ascii="Times New Roman" w:hAnsi="Times New Roman"/>
        </w:rPr>
        <w:t xml:space="preserve">public work of any kind whatever </w:t>
      </w:r>
      <w:r w:rsidR="00AA2A46" w:rsidRPr="00B247DF">
        <w:rPr>
          <w:rFonts w:ascii="Times New Roman" w:hAnsi="Times New Roman"/>
        </w:rPr>
        <w:t xml:space="preserve">... the estimated cost of completing which exceeds </w:t>
      </w:r>
      <w:r w:rsidR="007F39FD" w:rsidRPr="00B247DF">
        <w:rPr>
          <w:rFonts w:ascii="Times New Roman" w:hAnsi="Times New Roman"/>
        </w:rPr>
        <w:t>[</w:t>
      </w:r>
      <w:r w:rsidRPr="00B247DF">
        <w:rPr>
          <w:rFonts w:ascii="Times New Roman" w:hAnsi="Times New Roman"/>
        </w:rPr>
        <w:t xml:space="preserve">the </w:t>
      </w:r>
      <w:r w:rsidR="007F39FD" w:rsidRPr="00B247DF">
        <w:rPr>
          <w:rFonts w:ascii="Times New Roman" w:hAnsi="Times New Roman"/>
        </w:rPr>
        <w:t xml:space="preserve">then </w:t>
      </w:r>
      <w:r w:rsidRPr="00B247DF">
        <w:rPr>
          <w:rFonts w:ascii="Times New Roman" w:hAnsi="Times New Roman"/>
        </w:rPr>
        <w:t>relevant monetary threshold</w:t>
      </w:r>
      <w:r w:rsidR="007F39FD" w:rsidRPr="00B247DF">
        <w:rPr>
          <w:rFonts w:ascii="Times New Roman" w:hAnsi="Times New Roman"/>
        </w:rPr>
        <w:t xml:space="preserve">] ... shall be commenced </w:t>
      </w:r>
      <w:r w:rsidR="00B4269B" w:rsidRPr="00B247DF">
        <w:rPr>
          <w:rFonts w:ascii="Times New Roman" w:hAnsi="Times New Roman"/>
        </w:rPr>
        <w:t>unless sanctioned as in this section provided"</w:t>
      </w:r>
      <w:r w:rsidR="00EB6603" w:rsidRPr="00B247DF">
        <w:rPr>
          <w:rFonts w:ascii="Times New Roman" w:hAnsi="Times New Roman"/>
        </w:rPr>
        <w:t>,</w:t>
      </w:r>
      <w:r w:rsidR="00C026A5" w:rsidRPr="00B247DF">
        <w:rPr>
          <w:rFonts w:ascii="Times New Roman" w:hAnsi="Times New Roman"/>
        </w:rPr>
        <w:t xml:space="preserve"> and s</w:t>
      </w:r>
      <w:r w:rsidR="0078516D" w:rsidRPr="00B247DF">
        <w:rPr>
          <w:rFonts w:ascii="Times New Roman" w:hAnsi="Times New Roman"/>
        </w:rPr>
        <w:t> </w:t>
      </w:r>
      <w:r w:rsidR="002F3398" w:rsidRPr="00B247DF">
        <w:rPr>
          <w:rFonts w:ascii="Times New Roman" w:hAnsi="Times New Roman"/>
        </w:rPr>
        <w:t>16(</w:t>
      </w:r>
      <w:r w:rsidR="00F77DFA" w:rsidRPr="00B247DF">
        <w:rPr>
          <w:rFonts w:ascii="Times New Roman" w:hAnsi="Times New Roman"/>
        </w:rPr>
        <w:t>5</w:t>
      </w:r>
      <w:r w:rsidR="002F3398" w:rsidRPr="00B247DF">
        <w:rPr>
          <w:rFonts w:ascii="Times New Roman" w:hAnsi="Times New Roman"/>
        </w:rPr>
        <w:t>) provided</w:t>
      </w:r>
      <w:r w:rsidR="00F77DFA" w:rsidRPr="00B247DF">
        <w:rPr>
          <w:rFonts w:ascii="Times New Roman" w:hAnsi="Times New Roman"/>
        </w:rPr>
        <w:t xml:space="preserve"> that </w:t>
      </w:r>
      <w:r w:rsidR="006A0D2A" w:rsidRPr="00B247DF">
        <w:rPr>
          <w:rFonts w:ascii="Times New Roman" w:hAnsi="Times New Roman"/>
        </w:rPr>
        <w:t>"[a]</w:t>
      </w:r>
      <w:proofErr w:type="spellStart"/>
      <w:r w:rsidR="00F77DFA" w:rsidRPr="00B247DF">
        <w:rPr>
          <w:rFonts w:ascii="Times New Roman" w:hAnsi="Times New Roman"/>
        </w:rPr>
        <w:t>fter</w:t>
      </w:r>
      <w:proofErr w:type="spellEnd"/>
      <w:r w:rsidR="00F77DFA" w:rsidRPr="00B247DF">
        <w:rPr>
          <w:rFonts w:ascii="Times New Roman" w:hAnsi="Times New Roman"/>
        </w:rPr>
        <w:t xml:space="preserve"> </w:t>
      </w:r>
      <w:r w:rsidR="00ED0DDA" w:rsidRPr="00B247DF">
        <w:rPr>
          <w:rFonts w:ascii="Times New Roman" w:hAnsi="Times New Roman"/>
        </w:rPr>
        <w:t xml:space="preserve">the </w:t>
      </w:r>
      <w:r w:rsidR="00F77DFA" w:rsidRPr="00B247DF">
        <w:rPr>
          <w:rFonts w:ascii="Times New Roman" w:hAnsi="Times New Roman"/>
        </w:rPr>
        <w:t xml:space="preserve">receipt </w:t>
      </w:r>
      <w:r w:rsidR="001C6B5C" w:rsidRPr="00B247DF">
        <w:rPr>
          <w:rFonts w:ascii="Times New Roman" w:hAnsi="Times New Roman"/>
        </w:rPr>
        <w:t xml:space="preserve">of [the report of the Committee </w:t>
      </w:r>
      <w:r w:rsidR="00FA1E87" w:rsidRPr="00B247DF">
        <w:rPr>
          <w:rFonts w:ascii="Times New Roman" w:hAnsi="Times New Roman"/>
        </w:rPr>
        <w:t xml:space="preserve">under </w:t>
      </w:r>
      <w:r w:rsidR="00C026A5" w:rsidRPr="00B247DF">
        <w:rPr>
          <w:rFonts w:ascii="Times New Roman" w:hAnsi="Times New Roman"/>
        </w:rPr>
        <w:t>s</w:t>
      </w:r>
      <w:r w:rsidR="0078516D" w:rsidRPr="00B247DF">
        <w:rPr>
          <w:rFonts w:ascii="Times New Roman" w:hAnsi="Times New Roman"/>
        </w:rPr>
        <w:t xml:space="preserve"> </w:t>
      </w:r>
      <w:r w:rsidR="00C026A5" w:rsidRPr="00B247DF">
        <w:rPr>
          <w:rFonts w:ascii="Times New Roman" w:hAnsi="Times New Roman"/>
        </w:rPr>
        <w:t>16(4)</w:t>
      </w:r>
      <w:r w:rsidR="00443337" w:rsidRPr="00B247DF">
        <w:rPr>
          <w:rFonts w:ascii="Times New Roman" w:hAnsi="Times New Roman"/>
        </w:rPr>
        <w:t xml:space="preserve">] </w:t>
      </w:r>
      <w:r w:rsidR="007F13E7" w:rsidRPr="00B247DF">
        <w:rPr>
          <w:rFonts w:ascii="Times New Roman" w:hAnsi="Times New Roman"/>
        </w:rPr>
        <w:t>the House of Assembly shall by resolution declare either that it is expedient to carry out the proposed work</w:t>
      </w:r>
      <w:r w:rsidR="005D14C7" w:rsidRPr="00B247DF">
        <w:rPr>
          <w:rFonts w:ascii="Times New Roman" w:hAnsi="Times New Roman"/>
        </w:rPr>
        <w:t>,</w:t>
      </w:r>
      <w:r w:rsidR="007F13E7" w:rsidRPr="00B247DF">
        <w:rPr>
          <w:rFonts w:ascii="Times New Roman" w:hAnsi="Times New Roman"/>
        </w:rPr>
        <w:t xml:space="preserve"> or that it is not expedient to carry it out". </w:t>
      </w:r>
      <w:r w:rsidR="00584936" w:rsidRPr="00B247DF">
        <w:rPr>
          <w:rFonts w:ascii="Times New Roman" w:hAnsi="Times New Roman"/>
        </w:rPr>
        <w:t xml:space="preserve">Thus, s 16(1) </w:t>
      </w:r>
      <w:r w:rsidR="0084282C" w:rsidRPr="00B247DF">
        <w:rPr>
          <w:rFonts w:ascii="Times New Roman" w:hAnsi="Times New Roman"/>
        </w:rPr>
        <w:t xml:space="preserve">as originally enacted </w:t>
      </w:r>
      <w:r w:rsidR="00584936" w:rsidRPr="00B247DF">
        <w:rPr>
          <w:rFonts w:ascii="Times New Roman" w:hAnsi="Times New Roman"/>
        </w:rPr>
        <w:t xml:space="preserve">made </w:t>
      </w:r>
      <w:r w:rsidR="00131D7C" w:rsidRPr="00B247DF">
        <w:rPr>
          <w:rFonts w:ascii="Times New Roman" w:hAnsi="Times New Roman"/>
        </w:rPr>
        <w:t xml:space="preserve">it </w:t>
      </w:r>
      <w:r w:rsidR="00584936" w:rsidRPr="00B247DF">
        <w:rPr>
          <w:rFonts w:ascii="Times New Roman" w:hAnsi="Times New Roman"/>
        </w:rPr>
        <w:t>a condition precedent to the commencement of any public work</w:t>
      </w:r>
      <w:r w:rsidR="00755816" w:rsidRPr="00B247DF">
        <w:rPr>
          <w:rFonts w:ascii="Times New Roman" w:hAnsi="Times New Roman"/>
        </w:rPr>
        <w:t xml:space="preserve"> that the </w:t>
      </w:r>
      <w:r w:rsidR="0084282C" w:rsidRPr="00B247DF">
        <w:rPr>
          <w:rFonts w:ascii="Times New Roman" w:hAnsi="Times New Roman"/>
        </w:rPr>
        <w:t xml:space="preserve">proposed </w:t>
      </w:r>
      <w:r w:rsidR="00CF469E" w:rsidRPr="00B247DF">
        <w:rPr>
          <w:rFonts w:ascii="Times New Roman" w:hAnsi="Times New Roman"/>
        </w:rPr>
        <w:t xml:space="preserve">work </w:t>
      </w:r>
      <w:r w:rsidR="007372E0" w:rsidRPr="00B247DF">
        <w:rPr>
          <w:rFonts w:ascii="Times New Roman" w:hAnsi="Times New Roman"/>
        </w:rPr>
        <w:t>had</w:t>
      </w:r>
      <w:r w:rsidR="00CF469E" w:rsidRPr="00B247DF">
        <w:rPr>
          <w:rFonts w:ascii="Times New Roman" w:hAnsi="Times New Roman"/>
        </w:rPr>
        <w:t xml:space="preserve"> been sanctioned by a resolution of the </w:t>
      </w:r>
      <w:r w:rsidR="00755816" w:rsidRPr="00B247DF">
        <w:rPr>
          <w:rFonts w:ascii="Times New Roman" w:hAnsi="Times New Roman"/>
        </w:rPr>
        <w:t xml:space="preserve">House of Assembly </w:t>
      </w:r>
      <w:r w:rsidR="00EB4FC8" w:rsidRPr="00B247DF">
        <w:rPr>
          <w:rFonts w:ascii="Times New Roman" w:hAnsi="Times New Roman"/>
        </w:rPr>
        <w:t>under s</w:t>
      </w:r>
      <w:r w:rsidR="0078516D" w:rsidRPr="00B247DF">
        <w:rPr>
          <w:rFonts w:ascii="Times New Roman" w:hAnsi="Times New Roman"/>
        </w:rPr>
        <w:t xml:space="preserve"> </w:t>
      </w:r>
      <w:r w:rsidR="00EB4FC8" w:rsidRPr="00B247DF">
        <w:rPr>
          <w:rFonts w:ascii="Times New Roman" w:hAnsi="Times New Roman"/>
        </w:rPr>
        <w:t xml:space="preserve">16(5) </w:t>
      </w:r>
      <w:r w:rsidR="008B6D24" w:rsidRPr="00B247DF">
        <w:rPr>
          <w:rFonts w:ascii="Times New Roman" w:hAnsi="Times New Roman"/>
        </w:rPr>
        <w:t>whi</w:t>
      </w:r>
      <w:r w:rsidR="00CE425F" w:rsidRPr="00B247DF">
        <w:rPr>
          <w:rFonts w:ascii="Times New Roman" w:hAnsi="Times New Roman"/>
        </w:rPr>
        <w:t xml:space="preserve">ch </w:t>
      </w:r>
      <w:r w:rsidR="00F0161F" w:rsidRPr="00B247DF">
        <w:rPr>
          <w:rFonts w:ascii="Times New Roman" w:hAnsi="Times New Roman"/>
        </w:rPr>
        <w:t xml:space="preserve">had </w:t>
      </w:r>
      <w:r w:rsidR="00755816" w:rsidRPr="00B247DF">
        <w:rPr>
          <w:rFonts w:ascii="Times New Roman" w:hAnsi="Times New Roman"/>
        </w:rPr>
        <w:t>declar</w:t>
      </w:r>
      <w:r w:rsidR="00CE425F" w:rsidRPr="00B247DF">
        <w:rPr>
          <w:rFonts w:ascii="Times New Roman" w:hAnsi="Times New Roman"/>
        </w:rPr>
        <w:t>ed</w:t>
      </w:r>
      <w:r w:rsidR="00CF469E" w:rsidRPr="00B247DF">
        <w:rPr>
          <w:rFonts w:ascii="Times New Roman" w:hAnsi="Times New Roman"/>
        </w:rPr>
        <w:t xml:space="preserve"> it</w:t>
      </w:r>
      <w:r w:rsidR="00755816" w:rsidRPr="00B247DF">
        <w:rPr>
          <w:rFonts w:ascii="Times New Roman" w:hAnsi="Times New Roman"/>
        </w:rPr>
        <w:t xml:space="preserve"> expedient to carry out the work</w:t>
      </w:r>
      <w:r w:rsidR="007372E0" w:rsidRPr="00B247DF">
        <w:rPr>
          <w:rFonts w:ascii="Times New Roman" w:hAnsi="Times New Roman"/>
        </w:rPr>
        <w:t xml:space="preserve"> </w:t>
      </w:r>
      <w:r w:rsidR="00EB4FC8" w:rsidRPr="00B247DF">
        <w:rPr>
          <w:rFonts w:ascii="Times New Roman" w:hAnsi="Times New Roman"/>
        </w:rPr>
        <w:t xml:space="preserve">after </w:t>
      </w:r>
      <w:r w:rsidR="0084282C" w:rsidRPr="00B247DF">
        <w:rPr>
          <w:rFonts w:ascii="Times New Roman" w:hAnsi="Times New Roman"/>
        </w:rPr>
        <w:t>the House had</w:t>
      </w:r>
      <w:r w:rsidR="00CA74B8" w:rsidRPr="00B247DF">
        <w:rPr>
          <w:rFonts w:ascii="Times New Roman" w:hAnsi="Times New Roman"/>
        </w:rPr>
        <w:t xml:space="preserve"> received </w:t>
      </w:r>
      <w:r w:rsidR="00781CF7" w:rsidRPr="00B247DF">
        <w:rPr>
          <w:rFonts w:ascii="Times New Roman" w:hAnsi="Times New Roman"/>
        </w:rPr>
        <w:t>a</w:t>
      </w:r>
      <w:r w:rsidR="00EB4FC8" w:rsidRPr="00B247DF">
        <w:rPr>
          <w:rFonts w:ascii="Times New Roman" w:hAnsi="Times New Roman"/>
        </w:rPr>
        <w:t xml:space="preserve"> report of the Committee under s</w:t>
      </w:r>
      <w:r w:rsidR="0078516D" w:rsidRPr="00B247DF">
        <w:rPr>
          <w:rFonts w:ascii="Times New Roman" w:hAnsi="Times New Roman"/>
        </w:rPr>
        <w:t xml:space="preserve"> </w:t>
      </w:r>
      <w:r w:rsidR="00EB4FC8" w:rsidRPr="00B247DF">
        <w:rPr>
          <w:rFonts w:ascii="Times New Roman" w:hAnsi="Times New Roman"/>
        </w:rPr>
        <w:t>16(4)</w:t>
      </w:r>
      <w:r w:rsidR="00781CF7" w:rsidRPr="00B247DF">
        <w:rPr>
          <w:rFonts w:ascii="Times New Roman" w:hAnsi="Times New Roman"/>
        </w:rPr>
        <w:t xml:space="preserve"> following referral </w:t>
      </w:r>
      <w:r w:rsidR="006A0797" w:rsidRPr="00B247DF">
        <w:rPr>
          <w:rFonts w:ascii="Times New Roman" w:hAnsi="Times New Roman"/>
        </w:rPr>
        <w:t xml:space="preserve">of </w:t>
      </w:r>
      <w:r w:rsidR="00C77431" w:rsidRPr="00B247DF">
        <w:rPr>
          <w:rFonts w:ascii="Times New Roman" w:hAnsi="Times New Roman"/>
        </w:rPr>
        <w:t xml:space="preserve">the proposed work </w:t>
      </w:r>
      <w:r w:rsidR="00936718" w:rsidRPr="00B247DF">
        <w:rPr>
          <w:rFonts w:ascii="Times New Roman" w:hAnsi="Times New Roman"/>
        </w:rPr>
        <w:t xml:space="preserve">to the Committee </w:t>
      </w:r>
      <w:r w:rsidR="00781CF7" w:rsidRPr="00B247DF">
        <w:rPr>
          <w:rFonts w:ascii="Times New Roman" w:hAnsi="Times New Roman"/>
        </w:rPr>
        <w:t>by the Governor under s</w:t>
      </w:r>
      <w:r w:rsidR="00582821" w:rsidRPr="00B247DF">
        <w:rPr>
          <w:rFonts w:ascii="Times New Roman" w:hAnsi="Times New Roman"/>
        </w:rPr>
        <w:t> </w:t>
      </w:r>
      <w:r w:rsidR="00781CF7" w:rsidRPr="00B247DF">
        <w:rPr>
          <w:rFonts w:ascii="Times New Roman" w:hAnsi="Times New Roman"/>
        </w:rPr>
        <w:t>16(2)</w:t>
      </w:r>
      <w:r w:rsidR="00EB4FC8" w:rsidRPr="00B247DF">
        <w:rPr>
          <w:rFonts w:ascii="Times New Roman" w:hAnsi="Times New Roman"/>
        </w:rPr>
        <w:t>.</w:t>
      </w:r>
    </w:p>
    <w:p w14:paraId="6AABCCE0" w14:textId="75DEBD42" w:rsidR="00755BB1" w:rsidRPr="00B247DF" w:rsidRDefault="00606951"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936718" w:rsidRPr="00B247DF">
        <w:rPr>
          <w:rFonts w:ascii="Times New Roman" w:hAnsi="Times New Roman"/>
        </w:rPr>
        <w:t>What occurred in 1962 was that t</w:t>
      </w:r>
      <w:r w:rsidR="000119EF" w:rsidRPr="00B247DF">
        <w:rPr>
          <w:rFonts w:ascii="Times New Roman" w:hAnsi="Times New Roman"/>
        </w:rPr>
        <w:t>he words "sanctioned as in this section provided"</w:t>
      </w:r>
      <w:r w:rsidR="002B646C" w:rsidRPr="00B247DF">
        <w:rPr>
          <w:rFonts w:ascii="Times New Roman" w:hAnsi="Times New Roman"/>
        </w:rPr>
        <w:t xml:space="preserve"> were </w:t>
      </w:r>
      <w:r w:rsidR="00FD726A" w:rsidRPr="00B247DF">
        <w:rPr>
          <w:rFonts w:ascii="Times New Roman" w:hAnsi="Times New Roman"/>
        </w:rPr>
        <w:t>omitted</w:t>
      </w:r>
      <w:r w:rsidR="00EB6603" w:rsidRPr="00B247DF">
        <w:rPr>
          <w:rFonts w:ascii="Times New Roman" w:hAnsi="Times New Roman"/>
        </w:rPr>
        <w:t xml:space="preserve"> from s 16(1) and </w:t>
      </w:r>
      <w:r w:rsidR="002B646C" w:rsidRPr="00B247DF">
        <w:rPr>
          <w:rFonts w:ascii="Times New Roman" w:hAnsi="Times New Roman"/>
        </w:rPr>
        <w:t xml:space="preserve">replaced with the words </w:t>
      </w:r>
      <w:r w:rsidR="00796024" w:rsidRPr="00B247DF">
        <w:rPr>
          <w:rFonts w:ascii="Times New Roman" w:hAnsi="Times New Roman"/>
        </w:rPr>
        <w:t xml:space="preserve">"it has first been </w:t>
      </w:r>
      <w:r w:rsidR="00904714" w:rsidRPr="00B247DF">
        <w:rPr>
          <w:rFonts w:ascii="Times New Roman" w:hAnsi="Times New Roman"/>
        </w:rPr>
        <w:t xml:space="preserve">referred to and </w:t>
      </w:r>
      <w:r w:rsidR="00796024" w:rsidRPr="00B247DF">
        <w:rPr>
          <w:rFonts w:ascii="Times New Roman" w:hAnsi="Times New Roman"/>
        </w:rPr>
        <w:t xml:space="preserve">reported </w:t>
      </w:r>
      <w:r w:rsidR="00F43FF0" w:rsidRPr="00B247DF">
        <w:rPr>
          <w:rFonts w:ascii="Times New Roman" w:hAnsi="Times New Roman"/>
        </w:rPr>
        <w:t>upon by the Committee in accordance with this section</w:t>
      </w:r>
      <w:r w:rsidR="00EB6603" w:rsidRPr="00B247DF">
        <w:rPr>
          <w:rFonts w:ascii="Times New Roman" w:hAnsi="Times New Roman"/>
        </w:rPr>
        <w:t>"</w:t>
      </w:r>
      <w:r w:rsidR="00FD726A" w:rsidRPr="00B247DF">
        <w:rPr>
          <w:rFonts w:ascii="Times New Roman" w:hAnsi="Times New Roman"/>
        </w:rPr>
        <w:t xml:space="preserve"> a</w:t>
      </w:r>
      <w:r w:rsidR="006A0797" w:rsidRPr="00B247DF">
        <w:rPr>
          <w:rFonts w:ascii="Times New Roman" w:hAnsi="Times New Roman"/>
        </w:rPr>
        <w:t>nd</w:t>
      </w:r>
      <w:r w:rsidR="006A5B20" w:rsidRPr="00B247DF">
        <w:rPr>
          <w:rFonts w:ascii="Times New Roman" w:hAnsi="Times New Roman"/>
        </w:rPr>
        <w:t xml:space="preserve"> </w:t>
      </w:r>
      <w:r w:rsidR="00FD182A" w:rsidRPr="00B247DF">
        <w:rPr>
          <w:rFonts w:ascii="Times New Roman" w:hAnsi="Times New Roman"/>
        </w:rPr>
        <w:t>s</w:t>
      </w:r>
      <w:r w:rsidR="008505C7" w:rsidRPr="00B247DF">
        <w:rPr>
          <w:rFonts w:ascii="Times New Roman" w:hAnsi="Times New Roman"/>
        </w:rPr>
        <w:t xml:space="preserve"> </w:t>
      </w:r>
      <w:r w:rsidR="00FD182A" w:rsidRPr="00B247DF">
        <w:rPr>
          <w:rFonts w:ascii="Times New Roman" w:hAnsi="Times New Roman"/>
        </w:rPr>
        <w:t xml:space="preserve">16(5) in its original form was </w:t>
      </w:r>
      <w:r w:rsidR="00FD726A" w:rsidRPr="00B247DF">
        <w:rPr>
          <w:rFonts w:ascii="Times New Roman" w:hAnsi="Times New Roman"/>
        </w:rPr>
        <w:t>omitted</w:t>
      </w:r>
      <w:r w:rsidR="00802FA6" w:rsidRPr="00B247DF">
        <w:rPr>
          <w:rFonts w:ascii="Times New Roman" w:hAnsi="Times New Roman"/>
        </w:rPr>
        <w:t xml:space="preserve"> in its entirety</w:t>
      </w:r>
      <w:r w:rsidR="00FD182A" w:rsidRPr="00B247DF">
        <w:rPr>
          <w:rFonts w:ascii="Times New Roman" w:hAnsi="Times New Roman"/>
        </w:rPr>
        <w:t>.</w:t>
      </w:r>
      <w:r w:rsidR="00802FA6" w:rsidRPr="00B247DF">
        <w:rPr>
          <w:rStyle w:val="FootnoteReference"/>
          <w:rFonts w:ascii="Times New Roman" w:hAnsi="Times New Roman"/>
          <w:sz w:val="24"/>
        </w:rPr>
        <w:footnoteReference w:id="23"/>
      </w:r>
      <w:r w:rsidR="00FD182A" w:rsidRPr="00B247DF">
        <w:rPr>
          <w:rFonts w:ascii="Times New Roman" w:hAnsi="Times New Roman"/>
        </w:rPr>
        <w:t xml:space="preserve"> </w:t>
      </w:r>
      <w:r w:rsidR="00AB5F89" w:rsidRPr="00B247DF">
        <w:rPr>
          <w:rFonts w:ascii="Times New Roman" w:hAnsi="Times New Roman"/>
        </w:rPr>
        <w:t xml:space="preserve">The </w:t>
      </w:r>
      <w:r w:rsidR="000A5C5A" w:rsidRPr="00B247DF">
        <w:rPr>
          <w:rFonts w:ascii="Times New Roman" w:hAnsi="Times New Roman"/>
        </w:rPr>
        <w:t xml:space="preserve">effect </w:t>
      </w:r>
      <w:r w:rsidR="00AB5F89" w:rsidRPr="00B247DF">
        <w:rPr>
          <w:rFonts w:ascii="Times New Roman" w:hAnsi="Times New Roman"/>
        </w:rPr>
        <w:t>was to make</w:t>
      </w:r>
      <w:r w:rsidR="00E67C47" w:rsidRPr="00B247DF">
        <w:rPr>
          <w:rFonts w:ascii="Times New Roman" w:hAnsi="Times New Roman"/>
        </w:rPr>
        <w:t xml:space="preserve"> the</w:t>
      </w:r>
      <w:r w:rsidR="001324E8" w:rsidRPr="00B247DF">
        <w:rPr>
          <w:rFonts w:ascii="Times New Roman" w:hAnsi="Times New Roman"/>
        </w:rPr>
        <w:t xml:space="preserve"> </w:t>
      </w:r>
      <w:r w:rsidR="00E67C47" w:rsidRPr="00B247DF">
        <w:rPr>
          <w:rFonts w:ascii="Times New Roman" w:hAnsi="Times New Roman"/>
        </w:rPr>
        <w:t xml:space="preserve">condition precedent </w:t>
      </w:r>
      <w:r w:rsidR="00D149D4" w:rsidRPr="00B247DF">
        <w:rPr>
          <w:rFonts w:ascii="Times New Roman" w:hAnsi="Times New Roman"/>
        </w:rPr>
        <w:t xml:space="preserve">to </w:t>
      </w:r>
      <w:r w:rsidR="00F5304D" w:rsidRPr="00B247DF">
        <w:rPr>
          <w:rFonts w:ascii="Times New Roman" w:hAnsi="Times New Roman"/>
        </w:rPr>
        <w:t>the commencement of a public work</w:t>
      </w:r>
      <w:r w:rsidR="00EE463B" w:rsidRPr="00B247DF">
        <w:rPr>
          <w:rFonts w:ascii="Times New Roman" w:hAnsi="Times New Roman"/>
        </w:rPr>
        <w:t xml:space="preserve"> referred to in s</w:t>
      </w:r>
      <w:r w:rsidR="003578CA" w:rsidRPr="00B247DF">
        <w:rPr>
          <w:rFonts w:ascii="Times New Roman" w:hAnsi="Times New Roman"/>
        </w:rPr>
        <w:t> </w:t>
      </w:r>
      <w:r w:rsidR="00EE463B" w:rsidRPr="00B247DF">
        <w:rPr>
          <w:rFonts w:ascii="Times New Roman" w:hAnsi="Times New Roman"/>
        </w:rPr>
        <w:t>16(1)</w:t>
      </w:r>
      <w:r w:rsidR="00B60282" w:rsidRPr="00B247DF">
        <w:rPr>
          <w:rFonts w:ascii="Times New Roman" w:hAnsi="Times New Roman"/>
        </w:rPr>
        <w:t xml:space="preserve"> </w:t>
      </w:r>
      <w:r w:rsidR="0096635A" w:rsidRPr="00B247DF">
        <w:rPr>
          <w:rFonts w:ascii="Times New Roman" w:hAnsi="Times New Roman"/>
        </w:rPr>
        <w:t xml:space="preserve">that </w:t>
      </w:r>
      <w:r w:rsidR="0052186B" w:rsidRPr="00B247DF">
        <w:rPr>
          <w:rFonts w:ascii="Times New Roman" w:hAnsi="Times New Roman"/>
        </w:rPr>
        <w:t>the Committee ha</w:t>
      </w:r>
      <w:r w:rsidR="000E6E1D" w:rsidRPr="00B247DF">
        <w:rPr>
          <w:rFonts w:ascii="Times New Roman" w:hAnsi="Times New Roman"/>
        </w:rPr>
        <w:t>d</w:t>
      </w:r>
      <w:r w:rsidR="0052186B" w:rsidRPr="00B247DF">
        <w:rPr>
          <w:rFonts w:ascii="Times New Roman" w:hAnsi="Times New Roman"/>
        </w:rPr>
        <w:t xml:space="preserve"> reported to the House of Assembly on the proposed work under s</w:t>
      </w:r>
      <w:r w:rsidR="00A906F9" w:rsidRPr="00B247DF">
        <w:rPr>
          <w:rFonts w:ascii="Times New Roman" w:hAnsi="Times New Roman"/>
        </w:rPr>
        <w:t> </w:t>
      </w:r>
      <w:r w:rsidR="0052186B" w:rsidRPr="00B247DF">
        <w:rPr>
          <w:rFonts w:ascii="Times New Roman" w:hAnsi="Times New Roman"/>
        </w:rPr>
        <w:t xml:space="preserve">16(4) following referral </w:t>
      </w:r>
      <w:r w:rsidR="006A0797" w:rsidRPr="00B247DF">
        <w:rPr>
          <w:rFonts w:ascii="Times New Roman" w:hAnsi="Times New Roman"/>
        </w:rPr>
        <w:t xml:space="preserve">of the proposed work to the Committee by the Governor under </w:t>
      </w:r>
      <w:r w:rsidR="0052186B" w:rsidRPr="00B247DF">
        <w:rPr>
          <w:rFonts w:ascii="Times New Roman" w:hAnsi="Times New Roman"/>
        </w:rPr>
        <w:t>s</w:t>
      </w:r>
      <w:r w:rsidR="00FC275C" w:rsidRPr="00B247DF">
        <w:rPr>
          <w:rFonts w:ascii="Times New Roman" w:hAnsi="Times New Roman"/>
        </w:rPr>
        <w:t> </w:t>
      </w:r>
      <w:r w:rsidR="0052186B" w:rsidRPr="00B247DF">
        <w:rPr>
          <w:rFonts w:ascii="Times New Roman" w:hAnsi="Times New Roman"/>
        </w:rPr>
        <w:t>16(2)</w:t>
      </w:r>
      <w:r w:rsidR="00683734" w:rsidRPr="00B247DF">
        <w:rPr>
          <w:rFonts w:ascii="Times New Roman" w:hAnsi="Times New Roman"/>
        </w:rPr>
        <w:t xml:space="preserve">. </w:t>
      </w:r>
      <w:r w:rsidR="00580ABF" w:rsidRPr="00B247DF">
        <w:rPr>
          <w:rFonts w:ascii="Times New Roman" w:hAnsi="Times New Roman"/>
        </w:rPr>
        <w:t>A resol</w:t>
      </w:r>
      <w:r w:rsidR="00A415A2" w:rsidRPr="00B247DF">
        <w:rPr>
          <w:rFonts w:ascii="Times New Roman" w:hAnsi="Times New Roman"/>
        </w:rPr>
        <w:t>ution of</w:t>
      </w:r>
      <w:r w:rsidR="00580ABF" w:rsidRPr="00B247DF">
        <w:rPr>
          <w:rFonts w:ascii="Times New Roman" w:hAnsi="Times New Roman"/>
        </w:rPr>
        <w:t xml:space="preserve"> the House of Assembly</w:t>
      </w:r>
      <w:r w:rsidR="001760A1" w:rsidRPr="00B247DF">
        <w:rPr>
          <w:rFonts w:ascii="Times New Roman" w:hAnsi="Times New Roman"/>
        </w:rPr>
        <w:t xml:space="preserve"> </w:t>
      </w:r>
      <w:r w:rsidR="006A0797" w:rsidRPr="00B247DF">
        <w:rPr>
          <w:rFonts w:ascii="Times New Roman" w:hAnsi="Times New Roman"/>
        </w:rPr>
        <w:t xml:space="preserve">sanctioning the proposed work </w:t>
      </w:r>
      <w:r w:rsidR="00A415A2" w:rsidRPr="00B247DF">
        <w:rPr>
          <w:rFonts w:ascii="Times New Roman" w:hAnsi="Times New Roman"/>
        </w:rPr>
        <w:t xml:space="preserve">was no longer necessary and </w:t>
      </w:r>
      <w:r w:rsidR="0071756B" w:rsidRPr="00B247DF">
        <w:rPr>
          <w:rFonts w:ascii="Times New Roman" w:hAnsi="Times New Roman"/>
        </w:rPr>
        <w:t>any</w:t>
      </w:r>
      <w:r w:rsidR="00A415A2" w:rsidRPr="00B247DF">
        <w:rPr>
          <w:rFonts w:ascii="Times New Roman" w:hAnsi="Times New Roman"/>
        </w:rPr>
        <w:t xml:space="preserve"> </w:t>
      </w:r>
      <w:r w:rsidR="001752E5" w:rsidRPr="00B247DF">
        <w:rPr>
          <w:rFonts w:ascii="Times New Roman" w:hAnsi="Times New Roman"/>
        </w:rPr>
        <w:t xml:space="preserve">recommendation of the Committee </w:t>
      </w:r>
      <w:r w:rsidR="00CA069F" w:rsidRPr="00B247DF">
        <w:rPr>
          <w:rFonts w:ascii="Times New Roman" w:hAnsi="Times New Roman"/>
        </w:rPr>
        <w:t xml:space="preserve">in </w:t>
      </w:r>
      <w:r w:rsidR="001752E5" w:rsidRPr="00B247DF">
        <w:rPr>
          <w:rFonts w:ascii="Times New Roman" w:hAnsi="Times New Roman"/>
        </w:rPr>
        <w:t xml:space="preserve">the report </w:t>
      </w:r>
      <w:r w:rsidR="00575B42" w:rsidRPr="00B247DF">
        <w:rPr>
          <w:rFonts w:ascii="Times New Roman" w:hAnsi="Times New Roman"/>
        </w:rPr>
        <w:t>was irrelevant.</w:t>
      </w:r>
      <w:r w:rsidR="00853435" w:rsidRPr="00B247DF">
        <w:rPr>
          <w:rFonts w:ascii="Times New Roman" w:hAnsi="Times New Roman"/>
        </w:rPr>
        <w:t xml:space="preserve"> </w:t>
      </w:r>
    </w:p>
    <w:p w14:paraId="02E43C25" w14:textId="48CC01C4" w:rsidR="000D41FF" w:rsidRPr="00B247DF" w:rsidRDefault="005B2060"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BD1CA7" w:rsidRPr="00B247DF">
        <w:rPr>
          <w:rFonts w:ascii="Times New Roman" w:hAnsi="Times New Roman"/>
        </w:rPr>
        <w:t>What then occurred in 1964 was that the</w:t>
      </w:r>
      <w:r w:rsidR="006E0C71" w:rsidRPr="00B247DF">
        <w:rPr>
          <w:rFonts w:ascii="Times New Roman" w:hAnsi="Times New Roman"/>
        </w:rPr>
        <w:t xml:space="preserve"> words "</w:t>
      </w:r>
      <w:r w:rsidR="00AD1E11" w:rsidRPr="00B247DF">
        <w:rPr>
          <w:rFonts w:ascii="Times New Roman" w:hAnsi="Times New Roman"/>
        </w:rPr>
        <w:t>of any kind</w:t>
      </w:r>
      <w:r w:rsidR="00CD08DB" w:rsidRPr="00B247DF">
        <w:rPr>
          <w:rFonts w:ascii="Times New Roman" w:hAnsi="Times New Roman"/>
        </w:rPr>
        <w:t xml:space="preserve"> whatever</w:t>
      </w:r>
      <w:r w:rsidR="006E0C71" w:rsidRPr="00B247DF">
        <w:rPr>
          <w:rFonts w:ascii="Times New Roman" w:hAnsi="Times New Roman"/>
        </w:rPr>
        <w:t>" were omitted from s</w:t>
      </w:r>
      <w:r w:rsidR="00CF2E28" w:rsidRPr="00B247DF">
        <w:rPr>
          <w:rFonts w:ascii="Times New Roman" w:hAnsi="Times New Roman"/>
        </w:rPr>
        <w:t> </w:t>
      </w:r>
      <w:r w:rsidR="006E0C71" w:rsidRPr="00B247DF">
        <w:rPr>
          <w:rFonts w:ascii="Times New Roman" w:hAnsi="Times New Roman"/>
        </w:rPr>
        <w:t>16(1) and replaced with the words "</w:t>
      </w:r>
      <w:r w:rsidR="00CD08DB" w:rsidRPr="00B247DF">
        <w:rPr>
          <w:rFonts w:ascii="Times New Roman" w:hAnsi="Times New Roman"/>
        </w:rPr>
        <w:t>to which s</w:t>
      </w:r>
      <w:r w:rsidR="0071756B" w:rsidRPr="00B247DF">
        <w:rPr>
          <w:rFonts w:ascii="Times New Roman" w:hAnsi="Times New Roman"/>
        </w:rPr>
        <w:t>ection</w:t>
      </w:r>
      <w:r w:rsidR="00CD08DB" w:rsidRPr="00B247DF">
        <w:rPr>
          <w:rFonts w:ascii="Times New Roman" w:hAnsi="Times New Roman"/>
        </w:rPr>
        <w:t xml:space="preserve"> </w:t>
      </w:r>
      <w:r w:rsidR="004E6800" w:rsidRPr="00B247DF">
        <w:rPr>
          <w:rFonts w:ascii="Times New Roman" w:hAnsi="Times New Roman"/>
        </w:rPr>
        <w:t>fifteen applies</w:t>
      </w:r>
      <w:r w:rsidR="006E0C71" w:rsidRPr="00B247DF">
        <w:rPr>
          <w:rFonts w:ascii="Times New Roman" w:hAnsi="Times New Roman"/>
        </w:rPr>
        <w:t>" a</w:t>
      </w:r>
      <w:r w:rsidR="00BD1CA7" w:rsidRPr="00B247DF">
        <w:rPr>
          <w:rFonts w:ascii="Times New Roman" w:hAnsi="Times New Roman"/>
        </w:rPr>
        <w:t>nd</w:t>
      </w:r>
      <w:r w:rsidR="006E0C71" w:rsidRPr="00B247DF">
        <w:rPr>
          <w:rFonts w:ascii="Times New Roman" w:hAnsi="Times New Roman"/>
        </w:rPr>
        <w:t xml:space="preserve"> s</w:t>
      </w:r>
      <w:r w:rsidR="004178CD" w:rsidRPr="00B247DF">
        <w:rPr>
          <w:rFonts w:ascii="Times New Roman" w:hAnsi="Times New Roman"/>
        </w:rPr>
        <w:t xml:space="preserve"> </w:t>
      </w:r>
      <w:r w:rsidR="006E0C71" w:rsidRPr="00B247DF">
        <w:rPr>
          <w:rFonts w:ascii="Times New Roman" w:hAnsi="Times New Roman"/>
        </w:rPr>
        <w:t xml:space="preserve">16(5) was </w:t>
      </w:r>
      <w:r w:rsidR="001C5239" w:rsidRPr="00B247DF">
        <w:rPr>
          <w:rFonts w:ascii="Times New Roman" w:hAnsi="Times New Roman"/>
        </w:rPr>
        <w:t>inserted</w:t>
      </w:r>
      <w:r w:rsidR="000E1F28" w:rsidRPr="00B247DF">
        <w:rPr>
          <w:rFonts w:ascii="Times New Roman" w:hAnsi="Times New Roman"/>
        </w:rPr>
        <w:t xml:space="preserve"> in its current form</w:t>
      </w:r>
      <w:r w:rsidR="006E0C71" w:rsidRPr="00B247DF">
        <w:rPr>
          <w:rFonts w:ascii="Times New Roman" w:hAnsi="Times New Roman"/>
        </w:rPr>
        <w:t>.</w:t>
      </w:r>
      <w:r w:rsidR="006E0C71" w:rsidRPr="00B247DF">
        <w:rPr>
          <w:rStyle w:val="FootnoteReference"/>
          <w:rFonts w:ascii="Times New Roman" w:hAnsi="Times New Roman"/>
          <w:sz w:val="24"/>
        </w:rPr>
        <w:footnoteReference w:id="24"/>
      </w:r>
      <w:r w:rsidR="00F9456A" w:rsidRPr="00B247DF">
        <w:rPr>
          <w:rFonts w:ascii="Times New Roman" w:hAnsi="Times New Roman"/>
        </w:rPr>
        <w:t xml:space="preserve"> The </w:t>
      </w:r>
      <w:r w:rsidR="007B7395" w:rsidRPr="00B247DF">
        <w:rPr>
          <w:rFonts w:ascii="Times New Roman" w:hAnsi="Times New Roman"/>
        </w:rPr>
        <w:t>effect</w:t>
      </w:r>
      <w:r w:rsidR="00F9456A" w:rsidRPr="00B247DF">
        <w:rPr>
          <w:rFonts w:ascii="Times New Roman" w:hAnsi="Times New Roman"/>
        </w:rPr>
        <w:t xml:space="preserve"> </w:t>
      </w:r>
      <w:r w:rsidR="00C05634" w:rsidRPr="00B247DF">
        <w:rPr>
          <w:rFonts w:ascii="Times New Roman" w:hAnsi="Times New Roman"/>
        </w:rPr>
        <w:t xml:space="preserve">of the amendment to </w:t>
      </w:r>
      <w:r w:rsidR="00624D6B" w:rsidRPr="00B247DF">
        <w:rPr>
          <w:rFonts w:ascii="Times New Roman" w:hAnsi="Times New Roman"/>
        </w:rPr>
        <w:t>s</w:t>
      </w:r>
      <w:r w:rsidR="00BF3927" w:rsidRPr="00B247DF">
        <w:rPr>
          <w:rFonts w:ascii="Times New Roman" w:hAnsi="Times New Roman"/>
        </w:rPr>
        <w:t> </w:t>
      </w:r>
      <w:r w:rsidR="00624D6B" w:rsidRPr="00B247DF">
        <w:rPr>
          <w:rFonts w:ascii="Times New Roman" w:hAnsi="Times New Roman"/>
        </w:rPr>
        <w:t xml:space="preserve">16(1) </w:t>
      </w:r>
      <w:r w:rsidR="00F9456A" w:rsidRPr="00B247DF">
        <w:rPr>
          <w:rFonts w:ascii="Times New Roman" w:hAnsi="Times New Roman"/>
        </w:rPr>
        <w:t xml:space="preserve">was to </w:t>
      </w:r>
      <w:r w:rsidR="0003011A" w:rsidRPr="00B247DF">
        <w:rPr>
          <w:rFonts w:ascii="Times New Roman" w:hAnsi="Times New Roman"/>
        </w:rPr>
        <w:t>make the presentation to the House of Assembly of a report on a proposed work by the Committee under s</w:t>
      </w:r>
      <w:r w:rsidR="0078681C" w:rsidRPr="00B247DF">
        <w:rPr>
          <w:rFonts w:ascii="Times New Roman" w:hAnsi="Times New Roman"/>
        </w:rPr>
        <w:t xml:space="preserve"> </w:t>
      </w:r>
      <w:r w:rsidR="0003011A" w:rsidRPr="00B247DF">
        <w:rPr>
          <w:rFonts w:ascii="Times New Roman" w:hAnsi="Times New Roman"/>
        </w:rPr>
        <w:t xml:space="preserve">16(4) </w:t>
      </w:r>
      <w:r w:rsidR="004C02C7" w:rsidRPr="00B247DF">
        <w:rPr>
          <w:rFonts w:ascii="Times New Roman" w:hAnsi="Times New Roman"/>
        </w:rPr>
        <w:t xml:space="preserve">following referral </w:t>
      </w:r>
      <w:r w:rsidR="009D5D97" w:rsidRPr="00B247DF">
        <w:rPr>
          <w:rFonts w:ascii="Times New Roman" w:hAnsi="Times New Roman"/>
        </w:rPr>
        <w:t xml:space="preserve">of the proposed work to the Committee by the Governor under </w:t>
      </w:r>
      <w:r w:rsidR="004C02C7" w:rsidRPr="00B247DF">
        <w:rPr>
          <w:rFonts w:ascii="Times New Roman" w:hAnsi="Times New Roman"/>
        </w:rPr>
        <w:t xml:space="preserve">s 16(2) </w:t>
      </w:r>
      <w:r w:rsidR="0003011A" w:rsidRPr="00B247DF">
        <w:rPr>
          <w:rFonts w:ascii="Times New Roman" w:hAnsi="Times New Roman"/>
        </w:rPr>
        <w:t xml:space="preserve">a </w:t>
      </w:r>
      <w:r w:rsidR="00F9456A" w:rsidRPr="00B247DF">
        <w:rPr>
          <w:rFonts w:ascii="Times New Roman" w:hAnsi="Times New Roman"/>
        </w:rPr>
        <w:t xml:space="preserve">condition precedent </w:t>
      </w:r>
      <w:r w:rsidR="00624D6B" w:rsidRPr="00B247DF">
        <w:rPr>
          <w:rFonts w:ascii="Times New Roman" w:hAnsi="Times New Roman"/>
        </w:rPr>
        <w:t>to</w:t>
      </w:r>
      <w:r w:rsidR="0003011A" w:rsidRPr="00B247DF">
        <w:rPr>
          <w:rFonts w:ascii="Times New Roman" w:hAnsi="Times New Roman"/>
        </w:rPr>
        <w:t xml:space="preserve"> </w:t>
      </w:r>
      <w:r w:rsidR="00F9456A" w:rsidRPr="00B247DF">
        <w:rPr>
          <w:rFonts w:ascii="Times New Roman" w:hAnsi="Times New Roman"/>
        </w:rPr>
        <w:t>the commencement</w:t>
      </w:r>
      <w:r w:rsidR="0003011A" w:rsidRPr="00B247DF">
        <w:rPr>
          <w:rFonts w:ascii="Times New Roman" w:hAnsi="Times New Roman"/>
        </w:rPr>
        <w:t xml:space="preserve"> </w:t>
      </w:r>
      <w:r w:rsidR="00F9456A" w:rsidRPr="00B247DF">
        <w:rPr>
          <w:rFonts w:ascii="Times New Roman" w:hAnsi="Times New Roman"/>
        </w:rPr>
        <w:t>of a public work</w:t>
      </w:r>
      <w:r w:rsidR="00C7658F" w:rsidRPr="00B247DF">
        <w:rPr>
          <w:rFonts w:ascii="Times New Roman" w:hAnsi="Times New Roman"/>
        </w:rPr>
        <w:t xml:space="preserve"> </w:t>
      </w:r>
      <w:r w:rsidR="000011D6" w:rsidRPr="00B247DF">
        <w:rPr>
          <w:rFonts w:ascii="Times New Roman" w:hAnsi="Times New Roman"/>
        </w:rPr>
        <w:t xml:space="preserve">only if that public work was </w:t>
      </w:r>
      <w:r w:rsidR="00C7658F" w:rsidRPr="00B247DF">
        <w:rPr>
          <w:rFonts w:ascii="Times New Roman" w:hAnsi="Times New Roman"/>
        </w:rPr>
        <w:t>within the scope of s 15(1)</w:t>
      </w:r>
      <w:r w:rsidR="005C6858" w:rsidRPr="00B247DF">
        <w:rPr>
          <w:rFonts w:ascii="Times New Roman" w:hAnsi="Times New Roman"/>
        </w:rPr>
        <w:t xml:space="preserve">. </w:t>
      </w:r>
      <w:r w:rsidR="00A72559" w:rsidRPr="00B247DF">
        <w:rPr>
          <w:rFonts w:ascii="Times New Roman" w:hAnsi="Times New Roman"/>
        </w:rPr>
        <w:t>T</w:t>
      </w:r>
      <w:r w:rsidR="007B7395" w:rsidRPr="00B247DF">
        <w:rPr>
          <w:rFonts w:ascii="Times New Roman" w:hAnsi="Times New Roman"/>
        </w:rPr>
        <w:t xml:space="preserve">he effect of the </w:t>
      </w:r>
      <w:r w:rsidR="008026A3" w:rsidRPr="00B247DF">
        <w:rPr>
          <w:rFonts w:ascii="Times New Roman" w:hAnsi="Times New Roman"/>
        </w:rPr>
        <w:t>insertion of</w:t>
      </w:r>
      <w:r w:rsidR="007B7395" w:rsidRPr="00B247DF">
        <w:rPr>
          <w:rFonts w:ascii="Times New Roman" w:hAnsi="Times New Roman"/>
        </w:rPr>
        <w:t xml:space="preserve"> s 16(</w:t>
      </w:r>
      <w:r w:rsidR="008026A3" w:rsidRPr="00B247DF">
        <w:rPr>
          <w:rFonts w:ascii="Times New Roman" w:hAnsi="Times New Roman"/>
        </w:rPr>
        <w:t>5</w:t>
      </w:r>
      <w:r w:rsidR="007B7395" w:rsidRPr="00B247DF">
        <w:rPr>
          <w:rFonts w:ascii="Times New Roman" w:hAnsi="Times New Roman"/>
        </w:rPr>
        <w:t>) was to</w:t>
      </w:r>
      <w:r w:rsidR="00C93DE3" w:rsidRPr="00B247DF">
        <w:rPr>
          <w:rFonts w:ascii="Times New Roman" w:hAnsi="Times New Roman"/>
        </w:rPr>
        <w:t xml:space="preserve"> add to th</w:t>
      </w:r>
      <w:r w:rsidR="001F4200" w:rsidRPr="00B247DF">
        <w:rPr>
          <w:rFonts w:ascii="Times New Roman" w:hAnsi="Times New Roman"/>
        </w:rPr>
        <w:t>e</w:t>
      </w:r>
      <w:r w:rsidR="00C93DE3" w:rsidRPr="00B247DF">
        <w:rPr>
          <w:rFonts w:ascii="Times New Roman" w:hAnsi="Times New Roman"/>
        </w:rPr>
        <w:t xml:space="preserve"> condition</w:t>
      </w:r>
      <w:r w:rsidR="003D4963" w:rsidRPr="00B247DF">
        <w:rPr>
          <w:rFonts w:ascii="Times New Roman" w:hAnsi="Times New Roman"/>
        </w:rPr>
        <w:t>s</w:t>
      </w:r>
      <w:r w:rsidR="00C93DE3" w:rsidRPr="00B247DF">
        <w:rPr>
          <w:rFonts w:ascii="Times New Roman" w:hAnsi="Times New Roman"/>
        </w:rPr>
        <w:t xml:space="preserve"> precedent in s</w:t>
      </w:r>
      <w:r w:rsidR="00405813" w:rsidRPr="00B247DF">
        <w:rPr>
          <w:rFonts w:ascii="Times New Roman" w:hAnsi="Times New Roman"/>
        </w:rPr>
        <w:t> </w:t>
      </w:r>
      <w:r w:rsidR="00C72169" w:rsidRPr="00B247DF">
        <w:rPr>
          <w:rFonts w:ascii="Times New Roman" w:hAnsi="Times New Roman"/>
        </w:rPr>
        <w:t>16(1)</w:t>
      </w:r>
      <w:r w:rsidR="00014D2B" w:rsidRPr="00B247DF">
        <w:rPr>
          <w:rFonts w:ascii="Times New Roman" w:hAnsi="Times New Roman"/>
        </w:rPr>
        <w:t xml:space="preserve"> </w:t>
      </w:r>
      <w:r w:rsidR="007B7395" w:rsidRPr="00B247DF">
        <w:rPr>
          <w:rFonts w:ascii="Times New Roman" w:hAnsi="Times New Roman"/>
        </w:rPr>
        <w:t xml:space="preserve">a </w:t>
      </w:r>
      <w:r w:rsidR="008026A3" w:rsidRPr="00B247DF">
        <w:rPr>
          <w:rFonts w:ascii="Times New Roman" w:hAnsi="Times New Roman"/>
        </w:rPr>
        <w:t xml:space="preserve">further </w:t>
      </w:r>
      <w:r w:rsidR="007B7395" w:rsidRPr="00B247DF">
        <w:rPr>
          <w:rFonts w:ascii="Times New Roman" w:hAnsi="Times New Roman"/>
        </w:rPr>
        <w:t xml:space="preserve">condition precedent </w:t>
      </w:r>
      <w:r w:rsidR="00C52A54" w:rsidRPr="00B247DF">
        <w:rPr>
          <w:rFonts w:ascii="Times New Roman" w:hAnsi="Times New Roman"/>
        </w:rPr>
        <w:t xml:space="preserve">that </w:t>
      </w:r>
      <w:r w:rsidR="007B79FD" w:rsidRPr="00B247DF">
        <w:rPr>
          <w:rFonts w:ascii="Times New Roman" w:hAnsi="Times New Roman"/>
        </w:rPr>
        <w:t xml:space="preserve">the Committee </w:t>
      </w:r>
      <w:r w:rsidR="008037EC" w:rsidRPr="00B247DF">
        <w:rPr>
          <w:rFonts w:ascii="Times New Roman" w:hAnsi="Times New Roman"/>
        </w:rPr>
        <w:t>ha</w:t>
      </w:r>
      <w:r w:rsidR="00E862A5" w:rsidRPr="00B247DF">
        <w:rPr>
          <w:rFonts w:ascii="Times New Roman" w:hAnsi="Times New Roman"/>
        </w:rPr>
        <w:t>d</w:t>
      </w:r>
      <w:r w:rsidR="007B79FD" w:rsidRPr="00B247DF">
        <w:rPr>
          <w:rFonts w:ascii="Times New Roman" w:hAnsi="Times New Roman"/>
        </w:rPr>
        <w:t xml:space="preserve"> </w:t>
      </w:r>
      <w:r w:rsidR="004A7FA6" w:rsidRPr="00B247DF">
        <w:rPr>
          <w:rFonts w:ascii="Times New Roman" w:hAnsi="Times New Roman"/>
        </w:rPr>
        <w:t xml:space="preserve">recommended in </w:t>
      </w:r>
      <w:r w:rsidR="0096635A" w:rsidRPr="00B247DF">
        <w:rPr>
          <w:rFonts w:ascii="Times New Roman" w:hAnsi="Times New Roman"/>
        </w:rPr>
        <w:t>the</w:t>
      </w:r>
      <w:r w:rsidR="007B7395" w:rsidRPr="00B247DF">
        <w:rPr>
          <w:rFonts w:ascii="Times New Roman" w:hAnsi="Times New Roman"/>
        </w:rPr>
        <w:t xml:space="preserve"> </w:t>
      </w:r>
      <w:r w:rsidR="001808B3" w:rsidRPr="00B247DF">
        <w:rPr>
          <w:rFonts w:ascii="Times New Roman" w:hAnsi="Times New Roman"/>
        </w:rPr>
        <w:t xml:space="preserve">report </w:t>
      </w:r>
      <w:r w:rsidR="00E862A5" w:rsidRPr="00B247DF">
        <w:rPr>
          <w:rFonts w:ascii="Times New Roman" w:hAnsi="Times New Roman"/>
        </w:rPr>
        <w:t xml:space="preserve">under s 16(4) </w:t>
      </w:r>
      <w:r w:rsidR="004A7FA6" w:rsidRPr="00B247DF">
        <w:rPr>
          <w:rFonts w:ascii="Times New Roman" w:hAnsi="Times New Roman"/>
        </w:rPr>
        <w:t xml:space="preserve">that the proposed </w:t>
      </w:r>
      <w:r w:rsidR="00363BEA" w:rsidRPr="00B247DF">
        <w:rPr>
          <w:rFonts w:ascii="Times New Roman" w:hAnsi="Times New Roman"/>
        </w:rPr>
        <w:t>work be carried out.</w:t>
      </w:r>
    </w:p>
    <w:p w14:paraId="19C337AE" w14:textId="5E7A138D" w:rsidR="005769F0" w:rsidRPr="00B247DF" w:rsidRDefault="005769F0" w:rsidP="00B247DF">
      <w:pPr>
        <w:pStyle w:val="FixListStyle"/>
        <w:spacing w:after="260" w:line="280" w:lineRule="exact"/>
        <w:ind w:right="0"/>
        <w:jc w:val="both"/>
        <w:rPr>
          <w:rFonts w:ascii="Times New Roman" w:hAnsi="Times New Roman"/>
        </w:rPr>
      </w:pPr>
      <w:r w:rsidRPr="00B247DF">
        <w:rPr>
          <w:rFonts w:ascii="Times New Roman" w:hAnsi="Times New Roman"/>
        </w:rPr>
        <w:lastRenderedPageBreak/>
        <w:tab/>
      </w:r>
      <w:r w:rsidR="00F02707" w:rsidRPr="00B247DF">
        <w:rPr>
          <w:rFonts w:ascii="Times New Roman" w:hAnsi="Times New Roman"/>
        </w:rPr>
        <w:t>N</w:t>
      </w:r>
      <w:r w:rsidR="00E16BF0" w:rsidRPr="00B247DF">
        <w:rPr>
          <w:rFonts w:ascii="Times New Roman" w:hAnsi="Times New Roman"/>
        </w:rPr>
        <w:t>otwithstanding</w:t>
      </w:r>
      <w:r w:rsidR="00DD3D74" w:rsidRPr="00B247DF">
        <w:rPr>
          <w:rFonts w:ascii="Times New Roman" w:hAnsi="Times New Roman"/>
        </w:rPr>
        <w:t xml:space="preserve"> th</w:t>
      </w:r>
      <w:r w:rsidR="00F02707" w:rsidRPr="00B247DF">
        <w:rPr>
          <w:rFonts w:ascii="Times New Roman" w:hAnsi="Times New Roman"/>
        </w:rPr>
        <w:t>ose</w:t>
      </w:r>
      <w:r w:rsidR="00DD3D74" w:rsidRPr="00B247DF">
        <w:rPr>
          <w:rFonts w:ascii="Times New Roman" w:hAnsi="Times New Roman"/>
        </w:rPr>
        <w:t xml:space="preserve"> amendments</w:t>
      </w:r>
      <w:r w:rsidR="004A064E" w:rsidRPr="00B247DF">
        <w:rPr>
          <w:rFonts w:ascii="Times New Roman" w:hAnsi="Times New Roman"/>
        </w:rPr>
        <w:t xml:space="preserve"> </w:t>
      </w:r>
      <w:r w:rsidR="009B7433" w:rsidRPr="00B247DF">
        <w:rPr>
          <w:rFonts w:ascii="Times New Roman" w:hAnsi="Times New Roman"/>
        </w:rPr>
        <w:t xml:space="preserve">to </w:t>
      </w:r>
      <w:r w:rsidR="00DD3D74" w:rsidRPr="00B247DF">
        <w:rPr>
          <w:rFonts w:ascii="Times New Roman" w:hAnsi="Times New Roman"/>
        </w:rPr>
        <w:t>s</w:t>
      </w:r>
      <w:r w:rsidR="004A064E" w:rsidRPr="00B247DF">
        <w:rPr>
          <w:rFonts w:ascii="Times New Roman" w:hAnsi="Times New Roman"/>
        </w:rPr>
        <w:t xml:space="preserve"> 16</w:t>
      </w:r>
      <w:r w:rsidR="00DD3D74" w:rsidRPr="00B247DF">
        <w:rPr>
          <w:rFonts w:ascii="Times New Roman" w:hAnsi="Times New Roman"/>
        </w:rPr>
        <w:t>(1) and (5)</w:t>
      </w:r>
      <w:r w:rsidR="00662AC0" w:rsidRPr="00B247DF">
        <w:rPr>
          <w:rFonts w:ascii="Times New Roman" w:hAnsi="Times New Roman"/>
        </w:rPr>
        <w:t xml:space="preserve">, </w:t>
      </w:r>
      <w:r w:rsidR="00E6118B" w:rsidRPr="00B247DF">
        <w:rPr>
          <w:rFonts w:ascii="Times New Roman" w:hAnsi="Times New Roman"/>
        </w:rPr>
        <w:t xml:space="preserve">the substantive operation of </w:t>
      </w:r>
      <w:r w:rsidR="00662AC0" w:rsidRPr="00B247DF">
        <w:rPr>
          <w:rFonts w:ascii="Times New Roman" w:hAnsi="Times New Roman"/>
        </w:rPr>
        <w:t xml:space="preserve">s 16(1) </w:t>
      </w:r>
      <w:r w:rsidR="00D60C96" w:rsidRPr="00B247DF">
        <w:rPr>
          <w:rFonts w:ascii="Times New Roman" w:hAnsi="Times New Roman"/>
        </w:rPr>
        <w:t>in its current form differs</w:t>
      </w:r>
      <w:r w:rsidR="00E6118B" w:rsidRPr="00B247DF">
        <w:rPr>
          <w:rFonts w:ascii="Times New Roman" w:hAnsi="Times New Roman"/>
        </w:rPr>
        <w:t xml:space="preserve"> only slightly from the</w:t>
      </w:r>
      <w:r w:rsidR="00743BB3" w:rsidRPr="00B247DF">
        <w:rPr>
          <w:rFonts w:ascii="Times New Roman" w:hAnsi="Times New Roman"/>
        </w:rPr>
        <w:t xml:space="preserve"> </w:t>
      </w:r>
      <w:r w:rsidR="003D5523" w:rsidRPr="00B247DF">
        <w:rPr>
          <w:rFonts w:ascii="Times New Roman" w:hAnsi="Times New Roman"/>
        </w:rPr>
        <w:t xml:space="preserve">substantive </w:t>
      </w:r>
      <w:r w:rsidR="00743BB3" w:rsidRPr="00B247DF">
        <w:rPr>
          <w:rFonts w:ascii="Times New Roman" w:hAnsi="Times New Roman"/>
        </w:rPr>
        <w:t>operation</w:t>
      </w:r>
      <w:r w:rsidR="00C301AF" w:rsidRPr="00B247DF">
        <w:rPr>
          <w:rFonts w:ascii="Times New Roman" w:hAnsi="Times New Roman"/>
        </w:rPr>
        <w:t xml:space="preserve"> </w:t>
      </w:r>
      <w:r w:rsidR="00430247" w:rsidRPr="00B247DF">
        <w:rPr>
          <w:rFonts w:ascii="Times New Roman" w:hAnsi="Times New Roman"/>
        </w:rPr>
        <w:t xml:space="preserve">of </w:t>
      </w:r>
      <w:r w:rsidR="00D60C96" w:rsidRPr="00B247DF">
        <w:rPr>
          <w:rFonts w:ascii="Times New Roman" w:hAnsi="Times New Roman"/>
        </w:rPr>
        <w:t xml:space="preserve">s 16(1) </w:t>
      </w:r>
      <w:r w:rsidR="004B29F2" w:rsidRPr="00B247DF">
        <w:rPr>
          <w:rFonts w:ascii="Times New Roman" w:hAnsi="Times New Roman"/>
        </w:rPr>
        <w:t xml:space="preserve">as </w:t>
      </w:r>
      <w:r w:rsidR="00662AC0" w:rsidRPr="00B247DF">
        <w:rPr>
          <w:rFonts w:ascii="Times New Roman" w:hAnsi="Times New Roman"/>
        </w:rPr>
        <w:t>originally enacted</w:t>
      </w:r>
      <w:r w:rsidR="00C301AF" w:rsidRPr="00B247DF">
        <w:rPr>
          <w:rFonts w:ascii="Times New Roman" w:hAnsi="Times New Roman"/>
        </w:rPr>
        <w:t xml:space="preserve">. </w:t>
      </w:r>
      <w:r w:rsidR="00E6118B" w:rsidRPr="00B247DF">
        <w:rPr>
          <w:rFonts w:ascii="Times New Roman" w:hAnsi="Times New Roman"/>
        </w:rPr>
        <w:t>To rec</w:t>
      </w:r>
      <w:r w:rsidR="00026842" w:rsidRPr="00B247DF">
        <w:rPr>
          <w:rFonts w:ascii="Times New Roman" w:hAnsi="Times New Roman"/>
        </w:rPr>
        <w:t>apitulate</w:t>
      </w:r>
      <w:r w:rsidR="0063087A" w:rsidRPr="00B247DF">
        <w:rPr>
          <w:rFonts w:ascii="Times New Roman" w:hAnsi="Times New Roman"/>
        </w:rPr>
        <w:t>,</w:t>
      </w:r>
      <w:r w:rsidR="00026842" w:rsidRPr="00B247DF">
        <w:rPr>
          <w:rFonts w:ascii="Times New Roman" w:hAnsi="Times New Roman"/>
        </w:rPr>
        <w:t xml:space="preserve"> s</w:t>
      </w:r>
      <w:r w:rsidR="00B80B92" w:rsidRPr="00B247DF">
        <w:rPr>
          <w:rFonts w:ascii="Times New Roman" w:hAnsi="Times New Roman"/>
        </w:rPr>
        <w:t xml:space="preserve"> 16(1)</w:t>
      </w:r>
      <w:r w:rsidR="00C301AF" w:rsidRPr="00B247DF">
        <w:rPr>
          <w:rFonts w:ascii="Times New Roman" w:hAnsi="Times New Roman"/>
        </w:rPr>
        <w:t xml:space="preserve"> as originally enacted</w:t>
      </w:r>
      <w:r w:rsidR="00B80B92" w:rsidRPr="00B247DF">
        <w:rPr>
          <w:rFonts w:ascii="Times New Roman" w:hAnsi="Times New Roman"/>
        </w:rPr>
        <w:t xml:space="preserve"> </w:t>
      </w:r>
      <w:r w:rsidR="00E256DD" w:rsidRPr="00B247DF">
        <w:rPr>
          <w:rFonts w:ascii="Times New Roman" w:hAnsi="Times New Roman"/>
        </w:rPr>
        <w:t>stipulated as</w:t>
      </w:r>
      <w:r w:rsidR="00B80B92" w:rsidRPr="00B247DF">
        <w:rPr>
          <w:rFonts w:ascii="Times New Roman" w:hAnsi="Times New Roman"/>
        </w:rPr>
        <w:t xml:space="preserve"> </w:t>
      </w:r>
      <w:r w:rsidR="00662AC0" w:rsidRPr="00B247DF">
        <w:rPr>
          <w:rFonts w:ascii="Times New Roman" w:hAnsi="Times New Roman"/>
        </w:rPr>
        <w:t>condition</w:t>
      </w:r>
      <w:r w:rsidR="00E256DD" w:rsidRPr="00B247DF">
        <w:rPr>
          <w:rFonts w:ascii="Times New Roman" w:hAnsi="Times New Roman"/>
        </w:rPr>
        <w:t>s</w:t>
      </w:r>
      <w:r w:rsidR="00662AC0" w:rsidRPr="00B247DF">
        <w:rPr>
          <w:rFonts w:ascii="Times New Roman" w:hAnsi="Times New Roman"/>
        </w:rPr>
        <w:t xml:space="preserve"> precedent to the commencement of any public work that the proposed work</w:t>
      </w:r>
      <w:r w:rsidR="001878D3" w:rsidRPr="00B247DF">
        <w:rPr>
          <w:rFonts w:ascii="Times New Roman" w:hAnsi="Times New Roman"/>
        </w:rPr>
        <w:t xml:space="preserve"> ha</w:t>
      </w:r>
      <w:r w:rsidR="00EC2C0D" w:rsidRPr="00B247DF">
        <w:rPr>
          <w:rFonts w:ascii="Times New Roman" w:hAnsi="Times New Roman"/>
        </w:rPr>
        <w:t>d</w:t>
      </w:r>
      <w:r w:rsidR="001878D3" w:rsidRPr="00B247DF">
        <w:rPr>
          <w:rFonts w:ascii="Times New Roman" w:hAnsi="Times New Roman"/>
        </w:rPr>
        <w:t xml:space="preserve"> been: referred to the Committee by the Governor under s 16(2); reported on to the House of Assembly by the Committee under s</w:t>
      </w:r>
      <w:r w:rsidR="00C25072">
        <w:rPr>
          <w:rFonts w:ascii="Times New Roman" w:hAnsi="Times New Roman"/>
        </w:rPr>
        <w:t> </w:t>
      </w:r>
      <w:r w:rsidR="001878D3" w:rsidRPr="00B247DF">
        <w:rPr>
          <w:rFonts w:ascii="Times New Roman" w:hAnsi="Times New Roman"/>
        </w:rPr>
        <w:t xml:space="preserve">16(4); and </w:t>
      </w:r>
      <w:r w:rsidR="00662AC0" w:rsidRPr="00B247DF">
        <w:rPr>
          <w:rFonts w:ascii="Times New Roman" w:hAnsi="Times New Roman"/>
        </w:rPr>
        <w:t xml:space="preserve">sanctioned by a resolution of the House of Assembly </w:t>
      </w:r>
      <w:r w:rsidR="00026842" w:rsidRPr="00B247DF">
        <w:rPr>
          <w:rFonts w:ascii="Times New Roman" w:hAnsi="Times New Roman"/>
        </w:rPr>
        <w:t xml:space="preserve">under s 16(5) as originally enacted </w:t>
      </w:r>
      <w:r w:rsidR="00662AC0" w:rsidRPr="00B247DF">
        <w:rPr>
          <w:rFonts w:ascii="Times New Roman" w:hAnsi="Times New Roman"/>
        </w:rPr>
        <w:t>declar</w:t>
      </w:r>
      <w:r w:rsidR="00C301AF" w:rsidRPr="00B247DF">
        <w:rPr>
          <w:rFonts w:ascii="Times New Roman" w:hAnsi="Times New Roman"/>
        </w:rPr>
        <w:t>ing</w:t>
      </w:r>
      <w:r w:rsidR="00662AC0" w:rsidRPr="00B247DF">
        <w:rPr>
          <w:rFonts w:ascii="Times New Roman" w:hAnsi="Times New Roman"/>
        </w:rPr>
        <w:t xml:space="preserve"> it expedient to carry out the work.</w:t>
      </w:r>
      <w:r w:rsidR="00EC2C0D" w:rsidRPr="00B247DF">
        <w:rPr>
          <w:rFonts w:ascii="Times New Roman" w:hAnsi="Times New Roman"/>
        </w:rPr>
        <w:t xml:space="preserve"> </w:t>
      </w:r>
      <w:r w:rsidR="00743BB3" w:rsidRPr="00B247DF">
        <w:rPr>
          <w:rFonts w:ascii="Times New Roman" w:hAnsi="Times New Roman"/>
        </w:rPr>
        <w:t>Section</w:t>
      </w:r>
      <w:r w:rsidR="00EC2C0D" w:rsidRPr="00B247DF">
        <w:rPr>
          <w:rFonts w:ascii="Times New Roman" w:hAnsi="Times New Roman"/>
        </w:rPr>
        <w:t xml:space="preserve"> 16(1) in its current form </w:t>
      </w:r>
      <w:r w:rsidR="00673F60" w:rsidRPr="00B247DF">
        <w:rPr>
          <w:rFonts w:ascii="Times New Roman" w:hAnsi="Times New Roman"/>
        </w:rPr>
        <w:t xml:space="preserve">now </w:t>
      </w:r>
      <w:r w:rsidR="00676333" w:rsidRPr="00B247DF">
        <w:rPr>
          <w:rFonts w:ascii="Times New Roman" w:hAnsi="Times New Roman"/>
        </w:rPr>
        <w:t>stipulates as</w:t>
      </w:r>
      <w:r w:rsidR="00EC2C0D" w:rsidRPr="00B247DF">
        <w:rPr>
          <w:rFonts w:ascii="Times New Roman" w:hAnsi="Times New Roman"/>
        </w:rPr>
        <w:t xml:space="preserve"> condition</w:t>
      </w:r>
      <w:r w:rsidR="0092297B" w:rsidRPr="00B247DF">
        <w:rPr>
          <w:rFonts w:ascii="Times New Roman" w:hAnsi="Times New Roman"/>
        </w:rPr>
        <w:t>s</w:t>
      </w:r>
      <w:r w:rsidR="00EC2C0D" w:rsidRPr="00B247DF">
        <w:rPr>
          <w:rFonts w:ascii="Times New Roman" w:hAnsi="Times New Roman"/>
        </w:rPr>
        <w:t xml:space="preserve"> precedent to the commencement of a public work within the scope of s 15(1) that the proposed work has been referred to the Committee by the Governor under s 16(2) and reported on to the House of Assembly by the Committee under s</w:t>
      </w:r>
      <w:r w:rsidR="0028383D" w:rsidRPr="00B247DF">
        <w:rPr>
          <w:rFonts w:ascii="Times New Roman" w:hAnsi="Times New Roman"/>
        </w:rPr>
        <w:t> </w:t>
      </w:r>
      <w:r w:rsidR="00EC2C0D" w:rsidRPr="00B247DF">
        <w:rPr>
          <w:rFonts w:ascii="Times New Roman" w:hAnsi="Times New Roman"/>
        </w:rPr>
        <w:t xml:space="preserve">16(4). </w:t>
      </w:r>
      <w:r w:rsidR="004B28A4" w:rsidRPr="00B247DF">
        <w:rPr>
          <w:rFonts w:ascii="Times New Roman" w:hAnsi="Times New Roman"/>
        </w:rPr>
        <w:t>To s 16(1)</w:t>
      </w:r>
      <w:r w:rsidR="00500352" w:rsidRPr="00B247DF">
        <w:rPr>
          <w:rFonts w:ascii="Times New Roman" w:hAnsi="Times New Roman"/>
        </w:rPr>
        <w:t xml:space="preserve"> in its current form is</w:t>
      </w:r>
      <w:r w:rsidR="004B28A4" w:rsidRPr="00B247DF">
        <w:rPr>
          <w:rFonts w:ascii="Times New Roman" w:hAnsi="Times New Roman"/>
        </w:rPr>
        <w:t xml:space="preserve"> added</w:t>
      </w:r>
      <w:r w:rsidR="00C9506C" w:rsidRPr="00B247DF">
        <w:rPr>
          <w:rFonts w:ascii="Times New Roman" w:hAnsi="Times New Roman"/>
        </w:rPr>
        <w:t xml:space="preserve"> s 16(5) in its current form, </w:t>
      </w:r>
      <w:r w:rsidR="00EA491C" w:rsidRPr="00B247DF">
        <w:rPr>
          <w:rFonts w:ascii="Times New Roman" w:hAnsi="Times New Roman"/>
        </w:rPr>
        <w:t>stipulating as</w:t>
      </w:r>
      <w:r w:rsidR="00500352" w:rsidRPr="00B247DF">
        <w:rPr>
          <w:rFonts w:ascii="Times New Roman" w:hAnsi="Times New Roman"/>
        </w:rPr>
        <w:t xml:space="preserve"> a further condition precedent to the commencement </w:t>
      </w:r>
      <w:r w:rsidR="00FD5344" w:rsidRPr="00B247DF">
        <w:rPr>
          <w:rFonts w:ascii="Times New Roman" w:hAnsi="Times New Roman"/>
        </w:rPr>
        <w:t xml:space="preserve">of a public work within the scope of s 15(1) </w:t>
      </w:r>
      <w:r w:rsidR="00500352" w:rsidRPr="00B247DF">
        <w:rPr>
          <w:rFonts w:ascii="Times New Roman" w:hAnsi="Times New Roman"/>
        </w:rPr>
        <w:t>that the Committee ha</w:t>
      </w:r>
      <w:r w:rsidR="002E22A3" w:rsidRPr="00B247DF">
        <w:rPr>
          <w:rFonts w:ascii="Times New Roman" w:hAnsi="Times New Roman"/>
        </w:rPr>
        <w:t>s</w:t>
      </w:r>
      <w:r w:rsidR="00500352" w:rsidRPr="00B247DF">
        <w:rPr>
          <w:rFonts w:ascii="Times New Roman" w:hAnsi="Times New Roman"/>
        </w:rPr>
        <w:t xml:space="preserve"> recommended in the report </w:t>
      </w:r>
      <w:r w:rsidR="00FD5344" w:rsidRPr="00B247DF">
        <w:rPr>
          <w:rFonts w:ascii="Times New Roman" w:hAnsi="Times New Roman"/>
        </w:rPr>
        <w:t>under s 16(4)</w:t>
      </w:r>
      <w:r w:rsidR="007C7A43" w:rsidRPr="00B247DF">
        <w:rPr>
          <w:rFonts w:ascii="Times New Roman" w:hAnsi="Times New Roman"/>
        </w:rPr>
        <w:t xml:space="preserve"> </w:t>
      </w:r>
      <w:r w:rsidR="00500352" w:rsidRPr="00B247DF">
        <w:rPr>
          <w:rFonts w:ascii="Times New Roman" w:hAnsi="Times New Roman"/>
        </w:rPr>
        <w:t>that the proposed work be carried out.</w:t>
      </w:r>
      <w:r w:rsidR="00024789" w:rsidRPr="00B247DF">
        <w:rPr>
          <w:rFonts w:ascii="Times New Roman" w:hAnsi="Times New Roman"/>
        </w:rPr>
        <w:t xml:space="preserve"> </w:t>
      </w:r>
      <w:r w:rsidR="0098715A" w:rsidRPr="00B247DF">
        <w:rPr>
          <w:rFonts w:ascii="Times New Roman" w:hAnsi="Times New Roman"/>
        </w:rPr>
        <w:t xml:space="preserve">The </w:t>
      </w:r>
      <w:r w:rsidR="00CC41CE" w:rsidRPr="00B247DF">
        <w:rPr>
          <w:rFonts w:ascii="Times New Roman" w:hAnsi="Times New Roman"/>
        </w:rPr>
        <w:t xml:space="preserve">only difference </w:t>
      </w:r>
      <w:r w:rsidR="00CA5B35" w:rsidRPr="00B247DF">
        <w:rPr>
          <w:rFonts w:ascii="Times New Roman" w:hAnsi="Times New Roman"/>
        </w:rPr>
        <w:t xml:space="preserve">of substance </w:t>
      </w:r>
      <w:r w:rsidR="0098508B" w:rsidRPr="00B247DF">
        <w:rPr>
          <w:rFonts w:ascii="Times New Roman" w:hAnsi="Times New Roman"/>
        </w:rPr>
        <w:t xml:space="preserve">in </w:t>
      </w:r>
      <w:r w:rsidR="002E5350" w:rsidRPr="00B247DF">
        <w:rPr>
          <w:rFonts w:ascii="Times New Roman" w:hAnsi="Times New Roman"/>
        </w:rPr>
        <w:t>the combined operation of the provisions</w:t>
      </w:r>
      <w:r w:rsidR="0098508B" w:rsidRPr="00B247DF">
        <w:rPr>
          <w:rFonts w:ascii="Times New Roman" w:hAnsi="Times New Roman"/>
        </w:rPr>
        <w:t xml:space="preserve"> </w:t>
      </w:r>
      <w:r w:rsidR="004E665A" w:rsidRPr="00B247DF">
        <w:rPr>
          <w:rFonts w:ascii="Times New Roman" w:hAnsi="Times New Roman"/>
        </w:rPr>
        <w:t xml:space="preserve">of s 16(1) and (5) </w:t>
      </w:r>
      <w:r w:rsidR="0098508B" w:rsidRPr="00B247DF">
        <w:rPr>
          <w:rFonts w:ascii="Times New Roman" w:hAnsi="Times New Roman"/>
        </w:rPr>
        <w:t xml:space="preserve">is that the </w:t>
      </w:r>
      <w:r w:rsidR="007C7A43" w:rsidRPr="00B247DF">
        <w:rPr>
          <w:rFonts w:ascii="Times New Roman" w:hAnsi="Times New Roman"/>
        </w:rPr>
        <w:t>original</w:t>
      </w:r>
      <w:r w:rsidR="00D472EE" w:rsidRPr="00B247DF">
        <w:rPr>
          <w:rFonts w:ascii="Times New Roman" w:hAnsi="Times New Roman"/>
        </w:rPr>
        <w:t xml:space="preserve"> </w:t>
      </w:r>
      <w:r w:rsidR="00C6386B" w:rsidRPr="00B247DF">
        <w:rPr>
          <w:rFonts w:ascii="Times New Roman" w:hAnsi="Times New Roman"/>
        </w:rPr>
        <w:t xml:space="preserve">need for </w:t>
      </w:r>
      <w:r w:rsidR="00D472EE" w:rsidRPr="00B247DF">
        <w:rPr>
          <w:rFonts w:ascii="Times New Roman" w:hAnsi="Times New Roman"/>
        </w:rPr>
        <w:t>a</w:t>
      </w:r>
      <w:r w:rsidR="00C6386B" w:rsidRPr="00B247DF">
        <w:rPr>
          <w:rFonts w:ascii="Times New Roman" w:hAnsi="Times New Roman"/>
        </w:rPr>
        <w:t xml:space="preserve"> </w:t>
      </w:r>
      <w:r w:rsidR="00F70D28" w:rsidRPr="00B247DF">
        <w:rPr>
          <w:rFonts w:ascii="Times New Roman" w:hAnsi="Times New Roman"/>
        </w:rPr>
        <w:t>public</w:t>
      </w:r>
      <w:r w:rsidR="00D472EE" w:rsidRPr="00B247DF">
        <w:rPr>
          <w:rFonts w:ascii="Times New Roman" w:hAnsi="Times New Roman"/>
        </w:rPr>
        <w:t xml:space="preserve"> work to be sanctioned</w:t>
      </w:r>
      <w:r w:rsidR="000E4D53" w:rsidRPr="00B247DF">
        <w:rPr>
          <w:rFonts w:ascii="Times New Roman" w:hAnsi="Times New Roman"/>
        </w:rPr>
        <w:t xml:space="preserve"> </w:t>
      </w:r>
      <w:r w:rsidR="00D472EE" w:rsidRPr="00B247DF">
        <w:rPr>
          <w:rFonts w:ascii="Times New Roman" w:hAnsi="Times New Roman"/>
        </w:rPr>
        <w:t xml:space="preserve">by </w:t>
      </w:r>
      <w:r w:rsidR="009A045C" w:rsidRPr="00B247DF">
        <w:rPr>
          <w:rFonts w:ascii="Times New Roman" w:hAnsi="Times New Roman"/>
        </w:rPr>
        <w:t xml:space="preserve">a </w:t>
      </w:r>
      <w:r w:rsidR="00D472EE" w:rsidRPr="00B247DF">
        <w:rPr>
          <w:rFonts w:ascii="Times New Roman" w:hAnsi="Times New Roman"/>
        </w:rPr>
        <w:t>resolution of</w:t>
      </w:r>
      <w:r w:rsidR="000E4D53" w:rsidRPr="00B247DF">
        <w:rPr>
          <w:rFonts w:ascii="Times New Roman" w:hAnsi="Times New Roman"/>
        </w:rPr>
        <w:t xml:space="preserve"> the House </w:t>
      </w:r>
      <w:r w:rsidR="00E516D4" w:rsidRPr="00B247DF">
        <w:rPr>
          <w:rFonts w:ascii="Times New Roman" w:hAnsi="Times New Roman"/>
        </w:rPr>
        <w:t xml:space="preserve">of Assembly </w:t>
      </w:r>
      <w:r w:rsidR="002E5350" w:rsidRPr="00B247DF">
        <w:rPr>
          <w:rFonts w:ascii="Times New Roman" w:hAnsi="Times New Roman"/>
        </w:rPr>
        <w:t xml:space="preserve">under s 16(5) </w:t>
      </w:r>
      <w:r w:rsidR="00A72F26" w:rsidRPr="00B247DF">
        <w:rPr>
          <w:rFonts w:ascii="Times New Roman" w:hAnsi="Times New Roman"/>
        </w:rPr>
        <w:t xml:space="preserve">as originally enacted, </w:t>
      </w:r>
      <w:r w:rsidR="008F4536" w:rsidRPr="00B247DF">
        <w:rPr>
          <w:rFonts w:ascii="Times New Roman" w:hAnsi="Times New Roman"/>
        </w:rPr>
        <w:t>in order to meet</w:t>
      </w:r>
      <w:r w:rsidR="00DA6E4A" w:rsidRPr="00B247DF">
        <w:rPr>
          <w:rFonts w:ascii="Times New Roman" w:hAnsi="Times New Roman"/>
        </w:rPr>
        <w:t xml:space="preserve"> </w:t>
      </w:r>
      <w:r w:rsidR="00F956B2" w:rsidRPr="00B247DF">
        <w:rPr>
          <w:rFonts w:ascii="Times New Roman" w:hAnsi="Times New Roman"/>
        </w:rPr>
        <w:t xml:space="preserve">a </w:t>
      </w:r>
      <w:r w:rsidR="00DA6E4A" w:rsidRPr="00B247DF">
        <w:rPr>
          <w:rFonts w:ascii="Times New Roman" w:hAnsi="Times New Roman"/>
        </w:rPr>
        <w:t xml:space="preserve">condition precedent </w:t>
      </w:r>
      <w:r w:rsidR="0050077A" w:rsidRPr="00B247DF">
        <w:rPr>
          <w:rFonts w:ascii="Times New Roman" w:hAnsi="Times New Roman"/>
        </w:rPr>
        <w:t>set out in</w:t>
      </w:r>
      <w:r w:rsidR="00DA6E4A" w:rsidRPr="00B247DF">
        <w:rPr>
          <w:rFonts w:ascii="Times New Roman" w:hAnsi="Times New Roman"/>
        </w:rPr>
        <w:t xml:space="preserve"> s 16(1)</w:t>
      </w:r>
      <w:r w:rsidR="00A72F26" w:rsidRPr="00B247DF">
        <w:rPr>
          <w:rFonts w:ascii="Times New Roman" w:hAnsi="Times New Roman"/>
        </w:rPr>
        <w:t>,</w:t>
      </w:r>
      <w:r w:rsidR="008F4536" w:rsidRPr="00B247DF">
        <w:rPr>
          <w:rFonts w:ascii="Times New Roman" w:hAnsi="Times New Roman"/>
        </w:rPr>
        <w:t xml:space="preserve"> </w:t>
      </w:r>
      <w:r w:rsidR="000E4D53" w:rsidRPr="00B247DF">
        <w:rPr>
          <w:rFonts w:ascii="Times New Roman" w:hAnsi="Times New Roman"/>
        </w:rPr>
        <w:t xml:space="preserve">has been replaced </w:t>
      </w:r>
      <w:r w:rsidR="005713F8" w:rsidRPr="00B247DF">
        <w:rPr>
          <w:rFonts w:ascii="Times New Roman" w:hAnsi="Times New Roman"/>
        </w:rPr>
        <w:t xml:space="preserve">by a </w:t>
      </w:r>
      <w:r w:rsidR="004F0E97" w:rsidRPr="00B247DF">
        <w:rPr>
          <w:rFonts w:ascii="Times New Roman" w:hAnsi="Times New Roman"/>
        </w:rPr>
        <w:t>need</w:t>
      </w:r>
      <w:r w:rsidR="005713F8" w:rsidRPr="00B247DF">
        <w:rPr>
          <w:rFonts w:ascii="Times New Roman" w:hAnsi="Times New Roman"/>
        </w:rPr>
        <w:t xml:space="preserve"> </w:t>
      </w:r>
      <w:r w:rsidR="004F0E97" w:rsidRPr="00B247DF">
        <w:rPr>
          <w:rFonts w:ascii="Times New Roman" w:hAnsi="Times New Roman"/>
        </w:rPr>
        <w:t xml:space="preserve">for </w:t>
      </w:r>
      <w:r w:rsidR="005713F8" w:rsidRPr="00B247DF">
        <w:rPr>
          <w:rFonts w:ascii="Times New Roman" w:hAnsi="Times New Roman"/>
        </w:rPr>
        <w:t>the</w:t>
      </w:r>
      <w:r w:rsidR="004F0E97" w:rsidRPr="00B247DF">
        <w:rPr>
          <w:rFonts w:ascii="Times New Roman" w:hAnsi="Times New Roman"/>
        </w:rPr>
        <w:t xml:space="preserve"> </w:t>
      </w:r>
      <w:r w:rsidR="006E78D7" w:rsidRPr="00B247DF">
        <w:rPr>
          <w:rFonts w:ascii="Times New Roman" w:hAnsi="Times New Roman"/>
        </w:rPr>
        <w:t xml:space="preserve">carrying out of the </w:t>
      </w:r>
      <w:r w:rsidR="004F0E97" w:rsidRPr="00B247DF">
        <w:rPr>
          <w:rFonts w:ascii="Times New Roman" w:hAnsi="Times New Roman"/>
        </w:rPr>
        <w:t>pub</w:t>
      </w:r>
      <w:r w:rsidR="00FD3292" w:rsidRPr="00B247DF">
        <w:rPr>
          <w:rFonts w:ascii="Times New Roman" w:hAnsi="Times New Roman"/>
        </w:rPr>
        <w:t>l</w:t>
      </w:r>
      <w:r w:rsidR="004F0E97" w:rsidRPr="00B247DF">
        <w:rPr>
          <w:rFonts w:ascii="Times New Roman" w:hAnsi="Times New Roman"/>
        </w:rPr>
        <w:t>ic work to be</w:t>
      </w:r>
      <w:r w:rsidR="00FD3292" w:rsidRPr="00B247DF">
        <w:rPr>
          <w:rFonts w:ascii="Times New Roman" w:hAnsi="Times New Roman"/>
        </w:rPr>
        <w:t xml:space="preserve"> </w:t>
      </w:r>
      <w:r w:rsidR="009B7433" w:rsidRPr="00B247DF">
        <w:rPr>
          <w:rFonts w:ascii="Times New Roman" w:hAnsi="Times New Roman"/>
        </w:rPr>
        <w:t>recommend</w:t>
      </w:r>
      <w:r w:rsidR="00723CBF" w:rsidRPr="00B247DF">
        <w:rPr>
          <w:rFonts w:ascii="Times New Roman" w:hAnsi="Times New Roman"/>
        </w:rPr>
        <w:t>ed</w:t>
      </w:r>
      <w:r w:rsidR="009B7433" w:rsidRPr="00B247DF">
        <w:rPr>
          <w:rFonts w:ascii="Times New Roman" w:hAnsi="Times New Roman"/>
        </w:rPr>
        <w:t xml:space="preserve"> </w:t>
      </w:r>
      <w:r w:rsidR="00A72F26" w:rsidRPr="00B247DF">
        <w:rPr>
          <w:rFonts w:ascii="Times New Roman" w:hAnsi="Times New Roman"/>
        </w:rPr>
        <w:t>by</w:t>
      </w:r>
      <w:r w:rsidR="009B7433" w:rsidRPr="00B247DF">
        <w:rPr>
          <w:rFonts w:ascii="Times New Roman" w:hAnsi="Times New Roman"/>
        </w:rPr>
        <w:t xml:space="preserve"> the Committee</w:t>
      </w:r>
      <w:r w:rsidR="00FD3292" w:rsidRPr="00B247DF">
        <w:rPr>
          <w:rFonts w:ascii="Times New Roman" w:hAnsi="Times New Roman"/>
        </w:rPr>
        <w:t xml:space="preserve"> </w:t>
      </w:r>
      <w:r w:rsidR="00EA45ED" w:rsidRPr="00B247DF">
        <w:rPr>
          <w:rFonts w:ascii="Times New Roman" w:hAnsi="Times New Roman"/>
        </w:rPr>
        <w:t xml:space="preserve">in a report </w:t>
      </w:r>
      <w:r w:rsidR="00405B2A" w:rsidRPr="00B247DF">
        <w:rPr>
          <w:rFonts w:ascii="Times New Roman" w:hAnsi="Times New Roman"/>
        </w:rPr>
        <w:t xml:space="preserve">to the House </w:t>
      </w:r>
      <w:r w:rsidR="00EA45ED" w:rsidRPr="00B247DF">
        <w:rPr>
          <w:rFonts w:ascii="Times New Roman" w:hAnsi="Times New Roman"/>
        </w:rPr>
        <w:t>under s</w:t>
      </w:r>
      <w:r w:rsidR="00933209" w:rsidRPr="00B247DF">
        <w:rPr>
          <w:rFonts w:ascii="Times New Roman" w:hAnsi="Times New Roman"/>
        </w:rPr>
        <w:t> </w:t>
      </w:r>
      <w:r w:rsidR="00EA45ED" w:rsidRPr="00B247DF">
        <w:rPr>
          <w:rFonts w:ascii="Times New Roman" w:hAnsi="Times New Roman"/>
        </w:rPr>
        <w:t>16(4)</w:t>
      </w:r>
      <w:r w:rsidR="00405B2A" w:rsidRPr="00B247DF">
        <w:rPr>
          <w:rFonts w:ascii="Times New Roman" w:hAnsi="Times New Roman"/>
        </w:rPr>
        <w:t xml:space="preserve">, </w:t>
      </w:r>
      <w:r w:rsidR="00027AC8" w:rsidRPr="00B247DF">
        <w:rPr>
          <w:rFonts w:ascii="Times New Roman" w:hAnsi="Times New Roman"/>
        </w:rPr>
        <w:t xml:space="preserve">in order to meet </w:t>
      </w:r>
      <w:r w:rsidR="0061106A" w:rsidRPr="00B247DF">
        <w:rPr>
          <w:rFonts w:ascii="Times New Roman" w:hAnsi="Times New Roman"/>
        </w:rPr>
        <w:t xml:space="preserve">the </w:t>
      </w:r>
      <w:r w:rsidR="00027AC8" w:rsidRPr="00B247DF">
        <w:rPr>
          <w:rFonts w:ascii="Times New Roman" w:hAnsi="Times New Roman"/>
        </w:rPr>
        <w:t xml:space="preserve">condition precedent </w:t>
      </w:r>
      <w:r w:rsidR="0050077A" w:rsidRPr="00B247DF">
        <w:rPr>
          <w:rFonts w:ascii="Times New Roman" w:hAnsi="Times New Roman"/>
        </w:rPr>
        <w:t xml:space="preserve">set out </w:t>
      </w:r>
      <w:r w:rsidR="00027AC8" w:rsidRPr="00B247DF">
        <w:rPr>
          <w:rFonts w:ascii="Times New Roman" w:hAnsi="Times New Roman"/>
        </w:rPr>
        <w:t>in s 16(5)</w:t>
      </w:r>
      <w:r w:rsidR="009B7433" w:rsidRPr="00B247DF">
        <w:rPr>
          <w:rFonts w:ascii="Times New Roman" w:hAnsi="Times New Roman"/>
        </w:rPr>
        <w:t>.</w:t>
      </w:r>
    </w:p>
    <w:p w14:paraId="7C97E8CD" w14:textId="53002DA6" w:rsidR="0041215C" w:rsidRPr="00B247DF" w:rsidRDefault="0041215C" w:rsidP="00B247DF">
      <w:pPr>
        <w:pStyle w:val="FixListStyle"/>
        <w:spacing w:after="260" w:line="280" w:lineRule="exact"/>
        <w:ind w:right="0"/>
        <w:jc w:val="both"/>
        <w:rPr>
          <w:rFonts w:ascii="Times New Roman" w:hAnsi="Times New Roman"/>
        </w:rPr>
      </w:pPr>
      <w:r w:rsidRPr="00B247DF">
        <w:rPr>
          <w:rFonts w:ascii="Times New Roman" w:hAnsi="Times New Roman"/>
        </w:rPr>
        <w:tab/>
        <w:t xml:space="preserve">Section 17 of the Act </w:t>
      </w:r>
      <w:r w:rsidR="00F3514D" w:rsidRPr="00B247DF">
        <w:rPr>
          <w:rFonts w:ascii="Times New Roman" w:hAnsi="Times New Roman"/>
        </w:rPr>
        <w:t xml:space="preserve">is headed "Power of House of Assembly or Legislative Council to extend Act". It </w:t>
      </w:r>
      <w:r w:rsidRPr="00B247DF">
        <w:rPr>
          <w:rFonts w:ascii="Times New Roman" w:hAnsi="Times New Roman"/>
        </w:rPr>
        <w:t xml:space="preserve">provides </w:t>
      </w:r>
      <w:r w:rsidR="003A1937" w:rsidRPr="00B247DF">
        <w:rPr>
          <w:rFonts w:ascii="Times New Roman" w:hAnsi="Times New Roman"/>
        </w:rPr>
        <w:t>for the House of Assembly or Legislative Council</w:t>
      </w:r>
      <w:r w:rsidR="00BB738B" w:rsidRPr="00B247DF">
        <w:rPr>
          <w:rFonts w:ascii="Times New Roman" w:hAnsi="Times New Roman"/>
        </w:rPr>
        <w:t xml:space="preserve">, by resolution, to direct that a public work the </w:t>
      </w:r>
      <w:r w:rsidR="00EF0A34" w:rsidRPr="00B247DF">
        <w:rPr>
          <w:rFonts w:ascii="Times New Roman" w:hAnsi="Times New Roman"/>
        </w:rPr>
        <w:t>estimated</w:t>
      </w:r>
      <w:r w:rsidR="00BB738B" w:rsidRPr="00B247DF">
        <w:rPr>
          <w:rFonts w:ascii="Times New Roman" w:hAnsi="Times New Roman"/>
        </w:rPr>
        <w:t xml:space="preserve"> cost of which does not exceed the relevant monetary threshold </w:t>
      </w:r>
      <w:r w:rsidR="0016022F" w:rsidRPr="00B247DF">
        <w:rPr>
          <w:rFonts w:ascii="Times New Roman" w:hAnsi="Times New Roman"/>
        </w:rPr>
        <w:t>"shall be referred to the Committee</w:t>
      </w:r>
      <w:r w:rsidR="00A35497" w:rsidRPr="00B247DF">
        <w:rPr>
          <w:rFonts w:ascii="Times New Roman" w:hAnsi="Times New Roman"/>
        </w:rPr>
        <w:t xml:space="preserve">, in which case all the powers and provisions of [the] Act shall be applicable to </w:t>
      </w:r>
      <w:r w:rsidR="00572D0C" w:rsidRPr="00B247DF">
        <w:rPr>
          <w:rFonts w:ascii="Times New Roman" w:hAnsi="Times New Roman"/>
        </w:rPr>
        <w:t>such</w:t>
      </w:r>
      <w:r w:rsidR="00A35497" w:rsidRPr="00B247DF">
        <w:rPr>
          <w:rFonts w:ascii="Times New Roman" w:hAnsi="Times New Roman"/>
        </w:rPr>
        <w:t xml:space="preserve"> work".</w:t>
      </w:r>
    </w:p>
    <w:p w14:paraId="65D77389" w14:textId="0C4CF4F2" w:rsidR="00A7260E" w:rsidRPr="00B247DF" w:rsidRDefault="00A7260E" w:rsidP="00B247DF">
      <w:pPr>
        <w:pStyle w:val="FixListStyle"/>
        <w:spacing w:after="260" w:line="280" w:lineRule="exact"/>
        <w:ind w:right="0"/>
        <w:jc w:val="both"/>
        <w:rPr>
          <w:rFonts w:ascii="Times New Roman" w:hAnsi="Times New Roman"/>
        </w:rPr>
      </w:pPr>
      <w:r w:rsidRPr="00B247DF">
        <w:rPr>
          <w:rFonts w:ascii="Times New Roman" w:hAnsi="Times New Roman"/>
        </w:rPr>
        <w:tab/>
        <w:t>Though the headings to ss 15, 16 and 17 of the Act</w:t>
      </w:r>
      <w:r w:rsidR="00DA0240" w:rsidRPr="00B247DF">
        <w:rPr>
          <w:rFonts w:ascii="Times New Roman" w:hAnsi="Times New Roman"/>
        </w:rPr>
        <w:t xml:space="preserve"> do not form part of the Act,</w:t>
      </w:r>
      <w:r w:rsidR="00DA0240" w:rsidRPr="00B247DF">
        <w:rPr>
          <w:rStyle w:val="FootnoteReference"/>
          <w:rFonts w:ascii="Times New Roman" w:hAnsi="Times New Roman"/>
          <w:sz w:val="24"/>
        </w:rPr>
        <w:footnoteReference w:id="25"/>
      </w:r>
      <w:r w:rsidR="00DA0240" w:rsidRPr="00B247DF">
        <w:rPr>
          <w:rFonts w:ascii="Times New Roman" w:hAnsi="Times New Roman"/>
        </w:rPr>
        <w:t xml:space="preserve"> </w:t>
      </w:r>
      <w:r w:rsidR="00FA3486" w:rsidRPr="00B247DF">
        <w:rPr>
          <w:rFonts w:ascii="Times New Roman" w:hAnsi="Times New Roman"/>
        </w:rPr>
        <w:t xml:space="preserve">they form part of the </w:t>
      </w:r>
      <w:r w:rsidR="00770807" w:rsidRPr="00B247DF">
        <w:rPr>
          <w:rFonts w:ascii="Times New Roman" w:hAnsi="Times New Roman"/>
        </w:rPr>
        <w:t>context within which the text of those</w:t>
      </w:r>
      <w:r w:rsidR="00A14B63" w:rsidRPr="00B247DF">
        <w:rPr>
          <w:rFonts w:ascii="Times New Roman" w:hAnsi="Times New Roman"/>
        </w:rPr>
        <w:t xml:space="preserve"> </w:t>
      </w:r>
      <w:r w:rsidR="00B7159D" w:rsidRPr="00B247DF">
        <w:rPr>
          <w:rFonts w:ascii="Times New Roman" w:hAnsi="Times New Roman"/>
        </w:rPr>
        <w:t>provisions is</w:t>
      </w:r>
      <w:r w:rsidR="00A14B63" w:rsidRPr="00B247DF">
        <w:rPr>
          <w:rFonts w:ascii="Times New Roman" w:hAnsi="Times New Roman"/>
        </w:rPr>
        <w:t xml:space="preserve"> to be construed.</w:t>
      </w:r>
      <w:r w:rsidR="001C7751" w:rsidRPr="00B247DF">
        <w:rPr>
          <w:rStyle w:val="FootnoteReference"/>
          <w:rFonts w:ascii="Times New Roman" w:hAnsi="Times New Roman"/>
          <w:sz w:val="24"/>
        </w:rPr>
        <w:footnoteReference w:id="26"/>
      </w:r>
      <w:r w:rsidR="00271DE6" w:rsidRPr="00B247DF">
        <w:rPr>
          <w:rFonts w:ascii="Times New Roman" w:hAnsi="Times New Roman"/>
        </w:rPr>
        <w:t xml:space="preserve"> </w:t>
      </w:r>
      <w:r w:rsidR="00687F25" w:rsidRPr="00B247DF">
        <w:rPr>
          <w:rFonts w:ascii="Times New Roman" w:hAnsi="Times New Roman"/>
        </w:rPr>
        <w:t xml:space="preserve">The headings </w:t>
      </w:r>
      <w:r w:rsidR="00C410B5" w:rsidRPr="00B247DF">
        <w:rPr>
          <w:rFonts w:ascii="Times New Roman" w:hAnsi="Times New Roman"/>
        </w:rPr>
        <w:t xml:space="preserve">are </w:t>
      </w:r>
      <w:r w:rsidR="00731912" w:rsidRPr="00B247DF">
        <w:rPr>
          <w:rFonts w:ascii="Times New Roman" w:hAnsi="Times New Roman"/>
        </w:rPr>
        <w:t xml:space="preserve">substantially </w:t>
      </w:r>
      <w:r w:rsidR="00C410B5" w:rsidRPr="00B247DF">
        <w:rPr>
          <w:rFonts w:ascii="Times New Roman" w:hAnsi="Times New Roman"/>
        </w:rPr>
        <w:t>the same as the marginal notes to ss</w:t>
      </w:r>
      <w:r w:rsidR="00064478">
        <w:rPr>
          <w:rFonts w:ascii="Times New Roman" w:hAnsi="Times New Roman"/>
        </w:rPr>
        <w:t> </w:t>
      </w:r>
      <w:r w:rsidR="00C410B5" w:rsidRPr="00B247DF">
        <w:rPr>
          <w:rFonts w:ascii="Times New Roman" w:hAnsi="Times New Roman"/>
        </w:rPr>
        <w:t>15, 16 and 17 of the Act</w:t>
      </w:r>
      <w:r w:rsidR="00211C19" w:rsidRPr="00B247DF">
        <w:rPr>
          <w:rFonts w:ascii="Times New Roman" w:hAnsi="Times New Roman"/>
        </w:rPr>
        <w:t xml:space="preserve"> as originally enacted</w:t>
      </w:r>
      <w:r w:rsidR="00C57EAD" w:rsidRPr="00B247DF">
        <w:rPr>
          <w:rFonts w:ascii="Times New Roman" w:hAnsi="Times New Roman"/>
        </w:rPr>
        <w:t xml:space="preserve">, </w:t>
      </w:r>
      <w:r w:rsidR="00BF37ED" w:rsidRPr="00B247DF">
        <w:rPr>
          <w:rFonts w:ascii="Times New Roman" w:hAnsi="Times New Roman"/>
        </w:rPr>
        <w:t xml:space="preserve">which </w:t>
      </w:r>
      <w:r w:rsidR="00FB3A37" w:rsidRPr="00B247DF">
        <w:rPr>
          <w:rFonts w:ascii="Times New Roman" w:hAnsi="Times New Roman"/>
        </w:rPr>
        <w:t xml:space="preserve">were </w:t>
      </w:r>
      <w:r w:rsidR="00DA4C49" w:rsidRPr="00B247DF">
        <w:rPr>
          <w:rFonts w:ascii="Times New Roman" w:hAnsi="Times New Roman"/>
        </w:rPr>
        <w:t>subs</w:t>
      </w:r>
      <w:r w:rsidR="00237192" w:rsidRPr="00B247DF">
        <w:rPr>
          <w:rFonts w:ascii="Times New Roman" w:hAnsi="Times New Roman"/>
        </w:rPr>
        <w:t xml:space="preserve">tantially </w:t>
      </w:r>
      <w:r w:rsidR="00FB3A37" w:rsidRPr="00B247DF">
        <w:rPr>
          <w:rFonts w:ascii="Times New Roman" w:hAnsi="Times New Roman"/>
        </w:rPr>
        <w:t xml:space="preserve">the same </w:t>
      </w:r>
      <w:r w:rsidR="00FB3A37" w:rsidRPr="00B247DF">
        <w:rPr>
          <w:rFonts w:ascii="Times New Roman" w:hAnsi="Times New Roman"/>
        </w:rPr>
        <w:lastRenderedPageBreak/>
        <w:t xml:space="preserve">as the marginal notes to the </w:t>
      </w:r>
      <w:r w:rsidR="00771A55" w:rsidRPr="00B247DF">
        <w:rPr>
          <w:rFonts w:ascii="Times New Roman" w:hAnsi="Times New Roman"/>
        </w:rPr>
        <w:t>relevant</w:t>
      </w:r>
      <w:r w:rsidR="00FB3A37" w:rsidRPr="00B247DF">
        <w:rPr>
          <w:rFonts w:ascii="Times New Roman" w:hAnsi="Times New Roman"/>
        </w:rPr>
        <w:t xml:space="preserve"> sections </w:t>
      </w:r>
      <w:r w:rsidR="00606B84" w:rsidRPr="00B247DF">
        <w:rPr>
          <w:rFonts w:ascii="Times New Roman" w:hAnsi="Times New Roman"/>
        </w:rPr>
        <w:t>of the Commonwealth,</w:t>
      </w:r>
      <w:r w:rsidR="00606B84" w:rsidRPr="00B247DF">
        <w:rPr>
          <w:rStyle w:val="FootnoteReference"/>
          <w:rFonts w:ascii="Times New Roman" w:hAnsi="Times New Roman"/>
          <w:sz w:val="24"/>
        </w:rPr>
        <w:footnoteReference w:id="27"/>
      </w:r>
      <w:r w:rsidR="00606B84" w:rsidRPr="00B247DF">
        <w:rPr>
          <w:rFonts w:ascii="Times New Roman" w:hAnsi="Times New Roman"/>
        </w:rPr>
        <w:t xml:space="preserve"> New South Wales,</w:t>
      </w:r>
      <w:r w:rsidR="00606B84" w:rsidRPr="00B247DF">
        <w:rPr>
          <w:rStyle w:val="FootnoteReference"/>
          <w:rFonts w:ascii="Times New Roman" w:hAnsi="Times New Roman"/>
          <w:sz w:val="24"/>
        </w:rPr>
        <w:footnoteReference w:id="28"/>
      </w:r>
      <w:r w:rsidR="00606B84" w:rsidRPr="00B247DF">
        <w:rPr>
          <w:rFonts w:ascii="Times New Roman" w:hAnsi="Times New Roman"/>
        </w:rPr>
        <w:t xml:space="preserve"> and Victorian</w:t>
      </w:r>
      <w:r w:rsidR="006D5633" w:rsidRPr="00B247DF">
        <w:rPr>
          <w:rStyle w:val="FootnoteReference"/>
          <w:rFonts w:ascii="Times New Roman" w:hAnsi="Times New Roman"/>
          <w:sz w:val="24"/>
        </w:rPr>
        <w:footnoteReference w:id="29"/>
      </w:r>
      <w:r w:rsidR="00606B84" w:rsidRPr="00B247DF">
        <w:rPr>
          <w:rFonts w:ascii="Times New Roman" w:hAnsi="Times New Roman"/>
        </w:rPr>
        <w:t xml:space="preserve"> legislation in force at that time, </w:t>
      </w:r>
      <w:r w:rsidR="00C57EAD" w:rsidRPr="00B247DF">
        <w:rPr>
          <w:rFonts w:ascii="Times New Roman" w:hAnsi="Times New Roman"/>
        </w:rPr>
        <w:t xml:space="preserve">and are traceable to the marginal notes </w:t>
      </w:r>
      <w:r w:rsidR="00FB3A37" w:rsidRPr="00B247DF">
        <w:rPr>
          <w:rFonts w:ascii="Times New Roman" w:hAnsi="Times New Roman"/>
        </w:rPr>
        <w:t>which first appeared in</w:t>
      </w:r>
      <w:r w:rsidR="00C57EAD" w:rsidRPr="00B247DF">
        <w:rPr>
          <w:rFonts w:ascii="Times New Roman" w:hAnsi="Times New Roman"/>
        </w:rPr>
        <w:t xml:space="preserve"> Parkes' </w:t>
      </w:r>
      <w:r w:rsidR="00C57EAD" w:rsidRPr="00B247DF">
        <w:rPr>
          <w:rFonts w:ascii="Times New Roman" w:hAnsi="Times New Roman"/>
          <w:i/>
          <w:iCs/>
        </w:rPr>
        <w:t>Public Works Act of 1888</w:t>
      </w:r>
      <w:r w:rsidR="00606B84" w:rsidRPr="00B247DF">
        <w:rPr>
          <w:rFonts w:ascii="Times New Roman" w:hAnsi="Times New Roman"/>
        </w:rPr>
        <w:t>.</w:t>
      </w:r>
      <w:r w:rsidR="004C64D0" w:rsidRPr="00B247DF">
        <w:rPr>
          <w:rStyle w:val="FootnoteReference"/>
          <w:rFonts w:ascii="Times New Roman" w:hAnsi="Times New Roman"/>
          <w:sz w:val="24"/>
        </w:rPr>
        <w:footnoteReference w:id="30"/>
      </w:r>
    </w:p>
    <w:p w14:paraId="23D56A06" w14:textId="7F5DB0E4" w:rsidR="00DC27CE" w:rsidRPr="00B247DF" w:rsidRDefault="00DC27CE" w:rsidP="00B247DF">
      <w:pPr>
        <w:pStyle w:val="FixListStyle"/>
        <w:spacing w:after="260" w:line="280" w:lineRule="exact"/>
        <w:ind w:right="0"/>
        <w:jc w:val="both"/>
        <w:rPr>
          <w:rFonts w:ascii="Times New Roman" w:hAnsi="Times New Roman"/>
        </w:rPr>
      </w:pPr>
      <w:r w:rsidRPr="00B247DF">
        <w:rPr>
          <w:rFonts w:ascii="Times New Roman" w:hAnsi="Times New Roman"/>
        </w:rPr>
        <w:tab/>
        <w:t xml:space="preserve">Turning </w:t>
      </w:r>
      <w:r w:rsidR="00274C36" w:rsidRPr="00B247DF">
        <w:rPr>
          <w:rFonts w:ascii="Times New Roman" w:hAnsi="Times New Roman"/>
        </w:rPr>
        <w:t>next</w:t>
      </w:r>
      <w:r w:rsidRPr="00B247DF">
        <w:rPr>
          <w:rFonts w:ascii="Times New Roman" w:hAnsi="Times New Roman"/>
        </w:rPr>
        <w:t xml:space="preserve"> to </w:t>
      </w:r>
      <w:r w:rsidR="00307744" w:rsidRPr="00B247DF">
        <w:rPr>
          <w:rFonts w:ascii="Times New Roman" w:hAnsi="Times New Roman"/>
        </w:rPr>
        <w:t xml:space="preserve">consider </w:t>
      </w:r>
      <w:r w:rsidRPr="00B247DF">
        <w:rPr>
          <w:rFonts w:ascii="Times New Roman" w:hAnsi="Times New Roman"/>
        </w:rPr>
        <w:t>the proper construction of s 16(1) of the Act</w:t>
      </w:r>
      <w:r w:rsidR="004F5C1A" w:rsidRPr="00B247DF">
        <w:rPr>
          <w:rFonts w:ascii="Times New Roman" w:hAnsi="Times New Roman"/>
        </w:rPr>
        <w:t xml:space="preserve">, it is therefore </w:t>
      </w:r>
      <w:r w:rsidR="0012194A" w:rsidRPr="00B247DF">
        <w:rPr>
          <w:rFonts w:ascii="Times New Roman" w:hAnsi="Times New Roman"/>
        </w:rPr>
        <w:t xml:space="preserve">relevant to </w:t>
      </w:r>
      <w:r w:rsidR="00BD2CA0" w:rsidRPr="00B247DF">
        <w:rPr>
          <w:rFonts w:ascii="Times New Roman" w:hAnsi="Times New Roman"/>
        </w:rPr>
        <w:t>observe</w:t>
      </w:r>
      <w:r w:rsidR="0012194A" w:rsidRPr="00B247DF">
        <w:rPr>
          <w:rFonts w:ascii="Times New Roman" w:hAnsi="Times New Roman"/>
        </w:rPr>
        <w:t xml:space="preserve"> at the outset that, </w:t>
      </w:r>
      <w:r w:rsidR="00FC30EE" w:rsidRPr="00B247DF">
        <w:rPr>
          <w:rFonts w:ascii="Times New Roman" w:hAnsi="Times New Roman"/>
        </w:rPr>
        <w:t>in common with</w:t>
      </w:r>
      <w:r w:rsidR="0012194A" w:rsidRPr="00B247DF">
        <w:rPr>
          <w:rFonts w:ascii="Times New Roman" w:hAnsi="Times New Roman"/>
        </w:rPr>
        <w:t xml:space="preserve"> its predecessors, </w:t>
      </w:r>
      <w:r w:rsidR="00B93923" w:rsidRPr="00B247DF">
        <w:rPr>
          <w:rFonts w:ascii="Times New Roman" w:hAnsi="Times New Roman"/>
        </w:rPr>
        <w:t>s</w:t>
      </w:r>
      <w:r w:rsidR="00A0729E">
        <w:rPr>
          <w:rFonts w:ascii="Times New Roman" w:hAnsi="Times New Roman"/>
        </w:rPr>
        <w:t> </w:t>
      </w:r>
      <w:r w:rsidR="00B93923" w:rsidRPr="00B247DF">
        <w:rPr>
          <w:rFonts w:ascii="Times New Roman" w:hAnsi="Times New Roman"/>
        </w:rPr>
        <w:t>16</w:t>
      </w:r>
      <w:r w:rsidR="00823043" w:rsidRPr="00B247DF">
        <w:rPr>
          <w:rFonts w:ascii="Times New Roman" w:hAnsi="Times New Roman"/>
        </w:rPr>
        <w:t xml:space="preserve"> o</w:t>
      </w:r>
      <w:r w:rsidR="00FC30EE" w:rsidRPr="00B247DF">
        <w:rPr>
          <w:rFonts w:ascii="Times New Roman" w:hAnsi="Times New Roman"/>
        </w:rPr>
        <w:t>f the Act</w:t>
      </w:r>
      <w:r w:rsidR="00B93923" w:rsidRPr="00B247DF">
        <w:rPr>
          <w:rFonts w:ascii="Times New Roman" w:hAnsi="Times New Roman"/>
        </w:rPr>
        <w:t xml:space="preserve"> has been consistently </w:t>
      </w:r>
      <w:r w:rsidR="009C2933" w:rsidRPr="00B247DF">
        <w:rPr>
          <w:rFonts w:ascii="Times New Roman" w:hAnsi="Times New Roman"/>
        </w:rPr>
        <w:t>described</w:t>
      </w:r>
      <w:r w:rsidR="000A4B08" w:rsidRPr="00B247DF">
        <w:rPr>
          <w:rFonts w:ascii="Times New Roman" w:hAnsi="Times New Roman"/>
        </w:rPr>
        <w:t xml:space="preserve"> in </w:t>
      </w:r>
      <w:r w:rsidR="00883F67" w:rsidRPr="00B247DF">
        <w:rPr>
          <w:rFonts w:ascii="Times New Roman" w:hAnsi="Times New Roman"/>
        </w:rPr>
        <w:t>headings and marginal notes</w:t>
      </w:r>
      <w:r w:rsidR="00B93923" w:rsidRPr="00B247DF">
        <w:rPr>
          <w:rFonts w:ascii="Times New Roman" w:hAnsi="Times New Roman"/>
        </w:rPr>
        <w:t xml:space="preserve"> </w:t>
      </w:r>
      <w:r w:rsidR="00D54E02" w:rsidRPr="00B247DF">
        <w:rPr>
          <w:rFonts w:ascii="Times New Roman" w:hAnsi="Times New Roman"/>
        </w:rPr>
        <w:t>not</w:t>
      </w:r>
      <w:r w:rsidR="00B11A26" w:rsidRPr="00B247DF">
        <w:rPr>
          <w:rFonts w:ascii="Times New Roman" w:hAnsi="Times New Roman"/>
        </w:rPr>
        <w:t xml:space="preserve"> as creating an offence or</w:t>
      </w:r>
      <w:r w:rsidR="00D54E02" w:rsidRPr="00B247DF">
        <w:rPr>
          <w:rFonts w:ascii="Times New Roman" w:hAnsi="Times New Roman"/>
        </w:rPr>
        <w:t xml:space="preserve"> </w:t>
      </w:r>
      <w:r w:rsidR="00B93923" w:rsidRPr="00B247DF">
        <w:rPr>
          <w:rFonts w:ascii="Times New Roman" w:hAnsi="Times New Roman"/>
        </w:rPr>
        <w:t>as</w:t>
      </w:r>
      <w:r w:rsidR="008C2439" w:rsidRPr="00B247DF">
        <w:rPr>
          <w:rFonts w:ascii="Times New Roman" w:hAnsi="Times New Roman"/>
        </w:rPr>
        <w:t xml:space="preserve"> </w:t>
      </w:r>
      <w:r w:rsidR="00FC30EE" w:rsidRPr="00B247DF">
        <w:rPr>
          <w:rFonts w:ascii="Times New Roman" w:hAnsi="Times New Roman"/>
        </w:rPr>
        <w:t xml:space="preserve">imposing </w:t>
      </w:r>
      <w:r w:rsidR="008C2439" w:rsidRPr="00B247DF">
        <w:rPr>
          <w:rFonts w:ascii="Times New Roman" w:hAnsi="Times New Roman"/>
        </w:rPr>
        <w:t xml:space="preserve">a prohibition </w:t>
      </w:r>
      <w:r w:rsidR="00D54E02" w:rsidRPr="00B247DF">
        <w:rPr>
          <w:rFonts w:ascii="Times New Roman" w:hAnsi="Times New Roman"/>
        </w:rPr>
        <w:t xml:space="preserve">against the carrying out of </w:t>
      </w:r>
      <w:r w:rsidR="00823043" w:rsidRPr="00B247DF">
        <w:rPr>
          <w:rFonts w:ascii="Times New Roman" w:hAnsi="Times New Roman"/>
        </w:rPr>
        <w:t>a</w:t>
      </w:r>
      <w:r w:rsidR="001C3486" w:rsidRPr="00B247DF">
        <w:rPr>
          <w:rFonts w:ascii="Times New Roman" w:hAnsi="Times New Roman"/>
        </w:rPr>
        <w:t>n unauthorised</w:t>
      </w:r>
      <w:r w:rsidR="00823043" w:rsidRPr="00B247DF">
        <w:rPr>
          <w:rFonts w:ascii="Times New Roman" w:hAnsi="Times New Roman"/>
        </w:rPr>
        <w:t xml:space="preserve"> </w:t>
      </w:r>
      <w:r w:rsidR="00D54E02" w:rsidRPr="00B247DF">
        <w:rPr>
          <w:rFonts w:ascii="Times New Roman" w:hAnsi="Times New Roman"/>
        </w:rPr>
        <w:t>public work</w:t>
      </w:r>
      <w:r w:rsidR="00823043" w:rsidRPr="00B247DF">
        <w:rPr>
          <w:rFonts w:ascii="Times New Roman" w:hAnsi="Times New Roman"/>
        </w:rPr>
        <w:t xml:space="preserve"> but as </w:t>
      </w:r>
      <w:r w:rsidR="00FC30EE" w:rsidRPr="00B247DF">
        <w:rPr>
          <w:rFonts w:ascii="Times New Roman" w:hAnsi="Times New Roman"/>
        </w:rPr>
        <w:t>setting out "conditions precedent to commencing public works".</w:t>
      </w:r>
    </w:p>
    <w:p w14:paraId="422C9011" w14:textId="471C9B83" w:rsidR="0096682A" w:rsidRPr="00B247DF" w:rsidRDefault="0096682A" w:rsidP="00B247DF">
      <w:pPr>
        <w:pStyle w:val="HeadingL1"/>
        <w:spacing w:after="260" w:line="280" w:lineRule="exact"/>
        <w:ind w:right="0"/>
        <w:jc w:val="both"/>
        <w:rPr>
          <w:rFonts w:ascii="Times New Roman" w:hAnsi="Times New Roman"/>
        </w:rPr>
      </w:pPr>
      <w:r w:rsidRPr="00B247DF">
        <w:rPr>
          <w:rFonts w:ascii="Times New Roman" w:hAnsi="Times New Roman"/>
        </w:rPr>
        <w:t xml:space="preserve">The </w:t>
      </w:r>
      <w:r w:rsidR="00786A92" w:rsidRPr="00B247DF">
        <w:rPr>
          <w:rFonts w:ascii="Times New Roman" w:hAnsi="Times New Roman"/>
        </w:rPr>
        <w:t xml:space="preserve">proper </w:t>
      </w:r>
      <w:r w:rsidRPr="00B247DF">
        <w:rPr>
          <w:rFonts w:ascii="Times New Roman" w:hAnsi="Times New Roman"/>
        </w:rPr>
        <w:t>construction of s 16(1)</w:t>
      </w:r>
      <w:r w:rsidR="00786A92" w:rsidRPr="00B247DF">
        <w:rPr>
          <w:rFonts w:ascii="Times New Roman" w:hAnsi="Times New Roman"/>
        </w:rPr>
        <w:t xml:space="preserve"> of the Act</w:t>
      </w:r>
      <w:r w:rsidRPr="00B247DF">
        <w:rPr>
          <w:rFonts w:ascii="Times New Roman" w:hAnsi="Times New Roman"/>
        </w:rPr>
        <w:t xml:space="preserve"> </w:t>
      </w:r>
    </w:p>
    <w:p w14:paraId="43F8A25E" w14:textId="71BC1710" w:rsidR="009D4A45" w:rsidRPr="00B247DF" w:rsidRDefault="009579B2" w:rsidP="00B247DF">
      <w:pPr>
        <w:pStyle w:val="FixListStyle"/>
        <w:spacing w:after="260" w:line="280" w:lineRule="exact"/>
        <w:ind w:right="0"/>
        <w:jc w:val="both"/>
        <w:rPr>
          <w:rFonts w:ascii="Times New Roman" w:hAnsi="Times New Roman"/>
        </w:rPr>
      </w:pPr>
      <w:r w:rsidRPr="00B247DF">
        <w:rPr>
          <w:rFonts w:ascii="Times New Roman" w:hAnsi="Times New Roman"/>
        </w:rPr>
        <w:tab/>
        <w:t>The Solicitor-General of Tasmania</w:t>
      </w:r>
      <w:r w:rsidR="00135F77" w:rsidRPr="00B247DF">
        <w:rPr>
          <w:rFonts w:ascii="Times New Roman" w:hAnsi="Times New Roman"/>
        </w:rPr>
        <w:t xml:space="preserve"> </w:t>
      </w:r>
      <w:r w:rsidR="00E1503D" w:rsidRPr="00B247DF">
        <w:rPr>
          <w:rFonts w:ascii="Times New Roman" w:hAnsi="Times New Roman"/>
        </w:rPr>
        <w:t xml:space="preserve">commenced her </w:t>
      </w:r>
      <w:r w:rsidR="00840F27" w:rsidRPr="00B247DF">
        <w:rPr>
          <w:rFonts w:ascii="Times New Roman" w:hAnsi="Times New Roman"/>
        </w:rPr>
        <w:t>submissions</w:t>
      </w:r>
      <w:r w:rsidR="00E1503D" w:rsidRPr="00B247DF">
        <w:rPr>
          <w:rFonts w:ascii="Times New Roman" w:hAnsi="Times New Roman"/>
        </w:rPr>
        <w:t xml:space="preserve"> </w:t>
      </w:r>
      <w:r w:rsidR="002C4024" w:rsidRPr="00B247DF">
        <w:rPr>
          <w:rFonts w:ascii="Times New Roman" w:hAnsi="Times New Roman"/>
        </w:rPr>
        <w:t xml:space="preserve">on the hearing of the appeal </w:t>
      </w:r>
      <w:r w:rsidR="00E1503D" w:rsidRPr="00B247DF">
        <w:rPr>
          <w:rFonts w:ascii="Times New Roman" w:hAnsi="Times New Roman"/>
        </w:rPr>
        <w:t>with the proposition that</w:t>
      </w:r>
      <w:r w:rsidR="004C7226" w:rsidRPr="00B247DF">
        <w:rPr>
          <w:rFonts w:ascii="Times New Roman" w:hAnsi="Times New Roman"/>
        </w:rPr>
        <w:t xml:space="preserve"> </w:t>
      </w:r>
      <w:r w:rsidR="003A406F" w:rsidRPr="00B247DF">
        <w:rPr>
          <w:rFonts w:ascii="Times New Roman" w:hAnsi="Times New Roman"/>
        </w:rPr>
        <w:t xml:space="preserve">compliance </w:t>
      </w:r>
      <w:r w:rsidR="00291F2D" w:rsidRPr="00B247DF">
        <w:rPr>
          <w:rFonts w:ascii="Times New Roman" w:hAnsi="Times New Roman"/>
        </w:rPr>
        <w:t xml:space="preserve">with s 16(1) of the Act does not give rise to a justiciable controversy. </w:t>
      </w:r>
      <w:r w:rsidR="00AB2C72" w:rsidRPr="00B247DF">
        <w:rPr>
          <w:rFonts w:ascii="Times New Roman" w:hAnsi="Times New Roman"/>
        </w:rPr>
        <w:t xml:space="preserve">That proposition can be accepted, but not as a point of principle. Rather, it is made good </w:t>
      </w:r>
      <w:proofErr w:type="gramStart"/>
      <w:r w:rsidR="00AB2C72" w:rsidRPr="00B247DF">
        <w:rPr>
          <w:rFonts w:ascii="Times New Roman" w:hAnsi="Times New Roman"/>
        </w:rPr>
        <w:t>as a consequence of</w:t>
      </w:r>
      <w:proofErr w:type="gramEnd"/>
      <w:r w:rsidR="00AB2C72" w:rsidRPr="00B247DF">
        <w:rPr>
          <w:rFonts w:ascii="Times New Roman" w:hAnsi="Times New Roman"/>
        </w:rPr>
        <w:t xml:space="preserve"> reaching the conclusion that s 16(1) of the Act does not on its proper construction create an obligation enforceable by a court. </w:t>
      </w:r>
      <w:r w:rsidR="006726CA" w:rsidRPr="00B247DF">
        <w:rPr>
          <w:rFonts w:ascii="Times New Roman" w:hAnsi="Times New Roman"/>
        </w:rPr>
        <w:t>If s</w:t>
      </w:r>
      <w:r w:rsidR="00AB2C72" w:rsidRPr="00B247DF">
        <w:rPr>
          <w:rFonts w:ascii="Times New Roman" w:hAnsi="Times New Roman"/>
        </w:rPr>
        <w:t> </w:t>
      </w:r>
      <w:r w:rsidR="006726CA" w:rsidRPr="00B247DF">
        <w:rPr>
          <w:rFonts w:ascii="Times New Roman" w:hAnsi="Times New Roman"/>
        </w:rPr>
        <w:t>16(1) of the Act does not create an obligation enforceable by a court</w:t>
      </w:r>
      <w:r w:rsidR="001F0E6A" w:rsidRPr="00B247DF">
        <w:rPr>
          <w:rFonts w:ascii="Times New Roman" w:hAnsi="Times New Roman"/>
        </w:rPr>
        <w:t>, then</w:t>
      </w:r>
      <w:r w:rsidR="00E70458" w:rsidRPr="00B247DF">
        <w:rPr>
          <w:rFonts w:ascii="Times New Roman" w:hAnsi="Times New Roman"/>
        </w:rPr>
        <w:t xml:space="preserve"> </w:t>
      </w:r>
      <w:r w:rsidR="005D5BC4" w:rsidRPr="00B247DF">
        <w:rPr>
          <w:rFonts w:ascii="Times New Roman" w:hAnsi="Times New Roman"/>
        </w:rPr>
        <w:t>a</w:t>
      </w:r>
      <w:r w:rsidR="00E70458" w:rsidRPr="00B247DF">
        <w:rPr>
          <w:rFonts w:ascii="Times New Roman" w:hAnsi="Times New Roman"/>
        </w:rPr>
        <w:t xml:space="preserve"> </w:t>
      </w:r>
      <w:r w:rsidR="005D5BC4" w:rsidRPr="00B247DF">
        <w:rPr>
          <w:rFonts w:ascii="Times New Roman" w:hAnsi="Times New Roman"/>
        </w:rPr>
        <w:t>claim to enforce</w:t>
      </w:r>
      <w:r w:rsidR="00E8368A" w:rsidRPr="00B247DF">
        <w:rPr>
          <w:rFonts w:ascii="Times New Roman" w:hAnsi="Times New Roman"/>
        </w:rPr>
        <w:t xml:space="preserve"> compliance with </w:t>
      </w:r>
      <w:r w:rsidR="00013709" w:rsidRPr="00B247DF">
        <w:rPr>
          <w:rFonts w:ascii="Times New Roman" w:hAnsi="Times New Roman"/>
        </w:rPr>
        <w:t>it cannot be</w:t>
      </w:r>
      <w:r w:rsidR="00E70458" w:rsidRPr="00B247DF">
        <w:rPr>
          <w:rFonts w:ascii="Times New Roman" w:hAnsi="Times New Roman"/>
        </w:rPr>
        <w:t xml:space="preserve"> justiciable.</w:t>
      </w:r>
      <w:r w:rsidR="00AD5036" w:rsidRPr="00B247DF">
        <w:rPr>
          <w:rStyle w:val="FootnoteReference"/>
          <w:rFonts w:ascii="Times New Roman" w:hAnsi="Times New Roman"/>
          <w:sz w:val="24"/>
        </w:rPr>
        <w:footnoteReference w:id="31"/>
      </w:r>
      <w:r w:rsidR="00A871D8" w:rsidRPr="00B247DF">
        <w:rPr>
          <w:rFonts w:ascii="Times New Roman" w:hAnsi="Times New Roman"/>
        </w:rPr>
        <w:t xml:space="preserve"> </w:t>
      </w:r>
      <w:r w:rsidR="00ED3C3D" w:rsidRPr="00B247DF">
        <w:rPr>
          <w:rFonts w:ascii="Times New Roman" w:hAnsi="Times New Roman"/>
        </w:rPr>
        <w:t>T</w:t>
      </w:r>
      <w:r w:rsidR="00A871D8" w:rsidRPr="00B247DF">
        <w:rPr>
          <w:rFonts w:ascii="Times New Roman" w:hAnsi="Times New Roman"/>
        </w:rPr>
        <w:t xml:space="preserve">he </w:t>
      </w:r>
      <w:r w:rsidR="00AD5036" w:rsidRPr="00B247DF">
        <w:rPr>
          <w:rFonts w:ascii="Times New Roman" w:hAnsi="Times New Roman"/>
        </w:rPr>
        <w:t xml:space="preserve">underlying </w:t>
      </w:r>
      <w:r w:rsidR="007530B5" w:rsidRPr="00B247DF">
        <w:rPr>
          <w:rFonts w:ascii="Times New Roman" w:hAnsi="Times New Roman"/>
        </w:rPr>
        <w:t>question</w:t>
      </w:r>
      <w:r w:rsidR="00A871D8" w:rsidRPr="00B247DF">
        <w:rPr>
          <w:rFonts w:ascii="Times New Roman" w:hAnsi="Times New Roman"/>
        </w:rPr>
        <w:t xml:space="preserve"> is </w:t>
      </w:r>
      <w:r w:rsidR="006615A2" w:rsidRPr="00B247DF">
        <w:rPr>
          <w:rFonts w:ascii="Times New Roman" w:hAnsi="Times New Roman"/>
        </w:rPr>
        <w:t>the</w:t>
      </w:r>
      <w:r w:rsidR="00A871D8" w:rsidRPr="00B247DF">
        <w:rPr>
          <w:rFonts w:ascii="Times New Roman" w:hAnsi="Times New Roman"/>
        </w:rPr>
        <w:t xml:space="preserve"> </w:t>
      </w:r>
      <w:r w:rsidR="00742B7A" w:rsidRPr="00B247DF">
        <w:rPr>
          <w:rFonts w:ascii="Times New Roman" w:hAnsi="Times New Roman"/>
        </w:rPr>
        <w:t xml:space="preserve">proper </w:t>
      </w:r>
      <w:r w:rsidR="00A871D8" w:rsidRPr="00B247DF">
        <w:rPr>
          <w:rFonts w:ascii="Times New Roman" w:hAnsi="Times New Roman"/>
        </w:rPr>
        <w:t>construction</w:t>
      </w:r>
      <w:r w:rsidR="00070D76" w:rsidRPr="00B247DF">
        <w:rPr>
          <w:rFonts w:ascii="Times New Roman" w:hAnsi="Times New Roman"/>
        </w:rPr>
        <w:t xml:space="preserve"> of s 16(1)</w:t>
      </w:r>
      <w:r w:rsidR="00013709" w:rsidRPr="00B247DF">
        <w:rPr>
          <w:rFonts w:ascii="Times New Roman" w:hAnsi="Times New Roman"/>
        </w:rPr>
        <w:t>.</w:t>
      </w:r>
      <w:r w:rsidR="00A871D8" w:rsidRPr="00B247DF">
        <w:rPr>
          <w:rFonts w:ascii="Times New Roman" w:hAnsi="Times New Roman"/>
        </w:rPr>
        <w:t xml:space="preserve"> </w:t>
      </w:r>
    </w:p>
    <w:p w14:paraId="0B7557DC" w14:textId="574949C9" w:rsidR="009B67DB" w:rsidRPr="00B247DF" w:rsidRDefault="00F30BB6"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006B12" w:rsidRPr="00B247DF">
        <w:rPr>
          <w:rFonts w:ascii="Times New Roman" w:hAnsi="Times New Roman"/>
          <w:i/>
          <w:iCs/>
        </w:rPr>
        <w:t>Project Blue Sky Inc v Australian Broadcasting Authority</w:t>
      </w:r>
      <w:r w:rsidR="00B82F52" w:rsidRPr="00B247DF">
        <w:rPr>
          <w:rStyle w:val="FootnoteReference"/>
          <w:rFonts w:ascii="Times New Roman" w:hAnsi="Times New Roman"/>
          <w:sz w:val="24"/>
        </w:rPr>
        <w:footnoteReference w:id="32"/>
      </w:r>
      <w:r w:rsidR="00006B12" w:rsidRPr="00B247DF">
        <w:rPr>
          <w:rFonts w:ascii="Times New Roman" w:hAnsi="Times New Roman"/>
        </w:rPr>
        <w:t xml:space="preserve"> </w:t>
      </w:r>
      <w:r w:rsidR="00C66008" w:rsidRPr="00B247DF">
        <w:rPr>
          <w:rFonts w:ascii="Times New Roman" w:hAnsi="Times New Roman"/>
        </w:rPr>
        <w:t>demonstrates</w:t>
      </w:r>
      <w:r w:rsidR="00006B12" w:rsidRPr="00B247DF">
        <w:rPr>
          <w:rFonts w:ascii="Times New Roman" w:hAnsi="Times New Roman"/>
        </w:rPr>
        <w:t xml:space="preserve"> that the statutory consequence of </w:t>
      </w:r>
      <w:r w:rsidR="00075D94" w:rsidRPr="00B247DF">
        <w:rPr>
          <w:rFonts w:ascii="Times New Roman" w:hAnsi="Times New Roman"/>
        </w:rPr>
        <w:t xml:space="preserve">non-compliance with a statutory </w:t>
      </w:r>
      <w:r w:rsidR="002C72A1" w:rsidRPr="00B247DF">
        <w:rPr>
          <w:rFonts w:ascii="Times New Roman" w:hAnsi="Times New Roman"/>
        </w:rPr>
        <w:t xml:space="preserve">condition of an exercise of power is as much a question of statutory construction </w:t>
      </w:r>
      <w:r w:rsidR="00075D94" w:rsidRPr="00B247DF">
        <w:rPr>
          <w:rFonts w:ascii="Times New Roman" w:hAnsi="Times New Roman"/>
        </w:rPr>
        <w:t>a</w:t>
      </w:r>
      <w:r w:rsidR="007B5791" w:rsidRPr="00B247DF">
        <w:rPr>
          <w:rFonts w:ascii="Times New Roman" w:hAnsi="Times New Roman"/>
        </w:rPr>
        <w:t xml:space="preserve">s is the content of the condition. </w:t>
      </w:r>
      <w:r w:rsidR="005318CE" w:rsidRPr="00B247DF">
        <w:rPr>
          <w:rFonts w:ascii="Times New Roman" w:hAnsi="Times New Roman"/>
        </w:rPr>
        <w:t xml:space="preserve">On the proper construction of </w:t>
      </w:r>
      <w:r w:rsidR="003C2BC4" w:rsidRPr="00B247DF">
        <w:rPr>
          <w:rFonts w:ascii="Times New Roman" w:hAnsi="Times New Roman"/>
        </w:rPr>
        <w:t>a</w:t>
      </w:r>
      <w:r w:rsidR="005318CE" w:rsidRPr="00B247DF">
        <w:rPr>
          <w:rFonts w:ascii="Times New Roman" w:hAnsi="Times New Roman"/>
        </w:rPr>
        <w:t xml:space="preserve"> </w:t>
      </w:r>
      <w:r w:rsidR="001A4A5D" w:rsidRPr="00B247DF">
        <w:rPr>
          <w:rFonts w:ascii="Times New Roman" w:hAnsi="Times New Roman"/>
        </w:rPr>
        <w:t xml:space="preserve">statute prescribing </w:t>
      </w:r>
      <w:r w:rsidR="00E37CBE" w:rsidRPr="00B247DF">
        <w:rPr>
          <w:rFonts w:ascii="Times New Roman" w:hAnsi="Times New Roman"/>
        </w:rPr>
        <w:t xml:space="preserve">such </w:t>
      </w:r>
      <w:r w:rsidR="00B5077A" w:rsidRPr="00B247DF">
        <w:rPr>
          <w:rFonts w:ascii="Times New Roman" w:hAnsi="Times New Roman"/>
        </w:rPr>
        <w:t>a</w:t>
      </w:r>
      <w:r w:rsidR="001A4A5D" w:rsidRPr="00B247DF">
        <w:rPr>
          <w:rFonts w:ascii="Times New Roman" w:hAnsi="Times New Roman"/>
        </w:rPr>
        <w:t xml:space="preserve"> condition, n</w:t>
      </w:r>
      <w:r w:rsidR="00352935" w:rsidRPr="00B247DF">
        <w:rPr>
          <w:rFonts w:ascii="Times New Roman" w:hAnsi="Times New Roman"/>
        </w:rPr>
        <w:t xml:space="preserve">on-compliance </w:t>
      </w:r>
      <w:r w:rsidR="00B5077A" w:rsidRPr="00B247DF">
        <w:rPr>
          <w:rFonts w:ascii="Times New Roman" w:hAnsi="Times New Roman"/>
        </w:rPr>
        <w:t xml:space="preserve">with the condition </w:t>
      </w:r>
      <w:r w:rsidR="00216EE8" w:rsidRPr="00B247DF">
        <w:rPr>
          <w:rFonts w:ascii="Times New Roman" w:hAnsi="Times New Roman"/>
        </w:rPr>
        <w:t xml:space="preserve">might result in </w:t>
      </w:r>
      <w:r w:rsidR="00B45CCF" w:rsidRPr="00B247DF">
        <w:rPr>
          <w:rFonts w:ascii="Times New Roman" w:hAnsi="Times New Roman"/>
        </w:rPr>
        <w:t xml:space="preserve">an exercise of power that is </w:t>
      </w:r>
      <w:r w:rsidR="00216EE8" w:rsidRPr="00B247DF">
        <w:rPr>
          <w:rFonts w:ascii="Times New Roman" w:hAnsi="Times New Roman"/>
        </w:rPr>
        <w:t>invalid</w:t>
      </w:r>
      <w:r w:rsidR="00875C75" w:rsidRPr="00B247DF">
        <w:rPr>
          <w:rFonts w:ascii="Times New Roman" w:hAnsi="Times New Roman"/>
        </w:rPr>
        <w:t xml:space="preserve">, might </w:t>
      </w:r>
      <w:r w:rsidR="00B81073" w:rsidRPr="00B247DF">
        <w:rPr>
          <w:rFonts w:ascii="Times New Roman" w:hAnsi="Times New Roman"/>
        </w:rPr>
        <w:t xml:space="preserve">result in </w:t>
      </w:r>
      <w:r w:rsidR="00B45CCF" w:rsidRPr="00B247DF">
        <w:rPr>
          <w:rFonts w:ascii="Times New Roman" w:hAnsi="Times New Roman"/>
        </w:rPr>
        <w:t xml:space="preserve">an exercise of power that is </w:t>
      </w:r>
      <w:r w:rsidR="00B5077A" w:rsidRPr="00B247DF">
        <w:rPr>
          <w:rFonts w:ascii="Times New Roman" w:hAnsi="Times New Roman"/>
        </w:rPr>
        <w:t xml:space="preserve">not </w:t>
      </w:r>
      <w:r w:rsidR="00D53CCC" w:rsidRPr="00B247DF">
        <w:rPr>
          <w:rFonts w:ascii="Times New Roman" w:hAnsi="Times New Roman"/>
        </w:rPr>
        <w:t>invalid but that is</w:t>
      </w:r>
      <w:r w:rsidR="00846778" w:rsidRPr="00B247DF">
        <w:rPr>
          <w:rFonts w:ascii="Times New Roman" w:hAnsi="Times New Roman"/>
        </w:rPr>
        <w:t xml:space="preserve"> </w:t>
      </w:r>
      <w:r w:rsidR="00846778" w:rsidRPr="00B247DF">
        <w:rPr>
          <w:rFonts w:ascii="Times New Roman" w:hAnsi="Times New Roman"/>
        </w:rPr>
        <w:lastRenderedPageBreak/>
        <w:t>nevertheless</w:t>
      </w:r>
      <w:r w:rsidR="00D53CCC" w:rsidRPr="00B247DF">
        <w:rPr>
          <w:rFonts w:ascii="Times New Roman" w:hAnsi="Times New Roman"/>
        </w:rPr>
        <w:t xml:space="preserve"> </w:t>
      </w:r>
      <w:r w:rsidR="00B81073" w:rsidRPr="00B247DF">
        <w:rPr>
          <w:rFonts w:ascii="Times New Roman" w:hAnsi="Times New Roman"/>
        </w:rPr>
        <w:t>an unlawful act capable of being restrained by injunction</w:t>
      </w:r>
      <w:r w:rsidR="00B45CCF" w:rsidRPr="00B247DF">
        <w:rPr>
          <w:rFonts w:ascii="Times New Roman" w:hAnsi="Times New Roman"/>
        </w:rPr>
        <w:t xml:space="preserve">, </w:t>
      </w:r>
      <w:r w:rsidR="00EE1890" w:rsidRPr="00B247DF">
        <w:rPr>
          <w:rFonts w:ascii="Times New Roman" w:hAnsi="Times New Roman"/>
        </w:rPr>
        <w:t xml:space="preserve">or </w:t>
      </w:r>
      <w:r w:rsidR="00577891" w:rsidRPr="00B247DF">
        <w:rPr>
          <w:rFonts w:ascii="Times New Roman" w:hAnsi="Times New Roman"/>
        </w:rPr>
        <w:t>might</w:t>
      </w:r>
      <w:r w:rsidR="00D53CCC" w:rsidRPr="00B247DF">
        <w:rPr>
          <w:rFonts w:ascii="Times New Roman" w:hAnsi="Times New Roman"/>
        </w:rPr>
        <w:t xml:space="preserve"> </w:t>
      </w:r>
      <w:r w:rsidR="00577891" w:rsidRPr="00B247DF">
        <w:rPr>
          <w:rFonts w:ascii="Times New Roman" w:hAnsi="Times New Roman"/>
        </w:rPr>
        <w:t>give rise only to</w:t>
      </w:r>
      <w:r w:rsidR="0061605D" w:rsidRPr="00B247DF">
        <w:rPr>
          <w:rFonts w:ascii="Times New Roman" w:hAnsi="Times New Roman"/>
        </w:rPr>
        <w:t xml:space="preserve"> political,</w:t>
      </w:r>
      <w:r w:rsidR="00577891" w:rsidRPr="00B247DF">
        <w:rPr>
          <w:rFonts w:ascii="Times New Roman" w:hAnsi="Times New Roman"/>
        </w:rPr>
        <w:t xml:space="preserve"> </w:t>
      </w:r>
      <w:proofErr w:type="gramStart"/>
      <w:r w:rsidR="00577891" w:rsidRPr="00B247DF">
        <w:rPr>
          <w:rFonts w:ascii="Times New Roman" w:hAnsi="Times New Roman"/>
        </w:rPr>
        <w:t>administrative</w:t>
      </w:r>
      <w:proofErr w:type="gramEnd"/>
      <w:r w:rsidR="00577891" w:rsidRPr="00B247DF">
        <w:rPr>
          <w:rFonts w:ascii="Times New Roman" w:hAnsi="Times New Roman"/>
        </w:rPr>
        <w:t xml:space="preserve"> </w:t>
      </w:r>
      <w:r w:rsidR="00EE1890" w:rsidRPr="00B247DF">
        <w:rPr>
          <w:rFonts w:ascii="Times New Roman" w:hAnsi="Times New Roman"/>
        </w:rPr>
        <w:t xml:space="preserve">or other non-legal </w:t>
      </w:r>
      <w:r w:rsidR="00577891" w:rsidRPr="00B247DF">
        <w:rPr>
          <w:rFonts w:ascii="Times New Roman" w:hAnsi="Times New Roman"/>
        </w:rPr>
        <w:t>consequences</w:t>
      </w:r>
      <w:r w:rsidR="00EE1890" w:rsidRPr="00B247DF">
        <w:rPr>
          <w:rFonts w:ascii="Times New Roman" w:hAnsi="Times New Roman"/>
        </w:rPr>
        <w:t>.</w:t>
      </w:r>
      <w:r w:rsidR="00EE1890" w:rsidRPr="00B247DF">
        <w:rPr>
          <w:rStyle w:val="FootnoteReference"/>
          <w:rFonts w:ascii="Times New Roman" w:hAnsi="Times New Roman"/>
          <w:sz w:val="24"/>
        </w:rPr>
        <w:footnoteReference w:id="33"/>
      </w:r>
      <w:r w:rsidR="00577891" w:rsidRPr="00B247DF">
        <w:rPr>
          <w:rFonts w:ascii="Times New Roman" w:hAnsi="Times New Roman"/>
        </w:rPr>
        <w:t xml:space="preserve"> </w:t>
      </w:r>
    </w:p>
    <w:p w14:paraId="67DAC2DF" w14:textId="2CA4055E" w:rsidR="009B67DB" w:rsidRPr="00B247DF" w:rsidRDefault="009B67DB" w:rsidP="00B247DF">
      <w:pPr>
        <w:pStyle w:val="FixListStyle"/>
        <w:spacing w:after="260" w:line="280" w:lineRule="exact"/>
        <w:ind w:right="0"/>
        <w:jc w:val="both"/>
        <w:rPr>
          <w:rFonts w:ascii="Times New Roman" w:hAnsi="Times New Roman"/>
          <w:i/>
          <w:iCs/>
        </w:rPr>
      </w:pPr>
      <w:r w:rsidRPr="00B247DF">
        <w:rPr>
          <w:rFonts w:ascii="Times New Roman" w:hAnsi="Times New Roman"/>
        </w:rPr>
        <w:tab/>
      </w:r>
      <w:r w:rsidR="005271E5" w:rsidRPr="00B247DF">
        <w:rPr>
          <w:rFonts w:ascii="Times New Roman" w:hAnsi="Times New Roman"/>
          <w:i/>
          <w:iCs/>
        </w:rPr>
        <w:t xml:space="preserve">Australian Broadcasting Corporation v </w:t>
      </w:r>
      <w:proofErr w:type="spellStart"/>
      <w:r w:rsidR="005271E5" w:rsidRPr="00B247DF">
        <w:rPr>
          <w:rFonts w:ascii="Times New Roman" w:hAnsi="Times New Roman"/>
          <w:i/>
          <w:iCs/>
        </w:rPr>
        <w:t>Redmore</w:t>
      </w:r>
      <w:proofErr w:type="spellEnd"/>
      <w:r w:rsidR="002947AF" w:rsidRPr="00B247DF">
        <w:rPr>
          <w:rFonts w:ascii="Times New Roman" w:hAnsi="Times New Roman"/>
          <w:i/>
          <w:iCs/>
        </w:rPr>
        <w:t xml:space="preserve"> Pty Ltd</w:t>
      </w:r>
      <w:r w:rsidR="002947AF" w:rsidRPr="00B247DF">
        <w:rPr>
          <w:rStyle w:val="FootnoteReference"/>
          <w:rFonts w:ascii="Times New Roman" w:hAnsi="Times New Roman"/>
          <w:sz w:val="24"/>
        </w:rPr>
        <w:footnoteReference w:id="34"/>
      </w:r>
      <w:r w:rsidR="002947AF" w:rsidRPr="00B247DF">
        <w:rPr>
          <w:rFonts w:ascii="Times New Roman" w:hAnsi="Times New Roman"/>
        </w:rPr>
        <w:t xml:space="preserve"> furnishes a pertinent example. There</w:t>
      </w:r>
      <w:r w:rsidR="00BD5A9B" w:rsidRPr="00B247DF">
        <w:rPr>
          <w:rFonts w:ascii="Times New Roman" w:hAnsi="Times New Roman"/>
        </w:rPr>
        <w:t xml:space="preserve">, </w:t>
      </w:r>
      <w:r w:rsidR="002947AF" w:rsidRPr="00B247DF">
        <w:rPr>
          <w:rFonts w:ascii="Times New Roman" w:hAnsi="Times New Roman"/>
        </w:rPr>
        <w:t xml:space="preserve">a statutory condition </w:t>
      </w:r>
      <w:r w:rsidR="005124BA" w:rsidRPr="00B247DF">
        <w:rPr>
          <w:rFonts w:ascii="Times New Roman" w:hAnsi="Times New Roman"/>
        </w:rPr>
        <w:t>precedent to</w:t>
      </w:r>
      <w:r w:rsidR="002947AF" w:rsidRPr="00B247DF">
        <w:rPr>
          <w:rFonts w:ascii="Times New Roman" w:hAnsi="Times New Roman"/>
        </w:rPr>
        <w:t xml:space="preserve"> an exercise by a statutory corporation of power</w:t>
      </w:r>
      <w:r w:rsidR="00A35430" w:rsidRPr="00B247DF">
        <w:rPr>
          <w:rFonts w:ascii="Times New Roman" w:hAnsi="Times New Roman"/>
        </w:rPr>
        <w:t>s</w:t>
      </w:r>
      <w:r w:rsidR="002947AF" w:rsidRPr="00B247DF">
        <w:rPr>
          <w:rFonts w:ascii="Times New Roman" w:hAnsi="Times New Roman"/>
        </w:rPr>
        <w:t xml:space="preserve"> to </w:t>
      </w:r>
      <w:r w:rsidR="00837457" w:rsidRPr="00B247DF">
        <w:rPr>
          <w:rFonts w:ascii="Times New Roman" w:hAnsi="Times New Roman"/>
        </w:rPr>
        <w:t xml:space="preserve">enter into </w:t>
      </w:r>
      <w:r w:rsidR="002947AF" w:rsidRPr="00B247DF">
        <w:rPr>
          <w:rFonts w:ascii="Times New Roman" w:hAnsi="Times New Roman"/>
        </w:rPr>
        <w:t>contract</w:t>
      </w:r>
      <w:r w:rsidR="00837457" w:rsidRPr="00B247DF">
        <w:rPr>
          <w:rFonts w:ascii="Times New Roman" w:hAnsi="Times New Roman"/>
        </w:rPr>
        <w:t>s</w:t>
      </w:r>
      <w:r w:rsidR="002947AF" w:rsidRPr="00B247DF">
        <w:rPr>
          <w:rFonts w:ascii="Times New Roman" w:hAnsi="Times New Roman"/>
        </w:rPr>
        <w:t xml:space="preserve"> </w:t>
      </w:r>
      <w:r w:rsidR="00837457" w:rsidRPr="00B247DF">
        <w:rPr>
          <w:rFonts w:ascii="Times New Roman" w:hAnsi="Times New Roman"/>
        </w:rPr>
        <w:t xml:space="preserve">for the performance of its functions was expressed in terms that the corporation </w:t>
      </w:r>
      <w:r w:rsidR="00686CED" w:rsidRPr="00B247DF">
        <w:rPr>
          <w:rFonts w:ascii="Times New Roman" w:hAnsi="Times New Roman"/>
        </w:rPr>
        <w:t>"shall not</w:t>
      </w:r>
      <w:r w:rsidR="00687B2F" w:rsidRPr="00B247DF">
        <w:rPr>
          <w:rFonts w:ascii="Times New Roman" w:hAnsi="Times New Roman"/>
        </w:rPr>
        <w:t xml:space="preserve">, without the approval of the Minister" </w:t>
      </w:r>
      <w:r w:rsidR="00A35430" w:rsidRPr="00B247DF">
        <w:rPr>
          <w:rFonts w:ascii="Times New Roman" w:hAnsi="Times New Roman"/>
        </w:rPr>
        <w:t xml:space="preserve">enter into a contract </w:t>
      </w:r>
      <w:r w:rsidR="00687B2F" w:rsidRPr="00B247DF">
        <w:rPr>
          <w:rFonts w:ascii="Times New Roman" w:hAnsi="Times New Roman"/>
        </w:rPr>
        <w:t>under which it was to pay more than a specified amount of money.</w:t>
      </w:r>
      <w:r w:rsidR="0035199C" w:rsidRPr="00B247DF">
        <w:rPr>
          <w:rStyle w:val="FootnoteReference"/>
          <w:rFonts w:ascii="Times New Roman" w:hAnsi="Times New Roman"/>
          <w:sz w:val="24"/>
        </w:rPr>
        <w:footnoteReference w:id="35"/>
      </w:r>
      <w:r w:rsidR="00687B2F" w:rsidRPr="00B247DF">
        <w:rPr>
          <w:rFonts w:ascii="Times New Roman" w:hAnsi="Times New Roman"/>
        </w:rPr>
        <w:t xml:space="preserve"> </w:t>
      </w:r>
      <w:r w:rsidR="00AE4911" w:rsidRPr="00B247DF">
        <w:rPr>
          <w:rFonts w:ascii="Times New Roman" w:hAnsi="Times New Roman"/>
        </w:rPr>
        <w:t xml:space="preserve">The condition was construed to be </w:t>
      </w:r>
      <w:r w:rsidR="002C12B5" w:rsidRPr="00B247DF">
        <w:rPr>
          <w:rFonts w:ascii="Times New Roman" w:hAnsi="Times New Roman"/>
        </w:rPr>
        <w:t>"</w:t>
      </w:r>
      <w:r w:rsidR="004214C5" w:rsidRPr="00B247DF">
        <w:rPr>
          <w:rFonts w:ascii="Times New Roman" w:hAnsi="Times New Roman"/>
        </w:rPr>
        <w:t>not concerned to confine the actual content of those powers</w:t>
      </w:r>
      <w:r w:rsidR="002C12B5" w:rsidRPr="00B247DF">
        <w:rPr>
          <w:rFonts w:ascii="Times New Roman" w:hAnsi="Times New Roman"/>
        </w:rPr>
        <w:t xml:space="preserve"> or to invalidate or render unenforceable contracts with innocent outsiders made in the exercise of them"</w:t>
      </w:r>
      <w:r w:rsidR="00DC5E61" w:rsidRPr="00B247DF">
        <w:rPr>
          <w:rFonts w:ascii="Times New Roman" w:hAnsi="Times New Roman"/>
        </w:rPr>
        <w:t xml:space="preserve"> but </w:t>
      </w:r>
      <w:r w:rsidR="00474355" w:rsidRPr="00B247DF">
        <w:rPr>
          <w:rFonts w:ascii="Times New Roman" w:hAnsi="Times New Roman"/>
        </w:rPr>
        <w:t>neither was it construed</w:t>
      </w:r>
      <w:r w:rsidR="00DC5E61" w:rsidRPr="00B247DF">
        <w:rPr>
          <w:rFonts w:ascii="Times New Roman" w:hAnsi="Times New Roman"/>
        </w:rPr>
        <w:t xml:space="preserve"> to </w:t>
      </w:r>
      <w:r w:rsidR="00BB00FE" w:rsidRPr="00B247DF">
        <w:rPr>
          <w:rFonts w:ascii="Times New Roman" w:hAnsi="Times New Roman"/>
        </w:rPr>
        <w:t>have</w:t>
      </w:r>
      <w:r w:rsidR="0029009E" w:rsidRPr="00B247DF">
        <w:rPr>
          <w:rFonts w:ascii="Times New Roman" w:hAnsi="Times New Roman"/>
        </w:rPr>
        <w:t xml:space="preserve"> no more than</w:t>
      </w:r>
      <w:r w:rsidR="00930CE8" w:rsidRPr="00B247DF">
        <w:rPr>
          <w:rFonts w:ascii="Times New Roman" w:hAnsi="Times New Roman"/>
        </w:rPr>
        <w:t xml:space="preserve"> "the status of </w:t>
      </w:r>
      <w:r w:rsidR="00DC5E61" w:rsidRPr="00B247DF">
        <w:rPr>
          <w:rFonts w:ascii="Times New Roman" w:hAnsi="Times New Roman"/>
        </w:rPr>
        <w:t>a p</w:t>
      </w:r>
      <w:r w:rsidR="000E073C" w:rsidRPr="00B247DF">
        <w:rPr>
          <w:rFonts w:ascii="Times New Roman" w:hAnsi="Times New Roman"/>
        </w:rPr>
        <w:t>ious admonition".</w:t>
      </w:r>
      <w:r w:rsidR="00196F0A" w:rsidRPr="00B247DF">
        <w:rPr>
          <w:rStyle w:val="FootnoteReference"/>
          <w:rFonts w:ascii="Times New Roman" w:hAnsi="Times New Roman"/>
          <w:sz w:val="24"/>
        </w:rPr>
        <w:footnoteReference w:id="36"/>
      </w:r>
      <w:r w:rsidR="000E073C" w:rsidRPr="00B247DF">
        <w:rPr>
          <w:rFonts w:ascii="Times New Roman" w:hAnsi="Times New Roman"/>
        </w:rPr>
        <w:t xml:space="preserve"> </w:t>
      </w:r>
      <w:r w:rsidR="00B40ACB" w:rsidRPr="00B247DF">
        <w:rPr>
          <w:rFonts w:ascii="Times New Roman" w:hAnsi="Times New Roman"/>
        </w:rPr>
        <w:t xml:space="preserve">Rather, it was </w:t>
      </w:r>
      <w:r w:rsidR="00196F0A" w:rsidRPr="00B247DF">
        <w:rPr>
          <w:rFonts w:ascii="Times New Roman" w:hAnsi="Times New Roman"/>
        </w:rPr>
        <w:t>observed</w:t>
      </w:r>
      <w:r w:rsidR="00B40ACB" w:rsidRPr="00B247DF">
        <w:rPr>
          <w:rFonts w:ascii="Times New Roman" w:hAnsi="Times New Roman"/>
        </w:rPr>
        <w:t xml:space="preserve"> that </w:t>
      </w:r>
      <w:r w:rsidR="007D2E3A" w:rsidRPr="00B247DF">
        <w:rPr>
          <w:rFonts w:ascii="Times New Roman" w:hAnsi="Times New Roman"/>
        </w:rPr>
        <w:t xml:space="preserve">non-compliance with the condition </w:t>
      </w:r>
      <w:r w:rsidR="00FA3408" w:rsidRPr="00B247DF">
        <w:rPr>
          <w:rFonts w:ascii="Times New Roman" w:hAnsi="Times New Roman"/>
        </w:rPr>
        <w:t>"</w:t>
      </w:r>
      <w:r w:rsidR="0080316B" w:rsidRPr="00B247DF">
        <w:rPr>
          <w:rFonts w:ascii="Times New Roman" w:hAnsi="Times New Roman"/>
        </w:rPr>
        <w:t xml:space="preserve">could, depending upon the circumstances, constitute misconduct for the purposes of disciplinary proceedings ... </w:t>
      </w:r>
      <w:r w:rsidR="00930CE8" w:rsidRPr="00B247DF">
        <w:rPr>
          <w:rFonts w:ascii="Times New Roman" w:hAnsi="Times New Roman"/>
        </w:rPr>
        <w:t>a</w:t>
      </w:r>
      <w:r w:rsidR="0080316B" w:rsidRPr="00B247DF">
        <w:rPr>
          <w:rFonts w:ascii="Times New Roman" w:hAnsi="Times New Roman"/>
        </w:rPr>
        <w:t>nd would, at the least, call for a report by the Auditor</w:t>
      </w:r>
      <w:r w:rsidR="00366F7A" w:rsidRPr="00B247DF">
        <w:rPr>
          <w:rFonts w:ascii="Times New Roman" w:hAnsi="Times New Roman"/>
        </w:rPr>
        <w:t>-</w:t>
      </w:r>
      <w:r w:rsidR="0080316B" w:rsidRPr="00B247DF">
        <w:rPr>
          <w:rFonts w:ascii="Times New Roman" w:hAnsi="Times New Roman"/>
        </w:rPr>
        <w:t>General</w:t>
      </w:r>
      <w:r w:rsidR="001520B0" w:rsidRPr="00B247DF">
        <w:rPr>
          <w:rFonts w:ascii="Times New Roman" w:hAnsi="Times New Roman"/>
        </w:rPr>
        <w:t xml:space="preserve"> to the responsible </w:t>
      </w:r>
      <w:r w:rsidR="00085555" w:rsidRPr="00B247DF">
        <w:rPr>
          <w:rFonts w:ascii="Times New Roman" w:hAnsi="Times New Roman"/>
        </w:rPr>
        <w:t xml:space="preserve">Minister </w:t>
      </w:r>
      <w:r w:rsidR="001520B0" w:rsidRPr="00B247DF">
        <w:rPr>
          <w:rFonts w:ascii="Times New Roman" w:hAnsi="Times New Roman"/>
        </w:rPr>
        <w:t>whose approval to the relevant contract had not been obtained".</w:t>
      </w:r>
      <w:r w:rsidR="00196F0A" w:rsidRPr="00B247DF">
        <w:rPr>
          <w:rStyle w:val="FootnoteReference"/>
          <w:rFonts w:ascii="Times New Roman" w:hAnsi="Times New Roman"/>
          <w:sz w:val="24"/>
        </w:rPr>
        <w:footnoteReference w:id="37"/>
      </w:r>
      <w:r w:rsidR="00AE4911" w:rsidRPr="00B247DF">
        <w:rPr>
          <w:rFonts w:ascii="Times New Roman" w:hAnsi="Times New Roman"/>
        </w:rPr>
        <w:t xml:space="preserve"> </w:t>
      </w:r>
    </w:p>
    <w:p w14:paraId="50BC0D86" w14:textId="09D18C35" w:rsidR="000F4532" w:rsidRPr="00B247DF" w:rsidRDefault="009B67DB" w:rsidP="00B247DF">
      <w:pPr>
        <w:pStyle w:val="FixListStyle"/>
        <w:spacing w:after="260" w:line="280" w:lineRule="exact"/>
        <w:ind w:right="0"/>
        <w:jc w:val="both"/>
        <w:rPr>
          <w:rFonts w:ascii="Times New Roman" w:hAnsi="Times New Roman"/>
          <w:i/>
          <w:iCs/>
        </w:rPr>
      </w:pPr>
      <w:r w:rsidRPr="00B247DF">
        <w:rPr>
          <w:rFonts w:ascii="Times New Roman" w:hAnsi="Times New Roman"/>
        </w:rPr>
        <w:tab/>
      </w:r>
      <w:r w:rsidR="00BC3317" w:rsidRPr="00B247DF">
        <w:rPr>
          <w:rFonts w:ascii="Times New Roman" w:hAnsi="Times New Roman"/>
        </w:rPr>
        <w:t xml:space="preserve">Section 16(1) and (5) of the Act prescribe </w:t>
      </w:r>
      <w:r w:rsidR="00AF30D8" w:rsidRPr="00B247DF">
        <w:rPr>
          <w:rFonts w:ascii="Times New Roman" w:hAnsi="Times New Roman"/>
        </w:rPr>
        <w:t>conditions precedent to commencing public works</w:t>
      </w:r>
      <w:r w:rsidR="00ED69E3" w:rsidRPr="00B247DF">
        <w:rPr>
          <w:rFonts w:ascii="Times New Roman" w:hAnsi="Times New Roman"/>
        </w:rPr>
        <w:t xml:space="preserve"> within the scope of s 15(1) of the Act. </w:t>
      </w:r>
      <w:r w:rsidR="007E7D07" w:rsidRPr="00B247DF">
        <w:rPr>
          <w:rFonts w:ascii="Times New Roman" w:hAnsi="Times New Roman"/>
        </w:rPr>
        <w:t xml:space="preserve">Depending on the </w:t>
      </w:r>
      <w:r w:rsidR="009C11B0" w:rsidRPr="00B247DF">
        <w:rPr>
          <w:rFonts w:ascii="Times New Roman" w:hAnsi="Times New Roman"/>
        </w:rPr>
        <w:t>nature of the public work</w:t>
      </w:r>
      <w:r w:rsidR="00377B42" w:rsidRPr="00B247DF">
        <w:rPr>
          <w:rFonts w:ascii="Times New Roman" w:hAnsi="Times New Roman"/>
        </w:rPr>
        <w:t xml:space="preserve"> involved</w:t>
      </w:r>
      <w:r w:rsidR="007E7D07" w:rsidRPr="00B247DF">
        <w:rPr>
          <w:rFonts w:ascii="Times New Roman" w:hAnsi="Times New Roman"/>
        </w:rPr>
        <w:t>, t</w:t>
      </w:r>
      <w:r w:rsidRPr="00B247DF">
        <w:rPr>
          <w:rFonts w:ascii="Times New Roman" w:hAnsi="Times New Roman"/>
        </w:rPr>
        <w:t xml:space="preserve">he power </w:t>
      </w:r>
      <w:r w:rsidR="00704C09" w:rsidRPr="00B247DF">
        <w:rPr>
          <w:rFonts w:ascii="Times New Roman" w:hAnsi="Times New Roman"/>
        </w:rPr>
        <w:t xml:space="preserve">to carry </w:t>
      </w:r>
      <w:r w:rsidR="00DF1FA0" w:rsidRPr="00B247DF">
        <w:rPr>
          <w:rFonts w:ascii="Times New Roman" w:hAnsi="Times New Roman"/>
        </w:rPr>
        <w:t xml:space="preserve">it </w:t>
      </w:r>
      <w:r w:rsidR="00704C09" w:rsidRPr="00B247DF">
        <w:rPr>
          <w:rFonts w:ascii="Times New Roman" w:hAnsi="Times New Roman"/>
        </w:rPr>
        <w:t xml:space="preserve">out </w:t>
      </w:r>
      <w:r w:rsidR="003534CD" w:rsidRPr="00B247DF">
        <w:rPr>
          <w:rFonts w:ascii="Times New Roman" w:hAnsi="Times New Roman"/>
        </w:rPr>
        <w:t xml:space="preserve">might be </w:t>
      </w:r>
      <w:r w:rsidR="00DA3074" w:rsidRPr="00B247DF">
        <w:rPr>
          <w:rFonts w:ascii="Times New Roman" w:hAnsi="Times New Roman"/>
        </w:rPr>
        <w:t xml:space="preserve">a power conferred </w:t>
      </w:r>
      <w:r w:rsidR="00866944" w:rsidRPr="00B247DF">
        <w:rPr>
          <w:rFonts w:ascii="Times New Roman" w:hAnsi="Times New Roman"/>
        </w:rPr>
        <w:t xml:space="preserve">on a </w:t>
      </w:r>
      <w:proofErr w:type="gramStart"/>
      <w:r w:rsidR="00866944" w:rsidRPr="00B247DF">
        <w:rPr>
          <w:rFonts w:ascii="Times New Roman" w:hAnsi="Times New Roman"/>
        </w:rPr>
        <w:t>Government</w:t>
      </w:r>
      <w:proofErr w:type="gramEnd"/>
      <w:r w:rsidR="00866944" w:rsidRPr="00B247DF">
        <w:rPr>
          <w:rFonts w:ascii="Times New Roman" w:hAnsi="Times New Roman"/>
        </w:rPr>
        <w:t xml:space="preserve"> department </w:t>
      </w:r>
      <w:r w:rsidR="00FA5452" w:rsidRPr="00B247DF">
        <w:rPr>
          <w:rFonts w:ascii="Times New Roman" w:hAnsi="Times New Roman"/>
        </w:rPr>
        <w:t xml:space="preserve">or </w:t>
      </w:r>
      <w:r w:rsidR="00866944" w:rsidRPr="00B247DF">
        <w:rPr>
          <w:rFonts w:ascii="Times New Roman" w:hAnsi="Times New Roman"/>
        </w:rPr>
        <w:t>a State authority</w:t>
      </w:r>
      <w:r w:rsidR="00C144DF" w:rsidRPr="00B247DF">
        <w:rPr>
          <w:rFonts w:ascii="Times New Roman" w:hAnsi="Times New Roman"/>
        </w:rPr>
        <w:t xml:space="preserve"> by a Tasmanian statute</w:t>
      </w:r>
      <w:r w:rsidR="00866944" w:rsidRPr="00B247DF">
        <w:rPr>
          <w:rFonts w:ascii="Times New Roman" w:hAnsi="Times New Roman"/>
        </w:rPr>
        <w:t xml:space="preserve"> </w:t>
      </w:r>
      <w:r w:rsidR="0020511A" w:rsidRPr="00B247DF">
        <w:rPr>
          <w:rFonts w:ascii="Times New Roman" w:hAnsi="Times New Roman"/>
        </w:rPr>
        <w:t xml:space="preserve">or might be </w:t>
      </w:r>
      <w:r w:rsidR="00FA5452" w:rsidRPr="00B247DF">
        <w:rPr>
          <w:rFonts w:ascii="Times New Roman" w:hAnsi="Times New Roman"/>
        </w:rPr>
        <w:t>a</w:t>
      </w:r>
      <w:r w:rsidR="00607B67" w:rsidRPr="00B247DF">
        <w:rPr>
          <w:rFonts w:ascii="Times New Roman" w:hAnsi="Times New Roman"/>
        </w:rPr>
        <w:t>n aspect of</w:t>
      </w:r>
      <w:r w:rsidR="00882862" w:rsidRPr="00B247DF">
        <w:rPr>
          <w:rFonts w:ascii="Times New Roman" w:hAnsi="Times New Roman"/>
        </w:rPr>
        <w:t xml:space="preserve"> </w:t>
      </w:r>
      <w:r w:rsidR="00607B67" w:rsidRPr="00B247DF">
        <w:rPr>
          <w:rFonts w:ascii="Times New Roman" w:hAnsi="Times New Roman"/>
        </w:rPr>
        <w:t xml:space="preserve">the </w:t>
      </w:r>
      <w:r w:rsidR="00882862" w:rsidRPr="00B247DF">
        <w:rPr>
          <w:rFonts w:ascii="Times New Roman" w:hAnsi="Times New Roman"/>
        </w:rPr>
        <w:t>executive</w:t>
      </w:r>
      <w:r w:rsidR="006D4EE1" w:rsidRPr="00B247DF">
        <w:rPr>
          <w:rFonts w:ascii="Times New Roman" w:hAnsi="Times New Roman"/>
        </w:rPr>
        <w:t xml:space="preserve"> power</w:t>
      </w:r>
      <w:r w:rsidR="008A4B3D" w:rsidRPr="00B247DF">
        <w:rPr>
          <w:rFonts w:ascii="Times New Roman" w:hAnsi="Times New Roman"/>
        </w:rPr>
        <w:t xml:space="preserve"> of the </w:t>
      </w:r>
      <w:r w:rsidR="00F62D33" w:rsidRPr="00B247DF">
        <w:rPr>
          <w:rFonts w:ascii="Times New Roman" w:hAnsi="Times New Roman"/>
        </w:rPr>
        <w:t>Executive</w:t>
      </w:r>
      <w:r w:rsidR="00285C48" w:rsidRPr="00B247DF">
        <w:rPr>
          <w:rFonts w:ascii="Times New Roman" w:hAnsi="Times New Roman"/>
        </w:rPr>
        <w:t xml:space="preserve"> Government </w:t>
      </w:r>
      <w:r w:rsidR="002800E1" w:rsidRPr="00B247DF">
        <w:rPr>
          <w:rFonts w:ascii="Times New Roman" w:hAnsi="Times New Roman"/>
        </w:rPr>
        <w:t xml:space="preserve">of Tasmania </w:t>
      </w:r>
      <w:r w:rsidR="0025141C" w:rsidRPr="00B247DF">
        <w:rPr>
          <w:rFonts w:ascii="Times New Roman" w:hAnsi="Times New Roman"/>
        </w:rPr>
        <w:t xml:space="preserve">formally </w:t>
      </w:r>
      <w:r w:rsidR="00285C48" w:rsidRPr="00B247DF">
        <w:rPr>
          <w:rFonts w:ascii="Times New Roman" w:hAnsi="Times New Roman"/>
        </w:rPr>
        <w:t>vested</w:t>
      </w:r>
      <w:r w:rsidR="00DD2B0F" w:rsidRPr="00B247DF">
        <w:rPr>
          <w:rFonts w:ascii="Times New Roman" w:hAnsi="Times New Roman"/>
        </w:rPr>
        <w:t xml:space="preserve"> </w:t>
      </w:r>
      <w:r w:rsidR="00236486" w:rsidRPr="00B247DF">
        <w:rPr>
          <w:rFonts w:ascii="Times New Roman" w:hAnsi="Times New Roman"/>
        </w:rPr>
        <w:t xml:space="preserve">in </w:t>
      </w:r>
      <w:r w:rsidR="0025141C" w:rsidRPr="00B247DF">
        <w:rPr>
          <w:rFonts w:ascii="Times New Roman" w:hAnsi="Times New Roman"/>
        </w:rPr>
        <w:t xml:space="preserve">the Crown and exercisable by </w:t>
      </w:r>
      <w:r w:rsidR="00236486" w:rsidRPr="00B247DF">
        <w:rPr>
          <w:rFonts w:ascii="Times New Roman" w:hAnsi="Times New Roman"/>
        </w:rPr>
        <w:t xml:space="preserve">the </w:t>
      </w:r>
      <w:r w:rsidR="00FE4CF6" w:rsidRPr="00B247DF">
        <w:rPr>
          <w:rFonts w:ascii="Times New Roman" w:hAnsi="Times New Roman"/>
        </w:rPr>
        <w:t>Governor</w:t>
      </w:r>
      <w:r w:rsidR="007D3C1F" w:rsidRPr="00B247DF">
        <w:rPr>
          <w:rFonts w:ascii="Times New Roman" w:hAnsi="Times New Roman"/>
        </w:rPr>
        <w:t xml:space="preserve">. </w:t>
      </w:r>
      <w:r w:rsidR="009C1471" w:rsidRPr="00B247DF">
        <w:rPr>
          <w:rFonts w:ascii="Times New Roman" w:hAnsi="Times New Roman"/>
        </w:rPr>
        <w:t xml:space="preserve">Whether the source of power </w:t>
      </w:r>
      <w:r w:rsidR="00451190" w:rsidRPr="00B247DF">
        <w:rPr>
          <w:rFonts w:ascii="Times New Roman" w:hAnsi="Times New Roman"/>
        </w:rPr>
        <w:t xml:space="preserve">to carry out </w:t>
      </w:r>
      <w:r w:rsidR="009C1471" w:rsidRPr="00B247DF">
        <w:rPr>
          <w:rFonts w:ascii="Times New Roman" w:hAnsi="Times New Roman"/>
        </w:rPr>
        <w:t>a given</w:t>
      </w:r>
      <w:r w:rsidR="00026ABD" w:rsidRPr="00B247DF">
        <w:rPr>
          <w:rFonts w:ascii="Times New Roman" w:hAnsi="Times New Roman"/>
        </w:rPr>
        <w:t xml:space="preserve"> public work</w:t>
      </w:r>
      <w:r w:rsidR="009C1471" w:rsidRPr="00B247DF">
        <w:rPr>
          <w:rFonts w:ascii="Times New Roman" w:hAnsi="Times New Roman"/>
        </w:rPr>
        <w:t xml:space="preserve"> is </w:t>
      </w:r>
      <w:r w:rsidR="00422EDE" w:rsidRPr="00B247DF">
        <w:rPr>
          <w:rFonts w:ascii="Times New Roman" w:hAnsi="Times New Roman"/>
        </w:rPr>
        <w:t xml:space="preserve">statutory or executive, the exercise of power </w:t>
      </w:r>
      <w:r w:rsidR="00672FF8" w:rsidRPr="00B247DF">
        <w:rPr>
          <w:rFonts w:ascii="Times New Roman" w:hAnsi="Times New Roman"/>
        </w:rPr>
        <w:t>is</w:t>
      </w:r>
      <w:r w:rsidR="00422EDE" w:rsidRPr="00B247DF">
        <w:rPr>
          <w:rFonts w:ascii="Times New Roman" w:hAnsi="Times New Roman"/>
        </w:rPr>
        <w:t xml:space="preserve"> in every case one </w:t>
      </w:r>
      <w:r w:rsidR="00921AF5" w:rsidRPr="00B247DF">
        <w:rPr>
          <w:rFonts w:ascii="Times New Roman" w:hAnsi="Times New Roman"/>
        </w:rPr>
        <w:t>for</w:t>
      </w:r>
      <w:r w:rsidR="00B56E37" w:rsidRPr="00B247DF">
        <w:rPr>
          <w:rFonts w:ascii="Times New Roman" w:hAnsi="Times New Roman"/>
        </w:rPr>
        <w:t xml:space="preserve"> </w:t>
      </w:r>
      <w:r w:rsidR="00422EDE" w:rsidRPr="00B247DF">
        <w:rPr>
          <w:rFonts w:ascii="Times New Roman" w:hAnsi="Times New Roman"/>
        </w:rPr>
        <w:t>which</w:t>
      </w:r>
      <w:r w:rsidR="00B55E36" w:rsidRPr="00B247DF">
        <w:rPr>
          <w:rFonts w:ascii="Times New Roman" w:hAnsi="Times New Roman"/>
        </w:rPr>
        <w:t>,</w:t>
      </w:r>
      <w:r w:rsidR="00FE4CF6" w:rsidRPr="00B247DF">
        <w:rPr>
          <w:rFonts w:ascii="Times New Roman" w:hAnsi="Times New Roman"/>
        </w:rPr>
        <w:t xml:space="preserve"> in accordance with the </w:t>
      </w:r>
      <w:r w:rsidR="00FE4CF6" w:rsidRPr="00B247DF">
        <w:rPr>
          <w:rFonts w:ascii="Times New Roman" w:hAnsi="Times New Roman"/>
        </w:rPr>
        <w:lastRenderedPageBreak/>
        <w:t xml:space="preserve">conventions </w:t>
      </w:r>
      <w:r w:rsidR="008D280A" w:rsidRPr="00B247DF">
        <w:rPr>
          <w:rFonts w:ascii="Times New Roman" w:hAnsi="Times New Roman"/>
        </w:rPr>
        <w:t>of responsible government</w:t>
      </w:r>
      <w:r w:rsidR="00B55E36" w:rsidRPr="00B247DF">
        <w:rPr>
          <w:rFonts w:ascii="Times New Roman" w:hAnsi="Times New Roman"/>
        </w:rPr>
        <w:t>,</w:t>
      </w:r>
      <w:r w:rsidR="00F512B9" w:rsidRPr="00B247DF">
        <w:rPr>
          <w:rFonts w:ascii="Times New Roman" w:hAnsi="Times New Roman"/>
        </w:rPr>
        <w:t xml:space="preserve"> Ministers </w:t>
      </w:r>
      <w:r w:rsidR="00A8353A" w:rsidRPr="00B247DF">
        <w:rPr>
          <w:rFonts w:ascii="Times New Roman" w:hAnsi="Times New Roman"/>
        </w:rPr>
        <w:t xml:space="preserve">of the Crown </w:t>
      </w:r>
      <w:r w:rsidR="00D80EE4" w:rsidRPr="00B247DF">
        <w:rPr>
          <w:rFonts w:ascii="Times New Roman" w:hAnsi="Times New Roman"/>
        </w:rPr>
        <w:t>are</w:t>
      </w:r>
      <w:r w:rsidR="00D503F7" w:rsidRPr="00B247DF">
        <w:rPr>
          <w:rFonts w:ascii="Times New Roman" w:hAnsi="Times New Roman"/>
        </w:rPr>
        <w:t xml:space="preserve"> politically accountable to </w:t>
      </w:r>
      <w:r w:rsidR="00710B52" w:rsidRPr="00B247DF">
        <w:rPr>
          <w:rFonts w:ascii="Times New Roman" w:hAnsi="Times New Roman"/>
        </w:rPr>
        <w:t xml:space="preserve">the House of Assembly </w:t>
      </w:r>
      <w:r w:rsidR="0007306E" w:rsidRPr="00B247DF">
        <w:rPr>
          <w:rFonts w:ascii="Times New Roman" w:hAnsi="Times New Roman"/>
        </w:rPr>
        <w:t>and to</w:t>
      </w:r>
      <w:r w:rsidR="00710B52" w:rsidRPr="00B247DF">
        <w:rPr>
          <w:rFonts w:ascii="Times New Roman" w:hAnsi="Times New Roman"/>
        </w:rPr>
        <w:t xml:space="preserve"> the Legislative Council</w:t>
      </w:r>
      <w:r w:rsidR="006D4EE1" w:rsidRPr="00B247DF">
        <w:rPr>
          <w:rFonts w:ascii="Times New Roman" w:hAnsi="Times New Roman"/>
        </w:rPr>
        <w:t>.</w:t>
      </w:r>
      <w:r w:rsidR="00D54D53" w:rsidRPr="00B247DF">
        <w:rPr>
          <w:rStyle w:val="FootnoteReference"/>
          <w:rFonts w:ascii="Times New Roman" w:hAnsi="Times New Roman"/>
          <w:sz w:val="24"/>
        </w:rPr>
        <w:footnoteReference w:id="38"/>
      </w:r>
    </w:p>
    <w:p w14:paraId="57753CA4" w14:textId="7B9DE4C6" w:rsidR="006A4B1A" w:rsidRPr="00B247DF" w:rsidRDefault="006A4B1A" w:rsidP="00B247DF">
      <w:pPr>
        <w:pStyle w:val="FixListStyle"/>
        <w:spacing w:after="260" w:line="280" w:lineRule="exact"/>
        <w:ind w:right="0"/>
        <w:jc w:val="both"/>
        <w:rPr>
          <w:rFonts w:ascii="Times New Roman" w:hAnsi="Times New Roman"/>
          <w:i/>
          <w:iCs/>
        </w:rPr>
      </w:pPr>
      <w:r w:rsidRPr="00B247DF">
        <w:rPr>
          <w:rFonts w:ascii="Times New Roman" w:hAnsi="Times New Roman"/>
        </w:rPr>
        <w:tab/>
        <w:t>"A system of responsi</w:t>
      </w:r>
      <w:r w:rsidR="002F51E8" w:rsidRPr="00B247DF">
        <w:rPr>
          <w:rFonts w:ascii="Times New Roman" w:hAnsi="Times New Roman"/>
        </w:rPr>
        <w:t xml:space="preserve">ble government", as </w:t>
      </w:r>
      <w:r w:rsidR="00F04DDC" w:rsidRPr="00B247DF">
        <w:rPr>
          <w:rFonts w:ascii="Times New Roman" w:hAnsi="Times New Roman"/>
        </w:rPr>
        <w:t xml:space="preserve">was </w:t>
      </w:r>
      <w:r w:rsidR="00F5359D" w:rsidRPr="00B247DF">
        <w:rPr>
          <w:rFonts w:ascii="Times New Roman" w:hAnsi="Times New Roman"/>
        </w:rPr>
        <w:t>said</w:t>
      </w:r>
      <w:r w:rsidR="002F51E8" w:rsidRPr="00B247DF">
        <w:rPr>
          <w:rFonts w:ascii="Times New Roman" w:hAnsi="Times New Roman"/>
        </w:rPr>
        <w:t xml:space="preserve"> in </w:t>
      </w:r>
      <w:r w:rsidR="002F51E8" w:rsidRPr="00B247DF">
        <w:rPr>
          <w:rFonts w:ascii="Times New Roman" w:hAnsi="Times New Roman"/>
          <w:i/>
          <w:iCs/>
        </w:rPr>
        <w:t>Egan v Willis</w:t>
      </w:r>
      <w:r w:rsidR="002F51E8" w:rsidRPr="00B247DF">
        <w:rPr>
          <w:rFonts w:ascii="Times New Roman" w:hAnsi="Times New Roman"/>
        </w:rPr>
        <w:t>,</w:t>
      </w:r>
      <w:r w:rsidR="00AA6FC1" w:rsidRPr="00B247DF">
        <w:rPr>
          <w:rStyle w:val="FootnoteReference"/>
          <w:rFonts w:ascii="Times New Roman" w:hAnsi="Times New Roman"/>
          <w:sz w:val="24"/>
        </w:rPr>
        <w:footnoteReference w:id="39"/>
      </w:r>
      <w:r w:rsidR="002F51E8" w:rsidRPr="00B247DF">
        <w:rPr>
          <w:rFonts w:ascii="Times New Roman" w:hAnsi="Times New Roman"/>
        </w:rPr>
        <w:t xml:space="preserve"> </w:t>
      </w:r>
      <w:r w:rsidR="00883576" w:rsidRPr="00B247DF">
        <w:rPr>
          <w:rFonts w:ascii="Times New Roman" w:hAnsi="Times New Roman"/>
        </w:rPr>
        <w:t>"has been considered to encompass 'the means by which Parliament brings the Executive to account' so that 'the Executive's primary responsibility in its prosecution of government is owed to Parliament'"</w:t>
      </w:r>
      <w:r w:rsidR="00EA4A58" w:rsidRPr="00B247DF">
        <w:rPr>
          <w:rFonts w:ascii="Times New Roman" w:hAnsi="Times New Roman"/>
        </w:rPr>
        <w:t>. The explanation</w:t>
      </w:r>
      <w:r w:rsidR="00382CEC" w:rsidRPr="00B247DF">
        <w:rPr>
          <w:rFonts w:ascii="Times New Roman" w:hAnsi="Times New Roman"/>
        </w:rPr>
        <w:t xml:space="preserve"> in </w:t>
      </w:r>
      <w:r w:rsidR="00382CEC" w:rsidRPr="00B247DF">
        <w:rPr>
          <w:rFonts w:ascii="Times New Roman" w:hAnsi="Times New Roman"/>
          <w:i/>
          <w:iCs/>
        </w:rPr>
        <w:t>Egan v Willis</w:t>
      </w:r>
      <w:r w:rsidR="00EA4A58" w:rsidRPr="00B247DF">
        <w:rPr>
          <w:rFonts w:ascii="Times New Roman" w:hAnsi="Times New Roman"/>
        </w:rPr>
        <w:t xml:space="preserve"> </w:t>
      </w:r>
      <w:r w:rsidR="00705ABB" w:rsidRPr="00B247DF">
        <w:rPr>
          <w:rFonts w:ascii="Times New Roman" w:hAnsi="Times New Roman"/>
        </w:rPr>
        <w:t xml:space="preserve">relevantly </w:t>
      </w:r>
      <w:r w:rsidR="00EA4A58" w:rsidRPr="00B247DF">
        <w:rPr>
          <w:rFonts w:ascii="Times New Roman" w:hAnsi="Times New Roman"/>
        </w:rPr>
        <w:t>continued:</w:t>
      </w:r>
      <w:r w:rsidR="00EA4A58" w:rsidRPr="00B247DF">
        <w:rPr>
          <w:rStyle w:val="FootnoteReference"/>
          <w:rFonts w:ascii="Times New Roman" w:hAnsi="Times New Roman"/>
          <w:sz w:val="24"/>
        </w:rPr>
        <w:footnoteReference w:id="40"/>
      </w:r>
    </w:p>
    <w:p w14:paraId="26B978AD" w14:textId="77777777" w:rsidR="00B247DF" w:rsidRDefault="00143831" w:rsidP="00B247DF">
      <w:pPr>
        <w:pStyle w:val="leftright"/>
        <w:spacing w:before="0" w:after="260" w:line="280" w:lineRule="exact"/>
        <w:ind w:right="0"/>
        <w:jc w:val="both"/>
        <w:rPr>
          <w:rFonts w:ascii="Times New Roman" w:hAnsi="Times New Roman"/>
        </w:rPr>
      </w:pPr>
      <w:r w:rsidRPr="00B247DF">
        <w:rPr>
          <w:rFonts w:ascii="Times New Roman" w:hAnsi="Times New Roman"/>
        </w:rPr>
        <w:tab/>
        <w:t xml:space="preserve">"One aspect </w:t>
      </w:r>
      <w:r w:rsidR="00134806" w:rsidRPr="00B247DF">
        <w:rPr>
          <w:rFonts w:ascii="Times New Roman" w:hAnsi="Times New Roman"/>
        </w:rPr>
        <w:t>of responsible government is that Ministers may be</w:t>
      </w:r>
      <w:r w:rsidR="00134806" w:rsidRPr="00B247DF" w:rsidDel="00134806">
        <w:rPr>
          <w:rFonts w:ascii="Times New Roman" w:hAnsi="Times New Roman"/>
        </w:rPr>
        <w:t xml:space="preserve"> </w:t>
      </w:r>
      <w:r w:rsidR="00B54320" w:rsidRPr="00B247DF">
        <w:rPr>
          <w:rFonts w:ascii="Times New Roman" w:hAnsi="Times New Roman"/>
        </w:rPr>
        <w:t>members of either House of a bicameral legislature and liable to the</w:t>
      </w:r>
      <w:r w:rsidR="00B54320" w:rsidRPr="00B247DF" w:rsidDel="00134806">
        <w:rPr>
          <w:rFonts w:ascii="Times New Roman" w:hAnsi="Times New Roman"/>
        </w:rPr>
        <w:t xml:space="preserve"> </w:t>
      </w:r>
      <w:r w:rsidR="00260BDA" w:rsidRPr="00B247DF">
        <w:rPr>
          <w:rFonts w:ascii="Times New Roman" w:hAnsi="Times New Roman"/>
        </w:rPr>
        <w:t>scrutiny of that chamber in respect of the conduct of the executive</w:t>
      </w:r>
      <w:r w:rsidR="00260BDA" w:rsidRPr="00B247DF" w:rsidDel="00134806">
        <w:rPr>
          <w:rFonts w:ascii="Times New Roman" w:hAnsi="Times New Roman"/>
        </w:rPr>
        <w:t xml:space="preserve"> </w:t>
      </w:r>
      <w:r w:rsidR="00A05D11" w:rsidRPr="00B247DF">
        <w:rPr>
          <w:rFonts w:ascii="Times New Roman" w:hAnsi="Times New Roman"/>
        </w:rPr>
        <w:t>branch of government. Another</w:t>
      </w:r>
      <w:r w:rsidRPr="00B247DF" w:rsidDel="00134806">
        <w:rPr>
          <w:rFonts w:ascii="Times New Roman" w:hAnsi="Times New Roman"/>
        </w:rPr>
        <w:t xml:space="preserve"> aspect </w:t>
      </w:r>
      <w:r w:rsidR="00A05D11" w:rsidRPr="00B247DF">
        <w:rPr>
          <w:rFonts w:ascii="Times New Roman" w:hAnsi="Times New Roman"/>
        </w:rPr>
        <w:t>of responsible government,</w:t>
      </w:r>
      <w:r w:rsidR="00A05D11" w:rsidRPr="00B247DF" w:rsidDel="00134806">
        <w:rPr>
          <w:rFonts w:ascii="Times New Roman" w:hAnsi="Times New Roman"/>
        </w:rPr>
        <w:t xml:space="preserve"> </w:t>
      </w:r>
      <w:r w:rsidR="003A5BCD" w:rsidRPr="00B247DF">
        <w:rPr>
          <w:rFonts w:ascii="Times New Roman" w:hAnsi="Times New Roman"/>
        </w:rPr>
        <w:t>perhaps the best known, is that the ministry must command the</w:t>
      </w:r>
      <w:r w:rsidR="003A5BCD" w:rsidRPr="00B247DF" w:rsidDel="00134806">
        <w:rPr>
          <w:rFonts w:ascii="Times New Roman" w:hAnsi="Times New Roman"/>
        </w:rPr>
        <w:t xml:space="preserve"> </w:t>
      </w:r>
      <w:r w:rsidR="00344A4E" w:rsidRPr="00B247DF">
        <w:rPr>
          <w:rFonts w:ascii="Times New Roman" w:hAnsi="Times New Roman"/>
        </w:rPr>
        <w:t>support of the lower House of a bicameral legislature upon confidence</w:t>
      </w:r>
      <w:r w:rsidR="00344A4E" w:rsidRPr="00B247DF" w:rsidDel="00134806">
        <w:rPr>
          <w:rFonts w:ascii="Times New Roman" w:hAnsi="Times New Roman"/>
        </w:rPr>
        <w:t xml:space="preserve"> </w:t>
      </w:r>
      <w:r w:rsidR="00A92632" w:rsidRPr="00B247DF">
        <w:rPr>
          <w:rFonts w:ascii="Times New Roman" w:hAnsi="Times New Roman"/>
        </w:rPr>
        <w:t>motions. The circumstance that Ministers are not members of a</w:t>
      </w:r>
      <w:r w:rsidR="00A92632" w:rsidRPr="00B247DF" w:rsidDel="00134806">
        <w:rPr>
          <w:rFonts w:ascii="Times New Roman" w:hAnsi="Times New Roman"/>
        </w:rPr>
        <w:t xml:space="preserve"> </w:t>
      </w:r>
      <w:r w:rsidR="00C84FD7" w:rsidRPr="00B247DF">
        <w:rPr>
          <w:rFonts w:ascii="Times New Roman" w:hAnsi="Times New Roman"/>
        </w:rPr>
        <w:t>chamber in which the fate of administration is determined in this way</w:t>
      </w:r>
      <w:r w:rsidR="00C84FD7" w:rsidRPr="00B247DF" w:rsidDel="00134806">
        <w:rPr>
          <w:rFonts w:ascii="Times New Roman" w:hAnsi="Times New Roman"/>
        </w:rPr>
        <w:t xml:space="preserve"> </w:t>
      </w:r>
      <w:r w:rsidR="00215476" w:rsidRPr="00B247DF">
        <w:rPr>
          <w:rFonts w:ascii="Times New Roman" w:hAnsi="Times New Roman"/>
        </w:rPr>
        <w:t>does not have the consequence that the first aspect of responsible</w:t>
      </w:r>
      <w:r w:rsidR="00215476" w:rsidRPr="00B247DF" w:rsidDel="00134806">
        <w:rPr>
          <w:rFonts w:ascii="Times New Roman" w:hAnsi="Times New Roman"/>
        </w:rPr>
        <w:t xml:space="preserve"> </w:t>
      </w:r>
      <w:r w:rsidR="006D5F25" w:rsidRPr="00B247DF">
        <w:rPr>
          <w:rFonts w:ascii="Times New Roman" w:hAnsi="Times New Roman"/>
        </w:rPr>
        <w:t>government mentioned above does not apply to them. Nor is it a</w:t>
      </w:r>
      <w:r w:rsidR="006D5F25" w:rsidRPr="00B247DF" w:rsidDel="00134806">
        <w:rPr>
          <w:rFonts w:ascii="Times New Roman" w:hAnsi="Times New Roman"/>
        </w:rPr>
        <w:t xml:space="preserve"> </w:t>
      </w:r>
      <w:r w:rsidR="000207F0" w:rsidRPr="00B247DF">
        <w:rPr>
          <w:rFonts w:ascii="Times New Roman" w:hAnsi="Times New Roman"/>
        </w:rPr>
        <w:t>determinative consideration that the political party or parties, from</w:t>
      </w:r>
      <w:r w:rsidR="000207F0" w:rsidRPr="00B247DF" w:rsidDel="00134806">
        <w:rPr>
          <w:rFonts w:ascii="Times New Roman" w:hAnsi="Times New Roman"/>
        </w:rPr>
        <w:t xml:space="preserve"> </w:t>
      </w:r>
      <w:r w:rsidR="009C5976" w:rsidRPr="00B247DF">
        <w:rPr>
          <w:rFonts w:ascii="Times New Roman" w:hAnsi="Times New Roman"/>
        </w:rPr>
        <w:t>members of which the administration has been formed, 'controls' the</w:t>
      </w:r>
      <w:r w:rsidR="009C5976" w:rsidRPr="00B247DF" w:rsidDel="00134806">
        <w:rPr>
          <w:rFonts w:ascii="Times New Roman" w:hAnsi="Times New Roman"/>
        </w:rPr>
        <w:t xml:space="preserve"> </w:t>
      </w:r>
      <w:r w:rsidR="00F96D0C" w:rsidRPr="00B247DF">
        <w:rPr>
          <w:rFonts w:ascii="Times New Roman" w:hAnsi="Times New Roman"/>
        </w:rPr>
        <w:t>lower but not the upper chamber.</w:t>
      </w:r>
      <w:r w:rsidRPr="00B247DF">
        <w:rPr>
          <w:rFonts w:ascii="Times New Roman" w:hAnsi="Times New Roman"/>
        </w:rPr>
        <w:t>"</w:t>
      </w:r>
    </w:p>
    <w:p w14:paraId="5D0BDEA3" w14:textId="0E6729C1" w:rsidR="00CD3C57" w:rsidRPr="00B247DF" w:rsidRDefault="00E43260"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DC43D3" w:rsidRPr="00B247DF">
        <w:rPr>
          <w:rFonts w:ascii="Times New Roman" w:hAnsi="Times New Roman"/>
        </w:rPr>
        <w:t>M</w:t>
      </w:r>
      <w:r w:rsidR="004D08E8" w:rsidRPr="00B247DF">
        <w:rPr>
          <w:rFonts w:ascii="Times New Roman" w:hAnsi="Times New Roman"/>
        </w:rPr>
        <w:t>ember</w:t>
      </w:r>
      <w:r w:rsidR="00DC43D3" w:rsidRPr="00B247DF">
        <w:rPr>
          <w:rFonts w:ascii="Times New Roman" w:hAnsi="Times New Roman"/>
        </w:rPr>
        <w:t>s</w:t>
      </w:r>
      <w:r w:rsidR="004D08E8" w:rsidRPr="00B247DF">
        <w:rPr>
          <w:rFonts w:ascii="Times New Roman" w:hAnsi="Times New Roman"/>
        </w:rPr>
        <w:t xml:space="preserve"> of a State Parliament </w:t>
      </w:r>
      <w:r w:rsidR="00384415" w:rsidRPr="00B247DF">
        <w:rPr>
          <w:rFonts w:ascii="Times New Roman" w:hAnsi="Times New Roman"/>
        </w:rPr>
        <w:t xml:space="preserve">were </w:t>
      </w:r>
      <w:r w:rsidR="00CD2490" w:rsidRPr="00B247DF">
        <w:rPr>
          <w:rFonts w:ascii="Times New Roman" w:hAnsi="Times New Roman"/>
        </w:rPr>
        <w:t xml:space="preserve">accordingly </w:t>
      </w:r>
      <w:r w:rsidR="00384415" w:rsidRPr="00B247DF">
        <w:rPr>
          <w:rFonts w:ascii="Times New Roman" w:hAnsi="Times New Roman"/>
        </w:rPr>
        <w:t>said by Isaac</w:t>
      </w:r>
      <w:r w:rsidR="00CD2490" w:rsidRPr="00B247DF">
        <w:rPr>
          <w:rFonts w:ascii="Times New Roman" w:hAnsi="Times New Roman"/>
        </w:rPr>
        <w:t>s </w:t>
      </w:r>
      <w:r w:rsidR="00384415" w:rsidRPr="00B247DF">
        <w:rPr>
          <w:rFonts w:ascii="Times New Roman" w:hAnsi="Times New Roman"/>
        </w:rPr>
        <w:t xml:space="preserve">J </w:t>
      </w:r>
      <w:r w:rsidR="004D08E8" w:rsidRPr="00B247DF">
        <w:rPr>
          <w:rFonts w:ascii="Times New Roman" w:hAnsi="Times New Roman"/>
        </w:rPr>
        <w:t xml:space="preserve">in </w:t>
      </w:r>
      <w:r w:rsidR="009C5AF9" w:rsidRPr="00B247DF">
        <w:rPr>
          <w:rFonts w:ascii="Times New Roman" w:hAnsi="Times New Roman"/>
          <w:i/>
        </w:rPr>
        <w:t>Horne v Barber</w:t>
      </w:r>
      <w:r w:rsidR="009C5AF9" w:rsidRPr="00B247DF">
        <w:rPr>
          <w:rStyle w:val="FootnoteReference"/>
          <w:rFonts w:ascii="Times New Roman" w:hAnsi="Times New Roman"/>
          <w:sz w:val="24"/>
        </w:rPr>
        <w:footnoteReference w:id="41"/>
      </w:r>
      <w:r w:rsidR="00A9654A" w:rsidRPr="00B247DF">
        <w:rPr>
          <w:rFonts w:ascii="Times New Roman" w:hAnsi="Times New Roman"/>
        </w:rPr>
        <w:t xml:space="preserve"> </w:t>
      </w:r>
      <w:r w:rsidR="00384415" w:rsidRPr="00B247DF">
        <w:rPr>
          <w:rFonts w:ascii="Times New Roman" w:hAnsi="Times New Roman"/>
        </w:rPr>
        <w:t>to owe "high public duties"</w:t>
      </w:r>
      <w:r w:rsidR="00813B63" w:rsidRPr="00B247DF">
        <w:rPr>
          <w:rFonts w:ascii="Times New Roman" w:hAnsi="Times New Roman"/>
        </w:rPr>
        <w:t>. He explained:</w:t>
      </w:r>
      <w:r w:rsidR="00A9654A" w:rsidRPr="00B247DF">
        <w:rPr>
          <w:rFonts w:ascii="Times New Roman" w:hAnsi="Times New Roman"/>
        </w:rPr>
        <w:t xml:space="preserve"> </w:t>
      </w:r>
    </w:p>
    <w:p w14:paraId="743B526E" w14:textId="77777777" w:rsidR="00B247DF" w:rsidRDefault="00DD31AC" w:rsidP="00B247DF">
      <w:pPr>
        <w:pStyle w:val="leftright"/>
        <w:spacing w:before="0" w:after="260" w:line="280" w:lineRule="exact"/>
        <w:ind w:right="0"/>
        <w:jc w:val="both"/>
        <w:rPr>
          <w:rFonts w:ascii="Times New Roman" w:hAnsi="Times New Roman"/>
        </w:rPr>
      </w:pPr>
      <w:r w:rsidRPr="00B247DF">
        <w:rPr>
          <w:rFonts w:ascii="Times New Roman" w:hAnsi="Times New Roman"/>
        </w:rPr>
        <w:lastRenderedPageBreak/>
        <w:t>"One of the duties is that of watching on behalf of the general community the conduct of the Executive, of criticizing it, and, if necessary, of calling it to account in the constitutional way by censure</w:t>
      </w:r>
      <w:r w:rsidR="000959D9" w:rsidRPr="00B247DF">
        <w:rPr>
          <w:rFonts w:ascii="Times New Roman" w:hAnsi="Times New Roman"/>
        </w:rPr>
        <w:t xml:space="preserve"> ...</w:t>
      </w:r>
      <w:r w:rsidRPr="00B247DF">
        <w:rPr>
          <w:rFonts w:ascii="Times New Roman" w:hAnsi="Times New Roman"/>
        </w:rPr>
        <w:t xml:space="preserve"> in Parliament</w:t>
      </w:r>
      <w:r w:rsidR="000453B3" w:rsidRPr="00B247DF">
        <w:rPr>
          <w:rFonts w:ascii="Times New Roman" w:hAnsi="Times New Roman"/>
        </w:rPr>
        <w:t xml:space="preserve"> – </w:t>
      </w:r>
      <w:r w:rsidRPr="00B247DF">
        <w:rPr>
          <w:rFonts w:ascii="Times New Roman" w:hAnsi="Times New Roman"/>
        </w:rPr>
        <w:t>censure which, if sufficiently supported, means removal from office. That is the whole essence of responsible government, which is the keystone of our political system, and is the main constitutional safeguard the community possesses.</w:t>
      </w:r>
      <w:r w:rsidR="0067738E" w:rsidRPr="00B247DF">
        <w:rPr>
          <w:rFonts w:ascii="Times New Roman" w:hAnsi="Times New Roman"/>
        </w:rPr>
        <w:t>"</w:t>
      </w:r>
    </w:p>
    <w:p w14:paraId="5CCABCD6" w14:textId="72990AAC" w:rsidR="00C50B2A" w:rsidRPr="00B247DF" w:rsidRDefault="00E42524"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E43260" w:rsidRPr="00B247DF">
        <w:rPr>
          <w:rFonts w:ascii="Times New Roman" w:hAnsi="Times New Roman"/>
        </w:rPr>
        <w:t>The design</w:t>
      </w:r>
      <w:r w:rsidR="00ED462D" w:rsidRPr="00B247DF">
        <w:rPr>
          <w:rFonts w:ascii="Times New Roman" w:hAnsi="Times New Roman"/>
        </w:rPr>
        <w:t xml:space="preserve"> of the Act was and remains, like that of its forebear</w:t>
      </w:r>
      <w:r w:rsidR="00FF1349" w:rsidRPr="00B247DF">
        <w:rPr>
          <w:rFonts w:ascii="Times New Roman" w:hAnsi="Times New Roman"/>
        </w:rPr>
        <w:t>s, not to displace that mechanism of political accountability</w:t>
      </w:r>
      <w:r w:rsidR="00DB08FD" w:rsidRPr="00B247DF">
        <w:rPr>
          <w:rFonts w:ascii="Times New Roman" w:hAnsi="Times New Roman"/>
        </w:rPr>
        <w:t xml:space="preserve"> of </w:t>
      </w:r>
      <w:r w:rsidR="007B607E" w:rsidRPr="00B247DF">
        <w:rPr>
          <w:rFonts w:ascii="Times New Roman" w:hAnsi="Times New Roman"/>
        </w:rPr>
        <w:t>the Executive Government to the Parliament</w:t>
      </w:r>
      <w:r w:rsidR="00FF1349" w:rsidRPr="00B247DF">
        <w:rPr>
          <w:rFonts w:ascii="Times New Roman" w:hAnsi="Times New Roman"/>
        </w:rPr>
        <w:t xml:space="preserve"> </w:t>
      </w:r>
      <w:r w:rsidR="00EA0AC9" w:rsidRPr="00B247DF">
        <w:rPr>
          <w:rFonts w:ascii="Times New Roman" w:hAnsi="Times New Roman"/>
        </w:rPr>
        <w:t>but to strengthen it.</w:t>
      </w:r>
      <w:r w:rsidR="00E458AE" w:rsidRPr="00B247DF">
        <w:rPr>
          <w:rFonts w:ascii="Times New Roman" w:hAnsi="Times New Roman"/>
        </w:rPr>
        <w:t xml:space="preserve"> </w:t>
      </w:r>
    </w:p>
    <w:p w14:paraId="34F08332" w14:textId="6DD3365E" w:rsidR="00E43260" w:rsidRPr="00B247DF" w:rsidRDefault="00C50B2A"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122CD7" w:rsidRPr="00B247DF">
        <w:rPr>
          <w:rFonts w:ascii="Times New Roman" w:hAnsi="Times New Roman"/>
        </w:rPr>
        <w:t>From beginning to end, t</w:t>
      </w:r>
      <w:r w:rsidR="00E458AE" w:rsidRPr="00B247DF">
        <w:rPr>
          <w:rFonts w:ascii="Times New Roman" w:hAnsi="Times New Roman"/>
        </w:rPr>
        <w:t xml:space="preserve">he application of </w:t>
      </w:r>
      <w:r w:rsidR="00122CD7" w:rsidRPr="00B247DF">
        <w:rPr>
          <w:rFonts w:ascii="Times New Roman" w:hAnsi="Times New Roman"/>
        </w:rPr>
        <w:t xml:space="preserve">s 16 of the Act to a public work </w:t>
      </w:r>
      <w:r w:rsidR="00451F75" w:rsidRPr="00B247DF">
        <w:rPr>
          <w:rFonts w:ascii="Times New Roman" w:hAnsi="Times New Roman"/>
        </w:rPr>
        <w:t xml:space="preserve">is within the control of </w:t>
      </w:r>
      <w:r w:rsidR="00122CD7" w:rsidRPr="00B247DF">
        <w:rPr>
          <w:rFonts w:ascii="Times New Roman" w:hAnsi="Times New Roman"/>
        </w:rPr>
        <w:t>the House of Assembly and the Legislative Council</w:t>
      </w:r>
      <w:r w:rsidR="00451F75" w:rsidRPr="00B247DF">
        <w:rPr>
          <w:rFonts w:ascii="Times New Roman" w:hAnsi="Times New Roman"/>
        </w:rPr>
        <w:t xml:space="preserve">. </w:t>
      </w:r>
      <w:r w:rsidR="007240DF" w:rsidRPr="00B247DF">
        <w:rPr>
          <w:rFonts w:ascii="Times New Roman" w:hAnsi="Times New Roman"/>
        </w:rPr>
        <w:t>A</w:t>
      </w:r>
      <w:r w:rsidR="001A2E45" w:rsidRPr="00B247DF">
        <w:rPr>
          <w:rFonts w:ascii="Times New Roman" w:hAnsi="Times New Roman"/>
        </w:rPr>
        <w:t>ny</w:t>
      </w:r>
      <w:r w:rsidR="004E48B9" w:rsidRPr="00B247DF">
        <w:rPr>
          <w:rFonts w:ascii="Times New Roman" w:hAnsi="Times New Roman"/>
        </w:rPr>
        <w:t xml:space="preserve"> public work within the scope of s 15(1) of the Act</w:t>
      </w:r>
      <w:r w:rsidR="00667B62" w:rsidRPr="00B247DF">
        <w:rPr>
          <w:rFonts w:ascii="Times New Roman" w:hAnsi="Times New Roman"/>
        </w:rPr>
        <w:t xml:space="preserve"> </w:t>
      </w:r>
      <w:r w:rsidR="007240DF" w:rsidRPr="00B247DF">
        <w:rPr>
          <w:rFonts w:ascii="Times New Roman" w:hAnsi="Times New Roman"/>
        </w:rPr>
        <w:t>can</w:t>
      </w:r>
      <w:r w:rsidR="00667B62" w:rsidRPr="00B247DF">
        <w:rPr>
          <w:rFonts w:ascii="Times New Roman" w:hAnsi="Times New Roman"/>
        </w:rPr>
        <w:t xml:space="preserve"> be withdrawn from the ope</w:t>
      </w:r>
      <w:r w:rsidR="00DA4860" w:rsidRPr="00B247DF">
        <w:rPr>
          <w:rFonts w:ascii="Times New Roman" w:hAnsi="Times New Roman"/>
        </w:rPr>
        <w:t xml:space="preserve">ration of the Act by </w:t>
      </w:r>
      <w:r w:rsidR="00D96DDE" w:rsidRPr="00B247DF">
        <w:rPr>
          <w:rFonts w:ascii="Times New Roman" w:hAnsi="Times New Roman"/>
        </w:rPr>
        <w:t xml:space="preserve">resolution adopted by each of </w:t>
      </w:r>
      <w:r w:rsidR="00BE408F" w:rsidRPr="00B247DF">
        <w:rPr>
          <w:rFonts w:ascii="Times New Roman" w:hAnsi="Times New Roman"/>
        </w:rPr>
        <w:t xml:space="preserve">the House of Assembly and the Legislative Council. </w:t>
      </w:r>
      <w:r w:rsidR="007240DF" w:rsidRPr="00B247DF">
        <w:rPr>
          <w:rFonts w:ascii="Times New Roman" w:hAnsi="Times New Roman"/>
        </w:rPr>
        <w:t xml:space="preserve">That is </w:t>
      </w:r>
      <w:r w:rsidR="0040558B" w:rsidRPr="00B247DF">
        <w:rPr>
          <w:rFonts w:ascii="Times New Roman" w:hAnsi="Times New Roman"/>
        </w:rPr>
        <w:t>the effect of</w:t>
      </w:r>
      <w:r w:rsidR="007240DF" w:rsidRPr="00B247DF">
        <w:rPr>
          <w:rFonts w:ascii="Times New Roman" w:hAnsi="Times New Roman"/>
        </w:rPr>
        <w:t xml:space="preserve"> the exception in s 15(1) a</w:t>
      </w:r>
      <w:r w:rsidR="0040558B" w:rsidRPr="00B247DF">
        <w:rPr>
          <w:rFonts w:ascii="Times New Roman" w:hAnsi="Times New Roman"/>
        </w:rPr>
        <w:t>s</w:t>
      </w:r>
      <w:r w:rsidR="007240DF" w:rsidRPr="00B247DF">
        <w:rPr>
          <w:rFonts w:ascii="Times New Roman" w:hAnsi="Times New Roman"/>
        </w:rPr>
        <w:t xml:space="preserve"> reinforced by the bracketed words in s 16(1)</w:t>
      </w:r>
      <w:r w:rsidR="00426BC3" w:rsidRPr="00B247DF">
        <w:rPr>
          <w:rFonts w:ascii="Times New Roman" w:hAnsi="Times New Roman"/>
        </w:rPr>
        <w:t xml:space="preserve">. </w:t>
      </w:r>
      <w:r w:rsidR="001D55A0" w:rsidRPr="00B247DF">
        <w:rPr>
          <w:rFonts w:ascii="Times New Roman" w:hAnsi="Times New Roman"/>
        </w:rPr>
        <w:t xml:space="preserve">And </w:t>
      </w:r>
      <w:r w:rsidR="00426BC3" w:rsidRPr="00B247DF">
        <w:rPr>
          <w:rFonts w:ascii="Times New Roman" w:hAnsi="Times New Roman"/>
        </w:rPr>
        <w:t xml:space="preserve">any public work </w:t>
      </w:r>
      <w:r w:rsidR="00E72AB9" w:rsidRPr="00B247DF">
        <w:rPr>
          <w:rFonts w:ascii="Times New Roman" w:hAnsi="Times New Roman"/>
        </w:rPr>
        <w:t>t</w:t>
      </w:r>
      <w:r w:rsidR="00E72759" w:rsidRPr="00B247DF">
        <w:rPr>
          <w:rFonts w:ascii="Times New Roman" w:hAnsi="Times New Roman"/>
        </w:rPr>
        <w:t>hat might be</w:t>
      </w:r>
      <w:r w:rsidR="00E72AB9" w:rsidRPr="00B247DF">
        <w:rPr>
          <w:rFonts w:ascii="Times New Roman" w:hAnsi="Times New Roman"/>
        </w:rPr>
        <w:t xml:space="preserve"> engaged in by a </w:t>
      </w:r>
      <w:proofErr w:type="gramStart"/>
      <w:r w:rsidR="00E72AB9" w:rsidRPr="00B247DF">
        <w:rPr>
          <w:rFonts w:ascii="Times New Roman" w:hAnsi="Times New Roman"/>
        </w:rPr>
        <w:t>Government</w:t>
      </w:r>
      <w:proofErr w:type="gramEnd"/>
      <w:r w:rsidR="00E72AB9" w:rsidRPr="00B247DF">
        <w:rPr>
          <w:rFonts w:ascii="Times New Roman" w:hAnsi="Times New Roman"/>
        </w:rPr>
        <w:t xml:space="preserve"> department or a State authority </w:t>
      </w:r>
      <w:r w:rsidR="002459B5" w:rsidRPr="00B247DF">
        <w:rPr>
          <w:rFonts w:ascii="Times New Roman" w:hAnsi="Times New Roman"/>
        </w:rPr>
        <w:t xml:space="preserve">but </w:t>
      </w:r>
      <w:r w:rsidR="00E72AB9" w:rsidRPr="00B247DF">
        <w:rPr>
          <w:rFonts w:ascii="Times New Roman" w:hAnsi="Times New Roman"/>
        </w:rPr>
        <w:t xml:space="preserve">that </w:t>
      </w:r>
      <w:r w:rsidR="00E72759" w:rsidRPr="00B247DF">
        <w:rPr>
          <w:rFonts w:ascii="Times New Roman" w:hAnsi="Times New Roman"/>
        </w:rPr>
        <w:t>might</w:t>
      </w:r>
      <w:r w:rsidR="00E72AB9" w:rsidRPr="00B247DF">
        <w:rPr>
          <w:rFonts w:ascii="Times New Roman" w:hAnsi="Times New Roman"/>
        </w:rPr>
        <w:t xml:space="preserve"> </w:t>
      </w:r>
      <w:r w:rsidR="00426BC3" w:rsidRPr="00B247DF">
        <w:rPr>
          <w:rFonts w:ascii="Times New Roman" w:hAnsi="Times New Roman"/>
        </w:rPr>
        <w:t xml:space="preserve">not </w:t>
      </w:r>
      <w:r w:rsidR="0040706D" w:rsidRPr="00B247DF">
        <w:rPr>
          <w:rFonts w:ascii="Times New Roman" w:hAnsi="Times New Roman"/>
        </w:rPr>
        <w:t xml:space="preserve">meet the relevant monetary threshold so as to be </w:t>
      </w:r>
      <w:r w:rsidR="00426BC3" w:rsidRPr="00B247DF">
        <w:rPr>
          <w:rFonts w:ascii="Times New Roman" w:hAnsi="Times New Roman"/>
        </w:rPr>
        <w:t xml:space="preserve">within the scope of s 15(1) of the Act can be </w:t>
      </w:r>
      <w:r w:rsidR="00FE4D97" w:rsidRPr="00B247DF">
        <w:rPr>
          <w:rFonts w:ascii="Times New Roman" w:hAnsi="Times New Roman"/>
        </w:rPr>
        <w:t>brought within</w:t>
      </w:r>
      <w:r w:rsidR="00426BC3" w:rsidRPr="00B247DF">
        <w:rPr>
          <w:rFonts w:ascii="Times New Roman" w:hAnsi="Times New Roman"/>
        </w:rPr>
        <w:t xml:space="preserve"> the operation of the Act by resolution </w:t>
      </w:r>
      <w:r w:rsidR="00FE4D97" w:rsidRPr="00B247DF">
        <w:rPr>
          <w:rFonts w:ascii="Times New Roman" w:hAnsi="Times New Roman"/>
        </w:rPr>
        <w:t>of</w:t>
      </w:r>
      <w:r w:rsidR="00426BC3" w:rsidRPr="00B247DF">
        <w:rPr>
          <w:rFonts w:ascii="Times New Roman" w:hAnsi="Times New Roman"/>
        </w:rPr>
        <w:t xml:space="preserve"> e</w:t>
      </w:r>
      <w:r w:rsidR="00FE4D97" w:rsidRPr="00B247DF">
        <w:rPr>
          <w:rFonts w:ascii="Times New Roman" w:hAnsi="Times New Roman"/>
        </w:rPr>
        <w:t>ither</w:t>
      </w:r>
      <w:r w:rsidR="00426BC3" w:rsidRPr="00B247DF">
        <w:rPr>
          <w:rFonts w:ascii="Times New Roman" w:hAnsi="Times New Roman"/>
        </w:rPr>
        <w:t xml:space="preserve"> the House of Assembly </w:t>
      </w:r>
      <w:r w:rsidR="00FE4D97" w:rsidRPr="00B247DF">
        <w:rPr>
          <w:rFonts w:ascii="Times New Roman" w:hAnsi="Times New Roman"/>
        </w:rPr>
        <w:t>or</w:t>
      </w:r>
      <w:r w:rsidR="00426BC3" w:rsidRPr="00B247DF">
        <w:rPr>
          <w:rFonts w:ascii="Times New Roman" w:hAnsi="Times New Roman"/>
        </w:rPr>
        <w:t xml:space="preserve"> the Legislative Council. </w:t>
      </w:r>
      <w:r w:rsidR="00391819" w:rsidRPr="00B247DF">
        <w:rPr>
          <w:rFonts w:ascii="Times New Roman" w:hAnsi="Times New Roman"/>
        </w:rPr>
        <w:t>That is</w:t>
      </w:r>
      <w:r w:rsidR="0040558B" w:rsidRPr="00B247DF">
        <w:rPr>
          <w:rFonts w:ascii="Times New Roman" w:hAnsi="Times New Roman"/>
        </w:rPr>
        <w:t xml:space="preserve"> the effect of</w:t>
      </w:r>
      <w:r w:rsidR="00391819" w:rsidRPr="00B247DF">
        <w:rPr>
          <w:rFonts w:ascii="Times New Roman" w:hAnsi="Times New Roman"/>
        </w:rPr>
        <w:t xml:space="preserve"> </w:t>
      </w:r>
      <w:r w:rsidR="0040558B" w:rsidRPr="00B247DF">
        <w:rPr>
          <w:rFonts w:ascii="Times New Roman" w:hAnsi="Times New Roman"/>
        </w:rPr>
        <w:t>s 17.</w:t>
      </w:r>
    </w:p>
    <w:p w14:paraId="6A2F3FE0" w14:textId="1D093514" w:rsidR="0040558B" w:rsidRPr="00B247DF" w:rsidRDefault="0040558B"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5F272F" w:rsidRPr="00B247DF">
        <w:rPr>
          <w:rFonts w:ascii="Times New Roman" w:hAnsi="Times New Roman"/>
        </w:rPr>
        <w:t>Furthermore</w:t>
      </w:r>
      <w:r w:rsidR="004B3438" w:rsidRPr="00B247DF">
        <w:rPr>
          <w:rFonts w:ascii="Times New Roman" w:hAnsi="Times New Roman"/>
        </w:rPr>
        <w:t>, t</w:t>
      </w:r>
      <w:r w:rsidR="00222CBE" w:rsidRPr="00B247DF">
        <w:rPr>
          <w:rFonts w:ascii="Times New Roman" w:hAnsi="Times New Roman"/>
        </w:rPr>
        <w:t xml:space="preserve">he </w:t>
      </w:r>
      <w:r w:rsidR="004B3438" w:rsidRPr="00B247DF">
        <w:rPr>
          <w:rFonts w:ascii="Times New Roman" w:hAnsi="Times New Roman"/>
        </w:rPr>
        <w:t xml:space="preserve">steps </w:t>
      </w:r>
      <w:r w:rsidR="005F272F" w:rsidRPr="00B247DF">
        <w:rPr>
          <w:rFonts w:ascii="Times New Roman" w:hAnsi="Times New Roman"/>
        </w:rPr>
        <w:t>which need to have</w:t>
      </w:r>
      <w:r w:rsidR="004B3438" w:rsidRPr="00B247DF">
        <w:rPr>
          <w:rFonts w:ascii="Times New Roman" w:hAnsi="Times New Roman"/>
        </w:rPr>
        <w:t xml:space="preserve"> be</w:t>
      </w:r>
      <w:r w:rsidR="005F272F" w:rsidRPr="00B247DF">
        <w:rPr>
          <w:rFonts w:ascii="Times New Roman" w:hAnsi="Times New Roman"/>
        </w:rPr>
        <w:t>en</w:t>
      </w:r>
      <w:r w:rsidR="004B3438" w:rsidRPr="00B247DF">
        <w:rPr>
          <w:rFonts w:ascii="Times New Roman" w:hAnsi="Times New Roman"/>
        </w:rPr>
        <w:t xml:space="preserve"> taken </w:t>
      </w:r>
      <w:r w:rsidR="00356A5D" w:rsidRPr="00B247DF">
        <w:rPr>
          <w:rFonts w:ascii="Times New Roman" w:hAnsi="Times New Roman"/>
        </w:rPr>
        <w:t xml:space="preserve">to meet the conditions precedent </w:t>
      </w:r>
      <w:r w:rsidR="00222CBE" w:rsidRPr="00B247DF">
        <w:rPr>
          <w:rFonts w:ascii="Times New Roman" w:hAnsi="Times New Roman"/>
        </w:rPr>
        <w:t xml:space="preserve">to </w:t>
      </w:r>
      <w:r w:rsidR="0032614C" w:rsidRPr="00B247DF">
        <w:rPr>
          <w:rFonts w:ascii="Times New Roman" w:hAnsi="Times New Roman"/>
        </w:rPr>
        <w:t xml:space="preserve">the </w:t>
      </w:r>
      <w:r w:rsidR="007E34EE" w:rsidRPr="00B247DF">
        <w:rPr>
          <w:rFonts w:ascii="Times New Roman" w:hAnsi="Times New Roman"/>
        </w:rPr>
        <w:t>commence</w:t>
      </w:r>
      <w:r w:rsidR="002A3D08" w:rsidRPr="00B247DF">
        <w:rPr>
          <w:rFonts w:ascii="Times New Roman" w:hAnsi="Times New Roman"/>
        </w:rPr>
        <w:t>ment</w:t>
      </w:r>
      <w:r w:rsidR="0032614C" w:rsidRPr="00B247DF">
        <w:rPr>
          <w:rFonts w:ascii="Times New Roman" w:hAnsi="Times New Roman"/>
        </w:rPr>
        <w:t xml:space="preserve"> of </w:t>
      </w:r>
      <w:r w:rsidR="00222CBE" w:rsidRPr="00B247DF">
        <w:rPr>
          <w:rFonts w:ascii="Times New Roman" w:hAnsi="Times New Roman"/>
        </w:rPr>
        <w:t xml:space="preserve">a public work </w:t>
      </w:r>
      <w:r w:rsidR="008D59D7" w:rsidRPr="00B247DF">
        <w:rPr>
          <w:rFonts w:ascii="Times New Roman" w:hAnsi="Times New Roman"/>
        </w:rPr>
        <w:t xml:space="preserve">by a </w:t>
      </w:r>
      <w:proofErr w:type="gramStart"/>
      <w:r w:rsidR="008D59D7" w:rsidRPr="00B247DF">
        <w:rPr>
          <w:rFonts w:ascii="Times New Roman" w:hAnsi="Times New Roman"/>
        </w:rPr>
        <w:t>Government</w:t>
      </w:r>
      <w:proofErr w:type="gramEnd"/>
      <w:r w:rsidR="008D59D7" w:rsidRPr="00B247DF">
        <w:rPr>
          <w:rFonts w:ascii="Times New Roman" w:hAnsi="Times New Roman"/>
        </w:rPr>
        <w:t xml:space="preserve"> department or a State authority</w:t>
      </w:r>
      <w:r w:rsidR="000906EC" w:rsidRPr="00B247DF">
        <w:rPr>
          <w:rFonts w:ascii="Times New Roman" w:hAnsi="Times New Roman"/>
        </w:rPr>
        <w:t xml:space="preserve"> </w:t>
      </w:r>
      <w:r w:rsidR="009C13A8" w:rsidRPr="00B247DF">
        <w:rPr>
          <w:rFonts w:ascii="Times New Roman" w:hAnsi="Times New Roman"/>
        </w:rPr>
        <w:t>prescribed by s</w:t>
      </w:r>
      <w:r w:rsidR="007B18F7" w:rsidRPr="00B247DF">
        <w:rPr>
          <w:rFonts w:ascii="Times New Roman" w:hAnsi="Times New Roman"/>
        </w:rPr>
        <w:t> </w:t>
      </w:r>
      <w:r w:rsidR="009C13A8" w:rsidRPr="00B247DF">
        <w:rPr>
          <w:rFonts w:ascii="Times New Roman" w:hAnsi="Times New Roman"/>
        </w:rPr>
        <w:t xml:space="preserve">16(1) and (5) of the Act are </w:t>
      </w:r>
      <w:r w:rsidR="00BC584B" w:rsidRPr="00B247DF">
        <w:rPr>
          <w:rFonts w:ascii="Times New Roman" w:hAnsi="Times New Roman"/>
        </w:rPr>
        <w:t>steps which</w:t>
      </w:r>
      <w:r w:rsidR="00776054" w:rsidRPr="00B247DF">
        <w:rPr>
          <w:rFonts w:ascii="Times New Roman" w:hAnsi="Times New Roman"/>
        </w:rPr>
        <w:t xml:space="preserve"> are wholly intra-mural.</w:t>
      </w:r>
      <w:r w:rsidR="005D575A" w:rsidRPr="00B247DF">
        <w:rPr>
          <w:rFonts w:ascii="Times New Roman" w:hAnsi="Times New Roman"/>
        </w:rPr>
        <w:t xml:space="preserve"> That is, they are </w:t>
      </w:r>
      <w:r w:rsidR="00695D72" w:rsidRPr="00B247DF">
        <w:rPr>
          <w:rFonts w:ascii="Times New Roman" w:hAnsi="Times New Roman"/>
        </w:rPr>
        <w:t xml:space="preserve">activities undertaken </w:t>
      </w:r>
      <w:r w:rsidR="00BB0BCB" w:rsidRPr="00B247DF">
        <w:rPr>
          <w:rFonts w:ascii="Times New Roman" w:hAnsi="Times New Roman"/>
        </w:rPr>
        <w:t>exclusively</w:t>
      </w:r>
      <w:r w:rsidR="00C25D74" w:rsidRPr="00B247DF">
        <w:rPr>
          <w:rFonts w:ascii="Times New Roman" w:hAnsi="Times New Roman"/>
        </w:rPr>
        <w:t xml:space="preserve"> </w:t>
      </w:r>
      <w:r w:rsidR="00695D72" w:rsidRPr="00B247DF">
        <w:rPr>
          <w:rFonts w:ascii="Times New Roman" w:hAnsi="Times New Roman"/>
        </w:rPr>
        <w:t>by</w:t>
      </w:r>
      <w:r w:rsidR="00567C88" w:rsidRPr="00B247DF">
        <w:rPr>
          <w:rFonts w:ascii="Times New Roman" w:hAnsi="Times New Roman"/>
        </w:rPr>
        <w:t xml:space="preserve"> Members of the Parliament.</w:t>
      </w:r>
      <w:r w:rsidR="00776054" w:rsidRPr="00B247DF">
        <w:rPr>
          <w:rFonts w:ascii="Times New Roman" w:hAnsi="Times New Roman"/>
        </w:rPr>
        <w:t xml:space="preserve"> They</w:t>
      </w:r>
      <w:r w:rsidR="00FE3514" w:rsidRPr="00B247DF">
        <w:rPr>
          <w:rFonts w:ascii="Times New Roman" w:hAnsi="Times New Roman"/>
        </w:rPr>
        <w:t xml:space="preserve"> </w:t>
      </w:r>
      <w:r w:rsidR="007B18F7" w:rsidRPr="00B247DF">
        <w:rPr>
          <w:rFonts w:ascii="Times New Roman" w:hAnsi="Times New Roman"/>
        </w:rPr>
        <w:t xml:space="preserve">involve </w:t>
      </w:r>
      <w:r w:rsidR="00FE3514" w:rsidRPr="00B247DF">
        <w:rPr>
          <w:rFonts w:ascii="Times New Roman" w:hAnsi="Times New Roman"/>
        </w:rPr>
        <w:t xml:space="preserve">the Committee, comprised as it is of Members of the House of Assembly and the Legislative Council, </w:t>
      </w:r>
      <w:r w:rsidR="004F7811" w:rsidRPr="00B247DF">
        <w:rPr>
          <w:rFonts w:ascii="Times New Roman" w:hAnsi="Times New Roman"/>
        </w:rPr>
        <w:t xml:space="preserve">considering </w:t>
      </w:r>
      <w:r w:rsidR="006917D8" w:rsidRPr="00B247DF">
        <w:rPr>
          <w:rFonts w:ascii="Times New Roman" w:hAnsi="Times New Roman"/>
        </w:rPr>
        <w:t xml:space="preserve">a proposal </w:t>
      </w:r>
      <w:r w:rsidR="007A645F" w:rsidRPr="00B247DF">
        <w:rPr>
          <w:rFonts w:ascii="Times New Roman" w:hAnsi="Times New Roman"/>
        </w:rPr>
        <w:t xml:space="preserve">for </w:t>
      </w:r>
      <w:r w:rsidR="003A06BD" w:rsidRPr="00B247DF">
        <w:rPr>
          <w:rFonts w:ascii="Times New Roman" w:hAnsi="Times New Roman"/>
        </w:rPr>
        <w:t xml:space="preserve">the </w:t>
      </w:r>
      <w:r w:rsidR="007A645F" w:rsidRPr="00B247DF">
        <w:rPr>
          <w:rFonts w:ascii="Times New Roman" w:hAnsi="Times New Roman"/>
        </w:rPr>
        <w:t xml:space="preserve">carrying out of </w:t>
      </w:r>
      <w:r w:rsidR="003A06BD" w:rsidRPr="00B247DF">
        <w:rPr>
          <w:rFonts w:ascii="Times New Roman" w:hAnsi="Times New Roman"/>
        </w:rPr>
        <w:t>the</w:t>
      </w:r>
      <w:r w:rsidR="007A645F" w:rsidRPr="00B247DF">
        <w:rPr>
          <w:rFonts w:ascii="Times New Roman" w:hAnsi="Times New Roman"/>
        </w:rPr>
        <w:t xml:space="preserve"> public work </w:t>
      </w:r>
      <w:r w:rsidR="000F4A6F" w:rsidRPr="00B247DF">
        <w:rPr>
          <w:rFonts w:ascii="Times New Roman" w:hAnsi="Times New Roman"/>
        </w:rPr>
        <w:t xml:space="preserve">referred to </w:t>
      </w:r>
      <w:r w:rsidR="0039008F" w:rsidRPr="00B247DF">
        <w:rPr>
          <w:rFonts w:ascii="Times New Roman" w:hAnsi="Times New Roman"/>
        </w:rPr>
        <w:t>it</w:t>
      </w:r>
      <w:r w:rsidR="000F4A6F" w:rsidRPr="00B247DF">
        <w:rPr>
          <w:rFonts w:ascii="Times New Roman" w:hAnsi="Times New Roman"/>
        </w:rPr>
        <w:t xml:space="preserve"> </w:t>
      </w:r>
      <w:r w:rsidR="007A645F" w:rsidRPr="00B247DF">
        <w:rPr>
          <w:rFonts w:ascii="Times New Roman" w:hAnsi="Times New Roman"/>
        </w:rPr>
        <w:t>by the Governor</w:t>
      </w:r>
      <w:r w:rsidR="00831C6A" w:rsidRPr="00B247DF">
        <w:rPr>
          <w:rFonts w:ascii="Times New Roman" w:hAnsi="Times New Roman"/>
        </w:rPr>
        <w:t xml:space="preserve"> (acting by convention on the advice of the responsible Minister)</w:t>
      </w:r>
      <w:r w:rsidR="007A645F" w:rsidRPr="00B247DF">
        <w:rPr>
          <w:rFonts w:ascii="Times New Roman" w:hAnsi="Times New Roman"/>
        </w:rPr>
        <w:t xml:space="preserve"> </w:t>
      </w:r>
      <w:r w:rsidR="004F7811" w:rsidRPr="00B247DF">
        <w:rPr>
          <w:rFonts w:ascii="Times New Roman" w:hAnsi="Times New Roman"/>
        </w:rPr>
        <w:t>and</w:t>
      </w:r>
      <w:r w:rsidR="00A50675" w:rsidRPr="00B247DF">
        <w:rPr>
          <w:rFonts w:ascii="Times New Roman" w:hAnsi="Times New Roman"/>
        </w:rPr>
        <w:t xml:space="preserve"> </w:t>
      </w:r>
      <w:r w:rsidR="004F7811" w:rsidRPr="00B247DF">
        <w:rPr>
          <w:rFonts w:ascii="Times New Roman" w:hAnsi="Times New Roman"/>
        </w:rPr>
        <w:t xml:space="preserve">reporting on </w:t>
      </w:r>
      <w:r w:rsidR="006917D8" w:rsidRPr="00B247DF">
        <w:rPr>
          <w:rFonts w:ascii="Times New Roman" w:hAnsi="Times New Roman"/>
        </w:rPr>
        <w:t>that</w:t>
      </w:r>
      <w:r w:rsidR="004F7811" w:rsidRPr="00B247DF">
        <w:rPr>
          <w:rFonts w:ascii="Times New Roman" w:hAnsi="Times New Roman"/>
        </w:rPr>
        <w:t xml:space="preserve"> proposal </w:t>
      </w:r>
      <w:r w:rsidR="002461A1" w:rsidRPr="00B247DF">
        <w:rPr>
          <w:rFonts w:ascii="Times New Roman" w:hAnsi="Times New Roman"/>
        </w:rPr>
        <w:t>to the House of Assembly.</w:t>
      </w:r>
    </w:p>
    <w:p w14:paraId="392C62EF" w14:textId="6A16ED44" w:rsidR="00F2167C" w:rsidRPr="00B247DF" w:rsidRDefault="00DA45E0"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6F6147" w:rsidRPr="00B247DF">
        <w:rPr>
          <w:rFonts w:ascii="Times New Roman" w:hAnsi="Times New Roman"/>
        </w:rPr>
        <w:t>Consonant</w:t>
      </w:r>
      <w:r w:rsidR="00816A03" w:rsidRPr="00B247DF">
        <w:rPr>
          <w:rFonts w:ascii="Times New Roman" w:hAnsi="Times New Roman"/>
        </w:rPr>
        <w:t xml:space="preserve"> </w:t>
      </w:r>
      <w:r w:rsidR="0094600B" w:rsidRPr="00B247DF">
        <w:rPr>
          <w:rFonts w:ascii="Times New Roman" w:hAnsi="Times New Roman"/>
        </w:rPr>
        <w:t xml:space="preserve">with </w:t>
      </w:r>
      <w:r w:rsidR="007B4F3E" w:rsidRPr="00B247DF">
        <w:rPr>
          <w:rFonts w:ascii="Times New Roman" w:hAnsi="Times New Roman"/>
        </w:rPr>
        <w:t xml:space="preserve">the </w:t>
      </w:r>
      <w:r w:rsidR="0094600B" w:rsidRPr="00B247DF">
        <w:rPr>
          <w:rFonts w:ascii="Times New Roman" w:hAnsi="Times New Roman"/>
        </w:rPr>
        <w:t xml:space="preserve">Act being </w:t>
      </w:r>
      <w:r w:rsidR="006F6147" w:rsidRPr="00B247DF">
        <w:rPr>
          <w:rFonts w:ascii="Times New Roman" w:hAnsi="Times New Roman"/>
        </w:rPr>
        <w:t xml:space="preserve">designed </w:t>
      </w:r>
      <w:r w:rsidR="0094600B" w:rsidRPr="00B247DF">
        <w:rPr>
          <w:rFonts w:ascii="Times New Roman" w:hAnsi="Times New Roman"/>
        </w:rPr>
        <w:t>to strengthen</w:t>
      </w:r>
      <w:r w:rsidR="00712382" w:rsidRPr="00B247DF">
        <w:rPr>
          <w:rFonts w:ascii="Times New Roman" w:hAnsi="Times New Roman"/>
        </w:rPr>
        <w:t xml:space="preserve"> </w:t>
      </w:r>
      <w:r w:rsidR="0094600B" w:rsidRPr="00B247DF">
        <w:rPr>
          <w:rFonts w:ascii="Times New Roman" w:hAnsi="Times New Roman"/>
        </w:rPr>
        <w:t xml:space="preserve">political accountability in accordance with the conventions of responsible government, </w:t>
      </w:r>
      <w:r w:rsidR="00712382" w:rsidRPr="00B247DF">
        <w:rPr>
          <w:rFonts w:ascii="Times New Roman" w:hAnsi="Times New Roman"/>
        </w:rPr>
        <w:t xml:space="preserve">the </w:t>
      </w:r>
      <w:r w:rsidR="007B4F3E" w:rsidRPr="00B247DF">
        <w:rPr>
          <w:rFonts w:ascii="Times New Roman" w:hAnsi="Times New Roman"/>
        </w:rPr>
        <w:t>statutory</w:t>
      </w:r>
      <w:r w:rsidR="003E268A" w:rsidRPr="00B247DF">
        <w:rPr>
          <w:rFonts w:ascii="Times New Roman" w:hAnsi="Times New Roman"/>
        </w:rPr>
        <w:t xml:space="preserve"> </w:t>
      </w:r>
      <w:r w:rsidR="00E15FCF" w:rsidRPr="00B247DF">
        <w:rPr>
          <w:rFonts w:ascii="Times New Roman" w:hAnsi="Times New Roman"/>
        </w:rPr>
        <w:t>consequence of non-compliance with</w:t>
      </w:r>
      <w:r w:rsidR="00920AA5" w:rsidRPr="00B247DF">
        <w:rPr>
          <w:rFonts w:ascii="Times New Roman" w:hAnsi="Times New Roman"/>
        </w:rPr>
        <w:t xml:space="preserve"> </w:t>
      </w:r>
      <w:r w:rsidR="00FA7D4C" w:rsidRPr="00B247DF">
        <w:rPr>
          <w:rFonts w:ascii="Times New Roman" w:hAnsi="Times New Roman"/>
        </w:rPr>
        <w:t>a</w:t>
      </w:r>
      <w:r w:rsidR="00920AA5" w:rsidRPr="00B247DF">
        <w:rPr>
          <w:rFonts w:ascii="Times New Roman" w:hAnsi="Times New Roman"/>
        </w:rPr>
        <w:t xml:space="preserve"> condition precedent to the </w:t>
      </w:r>
      <w:r w:rsidR="00DB5D58" w:rsidRPr="00B247DF">
        <w:rPr>
          <w:rFonts w:ascii="Times New Roman" w:hAnsi="Times New Roman"/>
        </w:rPr>
        <w:t>commencement</w:t>
      </w:r>
      <w:r w:rsidR="00920AA5" w:rsidRPr="00B247DF">
        <w:rPr>
          <w:rFonts w:ascii="Times New Roman" w:hAnsi="Times New Roman"/>
        </w:rPr>
        <w:t xml:space="preserve"> of a public work by a </w:t>
      </w:r>
      <w:proofErr w:type="gramStart"/>
      <w:r w:rsidR="00920AA5" w:rsidRPr="00B247DF">
        <w:rPr>
          <w:rFonts w:ascii="Times New Roman" w:hAnsi="Times New Roman"/>
        </w:rPr>
        <w:t>Government</w:t>
      </w:r>
      <w:proofErr w:type="gramEnd"/>
      <w:r w:rsidR="00920AA5" w:rsidRPr="00B247DF">
        <w:rPr>
          <w:rFonts w:ascii="Times New Roman" w:hAnsi="Times New Roman"/>
        </w:rPr>
        <w:t xml:space="preserve"> department or a State authority prescribed by s 16(1) </w:t>
      </w:r>
      <w:r w:rsidR="00FA7D4C" w:rsidRPr="00B247DF">
        <w:rPr>
          <w:rFonts w:ascii="Times New Roman" w:hAnsi="Times New Roman"/>
        </w:rPr>
        <w:t>or</w:t>
      </w:r>
      <w:r w:rsidR="00920AA5" w:rsidRPr="00B247DF">
        <w:rPr>
          <w:rFonts w:ascii="Times New Roman" w:hAnsi="Times New Roman"/>
        </w:rPr>
        <w:t xml:space="preserve"> (5) of the Act</w:t>
      </w:r>
      <w:r w:rsidR="00920AA5" w:rsidRPr="00B247DF" w:rsidDel="00920AA5">
        <w:rPr>
          <w:rFonts w:ascii="Times New Roman" w:hAnsi="Times New Roman"/>
        </w:rPr>
        <w:t xml:space="preserve"> </w:t>
      </w:r>
      <w:r w:rsidR="00FA7D4C" w:rsidRPr="00B247DF">
        <w:rPr>
          <w:rFonts w:ascii="Times New Roman" w:hAnsi="Times New Roman"/>
        </w:rPr>
        <w:t xml:space="preserve">is </w:t>
      </w:r>
      <w:r w:rsidR="007B5DE5" w:rsidRPr="00B247DF">
        <w:rPr>
          <w:rFonts w:ascii="Times New Roman" w:hAnsi="Times New Roman"/>
        </w:rPr>
        <w:t xml:space="preserve">best </w:t>
      </w:r>
      <w:r w:rsidR="007B4F3E" w:rsidRPr="00B247DF">
        <w:rPr>
          <w:rFonts w:ascii="Times New Roman" w:hAnsi="Times New Roman"/>
        </w:rPr>
        <w:t xml:space="preserve">seen </w:t>
      </w:r>
      <w:r w:rsidR="005670EA" w:rsidRPr="00B247DF">
        <w:rPr>
          <w:rFonts w:ascii="Times New Roman" w:hAnsi="Times New Roman"/>
        </w:rPr>
        <w:t>to</w:t>
      </w:r>
      <w:r w:rsidR="007B4F3E" w:rsidRPr="00B247DF">
        <w:rPr>
          <w:rFonts w:ascii="Times New Roman" w:hAnsi="Times New Roman"/>
        </w:rPr>
        <w:t xml:space="preserve"> l</w:t>
      </w:r>
      <w:r w:rsidR="005670EA" w:rsidRPr="00B247DF">
        <w:rPr>
          <w:rFonts w:ascii="Times New Roman" w:hAnsi="Times New Roman"/>
        </w:rPr>
        <w:t>ie</w:t>
      </w:r>
      <w:r w:rsidR="00972177" w:rsidRPr="00B247DF">
        <w:rPr>
          <w:rFonts w:ascii="Times New Roman" w:hAnsi="Times New Roman"/>
        </w:rPr>
        <w:t xml:space="preserve"> exclusively</w:t>
      </w:r>
      <w:r w:rsidR="005670EA" w:rsidRPr="00B247DF">
        <w:rPr>
          <w:rFonts w:ascii="Times New Roman" w:hAnsi="Times New Roman"/>
        </w:rPr>
        <w:t xml:space="preserve"> </w:t>
      </w:r>
      <w:r w:rsidR="00907295" w:rsidRPr="00B247DF">
        <w:rPr>
          <w:rFonts w:ascii="Times New Roman" w:hAnsi="Times New Roman"/>
        </w:rPr>
        <w:t>with</w:t>
      </w:r>
      <w:r w:rsidR="00FA7D4C" w:rsidRPr="00B247DF">
        <w:rPr>
          <w:rFonts w:ascii="Times New Roman" w:hAnsi="Times New Roman"/>
        </w:rPr>
        <w:t xml:space="preserve">in </w:t>
      </w:r>
      <w:r w:rsidR="000E22A8" w:rsidRPr="00B247DF">
        <w:rPr>
          <w:rFonts w:ascii="Times New Roman" w:hAnsi="Times New Roman"/>
        </w:rPr>
        <w:t xml:space="preserve">the province of </w:t>
      </w:r>
      <w:r w:rsidR="00907295" w:rsidRPr="00B247DF">
        <w:rPr>
          <w:rFonts w:ascii="Times New Roman" w:hAnsi="Times New Roman"/>
        </w:rPr>
        <w:t>th</w:t>
      </w:r>
      <w:r w:rsidR="0094600B" w:rsidRPr="00B247DF">
        <w:rPr>
          <w:rFonts w:ascii="Times New Roman" w:hAnsi="Times New Roman"/>
        </w:rPr>
        <w:t>at</w:t>
      </w:r>
      <w:r w:rsidR="00907295" w:rsidRPr="00B247DF">
        <w:rPr>
          <w:rFonts w:ascii="Times New Roman" w:hAnsi="Times New Roman"/>
        </w:rPr>
        <w:t xml:space="preserve"> </w:t>
      </w:r>
      <w:r w:rsidR="00FA7D4C" w:rsidRPr="00B247DF">
        <w:rPr>
          <w:rFonts w:ascii="Times New Roman" w:hAnsi="Times New Roman"/>
        </w:rPr>
        <w:t>mechanism of political accountability</w:t>
      </w:r>
      <w:r w:rsidR="0070743F" w:rsidRPr="00B247DF">
        <w:rPr>
          <w:rFonts w:ascii="Times New Roman" w:hAnsi="Times New Roman"/>
        </w:rPr>
        <w:t xml:space="preserve">. </w:t>
      </w:r>
      <w:r w:rsidR="009A58F0" w:rsidRPr="00B247DF">
        <w:rPr>
          <w:rFonts w:ascii="Times New Roman" w:hAnsi="Times New Roman"/>
        </w:rPr>
        <w:t xml:space="preserve">The consequence </w:t>
      </w:r>
      <w:r w:rsidR="00940147" w:rsidRPr="00B247DF">
        <w:rPr>
          <w:rFonts w:ascii="Times New Roman" w:hAnsi="Times New Roman"/>
        </w:rPr>
        <w:t>of non</w:t>
      </w:r>
      <w:r w:rsidR="008D30DC" w:rsidRPr="00B247DF">
        <w:rPr>
          <w:rFonts w:ascii="Times New Roman" w:hAnsi="Times New Roman"/>
        </w:rPr>
        <w:noBreakHyphen/>
      </w:r>
      <w:r w:rsidR="00940147" w:rsidRPr="00B247DF">
        <w:rPr>
          <w:rFonts w:ascii="Times New Roman" w:hAnsi="Times New Roman"/>
        </w:rPr>
        <w:t>compliance</w:t>
      </w:r>
      <w:r w:rsidR="001A64B1" w:rsidRPr="00B247DF">
        <w:rPr>
          <w:rFonts w:ascii="Times New Roman" w:hAnsi="Times New Roman"/>
        </w:rPr>
        <w:t xml:space="preserve"> is political</w:t>
      </w:r>
      <w:r w:rsidR="00ED0C1B" w:rsidRPr="00B247DF">
        <w:rPr>
          <w:rFonts w:ascii="Times New Roman" w:hAnsi="Times New Roman"/>
        </w:rPr>
        <w:t>,</w:t>
      </w:r>
      <w:r w:rsidR="00596860" w:rsidRPr="00B247DF">
        <w:rPr>
          <w:rFonts w:ascii="Times New Roman" w:hAnsi="Times New Roman"/>
        </w:rPr>
        <w:t xml:space="preserve"> </w:t>
      </w:r>
      <w:r w:rsidR="00ED0C1B" w:rsidRPr="00B247DF">
        <w:rPr>
          <w:rFonts w:ascii="Times New Roman" w:hAnsi="Times New Roman"/>
        </w:rPr>
        <w:t xml:space="preserve">such </w:t>
      </w:r>
      <w:r w:rsidR="0039054C" w:rsidRPr="00B247DF">
        <w:rPr>
          <w:rFonts w:ascii="Times New Roman" w:hAnsi="Times New Roman"/>
        </w:rPr>
        <w:t>that compliance is</w:t>
      </w:r>
      <w:r w:rsidR="00ED0C1B" w:rsidRPr="00B247DF">
        <w:rPr>
          <w:rFonts w:ascii="Times New Roman" w:hAnsi="Times New Roman"/>
        </w:rPr>
        <w:t xml:space="preserve"> to be</w:t>
      </w:r>
      <w:r w:rsidR="00596860" w:rsidRPr="00B247DF">
        <w:rPr>
          <w:rFonts w:ascii="Times New Roman" w:hAnsi="Times New Roman"/>
        </w:rPr>
        <w:t xml:space="preserve"> </w:t>
      </w:r>
      <w:r w:rsidR="00ED0C1B" w:rsidRPr="00B247DF">
        <w:rPr>
          <w:rFonts w:ascii="Times New Roman" w:hAnsi="Times New Roman"/>
        </w:rPr>
        <w:t>enforceable</w:t>
      </w:r>
      <w:r w:rsidR="00596860" w:rsidRPr="00B247DF">
        <w:rPr>
          <w:rFonts w:ascii="Times New Roman" w:hAnsi="Times New Roman"/>
        </w:rPr>
        <w:t xml:space="preserve"> by the House </w:t>
      </w:r>
      <w:r w:rsidR="00596860" w:rsidRPr="00B247DF">
        <w:rPr>
          <w:rFonts w:ascii="Times New Roman" w:hAnsi="Times New Roman"/>
        </w:rPr>
        <w:lastRenderedPageBreak/>
        <w:t>of Assembly and the Legislative Council</w:t>
      </w:r>
      <w:r w:rsidR="00731118" w:rsidRPr="00B247DF">
        <w:rPr>
          <w:rFonts w:ascii="Times New Roman" w:hAnsi="Times New Roman"/>
        </w:rPr>
        <w:t>, not legal</w:t>
      </w:r>
      <w:r w:rsidR="00ED0C1B" w:rsidRPr="00B247DF">
        <w:rPr>
          <w:rFonts w:ascii="Times New Roman" w:hAnsi="Times New Roman"/>
        </w:rPr>
        <w:t xml:space="preserve">, such </w:t>
      </w:r>
      <w:r w:rsidR="0052556A" w:rsidRPr="00B247DF">
        <w:rPr>
          <w:rFonts w:ascii="Times New Roman" w:hAnsi="Times New Roman"/>
        </w:rPr>
        <w:t>that compliance is</w:t>
      </w:r>
      <w:r w:rsidR="002C0BAF" w:rsidRPr="00B247DF">
        <w:rPr>
          <w:rFonts w:ascii="Times New Roman" w:hAnsi="Times New Roman"/>
        </w:rPr>
        <w:t xml:space="preserve"> to be</w:t>
      </w:r>
      <w:r w:rsidR="00ED0C1B" w:rsidRPr="00B247DF">
        <w:rPr>
          <w:rFonts w:ascii="Times New Roman" w:hAnsi="Times New Roman"/>
        </w:rPr>
        <w:t xml:space="preserve"> enforceable by a court</w:t>
      </w:r>
      <w:r w:rsidR="00731118" w:rsidRPr="00B247DF">
        <w:rPr>
          <w:rFonts w:ascii="Times New Roman" w:hAnsi="Times New Roman"/>
        </w:rPr>
        <w:t>.</w:t>
      </w:r>
    </w:p>
    <w:p w14:paraId="5C19D88A" w14:textId="04B6C19B" w:rsidR="007B4F3E" w:rsidRPr="00B247DF" w:rsidRDefault="00F2167C" w:rsidP="00B247DF">
      <w:pPr>
        <w:pStyle w:val="FixListStyle"/>
        <w:spacing w:after="260" w:line="280" w:lineRule="exact"/>
        <w:ind w:right="0"/>
        <w:jc w:val="both"/>
        <w:rPr>
          <w:rFonts w:ascii="Times New Roman" w:hAnsi="Times New Roman"/>
        </w:rPr>
      </w:pPr>
      <w:r w:rsidRPr="00B247DF">
        <w:rPr>
          <w:rFonts w:ascii="Times New Roman" w:hAnsi="Times New Roman"/>
        </w:rPr>
        <w:tab/>
      </w:r>
      <w:r w:rsidR="00514663" w:rsidRPr="00B247DF">
        <w:rPr>
          <w:rFonts w:ascii="Times New Roman" w:hAnsi="Times New Roman"/>
        </w:rPr>
        <w:t xml:space="preserve">The </w:t>
      </w:r>
      <w:r w:rsidR="00ED47E7" w:rsidRPr="00B247DF">
        <w:rPr>
          <w:rFonts w:ascii="Times New Roman" w:hAnsi="Times New Roman"/>
        </w:rPr>
        <w:t xml:space="preserve">capacity </w:t>
      </w:r>
      <w:r w:rsidR="004B257C" w:rsidRPr="00B247DF">
        <w:rPr>
          <w:rFonts w:ascii="Times New Roman" w:hAnsi="Times New Roman"/>
        </w:rPr>
        <w:t xml:space="preserve">of the House of Assembly and the Legislative Council </w:t>
      </w:r>
      <w:r w:rsidR="007472B3" w:rsidRPr="00B247DF">
        <w:rPr>
          <w:rFonts w:ascii="Times New Roman" w:hAnsi="Times New Roman"/>
        </w:rPr>
        <w:t xml:space="preserve">to enforce compliance </w:t>
      </w:r>
      <w:r w:rsidR="008F00AB" w:rsidRPr="00B247DF">
        <w:rPr>
          <w:rFonts w:ascii="Times New Roman" w:hAnsi="Times New Roman"/>
        </w:rPr>
        <w:t xml:space="preserve">with </w:t>
      </w:r>
      <w:r w:rsidR="00DD6963" w:rsidRPr="00B247DF">
        <w:rPr>
          <w:rFonts w:ascii="Times New Roman" w:hAnsi="Times New Roman"/>
        </w:rPr>
        <w:t xml:space="preserve">such </w:t>
      </w:r>
      <w:r w:rsidR="008F00AB" w:rsidRPr="00B247DF">
        <w:rPr>
          <w:rFonts w:ascii="Times New Roman" w:hAnsi="Times New Roman"/>
        </w:rPr>
        <w:t xml:space="preserve">a condition precedent </w:t>
      </w:r>
      <w:r w:rsidR="007472B3" w:rsidRPr="00B247DF">
        <w:rPr>
          <w:rFonts w:ascii="Times New Roman" w:hAnsi="Times New Roman"/>
        </w:rPr>
        <w:t xml:space="preserve">politically </w:t>
      </w:r>
      <w:r w:rsidR="00DD6963" w:rsidRPr="00B247DF">
        <w:rPr>
          <w:rFonts w:ascii="Times New Roman" w:hAnsi="Times New Roman"/>
        </w:rPr>
        <w:t>inheres</w:t>
      </w:r>
      <w:r w:rsidR="002D3EA9" w:rsidRPr="00B247DF">
        <w:rPr>
          <w:rFonts w:ascii="Times New Roman" w:hAnsi="Times New Roman"/>
        </w:rPr>
        <w:t xml:space="preserve"> not </w:t>
      </w:r>
      <w:r w:rsidR="00630EB3" w:rsidRPr="00B247DF">
        <w:rPr>
          <w:rFonts w:ascii="Times New Roman" w:hAnsi="Times New Roman"/>
        </w:rPr>
        <w:t>only</w:t>
      </w:r>
      <w:r w:rsidR="002D3EA9" w:rsidRPr="00B247DF">
        <w:rPr>
          <w:rFonts w:ascii="Times New Roman" w:hAnsi="Times New Roman"/>
        </w:rPr>
        <w:t xml:space="preserve"> in the</w:t>
      </w:r>
      <w:r w:rsidR="00FE6D7D" w:rsidRPr="00B247DF">
        <w:rPr>
          <w:rFonts w:ascii="Times New Roman" w:hAnsi="Times New Roman"/>
        </w:rPr>
        <w:t xml:space="preserve"> </w:t>
      </w:r>
      <w:r w:rsidR="00691AD1" w:rsidRPr="00B247DF">
        <w:rPr>
          <w:rFonts w:ascii="Times New Roman" w:hAnsi="Times New Roman"/>
        </w:rPr>
        <w:t xml:space="preserve">capacity </w:t>
      </w:r>
      <w:r w:rsidR="00FE6D7D" w:rsidRPr="00B247DF">
        <w:rPr>
          <w:rFonts w:ascii="Times New Roman" w:hAnsi="Times New Roman"/>
        </w:rPr>
        <w:t xml:space="preserve">of each </w:t>
      </w:r>
      <w:r w:rsidR="00691AD1" w:rsidRPr="00B247DF">
        <w:rPr>
          <w:rFonts w:ascii="Times New Roman" w:hAnsi="Times New Roman"/>
        </w:rPr>
        <w:t>for public scrutiny</w:t>
      </w:r>
      <w:r w:rsidR="00F71DD6" w:rsidRPr="00B247DF">
        <w:rPr>
          <w:rFonts w:ascii="Times New Roman" w:hAnsi="Times New Roman"/>
        </w:rPr>
        <w:t>,</w:t>
      </w:r>
      <w:r w:rsidR="00691AD1" w:rsidRPr="00B247DF">
        <w:rPr>
          <w:rFonts w:ascii="Times New Roman" w:hAnsi="Times New Roman"/>
        </w:rPr>
        <w:t xml:space="preserve"> </w:t>
      </w:r>
      <w:r w:rsidR="00E81F0A" w:rsidRPr="00B247DF">
        <w:rPr>
          <w:rFonts w:ascii="Times New Roman" w:hAnsi="Times New Roman"/>
        </w:rPr>
        <w:t>political debate</w:t>
      </w:r>
      <w:r w:rsidR="00F71DD6" w:rsidRPr="00B247DF">
        <w:rPr>
          <w:rFonts w:ascii="Times New Roman" w:hAnsi="Times New Roman"/>
        </w:rPr>
        <w:t xml:space="preserve"> and censure</w:t>
      </w:r>
      <w:r w:rsidR="00776927" w:rsidRPr="00B247DF">
        <w:rPr>
          <w:rFonts w:ascii="Times New Roman" w:hAnsi="Times New Roman"/>
        </w:rPr>
        <w:t>.</w:t>
      </w:r>
      <w:r w:rsidR="00DA701B" w:rsidRPr="00B247DF">
        <w:rPr>
          <w:rStyle w:val="FootnoteReference"/>
          <w:rFonts w:ascii="Times New Roman" w:hAnsi="Times New Roman"/>
          <w:sz w:val="24"/>
        </w:rPr>
        <w:footnoteReference w:id="42"/>
      </w:r>
      <w:r w:rsidR="00776927" w:rsidRPr="00B247DF">
        <w:rPr>
          <w:rFonts w:ascii="Times New Roman" w:hAnsi="Times New Roman"/>
        </w:rPr>
        <w:t xml:space="preserve"> Their capacity to enforce compliance</w:t>
      </w:r>
      <w:r w:rsidR="00BD76A3" w:rsidRPr="00B247DF">
        <w:rPr>
          <w:rFonts w:ascii="Times New Roman" w:hAnsi="Times New Roman"/>
        </w:rPr>
        <w:t xml:space="preserve"> </w:t>
      </w:r>
      <w:r w:rsidR="00776927" w:rsidRPr="00B247DF">
        <w:rPr>
          <w:rFonts w:ascii="Times New Roman" w:hAnsi="Times New Roman"/>
        </w:rPr>
        <w:t>inheres also</w:t>
      </w:r>
      <w:r w:rsidR="00BD76A3" w:rsidRPr="00B247DF">
        <w:rPr>
          <w:rFonts w:ascii="Times New Roman" w:hAnsi="Times New Roman"/>
        </w:rPr>
        <w:t xml:space="preserve"> in </w:t>
      </w:r>
      <w:r w:rsidR="00E81F0A" w:rsidRPr="00B247DF">
        <w:rPr>
          <w:rFonts w:ascii="Times New Roman" w:hAnsi="Times New Roman"/>
        </w:rPr>
        <w:t xml:space="preserve">their </w:t>
      </w:r>
      <w:r w:rsidR="00776927" w:rsidRPr="00B247DF">
        <w:rPr>
          <w:rFonts w:ascii="Times New Roman" w:hAnsi="Times New Roman"/>
        </w:rPr>
        <w:t xml:space="preserve">specific </w:t>
      </w:r>
      <w:r w:rsidR="005D5C44" w:rsidRPr="00B247DF">
        <w:rPr>
          <w:rFonts w:ascii="Times New Roman" w:hAnsi="Times New Roman"/>
        </w:rPr>
        <w:t xml:space="preserve">capacity to </w:t>
      </w:r>
      <w:r w:rsidR="00F57B8B" w:rsidRPr="00B247DF">
        <w:rPr>
          <w:rFonts w:ascii="Times New Roman" w:hAnsi="Times New Roman"/>
        </w:rPr>
        <w:t>decline to authorise expenditure on a</w:t>
      </w:r>
      <w:r w:rsidR="00670894" w:rsidRPr="00B247DF">
        <w:rPr>
          <w:rFonts w:ascii="Times New Roman" w:hAnsi="Times New Roman"/>
        </w:rPr>
        <w:t>ny</w:t>
      </w:r>
      <w:r w:rsidR="00F57B8B" w:rsidRPr="00B247DF">
        <w:rPr>
          <w:rFonts w:ascii="Times New Roman" w:hAnsi="Times New Roman"/>
        </w:rPr>
        <w:t xml:space="preserve"> public work </w:t>
      </w:r>
      <w:r w:rsidR="00DC4757" w:rsidRPr="00B247DF">
        <w:rPr>
          <w:rFonts w:ascii="Times New Roman" w:hAnsi="Times New Roman"/>
        </w:rPr>
        <w:t xml:space="preserve">by </w:t>
      </w:r>
      <w:r w:rsidR="003C673D" w:rsidRPr="00B247DF">
        <w:rPr>
          <w:rFonts w:ascii="Times New Roman" w:hAnsi="Times New Roman"/>
        </w:rPr>
        <w:t>refusing to enact the</w:t>
      </w:r>
      <w:r w:rsidR="00DC4757" w:rsidRPr="00B247DF">
        <w:rPr>
          <w:rFonts w:ascii="Times New Roman" w:hAnsi="Times New Roman"/>
        </w:rPr>
        <w:t xml:space="preserve"> appropriation</w:t>
      </w:r>
      <w:r w:rsidR="006026BD" w:rsidRPr="00B247DF">
        <w:rPr>
          <w:rFonts w:ascii="Times New Roman" w:hAnsi="Times New Roman"/>
        </w:rPr>
        <w:t xml:space="preserve"> </w:t>
      </w:r>
      <w:r w:rsidR="00C674CF" w:rsidRPr="00B247DF">
        <w:rPr>
          <w:rFonts w:ascii="Times New Roman" w:hAnsi="Times New Roman"/>
        </w:rPr>
        <w:t>required</w:t>
      </w:r>
      <w:r w:rsidR="00DE557E" w:rsidRPr="00B247DF">
        <w:rPr>
          <w:rFonts w:ascii="Times New Roman" w:hAnsi="Times New Roman"/>
        </w:rPr>
        <w:t xml:space="preserve"> to enable</w:t>
      </w:r>
      <w:r w:rsidR="006026BD" w:rsidRPr="00B247DF">
        <w:rPr>
          <w:rFonts w:ascii="Times New Roman" w:hAnsi="Times New Roman"/>
        </w:rPr>
        <w:t xml:space="preserve"> fund</w:t>
      </w:r>
      <w:r w:rsidR="00DE557E" w:rsidRPr="00B247DF">
        <w:rPr>
          <w:rFonts w:ascii="Times New Roman" w:hAnsi="Times New Roman"/>
        </w:rPr>
        <w:t xml:space="preserve">ing for the public work </w:t>
      </w:r>
      <w:r w:rsidR="00EB0C1E" w:rsidRPr="00B247DF">
        <w:rPr>
          <w:rFonts w:ascii="Times New Roman" w:hAnsi="Times New Roman"/>
        </w:rPr>
        <w:t>to be drawn from the Public Account.</w:t>
      </w:r>
      <w:r w:rsidR="00DE557E" w:rsidRPr="00B247DF">
        <w:rPr>
          <w:rStyle w:val="FootnoteReference"/>
          <w:rFonts w:ascii="Times New Roman" w:hAnsi="Times New Roman"/>
          <w:sz w:val="24"/>
        </w:rPr>
        <w:footnoteReference w:id="43"/>
      </w:r>
    </w:p>
    <w:p w14:paraId="5FDC0803" w14:textId="6A642E9E" w:rsidR="00DA45E0" w:rsidRPr="00B247DF" w:rsidRDefault="007B4F3E" w:rsidP="00B247DF">
      <w:pPr>
        <w:pStyle w:val="FixListStyle"/>
        <w:spacing w:after="260" w:line="280" w:lineRule="exact"/>
        <w:ind w:right="0"/>
        <w:jc w:val="both"/>
        <w:rPr>
          <w:rFonts w:ascii="Times New Roman" w:hAnsi="Times New Roman"/>
        </w:rPr>
      </w:pPr>
      <w:r w:rsidRPr="00B247DF">
        <w:rPr>
          <w:rFonts w:ascii="Times New Roman" w:hAnsi="Times New Roman"/>
        </w:rPr>
        <w:tab/>
        <w:t>The conclusion that</w:t>
      </w:r>
      <w:r w:rsidR="00E15FCF" w:rsidRPr="00B247DF">
        <w:rPr>
          <w:rFonts w:ascii="Times New Roman" w:hAnsi="Times New Roman"/>
        </w:rPr>
        <w:t xml:space="preserve"> </w:t>
      </w:r>
      <w:r w:rsidRPr="00B247DF">
        <w:rPr>
          <w:rFonts w:ascii="Times New Roman" w:hAnsi="Times New Roman"/>
        </w:rPr>
        <w:t>the statutory consequence of non-compliance with a condition precedent prescribed by s 16(1) or (5) of the Act</w:t>
      </w:r>
      <w:r w:rsidRPr="00B247DF" w:rsidDel="00920AA5">
        <w:rPr>
          <w:rFonts w:ascii="Times New Roman" w:hAnsi="Times New Roman"/>
        </w:rPr>
        <w:t xml:space="preserve"> </w:t>
      </w:r>
      <w:r w:rsidRPr="00B247DF">
        <w:rPr>
          <w:rFonts w:ascii="Times New Roman" w:hAnsi="Times New Roman"/>
        </w:rPr>
        <w:t xml:space="preserve">is not to be seen as lying </w:t>
      </w:r>
      <w:r w:rsidR="00E15FCF" w:rsidRPr="00B247DF">
        <w:rPr>
          <w:rFonts w:ascii="Times New Roman" w:hAnsi="Times New Roman"/>
        </w:rPr>
        <w:t>in the availability of curial relief</w:t>
      </w:r>
      <w:r w:rsidRPr="00B247DF">
        <w:rPr>
          <w:rFonts w:ascii="Times New Roman" w:hAnsi="Times New Roman"/>
        </w:rPr>
        <w:t xml:space="preserve"> is </w:t>
      </w:r>
      <w:r w:rsidR="00DA1C23" w:rsidRPr="00B247DF">
        <w:rPr>
          <w:rFonts w:ascii="Times New Roman" w:hAnsi="Times New Roman"/>
        </w:rPr>
        <w:t>buttressed</w:t>
      </w:r>
      <w:r w:rsidRPr="00B247DF">
        <w:rPr>
          <w:rFonts w:ascii="Times New Roman" w:hAnsi="Times New Roman"/>
        </w:rPr>
        <w:t xml:space="preserve"> by two further considerations. The more general of those considerations is the "traditional view" that a court "does not interfere" in "the intra-mural activities of the Parliament".</w:t>
      </w:r>
      <w:r w:rsidRPr="00B247DF">
        <w:rPr>
          <w:rStyle w:val="FootnoteReference"/>
          <w:rFonts w:ascii="Times New Roman" w:hAnsi="Times New Roman"/>
          <w:sz w:val="24"/>
        </w:rPr>
        <w:footnoteReference w:id="44"/>
      </w:r>
      <w:r w:rsidR="00254F80" w:rsidRPr="00B247DF">
        <w:rPr>
          <w:rFonts w:ascii="Times New Roman" w:hAnsi="Times New Roman"/>
        </w:rPr>
        <w:t xml:space="preserve"> The more specific consideration, </w:t>
      </w:r>
      <w:r w:rsidR="00641BAD" w:rsidRPr="00B247DF">
        <w:rPr>
          <w:rFonts w:ascii="Times New Roman" w:hAnsi="Times New Roman"/>
        </w:rPr>
        <w:t xml:space="preserve">which is </w:t>
      </w:r>
      <w:r w:rsidR="00254F80" w:rsidRPr="00B247DF">
        <w:rPr>
          <w:rFonts w:ascii="Times New Roman" w:hAnsi="Times New Roman"/>
        </w:rPr>
        <w:t>w</w:t>
      </w:r>
      <w:r w:rsidR="001D2F83" w:rsidRPr="00B247DF">
        <w:rPr>
          <w:rFonts w:ascii="Times New Roman" w:hAnsi="Times New Roman"/>
        </w:rPr>
        <w:t>ell</w:t>
      </w:r>
      <w:r w:rsidR="00513328" w:rsidRPr="00B247DF">
        <w:rPr>
          <w:rFonts w:ascii="Times New Roman" w:hAnsi="Times New Roman"/>
        </w:rPr>
        <w:t xml:space="preserve"> </w:t>
      </w:r>
      <w:r w:rsidR="00254F80" w:rsidRPr="00B247DF">
        <w:rPr>
          <w:rFonts w:ascii="Times New Roman" w:hAnsi="Times New Roman"/>
        </w:rPr>
        <w:t xml:space="preserve">illustrated by the circumstances of the present case, is the </w:t>
      </w:r>
      <w:r w:rsidR="008808C4" w:rsidRPr="00B247DF">
        <w:rPr>
          <w:rFonts w:ascii="Times New Roman" w:hAnsi="Times New Roman"/>
        </w:rPr>
        <w:t xml:space="preserve">inconvenience to </w:t>
      </w:r>
      <w:r w:rsidR="00BD505E" w:rsidRPr="00B247DF">
        <w:rPr>
          <w:rFonts w:ascii="Times New Roman" w:hAnsi="Times New Roman"/>
        </w:rPr>
        <w:t xml:space="preserve">private contractors </w:t>
      </w:r>
      <w:r w:rsidR="008231FC" w:rsidRPr="00B247DF">
        <w:rPr>
          <w:rFonts w:ascii="Times New Roman" w:hAnsi="Times New Roman"/>
        </w:rPr>
        <w:t xml:space="preserve">engaged </w:t>
      </w:r>
      <w:r w:rsidR="00FE51C6" w:rsidRPr="00B247DF">
        <w:rPr>
          <w:rFonts w:ascii="Times New Roman" w:hAnsi="Times New Roman"/>
        </w:rPr>
        <w:t>by Government department</w:t>
      </w:r>
      <w:r w:rsidR="00BD505E" w:rsidRPr="00B247DF">
        <w:rPr>
          <w:rFonts w:ascii="Times New Roman" w:hAnsi="Times New Roman"/>
        </w:rPr>
        <w:t>s</w:t>
      </w:r>
      <w:r w:rsidR="00FE51C6" w:rsidRPr="00B247DF">
        <w:rPr>
          <w:rFonts w:ascii="Times New Roman" w:hAnsi="Times New Roman"/>
        </w:rPr>
        <w:t xml:space="preserve"> or State authorit</w:t>
      </w:r>
      <w:r w:rsidR="00BD505E" w:rsidRPr="00B247DF">
        <w:rPr>
          <w:rFonts w:ascii="Times New Roman" w:hAnsi="Times New Roman"/>
        </w:rPr>
        <w:t>ies</w:t>
      </w:r>
      <w:r w:rsidR="00FE51C6" w:rsidRPr="00B247DF">
        <w:rPr>
          <w:rFonts w:ascii="Times New Roman" w:hAnsi="Times New Roman"/>
        </w:rPr>
        <w:t xml:space="preserve"> </w:t>
      </w:r>
      <w:r w:rsidR="00505BA4" w:rsidRPr="00B247DF">
        <w:rPr>
          <w:rFonts w:ascii="Times New Roman" w:hAnsi="Times New Roman"/>
        </w:rPr>
        <w:t xml:space="preserve">to </w:t>
      </w:r>
      <w:r w:rsidR="008231FC" w:rsidRPr="00B247DF">
        <w:rPr>
          <w:rFonts w:ascii="Times New Roman" w:hAnsi="Times New Roman"/>
        </w:rPr>
        <w:t>carry out public work</w:t>
      </w:r>
      <w:r w:rsidR="00505BA4" w:rsidRPr="00B247DF">
        <w:rPr>
          <w:rFonts w:ascii="Times New Roman" w:hAnsi="Times New Roman"/>
        </w:rPr>
        <w:t>s</w:t>
      </w:r>
      <w:r w:rsidR="00FE0712" w:rsidRPr="00B247DF">
        <w:rPr>
          <w:rFonts w:ascii="Times New Roman" w:hAnsi="Times New Roman"/>
        </w:rPr>
        <w:t>,</w:t>
      </w:r>
      <w:r w:rsidR="008231FC" w:rsidRPr="00B247DF" w:rsidDel="00FE51C6">
        <w:rPr>
          <w:rFonts w:ascii="Times New Roman" w:hAnsi="Times New Roman"/>
        </w:rPr>
        <w:t xml:space="preserve"> </w:t>
      </w:r>
      <w:r w:rsidR="008231FC" w:rsidRPr="00B247DF">
        <w:rPr>
          <w:rFonts w:ascii="Times New Roman" w:hAnsi="Times New Roman"/>
        </w:rPr>
        <w:t xml:space="preserve">and to the </w:t>
      </w:r>
      <w:r w:rsidR="00505BA4" w:rsidRPr="00B247DF">
        <w:rPr>
          <w:rFonts w:ascii="Times New Roman" w:hAnsi="Times New Roman"/>
        </w:rPr>
        <w:t>public for whose benefit those works are carried out</w:t>
      </w:r>
      <w:r w:rsidR="00FE0712" w:rsidRPr="00B247DF">
        <w:rPr>
          <w:rFonts w:ascii="Times New Roman" w:hAnsi="Times New Roman"/>
        </w:rPr>
        <w:t>,</w:t>
      </w:r>
      <w:r w:rsidR="00505BA4" w:rsidRPr="00B247DF">
        <w:rPr>
          <w:rFonts w:ascii="Times New Roman" w:hAnsi="Times New Roman"/>
        </w:rPr>
        <w:t xml:space="preserve"> </w:t>
      </w:r>
      <w:r w:rsidR="000F1526" w:rsidRPr="00B247DF">
        <w:rPr>
          <w:rFonts w:ascii="Times New Roman" w:hAnsi="Times New Roman"/>
        </w:rPr>
        <w:t xml:space="preserve">of </w:t>
      </w:r>
      <w:r w:rsidR="001D2F83" w:rsidRPr="00B247DF">
        <w:rPr>
          <w:rFonts w:ascii="Times New Roman" w:hAnsi="Times New Roman"/>
        </w:rPr>
        <w:t xml:space="preserve">the carrying out of </w:t>
      </w:r>
      <w:r w:rsidR="000F1526" w:rsidRPr="00B247DF">
        <w:rPr>
          <w:rFonts w:ascii="Times New Roman" w:hAnsi="Times New Roman"/>
        </w:rPr>
        <w:t xml:space="preserve">those works </w:t>
      </w:r>
      <w:r w:rsidR="00345BAE" w:rsidRPr="00B247DF">
        <w:rPr>
          <w:rFonts w:ascii="Times New Roman" w:hAnsi="Times New Roman"/>
        </w:rPr>
        <w:t xml:space="preserve">being subjected </w:t>
      </w:r>
      <w:r w:rsidR="000F1526" w:rsidRPr="00B247DF">
        <w:rPr>
          <w:rFonts w:ascii="Times New Roman" w:hAnsi="Times New Roman"/>
        </w:rPr>
        <w:t xml:space="preserve">to </w:t>
      </w:r>
      <w:r w:rsidR="001D2F83" w:rsidRPr="00B247DF">
        <w:rPr>
          <w:rFonts w:ascii="Times New Roman" w:hAnsi="Times New Roman"/>
        </w:rPr>
        <w:t xml:space="preserve">legal </w:t>
      </w:r>
      <w:r w:rsidR="000F1526" w:rsidRPr="00B247DF">
        <w:rPr>
          <w:rFonts w:ascii="Times New Roman" w:hAnsi="Times New Roman"/>
        </w:rPr>
        <w:t xml:space="preserve">challenge </w:t>
      </w:r>
      <w:r w:rsidR="004519EA" w:rsidRPr="00B247DF">
        <w:rPr>
          <w:rFonts w:ascii="Times New Roman" w:hAnsi="Times New Roman"/>
        </w:rPr>
        <w:t>in the Supreme Court at the instigation of a</w:t>
      </w:r>
      <w:r w:rsidR="00966D6A" w:rsidRPr="00B247DF">
        <w:rPr>
          <w:rFonts w:ascii="Times New Roman" w:hAnsi="Times New Roman"/>
        </w:rPr>
        <w:t>ny</w:t>
      </w:r>
      <w:r w:rsidR="00DE5697" w:rsidRPr="00B247DF">
        <w:rPr>
          <w:rFonts w:ascii="Times New Roman" w:hAnsi="Times New Roman"/>
        </w:rPr>
        <w:t xml:space="preserve"> and all</w:t>
      </w:r>
      <w:r w:rsidR="004519EA" w:rsidRPr="00B247DF">
        <w:rPr>
          <w:rFonts w:ascii="Times New Roman" w:hAnsi="Times New Roman"/>
        </w:rPr>
        <w:t xml:space="preserve"> whose </w:t>
      </w:r>
      <w:r w:rsidR="00E721D9" w:rsidRPr="00B247DF">
        <w:rPr>
          <w:rFonts w:ascii="Times New Roman" w:hAnsi="Times New Roman"/>
        </w:rPr>
        <w:t xml:space="preserve">interests </w:t>
      </w:r>
      <w:r w:rsidR="00345BAE" w:rsidRPr="00B247DF">
        <w:rPr>
          <w:rFonts w:ascii="Times New Roman" w:hAnsi="Times New Roman"/>
        </w:rPr>
        <w:t>might be</w:t>
      </w:r>
      <w:r w:rsidR="00E721D9" w:rsidRPr="00B247DF">
        <w:rPr>
          <w:rFonts w:ascii="Times New Roman" w:hAnsi="Times New Roman"/>
        </w:rPr>
        <w:t xml:space="preserve"> sufficiently</w:t>
      </w:r>
      <w:r w:rsidR="001A5DDF" w:rsidRPr="00B247DF">
        <w:rPr>
          <w:rFonts w:ascii="Times New Roman" w:hAnsi="Times New Roman"/>
        </w:rPr>
        <w:t xml:space="preserve"> affected to</w:t>
      </w:r>
      <w:r w:rsidR="00C8520E" w:rsidRPr="00B247DF">
        <w:rPr>
          <w:rFonts w:ascii="Times New Roman" w:hAnsi="Times New Roman"/>
        </w:rPr>
        <w:t xml:space="preserve"> </w:t>
      </w:r>
      <w:r w:rsidR="006450B5" w:rsidRPr="00B247DF">
        <w:rPr>
          <w:rFonts w:ascii="Times New Roman" w:hAnsi="Times New Roman"/>
        </w:rPr>
        <w:t>have</w:t>
      </w:r>
      <w:r w:rsidR="00C8520E" w:rsidRPr="00B247DF">
        <w:rPr>
          <w:rFonts w:ascii="Times New Roman" w:hAnsi="Times New Roman"/>
        </w:rPr>
        <w:t xml:space="preserve"> standing</w:t>
      </w:r>
      <w:r w:rsidR="0062788C" w:rsidRPr="00B247DF">
        <w:rPr>
          <w:rFonts w:ascii="Times New Roman" w:hAnsi="Times New Roman"/>
        </w:rPr>
        <w:t xml:space="preserve"> to </w:t>
      </w:r>
      <w:r w:rsidR="00345BAE" w:rsidRPr="00B247DF">
        <w:rPr>
          <w:rFonts w:ascii="Times New Roman" w:hAnsi="Times New Roman"/>
        </w:rPr>
        <w:t>seek curial relief</w:t>
      </w:r>
      <w:r w:rsidR="00C8520E" w:rsidRPr="00B247DF">
        <w:rPr>
          <w:rFonts w:ascii="Times New Roman" w:hAnsi="Times New Roman"/>
        </w:rPr>
        <w:t>.</w:t>
      </w:r>
    </w:p>
    <w:p w14:paraId="0A5D4C58" w14:textId="04A80335" w:rsidR="00576C0F" w:rsidRPr="00B247DF" w:rsidRDefault="00576C0F" w:rsidP="00B247DF">
      <w:pPr>
        <w:pStyle w:val="HeadingL1"/>
        <w:spacing w:after="260" w:line="280" w:lineRule="exact"/>
        <w:ind w:right="0"/>
        <w:jc w:val="both"/>
        <w:rPr>
          <w:rFonts w:ascii="Times New Roman" w:hAnsi="Times New Roman"/>
        </w:rPr>
      </w:pPr>
      <w:r w:rsidRPr="00B247DF">
        <w:rPr>
          <w:rFonts w:ascii="Times New Roman" w:hAnsi="Times New Roman"/>
        </w:rPr>
        <w:lastRenderedPageBreak/>
        <w:t>Disposition</w:t>
      </w:r>
    </w:p>
    <w:p w14:paraId="00F2FC4A" w14:textId="77777777" w:rsidR="005C789E" w:rsidRDefault="000566F3" w:rsidP="00B247DF">
      <w:pPr>
        <w:pStyle w:val="FixListStyle"/>
        <w:spacing w:after="260" w:line="280" w:lineRule="exact"/>
        <w:ind w:right="0"/>
        <w:jc w:val="both"/>
        <w:rPr>
          <w:rFonts w:ascii="Times New Roman" w:hAnsi="Times New Roman"/>
        </w:rPr>
      </w:pPr>
      <w:r w:rsidRPr="00B247DF">
        <w:rPr>
          <w:rFonts w:ascii="Times New Roman" w:hAnsi="Times New Roman"/>
        </w:rPr>
        <w:tab/>
        <w:t xml:space="preserve">The appeal </w:t>
      </w:r>
      <w:r w:rsidR="00860060" w:rsidRPr="00B247DF">
        <w:rPr>
          <w:rFonts w:ascii="Times New Roman" w:hAnsi="Times New Roman"/>
        </w:rPr>
        <w:t>is to</w:t>
      </w:r>
      <w:r w:rsidRPr="00B247DF">
        <w:rPr>
          <w:rFonts w:ascii="Times New Roman" w:hAnsi="Times New Roman"/>
        </w:rPr>
        <w:t xml:space="preserve"> be allowed with costs. The </w:t>
      </w:r>
      <w:r w:rsidR="00A7137F" w:rsidRPr="00B247DF">
        <w:rPr>
          <w:rFonts w:ascii="Times New Roman" w:hAnsi="Times New Roman"/>
        </w:rPr>
        <w:t>order</w:t>
      </w:r>
      <w:r w:rsidR="00DE0356" w:rsidRPr="00B247DF">
        <w:rPr>
          <w:rFonts w:ascii="Times New Roman" w:hAnsi="Times New Roman"/>
        </w:rPr>
        <w:t>s</w:t>
      </w:r>
      <w:r w:rsidR="00A7137F" w:rsidRPr="00B247DF">
        <w:rPr>
          <w:rFonts w:ascii="Times New Roman" w:hAnsi="Times New Roman"/>
        </w:rPr>
        <w:t xml:space="preserve"> of the Full Court </w:t>
      </w:r>
      <w:r w:rsidR="004E76E6" w:rsidRPr="00B247DF">
        <w:rPr>
          <w:rFonts w:ascii="Times New Roman" w:hAnsi="Times New Roman"/>
        </w:rPr>
        <w:t>are</w:t>
      </w:r>
      <w:r w:rsidR="00860060" w:rsidRPr="00B247DF">
        <w:rPr>
          <w:rFonts w:ascii="Times New Roman" w:hAnsi="Times New Roman"/>
        </w:rPr>
        <w:t xml:space="preserve"> to</w:t>
      </w:r>
      <w:r w:rsidR="00A7137F" w:rsidRPr="00B247DF">
        <w:rPr>
          <w:rFonts w:ascii="Times New Roman" w:hAnsi="Times New Roman"/>
        </w:rPr>
        <w:t xml:space="preserve"> be set aside</w:t>
      </w:r>
      <w:r w:rsidR="00613535" w:rsidRPr="00B247DF">
        <w:rPr>
          <w:rFonts w:ascii="Times New Roman" w:hAnsi="Times New Roman"/>
        </w:rPr>
        <w:t xml:space="preserve">. In </w:t>
      </w:r>
      <w:r w:rsidR="003D1A67" w:rsidRPr="00B247DF">
        <w:rPr>
          <w:rFonts w:ascii="Times New Roman" w:hAnsi="Times New Roman"/>
        </w:rPr>
        <w:t xml:space="preserve">their </w:t>
      </w:r>
      <w:r w:rsidR="00613535" w:rsidRPr="00B247DF">
        <w:rPr>
          <w:rFonts w:ascii="Times New Roman" w:hAnsi="Times New Roman"/>
        </w:rPr>
        <w:t xml:space="preserve">place, the appeal </w:t>
      </w:r>
      <w:r w:rsidR="008F2729" w:rsidRPr="00B247DF">
        <w:rPr>
          <w:rFonts w:ascii="Times New Roman" w:hAnsi="Times New Roman"/>
        </w:rPr>
        <w:t>from the order</w:t>
      </w:r>
      <w:r w:rsidR="00DE0356" w:rsidRPr="00B247DF">
        <w:rPr>
          <w:rFonts w:ascii="Times New Roman" w:hAnsi="Times New Roman"/>
        </w:rPr>
        <w:t>s</w:t>
      </w:r>
      <w:r w:rsidR="008F2729" w:rsidRPr="00B247DF">
        <w:rPr>
          <w:rFonts w:ascii="Times New Roman" w:hAnsi="Times New Roman"/>
        </w:rPr>
        <w:t xml:space="preserve"> of the primary judge </w:t>
      </w:r>
      <w:r w:rsidR="006005C9" w:rsidRPr="00B247DF">
        <w:rPr>
          <w:rFonts w:ascii="Times New Roman" w:hAnsi="Times New Roman"/>
        </w:rPr>
        <w:t xml:space="preserve">is to </w:t>
      </w:r>
      <w:r w:rsidR="00801DCC" w:rsidRPr="00B247DF">
        <w:rPr>
          <w:rFonts w:ascii="Times New Roman" w:hAnsi="Times New Roman"/>
        </w:rPr>
        <w:t>be dismissed with costs.</w:t>
      </w:r>
    </w:p>
    <w:p w14:paraId="2177DA22" w14:textId="77777777" w:rsidR="005C789E" w:rsidRDefault="005C789E" w:rsidP="00B247DF">
      <w:pPr>
        <w:pStyle w:val="FixListStyle"/>
        <w:spacing w:after="260" w:line="280" w:lineRule="exact"/>
        <w:ind w:right="0"/>
        <w:jc w:val="both"/>
        <w:rPr>
          <w:rFonts w:ascii="Times New Roman" w:hAnsi="Times New Roman"/>
        </w:rPr>
        <w:sectPr w:rsidR="005C789E" w:rsidSect="00CF754B">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94C02B8" w14:textId="77777777" w:rsidR="005C789E" w:rsidRPr="00F2125E" w:rsidRDefault="005C789E" w:rsidP="00F2125E">
      <w:pPr>
        <w:pStyle w:val="NormalBody"/>
        <w:tabs>
          <w:tab w:val="clear" w:pos="720"/>
          <w:tab w:val="left" w:pos="0"/>
        </w:tabs>
        <w:spacing w:after="260" w:line="280" w:lineRule="exact"/>
        <w:ind w:right="0"/>
        <w:jc w:val="both"/>
        <w:rPr>
          <w:rFonts w:ascii="Times New Roman" w:hAnsi="Times New Roman"/>
        </w:rPr>
      </w:pPr>
      <w:r w:rsidRPr="00F2125E">
        <w:rPr>
          <w:rFonts w:ascii="Times New Roman" w:hAnsi="Times New Roman"/>
        </w:rPr>
        <w:lastRenderedPageBreak/>
        <w:t xml:space="preserve">EDELMAN J.   </w:t>
      </w:r>
    </w:p>
    <w:p w14:paraId="04111F45" w14:textId="77777777" w:rsidR="005C789E" w:rsidRPr="00F2125E" w:rsidRDefault="005C789E" w:rsidP="00F2125E">
      <w:pPr>
        <w:pStyle w:val="HeadingL1"/>
        <w:spacing w:after="260" w:line="280" w:lineRule="exact"/>
        <w:ind w:right="0"/>
        <w:jc w:val="both"/>
        <w:rPr>
          <w:rFonts w:ascii="Times New Roman" w:hAnsi="Times New Roman"/>
        </w:rPr>
      </w:pPr>
      <w:r w:rsidRPr="00F2125E">
        <w:rPr>
          <w:rFonts w:ascii="Times New Roman" w:hAnsi="Times New Roman"/>
        </w:rPr>
        <w:t>Introduction: Simple facts, three important questions, and a centuries-old problem</w:t>
      </w:r>
      <w:r w:rsidRPr="00F2125E">
        <w:rPr>
          <w:rFonts w:ascii="Times New Roman" w:hAnsi="Times New Roman"/>
        </w:rPr>
        <w:tab/>
      </w:r>
    </w:p>
    <w:p w14:paraId="1FE9460D"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Section 16(1) of the </w:t>
      </w:r>
      <w:r w:rsidRPr="00F2125E">
        <w:rPr>
          <w:rFonts w:ascii="Times New Roman" w:hAnsi="Times New Roman"/>
          <w:i/>
          <w:iCs/>
        </w:rPr>
        <w:t xml:space="preserve">Public Works Committee Act 1914 </w:t>
      </w:r>
      <w:r w:rsidRPr="00F2125E">
        <w:rPr>
          <w:rFonts w:ascii="Times New Roman" w:hAnsi="Times New Roman"/>
        </w:rPr>
        <w:t>(Tas) imposes a duty prohibiting certain public work (to which s 15 applies) from being commenced unless it has first been referred to and reported on by the Parliamentary Standing Committee on Public Works ("the Committee") in accordance with s 16. Mr </w:t>
      </w:r>
      <w:proofErr w:type="spellStart"/>
      <w:r w:rsidRPr="00F2125E">
        <w:rPr>
          <w:rFonts w:ascii="Times New Roman" w:hAnsi="Times New Roman"/>
        </w:rPr>
        <w:t>Casimaty</w:t>
      </w:r>
      <w:proofErr w:type="spellEnd"/>
      <w:r w:rsidRPr="00F2125E">
        <w:rPr>
          <w:rFonts w:ascii="Times New Roman" w:hAnsi="Times New Roman"/>
        </w:rPr>
        <w:t xml:space="preserve"> commenced proceedings seeking declaratory relief concerning proposed public works and an injunction to restrain Hazell Bros Group Pty Ltd ("Hazell Bros") from commencing the works which Mr </w:t>
      </w:r>
      <w:proofErr w:type="spellStart"/>
      <w:r w:rsidRPr="00F2125E">
        <w:rPr>
          <w:rFonts w:ascii="Times New Roman" w:hAnsi="Times New Roman"/>
        </w:rPr>
        <w:t>Casimaty</w:t>
      </w:r>
      <w:proofErr w:type="spellEnd"/>
      <w:r w:rsidRPr="00F2125E">
        <w:rPr>
          <w:rFonts w:ascii="Times New Roman" w:hAnsi="Times New Roman"/>
        </w:rPr>
        <w:t xml:space="preserve"> alleged would be in breach of the duty in s 16(1). Mr </w:t>
      </w:r>
      <w:proofErr w:type="spellStart"/>
      <w:r w:rsidRPr="00F2125E">
        <w:rPr>
          <w:rFonts w:ascii="Times New Roman" w:hAnsi="Times New Roman"/>
        </w:rPr>
        <w:t>Casimaty</w:t>
      </w:r>
      <w:proofErr w:type="spellEnd"/>
      <w:r w:rsidRPr="00F2125E">
        <w:rPr>
          <w:rFonts w:ascii="Times New Roman" w:hAnsi="Times New Roman"/>
        </w:rPr>
        <w:t xml:space="preserve"> alleged that the road works being performed by Hazell Bros did not correspond in cost and in some other details with the works that had been referred to and reported on by the Committee.</w:t>
      </w:r>
    </w:p>
    <w:p w14:paraId="53312C1A"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The Attorney-General for Tasmania, who was joined as a party to the proceedings, sought interlocutory orders in the Supreme Court of Tasmania including to dismiss Mr </w:t>
      </w:r>
      <w:proofErr w:type="spellStart"/>
      <w:r w:rsidRPr="00F2125E">
        <w:rPr>
          <w:rFonts w:ascii="Times New Roman" w:hAnsi="Times New Roman"/>
        </w:rPr>
        <w:t>Casimaty's</w:t>
      </w:r>
      <w:proofErr w:type="spellEnd"/>
      <w:r w:rsidRPr="00F2125E">
        <w:rPr>
          <w:rFonts w:ascii="Times New Roman" w:hAnsi="Times New Roman"/>
        </w:rPr>
        <w:t xml:space="preserve"> claim on the basis that it did not disclose any reasonable cause of action. The primary judge (Blow CJ) dismissed Mr </w:t>
      </w:r>
      <w:proofErr w:type="spellStart"/>
      <w:r w:rsidRPr="00F2125E">
        <w:rPr>
          <w:rFonts w:ascii="Times New Roman" w:hAnsi="Times New Roman"/>
        </w:rPr>
        <w:t>Casimaty's</w:t>
      </w:r>
      <w:proofErr w:type="spellEnd"/>
      <w:r w:rsidRPr="00F2125E">
        <w:rPr>
          <w:rFonts w:ascii="Times New Roman" w:hAnsi="Times New Roman"/>
        </w:rPr>
        <w:t xml:space="preserve"> claim because the claim, being based upon assertion of breach of s 16(1), could not succeed without assessment of matters covered by the parliamentary privilege of the Tasmanian Parliament contained in Art 9 of the </w:t>
      </w:r>
      <w:r w:rsidRPr="00F2125E">
        <w:rPr>
          <w:rFonts w:ascii="Times New Roman" w:hAnsi="Times New Roman"/>
          <w:i/>
          <w:iCs/>
        </w:rPr>
        <w:t>Bill of Rights 1688</w:t>
      </w:r>
      <w:r w:rsidRPr="00F2125E">
        <w:rPr>
          <w:rFonts w:ascii="Times New Roman" w:hAnsi="Times New Roman"/>
        </w:rPr>
        <w:t>,</w:t>
      </w:r>
      <w:r w:rsidRPr="00F2125E">
        <w:rPr>
          <w:rStyle w:val="FootnoteReference"/>
          <w:rFonts w:ascii="Times New Roman" w:hAnsi="Times New Roman"/>
          <w:sz w:val="24"/>
        </w:rPr>
        <w:footnoteReference w:id="45"/>
      </w:r>
      <w:r w:rsidRPr="00F2125E">
        <w:rPr>
          <w:rFonts w:ascii="Times New Roman" w:hAnsi="Times New Roman"/>
        </w:rPr>
        <w:t xml:space="preserve"> namely whether the road works performed by Hazell Bros corresponded in cost and in detail with the works that had been referred to and reported on by the Committee.</w:t>
      </w:r>
      <w:r w:rsidRPr="00F2125E">
        <w:rPr>
          <w:rStyle w:val="FootnoteReference"/>
          <w:rFonts w:ascii="Times New Roman" w:hAnsi="Times New Roman"/>
          <w:sz w:val="24"/>
        </w:rPr>
        <w:footnoteReference w:id="46"/>
      </w:r>
    </w:p>
    <w:p w14:paraId="2075B0F2"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A majority of the Full Court of the Supreme Court (Brett J, Pearce J agreeing) upheld an appeal on the basis that s 16(1) created "public obligations which fall outside the scope of the parliamentary process, and hence the ambit of parliamentary privilege"; the public obligations were intended to be enforced by the courts and not by Parliament.</w:t>
      </w:r>
      <w:r w:rsidRPr="00F2125E">
        <w:rPr>
          <w:rStyle w:val="FootnoteReference"/>
          <w:rFonts w:ascii="Times New Roman" w:hAnsi="Times New Roman"/>
          <w:sz w:val="24"/>
        </w:rPr>
        <w:footnoteReference w:id="47"/>
      </w:r>
      <w:r w:rsidRPr="00F2125E">
        <w:rPr>
          <w:rFonts w:ascii="Times New Roman" w:hAnsi="Times New Roman"/>
        </w:rPr>
        <w:t xml:space="preserve"> In dissent, </w:t>
      </w:r>
      <w:proofErr w:type="spellStart"/>
      <w:r w:rsidRPr="00F2125E">
        <w:rPr>
          <w:rFonts w:ascii="Times New Roman" w:hAnsi="Times New Roman"/>
        </w:rPr>
        <w:t>Geason</w:t>
      </w:r>
      <w:proofErr w:type="spellEnd"/>
      <w:r w:rsidRPr="00F2125E">
        <w:rPr>
          <w:rFonts w:ascii="Times New Roman" w:hAnsi="Times New Roman"/>
        </w:rPr>
        <w:t> J would have upheld the approach of the primary judge.</w:t>
      </w:r>
      <w:r w:rsidRPr="00F2125E">
        <w:rPr>
          <w:rStyle w:val="FootnoteReference"/>
          <w:rFonts w:ascii="Times New Roman" w:hAnsi="Times New Roman"/>
          <w:sz w:val="24"/>
        </w:rPr>
        <w:footnoteReference w:id="48"/>
      </w:r>
    </w:p>
    <w:p w14:paraId="5E120309"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The works have now been completed. As the Solicitor-General for South Australia said in oral submissions, it is not apparent what substantive relief would be available to Mr </w:t>
      </w:r>
      <w:proofErr w:type="spellStart"/>
      <w:r w:rsidRPr="00F2125E">
        <w:rPr>
          <w:rFonts w:ascii="Times New Roman" w:hAnsi="Times New Roman"/>
        </w:rPr>
        <w:t>Casimaty</w:t>
      </w:r>
      <w:proofErr w:type="spellEnd"/>
      <w:r w:rsidRPr="00F2125E">
        <w:rPr>
          <w:rFonts w:ascii="Times New Roman" w:hAnsi="Times New Roman"/>
        </w:rPr>
        <w:t xml:space="preserve"> even if this appeal by the Attorney-General were to be dismissed. An injunction to prevent the works from proceeding is now obviously hopeless. And there now appears little or no utility in the declaration </w:t>
      </w:r>
      <w:r w:rsidRPr="00F2125E">
        <w:rPr>
          <w:rFonts w:ascii="Times New Roman" w:hAnsi="Times New Roman"/>
        </w:rPr>
        <w:lastRenderedPageBreak/>
        <w:t>sought by Mr </w:t>
      </w:r>
      <w:proofErr w:type="spellStart"/>
      <w:r w:rsidRPr="00F2125E">
        <w:rPr>
          <w:rFonts w:ascii="Times New Roman" w:hAnsi="Times New Roman"/>
        </w:rPr>
        <w:t>Casimaty</w:t>
      </w:r>
      <w:proofErr w:type="spellEnd"/>
      <w:r w:rsidRPr="00F2125E">
        <w:rPr>
          <w:rFonts w:ascii="Times New Roman" w:hAnsi="Times New Roman"/>
        </w:rPr>
        <w:t>. But the Attorney-General for Tasmania did not rely upon any formal or informal notice of contention, or any new submission,</w:t>
      </w:r>
      <w:r w:rsidRPr="00F2125E">
        <w:rPr>
          <w:rStyle w:val="FootnoteReference"/>
          <w:rFonts w:ascii="Times New Roman" w:hAnsi="Times New Roman"/>
          <w:sz w:val="24"/>
        </w:rPr>
        <w:footnoteReference w:id="49"/>
      </w:r>
      <w:r w:rsidRPr="00F2125E">
        <w:rPr>
          <w:rFonts w:ascii="Times New Roman" w:hAnsi="Times New Roman"/>
        </w:rPr>
        <w:t xml:space="preserve"> in the Full Court, nor any ground of appeal in this Court, that asserted that Mr </w:t>
      </w:r>
      <w:proofErr w:type="spellStart"/>
      <w:r w:rsidRPr="00F2125E">
        <w:rPr>
          <w:rFonts w:ascii="Times New Roman" w:hAnsi="Times New Roman"/>
        </w:rPr>
        <w:t>Casimaty's</w:t>
      </w:r>
      <w:proofErr w:type="spellEnd"/>
      <w:r w:rsidRPr="00F2125E">
        <w:rPr>
          <w:rFonts w:ascii="Times New Roman" w:hAnsi="Times New Roman"/>
        </w:rPr>
        <w:t xml:space="preserve"> claim should have been dismissed on the basis that any relief that he sought, or might seek, would be inutile.</w:t>
      </w:r>
    </w:p>
    <w:p w14:paraId="740B6947"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The Attorney-General's two grounds of appeal are interrelated. Both concern the centuries-old puzzle of the extent of the exclusive cognisance of Parliament. The first ground asserts that the majority of the Full Court erred in concluding that ss 15 and 16 of the </w:t>
      </w:r>
      <w:r w:rsidRPr="00F2125E">
        <w:rPr>
          <w:rFonts w:ascii="Times New Roman" w:hAnsi="Times New Roman"/>
          <w:i/>
          <w:iCs/>
        </w:rPr>
        <w:t>Public Works Committee Act</w:t>
      </w:r>
      <w:r w:rsidRPr="00F2125E">
        <w:rPr>
          <w:rFonts w:ascii="Times New Roman" w:hAnsi="Times New Roman"/>
        </w:rPr>
        <w:t xml:space="preserve"> created a public obligation that was subject to the protection and enforcement of the courts and "outside the parliamentary process and hence the ambit of parliamentary privilege". The second ground asserted that the Full Court should have concluded that the "parliamentary privilege" in Art 9 of the </w:t>
      </w:r>
      <w:r w:rsidRPr="00F2125E">
        <w:rPr>
          <w:rFonts w:ascii="Times New Roman" w:hAnsi="Times New Roman"/>
          <w:i/>
          <w:iCs/>
        </w:rPr>
        <w:t xml:space="preserve">Bill of Rights </w:t>
      </w:r>
      <w:r w:rsidRPr="00F2125E">
        <w:rPr>
          <w:rFonts w:ascii="Times New Roman" w:hAnsi="Times New Roman"/>
        </w:rPr>
        <w:t>would be infringed by an adjudication by a court of Mr </w:t>
      </w:r>
      <w:proofErr w:type="spellStart"/>
      <w:r w:rsidRPr="00F2125E">
        <w:rPr>
          <w:rFonts w:ascii="Times New Roman" w:hAnsi="Times New Roman"/>
        </w:rPr>
        <w:t>Casimaty's</w:t>
      </w:r>
      <w:proofErr w:type="spellEnd"/>
      <w:r w:rsidRPr="00F2125E">
        <w:rPr>
          <w:rFonts w:ascii="Times New Roman" w:hAnsi="Times New Roman"/>
        </w:rPr>
        <w:t xml:space="preserve"> claim of infringement of s 16(1).</w:t>
      </w:r>
    </w:p>
    <w:p w14:paraId="74D2B00B"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The Attorney-General's first ground is not merely an assertion that essential aspects of the subject matter of a claim of breach of s 16(1) would fall within the "parliamentary privilege" of the Tasmanian Parliament covered by Art 9 of the </w:t>
      </w:r>
      <w:r w:rsidRPr="00F2125E">
        <w:rPr>
          <w:rFonts w:ascii="Times New Roman" w:hAnsi="Times New Roman"/>
          <w:i/>
          <w:iCs/>
        </w:rPr>
        <w:t>Bill of Rights</w:t>
      </w:r>
      <w:r w:rsidRPr="00F2125E">
        <w:rPr>
          <w:rFonts w:ascii="Times New Roman" w:hAnsi="Times New Roman"/>
        </w:rPr>
        <w:t>. Rather, the first ground involves an assertion that any adjudication at all concerning a breach of s 16(1) is within the broader exclusive cognisance of the Tasmanian Parliament. The first ground, therefore, effectively subsumes the second ground in its focus upon whether Mr </w:t>
      </w:r>
      <w:proofErr w:type="spellStart"/>
      <w:r w:rsidRPr="00F2125E">
        <w:rPr>
          <w:rFonts w:ascii="Times New Roman" w:hAnsi="Times New Roman"/>
        </w:rPr>
        <w:t>Casimaty's</w:t>
      </w:r>
      <w:proofErr w:type="spellEnd"/>
      <w:r w:rsidRPr="00F2125E">
        <w:rPr>
          <w:rFonts w:ascii="Times New Roman" w:hAnsi="Times New Roman"/>
        </w:rPr>
        <w:t xml:space="preserve"> assertion of a breach of s 16(1) is entirely beyond the scope of the courts' power to adjudicate. Nevertheless, a consideration of the second ground is a necessary incident to determining the scope of the relative spheres of competence of the courts and Parliament.</w:t>
      </w:r>
    </w:p>
    <w:p w14:paraId="51B87B86"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The road works which Mr </w:t>
      </w:r>
      <w:proofErr w:type="spellStart"/>
      <w:r w:rsidRPr="00F2125E">
        <w:rPr>
          <w:rFonts w:ascii="Times New Roman" w:hAnsi="Times New Roman"/>
        </w:rPr>
        <w:t>Casimaty</w:t>
      </w:r>
      <w:proofErr w:type="spellEnd"/>
      <w:r w:rsidRPr="00F2125E">
        <w:rPr>
          <w:rFonts w:ascii="Times New Roman" w:hAnsi="Times New Roman"/>
        </w:rPr>
        <w:t xml:space="preserve"> alleged to be in breach of s 16(1) were required to be undertaken by the Executive Government (in particular, "a general government sector body") and were performed by Hazell Bros as agents for an Executive body. It is unusual for an alleged breach of a duty imposed by State legislation upon an Executive body to be a matter that is wholly excluded from the adjudicative authority of the Supreme Court of that State. This Court has held that no Parliament can "deprive a State Supreme Court of its supervisory jurisdiction enforcing the limits on the exercise of State executive ... power".</w:t>
      </w:r>
      <w:r w:rsidRPr="00F2125E">
        <w:rPr>
          <w:rStyle w:val="FootnoteReference"/>
          <w:rFonts w:ascii="Times New Roman" w:hAnsi="Times New Roman"/>
          <w:sz w:val="24"/>
        </w:rPr>
        <w:footnoteReference w:id="50"/>
      </w:r>
      <w:r w:rsidRPr="00F2125E">
        <w:rPr>
          <w:rFonts w:ascii="Times New Roman" w:hAnsi="Times New Roman"/>
        </w:rPr>
        <w:t xml:space="preserve"> And even when a dispute does not raise any real issue of the limits of Executive power, courts have traditionally taken a very restrictive approach to interpretation of provisions that, </w:t>
      </w:r>
      <w:r w:rsidRPr="00F2125E">
        <w:rPr>
          <w:rFonts w:ascii="Times New Roman" w:hAnsi="Times New Roman"/>
        </w:rPr>
        <w:lastRenderedPageBreak/>
        <w:t>on one reading of their terms, might be thought to exclude judicial authority to adjudicate upon an alleged breach of duty by the Executive.</w:t>
      </w:r>
      <w:r w:rsidRPr="00F2125E">
        <w:rPr>
          <w:rStyle w:val="FootnoteReference"/>
          <w:rFonts w:ascii="Times New Roman" w:hAnsi="Times New Roman"/>
          <w:sz w:val="24"/>
        </w:rPr>
        <w:footnoteReference w:id="51"/>
      </w:r>
    </w:p>
    <w:p w14:paraId="2D67A251"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Nevertheless, there are instances, with powerful justifications and strong historical antecedents, where courts have declined to recognise an authority to adjudicate upon a dispute. One relevant instance is where the courts treat the dispute as falling within the exclusive cognisance of another branch of government. The expression "exclusive cognisance" has been used in different ways, but it is used in these reasons to describe a principle that wholly encompasses, and extends beyond, Art 9 of the </w:t>
      </w:r>
      <w:r w:rsidRPr="00F2125E">
        <w:rPr>
          <w:rFonts w:ascii="Times New Roman" w:hAnsi="Times New Roman"/>
          <w:i/>
          <w:iCs/>
        </w:rPr>
        <w:t>Bill of Rights</w:t>
      </w:r>
      <w:r w:rsidRPr="00F2125E">
        <w:rPr>
          <w:rFonts w:ascii="Times New Roman" w:hAnsi="Times New Roman"/>
        </w:rPr>
        <w:t>.</w:t>
      </w:r>
      <w:r w:rsidRPr="00F2125E">
        <w:rPr>
          <w:rStyle w:val="FootnoteReference"/>
          <w:rFonts w:ascii="Times New Roman" w:hAnsi="Times New Roman"/>
          <w:sz w:val="24"/>
        </w:rPr>
        <w:footnoteReference w:id="52"/>
      </w:r>
      <w:r w:rsidRPr="00F2125E">
        <w:rPr>
          <w:rFonts w:ascii="Times New Roman" w:hAnsi="Times New Roman"/>
        </w:rPr>
        <w:t xml:space="preserve"> The courts have declined to recognise authority over any matter that is properly considered to fall within the scope of the exclusive cognisance of Parliament.</w:t>
      </w:r>
    </w:p>
    <w:p w14:paraId="7BCAC0B5"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Three anterior questions should be answered </w:t>
      </w:r>
      <w:proofErr w:type="gramStart"/>
      <w:r w:rsidRPr="00F2125E">
        <w:rPr>
          <w:rFonts w:ascii="Times New Roman" w:hAnsi="Times New Roman"/>
        </w:rPr>
        <w:t>in order to</w:t>
      </w:r>
      <w:proofErr w:type="gramEnd"/>
      <w:r w:rsidRPr="00F2125E">
        <w:rPr>
          <w:rFonts w:ascii="Times New Roman" w:hAnsi="Times New Roman"/>
        </w:rPr>
        <w:t xml:space="preserve"> determine whether the dispute concerning s 16(1) of the </w:t>
      </w:r>
      <w:r w:rsidRPr="00F2125E">
        <w:rPr>
          <w:rFonts w:ascii="Times New Roman" w:hAnsi="Times New Roman"/>
          <w:i/>
          <w:iCs/>
        </w:rPr>
        <w:t xml:space="preserve">Public Works Committee Act </w:t>
      </w:r>
      <w:r w:rsidRPr="00F2125E">
        <w:rPr>
          <w:rFonts w:ascii="Times New Roman" w:hAnsi="Times New Roman"/>
        </w:rPr>
        <w:t xml:space="preserve">properly falls within the exclusive cognisance of the Tasmanian Parliament so that a court should not adjudicate upon the alleged contravention by Hazell Bros of s 16(1) as agent of an Executive body. First, who owes the duty that is imposed by s 16(1) of the </w:t>
      </w:r>
      <w:r w:rsidRPr="00F2125E">
        <w:rPr>
          <w:rFonts w:ascii="Times New Roman" w:hAnsi="Times New Roman"/>
          <w:i/>
          <w:iCs/>
        </w:rPr>
        <w:t>Public Works Committee Act</w:t>
      </w:r>
      <w:r w:rsidRPr="00F2125E">
        <w:rPr>
          <w:rFonts w:ascii="Times New Roman" w:hAnsi="Times New Roman"/>
        </w:rPr>
        <w:t xml:space="preserve">? </w:t>
      </w:r>
      <w:proofErr w:type="gramStart"/>
      <w:r w:rsidRPr="00F2125E">
        <w:rPr>
          <w:rFonts w:ascii="Times New Roman" w:hAnsi="Times New Roman"/>
        </w:rPr>
        <w:t>In particular, is</w:t>
      </w:r>
      <w:proofErr w:type="gramEnd"/>
      <w:r w:rsidRPr="00F2125E">
        <w:rPr>
          <w:rFonts w:ascii="Times New Roman" w:hAnsi="Times New Roman"/>
        </w:rPr>
        <w:t xml:space="preserve"> that duty imposed only on the Executive Government or on all persons? Secondly, what is the content of the duty? </w:t>
      </w:r>
      <w:proofErr w:type="gramStart"/>
      <w:r w:rsidRPr="00F2125E">
        <w:rPr>
          <w:rFonts w:ascii="Times New Roman" w:hAnsi="Times New Roman"/>
        </w:rPr>
        <w:t>In particular, to</w:t>
      </w:r>
      <w:proofErr w:type="gramEnd"/>
      <w:r w:rsidRPr="00F2125E">
        <w:rPr>
          <w:rFonts w:ascii="Times New Roman" w:hAnsi="Times New Roman"/>
        </w:rPr>
        <w:t xml:space="preserve"> what extent does the duty concern questioning matters involving the internal proceedings of Parliament, with the effect that judicial adjudication of a breach of the duty in s 16(1) could infringe Art 9 of the </w:t>
      </w:r>
      <w:r w:rsidRPr="00F2125E">
        <w:rPr>
          <w:rFonts w:ascii="Times New Roman" w:hAnsi="Times New Roman"/>
          <w:i/>
          <w:iCs/>
        </w:rPr>
        <w:t>Bill of Rights</w:t>
      </w:r>
      <w:r w:rsidRPr="00F2125E">
        <w:rPr>
          <w:rFonts w:ascii="Times New Roman" w:hAnsi="Times New Roman"/>
        </w:rPr>
        <w:t xml:space="preserve">? Thirdly, to whom is the duty in s 16(1) owed? </w:t>
      </w:r>
      <w:proofErr w:type="gramStart"/>
      <w:r w:rsidRPr="00F2125E">
        <w:rPr>
          <w:rFonts w:ascii="Times New Roman" w:hAnsi="Times New Roman"/>
        </w:rPr>
        <w:t>In particular, is</w:t>
      </w:r>
      <w:proofErr w:type="gramEnd"/>
      <w:r w:rsidRPr="00F2125E">
        <w:rPr>
          <w:rFonts w:ascii="Times New Roman" w:hAnsi="Times New Roman"/>
        </w:rPr>
        <w:t xml:space="preserve"> the duty owed to Parliament or to the public generally?</w:t>
      </w:r>
    </w:p>
    <w:p w14:paraId="2C4FE44E"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The answer to each question is as follows: (</w:t>
      </w:r>
      <w:proofErr w:type="spellStart"/>
      <w:r w:rsidRPr="00F2125E">
        <w:rPr>
          <w:rFonts w:ascii="Times New Roman" w:hAnsi="Times New Roman"/>
        </w:rPr>
        <w:t>i</w:t>
      </w:r>
      <w:proofErr w:type="spellEnd"/>
      <w:r w:rsidRPr="00F2125E">
        <w:rPr>
          <w:rFonts w:ascii="Times New Roman" w:hAnsi="Times New Roman"/>
        </w:rPr>
        <w:t>) the Executive Government ("general government sector bod[</w:t>
      </w:r>
      <w:proofErr w:type="spellStart"/>
      <w:r w:rsidRPr="00F2125E">
        <w:rPr>
          <w:rFonts w:ascii="Times New Roman" w:hAnsi="Times New Roman"/>
        </w:rPr>
        <w:t>ies</w:t>
      </w:r>
      <w:proofErr w:type="spellEnd"/>
      <w:r w:rsidRPr="00F2125E">
        <w:rPr>
          <w:rFonts w:ascii="Times New Roman" w:hAnsi="Times New Roman"/>
        </w:rPr>
        <w:t xml:space="preserve">]") owes the duty that is imposed by s 16(1) of the </w:t>
      </w:r>
      <w:r w:rsidRPr="00F2125E">
        <w:rPr>
          <w:rFonts w:ascii="Times New Roman" w:hAnsi="Times New Roman"/>
          <w:i/>
          <w:iCs/>
        </w:rPr>
        <w:t>Public Works Committee Act</w:t>
      </w:r>
      <w:r w:rsidRPr="00F2125E">
        <w:rPr>
          <w:rFonts w:ascii="Times New Roman" w:hAnsi="Times New Roman"/>
        </w:rPr>
        <w:t xml:space="preserve">; (ii) in some circumstances, hearing evidence or adjudicating upon submissions concerning a claim alleging breach of the duty in s 16(1) might infringe Art 9 of the </w:t>
      </w:r>
      <w:r w:rsidRPr="00F2125E">
        <w:rPr>
          <w:rFonts w:ascii="Times New Roman" w:hAnsi="Times New Roman"/>
          <w:i/>
          <w:iCs/>
        </w:rPr>
        <w:t xml:space="preserve">Bill of Rights </w:t>
      </w:r>
      <w:r w:rsidRPr="00F2125E">
        <w:rPr>
          <w:rFonts w:ascii="Times New Roman" w:hAnsi="Times New Roman"/>
        </w:rPr>
        <w:t>because the duty relates to the Committee which is comprised of Members of Parliament; and (iii) the duty is owed by general government sector bodies to Parliament.</w:t>
      </w:r>
    </w:p>
    <w:p w14:paraId="0FF64441"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The consequence of these answers is that the duty in s 16(1) is created by Parliament, owed to Parliament, and related to the activities of Members of Parliament. The entirety of Mr </w:t>
      </w:r>
      <w:proofErr w:type="spellStart"/>
      <w:r w:rsidRPr="00F2125E">
        <w:rPr>
          <w:rFonts w:ascii="Times New Roman" w:hAnsi="Times New Roman"/>
        </w:rPr>
        <w:t>Casimaty's</w:t>
      </w:r>
      <w:proofErr w:type="spellEnd"/>
      <w:r w:rsidRPr="00F2125E">
        <w:rPr>
          <w:rFonts w:ascii="Times New Roman" w:hAnsi="Times New Roman"/>
        </w:rPr>
        <w:t xml:space="preserve"> claim of contravention of s 16(1) is within the exclusive cognisance of the Parliament of Tasmania. The Supreme Court of Tasmania should not adjudicate upon the alleged contravention of s 16(1).</w:t>
      </w:r>
    </w:p>
    <w:p w14:paraId="75A522C3" w14:textId="77777777" w:rsidR="005C789E" w:rsidRPr="00F2125E" w:rsidRDefault="005C789E" w:rsidP="00F2125E">
      <w:pPr>
        <w:pStyle w:val="HeadingL1"/>
        <w:spacing w:after="260" w:line="280" w:lineRule="exact"/>
        <w:ind w:right="0"/>
        <w:jc w:val="both"/>
        <w:rPr>
          <w:rFonts w:ascii="Times New Roman" w:hAnsi="Times New Roman"/>
        </w:rPr>
      </w:pPr>
      <w:r w:rsidRPr="00F2125E">
        <w:rPr>
          <w:rFonts w:ascii="Times New Roman" w:hAnsi="Times New Roman"/>
        </w:rPr>
        <w:lastRenderedPageBreak/>
        <w:t xml:space="preserve">(1) Who owes the duty in s 16(1) of the </w:t>
      </w:r>
      <w:r w:rsidRPr="00F2125E">
        <w:rPr>
          <w:rFonts w:ascii="Times New Roman" w:hAnsi="Times New Roman"/>
          <w:i/>
          <w:iCs/>
        </w:rPr>
        <w:t>Public Works Committee Act</w:t>
      </w:r>
      <w:r w:rsidRPr="00F2125E">
        <w:rPr>
          <w:rFonts w:ascii="Times New Roman" w:hAnsi="Times New Roman"/>
        </w:rPr>
        <w:t xml:space="preserve">? </w:t>
      </w:r>
    </w:p>
    <w:p w14:paraId="5B339909"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In its present terms, s 16(1) of the </w:t>
      </w:r>
      <w:r w:rsidRPr="00F2125E">
        <w:rPr>
          <w:rFonts w:ascii="Times New Roman" w:hAnsi="Times New Roman"/>
          <w:i/>
          <w:iCs/>
        </w:rPr>
        <w:t>Public Works Committee Act</w:t>
      </w:r>
      <w:r w:rsidRPr="00F2125E">
        <w:rPr>
          <w:rFonts w:ascii="Times New Roman" w:hAnsi="Times New Roman"/>
        </w:rPr>
        <w:t xml:space="preserve"> imposes a duty not to commence public work (which is estimated to exceed a monetary threshold</w:t>
      </w:r>
      <w:r w:rsidRPr="00F2125E">
        <w:rPr>
          <w:rStyle w:val="FootnoteReference"/>
          <w:rFonts w:ascii="Times New Roman" w:hAnsi="Times New Roman"/>
          <w:sz w:val="24"/>
        </w:rPr>
        <w:footnoteReference w:id="53"/>
      </w:r>
      <w:r w:rsidRPr="00F2125E">
        <w:rPr>
          <w:rFonts w:ascii="Times New Roman" w:hAnsi="Times New Roman"/>
        </w:rPr>
        <w:t xml:space="preserve">) until the public work has been referred to and reported on by the Committee in accordance with s 16. Section 16(5) provides that if the Committee does not recommend the carrying out of the </w:t>
      </w:r>
      <w:proofErr w:type="gramStart"/>
      <w:r w:rsidRPr="00F2125E">
        <w:rPr>
          <w:rFonts w:ascii="Times New Roman" w:hAnsi="Times New Roman"/>
        </w:rPr>
        <w:t>work</w:t>
      </w:r>
      <w:proofErr w:type="gramEnd"/>
      <w:r w:rsidRPr="00F2125E">
        <w:rPr>
          <w:rFonts w:ascii="Times New Roman" w:hAnsi="Times New Roman"/>
        </w:rPr>
        <w:t xml:space="preserve"> then the work "shall not be commenced unless and until it has been authorized by an Act". Section 2 defines "public work" to mean building or construction works and road or bridges works.</w:t>
      </w:r>
    </w:p>
    <w:p w14:paraId="6582D465"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The Tasmanian Parliament has identified the persons who owe the duty in s 16(1) with increasing precision in various amendments to the </w:t>
      </w:r>
      <w:r w:rsidRPr="00F2125E">
        <w:rPr>
          <w:rFonts w:ascii="Times New Roman" w:hAnsi="Times New Roman"/>
          <w:i/>
          <w:iCs/>
        </w:rPr>
        <w:t>Public Works Committee Act</w:t>
      </w:r>
      <w:r w:rsidRPr="00F2125E">
        <w:rPr>
          <w:rFonts w:ascii="Times New Roman" w:hAnsi="Times New Roman"/>
        </w:rPr>
        <w:t xml:space="preserve">. Prior to 2009, the persons to whom s 16(1) was directed </w:t>
      </w:r>
      <w:r>
        <w:rPr>
          <w:rFonts w:ascii="Times New Roman" w:hAnsi="Times New Roman"/>
        </w:rPr>
        <w:t>were</w:t>
      </w:r>
      <w:r w:rsidRPr="00F2125E">
        <w:rPr>
          <w:rFonts w:ascii="Times New Roman" w:hAnsi="Times New Roman"/>
        </w:rPr>
        <w:t xml:space="preserve"> not expressed with clarity. As originally enacted in 1915, the </w:t>
      </w:r>
      <w:r w:rsidRPr="00F2125E">
        <w:rPr>
          <w:rFonts w:ascii="Times New Roman" w:hAnsi="Times New Roman"/>
          <w:i/>
          <w:iCs/>
        </w:rPr>
        <w:t xml:space="preserve">Public Works Committee Act </w:t>
      </w:r>
      <w:r w:rsidRPr="00F2125E">
        <w:rPr>
          <w:rFonts w:ascii="Times New Roman" w:hAnsi="Times New Roman"/>
        </w:rPr>
        <w:t>provided in s 16(1) that, subject to a monetary threshold or prior authorisation by Parliament, "[n]o public work of any kind whatever ... shall be commenced unless sanctioned as in this section provided". The section set out a process for parliamentary approval of the public work. The previous section, s 15, obliged the Committee to consider and report on all such proposed public works for which parliamentary approval was required. On its face, s 16 was apparently directed at every person who commences public work. In substance, however, public work would only be commenced by persons acting for or on behalf of public bodies. This was clarified by amendments beginning in 1964.</w:t>
      </w:r>
    </w:p>
    <w:p w14:paraId="671B16A2"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In 1964, amendments to s 16(1) altered the terms of that provision from referring to public work "of any kind whatever" to refer to public work "to which section fifteen applies".</w:t>
      </w:r>
      <w:r w:rsidRPr="00F2125E">
        <w:rPr>
          <w:rStyle w:val="FootnoteReference"/>
          <w:rFonts w:ascii="Times New Roman" w:hAnsi="Times New Roman"/>
          <w:sz w:val="24"/>
        </w:rPr>
        <w:footnoteReference w:id="54"/>
      </w:r>
      <w:r w:rsidRPr="00F2125E">
        <w:rPr>
          <w:rFonts w:ascii="Times New Roman" w:hAnsi="Times New Roman"/>
        </w:rPr>
        <w:t xml:space="preserve"> The 1964 amendments also amended the application of s 15 from any public work "for which Parliamentary authority is required" to works "the cost of which is to be defrayed out of the Loan Fund".</w:t>
      </w:r>
      <w:r w:rsidRPr="00F2125E">
        <w:rPr>
          <w:rStyle w:val="FootnoteReference"/>
          <w:rFonts w:ascii="Times New Roman" w:hAnsi="Times New Roman"/>
          <w:sz w:val="24"/>
        </w:rPr>
        <w:footnoteReference w:id="55"/>
      </w:r>
      <w:r w:rsidRPr="00F2125E">
        <w:rPr>
          <w:rFonts w:ascii="Times New Roman" w:hAnsi="Times New Roman"/>
        </w:rPr>
        <w:t xml:space="preserve"> The "Loan Fund" was not defined in the 1964 amendments.</w:t>
      </w:r>
    </w:p>
    <w:p w14:paraId="15402CEE"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By amendments to the </w:t>
      </w:r>
      <w:r w:rsidRPr="00F2125E">
        <w:rPr>
          <w:rFonts w:ascii="Times New Roman" w:hAnsi="Times New Roman"/>
          <w:i/>
          <w:iCs/>
        </w:rPr>
        <w:t xml:space="preserve">Public Works Committee Act </w:t>
      </w:r>
      <w:r w:rsidRPr="00F2125E">
        <w:rPr>
          <w:rFonts w:ascii="Times New Roman" w:hAnsi="Times New Roman"/>
        </w:rPr>
        <w:t>in 2009,</w:t>
      </w:r>
      <w:r w:rsidRPr="00F2125E">
        <w:rPr>
          <w:rStyle w:val="FootnoteReference"/>
          <w:rFonts w:ascii="Times New Roman" w:hAnsi="Times New Roman"/>
          <w:sz w:val="24"/>
        </w:rPr>
        <w:footnoteReference w:id="56"/>
      </w:r>
      <w:r w:rsidRPr="00F2125E">
        <w:rPr>
          <w:rFonts w:ascii="Times New Roman" w:hAnsi="Times New Roman"/>
        </w:rPr>
        <w:t xml:space="preserve"> the duty upon any person not to engage in public work without compliance with the "conditions precedent" in s 16 was expressed as a duty upon general government sector bodies. Since 2009, the prohibitive words in s 16 ("[n]o public work to </w:t>
      </w:r>
      <w:r w:rsidRPr="00F2125E">
        <w:rPr>
          <w:rFonts w:ascii="Times New Roman" w:hAnsi="Times New Roman"/>
        </w:rPr>
        <w:lastRenderedPageBreak/>
        <w:t>which section fifteen applies ... shall be commenced") reveal the content of s 16(1) to depend upon the terms of s 15 which, subject to a resolution of Parliament, require the consideration of and reporting on by the Committee of "every public work that is proposed to be undertaken by a general government sector body" where the estimated cost exceeds the relevant monetary threshold.</w:t>
      </w:r>
      <w:r w:rsidRPr="00F2125E">
        <w:rPr>
          <w:rStyle w:val="FootnoteReference"/>
          <w:rFonts w:ascii="Times New Roman" w:hAnsi="Times New Roman"/>
          <w:sz w:val="24"/>
        </w:rPr>
        <w:footnoteReference w:id="57"/>
      </w:r>
    </w:p>
    <w:p w14:paraId="5A086566"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When s 16(1) is read with s 15, therefore, and consistently with the concern of those sections only with "public work", the duty in s 16(1) is imposed upon "a general government sector body". The duty in s 16(1) is therefore concerned only with ensuring that a general government sector body does not commence public work without a reference to the Committee and a report of the Committee recommending the work.</w:t>
      </w:r>
    </w:p>
    <w:p w14:paraId="0F26EA13"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A "general government sector body" is defined in s 15(3) as "a </w:t>
      </w:r>
      <w:proofErr w:type="gramStart"/>
      <w:r w:rsidRPr="00F2125E">
        <w:rPr>
          <w:rFonts w:ascii="Times New Roman" w:hAnsi="Times New Roman"/>
        </w:rPr>
        <w:t>Government</w:t>
      </w:r>
      <w:proofErr w:type="gramEnd"/>
      <w:r w:rsidRPr="00F2125E">
        <w:rPr>
          <w:rFonts w:ascii="Times New Roman" w:hAnsi="Times New Roman"/>
        </w:rPr>
        <w:t xml:space="preserve"> department within the meaning of the </w:t>
      </w:r>
      <w:r w:rsidRPr="00F2125E">
        <w:rPr>
          <w:rFonts w:ascii="Times New Roman" w:hAnsi="Times New Roman"/>
          <w:i/>
          <w:iCs/>
        </w:rPr>
        <w:t>State Service Act 2000</w:t>
      </w:r>
      <w:r w:rsidRPr="00F2125E">
        <w:rPr>
          <w:rFonts w:ascii="Times New Roman" w:hAnsi="Times New Roman"/>
        </w:rPr>
        <w:t xml:space="preserve">" and "any State authority classified as an entity within the general government sector in the Treasurer's annual report". This definition, combined with the definition of a "State authority" in s 15(3), has the effect that a general government sector body might be a legal person (such as an incorporated State authority), but also might not be a legal person (such as an unincorporated government department or a </w:t>
      </w:r>
      <w:proofErr w:type="gramStart"/>
      <w:r w:rsidRPr="00F2125E">
        <w:rPr>
          <w:rFonts w:ascii="Times New Roman" w:hAnsi="Times New Roman"/>
        </w:rPr>
        <w:t>State</w:t>
      </w:r>
      <w:proofErr w:type="gramEnd"/>
      <w:r w:rsidRPr="00F2125E">
        <w:rPr>
          <w:rFonts w:ascii="Times New Roman" w:hAnsi="Times New Roman"/>
        </w:rPr>
        <w:t xml:space="preserve"> authority established under a written law or royal prerogative that is not incorporated). If the "general government sector body" is not a legal person then the duty in s 16(1) is owed by the body politic of the State of Tasmania, performing the work through its Executive.</w:t>
      </w:r>
      <w:r w:rsidRPr="00F2125E">
        <w:rPr>
          <w:rStyle w:val="FootnoteReference"/>
          <w:rFonts w:ascii="Times New Roman" w:hAnsi="Times New Roman"/>
          <w:sz w:val="24"/>
        </w:rPr>
        <w:footnoteReference w:id="58"/>
      </w:r>
      <w:r w:rsidRPr="00F2125E">
        <w:rPr>
          <w:rFonts w:ascii="Times New Roman" w:hAnsi="Times New Roman"/>
        </w:rPr>
        <w:t xml:space="preserve"> It is convenient in these reasons to refer to the relevant duty holder simply as a "general government sector body".</w:t>
      </w:r>
    </w:p>
    <w:p w14:paraId="62EEA395"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A general government sector body will usually perform work through contractors, including the natural persons engaged by Hazell Bros. Hence, if an injunction could issue against a general government sector body to restrain breach of s 16(1), the injunction could also extend to named agents of the general government sector body. But, by s 15, the legal person who undertakes the work, and therefore the only legal person subject to the duty in s 16(1), is the "general government sector body".</w:t>
      </w:r>
    </w:p>
    <w:p w14:paraId="78066C4F" w14:textId="77777777" w:rsidR="005C789E" w:rsidRPr="00F2125E" w:rsidRDefault="005C789E" w:rsidP="00F2125E">
      <w:pPr>
        <w:pStyle w:val="HeadingL1"/>
        <w:spacing w:after="260" w:line="280" w:lineRule="exact"/>
        <w:ind w:right="0"/>
        <w:jc w:val="both"/>
        <w:rPr>
          <w:rFonts w:ascii="Times New Roman" w:hAnsi="Times New Roman"/>
        </w:rPr>
      </w:pPr>
      <w:r w:rsidRPr="00F2125E">
        <w:rPr>
          <w:rFonts w:ascii="Times New Roman" w:hAnsi="Times New Roman"/>
        </w:rPr>
        <w:lastRenderedPageBreak/>
        <w:t xml:space="preserve">(2) What is the scope and content of the duty in s 16(1) of the </w:t>
      </w:r>
      <w:r w:rsidRPr="00F2125E">
        <w:rPr>
          <w:rFonts w:ascii="Times New Roman" w:hAnsi="Times New Roman"/>
          <w:i/>
          <w:iCs/>
        </w:rPr>
        <w:t>Public Works Committee Act</w:t>
      </w:r>
      <w:r w:rsidRPr="00F2125E">
        <w:rPr>
          <w:rFonts w:ascii="Times New Roman" w:hAnsi="Times New Roman"/>
        </w:rPr>
        <w:t xml:space="preserve">? </w:t>
      </w:r>
    </w:p>
    <w:p w14:paraId="29760318" w14:textId="77777777" w:rsidR="005C789E" w:rsidRPr="00F2125E" w:rsidRDefault="005C789E" w:rsidP="00F2125E">
      <w:pPr>
        <w:pStyle w:val="HeadingL2"/>
        <w:spacing w:after="260" w:line="280" w:lineRule="exact"/>
        <w:ind w:right="0"/>
        <w:jc w:val="both"/>
        <w:rPr>
          <w:rFonts w:ascii="Times New Roman" w:hAnsi="Times New Roman"/>
        </w:rPr>
      </w:pPr>
      <w:r w:rsidRPr="00F2125E">
        <w:rPr>
          <w:rFonts w:ascii="Times New Roman" w:hAnsi="Times New Roman"/>
        </w:rPr>
        <w:t>No question of either federal jurisdiction or the jurisdiction of a general government sector body</w:t>
      </w:r>
    </w:p>
    <w:p w14:paraId="2F6174E1"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The action that Mr </w:t>
      </w:r>
      <w:proofErr w:type="spellStart"/>
      <w:r w:rsidRPr="00F2125E">
        <w:rPr>
          <w:rFonts w:ascii="Times New Roman" w:hAnsi="Times New Roman"/>
        </w:rPr>
        <w:t>Casimaty</w:t>
      </w:r>
      <w:proofErr w:type="spellEnd"/>
      <w:r w:rsidRPr="00F2125E">
        <w:rPr>
          <w:rFonts w:ascii="Times New Roman" w:hAnsi="Times New Roman"/>
        </w:rPr>
        <w:t xml:space="preserve"> sought to bring concerned a State highway near Hobart Airport. It was common ground that, as pleaded in Hazell Bros' defence, there were State appropriations that related to the road works. The action did not engage federal jurisdiction. Had it done so, an analysis of whether adjudication upon the scope and content of the duty would extend "the court's true function into a domain that does not belong to it" could intersect with an examination of whether there was a "matter".</w:t>
      </w:r>
      <w:r w:rsidRPr="00F2125E">
        <w:rPr>
          <w:rStyle w:val="FootnoteReference"/>
          <w:rFonts w:ascii="Times New Roman" w:hAnsi="Times New Roman"/>
          <w:sz w:val="24"/>
        </w:rPr>
        <w:footnoteReference w:id="59"/>
      </w:r>
    </w:p>
    <w:p w14:paraId="48CDA851"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A more difficult issue is whether the action alleging breach of s 16(1) concerns the jurisdiction, or legal authority, of a general government sector body to engage in the public work. </w:t>
      </w:r>
      <w:r w:rsidRPr="00F2125E">
        <w:rPr>
          <w:rFonts w:ascii="Times New Roman" w:hAnsi="Times New Roman"/>
          <w:iCs/>
        </w:rPr>
        <w:t>On one view, this is suggested by t</w:t>
      </w:r>
      <w:r w:rsidRPr="00F2125E">
        <w:rPr>
          <w:rFonts w:ascii="Times New Roman" w:hAnsi="Times New Roman"/>
        </w:rPr>
        <w:t>he words "[c]</w:t>
      </w:r>
      <w:proofErr w:type="spellStart"/>
      <w:r w:rsidRPr="00F2125E">
        <w:rPr>
          <w:rFonts w:ascii="Times New Roman" w:hAnsi="Times New Roman"/>
        </w:rPr>
        <w:t>onditions</w:t>
      </w:r>
      <w:proofErr w:type="spellEnd"/>
      <w:r w:rsidRPr="00F2125E">
        <w:rPr>
          <w:rFonts w:ascii="Times New Roman" w:hAnsi="Times New Roman"/>
        </w:rPr>
        <w:t xml:space="preserve"> precedent to commencing public works" in the heading to s 16 of the </w:t>
      </w:r>
      <w:r w:rsidRPr="00F2125E">
        <w:rPr>
          <w:rFonts w:ascii="Times New Roman" w:hAnsi="Times New Roman"/>
          <w:i/>
          <w:iCs/>
        </w:rPr>
        <w:t>Public Works Committee Act</w:t>
      </w:r>
      <w:r w:rsidRPr="00F2125E">
        <w:rPr>
          <w:rFonts w:ascii="Times New Roman" w:hAnsi="Times New Roman"/>
        </w:rPr>
        <w:t>. The heading is not part of the Act but is extrinsic material which can be used in the interpretation of the Act.</w:t>
      </w:r>
      <w:r w:rsidRPr="00F2125E">
        <w:rPr>
          <w:rStyle w:val="FootnoteReference"/>
          <w:rFonts w:ascii="Times New Roman" w:hAnsi="Times New Roman"/>
          <w:sz w:val="24"/>
        </w:rPr>
        <w:footnoteReference w:id="60"/>
      </w:r>
      <w:r w:rsidRPr="00F2125E">
        <w:rPr>
          <w:rFonts w:ascii="Times New Roman" w:hAnsi="Times New Roman"/>
        </w:rPr>
        <w:t xml:space="preserve"> The heading immediately invites the question: "Precedent to what?"</w:t>
      </w:r>
      <w:r w:rsidRPr="00F2125E">
        <w:rPr>
          <w:rStyle w:val="FootnoteReference"/>
          <w:rFonts w:ascii="Times New Roman" w:hAnsi="Times New Roman"/>
          <w:sz w:val="24"/>
        </w:rPr>
        <w:footnoteReference w:id="61"/>
      </w:r>
      <w:r w:rsidRPr="00F2125E">
        <w:rPr>
          <w:rFonts w:ascii="Times New Roman" w:hAnsi="Times New Roman"/>
        </w:rPr>
        <w:t xml:space="preserve"> Is the reference to "commencing public works" a reference to the </w:t>
      </w:r>
      <w:r w:rsidRPr="00F2125E">
        <w:rPr>
          <w:rFonts w:ascii="Times New Roman" w:hAnsi="Times New Roman"/>
          <w:i/>
          <w:iCs/>
        </w:rPr>
        <w:t xml:space="preserve">authority </w:t>
      </w:r>
      <w:r w:rsidRPr="00F2125E">
        <w:rPr>
          <w:rFonts w:ascii="Times New Roman" w:hAnsi="Times New Roman"/>
        </w:rPr>
        <w:t xml:space="preserve">to commence public works? Or is it a reference to the </w:t>
      </w:r>
      <w:r w:rsidRPr="00F2125E">
        <w:rPr>
          <w:rFonts w:ascii="Times New Roman" w:hAnsi="Times New Roman"/>
          <w:i/>
          <w:iCs/>
        </w:rPr>
        <w:t xml:space="preserve">action </w:t>
      </w:r>
      <w:r w:rsidRPr="00F2125E">
        <w:rPr>
          <w:rFonts w:ascii="Times New Roman" w:hAnsi="Times New Roman"/>
        </w:rPr>
        <w:t>of commencing public works?</w:t>
      </w:r>
    </w:p>
    <w:p w14:paraId="14BEF755"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In public law, the usual answer is that a condition precedent means a condition precedent to the </w:t>
      </w:r>
      <w:r w:rsidRPr="00F2125E">
        <w:rPr>
          <w:rFonts w:ascii="Times New Roman" w:hAnsi="Times New Roman"/>
          <w:i/>
          <w:iCs/>
        </w:rPr>
        <w:t>authority</w:t>
      </w:r>
      <w:r w:rsidRPr="00F2125E">
        <w:rPr>
          <w:rFonts w:ascii="Times New Roman" w:hAnsi="Times New Roman"/>
        </w:rPr>
        <w:t xml:space="preserve"> of the Executive to act.</w:t>
      </w:r>
      <w:r w:rsidRPr="00F2125E">
        <w:rPr>
          <w:rStyle w:val="FootnoteReference"/>
          <w:rFonts w:ascii="Times New Roman" w:hAnsi="Times New Roman"/>
          <w:sz w:val="24"/>
        </w:rPr>
        <w:footnoteReference w:id="62"/>
      </w:r>
      <w:r w:rsidRPr="00F2125E">
        <w:rPr>
          <w:rFonts w:ascii="Times New Roman" w:hAnsi="Times New Roman"/>
        </w:rPr>
        <w:t xml:space="preserve"> However, the expression "condition precedent" is sometimes used more colloquially to mean some event prior to ("precedent to") the </w:t>
      </w:r>
      <w:r w:rsidRPr="00F2125E">
        <w:rPr>
          <w:rFonts w:ascii="Times New Roman" w:hAnsi="Times New Roman"/>
          <w:i/>
          <w:iCs/>
        </w:rPr>
        <w:t>action</w:t>
      </w:r>
      <w:r w:rsidRPr="00F2125E">
        <w:rPr>
          <w:rFonts w:ascii="Times New Roman" w:hAnsi="Times New Roman"/>
        </w:rPr>
        <w:t xml:space="preserve"> involving the exercise of a statutory power. In this latter colloquial sense, the expression has been described as "regulating the exercise of a statutory power" by imposing a duty upon the person before the </w:t>
      </w:r>
      <w:r w:rsidRPr="00F2125E">
        <w:rPr>
          <w:rFonts w:ascii="Times New Roman" w:hAnsi="Times New Roman"/>
          <w:i/>
          <w:iCs/>
        </w:rPr>
        <w:t xml:space="preserve">action </w:t>
      </w:r>
      <w:r w:rsidRPr="00F2125E">
        <w:rPr>
          <w:rFonts w:ascii="Times New Roman" w:hAnsi="Times New Roman"/>
        </w:rPr>
        <w:t>involved in exercise of the power, but not invalidating the exercise of power if the duty is breached.</w:t>
      </w:r>
      <w:r w:rsidRPr="00F2125E">
        <w:rPr>
          <w:rStyle w:val="FootnoteReference"/>
          <w:rFonts w:ascii="Times New Roman" w:hAnsi="Times New Roman"/>
          <w:sz w:val="24"/>
        </w:rPr>
        <w:footnoteReference w:id="63"/>
      </w:r>
      <w:r w:rsidRPr="00F2125E">
        <w:rPr>
          <w:rFonts w:ascii="Times New Roman" w:hAnsi="Times New Roman"/>
        </w:rPr>
        <w:t xml:space="preserve"> That is how the expression "[c]</w:t>
      </w:r>
      <w:proofErr w:type="spellStart"/>
      <w:r w:rsidRPr="00F2125E">
        <w:rPr>
          <w:rFonts w:ascii="Times New Roman" w:hAnsi="Times New Roman"/>
        </w:rPr>
        <w:t>onditions</w:t>
      </w:r>
      <w:proofErr w:type="spellEnd"/>
      <w:r w:rsidRPr="00F2125E">
        <w:rPr>
          <w:rFonts w:ascii="Times New Roman" w:hAnsi="Times New Roman"/>
        </w:rPr>
        <w:t xml:space="preserve"> precedent" is used in the heading to s 16.</w:t>
      </w:r>
    </w:p>
    <w:p w14:paraId="7D232B6D"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lastRenderedPageBreak/>
        <w:tab/>
        <w:t>By s 16(1), a general government sector body that proposes to undertake public work has an obligation not to commence the work until the occurrence of the "conditions precedent" culminating in a report by the Committee. By s 16(5), the general government sector body has an obligation not to commence the work until the condition precedent occurs of the Committee recommending the carrying out of the work (or until the work is otherwise authorised by an Act). The action of performing the work by a general government sector body is not invalid, and the work is not legally lacking in authority, in the absence of any of the precedent events (referring of the public work to the Committee, reporting on the work by the Committee and a recommendation by the Committee that the work be carried out).</w:t>
      </w:r>
    </w:p>
    <w:p w14:paraId="4945F39A"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The authority of a general government sector body to commence public work without compliance with the "conditions precedent" is an example of the colloquial use of the phrase "conditions precedent". There are several matters that support this conclusion that s 16 uses the phrase "conditions precedent" in a colloquial sense: (</w:t>
      </w:r>
      <w:proofErr w:type="spellStart"/>
      <w:r w:rsidRPr="00F2125E">
        <w:rPr>
          <w:rFonts w:ascii="Times New Roman" w:hAnsi="Times New Roman"/>
        </w:rPr>
        <w:t>i</w:t>
      </w:r>
      <w:proofErr w:type="spellEnd"/>
      <w:r w:rsidRPr="00F2125E">
        <w:rPr>
          <w:rFonts w:ascii="Times New Roman" w:hAnsi="Times New Roman"/>
        </w:rPr>
        <w:t>) the variety of different, and separate, statutory and non-statutory powers the exercise of which might be affected by s 16(1), given the expansive definition of "public work"; (ii) the variety of ways in which s 16(1) could be breached; and (iii) the potential difficulty in identifying a breach in some cases.</w:t>
      </w:r>
      <w:r w:rsidRPr="00F2125E">
        <w:rPr>
          <w:rStyle w:val="FootnoteReference"/>
          <w:rFonts w:ascii="Times New Roman" w:hAnsi="Times New Roman"/>
          <w:sz w:val="24"/>
        </w:rPr>
        <w:footnoteReference w:id="64"/>
      </w:r>
      <w:r w:rsidRPr="00F2125E">
        <w:rPr>
          <w:rFonts w:ascii="Times New Roman" w:hAnsi="Times New Roman"/>
        </w:rPr>
        <w:t xml:space="preserve"> In this case, the works were undertaken under statutory powers concerning public highways in Pt II of the </w:t>
      </w:r>
      <w:r w:rsidRPr="00F2125E">
        <w:rPr>
          <w:rFonts w:ascii="Times New Roman" w:hAnsi="Times New Roman"/>
          <w:i/>
          <w:iCs/>
        </w:rPr>
        <w:t xml:space="preserve">Roads and Jetties Act 1935 </w:t>
      </w:r>
      <w:r w:rsidRPr="00F2125E">
        <w:rPr>
          <w:rFonts w:ascii="Times New Roman" w:hAnsi="Times New Roman"/>
        </w:rPr>
        <w:t>(Tas).</w:t>
      </w:r>
    </w:p>
    <w:p w14:paraId="1B9F304B" w14:textId="77777777" w:rsidR="005C789E" w:rsidRPr="00F2125E" w:rsidRDefault="005C789E" w:rsidP="00F2125E">
      <w:pPr>
        <w:pStyle w:val="HeadingL2"/>
        <w:spacing w:after="260" w:line="280" w:lineRule="exact"/>
        <w:ind w:right="0"/>
        <w:jc w:val="both"/>
        <w:rPr>
          <w:rFonts w:ascii="Times New Roman" w:hAnsi="Times New Roman"/>
        </w:rPr>
      </w:pPr>
      <w:r w:rsidRPr="00F2125E">
        <w:rPr>
          <w:rFonts w:ascii="Times New Roman" w:hAnsi="Times New Roman"/>
        </w:rPr>
        <w:t>Matters protected by parliamentary privilege in any adjudication of s </w:t>
      </w:r>
      <w:proofErr w:type="gramStart"/>
      <w:r w:rsidRPr="00F2125E">
        <w:rPr>
          <w:rFonts w:ascii="Times New Roman" w:hAnsi="Times New Roman"/>
        </w:rPr>
        <w:t>16(1)</w:t>
      </w:r>
      <w:proofErr w:type="gramEnd"/>
    </w:p>
    <w:p w14:paraId="450C5C73" w14:textId="77777777" w:rsidR="005C789E" w:rsidRPr="00F2125E" w:rsidRDefault="005C789E" w:rsidP="00F2125E">
      <w:pPr>
        <w:pStyle w:val="HeadingL3"/>
        <w:spacing w:after="260" w:line="280" w:lineRule="exact"/>
        <w:ind w:right="0"/>
        <w:jc w:val="both"/>
        <w:rPr>
          <w:rFonts w:ascii="Times New Roman" w:hAnsi="Times New Roman"/>
          <w:i/>
          <w:iCs/>
        </w:rPr>
      </w:pPr>
      <w:r w:rsidRPr="00F2125E">
        <w:rPr>
          <w:rFonts w:ascii="Times New Roman" w:hAnsi="Times New Roman"/>
        </w:rPr>
        <w:t xml:space="preserve">(a) The application of Art 9 of the </w:t>
      </w:r>
      <w:r w:rsidRPr="00F2125E">
        <w:rPr>
          <w:rFonts w:ascii="Times New Roman" w:hAnsi="Times New Roman"/>
          <w:i/>
          <w:iCs/>
        </w:rPr>
        <w:t>Bill of Rights</w:t>
      </w:r>
    </w:p>
    <w:p w14:paraId="06439241"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The focus of the second ground of this appeal was upon the "general constitutional principle"</w:t>
      </w:r>
      <w:r w:rsidRPr="00F2125E">
        <w:rPr>
          <w:rStyle w:val="FootnoteReference"/>
          <w:rFonts w:ascii="Times New Roman" w:hAnsi="Times New Roman"/>
          <w:sz w:val="24"/>
        </w:rPr>
        <w:footnoteReference w:id="65"/>
      </w:r>
      <w:r w:rsidRPr="00F2125E">
        <w:rPr>
          <w:rFonts w:ascii="Times New Roman" w:hAnsi="Times New Roman"/>
        </w:rPr>
        <w:t xml:space="preserve"> embodied in Art 9 of the </w:t>
      </w:r>
      <w:r w:rsidRPr="00F2125E">
        <w:rPr>
          <w:rFonts w:ascii="Times New Roman" w:hAnsi="Times New Roman"/>
          <w:i/>
          <w:iCs/>
        </w:rPr>
        <w:t xml:space="preserve">Bill of Rights </w:t>
      </w:r>
      <w:r w:rsidRPr="00F2125E">
        <w:rPr>
          <w:rFonts w:ascii="Times New Roman" w:hAnsi="Times New Roman"/>
        </w:rPr>
        <w:t>and not upon any "wider principle, of which article 9 is merely one manifestation".</w:t>
      </w:r>
      <w:r w:rsidRPr="00F2125E">
        <w:rPr>
          <w:rStyle w:val="FootnoteReference"/>
          <w:rFonts w:ascii="Times New Roman" w:hAnsi="Times New Roman"/>
          <w:sz w:val="24"/>
        </w:rPr>
        <w:footnoteReference w:id="66"/>
      </w:r>
      <w:r w:rsidRPr="00F2125E">
        <w:rPr>
          <w:rFonts w:ascii="Times New Roman" w:hAnsi="Times New Roman"/>
        </w:rPr>
        <w:t xml:space="preserve"> Nevertheless, an assessment of the wider principle of exclusive cognisance that is raised by the first ground of appeal is informed by the extent to which an adjudication of s 16(1) could engage the principles contained in Art 9 of the </w:t>
      </w:r>
      <w:r w:rsidRPr="00F2125E">
        <w:rPr>
          <w:rFonts w:ascii="Times New Roman" w:hAnsi="Times New Roman"/>
          <w:i/>
          <w:iCs/>
        </w:rPr>
        <w:t>Bill of Rights</w:t>
      </w:r>
      <w:r w:rsidRPr="00F2125E">
        <w:rPr>
          <w:rFonts w:ascii="Times New Roman" w:hAnsi="Times New Roman"/>
        </w:rPr>
        <w:t>.</w:t>
      </w:r>
    </w:p>
    <w:p w14:paraId="694E7F5C"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The </w:t>
      </w:r>
      <w:r w:rsidRPr="00F2125E">
        <w:rPr>
          <w:rFonts w:ascii="Times New Roman" w:hAnsi="Times New Roman"/>
          <w:i/>
          <w:iCs/>
        </w:rPr>
        <w:t xml:space="preserve">Bill of Rights </w:t>
      </w:r>
      <w:r w:rsidRPr="00F2125E">
        <w:rPr>
          <w:rFonts w:ascii="Times New Roman" w:hAnsi="Times New Roman"/>
        </w:rPr>
        <w:t>recites that King James II had endeavoured to subvert the "</w:t>
      </w:r>
      <w:proofErr w:type="gramStart"/>
      <w:r w:rsidRPr="00F2125E">
        <w:rPr>
          <w:rFonts w:ascii="Times New Roman" w:hAnsi="Times New Roman"/>
        </w:rPr>
        <w:t>Law[</w:t>
      </w:r>
      <w:proofErr w:type="gramEnd"/>
      <w:r w:rsidRPr="00F2125E">
        <w:rPr>
          <w:rFonts w:ascii="Times New Roman" w:hAnsi="Times New Roman"/>
        </w:rPr>
        <w:t xml:space="preserve">]s and Liberties of this Kingdom[]" in various ways including by </w:t>
      </w:r>
      <w:r w:rsidRPr="00F2125E">
        <w:rPr>
          <w:rFonts w:ascii="Times New Roman" w:hAnsi="Times New Roman"/>
        </w:rPr>
        <w:lastRenderedPageBreak/>
        <w:t>prosecutions of matters and causes "cognizable on[]</w:t>
      </w:r>
      <w:proofErr w:type="spellStart"/>
      <w:r w:rsidRPr="00F2125E">
        <w:rPr>
          <w:rFonts w:ascii="Times New Roman" w:hAnsi="Times New Roman"/>
        </w:rPr>
        <w:t>ly</w:t>
      </w:r>
      <w:proofErr w:type="spellEnd"/>
      <w:r w:rsidRPr="00F2125E">
        <w:rPr>
          <w:rFonts w:ascii="Times New Roman" w:hAnsi="Times New Roman"/>
        </w:rPr>
        <w:t xml:space="preserve"> in Parl[</w:t>
      </w:r>
      <w:proofErr w:type="spellStart"/>
      <w:r w:rsidRPr="00F2125E">
        <w:rPr>
          <w:rFonts w:ascii="Times New Roman" w:hAnsi="Times New Roman"/>
        </w:rPr>
        <w:t>i</w:t>
      </w:r>
      <w:proofErr w:type="spellEnd"/>
      <w:r w:rsidRPr="00F2125E">
        <w:rPr>
          <w:rFonts w:ascii="Times New Roman" w:hAnsi="Times New Roman"/>
        </w:rPr>
        <w:t xml:space="preserve">]ament". In that context, Art 9 of the </w:t>
      </w:r>
      <w:r w:rsidRPr="00F2125E">
        <w:rPr>
          <w:rFonts w:ascii="Times New Roman" w:hAnsi="Times New Roman"/>
          <w:i/>
          <w:iCs/>
        </w:rPr>
        <w:t xml:space="preserve">Bill of Rights </w:t>
      </w:r>
      <w:r w:rsidRPr="00F2125E">
        <w:rPr>
          <w:rFonts w:ascii="Times New Roman" w:hAnsi="Times New Roman"/>
        </w:rPr>
        <w:t>provides:</w:t>
      </w:r>
    </w:p>
    <w:p w14:paraId="0378CBA9" w14:textId="77777777" w:rsidR="005C789E" w:rsidRDefault="005C789E" w:rsidP="00F2125E">
      <w:pPr>
        <w:pStyle w:val="LeftrightafterHC"/>
        <w:spacing w:before="0" w:after="260" w:line="280" w:lineRule="exact"/>
        <w:ind w:right="0"/>
        <w:jc w:val="both"/>
        <w:rPr>
          <w:rFonts w:ascii="Times New Roman" w:hAnsi="Times New Roman"/>
        </w:rPr>
      </w:pPr>
      <w:r w:rsidRPr="00F2125E">
        <w:rPr>
          <w:rFonts w:ascii="Times New Roman" w:hAnsi="Times New Roman"/>
        </w:rPr>
        <w:t xml:space="preserve">"That the </w:t>
      </w:r>
      <w:proofErr w:type="gramStart"/>
      <w:r w:rsidRPr="00F2125E">
        <w:rPr>
          <w:rFonts w:ascii="Times New Roman" w:hAnsi="Times New Roman"/>
        </w:rPr>
        <w:t>Freedom[</w:t>
      </w:r>
      <w:proofErr w:type="gramEnd"/>
      <w:r w:rsidRPr="00F2125E">
        <w:rPr>
          <w:rFonts w:ascii="Times New Roman" w:hAnsi="Times New Roman"/>
        </w:rPr>
        <w:t>] of Speech and Debates or Proceedings in Parl[</w:t>
      </w:r>
      <w:proofErr w:type="spellStart"/>
      <w:r w:rsidRPr="00F2125E">
        <w:rPr>
          <w:rFonts w:ascii="Times New Roman" w:hAnsi="Times New Roman"/>
        </w:rPr>
        <w:t>i</w:t>
      </w:r>
      <w:proofErr w:type="spellEnd"/>
      <w:r w:rsidRPr="00F2125E">
        <w:rPr>
          <w:rFonts w:ascii="Times New Roman" w:hAnsi="Times New Roman"/>
        </w:rPr>
        <w:t>]ament ought not to be impeached or questioned in any Court or Place out of Parl[</w:t>
      </w:r>
      <w:proofErr w:type="spellStart"/>
      <w:r w:rsidRPr="00F2125E">
        <w:rPr>
          <w:rFonts w:ascii="Times New Roman" w:hAnsi="Times New Roman"/>
        </w:rPr>
        <w:t>i</w:t>
      </w:r>
      <w:proofErr w:type="spellEnd"/>
      <w:r w:rsidRPr="00F2125E">
        <w:rPr>
          <w:rFonts w:ascii="Times New Roman" w:hAnsi="Times New Roman"/>
        </w:rPr>
        <w:t>]ament".</w:t>
      </w:r>
    </w:p>
    <w:p w14:paraId="4C29C0B3"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In </w:t>
      </w:r>
      <w:r w:rsidRPr="00F2125E">
        <w:rPr>
          <w:rFonts w:ascii="Times New Roman" w:hAnsi="Times New Roman"/>
          <w:i/>
          <w:iCs/>
        </w:rPr>
        <w:t>Stockdale v Hansard</w:t>
      </w:r>
      <w:r w:rsidRPr="00F2125E">
        <w:rPr>
          <w:rFonts w:ascii="Times New Roman" w:hAnsi="Times New Roman"/>
        </w:rPr>
        <w:t>,</w:t>
      </w:r>
      <w:r w:rsidRPr="00F2125E">
        <w:rPr>
          <w:rStyle w:val="FootnoteReference"/>
          <w:rFonts w:ascii="Times New Roman" w:hAnsi="Times New Roman"/>
          <w:sz w:val="24"/>
        </w:rPr>
        <w:footnoteReference w:id="67"/>
      </w:r>
      <w:r w:rsidRPr="00F2125E">
        <w:rPr>
          <w:rFonts w:ascii="Times New Roman" w:hAnsi="Times New Roman"/>
        </w:rPr>
        <w:t xml:space="preserve"> one of the "two great cases which exhaust the learning on the subject",</w:t>
      </w:r>
      <w:r w:rsidRPr="00F2125E">
        <w:rPr>
          <w:rStyle w:val="FootnoteReference"/>
          <w:rFonts w:ascii="Times New Roman" w:hAnsi="Times New Roman"/>
          <w:sz w:val="24"/>
        </w:rPr>
        <w:footnoteReference w:id="68"/>
      </w:r>
      <w:r w:rsidRPr="00F2125E">
        <w:rPr>
          <w:rFonts w:ascii="Times New Roman" w:hAnsi="Times New Roman"/>
        </w:rPr>
        <w:t xml:space="preserve"> it was held that the courts had power to enquire into the existence of the powers, privileges and immunities of the Commons, but that once the courts had determined the existence of a privilege then "the members of each House of Parliament are the sole Judges whether their privileges have been violated".</w:t>
      </w:r>
      <w:r w:rsidRPr="00F2125E">
        <w:rPr>
          <w:rStyle w:val="FootnoteReference"/>
          <w:rFonts w:ascii="Times New Roman" w:hAnsi="Times New Roman"/>
          <w:sz w:val="24"/>
        </w:rPr>
        <w:footnoteReference w:id="69"/>
      </w:r>
      <w:r w:rsidRPr="00F2125E">
        <w:rPr>
          <w:rFonts w:ascii="Times New Roman" w:hAnsi="Times New Roman"/>
        </w:rPr>
        <w:t xml:space="preserve"> That principle has been reaffirmed in this Court.</w:t>
      </w:r>
      <w:r w:rsidRPr="00F2125E">
        <w:rPr>
          <w:rStyle w:val="FootnoteReference"/>
          <w:rFonts w:ascii="Times New Roman" w:hAnsi="Times New Roman"/>
          <w:sz w:val="24"/>
        </w:rPr>
        <w:footnoteReference w:id="70"/>
      </w:r>
    </w:p>
    <w:p w14:paraId="78D2769B"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Although there was once a "shadow of doubt" about this,</w:t>
      </w:r>
      <w:r w:rsidRPr="00F2125E">
        <w:rPr>
          <w:rStyle w:val="FootnoteReference"/>
          <w:rFonts w:ascii="Times New Roman" w:hAnsi="Times New Roman"/>
          <w:sz w:val="24"/>
        </w:rPr>
        <w:footnoteReference w:id="71"/>
      </w:r>
      <w:r w:rsidRPr="00F2125E">
        <w:rPr>
          <w:rFonts w:ascii="Times New Roman" w:hAnsi="Times New Roman"/>
        </w:rPr>
        <w:t xml:space="preserve"> Art 9 of the </w:t>
      </w:r>
      <w:r w:rsidRPr="00F2125E">
        <w:rPr>
          <w:rFonts w:ascii="Times New Roman" w:hAnsi="Times New Roman"/>
          <w:i/>
          <w:iCs/>
        </w:rPr>
        <w:t xml:space="preserve">Bill of Rights </w:t>
      </w:r>
      <w:r w:rsidRPr="00F2125E">
        <w:rPr>
          <w:rFonts w:ascii="Times New Roman" w:hAnsi="Times New Roman"/>
        </w:rPr>
        <w:t>applies in its terms to the Parliament of (what is now) Tasmania, not merely as part of the received common law which Art 9 reflects,</w:t>
      </w:r>
      <w:r w:rsidRPr="00F2125E">
        <w:rPr>
          <w:rStyle w:val="FootnoteReference"/>
          <w:rFonts w:ascii="Times New Roman" w:hAnsi="Times New Roman"/>
          <w:sz w:val="24"/>
        </w:rPr>
        <w:footnoteReference w:id="72"/>
      </w:r>
      <w:r w:rsidRPr="00F2125E">
        <w:rPr>
          <w:rFonts w:ascii="Times New Roman" w:hAnsi="Times New Roman"/>
        </w:rPr>
        <w:t xml:space="preserve"> but also by s 24 of the </w:t>
      </w:r>
      <w:r w:rsidRPr="00F2125E">
        <w:rPr>
          <w:rFonts w:ascii="Times New Roman" w:hAnsi="Times New Roman"/>
          <w:i/>
          <w:iCs/>
        </w:rPr>
        <w:t xml:space="preserve">Australian Courts Act 1828 </w:t>
      </w:r>
      <w:r w:rsidRPr="00F2125E">
        <w:rPr>
          <w:rFonts w:ascii="Times New Roman" w:hAnsi="Times New Roman"/>
        </w:rPr>
        <w:t>(Imp).</w:t>
      </w:r>
      <w:r w:rsidRPr="00F2125E">
        <w:rPr>
          <w:rStyle w:val="FootnoteReference"/>
          <w:rFonts w:ascii="Times New Roman" w:hAnsi="Times New Roman"/>
          <w:sz w:val="24"/>
        </w:rPr>
        <w:footnoteReference w:id="73"/>
      </w:r>
      <w:r w:rsidRPr="00F2125E">
        <w:rPr>
          <w:rFonts w:ascii="Times New Roman" w:hAnsi="Times New Roman"/>
        </w:rPr>
        <w:t xml:space="preserve"> The </w:t>
      </w:r>
      <w:r w:rsidRPr="00F2125E">
        <w:rPr>
          <w:rFonts w:ascii="Times New Roman" w:hAnsi="Times New Roman"/>
          <w:i/>
          <w:iCs/>
        </w:rPr>
        <w:t xml:space="preserve">Australian Courts Act </w:t>
      </w:r>
      <w:r w:rsidRPr="00F2125E">
        <w:rPr>
          <w:rFonts w:ascii="Times New Roman" w:hAnsi="Times New Roman"/>
        </w:rPr>
        <w:t>is an Imperial statute which, by requiring English laws and statutes in force at that time to "be applied" in New South Wales and Tasmania "so far as [they] can be applied", was intended to be "always speaking" in the modern sense that it would apply to new circumstances and would extend to new Parliaments.</w:t>
      </w:r>
      <w:r w:rsidRPr="00F2125E">
        <w:rPr>
          <w:rStyle w:val="FootnoteReference"/>
          <w:rFonts w:ascii="Times New Roman" w:hAnsi="Times New Roman"/>
          <w:sz w:val="24"/>
        </w:rPr>
        <w:footnoteReference w:id="74"/>
      </w:r>
      <w:r w:rsidRPr="00F2125E">
        <w:rPr>
          <w:rFonts w:ascii="Times New Roman" w:hAnsi="Times New Roman"/>
          <w:i/>
          <w:iCs/>
        </w:rPr>
        <w:t xml:space="preserve"> </w:t>
      </w:r>
      <w:r w:rsidRPr="00F2125E">
        <w:rPr>
          <w:rFonts w:ascii="Times New Roman" w:hAnsi="Times New Roman"/>
        </w:rPr>
        <w:t xml:space="preserve">The reason for s 24 picking up the written laws of England, and not merely the common law, was that "[t]he Imperial Legislature evidently intended and had in view to legislate for the </w:t>
      </w:r>
      <w:r w:rsidRPr="00F2125E">
        <w:rPr>
          <w:rFonts w:ascii="Times New Roman" w:hAnsi="Times New Roman"/>
        </w:rPr>
        <w:lastRenderedPageBreak/>
        <w:t>growing wants and ever-changing circumstances and condition of a new Colony just entrusted with legislative powers and functions".</w:t>
      </w:r>
      <w:r w:rsidRPr="00F2125E">
        <w:rPr>
          <w:rStyle w:val="FootnoteReference"/>
          <w:rFonts w:ascii="Times New Roman" w:hAnsi="Times New Roman"/>
          <w:sz w:val="24"/>
        </w:rPr>
        <w:footnoteReference w:id="75"/>
      </w:r>
    </w:p>
    <w:p w14:paraId="3D1D0182" w14:textId="77777777" w:rsidR="005C789E" w:rsidRPr="00F2125E" w:rsidRDefault="005C789E" w:rsidP="00F2125E">
      <w:pPr>
        <w:pStyle w:val="HeadingL3"/>
        <w:spacing w:after="260" w:line="280" w:lineRule="exact"/>
        <w:ind w:right="0"/>
        <w:jc w:val="both"/>
        <w:rPr>
          <w:rFonts w:ascii="Times New Roman" w:hAnsi="Times New Roman"/>
          <w:i/>
          <w:iCs/>
        </w:rPr>
      </w:pPr>
      <w:r w:rsidRPr="00F2125E">
        <w:rPr>
          <w:rFonts w:ascii="Times New Roman" w:hAnsi="Times New Roman"/>
        </w:rPr>
        <w:t xml:space="preserve">(b) The nature of Art 9 of the </w:t>
      </w:r>
      <w:r w:rsidRPr="00F2125E">
        <w:rPr>
          <w:rFonts w:ascii="Times New Roman" w:hAnsi="Times New Roman"/>
          <w:i/>
          <w:iCs/>
        </w:rPr>
        <w:t>Bill of Rights</w:t>
      </w:r>
    </w:p>
    <w:p w14:paraId="1CCFB2F8"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Article 9 of the </w:t>
      </w:r>
      <w:r w:rsidRPr="00F2125E">
        <w:rPr>
          <w:rFonts w:ascii="Times New Roman" w:hAnsi="Times New Roman"/>
          <w:i/>
          <w:iCs/>
        </w:rPr>
        <w:t xml:space="preserve">Bill of Rights </w:t>
      </w:r>
      <w:r w:rsidRPr="00F2125E">
        <w:rPr>
          <w:rFonts w:ascii="Times New Roman" w:hAnsi="Times New Roman"/>
        </w:rPr>
        <w:t>is sometimes referred to as a "parliamentary privilege", although it is broader than just a privilege (in the strict sense) of Parliament and its Members. A privilege is "a peculiar benefit or advantage, of a special exemption from a burden falling upon others".</w:t>
      </w:r>
      <w:r w:rsidRPr="00F2125E">
        <w:rPr>
          <w:rStyle w:val="FootnoteReference"/>
          <w:rFonts w:ascii="Times New Roman" w:hAnsi="Times New Roman"/>
          <w:sz w:val="24"/>
        </w:rPr>
        <w:footnoteReference w:id="76"/>
      </w:r>
      <w:r w:rsidRPr="00F2125E">
        <w:rPr>
          <w:rFonts w:ascii="Times New Roman" w:hAnsi="Times New Roman"/>
        </w:rPr>
        <w:t xml:space="preserve"> Article 9 includes a privilege of Members of Parliament, so that, for example, Members of Parliament have no legal duty not to defame others, in circumstances where allegedly defamatory action occurs during the official conduct of proceedings in Parliament. Article 9 also extends the privilege to Parliament itself,</w:t>
      </w:r>
      <w:r w:rsidRPr="00F2125E">
        <w:rPr>
          <w:rStyle w:val="FootnoteReference"/>
          <w:rFonts w:ascii="Times New Roman" w:hAnsi="Times New Roman"/>
          <w:sz w:val="24"/>
        </w:rPr>
        <w:footnoteReference w:id="77"/>
      </w:r>
      <w:r w:rsidRPr="00F2125E">
        <w:rPr>
          <w:rFonts w:ascii="Times New Roman" w:hAnsi="Times New Roman"/>
        </w:rPr>
        <w:t xml:space="preserve"> so that the privilege of a single Member cannot be waived by that single Member.</w:t>
      </w:r>
      <w:r w:rsidRPr="00F2125E">
        <w:rPr>
          <w:rStyle w:val="FootnoteReference"/>
          <w:rFonts w:ascii="Times New Roman" w:hAnsi="Times New Roman"/>
          <w:sz w:val="24"/>
        </w:rPr>
        <w:footnoteReference w:id="78"/>
      </w:r>
      <w:r w:rsidRPr="00F2125E">
        <w:rPr>
          <w:rFonts w:ascii="Times New Roman" w:hAnsi="Times New Roman"/>
        </w:rPr>
        <w:t xml:space="preserve"> But Art 9 extends beyond merely declaring a privilege of Parliament or its Members.</w:t>
      </w:r>
    </w:p>
    <w:p w14:paraId="6711864B"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Article 9 applies in cases where no Member of Parliament is a party to the proceeding and no question arises of exempting Parliament or its Members from a general legal duty. In such cases, Art 9 has been recognised, in what is effectively a duty on courts, as preventing consideration of anything that would impeach or question any speech, debate or parliamentary proceeding.</w:t>
      </w:r>
      <w:r w:rsidRPr="00F2125E">
        <w:rPr>
          <w:rStyle w:val="FootnoteReference"/>
          <w:rFonts w:ascii="Times New Roman" w:hAnsi="Times New Roman"/>
          <w:sz w:val="24"/>
        </w:rPr>
        <w:footnoteReference w:id="79"/>
      </w:r>
      <w:r w:rsidRPr="00F2125E">
        <w:rPr>
          <w:rFonts w:ascii="Times New Roman" w:hAnsi="Times New Roman"/>
        </w:rPr>
        <w:t xml:space="preserve"> In such cases, the privilege "cannot be waived by either House" because it is also a protective "statutory duty" upon courts.</w:t>
      </w:r>
      <w:r w:rsidRPr="00F2125E">
        <w:rPr>
          <w:rStyle w:val="FootnoteReference"/>
          <w:rFonts w:ascii="Times New Roman" w:hAnsi="Times New Roman"/>
          <w:sz w:val="24"/>
        </w:rPr>
        <w:footnoteReference w:id="80"/>
      </w:r>
      <w:r w:rsidRPr="00F2125E">
        <w:rPr>
          <w:rFonts w:ascii="Times New Roman" w:hAnsi="Times New Roman"/>
        </w:rPr>
        <w:t xml:space="preserve"> Nevertheless, as will be seen below, Art 9 is less </w:t>
      </w:r>
      <w:r w:rsidRPr="00F2125E">
        <w:rPr>
          <w:rFonts w:ascii="Times New Roman" w:hAnsi="Times New Roman"/>
        </w:rPr>
        <w:lastRenderedPageBreak/>
        <w:t>likely to apply in cases which do not have a direct effect upon Parliament or its Members.</w:t>
      </w:r>
    </w:p>
    <w:p w14:paraId="2659DFE9" w14:textId="77777777" w:rsidR="005C789E" w:rsidRPr="00F2125E" w:rsidRDefault="005C789E" w:rsidP="00F2125E">
      <w:pPr>
        <w:pStyle w:val="HeadingL3"/>
        <w:spacing w:after="260" w:line="280" w:lineRule="exact"/>
        <w:ind w:right="0"/>
        <w:jc w:val="both"/>
        <w:rPr>
          <w:rFonts w:ascii="Times New Roman" w:hAnsi="Times New Roman"/>
        </w:rPr>
      </w:pPr>
      <w:r w:rsidRPr="00F2125E">
        <w:rPr>
          <w:rFonts w:ascii="Times New Roman" w:hAnsi="Times New Roman"/>
        </w:rPr>
        <w:t xml:space="preserve">(c) The meaning and application of "questioned" in Art 9 of the </w:t>
      </w:r>
      <w:r w:rsidRPr="00F2125E">
        <w:rPr>
          <w:rFonts w:ascii="Times New Roman" w:hAnsi="Times New Roman"/>
          <w:i/>
          <w:iCs/>
        </w:rPr>
        <w:t>Bill of Rights</w:t>
      </w:r>
      <w:r w:rsidRPr="00F2125E">
        <w:rPr>
          <w:rFonts w:ascii="Times New Roman" w:hAnsi="Times New Roman"/>
        </w:rPr>
        <w:t xml:space="preserve"> </w:t>
      </w:r>
    </w:p>
    <w:p w14:paraId="60EFC05D"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At the extremes there are two possible meanings of "questioned" in Art 9 of the </w:t>
      </w:r>
      <w:r w:rsidRPr="00F2125E">
        <w:rPr>
          <w:rFonts w:ascii="Times New Roman" w:hAnsi="Times New Roman"/>
          <w:i/>
          <w:iCs/>
        </w:rPr>
        <w:t>Bill of Rights</w:t>
      </w:r>
      <w:r w:rsidRPr="00F2125E">
        <w:rPr>
          <w:rFonts w:ascii="Times New Roman" w:hAnsi="Times New Roman"/>
        </w:rPr>
        <w:t>. Neither can now be accepted as correct. At one extreme, there is no longer any doubt that an allegation of improper motive by a Member of Parliament is not necessary for proceedings in Parliament to be "questioned", rather than "impeached", within Art 9.</w:t>
      </w:r>
      <w:r w:rsidRPr="00F2125E">
        <w:rPr>
          <w:rStyle w:val="FootnoteReference"/>
          <w:rFonts w:ascii="Times New Roman" w:hAnsi="Times New Roman"/>
          <w:sz w:val="24"/>
        </w:rPr>
        <w:footnoteReference w:id="81"/>
      </w:r>
      <w:r w:rsidRPr="00F2125E">
        <w:rPr>
          <w:rFonts w:ascii="Times New Roman" w:hAnsi="Times New Roman"/>
        </w:rPr>
        <w:t xml:space="preserve"> At the other extreme, modern courts have not adopted the broad view of "questioned", which would take remarks by Blackstone disjunctively to suggest that the content of proceedings in Parliament can never be "examined, discussed, and adjudged" other than in Parliament.</w:t>
      </w:r>
      <w:r w:rsidRPr="00F2125E">
        <w:rPr>
          <w:rStyle w:val="FootnoteReference"/>
          <w:rFonts w:ascii="Times New Roman" w:hAnsi="Times New Roman"/>
          <w:sz w:val="24"/>
        </w:rPr>
        <w:footnoteReference w:id="82"/>
      </w:r>
      <w:r w:rsidRPr="00F2125E">
        <w:rPr>
          <w:rFonts w:ascii="Times New Roman" w:hAnsi="Times New Roman"/>
        </w:rPr>
        <w:t xml:space="preserve"> For instance, the mere discussion, whether in court or any other place, of the facts of proceedings in Parliament is extremely unlikely, without more, to contravene Art 9. In this sense, it has been said that the provision "cannot be read entirely literally".</w:t>
      </w:r>
      <w:r w:rsidRPr="00F2125E">
        <w:rPr>
          <w:rStyle w:val="FootnoteReference"/>
          <w:rFonts w:ascii="Times New Roman" w:hAnsi="Times New Roman"/>
          <w:sz w:val="24"/>
        </w:rPr>
        <w:footnoteReference w:id="83"/>
      </w:r>
    </w:p>
    <w:p w14:paraId="68B39E01"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In a line of cases, exemplified by reasoning in the Privy Council,</w:t>
      </w:r>
      <w:r w:rsidRPr="00F2125E">
        <w:rPr>
          <w:rStyle w:val="FootnoteReference"/>
          <w:rFonts w:ascii="Times New Roman" w:hAnsi="Times New Roman"/>
          <w:sz w:val="24"/>
        </w:rPr>
        <w:footnoteReference w:id="84"/>
      </w:r>
      <w:r w:rsidRPr="00F2125E">
        <w:rPr>
          <w:rFonts w:ascii="Times New Roman" w:hAnsi="Times New Roman"/>
        </w:rPr>
        <w:t xml:space="preserve"> it has been held that proceedings in Parliament are not "questioned" if the content of the proceedings is relied upon merely as fact rather than for the truth of the contents of the proceedings.</w:t>
      </w:r>
      <w:r w:rsidRPr="00F2125E">
        <w:rPr>
          <w:rStyle w:val="FootnoteReference"/>
          <w:rFonts w:ascii="Times New Roman" w:hAnsi="Times New Roman"/>
          <w:sz w:val="24"/>
        </w:rPr>
        <w:footnoteReference w:id="85"/>
      </w:r>
      <w:r w:rsidRPr="00F2125E">
        <w:rPr>
          <w:rFonts w:ascii="Times New Roman" w:hAnsi="Times New Roman"/>
        </w:rPr>
        <w:t xml:space="preserve"> This reasoning cannot be applied as a strict or rigid test. For instance, there are simple cases where facts concerning proceedings in Parliament, such as the presence of a Member, can be relied upon in a proceeding for their truth.</w:t>
      </w:r>
      <w:r w:rsidRPr="00F2125E">
        <w:rPr>
          <w:rStyle w:val="FootnoteReference"/>
          <w:rFonts w:ascii="Times New Roman" w:hAnsi="Times New Roman"/>
          <w:sz w:val="24"/>
        </w:rPr>
        <w:footnoteReference w:id="86"/>
      </w:r>
      <w:r w:rsidRPr="00F2125E">
        <w:rPr>
          <w:rFonts w:ascii="Times New Roman" w:hAnsi="Times New Roman"/>
        </w:rPr>
        <w:t xml:space="preserve"> Equally, there may be cases where the content of proceedings in Parliament cannot be relied upon in court even though that content is relied upon only for the </w:t>
      </w:r>
      <w:r w:rsidRPr="00F2125E">
        <w:rPr>
          <w:rFonts w:ascii="Times New Roman" w:hAnsi="Times New Roman"/>
        </w:rPr>
        <w:lastRenderedPageBreak/>
        <w:t>mere facts of the proceedings, rather than their truth. For instance, the mere fact of words spoken in Parliament cannot be used as the basis for a defamation proceeding against a Member of Parliament even if, in the absence of any defence of justification, the only dispute concerns the effect of the Member's words on the plaintiff's reputation. The mere prospect of an action for defamation is sufficient to require the privilege, even if the action concerns only whether the words were spoken and their effect on reputation with no dispute about truth: Members of Parliament "</w:t>
      </w:r>
      <w:proofErr w:type="spellStart"/>
      <w:r w:rsidRPr="00F2125E">
        <w:rPr>
          <w:rFonts w:ascii="Times New Roman" w:hAnsi="Times New Roman"/>
        </w:rPr>
        <w:t>can not</w:t>
      </w:r>
      <w:proofErr w:type="spellEnd"/>
      <w:r w:rsidRPr="00F2125E">
        <w:rPr>
          <w:rFonts w:ascii="Times New Roman" w:hAnsi="Times New Roman"/>
        </w:rPr>
        <w:t xml:space="preserve"> satisfactorily discharge [their] duties, if they are liable to defamation actions at every turn".</w:t>
      </w:r>
      <w:r w:rsidRPr="00F2125E">
        <w:rPr>
          <w:rStyle w:val="FootnoteReference"/>
          <w:rFonts w:ascii="Times New Roman" w:hAnsi="Times New Roman"/>
          <w:sz w:val="24"/>
        </w:rPr>
        <w:footnoteReference w:id="87"/>
      </w:r>
    </w:p>
    <w:p w14:paraId="4DC16D9F"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In this appeal, the Solicitor-General of the Commonwealth sought to adopt and adapt this approach, submitting that a line should be drawn between the valid use of proceedings in Parliament "simply to establish what occurred as a fact" and the invalid use of proceedings for the purpose of examining "the propriety or validity of what occurred in Parliament".</w:t>
      </w:r>
      <w:r w:rsidRPr="00F2125E">
        <w:rPr>
          <w:rStyle w:val="FootnoteReference"/>
          <w:rFonts w:ascii="Times New Roman" w:hAnsi="Times New Roman"/>
          <w:sz w:val="24"/>
        </w:rPr>
        <w:footnoteReference w:id="88"/>
      </w:r>
      <w:r w:rsidRPr="00F2125E">
        <w:rPr>
          <w:rFonts w:ascii="Times New Roman" w:hAnsi="Times New Roman"/>
        </w:rPr>
        <w:t xml:space="preserve"> This distinction may be more useful than the distinction between fact and truth, but it introduces concepts divorced from the text of Art 9 (for example, issues about the meaning of "propriety" or "validity" of proceedings in Parliament) and is potentially inconsistent with central authorities concerning Art 9. For instance, in the famous decision in </w:t>
      </w:r>
      <w:r w:rsidRPr="00F2125E">
        <w:rPr>
          <w:rFonts w:ascii="Times New Roman" w:hAnsi="Times New Roman"/>
          <w:i/>
          <w:iCs/>
        </w:rPr>
        <w:t>Stockdale v Hansard</w:t>
      </w:r>
      <w:r w:rsidRPr="00F2125E">
        <w:rPr>
          <w:rFonts w:ascii="Times New Roman" w:hAnsi="Times New Roman"/>
        </w:rPr>
        <w:t>,</w:t>
      </w:r>
      <w:r w:rsidRPr="00F2125E">
        <w:rPr>
          <w:rStyle w:val="FootnoteReference"/>
          <w:rFonts w:ascii="Times New Roman" w:hAnsi="Times New Roman"/>
          <w:sz w:val="24"/>
        </w:rPr>
        <w:footnoteReference w:id="89"/>
      </w:r>
      <w:r w:rsidRPr="00F2125E">
        <w:rPr>
          <w:rFonts w:ascii="Times New Roman" w:hAnsi="Times New Roman"/>
          <w:i/>
          <w:iCs/>
        </w:rPr>
        <w:t xml:space="preserve"> </w:t>
      </w:r>
      <w:r w:rsidRPr="00F2125E">
        <w:rPr>
          <w:rFonts w:ascii="Times New Roman" w:hAnsi="Times New Roman"/>
        </w:rPr>
        <w:t xml:space="preserve">which led to the enactment of the </w:t>
      </w:r>
      <w:r w:rsidRPr="00F2125E">
        <w:rPr>
          <w:rFonts w:ascii="Times New Roman" w:hAnsi="Times New Roman"/>
          <w:i/>
          <w:iCs/>
        </w:rPr>
        <w:t xml:space="preserve">Parliamentary Papers Act 1840 </w:t>
      </w:r>
      <w:r w:rsidRPr="00F2125E">
        <w:rPr>
          <w:rFonts w:ascii="Times New Roman" w:hAnsi="Times New Roman"/>
        </w:rPr>
        <w:t>(UK),</w:t>
      </w:r>
      <w:r w:rsidRPr="00F2125E">
        <w:rPr>
          <w:rStyle w:val="FootnoteReference"/>
          <w:rFonts w:ascii="Times New Roman" w:hAnsi="Times New Roman"/>
          <w:sz w:val="24"/>
        </w:rPr>
        <w:footnoteReference w:id="90"/>
      </w:r>
      <w:r w:rsidRPr="00F2125E">
        <w:rPr>
          <w:rFonts w:ascii="Times New Roman" w:hAnsi="Times New Roman"/>
        </w:rPr>
        <w:t xml:space="preserve"> the Court permitted defamation proceedings to be maintained against a publisher of a report made to Parliament. The defamation proceedings arguably involved indirectly questioning the propriety of the report.</w:t>
      </w:r>
    </w:p>
    <w:p w14:paraId="10973DC3"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A distinction between fact and truth or between fact and propriety or validity is also unhelpful where the dispute between the parties concerns the </w:t>
      </w:r>
      <w:r w:rsidRPr="00F2125E">
        <w:rPr>
          <w:rFonts w:ascii="Times New Roman" w:hAnsi="Times New Roman"/>
          <w:i/>
          <w:iCs/>
        </w:rPr>
        <w:t xml:space="preserve">effect </w:t>
      </w:r>
      <w:r w:rsidRPr="00F2125E">
        <w:rPr>
          <w:rFonts w:ascii="Times New Roman" w:hAnsi="Times New Roman"/>
        </w:rPr>
        <w:t>of proceedings in Parliament. The fact of words spoken in Parliament can be used if there is dispute about the effect of those words, such as in identifying the objective purpose of Parliament or the consequences of the law.</w:t>
      </w:r>
      <w:r w:rsidRPr="00F2125E">
        <w:rPr>
          <w:rStyle w:val="FootnoteReference"/>
          <w:rFonts w:ascii="Times New Roman" w:hAnsi="Times New Roman"/>
          <w:sz w:val="24"/>
        </w:rPr>
        <w:footnoteReference w:id="91"/>
      </w:r>
      <w:r w:rsidRPr="00F2125E">
        <w:rPr>
          <w:rFonts w:ascii="Times New Roman" w:hAnsi="Times New Roman"/>
        </w:rPr>
        <w:t xml:space="preserve"> Difficult cases at the margins are also unlikely to be resolved by verbal distinctions between whether proceedings in Parliament are sought to be used to examine truth or "the propriety or validity of what occurred in Parliament" rather than "to establish what occurred as a fact". For instance, in one decision, described as controversial,</w:t>
      </w:r>
      <w:r w:rsidRPr="00F2125E">
        <w:rPr>
          <w:rStyle w:val="FootnoteReference"/>
          <w:rFonts w:ascii="Times New Roman" w:hAnsi="Times New Roman"/>
          <w:sz w:val="24"/>
        </w:rPr>
        <w:footnoteReference w:id="92"/>
      </w:r>
      <w:r w:rsidRPr="00F2125E">
        <w:rPr>
          <w:rFonts w:ascii="Times New Roman" w:hAnsi="Times New Roman"/>
        </w:rPr>
        <w:t xml:space="preserve"> it </w:t>
      </w:r>
      <w:r w:rsidRPr="00F2125E">
        <w:rPr>
          <w:rFonts w:ascii="Times New Roman" w:hAnsi="Times New Roman"/>
        </w:rPr>
        <w:lastRenderedPageBreak/>
        <w:t>was held that a witness in a criminal trial could be cross-examined about whether evidence that he had given before Senate Select Committees was a previous inconsistent statement because "[</w:t>
      </w:r>
      <w:proofErr w:type="spellStart"/>
      <w:r w:rsidRPr="00F2125E">
        <w:rPr>
          <w:rFonts w:ascii="Times New Roman" w:hAnsi="Times New Roman"/>
        </w:rPr>
        <w:t>i</w:t>
      </w:r>
      <w:proofErr w:type="spellEnd"/>
      <w:r w:rsidRPr="00F2125E">
        <w:rPr>
          <w:rFonts w:ascii="Times New Roman" w:hAnsi="Times New Roman"/>
        </w:rPr>
        <w:t>]t is the fact that the previous inconsistent statement was made, not the truth of the matters stated in it, which is relevant to the attack upon his credit".</w:t>
      </w:r>
      <w:r w:rsidRPr="00F2125E">
        <w:rPr>
          <w:rStyle w:val="FootnoteReference"/>
          <w:rFonts w:ascii="Times New Roman" w:hAnsi="Times New Roman"/>
          <w:sz w:val="24"/>
        </w:rPr>
        <w:footnoteReference w:id="93"/>
      </w:r>
      <w:r w:rsidRPr="00F2125E">
        <w:rPr>
          <w:rFonts w:ascii="Times New Roman" w:hAnsi="Times New Roman"/>
        </w:rPr>
        <w:t xml:space="preserve"> But that controversial decision led to legislative change,</w:t>
      </w:r>
      <w:r w:rsidRPr="00F2125E">
        <w:rPr>
          <w:rStyle w:val="FootnoteReference"/>
          <w:rFonts w:ascii="Times New Roman" w:hAnsi="Times New Roman"/>
          <w:sz w:val="24"/>
        </w:rPr>
        <w:footnoteReference w:id="94"/>
      </w:r>
      <w:r w:rsidRPr="00F2125E">
        <w:rPr>
          <w:rFonts w:ascii="Times New Roman" w:hAnsi="Times New Roman"/>
        </w:rPr>
        <w:t xml:space="preserve"> for the purpose, explained in the Explanatory Memorandum, of "</w:t>
      </w:r>
      <w:proofErr w:type="spellStart"/>
      <w:r w:rsidRPr="00F2125E">
        <w:rPr>
          <w:rFonts w:ascii="Times New Roman" w:hAnsi="Times New Roman"/>
        </w:rPr>
        <w:t>restor</w:t>
      </w:r>
      <w:proofErr w:type="spellEnd"/>
      <w:r w:rsidRPr="00F2125E">
        <w:rPr>
          <w:rFonts w:ascii="Times New Roman" w:hAnsi="Times New Roman"/>
        </w:rPr>
        <w:t>[</w:t>
      </w:r>
      <w:proofErr w:type="spellStart"/>
      <w:r w:rsidRPr="00F2125E">
        <w:rPr>
          <w:rFonts w:ascii="Times New Roman" w:hAnsi="Times New Roman"/>
        </w:rPr>
        <w:t>ing</w:t>
      </w:r>
      <w:proofErr w:type="spellEnd"/>
      <w:r w:rsidRPr="00F2125E">
        <w:rPr>
          <w:rFonts w:ascii="Times New Roman" w:hAnsi="Times New Roman"/>
        </w:rPr>
        <w:t>] the interpretation of article 9 contained in ... earlier judgments".</w:t>
      </w:r>
      <w:r w:rsidRPr="00F2125E">
        <w:rPr>
          <w:rStyle w:val="FootnoteReference"/>
          <w:rFonts w:ascii="Times New Roman" w:hAnsi="Times New Roman"/>
          <w:sz w:val="24"/>
        </w:rPr>
        <w:footnoteReference w:id="95"/>
      </w:r>
      <w:r w:rsidRPr="00F2125E">
        <w:rPr>
          <w:rFonts w:ascii="Times New Roman" w:hAnsi="Times New Roman"/>
        </w:rPr>
        <w:t xml:space="preserve"> </w:t>
      </w:r>
    </w:p>
    <w:p w14:paraId="152922E1"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r>
      <w:proofErr w:type="gramStart"/>
      <w:r w:rsidRPr="00F2125E">
        <w:rPr>
          <w:rFonts w:ascii="Times New Roman" w:hAnsi="Times New Roman"/>
        </w:rPr>
        <w:t>In light of</w:t>
      </w:r>
      <w:proofErr w:type="gramEnd"/>
      <w:r w:rsidRPr="00F2125E">
        <w:rPr>
          <w:rFonts w:ascii="Times New Roman" w:hAnsi="Times New Roman"/>
        </w:rPr>
        <w:t xml:space="preserve"> the more pragmatic approach that courts have taken to Art 9, the best presently existing test for whether the freedom of speech and debates or proceedings in Parliament would be "impeached or questioned" by a legal proceeding is a functional and pragmatic test. As six judges of the Supreme Court of Canada said in </w:t>
      </w:r>
      <w:proofErr w:type="spellStart"/>
      <w:r w:rsidRPr="00F2125E">
        <w:rPr>
          <w:rFonts w:ascii="Times New Roman" w:hAnsi="Times New Roman"/>
          <w:i/>
          <w:iCs/>
        </w:rPr>
        <w:t>Chagnon</w:t>
      </w:r>
      <w:proofErr w:type="spellEnd"/>
      <w:r w:rsidRPr="00F2125E">
        <w:rPr>
          <w:rFonts w:ascii="Times New Roman" w:hAnsi="Times New Roman"/>
          <w:i/>
          <w:iCs/>
        </w:rPr>
        <w:t xml:space="preserve"> v </w:t>
      </w:r>
      <w:proofErr w:type="spellStart"/>
      <w:r w:rsidRPr="00F2125E">
        <w:rPr>
          <w:rFonts w:ascii="Times New Roman" w:hAnsi="Times New Roman"/>
          <w:i/>
          <w:iCs/>
        </w:rPr>
        <w:t>Syndicat</w:t>
      </w:r>
      <w:proofErr w:type="spellEnd"/>
      <w:r w:rsidRPr="00F2125E">
        <w:rPr>
          <w:rFonts w:ascii="Times New Roman" w:hAnsi="Times New Roman"/>
          <w:i/>
          <w:iCs/>
        </w:rPr>
        <w:t xml:space="preserve"> de la </w:t>
      </w:r>
      <w:proofErr w:type="spellStart"/>
      <w:r w:rsidRPr="00F2125E">
        <w:rPr>
          <w:rFonts w:ascii="Times New Roman" w:hAnsi="Times New Roman"/>
          <w:i/>
          <w:iCs/>
        </w:rPr>
        <w:t>fonction</w:t>
      </w:r>
      <w:proofErr w:type="spellEnd"/>
      <w:r w:rsidRPr="00F2125E">
        <w:rPr>
          <w:rFonts w:ascii="Times New Roman" w:hAnsi="Times New Roman"/>
          <w:i/>
          <w:iCs/>
        </w:rPr>
        <w:t xml:space="preserve"> </w:t>
      </w:r>
      <w:proofErr w:type="spellStart"/>
      <w:r w:rsidRPr="00F2125E">
        <w:rPr>
          <w:rFonts w:ascii="Times New Roman" w:hAnsi="Times New Roman"/>
          <w:i/>
          <w:iCs/>
        </w:rPr>
        <w:t>publique</w:t>
      </w:r>
      <w:proofErr w:type="spellEnd"/>
      <w:r w:rsidRPr="00F2125E">
        <w:rPr>
          <w:rFonts w:ascii="Times New Roman" w:hAnsi="Times New Roman"/>
          <w:i/>
          <w:iCs/>
        </w:rPr>
        <w:t xml:space="preserve"> et </w:t>
      </w:r>
      <w:proofErr w:type="spellStart"/>
      <w:r w:rsidRPr="00F2125E">
        <w:rPr>
          <w:rFonts w:ascii="Times New Roman" w:hAnsi="Times New Roman"/>
          <w:i/>
          <w:iCs/>
        </w:rPr>
        <w:t>parapublique</w:t>
      </w:r>
      <w:proofErr w:type="spellEnd"/>
      <w:r w:rsidRPr="00F2125E">
        <w:rPr>
          <w:rFonts w:ascii="Times New Roman" w:hAnsi="Times New Roman"/>
          <w:i/>
          <w:iCs/>
        </w:rPr>
        <w:t xml:space="preserve"> du Québec</w:t>
      </w:r>
      <w:r w:rsidRPr="00F2125E">
        <w:rPr>
          <w:rFonts w:ascii="Times New Roman" w:hAnsi="Times New Roman"/>
        </w:rPr>
        <w:t>:</w:t>
      </w:r>
      <w:r w:rsidRPr="00F2125E">
        <w:rPr>
          <w:rStyle w:val="FootnoteReference"/>
          <w:rFonts w:ascii="Times New Roman" w:hAnsi="Times New Roman"/>
          <w:sz w:val="24"/>
        </w:rPr>
        <w:footnoteReference w:id="96"/>
      </w:r>
    </w:p>
    <w:p w14:paraId="662BDEB0" w14:textId="77777777" w:rsidR="005C789E" w:rsidRDefault="005C789E" w:rsidP="00F2125E">
      <w:pPr>
        <w:pStyle w:val="LeftrightafterHC"/>
        <w:spacing w:before="0" w:after="260" w:line="280" w:lineRule="exact"/>
        <w:ind w:right="0"/>
        <w:jc w:val="both"/>
        <w:rPr>
          <w:rFonts w:ascii="Times New Roman" w:hAnsi="Times New Roman"/>
        </w:rPr>
      </w:pPr>
      <w:r w:rsidRPr="00F2125E">
        <w:rPr>
          <w:rFonts w:ascii="Times New Roman" w:hAnsi="Times New Roman"/>
        </w:rPr>
        <w:t>"</w:t>
      </w:r>
      <w:proofErr w:type="gramStart"/>
      <w:r w:rsidRPr="00F2125E">
        <w:rPr>
          <w:rFonts w:ascii="Times New Roman" w:hAnsi="Times New Roman"/>
        </w:rPr>
        <w:t>the</w:t>
      </w:r>
      <w:proofErr w:type="gramEnd"/>
      <w:r w:rsidRPr="00F2125E">
        <w:rPr>
          <w:rFonts w:ascii="Times New Roman" w:hAnsi="Times New Roman"/>
        </w:rPr>
        <w:t xml:space="preserve"> scope of parliamentary privilege is delimited by the purposes it serves</w:t>
      </w:r>
      <w:r>
        <w:rPr>
          <w:rFonts w:ascii="Times New Roman" w:hAnsi="Times New Roman"/>
        </w:rPr>
        <w:t> </w:t>
      </w:r>
      <w:r w:rsidRPr="00F2125E">
        <w:rPr>
          <w:rFonts w:ascii="Times New Roman" w:hAnsi="Times New Roman"/>
        </w:rPr>
        <w:t>... It inheres to the nature and functions of legislative assemblies as a separate branch of government. The reach of inherent privilege extends only so far as is 'necessary to protect legislators in the discharge of their legislative and deliberative functions, and the legislative assembly's work in holding the government to account for the conduct of the country's business'".</w:t>
      </w:r>
    </w:p>
    <w:p w14:paraId="3C0AF4AF"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As to individual Members of Parliament, the function of Art 9, including the privilege contained in it, includes protecting Members of Parliament "not only from being molested by their fellow-subjects, but also more especially from being oppressed by the power of the crown".</w:t>
      </w:r>
      <w:r w:rsidRPr="00F2125E">
        <w:rPr>
          <w:rStyle w:val="FootnoteReference"/>
          <w:rFonts w:ascii="Times New Roman" w:hAnsi="Times New Roman"/>
          <w:sz w:val="24"/>
        </w:rPr>
        <w:footnoteReference w:id="97"/>
      </w:r>
      <w:r w:rsidRPr="00F2125E">
        <w:rPr>
          <w:rFonts w:ascii="Times New Roman" w:hAnsi="Times New Roman"/>
        </w:rPr>
        <w:t xml:space="preserve"> Beyond protection of the individual Members of Parliament, Art 9 also ensures the efficient and effective discharge of parliamentary business, without a real or substantial prospect of a chilling effect arising from, or by, legal challenge. Therefore, courts "will not allow any challenge to be made to what is said or done within the walls of Parliament in performance </w:t>
      </w:r>
      <w:r w:rsidRPr="00F2125E">
        <w:rPr>
          <w:rFonts w:ascii="Times New Roman" w:hAnsi="Times New Roman"/>
        </w:rPr>
        <w:lastRenderedPageBreak/>
        <w:t>of its legislative functions".</w:t>
      </w:r>
      <w:r w:rsidRPr="00F2125E">
        <w:rPr>
          <w:rStyle w:val="FootnoteReference"/>
          <w:rFonts w:ascii="Times New Roman" w:hAnsi="Times New Roman"/>
          <w:sz w:val="24"/>
        </w:rPr>
        <w:footnoteReference w:id="98"/>
      </w:r>
      <w:r w:rsidRPr="00F2125E">
        <w:rPr>
          <w:rFonts w:ascii="Times New Roman" w:hAnsi="Times New Roman"/>
        </w:rPr>
        <w:t xml:space="preserve"> In this way, the privileges of Parliament "are vouchsafed so that Parliament can fulfil its key function in our system of democratic government".</w:t>
      </w:r>
      <w:r w:rsidRPr="00F2125E">
        <w:rPr>
          <w:rStyle w:val="FootnoteReference"/>
          <w:rFonts w:ascii="Times New Roman" w:hAnsi="Times New Roman"/>
          <w:sz w:val="24"/>
        </w:rPr>
        <w:footnoteReference w:id="99"/>
      </w:r>
    </w:p>
    <w:p w14:paraId="0B59A2E3"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In this respect, Art 9 may reflect the principle which determines the limit of the common law powers of the Houses of Parliament, being those powers that "are necessary to the existence of such a body, and the proper exercise of the functions which it is intended to execute".</w:t>
      </w:r>
      <w:r w:rsidRPr="00F2125E">
        <w:rPr>
          <w:rStyle w:val="FootnoteReference"/>
          <w:rFonts w:ascii="Times New Roman" w:hAnsi="Times New Roman"/>
          <w:sz w:val="24"/>
        </w:rPr>
        <w:footnoteReference w:id="100"/>
      </w:r>
      <w:r w:rsidRPr="00F2125E">
        <w:rPr>
          <w:rFonts w:ascii="Times New Roman" w:hAnsi="Times New Roman"/>
        </w:rPr>
        <w:t xml:space="preserve"> As Herron CJ explained this common law constitutional principle, it arises where a House of Parliament considers that a power is "necessary to its existence or to the orderly exercise of its important legislative functions".</w:t>
      </w:r>
      <w:r w:rsidRPr="00F2125E">
        <w:rPr>
          <w:rStyle w:val="FootnoteReference"/>
          <w:rFonts w:ascii="Times New Roman" w:hAnsi="Times New Roman"/>
          <w:sz w:val="24"/>
        </w:rPr>
        <w:footnoteReference w:id="101"/>
      </w:r>
      <w:r w:rsidRPr="00F2125E">
        <w:rPr>
          <w:rFonts w:ascii="Times New Roman" w:hAnsi="Times New Roman"/>
        </w:rPr>
        <w:t xml:space="preserve"> These "requirements of necessity" limit the common law powers of the Houses of Parliament in a manner "measured by the need to protect the high standing of Parliament and to ensure that it may discharge, with the confidence of the community and the members in each other, the great responsibilities which it bears".</w:t>
      </w:r>
      <w:r w:rsidRPr="00F2125E">
        <w:rPr>
          <w:rStyle w:val="FootnoteReference"/>
          <w:rFonts w:ascii="Times New Roman" w:hAnsi="Times New Roman"/>
          <w:sz w:val="24"/>
        </w:rPr>
        <w:footnoteReference w:id="102"/>
      </w:r>
    </w:p>
    <w:p w14:paraId="08CA929E"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On the other hand, the purpose of Art 9 does not require the protection of Parliament and its Members at any price. For instance, separate from considerations of the boundary between courts and Parliament, public or media discussion and commentary upon proceedings in Parliament might occur in a place outside Parliament and might be in critical terms. But, in that context, the intention of Art 9 was never to "have effect so as to stifle the freedom of all to comment on what is said in Parliament, even though such comment may influence Members in what they say".</w:t>
      </w:r>
      <w:r w:rsidRPr="00F2125E">
        <w:rPr>
          <w:rStyle w:val="FootnoteReference"/>
          <w:rFonts w:ascii="Times New Roman" w:hAnsi="Times New Roman"/>
          <w:sz w:val="24"/>
        </w:rPr>
        <w:footnoteReference w:id="103"/>
      </w:r>
    </w:p>
    <w:p w14:paraId="5E677B0F"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The functional and pragmatic approach to balancing these competing considerations invites courts to ask whether consideration of, or admission of evidence of, parliamentary proceedings could give rise to a real or substantial prospect of a chilling effect upon the functioning of Parliament and its Members: "[</w:t>
      </w:r>
      <w:proofErr w:type="spellStart"/>
      <w:r w:rsidRPr="00F2125E">
        <w:rPr>
          <w:rFonts w:ascii="Times New Roman" w:hAnsi="Times New Roman"/>
        </w:rPr>
        <w:t>i</w:t>
      </w:r>
      <w:proofErr w:type="spellEnd"/>
      <w:r w:rsidRPr="00F2125E">
        <w:rPr>
          <w:rFonts w:ascii="Times New Roman" w:hAnsi="Times New Roman"/>
        </w:rPr>
        <w:t xml:space="preserve">]f what is involved in a tender of evidence ... is simply not capable of being </w:t>
      </w:r>
      <w:r w:rsidRPr="00F2125E">
        <w:rPr>
          <w:rFonts w:ascii="Times New Roman" w:hAnsi="Times New Roman"/>
        </w:rPr>
        <w:lastRenderedPageBreak/>
        <w:t>contentious, it is difficult to see how the right of free speech could be affected".</w:t>
      </w:r>
      <w:r w:rsidRPr="00F2125E">
        <w:rPr>
          <w:rStyle w:val="FootnoteReference"/>
          <w:rFonts w:ascii="Times New Roman" w:hAnsi="Times New Roman"/>
          <w:sz w:val="24"/>
        </w:rPr>
        <w:footnoteReference w:id="104"/>
      </w:r>
      <w:r w:rsidRPr="00F2125E">
        <w:rPr>
          <w:rFonts w:ascii="Times New Roman" w:hAnsi="Times New Roman"/>
        </w:rPr>
        <w:t xml:space="preserve"> In that respect, there is merit in the focus, in the authorities mentioned above,</w:t>
      </w:r>
      <w:r w:rsidRPr="00F2125E">
        <w:rPr>
          <w:rStyle w:val="FootnoteReference"/>
          <w:rFonts w:ascii="Times New Roman" w:hAnsi="Times New Roman"/>
          <w:sz w:val="24"/>
        </w:rPr>
        <w:footnoteReference w:id="105"/>
      </w:r>
      <w:r w:rsidRPr="00F2125E">
        <w:rPr>
          <w:rFonts w:ascii="Times New Roman" w:hAnsi="Times New Roman"/>
        </w:rPr>
        <w:t xml:space="preserve"> upon whether anything said in any proceedings in Parliament is relevant in the legal proceeding only for the uncontentious fact of what was said. But attention should remain focused upon whether any use of speech, debates or proceedings in Parliament could give rise to a real or substantial prospect of chilling or restraining the free engagement of those involved in the Parliament and its processes.</w:t>
      </w:r>
    </w:p>
    <w:p w14:paraId="42E8C91D"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A similar approach has been taken in some decisions in the United States concerning the constitutional prohibition against Members of Congress being "questioned" outside Congress for any speech or debate in either House.</w:t>
      </w:r>
      <w:r w:rsidRPr="00F2125E">
        <w:rPr>
          <w:rStyle w:val="FootnoteReference"/>
          <w:rFonts w:ascii="Times New Roman" w:hAnsi="Times New Roman"/>
          <w:sz w:val="24"/>
        </w:rPr>
        <w:footnoteReference w:id="106"/>
      </w:r>
      <w:r w:rsidRPr="00F2125E">
        <w:rPr>
          <w:rFonts w:ascii="Times New Roman" w:hAnsi="Times New Roman"/>
        </w:rPr>
        <w:t xml:space="preserve"> This "Speech or Debate Clause" was derived from Art 9 of the </w:t>
      </w:r>
      <w:r w:rsidRPr="00F2125E">
        <w:rPr>
          <w:rFonts w:ascii="Times New Roman" w:hAnsi="Times New Roman"/>
          <w:i/>
          <w:iCs/>
        </w:rPr>
        <w:t>Bill of Rights</w:t>
      </w:r>
      <w:r w:rsidRPr="00F2125E">
        <w:rPr>
          <w:rFonts w:ascii="Times New Roman" w:hAnsi="Times New Roman"/>
        </w:rPr>
        <w:t>.</w:t>
      </w:r>
      <w:r w:rsidRPr="00F2125E">
        <w:rPr>
          <w:rStyle w:val="FootnoteReference"/>
          <w:rFonts w:ascii="Times New Roman" w:hAnsi="Times New Roman"/>
          <w:sz w:val="24"/>
        </w:rPr>
        <w:footnoteReference w:id="107"/>
      </w:r>
      <w:r w:rsidRPr="00F2125E">
        <w:rPr>
          <w:rFonts w:ascii="Times New Roman" w:hAnsi="Times New Roman"/>
        </w:rPr>
        <w:t xml:space="preserve"> The Speech or Debate Clause has generally been treated as a privilege only of Members of Congress.</w:t>
      </w:r>
      <w:r w:rsidRPr="00F2125E">
        <w:rPr>
          <w:rStyle w:val="FootnoteReference"/>
          <w:rFonts w:ascii="Times New Roman" w:hAnsi="Times New Roman"/>
          <w:sz w:val="24"/>
        </w:rPr>
        <w:footnoteReference w:id="108"/>
      </w:r>
      <w:r w:rsidRPr="00F2125E">
        <w:rPr>
          <w:rFonts w:ascii="Times New Roman" w:hAnsi="Times New Roman"/>
        </w:rPr>
        <w:t xml:space="preserve"> But in a decision with powerful echoes of </w:t>
      </w:r>
      <w:r w:rsidRPr="00F2125E">
        <w:rPr>
          <w:rFonts w:ascii="Times New Roman" w:hAnsi="Times New Roman"/>
          <w:i/>
          <w:iCs/>
        </w:rPr>
        <w:t>Stockdale v Hansard</w:t>
      </w:r>
      <w:r w:rsidRPr="00F2125E">
        <w:rPr>
          <w:rFonts w:ascii="Times New Roman" w:hAnsi="Times New Roman"/>
        </w:rPr>
        <w:t>,</w:t>
      </w:r>
      <w:r w:rsidRPr="00F2125E">
        <w:rPr>
          <w:rStyle w:val="FootnoteReference"/>
          <w:rFonts w:ascii="Times New Roman" w:hAnsi="Times New Roman"/>
          <w:sz w:val="24"/>
        </w:rPr>
        <w:footnoteReference w:id="109"/>
      </w:r>
      <w:r w:rsidRPr="00F2125E">
        <w:rPr>
          <w:rFonts w:ascii="Times New Roman" w:hAnsi="Times New Roman"/>
        </w:rPr>
        <w:t xml:space="preserve"> in which it might have been said that speech of Members of Congress was indirectly questioned, White J explained that the clause was not infringed by proceedings seeking relief for an invasion of privacy by persons performing non-legislative functions resulting from the distribution outside Congress of a congressional report, because the action was not inconsistent with the function and purpose of the clause:</w:t>
      </w:r>
      <w:r w:rsidRPr="00F2125E">
        <w:rPr>
          <w:rStyle w:val="FootnoteReference"/>
          <w:rFonts w:ascii="Times New Roman" w:hAnsi="Times New Roman"/>
          <w:sz w:val="24"/>
        </w:rPr>
        <w:footnoteReference w:id="110"/>
      </w:r>
    </w:p>
    <w:p w14:paraId="77782F21" w14:textId="77777777" w:rsidR="005C789E" w:rsidRDefault="005C789E" w:rsidP="00F2125E">
      <w:pPr>
        <w:pStyle w:val="LeftrightafterHC"/>
        <w:spacing w:before="0" w:after="260" w:line="280" w:lineRule="exact"/>
        <w:ind w:right="0"/>
        <w:jc w:val="both"/>
        <w:rPr>
          <w:rFonts w:ascii="Times New Roman" w:hAnsi="Times New Roman"/>
        </w:rPr>
      </w:pPr>
      <w:r w:rsidRPr="00F2125E">
        <w:rPr>
          <w:rFonts w:ascii="Times New Roman" w:hAnsi="Times New Roman"/>
        </w:rPr>
        <w:t xml:space="preserve">"We cannot believe that the purpose of the Clause—'to prevent intimidation of legislators by the Executive and accountability before a possibly hostile judiciary,' ...—will suffer in the slightest if it is held that those who, at the direction of Congress or otherwise, distribute actionable material to the public at large have no automatic immunity under the Speech or Debate Clause but must respond to private suits to the extent that others must respond in light of the Constitution and applicable laws. ... We are unwilling to sanction such a result, at least absent more substantial evidence that, in order to perform its legislative function, Congress must not only inform the </w:t>
      </w:r>
      <w:r w:rsidRPr="00F2125E">
        <w:rPr>
          <w:rFonts w:ascii="Times New Roman" w:hAnsi="Times New Roman"/>
        </w:rPr>
        <w:lastRenderedPageBreak/>
        <w:t>public about the fundamentals of its business but also must distribute to the public generally materials otherwise actionable under local law."</w:t>
      </w:r>
    </w:p>
    <w:p w14:paraId="58B4FDC6"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In the application of Art 9 in this functional way, Art 9 should not be seen as only a rule of evidence. Article 9 should extend also to the court receiving, or considering, submissions that would give rise to a real or substantial prospect of a chilling effect upon the functioning of Parliament and its Members.</w:t>
      </w:r>
      <w:r w:rsidRPr="00F2125E">
        <w:rPr>
          <w:rStyle w:val="FootnoteReference"/>
          <w:rFonts w:ascii="Times New Roman" w:hAnsi="Times New Roman"/>
          <w:sz w:val="24"/>
        </w:rPr>
        <w:footnoteReference w:id="111"/>
      </w:r>
      <w:r w:rsidRPr="00F2125E">
        <w:rPr>
          <w:rFonts w:ascii="Times New Roman" w:hAnsi="Times New Roman"/>
        </w:rPr>
        <w:t xml:space="preserve"> There will be cases where the relevance of proceedings in Parliament is not clear until after the admission of the proposed evidence or after receipt of submissions. In such cases, the court complies with Art 9 "not by refusing to admit evidence of what was said in Parliament, but by refusing to allow the substance of what was said in Parliament to be the subject of any submission or inference"</w:t>
      </w:r>
      <w:r w:rsidRPr="00F2125E">
        <w:rPr>
          <w:rStyle w:val="FootnoteReference"/>
          <w:rFonts w:ascii="Times New Roman" w:hAnsi="Times New Roman"/>
          <w:sz w:val="24"/>
        </w:rPr>
        <w:footnoteReference w:id="112"/>
      </w:r>
      <w:r w:rsidRPr="00F2125E">
        <w:rPr>
          <w:rFonts w:ascii="Times New Roman" w:hAnsi="Times New Roman"/>
        </w:rPr>
        <w:t xml:space="preserve"> where receipt, or consideration, of the submission or inference would give rise to a </w:t>
      </w:r>
      <w:r w:rsidRPr="00F2125E" w:rsidDel="008F373B">
        <w:rPr>
          <w:rFonts w:ascii="Times New Roman" w:hAnsi="Times New Roman"/>
        </w:rPr>
        <w:t xml:space="preserve">real </w:t>
      </w:r>
      <w:r w:rsidRPr="00F2125E">
        <w:rPr>
          <w:rFonts w:ascii="Times New Roman" w:hAnsi="Times New Roman"/>
        </w:rPr>
        <w:t>or substantial prospect of chilling or restraining the free engagement of those involved in the processes of Parliament.</w:t>
      </w:r>
    </w:p>
    <w:p w14:paraId="32786747" w14:textId="77777777" w:rsidR="005C789E" w:rsidRPr="00F2125E" w:rsidRDefault="005C789E" w:rsidP="00F2125E">
      <w:pPr>
        <w:pStyle w:val="HeadingL3"/>
        <w:spacing w:after="260" w:line="280" w:lineRule="exact"/>
        <w:ind w:right="0"/>
        <w:jc w:val="both"/>
        <w:rPr>
          <w:rFonts w:ascii="Times New Roman" w:hAnsi="Times New Roman"/>
        </w:rPr>
      </w:pPr>
      <w:r w:rsidRPr="00F2125E">
        <w:rPr>
          <w:rFonts w:ascii="Times New Roman" w:hAnsi="Times New Roman"/>
        </w:rPr>
        <w:t xml:space="preserve">(d) The application of Art 9 of the </w:t>
      </w:r>
      <w:r w:rsidRPr="00F2125E">
        <w:rPr>
          <w:rFonts w:ascii="Times New Roman" w:hAnsi="Times New Roman"/>
          <w:i/>
          <w:iCs/>
        </w:rPr>
        <w:t xml:space="preserve">Bill of Rights </w:t>
      </w:r>
      <w:r w:rsidRPr="00F2125E">
        <w:rPr>
          <w:rFonts w:ascii="Times New Roman" w:hAnsi="Times New Roman"/>
        </w:rPr>
        <w:t>to the present proceedings</w:t>
      </w:r>
    </w:p>
    <w:p w14:paraId="501EDA2C"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r>
      <w:proofErr w:type="gramStart"/>
      <w:r w:rsidRPr="00F2125E">
        <w:rPr>
          <w:rFonts w:ascii="Times New Roman" w:hAnsi="Times New Roman"/>
        </w:rPr>
        <w:t>In light of</w:t>
      </w:r>
      <w:proofErr w:type="gramEnd"/>
      <w:r w:rsidRPr="00F2125E">
        <w:rPr>
          <w:rFonts w:ascii="Times New Roman" w:hAnsi="Times New Roman"/>
        </w:rPr>
        <w:t xml:space="preserve"> the principles set out above, it is not possible to determine conclusively whether, or to what extent, a proceeding for infringement of s 16(1) of the </w:t>
      </w:r>
      <w:r w:rsidRPr="00F2125E">
        <w:rPr>
          <w:rFonts w:ascii="Times New Roman" w:hAnsi="Times New Roman"/>
          <w:i/>
          <w:iCs/>
        </w:rPr>
        <w:t xml:space="preserve">Public Works Committee Act </w:t>
      </w:r>
      <w:r w:rsidRPr="00F2125E">
        <w:rPr>
          <w:rFonts w:ascii="Times New Roman" w:hAnsi="Times New Roman"/>
        </w:rPr>
        <w:t>would involve the questioning of proceedings in Parliament, namely the report of the Committee on the proposed public works. Much may depend upon any submissions that are made about the alleged breach of s 16(1)</w:t>
      </w:r>
      <w:r>
        <w:rPr>
          <w:rFonts w:ascii="Times New Roman" w:hAnsi="Times New Roman"/>
        </w:rPr>
        <w:t>.</w:t>
      </w:r>
    </w:p>
    <w:p w14:paraId="4AA4997C"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For instance, it would be very difficult to see how there could be any infringement of Art 9 if Mr </w:t>
      </w:r>
      <w:proofErr w:type="spellStart"/>
      <w:r w:rsidRPr="00F2125E">
        <w:rPr>
          <w:rFonts w:ascii="Times New Roman" w:hAnsi="Times New Roman"/>
        </w:rPr>
        <w:t>Casimaty's</w:t>
      </w:r>
      <w:proofErr w:type="spellEnd"/>
      <w:r w:rsidRPr="00F2125E">
        <w:rPr>
          <w:rFonts w:ascii="Times New Roman" w:hAnsi="Times New Roman"/>
        </w:rPr>
        <w:t xml:space="preserve"> only evidence and submissions were to establish that: (</w:t>
      </w:r>
      <w:proofErr w:type="spellStart"/>
      <w:r w:rsidRPr="00F2125E">
        <w:rPr>
          <w:rFonts w:ascii="Times New Roman" w:hAnsi="Times New Roman"/>
        </w:rPr>
        <w:t>i</w:t>
      </w:r>
      <w:proofErr w:type="spellEnd"/>
      <w:r w:rsidRPr="00F2125E">
        <w:rPr>
          <w:rFonts w:ascii="Times New Roman" w:hAnsi="Times New Roman"/>
        </w:rPr>
        <w:t>) the reference in s 16(1) to the commencement of the "public work" required the public work strictly to correspond with the work referred to and reported on by the Committee; and (ii) there was a failure of that strict correspondence, such as by the expenditure of $46.4 million rather than the reported estimate of between $28.08 million and $29.99 million. To take this issue of financial expenditure as an example, there is no real or substantial prospect of chilling or restraining any person engaged in the processes of Parliament by a submission, reasoning, or a conclusion that the amount of $29.99 million to which the report refers is not the same amount as $46.4 million.</w:t>
      </w:r>
    </w:p>
    <w:p w14:paraId="27A0F92C"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On the other hand, Mr </w:t>
      </w:r>
      <w:proofErr w:type="spellStart"/>
      <w:r w:rsidRPr="00F2125E">
        <w:rPr>
          <w:rFonts w:ascii="Times New Roman" w:hAnsi="Times New Roman"/>
        </w:rPr>
        <w:t>Casimaty</w:t>
      </w:r>
      <w:proofErr w:type="spellEnd"/>
      <w:r w:rsidRPr="00F2125E">
        <w:rPr>
          <w:rFonts w:ascii="Times New Roman" w:hAnsi="Times New Roman"/>
        </w:rPr>
        <w:t xml:space="preserve"> might make an alternative submission that the reference in s 16(1) to the commencement of the "public work" required only that the public work substantially correspond with the work referred to and </w:t>
      </w:r>
      <w:r w:rsidRPr="00F2125E">
        <w:rPr>
          <w:rFonts w:ascii="Times New Roman" w:hAnsi="Times New Roman"/>
        </w:rPr>
        <w:lastRenderedPageBreak/>
        <w:t>reported on by the Committee. Apart from the issue of financial expenditure, other complaints by Mr </w:t>
      </w:r>
      <w:proofErr w:type="spellStart"/>
      <w:r w:rsidRPr="00F2125E">
        <w:rPr>
          <w:rFonts w:ascii="Times New Roman" w:hAnsi="Times New Roman"/>
        </w:rPr>
        <w:t>Casimaty</w:t>
      </w:r>
      <w:proofErr w:type="spellEnd"/>
      <w:r w:rsidRPr="00F2125E">
        <w:rPr>
          <w:rFonts w:ascii="Times New Roman" w:hAnsi="Times New Roman"/>
        </w:rPr>
        <w:t xml:space="preserve"> concerned the failure to provide connections from the westbound on-ramp to Cranston Parade that would allow left turn in and left turn out movements only, and the provision of two roundabouts providing access to </w:t>
      </w:r>
      <w:proofErr w:type="spellStart"/>
      <w:r w:rsidRPr="00F2125E">
        <w:rPr>
          <w:rFonts w:ascii="Times New Roman" w:hAnsi="Times New Roman"/>
        </w:rPr>
        <w:t>Holyman</w:t>
      </w:r>
      <w:proofErr w:type="spellEnd"/>
      <w:r w:rsidRPr="00F2125E">
        <w:rPr>
          <w:rFonts w:ascii="Times New Roman" w:hAnsi="Times New Roman"/>
        </w:rPr>
        <w:t xml:space="preserve"> Avenue and Kennedy Drive. A comparison of those works as completed with the detail of the Committee's report could involve submissions that infringe Art 9 of the </w:t>
      </w:r>
      <w:r w:rsidRPr="00F2125E">
        <w:rPr>
          <w:rFonts w:ascii="Times New Roman" w:hAnsi="Times New Roman"/>
          <w:i/>
          <w:iCs/>
        </w:rPr>
        <w:t>Bill of Rights</w:t>
      </w:r>
      <w:r w:rsidRPr="00F2125E">
        <w:rPr>
          <w:rFonts w:ascii="Times New Roman" w:hAnsi="Times New Roman"/>
        </w:rPr>
        <w:t>. An obvious example where Art 9 could be infringed would be if the question of substantial correspondence were (perhaps ambitiously) said by Mr </w:t>
      </w:r>
      <w:proofErr w:type="spellStart"/>
      <w:r w:rsidRPr="00F2125E">
        <w:rPr>
          <w:rFonts w:ascii="Times New Roman" w:hAnsi="Times New Roman"/>
        </w:rPr>
        <w:t>Casimaty</w:t>
      </w:r>
      <w:proofErr w:type="spellEnd"/>
      <w:r w:rsidRPr="00F2125E">
        <w:rPr>
          <w:rFonts w:ascii="Times New Roman" w:hAnsi="Times New Roman"/>
        </w:rPr>
        <w:t xml:space="preserve"> to require consideration of the subjective motives of the members of the Committee.</w:t>
      </w:r>
    </w:p>
    <w:p w14:paraId="6583DFA1"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Ultimately, for the purposes of this appeal, it suffices to say that although I do not accept that the entirety of the proceeding would necessarily be contrary to Art 9 of the </w:t>
      </w:r>
      <w:r w:rsidRPr="00F2125E">
        <w:rPr>
          <w:rFonts w:ascii="Times New Roman" w:hAnsi="Times New Roman"/>
          <w:i/>
          <w:iCs/>
        </w:rPr>
        <w:t>Bill of Rights</w:t>
      </w:r>
      <w:r w:rsidRPr="00F2125E">
        <w:rPr>
          <w:rFonts w:ascii="Times New Roman" w:hAnsi="Times New Roman"/>
        </w:rPr>
        <w:t xml:space="preserve">, there are circumstances in which adjudication upon the scope and content of the duty in s 16(1) of the </w:t>
      </w:r>
      <w:r w:rsidRPr="00F2125E">
        <w:rPr>
          <w:rFonts w:ascii="Times New Roman" w:hAnsi="Times New Roman"/>
          <w:i/>
          <w:iCs/>
        </w:rPr>
        <w:t xml:space="preserve">Public Works Committee Act </w:t>
      </w:r>
      <w:r w:rsidRPr="00F2125E">
        <w:rPr>
          <w:rFonts w:ascii="Times New Roman" w:hAnsi="Times New Roman"/>
        </w:rPr>
        <w:t xml:space="preserve">could engage Art 9 of the </w:t>
      </w:r>
      <w:r w:rsidRPr="00F2125E">
        <w:rPr>
          <w:rFonts w:ascii="Times New Roman" w:hAnsi="Times New Roman"/>
          <w:i/>
          <w:iCs/>
        </w:rPr>
        <w:t>Bill of Rights</w:t>
      </w:r>
      <w:r w:rsidRPr="00F2125E">
        <w:rPr>
          <w:rFonts w:ascii="Times New Roman" w:hAnsi="Times New Roman"/>
        </w:rPr>
        <w:t xml:space="preserve">. In those circumstances, that part of the evidence or submissions concerning the alleged breach of duty in s 16(1) of the </w:t>
      </w:r>
      <w:r w:rsidRPr="00F2125E">
        <w:rPr>
          <w:rFonts w:ascii="Times New Roman" w:hAnsi="Times New Roman"/>
          <w:i/>
          <w:iCs/>
        </w:rPr>
        <w:t xml:space="preserve">Public Works Committee Act </w:t>
      </w:r>
      <w:r w:rsidRPr="00F2125E">
        <w:rPr>
          <w:rFonts w:ascii="Times New Roman" w:hAnsi="Times New Roman"/>
        </w:rPr>
        <w:t>could not be entertained by a court.</w:t>
      </w:r>
    </w:p>
    <w:p w14:paraId="0F270ABE" w14:textId="77777777" w:rsidR="005C789E" w:rsidRPr="00F2125E" w:rsidRDefault="005C789E" w:rsidP="00F2125E">
      <w:pPr>
        <w:pStyle w:val="HeadingL1"/>
        <w:spacing w:after="260" w:line="280" w:lineRule="exact"/>
        <w:ind w:right="0"/>
        <w:jc w:val="both"/>
        <w:rPr>
          <w:rFonts w:ascii="Times New Roman" w:hAnsi="Times New Roman"/>
        </w:rPr>
      </w:pPr>
      <w:r w:rsidRPr="00F2125E">
        <w:rPr>
          <w:rFonts w:ascii="Times New Roman" w:hAnsi="Times New Roman"/>
        </w:rPr>
        <w:t xml:space="preserve">(3) To whom is the duty in s 16(1) of the </w:t>
      </w:r>
      <w:r w:rsidRPr="00F2125E">
        <w:rPr>
          <w:rFonts w:ascii="Times New Roman" w:hAnsi="Times New Roman"/>
          <w:i/>
          <w:iCs/>
        </w:rPr>
        <w:t xml:space="preserve">Public Works Committee Act </w:t>
      </w:r>
      <w:r w:rsidRPr="00F2125E">
        <w:rPr>
          <w:rFonts w:ascii="Times New Roman" w:hAnsi="Times New Roman"/>
        </w:rPr>
        <w:t xml:space="preserve">owed? </w:t>
      </w:r>
    </w:p>
    <w:p w14:paraId="67D3DA09"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The next question is: to whom is the duty in s 16(1) of the </w:t>
      </w:r>
      <w:r w:rsidRPr="00F2125E">
        <w:rPr>
          <w:rFonts w:ascii="Times New Roman" w:hAnsi="Times New Roman"/>
          <w:i/>
          <w:iCs/>
        </w:rPr>
        <w:t xml:space="preserve">Public Works Committee Act </w:t>
      </w:r>
      <w:r w:rsidRPr="00F2125E">
        <w:rPr>
          <w:rFonts w:ascii="Times New Roman" w:hAnsi="Times New Roman"/>
        </w:rPr>
        <w:t>owed by a general government sector body? There are three possibilities. First, the majority of the Full Court concluded that the duty was one that was owed to the public. Secondly, the Attorney-General for Tasmania submitted that the duty was owed only to the Parliament of Tasmania. The answers to the first two questions provide significant support to that submission. A third possibility is that the duty in s 16(1) is owed to both the Parliament and to the public.</w:t>
      </w:r>
      <w:r w:rsidRPr="00F2125E">
        <w:rPr>
          <w:rStyle w:val="FootnoteReference"/>
          <w:rFonts w:ascii="Times New Roman" w:hAnsi="Times New Roman"/>
          <w:sz w:val="24"/>
        </w:rPr>
        <w:footnoteReference w:id="113"/>
      </w:r>
    </w:p>
    <w:p w14:paraId="45608241"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Public duties are duties that are generally "owed to the public at large".</w:t>
      </w:r>
      <w:r w:rsidRPr="00F2125E">
        <w:rPr>
          <w:rStyle w:val="FootnoteReference"/>
          <w:rFonts w:ascii="Times New Roman" w:hAnsi="Times New Roman"/>
          <w:sz w:val="24"/>
        </w:rPr>
        <w:footnoteReference w:id="114"/>
      </w:r>
      <w:r w:rsidRPr="00F2125E">
        <w:rPr>
          <w:rFonts w:ascii="Times New Roman" w:hAnsi="Times New Roman"/>
        </w:rPr>
        <w:t xml:space="preserve"> They might arise from statute, such as statutory duties owed to the public by people generally,</w:t>
      </w:r>
      <w:r w:rsidRPr="00F2125E">
        <w:rPr>
          <w:rStyle w:val="FootnoteReference"/>
          <w:rFonts w:ascii="Times New Roman" w:hAnsi="Times New Roman"/>
          <w:sz w:val="24"/>
        </w:rPr>
        <w:footnoteReference w:id="115"/>
      </w:r>
      <w:r w:rsidRPr="00F2125E">
        <w:rPr>
          <w:rFonts w:ascii="Times New Roman" w:hAnsi="Times New Roman"/>
        </w:rPr>
        <w:t xml:space="preserve"> or statutory duties owed to the </w:t>
      </w:r>
      <w:proofErr w:type="gramStart"/>
      <w:r w:rsidRPr="00F2125E">
        <w:rPr>
          <w:rFonts w:ascii="Times New Roman" w:hAnsi="Times New Roman"/>
        </w:rPr>
        <w:t>public by public</w:t>
      </w:r>
      <w:proofErr w:type="gramEnd"/>
      <w:r w:rsidRPr="00F2125E">
        <w:rPr>
          <w:rFonts w:ascii="Times New Roman" w:hAnsi="Times New Roman"/>
        </w:rPr>
        <w:t xml:space="preserve"> bodies in the exercise of their powers.</w:t>
      </w:r>
      <w:r w:rsidRPr="00F2125E">
        <w:rPr>
          <w:rStyle w:val="FootnoteReference"/>
          <w:rFonts w:ascii="Times New Roman" w:hAnsi="Times New Roman"/>
          <w:sz w:val="24"/>
        </w:rPr>
        <w:footnoteReference w:id="116"/>
      </w:r>
      <w:r w:rsidRPr="00F2125E">
        <w:rPr>
          <w:rFonts w:ascii="Times New Roman" w:hAnsi="Times New Roman"/>
        </w:rPr>
        <w:t xml:space="preserve"> The category of public duties is not mutually exclusive of the category of duties to Parliament. For instance, the duty of the Executive not to </w:t>
      </w:r>
      <w:r w:rsidRPr="00F2125E">
        <w:rPr>
          <w:rFonts w:ascii="Times New Roman" w:hAnsi="Times New Roman"/>
        </w:rPr>
        <w:lastRenderedPageBreak/>
        <w:t>withdraw money from Consolidated Revenue without the authority of Parliament is a duty that is owed both to Parliament (as part of responsible government) and to the public (as part of representative government).</w:t>
      </w:r>
      <w:r w:rsidRPr="00F2125E">
        <w:rPr>
          <w:rStyle w:val="FootnoteReference"/>
          <w:rFonts w:ascii="Times New Roman" w:hAnsi="Times New Roman"/>
          <w:sz w:val="24"/>
        </w:rPr>
        <w:footnoteReference w:id="117"/>
      </w:r>
      <w:r w:rsidRPr="00F2125E">
        <w:rPr>
          <w:rFonts w:ascii="Times New Roman" w:hAnsi="Times New Roman"/>
        </w:rPr>
        <w:t xml:space="preserve"> Those duties are given effect at the Commonwealth level by ss 81 and 83 of the </w:t>
      </w:r>
      <w:r w:rsidRPr="00F2125E">
        <w:rPr>
          <w:rFonts w:ascii="Times New Roman" w:hAnsi="Times New Roman"/>
          <w:i/>
          <w:iCs/>
        </w:rPr>
        <w:t>Constitution</w:t>
      </w:r>
      <w:r w:rsidRPr="00F2125E">
        <w:rPr>
          <w:rFonts w:ascii="Times New Roman" w:hAnsi="Times New Roman"/>
        </w:rPr>
        <w:t>.</w:t>
      </w:r>
      <w:r w:rsidRPr="00F2125E">
        <w:rPr>
          <w:rStyle w:val="FootnoteReference"/>
          <w:rFonts w:ascii="Times New Roman" w:hAnsi="Times New Roman"/>
          <w:sz w:val="24"/>
        </w:rPr>
        <w:footnoteReference w:id="118"/>
      </w:r>
    </w:p>
    <w:p w14:paraId="2271E28A"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Although Pt III of the </w:t>
      </w:r>
      <w:r w:rsidRPr="00F2125E">
        <w:rPr>
          <w:rFonts w:ascii="Times New Roman" w:hAnsi="Times New Roman"/>
          <w:i/>
          <w:iCs/>
        </w:rPr>
        <w:t xml:space="preserve">Public Works Committee Act </w:t>
      </w:r>
      <w:r w:rsidRPr="00F2125E">
        <w:rPr>
          <w:rFonts w:ascii="Times New Roman" w:hAnsi="Times New Roman"/>
        </w:rPr>
        <w:t>is entitled "Powers of the Committee", Pt III contains some duties which are plainly public duties. For instance, the offence against the Act provided in s </w:t>
      </w:r>
      <w:proofErr w:type="gramStart"/>
      <w:r w:rsidRPr="00F2125E">
        <w:rPr>
          <w:rFonts w:ascii="Times New Roman" w:hAnsi="Times New Roman"/>
        </w:rPr>
        <w:t>21,</w:t>
      </w:r>
      <w:proofErr w:type="gramEnd"/>
      <w:r w:rsidRPr="00F2125E">
        <w:rPr>
          <w:rFonts w:ascii="Times New Roman" w:hAnsi="Times New Roman"/>
        </w:rPr>
        <w:t xml:space="preserve"> of knowingly dissuading or preventing any witness from obeying a summons under the Act, is a public duty enforceable by, or at the direction of, the Attorney-General in the courts.</w:t>
      </w:r>
      <w:r w:rsidRPr="00F2125E">
        <w:rPr>
          <w:rStyle w:val="FootnoteReference"/>
          <w:rFonts w:ascii="Times New Roman" w:hAnsi="Times New Roman"/>
          <w:sz w:val="24"/>
        </w:rPr>
        <w:footnoteReference w:id="119"/>
      </w:r>
      <w:r w:rsidRPr="00F2125E">
        <w:rPr>
          <w:rFonts w:ascii="Times New Roman" w:hAnsi="Times New Roman"/>
        </w:rPr>
        <w:t xml:space="preserve"> And even provisions in Pt III which contain no express sanction can engage public duties. For instance, as Beech-Jones J observed in oral argument in this appeal, a claim for trespass might be brought by a member of the public upon whose land the Committee entered without justification by compliance with the requirements for notice in s 13.</w:t>
      </w:r>
    </w:p>
    <w:p w14:paraId="060C8354"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The s 16(1) duty stands apart from these other duties. The s 16(1) duty is similar to the form in which it existed in the legislation from which it originated.</w:t>
      </w:r>
      <w:r w:rsidRPr="00F2125E">
        <w:rPr>
          <w:rStyle w:val="FootnoteReference"/>
          <w:rFonts w:ascii="Times New Roman" w:hAnsi="Times New Roman"/>
          <w:sz w:val="24"/>
        </w:rPr>
        <w:footnoteReference w:id="120"/>
      </w:r>
      <w:r w:rsidRPr="00F2125E">
        <w:rPr>
          <w:rFonts w:ascii="Times New Roman" w:hAnsi="Times New Roman"/>
        </w:rPr>
        <w:t xml:space="preserve"> In the Second Reading Speech of the progenitor legislation, the </w:t>
      </w:r>
      <w:r w:rsidRPr="00F2125E">
        <w:rPr>
          <w:rFonts w:ascii="Times New Roman" w:hAnsi="Times New Roman"/>
          <w:i/>
          <w:iCs/>
        </w:rPr>
        <w:t xml:space="preserve">Public Works Act 1888 </w:t>
      </w:r>
      <w:r w:rsidRPr="00F2125E">
        <w:rPr>
          <w:rFonts w:ascii="Times New Roman" w:hAnsi="Times New Roman"/>
        </w:rPr>
        <w:t>(NSW), Sir Henry Parkes spoke of the goal of the legislation being "to preserve the full and unfettered power of Parliament" as well as "to throw around the expenditure of the public revenues the strongest security I could invent to prevent extravagance or misdirection in the expenditure of public money".</w:t>
      </w:r>
      <w:r w:rsidRPr="00F2125E">
        <w:rPr>
          <w:rStyle w:val="FootnoteReference"/>
          <w:rFonts w:ascii="Times New Roman" w:hAnsi="Times New Roman"/>
          <w:sz w:val="24"/>
        </w:rPr>
        <w:footnoteReference w:id="121"/>
      </w:r>
    </w:p>
    <w:p w14:paraId="2916F406"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When the </w:t>
      </w:r>
      <w:r w:rsidRPr="00F2125E">
        <w:rPr>
          <w:rFonts w:ascii="Times New Roman" w:hAnsi="Times New Roman"/>
          <w:i/>
          <w:iCs/>
        </w:rPr>
        <w:t xml:space="preserve">Public Works Committee Bill </w:t>
      </w:r>
      <w:r w:rsidRPr="00F2125E">
        <w:rPr>
          <w:rFonts w:ascii="Times New Roman" w:hAnsi="Times New Roman"/>
        </w:rPr>
        <w:t xml:space="preserve">was introduced to Parliament in 1914, in the Second Reading Speech Mr Fullerton explained that the object of the Bill was to set up a parliamentary committee similar to that in other States "to ensure that members should have needful information on public works </w:t>
      </w:r>
      <w:r w:rsidRPr="00F2125E">
        <w:rPr>
          <w:rFonts w:ascii="Times New Roman" w:hAnsi="Times New Roman"/>
        </w:rPr>
        <w:lastRenderedPageBreak/>
        <w:t>proposals".</w:t>
      </w:r>
      <w:r w:rsidRPr="00F2125E">
        <w:rPr>
          <w:rStyle w:val="FootnoteReference"/>
          <w:rFonts w:ascii="Times New Roman" w:hAnsi="Times New Roman"/>
          <w:sz w:val="24"/>
        </w:rPr>
        <w:footnoteReference w:id="122"/>
      </w:r>
      <w:r w:rsidRPr="00F2125E">
        <w:rPr>
          <w:rFonts w:ascii="Times New Roman" w:hAnsi="Times New Roman"/>
        </w:rPr>
        <w:t xml:space="preserve"> The original form of s 16(1) imposed a prohibition upon public work of any kind, estimated to cost more than £5,000,</w:t>
      </w:r>
      <w:r w:rsidRPr="00F2125E">
        <w:rPr>
          <w:rStyle w:val="FootnoteReference"/>
          <w:rFonts w:ascii="Times New Roman" w:hAnsi="Times New Roman"/>
          <w:sz w:val="24"/>
        </w:rPr>
        <w:footnoteReference w:id="123"/>
      </w:r>
      <w:r w:rsidRPr="00F2125E">
        <w:rPr>
          <w:rFonts w:ascii="Times New Roman" w:hAnsi="Times New Roman"/>
        </w:rPr>
        <w:t xml:space="preserve"> without compliance with the condition precedent of authorisation from Parliament by a particular process. That process of authorisation required the Governor to have referred the proposed work to the Committee,</w:t>
      </w:r>
      <w:r w:rsidRPr="00F2125E">
        <w:rPr>
          <w:rStyle w:val="FootnoteReference"/>
          <w:rFonts w:ascii="Times New Roman" w:hAnsi="Times New Roman"/>
          <w:sz w:val="24"/>
        </w:rPr>
        <w:footnoteReference w:id="124"/>
      </w:r>
      <w:r w:rsidRPr="00F2125E">
        <w:rPr>
          <w:rFonts w:ascii="Times New Roman" w:hAnsi="Times New Roman"/>
        </w:rPr>
        <w:t xml:space="preserve"> the Committee to have reported on the work to the House of Assembly (or the Governor if the House of Assembly was not in session),</w:t>
      </w:r>
      <w:r w:rsidRPr="00F2125E">
        <w:rPr>
          <w:rStyle w:val="FootnoteReference"/>
          <w:rFonts w:ascii="Times New Roman" w:hAnsi="Times New Roman"/>
          <w:sz w:val="24"/>
        </w:rPr>
        <w:footnoteReference w:id="125"/>
      </w:r>
      <w:r w:rsidRPr="00F2125E">
        <w:rPr>
          <w:rFonts w:ascii="Times New Roman" w:hAnsi="Times New Roman"/>
        </w:rPr>
        <w:t xml:space="preserve"> and the House of Assembly to have resolved that it was expedient to carry out the work.</w:t>
      </w:r>
      <w:r w:rsidRPr="00F2125E">
        <w:rPr>
          <w:rStyle w:val="FootnoteReference"/>
          <w:rFonts w:ascii="Times New Roman" w:hAnsi="Times New Roman"/>
          <w:sz w:val="24"/>
        </w:rPr>
        <w:footnoteReference w:id="126"/>
      </w:r>
    </w:p>
    <w:p w14:paraId="709C6118"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The "conditions precedent" in the original form of the legislation, concerning the process resulting in parliamentary authorisation by resolution, were altered by amendments in 1962 and 1964.</w:t>
      </w:r>
      <w:r w:rsidRPr="00F2125E">
        <w:rPr>
          <w:rStyle w:val="FootnoteReference"/>
          <w:rFonts w:ascii="Times New Roman" w:hAnsi="Times New Roman"/>
          <w:sz w:val="24"/>
        </w:rPr>
        <w:footnoteReference w:id="127"/>
      </w:r>
      <w:r w:rsidRPr="00F2125E">
        <w:rPr>
          <w:rFonts w:ascii="Times New Roman" w:hAnsi="Times New Roman"/>
        </w:rPr>
        <w:t xml:space="preserve"> The process, as amended, still required the Governor to refer proposed public work to the Committee and the Committee to report to the House of Assembly (or the Governor if the House of Assembly was not in session). But the works were required to be approved by the Committee, not by a resolution of the House of Assembly. Nevertheless, any public work could be withdrawn from the operation of the Act by a resolution of each House of Parliament.</w:t>
      </w:r>
      <w:r w:rsidRPr="00F2125E">
        <w:rPr>
          <w:rStyle w:val="FootnoteReference"/>
          <w:rFonts w:ascii="Times New Roman" w:hAnsi="Times New Roman"/>
          <w:sz w:val="24"/>
        </w:rPr>
        <w:footnoteReference w:id="128"/>
      </w:r>
    </w:p>
    <w:p w14:paraId="3A45CA88"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As this legislative background and the discussion of the first two questions above shows, there are important aspects of this statutory scheme that point strongly to the duty in s 16(1) being owed exclusively to Parliament. First, the purpose of the scheme faces inwards towards Parliament: it is to ensure control by Parliament or the Committee (which is comprised of Members of the Legislative Council and House of Assembly</w:t>
      </w:r>
      <w:r w:rsidRPr="00F2125E">
        <w:rPr>
          <w:rStyle w:val="FootnoteReference"/>
          <w:rFonts w:ascii="Times New Roman" w:hAnsi="Times New Roman"/>
          <w:sz w:val="24"/>
        </w:rPr>
        <w:footnoteReference w:id="129"/>
      </w:r>
      <w:r w:rsidRPr="00F2125E">
        <w:rPr>
          <w:rFonts w:ascii="Times New Roman" w:hAnsi="Times New Roman"/>
        </w:rPr>
        <w:t xml:space="preserve">) of substantial public works and to ensure that Members of the House of Assembly were informed about those works. Secondly, as explained in relation to the first question above, and as the amendments to the </w:t>
      </w:r>
      <w:r w:rsidRPr="00F2125E">
        <w:rPr>
          <w:rFonts w:ascii="Times New Roman" w:hAnsi="Times New Roman"/>
          <w:i/>
          <w:iCs/>
        </w:rPr>
        <w:lastRenderedPageBreak/>
        <w:t xml:space="preserve">Public Works Committee Act </w:t>
      </w:r>
      <w:r w:rsidRPr="00F2125E">
        <w:rPr>
          <w:rFonts w:ascii="Times New Roman" w:hAnsi="Times New Roman"/>
        </w:rPr>
        <w:t>make express, the duty is owed by general government sector bodies who undertake public works. Thirdly, as explained in relation to the second question above, the duty in s 16(1) is closely related to the processes of Parliament. That close relation is reinforced by the close association of the "conditions precedent" in s 16 with the processes of Parliament.</w:t>
      </w:r>
    </w:p>
    <w:p w14:paraId="2277A424"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These three matters are further supported by a fourth matter, which is that, unlike other provisions of the </w:t>
      </w:r>
      <w:r w:rsidRPr="00F2125E">
        <w:rPr>
          <w:rFonts w:ascii="Times New Roman" w:hAnsi="Times New Roman"/>
          <w:i/>
          <w:iCs/>
        </w:rPr>
        <w:t xml:space="preserve">Public Works Committee Act </w:t>
      </w:r>
      <w:r w:rsidRPr="00F2125E">
        <w:rPr>
          <w:rFonts w:ascii="Times New Roman" w:hAnsi="Times New Roman"/>
        </w:rPr>
        <w:t>which create offences and provide for the imposition of criminal penalties,</w:t>
      </w:r>
      <w:r w:rsidRPr="00F2125E">
        <w:rPr>
          <w:rStyle w:val="FootnoteReference"/>
          <w:rFonts w:ascii="Times New Roman" w:hAnsi="Times New Roman"/>
          <w:sz w:val="24"/>
        </w:rPr>
        <w:footnoteReference w:id="130"/>
      </w:r>
      <w:r w:rsidRPr="00F2125E">
        <w:rPr>
          <w:rFonts w:ascii="Times New Roman" w:hAnsi="Times New Roman"/>
        </w:rPr>
        <w:t xml:space="preserve"> no express sanctions are provided by the </w:t>
      </w:r>
      <w:r w:rsidRPr="00F2125E">
        <w:rPr>
          <w:rFonts w:ascii="Times New Roman" w:hAnsi="Times New Roman"/>
          <w:i/>
          <w:iCs/>
        </w:rPr>
        <w:t xml:space="preserve">Public Works Committee Act </w:t>
      </w:r>
      <w:r w:rsidRPr="00F2125E">
        <w:rPr>
          <w:rFonts w:ascii="Times New Roman" w:hAnsi="Times New Roman"/>
        </w:rPr>
        <w:t>for breach of the duty in s 16(1). The powers following a breach lie with the Tasmanian Parliament and its committees. It is also arguable—and it is unnecessary to express this point any higher than one that is arguable—that the powers of the Committee in relation to a proposed public work do not always terminate after provision of a report to the House of Assembly or Governor under s 16(4). It is arguable that the duty of the Committee to report to the Governor on its proceedings before the commencement of each session of Parliament</w:t>
      </w:r>
      <w:r w:rsidRPr="00F2125E">
        <w:rPr>
          <w:rStyle w:val="FootnoteReference"/>
          <w:rFonts w:ascii="Times New Roman" w:hAnsi="Times New Roman"/>
          <w:sz w:val="24"/>
        </w:rPr>
        <w:footnoteReference w:id="131"/>
      </w:r>
      <w:r w:rsidRPr="00F2125E">
        <w:rPr>
          <w:rFonts w:ascii="Times New Roman" w:hAnsi="Times New Roman"/>
        </w:rPr>
        <w:t xml:space="preserve"> might permit the Committee to exercise its substantial powers to assess whether there has been compliance with the terms of its previous report. If such power to assess compliance exists then, in producing a report under s 10, the Committee could exercise powers including: entering land (s 13), summoning witnesses (s 14), taking evidence (s 22), and engaging assessors (s 31).</w:t>
      </w:r>
    </w:p>
    <w:p w14:paraId="62E0BFA9"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Ultimately, the combination of the four matters above has the effect that the duty upon general government sector bodies in s 16(1) not to undertake public works unless the "conditions precedent" are satisfied is a duty owed only to Parliament. Any issues concerning breach of the duty in s 16(1) are matters that might be raised in Parliament, referred to a Parliamentary Committee or, as explained above, form the subject of further consideration by the Committee.</w:t>
      </w:r>
    </w:p>
    <w:p w14:paraId="63259447"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The consequences of a breach of the s 16(1) duty to Parliament might include the denial of funding for a government department or government body, including for any public work that a general government sector body has already commenced. The definition of "general government sector body" in s 15(3) includes a "State authority classified as an entity within the general government sector in the Treasurer's annual report" prepared under s 40 of the </w:t>
      </w:r>
      <w:r w:rsidRPr="00F2125E">
        <w:rPr>
          <w:rFonts w:ascii="Times New Roman" w:hAnsi="Times New Roman"/>
          <w:i/>
          <w:iCs/>
        </w:rPr>
        <w:t xml:space="preserve">Financial Management Act 2016 </w:t>
      </w:r>
      <w:r w:rsidRPr="00F2125E">
        <w:rPr>
          <w:rFonts w:ascii="Times New Roman" w:hAnsi="Times New Roman"/>
        </w:rPr>
        <w:t xml:space="preserve">(Tas). Section 11(2) of the </w:t>
      </w:r>
      <w:r w:rsidRPr="00F2125E">
        <w:rPr>
          <w:rFonts w:ascii="Times New Roman" w:hAnsi="Times New Roman"/>
          <w:i/>
          <w:iCs/>
        </w:rPr>
        <w:t xml:space="preserve">Financial Management Act </w:t>
      </w:r>
      <w:r w:rsidRPr="00F2125E">
        <w:rPr>
          <w:rFonts w:ascii="Times New Roman" w:hAnsi="Times New Roman"/>
        </w:rPr>
        <w:t>denies power to any officer to draw money from the Public Account without statutory authority.</w:t>
      </w:r>
    </w:p>
    <w:p w14:paraId="33B6587C"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Although the implication to be drawn from the </w:t>
      </w:r>
      <w:r w:rsidRPr="00F2125E">
        <w:rPr>
          <w:rFonts w:ascii="Times New Roman" w:hAnsi="Times New Roman"/>
          <w:i/>
          <w:iCs/>
        </w:rPr>
        <w:t xml:space="preserve">Public Works Committee Act </w:t>
      </w:r>
      <w:r w:rsidRPr="00F2125E">
        <w:rPr>
          <w:rFonts w:ascii="Times New Roman" w:hAnsi="Times New Roman"/>
        </w:rPr>
        <w:t xml:space="preserve">is that the duty in s 16(1) is owed by general government sector bodies only to </w:t>
      </w:r>
      <w:r w:rsidRPr="00F2125E">
        <w:rPr>
          <w:rFonts w:ascii="Times New Roman" w:hAnsi="Times New Roman"/>
        </w:rPr>
        <w:lastRenderedPageBreak/>
        <w:t>Parliament, this does not necessarily mean that the duty is non-justiciable. That is the ultimate question raised by this appeal.</w:t>
      </w:r>
    </w:p>
    <w:p w14:paraId="756D6E13" w14:textId="77777777" w:rsidR="005C789E" w:rsidRPr="00F2125E" w:rsidRDefault="005C789E" w:rsidP="00F2125E">
      <w:pPr>
        <w:pStyle w:val="HeadingL1"/>
        <w:spacing w:after="260" w:line="280" w:lineRule="exact"/>
        <w:ind w:right="0"/>
        <w:jc w:val="both"/>
        <w:rPr>
          <w:rFonts w:ascii="Times New Roman" w:hAnsi="Times New Roman"/>
        </w:rPr>
      </w:pPr>
      <w:r w:rsidRPr="00F2125E">
        <w:rPr>
          <w:rFonts w:ascii="Times New Roman" w:hAnsi="Times New Roman"/>
        </w:rPr>
        <w:t>Should a court adjudicate upon an allegation of breach of s 16(1) in the present case?</w:t>
      </w:r>
    </w:p>
    <w:p w14:paraId="0224D7BA"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In oral submissions in this appeal, this ultimate question posed by the first ground of appeal was repeatedly expressed as concerned with whether an allegation of breach of s 16(1) was "non-justiciable". The phrase "non-justiciable" is used in a variety of ways and in a variety of contexts. Its meaning "is far from settled, black-letter law".</w:t>
      </w:r>
      <w:r w:rsidRPr="00F2125E">
        <w:rPr>
          <w:rStyle w:val="FootnoteReference"/>
          <w:rFonts w:ascii="Times New Roman" w:hAnsi="Times New Roman"/>
          <w:sz w:val="24"/>
        </w:rPr>
        <w:footnoteReference w:id="132"/>
      </w:r>
      <w:r w:rsidRPr="00F2125E">
        <w:rPr>
          <w:rFonts w:ascii="Times New Roman" w:hAnsi="Times New Roman"/>
        </w:rPr>
        <w:t xml:space="preserve"> In the present context, the expression is not used in its common sense, which is to describe a dispute that cannot "be determined on some recognized principle of law".</w:t>
      </w:r>
      <w:r w:rsidRPr="00F2125E">
        <w:rPr>
          <w:rStyle w:val="FootnoteReference"/>
          <w:rFonts w:ascii="Times New Roman" w:hAnsi="Times New Roman"/>
          <w:sz w:val="24"/>
        </w:rPr>
        <w:footnoteReference w:id="133"/>
      </w:r>
      <w:r w:rsidRPr="00F2125E">
        <w:rPr>
          <w:rFonts w:ascii="Times New Roman" w:hAnsi="Times New Roman"/>
        </w:rPr>
        <w:t xml:space="preserve"> Rather, it is used to describe a matter in which a court should decline to exercise judicial power because the dispute falls within "a domain that does not belong to" the courts.</w:t>
      </w:r>
      <w:r w:rsidRPr="00F2125E">
        <w:rPr>
          <w:rStyle w:val="FootnoteReference"/>
          <w:rFonts w:ascii="Times New Roman" w:hAnsi="Times New Roman"/>
          <w:sz w:val="24"/>
        </w:rPr>
        <w:footnoteReference w:id="134"/>
      </w:r>
      <w:r w:rsidRPr="00F2125E">
        <w:rPr>
          <w:rFonts w:ascii="Times New Roman" w:hAnsi="Times New Roman"/>
        </w:rPr>
        <w:t xml:space="preserve"> The issue is whether the domain of this entire dispute should be recognised as falling within the common law principle of "exclusive cognisance" of Parliament</w:t>
      </w:r>
      <w:r w:rsidRPr="00F2125E">
        <w:rPr>
          <w:rStyle w:val="FootnoteReference"/>
          <w:rFonts w:ascii="Times New Roman" w:hAnsi="Times New Roman"/>
          <w:sz w:val="24"/>
        </w:rPr>
        <w:footnoteReference w:id="135"/>
      </w:r>
      <w:r w:rsidRPr="00F2125E">
        <w:rPr>
          <w:rFonts w:ascii="Times New Roman" w:hAnsi="Times New Roman"/>
        </w:rPr>
        <w:t xml:space="preserve"> so that adjudication of the dispute by a court would "assume a function that is necessarily committed to another branch of government".</w:t>
      </w:r>
      <w:r w:rsidRPr="00F2125E">
        <w:rPr>
          <w:rStyle w:val="FootnoteReference"/>
          <w:rFonts w:ascii="Times New Roman" w:hAnsi="Times New Roman"/>
          <w:sz w:val="24"/>
        </w:rPr>
        <w:footnoteReference w:id="136"/>
      </w:r>
    </w:p>
    <w:p w14:paraId="5A74A1C2"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An assessment of whether the entirety of a dispute falls within the exclusive cognisance of Parliament requires answers to the three questions of statutory interpretation addressed above: (</w:t>
      </w:r>
      <w:proofErr w:type="spellStart"/>
      <w:r w:rsidRPr="00F2125E">
        <w:rPr>
          <w:rFonts w:ascii="Times New Roman" w:hAnsi="Times New Roman"/>
        </w:rPr>
        <w:t>i</w:t>
      </w:r>
      <w:proofErr w:type="spellEnd"/>
      <w:r w:rsidRPr="00F2125E">
        <w:rPr>
          <w:rFonts w:ascii="Times New Roman" w:hAnsi="Times New Roman"/>
        </w:rPr>
        <w:t>) by whom is the duty owed; (ii) what is the nature and content of the duty; and (iii) to whom is the duty owed? The answers to these questions inform the ultimate question of whether a duty can be adjudicated upon by a court or whether that adjudication falls within the exclusive cognisance of Parliament. That ultimate question is not merely a matter of statutory interpretation. The question falls within a category described, in a related context, as one of "general constitutional principle".</w:t>
      </w:r>
      <w:r w:rsidRPr="00F2125E">
        <w:rPr>
          <w:rStyle w:val="FootnoteReference"/>
          <w:rFonts w:ascii="Times New Roman" w:hAnsi="Times New Roman"/>
          <w:sz w:val="24"/>
        </w:rPr>
        <w:footnoteReference w:id="137"/>
      </w:r>
      <w:r w:rsidRPr="00F2125E">
        <w:rPr>
          <w:rFonts w:ascii="Times New Roman" w:hAnsi="Times New Roman"/>
        </w:rPr>
        <w:t xml:space="preserve"> It is therefore of no moment that the </w:t>
      </w:r>
      <w:r w:rsidRPr="00F2125E">
        <w:rPr>
          <w:rFonts w:ascii="Times New Roman" w:hAnsi="Times New Roman"/>
          <w:i/>
          <w:iCs/>
        </w:rPr>
        <w:t>Public Works Committee Act</w:t>
      </w:r>
      <w:r w:rsidRPr="00F2125E">
        <w:rPr>
          <w:rFonts w:ascii="Times New Roman" w:hAnsi="Times New Roman"/>
        </w:rPr>
        <w:t xml:space="preserve"> does not purport, expressly or impliedly, to deprive the courts of the ability to adjudicate upon a breach of s 16(1).</w:t>
      </w:r>
    </w:p>
    <w:p w14:paraId="476E693E"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lastRenderedPageBreak/>
        <w:tab/>
        <w:t>It has been observed in the Supreme Court of the United Kingdom that there have been "extensive inroads" made into areas that had traditionally been regarded as part of the "exclusive cognisance of Parliament".</w:t>
      </w:r>
      <w:r w:rsidRPr="00F2125E">
        <w:rPr>
          <w:rStyle w:val="FootnoteReference"/>
          <w:rFonts w:ascii="Times New Roman" w:hAnsi="Times New Roman"/>
          <w:sz w:val="24"/>
        </w:rPr>
        <w:footnoteReference w:id="138"/>
      </w:r>
      <w:r w:rsidRPr="00F2125E">
        <w:rPr>
          <w:rFonts w:ascii="Times New Roman" w:hAnsi="Times New Roman"/>
        </w:rPr>
        <w:t xml:space="preserve"> A large step in the same direction has recently been taken in the Supreme Court of Canada.</w:t>
      </w:r>
      <w:r w:rsidRPr="00F2125E">
        <w:rPr>
          <w:rStyle w:val="FootnoteReference"/>
          <w:rFonts w:ascii="Times New Roman" w:hAnsi="Times New Roman"/>
          <w:sz w:val="24"/>
        </w:rPr>
        <w:footnoteReference w:id="139"/>
      </w:r>
      <w:r w:rsidRPr="00F2125E">
        <w:rPr>
          <w:rFonts w:ascii="Times New Roman" w:hAnsi="Times New Roman"/>
        </w:rPr>
        <w:t xml:space="preserve"> In broad terms, these inroads have been made following the adoption by courts of an approach which has narrowed each of (</w:t>
      </w:r>
      <w:proofErr w:type="spellStart"/>
      <w:r w:rsidRPr="00F2125E">
        <w:rPr>
          <w:rFonts w:ascii="Times New Roman" w:hAnsi="Times New Roman"/>
        </w:rPr>
        <w:t>i</w:t>
      </w:r>
      <w:proofErr w:type="spellEnd"/>
      <w:r w:rsidRPr="00F2125E">
        <w:rPr>
          <w:rFonts w:ascii="Times New Roman" w:hAnsi="Times New Roman"/>
        </w:rPr>
        <w:t xml:space="preserve">) the functions protected by Art 9 of the </w:t>
      </w:r>
      <w:r w:rsidRPr="00F2125E">
        <w:rPr>
          <w:rFonts w:ascii="Times New Roman" w:hAnsi="Times New Roman"/>
          <w:i/>
          <w:iCs/>
        </w:rPr>
        <w:t>Bill of Rights</w:t>
      </w:r>
      <w:r w:rsidRPr="00F2125E">
        <w:rPr>
          <w:rFonts w:ascii="Times New Roman" w:hAnsi="Times New Roman"/>
        </w:rPr>
        <w:t>;</w:t>
      </w:r>
      <w:r w:rsidRPr="00F2125E">
        <w:rPr>
          <w:rFonts w:ascii="Times New Roman" w:hAnsi="Times New Roman"/>
          <w:i/>
          <w:iCs/>
        </w:rPr>
        <w:t xml:space="preserve"> </w:t>
      </w:r>
      <w:r w:rsidRPr="00F2125E">
        <w:rPr>
          <w:rFonts w:ascii="Times New Roman" w:hAnsi="Times New Roman"/>
        </w:rPr>
        <w:t>and (ii) the domain of Parliament protected by the broader principle of exclusive cognisance. Some commentators have argued that courts have gone too far in narrowing the domain of the exclusive cognisance of Parliament.</w:t>
      </w:r>
      <w:r w:rsidRPr="00F2125E">
        <w:rPr>
          <w:rStyle w:val="FootnoteReference"/>
          <w:rFonts w:ascii="Times New Roman" w:hAnsi="Times New Roman"/>
          <w:sz w:val="24"/>
        </w:rPr>
        <w:footnoteReference w:id="140"/>
      </w:r>
      <w:r w:rsidRPr="00F2125E">
        <w:rPr>
          <w:rFonts w:ascii="Times New Roman" w:hAnsi="Times New Roman"/>
        </w:rPr>
        <w:t xml:space="preserve"> Others have urged the courts to narrow the domain further.</w:t>
      </w:r>
      <w:r w:rsidRPr="00F2125E">
        <w:rPr>
          <w:rStyle w:val="FootnoteReference"/>
          <w:rFonts w:ascii="Times New Roman" w:hAnsi="Times New Roman"/>
          <w:sz w:val="24"/>
        </w:rPr>
        <w:footnoteReference w:id="141"/>
      </w:r>
    </w:p>
    <w:p w14:paraId="71C8513A"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In some </w:t>
      </w:r>
      <w:proofErr w:type="gramStart"/>
      <w:r w:rsidRPr="00F2125E">
        <w:rPr>
          <w:rFonts w:ascii="Times New Roman" w:hAnsi="Times New Roman"/>
        </w:rPr>
        <w:t>cases</w:t>
      </w:r>
      <w:proofErr w:type="gramEnd"/>
      <w:r w:rsidRPr="00F2125E">
        <w:rPr>
          <w:rFonts w:ascii="Times New Roman" w:hAnsi="Times New Roman"/>
        </w:rPr>
        <w:t xml:space="preserve"> it may be difficult to determine whether the matters arising for adjudication fall within the exclusive cognisance of Parliament, raising difficult questions concerning where the boundary of the exclusive domain of Parliament should be drawn. The answers to the three questions of statutory interpretation above mean that this not one of those difficult cases. As explained above: (</w:t>
      </w:r>
      <w:proofErr w:type="spellStart"/>
      <w:r w:rsidRPr="00F2125E">
        <w:rPr>
          <w:rFonts w:ascii="Times New Roman" w:hAnsi="Times New Roman"/>
        </w:rPr>
        <w:t>i</w:t>
      </w:r>
      <w:proofErr w:type="spellEnd"/>
      <w:r w:rsidRPr="00F2125E">
        <w:rPr>
          <w:rFonts w:ascii="Times New Roman" w:hAnsi="Times New Roman"/>
        </w:rPr>
        <w:t xml:space="preserve">) the duty in s 16(1) is owed by a "general government sector body" which is an Executive body or the body politic of the State of Tasmania; (ii) the duty is one that is closely related to the processes of Parliament and, in its consideration by a court, Art 9 of the </w:t>
      </w:r>
      <w:r w:rsidRPr="00F2125E">
        <w:rPr>
          <w:rFonts w:ascii="Times New Roman" w:hAnsi="Times New Roman"/>
          <w:i/>
          <w:iCs/>
        </w:rPr>
        <w:t xml:space="preserve">Bill of Rights </w:t>
      </w:r>
      <w:r w:rsidRPr="00F2125E">
        <w:rPr>
          <w:rFonts w:ascii="Times New Roman" w:hAnsi="Times New Roman"/>
        </w:rPr>
        <w:t>might be infringed; and (iii) the duty is owed only to Parliament.</w:t>
      </w:r>
    </w:p>
    <w:p w14:paraId="2CE118E1"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As a duty that is closely associated with the processes of Parliament, thereby raising questions concerning the application of Art 9 of the </w:t>
      </w:r>
      <w:r w:rsidRPr="00F2125E">
        <w:rPr>
          <w:rFonts w:ascii="Times New Roman" w:hAnsi="Times New Roman"/>
          <w:i/>
          <w:iCs/>
        </w:rPr>
        <w:t>Bill of Rights</w:t>
      </w:r>
      <w:r w:rsidRPr="00F2125E">
        <w:rPr>
          <w:rFonts w:ascii="Times New Roman" w:hAnsi="Times New Roman"/>
        </w:rPr>
        <w:t>, and also as a duty that is owed by the Executive only to Parliament, the duty in s 16(1) can comfortably be characterised as a rare case involving the "internal affairs" of Parliament.</w:t>
      </w:r>
      <w:r w:rsidRPr="00F2125E">
        <w:rPr>
          <w:rStyle w:val="FootnoteReference"/>
          <w:rFonts w:ascii="Times New Roman" w:hAnsi="Times New Roman"/>
          <w:sz w:val="24"/>
        </w:rPr>
        <w:footnoteReference w:id="142"/>
      </w:r>
      <w:r w:rsidRPr="00F2125E">
        <w:rPr>
          <w:rFonts w:ascii="Times New Roman" w:hAnsi="Times New Roman"/>
        </w:rPr>
        <w:t xml:space="preserve"> The "traditional view"</w:t>
      </w:r>
      <w:r w:rsidRPr="00F2125E">
        <w:rPr>
          <w:rStyle w:val="FootnoteReference"/>
          <w:rFonts w:ascii="Times New Roman" w:hAnsi="Times New Roman"/>
          <w:sz w:val="24"/>
        </w:rPr>
        <w:footnoteReference w:id="143"/>
      </w:r>
      <w:r w:rsidRPr="00F2125E">
        <w:rPr>
          <w:rFonts w:ascii="Times New Roman" w:hAnsi="Times New Roman"/>
        </w:rPr>
        <w:t xml:space="preserve"> is that Parliament's adjudication of those affairs "is not subject to review by a Court of law".</w:t>
      </w:r>
      <w:r w:rsidRPr="00F2125E">
        <w:rPr>
          <w:rStyle w:val="FootnoteReference"/>
          <w:rFonts w:ascii="Times New Roman" w:hAnsi="Times New Roman"/>
          <w:sz w:val="24"/>
        </w:rPr>
        <w:footnoteReference w:id="144"/>
      </w:r>
      <w:r w:rsidRPr="00F2125E">
        <w:rPr>
          <w:rFonts w:ascii="Times New Roman" w:hAnsi="Times New Roman"/>
        </w:rPr>
        <w:t xml:space="preserve"> While it can be accepted that descriptions such as the "internal affairs" or "intra-mural activities" of Parliament </w:t>
      </w:r>
      <w:r w:rsidRPr="00F2125E">
        <w:rPr>
          <w:rFonts w:ascii="Times New Roman" w:hAnsi="Times New Roman"/>
        </w:rPr>
        <w:lastRenderedPageBreak/>
        <w:t>involve loose language capable of including "the provision of basic supplies and services such as stationery and cleaning", and therefore capable of extending to disputes about supply of paper or employment of cleaners, the expression in the circumstances of this case invokes those activities that concern "Parliament's sovereignty as a legislative and deliberative assembly".</w:t>
      </w:r>
      <w:r w:rsidRPr="00F2125E">
        <w:rPr>
          <w:rStyle w:val="FootnoteReference"/>
          <w:rFonts w:ascii="Times New Roman" w:hAnsi="Times New Roman"/>
          <w:sz w:val="24"/>
        </w:rPr>
        <w:footnoteReference w:id="145"/>
      </w:r>
    </w:p>
    <w:p w14:paraId="52843E7D" w14:textId="77777777"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There are strong justifications for the traditional view in circumstances such as these, where the duty in question is predominantly concerned with the internal affairs of Parliament and where Parliament or a committee of Parliament may have chosen to take, or not to take, action. One justification for the traditional view is the avoidance of conflict, such as by different decisions between the courts and Parliament.</w:t>
      </w:r>
      <w:r w:rsidRPr="00F2125E">
        <w:rPr>
          <w:rStyle w:val="FootnoteReference"/>
          <w:rFonts w:ascii="Times New Roman" w:hAnsi="Times New Roman"/>
          <w:sz w:val="24"/>
        </w:rPr>
        <w:footnoteReference w:id="146"/>
      </w:r>
      <w:r w:rsidRPr="00F2125E">
        <w:rPr>
          <w:rFonts w:ascii="Times New Roman" w:hAnsi="Times New Roman"/>
        </w:rPr>
        <w:t xml:space="preserve"> Another is inefficiency.</w:t>
      </w:r>
      <w:r w:rsidRPr="00F2125E">
        <w:rPr>
          <w:rStyle w:val="FootnoteReference"/>
          <w:rFonts w:ascii="Times New Roman" w:hAnsi="Times New Roman"/>
          <w:sz w:val="24"/>
        </w:rPr>
        <w:footnoteReference w:id="147"/>
      </w:r>
      <w:r w:rsidRPr="00F2125E">
        <w:rPr>
          <w:rFonts w:ascii="Times New Roman" w:hAnsi="Times New Roman"/>
        </w:rPr>
        <w:t xml:space="preserve"> But in some circumstances of potential concurrent institutional authority, the risk of conflicting decisions or inefficiency might be tolerated. The strongest justification for the traditional view is the corrosive effect of one branch of government assuming authority over core institutional aspects of another branch of government.</w:t>
      </w:r>
      <w:r w:rsidRPr="00F2125E">
        <w:rPr>
          <w:rStyle w:val="FootnoteReference"/>
          <w:rFonts w:ascii="Times New Roman" w:hAnsi="Times New Roman"/>
          <w:sz w:val="24"/>
        </w:rPr>
        <w:footnoteReference w:id="148"/>
      </w:r>
      <w:r w:rsidRPr="00F2125E">
        <w:rPr>
          <w:rFonts w:ascii="Times New Roman" w:hAnsi="Times New Roman"/>
        </w:rPr>
        <w:t xml:space="preserve"> In such circumstances, references to "comity", "mutual restraint", "mutuality of respect", and "separation of powers"</w:t>
      </w:r>
      <w:r w:rsidRPr="00F2125E">
        <w:rPr>
          <w:rStyle w:val="FootnoteReference"/>
          <w:rFonts w:ascii="Times New Roman" w:hAnsi="Times New Roman"/>
          <w:sz w:val="24"/>
        </w:rPr>
        <w:footnoteReference w:id="149"/>
      </w:r>
      <w:r w:rsidRPr="00F2125E">
        <w:rPr>
          <w:rFonts w:ascii="Times New Roman" w:hAnsi="Times New Roman"/>
        </w:rPr>
        <w:t xml:space="preserve"> describe the need for the separation, and segregation, of the exercise of power that falls within the cognisance of Parliament from the authority of the courts to exercise judicial power. As a matter concerning the internal affairs of the Tasmanian Parliament and involving a duty owed to the Parliament, this strongest justification applies to the adjudication of an allegation of breach of s 16(1) of the </w:t>
      </w:r>
      <w:r w:rsidRPr="00F2125E">
        <w:rPr>
          <w:rFonts w:ascii="Times New Roman" w:hAnsi="Times New Roman"/>
          <w:i/>
          <w:iCs/>
        </w:rPr>
        <w:t>Public Works Committee Act</w:t>
      </w:r>
      <w:r w:rsidRPr="00F2125E">
        <w:rPr>
          <w:rFonts w:ascii="Times New Roman" w:hAnsi="Times New Roman"/>
        </w:rPr>
        <w:t>. Mr </w:t>
      </w:r>
      <w:proofErr w:type="spellStart"/>
      <w:r w:rsidRPr="00F2125E">
        <w:rPr>
          <w:rFonts w:ascii="Times New Roman" w:hAnsi="Times New Roman"/>
        </w:rPr>
        <w:t>Casimaty's</w:t>
      </w:r>
      <w:proofErr w:type="spellEnd"/>
      <w:r w:rsidRPr="00F2125E">
        <w:rPr>
          <w:rFonts w:ascii="Times New Roman" w:hAnsi="Times New Roman"/>
        </w:rPr>
        <w:t xml:space="preserve"> claim thus falls within the exclusive cognisance of the Parliament of Tasmania.</w:t>
      </w:r>
    </w:p>
    <w:p w14:paraId="365E1794" w14:textId="77777777" w:rsidR="005C789E" w:rsidRPr="00F2125E" w:rsidRDefault="005C789E" w:rsidP="00F2125E">
      <w:pPr>
        <w:pStyle w:val="HeadingL1"/>
        <w:spacing w:after="260" w:line="280" w:lineRule="exact"/>
        <w:ind w:right="0"/>
        <w:jc w:val="both"/>
        <w:rPr>
          <w:rFonts w:ascii="Times New Roman" w:hAnsi="Times New Roman"/>
        </w:rPr>
      </w:pPr>
      <w:r w:rsidRPr="00F2125E">
        <w:rPr>
          <w:rFonts w:ascii="Times New Roman" w:hAnsi="Times New Roman"/>
        </w:rPr>
        <w:lastRenderedPageBreak/>
        <w:t>Conclusion</w:t>
      </w:r>
    </w:p>
    <w:p w14:paraId="52BB5E42" w14:textId="3AD7CB8A" w:rsidR="005C789E" w:rsidRPr="00F2125E" w:rsidRDefault="005C789E" w:rsidP="00F2125E">
      <w:pPr>
        <w:pStyle w:val="FixListStyle"/>
        <w:spacing w:after="260" w:line="280" w:lineRule="exact"/>
        <w:ind w:right="0"/>
        <w:jc w:val="both"/>
        <w:rPr>
          <w:rFonts w:ascii="Times New Roman" w:hAnsi="Times New Roman"/>
        </w:rPr>
      </w:pPr>
      <w:r w:rsidRPr="00F2125E">
        <w:rPr>
          <w:rFonts w:ascii="Times New Roman" w:hAnsi="Times New Roman"/>
        </w:rPr>
        <w:tab/>
        <w:t xml:space="preserve">The appeal should be allowed with </w:t>
      </w:r>
      <w:r w:rsidR="00EC0D54">
        <w:rPr>
          <w:rFonts w:ascii="Times New Roman" w:hAnsi="Times New Roman"/>
        </w:rPr>
        <w:t xml:space="preserve">the first respondent to pay the appellant's </w:t>
      </w:r>
      <w:r w:rsidRPr="00F2125E">
        <w:rPr>
          <w:rFonts w:ascii="Times New Roman" w:hAnsi="Times New Roman"/>
        </w:rPr>
        <w:t>costs</w:t>
      </w:r>
      <w:r w:rsidR="00915B29">
        <w:rPr>
          <w:rFonts w:ascii="Times New Roman" w:hAnsi="Times New Roman"/>
        </w:rPr>
        <w:t>. O</w:t>
      </w:r>
      <w:r w:rsidRPr="00F2125E">
        <w:rPr>
          <w:rFonts w:ascii="Times New Roman" w:hAnsi="Times New Roman"/>
        </w:rPr>
        <w:t xml:space="preserve">rders should </w:t>
      </w:r>
      <w:r w:rsidR="00915B29">
        <w:rPr>
          <w:rFonts w:ascii="Times New Roman" w:hAnsi="Times New Roman"/>
        </w:rPr>
        <w:t xml:space="preserve">also </w:t>
      </w:r>
      <w:r w:rsidRPr="00F2125E">
        <w:rPr>
          <w:rFonts w:ascii="Times New Roman" w:hAnsi="Times New Roman"/>
        </w:rPr>
        <w:t>be made setting aside the orders of the Full Court and, in place of those orders, ordering that the appeal from the orders of the primary judge be dismissed with costs.</w:t>
      </w:r>
    </w:p>
    <w:p w14:paraId="6585B3AD" w14:textId="77777777" w:rsidR="005C789E" w:rsidRDefault="005C789E" w:rsidP="00B247DF">
      <w:pPr>
        <w:pStyle w:val="FixListStyle"/>
        <w:spacing w:after="260" w:line="280" w:lineRule="exact"/>
        <w:ind w:right="0"/>
        <w:jc w:val="both"/>
        <w:rPr>
          <w:rFonts w:ascii="Times New Roman" w:hAnsi="Times New Roman"/>
        </w:rPr>
        <w:sectPr w:rsidR="005C789E" w:rsidSect="005C789E">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5DA51C5C" w14:textId="4CB96F63" w:rsidR="00576C0F" w:rsidRPr="00B247DF" w:rsidRDefault="00576C0F" w:rsidP="005C789E">
      <w:pPr>
        <w:pStyle w:val="NormalBody"/>
      </w:pPr>
    </w:p>
    <w:sectPr w:rsidR="00576C0F" w:rsidRPr="00B247DF" w:rsidSect="005C789E">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E1606" w14:textId="77777777" w:rsidR="00A06F15" w:rsidRDefault="00A06F15">
      <w:pPr>
        <w:spacing w:line="240" w:lineRule="auto"/>
      </w:pPr>
      <w:r>
        <w:separator/>
      </w:r>
    </w:p>
  </w:endnote>
  <w:endnote w:type="continuationSeparator" w:id="0">
    <w:p w14:paraId="0C20ED7A" w14:textId="77777777" w:rsidR="00A06F15" w:rsidRDefault="00A06F15">
      <w:pPr>
        <w:spacing w:line="240" w:lineRule="auto"/>
      </w:pPr>
      <w:r>
        <w:continuationSeparator/>
      </w:r>
    </w:p>
  </w:endnote>
  <w:endnote w:type="continuationNotice" w:id="1">
    <w:p w14:paraId="37F1973A" w14:textId="77777777" w:rsidR="00A06F15" w:rsidRDefault="00A06F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442C" w14:textId="77777777" w:rsidR="00CF754B" w:rsidRDefault="00CF7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048E" w14:textId="77777777" w:rsidR="00CF754B" w:rsidRDefault="00CF7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FBA6" w14:textId="77777777" w:rsidR="00CF754B" w:rsidRDefault="00CF75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52E7" w14:textId="77777777" w:rsidR="00CF754B" w:rsidRDefault="00CF75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079D" w14:textId="77777777" w:rsidR="00CF754B" w:rsidRDefault="00CF75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C7C5" w14:textId="77777777" w:rsidR="00CF754B" w:rsidRDefault="00CF7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17C5" w14:textId="77777777" w:rsidR="00A06F15" w:rsidRPr="00B247DF" w:rsidRDefault="00A06F15" w:rsidP="00B247DF">
      <w:pPr>
        <w:pStyle w:val="Footer"/>
        <w:spacing w:before="120" w:after="20"/>
        <w:ind w:right="0"/>
        <w:rPr>
          <w:rFonts w:ascii="Times New Roman" w:hAnsi="Times New Roman"/>
        </w:rPr>
      </w:pPr>
      <w:r>
        <w:continuationSeparator/>
      </w:r>
    </w:p>
  </w:footnote>
  <w:footnote w:type="continuationSeparator" w:id="0">
    <w:p w14:paraId="07D102C5" w14:textId="77777777" w:rsidR="00A06F15" w:rsidRPr="00B247DF" w:rsidRDefault="00A06F15" w:rsidP="00B247DF">
      <w:pPr>
        <w:pStyle w:val="Footer"/>
        <w:spacing w:before="120" w:after="20"/>
        <w:ind w:right="0"/>
        <w:rPr>
          <w:rFonts w:ascii="Times New Roman" w:hAnsi="Times New Roman"/>
        </w:rPr>
      </w:pPr>
      <w:r w:rsidRPr="00B247DF">
        <w:rPr>
          <w:rFonts w:ascii="Times New Roman" w:hAnsi="Times New Roman"/>
        </w:rPr>
        <w:continuationSeparator/>
      </w:r>
    </w:p>
  </w:footnote>
  <w:footnote w:type="continuationNotice" w:id="1">
    <w:p w14:paraId="2BD79109" w14:textId="77777777" w:rsidR="00A06F15" w:rsidRPr="005C789E" w:rsidRDefault="00A06F15">
      <w:pPr>
        <w:jc w:val="right"/>
        <w:rPr>
          <w:rFonts w:ascii="Times New Roman" w:hAnsi="Times New Roman"/>
          <w:sz w:val="24"/>
        </w:rPr>
      </w:pPr>
    </w:p>
  </w:footnote>
  <w:footnote w:id="2">
    <w:p w14:paraId="28F5F19E" w14:textId="463419F3" w:rsidR="00367ACA" w:rsidRPr="00B247DF" w:rsidRDefault="00367ACA" w:rsidP="00B247DF">
      <w:pPr>
        <w:pStyle w:val="FootnoteText"/>
        <w:spacing w:line="280" w:lineRule="exact"/>
        <w:ind w:right="0"/>
        <w:jc w:val="both"/>
        <w:rPr>
          <w:rFonts w:ascii="Times New Roman" w:hAnsi="Times New Roman"/>
          <w:i/>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F56D62" w:rsidRPr="00B247DF">
        <w:rPr>
          <w:rFonts w:ascii="Times New Roman" w:hAnsi="Times New Roman"/>
          <w:sz w:val="24"/>
        </w:rPr>
        <w:tab/>
      </w:r>
      <w:proofErr w:type="spellStart"/>
      <w:r w:rsidR="00F56D62" w:rsidRPr="00B247DF">
        <w:rPr>
          <w:rFonts w:ascii="Times New Roman" w:hAnsi="Times New Roman"/>
          <w:i/>
          <w:iCs/>
          <w:sz w:val="24"/>
        </w:rPr>
        <w:t>Casimaty</w:t>
      </w:r>
      <w:proofErr w:type="spellEnd"/>
      <w:r w:rsidR="00F56D62" w:rsidRPr="00B247DF">
        <w:rPr>
          <w:rFonts w:ascii="Times New Roman" w:hAnsi="Times New Roman"/>
          <w:i/>
          <w:iCs/>
          <w:sz w:val="24"/>
        </w:rPr>
        <w:t xml:space="preserve"> v Hazell Bros Group Pty Ltd [No 2] </w:t>
      </w:r>
      <w:r w:rsidR="00F56D62" w:rsidRPr="00B247DF">
        <w:rPr>
          <w:rFonts w:ascii="Times New Roman" w:hAnsi="Times New Roman"/>
          <w:sz w:val="24"/>
        </w:rPr>
        <w:t>[2022] TASSC 9.</w:t>
      </w:r>
    </w:p>
  </w:footnote>
  <w:footnote w:id="3">
    <w:p w14:paraId="17FA8FEE" w14:textId="5190B54C" w:rsidR="00367ACA" w:rsidRPr="00B247DF" w:rsidRDefault="00367ACA"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lang w:val="en-US"/>
        </w:rPr>
        <w:tab/>
      </w:r>
      <w:r w:rsidR="000857F7" w:rsidRPr="00B247DF">
        <w:rPr>
          <w:rFonts w:ascii="Times New Roman" w:hAnsi="Times New Roman"/>
          <w:sz w:val="24"/>
        </w:rPr>
        <w:t xml:space="preserve">[2022] TASSC 9 </w:t>
      </w:r>
      <w:r w:rsidRPr="00B247DF">
        <w:rPr>
          <w:rFonts w:ascii="Times New Roman" w:hAnsi="Times New Roman"/>
          <w:sz w:val="24"/>
          <w:lang w:val="en-US"/>
        </w:rPr>
        <w:t xml:space="preserve">at </w:t>
      </w:r>
      <w:r w:rsidR="00C54544" w:rsidRPr="00B247DF">
        <w:rPr>
          <w:rFonts w:ascii="Times New Roman" w:hAnsi="Times New Roman"/>
          <w:sz w:val="24"/>
          <w:lang w:val="en-US"/>
        </w:rPr>
        <w:t>[32].</w:t>
      </w:r>
    </w:p>
  </w:footnote>
  <w:footnote w:id="4">
    <w:p w14:paraId="37566FF1" w14:textId="33706F48" w:rsidR="0087511C" w:rsidRPr="00B247DF" w:rsidRDefault="0087511C"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191E6A" w:rsidRPr="00B247DF">
        <w:rPr>
          <w:rFonts w:ascii="Times New Roman" w:hAnsi="Times New Roman"/>
          <w:sz w:val="24"/>
        </w:rPr>
        <w:tab/>
      </w:r>
      <w:proofErr w:type="spellStart"/>
      <w:r w:rsidR="00191E6A" w:rsidRPr="00B247DF">
        <w:rPr>
          <w:rFonts w:ascii="Times New Roman" w:hAnsi="Times New Roman"/>
          <w:i/>
          <w:iCs/>
          <w:sz w:val="24"/>
        </w:rPr>
        <w:t>Casimaty</w:t>
      </w:r>
      <w:proofErr w:type="spellEnd"/>
      <w:r w:rsidR="00191E6A" w:rsidRPr="00B247DF">
        <w:rPr>
          <w:rFonts w:ascii="Times New Roman" w:hAnsi="Times New Roman"/>
          <w:i/>
          <w:iCs/>
          <w:sz w:val="24"/>
        </w:rPr>
        <w:t xml:space="preserve"> v Hazell Bros Group Pty Ltd</w:t>
      </w:r>
      <w:r w:rsidR="00191E6A" w:rsidRPr="00B247DF">
        <w:rPr>
          <w:rFonts w:ascii="Times New Roman" w:hAnsi="Times New Roman"/>
          <w:sz w:val="24"/>
        </w:rPr>
        <w:t xml:space="preserve"> [2023] TASFC 2</w:t>
      </w:r>
      <w:r w:rsidR="002E62EF" w:rsidRPr="00B247DF">
        <w:rPr>
          <w:rFonts w:ascii="Times New Roman" w:hAnsi="Times New Roman"/>
          <w:sz w:val="24"/>
        </w:rPr>
        <w:t xml:space="preserve"> at </w:t>
      </w:r>
      <w:r w:rsidR="00CA5F61" w:rsidRPr="00B247DF">
        <w:rPr>
          <w:rFonts w:ascii="Times New Roman" w:hAnsi="Times New Roman"/>
          <w:sz w:val="24"/>
        </w:rPr>
        <w:t xml:space="preserve">[1], </w:t>
      </w:r>
      <w:r w:rsidR="002E62EF" w:rsidRPr="00B247DF">
        <w:rPr>
          <w:rFonts w:ascii="Times New Roman" w:hAnsi="Times New Roman"/>
          <w:sz w:val="24"/>
        </w:rPr>
        <w:t>[35]</w:t>
      </w:r>
      <w:r w:rsidR="00191E6A" w:rsidRPr="00B247DF">
        <w:rPr>
          <w:rFonts w:ascii="Times New Roman" w:hAnsi="Times New Roman"/>
          <w:sz w:val="24"/>
        </w:rPr>
        <w:t xml:space="preserve">. </w:t>
      </w:r>
    </w:p>
  </w:footnote>
  <w:footnote w:id="5">
    <w:p w14:paraId="16367A4F" w14:textId="2C597F2A" w:rsidR="001121C7" w:rsidRPr="00B247DF" w:rsidRDefault="001121C7"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2D6274" w:rsidRPr="00B247DF">
        <w:rPr>
          <w:rFonts w:ascii="Times New Roman" w:hAnsi="Times New Roman"/>
          <w:sz w:val="24"/>
        </w:rPr>
        <w:tab/>
        <w:t>[2023] TASFC 2 at [24].</w:t>
      </w:r>
    </w:p>
  </w:footnote>
  <w:footnote w:id="6">
    <w:p w14:paraId="111DF7B2" w14:textId="16EF8DD3" w:rsidR="007D252C" w:rsidRPr="00B247DF" w:rsidRDefault="007D252C"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t>[2023] TASFC 2 at [28].</w:t>
      </w:r>
    </w:p>
  </w:footnote>
  <w:footnote w:id="7">
    <w:p w14:paraId="0789C2BF" w14:textId="6F4DA632" w:rsidR="00E84193" w:rsidRPr="00B247DF" w:rsidRDefault="00E84193"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t xml:space="preserve">[2023] TASFC 2 at [33]-[34]. </w:t>
      </w:r>
    </w:p>
  </w:footnote>
  <w:footnote w:id="8">
    <w:p w14:paraId="73BE3E96" w14:textId="205D4422" w:rsidR="00643483" w:rsidRPr="00B247DF" w:rsidRDefault="00643483"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t xml:space="preserve">New South Wales, Legislative Assembly, </w:t>
      </w:r>
      <w:r w:rsidRPr="00B247DF">
        <w:rPr>
          <w:rFonts w:ascii="Times New Roman" w:hAnsi="Times New Roman"/>
          <w:i/>
          <w:iCs/>
          <w:sz w:val="24"/>
        </w:rPr>
        <w:t>Parliamentary Debates</w:t>
      </w:r>
      <w:r w:rsidRPr="00B247DF">
        <w:rPr>
          <w:rFonts w:ascii="Times New Roman" w:hAnsi="Times New Roman"/>
          <w:sz w:val="24"/>
        </w:rPr>
        <w:t xml:space="preserve"> (Hansard), 8</w:t>
      </w:r>
      <w:r w:rsidR="00134E1D">
        <w:rPr>
          <w:rFonts w:ascii="Times New Roman" w:hAnsi="Times New Roman"/>
          <w:sz w:val="24"/>
        </w:rPr>
        <w:t> </w:t>
      </w:r>
      <w:r w:rsidRPr="00B247DF">
        <w:rPr>
          <w:rFonts w:ascii="Times New Roman" w:hAnsi="Times New Roman"/>
          <w:sz w:val="24"/>
        </w:rPr>
        <w:t>February 1888 at 24</w:t>
      </w:r>
      <w:r w:rsidR="00B335BF" w:rsidRPr="00B247DF">
        <w:rPr>
          <w:rFonts w:ascii="Times New Roman" w:hAnsi="Times New Roman"/>
          <w:sz w:val="24"/>
        </w:rPr>
        <w:t>18</w:t>
      </w:r>
      <w:r w:rsidRPr="00B247DF">
        <w:rPr>
          <w:rFonts w:ascii="Times New Roman" w:hAnsi="Times New Roman"/>
          <w:sz w:val="24"/>
        </w:rPr>
        <w:t>-242</w:t>
      </w:r>
      <w:r w:rsidR="00B335BF" w:rsidRPr="00B247DF">
        <w:rPr>
          <w:rFonts w:ascii="Times New Roman" w:hAnsi="Times New Roman"/>
          <w:sz w:val="24"/>
        </w:rPr>
        <w:t>3</w:t>
      </w:r>
      <w:r w:rsidRPr="00B247DF">
        <w:rPr>
          <w:rFonts w:ascii="Times New Roman" w:hAnsi="Times New Roman"/>
          <w:sz w:val="24"/>
        </w:rPr>
        <w:t xml:space="preserve">. See generally Beauchamp, </w:t>
      </w:r>
      <w:r w:rsidRPr="00B247DF">
        <w:rPr>
          <w:rFonts w:ascii="Times New Roman" w:hAnsi="Times New Roman"/>
          <w:i/>
          <w:iCs/>
          <w:sz w:val="24"/>
        </w:rPr>
        <w:t>Parliament, Politics and Public Works: A History of the New South Wales Public Works Committee 1888-1930</w:t>
      </w:r>
      <w:r w:rsidRPr="00B247DF">
        <w:rPr>
          <w:rFonts w:ascii="Times New Roman" w:hAnsi="Times New Roman"/>
          <w:sz w:val="24"/>
        </w:rPr>
        <w:t xml:space="preserve"> (2006) at 9-1</w:t>
      </w:r>
      <w:r w:rsidR="00CD6C74" w:rsidRPr="00B247DF">
        <w:rPr>
          <w:rFonts w:ascii="Times New Roman" w:hAnsi="Times New Roman"/>
          <w:sz w:val="24"/>
        </w:rPr>
        <w:t>2</w:t>
      </w:r>
      <w:r w:rsidRPr="00B247DF">
        <w:rPr>
          <w:rFonts w:ascii="Times New Roman" w:hAnsi="Times New Roman"/>
          <w:sz w:val="24"/>
        </w:rPr>
        <w:t>.</w:t>
      </w:r>
    </w:p>
  </w:footnote>
  <w:footnote w:id="9">
    <w:p w14:paraId="6BC77A39" w14:textId="548AE872" w:rsidR="0063720B" w:rsidRPr="00B247DF" w:rsidRDefault="0063720B"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CB0E4D" w:rsidRPr="00B247DF">
        <w:rPr>
          <w:rFonts w:ascii="Times New Roman" w:hAnsi="Times New Roman"/>
          <w:sz w:val="24"/>
        </w:rPr>
        <w:tab/>
      </w:r>
      <w:r w:rsidR="00B44EAB" w:rsidRPr="00B247DF">
        <w:rPr>
          <w:rFonts w:ascii="Times New Roman" w:hAnsi="Times New Roman"/>
          <w:sz w:val="24"/>
        </w:rPr>
        <w:t xml:space="preserve">New South Wales, </w:t>
      </w:r>
      <w:r w:rsidR="00DB6E03" w:rsidRPr="00B247DF">
        <w:rPr>
          <w:rFonts w:ascii="Times New Roman" w:hAnsi="Times New Roman"/>
          <w:sz w:val="24"/>
        </w:rPr>
        <w:t xml:space="preserve">Legislative Assembly, </w:t>
      </w:r>
      <w:r w:rsidR="00DC117A" w:rsidRPr="00B247DF">
        <w:rPr>
          <w:rFonts w:ascii="Times New Roman" w:hAnsi="Times New Roman"/>
          <w:i/>
          <w:iCs/>
          <w:sz w:val="24"/>
        </w:rPr>
        <w:t>Parliamentary Debates</w:t>
      </w:r>
      <w:r w:rsidR="00DC117A" w:rsidRPr="00B247DF">
        <w:rPr>
          <w:rFonts w:ascii="Times New Roman" w:hAnsi="Times New Roman"/>
          <w:sz w:val="24"/>
        </w:rPr>
        <w:t xml:space="preserve"> (Hansard)</w:t>
      </w:r>
      <w:r w:rsidR="00B90971" w:rsidRPr="00B247DF">
        <w:rPr>
          <w:rFonts w:ascii="Times New Roman" w:hAnsi="Times New Roman"/>
          <w:sz w:val="24"/>
        </w:rPr>
        <w:t xml:space="preserve">, </w:t>
      </w:r>
      <w:r w:rsidR="00D033B3" w:rsidRPr="00B247DF">
        <w:rPr>
          <w:rFonts w:ascii="Times New Roman" w:hAnsi="Times New Roman"/>
          <w:sz w:val="24"/>
        </w:rPr>
        <w:t>8</w:t>
      </w:r>
      <w:r w:rsidR="00134E1D">
        <w:rPr>
          <w:rFonts w:ascii="Times New Roman" w:hAnsi="Times New Roman"/>
          <w:sz w:val="24"/>
        </w:rPr>
        <w:t> </w:t>
      </w:r>
      <w:r w:rsidR="00D033B3" w:rsidRPr="00B247DF">
        <w:rPr>
          <w:rFonts w:ascii="Times New Roman" w:hAnsi="Times New Roman"/>
          <w:sz w:val="24"/>
        </w:rPr>
        <w:t>February 1888</w:t>
      </w:r>
      <w:r w:rsidR="00DC117A" w:rsidRPr="00B247DF">
        <w:rPr>
          <w:rFonts w:ascii="Times New Roman" w:hAnsi="Times New Roman"/>
          <w:sz w:val="24"/>
        </w:rPr>
        <w:t xml:space="preserve"> </w:t>
      </w:r>
      <w:r w:rsidR="00750432" w:rsidRPr="00B247DF">
        <w:rPr>
          <w:rFonts w:ascii="Times New Roman" w:hAnsi="Times New Roman"/>
          <w:sz w:val="24"/>
        </w:rPr>
        <w:t xml:space="preserve">at </w:t>
      </w:r>
      <w:r w:rsidR="000249A6" w:rsidRPr="00B247DF">
        <w:rPr>
          <w:rFonts w:ascii="Times New Roman" w:hAnsi="Times New Roman"/>
          <w:sz w:val="24"/>
        </w:rPr>
        <w:t>2419.</w:t>
      </w:r>
    </w:p>
  </w:footnote>
  <w:footnote w:id="10">
    <w:p w14:paraId="079B8BBA" w14:textId="70043E72" w:rsidR="0002385D" w:rsidRPr="00B247DF" w:rsidRDefault="0002385D"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9637B6" w:rsidRPr="00B247DF">
        <w:rPr>
          <w:rFonts w:ascii="Times New Roman" w:hAnsi="Times New Roman"/>
          <w:sz w:val="24"/>
        </w:rPr>
        <w:tab/>
      </w:r>
      <w:r w:rsidR="00974887" w:rsidRPr="00B247DF">
        <w:rPr>
          <w:rFonts w:ascii="Times New Roman" w:hAnsi="Times New Roman"/>
          <w:sz w:val="24"/>
        </w:rPr>
        <w:t xml:space="preserve">Australia, House of Representatives, </w:t>
      </w:r>
      <w:r w:rsidR="00974887" w:rsidRPr="00B247DF">
        <w:rPr>
          <w:rFonts w:ascii="Times New Roman" w:hAnsi="Times New Roman"/>
          <w:i/>
          <w:iCs/>
          <w:sz w:val="24"/>
        </w:rPr>
        <w:t>Parliamentary Debates</w:t>
      </w:r>
      <w:r w:rsidR="00974887" w:rsidRPr="00B247DF">
        <w:rPr>
          <w:rFonts w:ascii="Times New Roman" w:hAnsi="Times New Roman"/>
          <w:sz w:val="24"/>
        </w:rPr>
        <w:t xml:space="preserve"> (Hansard), </w:t>
      </w:r>
      <w:r w:rsidR="006A7978" w:rsidRPr="00B247DF">
        <w:rPr>
          <w:rFonts w:ascii="Times New Roman" w:hAnsi="Times New Roman"/>
          <w:sz w:val="24"/>
        </w:rPr>
        <w:t>12</w:t>
      </w:r>
      <w:r w:rsidR="00134E1D">
        <w:rPr>
          <w:rFonts w:ascii="Times New Roman" w:hAnsi="Times New Roman"/>
          <w:sz w:val="24"/>
        </w:rPr>
        <w:t> </w:t>
      </w:r>
      <w:r w:rsidR="006A7978" w:rsidRPr="00B247DF">
        <w:rPr>
          <w:rFonts w:ascii="Times New Roman" w:hAnsi="Times New Roman"/>
          <w:sz w:val="24"/>
        </w:rPr>
        <w:t xml:space="preserve">December 1913 </w:t>
      </w:r>
      <w:r w:rsidR="009637B6" w:rsidRPr="00B247DF">
        <w:rPr>
          <w:rFonts w:ascii="Times New Roman" w:hAnsi="Times New Roman"/>
          <w:sz w:val="24"/>
        </w:rPr>
        <w:t xml:space="preserve">at 4245. </w:t>
      </w:r>
    </w:p>
  </w:footnote>
  <w:footnote w:id="11">
    <w:p w14:paraId="309A67DD" w14:textId="6447007C" w:rsidR="0002385D" w:rsidRPr="00B247DF" w:rsidRDefault="0002385D"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E97B0D" w:rsidRPr="00B247DF">
        <w:rPr>
          <w:rFonts w:ascii="Times New Roman" w:hAnsi="Times New Roman"/>
          <w:sz w:val="24"/>
        </w:rPr>
        <w:tab/>
      </w:r>
      <w:r w:rsidR="003701E5" w:rsidRPr="00B247DF">
        <w:rPr>
          <w:rFonts w:ascii="Times New Roman" w:hAnsi="Times New Roman"/>
          <w:i/>
          <w:iCs/>
          <w:sz w:val="24"/>
        </w:rPr>
        <w:t>The Mercury</w:t>
      </w:r>
      <w:r w:rsidR="003701E5" w:rsidRPr="00B247DF">
        <w:rPr>
          <w:rFonts w:ascii="Times New Roman" w:hAnsi="Times New Roman"/>
          <w:sz w:val="24"/>
        </w:rPr>
        <w:t xml:space="preserve"> (Hobart), </w:t>
      </w:r>
      <w:r w:rsidR="00FD03DD" w:rsidRPr="00B247DF">
        <w:rPr>
          <w:rFonts w:ascii="Times New Roman" w:hAnsi="Times New Roman"/>
          <w:sz w:val="24"/>
        </w:rPr>
        <w:t>26 November 1914</w:t>
      </w:r>
      <w:r w:rsidR="003701E5" w:rsidRPr="00B247DF">
        <w:rPr>
          <w:rFonts w:ascii="Times New Roman" w:hAnsi="Times New Roman"/>
          <w:sz w:val="24"/>
        </w:rPr>
        <w:t xml:space="preserve"> </w:t>
      </w:r>
      <w:r w:rsidR="00140EEE" w:rsidRPr="00B247DF">
        <w:rPr>
          <w:rFonts w:ascii="Times New Roman" w:hAnsi="Times New Roman"/>
          <w:sz w:val="24"/>
        </w:rPr>
        <w:t xml:space="preserve">at 8. </w:t>
      </w:r>
    </w:p>
  </w:footnote>
  <w:footnote w:id="12">
    <w:p w14:paraId="53606A26" w14:textId="3B0DB11A" w:rsidR="00615B37" w:rsidRPr="00B247DF" w:rsidRDefault="00615B37"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93318D" w:rsidRPr="00B247DF">
        <w:rPr>
          <w:rFonts w:ascii="Times New Roman" w:hAnsi="Times New Roman"/>
          <w:sz w:val="24"/>
        </w:rPr>
        <w:tab/>
        <w:t>Section 3(1) of the Act.</w:t>
      </w:r>
    </w:p>
  </w:footnote>
  <w:footnote w:id="13">
    <w:p w14:paraId="72CEFBAA" w14:textId="1F9A2F93" w:rsidR="00DE23D8" w:rsidRPr="00B247DF" w:rsidRDefault="00DE23D8"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93318D" w:rsidRPr="00B247DF">
        <w:rPr>
          <w:rFonts w:ascii="Times New Roman" w:hAnsi="Times New Roman"/>
          <w:sz w:val="24"/>
        </w:rPr>
        <w:tab/>
        <w:t>Section 3(2) of the Act.</w:t>
      </w:r>
    </w:p>
  </w:footnote>
  <w:footnote w:id="14">
    <w:p w14:paraId="6AF9C6F4" w14:textId="5594321D" w:rsidR="0093318D" w:rsidRPr="00B247DF" w:rsidRDefault="0093318D"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t>Section 3(3) of the Act.</w:t>
      </w:r>
    </w:p>
  </w:footnote>
  <w:footnote w:id="15">
    <w:p w14:paraId="2DDB18A5" w14:textId="3EA5AEB8" w:rsidR="006278C9" w:rsidRPr="00B247DF" w:rsidRDefault="006278C9"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lang w:val="en-US"/>
        </w:rPr>
        <w:tab/>
      </w:r>
      <w:r w:rsidRPr="00B247DF">
        <w:rPr>
          <w:rFonts w:ascii="Times New Roman" w:hAnsi="Times New Roman"/>
          <w:sz w:val="24"/>
        </w:rPr>
        <w:t>Section 5 of the Act.</w:t>
      </w:r>
    </w:p>
  </w:footnote>
  <w:footnote w:id="16">
    <w:p w14:paraId="3C42B6EB" w14:textId="70D82B31" w:rsidR="00ED1FA9" w:rsidRPr="00B247DF" w:rsidRDefault="00ED1FA9"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FA2056" w:rsidRPr="00B247DF">
        <w:rPr>
          <w:rFonts w:ascii="Times New Roman" w:hAnsi="Times New Roman"/>
          <w:sz w:val="24"/>
        </w:rPr>
        <w:tab/>
        <w:t xml:space="preserve">Section </w:t>
      </w:r>
      <w:r w:rsidR="00D865E8" w:rsidRPr="00B247DF">
        <w:rPr>
          <w:rFonts w:ascii="Times New Roman" w:hAnsi="Times New Roman"/>
          <w:sz w:val="24"/>
        </w:rPr>
        <w:t>13</w:t>
      </w:r>
      <w:r w:rsidR="00FA2056" w:rsidRPr="00B247DF">
        <w:rPr>
          <w:rFonts w:ascii="Times New Roman" w:hAnsi="Times New Roman"/>
          <w:sz w:val="24"/>
        </w:rPr>
        <w:t xml:space="preserve"> of the Act.</w:t>
      </w:r>
    </w:p>
  </w:footnote>
  <w:footnote w:id="17">
    <w:p w14:paraId="697DA034" w14:textId="7F1ADABA" w:rsidR="00B03710" w:rsidRPr="00B247DF" w:rsidRDefault="00B03710"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D865E8" w:rsidRPr="00B247DF">
        <w:rPr>
          <w:rFonts w:ascii="Times New Roman" w:hAnsi="Times New Roman"/>
          <w:sz w:val="24"/>
        </w:rPr>
        <w:tab/>
        <w:t>Section 14 of the Act.</w:t>
      </w:r>
    </w:p>
  </w:footnote>
  <w:footnote w:id="18">
    <w:p w14:paraId="610C759F" w14:textId="1E39D338" w:rsidR="00FA2056" w:rsidRPr="00B247DF" w:rsidRDefault="00FA2056"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D865E8" w:rsidRPr="00B247DF">
        <w:rPr>
          <w:rFonts w:ascii="Times New Roman" w:hAnsi="Times New Roman"/>
          <w:sz w:val="24"/>
        </w:rPr>
        <w:tab/>
      </w:r>
      <w:r w:rsidR="00D57B06" w:rsidRPr="00B247DF">
        <w:rPr>
          <w:rFonts w:ascii="Times New Roman" w:hAnsi="Times New Roman"/>
          <w:sz w:val="24"/>
        </w:rPr>
        <w:t>Section 22 of the Act.</w:t>
      </w:r>
    </w:p>
  </w:footnote>
  <w:footnote w:id="19">
    <w:p w14:paraId="011A34D8" w14:textId="52ED9D02" w:rsidR="00017CF5" w:rsidRPr="00B247DF" w:rsidRDefault="00017CF5"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t>Section 2 of the Act.</w:t>
      </w:r>
    </w:p>
  </w:footnote>
  <w:footnote w:id="20">
    <w:p w14:paraId="73E20F80" w14:textId="1CFAB3AC" w:rsidR="0069441A" w:rsidRPr="00B247DF" w:rsidRDefault="0069441A"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t>Section 15(3) of the Act.</w:t>
      </w:r>
    </w:p>
  </w:footnote>
  <w:footnote w:id="21">
    <w:p w14:paraId="6ED58CC1" w14:textId="4D013860" w:rsidR="00C77431" w:rsidRPr="00B247DF" w:rsidRDefault="00C77431"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r>
      <w:r w:rsidRPr="00B247DF">
        <w:rPr>
          <w:rFonts w:ascii="Times New Roman" w:hAnsi="Times New Roman"/>
          <w:i/>
          <w:iCs/>
          <w:sz w:val="24"/>
        </w:rPr>
        <w:t>Public Works Committee Act (No 2)</w:t>
      </w:r>
      <w:r w:rsidRPr="00B247DF">
        <w:rPr>
          <w:rFonts w:ascii="Times New Roman" w:hAnsi="Times New Roman"/>
          <w:sz w:val="24"/>
        </w:rPr>
        <w:t xml:space="preserve"> </w:t>
      </w:r>
      <w:r w:rsidRPr="00B247DF">
        <w:rPr>
          <w:rFonts w:ascii="Times New Roman" w:hAnsi="Times New Roman"/>
          <w:i/>
          <w:iCs/>
          <w:sz w:val="24"/>
        </w:rPr>
        <w:t xml:space="preserve">1962 </w:t>
      </w:r>
      <w:r w:rsidRPr="00B247DF">
        <w:rPr>
          <w:rFonts w:ascii="Times New Roman" w:hAnsi="Times New Roman"/>
          <w:sz w:val="24"/>
        </w:rPr>
        <w:t xml:space="preserve">(Tas). </w:t>
      </w:r>
    </w:p>
  </w:footnote>
  <w:footnote w:id="22">
    <w:p w14:paraId="0B84A53D" w14:textId="7E89097A" w:rsidR="00C77431" w:rsidRPr="00B247DF" w:rsidRDefault="00C77431"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r>
      <w:r w:rsidRPr="00B247DF">
        <w:rPr>
          <w:rFonts w:ascii="Times New Roman" w:hAnsi="Times New Roman"/>
          <w:i/>
          <w:iCs/>
          <w:sz w:val="24"/>
        </w:rPr>
        <w:t>Public Works Committee Act 1964</w:t>
      </w:r>
      <w:r w:rsidRPr="00B247DF">
        <w:rPr>
          <w:rFonts w:ascii="Times New Roman" w:hAnsi="Times New Roman"/>
          <w:sz w:val="24"/>
        </w:rPr>
        <w:t xml:space="preserve"> (Tas).</w:t>
      </w:r>
    </w:p>
  </w:footnote>
  <w:footnote w:id="23">
    <w:p w14:paraId="2D8268D0" w14:textId="748AC557" w:rsidR="00802FA6" w:rsidRPr="00B247DF" w:rsidRDefault="00802FA6"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0E31C0" w:rsidRPr="00B247DF">
        <w:rPr>
          <w:rFonts w:ascii="Times New Roman" w:hAnsi="Times New Roman"/>
          <w:sz w:val="24"/>
        </w:rPr>
        <w:tab/>
      </w:r>
      <w:r w:rsidR="001054C3" w:rsidRPr="00B247DF">
        <w:rPr>
          <w:rFonts w:ascii="Times New Roman" w:hAnsi="Times New Roman"/>
          <w:sz w:val="24"/>
        </w:rPr>
        <w:t xml:space="preserve">Section 2 of the </w:t>
      </w:r>
      <w:r w:rsidR="000E31C0" w:rsidRPr="00B247DF">
        <w:rPr>
          <w:rFonts w:ascii="Times New Roman" w:hAnsi="Times New Roman"/>
          <w:i/>
          <w:iCs/>
          <w:sz w:val="24"/>
        </w:rPr>
        <w:t xml:space="preserve">Public Works Committee Act </w:t>
      </w:r>
      <w:r w:rsidR="00183048" w:rsidRPr="00B247DF">
        <w:rPr>
          <w:rFonts w:ascii="Times New Roman" w:hAnsi="Times New Roman"/>
          <w:i/>
          <w:iCs/>
          <w:sz w:val="24"/>
        </w:rPr>
        <w:t>(No 2)</w:t>
      </w:r>
      <w:r w:rsidR="00183048" w:rsidRPr="00B247DF">
        <w:rPr>
          <w:rFonts w:ascii="Times New Roman" w:hAnsi="Times New Roman"/>
          <w:sz w:val="24"/>
        </w:rPr>
        <w:t xml:space="preserve"> </w:t>
      </w:r>
      <w:r w:rsidR="000E31C0" w:rsidRPr="00B247DF">
        <w:rPr>
          <w:rFonts w:ascii="Times New Roman" w:hAnsi="Times New Roman"/>
          <w:i/>
          <w:iCs/>
          <w:sz w:val="24"/>
        </w:rPr>
        <w:t xml:space="preserve">1962 </w:t>
      </w:r>
      <w:r w:rsidR="001054C3" w:rsidRPr="00B247DF">
        <w:rPr>
          <w:rFonts w:ascii="Times New Roman" w:hAnsi="Times New Roman"/>
          <w:sz w:val="24"/>
        </w:rPr>
        <w:t xml:space="preserve">(Tas). </w:t>
      </w:r>
    </w:p>
  </w:footnote>
  <w:footnote w:id="24">
    <w:p w14:paraId="007A7CCD" w14:textId="3DBAC82D" w:rsidR="006E0C71" w:rsidRPr="00B247DF" w:rsidRDefault="006E0C71"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t xml:space="preserve">Section </w:t>
      </w:r>
      <w:r w:rsidR="001C5239" w:rsidRPr="00B247DF">
        <w:rPr>
          <w:rFonts w:ascii="Times New Roman" w:hAnsi="Times New Roman"/>
          <w:sz w:val="24"/>
        </w:rPr>
        <w:t>3</w:t>
      </w:r>
      <w:r w:rsidRPr="00B247DF">
        <w:rPr>
          <w:rFonts w:ascii="Times New Roman" w:hAnsi="Times New Roman"/>
          <w:sz w:val="24"/>
        </w:rPr>
        <w:t xml:space="preserve"> of the </w:t>
      </w:r>
      <w:r w:rsidRPr="00B247DF">
        <w:rPr>
          <w:rFonts w:ascii="Times New Roman" w:hAnsi="Times New Roman"/>
          <w:i/>
          <w:iCs/>
          <w:sz w:val="24"/>
        </w:rPr>
        <w:t>Public Works Committee Act 196</w:t>
      </w:r>
      <w:r w:rsidR="001C5239" w:rsidRPr="00B247DF">
        <w:rPr>
          <w:rFonts w:ascii="Times New Roman" w:hAnsi="Times New Roman"/>
          <w:i/>
          <w:iCs/>
          <w:sz w:val="24"/>
        </w:rPr>
        <w:t>4</w:t>
      </w:r>
      <w:r w:rsidRPr="00B247DF">
        <w:rPr>
          <w:rFonts w:ascii="Times New Roman" w:hAnsi="Times New Roman"/>
          <w:sz w:val="24"/>
        </w:rPr>
        <w:t xml:space="preserve"> (Tas). </w:t>
      </w:r>
    </w:p>
  </w:footnote>
  <w:footnote w:id="25">
    <w:p w14:paraId="2123778E" w14:textId="36F353AA" w:rsidR="00DA0240" w:rsidRPr="00B247DF" w:rsidRDefault="00DA0240"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lang w:val="en-US"/>
        </w:rPr>
        <w:tab/>
        <w:t>Section 6</w:t>
      </w:r>
      <w:r w:rsidR="0043347A" w:rsidRPr="00B247DF">
        <w:rPr>
          <w:rFonts w:ascii="Times New Roman" w:hAnsi="Times New Roman"/>
          <w:sz w:val="24"/>
          <w:lang w:val="en-US"/>
        </w:rPr>
        <w:t>(4)(a)</w:t>
      </w:r>
      <w:r w:rsidRPr="00B247DF">
        <w:rPr>
          <w:rFonts w:ascii="Times New Roman" w:hAnsi="Times New Roman"/>
          <w:sz w:val="24"/>
          <w:lang w:val="en-US"/>
        </w:rPr>
        <w:t xml:space="preserve"> of the </w:t>
      </w:r>
      <w:r w:rsidR="00FA3486" w:rsidRPr="00B247DF">
        <w:rPr>
          <w:rFonts w:ascii="Times New Roman" w:hAnsi="Times New Roman"/>
          <w:i/>
          <w:iCs/>
          <w:sz w:val="24"/>
          <w:lang w:val="en-US"/>
        </w:rPr>
        <w:t>Acts Interpretation Act 1931</w:t>
      </w:r>
      <w:r w:rsidR="00FA3486" w:rsidRPr="00B247DF">
        <w:rPr>
          <w:rFonts w:ascii="Times New Roman" w:hAnsi="Times New Roman"/>
          <w:sz w:val="24"/>
          <w:lang w:val="en-US"/>
        </w:rPr>
        <w:t xml:space="preserve"> </w:t>
      </w:r>
      <w:r w:rsidR="00E9682D" w:rsidRPr="00B247DF">
        <w:rPr>
          <w:rFonts w:ascii="Times New Roman" w:hAnsi="Times New Roman"/>
          <w:sz w:val="24"/>
          <w:lang w:val="en-US"/>
        </w:rPr>
        <w:t>(Tas)</w:t>
      </w:r>
      <w:r w:rsidR="00FA3486" w:rsidRPr="00B247DF">
        <w:rPr>
          <w:rFonts w:ascii="Times New Roman" w:hAnsi="Times New Roman"/>
          <w:sz w:val="24"/>
          <w:lang w:val="en-US"/>
        </w:rPr>
        <w:t>.</w:t>
      </w:r>
    </w:p>
  </w:footnote>
  <w:footnote w:id="26">
    <w:p w14:paraId="00A35A84" w14:textId="75134E3D" w:rsidR="001C7751" w:rsidRPr="00B247DF" w:rsidRDefault="001C7751"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lang w:val="en-US"/>
        </w:rPr>
        <w:tab/>
        <w:t xml:space="preserve">See </w:t>
      </w:r>
      <w:r w:rsidRPr="00B247DF">
        <w:rPr>
          <w:rFonts w:ascii="Times New Roman" w:hAnsi="Times New Roman"/>
          <w:i/>
          <w:iCs/>
          <w:sz w:val="24"/>
          <w:lang w:val="en-US"/>
        </w:rPr>
        <w:t xml:space="preserve">CIC Insurance Ltd v Bankstown </w:t>
      </w:r>
      <w:r w:rsidR="00DE0449" w:rsidRPr="00B247DF">
        <w:rPr>
          <w:rFonts w:ascii="Times New Roman" w:hAnsi="Times New Roman"/>
          <w:i/>
          <w:iCs/>
          <w:sz w:val="24"/>
          <w:lang w:val="en-US"/>
        </w:rPr>
        <w:t>Football Club Ltd</w:t>
      </w:r>
      <w:r w:rsidR="00DE0449" w:rsidRPr="00B247DF">
        <w:rPr>
          <w:rFonts w:ascii="Times New Roman" w:hAnsi="Times New Roman"/>
          <w:sz w:val="24"/>
          <w:lang w:val="en-US"/>
        </w:rPr>
        <w:t xml:space="preserve"> (1997) 187 CLR 384 at 408.</w:t>
      </w:r>
    </w:p>
  </w:footnote>
  <w:footnote w:id="27">
    <w:p w14:paraId="232C6697" w14:textId="47D96B76" w:rsidR="00606B84" w:rsidRPr="00B247DF" w:rsidRDefault="00606B84"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A36044" w:rsidRPr="00B247DF">
        <w:rPr>
          <w:rFonts w:ascii="Times New Roman" w:hAnsi="Times New Roman"/>
          <w:sz w:val="24"/>
        </w:rPr>
        <w:tab/>
        <w:t>Sections 14 and 15 of the</w:t>
      </w:r>
      <w:r w:rsidR="00B11A26" w:rsidRPr="00B247DF">
        <w:rPr>
          <w:rFonts w:ascii="Times New Roman" w:hAnsi="Times New Roman"/>
          <w:sz w:val="24"/>
        </w:rPr>
        <w:t xml:space="preserve"> </w:t>
      </w:r>
      <w:r w:rsidR="00B11A26" w:rsidRPr="00B247DF">
        <w:rPr>
          <w:rFonts w:ascii="Times New Roman" w:hAnsi="Times New Roman"/>
          <w:i/>
          <w:iCs/>
          <w:sz w:val="24"/>
        </w:rPr>
        <w:t>Commonwealth Public Works Committee Act 1913</w:t>
      </w:r>
      <w:r w:rsidR="00B11A26" w:rsidRPr="00B247DF">
        <w:rPr>
          <w:rFonts w:ascii="Times New Roman" w:hAnsi="Times New Roman"/>
          <w:sz w:val="24"/>
        </w:rPr>
        <w:t xml:space="preserve"> (</w:t>
      </w:r>
      <w:proofErr w:type="spellStart"/>
      <w:r w:rsidR="00B11A26" w:rsidRPr="00B247DF">
        <w:rPr>
          <w:rFonts w:ascii="Times New Roman" w:hAnsi="Times New Roman"/>
          <w:sz w:val="24"/>
        </w:rPr>
        <w:t>Cth</w:t>
      </w:r>
      <w:proofErr w:type="spellEnd"/>
      <w:r w:rsidR="00B11A26" w:rsidRPr="00B247DF">
        <w:rPr>
          <w:rFonts w:ascii="Times New Roman" w:hAnsi="Times New Roman"/>
          <w:sz w:val="24"/>
        </w:rPr>
        <w:t>).</w:t>
      </w:r>
    </w:p>
  </w:footnote>
  <w:footnote w:id="28">
    <w:p w14:paraId="2251C607" w14:textId="5AAE8485" w:rsidR="00606B84" w:rsidRPr="00B247DF" w:rsidRDefault="00606B84"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777A9D" w:rsidRPr="00B247DF">
        <w:rPr>
          <w:rFonts w:ascii="Times New Roman" w:hAnsi="Times New Roman"/>
          <w:sz w:val="24"/>
        </w:rPr>
        <w:tab/>
        <w:t>Sections</w:t>
      </w:r>
      <w:r w:rsidR="00A90888" w:rsidRPr="00B247DF">
        <w:rPr>
          <w:rFonts w:ascii="Times New Roman" w:hAnsi="Times New Roman"/>
          <w:sz w:val="24"/>
        </w:rPr>
        <w:t xml:space="preserve"> </w:t>
      </w:r>
      <w:r w:rsidR="006F65AF" w:rsidRPr="00B247DF">
        <w:rPr>
          <w:rFonts w:ascii="Times New Roman" w:hAnsi="Times New Roman"/>
          <w:sz w:val="24"/>
        </w:rPr>
        <w:t>24</w:t>
      </w:r>
      <w:r w:rsidR="00F93580" w:rsidRPr="00B247DF">
        <w:rPr>
          <w:rFonts w:ascii="Times New Roman" w:hAnsi="Times New Roman"/>
          <w:sz w:val="24"/>
        </w:rPr>
        <w:t xml:space="preserve"> and</w:t>
      </w:r>
      <w:r w:rsidR="006F65AF" w:rsidRPr="00B247DF">
        <w:rPr>
          <w:rFonts w:ascii="Times New Roman" w:hAnsi="Times New Roman"/>
          <w:sz w:val="24"/>
        </w:rPr>
        <w:t xml:space="preserve"> </w:t>
      </w:r>
      <w:r w:rsidR="00A90888" w:rsidRPr="00B247DF">
        <w:rPr>
          <w:rFonts w:ascii="Times New Roman" w:hAnsi="Times New Roman"/>
          <w:sz w:val="24"/>
        </w:rPr>
        <w:t>34</w:t>
      </w:r>
      <w:r w:rsidR="0029577C" w:rsidRPr="00B247DF">
        <w:rPr>
          <w:rFonts w:ascii="Times New Roman" w:hAnsi="Times New Roman"/>
          <w:sz w:val="24"/>
        </w:rPr>
        <w:t xml:space="preserve"> </w:t>
      </w:r>
      <w:r w:rsidR="00777A9D" w:rsidRPr="00B247DF">
        <w:rPr>
          <w:rFonts w:ascii="Times New Roman" w:hAnsi="Times New Roman"/>
          <w:sz w:val="24"/>
        </w:rPr>
        <w:t xml:space="preserve">of the </w:t>
      </w:r>
      <w:r w:rsidR="00777A9D" w:rsidRPr="00B247DF">
        <w:rPr>
          <w:rFonts w:ascii="Times New Roman" w:hAnsi="Times New Roman"/>
          <w:i/>
          <w:iCs/>
          <w:sz w:val="24"/>
        </w:rPr>
        <w:t>Public Works Act 1912</w:t>
      </w:r>
      <w:r w:rsidR="00777A9D" w:rsidRPr="00B247DF">
        <w:rPr>
          <w:rFonts w:ascii="Times New Roman" w:hAnsi="Times New Roman"/>
          <w:sz w:val="24"/>
        </w:rPr>
        <w:t xml:space="preserve"> (NSW).</w:t>
      </w:r>
    </w:p>
  </w:footnote>
  <w:footnote w:id="29">
    <w:p w14:paraId="2A75E730" w14:textId="42F7BBD6" w:rsidR="006D5633" w:rsidRPr="00B247DF" w:rsidRDefault="006D5633"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270AEF" w:rsidRPr="00B247DF">
        <w:rPr>
          <w:rFonts w:ascii="Times New Roman" w:hAnsi="Times New Roman"/>
          <w:sz w:val="24"/>
        </w:rPr>
        <w:tab/>
        <w:t>Sections 12</w:t>
      </w:r>
      <w:r w:rsidR="00B93C23" w:rsidRPr="00B247DF">
        <w:rPr>
          <w:rFonts w:ascii="Times New Roman" w:hAnsi="Times New Roman"/>
          <w:sz w:val="24"/>
        </w:rPr>
        <w:t xml:space="preserve"> and</w:t>
      </w:r>
      <w:r w:rsidR="00270AEF" w:rsidRPr="00B247DF">
        <w:rPr>
          <w:rFonts w:ascii="Times New Roman" w:hAnsi="Times New Roman"/>
          <w:sz w:val="24"/>
        </w:rPr>
        <w:t xml:space="preserve"> 13 </w:t>
      </w:r>
      <w:r w:rsidR="00A36044" w:rsidRPr="00B247DF">
        <w:rPr>
          <w:rFonts w:ascii="Times New Roman" w:hAnsi="Times New Roman"/>
          <w:sz w:val="24"/>
        </w:rPr>
        <w:t xml:space="preserve">of the </w:t>
      </w:r>
      <w:r w:rsidR="00A36044" w:rsidRPr="00B247DF">
        <w:rPr>
          <w:rFonts w:ascii="Times New Roman" w:hAnsi="Times New Roman"/>
          <w:i/>
          <w:iCs/>
          <w:sz w:val="24"/>
        </w:rPr>
        <w:t>Railways Standing Committee Act 1890</w:t>
      </w:r>
      <w:r w:rsidR="00A36044" w:rsidRPr="00B247DF">
        <w:rPr>
          <w:rFonts w:ascii="Times New Roman" w:hAnsi="Times New Roman"/>
          <w:sz w:val="24"/>
        </w:rPr>
        <w:t xml:space="preserve"> (Vic).</w:t>
      </w:r>
    </w:p>
  </w:footnote>
  <w:footnote w:id="30">
    <w:p w14:paraId="77DBA3B2" w14:textId="3C2BFEAF" w:rsidR="004C64D0" w:rsidRPr="00B247DF" w:rsidRDefault="004C64D0"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lang w:val="en-US"/>
        </w:rPr>
        <w:tab/>
        <w:t xml:space="preserve">Sections 12, 13 and </w:t>
      </w:r>
      <w:r w:rsidR="009B7A6A" w:rsidRPr="00B247DF">
        <w:rPr>
          <w:rFonts w:ascii="Times New Roman" w:hAnsi="Times New Roman"/>
          <w:sz w:val="24"/>
          <w:lang w:val="en-US"/>
        </w:rPr>
        <w:t xml:space="preserve">18 of the </w:t>
      </w:r>
      <w:r w:rsidR="009B7A6A" w:rsidRPr="00B247DF">
        <w:rPr>
          <w:rFonts w:ascii="Times New Roman" w:hAnsi="Times New Roman"/>
          <w:i/>
          <w:iCs/>
          <w:sz w:val="24"/>
        </w:rPr>
        <w:t xml:space="preserve">Public Works Act of 1888 </w:t>
      </w:r>
      <w:r w:rsidR="009B7A6A" w:rsidRPr="00B247DF">
        <w:rPr>
          <w:rFonts w:ascii="Times New Roman" w:hAnsi="Times New Roman"/>
          <w:sz w:val="24"/>
        </w:rPr>
        <w:t>(NSW).</w:t>
      </w:r>
    </w:p>
  </w:footnote>
  <w:footnote w:id="31">
    <w:p w14:paraId="279048F2" w14:textId="00394B07" w:rsidR="00AD5036" w:rsidRPr="00B247DF" w:rsidRDefault="00AD5036"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r>
      <w:r w:rsidR="001D2529" w:rsidRPr="00B247DF">
        <w:rPr>
          <w:rFonts w:ascii="Times New Roman" w:hAnsi="Times New Roman"/>
          <w:sz w:val="24"/>
        </w:rPr>
        <w:t xml:space="preserve">See </w:t>
      </w:r>
      <w:r w:rsidR="001D2529" w:rsidRPr="00B247DF">
        <w:rPr>
          <w:rFonts w:ascii="Times New Roman" w:hAnsi="Times New Roman"/>
          <w:i/>
          <w:sz w:val="24"/>
        </w:rPr>
        <w:t>Thomas v Mowbray</w:t>
      </w:r>
      <w:r w:rsidR="001D2529" w:rsidRPr="00B247DF">
        <w:rPr>
          <w:rFonts w:ascii="Times New Roman" w:hAnsi="Times New Roman"/>
          <w:sz w:val="24"/>
        </w:rPr>
        <w:t xml:space="preserve"> (2007) </w:t>
      </w:r>
      <w:r w:rsidR="0062360E" w:rsidRPr="00B247DF">
        <w:rPr>
          <w:rFonts w:ascii="Times New Roman" w:hAnsi="Times New Roman"/>
          <w:sz w:val="24"/>
        </w:rPr>
        <w:t xml:space="preserve">233 CLR 307 </w:t>
      </w:r>
      <w:r w:rsidR="001D2529" w:rsidRPr="00B247DF">
        <w:rPr>
          <w:rFonts w:ascii="Times New Roman" w:hAnsi="Times New Roman"/>
          <w:sz w:val="24"/>
        </w:rPr>
        <w:t xml:space="preserve">at 354 [106]. </w:t>
      </w:r>
    </w:p>
  </w:footnote>
  <w:footnote w:id="32">
    <w:p w14:paraId="324AF7AA" w14:textId="3B3905C8" w:rsidR="00B82F52" w:rsidRPr="00B247DF" w:rsidRDefault="00B82F52"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7B5791" w:rsidRPr="00B247DF">
        <w:rPr>
          <w:rFonts w:ascii="Times New Roman" w:hAnsi="Times New Roman"/>
          <w:sz w:val="24"/>
        </w:rPr>
        <w:tab/>
      </w:r>
      <w:r w:rsidR="006F72DA" w:rsidRPr="00B247DF">
        <w:rPr>
          <w:rFonts w:ascii="Times New Roman" w:hAnsi="Times New Roman"/>
          <w:sz w:val="24"/>
        </w:rPr>
        <w:t>(1998) 194 CLR 355.</w:t>
      </w:r>
    </w:p>
  </w:footnote>
  <w:footnote w:id="33">
    <w:p w14:paraId="190B4316" w14:textId="1C3A62A1" w:rsidR="00EE1890" w:rsidRPr="00B247DF" w:rsidRDefault="00EE1890"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lang w:val="en-US"/>
        </w:rPr>
        <w:tab/>
      </w:r>
      <w:r w:rsidR="00B3176B" w:rsidRPr="00B247DF">
        <w:rPr>
          <w:rFonts w:ascii="Times New Roman" w:hAnsi="Times New Roman"/>
          <w:i/>
          <w:iCs/>
          <w:sz w:val="24"/>
          <w:lang w:val="en-US"/>
        </w:rPr>
        <w:t>C</w:t>
      </w:r>
      <w:r w:rsidR="00D12A0E" w:rsidRPr="00B247DF">
        <w:rPr>
          <w:rFonts w:ascii="Times New Roman" w:hAnsi="Times New Roman"/>
          <w:i/>
          <w:iCs/>
          <w:sz w:val="24"/>
          <w:lang w:val="en-US"/>
        </w:rPr>
        <w:t xml:space="preserve">layton v Heffron </w:t>
      </w:r>
      <w:r w:rsidR="00D12A0E" w:rsidRPr="00B247DF">
        <w:rPr>
          <w:rFonts w:ascii="Times New Roman" w:hAnsi="Times New Roman"/>
          <w:sz w:val="24"/>
          <w:lang w:val="en-US"/>
        </w:rPr>
        <w:t xml:space="preserve">(1960) 105 CLR 214 at </w:t>
      </w:r>
      <w:r w:rsidR="00B3176B" w:rsidRPr="00B247DF">
        <w:rPr>
          <w:rFonts w:ascii="Times New Roman" w:hAnsi="Times New Roman"/>
          <w:sz w:val="24"/>
          <w:lang w:val="en-US"/>
        </w:rPr>
        <w:t>24</w:t>
      </w:r>
      <w:r w:rsidR="00D12A0E" w:rsidRPr="00B247DF">
        <w:rPr>
          <w:rFonts w:ascii="Times New Roman" w:hAnsi="Times New Roman"/>
          <w:sz w:val="24"/>
          <w:lang w:val="en-US"/>
        </w:rPr>
        <w:t>6</w:t>
      </w:r>
      <w:r w:rsidR="00B3176B" w:rsidRPr="00B247DF">
        <w:rPr>
          <w:rFonts w:ascii="Times New Roman" w:hAnsi="Times New Roman"/>
          <w:sz w:val="24"/>
          <w:lang w:val="en-US"/>
        </w:rPr>
        <w:t>-247</w:t>
      </w:r>
      <w:r w:rsidR="00B7658E" w:rsidRPr="00B247DF">
        <w:rPr>
          <w:rFonts w:ascii="Times New Roman" w:hAnsi="Times New Roman"/>
          <w:sz w:val="24"/>
          <w:lang w:val="en-US"/>
        </w:rPr>
        <w:t xml:space="preserve">; </w:t>
      </w:r>
      <w:r w:rsidR="00B7658E" w:rsidRPr="00B247DF">
        <w:rPr>
          <w:rFonts w:ascii="Times New Roman" w:hAnsi="Times New Roman"/>
          <w:i/>
          <w:iCs/>
          <w:sz w:val="24"/>
          <w:lang w:val="en-US"/>
        </w:rPr>
        <w:t>Miller v Minister for Immigration, Citizenship and Multicultural Affairs</w:t>
      </w:r>
      <w:r w:rsidR="00B7658E" w:rsidRPr="00B247DF">
        <w:rPr>
          <w:rFonts w:ascii="Times New Roman" w:hAnsi="Times New Roman"/>
          <w:sz w:val="24"/>
          <w:lang w:val="en-US"/>
        </w:rPr>
        <w:t xml:space="preserve"> </w:t>
      </w:r>
      <w:r w:rsidR="005D04F8" w:rsidRPr="00B247DF">
        <w:rPr>
          <w:rFonts w:ascii="Times New Roman" w:hAnsi="Times New Roman"/>
          <w:sz w:val="24"/>
          <w:lang w:val="en-US"/>
        </w:rPr>
        <w:t>(</w:t>
      </w:r>
      <w:r w:rsidR="00B7658E" w:rsidRPr="00B247DF">
        <w:rPr>
          <w:rFonts w:ascii="Times New Roman" w:hAnsi="Times New Roman"/>
          <w:sz w:val="24"/>
          <w:lang w:val="en-US"/>
        </w:rPr>
        <w:t>2024</w:t>
      </w:r>
      <w:r w:rsidR="005D04F8" w:rsidRPr="00B247DF">
        <w:rPr>
          <w:rFonts w:ascii="Times New Roman" w:hAnsi="Times New Roman"/>
          <w:sz w:val="24"/>
          <w:lang w:val="en-US"/>
        </w:rPr>
        <w:t>)</w:t>
      </w:r>
      <w:r w:rsidR="00B7658E" w:rsidRPr="00B247DF">
        <w:rPr>
          <w:rFonts w:ascii="Times New Roman" w:hAnsi="Times New Roman"/>
          <w:sz w:val="24"/>
          <w:lang w:val="en-US"/>
        </w:rPr>
        <w:t xml:space="preserve"> </w:t>
      </w:r>
      <w:r w:rsidR="005D04F8" w:rsidRPr="00B247DF">
        <w:rPr>
          <w:rFonts w:ascii="Times New Roman" w:hAnsi="Times New Roman"/>
          <w:sz w:val="24"/>
          <w:lang w:val="en-US"/>
        </w:rPr>
        <w:t>98 ALJR 623</w:t>
      </w:r>
      <w:r w:rsidR="00B7658E" w:rsidRPr="00B247DF">
        <w:rPr>
          <w:rFonts w:ascii="Times New Roman" w:hAnsi="Times New Roman"/>
          <w:sz w:val="24"/>
          <w:lang w:val="en-US"/>
        </w:rPr>
        <w:t xml:space="preserve"> at </w:t>
      </w:r>
      <w:r w:rsidR="005D04F8" w:rsidRPr="00B247DF">
        <w:rPr>
          <w:rFonts w:ascii="Times New Roman" w:hAnsi="Times New Roman"/>
          <w:sz w:val="24"/>
          <w:lang w:val="en-US"/>
        </w:rPr>
        <w:t xml:space="preserve">628 </w:t>
      </w:r>
      <w:r w:rsidR="00B7658E" w:rsidRPr="00B247DF">
        <w:rPr>
          <w:rFonts w:ascii="Times New Roman" w:hAnsi="Times New Roman"/>
          <w:sz w:val="24"/>
          <w:lang w:val="en-US"/>
        </w:rPr>
        <w:t>[25]</w:t>
      </w:r>
      <w:r w:rsidR="002A7A95" w:rsidRPr="00B247DF">
        <w:rPr>
          <w:rFonts w:ascii="Times New Roman" w:hAnsi="Times New Roman"/>
          <w:sz w:val="24"/>
          <w:lang w:val="en-US"/>
        </w:rPr>
        <w:t>.</w:t>
      </w:r>
    </w:p>
  </w:footnote>
  <w:footnote w:id="34">
    <w:p w14:paraId="2A10A0D4" w14:textId="20E804E3" w:rsidR="002947AF" w:rsidRPr="00B247DF" w:rsidRDefault="002947AF"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196F0A" w:rsidRPr="00B247DF">
        <w:rPr>
          <w:rFonts w:ascii="Times New Roman" w:hAnsi="Times New Roman"/>
          <w:sz w:val="24"/>
        </w:rPr>
        <w:tab/>
      </w:r>
      <w:r w:rsidR="006E7E3D" w:rsidRPr="00B247DF">
        <w:rPr>
          <w:rFonts w:ascii="Times New Roman" w:hAnsi="Times New Roman"/>
          <w:sz w:val="24"/>
        </w:rPr>
        <w:t>(1989) 166 CLR 454.</w:t>
      </w:r>
    </w:p>
  </w:footnote>
  <w:footnote w:id="35">
    <w:p w14:paraId="2487654A" w14:textId="79C0FAD5" w:rsidR="0035199C" w:rsidRPr="00B247DF" w:rsidRDefault="0035199C"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t>(1989) 166 CLR 454 at 457.</w:t>
      </w:r>
    </w:p>
  </w:footnote>
  <w:footnote w:id="36">
    <w:p w14:paraId="1573DDCE" w14:textId="1188624D" w:rsidR="00196F0A" w:rsidRPr="00B247DF" w:rsidRDefault="00196F0A"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6E7E3D" w:rsidRPr="00B247DF">
        <w:rPr>
          <w:rFonts w:ascii="Times New Roman" w:hAnsi="Times New Roman"/>
          <w:sz w:val="24"/>
        </w:rPr>
        <w:tab/>
        <w:t xml:space="preserve">(1989) 166 CLR 454 at </w:t>
      </w:r>
      <w:r w:rsidR="005A460A" w:rsidRPr="00B247DF">
        <w:rPr>
          <w:rFonts w:ascii="Times New Roman" w:hAnsi="Times New Roman"/>
          <w:sz w:val="24"/>
        </w:rPr>
        <w:t>459.</w:t>
      </w:r>
    </w:p>
  </w:footnote>
  <w:footnote w:id="37">
    <w:p w14:paraId="27B1F937" w14:textId="42B1A863" w:rsidR="00196F0A" w:rsidRPr="00B247DF" w:rsidRDefault="00196F0A" w:rsidP="00B247DF">
      <w:pPr>
        <w:pStyle w:val="FootnoteText"/>
        <w:spacing w:line="280" w:lineRule="exact"/>
        <w:ind w:right="0"/>
        <w:jc w:val="both"/>
        <w:rPr>
          <w:rFonts w:ascii="Times New Roman" w:hAnsi="Times New Roman"/>
          <w:sz w:val="24"/>
          <w:lang w:val="en-US"/>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5A460A" w:rsidRPr="00B247DF">
        <w:rPr>
          <w:rFonts w:ascii="Times New Roman" w:hAnsi="Times New Roman"/>
          <w:sz w:val="24"/>
        </w:rPr>
        <w:tab/>
        <w:t>(1989) 166 CLR 454 at 459-460.</w:t>
      </w:r>
    </w:p>
  </w:footnote>
  <w:footnote w:id="38">
    <w:p w14:paraId="2331AFD9" w14:textId="7E21A210" w:rsidR="00D54D53" w:rsidRPr="00B247DF" w:rsidRDefault="00D54D53"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t xml:space="preserve">See </w:t>
      </w:r>
      <w:r w:rsidR="00164A52" w:rsidRPr="00B247DF">
        <w:rPr>
          <w:rFonts w:ascii="Times New Roman" w:hAnsi="Times New Roman"/>
          <w:sz w:val="24"/>
        </w:rPr>
        <w:t xml:space="preserve">Selway, "The 'Vision Splendid' of Ministerial Responsibility </w:t>
      </w:r>
      <w:r w:rsidR="00421088" w:rsidRPr="00B247DF">
        <w:rPr>
          <w:rFonts w:ascii="Times New Roman" w:hAnsi="Times New Roman"/>
          <w:sz w:val="24"/>
        </w:rPr>
        <w:t>V</w:t>
      </w:r>
      <w:r w:rsidR="001563A4" w:rsidRPr="00B247DF">
        <w:rPr>
          <w:rFonts w:ascii="Times New Roman" w:hAnsi="Times New Roman"/>
          <w:sz w:val="24"/>
        </w:rPr>
        <w:t xml:space="preserve">ersus </w:t>
      </w:r>
      <w:r w:rsidR="00421088" w:rsidRPr="00B247DF">
        <w:rPr>
          <w:rFonts w:ascii="Times New Roman" w:hAnsi="Times New Roman"/>
          <w:sz w:val="24"/>
        </w:rPr>
        <w:t>t</w:t>
      </w:r>
      <w:r w:rsidR="001563A4" w:rsidRPr="00B247DF">
        <w:rPr>
          <w:rFonts w:ascii="Times New Roman" w:hAnsi="Times New Roman"/>
          <w:sz w:val="24"/>
        </w:rPr>
        <w:t>he 'Round Eternal' of Government Administration</w:t>
      </w:r>
      <w:r w:rsidR="00F16647" w:rsidRPr="00B247DF">
        <w:rPr>
          <w:rFonts w:ascii="Times New Roman" w:hAnsi="Times New Roman"/>
          <w:sz w:val="24"/>
        </w:rPr>
        <w:t>"</w:t>
      </w:r>
      <w:r w:rsidR="00AC4565" w:rsidRPr="00B247DF">
        <w:rPr>
          <w:rFonts w:ascii="Times New Roman" w:hAnsi="Times New Roman"/>
          <w:sz w:val="24"/>
        </w:rPr>
        <w:t>,</w:t>
      </w:r>
      <w:r w:rsidR="00F16647" w:rsidRPr="00B247DF">
        <w:rPr>
          <w:rFonts w:ascii="Times New Roman" w:hAnsi="Times New Roman"/>
          <w:sz w:val="24"/>
        </w:rPr>
        <w:t xml:space="preserve"> in</w:t>
      </w:r>
      <w:r w:rsidR="007A6FEB" w:rsidRPr="00B247DF">
        <w:rPr>
          <w:rFonts w:ascii="Times New Roman" w:hAnsi="Times New Roman"/>
          <w:sz w:val="24"/>
        </w:rPr>
        <w:t xml:space="preserve"> Macintyre and Williams</w:t>
      </w:r>
      <w:r w:rsidR="00026749" w:rsidRPr="00B247DF">
        <w:rPr>
          <w:rFonts w:ascii="Times New Roman" w:hAnsi="Times New Roman"/>
          <w:sz w:val="24"/>
        </w:rPr>
        <w:t xml:space="preserve"> (eds)</w:t>
      </w:r>
      <w:r w:rsidR="007A6FEB" w:rsidRPr="00B247DF">
        <w:rPr>
          <w:rFonts w:ascii="Times New Roman" w:hAnsi="Times New Roman"/>
          <w:sz w:val="24"/>
        </w:rPr>
        <w:t xml:space="preserve">, </w:t>
      </w:r>
      <w:r w:rsidR="007A6FEB" w:rsidRPr="00B247DF">
        <w:rPr>
          <w:rFonts w:ascii="Times New Roman" w:hAnsi="Times New Roman"/>
          <w:i/>
          <w:iCs/>
          <w:sz w:val="24"/>
        </w:rPr>
        <w:t>Peace, Order and Good Government</w:t>
      </w:r>
      <w:r w:rsidR="00026749" w:rsidRPr="00B247DF">
        <w:rPr>
          <w:rFonts w:ascii="Times New Roman" w:hAnsi="Times New Roman"/>
          <w:i/>
          <w:iCs/>
          <w:sz w:val="24"/>
        </w:rPr>
        <w:t>: State Constitutional and Parliamentary Reform</w:t>
      </w:r>
      <w:r w:rsidR="00026749" w:rsidRPr="00B247DF">
        <w:rPr>
          <w:rFonts w:ascii="Times New Roman" w:hAnsi="Times New Roman"/>
          <w:sz w:val="24"/>
        </w:rPr>
        <w:t xml:space="preserve"> (</w:t>
      </w:r>
      <w:r w:rsidR="005F65DA" w:rsidRPr="00B247DF">
        <w:rPr>
          <w:rFonts w:ascii="Times New Roman" w:hAnsi="Times New Roman"/>
          <w:sz w:val="24"/>
        </w:rPr>
        <w:t>2003)</w:t>
      </w:r>
      <w:r w:rsidR="00F16647" w:rsidRPr="00B247DF">
        <w:rPr>
          <w:rFonts w:ascii="Times New Roman" w:hAnsi="Times New Roman"/>
          <w:sz w:val="24"/>
        </w:rPr>
        <w:t xml:space="preserve"> </w:t>
      </w:r>
      <w:r w:rsidR="007A6FEB" w:rsidRPr="00B247DF">
        <w:rPr>
          <w:rFonts w:ascii="Times New Roman" w:hAnsi="Times New Roman"/>
          <w:sz w:val="24"/>
        </w:rPr>
        <w:t>164</w:t>
      </w:r>
      <w:r w:rsidR="001563A4" w:rsidRPr="00B247DF">
        <w:rPr>
          <w:rFonts w:ascii="Times New Roman" w:hAnsi="Times New Roman"/>
          <w:sz w:val="24"/>
        </w:rPr>
        <w:t xml:space="preserve"> </w:t>
      </w:r>
      <w:r w:rsidR="00164A52" w:rsidRPr="00B247DF">
        <w:rPr>
          <w:rFonts w:ascii="Times New Roman" w:hAnsi="Times New Roman"/>
          <w:sz w:val="24"/>
        </w:rPr>
        <w:t>at</w:t>
      </w:r>
      <w:r w:rsidR="007A6FEB" w:rsidRPr="00B247DF">
        <w:rPr>
          <w:rFonts w:ascii="Times New Roman" w:hAnsi="Times New Roman"/>
          <w:sz w:val="24"/>
        </w:rPr>
        <w:t xml:space="preserve"> </w:t>
      </w:r>
      <w:r w:rsidR="00DF7E22" w:rsidRPr="00B247DF">
        <w:rPr>
          <w:rFonts w:ascii="Times New Roman" w:hAnsi="Times New Roman"/>
          <w:sz w:val="24"/>
        </w:rPr>
        <w:t>166-167</w:t>
      </w:r>
      <w:r w:rsidR="00BF3C7F" w:rsidRPr="00B247DF">
        <w:rPr>
          <w:rFonts w:ascii="Times New Roman" w:hAnsi="Times New Roman"/>
          <w:sz w:val="24"/>
        </w:rPr>
        <w:t>.</w:t>
      </w:r>
    </w:p>
  </w:footnote>
  <w:footnote w:id="39">
    <w:p w14:paraId="2172FEAA" w14:textId="741ECD89" w:rsidR="00AA6FC1" w:rsidRPr="00B247DF" w:rsidRDefault="00AA6FC1"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009B3055" w:rsidRPr="00B247DF">
        <w:rPr>
          <w:rFonts w:ascii="Times New Roman" w:hAnsi="Times New Roman"/>
          <w:sz w:val="24"/>
        </w:rPr>
        <w:tab/>
        <w:t>(1998) 195 CLR 424 at 451 [42]</w:t>
      </w:r>
      <w:r w:rsidR="00883576" w:rsidRPr="00B247DF">
        <w:rPr>
          <w:rFonts w:ascii="Times New Roman" w:hAnsi="Times New Roman"/>
          <w:sz w:val="24"/>
        </w:rPr>
        <w:t xml:space="preserve">, quoting </w:t>
      </w:r>
      <w:r w:rsidR="00B421B8" w:rsidRPr="00B247DF">
        <w:rPr>
          <w:rFonts w:ascii="Times New Roman" w:hAnsi="Times New Roman"/>
          <w:sz w:val="24"/>
        </w:rPr>
        <w:t>Kinley, "Governmental Accountability in Australia and the United Kingdom: A Conceptual Analysis of the Role of Non</w:t>
      </w:r>
      <w:r w:rsidR="00A5482F" w:rsidRPr="00B247DF">
        <w:rPr>
          <w:rFonts w:ascii="Times New Roman" w:hAnsi="Times New Roman"/>
          <w:sz w:val="24"/>
        </w:rPr>
        <w:noBreakHyphen/>
      </w:r>
      <w:r w:rsidR="00B421B8" w:rsidRPr="00B247DF">
        <w:rPr>
          <w:rFonts w:ascii="Times New Roman" w:hAnsi="Times New Roman"/>
          <w:sz w:val="24"/>
        </w:rPr>
        <w:t xml:space="preserve">Parliamentary Institutions and Devices" (1995) 18 </w:t>
      </w:r>
      <w:r w:rsidR="00B421B8" w:rsidRPr="00B247DF">
        <w:rPr>
          <w:rFonts w:ascii="Times New Roman" w:hAnsi="Times New Roman"/>
          <w:i/>
          <w:iCs/>
          <w:sz w:val="24"/>
        </w:rPr>
        <w:t>University of New South Wales Law Journal</w:t>
      </w:r>
      <w:r w:rsidR="00B421B8" w:rsidRPr="00B247DF">
        <w:rPr>
          <w:rFonts w:ascii="Times New Roman" w:hAnsi="Times New Roman"/>
          <w:sz w:val="24"/>
        </w:rPr>
        <w:t xml:space="preserve"> 409 at 411.</w:t>
      </w:r>
    </w:p>
  </w:footnote>
  <w:footnote w:id="40">
    <w:p w14:paraId="21AEA181" w14:textId="2AE592F1" w:rsidR="00EA4A58" w:rsidRPr="00B247DF" w:rsidRDefault="00EA4A58"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r>
      <w:r w:rsidR="00705ABB" w:rsidRPr="00B247DF">
        <w:rPr>
          <w:rFonts w:ascii="Times New Roman" w:hAnsi="Times New Roman"/>
          <w:sz w:val="24"/>
        </w:rPr>
        <w:t>(1998) 195 CLR 424 at 453 [45].</w:t>
      </w:r>
      <w:r w:rsidR="00B94A23" w:rsidRPr="00B247DF">
        <w:rPr>
          <w:rFonts w:ascii="Times New Roman" w:hAnsi="Times New Roman"/>
          <w:sz w:val="24"/>
        </w:rPr>
        <w:t xml:space="preserve"> See also </w:t>
      </w:r>
      <w:r w:rsidR="00B94A23" w:rsidRPr="00B247DF">
        <w:rPr>
          <w:rFonts w:ascii="Times New Roman" w:hAnsi="Times New Roman"/>
          <w:i/>
          <w:iCs/>
          <w:sz w:val="24"/>
        </w:rPr>
        <w:t>Egan v Chadwick</w:t>
      </w:r>
      <w:r w:rsidR="00B94A23" w:rsidRPr="00B247DF">
        <w:rPr>
          <w:rFonts w:ascii="Times New Roman" w:hAnsi="Times New Roman"/>
          <w:sz w:val="24"/>
        </w:rPr>
        <w:t xml:space="preserve"> (1999) 46 NSWLR 563 at 568-573 </w:t>
      </w:r>
      <w:r w:rsidR="00236CF5" w:rsidRPr="00B247DF">
        <w:rPr>
          <w:rFonts w:ascii="Times New Roman" w:hAnsi="Times New Roman"/>
          <w:sz w:val="24"/>
        </w:rPr>
        <w:t>[15]-[47].</w:t>
      </w:r>
    </w:p>
  </w:footnote>
  <w:footnote w:id="41">
    <w:p w14:paraId="341DF460" w14:textId="2A8F9BDC" w:rsidR="009C5AF9" w:rsidRPr="00B247DF" w:rsidRDefault="009C5AF9"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r>
      <w:r w:rsidR="007C6A1C" w:rsidRPr="00B247DF">
        <w:rPr>
          <w:rFonts w:ascii="Times New Roman" w:hAnsi="Times New Roman"/>
          <w:sz w:val="24"/>
        </w:rPr>
        <w:t xml:space="preserve">(1920) </w:t>
      </w:r>
      <w:r w:rsidR="00464337" w:rsidRPr="00B247DF">
        <w:rPr>
          <w:rFonts w:ascii="Times New Roman" w:hAnsi="Times New Roman"/>
          <w:sz w:val="24"/>
        </w:rPr>
        <w:t>27 CLR 494</w:t>
      </w:r>
      <w:r w:rsidR="00E4340E" w:rsidRPr="00B247DF">
        <w:rPr>
          <w:rFonts w:ascii="Times New Roman" w:hAnsi="Times New Roman"/>
          <w:sz w:val="24"/>
        </w:rPr>
        <w:t xml:space="preserve"> at 500</w:t>
      </w:r>
      <w:r w:rsidR="00464337" w:rsidRPr="00B247DF">
        <w:rPr>
          <w:rFonts w:ascii="Times New Roman" w:hAnsi="Times New Roman"/>
          <w:sz w:val="24"/>
        </w:rPr>
        <w:t>.</w:t>
      </w:r>
    </w:p>
  </w:footnote>
  <w:footnote w:id="42">
    <w:p w14:paraId="722E132C" w14:textId="6DDC7DDE" w:rsidR="00DA701B" w:rsidRPr="00B247DF" w:rsidRDefault="00DA701B"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r>
      <w:r w:rsidR="005E77DB">
        <w:rPr>
          <w:rFonts w:ascii="Times New Roman" w:hAnsi="Times New Roman"/>
          <w:sz w:val="24"/>
        </w:rPr>
        <w:t>For example</w:t>
      </w:r>
      <w:r w:rsidR="005D0773" w:rsidRPr="00B247DF">
        <w:rPr>
          <w:rFonts w:ascii="Times New Roman" w:hAnsi="Times New Roman"/>
          <w:sz w:val="24"/>
        </w:rPr>
        <w:t xml:space="preserve">, questions may be put </w:t>
      </w:r>
      <w:proofErr w:type="gramStart"/>
      <w:r w:rsidR="005D0773" w:rsidRPr="00B247DF">
        <w:rPr>
          <w:rFonts w:ascii="Times New Roman" w:hAnsi="Times New Roman"/>
          <w:sz w:val="24"/>
        </w:rPr>
        <w:t>to</w:t>
      </w:r>
      <w:proofErr w:type="gramEnd"/>
      <w:r w:rsidR="005D0773" w:rsidRPr="00B247DF">
        <w:rPr>
          <w:rFonts w:ascii="Times New Roman" w:hAnsi="Times New Roman"/>
          <w:sz w:val="24"/>
        </w:rPr>
        <w:t xml:space="preserve"> and explanations sought from the Executive during</w:t>
      </w:r>
      <w:r w:rsidR="000404F6" w:rsidRPr="00B247DF">
        <w:rPr>
          <w:rFonts w:ascii="Times New Roman" w:hAnsi="Times New Roman"/>
          <w:sz w:val="24"/>
        </w:rPr>
        <w:t xml:space="preserve"> </w:t>
      </w:r>
      <w:r w:rsidR="00925262" w:rsidRPr="00B247DF">
        <w:rPr>
          <w:rFonts w:ascii="Times New Roman" w:hAnsi="Times New Roman"/>
          <w:sz w:val="24"/>
        </w:rPr>
        <w:t xml:space="preserve">budget </w:t>
      </w:r>
      <w:r w:rsidR="000404F6" w:rsidRPr="00B247DF">
        <w:rPr>
          <w:rFonts w:ascii="Times New Roman" w:hAnsi="Times New Roman"/>
          <w:sz w:val="24"/>
        </w:rPr>
        <w:t>estimates</w:t>
      </w:r>
      <w:r w:rsidR="005D0773" w:rsidRPr="00B247DF">
        <w:rPr>
          <w:rFonts w:ascii="Times New Roman" w:hAnsi="Times New Roman"/>
          <w:sz w:val="24"/>
        </w:rPr>
        <w:t xml:space="preserve"> hearings, through question time or other parliamentary inquiry processes: </w:t>
      </w:r>
      <w:r w:rsidR="005D0773" w:rsidRPr="00B247DF">
        <w:rPr>
          <w:rFonts w:ascii="Times New Roman" w:hAnsi="Times New Roman"/>
          <w:i/>
          <w:iCs/>
          <w:sz w:val="24"/>
        </w:rPr>
        <w:t xml:space="preserve">Egan v Willis </w:t>
      </w:r>
      <w:r w:rsidR="005D0773" w:rsidRPr="00B247DF">
        <w:rPr>
          <w:rFonts w:ascii="Times New Roman" w:hAnsi="Times New Roman"/>
          <w:sz w:val="24"/>
        </w:rPr>
        <w:t xml:space="preserve">(1998) 195 CLR 424 at 451 [42], 477 [105], 502 [154]. See also </w:t>
      </w:r>
      <w:r w:rsidR="005D0773" w:rsidRPr="00B247DF">
        <w:rPr>
          <w:rFonts w:ascii="Times New Roman" w:hAnsi="Times New Roman"/>
          <w:i/>
          <w:iCs/>
          <w:sz w:val="24"/>
        </w:rPr>
        <w:t xml:space="preserve">Combet v </w:t>
      </w:r>
      <w:r w:rsidR="00656A0C" w:rsidRPr="00B247DF">
        <w:rPr>
          <w:rFonts w:ascii="Times New Roman" w:hAnsi="Times New Roman"/>
          <w:i/>
          <w:iCs/>
          <w:sz w:val="24"/>
        </w:rPr>
        <w:t xml:space="preserve">The </w:t>
      </w:r>
      <w:r w:rsidR="005D0773" w:rsidRPr="00B247DF">
        <w:rPr>
          <w:rFonts w:ascii="Times New Roman" w:hAnsi="Times New Roman"/>
          <w:i/>
          <w:iCs/>
          <w:sz w:val="24"/>
        </w:rPr>
        <w:t>Commonwealth</w:t>
      </w:r>
      <w:r w:rsidR="005D0773" w:rsidRPr="00B247DF">
        <w:rPr>
          <w:rFonts w:ascii="Times New Roman" w:hAnsi="Times New Roman"/>
          <w:sz w:val="24"/>
        </w:rPr>
        <w:t xml:space="preserve"> (2005) 224 CLR 494</w:t>
      </w:r>
      <w:r w:rsidR="00656A0C" w:rsidRPr="00B247DF">
        <w:rPr>
          <w:rFonts w:ascii="Times New Roman" w:hAnsi="Times New Roman"/>
          <w:sz w:val="24"/>
        </w:rPr>
        <w:t xml:space="preserve"> at</w:t>
      </w:r>
      <w:r w:rsidR="005D0773" w:rsidRPr="00B247DF">
        <w:rPr>
          <w:rFonts w:ascii="Times New Roman" w:hAnsi="Times New Roman"/>
          <w:sz w:val="24"/>
        </w:rPr>
        <w:t xml:space="preserve"> 523 [7].</w:t>
      </w:r>
    </w:p>
  </w:footnote>
  <w:footnote w:id="43">
    <w:p w14:paraId="12BF7A0B" w14:textId="65B8B50F" w:rsidR="00DE557E" w:rsidRPr="00B247DF" w:rsidRDefault="00DE557E"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r>
      <w:r w:rsidR="00C674CF" w:rsidRPr="00B247DF">
        <w:rPr>
          <w:rFonts w:ascii="Times New Roman" w:hAnsi="Times New Roman"/>
          <w:sz w:val="24"/>
        </w:rPr>
        <w:t>S</w:t>
      </w:r>
      <w:r w:rsidR="00BC79B3" w:rsidRPr="00B247DF">
        <w:rPr>
          <w:rFonts w:ascii="Times New Roman" w:hAnsi="Times New Roman"/>
          <w:sz w:val="24"/>
        </w:rPr>
        <w:t>ee s</w:t>
      </w:r>
      <w:r w:rsidR="00C674CF" w:rsidRPr="00B247DF">
        <w:rPr>
          <w:rFonts w:ascii="Times New Roman" w:hAnsi="Times New Roman"/>
          <w:sz w:val="24"/>
        </w:rPr>
        <w:t xml:space="preserve"> 11(2) of the </w:t>
      </w:r>
      <w:r w:rsidR="00C674CF" w:rsidRPr="00B247DF">
        <w:rPr>
          <w:rFonts w:ascii="Times New Roman" w:hAnsi="Times New Roman"/>
          <w:i/>
          <w:iCs/>
          <w:sz w:val="24"/>
        </w:rPr>
        <w:t>Financial Management Act 2016</w:t>
      </w:r>
      <w:r w:rsidR="00C674CF" w:rsidRPr="00B247DF">
        <w:rPr>
          <w:rFonts w:ascii="Times New Roman" w:hAnsi="Times New Roman"/>
          <w:sz w:val="24"/>
        </w:rPr>
        <w:t xml:space="preserve"> (Tas).</w:t>
      </w:r>
      <w:r w:rsidR="007934C6" w:rsidRPr="00B247DF">
        <w:rPr>
          <w:rFonts w:ascii="Times New Roman" w:hAnsi="Times New Roman"/>
          <w:sz w:val="24"/>
        </w:rPr>
        <w:t xml:space="preserve"> See </w:t>
      </w:r>
      <w:r w:rsidR="00BC79B3" w:rsidRPr="00B247DF">
        <w:rPr>
          <w:rFonts w:ascii="Times New Roman" w:hAnsi="Times New Roman"/>
          <w:sz w:val="24"/>
        </w:rPr>
        <w:t>gen</w:t>
      </w:r>
      <w:r w:rsidR="00FB49DF" w:rsidRPr="00B247DF">
        <w:rPr>
          <w:rFonts w:ascii="Times New Roman" w:hAnsi="Times New Roman"/>
          <w:sz w:val="24"/>
        </w:rPr>
        <w:t xml:space="preserve">erally </w:t>
      </w:r>
      <w:r w:rsidR="007934C6" w:rsidRPr="00B247DF">
        <w:rPr>
          <w:rFonts w:ascii="Times New Roman" w:hAnsi="Times New Roman"/>
          <w:i/>
          <w:iCs/>
          <w:sz w:val="24"/>
        </w:rPr>
        <w:t>Auckland Harbour Board v The King</w:t>
      </w:r>
      <w:r w:rsidR="007934C6" w:rsidRPr="00B247DF">
        <w:rPr>
          <w:rFonts w:ascii="Times New Roman" w:hAnsi="Times New Roman"/>
          <w:sz w:val="24"/>
        </w:rPr>
        <w:t xml:space="preserve"> [1924] AC 3</w:t>
      </w:r>
      <w:r w:rsidR="002B7698" w:rsidRPr="00B247DF">
        <w:rPr>
          <w:rFonts w:ascii="Times New Roman" w:hAnsi="Times New Roman"/>
          <w:sz w:val="24"/>
        </w:rPr>
        <w:t>18 at 326</w:t>
      </w:r>
      <w:r w:rsidR="00732FEA" w:rsidRPr="00B247DF">
        <w:rPr>
          <w:rFonts w:ascii="Times New Roman" w:hAnsi="Times New Roman"/>
          <w:sz w:val="24"/>
        </w:rPr>
        <w:t>-327</w:t>
      </w:r>
      <w:r w:rsidR="002B7698" w:rsidRPr="00B247DF">
        <w:rPr>
          <w:rFonts w:ascii="Times New Roman" w:hAnsi="Times New Roman"/>
          <w:sz w:val="24"/>
        </w:rPr>
        <w:t>.</w:t>
      </w:r>
    </w:p>
  </w:footnote>
  <w:footnote w:id="44">
    <w:p w14:paraId="4B676451" w14:textId="39709209" w:rsidR="007B4F3E" w:rsidRPr="00B247DF" w:rsidRDefault="007B4F3E" w:rsidP="00B247DF">
      <w:pPr>
        <w:pStyle w:val="FootnoteText"/>
        <w:spacing w:line="280" w:lineRule="exact"/>
        <w:ind w:right="0"/>
        <w:jc w:val="both"/>
        <w:rPr>
          <w:rFonts w:ascii="Times New Roman" w:hAnsi="Times New Roman"/>
          <w:sz w:val="24"/>
        </w:rPr>
      </w:pPr>
      <w:r w:rsidRPr="00B247DF">
        <w:rPr>
          <w:rStyle w:val="FootnoteReference"/>
          <w:rFonts w:ascii="Times New Roman" w:hAnsi="Times New Roman"/>
          <w:sz w:val="22"/>
          <w:vertAlign w:val="baseline"/>
        </w:rPr>
        <w:footnoteRef/>
      </w:r>
      <w:r w:rsidRPr="00B247DF">
        <w:rPr>
          <w:rFonts w:ascii="Times New Roman" w:hAnsi="Times New Roman"/>
          <w:sz w:val="24"/>
        </w:rPr>
        <w:t xml:space="preserve"> </w:t>
      </w:r>
      <w:r w:rsidRPr="00B247DF">
        <w:rPr>
          <w:rFonts w:ascii="Times New Roman" w:hAnsi="Times New Roman"/>
          <w:sz w:val="24"/>
        </w:rPr>
        <w:tab/>
      </w:r>
      <w:r w:rsidRPr="00B247DF">
        <w:rPr>
          <w:rFonts w:ascii="Times New Roman" w:hAnsi="Times New Roman"/>
          <w:i/>
          <w:iCs/>
          <w:sz w:val="24"/>
        </w:rPr>
        <w:t>Western Australia v The Commonwealth</w:t>
      </w:r>
      <w:r w:rsidRPr="00B247DF">
        <w:rPr>
          <w:rFonts w:ascii="Times New Roman" w:hAnsi="Times New Roman"/>
          <w:sz w:val="24"/>
        </w:rPr>
        <w:t xml:space="preserve"> (1995) 183 CLR 373 at 482, </w:t>
      </w:r>
      <w:r w:rsidR="00254F80" w:rsidRPr="00B247DF">
        <w:rPr>
          <w:rFonts w:ascii="Times New Roman" w:hAnsi="Times New Roman"/>
          <w:sz w:val="24"/>
        </w:rPr>
        <w:t xml:space="preserve">citing </w:t>
      </w:r>
      <w:r w:rsidR="00254F80" w:rsidRPr="00B247DF">
        <w:rPr>
          <w:rFonts w:ascii="Times New Roman" w:hAnsi="Times New Roman"/>
          <w:i/>
          <w:iCs/>
          <w:sz w:val="24"/>
        </w:rPr>
        <w:t>Cormack v Cope</w:t>
      </w:r>
      <w:r w:rsidR="00254F80" w:rsidRPr="00B247DF">
        <w:rPr>
          <w:rFonts w:ascii="Times New Roman" w:hAnsi="Times New Roman"/>
          <w:sz w:val="24"/>
        </w:rPr>
        <w:t xml:space="preserve"> (1974) 131 CLR 432 at 454</w:t>
      </w:r>
      <w:r w:rsidR="00166A74" w:rsidRPr="00B247DF">
        <w:rPr>
          <w:rFonts w:ascii="Times New Roman" w:hAnsi="Times New Roman"/>
          <w:sz w:val="24"/>
        </w:rPr>
        <w:t xml:space="preserve"> and</w:t>
      </w:r>
      <w:r w:rsidR="00254F80" w:rsidRPr="00B247DF">
        <w:rPr>
          <w:rFonts w:ascii="Times New Roman" w:hAnsi="Times New Roman"/>
          <w:sz w:val="24"/>
        </w:rPr>
        <w:t xml:space="preserve"> </w:t>
      </w:r>
      <w:r w:rsidR="00254F80" w:rsidRPr="00B247DF">
        <w:rPr>
          <w:rFonts w:ascii="Times New Roman" w:hAnsi="Times New Roman"/>
          <w:i/>
          <w:iCs/>
          <w:sz w:val="24"/>
        </w:rPr>
        <w:t>Victoria v The Commonwealth and Connor</w:t>
      </w:r>
      <w:r w:rsidR="00254F80" w:rsidRPr="00B247DF">
        <w:rPr>
          <w:rFonts w:ascii="Times New Roman" w:hAnsi="Times New Roman"/>
          <w:sz w:val="24"/>
        </w:rPr>
        <w:t xml:space="preserve"> (1975) 134 CLR 81 at 184.</w:t>
      </w:r>
      <w:r w:rsidR="003353CF" w:rsidRPr="00B247DF">
        <w:rPr>
          <w:rFonts w:ascii="Times New Roman" w:hAnsi="Times New Roman"/>
          <w:sz w:val="24"/>
        </w:rPr>
        <w:t xml:space="preserve"> See also </w:t>
      </w:r>
      <w:r w:rsidR="003353CF" w:rsidRPr="00B247DF">
        <w:rPr>
          <w:rFonts w:ascii="Times New Roman" w:hAnsi="Times New Roman"/>
          <w:i/>
          <w:iCs/>
          <w:sz w:val="24"/>
          <w:lang w:val="en-US"/>
        </w:rPr>
        <w:t xml:space="preserve">Clayton v Heffron </w:t>
      </w:r>
      <w:r w:rsidR="003353CF" w:rsidRPr="00B247DF">
        <w:rPr>
          <w:rFonts w:ascii="Times New Roman" w:hAnsi="Times New Roman"/>
          <w:sz w:val="24"/>
          <w:lang w:val="en-US"/>
        </w:rPr>
        <w:t>(1960) 105 CLR 214 at</w:t>
      </w:r>
      <w:r w:rsidR="003353CF" w:rsidRPr="00B247DF">
        <w:rPr>
          <w:rFonts w:ascii="Times New Roman" w:hAnsi="Times New Roman"/>
          <w:i/>
          <w:iCs/>
          <w:sz w:val="24"/>
        </w:rPr>
        <w:t xml:space="preserve"> </w:t>
      </w:r>
      <w:r w:rsidR="003353CF" w:rsidRPr="00B247DF">
        <w:rPr>
          <w:rFonts w:ascii="Times New Roman" w:hAnsi="Times New Roman"/>
          <w:sz w:val="24"/>
        </w:rPr>
        <w:t xml:space="preserve">234-235. </w:t>
      </w:r>
    </w:p>
  </w:footnote>
  <w:footnote w:id="45">
    <w:p w14:paraId="791BED7A"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1 W &amp; M </w:t>
      </w:r>
      <w:proofErr w:type="spellStart"/>
      <w:r w:rsidRPr="00F2125E">
        <w:rPr>
          <w:rFonts w:ascii="Times New Roman" w:hAnsi="Times New Roman"/>
          <w:sz w:val="24"/>
        </w:rPr>
        <w:t>sess</w:t>
      </w:r>
      <w:proofErr w:type="spellEnd"/>
      <w:r w:rsidRPr="00F2125E">
        <w:rPr>
          <w:rFonts w:ascii="Times New Roman" w:hAnsi="Times New Roman"/>
          <w:sz w:val="24"/>
        </w:rPr>
        <w:t xml:space="preserve"> 2 c 2.</w:t>
      </w:r>
    </w:p>
  </w:footnote>
  <w:footnote w:id="46">
    <w:p w14:paraId="3F7269EA"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proofErr w:type="spellStart"/>
      <w:r w:rsidRPr="00F2125E">
        <w:rPr>
          <w:rFonts w:ascii="Times New Roman" w:hAnsi="Times New Roman"/>
          <w:i/>
          <w:iCs/>
          <w:sz w:val="24"/>
        </w:rPr>
        <w:t>Casimaty</w:t>
      </w:r>
      <w:proofErr w:type="spellEnd"/>
      <w:r w:rsidRPr="00F2125E">
        <w:rPr>
          <w:rFonts w:ascii="Times New Roman" w:hAnsi="Times New Roman"/>
          <w:i/>
          <w:iCs/>
          <w:sz w:val="24"/>
        </w:rPr>
        <w:t xml:space="preserve"> v Hazell Bros Group Pty Ltd [No 2] </w:t>
      </w:r>
      <w:r w:rsidRPr="00F2125E">
        <w:rPr>
          <w:rFonts w:ascii="Times New Roman" w:hAnsi="Times New Roman"/>
          <w:sz w:val="24"/>
        </w:rPr>
        <w:t xml:space="preserve">[2022] TASSC 9 at [31]-[32].  </w:t>
      </w:r>
    </w:p>
  </w:footnote>
  <w:footnote w:id="47">
    <w:p w14:paraId="235614F2"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proofErr w:type="spellStart"/>
      <w:r w:rsidRPr="00F2125E">
        <w:rPr>
          <w:rFonts w:ascii="Times New Roman" w:hAnsi="Times New Roman"/>
          <w:i/>
          <w:iCs/>
          <w:sz w:val="24"/>
        </w:rPr>
        <w:t>Casimaty</w:t>
      </w:r>
      <w:proofErr w:type="spellEnd"/>
      <w:r w:rsidRPr="00F2125E">
        <w:rPr>
          <w:rFonts w:ascii="Times New Roman" w:hAnsi="Times New Roman"/>
          <w:i/>
          <w:iCs/>
          <w:sz w:val="24"/>
        </w:rPr>
        <w:t xml:space="preserve"> v Hazell Bros Group Pty Ltd </w:t>
      </w:r>
      <w:r w:rsidRPr="00F2125E">
        <w:rPr>
          <w:rFonts w:ascii="Times New Roman" w:hAnsi="Times New Roman"/>
          <w:sz w:val="24"/>
        </w:rPr>
        <w:t>[2023] TASFC 2 at [24].</w:t>
      </w:r>
    </w:p>
  </w:footnote>
  <w:footnote w:id="48">
    <w:p w14:paraId="386E40B6"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proofErr w:type="spellStart"/>
      <w:r w:rsidRPr="00F2125E">
        <w:rPr>
          <w:rFonts w:ascii="Times New Roman" w:hAnsi="Times New Roman"/>
          <w:i/>
          <w:sz w:val="24"/>
        </w:rPr>
        <w:t>Casimaty</w:t>
      </w:r>
      <w:proofErr w:type="spellEnd"/>
      <w:r w:rsidRPr="00F2125E">
        <w:rPr>
          <w:rFonts w:ascii="Times New Roman" w:hAnsi="Times New Roman"/>
          <w:i/>
          <w:sz w:val="24"/>
        </w:rPr>
        <w:t xml:space="preserve"> v Hazell Bros Group Pty Ltd </w:t>
      </w:r>
      <w:r w:rsidRPr="00F2125E">
        <w:rPr>
          <w:rFonts w:ascii="Times New Roman" w:hAnsi="Times New Roman"/>
          <w:sz w:val="24"/>
        </w:rPr>
        <w:t>[2023] TASFC 2 at [51]-[52].</w:t>
      </w:r>
    </w:p>
  </w:footnote>
  <w:footnote w:id="49">
    <w:p w14:paraId="78B553D1"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See </w:t>
      </w:r>
      <w:r w:rsidRPr="00F2125E">
        <w:rPr>
          <w:rFonts w:ascii="Times New Roman" w:hAnsi="Times New Roman"/>
          <w:i/>
          <w:iCs/>
          <w:sz w:val="24"/>
        </w:rPr>
        <w:t xml:space="preserve">Supreme Court Civil Procedure Act 1932 </w:t>
      </w:r>
      <w:r w:rsidRPr="00F2125E">
        <w:rPr>
          <w:rFonts w:ascii="Times New Roman" w:hAnsi="Times New Roman"/>
          <w:sz w:val="24"/>
        </w:rPr>
        <w:t xml:space="preserve">(Tas), s 47(3); </w:t>
      </w:r>
      <w:r w:rsidRPr="00F2125E">
        <w:rPr>
          <w:rFonts w:ascii="Times New Roman" w:hAnsi="Times New Roman"/>
          <w:i/>
          <w:iCs/>
          <w:sz w:val="24"/>
        </w:rPr>
        <w:t>Attorney-General (Tas) v Cameron</w:t>
      </w:r>
      <w:r w:rsidRPr="00F2125E">
        <w:rPr>
          <w:rFonts w:ascii="Times New Roman" w:hAnsi="Times New Roman"/>
          <w:sz w:val="24"/>
        </w:rPr>
        <w:t xml:space="preserve"> (2007) 152 LGERA 45 at 66 [74]; </w:t>
      </w:r>
      <w:proofErr w:type="spellStart"/>
      <w:r w:rsidRPr="00F2125E">
        <w:rPr>
          <w:rFonts w:ascii="Times New Roman" w:hAnsi="Times New Roman"/>
          <w:i/>
          <w:iCs/>
          <w:sz w:val="24"/>
        </w:rPr>
        <w:t>Krulow</w:t>
      </w:r>
      <w:proofErr w:type="spellEnd"/>
      <w:r w:rsidRPr="00F2125E">
        <w:rPr>
          <w:rFonts w:ascii="Times New Roman" w:hAnsi="Times New Roman"/>
          <w:i/>
          <w:iCs/>
          <w:sz w:val="24"/>
        </w:rPr>
        <w:t xml:space="preserve"> v Glamorgan Spring Bay Council</w:t>
      </w:r>
      <w:r w:rsidRPr="00F2125E">
        <w:rPr>
          <w:rFonts w:ascii="Times New Roman" w:hAnsi="Times New Roman"/>
          <w:sz w:val="24"/>
        </w:rPr>
        <w:t xml:space="preserve"> (2013) 23 Tas R 264 at 288 [86]-[87].</w:t>
      </w:r>
    </w:p>
  </w:footnote>
  <w:footnote w:id="50">
    <w:p w14:paraId="5F5D60A0"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Kirk v Industrial Court (NSW) </w:t>
      </w:r>
      <w:r w:rsidRPr="00F2125E">
        <w:rPr>
          <w:rFonts w:ascii="Times New Roman" w:hAnsi="Times New Roman"/>
          <w:sz w:val="24"/>
        </w:rPr>
        <w:t xml:space="preserve">(2010) 239 CLR 531 at 581 [99]. See also at 585 [113]. </w:t>
      </w:r>
    </w:p>
  </w:footnote>
  <w:footnote w:id="51">
    <w:p w14:paraId="1C50C2F4"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proofErr w:type="spellStart"/>
      <w:r w:rsidRPr="00F2125E">
        <w:rPr>
          <w:rFonts w:ascii="Times New Roman" w:hAnsi="Times New Roman"/>
          <w:i/>
          <w:iCs/>
          <w:sz w:val="24"/>
        </w:rPr>
        <w:t>Probuild</w:t>
      </w:r>
      <w:proofErr w:type="spellEnd"/>
      <w:r w:rsidRPr="00F2125E">
        <w:rPr>
          <w:rFonts w:ascii="Times New Roman" w:hAnsi="Times New Roman"/>
          <w:i/>
          <w:iCs/>
          <w:sz w:val="24"/>
        </w:rPr>
        <w:t xml:space="preserve"> Constructions (Aust) Pty Ltd v Shade Systems Pty Ltd </w:t>
      </w:r>
      <w:r w:rsidRPr="00F2125E">
        <w:rPr>
          <w:rFonts w:ascii="Times New Roman" w:hAnsi="Times New Roman"/>
          <w:sz w:val="24"/>
        </w:rPr>
        <w:t xml:space="preserve">(2018) 264 CLR 1 at 33-35 [85]-[87], 36-38 [91]-[94]. </w:t>
      </w:r>
    </w:p>
  </w:footnote>
  <w:footnote w:id="52">
    <w:p w14:paraId="6153C289"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See </w:t>
      </w:r>
      <w:r w:rsidRPr="00F2125E">
        <w:rPr>
          <w:rFonts w:ascii="Times New Roman" w:hAnsi="Times New Roman"/>
          <w:i/>
          <w:iCs/>
          <w:sz w:val="24"/>
        </w:rPr>
        <w:t xml:space="preserve">R v </w:t>
      </w:r>
      <w:proofErr w:type="spellStart"/>
      <w:r w:rsidRPr="00F2125E">
        <w:rPr>
          <w:rFonts w:ascii="Times New Roman" w:hAnsi="Times New Roman"/>
          <w:i/>
          <w:iCs/>
          <w:sz w:val="24"/>
        </w:rPr>
        <w:t>Chaytor</w:t>
      </w:r>
      <w:proofErr w:type="spellEnd"/>
      <w:r w:rsidRPr="00F2125E">
        <w:rPr>
          <w:rFonts w:ascii="Times New Roman" w:hAnsi="Times New Roman"/>
          <w:i/>
          <w:iCs/>
          <w:sz w:val="24"/>
        </w:rPr>
        <w:t xml:space="preserve"> </w:t>
      </w:r>
      <w:r w:rsidRPr="00F2125E">
        <w:rPr>
          <w:rFonts w:ascii="Times New Roman" w:hAnsi="Times New Roman"/>
          <w:sz w:val="24"/>
        </w:rPr>
        <w:t xml:space="preserve">[2011] 1 AC 684 at 697 [13], 722-723 [102]-[104].  </w:t>
      </w:r>
    </w:p>
  </w:footnote>
  <w:footnote w:id="53">
    <w:p w14:paraId="655AEEF0"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The relevant monetary threshold is $8,000,000 in relation to building or construction works and $15,000,000 in relation to road or bridges works: </w:t>
      </w:r>
      <w:r w:rsidRPr="00F2125E">
        <w:rPr>
          <w:rFonts w:ascii="Times New Roman" w:hAnsi="Times New Roman"/>
          <w:i/>
          <w:iCs/>
          <w:sz w:val="24"/>
        </w:rPr>
        <w:t xml:space="preserve">Public Works Committee Act 1914 </w:t>
      </w:r>
      <w:r w:rsidRPr="00F2125E">
        <w:rPr>
          <w:rFonts w:ascii="Times New Roman" w:hAnsi="Times New Roman"/>
          <w:sz w:val="24"/>
        </w:rPr>
        <w:t>(Tas), s 2.</w:t>
      </w:r>
    </w:p>
  </w:footnote>
  <w:footnote w:id="54">
    <w:p w14:paraId="6C8D5FFA"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Public Works Committee Act 1964 </w:t>
      </w:r>
      <w:r w:rsidRPr="00F2125E">
        <w:rPr>
          <w:rFonts w:ascii="Times New Roman" w:hAnsi="Times New Roman"/>
          <w:sz w:val="24"/>
        </w:rPr>
        <w:t xml:space="preserve">(Tas), s 3(a). </w:t>
      </w:r>
    </w:p>
  </w:footnote>
  <w:footnote w:id="55">
    <w:p w14:paraId="06A7DE27"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Public Works Committee Act 1964 </w:t>
      </w:r>
      <w:r w:rsidRPr="00F2125E">
        <w:rPr>
          <w:rFonts w:ascii="Times New Roman" w:hAnsi="Times New Roman"/>
          <w:sz w:val="24"/>
        </w:rPr>
        <w:t xml:space="preserve">(Tas), s 2(a). </w:t>
      </w:r>
    </w:p>
  </w:footnote>
  <w:footnote w:id="56">
    <w:p w14:paraId="71023A08"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Public Works Committee Amendment Act 2009 </w:t>
      </w:r>
      <w:r w:rsidRPr="00F2125E">
        <w:rPr>
          <w:rFonts w:ascii="Times New Roman" w:hAnsi="Times New Roman"/>
          <w:sz w:val="24"/>
        </w:rPr>
        <w:t>(Tas), s 4.</w:t>
      </w:r>
    </w:p>
  </w:footnote>
  <w:footnote w:id="57">
    <w:p w14:paraId="7D794A20"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Subject to extension of the operation of ss 15 and 16 by s 17.</w:t>
      </w:r>
    </w:p>
  </w:footnote>
  <w:footnote w:id="58">
    <w:p w14:paraId="311DAC54"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See </w:t>
      </w:r>
      <w:r w:rsidRPr="00F2125E">
        <w:rPr>
          <w:rFonts w:ascii="Times New Roman" w:hAnsi="Times New Roman"/>
          <w:i/>
          <w:iCs/>
          <w:sz w:val="24"/>
        </w:rPr>
        <w:t xml:space="preserve">Chief Executive Officer, Aboriginal Areas Protection Authority v Director of National Parks </w:t>
      </w:r>
      <w:r w:rsidRPr="00F2125E">
        <w:rPr>
          <w:rFonts w:ascii="Times New Roman" w:hAnsi="Times New Roman"/>
          <w:sz w:val="24"/>
        </w:rPr>
        <w:t xml:space="preserve">(2024) 98 ALJR 655 at 684-685 [142]-[143]. </w:t>
      </w:r>
    </w:p>
  </w:footnote>
  <w:footnote w:id="59">
    <w:p w14:paraId="5A68F259"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Re </w:t>
      </w:r>
      <w:proofErr w:type="spellStart"/>
      <w:r w:rsidRPr="00F2125E">
        <w:rPr>
          <w:rFonts w:ascii="Times New Roman" w:hAnsi="Times New Roman"/>
          <w:i/>
          <w:iCs/>
          <w:sz w:val="24"/>
        </w:rPr>
        <w:t>Ditfort</w:t>
      </w:r>
      <w:proofErr w:type="spellEnd"/>
      <w:r w:rsidRPr="00F2125E">
        <w:rPr>
          <w:rFonts w:ascii="Times New Roman" w:hAnsi="Times New Roman"/>
          <w:i/>
          <w:iCs/>
          <w:sz w:val="24"/>
        </w:rPr>
        <w:t xml:space="preserve">; Ex </w:t>
      </w:r>
      <w:proofErr w:type="spellStart"/>
      <w:r w:rsidRPr="00F2125E">
        <w:rPr>
          <w:rFonts w:ascii="Times New Roman" w:hAnsi="Times New Roman"/>
          <w:i/>
          <w:iCs/>
          <w:sz w:val="24"/>
        </w:rPr>
        <w:t>parte</w:t>
      </w:r>
      <w:proofErr w:type="spellEnd"/>
      <w:r w:rsidRPr="00F2125E">
        <w:rPr>
          <w:rFonts w:ascii="Times New Roman" w:hAnsi="Times New Roman"/>
          <w:i/>
          <w:iCs/>
          <w:sz w:val="24"/>
        </w:rPr>
        <w:t xml:space="preserve"> Deputy Commissioner of Taxation </w:t>
      </w:r>
      <w:r w:rsidRPr="00F2125E">
        <w:rPr>
          <w:rFonts w:ascii="Times New Roman" w:hAnsi="Times New Roman"/>
          <w:sz w:val="24"/>
        </w:rPr>
        <w:t>(1988) 19 FCR 347 at 370.</w:t>
      </w:r>
    </w:p>
  </w:footnote>
  <w:footnote w:id="60">
    <w:p w14:paraId="07262663"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Acts Interpretation Act 1931 </w:t>
      </w:r>
      <w:r w:rsidRPr="00F2125E">
        <w:rPr>
          <w:rFonts w:ascii="Times New Roman" w:hAnsi="Times New Roman"/>
          <w:sz w:val="24"/>
        </w:rPr>
        <w:t>(Tas), ss 6, 8B.</w:t>
      </w:r>
    </w:p>
  </w:footnote>
  <w:footnote w:id="61">
    <w:p w14:paraId="5D9B6693"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Perri v Coolangatta Investments Pty Ltd </w:t>
      </w:r>
      <w:r w:rsidRPr="00F2125E">
        <w:rPr>
          <w:rFonts w:ascii="Times New Roman" w:hAnsi="Times New Roman"/>
          <w:sz w:val="24"/>
        </w:rPr>
        <w:t>(1982) 149 CLR 537 at 541.</w:t>
      </w:r>
    </w:p>
  </w:footnote>
  <w:footnote w:id="62">
    <w:p w14:paraId="2DBB019A"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eastAsiaTheme="minorHAnsi" w:hAnsi="Times New Roman"/>
          <w:i/>
          <w:iCs/>
          <w:color w:val="212121"/>
          <w:kern w:val="2"/>
          <w:sz w:val="24"/>
          <w:shd w:val="clear" w:color="auto" w:fill="FFFFFF"/>
          <w:lang w:eastAsia="en-US"/>
          <w14:ligatures w14:val="standardContextual"/>
        </w:rPr>
        <w:t xml:space="preserve">Forrest &amp; Forrest Pty Ltd v Wilson </w:t>
      </w:r>
      <w:r w:rsidRPr="00F2125E">
        <w:rPr>
          <w:rFonts w:ascii="Times New Roman" w:eastAsiaTheme="minorHAnsi" w:hAnsi="Times New Roman"/>
          <w:color w:val="212121"/>
          <w:kern w:val="2"/>
          <w:sz w:val="24"/>
          <w:shd w:val="clear" w:color="auto" w:fill="FFFFFF"/>
          <w:lang w:eastAsia="en-US"/>
          <w14:ligatures w14:val="standardContextual"/>
        </w:rPr>
        <w:t xml:space="preserve">(2017) 262 CLR 510 at 534 [82]-[84]. </w:t>
      </w:r>
    </w:p>
  </w:footnote>
  <w:footnote w:id="63">
    <w:p w14:paraId="7A392F82"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Miller v Minister for Immigration, Citizenship and Multicultural Affairs </w:t>
      </w:r>
      <w:r w:rsidRPr="00F2125E">
        <w:rPr>
          <w:rFonts w:ascii="Times New Roman" w:hAnsi="Times New Roman"/>
          <w:sz w:val="24"/>
        </w:rPr>
        <w:t xml:space="preserve">(2024) 98 ALJR 623 at 628 [25]-[26]. </w:t>
      </w:r>
    </w:p>
  </w:footnote>
  <w:footnote w:id="64">
    <w:p w14:paraId="7EE081C3"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See </w:t>
      </w:r>
      <w:r w:rsidRPr="00F2125E">
        <w:rPr>
          <w:rFonts w:ascii="Times New Roman" w:hAnsi="Times New Roman"/>
          <w:i/>
          <w:iCs/>
          <w:sz w:val="24"/>
        </w:rPr>
        <w:t xml:space="preserve">Project Blue Sky Inc v Australian Broadcasting Authority </w:t>
      </w:r>
      <w:r w:rsidRPr="00F2125E">
        <w:rPr>
          <w:rFonts w:ascii="Times New Roman" w:hAnsi="Times New Roman"/>
          <w:sz w:val="24"/>
        </w:rPr>
        <w:t xml:space="preserve">(1998) 194 CLR 355 at 390-391 [93]-[95].  </w:t>
      </w:r>
    </w:p>
  </w:footnote>
  <w:footnote w:id="65">
    <w:p w14:paraId="05DF19A5"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Cam and Sons Pty Ltd v Ramsay </w:t>
      </w:r>
      <w:r w:rsidRPr="00F2125E">
        <w:rPr>
          <w:rFonts w:ascii="Times New Roman" w:hAnsi="Times New Roman"/>
          <w:sz w:val="24"/>
        </w:rPr>
        <w:t xml:space="preserve">(1960) 104 CLR 247 at 258; </w:t>
      </w:r>
      <w:r w:rsidRPr="00F2125E">
        <w:rPr>
          <w:rFonts w:ascii="Times New Roman" w:hAnsi="Times New Roman"/>
          <w:i/>
          <w:iCs/>
          <w:sz w:val="24"/>
        </w:rPr>
        <w:t xml:space="preserve">Egan v Willis </w:t>
      </w:r>
      <w:r w:rsidRPr="00F2125E">
        <w:rPr>
          <w:rFonts w:ascii="Times New Roman" w:hAnsi="Times New Roman"/>
          <w:sz w:val="24"/>
        </w:rPr>
        <w:t>(1998) 195 CLR 424 at 445 [24]; see also at 462 [69].</w:t>
      </w:r>
    </w:p>
  </w:footnote>
  <w:footnote w:id="66">
    <w:p w14:paraId="5AE76F89"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Prebble v Television New Zealand Ltd</w:t>
      </w:r>
      <w:r w:rsidRPr="00F2125E">
        <w:rPr>
          <w:rFonts w:ascii="Times New Roman" w:hAnsi="Times New Roman"/>
          <w:sz w:val="24"/>
        </w:rPr>
        <w:t xml:space="preserve"> [1995] 1 AC 321 at 332. See Blackstone, </w:t>
      </w:r>
      <w:r w:rsidRPr="00F2125E">
        <w:rPr>
          <w:rFonts w:ascii="Times New Roman" w:hAnsi="Times New Roman"/>
          <w:i/>
          <w:iCs/>
          <w:sz w:val="24"/>
        </w:rPr>
        <w:t xml:space="preserve">Commentaries on the Laws of England </w:t>
      </w:r>
      <w:r w:rsidRPr="00F2125E">
        <w:rPr>
          <w:rFonts w:ascii="Times New Roman" w:hAnsi="Times New Roman"/>
          <w:sz w:val="24"/>
        </w:rPr>
        <w:t xml:space="preserve">(1765), bk 1, </w:t>
      </w:r>
      <w:proofErr w:type="spellStart"/>
      <w:r w:rsidRPr="00F2125E">
        <w:rPr>
          <w:rFonts w:ascii="Times New Roman" w:hAnsi="Times New Roman"/>
          <w:sz w:val="24"/>
        </w:rPr>
        <w:t>ch</w:t>
      </w:r>
      <w:proofErr w:type="spellEnd"/>
      <w:r w:rsidRPr="00F2125E">
        <w:rPr>
          <w:rFonts w:ascii="Times New Roman" w:hAnsi="Times New Roman"/>
          <w:sz w:val="24"/>
        </w:rPr>
        <w:t xml:space="preserve"> 2 at 159-160.</w:t>
      </w:r>
    </w:p>
  </w:footnote>
  <w:footnote w:id="67">
    <w:p w14:paraId="7BAEB521"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(1839) 9 Ad &amp; E 1 [112 ER 1112].</w:t>
      </w:r>
    </w:p>
  </w:footnote>
  <w:footnote w:id="68">
    <w:p w14:paraId="7867B56F"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proofErr w:type="spellStart"/>
      <w:r w:rsidRPr="00F2125E">
        <w:rPr>
          <w:rFonts w:ascii="Times New Roman" w:hAnsi="Times New Roman"/>
          <w:i/>
          <w:iCs/>
          <w:sz w:val="24"/>
        </w:rPr>
        <w:t>Pickin</w:t>
      </w:r>
      <w:proofErr w:type="spellEnd"/>
      <w:r w:rsidRPr="00F2125E">
        <w:rPr>
          <w:rFonts w:ascii="Times New Roman" w:hAnsi="Times New Roman"/>
          <w:i/>
          <w:iCs/>
          <w:sz w:val="24"/>
        </w:rPr>
        <w:t xml:space="preserve"> v British Railways Board</w:t>
      </w:r>
      <w:r w:rsidRPr="00F2125E">
        <w:rPr>
          <w:rFonts w:ascii="Times New Roman" w:hAnsi="Times New Roman"/>
          <w:sz w:val="24"/>
        </w:rPr>
        <w:t xml:space="preserve"> [1974] AC 765 at 799, quoting </w:t>
      </w:r>
      <w:proofErr w:type="spellStart"/>
      <w:r w:rsidRPr="00F2125E">
        <w:rPr>
          <w:rFonts w:ascii="Times New Roman" w:hAnsi="Times New Roman"/>
          <w:i/>
          <w:iCs/>
          <w:sz w:val="24"/>
        </w:rPr>
        <w:t>Bradlaugh</w:t>
      </w:r>
      <w:proofErr w:type="spellEnd"/>
      <w:r w:rsidRPr="00F2125E">
        <w:rPr>
          <w:rFonts w:ascii="Times New Roman" w:hAnsi="Times New Roman"/>
          <w:i/>
          <w:iCs/>
          <w:sz w:val="24"/>
        </w:rPr>
        <w:t xml:space="preserve"> v Gossett </w:t>
      </w:r>
      <w:r w:rsidRPr="00F2125E">
        <w:rPr>
          <w:rFonts w:ascii="Times New Roman" w:hAnsi="Times New Roman"/>
          <w:sz w:val="24"/>
        </w:rPr>
        <w:t>(1884) 12 QBD 271 at 275.</w:t>
      </w:r>
    </w:p>
  </w:footnote>
  <w:footnote w:id="69">
    <w:p w14:paraId="3DA86CAB"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Stockdale v Hansard </w:t>
      </w:r>
      <w:r w:rsidRPr="00F2125E">
        <w:rPr>
          <w:rFonts w:ascii="Times New Roman" w:hAnsi="Times New Roman"/>
          <w:sz w:val="24"/>
        </w:rPr>
        <w:t>(1839) 9 Ad &amp; E 1 at 194-195 [112 ER 1112 at 1185-1186]</w:t>
      </w:r>
      <w:r>
        <w:rPr>
          <w:rFonts w:ascii="Times New Roman" w:hAnsi="Times New Roman"/>
          <w:sz w:val="24"/>
        </w:rPr>
        <w:t>.</w:t>
      </w:r>
    </w:p>
  </w:footnote>
  <w:footnote w:id="70">
    <w:p w14:paraId="015DB404"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R v Richards; Ex </w:t>
      </w:r>
      <w:proofErr w:type="spellStart"/>
      <w:r w:rsidRPr="00F2125E">
        <w:rPr>
          <w:rFonts w:ascii="Times New Roman" w:hAnsi="Times New Roman"/>
          <w:i/>
          <w:iCs/>
          <w:sz w:val="24"/>
        </w:rPr>
        <w:t>parte</w:t>
      </w:r>
      <w:proofErr w:type="spellEnd"/>
      <w:r w:rsidRPr="00F2125E">
        <w:rPr>
          <w:rFonts w:ascii="Times New Roman" w:hAnsi="Times New Roman"/>
          <w:i/>
          <w:iCs/>
          <w:sz w:val="24"/>
        </w:rPr>
        <w:t xml:space="preserve"> Fitzpatrick and Browne </w:t>
      </w:r>
      <w:r w:rsidRPr="00F2125E">
        <w:rPr>
          <w:rFonts w:ascii="Times New Roman" w:hAnsi="Times New Roman"/>
          <w:sz w:val="24"/>
        </w:rPr>
        <w:t xml:space="preserve">(1955) 92 CLR 157 at 162; </w:t>
      </w:r>
      <w:r w:rsidRPr="00F2125E">
        <w:rPr>
          <w:rFonts w:ascii="Times New Roman" w:hAnsi="Times New Roman"/>
          <w:i/>
          <w:iCs/>
          <w:sz w:val="24"/>
        </w:rPr>
        <w:t xml:space="preserve">Egan v Willis </w:t>
      </w:r>
      <w:r w:rsidRPr="00F2125E">
        <w:rPr>
          <w:rFonts w:ascii="Times New Roman" w:hAnsi="Times New Roman"/>
          <w:sz w:val="24"/>
        </w:rPr>
        <w:t>(1998) 195 CLR 424 at 446 [27], 460 [66].</w:t>
      </w:r>
    </w:p>
  </w:footnote>
  <w:footnote w:id="71">
    <w:p w14:paraId="02CFB368"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Rowley v </w:t>
      </w:r>
      <w:proofErr w:type="spellStart"/>
      <w:r w:rsidRPr="00F2125E">
        <w:rPr>
          <w:rFonts w:ascii="Times New Roman" w:hAnsi="Times New Roman"/>
          <w:i/>
          <w:iCs/>
          <w:sz w:val="24"/>
        </w:rPr>
        <w:t>O'Chee</w:t>
      </w:r>
      <w:proofErr w:type="spellEnd"/>
      <w:r w:rsidRPr="00F2125E">
        <w:rPr>
          <w:rFonts w:ascii="Times New Roman" w:hAnsi="Times New Roman"/>
          <w:i/>
          <w:iCs/>
          <w:sz w:val="24"/>
        </w:rPr>
        <w:t xml:space="preserve"> </w:t>
      </w:r>
      <w:r w:rsidRPr="00F2125E">
        <w:rPr>
          <w:rFonts w:ascii="Times New Roman" w:hAnsi="Times New Roman"/>
          <w:sz w:val="24"/>
        </w:rPr>
        <w:t xml:space="preserve">[2000] 1 </w:t>
      </w:r>
      <w:proofErr w:type="spellStart"/>
      <w:r w:rsidRPr="00F2125E">
        <w:rPr>
          <w:rFonts w:ascii="Times New Roman" w:hAnsi="Times New Roman"/>
          <w:sz w:val="24"/>
        </w:rPr>
        <w:t>Qd</w:t>
      </w:r>
      <w:proofErr w:type="spellEnd"/>
      <w:r w:rsidRPr="00F2125E">
        <w:rPr>
          <w:rFonts w:ascii="Times New Roman" w:hAnsi="Times New Roman"/>
          <w:sz w:val="24"/>
        </w:rPr>
        <w:t xml:space="preserve"> R 207 at 219.</w:t>
      </w:r>
    </w:p>
  </w:footnote>
  <w:footnote w:id="72">
    <w:p w14:paraId="752247DD"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R v Turnbull </w:t>
      </w:r>
      <w:r w:rsidRPr="00F2125E">
        <w:rPr>
          <w:rFonts w:ascii="Times New Roman" w:hAnsi="Times New Roman"/>
          <w:sz w:val="24"/>
        </w:rPr>
        <w:t xml:space="preserve">[1958] Tas SR 80 at 83-84; </w:t>
      </w:r>
      <w:r w:rsidRPr="00F2125E">
        <w:rPr>
          <w:rFonts w:ascii="Times New Roman" w:hAnsi="Times New Roman"/>
          <w:i/>
          <w:iCs/>
          <w:sz w:val="24"/>
        </w:rPr>
        <w:t xml:space="preserve">Egan v Willis </w:t>
      </w:r>
      <w:r w:rsidRPr="00F2125E">
        <w:rPr>
          <w:rFonts w:ascii="Times New Roman" w:hAnsi="Times New Roman"/>
          <w:sz w:val="24"/>
        </w:rPr>
        <w:t>(1998) 195 CLR 424 at 445 [24]. See also</w:t>
      </w:r>
      <w:r w:rsidRPr="00F2125E">
        <w:rPr>
          <w:rFonts w:ascii="Times New Roman" w:hAnsi="Times New Roman"/>
          <w:i/>
          <w:iCs/>
          <w:sz w:val="24"/>
        </w:rPr>
        <w:t xml:space="preserve"> Sankey v Whitlam </w:t>
      </w:r>
      <w:r w:rsidRPr="00F2125E">
        <w:rPr>
          <w:rFonts w:ascii="Times New Roman" w:hAnsi="Times New Roman"/>
          <w:sz w:val="24"/>
        </w:rPr>
        <w:t>(1978) 142 CLR 1 at 35.</w:t>
      </w:r>
    </w:p>
  </w:footnote>
  <w:footnote w:id="73">
    <w:p w14:paraId="3F2BDFA2"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9 Geo IV c 83. See Campbell, "Comment—Ministerial Privileges" (1959) 1 </w:t>
      </w:r>
      <w:r w:rsidRPr="00F2125E">
        <w:rPr>
          <w:rFonts w:ascii="Times New Roman" w:hAnsi="Times New Roman"/>
          <w:i/>
          <w:iCs/>
          <w:sz w:val="24"/>
        </w:rPr>
        <w:t xml:space="preserve">Tasmanian University Law Review </w:t>
      </w:r>
      <w:r w:rsidRPr="00F2125E">
        <w:rPr>
          <w:rFonts w:ascii="Times New Roman" w:hAnsi="Times New Roman"/>
          <w:sz w:val="24"/>
        </w:rPr>
        <w:t>263 at 265.</w:t>
      </w:r>
    </w:p>
  </w:footnote>
  <w:footnote w:id="74">
    <w:p w14:paraId="112F1C33"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See </w:t>
      </w:r>
      <w:r w:rsidRPr="00F2125E">
        <w:rPr>
          <w:rFonts w:ascii="Times New Roman" w:hAnsi="Times New Roman"/>
          <w:i/>
          <w:iCs/>
          <w:sz w:val="24"/>
        </w:rPr>
        <w:t xml:space="preserve">Aubrey v The Queen </w:t>
      </w:r>
      <w:r w:rsidRPr="00F2125E">
        <w:rPr>
          <w:rFonts w:ascii="Times New Roman" w:hAnsi="Times New Roman"/>
          <w:sz w:val="24"/>
        </w:rPr>
        <w:t xml:space="preserve">(2017) 260 CLR 305 at 322 [30], 325-326 [39]-[40]; </w:t>
      </w:r>
      <w:r w:rsidRPr="00F2125E">
        <w:rPr>
          <w:rFonts w:ascii="Times New Roman" w:hAnsi="Times New Roman"/>
          <w:i/>
          <w:iCs/>
          <w:sz w:val="24"/>
        </w:rPr>
        <w:t xml:space="preserve">News Corp UK &amp; Ireland Ltd v Revenue and Customs Commissioners </w:t>
      </w:r>
      <w:r w:rsidRPr="00F2125E">
        <w:rPr>
          <w:rFonts w:ascii="Times New Roman" w:hAnsi="Times New Roman"/>
          <w:sz w:val="24"/>
        </w:rPr>
        <w:t xml:space="preserve">[2024] AC 89 at 118-122 [84]-[95]. See especially </w:t>
      </w:r>
      <w:r w:rsidRPr="00F2125E">
        <w:rPr>
          <w:rFonts w:ascii="Times New Roman" w:hAnsi="Times New Roman"/>
          <w:i/>
          <w:iCs/>
          <w:sz w:val="24"/>
        </w:rPr>
        <w:t xml:space="preserve">Egan v Willis </w:t>
      </w:r>
      <w:r w:rsidRPr="00F2125E">
        <w:rPr>
          <w:rFonts w:ascii="Times New Roman" w:hAnsi="Times New Roman"/>
          <w:sz w:val="24"/>
        </w:rPr>
        <w:t>(1998) 195 CLR 424 at 445 [23].</w:t>
      </w:r>
    </w:p>
  </w:footnote>
  <w:footnote w:id="75">
    <w:p w14:paraId="57599BE7"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Fenton v Hampton</w:t>
      </w:r>
      <w:r w:rsidRPr="00F2125E">
        <w:rPr>
          <w:rFonts w:ascii="Times New Roman" w:hAnsi="Times New Roman"/>
          <w:sz w:val="24"/>
        </w:rPr>
        <w:t xml:space="preserve"> (1858) 11 Moore PC 347 at 382 [14 ER 727 at 740]. See also at 397 [14 ER 727 at 745]. </w:t>
      </w:r>
    </w:p>
  </w:footnote>
  <w:footnote w:id="76">
    <w:p w14:paraId="23BEE2C8"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See </w:t>
      </w:r>
      <w:r w:rsidRPr="00F2125E">
        <w:rPr>
          <w:rFonts w:ascii="Times New Roman" w:hAnsi="Times New Roman"/>
          <w:i/>
          <w:iCs/>
          <w:sz w:val="24"/>
        </w:rPr>
        <w:t xml:space="preserve">Western Australia v Manado </w:t>
      </w:r>
      <w:r w:rsidRPr="00F2125E">
        <w:rPr>
          <w:rFonts w:ascii="Times New Roman" w:hAnsi="Times New Roman"/>
          <w:sz w:val="24"/>
        </w:rPr>
        <w:t xml:space="preserve">(2020) 270 CLR 81 at 115 [84], quoting </w:t>
      </w:r>
      <w:r w:rsidRPr="00F2125E">
        <w:rPr>
          <w:rFonts w:ascii="Times New Roman" w:hAnsi="Times New Roman"/>
          <w:i/>
          <w:iCs/>
          <w:sz w:val="24"/>
        </w:rPr>
        <w:t xml:space="preserve">Humphrey v Pegues </w:t>
      </w:r>
      <w:r w:rsidRPr="00F2125E">
        <w:rPr>
          <w:rFonts w:ascii="Times New Roman" w:hAnsi="Times New Roman"/>
          <w:sz w:val="24"/>
        </w:rPr>
        <w:t xml:space="preserve">(1872) 83 US 244 at 248. See also </w:t>
      </w:r>
      <w:proofErr w:type="spellStart"/>
      <w:r w:rsidRPr="00F2125E">
        <w:rPr>
          <w:rFonts w:ascii="Times New Roman" w:hAnsi="Times New Roman"/>
          <w:sz w:val="24"/>
        </w:rPr>
        <w:t>Hohfeld</w:t>
      </w:r>
      <w:proofErr w:type="spellEnd"/>
      <w:r w:rsidRPr="00F2125E">
        <w:rPr>
          <w:rFonts w:ascii="Times New Roman" w:hAnsi="Times New Roman"/>
          <w:sz w:val="24"/>
        </w:rPr>
        <w:t xml:space="preserve">, "Some Fundamental Legal Conceptions as Applied in Judicial Reasoning" (1913) 23 </w:t>
      </w:r>
      <w:r w:rsidRPr="00F2125E">
        <w:rPr>
          <w:rFonts w:ascii="Times New Roman" w:hAnsi="Times New Roman"/>
          <w:i/>
          <w:iCs/>
          <w:sz w:val="24"/>
        </w:rPr>
        <w:t xml:space="preserve">Yale Law Journal </w:t>
      </w:r>
      <w:r w:rsidRPr="00F2125E">
        <w:rPr>
          <w:rFonts w:ascii="Times New Roman" w:hAnsi="Times New Roman"/>
          <w:sz w:val="24"/>
        </w:rPr>
        <w:t>16 at 36.</w:t>
      </w:r>
    </w:p>
  </w:footnote>
  <w:footnote w:id="77">
    <w:p w14:paraId="6D0EE1C7" w14:textId="77777777" w:rsidR="005C789E" w:rsidRPr="00F2125E" w:rsidRDefault="005C789E" w:rsidP="00F2125E">
      <w:pPr>
        <w:pStyle w:val="FootnoteText"/>
        <w:spacing w:line="280" w:lineRule="exact"/>
        <w:ind w:right="0"/>
        <w:jc w:val="both"/>
        <w:rPr>
          <w:rFonts w:ascii="Times New Roman" w:hAnsi="Times New Roman"/>
          <w:i/>
          <w:iCs/>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Sankey v Whitlam </w:t>
      </w:r>
      <w:r w:rsidRPr="00F2125E">
        <w:rPr>
          <w:rFonts w:ascii="Times New Roman" w:hAnsi="Times New Roman"/>
          <w:sz w:val="24"/>
        </w:rPr>
        <w:t>(1978) 142 CLR 1 at 36-37.</w:t>
      </w:r>
    </w:p>
  </w:footnote>
  <w:footnote w:id="78">
    <w:p w14:paraId="6EF8884D"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Prebble v Television New Zealand</w:t>
      </w:r>
      <w:r w:rsidRPr="00F2125E">
        <w:rPr>
          <w:rFonts w:ascii="Times New Roman" w:hAnsi="Times New Roman"/>
          <w:sz w:val="24"/>
        </w:rPr>
        <w:t xml:space="preserve"> </w:t>
      </w:r>
      <w:r w:rsidRPr="00F2125E">
        <w:rPr>
          <w:rFonts w:ascii="Times New Roman" w:hAnsi="Times New Roman"/>
          <w:i/>
          <w:iCs/>
          <w:sz w:val="24"/>
        </w:rPr>
        <w:t xml:space="preserve">Ltd </w:t>
      </w:r>
      <w:r w:rsidRPr="00F2125E">
        <w:rPr>
          <w:rFonts w:ascii="Times New Roman" w:hAnsi="Times New Roman"/>
          <w:sz w:val="24"/>
        </w:rPr>
        <w:t xml:space="preserve">[1995] 1 AC 321 at 335; </w:t>
      </w:r>
      <w:r w:rsidRPr="00F2125E">
        <w:rPr>
          <w:rFonts w:ascii="Times New Roman" w:hAnsi="Times New Roman"/>
          <w:i/>
          <w:iCs/>
          <w:sz w:val="24"/>
        </w:rPr>
        <w:t xml:space="preserve">R v </w:t>
      </w:r>
      <w:proofErr w:type="spellStart"/>
      <w:r w:rsidRPr="00F2125E">
        <w:rPr>
          <w:rFonts w:ascii="Times New Roman" w:hAnsi="Times New Roman"/>
          <w:i/>
          <w:iCs/>
          <w:sz w:val="24"/>
        </w:rPr>
        <w:t>Chaytor</w:t>
      </w:r>
      <w:proofErr w:type="spellEnd"/>
      <w:r w:rsidRPr="00F2125E">
        <w:rPr>
          <w:rFonts w:ascii="Times New Roman" w:hAnsi="Times New Roman"/>
          <w:i/>
          <w:iCs/>
          <w:sz w:val="24"/>
        </w:rPr>
        <w:t xml:space="preserve"> </w:t>
      </w:r>
      <w:r w:rsidRPr="00F2125E">
        <w:rPr>
          <w:rFonts w:ascii="Times New Roman" w:hAnsi="Times New Roman"/>
          <w:sz w:val="24"/>
        </w:rPr>
        <w:t xml:space="preserve">[2011] 1 AC 684 at 729 [130]. </w:t>
      </w:r>
    </w:p>
  </w:footnote>
  <w:footnote w:id="79">
    <w:p w14:paraId="4F91D94C"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proofErr w:type="spellStart"/>
      <w:r w:rsidRPr="00F2125E">
        <w:rPr>
          <w:rFonts w:ascii="Times New Roman" w:hAnsi="Times New Roman"/>
          <w:i/>
          <w:iCs/>
          <w:sz w:val="24"/>
        </w:rPr>
        <w:t>Comalco</w:t>
      </w:r>
      <w:proofErr w:type="spellEnd"/>
      <w:r w:rsidRPr="00F2125E">
        <w:rPr>
          <w:rFonts w:ascii="Times New Roman" w:hAnsi="Times New Roman"/>
          <w:i/>
          <w:iCs/>
          <w:sz w:val="24"/>
        </w:rPr>
        <w:t xml:space="preserve"> Ltd v Australian Broadcasting Corporation </w:t>
      </w:r>
      <w:r w:rsidRPr="00F2125E">
        <w:rPr>
          <w:rFonts w:ascii="Times New Roman" w:hAnsi="Times New Roman"/>
          <w:sz w:val="24"/>
        </w:rPr>
        <w:t xml:space="preserve">(1983) 50 ACTR 1; </w:t>
      </w:r>
      <w:r w:rsidRPr="00F2125E">
        <w:rPr>
          <w:rFonts w:ascii="Times New Roman" w:hAnsi="Times New Roman"/>
          <w:i/>
          <w:iCs/>
          <w:sz w:val="24"/>
        </w:rPr>
        <w:t xml:space="preserve">New South Wales Branch of the Australian Medical Association v Minister for Health and Community Services </w:t>
      </w:r>
      <w:r w:rsidRPr="00F2125E">
        <w:rPr>
          <w:rFonts w:ascii="Times New Roman" w:hAnsi="Times New Roman"/>
          <w:sz w:val="24"/>
        </w:rPr>
        <w:t xml:space="preserve">(1992) 26 NSWLR 114; </w:t>
      </w:r>
      <w:r w:rsidRPr="00F2125E">
        <w:rPr>
          <w:rFonts w:ascii="Times New Roman" w:hAnsi="Times New Roman"/>
          <w:i/>
          <w:iCs/>
          <w:sz w:val="24"/>
        </w:rPr>
        <w:t xml:space="preserve">Mees v Roads Corporation </w:t>
      </w:r>
      <w:r w:rsidRPr="00F2125E">
        <w:rPr>
          <w:rFonts w:ascii="Times New Roman" w:hAnsi="Times New Roman"/>
          <w:sz w:val="24"/>
        </w:rPr>
        <w:t xml:space="preserve">(2003) 128 FCR 418; </w:t>
      </w:r>
      <w:r w:rsidRPr="00F2125E">
        <w:rPr>
          <w:rFonts w:ascii="Times New Roman" w:hAnsi="Times New Roman"/>
          <w:i/>
          <w:iCs/>
          <w:sz w:val="24"/>
        </w:rPr>
        <w:t xml:space="preserve">Cornwall v Rowan </w:t>
      </w:r>
      <w:r w:rsidRPr="00F2125E">
        <w:rPr>
          <w:rFonts w:ascii="Times New Roman" w:hAnsi="Times New Roman"/>
          <w:sz w:val="24"/>
        </w:rPr>
        <w:t xml:space="preserve">(2004) 90 SASR 269; </w:t>
      </w:r>
      <w:r w:rsidRPr="00F2125E">
        <w:rPr>
          <w:rFonts w:ascii="Times New Roman" w:hAnsi="Times New Roman"/>
          <w:i/>
          <w:iCs/>
          <w:sz w:val="24"/>
        </w:rPr>
        <w:t xml:space="preserve">Victorian Taxi Families Inc v Taxi Services Commission </w:t>
      </w:r>
      <w:r w:rsidRPr="00F2125E">
        <w:rPr>
          <w:rFonts w:ascii="Times New Roman" w:hAnsi="Times New Roman"/>
          <w:sz w:val="24"/>
        </w:rPr>
        <w:t>(2018) 61 VR 91.</w:t>
      </w:r>
    </w:p>
  </w:footnote>
  <w:footnote w:id="80">
    <w:p w14:paraId="294A2508"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Natzler and Hutton (eds), </w:t>
      </w:r>
      <w:r w:rsidRPr="00F2125E">
        <w:rPr>
          <w:rFonts w:ascii="Times New Roman" w:hAnsi="Times New Roman"/>
          <w:i/>
          <w:iCs/>
          <w:sz w:val="24"/>
        </w:rPr>
        <w:t>Erskine May's Treatise on The Law, Privileges, Proceedings and Usage of Parliament</w:t>
      </w:r>
      <w:r w:rsidRPr="00F2125E">
        <w:rPr>
          <w:rFonts w:ascii="Times New Roman" w:hAnsi="Times New Roman"/>
          <w:sz w:val="24"/>
        </w:rPr>
        <w:t>,</w:t>
      </w:r>
      <w:r w:rsidRPr="00F2125E">
        <w:rPr>
          <w:rFonts w:ascii="Times New Roman" w:hAnsi="Times New Roman"/>
          <w:i/>
          <w:iCs/>
          <w:sz w:val="24"/>
        </w:rPr>
        <w:t xml:space="preserve"> </w:t>
      </w:r>
      <w:r w:rsidRPr="00F2125E">
        <w:rPr>
          <w:rFonts w:ascii="Times New Roman" w:hAnsi="Times New Roman"/>
          <w:sz w:val="24"/>
        </w:rPr>
        <w:t xml:space="preserve">25th ed (2019) at 240 [12.1]. See also Joseph, "Parliament's Attenuated Privilege of Freedom of Speech" (2010) 126 </w:t>
      </w:r>
      <w:r w:rsidRPr="00F2125E">
        <w:rPr>
          <w:rFonts w:ascii="Times New Roman" w:hAnsi="Times New Roman"/>
          <w:i/>
          <w:iCs/>
          <w:sz w:val="24"/>
        </w:rPr>
        <w:t xml:space="preserve">Law Quarterly Review </w:t>
      </w:r>
      <w:r w:rsidRPr="00F2125E">
        <w:rPr>
          <w:rFonts w:ascii="Times New Roman" w:hAnsi="Times New Roman"/>
          <w:sz w:val="24"/>
        </w:rPr>
        <w:t xml:space="preserve">568 at 574-575. </w:t>
      </w:r>
    </w:p>
  </w:footnote>
  <w:footnote w:id="81">
    <w:p w14:paraId="1C7B7761"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proofErr w:type="spellStart"/>
      <w:r w:rsidRPr="00F2125E">
        <w:rPr>
          <w:rFonts w:ascii="Times New Roman" w:hAnsi="Times New Roman"/>
          <w:i/>
          <w:iCs/>
          <w:sz w:val="24"/>
        </w:rPr>
        <w:t>Rost</w:t>
      </w:r>
      <w:proofErr w:type="spellEnd"/>
      <w:r w:rsidRPr="00F2125E">
        <w:rPr>
          <w:rFonts w:ascii="Times New Roman" w:hAnsi="Times New Roman"/>
          <w:i/>
          <w:iCs/>
          <w:sz w:val="24"/>
        </w:rPr>
        <w:t xml:space="preserve"> v Edwards </w:t>
      </w:r>
      <w:r w:rsidRPr="00F2125E">
        <w:rPr>
          <w:rFonts w:ascii="Times New Roman" w:hAnsi="Times New Roman"/>
          <w:sz w:val="24"/>
        </w:rPr>
        <w:t>[1990] 2 QB 460 at 470, 474-475.</w:t>
      </w:r>
    </w:p>
  </w:footnote>
  <w:footnote w:id="82">
    <w:p w14:paraId="479F850D"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Blackstone, </w:t>
      </w:r>
      <w:r w:rsidRPr="00F2125E">
        <w:rPr>
          <w:rFonts w:ascii="Times New Roman" w:hAnsi="Times New Roman"/>
          <w:i/>
          <w:iCs/>
          <w:sz w:val="24"/>
        </w:rPr>
        <w:t xml:space="preserve">Commentaries on the Laws of England </w:t>
      </w:r>
      <w:r w:rsidRPr="00F2125E">
        <w:rPr>
          <w:rFonts w:ascii="Times New Roman" w:hAnsi="Times New Roman"/>
          <w:sz w:val="24"/>
        </w:rPr>
        <w:t xml:space="preserve">(1765), bk 1, </w:t>
      </w:r>
      <w:proofErr w:type="spellStart"/>
      <w:r w:rsidRPr="00F2125E">
        <w:rPr>
          <w:rFonts w:ascii="Times New Roman" w:hAnsi="Times New Roman"/>
          <w:sz w:val="24"/>
        </w:rPr>
        <w:t>ch</w:t>
      </w:r>
      <w:proofErr w:type="spellEnd"/>
      <w:r w:rsidRPr="00F2125E">
        <w:rPr>
          <w:rFonts w:ascii="Times New Roman" w:hAnsi="Times New Roman"/>
          <w:sz w:val="24"/>
        </w:rPr>
        <w:t xml:space="preserve"> 2 at 158.</w:t>
      </w:r>
    </w:p>
  </w:footnote>
  <w:footnote w:id="83">
    <w:p w14:paraId="4DC02222"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Buchanan v Jennings (Attorney General of New Zealand intervening) </w:t>
      </w:r>
      <w:r w:rsidRPr="00F2125E">
        <w:rPr>
          <w:rFonts w:ascii="Times New Roman" w:hAnsi="Times New Roman"/>
          <w:sz w:val="24"/>
        </w:rPr>
        <w:t xml:space="preserve">[2005] 1 AC 115 at 123 [9]. </w:t>
      </w:r>
    </w:p>
  </w:footnote>
  <w:footnote w:id="84">
    <w:p w14:paraId="5EEA4718"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Prebble v Television New Zealand</w:t>
      </w:r>
      <w:r w:rsidRPr="00F2125E">
        <w:rPr>
          <w:rFonts w:ascii="Times New Roman" w:hAnsi="Times New Roman"/>
          <w:sz w:val="24"/>
        </w:rPr>
        <w:t xml:space="preserve"> </w:t>
      </w:r>
      <w:r w:rsidRPr="00F2125E">
        <w:rPr>
          <w:rFonts w:ascii="Times New Roman" w:hAnsi="Times New Roman"/>
          <w:i/>
          <w:iCs/>
          <w:sz w:val="24"/>
        </w:rPr>
        <w:t xml:space="preserve">Ltd </w:t>
      </w:r>
      <w:r w:rsidRPr="00F2125E">
        <w:rPr>
          <w:rFonts w:ascii="Times New Roman" w:hAnsi="Times New Roman"/>
          <w:sz w:val="24"/>
        </w:rPr>
        <w:t xml:space="preserve">[1995] 1 AC 321 at 337.  </w:t>
      </w:r>
    </w:p>
  </w:footnote>
  <w:footnote w:id="85">
    <w:p w14:paraId="5CB64E44"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bookmarkStart w:id="1" w:name="_Hlk171411615"/>
      <w:r w:rsidRPr="00F2125E">
        <w:rPr>
          <w:rFonts w:ascii="Times New Roman" w:hAnsi="Times New Roman"/>
          <w:i/>
          <w:iCs/>
          <w:sz w:val="24"/>
        </w:rPr>
        <w:t xml:space="preserve">Uren v John Fairfax &amp; Sons Ltd </w:t>
      </w:r>
      <w:r w:rsidRPr="00F2125E">
        <w:rPr>
          <w:rFonts w:ascii="Times New Roman" w:hAnsi="Times New Roman"/>
          <w:sz w:val="24"/>
        </w:rPr>
        <w:t xml:space="preserve">[1979] 2 NSWLR 287 at 289; </w:t>
      </w:r>
      <w:bookmarkEnd w:id="1"/>
      <w:r w:rsidRPr="00F2125E">
        <w:rPr>
          <w:rFonts w:ascii="Times New Roman" w:hAnsi="Times New Roman"/>
          <w:i/>
          <w:iCs/>
          <w:sz w:val="24"/>
        </w:rPr>
        <w:t xml:space="preserve">Mundey v </w:t>
      </w:r>
      <w:proofErr w:type="spellStart"/>
      <w:r w:rsidRPr="00F2125E">
        <w:rPr>
          <w:rFonts w:ascii="Times New Roman" w:hAnsi="Times New Roman"/>
          <w:i/>
          <w:iCs/>
          <w:sz w:val="24"/>
        </w:rPr>
        <w:t>Askin</w:t>
      </w:r>
      <w:proofErr w:type="spellEnd"/>
      <w:r w:rsidRPr="00F2125E">
        <w:rPr>
          <w:rFonts w:ascii="Times New Roman" w:hAnsi="Times New Roman"/>
          <w:i/>
          <w:iCs/>
          <w:sz w:val="24"/>
        </w:rPr>
        <w:t xml:space="preserve"> </w:t>
      </w:r>
      <w:r w:rsidRPr="00F2125E">
        <w:rPr>
          <w:rFonts w:ascii="Times New Roman" w:hAnsi="Times New Roman"/>
          <w:sz w:val="24"/>
        </w:rPr>
        <w:t xml:space="preserve">[1982] 2 NSWLR 369 at 373; </w:t>
      </w:r>
      <w:r w:rsidRPr="00F2125E">
        <w:rPr>
          <w:rFonts w:ascii="Times New Roman" w:hAnsi="Times New Roman"/>
          <w:i/>
          <w:iCs/>
          <w:sz w:val="24"/>
        </w:rPr>
        <w:t xml:space="preserve">Mees v Roads Corporation </w:t>
      </w:r>
      <w:r w:rsidRPr="00F2125E">
        <w:rPr>
          <w:rFonts w:ascii="Times New Roman" w:hAnsi="Times New Roman"/>
          <w:sz w:val="24"/>
        </w:rPr>
        <w:t xml:space="preserve">(2003) 128 FCR 418 at 445 [86]; </w:t>
      </w:r>
      <w:r w:rsidRPr="00F2125E">
        <w:rPr>
          <w:rFonts w:ascii="Times New Roman" w:hAnsi="Times New Roman"/>
          <w:i/>
          <w:iCs/>
          <w:sz w:val="24"/>
        </w:rPr>
        <w:t xml:space="preserve">Victorian Taxi Families Inc v Taxi Services Commission </w:t>
      </w:r>
      <w:r w:rsidRPr="00F2125E">
        <w:rPr>
          <w:rFonts w:ascii="Times New Roman" w:hAnsi="Times New Roman"/>
          <w:sz w:val="24"/>
        </w:rPr>
        <w:t xml:space="preserve">(2018) 61 VR 91 at 125 [93(f)]. See also </w:t>
      </w:r>
      <w:r w:rsidRPr="00F2125E">
        <w:rPr>
          <w:rFonts w:ascii="Times New Roman" w:hAnsi="Times New Roman"/>
          <w:i/>
          <w:iCs/>
          <w:sz w:val="24"/>
        </w:rPr>
        <w:t xml:space="preserve">Church of Scientology of California v Johnson-Smith </w:t>
      </w:r>
      <w:r w:rsidRPr="00F2125E">
        <w:rPr>
          <w:rFonts w:ascii="Times New Roman" w:hAnsi="Times New Roman"/>
          <w:sz w:val="24"/>
        </w:rPr>
        <w:t>[1972] 1 QB 522 at 531.</w:t>
      </w:r>
    </w:p>
  </w:footnote>
  <w:footnote w:id="86">
    <w:p w14:paraId="58E56BC8"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Constitution</w:t>
      </w:r>
      <w:r w:rsidRPr="00F2125E">
        <w:rPr>
          <w:rFonts w:ascii="Times New Roman" w:hAnsi="Times New Roman"/>
          <w:sz w:val="24"/>
        </w:rPr>
        <w:t>, s 38.</w:t>
      </w:r>
    </w:p>
  </w:footnote>
  <w:footnote w:id="87">
    <w:p w14:paraId="7464B2C4"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sz w:val="24"/>
        </w:rPr>
        <w:t xml:space="preserve">Gipps v McElhone </w:t>
      </w:r>
      <w:r w:rsidRPr="00F2125E">
        <w:rPr>
          <w:rFonts w:ascii="Times New Roman" w:hAnsi="Times New Roman"/>
          <w:sz w:val="24"/>
        </w:rPr>
        <w:t>(1881) 2 NSWR 18 at 22.</w:t>
      </w:r>
    </w:p>
  </w:footnote>
  <w:footnote w:id="88">
    <w:p w14:paraId="562B049C"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See </w:t>
      </w:r>
      <w:r w:rsidRPr="00F2125E">
        <w:rPr>
          <w:rFonts w:ascii="Times New Roman" w:hAnsi="Times New Roman"/>
          <w:i/>
          <w:iCs/>
          <w:sz w:val="24"/>
        </w:rPr>
        <w:t xml:space="preserve">Buchanan v Jennings (Attorney General of New Zealand intervening) </w:t>
      </w:r>
      <w:r w:rsidRPr="00F2125E">
        <w:rPr>
          <w:rFonts w:ascii="Times New Roman" w:hAnsi="Times New Roman"/>
          <w:sz w:val="24"/>
        </w:rPr>
        <w:t>[2005] 1 AC 115 at 132 [18].</w:t>
      </w:r>
    </w:p>
  </w:footnote>
  <w:footnote w:id="89">
    <w:p w14:paraId="4B5CB4CE"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Stockdale v Hansard </w:t>
      </w:r>
      <w:r w:rsidRPr="00F2125E">
        <w:rPr>
          <w:rFonts w:ascii="Times New Roman" w:hAnsi="Times New Roman"/>
          <w:sz w:val="24"/>
        </w:rPr>
        <w:t>(1839) 9 Ad &amp; E 1 [112 ER 1112].</w:t>
      </w:r>
    </w:p>
  </w:footnote>
  <w:footnote w:id="90">
    <w:p w14:paraId="3E911E66"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3 </w:t>
      </w:r>
      <w:proofErr w:type="spellStart"/>
      <w:r w:rsidRPr="00F2125E">
        <w:rPr>
          <w:rFonts w:ascii="Times New Roman" w:hAnsi="Times New Roman"/>
          <w:sz w:val="24"/>
        </w:rPr>
        <w:t>Vict</w:t>
      </w:r>
      <w:proofErr w:type="spellEnd"/>
      <w:r w:rsidRPr="00F2125E">
        <w:rPr>
          <w:rFonts w:ascii="Times New Roman" w:hAnsi="Times New Roman"/>
          <w:sz w:val="24"/>
        </w:rPr>
        <w:t xml:space="preserve"> c 9.</w:t>
      </w:r>
    </w:p>
  </w:footnote>
  <w:footnote w:id="91">
    <w:p w14:paraId="6048078B"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Pepper v Hart </w:t>
      </w:r>
      <w:r w:rsidRPr="00F2125E">
        <w:rPr>
          <w:rFonts w:ascii="Times New Roman" w:hAnsi="Times New Roman"/>
          <w:sz w:val="24"/>
        </w:rPr>
        <w:t xml:space="preserve">[1993] AC 593 at 638. </w:t>
      </w:r>
    </w:p>
  </w:footnote>
  <w:footnote w:id="92">
    <w:p w14:paraId="46564D31"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See </w:t>
      </w:r>
      <w:r w:rsidRPr="00F2125E">
        <w:rPr>
          <w:rFonts w:ascii="Times New Roman" w:hAnsi="Times New Roman"/>
          <w:i/>
          <w:iCs/>
          <w:sz w:val="24"/>
        </w:rPr>
        <w:t xml:space="preserve">Cornwall v Rowan </w:t>
      </w:r>
      <w:r w:rsidRPr="00F2125E">
        <w:rPr>
          <w:rFonts w:ascii="Times New Roman" w:hAnsi="Times New Roman"/>
          <w:sz w:val="24"/>
        </w:rPr>
        <w:t xml:space="preserve">(2004) 90 SASR 269 at 362 [389]. </w:t>
      </w:r>
    </w:p>
  </w:footnote>
  <w:footnote w:id="93">
    <w:p w14:paraId="77DC27A4"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R v Murphy </w:t>
      </w:r>
      <w:r w:rsidRPr="00F2125E">
        <w:rPr>
          <w:rFonts w:ascii="Times New Roman" w:hAnsi="Times New Roman"/>
          <w:sz w:val="24"/>
        </w:rPr>
        <w:t xml:space="preserve">(1986) 5 NSWLR 18 at 27. See also Campbell, "Parliamentary Privilege and Admissibility of Evidence" (1999) 27 </w:t>
      </w:r>
      <w:r w:rsidRPr="00F2125E">
        <w:rPr>
          <w:rFonts w:ascii="Times New Roman" w:hAnsi="Times New Roman"/>
          <w:i/>
          <w:iCs/>
          <w:sz w:val="24"/>
        </w:rPr>
        <w:t xml:space="preserve">Federal Law Review </w:t>
      </w:r>
      <w:r w:rsidRPr="00F2125E">
        <w:rPr>
          <w:rFonts w:ascii="Times New Roman" w:hAnsi="Times New Roman"/>
          <w:sz w:val="24"/>
        </w:rPr>
        <w:t>367 at 372-373.</w:t>
      </w:r>
    </w:p>
  </w:footnote>
  <w:footnote w:id="94">
    <w:p w14:paraId="53E9AC6C"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Parliamentary Privileges Act 1987 </w:t>
      </w:r>
      <w:r w:rsidRPr="00F2125E">
        <w:rPr>
          <w:rFonts w:ascii="Times New Roman" w:hAnsi="Times New Roman"/>
          <w:sz w:val="24"/>
        </w:rPr>
        <w:t>(</w:t>
      </w:r>
      <w:proofErr w:type="spellStart"/>
      <w:r w:rsidRPr="00F2125E">
        <w:rPr>
          <w:rFonts w:ascii="Times New Roman" w:hAnsi="Times New Roman"/>
          <w:sz w:val="24"/>
        </w:rPr>
        <w:t>Cth</w:t>
      </w:r>
      <w:proofErr w:type="spellEnd"/>
      <w:r w:rsidRPr="00F2125E">
        <w:rPr>
          <w:rFonts w:ascii="Times New Roman" w:hAnsi="Times New Roman"/>
          <w:sz w:val="24"/>
        </w:rPr>
        <w:t xml:space="preserve">). </w:t>
      </w:r>
    </w:p>
  </w:footnote>
  <w:footnote w:id="95">
    <w:p w14:paraId="4688902A"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Australia, House of Representatives, </w:t>
      </w:r>
      <w:r w:rsidRPr="00F2125E">
        <w:rPr>
          <w:rFonts w:ascii="Times New Roman" w:hAnsi="Times New Roman"/>
          <w:i/>
          <w:iCs/>
          <w:sz w:val="24"/>
        </w:rPr>
        <w:t>Parliamentary Privileges Bill 1987</w:t>
      </w:r>
      <w:r w:rsidRPr="00F2125E">
        <w:rPr>
          <w:rFonts w:ascii="Times New Roman" w:hAnsi="Times New Roman"/>
          <w:sz w:val="24"/>
        </w:rPr>
        <w:t xml:space="preserve">, Explanatory Memorandum at 11. See also Natzler and Hutton (eds), </w:t>
      </w:r>
      <w:r w:rsidRPr="00F2125E">
        <w:rPr>
          <w:rFonts w:ascii="Times New Roman" w:hAnsi="Times New Roman"/>
          <w:i/>
          <w:iCs/>
          <w:sz w:val="24"/>
        </w:rPr>
        <w:t>Erskine May's Treatise on The Law, Privileges, Proceedings and Usage of Parliament</w:t>
      </w:r>
      <w:r w:rsidRPr="00F2125E">
        <w:rPr>
          <w:rFonts w:ascii="Times New Roman" w:hAnsi="Times New Roman"/>
          <w:sz w:val="24"/>
        </w:rPr>
        <w:t>,</w:t>
      </w:r>
      <w:r w:rsidRPr="00F2125E">
        <w:rPr>
          <w:rFonts w:ascii="Times New Roman" w:hAnsi="Times New Roman"/>
          <w:i/>
          <w:iCs/>
          <w:sz w:val="24"/>
        </w:rPr>
        <w:t xml:space="preserve"> </w:t>
      </w:r>
      <w:r w:rsidRPr="00F2125E">
        <w:rPr>
          <w:rFonts w:ascii="Times New Roman" w:hAnsi="Times New Roman"/>
          <w:sz w:val="24"/>
        </w:rPr>
        <w:t xml:space="preserve">25th ed, (2019) at 338 [16.13]. </w:t>
      </w:r>
    </w:p>
  </w:footnote>
  <w:footnote w:id="96">
    <w:p w14:paraId="000F6870"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[2018] 2 SCR 687 at 708 [27]. </w:t>
      </w:r>
    </w:p>
  </w:footnote>
  <w:footnote w:id="97">
    <w:p w14:paraId="6A26479C"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Blackstone, </w:t>
      </w:r>
      <w:r w:rsidRPr="00F2125E">
        <w:rPr>
          <w:rFonts w:ascii="Times New Roman" w:hAnsi="Times New Roman"/>
          <w:i/>
          <w:iCs/>
          <w:sz w:val="24"/>
        </w:rPr>
        <w:t xml:space="preserve">Commentaries on the Laws of England </w:t>
      </w:r>
      <w:r w:rsidRPr="00F2125E">
        <w:rPr>
          <w:rFonts w:ascii="Times New Roman" w:hAnsi="Times New Roman"/>
          <w:sz w:val="24"/>
        </w:rPr>
        <w:t xml:space="preserve">(1765), bk 1, </w:t>
      </w:r>
      <w:proofErr w:type="spellStart"/>
      <w:r w:rsidRPr="00F2125E">
        <w:rPr>
          <w:rFonts w:ascii="Times New Roman" w:hAnsi="Times New Roman"/>
          <w:sz w:val="24"/>
        </w:rPr>
        <w:t>ch</w:t>
      </w:r>
      <w:proofErr w:type="spellEnd"/>
      <w:r w:rsidRPr="00F2125E">
        <w:rPr>
          <w:rFonts w:ascii="Times New Roman" w:hAnsi="Times New Roman"/>
          <w:sz w:val="24"/>
        </w:rPr>
        <w:t xml:space="preserve"> 2 at 159. </w:t>
      </w:r>
    </w:p>
  </w:footnote>
  <w:footnote w:id="98">
    <w:p w14:paraId="59960AFB"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Prebble v Television New Zealand Ltd </w:t>
      </w:r>
      <w:r w:rsidRPr="00F2125E">
        <w:rPr>
          <w:rFonts w:ascii="Times New Roman" w:hAnsi="Times New Roman"/>
          <w:sz w:val="24"/>
        </w:rPr>
        <w:t>[1995] 1 AC 321 at 332.</w:t>
      </w:r>
    </w:p>
  </w:footnote>
  <w:footnote w:id="99">
    <w:p w14:paraId="6C302875"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proofErr w:type="spellStart"/>
      <w:r w:rsidRPr="00F2125E">
        <w:rPr>
          <w:rFonts w:ascii="Times New Roman" w:hAnsi="Times New Roman"/>
          <w:i/>
          <w:iCs/>
          <w:sz w:val="24"/>
        </w:rPr>
        <w:t>Pickin</w:t>
      </w:r>
      <w:proofErr w:type="spellEnd"/>
      <w:r w:rsidRPr="00F2125E">
        <w:rPr>
          <w:rFonts w:ascii="Times New Roman" w:hAnsi="Times New Roman"/>
          <w:i/>
          <w:iCs/>
          <w:sz w:val="24"/>
        </w:rPr>
        <w:t xml:space="preserve"> v British Railways Board</w:t>
      </w:r>
      <w:r w:rsidRPr="00F2125E">
        <w:rPr>
          <w:rFonts w:ascii="Times New Roman" w:hAnsi="Times New Roman"/>
          <w:sz w:val="24"/>
        </w:rPr>
        <w:t xml:space="preserve"> [1974] AC 765 at 798.</w:t>
      </w:r>
    </w:p>
  </w:footnote>
  <w:footnote w:id="100">
    <w:p w14:paraId="0E8CF237"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proofErr w:type="spellStart"/>
      <w:r w:rsidRPr="00F2125E">
        <w:rPr>
          <w:rFonts w:ascii="Times New Roman" w:hAnsi="Times New Roman"/>
          <w:i/>
          <w:iCs/>
          <w:sz w:val="24"/>
        </w:rPr>
        <w:t>Kielley</w:t>
      </w:r>
      <w:proofErr w:type="spellEnd"/>
      <w:r w:rsidRPr="00F2125E">
        <w:rPr>
          <w:rFonts w:ascii="Times New Roman" w:hAnsi="Times New Roman"/>
          <w:i/>
          <w:iCs/>
          <w:sz w:val="24"/>
        </w:rPr>
        <w:t xml:space="preserve"> v Carson </w:t>
      </w:r>
      <w:r w:rsidRPr="00F2125E">
        <w:rPr>
          <w:rFonts w:ascii="Times New Roman" w:hAnsi="Times New Roman"/>
          <w:sz w:val="24"/>
        </w:rPr>
        <w:t>(1843) 4 Moore PC 63 at 88 [13 ER 225 at 234].</w:t>
      </w:r>
    </w:p>
  </w:footnote>
  <w:footnote w:id="101">
    <w:p w14:paraId="5034D610"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Armstrong v Budd </w:t>
      </w:r>
      <w:r w:rsidRPr="00F2125E">
        <w:rPr>
          <w:rFonts w:ascii="Times New Roman" w:hAnsi="Times New Roman"/>
          <w:sz w:val="24"/>
        </w:rPr>
        <w:t>(1969) 71 SR (NSW) 386 at 395.</w:t>
      </w:r>
    </w:p>
  </w:footnote>
  <w:footnote w:id="102">
    <w:p w14:paraId="1604F27D"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Armstrong v Budd </w:t>
      </w:r>
      <w:r w:rsidRPr="00F2125E">
        <w:rPr>
          <w:rFonts w:ascii="Times New Roman" w:hAnsi="Times New Roman"/>
          <w:sz w:val="24"/>
        </w:rPr>
        <w:t xml:space="preserve">(1969) 71 SR (NSW) 386 at 397. </w:t>
      </w:r>
    </w:p>
  </w:footnote>
  <w:footnote w:id="103">
    <w:p w14:paraId="56D7749C"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Pepper v Hart </w:t>
      </w:r>
      <w:r w:rsidRPr="00F2125E">
        <w:rPr>
          <w:rFonts w:ascii="Times New Roman" w:hAnsi="Times New Roman"/>
          <w:sz w:val="24"/>
        </w:rPr>
        <w:t xml:space="preserve">[1993] AC 593 at 638. But see </w:t>
      </w:r>
      <w:r w:rsidRPr="00F2125E">
        <w:rPr>
          <w:rFonts w:ascii="Times New Roman" w:hAnsi="Times New Roman"/>
          <w:i/>
          <w:iCs/>
          <w:sz w:val="24"/>
        </w:rPr>
        <w:t xml:space="preserve">Finnane v Australian Consolidated Press Ltd </w:t>
      </w:r>
      <w:r w:rsidRPr="00F2125E">
        <w:rPr>
          <w:rFonts w:ascii="Times New Roman" w:hAnsi="Times New Roman"/>
          <w:sz w:val="24"/>
        </w:rPr>
        <w:t xml:space="preserve">[1978] 2 NSWLR 435, rejected in </w:t>
      </w:r>
      <w:proofErr w:type="spellStart"/>
      <w:r w:rsidRPr="00F2125E">
        <w:rPr>
          <w:rFonts w:ascii="Times New Roman" w:hAnsi="Times New Roman"/>
          <w:i/>
          <w:iCs/>
          <w:sz w:val="24"/>
        </w:rPr>
        <w:t>Comalco</w:t>
      </w:r>
      <w:proofErr w:type="spellEnd"/>
      <w:r w:rsidRPr="00F2125E">
        <w:rPr>
          <w:rFonts w:ascii="Times New Roman" w:hAnsi="Times New Roman"/>
          <w:i/>
          <w:iCs/>
          <w:sz w:val="24"/>
        </w:rPr>
        <w:t xml:space="preserve"> Ltd v Australian Broadcasting Corporation </w:t>
      </w:r>
      <w:r w:rsidRPr="00F2125E">
        <w:rPr>
          <w:rFonts w:ascii="Times New Roman" w:hAnsi="Times New Roman"/>
          <w:sz w:val="24"/>
        </w:rPr>
        <w:t>(1983) 50 ACTR 1 at 4-5.</w:t>
      </w:r>
    </w:p>
  </w:footnote>
  <w:footnote w:id="104">
    <w:p w14:paraId="22A15E4A"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Amann Aviation Pty Ltd v Commonwealth of Australia </w:t>
      </w:r>
      <w:r w:rsidRPr="00F2125E">
        <w:rPr>
          <w:rFonts w:ascii="Times New Roman" w:hAnsi="Times New Roman"/>
          <w:sz w:val="24"/>
        </w:rPr>
        <w:t>(1988) 19 FCR 223 at 231.</w:t>
      </w:r>
    </w:p>
  </w:footnote>
  <w:footnote w:id="105">
    <w:p w14:paraId="23AAF9A7"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F5C16">
        <w:rPr>
          <w:rFonts w:ascii="Times New Roman" w:hAnsi="Times New Roman"/>
          <w:sz w:val="24"/>
        </w:rPr>
        <w:t xml:space="preserve">Above at </w:t>
      </w:r>
      <w:proofErr w:type="spellStart"/>
      <w:r w:rsidRPr="00FF5C16">
        <w:rPr>
          <w:rFonts w:ascii="Times New Roman" w:hAnsi="Times New Roman"/>
          <w:sz w:val="24"/>
        </w:rPr>
        <w:t>fn</w:t>
      </w:r>
      <w:proofErr w:type="spellEnd"/>
      <w:r w:rsidRPr="00FF5C16">
        <w:rPr>
          <w:rFonts w:ascii="Times New Roman" w:hAnsi="Times New Roman"/>
          <w:sz w:val="24"/>
        </w:rPr>
        <w:t xml:space="preserve"> </w:t>
      </w:r>
      <w:r>
        <w:rPr>
          <w:rFonts w:ascii="Times New Roman" w:hAnsi="Times New Roman"/>
          <w:sz w:val="24"/>
        </w:rPr>
        <w:t>84</w:t>
      </w:r>
      <w:r w:rsidRPr="00FF5C16">
        <w:rPr>
          <w:rFonts w:ascii="Times New Roman" w:hAnsi="Times New Roman"/>
          <w:sz w:val="24"/>
        </w:rPr>
        <w:t>.</w:t>
      </w:r>
    </w:p>
  </w:footnote>
  <w:footnote w:id="106">
    <w:p w14:paraId="71383B0E"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Constitution of the United States</w:t>
      </w:r>
      <w:r w:rsidRPr="00F2125E">
        <w:rPr>
          <w:rFonts w:ascii="Times New Roman" w:hAnsi="Times New Roman"/>
          <w:sz w:val="24"/>
        </w:rPr>
        <w:t>, Art I, s 6, cl 1.</w:t>
      </w:r>
    </w:p>
  </w:footnote>
  <w:footnote w:id="107">
    <w:p w14:paraId="153E7B8E"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United States v Johnson </w:t>
      </w:r>
      <w:r w:rsidRPr="00F2125E">
        <w:rPr>
          <w:rFonts w:ascii="Times New Roman" w:hAnsi="Times New Roman"/>
          <w:sz w:val="24"/>
        </w:rPr>
        <w:t xml:space="preserve">(1966) 383 US 169 at 177-178. </w:t>
      </w:r>
    </w:p>
  </w:footnote>
  <w:footnote w:id="108">
    <w:p w14:paraId="1916A69E"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Powell v McCormack </w:t>
      </w:r>
      <w:r w:rsidRPr="00F2125E">
        <w:rPr>
          <w:rFonts w:ascii="Times New Roman" w:hAnsi="Times New Roman"/>
          <w:sz w:val="24"/>
        </w:rPr>
        <w:t xml:space="preserve">(1969) 395 US 486 at 504, approving </w:t>
      </w:r>
      <w:r w:rsidRPr="00F2125E">
        <w:rPr>
          <w:rFonts w:ascii="Times New Roman" w:hAnsi="Times New Roman"/>
          <w:i/>
          <w:iCs/>
          <w:sz w:val="24"/>
        </w:rPr>
        <w:t xml:space="preserve">Kilbourn v Thompson </w:t>
      </w:r>
      <w:r w:rsidRPr="00F2125E">
        <w:rPr>
          <w:rFonts w:ascii="Times New Roman" w:hAnsi="Times New Roman"/>
          <w:sz w:val="24"/>
        </w:rPr>
        <w:t>(1880) 103 US 168</w:t>
      </w:r>
      <w:r w:rsidRPr="00F2125E">
        <w:rPr>
          <w:rFonts w:ascii="Times New Roman" w:hAnsi="Times New Roman"/>
          <w:i/>
          <w:iCs/>
          <w:sz w:val="24"/>
        </w:rPr>
        <w:t xml:space="preserve"> </w:t>
      </w:r>
      <w:r w:rsidRPr="00F2125E">
        <w:rPr>
          <w:rFonts w:ascii="Times New Roman" w:hAnsi="Times New Roman"/>
          <w:sz w:val="24"/>
        </w:rPr>
        <w:t xml:space="preserve">and </w:t>
      </w:r>
      <w:r w:rsidRPr="00F2125E">
        <w:rPr>
          <w:rFonts w:ascii="Times New Roman" w:hAnsi="Times New Roman"/>
          <w:i/>
          <w:iCs/>
          <w:sz w:val="24"/>
        </w:rPr>
        <w:t xml:space="preserve">Dombrowski v Eastland </w:t>
      </w:r>
      <w:r w:rsidRPr="00F2125E">
        <w:rPr>
          <w:rFonts w:ascii="Times New Roman" w:hAnsi="Times New Roman"/>
          <w:sz w:val="24"/>
        </w:rPr>
        <w:t xml:space="preserve">(1967) 387 US 82. </w:t>
      </w:r>
    </w:p>
  </w:footnote>
  <w:footnote w:id="109">
    <w:p w14:paraId="1502BF70"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(1839) 9 Ad &amp; E 1 [112 ER 1112].</w:t>
      </w:r>
    </w:p>
  </w:footnote>
  <w:footnote w:id="110">
    <w:p w14:paraId="2576DC78"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Doe v McMillan </w:t>
      </w:r>
      <w:r w:rsidRPr="00F2125E">
        <w:rPr>
          <w:rFonts w:ascii="Times New Roman" w:hAnsi="Times New Roman"/>
          <w:sz w:val="24"/>
        </w:rPr>
        <w:t xml:space="preserve">(1973) 412 US 306 at 316-317. </w:t>
      </w:r>
    </w:p>
  </w:footnote>
  <w:footnote w:id="111">
    <w:p w14:paraId="5BF4A496"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Cornwall v Rowan </w:t>
      </w:r>
      <w:r w:rsidRPr="00F2125E">
        <w:rPr>
          <w:rFonts w:ascii="Times New Roman" w:hAnsi="Times New Roman"/>
          <w:sz w:val="24"/>
        </w:rPr>
        <w:t xml:space="preserve">(2004) 90 SASR 269 at 363 [395], quoting </w:t>
      </w:r>
      <w:proofErr w:type="spellStart"/>
      <w:r w:rsidRPr="00F2125E">
        <w:rPr>
          <w:rFonts w:ascii="Times New Roman" w:hAnsi="Times New Roman"/>
          <w:i/>
          <w:iCs/>
          <w:sz w:val="24"/>
        </w:rPr>
        <w:t>Rann</w:t>
      </w:r>
      <w:proofErr w:type="spellEnd"/>
      <w:r w:rsidRPr="00F2125E">
        <w:rPr>
          <w:rFonts w:ascii="Times New Roman" w:hAnsi="Times New Roman"/>
          <w:i/>
          <w:iCs/>
          <w:sz w:val="24"/>
        </w:rPr>
        <w:t xml:space="preserve"> v Olsen </w:t>
      </w:r>
      <w:r w:rsidRPr="00F2125E">
        <w:rPr>
          <w:rFonts w:ascii="Times New Roman" w:hAnsi="Times New Roman"/>
          <w:sz w:val="24"/>
        </w:rPr>
        <w:t>(2000) 76 SASR 450</w:t>
      </w:r>
      <w:r w:rsidRPr="00F2125E">
        <w:rPr>
          <w:rFonts w:ascii="Times New Roman" w:hAnsi="Times New Roman"/>
          <w:i/>
          <w:iCs/>
          <w:sz w:val="24"/>
        </w:rPr>
        <w:t xml:space="preserve"> </w:t>
      </w:r>
      <w:r w:rsidRPr="00F2125E">
        <w:rPr>
          <w:rFonts w:ascii="Times New Roman" w:hAnsi="Times New Roman"/>
          <w:sz w:val="24"/>
        </w:rPr>
        <w:t>at 486 [204].</w:t>
      </w:r>
    </w:p>
  </w:footnote>
  <w:footnote w:id="112">
    <w:p w14:paraId="535AE2C9"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proofErr w:type="spellStart"/>
      <w:r w:rsidRPr="00F2125E">
        <w:rPr>
          <w:rFonts w:ascii="Times New Roman" w:hAnsi="Times New Roman"/>
          <w:i/>
          <w:iCs/>
          <w:sz w:val="24"/>
        </w:rPr>
        <w:t>Comalco</w:t>
      </w:r>
      <w:proofErr w:type="spellEnd"/>
      <w:r w:rsidRPr="00F2125E">
        <w:rPr>
          <w:rFonts w:ascii="Times New Roman" w:hAnsi="Times New Roman"/>
          <w:i/>
          <w:iCs/>
          <w:sz w:val="24"/>
        </w:rPr>
        <w:t xml:space="preserve"> Ltd v Australian Broadcasting Corporation </w:t>
      </w:r>
      <w:r w:rsidRPr="00F2125E">
        <w:rPr>
          <w:rFonts w:ascii="Times New Roman" w:hAnsi="Times New Roman"/>
          <w:sz w:val="24"/>
        </w:rPr>
        <w:t>(1983) 50 ACTR 1 at 5.</w:t>
      </w:r>
    </w:p>
  </w:footnote>
  <w:footnote w:id="113">
    <w:p w14:paraId="60BB201F"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Compare </w:t>
      </w:r>
      <w:r w:rsidRPr="00F2125E">
        <w:rPr>
          <w:rFonts w:ascii="Times New Roman" w:hAnsi="Times New Roman"/>
          <w:i/>
          <w:iCs/>
          <w:sz w:val="24"/>
        </w:rPr>
        <w:t xml:space="preserve">R v </w:t>
      </w:r>
      <w:proofErr w:type="spellStart"/>
      <w:r w:rsidRPr="00F2125E">
        <w:rPr>
          <w:rFonts w:ascii="Times New Roman" w:hAnsi="Times New Roman"/>
          <w:i/>
          <w:iCs/>
          <w:sz w:val="24"/>
        </w:rPr>
        <w:t>Chaytor</w:t>
      </w:r>
      <w:proofErr w:type="spellEnd"/>
      <w:r w:rsidRPr="00F2125E">
        <w:rPr>
          <w:rFonts w:ascii="Times New Roman" w:hAnsi="Times New Roman"/>
          <w:i/>
          <w:iCs/>
          <w:sz w:val="24"/>
        </w:rPr>
        <w:t xml:space="preserve"> </w:t>
      </w:r>
      <w:r w:rsidRPr="00F2125E">
        <w:rPr>
          <w:rFonts w:ascii="Times New Roman" w:hAnsi="Times New Roman"/>
          <w:sz w:val="24"/>
        </w:rPr>
        <w:t xml:space="preserve">[2011] 1 AC 684 at 716 [81], 724 [108].  </w:t>
      </w:r>
    </w:p>
  </w:footnote>
  <w:footnote w:id="114">
    <w:p w14:paraId="05CC1CB5"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Hobart International Airport Pty Ltd v Clarence City Council </w:t>
      </w:r>
      <w:r w:rsidRPr="00F2125E">
        <w:rPr>
          <w:rFonts w:ascii="Times New Roman" w:hAnsi="Times New Roman"/>
          <w:sz w:val="24"/>
        </w:rPr>
        <w:t xml:space="preserve">(2022) 276 CLR 519 at 558 [87]. </w:t>
      </w:r>
    </w:p>
  </w:footnote>
  <w:footnote w:id="115">
    <w:p w14:paraId="0275FE42"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For instance, </w:t>
      </w:r>
      <w:r w:rsidRPr="00F2125E">
        <w:rPr>
          <w:rFonts w:ascii="Times New Roman" w:hAnsi="Times New Roman"/>
          <w:i/>
          <w:iCs/>
          <w:sz w:val="24"/>
        </w:rPr>
        <w:t xml:space="preserve">Onus v Alcoa of Australia Ltd </w:t>
      </w:r>
      <w:r w:rsidRPr="00F2125E">
        <w:rPr>
          <w:rFonts w:ascii="Times New Roman" w:hAnsi="Times New Roman"/>
          <w:sz w:val="24"/>
        </w:rPr>
        <w:t xml:space="preserve">(1981) 149 CLR 27. </w:t>
      </w:r>
    </w:p>
  </w:footnote>
  <w:footnote w:id="116">
    <w:p w14:paraId="03A7EDCA"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See </w:t>
      </w:r>
      <w:r w:rsidRPr="00F2125E">
        <w:rPr>
          <w:rFonts w:ascii="Times New Roman" w:hAnsi="Times New Roman"/>
          <w:i/>
          <w:iCs/>
          <w:sz w:val="24"/>
        </w:rPr>
        <w:t xml:space="preserve">Bateman's Bay Local Aboriginal Land Council v Aboriginal Community Benefit Fund Pty Ltd </w:t>
      </w:r>
      <w:r w:rsidRPr="00F2125E">
        <w:rPr>
          <w:rFonts w:ascii="Times New Roman" w:hAnsi="Times New Roman"/>
          <w:sz w:val="24"/>
        </w:rPr>
        <w:t xml:space="preserve">(1998) 194 CLR 247 at 257 [24]-[25]. </w:t>
      </w:r>
    </w:p>
  </w:footnote>
  <w:footnote w:id="117">
    <w:p w14:paraId="5C5A209F"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The Commonwealth v Colonial Combing, Spinning and Weaving Co Ltd</w:t>
      </w:r>
      <w:r w:rsidRPr="00F2125E">
        <w:rPr>
          <w:rFonts w:ascii="Times New Roman" w:hAnsi="Times New Roman"/>
          <w:sz w:val="24"/>
        </w:rPr>
        <w:t xml:space="preserve"> (1922) 31 CLR 421 at 449, 451; </w:t>
      </w:r>
      <w:r w:rsidRPr="00F2125E">
        <w:rPr>
          <w:rFonts w:ascii="Times New Roman" w:hAnsi="Times New Roman"/>
          <w:i/>
          <w:iCs/>
          <w:sz w:val="24"/>
        </w:rPr>
        <w:t>The Commonwealth v Colonial Ammunition Co Ltd</w:t>
      </w:r>
      <w:r w:rsidRPr="00F2125E">
        <w:rPr>
          <w:rFonts w:ascii="Times New Roman" w:hAnsi="Times New Roman"/>
          <w:sz w:val="24"/>
        </w:rPr>
        <w:t xml:space="preserve"> (1924) 34 CLR 198 at 224-225; </w:t>
      </w:r>
      <w:r w:rsidRPr="00F2125E">
        <w:rPr>
          <w:rFonts w:ascii="Times New Roman" w:hAnsi="Times New Roman"/>
          <w:i/>
          <w:iCs/>
          <w:sz w:val="24"/>
        </w:rPr>
        <w:t xml:space="preserve">Combet v The Commonwealth </w:t>
      </w:r>
      <w:r w:rsidRPr="00F2125E">
        <w:rPr>
          <w:rFonts w:ascii="Times New Roman" w:hAnsi="Times New Roman"/>
          <w:sz w:val="24"/>
        </w:rPr>
        <w:t xml:space="preserve">(2005) 224 CLR 494 at 597-598 [234]-[235]. See also </w:t>
      </w:r>
      <w:r w:rsidRPr="00F2125E">
        <w:rPr>
          <w:rFonts w:ascii="Times New Roman" w:hAnsi="Times New Roman"/>
          <w:i/>
          <w:iCs/>
          <w:sz w:val="24"/>
        </w:rPr>
        <w:t xml:space="preserve">Auckland Harbour Board v The King </w:t>
      </w:r>
      <w:r w:rsidRPr="00F2125E">
        <w:rPr>
          <w:rFonts w:ascii="Times New Roman" w:hAnsi="Times New Roman"/>
          <w:sz w:val="24"/>
        </w:rPr>
        <w:t>[1924] AC 318 at 326-327.</w:t>
      </w:r>
    </w:p>
  </w:footnote>
  <w:footnote w:id="118">
    <w:p w14:paraId="08A2541D"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Brown v West </w:t>
      </w:r>
      <w:r w:rsidRPr="00F2125E">
        <w:rPr>
          <w:rFonts w:ascii="Times New Roman" w:hAnsi="Times New Roman"/>
          <w:sz w:val="24"/>
        </w:rPr>
        <w:t xml:space="preserve">(1990) 169 CLR 195 at 205; </w:t>
      </w:r>
      <w:r w:rsidRPr="00F2125E">
        <w:rPr>
          <w:rFonts w:ascii="Times New Roman" w:hAnsi="Times New Roman"/>
          <w:i/>
          <w:iCs/>
          <w:sz w:val="24"/>
        </w:rPr>
        <w:t xml:space="preserve">Wilkie v The Commonwealth </w:t>
      </w:r>
      <w:r w:rsidRPr="00F2125E">
        <w:rPr>
          <w:rFonts w:ascii="Times New Roman" w:hAnsi="Times New Roman"/>
          <w:sz w:val="24"/>
        </w:rPr>
        <w:t>(2017) 263 CLR 487</w:t>
      </w:r>
      <w:r w:rsidRPr="00F2125E">
        <w:rPr>
          <w:rFonts w:ascii="Times New Roman" w:hAnsi="Times New Roman"/>
          <w:i/>
          <w:iCs/>
          <w:sz w:val="24"/>
        </w:rPr>
        <w:t xml:space="preserve"> </w:t>
      </w:r>
      <w:r w:rsidRPr="00F2125E">
        <w:rPr>
          <w:rFonts w:ascii="Times New Roman" w:hAnsi="Times New Roman"/>
          <w:sz w:val="24"/>
        </w:rPr>
        <w:t xml:space="preserve">at 523 [61]. </w:t>
      </w:r>
    </w:p>
  </w:footnote>
  <w:footnote w:id="119">
    <w:p w14:paraId="5681975A"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Public Works Committee Act 1914 </w:t>
      </w:r>
      <w:r w:rsidRPr="00F2125E">
        <w:rPr>
          <w:rFonts w:ascii="Times New Roman" w:hAnsi="Times New Roman"/>
          <w:sz w:val="24"/>
        </w:rPr>
        <w:t xml:space="preserve">(Tas), s 29. See also </w:t>
      </w:r>
      <w:r w:rsidRPr="00F2125E">
        <w:rPr>
          <w:rFonts w:ascii="Times New Roman" w:hAnsi="Times New Roman"/>
          <w:i/>
          <w:iCs/>
          <w:sz w:val="24"/>
        </w:rPr>
        <w:t xml:space="preserve">R v </w:t>
      </w:r>
      <w:proofErr w:type="spellStart"/>
      <w:r w:rsidRPr="00F2125E">
        <w:rPr>
          <w:rFonts w:ascii="Times New Roman" w:hAnsi="Times New Roman"/>
          <w:i/>
          <w:iCs/>
          <w:sz w:val="24"/>
        </w:rPr>
        <w:t>Chaytor</w:t>
      </w:r>
      <w:proofErr w:type="spellEnd"/>
      <w:r w:rsidRPr="00F2125E">
        <w:rPr>
          <w:rFonts w:ascii="Times New Roman" w:hAnsi="Times New Roman"/>
          <w:i/>
          <w:iCs/>
          <w:sz w:val="24"/>
        </w:rPr>
        <w:t xml:space="preserve"> </w:t>
      </w:r>
      <w:r w:rsidRPr="00F2125E">
        <w:rPr>
          <w:rFonts w:ascii="Times New Roman" w:hAnsi="Times New Roman"/>
          <w:sz w:val="24"/>
        </w:rPr>
        <w:t xml:space="preserve">[2011] 1 AC 684 at 716-717 [82].  </w:t>
      </w:r>
    </w:p>
  </w:footnote>
  <w:footnote w:id="120">
    <w:p w14:paraId="44984816"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Public Works Act 1888 </w:t>
      </w:r>
      <w:r w:rsidRPr="00F2125E">
        <w:rPr>
          <w:rFonts w:ascii="Times New Roman" w:hAnsi="Times New Roman"/>
          <w:sz w:val="24"/>
        </w:rPr>
        <w:t xml:space="preserve">(NSW), s 13. </w:t>
      </w:r>
    </w:p>
  </w:footnote>
  <w:footnote w:id="121">
    <w:p w14:paraId="21125F84"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New South Wales, Legislative Assembly, </w:t>
      </w:r>
      <w:r w:rsidRPr="00F2125E">
        <w:rPr>
          <w:rFonts w:ascii="Times New Roman" w:hAnsi="Times New Roman"/>
          <w:i/>
          <w:iCs/>
          <w:sz w:val="24"/>
        </w:rPr>
        <w:t xml:space="preserve">Parliamentary Debates </w:t>
      </w:r>
      <w:r w:rsidRPr="00F2125E">
        <w:rPr>
          <w:rFonts w:ascii="Times New Roman" w:hAnsi="Times New Roman"/>
          <w:sz w:val="24"/>
        </w:rPr>
        <w:t>(Hansard), 8</w:t>
      </w:r>
      <w:r>
        <w:rPr>
          <w:rFonts w:ascii="Times New Roman" w:hAnsi="Times New Roman"/>
          <w:sz w:val="24"/>
        </w:rPr>
        <w:t> </w:t>
      </w:r>
      <w:r w:rsidRPr="00F2125E">
        <w:rPr>
          <w:rFonts w:ascii="Times New Roman" w:hAnsi="Times New Roman"/>
          <w:sz w:val="24"/>
        </w:rPr>
        <w:t>February 1888 at 2419.</w:t>
      </w:r>
    </w:p>
  </w:footnote>
  <w:footnote w:id="122">
    <w:p w14:paraId="58E71787"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The Mercury</w:t>
      </w:r>
      <w:r w:rsidRPr="00F2125E">
        <w:rPr>
          <w:rFonts w:ascii="Times New Roman" w:hAnsi="Times New Roman"/>
          <w:sz w:val="24"/>
        </w:rPr>
        <w:t xml:space="preserve"> (Hobart), 26 November 1914 at 8.  </w:t>
      </w:r>
    </w:p>
  </w:footnote>
  <w:footnote w:id="123">
    <w:p w14:paraId="347E884F"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Or less, in accordance with a resolution of the House of Assembly under the </w:t>
      </w:r>
      <w:r w:rsidRPr="00F2125E">
        <w:rPr>
          <w:rFonts w:ascii="Times New Roman" w:hAnsi="Times New Roman"/>
          <w:i/>
          <w:iCs/>
          <w:sz w:val="24"/>
        </w:rPr>
        <w:t xml:space="preserve">Public Works Committee Act 1914 </w:t>
      </w:r>
      <w:r w:rsidRPr="00F2125E">
        <w:rPr>
          <w:rFonts w:ascii="Times New Roman" w:hAnsi="Times New Roman"/>
          <w:sz w:val="24"/>
        </w:rPr>
        <w:t>(Tas), s 17.</w:t>
      </w:r>
    </w:p>
  </w:footnote>
  <w:footnote w:id="124">
    <w:p w14:paraId="7540189C"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Public Works Committee Act 1914 </w:t>
      </w:r>
      <w:r w:rsidRPr="00F2125E">
        <w:rPr>
          <w:rFonts w:ascii="Times New Roman" w:hAnsi="Times New Roman"/>
          <w:sz w:val="24"/>
        </w:rPr>
        <w:t xml:space="preserve">(Tas), s 16(2). </w:t>
      </w:r>
    </w:p>
  </w:footnote>
  <w:footnote w:id="125">
    <w:p w14:paraId="36FD17AD"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Public Works Committee Act 1914 </w:t>
      </w:r>
      <w:r w:rsidRPr="00F2125E">
        <w:rPr>
          <w:rFonts w:ascii="Times New Roman" w:hAnsi="Times New Roman"/>
          <w:sz w:val="24"/>
        </w:rPr>
        <w:t>(Tas), s 16(4).</w:t>
      </w:r>
    </w:p>
  </w:footnote>
  <w:footnote w:id="126">
    <w:p w14:paraId="26821D31"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Public Works Committee Act 1914 </w:t>
      </w:r>
      <w:r w:rsidRPr="00F2125E">
        <w:rPr>
          <w:rFonts w:ascii="Times New Roman" w:hAnsi="Times New Roman"/>
          <w:sz w:val="24"/>
        </w:rPr>
        <w:t>(Tas), s 16(5).</w:t>
      </w:r>
    </w:p>
  </w:footnote>
  <w:footnote w:id="127">
    <w:p w14:paraId="68A6B65E"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sz w:val="24"/>
        </w:rPr>
        <w:t xml:space="preserve">Public Works Committee Act (No 2) 1962 </w:t>
      </w:r>
      <w:r w:rsidRPr="00F2125E">
        <w:rPr>
          <w:rFonts w:ascii="Times New Roman" w:hAnsi="Times New Roman"/>
          <w:sz w:val="24"/>
        </w:rPr>
        <w:t xml:space="preserve">(Tas), s 2; </w:t>
      </w:r>
      <w:r w:rsidRPr="00F2125E">
        <w:rPr>
          <w:rFonts w:ascii="Times New Roman" w:hAnsi="Times New Roman"/>
          <w:i/>
          <w:sz w:val="24"/>
        </w:rPr>
        <w:t xml:space="preserve">Public Works Committee Act 1964 </w:t>
      </w:r>
      <w:r w:rsidRPr="00F2125E">
        <w:rPr>
          <w:rFonts w:ascii="Times New Roman" w:hAnsi="Times New Roman"/>
          <w:sz w:val="24"/>
        </w:rPr>
        <w:t xml:space="preserve">(Tas), s 3. </w:t>
      </w:r>
    </w:p>
  </w:footnote>
  <w:footnote w:id="128">
    <w:p w14:paraId="5EAF1E9F"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Public Works Committee Act 1914 </w:t>
      </w:r>
      <w:r w:rsidRPr="00F2125E">
        <w:rPr>
          <w:rFonts w:ascii="Times New Roman" w:hAnsi="Times New Roman"/>
          <w:sz w:val="24"/>
        </w:rPr>
        <w:t xml:space="preserve">(Tas), s 15(1), read with s 16(1). This power was introduced by the </w:t>
      </w:r>
      <w:r w:rsidRPr="00F2125E">
        <w:rPr>
          <w:rFonts w:ascii="Times New Roman" w:hAnsi="Times New Roman"/>
          <w:i/>
          <w:iCs/>
          <w:sz w:val="24"/>
        </w:rPr>
        <w:t xml:space="preserve">Public Works Committee Act 1919 </w:t>
      </w:r>
      <w:r w:rsidRPr="00F2125E">
        <w:rPr>
          <w:rFonts w:ascii="Times New Roman" w:hAnsi="Times New Roman"/>
          <w:sz w:val="24"/>
        </w:rPr>
        <w:t xml:space="preserve">(Tas).  </w:t>
      </w:r>
    </w:p>
  </w:footnote>
  <w:footnote w:id="129">
    <w:p w14:paraId="7F3697DE"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Public Works Committee Act 1914 </w:t>
      </w:r>
      <w:r w:rsidRPr="00F2125E">
        <w:rPr>
          <w:rFonts w:ascii="Times New Roman" w:hAnsi="Times New Roman"/>
          <w:sz w:val="24"/>
        </w:rPr>
        <w:t>(Tas), s 3(2).</w:t>
      </w:r>
    </w:p>
  </w:footnote>
  <w:footnote w:id="130">
    <w:p w14:paraId="6C6D253E"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Public Works Committee Act 1914 </w:t>
      </w:r>
      <w:r w:rsidRPr="00F2125E">
        <w:rPr>
          <w:rFonts w:ascii="Times New Roman" w:hAnsi="Times New Roman"/>
          <w:sz w:val="24"/>
        </w:rPr>
        <w:t xml:space="preserve">(Tas), ss 20, 21, 23, 26, 30. </w:t>
      </w:r>
    </w:p>
  </w:footnote>
  <w:footnote w:id="131">
    <w:p w14:paraId="323AB6A2"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Public Works Committee Act 1914 </w:t>
      </w:r>
      <w:r w:rsidRPr="00F2125E">
        <w:rPr>
          <w:rFonts w:ascii="Times New Roman" w:hAnsi="Times New Roman"/>
          <w:sz w:val="24"/>
        </w:rPr>
        <w:t>(Tas), s 10.</w:t>
      </w:r>
    </w:p>
  </w:footnote>
  <w:footnote w:id="132">
    <w:p w14:paraId="117D291D"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Hicks v Ruddock </w:t>
      </w:r>
      <w:r w:rsidRPr="00F2125E">
        <w:rPr>
          <w:rFonts w:ascii="Times New Roman" w:hAnsi="Times New Roman"/>
          <w:sz w:val="24"/>
        </w:rPr>
        <w:t xml:space="preserve">(2007) 156 FCR 574 at 600 [93]. </w:t>
      </w:r>
    </w:p>
  </w:footnote>
  <w:footnote w:id="133">
    <w:p w14:paraId="099F0339"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South Australia v Victoria </w:t>
      </w:r>
      <w:r w:rsidRPr="00F2125E">
        <w:rPr>
          <w:rFonts w:ascii="Times New Roman" w:hAnsi="Times New Roman"/>
          <w:sz w:val="24"/>
        </w:rPr>
        <w:t>(1911) 12 CLR 667 at 708.</w:t>
      </w:r>
    </w:p>
  </w:footnote>
  <w:footnote w:id="134">
    <w:p w14:paraId="344B5256"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South Australia v The Commonwealth </w:t>
      </w:r>
      <w:r w:rsidRPr="00F2125E">
        <w:rPr>
          <w:rFonts w:ascii="Times New Roman" w:hAnsi="Times New Roman"/>
          <w:sz w:val="24"/>
        </w:rPr>
        <w:t xml:space="preserve">(1962) 108 CLR 130 at 141; </w:t>
      </w:r>
      <w:r w:rsidRPr="00F2125E">
        <w:rPr>
          <w:rFonts w:ascii="Times New Roman" w:hAnsi="Times New Roman"/>
          <w:i/>
          <w:iCs/>
          <w:sz w:val="24"/>
        </w:rPr>
        <w:t xml:space="preserve">Re </w:t>
      </w:r>
      <w:proofErr w:type="spellStart"/>
      <w:r w:rsidRPr="00F2125E">
        <w:rPr>
          <w:rFonts w:ascii="Times New Roman" w:hAnsi="Times New Roman"/>
          <w:i/>
          <w:iCs/>
          <w:sz w:val="24"/>
        </w:rPr>
        <w:t>Ditfort</w:t>
      </w:r>
      <w:proofErr w:type="spellEnd"/>
      <w:r w:rsidRPr="00F2125E">
        <w:rPr>
          <w:rFonts w:ascii="Times New Roman" w:hAnsi="Times New Roman"/>
          <w:i/>
          <w:iCs/>
          <w:sz w:val="24"/>
        </w:rPr>
        <w:t>; Ex</w:t>
      </w:r>
      <w:r>
        <w:rPr>
          <w:rFonts w:ascii="Times New Roman" w:hAnsi="Times New Roman"/>
          <w:i/>
          <w:iCs/>
          <w:sz w:val="24"/>
        </w:rPr>
        <w:t> </w:t>
      </w:r>
      <w:proofErr w:type="spellStart"/>
      <w:r w:rsidRPr="00F2125E">
        <w:rPr>
          <w:rFonts w:ascii="Times New Roman" w:hAnsi="Times New Roman"/>
          <w:i/>
          <w:iCs/>
          <w:sz w:val="24"/>
        </w:rPr>
        <w:t>parte</w:t>
      </w:r>
      <w:proofErr w:type="spellEnd"/>
      <w:r w:rsidRPr="00F2125E">
        <w:rPr>
          <w:rFonts w:ascii="Times New Roman" w:hAnsi="Times New Roman"/>
          <w:i/>
          <w:iCs/>
          <w:sz w:val="24"/>
        </w:rPr>
        <w:t xml:space="preserve"> Deputy Commissioner of Taxation </w:t>
      </w:r>
      <w:r w:rsidRPr="00F2125E">
        <w:rPr>
          <w:rFonts w:ascii="Times New Roman" w:hAnsi="Times New Roman"/>
          <w:sz w:val="24"/>
        </w:rPr>
        <w:t>(1988) 19 FCR 347 at 370.</w:t>
      </w:r>
    </w:p>
  </w:footnote>
  <w:footnote w:id="135">
    <w:p w14:paraId="48A282A9"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Alley v Gillespie </w:t>
      </w:r>
      <w:r w:rsidRPr="00F2125E">
        <w:rPr>
          <w:rFonts w:ascii="Times New Roman" w:hAnsi="Times New Roman"/>
          <w:sz w:val="24"/>
        </w:rPr>
        <w:t xml:space="preserve">(2018) 264 CLR 328 at 357-358 [108]. </w:t>
      </w:r>
    </w:p>
  </w:footnote>
  <w:footnote w:id="136">
    <w:p w14:paraId="1D7B69EF"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proofErr w:type="spellStart"/>
      <w:r w:rsidRPr="00F2125E">
        <w:rPr>
          <w:rFonts w:ascii="Times New Roman" w:hAnsi="Times New Roman"/>
          <w:i/>
          <w:iCs/>
          <w:sz w:val="24"/>
        </w:rPr>
        <w:t>Gerhardy</w:t>
      </w:r>
      <w:proofErr w:type="spellEnd"/>
      <w:r w:rsidRPr="00F2125E">
        <w:rPr>
          <w:rFonts w:ascii="Times New Roman" w:hAnsi="Times New Roman"/>
          <w:i/>
          <w:iCs/>
          <w:sz w:val="24"/>
        </w:rPr>
        <w:t xml:space="preserve"> v Brown </w:t>
      </w:r>
      <w:r w:rsidRPr="00F2125E">
        <w:rPr>
          <w:rFonts w:ascii="Times New Roman" w:hAnsi="Times New Roman"/>
          <w:sz w:val="24"/>
        </w:rPr>
        <w:t>(1985) 159 CLR 70 at 139.</w:t>
      </w:r>
    </w:p>
  </w:footnote>
  <w:footnote w:id="137">
    <w:p w14:paraId="229BB5D1"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Cam and Sons Pty Ltd v Ramsay </w:t>
      </w:r>
      <w:r w:rsidRPr="00F2125E">
        <w:rPr>
          <w:rFonts w:ascii="Times New Roman" w:hAnsi="Times New Roman"/>
          <w:sz w:val="24"/>
        </w:rPr>
        <w:t xml:space="preserve">(1960) 104 CLR 247 at 258. </w:t>
      </w:r>
    </w:p>
  </w:footnote>
  <w:footnote w:id="138">
    <w:p w14:paraId="4A9ACB0C"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R v </w:t>
      </w:r>
      <w:proofErr w:type="spellStart"/>
      <w:r w:rsidRPr="00F2125E">
        <w:rPr>
          <w:rFonts w:ascii="Times New Roman" w:hAnsi="Times New Roman"/>
          <w:i/>
          <w:iCs/>
          <w:sz w:val="24"/>
        </w:rPr>
        <w:t>Chaytor</w:t>
      </w:r>
      <w:proofErr w:type="spellEnd"/>
      <w:r w:rsidRPr="00F2125E">
        <w:rPr>
          <w:rFonts w:ascii="Times New Roman" w:hAnsi="Times New Roman"/>
          <w:i/>
          <w:iCs/>
          <w:sz w:val="24"/>
        </w:rPr>
        <w:t xml:space="preserve"> </w:t>
      </w:r>
      <w:r w:rsidRPr="00F2125E">
        <w:rPr>
          <w:rFonts w:ascii="Times New Roman" w:hAnsi="Times New Roman"/>
          <w:sz w:val="24"/>
        </w:rPr>
        <w:t xml:space="preserve">[2011] 1 AC 684 at 716 [78]; </w:t>
      </w:r>
      <w:r w:rsidRPr="00F2125E">
        <w:rPr>
          <w:rFonts w:ascii="Times New Roman" w:hAnsi="Times New Roman"/>
          <w:i/>
          <w:iCs/>
          <w:sz w:val="24"/>
        </w:rPr>
        <w:t xml:space="preserve">R (Miller) v Prime Minister </w:t>
      </w:r>
      <w:r w:rsidRPr="00F2125E">
        <w:rPr>
          <w:rFonts w:ascii="Times New Roman" w:hAnsi="Times New Roman"/>
          <w:sz w:val="24"/>
        </w:rPr>
        <w:t xml:space="preserve">[2020] AC 373 at 411 [66].  </w:t>
      </w:r>
    </w:p>
  </w:footnote>
  <w:footnote w:id="139">
    <w:p w14:paraId="2F6C6713"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Canada (Attorney General) v Power </w:t>
      </w:r>
      <w:r w:rsidRPr="00F2125E">
        <w:rPr>
          <w:rFonts w:ascii="Times New Roman" w:hAnsi="Times New Roman"/>
          <w:sz w:val="24"/>
        </w:rPr>
        <w:t xml:space="preserve">[2024] SCC 26. </w:t>
      </w:r>
    </w:p>
  </w:footnote>
  <w:footnote w:id="140">
    <w:p w14:paraId="6CBB03F7"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See, </w:t>
      </w:r>
      <w:proofErr w:type="spellStart"/>
      <w:r w:rsidRPr="00F2125E">
        <w:rPr>
          <w:rFonts w:ascii="Times New Roman" w:hAnsi="Times New Roman"/>
          <w:sz w:val="24"/>
        </w:rPr>
        <w:t>eg</w:t>
      </w:r>
      <w:proofErr w:type="spellEnd"/>
      <w:r w:rsidRPr="00F2125E">
        <w:rPr>
          <w:rFonts w:ascii="Times New Roman" w:hAnsi="Times New Roman"/>
          <w:sz w:val="24"/>
        </w:rPr>
        <w:t xml:space="preserve">, Joseph, "Parliament's Attenuated Privilege of Freedom of Speech" (2010) 126 </w:t>
      </w:r>
      <w:r w:rsidRPr="00F2125E">
        <w:rPr>
          <w:rFonts w:ascii="Times New Roman" w:hAnsi="Times New Roman"/>
          <w:i/>
          <w:iCs/>
          <w:sz w:val="24"/>
        </w:rPr>
        <w:t xml:space="preserve">Law Quarterly Review </w:t>
      </w:r>
      <w:r w:rsidRPr="00F2125E">
        <w:rPr>
          <w:rFonts w:ascii="Times New Roman" w:hAnsi="Times New Roman"/>
          <w:sz w:val="24"/>
        </w:rPr>
        <w:t xml:space="preserve">568. </w:t>
      </w:r>
    </w:p>
  </w:footnote>
  <w:footnote w:id="141">
    <w:p w14:paraId="5D94002F"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See, </w:t>
      </w:r>
      <w:proofErr w:type="spellStart"/>
      <w:r w:rsidRPr="00F2125E">
        <w:rPr>
          <w:rFonts w:ascii="Times New Roman" w:hAnsi="Times New Roman"/>
          <w:sz w:val="24"/>
        </w:rPr>
        <w:t>eg</w:t>
      </w:r>
      <w:proofErr w:type="spellEnd"/>
      <w:r w:rsidRPr="00F2125E">
        <w:rPr>
          <w:rFonts w:ascii="Times New Roman" w:hAnsi="Times New Roman"/>
          <w:sz w:val="24"/>
        </w:rPr>
        <w:t xml:space="preserve">, Lui, "Piercing the Parliamentary Veil against Judicial Review: The Case against Parliamentary Privilege" (2022) 42 </w:t>
      </w:r>
      <w:r w:rsidRPr="00F2125E">
        <w:rPr>
          <w:rFonts w:ascii="Times New Roman" w:hAnsi="Times New Roman"/>
          <w:i/>
          <w:iCs/>
          <w:sz w:val="24"/>
        </w:rPr>
        <w:t xml:space="preserve">Oxford Journal of Legal Studies </w:t>
      </w:r>
      <w:r w:rsidRPr="00F2125E">
        <w:rPr>
          <w:rFonts w:ascii="Times New Roman" w:hAnsi="Times New Roman"/>
          <w:sz w:val="24"/>
        </w:rPr>
        <w:t xml:space="preserve">918. </w:t>
      </w:r>
    </w:p>
  </w:footnote>
  <w:footnote w:id="142">
    <w:p w14:paraId="11D7E2D2"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sz w:val="24"/>
        </w:rPr>
        <w:t xml:space="preserve">Western Australia v The Commonwealth </w:t>
      </w:r>
      <w:r w:rsidRPr="00F2125E">
        <w:rPr>
          <w:rFonts w:ascii="Times New Roman" w:hAnsi="Times New Roman"/>
          <w:sz w:val="24"/>
        </w:rPr>
        <w:t>(1995) 183 CLR 373 at 394.</w:t>
      </w:r>
    </w:p>
  </w:footnote>
  <w:footnote w:id="143">
    <w:p w14:paraId="22253A4E"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sz w:val="24"/>
        </w:rPr>
        <w:t xml:space="preserve">Western Australia v The Commonwealth </w:t>
      </w:r>
      <w:r w:rsidRPr="00F2125E">
        <w:rPr>
          <w:rFonts w:ascii="Times New Roman" w:hAnsi="Times New Roman"/>
          <w:sz w:val="24"/>
        </w:rPr>
        <w:t>(1995) 183 CLR 373 at 482.</w:t>
      </w:r>
    </w:p>
  </w:footnote>
  <w:footnote w:id="144">
    <w:p w14:paraId="093A75AA"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Osborne v The Commonwealth </w:t>
      </w:r>
      <w:r w:rsidRPr="00F2125E">
        <w:rPr>
          <w:rFonts w:ascii="Times New Roman" w:hAnsi="Times New Roman"/>
          <w:sz w:val="24"/>
        </w:rPr>
        <w:t xml:space="preserve">(1911) 12 CLR 321 at 336. See also at 355. </w:t>
      </w:r>
    </w:p>
  </w:footnote>
  <w:footnote w:id="145">
    <w:p w14:paraId="22C0BE7F"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R v </w:t>
      </w:r>
      <w:proofErr w:type="spellStart"/>
      <w:r w:rsidRPr="00F2125E">
        <w:rPr>
          <w:rFonts w:ascii="Times New Roman" w:hAnsi="Times New Roman"/>
          <w:i/>
          <w:iCs/>
          <w:sz w:val="24"/>
        </w:rPr>
        <w:t>Chaytor</w:t>
      </w:r>
      <w:proofErr w:type="spellEnd"/>
      <w:r w:rsidRPr="00F2125E">
        <w:rPr>
          <w:rFonts w:ascii="Times New Roman" w:hAnsi="Times New Roman"/>
          <w:i/>
          <w:iCs/>
          <w:sz w:val="24"/>
        </w:rPr>
        <w:t xml:space="preserve"> </w:t>
      </w:r>
      <w:r w:rsidRPr="00F2125E">
        <w:rPr>
          <w:rFonts w:ascii="Times New Roman" w:hAnsi="Times New Roman"/>
          <w:sz w:val="24"/>
        </w:rPr>
        <w:t>[2011] 1 AC 684 at 713-714</w:t>
      </w:r>
      <w:r w:rsidRPr="00F2125E">
        <w:rPr>
          <w:rFonts w:ascii="Times New Roman" w:hAnsi="Times New Roman"/>
          <w:i/>
          <w:iCs/>
          <w:sz w:val="24"/>
        </w:rPr>
        <w:t xml:space="preserve"> </w:t>
      </w:r>
      <w:r w:rsidRPr="00F2125E">
        <w:rPr>
          <w:rFonts w:ascii="Times New Roman" w:hAnsi="Times New Roman"/>
          <w:sz w:val="24"/>
        </w:rPr>
        <w:t xml:space="preserve">[72]-[73], quoting the United Kingdom, Joint Committee on Parliamentary Privilege, </w:t>
      </w:r>
      <w:r w:rsidRPr="00F2125E">
        <w:rPr>
          <w:rFonts w:ascii="Times New Roman" w:hAnsi="Times New Roman"/>
          <w:i/>
          <w:iCs/>
          <w:sz w:val="24"/>
        </w:rPr>
        <w:t>Parliamentary Privilege—First</w:t>
      </w:r>
      <w:r w:rsidRPr="00F2125E">
        <w:rPr>
          <w:rFonts w:ascii="Times New Roman" w:hAnsi="Times New Roman"/>
          <w:sz w:val="24"/>
        </w:rPr>
        <w:t xml:space="preserve"> </w:t>
      </w:r>
      <w:r w:rsidRPr="00F2125E">
        <w:rPr>
          <w:rFonts w:ascii="Times New Roman" w:hAnsi="Times New Roman"/>
          <w:i/>
          <w:iCs/>
          <w:sz w:val="24"/>
        </w:rPr>
        <w:t>Report</w:t>
      </w:r>
      <w:r w:rsidRPr="00F2125E">
        <w:rPr>
          <w:rFonts w:ascii="Times New Roman" w:hAnsi="Times New Roman"/>
          <w:sz w:val="24"/>
        </w:rPr>
        <w:t xml:space="preserve"> (1999) at [241], [246]-[247]. </w:t>
      </w:r>
    </w:p>
  </w:footnote>
  <w:footnote w:id="146">
    <w:p w14:paraId="5758C967"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proofErr w:type="spellStart"/>
      <w:r w:rsidRPr="00F2125E">
        <w:rPr>
          <w:rFonts w:ascii="Times New Roman" w:hAnsi="Times New Roman"/>
          <w:i/>
          <w:iCs/>
          <w:sz w:val="24"/>
        </w:rPr>
        <w:t>Pickin</w:t>
      </w:r>
      <w:proofErr w:type="spellEnd"/>
      <w:r w:rsidRPr="00F2125E">
        <w:rPr>
          <w:rFonts w:ascii="Times New Roman" w:hAnsi="Times New Roman"/>
          <w:i/>
          <w:iCs/>
          <w:sz w:val="24"/>
        </w:rPr>
        <w:t xml:space="preserve"> v British Railways Board</w:t>
      </w:r>
      <w:r w:rsidRPr="00F2125E">
        <w:rPr>
          <w:rFonts w:ascii="Times New Roman" w:hAnsi="Times New Roman"/>
          <w:sz w:val="24"/>
        </w:rPr>
        <w:t xml:space="preserve"> [1974] AC 765 at 788; </w:t>
      </w:r>
      <w:r w:rsidRPr="00F2125E">
        <w:rPr>
          <w:rFonts w:ascii="Times New Roman" w:hAnsi="Times New Roman"/>
          <w:i/>
          <w:iCs/>
          <w:sz w:val="24"/>
        </w:rPr>
        <w:t>Prebble v Television New Zealand</w:t>
      </w:r>
      <w:r w:rsidRPr="00F2125E">
        <w:rPr>
          <w:rFonts w:ascii="Times New Roman" w:hAnsi="Times New Roman"/>
          <w:i/>
          <w:sz w:val="24"/>
        </w:rPr>
        <w:t xml:space="preserve"> </w:t>
      </w:r>
      <w:r w:rsidRPr="00F2125E">
        <w:rPr>
          <w:rFonts w:ascii="Times New Roman" w:hAnsi="Times New Roman"/>
          <w:i/>
          <w:iCs/>
          <w:sz w:val="24"/>
        </w:rPr>
        <w:t>Ltd</w:t>
      </w:r>
      <w:r w:rsidRPr="00F2125E">
        <w:rPr>
          <w:rFonts w:ascii="Times New Roman" w:hAnsi="Times New Roman"/>
          <w:sz w:val="24"/>
        </w:rPr>
        <w:t xml:space="preserve"> [1995] 1 AC 321 at 334; </w:t>
      </w:r>
      <w:r w:rsidRPr="00F2125E">
        <w:rPr>
          <w:rFonts w:ascii="Times New Roman" w:hAnsi="Times New Roman"/>
          <w:i/>
          <w:iCs/>
          <w:sz w:val="24"/>
        </w:rPr>
        <w:t>Halden v Marks</w:t>
      </w:r>
      <w:r w:rsidRPr="00F2125E">
        <w:rPr>
          <w:rFonts w:ascii="Times New Roman" w:hAnsi="Times New Roman"/>
          <w:sz w:val="24"/>
        </w:rPr>
        <w:t xml:space="preserve"> (1995) 17 WAR 447 at 463.</w:t>
      </w:r>
    </w:p>
  </w:footnote>
  <w:footnote w:id="147">
    <w:p w14:paraId="04336843"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Leung Kwok Hung v President of the Legislative Council</w:t>
      </w:r>
      <w:r w:rsidRPr="00F2125E">
        <w:rPr>
          <w:rFonts w:ascii="Times New Roman" w:hAnsi="Times New Roman"/>
          <w:i/>
          <w:sz w:val="24"/>
        </w:rPr>
        <w:t xml:space="preserve"> [No 1]</w:t>
      </w:r>
      <w:r w:rsidRPr="00F2125E">
        <w:rPr>
          <w:rFonts w:ascii="Times New Roman" w:hAnsi="Times New Roman"/>
          <w:sz w:val="24"/>
        </w:rPr>
        <w:t xml:space="preserve"> (2014) 17 HKCFAR 689 at 702-703 [30].</w:t>
      </w:r>
    </w:p>
  </w:footnote>
  <w:footnote w:id="148">
    <w:p w14:paraId="43337EC6"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t xml:space="preserve">See Lock, "Parliamentary Privilege and the Courts: The Avoidance of Conflict" [1985] </w:t>
      </w:r>
      <w:r w:rsidRPr="00F2125E">
        <w:rPr>
          <w:rFonts w:ascii="Times New Roman" w:hAnsi="Times New Roman"/>
          <w:i/>
          <w:iCs/>
          <w:sz w:val="24"/>
        </w:rPr>
        <w:t xml:space="preserve">Public Law </w:t>
      </w:r>
      <w:r w:rsidRPr="00F2125E">
        <w:rPr>
          <w:rFonts w:ascii="Times New Roman" w:hAnsi="Times New Roman"/>
          <w:sz w:val="24"/>
        </w:rPr>
        <w:t>64 at 65-66.</w:t>
      </w:r>
    </w:p>
  </w:footnote>
  <w:footnote w:id="149">
    <w:p w14:paraId="299340C2" w14:textId="77777777" w:rsidR="005C789E" w:rsidRPr="00F2125E" w:rsidRDefault="005C789E" w:rsidP="00F2125E">
      <w:pPr>
        <w:pStyle w:val="FootnoteText"/>
        <w:spacing w:line="280" w:lineRule="exact"/>
        <w:ind w:right="0"/>
        <w:jc w:val="both"/>
        <w:rPr>
          <w:rFonts w:ascii="Times New Roman" w:hAnsi="Times New Roman"/>
          <w:sz w:val="24"/>
        </w:rPr>
      </w:pPr>
      <w:r w:rsidRPr="00F2125E">
        <w:rPr>
          <w:rStyle w:val="FootnoteReference"/>
          <w:rFonts w:ascii="Times New Roman" w:hAnsi="Times New Roman"/>
          <w:sz w:val="22"/>
          <w:vertAlign w:val="baseline"/>
        </w:rPr>
        <w:footnoteRef/>
      </w:r>
      <w:r w:rsidRPr="00F2125E">
        <w:rPr>
          <w:rFonts w:ascii="Times New Roman" w:hAnsi="Times New Roman"/>
          <w:sz w:val="24"/>
        </w:rPr>
        <w:t xml:space="preserve"> </w:t>
      </w:r>
      <w:r w:rsidRPr="00F2125E">
        <w:rPr>
          <w:rFonts w:ascii="Times New Roman" w:hAnsi="Times New Roman"/>
          <w:sz w:val="24"/>
        </w:rPr>
        <w:tab/>
      </w:r>
      <w:r w:rsidRPr="00F2125E">
        <w:rPr>
          <w:rFonts w:ascii="Times New Roman" w:hAnsi="Times New Roman"/>
          <w:i/>
          <w:iCs/>
          <w:sz w:val="24"/>
        </w:rPr>
        <w:t xml:space="preserve">R v Parliamentary Commissioner for Standards; Ex </w:t>
      </w:r>
      <w:proofErr w:type="spellStart"/>
      <w:r w:rsidRPr="00F2125E">
        <w:rPr>
          <w:rFonts w:ascii="Times New Roman" w:hAnsi="Times New Roman"/>
          <w:i/>
          <w:iCs/>
          <w:sz w:val="24"/>
        </w:rPr>
        <w:t>parte</w:t>
      </w:r>
      <w:proofErr w:type="spellEnd"/>
      <w:r w:rsidRPr="00F2125E">
        <w:rPr>
          <w:rFonts w:ascii="Times New Roman" w:hAnsi="Times New Roman"/>
          <w:i/>
          <w:iCs/>
          <w:sz w:val="24"/>
        </w:rPr>
        <w:t xml:space="preserve"> Al Fayed </w:t>
      </w:r>
      <w:r w:rsidRPr="00F2125E">
        <w:rPr>
          <w:rFonts w:ascii="Times New Roman" w:hAnsi="Times New Roman"/>
          <w:sz w:val="24"/>
        </w:rPr>
        <w:t xml:space="preserve">[1998] 1 WLR 669 at 670; </w:t>
      </w:r>
      <w:r w:rsidRPr="00F2125E">
        <w:rPr>
          <w:rFonts w:ascii="Times New Roman" w:hAnsi="Times New Roman"/>
          <w:i/>
          <w:iCs/>
          <w:sz w:val="24"/>
        </w:rPr>
        <w:t>Wilson v First County Trust Ltd [No 2]</w:t>
      </w:r>
      <w:r w:rsidRPr="00F2125E">
        <w:rPr>
          <w:rFonts w:ascii="Times New Roman" w:hAnsi="Times New Roman"/>
          <w:sz w:val="24"/>
        </w:rPr>
        <w:t xml:space="preserve"> [2004] 1 AC 816 at 840 [55]; </w:t>
      </w:r>
      <w:r w:rsidRPr="00F2125E">
        <w:rPr>
          <w:rFonts w:ascii="Times New Roman" w:hAnsi="Times New Roman"/>
          <w:i/>
          <w:iCs/>
          <w:sz w:val="24"/>
        </w:rPr>
        <w:t>Buchanan v Jennings (Attorney General of New Zealand intervening)</w:t>
      </w:r>
      <w:r w:rsidRPr="00F2125E">
        <w:rPr>
          <w:rFonts w:ascii="Times New Roman" w:hAnsi="Times New Roman"/>
          <w:sz w:val="24"/>
        </w:rPr>
        <w:t xml:space="preserve"> [2005] 1 AC 115 at 117; Burnett, "Parliamentary Privilege—Liberty and Due Limitation" (2019) 24 </w:t>
      </w:r>
      <w:r w:rsidRPr="00F2125E">
        <w:rPr>
          <w:rFonts w:ascii="Times New Roman" w:hAnsi="Times New Roman"/>
          <w:i/>
          <w:iCs/>
          <w:sz w:val="24"/>
        </w:rPr>
        <w:t>Judicial Review</w:t>
      </w:r>
      <w:r w:rsidRPr="00F2125E">
        <w:rPr>
          <w:rFonts w:ascii="Times New Roman" w:hAnsi="Times New Roman"/>
          <w:sz w:val="24"/>
        </w:rPr>
        <w:t xml:space="preserve"> 107 at 114 [22].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97C5" w14:textId="77777777" w:rsidR="00B247DF" w:rsidRPr="00CF754B" w:rsidRDefault="00B247DF" w:rsidP="00CF75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3548" w14:textId="77777777" w:rsidR="005C789E" w:rsidRPr="005C789E" w:rsidRDefault="005C789E" w:rsidP="005C7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1772" w14:textId="45D07E76" w:rsidR="00B247DF" w:rsidRPr="00CF754B" w:rsidRDefault="00CF754B" w:rsidP="00CF754B">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EC0D54">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EC0D54">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5457" w14:textId="7C5EDA32" w:rsidR="009D2EA1" w:rsidRPr="00CF754B" w:rsidRDefault="009D2EA1" w:rsidP="00CF75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0120" w14:textId="77777777" w:rsidR="00CF754B" w:rsidRPr="00B247DF" w:rsidRDefault="00CF754B" w:rsidP="00B247DF">
    <w:pPr>
      <w:pStyle w:val="Header"/>
      <w:tabs>
        <w:tab w:val="clear" w:pos="4153"/>
        <w:tab w:val="clear" w:pos="8306"/>
        <w:tab w:val="right" w:pos="1304"/>
      </w:tabs>
      <w:spacing w:line="280" w:lineRule="exact"/>
      <w:ind w:firstLine="0"/>
      <w:rPr>
        <w:rFonts w:ascii="Times New Roman" w:hAnsi="Times New Roman"/>
        <w:i/>
        <w:sz w:val="22"/>
      </w:rPr>
    </w:pPr>
    <w:r w:rsidRPr="00B247DF">
      <w:rPr>
        <w:rFonts w:ascii="Times New Roman" w:hAnsi="Times New Roman"/>
        <w:i/>
        <w:sz w:val="22"/>
      </w:rPr>
      <w:t>Gageler</w:t>
    </w:r>
    <w:r w:rsidRPr="00B247DF">
      <w:rPr>
        <w:rFonts w:ascii="Times New Roman" w:hAnsi="Times New Roman"/>
        <w:i/>
        <w:sz w:val="22"/>
      </w:rPr>
      <w:tab/>
      <w:t>CJ</w:t>
    </w:r>
  </w:p>
  <w:p w14:paraId="509DFB58" w14:textId="77777777" w:rsidR="00CF754B" w:rsidRPr="00B247DF" w:rsidRDefault="00CF754B" w:rsidP="00B247DF">
    <w:pPr>
      <w:pStyle w:val="Header"/>
      <w:tabs>
        <w:tab w:val="clear" w:pos="4153"/>
        <w:tab w:val="clear" w:pos="8306"/>
        <w:tab w:val="right" w:pos="1304"/>
      </w:tabs>
      <w:spacing w:line="280" w:lineRule="exact"/>
      <w:ind w:firstLine="0"/>
      <w:rPr>
        <w:rFonts w:ascii="Times New Roman" w:hAnsi="Times New Roman"/>
        <w:i/>
        <w:sz w:val="22"/>
      </w:rPr>
    </w:pPr>
    <w:r w:rsidRPr="00B247DF">
      <w:rPr>
        <w:rFonts w:ascii="Times New Roman" w:hAnsi="Times New Roman"/>
        <w:i/>
        <w:sz w:val="22"/>
      </w:rPr>
      <w:t>Gordon</w:t>
    </w:r>
    <w:r w:rsidRPr="00B247DF">
      <w:rPr>
        <w:rFonts w:ascii="Times New Roman" w:hAnsi="Times New Roman"/>
        <w:i/>
        <w:sz w:val="22"/>
      </w:rPr>
      <w:tab/>
      <w:t>J</w:t>
    </w:r>
  </w:p>
  <w:p w14:paraId="57C04D30" w14:textId="77777777" w:rsidR="00CF754B" w:rsidRPr="00B247DF" w:rsidRDefault="00CF754B" w:rsidP="00B247DF">
    <w:pPr>
      <w:pStyle w:val="Header"/>
      <w:tabs>
        <w:tab w:val="clear" w:pos="4153"/>
        <w:tab w:val="clear" w:pos="8306"/>
        <w:tab w:val="right" w:pos="1304"/>
      </w:tabs>
      <w:spacing w:line="280" w:lineRule="exact"/>
      <w:ind w:firstLine="0"/>
      <w:rPr>
        <w:rFonts w:ascii="Times New Roman" w:hAnsi="Times New Roman"/>
        <w:i/>
        <w:sz w:val="22"/>
      </w:rPr>
    </w:pPr>
    <w:r w:rsidRPr="00B247DF">
      <w:rPr>
        <w:rFonts w:ascii="Times New Roman" w:hAnsi="Times New Roman"/>
        <w:i/>
        <w:sz w:val="22"/>
      </w:rPr>
      <w:t>Steward</w:t>
    </w:r>
    <w:r w:rsidRPr="00B247DF">
      <w:rPr>
        <w:rFonts w:ascii="Times New Roman" w:hAnsi="Times New Roman"/>
        <w:i/>
        <w:sz w:val="22"/>
      </w:rPr>
      <w:tab/>
      <w:t>J</w:t>
    </w:r>
  </w:p>
  <w:p w14:paraId="075E0BB3" w14:textId="77777777" w:rsidR="00CF754B" w:rsidRPr="00B247DF" w:rsidRDefault="00CF754B" w:rsidP="00B247DF">
    <w:pPr>
      <w:pStyle w:val="Header"/>
      <w:tabs>
        <w:tab w:val="clear" w:pos="4153"/>
        <w:tab w:val="clear" w:pos="8306"/>
        <w:tab w:val="right" w:pos="1304"/>
      </w:tabs>
      <w:spacing w:line="280" w:lineRule="exact"/>
      <w:ind w:firstLine="0"/>
      <w:rPr>
        <w:rFonts w:ascii="Times New Roman" w:hAnsi="Times New Roman"/>
        <w:i/>
        <w:sz w:val="22"/>
      </w:rPr>
    </w:pPr>
    <w:r w:rsidRPr="00B247DF">
      <w:rPr>
        <w:rFonts w:ascii="Times New Roman" w:hAnsi="Times New Roman"/>
        <w:i/>
        <w:sz w:val="22"/>
      </w:rPr>
      <w:t>Gleeson</w:t>
    </w:r>
    <w:r w:rsidRPr="00B247DF">
      <w:rPr>
        <w:rFonts w:ascii="Times New Roman" w:hAnsi="Times New Roman"/>
        <w:i/>
        <w:sz w:val="22"/>
      </w:rPr>
      <w:tab/>
      <w:t>J</w:t>
    </w:r>
  </w:p>
  <w:p w14:paraId="3DF37CA9" w14:textId="77777777" w:rsidR="00CF754B" w:rsidRPr="00B247DF" w:rsidRDefault="00CF754B" w:rsidP="00B247DF">
    <w:pPr>
      <w:pStyle w:val="Header"/>
      <w:tabs>
        <w:tab w:val="clear" w:pos="4153"/>
        <w:tab w:val="clear" w:pos="8306"/>
        <w:tab w:val="right" w:pos="1304"/>
      </w:tabs>
      <w:spacing w:line="280" w:lineRule="exact"/>
      <w:ind w:firstLine="0"/>
      <w:rPr>
        <w:rFonts w:ascii="Times New Roman" w:hAnsi="Times New Roman"/>
        <w:i/>
        <w:sz w:val="22"/>
      </w:rPr>
    </w:pPr>
    <w:r w:rsidRPr="00B247DF">
      <w:rPr>
        <w:rFonts w:ascii="Times New Roman" w:hAnsi="Times New Roman"/>
        <w:i/>
        <w:sz w:val="22"/>
      </w:rPr>
      <w:t>Jagot</w:t>
    </w:r>
    <w:r w:rsidRPr="00B247DF">
      <w:rPr>
        <w:rFonts w:ascii="Times New Roman" w:hAnsi="Times New Roman"/>
        <w:i/>
        <w:sz w:val="22"/>
      </w:rPr>
      <w:tab/>
      <w:t>J</w:t>
    </w:r>
  </w:p>
  <w:p w14:paraId="410246CC" w14:textId="77777777" w:rsidR="00CF754B" w:rsidRDefault="00CF754B" w:rsidP="00B247D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0F62CD10" w14:textId="77777777" w:rsidR="00CF754B" w:rsidRDefault="00CF754B" w:rsidP="00B247DF">
    <w:pPr>
      <w:pStyle w:val="Header"/>
      <w:tabs>
        <w:tab w:val="clear" w:pos="4153"/>
        <w:tab w:val="clear" w:pos="8306"/>
        <w:tab w:val="right" w:pos="1304"/>
      </w:tabs>
      <w:spacing w:line="280" w:lineRule="exact"/>
      <w:ind w:firstLine="0"/>
      <w:rPr>
        <w:rFonts w:ascii="Times New Roman" w:hAnsi="Times New Roman"/>
        <w:i/>
        <w:sz w:val="22"/>
      </w:rPr>
    </w:pPr>
  </w:p>
  <w:p w14:paraId="5C61A731" w14:textId="77777777" w:rsidR="00CF754B" w:rsidRDefault="00CF754B" w:rsidP="00B247D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2957EE79" w14:textId="77777777" w:rsidR="00CF754B" w:rsidRPr="00B247DF" w:rsidRDefault="00CF754B" w:rsidP="00B247D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9433" w14:textId="77777777" w:rsidR="00CF754B" w:rsidRPr="00B247DF" w:rsidRDefault="00CF754B" w:rsidP="00B247DF">
    <w:pPr>
      <w:pStyle w:val="Header"/>
      <w:tabs>
        <w:tab w:val="clear" w:pos="4153"/>
        <w:tab w:val="clear" w:pos="8306"/>
        <w:tab w:val="left" w:pos="7200"/>
        <w:tab w:val="right" w:pos="8504"/>
      </w:tabs>
      <w:spacing w:line="280" w:lineRule="exact"/>
      <w:jc w:val="right"/>
      <w:rPr>
        <w:rFonts w:ascii="Times New Roman" w:hAnsi="Times New Roman"/>
        <w:i/>
        <w:sz w:val="22"/>
      </w:rPr>
    </w:pPr>
    <w:r w:rsidRPr="00B247DF">
      <w:rPr>
        <w:rFonts w:ascii="Times New Roman" w:hAnsi="Times New Roman"/>
        <w:i/>
        <w:sz w:val="22"/>
      </w:rPr>
      <w:tab/>
      <w:t>Gageler</w:t>
    </w:r>
    <w:r w:rsidRPr="00B247DF">
      <w:rPr>
        <w:rFonts w:ascii="Times New Roman" w:hAnsi="Times New Roman"/>
        <w:i/>
        <w:sz w:val="22"/>
      </w:rPr>
      <w:tab/>
      <w:t>CJ</w:t>
    </w:r>
  </w:p>
  <w:p w14:paraId="44551EED" w14:textId="77777777" w:rsidR="00CF754B" w:rsidRPr="00B247DF" w:rsidRDefault="00CF754B" w:rsidP="00B247DF">
    <w:pPr>
      <w:pStyle w:val="Header"/>
      <w:tabs>
        <w:tab w:val="clear" w:pos="4153"/>
        <w:tab w:val="clear" w:pos="8306"/>
        <w:tab w:val="left" w:pos="7200"/>
        <w:tab w:val="right" w:pos="8504"/>
      </w:tabs>
      <w:spacing w:line="280" w:lineRule="exact"/>
      <w:jc w:val="right"/>
      <w:rPr>
        <w:rFonts w:ascii="Times New Roman" w:hAnsi="Times New Roman"/>
        <w:i/>
        <w:sz w:val="22"/>
      </w:rPr>
    </w:pPr>
    <w:r w:rsidRPr="00B247DF">
      <w:rPr>
        <w:rFonts w:ascii="Times New Roman" w:hAnsi="Times New Roman"/>
        <w:i/>
        <w:sz w:val="22"/>
      </w:rPr>
      <w:tab/>
      <w:t>Gordon</w:t>
    </w:r>
    <w:r w:rsidRPr="00B247DF">
      <w:rPr>
        <w:rFonts w:ascii="Times New Roman" w:hAnsi="Times New Roman"/>
        <w:i/>
        <w:sz w:val="22"/>
      </w:rPr>
      <w:tab/>
      <w:t>J</w:t>
    </w:r>
  </w:p>
  <w:p w14:paraId="10903EFF" w14:textId="77777777" w:rsidR="00CF754B" w:rsidRPr="00B247DF" w:rsidRDefault="00CF754B" w:rsidP="00B247DF">
    <w:pPr>
      <w:pStyle w:val="Header"/>
      <w:tabs>
        <w:tab w:val="clear" w:pos="4153"/>
        <w:tab w:val="clear" w:pos="8306"/>
        <w:tab w:val="left" w:pos="7200"/>
        <w:tab w:val="right" w:pos="8504"/>
      </w:tabs>
      <w:spacing w:line="280" w:lineRule="exact"/>
      <w:jc w:val="right"/>
      <w:rPr>
        <w:rFonts w:ascii="Times New Roman" w:hAnsi="Times New Roman"/>
        <w:i/>
        <w:sz w:val="22"/>
      </w:rPr>
    </w:pPr>
    <w:r w:rsidRPr="00B247DF">
      <w:rPr>
        <w:rFonts w:ascii="Times New Roman" w:hAnsi="Times New Roman"/>
        <w:i/>
        <w:sz w:val="22"/>
      </w:rPr>
      <w:tab/>
      <w:t>Steward</w:t>
    </w:r>
    <w:r w:rsidRPr="00B247DF">
      <w:rPr>
        <w:rFonts w:ascii="Times New Roman" w:hAnsi="Times New Roman"/>
        <w:i/>
        <w:sz w:val="22"/>
      </w:rPr>
      <w:tab/>
      <w:t>J</w:t>
    </w:r>
  </w:p>
  <w:p w14:paraId="08CD6866" w14:textId="77777777" w:rsidR="00CF754B" w:rsidRPr="00B247DF" w:rsidRDefault="00CF754B" w:rsidP="00B247DF">
    <w:pPr>
      <w:pStyle w:val="Header"/>
      <w:tabs>
        <w:tab w:val="clear" w:pos="4153"/>
        <w:tab w:val="clear" w:pos="8306"/>
        <w:tab w:val="left" w:pos="7200"/>
        <w:tab w:val="right" w:pos="8504"/>
      </w:tabs>
      <w:spacing w:line="280" w:lineRule="exact"/>
      <w:jc w:val="right"/>
      <w:rPr>
        <w:rFonts w:ascii="Times New Roman" w:hAnsi="Times New Roman"/>
        <w:i/>
        <w:sz w:val="22"/>
      </w:rPr>
    </w:pPr>
    <w:r w:rsidRPr="00B247DF">
      <w:rPr>
        <w:rFonts w:ascii="Times New Roman" w:hAnsi="Times New Roman"/>
        <w:i/>
        <w:sz w:val="22"/>
      </w:rPr>
      <w:tab/>
      <w:t>Gleeson</w:t>
    </w:r>
    <w:r w:rsidRPr="00B247DF">
      <w:rPr>
        <w:rFonts w:ascii="Times New Roman" w:hAnsi="Times New Roman"/>
        <w:i/>
        <w:sz w:val="22"/>
      </w:rPr>
      <w:tab/>
      <w:t>J</w:t>
    </w:r>
  </w:p>
  <w:p w14:paraId="4B2AC787" w14:textId="77777777" w:rsidR="00CF754B" w:rsidRPr="00B247DF" w:rsidRDefault="00CF754B" w:rsidP="00B247DF">
    <w:pPr>
      <w:pStyle w:val="Header"/>
      <w:tabs>
        <w:tab w:val="clear" w:pos="4153"/>
        <w:tab w:val="clear" w:pos="8306"/>
        <w:tab w:val="left" w:pos="7200"/>
        <w:tab w:val="right" w:pos="8504"/>
      </w:tabs>
      <w:spacing w:line="280" w:lineRule="exact"/>
      <w:jc w:val="right"/>
      <w:rPr>
        <w:rFonts w:ascii="Times New Roman" w:hAnsi="Times New Roman"/>
        <w:i/>
        <w:sz w:val="22"/>
      </w:rPr>
    </w:pPr>
    <w:r w:rsidRPr="00B247DF">
      <w:rPr>
        <w:rFonts w:ascii="Times New Roman" w:hAnsi="Times New Roman"/>
        <w:i/>
        <w:sz w:val="22"/>
      </w:rPr>
      <w:tab/>
      <w:t>Jagot</w:t>
    </w:r>
    <w:r w:rsidRPr="00B247DF">
      <w:rPr>
        <w:rFonts w:ascii="Times New Roman" w:hAnsi="Times New Roman"/>
        <w:i/>
        <w:sz w:val="22"/>
      </w:rPr>
      <w:tab/>
      <w:t>J</w:t>
    </w:r>
  </w:p>
  <w:p w14:paraId="433561E8" w14:textId="77777777" w:rsidR="00CF754B" w:rsidRDefault="00CF754B" w:rsidP="00B247D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71F9CF47" w14:textId="77777777" w:rsidR="00CF754B" w:rsidRDefault="00CF754B" w:rsidP="00B247DF">
    <w:pPr>
      <w:pStyle w:val="Header"/>
      <w:tabs>
        <w:tab w:val="clear" w:pos="4153"/>
        <w:tab w:val="clear" w:pos="8306"/>
        <w:tab w:val="left" w:pos="7200"/>
        <w:tab w:val="right" w:pos="8504"/>
      </w:tabs>
      <w:spacing w:line="280" w:lineRule="exact"/>
      <w:jc w:val="right"/>
      <w:rPr>
        <w:rFonts w:ascii="Times New Roman" w:hAnsi="Times New Roman"/>
        <w:i/>
        <w:sz w:val="22"/>
      </w:rPr>
    </w:pPr>
  </w:p>
  <w:p w14:paraId="1791DA5F" w14:textId="77777777" w:rsidR="00CF754B" w:rsidRDefault="00CF754B" w:rsidP="00B247D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173207D" w14:textId="77777777" w:rsidR="00CF754B" w:rsidRPr="00B247DF" w:rsidRDefault="00CF754B" w:rsidP="00B247D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08C0" w14:textId="77777777" w:rsidR="00CF754B" w:rsidRDefault="00CF754B" w:rsidP="00B247DF">
    <w:pPr>
      <w:pStyle w:val="Header"/>
      <w:tabs>
        <w:tab w:val="clear" w:pos="4153"/>
        <w:tab w:val="clear" w:pos="8306"/>
        <w:tab w:val="center" w:pos="1134"/>
      </w:tabs>
      <w:spacing w:line="280" w:lineRule="exact"/>
      <w:ind w:firstLine="0"/>
      <w:rPr>
        <w:rFonts w:ascii="Times New Roman" w:hAnsi="Times New Roman"/>
        <w:i/>
        <w:sz w:val="22"/>
      </w:rPr>
    </w:pPr>
  </w:p>
  <w:p w14:paraId="07EC820C" w14:textId="77777777" w:rsidR="00CF754B" w:rsidRDefault="00CF754B" w:rsidP="00B247DF">
    <w:pPr>
      <w:pStyle w:val="Header"/>
      <w:tabs>
        <w:tab w:val="clear" w:pos="4153"/>
        <w:tab w:val="clear" w:pos="8306"/>
        <w:tab w:val="center" w:pos="1134"/>
      </w:tabs>
      <w:spacing w:line="280" w:lineRule="exact"/>
      <w:ind w:firstLine="0"/>
      <w:rPr>
        <w:rFonts w:ascii="Times New Roman" w:hAnsi="Times New Roman"/>
        <w:i/>
        <w:sz w:val="22"/>
      </w:rPr>
    </w:pPr>
  </w:p>
  <w:p w14:paraId="1745C71A" w14:textId="77777777" w:rsidR="00CF754B" w:rsidRDefault="00CF754B" w:rsidP="00B247DF">
    <w:pPr>
      <w:pStyle w:val="Header"/>
      <w:tabs>
        <w:tab w:val="clear" w:pos="4153"/>
        <w:tab w:val="clear" w:pos="8306"/>
        <w:tab w:val="center" w:pos="1134"/>
      </w:tabs>
      <w:spacing w:line="280" w:lineRule="exact"/>
      <w:ind w:firstLine="0"/>
      <w:rPr>
        <w:rFonts w:ascii="Times New Roman" w:hAnsi="Times New Roman"/>
        <w:i/>
        <w:sz w:val="22"/>
      </w:rPr>
    </w:pPr>
  </w:p>
  <w:p w14:paraId="6AF3E185" w14:textId="77777777" w:rsidR="00CF754B" w:rsidRDefault="00CF754B" w:rsidP="00B247DF">
    <w:pPr>
      <w:pStyle w:val="Header"/>
      <w:tabs>
        <w:tab w:val="clear" w:pos="4153"/>
        <w:tab w:val="clear" w:pos="8306"/>
        <w:tab w:val="center" w:pos="1134"/>
      </w:tabs>
      <w:spacing w:line="280" w:lineRule="exact"/>
      <w:ind w:firstLine="0"/>
      <w:rPr>
        <w:rFonts w:ascii="Times New Roman" w:hAnsi="Times New Roman"/>
        <w:i/>
        <w:sz w:val="22"/>
      </w:rPr>
    </w:pPr>
  </w:p>
  <w:p w14:paraId="291FAA8C" w14:textId="77777777" w:rsidR="00CF754B" w:rsidRDefault="00CF754B" w:rsidP="00B247DF">
    <w:pPr>
      <w:pStyle w:val="Header"/>
      <w:tabs>
        <w:tab w:val="clear" w:pos="4153"/>
        <w:tab w:val="clear" w:pos="8306"/>
        <w:tab w:val="center" w:pos="1134"/>
      </w:tabs>
      <w:spacing w:line="280" w:lineRule="exact"/>
      <w:ind w:firstLine="0"/>
      <w:rPr>
        <w:rFonts w:ascii="Times New Roman" w:hAnsi="Times New Roman"/>
        <w:i/>
        <w:sz w:val="22"/>
      </w:rPr>
    </w:pPr>
  </w:p>
  <w:p w14:paraId="3EDE80D2" w14:textId="77777777" w:rsidR="00CF754B" w:rsidRDefault="00CF754B" w:rsidP="00B247DF">
    <w:pPr>
      <w:pStyle w:val="Header"/>
      <w:tabs>
        <w:tab w:val="clear" w:pos="4153"/>
        <w:tab w:val="clear" w:pos="8306"/>
        <w:tab w:val="center" w:pos="1134"/>
      </w:tabs>
      <w:spacing w:line="280" w:lineRule="exact"/>
      <w:ind w:firstLine="0"/>
      <w:rPr>
        <w:rFonts w:ascii="Times New Roman" w:hAnsi="Times New Roman"/>
        <w:i/>
        <w:sz w:val="22"/>
      </w:rPr>
    </w:pPr>
  </w:p>
  <w:p w14:paraId="7900C876" w14:textId="77777777" w:rsidR="00CF754B" w:rsidRDefault="00CF754B" w:rsidP="00B247DF">
    <w:pPr>
      <w:pStyle w:val="Header"/>
      <w:tabs>
        <w:tab w:val="clear" w:pos="4153"/>
        <w:tab w:val="clear" w:pos="8306"/>
        <w:tab w:val="center" w:pos="1134"/>
      </w:tabs>
      <w:spacing w:line="280" w:lineRule="exact"/>
      <w:ind w:firstLine="0"/>
      <w:rPr>
        <w:rFonts w:ascii="Times New Roman" w:hAnsi="Times New Roman"/>
        <w:i/>
        <w:sz w:val="22"/>
      </w:rPr>
    </w:pPr>
  </w:p>
  <w:p w14:paraId="2E173E58" w14:textId="77777777" w:rsidR="00CF754B" w:rsidRDefault="00CF754B" w:rsidP="00B247DF">
    <w:pPr>
      <w:pStyle w:val="Header"/>
      <w:tabs>
        <w:tab w:val="clear" w:pos="4153"/>
        <w:tab w:val="clear" w:pos="8306"/>
        <w:tab w:val="center" w:pos="1134"/>
      </w:tabs>
      <w:spacing w:line="280" w:lineRule="exact"/>
      <w:ind w:firstLine="0"/>
      <w:rPr>
        <w:rFonts w:ascii="Times New Roman" w:hAnsi="Times New Roman"/>
        <w:i/>
        <w:sz w:val="22"/>
      </w:rPr>
    </w:pPr>
  </w:p>
  <w:p w14:paraId="4CBF89F7" w14:textId="77777777" w:rsidR="00CF754B" w:rsidRPr="00B247DF" w:rsidRDefault="00CF754B" w:rsidP="00B247DF">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0941" w14:textId="77777777" w:rsidR="005C789E" w:rsidRDefault="005C789E" w:rsidP="00F2125E">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47F7AD9F" w14:textId="77777777" w:rsidR="005C789E" w:rsidRDefault="005C789E" w:rsidP="00F2125E">
    <w:pPr>
      <w:pStyle w:val="Header"/>
      <w:tabs>
        <w:tab w:val="clear" w:pos="4153"/>
        <w:tab w:val="clear" w:pos="8306"/>
        <w:tab w:val="right" w:pos="1304"/>
      </w:tabs>
      <w:spacing w:line="280" w:lineRule="exact"/>
      <w:ind w:firstLine="0"/>
      <w:rPr>
        <w:rFonts w:ascii="Times New Roman" w:hAnsi="Times New Roman"/>
        <w:i/>
        <w:sz w:val="22"/>
      </w:rPr>
    </w:pPr>
  </w:p>
  <w:p w14:paraId="03CC90A5" w14:textId="77777777" w:rsidR="005C789E" w:rsidRDefault="005C789E" w:rsidP="00F2125E">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9D5C249" w14:textId="77777777" w:rsidR="005C789E" w:rsidRPr="00F2125E" w:rsidRDefault="005C789E" w:rsidP="00F2125E">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27C8" w14:textId="77777777" w:rsidR="005C789E" w:rsidRDefault="005C789E" w:rsidP="00F2125E">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0CE6E406" w14:textId="77777777" w:rsidR="005C789E" w:rsidRDefault="005C789E" w:rsidP="00F2125E">
    <w:pPr>
      <w:pStyle w:val="Header"/>
      <w:tabs>
        <w:tab w:val="clear" w:pos="4153"/>
        <w:tab w:val="clear" w:pos="8306"/>
        <w:tab w:val="left" w:pos="7200"/>
        <w:tab w:val="right" w:pos="8504"/>
      </w:tabs>
      <w:spacing w:line="280" w:lineRule="exact"/>
      <w:jc w:val="right"/>
      <w:rPr>
        <w:rFonts w:ascii="Times New Roman" w:hAnsi="Times New Roman"/>
        <w:i/>
        <w:sz w:val="22"/>
      </w:rPr>
    </w:pPr>
  </w:p>
  <w:p w14:paraId="10C66EC8" w14:textId="77777777" w:rsidR="005C789E" w:rsidRDefault="005C789E" w:rsidP="00F2125E">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794B5C4" w14:textId="77777777" w:rsidR="005C789E" w:rsidRPr="00F2125E" w:rsidRDefault="005C789E" w:rsidP="00F2125E">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52ED" w14:textId="77777777" w:rsidR="005C789E" w:rsidRDefault="005C789E" w:rsidP="00F2125E">
    <w:pPr>
      <w:pStyle w:val="Header"/>
      <w:tabs>
        <w:tab w:val="clear" w:pos="4153"/>
        <w:tab w:val="clear" w:pos="8306"/>
        <w:tab w:val="center" w:pos="1134"/>
      </w:tabs>
      <w:spacing w:line="280" w:lineRule="exact"/>
      <w:ind w:firstLine="0"/>
      <w:rPr>
        <w:rFonts w:ascii="Times New Roman" w:hAnsi="Times New Roman"/>
        <w:i/>
        <w:sz w:val="22"/>
      </w:rPr>
    </w:pPr>
  </w:p>
  <w:p w14:paraId="54DF0B63" w14:textId="77777777" w:rsidR="005C789E" w:rsidRDefault="005C789E" w:rsidP="00F2125E">
    <w:pPr>
      <w:pStyle w:val="Header"/>
      <w:tabs>
        <w:tab w:val="clear" w:pos="4153"/>
        <w:tab w:val="clear" w:pos="8306"/>
        <w:tab w:val="center" w:pos="1134"/>
      </w:tabs>
      <w:spacing w:line="280" w:lineRule="exact"/>
      <w:ind w:firstLine="0"/>
      <w:rPr>
        <w:rFonts w:ascii="Times New Roman" w:hAnsi="Times New Roman"/>
        <w:i/>
        <w:sz w:val="22"/>
      </w:rPr>
    </w:pPr>
  </w:p>
  <w:p w14:paraId="0BC4C523" w14:textId="77777777" w:rsidR="005C789E" w:rsidRDefault="005C789E" w:rsidP="00F2125E">
    <w:pPr>
      <w:pStyle w:val="Header"/>
      <w:tabs>
        <w:tab w:val="clear" w:pos="4153"/>
        <w:tab w:val="clear" w:pos="8306"/>
        <w:tab w:val="center" w:pos="1134"/>
      </w:tabs>
      <w:spacing w:line="280" w:lineRule="exact"/>
      <w:ind w:firstLine="0"/>
      <w:rPr>
        <w:rFonts w:ascii="Times New Roman" w:hAnsi="Times New Roman"/>
        <w:i/>
        <w:sz w:val="22"/>
      </w:rPr>
    </w:pPr>
  </w:p>
  <w:p w14:paraId="16CB7FF9" w14:textId="77777777" w:rsidR="005C789E" w:rsidRPr="00F2125E" w:rsidRDefault="005C789E" w:rsidP="00F2125E">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2A26AC0"/>
    <w:multiLevelType w:val="hybridMultilevel"/>
    <w:tmpl w:val="33D4D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5"/>
  </w:num>
  <w:num w:numId="3" w16cid:durableId="1375159326">
    <w:abstractNumId w:val="18"/>
  </w:num>
  <w:num w:numId="4" w16cid:durableId="1020468450">
    <w:abstractNumId w:val="14"/>
  </w:num>
  <w:num w:numId="5" w16cid:durableId="298609604">
    <w:abstractNumId w:val="17"/>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6"/>
  </w:num>
  <w:num w:numId="18" w16cid:durableId="586305847">
    <w:abstractNumId w:val="11"/>
  </w:num>
  <w:num w:numId="19" w16cid:durableId="650985869">
    <w:abstractNumId w:val="11"/>
  </w:num>
  <w:num w:numId="20" w16cid:durableId="68889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1A"/>
    <w:rsid w:val="0000003F"/>
    <w:rsid w:val="000011D6"/>
    <w:rsid w:val="00001A4D"/>
    <w:rsid w:val="00002069"/>
    <w:rsid w:val="00002CE6"/>
    <w:rsid w:val="0000316A"/>
    <w:rsid w:val="000049B7"/>
    <w:rsid w:val="000058E6"/>
    <w:rsid w:val="00006B12"/>
    <w:rsid w:val="00007733"/>
    <w:rsid w:val="000116E7"/>
    <w:rsid w:val="000119EF"/>
    <w:rsid w:val="0001240F"/>
    <w:rsid w:val="00013709"/>
    <w:rsid w:val="00014065"/>
    <w:rsid w:val="00014177"/>
    <w:rsid w:val="000141CA"/>
    <w:rsid w:val="00014B34"/>
    <w:rsid w:val="00014D2B"/>
    <w:rsid w:val="000155E7"/>
    <w:rsid w:val="000168C9"/>
    <w:rsid w:val="00016C20"/>
    <w:rsid w:val="00016DBB"/>
    <w:rsid w:val="00017144"/>
    <w:rsid w:val="00017936"/>
    <w:rsid w:val="00017CF5"/>
    <w:rsid w:val="000207F0"/>
    <w:rsid w:val="00021ACC"/>
    <w:rsid w:val="00021B09"/>
    <w:rsid w:val="00022A53"/>
    <w:rsid w:val="00022E6A"/>
    <w:rsid w:val="0002385D"/>
    <w:rsid w:val="00024789"/>
    <w:rsid w:val="000249A6"/>
    <w:rsid w:val="000250AF"/>
    <w:rsid w:val="00025490"/>
    <w:rsid w:val="0002561E"/>
    <w:rsid w:val="00026749"/>
    <w:rsid w:val="00026753"/>
    <w:rsid w:val="00026842"/>
    <w:rsid w:val="000268E1"/>
    <w:rsid w:val="00026ABD"/>
    <w:rsid w:val="00027AC8"/>
    <w:rsid w:val="0003011A"/>
    <w:rsid w:val="000304D5"/>
    <w:rsid w:val="00032866"/>
    <w:rsid w:val="00032DC5"/>
    <w:rsid w:val="00035228"/>
    <w:rsid w:val="0003575A"/>
    <w:rsid w:val="000360EB"/>
    <w:rsid w:val="000379BE"/>
    <w:rsid w:val="00037A5F"/>
    <w:rsid w:val="00037D87"/>
    <w:rsid w:val="000404F6"/>
    <w:rsid w:val="00040548"/>
    <w:rsid w:val="00040AB5"/>
    <w:rsid w:val="00041FC8"/>
    <w:rsid w:val="00042EF3"/>
    <w:rsid w:val="00043898"/>
    <w:rsid w:val="00043D2C"/>
    <w:rsid w:val="0004508F"/>
    <w:rsid w:val="000453B3"/>
    <w:rsid w:val="000456FF"/>
    <w:rsid w:val="00045FCC"/>
    <w:rsid w:val="00046812"/>
    <w:rsid w:val="00050888"/>
    <w:rsid w:val="00050E7D"/>
    <w:rsid w:val="00052483"/>
    <w:rsid w:val="00053915"/>
    <w:rsid w:val="00053BE9"/>
    <w:rsid w:val="000554CF"/>
    <w:rsid w:val="00055ACD"/>
    <w:rsid w:val="000566F3"/>
    <w:rsid w:val="00056F27"/>
    <w:rsid w:val="000573AF"/>
    <w:rsid w:val="000575D6"/>
    <w:rsid w:val="0005784C"/>
    <w:rsid w:val="000578E7"/>
    <w:rsid w:val="00057D74"/>
    <w:rsid w:val="00060E83"/>
    <w:rsid w:val="00061028"/>
    <w:rsid w:val="0006167E"/>
    <w:rsid w:val="0006169E"/>
    <w:rsid w:val="000626FD"/>
    <w:rsid w:val="0006432B"/>
    <w:rsid w:val="00064478"/>
    <w:rsid w:val="000644F5"/>
    <w:rsid w:val="00064E78"/>
    <w:rsid w:val="000653D4"/>
    <w:rsid w:val="00065536"/>
    <w:rsid w:val="000656B5"/>
    <w:rsid w:val="00067077"/>
    <w:rsid w:val="00067935"/>
    <w:rsid w:val="00067A5C"/>
    <w:rsid w:val="00070D76"/>
    <w:rsid w:val="00071546"/>
    <w:rsid w:val="000716AC"/>
    <w:rsid w:val="00071C35"/>
    <w:rsid w:val="0007217A"/>
    <w:rsid w:val="0007306E"/>
    <w:rsid w:val="000734FE"/>
    <w:rsid w:val="00073870"/>
    <w:rsid w:val="0007482B"/>
    <w:rsid w:val="000751A5"/>
    <w:rsid w:val="00075D94"/>
    <w:rsid w:val="00075EA9"/>
    <w:rsid w:val="00075F50"/>
    <w:rsid w:val="00077917"/>
    <w:rsid w:val="000808BF"/>
    <w:rsid w:val="00080D77"/>
    <w:rsid w:val="00082A4F"/>
    <w:rsid w:val="0008435D"/>
    <w:rsid w:val="00085555"/>
    <w:rsid w:val="0008558C"/>
    <w:rsid w:val="000857F7"/>
    <w:rsid w:val="00085D9A"/>
    <w:rsid w:val="00085F13"/>
    <w:rsid w:val="0008795C"/>
    <w:rsid w:val="00090602"/>
    <w:rsid w:val="000906EC"/>
    <w:rsid w:val="000959D9"/>
    <w:rsid w:val="00096CE7"/>
    <w:rsid w:val="0009724E"/>
    <w:rsid w:val="0009762D"/>
    <w:rsid w:val="000A1AE1"/>
    <w:rsid w:val="000A28D4"/>
    <w:rsid w:val="000A2EB4"/>
    <w:rsid w:val="000A3DA3"/>
    <w:rsid w:val="000A4B08"/>
    <w:rsid w:val="000A5C5A"/>
    <w:rsid w:val="000A63C6"/>
    <w:rsid w:val="000A74ED"/>
    <w:rsid w:val="000B0693"/>
    <w:rsid w:val="000B0BD9"/>
    <w:rsid w:val="000B419D"/>
    <w:rsid w:val="000B4630"/>
    <w:rsid w:val="000B497F"/>
    <w:rsid w:val="000B70AA"/>
    <w:rsid w:val="000B710D"/>
    <w:rsid w:val="000B7558"/>
    <w:rsid w:val="000C04DC"/>
    <w:rsid w:val="000C0D98"/>
    <w:rsid w:val="000C2167"/>
    <w:rsid w:val="000C2313"/>
    <w:rsid w:val="000C38F8"/>
    <w:rsid w:val="000C56DF"/>
    <w:rsid w:val="000C7278"/>
    <w:rsid w:val="000C7481"/>
    <w:rsid w:val="000D015A"/>
    <w:rsid w:val="000D25E6"/>
    <w:rsid w:val="000D41FF"/>
    <w:rsid w:val="000D47E5"/>
    <w:rsid w:val="000D53C8"/>
    <w:rsid w:val="000D6119"/>
    <w:rsid w:val="000D7BC4"/>
    <w:rsid w:val="000D7FB9"/>
    <w:rsid w:val="000E073C"/>
    <w:rsid w:val="000E125C"/>
    <w:rsid w:val="000E1681"/>
    <w:rsid w:val="000E1F28"/>
    <w:rsid w:val="000E22A8"/>
    <w:rsid w:val="000E2969"/>
    <w:rsid w:val="000E31C0"/>
    <w:rsid w:val="000E4061"/>
    <w:rsid w:val="000E4D53"/>
    <w:rsid w:val="000E65F7"/>
    <w:rsid w:val="000E6E1D"/>
    <w:rsid w:val="000F036B"/>
    <w:rsid w:val="000F1345"/>
    <w:rsid w:val="000F1526"/>
    <w:rsid w:val="000F19B7"/>
    <w:rsid w:val="000F1BEF"/>
    <w:rsid w:val="000F3BB3"/>
    <w:rsid w:val="000F4532"/>
    <w:rsid w:val="000F4A6F"/>
    <w:rsid w:val="000F6089"/>
    <w:rsid w:val="000F70D4"/>
    <w:rsid w:val="000F7D02"/>
    <w:rsid w:val="000F7E23"/>
    <w:rsid w:val="001001B9"/>
    <w:rsid w:val="00100703"/>
    <w:rsid w:val="00102254"/>
    <w:rsid w:val="001034BA"/>
    <w:rsid w:val="00104006"/>
    <w:rsid w:val="0010402C"/>
    <w:rsid w:val="001054C3"/>
    <w:rsid w:val="001057A0"/>
    <w:rsid w:val="001065A0"/>
    <w:rsid w:val="0010702C"/>
    <w:rsid w:val="001107BE"/>
    <w:rsid w:val="00110970"/>
    <w:rsid w:val="00111568"/>
    <w:rsid w:val="001120C0"/>
    <w:rsid w:val="001121C7"/>
    <w:rsid w:val="00115010"/>
    <w:rsid w:val="001150BF"/>
    <w:rsid w:val="00115EB0"/>
    <w:rsid w:val="001168F2"/>
    <w:rsid w:val="001170A6"/>
    <w:rsid w:val="00120207"/>
    <w:rsid w:val="00120232"/>
    <w:rsid w:val="001213A9"/>
    <w:rsid w:val="0012194A"/>
    <w:rsid w:val="0012205D"/>
    <w:rsid w:val="00122CD7"/>
    <w:rsid w:val="0012390C"/>
    <w:rsid w:val="00123C1B"/>
    <w:rsid w:val="00125E3C"/>
    <w:rsid w:val="00126240"/>
    <w:rsid w:val="00126D3A"/>
    <w:rsid w:val="001300E2"/>
    <w:rsid w:val="001316B0"/>
    <w:rsid w:val="00131D7C"/>
    <w:rsid w:val="001324E8"/>
    <w:rsid w:val="001324F9"/>
    <w:rsid w:val="00133B29"/>
    <w:rsid w:val="00133CF1"/>
    <w:rsid w:val="00133E7E"/>
    <w:rsid w:val="0013456F"/>
    <w:rsid w:val="00134806"/>
    <w:rsid w:val="0013495C"/>
    <w:rsid w:val="00134E1D"/>
    <w:rsid w:val="00134F8D"/>
    <w:rsid w:val="00135F77"/>
    <w:rsid w:val="001364DC"/>
    <w:rsid w:val="00136894"/>
    <w:rsid w:val="0013714C"/>
    <w:rsid w:val="001373AF"/>
    <w:rsid w:val="00140464"/>
    <w:rsid w:val="00140EEE"/>
    <w:rsid w:val="00142072"/>
    <w:rsid w:val="00143336"/>
    <w:rsid w:val="00143831"/>
    <w:rsid w:val="00143FCB"/>
    <w:rsid w:val="00144A78"/>
    <w:rsid w:val="00144FEF"/>
    <w:rsid w:val="00145627"/>
    <w:rsid w:val="00146A41"/>
    <w:rsid w:val="0015031C"/>
    <w:rsid w:val="00150A8D"/>
    <w:rsid w:val="001514A0"/>
    <w:rsid w:val="00151679"/>
    <w:rsid w:val="001518B9"/>
    <w:rsid w:val="00151BF2"/>
    <w:rsid w:val="001520B0"/>
    <w:rsid w:val="0015318E"/>
    <w:rsid w:val="00154016"/>
    <w:rsid w:val="0015448A"/>
    <w:rsid w:val="00154496"/>
    <w:rsid w:val="00155E92"/>
    <w:rsid w:val="001563A4"/>
    <w:rsid w:val="001564C0"/>
    <w:rsid w:val="00156D6B"/>
    <w:rsid w:val="00157BA0"/>
    <w:rsid w:val="00160110"/>
    <w:rsid w:val="00160129"/>
    <w:rsid w:val="0016022F"/>
    <w:rsid w:val="00160D3E"/>
    <w:rsid w:val="001612A6"/>
    <w:rsid w:val="001634BD"/>
    <w:rsid w:val="00163D92"/>
    <w:rsid w:val="00164144"/>
    <w:rsid w:val="00164A52"/>
    <w:rsid w:val="00165EBF"/>
    <w:rsid w:val="00166A74"/>
    <w:rsid w:val="001708DE"/>
    <w:rsid w:val="00171675"/>
    <w:rsid w:val="0017288E"/>
    <w:rsid w:val="00172ADE"/>
    <w:rsid w:val="001752E5"/>
    <w:rsid w:val="00175703"/>
    <w:rsid w:val="001758DE"/>
    <w:rsid w:val="001760A1"/>
    <w:rsid w:val="001768E6"/>
    <w:rsid w:val="00176D25"/>
    <w:rsid w:val="0017799C"/>
    <w:rsid w:val="00180350"/>
    <w:rsid w:val="001808B3"/>
    <w:rsid w:val="0018249B"/>
    <w:rsid w:val="0018265E"/>
    <w:rsid w:val="0018274E"/>
    <w:rsid w:val="00183048"/>
    <w:rsid w:val="0018342E"/>
    <w:rsid w:val="001840C2"/>
    <w:rsid w:val="00184B46"/>
    <w:rsid w:val="00185939"/>
    <w:rsid w:val="0018624D"/>
    <w:rsid w:val="0018713D"/>
    <w:rsid w:val="001876F6"/>
    <w:rsid w:val="001878D3"/>
    <w:rsid w:val="001906D5"/>
    <w:rsid w:val="00191E10"/>
    <w:rsid w:val="00191E23"/>
    <w:rsid w:val="00191E6A"/>
    <w:rsid w:val="00192E75"/>
    <w:rsid w:val="00193C98"/>
    <w:rsid w:val="00195185"/>
    <w:rsid w:val="001953B1"/>
    <w:rsid w:val="00195E7B"/>
    <w:rsid w:val="001963C0"/>
    <w:rsid w:val="00196F0A"/>
    <w:rsid w:val="00197956"/>
    <w:rsid w:val="00197B5D"/>
    <w:rsid w:val="001A0B68"/>
    <w:rsid w:val="001A296A"/>
    <w:rsid w:val="001A2E45"/>
    <w:rsid w:val="001A3A29"/>
    <w:rsid w:val="001A409D"/>
    <w:rsid w:val="001A446E"/>
    <w:rsid w:val="001A4A5D"/>
    <w:rsid w:val="001A4B7F"/>
    <w:rsid w:val="001A5DDF"/>
    <w:rsid w:val="001A62A5"/>
    <w:rsid w:val="001A64B1"/>
    <w:rsid w:val="001A6F05"/>
    <w:rsid w:val="001A7768"/>
    <w:rsid w:val="001A7EA3"/>
    <w:rsid w:val="001B076D"/>
    <w:rsid w:val="001B1676"/>
    <w:rsid w:val="001B17A8"/>
    <w:rsid w:val="001B23AD"/>
    <w:rsid w:val="001B4B3B"/>
    <w:rsid w:val="001B55C8"/>
    <w:rsid w:val="001B63C6"/>
    <w:rsid w:val="001B6641"/>
    <w:rsid w:val="001B665B"/>
    <w:rsid w:val="001C0196"/>
    <w:rsid w:val="001C12CB"/>
    <w:rsid w:val="001C13DD"/>
    <w:rsid w:val="001C3486"/>
    <w:rsid w:val="001C3E50"/>
    <w:rsid w:val="001C3E6F"/>
    <w:rsid w:val="001C48D4"/>
    <w:rsid w:val="001C5035"/>
    <w:rsid w:val="001C51ED"/>
    <w:rsid w:val="001C5239"/>
    <w:rsid w:val="001C6B5C"/>
    <w:rsid w:val="001C7751"/>
    <w:rsid w:val="001C7C93"/>
    <w:rsid w:val="001D0E94"/>
    <w:rsid w:val="001D2110"/>
    <w:rsid w:val="001D2529"/>
    <w:rsid w:val="001D2F83"/>
    <w:rsid w:val="001D36CD"/>
    <w:rsid w:val="001D38EE"/>
    <w:rsid w:val="001D455D"/>
    <w:rsid w:val="001D46DF"/>
    <w:rsid w:val="001D4AD7"/>
    <w:rsid w:val="001D4F49"/>
    <w:rsid w:val="001D4F69"/>
    <w:rsid w:val="001D55A0"/>
    <w:rsid w:val="001D7982"/>
    <w:rsid w:val="001D7C2E"/>
    <w:rsid w:val="001E0849"/>
    <w:rsid w:val="001E1D3D"/>
    <w:rsid w:val="001E47D1"/>
    <w:rsid w:val="001E63DF"/>
    <w:rsid w:val="001E6845"/>
    <w:rsid w:val="001E6A64"/>
    <w:rsid w:val="001E75C5"/>
    <w:rsid w:val="001F00EA"/>
    <w:rsid w:val="001F0636"/>
    <w:rsid w:val="001F08BD"/>
    <w:rsid w:val="001F0E6A"/>
    <w:rsid w:val="001F1B4E"/>
    <w:rsid w:val="001F1B5F"/>
    <w:rsid w:val="001F349F"/>
    <w:rsid w:val="001F3F2A"/>
    <w:rsid w:val="001F4200"/>
    <w:rsid w:val="001F69C2"/>
    <w:rsid w:val="001F782F"/>
    <w:rsid w:val="00200DA6"/>
    <w:rsid w:val="00201B5E"/>
    <w:rsid w:val="00201C8F"/>
    <w:rsid w:val="002048D1"/>
    <w:rsid w:val="0020511A"/>
    <w:rsid w:val="002079CB"/>
    <w:rsid w:val="002102FB"/>
    <w:rsid w:val="002104D0"/>
    <w:rsid w:val="0021096E"/>
    <w:rsid w:val="00210DE8"/>
    <w:rsid w:val="00211C19"/>
    <w:rsid w:val="00211D73"/>
    <w:rsid w:val="00212A3E"/>
    <w:rsid w:val="00213234"/>
    <w:rsid w:val="00213C41"/>
    <w:rsid w:val="002140BA"/>
    <w:rsid w:val="002146A2"/>
    <w:rsid w:val="00214BC6"/>
    <w:rsid w:val="00214BF2"/>
    <w:rsid w:val="00215476"/>
    <w:rsid w:val="0021547C"/>
    <w:rsid w:val="00215A7F"/>
    <w:rsid w:val="00216522"/>
    <w:rsid w:val="0021652F"/>
    <w:rsid w:val="00216EE8"/>
    <w:rsid w:val="00217057"/>
    <w:rsid w:val="00217C7F"/>
    <w:rsid w:val="00217D35"/>
    <w:rsid w:val="00220629"/>
    <w:rsid w:val="00221D19"/>
    <w:rsid w:val="00222CBE"/>
    <w:rsid w:val="0022427E"/>
    <w:rsid w:val="002244EA"/>
    <w:rsid w:val="0022666B"/>
    <w:rsid w:val="0022734D"/>
    <w:rsid w:val="00227E7C"/>
    <w:rsid w:val="00230794"/>
    <w:rsid w:val="00231436"/>
    <w:rsid w:val="00231685"/>
    <w:rsid w:val="002320E8"/>
    <w:rsid w:val="0023320C"/>
    <w:rsid w:val="00233F3B"/>
    <w:rsid w:val="0023447F"/>
    <w:rsid w:val="002350B3"/>
    <w:rsid w:val="0023544C"/>
    <w:rsid w:val="00235985"/>
    <w:rsid w:val="00236486"/>
    <w:rsid w:val="00236676"/>
    <w:rsid w:val="00236CF5"/>
    <w:rsid w:val="00237192"/>
    <w:rsid w:val="0023798E"/>
    <w:rsid w:val="00240402"/>
    <w:rsid w:val="00241089"/>
    <w:rsid w:val="00241606"/>
    <w:rsid w:val="00242EE4"/>
    <w:rsid w:val="00243DA9"/>
    <w:rsid w:val="0024462E"/>
    <w:rsid w:val="002459B5"/>
    <w:rsid w:val="00245F4F"/>
    <w:rsid w:val="002461A1"/>
    <w:rsid w:val="00246C9B"/>
    <w:rsid w:val="002474FA"/>
    <w:rsid w:val="0025020B"/>
    <w:rsid w:val="00251025"/>
    <w:rsid w:val="0025141C"/>
    <w:rsid w:val="00253493"/>
    <w:rsid w:val="00253DE9"/>
    <w:rsid w:val="00254284"/>
    <w:rsid w:val="00254C5E"/>
    <w:rsid w:val="00254F80"/>
    <w:rsid w:val="0025564A"/>
    <w:rsid w:val="00257AFB"/>
    <w:rsid w:val="00260BDA"/>
    <w:rsid w:val="00261553"/>
    <w:rsid w:val="00261C7B"/>
    <w:rsid w:val="0026293D"/>
    <w:rsid w:val="00264D2E"/>
    <w:rsid w:val="00265982"/>
    <w:rsid w:val="00265AA0"/>
    <w:rsid w:val="0026630F"/>
    <w:rsid w:val="00270154"/>
    <w:rsid w:val="00270AEF"/>
    <w:rsid w:val="00271718"/>
    <w:rsid w:val="00271DE6"/>
    <w:rsid w:val="00271F70"/>
    <w:rsid w:val="00273145"/>
    <w:rsid w:val="0027408B"/>
    <w:rsid w:val="00274C36"/>
    <w:rsid w:val="00274CE9"/>
    <w:rsid w:val="002766AB"/>
    <w:rsid w:val="00276B56"/>
    <w:rsid w:val="002776A5"/>
    <w:rsid w:val="002800E1"/>
    <w:rsid w:val="00280AA4"/>
    <w:rsid w:val="00280F46"/>
    <w:rsid w:val="00280FB6"/>
    <w:rsid w:val="002819FD"/>
    <w:rsid w:val="00281E0F"/>
    <w:rsid w:val="0028383D"/>
    <w:rsid w:val="0028583A"/>
    <w:rsid w:val="002858CF"/>
    <w:rsid w:val="00285C48"/>
    <w:rsid w:val="00285C73"/>
    <w:rsid w:val="00286C8B"/>
    <w:rsid w:val="00287368"/>
    <w:rsid w:val="00287873"/>
    <w:rsid w:val="00287F82"/>
    <w:rsid w:val="0029006B"/>
    <w:rsid w:val="0029009E"/>
    <w:rsid w:val="002916CC"/>
    <w:rsid w:val="00291830"/>
    <w:rsid w:val="00291F2D"/>
    <w:rsid w:val="0029278C"/>
    <w:rsid w:val="00292E65"/>
    <w:rsid w:val="00293632"/>
    <w:rsid w:val="002938FE"/>
    <w:rsid w:val="002947AF"/>
    <w:rsid w:val="002955C9"/>
    <w:rsid w:val="0029577C"/>
    <w:rsid w:val="002964AE"/>
    <w:rsid w:val="0029697C"/>
    <w:rsid w:val="00296D5F"/>
    <w:rsid w:val="0029733C"/>
    <w:rsid w:val="002979F1"/>
    <w:rsid w:val="00297BF9"/>
    <w:rsid w:val="002A13E1"/>
    <w:rsid w:val="002A3248"/>
    <w:rsid w:val="002A3D08"/>
    <w:rsid w:val="002A68C6"/>
    <w:rsid w:val="002A6992"/>
    <w:rsid w:val="002A6B9F"/>
    <w:rsid w:val="002A7988"/>
    <w:rsid w:val="002A7A95"/>
    <w:rsid w:val="002A7FDD"/>
    <w:rsid w:val="002B0846"/>
    <w:rsid w:val="002B1304"/>
    <w:rsid w:val="002B1B1A"/>
    <w:rsid w:val="002B1F0D"/>
    <w:rsid w:val="002B646C"/>
    <w:rsid w:val="002B64FF"/>
    <w:rsid w:val="002B6F7F"/>
    <w:rsid w:val="002B7698"/>
    <w:rsid w:val="002C0BAF"/>
    <w:rsid w:val="002C0E03"/>
    <w:rsid w:val="002C12B5"/>
    <w:rsid w:val="002C1BA6"/>
    <w:rsid w:val="002C1E6A"/>
    <w:rsid w:val="002C1EBE"/>
    <w:rsid w:val="002C1EDE"/>
    <w:rsid w:val="002C1EEA"/>
    <w:rsid w:val="002C1EFA"/>
    <w:rsid w:val="002C39F7"/>
    <w:rsid w:val="002C4024"/>
    <w:rsid w:val="002C5064"/>
    <w:rsid w:val="002C556B"/>
    <w:rsid w:val="002C5981"/>
    <w:rsid w:val="002C72A1"/>
    <w:rsid w:val="002C7307"/>
    <w:rsid w:val="002D0410"/>
    <w:rsid w:val="002D0899"/>
    <w:rsid w:val="002D0EE1"/>
    <w:rsid w:val="002D1707"/>
    <w:rsid w:val="002D17E2"/>
    <w:rsid w:val="002D1861"/>
    <w:rsid w:val="002D3EA9"/>
    <w:rsid w:val="002D3F5B"/>
    <w:rsid w:val="002D5A03"/>
    <w:rsid w:val="002D6274"/>
    <w:rsid w:val="002D6956"/>
    <w:rsid w:val="002E0CA4"/>
    <w:rsid w:val="002E0EC8"/>
    <w:rsid w:val="002E1963"/>
    <w:rsid w:val="002E22A3"/>
    <w:rsid w:val="002E278F"/>
    <w:rsid w:val="002E3B4D"/>
    <w:rsid w:val="002E3C2C"/>
    <w:rsid w:val="002E524B"/>
    <w:rsid w:val="002E5350"/>
    <w:rsid w:val="002E5BF0"/>
    <w:rsid w:val="002E5EBE"/>
    <w:rsid w:val="002E62EF"/>
    <w:rsid w:val="002E775D"/>
    <w:rsid w:val="002F010E"/>
    <w:rsid w:val="002F0522"/>
    <w:rsid w:val="002F0734"/>
    <w:rsid w:val="002F1571"/>
    <w:rsid w:val="002F2CE1"/>
    <w:rsid w:val="002F3398"/>
    <w:rsid w:val="002F51E8"/>
    <w:rsid w:val="002F70BA"/>
    <w:rsid w:val="0030026A"/>
    <w:rsid w:val="00300A2A"/>
    <w:rsid w:val="003013F3"/>
    <w:rsid w:val="00301934"/>
    <w:rsid w:val="00301975"/>
    <w:rsid w:val="00302012"/>
    <w:rsid w:val="003023F9"/>
    <w:rsid w:val="00302C9A"/>
    <w:rsid w:val="0030393D"/>
    <w:rsid w:val="0030542C"/>
    <w:rsid w:val="00305F2C"/>
    <w:rsid w:val="00306F36"/>
    <w:rsid w:val="00306FBC"/>
    <w:rsid w:val="00307744"/>
    <w:rsid w:val="00307EC9"/>
    <w:rsid w:val="00310418"/>
    <w:rsid w:val="00310A27"/>
    <w:rsid w:val="00311188"/>
    <w:rsid w:val="003111B0"/>
    <w:rsid w:val="00312FCA"/>
    <w:rsid w:val="00312FFC"/>
    <w:rsid w:val="00313EE8"/>
    <w:rsid w:val="00314AAB"/>
    <w:rsid w:val="003150BF"/>
    <w:rsid w:val="003150CE"/>
    <w:rsid w:val="003159A1"/>
    <w:rsid w:val="00315E92"/>
    <w:rsid w:val="00315EAC"/>
    <w:rsid w:val="00320049"/>
    <w:rsid w:val="00320EFD"/>
    <w:rsid w:val="003213CD"/>
    <w:rsid w:val="00321524"/>
    <w:rsid w:val="00321C10"/>
    <w:rsid w:val="00322F72"/>
    <w:rsid w:val="00323B9E"/>
    <w:rsid w:val="00323EE3"/>
    <w:rsid w:val="003243C1"/>
    <w:rsid w:val="00325026"/>
    <w:rsid w:val="0032614C"/>
    <w:rsid w:val="00327CC7"/>
    <w:rsid w:val="00330804"/>
    <w:rsid w:val="00332094"/>
    <w:rsid w:val="00332208"/>
    <w:rsid w:val="00332CA3"/>
    <w:rsid w:val="00333876"/>
    <w:rsid w:val="00334A6B"/>
    <w:rsid w:val="003353CF"/>
    <w:rsid w:val="00335772"/>
    <w:rsid w:val="00335929"/>
    <w:rsid w:val="003366B2"/>
    <w:rsid w:val="003374EB"/>
    <w:rsid w:val="00340066"/>
    <w:rsid w:val="0034122D"/>
    <w:rsid w:val="0034138C"/>
    <w:rsid w:val="00341FA6"/>
    <w:rsid w:val="0034288B"/>
    <w:rsid w:val="0034332B"/>
    <w:rsid w:val="00343545"/>
    <w:rsid w:val="00343798"/>
    <w:rsid w:val="00344156"/>
    <w:rsid w:val="00344164"/>
    <w:rsid w:val="00344A4E"/>
    <w:rsid w:val="00345122"/>
    <w:rsid w:val="00345BAE"/>
    <w:rsid w:val="0034681C"/>
    <w:rsid w:val="0034687A"/>
    <w:rsid w:val="0035199C"/>
    <w:rsid w:val="00351E70"/>
    <w:rsid w:val="00352480"/>
    <w:rsid w:val="003525EA"/>
    <w:rsid w:val="00352935"/>
    <w:rsid w:val="003534CD"/>
    <w:rsid w:val="00353F5F"/>
    <w:rsid w:val="00356A5D"/>
    <w:rsid w:val="003578CA"/>
    <w:rsid w:val="003600A8"/>
    <w:rsid w:val="00361393"/>
    <w:rsid w:val="00361F2A"/>
    <w:rsid w:val="0036284D"/>
    <w:rsid w:val="00363BEA"/>
    <w:rsid w:val="00366524"/>
    <w:rsid w:val="00366DD7"/>
    <w:rsid w:val="00366F7A"/>
    <w:rsid w:val="00367ACA"/>
    <w:rsid w:val="003701E5"/>
    <w:rsid w:val="00371EE5"/>
    <w:rsid w:val="00372A49"/>
    <w:rsid w:val="00373E58"/>
    <w:rsid w:val="00374B52"/>
    <w:rsid w:val="003754BC"/>
    <w:rsid w:val="00376073"/>
    <w:rsid w:val="003762A7"/>
    <w:rsid w:val="00377452"/>
    <w:rsid w:val="00377B42"/>
    <w:rsid w:val="00381223"/>
    <w:rsid w:val="00381849"/>
    <w:rsid w:val="003823A0"/>
    <w:rsid w:val="00382CEC"/>
    <w:rsid w:val="00384415"/>
    <w:rsid w:val="00384E67"/>
    <w:rsid w:val="00384F36"/>
    <w:rsid w:val="00385271"/>
    <w:rsid w:val="00385492"/>
    <w:rsid w:val="003863E2"/>
    <w:rsid w:val="0039008F"/>
    <w:rsid w:val="0039054C"/>
    <w:rsid w:val="00391819"/>
    <w:rsid w:val="00391D83"/>
    <w:rsid w:val="0039226E"/>
    <w:rsid w:val="00392637"/>
    <w:rsid w:val="003929F6"/>
    <w:rsid w:val="00392CC8"/>
    <w:rsid w:val="003935BF"/>
    <w:rsid w:val="00394141"/>
    <w:rsid w:val="0039558C"/>
    <w:rsid w:val="00395755"/>
    <w:rsid w:val="00397708"/>
    <w:rsid w:val="003A06BD"/>
    <w:rsid w:val="003A0A6E"/>
    <w:rsid w:val="003A1507"/>
    <w:rsid w:val="003A1937"/>
    <w:rsid w:val="003A193E"/>
    <w:rsid w:val="003A2017"/>
    <w:rsid w:val="003A2C0E"/>
    <w:rsid w:val="003A3013"/>
    <w:rsid w:val="003A406F"/>
    <w:rsid w:val="003A48CC"/>
    <w:rsid w:val="003A5BCD"/>
    <w:rsid w:val="003A72EF"/>
    <w:rsid w:val="003A74AD"/>
    <w:rsid w:val="003A7E21"/>
    <w:rsid w:val="003B1D08"/>
    <w:rsid w:val="003B2F31"/>
    <w:rsid w:val="003B4EED"/>
    <w:rsid w:val="003B51E5"/>
    <w:rsid w:val="003B54DC"/>
    <w:rsid w:val="003B6B2C"/>
    <w:rsid w:val="003B76B3"/>
    <w:rsid w:val="003C0579"/>
    <w:rsid w:val="003C152A"/>
    <w:rsid w:val="003C2175"/>
    <w:rsid w:val="003C266A"/>
    <w:rsid w:val="003C29D5"/>
    <w:rsid w:val="003C2BC4"/>
    <w:rsid w:val="003C3457"/>
    <w:rsid w:val="003C3D5E"/>
    <w:rsid w:val="003C453C"/>
    <w:rsid w:val="003C47D0"/>
    <w:rsid w:val="003C602A"/>
    <w:rsid w:val="003C673D"/>
    <w:rsid w:val="003C773B"/>
    <w:rsid w:val="003D0831"/>
    <w:rsid w:val="003D1759"/>
    <w:rsid w:val="003D1896"/>
    <w:rsid w:val="003D1A67"/>
    <w:rsid w:val="003D3B14"/>
    <w:rsid w:val="003D4963"/>
    <w:rsid w:val="003D5523"/>
    <w:rsid w:val="003D62F7"/>
    <w:rsid w:val="003D6969"/>
    <w:rsid w:val="003E1035"/>
    <w:rsid w:val="003E17F2"/>
    <w:rsid w:val="003E19F7"/>
    <w:rsid w:val="003E1EB2"/>
    <w:rsid w:val="003E268A"/>
    <w:rsid w:val="003E492C"/>
    <w:rsid w:val="003E710D"/>
    <w:rsid w:val="003E722C"/>
    <w:rsid w:val="003E7A9C"/>
    <w:rsid w:val="003F0E20"/>
    <w:rsid w:val="003F1968"/>
    <w:rsid w:val="003F1CA5"/>
    <w:rsid w:val="003F328F"/>
    <w:rsid w:val="003F3F09"/>
    <w:rsid w:val="003F4C44"/>
    <w:rsid w:val="003F531A"/>
    <w:rsid w:val="003F624F"/>
    <w:rsid w:val="003F7C9E"/>
    <w:rsid w:val="004002D0"/>
    <w:rsid w:val="004014CF"/>
    <w:rsid w:val="0040197F"/>
    <w:rsid w:val="004025E8"/>
    <w:rsid w:val="00402768"/>
    <w:rsid w:val="00403E23"/>
    <w:rsid w:val="00404C36"/>
    <w:rsid w:val="00405308"/>
    <w:rsid w:val="0040558B"/>
    <w:rsid w:val="00405813"/>
    <w:rsid w:val="00405B2A"/>
    <w:rsid w:val="00406F38"/>
    <w:rsid w:val="0040706D"/>
    <w:rsid w:val="004107CA"/>
    <w:rsid w:val="0041080C"/>
    <w:rsid w:val="004111BC"/>
    <w:rsid w:val="004114CB"/>
    <w:rsid w:val="0041215C"/>
    <w:rsid w:val="004125F4"/>
    <w:rsid w:val="004126D4"/>
    <w:rsid w:val="00413931"/>
    <w:rsid w:val="00414703"/>
    <w:rsid w:val="00415D2B"/>
    <w:rsid w:val="00416C0A"/>
    <w:rsid w:val="00416F55"/>
    <w:rsid w:val="004178CD"/>
    <w:rsid w:val="00421088"/>
    <w:rsid w:val="00421435"/>
    <w:rsid w:val="004214C5"/>
    <w:rsid w:val="00421941"/>
    <w:rsid w:val="00421D58"/>
    <w:rsid w:val="00422BBB"/>
    <w:rsid w:val="00422EDE"/>
    <w:rsid w:val="00423B5A"/>
    <w:rsid w:val="00424DE2"/>
    <w:rsid w:val="00425384"/>
    <w:rsid w:val="00426872"/>
    <w:rsid w:val="00426BC3"/>
    <w:rsid w:val="00430247"/>
    <w:rsid w:val="00430798"/>
    <w:rsid w:val="00431E67"/>
    <w:rsid w:val="00432528"/>
    <w:rsid w:val="00432836"/>
    <w:rsid w:val="0043322E"/>
    <w:rsid w:val="0043347A"/>
    <w:rsid w:val="004337F2"/>
    <w:rsid w:val="0043597A"/>
    <w:rsid w:val="00437074"/>
    <w:rsid w:val="004373D1"/>
    <w:rsid w:val="0043778D"/>
    <w:rsid w:val="00441D56"/>
    <w:rsid w:val="00443337"/>
    <w:rsid w:val="00443C49"/>
    <w:rsid w:val="00443DBE"/>
    <w:rsid w:val="004454C2"/>
    <w:rsid w:val="00447347"/>
    <w:rsid w:val="00447EB6"/>
    <w:rsid w:val="00447F33"/>
    <w:rsid w:val="0045020D"/>
    <w:rsid w:val="00450A27"/>
    <w:rsid w:val="00451190"/>
    <w:rsid w:val="00451851"/>
    <w:rsid w:val="004519EA"/>
    <w:rsid w:val="00451EC2"/>
    <w:rsid w:val="00451F75"/>
    <w:rsid w:val="004521C0"/>
    <w:rsid w:val="00454AF4"/>
    <w:rsid w:val="00454FBE"/>
    <w:rsid w:val="00455A5F"/>
    <w:rsid w:val="004566EE"/>
    <w:rsid w:val="00457356"/>
    <w:rsid w:val="004603F0"/>
    <w:rsid w:val="004612F7"/>
    <w:rsid w:val="00463357"/>
    <w:rsid w:val="00463A04"/>
    <w:rsid w:val="00464337"/>
    <w:rsid w:val="004643EA"/>
    <w:rsid w:val="00464AFE"/>
    <w:rsid w:val="00465255"/>
    <w:rsid w:val="00467000"/>
    <w:rsid w:val="004671A7"/>
    <w:rsid w:val="004701A1"/>
    <w:rsid w:val="004720DC"/>
    <w:rsid w:val="00472A17"/>
    <w:rsid w:val="00472BBE"/>
    <w:rsid w:val="00472CDC"/>
    <w:rsid w:val="0047336B"/>
    <w:rsid w:val="00473718"/>
    <w:rsid w:val="00473869"/>
    <w:rsid w:val="0047410E"/>
    <w:rsid w:val="00474355"/>
    <w:rsid w:val="00475598"/>
    <w:rsid w:val="00475E98"/>
    <w:rsid w:val="00476771"/>
    <w:rsid w:val="0048054A"/>
    <w:rsid w:val="0048157C"/>
    <w:rsid w:val="004818E8"/>
    <w:rsid w:val="004822FF"/>
    <w:rsid w:val="00482F67"/>
    <w:rsid w:val="00483006"/>
    <w:rsid w:val="00483297"/>
    <w:rsid w:val="0048335D"/>
    <w:rsid w:val="00484313"/>
    <w:rsid w:val="00484915"/>
    <w:rsid w:val="00485961"/>
    <w:rsid w:val="00486746"/>
    <w:rsid w:val="00487387"/>
    <w:rsid w:val="00487C0D"/>
    <w:rsid w:val="00490B54"/>
    <w:rsid w:val="00490D62"/>
    <w:rsid w:val="00490E50"/>
    <w:rsid w:val="004919FD"/>
    <w:rsid w:val="00491A7D"/>
    <w:rsid w:val="00493569"/>
    <w:rsid w:val="004950D1"/>
    <w:rsid w:val="004956A9"/>
    <w:rsid w:val="0049659D"/>
    <w:rsid w:val="00496962"/>
    <w:rsid w:val="00496BE5"/>
    <w:rsid w:val="004A064E"/>
    <w:rsid w:val="004A06FC"/>
    <w:rsid w:val="004A132C"/>
    <w:rsid w:val="004A3998"/>
    <w:rsid w:val="004A5690"/>
    <w:rsid w:val="004A7FA6"/>
    <w:rsid w:val="004B257C"/>
    <w:rsid w:val="004B26D9"/>
    <w:rsid w:val="004B28A4"/>
    <w:rsid w:val="004B29F2"/>
    <w:rsid w:val="004B2C5E"/>
    <w:rsid w:val="004B3438"/>
    <w:rsid w:val="004B5122"/>
    <w:rsid w:val="004B774B"/>
    <w:rsid w:val="004B7FA1"/>
    <w:rsid w:val="004C02C7"/>
    <w:rsid w:val="004C44AA"/>
    <w:rsid w:val="004C4629"/>
    <w:rsid w:val="004C496D"/>
    <w:rsid w:val="004C4B71"/>
    <w:rsid w:val="004C64D0"/>
    <w:rsid w:val="004C7226"/>
    <w:rsid w:val="004D087E"/>
    <w:rsid w:val="004D08E8"/>
    <w:rsid w:val="004D19DB"/>
    <w:rsid w:val="004D1E88"/>
    <w:rsid w:val="004D2248"/>
    <w:rsid w:val="004D2796"/>
    <w:rsid w:val="004D3065"/>
    <w:rsid w:val="004D30C1"/>
    <w:rsid w:val="004D32BB"/>
    <w:rsid w:val="004D3CD7"/>
    <w:rsid w:val="004D58DE"/>
    <w:rsid w:val="004D63E2"/>
    <w:rsid w:val="004D72E0"/>
    <w:rsid w:val="004D773A"/>
    <w:rsid w:val="004E08AA"/>
    <w:rsid w:val="004E3F30"/>
    <w:rsid w:val="004E46F8"/>
    <w:rsid w:val="004E48B9"/>
    <w:rsid w:val="004E50C8"/>
    <w:rsid w:val="004E5111"/>
    <w:rsid w:val="004E60B6"/>
    <w:rsid w:val="004E629F"/>
    <w:rsid w:val="004E653E"/>
    <w:rsid w:val="004E65F5"/>
    <w:rsid w:val="004E665A"/>
    <w:rsid w:val="004E6800"/>
    <w:rsid w:val="004E7632"/>
    <w:rsid w:val="004E76E6"/>
    <w:rsid w:val="004E7D8A"/>
    <w:rsid w:val="004F0E97"/>
    <w:rsid w:val="004F1F5A"/>
    <w:rsid w:val="004F2D77"/>
    <w:rsid w:val="004F3C00"/>
    <w:rsid w:val="004F3E28"/>
    <w:rsid w:val="004F4488"/>
    <w:rsid w:val="004F583B"/>
    <w:rsid w:val="004F5C1A"/>
    <w:rsid w:val="004F621F"/>
    <w:rsid w:val="004F640F"/>
    <w:rsid w:val="004F66EE"/>
    <w:rsid w:val="004F6DB9"/>
    <w:rsid w:val="004F7811"/>
    <w:rsid w:val="00500352"/>
    <w:rsid w:val="00500552"/>
    <w:rsid w:val="0050077A"/>
    <w:rsid w:val="00502EAE"/>
    <w:rsid w:val="00503466"/>
    <w:rsid w:val="00503715"/>
    <w:rsid w:val="00503A1B"/>
    <w:rsid w:val="00504F6E"/>
    <w:rsid w:val="0050500F"/>
    <w:rsid w:val="00505279"/>
    <w:rsid w:val="00505BA4"/>
    <w:rsid w:val="005063E1"/>
    <w:rsid w:val="00506B07"/>
    <w:rsid w:val="00507CC5"/>
    <w:rsid w:val="0051131A"/>
    <w:rsid w:val="00511932"/>
    <w:rsid w:val="0051239B"/>
    <w:rsid w:val="005124BA"/>
    <w:rsid w:val="00512D14"/>
    <w:rsid w:val="00513017"/>
    <w:rsid w:val="00513328"/>
    <w:rsid w:val="00513385"/>
    <w:rsid w:val="00514663"/>
    <w:rsid w:val="0051517B"/>
    <w:rsid w:val="00515642"/>
    <w:rsid w:val="00516BBB"/>
    <w:rsid w:val="00517981"/>
    <w:rsid w:val="005179BF"/>
    <w:rsid w:val="00521418"/>
    <w:rsid w:val="0052186B"/>
    <w:rsid w:val="00521973"/>
    <w:rsid w:val="00521BAF"/>
    <w:rsid w:val="00523E83"/>
    <w:rsid w:val="005248BB"/>
    <w:rsid w:val="0052556A"/>
    <w:rsid w:val="00526760"/>
    <w:rsid w:val="005271E5"/>
    <w:rsid w:val="00527515"/>
    <w:rsid w:val="005308A5"/>
    <w:rsid w:val="005314B9"/>
    <w:rsid w:val="005314E9"/>
    <w:rsid w:val="00531723"/>
    <w:rsid w:val="005318CE"/>
    <w:rsid w:val="00531DEF"/>
    <w:rsid w:val="0053275E"/>
    <w:rsid w:val="00533157"/>
    <w:rsid w:val="0053324F"/>
    <w:rsid w:val="005344C5"/>
    <w:rsid w:val="005345A9"/>
    <w:rsid w:val="00534663"/>
    <w:rsid w:val="005348BF"/>
    <w:rsid w:val="005354B3"/>
    <w:rsid w:val="00535F83"/>
    <w:rsid w:val="00536003"/>
    <w:rsid w:val="00536073"/>
    <w:rsid w:val="00536174"/>
    <w:rsid w:val="005364C6"/>
    <w:rsid w:val="00537FD5"/>
    <w:rsid w:val="00541E10"/>
    <w:rsid w:val="00541EF9"/>
    <w:rsid w:val="0054232D"/>
    <w:rsid w:val="005431CF"/>
    <w:rsid w:val="00543BEB"/>
    <w:rsid w:val="00543D0A"/>
    <w:rsid w:val="00544EFB"/>
    <w:rsid w:val="005454F3"/>
    <w:rsid w:val="005455E5"/>
    <w:rsid w:val="00545EB4"/>
    <w:rsid w:val="0054681B"/>
    <w:rsid w:val="0054779A"/>
    <w:rsid w:val="00547BA1"/>
    <w:rsid w:val="00550844"/>
    <w:rsid w:val="005549EB"/>
    <w:rsid w:val="00556101"/>
    <w:rsid w:val="00557CB1"/>
    <w:rsid w:val="00560337"/>
    <w:rsid w:val="0056072C"/>
    <w:rsid w:val="0056091E"/>
    <w:rsid w:val="00561371"/>
    <w:rsid w:val="0056172D"/>
    <w:rsid w:val="00562B92"/>
    <w:rsid w:val="005635F3"/>
    <w:rsid w:val="00563F1B"/>
    <w:rsid w:val="0056411C"/>
    <w:rsid w:val="00564A0D"/>
    <w:rsid w:val="00565B4C"/>
    <w:rsid w:val="005663FF"/>
    <w:rsid w:val="005670EA"/>
    <w:rsid w:val="005677E5"/>
    <w:rsid w:val="00567A1B"/>
    <w:rsid w:val="00567B81"/>
    <w:rsid w:val="00567C88"/>
    <w:rsid w:val="00570D24"/>
    <w:rsid w:val="00570EFF"/>
    <w:rsid w:val="005711FF"/>
    <w:rsid w:val="005713F8"/>
    <w:rsid w:val="00572958"/>
    <w:rsid w:val="00572D0C"/>
    <w:rsid w:val="00574C1A"/>
    <w:rsid w:val="00575B42"/>
    <w:rsid w:val="005767B6"/>
    <w:rsid w:val="005769F0"/>
    <w:rsid w:val="00576C0F"/>
    <w:rsid w:val="00577445"/>
    <w:rsid w:val="005776F1"/>
    <w:rsid w:val="00577891"/>
    <w:rsid w:val="00577E4E"/>
    <w:rsid w:val="00580ABF"/>
    <w:rsid w:val="00580EEB"/>
    <w:rsid w:val="00580FCF"/>
    <w:rsid w:val="00581B09"/>
    <w:rsid w:val="005827FD"/>
    <w:rsid w:val="00582821"/>
    <w:rsid w:val="00583673"/>
    <w:rsid w:val="00583D08"/>
    <w:rsid w:val="00584936"/>
    <w:rsid w:val="00586273"/>
    <w:rsid w:val="00586BFA"/>
    <w:rsid w:val="00587BE7"/>
    <w:rsid w:val="00587CBC"/>
    <w:rsid w:val="0059150C"/>
    <w:rsid w:val="00593677"/>
    <w:rsid w:val="00595DF1"/>
    <w:rsid w:val="00596524"/>
    <w:rsid w:val="0059679B"/>
    <w:rsid w:val="00596860"/>
    <w:rsid w:val="00597D35"/>
    <w:rsid w:val="005A02DA"/>
    <w:rsid w:val="005A09F7"/>
    <w:rsid w:val="005A0BFC"/>
    <w:rsid w:val="005A2B2F"/>
    <w:rsid w:val="005A2D8F"/>
    <w:rsid w:val="005A3842"/>
    <w:rsid w:val="005A3BD4"/>
    <w:rsid w:val="005A460A"/>
    <w:rsid w:val="005A4A36"/>
    <w:rsid w:val="005A600C"/>
    <w:rsid w:val="005A6D6D"/>
    <w:rsid w:val="005A7264"/>
    <w:rsid w:val="005A7301"/>
    <w:rsid w:val="005A7D87"/>
    <w:rsid w:val="005A7F95"/>
    <w:rsid w:val="005B0971"/>
    <w:rsid w:val="005B1601"/>
    <w:rsid w:val="005B1DDA"/>
    <w:rsid w:val="005B2060"/>
    <w:rsid w:val="005B3197"/>
    <w:rsid w:val="005B3AD7"/>
    <w:rsid w:val="005B4263"/>
    <w:rsid w:val="005B4CFC"/>
    <w:rsid w:val="005B58B0"/>
    <w:rsid w:val="005B6E0D"/>
    <w:rsid w:val="005B7663"/>
    <w:rsid w:val="005C0298"/>
    <w:rsid w:val="005C0769"/>
    <w:rsid w:val="005C0F48"/>
    <w:rsid w:val="005C327F"/>
    <w:rsid w:val="005C360A"/>
    <w:rsid w:val="005C4EA9"/>
    <w:rsid w:val="005C6858"/>
    <w:rsid w:val="005C789E"/>
    <w:rsid w:val="005C7EE9"/>
    <w:rsid w:val="005D005F"/>
    <w:rsid w:val="005D04F8"/>
    <w:rsid w:val="005D0773"/>
    <w:rsid w:val="005D1122"/>
    <w:rsid w:val="005D14C7"/>
    <w:rsid w:val="005D221C"/>
    <w:rsid w:val="005D255A"/>
    <w:rsid w:val="005D2A43"/>
    <w:rsid w:val="005D2EA6"/>
    <w:rsid w:val="005D3CDC"/>
    <w:rsid w:val="005D575A"/>
    <w:rsid w:val="005D5BC4"/>
    <w:rsid w:val="005D5C44"/>
    <w:rsid w:val="005D6EA0"/>
    <w:rsid w:val="005E3188"/>
    <w:rsid w:val="005E46DB"/>
    <w:rsid w:val="005E58AE"/>
    <w:rsid w:val="005E6AA7"/>
    <w:rsid w:val="005E76E2"/>
    <w:rsid w:val="005E77DB"/>
    <w:rsid w:val="005E7B36"/>
    <w:rsid w:val="005F02E6"/>
    <w:rsid w:val="005F050A"/>
    <w:rsid w:val="005F10F1"/>
    <w:rsid w:val="005F1215"/>
    <w:rsid w:val="005F1911"/>
    <w:rsid w:val="005F272F"/>
    <w:rsid w:val="005F2CBA"/>
    <w:rsid w:val="005F3216"/>
    <w:rsid w:val="005F4273"/>
    <w:rsid w:val="005F451C"/>
    <w:rsid w:val="005F4DFE"/>
    <w:rsid w:val="005F4EF9"/>
    <w:rsid w:val="005F5524"/>
    <w:rsid w:val="005F65DA"/>
    <w:rsid w:val="006005C9"/>
    <w:rsid w:val="006015AE"/>
    <w:rsid w:val="006017B1"/>
    <w:rsid w:val="006026BD"/>
    <w:rsid w:val="0060417E"/>
    <w:rsid w:val="00604ED8"/>
    <w:rsid w:val="006053C8"/>
    <w:rsid w:val="00605DDA"/>
    <w:rsid w:val="0060601D"/>
    <w:rsid w:val="00606178"/>
    <w:rsid w:val="00606448"/>
    <w:rsid w:val="0060685F"/>
    <w:rsid w:val="00606951"/>
    <w:rsid w:val="00606958"/>
    <w:rsid w:val="00606B84"/>
    <w:rsid w:val="00607066"/>
    <w:rsid w:val="00607197"/>
    <w:rsid w:val="00607A16"/>
    <w:rsid w:val="00607B67"/>
    <w:rsid w:val="006109F8"/>
    <w:rsid w:val="0061106A"/>
    <w:rsid w:val="0061349A"/>
    <w:rsid w:val="00613535"/>
    <w:rsid w:val="006147EA"/>
    <w:rsid w:val="00615B37"/>
    <w:rsid w:val="00615CA5"/>
    <w:rsid w:val="0061605D"/>
    <w:rsid w:val="006200F8"/>
    <w:rsid w:val="006222F8"/>
    <w:rsid w:val="00623075"/>
    <w:rsid w:val="0062360E"/>
    <w:rsid w:val="00623910"/>
    <w:rsid w:val="00623E07"/>
    <w:rsid w:val="00624A27"/>
    <w:rsid w:val="00624D6B"/>
    <w:rsid w:val="00624D74"/>
    <w:rsid w:val="0062558B"/>
    <w:rsid w:val="00625EB9"/>
    <w:rsid w:val="0062716D"/>
    <w:rsid w:val="0062788C"/>
    <w:rsid w:val="006278C9"/>
    <w:rsid w:val="00627AF2"/>
    <w:rsid w:val="0063087A"/>
    <w:rsid w:val="00630AF9"/>
    <w:rsid w:val="00630EB3"/>
    <w:rsid w:val="00632390"/>
    <w:rsid w:val="00632BF6"/>
    <w:rsid w:val="00632F94"/>
    <w:rsid w:val="0063632F"/>
    <w:rsid w:val="0063720B"/>
    <w:rsid w:val="00640563"/>
    <w:rsid w:val="00640E38"/>
    <w:rsid w:val="00641BAD"/>
    <w:rsid w:val="00643483"/>
    <w:rsid w:val="00644870"/>
    <w:rsid w:val="006450B5"/>
    <w:rsid w:val="00645705"/>
    <w:rsid w:val="00645F4E"/>
    <w:rsid w:val="00646677"/>
    <w:rsid w:val="00646864"/>
    <w:rsid w:val="00646F6B"/>
    <w:rsid w:val="0065016B"/>
    <w:rsid w:val="00650C56"/>
    <w:rsid w:val="00652556"/>
    <w:rsid w:val="00652858"/>
    <w:rsid w:val="006558DC"/>
    <w:rsid w:val="00656334"/>
    <w:rsid w:val="0065673F"/>
    <w:rsid w:val="00656A0C"/>
    <w:rsid w:val="00656B27"/>
    <w:rsid w:val="00657F8B"/>
    <w:rsid w:val="00660401"/>
    <w:rsid w:val="006615A2"/>
    <w:rsid w:val="006618FC"/>
    <w:rsid w:val="00662AC0"/>
    <w:rsid w:val="00663080"/>
    <w:rsid w:val="00663D00"/>
    <w:rsid w:val="00663E86"/>
    <w:rsid w:val="00664CF6"/>
    <w:rsid w:val="00667466"/>
    <w:rsid w:val="00667B62"/>
    <w:rsid w:val="00670894"/>
    <w:rsid w:val="00671B7E"/>
    <w:rsid w:val="00671D1C"/>
    <w:rsid w:val="006726CA"/>
    <w:rsid w:val="00672FF8"/>
    <w:rsid w:val="00673F60"/>
    <w:rsid w:val="00674DA8"/>
    <w:rsid w:val="006761A1"/>
    <w:rsid w:val="00676333"/>
    <w:rsid w:val="006767BC"/>
    <w:rsid w:val="0067738E"/>
    <w:rsid w:val="0067759B"/>
    <w:rsid w:val="0067759D"/>
    <w:rsid w:val="00680627"/>
    <w:rsid w:val="00681284"/>
    <w:rsid w:val="00681D75"/>
    <w:rsid w:val="0068242E"/>
    <w:rsid w:val="00682EEC"/>
    <w:rsid w:val="006834E1"/>
    <w:rsid w:val="00683734"/>
    <w:rsid w:val="00684422"/>
    <w:rsid w:val="00684BAF"/>
    <w:rsid w:val="0068563B"/>
    <w:rsid w:val="00686CED"/>
    <w:rsid w:val="00687B2F"/>
    <w:rsid w:val="00687F25"/>
    <w:rsid w:val="00690FCD"/>
    <w:rsid w:val="006917D8"/>
    <w:rsid w:val="0069185F"/>
    <w:rsid w:val="00691AC4"/>
    <w:rsid w:val="00691AD1"/>
    <w:rsid w:val="0069441A"/>
    <w:rsid w:val="00694FD1"/>
    <w:rsid w:val="0069567E"/>
    <w:rsid w:val="00695D72"/>
    <w:rsid w:val="00696E48"/>
    <w:rsid w:val="00696EBB"/>
    <w:rsid w:val="00697707"/>
    <w:rsid w:val="006A004E"/>
    <w:rsid w:val="006A0797"/>
    <w:rsid w:val="006A0D2A"/>
    <w:rsid w:val="006A1F10"/>
    <w:rsid w:val="006A31EB"/>
    <w:rsid w:val="006A4440"/>
    <w:rsid w:val="006A4B1A"/>
    <w:rsid w:val="006A4D4E"/>
    <w:rsid w:val="006A4FED"/>
    <w:rsid w:val="006A5B20"/>
    <w:rsid w:val="006A61E8"/>
    <w:rsid w:val="006A7978"/>
    <w:rsid w:val="006B076E"/>
    <w:rsid w:val="006B5441"/>
    <w:rsid w:val="006B630A"/>
    <w:rsid w:val="006B7C24"/>
    <w:rsid w:val="006C11D8"/>
    <w:rsid w:val="006C1577"/>
    <w:rsid w:val="006C1802"/>
    <w:rsid w:val="006C1A37"/>
    <w:rsid w:val="006C1DAA"/>
    <w:rsid w:val="006C2B01"/>
    <w:rsid w:val="006C3B21"/>
    <w:rsid w:val="006C3F09"/>
    <w:rsid w:val="006C5ACD"/>
    <w:rsid w:val="006C6300"/>
    <w:rsid w:val="006C664B"/>
    <w:rsid w:val="006C791A"/>
    <w:rsid w:val="006D1031"/>
    <w:rsid w:val="006D1453"/>
    <w:rsid w:val="006D1544"/>
    <w:rsid w:val="006D301C"/>
    <w:rsid w:val="006D36B7"/>
    <w:rsid w:val="006D38A6"/>
    <w:rsid w:val="006D393F"/>
    <w:rsid w:val="006D3A49"/>
    <w:rsid w:val="006D4EE1"/>
    <w:rsid w:val="006D53BE"/>
    <w:rsid w:val="006D5633"/>
    <w:rsid w:val="006D5F25"/>
    <w:rsid w:val="006D6820"/>
    <w:rsid w:val="006D686D"/>
    <w:rsid w:val="006D7AF1"/>
    <w:rsid w:val="006E061F"/>
    <w:rsid w:val="006E0C71"/>
    <w:rsid w:val="006E0E9D"/>
    <w:rsid w:val="006E16F1"/>
    <w:rsid w:val="006E1B7A"/>
    <w:rsid w:val="006E359B"/>
    <w:rsid w:val="006E503F"/>
    <w:rsid w:val="006E6240"/>
    <w:rsid w:val="006E745E"/>
    <w:rsid w:val="006E75BF"/>
    <w:rsid w:val="006E760A"/>
    <w:rsid w:val="006E78D7"/>
    <w:rsid w:val="006E7E3D"/>
    <w:rsid w:val="006F09B5"/>
    <w:rsid w:val="006F1349"/>
    <w:rsid w:val="006F1A18"/>
    <w:rsid w:val="006F201F"/>
    <w:rsid w:val="006F2C03"/>
    <w:rsid w:val="006F33BE"/>
    <w:rsid w:val="006F3BCD"/>
    <w:rsid w:val="006F48B3"/>
    <w:rsid w:val="006F48B8"/>
    <w:rsid w:val="006F4ACE"/>
    <w:rsid w:val="006F5233"/>
    <w:rsid w:val="006F52E8"/>
    <w:rsid w:val="006F553C"/>
    <w:rsid w:val="006F5924"/>
    <w:rsid w:val="006F6147"/>
    <w:rsid w:val="006F6258"/>
    <w:rsid w:val="006F631E"/>
    <w:rsid w:val="006F65AF"/>
    <w:rsid w:val="006F65E1"/>
    <w:rsid w:val="006F72DA"/>
    <w:rsid w:val="006F7F8E"/>
    <w:rsid w:val="00700698"/>
    <w:rsid w:val="00701552"/>
    <w:rsid w:val="00701D8F"/>
    <w:rsid w:val="007029F0"/>
    <w:rsid w:val="00703323"/>
    <w:rsid w:val="0070374B"/>
    <w:rsid w:val="00704C09"/>
    <w:rsid w:val="00704FDE"/>
    <w:rsid w:val="00705373"/>
    <w:rsid w:val="00705448"/>
    <w:rsid w:val="00705ABB"/>
    <w:rsid w:val="00706C50"/>
    <w:rsid w:val="00707386"/>
    <w:rsid w:val="0070743F"/>
    <w:rsid w:val="00710B52"/>
    <w:rsid w:val="007122EC"/>
    <w:rsid w:val="00712382"/>
    <w:rsid w:val="00713A2A"/>
    <w:rsid w:val="00714504"/>
    <w:rsid w:val="00714F74"/>
    <w:rsid w:val="0071652A"/>
    <w:rsid w:val="0071742A"/>
    <w:rsid w:val="0071756B"/>
    <w:rsid w:val="0072035A"/>
    <w:rsid w:val="00723CBF"/>
    <w:rsid w:val="007240DF"/>
    <w:rsid w:val="007240E3"/>
    <w:rsid w:val="00724E70"/>
    <w:rsid w:val="00727356"/>
    <w:rsid w:val="0072774C"/>
    <w:rsid w:val="00730E8F"/>
    <w:rsid w:val="00731118"/>
    <w:rsid w:val="00731912"/>
    <w:rsid w:val="00731D48"/>
    <w:rsid w:val="0073251E"/>
    <w:rsid w:val="0073277D"/>
    <w:rsid w:val="00732FEA"/>
    <w:rsid w:val="007336C8"/>
    <w:rsid w:val="00733D9F"/>
    <w:rsid w:val="007341C6"/>
    <w:rsid w:val="00734484"/>
    <w:rsid w:val="00734C3C"/>
    <w:rsid w:val="00736EA6"/>
    <w:rsid w:val="007372E0"/>
    <w:rsid w:val="00742076"/>
    <w:rsid w:val="00742B7A"/>
    <w:rsid w:val="007430F9"/>
    <w:rsid w:val="00743BB3"/>
    <w:rsid w:val="0074459B"/>
    <w:rsid w:val="00745136"/>
    <w:rsid w:val="007453EA"/>
    <w:rsid w:val="007456BD"/>
    <w:rsid w:val="00745A15"/>
    <w:rsid w:val="00745DD2"/>
    <w:rsid w:val="007468D4"/>
    <w:rsid w:val="007472B3"/>
    <w:rsid w:val="00750432"/>
    <w:rsid w:val="00751354"/>
    <w:rsid w:val="007530B5"/>
    <w:rsid w:val="007549C1"/>
    <w:rsid w:val="00755816"/>
    <w:rsid w:val="00755BB1"/>
    <w:rsid w:val="0075645B"/>
    <w:rsid w:val="00756909"/>
    <w:rsid w:val="00756B69"/>
    <w:rsid w:val="00756CCA"/>
    <w:rsid w:val="007578BB"/>
    <w:rsid w:val="00757BEB"/>
    <w:rsid w:val="00760D10"/>
    <w:rsid w:val="00760F9E"/>
    <w:rsid w:val="00762108"/>
    <w:rsid w:val="00762BF1"/>
    <w:rsid w:val="0076345D"/>
    <w:rsid w:val="0076446C"/>
    <w:rsid w:val="0076509F"/>
    <w:rsid w:val="00765F95"/>
    <w:rsid w:val="00770253"/>
    <w:rsid w:val="00770807"/>
    <w:rsid w:val="00770E38"/>
    <w:rsid w:val="00770F89"/>
    <w:rsid w:val="00771466"/>
    <w:rsid w:val="00771A55"/>
    <w:rsid w:val="0077329F"/>
    <w:rsid w:val="0077352E"/>
    <w:rsid w:val="00773BCB"/>
    <w:rsid w:val="00774916"/>
    <w:rsid w:val="00774B01"/>
    <w:rsid w:val="00774D17"/>
    <w:rsid w:val="007751DE"/>
    <w:rsid w:val="00775E26"/>
    <w:rsid w:val="00776054"/>
    <w:rsid w:val="00776499"/>
    <w:rsid w:val="007767BA"/>
    <w:rsid w:val="00776927"/>
    <w:rsid w:val="00776AF1"/>
    <w:rsid w:val="00776F53"/>
    <w:rsid w:val="00777A9D"/>
    <w:rsid w:val="00777E02"/>
    <w:rsid w:val="007810AB"/>
    <w:rsid w:val="0078133D"/>
    <w:rsid w:val="0078159C"/>
    <w:rsid w:val="00781A87"/>
    <w:rsid w:val="00781CF7"/>
    <w:rsid w:val="00781E34"/>
    <w:rsid w:val="00782C59"/>
    <w:rsid w:val="00783B43"/>
    <w:rsid w:val="0078516D"/>
    <w:rsid w:val="00785785"/>
    <w:rsid w:val="00786447"/>
    <w:rsid w:val="007865E8"/>
    <w:rsid w:val="0078681C"/>
    <w:rsid w:val="00786A92"/>
    <w:rsid w:val="00787D98"/>
    <w:rsid w:val="00791733"/>
    <w:rsid w:val="00791A6D"/>
    <w:rsid w:val="00791DED"/>
    <w:rsid w:val="00792AA8"/>
    <w:rsid w:val="007934C6"/>
    <w:rsid w:val="00793AAE"/>
    <w:rsid w:val="00794972"/>
    <w:rsid w:val="00794E6C"/>
    <w:rsid w:val="00794E99"/>
    <w:rsid w:val="00795B2D"/>
    <w:rsid w:val="00795C2E"/>
    <w:rsid w:val="00796024"/>
    <w:rsid w:val="00796750"/>
    <w:rsid w:val="00796EE1"/>
    <w:rsid w:val="00796EE7"/>
    <w:rsid w:val="00797022"/>
    <w:rsid w:val="00797FF6"/>
    <w:rsid w:val="007A0081"/>
    <w:rsid w:val="007A0664"/>
    <w:rsid w:val="007A1B9C"/>
    <w:rsid w:val="007A3ABE"/>
    <w:rsid w:val="007A4CB0"/>
    <w:rsid w:val="007A5136"/>
    <w:rsid w:val="007A5B52"/>
    <w:rsid w:val="007A60F8"/>
    <w:rsid w:val="007A62C3"/>
    <w:rsid w:val="007A645F"/>
    <w:rsid w:val="007A6FEB"/>
    <w:rsid w:val="007A7FB4"/>
    <w:rsid w:val="007B18F7"/>
    <w:rsid w:val="007B1B7D"/>
    <w:rsid w:val="007B2DAB"/>
    <w:rsid w:val="007B341B"/>
    <w:rsid w:val="007B4102"/>
    <w:rsid w:val="007B4F3E"/>
    <w:rsid w:val="007B5001"/>
    <w:rsid w:val="007B568C"/>
    <w:rsid w:val="007B5791"/>
    <w:rsid w:val="007B5DE5"/>
    <w:rsid w:val="007B607E"/>
    <w:rsid w:val="007B61F3"/>
    <w:rsid w:val="007B651A"/>
    <w:rsid w:val="007B6648"/>
    <w:rsid w:val="007B6669"/>
    <w:rsid w:val="007B7395"/>
    <w:rsid w:val="007B79FD"/>
    <w:rsid w:val="007C0E0C"/>
    <w:rsid w:val="007C1567"/>
    <w:rsid w:val="007C15E8"/>
    <w:rsid w:val="007C311B"/>
    <w:rsid w:val="007C3D49"/>
    <w:rsid w:val="007C462E"/>
    <w:rsid w:val="007C506B"/>
    <w:rsid w:val="007C5EF5"/>
    <w:rsid w:val="007C6A1C"/>
    <w:rsid w:val="007C7A43"/>
    <w:rsid w:val="007D026E"/>
    <w:rsid w:val="007D0986"/>
    <w:rsid w:val="007D252C"/>
    <w:rsid w:val="007D2E3A"/>
    <w:rsid w:val="007D3669"/>
    <w:rsid w:val="007D3A54"/>
    <w:rsid w:val="007D3C1F"/>
    <w:rsid w:val="007D3E89"/>
    <w:rsid w:val="007D59A7"/>
    <w:rsid w:val="007D6220"/>
    <w:rsid w:val="007D690A"/>
    <w:rsid w:val="007D698B"/>
    <w:rsid w:val="007D7BB6"/>
    <w:rsid w:val="007E1AC5"/>
    <w:rsid w:val="007E34EE"/>
    <w:rsid w:val="007E4DE3"/>
    <w:rsid w:val="007E5111"/>
    <w:rsid w:val="007E5D35"/>
    <w:rsid w:val="007E7D07"/>
    <w:rsid w:val="007F0545"/>
    <w:rsid w:val="007F0FB6"/>
    <w:rsid w:val="007F13E7"/>
    <w:rsid w:val="007F34F1"/>
    <w:rsid w:val="007F380B"/>
    <w:rsid w:val="007F39FD"/>
    <w:rsid w:val="007F50A6"/>
    <w:rsid w:val="007F52A6"/>
    <w:rsid w:val="007F5708"/>
    <w:rsid w:val="007F5789"/>
    <w:rsid w:val="007F66A6"/>
    <w:rsid w:val="007F68DA"/>
    <w:rsid w:val="007F7993"/>
    <w:rsid w:val="007F7C54"/>
    <w:rsid w:val="008004E7"/>
    <w:rsid w:val="00800EAB"/>
    <w:rsid w:val="00801DCC"/>
    <w:rsid w:val="008026A3"/>
    <w:rsid w:val="0080276C"/>
    <w:rsid w:val="00802FA6"/>
    <w:rsid w:val="0080316B"/>
    <w:rsid w:val="008037EC"/>
    <w:rsid w:val="00803C58"/>
    <w:rsid w:val="008052D5"/>
    <w:rsid w:val="00805343"/>
    <w:rsid w:val="008055F6"/>
    <w:rsid w:val="008060C8"/>
    <w:rsid w:val="0080693E"/>
    <w:rsid w:val="008079E2"/>
    <w:rsid w:val="00810B69"/>
    <w:rsid w:val="00810F5C"/>
    <w:rsid w:val="008116EB"/>
    <w:rsid w:val="0081235D"/>
    <w:rsid w:val="00812723"/>
    <w:rsid w:val="00812907"/>
    <w:rsid w:val="00812969"/>
    <w:rsid w:val="00813B63"/>
    <w:rsid w:val="00814A6A"/>
    <w:rsid w:val="00814ED4"/>
    <w:rsid w:val="008152E3"/>
    <w:rsid w:val="0081557C"/>
    <w:rsid w:val="008159B1"/>
    <w:rsid w:val="00816A03"/>
    <w:rsid w:val="008177AD"/>
    <w:rsid w:val="008179A7"/>
    <w:rsid w:val="008200AA"/>
    <w:rsid w:val="00820282"/>
    <w:rsid w:val="00820651"/>
    <w:rsid w:val="008207EA"/>
    <w:rsid w:val="0082117F"/>
    <w:rsid w:val="00823043"/>
    <w:rsid w:val="008231FC"/>
    <w:rsid w:val="00824DC1"/>
    <w:rsid w:val="0082619C"/>
    <w:rsid w:val="00826A32"/>
    <w:rsid w:val="00831A0D"/>
    <w:rsid w:val="00831BE4"/>
    <w:rsid w:val="00831C6A"/>
    <w:rsid w:val="00833D11"/>
    <w:rsid w:val="00834185"/>
    <w:rsid w:val="00835B3F"/>
    <w:rsid w:val="008362DB"/>
    <w:rsid w:val="00836AD2"/>
    <w:rsid w:val="00837457"/>
    <w:rsid w:val="008375CC"/>
    <w:rsid w:val="00840F27"/>
    <w:rsid w:val="008415CC"/>
    <w:rsid w:val="00841775"/>
    <w:rsid w:val="008417E0"/>
    <w:rsid w:val="008427FE"/>
    <w:rsid w:val="0084282C"/>
    <w:rsid w:val="00842862"/>
    <w:rsid w:val="00844730"/>
    <w:rsid w:val="00844A64"/>
    <w:rsid w:val="00845199"/>
    <w:rsid w:val="0084654F"/>
    <w:rsid w:val="00846778"/>
    <w:rsid w:val="00846D83"/>
    <w:rsid w:val="00847DFE"/>
    <w:rsid w:val="008505C7"/>
    <w:rsid w:val="00850EC1"/>
    <w:rsid w:val="00851111"/>
    <w:rsid w:val="008525CF"/>
    <w:rsid w:val="00853435"/>
    <w:rsid w:val="008538E2"/>
    <w:rsid w:val="008542CC"/>
    <w:rsid w:val="00854A5D"/>
    <w:rsid w:val="0085696E"/>
    <w:rsid w:val="00857194"/>
    <w:rsid w:val="00860060"/>
    <w:rsid w:val="00860973"/>
    <w:rsid w:val="00860B77"/>
    <w:rsid w:val="00861414"/>
    <w:rsid w:val="0086183E"/>
    <w:rsid w:val="008621CB"/>
    <w:rsid w:val="008623A4"/>
    <w:rsid w:val="008648AB"/>
    <w:rsid w:val="008648B5"/>
    <w:rsid w:val="00865A78"/>
    <w:rsid w:val="0086641A"/>
    <w:rsid w:val="00866944"/>
    <w:rsid w:val="00867575"/>
    <w:rsid w:val="00867F10"/>
    <w:rsid w:val="00867F68"/>
    <w:rsid w:val="00872C3D"/>
    <w:rsid w:val="008737D3"/>
    <w:rsid w:val="00873E0E"/>
    <w:rsid w:val="0087511C"/>
    <w:rsid w:val="00875C75"/>
    <w:rsid w:val="00876EF8"/>
    <w:rsid w:val="00877CBF"/>
    <w:rsid w:val="008808C4"/>
    <w:rsid w:val="00882862"/>
    <w:rsid w:val="00882D30"/>
    <w:rsid w:val="00882D53"/>
    <w:rsid w:val="00883437"/>
    <w:rsid w:val="008834C5"/>
    <w:rsid w:val="00883576"/>
    <w:rsid w:val="00883C24"/>
    <w:rsid w:val="00883F67"/>
    <w:rsid w:val="008853F8"/>
    <w:rsid w:val="00886773"/>
    <w:rsid w:val="00887D52"/>
    <w:rsid w:val="00891385"/>
    <w:rsid w:val="00892D2A"/>
    <w:rsid w:val="008935E2"/>
    <w:rsid w:val="008938E9"/>
    <w:rsid w:val="008953BD"/>
    <w:rsid w:val="00897BBD"/>
    <w:rsid w:val="008A028E"/>
    <w:rsid w:val="008A2145"/>
    <w:rsid w:val="008A22DF"/>
    <w:rsid w:val="008A2DF1"/>
    <w:rsid w:val="008A4628"/>
    <w:rsid w:val="008A4B3D"/>
    <w:rsid w:val="008A69BA"/>
    <w:rsid w:val="008A6DF1"/>
    <w:rsid w:val="008A7091"/>
    <w:rsid w:val="008A7835"/>
    <w:rsid w:val="008B0EF2"/>
    <w:rsid w:val="008B1AB2"/>
    <w:rsid w:val="008B2710"/>
    <w:rsid w:val="008B2ED0"/>
    <w:rsid w:val="008B47CB"/>
    <w:rsid w:val="008B50DA"/>
    <w:rsid w:val="008B6A6C"/>
    <w:rsid w:val="008B6D24"/>
    <w:rsid w:val="008C03F9"/>
    <w:rsid w:val="008C15BB"/>
    <w:rsid w:val="008C2439"/>
    <w:rsid w:val="008C28E5"/>
    <w:rsid w:val="008C4C28"/>
    <w:rsid w:val="008C4E5F"/>
    <w:rsid w:val="008C57F8"/>
    <w:rsid w:val="008C6886"/>
    <w:rsid w:val="008C6C82"/>
    <w:rsid w:val="008C7380"/>
    <w:rsid w:val="008C75CA"/>
    <w:rsid w:val="008D15F7"/>
    <w:rsid w:val="008D1FDE"/>
    <w:rsid w:val="008D280A"/>
    <w:rsid w:val="008D30DC"/>
    <w:rsid w:val="008D351D"/>
    <w:rsid w:val="008D365C"/>
    <w:rsid w:val="008D59D7"/>
    <w:rsid w:val="008D7417"/>
    <w:rsid w:val="008D75D7"/>
    <w:rsid w:val="008E150F"/>
    <w:rsid w:val="008E1C45"/>
    <w:rsid w:val="008E22A2"/>
    <w:rsid w:val="008E242E"/>
    <w:rsid w:val="008E2654"/>
    <w:rsid w:val="008E4884"/>
    <w:rsid w:val="008E4F72"/>
    <w:rsid w:val="008E54A4"/>
    <w:rsid w:val="008E6327"/>
    <w:rsid w:val="008E647B"/>
    <w:rsid w:val="008E7299"/>
    <w:rsid w:val="008E7B61"/>
    <w:rsid w:val="008E7EEC"/>
    <w:rsid w:val="008F00AB"/>
    <w:rsid w:val="008F2518"/>
    <w:rsid w:val="008F2729"/>
    <w:rsid w:val="008F3AE2"/>
    <w:rsid w:val="008F3F1B"/>
    <w:rsid w:val="008F4536"/>
    <w:rsid w:val="008F6221"/>
    <w:rsid w:val="008F6226"/>
    <w:rsid w:val="008F6397"/>
    <w:rsid w:val="008F63CF"/>
    <w:rsid w:val="008F63E2"/>
    <w:rsid w:val="008F6952"/>
    <w:rsid w:val="008F7128"/>
    <w:rsid w:val="008F722B"/>
    <w:rsid w:val="008F777B"/>
    <w:rsid w:val="008F7CCE"/>
    <w:rsid w:val="00900866"/>
    <w:rsid w:val="00901569"/>
    <w:rsid w:val="0090183E"/>
    <w:rsid w:val="00902A43"/>
    <w:rsid w:val="00903AA0"/>
    <w:rsid w:val="0090407D"/>
    <w:rsid w:val="0090444E"/>
    <w:rsid w:val="00904714"/>
    <w:rsid w:val="00904C30"/>
    <w:rsid w:val="00904DD6"/>
    <w:rsid w:val="00904F92"/>
    <w:rsid w:val="009064E2"/>
    <w:rsid w:val="00906919"/>
    <w:rsid w:val="00907295"/>
    <w:rsid w:val="009077C7"/>
    <w:rsid w:val="0091220E"/>
    <w:rsid w:val="00912B33"/>
    <w:rsid w:val="00913380"/>
    <w:rsid w:val="0091402D"/>
    <w:rsid w:val="00914250"/>
    <w:rsid w:val="0091465A"/>
    <w:rsid w:val="00915B29"/>
    <w:rsid w:val="00917E26"/>
    <w:rsid w:val="00920216"/>
    <w:rsid w:val="0092037A"/>
    <w:rsid w:val="00920411"/>
    <w:rsid w:val="00920463"/>
    <w:rsid w:val="00920AA5"/>
    <w:rsid w:val="00921AF5"/>
    <w:rsid w:val="0092297B"/>
    <w:rsid w:val="00922CFB"/>
    <w:rsid w:val="009231E5"/>
    <w:rsid w:val="009238C7"/>
    <w:rsid w:val="00923D68"/>
    <w:rsid w:val="0092440A"/>
    <w:rsid w:val="009245CA"/>
    <w:rsid w:val="00925262"/>
    <w:rsid w:val="00926E4D"/>
    <w:rsid w:val="00927F2F"/>
    <w:rsid w:val="00930CE8"/>
    <w:rsid w:val="0093318D"/>
    <w:rsid w:val="00933209"/>
    <w:rsid w:val="0093352D"/>
    <w:rsid w:val="009345D1"/>
    <w:rsid w:val="009360A4"/>
    <w:rsid w:val="00936718"/>
    <w:rsid w:val="00936F1E"/>
    <w:rsid w:val="009376FF"/>
    <w:rsid w:val="00940147"/>
    <w:rsid w:val="00940185"/>
    <w:rsid w:val="00940BCD"/>
    <w:rsid w:val="00941279"/>
    <w:rsid w:val="00942900"/>
    <w:rsid w:val="009429F1"/>
    <w:rsid w:val="00944E21"/>
    <w:rsid w:val="0094600B"/>
    <w:rsid w:val="009462D5"/>
    <w:rsid w:val="00947D17"/>
    <w:rsid w:val="00953EB6"/>
    <w:rsid w:val="009540A9"/>
    <w:rsid w:val="0095456C"/>
    <w:rsid w:val="009547B3"/>
    <w:rsid w:val="00956518"/>
    <w:rsid w:val="00956905"/>
    <w:rsid w:val="009570E4"/>
    <w:rsid w:val="009579B2"/>
    <w:rsid w:val="00960715"/>
    <w:rsid w:val="009614C6"/>
    <w:rsid w:val="009627DE"/>
    <w:rsid w:val="00962BFB"/>
    <w:rsid w:val="00962E1C"/>
    <w:rsid w:val="0096349D"/>
    <w:rsid w:val="009637B6"/>
    <w:rsid w:val="00964954"/>
    <w:rsid w:val="0096635A"/>
    <w:rsid w:val="009663DB"/>
    <w:rsid w:val="009666C5"/>
    <w:rsid w:val="0096682A"/>
    <w:rsid w:val="00966D6A"/>
    <w:rsid w:val="00966DEC"/>
    <w:rsid w:val="00970858"/>
    <w:rsid w:val="00972177"/>
    <w:rsid w:val="00972D8F"/>
    <w:rsid w:val="00974447"/>
    <w:rsid w:val="00974887"/>
    <w:rsid w:val="00975017"/>
    <w:rsid w:val="0097559F"/>
    <w:rsid w:val="0097673B"/>
    <w:rsid w:val="00977613"/>
    <w:rsid w:val="0098139A"/>
    <w:rsid w:val="009820CB"/>
    <w:rsid w:val="00983C9F"/>
    <w:rsid w:val="009845BE"/>
    <w:rsid w:val="0098508B"/>
    <w:rsid w:val="0098634B"/>
    <w:rsid w:val="0098715A"/>
    <w:rsid w:val="00987C7D"/>
    <w:rsid w:val="00990380"/>
    <w:rsid w:val="0099102F"/>
    <w:rsid w:val="009921DB"/>
    <w:rsid w:val="0099289F"/>
    <w:rsid w:val="009940EF"/>
    <w:rsid w:val="00994327"/>
    <w:rsid w:val="00994A8D"/>
    <w:rsid w:val="00994D06"/>
    <w:rsid w:val="00997CF0"/>
    <w:rsid w:val="009A045C"/>
    <w:rsid w:val="009A0BBC"/>
    <w:rsid w:val="009A0D4F"/>
    <w:rsid w:val="009A1182"/>
    <w:rsid w:val="009A17D1"/>
    <w:rsid w:val="009A2B67"/>
    <w:rsid w:val="009A2E0E"/>
    <w:rsid w:val="009A4A2A"/>
    <w:rsid w:val="009A58F0"/>
    <w:rsid w:val="009A5AFD"/>
    <w:rsid w:val="009A66A0"/>
    <w:rsid w:val="009A6EFD"/>
    <w:rsid w:val="009B0A0F"/>
    <w:rsid w:val="009B3055"/>
    <w:rsid w:val="009B3354"/>
    <w:rsid w:val="009B3959"/>
    <w:rsid w:val="009B39DC"/>
    <w:rsid w:val="009B3AF2"/>
    <w:rsid w:val="009B5235"/>
    <w:rsid w:val="009B61E7"/>
    <w:rsid w:val="009B6666"/>
    <w:rsid w:val="009B67DB"/>
    <w:rsid w:val="009B68A1"/>
    <w:rsid w:val="009B7433"/>
    <w:rsid w:val="009B7A6A"/>
    <w:rsid w:val="009C0087"/>
    <w:rsid w:val="009C06D9"/>
    <w:rsid w:val="009C0793"/>
    <w:rsid w:val="009C11B0"/>
    <w:rsid w:val="009C13A8"/>
    <w:rsid w:val="009C1471"/>
    <w:rsid w:val="009C2788"/>
    <w:rsid w:val="009C28A1"/>
    <w:rsid w:val="009C2933"/>
    <w:rsid w:val="009C33B3"/>
    <w:rsid w:val="009C5976"/>
    <w:rsid w:val="009C5AF9"/>
    <w:rsid w:val="009C5E7A"/>
    <w:rsid w:val="009C658A"/>
    <w:rsid w:val="009C6E72"/>
    <w:rsid w:val="009C7714"/>
    <w:rsid w:val="009D0CF5"/>
    <w:rsid w:val="009D2EA1"/>
    <w:rsid w:val="009D3224"/>
    <w:rsid w:val="009D3C3F"/>
    <w:rsid w:val="009D4A45"/>
    <w:rsid w:val="009D4D67"/>
    <w:rsid w:val="009D5D97"/>
    <w:rsid w:val="009D635B"/>
    <w:rsid w:val="009D66DC"/>
    <w:rsid w:val="009D7111"/>
    <w:rsid w:val="009D7F6F"/>
    <w:rsid w:val="009E0393"/>
    <w:rsid w:val="009E03BE"/>
    <w:rsid w:val="009E07AC"/>
    <w:rsid w:val="009E07D3"/>
    <w:rsid w:val="009E0A83"/>
    <w:rsid w:val="009E1C4D"/>
    <w:rsid w:val="009E6FAD"/>
    <w:rsid w:val="009E7A3B"/>
    <w:rsid w:val="009F06F2"/>
    <w:rsid w:val="009F5F41"/>
    <w:rsid w:val="009F635E"/>
    <w:rsid w:val="009F6CCE"/>
    <w:rsid w:val="009F781F"/>
    <w:rsid w:val="00A02C5D"/>
    <w:rsid w:val="00A02CE5"/>
    <w:rsid w:val="00A03E4D"/>
    <w:rsid w:val="00A05D11"/>
    <w:rsid w:val="00A06D37"/>
    <w:rsid w:val="00A06F15"/>
    <w:rsid w:val="00A0729E"/>
    <w:rsid w:val="00A10FAA"/>
    <w:rsid w:val="00A113DE"/>
    <w:rsid w:val="00A12E29"/>
    <w:rsid w:val="00A140D3"/>
    <w:rsid w:val="00A1446B"/>
    <w:rsid w:val="00A14B63"/>
    <w:rsid w:val="00A167F2"/>
    <w:rsid w:val="00A169B3"/>
    <w:rsid w:val="00A16A51"/>
    <w:rsid w:val="00A170EB"/>
    <w:rsid w:val="00A179AD"/>
    <w:rsid w:val="00A17EFE"/>
    <w:rsid w:val="00A20C78"/>
    <w:rsid w:val="00A213A6"/>
    <w:rsid w:val="00A225DF"/>
    <w:rsid w:val="00A2312E"/>
    <w:rsid w:val="00A24323"/>
    <w:rsid w:val="00A2512C"/>
    <w:rsid w:val="00A2515B"/>
    <w:rsid w:val="00A2588E"/>
    <w:rsid w:val="00A26EDF"/>
    <w:rsid w:val="00A3205E"/>
    <w:rsid w:val="00A3301D"/>
    <w:rsid w:val="00A3446F"/>
    <w:rsid w:val="00A34789"/>
    <w:rsid w:val="00A35430"/>
    <w:rsid w:val="00A35497"/>
    <w:rsid w:val="00A36044"/>
    <w:rsid w:val="00A36111"/>
    <w:rsid w:val="00A3630E"/>
    <w:rsid w:val="00A370E6"/>
    <w:rsid w:val="00A37A21"/>
    <w:rsid w:val="00A37BB8"/>
    <w:rsid w:val="00A37D74"/>
    <w:rsid w:val="00A41409"/>
    <w:rsid w:val="00A415A2"/>
    <w:rsid w:val="00A41FF8"/>
    <w:rsid w:val="00A4274C"/>
    <w:rsid w:val="00A42D87"/>
    <w:rsid w:val="00A44BD3"/>
    <w:rsid w:val="00A4521D"/>
    <w:rsid w:val="00A45CB6"/>
    <w:rsid w:val="00A465FE"/>
    <w:rsid w:val="00A46D6F"/>
    <w:rsid w:val="00A47757"/>
    <w:rsid w:val="00A50675"/>
    <w:rsid w:val="00A51F0A"/>
    <w:rsid w:val="00A53B5C"/>
    <w:rsid w:val="00A5482F"/>
    <w:rsid w:val="00A5487A"/>
    <w:rsid w:val="00A54EF2"/>
    <w:rsid w:val="00A557AA"/>
    <w:rsid w:val="00A55D48"/>
    <w:rsid w:val="00A55F25"/>
    <w:rsid w:val="00A57BEB"/>
    <w:rsid w:val="00A615E0"/>
    <w:rsid w:val="00A61673"/>
    <w:rsid w:val="00A6357B"/>
    <w:rsid w:val="00A63EC6"/>
    <w:rsid w:val="00A64926"/>
    <w:rsid w:val="00A665CF"/>
    <w:rsid w:val="00A66EBA"/>
    <w:rsid w:val="00A671CF"/>
    <w:rsid w:val="00A67905"/>
    <w:rsid w:val="00A67CA7"/>
    <w:rsid w:val="00A7137F"/>
    <w:rsid w:val="00A72084"/>
    <w:rsid w:val="00A72559"/>
    <w:rsid w:val="00A7260E"/>
    <w:rsid w:val="00A72F26"/>
    <w:rsid w:val="00A732E0"/>
    <w:rsid w:val="00A73989"/>
    <w:rsid w:val="00A76A47"/>
    <w:rsid w:val="00A7752F"/>
    <w:rsid w:val="00A77E3C"/>
    <w:rsid w:val="00A81D54"/>
    <w:rsid w:val="00A82DE8"/>
    <w:rsid w:val="00A8353A"/>
    <w:rsid w:val="00A8390D"/>
    <w:rsid w:val="00A858FC"/>
    <w:rsid w:val="00A85C35"/>
    <w:rsid w:val="00A871D8"/>
    <w:rsid w:val="00A87F5C"/>
    <w:rsid w:val="00A90469"/>
    <w:rsid w:val="00A906F9"/>
    <w:rsid w:val="00A90888"/>
    <w:rsid w:val="00A90ABA"/>
    <w:rsid w:val="00A91967"/>
    <w:rsid w:val="00A92061"/>
    <w:rsid w:val="00A92148"/>
    <w:rsid w:val="00A92632"/>
    <w:rsid w:val="00A926A2"/>
    <w:rsid w:val="00A94249"/>
    <w:rsid w:val="00A94BC9"/>
    <w:rsid w:val="00A94BE2"/>
    <w:rsid w:val="00A959BC"/>
    <w:rsid w:val="00A9654A"/>
    <w:rsid w:val="00A97275"/>
    <w:rsid w:val="00A97AAE"/>
    <w:rsid w:val="00AA0850"/>
    <w:rsid w:val="00AA2562"/>
    <w:rsid w:val="00AA2A46"/>
    <w:rsid w:val="00AA3C60"/>
    <w:rsid w:val="00AA3DAC"/>
    <w:rsid w:val="00AA690B"/>
    <w:rsid w:val="00AA6FC1"/>
    <w:rsid w:val="00AB2248"/>
    <w:rsid w:val="00AB2C72"/>
    <w:rsid w:val="00AB2FF4"/>
    <w:rsid w:val="00AB3E28"/>
    <w:rsid w:val="00AB3F2B"/>
    <w:rsid w:val="00AB5867"/>
    <w:rsid w:val="00AB5F89"/>
    <w:rsid w:val="00AB5F9C"/>
    <w:rsid w:val="00AB61ED"/>
    <w:rsid w:val="00AB6522"/>
    <w:rsid w:val="00AB74A0"/>
    <w:rsid w:val="00AC0688"/>
    <w:rsid w:val="00AC0FC5"/>
    <w:rsid w:val="00AC1AD6"/>
    <w:rsid w:val="00AC2465"/>
    <w:rsid w:val="00AC3053"/>
    <w:rsid w:val="00AC3A5A"/>
    <w:rsid w:val="00AC402B"/>
    <w:rsid w:val="00AC4130"/>
    <w:rsid w:val="00AC4565"/>
    <w:rsid w:val="00AC636E"/>
    <w:rsid w:val="00AC760D"/>
    <w:rsid w:val="00AC7737"/>
    <w:rsid w:val="00AC7983"/>
    <w:rsid w:val="00AC7E31"/>
    <w:rsid w:val="00AD1E11"/>
    <w:rsid w:val="00AD299A"/>
    <w:rsid w:val="00AD4C60"/>
    <w:rsid w:val="00AD5036"/>
    <w:rsid w:val="00AD64DF"/>
    <w:rsid w:val="00AD76FB"/>
    <w:rsid w:val="00AD7766"/>
    <w:rsid w:val="00AD7A0B"/>
    <w:rsid w:val="00AD7C17"/>
    <w:rsid w:val="00AD7D2C"/>
    <w:rsid w:val="00AE02D0"/>
    <w:rsid w:val="00AE0443"/>
    <w:rsid w:val="00AE06B0"/>
    <w:rsid w:val="00AE1025"/>
    <w:rsid w:val="00AE124D"/>
    <w:rsid w:val="00AE2E06"/>
    <w:rsid w:val="00AE3595"/>
    <w:rsid w:val="00AE3F03"/>
    <w:rsid w:val="00AE42D2"/>
    <w:rsid w:val="00AE4497"/>
    <w:rsid w:val="00AE4911"/>
    <w:rsid w:val="00AE64F0"/>
    <w:rsid w:val="00AE7956"/>
    <w:rsid w:val="00AF23C8"/>
    <w:rsid w:val="00AF2AE2"/>
    <w:rsid w:val="00AF30D8"/>
    <w:rsid w:val="00AF345A"/>
    <w:rsid w:val="00AF3700"/>
    <w:rsid w:val="00B0235D"/>
    <w:rsid w:val="00B03710"/>
    <w:rsid w:val="00B0377E"/>
    <w:rsid w:val="00B04CB1"/>
    <w:rsid w:val="00B07BA9"/>
    <w:rsid w:val="00B07DE1"/>
    <w:rsid w:val="00B10055"/>
    <w:rsid w:val="00B100B3"/>
    <w:rsid w:val="00B10B03"/>
    <w:rsid w:val="00B1141E"/>
    <w:rsid w:val="00B11A26"/>
    <w:rsid w:val="00B11C53"/>
    <w:rsid w:val="00B12593"/>
    <w:rsid w:val="00B1278B"/>
    <w:rsid w:val="00B13D36"/>
    <w:rsid w:val="00B14E45"/>
    <w:rsid w:val="00B15EBE"/>
    <w:rsid w:val="00B17295"/>
    <w:rsid w:val="00B17C2C"/>
    <w:rsid w:val="00B2071A"/>
    <w:rsid w:val="00B215F5"/>
    <w:rsid w:val="00B21EBD"/>
    <w:rsid w:val="00B22649"/>
    <w:rsid w:val="00B232A3"/>
    <w:rsid w:val="00B247DF"/>
    <w:rsid w:val="00B25027"/>
    <w:rsid w:val="00B2545A"/>
    <w:rsid w:val="00B2627D"/>
    <w:rsid w:val="00B26B62"/>
    <w:rsid w:val="00B27717"/>
    <w:rsid w:val="00B27A54"/>
    <w:rsid w:val="00B30783"/>
    <w:rsid w:val="00B3176B"/>
    <w:rsid w:val="00B32406"/>
    <w:rsid w:val="00B3247B"/>
    <w:rsid w:val="00B32A29"/>
    <w:rsid w:val="00B335BF"/>
    <w:rsid w:val="00B367A8"/>
    <w:rsid w:val="00B40ACB"/>
    <w:rsid w:val="00B41F0F"/>
    <w:rsid w:val="00B421B8"/>
    <w:rsid w:val="00B42416"/>
    <w:rsid w:val="00B42560"/>
    <w:rsid w:val="00B4269B"/>
    <w:rsid w:val="00B42778"/>
    <w:rsid w:val="00B42B6E"/>
    <w:rsid w:val="00B44EAB"/>
    <w:rsid w:val="00B455AA"/>
    <w:rsid w:val="00B45778"/>
    <w:rsid w:val="00B457A1"/>
    <w:rsid w:val="00B45CCF"/>
    <w:rsid w:val="00B4630F"/>
    <w:rsid w:val="00B464B1"/>
    <w:rsid w:val="00B478C0"/>
    <w:rsid w:val="00B47A4A"/>
    <w:rsid w:val="00B47B99"/>
    <w:rsid w:val="00B506F2"/>
    <w:rsid w:val="00B5077A"/>
    <w:rsid w:val="00B507EF"/>
    <w:rsid w:val="00B510E3"/>
    <w:rsid w:val="00B5150A"/>
    <w:rsid w:val="00B521AC"/>
    <w:rsid w:val="00B52702"/>
    <w:rsid w:val="00B54118"/>
    <w:rsid w:val="00B54320"/>
    <w:rsid w:val="00B5498D"/>
    <w:rsid w:val="00B5501D"/>
    <w:rsid w:val="00B55219"/>
    <w:rsid w:val="00B55E36"/>
    <w:rsid w:val="00B561CC"/>
    <w:rsid w:val="00B56E37"/>
    <w:rsid w:val="00B60085"/>
    <w:rsid w:val="00B601AA"/>
    <w:rsid w:val="00B60282"/>
    <w:rsid w:val="00B6151E"/>
    <w:rsid w:val="00B61581"/>
    <w:rsid w:val="00B6177D"/>
    <w:rsid w:val="00B627A7"/>
    <w:rsid w:val="00B64962"/>
    <w:rsid w:val="00B66BBC"/>
    <w:rsid w:val="00B676EC"/>
    <w:rsid w:val="00B7016C"/>
    <w:rsid w:val="00B7039B"/>
    <w:rsid w:val="00B705EF"/>
    <w:rsid w:val="00B7159D"/>
    <w:rsid w:val="00B72048"/>
    <w:rsid w:val="00B728F8"/>
    <w:rsid w:val="00B74D1E"/>
    <w:rsid w:val="00B76393"/>
    <w:rsid w:val="00B7658E"/>
    <w:rsid w:val="00B76A18"/>
    <w:rsid w:val="00B776B3"/>
    <w:rsid w:val="00B80068"/>
    <w:rsid w:val="00B8090B"/>
    <w:rsid w:val="00B80B92"/>
    <w:rsid w:val="00B81073"/>
    <w:rsid w:val="00B81139"/>
    <w:rsid w:val="00B8187C"/>
    <w:rsid w:val="00B81A79"/>
    <w:rsid w:val="00B81F17"/>
    <w:rsid w:val="00B82A37"/>
    <w:rsid w:val="00B82F52"/>
    <w:rsid w:val="00B84C6C"/>
    <w:rsid w:val="00B90971"/>
    <w:rsid w:val="00B9156F"/>
    <w:rsid w:val="00B916FB"/>
    <w:rsid w:val="00B91B10"/>
    <w:rsid w:val="00B92687"/>
    <w:rsid w:val="00B92689"/>
    <w:rsid w:val="00B93923"/>
    <w:rsid w:val="00B93C23"/>
    <w:rsid w:val="00B94248"/>
    <w:rsid w:val="00B942A1"/>
    <w:rsid w:val="00B94A23"/>
    <w:rsid w:val="00B94B4F"/>
    <w:rsid w:val="00B976F6"/>
    <w:rsid w:val="00B97737"/>
    <w:rsid w:val="00BA1C97"/>
    <w:rsid w:val="00BA2076"/>
    <w:rsid w:val="00BA488E"/>
    <w:rsid w:val="00BA5F41"/>
    <w:rsid w:val="00BA6F52"/>
    <w:rsid w:val="00BA7385"/>
    <w:rsid w:val="00BA7574"/>
    <w:rsid w:val="00BA766C"/>
    <w:rsid w:val="00BB00FE"/>
    <w:rsid w:val="00BB03D7"/>
    <w:rsid w:val="00BB0BCB"/>
    <w:rsid w:val="00BB187C"/>
    <w:rsid w:val="00BB2385"/>
    <w:rsid w:val="00BB296B"/>
    <w:rsid w:val="00BB2A9C"/>
    <w:rsid w:val="00BB3622"/>
    <w:rsid w:val="00BB5A26"/>
    <w:rsid w:val="00BB6167"/>
    <w:rsid w:val="00BB682C"/>
    <w:rsid w:val="00BB738B"/>
    <w:rsid w:val="00BB790C"/>
    <w:rsid w:val="00BB7CA9"/>
    <w:rsid w:val="00BC236B"/>
    <w:rsid w:val="00BC2ACC"/>
    <w:rsid w:val="00BC2BB4"/>
    <w:rsid w:val="00BC3317"/>
    <w:rsid w:val="00BC44F2"/>
    <w:rsid w:val="00BC584B"/>
    <w:rsid w:val="00BC65D9"/>
    <w:rsid w:val="00BC761E"/>
    <w:rsid w:val="00BC79B3"/>
    <w:rsid w:val="00BC7C52"/>
    <w:rsid w:val="00BD0CF6"/>
    <w:rsid w:val="00BD1471"/>
    <w:rsid w:val="00BD14C5"/>
    <w:rsid w:val="00BD196A"/>
    <w:rsid w:val="00BD1CA7"/>
    <w:rsid w:val="00BD2081"/>
    <w:rsid w:val="00BD2311"/>
    <w:rsid w:val="00BD2CA0"/>
    <w:rsid w:val="00BD2F44"/>
    <w:rsid w:val="00BD3637"/>
    <w:rsid w:val="00BD4334"/>
    <w:rsid w:val="00BD505E"/>
    <w:rsid w:val="00BD5A9B"/>
    <w:rsid w:val="00BD6262"/>
    <w:rsid w:val="00BD6E24"/>
    <w:rsid w:val="00BD76A3"/>
    <w:rsid w:val="00BD7EED"/>
    <w:rsid w:val="00BE1EB3"/>
    <w:rsid w:val="00BE2535"/>
    <w:rsid w:val="00BE29A7"/>
    <w:rsid w:val="00BE408F"/>
    <w:rsid w:val="00BE4C48"/>
    <w:rsid w:val="00BE61C1"/>
    <w:rsid w:val="00BE64AF"/>
    <w:rsid w:val="00BE6717"/>
    <w:rsid w:val="00BE7764"/>
    <w:rsid w:val="00BE79F1"/>
    <w:rsid w:val="00BE7B78"/>
    <w:rsid w:val="00BF0381"/>
    <w:rsid w:val="00BF37ED"/>
    <w:rsid w:val="00BF3927"/>
    <w:rsid w:val="00BF3C7F"/>
    <w:rsid w:val="00BF446E"/>
    <w:rsid w:val="00BF6D89"/>
    <w:rsid w:val="00BF6E7B"/>
    <w:rsid w:val="00BF7E1B"/>
    <w:rsid w:val="00C01021"/>
    <w:rsid w:val="00C0141F"/>
    <w:rsid w:val="00C02234"/>
    <w:rsid w:val="00C026A5"/>
    <w:rsid w:val="00C03871"/>
    <w:rsid w:val="00C04830"/>
    <w:rsid w:val="00C048AF"/>
    <w:rsid w:val="00C05634"/>
    <w:rsid w:val="00C06B7D"/>
    <w:rsid w:val="00C077E0"/>
    <w:rsid w:val="00C07DE6"/>
    <w:rsid w:val="00C107EB"/>
    <w:rsid w:val="00C1430E"/>
    <w:rsid w:val="00C144DF"/>
    <w:rsid w:val="00C150D4"/>
    <w:rsid w:val="00C15101"/>
    <w:rsid w:val="00C154B5"/>
    <w:rsid w:val="00C17872"/>
    <w:rsid w:val="00C205E9"/>
    <w:rsid w:val="00C212FC"/>
    <w:rsid w:val="00C214E1"/>
    <w:rsid w:val="00C23F48"/>
    <w:rsid w:val="00C248E1"/>
    <w:rsid w:val="00C25072"/>
    <w:rsid w:val="00C2528A"/>
    <w:rsid w:val="00C25D74"/>
    <w:rsid w:val="00C262BD"/>
    <w:rsid w:val="00C271CB"/>
    <w:rsid w:val="00C301AF"/>
    <w:rsid w:val="00C30325"/>
    <w:rsid w:val="00C30D3E"/>
    <w:rsid w:val="00C30D91"/>
    <w:rsid w:val="00C30E04"/>
    <w:rsid w:val="00C310C2"/>
    <w:rsid w:val="00C32380"/>
    <w:rsid w:val="00C33894"/>
    <w:rsid w:val="00C3520C"/>
    <w:rsid w:val="00C35ADC"/>
    <w:rsid w:val="00C36290"/>
    <w:rsid w:val="00C36525"/>
    <w:rsid w:val="00C40EB3"/>
    <w:rsid w:val="00C410B5"/>
    <w:rsid w:val="00C41BD9"/>
    <w:rsid w:val="00C434FD"/>
    <w:rsid w:val="00C4350E"/>
    <w:rsid w:val="00C43C12"/>
    <w:rsid w:val="00C43D5D"/>
    <w:rsid w:val="00C44617"/>
    <w:rsid w:val="00C447A0"/>
    <w:rsid w:val="00C4485C"/>
    <w:rsid w:val="00C449C0"/>
    <w:rsid w:val="00C44C28"/>
    <w:rsid w:val="00C45D7C"/>
    <w:rsid w:val="00C47AC7"/>
    <w:rsid w:val="00C47E6F"/>
    <w:rsid w:val="00C50206"/>
    <w:rsid w:val="00C50B2A"/>
    <w:rsid w:val="00C5192E"/>
    <w:rsid w:val="00C51BD9"/>
    <w:rsid w:val="00C52A54"/>
    <w:rsid w:val="00C52DE6"/>
    <w:rsid w:val="00C54544"/>
    <w:rsid w:val="00C5455A"/>
    <w:rsid w:val="00C5470E"/>
    <w:rsid w:val="00C57400"/>
    <w:rsid w:val="00C57EAD"/>
    <w:rsid w:val="00C6016B"/>
    <w:rsid w:val="00C60889"/>
    <w:rsid w:val="00C61923"/>
    <w:rsid w:val="00C619D3"/>
    <w:rsid w:val="00C61AE5"/>
    <w:rsid w:val="00C61D27"/>
    <w:rsid w:val="00C633C7"/>
    <w:rsid w:val="00C634A7"/>
    <w:rsid w:val="00C6386B"/>
    <w:rsid w:val="00C638D7"/>
    <w:rsid w:val="00C638DF"/>
    <w:rsid w:val="00C64720"/>
    <w:rsid w:val="00C6517F"/>
    <w:rsid w:val="00C658FF"/>
    <w:rsid w:val="00C66008"/>
    <w:rsid w:val="00C674CF"/>
    <w:rsid w:val="00C67BA6"/>
    <w:rsid w:val="00C7002F"/>
    <w:rsid w:val="00C70A64"/>
    <w:rsid w:val="00C70DA3"/>
    <w:rsid w:val="00C71920"/>
    <w:rsid w:val="00C72169"/>
    <w:rsid w:val="00C72A63"/>
    <w:rsid w:val="00C735AF"/>
    <w:rsid w:val="00C73ECB"/>
    <w:rsid w:val="00C7658F"/>
    <w:rsid w:val="00C772C0"/>
    <w:rsid w:val="00C77431"/>
    <w:rsid w:val="00C77A70"/>
    <w:rsid w:val="00C80828"/>
    <w:rsid w:val="00C80AE4"/>
    <w:rsid w:val="00C8283D"/>
    <w:rsid w:val="00C83137"/>
    <w:rsid w:val="00C836C3"/>
    <w:rsid w:val="00C844EE"/>
    <w:rsid w:val="00C84FD7"/>
    <w:rsid w:val="00C8520E"/>
    <w:rsid w:val="00C857F1"/>
    <w:rsid w:val="00C8691B"/>
    <w:rsid w:val="00C871C4"/>
    <w:rsid w:val="00C90B36"/>
    <w:rsid w:val="00C91F0C"/>
    <w:rsid w:val="00C936D1"/>
    <w:rsid w:val="00C937EE"/>
    <w:rsid w:val="00C93DE3"/>
    <w:rsid w:val="00C9506C"/>
    <w:rsid w:val="00C9647E"/>
    <w:rsid w:val="00C97301"/>
    <w:rsid w:val="00CA069F"/>
    <w:rsid w:val="00CA0CBE"/>
    <w:rsid w:val="00CA1130"/>
    <w:rsid w:val="00CA1D71"/>
    <w:rsid w:val="00CA344E"/>
    <w:rsid w:val="00CA3B2C"/>
    <w:rsid w:val="00CA415F"/>
    <w:rsid w:val="00CA529D"/>
    <w:rsid w:val="00CA5314"/>
    <w:rsid w:val="00CA583D"/>
    <w:rsid w:val="00CA5B35"/>
    <w:rsid w:val="00CA5EA7"/>
    <w:rsid w:val="00CA5F61"/>
    <w:rsid w:val="00CA64E6"/>
    <w:rsid w:val="00CA74B8"/>
    <w:rsid w:val="00CA79BF"/>
    <w:rsid w:val="00CB026C"/>
    <w:rsid w:val="00CB033A"/>
    <w:rsid w:val="00CB044F"/>
    <w:rsid w:val="00CB0E4D"/>
    <w:rsid w:val="00CB2C14"/>
    <w:rsid w:val="00CB33C9"/>
    <w:rsid w:val="00CB43A9"/>
    <w:rsid w:val="00CB4639"/>
    <w:rsid w:val="00CB47DA"/>
    <w:rsid w:val="00CB4C45"/>
    <w:rsid w:val="00CB5A49"/>
    <w:rsid w:val="00CB5C15"/>
    <w:rsid w:val="00CB5F3B"/>
    <w:rsid w:val="00CB678B"/>
    <w:rsid w:val="00CB7A9A"/>
    <w:rsid w:val="00CC0A8C"/>
    <w:rsid w:val="00CC0D3A"/>
    <w:rsid w:val="00CC1228"/>
    <w:rsid w:val="00CC1A21"/>
    <w:rsid w:val="00CC21A7"/>
    <w:rsid w:val="00CC41CE"/>
    <w:rsid w:val="00CC46FE"/>
    <w:rsid w:val="00CC614A"/>
    <w:rsid w:val="00CC66DE"/>
    <w:rsid w:val="00CC7A9D"/>
    <w:rsid w:val="00CC7C0C"/>
    <w:rsid w:val="00CD07B9"/>
    <w:rsid w:val="00CD08DB"/>
    <w:rsid w:val="00CD0D76"/>
    <w:rsid w:val="00CD2490"/>
    <w:rsid w:val="00CD3C57"/>
    <w:rsid w:val="00CD4642"/>
    <w:rsid w:val="00CD5694"/>
    <w:rsid w:val="00CD6C74"/>
    <w:rsid w:val="00CD6EE7"/>
    <w:rsid w:val="00CD713A"/>
    <w:rsid w:val="00CD75E3"/>
    <w:rsid w:val="00CE0D85"/>
    <w:rsid w:val="00CE2627"/>
    <w:rsid w:val="00CE2EB2"/>
    <w:rsid w:val="00CE425F"/>
    <w:rsid w:val="00CE4EA9"/>
    <w:rsid w:val="00CE525D"/>
    <w:rsid w:val="00CE5C99"/>
    <w:rsid w:val="00CE6EE2"/>
    <w:rsid w:val="00CE6F09"/>
    <w:rsid w:val="00CE7538"/>
    <w:rsid w:val="00CF105E"/>
    <w:rsid w:val="00CF11C0"/>
    <w:rsid w:val="00CF1E1A"/>
    <w:rsid w:val="00CF2144"/>
    <w:rsid w:val="00CF23EE"/>
    <w:rsid w:val="00CF2E28"/>
    <w:rsid w:val="00CF4015"/>
    <w:rsid w:val="00CF41D3"/>
    <w:rsid w:val="00CF469E"/>
    <w:rsid w:val="00CF48D1"/>
    <w:rsid w:val="00CF52FE"/>
    <w:rsid w:val="00CF597C"/>
    <w:rsid w:val="00CF7340"/>
    <w:rsid w:val="00CF754B"/>
    <w:rsid w:val="00D02FA6"/>
    <w:rsid w:val="00D033B3"/>
    <w:rsid w:val="00D04313"/>
    <w:rsid w:val="00D047C7"/>
    <w:rsid w:val="00D07DA4"/>
    <w:rsid w:val="00D11357"/>
    <w:rsid w:val="00D126F7"/>
    <w:rsid w:val="00D129F5"/>
    <w:rsid w:val="00D12A0E"/>
    <w:rsid w:val="00D12BF2"/>
    <w:rsid w:val="00D12ED9"/>
    <w:rsid w:val="00D141DD"/>
    <w:rsid w:val="00D1494A"/>
    <w:rsid w:val="00D149D4"/>
    <w:rsid w:val="00D14FCC"/>
    <w:rsid w:val="00D15A66"/>
    <w:rsid w:val="00D160F0"/>
    <w:rsid w:val="00D205CA"/>
    <w:rsid w:val="00D21887"/>
    <w:rsid w:val="00D21C22"/>
    <w:rsid w:val="00D2448B"/>
    <w:rsid w:val="00D25370"/>
    <w:rsid w:val="00D266DE"/>
    <w:rsid w:val="00D2686A"/>
    <w:rsid w:val="00D306D9"/>
    <w:rsid w:val="00D31689"/>
    <w:rsid w:val="00D31AB4"/>
    <w:rsid w:val="00D31E34"/>
    <w:rsid w:val="00D32064"/>
    <w:rsid w:val="00D32394"/>
    <w:rsid w:val="00D325D3"/>
    <w:rsid w:val="00D343B9"/>
    <w:rsid w:val="00D355E8"/>
    <w:rsid w:val="00D40904"/>
    <w:rsid w:val="00D41348"/>
    <w:rsid w:val="00D41712"/>
    <w:rsid w:val="00D43DD6"/>
    <w:rsid w:val="00D447CB"/>
    <w:rsid w:val="00D454EC"/>
    <w:rsid w:val="00D45C92"/>
    <w:rsid w:val="00D46FB5"/>
    <w:rsid w:val="00D4726D"/>
    <w:rsid w:val="00D472EE"/>
    <w:rsid w:val="00D503F7"/>
    <w:rsid w:val="00D51462"/>
    <w:rsid w:val="00D515EB"/>
    <w:rsid w:val="00D51C2C"/>
    <w:rsid w:val="00D53CCC"/>
    <w:rsid w:val="00D54D53"/>
    <w:rsid w:val="00D54E02"/>
    <w:rsid w:val="00D55A36"/>
    <w:rsid w:val="00D5689A"/>
    <w:rsid w:val="00D56E6D"/>
    <w:rsid w:val="00D57072"/>
    <w:rsid w:val="00D579D7"/>
    <w:rsid w:val="00D57B06"/>
    <w:rsid w:val="00D60698"/>
    <w:rsid w:val="00D60C96"/>
    <w:rsid w:val="00D61249"/>
    <w:rsid w:val="00D6134C"/>
    <w:rsid w:val="00D61AE5"/>
    <w:rsid w:val="00D6346F"/>
    <w:rsid w:val="00D6426D"/>
    <w:rsid w:val="00D64636"/>
    <w:rsid w:val="00D64B78"/>
    <w:rsid w:val="00D668E4"/>
    <w:rsid w:val="00D67075"/>
    <w:rsid w:val="00D67466"/>
    <w:rsid w:val="00D67CA2"/>
    <w:rsid w:val="00D7047B"/>
    <w:rsid w:val="00D70735"/>
    <w:rsid w:val="00D71D28"/>
    <w:rsid w:val="00D729A9"/>
    <w:rsid w:val="00D741F4"/>
    <w:rsid w:val="00D74FEC"/>
    <w:rsid w:val="00D75505"/>
    <w:rsid w:val="00D75D34"/>
    <w:rsid w:val="00D76695"/>
    <w:rsid w:val="00D77DAB"/>
    <w:rsid w:val="00D80998"/>
    <w:rsid w:val="00D80EE4"/>
    <w:rsid w:val="00D8228F"/>
    <w:rsid w:val="00D832D5"/>
    <w:rsid w:val="00D83CB1"/>
    <w:rsid w:val="00D861FC"/>
    <w:rsid w:val="00D862DA"/>
    <w:rsid w:val="00D8640C"/>
    <w:rsid w:val="00D86456"/>
    <w:rsid w:val="00D865E8"/>
    <w:rsid w:val="00D8668E"/>
    <w:rsid w:val="00D870BD"/>
    <w:rsid w:val="00D87245"/>
    <w:rsid w:val="00D90ED8"/>
    <w:rsid w:val="00D930CF"/>
    <w:rsid w:val="00D936C9"/>
    <w:rsid w:val="00D93705"/>
    <w:rsid w:val="00D93827"/>
    <w:rsid w:val="00D940D5"/>
    <w:rsid w:val="00D9510F"/>
    <w:rsid w:val="00D95E72"/>
    <w:rsid w:val="00D96DDE"/>
    <w:rsid w:val="00D9757B"/>
    <w:rsid w:val="00D97C9B"/>
    <w:rsid w:val="00D97FA1"/>
    <w:rsid w:val="00DA0240"/>
    <w:rsid w:val="00DA0485"/>
    <w:rsid w:val="00DA08A2"/>
    <w:rsid w:val="00DA1243"/>
    <w:rsid w:val="00DA185B"/>
    <w:rsid w:val="00DA1C23"/>
    <w:rsid w:val="00DA2032"/>
    <w:rsid w:val="00DA3074"/>
    <w:rsid w:val="00DA3849"/>
    <w:rsid w:val="00DA3D7B"/>
    <w:rsid w:val="00DA45E0"/>
    <w:rsid w:val="00DA4860"/>
    <w:rsid w:val="00DA4C49"/>
    <w:rsid w:val="00DA5365"/>
    <w:rsid w:val="00DA53C3"/>
    <w:rsid w:val="00DA6721"/>
    <w:rsid w:val="00DA6E4A"/>
    <w:rsid w:val="00DA701B"/>
    <w:rsid w:val="00DA7189"/>
    <w:rsid w:val="00DA7370"/>
    <w:rsid w:val="00DB08FD"/>
    <w:rsid w:val="00DB1190"/>
    <w:rsid w:val="00DB19DB"/>
    <w:rsid w:val="00DB2A2D"/>
    <w:rsid w:val="00DB3D8A"/>
    <w:rsid w:val="00DB4594"/>
    <w:rsid w:val="00DB47C9"/>
    <w:rsid w:val="00DB4AA3"/>
    <w:rsid w:val="00DB51CE"/>
    <w:rsid w:val="00DB5D58"/>
    <w:rsid w:val="00DB68FF"/>
    <w:rsid w:val="00DB6E03"/>
    <w:rsid w:val="00DB7230"/>
    <w:rsid w:val="00DC117A"/>
    <w:rsid w:val="00DC150F"/>
    <w:rsid w:val="00DC27CE"/>
    <w:rsid w:val="00DC32BA"/>
    <w:rsid w:val="00DC3B61"/>
    <w:rsid w:val="00DC43D3"/>
    <w:rsid w:val="00DC4757"/>
    <w:rsid w:val="00DC5143"/>
    <w:rsid w:val="00DC5A10"/>
    <w:rsid w:val="00DC5E61"/>
    <w:rsid w:val="00DC5FD8"/>
    <w:rsid w:val="00DC6762"/>
    <w:rsid w:val="00DC7F7E"/>
    <w:rsid w:val="00DD0596"/>
    <w:rsid w:val="00DD18E8"/>
    <w:rsid w:val="00DD2B0F"/>
    <w:rsid w:val="00DD31AC"/>
    <w:rsid w:val="00DD3D74"/>
    <w:rsid w:val="00DD44E6"/>
    <w:rsid w:val="00DD4D74"/>
    <w:rsid w:val="00DD6518"/>
    <w:rsid w:val="00DD6537"/>
    <w:rsid w:val="00DD6667"/>
    <w:rsid w:val="00DD6963"/>
    <w:rsid w:val="00DD74A2"/>
    <w:rsid w:val="00DD77C0"/>
    <w:rsid w:val="00DD7FB5"/>
    <w:rsid w:val="00DE0356"/>
    <w:rsid w:val="00DE0449"/>
    <w:rsid w:val="00DE12E1"/>
    <w:rsid w:val="00DE218B"/>
    <w:rsid w:val="00DE23D8"/>
    <w:rsid w:val="00DE383B"/>
    <w:rsid w:val="00DE3F4F"/>
    <w:rsid w:val="00DE49BE"/>
    <w:rsid w:val="00DE557E"/>
    <w:rsid w:val="00DE5697"/>
    <w:rsid w:val="00DE6576"/>
    <w:rsid w:val="00DE7279"/>
    <w:rsid w:val="00DF1FA0"/>
    <w:rsid w:val="00DF2F7C"/>
    <w:rsid w:val="00DF4494"/>
    <w:rsid w:val="00DF4614"/>
    <w:rsid w:val="00DF6D10"/>
    <w:rsid w:val="00DF7B25"/>
    <w:rsid w:val="00DF7E22"/>
    <w:rsid w:val="00DF7FBC"/>
    <w:rsid w:val="00E006C6"/>
    <w:rsid w:val="00E00B67"/>
    <w:rsid w:val="00E04840"/>
    <w:rsid w:val="00E100F7"/>
    <w:rsid w:val="00E135A1"/>
    <w:rsid w:val="00E141DE"/>
    <w:rsid w:val="00E1496E"/>
    <w:rsid w:val="00E14A26"/>
    <w:rsid w:val="00E1503D"/>
    <w:rsid w:val="00E157AC"/>
    <w:rsid w:val="00E15FCF"/>
    <w:rsid w:val="00E162E9"/>
    <w:rsid w:val="00E16BF0"/>
    <w:rsid w:val="00E16EF1"/>
    <w:rsid w:val="00E174CA"/>
    <w:rsid w:val="00E177A0"/>
    <w:rsid w:val="00E17C61"/>
    <w:rsid w:val="00E17F63"/>
    <w:rsid w:val="00E21289"/>
    <w:rsid w:val="00E230EE"/>
    <w:rsid w:val="00E23E04"/>
    <w:rsid w:val="00E2492F"/>
    <w:rsid w:val="00E24E5B"/>
    <w:rsid w:val="00E256DD"/>
    <w:rsid w:val="00E34370"/>
    <w:rsid w:val="00E34C8C"/>
    <w:rsid w:val="00E36121"/>
    <w:rsid w:val="00E3682C"/>
    <w:rsid w:val="00E368C3"/>
    <w:rsid w:val="00E3764A"/>
    <w:rsid w:val="00E37C27"/>
    <w:rsid w:val="00E37CBE"/>
    <w:rsid w:val="00E40080"/>
    <w:rsid w:val="00E401EA"/>
    <w:rsid w:val="00E42524"/>
    <w:rsid w:val="00E43260"/>
    <w:rsid w:val="00E43281"/>
    <w:rsid w:val="00E4340E"/>
    <w:rsid w:val="00E43C06"/>
    <w:rsid w:val="00E449B1"/>
    <w:rsid w:val="00E44B1A"/>
    <w:rsid w:val="00E458AE"/>
    <w:rsid w:val="00E460BA"/>
    <w:rsid w:val="00E46D46"/>
    <w:rsid w:val="00E47B31"/>
    <w:rsid w:val="00E47B90"/>
    <w:rsid w:val="00E500AE"/>
    <w:rsid w:val="00E501F7"/>
    <w:rsid w:val="00E5082D"/>
    <w:rsid w:val="00E516D4"/>
    <w:rsid w:val="00E5321A"/>
    <w:rsid w:val="00E56BDC"/>
    <w:rsid w:val="00E574A9"/>
    <w:rsid w:val="00E6118B"/>
    <w:rsid w:val="00E61355"/>
    <w:rsid w:val="00E613BC"/>
    <w:rsid w:val="00E61F1E"/>
    <w:rsid w:val="00E620F0"/>
    <w:rsid w:val="00E63475"/>
    <w:rsid w:val="00E6491E"/>
    <w:rsid w:val="00E64A6E"/>
    <w:rsid w:val="00E66277"/>
    <w:rsid w:val="00E66861"/>
    <w:rsid w:val="00E66E21"/>
    <w:rsid w:val="00E67063"/>
    <w:rsid w:val="00E67C47"/>
    <w:rsid w:val="00E67F54"/>
    <w:rsid w:val="00E70458"/>
    <w:rsid w:val="00E70F38"/>
    <w:rsid w:val="00E710FC"/>
    <w:rsid w:val="00E71915"/>
    <w:rsid w:val="00E721D9"/>
    <w:rsid w:val="00E72759"/>
    <w:rsid w:val="00E727E0"/>
    <w:rsid w:val="00E72A08"/>
    <w:rsid w:val="00E72AB9"/>
    <w:rsid w:val="00E7375E"/>
    <w:rsid w:val="00E73A48"/>
    <w:rsid w:val="00E73F57"/>
    <w:rsid w:val="00E74A4A"/>
    <w:rsid w:val="00E74E69"/>
    <w:rsid w:val="00E75D17"/>
    <w:rsid w:val="00E76E73"/>
    <w:rsid w:val="00E80916"/>
    <w:rsid w:val="00E80D4A"/>
    <w:rsid w:val="00E81F0A"/>
    <w:rsid w:val="00E82930"/>
    <w:rsid w:val="00E8368A"/>
    <w:rsid w:val="00E83F6C"/>
    <w:rsid w:val="00E840DF"/>
    <w:rsid w:val="00E84193"/>
    <w:rsid w:val="00E8452A"/>
    <w:rsid w:val="00E8560F"/>
    <w:rsid w:val="00E862A5"/>
    <w:rsid w:val="00E87713"/>
    <w:rsid w:val="00E8780A"/>
    <w:rsid w:val="00E87CB8"/>
    <w:rsid w:val="00E90009"/>
    <w:rsid w:val="00E92133"/>
    <w:rsid w:val="00E92955"/>
    <w:rsid w:val="00E93CE5"/>
    <w:rsid w:val="00E957FC"/>
    <w:rsid w:val="00E95802"/>
    <w:rsid w:val="00E9682D"/>
    <w:rsid w:val="00E97032"/>
    <w:rsid w:val="00E97A87"/>
    <w:rsid w:val="00E97B0D"/>
    <w:rsid w:val="00E97E48"/>
    <w:rsid w:val="00EA0289"/>
    <w:rsid w:val="00EA0AC9"/>
    <w:rsid w:val="00EA1AF3"/>
    <w:rsid w:val="00EA45ED"/>
    <w:rsid w:val="00EA491C"/>
    <w:rsid w:val="00EA4A58"/>
    <w:rsid w:val="00EB0605"/>
    <w:rsid w:val="00EB0C1E"/>
    <w:rsid w:val="00EB11D1"/>
    <w:rsid w:val="00EB181B"/>
    <w:rsid w:val="00EB1CA4"/>
    <w:rsid w:val="00EB2699"/>
    <w:rsid w:val="00EB2DEA"/>
    <w:rsid w:val="00EB4FC8"/>
    <w:rsid w:val="00EB65ED"/>
    <w:rsid w:val="00EB6603"/>
    <w:rsid w:val="00EB6EF8"/>
    <w:rsid w:val="00EB7F77"/>
    <w:rsid w:val="00EC00C1"/>
    <w:rsid w:val="00EC0D54"/>
    <w:rsid w:val="00EC150D"/>
    <w:rsid w:val="00EC2C0D"/>
    <w:rsid w:val="00EC2F50"/>
    <w:rsid w:val="00EC341C"/>
    <w:rsid w:val="00EC3F0F"/>
    <w:rsid w:val="00EC4D22"/>
    <w:rsid w:val="00EC5270"/>
    <w:rsid w:val="00EC5D74"/>
    <w:rsid w:val="00EC7783"/>
    <w:rsid w:val="00ED0C1B"/>
    <w:rsid w:val="00ED0C76"/>
    <w:rsid w:val="00ED0CE4"/>
    <w:rsid w:val="00ED0DDA"/>
    <w:rsid w:val="00ED1657"/>
    <w:rsid w:val="00ED1FA9"/>
    <w:rsid w:val="00ED2132"/>
    <w:rsid w:val="00ED2BA5"/>
    <w:rsid w:val="00ED3567"/>
    <w:rsid w:val="00ED3C3D"/>
    <w:rsid w:val="00ED3C43"/>
    <w:rsid w:val="00ED3FBF"/>
    <w:rsid w:val="00ED462D"/>
    <w:rsid w:val="00ED47E7"/>
    <w:rsid w:val="00ED49CF"/>
    <w:rsid w:val="00ED5637"/>
    <w:rsid w:val="00ED5760"/>
    <w:rsid w:val="00ED5833"/>
    <w:rsid w:val="00ED5DAD"/>
    <w:rsid w:val="00ED5ED9"/>
    <w:rsid w:val="00ED6618"/>
    <w:rsid w:val="00ED6783"/>
    <w:rsid w:val="00ED69E3"/>
    <w:rsid w:val="00ED711B"/>
    <w:rsid w:val="00ED7F2D"/>
    <w:rsid w:val="00EE1890"/>
    <w:rsid w:val="00EE1C37"/>
    <w:rsid w:val="00EE3ACD"/>
    <w:rsid w:val="00EE463B"/>
    <w:rsid w:val="00EE46E5"/>
    <w:rsid w:val="00EE6A6C"/>
    <w:rsid w:val="00EE71C9"/>
    <w:rsid w:val="00EF0A34"/>
    <w:rsid w:val="00EF1F64"/>
    <w:rsid w:val="00EF352D"/>
    <w:rsid w:val="00EF43A5"/>
    <w:rsid w:val="00EF4AEE"/>
    <w:rsid w:val="00EF50D5"/>
    <w:rsid w:val="00EF6E41"/>
    <w:rsid w:val="00F013B6"/>
    <w:rsid w:val="00F0161F"/>
    <w:rsid w:val="00F02707"/>
    <w:rsid w:val="00F03428"/>
    <w:rsid w:val="00F03BF4"/>
    <w:rsid w:val="00F03F3B"/>
    <w:rsid w:val="00F04DDC"/>
    <w:rsid w:val="00F0567B"/>
    <w:rsid w:val="00F05A11"/>
    <w:rsid w:val="00F05B32"/>
    <w:rsid w:val="00F06DFF"/>
    <w:rsid w:val="00F07468"/>
    <w:rsid w:val="00F07710"/>
    <w:rsid w:val="00F1079C"/>
    <w:rsid w:val="00F11DDC"/>
    <w:rsid w:val="00F1302B"/>
    <w:rsid w:val="00F13501"/>
    <w:rsid w:val="00F13714"/>
    <w:rsid w:val="00F13F76"/>
    <w:rsid w:val="00F14542"/>
    <w:rsid w:val="00F149D4"/>
    <w:rsid w:val="00F153C1"/>
    <w:rsid w:val="00F16647"/>
    <w:rsid w:val="00F166CC"/>
    <w:rsid w:val="00F16995"/>
    <w:rsid w:val="00F2167C"/>
    <w:rsid w:val="00F2176B"/>
    <w:rsid w:val="00F217E8"/>
    <w:rsid w:val="00F22AF6"/>
    <w:rsid w:val="00F22D82"/>
    <w:rsid w:val="00F22FE8"/>
    <w:rsid w:val="00F23A8E"/>
    <w:rsid w:val="00F249BE"/>
    <w:rsid w:val="00F26B88"/>
    <w:rsid w:val="00F26D40"/>
    <w:rsid w:val="00F30BB6"/>
    <w:rsid w:val="00F31245"/>
    <w:rsid w:val="00F31913"/>
    <w:rsid w:val="00F32368"/>
    <w:rsid w:val="00F32724"/>
    <w:rsid w:val="00F340B6"/>
    <w:rsid w:val="00F3514D"/>
    <w:rsid w:val="00F35CFF"/>
    <w:rsid w:val="00F361B7"/>
    <w:rsid w:val="00F370DA"/>
    <w:rsid w:val="00F40537"/>
    <w:rsid w:val="00F405DA"/>
    <w:rsid w:val="00F40BAE"/>
    <w:rsid w:val="00F416E0"/>
    <w:rsid w:val="00F43A24"/>
    <w:rsid w:val="00F43E3D"/>
    <w:rsid w:val="00F43FF0"/>
    <w:rsid w:val="00F512B9"/>
    <w:rsid w:val="00F52F93"/>
    <w:rsid w:val="00F5304D"/>
    <w:rsid w:val="00F531ED"/>
    <w:rsid w:val="00F5359D"/>
    <w:rsid w:val="00F54608"/>
    <w:rsid w:val="00F552F2"/>
    <w:rsid w:val="00F55E52"/>
    <w:rsid w:val="00F566D3"/>
    <w:rsid w:val="00F56D62"/>
    <w:rsid w:val="00F575CB"/>
    <w:rsid w:val="00F57B8B"/>
    <w:rsid w:val="00F57C32"/>
    <w:rsid w:val="00F57EF0"/>
    <w:rsid w:val="00F61173"/>
    <w:rsid w:val="00F61FBB"/>
    <w:rsid w:val="00F627E2"/>
    <w:rsid w:val="00F62D33"/>
    <w:rsid w:val="00F6324A"/>
    <w:rsid w:val="00F64767"/>
    <w:rsid w:val="00F656CD"/>
    <w:rsid w:val="00F657EF"/>
    <w:rsid w:val="00F66DFC"/>
    <w:rsid w:val="00F70D28"/>
    <w:rsid w:val="00F71520"/>
    <w:rsid w:val="00F71DD6"/>
    <w:rsid w:val="00F7590F"/>
    <w:rsid w:val="00F75FE2"/>
    <w:rsid w:val="00F76A6F"/>
    <w:rsid w:val="00F76B23"/>
    <w:rsid w:val="00F772CC"/>
    <w:rsid w:val="00F77DFA"/>
    <w:rsid w:val="00F77E58"/>
    <w:rsid w:val="00F80454"/>
    <w:rsid w:val="00F80526"/>
    <w:rsid w:val="00F82345"/>
    <w:rsid w:val="00F8299C"/>
    <w:rsid w:val="00F82A3E"/>
    <w:rsid w:val="00F83182"/>
    <w:rsid w:val="00F83943"/>
    <w:rsid w:val="00F83B4B"/>
    <w:rsid w:val="00F85272"/>
    <w:rsid w:val="00F8569E"/>
    <w:rsid w:val="00F85907"/>
    <w:rsid w:val="00F85A14"/>
    <w:rsid w:val="00F87949"/>
    <w:rsid w:val="00F90640"/>
    <w:rsid w:val="00F90EB0"/>
    <w:rsid w:val="00F913C6"/>
    <w:rsid w:val="00F93580"/>
    <w:rsid w:val="00F94080"/>
    <w:rsid w:val="00F9456A"/>
    <w:rsid w:val="00F94864"/>
    <w:rsid w:val="00F94A72"/>
    <w:rsid w:val="00F95194"/>
    <w:rsid w:val="00F956B2"/>
    <w:rsid w:val="00F95BDD"/>
    <w:rsid w:val="00F966A0"/>
    <w:rsid w:val="00F96D0C"/>
    <w:rsid w:val="00F97AD8"/>
    <w:rsid w:val="00FA02EE"/>
    <w:rsid w:val="00FA1E87"/>
    <w:rsid w:val="00FA2056"/>
    <w:rsid w:val="00FA2AFA"/>
    <w:rsid w:val="00FA2C19"/>
    <w:rsid w:val="00FA33A6"/>
    <w:rsid w:val="00FA3408"/>
    <w:rsid w:val="00FA3486"/>
    <w:rsid w:val="00FA4300"/>
    <w:rsid w:val="00FA5452"/>
    <w:rsid w:val="00FA74AF"/>
    <w:rsid w:val="00FA7529"/>
    <w:rsid w:val="00FA7B80"/>
    <w:rsid w:val="00FA7B8F"/>
    <w:rsid w:val="00FA7D4C"/>
    <w:rsid w:val="00FB0B18"/>
    <w:rsid w:val="00FB0CA5"/>
    <w:rsid w:val="00FB18EA"/>
    <w:rsid w:val="00FB22F3"/>
    <w:rsid w:val="00FB2ACA"/>
    <w:rsid w:val="00FB3A37"/>
    <w:rsid w:val="00FB41E8"/>
    <w:rsid w:val="00FB49DF"/>
    <w:rsid w:val="00FB5410"/>
    <w:rsid w:val="00FB5B4F"/>
    <w:rsid w:val="00FB5EC5"/>
    <w:rsid w:val="00FB60AE"/>
    <w:rsid w:val="00FB673E"/>
    <w:rsid w:val="00FB685F"/>
    <w:rsid w:val="00FB753B"/>
    <w:rsid w:val="00FB7FD5"/>
    <w:rsid w:val="00FC275C"/>
    <w:rsid w:val="00FC30EE"/>
    <w:rsid w:val="00FC3CF1"/>
    <w:rsid w:val="00FC3D57"/>
    <w:rsid w:val="00FC3EB4"/>
    <w:rsid w:val="00FC4B7E"/>
    <w:rsid w:val="00FC51B8"/>
    <w:rsid w:val="00FC5990"/>
    <w:rsid w:val="00FC5D3B"/>
    <w:rsid w:val="00FC5FD1"/>
    <w:rsid w:val="00FC6C2D"/>
    <w:rsid w:val="00FD03DD"/>
    <w:rsid w:val="00FD0667"/>
    <w:rsid w:val="00FD1297"/>
    <w:rsid w:val="00FD16AB"/>
    <w:rsid w:val="00FD1700"/>
    <w:rsid w:val="00FD182A"/>
    <w:rsid w:val="00FD2E3A"/>
    <w:rsid w:val="00FD3292"/>
    <w:rsid w:val="00FD38DC"/>
    <w:rsid w:val="00FD3F66"/>
    <w:rsid w:val="00FD41CF"/>
    <w:rsid w:val="00FD5344"/>
    <w:rsid w:val="00FD5450"/>
    <w:rsid w:val="00FD6457"/>
    <w:rsid w:val="00FD68C8"/>
    <w:rsid w:val="00FD726A"/>
    <w:rsid w:val="00FD755E"/>
    <w:rsid w:val="00FD7CD3"/>
    <w:rsid w:val="00FE0712"/>
    <w:rsid w:val="00FE088A"/>
    <w:rsid w:val="00FE3142"/>
    <w:rsid w:val="00FE3514"/>
    <w:rsid w:val="00FE410C"/>
    <w:rsid w:val="00FE41F9"/>
    <w:rsid w:val="00FE44C5"/>
    <w:rsid w:val="00FE4CF6"/>
    <w:rsid w:val="00FE4D97"/>
    <w:rsid w:val="00FE4FBA"/>
    <w:rsid w:val="00FE51C6"/>
    <w:rsid w:val="00FE60FD"/>
    <w:rsid w:val="00FE62B7"/>
    <w:rsid w:val="00FE65A0"/>
    <w:rsid w:val="00FE65A6"/>
    <w:rsid w:val="00FE6BE1"/>
    <w:rsid w:val="00FE6D7D"/>
    <w:rsid w:val="00FF1021"/>
    <w:rsid w:val="00FF1349"/>
    <w:rsid w:val="00FF141F"/>
    <w:rsid w:val="00FF3E69"/>
    <w:rsid w:val="00FF406D"/>
    <w:rsid w:val="00FF49D5"/>
    <w:rsid w:val="00FF5BF0"/>
    <w:rsid w:val="00FF5CE3"/>
    <w:rsid w:val="00FF6F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8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EC0D54"/>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EC0D54"/>
    <w:pPr>
      <w:keepNext/>
      <w:numPr>
        <w:numId w:val="5"/>
      </w:numPr>
      <w:ind w:right="1296"/>
      <w:outlineLvl w:val="0"/>
    </w:pPr>
    <w:rPr>
      <w:u w:val="single"/>
    </w:rPr>
  </w:style>
  <w:style w:type="paragraph" w:styleId="Heading2">
    <w:name w:val="heading 2"/>
    <w:basedOn w:val="Normal"/>
    <w:next w:val="Normal"/>
    <w:uiPriority w:val="99"/>
    <w:semiHidden/>
    <w:qFormat/>
    <w:locked/>
    <w:rsid w:val="00EC0D54"/>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EC0D54"/>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EC0D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0D54"/>
  </w:style>
  <w:style w:type="paragraph" w:styleId="Footer">
    <w:name w:val="footer"/>
    <w:basedOn w:val="Normal"/>
    <w:link w:val="FooterChar"/>
    <w:uiPriority w:val="43"/>
    <w:locked/>
    <w:rsid w:val="00EC0D54"/>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EC0D5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EC0D54"/>
    <w:pPr>
      <w:spacing w:before="240" w:line="240" w:lineRule="exact"/>
      <w:ind w:left="720" w:right="794" w:firstLine="0"/>
    </w:pPr>
  </w:style>
  <w:style w:type="paragraph" w:styleId="FootnoteText">
    <w:name w:val="footnote text"/>
    <w:basedOn w:val="Normal"/>
    <w:link w:val="FootnoteTextChar"/>
    <w:uiPriority w:val="53"/>
    <w:locked/>
    <w:rsid w:val="00EC0D54"/>
    <w:pPr>
      <w:spacing w:after="240" w:line="240" w:lineRule="exact"/>
      <w:ind w:left="510" w:hanging="510"/>
    </w:pPr>
  </w:style>
  <w:style w:type="character" w:styleId="FootnoteReference">
    <w:name w:val="footnote reference"/>
    <w:uiPriority w:val="51"/>
    <w:locked/>
    <w:rsid w:val="00EC0D54"/>
    <w:rPr>
      <w:b/>
      <w:sz w:val="28"/>
      <w:vertAlign w:val="superscript"/>
    </w:rPr>
  </w:style>
  <w:style w:type="paragraph" w:customStyle="1" w:styleId="FootIndAgain">
    <w:name w:val="FootIndAgain"/>
    <w:basedOn w:val="FootnoteText"/>
    <w:uiPriority w:val="47"/>
    <w:qFormat/>
    <w:locked/>
    <w:rsid w:val="00EC0D5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EC0D54"/>
    <w:pPr>
      <w:ind w:firstLine="0"/>
    </w:pPr>
  </w:style>
  <w:style w:type="character" w:customStyle="1" w:styleId="Heading1Char">
    <w:name w:val="Heading 1 Char"/>
    <w:uiPriority w:val="99"/>
    <w:semiHidden/>
    <w:locked/>
    <w:rsid w:val="00EC0D54"/>
    <w:rPr>
      <w:rFonts w:ascii="Univers" w:hAnsi="Univers"/>
      <w:sz w:val="26"/>
      <w:u w:val="single"/>
      <w:lang w:val="en-AU"/>
    </w:rPr>
  </w:style>
  <w:style w:type="character" w:customStyle="1" w:styleId="Heading2Char">
    <w:name w:val="Heading 2 Char"/>
    <w:uiPriority w:val="99"/>
    <w:semiHidden/>
    <w:locked/>
    <w:rsid w:val="00EC0D54"/>
    <w:rPr>
      <w:rFonts w:ascii="Arial" w:hAnsi="Arial"/>
      <w:b/>
      <w:i/>
      <w:sz w:val="24"/>
      <w:lang w:val="en-AU"/>
    </w:rPr>
  </w:style>
  <w:style w:type="character" w:customStyle="1" w:styleId="Heading3Char">
    <w:name w:val="Heading 3 Char"/>
    <w:uiPriority w:val="99"/>
    <w:semiHidden/>
    <w:locked/>
    <w:rsid w:val="00EC0D54"/>
    <w:rPr>
      <w:rFonts w:ascii="Arial" w:hAnsi="Arial"/>
      <w:sz w:val="24"/>
      <w:lang w:val="en-AU"/>
    </w:rPr>
  </w:style>
  <w:style w:type="paragraph" w:customStyle="1" w:styleId="NormalHC">
    <w:name w:val="Normal HC"/>
    <w:basedOn w:val="Normal"/>
    <w:uiPriority w:val="27"/>
    <w:qFormat/>
    <w:locked/>
    <w:rsid w:val="00EC0D54"/>
    <w:pPr>
      <w:numPr>
        <w:numId w:val="16"/>
      </w:numPr>
      <w:spacing w:after="480"/>
      <w:ind w:left="0" w:hanging="720"/>
    </w:pPr>
  </w:style>
  <w:style w:type="paragraph" w:customStyle="1" w:styleId="HeadingFirst">
    <w:name w:val="Heading First"/>
    <w:basedOn w:val="NormalHC"/>
    <w:next w:val="HeadingV"/>
    <w:uiPriority w:val="15"/>
    <w:qFormat/>
    <w:locked/>
    <w:rsid w:val="00EC0D54"/>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EC0D54"/>
    <w:pPr>
      <w:keepNext/>
      <w:numPr>
        <w:numId w:val="0"/>
      </w:numPr>
      <w:outlineLvl w:val="2"/>
    </w:pPr>
    <w:rPr>
      <w:b/>
      <w:szCs w:val="20"/>
    </w:rPr>
  </w:style>
  <w:style w:type="paragraph" w:customStyle="1" w:styleId="HeadingL2">
    <w:name w:val="Heading L2"/>
    <w:basedOn w:val="HeadingL1"/>
    <w:next w:val="NormalHC"/>
    <w:uiPriority w:val="23"/>
    <w:qFormat/>
    <w:locked/>
    <w:rsid w:val="00EC0D54"/>
    <w:pPr>
      <w:outlineLvl w:val="3"/>
    </w:pPr>
    <w:rPr>
      <w:b w:val="0"/>
      <w:i/>
    </w:rPr>
  </w:style>
  <w:style w:type="paragraph" w:customStyle="1" w:styleId="HeadingMatter">
    <w:name w:val="Heading Matter"/>
    <w:basedOn w:val="NormalHC"/>
    <w:next w:val="HeadingFirst"/>
    <w:uiPriority w:val="13"/>
    <w:qFormat/>
    <w:locked/>
    <w:rsid w:val="00EC0D54"/>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EC0D54"/>
    <w:pPr>
      <w:keepNext w:val="0"/>
    </w:pPr>
  </w:style>
  <w:style w:type="paragraph" w:customStyle="1" w:styleId="HeadingV">
    <w:name w:val="Heading V"/>
    <w:basedOn w:val="HeadingFirst"/>
    <w:next w:val="HeadingSecond"/>
    <w:uiPriority w:val="17"/>
    <w:qFormat/>
    <w:locked/>
    <w:rsid w:val="00EC0D54"/>
    <w:rPr>
      <w:caps w:val="0"/>
      <w:u w:val="none"/>
    </w:rPr>
  </w:style>
  <w:style w:type="paragraph" w:customStyle="1" w:styleId="LeftrightafterHC">
    <w:name w:val="Leftright after HC"/>
    <w:basedOn w:val="Normal"/>
    <w:next w:val="leftright"/>
    <w:uiPriority w:val="31"/>
    <w:qFormat/>
    <w:locked/>
    <w:rsid w:val="00EC0D54"/>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C0D54"/>
    <w:pPr>
      <w:ind w:firstLine="720"/>
    </w:pPr>
  </w:style>
  <w:style w:type="paragraph" w:customStyle="1" w:styleId="LeftrightHanging">
    <w:name w:val="LeftrightHanging"/>
    <w:basedOn w:val="NormalHC"/>
    <w:uiPriority w:val="35"/>
    <w:qFormat/>
    <w:locked/>
    <w:rsid w:val="00EC0D54"/>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C0D54"/>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C0D54"/>
    <w:pPr>
      <w:spacing w:before="200"/>
      <w:ind w:left="2160"/>
    </w:pPr>
  </w:style>
  <w:style w:type="paragraph" w:customStyle="1" w:styleId="NormalafterHd2nd">
    <w:name w:val="Normal after Hd2nd"/>
    <w:basedOn w:val="NormalHC"/>
    <w:next w:val="NormalHC"/>
    <w:uiPriority w:val="29"/>
    <w:locked/>
    <w:rsid w:val="00EC0D54"/>
    <w:pPr>
      <w:numPr>
        <w:numId w:val="0"/>
      </w:numPr>
      <w:spacing w:before="1000"/>
    </w:pPr>
  </w:style>
  <w:style w:type="character" w:customStyle="1" w:styleId="NormalHCChar">
    <w:name w:val="Normal HC Char"/>
    <w:uiPriority w:val="99"/>
    <w:semiHidden/>
    <w:locked/>
    <w:rsid w:val="00EC0D54"/>
    <w:rPr>
      <w:rFonts w:ascii="Univers" w:hAnsi="Univers"/>
      <w:sz w:val="26"/>
      <w:szCs w:val="26"/>
    </w:rPr>
  </w:style>
  <w:style w:type="character" w:customStyle="1" w:styleId="StyleFootnoteReferenceChar">
    <w:name w:val="Style Footnote Reference Char"/>
    <w:uiPriority w:val="99"/>
    <w:semiHidden/>
    <w:locked/>
    <w:rsid w:val="00EC0D54"/>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EC0D54"/>
  </w:style>
  <w:style w:type="paragraph" w:customStyle="1" w:styleId="HeadingJudgment">
    <w:name w:val="Heading Judgment"/>
    <w:basedOn w:val="Normal"/>
    <w:uiPriority w:val="59"/>
    <w:qFormat/>
    <w:locked/>
    <w:rsid w:val="00EC0D54"/>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EC0D54"/>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EC0D54"/>
    <w:pPr>
      <w:outlineLvl w:val="4"/>
    </w:pPr>
    <w:rPr>
      <w:b w:val="0"/>
    </w:rPr>
  </w:style>
  <w:style w:type="character" w:styleId="PageNumber">
    <w:name w:val="page number"/>
    <w:basedOn w:val="DefaultParagraphFont"/>
    <w:uiPriority w:val="57"/>
    <w:locked/>
    <w:rsid w:val="00EC0D54"/>
  </w:style>
  <w:style w:type="paragraph" w:styleId="BalloonText">
    <w:name w:val="Balloon Text"/>
    <w:basedOn w:val="Normal"/>
    <w:link w:val="BalloonTextChar"/>
    <w:semiHidden/>
    <w:locked/>
    <w:rsid w:val="00EC0D54"/>
    <w:rPr>
      <w:rFonts w:ascii="Tahoma" w:hAnsi="Tahoma" w:cs="Tahoma"/>
      <w:sz w:val="16"/>
      <w:szCs w:val="16"/>
      <w:lang w:eastAsia="en-US"/>
    </w:rPr>
  </w:style>
  <w:style w:type="character" w:customStyle="1" w:styleId="BalloonTextChar">
    <w:name w:val="Balloon Text Char"/>
    <w:basedOn w:val="DefaultParagraphFont"/>
    <w:link w:val="BalloonText"/>
    <w:semiHidden/>
    <w:rsid w:val="00EC0D54"/>
    <w:rPr>
      <w:rFonts w:ascii="Tahoma" w:hAnsi="Tahoma" w:cs="Tahoma"/>
      <w:sz w:val="16"/>
      <w:szCs w:val="16"/>
      <w:lang w:eastAsia="en-US"/>
    </w:rPr>
  </w:style>
  <w:style w:type="paragraph" w:customStyle="1" w:styleId="ClosingText">
    <w:name w:val="Closing Text"/>
    <w:basedOn w:val="Normal"/>
    <w:uiPriority w:val="98"/>
    <w:semiHidden/>
    <w:qFormat/>
    <w:locked/>
    <w:rsid w:val="00EC0D54"/>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EC0D54"/>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EC0D54"/>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EC0D54"/>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EC0D54"/>
    <w:rPr>
      <w:szCs w:val="20"/>
      <w:lang w:eastAsia="en-US"/>
    </w:rPr>
  </w:style>
  <w:style w:type="paragraph" w:customStyle="1" w:styleId="NormalBody">
    <w:name w:val="Normal Body"/>
    <w:basedOn w:val="NormalHC"/>
    <w:uiPriority w:val="28"/>
    <w:qFormat/>
    <w:locked/>
    <w:rsid w:val="00EC0D54"/>
    <w:pPr>
      <w:numPr>
        <w:numId w:val="0"/>
      </w:numPr>
    </w:pPr>
    <w:rPr>
      <w:lang w:eastAsia="en-US"/>
    </w:rPr>
  </w:style>
  <w:style w:type="paragraph" w:customStyle="1" w:styleId="StyleFootnoteReference">
    <w:name w:val="Style Footnote Reference"/>
    <w:basedOn w:val="Normal"/>
    <w:next w:val="Normal"/>
    <w:semiHidden/>
    <w:rsid w:val="00EC0D54"/>
    <w:rPr>
      <w:vertAlign w:val="superscript"/>
      <w:lang w:eastAsia="en-US"/>
    </w:rPr>
  </w:style>
  <w:style w:type="paragraph" w:styleId="ListNumber">
    <w:name w:val="List Number"/>
    <w:basedOn w:val="Normal"/>
    <w:uiPriority w:val="56"/>
    <w:locked/>
    <w:rsid w:val="00EC0D54"/>
    <w:pPr>
      <w:numPr>
        <w:numId w:val="11"/>
      </w:numPr>
      <w:contextualSpacing/>
    </w:pPr>
  </w:style>
  <w:style w:type="paragraph" w:customStyle="1" w:styleId="FixListStyle">
    <w:name w:val="FixListStyle"/>
    <w:basedOn w:val="Normal"/>
    <w:uiPriority w:val="99"/>
    <w:qFormat/>
    <w:rsid w:val="00EC0D54"/>
    <w:pPr>
      <w:numPr>
        <w:numId w:val="19"/>
      </w:numPr>
      <w:spacing w:after="480"/>
      <w:ind w:left="0" w:hanging="720"/>
    </w:pPr>
  </w:style>
  <w:style w:type="paragraph" w:customStyle="1" w:styleId="CatchwordsBold">
    <w:name w:val="Catchwords Bold"/>
    <w:basedOn w:val="Normal"/>
    <w:link w:val="CatchwordsBoldChar"/>
    <w:qFormat/>
    <w:rsid w:val="00EC0D54"/>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EC0D54"/>
    <w:rPr>
      <w:rFonts w:ascii="Times New Roman" w:hAnsi="Times New Roman"/>
      <w:b/>
      <w:szCs w:val="20"/>
    </w:rPr>
  </w:style>
  <w:style w:type="paragraph" w:customStyle="1" w:styleId="CatchwordsRight">
    <w:name w:val="Catchwords Right"/>
    <w:basedOn w:val="Normal"/>
    <w:link w:val="CatchwordsRightChar"/>
    <w:qFormat/>
    <w:rsid w:val="00EC0D54"/>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EC0D54"/>
    <w:rPr>
      <w:rFonts w:ascii="Times New Roman" w:hAnsi="Times New Roman"/>
      <w:szCs w:val="20"/>
    </w:rPr>
  </w:style>
  <w:style w:type="paragraph" w:customStyle="1" w:styleId="CatchwordsText">
    <w:name w:val="Catchwords Text"/>
    <w:basedOn w:val="Normal"/>
    <w:link w:val="CatchwordsTextChar"/>
    <w:qFormat/>
    <w:rsid w:val="00EC0D54"/>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EC0D54"/>
    <w:rPr>
      <w:rFonts w:ascii="Times New Roman" w:hAnsi="Times New Roman"/>
      <w:szCs w:val="20"/>
    </w:rPr>
  </w:style>
  <w:style w:type="paragraph" w:customStyle="1" w:styleId="CenteredBorder">
    <w:name w:val="Centered Border"/>
    <w:qFormat/>
    <w:rsid w:val="00EC0D54"/>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EC0D54"/>
    <w:pPr>
      <w:jc w:val="center"/>
    </w:pPr>
    <w:rPr>
      <w:rFonts w:ascii="Times New Roman" w:hAnsi="Times New Roman"/>
      <w:b/>
      <w:bCs/>
      <w:szCs w:val="20"/>
      <w:lang w:val="en-GB"/>
    </w:rPr>
  </w:style>
  <w:style w:type="character" w:customStyle="1" w:styleId="OrderCentred">
    <w:name w:val="Order Centred"/>
    <w:semiHidden/>
    <w:rsid w:val="00EC0D54"/>
    <w:rPr>
      <w:b/>
      <w:bCs/>
      <w:sz w:val="26"/>
    </w:rPr>
  </w:style>
  <w:style w:type="paragraph" w:customStyle="1" w:styleId="OrdersTopLine">
    <w:name w:val="Orders TopLine"/>
    <w:qFormat/>
    <w:rsid w:val="00EC0D54"/>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EC0D5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EC0D5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EC0D54"/>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EC0D5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EC0D54"/>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EC0D54"/>
    <w:rPr>
      <w:rFonts w:ascii="Times New Roman" w:hAnsi="Times New Roman"/>
      <w:i/>
      <w:lang w:eastAsia="en-US"/>
    </w:rPr>
  </w:style>
  <w:style w:type="paragraph" w:customStyle="1" w:styleId="OrdersIndentLevel2i">
    <w:name w:val="Orders Indent Level 2 (i)"/>
    <w:basedOn w:val="Normal"/>
    <w:link w:val="OrdersIndentLevel2iChar"/>
    <w:qFormat/>
    <w:rsid w:val="00EC0D54"/>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EC0D54"/>
    <w:rPr>
      <w:rFonts w:ascii="Times New Roman" w:hAnsi="Times New Roman"/>
      <w:i/>
      <w:lang w:eastAsia="en-US"/>
    </w:rPr>
  </w:style>
  <w:style w:type="paragraph" w:customStyle="1" w:styleId="OrdersMatter">
    <w:name w:val="Orders Matter"/>
    <w:basedOn w:val="OrderCentreBold"/>
    <w:link w:val="OrdersMatterChar"/>
    <w:qFormat/>
    <w:rsid w:val="00EC0D54"/>
  </w:style>
  <w:style w:type="character" w:customStyle="1" w:styleId="OrdersMatterChar">
    <w:name w:val="Orders Matter Char"/>
    <w:link w:val="OrdersMatter"/>
    <w:rsid w:val="00EC0D54"/>
    <w:rPr>
      <w:rFonts w:ascii="Times New Roman" w:hAnsi="Times New Roman"/>
      <w:b/>
      <w:bCs/>
      <w:szCs w:val="20"/>
      <w:lang w:val="en-GB"/>
    </w:rPr>
  </w:style>
  <w:style w:type="paragraph" w:customStyle="1" w:styleId="OrdersNotice">
    <w:name w:val="Orders Notice"/>
    <w:rsid w:val="00EC0D54"/>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EC0D54"/>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EC0D54"/>
    <w:rPr>
      <w:rFonts w:ascii="Times New Roman" w:hAnsi="Times New Roman"/>
      <w:szCs w:val="20"/>
      <w:lang w:eastAsia="en-US"/>
    </w:rPr>
  </w:style>
  <w:style w:type="paragraph" w:customStyle="1" w:styleId="OrdersText">
    <w:name w:val="Orders Text"/>
    <w:basedOn w:val="Normal"/>
    <w:link w:val="OrdersTextChar"/>
    <w:qFormat/>
    <w:rsid w:val="00EC0D54"/>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EC0D54"/>
    <w:rPr>
      <w:rFonts w:ascii="Times New Roman" w:hAnsi="Times New Roman"/>
      <w:i/>
      <w:lang w:eastAsia="en-US"/>
    </w:rPr>
  </w:style>
  <w:style w:type="paragraph" w:customStyle="1" w:styleId="OrdersCenteredBorder">
    <w:name w:val="Orders Centered Border"/>
    <w:qFormat/>
    <w:rsid w:val="00EC0D54"/>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EC0D54"/>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EC0D54"/>
    <w:rPr>
      <w:rFonts w:ascii="Times New Roman" w:hAnsi="Times New Roman"/>
      <w:szCs w:val="20"/>
    </w:rPr>
  </w:style>
  <w:style w:type="paragraph" w:customStyle="1" w:styleId="LRHangingafterHC">
    <w:name w:val="LR Hanging after HC"/>
    <w:basedOn w:val="Normal"/>
    <w:next w:val="LeftrightHanging"/>
    <w:uiPriority w:val="99"/>
    <w:qFormat/>
    <w:rsid w:val="00EC0D54"/>
    <w:pPr>
      <w:spacing w:before="720" w:line="240" w:lineRule="exact"/>
      <w:ind w:left="1440" w:right="794" w:hanging="720"/>
    </w:pPr>
  </w:style>
  <w:style w:type="paragraph" w:styleId="Revision">
    <w:name w:val="Revision"/>
    <w:hidden/>
    <w:uiPriority w:val="99"/>
    <w:semiHidden/>
    <w:rsid w:val="00C30325"/>
  </w:style>
  <w:style w:type="character" w:styleId="CommentReference">
    <w:name w:val="annotation reference"/>
    <w:basedOn w:val="DefaultParagraphFont"/>
    <w:uiPriority w:val="99"/>
    <w:semiHidden/>
    <w:unhideWhenUsed/>
    <w:locked/>
    <w:rsid w:val="00A91967"/>
    <w:rPr>
      <w:sz w:val="16"/>
      <w:szCs w:val="16"/>
    </w:rPr>
  </w:style>
  <w:style w:type="paragraph" w:styleId="CommentText">
    <w:name w:val="annotation text"/>
    <w:basedOn w:val="Normal"/>
    <w:link w:val="CommentTextChar"/>
    <w:uiPriority w:val="99"/>
    <w:unhideWhenUsed/>
    <w:locked/>
    <w:rsid w:val="00A91967"/>
    <w:pPr>
      <w:spacing w:line="240" w:lineRule="auto"/>
    </w:pPr>
    <w:rPr>
      <w:sz w:val="20"/>
      <w:szCs w:val="20"/>
    </w:rPr>
  </w:style>
  <w:style w:type="character" w:customStyle="1" w:styleId="CommentTextChar">
    <w:name w:val="Comment Text Char"/>
    <w:basedOn w:val="DefaultParagraphFont"/>
    <w:link w:val="CommentText"/>
    <w:uiPriority w:val="99"/>
    <w:rsid w:val="00A91967"/>
    <w:rPr>
      <w:sz w:val="20"/>
      <w:szCs w:val="20"/>
    </w:rPr>
  </w:style>
  <w:style w:type="paragraph" w:styleId="CommentSubject">
    <w:name w:val="annotation subject"/>
    <w:basedOn w:val="CommentText"/>
    <w:next w:val="CommentText"/>
    <w:link w:val="CommentSubjectChar"/>
    <w:uiPriority w:val="99"/>
    <w:semiHidden/>
    <w:unhideWhenUsed/>
    <w:locked/>
    <w:rsid w:val="00A91967"/>
    <w:rPr>
      <w:b/>
      <w:bCs/>
    </w:rPr>
  </w:style>
  <w:style w:type="character" w:customStyle="1" w:styleId="CommentSubjectChar">
    <w:name w:val="Comment Subject Char"/>
    <w:basedOn w:val="CommentTextChar"/>
    <w:link w:val="CommentSubject"/>
    <w:uiPriority w:val="99"/>
    <w:semiHidden/>
    <w:rsid w:val="00A91967"/>
    <w:rPr>
      <w:b/>
      <w:bCs/>
      <w:sz w:val="20"/>
      <w:szCs w:val="20"/>
    </w:rPr>
  </w:style>
  <w:style w:type="character" w:styleId="Emphasis">
    <w:name w:val="Emphasis"/>
    <w:basedOn w:val="DefaultParagraphFont"/>
    <w:uiPriority w:val="20"/>
    <w:qFormat/>
    <w:locked/>
    <w:rsid w:val="005C789E"/>
    <w:rPr>
      <w:i/>
      <w:iCs/>
    </w:rPr>
  </w:style>
  <w:style w:type="character" w:customStyle="1" w:styleId="lewnzc">
    <w:name w:val="lewnzc"/>
    <w:basedOn w:val="DefaultParagraphFont"/>
    <w:rsid w:val="005C789E"/>
  </w:style>
  <w:style w:type="character" w:customStyle="1" w:styleId="FootnoteTextChar">
    <w:name w:val="Footnote Text Char"/>
    <w:basedOn w:val="DefaultParagraphFont"/>
    <w:link w:val="FootnoteText"/>
    <w:uiPriority w:val="53"/>
    <w:rsid w:val="005C789E"/>
  </w:style>
  <w:style w:type="character" w:styleId="Hyperlink">
    <w:name w:val="Hyperlink"/>
    <w:basedOn w:val="DefaultParagraphFont"/>
    <w:uiPriority w:val="99"/>
    <w:semiHidden/>
    <w:unhideWhenUsed/>
    <w:locked/>
    <w:rsid w:val="005C789E"/>
    <w:rPr>
      <w:color w:val="0000FF"/>
      <w:u w:val="single"/>
    </w:rPr>
  </w:style>
  <w:style w:type="paragraph" w:styleId="ListParagraph">
    <w:name w:val="List Paragraph"/>
    <w:basedOn w:val="Normal"/>
    <w:uiPriority w:val="34"/>
    <w:qFormat/>
    <w:locked/>
    <w:rsid w:val="005C789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left="720" w:right="0" w:firstLine="0"/>
    </w:pPr>
    <w:rPr>
      <w:rFonts w:ascii="Calibri" w:eastAsiaTheme="minorHAnsi" w:hAnsi="Calibri" w:cs="Calibri"/>
      <w:sz w:val="22"/>
      <w:szCs w:val="22"/>
      <w:lang w:eastAsia="en-US"/>
      <w14:ligatures w14:val="standardContextual"/>
    </w:rPr>
  </w:style>
  <w:style w:type="paragraph" w:customStyle="1" w:styleId="Quote1">
    <w:name w:val="Quote1"/>
    <w:basedOn w:val="Normal"/>
    <w:qFormat/>
    <w:rsid w:val="005C789E"/>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59" w:lineRule="auto"/>
      <w:ind w:left="720" w:right="0" w:firstLine="0"/>
    </w:pPr>
    <w:rPr>
      <w:rFonts w:ascii="Times New Roman" w:eastAsiaTheme="minorHAnsi" w:hAnsi="Times New Roman"/>
      <w:sz w:val="23"/>
      <w:szCs w:val="24"/>
      <w:lang w:eastAsia="en-US"/>
    </w:rPr>
  </w:style>
  <w:style w:type="paragraph" w:customStyle="1" w:styleId="Default">
    <w:name w:val="Default"/>
    <w:rsid w:val="005C789E"/>
    <w:pPr>
      <w:autoSpaceDE w:val="0"/>
      <w:autoSpaceDN w:val="0"/>
      <w:adjustRightInd w:val="0"/>
    </w:pPr>
    <w:rPr>
      <w:rFonts w:cs="Univers"/>
      <w:color w:val="000000"/>
      <w:sz w:val="24"/>
      <w:szCs w:val="24"/>
    </w:rPr>
  </w:style>
  <w:style w:type="character" w:customStyle="1" w:styleId="cf01">
    <w:name w:val="cf01"/>
    <w:basedOn w:val="DefaultParagraphFont"/>
    <w:rsid w:val="005C789E"/>
    <w:rPr>
      <w:rFonts w:ascii="Segoe UI" w:hAnsi="Segoe UI" w:cs="Segoe UI" w:hint="default"/>
      <w:i/>
      <w:iCs/>
      <w:sz w:val="18"/>
      <w:szCs w:val="18"/>
    </w:rPr>
  </w:style>
  <w:style w:type="character" w:customStyle="1" w:styleId="cf11">
    <w:name w:val="cf11"/>
    <w:basedOn w:val="DefaultParagraphFont"/>
    <w:rsid w:val="005C789E"/>
    <w:rPr>
      <w:rFonts w:ascii="Segoe UI" w:hAnsi="Segoe UI" w:cs="Segoe UI" w:hint="default"/>
      <w:sz w:val="18"/>
      <w:szCs w:val="18"/>
    </w:rPr>
  </w:style>
  <w:style w:type="paragraph" w:styleId="EndnoteText">
    <w:name w:val="endnote text"/>
    <w:basedOn w:val="Normal"/>
    <w:link w:val="EndnoteTextChar"/>
    <w:uiPriority w:val="99"/>
    <w:semiHidden/>
    <w:unhideWhenUsed/>
    <w:locked/>
    <w:rsid w:val="005C789E"/>
    <w:pPr>
      <w:spacing w:line="240" w:lineRule="auto"/>
    </w:pPr>
    <w:rPr>
      <w:sz w:val="20"/>
      <w:szCs w:val="20"/>
    </w:rPr>
  </w:style>
  <w:style w:type="character" w:customStyle="1" w:styleId="EndnoteTextChar">
    <w:name w:val="Endnote Text Char"/>
    <w:basedOn w:val="DefaultParagraphFont"/>
    <w:link w:val="EndnoteText"/>
    <w:uiPriority w:val="99"/>
    <w:semiHidden/>
    <w:rsid w:val="005C789E"/>
    <w:rPr>
      <w:sz w:val="20"/>
      <w:szCs w:val="20"/>
    </w:rPr>
  </w:style>
  <w:style w:type="character" w:styleId="EndnoteReference">
    <w:name w:val="endnote reference"/>
    <w:basedOn w:val="DefaultParagraphFont"/>
    <w:uiPriority w:val="99"/>
    <w:semiHidden/>
    <w:unhideWhenUsed/>
    <w:locked/>
    <w:rsid w:val="005C789E"/>
    <w:rPr>
      <w:vertAlign w:val="superscript"/>
    </w:rPr>
  </w:style>
  <w:style w:type="paragraph" w:customStyle="1" w:styleId="Body">
    <w:name w:val="Body"/>
    <w:basedOn w:val="Normal"/>
    <w:qFormat/>
    <w:rsid w:val="00CF754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F754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F754B"/>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F754B"/>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F754B"/>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F754B"/>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17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10BD71-624F-4C5A-9CC0-64456959C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615A2058-E824-4809-A0E0-9E3AA5234F97}">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45</Pages>
  <Words>13364</Words>
  <Characters>66820</Characters>
  <Application>Microsoft Office Word</Application>
  <DocSecurity>0</DocSecurity>
  <Lines>1077</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2024-09-09T23:31:00Z</dcterms:created>
  <dcterms:modified xsi:type="dcterms:W3CDTF">2024-09-10T07:48:00Z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