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7645" w14:textId="77777777" w:rsidR="004D6D11" w:rsidRPr="00704FF8" w:rsidRDefault="004D6D11" w:rsidP="00704FF8">
      <w:pPr>
        <w:pStyle w:val="OrdersTopLine"/>
      </w:pPr>
      <w:r w:rsidRPr="00704FF8">
        <w:t>HIGH COURT OF AUSTRALIA</w:t>
      </w:r>
    </w:p>
    <w:p w14:paraId="4D0110A1" w14:textId="77777777" w:rsidR="004D6D11" w:rsidRPr="00704FF8" w:rsidRDefault="004D6D11" w:rsidP="00704FF8">
      <w:pPr>
        <w:pStyle w:val="OrderCentre"/>
      </w:pPr>
    </w:p>
    <w:p w14:paraId="3CE7C8FB" w14:textId="77777777" w:rsidR="004D6D11" w:rsidRPr="00C46004" w:rsidRDefault="004D6D11" w:rsidP="00704FF8">
      <w:pPr>
        <w:pStyle w:val="OrderCentre"/>
        <w:rPr>
          <w:spacing w:val="-4"/>
          <w:sz w:val="24"/>
          <w:szCs w:val="24"/>
        </w:rPr>
      </w:pPr>
      <w:r w:rsidRPr="00C46004">
        <w:rPr>
          <w:spacing w:val="-4"/>
          <w:sz w:val="24"/>
          <w:szCs w:val="24"/>
        </w:rPr>
        <w:t>GAGELER CJ,</w:t>
      </w:r>
    </w:p>
    <w:p w14:paraId="23160C84" w14:textId="77777777" w:rsidR="004D6D11" w:rsidRPr="00704FF8" w:rsidRDefault="004D6D11" w:rsidP="00704FF8">
      <w:pPr>
        <w:pStyle w:val="OrderCentre"/>
      </w:pPr>
      <w:r w:rsidRPr="00C46004">
        <w:rPr>
          <w:spacing w:val="-4"/>
          <w:sz w:val="24"/>
          <w:szCs w:val="24"/>
        </w:rPr>
        <w:t>EDELMAN, STEWARD, GLEESON AND JAGOT JJ</w:t>
      </w:r>
    </w:p>
    <w:p w14:paraId="1FEAFACC" w14:textId="77777777" w:rsidR="004D6D11" w:rsidRPr="00427F3A" w:rsidRDefault="004D6D11" w:rsidP="00EE5374">
      <w:pPr>
        <w:pStyle w:val="Centre"/>
        <w:rPr>
          <w:lang w:val="en-AU"/>
        </w:rPr>
      </w:pPr>
    </w:p>
    <w:p w14:paraId="14A42B98" w14:textId="77777777" w:rsidR="004D6D11" w:rsidRPr="00704FF8" w:rsidRDefault="004D6D11" w:rsidP="00704FF8">
      <w:pPr>
        <w:pStyle w:val="OrdersCenteredBorder"/>
      </w:pPr>
    </w:p>
    <w:p w14:paraId="792924A1" w14:textId="77777777" w:rsidR="004D6D11" w:rsidRPr="00704FF8" w:rsidRDefault="004D6D11" w:rsidP="0032341F">
      <w:pPr>
        <w:pStyle w:val="OrdersBodyHeading"/>
      </w:pPr>
    </w:p>
    <w:p w14:paraId="3A6F4074" w14:textId="77777777" w:rsidR="004D6D11" w:rsidRPr="0032341F" w:rsidRDefault="004D6D11" w:rsidP="009362E8">
      <w:pPr>
        <w:pStyle w:val="OrdersPartyName"/>
        <w:ind w:right="-1"/>
      </w:pPr>
      <w:r w:rsidRPr="00945691">
        <w:t>AUTOMOTIVE INVEST PTY LIMITED</w:t>
      </w:r>
      <w:r w:rsidRPr="0032341F">
        <w:tab/>
        <w:t>APPELLANT</w:t>
      </w:r>
    </w:p>
    <w:p w14:paraId="590887AB" w14:textId="77777777" w:rsidR="004D6D11" w:rsidRPr="0032341F" w:rsidRDefault="004D6D11" w:rsidP="009362E8">
      <w:pPr>
        <w:pStyle w:val="OrdersPartyName"/>
        <w:ind w:right="-1"/>
      </w:pPr>
    </w:p>
    <w:p w14:paraId="374989AE" w14:textId="77777777" w:rsidR="004D6D11" w:rsidRPr="0032341F" w:rsidRDefault="004D6D11" w:rsidP="009362E8">
      <w:pPr>
        <w:pStyle w:val="OrdersPartyName"/>
        <w:ind w:right="-1"/>
      </w:pPr>
      <w:r w:rsidRPr="0032341F">
        <w:t>AND</w:t>
      </w:r>
    </w:p>
    <w:p w14:paraId="1B33BAE5" w14:textId="77777777" w:rsidR="004D6D11" w:rsidRPr="0032341F" w:rsidRDefault="004D6D11" w:rsidP="009362E8">
      <w:pPr>
        <w:pStyle w:val="OrdersPartyName"/>
        <w:ind w:right="-1"/>
      </w:pPr>
    </w:p>
    <w:p w14:paraId="2A959F23" w14:textId="77777777" w:rsidR="004D6D11" w:rsidRPr="0032341F" w:rsidRDefault="004D6D11" w:rsidP="009362E8">
      <w:pPr>
        <w:pStyle w:val="OrdersPartyName"/>
        <w:ind w:right="-1"/>
      </w:pPr>
      <w:r w:rsidRPr="00945691">
        <w:t>COMMISSIONER OF TAXATION</w:t>
      </w:r>
      <w:r w:rsidRPr="0032341F">
        <w:tab/>
        <w:t>RESPONDENT</w:t>
      </w:r>
    </w:p>
    <w:p w14:paraId="4906C12E" w14:textId="77777777" w:rsidR="004D6D11" w:rsidRPr="00427F3A" w:rsidRDefault="004D6D11" w:rsidP="00AF0A5E">
      <w:pPr>
        <w:pStyle w:val="BodyHeading"/>
      </w:pPr>
    </w:p>
    <w:p w14:paraId="232DD5C8" w14:textId="77777777" w:rsidR="004D6D11" w:rsidRPr="00427F3A" w:rsidRDefault="004D6D11" w:rsidP="00BE0A6C">
      <w:pPr>
        <w:pStyle w:val="BodyHeading"/>
      </w:pPr>
    </w:p>
    <w:p w14:paraId="306F2BDB" w14:textId="77777777" w:rsidR="004D6D11" w:rsidRPr="00427F3A" w:rsidRDefault="004D6D11" w:rsidP="00EE5374">
      <w:pPr>
        <w:pStyle w:val="CentreItalics"/>
      </w:pPr>
      <w:r w:rsidRPr="00945691">
        <w:t>Automotive Invest Pty Limited v Commissioner of Taxation</w:t>
      </w:r>
    </w:p>
    <w:p w14:paraId="33F22E00" w14:textId="77777777" w:rsidR="004D6D11" w:rsidRPr="00427F3A" w:rsidRDefault="004D6D11" w:rsidP="00E90E4F">
      <w:pPr>
        <w:pStyle w:val="OrdersCentre"/>
      </w:pPr>
      <w:r>
        <w:t>[2024</w:t>
      </w:r>
      <w:r w:rsidRPr="00427F3A">
        <w:t xml:space="preserve">] HCA </w:t>
      </w:r>
      <w:r>
        <w:t>36</w:t>
      </w:r>
    </w:p>
    <w:p w14:paraId="6CDB8DBD" w14:textId="77777777" w:rsidR="004D6D11" w:rsidRDefault="004D6D11" w:rsidP="00E90E4F">
      <w:pPr>
        <w:pStyle w:val="OrdersCentreItalics"/>
      </w:pPr>
      <w:r>
        <w:t xml:space="preserve">Date of Hearing: </w:t>
      </w:r>
      <w:r w:rsidRPr="00945691">
        <w:t>13 June 2024</w:t>
      </w:r>
    </w:p>
    <w:p w14:paraId="3DD98066" w14:textId="77777777" w:rsidR="004D6D11" w:rsidRPr="00427F3A" w:rsidRDefault="004D6D11" w:rsidP="00E90E4F">
      <w:pPr>
        <w:pStyle w:val="OrdersCentreItalics"/>
      </w:pPr>
      <w:r>
        <w:t>Date of Judgment: 16 October 2024</w:t>
      </w:r>
    </w:p>
    <w:p w14:paraId="5C1FA2E4" w14:textId="77777777" w:rsidR="004D6D11" w:rsidRDefault="004D6D11" w:rsidP="00E90E4F">
      <w:pPr>
        <w:pStyle w:val="OrdersCentre"/>
      </w:pPr>
      <w:r w:rsidRPr="00945691">
        <w:t>S170/2023</w:t>
      </w:r>
    </w:p>
    <w:p w14:paraId="44B8FCDD" w14:textId="77777777" w:rsidR="004D6D11" w:rsidRPr="00427F3A" w:rsidRDefault="004D6D11" w:rsidP="00E90E4F">
      <w:pPr>
        <w:pStyle w:val="OrdersCentre"/>
      </w:pPr>
    </w:p>
    <w:p w14:paraId="07C983AE" w14:textId="77777777" w:rsidR="004D6D11" w:rsidRPr="00BE0A6C" w:rsidRDefault="004D6D11" w:rsidP="00E90E4F">
      <w:pPr>
        <w:pStyle w:val="OrderCentreBold"/>
      </w:pPr>
      <w:r w:rsidRPr="00BE0A6C">
        <w:t>ORDER</w:t>
      </w:r>
    </w:p>
    <w:p w14:paraId="58CD5212" w14:textId="77777777" w:rsidR="004D6D11" w:rsidRPr="00427F3A" w:rsidRDefault="004D6D11" w:rsidP="00736C52">
      <w:pPr>
        <w:pStyle w:val="Centre"/>
        <w:rPr>
          <w:lang w:val="en-AU"/>
        </w:rPr>
      </w:pPr>
    </w:p>
    <w:p w14:paraId="57D26EA7" w14:textId="77777777" w:rsidR="004D6D11" w:rsidRDefault="004D6D11" w:rsidP="00F023A0">
      <w:pPr>
        <w:pStyle w:val="OrdersText"/>
      </w:pPr>
      <w:r>
        <w:t>1.</w:t>
      </w:r>
      <w:r>
        <w:tab/>
        <w:t xml:space="preserve">Appeal allowed with costs. </w:t>
      </w:r>
    </w:p>
    <w:p w14:paraId="3EEBEF02" w14:textId="77777777" w:rsidR="004D6D11" w:rsidRPr="00B92BF7" w:rsidRDefault="004D6D11" w:rsidP="00F023A0">
      <w:pPr>
        <w:pStyle w:val="OrdersText"/>
      </w:pPr>
    </w:p>
    <w:p w14:paraId="7C3D009B" w14:textId="77777777" w:rsidR="004D6D11" w:rsidRDefault="004D6D11" w:rsidP="00F023A0">
      <w:pPr>
        <w:pStyle w:val="OrdersText"/>
      </w:pPr>
      <w:r>
        <w:t>2.</w:t>
      </w:r>
      <w:r>
        <w:tab/>
        <w:t xml:space="preserve">Set aside the orders of the Full Court of the Federal Court of Australia made on 11 August 2023 and, in their place, order that: </w:t>
      </w:r>
    </w:p>
    <w:p w14:paraId="4B4D3531" w14:textId="77777777" w:rsidR="004D6D11" w:rsidRDefault="004D6D11" w:rsidP="00F023A0">
      <w:pPr>
        <w:pStyle w:val="OrdersText"/>
      </w:pPr>
    </w:p>
    <w:p w14:paraId="6BFE6E71" w14:textId="39ED9FF9" w:rsidR="004D6D11" w:rsidRDefault="004D6D11" w:rsidP="00B74217">
      <w:pPr>
        <w:pStyle w:val="OrdersText"/>
        <w:ind w:left="1418"/>
      </w:pPr>
      <w:r>
        <w:t>(a)</w:t>
      </w:r>
      <w:r>
        <w:tab/>
        <w:t xml:space="preserve">appeal allowed with costs; </w:t>
      </w:r>
    </w:p>
    <w:p w14:paraId="1ADFD67F" w14:textId="77777777" w:rsidR="004D6D11" w:rsidRDefault="004D6D11" w:rsidP="00B74217">
      <w:pPr>
        <w:pStyle w:val="OrdersText"/>
        <w:ind w:left="1418"/>
      </w:pPr>
    </w:p>
    <w:p w14:paraId="183479EA" w14:textId="77777777" w:rsidR="004D6D11" w:rsidRDefault="004D6D11" w:rsidP="00B74217">
      <w:pPr>
        <w:pStyle w:val="OrdersText"/>
        <w:ind w:left="1418"/>
      </w:pPr>
      <w:r>
        <w:t>(b)</w:t>
      </w:r>
      <w:r>
        <w:tab/>
        <w:t>set aside the orders of the Federal Court of Australia made on 19 April 2022 and, in their place, order that:</w:t>
      </w:r>
    </w:p>
    <w:p w14:paraId="3035CD31" w14:textId="77777777" w:rsidR="004D6D11" w:rsidRDefault="004D6D11" w:rsidP="00B74217">
      <w:pPr>
        <w:pStyle w:val="OrdersText"/>
        <w:ind w:left="1418"/>
      </w:pPr>
    </w:p>
    <w:p w14:paraId="1B0D99B5" w14:textId="77777777" w:rsidR="004D6D11" w:rsidRDefault="004D6D11" w:rsidP="007660FF">
      <w:pPr>
        <w:pStyle w:val="OrdersText"/>
        <w:ind w:left="2127"/>
      </w:pPr>
      <w:r>
        <w:t>(i)</w:t>
      </w:r>
      <w:r>
        <w:tab/>
        <w:t xml:space="preserve">the applicant's appeal against the respondent's objection decision be allowed; </w:t>
      </w:r>
    </w:p>
    <w:p w14:paraId="73CE847A" w14:textId="77777777" w:rsidR="004D6D11" w:rsidRDefault="004D6D11" w:rsidP="007660FF">
      <w:pPr>
        <w:pStyle w:val="OrdersText"/>
        <w:ind w:left="2127"/>
      </w:pPr>
    </w:p>
    <w:p w14:paraId="54BD2059" w14:textId="77777777" w:rsidR="004D6D11" w:rsidRDefault="004D6D11" w:rsidP="007660FF">
      <w:pPr>
        <w:pStyle w:val="OrdersText"/>
        <w:ind w:left="2127"/>
      </w:pPr>
      <w:r>
        <w:t>(ii)</w:t>
      </w:r>
      <w:r>
        <w:tab/>
        <w:t>the objection decision be set aside, and the applicant's objection be allowed in full; and</w:t>
      </w:r>
    </w:p>
    <w:p w14:paraId="768EE30D" w14:textId="77777777" w:rsidR="004D6D11" w:rsidRDefault="004D6D11" w:rsidP="007660FF">
      <w:pPr>
        <w:pStyle w:val="OrdersText"/>
        <w:ind w:left="2127"/>
      </w:pPr>
    </w:p>
    <w:p w14:paraId="62A95910" w14:textId="77777777" w:rsidR="004D6D11" w:rsidRDefault="004D6D11" w:rsidP="007660FF">
      <w:pPr>
        <w:pStyle w:val="OrdersText"/>
        <w:ind w:left="2127"/>
      </w:pPr>
      <w:r>
        <w:t>(iii)</w:t>
      </w:r>
      <w:r>
        <w:tab/>
        <w:t>the respondent pay the applicant's costs of the proceedings.</w:t>
      </w:r>
    </w:p>
    <w:p w14:paraId="15CAB805" w14:textId="77777777" w:rsidR="004D6D11" w:rsidRDefault="004D6D11" w:rsidP="00EE5374">
      <w:pPr>
        <w:pStyle w:val="Body"/>
      </w:pPr>
    </w:p>
    <w:p w14:paraId="1D025F4D" w14:textId="77777777" w:rsidR="004D6D11" w:rsidRPr="00427F3A" w:rsidRDefault="004D6D11" w:rsidP="00EE5374">
      <w:pPr>
        <w:pStyle w:val="Body"/>
      </w:pPr>
    </w:p>
    <w:p w14:paraId="7F0ECB62" w14:textId="77777777" w:rsidR="004D6D11" w:rsidRPr="00427F3A" w:rsidRDefault="004D6D11" w:rsidP="0032341F">
      <w:pPr>
        <w:pStyle w:val="OrdersBody"/>
      </w:pPr>
      <w:r w:rsidRPr="00427F3A">
        <w:t xml:space="preserve">On appeal from the </w:t>
      </w:r>
      <w:r w:rsidRPr="00945691">
        <w:t>Federal Court of Australia</w:t>
      </w:r>
    </w:p>
    <w:p w14:paraId="759D7A91" w14:textId="63750E93" w:rsidR="004D6D11" w:rsidRDefault="004D6D1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CBD009C" w14:textId="19CD2708" w:rsidR="004D6D11" w:rsidRDefault="004D6D1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3C1F9387" w14:textId="77777777" w:rsidR="004D6D11" w:rsidRPr="00427F3A" w:rsidRDefault="004D6D11" w:rsidP="00E90E4F">
      <w:pPr>
        <w:pStyle w:val="OrdersBodyHeading"/>
      </w:pPr>
      <w:r w:rsidRPr="00427F3A">
        <w:lastRenderedPageBreak/>
        <w:t>Representation</w:t>
      </w:r>
    </w:p>
    <w:p w14:paraId="226B6555" w14:textId="77777777" w:rsidR="004D6D11" w:rsidRDefault="004D6D11" w:rsidP="00EE5374">
      <w:pPr>
        <w:pStyle w:val="Body"/>
      </w:pPr>
    </w:p>
    <w:p w14:paraId="0D1B25B4" w14:textId="77777777" w:rsidR="004D6D11" w:rsidRPr="001C4021" w:rsidRDefault="004D6D11" w:rsidP="00E90E4F">
      <w:pPr>
        <w:pStyle w:val="OrdersBody"/>
      </w:pPr>
      <w:r w:rsidRPr="001C4021">
        <w:t>D H Bloom KC with K Josifoski and J P Patela for the appellant (instructed by King &amp; Wood Mallesons)</w:t>
      </w:r>
    </w:p>
    <w:p w14:paraId="65822A3A" w14:textId="77777777" w:rsidR="004D6D11" w:rsidRPr="001C4021" w:rsidRDefault="004D6D11" w:rsidP="001B3C97">
      <w:pPr>
        <w:pStyle w:val="Body"/>
      </w:pPr>
    </w:p>
    <w:p w14:paraId="4D9AE9FB" w14:textId="77777777" w:rsidR="004D6D11" w:rsidRPr="00945691" w:rsidRDefault="004D6D11" w:rsidP="00E90E4F">
      <w:pPr>
        <w:pStyle w:val="OrdersBody"/>
      </w:pPr>
      <w:r w:rsidRPr="001C4021">
        <w:t>C A Burnett SC with D P Hume and D R Lewis for the respondent (instructed by McInnes Wilson Lawyers)</w:t>
      </w:r>
    </w:p>
    <w:p w14:paraId="4B0F2623" w14:textId="77777777" w:rsidR="004D6D11" w:rsidRDefault="004D6D11" w:rsidP="00A01277">
      <w:pPr>
        <w:pStyle w:val="Body"/>
      </w:pPr>
    </w:p>
    <w:p w14:paraId="1F36F265" w14:textId="77777777" w:rsidR="004D6D11" w:rsidRDefault="004D6D11" w:rsidP="00EE5374">
      <w:pPr>
        <w:pStyle w:val="Body"/>
      </w:pPr>
    </w:p>
    <w:p w14:paraId="19FDD2D4" w14:textId="77777777" w:rsidR="004D6D11" w:rsidRDefault="004D6D11" w:rsidP="00EE5374">
      <w:pPr>
        <w:pStyle w:val="Body"/>
      </w:pPr>
    </w:p>
    <w:p w14:paraId="398DC317" w14:textId="77777777" w:rsidR="004D6D11" w:rsidRDefault="004D6D11" w:rsidP="00EE5374">
      <w:pPr>
        <w:pStyle w:val="Body"/>
      </w:pPr>
    </w:p>
    <w:p w14:paraId="0E822C6A" w14:textId="77777777" w:rsidR="004D6D11" w:rsidRDefault="004D6D11" w:rsidP="00EE5374">
      <w:pPr>
        <w:pStyle w:val="Body"/>
      </w:pPr>
    </w:p>
    <w:p w14:paraId="32EE96EE" w14:textId="77777777" w:rsidR="004D6D11" w:rsidRDefault="004D6D11" w:rsidP="00EE5374">
      <w:pPr>
        <w:pStyle w:val="Body"/>
      </w:pPr>
    </w:p>
    <w:p w14:paraId="0620F9B0" w14:textId="77777777" w:rsidR="004D6D11" w:rsidRDefault="004D6D11" w:rsidP="00EE5374">
      <w:pPr>
        <w:pStyle w:val="Body"/>
      </w:pPr>
    </w:p>
    <w:p w14:paraId="3A178485" w14:textId="77777777" w:rsidR="004D6D11" w:rsidRDefault="004D6D11" w:rsidP="00EE5374">
      <w:pPr>
        <w:pStyle w:val="Body"/>
      </w:pPr>
    </w:p>
    <w:p w14:paraId="3343A2E8" w14:textId="77777777" w:rsidR="004D6D11" w:rsidRDefault="004D6D11" w:rsidP="00EE5374">
      <w:pPr>
        <w:pStyle w:val="Body"/>
      </w:pPr>
    </w:p>
    <w:p w14:paraId="44CD67C9" w14:textId="77777777" w:rsidR="004D6D11" w:rsidRDefault="004D6D11" w:rsidP="00EE5374">
      <w:pPr>
        <w:pStyle w:val="Body"/>
      </w:pPr>
    </w:p>
    <w:p w14:paraId="17136B21" w14:textId="77777777" w:rsidR="004D6D11" w:rsidRDefault="004D6D11" w:rsidP="00EE5374">
      <w:pPr>
        <w:pStyle w:val="Body"/>
      </w:pPr>
    </w:p>
    <w:p w14:paraId="5F01940C" w14:textId="77777777" w:rsidR="004D6D11" w:rsidRDefault="004D6D11" w:rsidP="00EE5374">
      <w:pPr>
        <w:pStyle w:val="Body"/>
      </w:pPr>
    </w:p>
    <w:p w14:paraId="5A998000" w14:textId="77777777" w:rsidR="004D6D11" w:rsidRDefault="004D6D11" w:rsidP="00EE5374">
      <w:pPr>
        <w:pStyle w:val="Body"/>
      </w:pPr>
    </w:p>
    <w:p w14:paraId="4DD07291" w14:textId="77777777" w:rsidR="004D6D11" w:rsidRDefault="004D6D11" w:rsidP="00EE5374">
      <w:pPr>
        <w:pStyle w:val="Body"/>
      </w:pPr>
    </w:p>
    <w:p w14:paraId="50C7F419" w14:textId="77777777" w:rsidR="004D6D11" w:rsidRDefault="004D6D11" w:rsidP="00EE5374">
      <w:pPr>
        <w:pStyle w:val="Body"/>
      </w:pPr>
    </w:p>
    <w:p w14:paraId="21EC519A" w14:textId="77777777" w:rsidR="004D6D11" w:rsidRDefault="004D6D11" w:rsidP="00EE5374">
      <w:pPr>
        <w:pStyle w:val="Body"/>
      </w:pPr>
    </w:p>
    <w:p w14:paraId="020357B7" w14:textId="77777777" w:rsidR="004D6D11" w:rsidRDefault="004D6D11" w:rsidP="00EE5374">
      <w:pPr>
        <w:pStyle w:val="Body"/>
      </w:pPr>
    </w:p>
    <w:p w14:paraId="5548C7FE" w14:textId="77777777" w:rsidR="004D6D11" w:rsidRDefault="004D6D11" w:rsidP="00EE5374">
      <w:pPr>
        <w:pStyle w:val="Body"/>
      </w:pPr>
    </w:p>
    <w:p w14:paraId="642D442C" w14:textId="77777777" w:rsidR="004D6D11" w:rsidRDefault="004D6D11" w:rsidP="00EE5374">
      <w:pPr>
        <w:pStyle w:val="Body"/>
      </w:pPr>
    </w:p>
    <w:p w14:paraId="379D4837" w14:textId="77777777" w:rsidR="004D6D11" w:rsidRDefault="004D6D11" w:rsidP="00EE5374">
      <w:pPr>
        <w:pStyle w:val="Body"/>
      </w:pPr>
    </w:p>
    <w:p w14:paraId="27E845F7" w14:textId="77777777" w:rsidR="004D6D11" w:rsidRDefault="004D6D11" w:rsidP="00EE5374">
      <w:pPr>
        <w:pStyle w:val="Body"/>
      </w:pPr>
    </w:p>
    <w:p w14:paraId="14D0E25C" w14:textId="77777777" w:rsidR="004D6D11" w:rsidRDefault="004D6D11" w:rsidP="00EE5374">
      <w:pPr>
        <w:pStyle w:val="Body"/>
      </w:pPr>
    </w:p>
    <w:p w14:paraId="2C889DCB" w14:textId="77777777" w:rsidR="004D6D11" w:rsidRDefault="004D6D11" w:rsidP="00EE5374">
      <w:pPr>
        <w:pStyle w:val="Body"/>
      </w:pPr>
    </w:p>
    <w:p w14:paraId="101A3B55" w14:textId="77777777" w:rsidR="004D6D11" w:rsidRDefault="004D6D11" w:rsidP="00EE5374">
      <w:pPr>
        <w:pStyle w:val="Body"/>
      </w:pPr>
    </w:p>
    <w:p w14:paraId="5962E366" w14:textId="77777777" w:rsidR="004D6D11" w:rsidRDefault="004D6D11" w:rsidP="00EE5374">
      <w:pPr>
        <w:pStyle w:val="Body"/>
      </w:pPr>
    </w:p>
    <w:p w14:paraId="41BAB0BF" w14:textId="77777777" w:rsidR="004D6D11" w:rsidRDefault="004D6D11" w:rsidP="00EE5374">
      <w:pPr>
        <w:pStyle w:val="Body"/>
      </w:pPr>
    </w:p>
    <w:p w14:paraId="321B706C" w14:textId="77777777" w:rsidR="004D6D11" w:rsidRDefault="004D6D11" w:rsidP="00EE5374">
      <w:pPr>
        <w:pStyle w:val="Body"/>
      </w:pPr>
    </w:p>
    <w:p w14:paraId="0C302B3D" w14:textId="77777777" w:rsidR="004D6D11" w:rsidRDefault="004D6D11" w:rsidP="00EE5374">
      <w:pPr>
        <w:pStyle w:val="Body"/>
      </w:pPr>
    </w:p>
    <w:p w14:paraId="5AA4AFB9" w14:textId="77777777" w:rsidR="004D6D11" w:rsidRDefault="004D6D11" w:rsidP="00EE5374">
      <w:pPr>
        <w:pStyle w:val="Body"/>
      </w:pPr>
    </w:p>
    <w:p w14:paraId="34CC605A" w14:textId="77777777" w:rsidR="004D6D11" w:rsidRDefault="004D6D11" w:rsidP="00EE5374">
      <w:pPr>
        <w:pStyle w:val="Body"/>
      </w:pPr>
    </w:p>
    <w:p w14:paraId="61B49B53" w14:textId="77777777" w:rsidR="004D6D11" w:rsidRDefault="004D6D11" w:rsidP="00EE5374">
      <w:pPr>
        <w:pStyle w:val="Body"/>
      </w:pPr>
    </w:p>
    <w:p w14:paraId="68B7B2EA" w14:textId="77777777" w:rsidR="004D6D11" w:rsidRPr="00427F3A" w:rsidRDefault="004D6D11" w:rsidP="00EE5374">
      <w:pPr>
        <w:pStyle w:val="Body"/>
      </w:pPr>
    </w:p>
    <w:p w14:paraId="6A57AD32" w14:textId="77777777" w:rsidR="004D6D11" w:rsidRPr="00427F3A" w:rsidRDefault="004D6D11" w:rsidP="00F9713B">
      <w:pPr>
        <w:pStyle w:val="Notice"/>
        <w:rPr>
          <w:lang w:val="en-AU"/>
        </w:rPr>
      </w:pPr>
      <w:r w:rsidRPr="00427F3A">
        <w:rPr>
          <w:lang w:val="en-AU"/>
        </w:rPr>
        <w:t>Notice:  This copy of the Court's Reasons for Judgment is subject to formal revision prior to publication in the Commonwealth Law Reports.</w:t>
      </w:r>
    </w:p>
    <w:p w14:paraId="5CA8AAB7" w14:textId="3CB05715" w:rsidR="004D6D11" w:rsidRDefault="004D6D1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57038E11" w14:textId="77777777" w:rsidR="00DD46A0" w:rsidRDefault="004D6D1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D46A0" w:rsidSect="004D6D1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E43C175" w14:textId="77777777" w:rsidR="00DD46A0" w:rsidRDefault="00DD46A0" w:rsidP="00DD46A0">
      <w:pPr>
        <w:pStyle w:val="CatchwordsBold"/>
      </w:pPr>
      <w:r>
        <w:lastRenderedPageBreak/>
        <w:t>CATCHWORDS</w:t>
      </w:r>
    </w:p>
    <w:p w14:paraId="58616E09" w14:textId="77777777" w:rsidR="00DD46A0" w:rsidRDefault="00DD46A0" w:rsidP="00DD46A0">
      <w:pPr>
        <w:pStyle w:val="CatchwordsBold"/>
      </w:pPr>
    </w:p>
    <w:p w14:paraId="2CC72284" w14:textId="77777777" w:rsidR="00DD46A0" w:rsidRPr="00C2439A" w:rsidRDefault="00DD46A0" w:rsidP="00DD46A0">
      <w:pPr>
        <w:pStyle w:val="CatchwordsBold"/>
      </w:pPr>
      <w:r>
        <w:t>Automotive Invest Pty Limited v Commissioner of Taxation</w:t>
      </w:r>
    </w:p>
    <w:p w14:paraId="6E83F439" w14:textId="77777777" w:rsidR="00DD46A0" w:rsidRDefault="00DD46A0" w:rsidP="00DD46A0">
      <w:pPr>
        <w:pStyle w:val="CatchwordsBold"/>
      </w:pPr>
    </w:p>
    <w:p w14:paraId="573D197B" w14:textId="2203AFCE" w:rsidR="00DD46A0" w:rsidRDefault="00DD46A0" w:rsidP="00DD46A0">
      <w:pPr>
        <w:pStyle w:val="CatchwordsText"/>
      </w:pPr>
      <w:r w:rsidRPr="007733F0">
        <w:t xml:space="preserve">Statutes </w:t>
      </w:r>
      <w:r>
        <w:t>–</w:t>
      </w:r>
      <w:r w:rsidRPr="007733F0">
        <w:t xml:space="preserve"> Construction </w:t>
      </w:r>
      <w:r w:rsidRPr="00022745">
        <w:t>–</w:t>
      </w:r>
      <w:r w:rsidRPr="007733F0">
        <w:t xml:space="preserve"> Meaning of </w:t>
      </w:r>
      <w:r>
        <w:t>"</w:t>
      </w:r>
      <w:r w:rsidRPr="007733F0">
        <w:t>purpose</w:t>
      </w:r>
      <w:r>
        <w:t>"</w:t>
      </w:r>
      <w:r w:rsidRPr="007733F0">
        <w:t xml:space="preserve"> within </w:t>
      </w:r>
      <w:r w:rsidRPr="007733F0">
        <w:rPr>
          <w:i/>
          <w:iCs/>
        </w:rPr>
        <w:t xml:space="preserve">A New Tax System (Luxury Car Tax) Act 1999 </w:t>
      </w:r>
      <w:r w:rsidRPr="007733F0">
        <w:t>(Cth) ("LCT Act")</w:t>
      </w:r>
      <w:r>
        <w:t>,</w:t>
      </w:r>
      <w:r w:rsidRPr="007733F0">
        <w:t xml:space="preserve"> ss</w:t>
      </w:r>
      <w:r>
        <w:t> </w:t>
      </w:r>
      <w:r w:rsidRPr="007733F0">
        <w:t>9-5(1)</w:t>
      </w:r>
      <w:r>
        <w:t xml:space="preserve">, </w:t>
      </w:r>
      <w:r w:rsidRPr="007733F0">
        <w:t>15-30(3)</w:t>
      </w:r>
      <w:r>
        <w:t xml:space="preserve"> and 15-35(3)</w:t>
      </w:r>
      <w:r w:rsidRPr="007733F0">
        <w:t xml:space="preserve"> </w:t>
      </w:r>
      <w:r w:rsidRPr="00022745">
        <w:t>–</w:t>
      </w:r>
      <w:r w:rsidRPr="007733F0">
        <w:t xml:space="preserve"> Where appellant carried on business of acquiring and selling luxury and collect</w:t>
      </w:r>
      <w:r>
        <w:t>a</w:t>
      </w:r>
      <w:r w:rsidRPr="007733F0">
        <w:t>ble cars</w:t>
      </w:r>
      <w:r>
        <w:t> </w:t>
      </w:r>
      <w:r w:rsidRPr="00022745">
        <w:t>–</w:t>
      </w:r>
      <w:r w:rsidRPr="007733F0">
        <w:t xml:space="preserve"> Where appellant </w:t>
      </w:r>
      <w:r>
        <w:t>displayed cars in "car museum" to attract purchasers</w:t>
      </w:r>
      <w:r w:rsidRPr="007733F0">
        <w:t xml:space="preserve"> </w:t>
      </w:r>
      <w:r w:rsidRPr="00022745">
        <w:t>–</w:t>
      </w:r>
      <w:r w:rsidRPr="007733F0">
        <w:t xml:space="preserve"> Where appellant objected to amended assessment</w:t>
      </w:r>
      <w:r>
        <w:t>s</w:t>
      </w:r>
      <w:r w:rsidRPr="007733F0">
        <w:t xml:space="preserve"> of net amounts under Pt IVC of </w:t>
      </w:r>
      <w:r w:rsidRPr="007733F0">
        <w:rPr>
          <w:i/>
          <w:iCs/>
        </w:rPr>
        <w:t xml:space="preserve">Taxation Administration Act 1953 </w:t>
      </w:r>
      <w:r w:rsidRPr="007733F0">
        <w:t xml:space="preserve">(Cth) </w:t>
      </w:r>
      <w:r w:rsidRPr="00022745">
        <w:t>–</w:t>
      </w:r>
      <w:r w:rsidRPr="007733F0">
        <w:t xml:space="preserve"> Where amended assessment</w:t>
      </w:r>
      <w:r>
        <w:t>s</w:t>
      </w:r>
      <w:r w:rsidRPr="007733F0">
        <w:t xml:space="preserve"> w</w:t>
      </w:r>
      <w:r>
        <w:t>ere</w:t>
      </w:r>
      <w:r w:rsidRPr="007733F0">
        <w:t xml:space="preserve"> premised on</w:t>
      </w:r>
      <w:r>
        <w:t xml:space="preserve"> </w:t>
      </w:r>
      <w:r w:rsidRPr="007733F0">
        <w:t>use of</w:t>
      </w:r>
      <w:r>
        <w:t xml:space="preserve"> each car for purpose of holding</w:t>
      </w:r>
      <w:r w:rsidRPr="007733F0">
        <w:t xml:space="preserve"> as trading stock and for additional purpose of </w:t>
      </w:r>
      <w:r>
        <w:t>display</w:t>
      </w:r>
      <w:r w:rsidRPr="007733F0">
        <w:t xml:space="preserve"> in museum </w:t>
      </w:r>
      <w:r w:rsidRPr="00022745">
        <w:t>–</w:t>
      </w:r>
      <w:r w:rsidRPr="007733F0">
        <w:t xml:space="preserve"> Where increasing luxury car tax adjustment is applicable if taxpayer uses car for purpose other than quotable purpose </w:t>
      </w:r>
      <w:r w:rsidRPr="00022745">
        <w:t>–</w:t>
      </w:r>
      <w:r w:rsidRPr="007733F0">
        <w:t xml:space="preserve"> Whether assessment of purpose objective or subjective </w:t>
      </w:r>
      <w:r w:rsidRPr="00022745">
        <w:t>–</w:t>
      </w:r>
      <w:r w:rsidRPr="007733F0">
        <w:t xml:space="preserve"> Whether appropriate to exclude uses that are merely incidental, subservient, </w:t>
      </w:r>
      <w:r w:rsidRPr="008A35E1">
        <w:t>or means to an end to continuing use of car as trading stock</w:t>
      </w:r>
      <w:r w:rsidRPr="007733F0">
        <w:t xml:space="preserve"> </w:t>
      </w:r>
      <w:r w:rsidRPr="00022745">
        <w:t>–</w:t>
      </w:r>
      <w:r w:rsidRPr="007733F0">
        <w:t xml:space="preserve"> Whether phrase "no other purpose" in s</w:t>
      </w:r>
      <w:r>
        <w:t> </w:t>
      </w:r>
      <w:r w:rsidRPr="007733F0">
        <w:t>9-5(1) should be read as excluding alternative, but not additional</w:t>
      </w:r>
      <w:r>
        <w:t>,</w:t>
      </w:r>
      <w:r w:rsidRPr="007733F0">
        <w:t xml:space="preserve"> purposes</w:t>
      </w:r>
      <w:r>
        <w:t>.</w:t>
      </w:r>
      <w:r w:rsidRPr="007733F0">
        <w:t xml:space="preserve"> </w:t>
      </w:r>
    </w:p>
    <w:p w14:paraId="636AF6AE" w14:textId="77777777" w:rsidR="00DD46A0" w:rsidRPr="007733F0" w:rsidRDefault="00DD46A0" w:rsidP="00DD46A0">
      <w:pPr>
        <w:pStyle w:val="CatchwordsText"/>
      </w:pPr>
    </w:p>
    <w:p w14:paraId="5E075761" w14:textId="77777777" w:rsidR="00DD46A0" w:rsidRPr="00B21F02" w:rsidRDefault="00DD46A0" w:rsidP="00DD46A0">
      <w:pPr>
        <w:pStyle w:val="CatchwordsText"/>
      </w:pPr>
      <w:r w:rsidRPr="00B21F02">
        <w:t xml:space="preserve">Words and phrases </w:t>
      </w:r>
      <w:r w:rsidRPr="00754E55">
        <w:t>–</w:t>
      </w:r>
      <w:r w:rsidRPr="00B21F02">
        <w:t xml:space="preserve"> "additional purpose"</w:t>
      </w:r>
      <w:r w:rsidRPr="00754E55">
        <w:t>,</w:t>
      </w:r>
      <w:r w:rsidRPr="00B21F02">
        <w:t xml:space="preserve"> "alternative purpose", "characterisation"</w:t>
      </w:r>
      <w:r w:rsidRPr="00754E55">
        <w:t>,</w:t>
      </w:r>
      <w:r w:rsidRPr="00B21F02">
        <w:t xml:space="preserve"> "collateral purpose", "decreasing luxury car tax adjustments"</w:t>
      </w:r>
      <w:r w:rsidRPr="00754E55">
        <w:t>,</w:t>
      </w:r>
      <w:r w:rsidRPr="00B21F02">
        <w:t xml:space="preserve"> "for no other purpose"</w:t>
      </w:r>
      <w:r w:rsidRPr="00754E55">
        <w:t>,</w:t>
      </w:r>
      <w:r w:rsidRPr="00B21F02">
        <w:t xml:space="preserve"> "goods and services tax"</w:t>
      </w:r>
      <w:r w:rsidRPr="00754E55">
        <w:t>,</w:t>
      </w:r>
      <w:r w:rsidRPr="00B21F02">
        <w:t xml:space="preserve"> "increasing luxury car tax adjustments"</w:t>
      </w:r>
      <w:r w:rsidRPr="00754E55">
        <w:t>,</w:t>
      </w:r>
      <w:r w:rsidRPr="00B21F02">
        <w:t xml:space="preserve"> "luxury car tax"</w:t>
      </w:r>
      <w:r w:rsidRPr="00754E55">
        <w:t>,</w:t>
      </w:r>
      <w:r w:rsidRPr="00B21F02">
        <w:t xml:space="preserve"> "means"</w:t>
      </w:r>
      <w:r w:rsidRPr="00754E55">
        <w:t>,</w:t>
      </w:r>
      <w:r w:rsidRPr="00B21F02">
        <w:t xml:space="preserve"> "motive"</w:t>
      </w:r>
      <w:r w:rsidRPr="00754E55">
        <w:t>,</w:t>
      </w:r>
      <w:r w:rsidRPr="00B21F02">
        <w:t xml:space="preserve"> "objective purpose"</w:t>
      </w:r>
      <w:r w:rsidRPr="00754E55">
        <w:t>,</w:t>
      </w:r>
      <w:r w:rsidRPr="00B21F02">
        <w:t xml:space="preserve"> "purpose"</w:t>
      </w:r>
      <w:r w:rsidRPr="00754E55">
        <w:t>,</w:t>
      </w:r>
      <w:r w:rsidRPr="00B21F02">
        <w:t xml:space="preserve"> "quotable purpose"</w:t>
      </w:r>
      <w:r w:rsidRPr="00754E55">
        <w:t>,</w:t>
      </w:r>
      <w:r w:rsidRPr="00B21F02">
        <w:t xml:space="preserve"> "quote</w:t>
      </w:r>
      <w:r w:rsidRPr="00754E55">
        <w:t xml:space="preserve">", </w:t>
      </w:r>
      <w:r w:rsidRPr="00B21F02">
        <w:t>"quoting"</w:t>
      </w:r>
      <w:r w:rsidRPr="00754E55">
        <w:t>,</w:t>
      </w:r>
      <w:r>
        <w:t xml:space="preserve"> "single purpose",</w:t>
      </w:r>
      <w:r w:rsidRPr="00B21F02">
        <w:t xml:space="preserve"> "subjective purpose"</w:t>
      </w:r>
      <w:r w:rsidRPr="00754E55">
        <w:t>,</w:t>
      </w:r>
      <w:r w:rsidRPr="00B21F02">
        <w:t xml:space="preserve"> "taxable supply".</w:t>
      </w:r>
    </w:p>
    <w:p w14:paraId="5AAFF9F4" w14:textId="77777777" w:rsidR="00DD46A0" w:rsidRDefault="00DD46A0" w:rsidP="00132925">
      <w:pPr>
        <w:pStyle w:val="Default"/>
        <w:rPr>
          <w:rFonts w:ascii="Times New Roman" w:hAnsi="Times New Roman" w:cs="Times New Roman"/>
          <w:i/>
          <w:iCs/>
          <w:sz w:val="26"/>
          <w:szCs w:val="26"/>
        </w:rPr>
      </w:pPr>
    </w:p>
    <w:p w14:paraId="2C14FE0D" w14:textId="77777777" w:rsidR="00DD46A0" w:rsidRPr="008B14E4" w:rsidRDefault="00DD46A0" w:rsidP="00DD46A0">
      <w:pPr>
        <w:pStyle w:val="CatchwordsText"/>
      </w:pPr>
      <w:r w:rsidRPr="00DD46A0">
        <w:rPr>
          <w:i/>
          <w:iCs/>
        </w:rPr>
        <w:t xml:space="preserve">A New Tax System (Goods and Services Tax) Act 1999 </w:t>
      </w:r>
      <w:r w:rsidRPr="008B14E4">
        <w:t>(Cth)</w:t>
      </w:r>
      <w:r>
        <w:t>,</w:t>
      </w:r>
      <w:r w:rsidRPr="008B14E4">
        <w:t xml:space="preserve"> </w:t>
      </w:r>
      <w:r>
        <w:t>s 69-10.</w:t>
      </w:r>
    </w:p>
    <w:p w14:paraId="54099E83" w14:textId="7F998E4F" w:rsidR="004D6D11" w:rsidRDefault="00DD46A0" w:rsidP="00DD46A0">
      <w:pPr>
        <w:pStyle w:val="CatchwordsText"/>
      </w:pPr>
      <w:r w:rsidRPr="008B14E4">
        <w:rPr>
          <w:i/>
          <w:iCs/>
        </w:rPr>
        <w:t xml:space="preserve">A New Tax System (Luxury Car Tax) Act 1999 </w:t>
      </w:r>
      <w:r w:rsidRPr="008B14E4">
        <w:t>(Cth)</w:t>
      </w:r>
      <w:r>
        <w:t>,</w:t>
      </w:r>
      <w:r w:rsidRPr="008B14E4">
        <w:t xml:space="preserve"> ss</w:t>
      </w:r>
      <w:r>
        <w:t> </w:t>
      </w:r>
      <w:r w:rsidRPr="008B14E4">
        <w:t>2-5(2), 9-1, 9-5(1), 15-</w:t>
      </w:r>
      <w:r>
        <w:t xml:space="preserve">1, </w:t>
      </w:r>
      <w:r w:rsidRPr="008B14E4">
        <w:t>15</w:t>
      </w:r>
      <w:r>
        <w:noBreakHyphen/>
      </w:r>
      <w:r w:rsidRPr="008B14E4">
        <w:t>30(3</w:t>
      </w:r>
      <w:r w:rsidRPr="00C2676F">
        <w:t>), 15-35</w:t>
      </w:r>
      <w:r>
        <w:t>(3).</w:t>
      </w:r>
    </w:p>
    <w:p w14:paraId="42CBC330" w14:textId="449CCB05" w:rsidR="00DD46A0" w:rsidRDefault="00DD46A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E2565D8" w14:textId="0BC0DFF2" w:rsidR="00DD46A0" w:rsidRDefault="00DD46A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015BFD8A" w14:textId="77777777" w:rsidR="004D6D11" w:rsidRDefault="004D6D11" w:rsidP="00F54B93">
      <w:pPr>
        <w:pStyle w:val="NormalBody"/>
        <w:tabs>
          <w:tab w:val="clear" w:pos="720"/>
          <w:tab w:val="left" w:pos="0"/>
        </w:tabs>
        <w:spacing w:after="260" w:line="280" w:lineRule="exact"/>
        <w:ind w:right="0"/>
        <w:jc w:val="both"/>
        <w:rPr>
          <w:rFonts w:ascii="Times New Roman" w:hAnsi="Times New Roman"/>
        </w:rPr>
        <w:sectPr w:rsidR="004D6D11" w:rsidSect="00DD46A0">
          <w:pgSz w:w="11907" w:h="16839" w:code="9"/>
          <w:pgMar w:top="1440" w:right="1701" w:bottom="1984" w:left="1701" w:header="720" w:footer="720" w:gutter="0"/>
          <w:pgNumType w:start="1"/>
          <w:cols w:space="720"/>
          <w:titlePg/>
          <w:docGrid w:linePitch="354"/>
        </w:sectPr>
      </w:pPr>
    </w:p>
    <w:p w14:paraId="4693130D" w14:textId="4DD566C7" w:rsidR="00F54B93" w:rsidRPr="00F54B93" w:rsidRDefault="00F54B93" w:rsidP="00F54B93">
      <w:pPr>
        <w:pStyle w:val="NormalBody"/>
        <w:tabs>
          <w:tab w:val="clear" w:pos="720"/>
          <w:tab w:val="left" w:pos="0"/>
        </w:tabs>
        <w:spacing w:after="260" w:line="280" w:lineRule="exact"/>
        <w:ind w:right="0"/>
        <w:jc w:val="both"/>
        <w:rPr>
          <w:rFonts w:ascii="Times New Roman" w:hAnsi="Times New Roman"/>
        </w:rPr>
      </w:pPr>
      <w:r w:rsidRPr="00F54B93">
        <w:rPr>
          <w:rFonts w:ascii="Times New Roman" w:hAnsi="Times New Roman"/>
        </w:rPr>
        <w:lastRenderedPageBreak/>
        <w:t xml:space="preserve">GAGELER CJ AND JAGOT J.   </w:t>
      </w:r>
    </w:p>
    <w:p w14:paraId="6C52D318" w14:textId="6207213D" w:rsidR="00A73989" w:rsidRPr="00F54B93" w:rsidRDefault="00811EA6" w:rsidP="00F54B93">
      <w:pPr>
        <w:pStyle w:val="HeadingL1"/>
        <w:spacing w:after="260" w:line="280" w:lineRule="exact"/>
        <w:ind w:right="0"/>
        <w:jc w:val="both"/>
        <w:rPr>
          <w:rFonts w:ascii="Times New Roman" w:hAnsi="Times New Roman"/>
        </w:rPr>
      </w:pPr>
      <w:r w:rsidRPr="00F54B93">
        <w:rPr>
          <w:rFonts w:ascii="Times New Roman" w:hAnsi="Times New Roman"/>
        </w:rPr>
        <w:t>Overview</w:t>
      </w:r>
    </w:p>
    <w:p w14:paraId="5FFC13B2" w14:textId="0EF616CE" w:rsidR="006247C1" w:rsidRPr="00F54B93" w:rsidRDefault="00811EA6"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D57819" w:rsidRPr="00F54B93">
        <w:rPr>
          <w:rFonts w:ascii="Times New Roman" w:hAnsi="Times New Roman"/>
        </w:rPr>
        <w:t xml:space="preserve">In our opinion, </w:t>
      </w:r>
      <w:r w:rsidR="001157F1" w:rsidRPr="00F54B93">
        <w:rPr>
          <w:rFonts w:ascii="Times New Roman" w:hAnsi="Times New Roman"/>
        </w:rPr>
        <w:t>the appeal should be dismissed</w:t>
      </w:r>
      <w:r w:rsidR="001A606A" w:rsidRPr="00F54B93">
        <w:rPr>
          <w:rFonts w:ascii="Times New Roman" w:hAnsi="Times New Roman"/>
        </w:rPr>
        <w:t xml:space="preserve">. Neither </w:t>
      </w:r>
      <w:r w:rsidR="00D57819" w:rsidRPr="00F54B93">
        <w:rPr>
          <w:rFonts w:ascii="Times New Roman" w:hAnsi="Times New Roman"/>
        </w:rPr>
        <w:t>t</w:t>
      </w:r>
      <w:r w:rsidR="00072956" w:rsidRPr="00F54B93">
        <w:rPr>
          <w:rFonts w:ascii="Times New Roman" w:hAnsi="Times New Roman"/>
        </w:rPr>
        <w:t>he primary judge</w:t>
      </w:r>
      <w:r w:rsidR="00A2076B" w:rsidRPr="00F54B93">
        <w:rPr>
          <w:rStyle w:val="FootnoteReference"/>
          <w:rFonts w:ascii="Times New Roman" w:hAnsi="Times New Roman"/>
          <w:sz w:val="24"/>
        </w:rPr>
        <w:footnoteReference w:id="2"/>
      </w:r>
      <w:r w:rsidR="00072956" w:rsidRPr="00F54B93">
        <w:rPr>
          <w:rFonts w:ascii="Times New Roman" w:hAnsi="Times New Roman"/>
        </w:rPr>
        <w:t xml:space="preserve"> </w:t>
      </w:r>
      <w:r w:rsidR="00672CD8" w:rsidRPr="00F54B93">
        <w:rPr>
          <w:rFonts w:ascii="Times New Roman" w:hAnsi="Times New Roman"/>
        </w:rPr>
        <w:t xml:space="preserve">(Thawley J) </w:t>
      </w:r>
      <w:r w:rsidR="001A606A" w:rsidRPr="00F54B93">
        <w:rPr>
          <w:rFonts w:ascii="Times New Roman" w:hAnsi="Times New Roman"/>
        </w:rPr>
        <w:t>nor</w:t>
      </w:r>
      <w:r w:rsidR="00072956" w:rsidRPr="00F54B93">
        <w:rPr>
          <w:rFonts w:ascii="Times New Roman" w:hAnsi="Times New Roman"/>
        </w:rPr>
        <w:t xml:space="preserve"> the majority </w:t>
      </w:r>
      <w:r w:rsidR="001D5B83" w:rsidRPr="00F54B93">
        <w:rPr>
          <w:rFonts w:ascii="Times New Roman" w:hAnsi="Times New Roman"/>
        </w:rPr>
        <w:t>in the Full Court of the Federal Court of Australia</w:t>
      </w:r>
      <w:r w:rsidR="0088353F" w:rsidRPr="00F54B93">
        <w:rPr>
          <w:rStyle w:val="FootnoteReference"/>
          <w:rFonts w:ascii="Times New Roman" w:hAnsi="Times New Roman"/>
          <w:sz w:val="24"/>
        </w:rPr>
        <w:footnoteReference w:id="3"/>
      </w:r>
      <w:r w:rsidR="001D5B83" w:rsidRPr="00F54B93">
        <w:rPr>
          <w:rFonts w:ascii="Times New Roman" w:hAnsi="Times New Roman"/>
        </w:rPr>
        <w:t xml:space="preserve"> </w:t>
      </w:r>
      <w:r w:rsidR="00672CD8" w:rsidRPr="00F54B93">
        <w:rPr>
          <w:rFonts w:ascii="Times New Roman" w:hAnsi="Times New Roman"/>
        </w:rPr>
        <w:t xml:space="preserve">(Wheelahan and Hespe JJ) </w:t>
      </w:r>
      <w:r w:rsidR="001A606A" w:rsidRPr="00F54B93">
        <w:rPr>
          <w:rFonts w:ascii="Times New Roman" w:hAnsi="Times New Roman"/>
        </w:rPr>
        <w:t>erred in</w:t>
      </w:r>
      <w:r w:rsidR="001D5B83" w:rsidRPr="00F54B93">
        <w:rPr>
          <w:rFonts w:ascii="Times New Roman" w:hAnsi="Times New Roman"/>
        </w:rPr>
        <w:t xml:space="preserve"> reject</w:t>
      </w:r>
      <w:r w:rsidR="001A606A" w:rsidRPr="00F54B93">
        <w:rPr>
          <w:rFonts w:ascii="Times New Roman" w:hAnsi="Times New Roman"/>
        </w:rPr>
        <w:t>ing</w:t>
      </w:r>
      <w:r w:rsidR="001D5B83" w:rsidRPr="00F54B93">
        <w:rPr>
          <w:rFonts w:ascii="Times New Roman" w:hAnsi="Times New Roman"/>
        </w:rPr>
        <w:t xml:space="preserve"> the argument </w:t>
      </w:r>
      <w:r w:rsidR="008507D5" w:rsidRPr="00F54B93">
        <w:rPr>
          <w:rFonts w:ascii="Times New Roman" w:hAnsi="Times New Roman"/>
        </w:rPr>
        <w:t>of the appellant</w:t>
      </w:r>
      <w:r w:rsidR="00D07E7C" w:rsidRPr="00F54B93">
        <w:rPr>
          <w:rFonts w:ascii="Times New Roman" w:hAnsi="Times New Roman"/>
        </w:rPr>
        <w:t xml:space="preserve"> that it was not liable to pay</w:t>
      </w:r>
      <w:r w:rsidR="009132FB" w:rsidRPr="00F54B93">
        <w:rPr>
          <w:rFonts w:ascii="Times New Roman" w:hAnsi="Times New Roman"/>
        </w:rPr>
        <w:t xml:space="preserve"> </w:t>
      </w:r>
      <w:r w:rsidR="00426E38" w:rsidRPr="00F54B93">
        <w:rPr>
          <w:rFonts w:ascii="Times New Roman" w:hAnsi="Times New Roman"/>
        </w:rPr>
        <w:t xml:space="preserve">luxury car tax ("LCT") </w:t>
      </w:r>
      <w:r w:rsidR="007525B1" w:rsidRPr="00F54B93">
        <w:rPr>
          <w:rFonts w:ascii="Times New Roman" w:hAnsi="Times New Roman"/>
        </w:rPr>
        <w:t xml:space="preserve">under the </w:t>
      </w:r>
      <w:r w:rsidR="007525B1" w:rsidRPr="00F54B93">
        <w:rPr>
          <w:rFonts w:ascii="Times New Roman" w:hAnsi="Times New Roman"/>
          <w:i/>
          <w:iCs/>
        </w:rPr>
        <w:t>A New Tax System (Luxury Car Tax) Act 1999</w:t>
      </w:r>
      <w:r w:rsidR="007525B1" w:rsidRPr="00F54B93">
        <w:rPr>
          <w:rFonts w:ascii="Times New Roman" w:hAnsi="Times New Roman"/>
        </w:rPr>
        <w:t xml:space="preserve"> (Cth)</w:t>
      </w:r>
      <w:r w:rsidR="00F7220B" w:rsidRPr="00F54B93">
        <w:rPr>
          <w:rFonts w:ascii="Times New Roman" w:hAnsi="Times New Roman"/>
        </w:rPr>
        <w:t xml:space="preserve"> ("</w:t>
      </w:r>
      <w:r w:rsidR="005F258A" w:rsidRPr="00F54B93">
        <w:rPr>
          <w:rFonts w:ascii="Times New Roman" w:hAnsi="Times New Roman"/>
        </w:rPr>
        <w:t xml:space="preserve">the </w:t>
      </w:r>
      <w:r w:rsidR="00F7220B" w:rsidRPr="00F54B93">
        <w:rPr>
          <w:rFonts w:ascii="Times New Roman" w:hAnsi="Times New Roman"/>
        </w:rPr>
        <w:t xml:space="preserve">LCT Act") </w:t>
      </w:r>
      <w:r w:rsidR="009C2BC5" w:rsidRPr="00F54B93">
        <w:rPr>
          <w:rFonts w:ascii="Times New Roman" w:hAnsi="Times New Roman"/>
        </w:rPr>
        <w:t>in the tax periods from June 20</w:t>
      </w:r>
      <w:r w:rsidR="00DC51A5" w:rsidRPr="00F54B93">
        <w:rPr>
          <w:rFonts w:ascii="Times New Roman" w:hAnsi="Times New Roman"/>
        </w:rPr>
        <w:t>1</w:t>
      </w:r>
      <w:r w:rsidR="009C2BC5" w:rsidRPr="00F54B93">
        <w:rPr>
          <w:rFonts w:ascii="Times New Roman" w:hAnsi="Times New Roman"/>
        </w:rPr>
        <w:t xml:space="preserve">6 to November 2017 </w:t>
      </w:r>
      <w:r w:rsidR="00D769A4" w:rsidRPr="00F54B93">
        <w:rPr>
          <w:rFonts w:ascii="Times New Roman" w:hAnsi="Times New Roman"/>
        </w:rPr>
        <w:t xml:space="preserve">in respect of </w:t>
      </w:r>
      <w:r w:rsidR="00875CC4" w:rsidRPr="00F54B93">
        <w:rPr>
          <w:rFonts w:ascii="Times New Roman" w:hAnsi="Times New Roman"/>
        </w:rPr>
        <w:t xml:space="preserve">40 </w:t>
      </w:r>
      <w:r w:rsidR="001F7659" w:rsidRPr="00F54B93">
        <w:rPr>
          <w:rFonts w:ascii="Times New Roman" w:hAnsi="Times New Roman"/>
        </w:rPr>
        <w:t xml:space="preserve">luxury </w:t>
      </w:r>
      <w:r w:rsidR="00D769A4" w:rsidRPr="00F54B93">
        <w:rPr>
          <w:rFonts w:ascii="Times New Roman" w:hAnsi="Times New Roman"/>
        </w:rPr>
        <w:t>cars</w:t>
      </w:r>
      <w:r w:rsidR="00163329" w:rsidRPr="00F54B93">
        <w:rPr>
          <w:rFonts w:ascii="Times New Roman" w:hAnsi="Times New Roman"/>
        </w:rPr>
        <w:t xml:space="preserve"> previously</w:t>
      </w:r>
      <w:r w:rsidR="00D46E2D" w:rsidRPr="00F54B93">
        <w:rPr>
          <w:rFonts w:ascii="Times New Roman" w:hAnsi="Times New Roman"/>
        </w:rPr>
        <w:t xml:space="preserve"> </w:t>
      </w:r>
      <w:r w:rsidR="00D769A4" w:rsidRPr="00F54B93">
        <w:rPr>
          <w:rFonts w:ascii="Times New Roman" w:hAnsi="Times New Roman"/>
        </w:rPr>
        <w:t>acquired</w:t>
      </w:r>
      <w:r w:rsidR="00604392" w:rsidRPr="00F54B93">
        <w:rPr>
          <w:rFonts w:ascii="Times New Roman" w:hAnsi="Times New Roman"/>
        </w:rPr>
        <w:t xml:space="preserve"> </w:t>
      </w:r>
      <w:r w:rsidR="00F86E75" w:rsidRPr="00F54B93">
        <w:rPr>
          <w:rFonts w:ascii="Times New Roman" w:hAnsi="Times New Roman"/>
        </w:rPr>
        <w:t xml:space="preserve">by it </w:t>
      </w:r>
      <w:r w:rsidR="00D769A4" w:rsidRPr="00F54B93">
        <w:rPr>
          <w:rFonts w:ascii="Times New Roman" w:hAnsi="Times New Roman"/>
        </w:rPr>
        <w:t xml:space="preserve">and </w:t>
      </w:r>
      <w:r w:rsidR="00163329" w:rsidRPr="00F54B93">
        <w:rPr>
          <w:rFonts w:ascii="Times New Roman" w:hAnsi="Times New Roman"/>
        </w:rPr>
        <w:t xml:space="preserve">then </w:t>
      </w:r>
      <w:r w:rsidR="005063FC" w:rsidRPr="00F54B93">
        <w:rPr>
          <w:rFonts w:ascii="Times New Roman" w:hAnsi="Times New Roman"/>
        </w:rPr>
        <w:t>display</w:t>
      </w:r>
      <w:r w:rsidR="00987DFA" w:rsidRPr="00F54B93">
        <w:rPr>
          <w:rFonts w:ascii="Times New Roman" w:hAnsi="Times New Roman"/>
        </w:rPr>
        <w:t>ed</w:t>
      </w:r>
      <w:r w:rsidR="005063FC" w:rsidRPr="00F54B93">
        <w:rPr>
          <w:rFonts w:ascii="Times New Roman" w:hAnsi="Times New Roman"/>
        </w:rPr>
        <w:t xml:space="preserve"> </w:t>
      </w:r>
      <w:r w:rsidR="00D769A4" w:rsidRPr="00F54B93">
        <w:rPr>
          <w:rFonts w:ascii="Times New Roman" w:hAnsi="Times New Roman"/>
        </w:rPr>
        <w:t xml:space="preserve">at </w:t>
      </w:r>
      <w:r w:rsidR="009C2BC5" w:rsidRPr="00F54B93">
        <w:rPr>
          <w:rFonts w:ascii="Times New Roman" w:hAnsi="Times New Roman"/>
        </w:rPr>
        <w:t xml:space="preserve">its </w:t>
      </w:r>
      <w:r w:rsidR="00E17AD2" w:rsidRPr="00F54B93">
        <w:rPr>
          <w:rFonts w:ascii="Times New Roman" w:hAnsi="Times New Roman"/>
        </w:rPr>
        <w:t xml:space="preserve">premises called </w:t>
      </w:r>
      <w:r w:rsidR="00D769A4" w:rsidRPr="00F54B93">
        <w:rPr>
          <w:rFonts w:ascii="Times New Roman" w:hAnsi="Times New Roman"/>
        </w:rPr>
        <w:t xml:space="preserve">the </w:t>
      </w:r>
      <w:r w:rsidR="00E17AD2" w:rsidRPr="00F54B93">
        <w:rPr>
          <w:rFonts w:ascii="Times New Roman" w:hAnsi="Times New Roman"/>
        </w:rPr>
        <w:t>"</w:t>
      </w:r>
      <w:r w:rsidR="00D94E7E" w:rsidRPr="00F54B93">
        <w:rPr>
          <w:rFonts w:ascii="Times New Roman" w:hAnsi="Times New Roman"/>
        </w:rPr>
        <w:t>Gosford Classic Car Museum</w:t>
      </w:r>
      <w:r w:rsidR="00E17AD2" w:rsidRPr="00F54B93">
        <w:rPr>
          <w:rFonts w:ascii="Times New Roman" w:hAnsi="Times New Roman"/>
        </w:rPr>
        <w:t>"</w:t>
      </w:r>
      <w:r w:rsidR="00D94E7E" w:rsidRPr="00F54B93">
        <w:rPr>
          <w:rFonts w:ascii="Times New Roman" w:hAnsi="Times New Roman"/>
        </w:rPr>
        <w:t>.</w:t>
      </w:r>
    </w:p>
    <w:p w14:paraId="74A09CBD" w14:textId="3BAB97A9" w:rsidR="009B7A93" w:rsidRPr="00F54B93" w:rsidRDefault="006247C1"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9913C8" w:rsidRPr="00F54B93">
        <w:rPr>
          <w:rFonts w:ascii="Times New Roman" w:hAnsi="Times New Roman"/>
        </w:rPr>
        <w:t xml:space="preserve">The question </w:t>
      </w:r>
      <w:r w:rsidR="000841B8" w:rsidRPr="00F54B93">
        <w:rPr>
          <w:rFonts w:ascii="Times New Roman" w:hAnsi="Times New Roman"/>
        </w:rPr>
        <w:t>posed</w:t>
      </w:r>
      <w:r w:rsidR="009913C8" w:rsidRPr="00F54B93">
        <w:rPr>
          <w:rFonts w:ascii="Times New Roman" w:hAnsi="Times New Roman"/>
        </w:rPr>
        <w:t xml:space="preserve"> </w:t>
      </w:r>
      <w:r w:rsidR="00587818" w:rsidRPr="00F54B93">
        <w:rPr>
          <w:rFonts w:ascii="Times New Roman" w:hAnsi="Times New Roman"/>
        </w:rPr>
        <w:t xml:space="preserve">rhetorically </w:t>
      </w:r>
      <w:r w:rsidR="009913C8" w:rsidRPr="00F54B93">
        <w:rPr>
          <w:rFonts w:ascii="Times New Roman" w:hAnsi="Times New Roman"/>
        </w:rPr>
        <w:t xml:space="preserve">by </w:t>
      </w:r>
      <w:r w:rsidR="00866B48" w:rsidRPr="00F54B93">
        <w:rPr>
          <w:rFonts w:ascii="Times New Roman" w:hAnsi="Times New Roman"/>
        </w:rPr>
        <w:t>Logan J in dissent in the Full Court</w:t>
      </w:r>
      <w:r w:rsidR="00B175D4" w:rsidRPr="00F54B93">
        <w:rPr>
          <w:rFonts w:ascii="Times New Roman" w:hAnsi="Times New Roman"/>
        </w:rPr>
        <w:t xml:space="preserve">, </w:t>
      </w:r>
      <w:r w:rsidR="00295561" w:rsidRPr="00F54B93">
        <w:rPr>
          <w:rFonts w:ascii="Times New Roman" w:hAnsi="Times New Roman"/>
        </w:rPr>
        <w:t>as to how the</w:t>
      </w:r>
      <w:r w:rsidR="003320D3" w:rsidRPr="00F54B93">
        <w:rPr>
          <w:rFonts w:ascii="Times New Roman" w:hAnsi="Times New Roman"/>
        </w:rPr>
        <w:t xml:space="preserve"> </w:t>
      </w:r>
      <w:r w:rsidR="00B0252D" w:rsidRPr="00F54B93">
        <w:rPr>
          <w:rFonts w:ascii="Times New Roman" w:hAnsi="Times New Roman"/>
        </w:rPr>
        <w:t>display of th</w:t>
      </w:r>
      <w:r w:rsidR="009B7A93" w:rsidRPr="00F54B93">
        <w:rPr>
          <w:rFonts w:ascii="Times New Roman" w:hAnsi="Times New Roman"/>
        </w:rPr>
        <w:t>ose</w:t>
      </w:r>
      <w:r w:rsidR="00B0252D" w:rsidRPr="00F54B93">
        <w:rPr>
          <w:rFonts w:ascii="Times New Roman" w:hAnsi="Times New Roman"/>
        </w:rPr>
        <w:t xml:space="preserve"> luxury cars at</w:t>
      </w:r>
      <w:r w:rsidR="00295561" w:rsidRPr="00F54B93">
        <w:rPr>
          <w:rFonts w:ascii="Times New Roman" w:hAnsi="Times New Roman"/>
        </w:rPr>
        <w:t xml:space="preserve"> </w:t>
      </w:r>
      <w:r w:rsidR="00E77088" w:rsidRPr="00F54B93">
        <w:rPr>
          <w:rFonts w:ascii="Times New Roman" w:hAnsi="Times New Roman"/>
        </w:rPr>
        <w:t>the</w:t>
      </w:r>
      <w:r w:rsidR="00295561" w:rsidRPr="00F54B93">
        <w:rPr>
          <w:rFonts w:ascii="Times New Roman" w:hAnsi="Times New Roman"/>
        </w:rPr>
        <w:t xml:space="preserve"> </w:t>
      </w:r>
      <w:r w:rsidR="00E11666" w:rsidRPr="00F54B93">
        <w:rPr>
          <w:rFonts w:ascii="Times New Roman" w:hAnsi="Times New Roman"/>
        </w:rPr>
        <w:t xml:space="preserve">Gosford Classic Car </w:t>
      </w:r>
      <w:r w:rsidR="00E77088" w:rsidRPr="00F54B93">
        <w:rPr>
          <w:rFonts w:ascii="Times New Roman" w:hAnsi="Times New Roman"/>
        </w:rPr>
        <w:t>M</w:t>
      </w:r>
      <w:r w:rsidR="00295561" w:rsidRPr="00F54B93">
        <w:rPr>
          <w:rFonts w:ascii="Times New Roman" w:hAnsi="Times New Roman"/>
        </w:rPr>
        <w:t>use</w:t>
      </w:r>
      <w:r w:rsidR="001556E0" w:rsidRPr="00F54B93">
        <w:rPr>
          <w:rFonts w:ascii="Times New Roman" w:hAnsi="Times New Roman"/>
        </w:rPr>
        <w:t>um</w:t>
      </w:r>
      <w:r w:rsidR="0064072C" w:rsidRPr="00F54B93">
        <w:rPr>
          <w:rFonts w:ascii="Times New Roman" w:hAnsi="Times New Roman"/>
        </w:rPr>
        <w:t xml:space="preserve"> </w:t>
      </w:r>
      <w:r w:rsidR="00974244" w:rsidRPr="00F54B93">
        <w:rPr>
          <w:rFonts w:ascii="Times New Roman" w:hAnsi="Times New Roman"/>
        </w:rPr>
        <w:t xml:space="preserve">in the tax periods </w:t>
      </w:r>
      <w:r w:rsidR="0064072C" w:rsidRPr="00F54B93">
        <w:rPr>
          <w:rFonts w:ascii="Times New Roman" w:hAnsi="Times New Roman"/>
        </w:rPr>
        <w:t>could</w:t>
      </w:r>
      <w:r w:rsidR="00D06098" w:rsidRPr="00F54B93">
        <w:rPr>
          <w:rFonts w:ascii="Times New Roman" w:hAnsi="Times New Roman"/>
        </w:rPr>
        <w:t xml:space="preserve"> have </w:t>
      </w:r>
      <w:r w:rsidR="008507D5" w:rsidRPr="00F54B93">
        <w:rPr>
          <w:rFonts w:ascii="Times New Roman" w:hAnsi="Times New Roman"/>
        </w:rPr>
        <w:t>resulted in</w:t>
      </w:r>
      <w:r w:rsidR="009F3606" w:rsidRPr="00F54B93">
        <w:rPr>
          <w:rFonts w:ascii="Times New Roman" w:hAnsi="Times New Roman"/>
        </w:rPr>
        <w:t xml:space="preserve"> </w:t>
      </w:r>
      <w:r w:rsidR="00F47E35" w:rsidRPr="00F54B93">
        <w:rPr>
          <w:rFonts w:ascii="Times New Roman" w:hAnsi="Times New Roman"/>
        </w:rPr>
        <w:t xml:space="preserve">liability to </w:t>
      </w:r>
      <w:r w:rsidR="00560029" w:rsidRPr="00F54B93">
        <w:rPr>
          <w:rFonts w:ascii="Times New Roman" w:hAnsi="Times New Roman"/>
        </w:rPr>
        <w:t xml:space="preserve">pay </w:t>
      </w:r>
      <w:r w:rsidR="009F3606" w:rsidRPr="00F54B93">
        <w:rPr>
          <w:rFonts w:ascii="Times New Roman" w:hAnsi="Times New Roman"/>
        </w:rPr>
        <w:t xml:space="preserve">LCT </w:t>
      </w:r>
      <w:r w:rsidR="00547ED5" w:rsidRPr="00F54B93">
        <w:rPr>
          <w:rFonts w:ascii="Times New Roman" w:hAnsi="Times New Roman"/>
        </w:rPr>
        <w:t>given the concession of</w:t>
      </w:r>
      <w:r w:rsidR="00AD1C47" w:rsidRPr="00F54B93">
        <w:rPr>
          <w:rFonts w:ascii="Times New Roman" w:hAnsi="Times New Roman"/>
        </w:rPr>
        <w:t xml:space="preserve"> the respondent </w:t>
      </w:r>
      <w:r w:rsidR="00CB1D00" w:rsidRPr="00F54B93">
        <w:rPr>
          <w:rFonts w:ascii="Times New Roman" w:hAnsi="Times New Roman"/>
        </w:rPr>
        <w:t xml:space="preserve">that the appellant </w:t>
      </w:r>
      <w:r w:rsidR="00F52681" w:rsidRPr="00F54B93">
        <w:rPr>
          <w:rFonts w:ascii="Times New Roman" w:hAnsi="Times New Roman"/>
        </w:rPr>
        <w:t xml:space="preserve">displayed them for sale and therefore </w:t>
      </w:r>
      <w:r w:rsidR="00CB1D00" w:rsidRPr="00F54B93">
        <w:rPr>
          <w:rFonts w:ascii="Times New Roman" w:hAnsi="Times New Roman"/>
        </w:rPr>
        <w:t>held</w:t>
      </w:r>
      <w:r w:rsidR="000B5B05" w:rsidRPr="00F54B93">
        <w:rPr>
          <w:rFonts w:ascii="Times New Roman" w:hAnsi="Times New Roman"/>
        </w:rPr>
        <w:t xml:space="preserve"> </w:t>
      </w:r>
      <w:r w:rsidR="00213B43" w:rsidRPr="00F54B93">
        <w:rPr>
          <w:rFonts w:ascii="Times New Roman" w:hAnsi="Times New Roman"/>
        </w:rPr>
        <w:t xml:space="preserve">them </w:t>
      </w:r>
      <w:r w:rsidR="00050DBA" w:rsidRPr="00F54B93">
        <w:rPr>
          <w:rFonts w:ascii="Times New Roman" w:hAnsi="Times New Roman"/>
        </w:rPr>
        <w:t>as</w:t>
      </w:r>
      <w:r w:rsidR="00BD591E" w:rsidRPr="00F54B93">
        <w:rPr>
          <w:rFonts w:ascii="Times New Roman" w:hAnsi="Times New Roman"/>
        </w:rPr>
        <w:t xml:space="preserve"> </w:t>
      </w:r>
      <w:r w:rsidR="00F47E35" w:rsidRPr="00F54B93">
        <w:rPr>
          <w:rFonts w:ascii="Times New Roman" w:hAnsi="Times New Roman"/>
        </w:rPr>
        <w:t>trading stock</w:t>
      </w:r>
      <w:r w:rsidR="00B175D4" w:rsidRPr="00F54B93">
        <w:rPr>
          <w:rFonts w:ascii="Times New Roman" w:hAnsi="Times New Roman"/>
        </w:rPr>
        <w:t>,</w:t>
      </w:r>
      <w:r w:rsidR="00E6732F" w:rsidRPr="00F54B93">
        <w:rPr>
          <w:rFonts w:ascii="Times New Roman" w:hAnsi="Times New Roman"/>
        </w:rPr>
        <w:t xml:space="preserve"> </w:t>
      </w:r>
      <w:r w:rsidR="00F25EA2" w:rsidRPr="00F54B93">
        <w:rPr>
          <w:rFonts w:ascii="Times New Roman" w:hAnsi="Times New Roman"/>
        </w:rPr>
        <w:t xml:space="preserve">is </w:t>
      </w:r>
      <w:r w:rsidR="003D445F" w:rsidRPr="00F54B93">
        <w:rPr>
          <w:rFonts w:ascii="Times New Roman" w:hAnsi="Times New Roman"/>
        </w:rPr>
        <w:t xml:space="preserve">readily answered. </w:t>
      </w:r>
    </w:p>
    <w:p w14:paraId="703ACE54" w14:textId="1D7E6BF0" w:rsidR="004A3338" w:rsidRPr="00F54B93" w:rsidRDefault="009B7A93"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3D445F" w:rsidRPr="00F54B93">
        <w:rPr>
          <w:rFonts w:ascii="Times New Roman" w:hAnsi="Times New Roman"/>
        </w:rPr>
        <w:t>The answer is that</w:t>
      </w:r>
      <w:r w:rsidR="009672DD" w:rsidRPr="00F54B93">
        <w:rPr>
          <w:rFonts w:ascii="Times New Roman" w:hAnsi="Times New Roman"/>
        </w:rPr>
        <w:t>: (a) properly construed</w:t>
      </w:r>
      <w:r w:rsidR="009D1B3E" w:rsidRPr="00F54B93">
        <w:rPr>
          <w:rFonts w:ascii="Times New Roman" w:hAnsi="Times New Roman"/>
        </w:rPr>
        <w:t>,</w:t>
      </w:r>
      <w:r w:rsidR="009672DD" w:rsidRPr="00F54B93">
        <w:rPr>
          <w:rFonts w:ascii="Times New Roman" w:hAnsi="Times New Roman"/>
        </w:rPr>
        <w:t xml:space="preserve"> </w:t>
      </w:r>
      <w:r w:rsidR="003511EC" w:rsidRPr="00F54B93">
        <w:rPr>
          <w:rFonts w:ascii="Times New Roman" w:hAnsi="Times New Roman"/>
        </w:rPr>
        <w:t>ss</w:t>
      </w:r>
      <w:r w:rsidR="00A22312" w:rsidRPr="00F54B93">
        <w:rPr>
          <w:rFonts w:ascii="Times New Roman" w:hAnsi="Times New Roman"/>
        </w:rPr>
        <w:t> </w:t>
      </w:r>
      <w:r w:rsidR="003511EC" w:rsidRPr="00F54B93">
        <w:rPr>
          <w:rFonts w:ascii="Times New Roman" w:hAnsi="Times New Roman"/>
        </w:rPr>
        <w:t>15-30(3)(c)</w:t>
      </w:r>
      <w:r w:rsidR="0064072C" w:rsidRPr="00F54B93">
        <w:rPr>
          <w:rFonts w:ascii="Times New Roman" w:hAnsi="Times New Roman"/>
        </w:rPr>
        <w:t xml:space="preserve"> and</w:t>
      </w:r>
      <w:r w:rsidR="00524BCA" w:rsidRPr="00F54B93">
        <w:rPr>
          <w:rFonts w:ascii="Times New Roman" w:hAnsi="Times New Roman"/>
        </w:rPr>
        <w:t xml:space="preserve"> </w:t>
      </w:r>
      <w:r w:rsidR="003511EC" w:rsidRPr="00F54B93">
        <w:rPr>
          <w:rFonts w:ascii="Times New Roman" w:hAnsi="Times New Roman"/>
        </w:rPr>
        <w:t xml:space="preserve">15-35(3)(c) </w:t>
      </w:r>
      <w:r w:rsidR="00FD0598" w:rsidRPr="00F54B93">
        <w:rPr>
          <w:rFonts w:ascii="Times New Roman" w:hAnsi="Times New Roman"/>
        </w:rPr>
        <w:t xml:space="preserve">of the LCT Act </w:t>
      </w:r>
      <w:r w:rsidR="00A40F08" w:rsidRPr="00F54B93">
        <w:rPr>
          <w:rFonts w:ascii="Times New Roman" w:hAnsi="Times New Roman"/>
        </w:rPr>
        <w:t>provide f</w:t>
      </w:r>
      <w:r w:rsidR="00417149" w:rsidRPr="00F54B93">
        <w:rPr>
          <w:rFonts w:ascii="Times New Roman" w:hAnsi="Times New Roman"/>
        </w:rPr>
        <w:t>or</w:t>
      </w:r>
      <w:r w:rsidR="00DC6739" w:rsidRPr="00F54B93">
        <w:rPr>
          <w:rFonts w:ascii="Times New Roman" w:hAnsi="Times New Roman"/>
        </w:rPr>
        <w:t xml:space="preserve"> an increasing </w:t>
      </w:r>
      <w:r w:rsidR="00AA0BDD" w:rsidRPr="00F54B93">
        <w:rPr>
          <w:rFonts w:ascii="Times New Roman" w:hAnsi="Times New Roman"/>
        </w:rPr>
        <w:t xml:space="preserve">LCT </w:t>
      </w:r>
      <w:r w:rsidR="00DC6739" w:rsidRPr="00F54B93">
        <w:rPr>
          <w:rFonts w:ascii="Times New Roman" w:hAnsi="Times New Roman"/>
        </w:rPr>
        <w:t xml:space="preserve">adjustment </w:t>
      </w:r>
      <w:r w:rsidR="00C66BAA" w:rsidRPr="00F54B93">
        <w:rPr>
          <w:rFonts w:ascii="Times New Roman" w:hAnsi="Times New Roman"/>
        </w:rPr>
        <w:t xml:space="preserve">in a tax period </w:t>
      </w:r>
      <w:r w:rsidR="00DC6739" w:rsidRPr="00F54B93">
        <w:rPr>
          <w:rFonts w:ascii="Times New Roman" w:hAnsi="Times New Roman"/>
        </w:rPr>
        <w:t>if</w:t>
      </w:r>
      <w:r w:rsidR="003F6A87" w:rsidRPr="00F54B93">
        <w:rPr>
          <w:rFonts w:ascii="Times New Roman" w:hAnsi="Times New Roman"/>
        </w:rPr>
        <w:t xml:space="preserve"> </w:t>
      </w:r>
      <w:r w:rsidR="00417149" w:rsidRPr="00F54B93">
        <w:rPr>
          <w:rFonts w:ascii="Times New Roman" w:hAnsi="Times New Roman"/>
        </w:rPr>
        <w:t>a</w:t>
      </w:r>
      <w:r w:rsidR="00DC6739" w:rsidRPr="00F54B93">
        <w:rPr>
          <w:rFonts w:ascii="Times New Roman" w:hAnsi="Times New Roman"/>
        </w:rPr>
        <w:t xml:space="preserve"> taxpayer </w:t>
      </w:r>
      <w:r w:rsidR="00EB3496" w:rsidRPr="00F54B93">
        <w:rPr>
          <w:rFonts w:ascii="Times New Roman" w:hAnsi="Times New Roman"/>
        </w:rPr>
        <w:t>use</w:t>
      </w:r>
      <w:r w:rsidR="00C66BAA" w:rsidRPr="00F54B93">
        <w:rPr>
          <w:rFonts w:ascii="Times New Roman" w:hAnsi="Times New Roman"/>
        </w:rPr>
        <w:t>s</w:t>
      </w:r>
      <w:r w:rsidR="00EB3496" w:rsidRPr="00F54B93">
        <w:rPr>
          <w:rFonts w:ascii="Times New Roman" w:hAnsi="Times New Roman"/>
        </w:rPr>
        <w:t xml:space="preserve"> </w:t>
      </w:r>
      <w:r w:rsidR="00042162" w:rsidRPr="00F54B93">
        <w:rPr>
          <w:rFonts w:ascii="Times New Roman" w:hAnsi="Times New Roman"/>
        </w:rPr>
        <w:t>a</w:t>
      </w:r>
      <w:r w:rsidR="00D74641" w:rsidRPr="00F54B93">
        <w:rPr>
          <w:rFonts w:ascii="Times New Roman" w:hAnsi="Times New Roman"/>
        </w:rPr>
        <w:t xml:space="preserve"> luxury car</w:t>
      </w:r>
      <w:r w:rsidR="00EB3496" w:rsidRPr="00F54B93">
        <w:rPr>
          <w:rFonts w:ascii="Times New Roman" w:hAnsi="Times New Roman"/>
        </w:rPr>
        <w:t xml:space="preserve"> for a purpose </w:t>
      </w:r>
      <w:r w:rsidR="00E40A07" w:rsidRPr="00F54B93">
        <w:rPr>
          <w:rFonts w:ascii="Times New Roman" w:hAnsi="Times New Roman"/>
        </w:rPr>
        <w:t>other than</w:t>
      </w:r>
      <w:r w:rsidR="00743807" w:rsidRPr="00F54B93">
        <w:rPr>
          <w:rFonts w:ascii="Times New Roman" w:hAnsi="Times New Roman"/>
        </w:rPr>
        <w:t xml:space="preserve"> </w:t>
      </w:r>
      <w:r w:rsidR="00FD0598" w:rsidRPr="00F54B93">
        <w:rPr>
          <w:rFonts w:ascii="Times New Roman" w:hAnsi="Times New Roman"/>
        </w:rPr>
        <w:t>the purpose identified in s 9</w:t>
      </w:r>
      <w:r w:rsidR="00FD0598" w:rsidRPr="00F54B93">
        <w:rPr>
          <w:rFonts w:ascii="Times New Roman" w:hAnsi="Times New Roman"/>
        </w:rPr>
        <w:noBreakHyphen/>
        <w:t xml:space="preserve">5(1)(a) of the LCT Act of </w:t>
      </w:r>
      <w:r w:rsidR="00B52CF5" w:rsidRPr="00F54B93">
        <w:rPr>
          <w:rFonts w:ascii="Times New Roman" w:hAnsi="Times New Roman"/>
        </w:rPr>
        <w:t xml:space="preserve">"holding the car </w:t>
      </w:r>
      <w:r w:rsidR="00611E0B" w:rsidRPr="00F54B93">
        <w:rPr>
          <w:rFonts w:ascii="Times New Roman" w:hAnsi="Times New Roman"/>
        </w:rPr>
        <w:t xml:space="preserve">as </w:t>
      </w:r>
      <w:r w:rsidR="00B52CF5" w:rsidRPr="00F54B93">
        <w:rPr>
          <w:rFonts w:ascii="Times New Roman" w:hAnsi="Times New Roman"/>
        </w:rPr>
        <w:t xml:space="preserve">trading stock" in </w:t>
      </w:r>
      <w:r w:rsidR="000062E7" w:rsidRPr="00F54B93">
        <w:rPr>
          <w:rFonts w:ascii="Times New Roman" w:hAnsi="Times New Roman"/>
        </w:rPr>
        <w:t>that</w:t>
      </w:r>
      <w:r w:rsidR="00B52CF5" w:rsidRPr="00F54B93">
        <w:rPr>
          <w:rFonts w:ascii="Times New Roman" w:hAnsi="Times New Roman"/>
        </w:rPr>
        <w:t xml:space="preserve"> tax period</w:t>
      </w:r>
      <w:r w:rsidR="00E40A07" w:rsidRPr="00F54B93">
        <w:rPr>
          <w:rFonts w:ascii="Times New Roman" w:hAnsi="Times New Roman"/>
        </w:rPr>
        <w:t xml:space="preserve"> irrespective of whether </w:t>
      </w:r>
      <w:r w:rsidR="007A7B6B" w:rsidRPr="00F54B93">
        <w:rPr>
          <w:rFonts w:ascii="Times New Roman" w:hAnsi="Times New Roman"/>
        </w:rPr>
        <w:t>that other purpose is in addition to or i</w:t>
      </w:r>
      <w:r w:rsidR="00C114DD" w:rsidRPr="00F54B93">
        <w:rPr>
          <w:rFonts w:ascii="Times New Roman" w:hAnsi="Times New Roman"/>
        </w:rPr>
        <w:t xml:space="preserve">n the alternative to </w:t>
      </w:r>
      <w:r w:rsidR="00F55E04" w:rsidRPr="00F54B93">
        <w:rPr>
          <w:rFonts w:ascii="Times New Roman" w:hAnsi="Times New Roman"/>
        </w:rPr>
        <w:t xml:space="preserve">holding the car </w:t>
      </w:r>
      <w:r w:rsidR="00863C3E" w:rsidRPr="00F54B93">
        <w:rPr>
          <w:rFonts w:ascii="Times New Roman" w:hAnsi="Times New Roman"/>
        </w:rPr>
        <w:t>as</w:t>
      </w:r>
      <w:r w:rsidR="00F55E04" w:rsidRPr="00F54B93">
        <w:rPr>
          <w:rFonts w:ascii="Times New Roman" w:hAnsi="Times New Roman"/>
        </w:rPr>
        <w:t xml:space="preserve"> trading stock</w:t>
      </w:r>
      <w:r w:rsidR="00B52CF5" w:rsidRPr="00F54B93">
        <w:rPr>
          <w:rFonts w:ascii="Times New Roman" w:hAnsi="Times New Roman"/>
        </w:rPr>
        <w:t>; and (b) on the</w:t>
      </w:r>
      <w:r w:rsidR="000660C2" w:rsidRPr="00F54B93">
        <w:rPr>
          <w:rFonts w:ascii="Times New Roman" w:hAnsi="Times New Roman"/>
        </w:rPr>
        <w:t xml:space="preserve"> </w:t>
      </w:r>
      <w:r w:rsidR="00B52CF5" w:rsidRPr="00F54B93">
        <w:rPr>
          <w:rFonts w:ascii="Times New Roman" w:hAnsi="Times New Roman"/>
        </w:rPr>
        <w:t xml:space="preserve">facts found by the primary judge, </w:t>
      </w:r>
      <w:r w:rsidR="000660C2" w:rsidRPr="00F54B93">
        <w:rPr>
          <w:rFonts w:ascii="Times New Roman" w:hAnsi="Times New Roman"/>
        </w:rPr>
        <w:t xml:space="preserve">which were </w:t>
      </w:r>
      <w:r w:rsidR="00B52CF5" w:rsidRPr="00F54B93">
        <w:rPr>
          <w:rFonts w:ascii="Times New Roman" w:hAnsi="Times New Roman"/>
        </w:rPr>
        <w:t>not challenged on appeal,</w:t>
      </w:r>
      <w:r w:rsidR="00DD5207" w:rsidRPr="00F54B93">
        <w:rPr>
          <w:rFonts w:ascii="Times New Roman" w:hAnsi="Times New Roman"/>
        </w:rPr>
        <w:t xml:space="preserve"> the </w:t>
      </w:r>
      <w:r w:rsidR="00882118" w:rsidRPr="00F54B93">
        <w:rPr>
          <w:rFonts w:ascii="Times New Roman" w:hAnsi="Times New Roman"/>
        </w:rPr>
        <w:t>appellant use</w:t>
      </w:r>
      <w:r w:rsidR="00AD7E17" w:rsidRPr="00F54B93">
        <w:rPr>
          <w:rFonts w:ascii="Times New Roman" w:hAnsi="Times New Roman"/>
        </w:rPr>
        <w:t>d</w:t>
      </w:r>
      <w:r w:rsidR="00882118" w:rsidRPr="00F54B93">
        <w:rPr>
          <w:rFonts w:ascii="Times New Roman" w:hAnsi="Times New Roman"/>
        </w:rPr>
        <w:t xml:space="preserve"> </w:t>
      </w:r>
      <w:r w:rsidR="00C667D1" w:rsidRPr="00F54B93">
        <w:rPr>
          <w:rFonts w:ascii="Times New Roman" w:hAnsi="Times New Roman"/>
        </w:rPr>
        <w:t xml:space="preserve">each of </w:t>
      </w:r>
      <w:r w:rsidR="00882118" w:rsidRPr="00F54B93">
        <w:rPr>
          <w:rFonts w:ascii="Times New Roman" w:hAnsi="Times New Roman"/>
        </w:rPr>
        <w:t xml:space="preserve">the </w:t>
      </w:r>
      <w:r w:rsidR="00875CC4" w:rsidRPr="00F54B93">
        <w:rPr>
          <w:rFonts w:ascii="Times New Roman" w:hAnsi="Times New Roman"/>
        </w:rPr>
        <w:t xml:space="preserve">40 </w:t>
      </w:r>
      <w:r w:rsidR="006533F3" w:rsidRPr="00F54B93">
        <w:rPr>
          <w:rFonts w:ascii="Times New Roman" w:hAnsi="Times New Roman"/>
        </w:rPr>
        <w:t xml:space="preserve">luxury </w:t>
      </w:r>
      <w:r w:rsidR="00882118" w:rsidRPr="00F54B93">
        <w:rPr>
          <w:rFonts w:ascii="Times New Roman" w:hAnsi="Times New Roman"/>
        </w:rPr>
        <w:t xml:space="preserve">cars </w:t>
      </w:r>
      <w:r w:rsidR="00947588" w:rsidRPr="00F54B93">
        <w:rPr>
          <w:rFonts w:ascii="Times New Roman" w:hAnsi="Times New Roman"/>
        </w:rPr>
        <w:t xml:space="preserve">during </w:t>
      </w:r>
      <w:r w:rsidR="00A42EC2" w:rsidRPr="00F54B93">
        <w:rPr>
          <w:rFonts w:ascii="Times New Roman" w:hAnsi="Times New Roman"/>
        </w:rPr>
        <w:t xml:space="preserve">the </w:t>
      </w:r>
      <w:r w:rsidR="00947588" w:rsidRPr="00F54B93">
        <w:rPr>
          <w:rFonts w:ascii="Times New Roman" w:hAnsi="Times New Roman"/>
        </w:rPr>
        <w:t xml:space="preserve">relevant tax periods </w:t>
      </w:r>
      <w:r w:rsidR="00882118" w:rsidRPr="00F54B93">
        <w:rPr>
          <w:rFonts w:ascii="Times New Roman" w:hAnsi="Times New Roman"/>
        </w:rPr>
        <w:t xml:space="preserve">for a purpose </w:t>
      </w:r>
      <w:r w:rsidR="002E22B0" w:rsidRPr="00F54B93">
        <w:rPr>
          <w:rFonts w:ascii="Times New Roman" w:hAnsi="Times New Roman"/>
        </w:rPr>
        <w:t>in addition to</w:t>
      </w:r>
      <w:r w:rsidR="00882118" w:rsidRPr="00F54B93">
        <w:rPr>
          <w:rFonts w:ascii="Times New Roman" w:hAnsi="Times New Roman"/>
        </w:rPr>
        <w:t xml:space="preserve"> holding the</w:t>
      </w:r>
      <w:r w:rsidR="00947588" w:rsidRPr="00F54B93">
        <w:rPr>
          <w:rFonts w:ascii="Times New Roman" w:hAnsi="Times New Roman"/>
        </w:rPr>
        <w:t>m</w:t>
      </w:r>
      <w:r w:rsidR="00882118" w:rsidRPr="00F54B93">
        <w:rPr>
          <w:rFonts w:ascii="Times New Roman" w:hAnsi="Times New Roman"/>
        </w:rPr>
        <w:t xml:space="preserve"> </w:t>
      </w:r>
      <w:r w:rsidR="00863C3E" w:rsidRPr="00F54B93">
        <w:rPr>
          <w:rFonts w:ascii="Times New Roman" w:hAnsi="Times New Roman"/>
        </w:rPr>
        <w:t>as</w:t>
      </w:r>
      <w:r w:rsidR="00882118" w:rsidRPr="00F54B93">
        <w:rPr>
          <w:rFonts w:ascii="Times New Roman" w:hAnsi="Times New Roman"/>
        </w:rPr>
        <w:t xml:space="preserve"> trading stock</w:t>
      </w:r>
      <w:r w:rsidR="008266DF" w:rsidRPr="00F54B93">
        <w:rPr>
          <w:rFonts w:ascii="Times New Roman" w:hAnsi="Times New Roman"/>
        </w:rPr>
        <w:t xml:space="preserve">, </w:t>
      </w:r>
      <w:r w:rsidR="00997864" w:rsidRPr="00F54B93">
        <w:rPr>
          <w:rFonts w:ascii="Times New Roman" w:hAnsi="Times New Roman"/>
        </w:rPr>
        <w:t xml:space="preserve">namely, for the purpose of </w:t>
      </w:r>
      <w:r w:rsidR="00FC1F69" w:rsidRPr="00F54B93">
        <w:rPr>
          <w:rFonts w:ascii="Times New Roman" w:hAnsi="Times New Roman"/>
        </w:rPr>
        <w:t>display</w:t>
      </w:r>
      <w:r w:rsidR="003F5541" w:rsidRPr="00F54B93">
        <w:rPr>
          <w:rFonts w:ascii="Times New Roman" w:hAnsi="Times New Roman"/>
        </w:rPr>
        <w:t>ing them</w:t>
      </w:r>
      <w:r w:rsidR="00FC1F69" w:rsidRPr="00F54B93">
        <w:rPr>
          <w:rFonts w:ascii="Times New Roman" w:hAnsi="Times New Roman"/>
        </w:rPr>
        <w:t xml:space="preserve"> as </w:t>
      </w:r>
      <w:r w:rsidR="00750AC8" w:rsidRPr="00F54B93">
        <w:rPr>
          <w:rFonts w:ascii="Times New Roman" w:hAnsi="Times New Roman"/>
        </w:rPr>
        <w:t xml:space="preserve">part of </w:t>
      </w:r>
      <w:r w:rsidR="00997864" w:rsidRPr="00F54B93">
        <w:rPr>
          <w:rFonts w:ascii="Times New Roman" w:hAnsi="Times New Roman"/>
        </w:rPr>
        <w:t>a tourist attraction</w:t>
      </w:r>
      <w:r w:rsidR="00BA0879" w:rsidRPr="00F54B93">
        <w:rPr>
          <w:rFonts w:ascii="Times New Roman" w:hAnsi="Times New Roman"/>
        </w:rPr>
        <w:t>.</w:t>
      </w:r>
    </w:p>
    <w:p w14:paraId="4BBBCDA9" w14:textId="1E8D2393" w:rsidR="00B05588" w:rsidRPr="00F54B93" w:rsidRDefault="00B05588" w:rsidP="00F54B93">
      <w:pPr>
        <w:pStyle w:val="HeadingL1"/>
        <w:spacing w:after="260" w:line="280" w:lineRule="exact"/>
        <w:ind w:right="0"/>
        <w:jc w:val="both"/>
        <w:rPr>
          <w:rFonts w:ascii="Times New Roman" w:hAnsi="Times New Roman"/>
        </w:rPr>
      </w:pPr>
      <w:r w:rsidRPr="00F54B93">
        <w:rPr>
          <w:rFonts w:ascii="Times New Roman" w:hAnsi="Times New Roman"/>
        </w:rPr>
        <w:t xml:space="preserve">The construction </w:t>
      </w:r>
      <w:r w:rsidR="00524BCA" w:rsidRPr="00F54B93">
        <w:rPr>
          <w:rFonts w:ascii="Times New Roman" w:hAnsi="Times New Roman"/>
        </w:rPr>
        <w:t>of the LCT Act</w:t>
      </w:r>
    </w:p>
    <w:p w14:paraId="564EDFAF" w14:textId="1A2B8C1A" w:rsidR="004E6C90" w:rsidRPr="00F54B93" w:rsidRDefault="00E30E6E"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4E2971" w:rsidRPr="00F54B93">
        <w:rPr>
          <w:rFonts w:ascii="Times New Roman" w:hAnsi="Times New Roman"/>
        </w:rPr>
        <w:t>Section 2</w:t>
      </w:r>
      <w:r w:rsidR="004E2971" w:rsidRPr="00F54B93">
        <w:rPr>
          <w:rFonts w:ascii="Times New Roman" w:hAnsi="Times New Roman"/>
        </w:rPr>
        <w:noBreakHyphen/>
        <w:t>1</w:t>
      </w:r>
      <w:r w:rsidR="00346446" w:rsidRPr="00F54B93">
        <w:rPr>
          <w:rFonts w:ascii="Times New Roman" w:hAnsi="Times New Roman"/>
        </w:rPr>
        <w:t xml:space="preserve"> of the </w:t>
      </w:r>
      <w:r w:rsidR="00F26CD6" w:rsidRPr="00F54B93">
        <w:rPr>
          <w:rFonts w:ascii="Times New Roman" w:hAnsi="Times New Roman"/>
        </w:rPr>
        <w:t>LC</w:t>
      </w:r>
      <w:r w:rsidR="00346446" w:rsidRPr="00F54B93">
        <w:rPr>
          <w:rFonts w:ascii="Times New Roman" w:hAnsi="Times New Roman"/>
        </w:rPr>
        <w:t>T Act</w:t>
      </w:r>
      <w:r w:rsidR="004E2971" w:rsidRPr="00F54B93">
        <w:rPr>
          <w:rFonts w:ascii="Times New Roman" w:hAnsi="Times New Roman"/>
        </w:rPr>
        <w:t xml:space="preserve"> </w:t>
      </w:r>
      <w:r w:rsidR="004F7C5B" w:rsidRPr="00F54B93">
        <w:rPr>
          <w:rFonts w:ascii="Times New Roman" w:hAnsi="Times New Roman"/>
        </w:rPr>
        <w:t>explains that</w:t>
      </w:r>
      <w:r w:rsidR="004E2971" w:rsidRPr="00F54B93">
        <w:rPr>
          <w:rFonts w:ascii="Times New Roman" w:hAnsi="Times New Roman"/>
        </w:rPr>
        <w:t xml:space="preserve"> LCT </w:t>
      </w:r>
      <w:r w:rsidR="004F7C5B" w:rsidRPr="00F54B93">
        <w:rPr>
          <w:rFonts w:ascii="Times New Roman" w:hAnsi="Times New Roman"/>
        </w:rPr>
        <w:t xml:space="preserve">"is </w:t>
      </w:r>
      <w:r w:rsidR="004E2971" w:rsidRPr="00F54B93">
        <w:rPr>
          <w:rFonts w:ascii="Times New Roman" w:hAnsi="Times New Roman"/>
        </w:rPr>
        <w:t>a single stage tax that is imposed on supplies and importations of luxury cars</w:t>
      </w:r>
      <w:r w:rsidR="004F7C5B" w:rsidRPr="00F54B93">
        <w:rPr>
          <w:rFonts w:ascii="Times New Roman" w:hAnsi="Times New Roman"/>
        </w:rPr>
        <w:t xml:space="preserve"> and </w:t>
      </w:r>
      <w:r w:rsidR="00F92AFA" w:rsidRPr="00F54B93">
        <w:rPr>
          <w:rFonts w:ascii="Times New Roman" w:hAnsi="Times New Roman"/>
        </w:rPr>
        <w:t xml:space="preserve">is in </w:t>
      </w:r>
      <w:r w:rsidR="000D3E90" w:rsidRPr="00F54B93">
        <w:rPr>
          <w:rFonts w:ascii="Times New Roman" w:hAnsi="Times New Roman"/>
        </w:rPr>
        <w:t>addition to any GST that may be payable"</w:t>
      </w:r>
      <w:r w:rsidR="00B60916" w:rsidRPr="00F54B93">
        <w:rPr>
          <w:rFonts w:ascii="Times New Roman" w:hAnsi="Times New Roman"/>
        </w:rPr>
        <w:t xml:space="preserve">. </w:t>
      </w:r>
      <w:r w:rsidR="00611A09" w:rsidRPr="00F54B93">
        <w:rPr>
          <w:rFonts w:ascii="Times New Roman" w:hAnsi="Times New Roman"/>
        </w:rPr>
        <w:t>Section 2</w:t>
      </w:r>
      <w:r w:rsidR="00611A09" w:rsidRPr="00F54B93">
        <w:rPr>
          <w:rFonts w:ascii="Times New Roman" w:hAnsi="Times New Roman"/>
        </w:rPr>
        <w:noBreakHyphen/>
        <w:t>5</w:t>
      </w:r>
      <w:r w:rsidR="00704497" w:rsidRPr="00F54B93">
        <w:rPr>
          <w:rFonts w:ascii="Times New Roman" w:hAnsi="Times New Roman"/>
        </w:rPr>
        <w:t>(2)</w:t>
      </w:r>
      <w:r w:rsidR="000A69FC" w:rsidRPr="00F54B93">
        <w:rPr>
          <w:rFonts w:ascii="Times New Roman" w:hAnsi="Times New Roman"/>
        </w:rPr>
        <w:t xml:space="preserve"> </w:t>
      </w:r>
      <w:r w:rsidR="00E55CEE" w:rsidRPr="00F54B93">
        <w:rPr>
          <w:rFonts w:ascii="Times New Roman" w:hAnsi="Times New Roman"/>
        </w:rPr>
        <w:t>explains</w:t>
      </w:r>
      <w:r w:rsidR="000A69FC" w:rsidRPr="00F54B93">
        <w:rPr>
          <w:rFonts w:ascii="Times New Roman" w:hAnsi="Times New Roman"/>
        </w:rPr>
        <w:t xml:space="preserve"> that "[t]here is a system of quoting which is designed to prevent [LCT] becoming payable until the car is sold or imported at the retail level". </w:t>
      </w:r>
    </w:p>
    <w:p w14:paraId="07F3674A" w14:textId="2BCCE2CD" w:rsidR="004E2971" w:rsidRPr="00F54B93" w:rsidRDefault="004E6C90"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95762E" w:rsidRPr="00F54B93">
        <w:rPr>
          <w:rFonts w:ascii="Times New Roman" w:hAnsi="Times New Roman"/>
        </w:rPr>
        <w:t>Section 2</w:t>
      </w:r>
      <w:r w:rsidR="0095762E" w:rsidRPr="00F54B93">
        <w:rPr>
          <w:rFonts w:ascii="Times New Roman" w:hAnsi="Times New Roman"/>
        </w:rPr>
        <w:noBreakHyphen/>
        <w:t xml:space="preserve">10(1) </w:t>
      </w:r>
      <w:r w:rsidR="00F26CD6" w:rsidRPr="00F54B93">
        <w:rPr>
          <w:rFonts w:ascii="Times New Roman" w:hAnsi="Times New Roman"/>
        </w:rPr>
        <w:t xml:space="preserve">of the </w:t>
      </w:r>
      <w:r w:rsidR="008D3C53" w:rsidRPr="00F54B93">
        <w:rPr>
          <w:rFonts w:ascii="Times New Roman" w:hAnsi="Times New Roman"/>
        </w:rPr>
        <w:t>LC</w:t>
      </w:r>
      <w:r w:rsidR="00F26CD6" w:rsidRPr="00F54B93">
        <w:rPr>
          <w:rFonts w:ascii="Times New Roman" w:hAnsi="Times New Roman"/>
        </w:rPr>
        <w:t>T Act</w:t>
      </w:r>
      <w:r w:rsidR="00C8006C" w:rsidRPr="00F54B93">
        <w:rPr>
          <w:rFonts w:ascii="Times New Roman" w:hAnsi="Times New Roman"/>
        </w:rPr>
        <w:t xml:space="preserve"> </w:t>
      </w:r>
      <w:r w:rsidR="0095762E" w:rsidRPr="00F54B93">
        <w:rPr>
          <w:rFonts w:ascii="Times New Roman" w:hAnsi="Times New Roman"/>
        </w:rPr>
        <w:t>explain</w:t>
      </w:r>
      <w:r w:rsidR="00EA73FF" w:rsidRPr="00F54B93">
        <w:rPr>
          <w:rFonts w:ascii="Times New Roman" w:hAnsi="Times New Roman"/>
        </w:rPr>
        <w:t>s</w:t>
      </w:r>
      <w:r w:rsidR="0095762E" w:rsidRPr="00F54B93">
        <w:rPr>
          <w:rFonts w:ascii="Times New Roman" w:hAnsi="Times New Roman"/>
        </w:rPr>
        <w:t xml:space="preserve"> that </w:t>
      </w:r>
      <w:r w:rsidR="006A5EC7" w:rsidRPr="00F54B93">
        <w:rPr>
          <w:rFonts w:ascii="Times New Roman" w:hAnsi="Times New Roman"/>
        </w:rPr>
        <w:t>a</w:t>
      </w:r>
      <w:r w:rsidR="0095762E" w:rsidRPr="00F54B93">
        <w:rPr>
          <w:rFonts w:ascii="Times New Roman" w:hAnsi="Times New Roman"/>
        </w:rPr>
        <w:t xml:space="preserve">mounts of </w:t>
      </w:r>
      <w:r w:rsidR="006A5EC7" w:rsidRPr="00F54B93">
        <w:rPr>
          <w:rFonts w:ascii="Times New Roman" w:hAnsi="Times New Roman"/>
        </w:rPr>
        <w:t>LCT</w:t>
      </w:r>
      <w:r w:rsidR="0095762E" w:rsidRPr="00F54B93">
        <w:rPr>
          <w:rFonts w:ascii="Times New Roman" w:hAnsi="Times New Roman"/>
        </w:rPr>
        <w:t xml:space="preserve"> </w:t>
      </w:r>
      <w:r w:rsidR="006A5EC7" w:rsidRPr="00F54B93">
        <w:rPr>
          <w:rFonts w:ascii="Times New Roman" w:hAnsi="Times New Roman"/>
        </w:rPr>
        <w:t>"</w:t>
      </w:r>
      <w:r w:rsidR="0095762E" w:rsidRPr="00F54B93">
        <w:rPr>
          <w:rFonts w:ascii="Times New Roman" w:hAnsi="Times New Roman"/>
        </w:rPr>
        <w:t>are included in net amounts under the GST system"</w:t>
      </w:r>
      <w:r w:rsidR="00823971" w:rsidRPr="00F54B93">
        <w:rPr>
          <w:rFonts w:ascii="Times New Roman" w:hAnsi="Times New Roman"/>
        </w:rPr>
        <w:t xml:space="preserve">, </w:t>
      </w:r>
      <w:r w:rsidR="001241C3" w:rsidRPr="00F54B93">
        <w:rPr>
          <w:rFonts w:ascii="Times New Roman" w:hAnsi="Times New Roman"/>
        </w:rPr>
        <w:t xml:space="preserve">so </w:t>
      </w:r>
      <w:r w:rsidR="00C52D85" w:rsidRPr="00F54B93">
        <w:rPr>
          <w:rFonts w:ascii="Times New Roman" w:hAnsi="Times New Roman"/>
        </w:rPr>
        <w:t xml:space="preserve">that LCT is </w:t>
      </w:r>
      <w:r w:rsidR="003D51B6" w:rsidRPr="00F54B93">
        <w:rPr>
          <w:rFonts w:ascii="Times New Roman" w:hAnsi="Times New Roman"/>
        </w:rPr>
        <w:t>incorporat</w:t>
      </w:r>
      <w:r w:rsidR="00C52D85" w:rsidRPr="00F54B93">
        <w:rPr>
          <w:rFonts w:ascii="Times New Roman" w:hAnsi="Times New Roman"/>
        </w:rPr>
        <w:t>ed</w:t>
      </w:r>
      <w:r w:rsidR="003D51B6" w:rsidRPr="00F54B93" w:rsidDel="00C52D85">
        <w:rPr>
          <w:rFonts w:ascii="Times New Roman" w:hAnsi="Times New Roman"/>
        </w:rPr>
        <w:t xml:space="preserve"> </w:t>
      </w:r>
      <w:r w:rsidR="003D51B6" w:rsidRPr="00F54B93">
        <w:rPr>
          <w:rFonts w:ascii="Times New Roman" w:hAnsi="Times New Roman"/>
        </w:rPr>
        <w:t xml:space="preserve">into the </w:t>
      </w:r>
      <w:r w:rsidR="003D51B6" w:rsidRPr="00F54B93">
        <w:rPr>
          <w:rFonts w:ascii="Times New Roman" w:hAnsi="Times New Roman"/>
        </w:rPr>
        <w:lastRenderedPageBreak/>
        <w:t xml:space="preserve">payments and refunds system </w:t>
      </w:r>
      <w:r w:rsidR="00643375" w:rsidRPr="00F54B93">
        <w:rPr>
          <w:rFonts w:ascii="Times New Roman" w:hAnsi="Times New Roman"/>
        </w:rPr>
        <w:t>for the GST</w:t>
      </w:r>
      <w:r w:rsidR="00C54789" w:rsidRPr="00F54B93">
        <w:rPr>
          <w:rFonts w:ascii="Times New Roman" w:hAnsi="Times New Roman"/>
        </w:rPr>
        <w:t xml:space="preserve">, </w:t>
      </w:r>
      <w:r w:rsidR="00797309" w:rsidRPr="00F54B93">
        <w:rPr>
          <w:rFonts w:ascii="Times New Roman" w:hAnsi="Times New Roman"/>
        </w:rPr>
        <w:t>although</w:t>
      </w:r>
      <w:r w:rsidR="00C54789" w:rsidRPr="00F54B93">
        <w:rPr>
          <w:rFonts w:ascii="Times New Roman" w:hAnsi="Times New Roman"/>
        </w:rPr>
        <w:t xml:space="preserve"> LCT on importations is paid with customs duty</w:t>
      </w:r>
      <w:r w:rsidR="006A5EC7" w:rsidRPr="00F54B93">
        <w:rPr>
          <w:rFonts w:ascii="Times New Roman" w:hAnsi="Times New Roman"/>
        </w:rPr>
        <w:t>.</w:t>
      </w:r>
      <w:r w:rsidR="006002AF" w:rsidRPr="00F54B93">
        <w:rPr>
          <w:rFonts w:ascii="Times New Roman" w:hAnsi="Times New Roman"/>
        </w:rPr>
        <w:t xml:space="preserve"> Section 2</w:t>
      </w:r>
      <w:r w:rsidR="006002AF" w:rsidRPr="00F54B93">
        <w:rPr>
          <w:rFonts w:ascii="Times New Roman" w:hAnsi="Times New Roman"/>
        </w:rPr>
        <w:noBreakHyphen/>
        <w:t>10(</w:t>
      </w:r>
      <w:r w:rsidR="00491926" w:rsidRPr="00F54B93">
        <w:rPr>
          <w:rFonts w:ascii="Times New Roman" w:hAnsi="Times New Roman"/>
        </w:rPr>
        <w:t>2</w:t>
      </w:r>
      <w:r w:rsidR="006002AF" w:rsidRPr="00F54B93">
        <w:rPr>
          <w:rFonts w:ascii="Times New Roman" w:hAnsi="Times New Roman"/>
        </w:rPr>
        <w:t>)</w:t>
      </w:r>
      <w:r w:rsidR="00C8006C" w:rsidRPr="00F54B93">
        <w:rPr>
          <w:rFonts w:ascii="Times New Roman" w:hAnsi="Times New Roman"/>
        </w:rPr>
        <w:t xml:space="preserve"> </w:t>
      </w:r>
      <w:r w:rsidR="00302841" w:rsidRPr="00F54B93">
        <w:rPr>
          <w:rFonts w:ascii="Times New Roman" w:hAnsi="Times New Roman"/>
        </w:rPr>
        <w:t>add</w:t>
      </w:r>
      <w:r w:rsidR="006C3578" w:rsidRPr="00F54B93">
        <w:rPr>
          <w:rFonts w:ascii="Times New Roman" w:hAnsi="Times New Roman"/>
        </w:rPr>
        <w:t>s</w:t>
      </w:r>
      <w:r w:rsidR="006002AF" w:rsidRPr="00F54B93">
        <w:rPr>
          <w:rFonts w:ascii="Times New Roman" w:hAnsi="Times New Roman"/>
        </w:rPr>
        <w:t xml:space="preserve"> that </w:t>
      </w:r>
      <w:r w:rsidR="00D86C25" w:rsidRPr="00F54B93">
        <w:rPr>
          <w:rFonts w:ascii="Times New Roman" w:hAnsi="Times New Roman"/>
        </w:rPr>
        <w:t>"[a]djustments to the net amount can arise out of circumstances that occur after the supply or importation of the car".</w:t>
      </w:r>
      <w:r w:rsidR="00317C0F" w:rsidRPr="00F54B93">
        <w:rPr>
          <w:rFonts w:ascii="Times New Roman" w:hAnsi="Times New Roman"/>
        </w:rPr>
        <w:t xml:space="preserve"> The present case is concerned </w:t>
      </w:r>
      <w:r w:rsidR="00E40074" w:rsidRPr="00F54B93">
        <w:rPr>
          <w:rFonts w:ascii="Times New Roman" w:hAnsi="Times New Roman"/>
        </w:rPr>
        <w:t>with such a circumstance</w:t>
      </w:r>
      <w:r w:rsidR="0071303C" w:rsidRPr="00F54B93">
        <w:rPr>
          <w:rFonts w:ascii="Times New Roman" w:hAnsi="Times New Roman"/>
        </w:rPr>
        <w:t xml:space="preserve"> occurring after acquisition</w:t>
      </w:r>
      <w:r w:rsidR="00E40074" w:rsidRPr="00F54B93">
        <w:rPr>
          <w:rFonts w:ascii="Times New Roman" w:hAnsi="Times New Roman"/>
        </w:rPr>
        <w:t>.</w:t>
      </w:r>
    </w:p>
    <w:p w14:paraId="0B09221C" w14:textId="7DB1CC83" w:rsidR="00A94C76" w:rsidRPr="00F54B93" w:rsidRDefault="00A94C76"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6F3B71" w:rsidRPr="00F54B93">
        <w:rPr>
          <w:rFonts w:ascii="Times New Roman" w:hAnsi="Times New Roman"/>
        </w:rPr>
        <w:t>Section</w:t>
      </w:r>
      <w:r w:rsidR="009F1729" w:rsidRPr="00F54B93">
        <w:rPr>
          <w:rFonts w:ascii="Times New Roman" w:hAnsi="Times New Roman"/>
        </w:rPr>
        <w:t>s 4-1 and</w:t>
      </w:r>
      <w:r w:rsidR="006F3B71" w:rsidRPr="00F54B93">
        <w:rPr>
          <w:rFonts w:ascii="Times New Roman" w:hAnsi="Times New Roman"/>
        </w:rPr>
        <w:t xml:space="preserve"> 4-5 </w:t>
      </w:r>
      <w:r w:rsidR="00F26CD6" w:rsidRPr="00F54B93">
        <w:rPr>
          <w:rFonts w:ascii="Times New Roman" w:hAnsi="Times New Roman"/>
        </w:rPr>
        <w:t xml:space="preserve">of the </w:t>
      </w:r>
      <w:r w:rsidR="008D3C53" w:rsidRPr="00F54B93">
        <w:rPr>
          <w:rFonts w:ascii="Times New Roman" w:hAnsi="Times New Roman"/>
        </w:rPr>
        <w:t>LC</w:t>
      </w:r>
      <w:r w:rsidR="00F26CD6" w:rsidRPr="00F54B93">
        <w:rPr>
          <w:rFonts w:ascii="Times New Roman" w:hAnsi="Times New Roman"/>
        </w:rPr>
        <w:t xml:space="preserve">T Act </w:t>
      </w:r>
      <w:r w:rsidR="009F1729" w:rsidRPr="00F54B93">
        <w:rPr>
          <w:rFonts w:ascii="Times New Roman" w:hAnsi="Times New Roman"/>
        </w:rPr>
        <w:t xml:space="preserve">combine to </w:t>
      </w:r>
      <w:r w:rsidR="00090EAB" w:rsidRPr="00F54B93">
        <w:rPr>
          <w:rFonts w:ascii="Times New Roman" w:hAnsi="Times New Roman"/>
        </w:rPr>
        <w:t>make clear that t</w:t>
      </w:r>
      <w:r w:rsidRPr="00F54B93">
        <w:rPr>
          <w:rFonts w:ascii="Times New Roman" w:hAnsi="Times New Roman"/>
        </w:rPr>
        <w:t>hose</w:t>
      </w:r>
      <w:r w:rsidR="00665A77" w:rsidRPr="00F54B93">
        <w:rPr>
          <w:rFonts w:ascii="Times New Roman" w:hAnsi="Times New Roman"/>
        </w:rPr>
        <w:t xml:space="preserve"> "explanatory sections" </w:t>
      </w:r>
      <w:r w:rsidR="00883628" w:rsidRPr="00F54B93">
        <w:rPr>
          <w:rFonts w:ascii="Times New Roman" w:hAnsi="Times New Roman"/>
        </w:rPr>
        <w:t xml:space="preserve">are </w:t>
      </w:r>
      <w:r w:rsidR="00E7101E" w:rsidRPr="00F54B93">
        <w:rPr>
          <w:rFonts w:ascii="Times New Roman" w:hAnsi="Times New Roman"/>
        </w:rPr>
        <w:t>not</w:t>
      </w:r>
      <w:r w:rsidR="00883628" w:rsidRPr="00F54B93">
        <w:rPr>
          <w:rFonts w:ascii="Times New Roman" w:hAnsi="Times New Roman"/>
        </w:rPr>
        <w:t xml:space="preserve"> </w:t>
      </w:r>
      <w:r w:rsidR="00EC4729" w:rsidRPr="00F54B93">
        <w:rPr>
          <w:rFonts w:ascii="Times New Roman" w:hAnsi="Times New Roman"/>
        </w:rPr>
        <w:t>"</w:t>
      </w:r>
      <w:r w:rsidR="00883628" w:rsidRPr="00F54B93">
        <w:rPr>
          <w:rFonts w:ascii="Times New Roman" w:hAnsi="Times New Roman"/>
        </w:rPr>
        <w:t>operative provisions</w:t>
      </w:r>
      <w:r w:rsidR="00EC4729" w:rsidRPr="00F54B93">
        <w:rPr>
          <w:rFonts w:ascii="Times New Roman" w:hAnsi="Times New Roman"/>
        </w:rPr>
        <w:t>"</w:t>
      </w:r>
      <w:r w:rsidR="00941AC3" w:rsidRPr="00F54B93">
        <w:rPr>
          <w:rFonts w:ascii="Times New Roman" w:hAnsi="Times New Roman"/>
        </w:rPr>
        <w:t xml:space="preserve"> </w:t>
      </w:r>
      <w:r w:rsidR="00073A51" w:rsidRPr="00F54B93">
        <w:rPr>
          <w:rFonts w:ascii="Times New Roman" w:hAnsi="Times New Roman"/>
        </w:rPr>
        <w:t xml:space="preserve">but are included in </w:t>
      </w:r>
      <w:r w:rsidR="00941AC3" w:rsidRPr="00F54B93">
        <w:rPr>
          <w:rFonts w:ascii="Times New Roman" w:hAnsi="Times New Roman"/>
        </w:rPr>
        <w:t>the LCT Act</w:t>
      </w:r>
      <w:r w:rsidR="00073A51" w:rsidRPr="00F54B93">
        <w:rPr>
          <w:rFonts w:ascii="Times New Roman" w:hAnsi="Times New Roman"/>
        </w:rPr>
        <w:t xml:space="preserve"> "</w:t>
      </w:r>
      <w:r w:rsidR="009351E4" w:rsidRPr="00F54B93">
        <w:rPr>
          <w:rFonts w:ascii="Times New Roman" w:hAnsi="Times New Roman"/>
        </w:rPr>
        <w:t>to help you identify accurately and quickly the provisions that are relevant to you and to help you understand them".</w:t>
      </w:r>
      <w:r w:rsidR="009F1729" w:rsidRPr="00F54B93">
        <w:rPr>
          <w:rFonts w:ascii="Times New Roman" w:hAnsi="Times New Roman"/>
        </w:rPr>
        <w:t xml:space="preserve"> </w:t>
      </w:r>
      <w:r w:rsidR="00D76F14" w:rsidRPr="00F54B93">
        <w:rPr>
          <w:rFonts w:ascii="Times New Roman" w:hAnsi="Times New Roman"/>
        </w:rPr>
        <w:t>Section 23</w:t>
      </w:r>
      <w:r w:rsidR="00ED4519" w:rsidRPr="00F54B93">
        <w:rPr>
          <w:rFonts w:ascii="Times New Roman" w:hAnsi="Times New Roman"/>
        </w:rPr>
        <w:t>-10(2)</w:t>
      </w:r>
      <w:r w:rsidR="00D76F14" w:rsidRPr="00F54B93">
        <w:rPr>
          <w:rFonts w:ascii="Times New Roman" w:hAnsi="Times New Roman"/>
        </w:rPr>
        <w:t xml:space="preserve"> provides that,</w:t>
      </w:r>
      <w:r w:rsidR="0080591B" w:rsidRPr="00F54B93">
        <w:rPr>
          <w:rFonts w:ascii="Times New Roman" w:hAnsi="Times New Roman"/>
        </w:rPr>
        <w:t xml:space="preserve"> in interpreting </w:t>
      </w:r>
      <w:r w:rsidR="00F16467" w:rsidRPr="00F54B93">
        <w:rPr>
          <w:rFonts w:ascii="Times New Roman" w:hAnsi="Times New Roman"/>
        </w:rPr>
        <w:t xml:space="preserve">an operative provision, </w:t>
      </w:r>
      <w:r w:rsidR="003F3D21" w:rsidRPr="00F54B93">
        <w:rPr>
          <w:rFonts w:ascii="Times New Roman" w:hAnsi="Times New Roman"/>
        </w:rPr>
        <w:t xml:space="preserve">an </w:t>
      </w:r>
      <w:r w:rsidR="000006BE" w:rsidRPr="00F54B93">
        <w:rPr>
          <w:rFonts w:ascii="Times New Roman" w:hAnsi="Times New Roman"/>
        </w:rPr>
        <w:t>explanatory section</w:t>
      </w:r>
      <w:r w:rsidR="000E1D3E" w:rsidRPr="00F54B93">
        <w:rPr>
          <w:rFonts w:ascii="Times New Roman" w:hAnsi="Times New Roman"/>
        </w:rPr>
        <w:t xml:space="preserve"> </w:t>
      </w:r>
      <w:r w:rsidR="00E51441" w:rsidRPr="00F54B93">
        <w:rPr>
          <w:rFonts w:ascii="Times New Roman" w:hAnsi="Times New Roman"/>
        </w:rPr>
        <w:t xml:space="preserve">may only be </w:t>
      </w:r>
      <w:r w:rsidR="0080591B" w:rsidRPr="00F54B93">
        <w:rPr>
          <w:rFonts w:ascii="Times New Roman" w:hAnsi="Times New Roman"/>
        </w:rPr>
        <w:t>considered</w:t>
      </w:r>
      <w:r w:rsidR="00EC4729" w:rsidRPr="00F54B93">
        <w:rPr>
          <w:rFonts w:ascii="Times New Roman" w:hAnsi="Times New Roman"/>
        </w:rPr>
        <w:t xml:space="preserve"> for </w:t>
      </w:r>
      <w:r w:rsidR="006F3B71" w:rsidRPr="00F54B93">
        <w:rPr>
          <w:rFonts w:ascii="Times New Roman" w:hAnsi="Times New Roman"/>
        </w:rPr>
        <w:t>the limited purposes</w:t>
      </w:r>
      <w:r w:rsidR="00D76F14" w:rsidRPr="00F54B93">
        <w:rPr>
          <w:rFonts w:ascii="Times New Roman" w:hAnsi="Times New Roman"/>
        </w:rPr>
        <w:t xml:space="preserve"> </w:t>
      </w:r>
      <w:r w:rsidR="00090EAB" w:rsidRPr="00F54B93">
        <w:rPr>
          <w:rFonts w:ascii="Times New Roman" w:hAnsi="Times New Roman"/>
        </w:rPr>
        <w:t>set out</w:t>
      </w:r>
      <w:r w:rsidR="00A66898" w:rsidRPr="00F54B93">
        <w:rPr>
          <w:rFonts w:ascii="Times New Roman" w:hAnsi="Times New Roman"/>
        </w:rPr>
        <w:t xml:space="preserve"> in that section</w:t>
      </w:r>
      <w:r w:rsidR="00D76F14" w:rsidRPr="00F54B93">
        <w:rPr>
          <w:rFonts w:ascii="Times New Roman" w:hAnsi="Times New Roman"/>
        </w:rPr>
        <w:t>. Th</w:t>
      </w:r>
      <w:r w:rsidR="0009035F" w:rsidRPr="00F54B93">
        <w:rPr>
          <w:rFonts w:ascii="Times New Roman" w:hAnsi="Times New Roman"/>
        </w:rPr>
        <w:t>ose</w:t>
      </w:r>
      <w:r w:rsidR="00A66898" w:rsidRPr="00F54B93">
        <w:rPr>
          <w:rFonts w:ascii="Times New Roman" w:hAnsi="Times New Roman"/>
        </w:rPr>
        <w:t xml:space="preserve"> limited</w:t>
      </w:r>
      <w:r w:rsidR="00D76F14" w:rsidRPr="00F54B93">
        <w:rPr>
          <w:rFonts w:ascii="Times New Roman" w:hAnsi="Times New Roman"/>
        </w:rPr>
        <w:t xml:space="preserve"> purposes are: </w:t>
      </w:r>
      <w:r w:rsidR="00027FCE" w:rsidRPr="00F54B93">
        <w:rPr>
          <w:rFonts w:ascii="Times New Roman" w:hAnsi="Times New Roman"/>
        </w:rPr>
        <w:t>in determining the purpose or object underlying the provision</w:t>
      </w:r>
      <w:r w:rsidR="00786FD1" w:rsidRPr="00F54B93">
        <w:rPr>
          <w:rFonts w:ascii="Times New Roman" w:hAnsi="Times New Roman"/>
        </w:rPr>
        <w:t xml:space="preserve">; to confirm </w:t>
      </w:r>
      <w:r w:rsidR="00E44629" w:rsidRPr="00F54B93">
        <w:rPr>
          <w:rFonts w:ascii="Times New Roman" w:hAnsi="Times New Roman"/>
        </w:rPr>
        <w:t>the</w:t>
      </w:r>
      <w:r w:rsidR="00786FD1" w:rsidRPr="00F54B93">
        <w:rPr>
          <w:rFonts w:ascii="Times New Roman" w:hAnsi="Times New Roman"/>
        </w:rPr>
        <w:t xml:space="preserve"> ordinary meaning</w:t>
      </w:r>
      <w:r w:rsidR="00E44629" w:rsidRPr="00F54B93">
        <w:rPr>
          <w:rFonts w:ascii="Times New Roman" w:hAnsi="Times New Roman"/>
        </w:rPr>
        <w:t xml:space="preserve"> conveyed by its text</w:t>
      </w:r>
      <w:r w:rsidR="001B355E" w:rsidRPr="00F54B93">
        <w:rPr>
          <w:rFonts w:ascii="Times New Roman" w:hAnsi="Times New Roman"/>
        </w:rPr>
        <w:t xml:space="preserve"> taking account of its context </w:t>
      </w:r>
      <w:r w:rsidR="00BD1ADA" w:rsidRPr="00F54B93">
        <w:rPr>
          <w:rFonts w:ascii="Times New Roman" w:hAnsi="Times New Roman"/>
        </w:rPr>
        <w:t>and the</w:t>
      </w:r>
      <w:r w:rsidR="001B355E" w:rsidRPr="00F54B93">
        <w:rPr>
          <w:rFonts w:ascii="Times New Roman" w:hAnsi="Times New Roman"/>
        </w:rPr>
        <w:t xml:space="preserve"> purpose</w:t>
      </w:r>
      <w:r w:rsidR="00BD1ADA" w:rsidRPr="00F54B93">
        <w:rPr>
          <w:rFonts w:ascii="Times New Roman" w:hAnsi="Times New Roman"/>
        </w:rPr>
        <w:t xml:space="preserve"> or object underlying the provision</w:t>
      </w:r>
      <w:r w:rsidR="00786FD1" w:rsidRPr="00F54B93">
        <w:rPr>
          <w:rFonts w:ascii="Times New Roman" w:hAnsi="Times New Roman"/>
        </w:rPr>
        <w:t xml:space="preserve">; </w:t>
      </w:r>
      <w:r w:rsidR="00980067" w:rsidRPr="00F54B93">
        <w:rPr>
          <w:rFonts w:ascii="Times New Roman" w:hAnsi="Times New Roman"/>
        </w:rPr>
        <w:t xml:space="preserve">in determining its meaning if </w:t>
      </w:r>
      <w:r w:rsidR="00E44629" w:rsidRPr="00F54B93">
        <w:rPr>
          <w:rFonts w:ascii="Times New Roman" w:hAnsi="Times New Roman"/>
        </w:rPr>
        <w:t>it</w:t>
      </w:r>
      <w:r w:rsidR="00980067" w:rsidRPr="00F54B93">
        <w:rPr>
          <w:rFonts w:ascii="Times New Roman" w:hAnsi="Times New Roman"/>
        </w:rPr>
        <w:t xml:space="preserve"> is ambiguous or obscure</w:t>
      </w:r>
      <w:r w:rsidR="007E4289" w:rsidRPr="00F54B93">
        <w:rPr>
          <w:rFonts w:ascii="Times New Roman" w:hAnsi="Times New Roman"/>
        </w:rPr>
        <w:t>; or in determining its meaning if its ordinary meaning</w:t>
      </w:r>
      <w:r w:rsidR="0013416A" w:rsidRPr="00F54B93">
        <w:rPr>
          <w:rFonts w:ascii="Times New Roman" w:hAnsi="Times New Roman"/>
        </w:rPr>
        <w:t xml:space="preserve"> leads to a manifestly absurd or unreasonable result.</w:t>
      </w:r>
    </w:p>
    <w:p w14:paraId="17F00ED2" w14:textId="1DAD3726" w:rsidR="003D067D" w:rsidRPr="00F54B93" w:rsidRDefault="004E2971"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16374B" w:rsidRPr="00F54B93">
        <w:rPr>
          <w:rFonts w:ascii="Times New Roman" w:hAnsi="Times New Roman"/>
        </w:rPr>
        <w:t xml:space="preserve">The operative </w:t>
      </w:r>
      <w:r w:rsidR="008917B5" w:rsidRPr="00F54B93">
        <w:rPr>
          <w:rFonts w:ascii="Times New Roman" w:hAnsi="Times New Roman"/>
        </w:rPr>
        <w:t>provisions</w:t>
      </w:r>
      <w:r w:rsidR="00BD3F72" w:rsidRPr="00F54B93">
        <w:rPr>
          <w:rFonts w:ascii="Times New Roman" w:hAnsi="Times New Roman"/>
        </w:rPr>
        <w:t xml:space="preserve"> </w:t>
      </w:r>
      <w:r w:rsidR="008917B5" w:rsidRPr="00F54B93">
        <w:rPr>
          <w:rFonts w:ascii="Times New Roman" w:hAnsi="Times New Roman"/>
        </w:rPr>
        <w:t>govern</w:t>
      </w:r>
      <w:r w:rsidR="00750A40" w:rsidRPr="00F54B93">
        <w:rPr>
          <w:rFonts w:ascii="Times New Roman" w:hAnsi="Times New Roman"/>
        </w:rPr>
        <w:t>ing</w:t>
      </w:r>
      <w:r w:rsidR="008917B5" w:rsidRPr="00F54B93">
        <w:rPr>
          <w:rFonts w:ascii="Times New Roman" w:hAnsi="Times New Roman"/>
        </w:rPr>
        <w:t xml:space="preserve"> </w:t>
      </w:r>
      <w:r w:rsidR="008738F5" w:rsidRPr="00F54B93">
        <w:rPr>
          <w:rFonts w:ascii="Times New Roman" w:hAnsi="Times New Roman"/>
        </w:rPr>
        <w:t xml:space="preserve">when </w:t>
      </w:r>
      <w:r w:rsidR="00D5000A" w:rsidRPr="00F54B93">
        <w:rPr>
          <w:rFonts w:ascii="Times New Roman" w:hAnsi="Times New Roman"/>
        </w:rPr>
        <w:t>and by whom</w:t>
      </w:r>
      <w:r w:rsidR="008917B5" w:rsidRPr="00F54B93">
        <w:rPr>
          <w:rFonts w:ascii="Times New Roman" w:hAnsi="Times New Roman"/>
        </w:rPr>
        <w:t xml:space="preserve"> </w:t>
      </w:r>
      <w:r w:rsidR="00AB56C3" w:rsidRPr="00F54B93">
        <w:rPr>
          <w:rFonts w:ascii="Times New Roman" w:hAnsi="Times New Roman"/>
        </w:rPr>
        <w:t xml:space="preserve">LCT is payable on </w:t>
      </w:r>
      <w:r w:rsidR="003A731D" w:rsidRPr="00F54B93">
        <w:rPr>
          <w:rFonts w:ascii="Times New Roman" w:hAnsi="Times New Roman"/>
        </w:rPr>
        <w:t>supplies and importations of luxury cars are set out in Div</w:t>
      </w:r>
      <w:r w:rsidR="00E02184" w:rsidRPr="00F54B93">
        <w:rPr>
          <w:rFonts w:ascii="Times New Roman" w:hAnsi="Times New Roman"/>
        </w:rPr>
        <w:t xml:space="preserve">s 5 and 7 of </w:t>
      </w:r>
      <w:r w:rsidR="007E131A" w:rsidRPr="00F54B93">
        <w:rPr>
          <w:rFonts w:ascii="Times New Roman" w:hAnsi="Times New Roman"/>
        </w:rPr>
        <w:t xml:space="preserve">Pt 2 of </w:t>
      </w:r>
      <w:r w:rsidR="00E02184" w:rsidRPr="00F54B93">
        <w:rPr>
          <w:rFonts w:ascii="Times New Roman" w:hAnsi="Times New Roman"/>
        </w:rPr>
        <w:t>the LCT Act.</w:t>
      </w:r>
      <w:r w:rsidR="00AB56C3" w:rsidRPr="00F54B93">
        <w:rPr>
          <w:rFonts w:ascii="Times New Roman" w:hAnsi="Times New Roman"/>
        </w:rPr>
        <w:t xml:space="preserve"> </w:t>
      </w:r>
      <w:r w:rsidR="006C08E1" w:rsidRPr="00F54B93">
        <w:rPr>
          <w:rFonts w:ascii="Times New Roman" w:hAnsi="Times New Roman"/>
        </w:rPr>
        <w:t xml:space="preserve">Sections </w:t>
      </w:r>
      <w:r w:rsidR="00D059F6" w:rsidRPr="00F54B93">
        <w:rPr>
          <w:rFonts w:ascii="Times New Roman" w:hAnsi="Times New Roman"/>
        </w:rPr>
        <w:t>5-5 and 7-5</w:t>
      </w:r>
      <w:r w:rsidR="005D1922" w:rsidRPr="00F54B93">
        <w:rPr>
          <w:rFonts w:ascii="Times New Roman" w:hAnsi="Times New Roman"/>
        </w:rPr>
        <w:t xml:space="preserve"> </w:t>
      </w:r>
      <w:r w:rsidR="00D059F6" w:rsidRPr="00F54B93">
        <w:rPr>
          <w:rFonts w:ascii="Times New Roman" w:hAnsi="Times New Roman"/>
        </w:rPr>
        <w:t xml:space="preserve">provide that LCT is payable </w:t>
      </w:r>
      <w:r w:rsidR="00EB42B6" w:rsidRPr="00F54B93">
        <w:rPr>
          <w:rFonts w:ascii="Times New Roman" w:hAnsi="Times New Roman"/>
        </w:rPr>
        <w:t xml:space="preserve">by the supplier </w:t>
      </w:r>
      <w:r w:rsidR="00D059F6" w:rsidRPr="00F54B93">
        <w:rPr>
          <w:rFonts w:ascii="Times New Roman" w:hAnsi="Times New Roman"/>
        </w:rPr>
        <w:t xml:space="preserve">on </w:t>
      </w:r>
      <w:r w:rsidR="00EB42B6" w:rsidRPr="00F54B93">
        <w:rPr>
          <w:rFonts w:ascii="Times New Roman" w:hAnsi="Times New Roman"/>
        </w:rPr>
        <w:t xml:space="preserve">a </w:t>
      </w:r>
      <w:r w:rsidR="00FA38CA" w:rsidRPr="00F54B93">
        <w:rPr>
          <w:rFonts w:ascii="Times New Roman" w:hAnsi="Times New Roman"/>
        </w:rPr>
        <w:t>taxable suppl</w:t>
      </w:r>
      <w:r w:rsidR="00EB42B6" w:rsidRPr="00F54B93">
        <w:rPr>
          <w:rFonts w:ascii="Times New Roman" w:hAnsi="Times New Roman"/>
        </w:rPr>
        <w:t>y of a luxury car</w:t>
      </w:r>
      <w:r w:rsidR="00FA38CA" w:rsidRPr="00F54B93">
        <w:rPr>
          <w:rFonts w:ascii="Times New Roman" w:hAnsi="Times New Roman"/>
        </w:rPr>
        <w:t xml:space="preserve"> and </w:t>
      </w:r>
      <w:r w:rsidR="00EB42B6" w:rsidRPr="00F54B93">
        <w:rPr>
          <w:rFonts w:ascii="Times New Roman" w:hAnsi="Times New Roman"/>
        </w:rPr>
        <w:t xml:space="preserve">by </w:t>
      </w:r>
      <w:r w:rsidR="005711FE" w:rsidRPr="00F54B93">
        <w:rPr>
          <w:rFonts w:ascii="Times New Roman" w:hAnsi="Times New Roman"/>
        </w:rPr>
        <w:t xml:space="preserve">the importer on </w:t>
      </w:r>
      <w:r w:rsidR="009C785D" w:rsidRPr="00F54B93">
        <w:rPr>
          <w:rFonts w:ascii="Times New Roman" w:hAnsi="Times New Roman"/>
        </w:rPr>
        <w:t>a</w:t>
      </w:r>
      <w:r w:rsidR="005711FE" w:rsidRPr="00F54B93">
        <w:rPr>
          <w:rFonts w:ascii="Times New Roman" w:hAnsi="Times New Roman"/>
        </w:rPr>
        <w:t xml:space="preserve"> </w:t>
      </w:r>
      <w:r w:rsidR="00FA38CA" w:rsidRPr="00F54B93">
        <w:rPr>
          <w:rFonts w:ascii="Times New Roman" w:hAnsi="Times New Roman"/>
        </w:rPr>
        <w:t>taxable importation of</w:t>
      </w:r>
      <w:r w:rsidR="005711FE" w:rsidRPr="00F54B93">
        <w:rPr>
          <w:rFonts w:ascii="Times New Roman" w:hAnsi="Times New Roman"/>
        </w:rPr>
        <w:t xml:space="preserve"> a</w:t>
      </w:r>
      <w:r w:rsidR="00FA38CA" w:rsidRPr="00F54B93">
        <w:rPr>
          <w:rFonts w:ascii="Times New Roman" w:hAnsi="Times New Roman"/>
        </w:rPr>
        <w:t xml:space="preserve"> luxury car. </w:t>
      </w:r>
      <w:r w:rsidR="003A731D" w:rsidRPr="00F54B93">
        <w:rPr>
          <w:rFonts w:ascii="Times New Roman" w:hAnsi="Times New Roman"/>
        </w:rPr>
        <w:t>However, s</w:t>
      </w:r>
      <w:r w:rsidR="005D1922" w:rsidRPr="00F54B93">
        <w:rPr>
          <w:rFonts w:ascii="Times New Roman" w:hAnsi="Times New Roman"/>
        </w:rPr>
        <w:t>s</w:t>
      </w:r>
      <w:r w:rsidR="0012005E" w:rsidRPr="00F54B93">
        <w:rPr>
          <w:rFonts w:ascii="Times New Roman" w:hAnsi="Times New Roman"/>
        </w:rPr>
        <w:t> </w:t>
      </w:r>
      <w:r w:rsidR="00111418" w:rsidRPr="00F54B93">
        <w:rPr>
          <w:rFonts w:ascii="Times New Roman" w:hAnsi="Times New Roman"/>
        </w:rPr>
        <w:t>5-10(2)(a) and 7-10(3)(</w:t>
      </w:r>
      <w:r w:rsidR="0017212A" w:rsidRPr="00F54B93">
        <w:rPr>
          <w:rFonts w:ascii="Times New Roman" w:hAnsi="Times New Roman"/>
        </w:rPr>
        <w:t>a</w:t>
      </w:r>
      <w:r w:rsidR="00111418" w:rsidRPr="00F54B93">
        <w:rPr>
          <w:rFonts w:ascii="Times New Roman" w:hAnsi="Times New Roman"/>
        </w:rPr>
        <w:t>) provide that</w:t>
      </w:r>
      <w:r w:rsidR="006A69BB" w:rsidRPr="00F54B93">
        <w:rPr>
          <w:rFonts w:ascii="Times New Roman" w:hAnsi="Times New Roman"/>
        </w:rPr>
        <w:t xml:space="preserve"> </w:t>
      </w:r>
      <w:r w:rsidR="00AD08F4" w:rsidRPr="00F54B93">
        <w:rPr>
          <w:rFonts w:ascii="Times New Roman" w:hAnsi="Times New Roman"/>
        </w:rPr>
        <w:t xml:space="preserve">a </w:t>
      </w:r>
      <w:r w:rsidR="006A69BB" w:rsidRPr="00F54B93">
        <w:rPr>
          <w:rFonts w:ascii="Times New Roman" w:hAnsi="Times New Roman"/>
        </w:rPr>
        <w:t>taxable supply or</w:t>
      </w:r>
      <w:r w:rsidR="00241867" w:rsidRPr="00F54B93">
        <w:rPr>
          <w:rFonts w:ascii="Times New Roman" w:hAnsi="Times New Roman"/>
        </w:rPr>
        <w:t xml:space="preserve"> taxable</w:t>
      </w:r>
      <w:r w:rsidR="008D348A" w:rsidRPr="00F54B93">
        <w:rPr>
          <w:rFonts w:ascii="Times New Roman" w:hAnsi="Times New Roman"/>
        </w:rPr>
        <w:t xml:space="preserve"> importation is </w:t>
      </w:r>
      <w:r w:rsidR="008D348A" w:rsidRPr="00F54B93">
        <w:rPr>
          <w:rFonts w:ascii="Times New Roman" w:hAnsi="Times New Roman"/>
          <w:i/>
          <w:iCs/>
        </w:rPr>
        <w:t>not</w:t>
      </w:r>
      <w:r w:rsidR="008D348A" w:rsidRPr="00F54B93">
        <w:rPr>
          <w:rFonts w:ascii="Times New Roman" w:hAnsi="Times New Roman"/>
        </w:rPr>
        <w:t xml:space="preserve"> made</w:t>
      </w:r>
      <w:r w:rsidR="00EA5DCC" w:rsidRPr="00F54B93">
        <w:rPr>
          <w:rFonts w:ascii="Times New Roman" w:hAnsi="Times New Roman"/>
        </w:rPr>
        <w:t xml:space="preserve"> where </w:t>
      </w:r>
      <w:r w:rsidR="0001503A" w:rsidRPr="00F54B93">
        <w:rPr>
          <w:rFonts w:ascii="Times New Roman" w:hAnsi="Times New Roman"/>
        </w:rPr>
        <w:t>the recipient (in the case of a supply) or the importer (in the case of an importation)</w:t>
      </w:r>
      <w:r w:rsidR="004D51AA" w:rsidRPr="00F54B93">
        <w:rPr>
          <w:rFonts w:ascii="Times New Roman" w:hAnsi="Times New Roman"/>
        </w:rPr>
        <w:t xml:space="preserve"> quotes for the supply or importation of the car.</w:t>
      </w:r>
    </w:p>
    <w:p w14:paraId="14B8673E" w14:textId="60838932" w:rsidR="00851D9B" w:rsidRPr="00F54B93" w:rsidRDefault="003D067D"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8874B2" w:rsidRPr="00F54B93">
        <w:rPr>
          <w:rFonts w:ascii="Times New Roman" w:hAnsi="Times New Roman"/>
        </w:rPr>
        <w:t>The operative provisions govern</w:t>
      </w:r>
      <w:r w:rsidR="00BD3F72" w:rsidRPr="00F54B93">
        <w:rPr>
          <w:rFonts w:ascii="Times New Roman" w:hAnsi="Times New Roman"/>
        </w:rPr>
        <w:t>ing</w:t>
      </w:r>
      <w:r w:rsidR="003B4A4D" w:rsidRPr="00F54B93">
        <w:rPr>
          <w:rFonts w:ascii="Times New Roman" w:hAnsi="Times New Roman"/>
        </w:rPr>
        <w:t xml:space="preserve"> </w:t>
      </w:r>
      <w:r w:rsidR="005801BF" w:rsidRPr="00F54B93">
        <w:rPr>
          <w:rFonts w:ascii="Times New Roman" w:hAnsi="Times New Roman"/>
        </w:rPr>
        <w:t>quoting are set out in Div</w:t>
      </w:r>
      <w:r w:rsidR="00AB47BA" w:rsidRPr="00F54B93">
        <w:rPr>
          <w:rFonts w:ascii="Times New Roman" w:hAnsi="Times New Roman"/>
        </w:rPr>
        <w:t> </w:t>
      </w:r>
      <w:r w:rsidR="005801BF" w:rsidRPr="00F54B93">
        <w:rPr>
          <w:rFonts w:ascii="Times New Roman" w:hAnsi="Times New Roman"/>
        </w:rPr>
        <w:t>9 of Pt</w:t>
      </w:r>
      <w:r w:rsidR="00AB47BA" w:rsidRPr="00F54B93">
        <w:rPr>
          <w:rFonts w:ascii="Times New Roman" w:hAnsi="Times New Roman"/>
        </w:rPr>
        <w:t> </w:t>
      </w:r>
      <w:r w:rsidR="005801BF" w:rsidRPr="00F54B93">
        <w:rPr>
          <w:rFonts w:ascii="Times New Roman" w:hAnsi="Times New Roman"/>
        </w:rPr>
        <w:t>2 of the LCT Act.</w:t>
      </w:r>
      <w:r w:rsidR="00F01B05" w:rsidRPr="00F54B93">
        <w:rPr>
          <w:rFonts w:ascii="Times New Roman" w:hAnsi="Times New Roman"/>
        </w:rPr>
        <w:t xml:space="preserve"> </w:t>
      </w:r>
      <w:r w:rsidR="00C21032" w:rsidRPr="00F54B93">
        <w:rPr>
          <w:rFonts w:ascii="Times New Roman" w:hAnsi="Times New Roman"/>
        </w:rPr>
        <w:t>Section</w:t>
      </w:r>
      <w:r w:rsidR="00B66C80" w:rsidRPr="00F54B93">
        <w:rPr>
          <w:rFonts w:ascii="Times New Roman" w:hAnsi="Times New Roman"/>
        </w:rPr>
        <w:t xml:space="preserve"> 9</w:t>
      </w:r>
      <w:r w:rsidR="00B66C80" w:rsidRPr="00F54B93">
        <w:rPr>
          <w:rFonts w:ascii="Times New Roman" w:hAnsi="Times New Roman"/>
        </w:rPr>
        <w:noBreakHyphen/>
        <w:t>5(1)</w:t>
      </w:r>
      <w:r w:rsidR="007E57A7" w:rsidRPr="00F54B93">
        <w:rPr>
          <w:rFonts w:ascii="Times New Roman" w:hAnsi="Times New Roman"/>
        </w:rPr>
        <w:t xml:space="preserve"> provides that "you", being </w:t>
      </w:r>
      <w:r w:rsidR="00843FB7" w:rsidRPr="00F54B93">
        <w:rPr>
          <w:rFonts w:ascii="Times New Roman" w:hAnsi="Times New Roman"/>
        </w:rPr>
        <w:t xml:space="preserve">an entity </w:t>
      </w:r>
      <w:r w:rsidR="000232C2" w:rsidRPr="00F54B93">
        <w:rPr>
          <w:rFonts w:ascii="Times New Roman" w:hAnsi="Times New Roman"/>
        </w:rPr>
        <w:t xml:space="preserve">within the meaning of the </w:t>
      </w:r>
      <w:r w:rsidR="00CF73B8" w:rsidRPr="00F54B93">
        <w:rPr>
          <w:rFonts w:ascii="Times New Roman" w:hAnsi="Times New Roman"/>
          <w:i/>
          <w:iCs/>
        </w:rPr>
        <w:t>A New Tax System (Goods and Services</w:t>
      </w:r>
      <w:r w:rsidR="00F56148" w:rsidRPr="00F54B93">
        <w:rPr>
          <w:rFonts w:ascii="Times New Roman" w:hAnsi="Times New Roman"/>
          <w:i/>
          <w:iCs/>
        </w:rPr>
        <w:t xml:space="preserve"> Tax</w:t>
      </w:r>
      <w:r w:rsidR="00CF73B8" w:rsidRPr="00F54B93">
        <w:rPr>
          <w:rFonts w:ascii="Times New Roman" w:hAnsi="Times New Roman"/>
          <w:i/>
          <w:iCs/>
        </w:rPr>
        <w:t>) Act 1999</w:t>
      </w:r>
      <w:r w:rsidR="00CF73B8" w:rsidRPr="00F54B93">
        <w:rPr>
          <w:rFonts w:ascii="Times New Roman" w:hAnsi="Times New Roman"/>
        </w:rPr>
        <w:t xml:space="preserve"> (Cth) ("the GST Act")</w:t>
      </w:r>
      <w:r w:rsidR="00FF4A12" w:rsidRPr="00F54B93">
        <w:rPr>
          <w:rFonts w:ascii="Times New Roman" w:hAnsi="Times New Roman"/>
        </w:rPr>
        <w:t xml:space="preserve">, </w:t>
      </w:r>
      <w:r w:rsidR="00CF73B8" w:rsidRPr="00F54B93">
        <w:rPr>
          <w:rFonts w:ascii="Times New Roman" w:hAnsi="Times New Roman"/>
        </w:rPr>
        <w:t>"are</w:t>
      </w:r>
      <w:r w:rsidR="00537498" w:rsidRPr="00F54B93">
        <w:rPr>
          <w:rFonts w:ascii="Times New Roman" w:hAnsi="Times New Roman"/>
        </w:rPr>
        <w:t xml:space="preserve"> entitled to </w:t>
      </w:r>
      <w:r w:rsidR="00870904" w:rsidRPr="00F54B93">
        <w:rPr>
          <w:rFonts w:ascii="Times New Roman" w:hAnsi="Times New Roman"/>
        </w:rPr>
        <w:t>*</w:t>
      </w:r>
      <w:r w:rsidR="00537498" w:rsidRPr="00F54B93">
        <w:rPr>
          <w:rFonts w:ascii="Times New Roman" w:hAnsi="Times New Roman"/>
        </w:rPr>
        <w:t xml:space="preserve">quote </w:t>
      </w:r>
      <w:r w:rsidR="00BB1A8A" w:rsidRPr="00F54B93">
        <w:rPr>
          <w:rFonts w:ascii="Times New Roman" w:hAnsi="Times New Roman"/>
        </w:rPr>
        <w:t xml:space="preserve">your </w:t>
      </w:r>
      <w:r w:rsidR="00870904" w:rsidRPr="00F54B93">
        <w:rPr>
          <w:rFonts w:ascii="Times New Roman" w:hAnsi="Times New Roman"/>
        </w:rPr>
        <w:t>*</w:t>
      </w:r>
      <w:r w:rsidR="00BB1A8A" w:rsidRPr="00F54B93">
        <w:rPr>
          <w:rFonts w:ascii="Times New Roman" w:hAnsi="Times New Roman"/>
        </w:rPr>
        <w:t xml:space="preserve">ABN in relation to </w:t>
      </w:r>
      <w:r w:rsidR="00D37EA0" w:rsidRPr="00F54B93">
        <w:rPr>
          <w:rFonts w:ascii="Times New Roman" w:hAnsi="Times New Roman"/>
        </w:rPr>
        <w:t xml:space="preserve">a supply of a </w:t>
      </w:r>
      <w:r w:rsidR="00870904" w:rsidRPr="00F54B93">
        <w:rPr>
          <w:rFonts w:ascii="Times New Roman" w:hAnsi="Times New Roman"/>
        </w:rPr>
        <w:t>*</w:t>
      </w:r>
      <w:r w:rsidR="00D37EA0" w:rsidRPr="00F54B93">
        <w:rPr>
          <w:rFonts w:ascii="Times New Roman" w:hAnsi="Times New Roman"/>
        </w:rPr>
        <w:t xml:space="preserve">luxury car or an </w:t>
      </w:r>
      <w:r w:rsidR="00870904" w:rsidRPr="00F54B93">
        <w:rPr>
          <w:rFonts w:ascii="Times New Roman" w:hAnsi="Times New Roman"/>
        </w:rPr>
        <w:t>*</w:t>
      </w:r>
      <w:r w:rsidR="00D37EA0" w:rsidRPr="00F54B93">
        <w:rPr>
          <w:rFonts w:ascii="Times New Roman" w:hAnsi="Times New Roman"/>
        </w:rPr>
        <w:t xml:space="preserve">importation of a luxury car if, at the </w:t>
      </w:r>
      <w:r w:rsidR="00101367" w:rsidRPr="00F54B93">
        <w:rPr>
          <w:rFonts w:ascii="Times New Roman" w:hAnsi="Times New Roman"/>
        </w:rPr>
        <w:t xml:space="preserve">time of quoting, </w:t>
      </w:r>
      <w:r w:rsidR="002A07C6" w:rsidRPr="00F54B93">
        <w:rPr>
          <w:rFonts w:ascii="Times New Roman" w:hAnsi="Times New Roman"/>
        </w:rPr>
        <w:t xml:space="preserve">you have the </w:t>
      </w:r>
      <w:r w:rsidR="00000EA9" w:rsidRPr="00F54B93">
        <w:rPr>
          <w:rFonts w:ascii="Times New Roman" w:hAnsi="Times New Roman"/>
        </w:rPr>
        <w:t xml:space="preserve">intention of using the car for one of </w:t>
      </w:r>
      <w:r w:rsidR="0095280A" w:rsidRPr="00F54B93">
        <w:rPr>
          <w:rFonts w:ascii="Times New Roman" w:hAnsi="Times New Roman"/>
        </w:rPr>
        <w:t>the</w:t>
      </w:r>
      <w:r w:rsidR="00BA59C5" w:rsidRPr="00F54B93">
        <w:rPr>
          <w:rFonts w:ascii="Times New Roman" w:hAnsi="Times New Roman"/>
        </w:rPr>
        <w:t xml:space="preserve"> ...</w:t>
      </w:r>
      <w:r w:rsidR="0095280A" w:rsidRPr="00F54B93">
        <w:rPr>
          <w:rFonts w:ascii="Times New Roman" w:hAnsi="Times New Roman"/>
        </w:rPr>
        <w:t xml:space="preserve"> purposes</w:t>
      </w:r>
      <w:r w:rsidR="00BA59C5" w:rsidRPr="00F54B93">
        <w:rPr>
          <w:rFonts w:ascii="Times New Roman" w:hAnsi="Times New Roman"/>
        </w:rPr>
        <w:t>"</w:t>
      </w:r>
      <w:r w:rsidR="0095280A" w:rsidRPr="00F54B93">
        <w:rPr>
          <w:rFonts w:ascii="Times New Roman" w:hAnsi="Times New Roman"/>
        </w:rPr>
        <w:t xml:space="preserve"> nominated in s 9</w:t>
      </w:r>
      <w:r w:rsidR="00BF7674" w:rsidRPr="00F54B93">
        <w:rPr>
          <w:rFonts w:ascii="Times New Roman" w:hAnsi="Times New Roman"/>
        </w:rPr>
        <w:noBreakHyphen/>
      </w:r>
      <w:r w:rsidR="0095280A" w:rsidRPr="00F54B93">
        <w:rPr>
          <w:rFonts w:ascii="Times New Roman" w:hAnsi="Times New Roman"/>
        </w:rPr>
        <w:t>5(1)(a)</w:t>
      </w:r>
      <w:r w:rsidR="00E47632" w:rsidRPr="00F54B93">
        <w:rPr>
          <w:rFonts w:ascii="Times New Roman" w:hAnsi="Times New Roman"/>
        </w:rPr>
        <w:noBreakHyphen/>
      </w:r>
      <w:r w:rsidR="0095280A" w:rsidRPr="00F54B93">
        <w:rPr>
          <w:rFonts w:ascii="Times New Roman" w:hAnsi="Times New Roman"/>
        </w:rPr>
        <w:t xml:space="preserve">(c) </w:t>
      </w:r>
      <w:r w:rsidR="00191C96" w:rsidRPr="00F54B93">
        <w:rPr>
          <w:rFonts w:ascii="Times New Roman" w:hAnsi="Times New Roman"/>
        </w:rPr>
        <w:t>"</w:t>
      </w:r>
      <w:r w:rsidR="0095280A" w:rsidRPr="00F54B93">
        <w:rPr>
          <w:rFonts w:ascii="Times New Roman" w:hAnsi="Times New Roman"/>
        </w:rPr>
        <w:t>and for no other purpose"</w:t>
      </w:r>
      <w:r w:rsidR="00530B9D" w:rsidRPr="00F54B93">
        <w:rPr>
          <w:rFonts w:ascii="Times New Roman" w:hAnsi="Times New Roman"/>
        </w:rPr>
        <w:t xml:space="preserve">. </w:t>
      </w:r>
      <w:r w:rsidR="00340008" w:rsidRPr="00F54B93">
        <w:rPr>
          <w:rFonts w:ascii="Times New Roman" w:hAnsi="Times New Roman"/>
        </w:rPr>
        <w:t>By s 27</w:t>
      </w:r>
      <w:r w:rsidR="00340008" w:rsidRPr="00F54B93">
        <w:rPr>
          <w:rFonts w:ascii="Times New Roman" w:hAnsi="Times New Roman"/>
        </w:rPr>
        <w:noBreakHyphen/>
        <w:t>1, "a use of a</w:t>
      </w:r>
      <w:r w:rsidR="00B20E9C" w:rsidRPr="00F54B93">
        <w:rPr>
          <w:rFonts w:ascii="Times New Roman" w:hAnsi="Times New Roman"/>
        </w:rPr>
        <w:t xml:space="preserve"> </w:t>
      </w:r>
      <w:r w:rsidR="00870904" w:rsidRPr="00F54B93">
        <w:rPr>
          <w:rFonts w:ascii="Times New Roman" w:hAnsi="Times New Roman"/>
        </w:rPr>
        <w:t>*</w:t>
      </w:r>
      <w:r w:rsidR="00340008" w:rsidRPr="00F54B93">
        <w:rPr>
          <w:rFonts w:ascii="Times New Roman" w:hAnsi="Times New Roman"/>
        </w:rPr>
        <w:t xml:space="preserve">car for which you may </w:t>
      </w:r>
      <w:r w:rsidR="00870904" w:rsidRPr="00F54B93">
        <w:rPr>
          <w:rFonts w:ascii="Times New Roman" w:hAnsi="Times New Roman"/>
        </w:rPr>
        <w:t>*</w:t>
      </w:r>
      <w:r w:rsidR="00340008" w:rsidRPr="00F54B93">
        <w:rPr>
          <w:rFonts w:ascii="Times New Roman" w:hAnsi="Times New Roman"/>
        </w:rPr>
        <w:t>quote under s</w:t>
      </w:r>
      <w:r w:rsidR="00870904" w:rsidRPr="00F54B93">
        <w:rPr>
          <w:rFonts w:ascii="Times New Roman" w:hAnsi="Times New Roman"/>
        </w:rPr>
        <w:t>ection</w:t>
      </w:r>
      <w:r w:rsidR="00340008" w:rsidRPr="00F54B93">
        <w:rPr>
          <w:rFonts w:ascii="Times New Roman" w:hAnsi="Times New Roman"/>
        </w:rPr>
        <w:t> 9-5"</w:t>
      </w:r>
      <w:r w:rsidR="00755335" w:rsidRPr="00F54B93">
        <w:rPr>
          <w:rFonts w:ascii="Times New Roman" w:hAnsi="Times New Roman"/>
        </w:rPr>
        <w:t xml:space="preserve"> is </w:t>
      </w:r>
      <w:r w:rsidR="00870904" w:rsidRPr="00F54B93">
        <w:rPr>
          <w:rFonts w:ascii="Times New Roman" w:hAnsi="Times New Roman"/>
        </w:rPr>
        <w:t xml:space="preserve">a </w:t>
      </w:r>
      <w:r w:rsidR="00755335" w:rsidRPr="00F54B93">
        <w:rPr>
          <w:rFonts w:ascii="Times New Roman" w:hAnsi="Times New Roman"/>
        </w:rPr>
        <w:t>"quotable purpose"</w:t>
      </w:r>
      <w:r w:rsidR="003B41DF" w:rsidRPr="00F54B93">
        <w:rPr>
          <w:rFonts w:ascii="Times New Roman" w:hAnsi="Times New Roman"/>
        </w:rPr>
        <w:t xml:space="preserve"> within the meaning of the LCT Act</w:t>
      </w:r>
      <w:r w:rsidR="00340008" w:rsidRPr="00F54B93">
        <w:rPr>
          <w:rFonts w:ascii="Times New Roman" w:hAnsi="Times New Roman"/>
        </w:rPr>
        <w:t>.</w:t>
      </w:r>
      <w:r w:rsidR="000F0CF6" w:rsidRPr="00F54B93">
        <w:rPr>
          <w:rFonts w:ascii="Times New Roman" w:hAnsi="Times New Roman"/>
        </w:rPr>
        <w:t xml:space="preserve"> </w:t>
      </w:r>
      <w:r w:rsidR="00294A8A" w:rsidRPr="00F54B93">
        <w:rPr>
          <w:rFonts w:ascii="Times New Roman" w:hAnsi="Times New Roman"/>
        </w:rPr>
        <w:t xml:space="preserve">One </w:t>
      </w:r>
      <w:r w:rsidR="00547958" w:rsidRPr="00F54B93">
        <w:rPr>
          <w:rFonts w:ascii="Times New Roman" w:hAnsi="Times New Roman"/>
        </w:rPr>
        <w:t>"</w:t>
      </w:r>
      <w:r w:rsidR="006D4688" w:rsidRPr="00F54B93">
        <w:rPr>
          <w:rFonts w:ascii="Times New Roman" w:hAnsi="Times New Roman"/>
        </w:rPr>
        <w:t xml:space="preserve">quotable </w:t>
      </w:r>
      <w:r w:rsidR="00294A8A" w:rsidRPr="00F54B93">
        <w:rPr>
          <w:rFonts w:ascii="Times New Roman" w:hAnsi="Times New Roman"/>
        </w:rPr>
        <w:t>purpose</w:t>
      </w:r>
      <w:r w:rsidR="00547958" w:rsidRPr="00F54B93">
        <w:rPr>
          <w:rFonts w:ascii="Times New Roman" w:hAnsi="Times New Roman"/>
        </w:rPr>
        <w:t>"</w:t>
      </w:r>
      <w:r w:rsidR="00294A8A" w:rsidRPr="00F54B93">
        <w:rPr>
          <w:rFonts w:ascii="Times New Roman" w:hAnsi="Times New Roman"/>
        </w:rPr>
        <w:t>,</w:t>
      </w:r>
      <w:r w:rsidR="00340008" w:rsidRPr="00F54B93">
        <w:rPr>
          <w:rFonts w:ascii="Times New Roman" w:hAnsi="Times New Roman"/>
        </w:rPr>
        <w:t xml:space="preserve"> </w:t>
      </w:r>
      <w:r w:rsidR="00294A8A" w:rsidRPr="00F54B93">
        <w:rPr>
          <w:rFonts w:ascii="Times New Roman" w:hAnsi="Times New Roman"/>
        </w:rPr>
        <w:t>in s 9</w:t>
      </w:r>
      <w:r w:rsidR="00266E78" w:rsidRPr="00F54B93">
        <w:rPr>
          <w:rFonts w:ascii="Times New Roman" w:hAnsi="Times New Roman"/>
        </w:rPr>
        <w:noBreakHyphen/>
      </w:r>
      <w:r w:rsidR="00294A8A" w:rsidRPr="00F54B93">
        <w:rPr>
          <w:rFonts w:ascii="Times New Roman" w:hAnsi="Times New Roman"/>
        </w:rPr>
        <w:t>5(</w:t>
      </w:r>
      <w:r w:rsidR="008A1E94" w:rsidRPr="00F54B93">
        <w:rPr>
          <w:rFonts w:ascii="Times New Roman" w:hAnsi="Times New Roman"/>
        </w:rPr>
        <w:t>1)(a)</w:t>
      </w:r>
      <w:r w:rsidR="00446988" w:rsidRPr="00F54B93">
        <w:rPr>
          <w:rFonts w:ascii="Times New Roman" w:hAnsi="Times New Roman"/>
        </w:rPr>
        <w:t>,</w:t>
      </w:r>
      <w:r w:rsidR="008A1E94" w:rsidRPr="00F54B93">
        <w:rPr>
          <w:rFonts w:ascii="Times New Roman" w:hAnsi="Times New Roman"/>
        </w:rPr>
        <w:t xml:space="preserve"> is "holding the car as trading stock, other than holding it for hire or lease". </w:t>
      </w:r>
    </w:p>
    <w:p w14:paraId="0BE54174" w14:textId="4797B120" w:rsidR="00CE52C2" w:rsidRPr="00F54B93" w:rsidRDefault="00851D9B"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BB67B1" w:rsidRPr="00F54B93">
        <w:rPr>
          <w:rFonts w:ascii="Times New Roman" w:hAnsi="Times New Roman"/>
        </w:rPr>
        <w:t xml:space="preserve">The precondition </w:t>
      </w:r>
      <w:r w:rsidR="00F974F1" w:rsidRPr="00F54B93">
        <w:rPr>
          <w:rFonts w:ascii="Times New Roman" w:hAnsi="Times New Roman"/>
        </w:rPr>
        <w:t xml:space="preserve">to the entitlement </w:t>
      </w:r>
      <w:r w:rsidR="00A35B88" w:rsidRPr="00F54B93">
        <w:rPr>
          <w:rFonts w:ascii="Times New Roman" w:hAnsi="Times New Roman"/>
        </w:rPr>
        <w:t xml:space="preserve">of the recipient or importer </w:t>
      </w:r>
      <w:r w:rsidR="00FB794E" w:rsidRPr="00F54B93">
        <w:rPr>
          <w:rFonts w:ascii="Times New Roman" w:hAnsi="Times New Roman"/>
        </w:rPr>
        <w:t xml:space="preserve">to quote </w:t>
      </w:r>
      <w:r w:rsidR="00F974F1" w:rsidRPr="00F54B93">
        <w:rPr>
          <w:rFonts w:ascii="Times New Roman" w:hAnsi="Times New Roman"/>
        </w:rPr>
        <w:t>conferred by s</w:t>
      </w:r>
      <w:r w:rsidR="00AB47BA" w:rsidRPr="00F54B93">
        <w:rPr>
          <w:rFonts w:ascii="Times New Roman" w:hAnsi="Times New Roman"/>
        </w:rPr>
        <w:t> </w:t>
      </w:r>
      <w:r w:rsidR="00F974F1" w:rsidRPr="00F54B93">
        <w:rPr>
          <w:rFonts w:ascii="Times New Roman" w:hAnsi="Times New Roman"/>
        </w:rPr>
        <w:t>9-5(1)</w:t>
      </w:r>
      <w:r w:rsidR="007C6C43" w:rsidRPr="00F54B93">
        <w:rPr>
          <w:rFonts w:ascii="Times New Roman" w:hAnsi="Times New Roman"/>
        </w:rPr>
        <w:t xml:space="preserve">, </w:t>
      </w:r>
      <w:r w:rsidR="00CA7C82" w:rsidRPr="00F54B93">
        <w:rPr>
          <w:rFonts w:ascii="Times New Roman" w:hAnsi="Times New Roman"/>
        </w:rPr>
        <w:t>that</w:t>
      </w:r>
      <w:r w:rsidR="007C6C43" w:rsidRPr="00F54B93">
        <w:rPr>
          <w:rFonts w:ascii="Times New Roman" w:hAnsi="Times New Roman"/>
        </w:rPr>
        <w:t xml:space="preserve"> </w:t>
      </w:r>
      <w:r w:rsidR="003B1773" w:rsidRPr="00F54B93">
        <w:rPr>
          <w:rFonts w:ascii="Times New Roman" w:hAnsi="Times New Roman"/>
        </w:rPr>
        <w:t>the quoting entity</w:t>
      </w:r>
      <w:r w:rsidR="00F974F1" w:rsidRPr="00F54B93">
        <w:rPr>
          <w:rFonts w:ascii="Times New Roman" w:hAnsi="Times New Roman"/>
        </w:rPr>
        <w:t xml:space="preserve"> ha</w:t>
      </w:r>
      <w:r w:rsidR="003B1773" w:rsidRPr="00F54B93">
        <w:rPr>
          <w:rFonts w:ascii="Times New Roman" w:hAnsi="Times New Roman"/>
        </w:rPr>
        <w:t>s</w:t>
      </w:r>
      <w:r w:rsidR="00F974F1" w:rsidRPr="00F54B93">
        <w:rPr>
          <w:rFonts w:ascii="Times New Roman" w:hAnsi="Times New Roman"/>
        </w:rPr>
        <w:t xml:space="preserve"> </w:t>
      </w:r>
      <w:r w:rsidR="007C6C43" w:rsidRPr="00F54B93">
        <w:rPr>
          <w:rFonts w:ascii="Times New Roman" w:hAnsi="Times New Roman"/>
        </w:rPr>
        <w:t xml:space="preserve">at the time of quoting </w:t>
      </w:r>
      <w:r w:rsidR="00F974F1" w:rsidRPr="00F54B93">
        <w:rPr>
          <w:rFonts w:ascii="Times New Roman" w:hAnsi="Times New Roman"/>
        </w:rPr>
        <w:t xml:space="preserve">the </w:t>
      </w:r>
      <w:r w:rsidR="00405344" w:rsidRPr="00F54B93">
        <w:rPr>
          <w:rFonts w:ascii="Times New Roman" w:hAnsi="Times New Roman"/>
        </w:rPr>
        <w:t>"</w:t>
      </w:r>
      <w:r w:rsidR="00F974F1" w:rsidRPr="00F54B93">
        <w:rPr>
          <w:rFonts w:ascii="Times New Roman" w:hAnsi="Times New Roman"/>
        </w:rPr>
        <w:t>intention</w:t>
      </w:r>
      <w:r w:rsidR="00405344" w:rsidRPr="00F54B93">
        <w:rPr>
          <w:rFonts w:ascii="Times New Roman" w:hAnsi="Times New Roman"/>
        </w:rPr>
        <w:t>"</w:t>
      </w:r>
      <w:r w:rsidR="00F974F1" w:rsidRPr="00F54B93">
        <w:rPr>
          <w:rFonts w:ascii="Times New Roman" w:hAnsi="Times New Roman"/>
        </w:rPr>
        <w:t xml:space="preserve"> of using the car for </w:t>
      </w:r>
      <w:r w:rsidR="003961DD" w:rsidRPr="00F54B93">
        <w:rPr>
          <w:rFonts w:ascii="Times New Roman" w:hAnsi="Times New Roman"/>
        </w:rPr>
        <w:t>a quotable purpose</w:t>
      </w:r>
      <w:r w:rsidR="00A35B88" w:rsidRPr="00F54B93">
        <w:rPr>
          <w:rFonts w:ascii="Times New Roman" w:hAnsi="Times New Roman"/>
        </w:rPr>
        <w:t xml:space="preserve">, </w:t>
      </w:r>
      <w:r w:rsidR="009827DB" w:rsidRPr="00F54B93">
        <w:rPr>
          <w:rFonts w:ascii="Times New Roman" w:hAnsi="Times New Roman"/>
        </w:rPr>
        <w:t xml:space="preserve">means that </w:t>
      </w:r>
      <w:r w:rsidR="00661B15" w:rsidRPr="00F54B93">
        <w:rPr>
          <w:rFonts w:ascii="Times New Roman" w:hAnsi="Times New Roman"/>
        </w:rPr>
        <w:t xml:space="preserve">it is </w:t>
      </w:r>
      <w:r w:rsidR="009827DB" w:rsidRPr="00F54B93">
        <w:rPr>
          <w:rFonts w:ascii="Times New Roman" w:hAnsi="Times New Roman"/>
        </w:rPr>
        <w:t>the</w:t>
      </w:r>
      <w:r w:rsidR="005462EB" w:rsidRPr="00F54B93">
        <w:rPr>
          <w:rFonts w:ascii="Times New Roman" w:hAnsi="Times New Roman"/>
        </w:rPr>
        <w:t xml:space="preserve"> present subjective state of mind </w:t>
      </w:r>
      <w:r w:rsidR="00302FA6" w:rsidRPr="00F54B93">
        <w:rPr>
          <w:rFonts w:ascii="Times New Roman" w:hAnsi="Times New Roman"/>
        </w:rPr>
        <w:t xml:space="preserve">of the </w:t>
      </w:r>
      <w:r w:rsidR="003E1411" w:rsidRPr="00F54B93">
        <w:rPr>
          <w:rFonts w:ascii="Times New Roman" w:hAnsi="Times New Roman"/>
        </w:rPr>
        <w:t xml:space="preserve">recipient or importer </w:t>
      </w:r>
      <w:r w:rsidR="005462EB" w:rsidRPr="00F54B93">
        <w:rPr>
          <w:rFonts w:ascii="Times New Roman" w:hAnsi="Times New Roman"/>
        </w:rPr>
        <w:t>at the time of supply or importation</w:t>
      </w:r>
      <w:r w:rsidR="0019762F" w:rsidRPr="00F54B93">
        <w:rPr>
          <w:rFonts w:ascii="Times New Roman" w:hAnsi="Times New Roman"/>
        </w:rPr>
        <w:t xml:space="preserve"> about the</w:t>
      </w:r>
      <w:r w:rsidR="007F7975" w:rsidRPr="00F54B93">
        <w:rPr>
          <w:rFonts w:ascii="Times New Roman" w:hAnsi="Times New Roman"/>
        </w:rPr>
        <w:t>ir</w:t>
      </w:r>
      <w:r w:rsidR="0019762F" w:rsidRPr="00F54B93">
        <w:rPr>
          <w:rFonts w:ascii="Times New Roman" w:hAnsi="Times New Roman"/>
        </w:rPr>
        <w:t xml:space="preserve"> future</w:t>
      </w:r>
      <w:r w:rsidR="002065EC" w:rsidRPr="00F54B93">
        <w:rPr>
          <w:rFonts w:ascii="Times New Roman" w:hAnsi="Times New Roman"/>
        </w:rPr>
        <w:t xml:space="preserve"> use of the car</w:t>
      </w:r>
      <w:r w:rsidR="008F5176" w:rsidRPr="00F54B93">
        <w:rPr>
          <w:rFonts w:ascii="Times New Roman" w:hAnsi="Times New Roman"/>
        </w:rPr>
        <w:t xml:space="preserve"> </w:t>
      </w:r>
      <w:r w:rsidR="00661B15" w:rsidRPr="00F54B93">
        <w:rPr>
          <w:rFonts w:ascii="Times New Roman" w:hAnsi="Times New Roman"/>
        </w:rPr>
        <w:t xml:space="preserve">that </w:t>
      </w:r>
      <w:r w:rsidR="008F5176" w:rsidRPr="00F54B93">
        <w:rPr>
          <w:rFonts w:ascii="Times New Roman" w:hAnsi="Times New Roman"/>
        </w:rPr>
        <w:t>determines</w:t>
      </w:r>
      <w:r w:rsidR="005462EB" w:rsidRPr="00F54B93">
        <w:rPr>
          <w:rFonts w:ascii="Times New Roman" w:hAnsi="Times New Roman"/>
        </w:rPr>
        <w:t xml:space="preserve"> the</w:t>
      </w:r>
      <w:r w:rsidR="00134E79" w:rsidRPr="00F54B93">
        <w:rPr>
          <w:rFonts w:ascii="Times New Roman" w:hAnsi="Times New Roman"/>
        </w:rPr>
        <w:t xml:space="preserve">ir </w:t>
      </w:r>
      <w:r w:rsidR="005462EB" w:rsidRPr="00F54B93">
        <w:rPr>
          <w:rFonts w:ascii="Times New Roman" w:hAnsi="Times New Roman"/>
        </w:rPr>
        <w:t>entitlement to quote under s 9</w:t>
      </w:r>
      <w:r w:rsidR="005462EB" w:rsidRPr="00F54B93">
        <w:rPr>
          <w:rFonts w:ascii="Times New Roman" w:hAnsi="Times New Roman"/>
        </w:rPr>
        <w:noBreakHyphen/>
        <w:t>5(1)</w:t>
      </w:r>
      <w:r w:rsidR="007A4C71" w:rsidRPr="00F54B93">
        <w:rPr>
          <w:rFonts w:ascii="Times New Roman" w:hAnsi="Times New Roman"/>
        </w:rPr>
        <w:t xml:space="preserve"> </w:t>
      </w:r>
      <w:r w:rsidR="009C32FC" w:rsidRPr="00F54B93">
        <w:rPr>
          <w:rFonts w:ascii="Times New Roman" w:hAnsi="Times New Roman"/>
        </w:rPr>
        <w:t>(</w:t>
      </w:r>
      <w:r w:rsidR="00997111" w:rsidRPr="00F54B93">
        <w:rPr>
          <w:rFonts w:ascii="Times New Roman" w:hAnsi="Times New Roman"/>
        </w:rPr>
        <w:t xml:space="preserve">the effect of which is to </w:t>
      </w:r>
      <w:r w:rsidR="007A4C71" w:rsidRPr="00F54B93">
        <w:rPr>
          <w:rFonts w:ascii="Times New Roman" w:hAnsi="Times New Roman"/>
        </w:rPr>
        <w:t>prevent the supply or importation becoming taxable through the operation of s</w:t>
      </w:r>
      <w:r w:rsidR="00997111" w:rsidRPr="00F54B93">
        <w:rPr>
          <w:rFonts w:ascii="Times New Roman" w:hAnsi="Times New Roman"/>
        </w:rPr>
        <w:t> </w:t>
      </w:r>
      <w:r w:rsidR="007A4C71" w:rsidRPr="00F54B93">
        <w:rPr>
          <w:rFonts w:ascii="Times New Roman" w:hAnsi="Times New Roman"/>
        </w:rPr>
        <w:t>5-10(2)(a) or s</w:t>
      </w:r>
      <w:r w:rsidR="00997111" w:rsidRPr="00F54B93">
        <w:rPr>
          <w:rFonts w:ascii="Times New Roman" w:hAnsi="Times New Roman"/>
        </w:rPr>
        <w:t> </w:t>
      </w:r>
      <w:r w:rsidR="007A4C71" w:rsidRPr="00F54B93">
        <w:rPr>
          <w:rFonts w:ascii="Times New Roman" w:hAnsi="Times New Roman"/>
        </w:rPr>
        <w:t>7-10(3)(</w:t>
      </w:r>
      <w:r w:rsidR="00BF4AE8" w:rsidRPr="00F54B93">
        <w:rPr>
          <w:rFonts w:ascii="Times New Roman" w:hAnsi="Times New Roman"/>
        </w:rPr>
        <w:t>a</w:t>
      </w:r>
      <w:r w:rsidR="007A4C71" w:rsidRPr="00F54B93">
        <w:rPr>
          <w:rFonts w:ascii="Times New Roman" w:hAnsi="Times New Roman"/>
        </w:rPr>
        <w:t>)</w:t>
      </w:r>
      <w:r w:rsidR="00997111" w:rsidRPr="00F54B93">
        <w:rPr>
          <w:rFonts w:ascii="Times New Roman" w:hAnsi="Times New Roman"/>
        </w:rPr>
        <w:t>)</w:t>
      </w:r>
      <w:r w:rsidR="005462EB" w:rsidRPr="00F54B93">
        <w:rPr>
          <w:rFonts w:ascii="Times New Roman" w:hAnsi="Times New Roman"/>
        </w:rPr>
        <w:t xml:space="preserve">. </w:t>
      </w:r>
      <w:r w:rsidR="001F2927" w:rsidRPr="00F54B93">
        <w:rPr>
          <w:rFonts w:ascii="Times New Roman" w:hAnsi="Times New Roman"/>
        </w:rPr>
        <w:t>However, s</w:t>
      </w:r>
      <w:r w:rsidR="00997111" w:rsidRPr="00F54B93">
        <w:rPr>
          <w:rFonts w:ascii="Times New Roman" w:hAnsi="Times New Roman"/>
        </w:rPr>
        <w:t> </w:t>
      </w:r>
      <w:r w:rsidR="003E3E62" w:rsidRPr="00F54B93">
        <w:rPr>
          <w:rFonts w:ascii="Times New Roman" w:hAnsi="Times New Roman"/>
        </w:rPr>
        <w:t xml:space="preserve">9-20 provides that </w:t>
      </w:r>
      <w:r w:rsidR="003B7585" w:rsidRPr="00F54B93">
        <w:rPr>
          <w:rFonts w:ascii="Times New Roman" w:hAnsi="Times New Roman"/>
        </w:rPr>
        <w:t xml:space="preserve">"[i]f you </w:t>
      </w:r>
      <w:r w:rsidR="008F531D" w:rsidRPr="00F54B93">
        <w:rPr>
          <w:rFonts w:ascii="Times New Roman" w:hAnsi="Times New Roman"/>
        </w:rPr>
        <w:t>*</w:t>
      </w:r>
      <w:r w:rsidR="003B7585" w:rsidRPr="00F54B93">
        <w:rPr>
          <w:rFonts w:ascii="Times New Roman" w:hAnsi="Times New Roman"/>
        </w:rPr>
        <w:t xml:space="preserve">quote </w:t>
      </w:r>
      <w:r w:rsidR="002778F7" w:rsidRPr="00F54B93">
        <w:rPr>
          <w:rFonts w:ascii="Times New Roman" w:hAnsi="Times New Roman"/>
        </w:rPr>
        <w:t xml:space="preserve">in circumstances in which you are not entitled </w:t>
      </w:r>
      <w:r w:rsidR="002778F7" w:rsidRPr="00F54B93">
        <w:rPr>
          <w:rFonts w:ascii="Times New Roman" w:hAnsi="Times New Roman"/>
        </w:rPr>
        <w:lastRenderedPageBreak/>
        <w:t xml:space="preserve">to quote ... the </w:t>
      </w:r>
      <w:r w:rsidR="00E7588A" w:rsidRPr="00F54B93">
        <w:rPr>
          <w:rFonts w:ascii="Times New Roman" w:hAnsi="Times New Roman"/>
        </w:rPr>
        <w:t xml:space="preserve">quote is </w:t>
      </w:r>
      <w:r w:rsidR="00B909DF" w:rsidRPr="00F54B93">
        <w:rPr>
          <w:rFonts w:ascii="Times New Roman" w:hAnsi="Times New Roman"/>
        </w:rPr>
        <w:t>nevertheless effective for the purpose of</w:t>
      </w:r>
      <w:r w:rsidR="00537FD7" w:rsidRPr="00F54B93">
        <w:rPr>
          <w:rFonts w:ascii="Times New Roman" w:hAnsi="Times New Roman"/>
        </w:rPr>
        <w:t xml:space="preserve"> subsection</w:t>
      </w:r>
      <w:r w:rsidR="004B6603" w:rsidRPr="00F54B93">
        <w:rPr>
          <w:rFonts w:ascii="Times New Roman" w:hAnsi="Times New Roman"/>
        </w:rPr>
        <w:t xml:space="preserve"> 5-10(</w:t>
      </w:r>
      <w:r w:rsidR="00537FD7" w:rsidRPr="00F54B93">
        <w:rPr>
          <w:rFonts w:ascii="Times New Roman" w:hAnsi="Times New Roman"/>
        </w:rPr>
        <w:t>2) or 7-10(3)</w:t>
      </w:r>
      <w:r w:rsidR="007E23CD" w:rsidRPr="00F54B93">
        <w:rPr>
          <w:rFonts w:ascii="Times New Roman" w:hAnsi="Times New Roman"/>
        </w:rPr>
        <w:t xml:space="preserve"> (whichever is relevant</w:t>
      </w:r>
      <w:r w:rsidR="00E7588A" w:rsidRPr="00F54B93">
        <w:rPr>
          <w:rFonts w:ascii="Times New Roman" w:hAnsi="Times New Roman"/>
        </w:rPr>
        <w:t>)</w:t>
      </w:r>
      <w:r w:rsidR="007E23CD" w:rsidRPr="00F54B93">
        <w:rPr>
          <w:rFonts w:ascii="Times New Roman" w:hAnsi="Times New Roman"/>
        </w:rPr>
        <w:t xml:space="preserve">, unless section 9-25 applies". </w:t>
      </w:r>
      <w:r w:rsidR="00E738C8" w:rsidRPr="00F54B93">
        <w:rPr>
          <w:rFonts w:ascii="Times New Roman" w:hAnsi="Times New Roman"/>
        </w:rPr>
        <w:t>Section 9-2</w:t>
      </w:r>
      <w:r w:rsidR="0029515C" w:rsidRPr="00F54B93">
        <w:rPr>
          <w:rFonts w:ascii="Times New Roman" w:hAnsi="Times New Roman"/>
        </w:rPr>
        <w:t xml:space="preserve">5 relevantly applies to render a quote ineffective </w:t>
      </w:r>
      <w:r w:rsidR="009030EE" w:rsidRPr="00F54B93">
        <w:rPr>
          <w:rFonts w:ascii="Times New Roman" w:hAnsi="Times New Roman"/>
        </w:rPr>
        <w:t>if</w:t>
      </w:r>
      <w:r w:rsidR="00642B54" w:rsidRPr="00F54B93">
        <w:rPr>
          <w:rFonts w:ascii="Times New Roman" w:hAnsi="Times New Roman"/>
        </w:rPr>
        <w:t xml:space="preserve"> the person to whom the quote is made has </w:t>
      </w:r>
      <w:r w:rsidR="00A14F0B" w:rsidRPr="00F54B93">
        <w:rPr>
          <w:rFonts w:ascii="Times New Roman" w:hAnsi="Times New Roman"/>
        </w:rPr>
        <w:t>at th</w:t>
      </w:r>
      <w:r w:rsidR="008F531D" w:rsidRPr="00F54B93">
        <w:rPr>
          <w:rFonts w:ascii="Times New Roman" w:hAnsi="Times New Roman"/>
        </w:rPr>
        <w:t>e</w:t>
      </w:r>
      <w:r w:rsidR="00A14F0B" w:rsidRPr="00F54B93">
        <w:rPr>
          <w:rFonts w:ascii="Times New Roman" w:hAnsi="Times New Roman"/>
        </w:rPr>
        <w:t xml:space="preserve"> time </w:t>
      </w:r>
      <w:r w:rsidR="00E5233E" w:rsidRPr="00F54B93">
        <w:rPr>
          <w:rFonts w:ascii="Times New Roman" w:hAnsi="Times New Roman"/>
        </w:rPr>
        <w:t xml:space="preserve">of the quote </w:t>
      </w:r>
      <w:r w:rsidR="002540F5" w:rsidRPr="00F54B93">
        <w:rPr>
          <w:rFonts w:ascii="Times New Roman" w:hAnsi="Times New Roman"/>
        </w:rPr>
        <w:t xml:space="preserve">reasonable grounds for believing </w:t>
      </w:r>
      <w:r w:rsidR="00CE52C2" w:rsidRPr="00F54B93">
        <w:rPr>
          <w:rFonts w:ascii="Times New Roman" w:hAnsi="Times New Roman"/>
        </w:rPr>
        <w:t>that "you are not entitled to quote in the particular circumstances".</w:t>
      </w:r>
      <w:r w:rsidR="006D2061" w:rsidRPr="00F54B93">
        <w:rPr>
          <w:rFonts w:ascii="Times New Roman" w:hAnsi="Times New Roman"/>
        </w:rPr>
        <w:t xml:space="preserve"> </w:t>
      </w:r>
      <w:r w:rsidR="004067C6" w:rsidRPr="00F54B93">
        <w:rPr>
          <w:rFonts w:ascii="Times New Roman" w:hAnsi="Times New Roman"/>
        </w:rPr>
        <w:t>As will be seen, however, a recipient or importer who has quoted on the supply or importation of a car can afterwards become liable to pay GST in respect of the supply or importation of the car through the operation of an increasing LCT adjustment if that entity in fact uses the car for a purpose other than a quotable purpose.</w:t>
      </w:r>
    </w:p>
    <w:p w14:paraId="566AE695" w14:textId="498E3332" w:rsidR="009752D9" w:rsidRPr="00F54B93" w:rsidRDefault="00631F9A" w:rsidP="00F54B93">
      <w:pPr>
        <w:pStyle w:val="FixListStyle"/>
        <w:spacing w:after="260" w:line="280" w:lineRule="exact"/>
        <w:ind w:right="0"/>
        <w:jc w:val="both"/>
        <w:rPr>
          <w:rFonts w:ascii="Times New Roman" w:hAnsi="Times New Roman"/>
        </w:rPr>
      </w:pPr>
      <w:r w:rsidRPr="00F54B93">
        <w:rPr>
          <w:rFonts w:ascii="Times New Roman" w:hAnsi="Times New Roman"/>
        </w:rPr>
        <w:tab/>
        <w:t>The operative provisions</w:t>
      </w:r>
      <w:r w:rsidR="00077550" w:rsidRPr="00F54B93">
        <w:rPr>
          <w:rFonts w:ascii="Times New Roman" w:hAnsi="Times New Roman"/>
        </w:rPr>
        <w:t xml:space="preserve"> </w:t>
      </w:r>
      <w:r w:rsidRPr="00F54B93">
        <w:rPr>
          <w:rFonts w:ascii="Times New Roman" w:hAnsi="Times New Roman"/>
        </w:rPr>
        <w:t>govern</w:t>
      </w:r>
      <w:r w:rsidR="008B3D70" w:rsidRPr="00F54B93">
        <w:rPr>
          <w:rFonts w:ascii="Times New Roman" w:hAnsi="Times New Roman"/>
        </w:rPr>
        <w:t>ing</w:t>
      </w:r>
      <w:r w:rsidRPr="00F54B93">
        <w:rPr>
          <w:rFonts w:ascii="Times New Roman" w:hAnsi="Times New Roman"/>
        </w:rPr>
        <w:t xml:space="preserve"> </w:t>
      </w:r>
      <w:r w:rsidR="00B833DF" w:rsidRPr="00F54B93">
        <w:rPr>
          <w:rFonts w:ascii="Times New Roman" w:hAnsi="Times New Roman"/>
        </w:rPr>
        <w:t>payment of</w:t>
      </w:r>
      <w:r w:rsidRPr="00F54B93">
        <w:rPr>
          <w:rFonts w:ascii="Times New Roman" w:hAnsi="Times New Roman"/>
        </w:rPr>
        <w:t xml:space="preserve"> LCT</w:t>
      </w:r>
      <w:r w:rsidR="00F63987" w:rsidRPr="00F54B93">
        <w:rPr>
          <w:rFonts w:ascii="Times New Roman" w:hAnsi="Times New Roman"/>
        </w:rPr>
        <w:t>,</w:t>
      </w:r>
      <w:r w:rsidRPr="00F54B93">
        <w:rPr>
          <w:rFonts w:ascii="Times New Roman" w:hAnsi="Times New Roman"/>
        </w:rPr>
        <w:t xml:space="preserve"> </w:t>
      </w:r>
      <w:r w:rsidR="00E722F1" w:rsidRPr="00F54B93">
        <w:rPr>
          <w:rFonts w:ascii="Times New Roman" w:hAnsi="Times New Roman"/>
        </w:rPr>
        <w:t xml:space="preserve">through </w:t>
      </w:r>
      <w:r w:rsidR="00694993" w:rsidRPr="00F54B93">
        <w:rPr>
          <w:rFonts w:ascii="Times New Roman" w:hAnsi="Times New Roman"/>
        </w:rPr>
        <w:t>alterations to</w:t>
      </w:r>
      <w:r w:rsidR="00C74011" w:rsidRPr="00F54B93">
        <w:rPr>
          <w:rFonts w:ascii="Times New Roman" w:hAnsi="Times New Roman"/>
        </w:rPr>
        <w:t xml:space="preserve"> </w:t>
      </w:r>
      <w:r w:rsidR="00E722F1" w:rsidRPr="00F54B93">
        <w:rPr>
          <w:rFonts w:ascii="Times New Roman" w:hAnsi="Times New Roman"/>
        </w:rPr>
        <w:t>net amounts under the GST system</w:t>
      </w:r>
      <w:r w:rsidR="00EF2DA5" w:rsidRPr="00F54B93">
        <w:rPr>
          <w:rFonts w:ascii="Times New Roman" w:hAnsi="Times New Roman"/>
        </w:rPr>
        <w:t xml:space="preserve"> </w:t>
      </w:r>
      <w:r w:rsidR="00976141" w:rsidRPr="00F54B93">
        <w:rPr>
          <w:rFonts w:ascii="Times New Roman" w:hAnsi="Times New Roman"/>
        </w:rPr>
        <w:t xml:space="preserve">in the form of increases and adjustments, </w:t>
      </w:r>
      <w:r w:rsidRPr="00F54B93">
        <w:rPr>
          <w:rFonts w:ascii="Times New Roman" w:hAnsi="Times New Roman"/>
        </w:rPr>
        <w:t xml:space="preserve">are </w:t>
      </w:r>
      <w:r w:rsidR="00B833DF" w:rsidRPr="00F54B93">
        <w:rPr>
          <w:rFonts w:ascii="Times New Roman" w:hAnsi="Times New Roman"/>
        </w:rPr>
        <w:t xml:space="preserve">relevantly </w:t>
      </w:r>
      <w:r w:rsidRPr="00F54B93">
        <w:rPr>
          <w:rFonts w:ascii="Times New Roman" w:hAnsi="Times New Roman"/>
        </w:rPr>
        <w:t>set out in Divs</w:t>
      </w:r>
      <w:r w:rsidR="00D511D1" w:rsidRPr="00F54B93">
        <w:rPr>
          <w:rFonts w:ascii="Times New Roman" w:hAnsi="Times New Roman"/>
        </w:rPr>
        <w:t xml:space="preserve"> </w:t>
      </w:r>
      <w:r w:rsidR="00B833DF" w:rsidRPr="00F54B93">
        <w:rPr>
          <w:rFonts w:ascii="Times New Roman" w:hAnsi="Times New Roman"/>
        </w:rPr>
        <w:t>13</w:t>
      </w:r>
      <w:r w:rsidR="00C24193" w:rsidRPr="00F54B93">
        <w:rPr>
          <w:rFonts w:ascii="Times New Roman" w:hAnsi="Times New Roman"/>
        </w:rPr>
        <w:t xml:space="preserve"> and </w:t>
      </w:r>
      <w:r w:rsidR="00B833DF" w:rsidRPr="00F54B93">
        <w:rPr>
          <w:rFonts w:ascii="Times New Roman" w:hAnsi="Times New Roman"/>
        </w:rPr>
        <w:t>15</w:t>
      </w:r>
      <w:r w:rsidR="00DB07B8" w:rsidRPr="00F54B93">
        <w:rPr>
          <w:rFonts w:ascii="Times New Roman" w:hAnsi="Times New Roman"/>
        </w:rPr>
        <w:t xml:space="preserve"> </w:t>
      </w:r>
      <w:r w:rsidR="004963B3" w:rsidRPr="00F54B93">
        <w:rPr>
          <w:rFonts w:ascii="Times New Roman" w:hAnsi="Times New Roman"/>
        </w:rPr>
        <w:t>within</w:t>
      </w:r>
      <w:r w:rsidRPr="00F54B93">
        <w:rPr>
          <w:rFonts w:ascii="Times New Roman" w:hAnsi="Times New Roman"/>
        </w:rPr>
        <w:t xml:space="preserve"> Pt </w:t>
      </w:r>
      <w:r w:rsidR="004963B3" w:rsidRPr="00F54B93">
        <w:rPr>
          <w:rFonts w:ascii="Times New Roman" w:hAnsi="Times New Roman"/>
        </w:rPr>
        <w:t>3</w:t>
      </w:r>
      <w:r w:rsidRPr="00F54B93">
        <w:rPr>
          <w:rFonts w:ascii="Times New Roman" w:hAnsi="Times New Roman"/>
        </w:rPr>
        <w:t xml:space="preserve"> of the LCT Act.</w:t>
      </w:r>
      <w:r w:rsidR="005A1C0C" w:rsidRPr="00F54B93">
        <w:rPr>
          <w:rFonts w:ascii="Times New Roman" w:hAnsi="Times New Roman"/>
        </w:rPr>
        <w:t xml:space="preserve"> </w:t>
      </w:r>
    </w:p>
    <w:p w14:paraId="72CC0C19" w14:textId="22FFABA1" w:rsidR="00811EA6" w:rsidRPr="00F54B93" w:rsidRDefault="009752D9"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051280" w:rsidRPr="00F54B93">
        <w:rPr>
          <w:rFonts w:ascii="Times New Roman" w:hAnsi="Times New Roman"/>
        </w:rPr>
        <w:t>P</w:t>
      </w:r>
      <w:r w:rsidR="00B655F3" w:rsidRPr="00F54B93">
        <w:rPr>
          <w:rFonts w:ascii="Times New Roman" w:hAnsi="Times New Roman"/>
        </w:rPr>
        <w:t>ar</w:t>
      </w:r>
      <w:r w:rsidR="00051280" w:rsidRPr="00F54B93">
        <w:rPr>
          <w:rFonts w:ascii="Times New Roman" w:hAnsi="Times New Roman"/>
        </w:rPr>
        <w:t xml:space="preserve">t 3 and Div 13 of the LCT Act are each headed "Paying the luxury car tax". </w:t>
      </w:r>
      <w:r w:rsidR="00275D3D" w:rsidRPr="00F54B93">
        <w:rPr>
          <w:rFonts w:ascii="Times New Roman" w:hAnsi="Times New Roman"/>
        </w:rPr>
        <w:t>U</w:t>
      </w:r>
      <w:r w:rsidR="00A657DC" w:rsidRPr="00F54B93">
        <w:rPr>
          <w:rFonts w:ascii="Times New Roman" w:hAnsi="Times New Roman"/>
        </w:rPr>
        <w:t>nderstand</w:t>
      </w:r>
      <w:r w:rsidR="00275D3D" w:rsidRPr="00F54B93">
        <w:rPr>
          <w:rFonts w:ascii="Times New Roman" w:hAnsi="Times New Roman"/>
        </w:rPr>
        <w:t>ing</w:t>
      </w:r>
      <w:r w:rsidR="00A657DC" w:rsidRPr="00F54B93">
        <w:rPr>
          <w:rFonts w:ascii="Times New Roman" w:hAnsi="Times New Roman"/>
        </w:rPr>
        <w:t xml:space="preserve"> t</w:t>
      </w:r>
      <w:r w:rsidR="00A254B9" w:rsidRPr="00F54B93">
        <w:rPr>
          <w:rFonts w:ascii="Times New Roman" w:hAnsi="Times New Roman"/>
        </w:rPr>
        <w:t xml:space="preserve">he </w:t>
      </w:r>
      <w:r w:rsidR="009E3455" w:rsidRPr="00F54B93">
        <w:rPr>
          <w:rFonts w:ascii="Times New Roman" w:hAnsi="Times New Roman"/>
        </w:rPr>
        <w:t>system of payment for which</w:t>
      </w:r>
      <w:r w:rsidR="00A254B9" w:rsidRPr="00F54B93">
        <w:rPr>
          <w:rFonts w:ascii="Times New Roman" w:hAnsi="Times New Roman"/>
        </w:rPr>
        <w:t xml:space="preserve"> </w:t>
      </w:r>
      <w:r w:rsidRPr="00F54B93">
        <w:rPr>
          <w:rFonts w:ascii="Times New Roman" w:hAnsi="Times New Roman"/>
        </w:rPr>
        <w:t>Div</w:t>
      </w:r>
      <w:r w:rsidR="0012272B" w:rsidRPr="00F54B93">
        <w:rPr>
          <w:rFonts w:ascii="Times New Roman" w:hAnsi="Times New Roman"/>
        </w:rPr>
        <w:t> </w:t>
      </w:r>
      <w:r w:rsidRPr="00F54B93">
        <w:rPr>
          <w:rFonts w:ascii="Times New Roman" w:hAnsi="Times New Roman"/>
        </w:rPr>
        <w:t>13</w:t>
      </w:r>
      <w:r w:rsidR="00A254B9" w:rsidRPr="00F54B93">
        <w:rPr>
          <w:rFonts w:ascii="Times New Roman" w:hAnsi="Times New Roman"/>
        </w:rPr>
        <w:t xml:space="preserve"> </w:t>
      </w:r>
      <w:r w:rsidR="009E3455" w:rsidRPr="00F54B93">
        <w:rPr>
          <w:rFonts w:ascii="Times New Roman" w:hAnsi="Times New Roman"/>
        </w:rPr>
        <w:t xml:space="preserve">provides </w:t>
      </w:r>
      <w:r w:rsidR="00514A8E" w:rsidRPr="00F54B93">
        <w:rPr>
          <w:rFonts w:ascii="Times New Roman" w:hAnsi="Times New Roman"/>
        </w:rPr>
        <w:t>is important to appreciat</w:t>
      </w:r>
      <w:r w:rsidR="009C493F" w:rsidRPr="00F54B93">
        <w:rPr>
          <w:rFonts w:ascii="Times New Roman" w:hAnsi="Times New Roman"/>
        </w:rPr>
        <w:t>ing</w:t>
      </w:r>
      <w:r w:rsidR="006B7935" w:rsidRPr="00F54B93">
        <w:rPr>
          <w:rFonts w:ascii="Times New Roman" w:hAnsi="Times New Roman"/>
        </w:rPr>
        <w:t xml:space="preserve"> </w:t>
      </w:r>
      <w:r w:rsidR="00E7674C" w:rsidRPr="00F54B93">
        <w:rPr>
          <w:rFonts w:ascii="Times New Roman" w:hAnsi="Times New Roman"/>
        </w:rPr>
        <w:t xml:space="preserve">the significance of </w:t>
      </w:r>
      <w:r w:rsidR="006115B0" w:rsidRPr="00F54B93">
        <w:rPr>
          <w:rFonts w:ascii="Times New Roman" w:hAnsi="Times New Roman"/>
        </w:rPr>
        <w:t xml:space="preserve">the capacity to quote </w:t>
      </w:r>
      <w:r w:rsidR="009A3AC3" w:rsidRPr="00F54B93">
        <w:rPr>
          <w:rFonts w:ascii="Times New Roman" w:hAnsi="Times New Roman"/>
        </w:rPr>
        <w:t>at the time of supply or importation of a luxury car</w:t>
      </w:r>
      <w:r w:rsidR="00FA21A6" w:rsidRPr="00F54B93">
        <w:rPr>
          <w:rFonts w:ascii="Times New Roman" w:hAnsi="Times New Roman"/>
        </w:rPr>
        <w:t xml:space="preserve"> to two key elements of the scheme of the LCT Act</w:t>
      </w:r>
      <w:r w:rsidR="009A3AC3" w:rsidRPr="00F54B93">
        <w:rPr>
          <w:rFonts w:ascii="Times New Roman" w:hAnsi="Times New Roman"/>
        </w:rPr>
        <w:t>.</w:t>
      </w:r>
      <w:r w:rsidR="00804462" w:rsidRPr="00F54B93">
        <w:rPr>
          <w:rFonts w:ascii="Times New Roman" w:hAnsi="Times New Roman"/>
        </w:rPr>
        <w:t xml:space="preserve"> </w:t>
      </w:r>
      <w:r w:rsidR="00D73CC8" w:rsidRPr="00F54B93">
        <w:rPr>
          <w:rFonts w:ascii="Times New Roman" w:hAnsi="Times New Roman"/>
        </w:rPr>
        <w:t>W</w:t>
      </w:r>
      <w:r w:rsidR="00804462" w:rsidRPr="00F54B93">
        <w:rPr>
          <w:rFonts w:ascii="Times New Roman" w:hAnsi="Times New Roman"/>
        </w:rPr>
        <w:t>hile the general statutory scheme contemplates that LCT is a "single stage tax" liability (s 2</w:t>
      </w:r>
      <w:r w:rsidR="00804462" w:rsidRPr="00F54B93">
        <w:rPr>
          <w:rFonts w:ascii="Times New Roman" w:hAnsi="Times New Roman"/>
        </w:rPr>
        <w:noBreakHyphen/>
        <w:t>1), which may be avoided until retail sale of a car (s 2</w:t>
      </w:r>
      <w:r w:rsidR="00804462" w:rsidRPr="00F54B93">
        <w:rPr>
          <w:rFonts w:ascii="Times New Roman" w:hAnsi="Times New Roman"/>
        </w:rPr>
        <w:noBreakHyphen/>
        <w:t>5(2) and s 9</w:t>
      </w:r>
      <w:r w:rsidR="00804462" w:rsidRPr="00F54B93">
        <w:rPr>
          <w:rFonts w:ascii="Times New Roman" w:hAnsi="Times New Roman"/>
        </w:rPr>
        <w:noBreakHyphen/>
        <w:t xml:space="preserve">1), the scheme also provides for adjustments </w:t>
      </w:r>
      <w:r w:rsidR="00A64F4F" w:rsidRPr="00F54B93">
        <w:rPr>
          <w:rFonts w:ascii="Times New Roman" w:hAnsi="Times New Roman"/>
        </w:rPr>
        <w:t xml:space="preserve">to net amounts </w:t>
      </w:r>
      <w:r w:rsidR="00804462" w:rsidRPr="00F54B93">
        <w:rPr>
          <w:rFonts w:ascii="Times New Roman" w:hAnsi="Times New Roman"/>
        </w:rPr>
        <w:t>as "[c]ircumstances that occur after the supply or importation of a car may mean that too much or too little luxury car tax was imposed" (s 2</w:t>
      </w:r>
      <w:r w:rsidR="00804462" w:rsidRPr="00F54B93">
        <w:rPr>
          <w:rFonts w:ascii="Times New Roman" w:hAnsi="Times New Roman"/>
        </w:rPr>
        <w:noBreakHyphen/>
        <w:t>10(2) and s 15</w:t>
      </w:r>
      <w:r w:rsidR="00804462" w:rsidRPr="00F54B93">
        <w:rPr>
          <w:rFonts w:ascii="Times New Roman" w:hAnsi="Times New Roman"/>
        </w:rPr>
        <w:noBreakHyphen/>
        <w:t>1).</w:t>
      </w:r>
    </w:p>
    <w:p w14:paraId="1938DD0D" w14:textId="7DA6A20C" w:rsidR="0063159A" w:rsidRPr="00F54B93" w:rsidRDefault="00BA1961"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886D7B" w:rsidRPr="00F54B93">
        <w:rPr>
          <w:rFonts w:ascii="Times New Roman" w:hAnsi="Times New Roman"/>
        </w:rPr>
        <w:t>Under</w:t>
      </w:r>
      <w:r w:rsidR="00861CEE" w:rsidRPr="00F54B93">
        <w:rPr>
          <w:rFonts w:ascii="Times New Roman" w:hAnsi="Times New Roman"/>
        </w:rPr>
        <w:t xml:space="preserve"> </w:t>
      </w:r>
      <w:r w:rsidR="002475EF" w:rsidRPr="00F54B93">
        <w:rPr>
          <w:rFonts w:ascii="Times New Roman" w:hAnsi="Times New Roman"/>
        </w:rPr>
        <w:t>s </w:t>
      </w:r>
      <w:r w:rsidR="00861CEE" w:rsidRPr="00F54B93">
        <w:rPr>
          <w:rFonts w:ascii="Times New Roman" w:hAnsi="Times New Roman"/>
        </w:rPr>
        <w:t xml:space="preserve">13-5 </w:t>
      </w:r>
      <w:r w:rsidR="0050675B" w:rsidRPr="00F54B93">
        <w:rPr>
          <w:rFonts w:ascii="Times New Roman" w:hAnsi="Times New Roman"/>
        </w:rPr>
        <w:t>of the LCT Act</w:t>
      </w:r>
      <w:r w:rsidR="00886D7B" w:rsidRPr="00F54B93">
        <w:rPr>
          <w:rFonts w:ascii="Times New Roman" w:hAnsi="Times New Roman"/>
        </w:rPr>
        <w:t>,</w:t>
      </w:r>
      <w:r w:rsidR="00861CEE" w:rsidRPr="00F54B93">
        <w:rPr>
          <w:rFonts w:ascii="Times New Roman" w:hAnsi="Times New Roman"/>
        </w:rPr>
        <w:t xml:space="preserve"> </w:t>
      </w:r>
      <w:r w:rsidR="00CE7B45" w:rsidRPr="00F54B93">
        <w:rPr>
          <w:rFonts w:ascii="Times New Roman" w:hAnsi="Times New Roman"/>
        </w:rPr>
        <w:t>an entity's</w:t>
      </w:r>
      <w:r w:rsidR="009641EA" w:rsidRPr="00F54B93">
        <w:rPr>
          <w:rFonts w:ascii="Times New Roman" w:hAnsi="Times New Roman"/>
        </w:rPr>
        <w:t xml:space="preserve"> net amoun</w:t>
      </w:r>
      <w:r w:rsidR="00CE7B45" w:rsidRPr="00F54B93">
        <w:rPr>
          <w:rFonts w:ascii="Times New Roman" w:hAnsi="Times New Roman"/>
        </w:rPr>
        <w:t>t</w:t>
      </w:r>
      <w:r w:rsidR="009641EA" w:rsidRPr="00F54B93">
        <w:rPr>
          <w:rFonts w:ascii="Times New Roman" w:hAnsi="Times New Roman"/>
        </w:rPr>
        <w:t xml:space="preserve"> for a tax period </w:t>
      </w:r>
      <w:r w:rsidR="00CE7B45" w:rsidRPr="00F54B93">
        <w:rPr>
          <w:rFonts w:ascii="Times New Roman" w:hAnsi="Times New Roman"/>
        </w:rPr>
        <w:t xml:space="preserve">determined </w:t>
      </w:r>
      <w:r w:rsidR="004F69FB" w:rsidRPr="00F54B93">
        <w:rPr>
          <w:rFonts w:ascii="Times New Roman" w:hAnsi="Times New Roman"/>
        </w:rPr>
        <w:t xml:space="preserve">under the GST Act </w:t>
      </w:r>
      <w:r w:rsidR="00886D7B" w:rsidRPr="00F54B93">
        <w:rPr>
          <w:rFonts w:ascii="Times New Roman" w:hAnsi="Times New Roman"/>
        </w:rPr>
        <w:t>is</w:t>
      </w:r>
      <w:r w:rsidR="009641EA" w:rsidRPr="00F54B93">
        <w:rPr>
          <w:rFonts w:ascii="Times New Roman" w:hAnsi="Times New Roman"/>
        </w:rPr>
        <w:t xml:space="preserve"> increased </w:t>
      </w:r>
      <w:r w:rsidR="00961395" w:rsidRPr="00F54B93">
        <w:rPr>
          <w:rFonts w:ascii="Times New Roman" w:hAnsi="Times New Roman"/>
        </w:rPr>
        <w:t xml:space="preserve">by </w:t>
      </w:r>
      <w:r w:rsidR="00CB6A8D" w:rsidRPr="00F54B93">
        <w:rPr>
          <w:rFonts w:ascii="Times New Roman" w:hAnsi="Times New Roman"/>
        </w:rPr>
        <w:t xml:space="preserve">the sum of all of the </w:t>
      </w:r>
      <w:r w:rsidR="00961395" w:rsidRPr="00F54B93">
        <w:rPr>
          <w:rFonts w:ascii="Times New Roman" w:hAnsi="Times New Roman"/>
        </w:rPr>
        <w:t>amount</w:t>
      </w:r>
      <w:r w:rsidR="00CE3613" w:rsidRPr="00F54B93">
        <w:rPr>
          <w:rFonts w:ascii="Times New Roman" w:hAnsi="Times New Roman"/>
        </w:rPr>
        <w:t>s</w:t>
      </w:r>
      <w:r w:rsidR="00961395" w:rsidRPr="00F54B93">
        <w:rPr>
          <w:rFonts w:ascii="Times New Roman" w:hAnsi="Times New Roman"/>
        </w:rPr>
        <w:t xml:space="preserve"> of LCT </w:t>
      </w:r>
      <w:r w:rsidR="002F2710" w:rsidRPr="00F54B93">
        <w:rPr>
          <w:rFonts w:ascii="Times New Roman" w:hAnsi="Times New Roman"/>
        </w:rPr>
        <w:t xml:space="preserve">(if any) </w:t>
      </w:r>
      <w:r w:rsidR="005E3459" w:rsidRPr="00F54B93">
        <w:rPr>
          <w:rFonts w:ascii="Times New Roman" w:hAnsi="Times New Roman"/>
        </w:rPr>
        <w:t>attributable to that tax</w:t>
      </w:r>
      <w:r w:rsidR="00C63FC8" w:rsidRPr="00F54B93">
        <w:rPr>
          <w:rFonts w:ascii="Times New Roman" w:hAnsi="Times New Roman"/>
        </w:rPr>
        <w:t xml:space="preserve"> period</w:t>
      </w:r>
      <w:r w:rsidR="005E3459" w:rsidRPr="00F54B93">
        <w:rPr>
          <w:rFonts w:ascii="Times New Roman" w:hAnsi="Times New Roman"/>
        </w:rPr>
        <w:t>, other than amount</w:t>
      </w:r>
      <w:r w:rsidR="00252BC5" w:rsidRPr="00F54B93">
        <w:rPr>
          <w:rFonts w:ascii="Times New Roman" w:hAnsi="Times New Roman"/>
        </w:rPr>
        <w:t>s</w:t>
      </w:r>
      <w:r w:rsidR="005E3459" w:rsidRPr="00F54B93">
        <w:rPr>
          <w:rFonts w:ascii="Times New Roman" w:hAnsi="Times New Roman"/>
        </w:rPr>
        <w:t xml:space="preserve"> </w:t>
      </w:r>
      <w:r w:rsidR="006E55AC" w:rsidRPr="00F54B93">
        <w:rPr>
          <w:rFonts w:ascii="Times New Roman" w:hAnsi="Times New Roman"/>
        </w:rPr>
        <w:t xml:space="preserve">of LCT </w:t>
      </w:r>
      <w:r w:rsidR="00BE0F9C" w:rsidRPr="00F54B93">
        <w:rPr>
          <w:rFonts w:ascii="Times New Roman" w:hAnsi="Times New Roman"/>
        </w:rPr>
        <w:t xml:space="preserve">payable </w:t>
      </w:r>
      <w:r w:rsidR="005E3459" w:rsidRPr="00F54B93">
        <w:rPr>
          <w:rFonts w:ascii="Times New Roman" w:hAnsi="Times New Roman"/>
        </w:rPr>
        <w:t>on taxable importation</w:t>
      </w:r>
      <w:r w:rsidR="00252BC5" w:rsidRPr="00F54B93">
        <w:rPr>
          <w:rFonts w:ascii="Times New Roman" w:hAnsi="Times New Roman"/>
        </w:rPr>
        <w:t>s</w:t>
      </w:r>
      <w:r w:rsidR="005E3459" w:rsidRPr="00F54B93">
        <w:rPr>
          <w:rFonts w:ascii="Times New Roman" w:hAnsi="Times New Roman"/>
        </w:rPr>
        <w:t xml:space="preserve"> of luxury car</w:t>
      </w:r>
      <w:r w:rsidR="00F14F45" w:rsidRPr="00F54B93">
        <w:rPr>
          <w:rFonts w:ascii="Times New Roman" w:hAnsi="Times New Roman"/>
        </w:rPr>
        <w:t>s</w:t>
      </w:r>
      <w:r w:rsidR="005E3459" w:rsidRPr="00F54B93">
        <w:rPr>
          <w:rFonts w:ascii="Times New Roman" w:hAnsi="Times New Roman"/>
        </w:rPr>
        <w:t xml:space="preserve"> </w:t>
      </w:r>
      <w:r w:rsidR="00097046" w:rsidRPr="00F54B93">
        <w:rPr>
          <w:rFonts w:ascii="Times New Roman" w:hAnsi="Times New Roman"/>
        </w:rPr>
        <w:t>(being amoun</w:t>
      </w:r>
      <w:r w:rsidR="006F4B38" w:rsidRPr="00F54B93">
        <w:rPr>
          <w:rFonts w:ascii="Times New Roman" w:hAnsi="Times New Roman"/>
        </w:rPr>
        <w:t>ts</w:t>
      </w:r>
      <w:r w:rsidR="002675DE" w:rsidRPr="00F54B93">
        <w:rPr>
          <w:rFonts w:ascii="Times New Roman" w:hAnsi="Times New Roman"/>
        </w:rPr>
        <w:t xml:space="preserve"> generally payable </w:t>
      </w:r>
      <w:r w:rsidR="005E3459" w:rsidRPr="00F54B93">
        <w:rPr>
          <w:rFonts w:ascii="Times New Roman" w:hAnsi="Times New Roman"/>
        </w:rPr>
        <w:t xml:space="preserve">with </w:t>
      </w:r>
      <w:r w:rsidR="00582B6D" w:rsidRPr="00F54B93">
        <w:rPr>
          <w:rFonts w:ascii="Times New Roman" w:hAnsi="Times New Roman"/>
        </w:rPr>
        <w:t>customs duty</w:t>
      </w:r>
      <w:r w:rsidR="002675DE" w:rsidRPr="00F54B93">
        <w:rPr>
          <w:rFonts w:ascii="Times New Roman" w:hAnsi="Times New Roman"/>
        </w:rPr>
        <w:t>)</w:t>
      </w:r>
      <w:r w:rsidR="00582B6D" w:rsidRPr="00F54B93">
        <w:rPr>
          <w:rFonts w:ascii="Times New Roman" w:hAnsi="Times New Roman"/>
        </w:rPr>
        <w:t>.</w:t>
      </w:r>
      <w:r w:rsidR="005C66AD" w:rsidRPr="00F54B93">
        <w:rPr>
          <w:rFonts w:ascii="Times New Roman" w:hAnsi="Times New Roman"/>
        </w:rPr>
        <w:t xml:space="preserve"> </w:t>
      </w:r>
      <w:r w:rsidR="0063159A" w:rsidRPr="00F54B93">
        <w:rPr>
          <w:rFonts w:ascii="Times New Roman" w:hAnsi="Times New Roman"/>
        </w:rPr>
        <w:t>Under s</w:t>
      </w:r>
      <w:r w:rsidR="002475EF" w:rsidRPr="00F54B93">
        <w:rPr>
          <w:rFonts w:ascii="Times New Roman" w:hAnsi="Times New Roman"/>
        </w:rPr>
        <w:t> </w:t>
      </w:r>
      <w:r w:rsidR="0063159A" w:rsidRPr="00F54B93">
        <w:rPr>
          <w:rFonts w:ascii="Times New Roman" w:hAnsi="Times New Roman"/>
        </w:rPr>
        <w:t xml:space="preserve">13-15(1) of the LCT Act, LCT payable by an entity on a taxable supply </w:t>
      </w:r>
      <w:r w:rsidR="000B439E" w:rsidRPr="00F54B93">
        <w:rPr>
          <w:rFonts w:ascii="Times New Roman" w:hAnsi="Times New Roman"/>
        </w:rPr>
        <w:t xml:space="preserve">of a luxury car </w:t>
      </w:r>
      <w:r w:rsidR="0063159A" w:rsidRPr="00F54B93">
        <w:rPr>
          <w:rFonts w:ascii="Times New Roman" w:hAnsi="Times New Roman"/>
        </w:rPr>
        <w:t xml:space="preserve">is attributable to the same tax period to which the taxable supply is attributable under the GST Act. </w:t>
      </w:r>
    </w:p>
    <w:p w14:paraId="1551B234" w14:textId="19296827" w:rsidR="00BA1961" w:rsidRPr="00F54B93" w:rsidRDefault="0063159A"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6F4225" w:rsidRPr="00F54B93">
        <w:rPr>
          <w:rFonts w:ascii="Times New Roman" w:hAnsi="Times New Roman"/>
        </w:rPr>
        <w:t>T</w:t>
      </w:r>
      <w:r w:rsidR="00284436" w:rsidRPr="00F54B93">
        <w:rPr>
          <w:rFonts w:ascii="Times New Roman" w:hAnsi="Times New Roman"/>
        </w:rPr>
        <w:t>h</w:t>
      </w:r>
      <w:r w:rsidR="00CE3613" w:rsidRPr="00F54B93">
        <w:rPr>
          <w:rFonts w:ascii="Times New Roman" w:hAnsi="Times New Roman"/>
        </w:rPr>
        <w:t>e</w:t>
      </w:r>
      <w:r w:rsidR="00284436" w:rsidRPr="00F54B93">
        <w:rPr>
          <w:rFonts w:ascii="Times New Roman" w:hAnsi="Times New Roman"/>
        </w:rPr>
        <w:t xml:space="preserve"> </w:t>
      </w:r>
      <w:r w:rsidR="00BE76AC" w:rsidRPr="00F54B93">
        <w:rPr>
          <w:rFonts w:ascii="Times New Roman" w:hAnsi="Times New Roman"/>
        </w:rPr>
        <w:t xml:space="preserve">entity's net amount for a tax period </w:t>
      </w:r>
      <w:r w:rsidR="00CE3613" w:rsidRPr="00F54B93">
        <w:rPr>
          <w:rFonts w:ascii="Times New Roman" w:hAnsi="Times New Roman"/>
        </w:rPr>
        <w:t xml:space="preserve">as </w:t>
      </w:r>
      <w:r w:rsidR="008D6417" w:rsidRPr="00F54B93">
        <w:rPr>
          <w:rFonts w:ascii="Times New Roman" w:hAnsi="Times New Roman"/>
        </w:rPr>
        <w:t xml:space="preserve">increased or </w:t>
      </w:r>
      <w:r w:rsidR="002F2710" w:rsidRPr="00F54B93">
        <w:rPr>
          <w:rFonts w:ascii="Times New Roman" w:hAnsi="Times New Roman"/>
        </w:rPr>
        <w:t xml:space="preserve">potentially </w:t>
      </w:r>
      <w:r w:rsidR="00CE3613" w:rsidRPr="00F54B93">
        <w:rPr>
          <w:rFonts w:ascii="Times New Roman" w:hAnsi="Times New Roman"/>
        </w:rPr>
        <w:t>increased</w:t>
      </w:r>
      <w:r w:rsidR="002F2710" w:rsidRPr="00F54B93">
        <w:rPr>
          <w:rFonts w:ascii="Times New Roman" w:hAnsi="Times New Roman"/>
        </w:rPr>
        <w:t xml:space="preserve"> under s</w:t>
      </w:r>
      <w:r w:rsidR="002475EF" w:rsidRPr="00F54B93">
        <w:rPr>
          <w:rFonts w:ascii="Times New Roman" w:hAnsi="Times New Roman"/>
        </w:rPr>
        <w:t> </w:t>
      </w:r>
      <w:r w:rsidR="002F2710" w:rsidRPr="00F54B93">
        <w:rPr>
          <w:rFonts w:ascii="Times New Roman" w:hAnsi="Times New Roman"/>
        </w:rPr>
        <w:t xml:space="preserve">13-5 is then </w:t>
      </w:r>
      <w:r w:rsidR="009C7010" w:rsidRPr="00F54B93">
        <w:rPr>
          <w:rFonts w:ascii="Times New Roman" w:hAnsi="Times New Roman"/>
        </w:rPr>
        <w:t>subject</w:t>
      </w:r>
      <w:r w:rsidR="008D6417" w:rsidRPr="00F54B93">
        <w:rPr>
          <w:rFonts w:ascii="Times New Roman" w:hAnsi="Times New Roman"/>
        </w:rPr>
        <w:t>ed</w:t>
      </w:r>
      <w:r w:rsidR="009C7010" w:rsidRPr="00F54B93">
        <w:rPr>
          <w:rFonts w:ascii="Times New Roman" w:hAnsi="Times New Roman"/>
        </w:rPr>
        <w:t xml:space="preserve"> to </w:t>
      </w:r>
      <w:r w:rsidR="00744914" w:rsidRPr="00F54B93">
        <w:rPr>
          <w:rFonts w:ascii="Times New Roman" w:hAnsi="Times New Roman"/>
        </w:rPr>
        <w:t>"</w:t>
      </w:r>
      <w:r w:rsidR="009C7010" w:rsidRPr="00F54B93">
        <w:rPr>
          <w:rFonts w:ascii="Times New Roman" w:hAnsi="Times New Roman"/>
        </w:rPr>
        <w:t>adjustment</w:t>
      </w:r>
      <w:r w:rsidR="004835B8" w:rsidRPr="00F54B93">
        <w:rPr>
          <w:rFonts w:ascii="Times New Roman" w:hAnsi="Times New Roman"/>
        </w:rPr>
        <w:t>s"</w:t>
      </w:r>
      <w:r w:rsidR="009C7010" w:rsidRPr="00F54B93">
        <w:rPr>
          <w:rFonts w:ascii="Times New Roman" w:hAnsi="Times New Roman"/>
        </w:rPr>
        <w:t xml:space="preserve"> under </w:t>
      </w:r>
      <w:r w:rsidR="00744914" w:rsidRPr="00F54B93">
        <w:rPr>
          <w:rFonts w:ascii="Times New Roman" w:hAnsi="Times New Roman"/>
        </w:rPr>
        <w:t>s</w:t>
      </w:r>
      <w:r w:rsidR="002475EF" w:rsidRPr="00F54B93">
        <w:rPr>
          <w:rFonts w:ascii="Times New Roman" w:hAnsi="Times New Roman"/>
        </w:rPr>
        <w:t> </w:t>
      </w:r>
      <w:r w:rsidR="0030408B" w:rsidRPr="00F54B93">
        <w:rPr>
          <w:rFonts w:ascii="Times New Roman" w:hAnsi="Times New Roman"/>
        </w:rPr>
        <w:t>13-10</w:t>
      </w:r>
      <w:r w:rsidR="004835B8" w:rsidRPr="00F54B93">
        <w:rPr>
          <w:rFonts w:ascii="Times New Roman" w:hAnsi="Times New Roman"/>
        </w:rPr>
        <w:t>. Section 13-10(1)</w:t>
      </w:r>
      <w:r w:rsidR="00F52CFC" w:rsidRPr="00F54B93">
        <w:rPr>
          <w:rFonts w:ascii="Times New Roman" w:hAnsi="Times New Roman"/>
        </w:rPr>
        <w:t xml:space="preserve"> </w:t>
      </w:r>
      <w:r w:rsidR="0020084E" w:rsidRPr="00F54B93">
        <w:rPr>
          <w:rFonts w:ascii="Times New Roman" w:hAnsi="Times New Roman"/>
        </w:rPr>
        <w:t>commands</w:t>
      </w:r>
      <w:r w:rsidR="00CD1CC4" w:rsidRPr="00F54B93">
        <w:rPr>
          <w:rFonts w:ascii="Times New Roman" w:hAnsi="Times New Roman"/>
        </w:rPr>
        <w:t xml:space="preserve"> that if "you have any </w:t>
      </w:r>
      <w:r w:rsidR="000B439E" w:rsidRPr="00F54B93">
        <w:rPr>
          <w:rFonts w:ascii="Times New Roman" w:hAnsi="Times New Roman"/>
        </w:rPr>
        <w:t>*</w:t>
      </w:r>
      <w:r w:rsidR="00CD1CC4" w:rsidRPr="00F54B93">
        <w:rPr>
          <w:rFonts w:ascii="Times New Roman" w:hAnsi="Times New Roman"/>
        </w:rPr>
        <w:t xml:space="preserve">luxury car tax adjustments that are attributable to a </w:t>
      </w:r>
      <w:r w:rsidR="000B439E" w:rsidRPr="00F54B93">
        <w:rPr>
          <w:rFonts w:ascii="Times New Roman" w:hAnsi="Times New Roman"/>
        </w:rPr>
        <w:t>*</w:t>
      </w:r>
      <w:r w:rsidR="00CD1CC4" w:rsidRPr="00F54B93">
        <w:rPr>
          <w:rFonts w:ascii="Times New Roman" w:hAnsi="Times New Roman"/>
        </w:rPr>
        <w:t>tax period applying to you, alter your</w:t>
      </w:r>
      <w:r w:rsidR="00E3705C" w:rsidRPr="00F54B93">
        <w:rPr>
          <w:rFonts w:ascii="Times New Roman" w:hAnsi="Times New Roman"/>
        </w:rPr>
        <w:t xml:space="preserve"> </w:t>
      </w:r>
      <w:r w:rsidR="000B439E" w:rsidRPr="00F54B93">
        <w:rPr>
          <w:rFonts w:ascii="Times New Roman" w:hAnsi="Times New Roman"/>
        </w:rPr>
        <w:t>*</w:t>
      </w:r>
      <w:r w:rsidR="00CD1CC4" w:rsidRPr="00F54B93">
        <w:rPr>
          <w:rFonts w:ascii="Times New Roman" w:hAnsi="Times New Roman"/>
        </w:rPr>
        <w:t xml:space="preserve">net amount for the period" by (a) adding to that net amount for the period the sum of all the increasing </w:t>
      </w:r>
      <w:r w:rsidR="00687DE5" w:rsidRPr="00F54B93">
        <w:rPr>
          <w:rFonts w:ascii="Times New Roman" w:hAnsi="Times New Roman"/>
        </w:rPr>
        <w:t>LCT</w:t>
      </w:r>
      <w:r w:rsidR="00CD1CC4" w:rsidRPr="00F54B93">
        <w:rPr>
          <w:rFonts w:ascii="Times New Roman" w:hAnsi="Times New Roman"/>
        </w:rPr>
        <w:t xml:space="preserve"> adjustments (if any) that are attributable to the period; and (b) subtracting from that net amount the sum of all the decreasing </w:t>
      </w:r>
      <w:r w:rsidR="00687DE5" w:rsidRPr="00F54B93">
        <w:rPr>
          <w:rFonts w:ascii="Times New Roman" w:hAnsi="Times New Roman"/>
        </w:rPr>
        <w:t>LCT</w:t>
      </w:r>
      <w:r w:rsidR="00CD1CC4" w:rsidRPr="00F54B93">
        <w:rPr>
          <w:rFonts w:ascii="Times New Roman" w:hAnsi="Times New Roman"/>
        </w:rPr>
        <w:t xml:space="preserve"> adjustments (if any) that are attributable to the period. By s 13</w:t>
      </w:r>
      <w:r w:rsidR="00CD1CC4" w:rsidRPr="00F54B93">
        <w:rPr>
          <w:rFonts w:ascii="Times New Roman" w:hAnsi="Times New Roman"/>
        </w:rPr>
        <w:noBreakHyphen/>
        <w:t>10(2), a</w:t>
      </w:r>
      <w:r w:rsidR="004D703F" w:rsidRPr="00F54B93">
        <w:rPr>
          <w:rFonts w:ascii="Times New Roman" w:hAnsi="Times New Roman"/>
        </w:rPr>
        <w:t>n LCT</w:t>
      </w:r>
      <w:r w:rsidR="00CD1CC4" w:rsidRPr="00F54B93">
        <w:rPr>
          <w:rFonts w:ascii="Times New Roman" w:hAnsi="Times New Roman"/>
        </w:rPr>
        <w:t xml:space="preserve"> adjustment </w:t>
      </w:r>
      <w:r w:rsidR="004D703F" w:rsidRPr="00F54B93">
        <w:rPr>
          <w:rFonts w:ascii="Times New Roman" w:hAnsi="Times New Roman"/>
        </w:rPr>
        <w:t>"</w:t>
      </w:r>
      <w:r w:rsidR="00CD1CC4" w:rsidRPr="00F54B93">
        <w:rPr>
          <w:rFonts w:ascii="Times New Roman" w:hAnsi="Times New Roman"/>
        </w:rPr>
        <w:t xml:space="preserve">must be made within 4 years after the supply or </w:t>
      </w:r>
      <w:r w:rsidR="003230A8" w:rsidRPr="00F54B93">
        <w:rPr>
          <w:rFonts w:ascii="Times New Roman" w:hAnsi="Times New Roman"/>
        </w:rPr>
        <w:t>*</w:t>
      </w:r>
      <w:r w:rsidR="00CD1CC4" w:rsidRPr="00F54B93">
        <w:rPr>
          <w:rFonts w:ascii="Times New Roman" w:hAnsi="Times New Roman"/>
        </w:rPr>
        <w:t>importation to which the adjustment relates".</w:t>
      </w:r>
      <w:r w:rsidR="00687DE5" w:rsidRPr="00F54B93">
        <w:rPr>
          <w:rFonts w:ascii="Times New Roman" w:hAnsi="Times New Roman"/>
        </w:rPr>
        <w:t xml:space="preserve"> </w:t>
      </w:r>
      <w:r w:rsidR="005B4470" w:rsidRPr="00F54B93">
        <w:rPr>
          <w:rFonts w:ascii="Times New Roman" w:hAnsi="Times New Roman"/>
        </w:rPr>
        <w:t>Under s</w:t>
      </w:r>
      <w:r w:rsidR="002475EF" w:rsidRPr="00F54B93">
        <w:rPr>
          <w:rFonts w:ascii="Times New Roman" w:hAnsi="Times New Roman"/>
        </w:rPr>
        <w:t> </w:t>
      </w:r>
      <w:r w:rsidR="005B4470" w:rsidRPr="00F54B93">
        <w:rPr>
          <w:rFonts w:ascii="Times New Roman" w:hAnsi="Times New Roman"/>
        </w:rPr>
        <w:t>13-15(2), an increasing LCT adjustment or a decreasing LCT adjustment</w:t>
      </w:r>
      <w:r w:rsidR="00BE2137" w:rsidRPr="00F54B93">
        <w:rPr>
          <w:rFonts w:ascii="Times New Roman" w:hAnsi="Times New Roman"/>
        </w:rPr>
        <w:t xml:space="preserve"> is attributable to the </w:t>
      </w:r>
      <w:r w:rsidR="006B73ED" w:rsidRPr="00F54B93">
        <w:rPr>
          <w:rFonts w:ascii="Times New Roman" w:hAnsi="Times New Roman"/>
        </w:rPr>
        <w:t xml:space="preserve">same </w:t>
      </w:r>
      <w:r w:rsidR="00BE2137" w:rsidRPr="00F54B93">
        <w:rPr>
          <w:rFonts w:ascii="Times New Roman" w:hAnsi="Times New Roman"/>
        </w:rPr>
        <w:t xml:space="preserve">tax period </w:t>
      </w:r>
      <w:r w:rsidR="006B73ED" w:rsidRPr="00F54B93">
        <w:rPr>
          <w:rFonts w:ascii="Times New Roman" w:hAnsi="Times New Roman"/>
        </w:rPr>
        <w:t>as</w:t>
      </w:r>
      <w:r w:rsidR="00BE2137" w:rsidRPr="00F54B93">
        <w:rPr>
          <w:rFonts w:ascii="Times New Roman" w:hAnsi="Times New Roman"/>
        </w:rPr>
        <w:t xml:space="preserve"> the adjustment.</w:t>
      </w:r>
    </w:p>
    <w:p w14:paraId="6F26A185" w14:textId="0AAF4320" w:rsidR="00F8526B" w:rsidRPr="00F54B93" w:rsidRDefault="005B43E6" w:rsidP="00F54B93">
      <w:pPr>
        <w:pStyle w:val="FixListStyle"/>
        <w:spacing w:after="260" w:line="280" w:lineRule="exact"/>
        <w:ind w:right="0"/>
        <w:jc w:val="both"/>
        <w:rPr>
          <w:rFonts w:ascii="Times New Roman" w:hAnsi="Times New Roman"/>
        </w:rPr>
      </w:pPr>
      <w:r w:rsidRPr="00F54B93">
        <w:rPr>
          <w:rFonts w:ascii="Times New Roman" w:hAnsi="Times New Roman"/>
        </w:rPr>
        <w:lastRenderedPageBreak/>
        <w:tab/>
        <w:t>Div</w:t>
      </w:r>
      <w:r w:rsidR="001901BB" w:rsidRPr="00F54B93">
        <w:rPr>
          <w:rFonts w:ascii="Times New Roman" w:hAnsi="Times New Roman"/>
        </w:rPr>
        <w:t xml:space="preserve">ision </w:t>
      </w:r>
      <w:r w:rsidRPr="00F54B93">
        <w:rPr>
          <w:rFonts w:ascii="Times New Roman" w:hAnsi="Times New Roman"/>
        </w:rPr>
        <w:t>15</w:t>
      </w:r>
      <w:r w:rsidR="001901BB" w:rsidRPr="00F54B93">
        <w:rPr>
          <w:rFonts w:ascii="Times New Roman" w:hAnsi="Times New Roman"/>
        </w:rPr>
        <w:t xml:space="preserve"> of the LCT Act </w:t>
      </w:r>
      <w:r w:rsidR="007C3DC2" w:rsidRPr="00F54B93">
        <w:rPr>
          <w:rFonts w:ascii="Times New Roman" w:hAnsi="Times New Roman"/>
        </w:rPr>
        <w:t xml:space="preserve">governs by whom and in what circumstances </w:t>
      </w:r>
      <w:r w:rsidR="005D1F06" w:rsidRPr="00F54B93">
        <w:rPr>
          <w:rFonts w:ascii="Times New Roman" w:hAnsi="Times New Roman"/>
        </w:rPr>
        <w:t>such</w:t>
      </w:r>
      <w:r w:rsidR="001901BB" w:rsidRPr="00F54B93">
        <w:rPr>
          <w:rFonts w:ascii="Times New Roman" w:hAnsi="Times New Roman"/>
        </w:rPr>
        <w:t xml:space="preserve"> </w:t>
      </w:r>
      <w:r w:rsidR="004065DA" w:rsidRPr="00F54B93">
        <w:rPr>
          <w:rFonts w:ascii="Times New Roman" w:hAnsi="Times New Roman"/>
        </w:rPr>
        <w:t xml:space="preserve">increasing LCT adjustments or decreasing LCT </w:t>
      </w:r>
      <w:r w:rsidR="001901BB" w:rsidRPr="00F54B93">
        <w:rPr>
          <w:rFonts w:ascii="Times New Roman" w:hAnsi="Times New Roman"/>
        </w:rPr>
        <w:t>adjustment</w:t>
      </w:r>
      <w:r w:rsidR="005D1F06" w:rsidRPr="00F54B93">
        <w:rPr>
          <w:rFonts w:ascii="Times New Roman" w:hAnsi="Times New Roman"/>
        </w:rPr>
        <w:t xml:space="preserve">s </w:t>
      </w:r>
      <w:r w:rsidR="000E03FB" w:rsidRPr="00F54B93">
        <w:rPr>
          <w:rFonts w:ascii="Times New Roman" w:hAnsi="Times New Roman"/>
        </w:rPr>
        <w:t>must</w:t>
      </w:r>
      <w:r w:rsidR="007C3DC2" w:rsidRPr="00F54B93">
        <w:rPr>
          <w:rFonts w:ascii="Times New Roman" w:hAnsi="Times New Roman"/>
        </w:rPr>
        <w:t xml:space="preserve"> be made</w:t>
      </w:r>
      <w:r w:rsidR="005D1F06" w:rsidRPr="00F54B93">
        <w:rPr>
          <w:rFonts w:ascii="Times New Roman" w:hAnsi="Times New Roman"/>
        </w:rPr>
        <w:t xml:space="preserve"> under s</w:t>
      </w:r>
      <w:r w:rsidR="002475EF" w:rsidRPr="00F54B93">
        <w:rPr>
          <w:rFonts w:ascii="Times New Roman" w:hAnsi="Times New Roman"/>
        </w:rPr>
        <w:t> </w:t>
      </w:r>
      <w:r w:rsidR="005D1F06" w:rsidRPr="00F54B93">
        <w:rPr>
          <w:rFonts w:ascii="Times New Roman" w:hAnsi="Times New Roman"/>
        </w:rPr>
        <w:t>13</w:t>
      </w:r>
      <w:r w:rsidR="004065DA" w:rsidRPr="00F54B93">
        <w:rPr>
          <w:rFonts w:ascii="Times New Roman" w:hAnsi="Times New Roman"/>
        </w:rPr>
        <w:t>-10</w:t>
      </w:r>
      <w:r w:rsidR="001901BB" w:rsidRPr="00F54B93">
        <w:rPr>
          <w:rFonts w:ascii="Times New Roman" w:hAnsi="Times New Roman"/>
        </w:rPr>
        <w:t>.</w:t>
      </w:r>
      <w:r w:rsidRPr="00F54B93">
        <w:rPr>
          <w:rFonts w:ascii="Times New Roman" w:hAnsi="Times New Roman"/>
        </w:rPr>
        <w:t xml:space="preserve"> </w:t>
      </w:r>
      <w:r w:rsidR="001901BB" w:rsidRPr="00F54B93">
        <w:rPr>
          <w:rFonts w:ascii="Times New Roman" w:hAnsi="Times New Roman"/>
        </w:rPr>
        <w:t>Section</w:t>
      </w:r>
      <w:r w:rsidR="00E00B63" w:rsidRPr="00F54B93">
        <w:rPr>
          <w:rFonts w:ascii="Times New Roman" w:hAnsi="Times New Roman"/>
        </w:rPr>
        <w:t xml:space="preserve"> 15-1, an explanatory </w:t>
      </w:r>
      <w:r w:rsidR="000D4B98" w:rsidRPr="00F54B93">
        <w:rPr>
          <w:rFonts w:ascii="Times New Roman" w:hAnsi="Times New Roman"/>
        </w:rPr>
        <w:t xml:space="preserve">section </w:t>
      </w:r>
      <w:r w:rsidR="00152659" w:rsidRPr="00F54B93">
        <w:rPr>
          <w:rFonts w:ascii="Times New Roman" w:hAnsi="Times New Roman"/>
        </w:rPr>
        <w:t>subject to s 23</w:t>
      </w:r>
      <w:r w:rsidR="00E26B6D" w:rsidRPr="00F54B93">
        <w:rPr>
          <w:rFonts w:ascii="Times New Roman" w:hAnsi="Times New Roman"/>
        </w:rPr>
        <w:noBreakHyphen/>
      </w:r>
      <w:r w:rsidR="00152659" w:rsidRPr="00F54B93">
        <w:rPr>
          <w:rFonts w:ascii="Times New Roman" w:hAnsi="Times New Roman"/>
        </w:rPr>
        <w:t>10</w:t>
      </w:r>
      <w:r w:rsidR="002A16AF" w:rsidRPr="00F54B93">
        <w:rPr>
          <w:rFonts w:ascii="Times New Roman" w:hAnsi="Times New Roman"/>
        </w:rPr>
        <w:t>(1)</w:t>
      </w:r>
      <w:r w:rsidR="00E00B63" w:rsidRPr="00F54B93">
        <w:rPr>
          <w:rFonts w:ascii="Times New Roman" w:hAnsi="Times New Roman"/>
        </w:rPr>
        <w:t xml:space="preserve">, explains </w:t>
      </w:r>
      <w:r w:rsidR="00152659" w:rsidRPr="00F54B93">
        <w:rPr>
          <w:rFonts w:ascii="Times New Roman" w:hAnsi="Times New Roman"/>
        </w:rPr>
        <w:t>(consistently with s 2</w:t>
      </w:r>
      <w:r w:rsidR="00E26B6D" w:rsidRPr="00F54B93">
        <w:rPr>
          <w:rFonts w:ascii="Times New Roman" w:hAnsi="Times New Roman"/>
        </w:rPr>
        <w:noBreakHyphen/>
      </w:r>
      <w:r w:rsidR="00152659" w:rsidRPr="00F54B93">
        <w:rPr>
          <w:rFonts w:ascii="Times New Roman" w:hAnsi="Times New Roman"/>
        </w:rPr>
        <w:t xml:space="preserve">10(2)) </w:t>
      </w:r>
      <w:r w:rsidR="00E00B63" w:rsidRPr="00F54B93">
        <w:rPr>
          <w:rFonts w:ascii="Times New Roman" w:hAnsi="Times New Roman"/>
        </w:rPr>
        <w:t>that "</w:t>
      </w:r>
      <w:r w:rsidR="00940339" w:rsidRPr="00F54B93">
        <w:rPr>
          <w:rFonts w:ascii="Times New Roman" w:hAnsi="Times New Roman"/>
        </w:rPr>
        <w:t>[c]ircumstances that occur after the supply or importation of a car may mean that too much or too little luxury car tax was imposed</w:t>
      </w:r>
      <w:r w:rsidR="00D1238C" w:rsidRPr="00F54B93">
        <w:rPr>
          <w:rFonts w:ascii="Times New Roman" w:hAnsi="Times New Roman"/>
        </w:rPr>
        <w:t>" on the supply or importation and that</w:t>
      </w:r>
      <w:r w:rsidR="00940339" w:rsidRPr="00F54B93">
        <w:rPr>
          <w:rFonts w:ascii="Times New Roman" w:hAnsi="Times New Roman"/>
        </w:rPr>
        <w:t xml:space="preserve"> </w:t>
      </w:r>
      <w:r w:rsidR="00D1238C" w:rsidRPr="00F54B93">
        <w:rPr>
          <w:rFonts w:ascii="Times New Roman" w:hAnsi="Times New Roman"/>
        </w:rPr>
        <w:t>"[a]</w:t>
      </w:r>
      <w:r w:rsidR="00940339" w:rsidRPr="00F54B93">
        <w:rPr>
          <w:rFonts w:ascii="Times New Roman" w:hAnsi="Times New Roman"/>
        </w:rPr>
        <w:t>ccordingly, adjustments are made to increase or decrease the net amount</w:t>
      </w:r>
      <w:r w:rsidR="008F1EDD" w:rsidRPr="00F54B93">
        <w:rPr>
          <w:rFonts w:ascii="Times New Roman" w:hAnsi="Times New Roman"/>
        </w:rPr>
        <w:t xml:space="preserve">" </w:t>
      </w:r>
      <w:r w:rsidR="001F0B79" w:rsidRPr="00F54B93">
        <w:rPr>
          <w:rFonts w:ascii="Times New Roman" w:hAnsi="Times New Roman"/>
        </w:rPr>
        <w:t>and "can be made by the supplier, the recipient o</w:t>
      </w:r>
      <w:r w:rsidR="00F8526B" w:rsidRPr="00F54B93">
        <w:rPr>
          <w:rFonts w:ascii="Times New Roman" w:hAnsi="Times New Roman"/>
        </w:rPr>
        <w:t>r</w:t>
      </w:r>
      <w:r w:rsidR="001F0B79" w:rsidRPr="00F54B93">
        <w:rPr>
          <w:rFonts w:ascii="Times New Roman" w:hAnsi="Times New Roman"/>
        </w:rPr>
        <w:t xml:space="preserve"> the </w:t>
      </w:r>
      <w:r w:rsidR="00F8526B" w:rsidRPr="00F54B93">
        <w:rPr>
          <w:rFonts w:ascii="Times New Roman" w:hAnsi="Times New Roman"/>
        </w:rPr>
        <w:t>importer, depending on the circumstances".</w:t>
      </w:r>
      <w:r w:rsidR="006A75E9" w:rsidRPr="00F54B93">
        <w:rPr>
          <w:rFonts w:ascii="Times New Roman" w:hAnsi="Times New Roman"/>
        </w:rPr>
        <w:t xml:space="preserve"> </w:t>
      </w:r>
    </w:p>
    <w:p w14:paraId="37B88E82" w14:textId="12093BA7" w:rsidR="006A75E9" w:rsidRPr="00F54B93" w:rsidRDefault="006A75E9" w:rsidP="00F54B93">
      <w:pPr>
        <w:pStyle w:val="FixListStyle"/>
        <w:spacing w:after="260" w:line="280" w:lineRule="exact"/>
        <w:ind w:right="0"/>
        <w:jc w:val="both"/>
        <w:rPr>
          <w:rFonts w:ascii="Times New Roman" w:hAnsi="Times New Roman"/>
        </w:rPr>
      </w:pPr>
      <w:r w:rsidRPr="00F54B93">
        <w:rPr>
          <w:rFonts w:ascii="Times New Roman" w:hAnsi="Times New Roman"/>
        </w:rPr>
        <w:tab/>
        <w:t>Subdiv</w:t>
      </w:r>
      <w:r w:rsidR="008C649B" w:rsidRPr="00F54B93">
        <w:rPr>
          <w:rFonts w:ascii="Times New Roman" w:hAnsi="Times New Roman"/>
        </w:rPr>
        <w:t>ision</w:t>
      </w:r>
      <w:r w:rsidR="0075566E" w:rsidRPr="00F54B93">
        <w:rPr>
          <w:rFonts w:ascii="Times New Roman" w:hAnsi="Times New Roman"/>
        </w:rPr>
        <w:t xml:space="preserve"> </w:t>
      </w:r>
      <w:r w:rsidRPr="00F54B93">
        <w:rPr>
          <w:rFonts w:ascii="Times New Roman" w:hAnsi="Times New Roman"/>
        </w:rPr>
        <w:t>15-B</w:t>
      </w:r>
      <w:r w:rsidR="008C649B" w:rsidRPr="00F54B93">
        <w:rPr>
          <w:rFonts w:ascii="Times New Roman" w:hAnsi="Times New Roman"/>
        </w:rPr>
        <w:t xml:space="preserve"> is headed</w:t>
      </w:r>
      <w:r w:rsidRPr="00F54B93">
        <w:rPr>
          <w:rFonts w:ascii="Times New Roman" w:hAnsi="Times New Roman"/>
        </w:rPr>
        <w:t xml:space="preserve"> "Change of use adjustments"</w:t>
      </w:r>
      <w:r w:rsidR="00D732E6" w:rsidRPr="00F54B93">
        <w:rPr>
          <w:rFonts w:ascii="Times New Roman" w:hAnsi="Times New Roman"/>
        </w:rPr>
        <w:t xml:space="preserve">. </w:t>
      </w:r>
      <w:r w:rsidR="00092692" w:rsidRPr="00F54B93">
        <w:rPr>
          <w:rFonts w:ascii="Times New Roman" w:hAnsi="Times New Roman"/>
        </w:rPr>
        <w:t xml:space="preserve">The two </w:t>
      </w:r>
      <w:r w:rsidR="00C254A7" w:rsidRPr="00F54B93">
        <w:rPr>
          <w:rFonts w:ascii="Times New Roman" w:hAnsi="Times New Roman"/>
        </w:rPr>
        <w:t>operative</w:t>
      </w:r>
      <w:r w:rsidR="00092692" w:rsidRPr="00F54B93">
        <w:rPr>
          <w:rFonts w:ascii="Times New Roman" w:hAnsi="Times New Roman"/>
        </w:rPr>
        <w:t xml:space="preserve"> provisions </w:t>
      </w:r>
      <w:r w:rsidR="00C254A7" w:rsidRPr="00F54B93">
        <w:rPr>
          <w:rFonts w:ascii="Times New Roman" w:hAnsi="Times New Roman"/>
        </w:rPr>
        <w:t>within it,</w:t>
      </w:r>
      <w:r w:rsidRPr="00F54B93">
        <w:rPr>
          <w:rFonts w:ascii="Times New Roman" w:hAnsi="Times New Roman"/>
        </w:rPr>
        <w:t xml:space="preserve"> ss 15</w:t>
      </w:r>
      <w:r w:rsidRPr="00F54B93">
        <w:rPr>
          <w:rFonts w:ascii="Times New Roman" w:hAnsi="Times New Roman"/>
        </w:rPr>
        <w:noBreakHyphen/>
        <w:t>30 and 15</w:t>
      </w:r>
      <w:r w:rsidRPr="00F54B93">
        <w:rPr>
          <w:rFonts w:ascii="Times New Roman" w:hAnsi="Times New Roman"/>
        </w:rPr>
        <w:noBreakHyphen/>
        <w:t>35</w:t>
      </w:r>
      <w:r w:rsidR="00C254A7" w:rsidRPr="00F54B93">
        <w:rPr>
          <w:rFonts w:ascii="Times New Roman" w:hAnsi="Times New Roman"/>
        </w:rPr>
        <w:t xml:space="preserve">, </w:t>
      </w:r>
      <w:r w:rsidR="00D732E6" w:rsidRPr="00F54B93">
        <w:rPr>
          <w:rFonts w:ascii="Times New Roman" w:hAnsi="Times New Roman"/>
        </w:rPr>
        <w:t xml:space="preserve">are headed </w:t>
      </w:r>
      <w:r w:rsidRPr="00F54B93">
        <w:rPr>
          <w:rFonts w:ascii="Times New Roman" w:hAnsi="Times New Roman"/>
        </w:rPr>
        <w:t>"Changes of use—supplies of luxury cars" and "Changes of use—importing luxury cars" respectively</w:t>
      </w:r>
      <w:r w:rsidR="005D3C7A" w:rsidRPr="00F54B93">
        <w:rPr>
          <w:rFonts w:ascii="Times New Roman" w:hAnsi="Times New Roman"/>
        </w:rPr>
        <w:t>.</w:t>
      </w:r>
      <w:r w:rsidRPr="00F54B93">
        <w:rPr>
          <w:rFonts w:ascii="Times New Roman" w:hAnsi="Times New Roman"/>
        </w:rPr>
        <w:t xml:space="preserve"> </w:t>
      </w:r>
      <w:r w:rsidR="00362D6A" w:rsidRPr="00F54B93">
        <w:rPr>
          <w:rFonts w:ascii="Times New Roman" w:hAnsi="Times New Roman"/>
        </w:rPr>
        <w:t>Though e</w:t>
      </w:r>
      <w:r w:rsidR="00516505" w:rsidRPr="00F54B93">
        <w:rPr>
          <w:rFonts w:ascii="Times New Roman" w:hAnsi="Times New Roman"/>
        </w:rPr>
        <w:t xml:space="preserve">ach heading </w:t>
      </w:r>
      <w:r w:rsidRPr="00F54B93">
        <w:rPr>
          <w:rFonts w:ascii="Times New Roman" w:hAnsi="Times New Roman"/>
        </w:rPr>
        <w:t>form</w:t>
      </w:r>
      <w:r w:rsidR="00516505" w:rsidRPr="00F54B93">
        <w:rPr>
          <w:rFonts w:ascii="Times New Roman" w:hAnsi="Times New Roman"/>
        </w:rPr>
        <w:t>s</w:t>
      </w:r>
      <w:r w:rsidRPr="00F54B93">
        <w:rPr>
          <w:rFonts w:ascii="Times New Roman" w:hAnsi="Times New Roman"/>
        </w:rPr>
        <w:t xml:space="preserve"> part of the LCT Act</w:t>
      </w:r>
      <w:r w:rsidR="00362D6A" w:rsidRPr="00F54B93">
        <w:rPr>
          <w:rFonts w:ascii="Times New Roman" w:hAnsi="Times New Roman"/>
        </w:rPr>
        <w:t>,</w:t>
      </w:r>
      <w:r w:rsidRPr="00F54B93">
        <w:rPr>
          <w:rStyle w:val="FootnoteReference"/>
          <w:rFonts w:ascii="Times New Roman" w:hAnsi="Times New Roman"/>
          <w:sz w:val="24"/>
        </w:rPr>
        <w:footnoteReference w:id="4"/>
      </w:r>
      <w:r w:rsidRPr="00F54B93">
        <w:rPr>
          <w:rFonts w:ascii="Times New Roman" w:hAnsi="Times New Roman"/>
        </w:rPr>
        <w:t xml:space="preserve"> </w:t>
      </w:r>
      <w:r w:rsidR="00A53B81" w:rsidRPr="00F54B93">
        <w:rPr>
          <w:rFonts w:ascii="Times New Roman" w:hAnsi="Times New Roman"/>
        </w:rPr>
        <w:t xml:space="preserve">and so is to be taken into account in construing the operative provisions, </w:t>
      </w:r>
      <w:r w:rsidR="00831EB8" w:rsidRPr="00F54B93">
        <w:rPr>
          <w:rFonts w:ascii="Times New Roman" w:hAnsi="Times New Roman"/>
        </w:rPr>
        <w:t>t</w:t>
      </w:r>
      <w:r w:rsidR="006D02A1" w:rsidRPr="00F54B93">
        <w:rPr>
          <w:rFonts w:ascii="Times New Roman" w:hAnsi="Times New Roman"/>
        </w:rPr>
        <w:t>he structure and content of ss 15</w:t>
      </w:r>
      <w:r w:rsidR="006D02A1" w:rsidRPr="00F54B93">
        <w:rPr>
          <w:rFonts w:ascii="Times New Roman" w:hAnsi="Times New Roman"/>
        </w:rPr>
        <w:noBreakHyphen/>
        <w:t>30 and 15</w:t>
      </w:r>
      <w:r w:rsidR="006D02A1" w:rsidRPr="00F54B93">
        <w:rPr>
          <w:rFonts w:ascii="Times New Roman" w:hAnsi="Times New Roman"/>
        </w:rPr>
        <w:noBreakHyphen/>
        <w:t xml:space="preserve">35 make clear that </w:t>
      </w:r>
      <w:r w:rsidRPr="00F54B93">
        <w:rPr>
          <w:rFonts w:ascii="Times New Roman" w:hAnsi="Times New Roman"/>
        </w:rPr>
        <w:t xml:space="preserve">the contemplated "change of use" is not a change </w:t>
      </w:r>
      <w:r w:rsidRPr="00F54B93">
        <w:rPr>
          <w:rFonts w:ascii="Times New Roman" w:hAnsi="Times New Roman"/>
          <w:i/>
          <w:iCs/>
        </w:rPr>
        <w:t>from</w:t>
      </w:r>
      <w:r w:rsidRPr="00F54B93">
        <w:rPr>
          <w:rFonts w:ascii="Times New Roman" w:hAnsi="Times New Roman"/>
        </w:rPr>
        <w:t xml:space="preserve"> one use </w:t>
      </w:r>
      <w:r w:rsidRPr="00F54B93">
        <w:rPr>
          <w:rFonts w:ascii="Times New Roman" w:hAnsi="Times New Roman"/>
          <w:i/>
          <w:iCs/>
        </w:rPr>
        <w:t>to</w:t>
      </w:r>
      <w:r w:rsidRPr="00F54B93">
        <w:rPr>
          <w:rFonts w:ascii="Times New Roman" w:hAnsi="Times New Roman"/>
        </w:rPr>
        <w:t xml:space="preserve"> another use </w:t>
      </w:r>
      <w:r w:rsidR="00A249BE" w:rsidRPr="00F54B93">
        <w:rPr>
          <w:rFonts w:ascii="Times New Roman" w:hAnsi="Times New Roman"/>
        </w:rPr>
        <w:t xml:space="preserve">but </w:t>
      </w:r>
      <w:r w:rsidRPr="00F54B93">
        <w:rPr>
          <w:rFonts w:ascii="Times New Roman" w:hAnsi="Times New Roman"/>
        </w:rPr>
        <w:t xml:space="preserve">merely </w:t>
      </w:r>
      <w:r w:rsidR="00A249BE" w:rsidRPr="00F54B93">
        <w:rPr>
          <w:rFonts w:ascii="Times New Roman" w:hAnsi="Times New Roman"/>
        </w:rPr>
        <w:t xml:space="preserve">use </w:t>
      </w:r>
      <w:r w:rsidRPr="00F54B93">
        <w:rPr>
          <w:rFonts w:ascii="Times New Roman" w:hAnsi="Times New Roman"/>
        </w:rPr>
        <w:t xml:space="preserve">in </w:t>
      </w:r>
      <w:r w:rsidR="00A249BE" w:rsidRPr="00F54B93">
        <w:rPr>
          <w:rFonts w:ascii="Times New Roman" w:hAnsi="Times New Roman"/>
        </w:rPr>
        <w:t>a</w:t>
      </w:r>
      <w:r w:rsidRPr="00F54B93">
        <w:rPr>
          <w:rFonts w:ascii="Times New Roman" w:hAnsi="Times New Roman"/>
        </w:rPr>
        <w:t xml:space="preserve"> tax period</w:t>
      </w:r>
      <w:r w:rsidR="000E4243" w:rsidRPr="00F54B93">
        <w:rPr>
          <w:rFonts w:ascii="Times New Roman" w:hAnsi="Times New Roman"/>
        </w:rPr>
        <w:t xml:space="preserve"> for a purpose that is either </w:t>
      </w:r>
      <w:r w:rsidR="00C000B9" w:rsidRPr="00F54B93">
        <w:rPr>
          <w:rFonts w:ascii="Times New Roman" w:hAnsi="Times New Roman"/>
        </w:rPr>
        <w:t xml:space="preserve">a quotable purpose </w:t>
      </w:r>
      <w:r w:rsidR="003B5249" w:rsidRPr="00F54B93">
        <w:rPr>
          <w:rFonts w:ascii="Times New Roman" w:hAnsi="Times New Roman"/>
        </w:rPr>
        <w:t xml:space="preserve">(where </w:t>
      </w:r>
      <w:r w:rsidR="00A46108" w:rsidRPr="00F54B93">
        <w:rPr>
          <w:rFonts w:ascii="Times New Roman" w:hAnsi="Times New Roman"/>
        </w:rPr>
        <w:t xml:space="preserve">quoting </w:t>
      </w:r>
      <w:r w:rsidR="00262E66" w:rsidRPr="00F54B93">
        <w:rPr>
          <w:rFonts w:ascii="Times New Roman" w:hAnsi="Times New Roman"/>
        </w:rPr>
        <w:t xml:space="preserve">did not </w:t>
      </w:r>
      <w:r w:rsidR="00A46108" w:rsidRPr="00F54B93">
        <w:rPr>
          <w:rFonts w:ascii="Times New Roman" w:hAnsi="Times New Roman"/>
        </w:rPr>
        <w:t>occur</w:t>
      </w:r>
      <w:r w:rsidR="00262E66" w:rsidRPr="00F54B93">
        <w:rPr>
          <w:rFonts w:ascii="Times New Roman" w:hAnsi="Times New Roman"/>
        </w:rPr>
        <w:t xml:space="preserve"> at the time of supply or importation</w:t>
      </w:r>
      <w:r w:rsidR="00A46108" w:rsidRPr="00F54B93">
        <w:rPr>
          <w:rFonts w:ascii="Times New Roman" w:hAnsi="Times New Roman"/>
        </w:rPr>
        <w:t xml:space="preserve">) </w:t>
      </w:r>
      <w:r w:rsidR="00C000B9" w:rsidRPr="00F54B93">
        <w:rPr>
          <w:rFonts w:ascii="Times New Roman" w:hAnsi="Times New Roman"/>
        </w:rPr>
        <w:t>or a purpose other than a quotable purpose</w:t>
      </w:r>
      <w:r w:rsidR="00262E66" w:rsidRPr="00F54B93">
        <w:rPr>
          <w:rFonts w:ascii="Times New Roman" w:hAnsi="Times New Roman"/>
        </w:rPr>
        <w:t xml:space="preserve"> (where quoting did occur at the time of supply or importation)</w:t>
      </w:r>
      <w:r w:rsidRPr="00F54B93">
        <w:rPr>
          <w:rFonts w:ascii="Times New Roman" w:hAnsi="Times New Roman"/>
        </w:rPr>
        <w:t>.</w:t>
      </w:r>
    </w:p>
    <w:p w14:paraId="0C8995AA" w14:textId="3BE6B9FF" w:rsidR="00FA226E" w:rsidRPr="00F54B93" w:rsidRDefault="00F8526B"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8500C6" w:rsidRPr="00F54B93">
        <w:rPr>
          <w:rFonts w:ascii="Times New Roman" w:hAnsi="Times New Roman"/>
        </w:rPr>
        <w:t>Relevantly, ss 15</w:t>
      </w:r>
      <w:r w:rsidR="00725BE9" w:rsidRPr="00F54B93">
        <w:rPr>
          <w:rFonts w:ascii="Times New Roman" w:hAnsi="Times New Roman"/>
        </w:rPr>
        <w:noBreakHyphen/>
      </w:r>
      <w:r w:rsidR="008500C6" w:rsidRPr="00F54B93">
        <w:rPr>
          <w:rFonts w:ascii="Times New Roman" w:hAnsi="Times New Roman"/>
        </w:rPr>
        <w:t xml:space="preserve">30 and 15-35 are mirror provisions </w:t>
      </w:r>
      <w:r w:rsidRPr="00F54B93">
        <w:rPr>
          <w:rFonts w:ascii="Times New Roman" w:hAnsi="Times New Roman"/>
        </w:rPr>
        <w:t xml:space="preserve">which provide for </w:t>
      </w:r>
      <w:r w:rsidR="00173EE2" w:rsidRPr="00F54B93">
        <w:rPr>
          <w:rFonts w:ascii="Times New Roman" w:hAnsi="Times New Roman"/>
        </w:rPr>
        <w:t xml:space="preserve">LCT </w:t>
      </w:r>
      <w:r w:rsidRPr="00F54B93">
        <w:rPr>
          <w:rFonts w:ascii="Times New Roman" w:hAnsi="Times New Roman"/>
        </w:rPr>
        <w:t xml:space="preserve">adjustments to be made by the recipient or the importer </w:t>
      </w:r>
      <w:r w:rsidR="00297CEA" w:rsidRPr="00F54B93">
        <w:rPr>
          <w:rFonts w:ascii="Times New Roman" w:hAnsi="Times New Roman"/>
        </w:rPr>
        <w:t xml:space="preserve">of </w:t>
      </w:r>
      <w:r w:rsidR="0025761A" w:rsidRPr="00F54B93">
        <w:rPr>
          <w:rFonts w:ascii="Times New Roman" w:hAnsi="Times New Roman"/>
        </w:rPr>
        <w:t xml:space="preserve">a luxury car </w:t>
      </w:r>
      <w:r w:rsidR="006B600A" w:rsidRPr="00F54B93">
        <w:rPr>
          <w:rFonts w:ascii="Times New Roman" w:hAnsi="Times New Roman"/>
        </w:rPr>
        <w:t>respectively</w:t>
      </w:r>
      <w:r w:rsidR="00CA7C9C" w:rsidRPr="00F54B93">
        <w:rPr>
          <w:rFonts w:ascii="Times New Roman" w:hAnsi="Times New Roman"/>
        </w:rPr>
        <w:t xml:space="preserve"> by reference </w:t>
      </w:r>
      <w:r w:rsidR="001F78D1" w:rsidRPr="00F54B93">
        <w:rPr>
          <w:rFonts w:ascii="Times New Roman" w:hAnsi="Times New Roman"/>
        </w:rPr>
        <w:t>both</w:t>
      </w:r>
      <w:r w:rsidR="0043577A" w:rsidRPr="00F54B93">
        <w:rPr>
          <w:rFonts w:ascii="Times New Roman" w:hAnsi="Times New Roman"/>
        </w:rPr>
        <w:t xml:space="preserve"> to </w:t>
      </w:r>
      <w:r w:rsidR="00CC6724" w:rsidRPr="00F54B93">
        <w:rPr>
          <w:rFonts w:ascii="Times New Roman" w:hAnsi="Times New Roman"/>
        </w:rPr>
        <w:t>whether the</w:t>
      </w:r>
      <w:r w:rsidR="00313993" w:rsidRPr="00F54B93">
        <w:rPr>
          <w:rFonts w:ascii="Times New Roman" w:hAnsi="Times New Roman"/>
        </w:rPr>
        <w:t>y</w:t>
      </w:r>
      <w:r w:rsidR="00CC6724" w:rsidRPr="00F54B93">
        <w:rPr>
          <w:rFonts w:ascii="Times New Roman" w:hAnsi="Times New Roman"/>
        </w:rPr>
        <w:t xml:space="preserve"> quoted on the supply or </w:t>
      </w:r>
      <w:r w:rsidR="00A559DF" w:rsidRPr="00F54B93">
        <w:rPr>
          <w:rFonts w:ascii="Times New Roman" w:hAnsi="Times New Roman"/>
        </w:rPr>
        <w:t xml:space="preserve">importation </w:t>
      </w:r>
      <w:r w:rsidR="00D81E73" w:rsidRPr="00F54B93">
        <w:rPr>
          <w:rFonts w:ascii="Times New Roman" w:hAnsi="Times New Roman"/>
        </w:rPr>
        <w:t xml:space="preserve">and </w:t>
      </w:r>
      <w:r w:rsidR="00CA7C9C" w:rsidRPr="00F54B93">
        <w:rPr>
          <w:rFonts w:ascii="Times New Roman" w:hAnsi="Times New Roman"/>
        </w:rPr>
        <w:t xml:space="preserve">to the use to which </w:t>
      </w:r>
      <w:r w:rsidR="00297CEA" w:rsidRPr="00F54B93">
        <w:rPr>
          <w:rFonts w:ascii="Times New Roman" w:hAnsi="Times New Roman"/>
        </w:rPr>
        <w:t xml:space="preserve">they </w:t>
      </w:r>
      <w:r w:rsidR="0025761A" w:rsidRPr="00F54B93">
        <w:rPr>
          <w:rFonts w:ascii="Times New Roman" w:hAnsi="Times New Roman"/>
        </w:rPr>
        <w:t>later put the</w:t>
      </w:r>
      <w:r w:rsidR="00A1640B" w:rsidRPr="00F54B93">
        <w:rPr>
          <w:rFonts w:ascii="Times New Roman" w:hAnsi="Times New Roman"/>
        </w:rPr>
        <w:t xml:space="preserve"> car</w:t>
      </w:r>
      <w:r w:rsidR="0043577A" w:rsidRPr="00F54B93">
        <w:rPr>
          <w:rFonts w:ascii="Times New Roman" w:hAnsi="Times New Roman"/>
        </w:rPr>
        <w:t>.</w:t>
      </w:r>
      <w:r w:rsidR="006B600A" w:rsidRPr="00F54B93">
        <w:rPr>
          <w:rFonts w:ascii="Times New Roman" w:hAnsi="Times New Roman"/>
        </w:rPr>
        <w:t xml:space="preserve"> Sections 15-30</w:t>
      </w:r>
      <w:r w:rsidR="00510295" w:rsidRPr="00F54B93">
        <w:rPr>
          <w:rFonts w:ascii="Times New Roman" w:hAnsi="Times New Roman"/>
        </w:rPr>
        <w:t xml:space="preserve">(1) and 15-35(1) provide for a </w:t>
      </w:r>
      <w:r w:rsidR="00510295" w:rsidRPr="00F54B93">
        <w:rPr>
          <w:rFonts w:ascii="Times New Roman" w:hAnsi="Times New Roman"/>
          <w:i/>
          <w:iCs/>
        </w:rPr>
        <w:t>decreasing</w:t>
      </w:r>
      <w:r w:rsidR="00510295" w:rsidRPr="00F54B93">
        <w:rPr>
          <w:rFonts w:ascii="Times New Roman" w:hAnsi="Times New Roman"/>
        </w:rPr>
        <w:t xml:space="preserve"> </w:t>
      </w:r>
      <w:r w:rsidR="000958EF" w:rsidRPr="00F54B93">
        <w:rPr>
          <w:rFonts w:ascii="Times New Roman" w:hAnsi="Times New Roman"/>
        </w:rPr>
        <w:t>LCT</w:t>
      </w:r>
      <w:r w:rsidR="00D8092F" w:rsidRPr="00F54B93">
        <w:rPr>
          <w:rFonts w:ascii="Times New Roman" w:hAnsi="Times New Roman"/>
        </w:rPr>
        <w:t xml:space="preserve"> adjustment if, relevantly, </w:t>
      </w:r>
      <w:r w:rsidR="00D73AE0" w:rsidRPr="00F54B93">
        <w:rPr>
          <w:rFonts w:ascii="Times New Roman" w:hAnsi="Times New Roman"/>
        </w:rPr>
        <w:t>"(b)</w:t>
      </w:r>
      <w:r w:rsidR="00227D5F" w:rsidRPr="00F54B93">
        <w:rPr>
          <w:rFonts w:ascii="Times New Roman" w:hAnsi="Times New Roman"/>
        </w:rPr>
        <w:t> </w:t>
      </w:r>
      <w:r w:rsidR="001A0849" w:rsidRPr="00F54B93">
        <w:rPr>
          <w:rFonts w:ascii="Times New Roman" w:hAnsi="Times New Roman"/>
        </w:rPr>
        <w:t>luxury car tax</w:t>
      </w:r>
      <w:r w:rsidR="00D73AE0" w:rsidRPr="00F54B93">
        <w:rPr>
          <w:rFonts w:ascii="Times New Roman" w:hAnsi="Times New Roman"/>
        </w:rPr>
        <w:t xml:space="preserve"> was payable on the [supply or importation] because </w:t>
      </w:r>
      <w:r w:rsidR="00D8092F" w:rsidRPr="00F54B93">
        <w:rPr>
          <w:rFonts w:ascii="Times New Roman" w:hAnsi="Times New Roman"/>
        </w:rPr>
        <w:t xml:space="preserve">you did </w:t>
      </w:r>
      <w:r w:rsidR="00D8092F" w:rsidRPr="00F54B93">
        <w:rPr>
          <w:rFonts w:ascii="Times New Roman" w:hAnsi="Times New Roman"/>
          <w:i/>
          <w:iCs/>
        </w:rPr>
        <w:t>not</w:t>
      </w:r>
      <w:r w:rsidR="00D8092F" w:rsidRPr="00F54B93">
        <w:rPr>
          <w:rFonts w:ascii="Times New Roman" w:hAnsi="Times New Roman"/>
        </w:rPr>
        <w:t xml:space="preserve"> </w:t>
      </w:r>
      <w:r w:rsidR="00483232" w:rsidRPr="00F54B93">
        <w:rPr>
          <w:rFonts w:ascii="Times New Roman" w:hAnsi="Times New Roman"/>
        </w:rPr>
        <w:t>*</w:t>
      </w:r>
      <w:r w:rsidR="009C4D7B" w:rsidRPr="00F54B93">
        <w:rPr>
          <w:rFonts w:ascii="Times New Roman" w:hAnsi="Times New Roman"/>
        </w:rPr>
        <w:t>quote</w:t>
      </w:r>
      <w:r w:rsidR="00537C7B" w:rsidRPr="00F54B93">
        <w:rPr>
          <w:rFonts w:ascii="Times New Roman" w:hAnsi="Times New Roman"/>
        </w:rPr>
        <w:t>"</w:t>
      </w:r>
      <w:r w:rsidR="008C3DA7" w:rsidRPr="00F54B93">
        <w:rPr>
          <w:rStyle w:val="FootnoteReference"/>
          <w:rFonts w:ascii="Times New Roman" w:hAnsi="Times New Roman"/>
          <w:sz w:val="24"/>
        </w:rPr>
        <w:footnoteReference w:id="5"/>
      </w:r>
      <w:r w:rsidR="009C4D7B" w:rsidRPr="00F54B93">
        <w:rPr>
          <w:rFonts w:ascii="Times New Roman" w:hAnsi="Times New Roman"/>
        </w:rPr>
        <w:t xml:space="preserve"> </w:t>
      </w:r>
      <w:r w:rsidR="00D8092F" w:rsidRPr="00F54B93">
        <w:rPr>
          <w:rFonts w:ascii="Times New Roman" w:hAnsi="Times New Roman"/>
        </w:rPr>
        <w:t>for the supply or importation (respectively) and</w:t>
      </w:r>
      <w:r w:rsidR="008C3DA7" w:rsidRPr="00F54B93">
        <w:rPr>
          <w:rFonts w:ascii="Times New Roman" w:hAnsi="Times New Roman"/>
        </w:rPr>
        <w:t xml:space="preserve"> </w:t>
      </w:r>
      <w:r w:rsidR="00D732AE" w:rsidRPr="00F54B93">
        <w:rPr>
          <w:rFonts w:ascii="Times New Roman" w:hAnsi="Times New Roman"/>
        </w:rPr>
        <w:t>"(e) you have only used the car for a quotable purpose</w:t>
      </w:r>
      <w:r w:rsidR="00A02F13" w:rsidRPr="00F54B93">
        <w:rPr>
          <w:rFonts w:ascii="Times New Roman" w:hAnsi="Times New Roman"/>
        </w:rPr>
        <w:t>"</w:t>
      </w:r>
      <w:r w:rsidR="00537C7B" w:rsidRPr="00F54B93">
        <w:rPr>
          <w:rFonts w:ascii="Times New Roman" w:hAnsi="Times New Roman"/>
        </w:rPr>
        <w:t>.</w:t>
      </w:r>
      <w:r w:rsidR="000154D9" w:rsidRPr="00F54B93">
        <w:rPr>
          <w:rFonts w:ascii="Times New Roman" w:hAnsi="Times New Roman"/>
        </w:rPr>
        <w:t xml:space="preserve"> </w:t>
      </w:r>
      <w:r w:rsidR="00DD4C0C" w:rsidRPr="00F54B93">
        <w:rPr>
          <w:rFonts w:ascii="Times New Roman" w:hAnsi="Times New Roman"/>
        </w:rPr>
        <w:t xml:space="preserve">Sections 15-30(3) and 15-35(3) provide for an </w:t>
      </w:r>
      <w:r w:rsidR="00DD4C0C" w:rsidRPr="00F54B93">
        <w:rPr>
          <w:rFonts w:ascii="Times New Roman" w:hAnsi="Times New Roman"/>
          <w:i/>
          <w:iCs/>
        </w:rPr>
        <w:t>increasing</w:t>
      </w:r>
      <w:r w:rsidR="00DD4C0C" w:rsidRPr="00F54B93">
        <w:rPr>
          <w:rFonts w:ascii="Times New Roman" w:hAnsi="Times New Roman"/>
        </w:rPr>
        <w:t xml:space="preserve"> </w:t>
      </w:r>
      <w:r w:rsidR="000958EF" w:rsidRPr="00F54B93">
        <w:rPr>
          <w:rFonts w:ascii="Times New Roman" w:hAnsi="Times New Roman"/>
        </w:rPr>
        <w:t>LCT</w:t>
      </w:r>
      <w:r w:rsidR="00DD4C0C" w:rsidRPr="00F54B93">
        <w:rPr>
          <w:rFonts w:ascii="Times New Roman" w:hAnsi="Times New Roman"/>
        </w:rPr>
        <w:t xml:space="preserve"> adjustment if, relevantly,</w:t>
      </w:r>
      <w:r w:rsidR="00AA62D3" w:rsidRPr="00F54B93">
        <w:rPr>
          <w:rFonts w:ascii="Times New Roman" w:hAnsi="Times New Roman"/>
        </w:rPr>
        <w:t xml:space="preserve"> "(b)</w:t>
      </w:r>
      <w:r w:rsidR="009C46A9" w:rsidRPr="00F54B93">
        <w:rPr>
          <w:rFonts w:ascii="Times New Roman" w:hAnsi="Times New Roman"/>
        </w:rPr>
        <w:t>(</w:t>
      </w:r>
      <w:r w:rsidR="00B64F6E" w:rsidRPr="00F54B93">
        <w:rPr>
          <w:rFonts w:ascii="Times New Roman" w:hAnsi="Times New Roman"/>
        </w:rPr>
        <w:t>i)</w:t>
      </w:r>
      <w:r w:rsidR="009A7024" w:rsidRPr="00F54B93">
        <w:rPr>
          <w:rFonts w:ascii="Times New Roman" w:hAnsi="Times New Roman"/>
        </w:rPr>
        <w:t xml:space="preserve"> no </w:t>
      </w:r>
      <w:r w:rsidR="00D547B3" w:rsidRPr="00F54B93">
        <w:rPr>
          <w:rFonts w:ascii="Times New Roman" w:hAnsi="Times New Roman"/>
        </w:rPr>
        <w:t xml:space="preserve">luxury car tax </w:t>
      </w:r>
      <w:r w:rsidR="009A7024" w:rsidRPr="00F54B93">
        <w:rPr>
          <w:rFonts w:ascii="Times New Roman" w:hAnsi="Times New Roman"/>
        </w:rPr>
        <w:t xml:space="preserve">was payable on the </w:t>
      </w:r>
      <w:r w:rsidR="00EB6EBF" w:rsidRPr="00F54B93">
        <w:rPr>
          <w:rFonts w:ascii="Times New Roman" w:hAnsi="Times New Roman"/>
        </w:rPr>
        <w:t>[</w:t>
      </w:r>
      <w:r w:rsidR="009A7024" w:rsidRPr="00F54B93">
        <w:rPr>
          <w:rFonts w:ascii="Times New Roman" w:hAnsi="Times New Roman"/>
        </w:rPr>
        <w:t>supply or importation</w:t>
      </w:r>
      <w:r w:rsidR="00EB6EBF" w:rsidRPr="00F54B93">
        <w:rPr>
          <w:rFonts w:ascii="Times New Roman" w:hAnsi="Times New Roman"/>
        </w:rPr>
        <w:t>]</w:t>
      </w:r>
      <w:r w:rsidR="009A7024" w:rsidRPr="00F54B93">
        <w:rPr>
          <w:rFonts w:ascii="Times New Roman" w:hAnsi="Times New Roman"/>
        </w:rPr>
        <w:t xml:space="preserve"> because</w:t>
      </w:r>
      <w:r w:rsidR="00D40A94" w:rsidRPr="00F54B93">
        <w:rPr>
          <w:rFonts w:ascii="Times New Roman" w:hAnsi="Times New Roman"/>
        </w:rPr>
        <w:t xml:space="preserve"> </w:t>
      </w:r>
      <w:r w:rsidR="009A7024" w:rsidRPr="00F54B93">
        <w:rPr>
          <w:rFonts w:ascii="Times New Roman" w:hAnsi="Times New Roman"/>
        </w:rPr>
        <w:t xml:space="preserve">you </w:t>
      </w:r>
      <w:r w:rsidR="000B602C" w:rsidRPr="00F54B93">
        <w:rPr>
          <w:rFonts w:ascii="Times New Roman" w:hAnsi="Times New Roman"/>
        </w:rPr>
        <w:t>*</w:t>
      </w:r>
      <w:r w:rsidR="009A7024" w:rsidRPr="00F54B93">
        <w:rPr>
          <w:rFonts w:ascii="Times New Roman" w:hAnsi="Times New Roman"/>
          <w:i/>
          <w:iCs/>
        </w:rPr>
        <w:t>quoted</w:t>
      </w:r>
      <w:r w:rsidR="000B602C" w:rsidRPr="00F54B93">
        <w:rPr>
          <w:rFonts w:ascii="Times New Roman" w:hAnsi="Times New Roman"/>
        </w:rPr>
        <w:t>"</w:t>
      </w:r>
      <w:r w:rsidR="00490193" w:rsidRPr="00F54B93">
        <w:rPr>
          <w:rStyle w:val="FootnoteReference"/>
          <w:rFonts w:ascii="Times New Roman" w:hAnsi="Times New Roman"/>
          <w:sz w:val="24"/>
        </w:rPr>
        <w:footnoteReference w:id="6"/>
      </w:r>
      <w:r w:rsidR="009A7024" w:rsidRPr="00F54B93">
        <w:rPr>
          <w:rFonts w:ascii="Times New Roman" w:hAnsi="Times New Roman"/>
        </w:rPr>
        <w:t xml:space="preserve"> for the supply</w:t>
      </w:r>
      <w:r w:rsidR="00D40A94" w:rsidRPr="00F54B93">
        <w:rPr>
          <w:rFonts w:ascii="Times New Roman" w:hAnsi="Times New Roman"/>
        </w:rPr>
        <w:t xml:space="preserve"> </w:t>
      </w:r>
      <w:r w:rsidR="00301C86" w:rsidRPr="00F54B93">
        <w:rPr>
          <w:rFonts w:ascii="Times New Roman" w:hAnsi="Times New Roman"/>
        </w:rPr>
        <w:t xml:space="preserve">or importation (respectively) </w:t>
      </w:r>
      <w:r w:rsidR="00D40A94" w:rsidRPr="00F54B93">
        <w:rPr>
          <w:rFonts w:ascii="Times New Roman" w:hAnsi="Times New Roman"/>
        </w:rPr>
        <w:t>and</w:t>
      </w:r>
      <w:r w:rsidR="00697317" w:rsidRPr="00F54B93">
        <w:rPr>
          <w:rFonts w:ascii="Times New Roman" w:hAnsi="Times New Roman"/>
        </w:rPr>
        <w:t xml:space="preserve"> </w:t>
      </w:r>
      <w:r w:rsidR="00D40A94" w:rsidRPr="00F54B93">
        <w:rPr>
          <w:rFonts w:ascii="Times New Roman" w:hAnsi="Times New Roman"/>
        </w:rPr>
        <w:t>"</w:t>
      </w:r>
      <w:r w:rsidR="003537E3" w:rsidRPr="00F54B93">
        <w:rPr>
          <w:rFonts w:ascii="Times New Roman" w:hAnsi="Times New Roman"/>
        </w:rPr>
        <w:t>(c) you use</w:t>
      </w:r>
      <w:r w:rsidR="002B3427" w:rsidRPr="00F54B93">
        <w:rPr>
          <w:rFonts w:ascii="Times New Roman" w:hAnsi="Times New Roman"/>
        </w:rPr>
        <w:t>[d]</w:t>
      </w:r>
      <w:r w:rsidR="003537E3" w:rsidRPr="00F54B93">
        <w:rPr>
          <w:rFonts w:ascii="Times New Roman" w:hAnsi="Times New Roman"/>
        </w:rPr>
        <w:t xml:space="preserve"> the car for a purpose other than a </w:t>
      </w:r>
      <w:r w:rsidR="00E442F0" w:rsidRPr="00F54B93">
        <w:rPr>
          <w:rFonts w:ascii="Times New Roman" w:hAnsi="Times New Roman"/>
        </w:rPr>
        <w:t>*</w:t>
      </w:r>
      <w:r w:rsidR="003537E3" w:rsidRPr="00F54B93">
        <w:rPr>
          <w:rFonts w:ascii="Times New Roman" w:hAnsi="Times New Roman"/>
        </w:rPr>
        <w:t>quotable purpose"</w:t>
      </w:r>
      <w:r w:rsidR="00490193" w:rsidRPr="00F54B93">
        <w:rPr>
          <w:rFonts w:ascii="Times New Roman" w:hAnsi="Times New Roman"/>
        </w:rPr>
        <w:t>.</w:t>
      </w:r>
      <w:r w:rsidR="008C3DA7" w:rsidRPr="00F54B93">
        <w:rPr>
          <w:rStyle w:val="FootnoteReference"/>
          <w:rFonts w:ascii="Times New Roman" w:hAnsi="Times New Roman"/>
          <w:sz w:val="24"/>
        </w:rPr>
        <w:footnoteReference w:id="7"/>
      </w:r>
    </w:p>
    <w:p w14:paraId="5C329610" w14:textId="363D305D" w:rsidR="00882E9E" w:rsidRPr="00F54B93" w:rsidRDefault="003537E3"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970629" w:rsidRPr="00F54B93">
        <w:rPr>
          <w:rFonts w:ascii="Times New Roman" w:hAnsi="Times New Roman"/>
        </w:rPr>
        <w:t>The conditions "you</w:t>
      </w:r>
      <w:r w:rsidR="00CE116E" w:rsidRPr="00F54B93">
        <w:rPr>
          <w:rFonts w:ascii="Times New Roman" w:hAnsi="Times New Roman"/>
        </w:rPr>
        <w:t xml:space="preserve"> </w:t>
      </w:r>
      <w:r w:rsidR="005C24FA" w:rsidRPr="00F54B93">
        <w:rPr>
          <w:rFonts w:ascii="Times New Roman" w:hAnsi="Times New Roman"/>
        </w:rPr>
        <w:t>[</w:t>
      </w:r>
      <w:r w:rsidR="00CE116E" w:rsidRPr="00F54B93">
        <w:rPr>
          <w:rFonts w:ascii="Times New Roman" w:hAnsi="Times New Roman"/>
        </w:rPr>
        <w:t xml:space="preserve">the recipient or the importer </w:t>
      </w:r>
      <w:r w:rsidR="00DA1678" w:rsidRPr="00F54B93">
        <w:rPr>
          <w:rFonts w:ascii="Times New Roman" w:hAnsi="Times New Roman"/>
        </w:rPr>
        <w:t xml:space="preserve">of </w:t>
      </w:r>
      <w:r w:rsidR="00CE116E" w:rsidRPr="00F54B93">
        <w:rPr>
          <w:rFonts w:ascii="Times New Roman" w:hAnsi="Times New Roman"/>
        </w:rPr>
        <w:t>a luxury car</w:t>
      </w:r>
      <w:r w:rsidR="005C24FA" w:rsidRPr="00F54B93">
        <w:rPr>
          <w:rFonts w:ascii="Times New Roman" w:hAnsi="Times New Roman"/>
        </w:rPr>
        <w:t>]</w:t>
      </w:r>
      <w:r w:rsidR="00970629" w:rsidRPr="00F54B93">
        <w:rPr>
          <w:rFonts w:ascii="Times New Roman" w:hAnsi="Times New Roman"/>
        </w:rPr>
        <w:t xml:space="preserve"> have only used the car for a quotable purpose" (for </w:t>
      </w:r>
      <w:r w:rsidR="002D6B4C" w:rsidRPr="00F54B93">
        <w:rPr>
          <w:rFonts w:ascii="Times New Roman" w:hAnsi="Times New Roman"/>
        </w:rPr>
        <w:t xml:space="preserve">a </w:t>
      </w:r>
      <w:r w:rsidR="00970629" w:rsidRPr="00F54B93">
        <w:rPr>
          <w:rFonts w:ascii="Times New Roman" w:hAnsi="Times New Roman"/>
        </w:rPr>
        <w:t xml:space="preserve">decreasing </w:t>
      </w:r>
      <w:r w:rsidR="00437817" w:rsidRPr="00F54B93">
        <w:rPr>
          <w:rFonts w:ascii="Times New Roman" w:hAnsi="Times New Roman"/>
        </w:rPr>
        <w:t>LCT</w:t>
      </w:r>
      <w:r w:rsidR="002D6B4C" w:rsidRPr="00F54B93">
        <w:rPr>
          <w:rFonts w:ascii="Times New Roman" w:hAnsi="Times New Roman"/>
        </w:rPr>
        <w:t xml:space="preserve"> adjustment) and "you use</w:t>
      </w:r>
      <w:r w:rsidR="002F684C" w:rsidRPr="00F54B93">
        <w:rPr>
          <w:rFonts w:ascii="Times New Roman" w:hAnsi="Times New Roman"/>
        </w:rPr>
        <w:t>[d]</w:t>
      </w:r>
      <w:r w:rsidR="002D6B4C" w:rsidRPr="00F54B93">
        <w:rPr>
          <w:rFonts w:ascii="Times New Roman" w:hAnsi="Times New Roman"/>
        </w:rPr>
        <w:t xml:space="preserve"> the car for a purpose other than a </w:t>
      </w:r>
      <w:r w:rsidR="00B02830" w:rsidRPr="00F54B93">
        <w:rPr>
          <w:rFonts w:ascii="Times New Roman" w:hAnsi="Times New Roman"/>
        </w:rPr>
        <w:t>*</w:t>
      </w:r>
      <w:r w:rsidR="002D6B4C" w:rsidRPr="00F54B93">
        <w:rPr>
          <w:rFonts w:ascii="Times New Roman" w:hAnsi="Times New Roman"/>
        </w:rPr>
        <w:t>quotable purpose"</w:t>
      </w:r>
      <w:r w:rsidR="00C12046" w:rsidRPr="00F54B93">
        <w:rPr>
          <w:rFonts w:ascii="Times New Roman" w:hAnsi="Times New Roman"/>
        </w:rPr>
        <w:t xml:space="preserve"> (for an increasing </w:t>
      </w:r>
      <w:r w:rsidR="00437817" w:rsidRPr="00F54B93">
        <w:rPr>
          <w:rFonts w:ascii="Times New Roman" w:hAnsi="Times New Roman"/>
        </w:rPr>
        <w:t>LCT adjustment)</w:t>
      </w:r>
      <w:r w:rsidR="002D6B4C" w:rsidRPr="00F54B93">
        <w:rPr>
          <w:rFonts w:ascii="Times New Roman" w:hAnsi="Times New Roman"/>
        </w:rPr>
        <w:t xml:space="preserve"> are </w:t>
      </w:r>
      <w:r w:rsidR="00BE06A0" w:rsidRPr="00F54B93">
        <w:rPr>
          <w:rFonts w:ascii="Times New Roman" w:hAnsi="Times New Roman"/>
        </w:rPr>
        <w:t xml:space="preserve">opposites of each other. </w:t>
      </w:r>
      <w:r w:rsidR="00F3482B" w:rsidRPr="00F54B93">
        <w:rPr>
          <w:rFonts w:ascii="Times New Roman" w:hAnsi="Times New Roman"/>
        </w:rPr>
        <w:t xml:space="preserve">That is, if you have not "only used the car </w:t>
      </w:r>
      <w:r w:rsidR="00F3482B" w:rsidRPr="00F54B93">
        <w:rPr>
          <w:rFonts w:ascii="Times New Roman" w:hAnsi="Times New Roman"/>
        </w:rPr>
        <w:lastRenderedPageBreak/>
        <w:t>for a quotable purpose"</w:t>
      </w:r>
      <w:r w:rsidR="00437817" w:rsidRPr="00F54B93">
        <w:rPr>
          <w:rFonts w:ascii="Times New Roman" w:hAnsi="Times New Roman"/>
        </w:rPr>
        <w:t>, then</w:t>
      </w:r>
      <w:r w:rsidR="00F3482B" w:rsidRPr="00F54B93">
        <w:rPr>
          <w:rFonts w:ascii="Times New Roman" w:hAnsi="Times New Roman"/>
        </w:rPr>
        <w:t xml:space="preserve"> you have thereby </w:t>
      </w:r>
      <w:r w:rsidR="0061694D" w:rsidRPr="00F54B93">
        <w:rPr>
          <w:rFonts w:ascii="Times New Roman" w:hAnsi="Times New Roman"/>
        </w:rPr>
        <w:t xml:space="preserve">and necessarily </w:t>
      </w:r>
      <w:r w:rsidR="00F3482B" w:rsidRPr="00F54B93">
        <w:rPr>
          <w:rFonts w:ascii="Times New Roman" w:hAnsi="Times New Roman"/>
        </w:rPr>
        <w:t xml:space="preserve">used "the car for a purpose other than a </w:t>
      </w:r>
      <w:r w:rsidR="00EB1FEB" w:rsidRPr="00F54B93">
        <w:rPr>
          <w:rFonts w:ascii="Times New Roman" w:hAnsi="Times New Roman"/>
        </w:rPr>
        <w:t>*</w:t>
      </w:r>
      <w:r w:rsidR="00F3482B" w:rsidRPr="00F54B93">
        <w:rPr>
          <w:rFonts w:ascii="Times New Roman" w:hAnsi="Times New Roman"/>
        </w:rPr>
        <w:t xml:space="preserve">quotable purpose". These opposing conditions, because they relate to the time after supply or importation, do not depend on your intention at the time of </w:t>
      </w:r>
      <w:r w:rsidR="002D7933" w:rsidRPr="00F54B93">
        <w:rPr>
          <w:rFonts w:ascii="Times New Roman" w:hAnsi="Times New Roman"/>
        </w:rPr>
        <w:t xml:space="preserve">supply or importation. They depend on the use </w:t>
      </w:r>
      <w:r w:rsidR="0093202E" w:rsidRPr="00F54B93">
        <w:rPr>
          <w:rFonts w:ascii="Times New Roman" w:hAnsi="Times New Roman"/>
        </w:rPr>
        <w:t xml:space="preserve">that </w:t>
      </w:r>
      <w:r w:rsidR="002D7933" w:rsidRPr="00F54B93">
        <w:rPr>
          <w:rFonts w:ascii="Times New Roman" w:hAnsi="Times New Roman"/>
        </w:rPr>
        <w:t xml:space="preserve">you </w:t>
      </w:r>
      <w:r w:rsidR="00594A41" w:rsidRPr="00F54B93">
        <w:rPr>
          <w:rFonts w:ascii="Times New Roman" w:hAnsi="Times New Roman"/>
        </w:rPr>
        <w:t xml:space="preserve">in fact </w:t>
      </w:r>
      <w:r w:rsidR="002D7933" w:rsidRPr="00F54B93">
        <w:rPr>
          <w:rFonts w:ascii="Times New Roman" w:hAnsi="Times New Roman"/>
        </w:rPr>
        <w:t xml:space="preserve">make of the car. </w:t>
      </w:r>
      <w:r w:rsidR="00331FBB" w:rsidRPr="00F54B93">
        <w:rPr>
          <w:rFonts w:ascii="Times New Roman" w:hAnsi="Times New Roman"/>
        </w:rPr>
        <w:t>Your u</w:t>
      </w:r>
      <w:r w:rsidR="008760D3" w:rsidRPr="00F54B93">
        <w:rPr>
          <w:rFonts w:ascii="Times New Roman" w:hAnsi="Times New Roman"/>
        </w:rPr>
        <w:t>se of the car</w:t>
      </w:r>
      <w:r w:rsidR="003C2060" w:rsidRPr="00F54B93">
        <w:rPr>
          <w:rFonts w:ascii="Times New Roman" w:hAnsi="Times New Roman"/>
        </w:rPr>
        <w:t xml:space="preserve"> for a purpose</w:t>
      </w:r>
      <w:r w:rsidR="00E45811" w:rsidRPr="00F54B93">
        <w:rPr>
          <w:rFonts w:ascii="Times New Roman" w:hAnsi="Times New Roman"/>
        </w:rPr>
        <w:t xml:space="preserve"> (or purposes)</w:t>
      </w:r>
      <w:r w:rsidR="008760D3" w:rsidRPr="00F54B93">
        <w:rPr>
          <w:rFonts w:ascii="Times New Roman" w:hAnsi="Times New Roman"/>
        </w:rPr>
        <w:t xml:space="preserve"> </w:t>
      </w:r>
      <w:r w:rsidR="00096A10" w:rsidRPr="00F54B93">
        <w:rPr>
          <w:rFonts w:ascii="Times New Roman" w:hAnsi="Times New Roman"/>
        </w:rPr>
        <w:t xml:space="preserve">will determine whether </w:t>
      </w:r>
      <w:r w:rsidR="009F7FBF" w:rsidRPr="00F54B93">
        <w:rPr>
          <w:rFonts w:ascii="Times New Roman" w:hAnsi="Times New Roman"/>
        </w:rPr>
        <w:t>"</w:t>
      </w:r>
      <w:r w:rsidR="00096A10" w:rsidRPr="00F54B93">
        <w:rPr>
          <w:rFonts w:ascii="Times New Roman" w:hAnsi="Times New Roman"/>
        </w:rPr>
        <w:t xml:space="preserve">you have only used the car for a quotable purpose" </w:t>
      </w:r>
      <w:r w:rsidR="00311F18" w:rsidRPr="00F54B93">
        <w:rPr>
          <w:rFonts w:ascii="Times New Roman" w:hAnsi="Times New Roman"/>
        </w:rPr>
        <w:t xml:space="preserve">and, thereby, will also determine whether </w:t>
      </w:r>
      <w:r w:rsidR="008426B3" w:rsidRPr="00F54B93">
        <w:rPr>
          <w:rFonts w:ascii="Times New Roman" w:hAnsi="Times New Roman"/>
        </w:rPr>
        <w:t>"</w:t>
      </w:r>
      <w:r w:rsidR="00311F18" w:rsidRPr="00F54B93">
        <w:rPr>
          <w:rFonts w:ascii="Times New Roman" w:hAnsi="Times New Roman"/>
        </w:rPr>
        <w:t>you use</w:t>
      </w:r>
      <w:r w:rsidR="000E48C2" w:rsidRPr="00F54B93">
        <w:rPr>
          <w:rFonts w:ascii="Times New Roman" w:hAnsi="Times New Roman"/>
        </w:rPr>
        <w:t>[</w:t>
      </w:r>
      <w:r w:rsidR="00311F18" w:rsidRPr="00F54B93">
        <w:rPr>
          <w:rFonts w:ascii="Times New Roman" w:hAnsi="Times New Roman"/>
        </w:rPr>
        <w:t>d</w:t>
      </w:r>
      <w:r w:rsidR="000E48C2" w:rsidRPr="00F54B93">
        <w:rPr>
          <w:rFonts w:ascii="Times New Roman" w:hAnsi="Times New Roman"/>
        </w:rPr>
        <w:t>]</w:t>
      </w:r>
      <w:r w:rsidR="00311F18" w:rsidRPr="00F54B93">
        <w:rPr>
          <w:rFonts w:ascii="Times New Roman" w:hAnsi="Times New Roman"/>
        </w:rPr>
        <w:t xml:space="preserve"> the car for a purpose other than a </w:t>
      </w:r>
      <w:r w:rsidR="00A95B37" w:rsidRPr="00F54B93">
        <w:rPr>
          <w:rFonts w:ascii="Times New Roman" w:hAnsi="Times New Roman"/>
        </w:rPr>
        <w:t>*</w:t>
      </w:r>
      <w:r w:rsidR="00311F18" w:rsidRPr="00F54B93">
        <w:rPr>
          <w:rFonts w:ascii="Times New Roman" w:hAnsi="Times New Roman"/>
        </w:rPr>
        <w:t xml:space="preserve">quotable purpose". </w:t>
      </w:r>
      <w:r w:rsidR="000D5419" w:rsidRPr="00F54B93">
        <w:rPr>
          <w:rFonts w:ascii="Times New Roman" w:hAnsi="Times New Roman"/>
        </w:rPr>
        <w:t xml:space="preserve">Your use of the </w:t>
      </w:r>
      <w:r w:rsidR="001679D0" w:rsidRPr="00F54B93">
        <w:rPr>
          <w:rFonts w:ascii="Times New Roman" w:hAnsi="Times New Roman"/>
        </w:rPr>
        <w:t>car for a purpose (or purposes) after the time of supply or importation is a question of objective fact</w:t>
      </w:r>
      <w:r w:rsidR="00DD6C7B" w:rsidRPr="00F54B93">
        <w:rPr>
          <w:rFonts w:ascii="Times New Roman" w:hAnsi="Times New Roman"/>
        </w:rPr>
        <w:t xml:space="preserve"> to which evidence of your state of mind will be relevant, but not determinative. </w:t>
      </w:r>
    </w:p>
    <w:p w14:paraId="3E5042C8" w14:textId="7A784B6E" w:rsidR="003C1D64" w:rsidRPr="00F54B93" w:rsidRDefault="00882E9E"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0F1302" w:rsidRPr="00F54B93">
        <w:rPr>
          <w:rFonts w:ascii="Times New Roman" w:hAnsi="Times New Roman"/>
        </w:rPr>
        <w:t>Your u</w:t>
      </w:r>
      <w:r w:rsidRPr="00F54B93">
        <w:rPr>
          <w:rFonts w:ascii="Times New Roman" w:hAnsi="Times New Roman"/>
        </w:rPr>
        <w:t>se of the car</w:t>
      </w:r>
      <w:r w:rsidR="00E45811" w:rsidRPr="00F54B93">
        <w:rPr>
          <w:rFonts w:ascii="Times New Roman" w:hAnsi="Times New Roman"/>
        </w:rPr>
        <w:t xml:space="preserve"> for a purpose (or purposes)</w:t>
      </w:r>
      <w:r w:rsidRPr="00F54B93">
        <w:rPr>
          <w:rFonts w:ascii="Times New Roman" w:hAnsi="Times New Roman"/>
        </w:rPr>
        <w:t xml:space="preserve"> needs to be determined</w:t>
      </w:r>
      <w:r w:rsidR="00001D85" w:rsidRPr="00F54B93">
        <w:rPr>
          <w:rFonts w:ascii="Times New Roman" w:hAnsi="Times New Roman"/>
        </w:rPr>
        <w:t>, as a matter of objective fact,</w:t>
      </w:r>
      <w:r w:rsidRPr="00F54B93">
        <w:rPr>
          <w:rFonts w:ascii="Times New Roman" w:hAnsi="Times New Roman"/>
        </w:rPr>
        <w:t xml:space="preserve"> at the </w:t>
      </w:r>
      <w:r w:rsidR="00920D1A" w:rsidRPr="00F54B93">
        <w:rPr>
          <w:rFonts w:ascii="Times New Roman" w:hAnsi="Times New Roman"/>
        </w:rPr>
        <w:t xml:space="preserve">requisite </w:t>
      </w:r>
      <w:r w:rsidRPr="00F54B93">
        <w:rPr>
          <w:rFonts w:ascii="Times New Roman" w:hAnsi="Times New Roman"/>
        </w:rPr>
        <w:t xml:space="preserve">level of both </w:t>
      </w:r>
      <w:r w:rsidR="00920D1A" w:rsidRPr="00F54B93">
        <w:rPr>
          <w:rFonts w:ascii="Times New Roman" w:hAnsi="Times New Roman"/>
        </w:rPr>
        <w:t xml:space="preserve">generality and specificity </w:t>
      </w:r>
      <w:r w:rsidR="00102CA4" w:rsidRPr="00F54B93">
        <w:rPr>
          <w:rFonts w:ascii="Times New Roman" w:hAnsi="Times New Roman"/>
        </w:rPr>
        <w:t xml:space="preserve">in </w:t>
      </w:r>
      <w:r w:rsidR="00920D1A" w:rsidRPr="00F54B93">
        <w:rPr>
          <w:rFonts w:ascii="Times New Roman" w:hAnsi="Times New Roman"/>
        </w:rPr>
        <w:t xml:space="preserve">the statutory </w:t>
      </w:r>
      <w:r w:rsidR="00102CA4" w:rsidRPr="00F54B93">
        <w:rPr>
          <w:rFonts w:ascii="Times New Roman" w:hAnsi="Times New Roman"/>
        </w:rPr>
        <w:t xml:space="preserve">context. The quotable </w:t>
      </w:r>
      <w:r w:rsidR="00B27584" w:rsidRPr="00F54B93">
        <w:rPr>
          <w:rFonts w:ascii="Times New Roman" w:hAnsi="Times New Roman"/>
        </w:rPr>
        <w:t>purposes</w:t>
      </w:r>
      <w:r w:rsidR="00102CA4" w:rsidRPr="00F54B93">
        <w:rPr>
          <w:rFonts w:ascii="Times New Roman" w:hAnsi="Times New Roman"/>
        </w:rPr>
        <w:t xml:space="preserve"> in s 9-5(1)(a)</w:t>
      </w:r>
      <w:r w:rsidR="008D79C8" w:rsidRPr="00F54B93">
        <w:rPr>
          <w:rFonts w:ascii="Times New Roman" w:hAnsi="Times New Roman"/>
        </w:rPr>
        <w:noBreakHyphen/>
      </w:r>
      <w:r w:rsidR="00102CA4" w:rsidRPr="00F54B93">
        <w:rPr>
          <w:rFonts w:ascii="Times New Roman" w:hAnsi="Times New Roman"/>
        </w:rPr>
        <w:t xml:space="preserve">(c) </w:t>
      </w:r>
      <w:r w:rsidR="00B27584" w:rsidRPr="00F54B93">
        <w:rPr>
          <w:rFonts w:ascii="Times New Roman" w:hAnsi="Times New Roman"/>
        </w:rPr>
        <w:t>indicate the requisite level that the</w:t>
      </w:r>
      <w:r w:rsidR="0095593D" w:rsidRPr="00F54B93">
        <w:rPr>
          <w:rFonts w:ascii="Times New Roman" w:hAnsi="Times New Roman"/>
        </w:rPr>
        <w:t xml:space="preserve"> relevant</w:t>
      </w:r>
      <w:r w:rsidR="00B27584" w:rsidRPr="00F54B93">
        <w:rPr>
          <w:rFonts w:ascii="Times New Roman" w:hAnsi="Times New Roman"/>
        </w:rPr>
        <w:t xml:space="preserve"> statutory provisions involve. Those </w:t>
      </w:r>
      <w:r w:rsidR="00D27770" w:rsidRPr="00F54B93">
        <w:rPr>
          <w:rFonts w:ascii="Times New Roman" w:hAnsi="Times New Roman"/>
        </w:rPr>
        <w:t xml:space="preserve">quotable </w:t>
      </w:r>
      <w:r w:rsidR="00B27584" w:rsidRPr="00F54B93">
        <w:rPr>
          <w:rFonts w:ascii="Times New Roman" w:hAnsi="Times New Roman"/>
        </w:rPr>
        <w:t>purposes are (a) </w:t>
      </w:r>
      <w:r w:rsidR="00253013" w:rsidRPr="00F54B93">
        <w:rPr>
          <w:rFonts w:ascii="Times New Roman" w:hAnsi="Times New Roman"/>
        </w:rPr>
        <w:t>"</w:t>
      </w:r>
      <w:r w:rsidR="00FA14B6" w:rsidRPr="00F54B93">
        <w:rPr>
          <w:rFonts w:ascii="Times New Roman" w:hAnsi="Times New Roman"/>
        </w:rPr>
        <w:t>holding the car as trading stock, other than holding it for hire or lease</w:t>
      </w:r>
      <w:r w:rsidR="00253013" w:rsidRPr="00F54B93">
        <w:rPr>
          <w:rFonts w:ascii="Times New Roman" w:hAnsi="Times New Roman"/>
        </w:rPr>
        <w:t>"</w:t>
      </w:r>
      <w:r w:rsidR="00FA14B6" w:rsidRPr="00F54B93">
        <w:rPr>
          <w:rFonts w:ascii="Times New Roman" w:hAnsi="Times New Roman"/>
        </w:rPr>
        <w:t>; or (b) </w:t>
      </w:r>
      <w:r w:rsidR="00253013" w:rsidRPr="00F54B93">
        <w:rPr>
          <w:rFonts w:ascii="Times New Roman" w:hAnsi="Times New Roman"/>
        </w:rPr>
        <w:t>"</w:t>
      </w:r>
      <w:r w:rsidR="00205F84" w:rsidRPr="00F54B93">
        <w:rPr>
          <w:rFonts w:ascii="Times New Roman" w:hAnsi="Times New Roman"/>
        </w:rPr>
        <w:t>*</w:t>
      </w:r>
      <w:r w:rsidR="00FA14B6" w:rsidRPr="00F54B93">
        <w:rPr>
          <w:rFonts w:ascii="Times New Roman" w:hAnsi="Times New Roman"/>
        </w:rPr>
        <w:t>research and development for the manufacturer of the car</w:t>
      </w:r>
      <w:r w:rsidR="00253013" w:rsidRPr="00F54B93">
        <w:rPr>
          <w:rFonts w:ascii="Times New Roman" w:hAnsi="Times New Roman"/>
        </w:rPr>
        <w:t>"</w:t>
      </w:r>
      <w:r w:rsidR="00FA14B6" w:rsidRPr="00F54B93">
        <w:rPr>
          <w:rFonts w:ascii="Times New Roman" w:hAnsi="Times New Roman"/>
        </w:rPr>
        <w:t>; or (c) </w:t>
      </w:r>
      <w:r w:rsidR="00253013" w:rsidRPr="00F54B93">
        <w:rPr>
          <w:rFonts w:ascii="Times New Roman" w:hAnsi="Times New Roman"/>
        </w:rPr>
        <w:t>"exporting the car in circumstances where the export is *GST</w:t>
      </w:r>
      <w:r w:rsidR="00E26B6D" w:rsidRPr="00F54B93">
        <w:rPr>
          <w:rFonts w:ascii="Times New Roman" w:hAnsi="Times New Roman"/>
        </w:rPr>
        <w:noBreakHyphen/>
      </w:r>
      <w:r w:rsidR="00253013" w:rsidRPr="00F54B93">
        <w:rPr>
          <w:rFonts w:ascii="Times New Roman" w:hAnsi="Times New Roman"/>
        </w:rPr>
        <w:t>free under Subdivision 38-E of the</w:t>
      </w:r>
      <w:r w:rsidR="004F6431" w:rsidRPr="00F54B93">
        <w:rPr>
          <w:rFonts w:ascii="Times New Roman" w:hAnsi="Times New Roman"/>
        </w:rPr>
        <w:t xml:space="preserve"> </w:t>
      </w:r>
      <w:r w:rsidR="00253013" w:rsidRPr="00F54B93">
        <w:rPr>
          <w:rFonts w:ascii="Times New Roman" w:hAnsi="Times New Roman"/>
        </w:rPr>
        <w:t>*GST Act"</w:t>
      </w:r>
      <w:r w:rsidR="00C35391" w:rsidRPr="00F54B93">
        <w:rPr>
          <w:rFonts w:ascii="Times New Roman" w:hAnsi="Times New Roman"/>
        </w:rPr>
        <w:t>.</w:t>
      </w:r>
      <w:r w:rsidR="00253013" w:rsidRPr="00F54B93">
        <w:rPr>
          <w:rFonts w:ascii="Times New Roman" w:hAnsi="Times New Roman"/>
        </w:rPr>
        <w:t xml:space="preserve"> </w:t>
      </w:r>
    </w:p>
    <w:p w14:paraId="6B49A87A" w14:textId="20800C50" w:rsidR="005D640A" w:rsidRPr="00F54B93" w:rsidRDefault="00576B54"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897899" w:rsidRPr="00F54B93">
        <w:rPr>
          <w:rFonts w:ascii="Times New Roman" w:hAnsi="Times New Roman"/>
        </w:rPr>
        <w:t>The</w:t>
      </w:r>
      <w:r w:rsidR="00DD2826" w:rsidRPr="00F54B93">
        <w:rPr>
          <w:rFonts w:ascii="Times New Roman" w:hAnsi="Times New Roman"/>
        </w:rPr>
        <w:t xml:space="preserve"> </w:t>
      </w:r>
      <w:r w:rsidR="00113365" w:rsidRPr="00F54B93">
        <w:rPr>
          <w:rFonts w:ascii="Times New Roman" w:hAnsi="Times New Roman"/>
        </w:rPr>
        <w:t xml:space="preserve">statutory criterion </w:t>
      </w:r>
      <w:r w:rsidR="00F207C3" w:rsidRPr="00F54B93">
        <w:rPr>
          <w:rFonts w:ascii="Times New Roman" w:hAnsi="Times New Roman"/>
        </w:rPr>
        <w:t>of fact</w:t>
      </w:r>
      <w:r w:rsidR="00113365" w:rsidRPr="00F54B93">
        <w:rPr>
          <w:rFonts w:ascii="Times New Roman" w:hAnsi="Times New Roman"/>
        </w:rPr>
        <w:t xml:space="preserve"> </w:t>
      </w:r>
      <w:r w:rsidR="00786BBC" w:rsidRPr="00F54B93">
        <w:rPr>
          <w:rFonts w:ascii="Times New Roman" w:hAnsi="Times New Roman"/>
        </w:rPr>
        <w:t>–</w:t>
      </w:r>
      <w:r w:rsidR="00113365" w:rsidRPr="00F54B93">
        <w:rPr>
          <w:rFonts w:ascii="Times New Roman" w:hAnsi="Times New Roman"/>
        </w:rPr>
        <w:t xml:space="preserve"> the </w:t>
      </w:r>
      <w:r w:rsidR="00696958" w:rsidRPr="00F54B93">
        <w:rPr>
          <w:rFonts w:ascii="Times New Roman" w:hAnsi="Times New Roman"/>
        </w:rPr>
        <w:t>"taxable</w:t>
      </w:r>
      <w:r w:rsidR="00DD2826" w:rsidRPr="00F54B93">
        <w:rPr>
          <w:rFonts w:ascii="Times New Roman" w:hAnsi="Times New Roman"/>
        </w:rPr>
        <w:t xml:space="preserve"> </w:t>
      </w:r>
      <w:r w:rsidR="00CD361F" w:rsidRPr="00F54B93">
        <w:rPr>
          <w:rFonts w:ascii="Times New Roman" w:hAnsi="Times New Roman"/>
        </w:rPr>
        <w:t>fact</w:t>
      </w:r>
      <w:r w:rsidR="00696958" w:rsidRPr="00F54B93">
        <w:rPr>
          <w:rFonts w:ascii="Times New Roman" w:hAnsi="Times New Roman"/>
        </w:rPr>
        <w:t>"</w:t>
      </w:r>
      <w:r w:rsidR="00696958" w:rsidRPr="00F54B93">
        <w:rPr>
          <w:rStyle w:val="FootnoteReference"/>
          <w:rFonts w:ascii="Times New Roman" w:hAnsi="Times New Roman"/>
          <w:sz w:val="24"/>
        </w:rPr>
        <w:footnoteReference w:id="8"/>
      </w:r>
      <w:r w:rsidR="00CD361F" w:rsidRPr="00F54B93">
        <w:rPr>
          <w:rFonts w:ascii="Times New Roman" w:hAnsi="Times New Roman"/>
        </w:rPr>
        <w:t xml:space="preserve"> </w:t>
      </w:r>
      <w:r w:rsidR="00786BBC" w:rsidRPr="00F54B93">
        <w:rPr>
          <w:rFonts w:ascii="Times New Roman" w:hAnsi="Times New Roman"/>
        </w:rPr>
        <w:t>–</w:t>
      </w:r>
      <w:r w:rsidR="00113365" w:rsidRPr="00F54B93">
        <w:rPr>
          <w:rFonts w:ascii="Times New Roman" w:hAnsi="Times New Roman"/>
        </w:rPr>
        <w:t xml:space="preserve"> </w:t>
      </w:r>
      <w:r w:rsidR="00EE4051" w:rsidRPr="00F54B93">
        <w:rPr>
          <w:rFonts w:ascii="Times New Roman" w:hAnsi="Times New Roman"/>
        </w:rPr>
        <w:t xml:space="preserve">for an increasing </w:t>
      </w:r>
      <w:r w:rsidR="00F263F6" w:rsidRPr="00F54B93">
        <w:rPr>
          <w:rFonts w:ascii="Times New Roman" w:hAnsi="Times New Roman"/>
        </w:rPr>
        <w:t>LCT</w:t>
      </w:r>
      <w:r w:rsidR="00EE4051" w:rsidRPr="00F54B93">
        <w:rPr>
          <w:rFonts w:ascii="Times New Roman" w:hAnsi="Times New Roman"/>
        </w:rPr>
        <w:t xml:space="preserve"> adjustment </w:t>
      </w:r>
      <w:r w:rsidR="00267C2A" w:rsidRPr="00F54B93">
        <w:rPr>
          <w:rFonts w:ascii="Times New Roman" w:hAnsi="Times New Roman"/>
        </w:rPr>
        <w:t>under s</w:t>
      </w:r>
      <w:r w:rsidR="00510A85" w:rsidRPr="00F54B93">
        <w:rPr>
          <w:rFonts w:ascii="Times New Roman" w:hAnsi="Times New Roman"/>
        </w:rPr>
        <w:t> </w:t>
      </w:r>
      <w:r w:rsidR="00267C2A" w:rsidRPr="00F54B93">
        <w:rPr>
          <w:rFonts w:ascii="Times New Roman" w:hAnsi="Times New Roman"/>
        </w:rPr>
        <w:t xml:space="preserve">15-30(3) </w:t>
      </w:r>
      <w:r w:rsidR="00F207C3" w:rsidRPr="00F54B93">
        <w:rPr>
          <w:rFonts w:ascii="Times New Roman" w:hAnsi="Times New Roman"/>
        </w:rPr>
        <w:t>or s</w:t>
      </w:r>
      <w:r w:rsidR="00510A85" w:rsidRPr="00F54B93">
        <w:rPr>
          <w:rFonts w:ascii="Times New Roman" w:hAnsi="Times New Roman"/>
        </w:rPr>
        <w:t> </w:t>
      </w:r>
      <w:r w:rsidR="00267C2A" w:rsidRPr="00F54B93">
        <w:rPr>
          <w:rFonts w:ascii="Times New Roman" w:hAnsi="Times New Roman"/>
        </w:rPr>
        <w:t xml:space="preserve">15-35(3) </w:t>
      </w:r>
      <w:r w:rsidR="00860870" w:rsidRPr="00F54B93">
        <w:rPr>
          <w:rFonts w:ascii="Times New Roman" w:hAnsi="Times New Roman"/>
        </w:rPr>
        <w:t xml:space="preserve">is not that "you have </w:t>
      </w:r>
      <w:r w:rsidR="00494443" w:rsidRPr="00F54B93">
        <w:rPr>
          <w:rFonts w:ascii="Times New Roman" w:hAnsi="Times New Roman"/>
        </w:rPr>
        <w:t xml:space="preserve">[not] </w:t>
      </w:r>
      <w:r w:rsidR="00860870" w:rsidRPr="00F54B93">
        <w:rPr>
          <w:rFonts w:ascii="Times New Roman" w:hAnsi="Times New Roman"/>
        </w:rPr>
        <w:t>used the car for a quotable purpose"</w:t>
      </w:r>
      <w:r w:rsidR="00935AB0" w:rsidRPr="00F54B93">
        <w:rPr>
          <w:rFonts w:ascii="Times New Roman" w:hAnsi="Times New Roman"/>
        </w:rPr>
        <w:t xml:space="preserve"> but that</w:t>
      </w:r>
      <w:r w:rsidR="00EE4051" w:rsidRPr="00F54B93">
        <w:rPr>
          <w:rFonts w:ascii="Times New Roman" w:hAnsi="Times New Roman"/>
        </w:rPr>
        <w:t xml:space="preserve"> </w:t>
      </w:r>
      <w:r w:rsidR="00515192" w:rsidRPr="00F54B93">
        <w:rPr>
          <w:rFonts w:ascii="Times New Roman" w:hAnsi="Times New Roman"/>
        </w:rPr>
        <w:t>"</w:t>
      </w:r>
      <w:r w:rsidR="0095725C" w:rsidRPr="00F54B93">
        <w:rPr>
          <w:rFonts w:ascii="Times New Roman" w:hAnsi="Times New Roman"/>
        </w:rPr>
        <w:t>you use</w:t>
      </w:r>
      <w:r w:rsidR="00A07534" w:rsidRPr="00F54B93">
        <w:rPr>
          <w:rFonts w:ascii="Times New Roman" w:hAnsi="Times New Roman"/>
        </w:rPr>
        <w:t>[</w:t>
      </w:r>
      <w:r w:rsidR="00257003" w:rsidRPr="00F54B93">
        <w:rPr>
          <w:rFonts w:ascii="Times New Roman" w:hAnsi="Times New Roman"/>
        </w:rPr>
        <w:t>d</w:t>
      </w:r>
      <w:r w:rsidR="00A07534" w:rsidRPr="00F54B93">
        <w:rPr>
          <w:rFonts w:ascii="Times New Roman" w:hAnsi="Times New Roman"/>
        </w:rPr>
        <w:t>]</w:t>
      </w:r>
      <w:r w:rsidR="0095725C" w:rsidRPr="00F54B93">
        <w:rPr>
          <w:rFonts w:ascii="Times New Roman" w:hAnsi="Times New Roman"/>
        </w:rPr>
        <w:t xml:space="preserve"> the car for a purpose other than a </w:t>
      </w:r>
      <w:r w:rsidR="00031D46" w:rsidRPr="00F54B93">
        <w:rPr>
          <w:rFonts w:ascii="Times New Roman" w:hAnsi="Times New Roman"/>
        </w:rPr>
        <w:t>*</w:t>
      </w:r>
      <w:r w:rsidR="0095725C" w:rsidRPr="00F54B93">
        <w:rPr>
          <w:rFonts w:ascii="Times New Roman" w:hAnsi="Times New Roman"/>
        </w:rPr>
        <w:t>quotable purpose"</w:t>
      </w:r>
      <w:r w:rsidR="0087667A" w:rsidRPr="00F54B93">
        <w:rPr>
          <w:rFonts w:ascii="Times New Roman" w:hAnsi="Times New Roman"/>
        </w:rPr>
        <w:t>. On</w:t>
      </w:r>
      <w:r w:rsidR="006A463A" w:rsidRPr="00F54B93">
        <w:rPr>
          <w:rFonts w:ascii="Times New Roman" w:hAnsi="Times New Roman"/>
        </w:rPr>
        <w:t xml:space="preserve"> the proper construction of the statutory provisions, </w:t>
      </w:r>
      <w:r w:rsidR="0036777E" w:rsidRPr="00F54B93">
        <w:rPr>
          <w:rFonts w:ascii="Times New Roman" w:hAnsi="Times New Roman"/>
        </w:rPr>
        <w:t>"</w:t>
      </w:r>
      <w:r w:rsidR="006A463A" w:rsidRPr="00F54B93">
        <w:rPr>
          <w:rFonts w:ascii="Times New Roman" w:hAnsi="Times New Roman"/>
        </w:rPr>
        <w:t xml:space="preserve">you </w:t>
      </w:r>
      <w:r w:rsidR="0087667A" w:rsidRPr="00F54B93">
        <w:rPr>
          <w:rFonts w:ascii="Times New Roman" w:hAnsi="Times New Roman"/>
        </w:rPr>
        <w:t>use</w:t>
      </w:r>
      <w:r w:rsidR="00A07534" w:rsidRPr="00F54B93">
        <w:rPr>
          <w:rFonts w:ascii="Times New Roman" w:hAnsi="Times New Roman"/>
        </w:rPr>
        <w:t>[</w:t>
      </w:r>
      <w:r w:rsidR="0087667A" w:rsidRPr="00F54B93">
        <w:rPr>
          <w:rFonts w:ascii="Times New Roman" w:hAnsi="Times New Roman"/>
        </w:rPr>
        <w:t>d</w:t>
      </w:r>
      <w:r w:rsidR="00A07534" w:rsidRPr="00F54B93">
        <w:rPr>
          <w:rFonts w:ascii="Times New Roman" w:hAnsi="Times New Roman"/>
        </w:rPr>
        <w:t>]</w:t>
      </w:r>
      <w:r w:rsidR="0087667A" w:rsidRPr="00F54B93">
        <w:rPr>
          <w:rFonts w:ascii="Times New Roman" w:hAnsi="Times New Roman"/>
        </w:rPr>
        <w:t xml:space="preserve"> the car for a purpose other than a </w:t>
      </w:r>
      <w:r w:rsidR="0036777E" w:rsidRPr="00F54B93">
        <w:rPr>
          <w:rFonts w:ascii="Times New Roman" w:hAnsi="Times New Roman"/>
        </w:rPr>
        <w:t>*</w:t>
      </w:r>
      <w:r w:rsidR="0087667A" w:rsidRPr="00F54B93">
        <w:rPr>
          <w:rFonts w:ascii="Times New Roman" w:hAnsi="Times New Roman"/>
        </w:rPr>
        <w:t>quotable purpose</w:t>
      </w:r>
      <w:r w:rsidR="0036777E" w:rsidRPr="00F54B93">
        <w:rPr>
          <w:rFonts w:ascii="Times New Roman" w:hAnsi="Times New Roman"/>
        </w:rPr>
        <w:t>"</w:t>
      </w:r>
      <w:r w:rsidR="006A463A" w:rsidRPr="00F54B93">
        <w:rPr>
          <w:rFonts w:ascii="Times New Roman" w:hAnsi="Times New Roman"/>
        </w:rPr>
        <w:t xml:space="preserve"> if </w:t>
      </w:r>
      <w:r w:rsidR="00293E97" w:rsidRPr="00F54B93">
        <w:rPr>
          <w:rFonts w:ascii="Times New Roman" w:hAnsi="Times New Roman"/>
        </w:rPr>
        <w:t>you have not "only used the car for a quotable purpose"</w:t>
      </w:r>
      <w:r w:rsidR="00CF6E68" w:rsidRPr="00F54B93">
        <w:rPr>
          <w:rFonts w:ascii="Times New Roman" w:hAnsi="Times New Roman"/>
        </w:rPr>
        <w:t>.</w:t>
      </w:r>
      <w:r w:rsidR="00293E97" w:rsidRPr="00F54B93">
        <w:rPr>
          <w:rFonts w:ascii="Times New Roman" w:hAnsi="Times New Roman"/>
        </w:rPr>
        <w:t xml:space="preserve"> </w:t>
      </w:r>
      <w:r w:rsidR="005A7D15" w:rsidRPr="00F54B93">
        <w:rPr>
          <w:rFonts w:ascii="Times New Roman" w:hAnsi="Times New Roman"/>
        </w:rPr>
        <w:t>That is, use of a car for a quotable purpose is not sufficient</w:t>
      </w:r>
      <w:r w:rsidR="00241DAE" w:rsidRPr="00F54B93">
        <w:rPr>
          <w:rFonts w:ascii="Times New Roman" w:hAnsi="Times New Roman"/>
        </w:rPr>
        <w:t xml:space="preserve"> to preclude </w:t>
      </w:r>
      <w:r w:rsidR="00F263F6" w:rsidRPr="00F54B93">
        <w:rPr>
          <w:rFonts w:ascii="Times New Roman" w:hAnsi="Times New Roman"/>
        </w:rPr>
        <w:t>liability for an increasing LCT adjustment</w:t>
      </w:r>
      <w:r w:rsidR="005A7D15" w:rsidRPr="00F54B93">
        <w:rPr>
          <w:rFonts w:ascii="Times New Roman" w:hAnsi="Times New Roman"/>
        </w:rPr>
        <w:t xml:space="preserve">. The focus is </w:t>
      </w:r>
      <w:r w:rsidR="005A7D15" w:rsidRPr="00F54B93">
        <w:rPr>
          <w:rFonts w:ascii="Times New Roman" w:hAnsi="Times New Roman"/>
          <w:i/>
          <w:iCs/>
        </w:rPr>
        <w:t>exclusivity</w:t>
      </w:r>
      <w:r w:rsidR="005A7D15" w:rsidRPr="00F54B93">
        <w:rPr>
          <w:rFonts w:ascii="Times New Roman" w:hAnsi="Times New Roman"/>
        </w:rPr>
        <w:t xml:space="preserve"> of the </w:t>
      </w:r>
      <w:r w:rsidR="0056181D" w:rsidRPr="00F54B93">
        <w:rPr>
          <w:rFonts w:ascii="Times New Roman" w:hAnsi="Times New Roman"/>
        </w:rPr>
        <w:t>use for a quotable purpose</w:t>
      </w:r>
      <w:r w:rsidR="000F5D62" w:rsidRPr="00F54B93">
        <w:rPr>
          <w:rFonts w:ascii="Times New Roman" w:hAnsi="Times New Roman"/>
        </w:rPr>
        <w:t xml:space="preserve"> (or quotable purposes)</w:t>
      </w:r>
      <w:r w:rsidR="0056181D" w:rsidRPr="00F54B93">
        <w:rPr>
          <w:rFonts w:ascii="Times New Roman" w:hAnsi="Times New Roman"/>
        </w:rPr>
        <w:t xml:space="preserve">. </w:t>
      </w:r>
      <w:r w:rsidR="00175AD2" w:rsidRPr="00F54B93">
        <w:rPr>
          <w:rFonts w:ascii="Times New Roman" w:hAnsi="Times New Roman"/>
        </w:rPr>
        <w:t>Contrary to the appellant's arguments, t</w:t>
      </w:r>
      <w:r w:rsidR="0056181D" w:rsidRPr="00F54B93">
        <w:rPr>
          <w:rFonts w:ascii="Times New Roman" w:hAnsi="Times New Roman"/>
        </w:rPr>
        <w:t xml:space="preserve">he provisions are not capable of being read as </w:t>
      </w:r>
      <w:r w:rsidR="00F2196B" w:rsidRPr="00F54B93">
        <w:rPr>
          <w:rFonts w:ascii="Times New Roman" w:hAnsi="Times New Roman"/>
        </w:rPr>
        <w:t xml:space="preserve">requiring: (a) a change of use from use for a quotable purpose to use for a </w:t>
      </w:r>
      <w:r w:rsidR="00F005EF" w:rsidRPr="00F54B93">
        <w:rPr>
          <w:rFonts w:ascii="Times New Roman" w:hAnsi="Times New Roman"/>
        </w:rPr>
        <w:t xml:space="preserve">purpose other than a </w:t>
      </w:r>
      <w:r w:rsidR="00F2196B" w:rsidRPr="00F54B93">
        <w:rPr>
          <w:rFonts w:ascii="Times New Roman" w:hAnsi="Times New Roman"/>
        </w:rPr>
        <w:t>quotable purpose; or (b) </w:t>
      </w:r>
      <w:r w:rsidR="00384036" w:rsidRPr="00F54B93">
        <w:rPr>
          <w:rFonts w:ascii="Times New Roman" w:hAnsi="Times New Roman"/>
        </w:rPr>
        <w:t>a use which is in the alternative to, or inconsistent with, use for a quotable purpose</w:t>
      </w:r>
      <w:r w:rsidR="00AA6D34" w:rsidRPr="00F54B93">
        <w:rPr>
          <w:rFonts w:ascii="Times New Roman" w:hAnsi="Times New Roman"/>
        </w:rPr>
        <w:t xml:space="preserve">. </w:t>
      </w:r>
      <w:r w:rsidR="00023AEE" w:rsidRPr="00F54B93">
        <w:rPr>
          <w:rFonts w:ascii="Times New Roman" w:hAnsi="Times New Roman"/>
        </w:rPr>
        <w:t xml:space="preserve">The </w:t>
      </w:r>
      <w:r w:rsidR="00817BDF" w:rsidRPr="00F54B93">
        <w:rPr>
          <w:rFonts w:ascii="Times New Roman" w:hAnsi="Times New Roman"/>
        </w:rPr>
        <w:t xml:space="preserve">relevant </w:t>
      </w:r>
      <w:r w:rsidR="00023AEE" w:rsidRPr="00F54B93">
        <w:rPr>
          <w:rFonts w:ascii="Times New Roman" w:hAnsi="Times New Roman"/>
        </w:rPr>
        <w:t xml:space="preserve">use is use by the recipient or importer for a </w:t>
      </w:r>
      <w:r w:rsidR="00F005EF" w:rsidRPr="00F54B93">
        <w:rPr>
          <w:rFonts w:ascii="Times New Roman" w:hAnsi="Times New Roman"/>
        </w:rPr>
        <w:t xml:space="preserve">purpose other than a </w:t>
      </w:r>
      <w:r w:rsidR="00023AEE" w:rsidRPr="00F54B93">
        <w:rPr>
          <w:rFonts w:ascii="Times New Roman" w:hAnsi="Times New Roman"/>
        </w:rPr>
        <w:t>quotable purpose in the tax period, whether it be in addition or in the alternative to the use for a quotable purpose in that period. Either suffices to satisfy s 15</w:t>
      </w:r>
      <w:r w:rsidR="00023AEE" w:rsidRPr="00F54B93">
        <w:rPr>
          <w:rFonts w:ascii="Times New Roman" w:hAnsi="Times New Roman"/>
        </w:rPr>
        <w:noBreakHyphen/>
        <w:t>30(3)(c) and s 15</w:t>
      </w:r>
      <w:r w:rsidR="00023AEE" w:rsidRPr="00F54B93">
        <w:rPr>
          <w:rFonts w:ascii="Times New Roman" w:hAnsi="Times New Roman"/>
        </w:rPr>
        <w:noBreakHyphen/>
        <w:t>35(3)(c).</w:t>
      </w:r>
    </w:p>
    <w:p w14:paraId="084B86BC" w14:textId="1B5751BD" w:rsidR="001F2724" w:rsidRPr="00F54B93" w:rsidRDefault="001F2724"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475E21" w:rsidRPr="00F54B93">
        <w:rPr>
          <w:rFonts w:ascii="Times New Roman" w:hAnsi="Times New Roman"/>
        </w:rPr>
        <w:t>Having regard to these considerations, none of the appellant's construction arguments can be accepted. Section</w:t>
      </w:r>
      <w:r w:rsidR="00767EF0" w:rsidRPr="00F54B93">
        <w:rPr>
          <w:rFonts w:ascii="Times New Roman" w:hAnsi="Times New Roman"/>
        </w:rPr>
        <w:t> 5</w:t>
      </w:r>
      <w:r w:rsidR="009E208B" w:rsidRPr="00F54B93">
        <w:rPr>
          <w:rFonts w:ascii="Times New Roman" w:hAnsi="Times New Roman"/>
        </w:rPr>
        <w:noBreakHyphen/>
      </w:r>
      <w:r w:rsidR="00767EF0" w:rsidRPr="00F54B93">
        <w:rPr>
          <w:rFonts w:ascii="Times New Roman" w:hAnsi="Times New Roman"/>
        </w:rPr>
        <w:t>15(</w:t>
      </w:r>
      <w:r w:rsidR="00B9231D" w:rsidRPr="00F54B93">
        <w:rPr>
          <w:rFonts w:ascii="Times New Roman" w:hAnsi="Times New Roman"/>
        </w:rPr>
        <w:t>2</w:t>
      </w:r>
      <w:r w:rsidR="00767EF0" w:rsidRPr="00F54B93">
        <w:rPr>
          <w:rFonts w:ascii="Times New Roman" w:hAnsi="Times New Roman"/>
        </w:rPr>
        <w:t xml:space="preserve">) </w:t>
      </w:r>
      <w:r w:rsidR="00470FAD" w:rsidRPr="00F54B93">
        <w:rPr>
          <w:rFonts w:ascii="Times New Roman" w:hAnsi="Times New Roman"/>
        </w:rPr>
        <w:t xml:space="preserve">relevantly </w:t>
      </w:r>
      <w:r w:rsidR="00767EF0" w:rsidRPr="00F54B93">
        <w:rPr>
          <w:rFonts w:ascii="Times New Roman" w:hAnsi="Times New Roman"/>
        </w:rPr>
        <w:t>provides that "</w:t>
      </w:r>
      <w:r w:rsidR="00B9231D" w:rsidRPr="00F54B93">
        <w:rPr>
          <w:rFonts w:ascii="Times New Roman" w:hAnsi="Times New Roman"/>
        </w:rPr>
        <w:t>if luxury car tax has already become payable in respect of the car, the amount of luxury car tax payable on a *taxable supply of a luxury car is</w:t>
      </w:r>
      <w:r w:rsidR="00DA5058" w:rsidRPr="00F54B93">
        <w:rPr>
          <w:rFonts w:ascii="Times New Roman" w:hAnsi="Times New Roman"/>
        </w:rPr>
        <w:t>:</w:t>
      </w:r>
      <w:r w:rsidR="00E74005" w:rsidRPr="00F54B93">
        <w:rPr>
          <w:rFonts w:ascii="Times New Roman" w:hAnsi="Times New Roman"/>
        </w:rPr>
        <w:t xml:space="preserve"> </w:t>
      </w:r>
      <w:r w:rsidR="00676C6E" w:rsidRPr="00F54B93">
        <w:rPr>
          <w:rFonts w:ascii="Times New Roman" w:hAnsi="Times New Roman"/>
        </w:rPr>
        <w:t xml:space="preserve">(a) the amount of luxury car tax on </w:t>
      </w:r>
      <w:r w:rsidR="00676C6E" w:rsidRPr="00F54B93">
        <w:rPr>
          <w:rFonts w:ascii="Times New Roman" w:hAnsi="Times New Roman"/>
        </w:rPr>
        <w:lastRenderedPageBreak/>
        <w:t xml:space="preserve">the supply (worked out in accordance with </w:t>
      </w:r>
      <w:r w:rsidR="00A759A6" w:rsidRPr="00F54B93">
        <w:rPr>
          <w:rFonts w:ascii="Times New Roman" w:hAnsi="Times New Roman"/>
        </w:rPr>
        <w:t>[</w:t>
      </w:r>
      <w:r w:rsidR="00676C6E" w:rsidRPr="00F54B93">
        <w:rPr>
          <w:rFonts w:ascii="Times New Roman" w:hAnsi="Times New Roman"/>
        </w:rPr>
        <w:t>s 5</w:t>
      </w:r>
      <w:r w:rsidR="009E208B" w:rsidRPr="00F54B93">
        <w:rPr>
          <w:rFonts w:ascii="Times New Roman" w:hAnsi="Times New Roman"/>
        </w:rPr>
        <w:noBreakHyphen/>
      </w:r>
      <w:r w:rsidR="00676C6E" w:rsidRPr="00F54B93">
        <w:rPr>
          <w:rFonts w:ascii="Times New Roman" w:hAnsi="Times New Roman"/>
        </w:rPr>
        <w:t>15(1</w:t>
      </w:r>
      <w:r w:rsidR="002C5D3F" w:rsidRPr="00F54B93">
        <w:rPr>
          <w:rFonts w:ascii="Times New Roman" w:hAnsi="Times New Roman"/>
        </w:rPr>
        <w:t>)];</w:t>
      </w:r>
      <w:r w:rsidR="00FC689B" w:rsidRPr="00F54B93">
        <w:rPr>
          <w:rFonts w:ascii="Times New Roman" w:hAnsi="Times New Roman"/>
          <w:sz w:val="24"/>
          <w:vertAlign w:val="superscript"/>
        </w:rPr>
        <w:t>[</w:t>
      </w:r>
      <w:r w:rsidR="001C0337" w:rsidRPr="00F54B93">
        <w:rPr>
          <w:rStyle w:val="FootnoteReference"/>
          <w:rFonts w:ascii="Times New Roman" w:hAnsi="Times New Roman"/>
          <w:sz w:val="24"/>
        </w:rPr>
        <w:footnoteReference w:id="9"/>
      </w:r>
      <w:r w:rsidR="00FC689B" w:rsidRPr="00F54B93">
        <w:rPr>
          <w:rFonts w:ascii="Times New Roman" w:hAnsi="Times New Roman"/>
          <w:sz w:val="24"/>
          <w:vertAlign w:val="superscript"/>
        </w:rPr>
        <w:t>]</w:t>
      </w:r>
      <w:r w:rsidR="00676C6E" w:rsidRPr="00F54B93">
        <w:rPr>
          <w:rFonts w:ascii="Times New Roman" w:hAnsi="Times New Roman"/>
        </w:rPr>
        <w:t xml:space="preserve"> minus</w:t>
      </w:r>
      <w:r w:rsidR="00E426C9" w:rsidRPr="00F54B93">
        <w:rPr>
          <w:rFonts w:ascii="Times New Roman" w:hAnsi="Times New Roman"/>
        </w:rPr>
        <w:t xml:space="preserve"> (b) the sum of all luxury car tax that was payable in respect of any previous *importation or supply of the car</w:t>
      </w:r>
      <w:r w:rsidR="00AD686C" w:rsidRPr="00F54B93">
        <w:rPr>
          <w:rFonts w:ascii="Times New Roman" w:hAnsi="Times New Roman"/>
        </w:rPr>
        <w:t>"</w:t>
      </w:r>
      <w:r w:rsidR="00E426C9" w:rsidRPr="00F54B93">
        <w:rPr>
          <w:rFonts w:ascii="Times New Roman" w:hAnsi="Times New Roman"/>
        </w:rPr>
        <w:t>.</w:t>
      </w:r>
      <w:r w:rsidR="0016398A" w:rsidRPr="00F54B93">
        <w:rPr>
          <w:rStyle w:val="FootnoteReference"/>
          <w:rFonts w:ascii="Times New Roman" w:hAnsi="Times New Roman"/>
          <w:sz w:val="24"/>
        </w:rPr>
        <w:footnoteReference w:id="10"/>
      </w:r>
      <w:r w:rsidR="004B2E2C" w:rsidRPr="00F54B93">
        <w:rPr>
          <w:rFonts w:ascii="Times New Roman" w:hAnsi="Times New Roman"/>
        </w:rPr>
        <w:t xml:space="preserve"> Section 5</w:t>
      </w:r>
      <w:r w:rsidR="009E208B" w:rsidRPr="00F54B93">
        <w:rPr>
          <w:rFonts w:ascii="Times New Roman" w:hAnsi="Times New Roman"/>
        </w:rPr>
        <w:noBreakHyphen/>
      </w:r>
      <w:r w:rsidR="004B2E2C" w:rsidRPr="00F54B93">
        <w:rPr>
          <w:rFonts w:ascii="Times New Roman" w:hAnsi="Times New Roman"/>
        </w:rPr>
        <w:t>15(3) provides that "[i]n determining the luxury car tax that was payable in respect of any previous *importation or supply of a *car for the purposes of paragraph (2)(b), take into account *luxury car tax adjustments (if any) other than luxury car tax adjustments made under Subdivision 15</w:t>
      </w:r>
      <w:r w:rsidR="009E208B" w:rsidRPr="00F54B93">
        <w:rPr>
          <w:rFonts w:ascii="Times New Roman" w:hAnsi="Times New Roman"/>
        </w:rPr>
        <w:noBreakHyphen/>
      </w:r>
      <w:r w:rsidR="004B2E2C" w:rsidRPr="00F54B93">
        <w:rPr>
          <w:rFonts w:ascii="Times New Roman" w:hAnsi="Times New Roman"/>
        </w:rPr>
        <w:t>C (bad debts adjustments)"</w:t>
      </w:r>
      <w:r w:rsidR="00E924E3" w:rsidRPr="00F54B93">
        <w:rPr>
          <w:rFonts w:ascii="Times New Roman" w:hAnsi="Times New Roman"/>
        </w:rPr>
        <w:t>.</w:t>
      </w:r>
      <w:r w:rsidR="002557DC" w:rsidRPr="00F54B93">
        <w:rPr>
          <w:rFonts w:ascii="Times New Roman" w:hAnsi="Times New Roman"/>
        </w:rPr>
        <w:t xml:space="preserve"> By this means</w:t>
      </w:r>
      <w:r w:rsidR="00E924E3" w:rsidRPr="00F54B93">
        <w:rPr>
          <w:rFonts w:ascii="Times New Roman" w:hAnsi="Times New Roman"/>
        </w:rPr>
        <w:t>,</w:t>
      </w:r>
      <w:r w:rsidR="002557DC" w:rsidRPr="00F54B93">
        <w:rPr>
          <w:rFonts w:ascii="Times New Roman" w:hAnsi="Times New Roman"/>
        </w:rPr>
        <w:t xml:space="preserve"> </w:t>
      </w:r>
      <w:r w:rsidR="0085351B" w:rsidRPr="00F54B93">
        <w:rPr>
          <w:rFonts w:ascii="Times New Roman" w:hAnsi="Times New Roman"/>
        </w:rPr>
        <w:t xml:space="preserve">though </w:t>
      </w:r>
      <w:r w:rsidR="002557DC" w:rsidRPr="00F54B93">
        <w:rPr>
          <w:rFonts w:ascii="Times New Roman" w:hAnsi="Times New Roman"/>
        </w:rPr>
        <w:t>there may well be new or extra LCT payable</w:t>
      </w:r>
      <w:r w:rsidR="009376E6" w:rsidRPr="00F54B93">
        <w:rPr>
          <w:rFonts w:ascii="Times New Roman" w:hAnsi="Times New Roman"/>
        </w:rPr>
        <w:t xml:space="preserve"> </w:t>
      </w:r>
      <w:r w:rsidR="001D5E64" w:rsidRPr="00F54B93">
        <w:rPr>
          <w:rFonts w:ascii="Times New Roman" w:hAnsi="Times New Roman"/>
        </w:rPr>
        <w:t xml:space="preserve">as a result of </w:t>
      </w:r>
      <w:r w:rsidR="009376E6" w:rsidRPr="00F54B93">
        <w:rPr>
          <w:rFonts w:ascii="Times New Roman" w:hAnsi="Times New Roman"/>
        </w:rPr>
        <w:t>an increasing LCT adjustment under s 15-30(3) or s 15-35(3)</w:t>
      </w:r>
      <w:r w:rsidR="002557DC" w:rsidRPr="00F54B93">
        <w:rPr>
          <w:rFonts w:ascii="Times New Roman" w:hAnsi="Times New Roman"/>
        </w:rPr>
        <w:t xml:space="preserve">, no aspect of that liability involves double taxation. </w:t>
      </w:r>
    </w:p>
    <w:p w14:paraId="35A71FF1" w14:textId="6340C230" w:rsidR="00B274A7" w:rsidRPr="00F54B93" w:rsidRDefault="005D48EE"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475E21" w:rsidRPr="00F54B93">
        <w:rPr>
          <w:rFonts w:ascii="Times New Roman" w:hAnsi="Times New Roman"/>
        </w:rPr>
        <w:t>Nor is it</w:t>
      </w:r>
      <w:r w:rsidR="00FE3EAC" w:rsidRPr="00F54B93">
        <w:rPr>
          <w:rFonts w:ascii="Times New Roman" w:hAnsi="Times New Roman"/>
        </w:rPr>
        <w:t xml:space="preserve"> the case</w:t>
      </w:r>
      <w:r w:rsidR="0050110D" w:rsidRPr="00F54B93">
        <w:rPr>
          <w:rFonts w:ascii="Times New Roman" w:hAnsi="Times New Roman"/>
        </w:rPr>
        <w:t>,</w:t>
      </w:r>
      <w:r w:rsidR="00FE3EAC" w:rsidRPr="00F54B93">
        <w:rPr>
          <w:rFonts w:ascii="Times New Roman" w:hAnsi="Times New Roman"/>
        </w:rPr>
        <w:t xml:space="preserve"> </w:t>
      </w:r>
      <w:r w:rsidR="0050110D" w:rsidRPr="00F54B93">
        <w:rPr>
          <w:rFonts w:ascii="Times New Roman" w:hAnsi="Times New Roman"/>
        </w:rPr>
        <w:t xml:space="preserve">as the appellant asserted, </w:t>
      </w:r>
      <w:r w:rsidR="00FE3EAC" w:rsidRPr="00F54B93">
        <w:rPr>
          <w:rFonts w:ascii="Times New Roman" w:hAnsi="Times New Roman"/>
        </w:rPr>
        <w:t>that</w:t>
      </w:r>
      <w:r w:rsidR="00F528AE" w:rsidRPr="00F54B93">
        <w:rPr>
          <w:rFonts w:ascii="Times New Roman" w:hAnsi="Times New Roman"/>
        </w:rPr>
        <w:t xml:space="preserve"> w</w:t>
      </w:r>
      <w:r w:rsidR="00FC409F" w:rsidRPr="00F54B93">
        <w:rPr>
          <w:rFonts w:ascii="Times New Roman" w:hAnsi="Times New Roman"/>
        </w:rPr>
        <w:t xml:space="preserve">here </w:t>
      </w:r>
      <w:r w:rsidR="00F528AE" w:rsidRPr="00F54B93">
        <w:rPr>
          <w:rFonts w:ascii="Times New Roman" w:hAnsi="Times New Roman"/>
        </w:rPr>
        <w:t>"</w:t>
      </w:r>
      <w:r w:rsidR="00FC409F" w:rsidRPr="00F54B93">
        <w:rPr>
          <w:rFonts w:ascii="Times New Roman" w:hAnsi="Times New Roman"/>
        </w:rPr>
        <w:t>the luxury car remains, at all times, trading stock of the taxpayer who quoted, there</w:t>
      </w:r>
      <w:r w:rsidR="00F528AE" w:rsidRPr="00F54B93">
        <w:rPr>
          <w:rFonts w:ascii="Times New Roman" w:hAnsi="Times New Roman"/>
        </w:rPr>
        <w:t xml:space="preserve"> </w:t>
      </w:r>
      <w:r w:rsidR="00FC409F" w:rsidRPr="00F54B93">
        <w:rPr>
          <w:rFonts w:ascii="Times New Roman" w:hAnsi="Times New Roman"/>
        </w:rPr>
        <w:t>will be no Subdi</w:t>
      </w:r>
      <w:r w:rsidR="00F528AE" w:rsidRPr="00F54B93">
        <w:rPr>
          <w:rFonts w:ascii="Times New Roman" w:hAnsi="Times New Roman"/>
        </w:rPr>
        <w:t>vision </w:t>
      </w:r>
      <w:r w:rsidR="00FC409F" w:rsidRPr="00F54B93">
        <w:rPr>
          <w:rFonts w:ascii="Times New Roman" w:hAnsi="Times New Roman"/>
        </w:rPr>
        <w:t>15-B adjustment called for</w:t>
      </w:r>
      <w:r w:rsidR="00F528AE" w:rsidRPr="00F54B93">
        <w:rPr>
          <w:rFonts w:ascii="Times New Roman" w:hAnsi="Times New Roman"/>
        </w:rPr>
        <w:t>"</w:t>
      </w:r>
      <w:r w:rsidR="00DE452D" w:rsidRPr="00F54B93">
        <w:rPr>
          <w:rFonts w:ascii="Times New Roman" w:hAnsi="Times New Roman"/>
        </w:rPr>
        <w:t>.</w:t>
      </w:r>
      <w:r w:rsidR="00F528AE" w:rsidRPr="00F54B93">
        <w:rPr>
          <w:rFonts w:ascii="Times New Roman" w:hAnsi="Times New Roman"/>
        </w:rPr>
        <w:t xml:space="preserve"> </w:t>
      </w:r>
      <w:r w:rsidR="00CF3C63" w:rsidRPr="00F54B93">
        <w:rPr>
          <w:rFonts w:ascii="Times New Roman" w:hAnsi="Times New Roman"/>
        </w:rPr>
        <w:t xml:space="preserve">This </w:t>
      </w:r>
      <w:r w:rsidR="00242307" w:rsidRPr="00F54B93">
        <w:rPr>
          <w:rFonts w:ascii="Times New Roman" w:hAnsi="Times New Roman"/>
        </w:rPr>
        <w:t xml:space="preserve">is </w:t>
      </w:r>
      <w:r w:rsidR="00CF3C63" w:rsidRPr="00F54B93">
        <w:rPr>
          <w:rFonts w:ascii="Times New Roman" w:hAnsi="Times New Roman"/>
        </w:rPr>
        <w:t>not the case because</w:t>
      </w:r>
      <w:r w:rsidR="00AB1D11" w:rsidRPr="00F54B93">
        <w:rPr>
          <w:rFonts w:ascii="Times New Roman" w:hAnsi="Times New Roman"/>
        </w:rPr>
        <w:t>, as explained,</w:t>
      </w:r>
      <w:r w:rsidR="00CF3C63" w:rsidRPr="00F54B93">
        <w:rPr>
          <w:rFonts w:ascii="Times New Roman" w:hAnsi="Times New Roman"/>
        </w:rPr>
        <w:t xml:space="preserve"> the statutory factual question requires exclusivity of use for the quotable purpose of </w:t>
      </w:r>
      <w:r w:rsidR="00E735CA" w:rsidRPr="00F54B93">
        <w:rPr>
          <w:rFonts w:ascii="Times New Roman" w:hAnsi="Times New Roman"/>
        </w:rPr>
        <w:t xml:space="preserve">"holding the car as trading stock". </w:t>
      </w:r>
      <w:r w:rsidR="00293128" w:rsidRPr="00F54B93">
        <w:rPr>
          <w:rFonts w:ascii="Times New Roman" w:hAnsi="Times New Roman"/>
        </w:rPr>
        <w:t>Contrary to the submissions of the appellant, i</w:t>
      </w:r>
      <w:r w:rsidR="00E735CA" w:rsidRPr="00F54B93">
        <w:rPr>
          <w:rFonts w:ascii="Times New Roman" w:hAnsi="Times New Roman"/>
        </w:rPr>
        <w:t xml:space="preserve">t is </w:t>
      </w:r>
      <w:r w:rsidR="00E827CA" w:rsidRPr="00F54B93">
        <w:rPr>
          <w:rFonts w:ascii="Times New Roman" w:hAnsi="Times New Roman"/>
        </w:rPr>
        <w:t xml:space="preserve">also </w:t>
      </w:r>
      <w:r w:rsidR="00E735CA" w:rsidRPr="00F54B93">
        <w:rPr>
          <w:rFonts w:ascii="Times New Roman" w:hAnsi="Times New Roman"/>
        </w:rPr>
        <w:t>not the case that, after the two</w:t>
      </w:r>
      <w:r w:rsidR="00477F32" w:rsidRPr="00F54B93">
        <w:rPr>
          <w:rFonts w:ascii="Times New Roman" w:hAnsi="Times New Roman"/>
        </w:rPr>
        <w:noBreakHyphen/>
      </w:r>
      <w:r w:rsidR="00E735CA" w:rsidRPr="00F54B93">
        <w:rPr>
          <w:rFonts w:ascii="Times New Roman" w:hAnsi="Times New Roman"/>
        </w:rPr>
        <w:t>ye</w:t>
      </w:r>
      <w:r w:rsidR="001A031F" w:rsidRPr="00F54B93">
        <w:rPr>
          <w:rFonts w:ascii="Times New Roman" w:hAnsi="Times New Roman"/>
        </w:rPr>
        <w:t>a</w:t>
      </w:r>
      <w:r w:rsidR="00E735CA" w:rsidRPr="00F54B93">
        <w:rPr>
          <w:rFonts w:ascii="Times New Roman" w:hAnsi="Times New Roman"/>
        </w:rPr>
        <w:t>r period referred to in s </w:t>
      </w:r>
      <w:r w:rsidR="008C3A18" w:rsidRPr="00F54B93">
        <w:rPr>
          <w:rFonts w:ascii="Times New Roman" w:hAnsi="Times New Roman"/>
        </w:rPr>
        <w:t>5</w:t>
      </w:r>
      <w:r w:rsidR="009E208B" w:rsidRPr="00F54B93">
        <w:rPr>
          <w:rFonts w:ascii="Times New Roman" w:hAnsi="Times New Roman"/>
        </w:rPr>
        <w:noBreakHyphen/>
      </w:r>
      <w:r w:rsidR="008C3A18" w:rsidRPr="00F54B93">
        <w:rPr>
          <w:rFonts w:ascii="Times New Roman" w:hAnsi="Times New Roman"/>
        </w:rPr>
        <w:t>10</w:t>
      </w:r>
      <w:r w:rsidR="00681AAA" w:rsidRPr="00F54B93">
        <w:rPr>
          <w:rFonts w:ascii="Times New Roman" w:hAnsi="Times New Roman"/>
        </w:rPr>
        <w:t>(2)(b)</w:t>
      </w:r>
      <w:r w:rsidR="004B3530" w:rsidRPr="00F54B93">
        <w:rPr>
          <w:rFonts w:ascii="Times New Roman" w:hAnsi="Times New Roman"/>
        </w:rPr>
        <w:t>,</w:t>
      </w:r>
      <w:r w:rsidR="00BC27DF" w:rsidRPr="00F54B93">
        <w:rPr>
          <w:rFonts w:ascii="Times New Roman" w:hAnsi="Times New Roman"/>
        </w:rPr>
        <w:t xml:space="preserve"> </w:t>
      </w:r>
      <w:r w:rsidR="00006641" w:rsidRPr="00F54B93">
        <w:rPr>
          <w:rFonts w:ascii="Times New Roman" w:hAnsi="Times New Roman"/>
        </w:rPr>
        <w:t>"</w:t>
      </w:r>
      <w:r w:rsidR="00483C10" w:rsidRPr="00F54B93">
        <w:rPr>
          <w:rFonts w:ascii="Times New Roman" w:hAnsi="Times New Roman"/>
        </w:rPr>
        <w:t>[</w:t>
      </w:r>
      <w:r w:rsidR="00006641" w:rsidRPr="00F54B93">
        <w:rPr>
          <w:rFonts w:ascii="Times New Roman" w:hAnsi="Times New Roman"/>
        </w:rPr>
        <w:t>a</w:t>
      </w:r>
      <w:r w:rsidR="00483C10" w:rsidRPr="00F54B93">
        <w:rPr>
          <w:rFonts w:ascii="Times New Roman" w:hAnsi="Times New Roman"/>
        </w:rPr>
        <w:t>]</w:t>
      </w:r>
      <w:r w:rsidR="00006641" w:rsidRPr="00F54B93">
        <w:rPr>
          <w:rFonts w:ascii="Times New Roman" w:hAnsi="Times New Roman"/>
        </w:rPr>
        <w:t xml:space="preserve"> </w:t>
      </w:r>
      <w:r w:rsidR="007325E4" w:rsidRPr="00F54B93">
        <w:rPr>
          <w:rFonts w:ascii="Times New Roman" w:hAnsi="Times New Roman"/>
        </w:rPr>
        <w:t>change of use</w:t>
      </w:r>
      <w:r w:rsidR="00006641" w:rsidRPr="00F54B93">
        <w:rPr>
          <w:rFonts w:ascii="Times New Roman" w:hAnsi="Times New Roman"/>
        </w:rPr>
        <w:t xml:space="preserve"> ...</w:t>
      </w:r>
      <w:r w:rsidR="006C4E57" w:rsidRPr="00F54B93">
        <w:rPr>
          <w:rFonts w:ascii="Times New Roman" w:hAnsi="Times New Roman"/>
        </w:rPr>
        <w:t xml:space="preserve"> cannot ... be a 'change of use' for Subdivision 15</w:t>
      </w:r>
      <w:r w:rsidR="006C4E57" w:rsidRPr="00F54B93">
        <w:rPr>
          <w:rFonts w:ascii="Times New Roman" w:hAnsi="Times New Roman"/>
        </w:rPr>
        <w:noBreakHyphen/>
        <w:t>B purposes".</w:t>
      </w:r>
      <w:r w:rsidR="00D41A29" w:rsidRPr="00F54B93">
        <w:rPr>
          <w:rFonts w:ascii="Times New Roman" w:hAnsi="Times New Roman"/>
        </w:rPr>
        <w:t xml:space="preserve"> </w:t>
      </w:r>
      <w:r w:rsidR="00246C38" w:rsidRPr="00F54B93">
        <w:rPr>
          <w:rFonts w:ascii="Times New Roman" w:hAnsi="Times New Roman"/>
        </w:rPr>
        <w:t>Section 5</w:t>
      </w:r>
      <w:r w:rsidR="00246C38" w:rsidRPr="00F54B93">
        <w:rPr>
          <w:rFonts w:ascii="Times New Roman" w:hAnsi="Times New Roman"/>
        </w:rPr>
        <w:noBreakHyphen/>
        <w:t>5 provides that you "must pay the luxury car tax payable on any *taxable supply of a luxury car that you make" and s 5</w:t>
      </w:r>
      <w:r w:rsidR="00246C38" w:rsidRPr="00F54B93">
        <w:rPr>
          <w:rFonts w:ascii="Times New Roman" w:hAnsi="Times New Roman"/>
        </w:rPr>
        <w:noBreakHyphen/>
        <w:t>10(2)(b) provides that you do not make a taxable supply of a luxury car if, relevantly, "the car is *more than 2 years old"</w:t>
      </w:r>
      <w:r w:rsidR="00C61C6D" w:rsidRPr="00F54B93">
        <w:rPr>
          <w:rFonts w:ascii="Times New Roman" w:hAnsi="Times New Roman"/>
        </w:rPr>
        <w:t>. Therefore,</w:t>
      </w:r>
      <w:r w:rsidR="00B2179A" w:rsidRPr="00F54B93">
        <w:rPr>
          <w:rFonts w:ascii="Times New Roman" w:hAnsi="Times New Roman"/>
        </w:rPr>
        <w:t xml:space="preserve"> as the respondent also accepted,</w:t>
      </w:r>
      <w:r w:rsidR="00C61C6D" w:rsidRPr="00F54B93">
        <w:rPr>
          <w:rFonts w:ascii="Times New Roman" w:hAnsi="Times New Roman"/>
        </w:rPr>
        <w:t xml:space="preserve"> </w:t>
      </w:r>
      <w:r w:rsidR="00474C2E" w:rsidRPr="00F54B93">
        <w:rPr>
          <w:rFonts w:ascii="Times New Roman" w:hAnsi="Times New Roman"/>
        </w:rPr>
        <w:t xml:space="preserve">it is correct that </w:t>
      </w:r>
      <w:r w:rsidR="007C5D3C" w:rsidRPr="00F54B93">
        <w:rPr>
          <w:rFonts w:ascii="Times New Roman" w:hAnsi="Times New Roman"/>
        </w:rPr>
        <w:t xml:space="preserve">the disposal of </w:t>
      </w:r>
      <w:r w:rsidR="00474C2E" w:rsidRPr="00F54B93">
        <w:rPr>
          <w:rFonts w:ascii="Times New Roman" w:hAnsi="Times New Roman"/>
        </w:rPr>
        <w:t>the</w:t>
      </w:r>
      <w:r w:rsidR="007C5D3C" w:rsidRPr="00F54B93">
        <w:rPr>
          <w:rFonts w:ascii="Times New Roman" w:hAnsi="Times New Roman"/>
        </w:rPr>
        <w:t xml:space="preserve"> car outside this</w:t>
      </w:r>
      <w:r w:rsidR="00AA7E88" w:rsidRPr="00F54B93">
        <w:rPr>
          <w:rFonts w:ascii="Times New Roman" w:hAnsi="Times New Roman"/>
        </w:rPr>
        <w:t xml:space="preserve"> </w:t>
      </w:r>
      <w:r w:rsidR="007C5D3C" w:rsidRPr="00F54B93">
        <w:rPr>
          <w:rFonts w:ascii="Times New Roman" w:hAnsi="Times New Roman"/>
        </w:rPr>
        <w:t>two</w:t>
      </w:r>
      <w:r w:rsidR="00AA7E88" w:rsidRPr="00F54B93">
        <w:rPr>
          <w:rFonts w:ascii="Times New Roman" w:hAnsi="Times New Roman"/>
        </w:rPr>
        <w:t>-</w:t>
      </w:r>
      <w:r w:rsidR="007C5D3C" w:rsidRPr="00F54B93">
        <w:rPr>
          <w:rFonts w:ascii="Times New Roman" w:hAnsi="Times New Roman"/>
        </w:rPr>
        <w:t xml:space="preserve">year period would not be a taxable supply </w:t>
      </w:r>
      <w:r w:rsidR="00B2179A" w:rsidRPr="00F54B93">
        <w:rPr>
          <w:rFonts w:ascii="Times New Roman" w:hAnsi="Times New Roman"/>
        </w:rPr>
        <w:t xml:space="preserve">attracting LCT. </w:t>
      </w:r>
      <w:r w:rsidR="002D7D38" w:rsidRPr="00F54B93">
        <w:rPr>
          <w:rFonts w:ascii="Times New Roman" w:hAnsi="Times New Roman"/>
        </w:rPr>
        <w:t>However, this</w:t>
      </w:r>
      <w:r w:rsidR="00AA7E88" w:rsidRPr="00F54B93">
        <w:rPr>
          <w:rFonts w:ascii="Times New Roman" w:hAnsi="Times New Roman"/>
        </w:rPr>
        <w:t xml:space="preserve"> does not mean that</w:t>
      </w:r>
      <w:r w:rsidR="00F765B6" w:rsidRPr="00F54B93">
        <w:rPr>
          <w:rFonts w:ascii="Times New Roman" w:hAnsi="Times New Roman"/>
        </w:rPr>
        <w:t xml:space="preserve"> the adjustment provisions in </w:t>
      </w:r>
      <w:r w:rsidR="008B2D65" w:rsidRPr="00F54B93">
        <w:rPr>
          <w:rFonts w:ascii="Times New Roman" w:hAnsi="Times New Roman"/>
        </w:rPr>
        <w:t>Subdivs 15</w:t>
      </w:r>
      <w:r w:rsidR="008B2D65" w:rsidRPr="00F54B93">
        <w:rPr>
          <w:rFonts w:ascii="Times New Roman" w:hAnsi="Times New Roman"/>
        </w:rPr>
        <w:noBreakHyphen/>
        <w:t>A and 15</w:t>
      </w:r>
      <w:r w:rsidR="008B2D65" w:rsidRPr="00F54B93">
        <w:rPr>
          <w:rFonts w:ascii="Times New Roman" w:hAnsi="Times New Roman"/>
        </w:rPr>
        <w:noBreakHyphen/>
        <w:t>B</w:t>
      </w:r>
      <w:r w:rsidR="00EE0BA8" w:rsidRPr="00F54B93">
        <w:rPr>
          <w:rFonts w:ascii="Times New Roman" w:hAnsi="Times New Roman"/>
        </w:rPr>
        <w:t xml:space="preserve"> </w:t>
      </w:r>
      <w:r w:rsidR="00883078" w:rsidRPr="00F54B93">
        <w:rPr>
          <w:rFonts w:ascii="Times New Roman" w:hAnsi="Times New Roman"/>
        </w:rPr>
        <w:t>(</w:t>
      </w:r>
      <w:r w:rsidR="00EE0BA8" w:rsidRPr="00F54B93">
        <w:rPr>
          <w:rFonts w:ascii="Times New Roman" w:hAnsi="Times New Roman"/>
        </w:rPr>
        <w:t xml:space="preserve">for which </w:t>
      </w:r>
      <w:r w:rsidR="00883078" w:rsidRPr="00F54B93">
        <w:rPr>
          <w:rFonts w:ascii="Times New Roman" w:hAnsi="Times New Roman"/>
        </w:rPr>
        <w:t>a four</w:t>
      </w:r>
      <w:r w:rsidR="00883078" w:rsidRPr="00F54B93">
        <w:rPr>
          <w:rFonts w:ascii="Times New Roman" w:hAnsi="Times New Roman"/>
        </w:rPr>
        <w:noBreakHyphen/>
        <w:t xml:space="preserve">year limit is </w:t>
      </w:r>
      <w:r w:rsidR="00277A55" w:rsidRPr="00F54B93">
        <w:rPr>
          <w:rFonts w:ascii="Times New Roman" w:hAnsi="Times New Roman"/>
        </w:rPr>
        <w:t>expressly</w:t>
      </w:r>
      <w:r w:rsidR="00883078" w:rsidRPr="00F54B93">
        <w:rPr>
          <w:rFonts w:ascii="Times New Roman" w:hAnsi="Times New Roman"/>
        </w:rPr>
        <w:t xml:space="preserve"> provided in </w:t>
      </w:r>
      <w:r w:rsidR="00277A55" w:rsidRPr="00F54B93">
        <w:rPr>
          <w:rFonts w:ascii="Times New Roman" w:hAnsi="Times New Roman"/>
        </w:rPr>
        <w:t>s 13</w:t>
      </w:r>
      <w:r w:rsidR="00DC6F89" w:rsidRPr="00F54B93">
        <w:rPr>
          <w:rFonts w:ascii="Times New Roman" w:hAnsi="Times New Roman"/>
        </w:rPr>
        <w:noBreakHyphen/>
      </w:r>
      <w:r w:rsidR="00277A55" w:rsidRPr="00F54B93">
        <w:rPr>
          <w:rFonts w:ascii="Times New Roman" w:hAnsi="Times New Roman"/>
        </w:rPr>
        <w:t>10(2)</w:t>
      </w:r>
      <w:r w:rsidR="00277A55" w:rsidRPr="00F54B93">
        <w:rPr>
          <w:rStyle w:val="FootnoteReference"/>
          <w:rFonts w:ascii="Times New Roman" w:hAnsi="Times New Roman"/>
          <w:sz w:val="24"/>
        </w:rPr>
        <w:footnoteReference w:id="11"/>
      </w:r>
      <w:r w:rsidR="00F65AA1" w:rsidRPr="00F54B93">
        <w:rPr>
          <w:rFonts w:ascii="Times New Roman" w:hAnsi="Times New Roman"/>
        </w:rPr>
        <w:t>),</w:t>
      </w:r>
      <w:r w:rsidR="008B2D65" w:rsidRPr="00F54B93">
        <w:rPr>
          <w:rFonts w:ascii="Times New Roman" w:hAnsi="Times New Roman"/>
        </w:rPr>
        <w:t xml:space="preserve"> are also limited </w:t>
      </w:r>
      <w:r w:rsidR="002D7D38" w:rsidRPr="00F54B93">
        <w:rPr>
          <w:rFonts w:ascii="Times New Roman" w:hAnsi="Times New Roman"/>
        </w:rPr>
        <w:t>by that two</w:t>
      </w:r>
      <w:r w:rsidR="002D7D38" w:rsidRPr="00F54B93">
        <w:rPr>
          <w:rFonts w:ascii="Times New Roman" w:hAnsi="Times New Roman"/>
        </w:rPr>
        <w:noBreakHyphen/>
        <w:t>year period.</w:t>
      </w:r>
      <w:r w:rsidR="00AA7E88" w:rsidRPr="00F54B93">
        <w:rPr>
          <w:rFonts w:ascii="Times New Roman" w:hAnsi="Times New Roman"/>
        </w:rPr>
        <w:t xml:space="preserve"> </w:t>
      </w:r>
      <w:r w:rsidR="002215AB" w:rsidRPr="00F54B93">
        <w:rPr>
          <w:rFonts w:ascii="Times New Roman" w:hAnsi="Times New Roman"/>
        </w:rPr>
        <w:t xml:space="preserve">An LCT adjustment may be triggered </w:t>
      </w:r>
      <w:r w:rsidR="006424AB" w:rsidRPr="00F54B93">
        <w:rPr>
          <w:rFonts w:ascii="Times New Roman" w:hAnsi="Times New Roman"/>
        </w:rPr>
        <w:t>outside</w:t>
      </w:r>
      <w:r w:rsidR="002215AB" w:rsidRPr="00F54B93">
        <w:rPr>
          <w:rFonts w:ascii="Times New Roman" w:hAnsi="Times New Roman"/>
        </w:rPr>
        <w:t xml:space="preserve"> of </w:t>
      </w:r>
      <w:r w:rsidR="006424AB" w:rsidRPr="00F54B93">
        <w:rPr>
          <w:rFonts w:ascii="Times New Roman" w:hAnsi="Times New Roman"/>
        </w:rPr>
        <w:t>that two-year</w:t>
      </w:r>
      <w:r w:rsidR="002215AB" w:rsidRPr="00F54B93">
        <w:rPr>
          <w:rFonts w:ascii="Times New Roman" w:hAnsi="Times New Roman"/>
        </w:rPr>
        <w:t xml:space="preserve"> period</w:t>
      </w:r>
      <w:r w:rsidR="00B4197B" w:rsidRPr="00F54B93">
        <w:rPr>
          <w:rFonts w:ascii="Times New Roman" w:hAnsi="Times New Roman"/>
        </w:rPr>
        <w:t xml:space="preserve"> </w:t>
      </w:r>
      <w:r w:rsidR="00953260" w:rsidRPr="00F54B93">
        <w:rPr>
          <w:rFonts w:ascii="Times New Roman" w:hAnsi="Times New Roman"/>
        </w:rPr>
        <w:t xml:space="preserve">if a quoting entity </w:t>
      </w:r>
      <w:r w:rsidR="00D77F97" w:rsidRPr="00F54B93">
        <w:rPr>
          <w:rFonts w:ascii="Times New Roman" w:hAnsi="Times New Roman"/>
        </w:rPr>
        <w:t>which</w:t>
      </w:r>
      <w:r w:rsidR="00953260" w:rsidRPr="00F54B93">
        <w:rPr>
          <w:rFonts w:ascii="Times New Roman" w:hAnsi="Times New Roman"/>
        </w:rPr>
        <w:t xml:space="preserve"> avoided LCT being payable on </w:t>
      </w:r>
      <w:r w:rsidR="00514118" w:rsidRPr="00F54B93">
        <w:rPr>
          <w:rFonts w:ascii="Times New Roman" w:hAnsi="Times New Roman"/>
        </w:rPr>
        <w:t>a</w:t>
      </w:r>
      <w:r w:rsidR="00953260" w:rsidRPr="00F54B93">
        <w:rPr>
          <w:rFonts w:ascii="Times New Roman" w:hAnsi="Times New Roman"/>
        </w:rPr>
        <w:t xml:space="preserve"> car</w:t>
      </w:r>
      <w:r w:rsidR="00F5415D" w:rsidRPr="00F54B93">
        <w:rPr>
          <w:rFonts w:ascii="Times New Roman" w:hAnsi="Times New Roman"/>
        </w:rPr>
        <w:t xml:space="preserve"> upon supply or importation </w:t>
      </w:r>
      <w:r w:rsidR="008C46ED" w:rsidRPr="00F54B93">
        <w:rPr>
          <w:rFonts w:ascii="Times New Roman" w:hAnsi="Times New Roman"/>
        </w:rPr>
        <w:t>(</w:t>
      </w:r>
      <w:r w:rsidR="00D03EC6" w:rsidRPr="00F54B93">
        <w:rPr>
          <w:rFonts w:ascii="Times New Roman" w:hAnsi="Times New Roman"/>
        </w:rPr>
        <w:t xml:space="preserve">because </w:t>
      </w:r>
      <w:r w:rsidR="00A06C57" w:rsidRPr="00F54B93">
        <w:rPr>
          <w:rFonts w:ascii="Times New Roman" w:hAnsi="Times New Roman"/>
        </w:rPr>
        <w:t>that entity</w:t>
      </w:r>
      <w:r w:rsidR="00D03EC6" w:rsidRPr="00F54B93">
        <w:rPr>
          <w:rFonts w:ascii="Times New Roman" w:hAnsi="Times New Roman"/>
        </w:rPr>
        <w:t xml:space="preserve"> quoted under s 9</w:t>
      </w:r>
      <w:r w:rsidR="00D03EC6" w:rsidRPr="00F54B93">
        <w:rPr>
          <w:rFonts w:ascii="Times New Roman" w:hAnsi="Times New Roman"/>
        </w:rPr>
        <w:noBreakHyphen/>
        <w:t>5</w:t>
      </w:r>
      <w:r w:rsidR="008C46ED" w:rsidRPr="00F54B93">
        <w:rPr>
          <w:rFonts w:ascii="Times New Roman" w:hAnsi="Times New Roman"/>
        </w:rPr>
        <w:t>)</w:t>
      </w:r>
      <w:r w:rsidR="00D03EC6" w:rsidRPr="00F54B93">
        <w:rPr>
          <w:rFonts w:ascii="Times New Roman" w:hAnsi="Times New Roman"/>
        </w:rPr>
        <w:t xml:space="preserve"> subsequently </w:t>
      </w:r>
      <w:r w:rsidR="00A06C57" w:rsidRPr="00F54B93">
        <w:rPr>
          <w:rFonts w:ascii="Times New Roman" w:hAnsi="Times New Roman"/>
        </w:rPr>
        <w:t>use</w:t>
      </w:r>
      <w:r w:rsidR="00B274A7" w:rsidRPr="00F54B93">
        <w:rPr>
          <w:rFonts w:ascii="Times New Roman" w:hAnsi="Times New Roman"/>
        </w:rPr>
        <w:t xml:space="preserve">s </w:t>
      </w:r>
      <w:r w:rsidR="00A06C57" w:rsidRPr="00F54B93">
        <w:rPr>
          <w:rFonts w:ascii="Times New Roman" w:hAnsi="Times New Roman"/>
        </w:rPr>
        <w:t xml:space="preserve">the car for a </w:t>
      </w:r>
      <w:r w:rsidR="00F005EF" w:rsidRPr="00F54B93">
        <w:rPr>
          <w:rFonts w:ascii="Times New Roman" w:hAnsi="Times New Roman"/>
        </w:rPr>
        <w:t xml:space="preserve">purpose other than a </w:t>
      </w:r>
      <w:r w:rsidR="00A06C57" w:rsidRPr="00F54B93">
        <w:rPr>
          <w:rFonts w:ascii="Times New Roman" w:hAnsi="Times New Roman"/>
        </w:rPr>
        <w:t>quotable purpose</w:t>
      </w:r>
      <w:r w:rsidR="002215AB" w:rsidRPr="00F54B93">
        <w:rPr>
          <w:rFonts w:ascii="Times New Roman" w:hAnsi="Times New Roman"/>
        </w:rPr>
        <w:t xml:space="preserve">. </w:t>
      </w:r>
    </w:p>
    <w:p w14:paraId="605244A1" w14:textId="4DF5857C" w:rsidR="005D48EE" w:rsidRPr="00F54B93" w:rsidRDefault="00B274A7"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3A789C" w:rsidRPr="00F54B93">
        <w:rPr>
          <w:rFonts w:ascii="Times New Roman" w:hAnsi="Times New Roman"/>
        </w:rPr>
        <w:t>In this case, the</w:t>
      </w:r>
      <w:r w:rsidR="00A84FDE" w:rsidRPr="00F54B93">
        <w:rPr>
          <w:rFonts w:ascii="Times New Roman" w:hAnsi="Times New Roman"/>
        </w:rPr>
        <w:t xml:space="preserve"> cars acquired by the</w:t>
      </w:r>
      <w:r w:rsidR="003A789C" w:rsidRPr="00F54B93">
        <w:rPr>
          <w:rFonts w:ascii="Times New Roman" w:hAnsi="Times New Roman"/>
        </w:rPr>
        <w:t xml:space="preserve"> appellant </w:t>
      </w:r>
      <w:r w:rsidR="00F158F0" w:rsidRPr="00F54B93">
        <w:rPr>
          <w:rFonts w:ascii="Times New Roman" w:hAnsi="Times New Roman"/>
        </w:rPr>
        <w:t>did not attract LCT</w:t>
      </w:r>
      <w:r w:rsidR="009D03F1" w:rsidRPr="00F54B93">
        <w:rPr>
          <w:rFonts w:ascii="Times New Roman" w:hAnsi="Times New Roman"/>
        </w:rPr>
        <w:t xml:space="preserve"> on their acquisition or importation</w:t>
      </w:r>
      <w:r w:rsidR="00F158F0" w:rsidRPr="00F54B93">
        <w:rPr>
          <w:rFonts w:ascii="Times New Roman" w:hAnsi="Times New Roman"/>
        </w:rPr>
        <w:t xml:space="preserve"> because</w:t>
      </w:r>
      <w:r w:rsidR="006F43BE" w:rsidRPr="00F54B93">
        <w:rPr>
          <w:rFonts w:ascii="Times New Roman" w:hAnsi="Times New Roman"/>
        </w:rPr>
        <w:t xml:space="preserve"> </w:t>
      </w:r>
      <w:r w:rsidR="00596AB3" w:rsidRPr="00F54B93">
        <w:rPr>
          <w:rFonts w:ascii="Times New Roman" w:hAnsi="Times New Roman"/>
        </w:rPr>
        <w:t xml:space="preserve">the appellant quoted its ABN on the basis of it having the intention </w:t>
      </w:r>
      <w:r w:rsidR="00C34F9E" w:rsidRPr="00F54B93">
        <w:rPr>
          <w:rFonts w:ascii="Times New Roman" w:hAnsi="Times New Roman"/>
        </w:rPr>
        <w:t xml:space="preserve">of using the car for the quotable purpose of "holding the car as trading stock, other than holding it for hire or lease" and for no other </w:t>
      </w:r>
      <w:r w:rsidR="004E3F39" w:rsidRPr="00F54B93">
        <w:rPr>
          <w:rFonts w:ascii="Times New Roman" w:hAnsi="Times New Roman"/>
        </w:rPr>
        <w:t>purpose</w:t>
      </w:r>
      <w:r w:rsidR="00C34F9E" w:rsidRPr="00F54B93">
        <w:rPr>
          <w:rFonts w:ascii="Times New Roman" w:hAnsi="Times New Roman"/>
        </w:rPr>
        <w:t xml:space="preserve"> (s 9</w:t>
      </w:r>
      <w:r w:rsidR="009E208B" w:rsidRPr="00F54B93">
        <w:rPr>
          <w:rFonts w:ascii="Times New Roman" w:hAnsi="Times New Roman"/>
        </w:rPr>
        <w:noBreakHyphen/>
      </w:r>
      <w:r w:rsidR="004E3F39" w:rsidRPr="00F54B93">
        <w:rPr>
          <w:rFonts w:ascii="Times New Roman" w:hAnsi="Times New Roman"/>
        </w:rPr>
        <w:t>5(1)).</w:t>
      </w:r>
      <w:r w:rsidR="005E6239" w:rsidRPr="00F54B93">
        <w:rPr>
          <w:rFonts w:ascii="Times New Roman" w:hAnsi="Times New Roman"/>
        </w:rPr>
        <w:t xml:space="preserve"> </w:t>
      </w:r>
      <w:r w:rsidR="004E3F39" w:rsidRPr="00F54B93">
        <w:rPr>
          <w:rFonts w:ascii="Times New Roman" w:hAnsi="Times New Roman"/>
        </w:rPr>
        <w:t xml:space="preserve">But for the quoting, the </w:t>
      </w:r>
      <w:r w:rsidR="000B4AAD" w:rsidRPr="00F54B93">
        <w:rPr>
          <w:rFonts w:ascii="Times New Roman" w:hAnsi="Times New Roman"/>
        </w:rPr>
        <w:t>cars would have</w:t>
      </w:r>
      <w:r w:rsidR="005F2057" w:rsidRPr="00F54B93">
        <w:rPr>
          <w:rFonts w:ascii="Times New Roman" w:hAnsi="Times New Roman"/>
        </w:rPr>
        <w:t xml:space="preserve"> </w:t>
      </w:r>
      <w:r w:rsidR="004E3F39" w:rsidRPr="00F54B93">
        <w:rPr>
          <w:rFonts w:ascii="Times New Roman" w:hAnsi="Times New Roman"/>
        </w:rPr>
        <w:t>been subject to LCT</w:t>
      </w:r>
      <w:r w:rsidR="00445B4F" w:rsidRPr="00F54B93">
        <w:rPr>
          <w:rFonts w:ascii="Times New Roman" w:hAnsi="Times New Roman"/>
        </w:rPr>
        <w:t xml:space="preserve">. </w:t>
      </w:r>
      <w:r w:rsidR="00640A12" w:rsidRPr="00F54B93">
        <w:rPr>
          <w:rFonts w:ascii="Times New Roman" w:hAnsi="Times New Roman"/>
        </w:rPr>
        <w:t xml:space="preserve">Because </w:t>
      </w:r>
      <w:r w:rsidR="00640A12" w:rsidRPr="00F54B93">
        <w:rPr>
          <w:rFonts w:ascii="Times New Roman" w:hAnsi="Times New Roman"/>
        </w:rPr>
        <w:lastRenderedPageBreak/>
        <w:t xml:space="preserve">the appellant so quoted, no LCT was payable on the </w:t>
      </w:r>
      <w:r w:rsidR="006E629F" w:rsidRPr="00F54B93">
        <w:rPr>
          <w:rFonts w:ascii="Times New Roman" w:hAnsi="Times New Roman"/>
        </w:rPr>
        <w:t>acquisition of each car</w:t>
      </w:r>
      <w:r w:rsidR="007F5BDB" w:rsidRPr="00F54B93">
        <w:rPr>
          <w:rFonts w:ascii="Times New Roman" w:hAnsi="Times New Roman"/>
        </w:rPr>
        <w:t xml:space="preserve">. </w:t>
      </w:r>
      <w:r w:rsidR="00297F37" w:rsidRPr="00F54B93">
        <w:rPr>
          <w:rFonts w:ascii="Times New Roman" w:hAnsi="Times New Roman"/>
        </w:rPr>
        <w:t xml:space="preserve">The </w:t>
      </w:r>
      <w:r w:rsidR="00CA55B3" w:rsidRPr="00F54B93">
        <w:rPr>
          <w:rFonts w:ascii="Times New Roman" w:hAnsi="Times New Roman"/>
        </w:rPr>
        <w:t xml:space="preserve">other </w:t>
      </w:r>
      <w:r w:rsidR="00297F37" w:rsidRPr="00F54B93">
        <w:rPr>
          <w:rFonts w:ascii="Times New Roman" w:hAnsi="Times New Roman"/>
        </w:rPr>
        <w:t>condition</w:t>
      </w:r>
      <w:r w:rsidR="00970266" w:rsidRPr="00F54B93">
        <w:rPr>
          <w:rFonts w:ascii="Times New Roman" w:hAnsi="Times New Roman"/>
        </w:rPr>
        <w:t>s</w:t>
      </w:r>
      <w:r w:rsidR="00F5782B" w:rsidRPr="00F54B93">
        <w:rPr>
          <w:rFonts w:ascii="Times New Roman" w:hAnsi="Times New Roman"/>
        </w:rPr>
        <w:t xml:space="preserve"> relevantly</w:t>
      </w:r>
      <w:r w:rsidR="00297F37" w:rsidRPr="00F54B93">
        <w:rPr>
          <w:rFonts w:ascii="Times New Roman" w:hAnsi="Times New Roman"/>
        </w:rPr>
        <w:t xml:space="preserve"> </w:t>
      </w:r>
      <w:r w:rsidR="00CA55B3" w:rsidRPr="00F54B93">
        <w:rPr>
          <w:rFonts w:ascii="Times New Roman" w:hAnsi="Times New Roman"/>
        </w:rPr>
        <w:t xml:space="preserve">triggering </w:t>
      </w:r>
      <w:r w:rsidR="00297F37" w:rsidRPr="00F54B93">
        <w:rPr>
          <w:rFonts w:ascii="Times New Roman" w:hAnsi="Times New Roman"/>
        </w:rPr>
        <w:t>an adjustment to that position (</w:t>
      </w:r>
      <w:r w:rsidR="00270E09" w:rsidRPr="00F54B93">
        <w:rPr>
          <w:rFonts w:ascii="Times New Roman" w:hAnsi="Times New Roman"/>
        </w:rPr>
        <w:t xml:space="preserve">that </w:t>
      </w:r>
      <w:r w:rsidR="00297F37" w:rsidRPr="00F54B93">
        <w:rPr>
          <w:rFonts w:ascii="Times New Roman" w:hAnsi="Times New Roman"/>
        </w:rPr>
        <w:t xml:space="preserve">no LCT was payable on the </w:t>
      </w:r>
      <w:r w:rsidR="00941D97" w:rsidRPr="00F54B93">
        <w:rPr>
          <w:rFonts w:ascii="Times New Roman" w:hAnsi="Times New Roman"/>
        </w:rPr>
        <w:t xml:space="preserve">acquisition </w:t>
      </w:r>
      <w:r w:rsidR="00297F37" w:rsidRPr="00F54B93">
        <w:rPr>
          <w:rFonts w:ascii="Times New Roman" w:hAnsi="Times New Roman"/>
        </w:rPr>
        <w:t xml:space="preserve">of any car) </w:t>
      </w:r>
      <w:r w:rsidR="00970266" w:rsidRPr="00F54B93">
        <w:rPr>
          <w:rFonts w:ascii="Times New Roman" w:hAnsi="Times New Roman"/>
        </w:rPr>
        <w:t>are</w:t>
      </w:r>
      <w:r w:rsidR="00F97E22" w:rsidRPr="00F54B93">
        <w:rPr>
          <w:rFonts w:ascii="Times New Roman" w:hAnsi="Times New Roman"/>
        </w:rPr>
        <w:t>:</w:t>
      </w:r>
      <w:r w:rsidR="00600EBD" w:rsidRPr="00F54B93">
        <w:rPr>
          <w:rFonts w:ascii="Times New Roman" w:hAnsi="Times New Roman"/>
        </w:rPr>
        <w:t xml:space="preserve"> for supplies and importations respectively, that "you were supplied with a *luxury car</w:t>
      </w:r>
      <w:r w:rsidR="00BF08A7" w:rsidRPr="00F54B93">
        <w:rPr>
          <w:rFonts w:ascii="Times New Roman" w:hAnsi="Times New Roman"/>
        </w:rPr>
        <w:t>"</w:t>
      </w:r>
      <w:r w:rsidR="00970266" w:rsidRPr="00F54B93">
        <w:rPr>
          <w:rFonts w:ascii="Times New Roman" w:hAnsi="Times New Roman"/>
        </w:rPr>
        <w:t xml:space="preserve"> </w:t>
      </w:r>
      <w:r w:rsidR="00BF08A7" w:rsidRPr="00F54B93">
        <w:rPr>
          <w:rFonts w:ascii="Times New Roman" w:hAnsi="Times New Roman"/>
        </w:rPr>
        <w:t xml:space="preserve">or that </w:t>
      </w:r>
      <w:r w:rsidR="00970266" w:rsidRPr="00F54B93">
        <w:rPr>
          <w:rFonts w:ascii="Times New Roman" w:hAnsi="Times New Roman"/>
        </w:rPr>
        <w:t>"</w:t>
      </w:r>
      <w:r w:rsidR="00CA55B3" w:rsidRPr="00F54B93">
        <w:rPr>
          <w:rFonts w:ascii="Times New Roman" w:hAnsi="Times New Roman"/>
        </w:rPr>
        <w:t>you *imported a *luxury car" (s</w:t>
      </w:r>
      <w:r w:rsidR="00941D97" w:rsidRPr="00F54B93">
        <w:rPr>
          <w:rFonts w:ascii="Times New Roman" w:hAnsi="Times New Roman"/>
        </w:rPr>
        <w:t> </w:t>
      </w:r>
      <w:r w:rsidR="00BF08A7" w:rsidRPr="00F54B93">
        <w:rPr>
          <w:rFonts w:ascii="Times New Roman" w:hAnsi="Times New Roman"/>
        </w:rPr>
        <w:t>15</w:t>
      </w:r>
      <w:r w:rsidR="00BF08A7" w:rsidRPr="00F54B93">
        <w:rPr>
          <w:rFonts w:ascii="Times New Roman" w:hAnsi="Times New Roman"/>
        </w:rPr>
        <w:noBreakHyphen/>
        <w:t>30(3)</w:t>
      </w:r>
      <w:r w:rsidR="005553F0" w:rsidRPr="00F54B93">
        <w:rPr>
          <w:rFonts w:ascii="Times New Roman" w:hAnsi="Times New Roman"/>
        </w:rPr>
        <w:t>(a) and</w:t>
      </w:r>
      <w:r w:rsidR="00EE317A">
        <w:rPr>
          <w:rFonts w:ascii="Times New Roman" w:hAnsi="Times New Roman"/>
        </w:rPr>
        <w:t xml:space="preserve"> </w:t>
      </w:r>
      <w:r w:rsidR="002C5462" w:rsidRPr="00F54B93">
        <w:rPr>
          <w:rFonts w:ascii="Times New Roman" w:hAnsi="Times New Roman"/>
        </w:rPr>
        <w:t>s</w:t>
      </w:r>
      <w:r w:rsidR="00EE317A">
        <w:rPr>
          <w:rFonts w:ascii="Times New Roman" w:hAnsi="Times New Roman"/>
        </w:rPr>
        <w:t> </w:t>
      </w:r>
      <w:r w:rsidR="00CA55B3" w:rsidRPr="00F54B93">
        <w:rPr>
          <w:rFonts w:ascii="Times New Roman" w:hAnsi="Times New Roman"/>
        </w:rPr>
        <w:t>15</w:t>
      </w:r>
      <w:r w:rsidR="009E208B" w:rsidRPr="00F54B93">
        <w:rPr>
          <w:rFonts w:ascii="Times New Roman" w:hAnsi="Times New Roman"/>
        </w:rPr>
        <w:noBreakHyphen/>
      </w:r>
      <w:r w:rsidR="00CA55B3" w:rsidRPr="00F54B93">
        <w:rPr>
          <w:rFonts w:ascii="Times New Roman" w:hAnsi="Times New Roman"/>
        </w:rPr>
        <w:t>35(3)(a))</w:t>
      </w:r>
      <w:r w:rsidR="00F97E22" w:rsidRPr="00F54B93">
        <w:rPr>
          <w:rFonts w:ascii="Times New Roman" w:hAnsi="Times New Roman"/>
        </w:rPr>
        <w:t>;</w:t>
      </w:r>
      <w:r w:rsidR="00CA55B3" w:rsidRPr="00F54B93">
        <w:rPr>
          <w:rFonts w:ascii="Times New Roman" w:hAnsi="Times New Roman"/>
        </w:rPr>
        <w:t xml:space="preserve"> and</w:t>
      </w:r>
      <w:r w:rsidR="00F97E22" w:rsidRPr="00F54B93">
        <w:rPr>
          <w:rFonts w:ascii="Times New Roman" w:hAnsi="Times New Roman"/>
        </w:rPr>
        <w:t>, for both supplies and importations,</w:t>
      </w:r>
      <w:r w:rsidR="00BF08A7" w:rsidRPr="00F54B93">
        <w:rPr>
          <w:rFonts w:ascii="Times New Roman" w:hAnsi="Times New Roman"/>
        </w:rPr>
        <w:t xml:space="preserve"> that</w:t>
      </w:r>
      <w:r w:rsidR="00CA55B3" w:rsidRPr="00F54B93">
        <w:rPr>
          <w:rFonts w:ascii="Times New Roman" w:hAnsi="Times New Roman"/>
        </w:rPr>
        <w:t xml:space="preserve"> </w:t>
      </w:r>
      <w:r w:rsidR="009B599F" w:rsidRPr="00F54B93">
        <w:rPr>
          <w:rFonts w:ascii="Times New Roman" w:hAnsi="Times New Roman"/>
        </w:rPr>
        <w:t>"you use</w:t>
      </w:r>
      <w:r w:rsidR="00DE0C08" w:rsidRPr="00F54B93">
        <w:rPr>
          <w:rFonts w:ascii="Times New Roman" w:hAnsi="Times New Roman"/>
        </w:rPr>
        <w:t>[d]</w:t>
      </w:r>
      <w:r w:rsidR="009B599F" w:rsidRPr="00F54B93">
        <w:rPr>
          <w:rFonts w:ascii="Times New Roman" w:hAnsi="Times New Roman"/>
        </w:rPr>
        <w:t xml:space="preserve"> the car for a purpose other than a *quotable purpose" (s 15</w:t>
      </w:r>
      <w:r w:rsidR="009E208B" w:rsidRPr="00F54B93">
        <w:rPr>
          <w:rFonts w:ascii="Times New Roman" w:hAnsi="Times New Roman"/>
        </w:rPr>
        <w:noBreakHyphen/>
      </w:r>
      <w:r w:rsidR="009B599F" w:rsidRPr="00F54B93">
        <w:rPr>
          <w:rFonts w:ascii="Times New Roman" w:hAnsi="Times New Roman"/>
        </w:rPr>
        <w:t>3</w:t>
      </w:r>
      <w:r w:rsidR="00EA0D35" w:rsidRPr="00F54B93">
        <w:rPr>
          <w:rFonts w:ascii="Times New Roman" w:hAnsi="Times New Roman"/>
        </w:rPr>
        <w:t>0</w:t>
      </w:r>
      <w:r w:rsidR="009B599F" w:rsidRPr="00F54B93">
        <w:rPr>
          <w:rFonts w:ascii="Times New Roman" w:hAnsi="Times New Roman"/>
        </w:rPr>
        <w:t>(3)(</w:t>
      </w:r>
      <w:r w:rsidR="00EA0D35" w:rsidRPr="00F54B93">
        <w:rPr>
          <w:rFonts w:ascii="Times New Roman" w:hAnsi="Times New Roman"/>
        </w:rPr>
        <w:t>c</w:t>
      </w:r>
      <w:r w:rsidR="009B599F" w:rsidRPr="00F54B93">
        <w:rPr>
          <w:rFonts w:ascii="Times New Roman" w:hAnsi="Times New Roman"/>
        </w:rPr>
        <w:t>)</w:t>
      </w:r>
      <w:r w:rsidR="00EA0D35" w:rsidRPr="00F54B93">
        <w:rPr>
          <w:rFonts w:ascii="Times New Roman" w:hAnsi="Times New Roman"/>
        </w:rPr>
        <w:t xml:space="preserve"> and s 15</w:t>
      </w:r>
      <w:r w:rsidR="00EA0D35" w:rsidRPr="00F54B93">
        <w:rPr>
          <w:rFonts w:ascii="Times New Roman" w:hAnsi="Times New Roman"/>
        </w:rPr>
        <w:noBreakHyphen/>
        <w:t>35(3)(c)</w:t>
      </w:r>
      <w:r w:rsidR="009B599F" w:rsidRPr="00F54B93">
        <w:rPr>
          <w:rFonts w:ascii="Times New Roman" w:hAnsi="Times New Roman"/>
        </w:rPr>
        <w:t>).</w:t>
      </w:r>
      <w:r w:rsidR="00791FB5" w:rsidRPr="00F54B93">
        <w:rPr>
          <w:rStyle w:val="FootnoteReference"/>
          <w:rFonts w:ascii="Times New Roman" w:hAnsi="Times New Roman"/>
          <w:sz w:val="24"/>
        </w:rPr>
        <w:footnoteReference w:id="12"/>
      </w:r>
      <w:r w:rsidR="009B599F" w:rsidRPr="00F54B93">
        <w:rPr>
          <w:rFonts w:ascii="Times New Roman" w:hAnsi="Times New Roman"/>
        </w:rPr>
        <w:t xml:space="preserve"> If</w:t>
      </w:r>
      <w:r w:rsidR="00E015EC" w:rsidRPr="00F54B93">
        <w:rPr>
          <w:rFonts w:ascii="Times New Roman" w:hAnsi="Times New Roman"/>
        </w:rPr>
        <w:t>, for supplies,</w:t>
      </w:r>
      <w:r w:rsidR="009B599F" w:rsidRPr="00F54B93">
        <w:rPr>
          <w:rFonts w:ascii="Times New Roman" w:hAnsi="Times New Roman"/>
        </w:rPr>
        <w:t xml:space="preserve"> </w:t>
      </w:r>
      <w:r w:rsidR="00E015EC" w:rsidRPr="00F54B93">
        <w:rPr>
          <w:rFonts w:ascii="Times New Roman" w:hAnsi="Times New Roman"/>
        </w:rPr>
        <w:t>s</w:t>
      </w:r>
      <w:r w:rsidR="009B599F" w:rsidRPr="00F54B93">
        <w:rPr>
          <w:rFonts w:ascii="Times New Roman" w:hAnsi="Times New Roman"/>
        </w:rPr>
        <w:t> 15</w:t>
      </w:r>
      <w:r w:rsidR="009E208B" w:rsidRPr="00F54B93">
        <w:rPr>
          <w:rFonts w:ascii="Times New Roman" w:hAnsi="Times New Roman"/>
        </w:rPr>
        <w:noBreakHyphen/>
      </w:r>
      <w:r w:rsidR="009B599F" w:rsidRPr="00F54B93">
        <w:rPr>
          <w:rFonts w:ascii="Times New Roman" w:hAnsi="Times New Roman"/>
        </w:rPr>
        <w:t>3</w:t>
      </w:r>
      <w:r w:rsidR="00E015EC" w:rsidRPr="00F54B93">
        <w:rPr>
          <w:rFonts w:ascii="Times New Roman" w:hAnsi="Times New Roman"/>
        </w:rPr>
        <w:t>0</w:t>
      </w:r>
      <w:r w:rsidR="009B599F" w:rsidRPr="00F54B93">
        <w:rPr>
          <w:rFonts w:ascii="Times New Roman" w:hAnsi="Times New Roman"/>
        </w:rPr>
        <w:t>(</w:t>
      </w:r>
      <w:r w:rsidR="00A37AE9" w:rsidRPr="00F54B93">
        <w:rPr>
          <w:rFonts w:ascii="Times New Roman" w:hAnsi="Times New Roman"/>
        </w:rPr>
        <w:t>3)(a), (b) and</w:t>
      </w:r>
      <w:r w:rsidR="00D47007" w:rsidRPr="00F54B93">
        <w:rPr>
          <w:rFonts w:ascii="Times New Roman" w:hAnsi="Times New Roman"/>
        </w:rPr>
        <w:t> </w:t>
      </w:r>
      <w:r w:rsidR="00A37AE9" w:rsidRPr="00F54B93">
        <w:rPr>
          <w:rFonts w:ascii="Times New Roman" w:hAnsi="Times New Roman"/>
        </w:rPr>
        <w:t xml:space="preserve">(c) </w:t>
      </w:r>
      <w:r w:rsidR="00E015EC" w:rsidRPr="00F54B93">
        <w:rPr>
          <w:rFonts w:ascii="Times New Roman" w:hAnsi="Times New Roman"/>
        </w:rPr>
        <w:t xml:space="preserve">are </w:t>
      </w:r>
      <w:r w:rsidR="00A37AE9" w:rsidRPr="00F54B93">
        <w:rPr>
          <w:rFonts w:ascii="Times New Roman" w:hAnsi="Times New Roman"/>
        </w:rPr>
        <w:t xml:space="preserve">met, </w:t>
      </w:r>
      <w:r w:rsidR="00E015EC" w:rsidRPr="00F54B93">
        <w:rPr>
          <w:rFonts w:ascii="Times New Roman" w:hAnsi="Times New Roman"/>
        </w:rPr>
        <w:t>or, for importations, s 15</w:t>
      </w:r>
      <w:r w:rsidR="00E015EC" w:rsidRPr="00F54B93">
        <w:rPr>
          <w:rFonts w:ascii="Times New Roman" w:hAnsi="Times New Roman"/>
        </w:rPr>
        <w:noBreakHyphen/>
        <w:t>35(3)(a)</w:t>
      </w:r>
      <w:r w:rsidR="00D47007" w:rsidRPr="00F54B93">
        <w:rPr>
          <w:rFonts w:ascii="Times New Roman" w:hAnsi="Times New Roman"/>
        </w:rPr>
        <w:t xml:space="preserve">, (b) and (c) are met, </w:t>
      </w:r>
      <w:r w:rsidR="00A37AE9" w:rsidRPr="00F54B93">
        <w:rPr>
          <w:rFonts w:ascii="Times New Roman" w:hAnsi="Times New Roman"/>
        </w:rPr>
        <w:t>then you (meaning the appellant in this case) ha</w:t>
      </w:r>
      <w:r w:rsidR="004978F0" w:rsidRPr="00F54B93">
        <w:rPr>
          <w:rFonts w:ascii="Times New Roman" w:hAnsi="Times New Roman"/>
        </w:rPr>
        <w:t>ve</w:t>
      </w:r>
      <w:r w:rsidR="00A37AE9" w:rsidRPr="00F54B93">
        <w:rPr>
          <w:rFonts w:ascii="Times New Roman" w:hAnsi="Times New Roman"/>
        </w:rPr>
        <w:t xml:space="preserve"> an increasing </w:t>
      </w:r>
      <w:r w:rsidR="00A74FA8" w:rsidRPr="00F54B93">
        <w:rPr>
          <w:rFonts w:ascii="Times New Roman" w:hAnsi="Times New Roman"/>
        </w:rPr>
        <w:t>LCT</w:t>
      </w:r>
      <w:r w:rsidR="00A37AE9" w:rsidRPr="00F54B93">
        <w:rPr>
          <w:rFonts w:ascii="Times New Roman" w:hAnsi="Times New Roman"/>
        </w:rPr>
        <w:t xml:space="preserve"> adjustment</w:t>
      </w:r>
      <w:r w:rsidR="00265DA6" w:rsidRPr="00F54B93">
        <w:rPr>
          <w:rFonts w:ascii="Times New Roman" w:hAnsi="Times New Roman"/>
        </w:rPr>
        <w:t>, notwithstanding the two</w:t>
      </w:r>
      <w:r w:rsidR="00D47007" w:rsidRPr="00F54B93">
        <w:rPr>
          <w:rFonts w:ascii="Times New Roman" w:hAnsi="Times New Roman"/>
        </w:rPr>
        <w:noBreakHyphen/>
      </w:r>
      <w:r w:rsidR="00265DA6" w:rsidRPr="00F54B93">
        <w:rPr>
          <w:rFonts w:ascii="Times New Roman" w:hAnsi="Times New Roman"/>
        </w:rPr>
        <w:t>year period referred to in s</w:t>
      </w:r>
      <w:r w:rsidR="00C0530A" w:rsidRPr="00F54B93">
        <w:rPr>
          <w:rFonts w:ascii="Times New Roman" w:hAnsi="Times New Roman"/>
        </w:rPr>
        <w:t> </w:t>
      </w:r>
      <w:r w:rsidR="00265DA6" w:rsidRPr="00F54B93">
        <w:rPr>
          <w:rFonts w:ascii="Times New Roman" w:hAnsi="Times New Roman"/>
        </w:rPr>
        <w:t>5</w:t>
      </w:r>
      <w:r w:rsidR="004B5716" w:rsidRPr="00F54B93">
        <w:rPr>
          <w:rFonts w:ascii="Times New Roman" w:hAnsi="Times New Roman"/>
        </w:rPr>
        <w:noBreakHyphen/>
        <w:t>10(2)(b)</w:t>
      </w:r>
      <w:r w:rsidR="004978F0" w:rsidRPr="00F54B93">
        <w:rPr>
          <w:rFonts w:ascii="Times New Roman" w:hAnsi="Times New Roman"/>
        </w:rPr>
        <w:t xml:space="preserve">. </w:t>
      </w:r>
      <w:r w:rsidR="005266D5" w:rsidRPr="00F54B93">
        <w:rPr>
          <w:rFonts w:ascii="Times New Roman" w:hAnsi="Times New Roman"/>
        </w:rPr>
        <w:t xml:space="preserve">And, as </w:t>
      </w:r>
      <w:r w:rsidR="00D47007" w:rsidRPr="00F54B93">
        <w:rPr>
          <w:rFonts w:ascii="Times New Roman" w:hAnsi="Times New Roman"/>
        </w:rPr>
        <w:t xml:space="preserve">already </w:t>
      </w:r>
      <w:r w:rsidR="005266D5" w:rsidRPr="00F54B93">
        <w:rPr>
          <w:rFonts w:ascii="Times New Roman" w:hAnsi="Times New Roman"/>
        </w:rPr>
        <w:t>noted, b</w:t>
      </w:r>
      <w:r w:rsidR="004978F0" w:rsidRPr="00F54B93">
        <w:rPr>
          <w:rFonts w:ascii="Times New Roman" w:hAnsi="Times New Roman"/>
        </w:rPr>
        <w:t>y s 13</w:t>
      </w:r>
      <w:r w:rsidR="009E208B" w:rsidRPr="00F54B93">
        <w:rPr>
          <w:rFonts w:ascii="Times New Roman" w:hAnsi="Times New Roman"/>
        </w:rPr>
        <w:noBreakHyphen/>
      </w:r>
      <w:r w:rsidR="005266D5" w:rsidRPr="00F54B93">
        <w:rPr>
          <w:rFonts w:ascii="Times New Roman" w:hAnsi="Times New Roman"/>
        </w:rPr>
        <w:t>10(2), a</w:t>
      </w:r>
      <w:r w:rsidR="005D0BD1" w:rsidRPr="00F54B93">
        <w:rPr>
          <w:rFonts w:ascii="Times New Roman" w:hAnsi="Times New Roman"/>
        </w:rPr>
        <w:t>n</w:t>
      </w:r>
      <w:r w:rsidR="005266D5" w:rsidRPr="00F54B93">
        <w:rPr>
          <w:rFonts w:ascii="Times New Roman" w:hAnsi="Times New Roman"/>
        </w:rPr>
        <w:t xml:space="preserve"> </w:t>
      </w:r>
      <w:r w:rsidR="00C0530A" w:rsidRPr="00F54B93">
        <w:rPr>
          <w:rFonts w:ascii="Times New Roman" w:hAnsi="Times New Roman"/>
        </w:rPr>
        <w:t>LCT</w:t>
      </w:r>
      <w:r w:rsidR="005266D5" w:rsidRPr="00F54B93">
        <w:rPr>
          <w:rFonts w:ascii="Times New Roman" w:hAnsi="Times New Roman"/>
        </w:rPr>
        <w:t xml:space="preserve"> adjustment must be made within </w:t>
      </w:r>
      <w:r w:rsidR="00876BE3" w:rsidRPr="00F54B93">
        <w:rPr>
          <w:rFonts w:ascii="Times New Roman" w:hAnsi="Times New Roman"/>
        </w:rPr>
        <w:t>four</w:t>
      </w:r>
      <w:r w:rsidR="005266D5" w:rsidRPr="00F54B93">
        <w:rPr>
          <w:rFonts w:ascii="Times New Roman" w:hAnsi="Times New Roman"/>
        </w:rPr>
        <w:t xml:space="preserve"> years after the supply or importation to which the adjustment relates. </w:t>
      </w:r>
      <w:r w:rsidR="00C105BF" w:rsidRPr="00F54B93">
        <w:rPr>
          <w:rFonts w:ascii="Times New Roman" w:hAnsi="Times New Roman"/>
        </w:rPr>
        <w:t xml:space="preserve">It follows that, the appellant having </w:t>
      </w:r>
      <w:r w:rsidR="00C16726" w:rsidRPr="00F54B93">
        <w:rPr>
          <w:rFonts w:ascii="Times New Roman" w:hAnsi="Times New Roman"/>
        </w:rPr>
        <w:t xml:space="preserve">been supplied with or </w:t>
      </w:r>
      <w:r w:rsidR="00C105BF" w:rsidRPr="00F54B93">
        <w:rPr>
          <w:rFonts w:ascii="Times New Roman" w:hAnsi="Times New Roman"/>
        </w:rPr>
        <w:t xml:space="preserve">imported each car and having quoted </w:t>
      </w:r>
      <w:r w:rsidR="00395B97" w:rsidRPr="00F54B93">
        <w:rPr>
          <w:rFonts w:ascii="Times New Roman" w:hAnsi="Times New Roman"/>
        </w:rPr>
        <w:t xml:space="preserve">for </w:t>
      </w:r>
      <w:r w:rsidR="00C105BF" w:rsidRPr="00F54B93">
        <w:rPr>
          <w:rFonts w:ascii="Times New Roman" w:hAnsi="Times New Roman"/>
        </w:rPr>
        <w:t>each car</w:t>
      </w:r>
      <w:r w:rsidR="001E5106" w:rsidRPr="00F54B93">
        <w:rPr>
          <w:rFonts w:ascii="Times New Roman" w:hAnsi="Times New Roman"/>
        </w:rPr>
        <w:t>,</w:t>
      </w:r>
      <w:r w:rsidR="00566699" w:rsidRPr="00F54B93">
        <w:rPr>
          <w:rFonts w:ascii="Times New Roman" w:hAnsi="Times New Roman"/>
        </w:rPr>
        <w:t xml:space="preserve"> </w:t>
      </w:r>
      <w:r w:rsidR="00BE120D" w:rsidRPr="00F54B93">
        <w:rPr>
          <w:rFonts w:ascii="Times New Roman" w:hAnsi="Times New Roman"/>
        </w:rPr>
        <w:t>s</w:t>
      </w:r>
      <w:r w:rsidR="00A46355" w:rsidRPr="00F54B93">
        <w:rPr>
          <w:rFonts w:ascii="Times New Roman" w:hAnsi="Times New Roman"/>
        </w:rPr>
        <w:t>ub</w:t>
      </w:r>
      <w:r w:rsidR="00A46355" w:rsidRPr="00F54B93">
        <w:rPr>
          <w:rFonts w:ascii="Times New Roman" w:hAnsi="Times New Roman"/>
        </w:rPr>
        <w:noBreakHyphen/>
        <w:t xml:space="preserve">ss (3)(a) and </w:t>
      </w:r>
      <w:r w:rsidR="00867043" w:rsidRPr="00F54B93">
        <w:rPr>
          <w:rFonts w:ascii="Times New Roman" w:hAnsi="Times New Roman"/>
        </w:rPr>
        <w:t>(</w:t>
      </w:r>
      <w:r w:rsidR="00A46355" w:rsidRPr="00F54B93">
        <w:rPr>
          <w:rFonts w:ascii="Times New Roman" w:hAnsi="Times New Roman"/>
        </w:rPr>
        <w:t>3</w:t>
      </w:r>
      <w:r w:rsidR="00867043" w:rsidRPr="00F54B93">
        <w:rPr>
          <w:rFonts w:ascii="Times New Roman" w:hAnsi="Times New Roman"/>
        </w:rPr>
        <w:t>)</w:t>
      </w:r>
      <w:r w:rsidR="00A46355" w:rsidRPr="00F54B93">
        <w:rPr>
          <w:rFonts w:ascii="Times New Roman" w:hAnsi="Times New Roman"/>
        </w:rPr>
        <w:t xml:space="preserve">(b) </w:t>
      </w:r>
      <w:r w:rsidR="00566699" w:rsidRPr="00F54B93">
        <w:rPr>
          <w:rFonts w:ascii="Times New Roman" w:hAnsi="Times New Roman"/>
        </w:rPr>
        <w:t>are satisfied for both supplies and importations</w:t>
      </w:r>
      <w:r w:rsidR="00984E55" w:rsidRPr="00F54B93">
        <w:rPr>
          <w:rFonts w:ascii="Times New Roman" w:hAnsi="Times New Roman"/>
        </w:rPr>
        <w:t>. The only issue is if s</w:t>
      </w:r>
      <w:r w:rsidR="001E5106" w:rsidRPr="00F54B93">
        <w:rPr>
          <w:rFonts w:ascii="Times New Roman" w:hAnsi="Times New Roman"/>
        </w:rPr>
        <w:t>ub</w:t>
      </w:r>
      <w:r w:rsidR="001E5106" w:rsidRPr="00F54B93">
        <w:rPr>
          <w:rFonts w:ascii="Times New Roman" w:hAnsi="Times New Roman"/>
        </w:rPr>
        <w:noBreakHyphen/>
        <w:t>s </w:t>
      </w:r>
      <w:r w:rsidR="00984E55" w:rsidRPr="00F54B93">
        <w:rPr>
          <w:rFonts w:ascii="Times New Roman" w:hAnsi="Times New Roman"/>
        </w:rPr>
        <w:t xml:space="preserve">(3)(c) is also satisfied (that is, </w:t>
      </w:r>
      <w:r w:rsidR="005F5363" w:rsidRPr="00F54B93">
        <w:rPr>
          <w:rFonts w:ascii="Times New Roman" w:hAnsi="Times New Roman"/>
        </w:rPr>
        <w:t>"you use</w:t>
      </w:r>
      <w:r w:rsidR="00D23B18" w:rsidRPr="00F54B93">
        <w:rPr>
          <w:rFonts w:ascii="Times New Roman" w:hAnsi="Times New Roman"/>
        </w:rPr>
        <w:t>[d]</w:t>
      </w:r>
      <w:r w:rsidR="005F5363" w:rsidRPr="00F54B93">
        <w:rPr>
          <w:rFonts w:ascii="Times New Roman" w:hAnsi="Times New Roman"/>
        </w:rPr>
        <w:t xml:space="preserve"> the car for a purpose other than a *quotable purpose")</w:t>
      </w:r>
      <w:r w:rsidR="0013217C" w:rsidRPr="00F54B93">
        <w:rPr>
          <w:rFonts w:ascii="Times New Roman" w:hAnsi="Times New Roman"/>
        </w:rPr>
        <w:t>.</w:t>
      </w:r>
    </w:p>
    <w:p w14:paraId="77599B51" w14:textId="56C31EFD" w:rsidR="0013217C" w:rsidRPr="00F54B93" w:rsidRDefault="0013217C" w:rsidP="00F54B93">
      <w:pPr>
        <w:pStyle w:val="FixListStyle"/>
        <w:spacing w:after="260" w:line="280" w:lineRule="exact"/>
        <w:ind w:right="0"/>
        <w:jc w:val="both"/>
        <w:rPr>
          <w:rFonts w:ascii="Times New Roman" w:hAnsi="Times New Roman"/>
        </w:rPr>
      </w:pPr>
      <w:r w:rsidRPr="00F54B93">
        <w:rPr>
          <w:rFonts w:ascii="Times New Roman" w:hAnsi="Times New Roman"/>
        </w:rPr>
        <w:tab/>
        <w:t xml:space="preserve">It is also not the case that the exclusion from the quotable </w:t>
      </w:r>
      <w:r w:rsidR="00EB0CBD" w:rsidRPr="00F54B93">
        <w:rPr>
          <w:rFonts w:ascii="Times New Roman" w:hAnsi="Times New Roman"/>
        </w:rPr>
        <w:t>purpose</w:t>
      </w:r>
      <w:r w:rsidRPr="00F54B93">
        <w:rPr>
          <w:rFonts w:ascii="Times New Roman" w:hAnsi="Times New Roman"/>
        </w:rPr>
        <w:t xml:space="preserve"> in s </w:t>
      </w:r>
      <w:r w:rsidR="00EB0CBD" w:rsidRPr="00F54B93">
        <w:rPr>
          <w:rFonts w:ascii="Times New Roman" w:hAnsi="Times New Roman"/>
        </w:rPr>
        <w:t>9</w:t>
      </w:r>
      <w:r w:rsidR="009E208B" w:rsidRPr="00F54B93">
        <w:rPr>
          <w:rFonts w:ascii="Times New Roman" w:hAnsi="Times New Roman"/>
        </w:rPr>
        <w:noBreakHyphen/>
      </w:r>
      <w:r w:rsidR="00EB0CBD" w:rsidRPr="00F54B93">
        <w:rPr>
          <w:rFonts w:ascii="Times New Roman" w:hAnsi="Times New Roman"/>
        </w:rPr>
        <w:t>5(1)(a) of "holding it [the car</w:t>
      </w:r>
      <w:r w:rsidR="00F06378" w:rsidRPr="00F54B93">
        <w:rPr>
          <w:rFonts w:ascii="Times New Roman" w:hAnsi="Times New Roman"/>
        </w:rPr>
        <w:t>] for hire o</w:t>
      </w:r>
      <w:r w:rsidR="00EB178C" w:rsidRPr="00F54B93">
        <w:rPr>
          <w:rFonts w:ascii="Times New Roman" w:hAnsi="Times New Roman"/>
        </w:rPr>
        <w:t>r</w:t>
      </w:r>
      <w:r w:rsidR="00F06378" w:rsidRPr="00F54B93">
        <w:rPr>
          <w:rFonts w:ascii="Times New Roman" w:hAnsi="Times New Roman"/>
        </w:rPr>
        <w:t xml:space="preserve"> lease" supports the appellant's approach.</w:t>
      </w:r>
      <w:r w:rsidR="009E728A" w:rsidRPr="00F54B93">
        <w:rPr>
          <w:rFonts w:ascii="Times New Roman" w:hAnsi="Times New Roman"/>
        </w:rPr>
        <w:t xml:space="preserve"> </w:t>
      </w:r>
      <w:r w:rsidR="00FE079C" w:rsidRPr="00F54B93">
        <w:rPr>
          <w:rFonts w:ascii="Times New Roman" w:hAnsi="Times New Roman"/>
        </w:rPr>
        <w:t>That exclusion merely ensur</w:t>
      </w:r>
      <w:r w:rsidR="003D0900" w:rsidRPr="00F54B93">
        <w:rPr>
          <w:rFonts w:ascii="Times New Roman" w:hAnsi="Times New Roman"/>
        </w:rPr>
        <w:t>es</w:t>
      </w:r>
      <w:r w:rsidR="00FE079C" w:rsidRPr="00F54B93">
        <w:rPr>
          <w:rFonts w:ascii="Times New Roman" w:hAnsi="Times New Roman"/>
        </w:rPr>
        <w:t xml:space="preserve"> that intending to hold cars as trading stock for hire or lease is not a quotable purpose.</w:t>
      </w:r>
      <w:r w:rsidR="00CC6911" w:rsidRPr="00F54B93">
        <w:rPr>
          <w:rStyle w:val="FootnoteReference"/>
          <w:rFonts w:ascii="Times New Roman" w:hAnsi="Times New Roman"/>
          <w:sz w:val="24"/>
        </w:rPr>
        <w:footnoteReference w:id="13"/>
      </w:r>
      <w:r w:rsidR="00FE079C" w:rsidRPr="00F54B93">
        <w:rPr>
          <w:rFonts w:ascii="Times New Roman" w:hAnsi="Times New Roman"/>
        </w:rPr>
        <w:t xml:space="preserve"> </w:t>
      </w:r>
      <w:r w:rsidR="00A34DD9" w:rsidRPr="00F54B93">
        <w:rPr>
          <w:rFonts w:ascii="Times New Roman" w:hAnsi="Times New Roman"/>
        </w:rPr>
        <w:t>E</w:t>
      </w:r>
      <w:r w:rsidR="0085791F" w:rsidRPr="00F54B93">
        <w:rPr>
          <w:rFonts w:ascii="Times New Roman" w:hAnsi="Times New Roman"/>
        </w:rPr>
        <w:t>ven if</w:t>
      </w:r>
      <w:r w:rsidR="0080196F" w:rsidRPr="00F54B93">
        <w:rPr>
          <w:rFonts w:ascii="Times New Roman" w:hAnsi="Times New Roman"/>
        </w:rPr>
        <w:t>, as the appellant suggested,</w:t>
      </w:r>
      <w:r w:rsidR="0085791F" w:rsidRPr="00F54B93">
        <w:rPr>
          <w:rFonts w:ascii="Times New Roman" w:hAnsi="Times New Roman"/>
        </w:rPr>
        <w:t xml:space="preserve"> s </w:t>
      </w:r>
      <w:r w:rsidR="00213AA5" w:rsidRPr="00F54B93">
        <w:rPr>
          <w:rFonts w:ascii="Times New Roman" w:hAnsi="Times New Roman"/>
        </w:rPr>
        <w:t>9</w:t>
      </w:r>
      <w:r w:rsidR="009E208B" w:rsidRPr="00F54B93">
        <w:rPr>
          <w:rFonts w:ascii="Times New Roman" w:hAnsi="Times New Roman"/>
        </w:rPr>
        <w:noBreakHyphen/>
      </w:r>
      <w:r w:rsidR="00213AA5" w:rsidRPr="00F54B93">
        <w:rPr>
          <w:rFonts w:ascii="Times New Roman" w:hAnsi="Times New Roman"/>
        </w:rPr>
        <w:t xml:space="preserve">5(1) </w:t>
      </w:r>
      <w:r w:rsidR="00290411" w:rsidRPr="00F54B93">
        <w:rPr>
          <w:rFonts w:ascii="Times New Roman" w:hAnsi="Times New Roman"/>
        </w:rPr>
        <w:t xml:space="preserve">could </w:t>
      </w:r>
      <w:r w:rsidR="00213AA5" w:rsidRPr="00F54B93">
        <w:rPr>
          <w:rFonts w:ascii="Times New Roman" w:hAnsi="Times New Roman"/>
        </w:rPr>
        <w:t>be read as saying "</w:t>
      </w:r>
      <w:r w:rsidR="00386F50" w:rsidRPr="00F54B93">
        <w:rPr>
          <w:rFonts w:ascii="Times New Roman" w:hAnsi="Times New Roman"/>
        </w:rPr>
        <w:t xml:space="preserve">you have the intention of using the car for one of the following purposes, and for no other </w:t>
      </w:r>
      <w:r w:rsidR="00386F50" w:rsidRPr="00F54B93">
        <w:rPr>
          <w:rFonts w:ascii="Times New Roman" w:hAnsi="Times New Roman"/>
          <w:u w:val="single"/>
        </w:rPr>
        <w:t>quotable</w:t>
      </w:r>
      <w:r w:rsidR="00386F50" w:rsidRPr="00F54B93">
        <w:rPr>
          <w:rFonts w:ascii="Times New Roman" w:hAnsi="Times New Roman"/>
        </w:rPr>
        <w:t xml:space="preserve"> purpose" (which it cannot), </w:t>
      </w:r>
      <w:r w:rsidR="0094115A" w:rsidRPr="00F54B93">
        <w:rPr>
          <w:rFonts w:ascii="Times New Roman" w:hAnsi="Times New Roman"/>
        </w:rPr>
        <w:t xml:space="preserve">that construction </w:t>
      </w:r>
      <w:r w:rsidR="00386F50" w:rsidRPr="00F54B93">
        <w:rPr>
          <w:rFonts w:ascii="Times New Roman" w:hAnsi="Times New Roman"/>
        </w:rPr>
        <w:t>would not ass</w:t>
      </w:r>
      <w:r w:rsidR="00372684" w:rsidRPr="00F54B93">
        <w:rPr>
          <w:rFonts w:ascii="Times New Roman" w:hAnsi="Times New Roman"/>
        </w:rPr>
        <w:t>is</w:t>
      </w:r>
      <w:r w:rsidR="00386F50" w:rsidRPr="00F54B93">
        <w:rPr>
          <w:rFonts w:ascii="Times New Roman" w:hAnsi="Times New Roman"/>
        </w:rPr>
        <w:t>t the appellant</w:t>
      </w:r>
      <w:r w:rsidR="00DC4FD3" w:rsidRPr="00F54B93">
        <w:rPr>
          <w:rFonts w:ascii="Times New Roman" w:hAnsi="Times New Roman"/>
        </w:rPr>
        <w:t xml:space="preserve"> </w:t>
      </w:r>
      <w:r w:rsidR="006E1E9A" w:rsidRPr="00F54B93">
        <w:rPr>
          <w:rFonts w:ascii="Times New Roman" w:hAnsi="Times New Roman"/>
        </w:rPr>
        <w:t>to count</w:t>
      </w:r>
      <w:r w:rsidR="00BB73D9" w:rsidRPr="00F54B93">
        <w:rPr>
          <w:rFonts w:ascii="Times New Roman" w:hAnsi="Times New Roman"/>
        </w:rPr>
        <w:t>er th</w:t>
      </w:r>
      <w:r w:rsidR="003D58DE" w:rsidRPr="00F54B93">
        <w:rPr>
          <w:rFonts w:ascii="Times New Roman" w:hAnsi="Times New Roman"/>
        </w:rPr>
        <w:t>e argument that</w:t>
      </w:r>
      <w:r w:rsidR="00386F50" w:rsidRPr="00F54B93">
        <w:rPr>
          <w:rFonts w:ascii="Times New Roman" w:hAnsi="Times New Roman"/>
        </w:rPr>
        <w:t xml:space="preserve"> </w:t>
      </w:r>
      <w:r w:rsidR="00D04E47" w:rsidRPr="00F54B93">
        <w:rPr>
          <w:rFonts w:ascii="Times New Roman" w:hAnsi="Times New Roman"/>
        </w:rPr>
        <w:t xml:space="preserve">using the car for the purpose </w:t>
      </w:r>
      <w:r w:rsidR="006B3491" w:rsidRPr="00F54B93">
        <w:rPr>
          <w:rFonts w:ascii="Times New Roman" w:hAnsi="Times New Roman"/>
        </w:rPr>
        <w:t xml:space="preserve">of </w:t>
      </w:r>
      <w:r w:rsidR="00D04E47" w:rsidRPr="00F54B93">
        <w:rPr>
          <w:rFonts w:ascii="Times New Roman" w:hAnsi="Times New Roman"/>
        </w:rPr>
        <w:t xml:space="preserve">displaying it as </w:t>
      </w:r>
      <w:r w:rsidR="00234242" w:rsidRPr="00F54B93">
        <w:rPr>
          <w:rFonts w:ascii="Times New Roman" w:hAnsi="Times New Roman"/>
        </w:rPr>
        <w:t xml:space="preserve">part of </w:t>
      </w:r>
      <w:r w:rsidR="00D04E47" w:rsidRPr="00F54B93">
        <w:rPr>
          <w:rFonts w:ascii="Times New Roman" w:hAnsi="Times New Roman"/>
        </w:rPr>
        <w:t xml:space="preserve">a tourist attraction </w:t>
      </w:r>
      <w:r w:rsidR="00205257" w:rsidRPr="00F54B93">
        <w:rPr>
          <w:rFonts w:ascii="Times New Roman" w:hAnsi="Times New Roman"/>
        </w:rPr>
        <w:t xml:space="preserve">would still constitute use for a </w:t>
      </w:r>
      <w:r w:rsidR="00F005EF" w:rsidRPr="00F54B93">
        <w:rPr>
          <w:rFonts w:ascii="Times New Roman" w:hAnsi="Times New Roman"/>
        </w:rPr>
        <w:t xml:space="preserve">purpose other than a </w:t>
      </w:r>
      <w:r w:rsidR="00205257" w:rsidRPr="00F54B93">
        <w:rPr>
          <w:rFonts w:ascii="Times New Roman" w:hAnsi="Times New Roman"/>
        </w:rPr>
        <w:t>quotable purpose</w:t>
      </w:r>
      <w:r w:rsidR="008D3CDC" w:rsidRPr="00F54B93">
        <w:rPr>
          <w:rFonts w:ascii="Times New Roman" w:hAnsi="Times New Roman"/>
        </w:rPr>
        <w:t xml:space="preserve"> </w:t>
      </w:r>
      <w:r w:rsidR="006E02F3" w:rsidRPr="00F54B93">
        <w:rPr>
          <w:rFonts w:ascii="Times New Roman" w:hAnsi="Times New Roman"/>
        </w:rPr>
        <w:t>outside</w:t>
      </w:r>
      <w:r w:rsidR="008D3CDC" w:rsidRPr="00F54B93">
        <w:rPr>
          <w:rFonts w:ascii="Times New Roman" w:hAnsi="Times New Roman"/>
        </w:rPr>
        <w:t xml:space="preserve"> </w:t>
      </w:r>
      <w:r w:rsidR="00391949" w:rsidRPr="00F54B93">
        <w:rPr>
          <w:rFonts w:ascii="Times New Roman" w:hAnsi="Times New Roman"/>
        </w:rPr>
        <w:t>s 9</w:t>
      </w:r>
      <w:r w:rsidR="009E208B" w:rsidRPr="00F54B93">
        <w:rPr>
          <w:rFonts w:ascii="Times New Roman" w:hAnsi="Times New Roman"/>
        </w:rPr>
        <w:noBreakHyphen/>
      </w:r>
      <w:r w:rsidR="00391949" w:rsidRPr="00F54B93">
        <w:rPr>
          <w:rFonts w:ascii="Times New Roman" w:hAnsi="Times New Roman"/>
        </w:rPr>
        <w:t xml:space="preserve">5(1). </w:t>
      </w:r>
    </w:p>
    <w:p w14:paraId="36C6A90A" w14:textId="7DF5CAD3" w:rsidR="008F6428" w:rsidRPr="00F54B93" w:rsidRDefault="0018717A" w:rsidP="00F54B93">
      <w:pPr>
        <w:pStyle w:val="HeadingL1"/>
        <w:spacing w:after="260" w:line="280" w:lineRule="exact"/>
        <w:ind w:right="0"/>
        <w:jc w:val="both"/>
        <w:rPr>
          <w:rFonts w:ascii="Times New Roman" w:hAnsi="Times New Roman"/>
        </w:rPr>
      </w:pPr>
      <w:r w:rsidRPr="00F54B93">
        <w:rPr>
          <w:rFonts w:ascii="Times New Roman" w:hAnsi="Times New Roman"/>
        </w:rPr>
        <w:t>Use of the cars for a purpose other than "holding the car as trading stock"</w:t>
      </w:r>
    </w:p>
    <w:p w14:paraId="19C12609" w14:textId="41C6C98A" w:rsidR="00185992" w:rsidRPr="00F54B93" w:rsidRDefault="0018717A"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503455" w:rsidRPr="00F54B93">
        <w:rPr>
          <w:rFonts w:ascii="Times New Roman" w:hAnsi="Times New Roman"/>
        </w:rPr>
        <w:t xml:space="preserve">The </w:t>
      </w:r>
      <w:r w:rsidR="00305410" w:rsidRPr="00F54B93">
        <w:rPr>
          <w:rFonts w:ascii="Times New Roman" w:hAnsi="Times New Roman"/>
        </w:rPr>
        <w:t xml:space="preserve">analysis </w:t>
      </w:r>
      <w:r w:rsidR="00914E89" w:rsidRPr="00F54B93">
        <w:rPr>
          <w:rFonts w:ascii="Times New Roman" w:hAnsi="Times New Roman"/>
        </w:rPr>
        <w:t xml:space="preserve">undertaken so far is that </w:t>
      </w:r>
      <w:r w:rsidR="00597255" w:rsidRPr="00F54B93">
        <w:rPr>
          <w:rFonts w:ascii="Times New Roman" w:hAnsi="Times New Roman"/>
        </w:rPr>
        <w:t>ss</w:t>
      </w:r>
      <w:r w:rsidR="00A50D74" w:rsidRPr="00F54B93">
        <w:rPr>
          <w:rFonts w:ascii="Times New Roman" w:hAnsi="Times New Roman"/>
        </w:rPr>
        <w:t> </w:t>
      </w:r>
      <w:r w:rsidR="00A25BCE" w:rsidRPr="00F54B93">
        <w:rPr>
          <w:rFonts w:ascii="Times New Roman" w:hAnsi="Times New Roman"/>
        </w:rPr>
        <w:t>15-30(3)(c) and 15-35(3)(c)</w:t>
      </w:r>
      <w:r w:rsidR="00E75BB6" w:rsidRPr="00F54B93">
        <w:rPr>
          <w:rFonts w:ascii="Times New Roman" w:hAnsi="Times New Roman"/>
        </w:rPr>
        <w:t xml:space="preserve"> of the LCT Act</w:t>
      </w:r>
      <w:r w:rsidR="00750AC8" w:rsidRPr="00F54B93">
        <w:rPr>
          <w:rFonts w:ascii="Times New Roman" w:hAnsi="Times New Roman"/>
        </w:rPr>
        <w:t>,</w:t>
      </w:r>
      <w:r w:rsidR="005C1FFD" w:rsidRPr="00F54B93">
        <w:rPr>
          <w:rFonts w:ascii="Times New Roman" w:hAnsi="Times New Roman"/>
        </w:rPr>
        <w:t xml:space="preserve"> </w:t>
      </w:r>
      <w:r w:rsidR="002B20FC" w:rsidRPr="00F54B93">
        <w:rPr>
          <w:rFonts w:ascii="Times New Roman" w:hAnsi="Times New Roman"/>
        </w:rPr>
        <w:t>on their proper construction</w:t>
      </w:r>
      <w:r w:rsidR="00B7492C" w:rsidRPr="00F54B93">
        <w:rPr>
          <w:rFonts w:ascii="Times New Roman" w:hAnsi="Times New Roman"/>
        </w:rPr>
        <w:t xml:space="preserve">, </w:t>
      </w:r>
      <w:r w:rsidR="00597255" w:rsidRPr="00F54B93">
        <w:rPr>
          <w:rFonts w:ascii="Times New Roman" w:hAnsi="Times New Roman"/>
        </w:rPr>
        <w:t>operate to create an increasing LCT adjustment</w:t>
      </w:r>
      <w:r w:rsidR="002B20FC" w:rsidRPr="00F54B93">
        <w:rPr>
          <w:rFonts w:ascii="Times New Roman" w:hAnsi="Times New Roman"/>
        </w:rPr>
        <w:t xml:space="preserve"> where</w:t>
      </w:r>
      <w:r w:rsidR="00770BA2" w:rsidRPr="00F54B93">
        <w:rPr>
          <w:rFonts w:ascii="Times New Roman" w:hAnsi="Times New Roman"/>
        </w:rPr>
        <w:t xml:space="preserve"> </w:t>
      </w:r>
      <w:r w:rsidR="00F87DBC" w:rsidRPr="00F54B93">
        <w:rPr>
          <w:rFonts w:ascii="Times New Roman" w:hAnsi="Times New Roman"/>
        </w:rPr>
        <w:t xml:space="preserve">a recipient </w:t>
      </w:r>
      <w:r w:rsidR="005A3811" w:rsidRPr="00F54B93">
        <w:rPr>
          <w:rFonts w:ascii="Times New Roman" w:hAnsi="Times New Roman"/>
        </w:rPr>
        <w:t>or importer</w:t>
      </w:r>
      <w:r w:rsidR="00A315DE" w:rsidRPr="00F54B93">
        <w:rPr>
          <w:rFonts w:ascii="Times New Roman" w:hAnsi="Times New Roman"/>
        </w:rPr>
        <w:t xml:space="preserve"> </w:t>
      </w:r>
      <w:r w:rsidR="007622E9" w:rsidRPr="00F54B93">
        <w:rPr>
          <w:rFonts w:ascii="Times New Roman" w:hAnsi="Times New Roman"/>
        </w:rPr>
        <w:t xml:space="preserve">of a luxury car </w:t>
      </w:r>
      <w:r w:rsidR="00BA74DB" w:rsidRPr="00F54B93">
        <w:rPr>
          <w:rFonts w:ascii="Times New Roman" w:hAnsi="Times New Roman"/>
        </w:rPr>
        <w:t xml:space="preserve">who </w:t>
      </w:r>
      <w:r w:rsidR="00E75BB6" w:rsidRPr="00F54B93">
        <w:rPr>
          <w:rFonts w:ascii="Times New Roman" w:hAnsi="Times New Roman"/>
        </w:rPr>
        <w:t>h</w:t>
      </w:r>
      <w:r w:rsidR="00BA74DB" w:rsidRPr="00F54B93">
        <w:rPr>
          <w:rFonts w:ascii="Times New Roman" w:hAnsi="Times New Roman"/>
        </w:rPr>
        <w:t>as quoted o</w:t>
      </w:r>
      <w:r w:rsidR="00775411" w:rsidRPr="00F54B93">
        <w:rPr>
          <w:rFonts w:ascii="Times New Roman" w:hAnsi="Times New Roman"/>
        </w:rPr>
        <w:t xml:space="preserve">n the supply or </w:t>
      </w:r>
      <w:r w:rsidR="008D5AAC" w:rsidRPr="00F54B93">
        <w:rPr>
          <w:rFonts w:ascii="Times New Roman" w:hAnsi="Times New Roman"/>
        </w:rPr>
        <w:t>importation</w:t>
      </w:r>
      <w:r w:rsidR="00770BA2" w:rsidRPr="00F54B93">
        <w:rPr>
          <w:rFonts w:ascii="Times New Roman" w:hAnsi="Times New Roman"/>
        </w:rPr>
        <w:t xml:space="preserve"> </w:t>
      </w:r>
      <w:r w:rsidR="007622E9" w:rsidRPr="00F54B93">
        <w:rPr>
          <w:rFonts w:ascii="Times New Roman" w:hAnsi="Times New Roman"/>
        </w:rPr>
        <w:t xml:space="preserve">of the car </w:t>
      </w:r>
      <w:r w:rsidR="00C83560" w:rsidRPr="00F54B93">
        <w:rPr>
          <w:rFonts w:ascii="Times New Roman" w:hAnsi="Times New Roman"/>
        </w:rPr>
        <w:t xml:space="preserve">in fact </w:t>
      </w:r>
      <w:r w:rsidR="00770BA2" w:rsidRPr="00F54B93">
        <w:rPr>
          <w:rFonts w:ascii="Times New Roman" w:hAnsi="Times New Roman"/>
        </w:rPr>
        <w:t>use</w:t>
      </w:r>
      <w:r w:rsidR="00C83560" w:rsidRPr="00F54B93">
        <w:rPr>
          <w:rFonts w:ascii="Times New Roman" w:hAnsi="Times New Roman"/>
        </w:rPr>
        <w:t>s</w:t>
      </w:r>
      <w:r w:rsidR="00770BA2" w:rsidRPr="00F54B93">
        <w:rPr>
          <w:rFonts w:ascii="Times New Roman" w:hAnsi="Times New Roman"/>
        </w:rPr>
        <w:t xml:space="preserve"> the car </w:t>
      </w:r>
      <w:r w:rsidR="00C83560" w:rsidRPr="00F54B93">
        <w:rPr>
          <w:rFonts w:ascii="Times New Roman" w:hAnsi="Times New Roman"/>
        </w:rPr>
        <w:t xml:space="preserve">in a tax period </w:t>
      </w:r>
      <w:r w:rsidR="00770BA2" w:rsidRPr="00F54B93">
        <w:rPr>
          <w:rFonts w:ascii="Times New Roman" w:hAnsi="Times New Roman"/>
        </w:rPr>
        <w:t xml:space="preserve">for a </w:t>
      </w:r>
      <w:r w:rsidR="00DD0837" w:rsidRPr="00F54B93">
        <w:rPr>
          <w:rFonts w:ascii="Times New Roman" w:hAnsi="Times New Roman"/>
        </w:rPr>
        <w:t>purpose other than a quotable purpose</w:t>
      </w:r>
      <w:r w:rsidR="005C1FFD" w:rsidRPr="00F54B93">
        <w:rPr>
          <w:rFonts w:ascii="Times New Roman" w:hAnsi="Times New Roman"/>
        </w:rPr>
        <w:t xml:space="preserve"> irrespective of</w:t>
      </w:r>
      <w:r w:rsidR="00A25BCE" w:rsidRPr="00F54B93">
        <w:rPr>
          <w:rFonts w:ascii="Times New Roman" w:hAnsi="Times New Roman"/>
        </w:rPr>
        <w:t xml:space="preserve"> </w:t>
      </w:r>
      <w:r w:rsidR="00B11B3C" w:rsidRPr="00F54B93">
        <w:rPr>
          <w:rFonts w:ascii="Times New Roman" w:hAnsi="Times New Roman"/>
        </w:rPr>
        <w:t xml:space="preserve">whether </w:t>
      </w:r>
      <w:r w:rsidR="00CD7F37" w:rsidRPr="00F54B93">
        <w:rPr>
          <w:rFonts w:ascii="Times New Roman" w:hAnsi="Times New Roman"/>
        </w:rPr>
        <w:t xml:space="preserve">that </w:t>
      </w:r>
      <w:r w:rsidR="00DD0837" w:rsidRPr="00F54B93">
        <w:rPr>
          <w:rFonts w:ascii="Times New Roman" w:hAnsi="Times New Roman"/>
        </w:rPr>
        <w:t xml:space="preserve">purpose </w:t>
      </w:r>
      <w:r w:rsidR="00C84D54" w:rsidRPr="00F54B93">
        <w:rPr>
          <w:rFonts w:ascii="Times New Roman" w:hAnsi="Times New Roman"/>
        </w:rPr>
        <w:t xml:space="preserve">is </w:t>
      </w:r>
      <w:r w:rsidR="00B11B3C" w:rsidRPr="00F54B93">
        <w:rPr>
          <w:rFonts w:ascii="Times New Roman" w:hAnsi="Times New Roman"/>
        </w:rPr>
        <w:t xml:space="preserve">in addition </w:t>
      </w:r>
      <w:r w:rsidR="00AD4DFA" w:rsidRPr="00F54B93">
        <w:rPr>
          <w:rFonts w:ascii="Times New Roman" w:hAnsi="Times New Roman"/>
        </w:rPr>
        <w:t xml:space="preserve">to </w:t>
      </w:r>
      <w:r w:rsidR="00B11B3C" w:rsidRPr="00F54B93">
        <w:rPr>
          <w:rFonts w:ascii="Times New Roman" w:hAnsi="Times New Roman"/>
        </w:rPr>
        <w:t>or in the alternative to</w:t>
      </w:r>
      <w:r w:rsidR="00A25BCE" w:rsidRPr="00F54B93">
        <w:rPr>
          <w:rFonts w:ascii="Times New Roman" w:hAnsi="Times New Roman"/>
        </w:rPr>
        <w:t xml:space="preserve"> a quotable purpose. </w:t>
      </w:r>
    </w:p>
    <w:p w14:paraId="2CEEC85D" w14:textId="364BC8F5" w:rsidR="00DE55E8" w:rsidRPr="00F54B93" w:rsidRDefault="00DE55E8" w:rsidP="00F54B93">
      <w:pPr>
        <w:pStyle w:val="FixListStyle"/>
        <w:spacing w:after="260" w:line="280" w:lineRule="exact"/>
        <w:ind w:right="0"/>
        <w:jc w:val="both"/>
        <w:rPr>
          <w:rFonts w:ascii="Times New Roman" w:hAnsi="Times New Roman"/>
        </w:rPr>
      </w:pPr>
      <w:r w:rsidRPr="00F54B93">
        <w:rPr>
          <w:rFonts w:ascii="Times New Roman" w:hAnsi="Times New Roman"/>
        </w:rPr>
        <w:lastRenderedPageBreak/>
        <w:tab/>
        <w:t xml:space="preserve">The statutory question whether the appellant's use </w:t>
      </w:r>
      <w:r w:rsidR="000428EC" w:rsidRPr="00F54B93">
        <w:rPr>
          <w:rFonts w:ascii="Times New Roman" w:hAnsi="Times New Roman"/>
        </w:rPr>
        <w:t>in the tax periods from June 20</w:t>
      </w:r>
      <w:r w:rsidR="00A245CC" w:rsidRPr="00F54B93">
        <w:rPr>
          <w:rFonts w:ascii="Times New Roman" w:hAnsi="Times New Roman"/>
        </w:rPr>
        <w:t>1</w:t>
      </w:r>
      <w:r w:rsidR="000428EC" w:rsidRPr="00F54B93">
        <w:rPr>
          <w:rFonts w:ascii="Times New Roman" w:hAnsi="Times New Roman"/>
        </w:rPr>
        <w:t>6 to November 2017 of the 40 luxury cars previously acquired by it</w:t>
      </w:r>
      <w:r w:rsidRPr="00F54B93">
        <w:rPr>
          <w:rFonts w:ascii="Times New Roman" w:hAnsi="Times New Roman"/>
        </w:rPr>
        <w:t xml:space="preserve"> was for a purpose </w:t>
      </w:r>
      <w:r w:rsidR="00D773D6" w:rsidRPr="00F54B93">
        <w:rPr>
          <w:rFonts w:ascii="Times New Roman" w:hAnsi="Times New Roman"/>
        </w:rPr>
        <w:t>in addition to or in the alternative to the use for</w:t>
      </w:r>
      <w:r w:rsidRPr="00F54B93">
        <w:rPr>
          <w:rFonts w:ascii="Times New Roman" w:hAnsi="Times New Roman"/>
        </w:rPr>
        <w:t xml:space="preserve"> a quotable purpose in </w:t>
      </w:r>
      <w:r w:rsidR="00D773D6" w:rsidRPr="00F54B93">
        <w:rPr>
          <w:rFonts w:ascii="Times New Roman" w:hAnsi="Times New Roman"/>
        </w:rPr>
        <w:t>th</w:t>
      </w:r>
      <w:r w:rsidR="00515941" w:rsidRPr="00F54B93">
        <w:rPr>
          <w:rFonts w:ascii="Times New Roman" w:hAnsi="Times New Roman"/>
        </w:rPr>
        <w:t>ose</w:t>
      </w:r>
      <w:r w:rsidR="00D773D6" w:rsidRPr="00F54B93">
        <w:rPr>
          <w:rFonts w:ascii="Times New Roman" w:hAnsi="Times New Roman"/>
        </w:rPr>
        <w:t xml:space="preserve"> period</w:t>
      </w:r>
      <w:r w:rsidR="00515941" w:rsidRPr="00F54B93">
        <w:rPr>
          <w:rFonts w:ascii="Times New Roman" w:hAnsi="Times New Roman"/>
        </w:rPr>
        <w:t>s</w:t>
      </w:r>
      <w:r w:rsidRPr="00F54B93">
        <w:rPr>
          <w:rFonts w:ascii="Times New Roman" w:hAnsi="Times New Roman"/>
        </w:rPr>
        <w:t xml:space="preserve"> </w:t>
      </w:r>
      <w:r w:rsidR="00784B8E" w:rsidRPr="00F54B93">
        <w:rPr>
          <w:rFonts w:ascii="Times New Roman" w:hAnsi="Times New Roman"/>
        </w:rPr>
        <w:t xml:space="preserve">is a question of fact. </w:t>
      </w:r>
      <w:r w:rsidR="00CC7213" w:rsidRPr="00F54B93">
        <w:rPr>
          <w:rFonts w:ascii="Times New Roman" w:hAnsi="Times New Roman"/>
        </w:rPr>
        <w:t xml:space="preserve">What is required </w:t>
      </w:r>
      <w:r w:rsidR="00B861D8" w:rsidRPr="00F54B93">
        <w:rPr>
          <w:rFonts w:ascii="Times New Roman" w:hAnsi="Times New Roman"/>
        </w:rPr>
        <w:t xml:space="preserve">to answer it </w:t>
      </w:r>
      <w:r w:rsidR="00CC7213" w:rsidRPr="00F54B93">
        <w:rPr>
          <w:rFonts w:ascii="Times New Roman" w:hAnsi="Times New Roman"/>
        </w:rPr>
        <w:t xml:space="preserve">is an objective </w:t>
      </w:r>
      <w:r w:rsidR="006B58AC" w:rsidRPr="00F54B93">
        <w:rPr>
          <w:rFonts w:ascii="Times New Roman" w:hAnsi="Times New Roman"/>
        </w:rPr>
        <w:t xml:space="preserve">characterisation of </w:t>
      </w:r>
      <w:r w:rsidR="003A4A05" w:rsidRPr="00F54B93">
        <w:rPr>
          <w:rFonts w:ascii="Times New Roman" w:hAnsi="Times New Roman"/>
        </w:rPr>
        <w:t>the</w:t>
      </w:r>
      <w:r w:rsidR="00EE141A" w:rsidRPr="00F54B93">
        <w:rPr>
          <w:rFonts w:ascii="Times New Roman" w:hAnsi="Times New Roman"/>
        </w:rPr>
        <w:t xml:space="preserve"> </w:t>
      </w:r>
      <w:r w:rsidR="00EC7256" w:rsidRPr="00F54B93">
        <w:rPr>
          <w:rFonts w:ascii="Times New Roman" w:hAnsi="Times New Roman"/>
        </w:rPr>
        <w:t xml:space="preserve">purpose or purposes of the </w:t>
      </w:r>
      <w:r w:rsidR="006B58AC" w:rsidRPr="00F54B93">
        <w:rPr>
          <w:rFonts w:ascii="Times New Roman" w:hAnsi="Times New Roman"/>
        </w:rPr>
        <w:t xml:space="preserve">use </w:t>
      </w:r>
      <w:r w:rsidR="006B787D" w:rsidRPr="00F54B93">
        <w:rPr>
          <w:rFonts w:ascii="Times New Roman" w:hAnsi="Times New Roman"/>
        </w:rPr>
        <w:t xml:space="preserve">itself </w:t>
      </w:r>
      <w:r w:rsidR="00306B10" w:rsidRPr="00F54B93">
        <w:rPr>
          <w:rFonts w:ascii="Times New Roman" w:hAnsi="Times New Roman"/>
        </w:rPr>
        <w:t xml:space="preserve">viewed from the perspective of an independent </w:t>
      </w:r>
      <w:r w:rsidR="00087F1F" w:rsidRPr="00F54B93">
        <w:rPr>
          <w:rFonts w:ascii="Times New Roman" w:hAnsi="Times New Roman"/>
        </w:rPr>
        <w:t>observer</w:t>
      </w:r>
      <w:r w:rsidR="00B861D8" w:rsidRPr="00F54B93">
        <w:rPr>
          <w:rFonts w:ascii="Times New Roman" w:hAnsi="Times New Roman"/>
        </w:rPr>
        <w:t xml:space="preserve">. </w:t>
      </w:r>
      <w:r w:rsidR="00F62674" w:rsidRPr="00F54B93">
        <w:rPr>
          <w:rFonts w:ascii="Times New Roman" w:hAnsi="Times New Roman"/>
        </w:rPr>
        <w:t xml:space="preserve">The question </w:t>
      </w:r>
      <w:r w:rsidRPr="00F54B93">
        <w:rPr>
          <w:rFonts w:ascii="Times New Roman" w:hAnsi="Times New Roman"/>
        </w:rPr>
        <w:t>is not answered merely by ascertaining the subjective state of mind of the appellant (which, as the appellant is a body corporate, involves attributing to the appellant the subjective state of mind of the person controlling the appellant).</w:t>
      </w:r>
      <w:r w:rsidRPr="00F54B93">
        <w:rPr>
          <w:rStyle w:val="FootnoteReference"/>
          <w:rFonts w:ascii="Times New Roman" w:hAnsi="Times New Roman"/>
          <w:sz w:val="24"/>
        </w:rPr>
        <w:footnoteReference w:id="14"/>
      </w:r>
    </w:p>
    <w:p w14:paraId="2E02ABB7" w14:textId="04C35AB8" w:rsidR="0018717A" w:rsidRPr="00F54B93" w:rsidRDefault="00185992"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692B28" w:rsidRPr="00F54B93">
        <w:rPr>
          <w:rFonts w:ascii="Times New Roman" w:hAnsi="Times New Roman"/>
        </w:rPr>
        <w:t xml:space="preserve">The </w:t>
      </w:r>
      <w:r w:rsidR="00765E94" w:rsidRPr="00F54B93">
        <w:rPr>
          <w:rFonts w:ascii="Times New Roman" w:hAnsi="Times New Roman"/>
        </w:rPr>
        <w:t xml:space="preserve">underlying </w:t>
      </w:r>
      <w:r w:rsidR="00692B28" w:rsidRPr="00F54B93">
        <w:rPr>
          <w:rFonts w:ascii="Times New Roman" w:hAnsi="Times New Roman"/>
        </w:rPr>
        <w:t xml:space="preserve">facts as found by the primary judge, not challenged on appeal, compel the conclusion that the appellant used each car for a </w:t>
      </w:r>
      <w:r w:rsidR="004E6CE7" w:rsidRPr="00F54B93">
        <w:rPr>
          <w:rFonts w:ascii="Times New Roman" w:hAnsi="Times New Roman"/>
        </w:rPr>
        <w:t xml:space="preserve">purpose other than a </w:t>
      </w:r>
      <w:r w:rsidR="00B11B3C" w:rsidRPr="00F54B93">
        <w:rPr>
          <w:rFonts w:ascii="Times New Roman" w:hAnsi="Times New Roman"/>
        </w:rPr>
        <w:t xml:space="preserve">quotable purpose in addition to the use of each car </w:t>
      </w:r>
      <w:r w:rsidR="003743E9" w:rsidRPr="00F54B93">
        <w:rPr>
          <w:rFonts w:ascii="Times New Roman" w:hAnsi="Times New Roman"/>
        </w:rPr>
        <w:t xml:space="preserve">for a quotable purpose in </w:t>
      </w:r>
      <w:r w:rsidR="00E47917" w:rsidRPr="00F54B93">
        <w:rPr>
          <w:rFonts w:ascii="Times New Roman" w:hAnsi="Times New Roman"/>
        </w:rPr>
        <w:t>each</w:t>
      </w:r>
      <w:r w:rsidR="0052706B" w:rsidRPr="00F54B93">
        <w:rPr>
          <w:rFonts w:ascii="Times New Roman" w:hAnsi="Times New Roman"/>
        </w:rPr>
        <w:t xml:space="preserve"> applicable</w:t>
      </w:r>
      <w:r w:rsidR="003743E9" w:rsidRPr="00F54B93">
        <w:rPr>
          <w:rFonts w:ascii="Times New Roman" w:hAnsi="Times New Roman"/>
        </w:rPr>
        <w:t xml:space="preserve"> tax period.</w:t>
      </w:r>
      <w:r w:rsidR="00C04739" w:rsidRPr="00F54B93">
        <w:rPr>
          <w:rFonts w:ascii="Times New Roman" w:hAnsi="Times New Roman"/>
        </w:rPr>
        <w:t xml:space="preserve"> The </w:t>
      </w:r>
      <w:r w:rsidR="00510B87" w:rsidRPr="00F54B93">
        <w:rPr>
          <w:rFonts w:ascii="Times New Roman" w:hAnsi="Times New Roman"/>
        </w:rPr>
        <w:t xml:space="preserve">additional </w:t>
      </w:r>
      <w:r w:rsidR="004E6CE7" w:rsidRPr="00F54B93">
        <w:rPr>
          <w:rFonts w:ascii="Times New Roman" w:hAnsi="Times New Roman"/>
        </w:rPr>
        <w:t>purpose other than a quotable</w:t>
      </w:r>
      <w:r w:rsidR="00C04739" w:rsidRPr="00F54B93">
        <w:rPr>
          <w:rFonts w:ascii="Times New Roman" w:hAnsi="Times New Roman"/>
        </w:rPr>
        <w:t xml:space="preserve"> purpose for which the appellant used each car </w:t>
      </w:r>
      <w:r w:rsidR="00510B87" w:rsidRPr="00F54B93">
        <w:rPr>
          <w:rFonts w:ascii="Times New Roman" w:hAnsi="Times New Roman"/>
        </w:rPr>
        <w:t xml:space="preserve">was </w:t>
      </w:r>
      <w:r w:rsidR="007B0ACD" w:rsidRPr="00F54B93">
        <w:rPr>
          <w:rFonts w:ascii="Times New Roman" w:hAnsi="Times New Roman"/>
        </w:rPr>
        <w:t>the purpose of</w:t>
      </w:r>
      <w:r w:rsidR="000351E8" w:rsidRPr="00F54B93">
        <w:rPr>
          <w:rFonts w:ascii="Times New Roman" w:hAnsi="Times New Roman"/>
        </w:rPr>
        <w:t xml:space="preserve"> display</w:t>
      </w:r>
      <w:r w:rsidR="00357980" w:rsidRPr="00F54B93">
        <w:rPr>
          <w:rFonts w:ascii="Times New Roman" w:hAnsi="Times New Roman"/>
        </w:rPr>
        <w:t>ing the car</w:t>
      </w:r>
      <w:r w:rsidR="000351E8" w:rsidRPr="00F54B93">
        <w:rPr>
          <w:rFonts w:ascii="Times New Roman" w:hAnsi="Times New Roman"/>
        </w:rPr>
        <w:t xml:space="preserve"> </w:t>
      </w:r>
      <w:r w:rsidR="00510B87" w:rsidRPr="00F54B93">
        <w:rPr>
          <w:rFonts w:ascii="Times New Roman" w:hAnsi="Times New Roman"/>
        </w:rPr>
        <w:t xml:space="preserve">as </w:t>
      </w:r>
      <w:r w:rsidR="008065A5" w:rsidRPr="00F54B93">
        <w:rPr>
          <w:rFonts w:ascii="Times New Roman" w:hAnsi="Times New Roman"/>
        </w:rPr>
        <w:t xml:space="preserve">part of </w:t>
      </w:r>
      <w:r w:rsidR="00510B87" w:rsidRPr="00F54B93">
        <w:rPr>
          <w:rFonts w:ascii="Times New Roman" w:hAnsi="Times New Roman"/>
        </w:rPr>
        <w:t>a tourist attraction</w:t>
      </w:r>
      <w:r w:rsidR="00D53E8F" w:rsidRPr="00F54B93">
        <w:rPr>
          <w:rFonts w:ascii="Times New Roman" w:hAnsi="Times New Roman"/>
        </w:rPr>
        <w:t>.</w:t>
      </w:r>
      <w:r w:rsidR="007E3BAB" w:rsidRPr="00F54B93">
        <w:rPr>
          <w:rFonts w:ascii="Times New Roman" w:hAnsi="Times New Roman"/>
        </w:rPr>
        <w:t xml:space="preserve"> As will be explained, while the </w:t>
      </w:r>
      <w:r w:rsidR="005D3153" w:rsidRPr="00F54B93">
        <w:rPr>
          <w:rFonts w:ascii="Times New Roman" w:hAnsi="Times New Roman"/>
        </w:rPr>
        <w:t xml:space="preserve">appellant's </w:t>
      </w:r>
      <w:r w:rsidR="007E3BAB" w:rsidRPr="00F54B93">
        <w:rPr>
          <w:rFonts w:ascii="Times New Roman" w:hAnsi="Times New Roman"/>
        </w:rPr>
        <w:t xml:space="preserve">use of each car was the same (display of the car), there were two separate purposes of such use for each car, being display as trading stock for sale and display as part of a tourist attraction. </w:t>
      </w:r>
    </w:p>
    <w:p w14:paraId="190277D7" w14:textId="67FECF21" w:rsidR="00D53E8F" w:rsidRPr="00F54B93" w:rsidRDefault="00D53E8F" w:rsidP="00F54B93">
      <w:pPr>
        <w:pStyle w:val="FixListStyle"/>
        <w:spacing w:after="260" w:line="280" w:lineRule="exact"/>
        <w:ind w:right="0"/>
        <w:jc w:val="both"/>
        <w:rPr>
          <w:rFonts w:ascii="Times New Roman" w:hAnsi="Times New Roman"/>
        </w:rPr>
      </w:pPr>
      <w:r w:rsidRPr="00F54B93">
        <w:rPr>
          <w:rFonts w:ascii="Times New Roman" w:hAnsi="Times New Roman"/>
        </w:rPr>
        <w:tab/>
        <w:t xml:space="preserve">To understand the significance of the primary judge's unchallenged factual findings </w:t>
      </w:r>
      <w:r w:rsidR="00C413C4" w:rsidRPr="00F54B93">
        <w:rPr>
          <w:rFonts w:ascii="Times New Roman" w:hAnsi="Times New Roman"/>
        </w:rPr>
        <w:t xml:space="preserve">which </w:t>
      </w:r>
      <w:r w:rsidR="00886A1D" w:rsidRPr="00F54B93">
        <w:rPr>
          <w:rFonts w:ascii="Times New Roman" w:hAnsi="Times New Roman"/>
        </w:rPr>
        <w:t xml:space="preserve">compel </w:t>
      </w:r>
      <w:r w:rsidRPr="00F54B93">
        <w:rPr>
          <w:rFonts w:ascii="Times New Roman" w:hAnsi="Times New Roman"/>
        </w:rPr>
        <w:t>this conclusion</w:t>
      </w:r>
      <w:r w:rsidR="00C413C4" w:rsidRPr="00F54B93">
        <w:rPr>
          <w:rFonts w:ascii="Times New Roman" w:hAnsi="Times New Roman"/>
        </w:rPr>
        <w:t>,</w:t>
      </w:r>
      <w:r w:rsidRPr="00F54B93">
        <w:rPr>
          <w:rFonts w:ascii="Times New Roman" w:hAnsi="Times New Roman"/>
        </w:rPr>
        <w:t xml:space="preserve"> it is </w:t>
      </w:r>
      <w:r w:rsidR="00886A1D" w:rsidRPr="00F54B93">
        <w:rPr>
          <w:rFonts w:ascii="Times New Roman" w:hAnsi="Times New Roman"/>
        </w:rPr>
        <w:t xml:space="preserve">necessary to understand the case that the appellant put to the primary judge and the primary judge's </w:t>
      </w:r>
      <w:r w:rsidR="007932C0" w:rsidRPr="00F54B93">
        <w:rPr>
          <w:rFonts w:ascii="Times New Roman" w:hAnsi="Times New Roman"/>
        </w:rPr>
        <w:t xml:space="preserve">conclusions about that case. Once this is understood, it becomes clear that the mere fact that the </w:t>
      </w:r>
      <w:r w:rsidR="00FC3364" w:rsidRPr="00F54B93">
        <w:rPr>
          <w:rFonts w:ascii="Times New Roman" w:hAnsi="Times New Roman"/>
        </w:rPr>
        <w:t xml:space="preserve">primary judge did not find </w:t>
      </w:r>
      <w:r w:rsidR="0084395D" w:rsidRPr="00F54B93">
        <w:rPr>
          <w:rFonts w:ascii="Times New Roman" w:hAnsi="Times New Roman"/>
        </w:rPr>
        <w:t xml:space="preserve">Mr Denny, </w:t>
      </w:r>
      <w:r w:rsidR="000A6FD9" w:rsidRPr="00F54B93">
        <w:rPr>
          <w:rFonts w:ascii="Times New Roman" w:hAnsi="Times New Roman"/>
        </w:rPr>
        <w:t>the sole director of the appellant and an experienced car dealer</w:t>
      </w:r>
      <w:r w:rsidR="0084395D" w:rsidRPr="00F54B93">
        <w:rPr>
          <w:rFonts w:ascii="Times New Roman" w:hAnsi="Times New Roman"/>
        </w:rPr>
        <w:t>,</w:t>
      </w:r>
      <w:r w:rsidR="001F75AC" w:rsidRPr="00F54B93">
        <w:rPr>
          <w:rFonts w:ascii="Times New Roman" w:hAnsi="Times New Roman"/>
        </w:rPr>
        <w:t xml:space="preserve"> </w:t>
      </w:r>
      <w:r w:rsidR="00FC3364" w:rsidRPr="00F54B93">
        <w:rPr>
          <w:rFonts w:ascii="Times New Roman" w:hAnsi="Times New Roman"/>
        </w:rPr>
        <w:t>to have given dishonest evidence about his subjective state of mind is immaterial to the outcome</w:t>
      </w:r>
      <w:r w:rsidR="0084395D" w:rsidRPr="00F54B93">
        <w:rPr>
          <w:rFonts w:ascii="Times New Roman" w:hAnsi="Times New Roman"/>
        </w:rPr>
        <w:t xml:space="preserve"> (albeit that </w:t>
      </w:r>
      <w:r w:rsidR="00BF1606" w:rsidRPr="00F54B93">
        <w:rPr>
          <w:rFonts w:ascii="Times New Roman" w:hAnsi="Times New Roman"/>
        </w:rPr>
        <w:t>t</w:t>
      </w:r>
      <w:r w:rsidR="0084395D" w:rsidRPr="00F54B93">
        <w:rPr>
          <w:rFonts w:ascii="Times New Roman" w:hAnsi="Times New Roman"/>
        </w:rPr>
        <w:t>he primary judge did reject key aspects of Mr Denny's evidence)</w:t>
      </w:r>
      <w:r w:rsidR="00FC3364" w:rsidRPr="00F54B93">
        <w:rPr>
          <w:rFonts w:ascii="Times New Roman" w:hAnsi="Times New Roman"/>
        </w:rPr>
        <w:t>.</w:t>
      </w:r>
    </w:p>
    <w:p w14:paraId="68C026A5" w14:textId="1709B29D" w:rsidR="002225D6" w:rsidRPr="00F54B93" w:rsidRDefault="002225D6" w:rsidP="00F54B93">
      <w:pPr>
        <w:pStyle w:val="HeadingL2"/>
        <w:spacing w:after="260" w:line="280" w:lineRule="exact"/>
        <w:ind w:right="0"/>
        <w:jc w:val="both"/>
        <w:rPr>
          <w:rFonts w:ascii="Times New Roman" w:hAnsi="Times New Roman"/>
        </w:rPr>
      </w:pPr>
      <w:r w:rsidRPr="00F54B93">
        <w:rPr>
          <w:rFonts w:ascii="Times New Roman" w:hAnsi="Times New Roman"/>
        </w:rPr>
        <w:t>The appellant's case</w:t>
      </w:r>
    </w:p>
    <w:p w14:paraId="25E7F91A" w14:textId="40C112CE" w:rsidR="00FC3364" w:rsidRPr="00F54B93" w:rsidRDefault="002225D6"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FC3364" w:rsidRPr="00F54B93">
        <w:rPr>
          <w:rFonts w:ascii="Times New Roman" w:hAnsi="Times New Roman"/>
        </w:rPr>
        <w:t xml:space="preserve">The </w:t>
      </w:r>
      <w:r w:rsidR="00E12416" w:rsidRPr="00F54B93">
        <w:rPr>
          <w:rFonts w:ascii="Times New Roman" w:hAnsi="Times New Roman"/>
        </w:rPr>
        <w:t>appellant's</w:t>
      </w:r>
      <w:r w:rsidR="00FC3364" w:rsidRPr="00F54B93">
        <w:rPr>
          <w:rFonts w:ascii="Times New Roman" w:hAnsi="Times New Roman"/>
        </w:rPr>
        <w:t xml:space="preserve"> case was that </w:t>
      </w:r>
      <w:r w:rsidR="00E12416" w:rsidRPr="00F54B93">
        <w:rPr>
          <w:rFonts w:ascii="Times New Roman" w:hAnsi="Times New Roman"/>
        </w:rPr>
        <w:t xml:space="preserve">the Gosford Classic Car Museum was nothing more than </w:t>
      </w:r>
      <w:r w:rsidR="004A66E8" w:rsidRPr="00F54B93">
        <w:rPr>
          <w:rFonts w:ascii="Times New Roman" w:hAnsi="Times New Roman"/>
        </w:rPr>
        <w:t>an "enterprising marketing strategy intended to increase the sale and price of the cars".</w:t>
      </w:r>
      <w:r w:rsidR="004A66E8" w:rsidRPr="00F54B93">
        <w:rPr>
          <w:rStyle w:val="FootnoteReference"/>
          <w:rFonts w:ascii="Times New Roman" w:hAnsi="Times New Roman"/>
          <w:sz w:val="24"/>
        </w:rPr>
        <w:footnoteReference w:id="15"/>
      </w:r>
      <w:r w:rsidR="00820A70" w:rsidRPr="00F54B93">
        <w:rPr>
          <w:rFonts w:ascii="Times New Roman" w:hAnsi="Times New Roman"/>
        </w:rPr>
        <w:t xml:space="preserve"> The appellant supported this case with evidence from </w:t>
      </w:r>
      <w:r w:rsidR="00361CDC" w:rsidRPr="00F54B93">
        <w:rPr>
          <w:rFonts w:ascii="Times New Roman" w:hAnsi="Times New Roman"/>
        </w:rPr>
        <w:t>Mr </w:t>
      </w:r>
      <w:r w:rsidR="009E1639" w:rsidRPr="00F54B93">
        <w:rPr>
          <w:rFonts w:ascii="Times New Roman" w:hAnsi="Times New Roman"/>
        </w:rPr>
        <w:t>Denny.</w:t>
      </w:r>
      <w:r w:rsidR="00BF30C8" w:rsidRPr="00F54B93">
        <w:rPr>
          <w:rFonts w:ascii="Times New Roman" w:hAnsi="Times New Roman"/>
        </w:rPr>
        <w:t xml:space="preserve"> </w:t>
      </w:r>
      <w:r w:rsidR="00532C50" w:rsidRPr="00F54B93">
        <w:rPr>
          <w:rFonts w:ascii="Times New Roman" w:hAnsi="Times New Roman"/>
        </w:rPr>
        <w:t>In an affidavit</w:t>
      </w:r>
      <w:r w:rsidR="007C2B7A" w:rsidRPr="00F54B93">
        <w:rPr>
          <w:rFonts w:ascii="Times New Roman" w:hAnsi="Times New Roman"/>
        </w:rPr>
        <w:t>,</w:t>
      </w:r>
      <w:r w:rsidR="00532C50" w:rsidRPr="00F54B93">
        <w:rPr>
          <w:rFonts w:ascii="Times New Roman" w:hAnsi="Times New Roman"/>
        </w:rPr>
        <w:t xml:space="preserve"> Mr Denny </w:t>
      </w:r>
      <w:r w:rsidR="00D947B1" w:rsidRPr="00F54B93">
        <w:rPr>
          <w:rFonts w:ascii="Times New Roman" w:hAnsi="Times New Roman"/>
        </w:rPr>
        <w:t>explained</w:t>
      </w:r>
      <w:r w:rsidR="00532C50" w:rsidRPr="00F54B93">
        <w:rPr>
          <w:rFonts w:ascii="Times New Roman" w:hAnsi="Times New Roman"/>
        </w:rPr>
        <w:t xml:space="preserve"> that </w:t>
      </w:r>
      <w:r w:rsidR="004863F7" w:rsidRPr="00F54B93">
        <w:rPr>
          <w:rFonts w:ascii="Times New Roman" w:hAnsi="Times New Roman"/>
        </w:rPr>
        <w:t>he came across a</w:t>
      </w:r>
      <w:r w:rsidR="007B3F9F" w:rsidRPr="00F54B93">
        <w:rPr>
          <w:rFonts w:ascii="Times New Roman" w:hAnsi="Times New Roman"/>
        </w:rPr>
        <w:t xml:space="preserve"> clever and novel way of marketing vehicles in L</w:t>
      </w:r>
      <w:r w:rsidR="00EF0611" w:rsidRPr="00F54B93">
        <w:rPr>
          <w:rFonts w:ascii="Times New Roman" w:hAnsi="Times New Roman"/>
        </w:rPr>
        <w:t>a</w:t>
      </w:r>
      <w:r w:rsidR="007B3F9F" w:rsidRPr="00F54B93">
        <w:rPr>
          <w:rFonts w:ascii="Times New Roman" w:hAnsi="Times New Roman"/>
        </w:rPr>
        <w:t>s</w:t>
      </w:r>
      <w:r w:rsidR="007C2B7A" w:rsidRPr="00F54B93">
        <w:rPr>
          <w:rFonts w:ascii="Times New Roman" w:hAnsi="Times New Roman"/>
        </w:rPr>
        <w:t> </w:t>
      </w:r>
      <w:r w:rsidR="007B3F9F" w:rsidRPr="00F54B93">
        <w:rPr>
          <w:rFonts w:ascii="Times New Roman" w:hAnsi="Times New Roman"/>
        </w:rPr>
        <w:t>Vegas in</w:t>
      </w:r>
      <w:r w:rsidR="00D34D0C" w:rsidRPr="00F54B93">
        <w:rPr>
          <w:rFonts w:ascii="Times New Roman" w:hAnsi="Times New Roman"/>
        </w:rPr>
        <w:t xml:space="preserve"> or</w:t>
      </w:r>
      <w:r w:rsidR="007B3F9F" w:rsidRPr="00F54B93">
        <w:rPr>
          <w:rFonts w:ascii="Times New Roman" w:hAnsi="Times New Roman"/>
        </w:rPr>
        <w:t xml:space="preserve"> about 2013. This involved </w:t>
      </w:r>
      <w:r w:rsidR="008316FA" w:rsidRPr="00F54B93">
        <w:rPr>
          <w:rFonts w:ascii="Times New Roman" w:hAnsi="Times New Roman"/>
        </w:rPr>
        <w:t xml:space="preserve">a car dealership </w:t>
      </w:r>
      <w:r w:rsidR="00D20938" w:rsidRPr="00F54B93">
        <w:rPr>
          <w:rFonts w:ascii="Times New Roman" w:hAnsi="Times New Roman"/>
        </w:rPr>
        <w:t>which had</w:t>
      </w:r>
      <w:r w:rsidR="008316FA" w:rsidRPr="00F54B93">
        <w:rPr>
          <w:rFonts w:ascii="Times New Roman" w:hAnsi="Times New Roman"/>
        </w:rPr>
        <w:t xml:space="preserve"> cordoned off </w:t>
      </w:r>
      <w:r w:rsidR="00216457" w:rsidRPr="00F54B93">
        <w:rPr>
          <w:rFonts w:ascii="Times New Roman" w:hAnsi="Times New Roman"/>
        </w:rPr>
        <w:t xml:space="preserve">a </w:t>
      </w:r>
      <w:r w:rsidR="008316FA" w:rsidRPr="00F54B93">
        <w:rPr>
          <w:rFonts w:ascii="Times New Roman" w:hAnsi="Times New Roman"/>
        </w:rPr>
        <w:t xml:space="preserve">section of a hotel </w:t>
      </w:r>
      <w:r w:rsidR="008A5971" w:rsidRPr="00F54B93">
        <w:rPr>
          <w:rFonts w:ascii="Times New Roman" w:hAnsi="Times New Roman"/>
        </w:rPr>
        <w:t xml:space="preserve">and </w:t>
      </w:r>
      <w:r w:rsidR="005A66BE" w:rsidRPr="00F54B93">
        <w:rPr>
          <w:rFonts w:ascii="Times New Roman" w:hAnsi="Times New Roman"/>
        </w:rPr>
        <w:t>identified</w:t>
      </w:r>
      <w:r w:rsidR="00843B08" w:rsidRPr="00F54B93">
        <w:rPr>
          <w:rFonts w:ascii="Times New Roman" w:hAnsi="Times New Roman"/>
        </w:rPr>
        <w:t xml:space="preserve"> </w:t>
      </w:r>
      <w:r w:rsidR="00AD76AF" w:rsidRPr="00F54B93">
        <w:rPr>
          <w:rFonts w:ascii="Times New Roman" w:hAnsi="Times New Roman"/>
        </w:rPr>
        <w:t xml:space="preserve">that section </w:t>
      </w:r>
      <w:r w:rsidR="00843B08" w:rsidRPr="00F54B93">
        <w:rPr>
          <w:rFonts w:ascii="Times New Roman" w:hAnsi="Times New Roman"/>
        </w:rPr>
        <w:t>as a "museum"</w:t>
      </w:r>
      <w:r w:rsidR="00A14EFF" w:rsidRPr="00F54B93">
        <w:rPr>
          <w:rFonts w:ascii="Times New Roman" w:hAnsi="Times New Roman"/>
        </w:rPr>
        <w:t>,</w:t>
      </w:r>
      <w:r w:rsidR="00843B08" w:rsidRPr="00F54B93">
        <w:rPr>
          <w:rFonts w:ascii="Times New Roman" w:hAnsi="Times New Roman"/>
        </w:rPr>
        <w:t xml:space="preserve"> with the vehicles arranged to highlight the changing look </w:t>
      </w:r>
      <w:r w:rsidR="00843B08" w:rsidRPr="00F54B93">
        <w:rPr>
          <w:rFonts w:ascii="Times New Roman" w:hAnsi="Times New Roman"/>
        </w:rPr>
        <w:lastRenderedPageBreak/>
        <w:t xml:space="preserve">of them at their different times of manufacture. All cars displayed, however, were for sale. </w:t>
      </w:r>
      <w:r w:rsidR="00512554" w:rsidRPr="00F54B93">
        <w:rPr>
          <w:rFonts w:ascii="Times New Roman" w:hAnsi="Times New Roman"/>
        </w:rPr>
        <w:t>Mr De</w:t>
      </w:r>
      <w:r w:rsidR="00226700" w:rsidRPr="00F54B93">
        <w:rPr>
          <w:rFonts w:ascii="Times New Roman" w:hAnsi="Times New Roman"/>
        </w:rPr>
        <w:t>n</w:t>
      </w:r>
      <w:r w:rsidR="00512554" w:rsidRPr="00F54B93">
        <w:rPr>
          <w:rFonts w:ascii="Times New Roman" w:hAnsi="Times New Roman"/>
        </w:rPr>
        <w:t xml:space="preserve">ny </w:t>
      </w:r>
      <w:r w:rsidR="00322A12" w:rsidRPr="00F54B93">
        <w:rPr>
          <w:rFonts w:ascii="Times New Roman" w:hAnsi="Times New Roman"/>
        </w:rPr>
        <w:t>considered</w:t>
      </w:r>
      <w:r w:rsidR="00512554" w:rsidRPr="00F54B93">
        <w:rPr>
          <w:rFonts w:ascii="Times New Roman" w:hAnsi="Times New Roman"/>
        </w:rPr>
        <w:t xml:space="preserve"> </w:t>
      </w:r>
      <w:r w:rsidR="00322A12" w:rsidRPr="00F54B93">
        <w:rPr>
          <w:rFonts w:ascii="Times New Roman" w:hAnsi="Times New Roman"/>
        </w:rPr>
        <w:t xml:space="preserve">that </w:t>
      </w:r>
      <w:r w:rsidR="00512554" w:rsidRPr="00F54B93">
        <w:rPr>
          <w:rFonts w:ascii="Times New Roman" w:hAnsi="Times New Roman"/>
        </w:rPr>
        <w:t xml:space="preserve">this marketing method </w:t>
      </w:r>
      <w:r w:rsidR="00322A12" w:rsidRPr="00F54B93">
        <w:rPr>
          <w:rFonts w:ascii="Times New Roman" w:hAnsi="Times New Roman"/>
        </w:rPr>
        <w:t xml:space="preserve">gave the impression of each of the vehicles displayed having a greater provenance and value than they might otherwise have. He formed the view that any potential purchaser looking at these vehicles </w:t>
      </w:r>
      <w:r w:rsidR="00DE1A74" w:rsidRPr="00F54B93">
        <w:rPr>
          <w:rFonts w:ascii="Times New Roman" w:hAnsi="Times New Roman"/>
        </w:rPr>
        <w:t>would be more willing to buy at a higher price.</w:t>
      </w:r>
    </w:p>
    <w:p w14:paraId="06F4B894" w14:textId="1686F73D" w:rsidR="006975FF" w:rsidRPr="00F54B93" w:rsidRDefault="006975FF" w:rsidP="00F54B93">
      <w:pPr>
        <w:pStyle w:val="FixListStyle"/>
        <w:spacing w:after="260" w:line="280" w:lineRule="exact"/>
        <w:ind w:right="0"/>
        <w:jc w:val="both"/>
        <w:rPr>
          <w:rFonts w:ascii="Times New Roman" w:hAnsi="Times New Roman"/>
        </w:rPr>
      </w:pPr>
      <w:r w:rsidRPr="00F54B93">
        <w:rPr>
          <w:rFonts w:ascii="Times New Roman" w:hAnsi="Times New Roman"/>
        </w:rPr>
        <w:tab/>
        <w:t>On returning to Australia</w:t>
      </w:r>
      <w:r w:rsidR="00E507D2" w:rsidRPr="00F54B93">
        <w:rPr>
          <w:rFonts w:ascii="Times New Roman" w:hAnsi="Times New Roman"/>
        </w:rPr>
        <w:t>,</w:t>
      </w:r>
      <w:r w:rsidRPr="00F54B93">
        <w:rPr>
          <w:rFonts w:ascii="Times New Roman" w:hAnsi="Times New Roman"/>
        </w:rPr>
        <w:t xml:space="preserve"> Mr Denny wished to </w:t>
      </w:r>
      <w:r w:rsidR="008B5B5C" w:rsidRPr="00F54B93">
        <w:rPr>
          <w:rFonts w:ascii="Times New Roman" w:hAnsi="Times New Roman"/>
        </w:rPr>
        <w:t xml:space="preserve">establish a business of </w:t>
      </w:r>
      <w:r w:rsidR="00730AB4" w:rsidRPr="00F54B93">
        <w:rPr>
          <w:rFonts w:ascii="Times New Roman" w:hAnsi="Times New Roman"/>
        </w:rPr>
        <w:t xml:space="preserve">dealing in high-end </w:t>
      </w:r>
      <w:r w:rsidR="008B5B5C" w:rsidRPr="00F54B93">
        <w:rPr>
          <w:rFonts w:ascii="Times New Roman" w:hAnsi="Times New Roman"/>
        </w:rPr>
        <w:t xml:space="preserve">classic and luxury </w:t>
      </w:r>
      <w:r w:rsidR="00CC6F94" w:rsidRPr="00F54B93">
        <w:rPr>
          <w:rFonts w:ascii="Times New Roman" w:hAnsi="Times New Roman"/>
        </w:rPr>
        <w:t>cars</w:t>
      </w:r>
      <w:r w:rsidR="008B5B5C" w:rsidRPr="00F54B93">
        <w:rPr>
          <w:rFonts w:ascii="Times New Roman" w:hAnsi="Times New Roman"/>
        </w:rPr>
        <w:t>.</w:t>
      </w:r>
      <w:r w:rsidR="00DC7B44" w:rsidRPr="00F54B93">
        <w:rPr>
          <w:rFonts w:ascii="Times New Roman" w:hAnsi="Times New Roman"/>
        </w:rPr>
        <w:t xml:space="preserve"> </w:t>
      </w:r>
      <w:r w:rsidR="00CC0176" w:rsidRPr="00F54B93">
        <w:rPr>
          <w:rFonts w:ascii="Times New Roman" w:hAnsi="Times New Roman"/>
        </w:rPr>
        <w:t xml:space="preserve">He also decided to </w:t>
      </w:r>
      <w:r w:rsidR="001B0156" w:rsidRPr="00F54B93">
        <w:rPr>
          <w:rFonts w:ascii="Times New Roman" w:hAnsi="Times New Roman"/>
        </w:rPr>
        <w:t xml:space="preserve">adopt a similar model </w:t>
      </w:r>
      <w:r w:rsidR="001D6CF4" w:rsidRPr="00F54B93">
        <w:rPr>
          <w:rFonts w:ascii="Times New Roman" w:hAnsi="Times New Roman"/>
        </w:rPr>
        <w:t>for</w:t>
      </w:r>
      <w:r w:rsidR="001B0156" w:rsidRPr="00F54B93">
        <w:rPr>
          <w:rFonts w:ascii="Times New Roman" w:hAnsi="Times New Roman"/>
        </w:rPr>
        <w:t xml:space="preserve"> selling vehicles to that which he had earlier seen in Las</w:t>
      </w:r>
      <w:r w:rsidR="005B204F" w:rsidRPr="00F54B93">
        <w:rPr>
          <w:rFonts w:ascii="Times New Roman" w:hAnsi="Times New Roman"/>
        </w:rPr>
        <w:t> </w:t>
      </w:r>
      <w:r w:rsidR="001B0156" w:rsidRPr="00F54B93">
        <w:rPr>
          <w:rFonts w:ascii="Times New Roman" w:hAnsi="Times New Roman"/>
        </w:rPr>
        <w:t xml:space="preserve">Vegas </w:t>
      </w:r>
      <w:r w:rsidR="00FC033A" w:rsidRPr="00F54B93">
        <w:rPr>
          <w:rFonts w:ascii="Times New Roman" w:hAnsi="Times New Roman"/>
        </w:rPr>
        <w:t>–</w:t>
      </w:r>
      <w:r w:rsidR="001B0156" w:rsidRPr="00F54B93">
        <w:rPr>
          <w:rFonts w:ascii="Times New Roman" w:hAnsi="Times New Roman"/>
        </w:rPr>
        <w:t xml:space="preserve"> to present the vehicles for sale in what would be called a </w:t>
      </w:r>
      <w:r w:rsidR="00FB6772" w:rsidRPr="00F54B93">
        <w:rPr>
          <w:rFonts w:ascii="Times New Roman" w:hAnsi="Times New Roman"/>
        </w:rPr>
        <w:t>"</w:t>
      </w:r>
      <w:r w:rsidR="001B0156" w:rsidRPr="00F54B93">
        <w:rPr>
          <w:rFonts w:ascii="Times New Roman" w:hAnsi="Times New Roman"/>
        </w:rPr>
        <w:t>museum</w:t>
      </w:r>
      <w:r w:rsidR="00FB6772" w:rsidRPr="00F54B93">
        <w:rPr>
          <w:rFonts w:ascii="Times New Roman" w:hAnsi="Times New Roman"/>
        </w:rPr>
        <w:t>"</w:t>
      </w:r>
      <w:r w:rsidR="001B0156" w:rsidRPr="00F54B93">
        <w:rPr>
          <w:rFonts w:ascii="Times New Roman" w:hAnsi="Times New Roman"/>
        </w:rPr>
        <w:t xml:space="preserve"> to differentiate his new dealership from the rest of the market and achieve premium prices for the vehicles for sale.</w:t>
      </w:r>
    </w:p>
    <w:p w14:paraId="7DAF9C9D" w14:textId="39F2D1BF" w:rsidR="00C47DA0" w:rsidRPr="00F54B93" w:rsidRDefault="00C47DA0"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636817" w:rsidRPr="00F54B93">
        <w:rPr>
          <w:rFonts w:ascii="Times New Roman" w:hAnsi="Times New Roman"/>
        </w:rPr>
        <w:t xml:space="preserve">Mr Denny </w:t>
      </w:r>
      <w:r w:rsidRPr="00F54B93">
        <w:rPr>
          <w:rFonts w:ascii="Times New Roman" w:hAnsi="Times New Roman"/>
        </w:rPr>
        <w:t xml:space="preserve">then </w:t>
      </w:r>
      <w:r w:rsidR="00ED4418" w:rsidRPr="00F54B93">
        <w:rPr>
          <w:rFonts w:ascii="Times New Roman" w:hAnsi="Times New Roman"/>
        </w:rPr>
        <w:t xml:space="preserve">located a former warehouse site in </w:t>
      </w:r>
      <w:r w:rsidR="0076099E" w:rsidRPr="00F54B93">
        <w:rPr>
          <w:rFonts w:ascii="Times New Roman" w:hAnsi="Times New Roman"/>
        </w:rPr>
        <w:t xml:space="preserve">Gosford and </w:t>
      </w:r>
      <w:r w:rsidR="00146331" w:rsidRPr="00F54B93">
        <w:rPr>
          <w:rFonts w:ascii="Times New Roman" w:hAnsi="Times New Roman"/>
        </w:rPr>
        <w:t xml:space="preserve">had it </w:t>
      </w:r>
      <w:r w:rsidR="0076099E" w:rsidRPr="00F54B93">
        <w:rPr>
          <w:rFonts w:ascii="Times New Roman" w:hAnsi="Times New Roman"/>
        </w:rPr>
        <w:t xml:space="preserve">developed. </w:t>
      </w:r>
      <w:r w:rsidR="00936389" w:rsidRPr="00F54B93">
        <w:rPr>
          <w:rFonts w:ascii="Times New Roman" w:hAnsi="Times New Roman"/>
        </w:rPr>
        <w:t>The re</w:t>
      </w:r>
      <w:r w:rsidR="00E95110" w:rsidRPr="00F54B93">
        <w:rPr>
          <w:rFonts w:ascii="Times New Roman" w:hAnsi="Times New Roman"/>
        </w:rPr>
        <w:noBreakHyphen/>
      </w:r>
      <w:r w:rsidR="00936389" w:rsidRPr="00F54B93">
        <w:rPr>
          <w:rFonts w:ascii="Times New Roman" w:hAnsi="Times New Roman"/>
        </w:rPr>
        <w:t xml:space="preserve">developed site included a showroom, </w:t>
      </w:r>
      <w:r w:rsidR="00FB6772" w:rsidRPr="00F54B93">
        <w:rPr>
          <w:rFonts w:ascii="Times New Roman" w:hAnsi="Times New Roman"/>
        </w:rPr>
        <w:t>memorabilia</w:t>
      </w:r>
      <w:r w:rsidR="002B500B" w:rsidRPr="00F54B93">
        <w:rPr>
          <w:rFonts w:ascii="Times New Roman" w:hAnsi="Times New Roman"/>
        </w:rPr>
        <w:t xml:space="preserve"> </w:t>
      </w:r>
      <w:r w:rsidR="00E11979" w:rsidRPr="00F54B93">
        <w:rPr>
          <w:rFonts w:ascii="Times New Roman" w:hAnsi="Times New Roman"/>
        </w:rPr>
        <w:t xml:space="preserve">and merchandise </w:t>
      </w:r>
      <w:r w:rsidR="00904E4D" w:rsidRPr="00F54B93">
        <w:rPr>
          <w:rFonts w:ascii="Times New Roman" w:hAnsi="Times New Roman"/>
        </w:rPr>
        <w:t xml:space="preserve">shop, café, and offices. </w:t>
      </w:r>
      <w:r w:rsidR="00636817" w:rsidRPr="00F54B93">
        <w:rPr>
          <w:rFonts w:ascii="Times New Roman" w:hAnsi="Times New Roman"/>
        </w:rPr>
        <w:t xml:space="preserve">The appellant was licensed in New South Wales as a motor </w:t>
      </w:r>
      <w:r w:rsidR="00187479" w:rsidRPr="00F54B93">
        <w:rPr>
          <w:rFonts w:ascii="Times New Roman" w:hAnsi="Times New Roman"/>
        </w:rPr>
        <w:t xml:space="preserve">vehicle </w:t>
      </w:r>
      <w:r w:rsidR="00636817" w:rsidRPr="00F54B93">
        <w:rPr>
          <w:rFonts w:ascii="Times New Roman" w:hAnsi="Times New Roman"/>
        </w:rPr>
        <w:t>dealer.</w:t>
      </w:r>
      <w:r w:rsidR="00FB6772" w:rsidRPr="00F54B93">
        <w:rPr>
          <w:rFonts w:ascii="Times New Roman" w:hAnsi="Times New Roman"/>
        </w:rPr>
        <w:t xml:space="preserve"> </w:t>
      </w:r>
      <w:r w:rsidR="00263679" w:rsidRPr="00F54B93">
        <w:rPr>
          <w:rFonts w:ascii="Times New Roman" w:hAnsi="Times New Roman"/>
        </w:rPr>
        <w:t>According to Mr Denny</w:t>
      </w:r>
      <w:r w:rsidR="00E507D2" w:rsidRPr="00F54B93">
        <w:rPr>
          <w:rFonts w:ascii="Times New Roman" w:hAnsi="Times New Roman"/>
        </w:rPr>
        <w:t>,</w:t>
      </w:r>
      <w:r w:rsidR="00263679" w:rsidRPr="00F54B93">
        <w:rPr>
          <w:rFonts w:ascii="Times New Roman" w:hAnsi="Times New Roman"/>
        </w:rPr>
        <w:t xml:space="preserve"> the business conducted from these premises employed</w:t>
      </w:r>
      <w:r w:rsidR="00825A8E" w:rsidRPr="00F54B93">
        <w:rPr>
          <w:rFonts w:ascii="Times New Roman" w:hAnsi="Times New Roman"/>
        </w:rPr>
        <w:t xml:space="preserve"> in total, until its closure,</w:t>
      </w:r>
      <w:r w:rsidR="00263679" w:rsidRPr="00F54B93">
        <w:rPr>
          <w:rFonts w:ascii="Times New Roman" w:hAnsi="Times New Roman"/>
        </w:rPr>
        <w:t xml:space="preserve"> </w:t>
      </w:r>
      <w:r w:rsidR="00D20743" w:rsidRPr="00F54B93">
        <w:rPr>
          <w:rFonts w:ascii="Times New Roman" w:hAnsi="Times New Roman"/>
        </w:rPr>
        <w:t xml:space="preserve">11 </w:t>
      </w:r>
      <w:r w:rsidR="00EB26EA" w:rsidRPr="00F54B93">
        <w:rPr>
          <w:rFonts w:ascii="Times New Roman" w:hAnsi="Times New Roman"/>
        </w:rPr>
        <w:t>salespeople, six mechanics</w:t>
      </w:r>
      <w:r w:rsidR="00603548" w:rsidRPr="00F54B93">
        <w:rPr>
          <w:rFonts w:ascii="Times New Roman" w:hAnsi="Times New Roman"/>
        </w:rPr>
        <w:t xml:space="preserve"> at its peak</w:t>
      </w:r>
      <w:r w:rsidR="00EB26EA" w:rsidRPr="00F54B93">
        <w:rPr>
          <w:rFonts w:ascii="Times New Roman" w:hAnsi="Times New Roman"/>
        </w:rPr>
        <w:t xml:space="preserve">, operational staff </w:t>
      </w:r>
      <w:r w:rsidR="006907C9" w:rsidRPr="00F54B93">
        <w:rPr>
          <w:rFonts w:ascii="Times New Roman" w:hAnsi="Times New Roman"/>
        </w:rPr>
        <w:t>(</w:t>
      </w:r>
      <w:r w:rsidR="00EB26EA" w:rsidRPr="00F54B93">
        <w:rPr>
          <w:rFonts w:ascii="Times New Roman" w:hAnsi="Times New Roman"/>
        </w:rPr>
        <w:t>who would move the vehicles around as necessary, keep the site clean, and make sure that visitors did not touch the vehicles</w:t>
      </w:r>
      <w:r w:rsidR="006907C9" w:rsidRPr="00F54B93">
        <w:rPr>
          <w:rFonts w:ascii="Times New Roman" w:hAnsi="Times New Roman"/>
        </w:rPr>
        <w:t>)</w:t>
      </w:r>
      <w:r w:rsidR="00EB26EA" w:rsidRPr="00F54B93">
        <w:rPr>
          <w:rFonts w:ascii="Times New Roman" w:hAnsi="Times New Roman"/>
        </w:rPr>
        <w:t xml:space="preserve">, and marketing staff </w:t>
      </w:r>
      <w:r w:rsidR="006907C9" w:rsidRPr="00F54B93">
        <w:rPr>
          <w:rFonts w:ascii="Times New Roman" w:hAnsi="Times New Roman"/>
        </w:rPr>
        <w:t>(</w:t>
      </w:r>
      <w:r w:rsidR="00EB26EA" w:rsidRPr="00F54B93">
        <w:rPr>
          <w:rFonts w:ascii="Times New Roman" w:hAnsi="Times New Roman"/>
        </w:rPr>
        <w:t>who assisted and worked closely with the salespeople, but were not responsible for selling the vehicles</w:t>
      </w:r>
      <w:r w:rsidR="00AD645D" w:rsidRPr="00F54B93">
        <w:rPr>
          <w:rFonts w:ascii="Times New Roman" w:hAnsi="Times New Roman"/>
        </w:rPr>
        <w:t>)</w:t>
      </w:r>
      <w:r w:rsidR="00EB26EA" w:rsidRPr="00F54B93">
        <w:rPr>
          <w:rFonts w:ascii="Times New Roman" w:hAnsi="Times New Roman"/>
        </w:rPr>
        <w:t xml:space="preserve">. </w:t>
      </w:r>
      <w:r w:rsidR="00CD6BC6" w:rsidRPr="00F54B93">
        <w:rPr>
          <w:rFonts w:ascii="Times New Roman" w:hAnsi="Times New Roman"/>
        </w:rPr>
        <w:t xml:space="preserve">The marketing staff </w:t>
      </w:r>
      <w:r w:rsidR="00AC7FA8" w:rsidRPr="00F54B93">
        <w:rPr>
          <w:rFonts w:ascii="Times New Roman" w:hAnsi="Times New Roman"/>
        </w:rPr>
        <w:t>"</w:t>
      </w:r>
      <w:r w:rsidR="00CD6BC6" w:rsidRPr="00F54B93">
        <w:rPr>
          <w:rFonts w:ascii="Times New Roman" w:hAnsi="Times New Roman"/>
        </w:rPr>
        <w:t>were responsible for increasing attendance at the dealership, organising for television media attendances, and placing sale advertisements for the vehicles in magazines and on websites"</w:t>
      </w:r>
      <w:r w:rsidR="00A92A82" w:rsidRPr="00F54B93">
        <w:rPr>
          <w:rFonts w:ascii="Times New Roman" w:hAnsi="Times New Roman"/>
        </w:rPr>
        <w:t>.</w:t>
      </w:r>
      <w:r w:rsidR="00CD6BC6" w:rsidRPr="00F54B93">
        <w:rPr>
          <w:rFonts w:ascii="Times New Roman" w:hAnsi="Times New Roman"/>
        </w:rPr>
        <w:t xml:space="preserve"> </w:t>
      </w:r>
      <w:r w:rsidR="00AD5CA4" w:rsidRPr="00F54B93">
        <w:rPr>
          <w:rFonts w:ascii="Times New Roman" w:hAnsi="Times New Roman"/>
        </w:rPr>
        <w:t xml:space="preserve">There were also other </w:t>
      </w:r>
      <w:r w:rsidR="00CD6BC6" w:rsidRPr="00F54B93">
        <w:rPr>
          <w:rFonts w:ascii="Times New Roman" w:hAnsi="Times New Roman"/>
        </w:rPr>
        <w:t>staff "</w:t>
      </w:r>
      <w:r w:rsidR="00B35B28" w:rsidRPr="00F54B93">
        <w:rPr>
          <w:rFonts w:ascii="Times New Roman" w:hAnsi="Times New Roman"/>
        </w:rPr>
        <w:t>responsible for general administration</w:t>
      </w:r>
      <w:r w:rsidR="00D8606C" w:rsidRPr="00F54B93">
        <w:rPr>
          <w:rFonts w:ascii="Times New Roman" w:hAnsi="Times New Roman"/>
        </w:rPr>
        <w:t>,</w:t>
      </w:r>
      <w:r w:rsidR="00B35B28" w:rsidRPr="00F54B93">
        <w:rPr>
          <w:rFonts w:ascii="Times New Roman" w:hAnsi="Times New Roman"/>
        </w:rPr>
        <w:t xml:space="preserve"> and selling admission tickets" to the premises</w:t>
      </w:r>
      <w:r w:rsidR="0023564C" w:rsidRPr="00F54B93">
        <w:rPr>
          <w:rFonts w:ascii="Times New Roman" w:hAnsi="Times New Roman"/>
        </w:rPr>
        <w:t>.</w:t>
      </w:r>
    </w:p>
    <w:p w14:paraId="42B0E9C9" w14:textId="6E412ECA" w:rsidR="00FD71C7" w:rsidRPr="00F54B93" w:rsidRDefault="00FD71C7" w:rsidP="00F54B93">
      <w:pPr>
        <w:pStyle w:val="FixListStyle"/>
        <w:spacing w:after="260" w:line="280" w:lineRule="exact"/>
        <w:ind w:right="0"/>
        <w:jc w:val="both"/>
        <w:rPr>
          <w:rFonts w:ascii="Times New Roman" w:hAnsi="Times New Roman"/>
        </w:rPr>
      </w:pPr>
      <w:r w:rsidRPr="00F54B93">
        <w:rPr>
          <w:rFonts w:ascii="Times New Roman" w:hAnsi="Times New Roman"/>
        </w:rPr>
        <w:tab/>
        <w:t>Mr Denny said that</w:t>
      </w:r>
      <w:r w:rsidR="00A77DAF" w:rsidRPr="00F54B93">
        <w:rPr>
          <w:rFonts w:ascii="Times New Roman" w:hAnsi="Times New Roman"/>
        </w:rPr>
        <w:t>,</w:t>
      </w:r>
      <w:r w:rsidRPr="00F54B93">
        <w:rPr>
          <w:rFonts w:ascii="Times New Roman" w:hAnsi="Times New Roman"/>
        </w:rPr>
        <w:t xml:space="preserve"> between </w:t>
      </w:r>
      <w:r w:rsidR="00FD2172" w:rsidRPr="00F54B93">
        <w:rPr>
          <w:rFonts w:ascii="Times New Roman" w:hAnsi="Times New Roman"/>
        </w:rPr>
        <w:t>January 2015 and June 2020</w:t>
      </w:r>
      <w:r w:rsidR="00A77DAF" w:rsidRPr="00F54B93">
        <w:rPr>
          <w:rFonts w:ascii="Times New Roman" w:hAnsi="Times New Roman"/>
        </w:rPr>
        <w:t>,</w:t>
      </w:r>
      <w:r w:rsidR="00FD2172" w:rsidRPr="00F54B93">
        <w:rPr>
          <w:rFonts w:ascii="Times New Roman" w:hAnsi="Times New Roman"/>
        </w:rPr>
        <w:t xml:space="preserve"> the appellant bought and sold 852 vehicles. </w:t>
      </w:r>
      <w:r w:rsidR="00170134" w:rsidRPr="00F54B93">
        <w:rPr>
          <w:rFonts w:ascii="Times New Roman" w:hAnsi="Times New Roman"/>
        </w:rPr>
        <w:t>The premises</w:t>
      </w:r>
      <w:r w:rsidR="000473C0" w:rsidRPr="00F54B93">
        <w:rPr>
          <w:rFonts w:ascii="Times New Roman" w:hAnsi="Times New Roman"/>
        </w:rPr>
        <w:t xml:space="preserve"> </w:t>
      </w:r>
      <w:r w:rsidR="00792A7F" w:rsidRPr="00F54B93">
        <w:rPr>
          <w:rFonts w:ascii="Times New Roman" w:hAnsi="Times New Roman"/>
        </w:rPr>
        <w:t xml:space="preserve">(to adopt a neutral term) </w:t>
      </w:r>
      <w:r w:rsidR="000473C0" w:rsidRPr="00F54B93">
        <w:rPr>
          <w:rFonts w:ascii="Times New Roman" w:hAnsi="Times New Roman"/>
        </w:rPr>
        <w:t xml:space="preserve">did </w:t>
      </w:r>
      <w:r w:rsidR="00170134" w:rsidRPr="00F54B93">
        <w:rPr>
          <w:rFonts w:ascii="Times New Roman" w:hAnsi="Times New Roman"/>
        </w:rPr>
        <w:t xml:space="preserve">not open until </w:t>
      </w:r>
      <w:r w:rsidR="000473C0" w:rsidRPr="00F54B93">
        <w:rPr>
          <w:rFonts w:ascii="Times New Roman" w:hAnsi="Times New Roman"/>
        </w:rPr>
        <w:t>28 May 2016</w:t>
      </w:r>
      <w:r w:rsidR="00E364D5" w:rsidRPr="00F54B93">
        <w:rPr>
          <w:rFonts w:ascii="Times New Roman" w:hAnsi="Times New Roman"/>
        </w:rPr>
        <w:t>,</w:t>
      </w:r>
      <w:r w:rsidR="000473C0" w:rsidRPr="00F54B93">
        <w:rPr>
          <w:rFonts w:ascii="Times New Roman" w:hAnsi="Times New Roman"/>
        </w:rPr>
        <w:t xml:space="preserve"> and before that date the appellant sold vehicles</w:t>
      </w:r>
      <w:r w:rsidR="00361BD9" w:rsidRPr="00F54B93">
        <w:rPr>
          <w:rFonts w:ascii="Times New Roman" w:hAnsi="Times New Roman"/>
        </w:rPr>
        <w:t xml:space="preserve"> by advertising</w:t>
      </w:r>
      <w:r w:rsidR="000473C0" w:rsidRPr="00F54B93">
        <w:rPr>
          <w:rFonts w:ascii="Times New Roman" w:hAnsi="Times New Roman"/>
        </w:rPr>
        <w:t xml:space="preserve"> </w:t>
      </w:r>
      <w:r w:rsidR="00B07773" w:rsidRPr="00F54B93">
        <w:rPr>
          <w:rFonts w:ascii="Times New Roman" w:hAnsi="Times New Roman"/>
        </w:rPr>
        <w:t>on the internet. Mr Denny said that "</w:t>
      </w:r>
      <w:r w:rsidR="00402700" w:rsidRPr="00F54B93">
        <w:rPr>
          <w:rFonts w:ascii="Times New Roman" w:hAnsi="Times New Roman"/>
        </w:rPr>
        <w:t xml:space="preserve">[a]ll </w:t>
      </w:r>
      <w:r w:rsidR="007D6BBF" w:rsidRPr="00F54B93">
        <w:rPr>
          <w:rFonts w:ascii="Times New Roman" w:hAnsi="Times New Roman"/>
        </w:rPr>
        <w:t>of the vehicles in stock on that date [28</w:t>
      </w:r>
      <w:r w:rsidR="00EB5B31">
        <w:rPr>
          <w:rFonts w:ascii="Times New Roman" w:hAnsi="Times New Roman"/>
        </w:rPr>
        <w:t> </w:t>
      </w:r>
      <w:r w:rsidR="007D6BBF" w:rsidRPr="00F54B93">
        <w:rPr>
          <w:rFonts w:ascii="Times New Roman" w:hAnsi="Times New Roman"/>
        </w:rPr>
        <w:t>May 2016] were for sale prior to the showroom being opened and remained for sale from that time"</w:t>
      </w:r>
      <w:r w:rsidR="00A248DA" w:rsidRPr="00F54B93">
        <w:rPr>
          <w:rFonts w:ascii="Times New Roman" w:hAnsi="Times New Roman"/>
        </w:rPr>
        <w:t>.</w:t>
      </w:r>
    </w:p>
    <w:p w14:paraId="1F8E058C" w14:textId="40EFD174" w:rsidR="005E27EF" w:rsidRPr="00F54B93" w:rsidRDefault="005E27EF" w:rsidP="00F54B93">
      <w:pPr>
        <w:pStyle w:val="FixListStyle"/>
        <w:spacing w:after="260" w:line="280" w:lineRule="exact"/>
        <w:ind w:right="0"/>
        <w:jc w:val="both"/>
        <w:rPr>
          <w:rFonts w:ascii="Times New Roman" w:hAnsi="Times New Roman"/>
        </w:rPr>
      </w:pPr>
      <w:r w:rsidRPr="00F54B93">
        <w:rPr>
          <w:rFonts w:ascii="Times New Roman" w:hAnsi="Times New Roman"/>
        </w:rPr>
        <w:tab/>
        <w:t>According to Mr Denny</w:t>
      </w:r>
      <w:r w:rsidR="009B4354" w:rsidRPr="00F54B93">
        <w:rPr>
          <w:rFonts w:ascii="Times New Roman" w:hAnsi="Times New Roman"/>
        </w:rPr>
        <w:t>,</w:t>
      </w:r>
      <w:r w:rsidRPr="00F54B93">
        <w:rPr>
          <w:rFonts w:ascii="Times New Roman" w:hAnsi="Times New Roman"/>
        </w:rPr>
        <w:t xml:space="preserve"> by "</w:t>
      </w:r>
      <w:r w:rsidR="00EF6D12" w:rsidRPr="00F54B93">
        <w:rPr>
          <w:rFonts w:ascii="Times New Roman" w:hAnsi="Times New Roman"/>
        </w:rPr>
        <w:t xml:space="preserve">adopting a </w:t>
      </w:r>
      <w:r w:rsidR="004F29C1" w:rsidRPr="00F54B93">
        <w:rPr>
          <w:rFonts w:ascii="Times New Roman" w:hAnsi="Times New Roman"/>
        </w:rPr>
        <w:t>'</w:t>
      </w:r>
      <w:r w:rsidR="00EF6D12" w:rsidRPr="00F54B93">
        <w:rPr>
          <w:rFonts w:ascii="Times New Roman" w:hAnsi="Times New Roman"/>
        </w:rPr>
        <w:t>museum</w:t>
      </w:r>
      <w:r w:rsidR="004F29C1" w:rsidRPr="00F54B93">
        <w:rPr>
          <w:rFonts w:ascii="Times New Roman" w:hAnsi="Times New Roman"/>
        </w:rPr>
        <w:t>'</w:t>
      </w:r>
      <w:r w:rsidR="00EF6D12" w:rsidRPr="00F54B93">
        <w:rPr>
          <w:rFonts w:ascii="Times New Roman" w:hAnsi="Times New Roman"/>
        </w:rPr>
        <w:t xml:space="preserve"> concept and by charging an admission price, [his] main intention was to create a level of exclusivity and attract genuine potential customers"</w:t>
      </w:r>
      <w:r w:rsidR="00B448AB" w:rsidRPr="00F54B93">
        <w:rPr>
          <w:rFonts w:ascii="Times New Roman" w:hAnsi="Times New Roman"/>
        </w:rPr>
        <w:t>,</w:t>
      </w:r>
      <w:r w:rsidR="00EF6D12" w:rsidRPr="00F54B93">
        <w:rPr>
          <w:rFonts w:ascii="Times New Roman" w:hAnsi="Times New Roman"/>
        </w:rPr>
        <w:t xml:space="preserve"> and charging "</w:t>
      </w:r>
      <w:r w:rsidR="004F4314" w:rsidRPr="00F54B93">
        <w:rPr>
          <w:rFonts w:ascii="Times New Roman" w:hAnsi="Times New Roman"/>
        </w:rPr>
        <w:t xml:space="preserve">an admission fee also had the advantage of discouraging </w:t>
      </w:r>
      <w:r w:rsidR="008B0EF0" w:rsidRPr="00F54B93">
        <w:rPr>
          <w:rFonts w:ascii="Times New Roman" w:hAnsi="Times New Roman"/>
        </w:rPr>
        <w:t>'</w:t>
      </w:r>
      <w:r w:rsidR="004F4314" w:rsidRPr="00F54B93">
        <w:rPr>
          <w:rFonts w:ascii="Times New Roman" w:hAnsi="Times New Roman"/>
        </w:rPr>
        <w:t>tyre kickers</w:t>
      </w:r>
      <w:r w:rsidR="008B0EF0" w:rsidRPr="00F54B93">
        <w:rPr>
          <w:rFonts w:ascii="Times New Roman" w:hAnsi="Times New Roman"/>
        </w:rPr>
        <w:t>'</w:t>
      </w:r>
      <w:r w:rsidR="004F4314" w:rsidRPr="00F54B93">
        <w:rPr>
          <w:rFonts w:ascii="Times New Roman" w:hAnsi="Times New Roman"/>
        </w:rPr>
        <w:t>"</w:t>
      </w:r>
      <w:r w:rsidR="00056FF5" w:rsidRPr="00F54B93">
        <w:rPr>
          <w:rFonts w:ascii="Times New Roman" w:hAnsi="Times New Roman"/>
        </w:rPr>
        <w:t>.</w:t>
      </w:r>
    </w:p>
    <w:p w14:paraId="795C9FB2" w14:textId="5944C6C1" w:rsidR="00871A5B" w:rsidRPr="00F54B93" w:rsidRDefault="00871A5B" w:rsidP="00F54B93">
      <w:pPr>
        <w:pStyle w:val="FixListStyle"/>
        <w:spacing w:after="260" w:line="280" w:lineRule="exact"/>
        <w:ind w:right="0"/>
        <w:jc w:val="both"/>
        <w:rPr>
          <w:rFonts w:ascii="Times New Roman" w:hAnsi="Times New Roman"/>
        </w:rPr>
      </w:pPr>
      <w:r w:rsidRPr="00F54B93">
        <w:rPr>
          <w:rFonts w:ascii="Times New Roman" w:hAnsi="Times New Roman"/>
        </w:rPr>
        <w:tab/>
        <w:t xml:space="preserve">Because of a global downturn in the </w:t>
      </w:r>
      <w:r w:rsidR="00F805F7" w:rsidRPr="00F54B93">
        <w:rPr>
          <w:rFonts w:ascii="Times New Roman" w:hAnsi="Times New Roman"/>
        </w:rPr>
        <w:t xml:space="preserve">classic and </w:t>
      </w:r>
      <w:r w:rsidRPr="00F54B93">
        <w:rPr>
          <w:rFonts w:ascii="Times New Roman" w:hAnsi="Times New Roman"/>
        </w:rPr>
        <w:t>luxury car market</w:t>
      </w:r>
      <w:r w:rsidR="007F296B" w:rsidRPr="00F54B93">
        <w:rPr>
          <w:rFonts w:ascii="Times New Roman" w:hAnsi="Times New Roman"/>
        </w:rPr>
        <w:t>,</w:t>
      </w:r>
      <w:r w:rsidRPr="00F54B93">
        <w:rPr>
          <w:rFonts w:ascii="Times New Roman" w:hAnsi="Times New Roman"/>
        </w:rPr>
        <w:t xml:space="preserve"> M</w:t>
      </w:r>
      <w:r w:rsidR="005A5684" w:rsidRPr="00F54B93">
        <w:rPr>
          <w:rFonts w:ascii="Times New Roman" w:hAnsi="Times New Roman"/>
        </w:rPr>
        <w:t>r</w:t>
      </w:r>
      <w:r w:rsidRPr="00F54B93">
        <w:rPr>
          <w:rFonts w:ascii="Times New Roman" w:hAnsi="Times New Roman"/>
        </w:rPr>
        <w:t xml:space="preserve"> Denny </w:t>
      </w:r>
      <w:r w:rsidR="005A5684" w:rsidRPr="00F54B93">
        <w:rPr>
          <w:rFonts w:ascii="Times New Roman" w:hAnsi="Times New Roman"/>
        </w:rPr>
        <w:t>found it difficult to find purchasers for some of the higher</w:t>
      </w:r>
      <w:r w:rsidR="008E2389" w:rsidRPr="00F54B93">
        <w:rPr>
          <w:rFonts w:ascii="Times New Roman" w:hAnsi="Times New Roman"/>
        </w:rPr>
        <w:noBreakHyphen/>
      </w:r>
      <w:r w:rsidR="005A5684" w:rsidRPr="00F54B93">
        <w:rPr>
          <w:rFonts w:ascii="Times New Roman" w:hAnsi="Times New Roman"/>
        </w:rPr>
        <w:t xml:space="preserve">end vehicles at the price </w:t>
      </w:r>
      <w:r w:rsidR="006A1F47" w:rsidRPr="00F54B93">
        <w:rPr>
          <w:rFonts w:ascii="Times New Roman" w:hAnsi="Times New Roman"/>
        </w:rPr>
        <w:t xml:space="preserve">for which </w:t>
      </w:r>
      <w:r w:rsidR="005A5684" w:rsidRPr="00F54B93">
        <w:rPr>
          <w:rFonts w:ascii="Times New Roman" w:hAnsi="Times New Roman"/>
        </w:rPr>
        <w:t xml:space="preserve">he was willing </w:t>
      </w:r>
      <w:r w:rsidR="006A1F47" w:rsidRPr="00F54B93">
        <w:rPr>
          <w:rFonts w:ascii="Times New Roman" w:hAnsi="Times New Roman"/>
        </w:rPr>
        <w:t xml:space="preserve">to sell. Accordingly, the appellant ended up holding on to some cars for much longer than </w:t>
      </w:r>
      <w:r w:rsidR="004E5FB4" w:rsidRPr="00F54B93">
        <w:rPr>
          <w:rFonts w:ascii="Times New Roman" w:hAnsi="Times New Roman"/>
        </w:rPr>
        <w:t>Mr Denny</w:t>
      </w:r>
      <w:r w:rsidR="006A1F47" w:rsidRPr="00F54B93">
        <w:rPr>
          <w:rFonts w:ascii="Times New Roman" w:hAnsi="Times New Roman"/>
        </w:rPr>
        <w:t xml:space="preserve"> would have preferred, and/or sold them for only small margins and sometimes at a loss.</w:t>
      </w:r>
    </w:p>
    <w:p w14:paraId="6A2FCCE9" w14:textId="3C2735A0" w:rsidR="006A1F47" w:rsidRPr="00F54B93" w:rsidRDefault="002225D6" w:rsidP="00F54B93">
      <w:pPr>
        <w:pStyle w:val="HeadingL2"/>
        <w:spacing w:after="260" w:line="280" w:lineRule="exact"/>
        <w:ind w:right="0"/>
        <w:jc w:val="both"/>
        <w:rPr>
          <w:rFonts w:ascii="Times New Roman" w:hAnsi="Times New Roman"/>
        </w:rPr>
      </w:pPr>
      <w:r w:rsidRPr="00F54B93">
        <w:rPr>
          <w:rFonts w:ascii="Times New Roman" w:hAnsi="Times New Roman"/>
        </w:rPr>
        <w:lastRenderedPageBreak/>
        <w:t xml:space="preserve">The primary judge's </w:t>
      </w:r>
      <w:r w:rsidR="003B15C0" w:rsidRPr="00F54B93">
        <w:rPr>
          <w:rFonts w:ascii="Times New Roman" w:hAnsi="Times New Roman"/>
        </w:rPr>
        <w:t>findings</w:t>
      </w:r>
    </w:p>
    <w:p w14:paraId="4D1BDC0B" w14:textId="77777777" w:rsidR="0021172B" w:rsidRPr="00F54B93" w:rsidRDefault="003B15C0" w:rsidP="00F54B93">
      <w:pPr>
        <w:pStyle w:val="FixListStyle"/>
        <w:spacing w:after="260" w:line="280" w:lineRule="exact"/>
        <w:ind w:right="0"/>
        <w:jc w:val="both"/>
        <w:rPr>
          <w:rFonts w:ascii="Times New Roman" w:hAnsi="Times New Roman"/>
        </w:rPr>
      </w:pPr>
      <w:r w:rsidRPr="00F54B93">
        <w:rPr>
          <w:rFonts w:ascii="Times New Roman" w:hAnsi="Times New Roman"/>
        </w:rPr>
        <w:tab/>
        <w:t xml:space="preserve">The primary judge's findings </w:t>
      </w:r>
      <w:r w:rsidR="0021172B" w:rsidRPr="00F54B93">
        <w:rPr>
          <w:rFonts w:ascii="Times New Roman" w:hAnsi="Times New Roman"/>
        </w:rPr>
        <w:t>are set out below.</w:t>
      </w:r>
    </w:p>
    <w:p w14:paraId="28C242E7" w14:textId="5C082945" w:rsidR="003B15C0" w:rsidRPr="00F54B93" w:rsidRDefault="0021172B" w:rsidP="00F54B93">
      <w:pPr>
        <w:pStyle w:val="FixListStyle"/>
        <w:spacing w:after="260" w:line="280" w:lineRule="exact"/>
        <w:ind w:right="0"/>
        <w:jc w:val="both"/>
        <w:rPr>
          <w:rFonts w:ascii="Times New Roman" w:hAnsi="Times New Roman"/>
        </w:rPr>
      </w:pPr>
      <w:r w:rsidRPr="00F54B93">
        <w:rPr>
          <w:rFonts w:ascii="Times New Roman" w:hAnsi="Times New Roman"/>
        </w:rPr>
        <w:tab/>
        <w:t>T</w:t>
      </w:r>
      <w:r w:rsidR="003B15C0" w:rsidRPr="00F54B93">
        <w:rPr>
          <w:rFonts w:ascii="Times New Roman" w:hAnsi="Times New Roman"/>
        </w:rPr>
        <w:t xml:space="preserve">he </w:t>
      </w:r>
      <w:r w:rsidR="00792A7F" w:rsidRPr="00F54B93">
        <w:rPr>
          <w:rFonts w:ascii="Times New Roman" w:hAnsi="Times New Roman"/>
        </w:rPr>
        <w:t xml:space="preserve">premises </w:t>
      </w:r>
      <w:r w:rsidR="00572E1D" w:rsidRPr="00F54B93">
        <w:rPr>
          <w:rFonts w:ascii="Times New Roman" w:hAnsi="Times New Roman"/>
        </w:rPr>
        <w:t xml:space="preserve">attracted 13,000 visitors in the first month of the premises opening. </w:t>
      </w:r>
      <w:r w:rsidR="0022722E" w:rsidRPr="00F54B93">
        <w:rPr>
          <w:rFonts w:ascii="Times New Roman" w:hAnsi="Times New Roman"/>
        </w:rPr>
        <w:t>About a year later</w:t>
      </w:r>
      <w:r w:rsidR="00C064B0" w:rsidRPr="00F54B93">
        <w:rPr>
          <w:rFonts w:ascii="Times New Roman" w:hAnsi="Times New Roman"/>
        </w:rPr>
        <w:t>,</w:t>
      </w:r>
      <w:r w:rsidR="0022722E" w:rsidRPr="00F54B93">
        <w:rPr>
          <w:rFonts w:ascii="Times New Roman" w:hAnsi="Times New Roman"/>
        </w:rPr>
        <w:t xml:space="preserve"> over 100,000 people had visited the premises.</w:t>
      </w:r>
      <w:r w:rsidR="00274150" w:rsidRPr="00F54B93">
        <w:rPr>
          <w:rFonts w:ascii="Times New Roman" w:hAnsi="Times New Roman"/>
        </w:rPr>
        <w:t xml:space="preserve"> Within a </w:t>
      </w:r>
      <w:r w:rsidR="00D467AC" w:rsidRPr="00F54B93">
        <w:rPr>
          <w:rFonts w:ascii="Times New Roman" w:hAnsi="Times New Roman"/>
        </w:rPr>
        <w:t>s</w:t>
      </w:r>
      <w:r w:rsidR="00274150" w:rsidRPr="00F54B93">
        <w:rPr>
          <w:rFonts w:ascii="Times New Roman" w:hAnsi="Times New Roman"/>
        </w:rPr>
        <w:t xml:space="preserve">hort time of opening, there were over 400 </w:t>
      </w:r>
      <w:r w:rsidR="00D467AC" w:rsidRPr="00F54B93">
        <w:rPr>
          <w:rFonts w:ascii="Times New Roman" w:hAnsi="Times New Roman"/>
        </w:rPr>
        <w:t>vehicles</w:t>
      </w:r>
      <w:r w:rsidR="00274150" w:rsidRPr="00F54B93">
        <w:rPr>
          <w:rFonts w:ascii="Times New Roman" w:hAnsi="Times New Roman"/>
        </w:rPr>
        <w:t xml:space="preserve"> </w:t>
      </w:r>
      <w:r w:rsidR="004B6BB2" w:rsidRPr="00F54B93">
        <w:rPr>
          <w:rFonts w:ascii="Times New Roman" w:hAnsi="Times New Roman"/>
        </w:rPr>
        <w:t xml:space="preserve">housed </w:t>
      </w:r>
      <w:r w:rsidR="00274150" w:rsidRPr="00F54B93">
        <w:rPr>
          <w:rFonts w:ascii="Times New Roman" w:hAnsi="Times New Roman"/>
        </w:rPr>
        <w:t>in the premises.</w:t>
      </w:r>
    </w:p>
    <w:p w14:paraId="7B2BE751" w14:textId="307A9E6B" w:rsidR="00E75C96" w:rsidRPr="00F54B93" w:rsidRDefault="00D467AC" w:rsidP="00F54B93">
      <w:pPr>
        <w:pStyle w:val="FixListStyle"/>
        <w:spacing w:after="260" w:line="280" w:lineRule="exact"/>
        <w:ind w:right="0"/>
        <w:jc w:val="both"/>
        <w:rPr>
          <w:rFonts w:ascii="Times New Roman" w:hAnsi="Times New Roman"/>
        </w:rPr>
      </w:pPr>
      <w:r w:rsidRPr="00F54B93">
        <w:rPr>
          <w:rFonts w:ascii="Times New Roman" w:hAnsi="Times New Roman"/>
        </w:rPr>
        <w:tab/>
        <w:t xml:space="preserve">The appellant's </w:t>
      </w:r>
      <w:r w:rsidR="000913D0" w:rsidRPr="00F54B93">
        <w:rPr>
          <w:rFonts w:ascii="Times New Roman" w:hAnsi="Times New Roman"/>
        </w:rPr>
        <w:t>marketing</w:t>
      </w:r>
      <w:r w:rsidRPr="00F54B93">
        <w:rPr>
          <w:rFonts w:ascii="Times New Roman" w:hAnsi="Times New Roman"/>
        </w:rPr>
        <w:t xml:space="preserve"> staff promoted the premises as a </w:t>
      </w:r>
      <w:r w:rsidR="000913D0" w:rsidRPr="00F54B93">
        <w:rPr>
          <w:rFonts w:ascii="Times New Roman" w:hAnsi="Times New Roman"/>
        </w:rPr>
        <w:t>tourist attraction. The promotions included videos on the appellant's YouTube channel</w:t>
      </w:r>
      <w:r w:rsidR="00CD0BA9" w:rsidRPr="00F54B93">
        <w:rPr>
          <w:rFonts w:ascii="Times New Roman" w:hAnsi="Times New Roman"/>
        </w:rPr>
        <w:t>,</w:t>
      </w:r>
      <w:r w:rsidR="000913D0" w:rsidRPr="00F54B93">
        <w:rPr>
          <w:rFonts w:ascii="Times New Roman" w:hAnsi="Times New Roman"/>
        </w:rPr>
        <w:t xml:space="preserve"> </w:t>
      </w:r>
      <w:r w:rsidR="00B364FD" w:rsidRPr="00F54B93">
        <w:rPr>
          <w:rFonts w:ascii="Times New Roman" w:hAnsi="Times New Roman"/>
        </w:rPr>
        <w:t xml:space="preserve">and </w:t>
      </w:r>
      <w:r w:rsidR="003E51A1" w:rsidRPr="00F54B93">
        <w:rPr>
          <w:rFonts w:ascii="Times New Roman" w:hAnsi="Times New Roman"/>
        </w:rPr>
        <w:t>evidence adduced at the</w:t>
      </w:r>
      <w:r w:rsidR="00484FEF" w:rsidRPr="00F54B93">
        <w:rPr>
          <w:rFonts w:ascii="Times New Roman" w:hAnsi="Times New Roman"/>
        </w:rPr>
        <w:t xml:space="preserve"> hearing</w:t>
      </w:r>
      <w:r w:rsidR="003E51A1" w:rsidRPr="00F54B93">
        <w:rPr>
          <w:rFonts w:ascii="Times New Roman" w:hAnsi="Times New Roman"/>
        </w:rPr>
        <w:t xml:space="preserve"> showed </w:t>
      </w:r>
      <w:r w:rsidR="00756C42" w:rsidRPr="00F54B93">
        <w:rPr>
          <w:rFonts w:ascii="Times New Roman" w:hAnsi="Times New Roman"/>
        </w:rPr>
        <w:t xml:space="preserve">videos of </w:t>
      </w:r>
      <w:r w:rsidR="00113975" w:rsidRPr="00F54B93">
        <w:rPr>
          <w:rFonts w:ascii="Times New Roman" w:hAnsi="Times New Roman"/>
        </w:rPr>
        <w:t>queues lined up at the ticket desk, one</w:t>
      </w:r>
      <w:r w:rsidR="007E2C1D" w:rsidRPr="00F54B93">
        <w:rPr>
          <w:rFonts w:ascii="Times New Roman" w:hAnsi="Times New Roman"/>
        </w:rPr>
        <w:noBreakHyphen/>
      </w:r>
      <w:r w:rsidR="00113975" w:rsidRPr="00F54B93">
        <w:rPr>
          <w:rFonts w:ascii="Times New Roman" w:hAnsi="Times New Roman"/>
        </w:rPr>
        <w:t>way gates which facilitated entry</w:t>
      </w:r>
      <w:r w:rsidR="000021CF" w:rsidRPr="00F54B93">
        <w:rPr>
          <w:rFonts w:ascii="Times New Roman" w:hAnsi="Times New Roman"/>
        </w:rPr>
        <w:t xml:space="preserve">, visitors walking through lines of vehicles, and interviews with visitors, including children, as well as the </w:t>
      </w:r>
      <w:r w:rsidR="00192215" w:rsidRPr="00F54B93">
        <w:rPr>
          <w:rFonts w:ascii="Times New Roman" w:hAnsi="Times New Roman"/>
        </w:rPr>
        <w:t>merchandise shop and diner.</w:t>
      </w:r>
      <w:r w:rsidR="00CC1781" w:rsidRPr="00F54B93">
        <w:rPr>
          <w:rFonts w:ascii="Times New Roman" w:hAnsi="Times New Roman"/>
        </w:rPr>
        <w:t xml:space="preserve"> </w:t>
      </w:r>
      <w:r w:rsidR="00192215" w:rsidRPr="00F54B93">
        <w:rPr>
          <w:rFonts w:ascii="Times New Roman" w:hAnsi="Times New Roman"/>
        </w:rPr>
        <w:t xml:space="preserve">Goods available for purchase at the merchandise shop included such things as model cars and merchandise branded "Gosford Classic Car Museum". </w:t>
      </w:r>
      <w:r w:rsidR="00E75C96" w:rsidRPr="00F54B93">
        <w:rPr>
          <w:rFonts w:ascii="Times New Roman" w:hAnsi="Times New Roman"/>
        </w:rPr>
        <w:t xml:space="preserve">The appellant's Facebook page said that the premises were </w:t>
      </w:r>
      <w:r w:rsidR="00484FEF" w:rsidRPr="00F54B93">
        <w:rPr>
          <w:rFonts w:ascii="Times New Roman" w:hAnsi="Times New Roman"/>
        </w:rPr>
        <w:t>"</w:t>
      </w:r>
      <w:r w:rsidR="00E75C96" w:rsidRPr="00F54B93">
        <w:rPr>
          <w:rFonts w:ascii="Times New Roman" w:hAnsi="Times New Roman"/>
        </w:rPr>
        <w:t>school holiday fun</w:t>
      </w:r>
      <w:r w:rsidR="00484FEF" w:rsidRPr="00F54B93">
        <w:rPr>
          <w:rFonts w:ascii="Times New Roman" w:hAnsi="Times New Roman"/>
        </w:rPr>
        <w:t>"</w:t>
      </w:r>
      <w:r w:rsidR="00E75C96" w:rsidRPr="00F54B93">
        <w:rPr>
          <w:rFonts w:ascii="Times New Roman" w:hAnsi="Times New Roman"/>
        </w:rPr>
        <w:t xml:space="preserve"> and invited viewers to </w:t>
      </w:r>
      <w:r w:rsidR="00484FEF" w:rsidRPr="00F54B93">
        <w:rPr>
          <w:rFonts w:ascii="Times New Roman" w:hAnsi="Times New Roman"/>
        </w:rPr>
        <w:t>"</w:t>
      </w:r>
      <w:r w:rsidR="00E75C96" w:rsidRPr="00F54B93">
        <w:rPr>
          <w:rFonts w:ascii="Times New Roman" w:hAnsi="Times New Roman"/>
        </w:rPr>
        <w:t>[b]ring the whole family, there</w:t>
      </w:r>
      <w:r w:rsidR="00CF425C" w:rsidRPr="00F54B93">
        <w:rPr>
          <w:rFonts w:ascii="Times New Roman" w:hAnsi="Times New Roman"/>
        </w:rPr>
        <w:t>'</w:t>
      </w:r>
      <w:r w:rsidR="00E75C96" w:rsidRPr="00F54B93">
        <w:rPr>
          <w:rFonts w:ascii="Times New Roman" w:hAnsi="Times New Roman"/>
        </w:rPr>
        <w:t>s something for everyone!</w:t>
      </w:r>
      <w:r w:rsidR="00484FEF" w:rsidRPr="00F54B93">
        <w:rPr>
          <w:rFonts w:ascii="Times New Roman" w:hAnsi="Times New Roman"/>
        </w:rPr>
        <w:t>"</w:t>
      </w:r>
      <w:r w:rsidR="00167AB8" w:rsidRPr="00F54B93">
        <w:rPr>
          <w:rFonts w:ascii="Times New Roman" w:hAnsi="Times New Roman"/>
        </w:rPr>
        <w:t>.</w:t>
      </w:r>
    </w:p>
    <w:p w14:paraId="6A6D56C6" w14:textId="0116F1D1" w:rsidR="00D467AC" w:rsidRPr="00F54B93" w:rsidRDefault="00E75C96"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8E1C9B" w:rsidRPr="00F54B93">
        <w:rPr>
          <w:rFonts w:ascii="Times New Roman" w:hAnsi="Times New Roman"/>
        </w:rPr>
        <w:t>T</w:t>
      </w:r>
      <w:r w:rsidR="00192215" w:rsidRPr="00F54B93">
        <w:rPr>
          <w:rFonts w:ascii="Times New Roman" w:hAnsi="Times New Roman"/>
        </w:rPr>
        <w:t xml:space="preserve">he appellant's </w:t>
      </w:r>
      <w:r w:rsidR="008E1C9B" w:rsidRPr="00F54B93">
        <w:rPr>
          <w:rFonts w:ascii="Times New Roman" w:hAnsi="Times New Roman"/>
        </w:rPr>
        <w:t xml:space="preserve">website also marketed the premises </w:t>
      </w:r>
      <w:r w:rsidR="006B0533" w:rsidRPr="00F54B93">
        <w:rPr>
          <w:rFonts w:ascii="Times New Roman" w:hAnsi="Times New Roman"/>
        </w:rPr>
        <w:t>as a desirable location for a "day out</w:t>
      </w:r>
      <w:r w:rsidR="00D73C88" w:rsidRPr="00F54B93">
        <w:rPr>
          <w:rFonts w:ascii="Times New Roman" w:hAnsi="Times New Roman"/>
        </w:rPr>
        <w:t>"</w:t>
      </w:r>
      <w:r w:rsidR="006B0533" w:rsidRPr="00F54B93">
        <w:rPr>
          <w:rFonts w:ascii="Times New Roman" w:hAnsi="Times New Roman"/>
        </w:rPr>
        <w:t xml:space="preserve"> and for a </w:t>
      </w:r>
      <w:r w:rsidR="00FB0098" w:rsidRPr="00F54B93">
        <w:rPr>
          <w:rFonts w:ascii="Times New Roman" w:hAnsi="Times New Roman"/>
        </w:rPr>
        <w:t>"</w:t>
      </w:r>
      <w:r w:rsidR="006B0533" w:rsidRPr="00F54B93">
        <w:rPr>
          <w:rFonts w:ascii="Times New Roman" w:hAnsi="Times New Roman"/>
        </w:rPr>
        <w:t>break</w:t>
      </w:r>
      <w:r w:rsidR="00FB0098" w:rsidRPr="00F54B93">
        <w:rPr>
          <w:rFonts w:ascii="Times New Roman" w:hAnsi="Times New Roman"/>
        </w:rPr>
        <w:t>"</w:t>
      </w:r>
      <w:r w:rsidR="006B0533" w:rsidRPr="00F54B93">
        <w:rPr>
          <w:rFonts w:ascii="Times New Roman" w:hAnsi="Times New Roman"/>
        </w:rPr>
        <w:t xml:space="preserve"> from Sydney</w:t>
      </w:r>
      <w:r w:rsidR="00FB0098" w:rsidRPr="00F54B93">
        <w:rPr>
          <w:rFonts w:ascii="Times New Roman" w:hAnsi="Times New Roman"/>
        </w:rPr>
        <w:t xml:space="preserve"> and provided links to </w:t>
      </w:r>
      <w:r w:rsidR="00FE4876" w:rsidRPr="00F54B93">
        <w:rPr>
          <w:rFonts w:ascii="Times New Roman" w:hAnsi="Times New Roman"/>
        </w:rPr>
        <w:t xml:space="preserve">the </w:t>
      </w:r>
      <w:r w:rsidR="00FB0098" w:rsidRPr="00F54B93">
        <w:rPr>
          <w:rFonts w:ascii="Times New Roman" w:hAnsi="Times New Roman"/>
        </w:rPr>
        <w:t xml:space="preserve">websites </w:t>
      </w:r>
      <w:r w:rsidR="00FE4876" w:rsidRPr="00F54B93">
        <w:rPr>
          <w:rFonts w:ascii="Times New Roman" w:hAnsi="Times New Roman"/>
        </w:rPr>
        <w:t xml:space="preserve">of various hotels </w:t>
      </w:r>
      <w:r w:rsidR="00FB0098" w:rsidRPr="00F54B93">
        <w:rPr>
          <w:rFonts w:ascii="Times New Roman" w:hAnsi="Times New Roman"/>
        </w:rPr>
        <w:t xml:space="preserve">where people might stay in order to visit. </w:t>
      </w:r>
      <w:r w:rsidR="004F7416" w:rsidRPr="00F54B93">
        <w:rPr>
          <w:rFonts w:ascii="Times New Roman" w:hAnsi="Times New Roman"/>
        </w:rPr>
        <w:t xml:space="preserve">The </w:t>
      </w:r>
      <w:r w:rsidR="00670483" w:rsidRPr="00F54B93">
        <w:rPr>
          <w:rFonts w:ascii="Times New Roman" w:hAnsi="Times New Roman"/>
        </w:rPr>
        <w:t xml:space="preserve">website </w:t>
      </w:r>
      <w:r w:rsidR="004F7416" w:rsidRPr="00F54B93">
        <w:rPr>
          <w:rFonts w:ascii="Times New Roman" w:hAnsi="Times New Roman"/>
        </w:rPr>
        <w:t>said</w:t>
      </w:r>
      <w:r w:rsidR="007E149E" w:rsidRPr="00F54B93">
        <w:rPr>
          <w:rFonts w:ascii="Times New Roman" w:hAnsi="Times New Roman"/>
        </w:rPr>
        <w:t>, for example</w:t>
      </w:r>
      <w:r w:rsidR="00CB314A" w:rsidRPr="00F54B93">
        <w:rPr>
          <w:rFonts w:ascii="Times New Roman" w:hAnsi="Times New Roman"/>
        </w:rPr>
        <w:t>, that</w:t>
      </w:r>
      <w:r w:rsidR="007E149E" w:rsidRPr="00F54B93">
        <w:rPr>
          <w:rFonts w:ascii="Times New Roman" w:hAnsi="Times New Roman"/>
        </w:rPr>
        <w:t>: (a) </w:t>
      </w:r>
      <w:r w:rsidR="00E17E82" w:rsidRPr="00F54B93">
        <w:rPr>
          <w:rFonts w:ascii="Times New Roman" w:hAnsi="Times New Roman"/>
        </w:rPr>
        <w:t>the premises w</w:t>
      </w:r>
      <w:r w:rsidR="008F34B5" w:rsidRPr="00F54B93">
        <w:rPr>
          <w:rFonts w:ascii="Times New Roman" w:hAnsi="Times New Roman"/>
        </w:rPr>
        <w:t>ere</w:t>
      </w:r>
      <w:r w:rsidR="00E17E82" w:rsidRPr="00F54B93">
        <w:rPr>
          <w:rFonts w:ascii="Times New Roman" w:hAnsi="Times New Roman"/>
        </w:rPr>
        <w:t xml:space="preserve"> "[n]ot just a museum</w:t>
      </w:r>
      <w:r w:rsidR="002066D1" w:rsidRPr="00F54B93">
        <w:rPr>
          <w:rFonts w:ascii="Times New Roman" w:hAnsi="Times New Roman"/>
        </w:rPr>
        <w:t xml:space="preserve">, </w:t>
      </w:r>
      <w:r w:rsidR="00DC5C91" w:rsidRPr="00F54B93">
        <w:rPr>
          <w:rFonts w:ascii="Times New Roman" w:hAnsi="Times New Roman"/>
        </w:rPr>
        <w:t>we</w:t>
      </w:r>
      <w:r w:rsidR="00D43E6F" w:rsidRPr="00F54B93">
        <w:rPr>
          <w:rFonts w:ascii="Times New Roman" w:hAnsi="Times New Roman"/>
        </w:rPr>
        <w:t>'</w:t>
      </w:r>
      <w:r w:rsidR="00DC5C91" w:rsidRPr="00F54B93">
        <w:rPr>
          <w:rFonts w:ascii="Times New Roman" w:hAnsi="Times New Roman"/>
        </w:rPr>
        <w:t>re a car lovers dream. Whether you</w:t>
      </w:r>
      <w:r w:rsidR="00D43E6F" w:rsidRPr="00F54B93">
        <w:rPr>
          <w:rFonts w:ascii="Times New Roman" w:hAnsi="Times New Roman"/>
        </w:rPr>
        <w:t>'</w:t>
      </w:r>
      <w:r w:rsidR="00DC5C91" w:rsidRPr="00F54B93">
        <w:rPr>
          <w:rFonts w:ascii="Times New Roman" w:hAnsi="Times New Roman"/>
        </w:rPr>
        <w:t>re a collector, an enthusiast or just a car nut, Gosford Classic Car Museum is the place you want to be"</w:t>
      </w:r>
      <w:r w:rsidR="007E149E" w:rsidRPr="00F54B93">
        <w:rPr>
          <w:rFonts w:ascii="Times New Roman" w:hAnsi="Times New Roman"/>
        </w:rPr>
        <w:t>; (b) "Mr Tony Denny and his team viewed approximately 5000 vehicles and hand</w:t>
      </w:r>
      <w:r w:rsidR="008837E9" w:rsidRPr="00F54B93">
        <w:rPr>
          <w:rFonts w:ascii="Times New Roman" w:hAnsi="Times New Roman"/>
        </w:rPr>
        <w:noBreakHyphen/>
      </w:r>
      <w:r w:rsidR="007E149E" w:rsidRPr="00F54B93">
        <w:rPr>
          <w:rFonts w:ascii="Times New Roman" w:hAnsi="Times New Roman"/>
        </w:rPr>
        <w:t>selected over 400 rare cars at an investment of $70 million to establish Gosford</w:t>
      </w:r>
      <w:r w:rsidR="00B16549" w:rsidRPr="00F54B93">
        <w:rPr>
          <w:rFonts w:ascii="Times New Roman" w:hAnsi="Times New Roman"/>
        </w:rPr>
        <w:t>'</w:t>
      </w:r>
      <w:r w:rsidR="007E149E" w:rsidRPr="00F54B93">
        <w:rPr>
          <w:rFonts w:ascii="Times New Roman" w:hAnsi="Times New Roman"/>
        </w:rPr>
        <w:t xml:space="preserve">s curated collection"; </w:t>
      </w:r>
      <w:r w:rsidR="00926DC4" w:rsidRPr="00F54B93">
        <w:rPr>
          <w:rFonts w:ascii="Times New Roman" w:hAnsi="Times New Roman"/>
        </w:rPr>
        <w:t>(</w:t>
      </w:r>
      <w:r w:rsidR="007507A0" w:rsidRPr="00F54B93">
        <w:rPr>
          <w:rFonts w:ascii="Times New Roman" w:hAnsi="Times New Roman"/>
        </w:rPr>
        <w:t>c</w:t>
      </w:r>
      <w:r w:rsidR="00926DC4" w:rsidRPr="00F54B93">
        <w:rPr>
          <w:rFonts w:ascii="Times New Roman" w:hAnsi="Times New Roman"/>
        </w:rPr>
        <w:t>) </w:t>
      </w:r>
      <w:r w:rsidR="006D4892" w:rsidRPr="00F54B93">
        <w:rPr>
          <w:rFonts w:ascii="Times New Roman" w:hAnsi="Times New Roman"/>
        </w:rPr>
        <w:t>"</w:t>
      </w:r>
      <w:r w:rsidR="00926DC4" w:rsidRPr="00F54B93">
        <w:rPr>
          <w:rFonts w:ascii="Times New Roman" w:hAnsi="Times New Roman"/>
        </w:rPr>
        <w:t>[m]uch like visiting a museum of fine art, the Gosford Classic Car Museum offers the opportunity to explore a curated collection of remarkable pieces, each unique and noteworthy in its own way"</w:t>
      </w:r>
      <w:r w:rsidRPr="00F54B93">
        <w:rPr>
          <w:rFonts w:ascii="Times New Roman" w:hAnsi="Times New Roman"/>
        </w:rPr>
        <w:t xml:space="preserve">; </w:t>
      </w:r>
      <w:r w:rsidR="0025706B" w:rsidRPr="00F54B93">
        <w:rPr>
          <w:rFonts w:ascii="Times New Roman" w:hAnsi="Times New Roman"/>
        </w:rPr>
        <w:t xml:space="preserve">and </w:t>
      </w:r>
      <w:r w:rsidR="0055217F" w:rsidRPr="00F54B93">
        <w:rPr>
          <w:rFonts w:ascii="Times New Roman" w:hAnsi="Times New Roman"/>
        </w:rPr>
        <w:t>(</w:t>
      </w:r>
      <w:r w:rsidR="007507A0" w:rsidRPr="00F54B93">
        <w:rPr>
          <w:rFonts w:ascii="Times New Roman" w:hAnsi="Times New Roman"/>
        </w:rPr>
        <w:t>d</w:t>
      </w:r>
      <w:r w:rsidR="0055217F" w:rsidRPr="00F54B93">
        <w:rPr>
          <w:rFonts w:ascii="Times New Roman" w:hAnsi="Times New Roman"/>
        </w:rPr>
        <w:t xml:space="preserve">) "[i]t is </w:t>
      </w:r>
      <w:r w:rsidR="0055217F" w:rsidRPr="00F54B93">
        <w:rPr>
          <w:rFonts w:ascii="Times New Roman" w:hAnsi="Times New Roman"/>
          <w:i/>
          <w:iCs/>
        </w:rPr>
        <w:t>part</w:t>
      </w:r>
      <w:r w:rsidR="0055217F" w:rsidRPr="00F54B93">
        <w:rPr>
          <w:rFonts w:ascii="Times New Roman" w:hAnsi="Times New Roman"/>
        </w:rPr>
        <w:t xml:space="preserve"> of the museum</w:t>
      </w:r>
      <w:r w:rsidR="00EA10CE" w:rsidRPr="00F54B93">
        <w:rPr>
          <w:rFonts w:ascii="Times New Roman" w:hAnsi="Times New Roman"/>
        </w:rPr>
        <w:t>'</w:t>
      </w:r>
      <w:r w:rsidR="0055217F" w:rsidRPr="00F54B93">
        <w:rPr>
          <w:rFonts w:ascii="Times New Roman" w:hAnsi="Times New Roman"/>
        </w:rPr>
        <w:t>s mandate to facilitate the purchase [of] exceptional vehicles. This process allows us to display a rotating selection of fine automobiles for our visitors and members to view and appreciate</w:t>
      </w:r>
      <w:r w:rsidR="0025706B" w:rsidRPr="00F54B93">
        <w:rPr>
          <w:rFonts w:ascii="Times New Roman" w:hAnsi="Times New Roman"/>
        </w:rPr>
        <w:t>.</w:t>
      </w:r>
      <w:r w:rsidR="00A51047" w:rsidRPr="00F54B93">
        <w:rPr>
          <w:rFonts w:ascii="Times New Roman" w:hAnsi="Times New Roman"/>
        </w:rPr>
        <w:t>"</w:t>
      </w:r>
      <w:r w:rsidR="008E7F3E" w:rsidRPr="00F54B93">
        <w:rPr>
          <w:rStyle w:val="FootnoteReference"/>
          <w:rFonts w:ascii="Times New Roman" w:hAnsi="Times New Roman"/>
          <w:sz w:val="24"/>
        </w:rPr>
        <w:footnoteReference w:id="16"/>
      </w:r>
    </w:p>
    <w:p w14:paraId="5693A61D" w14:textId="07946CCA" w:rsidR="0025706B" w:rsidRPr="00F54B93" w:rsidRDefault="0025706B" w:rsidP="00F54B93">
      <w:pPr>
        <w:pStyle w:val="FixListStyle"/>
        <w:spacing w:after="260" w:line="280" w:lineRule="exact"/>
        <w:ind w:right="0"/>
        <w:jc w:val="both"/>
        <w:rPr>
          <w:rFonts w:ascii="Times New Roman" w:hAnsi="Times New Roman"/>
        </w:rPr>
      </w:pPr>
      <w:r w:rsidRPr="00F54B93">
        <w:rPr>
          <w:rFonts w:ascii="Times New Roman" w:hAnsi="Times New Roman"/>
        </w:rPr>
        <w:tab/>
        <w:t xml:space="preserve">Staff at the premises </w:t>
      </w:r>
      <w:r w:rsidR="009F2DBA" w:rsidRPr="00F54B93">
        <w:rPr>
          <w:rFonts w:ascii="Times New Roman" w:hAnsi="Times New Roman"/>
        </w:rPr>
        <w:t xml:space="preserve">wore uniforms displaying the words "Gosford Classic Car Museum". </w:t>
      </w:r>
      <w:r w:rsidR="0015454F" w:rsidRPr="00F54B93">
        <w:rPr>
          <w:rFonts w:ascii="Times New Roman" w:hAnsi="Times New Roman"/>
        </w:rPr>
        <w:t xml:space="preserve">The staff discussed the vehicles with visitors. </w:t>
      </w:r>
      <w:r w:rsidR="00C31AA9" w:rsidRPr="00F54B93">
        <w:rPr>
          <w:rFonts w:ascii="Times New Roman" w:hAnsi="Times New Roman"/>
        </w:rPr>
        <w:t xml:space="preserve">The </w:t>
      </w:r>
      <w:r w:rsidR="00355F69" w:rsidRPr="00F54B93">
        <w:rPr>
          <w:rFonts w:ascii="Times New Roman" w:hAnsi="Times New Roman"/>
        </w:rPr>
        <w:t xml:space="preserve">appellant's </w:t>
      </w:r>
      <w:r w:rsidR="00C31AA9" w:rsidRPr="00F54B93">
        <w:rPr>
          <w:rFonts w:ascii="Times New Roman" w:hAnsi="Times New Roman"/>
        </w:rPr>
        <w:t>website said that there "are over 30 hard</w:t>
      </w:r>
      <w:r w:rsidR="00985D6C" w:rsidRPr="00F54B93">
        <w:rPr>
          <w:rFonts w:ascii="Times New Roman" w:hAnsi="Times New Roman"/>
        </w:rPr>
        <w:t> </w:t>
      </w:r>
      <w:r w:rsidR="00C31AA9" w:rsidRPr="00F54B93">
        <w:rPr>
          <w:rFonts w:ascii="Times New Roman" w:hAnsi="Times New Roman"/>
        </w:rPr>
        <w:t>working and dedicated staff members employed by the museum, as well as 10 passionate volunteers. Many of the staff are motoring enthusiasts themselves and have a vast knowledge of automotive history they are more than happy to share with you."</w:t>
      </w:r>
    </w:p>
    <w:p w14:paraId="40EC5A47" w14:textId="638202DD" w:rsidR="00C31AA9" w:rsidRPr="00F54B93" w:rsidRDefault="00C31AA9" w:rsidP="00F54B93">
      <w:pPr>
        <w:pStyle w:val="FixListStyle"/>
        <w:spacing w:after="260" w:line="280" w:lineRule="exact"/>
        <w:ind w:right="0"/>
        <w:jc w:val="both"/>
        <w:rPr>
          <w:rFonts w:ascii="Times New Roman" w:hAnsi="Times New Roman"/>
        </w:rPr>
      </w:pPr>
      <w:r w:rsidRPr="00F54B93">
        <w:rPr>
          <w:rFonts w:ascii="Times New Roman" w:hAnsi="Times New Roman"/>
        </w:rPr>
        <w:lastRenderedPageBreak/>
        <w:tab/>
        <w:t xml:space="preserve">Admission to the premises was </w:t>
      </w:r>
      <w:r w:rsidR="009A6E39" w:rsidRPr="00F54B93">
        <w:rPr>
          <w:rFonts w:ascii="Times New Roman" w:hAnsi="Times New Roman"/>
        </w:rPr>
        <w:t>by purchase of a ticket costing $20 for an adult and $1</w:t>
      </w:r>
      <w:r w:rsidR="00AF504B" w:rsidRPr="00F54B93">
        <w:rPr>
          <w:rFonts w:ascii="Times New Roman" w:hAnsi="Times New Roman"/>
        </w:rPr>
        <w:t>2</w:t>
      </w:r>
      <w:r w:rsidR="009A6E39" w:rsidRPr="00F54B93">
        <w:rPr>
          <w:rFonts w:ascii="Times New Roman" w:hAnsi="Times New Roman"/>
        </w:rPr>
        <w:t xml:space="preserve"> for</w:t>
      </w:r>
      <w:r w:rsidR="00A16EAA" w:rsidRPr="00F54B93">
        <w:rPr>
          <w:rFonts w:ascii="Times New Roman" w:hAnsi="Times New Roman"/>
        </w:rPr>
        <w:t xml:space="preserve"> </w:t>
      </w:r>
      <w:r w:rsidR="009A6E39" w:rsidRPr="00F54B93">
        <w:rPr>
          <w:rFonts w:ascii="Times New Roman" w:hAnsi="Times New Roman"/>
        </w:rPr>
        <w:t xml:space="preserve">a child and tickets could be purchased online or </w:t>
      </w:r>
      <w:r w:rsidR="00B31071" w:rsidRPr="00F54B93">
        <w:rPr>
          <w:rFonts w:ascii="Times New Roman" w:hAnsi="Times New Roman"/>
        </w:rPr>
        <w:t>"at the door"</w:t>
      </w:r>
      <w:r w:rsidR="009A6E39" w:rsidRPr="00F54B93">
        <w:rPr>
          <w:rFonts w:ascii="Times New Roman" w:hAnsi="Times New Roman"/>
        </w:rPr>
        <w:t xml:space="preserve">. </w:t>
      </w:r>
      <w:r w:rsidR="00C44623" w:rsidRPr="00F54B93">
        <w:rPr>
          <w:rFonts w:ascii="Times New Roman" w:hAnsi="Times New Roman"/>
        </w:rPr>
        <w:t>Special events were also held at the premises where admission was by ticket purchase at</w:t>
      </w:r>
      <w:r w:rsidR="007C4877" w:rsidRPr="00F54B93">
        <w:rPr>
          <w:rFonts w:ascii="Times New Roman" w:hAnsi="Times New Roman"/>
        </w:rPr>
        <w:t xml:space="preserve"> t</w:t>
      </w:r>
      <w:r w:rsidR="00C44623" w:rsidRPr="00F54B93">
        <w:rPr>
          <w:rFonts w:ascii="Times New Roman" w:hAnsi="Times New Roman"/>
        </w:rPr>
        <w:t>he usual price</w:t>
      </w:r>
      <w:r w:rsidR="007A2262" w:rsidRPr="00F54B93">
        <w:rPr>
          <w:rFonts w:ascii="Times New Roman" w:hAnsi="Times New Roman"/>
        </w:rPr>
        <w:t>,</w:t>
      </w:r>
      <w:r w:rsidR="00C44623" w:rsidRPr="00F54B93">
        <w:rPr>
          <w:rFonts w:ascii="Times New Roman" w:hAnsi="Times New Roman"/>
        </w:rPr>
        <w:t xml:space="preserve"> including a </w:t>
      </w:r>
      <w:r w:rsidR="00D528E1" w:rsidRPr="00F54B93">
        <w:rPr>
          <w:rFonts w:ascii="Times New Roman" w:hAnsi="Times New Roman"/>
        </w:rPr>
        <w:t>"</w:t>
      </w:r>
      <w:r w:rsidR="007C4877" w:rsidRPr="00F54B93">
        <w:rPr>
          <w:rFonts w:ascii="Times New Roman" w:hAnsi="Times New Roman"/>
        </w:rPr>
        <w:t>Royal Favourites Exhibition</w:t>
      </w:r>
      <w:r w:rsidR="00D528E1" w:rsidRPr="00F54B93">
        <w:rPr>
          <w:rFonts w:ascii="Times New Roman" w:hAnsi="Times New Roman"/>
        </w:rPr>
        <w:t>"</w:t>
      </w:r>
      <w:r w:rsidR="007C4877" w:rsidRPr="00F54B93">
        <w:rPr>
          <w:rFonts w:ascii="Times New Roman" w:hAnsi="Times New Roman"/>
        </w:rPr>
        <w:t xml:space="preserve"> from 10 to 12 June 2017 </w:t>
      </w:r>
      <w:r w:rsidR="007A2262" w:rsidRPr="00F54B93">
        <w:rPr>
          <w:rFonts w:ascii="Times New Roman" w:hAnsi="Times New Roman"/>
        </w:rPr>
        <w:t>(</w:t>
      </w:r>
      <w:r w:rsidR="007C4877" w:rsidRPr="00F54B93">
        <w:rPr>
          <w:rFonts w:ascii="Times New Roman" w:hAnsi="Times New Roman"/>
        </w:rPr>
        <w:t xml:space="preserve">described as a display of </w:t>
      </w:r>
      <w:r w:rsidR="0045022F" w:rsidRPr="00F54B93">
        <w:rPr>
          <w:rFonts w:ascii="Times New Roman" w:hAnsi="Times New Roman"/>
        </w:rPr>
        <w:t xml:space="preserve">models of </w:t>
      </w:r>
      <w:r w:rsidR="00BE3460" w:rsidRPr="00F54B93">
        <w:rPr>
          <w:rFonts w:ascii="Times New Roman" w:hAnsi="Times New Roman"/>
        </w:rPr>
        <w:t>"</w:t>
      </w:r>
      <w:r w:rsidR="0045022F" w:rsidRPr="00F54B93">
        <w:rPr>
          <w:rFonts w:ascii="Times New Roman" w:hAnsi="Times New Roman"/>
        </w:rPr>
        <w:t>trademark Royal classics</w:t>
      </w:r>
      <w:r w:rsidR="00BE3460" w:rsidRPr="00F54B93">
        <w:rPr>
          <w:rFonts w:ascii="Times New Roman" w:hAnsi="Times New Roman"/>
        </w:rPr>
        <w:t>"</w:t>
      </w:r>
      <w:r w:rsidR="007A2262" w:rsidRPr="00F54B93">
        <w:rPr>
          <w:rFonts w:ascii="Times New Roman" w:hAnsi="Times New Roman"/>
        </w:rPr>
        <w:t>)</w:t>
      </w:r>
      <w:r w:rsidR="0045022F" w:rsidRPr="00F54B93">
        <w:rPr>
          <w:rFonts w:ascii="Times New Roman" w:hAnsi="Times New Roman"/>
        </w:rPr>
        <w:t xml:space="preserve">, an Australia Day exhibition, a </w:t>
      </w:r>
      <w:r w:rsidR="0007337F" w:rsidRPr="00F54B93">
        <w:rPr>
          <w:rFonts w:ascii="Times New Roman" w:hAnsi="Times New Roman"/>
        </w:rPr>
        <w:t>Vintage Fair, and charity days.</w:t>
      </w:r>
      <w:r w:rsidR="00F42CF6" w:rsidRPr="00F54B93">
        <w:rPr>
          <w:rFonts w:ascii="Times New Roman" w:hAnsi="Times New Roman"/>
        </w:rPr>
        <w:t xml:space="preserve"> </w:t>
      </w:r>
      <w:r w:rsidR="00BF2557" w:rsidRPr="00F54B93">
        <w:rPr>
          <w:rFonts w:ascii="Times New Roman" w:hAnsi="Times New Roman"/>
        </w:rPr>
        <w:t>Some private functions were also</w:t>
      </w:r>
      <w:r w:rsidR="004057F5" w:rsidRPr="00F54B93">
        <w:rPr>
          <w:rFonts w:ascii="Times New Roman" w:hAnsi="Times New Roman"/>
        </w:rPr>
        <w:t xml:space="preserve"> held</w:t>
      </w:r>
      <w:r w:rsidR="00BF2557" w:rsidRPr="00F54B93">
        <w:rPr>
          <w:rFonts w:ascii="Times New Roman" w:hAnsi="Times New Roman"/>
        </w:rPr>
        <w:t xml:space="preserve"> at the premises</w:t>
      </w:r>
      <w:r w:rsidR="004E68F7" w:rsidRPr="00F54B93">
        <w:rPr>
          <w:rFonts w:ascii="Times New Roman" w:hAnsi="Times New Roman"/>
        </w:rPr>
        <w:t>.</w:t>
      </w:r>
    </w:p>
    <w:p w14:paraId="58B3119F" w14:textId="660B2938" w:rsidR="00625455" w:rsidRPr="00F54B93" w:rsidRDefault="00625455" w:rsidP="00F54B93">
      <w:pPr>
        <w:pStyle w:val="FixListStyle"/>
        <w:spacing w:after="260" w:line="280" w:lineRule="exact"/>
        <w:ind w:right="0"/>
        <w:jc w:val="both"/>
        <w:rPr>
          <w:rFonts w:ascii="Times New Roman" w:hAnsi="Times New Roman"/>
        </w:rPr>
      </w:pPr>
      <w:r w:rsidRPr="00F54B93">
        <w:rPr>
          <w:rFonts w:ascii="Times New Roman" w:hAnsi="Times New Roman"/>
        </w:rPr>
        <w:tab/>
        <w:t>The appellant's marketing manager, in a submission for the Central Coast Business Excellence Awards, said that</w:t>
      </w:r>
      <w:r w:rsidR="0040403E" w:rsidRPr="00F54B93">
        <w:rPr>
          <w:rFonts w:ascii="Times New Roman" w:hAnsi="Times New Roman"/>
        </w:rPr>
        <w:t>:</w:t>
      </w:r>
    </w:p>
    <w:p w14:paraId="7570C726" w14:textId="77777777" w:rsidR="00F54B93" w:rsidRDefault="0040403E" w:rsidP="00F54B93">
      <w:pPr>
        <w:pStyle w:val="leftright"/>
        <w:spacing w:before="0" w:after="260" w:line="280" w:lineRule="exact"/>
        <w:ind w:right="0"/>
        <w:jc w:val="both"/>
        <w:rPr>
          <w:rFonts w:ascii="Times New Roman" w:hAnsi="Times New Roman"/>
          <w:b/>
          <w:bCs/>
        </w:rPr>
      </w:pPr>
      <w:r w:rsidRPr="00F54B93">
        <w:rPr>
          <w:rFonts w:ascii="Times New Roman" w:hAnsi="Times New Roman"/>
        </w:rPr>
        <w:t>"Gosford Classic Car Museum is a world class, diverse and evolving collection of rare and classic cars offering visitors a unique and inspiring experience of automotive engineering excellence. It is the largest privately owned car collection in Australia and the Southern Hemisphere with 400 motor vehicles on display worth over $60M. The Museum also features an Airstream Cafe and an Automobilia store on site and is earning a reputation as a venue for events staged by external corporations. Gosford Classic Car Museum was recently rated by TripAdvisor as the number one visitor attraction in Gosford and the surrounding Central Coast. In June, just over a year after opening, the 100,000th customer walked through the door."</w:t>
      </w:r>
      <w:r w:rsidR="00475F5E" w:rsidRPr="00F54B93">
        <w:rPr>
          <w:rFonts w:ascii="Times New Roman" w:hAnsi="Times New Roman"/>
        </w:rPr>
        <w:t xml:space="preserve"> </w:t>
      </w:r>
    </w:p>
    <w:p w14:paraId="47A3D96E" w14:textId="78732C20" w:rsidR="0040403E" w:rsidRPr="00F54B93" w:rsidRDefault="0040403E"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A30A20" w:rsidRPr="00F54B93">
        <w:rPr>
          <w:rFonts w:ascii="Times New Roman" w:hAnsi="Times New Roman"/>
        </w:rPr>
        <w:t>V</w:t>
      </w:r>
      <w:r w:rsidR="00AF5B05" w:rsidRPr="00F54B93">
        <w:rPr>
          <w:rFonts w:ascii="Times New Roman" w:hAnsi="Times New Roman"/>
        </w:rPr>
        <w:t>isitors to the premises typically numbered in the hundreds</w:t>
      </w:r>
      <w:r w:rsidR="00A30A20" w:rsidRPr="00F54B93">
        <w:rPr>
          <w:rFonts w:ascii="Times New Roman" w:hAnsi="Times New Roman"/>
        </w:rPr>
        <w:t xml:space="preserve"> on weekdays</w:t>
      </w:r>
      <w:r w:rsidR="00AF5B05" w:rsidRPr="00F54B93">
        <w:rPr>
          <w:rFonts w:ascii="Times New Roman" w:hAnsi="Times New Roman"/>
        </w:rPr>
        <w:t xml:space="preserve"> and</w:t>
      </w:r>
      <w:r w:rsidR="00A30A20" w:rsidRPr="00F54B93">
        <w:rPr>
          <w:rFonts w:ascii="Times New Roman" w:hAnsi="Times New Roman"/>
        </w:rPr>
        <w:t>, on Saturday</w:t>
      </w:r>
      <w:r w:rsidR="0060676E" w:rsidRPr="00F54B93">
        <w:rPr>
          <w:rFonts w:ascii="Times New Roman" w:hAnsi="Times New Roman"/>
        </w:rPr>
        <w:t>s</w:t>
      </w:r>
      <w:r w:rsidR="00A30A20" w:rsidRPr="00F54B93">
        <w:rPr>
          <w:rFonts w:ascii="Times New Roman" w:hAnsi="Times New Roman"/>
        </w:rPr>
        <w:t xml:space="preserve"> and Sunday</w:t>
      </w:r>
      <w:r w:rsidR="0060676E" w:rsidRPr="00F54B93">
        <w:rPr>
          <w:rFonts w:ascii="Times New Roman" w:hAnsi="Times New Roman"/>
        </w:rPr>
        <w:t>s</w:t>
      </w:r>
      <w:r w:rsidR="00A30A20" w:rsidRPr="00F54B93">
        <w:rPr>
          <w:rFonts w:ascii="Times New Roman" w:hAnsi="Times New Roman"/>
        </w:rPr>
        <w:t>,</w:t>
      </w:r>
      <w:r w:rsidR="00AF5B05" w:rsidRPr="00F54B93">
        <w:rPr>
          <w:rFonts w:ascii="Times New Roman" w:hAnsi="Times New Roman"/>
        </w:rPr>
        <w:t xml:space="preserve"> at times over a thousand. Typically, the premises would see between one and two thousand visitors a week. By comparison with those numbers, the premises received 10 to 15 car sales inquiries a week.</w:t>
      </w:r>
    </w:p>
    <w:p w14:paraId="7DAAB3C5" w14:textId="00B89716" w:rsidR="00EB72A7" w:rsidRPr="00F54B93" w:rsidRDefault="00EB72A7" w:rsidP="00F54B93">
      <w:pPr>
        <w:pStyle w:val="FixListStyle"/>
        <w:spacing w:after="260" w:line="280" w:lineRule="exact"/>
        <w:ind w:right="0"/>
        <w:jc w:val="both"/>
        <w:rPr>
          <w:rFonts w:ascii="Times New Roman" w:hAnsi="Times New Roman"/>
        </w:rPr>
      </w:pPr>
      <w:r w:rsidRPr="00F54B93">
        <w:rPr>
          <w:rFonts w:ascii="Times New Roman" w:hAnsi="Times New Roman"/>
        </w:rPr>
        <w:tab/>
        <w:t>During its first full financial year of operation</w:t>
      </w:r>
      <w:r w:rsidR="00496CB5" w:rsidRPr="00F54B93">
        <w:rPr>
          <w:rFonts w:ascii="Times New Roman" w:hAnsi="Times New Roman"/>
        </w:rPr>
        <w:t>,</w:t>
      </w:r>
      <w:r w:rsidRPr="00F54B93">
        <w:rPr>
          <w:rFonts w:ascii="Times New Roman" w:hAnsi="Times New Roman"/>
        </w:rPr>
        <w:t xml:space="preserve"> the </w:t>
      </w:r>
      <w:r w:rsidR="00704432" w:rsidRPr="00F54B93">
        <w:rPr>
          <w:rFonts w:ascii="Times New Roman" w:hAnsi="Times New Roman"/>
        </w:rPr>
        <w:t xml:space="preserve">appellant </w:t>
      </w:r>
      <w:r w:rsidRPr="00F54B93">
        <w:rPr>
          <w:rFonts w:ascii="Times New Roman" w:hAnsi="Times New Roman"/>
        </w:rPr>
        <w:t>received about $1.32 million in admission fees. Its revenue from the sale of cars in that period (approximately $28,249,359), less the cost of sales ($23,857,392), was approximately $4.39 million.</w:t>
      </w:r>
    </w:p>
    <w:p w14:paraId="2AA85434" w14:textId="1A9E53DA" w:rsidR="00FE7EA9" w:rsidRPr="00F54B93" w:rsidRDefault="00FE7EA9"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833211" w:rsidRPr="00F54B93">
        <w:rPr>
          <w:rFonts w:ascii="Times New Roman" w:hAnsi="Times New Roman"/>
        </w:rPr>
        <w:t>In overall conclusion the primary judge said this:</w:t>
      </w:r>
      <w:r w:rsidR="00B4069D" w:rsidRPr="00F54B93">
        <w:rPr>
          <w:rStyle w:val="FootnoteReference"/>
          <w:rFonts w:ascii="Times New Roman" w:hAnsi="Times New Roman"/>
          <w:sz w:val="24"/>
        </w:rPr>
        <w:footnoteReference w:id="17"/>
      </w:r>
    </w:p>
    <w:p w14:paraId="1A666453" w14:textId="124C3C10" w:rsidR="004A0D99" w:rsidRPr="00F54B93" w:rsidRDefault="000000DB" w:rsidP="00F54B93">
      <w:pPr>
        <w:pStyle w:val="leftright"/>
        <w:spacing w:before="0" w:after="260" w:line="280" w:lineRule="exact"/>
        <w:ind w:right="0"/>
        <w:jc w:val="both"/>
        <w:rPr>
          <w:rFonts w:ascii="Times New Roman" w:hAnsi="Times New Roman"/>
        </w:rPr>
      </w:pPr>
      <w:r w:rsidRPr="00F54B93">
        <w:rPr>
          <w:rFonts w:ascii="Times New Roman" w:hAnsi="Times New Roman"/>
        </w:rPr>
        <w:tab/>
      </w:r>
      <w:r w:rsidR="004A0D99" w:rsidRPr="00F54B93">
        <w:rPr>
          <w:rFonts w:ascii="Times New Roman" w:hAnsi="Times New Roman"/>
        </w:rPr>
        <w:t>"Contrary to the submissions advanced on behalf of the</w:t>
      </w:r>
      <w:r w:rsidR="00DF253B" w:rsidRPr="00F54B93">
        <w:rPr>
          <w:rFonts w:ascii="Times New Roman" w:hAnsi="Times New Roman"/>
        </w:rPr>
        <w:t xml:space="preserve"> [appellant]</w:t>
      </w:r>
      <w:r w:rsidR="004A0D99" w:rsidRPr="00F54B93">
        <w:rPr>
          <w:rFonts w:ascii="Times New Roman" w:hAnsi="Times New Roman"/>
        </w:rPr>
        <w:t xml:space="preserve">, the museum was not </w:t>
      </w:r>
      <w:r w:rsidR="004A0D99" w:rsidRPr="00F54B93">
        <w:rPr>
          <w:rFonts w:ascii="Times New Roman" w:hAnsi="Times New Roman"/>
          <w:i/>
          <w:iCs/>
        </w:rPr>
        <w:t>solely</w:t>
      </w:r>
      <w:r w:rsidR="004A0D99" w:rsidRPr="00F54B93">
        <w:rPr>
          <w:rFonts w:ascii="Times New Roman" w:hAnsi="Times New Roman"/>
        </w:rPr>
        <w:t xml:space="preserve"> an </w:t>
      </w:r>
      <w:r w:rsidR="00CB40A1" w:rsidRPr="00F54B93">
        <w:rPr>
          <w:rFonts w:ascii="Times New Roman" w:hAnsi="Times New Roman"/>
        </w:rPr>
        <w:t>'</w:t>
      </w:r>
      <w:r w:rsidR="004A0D99" w:rsidRPr="00F54B93">
        <w:rPr>
          <w:rFonts w:ascii="Times New Roman" w:hAnsi="Times New Roman"/>
        </w:rPr>
        <w:t>enterprising marketing strategy intended to increase the sale and price of the cars</w:t>
      </w:r>
      <w:r w:rsidR="00CB40A1" w:rsidRPr="00F54B93">
        <w:rPr>
          <w:rFonts w:ascii="Times New Roman" w:hAnsi="Times New Roman"/>
        </w:rPr>
        <w:t>'</w:t>
      </w:r>
      <w:r w:rsidR="004A0D99" w:rsidRPr="00F54B93">
        <w:rPr>
          <w:rFonts w:ascii="Times New Roman" w:hAnsi="Times New Roman"/>
        </w:rPr>
        <w:t xml:space="preserve">. The charging of admission fees was not a device to discourage </w:t>
      </w:r>
      <w:r w:rsidR="00CB40A1" w:rsidRPr="00F54B93">
        <w:rPr>
          <w:rFonts w:ascii="Times New Roman" w:hAnsi="Times New Roman"/>
        </w:rPr>
        <w:t>'</w:t>
      </w:r>
      <w:r w:rsidR="004A0D99" w:rsidRPr="00F54B93">
        <w:rPr>
          <w:rFonts w:ascii="Times New Roman" w:hAnsi="Times New Roman"/>
        </w:rPr>
        <w:t>tyre kickers</w:t>
      </w:r>
      <w:r w:rsidR="00CB40A1" w:rsidRPr="00F54B93">
        <w:rPr>
          <w:rFonts w:ascii="Times New Roman" w:hAnsi="Times New Roman"/>
        </w:rPr>
        <w:t>'</w:t>
      </w:r>
      <w:r w:rsidR="004A0D99" w:rsidRPr="00F54B93">
        <w:rPr>
          <w:rFonts w:ascii="Times New Roman" w:hAnsi="Times New Roman"/>
        </w:rPr>
        <w:t>. I do not accept Mr Denny</w:t>
      </w:r>
      <w:r w:rsidR="00CB40A1" w:rsidRPr="00F54B93">
        <w:rPr>
          <w:rFonts w:ascii="Times New Roman" w:hAnsi="Times New Roman"/>
        </w:rPr>
        <w:t>'</w:t>
      </w:r>
      <w:r w:rsidR="004A0D99" w:rsidRPr="00F54B93">
        <w:rPr>
          <w:rFonts w:ascii="Times New Roman" w:hAnsi="Times New Roman"/>
        </w:rPr>
        <w:t xml:space="preserve">s evidence that the admission fees were raised from $16 to $20 because </w:t>
      </w:r>
      <w:r w:rsidR="00CB40A1" w:rsidRPr="00F54B93">
        <w:rPr>
          <w:rFonts w:ascii="Times New Roman" w:hAnsi="Times New Roman"/>
        </w:rPr>
        <w:t>'</w:t>
      </w:r>
      <w:r w:rsidR="004A0D99" w:rsidRPr="00F54B93">
        <w:rPr>
          <w:rFonts w:ascii="Times New Roman" w:hAnsi="Times New Roman"/>
        </w:rPr>
        <w:t>we were still getting people that weren</w:t>
      </w:r>
      <w:r w:rsidR="00CB40A1" w:rsidRPr="00F54B93">
        <w:rPr>
          <w:rFonts w:ascii="Times New Roman" w:hAnsi="Times New Roman"/>
        </w:rPr>
        <w:t>'</w:t>
      </w:r>
      <w:r w:rsidR="004A0D99" w:rsidRPr="00F54B93">
        <w:rPr>
          <w:rFonts w:ascii="Times New Roman" w:hAnsi="Times New Roman"/>
        </w:rPr>
        <w:t>t potential buyers coming in</w:t>
      </w:r>
      <w:r w:rsidR="00CB40A1" w:rsidRPr="00F54B93">
        <w:rPr>
          <w:rFonts w:ascii="Times New Roman" w:hAnsi="Times New Roman"/>
        </w:rPr>
        <w:t>'</w:t>
      </w:r>
      <w:r w:rsidR="004A0D99" w:rsidRPr="00F54B93">
        <w:rPr>
          <w:rFonts w:ascii="Times New Roman" w:hAnsi="Times New Roman"/>
        </w:rPr>
        <w:t xml:space="preserve"> or that when it was</w:t>
      </w:r>
      <w:r w:rsidR="0051517B" w:rsidRPr="00F54B93">
        <w:rPr>
          <w:rFonts w:ascii="Times New Roman" w:hAnsi="Times New Roman"/>
        </w:rPr>
        <w:t xml:space="preserve"> </w:t>
      </w:r>
      <w:r w:rsidR="009E4F92" w:rsidRPr="00F54B93">
        <w:rPr>
          <w:rFonts w:ascii="Times New Roman" w:hAnsi="Times New Roman"/>
        </w:rPr>
        <w:t>'</w:t>
      </w:r>
      <w:r w:rsidR="004A0D99" w:rsidRPr="00F54B93">
        <w:rPr>
          <w:rFonts w:ascii="Times New Roman" w:hAnsi="Times New Roman"/>
        </w:rPr>
        <w:t xml:space="preserve">raised … to $20 there were more affluent people coming </w:t>
      </w:r>
      <w:r w:rsidR="004A0D99" w:rsidRPr="00F54B93">
        <w:rPr>
          <w:rFonts w:ascii="Times New Roman" w:hAnsi="Times New Roman"/>
        </w:rPr>
        <w:lastRenderedPageBreak/>
        <w:t>through, more potential for selling the car</w:t>
      </w:r>
      <w:r w:rsidR="009E4F92" w:rsidRPr="00F54B93">
        <w:rPr>
          <w:rFonts w:ascii="Times New Roman" w:hAnsi="Times New Roman"/>
        </w:rPr>
        <w:t>'</w:t>
      </w:r>
      <w:r w:rsidR="004A0D99" w:rsidRPr="00F54B93">
        <w:rPr>
          <w:rFonts w:ascii="Times New Roman" w:hAnsi="Times New Roman"/>
        </w:rPr>
        <w:t xml:space="preserve"> or that $16 was rejected in favour of $20 in order to reduce the number of </w:t>
      </w:r>
      <w:r w:rsidR="009E4F92" w:rsidRPr="00F54B93">
        <w:rPr>
          <w:rFonts w:ascii="Times New Roman" w:hAnsi="Times New Roman"/>
        </w:rPr>
        <w:t>'</w:t>
      </w:r>
      <w:r w:rsidR="004A0D99" w:rsidRPr="00F54B93">
        <w:rPr>
          <w:rFonts w:ascii="Times New Roman" w:hAnsi="Times New Roman"/>
        </w:rPr>
        <w:t>tyre kickers</w:t>
      </w:r>
      <w:r w:rsidR="009E4F92" w:rsidRPr="00F54B93">
        <w:rPr>
          <w:rFonts w:ascii="Times New Roman" w:hAnsi="Times New Roman"/>
        </w:rPr>
        <w:t>'</w:t>
      </w:r>
      <w:r w:rsidR="004A0D99" w:rsidRPr="00F54B93">
        <w:rPr>
          <w:rFonts w:ascii="Times New Roman" w:hAnsi="Times New Roman"/>
        </w:rPr>
        <w:t xml:space="preserve"> and increase the number of affluent visitors.  </w:t>
      </w:r>
    </w:p>
    <w:p w14:paraId="5EF0FB5E" w14:textId="6F0353F2" w:rsidR="00833211" w:rsidRPr="00F54B93" w:rsidRDefault="000000DB" w:rsidP="00F54B93">
      <w:pPr>
        <w:pStyle w:val="leftright"/>
        <w:spacing w:before="0" w:after="260" w:line="280" w:lineRule="exact"/>
        <w:ind w:right="0"/>
        <w:jc w:val="both"/>
        <w:rPr>
          <w:rFonts w:ascii="Times New Roman" w:hAnsi="Times New Roman"/>
        </w:rPr>
      </w:pPr>
      <w:r w:rsidRPr="00F54B93">
        <w:rPr>
          <w:rFonts w:ascii="Times New Roman" w:hAnsi="Times New Roman"/>
        </w:rPr>
        <w:tab/>
      </w:r>
      <w:r w:rsidR="004A0D99" w:rsidRPr="00F54B93">
        <w:rPr>
          <w:rFonts w:ascii="Times New Roman" w:hAnsi="Times New Roman"/>
        </w:rPr>
        <w:t>As one would expect, the videos suggest that the overwhelming majority of visitors were not visiting the museum to consider a potential purchase of a car at all. Objectively assessed, the museum sought to attract as many visitors as it possibly could and from all walks of life. The museum was a tourist attraction. Indeed, it was spectacular and justifiably successful in attracting customers. It would naturally have attracted many people who were uninterested in buying a car.</w:t>
      </w:r>
    </w:p>
    <w:p w14:paraId="2464D469" w14:textId="2DE103E8" w:rsidR="008A57B3" w:rsidRPr="00F54B93" w:rsidRDefault="002837AD" w:rsidP="00F54B93">
      <w:pPr>
        <w:pStyle w:val="leftright"/>
        <w:spacing w:before="0" w:after="260" w:line="280" w:lineRule="exact"/>
        <w:ind w:right="0"/>
        <w:jc w:val="both"/>
        <w:rPr>
          <w:rFonts w:ascii="Times New Roman" w:hAnsi="Times New Roman"/>
        </w:rPr>
      </w:pPr>
      <w:r w:rsidRPr="00F54B93">
        <w:rPr>
          <w:rFonts w:ascii="Times New Roman" w:hAnsi="Times New Roman"/>
        </w:rPr>
        <w:tab/>
      </w:r>
      <w:r w:rsidR="008A57B3" w:rsidRPr="00F54B93">
        <w:rPr>
          <w:rFonts w:ascii="Times New Roman" w:hAnsi="Times New Roman"/>
        </w:rPr>
        <w:t>...</w:t>
      </w:r>
    </w:p>
    <w:p w14:paraId="3A22D9DB" w14:textId="6DB852FD" w:rsidR="00DF253B" w:rsidRPr="00F54B93" w:rsidRDefault="000000DB" w:rsidP="00F54B93">
      <w:pPr>
        <w:pStyle w:val="leftright"/>
        <w:spacing w:before="0" w:after="260" w:line="280" w:lineRule="exact"/>
        <w:ind w:right="0"/>
        <w:jc w:val="both"/>
        <w:rPr>
          <w:rFonts w:ascii="Times New Roman" w:hAnsi="Times New Roman"/>
        </w:rPr>
      </w:pPr>
      <w:r w:rsidRPr="00F54B93">
        <w:rPr>
          <w:rFonts w:ascii="Times New Roman" w:hAnsi="Times New Roman"/>
        </w:rPr>
        <w:tab/>
      </w:r>
      <w:r w:rsidR="00DF253B" w:rsidRPr="00F54B93">
        <w:rPr>
          <w:rFonts w:ascii="Times New Roman" w:hAnsi="Times New Roman"/>
        </w:rPr>
        <w:t>The [appellant] operated a museum, marketing it broadly to the public, charging substantial admission fees, explaining its exhibits through museum</w:t>
      </w:r>
      <w:r w:rsidR="00AD35A6" w:rsidRPr="00F54B93">
        <w:rPr>
          <w:rFonts w:ascii="Times New Roman" w:hAnsi="Times New Roman"/>
        </w:rPr>
        <w:noBreakHyphen/>
      </w:r>
      <w:r w:rsidR="00DF253B" w:rsidRPr="00F54B93">
        <w:rPr>
          <w:rFonts w:ascii="Times New Roman" w:hAnsi="Times New Roman"/>
        </w:rPr>
        <w:t>like display signs, staff and volunteers, providing associated services including the 1950</w:t>
      </w:r>
      <w:r w:rsidR="00DE371A" w:rsidRPr="00F54B93">
        <w:rPr>
          <w:rFonts w:ascii="Times New Roman" w:hAnsi="Times New Roman"/>
        </w:rPr>
        <w:t>'</w:t>
      </w:r>
      <w:r w:rsidR="00DF253B" w:rsidRPr="00F54B93">
        <w:rPr>
          <w:rFonts w:ascii="Times New Roman" w:hAnsi="Times New Roman"/>
        </w:rPr>
        <w:t xml:space="preserve">s Airstream diner, operating a substantial physical and online gift shop and engaging in museum-like activities such as demonstrating the engine of the De Havilland Rapide, publishing newsletters and demonstrations of its vehicle or the sound of their engines. The museum activities were marketed and directed to an audience far broader than those who might buy or sell vintage or classic cars. </w:t>
      </w:r>
    </w:p>
    <w:p w14:paraId="097A642D" w14:textId="77777777" w:rsidR="00F54B93" w:rsidRDefault="000000DB" w:rsidP="00F54B93">
      <w:pPr>
        <w:pStyle w:val="leftright"/>
        <w:spacing w:before="0" w:after="260" w:line="280" w:lineRule="exact"/>
        <w:ind w:right="0"/>
        <w:jc w:val="both"/>
        <w:rPr>
          <w:rFonts w:ascii="Times New Roman" w:hAnsi="Times New Roman"/>
        </w:rPr>
      </w:pPr>
      <w:r w:rsidRPr="00F54B93">
        <w:rPr>
          <w:rFonts w:ascii="Times New Roman" w:hAnsi="Times New Roman"/>
        </w:rPr>
        <w:tab/>
      </w:r>
      <w:r w:rsidR="00DF253B" w:rsidRPr="00F54B93">
        <w:rPr>
          <w:rFonts w:ascii="Times New Roman" w:hAnsi="Times New Roman"/>
        </w:rPr>
        <w:t xml:space="preserve">None of that is to deny that Mr Denny and the [appellant] intended to trade cars through the </w:t>
      </w:r>
      <w:r w:rsidR="00DE371A" w:rsidRPr="00F54B93">
        <w:rPr>
          <w:rFonts w:ascii="Times New Roman" w:hAnsi="Times New Roman"/>
        </w:rPr>
        <w:t>'</w:t>
      </w:r>
      <w:r w:rsidR="00DF253B" w:rsidRPr="00F54B93">
        <w:rPr>
          <w:rFonts w:ascii="Times New Roman" w:hAnsi="Times New Roman"/>
        </w:rPr>
        <w:t>Gosford Classic Car Museum</w:t>
      </w:r>
      <w:r w:rsidR="00DE371A" w:rsidRPr="00F54B93">
        <w:rPr>
          <w:rFonts w:ascii="Times New Roman" w:hAnsi="Times New Roman"/>
        </w:rPr>
        <w:t>'</w:t>
      </w:r>
      <w:r w:rsidR="00DF253B" w:rsidRPr="00F54B93">
        <w:rPr>
          <w:rFonts w:ascii="Times New Roman" w:hAnsi="Times New Roman"/>
        </w:rPr>
        <w:t xml:space="preserve"> or that they considered that the museum would assist in maximising the number of sales and the sale price. Mr Denny made clear, as is obvious in any event from the objective facts, that he wanted to profit from the sale of cars and considered that the </w:t>
      </w:r>
      <w:r w:rsidR="00EB106A" w:rsidRPr="00F54B93">
        <w:rPr>
          <w:rFonts w:ascii="Times New Roman" w:hAnsi="Times New Roman"/>
        </w:rPr>
        <w:t>'</w:t>
      </w:r>
      <w:r w:rsidR="00DF253B" w:rsidRPr="00F54B93">
        <w:rPr>
          <w:rFonts w:ascii="Times New Roman" w:hAnsi="Times New Roman"/>
        </w:rPr>
        <w:t>museum concept</w:t>
      </w:r>
      <w:r w:rsidR="00EB106A" w:rsidRPr="00F54B93">
        <w:rPr>
          <w:rFonts w:ascii="Times New Roman" w:hAnsi="Times New Roman"/>
        </w:rPr>
        <w:t>'</w:t>
      </w:r>
      <w:r w:rsidR="00DF253B" w:rsidRPr="00F54B93">
        <w:rPr>
          <w:rFonts w:ascii="Times New Roman" w:hAnsi="Times New Roman"/>
        </w:rPr>
        <w:t xml:space="preserve"> would be the best way to achieve that objective. The question though is whether, in implementing the museum concept in the way that it did, the </w:t>
      </w:r>
      <w:r w:rsidR="00EB106A" w:rsidRPr="00F54B93">
        <w:rPr>
          <w:rFonts w:ascii="Times New Roman" w:hAnsi="Times New Roman"/>
        </w:rPr>
        <w:t xml:space="preserve">[appellant] </w:t>
      </w:r>
      <w:r w:rsidR="00781B87" w:rsidRPr="00F54B93">
        <w:rPr>
          <w:rFonts w:ascii="Times New Roman" w:hAnsi="Times New Roman"/>
        </w:rPr>
        <w:t>'</w:t>
      </w:r>
      <w:r w:rsidR="00DF253B" w:rsidRPr="00F54B93">
        <w:rPr>
          <w:rFonts w:ascii="Times New Roman" w:hAnsi="Times New Roman"/>
        </w:rPr>
        <w:t>use[d] the car[s] for a purpose other than a quotable purpose</w:t>
      </w:r>
      <w:r w:rsidR="00781B87" w:rsidRPr="00F54B93">
        <w:rPr>
          <w:rFonts w:ascii="Times New Roman" w:hAnsi="Times New Roman"/>
        </w:rPr>
        <w:t>'</w:t>
      </w:r>
      <w:r w:rsidR="00DF253B" w:rsidRPr="00F54B93">
        <w:rPr>
          <w:rFonts w:ascii="Times New Roman" w:hAnsi="Times New Roman"/>
        </w:rPr>
        <w:t>: s</w:t>
      </w:r>
      <w:r w:rsidR="00781B87" w:rsidRPr="00F54B93">
        <w:rPr>
          <w:rFonts w:ascii="Times New Roman" w:hAnsi="Times New Roman"/>
        </w:rPr>
        <w:t> </w:t>
      </w:r>
      <w:r w:rsidR="00DF253B" w:rsidRPr="00F54B93">
        <w:rPr>
          <w:rFonts w:ascii="Times New Roman" w:hAnsi="Times New Roman"/>
        </w:rPr>
        <w:t>15</w:t>
      </w:r>
      <w:r w:rsidR="00781B87" w:rsidRPr="00F54B93">
        <w:rPr>
          <w:rFonts w:ascii="Times New Roman" w:hAnsi="Times New Roman"/>
        </w:rPr>
        <w:noBreakHyphen/>
      </w:r>
      <w:r w:rsidR="00DF253B" w:rsidRPr="00F54B93">
        <w:rPr>
          <w:rFonts w:ascii="Times New Roman" w:hAnsi="Times New Roman"/>
        </w:rPr>
        <w:t>30(3)(c)</w:t>
      </w:r>
      <w:r w:rsidR="009E5048" w:rsidRPr="00F54B93">
        <w:rPr>
          <w:rFonts w:ascii="Times New Roman" w:hAnsi="Times New Roman"/>
        </w:rPr>
        <w:t>,</w:t>
      </w:r>
      <w:r w:rsidR="00DF253B" w:rsidRPr="00F54B93">
        <w:rPr>
          <w:rFonts w:ascii="Times New Roman" w:hAnsi="Times New Roman"/>
        </w:rPr>
        <w:t xml:space="preserve"> s</w:t>
      </w:r>
      <w:r w:rsidR="00781B87" w:rsidRPr="00F54B93">
        <w:rPr>
          <w:rFonts w:ascii="Times New Roman" w:hAnsi="Times New Roman"/>
        </w:rPr>
        <w:t> </w:t>
      </w:r>
      <w:r w:rsidR="00DF253B" w:rsidRPr="00F54B93">
        <w:rPr>
          <w:rFonts w:ascii="Times New Roman" w:hAnsi="Times New Roman"/>
        </w:rPr>
        <w:t>15</w:t>
      </w:r>
      <w:r w:rsidR="00781B87" w:rsidRPr="00F54B93">
        <w:rPr>
          <w:rFonts w:ascii="Times New Roman" w:hAnsi="Times New Roman"/>
        </w:rPr>
        <w:noBreakHyphen/>
      </w:r>
      <w:r w:rsidR="00DF253B" w:rsidRPr="00F54B93">
        <w:rPr>
          <w:rFonts w:ascii="Times New Roman" w:hAnsi="Times New Roman"/>
        </w:rPr>
        <w:t xml:space="preserve">35(3)(c). The answer is that, in displaying each car in the museum, together with other cars, in the manner described earlier, the </w:t>
      </w:r>
      <w:r w:rsidR="00A80E2B" w:rsidRPr="00F54B93">
        <w:rPr>
          <w:rFonts w:ascii="Times New Roman" w:hAnsi="Times New Roman"/>
        </w:rPr>
        <w:t xml:space="preserve">[appellant] </w:t>
      </w:r>
      <w:r w:rsidR="00DF253B" w:rsidRPr="00F54B93">
        <w:rPr>
          <w:rFonts w:ascii="Times New Roman" w:hAnsi="Times New Roman"/>
        </w:rPr>
        <w:t>did use the cars for a purpose additional to holding the cars as trading stock."</w:t>
      </w:r>
    </w:p>
    <w:p w14:paraId="1A90E1AD" w14:textId="1804C15A" w:rsidR="005D734E" w:rsidRPr="00F54B93" w:rsidRDefault="00F222C0" w:rsidP="00F54B93">
      <w:pPr>
        <w:pStyle w:val="HeadingL2"/>
        <w:spacing w:after="260" w:line="280" w:lineRule="exact"/>
        <w:ind w:right="0"/>
        <w:jc w:val="both"/>
        <w:rPr>
          <w:rFonts w:ascii="Times New Roman" w:hAnsi="Times New Roman"/>
        </w:rPr>
      </w:pPr>
      <w:r w:rsidRPr="00F54B93">
        <w:rPr>
          <w:rFonts w:ascii="Times New Roman" w:hAnsi="Times New Roman"/>
        </w:rPr>
        <w:t>The p</w:t>
      </w:r>
      <w:r w:rsidR="005D734E" w:rsidRPr="00F54B93">
        <w:rPr>
          <w:rFonts w:ascii="Times New Roman" w:hAnsi="Times New Roman"/>
        </w:rPr>
        <w:t>rimary judge was correct</w:t>
      </w:r>
    </w:p>
    <w:p w14:paraId="5312D1E1" w14:textId="14343478" w:rsidR="005D734E" w:rsidRPr="00F54B93" w:rsidRDefault="005D734E"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D5607C" w:rsidRPr="00F54B93">
        <w:rPr>
          <w:rFonts w:ascii="Times New Roman" w:hAnsi="Times New Roman"/>
        </w:rPr>
        <w:t xml:space="preserve">A </w:t>
      </w:r>
      <w:r w:rsidRPr="00F54B93">
        <w:rPr>
          <w:rFonts w:ascii="Times New Roman" w:hAnsi="Times New Roman"/>
        </w:rPr>
        <w:t xml:space="preserve">key </w:t>
      </w:r>
      <w:r w:rsidR="00B4069D" w:rsidRPr="00F54B93">
        <w:rPr>
          <w:rFonts w:ascii="Times New Roman" w:hAnsi="Times New Roman"/>
        </w:rPr>
        <w:t>part of the primary judge's finding</w:t>
      </w:r>
      <w:r w:rsidR="00F222C0" w:rsidRPr="00F54B93">
        <w:rPr>
          <w:rFonts w:ascii="Times New Roman" w:hAnsi="Times New Roman"/>
        </w:rPr>
        <w:t>s</w:t>
      </w:r>
      <w:r w:rsidR="00B4069D" w:rsidRPr="00F54B93">
        <w:rPr>
          <w:rFonts w:ascii="Times New Roman" w:hAnsi="Times New Roman"/>
        </w:rPr>
        <w:t xml:space="preserve"> is his Honour's </w:t>
      </w:r>
      <w:r w:rsidR="00285F4B" w:rsidRPr="00F54B93">
        <w:rPr>
          <w:rFonts w:ascii="Times New Roman" w:hAnsi="Times New Roman"/>
        </w:rPr>
        <w:t xml:space="preserve">statement that "[c]ontrary to the submissions advanced on behalf of the [appellant], the museum was not </w:t>
      </w:r>
      <w:r w:rsidR="00285F4B" w:rsidRPr="00F54B93">
        <w:rPr>
          <w:rFonts w:ascii="Times New Roman" w:hAnsi="Times New Roman"/>
          <w:i/>
          <w:iCs/>
        </w:rPr>
        <w:t>solely</w:t>
      </w:r>
      <w:r w:rsidR="00285F4B" w:rsidRPr="00F54B93">
        <w:rPr>
          <w:rFonts w:ascii="Times New Roman" w:hAnsi="Times New Roman"/>
        </w:rPr>
        <w:t xml:space="preserve"> an </w:t>
      </w:r>
      <w:r w:rsidR="005E5216" w:rsidRPr="00F54B93">
        <w:rPr>
          <w:rFonts w:ascii="Times New Roman" w:hAnsi="Times New Roman"/>
        </w:rPr>
        <w:t>'</w:t>
      </w:r>
      <w:r w:rsidR="00285F4B" w:rsidRPr="00F54B93">
        <w:rPr>
          <w:rFonts w:ascii="Times New Roman" w:hAnsi="Times New Roman"/>
        </w:rPr>
        <w:t>enterprising marketing strategy intended to increase the sale and price of the cars</w:t>
      </w:r>
      <w:r w:rsidR="005E5216" w:rsidRPr="00F54B93">
        <w:rPr>
          <w:rFonts w:ascii="Times New Roman" w:hAnsi="Times New Roman"/>
        </w:rPr>
        <w:t>'</w:t>
      </w:r>
      <w:r w:rsidR="00B34FFA" w:rsidRPr="00F54B93">
        <w:rPr>
          <w:rFonts w:ascii="Times New Roman" w:hAnsi="Times New Roman"/>
        </w:rPr>
        <w:t>"</w:t>
      </w:r>
      <w:r w:rsidR="00C31946" w:rsidRPr="00F54B93">
        <w:rPr>
          <w:rFonts w:ascii="Times New Roman" w:hAnsi="Times New Roman"/>
        </w:rPr>
        <w:t>.</w:t>
      </w:r>
      <w:r w:rsidR="00285F4B" w:rsidRPr="00F54B93">
        <w:rPr>
          <w:rFonts w:ascii="Times New Roman" w:hAnsi="Times New Roman"/>
        </w:rPr>
        <w:t xml:space="preserve"> </w:t>
      </w:r>
      <w:r w:rsidR="005E1AC4" w:rsidRPr="00F54B93">
        <w:rPr>
          <w:rFonts w:ascii="Times New Roman" w:hAnsi="Times New Roman"/>
        </w:rPr>
        <w:t>T</w:t>
      </w:r>
      <w:r w:rsidR="00B34FFA" w:rsidRPr="00F54B93">
        <w:rPr>
          <w:rFonts w:ascii="Times New Roman" w:hAnsi="Times New Roman"/>
        </w:rPr>
        <w:t>he primary judge also rejected Mr Denny's evidence that</w:t>
      </w:r>
      <w:r w:rsidR="005E1AC4" w:rsidRPr="00F54B93">
        <w:rPr>
          <w:rFonts w:ascii="Times New Roman" w:hAnsi="Times New Roman"/>
        </w:rPr>
        <w:t>: (a)</w:t>
      </w:r>
      <w:r w:rsidR="00D5607C" w:rsidRPr="00F54B93">
        <w:rPr>
          <w:rFonts w:ascii="Times New Roman" w:hAnsi="Times New Roman"/>
        </w:rPr>
        <w:t> </w:t>
      </w:r>
      <w:r w:rsidR="00B34FFA" w:rsidRPr="00F54B93">
        <w:rPr>
          <w:rFonts w:ascii="Times New Roman" w:hAnsi="Times New Roman"/>
        </w:rPr>
        <w:t xml:space="preserve">charging of admission fees was a device to discourage </w:t>
      </w:r>
      <w:r w:rsidR="006D49B4" w:rsidRPr="00F54B93">
        <w:rPr>
          <w:rFonts w:ascii="Times New Roman" w:hAnsi="Times New Roman"/>
        </w:rPr>
        <w:t>"</w:t>
      </w:r>
      <w:r w:rsidR="00B34FFA" w:rsidRPr="00F54B93">
        <w:rPr>
          <w:rFonts w:ascii="Times New Roman" w:hAnsi="Times New Roman"/>
        </w:rPr>
        <w:t>tyre kickers</w:t>
      </w:r>
      <w:r w:rsidR="006D49B4" w:rsidRPr="00F54B93">
        <w:rPr>
          <w:rFonts w:ascii="Times New Roman" w:hAnsi="Times New Roman"/>
        </w:rPr>
        <w:t xml:space="preserve">"; </w:t>
      </w:r>
      <w:r w:rsidR="00FC0911" w:rsidRPr="00F54B93">
        <w:rPr>
          <w:rFonts w:ascii="Times New Roman" w:hAnsi="Times New Roman"/>
        </w:rPr>
        <w:t xml:space="preserve">and </w:t>
      </w:r>
      <w:r w:rsidR="006D49B4" w:rsidRPr="00F54B93">
        <w:rPr>
          <w:rFonts w:ascii="Times New Roman" w:hAnsi="Times New Roman"/>
        </w:rPr>
        <w:t>(b) </w:t>
      </w:r>
      <w:r w:rsidR="0051517B" w:rsidRPr="00F54B93">
        <w:rPr>
          <w:rFonts w:ascii="Times New Roman" w:hAnsi="Times New Roman"/>
        </w:rPr>
        <w:t xml:space="preserve">the admission fees </w:t>
      </w:r>
      <w:r w:rsidR="00171D00" w:rsidRPr="00F54B93">
        <w:rPr>
          <w:rFonts w:ascii="Times New Roman" w:hAnsi="Times New Roman"/>
        </w:rPr>
        <w:t xml:space="preserve">were raised </w:t>
      </w:r>
      <w:r w:rsidR="00FC0911" w:rsidRPr="00F54B93">
        <w:rPr>
          <w:rFonts w:ascii="Times New Roman" w:hAnsi="Times New Roman"/>
        </w:rPr>
        <w:t xml:space="preserve">because the premises were attracting </w:t>
      </w:r>
      <w:r w:rsidR="00943101" w:rsidRPr="00F54B93">
        <w:rPr>
          <w:rFonts w:ascii="Times New Roman" w:hAnsi="Times New Roman"/>
        </w:rPr>
        <w:t xml:space="preserve">people </w:t>
      </w:r>
      <w:r w:rsidR="00943101" w:rsidRPr="00F54B93">
        <w:rPr>
          <w:rFonts w:ascii="Times New Roman" w:hAnsi="Times New Roman"/>
        </w:rPr>
        <w:lastRenderedPageBreak/>
        <w:t xml:space="preserve">who were not potential buyers and by raising </w:t>
      </w:r>
      <w:r w:rsidR="00134DF3" w:rsidRPr="00F54B93">
        <w:rPr>
          <w:rFonts w:ascii="Times New Roman" w:hAnsi="Times New Roman"/>
        </w:rPr>
        <w:t>the</w:t>
      </w:r>
      <w:r w:rsidR="00943101" w:rsidRPr="00F54B93">
        <w:rPr>
          <w:rFonts w:ascii="Times New Roman" w:hAnsi="Times New Roman"/>
        </w:rPr>
        <w:t xml:space="preserve"> fee</w:t>
      </w:r>
      <w:r w:rsidR="00171D00" w:rsidRPr="00F54B93">
        <w:rPr>
          <w:rFonts w:ascii="Times New Roman" w:hAnsi="Times New Roman"/>
        </w:rPr>
        <w:t>s</w:t>
      </w:r>
      <w:r w:rsidR="00943101" w:rsidRPr="00F54B93">
        <w:rPr>
          <w:rFonts w:ascii="Times New Roman" w:hAnsi="Times New Roman"/>
        </w:rPr>
        <w:t xml:space="preserve"> he wanted to attract affluent people who were more </w:t>
      </w:r>
      <w:r w:rsidR="00134DF3" w:rsidRPr="00F54B93">
        <w:rPr>
          <w:rFonts w:ascii="Times New Roman" w:hAnsi="Times New Roman"/>
        </w:rPr>
        <w:t>likely</w:t>
      </w:r>
      <w:r w:rsidR="00943101" w:rsidRPr="00F54B93">
        <w:rPr>
          <w:rFonts w:ascii="Times New Roman" w:hAnsi="Times New Roman"/>
        </w:rPr>
        <w:t xml:space="preserve"> to </w:t>
      </w:r>
      <w:r w:rsidR="00134DF3" w:rsidRPr="00F54B93">
        <w:rPr>
          <w:rFonts w:ascii="Times New Roman" w:hAnsi="Times New Roman"/>
        </w:rPr>
        <w:t xml:space="preserve">buy a vehicle. Every aspect of these conclusions </w:t>
      </w:r>
      <w:r w:rsidR="009516B6" w:rsidRPr="00F54B93">
        <w:rPr>
          <w:rFonts w:ascii="Times New Roman" w:hAnsi="Times New Roman"/>
        </w:rPr>
        <w:t xml:space="preserve">of the primary judge </w:t>
      </w:r>
      <w:r w:rsidR="00134DF3" w:rsidRPr="00F54B93">
        <w:rPr>
          <w:rFonts w:ascii="Times New Roman" w:hAnsi="Times New Roman"/>
        </w:rPr>
        <w:t xml:space="preserve">is significant. </w:t>
      </w:r>
    </w:p>
    <w:p w14:paraId="4345681D" w14:textId="0A20D479" w:rsidR="00410BB4" w:rsidRPr="00F54B93" w:rsidRDefault="00410BB4" w:rsidP="00F54B93">
      <w:pPr>
        <w:pStyle w:val="FixListStyle"/>
        <w:spacing w:after="260" w:line="280" w:lineRule="exact"/>
        <w:ind w:right="0"/>
        <w:jc w:val="both"/>
        <w:rPr>
          <w:rFonts w:ascii="Times New Roman" w:hAnsi="Times New Roman"/>
        </w:rPr>
      </w:pPr>
      <w:r w:rsidRPr="00F54B93">
        <w:rPr>
          <w:rFonts w:ascii="Times New Roman" w:hAnsi="Times New Roman"/>
        </w:rPr>
        <w:tab/>
        <w:t xml:space="preserve">The primary judge did not have to find Mr Denny to be dishonest to reject </w:t>
      </w:r>
      <w:r w:rsidR="005B6213" w:rsidRPr="00F54B93">
        <w:rPr>
          <w:rFonts w:ascii="Times New Roman" w:hAnsi="Times New Roman"/>
        </w:rPr>
        <w:t xml:space="preserve">the key aspects of </w:t>
      </w:r>
      <w:r w:rsidRPr="00F54B93">
        <w:rPr>
          <w:rFonts w:ascii="Times New Roman" w:hAnsi="Times New Roman"/>
        </w:rPr>
        <w:t xml:space="preserve">his evidence. </w:t>
      </w:r>
      <w:r w:rsidR="00311BCD" w:rsidRPr="00F54B93">
        <w:rPr>
          <w:rFonts w:ascii="Times New Roman" w:hAnsi="Times New Roman"/>
        </w:rPr>
        <w:t>As the primary judge said</w:t>
      </w:r>
      <w:r w:rsidR="009516B6" w:rsidRPr="00F54B93">
        <w:rPr>
          <w:rFonts w:ascii="Times New Roman" w:hAnsi="Times New Roman"/>
        </w:rPr>
        <w:t>,</w:t>
      </w:r>
      <w:r w:rsidR="00311BCD" w:rsidRPr="00F54B93">
        <w:rPr>
          <w:rFonts w:ascii="Times New Roman" w:hAnsi="Times New Roman"/>
        </w:rPr>
        <w:t xml:space="preserve"> we are all subject to human frailties in terms of recollection</w:t>
      </w:r>
      <w:r w:rsidR="00943A81" w:rsidRPr="00F54B93">
        <w:rPr>
          <w:rFonts w:ascii="Times New Roman" w:hAnsi="Times New Roman"/>
        </w:rPr>
        <w:t>,</w:t>
      </w:r>
      <w:r w:rsidR="002B1FE6" w:rsidRPr="00F54B93">
        <w:rPr>
          <w:rFonts w:ascii="Times New Roman" w:hAnsi="Times New Roman"/>
        </w:rPr>
        <w:t xml:space="preserve"> including the "pull, even if subconscious, towards self</w:t>
      </w:r>
      <w:r w:rsidR="008F1802" w:rsidRPr="00F54B93">
        <w:rPr>
          <w:rFonts w:ascii="Times New Roman" w:hAnsi="Times New Roman"/>
        </w:rPr>
        <w:noBreakHyphen/>
      </w:r>
      <w:r w:rsidR="002B1FE6" w:rsidRPr="00F54B93">
        <w:rPr>
          <w:rFonts w:ascii="Times New Roman" w:hAnsi="Times New Roman"/>
        </w:rPr>
        <w:t>interest".</w:t>
      </w:r>
      <w:r w:rsidR="009516B6" w:rsidRPr="00F54B93">
        <w:rPr>
          <w:rStyle w:val="FootnoteReference"/>
          <w:rFonts w:ascii="Times New Roman" w:hAnsi="Times New Roman"/>
          <w:sz w:val="24"/>
        </w:rPr>
        <w:footnoteReference w:id="18"/>
      </w:r>
      <w:r w:rsidR="002B1FE6" w:rsidRPr="00F54B93">
        <w:rPr>
          <w:rFonts w:ascii="Times New Roman" w:hAnsi="Times New Roman"/>
        </w:rPr>
        <w:t xml:space="preserve"> While not cited, this is an obvious reference to </w:t>
      </w:r>
      <w:r w:rsidR="006C7545" w:rsidRPr="00F54B93">
        <w:rPr>
          <w:rFonts w:ascii="Times New Roman" w:hAnsi="Times New Roman"/>
        </w:rPr>
        <w:t>the ongoing significance of the observations of Mc</w:t>
      </w:r>
      <w:r w:rsidR="009E50D6" w:rsidRPr="00F54B93">
        <w:rPr>
          <w:rFonts w:ascii="Times New Roman" w:hAnsi="Times New Roman"/>
        </w:rPr>
        <w:t>L</w:t>
      </w:r>
      <w:r w:rsidR="006C7545" w:rsidRPr="00F54B93">
        <w:rPr>
          <w:rFonts w:ascii="Times New Roman" w:hAnsi="Times New Roman"/>
        </w:rPr>
        <w:t>elland</w:t>
      </w:r>
      <w:r w:rsidR="00791418" w:rsidRPr="00F54B93">
        <w:rPr>
          <w:rFonts w:ascii="Times New Roman" w:hAnsi="Times New Roman"/>
        </w:rPr>
        <w:t> </w:t>
      </w:r>
      <w:r w:rsidR="006C7545" w:rsidRPr="00F54B93">
        <w:rPr>
          <w:rFonts w:ascii="Times New Roman" w:hAnsi="Times New Roman"/>
        </w:rPr>
        <w:t xml:space="preserve">CJ in Eq in </w:t>
      </w:r>
      <w:r w:rsidR="006C7545" w:rsidRPr="00F54B93">
        <w:rPr>
          <w:rFonts w:ascii="Times New Roman" w:hAnsi="Times New Roman"/>
          <w:i/>
          <w:iCs/>
        </w:rPr>
        <w:t>Watson v Foxman</w:t>
      </w:r>
      <w:r w:rsidR="00D73930" w:rsidRPr="00F54B93">
        <w:rPr>
          <w:rFonts w:ascii="Times New Roman" w:hAnsi="Times New Roman"/>
        </w:rPr>
        <w:t>.</w:t>
      </w:r>
      <w:r w:rsidR="00A3726B" w:rsidRPr="00F54B93">
        <w:rPr>
          <w:rStyle w:val="FootnoteReference"/>
          <w:rFonts w:ascii="Times New Roman" w:hAnsi="Times New Roman"/>
          <w:sz w:val="24"/>
        </w:rPr>
        <w:footnoteReference w:id="19"/>
      </w:r>
      <w:r w:rsidR="00D73930" w:rsidRPr="00F54B93">
        <w:rPr>
          <w:rFonts w:ascii="Times New Roman" w:hAnsi="Times New Roman"/>
        </w:rPr>
        <w:t xml:space="preserve"> Those observations,</w:t>
      </w:r>
      <w:r w:rsidR="00101CEF" w:rsidRPr="00F54B93">
        <w:rPr>
          <w:rFonts w:ascii="Times New Roman" w:hAnsi="Times New Roman"/>
        </w:rPr>
        <w:t xml:space="preserve"> while focused on the recollection of conversations, appl</w:t>
      </w:r>
      <w:r w:rsidR="005B6213" w:rsidRPr="00F54B93">
        <w:rPr>
          <w:rFonts w:ascii="Times New Roman" w:hAnsi="Times New Roman"/>
        </w:rPr>
        <w:t>y</w:t>
      </w:r>
      <w:r w:rsidR="00101CEF" w:rsidRPr="00F54B93">
        <w:rPr>
          <w:rFonts w:ascii="Times New Roman" w:hAnsi="Times New Roman"/>
        </w:rPr>
        <w:t xml:space="preserve"> generally to the function of memory and recall. </w:t>
      </w:r>
      <w:r w:rsidR="00EB6AFE" w:rsidRPr="00F54B93">
        <w:rPr>
          <w:rFonts w:ascii="Times New Roman" w:hAnsi="Times New Roman"/>
        </w:rPr>
        <w:t xml:space="preserve">Adapting his Honour's </w:t>
      </w:r>
      <w:r w:rsidR="0007450E" w:rsidRPr="00F54B93">
        <w:rPr>
          <w:rFonts w:ascii="Times New Roman" w:hAnsi="Times New Roman"/>
        </w:rPr>
        <w:t>observations</w:t>
      </w:r>
      <w:r w:rsidR="001A0D87" w:rsidRPr="00F54B93">
        <w:rPr>
          <w:rFonts w:ascii="Times New Roman" w:hAnsi="Times New Roman"/>
        </w:rPr>
        <w:t xml:space="preserve"> in </w:t>
      </w:r>
      <w:r w:rsidR="001A0D87" w:rsidRPr="00F54B93">
        <w:rPr>
          <w:rFonts w:ascii="Times New Roman" w:hAnsi="Times New Roman"/>
          <w:i/>
          <w:iCs/>
        </w:rPr>
        <w:t>Watson</w:t>
      </w:r>
      <w:r w:rsidR="00EB6AFE" w:rsidRPr="00F54B93">
        <w:rPr>
          <w:rFonts w:ascii="Times New Roman" w:hAnsi="Times New Roman"/>
        </w:rPr>
        <w:t xml:space="preserve"> </w:t>
      </w:r>
      <w:r w:rsidR="005B6213" w:rsidRPr="00F54B93">
        <w:rPr>
          <w:rFonts w:ascii="Times New Roman" w:hAnsi="Times New Roman"/>
        </w:rPr>
        <w:t xml:space="preserve">for </w:t>
      </w:r>
      <w:r w:rsidR="00EB6AFE" w:rsidRPr="00F54B93">
        <w:rPr>
          <w:rFonts w:ascii="Times New Roman" w:hAnsi="Times New Roman"/>
        </w:rPr>
        <w:t>that more general purpose, it may be said that "</w:t>
      </w:r>
      <w:r w:rsidR="0007450E" w:rsidRPr="00F54B93">
        <w:rPr>
          <w:rFonts w:ascii="Times New Roman" w:hAnsi="Times New Roman"/>
        </w:rPr>
        <w:t xml:space="preserve">human memory ... </w:t>
      </w:r>
      <w:r w:rsidR="00CB527D" w:rsidRPr="00F54B93">
        <w:rPr>
          <w:rFonts w:ascii="Times New Roman" w:hAnsi="Times New Roman"/>
        </w:rPr>
        <w:t>is fallible for a variety of reasons, and ordinarily the degree of fallibility increases with the passage of time, particularly where disputes or litigation intervene, and the processes of memory are overlaid, often subconsciously, by perceptions or self</w:t>
      </w:r>
      <w:r w:rsidR="006D2738" w:rsidRPr="00F54B93">
        <w:rPr>
          <w:rFonts w:ascii="Times New Roman" w:hAnsi="Times New Roman"/>
        </w:rPr>
        <w:noBreakHyphen/>
      </w:r>
      <w:r w:rsidR="00CB527D" w:rsidRPr="00F54B93">
        <w:rPr>
          <w:rFonts w:ascii="Times New Roman" w:hAnsi="Times New Roman"/>
        </w:rPr>
        <w:t xml:space="preserve">interest as well as conscious consideration[s] ... </w:t>
      </w:r>
      <w:r w:rsidR="00691A1D" w:rsidRPr="00F54B93">
        <w:rPr>
          <w:rFonts w:ascii="Times New Roman" w:hAnsi="Times New Roman"/>
        </w:rPr>
        <w:t>All too often what is actually remembered is little more than an impression from which plausible details are then, again often subconsciously, constructed. All this is a matter of ordinary human experience."</w:t>
      </w:r>
      <w:r w:rsidR="00691A1D" w:rsidRPr="00F54B93">
        <w:rPr>
          <w:rStyle w:val="FootnoteReference"/>
          <w:rFonts w:ascii="Times New Roman" w:hAnsi="Times New Roman"/>
          <w:sz w:val="24"/>
        </w:rPr>
        <w:footnoteReference w:id="20"/>
      </w:r>
    </w:p>
    <w:p w14:paraId="1E9F443E" w14:textId="646488C5" w:rsidR="00A728D9" w:rsidRPr="00F54B93" w:rsidRDefault="00D41722"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CC6810" w:rsidRPr="00F54B93">
        <w:rPr>
          <w:rFonts w:ascii="Times New Roman" w:hAnsi="Times New Roman"/>
        </w:rPr>
        <w:t>I</w:t>
      </w:r>
      <w:r w:rsidR="00F23C4B" w:rsidRPr="00F54B93">
        <w:rPr>
          <w:rFonts w:ascii="Times New Roman" w:hAnsi="Times New Roman"/>
        </w:rPr>
        <w:t xml:space="preserve">n </w:t>
      </w:r>
      <w:r w:rsidR="00A128EC" w:rsidRPr="00F54B93">
        <w:rPr>
          <w:rFonts w:ascii="Times New Roman" w:hAnsi="Times New Roman"/>
        </w:rPr>
        <w:t>both rejecting specific aspects of M</w:t>
      </w:r>
      <w:r w:rsidR="00D94F64" w:rsidRPr="00F54B93">
        <w:rPr>
          <w:rFonts w:ascii="Times New Roman" w:hAnsi="Times New Roman"/>
        </w:rPr>
        <w:t>r</w:t>
      </w:r>
      <w:r w:rsidR="00A128EC" w:rsidRPr="00F54B93">
        <w:rPr>
          <w:rFonts w:ascii="Times New Roman" w:hAnsi="Times New Roman"/>
        </w:rPr>
        <w:t> Denny's evidence about his intentions and states of mind</w:t>
      </w:r>
      <w:r w:rsidR="00D94F64" w:rsidRPr="00F54B93">
        <w:rPr>
          <w:rFonts w:ascii="Times New Roman" w:hAnsi="Times New Roman"/>
        </w:rPr>
        <w:t xml:space="preserve"> at the relevant times and</w:t>
      </w:r>
      <w:r w:rsidR="00A128EC" w:rsidRPr="00F54B93">
        <w:rPr>
          <w:rFonts w:ascii="Times New Roman" w:hAnsi="Times New Roman"/>
        </w:rPr>
        <w:t xml:space="preserve"> </w:t>
      </w:r>
      <w:r w:rsidR="00D94F64" w:rsidRPr="00F54B93">
        <w:rPr>
          <w:rFonts w:ascii="Times New Roman" w:hAnsi="Times New Roman"/>
        </w:rPr>
        <w:t xml:space="preserve">saying that "[c]ontrary to the submissions advanced on behalf of the [appellant], the museum was not </w:t>
      </w:r>
      <w:r w:rsidR="00D94F64" w:rsidRPr="00F54B93">
        <w:rPr>
          <w:rFonts w:ascii="Times New Roman" w:hAnsi="Times New Roman"/>
          <w:i/>
          <w:iCs/>
        </w:rPr>
        <w:t>solely</w:t>
      </w:r>
      <w:r w:rsidR="00D94F64" w:rsidRPr="00F54B93">
        <w:rPr>
          <w:rFonts w:ascii="Times New Roman" w:hAnsi="Times New Roman"/>
        </w:rPr>
        <w:t xml:space="preserve"> an </w:t>
      </w:r>
      <w:r w:rsidR="006D395E" w:rsidRPr="00F54B93">
        <w:rPr>
          <w:rFonts w:ascii="Times New Roman" w:hAnsi="Times New Roman"/>
        </w:rPr>
        <w:t>'</w:t>
      </w:r>
      <w:r w:rsidR="00D94F64" w:rsidRPr="00F54B93">
        <w:rPr>
          <w:rFonts w:ascii="Times New Roman" w:hAnsi="Times New Roman"/>
        </w:rPr>
        <w:t>enterprising marketing strategy intended to increase the sale and price of the cars</w:t>
      </w:r>
      <w:r w:rsidR="006D395E" w:rsidRPr="00F54B93">
        <w:rPr>
          <w:rFonts w:ascii="Times New Roman" w:hAnsi="Times New Roman"/>
        </w:rPr>
        <w:t>'</w:t>
      </w:r>
      <w:r w:rsidR="00A0233F" w:rsidRPr="00F54B93">
        <w:rPr>
          <w:rFonts w:ascii="Times New Roman" w:hAnsi="Times New Roman"/>
        </w:rPr>
        <w:t>"</w:t>
      </w:r>
      <w:r w:rsidR="00D94F64" w:rsidRPr="00F54B93">
        <w:rPr>
          <w:rFonts w:ascii="Times New Roman" w:hAnsi="Times New Roman"/>
        </w:rPr>
        <w:t xml:space="preserve">, </w:t>
      </w:r>
      <w:r w:rsidR="00A128EC" w:rsidRPr="00F54B93">
        <w:rPr>
          <w:rFonts w:ascii="Times New Roman" w:hAnsi="Times New Roman"/>
        </w:rPr>
        <w:t xml:space="preserve">the primary judge was doing two </w:t>
      </w:r>
      <w:r w:rsidR="00B41B14" w:rsidRPr="00F54B93">
        <w:rPr>
          <w:rFonts w:ascii="Times New Roman" w:hAnsi="Times New Roman"/>
        </w:rPr>
        <w:t xml:space="preserve">important </w:t>
      </w:r>
      <w:r w:rsidR="00A128EC" w:rsidRPr="00F54B93">
        <w:rPr>
          <w:rFonts w:ascii="Times New Roman" w:hAnsi="Times New Roman"/>
        </w:rPr>
        <w:t xml:space="preserve">things. </w:t>
      </w:r>
    </w:p>
    <w:p w14:paraId="3BAFE97B" w14:textId="59E614B8" w:rsidR="007409DA" w:rsidRPr="00F54B93" w:rsidRDefault="00A728D9"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A128EC" w:rsidRPr="00F54B93">
        <w:rPr>
          <w:rFonts w:ascii="Times New Roman" w:hAnsi="Times New Roman"/>
        </w:rPr>
        <w:t xml:space="preserve">First, the primary judge was </w:t>
      </w:r>
      <w:r w:rsidR="00680E31" w:rsidRPr="00F54B93">
        <w:rPr>
          <w:rFonts w:ascii="Times New Roman" w:hAnsi="Times New Roman"/>
        </w:rPr>
        <w:t xml:space="preserve">rejecting Mr Denny's evidence that </w:t>
      </w:r>
      <w:r w:rsidR="00DB6C33" w:rsidRPr="00F54B93">
        <w:rPr>
          <w:rFonts w:ascii="Times New Roman" w:hAnsi="Times New Roman"/>
        </w:rPr>
        <w:t>his</w:t>
      </w:r>
      <w:r w:rsidR="00B41B14" w:rsidRPr="00F54B93">
        <w:rPr>
          <w:rFonts w:ascii="Times New Roman" w:hAnsi="Times New Roman"/>
        </w:rPr>
        <w:t xml:space="preserve"> </w:t>
      </w:r>
      <w:r w:rsidR="00E502A6" w:rsidRPr="00F54B93">
        <w:rPr>
          <w:rFonts w:ascii="Times New Roman" w:hAnsi="Times New Roman"/>
        </w:rPr>
        <w:t xml:space="preserve">subjective </w:t>
      </w:r>
      <w:r w:rsidR="00680E31" w:rsidRPr="00F54B93">
        <w:rPr>
          <w:rFonts w:ascii="Times New Roman" w:hAnsi="Times New Roman"/>
        </w:rPr>
        <w:t xml:space="preserve">intention had been to use the museum concept </w:t>
      </w:r>
      <w:r w:rsidR="005F702F" w:rsidRPr="00F54B93">
        <w:rPr>
          <w:rFonts w:ascii="Times New Roman" w:hAnsi="Times New Roman"/>
        </w:rPr>
        <w:t xml:space="preserve">(and thus to use the vehicles displayed in the museum) </w:t>
      </w:r>
      <w:r w:rsidR="00E502A6" w:rsidRPr="00F54B93">
        <w:rPr>
          <w:rFonts w:ascii="Times New Roman" w:hAnsi="Times New Roman"/>
          <w:i/>
          <w:iCs/>
        </w:rPr>
        <w:t>only</w:t>
      </w:r>
      <w:r w:rsidR="00E502A6" w:rsidRPr="00F54B93">
        <w:rPr>
          <w:rFonts w:ascii="Times New Roman" w:hAnsi="Times New Roman"/>
        </w:rPr>
        <w:t xml:space="preserve"> </w:t>
      </w:r>
      <w:r w:rsidR="00394B1E" w:rsidRPr="00F54B93">
        <w:rPr>
          <w:rFonts w:ascii="Times New Roman" w:hAnsi="Times New Roman"/>
        </w:rPr>
        <w:t xml:space="preserve">for the purpose of </w:t>
      </w:r>
      <w:r w:rsidR="00680E31" w:rsidRPr="00F54B93">
        <w:rPr>
          <w:rFonts w:ascii="Times New Roman" w:hAnsi="Times New Roman"/>
        </w:rPr>
        <w:t>attract</w:t>
      </w:r>
      <w:r w:rsidR="00394B1E" w:rsidRPr="00F54B93">
        <w:rPr>
          <w:rFonts w:ascii="Times New Roman" w:hAnsi="Times New Roman"/>
        </w:rPr>
        <w:t>ing</w:t>
      </w:r>
      <w:r w:rsidR="00680E31" w:rsidRPr="00F54B93">
        <w:rPr>
          <w:rFonts w:ascii="Times New Roman" w:hAnsi="Times New Roman"/>
        </w:rPr>
        <w:t xml:space="preserve"> genuine potential buyers of the vehicles. </w:t>
      </w:r>
      <w:r w:rsidR="007A2A30" w:rsidRPr="00F54B93">
        <w:rPr>
          <w:rFonts w:ascii="Times New Roman" w:hAnsi="Times New Roman"/>
        </w:rPr>
        <w:t xml:space="preserve">Once that evidence </w:t>
      </w:r>
      <w:r w:rsidR="00E502A6" w:rsidRPr="00F54B93">
        <w:rPr>
          <w:rFonts w:ascii="Times New Roman" w:hAnsi="Times New Roman"/>
        </w:rPr>
        <w:t xml:space="preserve">was </w:t>
      </w:r>
      <w:r w:rsidR="007A2A30" w:rsidRPr="00F54B93">
        <w:rPr>
          <w:rFonts w:ascii="Times New Roman" w:hAnsi="Times New Roman"/>
        </w:rPr>
        <w:t xml:space="preserve">rejected, the </w:t>
      </w:r>
      <w:r w:rsidR="00836B7B" w:rsidRPr="00F54B93">
        <w:rPr>
          <w:rFonts w:ascii="Times New Roman" w:hAnsi="Times New Roman"/>
        </w:rPr>
        <w:t xml:space="preserve">unstated but necessary inference the primary judge must have drawn </w:t>
      </w:r>
      <w:r w:rsidR="0019670E" w:rsidRPr="00F54B93">
        <w:rPr>
          <w:rFonts w:ascii="Times New Roman" w:hAnsi="Times New Roman"/>
        </w:rPr>
        <w:t xml:space="preserve">is that Mr Denny </w:t>
      </w:r>
      <w:r w:rsidR="00F35DE1" w:rsidRPr="00F54B93">
        <w:rPr>
          <w:rFonts w:ascii="Times New Roman" w:hAnsi="Times New Roman"/>
        </w:rPr>
        <w:t xml:space="preserve">in fact intended to </w:t>
      </w:r>
      <w:r w:rsidR="005F702F" w:rsidRPr="00F54B93">
        <w:rPr>
          <w:rFonts w:ascii="Times New Roman" w:hAnsi="Times New Roman"/>
        </w:rPr>
        <w:t xml:space="preserve">use the museum concept (and thus to use the vehicles displayed in the museum) to </w:t>
      </w:r>
      <w:r w:rsidR="00F35DE1" w:rsidRPr="00F54B93">
        <w:rPr>
          <w:rFonts w:ascii="Times New Roman" w:hAnsi="Times New Roman"/>
        </w:rPr>
        <w:t>attract people generally to the premises</w:t>
      </w:r>
      <w:r w:rsidR="00196D2C" w:rsidRPr="00F54B93">
        <w:rPr>
          <w:rFonts w:ascii="Times New Roman" w:hAnsi="Times New Roman"/>
        </w:rPr>
        <w:t>,</w:t>
      </w:r>
      <w:r w:rsidR="00F35DE1" w:rsidRPr="00F54B93">
        <w:rPr>
          <w:rFonts w:ascii="Times New Roman" w:hAnsi="Times New Roman"/>
        </w:rPr>
        <w:t xml:space="preserve"> including (but not limited to) genuine potential buyers of the vehicles. </w:t>
      </w:r>
      <w:r w:rsidR="0071525E" w:rsidRPr="00F54B93">
        <w:rPr>
          <w:rFonts w:ascii="Times New Roman" w:hAnsi="Times New Roman"/>
        </w:rPr>
        <w:t>It i</w:t>
      </w:r>
      <w:r w:rsidR="009E5676" w:rsidRPr="00F54B93">
        <w:rPr>
          <w:rFonts w:ascii="Times New Roman" w:hAnsi="Times New Roman"/>
        </w:rPr>
        <w:t>s true that the primary judge did not expressly identify this inference, but</w:t>
      </w:r>
      <w:r w:rsidR="00903C39" w:rsidRPr="00F54B93">
        <w:rPr>
          <w:rFonts w:ascii="Times New Roman" w:hAnsi="Times New Roman"/>
        </w:rPr>
        <w:t>:</w:t>
      </w:r>
      <w:r w:rsidR="009E5676" w:rsidRPr="00F54B93">
        <w:rPr>
          <w:rFonts w:ascii="Times New Roman" w:hAnsi="Times New Roman"/>
        </w:rPr>
        <w:t xml:space="preserve"> </w:t>
      </w:r>
      <w:r w:rsidR="005B1297" w:rsidRPr="00F54B93">
        <w:rPr>
          <w:rFonts w:ascii="Times New Roman" w:hAnsi="Times New Roman"/>
        </w:rPr>
        <w:t>(a) </w:t>
      </w:r>
      <w:r w:rsidR="009E5676" w:rsidRPr="00F54B93">
        <w:rPr>
          <w:rFonts w:ascii="Times New Roman" w:hAnsi="Times New Roman"/>
        </w:rPr>
        <w:t xml:space="preserve">the inference inevitably follows from the rejection of </w:t>
      </w:r>
      <w:r w:rsidR="00903C39" w:rsidRPr="00F54B93">
        <w:rPr>
          <w:rFonts w:ascii="Times New Roman" w:hAnsi="Times New Roman"/>
        </w:rPr>
        <w:t xml:space="preserve">Mr Denny's evidence that his subjective intention had been to use the museum concept </w:t>
      </w:r>
      <w:r w:rsidR="00903C39" w:rsidRPr="00F54B93">
        <w:rPr>
          <w:rFonts w:ascii="Times New Roman" w:hAnsi="Times New Roman"/>
          <w:i/>
          <w:iCs/>
        </w:rPr>
        <w:t>only</w:t>
      </w:r>
      <w:r w:rsidR="00903C39" w:rsidRPr="00F54B93">
        <w:rPr>
          <w:rFonts w:ascii="Times New Roman" w:hAnsi="Times New Roman"/>
        </w:rPr>
        <w:t xml:space="preserve"> to attract genuine potential buyers of the vehicles;</w:t>
      </w:r>
      <w:r w:rsidR="00F561DD" w:rsidRPr="00F54B93">
        <w:rPr>
          <w:rFonts w:ascii="Times New Roman" w:hAnsi="Times New Roman"/>
        </w:rPr>
        <w:t xml:space="preserve"> </w:t>
      </w:r>
      <w:r w:rsidR="005B1297" w:rsidRPr="00F54B93">
        <w:rPr>
          <w:rFonts w:ascii="Times New Roman" w:hAnsi="Times New Roman"/>
        </w:rPr>
        <w:t>(b) </w:t>
      </w:r>
      <w:r w:rsidR="00903C39" w:rsidRPr="00F54B93">
        <w:rPr>
          <w:rFonts w:ascii="Times New Roman" w:hAnsi="Times New Roman"/>
        </w:rPr>
        <w:t xml:space="preserve">the </w:t>
      </w:r>
      <w:r w:rsidR="00903C39" w:rsidRPr="00F54B93">
        <w:rPr>
          <w:rFonts w:ascii="Times New Roman" w:hAnsi="Times New Roman"/>
        </w:rPr>
        <w:lastRenderedPageBreak/>
        <w:t xml:space="preserve">inference is obvious and </w:t>
      </w:r>
      <w:r w:rsidR="00995CC9" w:rsidRPr="00F54B93">
        <w:rPr>
          <w:rFonts w:ascii="Times New Roman" w:hAnsi="Times New Roman"/>
        </w:rPr>
        <w:t>compelling</w:t>
      </w:r>
      <w:r w:rsidR="00903C39" w:rsidRPr="00F54B93">
        <w:rPr>
          <w:rFonts w:ascii="Times New Roman" w:hAnsi="Times New Roman"/>
        </w:rPr>
        <w:t xml:space="preserve"> on the evidence summarised above; and</w:t>
      </w:r>
      <w:r w:rsidR="00995CC9" w:rsidRPr="00F54B93">
        <w:rPr>
          <w:rFonts w:ascii="Times New Roman" w:hAnsi="Times New Roman"/>
        </w:rPr>
        <w:t xml:space="preserve"> </w:t>
      </w:r>
      <w:r w:rsidR="005B1297" w:rsidRPr="00F54B93">
        <w:rPr>
          <w:rFonts w:ascii="Times New Roman" w:hAnsi="Times New Roman"/>
        </w:rPr>
        <w:t>(c) </w:t>
      </w:r>
      <w:r w:rsidR="00995CC9" w:rsidRPr="00F54B93">
        <w:rPr>
          <w:rFonts w:ascii="Times New Roman" w:hAnsi="Times New Roman"/>
        </w:rPr>
        <w:t xml:space="preserve">some allowance must be made for the fact that the primary judge gave </w:t>
      </w:r>
      <w:r w:rsidR="00995CC9" w:rsidRPr="00F54B93">
        <w:rPr>
          <w:rFonts w:ascii="Times New Roman" w:hAnsi="Times New Roman"/>
          <w:i/>
          <w:iCs/>
        </w:rPr>
        <w:t>ex</w:t>
      </w:r>
      <w:r w:rsidR="000C56B4" w:rsidRPr="00F54B93">
        <w:rPr>
          <w:rFonts w:ascii="Times New Roman" w:hAnsi="Times New Roman"/>
          <w:i/>
          <w:iCs/>
        </w:rPr>
        <w:t> </w:t>
      </w:r>
      <w:r w:rsidR="00995CC9" w:rsidRPr="00F54B93">
        <w:rPr>
          <w:rFonts w:ascii="Times New Roman" w:hAnsi="Times New Roman"/>
          <w:i/>
          <w:iCs/>
        </w:rPr>
        <w:t>tempore</w:t>
      </w:r>
      <w:r w:rsidR="00995CC9" w:rsidRPr="00F54B93">
        <w:rPr>
          <w:rFonts w:ascii="Times New Roman" w:hAnsi="Times New Roman"/>
        </w:rPr>
        <w:t xml:space="preserve"> reasons for judgment after four days of hearing</w:t>
      </w:r>
      <w:r w:rsidR="00C12837" w:rsidRPr="00F54B93">
        <w:rPr>
          <w:rFonts w:ascii="Times New Roman" w:hAnsi="Times New Roman"/>
        </w:rPr>
        <w:t>.</w:t>
      </w:r>
      <w:r w:rsidR="001851F0" w:rsidRPr="00F54B93">
        <w:rPr>
          <w:rFonts w:ascii="Times New Roman" w:hAnsi="Times New Roman"/>
        </w:rPr>
        <w:t xml:space="preserve"> </w:t>
      </w:r>
      <w:r w:rsidR="00A7570C" w:rsidRPr="00F54B93">
        <w:rPr>
          <w:rFonts w:ascii="Times New Roman" w:hAnsi="Times New Roman"/>
        </w:rPr>
        <w:t>Even if the primary judge had reserved the decision, it is not to be expected that, having stated the negative proposition (ie, not accepting these aspects of M</w:t>
      </w:r>
      <w:r w:rsidR="007409DA" w:rsidRPr="00F54B93">
        <w:rPr>
          <w:rFonts w:ascii="Times New Roman" w:hAnsi="Times New Roman"/>
        </w:rPr>
        <w:t>r</w:t>
      </w:r>
      <w:r w:rsidR="00A7570C" w:rsidRPr="00F54B93">
        <w:rPr>
          <w:rFonts w:ascii="Times New Roman" w:hAnsi="Times New Roman"/>
        </w:rPr>
        <w:t xml:space="preserve"> Denny's evidence </w:t>
      </w:r>
      <w:r w:rsidR="009E174D" w:rsidRPr="00F54B93">
        <w:rPr>
          <w:rFonts w:ascii="Times New Roman" w:hAnsi="Times New Roman"/>
        </w:rPr>
        <w:t xml:space="preserve">about </w:t>
      </w:r>
      <w:r w:rsidR="00A7570C" w:rsidRPr="00F54B93">
        <w:rPr>
          <w:rFonts w:ascii="Times New Roman" w:hAnsi="Times New Roman"/>
        </w:rPr>
        <w:t xml:space="preserve">his </w:t>
      </w:r>
      <w:r w:rsidR="009E174D" w:rsidRPr="00F54B93">
        <w:rPr>
          <w:rFonts w:ascii="Times New Roman" w:hAnsi="Times New Roman"/>
        </w:rPr>
        <w:t xml:space="preserve">past </w:t>
      </w:r>
      <w:r w:rsidR="00A7570C" w:rsidRPr="00F54B93">
        <w:rPr>
          <w:rFonts w:ascii="Times New Roman" w:hAnsi="Times New Roman"/>
        </w:rPr>
        <w:t xml:space="preserve">subjective state of mind), </w:t>
      </w:r>
      <w:r w:rsidR="007409DA" w:rsidRPr="00F54B93">
        <w:rPr>
          <w:rFonts w:ascii="Times New Roman" w:hAnsi="Times New Roman"/>
        </w:rPr>
        <w:t>his Honour would have considered it essential also to state the inevitabl</w:t>
      </w:r>
      <w:r w:rsidR="005F702F" w:rsidRPr="00F54B93">
        <w:rPr>
          <w:rFonts w:ascii="Times New Roman" w:hAnsi="Times New Roman"/>
        </w:rPr>
        <w:t>e</w:t>
      </w:r>
      <w:r w:rsidR="007409DA" w:rsidRPr="00F54B93">
        <w:rPr>
          <w:rFonts w:ascii="Times New Roman" w:hAnsi="Times New Roman"/>
        </w:rPr>
        <w:t xml:space="preserve"> corresponding positive proposition (Mr Denny was </w:t>
      </w:r>
      <w:r w:rsidR="006206C9" w:rsidRPr="00F54B93">
        <w:rPr>
          <w:rFonts w:ascii="Times New Roman" w:hAnsi="Times New Roman"/>
          <w:i/>
          <w:iCs/>
        </w:rPr>
        <w:t>also</w:t>
      </w:r>
      <w:r w:rsidR="006206C9" w:rsidRPr="00F54B93">
        <w:rPr>
          <w:rFonts w:ascii="Times New Roman" w:hAnsi="Times New Roman"/>
        </w:rPr>
        <w:t xml:space="preserve"> </w:t>
      </w:r>
      <w:r w:rsidR="007409DA" w:rsidRPr="00F54B93">
        <w:rPr>
          <w:rFonts w:ascii="Times New Roman" w:hAnsi="Times New Roman"/>
        </w:rPr>
        <w:t>intending to attract people generally to the premises</w:t>
      </w:r>
      <w:r w:rsidR="00CD6AED" w:rsidRPr="00F54B93">
        <w:rPr>
          <w:rFonts w:ascii="Times New Roman" w:hAnsi="Times New Roman"/>
        </w:rPr>
        <w:t>,</w:t>
      </w:r>
      <w:r w:rsidR="007409DA" w:rsidRPr="00F54B93">
        <w:rPr>
          <w:rFonts w:ascii="Times New Roman" w:hAnsi="Times New Roman"/>
        </w:rPr>
        <w:t xml:space="preserve"> including but not limited to </w:t>
      </w:r>
      <w:r w:rsidR="00237068" w:rsidRPr="00F54B93">
        <w:rPr>
          <w:rFonts w:ascii="Times New Roman" w:hAnsi="Times New Roman"/>
        </w:rPr>
        <w:t>genuine potential buyers of the vehicles).</w:t>
      </w:r>
    </w:p>
    <w:p w14:paraId="601C0668" w14:textId="2882A16E" w:rsidR="00A728D9" w:rsidRPr="00F54B93" w:rsidRDefault="00237068" w:rsidP="00F54B93">
      <w:pPr>
        <w:pStyle w:val="FixListStyle"/>
        <w:spacing w:after="260" w:line="280" w:lineRule="exact"/>
        <w:ind w:right="0"/>
        <w:jc w:val="both"/>
        <w:rPr>
          <w:rFonts w:ascii="Times New Roman" w:hAnsi="Times New Roman"/>
        </w:rPr>
      </w:pPr>
      <w:r w:rsidRPr="00F54B93">
        <w:rPr>
          <w:rFonts w:ascii="Times New Roman" w:hAnsi="Times New Roman"/>
        </w:rPr>
        <w:tab/>
        <w:t xml:space="preserve">Second, the primary judge, </w:t>
      </w:r>
      <w:r w:rsidR="001A593C" w:rsidRPr="00F54B93">
        <w:rPr>
          <w:rFonts w:ascii="Times New Roman" w:hAnsi="Times New Roman"/>
        </w:rPr>
        <w:t>consistent</w:t>
      </w:r>
      <w:r w:rsidRPr="00F54B93">
        <w:rPr>
          <w:rFonts w:ascii="Times New Roman" w:hAnsi="Times New Roman"/>
        </w:rPr>
        <w:t xml:space="preserve"> with orthodoxy</w:t>
      </w:r>
      <w:r w:rsidR="00327D4E" w:rsidRPr="00F54B93">
        <w:rPr>
          <w:rFonts w:ascii="Times New Roman" w:hAnsi="Times New Roman"/>
        </w:rPr>
        <w:t xml:space="preserve"> in the context of the concept of a use for a </w:t>
      </w:r>
      <w:r w:rsidR="00C14064" w:rsidRPr="00F54B93">
        <w:rPr>
          <w:rFonts w:ascii="Times New Roman" w:hAnsi="Times New Roman"/>
        </w:rPr>
        <w:t>purpose</w:t>
      </w:r>
      <w:r w:rsidRPr="00F54B93">
        <w:rPr>
          <w:rFonts w:ascii="Times New Roman" w:hAnsi="Times New Roman"/>
        </w:rPr>
        <w:t>,</w:t>
      </w:r>
      <w:r w:rsidR="001A593C" w:rsidRPr="00F54B93">
        <w:rPr>
          <w:rStyle w:val="FootnoteReference"/>
          <w:rFonts w:ascii="Times New Roman" w:hAnsi="Times New Roman"/>
          <w:sz w:val="24"/>
        </w:rPr>
        <w:footnoteReference w:id="21"/>
      </w:r>
      <w:r w:rsidRPr="00F54B93">
        <w:rPr>
          <w:rFonts w:ascii="Times New Roman" w:hAnsi="Times New Roman"/>
        </w:rPr>
        <w:t xml:space="preserve"> was </w:t>
      </w:r>
      <w:r w:rsidR="001A593C" w:rsidRPr="00F54B93">
        <w:rPr>
          <w:rFonts w:ascii="Times New Roman" w:hAnsi="Times New Roman"/>
        </w:rPr>
        <w:t xml:space="preserve">ultimately making an objective characterisation of the overall facts, at the </w:t>
      </w:r>
      <w:r w:rsidR="005B35D7" w:rsidRPr="00F54B93">
        <w:rPr>
          <w:rFonts w:ascii="Times New Roman" w:hAnsi="Times New Roman"/>
        </w:rPr>
        <w:t xml:space="preserve">requisite </w:t>
      </w:r>
      <w:r w:rsidR="001A593C" w:rsidRPr="00F54B93">
        <w:rPr>
          <w:rFonts w:ascii="Times New Roman" w:hAnsi="Times New Roman"/>
        </w:rPr>
        <w:t>level of generality and specificity for the statutory purpose</w:t>
      </w:r>
      <w:r w:rsidR="005B35D7" w:rsidRPr="00F54B93">
        <w:rPr>
          <w:rFonts w:ascii="Times New Roman" w:hAnsi="Times New Roman"/>
        </w:rPr>
        <w:t>. That objective characterisation was</w:t>
      </w:r>
      <w:r w:rsidR="001A593C" w:rsidRPr="00F54B93">
        <w:rPr>
          <w:rFonts w:ascii="Times New Roman" w:hAnsi="Times New Roman"/>
        </w:rPr>
        <w:t xml:space="preserve"> that the appellant was </w:t>
      </w:r>
      <w:r w:rsidR="00401B58" w:rsidRPr="00F54B93">
        <w:rPr>
          <w:rFonts w:ascii="Times New Roman" w:hAnsi="Times New Roman"/>
        </w:rPr>
        <w:t xml:space="preserve">simultaneously using each of the cars for two purposes </w:t>
      </w:r>
      <w:r w:rsidR="00650FD8" w:rsidRPr="00F54B93">
        <w:rPr>
          <w:rFonts w:ascii="Times New Roman" w:hAnsi="Times New Roman"/>
        </w:rPr>
        <w:t>–</w:t>
      </w:r>
      <w:r w:rsidR="00401B58" w:rsidRPr="00F54B93">
        <w:rPr>
          <w:rFonts w:ascii="Times New Roman" w:hAnsi="Times New Roman"/>
        </w:rPr>
        <w:t xml:space="preserve"> the purpose of display as trading stock </w:t>
      </w:r>
      <w:r w:rsidR="00A728D9" w:rsidRPr="00F54B93">
        <w:rPr>
          <w:rFonts w:ascii="Times New Roman" w:hAnsi="Times New Roman"/>
        </w:rPr>
        <w:t xml:space="preserve">for sale </w:t>
      </w:r>
      <w:r w:rsidR="00401B58" w:rsidRPr="00F54B93">
        <w:rPr>
          <w:rFonts w:ascii="Times New Roman" w:hAnsi="Times New Roman"/>
        </w:rPr>
        <w:t xml:space="preserve">and the purpose </w:t>
      </w:r>
      <w:r w:rsidR="004D37CC" w:rsidRPr="00F54B93">
        <w:rPr>
          <w:rFonts w:ascii="Times New Roman" w:hAnsi="Times New Roman"/>
        </w:rPr>
        <w:t xml:space="preserve">of display as </w:t>
      </w:r>
      <w:r w:rsidR="00F929E9" w:rsidRPr="00F54B93">
        <w:rPr>
          <w:rFonts w:ascii="Times New Roman" w:hAnsi="Times New Roman"/>
        </w:rPr>
        <w:t xml:space="preserve">part of </w:t>
      </w:r>
      <w:r w:rsidR="004D37CC" w:rsidRPr="00F54B93">
        <w:rPr>
          <w:rFonts w:ascii="Times New Roman" w:hAnsi="Times New Roman"/>
        </w:rPr>
        <w:t>a tourist attraction. There is nothing peculiar about one physical use (display) being for two (or more) separate purposes</w:t>
      </w:r>
      <w:r w:rsidR="0011381D" w:rsidRPr="00F54B93">
        <w:rPr>
          <w:rFonts w:ascii="Times New Roman" w:hAnsi="Times New Roman"/>
        </w:rPr>
        <w:t>.</w:t>
      </w:r>
      <w:r w:rsidR="00327D4E" w:rsidRPr="00F54B93">
        <w:rPr>
          <w:rStyle w:val="FootnoteReference"/>
          <w:rFonts w:ascii="Times New Roman" w:hAnsi="Times New Roman"/>
          <w:sz w:val="24"/>
        </w:rPr>
        <w:footnoteReference w:id="22"/>
      </w:r>
      <w:r w:rsidR="0011381D" w:rsidRPr="00F54B93">
        <w:rPr>
          <w:rFonts w:ascii="Times New Roman" w:hAnsi="Times New Roman"/>
        </w:rPr>
        <w:t xml:space="preserve"> </w:t>
      </w:r>
      <w:r w:rsidR="008837BE" w:rsidRPr="00F54B93">
        <w:rPr>
          <w:rFonts w:ascii="Times New Roman" w:hAnsi="Times New Roman"/>
        </w:rPr>
        <w:t>His Honour's statement at [84] of his reasons that "</w:t>
      </w:r>
      <w:r w:rsidR="00D84293" w:rsidRPr="00F54B93">
        <w:rPr>
          <w:rFonts w:ascii="Times New Roman" w:hAnsi="Times New Roman"/>
        </w:rPr>
        <w:t xml:space="preserve">[n]one of that is to deny that Mr Denny and the </w:t>
      </w:r>
      <w:r w:rsidR="006204EE" w:rsidRPr="00F54B93">
        <w:rPr>
          <w:rFonts w:ascii="Times New Roman" w:hAnsi="Times New Roman"/>
        </w:rPr>
        <w:t xml:space="preserve">[appellant] </w:t>
      </w:r>
      <w:r w:rsidR="00D84293" w:rsidRPr="00F54B93">
        <w:rPr>
          <w:rFonts w:ascii="Times New Roman" w:hAnsi="Times New Roman"/>
        </w:rPr>
        <w:t xml:space="preserve">intended to trade cars through the </w:t>
      </w:r>
      <w:r w:rsidR="00D60AD9" w:rsidRPr="00F54B93">
        <w:rPr>
          <w:rFonts w:ascii="Times New Roman" w:hAnsi="Times New Roman"/>
        </w:rPr>
        <w:t>'</w:t>
      </w:r>
      <w:r w:rsidR="00D84293" w:rsidRPr="00F54B93">
        <w:rPr>
          <w:rFonts w:ascii="Times New Roman" w:hAnsi="Times New Roman"/>
        </w:rPr>
        <w:t>Gosford Classic Car Museum</w:t>
      </w:r>
      <w:r w:rsidR="00343994" w:rsidRPr="00F54B93">
        <w:rPr>
          <w:rFonts w:ascii="Times New Roman" w:hAnsi="Times New Roman"/>
        </w:rPr>
        <w:t>'</w:t>
      </w:r>
      <w:r w:rsidR="00D84293" w:rsidRPr="00F54B93">
        <w:rPr>
          <w:rFonts w:ascii="Times New Roman" w:hAnsi="Times New Roman"/>
        </w:rPr>
        <w:t xml:space="preserve"> or that they considered that the museum would assist in maximising the number of sales and the sale price. Mr Denny made clear, as is obvious in any event from the objective facts, that he wanted to profit from the sale of cars and considered that the </w:t>
      </w:r>
      <w:r w:rsidR="00343994" w:rsidRPr="00F54B93">
        <w:rPr>
          <w:rFonts w:ascii="Times New Roman" w:hAnsi="Times New Roman"/>
        </w:rPr>
        <w:t>'</w:t>
      </w:r>
      <w:r w:rsidR="00D84293" w:rsidRPr="00F54B93">
        <w:rPr>
          <w:rFonts w:ascii="Times New Roman" w:hAnsi="Times New Roman"/>
        </w:rPr>
        <w:t>museum concept</w:t>
      </w:r>
      <w:r w:rsidR="00343994" w:rsidRPr="00F54B93">
        <w:rPr>
          <w:rFonts w:ascii="Times New Roman" w:hAnsi="Times New Roman"/>
        </w:rPr>
        <w:t>'</w:t>
      </w:r>
      <w:r w:rsidR="00D84293" w:rsidRPr="00F54B93">
        <w:rPr>
          <w:rFonts w:ascii="Times New Roman" w:hAnsi="Times New Roman"/>
        </w:rPr>
        <w:t xml:space="preserve"> would be the best way to achieve that objective"</w:t>
      </w:r>
      <w:r w:rsidR="00B33806" w:rsidRPr="00F54B93">
        <w:rPr>
          <w:rFonts w:ascii="Times New Roman" w:hAnsi="Times New Roman"/>
        </w:rPr>
        <w:t xml:space="preserve">, in context, is to be understood as accepting that this was indeed a purpose of Mr Denny. </w:t>
      </w:r>
      <w:r w:rsidR="001A67BF" w:rsidRPr="00F54B93">
        <w:rPr>
          <w:rFonts w:ascii="Times New Roman" w:hAnsi="Times New Roman"/>
        </w:rPr>
        <w:t>It was not, however, the exclusive purpose of Mr Denny</w:t>
      </w:r>
      <w:r w:rsidR="006944B6" w:rsidRPr="00F54B93">
        <w:rPr>
          <w:rFonts w:ascii="Times New Roman" w:hAnsi="Times New Roman"/>
        </w:rPr>
        <w:t>,</w:t>
      </w:r>
      <w:r w:rsidR="001A67BF" w:rsidRPr="00F54B93">
        <w:rPr>
          <w:rFonts w:ascii="Times New Roman" w:hAnsi="Times New Roman"/>
        </w:rPr>
        <w:t xml:space="preserve"> as his Honour's conclusions at [80] expose. </w:t>
      </w:r>
    </w:p>
    <w:p w14:paraId="09BED760" w14:textId="7F448E84" w:rsidR="002D3816" w:rsidRPr="00F54B93" w:rsidRDefault="00A728D9"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D509EA" w:rsidRPr="00F54B93">
        <w:rPr>
          <w:rFonts w:ascii="Times New Roman" w:hAnsi="Times New Roman"/>
        </w:rPr>
        <w:t xml:space="preserve">In </w:t>
      </w:r>
      <w:r w:rsidR="004824AE" w:rsidRPr="00F54B93">
        <w:rPr>
          <w:rFonts w:ascii="Times New Roman" w:hAnsi="Times New Roman"/>
        </w:rPr>
        <w:t xml:space="preserve">the context of the provisions of the LCT Act, </w:t>
      </w:r>
      <w:r w:rsidR="00D509EA" w:rsidRPr="00F54B93">
        <w:rPr>
          <w:rFonts w:ascii="Times New Roman" w:hAnsi="Times New Roman"/>
        </w:rPr>
        <w:t xml:space="preserve">moreover, </w:t>
      </w:r>
      <w:r w:rsidR="004824AE" w:rsidRPr="00F54B93">
        <w:rPr>
          <w:rFonts w:ascii="Times New Roman" w:hAnsi="Times New Roman"/>
        </w:rPr>
        <w:t xml:space="preserve">the concept </w:t>
      </w:r>
      <w:r w:rsidR="000D2103" w:rsidRPr="00F54B93">
        <w:rPr>
          <w:rFonts w:ascii="Times New Roman" w:hAnsi="Times New Roman"/>
        </w:rPr>
        <w:t xml:space="preserve">that </w:t>
      </w:r>
      <w:r w:rsidR="004824AE" w:rsidRPr="00F54B93">
        <w:rPr>
          <w:rFonts w:ascii="Times New Roman" w:hAnsi="Times New Roman"/>
        </w:rPr>
        <w:t>a</w:t>
      </w:r>
      <w:r w:rsidR="00D509EA" w:rsidRPr="00F54B93">
        <w:rPr>
          <w:rFonts w:ascii="Times New Roman" w:hAnsi="Times New Roman"/>
        </w:rPr>
        <w:t xml:space="preserve"> use for one purpose may be </w:t>
      </w:r>
      <w:r w:rsidR="004824AE" w:rsidRPr="00F54B93">
        <w:rPr>
          <w:rFonts w:ascii="Times New Roman" w:hAnsi="Times New Roman"/>
        </w:rPr>
        <w:t xml:space="preserve">ancillary or subservient </w:t>
      </w:r>
      <w:r w:rsidR="00D509EA" w:rsidRPr="00F54B93">
        <w:rPr>
          <w:rFonts w:ascii="Times New Roman" w:hAnsi="Times New Roman"/>
        </w:rPr>
        <w:t xml:space="preserve">to a use for, relevantly, a quotable purpose </w:t>
      </w:r>
      <w:r w:rsidR="000D2103" w:rsidRPr="00F54B93">
        <w:rPr>
          <w:rFonts w:ascii="Times New Roman" w:hAnsi="Times New Roman"/>
        </w:rPr>
        <w:t xml:space="preserve">under the LCT Act </w:t>
      </w:r>
      <w:r w:rsidR="00D509EA" w:rsidRPr="00F54B93">
        <w:rPr>
          <w:rFonts w:ascii="Times New Roman" w:hAnsi="Times New Roman"/>
        </w:rPr>
        <w:t xml:space="preserve">has </w:t>
      </w:r>
      <w:r w:rsidR="004D7885" w:rsidRPr="00F54B93">
        <w:rPr>
          <w:rFonts w:ascii="Times New Roman" w:hAnsi="Times New Roman"/>
        </w:rPr>
        <w:t>a</w:t>
      </w:r>
      <w:r w:rsidR="00D5662E" w:rsidRPr="00F54B93">
        <w:rPr>
          <w:rFonts w:ascii="Times New Roman" w:hAnsi="Times New Roman"/>
        </w:rPr>
        <w:t xml:space="preserve"> </w:t>
      </w:r>
      <w:r w:rsidR="004D7885" w:rsidRPr="00F54B93">
        <w:rPr>
          <w:rFonts w:ascii="Times New Roman" w:hAnsi="Times New Roman"/>
        </w:rPr>
        <w:t xml:space="preserve">confined </w:t>
      </w:r>
      <w:r w:rsidR="000D2103" w:rsidRPr="00F54B93">
        <w:rPr>
          <w:rFonts w:ascii="Times New Roman" w:hAnsi="Times New Roman"/>
        </w:rPr>
        <w:t xml:space="preserve">function because the relevant statutory requirement is </w:t>
      </w:r>
      <w:r w:rsidR="000D2103" w:rsidRPr="00F54B93">
        <w:rPr>
          <w:rFonts w:ascii="Times New Roman" w:hAnsi="Times New Roman"/>
          <w:i/>
          <w:iCs/>
        </w:rPr>
        <w:t>exclusivity</w:t>
      </w:r>
      <w:r w:rsidR="000D2103" w:rsidRPr="00F54B93">
        <w:rPr>
          <w:rFonts w:ascii="Times New Roman" w:hAnsi="Times New Roman"/>
        </w:rPr>
        <w:t xml:space="preserve"> of use</w:t>
      </w:r>
      <w:r w:rsidR="0014741E" w:rsidRPr="00F54B93">
        <w:rPr>
          <w:rFonts w:ascii="Times New Roman" w:hAnsi="Times New Roman"/>
        </w:rPr>
        <w:t xml:space="preserve"> –</w:t>
      </w:r>
      <w:r w:rsidR="000D2103" w:rsidRPr="00F54B93">
        <w:rPr>
          <w:rFonts w:ascii="Times New Roman" w:hAnsi="Times New Roman"/>
        </w:rPr>
        <w:t xml:space="preserve"> as conveyed by the </w:t>
      </w:r>
      <w:r w:rsidR="00D5662E" w:rsidRPr="00F54B93">
        <w:rPr>
          <w:rFonts w:ascii="Times New Roman" w:hAnsi="Times New Roman"/>
        </w:rPr>
        <w:t xml:space="preserve">opposing but related </w:t>
      </w:r>
      <w:r w:rsidR="000D2103" w:rsidRPr="00F54B93">
        <w:rPr>
          <w:rFonts w:ascii="Times New Roman" w:hAnsi="Times New Roman"/>
        </w:rPr>
        <w:t xml:space="preserve">provisions of </w:t>
      </w:r>
      <w:r w:rsidR="005D2702" w:rsidRPr="00F54B93">
        <w:rPr>
          <w:rFonts w:ascii="Times New Roman" w:hAnsi="Times New Roman"/>
        </w:rPr>
        <w:t>"you have only used the car for a quotable purpose" (s </w:t>
      </w:r>
      <w:r w:rsidR="00BB58CD" w:rsidRPr="00F54B93">
        <w:rPr>
          <w:rFonts w:ascii="Times New Roman" w:hAnsi="Times New Roman"/>
        </w:rPr>
        <w:t>15</w:t>
      </w:r>
      <w:r w:rsidR="009E208B" w:rsidRPr="00F54B93">
        <w:rPr>
          <w:rFonts w:ascii="Times New Roman" w:hAnsi="Times New Roman"/>
        </w:rPr>
        <w:noBreakHyphen/>
      </w:r>
      <w:r w:rsidR="00BB58CD" w:rsidRPr="00F54B93">
        <w:rPr>
          <w:rFonts w:ascii="Times New Roman" w:hAnsi="Times New Roman"/>
        </w:rPr>
        <w:t>30(1)(e) and s 15</w:t>
      </w:r>
      <w:r w:rsidR="009E208B" w:rsidRPr="00F54B93">
        <w:rPr>
          <w:rFonts w:ascii="Times New Roman" w:hAnsi="Times New Roman"/>
        </w:rPr>
        <w:noBreakHyphen/>
      </w:r>
      <w:r w:rsidR="00BB58CD" w:rsidRPr="00F54B93">
        <w:rPr>
          <w:rFonts w:ascii="Times New Roman" w:hAnsi="Times New Roman"/>
        </w:rPr>
        <w:t>35(1)(e)</w:t>
      </w:r>
      <w:r w:rsidR="005D2702" w:rsidRPr="00F54B93">
        <w:rPr>
          <w:rFonts w:ascii="Times New Roman" w:hAnsi="Times New Roman"/>
        </w:rPr>
        <w:t>) and "you use</w:t>
      </w:r>
      <w:r w:rsidR="00861F2F" w:rsidRPr="00F54B93">
        <w:rPr>
          <w:rFonts w:ascii="Times New Roman" w:hAnsi="Times New Roman"/>
        </w:rPr>
        <w:t>[d]</w:t>
      </w:r>
      <w:r w:rsidR="005D2702" w:rsidRPr="00F54B93">
        <w:rPr>
          <w:rFonts w:ascii="Times New Roman" w:hAnsi="Times New Roman"/>
        </w:rPr>
        <w:t xml:space="preserve"> the car for a purpose other than a *quotable purpose"</w:t>
      </w:r>
      <w:r w:rsidR="00D530ED" w:rsidRPr="00F54B93">
        <w:rPr>
          <w:rFonts w:ascii="Times New Roman" w:hAnsi="Times New Roman"/>
        </w:rPr>
        <w:t xml:space="preserve"> (s 15</w:t>
      </w:r>
      <w:r w:rsidR="009E208B" w:rsidRPr="00F54B93">
        <w:rPr>
          <w:rFonts w:ascii="Times New Roman" w:hAnsi="Times New Roman"/>
        </w:rPr>
        <w:noBreakHyphen/>
      </w:r>
      <w:r w:rsidR="00D530ED" w:rsidRPr="00F54B93">
        <w:rPr>
          <w:rFonts w:ascii="Times New Roman" w:hAnsi="Times New Roman"/>
        </w:rPr>
        <w:t>30(3)(c) and s 15</w:t>
      </w:r>
      <w:r w:rsidR="009E208B" w:rsidRPr="00F54B93">
        <w:rPr>
          <w:rFonts w:ascii="Times New Roman" w:hAnsi="Times New Roman"/>
        </w:rPr>
        <w:noBreakHyphen/>
      </w:r>
      <w:r w:rsidR="00D530ED" w:rsidRPr="00F54B93">
        <w:rPr>
          <w:rFonts w:ascii="Times New Roman" w:hAnsi="Times New Roman"/>
        </w:rPr>
        <w:t>35(3)(c))</w:t>
      </w:r>
      <w:r w:rsidR="00BB58CD" w:rsidRPr="00F54B93">
        <w:rPr>
          <w:rFonts w:ascii="Times New Roman" w:hAnsi="Times New Roman"/>
        </w:rPr>
        <w:t xml:space="preserve">. </w:t>
      </w:r>
    </w:p>
    <w:p w14:paraId="6677C231" w14:textId="0E9CA9A1" w:rsidR="002C5ACF" w:rsidRPr="00F54B93" w:rsidRDefault="002D3816" w:rsidP="00F54B93">
      <w:pPr>
        <w:pStyle w:val="FixListStyle"/>
        <w:spacing w:after="260" w:line="280" w:lineRule="exact"/>
        <w:ind w:right="0"/>
        <w:jc w:val="both"/>
        <w:rPr>
          <w:rFonts w:ascii="Times New Roman" w:hAnsi="Times New Roman"/>
        </w:rPr>
      </w:pPr>
      <w:r w:rsidRPr="00F54B93">
        <w:rPr>
          <w:rFonts w:ascii="Times New Roman" w:hAnsi="Times New Roman"/>
        </w:rPr>
        <w:lastRenderedPageBreak/>
        <w:tab/>
      </w:r>
      <w:r w:rsidR="006D3082" w:rsidRPr="00F54B93">
        <w:rPr>
          <w:rFonts w:ascii="Times New Roman" w:hAnsi="Times New Roman"/>
        </w:rPr>
        <w:t>I</w:t>
      </w:r>
      <w:r w:rsidR="009D7F43" w:rsidRPr="00F54B93">
        <w:rPr>
          <w:rFonts w:ascii="Times New Roman" w:hAnsi="Times New Roman"/>
        </w:rPr>
        <w:t xml:space="preserve">n </w:t>
      </w:r>
      <w:r w:rsidR="009D7F43" w:rsidRPr="00F54B93">
        <w:rPr>
          <w:rFonts w:ascii="Times New Roman" w:hAnsi="Times New Roman"/>
          <w:i/>
          <w:iCs/>
        </w:rPr>
        <w:t>Salvation Army (Victoria) Property Trust v Fern Tree Gully Corporation</w:t>
      </w:r>
      <w:r w:rsidR="009D7F43" w:rsidRPr="00F54B93">
        <w:rPr>
          <w:rStyle w:val="FootnoteReference"/>
          <w:rFonts w:ascii="Times New Roman" w:hAnsi="Times New Roman"/>
          <w:sz w:val="24"/>
        </w:rPr>
        <w:footnoteReference w:id="23"/>
      </w:r>
      <w:r w:rsidRPr="00F54B93">
        <w:rPr>
          <w:rFonts w:ascii="Times New Roman" w:hAnsi="Times New Roman"/>
        </w:rPr>
        <w:t xml:space="preserve"> </w:t>
      </w:r>
      <w:r w:rsidR="007F6A52" w:rsidRPr="00F54B93">
        <w:rPr>
          <w:rFonts w:ascii="Times New Roman" w:hAnsi="Times New Roman"/>
        </w:rPr>
        <w:t xml:space="preserve">the conclusion </w:t>
      </w:r>
      <w:r w:rsidR="00590E2B" w:rsidRPr="00F54B93">
        <w:rPr>
          <w:rFonts w:ascii="Times New Roman" w:hAnsi="Times New Roman"/>
        </w:rPr>
        <w:t xml:space="preserve">of exclusive use of the </w:t>
      </w:r>
      <w:r w:rsidR="007F6A52" w:rsidRPr="00F54B93">
        <w:rPr>
          <w:rFonts w:ascii="Times New Roman" w:hAnsi="Times New Roman"/>
        </w:rPr>
        <w:t>l</w:t>
      </w:r>
      <w:r w:rsidR="00590E2B" w:rsidRPr="00F54B93">
        <w:rPr>
          <w:rFonts w:ascii="Times New Roman" w:hAnsi="Times New Roman"/>
        </w:rPr>
        <w:t xml:space="preserve">and for the charitable purpose depended on the </w:t>
      </w:r>
      <w:r w:rsidR="001A0C04" w:rsidRPr="00F54B93">
        <w:rPr>
          <w:rFonts w:ascii="Times New Roman" w:hAnsi="Times New Roman"/>
        </w:rPr>
        <w:t xml:space="preserve">facts enabling the </w:t>
      </w:r>
      <w:r w:rsidR="009F24F2" w:rsidRPr="00F54B93">
        <w:rPr>
          <w:rFonts w:ascii="Times New Roman" w:hAnsi="Times New Roman"/>
        </w:rPr>
        <w:t>farming</w:t>
      </w:r>
      <w:r w:rsidR="001A0C04" w:rsidRPr="00F54B93">
        <w:rPr>
          <w:rFonts w:ascii="Times New Roman" w:hAnsi="Times New Roman"/>
        </w:rPr>
        <w:t xml:space="preserve"> activities to be </w:t>
      </w:r>
      <w:r w:rsidR="009F24F2" w:rsidRPr="00F54B93">
        <w:rPr>
          <w:rFonts w:ascii="Times New Roman" w:hAnsi="Times New Roman"/>
        </w:rPr>
        <w:t>characterised, as a matter of objective fact,</w:t>
      </w:r>
      <w:r w:rsidR="001A0C04" w:rsidRPr="00F54B93">
        <w:rPr>
          <w:rFonts w:ascii="Times New Roman" w:hAnsi="Times New Roman"/>
        </w:rPr>
        <w:t xml:space="preserve"> as a mere </w:t>
      </w:r>
      <w:r w:rsidR="009F24F2" w:rsidRPr="00F54B93">
        <w:rPr>
          <w:rFonts w:ascii="Times New Roman" w:hAnsi="Times New Roman"/>
        </w:rPr>
        <w:t xml:space="preserve">incidental and subsidiary means to the end of the charitable object </w:t>
      </w:r>
      <w:r w:rsidR="008C25BE" w:rsidRPr="00F54B93">
        <w:rPr>
          <w:rFonts w:ascii="Times New Roman" w:hAnsi="Times New Roman"/>
        </w:rPr>
        <w:t xml:space="preserve">of </w:t>
      </w:r>
      <w:r w:rsidR="007226F5" w:rsidRPr="00F54B93">
        <w:rPr>
          <w:rFonts w:ascii="Times New Roman" w:hAnsi="Times New Roman"/>
        </w:rPr>
        <w:t xml:space="preserve">the </w:t>
      </w:r>
      <w:r w:rsidR="008C25BE" w:rsidRPr="00F54B93">
        <w:rPr>
          <w:rFonts w:ascii="Times New Roman" w:hAnsi="Times New Roman"/>
        </w:rPr>
        <w:t>boys</w:t>
      </w:r>
      <w:r w:rsidR="00763267" w:rsidRPr="00F54B93">
        <w:rPr>
          <w:rFonts w:ascii="Times New Roman" w:hAnsi="Times New Roman"/>
        </w:rPr>
        <w:t>'</w:t>
      </w:r>
      <w:r w:rsidR="008C25BE" w:rsidRPr="00F54B93">
        <w:rPr>
          <w:rFonts w:ascii="Times New Roman" w:hAnsi="Times New Roman"/>
        </w:rPr>
        <w:t xml:space="preserve"> reformatory home. </w:t>
      </w:r>
      <w:r w:rsidR="00763267" w:rsidRPr="00F54B93">
        <w:rPr>
          <w:rFonts w:ascii="Times New Roman" w:hAnsi="Times New Roman"/>
        </w:rPr>
        <w:t xml:space="preserve">The </w:t>
      </w:r>
      <w:r w:rsidR="00F674EF" w:rsidRPr="00F54B93">
        <w:rPr>
          <w:rFonts w:ascii="Times New Roman" w:hAnsi="Times New Roman"/>
        </w:rPr>
        <w:t xml:space="preserve">relevant </w:t>
      </w:r>
      <w:r w:rsidR="0045322F" w:rsidRPr="00F54B93">
        <w:rPr>
          <w:rFonts w:ascii="Times New Roman" w:hAnsi="Times New Roman"/>
        </w:rPr>
        <w:t xml:space="preserve">findings </w:t>
      </w:r>
      <w:r w:rsidR="00F674EF" w:rsidRPr="00F54B93">
        <w:rPr>
          <w:rFonts w:ascii="Times New Roman" w:hAnsi="Times New Roman"/>
        </w:rPr>
        <w:t>included that</w:t>
      </w:r>
      <w:r w:rsidR="00EF789B" w:rsidRPr="00F54B93">
        <w:rPr>
          <w:rFonts w:ascii="Times New Roman" w:hAnsi="Times New Roman"/>
        </w:rPr>
        <w:t xml:space="preserve"> the purpose of</w:t>
      </w:r>
      <w:r w:rsidR="00F674EF" w:rsidRPr="00F54B93">
        <w:rPr>
          <w:rFonts w:ascii="Times New Roman" w:hAnsi="Times New Roman"/>
        </w:rPr>
        <w:t xml:space="preserve"> all of the farming activit</w:t>
      </w:r>
      <w:r w:rsidR="00741ED5" w:rsidRPr="00F54B93">
        <w:rPr>
          <w:rFonts w:ascii="Times New Roman" w:hAnsi="Times New Roman"/>
        </w:rPr>
        <w:t>ies</w:t>
      </w:r>
      <w:r w:rsidR="00F674EF" w:rsidRPr="00F54B93">
        <w:rPr>
          <w:rFonts w:ascii="Times New Roman" w:hAnsi="Times New Roman"/>
        </w:rPr>
        <w:t xml:space="preserve"> was to train the boys and the profits from the </w:t>
      </w:r>
      <w:r w:rsidR="00F65536" w:rsidRPr="00F54B93">
        <w:rPr>
          <w:rFonts w:ascii="Times New Roman" w:hAnsi="Times New Roman"/>
        </w:rPr>
        <w:t>farming activit</w:t>
      </w:r>
      <w:r w:rsidR="00741ED5" w:rsidRPr="00F54B93">
        <w:rPr>
          <w:rFonts w:ascii="Times New Roman" w:hAnsi="Times New Roman"/>
        </w:rPr>
        <w:t>ies</w:t>
      </w:r>
      <w:r w:rsidR="00F65536" w:rsidRPr="00F54B93">
        <w:rPr>
          <w:rFonts w:ascii="Times New Roman" w:hAnsi="Times New Roman"/>
        </w:rPr>
        <w:t xml:space="preserve"> </w:t>
      </w:r>
      <w:r w:rsidR="00F674EF" w:rsidRPr="00F54B93">
        <w:rPr>
          <w:rFonts w:ascii="Times New Roman" w:hAnsi="Times New Roman"/>
        </w:rPr>
        <w:t>defrayed the cost of running the boys' reformatory home.</w:t>
      </w:r>
      <w:r w:rsidR="0045322F" w:rsidRPr="00F54B93">
        <w:rPr>
          <w:rStyle w:val="FootnoteReference"/>
          <w:rFonts w:ascii="Times New Roman" w:hAnsi="Times New Roman"/>
          <w:sz w:val="24"/>
        </w:rPr>
        <w:footnoteReference w:id="24"/>
      </w:r>
      <w:r w:rsidR="00F674EF" w:rsidRPr="00F54B93">
        <w:rPr>
          <w:rFonts w:ascii="Times New Roman" w:hAnsi="Times New Roman"/>
        </w:rPr>
        <w:t xml:space="preserve"> </w:t>
      </w:r>
      <w:r w:rsidR="00F65536" w:rsidRPr="00F54B93">
        <w:rPr>
          <w:rFonts w:ascii="Times New Roman" w:hAnsi="Times New Roman"/>
        </w:rPr>
        <w:t>Further, as Dixon, Williams and Webb JJ observed</w:t>
      </w:r>
      <w:r w:rsidR="00B60716" w:rsidRPr="00F54B93">
        <w:rPr>
          <w:rFonts w:ascii="Times New Roman" w:hAnsi="Times New Roman"/>
        </w:rPr>
        <w:t>:</w:t>
      </w:r>
      <w:r w:rsidR="006163D9" w:rsidRPr="00F54B93">
        <w:rPr>
          <w:rStyle w:val="FootnoteReference"/>
          <w:rFonts w:ascii="Times New Roman" w:hAnsi="Times New Roman"/>
          <w:sz w:val="24"/>
        </w:rPr>
        <w:footnoteReference w:id="25"/>
      </w:r>
    </w:p>
    <w:p w14:paraId="3936C0F6" w14:textId="77777777" w:rsidR="00F54B93" w:rsidRDefault="00B60716" w:rsidP="00F54B93">
      <w:pPr>
        <w:pStyle w:val="leftright"/>
        <w:spacing w:before="0" w:after="260" w:line="280" w:lineRule="exact"/>
        <w:ind w:right="0"/>
        <w:jc w:val="both"/>
        <w:rPr>
          <w:rFonts w:ascii="Times New Roman" w:hAnsi="Times New Roman"/>
        </w:rPr>
      </w:pPr>
      <w:r w:rsidRPr="00F54B93">
        <w:rPr>
          <w:rFonts w:ascii="Times New Roman" w:hAnsi="Times New Roman"/>
        </w:rPr>
        <w:t xml:space="preserve">"There is nothing in the evidence to suggest that the appellant is carrying on the farming activities to a greater extent than is reasonably necessary to achieve the above purpose or that under the </w:t>
      </w:r>
      <w:r w:rsidR="00DD42AC" w:rsidRPr="00F54B93">
        <w:rPr>
          <w:rFonts w:ascii="Times New Roman" w:hAnsi="Times New Roman"/>
        </w:rPr>
        <w:t>cl</w:t>
      </w:r>
      <w:r w:rsidR="00E75A29" w:rsidRPr="00F54B93">
        <w:rPr>
          <w:rFonts w:ascii="Times New Roman" w:hAnsi="Times New Roman"/>
        </w:rPr>
        <w:t>oak</w:t>
      </w:r>
      <w:r w:rsidR="00DD42AC" w:rsidRPr="00F54B93">
        <w:rPr>
          <w:rFonts w:ascii="Times New Roman" w:hAnsi="Times New Roman"/>
        </w:rPr>
        <w:t xml:space="preserve"> </w:t>
      </w:r>
      <w:r w:rsidRPr="00F54B93">
        <w:rPr>
          <w:rFonts w:ascii="Times New Roman" w:hAnsi="Times New Roman"/>
        </w:rPr>
        <w:t>of this purpose it is really engaged in carrying on the business of a farmer for the purposes of gain. There is no reason to doubt the evidence of Brigadier Leggett that it is necessary to pursue a variety of activities to interest the various types of boys sent to the institution."</w:t>
      </w:r>
    </w:p>
    <w:p w14:paraId="7EF2899E" w14:textId="66CBF304" w:rsidR="00B60716" w:rsidRPr="00F54B93" w:rsidRDefault="002C5ACF"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6163D9" w:rsidRPr="00F54B93">
        <w:rPr>
          <w:rFonts w:ascii="Times New Roman" w:hAnsi="Times New Roman"/>
        </w:rPr>
        <w:t xml:space="preserve">That is, the </w:t>
      </w:r>
      <w:r w:rsidR="00B5778F" w:rsidRPr="00F54B93">
        <w:rPr>
          <w:rFonts w:ascii="Times New Roman" w:hAnsi="Times New Roman"/>
        </w:rPr>
        <w:t xml:space="preserve">objective nature of the farming activities (their scale, intensity, and output) </w:t>
      </w:r>
      <w:r w:rsidR="005B649F" w:rsidRPr="00F54B93">
        <w:rPr>
          <w:rFonts w:ascii="Times New Roman" w:hAnsi="Times New Roman"/>
        </w:rPr>
        <w:t xml:space="preserve">supported their objective characterisation as a mere incidental means to the single </w:t>
      </w:r>
      <w:r w:rsidR="00420469" w:rsidRPr="00F54B93">
        <w:rPr>
          <w:rFonts w:ascii="Times New Roman" w:hAnsi="Times New Roman"/>
        </w:rPr>
        <w:t xml:space="preserve">charitable </w:t>
      </w:r>
      <w:r w:rsidR="005B649F" w:rsidRPr="00F54B93">
        <w:rPr>
          <w:rFonts w:ascii="Times New Roman" w:hAnsi="Times New Roman"/>
        </w:rPr>
        <w:t xml:space="preserve">end of </w:t>
      </w:r>
      <w:r w:rsidR="0075308D" w:rsidRPr="00F54B93">
        <w:rPr>
          <w:rFonts w:ascii="Times New Roman" w:hAnsi="Times New Roman"/>
        </w:rPr>
        <w:t xml:space="preserve">the </w:t>
      </w:r>
      <w:r w:rsidR="00420469" w:rsidRPr="00F54B93">
        <w:rPr>
          <w:rFonts w:ascii="Times New Roman" w:hAnsi="Times New Roman"/>
        </w:rPr>
        <w:t>boys</w:t>
      </w:r>
      <w:r w:rsidR="00C60B1D" w:rsidRPr="00F54B93">
        <w:rPr>
          <w:rFonts w:ascii="Times New Roman" w:hAnsi="Times New Roman"/>
        </w:rPr>
        <w:t>'</w:t>
      </w:r>
      <w:r w:rsidR="00420469" w:rsidRPr="00F54B93">
        <w:rPr>
          <w:rFonts w:ascii="Times New Roman" w:hAnsi="Times New Roman"/>
        </w:rPr>
        <w:t xml:space="preserve"> </w:t>
      </w:r>
      <w:r w:rsidR="0075308D" w:rsidRPr="00F54B93">
        <w:rPr>
          <w:rFonts w:ascii="Times New Roman" w:hAnsi="Times New Roman"/>
        </w:rPr>
        <w:t xml:space="preserve">reformatory </w:t>
      </w:r>
      <w:r w:rsidR="00420469" w:rsidRPr="00F54B93">
        <w:rPr>
          <w:rFonts w:ascii="Times New Roman" w:hAnsi="Times New Roman"/>
        </w:rPr>
        <w:t xml:space="preserve">home. </w:t>
      </w:r>
    </w:p>
    <w:p w14:paraId="6BA81599" w14:textId="1A2B8982" w:rsidR="00B278A3" w:rsidRPr="00F54B93" w:rsidRDefault="00B5778F"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8C25BE" w:rsidRPr="00F54B93">
        <w:rPr>
          <w:rFonts w:ascii="Times New Roman" w:hAnsi="Times New Roman"/>
        </w:rPr>
        <w:t>Similarly</w:t>
      </w:r>
      <w:r w:rsidR="002D3816" w:rsidRPr="00F54B93">
        <w:rPr>
          <w:rFonts w:ascii="Times New Roman" w:hAnsi="Times New Roman"/>
        </w:rPr>
        <w:t>, a</w:t>
      </w:r>
      <w:r w:rsidR="00BB58CD" w:rsidRPr="00F54B93">
        <w:rPr>
          <w:rFonts w:ascii="Times New Roman" w:hAnsi="Times New Roman"/>
        </w:rPr>
        <w:t xml:space="preserve">s </w:t>
      </w:r>
      <w:r w:rsidR="005C751D" w:rsidRPr="00F54B93">
        <w:rPr>
          <w:rFonts w:ascii="Times New Roman" w:hAnsi="Times New Roman"/>
        </w:rPr>
        <w:t xml:space="preserve">Windeyer J </w:t>
      </w:r>
      <w:r w:rsidR="0066685D" w:rsidRPr="00F54B93">
        <w:rPr>
          <w:rFonts w:ascii="Times New Roman" w:hAnsi="Times New Roman"/>
        </w:rPr>
        <w:t xml:space="preserve">(with whom </w:t>
      </w:r>
      <w:r w:rsidR="005D7ACC" w:rsidRPr="00F54B93">
        <w:rPr>
          <w:rFonts w:ascii="Times New Roman" w:hAnsi="Times New Roman"/>
        </w:rPr>
        <w:t>Dixon CJ and Kitto J agreed</w:t>
      </w:r>
      <w:r w:rsidR="00767DFA" w:rsidRPr="00F54B93">
        <w:rPr>
          <w:rStyle w:val="FootnoteReference"/>
          <w:rFonts w:ascii="Times New Roman" w:hAnsi="Times New Roman"/>
          <w:sz w:val="24"/>
        </w:rPr>
        <w:footnoteReference w:id="26"/>
      </w:r>
      <w:r w:rsidR="005D7ACC" w:rsidRPr="00F54B93">
        <w:rPr>
          <w:rFonts w:ascii="Times New Roman" w:hAnsi="Times New Roman"/>
        </w:rPr>
        <w:t xml:space="preserve">) </w:t>
      </w:r>
      <w:r w:rsidR="005C751D" w:rsidRPr="00F54B93">
        <w:rPr>
          <w:rFonts w:ascii="Times New Roman" w:hAnsi="Times New Roman"/>
        </w:rPr>
        <w:t>said in</w:t>
      </w:r>
      <w:r w:rsidR="005C751D" w:rsidRPr="00F54B93">
        <w:rPr>
          <w:rFonts w:ascii="Times New Roman" w:hAnsi="Times New Roman"/>
          <w:i/>
          <w:iCs/>
        </w:rPr>
        <w:t xml:space="preserve"> Randwick Corporation v Rutledge</w:t>
      </w:r>
      <w:r w:rsidR="00582FF5" w:rsidRPr="00F54B93">
        <w:rPr>
          <w:rFonts w:ascii="Times New Roman" w:hAnsi="Times New Roman"/>
        </w:rPr>
        <w:t>,</w:t>
      </w:r>
      <w:r w:rsidR="005C751D" w:rsidRPr="00F54B93">
        <w:rPr>
          <w:rFonts w:ascii="Times New Roman" w:hAnsi="Times New Roman"/>
        </w:rPr>
        <w:t xml:space="preserve"> </w:t>
      </w:r>
      <w:r w:rsidR="002A4BB2" w:rsidRPr="00F54B93">
        <w:rPr>
          <w:rFonts w:ascii="Times New Roman" w:hAnsi="Times New Roman"/>
        </w:rPr>
        <w:t>"</w:t>
      </w:r>
      <w:r w:rsidR="00584619" w:rsidRPr="00F54B93">
        <w:rPr>
          <w:rFonts w:ascii="Times New Roman" w:hAnsi="Times New Roman"/>
        </w:rPr>
        <w:t>[t]he words 'exclusively' and 'solely' are familiar in fiscal and rating law. Where an exemption from rating depends upon the use of land exclusively for a particular stated purpose, then the use must be for that purpose only</w:t>
      </w:r>
      <w:r w:rsidR="00C66884" w:rsidRPr="00F54B93">
        <w:rPr>
          <w:rFonts w:ascii="Times New Roman" w:hAnsi="Times New Roman"/>
        </w:rPr>
        <w:t>.</w:t>
      </w:r>
      <w:r w:rsidR="00F61C24" w:rsidRPr="00F54B93">
        <w:rPr>
          <w:rFonts w:ascii="Times New Roman" w:hAnsi="Times New Roman"/>
        </w:rPr>
        <w:t xml:space="preserve"> ... The presence of 'exclusively', 'solely', or 'only' always adds emphasis; and is not to be disregarded. ... </w:t>
      </w:r>
      <w:r w:rsidR="004C727B" w:rsidRPr="00F54B93">
        <w:rPr>
          <w:rFonts w:ascii="Times New Roman" w:hAnsi="Times New Roman"/>
        </w:rPr>
        <w:t>[S]uch words confine the use of the property to the purpose stipulated and prevent any use of it for any purpose,</w:t>
      </w:r>
      <w:r w:rsidR="004C727B" w:rsidRPr="00F54B93">
        <w:rPr>
          <w:rFonts w:ascii="Times New Roman" w:hAnsi="Times New Roman"/>
          <w:i/>
          <w:iCs/>
        </w:rPr>
        <w:t xml:space="preserve"> however minor in importance, which is collateral or independent, as distinguished from incidental to the stipulated use</w:t>
      </w:r>
      <w:r w:rsidR="004C727B" w:rsidRPr="00F54B93">
        <w:rPr>
          <w:rFonts w:ascii="Times New Roman" w:hAnsi="Times New Roman"/>
        </w:rPr>
        <w:t>."</w:t>
      </w:r>
      <w:r w:rsidR="004C727B" w:rsidRPr="00F54B93">
        <w:rPr>
          <w:rStyle w:val="FootnoteReference"/>
          <w:rFonts w:ascii="Times New Roman" w:hAnsi="Times New Roman"/>
          <w:sz w:val="24"/>
        </w:rPr>
        <w:footnoteReference w:id="27"/>
      </w:r>
      <w:r w:rsidR="00574D5C" w:rsidRPr="00F54B93">
        <w:rPr>
          <w:rFonts w:ascii="Times New Roman" w:hAnsi="Times New Roman"/>
        </w:rPr>
        <w:t xml:space="preserve"> </w:t>
      </w:r>
      <w:r w:rsidR="00C83ECF" w:rsidRPr="00F54B93">
        <w:rPr>
          <w:rFonts w:ascii="Times New Roman" w:hAnsi="Times New Roman"/>
        </w:rPr>
        <w:t xml:space="preserve">To the same effect, in </w:t>
      </w:r>
      <w:r w:rsidR="00C83ECF" w:rsidRPr="00F54B93">
        <w:rPr>
          <w:rFonts w:ascii="Times New Roman" w:hAnsi="Times New Roman"/>
          <w:i/>
          <w:iCs/>
        </w:rPr>
        <w:t>Ryde Municipal Council v Macquarie University</w:t>
      </w:r>
      <w:r w:rsidR="00C83ECF" w:rsidRPr="00F54B93">
        <w:rPr>
          <w:rFonts w:ascii="Times New Roman" w:hAnsi="Times New Roman"/>
        </w:rPr>
        <w:t xml:space="preserve"> </w:t>
      </w:r>
      <w:r w:rsidR="00606DC8" w:rsidRPr="00F54B93">
        <w:rPr>
          <w:rFonts w:ascii="Times New Roman" w:hAnsi="Times New Roman"/>
        </w:rPr>
        <w:t>Gibbs A</w:t>
      </w:r>
      <w:r w:rsidR="003F0ABD" w:rsidRPr="00F54B93">
        <w:rPr>
          <w:rFonts w:ascii="Times New Roman" w:hAnsi="Times New Roman"/>
        </w:rPr>
        <w:noBreakHyphen/>
      </w:r>
      <w:r w:rsidR="00606DC8" w:rsidRPr="00F54B93">
        <w:rPr>
          <w:rFonts w:ascii="Times New Roman" w:hAnsi="Times New Roman"/>
        </w:rPr>
        <w:t>CJ explained that, in respect of a use only for a charitable purpose, "</w:t>
      </w:r>
      <w:r w:rsidR="00776A00" w:rsidRPr="00F54B93">
        <w:rPr>
          <w:rFonts w:ascii="Times New Roman" w:hAnsi="Times New Roman"/>
        </w:rPr>
        <w:t xml:space="preserve">if the use which the charity makes of the land is </w:t>
      </w:r>
      <w:r w:rsidR="00776A00" w:rsidRPr="00F54B93">
        <w:rPr>
          <w:rFonts w:ascii="Times New Roman" w:hAnsi="Times New Roman"/>
          <w:i/>
          <w:iCs/>
        </w:rPr>
        <w:t>'wholly ancillary to', or 'directly facilitates'</w:t>
      </w:r>
      <w:r w:rsidR="00776A00" w:rsidRPr="00F54B93">
        <w:rPr>
          <w:rFonts w:ascii="Times New Roman" w:hAnsi="Times New Roman"/>
        </w:rPr>
        <w:t xml:space="preserve">, the carrying out of its charitable </w:t>
      </w:r>
      <w:r w:rsidR="00776A00" w:rsidRPr="00F54B93">
        <w:rPr>
          <w:rFonts w:ascii="Times New Roman" w:hAnsi="Times New Roman"/>
        </w:rPr>
        <w:lastRenderedPageBreak/>
        <w:t>objects, that is sufficient to satisfy the requirements that the premises are used for charitable purposes</w:t>
      </w:r>
      <w:r w:rsidR="00F038A0" w:rsidRPr="00F54B93">
        <w:rPr>
          <w:rFonts w:ascii="Times New Roman" w:hAnsi="Times New Roman"/>
        </w:rPr>
        <w:t>.</w:t>
      </w:r>
      <w:r w:rsidR="00776A00" w:rsidRPr="00F54B93">
        <w:rPr>
          <w:rFonts w:ascii="Times New Roman" w:hAnsi="Times New Roman"/>
        </w:rPr>
        <w:t xml:space="preserve"> If, on the other hand, </w:t>
      </w:r>
      <w:r w:rsidR="00776A00" w:rsidRPr="00F54B93">
        <w:rPr>
          <w:rFonts w:ascii="Times New Roman" w:hAnsi="Times New Roman"/>
          <w:i/>
          <w:iCs/>
        </w:rPr>
        <w:t xml:space="preserve">the use is only 'collateral' or 'additional' to the purposes </w:t>
      </w:r>
      <w:r w:rsidR="00776A00" w:rsidRPr="00F54B93">
        <w:rPr>
          <w:rFonts w:ascii="Times New Roman" w:hAnsi="Times New Roman"/>
        </w:rPr>
        <w:t>which give the charity its character as such, the land will not be used for the purposes of the charity."</w:t>
      </w:r>
      <w:r w:rsidR="00776A00" w:rsidRPr="00F54B93">
        <w:rPr>
          <w:rStyle w:val="FootnoteReference"/>
          <w:rFonts w:ascii="Times New Roman" w:hAnsi="Times New Roman"/>
          <w:sz w:val="24"/>
        </w:rPr>
        <w:footnoteReference w:id="28"/>
      </w:r>
      <w:r w:rsidR="003A35FD" w:rsidRPr="00F54B93">
        <w:rPr>
          <w:rFonts w:ascii="Times New Roman" w:hAnsi="Times New Roman"/>
        </w:rPr>
        <w:t xml:space="preserve"> </w:t>
      </w:r>
    </w:p>
    <w:p w14:paraId="6B8318D3" w14:textId="0E92CDED" w:rsidR="00D530D8" w:rsidRPr="00F54B93" w:rsidRDefault="00B278A3"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3A35FD" w:rsidRPr="00F54B93">
        <w:rPr>
          <w:rFonts w:ascii="Times New Roman" w:hAnsi="Times New Roman"/>
        </w:rPr>
        <w:t xml:space="preserve">As </w:t>
      </w:r>
      <w:r w:rsidR="00294790" w:rsidRPr="00F54B93">
        <w:rPr>
          <w:rFonts w:ascii="Times New Roman" w:hAnsi="Times New Roman"/>
        </w:rPr>
        <w:t xml:space="preserve">recognised </w:t>
      </w:r>
      <w:r w:rsidR="003A35FD" w:rsidRPr="00F54B93">
        <w:rPr>
          <w:rFonts w:ascii="Times New Roman" w:hAnsi="Times New Roman"/>
        </w:rPr>
        <w:t xml:space="preserve">in </w:t>
      </w:r>
      <w:r w:rsidR="003A35FD" w:rsidRPr="00F54B93">
        <w:rPr>
          <w:rFonts w:ascii="Times New Roman" w:hAnsi="Times New Roman"/>
          <w:i/>
          <w:iCs/>
        </w:rPr>
        <w:t>Godolphin Australia Pty Ltd v Chief Commissioner of State Revenue</w:t>
      </w:r>
      <w:r w:rsidR="003A35FD" w:rsidRPr="00F54B93">
        <w:rPr>
          <w:rFonts w:ascii="Times New Roman" w:hAnsi="Times New Roman"/>
        </w:rPr>
        <w:t>,</w:t>
      </w:r>
      <w:r w:rsidR="00294790" w:rsidRPr="00F54B93">
        <w:rPr>
          <w:rStyle w:val="FootnoteReference"/>
          <w:rFonts w:ascii="Times New Roman" w:hAnsi="Times New Roman"/>
          <w:sz w:val="24"/>
        </w:rPr>
        <w:footnoteReference w:id="29"/>
      </w:r>
      <w:r w:rsidR="003A35FD" w:rsidRPr="00F54B93">
        <w:rPr>
          <w:rFonts w:ascii="Times New Roman" w:hAnsi="Times New Roman"/>
        </w:rPr>
        <w:t xml:space="preserve"> where a </w:t>
      </w:r>
      <w:r w:rsidR="005A5748" w:rsidRPr="00F54B93">
        <w:rPr>
          <w:rFonts w:ascii="Times New Roman" w:hAnsi="Times New Roman"/>
        </w:rPr>
        <w:t>statutory</w:t>
      </w:r>
      <w:r w:rsidR="003A35FD" w:rsidRPr="00F54B93">
        <w:rPr>
          <w:rFonts w:ascii="Times New Roman" w:hAnsi="Times New Roman"/>
        </w:rPr>
        <w:t xml:space="preserve"> provision requires a </w:t>
      </w:r>
      <w:r w:rsidR="005A5748" w:rsidRPr="00F54B93">
        <w:rPr>
          <w:rFonts w:ascii="Times New Roman" w:hAnsi="Times New Roman"/>
        </w:rPr>
        <w:t xml:space="preserve">use for a single purpose only, the concept that a use for one purpose may be </w:t>
      </w:r>
      <w:r w:rsidR="002B5560" w:rsidRPr="00F54B93">
        <w:rPr>
          <w:rFonts w:ascii="Times New Roman" w:hAnsi="Times New Roman"/>
        </w:rPr>
        <w:t>"</w:t>
      </w:r>
      <w:r w:rsidR="005A5748" w:rsidRPr="00F54B93">
        <w:rPr>
          <w:rFonts w:ascii="Times New Roman" w:hAnsi="Times New Roman"/>
        </w:rPr>
        <w:t>ancillary</w:t>
      </w:r>
      <w:r w:rsidR="00A4424F" w:rsidRPr="00F54B93">
        <w:rPr>
          <w:rFonts w:ascii="Times New Roman" w:hAnsi="Times New Roman"/>
        </w:rPr>
        <w:t>"</w:t>
      </w:r>
      <w:r w:rsidR="005A5748" w:rsidRPr="00F54B93">
        <w:rPr>
          <w:rFonts w:ascii="Times New Roman" w:hAnsi="Times New Roman"/>
        </w:rPr>
        <w:t xml:space="preserve"> or subservient to a use for</w:t>
      </w:r>
      <w:r w:rsidR="00F00490" w:rsidRPr="00F54B93">
        <w:rPr>
          <w:rFonts w:ascii="Times New Roman" w:hAnsi="Times New Roman"/>
        </w:rPr>
        <w:t xml:space="preserve"> another</w:t>
      </w:r>
      <w:r w:rsidR="005A5748" w:rsidRPr="00F54B93">
        <w:rPr>
          <w:rFonts w:ascii="Times New Roman" w:hAnsi="Times New Roman"/>
        </w:rPr>
        <w:t xml:space="preserve"> purpose</w:t>
      </w:r>
      <w:r w:rsidR="00F00490" w:rsidRPr="00F54B93">
        <w:rPr>
          <w:rFonts w:ascii="Times New Roman" w:hAnsi="Times New Roman"/>
        </w:rPr>
        <w:t xml:space="preserve"> is apt to mislead. </w:t>
      </w:r>
      <w:r w:rsidR="00F1728F" w:rsidRPr="00F54B93">
        <w:rPr>
          <w:rFonts w:ascii="Times New Roman" w:hAnsi="Times New Roman"/>
        </w:rPr>
        <w:t xml:space="preserve">The same use </w:t>
      </w:r>
      <w:r w:rsidR="002B5560" w:rsidRPr="00F54B93">
        <w:rPr>
          <w:rFonts w:ascii="Times New Roman" w:hAnsi="Times New Roman"/>
        </w:rPr>
        <w:t>for a</w:t>
      </w:r>
      <w:r w:rsidR="00F00490" w:rsidRPr="00F54B93">
        <w:rPr>
          <w:rFonts w:ascii="Times New Roman" w:hAnsi="Times New Roman"/>
        </w:rPr>
        <w:t xml:space="preserve">nother purpose, no matter how minor, </w:t>
      </w:r>
      <w:r w:rsidR="008C1B0F" w:rsidRPr="00F54B93">
        <w:rPr>
          <w:rFonts w:ascii="Times New Roman" w:hAnsi="Times New Roman"/>
        </w:rPr>
        <w:t xml:space="preserve">takes </w:t>
      </w:r>
      <w:r w:rsidR="00F1728F" w:rsidRPr="00F54B93">
        <w:rPr>
          <w:rFonts w:ascii="Times New Roman" w:hAnsi="Times New Roman"/>
        </w:rPr>
        <w:t xml:space="preserve">the facts </w:t>
      </w:r>
      <w:r w:rsidR="008C1B0F" w:rsidRPr="00F54B93">
        <w:rPr>
          <w:rFonts w:ascii="Times New Roman" w:hAnsi="Times New Roman"/>
        </w:rPr>
        <w:t xml:space="preserve">outside of the scope of the required use for a single purpose only unless, on the facts as found, it can be concluded that </w:t>
      </w:r>
      <w:r w:rsidR="00DD12BA" w:rsidRPr="00F54B93">
        <w:rPr>
          <w:rFonts w:ascii="Times New Roman" w:hAnsi="Times New Roman"/>
        </w:rPr>
        <w:t>the other purpose is "wholly ancillary to or directly facilitative" of the single purpose</w:t>
      </w:r>
      <w:r w:rsidR="00C24AD0" w:rsidRPr="00F54B93">
        <w:rPr>
          <w:rFonts w:ascii="Times New Roman" w:hAnsi="Times New Roman"/>
        </w:rPr>
        <w:t xml:space="preserve"> and is not "an additional, independent or collateral purpose"</w:t>
      </w:r>
      <w:r w:rsidR="009B761A" w:rsidRPr="00F54B93">
        <w:rPr>
          <w:rFonts w:ascii="Times New Roman" w:hAnsi="Times New Roman"/>
        </w:rPr>
        <w:t>.</w:t>
      </w:r>
      <w:r w:rsidR="00DD12BA" w:rsidRPr="00F54B93">
        <w:rPr>
          <w:rStyle w:val="FootnoteReference"/>
          <w:rFonts w:ascii="Times New Roman" w:hAnsi="Times New Roman"/>
          <w:sz w:val="24"/>
        </w:rPr>
        <w:footnoteReference w:id="30"/>
      </w:r>
      <w:r w:rsidR="00DD12BA" w:rsidRPr="00F54B93">
        <w:rPr>
          <w:rFonts w:ascii="Times New Roman" w:hAnsi="Times New Roman"/>
        </w:rPr>
        <w:t xml:space="preserve"> </w:t>
      </w:r>
    </w:p>
    <w:p w14:paraId="1627B5A6" w14:textId="30F2AE8D" w:rsidR="00237068" w:rsidRPr="00F54B93" w:rsidRDefault="00D530D8"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6E60F6" w:rsidRPr="00F54B93">
        <w:rPr>
          <w:rFonts w:ascii="Times New Roman" w:hAnsi="Times New Roman"/>
        </w:rPr>
        <w:t xml:space="preserve">The </w:t>
      </w:r>
      <w:r w:rsidR="003A0322" w:rsidRPr="00F54B93">
        <w:rPr>
          <w:rFonts w:ascii="Times New Roman" w:hAnsi="Times New Roman"/>
        </w:rPr>
        <w:t xml:space="preserve">appellant's </w:t>
      </w:r>
      <w:r w:rsidR="006E60F6" w:rsidRPr="00F54B93">
        <w:rPr>
          <w:rFonts w:ascii="Times New Roman" w:hAnsi="Times New Roman"/>
        </w:rPr>
        <w:t xml:space="preserve">purpose of using </w:t>
      </w:r>
      <w:r w:rsidR="00473B14" w:rsidRPr="00F54B93">
        <w:rPr>
          <w:rFonts w:ascii="Times New Roman" w:hAnsi="Times New Roman"/>
        </w:rPr>
        <w:t xml:space="preserve">the cars </w:t>
      </w:r>
      <w:r w:rsidR="006E60F6" w:rsidRPr="00F54B93">
        <w:rPr>
          <w:rFonts w:ascii="Times New Roman" w:hAnsi="Times New Roman"/>
        </w:rPr>
        <w:t xml:space="preserve">(by displaying </w:t>
      </w:r>
      <w:r w:rsidR="007D529B" w:rsidRPr="00F54B93">
        <w:rPr>
          <w:rFonts w:ascii="Times New Roman" w:hAnsi="Times New Roman"/>
        </w:rPr>
        <w:t>them at the premises</w:t>
      </w:r>
      <w:r w:rsidR="006E60F6" w:rsidRPr="00F54B93">
        <w:rPr>
          <w:rFonts w:ascii="Times New Roman" w:hAnsi="Times New Roman"/>
        </w:rPr>
        <w:t xml:space="preserve">) as </w:t>
      </w:r>
      <w:r w:rsidR="00F42EE1" w:rsidRPr="00F54B93">
        <w:rPr>
          <w:rFonts w:ascii="Times New Roman" w:hAnsi="Times New Roman"/>
        </w:rPr>
        <w:t xml:space="preserve">part of </w:t>
      </w:r>
      <w:r w:rsidR="006E60F6" w:rsidRPr="00F54B93">
        <w:rPr>
          <w:rFonts w:ascii="Times New Roman" w:hAnsi="Times New Roman"/>
        </w:rPr>
        <w:t xml:space="preserve">a tourist attraction </w:t>
      </w:r>
      <w:r w:rsidR="00111767" w:rsidRPr="00F54B93">
        <w:rPr>
          <w:rFonts w:ascii="Times New Roman" w:hAnsi="Times New Roman"/>
        </w:rPr>
        <w:t xml:space="preserve">cannot be said to be "wholly ancillary </w:t>
      </w:r>
      <w:r w:rsidR="00DB423D" w:rsidRPr="00F54B93">
        <w:rPr>
          <w:rFonts w:ascii="Times New Roman" w:hAnsi="Times New Roman"/>
        </w:rPr>
        <w:t xml:space="preserve">to </w:t>
      </w:r>
      <w:r w:rsidR="005B4FEC" w:rsidRPr="00F54B93">
        <w:rPr>
          <w:rFonts w:ascii="Times New Roman" w:hAnsi="Times New Roman"/>
        </w:rPr>
        <w:t xml:space="preserve">or directly facilitative" of the single required use of the </w:t>
      </w:r>
      <w:r w:rsidR="00DB423D" w:rsidRPr="00F54B93">
        <w:rPr>
          <w:rFonts w:ascii="Times New Roman" w:hAnsi="Times New Roman"/>
        </w:rPr>
        <w:t xml:space="preserve">cars </w:t>
      </w:r>
      <w:r w:rsidR="005B4FEC" w:rsidRPr="00F54B93">
        <w:rPr>
          <w:rFonts w:ascii="Times New Roman" w:hAnsi="Times New Roman"/>
        </w:rPr>
        <w:t xml:space="preserve">(by displaying </w:t>
      </w:r>
      <w:r w:rsidR="00864490" w:rsidRPr="00F54B93">
        <w:rPr>
          <w:rFonts w:ascii="Times New Roman" w:hAnsi="Times New Roman"/>
        </w:rPr>
        <w:t>them at the premises</w:t>
      </w:r>
      <w:r w:rsidR="005B4FEC" w:rsidRPr="00F54B93">
        <w:rPr>
          <w:rFonts w:ascii="Times New Roman" w:hAnsi="Times New Roman"/>
        </w:rPr>
        <w:t xml:space="preserve">) for </w:t>
      </w:r>
      <w:r w:rsidR="008A4710" w:rsidRPr="00F54B93">
        <w:rPr>
          <w:rFonts w:ascii="Times New Roman" w:hAnsi="Times New Roman"/>
        </w:rPr>
        <w:t xml:space="preserve">the </w:t>
      </w:r>
      <w:r w:rsidR="005B4FEC" w:rsidRPr="00F54B93">
        <w:rPr>
          <w:rFonts w:ascii="Times New Roman" w:hAnsi="Times New Roman"/>
        </w:rPr>
        <w:t xml:space="preserve">purpose </w:t>
      </w:r>
      <w:r w:rsidR="008A4710" w:rsidRPr="00F54B93">
        <w:rPr>
          <w:rFonts w:ascii="Times New Roman" w:hAnsi="Times New Roman"/>
        </w:rPr>
        <w:t xml:space="preserve">of holding the vehicles as trading stock. </w:t>
      </w:r>
      <w:r w:rsidR="00C24AD0" w:rsidRPr="00F54B93">
        <w:rPr>
          <w:rFonts w:ascii="Times New Roman" w:hAnsi="Times New Roman"/>
        </w:rPr>
        <w:t xml:space="preserve">Nor can </w:t>
      </w:r>
      <w:r w:rsidR="00DE6F20" w:rsidRPr="00F54B93">
        <w:rPr>
          <w:rFonts w:ascii="Times New Roman" w:hAnsi="Times New Roman"/>
        </w:rPr>
        <w:t>that purpose</w:t>
      </w:r>
      <w:r w:rsidR="00335D6A" w:rsidRPr="00F54B93">
        <w:rPr>
          <w:rFonts w:ascii="Times New Roman" w:hAnsi="Times New Roman"/>
        </w:rPr>
        <w:t xml:space="preserve"> –</w:t>
      </w:r>
      <w:r w:rsidR="00B7584C" w:rsidRPr="00F54B93">
        <w:rPr>
          <w:rFonts w:ascii="Times New Roman" w:hAnsi="Times New Roman"/>
        </w:rPr>
        <w:t xml:space="preserve"> </w:t>
      </w:r>
      <w:r w:rsidR="00335D6A" w:rsidRPr="00F54B93">
        <w:rPr>
          <w:rFonts w:ascii="Times New Roman" w:hAnsi="Times New Roman"/>
        </w:rPr>
        <w:t>the</w:t>
      </w:r>
      <w:r w:rsidR="00C47302" w:rsidRPr="00F54B93">
        <w:rPr>
          <w:rFonts w:ascii="Times New Roman" w:hAnsi="Times New Roman"/>
        </w:rPr>
        <w:t xml:space="preserve"> display of</w:t>
      </w:r>
      <w:r w:rsidR="00EB08DC" w:rsidRPr="00F54B93">
        <w:rPr>
          <w:rFonts w:ascii="Times New Roman" w:hAnsi="Times New Roman"/>
        </w:rPr>
        <w:t xml:space="preserve"> the cars as </w:t>
      </w:r>
      <w:r w:rsidR="000C5DEF" w:rsidRPr="00F54B93">
        <w:rPr>
          <w:rFonts w:ascii="Times New Roman" w:hAnsi="Times New Roman"/>
        </w:rPr>
        <w:t xml:space="preserve">part of </w:t>
      </w:r>
      <w:r w:rsidR="00EB08DC" w:rsidRPr="00F54B93">
        <w:rPr>
          <w:rFonts w:ascii="Times New Roman" w:hAnsi="Times New Roman"/>
        </w:rPr>
        <w:t>a</w:t>
      </w:r>
      <w:r w:rsidR="00C47302" w:rsidRPr="00F54B93">
        <w:rPr>
          <w:rFonts w:ascii="Times New Roman" w:hAnsi="Times New Roman"/>
        </w:rPr>
        <w:t xml:space="preserve"> tourist attraction</w:t>
      </w:r>
      <w:r w:rsidR="00335D6A" w:rsidRPr="00F54B93">
        <w:rPr>
          <w:rFonts w:ascii="Times New Roman" w:hAnsi="Times New Roman"/>
        </w:rPr>
        <w:t xml:space="preserve"> –</w:t>
      </w:r>
      <w:r w:rsidR="00DE6F20" w:rsidRPr="00F54B93">
        <w:rPr>
          <w:rFonts w:ascii="Times New Roman" w:hAnsi="Times New Roman"/>
        </w:rPr>
        <w:t xml:space="preserve"> </w:t>
      </w:r>
      <w:r w:rsidR="00C24AD0" w:rsidRPr="00F54B93">
        <w:rPr>
          <w:rFonts w:ascii="Times New Roman" w:hAnsi="Times New Roman"/>
        </w:rPr>
        <w:t xml:space="preserve">be said not to be an </w:t>
      </w:r>
      <w:r w:rsidR="005A0B7A" w:rsidRPr="00F54B93">
        <w:rPr>
          <w:rFonts w:ascii="Times New Roman" w:hAnsi="Times New Roman"/>
        </w:rPr>
        <w:t>"additional, independent or collateral purpose"</w:t>
      </w:r>
      <w:r w:rsidR="008346EE" w:rsidRPr="00F54B93">
        <w:rPr>
          <w:rFonts w:ascii="Times New Roman" w:hAnsi="Times New Roman"/>
        </w:rPr>
        <w:t>.</w:t>
      </w:r>
      <w:r w:rsidR="005A0B7A" w:rsidRPr="00F54B93">
        <w:rPr>
          <w:rFonts w:ascii="Times New Roman" w:hAnsi="Times New Roman"/>
        </w:rPr>
        <w:t xml:space="preserve"> On the primary judge's unchallenged findings, the use of the </w:t>
      </w:r>
      <w:r w:rsidR="000E650C" w:rsidRPr="00F54B93">
        <w:rPr>
          <w:rFonts w:ascii="Times New Roman" w:hAnsi="Times New Roman"/>
        </w:rPr>
        <w:t xml:space="preserve">cars </w:t>
      </w:r>
      <w:r w:rsidR="005A0B7A" w:rsidRPr="00F54B93">
        <w:rPr>
          <w:rFonts w:ascii="Times New Roman" w:hAnsi="Times New Roman"/>
        </w:rPr>
        <w:t xml:space="preserve">(by displaying </w:t>
      </w:r>
      <w:r w:rsidR="00E201B5" w:rsidRPr="00F54B93">
        <w:rPr>
          <w:rFonts w:ascii="Times New Roman" w:hAnsi="Times New Roman"/>
        </w:rPr>
        <w:t>them at the premises</w:t>
      </w:r>
      <w:r w:rsidR="005A0B7A" w:rsidRPr="00F54B93">
        <w:rPr>
          <w:rFonts w:ascii="Times New Roman" w:hAnsi="Times New Roman"/>
        </w:rPr>
        <w:t xml:space="preserve">) </w:t>
      </w:r>
      <w:r w:rsidR="00D03861" w:rsidRPr="00F54B93">
        <w:rPr>
          <w:rFonts w:ascii="Times New Roman" w:hAnsi="Times New Roman"/>
        </w:rPr>
        <w:t xml:space="preserve">was manifestly </w:t>
      </w:r>
      <w:r w:rsidR="00C71364" w:rsidRPr="00F54B93">
        <w:rPr>
          <w:rFonts w:ascii="Times New Roman" w:hAnsi="Times New Roman"/>
        </w:rPr>
        <w:t xml:space="preserve">use of the cars by the appellant </w:t>
      </w:r>
      <w:r w:rsidR="00D03861" w:rsidRPr="00F54B93">
        <w:rPr>
          <w:rFonts w:ascii="Times New Roman" w:hAnsi="Times New Roman"/>
        </w:rPr>
        <w:t xml:space="preserve">for two separate </w:t>
      </w:r>
      <w:r w:rsidR="00DE6F20" w:rsidRPr="00F54B93">
        <w:rPr>
          <w:rFonts w:ascii="Times New Roman" w:hAnsi="Times New Roman"/>
        </w:rPr>
        <w:t>(</w:t>
      </w:r>
      <w:r w:rsidR="00D03861" w:rsidRPr="00F54B93">
        <w:rPr>
          <w:rFonts w:ascii="Times New Roman" w:hAnsi="Times New Roman"/>
        </w:rPr>
        <w:t>albeit complementary</w:t>
      </w:r>
      <w:r w:rsidR="00DE6F20" w:rsidRPr="00F54B93">
        <w:rPr>
          <w:rFonts w:ascii="Times New Roman" w:hAnsi="Times New Roman"/>
        </w:rPr>
        <w:t>)</w:t>
      </w:r>
      <w:r w:rsidR="00D03861" w:rsidRPr="00F54B93">
        <w:rPr>
          <w:rFonts w:ascii="Times New Roman" w:hAnsi="Times New Roman"/>
        </w:rPr>
        <w:t xml:space="preserve"> purposes </w:t>
      </w:r>
      <w:r w:rsidR="00DD1248" w:rsidRPr="00F54B93">
        <w:rPr>
          <w:rFonts w:ascii="Times New Roman" w:hAnsi="Times New Roman"/>
        </w:rPr>
        <w:t>–</w:t>
      </w:r>
      <w:r w:rsidR="00D03861" w:rsidRPr="00F54B93">
        <w:rPr>
          <w:rFonts w:ascii="Times New Roman" w:hAnsi="Times New Roman"/>
        </w:rPr>
        <w:t xml:space="preserve"> </w:t>
      </w:r>
      <w:r w:rsidR="002D6C94" w:rsidRPr="00F54B93">
        <w:rPr>
          <w:rFonts w:ascii="Times New Roman" w:hAnsi="Times New Roman"/>
        </w:rPr>
        <w:t>as part of a tourist attraction and holding them as trading stock</w:t>
      </w:r>
      <w:r w:rsidR="00D03861" w:rsidRPr="00F54B93">
        <w:rPr>
          <w:rFonts w:ascii="Times New Roman" w:hAnsi="Times New Roman"/>
        </w:rPr>
        <w:t xml:space="preserve">. </w:t>
      </w:r>
    </w:p>
    <w:p w14:paraId="79FDE5E5" w14:textId="7644BA86" w:rsidR="001332A1" w:rsidRPr="00F54B93" w:rsidRDefault="00EA239C"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C148A5" w:rsidRPr="00F54B93">
        <w:rPr>
          <w:rFonts w:ascii="Times New Roman" w:hAnsi="Times New Roman"/>
        </w:rPr>
        <w:t xml:space="preserve">The appellant's contrary arguments must all be rejected. It is immaterial that no admission fee </w:t>
      </w:r>
      <w:r w:rsidR="000941C0" w:rsidRPr="00F54B93">
        <w:rPr>
          <w:rFonts w:ascii="Times New Roman" w:hAnsi="Times New Roman"/>
        </w:rPr>
        <w:t xml:space="preserve">paid </w:t>
      </w:r>
      <w:r w:rsidR="00C148A5" w:rsidRPr="00F54B93">
        <w:rPr>
          <w:rFonts w:ascii="Times New Roman" w:hAnsi="Times New Roman"/>
        </w:rPr>
        <w:t xml:space="preserve">is </w:t>
      </w:r>
      <w:r w:rsidR="000941C0" w:rsidRPr="00F54B93">
        <w:rPr>
          <w:rFonts w:ascii="Times New Roman" w:hAnsi="Times New Roman"/>
        </w:rPr>
        <w:t xml:space="preserve">able to be related </w:t>
      </w:r>
      <w:r w:rsidR="00C148A5" w:rsidRPr="00F54B93">
        <w:rPr>
          <w:rFonts w:ascii="Times New Roman" w:hAnsi="Times New Roman"/>
        </w:rPr>
        <w:t>to any individual car. The admission fee was payable for the right to see each and every car.</w:t>
      </w:r>
      <w:r w:rsidR="008D7C6E" w:rsidRPr="00F54B93">
        <w:rPr>
          <w:rFonts w:ascii="Times New Roman" w:hAnsi="Times New Roman"/>
        </w:rPr>
        <w:t xml:space="preserve"> </w:t>
      </w:r>
      <w:r w:rsidR="004D044F" w:rsidRPr="00F54B93">
        <w:rPr>
          <w:rFonts w:ascii="Times New Roman" w:hAnsi="Times New Roman"/>
        </w:rPr>
        <w:t xml:space="preserve">It is irrelevant that a particular car may not </w:t>
      </w:r>
      <w:r w:rsidR="000941C0" w:rsidRPr="00F54B93">
        <w:rPr>
          <w:rFonts w:ascii="Times New Roman" w:hAnsi="Times New Roman"/>
        </w:rPr>
        <w:t>have been</w:t>
      </w:r>
      <w:r w:rsidR="004D044F" w:rsidRPr="00F54B93">
        <w:rPr>
          <w:rFonts w:ascii="Times New Roman" w:hAnsi="Times New Roman"/>
        </w:rPr>
        <w:t xml:space="preserve"> on display on any given day and that the display was of rotating stock.</w:t>
      </w:r>
      <w:r w:rsidR="002D77FA" w:rsidRPr="00F54B93">
        <w:rPr>
          <w:rFonts w:ascii="Times New Roman" w:hAnsi="Times New Roman"/>
        </w:rPr>
        <w:t xml:space="preserve"> </w:t>
      </w:r>
      <w:r w:rsidR="004D044F" w:rsidRPr="00F54B93">
        <w:rPr>
          <w:rFonts w:ascii="Times New Roman" w:hAnsi="Times New Roman"/>
        </w:rPr>
        <w:t xml:space="preserve">That was </w:t>
      </w:r>
      <w:r w:rsidR="00332EA0" w:rsidRPr="00F54B93">
        <w:rPr>
          <w:rFonts w:ascii="Times New Roman" w:hAnsi="Times New Roman"/>
        </w:rPr>
        <w:t xml:space="preserve">part of the use for each separate purpose </w:t>
      </w:r>
      <w:r w:rsidR="00596082" w:rsidRPr="00F54B93">
        <w:rPr>
          <w:rFonts w:ascii="Times New Roman" w:hAnsi="Times New Roman"/>
        </w:rPr>
        <w:t>–</w:t>
      </w:r>
      <w:r w:rsidR="00332EA0" w:rsidRPr="00F54B93">
        <w:rPr>
          <w:rFonts w:ascii="Times New Roman" w:hAnsi="Times New Roman"/>
        </w:rPr>
        <w:t xml:space="preserve"> to have new vehicles for visitors to see </w:t>
      </w:r>
      <w:r w:rsidR="00050672" w:rsidRPr="00F54B93">
        <w:rPr>
          <w:rFonts w:ascii="Times New Roman" w:hAnsi="Times New Roman"/>
        </w:rPr>
        <w:t xml:space="preserve">as part of the tourist attraction </w:t>
      </w:r>
      <w:r w:rsidR="00332EA0" w:rsidRPr="00F54B93">
        <w:rPr>
          <w:rFonts w:ascii="Times New Roman" w:hAnsi="Times New Roman"/>
        </w:rPr>
        <w:t xml:space="preserve">and new stock for potential customers to buy. </w:t>
      </w:r>
      <w:r w:rsidR="0053430E" w:rsidRPr="00F54B93">
        <w:rPr>
          <w:rFonts w:ascii="Times New Roman" w:hAnsi="Times New Roman"/>
        </w:rPr>
        <w:t>It is not to the point that the planning law characterisation of the premises was as a showroom.</w:t>
      </w:r>
      <w:r w:rsidR="0061251F" w:rsidRPr="00F54B93">
        <w:rPr>
          <w:rFonts w:ascii="Times New Roman" w:hAnsi="Times New Roman"/>
        </w:rPr>
        <w:t xml:space="preserve"> </w:t>
      </w:r>
      <w:r w:rsidR="008E154A" w:rsidRPr="00F54B93">
        <w:rPr>
          <w:rFonts w:ascii="Times New Roman" w:hAnsi="Times New Roman"/>
        </w:rPr>
        <w:t xml:space="preserve">The LCT Act is not a planning law. </w:t>
      </w:r>
      <w:r w:rsidR="009824FD" w:rsidRPr="00F54B93">
        <w:rPr>
          <w:rFonts w:ascii="Times New Roman" w:hAnsi="Times New Roman"/>
        </w:rPr>
        <w:t xml:space="preserve">It is </w:t>
      </w:r>
      <w:r w:rsidR="00944126" w:rsidRPr="00F54B93">
        <w:rPr>
          <w:rFonts w:ascii="Times New Roman" w:hAnsi="Times New Roman"/>
        </w:rPr>
        <w:t>true</w:t>
      </w:r>
      <w:r w:rsidR="008E154A" w:rsidRPr="00F54B93">
        <w:rPr>
          <w:rFonts w:ascii="Times New Roman" w:hAnsi="Times New Roman"/>
        </w:rPr>
        <w:t xml:space="preserve"> that the LCT Act must be applied on a vehicle</w:t>
      </w:r>
      <w:r w:rsidR="0061251F" w:rsidRPr="00F54B93">
        <w:rPr>
          <w:rFonts w:ascii="Times New Roman" w:hAnsi="Times New Roman"/>
        </w:rPr>
        <w:noBreakHyphen/>
      </w:r>
      <w:r w:rsidR="008E154A" w:rsidRPr="00F54B93">
        <w:rPr>
          <w:rFonts w:ascii="Times New Roman" w:hAnsi="Times New Roman"/>
        </w:rPr>
        <w:t>by</w:t>
      </w:r>
      <w:r w:rsidR="0061251F" w:rsidRPr="00F54B93">
        <w:rPr>
          <w:rFonts w:ascii="Times New Roman" w:hAnsi="Times New Roman"/>
        </w:rPr>
        <w:noBreakHyphen/>
      </w:r>
      <w:r w:rsidR="008E154A" w:rsidRPr="00F54B93">
        <w:rPr>
          <w:rFonts w:ascii="Times New Roman" w:hAnsi="Times New Roman"/>
        </w:rPr>
        <w:t>vehicle basis</w:t>
      </w:r>
      <w:r w:rsidR="009824FD" w:rsidRPr="00F54B93">
        <w:rPr>
          <w:rFonts w:ascii="Times New Roman" w:hAnsi="Times New Roman"/>
        </w:rPr>
        <w:t>,</w:t>
      </w:r>
      <w:r w:rsidR="008E154A" w:rsidRPr="00F54B93">
        <w:rPr>
          <w:rFonts w:ascii="Times New Roman" w:hAnsi="Times New Roman"/>
        </w:rPr>
        <w:t xml:space="preserve"> but </w:t>
      </w:r>
      <w:r w:rsidR="009824FD" w:rsidRPr="00F54B93">
        <w:rPr>
          <w:rFonts w:ascii="Times New Roman" w:hAnsi="Times New Roman"/>
        </w:rPr>
        <w:t xml:space="preserve">that </w:t>
      </w:r>
      <w:r w:rsidR="008E154A" w:rsidRPr="00F54B93">
        <w:rPr>
          <w:rFonts w:ascii="Times New Roman" w:hAnsi="Times New Roman"/>
        </w:rPr>
        <w:t>makes no difference to the outcome in t</w:t>
      </w:r>
      <w:r w:rsidR="009737CB" w:rsidRPr="00F54B93">
        <w:rPr>
          <w:rFonts w:ascii="Times New Roman" w:hAnsi="Times New Roman"/>
        </w:rPr>
        <w:t>h</w:t>
      </w:r>
      <w:r w:rsidR="008E154A" w:rsidRPr="00F54B93">
        <w:rPr>
          <w:rFonts w:ascii="Times New Roman" w:hAnsi="Times New Roman"/>
        </w:rPr>
        <w:t>is case as all cars in issue were displayed at the premises for the two separate purposes.</w:t>
      </w:r>
      <w:r w:rsidR="00760AFD" w:rsidRPr="00F54B93">
        <w:rPr>
          <w:rFonts w:ascii="Times New Roman" w:hAnsi="Times New Roman"/>
        </w:rPr>
        <w:t xml:space="preserve"> </w:t>
      </w:r>
      <w:r w:rsidR="00C53FD6" w:rsidRPr="00F54B93">
        <w:rPr>
          <w:rFonts w:ascii="Times New Roman" w:hAnsi="Times New Roman"/>
        </w:rPr>
        <w:t xml:space="preserve">It does not matter that every vehicle </w:t>
      </w:r>
      <w:r w:rsidR="00C53FD6" w:rsidRPr="00F54B93">
        <w:rPr>
          <w:rFonts w:ascii="Times New Roman" w:hAnsi="Times New Roman"/>
          <w:i/>
          <w:iCs/>
        </w:rPr>
        <w:t>continued to be</w:t>
      </w:r>
      <w:r w:rsidR="00C53FD6" w:rsidRPr="00F54B93">
        <w:rPr>
          <w:rFonts w:ascii="Times New Roman" w:hAnsi="Times New Roman"/>
        </w:rPr>
        <w:t xml:space="preserve"> held as trading stock</w:t>
      </w:r>
      <w:r w:rsidR="00BB60EF" w:rsidRPr="00F54B93">
        <w:rPr>
          <w:rFonts w:ascii="Times New Roman" w:hAnsi="Times New Roman"/>
        </w:rPr>
        <w:t xml:space="preserve">, because that continued use for </w:t>
      </w:r>
      <w:r w:rsidR="00BB60EF" w:rsidRPr="00F54B93">
        <w:rPr>
          <w:rFonts w:ascii="Times New Roman" w:hAnsi="Times New Roman"/>
        </w:rPr>
        <w:lastRenderedPageBreak/>
        <w:t>a purpose may or may not be exclusive (and here it was not exclusive).</w:t>
      </w:r>
      <w:r w:rsidR="00C53FD6" w:rsidRPr="00F54B93">
        <w:rPr>
          <w:rFonts w:ascii="Times New Roman" w:hAnsi="Times New Roman"/>
        </w:rPr>
        <w:t xml:space="preserve"> Nor does it matter that M</w:t>
      </w:r>
      <w:r w:rsidR="009737CB" w:rsidRPr="00F54B93">
        <w:rPr>
          <w:rFonts w:ascii="Times New Roman" w:hAnsi="Times New Roman"/>
        </w:rPr>
        <w:t>r</w:t>
      </w:r>
      <w:r w:rsidR="00C53FD6" w:rsidRPr="00F54B93">
        <w:rPr>
          <w:rFonts w:ascii="Times New Roman" w:hAnsi="Times New Roman"/>
        </w:rPr>
        <w:t> Denny wanted to sell every vehicle for the maximum amount</w:t>
      </w:r>
      <w:r w:rsidR="00051484" w:rsidRPr="00F54B93">
        <w:rPr>
          <w:rFonts w:ascii="Times New Roman" w:hAnsi="Times New Roman"/>
        </w:rPr>
        <w:t xml:space="preserve"> possible</w:t>
      </w:r>
      <w:r w:rsidR="00F21CED" w:rsidRPr="00F54B93">
        <w:rPr>
          <w:rFonts w:ascii="Times New Roman" w:hAnsi="Times New Roman"/>
        </w:rPr>
        <w:t>, because this too may co</w:t>
      </w:r>
      <w:r w:rsidR="00051484" w:rsidRPr="00F54B93">
        <w:rPr>
          <w:rFonts w:ascii="Times New Roman" w:hAnsi="Times New Roman"/>
        </w:rPr>
        <w:noBreakHyphen/>
      </w:r>
      <w:r w:rsidR="00F21CED" w:rsidRPr="00F54B93">
        <w:rPr>
          <w:rFonts w:ascii="Times New Roman" w:hAnsi="Times New Roman"/>
        </w:rPr>
        <w:t xml:space="preserve">exist with </w:t>
      </w:r>
      <w:r w:rsidR="00182972" w:rsidRPr="00F54B93">
        <w:rPr>
          <w:rFonts w:ascii="Times New Roman" w:hAnsi="Times New Roman"/>
        </w:rPr>
        <w:t xml:space="preserve">both </w:t>
      </w:r>
      <w:r w:rsidR="00F21CED" w:rsidRPr="00F54B93">
        <w:rPr>
          <w:rFonts w:ascii="Times New Roman" w:hAnsi="Times New Roman"/>
        </w:rPr>
        <w:t>a</w:t>
      </w:r>
      <w:r w:rsidR="00182972" w:rsidRPr="00F54B93">
        <w:rPr>
          <w:rFonts w:ascii="Times New Roman" w:hAnsi="Times New Roman"/>
        </w:rPr>
        <w:t>nother intention and</w:t>
      </w:r>
      <w:r w:rsidR="00F21CED" w:rsidRPr="00F54B93">
        <w:rPr>
          <w:rFonts w:ascii="Times New Roman" w:hAnsi="Times New Roman"/>
        </w:rPr>
        <w:t xml:space="preserve"> use for another purpose (and here it did).</w:t>
      </w:r>
      <w:r w:rsidR="00C53FD6" w:rsidRPr="00F54B93">
        <w:rPr>
          <w:rFonts w:ascii="Times New Roman" w:hAnsi="Times New Roman"/>
        </w:rPr>
        <w:t xml:space="preserve"> </w:t>
      </w:r>
      <w:r w:rsidR="009737CB" w:rsidRPr="00F54B93">
        <w:rPr>
          <w:rFonts w:ascii="Times New Roman" w:hAnsi="Times New Roman"/>
        </w:rPr>
        <w:t>On the primary judge's unchallenged findings: (a) Mr Denny also subjectively wanted the appellant to display each vehicle as part of a tourist attraction; and (b) irrespective of Mr Denny's subjective intention, the appellant did in fact display each vehicle as part of a tourist attraction. That use for an additional purpose engages the increasing LCT adjustment</w:t>
      </w:r>
      <w:r w:rsidR="00182972" w:rsidRPr="00F54B93">
        <w:rPr>
          <w:rFonts w:ascii="Times New Roman" w:hAnsi="Times New Roman"/>
        </w:rPr>
        <w:t xml:space="preserve"> liability</w:t>
      </w:r>
      <w:r w:rsidR="009737CB" w:rsidRPr="00F54B93">
        <w:rPr>
          <w:rFonts w:ascii="Times New Roman" w:hAnsi="Times New Roman"/>
        </w:rPr>
        <w:t xml:space="preserve">. </w:t>
      </w:r>
      <w:r w:rsidR="00182972" w:rsidRPr="00F54B93">
        <w:rPr>
          <w:rFonts w:ascii="Times New Roman" w:hAnsi="Times New Roman"/>
        </w:rPr>
        <w:t>Finally, t</w:t>
      </w:r>
      <w:r w:rsidR="00334B2E" w:rsidRPr="00F54B93">
        <w:rPr>
          <w:rFonts w:ascii="Times New Roman" w:hAnsi="Times New Roman"/>
        </w:rPr>
        <w:t xml:space="preserve">he LCT Act must be construed not in </w:t>
      </w:r>
      <w:r w:rsidR="008256F6" w:rsidRPr="00F54B93">
        <w:rPr>
          <w:rFonts w:ascii="Times New Roman" w:hAnsi="Times New Roman"/>
        </w:rPr>
        <w:t>accordance</w:t>
      </w:r>
      <w:r w:rsidR="00334B2E" w:rsidRPr="00F54B93">
        <w:rPr>
          <w:rFonts w:ascii="Times New Roman" w:hAnsi="Times New Roman"/>
        </w:rPr>
        <w:t xml:space="preserve"> with some superimposed policy </w:t>
      </w:r>
      <w:r w:rsidR="008256F6" w:rsidRPr="00F54B93">
        <w:rPr>
          <w:rFonts w:ascii="Times New Roman" w:hAnsi="Times New Roman"/>
        </w:rPr>
        <w:t>reflecting the general scheme of the LCT Act,</w:t>
      </w:r>
      <w:r w:rsidR="00EA5B98" w:rsidRPr="00F54B93">
        <w:rPr>
          <w:rFonts w:ascii="Times New Roman" w:hAnsi="Times New Roman"/>
        </w:rPr>
        <w:t xml:space="preserve"> </w:t>
      </w:r>
      <w:r w:rsidR="008256F6" w:rsidRPr="00F54B93">
        <w:rPr>
          <w:rFonts w:ascii="Times New Roman" w:hAnsi="Times New Roman"/>
        </w:rPr>
        <w:t>b</w:t>
      </w:r>
      <w:r w:rsidR="00182972" w:rsidRPr="00F54B93">
        <w:rPr>
          <w:rFonts w:ascii="Times New Roman" w:hAnsi="Times New Roman"/>
        </w:rPr>
        <w:t>u</w:t>
      </w:r>
      <w:r w:rsidR="008256F6" w:rsidRPr="00F54B93">
        <w:rPr>
          <w:rFonts w:ascii="Times New Roman" w:hAnsi="Times New Roman"/>
        </w:rPr>
        <w:t>t in accordance with the terms of its provisions</w:t>
      </w:r>
      <w:r w:rsidR="00CD25D8" w:rsidRPr="00F54B93">
        <w:rPr>
          <w:rFonts w:ascii="Times New Roman" w:hAnsi="Times New Roman"/>
        </w:rPr>
        <w:t xml:space="preserve">. Those provisions </w:t>
      </w:r>
      <w:r w:rsidR="008256F6" w:rsidRPr="00F54B93">
        <w:rPr>
          <w:rFonts w:ascii="Times New Roman" w:hAnsi="Times New Roman"/>
        </w:rPr>
        <w:t xml:space="preserve">expressly enable LCT adjustments </w:t>
      </w:r>
      <w:r w:rsidR="00CD25D8" w:rsidRPr="00F54B93">
        <w:rPr>
          <w:rFonts w:ascii="Times New Roman" w:hAnsi="Times New Roman"/>
        </w:rPr>
        <w:t xml:space="preserve">to be made </w:t>
      </w:r>
      <w:r w:rsidR="008256F6" w:rsidRPr="00F54B93">
        <w:rPr>
          <w:rFonts w:ascii="Times New Roman" w:hAnsi="Times New Roman"/>
        </w:rPr>
        <w:t xml:space="preserve">by reference to circumstances after the importation or supply of the car and irrespective of the </w:t>
      </w:r>
      <w:r w:rsidR="00CF5290" w:rsidRPr="00F54B93">
        <w:rPr>
          <w:rFonts w:ascii="Times New Roman" w:hAnsi="Times New Roman"/>
        </w:rPr>
        <w:t xml:space="preserve">subjective </w:t>
      </w:r>
      <w:r w:rsidR="008256F6" w:rsidRPr="00F54B93">
        <w:rPr>
          <w:rFonts w:ascii="Times New Roman" w:hAnsi="Times New Roman"/>
        </w:rPr>
        <w:t xml:space="preserve">intention of the importer or </w:t>
      </w:r>
      <w:r w:rsidR="00492709" w:rsidRPr="00F54B93">
        <w:rPr>
          <w:rFonts w:ascii="Times New Roman" w:hAnsi="Times New Roman"/>
        </w:rPr>
        <w:t>recipient</w:t>
      </w:r>
      <w:r w:rsidR="00D3181A" w:rsidRPr="00F54B93">
        <w:rPr>
          <w:rFonts w:ascii="Times New Roman" w:hAnsi="Times New Roman"/>
        </w:rPr>
        <w:t xml:space="preserve">, whether </w:t>
      </w:r>
      <w:r w:rsidR="008256F6" w:rsidRPr="00F54B93">
        <w:rPr>
          <w:rFonts w:ascii="Times New Roman" w:hAnsi="Times New Roman"/>
        </w:rPr>
        <w:t>at the time of importation or supply</w:t>
      </w:r>
      <w:r w:rsidR="00D03D78" w:rsidRPr="00F54B93">
        <w:rPr>
          <w:rFonts w:ascii="Times New Roman" w:hAnsi="Times New Roman"/>
        </w:rPr>
        <w:t xml:space="preserve"> </w:t>
      </w:r>
      <w:r w:rsidR="00CF5290" w:rsidRPr="00F54B93">
        <w:rPr>
          <w:rFonts w:ascii="Times New Roman" w:hAnsi="Times New Roman"/>
        </w:rPr>
        <w:t>or over the relevant tax period</w:t>
      </w:r>
      <w:r w:rsidR="008256F6" w:rsidRPr="00F54B93">
        <w:rPr>
          <w:rFonts w:ascii="Times New Roman" w:hAnsi="Times New Roman"/>
        </w:rPr>
        <w:t>.</w:t>
      </w:r>
    </w:p>
    <w:p w14:paraId="4DECE0ED" w14:textId="5767EFA2" w:rsidR="00B31A36" w:rsidRPr="00F54B93" w:rsidRDefault="00B31A36" w:rsidP="00F54B93">
      <w:pPr>
        <w:pStyle w:val="HeadingL1"/>
        <w:spacing w:after="260" w:line="280" w:lineRule="exact"/>
        <w:ind w:right="0"/>
        <w:jc w:val="both"/>
        <w:rPr>
          <w:rFonts w:ascii="Times New Roman" w:hAnsi="Times New Roman"/>
        </w:rPr>
      </w:pPr>
      <w:r w:rsidRPr="00F54B93">
        <w:rPr>
          <w:rFonts w:ascii="Times New Roman" w:hAnsi="Times New Roman"/>
        </w:rPr>
        <w:t>Conclusion</w:t>
      </w:r>
    </w:p>
    <w:p w14:paraId="5E1AF6CE" w14:textId="77777777" w:rsidR="00522C99" w:rsidRDefault="00B31A36" w:rsidP="00F54B93">
      <w:pPr>
        <w:pStyle w:val="FixListStyle"/>
        <w:spacing w:after="260" w:line="280" w:lineRule="exact"/>
        <w:ind w:right="0"/>
        <w:jc w:val="both"/>
        <w:rPr>
          <w:rFonts w:ascii="Times New Roman" w:hAnsi="Times New Roman"/>
        </w:rPr>
      </w:pPr>
      <w:r w:rsidRPr="00F54B93">
        <w:rPr>
          <w:rFonts w:ascii="Times New Roman" w:hAnsi="Times New Roman"/>
        </w:rPr>
        <w:tab/>
      </w:r>
      <w:r w:rsidR="00B857E6" w:rsidRPr="00F54B93">
        <w:rPr>
          <w:rFonts w:ascii="Times New Roman" w:hAnsi="Times New Roman"/>
        </w:rPr>
        <w:t>In addition to</w:t>
      </w:r>
      <w:r w:rsidR="00F44068" w:rsidRPr="00F54B93">
        <w:rPr>
          <w:rFonts w:ascii="Times New Roman" w:hAnsi="Times New Roman"/>
        </w:rPr>
        <w:t xml:space="preserve"> the issue </w:t>
      </w:r>
      <w:r w:rsidR="004753D9" w:rsidRPr="00F54B93">
        <w:rPr>
          <w:rFonts w:ascii="Times New Roman" w:hAnsi="Times New Roman"/>
        </w:rPr>
        <w:t>concerning</w:t>
      </w:r>
      <w:r w:rsidR="00F44068" w:rsidRPr="00F54B93">
        <w:rPr>
          <w:rFonts w:ascii="Times New Roman" w:hAnsi="Times New Roman"/>
        </w:rPr>
        <w:t xml:space="preserve"> the liability of the appellant to </w:t>
      </w:r>
      <w:r w:rsidR="00D22D2B" w:rsidRPr="00F54B93">
        <w:rPr>
          <w:rFonts w:ascii="Times New Roman" w:hAnsi="Times New Roman"/>
        </w:rPr>
        <w:t xml:space="preserve">pay </w:t>
      </w:r>
      <w:r w:rsidR="00F44068" w:rsidRPr="00F54B93">
        <w:rPr>
          <w:rFonts w:ascii="Times New Roman" w:hAnsi="Times New Roman"/>
        </w:rPr>
        <w:t>LCT</w:t>
      </w:r>
      <w:r w:rsidR="00AD0ACA" w:rsidRPr="00F54B93">
        <w:rPr>
          <w:rFonts w:ascii="Times New Roman" w:hAnsi="Times New Roman"/>
        </w:rPr>
        <w:t xml:space="preserve">, </w:t>
      </w:r>
      <w:r w:rsidR="00295856" w:rsidRPr="00F54B93">
        <w:rPr>
          <w:rFonts w:ascii="Times New Roman" w:hAnsi="Times New Roman"/>
        </w:rPr>
        <w:t xml:space="preserve">there is </w:t>
      </w:r>
      <w:r w:rsidR="00AD0ACA" w:rsidRPr="00F54B93">
        <w:rPr>
          <w:rFonts w:ascii="Times New Roman" w:hAnsi="Times New Roman"/>
        </w:rPr>
        <w:t xml:space="preserve">an issue </w:t>
      </w:r>
      <w:r w:rsidR="00295856" w:rsidRPr="00F54B93">
        <w:rPr>
          <w:rFonts w:ascii="Times New Roman" w:hAnsi="Times New Roman"/>
        </w:rPr>
        <w:t>concerning</w:t>
      </w:r>
      <w:r w:rsidR="00AD0ACA" w:rsidRPr="00F54B93">
        <w:rPr>
          <w:rFonts w:ascii="Times New Roman" w:hAnsi="Times New Roman"/>
        </w:rPr>
        <w:t xml:space="preserve"> the liability of the appellant to </w:t>
      </w:r>
      <w:r w:rsidR="00D22D2B" w:rsidRPr="00F54B93">
        <w:rPr>
          <w:rFonts w:ascii="Times New Roman" w:hAnsi="Times New Roman"/>
        </w:rPr>
        <w:t xml:space="preserve">pay </w:t>
      </w:r>
      <w:r w:rsidR="00AD0ACA" w:rsidRPr="00F54B93">
        <w:rPr>
          <w:rFonts w:ascii="Times New Roman" w:hAnsi="Times New Roman"/>
        </w:rPr>
        <w:t>GST</w:t>
      </w:r>
      <w:r w:rsidR="004753D9" w:rsidRPr="00F54B93">
        <w:rPr>
          <w:rFonts w:ascii="Times New Roman" w:hAnsi="Times New Roman"/>
        </w:rPr>
        <w:t xml:space="preserve">. However, </w:t>
      </w:r>
      <w:r w:rsidR="00195C18" w:rsidRPr="00F54B93">
        <w:rPr>
          <w:rFonts w:ascii="Times New Roman" w:hAnsi="Times New Roman"/>
        </w:rPr>
        <w:t xml:space="preserve">it </w:t>
      </w:r>
      <w:r w:rsidR="000E3C7C" w:rsidRPr="00F54B93">
        <w:rPr>
          <w:rFonts w:ascii="Times New Roman" w:hAnsi="Times New Roman"/>
        </w:rPr>
        <w:t xml:space="preserve">was </w:t>
      </w:r>
      <w:r w:rsidR="00E17AD2" w:rsidRPr="00F54B93">
        <w:rPr>
          <w:rFonts w:ascii="Times New Roman" w:hAnsi="Times New Roman"/>
        </w:rPr>
        <w:t>common ground</w:t>
      </w:r>
      <w:r w:rsidR="00B75B04" w:rsidRPr="00F54B93">
        <w:rPr>
          <w:rFonts w:ascii="Times New Roman" w:hAnsi="Times New Roman"/>
        </w:rPr>
        <w:t xml:space="preserve"> before the primary judge</w:t>
      </w:r>
      <w:r w:rsidR="00DA4E5A" w:rsidRPr="00F54B93">
        <w:rPr>
          <w:rFonts w:ascii="Times New Roman" w:hAnsi="Times New Roman"/>
        </w:rPr>
        <w:t xml:space="preserve"> and</w:t>
      </w:r>
      <w:r w:rsidR="00B75B04" w:rsidRPr="00F54B93">
        <w:rPr>
          <w:rFonts w:ascii="Times New Roman" w:hAnsi="Times New Roman"/>
        </w:rPr>
        <w:t xml:space="preserve"> </w:t>
      </w:r>
      <w:r w:rsidR="00C972F2" w:rsidRPr="00F54B93">
        <w:rPr>
          <w:rFonts w:ascii="Times New Roman" w:hAnsi="Times New Roman"/>
        </w:rPr>
        <w:t xml:space="preserve">the </w:t>
      </w:r>
      <w:r w:rsidR="00B75B04" w:rsidRPr="00F54B93">
        <w:rPr>
          <w:rFonts w:ascii="Times New Roman" w:hAnsi="Times New Roman"/>
        </w:rPr>
        <w:t>Full Court and on appeal to this Court</w:t>
      </w:r>
      <w:r w:rsidR="00E17AD2" w:rsidRPr="00F54B93">
        <w:rPr>
          <w:rFonts w:ascii="Times New Roman" w:hAnsi="Times New Roman"/>
        </w:rPr>
        <w:t xml:space="preserve"> that the GST issue follows the resolution of the LCT issue.</w:t>
      </w:r>
      <w:r w:rsidR="00C972F2" w:rsidRPr="00F54B93">
        <w:rPr>
          <w:rStyle w:val="FootnoteReference"/>
          <w:rFonts w:ascii="Times New Roman" w:hAnsi="Times New Roman"/>
          <w:sz w:val="24"/>
        </w:rPr>
        <w:footnoteReference w:id="31"/>
      </w:r>
      <w:r w:rsidR="00E17AD2" w:rsidRPr="00F54B93">
        <w:rPr>
          <w:rFonts w:ascii="Times New Roman" w:hAnsi="Times New Roman"/>
        </w:rPr>
        <w:t xml:space="preserve"> Accordingly, t</w:t>
      </w:r>
      <w:r w:rsidRPr="00F54B93">
        <w:rPr>
          <w:rFonts w:ascii="Times New Roman" w:hAnsi="Times New Roman"/>
        </w:rPr>
        <w:t xml:space="preserve">he appeal should be dismissed with costs. </w:t>
      </w:r>
    </w:p>
    <w:p w14:paraId="4EF05C30" w14:textId="77777777" w:rsidR="00522C99" w:rsidRDefault="00522C99" w:rsidP="00F54B93">
      <w:pPr>
        <w:pStyle w:val="FixListStyle"/>
        <w:spacing w:after="260" w:line="280" w:lineRule="exact"/>
        <w:ind w:right="0"/>
        <w:jc w:val="both"/>
        <w:rPr>
          <w:rFonts w:ascii="Times New Roman" w:hAnsi="Times New Roman"/>
        </w:rPr>
        <w:sectPr w:rsidR="00522C99" w:rsidSect="004D6D1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B5D89F1" w14:textId="77777777" w:rsidR="00522C99" w:rsidRPr="00515D07" w:rsidRDefault="00522C99" w:rsidP="00515D07">
      <w:pPr>
        <w:pStyle w:val="FixListStyle"/>
        <w:tabs>
          <w:tab w:val="clear" w:pos="720"/>
          <w:tab w:val="left" w:pos="0"/>
        </w:tabs>
        <w:spacing w:after="260" w:line="280" w:lineRule="exact"/>
        <w:ind w:right="0"/>
        <w:jc w:val="both"/>
        <w:rPr>
          <w:rFonts w:ascii="Times New Roman" w:hAnsi="Times New Roman"/>
        </w:rPr>
      </w:pPr>
      <w:r w:rsidRPr="00515D07">
        <w:rPr>
          <w:rFonts w:ascii="Times New Roman" w:hAnsi="Times New Roman"/>
        </w:rPr>
        <w:lastRenderedPageBreak/>
        <w:t xml:space="preserve">EDELMAN, STEWARD AND GLEESON JJ.   This appeal concerns the ingenuity of humans in selling goods, here cars, and the imposition of luxury car tax ("LCT") as well as goods and services tax ("GST"). It is also a case about characterising the purpose underlying that ingenuity. The appellant carried on a business of acquiring and then selling luxury and collectable cars at Gosford in New South Wales. The appellant used the novel technique, designed only as a means to attract purchasers, of displaying many of the cars in a "car museum". This appeal is concerned with 40 of those cars. Almost all of these were eventually sold by the appellant either to other dealers or to collectors or consumers. Ordinarily, a car dealer becomes liable to pay LCT (or GST) when it sells a car at the "retail level" to a consumer. The burden of this liability is then offset by receipt of the sale price of the car. </w:t>
      </w:r>
    </w:p>
    <w:p w14:paraId="7E81C29B"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This is not how the appellant has been assessed here. The factual premises of the LCT and GST assessments served on the appellant were that each car was (i) used for the purpose of holding the car as trading stock, and (ii) also used for the additional purpose of being displayed as an exhibit in a car museum. That second premise misunderstood the concept of purpose in an LCT and GST assessment, which is concerned with the taxpayer's ultimate end or object. The use of the cars as exhibits in a car museum was intended by the appellant only as a means to the ultimate end or object of using the cars as trading stock, ie, selling them. The evidence of subjective purpose from the controlling mind of the appellant was uncontradicted, supported by substantial objective evidence, and accepted by the primary judge. The second premise mischaracterised the appellant's purpose for acquiring and then holding the 40 cars, treating it as an objective purpose abstracted from the appellant itself. For the reasons which follow, this appeal must be allowed with costs.</w:t>
      </w:r>
    </w:p>
    <w:p w14:paraId="5313AF6A"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t>The assessments and the operation of LCT and GST</w:t>
      </w:r>
    </w:p>
    <w:p w14:paraId="353D6022"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 appellant was issued with a single notice of amended assessments of net amounts for the tax periods commencing from 1 April 2016 to 30 November 2017. The aggregate of LCT and GST payable was $6,164,613. The appellant objected and pursued its objection and appeal rights under Pt IVC of the </w:t>
      </w:r>
      <w:r w:rsidRPr="00515D07">
        <w:rPr>
          <w:rFonts w:ascii="Times New Roman" w:hAnsi="Times New Roman"/>
          <w:i/>
          <w:iCs/>
        </w:rPr>
        <w:t>Taxation Administration Act 1953</w:t>
      </w:r>
      <w:r w:rsidRPr="00515D07">
        <w:rPr>
          <w:rFonts w:ascii="Times New Roman" w:hAnsi="Times New Roman"/>
        </w:rPr>
        <w:t xml:space="preserve"> (Cth).</w:t>
      </w:r>
    </w:p>
    <w:p w14:paraId="0E9DBE0A" w14:textId="77777777" w:rsidR="00522C99" w:rsidRPr="00515D07" w:rsidRDefault="00522C99" w:rsidP="00515D07">
      <w:pPr>
        <w:pStyle w:val="HeadingL2"/>
        <w:spacing w:after="260" w:line="280" w:lineRule="exact"/>
        <w:ind w:right="0"/>
        <w:jc w:val="both"/>
        <w:rPr>
          <w:rFonts w:ascii="Times New Roman" w:hAnsi="Times New Roman"/>
        </w:rPr>
      </w:pPr>
      <w:r w:rsidRPr="00515D07">
        <w:rPr>
          <w:rFonts w:ascii="Times New Roman" w:hAnsi="Times New Roman"/>
        </w:rPr>
        <w:t>The imposition of LCT</w:t>
      </w:r>
    </w:p>
    <w:p w14:paraId="54903643"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Until 1999, wholesale sales tax was generally imposed on motor cars, but a higher rate of tax was imposed on cars deemed to be luxury vehicles. Upon the introduction of the GST, all of Australia's sales tax enactments were repealed and the sale of cars instead became subject to this new indirect tax. A separate luxury car tax was also created by the enactment of the </w:t>
      </w:r>
      <w:r w:rsidRPr="00515D07">
        <w:rPr>
          <w:rFonts w:ascii="Times New Roman" w:hAnsi="Times New Roman"/>
          <w:i/>
          <w:iCs/>
        </w:rPr>
        <w:t xml:space="preserve">A New Tax System (Luxury Car Tax) Act 1999 </w:t>
      </w:r>
      <w:r w:rsidRPr="00515D07">
        <w:rPr>
          <w:rFonts w:ascii="Times New Roman" w:hAnsi="Times New Roman"/>
        </w:rPr>
        <w:t xml:space="preserve">(Cth) ("the LCT Act"). The Explanatory Memorandum which </w:t>
      </w:r>
      <w:r w:rsidRPr="00515D07">
        <w:rPr>
          <w:rFonts w:ascii="Times New Roman" w:hAnsi="Times New Roman"/>
        </w:rPr>
        <w:lastRenderedPageBreak/>
        <w:t>accompanied the introduction of the Bill which became the LCT Act described the new tax as follows:</w:t>
      </w:r>
      <w:r w:rsidRPr="00515D07">
        <w:rPr>
          <w:rStyle w:val="FootnoteReference"/>
          <w:rFonts w:ascii="Times New Roman" w:hAnsi="Times New Roman"/>
          <w:sz w:val="24"/>
        </w:rPr>
        <w:footnoteReference w:id="32"/>
      </w:r>
    </w:p>
    <w:p w14:paraId="3B7E7DC2"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 xml:space="preserve">"It is a single stage tax that is imposed on taxable supplies and importations of luxury cars and is </w:t>
      </w:r>
      <w:r w:rsidRPr="00515D07">
        <w:rPr>
          <w:rFonts w:ascii="Times New Roman" w:hAnsi="Times New Roman"/>
          <w:i/>
          <w:iCs/>
        </w:rPr>
        <w:t>in addition</w:t>
      </w:r>
      <w:r w:rsidRPr="00515D07">
        <w:rPr>
          <w:rFonts w:ascii="Times New Roman" w:hAnsi="Times New Roman"/>
        </w:rPr>
        <w:t xml:space="preserve"> to any goods and services tax (GST) that may be payable, but is not levied on top of the GST."</w:t>
      </w:r>
    </w:p>
    <w:p w14:paraId="7EAB5802"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A critical design feature of the tax is that car dealers, such as the appellant, ordinarily do not become liable to pay LCT until a car is sold (or imported) "at the retail level".</w:t>
      </w:r>
      <w:r w:rsidRPr="00515D07">
        <w:rPr>
          <w:rStyle w:val="FootnoteReference"/>
          <w:rFonts w:ascii="Times New Roman" w:hAnsi="Times New Roman"/>
          <w:sz w:val="24"/>
        </w:rPr>
        <w:footnoteReference w:id="33"/>
      </w:r>
      <w:r w:rsidRPr="00515D07">
        <w:rPr>
          <w:rFonts w:ascii="Times New Roman" w:hAnsi="Times New Roman"/>
        </w:rPr>
        <w:t xml:space="preserve"> This is achieved by the dealer quoting its Australian Business Number ("ABN") when acquiring or importing a car. Thus s 2-5(2) of the LCT Act provides:</w:t>
      </w:r>
    </w:p>
    <w:p w14:paraId="0E5C5172"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"There is a system of quoting which is designed to prevent the tax becoming payable until the car is sold or imported at the retail level. (Division 9)"</w:t>
      </w:r>
    </w:p>
    <w:p w14:paraId="06AD3AB0"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scheme of the LCT Act is that LCT is paid on "any *taxable supply of a luxury car that you make".</w:t>
      </w:r>
      <w:r w:rsidRPr="00515D07">
        <w:rPr>
          <w:rStyle w:val="FootnoteReference"/>
          <w:rFonts w:ascii="Times New Roman" w:hAnsi="Times New Roman"/>
          <w:sz w:val="24"/>
        </w:rPr>
        <w:footnoteReference w:id="34"/>
      </w:r>
      <w:r w:rsidRPr="00515D07">
        <w:rPr>
          <w:rFonts w:ascii="Times New Roman" w:hAnsi="Times New Roman"/>
        </w:rPr>
        <w:t xml:space="preserve"> Section 5-10 of the LCT Act defines when a person makes a taxable supply. Generally, it is when a luxury car is supplied in the course or furtherance of an enterprise which is carried on and the taxpayer is registered (or required to be registered) under the </w:t>
      </w:r>
      <w:r w:rsidRPr="00515D07">
        <w:rPr>
          <w:rFonts w:ascii="Times New Roman" w:hAnsi="Times New Roman"/>
          <w:i/>
          <w:iCs/>
        </w:rPr>
        <w:t>A New Tax System (Goods and Services Tax) Act 1999</w:t>
      </w:r>
      <w:r w:rsidRPr="00515D07">
        <w:rPr>
          <w:rFonts w:ascii="Times New Roman" w:hAnsi="Times New Roman"/>
        </w:rPr>
        <w:t xml:space="preserve"> (Cth) ("the GST Act"). The phrase "luxury car" is defined;</w:t>
      </w:r>
      <w:r w:rsidRPr="00515D07">
        <w:rPr>
          <w:rStyle w:val="FootnoteReference"/>
          <w:rFonts w:ascii="Times New Roman" w:hAnsi="Times New Roman"/>
          <w:sz w:val="24"/>
        </w:rPr>
        <w:footnoteReference w:id="35"/>
      </w:r>
      <w:r w:rsidRPr="00515D07">
        <w:rPr>
          <w:rFonts w:ascii="Times New Roman" w:hAnsi="Times New Roman"/>
        </w:rPr>
        <w:t xml:space="preserve"> it is not in dispute that all of the 40 cars were cars of this kind. Section 5-10(2) of the LCT Act excludes the supply of a luxury car from being a taxable supply where the recipient "quotes" for the supply of the car; or where the car is more than two years old; or where the car is exported in certain circumstances.</w:t>
      </w:r>
    </w:p>
    <w:p w14:paraId="3EB13539"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Division 9 of Pt 2 of the LCT Act deals with the topic of quoting. Section 9-1 describes what the Division is "about" as follows:</w:t>
      </w:r>
    </w:p>
    <w:p w14:paraId="2F53A9E5"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 xml:space="preserve">"In certain circumstances you can quote for a supply or importation of a luxury car and not pay the luxury car tax. This is designed to avoid the </w:t>
      </w:r>
      <w:r w:rsidRPr="00515D07">
        <w:rPr>
          <w:rFonts w:ascii="Times New Roman" w:hAnsi="Times New Roman"/>
        </w:rPr>
        <w:lastRenderedPageBreak/>
        <w:t>luxury car tax becoming payable unless the car is sold or imported at the retail level."</w:t>
      </w:r>
    </w:p>
    <w:p w14:paraId="37A97608"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Section 23-10(2) of the LCT Act provides that explanatory sections, such as s 9-1, form part of the Act and, whilst they are not operative provisions, they may for certain purposes be used as an aid to construction of an operative provision. Section 9-5(1) sets out when a person is entitled to quote an ABN in relation to the supply or importation of a luxury car. It provides:</w:t>
      </w:r>
    </w:p>
    <w:p w14:paraId="7B21E173" w14:textId="77777777" w:rsidR="00522C99" w:rsidRPr="00515D07"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"You are entitled to *quote your *ABN in relation to a supply of a *luxury car or an *importation of a luxury car if, at the time of quoting, you have the intention of using the car for one of the following purposes, and for no other purpose:</w:t>
      </w:r>
    </w:p>
    <w:p w14:paraId="5DD30318" w14:textId="77777777" w:rsidR="00522C99" w:rsidRPr="00515D07" w:rsidRDefault="00522C99" w:rsidP="00515D07">
      <w:pPr>
        <w:pStyle w:val="leftright"/>
        <w:spacing w:before="0" w:after="260" w:line="280" w:lineRule="exact"/>
        <w:ind w:left="1440" w:right="0" w:hanging="720"/>
        <w:jc w:val="both"/>
        <w:rPr>
          <w:rFonts w:ascii="Times New Roman" w:hAnsi="Times New Roman"/>
        </w:rPr>
      </w:pPr>
      <w:r w:rsidRPr="00515D07">
        <w:rPr>
          <w:rFonts w:ascii="Times New Roman" w:hAnsi="Times New Roman"/>
        </w:rPr>
        <w:t>(a)</w:t>
      </w:r>
      <w:r w:rsidRPr="00515D07">
        <w:rPr>
          <w:rFonts w:ascii="Times New Roman" w:hAnsi="Times New Roman"/>
        </w:rPr>
        <w:tab/>
        <w:t>holding the car as trading stock, other than holding it for hire or lease; or</w:t>
      </w:r>
    </w:p>
    <w:p w14:paraId="032A958D" w14:textId="77777777" w:rsidR="00522C99" w:rsidRPr="00515D07" w:rsidRDefault="00522C99" w:rsidP="00515D07">
      <w:pPr>
        <w:pStyle w:val="leftright"/>
        <w:spacing w:before="0" w:after="260" w:line="280" w:lineRule="exact"/>
        <w:ind w:left="1440" w:right="0" w:hanging="720"/>
        <w:jc w:val="both"/>
        <w:rPr>
          <w:rFonts w:ascii="Times New Roman" w:hAnsi="Times New Roman"/>
        </w:rPr>
      </w:pPr>
      <w:r w:rsidRPr="00515D07">
        <w:rPr>
          <w:rFonts w:ascii="Times New Roman" w:hAnsi="Times New Roman"/>
        </w:rPr>
        <w:t>(b)</w:t>
      </w:r>
      <w:r w:rsidRPr="00515D07">
        <w:rPr>
          <w:rFonts w:ascii="Times New Roman" w:hAnsi="Times New Roman"/>
        </w:rPr>
        <w:tab/>
        <w:t>*research and development for the manufacturer of the car; or</w:t>
      </w:r>
    </w:p>
    <w:p w14:paraId="13B7EFEF" w14:textId="77777777" w:rsidR="00522C99" w:rsidRDefault="00522C99" w:rsidP="00515D07">
      <w:pPr>
        <w:pStyle w:val="leftright"/>
        <w:spacing w:before="0" w:after="260" w:line="280" w:lineRule="exact"/>
        <w:ind w:left="1440" w:right="0" w:hanging="720"/>
        <w:jc w:val="both"/>
        <w:rPr>
          <w:rFonts w:ascii="Times New Roman" w:hAnsi="Times New Roman"/>
        </w:rPr>
      </w:pPr>
      <w:r w:rsidRPr="00515D07">
        <w:rPr>
          <w:rFonts w:ascii="Times New Roman" w:hAnsi="Times New Roman"/>
        </w:rPr>
        <w:t>(c)</w:t>
      </w:r>
      <w:r w:rsidRPr="00515D07">
        <w:rPr>
          <w:rFonts w:ascii="Times New Roman" w:hAnsi="Times New Roman"/>
        </w:rPr>
        <w:tab/>
        <w:t>exporting the car in circumstances where the export is *GST-free under Subdivision 38-E of the *GST Act."</w:t>
      </w:r>
    </w:p>
    <w:p w14:paraId="127C4FAA"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"you" to which s 9-5(1) refers is the taxpayer. The "intention" to which s 9-5(1) refers is the taxpayer's intention. And the "purpose" to which s 9-5(1) refers is the taxpayer's purpose.</w:t>
      </w:r>
    </w:p>
    <w:p w14:paraId="4608DAD7"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If a person quotes in circumstances where there is no entitlement to do so, the quote is "nevertheless effective", unless the person to whom the quote is made (typically, the car dealer's supplier) has reasonable grounds for believing that: there was no entitlement to quote; or the quote has not been made in the approved form; or the quote was misleading in a material particular.</w:t>
      </w:r>
      <w:r w:rsidRPr="00515D07">
        <w:rPr>
          <w:rStyle w:val="FootnoteReference"/>
          <w:rFonts w:ascii="Times New Roman" w:hAnsi="Times New Roman"/>
          <w:sz w:val="24"/>
        </w:rPr>
        <w:footnoteReference w:id="36"/>
      </w:r>
      <w:r w:rsidRPr="00515D07">
        <w:rPr>
          <w:rFonts w:ascii="Times New Roman" w:hAnsi="Times New Roman"/>
        </w:rPr>
        <w:t xml:space="preserve"> There was no suggestion here that the quotes made by the appellant in relation to the 40 cars were not "effective", although the respondent ("the Commissioner") otherwise contends that there was no entitlement to quote in respect of some of the cars.</w:t>
      </w:r>
    </w:p>
    <w:p w14:paraId="5CC038C7"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Division 13 of Pt 3 of the LCT Act deals with the payment of LCT. In general terms, amounts of LCT for a given period are added to a person's "net amount" for the purposes of the GST Act.</w:t>
      </w:r>
      <w:r w:rsidRPr="00515D07">
        <w:rPr>
          <w:rStyle w:val="FootnoteReference"/>
          <w:rFonts w:ascii="Times New Roman" w:hAnsi="Times New Roman"/>
          <w:sz w:val="24"/>
        </w:rPr>
        <w:footnoteReference w:id="37"/>
      </w:r>
      <w:r w:rsidRPr="00515D07">
        <w:rPr>
          <w:rFonts w:ascii="Times New Roman" w:hAnsi="Times New Roman"/>
        </w:rPr>
        <w:t xml:space="preserve"> The net amount may be increased by </w:t>
      </w:r>
      <w:r w:rsidRPr="00515D07">
        <w:rPr>
          <w:rFonts w:ascii="Times New Roman" w:hAnsi="Times New Roman"/>
        </w:rPr>
        <w:lastRenderedPageBreak/>
        <w:t>any "increasing luxury car tax adjustments" or decreased by any "decreasing luxury car tax adjustments".</w:t>
      </w:r>
      <w:r w:rsidRPr="00515D07">
        <w:rPr>
          <w:rStyle w:val="FootnoteReference"/>
          <w:rFonts w:ascii="Times New Roman" w:hAnsi="Times New Roman"/>
          <w:sz w:val="24"/>
        </w:rPr>
        <w:footnoteReference w:id="38"/>
      </w:r>
    </w:p>
    <w:p w14:paraId="554F1FDB"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Division 15 of Pt 3 of the LCT Act deals with these adjustments. Section 15-1 explains what this Division is "about" in the following terms:</w:t>
      </w:r>
    </w:p>
    <w:p w14:paraId="5785EE2C"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"Circumstances that occur after the supply or importation of a car may mean that too much or too little luxury car tax was imposed. Accordingly, adjustments are made to increase or decrease the net amount. Adjustments can be made by the supplier, the recipient or the importer, depending upon the circumstances."</w:t>
      </w:r>
    </w:p>
    <w:p w14:paraId="480EF11D"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Section 15-30(3) of the LCT Act sets out when a person has an "increasing luxury car tax adjustment". It provides:</w:t>
      </w:r>
    </w:p>
    <w:p w14:paraId="0044CB4B" w14:textId="77777777" w:rsidR="00522C99" w:rsidRPr="00515D07"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"You have an increasing luxury car tax adjustment if:</w:t>
      </w:r>
    </w:p>
    <w:p w14:paraId="6A37A2FB" w14:textId="77777777" w:rsidR="00522C99" w:rsidRPr="00515D07" w:rsidRDefault="00522C99" w:rsidP="00515D07">
      <w:pPr>
        <w:pStyle w:val="leftright"/>
        <w:spacing w:before="0" w:after="260" w:line="280" w:lineRule="exact"/>
        <w:ind w:right="0"/>
        <w:jc w:val="both"/>
        <w:rPr>
          <w:rFonts w:ascii="Times New Roman" w:hAnsi="Times New Roman"/>
        </w:rPr>
      </w:pPr>
      <w:r w:rsidRPr="00515D07">
        <w:rPr>
          <w:rFonts w:ascii="Times New Roman" w:hAnsi="Times New Roman"/>
        </w:rPr>
        <w:t>(a)</w:t>
      </w:r>
      <w:r w:rsidRPr="00515D07">
        <w:rPr>
          <w:rFonts w:ascii="Times New Roman" w:hAnsi="Times New Roman"/>
        </w:rPr>
        <w:tab/>
        <w:t>you were supplied with a *luxury car; and</w:t>
      </w:r>
    </w:p>
    <w:p w14:paraId="737473DD" w14:textId="77777777" w:rsidR="00522C99" w:rsidRPr="00515D07" w:rsidRDefault="00522C99" w:rsidP="00515D07">
      <w:pPr>
        <w:pStyle w:val="leftright"/>
        <w:spacing w:before="0" w:after="260" w:line="280" w:lineRule="exact"/>
        <w:ind w:right="0"/>
        <w:jc w:val="both"/>
        <w:rPr>
          <w:rFonts w:ascii="Times New Roman" w:hAnsi="Times New Roman"/>
        </w:rPr>
      </w:pPr>
      <w:r w:rsidRPr="00515D07">
        <w:rPr>
          <w:rFonts w:ascii="Times New Roman" w:hAnsi="Times New Roman"/>
        </w:rPr>
        <w:t>(b)</w:t>
      </w:r>
      <w:r w:rsidRPr="00515D07">
        <w:rPr>
          <w:rFonts w:ascii="Times New Roman" w:hAnsi="Times New Roman"/>
        </w:rPr>
        <w:tab/>
        <w:t>either:</w:t>
      </w:r>
    </w:p>
    <w:p w14:paraId="558DD71A" w14:textId="77777777" w:rsidR="00522C99" w:rsidRPr="00515D07" w:rsidRDefault="00522C99" w:rsidP="00515D07">
      <w:pPr>
        <w:pStyle w:val="leftright"/>
        <w:spacing w:before="0" w:after="260" w:line="280" w:lineRule="exact"/>
        <w:ind w:left="2160" w:right="0" w:hanging="720"/>
        <w:jc w:val="both"/>
        <w:rPr>
          <w:rFonts w:ascii="Times New Roman" w:hAnsi="Times New Roman"/>
        </w:rPr>
      </w:pPr>
      <w:r w:rsidRPr="00515D07">
        <w:rPr>
          <w:rFonts w:ascii="Times New Roman" w:hAnsi="Times New Roman"/>
        </w:rPr>
        <w:t>(i)</w:t>
      </w:r>
      <w:r w:rsidRPr="00515D07">
        <w:rPr>
          <w:rFonts w:ascii="Times New Roman" w:hAnsi="Times New Roman"/>
        </w:rPr>
        <w:tab/>
        <w:t>no luxury car tax was payable on the supply because you *quoted for the supply; or</w:t>
      </w:r>
    </w:p>
    <w:p w14:paraId="3D81D6FD" w14:textId="77777777" w:rsidR="00522C99" w:rsidRPr="00515D07" w:rsidRDefault="00522C99" w:rsidP="00515D07">
      <w:pPr>
        <w:pStyle w:val="leftright"/>
        <w:spacing w:before="0" w:after="260" w:line="280" w:lineRule="exact"/>
        <w:ind w:left="2160" w:right="0" w:hanging="720"/>
        <w:jc w:val="both"/>
        <w:rPr>
          <w:rFonts w:ascii="Times New Roman" w:hAnsi="Times New Roman"/>
        </w:rPr>
      </w:pPr>
      <w:r w:rsidRPr="00515D07">
        <w:rPr>
          <w:rFonts w:ascii="Times New Roman" w:hAnsi="Times New Roman"/>
        </w:rPr>
        <w:t>(ii)</w:t>
      </w:r>
      <w:r w:rsidRPr="00515D07">
        <w:rPr>
          <w:rFonts w:ascii="Times New Roman" w:hAnsi="Times New Roman"/>
        </w:rPr>
        <w:tab/>
        <w:t>you had a decreasing luxury car tax adjustment under subsection (1); and</w:t>
      </w:r>
    </w:p>
    <w:p w14:paraId="392179E2" w14:textId="77777777" w:rsidR="00522C99" w:rsidRDefault="00522C99" w:rsidP="00515D07">
      <w:pPr>
        <w:pStyle w:val="leftright"/>
        <w:spacing w:before="0" w:after="260" w:line="280" w:lineRule="exact"/>
        <w:ind w:left="1440" w:right="0" w:hanging="720"/>
        <w:jc w:val="both"/>
        <w:rPr>
          <w:rFonts w:ascii="Times New Roman" w:hAnsi="Times New Roman"/>
        </w:rPr>
      </w:pPr>
      <w:r w:rsidRPr="00515D07">
        <w:rPr>
          <w:rFonts w:ascii="Times New Roman" w:hAnsi="Times New Roman"/>
        </w:rPr>
        <w:t>(c)</w:t>
      </w:r>
      <w:r w:rsidRPr="00515D07">
        <w:rPr>
          <w:rFonts w:ascii="Times New Roman" w:hAnsi="Times New Roman"/>
        </w:rPr>
        <w:tab/>
        <w:t>you use the car for a purpose other than a *quotable purpose."</w:t>
      </w:r>
    </w:p>
    <w:p w14:paraId="544DA200"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phrase "quotable purpose" is defined in s 27-1 of the LCT Act to mean "a use of a *car for which you may *quote under section 9-5". The amount of the adjustment is relevantly the amount of luxury car tax that the supplier of the car would have had to pay if the taxpayer had not quoted for the supply.</w:t>
      </w:r>
      <w:r w:rsidRPr="00515D07">
        <w:rPr>
          <w:rStyle w:val="FootnoteReference"/>
          <w:rFonts w:ascii="Times New Roman" w:hAnsi="Times New Roman"/>
          <w:sz w:val="24"/>
        </w:rPr>
        <w:footnoteReference w:id="39"/>
      </w:r>
      <w:r w:rsidRPr="00515D07">
        <w:rPr>
          <w:rFonts w:ascii="Times New Roman" w:hAnsi="Times New Roman"/>
        </w:rPr>
        <w:t xml:space="preserve"> There is an equivalent to s 15-30(3) for cases where a car is imported.</w:t>
      </w:r>
      <w:r w:rsidRPr="00515D07">
        <w:rPr>
          <w:rStyle w:val="FootnoteReference"/>
          <w:rFonts w:ascii="Times New Roman" w:hAnsi="Times New Roman"/>
          <w:sz w:val="24"/>
        </w:rPr>
        <w:footnoteReference w:id="40"/>
      </w:r>
    </w:p>
    <w:p w14:paraId="414CBE1B"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 language of s 15-30(3) is consistent with the occurrence of some event or circumstance which takes place after the supply of a car in respect of which the taxpayer had previously quoted. That is consistent with the reference in s 15-1 to </w:t>
      </w:r>
      <w:r w:rsidRPr="00515D07">
        <w:rPr>
          <w:rFonts w:ascii="Times New Roman" w:hAnsi="Times New Roman"/>
        </w:rPr>
        <w:lastRenderedPageBreak/>
        <w:t>circumstances that occur "after the supply" and the language in s 15-30(3)(a) "you were supplied".</w:t>
      </w:r>
    </w:p>
    <w:p w14:paraId="3825DF0F" w14:textId="77777777" w:rsidR="00522C99" w:rsidRPr="00515D07" w:rsidRDefault="00522C99" w:rsidP="00515D07">
      <w:pPr>
        <w:pStyle w:val="HeadingL2"/>
        <w:spacing w:after="260" w:line="280" w:lineRule="exact"/>
        <w:ind w:right="0"/>
        <w:jc w:val="both"/>
        <w:rPr>
          <w:rFonts w:ascii="Times New Roman" w:hAnsi="Times New Roman"/>
        </w:rPr>
      </w:pPr>
      <w:r w:rsidRPr="00515D07">
        <w:rPr>
          <w:rFonts w:ascii="Times New Roman" w:hAnsi="Times New Roman"/>
        </w:rPr>
        <w:t xml:space="preserve">The imposition of GST </w:t>
      </w:r>
    </w:p>
    <w:p w14:paraId="1FEB26B5"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parties agreed that the appellant's GST liability turns upon whether the appellant was entitled to quote its ABN for the purposes of the LCT Act.</w:t>
      </w:r>
      <w:r w:rsidRPr="00515D07">
        <w:rPr>
          <w:rStyle w:val="FootnoteReference"/>
          <w:rFonts w:ascii="Times New Roman" w:hAnsi="Times New Roman"/>
          <w:sz w:val="24"/>
        </w:rPr>
        <w:footnoteReference w:id="41"/>
      </w:r>
      <w:r w:rsidRPr="00515D07">
        <w:rPr>
          <w:rFonts w:ascii="Times New Roman" w:hAnsi="Times New Roman"/>
        </w:rPr>
        <w:t xml:space="preserve"> </w:t>
      </w:r>
    </w:p>
    <w:p w14:paraId="1B38A295"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t xml:space="preserve">The evidence and the facts found </w:t>
      </w:r>
    </w:p>
    <w:p w14:paraId="66C1E3C7"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Most of the facts were not in dispute in this Court. They were efficiently distilled below by the majority of the Full Court of the Federal Court of Australia. Mr Denny controlled the appellant. He had previously operated around 40 car dealerships in Europe, selling mostly used cars, and for that purpose had deployed a range of marketing activities, such as cafe lounges, cinemas and golf-practice driving ranges at dealerships.</w:t>
      </w:r>
    </w:p>
    <w:p w14:paraId="374C253B"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In 2013 Mr Denny discovered a novel way of selling cars at a hotel in Las Vegas. A dealership was using a section of the hotel to display a collection of classic cars. Even though all of the cars were for sale, the section was referred to as a "museum" and the vehicles were arranged to highlight their changing look over time. This is what Mr Denny said in his evidence:</w:t>
      </w:r>
    </w:p>
    <w:p w14:paraId="7F3D1D66"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"I ... decided ... that I would adopt a similar model to selling vehicles to that which l had earlier seen in Las Vegas – to present the vehicles for sale in what would be called a 'museum' to differentiate my new dealership from the rest of the market and achieve premium prices for the vehicles for sale. I also thought using the term 'museum' in the proposed business name would pique interest in the dealership both in Australia and, as importantly, overseas."</w:t>
      </w:r>
    </w:p>
    <w:p w14:paraId="669DD181"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Mr Denny formed the view, rightly or wrongly, that:</w:t>
      </w:r>
      <w:r w:rsidRPr="00515D07">
        <w:rPr>
          <w:rStyle w:val="FootnoteReference"/>
          <w:rFonts w:ascii="Times New Roman" w:hAnsi="Times New Roman"/>
          <w:sz w:val="24"/>
        </w:rPr>
        <w:footnoteReference w:id="42"/>
      </w:r>
    </w:p>
    <w:p w14:paraId="4F7B4104" w14:textId="77777777" w:rsidR="00522C99" w:rsidRDefault="00522C99" w:rsidP="00515D07">
      <w:pPr>
        <w:pStyle w:val="LeftrightafterHC"/>
        <w:spacing w:before="0" w:after="260" w:line="280" w:lineRule="exact"/>
        <w:ind w:right="0"/>
        <w:jc w:val="both"/>
        <w:rPr>
          <w:rFonts w:ascii="Times New Roman" w:hAnsi="Times New Roman"/>
          <w:b/>
          <w:bCs/>
        </w:rPr>
      </w:pPr>
      <w:r w:rsidRPr="00515D07">
        <w:rPr>
          <w:rFonts w:ascii="Times New Roman" w:hAnsi="Times New Roman"/>
        </w:rPr>
        <w:t xml:space="preserve">"[A]ny potential purchaser looking at these vehicles, placed within premises containing a number of other distinguished vehicles, would be more likely to be immediately impressed with the vehicle and more willing to buy at a higher price." </w:t>
      </w:r>
    </w:p>
    <w:p w14:paraId="467A19A8"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lastRenderedPageBreak/>
        <w:tab/>
        <w:t>Mr Denny considered that holding vehicles for display in a museum would help distinguish his dealership from competitors and assist in achieving premium prices from collectors and consumers both here and overseas of high-end classic and luxury cars which he intended to sell. This was called the "museum concept". As the primary judge observed:</w:t>
      </w:r>
      <w:r w:rsidRPr="00515D07">
        <w:rPr>
          <w:rStyle w:val="FootnoteReference"/>
          <w:rFonts w:ascii="Times New Roman" w:hAnsi="Times New Roman"/>
          <w:sz w:val="24"/>
        </w:rPr>
        <w:footnoteReference w:id="43"/>
      </w:r>
    </w:p>
    <w:p w14:paraId="55372EC0"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"Mr Denny made clear, as is obvious in any event from the objective facts, that he wanted to profit from the sale of cars and considered that the 'museum concept' would be the best way to achieve that objective."</w:t>
      </w:r>
    </w:p>
    <w:p w14:paraId="41096B18"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museum opened in Gosford, New South Wales in 2016. Until its closure in 2019, the appellant, which held a licence to sell motor vehicles, sold over 800 cars with gross sales income amounting to $114 million. It was accepted that all of the 40 cars were the appellant's trading stock; they were all for sale.</w:t>
      </w:r>
      <w:r w:rsidRPr="00515D07">
        <w:rPr>
          <w:rStyle w:val="FootnoteReference"/>
          <w:rFonts w:ascii="Times New Roman" w:hAnsi="Times New Roman"/>
          <w:sz w:val="24"/>
        </w:rPr>
        <w:footnoteReference w:id="44"/>
      </w:r>
      <w:r w:rsidRPr="00515D07">
        <w:rPr>
          <w:rFonts w:ascii="Times New Roman" w:hAnsi="Times New Roman"/>
        </w:rPr>
        <w:t xml:space="preserve"> None of the 40 cars were on permanent display. The appellant operated trading stock software to record the purchase and sale of vehicles and to manage invoices and stock levels. All vehicles had a stock number. A spread sheet entitled "Sold Stock Report" listed all of the cars sold. They included exotic cars such as a Ferrari Testarossa and a Mustang Shelby. Sales prices varied greatly. One car, an Aston Martin DB5, sold for $1,550,000; in contrast, an AWZ P70 sold for only $1,150. The appellant made profits and losses. In the first full financial year of operation its net revenue from car sales was $4.39 million. It had a sales office at the premises. It also sold cars online.</w:t>
      </w:r>
    </w:p>
    <w:p w14:paraId="215E4E6A"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evidence revealed that this business unquestionably took place within a car museum in accordance with Mr Denny's intentions. The display of the cars took place within all of the expected attributes of a museum housing rare and luxury vehicles. Photos contained within the reasons of the primary judge amply bear this out. They show signage on the front of the building that bears the name "Gosford Classic Car Museum". They show that inside the building, cars are lined up behind ropes; there is a gift shop; there is a ticket shop; there is a diner; there are tables and chairs to eat at; and there is a queue to get in.</w:t>
      </w:r>
    </w:p>
    <w:p w14:paraId="39F2F20E"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 appellant marketed the museum as a tourist attraction through its website and in social media; it was said to be a desirable "day out" from Sydney. The website proclaimed that it was not just a museum: "we're a car lovers dream". It attracted 13,000 visitors in its first month, and thereafter about 2,500 per week; in about its first year it attracted 100,000 visitors. No doubt most of these were </w:t>
      </w:r>
      <w:r w:rsidRPr="00515D07">
        <w:rPr>
          <w:rFonts w:ascii="Times New Roman" w:hAnsi="Times New Roman"/>
        </w:rPr>
        <w:lastRenderedPageBreak/>
        <w:t>attending the premises as museum visitors and not as car buyers. In comparison, the premises received only 10 to 15 car sales inquiries per week. The venue could be used for functions and weddings. At first, the website did not state that cars were for sale nor was there at that time prominent signage in the museum stating that cars were for sale, although Mr Denny gave evidence, accepted below, that this was all part of his "marketing strategy". Over 30 employees and 10 volunteers worked at the museum. They were available to discuss the cars. Some of these were devoted to marketing the premises as a museum. In contrast, only about five sales staff would be at the premises. In 2017, a monthly newsletter describing events and cars began to be published.</w:t>
      </w:r>
    </w:p>
    <w:p w14:paraId="383CC9BE"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 appellant made arguably contradictory statements about the sale of cars on the premises. In 2016, for example, the website said that only excess stock was for sale. A Statement of Environmental Effects prepared on behalf of the appellant in 2017 said that only "most" of the cars were for sale. Not all cars displayed the "Form 5" notice required by law for the sale of second-hand cars; or if they did, they were not visible or not easily visible. However, Mr Denny's evidence was that 98% of the cars were for sale and the reason that the other 2% were not for sale was that some cars had already been sold but "nearly every car we sold would stay with us for two to four weeks before we were paid in full". Indeed, a business plan in January 2016, prepared by Fortunity Group Pty Ltd for the appellant, explained that all cars in the premises would be for sale. After the Commissioner indicated an interest in the business, signage making it clear that cars were for sale became more prominent. In the accounts for the 2016 year, but prepared in 2020, the "principal activities" of the appellant were described as the "Retail Sale of Vehicles". </w:t>
      </w:r>
    </w:p>
    <w:p w14:paraId="0F1462E1"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foregoing evidence about the use of the premises, and the extent of cars sold at the premises, thus tended to support Mr Denny's evidence that his sole reason for employing the museum concept was as a means to achieve his ultimate object or end of selling cars. Indeed, five further matters reinforced Mr Denny's evidence that this was the sole reason for the use of the museum concept.</w:t>
      </w:r>
    </w:p>
    <w:p w14:paraId="1C2217F3"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First, it was accepted that, at the premises, all of the 40 cars the subject of this appeal were for sale; they were trading stock. There was also no suggestion that any of the "classic motor vehicles" were unavailable for sale. To the contrary, classic car auctions were run from the premises. Therefore, it did not detract from Mr Denny's evidence about his purpose whether or not there were some cars that remained on the premises for a period after they had been sold and during which time they were used only as displays to attract customers. </w:t>
      </w:r>
    </w:p>
    <w:p w14:paraId="62FD8052"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Secondly, making the premises appear as much as possible to be a museum and not an ordinary car dealership was precisely Mr Denny</w:t>
      </w:r>
      <w:r>
        <w:rPr>
          <w:rFonts w:ascii="Times New Roman" w:hAnsi="Times New Roman"/>
        </w:rPr>
        <w:t>'</w:t>
      </w:r>
      <w:r w:rsidRPr="00515D07">
        <w:rPr>
          <w:rFonts w:ascii="Times New Roman" w:hAnsi="Times New Roman"/>
        </w:rPr>
        <w:t xml:space="preserve">s intended way of advancing Mr Denny's method of selling cars. The more spectacular the premises </w:t>
      </w:r>
      <w:r w:rsidRPr="00515D07">
        <w:rPr>
          <w:rFonts w:ascii="Times New Roman" w:hAnsi="Times New Roman"/>
        </w:rPr>
        <w:lastRenderedPageBreak/>
        <w:t>appeared, and the less that it appeared like an ordinary car dealership, the more people would be attracted to the premises, the more publicity that the premises would receive, and the more cars would be sold:</w:t>
      </w:r>
      <w:r w:rsidRPr="00515D07">
        <w:rPr>
          <w:rStyle w:val="FootnoteReference"/>
          <w:rFonts w:ascii="Times New Roman" w:hAnsi="Times New Roman"/>
          <w:sz w:val="24"/>
        </w:rPr>
        <w:footnoteReference w:id="45"/>
      </w:r>
    </w:p>
    <w:p w14:paraId="3230A8B9"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"The absence of ... signage at that time was consistent with Mr Denny's desire to create an impression that the Museum was not a car saleyard."</w:t>
      </w:r>
    </w:p>
    <w:p w14:paraId="0FC5A05F"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Thirdly, this is not a case about distinctly different uses of the same property; nor is it a case of clashing or inconsistent uses. The display of cars in a museum was precisely the appellant's means of selling those cars:</w:t>
      </w:r>
      <w:r w:rsidRPr="00515D07">
        <w:rPr>
          <w:rStyle w:val="FootnoteReference"/>
          <w:rFonts w:ascii="Times New Roman" w:hAnsi="Times New Roman"/>
          <w:sz w:val="24"/>
        </w:rPr>
        <w:footnoteReference w:id="46"/>
      </w:r>
    </w:p>
    <w:p w14:paraId="2BA603DA" w14:textId="77777777" w:rsidR="00522C99" w:rsidRDefault="00522C99" w:rsidP="00515D07">
      <w:pPr>
        <w:pStyle w:val="LRIndentafterHC"/>
        <w:spacing w:before="0" w:after="260" w:line="280" w:lineRule="exact"/>
        <w:ind w:right="0"/>
        <w:jc w:val="both"/>
        <w:rPr>
          <w:rFonts w:ascii="Times New Roman" w:hAnsi="Times New Roman"/>
        </w:rPr>
      </w:pPr>
      <w:r w:rsidRPr="00515D07">
        <w:rPr>
          <w:rFonts w:ascii="Times New Roman" w:hAnsi="Times New Roman"/>
        </w:rPr>
        <w:t>"Mr Denny's oral evidence was that, by increasing visiting rates, he increased sales because '[w]ithout visitors, you don't have sales' but, to avoid being a 'typical used car dealer', he refrained from describing the Museum as 'a showroom with cars for sale'. The Museum was 'about making money ... It's all about moving the metal, selling the cars'."</w:t>
      </w:r>
    </w:p>
    <w:p w14:paraId="1AEE8389"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Fourthly, to the extent that the museum might be treated as a separate business, there was evidence that the museum made a loss. The evidence comprised a "marked up notation" prepared by an in-house bookkeeper in response to a draft Australian Taxation Office document. It recorded that in the nine months to 31 March 2017 income from the museum was less than associated overheads and operational expenses. The document was tendered by the Commissioner into evidence, but he disputed its correctness. If it was inaccurate, however, it was for the Commissioner to demonstrate this, even though the onus was otherwise generally on the appellant to demonstrate that the assessments issued to it were excessive or otherwise incorrect.</w:t>
      </w:r>
      <w:r w:rsidRPr="00515D07">
        <w:rPr>
          <w:rStyle w:val="FootnoteReference"/>
          <w:rFonts w:ascii="Times New Roman" w:hAnsi="Times New Roman"/>
          <w:sz w:val="24"/>
        </w:rPr>
        <w:footnoteReference w:id="47"/>
      </w:r>
      <w:r w:rsidRPr="00515D07">
        <w:rPr>
          <w:rFonts w:ascii="Times New Roman" w:hAnsi="Times New Roman"/>
        </w:rPr>
        <w:t xml:space="preserve"> At the very least, the document is uncontradicted evidence that the museum made a loss for the nine months to 31 March 2017.</w:t>
      </w:r>
    </w:p>
    <w:p w14:paraId="4B38E13B"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Fifthly, the revenue from the museum was, and remained, only a tiny fraction of the revenue from the sale of the cars. As senior counsel for the appellant observed, if we assume that the gross revenue in the first year from museum admission fees of $1.32 million had been maintained over four years (amounting </w:t>
      </w:r>
      <w:r w:rsidRPr="00515D07">
        <w:rPr>
          <w:rFonts w:ascii="Times New Roman" w:hAnsi="Times New Roman"/>
        </w:rPr>
        <w:lastRenderedPageBreak/>
        <w:t xml:space="preserve">to a total of $5.28 million), this sum was negligible when compared to the gross revenue of $114 million from the sale of cars. </w:t>
      </w:r>
    </w:p>
    <w:p w14:paraId="602572B1"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In light of these five matters it is unsurprising that the unchallenged finding of the primary judge was:</w:t>
      </w:r>
      <w:r w:rsidRPr="00515D07">
        <w:rPr>
          <w:rStyle w:val="FootnoteReference"/>
          <w:rFonts w:ascii="Times New Roman" w:hAnsi="Times New Roman"/>
          <w:sz w:val="24"/>
        </w:rPr>
        <w:footnoteReference w:id="48"/>
      </w:r>
    </w:p>
    <w:p w14:paraId="17ADDD79"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"Mr Denny ... wanted to profit from the sale of cars and considered that the 'museum concept' would be the best way to achieve that objective."</w:t>
      </w:r>
    </w:p>
    <w:p w14:paraId="04163763"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There was only one aspect of Mr Denny's evidence which the primary judge rejected. It concerned the reason for increasing fees for admission to the appellant's museum. Adults were charged $20 each, which was increased from an initial $16 charge. Mr Denny gave evidence that the appellant increased the fees to discourage "tyre kickers" from visiting and to encourage more affluent people to attend who might be more likely to buy a car. The primary judge rejected this explanation, concluding, in effect, that the admission fees were charged, and were increased, in order to raise income to support this means of selling cars.</w:t>
      </w:r>
      <w:r w:rsidRPr="00515D07">
        <w:rPr>
          <w:rStyle w:val="FootnoteReference"/>
          <w:rFonts w:ascii="Times New Roman" w:hAnsi="Times New Roman"/>
          <w:sz w:val="24"/>
        </w:rPr>
        <w:footnoteReference w:id="49"/>
      </w:r>
      <w:r w:rsidRPr="00515D07">
        <w:rPr>
          <w:rFonts w:ascii="Times New Roman" w:hAnsi="Times New Roman"/>
        </w:rPr>
        <w:t xml:space="preserve"> The fees certainly generated income: $1.32 million in the first full financial year. But the fees generated in the years which followed are unknown because, perhaps consistently with the appellant's intended use of the cars, the appellant did not at the time separately account for the income and expenses of the museum.</w:t>
      </w:r>
    </w:p>
    <w:p w14:paraId="63578EEE"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rejection by the primary judge of Mr Denny's evidence about the reason for increasing fees to the museum did not in any way undermine the primary judge's finding that the museum concept was chosen by Mr Denny only as the way for the appellant to achieve its objective of selling cars. This finding was unchallenged in the Full Court. The effect of this unchallenged finding of the primary judge was that, as Logan J observed in the Full Court:</w:t>
      </w:r>
      <w:r w:rsidRPr="00515D07">
        <w:rPr>
          <w:rStyle w:val="FootnoteReference"/>
          <w:rFonts w:ascii="Times New Roman" w:hAnsi="Times New Roman"/>
          <w:sz w:val="24"/>
        </w:rPr>
        <w:footnoteReference w:id="50"/>
      </w:r>
    </w:p>
    <w:p w14:paraId="3113229E" w14:textId="77777777" w:rsidR="00522C99" w:rsidRPr="00515D07" w:rsidRDefault="00522C99" w:rsidP="00515D07">
      <w:pPr>
        <w:pStyle w:val="NormalBody"/>
        <w:spacing w:after="260" w:line="280" w:lineRule="exact"/>
        <w:ind w:left="720" w:right="0" w:hanging="720"/>
        <w:jc w:val="both"/>
        <w:rPr>
          <w:rFonts w:ascii="Times New Roman" w:hAnsi="Times New Roman"/>
        </w:rPr>
      </w:pPr>
      <w:r w:rsidRPr="00515D07">
        <w:rPr>
          <w:rFonts w:ascii="Times New Roman" w:hAnsi="Times New Roman"/>
        </w:rPr>
        <w:t>(a)</w:t>
      </w:r>
      <w:r w:rsidRPr="00515D07">
        <w:rPr>
          <w:rFonts w:ascii="Times New Roman" w:hAnsi="Times New Roman"/>
        </w:rPr>
        <w:tab/>
        <w:t>Mr Denny, and thus the appellant, "intended to trade cars through the 'Gosford Classic Car Museum'"; and</w:t>
      </w:r>
    </w:p>
    <w:p w14:paraId="4623DF4A" w14:textId="77777777" w:rsidR="00522C99" w:rsidRPr="00515D07" w:rsidRDefault="00522C99" w:rsidP="00515D07">
      <w:pPr>
        <w:pStyle w:val="NormalBody"/>
        <w:spacing w:after="260" w:line="280" w:lineRule="exact"/>
        <w:ind w:left="720" w:right="0" w:hanging="720"/>
        <w:jc w:val="both"/>
        <w:rPr>
          <w:rFonts w:ascii="Times New Roman" w:hAnsi="Times New Roman"/>
        </w:rPr>
      </w:pPr>
      <w:r w:rsidRPr="00515D07">
        <w:rPr>
          <w:rFonts w:ascii="Times New Roman" w:hAnsi="Times New Roman"/>
        </w:rPr>
        <w:t>(b)</w:t>
      </w:r>
      <w:r w:rsidRPr="00515D07">
        <w:rPr>
          <w:rFonts w:ascii="Times New Roman" w:hAnsi="Times New Roman"/>
        </w:rPr>
        <w:tab/>
        <w:t>"they considered that the museum would assist in maximising the number of sales and the sale price".</w:t>
      </w:r>
    </w:p>
    <w:p w14:paraId="6939F631"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lastRenderedPageBreak/>
        <w:tab/>
        <w:t>No doubt if the museum activity had generated significant profits, or profits larger than that of selling cars, it might have been more difficult to accept as true or accurate that Mr Denny's reason for the museum concept was solely to sell cars. If profits had been made from the museum then that fact might have been forensically deployed to invite the primary judge not to believe Mr Denny's evidence and to conclude that the museum was an endeavour in its own right, not merely a clever marketing ploy to sell cars. The larger the profits the more forensic potency such an argument might have had. But the fact is that, for the purposes of this appeal, Mr Denny's evidence was accepted, save for the explanation given about increasing fees for entry into the museum.</w:t>
      </w:r>
    </w:p>
    <w:p w14:paraId="6FA6AD9C"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 uncontradicted evidence is that following the decision of the United Kingdom of Great Britain and Northern Ireland to leave the European Union, prices for classic and luxury cars began to decline in that prominent market. This affected the global market, making it more difficult for the appellant to find buyers for his cars at the right price. Following the Commissioner's decision to assess the appellant, the appellant decided in 2019 to close down the Gosford showroom and museum. There was no suggestion that continuation of the "museum concept" as an independent venture was even considered. The obvious inference is that, in the absence of a business of selling cars, the appellant no longer had any use for a museum. This provides still further support for the uncontradicted finding of the primary judge that the purpose or object of the appellant was to sell cars; the museum was only a means of achieving that purpose. </w:t>
      </w:r>
    </w:p>
    <w:p w14:paraId="685F2484"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t>The Commissioner's case and the reasoning of the primary judge</w:t>
      </w:r>
    </w:p>
    <w:p w14:paraId="2508DD0E"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Commissioner contended that in respect of all 40 cars there was an "increasing luxury car tax adjustment" within s 15</w:t>
      </w:r>
      <w:r w:rsidRPr="00515D07">
        <w:rPr>
          <w:rFonts w:ascii="Times New Roman" w:hAnsi="Times New Roman"/>
        </w:rPr>
        <w:noBreakHyphen/>
        <w:t>30(3). The Commissioner accepted that for most of the 40 cars, acquired after the appellant had commenced its car museum, nothing of relevance to the imposition of LCT changed from the time of their acquisition until their eventual sale. For a minority of the cars, according to the Commissioner, there was a relevant change in circumstances; these had been acquired before the appellant had commenced its car museum.</w:t>
      </w:r>
    </w:p>
    <w:p w14:paraId="60153AA6"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basis for the Commissioner's contentions was that a car dealer is only entitled to quote its ABN, with the result that no LCT is payable on acquisition of a car by the dealer, if its sole purpose, relevantly here, is to hold the cars as trading stock and that remains its sole purpose. Here, the Commissioner argued, the appellant was not entitled to quote in relation to the 40 cars because, whilst they were held as trading stock, they were always going to be used, or came to be used, for the purpose of being displays in a museum. The Commissioner submitted that the purpose of using the cars in a museum was not an additional purpose that was a "quotable purpose".</w:t>
      </w:r>
    </w:p>
    <w:p w14:paraId="2977E6F8"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lastRenderedPageBreak/>
        <w:tab/>
        <w:t>The appellant advanced two contentions before the primary judge. The first was that the museum was no more than a unique and inventive means of selling stock, and that the cars were held solely as trading stock. The second was that the word "other" in the phrase "for no other purpose" in s 9-5(1) of LCT Act should be construed as meaning "alternative" rather than "additional". It was submitted that using the cars in the museum was an additional, and not an alternative, purpose.</w:t>
      </w:r>
    </w:p>
    <w:p w14:paraId="77E48AD0"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Both of the appellant's contentions were rejected by the primary judge. As to the first, the primary judge held that the purpose of an activity is the end that is sought to be accomplished by it, and not the reasons for engaging in that activity.</w:t>
      </w:r>
      <w:r w:rsidRPr="00515D07">
        <w:rPr>
          <w:rStyle w:val="FootnoteReference"/>
          <w:rFonts w:ascii="Times New Roman" w:hAnsi="Times New Roman"/>
          <w:sz w:val="24"/>
        </w:rPr>
        <w:footnoteReference w:id="51"/>
      </w:r>
      <w:r w:rsidRPr="00515D07">
        <w:rPr>
          <w:rFonts w:ascii="Times New Roman" w:hAnsi="Times New Roman"/>
        </w:rPr>
        <w:t xml:space="preserve"> The primary judge said that the characterisation of purpose was "an objective characterisation" and that the most reliable method of determining the end to be accomplished was to draw inferences from the objective facts, without excluding subjective evidence which might properly inform an assessment of purpose.</w:t>
      </w:r>
      <w:r w:rsidRPr="00515D07">
        <w:rPr>
          <w:rStyle w:val="FootnoteReference"/>
          <w:rFonts w:ascii="Times New Roman" w:hAnsi="Times New Roman"/>
          <w:sz w:val="24"/>
        </w:rPr>
        <w:footnoteReference w:id="52"/>
      </w:r>
      <w:r w:rsidRPr="00515D07">
        <w:rPr>
          <w:rFonts w:ascii="Times New Roman" w:hAnsi="Times New Roman"/>
        </w:rPr>
        <w:t xml:space="preserve"> The primary judge found that the 40 cars were being used for another purpose which his Honour did not specify, but which, inferentially, was the operation of a museum. Whilst accepting that the appellant's "primary commercial objective" was to sell cars, the primary judge concluded that the "museum component of the [appellant's] activities was substantial ... [It] gave rise to significant revenue."</w:t>
      </w:r>
      <w:r w:rsidRPr="00515D07">
        <w:rPr>
          <w:rStyle w:val="FootnoteReference"/>
          <w:rFonts w:ascii="Times New Roman" w:hAnsi="Times New Roman"/>
          <w:sz w:val="24"/>
        </w:rPr>
        <w:footnoteReference w:id="53"/>
      </w:r>
    </w:p>
    <w:p w14:paraId="15AE3BC9"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This "objective" approach to purpose that was taken by the primary judge informed his Honour's conclusion that "[c]ontrary to the submissions advanced on behalf of the [appellant], the museum was not </w:t>
      </w:r>
      <w:r w:rsidRPr="00515D07">
        <w:rPr>
          <w:rFonts w:ascii="Times New Roman" w:hAnsi="Times New Roman"/>
          <w:i/>
          <w:iCs/>
        </w:rPr>
        <w:t xml:space="preserve">solely </w:t>
      </w:r>
      <w:r w:rsidRPr="00515D07">
        <w:rPr>
          <w:rFonts w:ascii="Times New Roman" w:hAnsi="Times New Roman"/>
        </w:rPr>
        <w:t>an 'enterprising marketing strategy intended to increase the sale and price of the cars'".</w:t>
      </w:r>
      <w:r w:rsidRPr="00515D07">
        <w:rPr>
          <w:rStyle w:val="FootnoteReference"/>
          <w:rFonts w:ascii="Times New Roman" w:hAnsi="Times New Roman"/>
          <w:sz w:val="24"/>
        </w:rPr>
        <w:footnoteReference w:id="54"/>
      </w:r>
      <w:r w:rsidRPr="00515D07">
        <w:rPr>
          <w:rFonts w:ascii="Times New Roman" w:hAnsi="Times New Roman"/>
        </w:rPr>
        <w:t xml:space="preserve"> The conclusion concerning the objective characterisation that was reached by the primary judge was informed by the primary judge's reasoning that the admission fees charged for the museum were to raise income and not (as Mr Denny had said) merely a device to discourage "tyre kickers". But the raising of income from admission fees to the museum to offset some of its costs was also consistent with Mr Denny's evidence that the museum was, for him, only a means to an end or subsidiary. In reaching </w:t>
      </w:r>
      <w:r w:rsidRPr="00515D07">
        <w:rPr>
          <w:rFonts w:ascii="Times New Roman" w:hAnsi="Times New Roman"/>
        </w:rPr>
        <w:lastRenderedPageBreak/>
        <w:t>his conclusion as to the objective assessment of purpose, the primary judge was not making a finding (contrary to his Honour's later acceptance of Mr Denny's primary commercial purpose) that Mr Denny's uncontradicted evidence in this respect, strongly supported by the five matters described above, was untruthful or had not been genuinely held. The primary judge was, instead, placing little weight upon that evidence.</w:t>
      </w:r>
    </w:p>
    <w:p w14:paraId="583848FD"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As to the second contention, the primary judge found that the phrase "for no other purpose" and the word "other" were not ambiguous.</w:t>
      </w:r>
      <w:r w:rsidRPr="00515D07">
        <w:rPr>
          <w:rStyle w:val="FootnoteReference"/>
          <w:rFonts w:ascii="Times New Roman" w:hAnsi="Times New Roman"/>
          <w:sz w:val="24"/>
        </w:rPr>
        <w:footnoteReference w:id="55"/>
      </w:r>
      <w:r w:rsidRPr="00515D07">
        <w:rPr>
          <w:rFonts w:ascii="Times New Roman" w:hAnsi="Times New Roman"/>
        </w:rPr>
        <w:t xml:space="preserve"> The legislative scheme was clear. If there exists a second purpose for using a car, which is not a quotable purpose, then "the taxpayer cannot quote".</w:t>
      </w:r>
      <w:r w:rsidRPr="00515D07">
        <w:rPr>
          <w:rStyle w:val="FootnoteReference"/>
          <w:rFonts w:ascii="Times New Roman" w:hAnsi="Times New Roman"/>
          <w:sz w:val="24"/>
        </w:rPr>
        <w:footnoteReference w:id="56"/>
      </w:r>
      <w:r w:rsidRPr="00515D07">
        <w:rPr>
          <w:rFonts w:ascii="Times New Roman" w:hAnsi="Times New Roman"/>
        </w:rPr>
        <w:t xml:space="preserve"> In that respect, the primary judge accepted that one of the statutory objectives of the LCT Act was to ensure that LCT was levied at the "retail level".</w:t>
      </w:r>
      <w:r w:rsidRPr="00515D07">
        <w:rPr>
          <w:rStyle w:val="FootnoteReference"/>
          <w:rFonts w:ascii="Times New Roman" w:hAnsi="Times New Roman"/>
          <w:sz w:val="24"/>
        </w:rPr>
        <w:footnoteReference w:id="57"/>
      </w:r>
      <w:r w:rsidRPr="00515D07">
        <w:rPr>
          <w:rFonts w:ascii="Times New Roman" w:hAnsi="Times New Roman"/>
        </w:rPr>
        <w:t xml:space="preserve"> But that was not the only object. Another was to impose tax at an earlier point where a car is intended to be used for an additional purpose, which is not a quotable purpose, or is in fact so used after acquisition.</w:t>
      </w:r>
      <w:r w:rsidRPr="00515D07">
        <w:rPr>
          <w:rStyle w:val="FootnoteReference"/>
          <w:rFonts w:ascii="Times New Roman" w:hAnsi="Times New Roman"/>
          <w:sz w:val="24"/>
        </w:rPr>
        <w:footnoteReference w:id="58"/>
      </w:r>
      <w:r w:rsidRPr="00515D07">
        <w:rPr>
          <w:rFonts w:ascii="Times New Roman" w:hAnsi="Times New Roman"/>
        </w:rPr>
        <w:t xml:space="preserve"> It was thus unnecessary to "read down" the LCT Act so that it should conform to some assumed primacy of purpose.</w:t>
      </w:r>
      <w:r w:rsidRPr="00515D07">
        <w:rPr>
          <w:rStyle w:val="FootnoteReference"/>
          <w:rFonts w:ascii="Times New Roman" w:hAnsi="Times New Roman"/>
          <w:sz w:val="24"/>
        </w:rPr>
        <w:footnoteReference w:id="59"/>
      </w:r>
    </w:p>
    <w:p w14:paraId="0254E9E1"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t>The reasoning of the Full Court</w:t>
      </w:r>
    </w:p>
    <w:p w14:paraId="0E9D19A9"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 majority of the Full Court of the Federal Court upheld the judgment and reasoning of the primary judge. They first rejected the appellant's contention that the phrase "for no other purpose" meant no alternative purpose. In that respect, they observed that the LCT Act did not define a "retail" sale and that there was no </w:t>
      </w:r>
      <w:r w:rsidRPr="00515D07">
        <w:rPr>
          <w:rFonts w:ascii="Times New Roman" w:hAnsi="Times New Roman"/>
        </w:rPr>
        <w:lastRenderedPageBreak/>
        <w:t>basis for importing into s 9-5(1) the idea of taxing only such a sale.</w:t>
      </w:r>
      <w:r w:rsidRPr="00515D07">
        <w:rPr>
          <w:rStyle w:val="FootnoteReference"/>
          <w:rFonts w:ascii="Times New Roman" w:hAnsi="Times New Roman"/>
          <w:sz w:val="24"/>
        </w:rPr>
        <w:footnoteReference w:id="60"/>
      </w:r>
      <w:r w:rsidRPr="00515D07">
        <w:rPr>
          <w:rFonts w:ascii="Times New Roman" w:hAnsi="Times New Roman"/>
        </w:rPr>
        <w:t xml:space="preserve"> They also observed that s 9-5(1) did not distinguish between a dominant or main purpose and a subsidiary purpose.</w:t>
      </w:r>
      <w:r w:rsidRPr="00515D07">
        <w:rPr>
          <w:rStyle w:val="FootnoteReference"/>
          <w:rFonts w:ascii="Times New Roman" w:hAnsi="Times New Roman"/>
          <w:sz w:val="24"/>
        </w:rPr>
        <w:footnoteReference w:id="61"/>
      </w:r>
      <w:r w:rsidRPr="00515D07">
        <w:rPr>
          <w:rFonts w:ascii="Times New Roman" w:hAnsi="Times New Roman"/>
        </w:rPr>
        <w:t xml:space="preserve"> Thus, to be entitled to quote here required an intended and then actual use of cars solely as trading stock.</w:t>
      </w:r>
      <w:r w:rsidRPr="00515D07">
        <w:rPr>
          <w:rStyle w:val="FootnoteReference"/>
          <w:rFonts w:ascii="Times New Roman" w:hAnsi="Times New Roman"/>
          <w:sz w:val="24"/>
        </w:rPr>
        <w:footnoteReference w:id="62"/>
      </w:r>
    </w:p>
    <w:p w14:paraId="3BEE0F5C"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It followed that the majority were of the view that the question to be asked was: (i) whether the use of the cars as displays in the museum was a further or additional use for a purpose other than the use of the cars for the purpose of "holding the car[s] as trading stock"; or (ii) whether the use of the cars as displays in the museum was no more than part of the use of the cars for the purpose of "holding the car[s] as trading stock"</w:t>
      </w:r>
      <w:r>
        <w:rPr>
          <w:rFonts w:ascii="Times New Roman" w:hAnsi="Times New Roman"/>
        </w:rPr>
        <w:t>.</w:t>
      </w:r>
      <w:r w:rsidRPr="00515D07">
        <w:rPr>
          <w:rStyle w:val="FootnoteReference"/>
          <w:rFonts w:ascii="Times New Roman" w:hAnsi="Times New Roman"/>
          <w:sz w:val="24"/>
        </w:rPr>
        <w:footnoteReference w:id="63"/>
      </w:r>
      <w:r w:rsidRPr="00515D07">
        <w:rPr>
          <w:rFonts w:ascii="Times New Roman" w:hAnsi="Times New Roman"/>
        </w:rPr>
        <w:t xml:space="preserve"> The majority observed that this was an issue of fact and degree.</w:t>
      </w:r>
      <w:r w:rsidRPr="00515D07">
        <w:rPr>
          <w:rStyle w:val="FootnoteReference"/>
          <w:rFonts w:ascii="Times New Roman" w:hAnsi="Times New Roman"/>
          <w:sz w:val="24"/>
        </w:rPr>
        <w:footnoteReference w:id="64"/>
      </w:r>
    </w:p>
    <w:p w14:paraId="36D01849"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majority accepted that the deployment of a novel manner of displaying cars would not necessarily mean that they were being used for a purpose other than that of being held as trading stock.</w:t>
      </w:r>
      <w:r w:rsidRPr="00515D07">
        <w:rPr>
          <w:rStyle w:val="FootnoteReference"/>
          <w:rFonts w:ascii="Times New Roman" w:hAnsi="Times New Roman"/>
          <w:sz w:val="24"/>
        </w:rPr>
        <w:footnoteReference w:id="65"/>
      </w:r>
      <w:r w:rsidRPr="00515D07">
        <w:rPr>
          <w:rFonts w:ascii="Times New Roman" w:hAnsi="Times New Roman"/>
        </w:rPr>
        <w:t xml:space="preserve"> However, the majority considered that the novel method deployed achieved a commercial purpose "in and of itself by attracting as many visitors as possible".</w:t>
      </w:r>
      <w:r w:rsidRPr="00515D07">
        <w:rPr>
          <w:rStyle w:val="FootnoteReference"/>
          <w:rFonts w:ascii="Times New Roman" w:hAnsi="Times New Roman"/>
          <w:sz w:val="24"/>
        </w:rPr>
        <w:footnoteReference w:id="66"/>
      </w:r>
      <w:r w:rsidRPr="00515D07">
        <w:rPr>
          <w:rFonts w:ascii="Times New Roman" w:hAnsi="Times New Roman"/>
        </w:rPr>
        <w:t xml:space="preserve"> Mr Denny's evidence, that he wanted to "move the metal" and secure the best prices for those sales, was characterised as going to his motive in having the appellant display the cars, as distinct from the </w:t>
      </w:r>
      <w:r w:rsidRPr="00515D07">
        <w:rPr>
          <w:rFonts w:ascii="Times New Roman" w:hAnsi="Times New Roman"/>
        </w:rPr>
        <w:lastRenderedPageBreak/>
        <w:t>end sought to be accomplished, which was, according to the majority, "attract[ing] visitors to [see] the [museum] collection".</w:t>
      </w:r>
      <w:r w:rsidRPr="00515D07">
        <w:rPr>
          <w:rStyle w:val="FootnoteReference"/>
          <w:rFonts w:ascii="Times New Roman" w:hAnsi="Times New Roman"/>
          <w:sz w:val="24"/>
        </w:rPr>
        <w:footnoteReference w:id="67"/>
      </w:r>
      <w:r w:rsidRPr="00515D07">
        <w:rPr>
          <w:rFonts w:ascii="Times New Roman" w:hAnsi="Times New Roman"/>
        </w:rPr>
        <w:t xml:space="preserve"> Thus, the majority reasoned:</w:t>
      </w:r>
      <w:r w:rsidRPr="00515D07">
        <w:rPr>
          <w:rStyle w:val="FootnoteReference"/>
          <w:rFonts w:ascii="Times New Roman" w:hAnsi="Times New Roman"/>
          <w:sz w:val="24"/>
        </w:rPr>
        <w:footnoteReference w:id="68"/>
      </w:r>
    </w:p>
    <w:p w14:paraId="68407685"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 xml:space="preserve">"Whatever Mr Denny as the controlling mind of the appellant thought he was doing, or whatever character might be attributed to the use of the premises for local government purposes, and irrespective of whether the premises constituted a museum </w:t>
      </w:r>
      <w:r w:rsidRPr="00515D07">
        <w:rPr>
          <w:rFonts w:ascii="Times New Roman" w:hAnsi="Times New Roman"/>
          <w:i/>
          <w:iCs/>
        </w:rPr>
        <w:t>stricto sensu</w:t>
      </w:r>
      <w:r w:rsidRPr="00515D07">
        <w:rPr>
          <w:rFonts w:ascii="Times New Roman" w:hAnsi="Times New Roman"/>
        </w:rPr>
        <w:t>, the scale and nature of the appellant's activities resulted in each of the cars being held as more than trading stock."</w:t>
      </w:r>
    </w:p>
    <w:p w14:paraId="0C0FA988"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Logan J dissented. His Honour was of the view that it was incongruous for tax to be imposed before cars are sold at the retail level whilst they remained trading stock.</w:t>
      </w:r>
      <w:r w:rsidRPr="00515D07">
        <w:rPr>
          <w:rStyle w:val="FootnoteReference"/>
          <w:rFonts w:ascii="Times New Roman" w:hAnsi="Times New Roman"/>
          <w:sz w:val="24"/>
        </w:rPr>
        <w:footnoteReference w:id="69"/>
      </w:r>
      <w:r w:rsidRPr="00515D07">
        <w:rPr>
          <w:rFonts w:ascii="Times New Roman" w:hAnsi="Times New Roman"/>
        </w:rPr>
        <w:t xml:space="preserve"> Given that the LCT Act imposed a single stage tax, it was appropriate to exclude uses which are merely incidental or subservient to a continuing use of a car as trading stock and to exclude that which is merely a means to an end.</w:t>
      </w:r>
      <w:r w:rsidRPr="00515D07">
        <w:rPr>
          <w:rStyle w:val="FootnoteReference"/>
          <w:rFonts w:ascii="Times New Roman" w:hAnsi="Times New Roman"/>
          <w:sz w:val="24"/>
        </w:rPr>
        <w:footnoteReference w:id="70"/>
      </w:r>
      <w:r w:rsidRPr="00515D07">
        <w:rPr>
          <w:rFonts w:ascii="Times New Roman" w:hAnsi="Times New Roman"/>
        </w:rPr>
        <w:t xml:space="preserve"> Given the acceptance of Mr Denny's evidence as to how the museum was to be deployed to assist his business of selling cars, Logan J concluded that the museum was only ever a means of achieving that end. His Honour also concluded that the scale of the museum, and the appointment of staff as, for example, a "curator", were just aspects of the "museum concept".</w:t>
      </w:r>
      <w:r w:rsidRPr="00515D07">
        <w:rPr>
          <w:rStyle w:val="FootnoteReference"/>
          <w:rFonts w:ascii="Times New Roman" w:hAnsi="Times New Roman"/>
          <w:sz w:val="24"/>
        </w:rPr>
        <w:footnoteReference w:id="71"/>
      </w:r>
      <w:r w:rsidRPr="00515D07">
        <w:rPr>
          <w:rFonts w:ascii="Times New Roman" w:hAnsi="Times New Roman"/>
        </w:rPr>
        <w:t xml:space="preserve"> Logan J concluded:</w:t>
      </w:r>
      <w:r w:rsidRPr="00515D07">
        <w:rPr>
          <w:rStyle w:val="FootnoteReference"/>
          <w:rFonts w:ascii="Times New Roman" w:hAnsi="Times New Roman"/>
          <w:sz w:val="24"/>
        </w:rPr>
        <w:footnoteReference w:id="72"/>
      </w:r>
    </w:p>
    <w:p w14:paraId="4FE77862" w14:textId="77777777" w:rsidR="00522C99" w:rsidRDefault="00522C99" w:rsidP="00515D07">
      <w:pPr>
        <w:pStyle w:val="LRIndentafterHC"/>
        <w:spacing w:before="0" w:after="260" w:line="280" w:lineRule="exact"/>
        <w:ind w:right="0"/>
        <w:jc w:val="both"/>
        <w:rPr>
          <w:rFonts w:ascii="Times New Roman" w:hAnsi="Times New Roman"/>
        </w:rPr>
      </w:pPr>
      <w:r w:rsidRPr="00515D07">
        <w:rPr>
          <w:rFonts w:ascii="Times New Roman" w:hAnsi="Times New Roman"/>
        </w:rPr>
        <w:t xml:space="preserve">"To focus, with respect, as did the primary judge, and in submissions the Commissioner, on aspects of promotional literature, staff titles and </w:t>
      </w:r>
      <w:r w:rsidRPr="00515D07">
        <w:rPr>
          <w:rFonts w:ascii="Times New Roman" w:hAnsi="Times New Roman"/>
        </w:rPr>
        <w:lastRenderedPageBreak/>
        <w:t>display in isolation is to fail to discriminate between an overarching end and its incidental means."</w:t>
      </w:r>
    </w:p>
    <w:p w14:paraId="7E02275B"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With respect, as explained in more detail below, that reasoning and conclusion is correct.</w:t>
      </w:r>
    </w:p>
    <w:p w14:paraId="33ACD382"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t>The grounds of appeal in this Court</w:t>
      </w:r>
    </w:p>
    <w:p w14:paraId="083AE90A"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appellant had three grounds of appeal. The first complained of error in failing to apply the underlying legislative policy of the LCT Act; the second complained that s 9-5(1) should not have been treated as determining how s 15-30(3) was to apply; and finally, the appellant complained that the Full Court wrongly rejected the appellant's contention that the concept of a "retail" sale should be imported into s 9-5(1).</w:t>
      </w:r>
    </w:p>
    <w:p w14:paraId="570ACAB2"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In argument, the appellant distilled its grounds of appeal into two claims. First, and most simply, it embraced the reasoning of Logan J. It emphasised that all of the cars were held as trading stock. The "museum concept" was a means of marketing the appellant's trading stock. Secondly, it claimed that s 9-5(1) should be read as excluding alternative, but not additional, purposes of using cars which are held as trading stock. Much of the focus of submissions, and the important point of principle, concerns the appellant's first claim. For the reasons below, this claim should be accepted. It is therefore unnecessary to consider whether s 9-5(1) should be read as excluding alternative, but not additional, purposes of using cars which are held as trading stock. </w:t>
      </w:r>
    </w:p>
    <w:p w14:paraId="540EF2FE"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t>The language of s 9-5(1) and the issues it raises</w:t>
      </w:r>
    </w:p>
    <w:p w14:paraId="5C8CDC6E"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LCT Act is drafted to speak directly to the public using ordinary language and communication. As well as applying the ordinary rules of interpretation to this language, it is well to remember that the LCT Act is a law that creates an impost in the course of commercial activity. In the case of car dealers, it is a regular and significant impost. In that respect two further observations are applicable. The first, from the former jurisprudence concerning sales tax, is that it is always important to look "at the substance and reality of the matter".</w:t>
      </w:r>
      <w:r w:rsidRPr="00515D07">
        <w:rPr>
          <w:rStyle w:val="FootnoteReference"/>
          <w:rFonts w:ascii="Times New Roman" w:hAnsi="Times New Roman"/>
          <w:sz w:val="24"/>
        </w:rPr>
        <w:footnoteReference w:id="73"/>
      </w:r>
      <w:r w:rsidRPr="00515D07">
        <w:rPr>
          <w:rFonts w:ascii="Times New Roman" w:hAnsi="Times New Roman"/>
        </w:rPr>
        <w:t xml:space="preserve"> The second, from the jurisprudence concerning diesel fuel rebates, is </w:t>
      </w:r>
      <w:r w:rsidRPr="00515D07">
        <w:rPr>
          <w:rFonts w:ascii="Times New Roman" w:hAnsi="Times New Roman"/>
        </w:rPr>
        <w:lastRenderedPageBreak/>
        <w:t>that one should apply a "commonsense and commercial approach" in applying the LCT Act.</w:t>
      </w:r>
      <w:r w:rsidRPr="00515D07">
        <w:rPr>
          <w:rStyle w:val="FootnoteReference"/>
          <w:rFonts w:ascii="Times New Roman" w:hAnsi="Times New Roman"/>
          <w:sz w:val="24"/>
        </w:rPr>
        <w:footnoteReference w:id="74"/>
      </w:r>
      <w:r w:rsidRPr="00515D07">
        <w:rPr>
          <w:rFonts w:ascii="Times New Roman" w:hAnsi="Times New Roman"/>
        </w:rPr>
        <w:t xml:space="preserve"> </w:t>
      </w:r>
    </w:p>
    <w:p w14:paraId="22F13FDB"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 ordinary language of s 9-5(1) shows that it is concerned with the purpose for which "you have the intention" of using the car. It is concerned with the </w:t>
      </w:r>
      <w:r w:rsidRPr="00515D07">
        <w:rPr>
          <w:rFonts w:ascii="Times New Roman" w:hAnsi="Times New Roman"/>
          <w:i/>
          <w:iCs/>
        </w:rPr>
        <w:t>intended</w:t>
      </w:r>
      <w:r w:rsidRPr="00515D07">
        <w:rPr>
          <w:rFonts w:ascii="Times New Roman" w:hAnsi="Times New Roman"/>
        </w:rPr>
        <w:t xml:space="preserve"> purpose of use. In this respect it contrasts with the </w:t>
      </w:r>
      <w:r w:rsidRPr="00515D07">
        <w:rPr>
          <w:rFonts w:ascii="Times New Roman" w:hAnsi="Times New Roman"/>
          <w:i/>
          <w:iCs/>
        </w:rPr>
        <w:t>actual</w:t>
      </w:r>
      <w:r w:rsidRPr="00515D07">
        <w:rPr>
          <w:rFonts w:ascii="Times New Roman" w:hAnsi="Times New Roman"/>
        </w:rPr>
        <w:t xml:space="preserve"> purpose of use with which s 15-30(3) is concerned when that provision imposes an increasing luxury car tax adjustment if "you use the car for a purpose other than a *quotable purpose". In order to identify the intended purpose of use it is necessary first to identify the intended use then to identify the purpose of that use. </w:t>
      </w:r>
    </w:p>
    <w:p w14:paraId="1C2B6A82"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In general, a car is used by being driven. But the language in s 9-5 of using a car for the purpose of "holding it" implies that a car might be used even if it is not driven. Further, the exception to s 9-5(1)(a) indicates that a car may be used by being held for hire or lease. The car need not actually be hired or leased to anyone in order to be used for a non-quotable purpose. It is sufficient that the car is held (as stock, but not trading stock) by the taxpayer for that purpose. Section 9-5 thus recognises a broad conception of "use". Both "display in a museum" and "holding as trading stock" are capable of being uses.  </w:t>
      </w:r>
    </w:p>
    <w:p w14:paraId="48A1CEAC"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Once the intended use or uses have been identified, it is necessary to identify the intended purposes of those uses. Based on the quotable purposes, which are specific ends or goals, s 9-5 requires the identification of the specific ends or goals which are the ultimate reason or reasons why a taxpayer is using a car in a particular way. It is necessary, in this respect, to distinguish between this use of purpose to mean a specific "end" and the different concepts of "motive" and "means".</w:t>
      </w:r>
    </w:p>
    <w:p w14:paraId="02828756"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t>A purpose or end distinguished from motives and means</w:t>
      </w:r>
    </w:p>
    <w:p w14:paraId="648EA277"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There was much debate on this appeal about the meaning of "purpose" in ss 9-5(1) and 15-30(3) and whether the reference to "purpose" in those provisions is to the objective or subjective purpose of the person whose purpose is in issue. The Commissioner relied upon the distinction drawn by the primary judge and the majority of the Full Court between motive and purpose, and the reasoning of the majority that the "statutory question is not why the appellant engaged in the activities it did".</w:t>
      </w:r>
      <w:r w:rsidRPr="00515D07">
        <w:rPr>
          <w:rStyle w:val="FootnoteReference"/>
          <w:rFonts w:ascii="Times New Roman" w:hAnsi="Times New Roman"/>
          <w:sz w:val="24"/>
        </w:rPr>
        <w:footnoteReference w:id="75"/>
      </w:r>
      <w:r w:rsidRPr="00515D07">
        <w:rPr>
          <w:rFonts w:ascii="Times New Roman" w:hAnsi="Times New Roman"/>
        </w:rPr>
        <w:t xml:space="preserve"> The Commissioner also contended that the reference in each </w:t>
      </w:r>
      <w:r w:rsidRPr="00515D07">
        <w:rPr>
          <w:rFonts w:ascii="Times New Roman" w:hAnsi="Times New Roman"/>
        </w:rPr>
        <w:lastRenderedPageBreak/>
        <w:t xml:space="preserve">provision was to "objective purpose", ascertained by inference from how the cars were in fact used, and to the exclusion, for the most part, of the evidence of Mr Denny. In that respect, the Commissioner invoked a proposition that revenue statutes are generally concerned with "objective purpose" and relied, amongst other things, upon cases concerning s 8-1 of the </w:t>
      </w:r>
      <w:r w:rsidRPr="00515D07">
        <w:rPr>
          <w:rFonts w:ascii="Times New Roman" w:hAnsi="Times New Roman"/>
          <w:i/>
          <w:iCs/>
        </w:rPr>
        <w:t>Income Tax Assessment Act 1997</w:t>
      </w:r>
      <w:r w:rsidRPr="00515D07">
        <w:rPr>
          <w:rFonts w:ascii="Times New Roman" w:hAnsi="Times New Roman"/>
        </w:rPr>
        <w:t xml:space="preserve"> (Cth) and the recent decision of this Court in </w:t>
      </w:r>
      <w:r w:rsidRPr="00515D07">
        <w:rPr>
          <w:rFonts w:ascii="Times New Roman" w:hAnsi="Times New Roman"/>
          <w:i/>
          <w:iCs/>
        </w:rPr>
        <w:t>Godolphin Australia Pty Ltd v Chief Commissioner of State Revenue</w:t>
      </w:r>
      <w:r w:rsidRPr="00515D07">
        <w:rPr>
          <w:rFonts w:ascii="Times New Roman" w:hAnsi="Times New Roman"/>
        </w:rPr>
        <w:t>,</w:t>
      </w:r>
      <w:r w:rsidRPr="00515D07">
        <w:rPr>
          <w:rStyle w:val="FootnoteReference"/>
          <w:rFonts w:ascii="Times New Roman" w:hAnsi="Times New Roman"/>
          <w:sz w:val="24"/>
        </w:rPr>
        <w:footnoteReference w:id="76"/>
      </w:r>
      <w:r w:rsidRPr="00515D07">
        <w:rPr>
          <w:rFonts w:ascii="Times New Roman" w:hAnsi="Times New Roman"/>
          <w:i/>
          <w:iCs/>
        </w:rPr>
        <w:t xml:space="preserve"> </w:t>
      </w:r>
      <w:r w:rsidRPr="00515D07">
        <w:rPr>
          <w:rFonts w:ascii="Times New Roman" w:hAnsi="Times New Roman"/>
        </w:rPr>
        <w:t xml:space="preserve">which concerned a provision of the </w:t>
      </w:r>
      <w:r w:rsidRPr="00515D07">
        <w:rPr>
          <w:rFonts w:ascii="Times New Roman" w:hAnsi="Times New Roman"/>
          <w:i/>
          <w:iCs/>
        </w:rPr>
        <w:t>Land Tax Management Act 1956</w:t>
      </w:r>
      <w:r w:rsidRPr="00515D07">
        <w:rPr>
          <w:rFonts w:ascii="Times New Roman" w:hAnsi="Times New Roman"/>
        </w:rPr>
        <w:t xml:space="preserve"> (NSW). </w:t>
      </w:r>
    </w:p>
    <w:p w14:paraId="4EFBA039"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starting point must be an understanding of the difference between "motive", "means" and "purpose". A person's purpose is usually the ultimate end, object or goal that the person seeks to achieve. A person's motive is the reason that the person seeks to achieve that purpose or end.</w:t>
      </w:r>
      <w:r w:rsidRPr="00515D07">
        <w:rPr>
          <w:rStyle w:val="FootnoteReference"/>
          <w:rFonts w:ascii="Times New Roman" w:hAnsi="Times New Roman"/>
          <w:sz w:val="24"/>
        </w:rPr>
        <w:footnoteReference w:id="77"/>
      </w:r>
      <w:r w:rsidRPr="00515D07">
        <w:rPr>
          <w:rFonts w:ascii="Times New Roman" w:hAnsi="Times New Roman"/>
        </w:rPr>
        <w:t xml:space="preserve"> And a person's means are the way in which the purpose is to be achieved. In one sense, a person's means to achieving their ultimate object could also be characterised as a purpose but it is only an intermediate or "proximate" end.</w:t>
      </w:r>
      <w:r w:rsidRPr="00515D07">
        <w:rPr>
          <w:rStyle w:val="FootnoteReference"/>
          <w:rFonts w:ascii="Times New Roman" w:hAnsi="Times New Roman"/>
          <w:sz w:val="24"/>
        </w:rPr>
        <w:footnoteReference w:id="78"/>
      </w:r>
      <w:r w:rsidRPr="00515D07">
        <w:rPr>
          <w:rFonts w:ascii="Times New Roman" w:hAnsi="Times New Roman"/>
        </w:rPr>
        <w:t xml:space="preserve"> The means are distinct from the ultimate end, object or goal, which is the sense in which purpose is used in ss 9-5 and 15-30(3). </w:t>
      </w:r>
    </w:p>
    <w:p w14:paraId="263E9841"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It is therefore necessary to characterise the relevant person's purpose or end at the proper level of generality, as distinct from any motive for that purpose or the intended means of achieving that purpose. For instance, an elite athlete might engage in a sporting activity for the purpose or end of competing at the Olympics. The motive for that end might be personal fulfilment, profit, or glory. And the means to achieve that end might be many hours of training. </w:t>
      </w:r>
    </w:p>
    <w:p w14:paraId="4A63BE85"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In a passage in </w:t>
      </w:r>
      <w:r w:rsidRPr="00515D07">
        <w:rPr>
          <w:rFonts w:ascii="Times New Roman" w:hAnsi="Times New Roman"/>
          <w:i/>
          <w:iCs/>
        </w:rPr>
        <w:t>News Ltd v South Sydney District Rugby League Football Club Ltd</w:t>
      </w:r>
      <w:r w:rsidRPr="00515D07">
        <w:rPr>
          <w:rFonts w:ascii="Times New Roman" w:hAnsi="Times New Roman"/>
        </w:rPr>
        <w:t>,</w:t>
      </w:r>
      <w:r w:rsidRPr="00515D07">
        <w:rPr>
          <w:rStyle w:val="FootnoteReference"/>
          <w:rFonts w:ascii="Times New Roman" w:hAnsi="Times New Roman"/>
          <w:sz w:val="24"/>
        </w:rPr>
        <w:footnoteReference w:id="79"/>
      </w:r>
      <w:r w:rsidRPr="00515D07">
        <w:rPr>
          <w:rFonts w:ascii="Times New Roman" w:hAnsi="Times New Roman"/>
        </w:rPr>
        <w:t xml:space="preserve"> referred to in the joint judgment of all members of this Court in </w:t>
      </w:r>
      <w:r w:rsidRPr="00515D07">
        <w:rPr>
          <w:rFonts w:ascii="Times New Roman" w:hAnsi="Times New Roman"/>
          <w:i/>
          <w:iCs/>
        </w:rPr>
        <w:t>Federal Commissioner of Taxation v Sharpcan Pty Ltd</w:t>
      </w:r>
      <w:r w:rsidRPr="00515D07">
        <w:rPr>
          <w:rFonts w:ascii="Times New Roman" w:hAnsi="Times New Roman"/>
        </w:rPr>
        <w:t>,</w:t>
      </w:r>
      <w:r w:rsidRPr="00515D07">
        <w:rPr>
          <w:rStyle w:val="FootnoteReference"/>
          <w:rFonts w:ascii="Times New Roman" w:hAnsi="Times New Roman"/>
          <w:sz w:val="24"/>
        </w:rPr>
        <w:footnoteReference w:id="80"/>
      </w:r>
      <w:r w:rsidRPr="00515D07">
        <w:rPr>
          <w:rFonts w:ascii="Times New Roman" w:hAnsi="Times New Roman"/>
        </w:rPr>
        <w:t xml:space="preserve"> Gleeson CJ said that:</w:t>
      </w:r>
    </w:p>
    <w:p w14:paraId="6F90C40A"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shd w:val="clear" w:color="auto" w:fill="FFFFFF"/>
        </w:rPr>
        <w:t xml:space="preserve">"Purpose is to be distinguished from motive. The purpose of conduct is the end sought to be accomplished by the conduct. The motive for conduct is the reason for seeking that end. The appropriate description or </w:t>
      </w:r>
      <w:r w:rsidRPr="00515D07">
        <w:rPr>
          <w:rFonts w:ascii="Times New Roman" w:hAnsi="Times New Roman"/>
          <w:shd w:val="clear" w:color="auto" w:fill="FFFFFF"/>
        </w:rPr>
        <w:lastRenderedPageBreak/>
        <w:t>characterisation of the end sought to be accomplished (purpose), as distinct from the reason for seeking that end (motive), may depend upon the legislative or other context in which the task is undertaken. Thus, for example, in describing, for the application of a law relating to tax avoidance, the purpose of an individual, or of an arrangement, it will be necessary to look at what is sought to be achieved that is of fiscal consequence, not at a more remote, but fiscally irrelevant, object, such as increasing a taxpayer's disposable income."</w:t>
      </w:r>
      <w:r w:rsidRPr="00515D07">
        <w:rPr>
          <w:rFonts w:ascii="Times New Roman" w:hAnsi="Times New Roman"/>
        </w:rPr>
        <w:t xml:space="preserve">     </w:t>
      </w:r>
    </w:p>
    <w:p w14:paraId="1FBD97AA"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In every instance, "purposes", like other "intentions", are the purposes or intentions of a person, whether the person is a natural person, an artificial legal person or a construct. In each case, the purpose or intention is subjective in the sense that it belongs to a subject. When the concern is with the purpose of a natural person then, since "the devil himself knoweth not the thought of man",</w:t>
      </w:r>
      <w:r w:rsidRPr="00515D07">
        <w:rPr>
          <w:rStyle w:val="FootnoteReference"/>
          <w:rFonts w:ascii="Times New Roman" w:hAnsi="Times New Roman"/>
          <w:sz w:val="24"/>
        </w:rPr>
        <w:footnoteReference w:id="81"/>
      </w:r>
      <w:r w:rsidRPr="00515D07">
        <w:rPr>
          <w:rFonts w:ascii="Times New Roman" w:hAnsi="Times New Roman"/>
        </w:rPr>
        <w:t xml:space="preserve"> a natural person's purposes can only be proved by the person's direct evidence, or by inference from the circumstances, or both.</w:t>
      </w:r>
    </w:p>
    <w:p w14:paraId="47701B1E"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When the purpose is concerned with the purpose of an artificial legal person such as a company, the most common means of identifying that purpose involve the identification of a person whose intentions and purposes are to be attributed to the company.</w:t>
      </w:r>
      <w:r w:rsidRPr="00515D07">
        <w:rPr>
          <w:rStyle w:val="FootnoteReference"/>
          <w:rFonts w:ascii="Times New Roman" w:hAnsi="Times New Roman"/>
          <w:sz w:val="24"/>
        </w:rPr>
        <w:footnoteReference w:id="82"/>
      </w:r>
      <w:r w:rsidRPr="00515D07">
        <w:rPr>
          <w:rFonts w:ascii="Times New Roman" w:hAnsi="Times New Roman"/>
        </w:rPr>
        <w:t xml:space="preserve"> The most obvious instance of such people is a person who controls the company. As Gibbs CJ observed in </w:t>
      </w:r>
      <w:r w:rsidRPr="00515D07">
        <w:rPr>
          <w:rFonts w:ascii="Times New Roman" w:hAnsi="Times New Roman"/>
          <w:i/>
          <w:iCs/>
        </w:rPr>
        <w:t>Federal Commissioner of Taxation v Whitfords Beach Pty Ltd</w:t>
      </w:r>
      <w:r w:rsidRPr="00515D07">
        <w:rPr>
          <w:rFonts w:ascii="Times New Roman" w:hAnsi="Times New Roman"/>
        </w:rPr>
        <w:t>:</w:t>
      </w:r>
      <w:r w:rsidRPr="00515D07">
        <w:rPr>
          <w:rStyle w:val="FootnoteReference"/>
          <w:rFonts w:ascii="Times New Roman" w:hAnsi="Times New Roman"/>
          <w:sz w:val="24"/>
        </w:rPr>
        <w:footnoteReference w:id="83"/>
      </w:r>
      <w:r w:rsidRPr="00515D07">
        <w:rPr>
          <w:rFonts w:ascii="Times New Roman" w:hAnsi="Times New Roman"/>
        </w:rPr>
        <w:t xml:space="preserve"> </w:t>
      </w:r>
    </w:p>
    <w:p w14:paraId="32CD16E1"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"[I]n deciding whether what was done was an operation of business, it is relevant to consider the purpose with which the taxpayer acted, and, since the taxpayer is a company, the purposes of those who control it are its purposes."</w:t>
      </w:r>
    </w:p>
    <w:p w14:paraId="00F38C6F"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Sometimes, however, the purpose or intention with which the law is concerned is the purpose or intention of a construct, such as the purpose or intention of a reasonable person. That construct is used in interpreting contracts (the intention of a reasonable person in the position of the parties), interpreting trusts (the intention of a reasonable person in the position of the trustee), and interpreting statutes (the intention of the notional Parliament). In each case, no natural person can give direct evidence of the purpose or intention of the construct. </w:t>
      </w:r>
      <w:r w:rsidRPr="00515D07">
        <w:rPr>
          <w:rFonts w:ascii="Times New Roman" w:hAnsi="Times New Roman"/>
        </w:rPr>
        <w:lastRenderedPageBreak/>
        <w:t xml:space="preserve">The purpose of a construct is one that can only be established by inference from the circumstances as to the purpose that such a reasonable person in the relevant position would have had. In common language, this is what is usually meant when a "purpose" is used to describe the objective function or end for an item or thing; for example, a reasonable person's usual purpose for a washing machine is for it to wash clothes. That is its usual function or objective. This usual purpose may be inferred from the objective features of the machine and from a consideration of what it can do and how in fact it is used. </w:t>
      </w:r>
    </w:p>
    <w:p w14:paraId="1A5F37DF"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In </w:t>
      </w:r>
      <w:r w:rsidRPr="00515D07">
        <w:rPr>
          <w:rFonts w:ascii="Times New Roman" w:hAnsi="Times New Roman"/>
          <w:i/>
          <w:iCs/>
        </w:rPr>
        <w:t>Magna Alloys and Research Pty Ltd v Federal Commissioner of Taxation</w:t>
      </w:r>
      <w:r w:rsidRPr="00515D07">
        <w:rPr>
          <w:rFonts w:ascii="Times New Roman" w:hAnsi="Times New Roman"/>
        </w:rPr>
        <w:t>,</w:t>
      </w:r>
      <w:r w:rsidRPr="00515D07">
        <w:rPr>
          <w:rStyle w:val="FootnoteReference"/>
          <w:rFonts w:ascii="Times New Roman" w:hAnsi="Times New Roman"/>
          <w:sz w:val="24"/>
        </w:rPr>
        <w:footnoteReference w:id="84"/>
      </w:r>
      <w:r w:rsidRPr="00515D07">
        <w:rPr>
          <w:rFonts w:ascii="Times New Roman" w:hAnsi="Times New Roman"/>
        </w:rPr>
        <w:t xml:space="preserve"> Brennan J set this out as a third concept of purpose as follows in the context of incurring of expenditure, by comparing it with the purpose of a natural person:</w:t>
      </w:r>
    </w:p>
    <w:p w14:paraId="51EF2CAB"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 xml:space="preserve">"Purpose may be either a subjective purpose—the taxpayer's purpose—where it means the object which the taxpayer intends to achieve by incurring the expenditure; or it may be an objective purpose, meaning the object which the incurring of the expenditure is apt to achieve." </w:t>
      </w:r>
    </w:p>
    <w:p w14:paraId="5F918C79"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Where the concern is with the "taxpayer's purpose", Brennan J explained that "what the taxpayer says are the character and scope of his business or undertaking is evidence of what its character and scope are in fact".</w:t>
      </w:r>
      <w:r w:rsidRPr="00515D07">
        <w:rPr>
          <w:rStyle w:val="FootnoteReference"/>
          <w:rFonts w:ascii="Times New Roman" w:hAnsi="Times New Roman"/>
          <w:sz w:val="24"/>
        </w:rPr>
        <w:footnoteReference w:id="85"/>
      </w:r>
      <w:r w:rsidRPr="00515D07">
        <w:rPr>
          <w:rFonts w:ascii="Times New Roman" w:hAnsi="Times New Roman"/>
        </w:rPr>
        <w:t xml:space="preserve"> But, by contrast with the purpose of an actual taxpayer, the object which some act is generally "apt to achieve", "an objective purpose" in that sense, can be determined by reference to what a reasonable person engaging in the act would expect to achieve. Thus, as Brennan J rightly explained, "the taxpayer's purpose" can be proved by direct evidence of state of mind and by inference from the circumstances but an object which an act is "apt to achieve" can be proved only by inference from "known circumstances".</w:t>
      </w:r>
      <w:r w:rsidRPr="00515D07">
        <w:rPr>
          <w:rStyle w:val="FootnoteReference"/>
          <w:rFonts w:ascii="Times New Roman" w:hAnsi="Times New Roman"/>
          <w:sz w:val="24"/>
        </w:rPr>
        <w:footnoteReference w:id="86"/>
      </w:r>
    </w:p>
    <w:p w14:paraId="6DC6F923"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lastRenderedPageBreak/>
        <w:t>Two prominent cases</w:t>
      </w:r>
    </w:p>
    <w:p w14:paraId="0550A53C" w14:textId="77777777" w:rsidR="00522C99" w:rsidRPr="00515D07" w:rsidRDefault="00522C99" w:rsidP="00515D07">
      <w:pPr>
        <w:pStyle w:val="HeadingL2"/>
        <w:spacing w:after="260" w:line="280" w:lineRule="exact"/>
        <w:ind w:right="0"/>
        <w:jc w:val="both"/>
        <w:rPr>
          <w:rFonts w:ascii="Times New Roman" w:hAnsi="Times New Roman"/>
        </w:rPr>
      </w:pPr>
      <w:r w:rsidRPr="00515D07">
        <w:rPr>
          <w:rFonts w:ascii="Times New Roman" w:hAnsi="Times New Roman"/>
        </w:rPr>
        <w:t xml:space="preserve">Salvation Army </w:t>
      </w:r>
    </w:p>
    <w:p w14:paraId="01DFA978"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It is in the context of these general observations that the decision of this Court in </w:t>
      </w:r>
      <w:r w:rsidRPr="00515D07">
        <w:rPr>
          <w:rFonts w:ascii="Times New Roman" w:hAnsi="Times New Roman"/>
          <w:i/>
          <w:iCs/>
          <w:lang w:val="en-US"/>
        </w:rPr>
        <w:t>Salvation Army (Victoria) Property Trust v Fern Tree Gully Corporation</w:t>
      </w:r>
      <w:r w:rsidRPr="00515D07">
        <w:rPr>
          <w:rFonts w:ascii="Times New Roman" w:hAnsi="Times New Roman"/>
        </w:rPr>
        <w:t>,</w:t>
      </w:r>
      <w:r w:rsidRPr="00515D07">
        <w:rPr>
          <w:rStyle w:val="FootnoteReference"/>
          <w:rFonts w:ascii="Times New Roman" w:hAnsi="Times New Roman"/>
          <w:sz w:val="24"/>
        </w:rPr>
        <w:footnoteReference w:id="87"/>
      </w:r>
      <w:r w:rsidRPr="00515D07">
        <w:rPr>
          <w:rFonts w:ascii="Times New Roman" w:hAnsi="Times New Roman"/>
        </w:rPr>
        <w:t xml:space="preserve"> and the difference that it established between means and ends, is instructive. The Salvation Army was the owner of lands within the shire of Fern Tree Gully. The land was used as a training farm by the Salvation Army for boys.</w:t>
      </w:r>
      <w:r w:rsidRPr="00515D07">
        <w:rPr>
          <w:rStyle w:val="FootnoteReference"/>
          <w:rFonts w:ascii="Times New Roman" w:hAnsi="Times New Roman"/>
          <w:sz w:val="24"/>
        </w:rPr>
        <w:footnoteReference w:id="88"/>
      </w:r>
      <w:r w:rsidRPr="00515D07">
        <w:rPr>
          <w:rFonts w:ascii="Times New Roman" w:hAnsi="Times New Roman"/>
        </w:rPr>
        <w:t xml:space="preserve"> The purpose of the training farm was reformatory. Produce from the boys' activities at the farm was sold and the proceeds were used to defray the cost of running the farm training.</w:t>
      </w:r>
      <w:r w:rsidRPr="00515D07">
        <w:rPr>
          <w:rStyle w:val="FootnoteReference"/>
          <w:rFonts w:ascii="Times New Roman" w:hAnsi="Times New Roman"/>
          <w:sz w:val="24"/>
        </w:rPr>
        <w:footnoteReference w:id="89"/>
      </w:r>
      <w:r w:rsidRPr="00515D07">
        <w:rPr>
          <w:rFonts w:ascii="Times New Roman" w:hAnsi="Times New Roman"/>
        </w:rPr>
        <w:t xml:space="preserve"> The question was whether the lands were used "wholly and exclusively for charitable purposes" within the meaning of the </w:t>
      </w:r>
      <w:r w:rsidRPr="00515D07">
        <w:rPr>
          <w:rFonts w:ascii="Times New Roman" w:hAnsi="Times New Roman"/>
          <w:i/>
          <w:iCs/>
        </w:rPr>
        <w:t>Local Government Act 1946</w:t>
      </w:r>
      <w:r w:rsidRPr="00515D07">
        <w:rPr>
          <w:rFonts w:ascii="Times New Roman" w:hAnsi="Times New Roman"/>
        </w:rPr>
        <w:t xml:space="preserve"> (Vic). If they were not, they were liable to be rated.</w:t>
      </w:r>
      <w:r w:rsidRPr="00515D07">
        <w:rPr>
          <w:rStyle w:val="FootnoteReference"/>
          <w:rFonts w:ascii="Times New Roman" w:hAnsi="Times New Roman"/>
          <w:sz w:val="24"/>
        </w:rPr>
        <w:footnoteReference w:id="90"/>
      </w:r>
    </w:p>
    <w:p w14:paraId="7C751CAF"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Brigadier Leggett was a controlling mind of the Salvation Army. He confirmed that it was necessary to have a variety of activities as part of the training of the boys and confirmed that all of these activities were directed at this training.</w:t>
      </w:r>
      <w:r w:rsidRPr="00515D07">
        <w:rPr>
          <w:rStyle w:val="FootnoteReference"/>
          <w:rFonts w:ascii="Times New Roman" w:hAnsi="Times New Roman"/>
          <w:sz w:val="24"/>
        </w:rPr>
        <w:footnoteReference w:id="91"/>
      </w:r>
      <w:r w:rsidRPr="00515D07">
        <w:rPr>
          <w:rFonts w:ascii="Times New Roman" w:hAnsi="Times New Roman"/>
        </w:rPr>
        <w:t xml:space="preserve"> Brigadier Saunders, inferentially another controlling mind, "</w:t>
      </w:r>
      <w:r w:rsidRPr="00515D07">
        <w:rPr>
          <w:rFonts w:ascii="Times New Roman" w:hAnsi="Times New Roman"/>
          <w:color w:val="000000"/>
          <w:sz w:val="27"/>
          <w:szCs w:val="27"/>
          <w:shd w:val="clear" w:color="auto" w:fill="FFFFFF"/>
        </w:rPr>
        <w:t>was asked whether the whole of the work on the property was carried out for the sole purpose of training the boys, and he replied: 'Yes, that all the work done in regard to the dairying, vegetable growing, and orchard was done for the purpose of training the lads, and in order that they might, if possible, develop into useful citizens upon their discharge from the institution'".</w:t>
      </w:r>
      <w:r w:rsidRPr="00515D07">
        <w:rPr>
          <w:rStyle w:val="FootnoteReference"/>
          <w:rFonts w:ascii="Times New Roman" w:hAnsi="Times New Roman"/>
          <w:color w:val="000000"/>
          <w:sz w:val="24"/>
          <w:szCs w:val="27"/>
          <w:shd w:val="clear" w:color="auto" w:fill="FFFFFF"/>
        </w:rPr>
        <w:footnoteReference w:id="92"/>
      </w:r>
      <w:r w:rsidRPr="00515D07">
        <w:rPr>
          <w:rFonts w:ascii="Times New Roman" w:hAnsi="Times New Roman"/>
        </w:rPr>
        <w:t xml:space="preserve"> </w:t>
      </w:r>
    </w:p>
    <w:p w14:paraId="33DA5958"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lastRenderedPageBreak/>
        <w:tab/>
        <w:t xml:space="preserve">Dixon, Williams and Webb JJ referred to, and approved of, a series of English decisions concerning the </w:t>
      </w:r>
      <w:r w:rsidRPr="00515D07">
        <w:rPr>
          <w:rFonts w:ascii="Times New Roman" w:hAnsi="Times New Roman"/>
          <w:i/>
          <w:iCs/>
        </w:rPr>
        <w:t>Scientific Societies Act 1843</w:t>
      </w:r>
      <w:r w:rsidRPr="00515D07">
        <w:rPr>
          <w:rFonts w:ascii="Times New Roman" w:hAnsi="Times New Roman"/>
        </w:rPr>
        <w:t xml:space="preserve"> (Imp),</w:t>
      </w:r>
      <w:r w:rsidRPr="00515D07">
        <w:rPr>
          <w:rStyle w:val="FootnoteReference"/>
          <w:rFonts w:ascii="Times New Roman" w:hAnsi="Times New Roman"/>
          <w:sz w:val="24"/>
        </w:rPr>
        <w:footnoteReference w:id="93"/>
      </w:r>
      <w:r w:rsidRPr="00515D07">
        <w:rPr>
          <w:rFonts w:ascii="Times New Roman" w:hAnsi="Times New Roman"/>
        </w:rPr>
        <w:t xml:space="preserve"> which provided that no person was to be rated in respect of land belonging to a society instituted for the purposes of science exclusively.</w:t>
      </w:r>
      <w:r w:rsidRPr="00515D07">
        <w:rPr>
          <w:rStyle w:val="FootnoteReference"/>
          <w:rFonts w:ascii="Times New Roman" w:hAnsi="Times New Roman"/>
          <w:sz w:val="24"/>
        </w:rPr>
        <w:footnoteReference w:id="94"/>
      </w:r>
      <w:r w:rsidRPr="00515D07">
        <w:rPr>
          <w:rFonts w:ascii="Times New Roman" w:hAnsi="Times New Roman"/>
        </w:rPr>
        <w:t xml:space="preserve"> Their Honours explained that in these cases a society remained exclusively constituted for scientific purposes although it had other purposes:</w:t>
      </w:r>
      <w:r w:rsidRPr="00515D07">
        <w:rPr>
          <w:rStyle w:val="FootnoteReference"/>
          <w:rFonts w:ascii="Times New Roman" w:hAnsi="Times New Roman"/>
          <w:sz w:val="24"/>
        </w:rPr>
        <w:footnoteReference w:id="95"/>
      </w:r>
      <w:r w:rsidRPr="00515D07">
        <w:rPr>
          <w:rFonts w:ascii="Times New Roman" w:hAnsi="Times New Roman"/>
        </w:rPr>
        <w:t xml:space="preserve"> </w:t>
      </w:r>
    </w:p>
    <w:p w14:paraId="5AA2416F" w14:textId="77777777" w:rsidR="00522C99" w:rsidRDefault="00522C99" w:rsidP="00515D07">
      <w:pPr>
        <w:pStyle w:val="LeftrightafterHC"/>
        <w:spacing w:before="0" w:after="260" w:line="280" w:lineRule="exact"/>
        <w:ind w:right="0"/>
        <w:jc w:val="both"/>
        <w:rPr>
          <w:rFonts w:ascii="Times New Roman" w:hAnsi="Times New Roman"/>
          <w:shd w:val="clear" w:color="auto" w:fill="FFFFFF"/>
        </w:rPr>
      </w:pPr>
      <w:r w:rsidRPr="00515D07">
        <w:rPr>
          <w:rFonts w:ascii="Times New Roman" w:hAnsi="Times New Roman"/>
          <w:shd w:val="clear" w:color="auto" w:fill="FFFFFF"/>
        </w:rPr>
        <w:t>"provided the other purposes were merely a means to the fulfilment of its scientific ... purposes and incidental thereto but that the exemption was lost if the other purposes ceased to be a means to an end and became collateral and additional purposes."</w:t>
      </w:r>
    </w:p>
    <w:p w14:paraId="1DB52F92"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That principle was applied to the charitable purpose of reforming the boys. Their Honours expressly accepted Brigadier Leggett's evidence about the purpose of the use of the land, namely to implement a variety of training.</w:t>
      </w:r>
      <w:r w:rsidRPr="00515D07">
        <w:rPr>
          <w:rStyle w:val="FootnoteReference"/>
          <w:rFonts w:ascii="Times New Roman" w:hAnsi="Times New Roman"/>
          <w:sz w:val="24"/>
        </w:rPr>
        <w:footnoteReference w:id="96"/>
      </w:r>
      <w:r w:rsidRPr="00515D07">
        <w:rPr>
          <w:rFonts w:ascii="Times New Roman" w:hAnsi="Times New Roman"/>
        </w:rPr>
        <w:t xml:space="preserve"> That purpose remained the exclusive purpose despite the activity of selling the farming produce. The activity of selling the farming produce was only a means to the charitable purpose or end. It was not an activity that would have occurred "irrespective of [the charitable] use".</w:t>
      </w:r>
      <w:r w:rsidRPr="00515D07">
        <w:rPr>
          <w:rStyle w:val="FootnoteReference"/>
          <w:rFonts w:ascii="Times New Roman" w:hAnsi="Times New Roman"/>
          <w:sz w:val="24"/>
        </w:rPr>
        <w:footnoteReference w:id="97"/>
      </w:r>
      <w:r w:rsidRPr="00515D07">
        <w:rPr>
          <w:rFonts w:ascii="Times New Roman" w:hAnsi="Times New Roman"/>
        </w:rPr>
        <w:t xml:space="preserve"> </w:t>
      </w:r>
    </w:p>
    <w:p w14:paraId="4AEEAB43"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 decision in </w:t>
      </w:r>
      <w:r w:rsidRPr="00515D07">
        <w:rPr>
          <w:rFonts w:ascii="Times New Roman" w:hAnsi="Times New Roman"/>
          <w:i/>
          <w:iCs/>
        </w:rPr>
        <w:t xml:space="preserve">Salvation Army </w:t>
      </w:r>
      <w:r w:rsidRPr="00515D07">
        <w:rPr>
          <w:rFonts w:ascii="Times New Roman" w:hAnsi="Times New Roman"/>
        </w:rPr>
        <w:t xml:space="preserve">was applied by this Court in </w:t>
      </w:r>
      <w:r w:rsidRPr="00515D07">
        <w:rPr>
          <w:rFonts w:ascii="Times New Roman" w:hAnsi="Times New Roman"/>
          <w:i/>
          <w:iCs/>
        </w:rPr>
        <w:t>Ryde Municipal Council v Macquarie University</w:t>
      </w:r>
      <w:r w:rsidRPr="00515D07">
        <w:rPr>
          <w:rFonts w:ascii="Times New Roman" w:hAnsi="Times New Roman"/>
        </w:rPr>
        <w:t>.</w:t>
      </w:r>
      <w:r w:rsidRPr="00515D07">
        <w:rPr>
          <w:rStyle w:val="FootnoteReference"/>
          <w:rFonts w:ascii="Times New Roman" w:hAnsi="Times New Roman"/>
          <w:sz w:val="24"/>
        </w:rPr>
        <w:footnoteReference w:id="98"/>
      </w:r>
      <w:r w:rsidRPr="00515D07">
        <w:rPr>
          <w:rFonts w:ascii="Times New Roman" w:hAnsi="Times New Roman"/>
        </w:rPr>
        <w:t xml:space="preserve"> One exemption from rates arose if land belonging to Macquarie University was "used or occupied by the University ... solely for the purposes thereof".</w:t>
      </w:r>
      <w:r w:rsidRPr="00515D07">
        <w:rPr>
          <w:rStyle w:val="FootnoteReference"/>
          <w:rFonts w:ascii="Times New Roman" w:hAnsi="Times New Roman"/>
          <w:sz w:val="24"/>
        </w:rPr>
        <w:footnoteReference w:id="99"/>
      </w:r>
      <w:r w:rsidRPr="00515D07">
        <w:rPr>
          <w:rFonts w:ascii="Times New Roman" w:hAnsi="Times New Roman"/>
        </w:rPr>
        <w:t xml:space="preserve"> The University had leased some of its land to be used for commercial purposes, such as shops, a bank, a chemist and a travel </w:t>
      </w:r>
      <w:r w:rsidRPr="00515D07">
        <w:rPr>
          <w:rFonts w:ascii="Times New Roman" w:hAnsi="Times New Roman"/>
        </w:rPr>
        <w:lastRenderedPageBreak/>
        <w:t>centre. These operated for profit and were open to the public to use. But they also provided a convenience to staff and students. The nearest similar facilities were about two miles away.</w:t>
      </w:r>
      <w:r w:rsidRPr="00515D07">
        <w:rPr>
          <w:rStyle w:val="FootnoteReference"/>
          <w:rFonts w:ascii="Times New Roman" w:hAnsi="Times New Roman"/>
          <w:sz w:val="24"/>
        </w:rPr>
        <w:footnoteReference w:id="100"/>
      </w:r>
      <w:r w:rsidRPr="00515D07">
        <w:rPr>
          <w:rFonts w:ascii="Times New Roman" w:hAnsi="Times New Roman"/>
        </w:rPr>
        <w:t xml:space="preserve"> The University was paid rent by these businesses.</w:t>
      </w:r>
      <w:r w:rsidRPr="00515D07">
        <w:rPr>
          <w:rStyle w:val="FootnoteReference"/>
          <w:rFonts w:ascii="Times New Roman" w:hAnsi="Times New Roman"/>
          <w:sz w:val="24"/>
        </w:rPr>
        <w:footnoteReference w:id="101"/>
      </w:r>
      <w:r w:rsidRPr="00515D07">
        <w:rPr>
          <w:rFonts w:ascii="Times New Roman" w:hAnsi="Times New Roman"/>
        </w:rPr>
        <w:t xml:space="preserve"> A majority of the Court (Gibbs A-CJ, Stephen and Murphy JJ) held that the land was used solely for the purposes of the University. </w:t>
      </w:r>
      <w:bookmarkStart w:id="2" w:name="_Hlk172812719"/>
      <w:r w:rsidRPr="00515D07">
        <w:rPr>
          <w:rFonts w:ascii="Times New Roman" w:hAnsi="Times New Roman"/>
        </w:rPr>
        <w:t>The profitable leases did not change the nature of the activities of Macquarie University on its land as having been done for the purposes of the University.</w:t>
      </w:r>
      <w:bookmarkEnd w:id="2"/>
      <w:r w:rsidRPr="00515D07">
        <w:rPr>
          <w:rFonts w:ascii="Times New Roman" w:hAnsi="Times New Roman"/>
        </w:rPr>
        <w:t xml:space="preserve"> As Gibbs A-CJ said, quoting from </w:t>
      </w:r>
      <w:r w:rsidRPr="00515D07">
        <w:rPr>
          <w:rFonts w:ascii="Times New Roman" w:hAnsi="Times New Roman"/>
          <w:i/>
          <w:iCs/>
        </w:rPr>
        <w:t>Salvation Army</w:t>
      </w:r>
      <w:r w:rsidRPr="00515D07">
        <w:rPr>
          <w:rFonts w:ascii="Times New Roman" w:hAnsi="Times New Roman"/>
        </w:rPr>
        <w:t>, the commercial purposes of the training farm in that case were "'merely a means to the fulfilment' of the charitable purposes", and the "same tests are applicable" in relation to the exemption claimed by the University.</w:t>
      </w:r>
      <w:r w:rsidRPr="00515D07">
        <w:rPr>
          <w:rStyle w:val="FootnoteReference"/>
          <w:rFonts w:ascii="Times New Roman" w:hAnsi="Times New Roman"/>
          <w:sz w:val="24"/>
        </w:rPr>
        <w:footnoteReference w:id="102"/>
      </w:r>
    </w:p>
    <w:p w14:paraId="412CFE29" w14:textId="77777777" w:rsidR="00522C99" w:rsidRPr="00515D07" w:rsidRDefault="00522C99" w:rsidP="00515D07">
      <w:pPr>
        <w:pStyle w:val="FixListStyle"/>
        <w:spacing w:after="260" w:line="280" w:lineRule="exact"/>
        <w:ind w:right="0"/>
        <w:jc w:val="both"/>
        <w:rPr>
          <w:rFonts w:ascii="Times New Roman" w:hAnsi="Times New Roman"/>
        </w:rPr>
      </w:pPr>
      <w:bookmarkStart w:id="3" w:name="_Hlk172812878"/>
      <w:r w:rsidRPr="00515D07">
        <w:rPr>
          <w:rFonts w:ascii="Times New Roman" w:hAnsi="Times New Roman"/>
        </w:rPr>
        <w:tab/>
        <w:t>This distinction between means and ends, or between an intended end and the intended means of achieving that end, is also extremely well established in the law of taxation of charities, where the notion of purpose is central.</w:t>
      </w:r>
      <w:r w:rsidRPr="00515D07">
        <w:rPr>
          <w:rStyle w:val="FootnoteReference"/>
          <w:rFonts w:ascii="Times New Roman" w:hAnsi="Times New Roman"/>
          <w:sz w:val="24"/>
        </w:rPr>
        <w:footnoteReference w:id="103"/>
      </w:r>
      <w:bookmarkEnd w:id="3"/>
      <w:r w:rsidRPr="00515D07">
        <w:rPr>
          <w:rFonts w:ascii="Times New Roman" w:hAnsi="Times New Roman"/>
        </w:rPr>
        <w:t xml:space="preserve"> As Lord Millett said for the Privy Council in </w:t>
      </w:r>
      <w:r w:rsidRPr="00515D07">
        <w:rPr>
          <w:rFonts w:ascii="Times New Roman" w:hAnsi="Times New Roman"/>
          <w:i/>
          <w:iCs/>
        </w:rPr>
        <w:t>Latimer v Commissioner of Inland Revenue</w:t>
      </w:r>
      <w:r w:rsidRPr="00515D07">
        <w:rPr>
          <w:rFonts w:ascii="Times New Roman" w:hAnsi="Times New Roman"/>
        </w:rPr>
        <w:t>:</w:t>
      </w:r>
      <w:r w:rsidRPr="00515D07">
        <w:rPr>
          <w:rStyle w:val="FootnoteReference"/>
          <w:rFonts w:ascii="Times New Roman" w:hAnsi="Times New Roman"/>
          <w:sz w:val="24"/>
        </w:rPr>
        <w:footnoteReference w:id="104"/>
      </w:r>
    </w:p>
    <w:p w14:paraId="761F360B" w14:textId="77777777" w:rsidR="00522C99" w:rsidRDefault="00522C99" w:rsidP="00515D07">
      <w:pPr>
        <w:pStyle w:val="LRIndentafterHC"/>
        <w:spacing w:before="0" w:after="260" w:line="280" w:lineRule="exact"/>
        <w:ind w:right="0"/>
        <w:jc w:val="both"/>
        <w:rPr>
          <w:rFonts w:ascii="Times New Roman" w:hAnsi="Times New Roman"/>
        </w:rPr>
      </w:pPr>
      <w:r w:rsidRPr="00515D07">
        <w:rPr>
          <w:rFonts w:ascii="Times New Roman" w:hAnsi="Times New Roman"/>
        </w:rPr>
        <w:t xml:space="preserve">"The distinction is between ends, means and consequences. The ends must be exclusively charitable. But if the non-charitable benefits are merely the means or the incidental consequences of carrying out the charitable purposes and are not ends in themselves, charitable status is not lost." </w:t>
      </w:r>
    </w:p>
    <w:p w14:paraId="26694B52" w14:textId="77777777" w:rsidR="00522C99" w:rsidRPr="00515D07" w:rsidRDefault="00522C99" w:rsidP="00515D07">
      <w:pPr>
        <w:pStyle w:val="HeadingL2"/>
        <w:spacing w:after="260" w:line="280" w:lineRule="exact"/>
        <w:ind w:right="0"/>
        <w:jc w:val="both"/>
        <w:rPr>
          <w:rFonts w:ascii="Times New Roman" w:hAnsi="Times New Roman"/>
        </w:rPr>
      </w:pPr>
      <w:r w:rsidRPr="00515D07">
        <w:rPr>
          <w:rFonts w:ascii="Times New Roman" w:hAnsi="Times New Roman"/>
        </w:rPr>
        <w:t>Godolphin Australia</w:t>
      </w:r>
    </w:p>
    <w:p w14:paraId="307B3E10"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As already mentioned, the Commissioner placed much reliance upon the recent decision of this Court in </w:t>
      </w:r>
      <w:r w:rsidRPr="00515D07">
        <w:rPr>
          <w:rFonts w:ascii="Times New Roman" w:hAnsi="Times New Roman"/>
          <w:i/>
          <w:iCs/>
        </w:rPr>
        <w:t>Godolphin Australia</w:t>
      </w:r>
      <w:r w:rsidRPr="00515D07">
        <w:rPr>
          <w:rFonts w:ascii="Times New Roman" w:hAnsi="Times New Roman"/>
        </w:rPr>
        <w:t>.</w:t>
      </w:r>
      <w:r w:rsidRPr="00515D07">
        <w:rPr>
          <w:rStyle w:val="FootnoteReference"/>
          <w:rFonts w:ascii="Times New Roman" w:hAnsi="Times New Roman"/>
          <w:sz w:val="24"/>
        </w:rPr>
        <w:footnoteReference w:id="105"/>
      </w:r>
      <w:r w:rsidRPr="00515D07">
        <w:rPr>
          <w:rFonts w:ascii="Times New Roman" w:hAnsi="Times New Roman"/>
        </w:rPr>
        <w:t xml:space="preserve"> That case is entirely consistent with the principles discussed above but the statutory context is entirely different from the statutory context in this case. The case concerned an exemption </w:t>
      </w:r>
      <w:r w:rsidRPr="00515D07">
        <w:rPr>
          <w:rFonts w:ascii="Times New Roman" w:hAnsi="Times New Roman"/>
        </w:rPr>
        <w:lastRenderedPageBreak/>
        <w:t xml:space="preserve">from land tax in New South Wales for land used for primary production. Section 10AA(3)(b) of the </w:t>
      </w:r>
      <w:r w:rsidRPr="00515D07">
        <w:rPr>
          <w:rFonts w:ascii="Times New Roman" w:hAnsi="Times New Roman"/>
          <w:i/>
          <w:iCs/>
        </w:rPr>
        <w:t>Land Tax Management Act 1956</w:t>
      </w:r>
      <w:r w:rsidRPr="00515D07">
        <w:rPr>
          <w:rFonts w:ascii="Times New Roman" w:hAnsi="Times New Roman"/>
        </w:rPr>
        <w:t xml:space="preserve"> (NSW) relevantly provided:</w:t>
      </w:r>
    </w:p>
    <w:p w14:paraId="0308CB46" w14:textId="77777777" w:rsidR="00522C99" w:rsidRPr="00515D07" w:rsidRDefault="00522C99" w:rsidP="00515D07">
      <w:pPr>
        <w:pStyle w:val="leftright"/>
        <w:spacing w:before="0" w:after="260" w:line="280" w:lineRule="exact"/>
        <w:ind w:right="0"/>
        <w:jc w:val="both"/>
        <w:rPr>
          <w:rFonts w:ascii="Times New Roman" w:hAnsi="Times New Roman"/>
        </w:rPr>
      </w:pPr>
      <w:r w:rsidRPr="00515D07">
        <w:rPr>
          <w:rFonts w:ascii="Times New Roman" w:hAnsi="Times New Roman"/>
        </w:rPr>
        <w:t xml:space="preserve">"For the purposes of this section, </w:t>
      </w:r>
      <w:r w:rsidRPr="00515D07">
        <w:rPr>
          <w:rFonts w:ascii="Times New Roman" w:hAnsi="Times New Roman"/>
          <w:i/>
          <w:iCs/>
        </w:rPr>
        <w:t>land used for primary production</w:t>
      </w:r>
      <w:r w:rsidRPr="00515D07">
        <w:rPr>
          <w:rFonts w:ascii="Times New Roman" w:hAnsi="Times New Roman"/>
        </w:rPr>
        <w:t xml:space="preserve"> means land the dominant use of which is for –</w:t>
      </w:r>
    </w:p>
    <w:p w14:paraId="036AFFA5" w14:textId="77777777" w:rsidR="00522C99" w:rsidRPr="00515D07" w:rsidRDefault="00522C99" w:rsidP="00515D07">
      <w:pPr>
        <w:pStyle w:val="leftright"/>
        <w:spacing w:before="0" w:after="260" w:line="280" w:lineRule="exact"/>
        <w:ind w:right="0"/>
        <w:jc w:val="both"/>
        <w:rPr>
          <w:rFonts w:ascii="Times New Roman" w:hAnsi="Times New Roman"/>
        </w:rPr>
      </w:pPr>
      <w:r w:rsidRPr="00515D07">
        <w:rPr>
          <w:rFonts w:ascii="Times New Roman" w:hAnsi="Times New Roman"/>
        </w:rPr>
        <w:t>...</w:t>
      </w:r>
    </w:p>
    <w:p w14:paraId="3ADE0DCC" w14:textId="77777777" w:rsidR="00522C99" w:rsidRDefault="00522C99" w:rsidP="00515D07">
      <w:pPr>
        <w:pStyle w:val="leftright"/>
        <w:spacing w:before="0" w:after="260" w:line="280" w:lineRule="exact"/>
        <w:ind w:left="1440" w:right="0" w:hanging="720"/>
        <w:jc w:val="both"/>
        <w:rPr>
          <w:rFonts w:ascii="Times New Roman" w:hAnsi="Times New Roman"/>
        </w:rPr>
      </w:pPr>
      <w:r w:rsidRPr="00515D07">
        <w:rPr>
          <w:rFonts w:ascii="Times New Roman" w:hAnsi="Times New Roman"/>
        </w:rPr>
        <w:t>(b)</w:t>
      </w:r>
      <w:r w:rsidRPr="00515D07">
        <w:rPr>
          <w:rFonts w:ascii="Times New Roman" w:hAnsi="Times New Roman"/>
        </w:rPr>
        <w:tab/>
        <w:t>the maintenance of animals (including birds), whether wild or domesticated, for the purpose of selling them or their natural increase or bodily produce".</w:t>
      </w:r>
    </w:p>
    <w:p w14:paraId="73C4260F"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 focus of the statutory words upon the use which actually occurred, abstracted from the person who was using the land, led all of the judges of this Court to emphasise that the determination of the dominant purpose of the use of land posited an "objective" test for purpose. The reference to "objective" described the purpose which would be held by a reasonable person in the position and circumstances of the user of the land. Thus, the plurality referred to the decision of Barrett A-JA in </w:t>
      </w:r>
      <w:r w:rsidRPr="00515D07">
        <w:rPr>
          <w:rFonts w:ascii="Times New Roman" w:hAnsi="Times New Roman"/>
          <w:i/>
          <w:iCs/>
        </w:rPr>
        <w:t>Chief Commissioner of State Revenue v Metricon Qld Pty Ltd</w:t>
      </w:r>
      <w:r w:rsidRPr="00515D07">
        <w:rPr>
          <w:rStyle w:val="FootnoteReference"/>
          <w:rFonts w:ascii="Times New Roman" w:hAnsi="Times New Roman"/>
          <w:sz w:val="24"/>
        </w:rPr>
        <w:footnoteReference w:id="106"/>
      </w:r>
      <w:r w:rsidRPr="00515D07">
        <w:rPr>
          <w:rFonts w:ascii="Times New Roman" w:hAnsi="Times New Roman"/>
          <w:i/>
          <w:iCs/>
        </w:rPr>
        <w:t xml:space="preserve"> </w:t>
      </w:r>
      <w:r w:rsidRPr="00515D07">
        <w:rPr>
          <w:rFonts w:ascii="Times New Roman" w:hAnsi="Times New Roman"/>
        </w:rPr>
        <w:t>and said that the question was one of "characterisation of the use or uses to which the land is put" and that "one should not ignore the conclusion reached by an objective observer who is viewing the land as a whole".</w:t>
      </w:r>
      <w:r w:rsidRPr="00515D07">
        <w:rPr>
          <w:rStyle w:val="FootnoteReference"/>
          <w:rFonts w:ascii="Times New Roman" w:hAnsi="Times New Roman"/>
          <w:sz w:val="24"/>
        </w:rPr>
        <w:footnoteReference w:id="107"/>
      </w:r>
      <w:r w:rsidRPr="00515D07">
        <w:rPr>
          <w:rFonts w:ascii="Times New Roman" w:hAnsi="Times New Roman"/>
        </w:rPr>
        <w:t xml:space="preserve"> As Barrett A-JA further explained, the statutory question was "not what an owner, lessee or other person able to do so decides is to happen in relation to the land".</w:t>
      </w:r>
      <w:r w:rsidRPr="00515D07">
        <w:rPr>
          <w:rStyle w:val="FootnoteReference"/>
          <w:rFonts w:ascii="Times New Roman" w:hAnsi="Times New Roman"/>
          <w:sz w:val="24"/>
        </w:rPr>
        <w:footnoteReference w:id="108"/>
      </w:r>
      <w:r w:rsidRPr="00515D07">
        <w:rPr>
          <w:rFonts w:ascii="Times New Roman" w:hAnsi="Times New Roman"/>
        </w:rPr>
        <w:t xml:space="preserve"> In short, it is "not to be tested by the intention of the owner".</w:t>
      </w:r>
      <w:r w:rsidRPr="00515D07">
        <w:rPr>
          <w:rStyle w:val="FootnoteReference"/>
          <w:rFonts w:ascii="Times New Roman" w:hAnsi="Times New Roman"/>
          <w:sz w:val="24"/>
        </w:rPr>
        <w:footnoteReference w:id="109"/>
      </w:r>
      <w:r w:rsidRPr="00515D07">
        <w:rPr>
          <w:rFonts w:ascii="Times New Roman" w:hAnsi="Times New Roman"/>
        </w:rPr>
        <w:t xml:space="preserve"> That abstracted context is far from the particular terms of provisions such as ss 9-5(1) and 15-30(3).  </w:t>
      </w:r>
    </w:p>
    <w:p w14:paraId="46F511FF"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lastRenderedPageBreak/>
        <w:t xml:space="preserve">Purpose in the provisions of the LCT Act </w:t>
      </w:r>
    </w:p>
    <w:p w14:paraId="42C049EA" w14:textId="77777777" w:rsidR="00522C99" w:rsidRPr="00515D07" w:rsidRDefault="00522C99" w:rsidP="00515D07">
      <w:pPr>
        <w:pStyle w:val="HeadingL2"/>
        <w:spacing w:after="260" w:line="280" w:lineRule="exact"/>
        <w:ind w:right="0"/>
        <w:jc w:val="both"/>
        <w:rPr>
          <w:rFonts w:ascii="Times New Roman" w:hAnsi="Times New Roman"/>
        </w:rPr>
      </w:pPr>
      <w:r w:rsidRPr="00515D07">
        <w:rPr>
          <w:rFonts w:ascii="Times New Roman" w:hAnsi="Times New Roman"/>
        </w:rPr>
        <w:t>Section 9-5(1)</w:t>
      </w:r>
    </w:p>
    <w:p w14:paraId="65E06D86"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In s 9-5(1) "purpose" is used in its central sense of the purpose of the taxpayer, not some purpose that a reasonable person in the taxpayer's position might hold, in all the circumstances. That is so for two reasons. </w:t>
      </w:r>
    </w:p>
    <w:p w14:paraId="6DD68D83"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First, the concern is with the intention of a specific person to use a car for a purpose; namely, to hold as trading stock and for no other purpose. Unlike the legislation considered in </w:t>
      </w:r>
      <w:r w:rsidRPr="00515D07">
        <w:rPr>
          <w:rFonts w:ascii="Times New Roman" w:hAnsi="Times New Roman"/>
          <w:i/>
          <w:iCs/>
        </w:rPr>
        <w:t>Godolphin Australia</w:t>
      </w:r>
      <w:r w:rsidRPr="00515D07">
        <w:rPr>
          <w:rFonts w:ascii="Times New Roman" w:hAnsi="Times New Roman"/>
        </w:rPr>
        <w:t xml:space="preserve">, the focus is not upon the intention and purpose that it might be thought that a reasonable person would have based upon a particular use of a car. Section 9-5(1) is dealing with the acquisition of a car, here by a car dealer, before that dealer commences to use it. The focus of the section is upon the intention of the taxpayer. The "intention" here must therefore be that of the actual appellant. </w:t>
      </w:r>
    </w:p>
    <w:p w14:paraId="5AFFC0A4"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Secondly, s 9-5(1) requires an examination of the purpose of using a car by using ordinary communication directed to "you". The "you" is the taxpayer, not an objective construct or reasonable person. By its terms, the section assumes that a taxpayer has an intention of using a car for a purpose or purposes.</w:t>
      </w:r>
    </w:p>
    <w:p w14:paraId="208E3CB4"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concern of s 9-5(1) is with an inquiry into the intention and purpose of the taxpayer, and this can be shown by the taxpayer producing contemporaneous evidence of intended use of a car for a purpose, such as in a board paper, a business plan, or another document, as well as by the sworn or affirmed testimony of the taxpayer.</w:t>
      </w:r>
      <w:r w:rsidRPr="00515D07">
        <w:rPr>
          <w:rStyle w:val="FootnoteReference"/>
          <w:rFonts w:ascii="Times New Roman" w:hAnsi="Times New Roman"/>
          <w:sz w:val="24"/>
        </w:rPr>
        <w:footnoteReference w:id="110"/>
      </w:r>
    </w:p>
    <w:p w14:paraId="0BBB992A"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That is not to say that objective evidence about the nature of the car acquired, or how it ends up in fact being used, is irrelevant. It is not. Such evidence may be used to corroborate the purpose of the use that was intended or to demonstrate that the taxpayer's evidence of intended use was in some way false. But if direct evidence is accepted, corroboration is unnecessary. As Hunt J said in </w:t>
      </w:r>
      <w:r w:rsidRPr="00515D07">
        <w:rPr>
          <w:rFonts w:ascii="Times New Roman" w:hAnsi="Times New Roman"/>
          <w:i/>
          <w:iCs/>
        </w:rPr>
        <w:t>Allied Pastoral Holdings Pty Ltd v Commissioner of Taxation</w:t>
      </w:r>
      <w:r w:rsidRPr="00515D07">
        <w:rPr>
          <w:rFonts w:ascii="Times New Roman" w:hAnsi="Times New Roman"/>
        </w:rPr>
        <w:t>:</w:t>
      </w:r>
      <w:r w:rsidRPr="00515D07">
        <w:rPr>
          <w:rFonts w:ascii="Times New Roman" w:hAnsi="Times New Roman"/>
          <w:b/>
          <w:sz w:val="24"/>
          <w:vertAlign w:val="superscript"/>
        </w:rPr>
        <w:footnoteReference w:id="111"/>
      </w:r>
    </w:p>
    <w:p w14:paraId="36EF9695" w14:textId="77777777" w:rsidR="00522C99" w:rsidRDefault="00522C99" w:rsidP="00515D07">
      <w:pPr>
        <w:pStyle w:val="LRIndentafterHC"/>
        <w:spacing w:before="0" w:after="260" w:line="280" w:lineRule="exact"/>
        <w:ind w:right="0"/>
        <w:jc w:val="both"/>
        <w:rPr>
          <w:rFonts w:ascii="Times New Roman" w:hAnsi="Times New Roman"/>
        </w:rPr>
      </w:pPr>
      <w:r w:rsidRPr="00515D07">
        <w:rPr>
          <w:rFonts w:ascii="Times New Roman" w:hAnsi="Times New Roman"/>
        </w:rPr>
        <w:t xml:space="preserve">"There is no requirement of law that a taxpayer on a taxation reference or appeal is obliged to produce other evidence to corroborate his own evidence, nor should there be any rule of practice adopted in such cases </w:t>
      </w:r>
      <w:r w:rsidRPr="00515D07">
        <w:rPr>
          <w:rFonts w:ascii="Times New Roman" w:hAnsi="Times New Roman"/>
        </w:rPr>
        <w:lastRenderedPageBreak/>
        <w:t>by which such corroboration is required ... There is no legal obligation upon the taxpayer to produce other evidence to corroborate his evidence before it can be accepted."</w:t>
      </w:r>
    </w:p>
    <w:p w14:paraId="2070A00E" w14:textId="77777777" w:rsidR="00522C99" w:rsidRPr="00515D07" w:rsidRDefault="00522C99" w:rsidP="00515D07">
      <w:pPr>
        <w:pStyle w:val="HeadingL2"/>
        <w:spacing w:after="260" w:line="280" w:lineRule="exact"/>
        <w:ind w:right="0"/>
        <w:jc w:val="both"/>
        <w:rPr>
          <w:rFonts w:ascii="Times New Roman" w:hAnsi="Times New Roman"/>
          <w:i w:val="0"/>
          <w:iCs/>
        </w:rPr>
      </w:pPr>
      <w:r w:rsidRPr="00515D07">
        <w:rPr>
          <w:rFonts w:ascii="Times New Roman" w:hAnsi="Times New Roman"/>
        </w:rPr>
        <w:t>Section 15-30(3)</w:t>
      </w:r>
    </w:p>
    <w:p w14:paraId="1BB90F55"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Turning to s 15-30(3), as explained above, it would be a remarkable and surprising interpretation of s 15-30(3) if, as an allied provision to s 9-5, s 15-30(3) were, without any express language to suggest a change, somehow to have switched from a focus on the purpose of the taxpayer to a focus upon the "objective" purpose of a reasonable person in the position of the taxpayer. It does not do so. </w:t>
      </w:r>
    </w:p>
    <w:p w14:paraId="258DE5FB"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As explained above, the concern of s 15-30 is with a change in the use of a car, for a purpose which is not a quotable purpose. Plainly, that section requires consideration of how a car has been used since its acquisition. When, following acquisition, s 15-30 refers to a change in the use of a car to a use "for a purpose other than a *quotable purpose", the section is referring to the circumstances in which you "may quote" under s 9-5. Inferentially, therefore, the legislative regime thus requires "you" to address the purpose of "your" use when there is a change in use, on the assumption that there is another supply of the car in question. That is because, as the language of s 9-5(1) makes clear, quoting is something that takes place where there is a supply or importation of a luxury car. </w:t>
      </w:r>
    </w:p>
    <w:p w14:paraId="4FBC8734"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In short, "purpose" in s 15-30(3) is not the type of abstracted or notional purpose of a reasonable person discernible only by inference from objective evidence. Textually, that is because s 15</w:t>
      </w:r>
      <w:r w:rsidRPr="00515D07">
        <w:rPr>
          <w:rFonts w:ascii="Times New Roman" w:hAnsi="Times New Roman"/>
        </w:rPr>
        <w:noBreakHyphen/>
        <w:t>30(3) is still concerned with "you" and your use of the car. The difference from s 9-5(1) is that recourse can now be had to everything which has happened since acquisition in determining the purpose of the actual use of a car rather than the purpose of the intended use.</w:t>
      </w:r>
    </w:p>
    <w:p w14:paraId="0E9BB880"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Thus, in a simple case, where the car has actually been used for a purpose other than the purpose for which one "may quote", there may be a need for either a decreasing or increasing luxury car tax adjustment. In that respect, evidence of the circumstances in which the actual use occurred is not necessarily more probative than the sworn or affirmed testimony of a witness in inferring actual purpose. What is more, and what is less, probative always depends on the facts and circumstances of a given case.</w:t>
      </w:r>
    </w:p>
    <w:p w14:paraId="0701BB7A"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t>Characterisation of the appellant's purpose</w:t>
      </w:r>
    </w:p>
    <w:p w14:paraId="6881FAE7"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There was no dispute that the intention of the actual appellant in this case, which was a company, was the intention of the controlling mind of the appellant. That was Mr Denny. It was, of course, for Mr Denny to decide how to run his </w:t>
      </w:r>
      <w:r w:rsidRPr="00515D07">
        <w:rPr>
          <w:rFonts w:ascii="Times New Roman" w:hAnsi="Times New Roman"/>
        </w:rPr>
        <w:lastRenderedPageBreak/>
        <w:t xml:space="preserve">business, and not for the Commissioner to decide otherwise. Mr Denny's choice of method was, arguably, unusual. But as Brennan J generally observed in </w:t>
      </w:r>
      <w:r w:rsidRPr="00515D07">
        <w:rPr>
          <w:rFonts w:ascii="Times New Roman" w:hAnsi="Times New Roman"/>
          <w:i/>
          <w:iCs/>
        </w:rPr>
        <w:t>Magna Alloys</w:t>
      </w:r>
      <w:r w:rsidRPr="00515D07">
        <w:rPr>
          <w:rFonts w:ascii="Times New Roman" w:hAnsi="Times New Roman"/>
        </w:rPr>
        <w:t>:</w:t>
      </w:r>
      <w:r w:rsidRPr="00515D07">
        <w:rPr>
          <w:rStyle w:val="FootnoteReference"/>
          <w:rFonts w:ascii="Times New Roman" w:hAnsi="Times New Roman"/>
          <w:sz w:val="24"/>
        </w:rPr>
        <w:footnoteReference w:id="112"/>
      </w:r>
      <w:r w:rsidRPr="00515D07">
        <w:rPr>
          <w:rFonts w:ascii="Times New Roman" w:hAnsi="Times New Roman"/>
        </w:rPr>
        <w:t xml:space="preserve"> </w:t>
      </w:r>
    </w:p>
    <w:p w14:paraId="5D8369FA" w14:textId="77777777" w:rsidR="00522C99" w:rsidRDefault="00522C99" w:rsidP="00515D07">
      <w:pPr>
        <w:pStyle w:val="LeftrightafterHC"/>
        <w:spacing w:before="0" w:after="260" w:line="280" w:lineRule="exact"/>
        <w:ind w:right="0"/>
        <w:jc w:val="both"/>
        <w:rPr>
          <w:rFonts w:ascii="Times New Roman" w:hAnsi="Times New Roman"/>
        </w:rPr>
      </w:pPr>
      <w:r w:rsidRPr="00515D07">
        <w:rPr>
          <w:rFonts w:ascii="Times New Roman" w:hAnsi="Times New Roman"/>
        </w:rPr>
        <w:t>"The taxpayer is at liberty to determine for himself what the scope and nature of his business or undertaking shall be and how it shall be conducted, the Act having no effect upon those matters but taking 'the result of the taxpayer's activities as it finds them'".</w:t>
      </w:r>
    </w:p>
    <w:p w14:paraId="1585718B"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 principles described above can be applied easily to Mr Denny's chosen purpose, and thus the chosen purpose of the appellant, in this case. </w:t>
      </w:r>
    </w:p>
    <w:p w14:paraId="3B618D2E" w14:textId="77777777" w:rsidR="00522C99" w:rsidRPr="00515D07" w:rsidRDefault="00522C99" w:rsidP="00515D07">
      <w:pPr>
        <w:pStyle w:val="HeadingL2"/>
        <w:spacing w:after="260" w:line="280" w:lineRule="exact"/>
        <w:ind w:right="0"/>
        <w:jc w:val="both"/>
        <w:rPr>
          <w:rFonts w:ascii="Times New Roman" w:hAnsi="Times New Roman"/>
        </w:rPr>
      </w:pPr>
      <w:r w:rsidRPr="00515D07">
        <w:rPr>
          <w:rFonts w:ascii="Times New Roman" w:hAnsi="Times New Roman"/>
        </w:rPr>
        <w:t>Section 9-5(1)</w:t>
      </w:r>
    </w:p>
    <w:p w14:paraId="2871F395"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At the appropriate level of generality, consistently with the legislative purpose of s 9-5(1), Mr Denny's accepted evidence was that the appellant's purpose in holding the cars was to hold them as trading stock. In short, he held the cars to sell. Mr Denny's motive for doing so was obvious: it was to make profit. And Mr Denny's accepted evidence was that the museum was only the means by which the appellant's purpose was achieved. The museum was not the ultimate object or end itself. As the controlling mind of the appellant, Mr Denny's intended means and intended purpose was properly to be attributed to the appellant.</w:t>
      </w:r>
    </w:p>
    <w:p w14:paraId="369A54C0"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True it is the means that Mr Denny, and therefore the appellant, proposed to employ to achieve the purpose were substantial; like the rent in </w:t>
      </w:r>
      <w:r w:rsidRPr="00515D07">
        <w:rPr>
          <w:rFonts w:ascii="Times New Roman" w:hAnsi="Times New Roman"/>
          <w:i/>
          <w:iCs/>
        </w:rPr>
        <w:t>Ryde Municipal Council</w:t>
      </w:r>
      <w:r w:rsidRPr="00515D07">
        <w:rPr>
          <w:rFonts w:ascii="Times New Roman" w:hAnsi="Times New Roman"/>
        </w:rPr>
        <w:t xml:space="preserve">, they were not negligible. But at no point, based upon the accepted evidence of Mr Denny, did the museum concept become an end in itself. The museum concept never ceased to be subjugated to, or the means of achieving, the goal of selling cars. For the "museum concept" to be effective, the museum had to be as real as possible. The signage, the presentation of the cars, the gift shop, the diner, the marketing and the available staff were all dedicated to those means. But this activity, large as it was to be, was not intended by Mr Denny to be an "independent" purpose, end or object. It was an elaborate and extensive marketing exercise designed to promote the appellant's business of being a car dealer; it was precisely a means to an end in the sense considered in </w:t>
      </w:r>
      <w:r w:rsidRPr="00515D07">
        <w:rPr>
          <w:rFonts w:ascii="Times New Roman" w:hAnsi="Times New Roman"/>
          <w:i/>
          <w:iCs/>
        </w:rPr>
        <w:t xml:space="preserve">Salvation Army </w:t>
      </w:r>
      <w:r w:rsidRPr="00515D07">
        <w:rPr>
          <w:rFonts w:ascii="Times New Roman" w:hAnsi="Times New Roman"/>
        </w:rPr>
        <w:t>and the authorities discussed above, which followed the plain distinction recognised in that decision.</w:t>
      </w:r>
    </w:p>
    <w:p w14:paraId="59B21760"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In short, selling cars was the business Mr Denny intended to pursue and the museum was his means of achieving that purpose. Unless Mr Denny was not to be </w:t>
      </w:r>
      <w:r w:rsidRPr="00515D07">
        <w:rPr>
          <w:rFonts w:ascii="Times New Roman" w:hAnsi="Times New Roman"/>
        </w:rPr>
        <w:lastRenderedPageBreak/>
        <w:t xml:space="preserve">believed, it was for him to delineate, as the controlling mind of the appellant, the four walls of that business. The substance and reality here, applying a common sense and commercial approach, is that ultimately the appellant's business was just to sell cars. </w:t>
      </w:r>
    </w:p>
    <w:p w14:paraId="20379E9C"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No part of the foregoing confuses motive with purpose. Mr Denny did not give evidence about why he wanted to run a car dealership as a "museum concept". Presumably, like any business person, it was to make money. Instead, his evidence was about the purpose or objective of the appellant's business; about what he wanted it to achieve, and the means of achieving it.</w:t>
      </w:r>
    </w:p>
    <w:p w14:paraId="10CC8D42" w14:textId="77777777" w:rsidR="00522C99" w:rsidRPr="00515D07" w:rsidRDefault="00522C99" w:rsidP="00515D07">
      <w:pPr>
        <w:pStyle w:val="HeadingL2"/>
        <w:spacing w:after="260" w:line="280" w:lineRule="exact"/>
        <w:ind w:right="0"/>
        <w:jc w:val="both"/>
        <w:rPr>
          <w:rFonts w:ascii="Times New Roman" w:hAnsi="Times New Roman"/>
        </w:rPr>
      </w:pPr>
      <w:r w:rsidRPr="00515D07">
        <w:rPr>
          <w:rFonts w:ascii="Times New Roman" w:hAnsi="Times New Roman"/>
        </w:rPr>
        <w:t>Section 15-30(3)</w:t>
      </w:r>
    </w:p>
    <w:p w14:paraId="1253D480"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Mr Denny's uncontradicted evidence, accepted by the primary judge, was that there was never any change to Mr Denny's initial purpose of selling cars or the use of the museum concept as the means of doing so. That purpose and those means continued right up until the point at which the appellant ceased selling cars from the Gosford showroom, so that the museum (the means to the end of selling cars) was closed. No facts or circumstances cast any doubt upon the veracity of Mr Denny's evidence in this respect.</w:t>
      </w:r>
    </w:p>
    <w:p w14:paraId="350BFCD4"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In particular, the museum was never separately accounted for as an independent venture or purpose. As a result, there was no separate treatment of the cars as stock of the museum, which might otherwise have led to consideration of the tax treatment of the cars in relation to the museum as a separate venture. And whilst the profitability of the "museum concept" is unclear, because it was never separately accounted for, the comparison of gross revenues discussed above demonstrates that the museum always remained subordinate in a revenue sense to the sale of cars. </w:t>
      </w:r>
    </w:p>
    <w:p w14:paraId="27EF320D"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t>The error of the primary judge and the majority of the Full Court</w:t>
      </w:r>
    </w:p>
    <w:p w14:paraId="1E5FD8D1"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For the reasons explained above, neither s 9-5(1) nor s 15</w:t>
      </w:r>
      <w:r w:rsidRPr="00515D07">
        <w:rPr>
          <w:rFonts w:ascii="Times New Roman" w:hAnsi="Times New Roman"/>
        </w:rPr>
        <w:noBreakHyphen/>
        <w:t xml:space="preserve">30(3) is concerned with the purpose of a reasonable person, or that a reasonable person in the position of the taxpayer was "apt to achieve". The purpose in all the relevant provisions was the purpose and intention of a taxpayer, either a natural person or, as in this case, a company. </w:t>
      </w:r>
    </w:p>
    <w:p w14:paraId="5E0D9753"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There are important aspects of the reasoning of the primary judge and the majority of the Full Court with which we agree entirely. For instance, for the five reasons explained above,</w:t>
      </w:r>
      <w:r w:rsidRPr="00515D07">
        <w:rPr>
          <w:rStyle w:val="FootnoteReference"/>
          <w:rFonts w:ascii="Times New Roman" w:hAnsi="Times New Roman"/>
          <w:sz w:val="24"/>
        </w:rPr>
        <w:footnoteReference w:id="113"/>
      </w:r>
      <w:r w:rsidRPr="00515D07">
        <w:rPr>
          <w:rFonts w:ascii="Times New Roman" w:hAnsi="Times New Roman"/>
        </w:rPr>
        <w:t xml:space="preserve"> the primary judge's acceptance of Mr Denny's </w:t>
      </w:r>
      <w:r w:rsidRPr="00515D07">
        <w:rPr>
          <w:rFonts w:ascii="Times New Roman" w:hAnsi="Times New Roman"/>
        </w:rPr>
        <w:lastRenderedPageBreak/>
        <w:t xml:space="preserve">evidence about his, and therefore the appellant's, purpose was compelling. Further, and although it is unnecessary to decide on this appeal, there is much force in the reasoning of the primary judge and the majority of the Full Court that the phrase "no other purpose" in s 9-5(1) does not mean no alternative purpose. Nevertheless, we do not accept the "objective" approach to purpose that was taken by the primary judge and the majority of the Full Court. In that respect, the reasoning of Logan J should be preferred.  </w:t>
      </w:r>
    </w:p>
    <w:p w14:paraId="4A733D58"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 xml:space="preserve">The primary judge misapprehended the passage from Gleeson CJ in </w:t>
      </w:r>
      <w:r w:rsidRPr="00515D07">
        <w:rPr>
          <w:rFonts w:ascii="Times New Roman" w:hAnsi="Times New Roman"/>
          <w:i/>
          <w:iCs/>
        </w:rPr>
        <w:t>News Ltd v South Sydney District Rugby League Football Club Ltd</w:t>
      </w:r>
      <w:r w:rsidRPr="00515D07">
        <w:rPr>
          <w:rFonts w:ascii="Times New Roman" w:hAnsi="Times New Roman"/>
        </w:rPr>
        <w:t>, set out above, saying that "[t]he reasons for a person engaging in an activity explains the person's motive, but is distinguishable from, even if it might inform, the purpose of the activity".</w:t>
      </w:r>
      <w:r w:rsidRPr="00515D07">
        <w:rPr>
          <w:rStyle w:val="FootnoteReference"/>
          <w:rFonts w:ascii="Times New Roman" w:hAnsi="Times New Roman"/>
          <w:sz w:val="24"/>
        </w:rPr>
        <w:footnoteReference w:id="114"/>
      </w:r>
      <w:r w:rsidRPr="00515D07">
        <w:rPr>
          <w:rFonts w:ascii="Times New Roman" w:hAnsi="Times New Roman"/>
        </w:rPr>
        <w:t xml:space="preserve"> But, as explained, the reasons, in the sense of desired ends or goals, for a person </w:t>
      </w:r>
      <w:r w:rsidRPr="00515D07">
        <w:rPr>
          <w:rFonts w:ascii="Times New Roman" w:hAnsi="Times New Roman"/>
          <w:i/>
          <w:iCs/>
        </w:rPr>
        <w:t xml:space="preserve">engaging in an activity </w:t>
      </w:r>
      <w:r w:rsidRPr="00515D07">
        <w:rPr>
          <w:rFonts w:ascii="Times New Roman" w:hAnsi="Times New Roman"/>
        </w:rPr>
        <w:t xml:space="preserve">are a person's purpose. The motive is the reason for those </w:t>
      </w:r>
      <w:r w:rsidRPr="00515D07">
        <w:rPr>
          <w:rFonts w:ascii="Times New Roman" w:hAnsi="Times New Roman"/>
          <w:i/>
          <w:iCs/>
        </w:rPr>
        <w:t>ends</w:t>
      </w:r>
      <w:r w:rsidRPr="00515D07">
        <w:rPr>
          <w:rFonts w:ascii="Times New Roman" w:hAnsi="Times New Roman"/>
        </w:rPr>
        <w:t>,</w:t>
      </w:r>
      <w:r w:rsidRPr="00515D07">
        <w:rPr>
          <w:rFonts w:ascii="Times New Roman" w:hAnsi="Times New Roman"/>
          <w:i/>
          <w:iCs/>
        </w:rPr>
        <w:t xml:space="preserve"> </w:t>
      </w:r>
      <w:r w:rsidRPr="00515D07">
        <w:rPr>
          <w:rFonts w:ascii="Times New Roman" w:hAnsi="Times New Roman"/>
        </w:rPr>
        <w:t>not the reason for the activity. The primary judge was therefore correct to conclude that Mr Denny's "subjective evidence" of his goals "might properly inform an assessment of purpose"</w:t>
      </w:r>
      <w:r w:rsidRPr="00515D07">
        <w:rPr>
          <w:rStyle w:val="FootnoteReference"/>
          <w:rFonts w:ascii="Times New Roman" w:hAnsi="Times New Roman"/>
          <w:sz w:val="24"/>
        </w:rPr>
        <w:footnoteReference w:id="115"/>
      </w:r>
      <w:r w:rsidRPr="00515D07">
        <w:rPr>
          <w:rFonts w:ascii="Times New Roman" w:hAnsi="Times New Roman"/>
        </w:rPr>
        <w:t xml:space="preserve"> but incorrect to assume that it was possible to accept Mr Denny's subjective evidence but still reach a different conclusion of purpose.   </w:t>
      </w:r>
    </w:p>
    <w:p w14:paraId="42052BEA"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The majority of the Full Court correctly identified Mr Denny's purpose when their Honours said that "Mr Denny realised his subjective intention of making the cars appear more desirable to potential purchasers of the cars by exhibiting each of the cars as part of a curated 'museum' collection to be seen by as many people as possible".</w:t>
      </w:r>
      <w:r w:rsidRPr="00515D07">
        <w:rPr>
          <w:rStyle w:val="FootnoteReference"/>
          <w:rFonts w:ascii="Times New Roman" w:hAnsi="Times New Roman"/>
          <w:sz w:val="24"/>
        </w:rPr>
        <w:footnoteReference w:id="116"/>
      </w:r>
      <w:r w:rsidRPr="00515D07">
        <w:rPr>
          <w:rFonts w:ascii="Times New Roman" w:hAnsi="Times New Roman"/>
        </w:rPr>
        <w:t xml:space="preserve"> But the majority rejected Mr Denny's purpose as the relevant purpose in favour of a conception "ascertained by an objective consideration of the totality of the facts and circumstances".</w:t>
      </w:r>
      <w:r w:rsidRPr="00515D07">
        <w:rPr>
          <w:rStyle w:val="FootnoteReference"/>
          <w:rFonts w:ascii="Times New Roman" w:hAnsi="Times New Roman"/>
          <w:sz w:val="24"/>
        </w:rPr>
        <w:footnoteReference w:id="117"/>
      </w:r>
      <w:r w:rsidRPr="00515D07">
        <w:rPr>
          <w:rFonts w:ascii="Times New Roman" w:hAnsi="Times New Roman"/>
        </w:rPr>
        <w:t xml:space="preserve"> The majority thus reached their conclusion independently of "[w]hatever Mr Denny as the </w:t>
      </w:r>
      <w:r w:rsidRPr="00515D07">
        <w:rPr>
          <w:rFonts w:ascii="Times New Roman" w:hAnsi="Times New Roman"/>
        </w:rPr>
        <w:lastRenderedPageBreak/>
        <w:t>controlling mind of the appellant thought he was doing".</w:t>
      </w:r>
      <w:r w:rsidRPr="00515D07">
        <w:rPr>
          <w:rStyle w:val="FootnoteReference"/>
          <w:rFonts w:ascii="Times New Roman" w:hAnsi="Times New Roman"/>
          <w:sz w:val="24"/>
        </w:rPr>
        <w:footnoteReference w:id="118"/>
      </w:r>
      <w:r w:rsidRPr="00515D07">
        <w:rPr>
          <w:rFonts w:ascii="Times New Roman" w:hAnsi="Times New Roman"/>
        </w:rPr>
        <w:t xml:space="preserve"> It seems, therefore, that the "objective" purpose conception of the majority of the Full Court was akin to the purpose that would be held by a reasonable person in the appellant's position. As explained above, that approach was an error because although the majority of the Full Court properly recognised the appellant's purpose in holding the 40 cars, they failed to apply that purpose. </w:t>
      </w:r>
    </w:p>
    <w:p w14:paraId="5B728CC5" w14:textId="77777777" w:rsidR="00522C99" w:rsidRPr="00515D07" w:rsidRDefault="00522C99" w:rsidP="00515D07">
      <w:pPr>
        <w:pStyle w:val="HeadingL1"/>
        <w:spacing w:after="260" w:line="280" w:lineRule="exact"/>
        <w:ind w:right="0"/>
        <w:jc w:val="both"/>
        <w:rPr>
          <w:rFonts w:ascii="Times New Roman" w:hAnsi="Times New Roman"/>
        </w:rPr>
      </w:pPr>
      <w:r w:rsidRPr="00515D07">
        <w:rPr>
          <w:rFonts w:ascii="Times New Roman" w:hAnsi="Times New Roman"/>
        </w:rPr>
        <w:t>Disposition</w:t>
      </w:r>
    </w:p>
    <w:p w14:paraId="548F3676" w14:textId="77777777" w:rsidR="00522C99" w:rsidRPr="00515D07" w:rsidRDefault="00522C99" w:rsidP="00515D07">
      <w:pPr>
        <w:pStyle w:val="FixListStyle"/>
        <w:spacing w:after="260" w:line="280" w:lineRule="exact"/>
        <w:ind w:right="0"/>
        <w:jc w:val="both"/>
        <w:rPr>
          <w:rFonts w:ascii="Times New Roman" w:hAnsi="Times New Roman"/>
        </w:rPr>
      </w:pPr>
      <w:r w:rsidRPr="00515D07">
        <w:rPr>
          <w:rFonts w:ascii="Times New Roman" w:hAnsi="Times New Roman"/>
        </w:rPr>
        <w:tab/>
        <w:t>For the foregoing reasons this appeal must be allowed in respect of the LCT issue and, it follows, in respect of the GST issue. The orders of the Court should be:</w:t>
      </w:r>
    </w:p>
    <w:p w14:paraId="15291EFE" w14:textId="77777777" w:rsidR="00522C99" w:rsidRPr="00515D07" w:rsidRDefault="00522C99" w:rsidP="00515D07">
      <w:pPr>
        <w:pStyle w:val="NormalBody"/>
        <w:spacing w:after="260" w:line="280" w:lineRule="exact"/>
        <w:ind w:right="0"/>
        <w:jc w:val="both"/>
        <w:rPr>
          <w:rFonts w:ascii="Times New Roman" w:hAnsi="Times New Roman"/>
        </w:rPr>
      </w:pPr>
      <w:r w:rsidRPr="00515D07">
        <w:rPr>
          <w:rFonts w:ascii="Times New Roman" w:hAnsi="Times New Roman"/>
        </w:rPr>
        <w:t>1.</w:t>
      </w:r>
      <w:r w:rsidRPr="00515D07">
        <w:rPr>
          <w:rFonts w:ascii="Times New Roman" w:hAnsi="Times New Roman"/>
        </w:rPr>
        <w:tab/>
        <w:t>The appeal be allowed.</w:t>
      </w:r>
    </w:p>
    <w:p w14:paraId="6596ACBF" w14:textId="77777777" w:rsidR="00522C99" w:rsidRPr="00515D07" w:rsidRDefault="00522C99" w:rsidP="00515D07">
      <w:pPr>
        <w:pStyle w:val="NormalBody"/>
        <w:spacing w:after="260" w:line="280" w:lineRule="exact"/>
        <w:ind w:left="720" w:right="0" w:hanging="720"/>
        <w:jc w:val="both"/>
        <w:rPr>
          <w:rFonts w:ascii="Times New Roman" w:hAnsi="Times New Roman"/>
        </w:rPr>
      </w:pPr>
      <w:r w:rsidRPr="00515D07">
        <w:rPr>
          <w:rFonts w:ascii="Times New Roman" w:hAnsi="Times New Roman"/>
        </w:rPr>
        <w:t>2.</w:t>
      </w:r>
      <w:r w:rsidRPr="00515D07">
        <w:rPr>
          <w:rFonts w:ascii="Times New Roman" w:hAnsi="Times New Roman"/>
        </w:rPr>
        <w:tab/>
        <w:t>Set aside the orders made by the Full Court of the Federal Court of Australia on 11 August 2023 and, in their place, order that:</w:t>
      </w:r>
    </w:p>
    <w:p w14:paraId="606DF73F" w14:textId="77777777" w:rsidR="00522C99" w:rsidRPr="00515D07" w:rsidRDefault="00522C99" w:rsidP="00515D07">
      <w:pPr>
        <w:pStyle w:val="NormalBody"/>
        <w:spacing w:after="260" w:line="280" w:lineRule="exact"/>
        <w:ind w:left="1440" w:right="0" w:hanging="720"/>
        <w:jc w:val="both"/>
        <w:rPr>
          <w:rFonts w:ascii="Times New Roman" w:hAnsi="Times New Roman"/>
        </w:rPr>
      </w:pPr>
      <w:r w:rsidRPr="00515D07">
        <w:rPr>
          <w:rFonts w:ascii="Times New Roman" w:hAnsi="Times New Roman"/>
        </w:rPr>
        <w:t>a.</w:t>
      </w:r>
      <w:r w:rsidRPr="00515D07">
        <w:rPr>
          <w:rFonts w:ascii="Times New Roman" w:hAnsi="Times New Roman"/>
        </w:rPr>
        <w:tab/>
        <w:t xml:space="preserve">the appeal be allowed; </w:t>
      </w:r>
    </w:p>
    <w:p w14:paraId="75B3203F" w14:textId="77777777" w:rsidR="00522C99" w:rsidRPr="00515D07" w:rsidRDefault="00522C99" w:rsidP="00515D07">
      <w:pPr>
        <w:pStyle w:val="NormalBody"/>
        <w:spacing w:after="260" w:line="280" w:lineRule="exact"/>
        <w:ind w:left="1440" w:right="0" w:hanging="720"/>
        <w:jc w:val="both"/>
        <w:rPr>
          <w:rFonts w:ascii="Times New Roman" w:hAnsi="Times New Roman"/>
        </w:rPr>
      </w:pPr>
      <w:r w:rsidRPr="00515D07">
        <w:rPr>
          <w:rFonts w:ascii="Times New Roman" w:hAnsi="Times New Roman"/>
        </w:rPr>
        <w:t>b.</w:t>
      </w:r>
      <w:r w:rsidRPr="00515D07">
        <w:rPr>
          <w:rFonts w:ascii="Times New Roman" w:hAnsi="Times New Roman"/>
        </w:rPr>
        <w:tab/>
        <w:t>the orders made by the primary judge on 19 April 2022 be set aside and, in their place, order that:</w:t>
      </w:r>
    </w:p>
    <w:p w14:paraId="73E91475" w14:textId="77777777" w:rsidR="00522C99" w:rsidRPr="00515D07" w:rsidRDefault="00522C99" w:rsidP="00515D07">
      <w:pPr>
        <w:pStyle w:val="NormalBody"/>
        <w:spacing w:after="260" w:line="280" w:lineRule="exact"/>
        <w:ind w:left="2160" w:right="0" w:hanging="720"/>
        <w:jc w:val="both"/>
        <w:rPr>
          <w:rFonts w:ascii="Times New Roman" w:hAnsi="Times New Roman"/>
        </w:rPr>
      </w:pPr>
      <w:r w:rsidRPr="00515D07">
        <w:rPr>
          <w:rFonts w:ascii="Times New Roman" w:hAnsi="Times New Roman"/>
        </w:rPr>
        <w:t>(i)</w:t>
      </w:r>
      <w:r w:rsidRPr="00515D07">
        <w:rPr>
          <w:rFonts w:ascii="Times New Roman" w:hAnsi="Times New Roman"/>
        </w:rPr>
        <w:tab/>
        <w:t>the appeal against the Commissioner's objection decision be allowed;</w:t>
      </w:r>
    </w:p>
    <w:p w14:paraId="4FC2CB35" w14:textId="77777777" w:rsidR="00522C99" w:rsidRPr="00515D07" w:rsidRDefault="00522C99" w:rsidP="00515D07">
      <w:pPr>
        <w:pStyle w:val="NormalBody"/>
        <w:spacing w:after="260" w:line="280" w:lineRule="exact"/>
        <w:ind w:left="2160" w:right="0" w:hanging="720"/>
        <w:jc w:val="both"/>
        <w:rPr>
          <w:rFonts w:ascii="Times New Roman" w:hAnsi="Times New Roman"/>
        </w:rPr>
      </w:pPr>
      <w:r w:rsidRPr="00515D07">
        <w:rPr>
          <w:rFonts w:ascii="Times New Roman" w:hAnsi="Times New Roman"/>
        </w:rPr>
        <w:t>(ii)</w:t>
      </w:r>
      <w:r w:rsidRPr="00515D07">
        <w:rPr>
          <w:rFonts w:ascii="Times New Roman" w:hAnsi="Times New Roman"/>
        </w:rPr>
        <w:tab/>
        <w:t>the objection decision be set aside, and the appellant's objection be allowed in full; and</w:t>
      </w:r>
    </w:p>
    <w:p w14:paraId="7EFA9015" w14:textId="77777777" w:rsidR="00522C99" w:rsidRPr="00515D07" w:rsidRDefault="00522C99" w:rsidP="00515D07">
      <w:pPr>
        <w:pStyle w:val="NormalBody"/>
        <w:spacing w:after="260" w:line="280" w:lineRule="exact"/>
        <w:ind w:left="2160" w:right="0" w:hanging="720"/>
        <w:jc w:val="both"/>
        <w:rPr>
          <w:rFonts w:ascii="Times New Roman" w:hAnsi="Times New Roman"/>
        </w:rPr>
      </w:pPr>
      <w:r w:rsidRPr="00515D07">
        <w:rPr>
          <w:rFonts w:ascii="Times New Roman" w:hAnsi="Times New Roman"/>
        </w:rPr>
        <w:t>(iii)</w:t>
      </w:r>
      <w:r w:rsidRPr="00515D07">
        <w:rPr>
          <w:rFonts w:ascii="Times New Roman" w:hAnsi="Times New Roman"/>
        </w:rPr>
        <w:tab/>
        <w:t>the Commissioner pay the appellant's costs; and</w:t>
      </w:r>
    </w:p>
    <w:p w14:paraId="6D76820B" w14:textId="77777777" w:rsidR="00522C99" w:rsidRPr="00515D07" w:rsidRDefault="00522C99" w:rsidP="00515D07">
      <w:pPr>
        <w:pStyle w:val="NormalBody"/>
        <w:spacing w:after="260" w:line="280" w:lineRule="exact"/>
        <w:ind w:left="720" w:right="0"/>
        <w:jc w:val="both"/>
        <w:rPr>
          <w:rFonts w:ascii="Times New Roman" w:hAnsi="Times New Roman"/>
        </w:rPr>
      </w:pPr>
      <w:r w:rsidRPr="00515D07">
        <w:rPr>
          <w:rFonts w:ascii="Times New Roman" w:hAnsi="Times New Roman"/>
        </w:rPr>
        <w:t>c.</w:t>
      </w:r>
      <w:r w:rsidRPr="00515D07">
        <w:rPr>
          <w:rFonts w:ascii="Times New Roman" w:hAnsi="Times New Roman"/>
        </w:rPr>
        <w:tab/>
        <w:t>the Commissioner pay the appellant's costs.</w:t>
      </w:r>
    </w:p>
    <w:p w14:paraId="7C9EDD75" w14:textId="77777777" w:rsidR="009C62CE" w:rsidRDefault="00522C99" w:rsidP="009C62CE">
      <w:pPr>
        <w:pStyle w:val="NormalBody"/>
        <w:spacing w:after="260" w:line="280" w:lineRule="exact"/>
        <w:ind w:right="0"/>
        <w:jc w:val="both"/>
        <w:rPr>
          <w:rFonts w:ascii="Times New Roman" w:hAnsi="Times New Roman"/>
        </w:rPr>
      </w:pPr>
      <w:r w:rsidRPr="00515D07">
        <w:rPr>
          <w:rFonts w:ascii="Times New Roman" w:hAnsi="Times New Roman"/>
        </w:rPr>
        <w:t>3.</w:t>
      </w:r>
      <w:r w:rsidRPr="00515D07">
        <w:rPr>
          <w:rFonts w:ascii="Times New Roman" w:hAnsi="Times New Roman"/>
        </w:rPr>
        <w:tab/>
        <w:t>The Commissioner pay the appellant's costs of this appeal.</w:t>
      </w:r>
    </w:p>
    <w:p w14:paraId="5242AF38" w14:textId="77777777" w:rsidR="009C62CE" w:rsidRDefault="009C62CE" w:rsidP="009C62CE">
      <w:pPr>
        <w:pStyle w:val="NormalBody"/>
        <w:spacing w:after="260" w:line="280" w:lineRule="exact"/>
        <w:ind w:right="0"/>
        <w:jc w:val="both"/>
        <w:rPr>
          <w:rFonts w:ascii="Times New Roman" w:hAnsi="Times New Roman"/>
        </w:rPr>
        <w:sectPr w:rsidR="009C62CE" w:rsidSect="009C62CE">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07E7CA3" w14:textId="7C194003" w:rsidR="00B31A36" w:rsidRPr="009C62CE" w:rsidRDefault="00B31A36" w:rsidP="009C62CE">
      <w:pPr>
        <w:pStyle w:val="NormalBody"/>
      </w:pPr>
    </w:p>
    <w:sectPr w:rsidR="00B31A36" w:rsidRPr="009C62CE" w:rsidSect="009C62CE">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61BC" w14:textId="77777777" w:rsidR="00AE1E22" w:rsidRDefault="00AE1E22">
      <w:pPr>
        <w:spacing w:line="240" w:lineRule="auto"/>
      </w:pPr>
      <w:r>
        <w:separator/>
      </w:r>
    </w:p>
  </w:endnote>
  <w:endnote w:type="continuationSeparator" w:id="0">
    <w:p w14:paraId="3877431F" w14:textId="77777777" w:rsidR="00AE1E22" w:rsidRDefault="00AE1E22">
      <w:pPr>
        <w:spacing w:line="240" w:lineRule="auto"/>
      </w:pPr>
      <w:r>
        <w:continuationSeparator/>
      </w:r>
    </w:p>
  </w:endnote>
  <w:endnote w:type="continuationNotice" w:id="1">
    <w:p w14:paraId="652D39F9" w14:textId="77777777" w:rsidR="00AE1E22" w:rsidRDefault="00AE1E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5F1C" w14:textId="77777777" w:rsidR="009C62CE" w:rsidRDefault="009C6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F677" w14:textId="77777777" w:rsidR="009C62CE" w:rsidRDefault="009C6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80C3" w14:textId="77777777" w:rsidR="009C62CE" w:rsidRDefault="009C62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B580" w14:textId="77777777" w:rsidR="004D6D11" w:rsidRDefault="004D6D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C140" w14:textId="77777777" w:rsidR="004D6D11" w:rsidRDefault="004D6D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A72E" w14:textId="77777777" w:rsidR="004D6D11" w:rsidRDefault="004D6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919B" w14:textId="77777777" w:rsidR="00AE1E22" w:rsidRPr="00F54B93" w:rsidRDefault="00AE1E22" w:rsidP="00F54B93">
      <w:pPr>
        <w:pStyle w:val="Footer"/>
        <w:spacing w:before="120" w:after="20"/>
        <w:ind w:right="0"/>
        <w:rPr>
          <w:rFonts w:ascii="Times New Roman" w:hAnsi="Times New Roman"/>
        </w:rPr>
      </w:pPr>
      <w:r>
        <w:continuationSeparator/>
      </w:r>
    </w:p>
  </w:footnote>
  <w:footnote w:type="continuationSeparator" w:id="0">
    <w:p w14:paraId="1ED36988" w14:textId="77777777" w:rsidR="00AE1E22" w:rsidRPr="00F54B93" w:rsidRDefault="00AE1E22" w:rsidP="00F54B93">
      <w:pPr>
        <w:pStyle w:val="Footer"/>
        <w:spacing w:before="120" w:after="20"/>
        <w:ind w:right="0"/>
        <w:rPr>
          <w:rFonts w:ascii="Times New Roman" w:hAnsi="Times New Roman"/>
        </w:rPr>
      </w:pPr>
      <w:r w:rsidRPr="00F54B93">
        <w:rPr>
          <w:rFonts w:ascii="Times New Roman" w:hAnsi="Times New Roman"/>
        </w:rPr>
        <w:continuationSeparator/>
      </w:r>
    </w:p>
  </w:footnote>
  <w:footnote w:type="continuationNotice" w:id="1">
    <w:p w14:paraId="0198C327" w14:textId="77777777" w:rsidR="00AE1E22" w:rsidRPr="009C62CE" w:rsidRDefault="00AE1E22">
      <w:pPr>
        <w:jc w:val="right"/>
        <w:rPr>
          <w:rFonts w:ascii="Times New Roman" w:hAnsi="Times New Roman"/>
          <w:sz w:val="24"/>
        </w:rPr>
      </w:pPr>
    </w:p>
  </w:footnote>
  <w:footnote w:id="2">
    <w:p w14:paraId="54D6B3F9" w14:textId="306F28F1" w:rsidR="00A2076B" w:rsidRPr="00F54B93" w:rsidRDefault="00A2076B"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88353F" w:rsidRPr="00F54B93">
        <w:rPr>
          <w:rFonts w:ascii="Times New Roman" w:hAnsi="Times New Roman"/>
          <w:i/>
          <w:iCs/>
          <w:sz w:val="24"/>
        </w:rPr>
        <w:t xml:space="preserve">Automotive Invest Pty </w:t>
      </w:r>
      <w:r w:rsidR="007B0305" w:rsidRPr="00F54B93">
        <w:rPr>
          <w:rFonts w:ascii="Times New Roman" w:hAnsi="Times New Roman"/>
          <w:i/>
          <w:iCs/>
          <w:sz w:val="24"/>
        </w:rPr>
        <w:t xml:space="preserve">Ltd </w:t>
      </w:r>
      <w:r w:rsidR="0088353F" w:rsidRPr="00F54B93">
        <w:rPr>
          <w:rFonts w:ascii="Times New Roman" w:hAnsi="Times New Roman"/>
          <w:i/>
          <w:iCs/>
          <w:sz w:val="24"/>
        </w:rPr>
        <w:t xml:space="preserve">v </w:t>
      </w:r>
      <w:r w:rsidR="001C10BF" w:rsidRPr="00F54B93">
        <w:rPr>
          <w:rFonts w:ascii="Times New Roman" w:hAnsi="Times New Roman"/>
          <w:i/>
          <w:iCs/>
          <w:sz w:val="24"/>
        </w:rPr>
        <w:t xml:space="preserve">Federal </w:t>
      </w:r>
      <w:r w:rsidR="0088353F" w:rsidRPr="00F54B93">
        <w:rPr>
          <w:rFonts w:ascii="Times New Roman" w:hAnsi="Times New Roman"/>
          <w:i/>
          <w:iCs/>
          <w:sz w:val="24"/>
        </w:rPr>
        <w:t>Commissioner of Taxation</w:t>
      </w:r>
      <w:r w:rsidR="0088353F" w:rsidRPr="00F54B93">
        <w:rPr>
          <w:rFonts w:ascii="Times New Roman" w:hAnsi="Times New Roman"/>
          <w:sz w:val="24"/>
        </w:rPr>
        <w:t xml:space="preserve"> </w:t>
      </w:r>
      <w:r w:rsidRPr="00F54B93">
        <w:rPr>
          <w:rFonts w:ascii="Times New Roman" w:hAnsi="Times New Roman"/>
          <w:sz w:val="24"/>
        </w:rPr>
        <w:t>(2022) 114 ATR 569</w:t>
      </w:r>
      <w:r w:rsidR="0088353F" w:rsidRPr="00F54B93">
        <w:rPr>
          <w:rFonts w:ascii="Times New Roman" w:hAnsi="Times New Roman"/>
          <w:sz w:val="24"/>
        </w:rPr>
        <w:t>.</w:t>
      </w:r>
    </w:p>
  </w:footnote>
  <w:footnote w:id="3">
    <w:p w14:paraId="4534D820" w14:textId="1DD7E209" w:rsidR="0088353F" w:rsidRPr="00F54B93" w:rsidRDefault="0088353F"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775FBE" w:rsidRPr="00F54B93">
        <w:rPr>
          <w:rFonts w:ascii="Times New Roman" w:hAnsi="Times New Roman"/>
          <w:i/>
          <w:iCs/>
          <w:sz w:val="24"/>
        </w:rPr>
        <w:t xml:space="preserve">Automotive Invest Pty </w:t>
      </w:r>
      <w:r w:rsidR="007B0305" w:rsidRPr="00F54B93">
        <w:rPr>
          <w:rFonts w:ascii="Times New Roman" w:hAnsi="Times New Roman"/>
          <w:i/>
          <w:iCs/>
          <w:sz w:val="24"/>
        </w:rPr>
        <w:t xml:space="preserve">Ltd </w:t>
      </w:r>
      <w:r w:rsidR="00775FBE" w:rsidRPr="00F54B93">
        <w:rPr>
          <w:rFonts w:ascii="Times New Roman" w:hAnsi="Times New Roman"/>
          <w:i/>
          <w:iCs/>
          <w:sz w:val="24"/>
        </w:rPr>
        <w:t xml:space="preserve">v </w:t>
      </w:r>
      <w:r w:rsidR="001C10BF" w:rsidRPr="00F54B93">
        <w:rPr>
          <w:rFonts w:ascii="Times New Roman" w:hAnsi="Times New Roman"/>
          <w:i/>
          <w:iCs/>
          <w:sz w:val="24"/>
        </w:rPr>
        <w:t xml:space="preserve">Federal </w:t>
      </w:r>
      <w:r w:rsidR="00775FBE" w:rsidRPr="00F54B93">
        <w:rPr>
          <w:rFonts w:ascii="Times New Roman" w:hAnsi="Times New Roman"/>
          <w:i/>
          <w:iCs/>
          <w:sz w:val="24"/>
        </w:rPr>
        <w:t>Commissioner of Taxation</w:t>
      </w:r>
      <w:r w:rsidR="00775FBE" w:rsidRPr="00F54B93">
        <w:rPr>
          <w:rFonts w:ascii="Times New Roman" w:hAnsi="Times New Roman"/>
          <w:sz w:val="24"/>
        </w:rPr>
        <w:t xml:space="preserve"> (2023) 299 FCR 288.</w:t>
      </w:r>
    </w:p>
  </w:footnote>
  <w:footnote w:id="4">
    <w:p w14:paraId="7B9344F5" w14:textId="77777777" w:rsidR="006A75E9" w:rsidRPr="00F54B93" w:rsidRDefault="006A75E9"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Pr="00F54B93">
        <w:rPr>
          <w:rFonts w:ascii="Times New Roman" w:hAnsi="Times New Roman"/>
          <w:i/>
          <w:iCs/>
          <w:sz w:val="24"/>
        </w:rPr>
        <w:t>A New Tax System (Luxury Car Tax) Act 1999</w:t>
      </w:r>
      <w:r w:rsidRPr="00F54B93">
        <w:rPr>
          <w:rFonts w:ascii="Times New Roman" w:hAnsi="Times New Roman"/>
          <w:sz w:val="24"/>
        </w:rPr>
        <w:t xml:space="preserve"> (Cth), s 23</w:t>
      </w:r>
      <w:r w:rsidRPr="00F54B93">
        <w:rPr>
          <w:rFonts w:ascii="Times New Roman" w:hAnsi="Times New Roman"/>
          <w:sz w:val="24"/>
        </w:rPr>
        <w:noBreakHyphen/>
        <w:t xml:space="preserve">1(1).  </w:t>
      </w:r>
    </w:p>
  </w:footnote>
  <w:footnote w:id="5">
    <w:p w14:paraId="5B12D50D" w14:textId="77777777" w:rsidR="008C3DA7" w:rsidRPr="00F54B93" w:rsidRDefault="008C3DA7"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Emphasis added.</w:t>
      </w:r>
    </w:p>
  </w:footnote>
  <w:footnote w:id="6">
    <w:p w14:paraId="1843C60B" w14:textId="77777777" w:rsidR="00490193" w:rsidRPr="00F54B93" w:rsidRDefault="00490193"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Emphasis added.</w:t>
      </w:r>
    </w:p>
  </w:footnote>
  <w:footnote w:id="7">
    <w:p w14:paraId="224F5798" w14:textId="65E30B67" w:rsidR="008C3DA7" w:rsidRPr="00F54B93" w:rsidRDefault="008C3DA7"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Section 15-3</w:t>
      </w:r>
      <w:r w:rsidR="008426B3" w:rsidRPr="00F54B93">
        <w:rPr>
          <w:rFonts w:ascii="Times New Roman" w:hAnsi="Times New Roman"/>
          <w:sz w:val="24"/>
        </w:rPr>
        <w:t>0</w:t>
      </w:r>
      <w:r w:rsidRPr="00F54B93">
        <w:rPr>
          <w:rFonts w:ascii="Times New Roman" w:hAnsi="Times New Roman"/>
          <w:sz w:val="24"/>
        </w:rPr>
        <w:t>(3)</w:t>
      </w:r>
      <w:r w:rsidR="00535A30" w:rsidRPr="00F54B93">
        <w:rPr>
          <w:rFonts w:ascii="Times New Roman" w:hAnsi="Times New Roman"/>
          <w:sz w:val="24"/>
        </w:rPr>
        <w:t>(c)</w:t>
      </w:r>
      <w:r w:rsidRPr="00F54B93">
        <w:rPr>
          <w:rFonts w:ascii="Times New Roman" w:hAnsi="Times New Roman"/>
          <w:sz w:val="24"/>
        </w:rPr>
        <w:t xml:space="preserve"> refer</w:t>
      </w:r>
      <w:r w:rsidR="00A17243" w:rsidRPr="00F54B93">
        <w:rPr>
          <w:rFonts w:ascii="Times New Roman" w:hAnsi="Times New Roman"/>
          <w:sz w:val="24"/>
        </w:rPr>
        <w:t>s</w:t>
      </w:r>
      <w:r w:rsidRPr="00F54B93">
        <w:rPr>
          <w:rFonts w:ascii="Times New Roman" w:hAnsi="Times New Roman"/>
          <w:sz w:val="24"/>
        </w:rPr>
        <w:t xml:space="preserve"> to "use" rather than "use</w:t>
      </w:r>
      <w:r w:rsidR="008426B3" w:rsidRPr="00F54B93">
        <w:rPr>
          <w:rFonts w:ascii="Times New Roman" w:hAnsi="Times New Roman"/>
          <w:sz w:val="24"/>
        </w:rPr>
        <w:t>d</w:t>
      </w:r>
      <w:r w:rsidRPr="00F54B93">
        <w:rPr>
          <w:rFonts w:ascii="Times New Roman" w:hAnsi="Times New Roman"/>
          <w:sz w:val="24"/>
        </w:rPr>
        <w:t>".</w:t>
      </w:r>
    </w:p>
  </w:footnote>
  <w:footnote w:id="8">
    <w:p w14:paraId="739E03B2" w14:textId="4E49F721" w:rsidR="00696958" w:rsidRPr="00F54B93" w:rsidRDefault="00696958" w:rsidP="00F54B93">
      <w:pPr>
        <w:pStyle w:val="FootnoteText"/>
        <w:spacing w:line="280" w:lineRule="exact"/>
        <w:ind w:right="0"/>
        <w:jc w:val="both"/>
        <w:rPr>
          <w:rFonts w:ascii="Times New Roman" w:hAnsi="Times New Roman"/>
          <w:sz w:val="24"/>
          <w:lang w:val="en-US"/>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00AA0D28" w:rsidRPr="00F54B93">
        <w:rPr>
          <w:rFonts w:ascii="Times New Roman" w:hAnsi="Times New Roman"/>
          <w:sz w:val="24"/>
        </w:rPr>
        <w:tab/>
      </w:r>
      <w:r w:rsidR="00B60267" w:rsidRPr="00F54B93">
        <w:rPr>
          <w:rFonts w:ascii="Times New Roman" w:hAnsi="Times New Roman"/>
          <w:i/>
          <w:iCs/>
          <w:sz w:val="24"/>
        </w:rPr>
        <w:t>Federal Commissioner of Taxation v Thomas</w:t>
      </w:r>
      <w:r w:rsidR="00B60267" w:rsidRPr="00F54B93">
        <w:rPr>
          <w:rFonts w:ascii="Times New Roman" w:hAnsi="Times New Roman"/>
          <w:sz w:val="24"/>
        </w:rPr>
        <w:t xml:space="preserve"> (2018) 264 CLR 382 at </w:t>
      </w:r>
      <w:r w:rsidR="00C83AF3" w:rsidRPr="00F54B93">
        <w:rPr>
          <w:rFonts w:ascii="Times New Roman" w:hAnsi="Times New Roman"/>
          <w:sz w:val="24"/>
        </w:rPr>
        <w:t>415 [84]-[85].</w:t>
      </w:r>
    </w:p>
  </w:footnote>
  <w:footnote w:id="9">
    <w:p w14:paraId="4F336469" w14:textId="315C0F4E" w:rsidR="001C0337" w:rsidRPr="00F54B93" w:rsidRDefault="001C0337"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5B7035" w:rsidRPr="00F54B93">
        <w:rPr>
          <w:rFonts w:ascii="Times New Roman" w:hAnsi="Times New Roman"/>
          <w:sz w:val="24"/>
        </w:rPr>
        <w:t>Which specifies a</w:t>
      </w:r>
      <w:r w:rsidRPr="00F54B93">
        <w:rPr>
          <w:rFonts w:ascii="Times New Roman" w:hAnsi="Times New Roman"/>
          <w:sz w:val="24"/>
        </w:rPr>
        <w:t xml:space="preserve"> formula by which the "amount of luxury car tax payable on a *taxable supply of a luxury car is" calculated.</w:t>
      </w:r>
    </w:p>
  </w:footnote>
  <w:footnote w:id="10">
    <w:p w14:paraId="7EF41047" w14:textId="5C18DA13" w:rsidR="0016398A" w:rsidRPr="00F54B93" w:rsidRDefault="0016398A"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5433EB" w:rsidRPr="00F54B93">
        <w:rPr>
          <w:rFonts w:ascii="Times New Roman" w:hAnsi="Times New Roman"/>
          <w:sz w:val="24"/>
        </w:rPr>
        <w:t>Section 5-15(2) further provides that "</w:t>
      </w:r>
      <w:r w:rsidR="00874B04" w:rsidRPr="00F54B93">
        <w:rPr>
          <w:rFonts w:ascii="Times New Roman" w:hAnsi="Times New Roman"/>
          <w:sz w:val="24"/>
        </w:rPr>
        <w:t>[</w:t>
      </w:r>
      <w:r w:rsidR="005433EB" w:rsidRPr="00F54B93">
        <w:rPr>
          <w:rFonts w:ascii="Times New Roman" w:hAnsi="Times New Roman"/>
          <w:sz w:val="24"/>
        </w:rPr>
        <w:t>t</w:t>
      </w:r>
      <w:r w:rsidR="00874B04" w:rsidRPr="00F54B93">
        <w:rPr>
          <w:rFonts w:ascii="Times New Roman" w:hAnsi="Times New Roman"/>
          <w:sz w:val="24"/>
        </w:rPr>
        <w:t>]</w:t>
      </w:r>
      <w:r w:rsidR="005433EB" w:rsidRPr="00F54B93">
        <w:rPr>
          <w:rFonts w:ascii="Times New Roman" w:hAnsi="Times New Roman"/>
          <w:sz w:val="24"/>
        </w:rPr>
        <w:t>he amount of luxury car tax payable on a taxable supply of a luxury car is zero if the amount in paragraph (a) is less than the amount in paragraph (b)".</w:t>
      </w:r>
    </w:p>
  </w:footnote>
  <w:footnote w:id="11">
    <w:p w14:paraId="4147D466" w14:textId="052EE504" w:rsidR="00277A55" w:rsidRPr="00F54B93" w:rsidRDefault="00277A55"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 xml:space="preserve">Section 13-10(2) states that "[a] </w:t>
      </w:r>
      <w:r w:rsidR="00406297" w:rsidRPr="00F54B93">
        <w:rPr>
          <w:rFonts w:ascii="Times New Roman" w:hAnsi="Times New Roman"/>
          <w:sz w:val="24"/>
        </w:rPr>
        <w:t>*luxury car tax adjustment must be made within 4 years after the supply or *importation to which the adjustment relates".</w:t>
      </w:r>
    </w:p>
  </w:footnote>
  <w:footnote w:id="12">
    <w:p w14:paraId="15250BDC" w14:textId="1DF3DA00" w:rsidR="00791FB5" w:rsidRPr="00F54B93" w:rsidRDefault="00791FB5"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As noted, s 15-3</w:t>
      </w:r>
      <w:r w:rsidR="00BD66BC" w:rsidRPr="00F54B93">
        <w:rPr>
          <w:rFonts w:ascii="Times New Roman" w:hAnsi="Times New Roman"/>
          <w:sz w:val="24"/>
        </w:rPr>
        <w:t>0</w:t>
      </w:r>
      <w:r w:rsidRPr="00F54B93">
        <w:rPr>
          <w:rFonts w:ascii="Times New Roman" w:hAnsi="Times New Roman"/>
          <w:sz w:val="24"/>
        </w:rPr>
        <w:t>(3)(c) refers to "use" rather than "use</w:t>
      </w:r>
      <w:r w:rsidR="00BD66BC" w:rsidRPr="00F54B93">
        <w:rPr>
          <w:rFonts w:ascii="Times New Roman" w:hAnsi="Times New Roman"/>
          <w:sz w:val="24"/>
        </w:rPr>
        <w:t>d</w:t>
      </w:r>
      <w:r w:rsidRPr="00F54B93">
        <w:rPr>
          <w:rFonts w:ascii="Times New Roman" w:hAnsi="Times New Roman"/>
          <w:sz w:val="24"/>
        </w:rPr>
        <w:t>".</w:t>
      </w:r>
    </w:p>
  </w:footnote>
  <w:footnote w:id="13">
    <w:p w14:paraId="6837F1B4" w14:textId="2635BC48" w:rsidR="00CC6911" w:rsidRPr="00F54B93" w:rsidRDefault="00CC6911"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400037" w:rsidRPr="00F54B93">
        <w:rPr>
          <w:rFonts w:ascii="Times New Roman" w:hAnsi="Times New Roman"/>
          <w:sz w:val="24"/>
        </w:rPr>
        <w:t xml:space="preserve">See, eg, </w:t>
      </w:r>
      <w:r w:rsidR="00400037" w:rsidRPr="00F54B93">
        <w:rPr>
          <w:rFonts w:ascii="Times New Roman" w:hAnsi="Times New Roman"/>
          <w:i/>
          <w:iCs/>
          <w:sz w:val="24"/>
        </w:rPr>
        <w:t xml:space="preserve">Automotive Invest Pty Ltd v </w:t>
      </w:r>
      <w:r w:rsidR="008949F7" w:rsidRPr="00F54B93">
        <w:rPr>
          <w:rFonts w:ascii="Times New Roman" w:hAnsi="Times New Roman"/>
          <w:i/>
          <w:iCs/>
          <w:sz w:val="24"/>
        </w:rPr>
        <w:t xml:space="preserve">Federal </w:t>
      </w:r>
      <w:r w:rsidR="00400037" w:rsidRPr="00F54B93">
        <w:rPr>
          <w:rFonts w:ascii="Times New Roman" w:hAnsi="Times New Roman"/>
          <w:i/>
          <w:iCs/>
          <w:sz w:val="24"/>
        </w:rPr>
        <w:t>Commissioner of Taxation</w:t>
      </w:r>
      <w:r w:rsidR="00400037" w:rsidRPr="00F54B93">
        <w:rPr>
          <w:rFonts w:ascii="Times New Roman" w:hAnsi="Times New Roman"/>
          <w:sz w:val="24"/>
        </w:rPr>
        <w:t xml:space="preserve"> (2022) 114 ATR 569 </w:t>
      </w:r>
      <w:r w:rsidRPr="00F54B93">
        <w:rPr>
          <w:rFonts w:ascii="Times New Roman" w:hAnsi="Times New Roman"/>
          <w:sz w:val="24"/>
        </w:rPr>
        <w:t xml:space="preserve">at </w:t>
      </w:r>
      <w:r w:rsidR="00400037" w:rsidRPr="00F54B93">
        <w:rPr>
          <w:rFonts w:ascii="Times New Roman" w:hAnsi="Times New Roman"/>
          <w:sz w:val="24"/>
        </w:rPr>
        <w:t xml:space="preserve">585-586 </w:t>
      </w:r>
      <w:r w:rsidRPr="00F54B93">
        <w:rPr>
          <w:rFonts w:ascii="Times New Roman" w:hAnsi="Times New Roman"/>
          <w:sz w:val="24"/>
        </w:rPr>
        <w:t>[70]</w:t>
      </w:r>
      <w:r w:rsidR="000C3AC4" w:rsidRPr="00F54B93">
        <w:rPr>
          <w:rFonts w:ascii="Times New Roman" w:hAnsi="Times New Roman"/>
          <w:sz w:val="24"/>
        </w:rPr>
        <w:t xml:space="preserve">; </w:t>
      </w:r>
      <w:r w:rsidR="008E6367" w:rsidRPr="00F54B93">
        <w:rPr>
          <w:rFonts w:ascii="Times New Roman" w:hAnsi="Times New Roman"/>
          <w:i/>
          <w:iCs/>
          <w:sz w:val="24"/>
        </w:rPr>
        <w:t xml:space="preserve">Automotive Invest Pty Ltd v </w:t>
      </w:r>
      <w:r w:rsidR="008B2EE7" w:rsidRPr="00F54B93">
        <w:rPr>
          <w:rFonts w:ascii="Times New Roman" w:hAnsi="Times New Roman"/>
          <w:i/>
          <w:iCs/>
          <w:sz w:val="24"/>
        </w:rPr>
        <w:t xml:space="preserve">Federal </w:t>
      </w:r>
      <w:r w:rsidR="008E6367" w:rsidRPr="00F54B93">
        <w:rPr>
          <w:rFonts w:ascii="Times New Roman" w:hAnsi="Times New Roman"/>
          <w:i/>
          <w:iCs/>
          <w:sz w:val="24"/>
        </w:rPr>
        <w:t>Commissioner of Taxation</w:t>
      </w:r>
      <w:r w:rsidR="008E6367" w:rsidRPr="00F54B93">
        <w:rPr>
          <w:rFonts w:ascii="Times New Roman" w:hAnsi="Times New Roman"/>
          <w:sz w:val="24"/>
        </w:rPr>
        <w:t xml:space="preserve"> (2023) 299 FCR 288 at </w:t>
      </w:r>
      <w:r w:rsidR="000C3AC4" w:rsidRPr="00F54B93">
        <w:rPr>
          <w:rFonts w:ascii="Times New Roman" w:hAnsi="Times New Roman"/>
          <w:sz w:val="24"/>
        </w:rPr>
        <w:t>306 [94].</w:t>
      </w:r>
    </w:p>
  </w:footnote>
  <w:footnote w:id="14">
    <w:p w14:paraId="03C6919C" w14:textId="55333987" w:rsidR="00DE55E8" w:rsidRPr="00F54B93" w:rsidRDefault="00DE55E8"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Pr="00F54B93">
        <w:rPr>
          <w:rFonts w:ascii="Times New Roman" w:hAnsi="Times New Roman"/>
          <w:i/>
          <w:iCs/>
          <w:sz w:val="24"/>
        </w:rPr>
        <w:t>Tesco Supermarkets Ltd v Nattrass</w:t>
      </w:r>
      <w:r w:rsidRPr="00F54B93">
        <w:rPr>
          <w:rFonts w:ascii="Times New Roman" w:hAnsi="Times New Roman"/>
          <w:sz w:val="24"/>
        </w:rPr>
        <w:t xml:space="preserve"> [1972] AC 153 at 170-171. See also </w:t>
      </w:r>
      <w:r w:rsidRPr="00F54B93">
        <w:rPr>
          <w:rFonts w:ascii="Times New Roman" w:hAnsi="Times New Roman"/>
          <w:i/>
          <w:iCs/>
          <w:sz w:val="24"/>
        </w:rPr>
        <w:t>Hamilton v Whitehead</w:t>
      </w:r>
      <w:r w:rsidRPr="00F54B93">
        <w:rPr>
          <w:rFonts w:ascii="Times New Roman" w:hAnsi="Times New Roman"/>
          <w:sz w:val="24"/>
        </w:rPr>
        <w:t xml:space="preserve"> (1988) 166 CLR 121</w:t>
      </w:r>
      <w:r w:rsidR="00223BE9" w:rsidRPr="00F54B93">
        <w:rPr>
          <w:rFonts w:ascii="Times New Roman" w:hAnsi="Times New Roman"/>
          <w:sz w:val="24"/>
        </w:rPr>
        <w:t xml:space="preserve"> at 127</w:t>
      </w:r>
      <w:r w:rsidRPr="00F54B93">
        <w:rPr>
          <w:rFonts w:ascii="Times New Roman" w:hAnsi="Times New Roman"/>
          <w:sz w:val="24"/>
        </w:rPr>
        <w:t>.</w:t>
      </w:r>
    </w:p>
  </w:footnote>
  <w:footnote w:id="15">
    <w:p w14:paraId="266D1935" w14:textId="0320D1B9" w:rsidR="004A66E8" w:rsidRPr="00F54B93" w:rsidRDefault="004A66E8"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A2076B" w:rsidRPr="00F54B93">
        <w:rPr>
          <w:rFonts w:ascii="Times New Roman" w:hAnsi="Times New Roman"/>
          <w:i/>
          <w:iCs/>
          <w:sz w:val="24"/>
        </w:rPr>
        <w:t xml:space="preserve">Automotive Invest Pty Ltd v </w:t>
      </w:r>
      <w:r w:rsidR="00C77177" w:rsidRPr="00F54B93">
        <w:rPr>
          <w:rFonts w:ascii="Times New Roman" w:hAnsi="Times New Roman"/>
          <w:i/>
          <w:iCs/>
          <w:sz w:val="24"/>
        </w:rPr>
        <w:t xml:space="preserve">Federal </w:t>
      </w:r>
      <w:r w:rsidR="00A2076B" w:rsidRPr="00F54B93">
        <w:rPr>
          <w:rFonts w:ascii="Times New Roman" w:hAnsi="Times New Roman"/>
          <w:i/>
          <w:iCs/>
          <w:sz w:val="24"/>
        </w:rPr>
        <w:t xml:space="preserve">Commissioner of Taxation </w:t>
      </w:r>
      <w:r w:rsidR="00A2076B" w:rsidRPr="00F54B93">
        <w:rPr>
          <w:rFonts w:ascii="Times New Roman" w:hAnsi="Times New Roman"/>
          <w:sz w:val="24"/>
        </w:rPr>
        <w:t xml:space="preserve">(2022) 114 ATR 569 at </w:t>
      </w:r>
      <w:r w:rsidR="00056572" w:rsidRPr="00F54B93">
        <w:rPr>
          <w:rFonts w:ascii="Times New Roman" w:hAnsi="Times New Roman"/>
          <w:sz w:val="24"/>
        </w:rPr>
        <w:t xml:space="preserve">587 </w:t>
      </w:r>
      <w:r w:rsidR="00A2076B" w:rsidRPr="00F54B93">
        <w:rPr>
          <w:rFonts w:ascii="Times New Roman" w:hAnsi="Times New Roman"/>
          <w:sz w:val="24"/>
        </w:rPr>
        <w:t>[80].</w:t>
      </w:r>
    </w:p>
  </w:footnote>
  <w:footnote w:id="16">
    <w:p w14:paraId="3A2C4C2A" w14:textId="0A2DDBE3" w:rsidR="008E7F3E" w:rsidRPr="00F54B93" w:rsidRDefault="008E7F3E"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Emphasis added.</w:t>
      </w:r>
    </w:p>
  </w:footnote>
  <w:footnote w:id="17">
    <w:p w14:paraId="593CB39B" w14:textId="59FEB4A9" w:rsidR="00B4069D" w:rsidRPr="00F54B93" w:rsidRDefault="00B4069D"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070B7A" w:rsidRPr="00F54B93">
        <w:rPr>
          <w:rFonts w:ascii="Times New Roman" w:hAnsi="Times New Roman"/>
          <w:i/>
          <w:iCs/>
          <w:sz w:val="24"/>
        </w:rPr>
        <w:t xml:space="preserve">Automotive Invest Pty Ltd v </w:t>
      </w:r>
      <w:r w:rsidR="000971A3" w:rsidRPr="00F54B93">
        <w:rPr>
          <w:rFonts w:ascii="Times New Roman" w:hAnsi="Times New Roman"/>
          <w:i/>
          <w:iCs/>
          <w:sz w:val="24"/>
        </w:rPr>
        <w:t xml:space="preserve">Federal </w:t>
      </w:r>
      <w:r w:rsidR="00070B7A" w:rsidRPr="00F54B93">
        <w:rPr>
          <w:rFonts w:ascii="Times New Roman" w:hAnsi="Times New Roman"/>
          <w:i/>
          <w:iCs/>
          <w:sz w:val="24"/>
        </w:rPr>
        <w:t>Commissioner of Taxation</w:t>
      </w:r>
      <w:r w:rsidR="00070B7A" w:rsidRPr="00F54B93">
        <w:rPr>
          <w:rFonts w:ascii="Times New Roman" w:hAnsi="Times New Roman"/>
          <w:sz w:val="24"/>
        </w:rPr>
        <w:t xml:space="preserve"> (2022) 114 ATR 569 at </w:t>
      </w:r>
      <w:r w:rsidR="00AD35A6" w:rsidRPr="00F54B93">
        <w:rPr>
          <w:rFonts w:ascii="Times New Roman" w:hAnsi="Times New Roman"/>
          <w:sz w:val="24"/>
        </w:rPr>
        <w:t xml:space="preserve">587-588 </w:t>
      </w:r>
      <w:r w:rsidR="00070B7A" w:rsidRPr="00F54B93">
        <w:rPr>
          <w:rFonts w:ascii="Times New Roman" w:hAnsi="Times New Roman"/>
          <w:sz w:val="24"/>
        </w:rPr>
        <w:t>[</w:t>
      </w:r>
      <w:r w:rsidR="00285F4B" w:rsidRPr="00F54B93">
        <w:rPr>
          <w:rFonts w:ascii="Times New Roman" w:hAnsi="Times New Roman"/>
          <w:sz w:val="24"/>
        </w:rPr>
        <w:t>80]</w:t>
      </w:r>
      <w:r w:rsidR="005E490E" w:rsidRPr="00F54B93">
        <w:rPr>
          <w:rFonts w:ascii="Times New Roman" w:hAnsi="Times New Roman"/>
          <w:sz w:val="24"/>
        </w:rPr>
        <w:t>-[84]</w:t>
      </w:r>
      <w:r w:rsidR="00934922" w:rsidRPr="00F54B93">
        <w:rPr>
          <w:rFonts w:ascii="Times New Roman" w:hAnsi="Times New Roman"/>
          <w:sz w:val="24"/>
        </w:rPr>
        <w:t xml:space="preserve"> (emphasis in original)</w:t>
      </w:r>
      <w:r w:rsidR="00814302" w:rsidRPr="00F54B93">
        <w:rPr>
          <w:rFonts w:ascii="Times New Roman" w:hAnsi="Times New Roman"/>
          <w:sz w:val="24"/>
        </w:rPr>
        <w:t>.</w:t>
      </w:r>
    </w:p>
  </w:footnote>
  <w:footnote w:id="18">
    <w:p w14:paraId="48B20787" w14:textId="09DC3211" w:rsidR="009516B6" w:rsidRPr="00F54B93" w:rsidRDefault="009516B6"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Pr="00F54B93">
        <w:rPr>
          <w:rFonts w:ascii="Times New Roman" w:hAnsi="Times New Roman"/>
          <w:i/>
          <w:iCs/>
          <w:sz w:val="24"/>
        </w:rPr>
        <w:t xml:space="preserve">Automotive Invest Pty Ltd v </w:t>
      </w:r>
      <w:r w:rsidR="008B2EE7" w:rsidRPr="00F54B93">
        <w:rPr>
          <w:rFonts w:ascii="Times New Roman" w:hAnsi="Times New Roman"/>
          <w:i/>
          <w:iCs/>
          <w:sz w:val="24"/>
        </w:rPr>
        <w:t xml:space="preserve">Federal </w:t>
      </w:r>
      <w:r w:rsidRPr="00F54B93">
        <w:rPr>
          <w:rFonts w:ascii="Times New Roman" w:hAnsi="Times New Roman"/>
          <w:i/>
          <w:iCs/>
          <w:sz w:val="24"/>
        </w:rPr>
        <w:t>Commissioner of Taxation</w:t>
      </w:r>
      <w:r w:rsidRPr="00F54B93">
        <w:rPr>
          <w:rFonts w:ascii="Times New Roman" w:hAnsi="Times New Roman"/>
          <w:sz w:val="24"/>
        </w:rPr>
        <w:t xml:space="preserve"> (2022) 114 ATR 569 at </w:t>
      </w:r>
      <w:r w:rsidR="00943A81" w:rsidRPr="00F54B93">
        <w:rPr>
          <w:rFonts w:ascii="Times New Roman" w:hAnsi="Times New Roman"/>
          <w:sz w:val="24"/>
        </w:rPr>
        <w:t xml:space="preserve">587 </w:t>
      </w:r>
      <w:r w:rsidR="00D41722" w:rsidRPr="00F54B93">
        <w:rPr>
          <w:rFonts w:ascii="Times New Roman" w:hAnsi="Times New Roman"/>
          <w:sz w:val="24"/>
        </w:rPr>
        <w:t>[79].</w:t>
      </w:r>
    </w:p>
  </w:footnote>
  <w:footnote w:id="19">
    <w:p w14:paraId="65371EDD" w14:textId="07589E3C" w:rsidR="00A3726B" w:rsidRPr="00F54B93" w:rsidRDefault="00A3726B"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(1995) 49 NSWLR 315.</w:t>
      </w:r>
    </w:p>
  </w:footnote>
  <w:footnote w:id="20">
    <w:p w14:paraId="24780D7A" w14:textId="52B6DC3B" w:rsidR="00691A1D" w:rsidRPr="00F54B93" w:rsidRDefault="00691A1D"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1D12B6" w:rsidRPr="00F54B93">
        <w:rPr>
          <w:rFonts w:ascii="Times New Roman" w:hAnsi="Times New Roman"/>
          <w:sz w:val="24"/>
        </w:rPr>
        <w:t xml:space="preserve">(1995) </w:t>
      </w:r>
      <w:r w:rsidRPr="00F54B93">
        <w:rPr>
          <w:rFonts w:ascii="Times New Roman" w:hAnsi="Times New Roman"/>
          <w:sz w:val="24"/>
        </w:rPr>
        <w:t xml:space="preserve">49 NSWLR </w:t>
      </w:r>
      <w:r w:rsidR="001D12B6" w:rsidRPr="00F54B93">
        <w:rPr>
          <w:rFonts w:ascii="Times New Roman" w:hAnsi="Times New Roman"/>
          <w:sz w:val="24"/>
        </w:rPr>
        <w:t xml:space="preserve">315 </w:t>
      </w:r>
      <w:r w:rsidRPr="00F54B93">
        <w:rPr>
          <w:rFonts w:ascii="Times New Roman" w:hAnsi="Times New Roman"/>
          <w:sz w:val="24"/>
        </w:rPr>
        <w:t>at 319.</w:t>
      </w:r>
    </w:p>
  </w:footnote>
  <w:footnote w:id="21">
    <w:p w14:paraId="600173CD" w14:textId="3D2D1F80" w:rsidR="001A593C" w:rsidRPr="00F54B93" w:rsidRDefault="001A593C"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 xml:space="preserve">See, </w:t>
      </w:r>
      <w:r w:rsidR="00401B58" w:rsidRPr="00F54B93">
        <w:rPr>
          <w:rFonts w:ascii="Times New Roman" w:hAnsi="Times New Roman"/>
          <w:sz w:val="24"/>
        </w:rPr>
        <w:t xml:space="preserve">eg, </w:t>
      </w:r>
      <w:r w:rsidR="00CC43C2" w:rsidRPr="00F54B93">
        <w:rPr>
          <w:rFonts w:ascii="Times New Roman" w:hAnsi="Times New Roman"/>
          <w:i/>
          <w:iCs/>
          <w:sz w:val="24"/>
        </w:rPr>
        <w:t>Godolphin Australia</w:t>
      </w:r>
      <w:r w:rsidR="00100B3C" w:rsidRPr="00F54B93">
        <w:rPr>
          <w:rFonts w:ascii="Times New Roman" w:hAnsi="Times New Roman"/>
          <w:i/>
          <w:iCs/>
          <w:sz w:val="24"/>
        </w:rPr>
        <w:t xml:space="preserve"> </w:t>
      </w:r>
      <w:r w:rsidR="00CC43C2" w:rsidRPr="00F54B93">
        <w:rPr>
          <w:rFonts w:ascii="Times New Roman" w:hAnsi="Times New Roman"/>
          <w:i/>
          <w:iCs/>
          <w:sz w:val="24"/>
        </w:rPr>
        <w:t>Pty Ltd v Chief Commissioner of State Revenue</w:t>
      </w:r>
      <w:r w:rsidR="00CC43C2" w:rsidRPr="00F54B93">
        <w:rPr>
          <w:rFonts w:ascii="Times New Roman" w:hAnsi="Times New Roman"/>
          <w:sz w:val="24"/>
        </w:rPr>
        <w:t xml:space="preserve"> </w:t>
      </w:r>
      <w:r w:rsidR="0089144A" w:rsidRPr="00F54B93">
        <w:rPr>
          <w:rFonts w:ascii="Times New Roman" w:hAnsi="Times New Roman"/>
          <w:sz w:val="24"/>
        </w:rPr>
        <w:t>(</w:t>
      </w:r>
      <w:r w:rsidR="00CC43C2" w:rsidRPr="00F54B93">
        <w:rPr>
          <w:rFonts w:ascii="Times New Roman" w:hAnsi="Times New Roman"/>
          <w:sz w:val="24"/>
        </w:rPr>
        <w:t>2024</w:t>
      </w:r>
      <w:r w:rsidR="0089144A" w:rsidRPr="00F54B93">
        <w:rPr>
          <w:rFonts w:ascii="Times New Roman" w:hAnsi="Times New Roman"/>
          <w:sz w:val="24"/>
        </w:rPr>
        <w:t>)</w:t>
      </w:r>
      <w:r w:rsidR="00CC43C2" w:rsidRPr="00F54B93">
        <w:rPr>
          <w:rFonts w:ascii="Times New Roman" w:hAnsi="Times New Roman"/>
          <w:sz w:val="24"/>
        </w:rPr>
        <w:t xml:space="preserve"> </w:t>
      </w:r>
      <w:r w:rsidR="0089144A" w:rsidRPr="00F54B93">
        <w:rPr>
          <w:rFonts w:ascii="Times New Roman" w:hAnsi="Times New Roman"/>
          <w:sz w:val="24"/>
        </w:rPr>
        <w:t>98 ALJR 808</w:t>
      </w:r>
      <w:r w:rsidR="00CC43C2" w:rsidRPr="00F54B93">
        <w:rPr>
          <w:rFonts w:ascii="Times New Roman" w:hAnsi="Times New Roman"/>
          <w:sz w:val="24"/>
        </w:rPr>
        <w:t xml:space="preserve"> at </w:t>
      </w:r>
      <w:r w:rsidR="0089144A" w:rsidRPr="00F54B93">
        <w:rPr>
          <w:rFonts w:ascii="Times New Roman" w:hAnsi="Times New Roman"/>
          <w:sz w:val="24"/>
        </w:rPr>
        <w:t xml:space="preserve">810-811 </w:t>
      </w:r>
      <w:r w:rsidR="0088519D" w:rsidRPr="00F54B93">
        <w:rPr>
          <w:rFonts w:ascii="Times New Roman" w:hAnsi="Times New Roman"/>
          <w:sz w:val="24"/>
        </w:rPr>
        <w:t xml:space="preserve">[3], </w:t>
      </w:r>
      <w:r w:rsidR="00C94907" w:rsidRPr="00F54B93">
        <w:rPr>
          <w:rFonts w:ascii="Times New Roman" w:hAnsi="Times New Roman"/>
          <w:sz w:val="24"/>
        </w:rPr>
        <w:t xml:space="preserve">816-817 </w:t>
      </w:r>
      <w:r w:rsidR="00C037ED" w:rsidRPr="00F54B93">
        <w:rPr>
          <w:rFonts w:ascii="Times New Roman" w:hAnsi="Times New Roman"/>
          <w:sz w:val="24"/>
        </w:rPr>
        <w:t>[34]</w:t>
      </w:r>
      <w:r w:rsidR="00BE4B34" w:rsidRPr="00F54B93">
        <w:rPr>
          <w:rFonts w:ascii="Times New Roman" w:hAnsi="Times New Roman"/>
          <w:sz w:val="24"/>
        </w:rPr>
        <w:t xml:space="preserve">-[36], </w:t>
      </w:r>
      <w:r w:rsidR="00C94907" w:rsidRPr="00F54B93">
        <w:rPr>
          <w:rFonts w:ascii="Times New Roman" w:hAnsi="Times New Roman"/>
          <w:sz w:val="24"/>
        </w:rPr>
        <w:t xml:space="preserve">819-822 </w:t>
      </w:r>
      <w:r w:rsidR="009C0D62" w:rsidRPr="00F54B93">
        <w:rPr>
          <w:rFonts w:ascii="Times New Roman" w:hAnsi="Times New Roman"/>
          <w:sz w:val="24"/>
        </w:rPr>
        <w:t>[54]</w:t>
      </w:r>
      <w:r w:rsidR="00100B3C" w:rsidRPr="00F54B93">
        <w:rPr>
          <w:rFonts w:ascii="Times New Roman" w:hAnsi="Times New Roman"/>
          <w:sz w:val="24"/>
        </w:rPr>
        <w:t>-[67].</w:t>
      </w:r>
    </w:p>
  </w:footnote>
  <w:footnote w:id="22">
    <w:p w14:paraId="26495B93" w14:textId="48AD4D6B" w:rsidR="00327D4E" w:rsidRPr="00F54B93" w:rsidRDefault="00327D4E"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186A0A" w:rsidRPr="00F54B93">
        <w:rPr>
          <w:rFonts w:ascii="Times New Roman" w:hAnsi="Times New Roman"/>
          <w:sz w:val="24"/>
        </w:rPr>
        <w:t>e</w:t>
      </w:r>
      <w:r w:rsidRPr="00F54B93">
        <w:rPr>
          <w:rFonts w:ascii="Times New Roman" w:hAnsi="Times New Roman"/>
          <w:sz w:val="24"/>
        </w:rPr>
        <w:t xml:space="preserve">g, </w:t>
      </w:r>
      <w:r w:rsidR="00122865" w:rsidRPr="00F54B93">
        <w:rPr>
          <w:rFonts w:ascii="Times New Roman" w:hAnsi="Times New Roman"/>
          <w:i/>
          <w:iCs/>
          <w:sz w:val="24"/>
        </w:rPr>
        <w:t>Sonter v Commissioner of Land Tax (NSW)</w:t>
      </w:r>
      <w:r w:rsidR="00122865" w:rsidRPr="00F54B93">
        <w:rPr>
          <w:rFonts w:ascii="Times New Roman" w:hAnsi="Times New Roman"/>
          <w:sz w:val="24"/>
        </w:rPr>
        <w:t xml:space="preserve"> </w:t>
      </w:r>
      <w:r w:rsidR="005A5E2C" w:rsidRPr="00F54B93">
        <w:rPr>
          <w:rFonts w:ascii="Times New Roman" w:hAnsi="Times New Roman"/>
          <w:sz w:val="24"/>
        </w:rPr>
        <w:t xml:space="preserve">(1976) 7 ATR 30 at 34-35. See also </w:t>
      </w:r>
      <w:r w:rsidR="002C5ACF" w:rsidRPr="00F54B93">
        <w:rPr>
          <w:rFonts w:ascii="Times New Roman" w:hAnsi="Times New Roman"/>
          <w:i/>
          <w:iCs/>
          <w:sz w:val="24"/>
        </w:rPr>
        <w:t>Godolphin Australia Pty Ltd v Chief Commissioner of State Revenue</w:t>
      </w:r>
      <w:r w:rsidR="002C5ACF" w:rsidRPr="00F54B93">
        <w:rPr>
          <w:rFonts w:ascii="Times New Roman" w:hAnsi="Times New Roman"/>
          <w:sz w:val="24"/>
        </w:rPr>
        <w:t xml:space="preserve"> </w:t>
      </w:r>
      <w:r w:rsidR="00964371" w:rsidRPr="00F54B93">
        <w:rPr>
          <w:rFonts w:ascii="Times New Roman" w:hAnsi="Times New Roman"/>
          <w:sz w:val="24"/>
        </w:rPr>
        <w:t>(</w:t>
      </w:r>
      <w:r w:rsidR="002C5ACF" w:rsidRPr="00F54B93">
        <w:rPr>
          <w:rFonts w:ascii="Times New Roman" w:hAnsi="Times New Roman"/>
          <w:sz w:val="24"/>
        </w:rPr>
        <w:t>2024</w:t>
      </w:r>
      <w:r w:rsidR="00964371" w:rsidRPr="00F54B93">
        <w:rPr>
          <w:rFonts w:ascii="Times New Roman" w:hAnsi="Times New Roman"/>
          <w:sz w:val="24"/>
        </w:rPr>
        <w:t>)</w:t>
      </w:r>
      <w:r w:rsidR="002C5ACF" w:rsidRPr="00F54B93">
        <w:rPr>
          <w:rFonts w:ascii="Times New Roman" w:hAnsi="Times New Roman"/>
          <w:sz w:val="24"/>
        </w:rPr>
        <w:t xml:space="preserve"> </w:t>
      </w:r>
      <w:r w:rsidR="00964371" w:rsidRPr="00F54B93">
        <w:rPr>
          <w:rFonts w:ascii="Times New Roman" w:hAnsi="Times New Roman"/>
          <w:sz w:val="24"/>
        </w:rPr>
        <w:t>98 ALJR 808</w:t>
      </w:r>
      <w:r w:rsidR="002C5ACF" w:rsidRPr="00F54B93">
        <w:rPr>
          <w:rFonts w:ascii="Times New Roman" w:hAnsi="Times New Roman"/>
          <w:sz w:val="24"/>
        </w:rPr>
        <w:t xml:space="preserve"> at </w:t>
      </w:r>
      <w:r w:rsidR="00B373FF" w:rsidRPr="00F54B93">
        <w:rPr>
          <w:rFonts w:ascii="Times New Roman" w:hAnsi="Times New Roman"/>
          <w:sz w:val="24"/>
        </w:rPr>
        <w:t xml:space="preserve">819-820 </w:t>
      </w:r>
      <w:r w:rsidR="002C5ACF" w:rsidRPr="00F54B93">
        <w:rPr>
          <w:rFonts w:ascii="Times New Roman" w:hAnsi="Times New Roman"/>
          <w:sz w:val="24"/>
        </w:rPr>
        <w:t>[56]-[57].</w:t>
      </w:r>
    </w:p>
  </w:footnote>
  <w:footnote w:id="23">
    <w:p w14:paraId="0425766C" w14:textId="020FC740" w:rsidR="009D7F43" w:rsidRPr="00F54B93" w:rsidRDefault="009D7F43"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874B72" w:rsidRPr="00F54B93">
        <w:rPr>
          <w:rFonts w:ascii="Times New Roman" w:hAnsi="Times New Roman"/>
          <w:sz w:val="24"/>
        </w:rPr>
        <w:t>(1952) 85 CLR 159.</w:t>
      </w:r>
    </w:p>
  </w:footnote>
  <w:footnote w:id="24">
    <w:p w14:paraId="07C362C3" w14:textId="06E4A04D" w:rsidR="0045322F" w:rsidRPr="00F54B93" w:rsidRDefault="0045322F"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6163D9" w:rsidRPr="00F54B93">
        <w:rPr>
          <w:rFonts w:ascii="Times New Roman" w:hAnsi="Times New Roman"/>
          <w:sz w:val="24"/>
        </w:rPr>
        <w:t>(</w:t>
      </w:r>
      <w:r w:rsidRPr="00F54B93">
        <w:rPr>
          <w:rFonts w:ascii="Times New Roman" w:hAnsi="Times New Roman"/>
          <w:sz w:val="24"/>
        </w:rPr>
        <w:t xml:space="preserve">1952) 85 CLR 159 </w:t>
      </w:r>
      <w:r w:rsidR="00E33D44" w:rsidRPr="00F54B93">
        <w:rPr>
          <w:rFonts w:ascii="Times New Roman" w:hAnsi="Times New Roman"/>
          <w:sz w:val="24"/>
        </w:rPr>
        <w:t xml:space="preserve">at </w:t>
      </w:r>
      <w:r w:rsidR="00F65824" w:rsidRPr="00F54B93">
        <w:rPr>
          <w:rFonts w:ascii="Times New Roman" w:hAnsi="Times New Roman"/>
          <w:sz w:val="24"/>
        </w:rPr>
        <w:t xml:space="preserve">165, </w:t>
      </w:r>
      <w:r w:rsidR="00E33D44" w:rsidRPr="00F54B93">
        <w:rPr>
          <w:rFonts w:ascii="Times New Roman" w:hAnsi="Times New Roman"/>
          <w:sz w:val="24"/>
        </w:rPr>
        <w:t>170-171.</w:t>
      </w:r>
    </w:p>
  </w:footnote>
  <w:footnote w:id="25">
    <w:p w14:paraId="5D643A7C" w14:textId="53ADF080" w:rsidR="006163D9" w:rsidRPr="00F54B93" w:rsidRDefault="006163D9"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(1952) 85 CLR 159 at 171.</w:t>
      </w:r>
    </w:p>
  </w:footnote>
  <w:footnote w:id="26">
    <w:p w14:paraId="4C226AB6" w14:textId="77777777" w:rsidR="00767DFA" w:rsidRPr="00F54B93" w:rsidRDefault="00767DFA"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(1959) 102 CLR 54 at 61.</w:t>
      </w:r>
    </w:p>
  </w:footnote>
  <w:footnote w:id="27">
    <w:p w14:paraId="0E63948E" w14:textId="143A26E8" w:rsidR="004C727B" w:rsidRPr="00F54B93" w:rsidRDefault="004C727B"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(1959) 102 CLR 54 at 93-94 (citations omitted</w:t>
      </w:r>
      <w:r w:rsidR="00574D5C" w:rsidRPr="00F54B93">
        <w:rPr>
          <w:rFonts w:ascii="Times New Roman" w:hAnsi="Times New Roman"/>
          <w:sz w:val="24"/>
        </w:rPr>
        <w:t>, emphasis added</w:t>
      </w:r>
      <w:r w:rsidRPr="00F54B93">
        <w:rPr>
          <w:rFonts w:ascii="Times New Roman" w:hAnsi="Times New Roman"/>
          <w:sz w:val="24"/>
        </w:rPr>
        <w:t>).</w:t>
      </w:r>
      <w:r w:rsidR="00776A00" w:rsidRPr="00F54B93">
        <w:rPr>
          <w:rFonts w:ascii="Times New Roman" w:hAnsi="Times New Roman"/>
          <w:sz w:val="24"/>
        </w:rPr>
        <w:t xml:space="preserve"> See also </w:t>
      </w:r>
      <w:r w:rsidR="00776A00" w:rsidRPr="00F54B93">
        <w:rPr>
          <w:rFonts w:ascii="Times New Roman" w:hAnsi="Times New Roman"/>
          <w:i/>
          <w:iCs/>
          <w:sz w:val="24"/>
        </w:rPr>
        <w:t>Godolphin Australia Pty Ltd v Chief Commissioner of State Revenue</w:t>
      </w:r>
      <w:r w:rsidR="00776A00" w:rsidRPr="00F54B93">
        <w:rPr>
          <w:rFonts w:ascii="Times New Roman" w:hAnsi="Times New Roman"/>
          <w:sz w:val="24"/>
        </w:rPr>
        <w:t xml:space="preserve"> </w:t>
      </w:r>
      <w:r w:rsidR="0090220F" w:rsidRPr="00F54B93">
        <w:rPr>
          <w:rFonts w:ascii="Times New Roman" w:hAnsi="Times New Roman"/>
          <w:sz w:val="24"/>
        </w:rPr>
        <w:t>(</w:t>
      </w:r>
      <w:r w:rsidR="00776A00" w:rsidRPr="00F54B93">
        <w:rPr>
          <w:rFonts w:ascii="Times New Roman" w:hAnsi="Times New Roman"/>
          <w:sz w:val="24"/>
        </w:rPr>
        <w:t>2024</w:t>
      </w:r>
      <w:r w:rsidR="0090220F" w:rsidRPr="00F54B93">
        <w:rPr>
          <w:rFonts w:ascii="Times New Roman" w:hAnsi="Times New Roman"/>
          <w:sz w:val="24"/>
        </w:rPr>
        <w:t>)</w:t>
      </w:r>
      <w:r w:rsidR="00776A00" w:rsidRPr="00F54B93">
        <w:rPr>
          <w:rFonts w:ascii="Times New Roman" w:hAnsi="Times New Roman"/>
          <w:sz w:val="24"/>
        </w:rPr>
        <w:t xml:space="preserve"> </w:t>
      </w:r>
      <w:r w:rsidR="0090220F" w:rsidRPr="00F54B93">
        <w:rPr>
          <w:rFonts w:ascii="Times New Roman" w:hAnsi="Times New Roman"/>
          <w:sz w:val="24"/>
        </w:rPr>
        <w:t>98 ALJR 808</w:t>
      </w:r>
      <w:r w:rsidR="00776A00" w:rsidRPr="00F54B93">
        <w:rPr>
          <w:rFonts w:ascii="Times New Roman" w:hAnsi="Times New Roman"/>
          <w:sz w:val="24"/>
        </w:rPr>
        <w:t xml:space="preserve"> at </w:t>
      </w:r>
      <w:r w:rsidR="0090220F" w:rsidRPr="00F54B93">
        <w:rPr>
          <w:rFonts w:ascii="Times New Roman" w:hAnsi="Times New Roman"/>
          <w:sz w:val="24"/>
        </w:rPr>
        <w:t xml:space="preserve">819 </w:t>
      </w:r>
      <w:r w:rsidR="00B332C6" w:rsidRPr="00F54B93">
        <w:rPr>
          <w:rFonts w:ascii="Times New Roman" w:hAnsi="Times New Roman"/>
          <w:sz w:val="24"/>
        </w:rPr>
        <w:t>[54].</w:t>
      </w:r>
    </w:p>
  </w:footnote>
  <w:footnote w:id="28">
    <w:p w14:paraId="1611D78F" w14:textId="73AC49C8" w:rsidR="00776A00" w:rsidRPr="00F54B93" w:rsidRDefault="00776A00"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t>(1978) 139 CLR 633 at 643 (citations omitted</w:t>
      </w:r>
      <w:r w:rsidR="002B5560" w:rsidRPr="00F54B93">
        <w:rPr>
          <w:rFonts w:ascii="Times New Roman" w:hAnsi="Times New Roman"/>
          <w:sz w:val="24"/>
        </w:rPr>
        <w:t>, emphasis added</w:t>
      </w:r>
      <w:r w:rsidRPr="00F54B93">
        <w:rPr>
          <w:rFonts w:ascii="Times New Roman" w:hAnsi="Times New Roman"/>
          <w:sz w:val="24"/>
        </w:rPr>
        <w:t>).</w:t>
      </w:r>
      <w:r w:rsidR="00B332C6" w:rsidRPr="00F54B93">
        <w:rPr>
          <w:rFonts w:ascii="Times New Roman" w:hAnsi="Times New Roman"/>
          <w:sz w:val="24"/>
        </w:rPr>
        <w:t xml:space="preserve"> See also </w:t>
      </w:r>
      <w:r w:rsidR="00B332C6" w:rsidRPr="00F54B93">
        <w:rPr>
          <w:rFonts w:ascii="Times New Roman" w:hAnsi="Times New Roman"/>
          <w:i/>
          <w:iCs/>
          <w:sz w:val="24"/>
        </w:rPr>
        <w:t>Godolphin Australia Pty Ltd v Chief Commissioner of State Revenue</w:t>
      </w:r>
      <w:r w:rsidR="00B332C6" w:rsidRPr="00F54B93">
        <w:rPr>
          <w:rFonts w:ascii="Times New Roman" w:hAnsi="Times New Roman"/>
          <w:sz w:val="24"/>
        </w:rPr>
        <w:t xml:space="preserve"> </w:t>
      </w:r>
      <w:r w:rsidR="00503CDE" w:rsidRPr="00F54B93">
        <w:rPr>
          <w:rFonts w:ascii="Times New Roman" w:hAnsi="Times New Roman"/>
          <w:sz w:val="24"/>
        </w:rPr>
        <w:t>(</w:t>
      </w:r>
      <w:r w:rsidR="00B332C6" w:rsidRPr="00F54B93">
        <w:rPr>
          <w:rFonts w:ascii="Times New Roman" w:hAnsi="Times New Roman"/>
          <w:sz w:val="24"/>
        </w:rPr>
        <w:t>2024</w:t>
      </w:r>
      <w:r w:rsidR="00503CDE" w:rsidRPr="00F54B93">
        <w:rPr>
          <w:rFonts w:ascii="Times New Roman" w:hAnsi="Times New Roman"/>
          <w:sz w:val="24"/>
        </w:rPr>
        <w:t>)</w:t>
      </w:r>
      <w:r w:rsidR="00B332C6" w:rsidRPr="00F54B93">
        <w:rPr>
          <w:rFonts w:ascii="Times New Roman" w:hAnsi="Times New Roman"/>
          <w:sz w:val="24"/>
        </w:rPr>
        <w:t xml:space="preserve"> </w:t>
      </w:r>
      <w:r w:rsidR="00503CDE" w:rsidRPr="00F54B93">
        <w:rPr>
          <w:rFonts w:ascii="Times New Roman" w:hAnsi="Times New Roman"/>
          <w:sz w:val="24"/>
        </w:rPr>
        <w:t>98 ALJR 808</w:t>
      </w:r>
      <w:r w:rsidR="00B332C6" w:rsidRPr="00F54B93">
        <w:rPr>
          <w:rFonts w:ascii="Times New Roman" w:hAnsi="Times New Roman"/>
          <w:sz w:val="24"/>
        </w:rPr>
        <w:t xml:space="preserve"> at </w:t>
      </w:r>
      <w:r w:rsidR="00503CDE" w:rsidRPr="00F54B93">
        <w:rPr>
          <w:rFonts w:ascii="Times New Roman" w:hAnsi="Times New Roman"/>
          <w:sz w:val="24"/>
        </w:rPr>
        <w:t xml:space="preserve">820 </w:t>
      </w:r>
      <w:r w:rsidR="00862232" w:rsidRPr="00F54B93">
        <w:rPr>
          <w:rFonts w:ascii="Times New Roman" w:hAnsi="Times New Roman"/>
          <w:sz w:val="24"/>
        </w:rPr>
        <w:t>[59].</w:t>
      </w:r>
    </w:p>
  </w:footnote>
  <w:footnote w:id="29">
    <w:p w14:paraId="39578A5E" w14:textId="2FB1E953" w:rsidR="00294790" w:rsidRPr="00F54B93" w:rsidRDefault="00294790"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B75FDF" w:rsidRPr="00F54B93">
        <w:rPr>
          <w:rFonts w:ascii="Times New Roman" w:hAnsi="Times New Roman"/>
          <w:sz w:val="24"/>
        </w:rPr>
        <w:t>(</w:t>
      </w:r>
      <w:r w:rsidRPr="00F54B93">
        <w:rPr>
          <w:rFonts w:ascii="Times New Roman" w:hAnsi="Times New Roman"/>
          <w:sz w:val="24"/>
        </w:rPr>
        <w:t>2024</w:t>
      </w:r>
      <w:r w:rsidR="00B75FDF" w:rsidRPr="00F54B93">
        <w:rPr>
          <w:rFonts w:ascii="Times New Roman" w:hAnsi="Times New Roman"/>
          <w:sz w:val="24"/>
        </w:rPr>
        <w:t>)</w:t>
      </w:r>
      <w:r w:rsidRPr="00F54B93">
        <w:rPr>
          <w:rFonts w:ascii="Times New Roman" w:hAnsi="Times New Roman"/>
          <w:sz w:val="24"/>
        </w:rPr>
        <w:t xml:space="preserve"> </w:t>
      </w:r>
      <w:r w:rsidR="00B75FDF" w:rsidRPr="00F54B93">
        <w:rPr>
          <w:rFonts w:ascii="Times New Roman" w:hAnsi="Times New Roman"/>
          <w:sz w:val="24"/>
        </w:rPr>
        <w:t>98 ALJR 808</w:t>
      </w:r>
      <w:r w:rsidRPr="00F54B93">
        <w:rPr>
          <w:rFonts w:ascii="Times New Roman" w:hAnsi="Times New Roman"/>
          <w:sz w:val="24"/>
        </w:rPr>
        <w:t>.</w:t>
      </w:r>
    </w:p>
  </w:footnote>
  <w:footnote w:id="30">
    <w:p w14:paraId="2D2AB98B" w14:textId="699EE1F6" w:rsidR="00DD12BA" w:rsidRPr="00F54B93" w:rsidRDefault="00DD12BA"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F9089A" w:rsidRPr="00F54B93">
        <w:rPr>
          <w:rFonts w:ascii="Times New Roman" w:hAnsi="Times New Roman"/>
          <w:sz w:val="24"/>
        </w:rPr>
        <w:t>(</w:t>
      </w:r>
      <w:r w:rsidRPr="00F54B93">
        <w:rPr>
          <w:rFonts w:ascii="Times New Roman" w:hAnsi="Times New Roman"/>
          <w:sz w:val="24"/>
        </w:rPr>
        <w:t>2024</w:t>
      </w:r>
      <w:r w:rsidR="00F9089A" w:rsidRPr="00F54B93">
        <w:rPr>
          <w:rFonts w:ascii="Times New Roman" w:hAnsi="Times New Roman"/>
          <w:sz w:val="24"/>
        </w:rPr>
        <w:t>)</w:t>
      </w:r>
      <w:r w:rsidRPr="00F54B93">
        <w:rPr>
          <w:rFonts w:ascii="Times New Roman" w:hAnsi="Times New Roman"/>
          <w:sz w:val="24"/>
        </w:rPr>
        <w:t xml:space="preserve"> </w:t>
      </w:r>
      <w:r w:rsidR="00F9089A" w:rsidRPr="00F54B93">
        <w:rPr>
          <w:rFonts w:ascii="Times New Roman" w:hAnsi="Times New Roman"/>
          <w:sz w:val="24"/>
        </w:rPr>
        <w:t>98 ALJR 808</w:t>
      </w:r>
      <w:r w:rsidRPr="00F54B93">
        <w:rPr>
          <w:rFonts w:ascii="Times New Roman" w:hAnsi="Times New Roman"/>
          <w:sz w:val="24"/>
        </w:rPr>
        <w:t xml:space="preserve"> at </w:t>
      </w:r>
      <w:r w:rsidR="005B65C1" w:rsidRPr="00F54B93">
        <w:rPr>
          <w:rFonts w:ascii="Times New Roman" w:hAnsi="Times New Roman"/>
          <w:sz w:val="24"/>
        </w:rPr>
        <w:t xml:space="preserve">822 </w:t>
      </w:r>
      <w:r w:rsidRPr="00F54B93">
        <w:rPr>
          <w:rFonts w:ascii="Times New Roman" w:hAnsi="Times New Roman"/>
          <w:sz w:val="24"/>
        </w:rPr>
        <w:t>[67].</w:t>
      </w:r>
    </w:p>
  </w:footnote>
  <w:footnote w:id="31">
    <w:p w14:paraId="3D2A351B" w14:textId="5EC296EA" w:rsidR="00C972F2" w:rsidRPr="00F54B93" w:rsidRDefault="00C972F2" w:rsidP="00F54B93">
      <w:pPr>
        <w:pStyle w:val="FootnoteText"/>
        <w:spacing w:line="280" w:lineRule="exact"/>
        <w:ind w:right="0"/>
        <w:jc w:val="both"/>
        <w:rPr>
          <w:rFonts w:ascii="Times New Roman" w:hAnsi="Times New Roman"/>
          <w:sz w:val="24"/>
        </w:rPr>
      </w:pPr>
      <w:r w:rsidRPr="00F54B93">
        <w:rPr>
          <w:rStyle w:val="FootnoteReference"/>
          <w:rFonts w:ascii="Times New Roman" w:hAnsi="Times New Roman"/>
          <w:sz w:val="22"/>
          <w:vertAlign w:val="baseline"/>
        </w:rPr>
        <w:footnoteRef/>
      </w:r>
      <w:r w:rsidRPr="00F54B93">
        <w:rPr>
          <w:rFonts w:ascii="Times New Roman" w:hAnsi="Times New Roman"/>
          <w:sz w:val="24"/>
        </w:rPr>
        <w:t xml:space="preserve"> </w:t>
      </w:r>
      <w:r w:rsidRPr="00F54B93">
        <w:rPr>
          <w:rFonts w:ascii="Times New Roman" w:hAnsi="Times New Roman"/>
          <w:sz w:val="24"/>
        </w:rPr>
        <w:tab/>
      </w:r>
      <w:r w:rsidR="00E24342" w:rsidRPr="00F54B93">
        <w:rPr>
          <w:rFonts w:ascii="Times New Roman" w:hAnsi="Times New Roman"/>
          <w:i/>
          <w:iCs/>
          <w:sz w:val="24"/>
        </w:rPr>
        <w:t>Automotive Invest Pty Ltd v</w:t>
      </w:r>
      <w:r w:rsidR="008B2EE7" w:rsidRPr="00F54B93">
        <w:rPr>
          <w:rFonts w:ascii="Times New Roman" w:hAnsi="Times New Roman"/>
          <w:i/>
          <w:iCs/>
          <w:sz w:val="24"/>
        </w:rPr>
        <w:t xml:space="preserve"> Federal</w:t>
      </w:r>
      <w:r w:rsidR="00E24342" w:rsidRPr="00F54B93">
        <w:rPr>
          <w:rFonts w:ascii="Times New Roman" w:hAnsi="Times New Roman"/>
          <w:i/>
          <w:iCs/>
          <w:sz w:val="24"/>
        </w:rPr>
        <w:t xml:space="preserve"> Commissioner of Taxation</w:t>
      </w:r>
      <w:r w:rsidR="00E24342" w:rsidRPr="00F54B93">
        <w:rPr>
          <w:rFonts w:ascii="Times New Roman" w:hAnsi="Times New Roman"/>
          <w:sz w:val="24"/>
        </w:rPr>
        <w:t xml:space="preserve"> (2023) 299 FCR 288</w:t>
      </w:r>
      <w:r w:rsidR="002C26E2" w:rsidRPr="00F54B93">
        <w:rPr>
          <w:rFonts w:ascii="Times New Roman" w:hAnsi="Times New Roman"/>
          <w:sz w:val="24"/>
        </w:rPr>
        <w:t xml:space="preserve"> at 304 [83].</w:t>
      </w:r>
    </w:p>
  </w:footnote>
  <w:footnote w:id="32">
    <w:p w14:paraId="069B7E1C"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t xml:space="preserve">Australia, House of Representatives, </w:t>
      </w:r>
      <w:r w:rsidRPr="00515D07">
        <w:rPr>
          <w:rFonts w:ascii="Times New Roman" w:hAnsi="Times New Roman"/>
          <w:i/>
          <w:iCs/>
          <w:sz w:val="24"/>
          <w:lang w:val="en-US"/>
        </w:rPr>
        <w:t>A New Tax System (Luxury Car Tax) Bill 1999</w:t>
      </w:r>
      <w:r w:rsidRPr="00515D07">
        <w:rPr>
          <w:rFonts w:ascii="Times New Roman" w:hAnsi="Times New Roman"/>
          <w:sz w:val="24"/>
          <w:lang w:val="en-US"/>
        </w:rPr>
        <w:t>, Explanatory Memorandum at 5 [1.1] (emphasis in original).</w:t>
      </w:r>
    </w:p>
  </w:footnote>
  <w:footnote w:id="33">
    <w:p w14:paraId="1641B58B"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t xml:space="preserve">Australia, House of Representatives, </w:t>
      </w:r>
      <w:r w:rsidRPr="00515D07">
        <w:rPr>
          <w:rFonts w:ascii="Times New Roman" w:hAnsi="Times New Roman"/>
          <w:i/>
          <w:iCs/>
          <w:sz w:val="24"/>
          <w:lang w:val="en-US"/>
        </w:rPr>
        <w:t>A New Tax System (Luxury Car Tax) Bill 1999</w:t>
      </w:r>
      <w:r w:rsidRPr="00515D07">
        <w:rPr>
          <w:rFonts w:ascii="Times New Roman" w:hAnsi="Times New Roman"/>
          <w:sz w:val="24"/>
          <w:lang w:val="en-US"/>
        </w:rPr>
        <w:t>, Explanatory Memorandum at 5 [1.2].</w:t>
      </w:r>
    </w:p>
  </w:footnote>
  <w:footnote w:id="34">
    <w:p w14:paraId="71DE3FE7"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 xml:space="preserve">A New Tax System (Luxury Car Tax) Act 1999 </w:t>
      </w:r>
      <w:r w:rsidRPr="00515D07">
        <w:rPr>
          <w:rFonts w:ascii="Times New Roman" w:hAnsi="Times New Roman"/>
          <w:sz w:val="24"/>
          <w:lang w:val="en-US"/>
        </w:rPr>
        <w:t>(Cth), s 5-5.</w:t>
      </w:r>
    </w:p>
  </w:footnote>
  <w:footnote w:id="35">
    <w:p w14:paraId="764679C6"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lang w:val="en-US"/>
        </w:rPr>
        <w:t xml:space="preserve">A New Tax System (Luxury Car Tax) Act 1999 </w:t>
      </w:r>
      <w:r w:rsidRPr="00515D07">
        <w:rPr>
          <w:rFonts w:ascii="Times New Roman" w:hAnsi="Times New Roman"/>
          <w:sz w:val="24"/>
          <w:lang w:val="en-US"/>
        </w:rPr>
        <w:t>(Cth), s 25-1.</w:t>
      </w:r>
    </w:p>
  </w:footnote>
  <w:footnote w:id="36">
    <w:p w14:paraId="08BAA0B0"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 xml:space="preserve">A New Tax System (Luxury Car Tax) Act 1999 </w:t>
      </w:r>
      <w:r w:rsidRPr="00515D07">
        <w:rPr>
          <w:rFonts w:ascii="Times New Roman" w:hAnsi="Times New Roman"/>
          <w:sz w:val="24"/>
          <w:lang w:val="en-US"/>
        </w:rPr>
        <w:t>(Cth), ss 9-20 and 9-25.</w:t>
      </w:r>
    </w:p>
  </w:footnote>
  <w:footnote w:id="37">
    <w:p w14:paraId="7AB327DF"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 xml:space="preserve">A New Tax System (Luxury Car Tax) Act 1999 </w:t>
      </w:r>
      <w:r w:rsidRPr="00515D07">
        <w:rPr>
          <w:rFonts w:ascii="Times New Roman" w:hAnsi="Times New Roman"/>
          <w:sz w:val="24"/>
          <w:lang w:val="en-US"/>
        </w:rPr>
        <w:t>(Cth), s 13-5.</w:t>
      </w:r>
    </w:p>
  </w:footnote>
  <w:footnote w:id="38">
    <w:p w14:paraId="460D8F19"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 xml:space="preserve">A New Tax System (Luxury Car Tax) Act 1999 </w:t>
      </w:r>
      <w:r w:rsidRPr="00515D07">
        <w:rPr>
          <w:rFonts w:ascii="Times New Roman" w:hAnsi="Times New Roman"/>
          <w:sz w:val="24"/>
          <w:lang w:val="en-US"/>
        </w:rPr>
        <w:t>(Cth), s 13-10.</w:t>
      </w:r>
    </w:p>
  </w:footnote>
  <w:footnote w:id="39">
    <w:p w14:paraId="113779F1"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 xml:space="preserve">A New Tax System (Luxury Car Tax) Act 1999 </w:t>
      </w:r>
      <w:r w:rsidRPr="00515D07">
        <w:rPr>
          <w:rFonts w:ascii="Times New Roman" w:hAnsi="Times New Roman"/>
          <w:sz w:val="24"/>
          <w:lang w:val="en-US"/>
        </w:rPr>
        <w:t>(Cth), s 15</w:t>
      </w:r>
      <w:r w:rsidRPr="00515D07">
        <w:rPr>
          <w:rFonts w:ascii="Times New Roman" w:hAnsi="Times New Roman"/>
          <w:sz w:val="24"/>
          <w:lang w:val="en-US"/>
        </w:rPr>
        <w:noBreakHyphen/>
        <w:t>30(4)(a).</w:t>
      </w:r>
    </w:p>
  </w:footnote>
  <w:footnote w:id="40">
    <w:p w14:paraId="184DCD72"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 xml:space="preserve">A New Tax System (Luxury Car Tax) Act 1999 </w:t>
      </w:r>
      <w:r w:rsidRPr="00515D07">
        <w:rPr>
          <w:rFonts w:ascii="Times New Roman" w:hAnsi="Times New Roman"/>
          <w:sz w:val="24"/>
          <w:lang w:val="en-US"/>
        </w:rPr>
        <w:t>(Cth), s 15</w:t>
      </w:r>
      <w:r w:rsidRPr="00515D07">
        <w:rPr>
          <w:rFonts w:ascii="Times New Roman" w:hAnsi="Times New Roman"/>
          <w:sz w:val="24"/>
          <w:lang w:val="en-US"/>
        </w:rPr>
        <w:noBreakHyphen/>
        <w:t>35(3).</w:t>
      </w:r>
    </w:p>
  </w:footnote>
  <w:footnote w:id="41">
    <w:p w14:paraId="7BCF5F69"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A New Tax System (Goods and Services Tax) Act 1999</w:t>
      </w:r>
      <w:r w:rsidRPr="00515D07">
        <w:rPr>
          <w:rFonts w:ascii="Times New Roman" w:hAnsi="Times New Roman"/>
          <w:sz w:val="24"/>
        </w:rPr>
        <w:t xml:space="preserve"> (Cth), s</w:t>
      </w:r>
      <w:r w:rsidRPr="00515D07">
        <w:rPr>
          <w:rFonts w:ascii="Times New Roman" w:hAnsi="Times New Roman"/>
          <w:sz w:val="24"/>
          <w:lang w:val="en-US"/>
        </w:rPr>
        <w:t> 69-10.</w:t>
      </w:r>
    </w:p>
  </w:footnote>
  <w:footnote w:id="42">
    <w:p w14:paraId="5D8C268B"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(2023) 299 FCR 288 at 301 [64].</w:t>
      </w:r>
    </w:p>
  </w:footnote>
  <w:footnote w:id="43">
    <w:p w14:paraId="64AF95CF"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(2022) 114 ATR 569 at 588 [84].</w:t>
      </w:r>
    </w:p>
  </w:footnote>
  <w:footnote w:id="44">
    <w:p w14:paraId="3F1314F2"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t>All, or nearly all, of the other cars were also held as trading stock.</w:t>
      </w:r>
    </w:p>
  </w:footnote>
  <w:footnote w:id="45">
    <w:p w14:paraId="5A174D39"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308-309 [107].</w:t>
      </w:r>
    </w:p>
  </w:footnote>
  <w:footnote w:id="46">
    <w:p w14:paraId="4AFA5E38"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302 [70].</w:t>
      </w:r>
    </w:p>
  </w:footnote>
  <w:footnote w:id="47">
    <w:p w14:paraId="01FD745F"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Allied Pastoral Holdings Pty Ltd v Commissioner of Taxation</w:t>
      </w:r>
      <w:r w:rsidRPr="00515D07">
        <w:rPr>
          <w:rFonts w:ascii="Times New Roman" w:hAnsi="Times New Roman"/>
          <w:sz w:val="24"/>
          <w:lang w:val="en-US"/>
        </w:rPr>
        <w:t xml:space="preserve"> </w:t>
      </w:r>
      <w:r>
        <w:rPr>
          <w:rFonts w:ascii="Times New Roman" w:hAnsi="Times New Roman"/>
          <w:sz w:val="24"/>
          <w:lang w:val="en-US"/>
        </w:rPr>
        <w:t>[</w:t>
      </w:r>
      <w:r w:rsidRPr="00515D07">
        <w:rPr>
          <w:rFonts w:ascii="Times New Roman" w:hAnsi="Times New Roman"/>
          <w:sz w:val="24"/>
          <w:lang w:val="en-US"/>
        </w:rPr>
        <w:t>1983</w:t>
      </w:r>
      <w:r>
        <w:rPr>
          <w:rFonts w:ascii="Times New Roman" w:hAnsi="Times New Roman"/>
          <w:sz w:val="24"/>
          <w:lang w:val="en-US"/>
        </w:rPr>
        <w:t>]</w:t>
      </w:r>
      <w:r w:rsidRPr="00515D07">
        <w:rPr>
          <w:rFonts w:ascii="Times New Roman" w:hAnsi="Times New Roman"/>
          <w:sz w:val="24"/>
          <w:lang w:val="en-US"/>
        </w:rPr>
        <w:t xml:space="preserve"> 1 NSWLR 1 at 11; </w:t>
      </w:r>
      <w:r w:rsidRPr="00515D07">
        <w:rPr>
          <w:rFonts w:ascii="Times New Roman" w:hAnsi="Times New Roman"/>
          <w:i/>
          <w:iCs/>
          <w:sz w:val="24"/>
          <w:lang w:val="en-US"/>
        </w:rPr>
        <w:t xml:space="preserve">Taxation Administration Act 1953 </w:t>
      </w:r>
      <w:r w:rsidRPr="00515D07">
        <w:rPr>
          <w:rFonts w:ascii="Times New Roman" w:hAnsi="Times New Roman"/>
          <w:sz w:val="24"/>
          <w:lang w:val="en-US"/>
        </w:rPr>
        <w:t>(Cth), s 14ZZO.</w:t>
      </w:r>
    </w:p>
  </w:footnote>
  <w:footnote w:id="48">
    <w:p w14:paraId="736614CF"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(2022) 114 ATR 569 at 588 [84].</w:t>
      </w:r>
    </w:p>
  </w:footnote>
  <w:footnote w:id="49">
    <w:p w14:paraId="2E39412A"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(2022) 114 ATR 569 at 587 [80].</w:t>
      </w:r>
    </w:p>
  </w:footnote>
  <w:footnote w:id="50">
    <w:p w14:paraId="6585AB51"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(2023) 299 FCR 288 at 293 [22].</w:t>
      </w:r>
    </w:p>
  </w:footnote>
  <w:footnote w:id="51">
    <w:p w14:paraId="540A3211"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(2022) 114 ATR 569 at 587 </w:t>
      </w:r>
      <w:r w:rsidRPr="00515D07">
        <w:rPr>
          <w:rFonts w:ascii="Times New Roman" w:hAnsi="Times New Roman"/>
          <w:sz w:val="24"/>
          <w:lang w:val="en-US"/>
        </w:rPr>
        <w:t>[78].</w:t>
      </w:r>
    </w:p>
  </w:footnote>
  <w:footnote w:id="52">
    <w:p w14:paraId="262FA8BE"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(2022) 114 ATR 569 at 587 </w:t>
      </w:r>
      <w:r w:rsidRPr="00515D07">
        <w:rPr>
          <w:rFonts w:ascii="Times New Roman" w:hAnsi="Times New Roman"/>
          <w:sz w:val="24"/>
          <w:lang w:val="en-US"/>
        </w:rPr>
        <w:t>[77], [79].</w:t>
      </w:r>
    </w:p>
  </w:footnote>
  <w:footnote w:id="53">
    <w:p w14:paraId="0D695073"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(2022) 114 ATR 569 at </w:t>
      </w:r>
      <w:r w:rsidRPr="00515D07">
        <w:rPr>
          <w:rFonts w:ascii="Times New Roman" w:hAnsi="Times New Roman"/>
          <w:sz w:val="24"/>
          <w:lang w:val="en-US"/>
        </w:rPr>
        <w:t>588 [87].</w:t>
      </w:r>
    </w:p>
  </w:footnote>
  <w:footnote w:id="54">
    <w:p w14:paraId="1C4013F0"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(2022) 114 ATR 569 at </w:t>
      </w:r>
      <w:r w:rsidRPr="00515D07">
        <w:rPr>
          <w:rFonts w:ascii="Times New Roman" w:hAnsi="Times New Roman"/>
          <w:sz w:val="24"/>
          <w:lang w:val="en-US"/>
        </w:rPr>
        <w:t>587 [80] (emphasis in original).</w:t>
      </w:r>
    </w:p>
  </w:footnote>
  <w:footnote w:id="55">
    <w:p w14:paraId="61498E97"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(2022) 114 ATR 569 at </w:t>
      </w:r>
      <w:r w:rsidRPr="00515D07">
        <w:rPr>
          <w:rFonts w:ascii="Times New Roman" w:hAnsi="Times New Roman"/>
          <w:sz w:val="24"/>
          <w:lang w:val="en-US"/>
        </w:rPr>
        <w:t>585 [68].</w:t>
      </w:r>
    </w:p>
  </w:footnote>
  <w:footnote w:id="56">
    <w:p w14:paraId="5DF01DBB"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(2022) 114 ATR 569 at </w:t>
      </w:r>
      <w:r w:rsidRPr="00515D07">
        <w:rPr>
          <w:rFonts w:ascii="Times New Roman" w:hAnsi="Times New Roman"/>
          <w:sz w:val="24"/>
          <w:lang w:val="en-US"/>
        </w:rPr>
        <w:t>585 [68].</w:t>
      </w:r>
    </w:p>
  </w:footnote>
  <w:footnote w:id="57">
    <w:p w14:paraId="5FB177D5"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(2022) 114 ATR 569 </w:t>
      </w:r>
      <w:r w:rsidRPr="00515D07">
        <w:rPr>
          <w:rFonts w:ascii="Times New Roman" w:hAnsi="Times New Roman"/>
          <w:sz w:val="24"/>
          <w:lang w:val="en-US"/>
        </w:rPr>
        <w:t>at 586 [71].</w:t>
      </w:r>
    </w:p>
  </w:footnote>
  <w:footnote w:id="58">
    <w:p w14:paraId="364F0B9C"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(2022) 114 ATR 569 </w:t>
      </w:r>
      <w:r w:rsidRPr="00515D07">
        <w:rPr>
          <w:rFonts w:ascii="Times New Roman" w:hAnsi="Times New Roman"/>
          <w:sz w:val="24"/>
          <w:lang w:val="en-US"/>
        </w:rPr>
        <w:t>at 586 [73].</w:t>
      </w:r>
    </w:p>
  </w:footnote>
  <w:footnote w:id="59">
    <w:p w14:paraId="117D225C"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(2022) 114 ATR 569 at</w:t>
      </w:r>
      <w:r w:rsidRPr="00515D07">
        <w:rPr>
          <w:rFonts w:ascii="Times New Roman" w:hAnsi="Times New Roman"/>
          <w:sz w:val="24"/>
          <w:lang w:val="en-US"/>
        </w:rPr>
        <w:t xml:space="preserve"> 586 [72], [75], citing </w:t>
      </w:r>
      <w:r w:rsidRPr="00515D07">
        <w:rPr>
          <w:rFonts w:ascii="Times New Roman" w:hAnsi="Times New Roman"/>
          <w:i/>
          <w:iCs/>
          <w:sz w:val="24"/>
          <w:lang w:val="en-US"/>
        </w:rPr>
        <w:t>Brayson Motors Pty Ltd (In liq) v Federal Commissioner of Taxation</w:t>
      </w:r>
      <w:r w:rsidRPr="00515D07">
        <w:rPr>
          <w:rFonts w:ascii="Times New Roman" w:hAnsi="Times New Roman"/>
          <w:sz w:val="24"/>
          <w:lang w:val="en-US"/>
        </w:rPr>
        <w:t xml:space="preserve"> (1985) 156 CLR 651 and </w:t>
      </w:r>
      <w:r w:rsidRPr="00515D07">
        <w:rPr>
          <w:rFonts w:ascii="Times New Roman" w:hAnsi="Times New Roman"/>
          <w:i/>
          <w:iCs/>
          <w:sz w:val="24"/>
          <w:lang w:val="en-US"/>
        </w:rPr>
        <w:t>Certain Lloyd's Underwriters v Cross</w:t>
      </w:r>
      <w:r w:rsidRPr="00515D07">
        <w:rPr>
          <w:rFonts w:ascii="Times New Roman" w:hAnsi="Times New Roman"/>
          <w:sz w:val="24"/>
          <w:lang w:val="en-US"/>
        </w:rPr>
        <w:t xml:space="preserve"> (2012) 248 CLR 378.</w:t>
      </w:r>
    </w:p>
  </w:footnote>
  <w:footnote w:id="60">
    <w:p w14:paraId="089BF03A"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306 [95].</w:t>
      </w:r>
    </w:p>
  </w:footnote>
  <w:footnote w:id="61">
    <w:p w14:paraId="615B9B83"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306 [96].</w:t>
      </w:r>
    </w:p>
  </w:footnote>
  <w:footnote w:id="62">
    <w:p w14:paraId="1269E482"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306 [98].</w:t>
      </w:r>
    </w:p>
  </w:footnote>
  <w:footnote w:id="63">
    <w:p w14:paraId="037002A2"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307 [99].</w:t>
      </w:r>
    </w:p>
  </w:footnote>
  <w:footnote w:id="64">
    <w:p w14:paraId="7B21A530"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307 [100].</w:t>
      </w:r>
    </w:p>
  </w:footnote>
  <w:footnote w:id="65">
    <w:p w14:paraId="54CB264F"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307 [101].</w:t>
      </w:r>
    </w:p>
  </w:footnote>
  <w:footnote w:id="66">
    <w:p w14:paraId="108998EB"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307 [102].</w:t>
      </w:r>
    </w:p>
  </w:footnote>
  <w:footnote w:id="67">
    <w:p w14:paraId="09BC1849"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309 [109].</w:t>
      </w:r>
    </w:p>
  </w:footnote>
  <w:footnote w:id="68">
    <w:p w14:paraId="0FFC62BE"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309 [110].</w:t>
      </w:r>
    </w:p>
  </w:footnote>
  <w:footnote w:id="69">
    <w:p w14:paraId="6064CBAB"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295 [35].</w:t>
      </w:r>
    </w:p>
  </w:footnote>
  <w:footnote w:id="70">
    <w:p w14:paraId="15E64540"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296 [36], 298 [44].</w:t>
      </w:r>
    </w:p>
  </w:footnote>
  <w:footnote w:id="71">
    <w:p w14:paraId="3DFB71D4"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298-299 [51]-[52].</w:t>
      </w:r>
    </w:p>
  </w:footnote>
  <w:footnote w:id="72">
    <w:p w14:paraId="724ABA17"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 299 [54].</w:t>
      </w:r>
    </w:p>
  </w:footnote>
  <w:footnote w:id="73">
    <w:p w14:paraId="37D1E9A9"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Federal Commissioner of Taxation v Kentucky Fried Chicken Pty Ltd</w:t>
      </w:r>
      <w:r w:rsidRPr="00515D07">
        <w:rPr>
          <w:rFonts w:ascii="Times New Roman" w:hAnsi="Times New Roman"/>
          <w:sz w:val="24"/>
          <w:lang w:val="en-US"/>
        </w:rPr>
        <w:t xml:space="preserve"> (1988) 12 NSWLR 643 at 651. </w:t>
      </w:r>
    </w:p>
  </w:footnote>
  <w:footnote w:id="74">
    <w:p w14:paraId="0AFDC20D"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Abbott Point Bulk Coal Pty Ltd v Collector of Customs</w:t>
      </w:r>
      <w:r w:rsidRPr="00515D07">
        <w:rPr>
          <w:rFonts w:ascii="Times New Roman" w:hAnsi="Times New Roman"/>
          <w:sz w:val="24"/>
          <w:lang w:val="en-US"/>
        </w:rPr>
        <w:t xml:space="preserve"> (1992) 35 FCR 371 at 378.</w:t>
      </w:r>
    </w:p>
  </w:footnote>
  <w:footnote w:id="75">
    <w:p w14:paraId="440A3567"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(2022) 114 ATR 569 </w:t>
      </w:r>
      <w:r w:rsidRPr="00515D07">
        <w:rPr>
          <w:rFonts w:ascii="Times New Roman" w:hAnsi="Times New Roman"/>
          <w:sz w:val="24"/>
          <w:lang w:val="en-US"/>
        </w:rPr>
        <w:t>at</w:t>
      </w:r>
      <w:r w:rsidRPr="00515D07">
        <w:rPr>
          <w:rFonts w:ascii="Times New Roman" w:hAnsi="Times New Roman"/>
          <w:sz w:val="24"/>
        </w:rPr>
        <w:t xml:space="preserve"> 587 [78];</w:t>
      </w:r>
      <w:r w:rsidRPr="00515D07">
        <w:rPr>
          <w:rFonts w:ascii="Times New Roman" w:hAnsi="Times New Roman"/>
          <w:i/>
          <w:iCs/>
          <w:sz w:val="24"/>
        </w:rPr>
        <w:t xml:space="preserve"> Automotive Invest Pty Ltd v Federal Commissioner of Taxation </w:t>
      </w:r>
      <w:r w:rsidRPr="00515D07">
        <w:rPr>
          <w:rFonts w:ascii="Times New Roman" w:hAnsi="Times New Roman"/>
          <w:sz w:val="24"/>
        </w:rPr>
        <w:t xml:space="preserve">(2023) 299 FCR 288 </w:t>
      </w:r>
      <w:r w:rsidRPr="00515D07">
        <w:rPr>
          <w:rFonts w:ascii="Times New Roman" w:hAnsi="Times New Roman"/>
          <w:sz w:val="24"/>
          <w:lang w:val="en-US"/>
        </w:rPr>
        <w:t>at</w:t>
      </w:r>
      <w:r w:rsidRPr="00515D07">
        <w:rPr>
          <w:rFonts w:ascii="Times New Roman" w:hAnsi="Times New Roman"/>
          <w:sz w:val="24"/>
        </w:rPr>
        <w:t xml:space="preserve"> 309 [108]. </w:t>
      </w:r>
    </w:p>
  </w:footnote>
  <w:footnote w:id="76">
    <w:p w14:paraId="56AF9199"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t>(2024) 98 ALJR 808.</w:t>
      </w:r>
    </w:p>
  </w:footnote>
  <w:footnote w:id="77">
    <w:p w14:paraId="28718AFA"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bookmarkStart w:id="0" w:name="_Hlk172020407"/>
      <w:r w:rsidRPr="00515D07">
        <w:rPr>
          <w:rFonts w:ascii="Times New Roman" w:hAnsi="Times New Roman"/>
          <w:sz w:val="24"/>
        </w:rPr>
        <w:t xml:space="preserve">Lever, "Means, Motives, and Interests in the Law of Torts", in Guest (ed), </w:t>
      </w:r>
      <w:r w:rsidRPr="00515D07">
        <w:rPr>
          <w:rFonts w:ascii="Times New Roman" w:hAnsi="Times New Roman"/>
          <w:i/>
          <w:iCs/>
          <w:sz w:val="24"/>
        </w:rPr>
        <w:t xml:space="preserve">Oxford Essays in Jurisprudence </w:t>
      </w:r>
      <w:r w:rsidRPr="00515D07">
        <w:rPr>
          <w:rFonts w:ascii="Times New Roman" w:hAnsi="Times New Roman"/>
          <w:sz w:val="24"/>
        </w:rPr>
        <w:t xml:space="preserve">(1961) 50 at 55. </w:t>
      </w:r>
      <w:bookmarkEnd w:id="0"/>
    </w:p>
  </w:footnote>
  <w:footnote w:id="78">
    <w:p w14:paraId="26ED5DFB"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t xml:space="preserve">Finnis, </w:t>
      </w:r>
      <w:r w:rsidRPr="00515D07">
        <w:rPr>
          <w:rFonts w:ascii="Times New Roman" w:hAnsi="Times New Roman"/>
          <w:i/>
          <w:iCs/>
          <w:sz w:val="24"/>
        </w:rPr>
        <w:t xml:space="preserve">Intention and Identity: Collected Essays Volume II </w:t>
      </w:r>
      <w:r w:rsidRPr="00515D07">
        <w:rPr>
          <w:rFonts w:ascii="Times New Roman" w:hAnsi="Times New Roman"/>
          <w:sz w:val="24"/>
        </w:rPr>
        <w:t>(2011) at 153.</w:t>
      </w:r>
    </w:p>
  </w:footnote>
  <w:footnote w:id="79">
    <w:p w14:paraId="7B3B32C2"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t xml:space="preserve">(2003) 215 CLR 563 at 573 [18]. </w:t>
      </w:r>
    </w:p>
  </w:footnote>
  <w:footnote w:id="80">
    <w:p w14:paraId="29172EBE"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t xml:space="preserve">(2019) 269 CLR 370 at 400 [49]. </w:t>
      </w:r>
    </w:p>
  </w:footnote>
  <w:footnote w:id="81">
    <w:p w14:paraId="79690902"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bookmarkStart w:id="1" w:name="_Hlk172811885"/>
      <w:r w:rsidRPr="00515D07">
        <w:rPr>
          <w:rFonts w:ascii="Times New Roman" w:hAnsi="Times New Roman"/>
          <w:sz w:val="24"/>
        </w:rPr>
        <w:t xml:space="preserve">Ames, "Law and Morals" (1908) 22 </w:t>
      </w:r>
      <w:r w:rsidRPr="00515D07">
        <w:rPr>
          <w:rFonts w:ascii="Times New Roman" w:hAnsi="Times New Roman"/>
          <w:i/>
          <w:iCs/>
          <w:sz w:val="24"/>
        </w:rPr>
        <w:t xml:space="preserve">Harvard Law Review </w:t>
      </w:r>
      <w:r w:rsidRPr="00515D07">
        <w:rPr>
          <w:rFonts w:ascii="Times New Roman" w:hAnsi="Times New Roman"/>
          <w:sz w:val="24"/>
        </w:rPr>
        <w:t>97 at 97.</w:t>
      </w:r>
      <w:bookmarkEnd w:id="1"/>
    </w:p>
  </w:footnote>
  <w:footnote w:id="82">
    <w:p w14:paraId="4D8B97B3"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Meridian Global Funds Management Asia Ltd v Securities Commission </w:t>
      </w:r>
      <w:r w:rsidRPr="00515D07">
        <w:rPr>
          <w:rFonts w:ascii="Times New Roman" w:hAnsi="Times New Roman"/>
          <w:sz w:val="24"/>
        </w:rPr>
        <w:t xml:space="preserve">[1995] 2 AC 500 at 507. </w:t>
      </w:r>
    </w:p>
  </w:footnote>
  <w:footnote w:id="83">
    <w:p w14:paraId="7F477F2C"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t>(1982) 150 CLR 355 at 370.</w:t>
      </w:r>
    </w:p>
  </w:footnote>
  <w:footnote w:id="84">
    <w:p w14:paraId="74E6B052"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sz w:val="24"/>
          <w:lang w:val="en-US"/>
        </w:rPr>
        <w:t xml:space="preserve">(1980) </w:t>
      </w:r>
      <w:r w:rsidRPr="00515D07">
        <w:rPr>
          <w:rFonts w:ascii="Times New Roman" w:hAnsi="Times New Roman"/>
          <w:sz w:val="24"/>
        </w:rPr>
        <w:t>33 ALR 213</w:t>
      </w:r>
      <w:r w:rsidRPr="00515D07">
        <w:rPr>
          <w:rStyle w:val="Hyperlink"/>
          <w:rFonts w:ascii="Times New Roman" w:hAnsi="Times New Roman"/>
          <w:sz w:val="24"/>
          <w:u w:val="none"/>
        </w:rPr>
        <w:t xml:space="preserve"> </w:t>
      </w:r>
      <w:r w:rsidRPr="00515D07">
        <w:rPr>
          <w:rFonts w:ascii="Times New Roman" w:hAnsi="Times New Roman"/>
          <w:sz w:val="24"/>
          <w:lang w:val="en-US"/>
        </w:rPr>
        <w:t>at 215</w:t>
      </w:r>
      <w:r w:rsidRPr="00515D07">
        <w:rPr>
          <w:rFonts w:ascii="Times New Roman" w:hAnsi="Times New Roman"/>
          <w:sz w:val="24"/>
        </w:rPr>
        <w:t>.</w:t>
      </w:r>
    </w:p>
  </w:footnote>
  <w:footnote w:id="85">
    <w:p w14:paraId="51072503"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lang w:val="en-US"/>
        </w:rPr>
        <w:t>Magna Alloys and Research Pty Ltd v Federal Commissioner of Taxation</w:t>
      </w:r>
      <w:r w:rsidRPr="00515D07">
        <w:rPr>
          <w:rFonts w:ascii="Times New Roman" w:hAnsi="Times New Roman"/>
          <w:sz w:val="24"/>
          <w:lang w:val="en-US"/>
        </w:rPr>
        <w:t xml:space="preserve"> (1980) </w:t>
      </w:r>
      <w:r w:rsidRPr="00515D07">
        <w:rPr>
          <w:rFonts w:ascii="Times New Roman" w:hAnsi="Times New Roman"/>
          <w:sz w:val="24"/>
        </w:rPr>
        <w:t>33 ALR 213</w:t>
      </w:r>
      <w:r w:rsidRPr="00515D07">
        <w:rPr>
          <w:rStyle w:val="Hyperlink"/>
          <w:rFonts w:ascii="Times New Roman" w:hAnsi="Times New Roman"/>
          <w:sz w:val="24"/>
          <w:u w:val="none"/>
        </w:rPr>
        <w:t xml:space="preserve"> </w:t>
      </w:r>
      <w:r w:rsidRPr="00515D07">
        <w:rPr>
          <w:rFonts w:ascii="Times New Roman" w:hAnsi="Times New Roman"/>
          <w:sz w:val="24"/>
          <w:lang w:val="en-US"/>
        </w:rPr>
        <w:t>at 222.</w:t>
      </w:r>
    </w:p>
  </w:footnote>
  <w:footnote w:id="86">
    <w:p w14:paraId="1A23BB3C"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lang w:val="en-US"/>
        </w:rPr>
        <w:t>Magna Alloys and Research Pty Ltd v Federal Commissioner of Taxation</w:t>
      </w:r>
      <w:r w:rsidRPr="00515D07">
        <w:rPr>
          <w:rFonts w:ascii="Times New Roman" w:hAnsi="Times New Roman"/>
          <w:sz w:val="24"/>
          <w:lang w:val="en-US"/>
        </w:rPr>
        <w:t xml:space="preserve"> (1980) </w:t>
      </w:r>
      <w:r w:rsidRPr="00515D07">
        <w:rPr>
          <w:rFonts w:ascii="Times New Roman" w:hAnsi="Times New Roman"/>
          <w:sz w:val="24"/>
        </w:rPr>
        <w:t>33 ALR 213</w:t>
      </w:r>
      <w:r w:rsidRPr="00515D07">
        <w:rPr>
          <w:rStyle w:val="Hyperlink"/>
          <w:rFonts w:ascii="Times New Roman" w:hAnsi="Times New Roman"/>
          <w:sz w:val="24"/>
          <w:u w:val="none"/>
        </w:rPr>
        <w:t xml:space="preserve"> </w:t>
      </w:r>
      <w:r w:rsidRPr="00515D07">
        <w:rPr>
          <w:rFonts w:ascii="Times New Roman" w:hAnsi="Times New Roman"/>
          <w:sz w:val="24"/>
          <w:lang w:val="en-US"/>
        </w:rPr>
        <w:t>at 215</w:t>
      </w:r>
      <w:r w:rsidRPr="00515D07">
        <w:rPr>
          <w:rFonts w:ascii="Times New Roman" w:hAnsi="Times New Roman"/>
          <w:sz w:val="24"/>
        </w:rPr>
        <w:t>.</w:t>
      </w:r>
    </w:p>
  </w:footnote>
  <w:footnote w:id="87">
    <w:p w14:paraId="67D2A9C9"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t>(1952) 85 CLR 159.</w:t>
      </w:r>
    </w:p>
  </w:footnote>
  <w:footnote w:id="88">
    <w:p w14:paraId="17C87EAE"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lang w:val="en-US"/>
        </w:rPr>
        <w:t xml:space="preserve">Salvation Army (Victoria) Property Trust v Fern Tree Gully Corporation </w:t>
      </w:r>
      <w:r w:rsidRPr="00515D07">
        <w:rPr>
          <w:rFonts w:ascii="Times New Roman" w:hAnsi="Times New Roman"/>
          <w:sz w:val="24"/>
          <w:lang w:val="en-US"/>
        </w:rPr>
        <w:t>(1952) 85 CLR 159 at 164-165.</w:t>
      </w:r>
    </w:p>
  </w:footnote>
  <w:footnote w:id="89">
    <w:p w14:paraId="01B099F4"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lang w:val="en-US"/>
        </w:rPr>
        <w:t xml:space="preserve">Salvation Army (Victoria) Property Trust v Fern Tree Gully Corporation </w:t>
      </w:r>
      <w:r w:rsidRPr="00515D07">
        <w:rPr>
          <w:rFonts w:ascii="Times New Roman" w:hAnsi="Times New Roman"/>
          <w:sz w:val="24"/>
          <w:lang w:val="en-US"/>
        </w:rPr>
        <w:t>(1952) 85 CLR 159 at 165.</w:t>
      </w:r>
    </w:p>
  </w:footnote>
  <w:footnote w:id="90">
    <w:p w14:paraId="6F0ED6B7"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lang w:val="en-US"/>
        </w:rPr>
        <w:t xml:space="preserve">Salvation Army (Victoria) Property Trust v Fern Tree Gully Corporation </w:t>
      </w:r>
      <w:r w:rsidRPr="00515D07">
        <w:rPr>
          <w:rFonts w:ascii="Times New Roman" w:hAnsi="Times New Roman"/>
          <w:sz w:val="24"/>
          <w:lang w:val="en-US"/>
        </w:rPr>
        <w:t>(1952) 85 CLR 159 at 164.</w:t>
      </w:r>
    </w:p>
  </w:footnote>
  <w:footnote w:id="91">
    <w:p w14:paraId="275029B6"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lang w:val="en-US"/>
        </w:rPr>
        <w:t xml:space="preserve">Salvation Army (Victoria) Property Trust v Fern Tree Gully Corporation </w:t>
      </w:r>
      <w:r w:rsidRPr="00515D07">
        <w:rPr>
          <w:rFonts w:ascii="Times New Roman" w:hAnsi="Times New Roman"/>
          <w:sz w:val="24"/>
          <w:lang w:val="en-US"/>
        </w:rPr>
        <w:t>(1952) 85 CLR 159 at 167.</w:t>
      </w:r>
    </w:p>
  </w:footnote>
  <w:footnote w:id="92">
    <w:p w14:paraId="495D0601"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 xml:space="preserve">Salvation Army (Victoria) Property Trust v Fern Tree Gully Corporation </w:t>
      </w:r>
      <w:r w:rsidRPr="00515D07">
        <w:rPr>
          <w:rFonts w:ascii="Times New Roman" w:hAnsi="Times New Roman"/>
          <w:sz w:val="24"/>
          <w:lang w:val="en-US"/>
        </w:rPr>
        <w:t>(1952) 85 CLR 159 at 165-166.</w:t>
      </w:r>
    </w:p>
  </w:footnote>
  <w:footnote w:id="93">
    <w:p w14:paraId="10BC3ADE"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t>6 &amp; 7 Vict c 36.</w:t>
      </w:r>
    </w:p>
  </w:footnote>
  <w:footnote w:id="94">
    <w:p w14:paraId="202B1CB5"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t xml:space="preserve">The cases were </w:t>
      </w:r>
      <w:r w:rsidRPr="00515D07">
        <w:rPr>
          <w:rFonts w:ascii="Times New Roman" w:hAnsi="Times New Roman"/>
          <w:i/>
          <w:iCs/>
          <w:sz w:val="24"/>
          <w:lang w:val="en-US"/>
        </w:rPr>
        <w:t>Purvis v Traill</w:t>
      </w:r>
      <w:r w:rsidRPr="00515D07">
        <w:rPr>
          <w:rFonts w:ascii="Times New Roman" w:hAnsi="Times New Roman"/>
          <w:sz w:val="24"/>
          <w:lang w:val="en-US"/>
        </w:rPr>
        <w:t xml:space="preserve"> (1849) 3 Ex 344 [154 ER 876]; </w:t>
      </w:r>
      <w:r w:rsidRPr="00515D07">
        <w:rPr>
          <w:rFonts w:ascii="Times New Roman" w:hAnsi="Times New Roman"/>
          <w:i/>
          <w:iCs/>
          <w:sz w:val="24"/>
          <w:lang w:val="en-US"/>
        </w:rPr>
        <w:t>Metropolitan Borough of Battersea v The British Iron and Steel Research Association</w:t>
      </w:r>
      <w:r w:rsidRPr="00515D07">
        <w:rPr>
          <w:rFonts w:ascii="Times New Roman" w:hAnsi="Times New Roman"/>
          <w:sz w:val="24"/>
          <w:lang w:val="en-US"/>
        </w:rPr>
        <w:t xml:space="preserve"> [1949] 1 KB 434.</w:t>
      </w:r>
    </w:p>
  </w:footnote>
  <w:footnote w:id="95">
    <w:p w14:paraId="30F91F3A"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 xml:space="preserve">Salvation Army (Victoria) Property Trust v Fern Tree Gully Corporation </w:t>
      </w:r>
      <w:r w:rsidRPr="00515D07">
        <w:rPr>
          <w:rFonts w:ascii="Times New Roman" w:hAnsi="Times New Roman"/>
          <w:sz w:val="24"/>
          <w:lang w:val="en-US"/>
        </w:rPr>
        <w:t>(1952) 85 CLR 159 at 169.</w:t>
      </w:r>
    </w:p>
  </w:footnote>
  <w:footnote w:id="96">
    <w:p w14:paraId="602FB4E2"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 xml:space="preserve">Salvation Army (Victoria) Property Trust v Fern Tree Gully Corporation </w:t>
      </w:r>
      <w:r w:rsidRPr="00515D07">
        <w:rPr>
          <w:rFonts w:ascii="Times New Roman" w:hAnsi="Times New Roman"/>
          <w:sz w:val="24"/>
          <w:lang w:val="en-US"/>
        </w:rPr>
        <w:t>(1952) 85 CLR 159 at 171.</w:t>
      </w:r>
    </w:p>
  </w:footnote>
  <w:footnote w:id="97">
    <w:p w14:paraId="213B2083"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lang w:val="en-US"/>
        </w:rPr>
        <w:t xml:space="preserve">Salvation Army (Victoria) Property Trust v Fern Tree Gully Corporation </w:t>
      </w:r>
      <w:r w:rsidRPr="00515D07">
        <w:rPr>
          <w:rFonts w:ascii="Times New Roman" w:hAnsi="Times New Roman"/>
          <w:sz w:val="24"/>
          <w:lang w:val="en-US"/>
        </w:rPr>
        <w:t xml:space="preserve">(1952) 85 CLR 159 </w:t>
      </w:r>
      <w:r w:rsidRPr="00515D07">
        <w:rPr>
          <w:rFonts w:ascii="Times New Roman" w:hAnsi="Times New Roman"/>
          <w:sz w:val="24"/>
        </w:rPr>
        <w:t xml:space="preserve">at 172. </w:t>
      </w:r>
    </w:p>
  </w:footnote>
  <w:footnote w:id="98">
    <w:p w14:paraId="745B1655"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t>(1978) 139 CLR 633.</w:t>
      </w:r>
    </w:p>
  </w:footnote>
  <w:footnote w:id="99">
    <w:p w14:paraId="6574A56D"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Local Government Act 1919</w:t>
      </w:r>
      <w:r w:rsidRPr="00515D07">
        <w:rPr>
          <w:rFonts w:ascii="Times New Roman" w:hAnsi="Times New Roman"/>
          <w:sz w:val="24"/>
          <w:lang w:val="en-US"/>
        </w:rPr>
        <w:t xml:space="preserve"> (NSW), s 132(1)(fii).</w:t>
      </w:r>
    </w:p>
  </w:footnote>
  <w:footnote w:id="100">
    <w:p w14:paraId="46FB2BD3"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Ryde Municipal Council v Macquarie University</w:t>
      </w:r>
      <w:r w:rsidRPr="00515D07">
        <w:rPr>
          <w:rFonts w:ascii="Times New Roman" w:hAnsi="Times New Roman"/>
          <w:sz w:val="24"/>
          <w:lang w:val="en-US"/>
        </w:rPr>
        <w:t xml:space="preserve"> (1978) 139 CLR 633 at 635-636.</w:t>
      </w:r>
    </w:p>
  </w:footnote>
  <w:footnote w:id="101">
    <w:p w14:paraId="2CCD26B4"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Ryde Municipal Council v Macquarie University</w:t>
      </w:r>
      <w:r w:rsidRPr="00515D07">
        <w:rPr>
          <w:rFonts w:ascii="Times New Roman" w:hAnsi="Times New Roman"/>
          <w:sz w:val="24"/>
          <w:lang w:val="en-US"/>
        </w:rPr>
        <w:t xml:space="preserve"> (1978) 139 CLR 633 at 645.</w:t>
      </w:r>
    </w:p>
  </w:footnote>
  <w:footnote w:id="102">
    <w:p w14:paraId="55529431"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Ryde Municipal Council v Macquarie University</w:t>
      </w:r>
      <w:r w:rsidRPr="00515D07">
        <w:rPr>
          <w:rFonts w:ascii="Times New Roman" w:hAnsi="Times New Roman"/>
          <w:sz w:val="24"/>
          <w:lang w:val="en-US"/>
        </w:rPr>
        <w:t xml:space="preserve"> (1978) 139 CLR 633 </w:t>
      </w:r>
      <w:r w:rsidRPr="00515D07">
        <w:rPr>
          <w:rFonts w:ascii="Times New Roman" w:hAnsi="Times New Roman"/>
          <w:sz w:val="24"/>
        </w:rPr>
        <w:t>at 643.</w:t>
      </w:r>
    </w:p>
  </w:footnote>
  <w:footnote w:id="103">
    <w:p w14:paraId="5C0BFC9B"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t xml:space="preserve">See </w:t>
      </w:r>
      <w:r w:rsidRPr="00515D07">
        <w:rPr>
          <w:rFonts w:ascii="Times New Roman" w:hAnsi="Times New Roman"/>
          <w:i/>
          <w:iCs/>
          <w:sz w:val="24"/>
        </w:rPr>
        <w:t xml:space="preserve">Federal Commissioner of Taxation v Word Investments Ltd </w:t>
      </w:r>
      <w:r w:rsidRPr="00515D07">
        <w:rPr>
          <w:rFonts w:ascii="Times New Roman" w:hAnsi="Times New Roman"/>
          <w:sz w:val="24"/>
        </w:rPr>
        <w:t xml:space="preserve">(2008) 236 CLR 204 at 221 [26]; see also at 269 [186], quoting </w:t>
      </w:r>
      <w:r w:rsidRPr="00515D07">
        <w:rPr>
          <w:rFonts w:ascii="Times New Roman" w:hAnsi="Times New Roman"/>
          <w:i/>
          <w:iCs/>
          <w:sz w:val="24"/>
        </w:rPr>
        <w:t xml:space="preserve">Vancouver Society of Immigrant and Visible Minority Women v Minister of National Revenue </w:t>
      </w:r>
      <w:r w:rsidRPr="00515D07">
        <w:rPr>
          <w:rFonts w:ascii="Times New Roman" w:hAnsi="Times New Roman"/>
          <w:sz w:val="24"/>
        </w:rPr>
        <w:t xml:space="preserve">[1999] 1 SCR 10 at 44-45 [38]-[40]. See also Murray, "Looking at the charitable purposes/activities distinction through a political advocacy lens: a trans-Tasman perspective" (2019) 19 </w:t>
      </w:r>
      <w:r w:rsidRPr="00515D07">
        <w:rPr>
          <w:rFonts w:ascii="Times New Roman" w:hAnsi="Times New Roman"/>
          <w:i/>
          <w:iCs/>
          <w:sz w:val="24"/>
        </w:rPr>
        <w:t xml:space="preserve">Oxford University Commonwealth Law Journal </w:t>
      </w:r>
      <w:r w:rsidRPr="00515D07">
        <w:rPr>
          <w:rFonts w:ascii="Times New Roman" w:hAnsi="Times New Roman"/>
          <w:sz w:val="24"/>
        </w:rPr>
        <w:t>30 at 32-33.</w:t>
      </w:r>
    </w:p>
  </w:footnote>
  <w:footnote w:id="104">
    <w:p w14:paraId="52E6BA39"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t>[2004] 1 WLR 1466 at 1476 [36]; [2004] 4 All ER 558 at 569.</w:t>
      </w:r>
    </w:p>
  </w:footnote>
  <w:footnote w:id="105">
    <w:p w14:paraId="7882F678"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t>(2024) 98 ALJR 808 at 816 [34].</w:t>
      </w:r>
    </w:p>
  </w:footnote>
  <w:footnote w:id="106">
    <w:p w14:paraId="53364AA9" w14:textId="77777777" w:rsidR="00522C99" w:rsidRPr="00515D07" w:rsidRDefault="00522C99" w:rsidP="00515D07">
      <w:pPr>
        <w:pStyle w:val="FootnoteText"/>
        <w:spacing w:line="280" w:lineRule="exact"/>
        <w:ind w:right="0"/>
        <w:jc w:val="both"/>
        <w:rPr>
          <w:rFonts w:ascii="Times New Roman" w:hAnsi="Times New Roman"/>
          <w:i/>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t>(2017) 105 ATR 11 at 27 [52],</w:t>
      </w:r>
      <w:r w:rsidRPr="00515D07">
        <w:rPr>
          <w:rFonts w:ascii="Times New Roman" w:hAnsi="Times New Roman"/>
          <w:sz w:val="24"/>
          <w:szCs w:val="16"/>
        </w:rPr>
        <w:t xml:space="preserve"> </w:t>
      </w:r>
      <w:r w:rsidRPr="00515D07">
        <w:rPr>
          <w:rFonts w:ascii="Times New Roman" w:hAnsi="Times New Roman"/>
          <w:sz w:val="24"/>
        </w:rPr>
        <w:t xml:space="preserve">quoting </w:t>
      </w:r>
      <w:r w:rsidRPr="00515D07">
        <w:rPr>
          <w:rFonts w:ascii="Times New Roman" w:hAnsi="Times New Roman"/>
          <w:i/>
          <w:iCs/>
          <w:sz w:val="24"/>
        </w:rPr>
        <w:t xml:space="preserve">Thomason v Chief Executive, Department of Lands </w:t>
      </w:r>
      <w:r w:rsidRPr="00515D07">
        <w:rPr>
          <w:rFonts w:ascii="Times New Roman" w:hAnsi="Times New Roman"/>
          <w:sz w:val="24"/>
        </w:rPr>
        <w:t>(1995) 15 QLCR 286 at 303.</w:t>
      </w:r>
    </w:p>
  </w:footnote>
  <w:footnote w:id="107">
    <w:p w14:paraId="64DB12FA"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rPr>
        <w:t>Godolphin Australia Pty Ltd v Chief Commissioner of State Revenue</w:t>
      </w:r>
      <w:r w:rsidRPr="00515D07">
        <w:rPr>
          <w:rFonts w:ascii="Times New Roman" w:hAnsi="Times New Roman"/>
          <w:sz w:val="24"/>
        </w:rPr>
        <w:t xml:space="preserve"> </w:t>
      </w:r>
      <w:r w:rsidRPr="00515D07">
        <w:rPr>
          <w:rFonts w:ascii="Times New Roman" w:hAnsi="Times New Roman"/>
          <w:sz w:val="24"/>
          <w:lang w:val="en-US"/>
        </w:rPr>
        <w:t xml:space="preserve">(2024) 98 ALJR 808 </w:t>
      </w:r>
      <w:r w:rsidRPr="00515D07">
        <w:rPr>
          <w:rFonts w:ascii="Times New Roman" w:hAnsi="Times New Roman"/>
          <w:sz w:val="24"/>
        </w:rPr>
        <w:t>at</w:t>
      </w:r>
      <w:r w:rsidRPr="00515D07">
        <w:rPr>
          <w:rFonts w:ascii="Times New Roman" w:hAnsi="Times New Roman"/>
          <w:sz w:val="24"/>
          <w:lang w:val="en-US"/>
        </w:rPr>
        <w:t xml:space="preserve"> 816 [34].</w:t>
      </w:r>
    </w:p>
  </w:footnote>
  <w:footnote w:id="108">
    <w:p w14:paraId="4373FC01"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Chief Commissioner of State Revenue v Metricon Qld Pty Ltd</w:t>
      </w:r>
      <w:r w:rsidRPr="00515D07">
        <w:rPr>
          <w:rFonts w:ascii="Times New Roman" w:hAnsi="Times New Roman"/>
          <w:sz w:val="24"/>
        </w:rPr>
        <w:t xml:space="preserve"> (2017) 105 ATR 11 at 29 [60].</w:t>
      </w:r>
    </w:p>
  </w:footnote>
  <w:footnote w:id="109">
    <w:p w14:paraId="53977D84"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Greenville Pty Ltd v Commissioner of Land Tax (NSW) </w:t>
      </w:r>
      <w:r w:rsidRPr="00515D07">
        <w:rPr>
          <w:rFonts w:ascii="Times New Roman" w:hAnsi="Times New Roman"/>
          <w:sz w:val="24"/>
        </w:rPr>
        <w:t>(1977) 7 ATR 278 at 280.</w:t>
      </w:r>
    </w:p>
  </w:footnote>
  <w:footnote w:id="110">
    <w:p w14:paraId="75B711E8" w14:textId="77777777" w:rsidR="00522C99" w:rsidRPr="00515D07" w:rsidRDefault="00522C99" w:rsidP="00515D07">
      <w:pPr>
        <w:pStyle w:val="FootnoteText"/>
        <w:spacing w:line="280" w:lineRule="exact"/>
        <w:ind w:right="0"/>
        <w:jc w:val="both"/>
        <w:rPr>
          <w:rFonts w:ascii="Times New Roman" w:hAnsi="Times New Roman"/>
          <w:sz w:val="24"/>
          <w:lang w:val="en-US"/>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lang w:val="en-US"/>
        </w:rPr>
        <w:tab/>
      </w:r>
      <w:r w:rsidRPr="00515D07">
        <w:rPr>
          <w:rFonts w:ascii="Times New Roman" w:hAnsi="Times New Roman"/>
          <w:i/>
          <w:iCs/>
          <w:sz w:val="24"/>
          <w:lang w:val="en-US"/>
        </w:rPr>
        <w:t>Allied Pastoral Holdings Pty Ltd v Commissioner of Taxation</w:t>
      </w:r>
      <w:r w:rsidRPr="00515D07">
        <w:rPr>
          <w:rFonts w:ascii="Times New Roman" w:hAnsi="Times New Roman"/>
          <w:sz w:val="24"/>
          <w:lang w:val="en-US"/>
        </w:rPr>
        <w:t xml:space="preserve"> </w:t>
      </w:r>
      <w:r>
        <w:rPr>
          <w:rFonts w:ascii="Times New Roman" w:hAnsi="Times New Roman"/>
          <w:sz w:val="24"/>
          <w:lang w:val="en-US"/>
        </w:rPr>
        <w:t>[</w:t>
      </w:r>
      <w:r w:rsidRPr="00515D07">
        <w:rPr>
          <w:rFonts w:ascii="Times New Roman" w:hAnsi="Times New Roman"/>
          <w:sz w:val="24"/>
          <w:lang w:val="en-US"/>
        </w:rPr>
        <w:t>1983</w:t>
      </w:r>
      <w:r>
        <w:rPr>
          <w:rFonts w:ascii="Times New Roman" w:hAnsi="Times New Roman"/>
          <w:sz w:val="24"/>
          <w:lang w:val="en-US"/>
        </w:rPr>
        <w:t>]</w:t>
      </w:r>
      <w:r w:rsidRPr="00515D07">
        <w:rPr>
          <w:rFonts w:ascii="Times New Roman" w:hAnsi="Times New Roman"/>
          <w:sz w:val="24"/>
          <w:lang w:val="en-US"/>
        </w:rPr>
        <w:t xml:space="preserve"> 1 NSWLR 1 at 6.</w:t>
      </w:r>
    </w:p>
  </w:footnote>
  <w:footnote w:id="111">
    <w:p w14:paraId="0B36F323"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Pr>
          <w:rFonts w:ascii="Times New Roman" w:hAnsi="Times New Roman"/>
          <w:sz w:val="24"/>
        </w:rPr>
        <w:t>[</w:t>
      </w:r>
      <w:r w:rsidRPr="00515D07">
        <w:rPr>
          <w:rFonts w:ascii="Times New Roman" w:hAnsi="Times New Roman"/>
          <w:sz w:val="24"/>
        </w:rPr>
        <w:t>1983</w:t>
      </w:r>
      <w:r>
        <w:rPr>
          <w:rFonts w:ascii="Times New Roman" w:hAnsi="Times New Roman"/>
          <w:sz w:val="24"/>
        </w:rPr>
        <w:t>]</w:t>
      </w:r>
      <w:r w:rsidRPr="00515D07">
        <w:rPr>
          <w:rFonts w:ascii="Times New Roman" w:hAnsi="Times New Roman"/>
          <w:sz w:val="24"/>
        </w:rPr>
        <w:t xml:space="preserve"> 1 NSWLR 1 at 11.</w:t>
      </w:r>
    </w:p>
  </w:footnote>
  <w:footnote w:id="112">
    <w:p w14:paraId="561A30F3"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t>(1980) 33 ALR 213</w:t>
      </w:r>
      <w:r w:rsidRPr="00515D07">
        <w:rPr>
          <w:rStyle w:val="Hyperlink"/>
          <w:rFonts w:ascii="Times New Roman" w:hAnsi="Times New Roman"/>
          <w:sz w:val="24"/>
          <w:u w:val="none"/>
        </w:rPr>
        <w:t xml:space="preserve"> </w:t>
      </w:r>
      <w:r w:rsidRPr="00515D07">
        <w:rPr>
          <w:rFonts w:ascii="Times New Roman" w:hAnsi="Times New Roman"/>
          <w:sz w:val="24"/>
        </w:rPr>
        <w:t xml:space="preserve">at 222. </w:t>
      </w:r>
      <w:r w:rsidRPr="00515D07">
        <w:rPr>
          <w:rFonts w:ascii="Times New Roman" w:hAnsi="Times New Roman"/>
          <w:sz w:val="24"/>
          <w:lang w:val="en-US"/>
        </w:rPr>
        <w:t xml:space="preserve">See also </w:t>
      </w:r>
      <w:r w:rsidRPr="00515D07">
        <w:rPr>
          <w:rFonts w:ascii="Times New Roman" w:hAnsi="Times New Roman"/>
          <w:i/>
          <w:iCs/>
          <w:sz w:val="24"/>
          <w:lang w:val="en-US"/>
        </w:rPr>
        <w:t xml:space="preserve">Tweddle v Federal Commissioner of Taxation </w:t>
      </w:r>
      <w:r w:rsidRPr="00515D07">
        <w:rPr>
          <w:rFonts w:ascii="Times New Roman" w:hAnsi="Times New Roman"/>
          <w:sz w:val="24"/>
          <w:lang w:val="en-US"/>
        </w:rPr>
        <w:t>(1942) 180 CLR 1 at 7.</w:t>
      </w:r>
    </w:p>
  </w:footnote>
  <w:footnote w:id="113">
    <w:p w14:paraId="45D4ACB3"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t>A</w:t>
      </w:r>
      <w:r w:rsidRPr="00F94064">
        <w:rPr>
          <w:rFonts w:ascii="Times New Roman" w:hAnsi="Times New Roman"/>
          <w:sz w:val="24"/>
        </w:rPr>
        <w:t xml:space="preserve">t </w:t>
      </w:r>
      <w:r w:rsidRPr="00FF035F">
        <w:rPr>
          <w:rFonts w:ascii="Times New Roman" w:hAnsi="Times New Roman"/>
          <w:sz w:val="24"/>
        </w:rPr>
        <w:t>[</w:t>
      </w:r>
      <w:r>
        <w:rPr>
          <w:rFonts w:ascii="Times New Roman" w:hAnsi="Times New Roman"/>
          <w:sz w:val="24"/>
        </w:rPr>
        <w:t>82</w:t>
      </w:r>
      <w:r w:rsidRPr="00FF035F">
        <w:rPr>
          <w:rFonts w:ascii="Times New Roman" w:hAnsi="Times New Roman"/>
          <w:sz w:val="24"/>
        </w:rPr>
        <w:t>]-[</w:t>
      </w:r>
      <w:r>
        <w:rPr>
          <w:rFonts w:ascii="Times New Roman" w:hAnsi="Times New Roman"/>
          <w:sz w:val="24"/>
        </w:rPr>
        <w:t>86</w:t>
      </w:r>
      <w:r w:rsidRPr="00FF035F">
        <w:rPr>
          <w:rFonts w:ascii="Times New Roman" w:hAnsi="Times New Roman"/>
          <w:sz w:val="24"/>
        </w:rPr>
        <w:t>]</w:t>
      </w:r>
      <w:r w:rsidRPr="00F94064">
        <w:rPr>
          <w:rFonts w:ascii="Times New Roman" w:hAnsi="Times New Roman"/>
          <w:sz w:val="24"/>
        </w:rPr>
        <w:t>.</w:t>
      </w:r>
    </w:p>
  </w:footnote>
  <w:footnote w:id="114">
    <w:p w14:paraId="0AF22161"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(2022) 114 ATR 569 </w:t>
      </w:r>
      <w:r w:rsidRPr="00515D07">
        <w:rPr>
          <w:rFonts w:ascii="Times New Roman" w:hAnsi="Times New Roman"/>
          <w:sz w:val="24"/>
          <w:lang w:val="en-US"/>
        </w:rPr>
        <w:t>at</w:t>
      </w:r>
      <w:r w:rsidRPr="00515D07">
        <w:rPr>
          <w:rFonts w:ascii="Times New Roman" w:hAnsi="Times New Roman"/>
          <w:sz w:val="24"/>
        </w:rPr>
        <w:t xml:space="preserve"> 587 [78]. </w:t>
      </w:r>
    </w:p>
  </w:footnote>
  <w:footnote w:id="115">
    <w:p w14:paraId="05F72B42"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(2022) 114 ATR 569 </w:t>
      </w:r>
      <w:r w:rsidRPr="00515D07">
        <w:rPr>
          <w:rFonts w:ascii="Times New Roman" w:hAnsi="Times New Roman"/>
          <w:sz w:val="24"/>
          <w:lang w:val="en-US"/>
        </w:rPr>
        <w:t>at</w:t>
      </w:r>
      <w:r w:rsidRPr="00515D07">
        <w:rPr>
          <w:rFonts w:ascii="Times New Roman" w:hAnsi="Times New Roman"/>
          <w:sz w:val="24"/>
        </w:rPr>
        <w:t xml:space="preserve"> 587 [79].</w:t>
      </w:r>
    </w:p>
  </w:footnote>
  <w:footnote w:id="116">
    <w:p w14:paraId="76432C1C"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at 309 [109]. </w:t>
      </w:r>
    </w:p>
  </w:footnote>
  <w:footnote w:id="117">
    <w:p w14:paraId="0A0023AA"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at 309 [110]. </w:t>
      </w:r>
    </w:p>
  </w:footnote>
  <w:footnote w:id="118">
    <w:p w14:paraId="4264DD0A" w14:textId="77777777" w:rsidR="00522C99" w:rsidRPr="00515D07" w:rsidRDefault="00522C99" w:rsidP="00515D07">
      <w:pPr>
        <w:pStyle w:val="FootnoteText"/>
        <w:spacing w:line="280" w:lineRule="exact"/>
        <w:ind w:right="0"/>
        <w:jc w:val="both"/>
        <w:rPr>
          <w:rFonts w:ascii="Times New Roman" w:hAnsi="Times New Roman"/>
          <w:sz w:val="24"/>
        </w:rPr>
      </w:pPr>
      <w:r w:rsidRPr="00515D07">
        <w:rPr>
          <w:rStyle w:val="FootnoteReference"/>
          <w:rFonts w:ascii="Times New Roman" w:hAnsi="Times New Roman"/>
          <w:sz w:val="22"/>
          <w:vertAlign w:val="baseline"/>
        </w:rPr>
        <w:footnoteRef/>
      </w:r>
      <w:r w:rsidRPr="00515D07">
        <w:rPr>
          <w:rFonts w:ascii="Times New Roman" w:hAnsi="Times New Roman"/>
          <w:sz w:val="24"/>
        </w:rPr>
        <w:t xml:space="preserve"> </w:t>
      </w:r>
      <w:r w:rsidRPr="00515D07">
        <w:rPr>
          <w:rFonts w:ascii="Times New Roman" w:hAnsi="Times New Roman"/>
          <w:sz w:val="24"/>
        </w:rPr>
        <w:tab/>
      </w:r>
      <w:r w:rsidRPr="00515D07">
        <w:rPr>
          <w:rFonts w:ascii="Times New Roman" w:hAnsi="Times New Roman"/>
          <w:i/>
          <w:iCs/>
          <w:sz w:val="24"/>
        </w:rPr>
        <w:t xml:space="preserve">Automotive Invest Pty Ltd v Federal Commissioner of Taxation </w:t>
      </w:r>
      <w:r w:rsidRPr="00515D07">
        <w:rPr>
          <w:rFonts w:ascii="Times New Roman" w:hAnsi="Times New Roman"/>
          <w:sz w:val="24"/>
        </w:rPr>
        <w:t xml:space="preserve">(2023) 299 FCR 288 at 309 [110].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DCC1" w14:textId="77777777" w:rsidR="00F54B93" w:rsidRPr="004D6D11" w:rsidRDefault="00F54B93" w:rsidP="004D6D1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F6C8" w14:textId="77777777" w:rsidR="009C62CE" w:rsidRPr="00515D07" w:rsidRDefault="009C62CE" w:rsidP="00515D0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DCCF" w14:textId="26BB8A75" w:rsidR="00F54B93" w:rsidRPr="004D6D11" w:rsidRDefault="004D6D11" w:rsidP="004D6D1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7A3C38">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7A3C38">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2AE0" w14:textId="03A0B6BC" w:rsidR="00654FD9" w:rsidRPr="004D6D11" w:rsidRDefault="00654FD9" w:rsidP="004D6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18B6" w14:textId="77777777" w:rsidR="004D6D11" w:rsidRPr="00F54B93" w:rsidRDefault="004D6D11" w:rsidP="00F54B93">
    <w:pPr>
      <w:pStyle w:val="Header"/>
      <w:tabs>
        <w:tab w:val="clear" w:pos="4153"/>
        <w:tab w:val="clear" w:pos="8306"/>
        <w:tab w:val="right" w:pos="1304"/>
      </w:tabs>
      <w:spacing w:line="280" w:lineRule="exact"/>
      <w:ind w:firstLine="0"/>
      <w:rPr>
        <w:rFonts w:ascii="Times New Roman" w:hAnsi="Times New Roman"/>
        <w:i/>
        <w:sz w:val="22"/>
      </w:rPr>
    </w:pPr>
    <w:r w:rsidRPr="00F54B93">
      <w:rPr>
        <w:rFonts w:ascii="Times New Roman" w:hAnsi="Times New Roman"/>
        <w:i/>
        <w:sz w:val="22"/>
      </w:rPr>
      <w:t>Gageler</w:t>
    </w:r>
    <w:r w:rsidRPr="00F54B93">
      <w:rPr>
        <w:rFonts w:ascii="Times New Roman" w:hAnsi="Times New Roman"/>
        <w:i/>
        <w:sz w:val="22"/>
      </w:rPr>
      <w:tab/>
      <w:t>CJ</w:t>
    </w:r>
  </w:p>
  <w:p w14:paraId="188DA83B" w14:textId="77777777" w:rsidR="004D6D11" w:rsidRDefault="004D6D11" w:rsidP="00F54B9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D7B960F" w14:textId="77777777" w:rsidR="004D6D11" w:rsidRDefault="004D6D11" w:rsidP="00F54B93">
    <w:pPr>
      <w:pStyle w:val="Header"/>
      <w:tabs>
        <w:tab w:val="clear" w:pos="4153"/>
        <w:tab w:val="clear" w:pos="8306"/>
        <w:tab w:val="right" w:pos="1304"/>
      </w:tabs>
      <w:spacing w:line="280" w:lineRule="exact"/>
      <w:ind w:firstLine="0"/>
      <w:rPr>
        <w:rFonts w:ascii="Times New Roman" w:hAnsi="Times New Roman"/>
        <w:i/>
        <w:sz w:val="22"/>
      </w:rPr>
    </w:pPr>
  </w:p>
  <w:p w14:paraId="593880E2" w14:textId="77777777" w:rsidR="004D6D11" w:rsidRDefault="004D6D11" w:rsidP="00F54B9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7B54A39" w14:textId="77777777" w:rsidR="004D6D11" w:rsidRPr="00F54B93" w:rsidRDefault="004D6D11" w:rsidP="00F54B9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5E4D" w14:textId="77777777" w:rsidR="004D6D11" w:rsidRPr="00F54B93" w:rsidRDefault="004D6D11" w:rsidP="00F54B93">
    <w:pPr>
      <w:pStyle w:val="Header"/>
      <w:tabs>
        <w:tab w:val="clear" w:pos="4153"/>
        <w:tab w:val="clear" w:pos="8306"/>
        <w:tab w:val="left" w:pos="7200"/>
        <w:tab w:val="right" w:pos="8504"/>
      </w:tabs>
      <w:spacing w:line="280" w:lineRule="exact"/>
      <w:jc w:val="right"/>
      <w:rPr>
        <w:rFonts w:ascii="Times New Roman" w:hAnsi="Times New Roman"/>
        <w:i/>
        <w:sz w:val="22"/>
      </w:rPr>
    </w:pPr>
    <w:r w:rsidRPr="00F54B93">
      <w:rPr>
        <w:rFonts w:ascii="Times New Roman" w:hAnsi="Times New Roman"/>
        <w:i/>
        <w:sz w:val="22"/>
      </w:rPr>
      <w:tab/>
      <w:t>Gageler</w:t>
    </w:r>
    <w:r w:rsidRPr="00F54B93">
      <w:rPr>
        <w:rFonts w:ascii="Times New Roman" w:hAnsi="Times New Roman"/>
        <w:i/>
        <w:sz w:val="22"/>
      </w:rPr>
      <w:tab/>
      <w:t>CJ</w:t>
    </w:r>
  </w:p>
  <w:p w14:paraId="6BD6A1F0" w14:textId="77777777" w:rsidR="004D6D11" w:rsidRDefault="004D6D11" w:rsidP="00F54B9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240F5898" w14:textId="77777777" w:rsidR="004D6D11" w:rsidRDefault="004D6D11" w:rsidP="00F54B93">
    <w:pPr>
      <w:pStyle w:val="Header"/>
      <w:tabs>
        <w:tab w:val="clear" w:pos="4153"/>
        <w:tab w:val="clear" w:pos="8306"/>
        <w:tab w:val="left" w:pos="7200"/>
        <w:tab w:val="right" w:pos="8504"/>
      </w:tabs>
      <w:spacing w:line="280" w:lineRule="exact"/>
      <w:jc w:val="right"/>
      <w:rPr>
        <w:rFonts w:ascii="Times New Roman" w:hAnsi="Times New Roman"/>
        <w:i/>
        <w:sz w:val="22"/>
      </w:rPr>
    </w:pPr>
  </w:p>
  <w:p w14:paraId="7BC681FA" w14:textId="77777777" w:rsidR="004D6D11" w:rsidRDefault="004D6D11" w:rsidP="00F54B9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9754DF5" w14:textId="77777777" w:rsidR="004D6D11" w:rsidRPr="00F54B93" w:rsidRDefault="004D6D11" w:rsidP="00F54B9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642D" w14:textId="77777777" w:rsidR="004D6D11" w:rsidRDefault="004D6D11" w:rsidP="00F54B93">
    <w:pPr>
      <w:pStyle w:val="Header"/>
      <w:tabs>
        <w:tab w:val="clear" w:pos="4153"/>
        <w:tab w:val="clear" w:pos="8306"/>
        <w:tab w:val="center" w:pos="1134"/>
      </w:tabs>
      <w:spacing w:line="280" w:lineRule="exact"/>
      <w:ind w:firstLine="0"/>
      <w:rPr>
        <w:rFonts w:ascii="Times New Roman" w:hAnsi="Times New Roman"/>
        <w:i/>
        <w:sz w:val="22"/>
      </w:rPr>
    </w:pPr>
  </w:p>
  <w:p w14:paraId="4156D63C" w14:textId="77777777" w:rsidR="004D6D11" w:rsidRDefault="004D6D11" w:rsidP="00F54B93">
    <w:pPr>
      <w:pStyle w:val="Header"/>
      <w:tabs>
        <w:tab w:val="clear" w:pos="4153"/>
        <w:tab w:val="clear" w:pos="8306"/>
        <w:tab w:val="center" w:pos="1134"/>
      </w:tabs>
      <w:spacing w:line="280" w:lineRule="exact"/>
      <w:ind w:firstLine="0"/>
      <w:rPr>
        <w:rFonts w:ascii="Times New Roman" w:hAnsi="Times New Roman"/>
        <w:i/>
        <w:sz w:val="22"/>
      </w:rPr>
    </w:pPr>
  </w:p>
  <w:p w14:paraId="3B659081" w14:textId="77777777" w:rsidR="004D6D11" w:rsidRDefault="004D6D11" w:rsidP="00F54B93">
    <w:pPr>
      <w:pStyle w:val="Header"/>
      <w:tabs>
        <w:tab w:val="clear" w:pos="4153"/>
        <w:tab w:val="clear" w:pos="8306"/>
        <w:tab w:val="center" w:pos="1134"/>
      </w:tabs>
      <w:spacing w:line="280" w:lineRule="exact"/>
      <w:ind w:firstLine="0"/>
      <w:rPr>
        <w:rFonts w:ascii="Times New Roman" w:hAnsi="Times New Roman"/>
        <w:i/>
        <w:sz w:val="22"/>
      </w:rPr>
    </w:pPr>
  </w:p>
  <w:p w14:paraId="426578C8" w14:textId="77777777" w:rsidR="004D6D11" w:rsidRDefault="004D6D11" w:rsidP="00F54B93">
    <w:pPr>
      <w:pStyle w:val="Header"/>
      <w:tabs>
        <w:tab w:val="clear" w:pos="4153"/>
        <w:tab w:val="clear" w:pos="8306"/>
        <w:tab w:val="center" w:pos="1134"/>
      </w:tabs>
      <w:spacing w:line="280" w:lineRule="exact"/>
      <w:ind w:firstLine="0"/>
      <w:rPr>
        <w:rFonts w:ascii="Times New Roman" w:hAnsi="Times New Roman"/>
        <w:i/>
        <w:sz w:val="22"/>
      </w:rPr>
    </w:pPr>
  </w:p>
  <w:p w14:paraId="49D77B47" w14:textId="77777777" w:rsidR="004D6D11" w:rsidRPr="00F54B93" w:rsidRDefault="004D6D11" w:rsidP="00F54B93">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AFE3" w14:textId="77777777" w:rsidR="00B072B0" w:rsidRPr="00515D07" w:rsidRDefault="00DD46A0" w:rsidP="00515D07">
    <w:pPr>
      <w:pStyle w:val="Header"/>
      <w:tabs>
        <w:tab w:val="clear" w:pos="4153"/>
        <w:tab w:val="clear" w:pos="8306"/>
        <w:tab w:val="right" w:pos="1304"/>
      </w:tabs>
      <w:spacing w:line="280" w:lineRule="exact"/>
      <w:ind w:firstLine="0"/>
      <w:rPr>
        <w:rFonts w:ascii="Times New Roman" w:hAnsi="Times New Roman"/>
        <w:i/>
        <w:sz w:val="22"/>
      </w:rPr>
    </w:pPr>
    <w:r w:rsidRPr="00515D07">
      <w:rPr>
        <w:rFonts w:ascii="Times New Roman" w:hAnsi="Times New Roman"/>
        <w:i/>
        <w:sz w:val="22"/>
      </w:rPr>
      <w:t>Edelman</w:t>
    </w:r>
    <w:r w:rsidRPr="00515D07">
      <w:rPr>
        <w:rFonts w:ascii="Times New Roman" w:hAnsi="Times New Roman"/>
        <w:i/>
        <w:sz w:val="22"/>
      </w:rPr>
      <w:tab/>
      <w:t>J</w:t>
    </w:r>
  </w:p>
  <w:p w14:paraId="0DE8567C" w14:textId="77777777" w:rsidR="00B072B0" w:rsidRPr="00515D07" w:rsidRDefault="00DD46A0" w:rsidP="00515D07">
    <w:pPr>
      <w:pStyle w:val="Header"/>
      <w:tabs>
        <w:tab w:val="clear" w:pos="4153"/>
        <w:tab w:val="clear" w:pos="8306"/>
        <w:tab w:val="right" w:pos="1304"/>
      </w:tabs>
      <w:spacing w:line="280" w:lineRule="exact"/>
      <w:ind w:firstLine="0"/>
      <w:rPr>
        <w:rFonts w:ascii="Times New Roman" w:hAnsi="Times New Roman"/>
        <w:i/>
        <w:sz w:val="22"/>
      </w:rPr>
    </w:pPr>
    <w:r w:rsidRPr="00515D07">
      <w:rPr>
        <w:rFonts w:ascii="Times New Roman" w:hAnsi="Times New Roman"/>
        <w:i/>
        <w:sz w:val="22"/>
      </w:rPr>
      <w:t>Steward</w:t>
    </w:r>
    <w:r w:rsidRPr="00515D07">
      <w:rPr>
        <w:rFonts w:ascii="Times New Roman" w:hAnsi="Times New Roman"/>
        <w:i/>
        <w:sz w:val="22"/>
      </w:rPr>
      <w:tab/>
      <w:t>J</w:t>
    </w:r>
  </w:p>
  <w:p w14:paraId="254A7D4F" w14:textId="77777777" w:rsidR="00B072B0" w:rsidRDefault="00DD46A0" w:rsidP="00515D0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5B60442" w14:textId="77777777" w:rsidR="00B072B0" w:rsidRDefault="00B072B0" w:rsidP="00515D07">
    <w:pPr>
      <w:pStyle w:val="Header"/>
      <w:tabs>
        <w:tab w:val="clear" w:pos="4153"/>
        <w:tab w:val="clear" w:pos="8306"/>
        <w:tab w:val="right" w:pos="1304"/>
      </w:tabs>
      <w:spacing w:line="280" w:lineRule="exact"/>
      <w:ind w:firstLine="0"/>
      <w:rPr>
        <w:rFonts w:ascii="Times New Roman" w:hAnsi="Times New Roman"/>
        <w:i/>
        <w:sz w:val="22"/>
      </w:rPr>
    </w:pPr>
  </w:p>
  <w:p w14:paraId="22CE3989" w14:textId="77777777" w:rsidR="00B072B0" w:rsidRDefault="00DD46A0" w:rsidP="00515D0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C820347" w14:textId="77777777" w:rsidR="00B072B0" w:rsidRPr="00515D07" w:rsidRDefault="00B072B0" w:rsidP="00515D0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C191" w14:textId="77777777" w:rsidR="00B072B0" w:rsidRPr="00515D07" w:rsidRDefault="00DD46A0" w:rsidP="00515D07">
    <w:pPr>
      <w:pStyle w:val="Header"/>
      <w:tabs>
        <w:tab w:val="clear" w:pos="4153"/>
        <w:tab w:val="clear" w:pos="8306"/>
        <w:tab w:val="left" w:pos="7200"/>
        <w:tab w:val="right" w:pos="8504"/>
      </w:tabs>
      <w:spacing w:line="280" w:lineRule="exact"/>
      <w:jc w:val="right"/>
      <w:rPr>
        <w:rFonts w:ascii="Times New Roman" w:hAnsi="Times New Roman"/>
        <w:i/>
        <w:sz w:val="22"/>
      </w:rPr>
    </w:pPr>
    <w:r w:rsidRPr="00515D07">
      <w:rPr>
        <w:rFonts w:ascii="Times New Roman" w:hAnsi="Times New Roman"/>
        <w:i/>
        <w:sz w:val="22"/>
      </w:rPr>
      <w:tab/>
      <w:t>Edelman</w:t>
    </w:r>
    <w:r w:rsidRPr="00515D07">
      <w:rPr>
        <w:rFonts w:ascii="Times New Roman" w:hAnsi="Times New Roman"/>
        <w:i/>
        <w:sz w:val="22"/>
      </w:rPr>
      <w:tab/>
      <w:t>J</w:t>
    </w:r>
  </w:p>
  <w:p w14:paraId="660CB855" w14:textId="77777777" w:rsidR="00B072B0" w:rsidRPr="00515D07" w:rsidRDefault="00DD46A0" w:rsidP="00515D07">
    <w:pPr>
      <w:pStyle w:val="Header"/>
      <w:tabs>
        <w:tab w:val="clear" w:pos="4153"/>
        <w:tab w:val="clear" w:pos="8306"/>
        <w:tab w:val="left" w:pos="7200"/>
        <w:tab w:val="right" w:pos="8504"/>
      </w:tabs>
      <w:spacing w:line="280" w:lineRule="exact"/>
      <w:jc w:val="right"/>
      <w:rPr>
        <w:rFonts w:ascii="Times New Roman" w:hAnsi="Times New Roman"/>
        <w:i/>
        <w:sz w:val="22"/>
      </w:rPr>
    </w:pPr>
    <w:r w:rsidRPr="00515D07">
      <w:rPr>
        <w:rFonts w:ascii="Times New Roman" w:hAnsi="Times New Roman"/>
        <w:i/>
        <w:sz w:val="22"/>
      </w:rPr>
      <w:tab/>
      <w:t>Steward</w:t>
    </w:r>
    <w:r w:rsidRPr="00515D07">
      <w:rPr>
        <w:rFonts w:ascii="Times New Roman" w:hAnsi="Times New Roman"/>
        <w:i/>
        <w:sz w:val="22"/>
      </w:rPr>
      <w:tab/>
      <w:t>J</w:t>
    </w:r>
  </w:p>
  <w:p w14:paraId="110891DD" w14:textId="77777777" w:rsidR="00B072B0" w:rsidRDefault="00DD46A0" w:rsidP="00515D0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0D07DDD" w14:textId="77777777" w:rsidR="00B072B0" w:rsidRDefault="00B072B0" w:rsidP="00515D07">
    <w:pPr>
      <w:pStyle w:val="Header"/>
      <w:tabs>
        <w:tab w:val="clear" w:pos="4153"/>
        <w:tab w:val="clear" w:pos="8306"/>
        <w:tab w:val="left" w:pos="7200"/>
        <w:tab w:val="right" w:pos="8504"/>
      </w:tabs>
      <w:spacing w:line="280" w:lineRule="exact"/>
      <w:jc w:val="right"/>
      <w:rPr>
        <w:rFonts w:ascii="Times New Roman" w:hAnsi="Times New Roman"/>
        <w:i/>
        <w:sz w:val="22"/>
      </w:rPr>
    </w:pPr>
  </w:p>
  <w:p w14:paraId="29795211" w14:textId="77777777" w:rsidR="00B072B0" w:rsidRDefault="00DD46A0" w:rsidP="00515D0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E4E144B" w14:textId="77777777" w:rsidR="00B072B0" w:rsidRPr="00515D07" w:rsidRDefault="00B072B0" w:rsidP="00515D0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2877" w14:textId="77777777" w:rsidR="00B072B0" w:rsidRDefault="00B072B0" w:rsidP="00515D07">
    <w:pPr>
      <w:pStyle w:val="Header"/>
      <w:tabs>
        <w:tab w:val="clear" w:pos="4153"/>
        <w:tab w:val="clear" w:pos="8306"/>
        <w:tab w:val="center" w:pos="1134"/>
      </w:tabs>
      <w:spacing w:line="280" w:lineRule="exact"/>
      <w:ind w:firstLine="0"/>
      <w:rPr>
        <w:rFonts w:ascii="Times New Roman" w:hAnsi="Times New Roman"/>
        <w:i/>
        <w:sz w:val="22"/>
      </w:rPr>
    </w:pPr>
  </w:p>
  <w:p w14:paraId="523760A7" w14:textId="77777777" w:rsidR="00B072B0" w:rsidRDefault="00B072B0" w:rsidP="00515D07">
    <w:pPr>
      <w:pStyle w:val="Header"/>
      <w:tabs>
        <w:tab w:val="clear" w:pos="4153"/>
        <w:tab w:val="clear" w:pos="8306"/>
        <w:tab w:val="center" w:pos="1134"/>
      </w:tabs>
      <w:spacing w:line="280" w:lineRule="exact"/>
      <w:ind w:firstLine="0"/>
      <w:rPr>
        <w:rFonts w:ascii="Times New Roman" w:hAnsi="Times New Roman"/>
        <w:i/>
        <w:sz w:val="22"/>
      </w:rPr>
    </w:pPr>
  </w:p>
  <w:p w14:paraId="3183D796" w14:textId="77777777" w:rsidR="00B072B0" w:rsidRDefault="00B072B0" w:rsidP="00515D07">
    <w:pPr>
      <w:pStyle w:val="Header"/>
      <w:tabs>
        <w:tab w:val="clear" w:pos="4153"/>
        <w:tab w:val="clear" w:pos="8306"/>
        <w:tab w:val="center" w:pos="1134"/>
      </w:tabs>
      <w:spacing w:line="280" w:lineRule="exact"/>
      <w:ind w:firstLine="0"/>
      <w:rPr>
        <w:rFonts w:ascii="Times New Roman" w:hAnsi="Times New Roman"/>
        <w:i/>
        <w:sz w:val="22"/>
      </w:rPr>
    </w:pPr>
  </w:p>
  <w:p w14:paraId="29F26511" w14:textId="77777777" w:rsidR="00B072B0" w:rsidRDefault="00B072B0" w:rsidP="00515D07">
    <w:pPr>
      <w:pStyle w:val="Header"/>
      <w:tabs>
        <w:tab w:val="clear" w:pos="4153"/>
        <w:tab w:val="clear" w:pos="8306"/>
        <w:tab w:val="center" w:pos="1134"/>
      </w:tabs>
      <w:spacing w:line="280" w:lineRule="exact"/>
      <w:ind w:firstLine="0"/>
      <w:rPr>
        <w:rFonts w:ascii="Times New Roman" w:hAnsi="Times New Roman"/>
        <w:i/>
        <w:sz w:val="22"/>
      </w:rPr>
    </w:pPr>
  </w:p>
  <w:p w14:paraId="531C1344" w14:textId="77777777" w:rsidR="00B072B0" w:rsidRDefault="00B072B0" w:rsidP="00515D07">
    <w:pPr>
      <w:pStyle w:val="Header"/>
      <w:tabs>
        <w:tab w:val="clear" w:pos="4153"/>
        <w:tab w:val="clear" w:pos="8306"/>
        <w:tab w:val="center" w:pos="1134"/>
      </w:tabs>
      <w:spacing w:line="280" w:lineRule="exact"/>
      <w:ind w:firstLine="0"/>
      <w:rPr>
        <w:rFonts w:ascii="Times New Roman" w:hAnsi="Times New Roman"/>
        <w:i/>
        <w:sz w:val="22"/>
      </w:rPr>
    </w:pPr>
  </w:p>
  <w:p w14:paraId="771C0C97" w14:textId="77777777" w:rsidR="00B072B0" w:rsidRPr="00515D07" w:rsidRDefault="00B072B0" w:rsidP="00515D0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94"/>
    <w:rsid w:val="000000DB"/>
    <w:rsid w:val="000006BE"/>
    <w:rsid w:val="00000EA9"/>
    <w:rsid w:val="0000135D"/>
    <w:rsid w:val="00001D85"/>
    <w:rsid w:val="00002069"/>
    <w:rsid w:val="000021CF"/>
    <w:rsid w:val="00002CE6"/>
    <w:rsid w:val="0000316A"/>
    <w:rsid w:val="000049B7"/>
    <w:rsid w:val="00005C8B"/>
    <w:rsid w:val="000062E7"/>
    <w:rsid w:val="00006641"/>
    <w:rsid w:val="0000775C"/>
    <w:rsid w:val="00007E62"/>
    <w:rsid w:val="00010376"/>
    <w:rsid w:val="00011CA7"/>
    <w:rsid w:val="00011D2D"/>
    <w:rsid w:val="00013FFB"/>
    <w:rsid w:val="000141CA"/>
    <w:rsid w:val="000148DA"/>
    <w:rsid w:val="00014B34"/>
    <w:rsid w:val="0001503A"/>
    <w:rsid w:val="00015333"/>
    <w:rsid w:val="000154D9"/>
    <w:rsid w:val="000160A2"/>
    <w:rsid w:val="000168C9"/>
    <w:rsid w:val="00016C20"/>
    <w:rsid w:val="00016DBB"/>
    <w:rsid w:val="00017144"/>
    <w:rsid w:val="00017F58"/>
    <w:rsid w:val="000202C2"/>
    <w:rsid w:val="00020F01"/>
    <w:rsid w:val="00022A53"/>
    <w:rsid w:val="00022EAB"/>
    <w:rsid w:val="000232C2"/>
    <w:rsid w:val="0002372D"/>
    <w:rsid w:val="00023AEE"/>
    <w:rsid w:val="00023E77"/>
    <w:rsid w:val="000246F2"/>
    <w:rsid w:val="000250AF"/>
    <w:rsid w:val="00025490"/>
    <w:rsid w:val="0002561E"/>
    <w:rsid w:val="000257FA"/>
    <w:rsid w:val="000268E1"/>
    <w:rsid w:val="00027B90"/>
    <w:rsid w:val="00027FCE"/>
    <w:rsid w:val="00030CF1"/>
    <w:rsid w:val="00031D46"/>
    <w:rsid w:val="00032584"/>
    <w:rsid w:val="0003271D"/>
    <w:rsid w:val="00032D83"/>
    <w:rsid w:val="00033F23"/>
    <w:rsid w:val="00034BC3"/>
    <w:rsid w:val="00034C24"/>
    <w:rsid w:val="000351E8"/>
    <w:rsid w:val="00035266"/>
    <w:rsid w:val="0003575A"/>
    <w:rsid w:val="0003593F"/>
    <w:rsid w:val="000360EB"/>
    <w:rsid w:val="000366AB"/>
    <w:rsid w:val="00037A5F"/>
    <w:rsid w:val="00037D87"/>
    <w:rsid w:val="00041310"/>
    <w:rsid w:val="00042162"/>
    <w:rsid w:val="000427B5"/>
    <w:rsid w:val="000428EC"/>
    <w:rsid w:val="00042BDA"/>
    <w:rsid w:val="00042E3A"/>
    <w:rsid w:val="00042EF3"/>
    <w:rsid w:val="000435FE"/>
    <w:rsid w:val="00043D2C"/>
    <w:rsid w:val="00045281"/>
    <w:rsid w:val="00046812"/>
    <w:rsid w:val="00046977"/>
    <w:rsid w:val="000473C0"/>
    <w:rsid w:val="00047A1E"/>
    <w:rsid w:val="00050672"/>
    <w:rsid w:val="00050DBA"/>
    <w:rsid w:val="00050E79"/>
    <w:rsid w:val="00051280"/>
    <w:rsid w:val="00051484"/>
    <w:rsid w:val="00052A49"/>
    <w:rsid w:val="00053903"/>
    <w:rsid w:val="00055ACD"/>
    <w:rsid w:val="00056572"/>
    <w:rsid w:val="00056F27"/>
    <w:rsid w:val="00056FF5"/>
    <w:rsid w:val="000573AF"/>
    <w:rsid w:val="00057DA0"/>
    <w:rsid w:val="000604EB"/>
    <w:rsid w:val="0006169E"/>
    <w:rsid w:val="000626FD"/>
    <w:rsid w:val="0006432B"/>
    <w:rsid w:val="000653D4"/>
    <w:rsid w:val="000660C2"/>
    <w:rsid w:val="00066A1C"/>
    <w:rsid w:val="00067907"/>
    <w:rsid w:val="000700AD"/>
    <w:rsid w:val="000701C6"/>
    <w:rsid w:val="00070B7A"/>
    <w:rsid w:val="00070D7B"/>
    <w:rsid w:val="00071C35"/>
    <w:rsid w:val="00072956"/>
    <w:rsid w:val="0007337F"/>
    <w:rsid w:val="00073A51"/>
    <w:rsid w:val="0007450E"/>
    <w:rsid w:val="000757E7"/>
    <w:rsid w:val="00075F50"/>
    <w:rsid w:val="00077550"/>
    <w:rsid w:val="00080D77"/>
    <w:rsid w:val="0008108E"/>
    <w:rsid w:val="0008208F"/>
    <w:rsid w:val="00082478"/>
    <w:rsid w:val="000841B8"/>
    <w:rsid w:val="0008435D"/>
    <w:rsid w:val="00084C6B"/>
    <w:rsid w:val="0008558C"/>
    <w:rsid w:val="0008599A"/>
    <w:rsid w:val="00085F13"/>
    <w:rsid w:val="00086308"/>
    <w:rsid w:val="00087F1F"/>
    <w:rsid w:val="0009035F"/>
    <w:rsid w:val="00090EAB"/>
    <w:rsid w:val="000913D0"/>
    <w:rsid w:val="00092692"/>
    <w:rsid w:val="0009277B"/>
    <w:rsid w:val="00093630"/>
    <w:rsid w:val="00093B85"/>
    <w:rsid w:val="00093CA6"/>
    <w:rsid w:val="000941C0"/>
    <w:rsid w:val="000958EF"/>
    <w:rsid w:val="00096A10"/>
    <w:rsid w:val="00097046"/>
    <w:rsid w:val="0009717F"/>
    <w:rsid w:val="000971A3"/>
    <w:rsid w:val="00097300"/>
    <w:rsid w:val="000973EB"/>
    <w:rsid w:val="00097ADF"/>
    <w:rsid w:val="000A2743"/>
    <w:rsid w:val="000A28D4"/>
    <w:rsid w:val="000A2EB4"/>
    <w:rsid w:val="000A3491"/>
    <w:rsid w:val="000A3DA3"/>
    <w:rsid w:val="000A4781"/>
    <w:rsid w:val="000A63C6"/>
    <w:rsid w:val="000A6430"/>
    <w:rsid w:val="000A69FC"/>
    <w:rsid w:val="000A6A5C"/>
    <w:rsid w:val="000A6FD9"/>
    <w:rsid w:val="000B0339"/>
    <w:rsid w:val="000B16C4"/>
    <w:rsid w:val="000B42F6"/>
    <w:rsid w:val="000B439E"/>
    <w:rsid w:val="000B4630"/>
    <w:rsid w:val="000B497F"/>
    <w:rsid w:val="000B4AAD"/>
    <w:rsid w:val="000B4CDE"/>
    <w:rsid w:val="000B5B05"/>
    <w:rsid w:val="000B602C"/>
    <w:rsid w:val="000B6848"/>
    <w:rsid w:val="000B710D"/>
    <w:rsid w:val="000B7558"/>
    <w:rsid w:val="000C04DC"/>
    <w:rsid w:val="000C0D98"/>
    <w:rsid w:val="000C228E"/>
    <w:rsid w:val="000C270D"/>
    <w:rsid w:val="000C2A9A"/>
    <w:rsid w:val="000C3AC4"/>
    <w:rsid w:val="000C4C81"/>
    <w:rsid w:val="000C4FA6"/>
    <w:rsid w:val="000C56B4"/>
    <w:rsid w:val="000C5DEF"/>
    <w:rsid w:val="000C65C1"/>
    <w:rsid w:val="000C7D0D"/>
    <w:rsid w:val="000D0F13"/>
    <w:rsid w:val="000D2103"/>
    <w:rsid w:val="000D25E6"/>
    <w:rsid w:val="000D32EA"/>
    <w:rsid w:val="000D3E90"/>
    <w:rsid w:val="000D4B98"/>
    <w:rsid w:val="000D53C8"/>
    <w:rsid w:val="000D5419"/>
    <w:rsid w:val="000D54B6"/>
    <w:rsid w:val="000D7006"/>
    <w:rsid w:val="000D7ECD"/>
    <w:rsid w:val="000E03FB"/>
    <w:rsid w:val="000E12B9"/>
    <w:rsid w:val="000E1D3E"/>
    <w:rsid w:val="000E3C7C"/>
    <w:rsid w:val="000E4243"/>
    <w:rsid w:val="000E48C2"/>
    <w:rsid w:val="000E650C"/>
    <w:rsid w:val="000E65F7"/>
    <w:rsid w:val="000F0761"/>
    <w:rsid w:val="000F0CF6"/>
    <w:rsid w:val="000F1183"/>
    <w:rsid w:val="000F1302"/>
    <w:rsid w:val="000F1345"/>
    <w:rsid w:val="000F1BF9"/>
    <w:rsid w:val="000F2C11"/>
    <w:rsid w:val="000F3BB3"/>
    <w:rsid w:val="000F5D62"/>
    <w:rsid w:val="000F6989"/>
    <w:rsid w:val="000F6FFB"/>
    <w:rsid w:val="001001B9"/>
    <w:rsid w:val="00100B3C"/>
    <w:rsid w:val="00101367"/>
    <w:rsid w:val="00101552"/>
    <w:rsid w:val="00101CEF"/>
    <w:rsid w:val="00102254"/>
    <w:rsid w:val="00102CA4"/>
    <w:rsid w:val="00102D57"/>
    <w:rsid w:val="0010305B"/>
    <w:rsid w:val="0010460E"/>
    <w:rsid w:val="001049A5"/>
    <w:rsid w:val="001055A5"/>
    <w:rsid w:val="0010690C"/>
    <w:rsid w:val="00106EF9"/>
    <w:rsid w:val="0010702C"/>
    <w:rsid w:val="00107A8C"/>
    <w:rsid w:val="0011002D"/>
    <w:rsid w:val="001102BF"/>
    <w:rsid w:val="00110970"/>
    <w:rsid w:val="00110D83"/>
    <w:rsid w:val="00111418"/>
    <w:rsid w:val="00111568"/>
    <w:rsid w:val="00111767"/>
    <w:rsid w:val="001120C0"/>
    <w:rsid w:val="001122F9"/>
    <w:rsid w:val="001127AB"/>
    <w:rsid w:val="001132E3"/>
    <w:rsid w:val="00113365"/>
    <w:rsid w:val="0011381D"/>
    <w:rsid w:val="00113975"/>
    <w:rsid w:val="00114305"/>
    <w:rsid w:val="001143CF"/>
    <w:rsid w:val="001150BF"/>
    <w:rsid w:val="001157F1"/>
    <w:rsid w:val="00115EB0"/>
    <w:rsid w:val="001168F2"/>
    <w:rsid w:val="00116D36"/>
    <w:rsid w:val="00116FC7"/>
    <w:rsid w:val="001175A5"/>
    <w:rsid w:val="0012005E"/>
    <w:rsid w:val="00120207"/>
    <w:rsid w:val="0012040A"/>
    <w:rsid w:val="0012156F"/>
    <w:rsid w:val="0012272B"/>
    <w:rsid w:val="00122865"/>
    <w:rsid w:val="00123C1B"/>
    <w:rsid w:val="001241C3"/>
    <w:rsid w:val="00125A7D"/>
    <w:rsid w:val="00125E3C"/>
    <w:rsid w:val="00126F42"/>
    <w:rsid w:val="00127575"/>
    <w:rsid w:val="0013212F"/>
    <w:rsid w:val="0013217C"/>
    <w:rsid w:val="001328FA"/>
    <w:rsid w:val="00132953"/>
    <w:rsid w:val="001332A1"/>
    <w:rsid w:val="00133E7E"/>
    <w:rsid w:val="0013416A"/>
    <w:rsid w:val="0013456F"/>
    <w:rsid w:val="00134873"/>
    <w:rsid w:val="00134DF3"/>
    <w:rsid w:val="00134E79"/>
    <w:rsid w:val="001353C9"/>
    <w:rsid w:val="00136C15"/>
    <w:rsid w:val="00142072"/>
    <w:rsid w:val="00143BF6"/>
    <w:rsid w:val="00143FCB"/>
    <w:rsid w:val="001445DF"/>
    <w:rsid w:val="00144FEF"/>
    <w:rsid w:val="00145627"/>
    <w:rsid w:val="00146331"/>
    <w:rsid w:val="00146A41"/>
    <w:rsid w:val="0014741E"/>
    <w:rsid w:val="0015031C"/>
    <w:rsid w:val="0015163F"/>
    <w:rsid w:val="00151679"/>
    <w:rsid w:val="001522D9"/>
    <w:rsid w:val="00152659"/>
    <w:rsid w:val="00152BDE"/>
    <w:rsid w:val="0015318E"/>
    <w:rsid w:val="00154205"/>
    <w:rsid w:val="0015454F"/>
    <w:rsid w:val="001556E0"/>
    <w:rsid w:val="00162054"/>
    <w:rsid w:val="00163329"/>
    <w:rsid w:val="0016374B"/>
    <w:rsid w:val="0016398A"/>
    <w:rsid w:val="001639BA"/>
    <w:rsid w:val="00163D92"/>
    <w:rsid w:val="00164144"/>
    <w:rsid w:val="00166FD3"/>
    <w:rsid w:val="00167112"/>
    <w:rsid w:val="001679D0"/>
    <w:rsid w:val="00167AB8"/>
    <w:rsid w:val="00170134"/>
    <w:rsid w:val="001708DE"/>
    <w:rsid w:val="00171C98"/>
    <w:rsid w:val="00171D00"/>
    <w:rsid w:val="0017212A"/>
    <w:rsid w:val="001724D1"/>
    <w:rsid w:val="0017273A"/>
    <w:rsid w:val="00172ADE"/>
    <w:rsid w:val="00173899"/>
    <w:rsid w:val="00173EE2"/>
    <w:rsid w:val="00175703"/>
    <w:rsid w:val="00175779"/>
    <w:rsid w:val="001758DE"/>
    <w:rsid w:val="00175AD2"/>
    <w:rsid w:val="00175D8D"/>
    <w:rsid w:val="00176D25"/>
    <w:rsid w:val="00176D56"/>
    <w:rsid w:val="00176E57"/>
    <w:rsid w:val="00177068"/>
    <w:rsid w:val="0017777F"/>
    <w:rsid w:val="00180CC8"/>
    <w:rsid w:val="0018139A"/>
    <w:rsid w:val="001820CD"/>
    <w:rsid w:val="0018287E"/>
    <w:rsid w:val="00182972"/>
    <w:rsid w:val="00182C1F"/>
    <w:rsid w:val="0018342E"/>
    <w:rsid w:val="001840C2"/>
    <w:rsid w:val="00184B46"/>
    <w:rsid w:val="001851F0"/>
    <w:rsid w:val="00185939"/>
    <w:rsid w:val="00185992"/>
    <w:rsid w:val="00186132"/>
    <w:rsid w:val="00186A0A"/>
    <w:rsid w:val="0018717A"/>
    <w:rsid w:val="00187479"/>
    <w:rsid w:val="001876F6"/>
    <w:rsid w:val="001877A2"/>
    <w:rsid w:val="001901BB"/>
    <w:rsid w:val="00190399"/>
    <w:rsid w:val="001908A6"/>
    <w:rsid w:val="00190FDD"/>
    <w:rsid w:val="00191A38"/>
    <w:rsid w:val="00191B2D"/>
    <w:rsid w:val="00191C96"/>
    <w:rsid w:val="00191E23"/>
    <w:rsid w:val="00192215"/>
    <w:rsid w:val="001933F4"/>
    <w:rsid w:val="00194C4C"/>
    <w:rsid w:val="001953B1"/>
    <w:rsid w:val="001953EB"/>
    <w:rsid w:val="00195C18"/>
    <w:rsid w:val="001963C0"/>
    <w:rsid w:val="0019670E"/>
    <w:rsid w:val="00196D2C"/>
    <w:rsid w:val="0019727D"/>
    <w:rsid w:val="0019762F"/>
    <w:rsid w:val="00197956"/>
    <w:rsid w:val="001A031F"/>
    <w:rsid w:val="001A0849"/>
    <w:rsid w:val="001A0C04"/>
    <w:rsid w:val="001A0D87"/>
    <w:rsid w:val="001A1086"/>
    <w:rsid w:val="001A288D"/>
    <w:rsid w:val="001A3400"/>
    <w:rsid w:val="001A409D"/>
    <w:rsid w:val="001A446E"/>
    <w:rsid w:val="001A54E6"/>
    <w:rsid w:val="001A593C"/>
    <w:rsid w:val="001A606A"/>
    <w:rsid w:val="001A67BF"/>
    <w:rsid w:val="001B0156"/>
    <w:rsid w:val="001B1676"/>
    <w:rsid w:val="001B17A8"/>
    <w:rsid w:val="001B2A32"/>
    <w:rsid w:val="001B355E"/>
    <w:rsid w:val="001B55C8"/>
    <w:rsid w:val="001B63C6"/>
    <w:rsid w:val="001B7AFC"/>
    <w:rsid w:val="001C0337"/>
    <w:rsid w:val="001C0F1C"/>
    <w:rsid w:val="001C10BF"/>
    <w:rsid w:val="001C27FE"/>
    <w:rsid w:val="001C3AD4"/>
    <w:rsid w:val="001C48D4"/>
    <w:rsid w:val="001C4C42"/>
    <w:rsid w:val="001C4C46"/>
    <w:rsid w:val="001C5C59"/>
    <w:rsid w:val="001C62E3"/>
    <w:rsid w:val="001C70D0"/>
    <w:rsid w:val="001C7C93"/>
    <w:rsid w:val="001D12B6"/>
    <w:rsid w:val="001D2597"/>
    <w:rsid w:val="001D3099"/>
    <w:rsid w:val="001D3399"/>
    <w:rsid w:val="001D36CD"/>
    <w:rsid w:val="001D4038"/>
    <w:rsid w:val="001D4F49"/>
    <w:rsid w:val="001D5B83"/>
    <w:rsid w:val="001D5E44"/>
    <w:rsid w:val="001D5E64"/>
    <w:rsid w:val="001D6734"/>
    <w:rsid w:val="001D6CF4"/>
    <w:rsid w:val="001D7982"/>
    <w:rsid w:val="001E0CD2"/>
    <w:rsid w:val="001E1D3D"/>
    <w:rsid w:val="001E33D4"/>
    <w:rsid w:val="001E341E"/>
    <w:rsid w:val="001E4240"/>
    <w:rsid w:val="001E47D1"/>
    <w:rsid w:val="001E5106"/>
    <w:rsid w:val="001E6A64"/>
    <w:rsid w:val="001E75C5"/>
    <w:rsid w:val="001E7D14"/>
    <w:rsid w:val="001F01AF"/>
    <w:rsid w:val="001F09B7"/>
    <w:rsid w:val="001F0B79"/>
    <w:rsid w:val="001F0F46"/>
    <w:rsid w:val="001F1B5F"/>
    <w:rsid w:val="001F2724"/>
    <w:rsid w:val="001F2927"/>
    <w:rsid w:val="001F3F2A"/>
    <w:rsid w:val="001F445B"/>
    <w:rsid w:val="001F5F0B"/>
    <w:rsid w:val="001F666D"/>
    <w:rsid w:val="001F69C2"/>
    <w:rsid w:val="001F7108"/>
    <w:rsid w:val="001F75AC"/>
    <w:rsid w:val="001F7659"/>
    <w:rsid w:val="001F78D1"/>
    <w:rsid w:val="0020084E"/>
    <w:rsid w:val="00201063"/>
    <w:rsid w:val="00201EAA"/>
    <w:rsid w:val="00202B6C"/>
    <w:rsid w:val="00203FC7"/>
    <w:rsid w:val="002048D1"/>
    <w:rsid w:val="00205257"/>
    <w:rsid w:val="00205F84"/>
    <w:rsid w:val="002061C3"/>
    <w:rsid w:val="0020650F"/>
    <w:rsid w:val="002065EC"/>
    <w:rsid w:val="002066D1"/>
    <w:rsid w:val="002079CB"/>
    <w:rsid w:val="0021022D"/>
    <w:rsid w:val="0021096E"/>
    <w:rsid w:val="00210DE8"/>
    <w:rsid w:val="0021172B"/>
    <w:rsid w:val="0021185F"/>
    <w:rsid w:val="00211A2B"/>
    <w:rsid w:val="00211D73"/>
    <w:rsid w:val="00212A3E"/>
    <w:rsid w:val="002139CD"/>
    <w:rsid w:val="00213AA5"/>
    <w:rsid w:val="00213B43"/>
    <w:rsid w:val="00214BF2"/>
    <w:rsid w:val="00215A7F"/>
    <w:rsid w:val="00216457"/>
    <w:rsid w:val="00216522"/>
    <w:rsid w:val="0021771A"/>
    <w:rsid w:val="002201E9"/>
    <w:rsid w:val="002215AB"/>
    <w:rsid w:val="00221D19"/>
    <w:rsid w:val="002225D6"/>
    <w:rsid w:val="00223BE9"/>
    <w:rsid w:val="0022666B"/>
    <w:rsid w:val="00226700"/>
    <w:rsid w:val="002267FC"/>
    <w:rsid w:val="0022722E"/>
    <w:rsid w:val="0022734D"/>
    <w:rsid w:val="00227D5F"/>
    <w:rsid w:val="002305C8"/>
    <w:rsid w:val="002312E8"/>
    <w:rsid w:val="00232BDF"/>
    <w:rsid w:val="00233FD1"/>
    <w:rsid w:val="00234242"/>
    <w:rsid w:val="0023447F"/>
    <w:rsid w:val="002350B3"/>
    <w:rsid w:val="0023564C"/>
    <w:rsid w:val="00237068"/>
    <w:rsid w:val="0023798E"/>
    <w:rsid w:val="00241867"/>
    <w:rsid w:val="00241DAE"/>
    <w:rsid w:val="00242307"/>
    <w:rsid w:val="00242EE4"/>
    <w:rsid w:val="0024462E"/>
    <w:rsid w:val="00244AE4"/>
    <w:rsid w:val="002454DE"/>
    <w:rsid w:val="00246C38"/>
    <w:rsid w:val="00246F53"/>
    <w:rsid w:val="002473B6"/>
    <w:rsid w:val="002474FA"/>
    <w:rsid w:val="002475EF"/>
    <w:rsid w:val="00247800"/>
    <w:rsid w:val="00247D2D"/>
    <w:rsid w:val="00250FB5"/>
    <w:rsid w:val="002515E2"/>
    <w:rsid w:val="002522BE"/>
    <w:rsid w:val="00252BC5"/>
    <w:rsid w:val="00253013"/>
    <w:rsid w:val="00253493"/>
    <w:rsid w:val="00253DE9"/>
    <w:rsid w:val="002540F5"/>
    <w:rsid w:val="002557DC"/>
    <w:rsid w:val="002558AF"/>
    <w:rsid w:val="00256897"/>
    <w:rsid w:val="00257003"/>
    <w:rsid w:val="0025706B"/>
    <w:rsid w:val="0025761A"/>
    <w:rsid w:val="00257AFB"/>
    <w:rsid w:val="00257C32"/>
    <w:rsid w:val="00260269"/>
    <w:rsid w:val="00262180"/>
    <w:rsid w:val="0026293D"/>
    <w:rsid w:val="00262E66"/>
    <w:rsid w:val="00263679"/>
    <w:rsid w:val="002642C2"/>
    <w:rsid w:val="00264F5D"/>
    <w:rsid w:val="002655AC"/>
    <w:rsid w:val="00265982"/>
    <w:rsid w:val="00265A3D"/>
    <w:rsid w:val="00265DA6"/>
    <w:rsid w:val="00266867"/>
    <w:rsid w:val="00266E78"/>
    <w:rsid w:val="002675DE"/>
    <w:rsid w:val="00267C2A"/>
    <w:rsid w:val="00270154"/>
    <w:rsid w:val="00270E09"/>
    <w:rsid w:val="00271BF6"/>
    <w:rsid w:val="00271F70"/>
    <w:rsid w:val="00272187"/>
    <w:rsid w:val="002729DB"/>
    <w:rsid w:val="00273A07"/>
    <w:rsid w:val="00273B35"/>
    <w:rsid w:val="0027408B"/>
    <w:rsid w:val="00274150"/>
    <w:rsid w:val="00275D3D"/>
    <w:rsid w:val="00276B56"/>
    <w:rsid w:val="002778F7"/>
    <w:rsid w:val="00277A55"/>
    <w:rsid w:val="002806BE"/>
    <w:rsid w:val="00280F46"/>
    <w:rsid w:val="002819FD"/>
    <w:rsid w:val="002837AD"/>
    <w:rsid w:val="00284436"/>
    <w:rsid w:val="0028583A"/>
    <w:rsid w:val="00285F4B"/>
    <w:rsid w:val="002860E8"/>
    <w:rsid w:val="00286A9C"/>
    <w:rsid w:val="00287368"/>
    <w:rsid w:val="00287873"/>
    <w:rsid w:val="00290411"/>
    <w:rsid w:val="002916CC"/>
    <w:rsid w:val="00291714"/>
    <w:rsid w:val="0029278C"/>
    <w:rsid w:val="002928EF"/>
    <w:rsid w:val="00292E65"/>
    <w:rsid w:val="00293128"/>
    <w:rsid w:val="002936D0"/>
    <w:rsid w:val="00293E97"/>
    <w:rsid w:val="00294790"/>
    <w:rsid w:val="00294A8A"/>
    <w:rsid w:val="0029515C"/>
    <w:rsid w:val="00295561"/>
    <w:rsid w:val="00295856"/>
    <w:rsid w:val="00295D30"/>
    <w:rsid w:val="00295F18"/>
    <w:rsid w:val="0029697C"/>
    <w:rsid w:val="002971B9"/>
    <w:rsid w:val="002979F1"/>
    <w:rsid w:val="00297BF9"/>
    <w:rsid w:val="00297CEA"/>
    <w:rsid w:val="00297F37"/>
    <w:rsid w:val="002A07C6"/>
    <w:rsid w:val="002A13E1"/>
    <w:rsid w:val="002A16AF"/>
    <w:rsid w:val="002A277E"/>
    <w:rsid w:val="002A2ABC"/>
    <w:rsid w:val="002A3248"/>
    <w:rsid w:val="002A4BB2"/>
    <w:rsid w:val="002A5D1A"/>
    <w:rsid w:val="002A6F5D"/>
    <w:rsid w:val="002B0846"/>
    <w:rsid w:val="002B1304"/>
    <w:rsid w:val="002B1FE6"/>
    <w:rsid w:val="002B20FC"/>
    <w:rsid w:val="002B3427"/>
    <w:rsid w:val="002B500B"/>
    <w:rsid w:val="002B5560"/>
    <w:rsid w:val="002B65B6"/>
    <w:rsid w:val="002B6A21"/>
    <w:rsid w:val="002C0A47"/>
    <w:rsid w:val="002C0BE4"/>
    <w:rsid w:val="002C0FD0"/>
    <w:rsid w:val="002C1E08"/>
    <w:rsid w:val="002C1EDE"/>
    <w:rsid w:val="002C208C"/>
    <w:rsid w:val="002C26E2"/>
    <w:rsid w:val="002C471E"/>
    <w:rsid w:val="002C5462"/>
    <w:rsid w:val="002C5981"/>
    <w:rsid w:val="002C5ACF"/>
    <w:rsid w:val="002C5D3F"/>
    <w:rsid w:val="002C7307"/>
    <w:rsid w:val="002C77B0"/>
    <w:rsid w:val="002C7EED"/>
    <w:rsid w:val="002D0410"/>
    <w:rsid w:val="002D0899"/>
    <w:rsid w:val="002D1559"/>
    <w:rsid w:val="002D1707"/>
    <w:rsid w:val="002D17E2"/>
    <w:rsid w:val="002D1DD8"/>
    <w:rsid w:val="002D3816"/>
    <w:rsid w:val="002D3EBC"/>
    <w:rsid w:val="002D3F5B"/>
    <w:rsid w:val="002D4407"/>
    <w:rsid w:val="002D45CD"/>
    <w:rsid w:val="002D56B6"/>
    <w:rsid w:val="002D5B54"/>
    <w:rsid w:val="002D6A29"/>
    <w:rsid w:val="002D6B4C"/>
    <w:rsid w:val="002D6C94"/>
    <w:rsid w:val="002D77FA"/>
    <w:rsid w:val="002D7933"/>
    <w:rsid w:val="002D7D38"/>
    <w:rsid w:val="002E0EC8"/>
    <w:rsid w:val="002E22B0"/>
    <w:rsid w:val="002E278F"/>
    <w:rsid w:val="002E3B4D"/>
    <w:rsid w:val="002E4FC5"/>
    <w:rsid w:val="002E6165"/>
    <w:rsid w:val="002E632D"/>
    <w:rsid w:val="002E74D6"/>
    <w:rsid w:val="002F0522"/>
    <w:rsid w:val="002F0734"/>
    <w:rsid w:val="002F0FC1"/>
    <w:rsid w:val="002F10F1"/>
    <w:rsid w:val="002F17BA"/>
    <w:rsid w:val="002F2710"/>
    <w:rsid w:val="002F3DDB"/>
    <w:rsid w:val="002F479C"/>
    <w:rsid w:val="002F5D92"/>
    <w:rsid w:val="002F684C"/>
    <w:rsid w:val="002F705B"/>
    <w:rsid w:val="003001C0"/>
    <w:rsid w:val="0030026A"/>
    <w:rsid w:val="00300EE6"/>
    <w:rsid w:val="0030179D"/>
    <w:rsid w:val="00301975"/>
    <w:rsid w:val="00301C86"/>
    <w:rsid w:val="00302841"/>
    <w:rsid w:val="003029EB"/>
    <w:rsid w:val="00302FA6"/>
    <w:rsid w:val="0030408B"/>
    <w:rsid w:val="003044FE"/>
    <w:rsid w:val="00305410"/>
    <w:rsid w:val="0030542C"/>
    <w:rsid w:val="00306B10"/>
    <w:rsid w:val="00310418"/>
    <w:rsid w:val="00311479"/>
    <w:rsid w:val="00311BCD"/>
    <w:rsid w:val="00311F18"/>
    <w:rsid w:val="00312EC7"/>
    <w:rsid w:val="00312FFC"/>
    <w:rsid w:val="0031361B"/>
    <w:rsid w:val="00313976"/>
    <w:rsid w:val="00313993"/>
    <w:rsid w:val="003150BF"/>
    <w:rsid w:val="003150CE"/>
    <w:rsid w:val="00315E92"/>
    <w:rsid w:val="00317C0F"/>
    <w:rsid w:val="0032183A"/>
    <w:rsid w:val="00321F75"/>
    <w:rsid w:val="00322A12"/>
    <w:rsid w:val="00322F41"/>
    <w:rsid w:val="003230A8"/>
    <w:rsid w:val="00323B9E"/>
    <w:rsid w:val="00323D95"/>
    <w:rsid w:val="003254AE"/>
    <w:rsid w:val="00327616"/>
    <w:rsid w:val="00327D4E"/>
    <w:rsid w:val="00330804"/>
    <w:rsid w:val="00331FBB"/>
    <w:rsid w:val="003320D3"/>
    <w:rsid w:val="00332EA0"/>
    <w:rsid w:val="0033387B"/>
    <w:rsid w:val="00333D5B"/>
    <w:rsid w:val="00334A6B"/>
    <w:rsid w:val="00334B2E"/>
    <w:rsid w:val="0033545B"/>
    <w:rsid w:val="0033569B"/>
    <w:rsid w:val="00335C63"/>
    <w:rsid w:val="00335D6A"/>
    <w:rsid w:val="00335E1E"/>
    <w:rsid w:val="003366B2"/>
    <w:rsid w:val="00336FC3"/>
    <w:rsid w:val="00337159"/>
    <w:rsid w:val="00337DCA"/>
    <w:rsid w:val="00340008"/>
    <w:rsid w:val="00340066"/>
    <w:rsid w:val="0034122D"/>
    <w:rsid w:val="0034190D"/>
    <w:rsid w:val="00341C82"/>
    <w:rsid w:val="0034288B"/>
    <w:rsid w:val="0034332B"/>
    <w:rsid w:val="00343994"/>
    <w:rsid w:val="00344BCE"/>
    <w:rsid w:val="00346446"/>
    <w:rsid w:val="0034681C"/>
    <w:rsid w:val="00347656"/>
    <w:rsid w:val="00347820"/>
    <w:rsid w:val="0035095A"/>
    <w:rsid w:val="003511EC"/>
    <w:rsid w:val="003536DE"/>
    <w:rsid w:val="003537E3"/>
    <w:rsid w:val="00354883"/>
    <w:rsid w:val="00355125"/>
    <w:rsid w:val="00355EF8"/>
    <w:rsid w:val="00355F69"/>
    <w:rsid w:val="00356E2A"/>
    <w:rsid w:val="00356FB1"/>
    <w:rsid w:val="003573AC"/>
    <w:rsid w:val="003575C2"/>
    <w:rsid w:val="00357980"/>
    <w:rsid w:val="003600A8"/>
    <w:rsid w:val="00361BD9"/>
    <w:rsid w:val="00361CDC"/>
    <w:rsid w:val="0036284D"/>
    <w:rsid w:val="00362854"/>
    <w:rsid w:val="00362D6A"/>
    <w:rsid w:val="003657A8"/>
    <w:rsid w:val="00366524"/>
    <w:rsid w:val="0036777E"/>
    <w:rsid w:val="003704DE"/>
    <w:rsid w:val="00372684"/>
    <w:rsid w:val="00373824"/>
    <w:rsid w:val="00373E58"/>
    <w:rsid w:val="003743E9"/>
    <w:rsid w:val="003746A2"/>
    <w:rsid w:val="00375135"/>
    <w:rsid w:val="00375DF5"/>
    <w:rsid w:val="00376073"/>
    <w:rsid w:val="0037620F"/>
    <w:rsid w:val="00376975"/>
    <w:rsid w:val="00377452"/>
    <w:rsid w:val="00377518"/>
    <w:rsid w:val="00377710"/>
    <w:rsid w:val="00377DC6"/>
    <w:rsid w:val="003806A9"/>
    <w:rsid w:val="00381223"/>
    <w:rsid w:val="00381849"/>
    <w:rsid w:val="003823A0"/>
    <w:rsid w:val="00382693"/>
    <w:rsid w:val="00383843"/>
    <w:rsid w:val="00384036"/>
    <w:rsid w:val="00384F36"/>
    <w:rsid w:val="00385271"/>
    <w:rsid w:val="00386249"/>
    <w:rsid w:val="00386F50"/>
    <w:rsid w:val="00387EB9"/>
    <w:rsid w:val="00391263"/>
    <w:rsid w:val="00391949"/>
    <w:rsid w:val="0039226E"/>
    <w:rsid w:val="00392CC8"/>
    <w:rsid w:val="00393A61"/>
    <w:rsid w:val="00394B1E"/>
    <w:rsid w:val="00395B97"/>
    <w:rsid w:val="003961DD"/>
    <w:rsid w:val="003968C5"/>
    <w:rsid w:val="00397708"/>
    <w:rsid w:val="003A0322"/>
    <w:rsid w:val="003A14D9"/>
    <w:rsid w:val="003A2017"/>
    <w:rsid w:val="003A35FD"/>
    <w:rsid w:val="003A4852"/>
    <w:rsid w:val="003A48CC"/>
    <w:rsid w:val="003A4A05"/>
    <w:rsid w:val="003A72EF"/>
    <w:rsid w:val="003A731D"/>
    <w:rsid w:val="003A789C"/>
    <w:rsid w:val="003A7E21"/>
    <w:rsid w:val="003B0DDD"/>
    <w:rsid w:val="003B15C0"/>
    <w:rsid w:val="003B1773"/>
    <w:rsid w:val="003B1D4C"/>
    <w:rsid w:val="003B41DF"/>
    <w:rsid w:val="003B4A4D"/>
    <w:rsid w:val="003B4EED"/>
    <w:rsid w:val="003B5249"/>
    <w:rsid w:val="003B6B2C"/>
    <w:rsid w:val="003B7585"/>
    <w:rsid w:val="003C02BB"/>
    <w:rsid w:val="003C0AE7"/>
    <w:rsid w:val="003C0CB7"/>
    <w:rsid w:val="003C1D64"/>
    <w:rsid w:val="003C2060"/>
    <w:rsid w:val="003C266A"/>
    <w:rsid w:val="003C267A"/>
    <w:rsid w:val="003C2C09"/>
    <w:rsid w:val="003C4F71"/>
    <w:rsid w:val="003C5A6A"/>
    <w:rsid w:val="003C602A"/>
    <w:rsid w:val="003C759A"/>
    <w:rsid w:val="003D04BF"/>
    <w:rsid w:val="003D067D"/>
    <w:rsid w:val="003D0900"/>
    <w:rsid w:val="003D1136"/>
    <w:rsid w:val="003D1759"/>
    <w:rsid w:val="003D1896"/>
    <w:rsid w:val="003D3B14"/>
    <w:rsid w:val="003D41AA"/>
    <w:rsid w:val="003D445F"/>
    <w:rsid w:val="003D51B6"/>
    <w:rsid w:val="003D523C"/>
    <w:rsid w:val="003D58DE"/>
    <w:rsid w:val="003D62F7"/>
    <w:rsid w:val="003D6461"/>
    <w:rsid w:val="003D66A0"/>
    <w:rsid w:val="003D7B18"/>
    <w:rsid w:val="003E0DFE"/>
    <w:rsid w:val="003E1035"/>
    <w:rsid w:val="003E1411"/>
    <w:rsid w:val="003E17F2"/>
    <w:rsid w:val="003E19F7"/>
    <w:rsid w:val="003E1EB2"/>
    <w:rsid w:val="003E2805"/>
    <w:rsid w:val="003E3E62"/>
    <w:rsid w:val="003E4601"/>
    <w:rsid w:val="003E492C"/>
    <w:rsid w:val="003E4B71"/>
    <w:rsid w:val="003E51A1"/>
    <w:rsid w:val="003E66DE"/>
    <w:rsid w:val="003E6B39"/>
    <w:rsid w:val="003E710D"/>
    <w:rsid w:val="003E77CC"/>
    <w:rsid w:val="003E7A9C"/>
    <w:rsid w:val="003F00EB"/>
    <w:rsid w:val="003F0ABD"/>
    <w:rsid w:val="003F328F"/>
    <w:rsid w:val="003F3D21"/>
    <w:rsid w:val="003F4A4A"/>
    <w:rsid w:val="003F531A"/>
    <w:rsid w:val="003F5541"/>
    <w:rsid w:val="003F5D59"/>
    <w:rsid w:val="003F6A87"/>
    <w:rsid w:val="003F6CA5"/>
    <w:rsid w:val="003F6E9B"/>
    <w:rsid w:val="003F73C3"/>
    <w:rsid w:val="003F7C9E"/>
    <w:rsid w:val="00400037"/>
    <w:rsid w:val="00400065"/>
    <w:rsid w:val="00401B58"/>
    <w:rsid w:val="004025E8"/>
    <w:rsid w:val="00402700"/>
    <w:rsid w:val="00402768"/>
    <w:rsid w:val="0040403E"/>
    <w:rsid w:val="00404C36"/>
    <w:rsid w:val="004051B1"/>
    <w:rsid w:val="00405344"/>
    <w:rsid w:val="00405653"/>
    <w:rsid w:val="004057F5"/>
    <w:rsid w:val="00406297"/>
    <w:rsid w:val="004065DA"/>
    <w:rsid w:val="004067C6"/>
    <w:rsid w:val="00406F38"/>
    <w:rsid w:val="0040762E"/>
    <w:rsid w:val="00407802"/>
    <w:rsid w:val="004107CA"/>
    <w:rsid w:val="00410BB4"/>
    <w:rsid w:val="004111BC"/>
    <w:rsid w:val="004114CB"/>
    <w:rsid w:val="0041207F"/>
    <w:rsid w:val="0041208F"/>
    <w:rsid w:val="004121EB"/>
    <w:rsid w:val="004125F4"/>
    <w:rsid w:val="004126D4"/>
    <w:rsid w:val="00412A30"/>
    <w:rsid w:val="00413721"/>
    <w:rsid w:val="00414703"/>
    <w:rsid w:val="00415D2B"/>
    <w:rsid w:val="00416C0A"/>
    <w:rsid w:val="00417149"/>
    <w:rsid w:val="00420469"/>
    <w:rsid w:val="00420CF5"/>
    <w:rsid w:val="00421941"/>
    <w:rsid w:val="004236B8"/>
    <w:rsid w:val="00424DE2"/>
    <w:rsid w:val="00425FA7"/>
    <w:rsid w:val="00426E38"/>
    <w:rsid w:val="00427772"/>
    <w:rsid w:val="0043107A"/>
    <w:rsid w:val="00432528"/>
    <w:rsid w:val="00432836"/>
    <w:rsid w:val="004356F4"/>
    <w:rsid w:val="0043577A"/>
    <w:rsid w:val="00435822"/>
    <w:rsid w:val="004373D1"/>
    <w:rsid w:val="0043778D"/>
    <w:rsid w:val="00437817"/>
    <w:rsid w:val="004419F7"/>
    <w:rsid w:val="00444376"/>
    <w:rsid w:val="004454C2"/>
    <w:rsid w:val="00445B4F"/>
    <w:rsid w:val="00446988"/>
    <w:rsid w:val="00447347"/>
    <w:rsid w:val="00447489"/>
    <w:rsid w:val="00447F33"/>
    <w:rsid w:val="0045022F"/>
    <w:rsid w:val="00450A27"/>
    <w:rsid w:val="00451EC2"/>
    <w:rsid w:val="0045322F"/>
    <w:rsid w:val="00453EA7"/>
    <w:rsid w:val="0045411B"/>
    <w:rsid w:val="004547D2"/>
    <w:rsid w:val="00455D60"/>
    <w:rsid w:val="00457DE9"/>
    <w:rsid w:val="00460D37"/>
    <w:rsid w:val="0046136C"/>
    <w:rsid w:val="00463357"/>
    <w:rsid w:val="00463A04"/>
    <w:rsid w:val="00463CE8"/>
    <w:rsid w:val="004644B2"/>
    <w:rsid w:val="00464B45"/>
    <w:rsid w:val="00465255"/>
    <w:rsid w:val="004658E6"/>
    <w:rsid w:val="004663E1"/>
    <w:rsid w:val="00466A28"/>
    <w:rsid w:val="004706D5"/>
    <w:rsid w:val="00470CC3"/>
    <w:rsid w:val="00470FAD"/>
    <w:rsid w:val="004736AB"/>
    <w:rsid w:val="00473718"/>
    <w:rsid w:val="00473869"/>
    <w:rsid w:val="0047387C"/>
    <w:rsid w:val="00473A3B"/>
    <w:rsid w:val="00473B14"/>
    <w:rsid w:val="00473ED4"/>
    <w:rsid w:val="00474068"/>
    <w:rsid w:val="004740C5"/>
    <w:rsid w:val="0047410E"/>
    <w:rsid w:val="00474C2E"/>
    <w:rsid w:val="004753D9"/>
    <w:rsid w:val="00475E21"/>
    <w:rsid w:val="00475F5E"/>
    <w:rsid w:val="00477F32"/>
    <w:rsid w:val="00480026"/>
    <w:rsid w:val="0048054A"/>
    <w:rsid w:val="004814A4"/>
    <w:rsid w:val="004818E8"/>
    <w:rsid w:val="00482335"/>
    <w:rsid w:val="0048243D"/>
    <w:rsid w:val="004824AE"/>
    <w:rsid w:val="00482F67"/>
    <w:rsid w:val="00483006"/>
    <w:rsid w:val="00483232"/>
    <w:rsid w:val="00483338"/>
    <w:rsid w:val="004835B8"/>
    <w:rsid w:val="00483C10"/>
    <w:rsid w:val="00484915"/>
    <w:rsid w:val="00484FEF"/>
    <w:rsid w:val="00485961"/>
    <w:rsid w:val="004863F7"/>
    <w:rsid w:val="004865D2"/>
    <w:rsid w:val="00487387"/>
    <w:rsid w:val="004900FE"/>
    <w:rsid w:val="00490193"/>
    <w:rsid w:val="00490E50"/>
    <w:rsid w:val="00491300"/>
    <w:rsid w:val="00491926"/>
    <w:rsid w:val="004919FD"/>
    <w:rsid w:val="00491C0B"/>
    <w:rsid w:val="00492709"/>
    <w:rsid w:val="00494443"/>
    <w:rsid w:val="00494681"/>
    <w:rsid w:val="0049590D"/>
    <w:rsid w:val="00495B43"/>
    <w:rsid w:val="00495C12"/>
    <w:rsid w:val="004963B3"/>
    <w:rsid w:val="00496932"/>
    <w:rsid w:val="00496CB5"/>
    <w:rsid w:val="004977B1"/>
    <w:rsid w:val="004978F0"/>
    <w:rsid w:val="004A06FC"/>
    <w:rsid w:val="004A0C30"/>
    <w:rsid w:val="004A0D99"/>
    <w:rsid w:val="004A132C"/>
    <w:rsid w:val="004A1396"/>
    <w:rsid w:val="004A2135"/>
    <w:rsid w:val="004A2ABC"/>
    <w:rsid w:val="004A2BFD"/>
    <w:rsid w:val="004A3338"/>
    <w:rsid w:val="004A3C1E"/>
    <w:rsid w:val="004A542D"/>
    <w:rsid w:val="004A59F1"/>
    <w:rsid w:val="004A5EB1"/>
    <w:rsid w:val="004A66E8"/>
    <w:rsid w:val="004A7197"/>
    <w:rsid w:val="004B13BB"/>
    <w:rsid w:val="004B157C"/>
    <w:rsid w:val="004B1BFC"/>
    <w:rsid w:val="004B215F"/>
    <w:rsid w:val="004B26D9"/>
    <w:rsid w:val="004B2C5E"/>
    <w:rsid w:val="004B2D9C"/>
    <w:rsid w:val="004B2E2C"/>
    <w:rsid w:val="004B3530"/>
    <w:rsid w:val="004B37BE"/>
    <w:rsid w:val="004B5716"/>
    <w:rsid w:val="004B6603"/>
    <w:rsid w:val="004B6AB2"/>
    <w:rsid w:val="004B6BB2"/>
    <w:rsid w:val="004B774B"/>
    <w:rsid w:val="004C1C8F"/>
    <w:rsid w:val="004C1E2F"/>
    <w:rsid w:val="004C4629"/>
    <w:rsid w:val="004C4B71"/>
    <w:rsid w:val="004C60CA"/>
    <w:rsid w:val="004C6D1E"/>
    <w:rsid w:val="004C727B"/>
    <w:rsid w:val="004D044F"/>
    <w:rsid w:val="004D087E"/>
    <w:rsid w:val="004D19DB"/>
    <w:rsid w:val="004D1C53"/>
    <w:rsid w:val="004D1DDE"/>
    <w:rsid w:val="004D1E88"/>
    <w:rsid w:val="004D37CC"/>
    <w:rsid w:val="004D37D8"/>
    <w:rsid w:val="004D3CD7"/>
    <w:rsid w:val="004D51AA"/>
    <w:rsid w:val="004D51CF"/>
    <w:rsid w:val="004D5842"/>
    <w:rsid w:val="004D58DE"/>
    <w:rsid w:val="004D6365"/>
    <w:rsid w:val="004D63E2"/>
    <w:rsid w:val="004D6C89"/>
    <w:rsid w:val="004D6D11"/>
    <w:rsid w:val="004D703F"/>
    <w:rsid w:val="004D7885"/>
    <w:rsid w:val="004E058B"/>
    <w:rsid w:val="004E2971"/>
    <w:rsid w:val="004E2F49"/>
    <w:rsid w:val="004E3CCC"/>
    <w:rsid w:val="004E3E39"/>
    <w:rsid w:val="004E3F30"/>
    <w:rsid w:val="004E3F39"/>
    <w:rsid w:val="004E438A"/>
    <w:rsid w:val="004E46F8"/>
    <w:rsid w:val="004E50C8"/>
    <w:rsid w:val="004E5FB4"/>
    <w:rsid w:val="004E653E"/>
    <w:rsid w:val="004E65F5"/>
    <w:rsid w:val="004E68F7"/>
    <w:rsid w:val="004E6C90"/>
    <w:rsid w:val="004E6CE7"/>
    <w:rsid w:val="004E723F"/>
    <w:rsid w:val="004F07CC"/>
    <w:rsid w:val="004F14AE"/>
    <w:rsid w:val="004F29C1"/>
    <w:rsid w:val="004F2D77"/>
    <w:rsid w:val="004F2F3A"/>
    <w:rsid w:val="004F305A"/>
    <w:rsid w:val="004F3679"/>
    <w:rsid w:val="004F3860"/>
    <w:rsid w:val="004F3C00"/>
    <w:rsid w:val="004F3E28"/>
    <w:rsid w:val="004F40F2"/>
    <w:rsid w:val="004F4314"/>
    <w:rsid w:val="004F4A3F"/>
    <w:rsid w:val="004F4C98"/>
    <w:rsid w:val="004F603F"/>
    <w:rsid w:val="004F621F"/>
    <w:rsid w:val="004F6431"/>
    <w:rsid w:val="004F69FB"/>
    <w:rsid w:val="004F7416"/>
    <w:rsid w:val="004F7C5B"/>
    <w:rsid w:val="0050029C"/>
    <w:rsid w:val="0050060B"/>
    <w:rsid w:val="00500828"/>
    <w:rsid w:val="0050110D"/>
    <w:rsid w:val="00502EAE"/>
    <w:rsid w:val="00503455"/>
    <w:rsid w:val="00503A1B"/>
    <w:rsid w:val="00503C70"/>
    <w:rsid w:val="00503CDE"/>
    <w:rsid w:val="0050500F"/>
    <w:rsid w:val="00505279"/>
    <w:rsid w:val="00505A61"/>
    <w:rsid w:val="005063E1"/>
    <w:rsid w:val="005063FC"/>
    <w:rsid w:val="0050675B"/>
    <w:rsid w:val="00507CC5"/>
    <w:rsid w:val="00507D49"/>
    <w:rsid w:val="005101FE"/>
    <w:rsid w:val="00510295"/>
    <w:rsid w:val="00510A85"/>
    <w:rsid w:val="00510B87"/>
    <w:rsid w:val="005122D7"/>
    <w:rsid w:val="0051239B"/>
    <w:rsid w:val="00512554"/>
    <w:rsid w:val="005130C7"/>
    <w:rsid w:val="005140A0"/>
    <w:rsid w:val="00514118"/>
    <w:rsid w:val="00514A8E"/>
    <w:rsid w:val="0051517B"/>
    <w:rsid w:val="00515192"/>
    <w:rsid w:val="00515941"/>
    <w:rsid w:val="00516505"/>
    <w:rsid w:val="00516BBB"/>
    <w:rsid w:val="00516EC6"/>
    <w:rsid w:val="00517147"/>
    <w:rsid w:val="00520734"/>
    <w:rsid w:val="0052078E"/>
    <w:rsid w:val="005212B2"/>
    <w:rsid w:val="00521AA1"/>
    <w:rsid w:val="00522C99"/>
    <w:rsid w:val="00523069"/>
    <w:rsid w:val="00523E83"/>
    <w:rsid w:val="005244B2"/>
    <w:rsid w:val="005248BB"/>
    <w:rsid w:val="00524BCA"/>
    <w:rsid w:val="0052649A"/>
    <w:rsid w:val="005266D5"/>
    <w:rsid w:val="0052706B"/>
    <w:rsid w:val="0052717D"/>
    <w:rsid w:val="00527C14"/>
    <w:rsid w:val="0053051B"/>
    <w:rsid w:val="005308A5"/>
    <w:rsid w:val="00530B9D"/>
    <w:rsid w:val="0053106C"/>
    <w:rsid w:val="00531283"/>
    <w:rsid w:val="005314E9"/>
    <w:rsid w:val="00531723"/>
    <w:rsid w:val="00532712"/>
    <w:rsid w:val="0053275E"/>
    <w:rsid w:val="005328B5"/>
    <w:rsid w:val="00532C50"/>
    <w:rsid w:val="0053324F"/>
    <w:rsid w:val="0053345E"/>
    <w:rsid w:val="0053430E"/>
    <w:rsid w:val="005344F4"/>
    <w:rsid w:val="005348BF"/>
    <w:rsid w:val="005356DF"/>
    <w:rsid w:val="00535A30"/>
    <w:rsid w:val="00537498"/>
    <w:rsid w:val="00537C7B"/>
    <w:rsid w:val="00537FD7"/>
    <w:rsid w:val="005408B5"/>
    <w:rsid w:val="005419B4"/>
    <w:rsid w:val="00541BB3"/>
    <w:rsid w:val="00541E10"/>
    <w:rsid w:val="00541EF9"/>
    <w:rsid w:val="005431CF"/>
    <w:rsid w:val="005433EB"/>
    <w:rsid w:val="00543D0A"/>
    <w:rsid w:val="00544A5F"/>
    <w:rsid w:val="00544EFB"/>
    <w:rsid w:val="005454F3"/>
    <w:rsid w:val="005455E5"/>
    <w:rsid w:val="005462EB"/>
    <w:rsid w:val="005467F6"/>
    <w:rsid w:val="0054681B"/>
    <w:rsid w:val="0054779A"/>
    <w:rsid w:val="00547958"/>
    <w:rsid w:val="00547BA1"/>
    <w:rsid w:val="00547ED5"/>
    <w:rsid w:val="005502FA"/>
    <w:rsid w:val="00550AAA"/>
    <w:rsid w:val="00550E87"/>
    <w:rsid w:val="0055217F"/>
    <w:rsid w:val="00554A4D"/>
    <w:rsid w:val="00554CE9"/>
    <w:rsid w:val="005550E6"/>
    <w:rsid w:val="005553F0"/>
    <w:rsid w:val="00555C09"/>
    <w:rsid w:val="00556101"/>
    <w:rsid w:val="00556641"/>
    <w:rsid w:val="00557CB1"/>
    <w:rsid w:val="00560029"/>
    <w:rsid w:val="0056072C"/>
    <w:rsid w:val="0056091E"/>
    <w:rsid w:val="00561371"/>
    <w:rsid w:val="0056172D"/>
    <w:rsid w:val="0056181D"/>
    <w:rsid w:val="00561AFA"/>
    <w:rsid w:val="00561C18"/>
    <w:rsid w:val="00562980"/>
    <w:rsid w:val="005632A3"/>
    <w:rsid w:val="005635F3"/>
    <w:rsid w:val="0056411C"/>
    <w:rsid w:val="0056557C"/>
    <w:rsid w:val="00565B4C"/>
    <w:rsid w:val="005663FF"/>
    <w:rsid w:val="00566699"/>
    <w:rsid w:val="0056669C"/>
    <w:rsid w:val="005677E5"/>
    <w:rsid w:val="00570D24"/>
    <w:rsid w:val="005711FE"/>
    <w:rsid w:val="005713BD"/>
    <w:rsid w:val="00572E1D"/>
    <w:rsid w:val="00573537"/>
    <w:rsid w:val="00574C1A"/>
    <w:rsid w:val="00574D5C"/>
    <w:rsid w:val="00575C07"/>
    <w:rsid w:val="00575D30"/>
    <w:rsid w:val="00576B54"/>
    <w:rsid w:val="00577088"/>
    <w:rsid w:val="00577E4E"/>
    <w:rsid w:val="005801BF"/>
    <w:rsid w:val="00580EEB"/>
    <w:rsid w:val="00580FCF"/>
    <w:rsid w:val="00582187"/>
    <w:rsid w:val="00582B6D"/>
    <w:rsid w:val="00582FF5"/>
    <w:rsid w:val="00583673"/>
    <w:rsid w:val="00583D08"/>
    <w:rsid w:val="00583D6C"/>
    <w:rsid w:val="00584619"/>
    <w:rsid w:val="005850CF"/>
    <w:rsid w:val="005873DA"/>
    <w:rsid w:val="00587818"/>
    <w:rsid w:val="00587BE7"/>
    <w:rsid w:val="00587CBC"/>
    <w:rsid w:val="00587CDF"/>
    <w:rsid w:val="005903B4"/>
    <w:rsid w:val="00590803"/>
    <w:rsid w:val="00590E2B"/>
    <w:rsid w:val="00592749"/>
    <w:rsid w:val="0059375C"/>
    <w:rsid w:val="00594A41"/>
    <w:rsid w:val="00595DF1"/>
    <w:rsid w:val="00596082"/>
    <w:rsid w:val="00596524"/>
    <w:rsid w:val="00596AB3"/>
    <w:rsid w:val="00596C0B"/>
    <w:rsid w:val="00597255"/>
    <w:rsid w:val="00597D35"/>
    <w:rsid w:val="005A088B"/>
    <w:rsid w:val="005A0B7A"/>
    <w:rsid w:val="005A1119"/>
    <w:rsid w:val="005A1C0C"/>
    <w:rsid w:val="005A2D0C"/>
    <w:rsid w:val="005A2FC5"/>
    <w:rsid w:val="005A33CC"/>
    <w:rsid w:val="005A3811"/>
    <w:rsid w:val="005A3883"/>
    <w:rsid w:val="005A3B1F"/>
    <w:rsid w:val="005A4A36"/>
    <w:rsid w:val="005A4A46"/>
    <w:rsid w:val="005A5684"/>
    <w:rsid w:val="005A5748"/>
    <w:rsid w:val="005A5E2C"/>
    <w:rsid w:val="005A66BE"/>
    <w:rsid w:val="005A6D6D"/>
    <w:rsid w:val="005A6E48"/>
    <w:rsid w:val="005A7264"/>
    <w:rsid w:val="005A7D15"/>
    <w:rsid w:val="005B1297"/>
    <w:rsid w:val="005B1601"/>
    <w:rsid w:val="005B204F"/>
    <w:rsid w:val="005B260B"/>
    <w:rsid w:val="005B3552"/>
    <w:rsid w:val="005B35D7"/>
    <w:rsid w:val="005B3B51"/>
    <w:rsid w:val="005B43E6"/>
    <w:rsid w:val="005B4470"/>
    <w:rsid w:val="005B4CFC"/>
    <w:rsid w:val="005B4FEC"/>
    <w:rsid w:val="005B58B0"/>
    <w:rsid w:val="005B6213"/>
    <w:rsid w:val="005B649F"/>
    <w:rsid w:val="005B65C1"/>
    <w:rsid w:val="005B66A4"/>
    <w:rsid w:val="005B6E0D"/>
    <w:rsid w:val="005B7035"/>
    <w:rsid w:val="005C0298"/>
    <w:rsid w:val="005C0769"/>
    <w:rsid w:val="005C1FFD"/>
    <w:rsid w:val="005C24FA"/>
    <w:rsid w:val="005C258C"/>
    <w:rsid w:val="005C3078"/>
    <w:rsid w:val="005C360A"/>
    <w:rsid w:val="005C411E"/>
    <w:rsid w:val="005C4787"/>
    <w:rsid w:val="005C5F55"/>
    <w:rsid w:val="005C6249"/>
    <w:rsid w:val="005C66AD"/>
    <w:rsid w:val="005C751D"/>
    <w:rsid w:val="005C7EE9"/>
    <w:rsid w:val="005D09C4"/>
    <w:rsid w:val="005D0BD1"/>
    <w:rsid w:val="005D1922"/>
    <w:rsid w:val="005D1F06"/>
    <w:rsid w:val="005D221C"/>
    <w:rsid w:val="005D2702"/>
    <w:rsid w:val="005D2A43"/>
    <w:rsid w:val="005D3153"/>
    <w:rsid w:val="005D3C7A"/>
    <w:rsid w:val="005D48EE"/>
    <w:rsid w:val="005D640A"/>
    <w:rsid w:val="005D6EA0"/>
    <w:rsid w:val="005D72EF"/>
    <w:rsid w:val="005D734E"/>
    <w:rsid w:val="005D7ACC"/>
    <w:rsid w:val="005E1AC4"/>
    <w:rsid w:val="005E2494"/>
    <w:rsid w:val="005E27EF"/>
    <w:rsid w:val="005E3188"/>
    <w:rsid w:val="005E3459"/>
    <w:rsid w:val="005E35C9"/>
    <w:rsid w:val="005E3935"/>
    <w:rsid w:val="005E490E"/>
    <w:rsid w:val="005E5216"/>
    <w:rsid w:val="005E551C"/>
    <w:rsid w:val="005E57C2"/>
    <w:rsid w:val="005E6239"/>
    <w:rsid w:val="005E6667"/>
    <w:rsid w:val="005E72B4"/>
    <w:rsid w:val="005E76E2"/>
    <w:rsid w:val="005E7B36"/>
    <w:rsid w:val="005F02E6"/>
    <w:rsid w:val="005F098F"/>
    <w:rsid w:val="005F10F1"/>
    <w:rsid w:val="005F1911"/>
    <w:rsid w:val="005F2057"/>
    <w:rsid w:val="005F258A"/>
    <w:rsid w:val="005F2614"/>
    <w:rsid w:val="005F2788"/>
    <w:rsid w:val="005F2CBA"/>
    <w:rsid w:val="005F3216"/>
    <w:rsid w:val="005F4DFE"/>
    <w:rsid w:val="005F4EF9"/>
    <w:rsid w:val="005F5363"/>
    <w:rsid w:val="005F6387"/>
    <w:rsid w:val="005F67C2"/>
    <w:rsid w:val="005F6B44"/>
    <w:rsid w:val="005F702F"/>
    <w:rsid w:val="006002AF"/>
    <w:rsid w:val="00600EBD"/>
    <w:rsid w:val="00600F4B"/>
    <w:rsid w:val="006015AE"/>
    <w:rsid w:val="006017B1"/>
    <w:rsid w:val="00603548"/>
    <w:rsid w:val="00603F2F"/>
    <w:rsid w:val="00604392"/>
    <w:rsid w:val="006062EB"/>
    <w:rsid w:val="0060676E"/>
    <w:rsid w:val="0060685F"/>
    <w:rsid w:val="00606DC8"/>
    <w:rsid w:val="00607066"/>
    <w:rsid w:val="00607197"/>
    <w:rsid w:val="00607A16"/>
    <w:rsid w:val="00610074"/>
    <w:rsid w:val="006109F8"/>
    <w:rsid w:val="006115B0"/>
    <w:rsid w:val="006119F6"/>
    <w:rsid w:val="00611A09"/>
    <w:rsid w:val="00611D58"/>
    <w:rsid w:val="00611E0B"/>
    <w:rsid w:val="0061251F"/>
    <w:rsid w:val="006126FD"/>
    <w:rsid w:val="00613735"/>
    <w:rsid w:val="006147EA"/>
    <w:rsid w:val="00614F8F"/>
    <w:rsid w:val="006163D9"/>
    <w:rsid w:val="0061694D"/>
    <w:rsid w:val="00617CE7"/>
    <w:rsid w:val="0062045D"/>
    <w:rsid w:val="006204EE"/>
    <w:rsid w:val="006206C9"/>
    <w:rsid w:val="006214DA"/>
    <w:rsid w:val="00621D2F"/>
    <w:rsid w:val="006220AA"/>
    <w:rsid w:val="00623075"/>
    <w:rsid w:val="00623910"/>
    <w:rsid w:val="006247C1"/>
    <w:rsid w:val="00624A27"/>
    <w:rsid w:val="00624D74"/>
    <w:rsid w:val="00625455"/>
    <w:rsid w:val="0062716D"/>
    <w:rsid w:val="0062730F"/>
    <w:rsid w:val="00627AF2"/>
    <w:rsid w:val="00627D3D"/>
    <w:rsid w:val="0063159A"/>
    <w:rsid w:val="00631F9A"/>
    <w:rsid w:val="006326FE"/>
    <w:rsid w:val="00632F94"/>
    <w:rsid w:val="006334C8"/>
    <w:rsid w:val="00634D7A"/>
    <w:rsid w:val="0063632F"/>
    <w:rsid w:val="00636817"/>
    <w:rsid w:val="00637ADA"/>
    <w:rsid w:val="0064072C"/>
    <w:rsid w:val="00640A12"/>
    <w:rsid w:val="00640E38"/>
    <w:rsid w:val="00641110"/>
    <w:rsid w:val="00641C9C"/>
    <w:rsid w:val="006424AB"/>
    <w:rsid w:val="0064269E"/>
    <w:rsid w:val="00642B54"/>
    <w:rsid w:val="00643375"/>
    <w:rsid w:val="0064507A"/>
    <w:rsid w:val="00646437"/>
    <w:rsid w:val="00647475"/>
    <w:rsid w:val="00647FDC"/>
    <w:rsid w:val="00650993"/>
    <w:rsid w:val="00650C56"/>
    <w:rsid w:val="00650EB0"/>
    <w:rsid w:val="00650FD8"/>
    <w:rsid w:val="00652858"/>
    <w:rsid w:val="006533F3"/>
    <w:rsid w:val="00653413"/>
    <w:rsid w:val="00654FD9"/>
    <w:rsid w:val="006555E2"/>
    <w:rsid w:val="006558DC"/>
    <w:rsid w:val="00655D0C"/>
    <w:rsid w:val="00656B27"/>
    <w:rsid w:val="006576DF"/>
    <w:rsid w:val="00657797"/>
    <w:rsid w:val="00657F8B"/>
    <w:rsid w:val="00660401"/>
    <w:rsid w:val="00660ED0"/>
    <w:rsid w:val="006618FC"/>
    <w:rsid w:val="00661B15"/>
    <w:rsid w:val="00662BF0"/>
    <w:rsid w:val="00662EAC"/>
    <w:rsid w:val="00662F7E"/>
    <w:rsid w:val="00662FEE"/>
    <w:rsid w:val="00663D00"/>
    <w:rsid w:val="00663E86"/>
    <w:rsid w:val="00664337"/>
    <w:rsid w:val="006650B8"/>
    <w:rsid w:val="006657CE"/>
    <w:rsid w:val="00665A77"/>
    <w:rsid w:val="0066685D"/>
    <w:rsid w:val="00667B88"/>
    <w:rsid w:val="00670483"/>
    <w:rsid w:val="006711C5"/>
    <w:rsid w:val="00671767"/>
    <w:rsid w:val="00671B7E"/>
    <w:rsid w:val="00672CD8"/>
    <w:rsid w:val="00673EE7"/>
    <w:rsid w:val="00674E27"/>
    <w:rsid w:val="0067599D"/>
    <w:rsid w:val="006767BC"/>
    <w:rsid w:val="00676C6E"/>
    <w:rsid w:val="006771B9"/>
    <w:rsid w:val="00677A87"/>
    <w:rsid w:val="00677E0D"/>
    <w:rsid w:val="00680658"/>
    <w:rsid w:val="00680E31"/>
    <w:rsid w:val="00680E45"/>
    <w:rsid w:val="00681AAA"/>
    <w:rsid w:val="00681D75"/>
    <w:rsid w:val="0068242E"/>
    <w:rsid w:val="006831C0"/>
    <w:rsid w:val="006831D0"/>
    <w:rsid w:val="006831DB"/>
    <w:rsid w:val="00683A2D"/>
    <w:rsid w:val="00684BAF"/>
    <w:rsid w:val="00687DE5"/>
    <w:rsid w:val="006907C9"/>
    <w:rsid w:val="006916C2"/>
    <w:rsid w:val="0069181B"/>
    <w:rsid w:val="00691A1D"/>
    <w:rsid w:val="0069205A"/>
    <w:rsid w:val="00692B28"/>
    <w:rsid w:val="00692BEC"/>
    <w:rsid w:val="0069308B"/>
    <w:rsid w:val="006944B6"/>
    <w:rsid w:val="00694581"/>
    <w:rsid w:val="00694993"/>
    <w:rsid w:val="0069540E"/>
    <w:rsid w:val="00696958"/>
    <w:rsid w:val="00696EBB"/>
    <w:rsid w:val="00696F49"/>
    <w:rsid w:val="00697317"/>
    <w:rsid w:val="006975FF"/>
    <w:rsid w:val="0069768A"/>
    <w:rsid w:val="006A0B28"/>
    <w:rsid w:val="006A1F10"/>
    <w:rsid w:val="006A1F47"/>
    <w:rsid w:val="006A209F"/>
    <w:rsid w:val="006A26DD"/>
    <w:rsid w:val="006A463A"/>
    <w:rsid w:val="006A4D4E"/>
    <w:rsid w:val="006A5303"/>
    <w:rsid w:val="006A5EC7"/>
    <w:rsid w:val="006A6129"/>
    <w:rsid w:val="006A69BB"/>
    <w:rsid w:val="006A6C11"/>
    <w:rsid w:val="006A75E9"/>
    <w:rsid w:val="006B0431"/>
    <w:rsid w:val="006B0533"/>
    <w:rsid w:val="006B125E"/>
    <w:rsid w:val="006B31F0"/>
    <w:rsid w:val="006B330A"/>
    <w:rsid w:val="006B3491"/>
    <w:rsid w:val="006B58AC"/>
    <w:rsid w:val="006B600A"/>
    <w:rsid w:val="006B630A"/>
    <w:rsid w:val="006B7090"/>
    <w:rsid w:val="006B73ED"/>
    <w:rsid w:val="006B787D"/>
    <w:rsid w:val="006B7935"/>
    <w:rsid w:val="006B7C24"/>
    <w:rsid w:val="006B7EF9"/>
    <w:rsid w:val="006C08E1"/>
    <w:rsid w:val="006C1577"/>
    <w:rsid w:val="006C1A37"/>
    <w:rsid w:val="006C32AE"/>
    <w:rsid w:val="006C3578"/>
    <w:rsid w:val="006C3ED8"/>
    <w:rsid w:val="006C4380"/>
    <w:rsid w:val="006C4E57"/>
    <w:rsid w:val="006C4E66"/>
    <w:rsid w:val="006C5ACD"/>
    <w:rsid w:val="006C6300"/>
    <w:rsid w:val="006C6450"/>
    <w:rsid w:val="006C705D"/>
    <w:rsid w:val="006C7545"/>
    <w:rsid w:val="006C7748"/>
    <w:rsid w:val="006D02A1"/>
    <w:rsid w:val="006D0F77"/>
    <w:rsid w:val="006D1544"/>
    <w:rsid w:val="006D2061"/>
    <w:rsid w:val="006D2738"/>
    <w:rsid w:val="006D3082"/>
    <w:rsid w:val="006D36B7"/>
    <w:rsid w:val="006D395E"/>
    <w:rsid w:val="006D3A49"/>
    <w:rsid w:val="006D3E06"/>
    <w:rsid w:val="006D4688"/>
    <w:rsid w:val="006D4892"/>
    <w:rsid w:val="006D49B4"/>
    <w:rsid w:val="006D49CC"/>
    <w:rsid w:val="006D686D"/>
    <w:rsid w:val="006D6FD4"/>
    <w:rsid w:val="006D7FDF"/>
    <w:rsid w:val="006E02F3"/>
    <w:rsid w:val="006E076B"/>
    <w:rsid w:val="006E16F1"/>
    <w:rsid w:val="006E1E9A"/>
    <w:rsid w:val="006E33F5"/>
    <w:rsid w:val="006E359B"/>
    <w:rsid w:val="006E55AC"/>
    <w:rsid w:val="006E5863"/>
    <w:rsid w:val="006E60F6"/>
    <w:rsid w:val="006E629F"/>
    <w:rsid w:val="006E75BF"/>
    <w:rsid w:val="006E775F"/>
    <w:rsid w:val="006F09B5"/>
    <w:rsid w:val="006F0ED8"/>
    <w:rsid w:val="006F1349"/>
    <w:rsid w:val="006F201F"/>
    <w:rsid w:val="006F2C03"/>
    <w:rsid w:val="006F2D09"/>
    <w:rsid w:val="006F3B71"/>
    <w:rsid w:val="006F3D81"/>
    <w:rsid w:val="006F3F83"/>
    <w:rsid w:val="006F4225"/>
    <w:rsid w:val="006F43BE"/>
    <w:rsid w:val="006F4618"/>
    <w:rsid w:val="006F48B3"/>
    <w:rsid w:val="006F48B8"/>
    <w:rsid w:val="006F4ACE"/>
    <w:rsid w:val="006F4B38"/>
    <w:rsid w:val="006F51F8"/>
    <w:rsid w:val="006F553C"/>
    <w:rsid w:val="006F5924"/>
    <w:rsid w:val="006F6258"/>
    <w:rsid w:val="006F6388"/>
    <w:rsid w:val="006F6594"/>
    <w:rsid w:val="006F65E1"/>
    <w:rsid w:val="006F6CF4"/>
    <w:rsid w:val="006F79FE"/>
    <w:rsid w:val="006F7F8E"/>
    <w:rsid w:val="00701552"/>
    <w:rsid w:val="0070160A"/>
    <w:rsid w:val="00704432"/>
    <w:rsid w:val="00704497"/>
    <w:rsid w:val="00704FC6"/>
    <w:rsid w:val="00704FDE"/>
    <w:rsid w:val="00705448"/>
    <w:rsid w:val="00705BD4"/>
    <w:rsid w:val="00712293"/>
    <w:rsid w:val="007122EC"/>
    <w:rsid w:val="0071303C"/>
    <w:rsid w:val="007137ED"/>
    <w:rsid w:val="00714504"/>
    <w:rsid w:val="0071525E"/>
    <w:rsid w:val="0071576A"/>
    <w:rsid w:val="0071742A"/>
    <w:rsid w:val="00717796"/>
    <w:rsid w:val="007178DE"/>
    <w:rsid w:val="0072146C"/>
    <w:rsid w:val="00721491"/>
    <w:rsid w:val="00721D77"/>
    <w:rsid w:val="007226F5"/>
    <w:rsid w:val="00723A62"/>
    <w:rsid w:val="00724DB3"/>
    <w:rsid w:val="007250DD"/>
    <w:rsid w:val="00725BE9"/>
    <w:rsid w:val="00727A59"/>
    <w:rsid w:val="00730AB4"/>
    <w:rsid w:val="00730B34"/>
    <w:rsid w:val="00730E8F"/>
    <w:rsid w:val="00731D48"/>
    <w:rsid w:val="007325E4"/>
    <w:rsid w:val="00732B63"/>
    <w:rsid w:val="00732E7A"/>
    <w:rsid w:val="00732F04"/>
    <w:rsid w:val="00733110"/>
    <w:rsid w:val="00733D9F"/>
    <w:rsid w:val="00734484"/>
    <w:rsid w:val="007409DA"/>
    <w:rsid w:val="00741ED5"/>
    <w:rsid w:val="00742076"/>
    <w:rsid w:val="007435E3"/>
    <w:rsid w:val="00743807"/>
    <w:rsid w:val="00744914"/>
    <w:rsid w:val="00745136"/>
    <w:rsid w:val="00745A15"/>
    <w:rsid w:val="00745DD2"/>
    <w:rsid w:val="007507A0"/>
    <w:rsid w:val="00750A40"/>
    <w:rsid w:val="00750AC8"/>
    <w:rsid w:val="00750F7D"/>
    <w:rsid w:val="00751354"/>
    <w:rsid w:val="00751E51"/>
    <w:rsid w:val="007525B1"/>
    <w:rsid w:val="0075308D"/>
    <w:rsid w:val="00753252"/>
    <w:rsid w:val="00755335"/>
    <w:rsid w:val="0075566E"/>
    <w:rsid w:val="00756909"/>
    <w:rsid w:val="00756C42"/>
    <w:rsid w:val="00757967"/>
    <w:rsid w:val="00760508"/>
    <w:rsid w:val="0076099E"/>
    <w:rsid w:val="00760AFD"/>
    <w:rsid w:val="00760D10"/>
    <w:rsid w:val="00760F72"/>
    <w:rsid w:val="00761904"/>
    <w:rsid w:val="00762108"/>
    <w:rsid w:val="0076219A"/>
    <w:rsid w:val="007622E9"/>
    <w:rsid w:val="00762418"/>
    <w:rsid w:val="0076282D"/>
    <w:rsid w:val="00763267"/>
    <w:rsid w:val="007637CA"/>
    <w:rsid w:val="00764456"/>
    <w:rsid w:val="007649DB"/>
    <w:rsid w:val="00765D2B"/>
    <w:rsid w:val="00765E94"/>
    <w:rsid w:val="00767DFA"/>
    <w:rsid w:val="00767EF0"/>
    <w:rsid w:val="00770960"/>
    <w:rsid w:val="00770BA2"/>
    <w:rsid w:val="00770E38"/>
    <w:rsid w:val="00771FC9"/>
    <w:rsid w:val="0077254B"/>
    <w:rsid w:val="0077359F"/>
    <w:rsid w:val="007741CC"/>
    <w:rsid w:val="00774545"/>
    <w:rsid w:val="007751DE"/>
    <w:rsid w:val="00775411"/>
    <w:rsid w:val="00775532"/>
    <w:rsid w:val="00775D50"/>
    <w:rsid w:val="00775E2D"/>
    <w:rsid w:val="00775FBE"/>
    <w:rsid w:val="00776A00"/>
    <w:rsid w:val="00776AF1"/>
    <w:rsid w:val="007802C0"/>
    <w:rsid w:val="00780593"/>
    <w:rsid w:val="0078133D"/>
    <w:rsid w:val="00781B87"/>
    <w:rsid w:val="00781E34"/>
    <w:rsid w:val="00782F32"/>
    <w:rsid w:val="00784B8E"/>
    <w:rsid w:val="00785036"/>
    <w:rsid w:val="007851AE"/>
    <w:rsid w:val="00785785"/>
    <w:rsid w:val="00786623"/>
    <w:rsid w:val="00786796"/>
    <w:rsid w:val="00786BBC"/>
    <w:rsid w:val="00786FD1"/>
    <w:rsid w:val="00791418"/>
    <w:rsid w:val="00791DED"/>
    <w:rsid w:val="00791FB5"/>
    <w:rsid w:val="00792A7F"/>
    <w:rsid w:val="00792AA8"/>
    <w:rsid w:val="007932C0"/>
    <w:rsid w:val="00793A85"/>
    <w:rsid w:val="00793AAE"/>
    <w:rsid w:val="00793BA8"/>
    <w:rsid w:val="007948BF"/>
    <w:rsid w:val="00794972"/>
    <w:rsid w:val="00794A82"/>
    <w:rsid w:val="00794D5D"/>
    <w:rsid w:val="00796EE7"/>
    <w:rsid w:val="00797022"/>
    <w:rsid w:val="00797309"/>
    <w:rsid w:val="00797E83"/>
    <w:rsid w:val="007A2262"/>
    <w:rsid w:val="007A2A30"/>
    <w:rsid w:val="007A3ABE"/>
    <w:rsid w:val="007A3C38"/>
    <w:rsid w:val="007A4C71"/>
    <w:rsid w:val="007A4CB0"/>
    <w:rsid w:val="007A5B52"/>
    <w:rsid w:val="007A60F8"/>
    <w:rsid w:val="007A62C3"/>
    <w:rsid w:val="007A753A"/>
    <w:rsid w:val="007A7B6B"/>
    <w:rsid w:val="007B017E"/>
    <w:rsid w:val="007B0305"/>
    <w:rsid w:val="007B0ACD"/>
    <w:rsid w:val="007B1EE1"/>
    <w:rsid w:val="007B226B"/>
    <w:rsid w:val="007B341B"/>
    <w:rsid w:val="007B3F9F"/>
    <w:rsid w:val="007B4102"/>
    <w:rsid w:val="007B6073"/>
    <w:rsid w:val="007B651A"/>
    <w:rsid w:val="007B6648"/>
    <w:rsid w:val="007B6669"/>
    <w:rsid w:val="007B75A7"/>
    <w:rsid w:val="007C0433"/>
    <w:rsid w:val="007C095C"/>
    <w:rsid w:val="007C0E92"/>
    <w:rsid w:val="007C1431"/>
    <w:rsid w:val="007C18DD"/>
    <w:rsid w:val="007C2B7A"/>
    <w:rsid w:val="007C311B"/>
    <w:rsid w:val="007C3DC2"/>
    <w:rsid w:val="007C462E"/>
    <w:rsid w:val="007C4877"/>
    <w:rsid w:val="007C506B"/>
    <w:rsid w:val="007C5D3C"/>
    <w:rsid w:val="007C6C43"/>
    <w:rsid w:val="007D040C"/>
    <w:rsid w:val="007D0986"/>
    <w:rsid w:val="007D0BC3"/>
    <w:rsid w:val="007D17FE"/>
    <w:rsid w:val="007D250C"/>
    <w:rsid w:val="007D300C"/>
    <w:rsid w:val="007D3194"/>
    <w:rsid w:val="007D529B"/>
    <w:rsid w:val="007D59A7"/>
    <w:rsid w:val="007D698B"/>
    <w:rsid w:val="007D6B97"/>
    <w:rsid w:val="007D6BBF"/>
    <w:rsid w:val="007D7290"/>
    <w:rsid w:val="007D7A52"/>
    <w:rsid w:val="007D7BB6"/>
    <w:rsid w:val="007E131A"/>
    <w:rsid w:val="007E149E"/>
    <w:rsid w:val="007E161F"/>
    <w:rsid w:val="007E1FD0"/>
    <w:rsid w:val="007E23CD"/>
    <w:rsid w:val="007E2C1D"/>
    <w:rsid w:val="007E3BAB"/>
    <w:rsid w:val="007E4289"/>
    <w:rsid w:val="007E5491"/>
    <w:rsid w:val="007E57A7"/>
    <w:rsid w:val="007E5D35"/>
    <w:rsid w:val="007E5FA2"/>
    <w:rsid w:val="007E65A5"/>
    <w:rsid w:val="007F240B"/>
    <w:rsid w:val="007F296B"/>
    <w:rsid w:val="007F2B42"/>
    <w:rsid w:val="007F52A6"/>
    <w:rsid w:val="007F5789"/>
    <w:rsid w:val="007F5BDB"/>
    <w:rsid w:val="007F62EF"/>
    <w:rsid w:val="007F68DA"/>
    <w:rsid w:val="007F6A52"/>
    <w:rsid w:val="007F71C9"/>
    <w:rsid w:val="007F7975"/>
    <w:rsid w:val="007F7ECA"/>
    <w:rsid w:val="008004E7"/>
    <w:rsid w:val="0080196F"/>
    <w:rsid w:val="00801F3A"/>
    <w:rsid w:val="008022FB"/>
    <w:rsid w:val="0080276C"/>
    <w:rsid w:val="00803378"/>
    <w:rsid w:val="0080397F"/>
    <w:rsid w:val="00804462"/>
    <w:rsid w:val="0080591B"/>
    <w:rsid w:val="00805FC1"/>
    <w:rsid w:val="008060C8"/>
    <w:rsid w:val="008065A5"/>
    <w:rsid w:val="00806B52"/>
    <w:rsid w:val="00810F4A"/>
    <w:rsid w:val="00810F5C"/>
    <w:rsid w:val="00811031"/>
    <w:rsid w:val="0081154B"/>
    <w:rsid w:val="00811671"/>
    <w:rsid w:val="008116EB"/>
    <w:rsid w:val="00811EA6"/>
    <w:rsid w:val="00812723"/>
    <w:rsid w:val="008128E5"/>
    <w:rsid w:val="0081374F"/>
    <w:rsid w:val="00814302"/>
    <w:rsid w:val="00814A6A"/>
    <w:rsid w:val="00814ED4"/>
    <w:rsid w:val="008152E3"/>
    <w:rsid w:val="0081533C"/>
    <w:rsid w:val="0081557C"/>
    <w:rsid w:val="008159B1"/>
    <w:rsid w:val="00817BDF"/>
    <w:rsid w:val="00820282"/>
    <w:rsid w:val="00820651"/>
    <w:rsid w:val="00820A09"/>
    <w:rsid w:val="00820A70"/>
    <w:rsid w:val="0082117F"/>
    <w:rsid w:val="0082255F"/>
    <w:rsid w:val="00823971"/>
    <w:rsid w:val="008256F6"/>
    <w:rsid w:val="00825A8E"/>
    <w:rsid w:val="00825BEB"/>
    <w:rsid w:val="0082619C"/>
    <w:rsid w:val="008266DF"/>
    <w:rsid w:val="00826943"/>
    <w:rsid w:val="00827FFA"/>
    <w:rsid w:val="008316FA"/>
    <w:rsid w:val="00831A0D"/>
    <w:rsid w:val="00831EB8"/>
    <w:rsid w:val="008327E2"/>
    <w:rsid w:val="00832C9F"/>
    <w:rsid w:val="00832E2F"/>
    <w:rsid w:val="00833077"/>
    <w:rsid w:val="00833211"/>
    <w:rsid w:val="008334BA"/>
    <w:rsid w:val="0083425E"/>
    <w:rsid w:val="008346EE"/>
    <w:rsid w:val="00835B63"/>
    <w:rsid w:val="00836AD2"/>
    <w:rsid w:val="00836B7B"/>
    <w:rsid w:val="008375CC"/>
    <w:rsid w:val="008413E6"/>
    <w:rsid w:val="008415CC"/>
    <w:rsid w:val="008426B3"/>
    <w:rsid w:val="00842862"/>
    <w:rsid w:val="0084395D"/>
    <w:rsid w:val="00843B08"/>
    <w:rsid w:val="00843FB7"/>
    <w:rsid w:val="0084428A"/>
    <w:rsid w:val="00844A64"/>
    <w:rsid w:val="00845199"/>
    <w:rsid w:val="008460AC"/>
    <w:rsid w:val="008465D8"/>
    <w:rsid w:val="00847DFE"/>
    <w:rsid w:val="008500C6"/>
    <w:rsid w:val="008507D5"/>
    <w:rsid w:val="00851111"/>
    <w:rsid w:val="00851D32"/>
    <w:rsid w:val="00851D9B"/>
    <w:rsid w:val="008525CF"/>
    <w:rsid w:val="0085351B"/>
    <w:rsid w:val="008542CC"/>
    <w:rsid w:val="00856D72"/>
    <w:rsid w:val="0085791F"/>
    <w:rsid w:val="00860870"/>
    <w:rsid w:val="00860973"/>
    <w:rsid w:val="00860B77"/>
    <w:rsid w:val="0086183E"/>
    <w:rsid w:val="00861CEE"/>
    <w:rsid w:val="00861F2F"/>
    <w:rsid w:val="00862119"/>
    <w:rsid w:val="00862232"/>
    <w:rsid w:val="00863C3E"/>
    <w:rsid w:val="00864490"/>
    <w:rsid w:val="008648B5"/>
    <w:rsid w:val="00864C83"/>
    <w:rsid w:val="00865250"/>
    <w:rsid w:val="00865540"/>
    <w:rsid w:val="00865A78"/>
    <w:rsid w:val="0086641A"/>
    <w:rsid w:val="00866B48"/>
    <w:rsid w:val="00867043"/>
    <w:rsid w:val="00867CA0"/>
    <w:rsid w:val="00867F68"/>
    <w:rsid w:val="00870904"/>
    <w:rsid w:val="00871962"/>
    <w:rsid w:val="008719B6"/>
    <w:rsid w:val="00871A5B"/>
    <w:rsid w:val="008724A0"/>
    <w:rsid w:val="00873284"/>
    <w:rsid w:val="008737D3"/>
    <w:rsid w:val="008738F5"/>
    <w:rsid w:val="00873E0E"/>
    <w:rsid w:val="00874B04"/>
    <w:rsid w:val="00874B72"/>
    <w:rsid w:val="00875C0B"/>
    <w:rsid w:val="00875CC4"/>
    <w:rsid w:val="00875DAB"/>
    <w:rsid w:val="008760D3"/>
    <w:rsid w:val="0087667A"/>
    <w:rsid w:val="00876BE3"/>
    <w:rsid w:val="0087735E"/>
    <w:rsid w:val="00877CBF"/>
    <w:rsid w:val="0088022B"/>
    <w:rsid w:val="00882118"/>
    <w:rsid w:val="008828D7"/>
    <w:rsid w:val="00882D53"/>
    <w:rsid w:val="00882E9E"/>
    <w:rsid w:val="00883078"/>
    <w:rsid w:val="00883437"/>
    <w:rsid w:val="008834C5"/>
    <w:rsid w:val="0088353F"/>
    <w:rsid w:val="00883628"/>
    <w:rsid w:val="00883768"/>
    <w:rsid w:val="008837BE"/>
    <w:rsid w:val="008837E9"/>
    <w:rsid w:val="00883C24"/>
    <w:rsid w:val="00884517"/>
    <w:rsid w:val="008846AA"/>
    <w:rsid w:val="00884DB5"/>
    <w:rsid w:val="0088519D"/>
    <w:rsid w:val="008852A3"/>
    <w:rsid w:val="008853F8"/>
    <w:rsid w:val="00885777"/>
    <w:rsid w:val="00886A1D"/>
    <w:rsid w:val="00886C08"/>
    <w:rsid w:val="00886D7B"/>
    <w:rsid w:val="00887103"/>
    <w:rsid w:val="008874B2"/>
    <w:rsid w:val="0089144A"/>
    <w:rsid w:val="008917B5"/>
    <w:rsid w:val="00892F3E"/>
    <w:rsid w:val="008949F7"/>
    <w:rsid w:val="008953BD"/>
    <w:rsid w:val="0089579F"/>
    <w:rsid w:val="00896904"/>
    <w:rsid w:val="00896DA2"/>
    <w:rsid w:val="00897899"/>
    <w:rsid w:val="008A1E94"/>
    <w:rsid w:val="008A2554"/>
    <w:rsid w:val="008A3A5D"/>
    <w:rsid w:val="008A4628"/>
    <w:rsid w:val="008A4710"/>
    <w:rsid w:val="008A57B3"/>
    <w:rsid w:val="008A5971"/>
    <w:rsid w:val="008A6F7D"/>
    <w:rsid w:val="008A74E6"/>
    <w:rsid w:val="008A7F5B"/>
    <w:rsid w:val="008B0EF0"/>
    <w:rsid w:val="008B1271"/>
    <w:rsid w:val="008B2D65"/>
    <w:rsid w:val="008B2EE7"/>
    <w:rsid w:val="008B3D70"/>
    <w:rsid w:val="008B47CB"/>
    <w:rsid w:val="008B4B93"/>
    <w:rsid w:val="008B51D7"/>
    <w:rsid w:val="008B5B5C"/>
    <w:rsid w:val="008B6A6C"/>
    <w:rsid w:val="008B78A3"/>
    <w:rsid w:val="008B79CD"/>
    <w:rsid w:val="008C0D72"/>
    <w:rsid w:val="008C15BB"/>
    <w:rsid w:val="008C1A37"/>
    <w:rsid w:val="008C1B0F"/>
    <w:rsid w:val="008C25BE"/>
    <w:rsid w:val="008C28E5"/>
    <w:rsid w:val="008C3A18"/>
    <w:rsid w:val="008C3DA7"/>
    <w:rsid w:val="008C40C5"/>
    <w:rsid w:val="008C46ED"/>
    <w:rsid w:val="008C4E5F"/>
    <w:rsid w:val="008C649B"/>
    <w:rsid w:val="008C6886"/>
    <w:rsid w:val="008C6C82"/>
    <w:rsid w:val="008D01E0"/>
    <w:rsid w:val="008D15F7"/>
    <w:rsid w:val="008D1E3B"/>
    <w:rsid w:val="008D1FDE"/>
    <w:rsid w:val="008D348A"/>
    <w:rsid w:val="008D351D"/>
    <w:rsid w:val="008D3C53"/>
    <w:rsid w:val="008D3CDC"/>
    <w:rsid w:val="008D49AF"/>
    <w:rsid w:val="008D521E"/>
    <w:rsid w:val="008D558D"/>
    <w:rsid w:val="008D5AAC"/>
    <w:rsid w:val="008D6060"/>
    <w:rsid w:val="008D6417"/>
    <w:rsid w:val="008D708E"/>
    <w:rsid w:val="008D7608"/>
    <w:rsid w:val="008D79C8"/>
    <w:rsid w:val="008D7C6E"/>
    <w:rsid w:val="008E0DD4"/>
    <w:rsid w:val="008E14A0"/>
    <w:rsid w:val="008E154A"/>
    <w:rsid w:val="008E1C45"/>
    <w:rsid w:val="008E1C9B"/>
    <w:rsid w:val="008E2389"/>
    <w:rsid w:val="008E242E"/>
    <w:rsid w:val="008E3472"/>
    <w:rsid w:val="008E4D15"/>
    <w:rsid w:val="008E603C"/>
    <w:rsid w:val="008E6367"/>
    <w:rsid w:val="008E647B"/>
    <w:rsid w:val="008E7B61"/>
    <w:rsid w:val="008E7F3E"/>
    <w:rsid w:val="008F01E5"/>
    <w:rsid w:val="008F0504"/>
    <w:rsid w:val="008F056F"/>
    <w:rsid w:val="008F0C8E"/>
    <w:rsid w:val="008F17AF"/>
    <w:rsid w:val="008F1802"/>
    <w:rsid w:val="008F1EDD"/>
    <w:rsid w:val="008F34B5"/>
    <w:rsid w:val="008F3AE2"/>
    <w:rsid w:val="008F4E02"/>
    <w:rsid w:val="008F5176"/>
    <w:rsid w:val="008F531D"/>
    <w:rsid w:val="008F5516"/>
    <w:rsid w:val="008F5950"/>
    <w:rsid w:val="008F6221"/>
    <w:rsid w:val="008F6428"/>
    <w:rsid w:val="008F722B"/>
    <w:rsid w:val="008F777B"/>
    <w:rsid w:val="008F7CCE"/>
    <w:rsid w:val="0090220F"/>
    <w:rsid w:val="009030EE"/>
    <w:rsid w:val="00903C39"/>
    <w:rsid w:val="00904641"/>
    <w:rsid w:val="00904E4D"/>
    <w:rsid w:val="00905DAA"/>
    <w:rsid w:val="00906464"/>
    <w:rsid w:val="009064E2"/>
    <w:rsid w:val="0090683B"/>
    <w:rsid w:val="009077C7"/>
    <w:rsid w:val="00907FA9"/>
    <w:rsid w:val="009115E3"/>
    <w:rsid w:val="0091220E"/>
    <w:rsid w:val="00913243"/>
    <w:rsid w:val="009132DB"/>
    <w:rsid w:val="009132FB"/>
    <w:rsid w:val="0091465A"/>
    <w:rsid w:val="009146C1"/>
    <w:rsid w:val="00914E89"/>
    <w:rsid w:val="00915DC6"/>
    <w:rsid w:val="009175DE"/>
    <w:rsid w:val="0091788C"/>
    <w:rsid w:val="00920216"/>
    <w:rsid w:val="00920380"/>
    <w:rsid w:val="00920463"/>
    <w:rsid w:val="00920D1A"/>
    <w:rsid w:val="009231E5"/>
    <w:rsid w:val="009238C7"/>
    <w:rsid w:val="00923D68"/>
    <w:rsid w:val="009245CA"/>
    <w:rsid w:val="009261A6"/>
    <w:rsid w:val="00926DC4"/>
    <w:rsid w:val="00926E4D"/>
    <w:rsid w:val="0093202E"/>
    <w:rsid w:val="00932DCD"/>
    <w:rsid w:val="0093352D"/>
    <w:rsid w:val="00933E39"/>
    <w:rsid w:val="0093461C"/>
    <w:rsid w:val="00934922"/>
    <w:rsid w:val="009351E4"/>
    <w:rsid w:val="00935377"/>
    <w:rsid w:val="00935AB0"/>
    <w:rsid w:val="00936389"/>
    <w:rsid w:val="009376E6"/>
    <w:rsid w:val="009376FF"/>
    <w:rsid w:val="009378F7"/>
    <w:rsid w:val="00940185"/>
    <w:rsid w:val="00940339"/>
    <w:rsid w:val="00940BCD"/>
    <w:rsid w:val="0094115A"/>
    <w:rsid w:val="00941279"/>
    <w:rsid w:val="00941AC3"/>
    <w:rsid w:val="00941D97"/>
    <w:rsid w:val="00941EAD"/>
    <w:rsid w:val="00941FD4"/>
    <w:rsid w:val="009427F2"/>
    <w:rsid w:val="00943101"/>
    <w:rsid w:val="00943A81"/>
    <w:rsid w:val="00944126"/>
    <w:rsid w:val="00944881"/>
    <w:rsid w:val="009462D5"/>
    <w:rsid w:val="00946BFA"/>
    <w:rsid w:val="009471F6"/>
    <w:rsid w:val="00947588"/>
    <w:rsid w:val="009516B6"/>
    <w:rsid w:val="0095247E"/>
    <w:rsid w:val="0095280A"/>
    <w:rsid w:val="00953260"/>
    <w:rsid w:val="00953EB6"/>
    <w:rsid w:val="00954301"/>
    <w:rsid w:val="0095456C"/>
    <w:rsid w:val="009547B3"/>
    <w:rsid w:val="0095593D"/>
    <w:rsid w:val="00956905"/>
    <w:rsid w:val="0095725C"/>
    <w:rsid w:val="00957321"/>
    <w:rsid w:val="0095762E"/>
    <w:rsid w:val="00961395"/>
    <w:rsid w:val="009614C6"/>
    <w:rsid w:val="009615A1"/>
    <w:rsid w:val="00962BFB"/>
    <w:rsid w:val="00962E1C"/>
    <w:rsid w:val="0096349D"/>
    <w:rsid w:val="009641EA"/>
    <w:rsid w:val="009642B3"/>
    <w:rsid w:val="00964371"/>
    <w:rsid w:val="00964954"/>
    <w:rsid w:val="00964AA4"/>
    <w:rsid w:val="00966DEC"/>
    <w:rsid w:val="009671F0"/>
    <w:rsid w:val="009672DD"/>
    <w:rsid w:val="00970266"/>
    <w:rsid w:val="00970629"/>
    <w:rsid w:val="0097095E"/>
    <w:rsid w:val="00971419"/>
    <w:rsid w:val="00972CD5"/>
    <w:rsid w:val="009737CB"/>
    <w:rsid w:val="00974244"/>
    <w:rsid w:val="00974D2E"/>
    <w:rsid w:val="00974DBC"/>
    <w:rsid w:val="009752D9"/>
    <w:rsid w:val="00975AD7"/>
    <w:rsid w:val="00976141"/>
    <w:rsid w:val="009761D3"/>
    <w:rsid w:val="0097673B"/>
    <w:rsid w:val="00980067"/>
    <w:rsid w:val="00981384"/>
    <w:rsid w:val="009824FD"/>
    <w:rsid w:val="009827DB"/>
    <w:rsid w:val="00984E55"/>
    <w:rsid w:val="00985549"/>
    <w:rsid w:val="00985D6C"/>
    <w:rsid w:val="00987C7D"/>
    <w:rsid w:val="00987DFA"/>
    <w:rsid w:val="00990380"/>
    <w:rsid w:val="00990BC0"/>
    <w:rsid w:val="0099102F"/>
    <w:rsid w:val="009913C8"/>
    <w:rsid w:val="009921DB"/>
    <w:rsid w:val="00993EC9"/>
    <w:rsid w:val="009940EF"/>
    <w:rsid w:val="009942BD"/>
    <w:rsid w:val="00994A8D"/>
    <w:rsid w:val="00994D06"/>
    <w:rsid w:val="00995CC9"/>
    <w:rsid w:val="00995FD0"/>
    <w:rsid w:val="00997111"/>
    <w:rsid w:val="00997864"/>
    <w:rsid w:val="00997CF0"/>
    <w:rsid w:val="009A031B"/>
    <w:rsid w:val="009A0BBC"/>
    <w:rsid w:val="009A1052"/>
    <w:rsid w:val="009A1796"/>
    <w:rsid w:val="009A3AC3"/>
    <w:rsid w:val="009A5AFD"/>
    <w:rsid w:val="009A5D08"/>
    <w:rsid w:val="009A6E39"/>
    <w:rsid w:val="009A6EFD"/>
    <w:rsid w:val="009A7024"/>
    <w:rsid w:val="009B0A47"/>
    <w:rsid w:val="009B1EC2"/>
    <w:rsid w:val="009B20BC"/>
    <w:rsid w:val="009B2993"/>
    <w:rsid w:val="009B39DC"/>
    <w:rsid w:val="009B4354"/>
    <w:rsid w:val="009B486B"/>
    <w:rsid w:val="009B57B5"/>
    <w:rsid w:val="009B599F"/>
    <w:rsid w:val="009B5F87"/>
    <w:rsid w:val="009B61E7"/>
    <w:rsid w:val="009B761A"/>
    <w:rsid w:val="009B7A93"/>
    <w:rsid w:val="009C0087"/>
    <w:rsid w:val="009C013F"/>
    <w:rsid w:val="009C029F"/>
    <w:rsid w:val="009C0D62"/>
    <w:rsid w:val="009C2BC5"/>
    <w:rsid w:val="009C32FC"/>
    <w:rsid w:val="009C46A9"/>
    <w:rsid w:val="009C493F"/>
    <w:rsid w:val="009C4B03"/>
    <w:rsid w:val="009C4D7B"/>
    <w:rsid w:val="009C50C6"/>
    <w:rsid w:val="009C62CE"/>
    <w:rsid w:val="009C6ABE"/>
    <w:rsid w:val="009C6E72"/>
    <w:rsid w:val="009C7010"/>
    <w:rsid w:val="009C785D"/>
    <w:rsid w:val="009D03F1"/>
    <w:rsid w:val="009D0656"/>
    <w:rsid w:val="009D1451"/>
    <w:rsid w:val="009D1B3E"/>
    <w:rsid w:val="009D23FF"/>
    <w:rsid w:val="009D3C3F"/>
    <w:rsid w:val="009D4D67"/>
    <w:rsid w:val="009D6061"/>
    <w:rsid w:val="009D635B"/>
    <w:rsid w:val="009D66DC"/>
    <w:rsid w:val="009D7F43"/>
    <w:rsid w:val="009D7F6F"/>
    <w:rsid w:val="009E0393"/>
    <w:rsid w:val="009E07D3"/>
    <w:rsid w:val="009E134D"/>
    <w:rsid w:val="009E1639"/>
    <w:rsid w:val="009E174D"/>
    <w:rsid w:val="009E208B"/>
    <w:rsid w:val="009E28AD"/>
    <w:rsid w:val="009E29C8"/>
    <w:rsid w:val="009E2E2D"/>
    <w:rsid w:val="009E3455"/>
    <w:rsid w:val="009E4F92"/>
    <w:rsid w:val="009E5048"/>
    <w:rsid w:val="009E50D6"/>
    <w:rsid w:val="009E5676"/>
    <w:rsid w:val="009E728A"/>
    <w:rsid w:val="009E734B"/>
    <w:rsid w:val="009F0033"/>
    <w:rsid w:val="009F06F2"/>
    <w:rsid w:val="009F0703"/>
    <w:rsid w:val="009F1729"/>
    <w:rsid w:val="009F17D4"/>
    <w:rsid w:val="009F1CA9"/>
    <w:rsid w:val="009F24F2"/>
    <w:rsid w:val="009F27BF"/>
    <w:rsid w:val="009F2DBA"/>
    <w:rsid w:val="009F3606"/>
    <w:rsid w:val="009F46C6"/>
    <w:rsid w:val="009F5346"/>
    <w:rsid w:val="009F6251"/>
    <w:rsid w:val="009F635E"/>
    <w:rsid w:val="009F7FBF"/>
    <w:rsid w:val="00A016CA"/>
    <w:rsid w:val="00A0233F"/>
    <w:rsid w:val="00A024DF"/>
    <w:rsid w:val="00A0276F"/>
    <w:rsid w:val="00A02C5D"/>
    <w:rsid w:val="00A02F13"/>
    <w:rsid w:val="00A0367E"/>
    <w:rsid w:val="00A036DF"/>
    <w:rsid w:val="00A03D39"/>
    <w:rsid w:val="00A044E8"/>
    <w:rsid w:val="00A04DBC"/>
    <w:rsid w:val="00A053DF"/>
    <w:rsid w:val="00A06C57"/>
    <w:rsid w:val="00A07534"/>
    <w:rsid w:val="00A128EC"/>
    <w:rsid w:val="00A1313F"/>
    <w:rsid w:val="00A140D3"/>
    <w:rsid w:val="00A1446B"/>
    <w:rsid w:val="00A145BD"/>
    <w:rsid w:val="00A14EFF"/>
    <w:rsid w:val="00A14F0B"/>
    <w:rsid w:val="00A1640B"/>
    <w:rsid w:val="00A16534"/>
    <w:rsid w:val="00A167F2"/>
    <w:rsid w:val="00A16EAA"/>
    <w:rsid w:val="00A17243"/>
    <w:rsid w:val="00A17710"/>
    <w:rsid w:val="00A17EFE"/>
    <w:rsid w:val="00A200B4"/>
    <w:rsid w:val="00A2076B"/>
    <w:rsid w:val="00A20C78"/>
    <w:rsid w:val="00A22312"/>
    <w:rsid w:val="00A227D4"/>
    <w:rsid w:val="00A2312E"/>
    <w:rsid w:val="00A239D5"/>
    <w:rsid w:val="00A24323"/>
    <w:rsid w:val="00A245CC"/>
    <w:rsid w:val="00A24617"/>
    <w:rsid w:val="00A248DA"/>
    <w:rsid w:val="00A249BE"/>
    <w:rsid w:val="00A2512C"/>
    <w:rsid w:val="00A2515B"/>
    <w:rsid w:val="00A254B9"/>
    <w:rsid w:val="00A2588E"/>
    <w:rsid w:val="00A25BCE"/>
    <w:rsid w:val="00A26EDF"/>
    <w:rsid w:val="00A30A20"/>
    <w:rsid w:val="00A31082"/>
    <w:rsid w:val="00A315DE"/>
    <w:rsid w:val="00A31F4C"/>
    <w:rsid w:val="00A32223"/>
    <w:rsid w:val="00A34789"/>
    <w:rsid w:val="00A34DD9"/>
    <w:rsid w:val="00A35B88"/>
    <w:rsid w:val="00A3630E"/>
    <w:rsid w:val="00A3726B"/>
    <w:rsid w:val="00A37AE9"/>
    <w:rsid w:val="00A37BB8"/>
    <w:rsid w:val="00A37D74"/>
    <w:rsid w:val="00A40F08"/>
    <w:rsid w:val="00A418C1"/>
    <w:rsid w:val="00A41FF8"/>
    <w:rsid w:val="00A423D2"/>
    <w:rsid w:val="00A42D87"/>
    <w:rsid w:val="00A42EC2"/>
    <w:rsid w:val="00A43407"/>
    <w:rsid w:val="00A43CA3"/>
    <w:rsid w:val="00A4424F"/>
    <w:rsid w:val="00A44A27"/>
    <w:rsid w:val="00A44BD3"/>
    <w:rsid w:val="00A44FEB"/>
    <w:rsid w:val="00A4521D"/>
    <w:rsid w:val="00A4560E"/>
    <w:rsid w:val="00A46108"/>
    <w:rsid w:val="00A46355"/>
    <w:rsid w:val="00A46D6F"/>
    <w:rsid w:val="00A50D74"/>
    <w:rsid w:val="00A51047"/>
    <w:rsid w:val="00A51F0A"/>
    <w:rsid w:val="00A53B81"/>
    <w:rsid w:val="00A54EF2"/>
    <w:rsid w:val="00A559DF"/>
    <w:rsid w:val="00A55D48"/>
    <w:rsid w:val="00A55FFA"/>
    <w:rsid w:val="00A57BEB"/>
    <w:rsid w:val="00A61673"/>
    <w:rsid w:val="00A61D6D"/>
    <w:rsid w:val="00A62CF7"/>
    <w:rsid w:val="00A63345"/>
    <w:rsid w:val="00A6452C"/>
    <w:rsid w:val="00A64926"/>
    <w:rsid w:val="00A64F4F"/>
    <w:rsid w:val="00A65616"/>
    <w:rsid w:val="00A657DC"/>
    <w:rsid w:val="00A65DF3"/>
    <w:rsid w:val="00A665CF"/>
    <w:rsid w:val="00A66898"/>
    <w:rsid w:val="00A66B34"/>
    <w:rsid w:val="00A67CA7"/>
    <w:rsid w:val="00A72084"/>
    <w:rsid w:val="00A7256F"/>
    <w:rsid w:val="00A728D9"/>
    <w:rsid w:val="00A72F87"/>
    <w:rsid w:val="00A73989"/>
    <w:rsid w:val="00A749F5"/>
    <w:rsid w:val="00A74FA8"/>
    <w:rsid w:val="00A75163"/>
    <w:rsid w:val="00A7570C"/>
    <w:rsid w:val="00A759A6"/>
    <w:rsid w:val="00A75A1E"/>
    <w:rsid w:val="00A7662E"/>
    <w:rsid w:val="00A7752F"/>
    <w:rsid w:val="00A77DAF"/>
    <w:rsid w:val="00A803C5"/>
    <w:rsid w:val="00A80E2B"/>
    <w:rsid w:val="00A839F3"/>
    <w:rsid w:val="00A83C59"/>
    <w:rsid w:val="00A83C5C"/>
    <w:rsid w:val="00A84F1C"/>
    <w:rsid w:val="00A84FDE"/>
    <w:rsid w:val="00A85C35"/>
    <w:rsid w:val="00A9038F"/>
    <w:rsid w:val="00A91152"/>
    <w:rsid w:val="00A91AA7"/>
    <w:rsid w:val="00A92061"/>
    <w:rsid w:val="00A92A82"/>
    <w:rsid w:val="00A94249"/>
    <w:rsid w:val="00A94BC9"/>
    <w:rsid w:val="00A94C76"/>
    <w:rsid w:val="00A95646"/>
    <w:rsid w:val="00A959BC"/>
    <w:rsid w:val="00A95B37"/>
    <w:rsid w:val="00AA0BDD"/>
    <w:rsid w:val="00AA0D28"/>
    <w:rsid w:val="00AA23E4"/>
    <w:rsid w:val="00AA2562"/>
    <w:rsid w:val="00AA27C3"/>
    <w:rsid w:val="00AA29D0"/>
    <w:rsid w:val="00AA3C60"/>
    <w:rsid w:val="00AA47F4"/>
    <w:rsid w:val="00AA4B38"/>
    <w:rsid w:val="00AA5FC4"/>
    <w:rsid w:val="00AA62D3"/>
    <w:rsid w:val="00AA6D34"/>
    <w:rsid w:val="00AA7E88"/>
    <w:rsid w:val="00AB001F"/>
    <w:rsid w:val="00AB1D11"/>
    <w:rsid w:val="00AB23F1"/>
    <w:rsid w:val="00AB2747"/>
    <w:rsid w:val="00AB2FF4"/>
    <w:rsid w:val="00AB47BA"/>
    <w:rsid w:val="00AB56C3"/>
    <w:rsid w:val="00AB5F8C"/>
    <w:rsid w:val="00AB5F9C"/>
    <w:rsid w:val="00AB6CAC"/>
    <w:rsid w:val="00AC1AD6"/>
    <w:rsid w:val="00AC1D05"/>
    <w:rsid w:val="00AC299F"/>
    <w:rsid w:val="00AC29FD"/>
    <w:rsid w:val="00AC3ED4"/>
    <w:rsid w:val="00AC6316"/>
    <w:rsid w:val="00AC6508"/>
    <w:rsid w:val="00AC70AD"/>
    <w:rsid w:val="00AC7FA8"/>
    <w:rsid w:val="00AD08F4"/>
    <w:rsid w:val="00AD0ACA"/>
    <w:rsid w:val="00AD1C47"/>
    <w:rsid w:val="00AD35A6"/>
    <w:rsid w:val="00AD4DFA"/>
    <w:rsid w:val="00AD5CA4"/>
    <w:rsid w:val="00AD645D"/>
    <w:rsid w:val="00AD64DF"/>
    <w:rsid w:val="00AD686C"/>
    <w:rsid w:val="00AD686F"/>
    <w:rsid w:val="00AD6A96"/>
    <w:rsid w:val="00AD7611"/>
    <w:rsid w:val="00AD76AF"/>
    <w:rsid w:val="00AD7983"/>
    <w:rsid w:val="00AD7E17"/>
    <w:rsid w:val="00AE00DF"/>
    <w:rsid w:val="00AE1025"/>
    <w:rsid w:val="00AE1E22"/>
    <w:rsid w:val="00AE3F03"/>
    <w:rsid w:val="00AE4CFE"/>
    <w:rsid w:val="00AE5DEA"/>
    <w:rsid w:val="00AE64F0"/>
    <w:rsid w:val="00AE714D"/>
    <w:rsid w:val="00AF1E87"/>
    <w:rsid w:val="00AF1FD9"/>
    <w:rsid w:val="00AF23C8"/>
    <w:rsid w:val="00AF2AE2"/>
    <w:rsid w:val="00AF3791"/>
    <w:rsid w:val="00AF3E28"/>
    <w:rsid w:val="00AF412D"/>
    <w:rsid w:val="00AF4A24"/>
    <w:rsid w:val="00AF504B"/>
    <w:rsid w:val="00AF51BF"/>
    <w:rsid w:val="00AF5B05"/>
    <w:rsid w:val="00B007D4"/>
    <w:rsid w:val="00B0252D"/>
    <w:rsid w:val="00B02830"/>
    <w:rsid w:val="00B0377E"/>
    <w:rsid w:val="00B04F01"/>
    <w:rsid w:val="00B05588"/>
    <w:rsid w:val="00B06B51"/>
    <w:rsid w:val="00B06B53"/>
    <w:rsid w:val="00B072B0"/>
    <w:rsid w:val="00B07773"/>
    <w:rsid w:val="00B0788B"/>
    <w:rsid w:val="00B07BA9"/>
    <w:rsid w:val="00B10055"/>
    <w:rsid w:val="00B105DB"/>
    <w:rsid w:val="00B1141E"/>
    <w:rsid w:val="00B11930"/>
    <w:rsid w:val="00B11B3C"/>
    <w:rsid w:val="00B1278B"/>
    <w:rsid w:val="00B1323E"/>
    <w:rsid w:val="00B13578"/>
    <w:rsid w:val="00B164A4"/>
    <w:rsid w:val="00B16549"/>
    <w:rsid w:val="00B165E6"/>
    <w:rsid w:val="00B17295"/>
    <w:rsid w:val="00B175D4"/>
    <w:rsid w:val="00B17B78"/>
    <w:rsid w:val="00B20E9C"/>
    <w:rsid w:val="00B212EE"/>
    <w:rsid w:val="00B215F5"/>
    <w:rsid w:val="00B2179A"/>
    <w:rsid w:val="00B2577C"/>
    <w:rsid w:val="00B25CE0"/>
    <w:rsid w:val="00B261F3"/>
    <w:rsid w:val="00B26327"/>
    <w:rsid w:val="00B26B62"/>
    <w:rsid w:val="00B26DC1"/>
    <w:rsid w:val="00B274A7"/>
    <w:rsid w:val="00B27584"/>
    <w:rsid w:val="00B27644"/>
    <w:rsid w:val="00B278A3"/>
    <w:rsid w:val="00B27A54"/>
    <w:rsid w:val="00B30783"/>
    <w:rsid w:val="00B31071"/>
    <w:rsid w:val="00B31144"/>
    <w:rsid w:val="00B3138D"/>
    <w:rsid w:val="00B31A36"/>
    <w:rsid w:val="00B32CAA"/>
    <w:rsid w:val="00B332C6"/>
    <w:rsid w:val="00B33806"/>
    <w:rsid w:val="00B34FFA"/>
    <w:rsid w:val="00B35B28"/>
    <w:rsid w:val="00B36010"/>
    <w:rsid w:val="00B36385"/>
    <w:rsid w:val="00B364FD"/>
    <w:rsid w:val="00B373FF"/>
    <w:rsid w:val="00B4069D"/>
    <w:rsid w:val="00B40761"/>
    <w:rsid w:val="00B4197B"/>
    <w:rsid w:val="00B41B14"/>
    <w:rsid w:val="00B41F0F"/>
    <w:rsid w:val="00B422E4"/>
    <w:rsid w:val="00B42560"/>
    <w:rsid w:val="00B42CF5"/>
    <w:rsid w:val="00B448AB"/>
    <w:rsid w:val="00B455AA"/>
    <w:rsid w:val="00B45778"/>
    <w:rsid w:val="00B457A1"/>
    <w:rsid w:val="00B45B25"/>
    <w:rsid w:val="00B45BD9"/>
    <w:rsid w:val="00B4630F"/>
    <w:rsid w:val="00B464B1"/>
    <w:rsid w:val="00B46AF3"/>
    <w:rsid w:val="00B47A4A"/>
    <w:rsid w:val="00B47B99"/>
    <w:rsid w:val="00B506F2"/>
    <w:rsid w:val="00B510E3"/>
    <w:rsid w:val="00B521AC"/>
    <w:rsid w:val="00B52702"/>
    <w:rsid w:val="00B52CF5"/>
    <w:rsid w:val="00B52D70"/>
    <w:rsid w:val="00B53B1E"/>
    <w:rsid w:val="00B5498D"/>
    <w:rsid w:val="00B54C57"/>
    <w:rsid w:val="00B5501D"/>
    <w:rsid w:val="00B570FC"/>
    <w:rsid w:val="00B5778F"/>
    <w:rsid w:val="00B60267"/>
    <w:rsid w:val="00B60716"/>
    <w:rsid w:val="00B60916"/>
    <w:rsid w:val="00B60D2B"/>
    <w:rsid w:val="00B6151E"/>
    <w:rsid w:val="00B62515"/>
    <w:rsid w:val="00B64962"/>
    <w:rsid w:val="00B64F6E"/>
    <w:rsid w:val="00B655F3"/>
    <w:rsid w:val="00B65630"/>
    <w:rsid w:val="00B65E19"/>
    <w:rsid w:val="00B66086"/>
    <w:rsid w:val="00B66C80"/>
    <w:rsid w:val="00B67155"/>
    <w:rsid w:val="00B676EC"/>
    <w:rsid w:val="00B7016C"/>
    <w:rsid w:val="00B7039B"/>
    <w:rsid w:val="00B71C59"/>
    <w:rsid w:val="00B72B38"/>
    <w:rsid w:val="00B74876"/>
    <w:rsid w:val="00B7492C"/>
    <w:rsid w:val="00B74D1E"/>
    <w:rsid w:val="00B7584C"/>
    <w:rsid w:val="00B75B04"/>
    <w:rsid w:val="00B75FDF"/>
    <w:rsid w:val="00B7684E"/>
    <w:rsid w:val="00B76A18"/>
    <w:rsid w:val="00B76B12"/>
    <w:rsid w:val="00B77E7F"/>
    <w:rsid w:val="00B806BE"/>
    <w:rsid w:val="00B82280"/>
    <w:rsid w:val="00B82F54"/>
    <w:rsid w:val="00B82F84"/>
    <w:rsid w:val="00B833DF"/>
    <w:rsid w:val="00B83808"/>
    <w:rsid w:val="00B84127"/>
    <w:rsid w:val="00B84C59"/>
    <w:rsid w:val="00B84C6C"/>
    <w:rsid w:val="00B857E6"/>
    <w:rsid w:val="00B861D8"/>
    <w:rsid w:val="00B86A0B"/>
    <w:rsid w:val="00B871DF"/>
    <w:rsid w:val="00B87F4C"/>
    <w:rsid w:val="00B905F9"/>
    <w:rsid w:val="00B90811"/>
    <w:rsid w:val="00B909DF"/>
    <w:rsid w:val="00B9231D"/>
    <w:rsid w:val="00B92687"/>
    <w:rsid w:val="00B92923"/>
    <w:rsid w:val="00B931D4"/>
    <w:rsid w:val="00B93B88"/>
    <w:rsid w:val="00B94248"/>
    <w:rsid w:val="00B942A1"/>
    <w:rsid w:val="00B94B4F"/>
    <w:rsid w:val="00B968C6"/>
    <w:rsid w:val="00B976F6"/>
    <w:rsid w:val="00BA0879"/>
    <w:rsid w:val="00BA1961"/>
    <w:rsid w:val="00BA59C5"/>
    <w:rsid w:val="00BA5F41"/>
    <w:rsid w:val="00BA61CF"/>
    <w:rsid w:val="00BA7385"/>
    <w:rsid w:val="00BA74DB"/>
    <w:rsid w:val="00BB02B1"/>
    <w:rsid w:val="00BB187C"/>
    <w:rsid w:val="00BB1A8A"/>
    <w:rsid w:val="00BB296B"/>
    <w:rsid w:val="00BB2A9C"/>
    <w:rsid w:val="00BB3622"/>
    <w:rsid w:val="00BB3AF0"/>
    <w:rsid w:val="00BB3B1C"/>
    <w:rsid w:val="00BB55C2"/>
    <w:rsid w:val="00BB58CD"/>
    <w:rsid w:val="00BB60EF"/>
    <w:rsid w:val="00BB67B1"/>
    <w:rsid w:val="00BB682C"/>
    <w:rsid w:val="00BB73D9"/>
    <w:rsid w:val="00BB7CA9"/>
    <w:rsid w:val="00BC211E"/>
    <w:rsid w:val="00BC236B"/>
    <w:rsid w:val="00BC27DF"/>
    <w:rsid w:val="00BC2BB4"/>
    <w:rsid w:val="00BC2F1C"/>
    <w:rsid w:val="00BC4C27"/>
    <w:rsid w:val="00BC4D78"/>
    <w:rsid w:val="00BC5B56"/>
    <w:rsid w:val="00BC65D9"/>
    <w:rsid w:val="00BC65E2"/>
    <w:rsid w:val="00BC7C52"/>
    <w:rsid w:val="00BD02DE"/>
    <w:rsid w:val="00BD07AD"/>
    <w:rsid w:val="00BD0CF6"/>
    <w:rsid w:val="00BD1471"/>
    <w:rsid w:val="00BD14C5"/>
    <w:rsid w:val="00BD153B"/>
    <w:rsid w:val="00BD196A"/>
    <w:rsid w:val="00BD1ADA"/>
    <w:rsid w:val="00BD1E38"/>
    <w:rsid w:val="00BD2081"/>
    <w:rsid w:val="00BD2311"/>
    <w:rsid w:val="00BD3F72"/>
    <w:rsid w:val="00BD591E"/>
    <w:rsid w:val="00BD6262"/>
    <w:rsid w:val="00BD66BC"/>
    <w:rsid w:val="00BD7EED"/>
    <w:rsid w:val="00BE0459"/>
    <w:rsid w:val="00BE06A0"/>
    <w:rsid w:val="00BE0F9C"/>
    <w:rsid w:val="00BE120D"/>
    <w:rsid w:val="00BE2137"/>
    <w:rsid w:val="00BE22C4"/>
    <w:rsid w:val="00BE2508"/>
    <w:rsid w:val="00BE2DC8"/>
    <w:rsid w:val="00BE3460"/>
    <w:rsid w:val="00BE46CE"/>
    <w:rsid w:val="00BE49CF"/>
    <w:rsid w:val="00BE4B34"/>
    <w:rsid w:val="00BE4C48"/>
    <w:rsid w:val="00BE5A5A"/>
    <w:rsid w:val="00BE60A3"/>
    <w:rsid w:val="00BE61C1"/>
    <w:rsid w:val="00BE64AF"/>
    <w:rsid w:val="00BE6717"/>
    <w:rsid w:val="00BE76AC"/>
    <w:rsid w:val="00BF0381"/>
    <w:rsid w:val="00BF08A7"/>
    <w:rsid w:val="00BF132F"/>
    <w:rsid w:val="00BF1606"/>
    <w:rsid w:val="00BF2557"/>
    <w:rsid w:val="00BF28DD"/>
    <w:rsid w:val="00BF2EC2"/>
    <w:rsid w:val="00BF30C8"/>
    <w:rsid w:val="00BF446E"/>
    <w:rsid w:val="00BF4AE8"/>
    <w:rsid w:val="00BF5E3D"/>
    <w:rsid w:val="00BF6E7B"/>
    <w:rsid w:val="00BF7674"/>
    <w:rsid w:val="00C000B9"/>
    <w:rsid w:val="00C01021"/>
    <w:rsid w:val="00C01058"/>
    <w:rsid w:val="00C0141F"/>
    <w:rsid w:val="00C01D6C"/>
    <w:rsid w:val="00C037ED"/>
    <w:rsid w:val="00C04739"/>
    <w:rsid w:val="00C048AF"/>
    <w:rsid w:val="00C0530A"/>
    <w:rsid w:val="00C05C91"/>
    <w:rsid w:val="00C062C3"/>
    <w:rsid w:val="00C064B0"/>
    <w:rsid w:val="00C06A8A"/>
    <w:rsid w:val="00C077E0"/>
    <w:rsid w:val="00C07DE6"/>
    <w:rsid w:val="00C10130"/>
    <w:rsid w:val="00C105BF"/>
    <w:rsid w:val="00C114DD"/>
    <w:rsid w:val="00C12046"/>
    <w:rsid w:val="00C12837"/>
    <w:rsid w:val="00C12979"/>
    <w:rsid w:val="00C1388C"/>
    <w:rsid w:val="00C14064"/>
    <w:rsid w:val="00C148A5"/>
    <w:rsid w:val="00C154B5"/>
    <w:rsid w:val="00C15AEC"/>
    <w:rsid w:val="00C16726"/>
    <w:rsid w:val="00C168A2"/>
    <w:rsid w:val="00C17872"/>
    <w:rsid w:val="00C203FB"/>
    <w:rsid w:val="00C205E9"/>
    <w:rsid w:val="00C20E8A"/>
    <w:rsid w:val="00C21032"/>
    <w:rsid w:val="00C212FC"/>
    <w:rsid w:val="00C234D6"/>
    <w:rsid w:val="00C2371C"/>
    <w:rsid w:val="00C23F48"/>
    <w:rsid w:val="00C24193"/>
    <w:rsid w:val="00C24AD0"/>
    <w:rsid w:val="00C254A7"/>
    <w:rsid w:val="00C262BD"/>
    <w:rsid w:val="00C26A51"/>
    <w:rsid w:val="00C270A0"/>
    <w:rsid w:val="00C30912"/>
    <w:rsid w:val="00C30E04"/>
    <w:rsid w:val="00C310C2"/>
    <w:rsid w:val="00C31946"/>
    <w:rsid w:val="00C31AA9"/>
    <w:rsid w:val="00C32B71"/>
    <w:rsid w:val="00C33001"/>
    <w:rsid w:val="00C337DB"/>
    <w:rsid w:val="00C34F9E"/>
    <w:rsid w:val="00C35391"/>
    <w:rsid w:val="00C3591F"/>
    <w:rsid w:val="00C36525"/>
    <w:rsid w:val="00C37704"/>
    <w:rsid w:val="00C40EB3"/>
    <w:rsid w:val="00C413C4"/>
    <w:rsid w:val="00C41BD9"/>
    <w:rsid w:val="00C434FD"/>
    <w:rsid w:val="00C4350E"/>
    <w:rsid w:val="00C44623"/>
    <w:rsid w:val="00C44E4F"/>
    <w:rsid w:val="00C47302"/>
    <w:rsid w:val="00C47AC7"/>
    <w:rsid w:val="00C47DA0"/>
    <w:rsid w:val="00C50FC8"/>
    <w:rsid w:val="00C5192E"/>
    <w:rsid w:val="00C52D85"/>
    <w:rsid w:val="00C52DE6"/>
    <w:rsid w:val="00C535CD"/>
    <w:rsid w:val="00C5385B"/>
    <w:rsid w:val="00C53FD6"/>
    <w:rsid w:val="00C5432E"/>
    <w:rsid w:val="00C54789"/>
    <w:rsid w:val="00C54965"/>
    <w:rsid w:val="00C54F97"/>
    <w:rsid w:val="00C55DE7"/>
    <w:rsid w:val="00C55E59"/>
    <w:rsid w:val="00C5633F"/>
    <w:rsid w:val="00C569AA"/>
    <w:rsid w:val="00C56C07"/>
    <w:rsid w:val="00C6016B"/>
    <w:rsid w:val="00C60B1D"/>
    <w:rsid w:val="00C618BD"/>
    <w:rsid w:val="00C61C6D"/>
    <w:rsid w:val="00C63249"/>
    <w:rsid w:val="00C634A7"/>
    <w:rsid w:val="00C634FA"/>
    <w:rsid w:val="00C638D7"/>
    <w:rsid w:val="00C638DF"/>
    <w:rsid w:val="00C63FC8"/>
    <w:rsid w:val="00C64720"/>
    <w:rsid w:val="00C6517F"/>
    <w:rsid w:val="00C667D1"/>
    <w:rsid w:val="00C66884"/>
    <w:rsid w:val="00C66BAA"/>
    <w:rsid w:val="00C67183"/>
    <w:rsid w:val="00C67BA6"/>
    <w:rsid w:val="00C67F59"/>
    <w:rsid w:val="00C70DA3"/>
    <w:rsid w:val="00C70EC4"/>
    <w:rsid w:val="00C71364"/>
    <w:rsid w:val="00C718D2"/>
    <w:rsid w:val="00C71920"/>
    <w:rsid w:val="00C72A63"/>
    <w:rsid w:val="00C73ECB"/>
    <w:rsid w:val="00C74011"/>
    <w:rsid w:val="00C75590"/>
    <w:rsid w:val="00C76585"/>
    <w:rsid w:val="00C77177"/>
    <w:rsid w:val="00C77A70"/>
    <w:rsid w:val="00C8006C"/>
    <w:rsid w:val="00C8017B"/>
    <w:rsid w:val="00C80AE4"/>
    <w:rsid w:val="00C81742"/>
    <w:rsid w:val="00C8247B"/>
    <w:rsid w:val="00C83560"/>
    <w:rsid w:val="00C83AF3"/>
    <w:rsid w:val="00C83BE8"/>
    <w:rsid w:val="00C83DA1"/>
    <w:rsid w:val="00C83ECF"/>
    <w:rsid w:val="00C84D54"/>
    <w:rsid w:val="00C857F1"/>
    <w:rsid w:val="00C86E64"/>
    <w:rsid w:val="00C871C4"/>
    <w:rsid w:val="00C90AEE"/>
    <w:rsid w:val="00C90DC1"/>
    <w:rsid w:val="00C90DE1"/>
    <w:rsid w:val="00C91D80"/>
    <w:rsid w:val="00C9232D"/>
    <w:rsid w:val="00C94441"/>
    <w:rsid w:val="00C94907"/>
    <w:rsid w:val="00C972F2"/>
    <w:rsid w:val="00C97301"/>
    <w:rsid w:val="00CA1130"/>
    <w:rsid w:val="00CA12D1"/>
    <w:rsid w:val="00CA1DB9"/>
    <w:rsid w:val="00CA415F"/>
    <w:rsid w:val="00CA4E57"/>
    <w:rsid w:val="00CA529D"/>
    <w:rsid w:val="00CA55B3"/>
    <w:rsid w:val="00CA5EA7"/>
    <w:rsid w:val="00CA68A1"/>
    <w:rsid w:val="00CA6ADC"/>
    <w:rsid w:val="00CA7C82"/>
    <w:rsid w:val="00CA7C9C"/>
    <w:rsid w:val="00CB026C"/>
    <w:rsid w:val="00CB0272"/>
    <w:rsid w:val="00CB0C4E"/>
    <w:rsid w:val="00CB1D00"/>
    <w:rsid w:val="00CB2C14"/>
    <w:rsid w:val="00CB314A"/>
    <w:rsid w:val="00CB40A1"/>
    <w:rsid w:val="00CB527D"/>
    <w:rsid w:val="00CB5A49"/>
    <w:rsid w:val="00CB5B80"/>
    <w:rsid w:val="00CB5C15"/>
    <w:rsid w:val="00CB678B"/>
    <w:rsid w:val="00CB6A8D"/>
    <w:rsid w:val="00CC0176"/>
    <w:rsid w:val="00CC1228"/>
    <w:rsid w:val="00CC1781"/>
    <w:rsid w:val="00CC1A21"/>
    <w:rsid w:val="00CC32E0"/>
    <w:rsid w:val="00CC33B2"/>
    <w:rsid w:val="00CC43C2"/>
    <w:rsid w:val="00CC66DE"/>
    <w:rsid w:val="00CC6724"/>
    <w:rsid w:val="00CC6810"/>
    <w:rsid w:val="00CC6911"/>
    <w:rsid w:val="00CC6B50"/>
    <w:rsid w:val="00CC6F94"/>
    <w:rsid w:val="00CC7213"/>
    <w:rsid w:val="00CC7376"/>
    <w:rsid w:val="00CC773A"/>
    <w:rsid w:val="00CC77A9"/>
    <w:rsid w:val="00CC7C0C"/>
    <w:rsid w:val="00CD0B89"/>
    <w:rsid w:val="00CD0BA9"/>
    <w:rsid w:val="00CD1CC4"/>
    <w:rsid w:val="00CD25D8"/>
    <w:rsid w:val="00CD361F"/>
    <w:rsid w:val="00CD3867"/>
    <w:rsid w:val="00CD5694"/>
    <w:rsid w:val="00CD5C97"/>
    <w:rsid w:val="00CD6A14"/>
    <w:rsid w:val="00CD6AED"/>
    <w:rsid w:val="00CD6BC6"/>
    <w:rsid w:val="00CD75E3"/>
    <w:rsid w:val="00CD7A82"/>
    <w:rsid w:val="00CD7F37"/>
    <w:rsid w:val="00CE116E"/>
    <w:rsid w:val="00CE1244"/>
    <w:rsid w:val="00CE2627"/>
    <w:rsid w:val="00CE2EB2"/>
    <w:rsid w:val="00CE33B6"/>
    <w:rsid w:val="00CE3613"/>
    <w:rsid w:val="00CE3809"/>
    <w:rsid w:val="00CE525D"/>
    <w:rsid w:val="00CE52C2"/>
    <w:rsid w:val="00CE5C99"/>
    <w:rsid w:val="00CE6538"/>
    <w:rsid w:val="00CE6E39"/>
    <w:rsid w:val="00CE7B03"/>
    <w:rsid w:val="00CE7B45"/>
    <w:rsid w:val="00CF05B1"/>
    <w:rsid w:val="00CF139F"/>
    <w:rsid w:val="00CF23EE"/>
    <w:rsid w:val="00CF3C63"/>
    <w:rsid w:val="00CF41D3"/>
    <w:rsid w:val="00CF425C"/>
    <w:rsid w:val="00CF5290"/>
    <w:rsid w:val="00CF53A3"/>
    <w:rsid w:val="00CF5801"/>
    <w:rsid w:val="00CF6E68"/>
    <w:rsid w:val="00CF73B8"/>
    <w:rsid w:val="00D00B7F"/>
    <w:rsid w:val="00D01BE1"/>
    <w:rsid w:val="00D02C03"/>
    <w:rsid w:val="00D03861"/>
    <w:rsid w:val="00D039CF"/>
    <w:rsid w:val="00D03D78"/>
    <w:rsid w:val="00D03EC6"/>
    <w:rsid w:val="00D0474E"/>
    <w:rsid w:val="00D04E47"/>
    <w:rsid w:val="00D059F6"/>
    <w:rsid w:val="00D0608E"/>
    <w:rsid w:val="00D06098"/>
    <w:rsid w:val="00D07372"/>
    <w:rsid w:val="00D07B1C"/>
    <w:rsid w:val="00D07E7C"/>
    <w:rsid w:val="00D10235"/>
    <w:rsid w:val="00D11357"/>
    <w:rsid w:val="00D1238C"/>
    <w:rsid w:val="00D126F7"/>
    <w:rsid w:val="00D12793"/>
    <w:rsid w:val="00D129F5"/>
    <w:rsid w:val="00D12ED9"/>
    <w:rsid w:val="00D141DD"/>
    <w:rsid w:val="00D14532"/>
    <w:rsid w:val="00D1494A"/>
    <w:rsid w:val="00D175E4"/>
    <w:rsid w:val="00D200FF"/>
    <w:rsid w:val="00D20743"/>
    <w:rsid w:val="00D20938"/>
    <w:rsid w:val="00D211C3"/>
    <w:rsid w:val="00D21887"/>
    <w:rsid w:val="00D22D2B"/>
    <w:rsid w:val="00D23B18"/>
    <w:rsid w:val="00D248DA"/>
    <w:rsid w:val="00D2596F"/>
    <w:rsid w:val="00D260BB"/>
    <w:rsid w:val="00D26599"/>
    <w:rsid w:val="00D266DE"/>
    <w:rsid w:val="00D26E15"/>
    <w:rsid w:val="00D27770"/>
    <w:rsid w:val="00D314D3"/>
    <w:rsid w:val="00D31689"/>
    <w:rsid w:val="00D316A2"/>
    <w:rsid w:val="00D3181A"/>
    <w:rsid w:val="00D325D3"/>
    <w:rsid w:val="00D3291F"/>
    <w:rsid w:val="00D34D0C"/>
    <w:rsid w:val="00D34DA2"/>
    <w:rsid w:val="00D355E8"/>
    <w:rsid w:val="00D378C7"/>
    <w:rsid w:val="00D37D19"/>
    <w:rsid w:val="00D37EA0"/>
    <w:rsid w:val="00D40A94"/>
    <w:rsid w:val="00D41722"/>
    <w:rsid w:val="00D41A29"/>
    <w:rsid w:val="00D42515"/>
    <w:rsid w:val="00D43326"/>
    <w:rsid w:val="00D43DD6"/>
    <w:rsid w:val="00D43E6F"/>
    <w:rsid w:val="00D44174"/>
    <w:rsid w:val="00D451EC"/>
    <w:rsid w:val="00D454EC"/>
    <w:rsid w:val="00D45801"/>
    <w:rsid w:val="00D464A8"/>
    <w:rsid w:val="00D467AC"/>
    <w:rsid w:val="00D46E2D"/>
    <w:rsid w:val="00D47007"/>
    <w:rsid w:val="00D47A53"/>
    <w:rsid w:val="00D5000A"/>
    <w:rsid w:val="00D509EA"/>
    <w:rsid w:val="00D511D1"/>
    <w:rsid w:val="00D51944"/>
    <w:rsid w:val="00D51C2C"/>
    <w:rsid w:val="00D528E1"/>
    <w:rsid w:val="00D52D09"/>
    <w:rsid w:val="00D52EF2"/>
    <w:rsid w:val="00D530D8"/>
    <w:rsid w:val="00D530ED"/>
    <w:rsid w:val="00D53E8F"/>
    <w:rsid w:val="00D547B3"/>
    <w:rsid w:val="00D5579D"/>
    <w:rsid w:val="00D5581A"/>
    <w:rsid w:val="00D55A36"/>
    <w:rsid w:val="00D5607C"/>
    <w:rsid w:val="00D5662E"/>
    <w:rsid w:val="00D5689A"/>
    <w:rsid w:val="00D57072"/>
    <w:rsid w:val="00D57819"/>
    <w:rsid w:val="00D57B33"/>
    <w:rsid w:val="00D60AD9"/>
    <w:rsid w:val="00D61249"/>
    <w:rsid w:val="00D61AE5"/>
    <w:rsid w:val="00D622E0"/>
    <w:rsid w:val="00D6266E"/>
    <w:rsid w:val="00D6365B"/>
    <w:rsid w:val="00D64636"/>
    <w:rsid w:val="00D668E4"/>
    <w:rsid w:val="00D66AA9"/>
    <w:rsid w:val="00D67466"/>
    <w:rsid w:val="00D7047B"/>
    <w:rsid w:val="00D70735"/>
    <w:rsid w:val="00D729A9"/>
    <w:rsid w:val="00D72DB8"/>
    <w:rsid w:val="00D72F38"/>
    <w:rsid w:val="00D732AE"/>
    <w:rsid w:val="00D732C9"/>
    <w:rsid w:val="00D732E6"/>
    <w:rsid w:val="00D733AC"/>
    <w:rsid w:val="00D73930"/>
    <w:rsid w:val="00D73AE0"/>
    <w:rsid w:val="00D73C88"/>
    <w:rsid w:val="00D73CC8"/>
    <w:rsid w:val="00D741F4"/>
    <w:rsid w:val="00D74641"/>
    <w:rsid w:val="00D74B82"/>
    <w:rsid w:val="00D74FEC"/>
    <w:rsid w:val="00D75505"/>
    <w:rsid w:val="00D76695"/>
    <w:rsid w:val="00D769A4"/>
    <w:rsid w:val="00D76F14"/>
    <w:rsid w:val="00D773D6"/>
    <w:rsid w:val="00D778D9"/>
    <w:rsid w:val="00D77DAB"/>
    <w:rsid w:val="00D77F97"/>
    <w:rsid w:val="00D8092F"/>
    <w:rsid w:val="00D80998"/>
    <w:rsid w:val="00D81E73"/>
    <w:rsid w:val="00D8228F"/>
    <w:rsid w:val="00D82DA8"/>
    <w:rsid w:val="00D831C9"/>
    <w:rsid w:val="00D83CB1"/>
    <w:rsid w:val="00D84293"/>
    <w:rsid w:val="00D8484F"/>
    <w:rsid w:val="00D8596C"/>
    <w:rsid w:val="00D85BAA"/>
    <w:rsid w:val="00D8606C"/>
    <w:rsid w:val="00D862DA"/>
    <w:rsid w:val="00D8640C"/>
    <w:rsid w:val="00D86456"/>
    <w:rsid w:val="00D86C25"/>
    <w:rsid w:val="00D870BD"/>
    <w:rsid w:val="00D87463"/>
    <w:rsid w:val="00D90463"/>
    <w:rsid w:val="00D90ED8"/>
    <w:rsid w:val="00D90F03"/>
    <w:rsid w:val="00D92088"/>
    <w:rsid w:val="00D921E7"/>
    <w:rsid w:val="00D92780"/>
    <w:rsid w:val="00D936C9"/>
    <w:rsid w:val="00D947B1"/>
    <w:rsid w:val="00D94E7E"/>
    <w:rsid w:val="00D94F64"/>
    <w:rsid w:val="00D957D5"/>
    <w:rsid w:val="00DA1678"/>
    <w:rsid w:val="00DA1694"/>
    <w:rsid w:val="00DA3D7B"/>
    <w:rsid w:val="00DA4CC8"/>
    <w:rsid w:val="00DA4E5A"/>
    <w:rsid w:val="00DA5058"/>
    <w:rsid w:val="00DA523A"/>
    <w:rsid w:val="00DA6721"/>
    <w:rsid w:val="00DA6C89"/>
    <w:rsid w:val="00DA6F76"/>
    <w:rsid w:val="00DA7189"/>
    <w:rsid w:val="00DA7370"/>
    <w:rsid w:val="00DA7720"/>
    <w:rsid w:val="00DB07B8"/>
    <w:rsid w:val="00DB1190"/>
    <w:rsid w:val="00DB2D3B"/>
    <w:rsid w:val="00DB32B3"/>
    <w:rsid w:val="00DB423D"/>
    <w:rsid w:val="00DB4552"/>
    <w:rsid w:val="00DB4594"/>
    <w:rsid w:val="00DB4AA3"/>
    <w:rsid w:val="00DB5247"/>
    <w:rsid w:val="00DB68FF"/>
    <w:rsid w:val="00DB6C33"/>
    <w:rsid w:val="00DB7230"/>
    <w:rsid w:val="00DC3274"/>
    <w:rsid w:val="00DC32BA"/>
    <w:rsid w:val="00DC4FD3"/>
    <w:rsid w:val="00DC51A5"/>
    <w:rsid w:val="00DC51C0"/>
    <w:rsid w:val="00DC5C91"/>
    <w:rsid w:val="00DC5FD8"/>
    <w:rsid w:val="00DC6739"/>
    <w:rsid w:val="00DC67C9"/>
    <w:rsid w:val="00DC6923"/>
    <w:rsid w:val="00DC6F89"/>
    <w:rsid w:val="00DC7B44"/>
    <w:rsid w:val="00DC7E84"/>
    <w:rsid w:val="00DD04BE"/>
    <w:rsid w:val="00DD0837"/>
    <w:rsid w:val="00DD0F5B"/>
    <w:rsid w:val="00DD1248"/>
    <w:rsid w:val="00DD12BA"/>
    <w:rsid w:val="00DD1E6C"/>
    <w:rsid w:val="00DD2338"/>
    <w:rsid w:val="00DD2826"/>
    <w:rsid w:val="00DD42AC"/>
    <w:rsid w:val="00DD46A0"/>
    <w:rsid w:val="00DD4981"/>
    <w:rsid w:val="00DD4C0C"/>
    <w:rsid w:val="00DD5207"/>
    <w:rsid w:val="00DD55D9"/>
    <w:rsid w:val="00DD631D"/>
    <w:rsid w:val="00DD64F5"/>
    <w:rsid w:val="00DD6518"/>
    <w:rsid w:val="00DD6537"/>
    <w:rsid w:val="00DD6667"/>
    <w:rsid w:val="00DD6C7B"/>
    <w:rsid w:val="00DD74A2"/>
    <w:rsid w:val="00DD7875"/>
    <w:rsid w:val="00DE0C08"/>
    <w:rsid w:val="00DE1A74"/>
    <w:rsid w:val="00DE24EC"/>
    <w:rsid w:val="00DE371A"/>
    <w:rsid w:val="00DE383B"/>
    <w:rsid w:val="00DE38A5"/>
    <w:rsid w:val="00DE452D"/>
    <w:rsid w:val="00DE49BE"/>
    <w:rsid w:val="00DE55E8"/>
    <w:rsid w:val="00DE6576"/>
    <w:rsid w:val="00DE6A1B"/>
    <w:rsid w:val="00DE6F20"/>
    <w:rsid w:val="00DE796F"/>
    <w:rsid w:val="00DF086C"/>
    <w:rsid w:val="00DF1385"/>
    <w:rsid w:val="00DF1490"/>
    <w:rsid w:val="00DF18A8"/>
    <w:rsid w:val="00DF253B"/>
    <w:rsid w:val="00DF349B"/>
    <w:rsid w:val="00DF4191"/>
    <w:rsid w:val="00DF4614"/>
    <w:rsid w:val="00DF485A"/>
    <w:rsid w:val="00DF6D10"/>
    <w:rsid w:val="00DF7B25"/>
    <w:rsid w:val="00E00B63"/>
    <w:rsid w:val="00E00B67"/>
    <w:rsid w:val="00E00DFE"/>
    <w:rsid w:val="00E015EC"/>
    <w:rsid w:val="00E019C2"/>
    <w:rsid w:val="00E02184"/>
    <w:rsid w:val="00E02299"/>
    <w:rsid w:val="00E034D0"/>
    <w:rsid w:val="00E034E6"/>
    <w:rsid w:val="00E03844"/>
    <w:rsid w:val="00E04840"/>
    <w:rsid w:val="00E06AA6"/>
    <w:rsid w:val="00E071E9"/>
    <w:rsid w:val="00E07389"/>
    <w:rsid w:val="00E11666"/>
    <w:rsid w:val="00E11979"/>
    <w:rsid w:val="00E12416"/>
    <w:rsid w:val="00E1359F"/>
    <w:rsid w:val="00E135A1"/>
    <w:rsid w:val="00E14198"/>
    <w:rsid w:val="00E1496E"/>
    <w:rsid w:val="00E15A58"/>
    <w:rsid w:val="00E161A0"/>
    <w:rsid w:val="00E16817"/>
    <w:rsid w:val="00E16EF1"/>
    <w:rsid w:val="00E177A0"/>
    <w:rsid w:val="00E17AD2"/>
    <w:rsid w:val="00E17E82"/>
    <w:rsid w:val="00E17F63"/>
    <w:rsid w:val="00E201B5"/>
    <w:rsid w:val="00E21127"/>
    <w:rsid w:val="00E225A5"/>
    <w:rsid w:val="00E23B7E"/>
    <w:rsid w:val="00E242ED"/>
    <w:rsid w:val="00E24342"/>
    <w:rsid w:val="00E26886"/>
    <w:rsid w:val="00E26B6D"/>
    <w:rsid w:val="00E30E6E"/>
    <w:rsid w:val="00E32A2A"/>
    <w:rsid w:val="00E330B4"/>
    <w:rsid w:val="00E3311E"/>
    <w:rsid w:val="00E33D44"/>
    <w:rsid w:val="00E364D5"/>
    <w:rsid w:val="00E368C3"/>
    <w:rsid w:val="00E3705C"/>
    <w:rsid w:val="00E3735A"/>
    <w:rsid w:val="00E3764A"/>
    <w:rsid w:val="00E377D5"/>
    <w:rsid w:val="00E37C44"/>
    <w:rsid w:val="00E40074"/>
    <w:rsid w:val="00E40A07"/>
    <w:rsid w:val="00E4182B"/>
    <w:rsid w:val="00E426C9"/>
    <w:rsid w:val="00E42740"/>
    <w:rsid w:val="00E43C06"/>
    <w:rsid w:val="00E442F0"/>
    <w:rsid w:val="00E443BA"/>
    <w:rsid w:val="00E44629"/>
    <w:rsid w:val="00E448C2"/>
    <w:rsid w:val="00E448D3"/>
    <w:rsid w:val="00E449B1"/>
    <w:rsid w:val="00E44BA7"/>
    <w:rsid w:val="00E45811"/>
    <w:rsid w:val="00E45BE6"/>
    <w:rsid w:val="00E45CA6"/>
    <w:rsid w:val="00E47632"/>
    <w:rsid w:val="00E47917"/>
    <w:rsid w:val="00E47B31"/>
    <w:rsid w:val="00E501F7"/>
    <w:rsid w:val="00E502A6"/>
    <w:rsid w:val="00E507D2"/>
    <w:rsid w:val="00E5082D"/>
    <w:rsid w:val="00E51441"/>
    <w:rsid w:val="00E5233E"/>
    <w:rsid w:val="00E5312A"/>
    <w:rsid w:val="00E55A82"/>
    <w:rsid w:val="00E55CEE"/>
    <w:rsid w:val="00E571F3"/>
    <w:rsid w:val="00E574A9"/>
    <w:rsid w:val="00E61355"/>
    <w:rsid w:val="00E613BC"/>
    <w:rsid w:val="00E61F1E"/>
    <w:rsid w:val="00E62B7F"/>
    <w:rsid w:val="00E66478"/>
    <w:rsid w:val="00E66861"/>
    <w:rsid w:val="00E66E21"/>
    <w:rsid w:val="00E67063"/>
    <w:rsid w:val="00E6732F"/>
    <w:rsid w:val="00E70F38"/>
    <w:rsid w:val="00E7101E"/>
    <w:rsid w:val="00E710FC"/>
    <w:rsid w:val="00E712CA"/>
    <w:rsid w:val="00E71915"/>
    <w:rsid w:val="00E722F1"/>
    <w:rsid w:val="00E735CA"/>
    <w:rsid w:val="00E738C8"/>
    <w:rsid w:val="00E74005"/>
    <w:rsid w:val="00E7588A"/>
    <w:rsid w:val="00E75A29"/>
    <w:rsid w:val="00E75BB6"/>
    <w:rsid w:val="00E75C96"/>
    <w:rsid w:val="00E76479"/>
    <w:rsid w:val="00E7674C"/>
    <w:rsid w:val="00E77088"/>
    <w:rsid w:val="00E771EC"/>
    <w:rsid w:val="00E80916"/>
    <w:rsid w:val="00E809B1"/>
    <w:rsid w:val="00E827CA"/>
    <w:rsid w:val="00E83189"/>
    <w:rsid w:val="00E840DF"/>
    <w:rsid w:val="00E8452A"/>
    <w:rsid w:val="00E8560F"/>
    <w:rsid w:val="00E86338"/>
    <w:rsid w:val="00E8780A"/>
    <w:rsid w:val="00E90582"/>
    <w:rsid w:val="00E91E91"/>
    <w:rsid w:val="00E924E3"/>
    <w:rsid w:val="00E93097"/>
    <w:rsid w:val="00E93C1B"/>
    <w:rsid w:val="00E94841"/>
    <w:rsid w:val="00E95110"/>
    <w:rsid w:val="00E957FC"/>
    <w:rsid w:val="00E95F4A"/>
    <w:rsid w:val="00EA0289"/>
    <w:rsid w:val="00EA0D2C"/>
    <w:rsid w:val="00EA0D35"/>
    <w:rsid w:val="00EA10CE"/>
    <w:rsid w:val="00EA176E"/>
    <w:rsid w:val="00EA239C"/>
    <w:rsid w:val="00EA5619"/>
    <w:rsid w:val="00EA5B98"/>
    <w:rsid w:val="00EA5DCC"/>
    <w:rsid w:val="00EA5DDB"/>
    <w:rsid w:val="00EA73FF"/>
    <w:rsid w:val="00EB08DC"/>
    <w:rsid w:val="00EB09B2"/>
    <w:rsid w:val="00EB0CBD"/>
    <w:rsid w:val="00EB106A"/>
    <w:rsid w:val="00EB11D1"/>
    <w:rsid w:val="00EB131B"/>
    <w:rsid w:val="00EB170C"/>
    <w:rsid w:val="00EB178C"/>
    <w:rsid w:val="00EB181B"/>
    <w:rsid w:val="00EB1CA4"/>
    <w:rsid w:val="00EB1FEB"/>
    <w:rsid w:val="00EB254F"/>
    <w:rsid w:val="00EB26EA"/>
    <w:rsid w:val="00EB2DEA"/>
    <w:rsid w:val="00EB2E57"/>
    <w:rsid w:val="00EB3496"/>
    <w:rsid w:val="00EB3E93"/>
    <w:rsid w:val="00EB42B6"/>
    <w:rsid w:val="00EB5B31"/>
    <w:rsid w:val="00EB68AA"/>
    <w:rsid w:val="00EB6AFE"/>
    <w:rsid w:val="00EB6EBF"/>
    <w:rsid w:val="00EB72A7"/>
    <w:rsid w:val="00EC341C"/>
    <w:rsid w:val="00EC4729"/>
    <w:rsid w:val="00EC60A6"/>
    <w:rsid w:val="00EC70C6"/>
    <w:rsid w:val="00EC716E"/>
    <w:rsid w:val="00EC7256"/>
    <w:rsid w:val="00EC7B21"/>
    <w:rsid w:val="00EC7F16"/>
    <w:rsid w:val="00EC7F51"/>
    <w:rsid w:val="00ED0B9D"/>
    <w:rsid w:val="00ED0FE8"/>
    <w:rsid w:val="00ED1657"/>
    <w:rsid w:val="00ED2F52"/>
    <w:rsid w:val="00ED42BE"/>
    <w:rsid w:val="00ED4418"/>
    <w:rsid w:val="00ED4519"/>
    <w:rsid w:val="00ED5637"/>
    <w:rsid w:val="00ED6618"/>
    <w:rsid w:val="00ED7ACC"/>
    <w:rsid w:val="00EE02E6"/>
    <w:rsid w:val="00EE0684"/>
    <w:rsid w:val="00EE0BA8"/>
    <w:rsid w:val="00EE11AB"/>
    <w:rsid w:val="00EE141A"/>
    <w:rsid w:val="00EE17E7"/>
    <w:rsid w:val="00EE2A90"/>
    <w:rsid w:val="00EE317A"/>
    <w:rsid w:val="00EE4051"/>
    <w:rsid w:val="00EE4673"/>
    <w:rsid w:val="00EE5359"/>
    <w:rsid w:val="00EE5500"/>
    <w:rsid w:val="00EE57E1"/>
    <w:rsid w:val="00EE5900"/>
    <w:rsid w:val="00EE5BEE"/>
    <w:rsid w:val="00EE696C"/>
    <w:rsid w:val="00EE71C9"/>
    <w:rsid w:val="00EE750B"/>
    <w:rsid w:val="00EF0611"/>
    <w:rsid w:val="00EF0B8F"/>
    <w:rsid w:val="00EF1FA5"/>
    <w:rsid w:val="00EF2DA5"/>
    <w:rsid w:val="00EF352D"/>
    <w:rsid w:val="00EF3E72"/>
    <w:rsid w:val="00EF4039"/>
    <w:rsid w:val="00EF4AEE"/>
    <w:rsid w:val="00EF6D12"/>
    <w:rsid w:val="00EF6E41"/>
    <w:rsid w:val="00EF789B"/>
    <w:rsid w:val="00F00490"/>
    <w:rsid w:val="00F005EF"/>
    <w:rsid w:val="00F0121D"/>
    <w:rsid w:val="00F01805"/>
    <w:rsid w:val="00F01B05"/>
    <w:rsid w:val="00F02A71"/>
    <w:rsid w:val="00F038A0"/>
    <w:rsid w:val="00F03BF4"/>
    <w:rsid w:val="00F03F3B"/>
    <w:rsid w:val="00F04049"/>
    <w:rsid w:val="00F04910"/>
    <w:rsid w:val="00F05148"/>
    <w:rsid w:val="00F05552"/>
    <w:rsid w:val="00F05811"/>
    <w:rsid w:val="00F06378"/>
    <w:rsid w:val="00F07468"/>
    <w:rsid w:val="00F07699"/>
    <w:rsid w:val="00F11DDC"/>
    <w:rsid w:val="00F1302B"/>
    <w:rsid w:val="00F13D22"/>
    <w:rsid w:val="00F13F76"/>
    <w:rsid w:val="00F14F45"/>
    <w:rsid w:val="00F153C1"/>
    <w:rsid w:val="00F15710"/>
    <w:rsid w:val="00F158B6"/>
    <w:rsid w:val="00F158F0"/>
    <w:rsid w:val="00F16467"/>
    <w:rsid w:val="00F16791"/>
    <w:rsid w:val="00F1728F"/>
    <w:rsid w:val="00F1788D"/>
    <w:rsid w:val="00F17B38"/>
    <w:rsid w:val="00F207C3"/>
    <w:rsid w:val="00F2171D"/>
    <w:rsid w:val="00F2176B"/>
    <w:rsid w:val="00F217E8"/>
    <w:rsid w:val="00F2192C"/>
    <w:rsid w:val="00F2196B"/>
    <w:rsid w:val="00F21CED"/>
    <w:rsid w:val="00F222C0"/>
    <w:rsid w:val="00F22D82"/>
    <w:rsid w:val="00F22FE8"/>
    <w:rsid w:val="00F23A8E"/>
    <w:rsid w:val="00F23C4B"/>
    <w:rsid w:val="00F23CE6"/>
    <w:rsid w:val="00F246BA"/>
    <w:rsid w:val="00F25EA2"/>
    <w:rsid w:val="00F2624C"/>
    <w:rsid w:val="00F263F6"/>
    <w:rsid w:val="00F26CD6"/>
    <w:rsid w:val="00F26D40"/>
    <w:rsid w:val="00F302D8"/>
    <w:rsid w:val="00F32856"/>
    <w:rsid w:val="00F33592"/>
    <w:rsid w:val="00F340B6"/>
    <w:rsid w:val="00F3482B"/>
    <w:rsid w:val="00F3525B"/>
    <w:rsid w:val="00F359F3"/>
    <w:rsid w:val="00F35DE1"/>
    <w:rsid w:val="00F361B7"/>
    <w:rsid w:val="00F40BAE"/>
    <w:rsid w:val="00F42A06"/>
    <w:rsid w:val="00F42CF6"/>
    <w:rsid w:val="00F42EE1"/>
    <w:rsid w:val="00F44068"/>
    <w:rsid w:val="00F44C34"/>
    <w:rsid w:val="00F44CC0"/>
    <w:rsid w:val="00F45581"/>
    <w:rsid w:val="00F47E35"/>
    <w:rsid w:val="00F5074F"/>
    <w:rsid w:val="00F50E3F"/>
    <w:rsid w:val="00F51679"/>
    <w:rsid w:val="00F52681"/>
    <w:rsid w:val="00F528AE"/>
    <w:rsid w:val="00F52CFC"/>
    <w:rsid w:val="00F52F93"/>
    <w:rsid w:val="00F531ED"/>
    <w:rsid w:val="00F5415D"/>
    <w:rsid w:val="00F54608"/>
    <w:rsid w:val="00F5475B"/>
    <w:rsid w:val="00F54B93"/>
    <w:rsid w:val="00F55039"/>
    <w:rsid w:val="00F552F2"/>
    <w:rsid w:val="00F55E04"/>
    <w:rsid w:val="00F55E52"/>
    <w:rsid w:val="00F56148"/>
    <w:rsid w:val="00F561DD"/>
    <w:rsid w:val="00F5749B"/>
    <w:rsid w:val="00F5782B"/>
    <w:rsid w:val="00F57EF0"/>
    <w:rsid w:val="00F6012F"/>
    <w:rsid w:val="00F61C24"/>
    <w:rsid w:val="00F62674"/>
    <w:rsid w:val="00F627E2"/>
    <w:rsid w:val="00F62B54"/>
    <w:rsid w:val="00F63987"/>
    <w:rsid w:val="00F65536"/>
    <w:rsid w:val="00F65824"/>
    <w:rsid w:val="00F65AA1"/>
    <w:rsid w:val="00F66DFC"/>
    <w:rsid w:val="00F674EF"/>
    <w:rsid w:val="00F70FBD"/>
    <w:rsid w:val="00F71520"/>
    <w:rsid w:val="00F7220B"/>
    <w:rsid w:val="00F72531"/>
    <w:rsid w:val="00F726B0"/>
    <w:rsid w:val="00F73A8A"/>
    <w:rsid w:val="00F73B0A"/>
    <w:rsid w:val="00F7590F"/>
    <w:rsid w:val="00F75FE2"/>
    <w:rsid w:val="00F765B6"/>
    <w:rsid w:val="00F772CC"/>
    <w:rsid w:val="00F80244"/>
    <w:rsid w:val="00F802FE"/>
    <w:rsid w:val="00F805F7"/>
    <w:rsid w:val="00F81F75"/>
    <w:rsid w:val="00F83596"/>
    <w:rsid w:val="00F8526B"/>
    <w:rsid w:val="00F8569E"/>
    <w:rsid w:val="00F85A14"/>
    <w:rsid w:val="00F85BD3"/>
    <w:rsid w:val="00F865B5"/>
    <w:rsid w:val="00F86E75"/>
    <w:rsid w:val="00F870BE"/>
    <w:rsid w:val="00F87DBC"/>
    <w:rsid w:val="00F87E1C"/>
    <w:rsid w:val="00F90490"/>
    <w:rsid w:val="00F9075F"/>
    <w:rsid w:val="00F9089A"/>
    <w:rsid w:val="00F90EB0"/>
    <w:rsid w:val="00F913C6"/>
    <w:rsid w:val="00F92755"/>
    <w:rsid w:val="00F929E9"/>
    <w:rsid w:val="00F92AFA"/>
    <w:rsid w:val="00F93282"/>
    <w:rsid w:val="00F93430"/>
    <w:rsid w:val="00F947AF"/>
    <w:rsid w:val="00F94864"/>
    <w:rsid w:val="00F95BDD"/>
    <w:rsid w:val="00F96251"/>
    <w:rsid w:val="00F974F1"/>
    <w:rsid w:val="00F97E22"/>
    <w:rsid w:val="00F97E31"/>
    <w:rsid w:val="00FA02EE"/>
    <w:rsid w:val="00FA14B6"/>
    <w:rsid w:val="00FA21A6"/>
    <w:rsid w:val="00FA226E"/>
    <w:rsid w:val="00FA33A6"/>
    <w:rsid w:val="00FA38CA"/>
    <w:rsid w:val="00FA46DD"/>
    <w:rsid w:val="00FA4865"/>
    <w:rsid w:val="00FA5764"/>
    <w:rsid w:val="00FA5B8F"/>
    <w:rsid w:val="00FA7807"/>
    <w:rsid w:val="00FA78D3"/>
    <w:rsid w:val="00FA7B80"/>
    <w:rsid w:val="00FB0098"/>
    <w:rsid w:val="00FB0B18"/>
    <w:rsid w:val="00FB18EA"/>
    <w:rsid w:val="00FB1941"/>
    <w:rsid w:val="00FB2653"/>
    <w:rsid w:val="00FB2ACA"/>
    <w:rsid w:val="00FB45B3"/>
    <w:rsid w:val="00FB59A3"/>
    <w:rsid w:val="00FB5D81"/>
    <w:rsid w:val="00FB666C"/>
    <w:rsid w:val="00FB673E"/>
    <w:rsid w:val="00FB6772"/>
    <w:rsid w:val="00FB6F39"/>
    <w:rsid w:val="00FB753B"/>
    <w:rsid w:val="00FB7622"/>
    <w:rsid w:val="00FB7905"/>
    <w:rsid w:val="00FB794E"/>
    <w:rsid w:val="00FC033A"/>
    <w:rsid w:val="00FC0911"/>
    <w:rsid w:val="00FC110E"/>
    <w:rsid w:val="00FC1F69"/>
    <w:rsid w:val="00FC3263"/>
    <w:rsid w:val="00FC3364"/>
    <w:rsid w:val="00FC3656"/>
    <w:rsid w:val="00FC3952"/>
    <w:rsid w:val="00FC3C2D"/>
    <w:rsid w:val="00FC3D57"/>
    <w:rsid w:val="00FC3EB4"/>
    <w:rsid w:val="00FC409F"/>
    <w:rsid w:val="00FC4F40"/>
    <w:rsid w:val="00FC51B8"/>
    <w:rsid w:val="00FC5FD1"/>
    <w:rsid w:val="00FC6779"/>
    <w:rsid w:val="00FC689B"/>
    <w:rsid w:val="00FC6C2D"/>
    <w:rsid w:val="00FD0598"/>
    <w:rsid w:val="00FD0915"/>
    <w:rsid w:val="00FD16AB"/>
    <w:rsid w:val="00FD2172"/>
    <w:rsid w:val="00FD2E3A"/>
    <w:rsid w:val="00FD3895"/>
    <w:rsid w:val="00FD38DC"/>
    <w:rsid w:val="00FD6457"/>
    <w:rsid w:val="00FD71C7"/>
    <w:rsid w:val="00FD755E"/>
    <w:rsid w:val="00FD7CD3"/>
    <w:rsid w:val="00FE079C"/>
    <w:rsid w:val="00FE14E9"/>
    <w:rsid w:val="00FE2CC7"/>
    <w:rsid w:val="00FE31C3"/>
    <w:rsid w:val="00FE3EAC"/>
    <w:rsid w:val="00FE3F14"/>
    <w:rsid w:val="00FE410C"/>
    <w:rsid w:val="00FE44C5"/>
    <w:rsid w:val="00FE4876"/>
    <w:rsid w:val="00FE6F94"/>
    <w:rsid w:val="00FE7EA9"/>
    <w:rsid w:val="00FF1021"/>
    <w:rsid w:val="00FF141F"/>
    <w:rsid w:val="00FF153F"/>
    <w:rsid w:val="00FF3D82"/>
    <w:rsid w:val="00FF406D"/>
    <w:rsid w:val="00FF4870"/>
    <w:rsid w:val="00FF4A12"/>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8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F62B54"/>
  </w:style>
  <w:style w:type="character" w:styleId="CommentReference">
    <w:name w:val="annotation reference"/>
    <w:basedOn w:val="DefaultParagraphFont"/>
    <w:uiPriority w:val="99"/>
    <w:semiHidden/>
    <w:unhideWhenUsed/>
    <w:locked/>
    <w:rsid w:val="00FA5B8F"/>
    <w:rPr>
      <w:sz w:val="16"/>
      <w:szCs w:val="16"/>
    </w:rPr>
  </w:style>
  <w:style w:type="paragraph" w:styleId="CommentText">
    <w:name w:val="annotation text"/>
    <w:basedOn w:val="Normal"/>
    <w:link w:val="CommentTextChar"/>
    <w:uiPriority w:val="99"/>
    <w:unhideWhenUsed/>
    <w:locked/>
    <w:rsid w:val="00FA5B8F"/>
    <w:pPr>
      <w:spacing w:line="240" w:lineRule="auto"/>
    </w:pPr>
    <w:rPr>
      <w:sz w:val="20"/>
      <w:szCs w:val="20"/>
    </w:rPr>
  </w:style>
  <w:style w:type="character" w:customStyle="1" w:styleId="CommentTextChar">
    <w:name w:val="Comment Text Char"/>
    <w:basedOn w:val="DefaultParagraphFont"/>
    <w:link w:val="CommentText"/>
    <w:uiPriority w:val="99"/>
    <w:rsid w:val="00FA5B8F"/>
    <w:rPr>
      <w:sz w:val="20"/>
      <w:szCs w:val="20"/>
    </w:rPr>
  </w:style>
  <w:style w:type="paragraph" w:styleId="CommentSubject">
    <w:name w:val="annotation subject"/>
    <w:basedOn w:val="CommentText"/>
    <w:next w:val="CommentText"/>
    <w:link w:val="CommentSubjectChar"/>
    <w:uiPriority w:val="99"/>
    <w:semiHidden/>
    <w:unhideWhenUsed/>
    <w:locked/>
    <w:rsid w:val="00FA5B8F"/>
    <w:rPr>
      <w:b/>
      <w:bCs/>
    </w:rPr>
  </w:style>
  <w:style w:type="character" w:customStyle="1" w:styleId="CommentSubjectChar">
    <w:name w:val="Comment Subject Char"/>
    <w:basedOn w:val="CommentTextChar"/>
    <w:link w:val="CommentSubject"/>
    <w:uiPriority w:val="99"/>
    <w:semiHidden/>
    <w:rsid w:val="00FA5B8F"/>
    <w:rPr>
      <w:b/>
      <w:bCs/>
      <w:sz w:val="20"/>
      <w:szCs w:val="20"/>
    </w:rPr>
  </w:style>
  <w:style w:type="character" w:customStyle="1" w:styleId="FootnoteTextChar">
    <w:name w:val="Footnote Text Char"/>
    <w:basedOn w:val="DefaultParagraphFont"/>
    <w:link w:val="FootnoteText"/>
    <w:uiPriority w:val="53"/>
    <w:rsid w:val="00490193"/>
  </w:style>
  <w:style w:type="character" w:styleId="Hyperlink">
    <w:name w:val="Hyperlink"/>
    <w:basedOn w:val="DefaultParagraphFont"/>
    <w:uiPriority w:val="99"/>
    <w:unhideWhenUsed/>
    <w:locked/>
    <w:rsid w:val="00522C99"/>
    <w:rPr>
      <w:color w:val="0000FF" w:themeColor="hyperlink"/>
      <w:u w:val="single"/>
    </w:rPr>
  </w:style>
  <w:style w:type="paragraph" w:customStyle="1" w:styleId="Body">
    <w:name w:val="Body"/>
    <w:basedOn w:val="Normal"/>
    <w:qFormat/>
    <w:rsid w:val="004D6D1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D6D1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D6D1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D6D1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D6D1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D6D11"/>
    <w:pPr>
      <w:jc w:val="center"/>
    </w:pPr>
    <w:rPr>
      <w:rFonts w:ascii="Times New Roman" w:hAnsi="Times New Roman"/>
      <w:bCs/>
      <w:szCs w:val="20"/>
      <w:lang w:val="en-GB"/>
    </w:rPr>
  </w:style>
  <w:style w:type="paragraph" w:customStyle="1" w:styleId="Default">
    <w:name w:val="Default"/>
    <w:rsid w:val="00DD46A0"/>
    <w:pPr>
      <w:autoSpaceDE w:val="0"/>
      <w:autoSpaceDN w:val="0"/>
      <w:adjustRightInd w:val="0"/>
    </w:pPr>
    <w:rPr>
      <w:rFonts w:eastAsiaTheme="minorHAnsi" w:cs="Univers"/>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9BDAA012-5425-4A98-9E83-430FC215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53</Pages>
  <Words>15842</Words>
  <Characters>90302</Characters>
  <Application>Microsoft Office Word</Application>
  <DocSecurity>0</DocSecurity>
  <Lines>752</Lines>
  <Paragraphs>211</Paragraphs>
  <ScaleCrop>false</ScaleCrop>
  <Company/>
  <LinksUpToDate>false</LinksUpToDate>
  <CharactersWithSpaces>105933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2024-10-11T03:06:00Z</dcterms:created>
  <dcterms:modified xsi:type="dcterms:W3CDTF">2024-10-14T22:08:00Z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