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6065" w14:textId="77777777" w:rsidR="00AC4E05" w:rsidRPr="00704FF8" w:rsidRDefault="00AC4E05" w:rsidP="00704FF8">
      <w:pPr>
        <w:pStyle w:val="OrdersTopLine"/>
      </w:pPr>
      <w:r w:rsidRPr="00704FF8">
        <w:t>HIGH COURT OF AUSTRALIA</w:t>
      </w:r>
    </w:p>
    <w:p w14:paraId="466CB6EB" w14:textId="77777777" w:rsidR="00AC4E05" w:rsidRPr="00704FF8" w:rsidRDefault="00AC4E05" w:rsidP="00704FF8">
      <w:pPr>
        <w:pStyle w:val="OrderCentre"/>
      </w:pPr>
    </w:p>
    <w:p w14:paraId="53B22000" w14:textId="77777777" w:rsidR="00AC4E05" w:rsidRPr="00C46004" w:rsidRDefault="00AC4E05" w:rsidP="00704FF8">
      <w:pPr>
        <w:pStyle w:val="OrderCentre"/>
        <w:rPr>
          <w:spacing w:val="-4"/>
          <w:sz w:val="24"/>
          <w:szCs w:val="24"/>
        </w:rPr>
      </w:pPr>
      <w:r w:rsidRPr="00C46004">
        <w:rPr>
          <w:spacing w:val="-4"/>
          <w:sz w:val="24"/>
          <w:szCs w:val="24"/>
        </w:rPr>
        <w:t>GAGELER CJ,</w:t>
      </w:r>
    </w:p>
    <w:p w14:paraId="7382768A" w14:textId="77777777" w:rsidR="00AC4E05" w:rsidRPr="00704FF8" w:rsidRDefault="00AC4E05" w:rsidP="00704FF8">
      <w:pPr>
        <w:pStyle w:val="OrderCentre"/>
      </w:pPr>
      <w:r w:rsidRPr="00C46004">
        <w:rPr>
          <w:spacing w:val="-4"/>
          <w:sz w:val="24"/>
          <w:szCs w:val="24"/>
        </w:rPr>
        <w:t>GORDON, EDELMAN, GLEESON AND BEECH</w:t>
      </w:r>
      <w:r w:rsidRPr="00C46004">
        <w:rPr>
          <w:spacing w:val="-4"/>
          <w:sz w:val="24"/>
          <w:szCs w:val="24"/>
        </w:rPr>
        <w:noBreakHyphen/>
        <w:t>JONES JJ</w:t>
      </w:r>
    </w:p>
    <w:p w14:paraId="6F0A8477" w14:textId="77777777" w:rsidR="00AC4E05" w:rsidRPr="00427F3A" w:rsidRDefault="00AC4E05" w:rsidP="00EE5374">
      <w:pPr>
        <w:pStyle w:val="Centre"/>
        <w:rPr>
          <w:lang w:val="en-AU"/>
        </w:rPr>
      </w:pPr>
    </w:p>
    <w:p w14:paraId="0188BEA6" w14:textId="77777777" w:rsidR="00AC4E05" w:rsidRPr="00704FF8" w:rsidRDefault="00AC4E05" w:rsidP="00704FF8">
      <w:pPr>
        <w:pStyle w:val="OrdersCenteredBorder"/>
      </w:pPr>
    </w:p>
    <w:p w14:paraId="76068BB1" w14:textId="77777777" w:rsidR="00AC4E05" w:rsidRPr="00704FF8" w:rsidRDefault="00AC4E05" w:rsidP="0032341F">
      <w:pPr>
        <w:pStyle w:val="OrdersBodyHeading"/>
      </w:pPr>
    </w:p>
    <w:p w14:paraId="7429F7A4" w14:textId="77777777" w:rsidR="00AC4E05" w:rsidRPr="0032341F" w:rsidRDefault="00AC4E05" w:rsidP="009362E8">
      <w:pPr>
        <w:pStyle w:val="OrdersPartyName"/>
        <w:ind w:right="-1"/>
      </w:pPr>
      <w:r w:rsidRPr="00FA5213">
        <w:t>BIANCA</w:t>
      </w:r>
      <w:r>
        <w:t xml:space="preserve"> </w:t>
      </w:r>
      <w:r w:rsidRPr="00FA5213">
        <w:t>FULLER</w:t>
      </w:r>
      <w:r>
        <w:t xml:space="preserve"> </w:t>
      </w:r>
      <w:r w:rsidRPr="00FA5213">
        <w:t>&amp; ANOR</w:t>
      </w:r>
      <w:r w:rsidRPr="0032341F">
        <w:tab/>
        <w:t>APPELLANT</w:t>
      </w:r>
      <w:r>
        <w:t>S</w:t>
      </w:r>
    </w:p>
    <w:p w14:paraId="090E3B01" w14:textId="77777777" w:rsidR="00AC4E05" w:rsidRPr="0032341F" w:rsidRDefault="00AC4E05" w:rsidP="009362E8">
      <w:pPr>
        <w:pStyle w:val="OrdersPartyName"/>
        <w:ind w:right="-1"/>
      </w:pPr>
    </w:p>
    <w:p w14:paraId="01FA428D" w14:textId="77777777" w:rsidR="00AC4E05" w:rsidRPr="0032341F" w:rsidRDefault="00AC4E05" w:rsidP="009362E8">
      <w:pPr>
        <w:pStyle w:val="OrdersPartyName"/>
        <w:ind w:right="-1"/>
      </w:pPr>
      <w:r w:rsidRPr="0032341F">
        <w:t>AND</w:t>
      </w:r>
    </w:p>
    <w:p w14:paraId="78D7BCA3" w14:textId="77777777" w:rsidR="00AC4E05" w:rsidRPr="0032341F" w:rsidRDefault="00AC4E05" w:rsidP="009362E8">
      <w:pPr>
        <w:pStyle w:val="OrdersPartyName"/>
        <w:ind w:right="-1"/>
      </w:pPr>
    </w:p>
    <w:p w14:paraId="076CB9DF" w14:textId="77777777" w:rsidR="00AC4E05" w:rsidRPr="0032341F" w:rsidRDefault="00AC4E05" w:rsidP="009362E8">
      <w:pPr>
        <w:pStyle w:val="OrdersPartyName"/>
        <w:ind w:right="-1"/>
      </w:pPr>
      <w:r w:rsidRPr="00FA5213">
        <w:t>MARK</w:t>
      </w:r>
      <w:r>
        <w:t xml:space="preserve"> </w:t>
      </w:r>
      <w:r w:rsidRPr="00FA5213">
        <w:t>LAWRENCE</w:t>
      </w:r>
      <w:r w:rsidRPr="0032341F">
        <w:tab/>
        <w:t>RESPONDENT</w:t>
      </w:r>
    </w:p>
    <w:p w14:paraId="712365C4" w14:textId="77777777" w:rsidR="00AC4E05" w:rsidRPr="00427F3A" w:rsidRDefault="00AC4E05" w:rsidP="00AF0A5E">
      <w:pPr>
        <w:pStyle w:val="BodyHeading"/>
      </w:pPr>
    </w:p>
    <w:p w14:paraId="76041486" w14:textId="77777777" w:rsidR="00AC4E05" w:rsidRPr="00427F3A" w:rsidRDefault="00AC4E05" w:rsidP="00BE0A6C">
      <w:pPr>
        <w:pStyle w:val="BodyHeading"/>
      </w:pPr>
    </w:p>
    <w:p w14:paraId="1594507E" w14:textId="77777777" w:rsidR="00AC4E05" w:rsidRPr="00427F3A" w:rsidRDefault="00AC4E05" w:rsidP="00EE5374">
      <w:pPr>
        <w:pStyle w:val="CentreItalics"/>
      </w:pPr>
      <w:r w:rsidRPr="00FA5213">
        <w:t>Fuller v Lawrence</w:t>
      </w:r>
    </w:p>
    <w:p w14:paraId="75E0B654" w14:textId="77777777" w:rsidR="00AC4E05" w:rsidRPr="00427F3A" w:rsidRDefault="00AC4E05" w:rsidP="00E90E4F">
      <w:pPr>
        <w:pStyle w:val="OrdersCentre"/>
      </w:pPr>
      <w:r>
        <w:t>[2024</w:t>
      </w:r>
      <w:r w:rsidRPr="00427F3A">
        <w:t xml:space="preserve">] HCA </w:t>
      </w:r>
      <w:r>
        <w:t>45</w:t>
      </w:r>
    </w:p>
    <w:p w14:paraId="48BFBC6F" w14:textId="77777777" w:rsidR="00AC4E05" w:rsidRDefault="00AC4E05" w:rsidP="00E90E4F">
      <w:pPr>
        <w:pStyle w:val="OrdersCentreItalics"/>
      </w:pPr>
      <w:r>
        <w:t xml:space="preserve">Date of Hearing: </w:t>
      </w:r>
      <w:r w:rsidRPr="00FA5213">
        <w:t>10 September 2024</w:t>
      </w:r>
    </w:p>
    <w:p w14:paraId="7EACDB57" w14:textId="77777777" w:rsidR="00AC4E05" w:rsidRPr="00427F3A" w:rsidRDefault="00AC4E05" w:rsidP="00E90E4F">
      <w:pPr>
        <w:pStyle w:val="OrdersCentreItalics"/>
      </w:pPr>
      <w:r>
        <w:t>Date of Judgment: 4 December 2024</w:t>
      </w:r>
    </w:p>
    <w:p w14:paraId="4867A3D2" w14:textId="77777777" w:rsidR="00AC4E05" w:rsidRDefault="00AC4E05" w:rsidP="00E90E4F">
      <w:pPr>
        <w:pStyle w:val="OrdersCentre"/>
      </w:pPr>
      <w:r w:rsidRPr="00FA5213">
        <w:t>B24/2024</w:t>
      </w:r>
    </w:p>
    <w:p w14:paraId="4B049C02" w14:textId="77777777" w:rsidR="00AC4E05" w:rsidRPr="00427F3A" w:rsidRDefault="00AC4E05" w:rsidP="00E90E4F">
      <w:pPr>
        <w:pStyle w:val="OrdersCentre"/>
      </w:pPr>
    </w:p>
    <w:p w14:paraId="0AE1E813" w14:textId="77777777" w:rsidR="00AC4E05" w:rsidRPr="00BE0A6C" w:rsidRDefault="00AC4E05" w:rsidP="00E90E4F">
      <w:pPr>
        <w:pStyle w:val="OrderCentreBold"/>
      </w:pPr>
      <w:r w:rsidRPr="00BE0A6C">
        <w:t>ORDER</w:t>
      </w:r>
    </w:p>
    <w:p w14:paraId="1790D13C" w14:textId="77777777" w:rsidR="00AC4E05" w:rsidRPr="00427F3A" w:rsidRDefault="00AC4E05" w:rsidP="00736C52">
      <w:pPr>
        <w:pStyle w:val="Centre"/>
        <w:rPr>
          <w:lang w:val="en-AU"/>
        </w:rPr>
      </w:pPr>
    </w:p>
    <w:p w14:paraId="29B7A458" w14:textId="77777777" w:rsidR="00AC4E05" w:rsidRPr="00C80CF0" w:rsidRDefault="00AC4E05" w:rsidP="00514E7A">
      <w:pPr>
        <w:pStyle w:val="OrdersText"/>
      </w:pPr>
      <w:r>
        <w:t>Appeal dismissed with costs.</w:t>
      </w:r>
    </w:p>
    <w:p w14:paraId="05288AA1" w14:textId="77777777" w:rsidR="00AC4E05" w:rsidRDefault="00AC4E05" w:rsidP="00EE5374">
      <w:pPr>
        <w:pStyle w:val="Body"/>
      </w:pPr>
    </w:p>
    <w:p w14:paraId="7F5B00FA" w14:textId="77777777" w:rsidR="00AC4E05" w:rsidRPr="00427F3A" w:rsidRDefault="00AC4E05" w:rsidP="00EE5374">
      <w:pPr>
        <w:pStyle w:val="Body"/>
      </w:pPr>
    </w:p>
    <w:p w14:paraId="61416364" w14:textId="77777777" w:rsidR="00AC4E05" w:rsidRPr="00427F3A" w:rsidRDefault="00AC4E05" w:rsidP="0032341F">
      <w:pPr>
        <w:pStyle w:val="OrdersBody"/>
      </w:pPr>
      <w:r w:rsidRPr="00427F3A">
        <w:t xml:space="preserve">On appeal from the </w:t>
      </w:r>
      <w:r w:rsidRPr="00FA5213">
        <w:t>Supreme Court of Queensland</w:t>
      </w:r>
    </w:p>
    <w:p w14:paraId="248ED4D0" w14:textId="77777777" w:rsidR="00AC4E05" w:rsidRDefault="00AC4E05" w:rsidP="00EE5374">
      <w:pPr>
        <w:pStyle w:val="Body"/>
      </w:pPr>
    </w:p>
    <w:p w14:paraId="1686EF1B" w14:textId="77777777" w:rsidR="00AC4E05" w:rsidRPr="00427F3A" w:rsidRDefault="00AC4E05" w:rsidP="00EE5374">
      <w:pPr>
        <w:pStyle w:val="Body"/>
      </w:pPr>
    </w:p>
    <w:p w14:paraId="518F937C" w14:textId="77777777" w:rsidR="00AC4E05" w:rsidRPr="00427F3A" w:rsidRDefault="00AC4E05" w:rsidP="00E90E4F">
      <w:pPr>
        <w:pStyle w:val="OrdersBodyHeading"/>
      </w:pPr>
      <w:r w:rsidRPr="00427F3A">
        <w:t>Representation</w:t>
      </w:r>
    </w:p>
    <w:p w14:paraId="0C19CA20" w14:textId="77777777" w:rsidR="00AC4E05" w:rsidRDefault="00AC4E05" w:rsidP="00EE5374">
      <w:pPr>
        <w:pStyle w:val="Body"/>
      </w:pPr>
    </w:p>
    <w:p w14:paraId="546BEB71" w14:textId="77777777" w:rsidR="00AC4E05" w:rsidRPr="00FA5213" w:rsidRDefault="00AC4E05" w:rsidP="00E90E4F">
      <w:pPr>
        <w:pStyle w:val="OrdersBody"/>
      </w:pPr>
      <w:r w:rsidRPr="00FA5213">
        <w:t>A D Scott KC with P K O</w:t>
      </w:r>
      <w:r w:rsidRPr="00FA5213">
        <w:rPr>
          <w:lang w:val="en-AU"/>
        </w:rPr>
        <w:t>'H</w:t>
      </w:r>
      <w:r w:rsidRPr="00FA5213">
        <w:t>iggins</w:t>
      </w:r>
      <w:r>
        <w:t xml:space="preserve"> </w:t>
      </w:r>
      <w:r w:rsidRPr="00FA5213">
        <w:t>KC for the appellants (instructed by Crown Law (Qld))</w:t>
      </w:r>
    </w:p>
    <w:p w14:paraId="4B342245" w14:textId="77777777" w:rsidR="00AC4E05" w:rsidRPr="00FA5213" w:rsidRDefault="00AC4E05" w:rsidP="001B3C97">
      <w:pPr>
        <w:pStyle w:val="Body"/>
      </w:pPr>
    </w:p>
    <w:p w14:paraId="2A139133" w14:textId="77777777" w:rsidR="00AC4E05" w:rsidRPr="00FA5213" w:rsidRDefault="00AC4E05" w:rsidP="00E90E4F">
      <w:pPr>
        <w:pStyle w:val="OrdersBody"/>
      </w:pPr>
      <w:r w:rsidRPr="00FA5213">
        <w:t>M Black with R H Berry for the respondent (instructed by Suncoast Community Legal Service)</w:t>
      </w:r>
    </w:p>
    <w:p w14:paraId="4BB62D17" w14:textId="77777777" w:rsidR="00AC4E05" w:rsidRDefault="00AC4E05" w:rsidP="00A01277">
      <w:pPr>
        <w:pStyle w:val="Body"/>
      </w:pPr>
    </w:p>
    <w:p w14:paraId="26ECA3D9" w14:textId="77777777" w:rsidR="00AC4E05" w:rsidRDefault="00AC4E05" w:rsidP="00EE5374">
      <w:pPr>
        <w:pStyle w:val="Body"/>
      </w:pPr>
    </w:p>
    <w:p w14:paraId="32940A3E" w14:textId="77777777" w:rsidR="00AC4E05" w:rsidRDefault="00AC4E05" w:rsidP="00EE5374">
      <w:pPr>
        <w:pStyle w:val="Body"/>
      </w:pPr>
    </w:p>
    <w:p w14:paraId="31F67CA6" w14:textId="77777777" w:rsidR="00AC4E05" w:rsidRDefault="00AC4E05" w:rsidP="00EE5374">
      <w:pPr>
        <w:pStyle w:val="Body"/>
      </w:pPr>
    </w:p>
    <w:p w14:paraId="5F56832A" w14:textId="77777777" w:rsidR="00AC4E05" w:rsidRPr="00427F3A" w:rsidRDefault="00AC4E05" w:rsidP="00EE5374">
      <w:pPr>
        <w:pStyle w:val="Body"/>
      </w:pPr>
    </w:p>
    <w:p w14:paraId="14F2B91A" w14:textId="77777777" w:rsidR="00AC4E05" w:rsidRPr="00427F3A" w:rsidRDefault="00AC4E05" w:rsidP="00F9713B">
      <w:pPr>
        <w:pStyle w:val="Notice"/>
        <w:rPr>
          <w:lang w:val="en-AU"/>
        </w:rPr>
      </w:pPr>
      <w:r w:rsidRPr="00427F3A">
        <w:rPr>
          <w:lang w:val="en-AU"/>
        </w:rPr>
        <w:t>Notice:  This copy of the Court's Reasons for Judgment is subject to formal revision prior to publication in the Commonwealth Law Reports.</w:t>
      </w:r>
    </w:p>
    <w:p w14:paraId="0CD21EF3" w14:textId="42A37539" w:rsidR="00AC4E05" w:rsidRDefault="00AC4E0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829AF6F" w14:textId="77777777" w:rsidR="00E67081" w:rsidRDefault="00AC4E0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67081" w:rsidSect="00AC4E0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7E4708A" w14:textId="77777777" w:rsidR="00E67081" w:rsidRDefault="00E67081" w:rsidP="00E67081">
      <w:pPr>
        <w:pStyle w:val="CatchwordsBold"/>
      </w:pPr>
      <w:r w:rsidRPr="00B9489E">
        <w:lastRenderedPageBreak/>
        <w:t>CATCHWORDS</w:t>
      </w:r>
    </w:p>
    <w:p w14:paraId="01BE3847" w14:textId="77777777" w:rsidR="00E67081" w:rsidRPr="00B9489E" w:rsidRDefault="00E67081" w:rsidP="00E67081">
      <w:pPr>
        <w:pStyle w:val="CatchwordsBold"/>
      </w:pPr>
    </w:p>
    <w:p w14:paraId="79819C9C" w14:textId="77777777" w:rsidR="00E67081" w:rsidRPr="00B9489E" w:rsidRDefault="00E67081" w:rsidP="00E67081">
      <w:pPr>
        <w:pStyle w:val="CatchwordsBold"/>
      </w:pPr>
      <w:r>
        <w:t>Fuller v Lawrence</w:t>
      </w:r>
    </w:p>
    <w:p w14:paraId="7C61FBF0" w14:textId="77777777" w:rsidR="00E67081" w:rsidRPr="00B9489E" w:rsidRDefault="00E67081" w:rsidP="00E67081">
      <w:pPr>
        <w:pStyle w:val="CatchwordsBold"/>
      </w:pPr>
    </w:p>
    <w:p w14:paraId="560B3347" w14:textId="77777777" w:rsidR="00E67081" w:rsidRPr="007205B0" w:rsidRDefault="00E67081" w:rsidP="00E67081">
      <w:pPr>
        <w:pStyle w:val="CatchwordsText"/>
      </w:pPr>
      <w:r>
        <w:t xml:space="preserve">Administrative law – Judicial review – Decision of administrative character made under an enactment – Where prisoner was subject to supervision order of Supreme Court of Queensland – Where </w:t>
      </w:r>
      <w:r w:rsidRPr="00B53CFE">
        <w:rPr>
          <w:i/>
          <w:iCs/>
        </w:rPr>
        <w:t>Dangerous Prisoners (Sexual Offenders) Act 2003</w:t>
      </w:r>
      <w:r w:rsidRPr="007205B0">
        <w:t xml:space="preserve"> </w:t>
      </w:r>
      <w:r>
        <w:t>(Qld) required supervision order to contain requirement that prisoner comply with every reasonable direction of corrective services officer – Whether prisoner entitled to reasons for direction – Whether Act source of direction's effect on prisoner's legal obligations.</w:t>
      </w:r>
    </w:p>
    <w:p w14:paraId="06BB05D6" w14:textId="77777777" w:rsidR="00E67081" w:rsidRPr="00E67081" w:rsidRDefault="00E67081" w:rsidP="00E67081">
      <w:pPr>
        <w:pStyle w:val="CatchwordsText"/>
      </w:pPr>
    </w:p>
    <w:p w14:paraId="4FDB8A74" w14:textId="77777777" w:rsidR="00E67081" w:rsidRPr="00B437C6" w:rsidRDefault="00E67081" w:rsidP="00E67081">
      <w:pPr>
        <w:pStyle w:val="CatchwordsText"/>
      </w:pPr>
      <w:r w:rsidRPr="00AD18D4">
        <w:t>Words and phrases</w:t>
      </w:r>
      <w:r>
        <w:t xml:space="preserve"> </w:t>
      </w:r>
      <w:bookmarkStart w:id="0" w:name="_Hlk161737022"/>
      <w:r>
        <w:t>–</w:t>
      </w:r>
      <w:bookmarkEnd w:id="0"/>
      <w:r>
        <w:t xml:space="preserve"> </w:t>
      </w:r>
      <w:r w:rsidRPr="00554916">
        <w:t>"</w:t>
      </w:r>
      <w:r>
        <w:t>decision made under an enactment</w:t>
      </w:r>
      <w:r w:rsidRPr="00554916">
        <w:t>"</w:t>
      </w:r>
      <w:r>
        <w:t>,</w:t>
      </w:r>
      <w:r w:rsidRPr="00554916">
        <w:t xml:space="preserve"> </w:t>
      </w:r>
      <w:r>
        <w:t xml:space="preserve">"direction", "judicial review", "legal </w:t>
      </w:r>
      <w:r w:rsidRPr="00B437C6">
        <w:t xml:space="preserve">force or effect from statute", </w:t>
      </w:r>
      <w:r>
        <w:t xml:space="preserve">"legal rights or obligations", </w:t>
      </w:r>
      <w:r w:rsidRPr="00B437C6">
        <w:t>"statement of reasons"</w:t>
      </w:r>
      <w:r>
        <w:t xml:space="preserve">, </w:t>
      </w:r>
      <w:r w:rsidRPr="00B437C6">
        <w:t>"supervision order"</w:t>
      </w:r>
      <w:r>
        <w:t>.</w:t>
      </w:r>
    </w:p>
    <w:p w14:paraId="345B6852" w14:textId="77777777" w:rsidR="00E67081" w:rsidRPr="00E67081" w:rsidRDefault="00E67081" w:rsidP="00E67081">
      <w:pPr>
        <w:pStyle w:val="CatchwordsText"/>
      </w:pPr>
    </w:p>
    <w:p w14:paraId="31BDE602" w14:textId="77777777" w:rsidR="00E67081" w:rsidRPr="00E67081" w:rsidRDefault="00E67081" w:rsidP="00E67081">
      <w:pPr>
        <w:pStyle w:val="CatchwordsText"/>
      </w:pPr>
      <w:r w:rsidRPr="00E67081">
        <w:rPr>
          <w:i/>
          <w:iCs/>
        </w:rPr>
        <w:t>Dangerous Prisoners (Sexual Offenders) Act 2003</w:t>
      </w:r>
      <w:r w:rsidRPr="00B437C6">
        <w:t xml:space="preserve"> (Qld)</w:t>
      </w:r>
      <w:r>
        <w:t>,</w:t>
      </w:r>
      <w:r w:rsidRPr="00B437C6">
        <w:t xml:space="preserve"> ss 13, 16, 16C, 20, 43AA</w:t>
      </w:r>
      <w:r>
        <w:t>.</w:t>
      </w:r>
    </w:p>
    <w:p w14:paraId="13D4EA45" w14:textId="62E518F1" w:rsidR="00AC4E05" w:rsidRDefault="00E67081" w:rsidP="00E67081">
      <w:pPr>
        <w:pStyle w:val="CatchwordsText"/>
      </w:pPr>
      <w:r w:rsidRPr="00B53CFE">
        <w:rPr>
          <w:i/>
          <w:iCs/>
        </w:rPr>
        <w:t>Judicial Review Act 1991</w:t>
      </w:r>
      <w:r w:rsidRPr="00B437C6">
        <w:t xml:space="preserve"> (Qld)</w:t>
      </w:r>
      <w:r>
        <w:t>,</w:t>
      </w:r>
      <w:r w:rsidRPr="00B437C6">
        <w:t xml:space="preserve"> ss 4, 30, 32, 33</w:t>
      </w:r>
      <w:r>
        <w:t>.</w:t>
      </w:r>
    </w:p>
    <w:p w14:paraId="383D32E9" w14:textId="5E14DD22" w:rsidR="00E67081" w:rsidRDefault="00E670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174406F" w14:textId="43D8CF6B" w:rsidR="00E67081" w:rsidRDefault="00E6708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F9A27B1" w14:textId="77777777" w:rsidR="00AC4E05" w:rsidRDefault="00AC4E05" w:rsidP="002977FB">
      <w:pPr>
        <w:pStyle w:val="FixListStyle"/>
        <w:tabs>
          <w:tab w:val="clear" w:pos="720"/>
          <w:tab w:val="left" w:pos="0"/>
        </w:tabs>
        <w:spacing w:after="260" w:line="280" w:lineRule="exact"/>
        <w:ind w:right="0"/>
        <w:jc w:val="both"/>
        <w:rPr>
          <w:rFonts w:ascii="Times New Roman" w:hAnsi="Times New Roman"/>
        </w:rPr>
        <w:sectPr w:rsidR="00AC4E05" w:rsidSect="00E67081">
          <w:pgSz w:w="11907" w:h="16839" w:code="9"/>
          <w:pgMar w:top="1440" w:right="1701" w:bottom="1984" w:left="1701" w:header="720" w:footer="720" w:gutter="0"/>
          <w:pgNumType w:start="1"/>
          <w:cols w:space="720"/>
          <w:titlePg/>
          <w:docGrid w:linePitch="354"/>
        </w:sectPr>
      </w:pPr>
    </w:p>
    <w:p w14:paraId="5354DB24" w14:textId="0E56B7CA" w:rsidR="00EF23CA" w:rsidRPr="002977FB" w:rsidRDefault="002977FB" w:rsidP="002977FB">
      <w:pPr>
        <w:pStyle w:val="FixListStyle"/>
        <w:tabs>
          <w:tab w:val="clear" w:pos="720"/>
          <w:tab w:val="left" w:pos="0"/>
        </w:tabs>
        <w:spacing w:after="260" w:line="280" w:lineRule="exact"/>
        <w:ind w:right="0"/>
        <w:jc w:val="both"/>
        <w:rPr>
          <w:rFonts w:ascii="Times New Roman" w:hAnsi="Times New Roman"/>
        </w:rPr>
      </w:pPr>
      <w:r w:rsidRPr="002977FB">
        <w:rPr>
          <w:rFonts w:ascii="Times New Roman" w:hAnsi="Times New Roman"/>
        </w:rPr>
        <w:lastRenderedPageBreak/>
        <w:t xml:space="preserve">GAGELER CJ, GORDON, EDELMAN, GLEESON AND BEECH-JONES JJ.   </w:t>
      </w:r>
      <w:r w:rsidR="00EF23CA" w:rsidRPr="002977FB">
        <w:rPr>
          <w:rFonts w:ascii="Times New Roman" w:hAnsi="Times New Roman"/>
        </w:rPr>
        <w:t xml:space="preserve">The issue raised by this appeal is whether a direction, given by a corrective services officer to a prisoner under the </w:t>
      </w:r>
      <w:r w:rsidR="00EF23CA" w:rsidRPr="002977FB">
        <w:rPr>
          <w:rFonts w:ascii="Times New Roman" w:hAnsi="Times New Roman"/>
          <w:i/>
          <w:iCs/>
        </w:rPr>
        <w:t>Dangerous Prisoners (Sexual Offend</w:t>
      </w:r>
      <w:r w:rsidR="007A0E82" w:rsidRPr="002977FB">
        <w:rPr>
          <w:rFonts w:ascii="Times New Roman" w:hAnsi="Times New Roman"/>
          <w:i/>
          <w:iCs/>
        </w:rPr>
        <w:t>ers</w:t>
      </w:r>
      <w:r w:rsidR="00EF23CA" w:rsidRPr="002977FB">
        <w:rPr>
          <w:rFonts w:ascii="Times New Roman" w:hAnsi="Times New Roman"/>
          <w:i/>
          <w:iCs/>
        </w:rPr>
        <w:t xml:space="preserve">) Act 2003 </w:t>
      </w:r>
      <w:r w:rsidR="00EF23CA" w:rsidRPr="002977FB">
        <w:rPr>
          <w:rFonts w:ascii="Times New Roman" w:hAnsi="Times New Roman"/>
        </w:rPr>
        <w:t xml:space="preserve">(Qld) ("the DPSO Act"), is subject to judicial review pursuant to the </w:t>
      </w:r>
      <w:r w:rsidR="00EF23CA" w:rsidRPr="002977FB">
        <w:rPr>
          <w:rFonts w:ascii="Times New Roman" w:hAnsi="Times New Roman"/>
          <w:i/>
          <w:iCs/>
        </w:rPr>
        <w:t xml:space="preserve">Judicial Review Act 1991 </w:t>
      </w:r>
      <w:r w:rsidR="00EF23CA" w:rsidRPr="002977FB">
        <w:rPr>
          <w:rFonts w:ascii="Times New Roman" w:hAnsi="Times New Roman"/>
        </w:rPr>
        <w:t xml:space="preserve">(Qld) ("the </w:t>
      </w:r>
      <w:r w:rsidR="00EF23CA" w:rsidRPr="002977FB">
        <w:rPr>
          <w:rFonts w:ascii="Times New Roman" w:hAnsi="Times New Roman"/>
          <w:i/>
          <w:iCs/>
        </w:rPr>
        <w:t>Review Act</w:t>
      </w:r>
      <w:r w:rsidR="00EF23CA" w:rsidRPr="002977FB">
        <w:rPr>
          <w:rFonts w:ascii="Times New Roman" w:hAnsi="Times New Roman"/>
        </w:rPr>
        <w:t>"), so that the prisoner is entitled to receive a statement of reasons for the direction. That issue is determined by whether the direction is a decision of an administrative character "made</w:t>
      </w:r>
      <w:r w:rsidR="007A0E82" w:rsidRPr="002977FB">
        <w:rPr>
          <w:rFonts w:ascii="Times New Roman" w:hAnsi="Times New Roman"/>
        </w:rPr>
        <w:t xml:space="preserve"> </w:t>
      </w:r>
      <w:r w:rsidR="00EF23CA" w:rsidRPr="002977FB">
        <w:rPr>
          <w:rFonts w:ascii="Times New Roman" w:hAnsi="Times New Roman"/>
        </w:rPr>
        <w:t>...</w:t>
      </w:r>
      <w:r w:rsidR="007A0E82" w:rsidRPr="002977FB">
        <w:rPr>
          <w:rFonts w:ascii="Times New Roman" w:hAnsi="Times New Roman"/>
        </w:rPr>
        <w:t xml:space="preserve"> </w:t>
      </w:r>
      <w:r w:rsidR="00EF23CA" w:rsidRPr="002977FB">
        <w:rPr>
          <w:rFonts w:ascii="Times New Roman" w:hAnsi="Times New Roman"/>
        </w:rPr>
        <w:t xml:space="preserve">under an enactment" within the meaning of the </w:t>
      </w:r>
      <w:r w:rsidR="00EF23CA" w:rsidRPr="002977FB">
        <w:rPr>
          <w:rFonts w:ascii="Times New Roman" w:hAnsi="Times New Roman"/>
          <w:i/>
          <w:iCs/>
        </w:rPr>
        <w:t>Review Act</w:t>
      </w:r>
      <w:r w:rsidR="00EF23CA" w:rsidRPr="002977FB">
        <w:rPr>
          <w:rFonts w:ascii="Times New Roman" w:hAnsi="Times New Roman"/>
        </w:rPr>
        <w:t>,</w:t>
      </w:r>
      <w:r w:rsidR="00EF23CA" w:rsidRPr="002977FB">
        <w:rPr>
          <w:rFonts w:ascii="Times New Roman" w:hAnsi="Times New Roman"/>
          <w:i/>
          <w:iCs/>
        </w:rPr>
        <w:t xml:space="preserve"> </w:t>
      </w:r>
      <w:r w:rsidR="00EF23CA" w:rsidRPr="002977FB">
        <w:rPr>
          <w:rFonts w:ascii="Times New Roman" w:hAnsi="Times New Roman"/>
        </w:rPr>
        <w:t xml:space="preserve">as that phrase was explained by this Court in </w:t>
      </w:r>
      <w:r w:rsidR="00EF23CA" w:rsidRPr="002977FB">
        <w:rPr>
          <w:rFonts w:ascii="Times New Roman" w:hAnsi="Times New Roman"/>
          <w:i/>
          <w:iCs/>
        </w:rPr>
        <w:t xml:space="preserve">Griffith University v Tang </w:t>
      </w:r>
      <w:r w:rsidR="00EF23CA" w:rsidRPr="002977FB">
        <w:rPr>
          <w:rFonts w:ascii="Times New Roman" w:hAnsi="Times New Roman"/>
        </w:rPr>
        <w:t>("</w:t>
      </w:r>
      <w:r w:rsidR="00EF23CA" w:rsidRPr="002977FB">
        <w:rPr>
          <w:rFonts w:ascii="Times New Roman" w:hAnsi="Times New Roman"/>
          <w:i/>
          <w:iCs/>
        </w:rPr>
        <w:t>Tang</w:t>
      </w:r>
      <w:r w:rsidR="00EF23CA" w:rsidRPr="002977FB">
        <w:rPr>
          <w:rFonts w:ascii="Times New Roman" w:hAnsi="Times New Roman"/>
        </w:rPr>
        <w:t>").</w:t>
      </w:r>
      <w:r w:rsidR="00EF23CA" w:rsidRPr="002977FB">
        <w:rPr>
          <w:rStyle w:val="FootnoteReference"/>
          <w:rFonts w:ascii="Times New Roman" w:hAnsi="Times New Roman"/>
          <w:sz w:val="24"/>
        </w:rPr>
        <w:footnoteReference w:id="2"/>
      </w:r>
      <w:r w:rsidR="00EF23CA" w:rsidRPr="002977FB">
        <w:rPr>
          <w:rFonts w:ascii="Times New Roman" w:hAnsi="Times New Roman"/>
        </w:rPr>
        <w:t xml:space="preserve"> </w:t>
      </w:r>
    </w:p>
    <w:p w14:paraId="7967E897" w14:textId="13FBB13F"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respondent, Mr Lawrence, is the subject of a supervision order made by Bowskill J (as her Honour then was) on 16 April 2020 under s 13(5)(b) of the DPSO Act ("the Supervision Order"). Section 13(5) of the DPSO Act relevantly empowers the Supreme Court of Queensland to make an order that a prisoner "be released from custody subject to the requirements it considers appropriate that are stated in the order", if satisfied that </w:t>
      </w:r>
      <w:r w:rsidR="004173EA" w:rsidRPr="002977FB">
        <w:rPr>
          <w:rFonts w:ascii="Times New Roman" w:hAnsi="Times New Roman"/>
        </w:rPr>
        <w:t xml:space="preserve">the </w:t>
      </w:r>
      <w:r w:rsidRPr="002977FB">
        <w:rPr>
          <w:rFonts w:ascii="Times New Roman" w:hAnsi="Times New Roman"/>
        </w:rPr>
        <w:t>prisoner is a "serious danger to the community"</w:t>
      </w:r>
      <w:r w:rsidRPr="002977FB">
        <w:rPr>
          <w:rStyle w:val="FootnoteReference"/>
          <w:rFonts w:ascii="Times New Roman" w:hAnsi="Times New Roman"/>
          <w:sz w:val="24"/>
        </w:rPr>
        <w:footnoteReference w:id="3"/>
      </w:r>
      <w:r w:rsidRPr="002977FB">
        <w:rPr>
          <w:rFonts w:ascii="Times New Roman" w:hAnsi="Times New Roman"/>
        </w:rPr>
        <w:t xml:space="preserve"> in the absence of such an order.</w:t>
      </w:r>
      <w:r w:rsidRPr="002977FB">
        <w:rPr>
          <w:rStyle w:val="FootnoteReference"/>
          <w:rFonts w:ascii="Times New Roman" w:hAnsi="Times New Roman"/>
          <w:sz w:val="24"/>
        </w:rPr>
        <w:footnoteReference w:id="4"/>
      </w:r>
      <w:r w:rsidRPr="002977FB">
        <w:rPr>
          <w:rFonts w:ascii="Times New Roman" w:hAnsi="Times New Roman"/>
        </w:rPr>
        <w:t xml:space="preserve"> Section 16 of the DPSO Act specifies requirements that must be contained in a supervision order including, by s 16(1)(db), that the prisoner "comply with every reasonable direction of a corrective services officer that is not directly inconsistent with a requirement of the order".</w:t>
      </w:r>
    </w:p>
    <w:p w14:paraId="2252DF78" w14:textId="18710820"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The Supervision Order obliges Mr Lawrence to</w:t>
      </w:r>
      <w:r w:rsidRPr="002977FB">
        <w:rPr>
          <w:rFonts w:ascii="Times New Roman" w:hAnsi="Times New Roman"/>
          <w:b/>
          <w:bCs/>
        </w:rPr>
        <w:t xml:space="preserve"> </w:t>
      </w:r>
      <w:r w:rsidRPr="00C50D42">
        <w:rPr>
          <w:rFonts w:ascii="Times New Roman" w:hAnsi="Times New Roman"/>
        </w:rPr>
        <w:t>"</w:t>
      </w:r>
      <w:r w:rsidRPr="002977FB">
        <w:rPr>
          <w:rFonts w:ascii="Times New Roman" w:hAnsi="Times New Roman"/>
        </w:rPr>
        <w:t>follow the rules" in the Supervision Order for 20 years, that is, until 16 April 2040. In accordance with s 16(1)(db) of the DPSO Act, cl 6 of the Supervision Order requires him to obey any reasonable direction that a corrective services officer gives him about, relevantly, "who you may not have contact with".</w:t>
      </w:r>
    </w:p>
    <w:p w14:paraId="6053C6C0" w14:textId="4C58EC7A"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Mr Lawrence was released from custody pursuant to the Supervision Order on 16 April 2020. In November 2022, the first appellant, Ms Fuller, gave </w:t>
      </w:r>
      <w:r w:rsidRPr="002977FB">
        <w:rPr>
          <w:rFonts w:ascii="Times New Roman" w:hAnsi="Times New Roman"/>
        </w:rPr>
        <w:lastRenderedPageBreak/>
        <w:t>Mr Lawrence a document entitled "Reasonable Direction: General". Ms Fuller is a corrective services officer within the meaning of the DPSO Act and within the meaning of the Supervision Order.</w:t>
      </w:r>
      <w:r w:rsidRPr="002977FB">
        <w:rPr>
          <w:rStyle w:val="FootnoteReference"/>
          <w:rFonts w:ascii="Times New Roman" w:hAnsi="Times New Roman"/>
          <w:sz w:val="24"/>
        </w:rPr>
        <w:footnoteReference w:id="5"/>
      </w:r>
      <w:r w:rsidRPr="002977FB">
        <w:rPr>
          <w:rFonts w:ascii="Times New Roman" w:hAnsi="Times New Roman"/>
        </w:rPr>
        <w:t xml:space="preserve"> In accordance with cl 6 of the Supervision Order, the document stated that Mr Lawrence was approved to have phone contact with a named person (including Facetime video calls) but was not approved to have in-person contact with that named person ("the Direction Decision"). </w:t>
      </w:r>
    </w:p>
    <w:p w14:paraId="08FC8A85" w14:textId="65F4D5A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By letter dated 27 December 2022, Mr Lawrence requested a statement of reasons in relation to the Direction Decision under s 32 of the </w:t>
      </w:r>
      <w:r w:rsidRPr="002977FB">
        <w:rPr>
          <w:rFonts w:ascii="Times New Roman" w:hAnsi="Times New Roman"/>
          <w:i/>
          <w:iCs/>
        </w:rPr>
        <w:t>Review Act</w:t>
      </w:r>
      <w:r w:rsidRPr="002977FB">
        <w:rPr>
          <w:rFonts w:ascii="Times New Roman" w:hAnsi="Times New Roman"/>
        </w:rPr>
        <w:t xml:space="preserve">, which Ms Fuller refused on 18 January 2023. Ms Fuller's refusal was made on the stated basis that the direction is not a "decision ... made </w:t>
      </w:r>
      <w:r w:rsidR="00A2765B" w:rsidRPr="002977FB">
        <w:rPr>
          <w:rFonts w:ascii="Times New Roman" w:hAnsi="Times New Roman"/>
        </w:rPr>
        <w:t xml:space="preserve">... </w:t>
      </w:r>
      <w:r w:rsidRPr="002977FB">
        <w:rPr>
          <w:rFonts w:ascii="Times New Roman" w:hAnsi="Times New Roman"/>
        </w:rPr>
        <w:t xml:space="preserve">under an enactment" within the meaning of the </w:t>
      </w:r>
      <w:r w:rsidRPr="002977FB">
        <w:rPr>
          <w:rFonts w:ascii="Times New Roman" w:hAnsi="Times New Roman"/>
          <w:i/>
          <w:iCs/>
        </w:rPr>
        <w:t>Review Act</w:t>
      </w:r>
      <w:r w:rsidRPr="002977FB">
        <w:rPr>
          <w:rFonts w:ascii="Times New Roman" w:hAnsi="Times New Roman"/>
        </w:rPr>
        <w:t xml:space="preserve"> and so is not a decision to which that Act applies.</w:t>
      </w:r>
    </w:p>
    <w:p w14:paraId="5B5AD0D4" w14:textId="1EE05704"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A judge of the Supreme Court of Queensland concluded that the Direction Decision is a decision "made ... under an enactment" and, accordingly, that Mr</w:t>
      </w:r>
      <w:r w:rsidR="00C50D42">
        <w:rPr>
          <w:rFonts w:ascii="Times New Roman" w:hAnsi="Times New Roman"/>
        </w:rPr>
        <w:t> </w:t>
      </w:r>
      <w:r w:rsidRPr="002977FB">
        <w:rPr>
          <w:rFonts w:ascii="Times New Roman" w:hAnsi="Times New Roman"/>
        </w:rPr>
        <w:t xml:space="preserve">Lawrence is entitled to a statement of reasons for the decision under s 33 of the </w:t>
      </w:r>
      <w:r w:rsidRPr="002977FB">
        <w:rPr>
          <w:rFonts w:ascii="Times New Roman" w:hAnsi="Times New Roman"/>
          <w:i/>
          <w:iCs/>
        </w:rPr>
        <w:t>Review Act</w:t>
      </w:r>
      <w:r w:rsidRPr="002977FB">
        <w:rPr>
          <w:rFonts w:ascii="Times New Roman" w:hAnsi="Times New Roman"/>
        </w:rPr>
        <w:t>.</w:t>
      </w:r>
      <w:r w:rsidRPr="002977FB">
        <w:rPr>
          <w:rStyle w:val="FootnoteReference"/>
          <w:rFonts w:ascii="Times New Roman" w:hAnsi="Times New Roman"/>
          <w:sz w:val="24"/>
        </w:rPr>
        <w:footnoteReference w:id="6"/>
      </w:r>
      <w:r w:rsidRPr="002977FB">
        <w:rPr>
          <w:rFonts w:ascii="Times New Roman" w:hAnsi="Times New Roman"/>
        </w:rPr>
        <w:t xml:space="preserve"> The Court of Appeal of the Supreme Court dismissed the appellants' appeal.</w:t>
      </w:r>
      <w:r w:rsidRPr="002977FB">
        <w:rPr>
          <w:rStyle w:val="FootnoteReference"/>
          <w:rFonts w:ascii="Times New Roman" w:hAnsi="Times New Roman"/>
          <w:sz w:val="24"/>
        </w:rPr>
        <w:footnoteReference w:id="7"/>
      </w:r>
      <w:r w:rsidRPr="002977FB">
        <w:rPr>
          <w:rFonts w:ascii="Times New Roman" w:hAnsi="Times New Roman"/>
          <w:b/>
          <w:bCs/>
        </w:rPr>
        <w:t xml:space="preserve"> </w:t>
      </w:r>
      <w:r w:rsidRPr="002977FB">
        <w:rPr>
          <w:rFonts w:ascii="Times New Roman" w:hAnsi="Times New Roman"/>
        </w:rPr>
        <w:t xml:space="preserve">For the following reasons, the appeal to this Court must also be dismissed. </w:t>
      </w:r>
    </w:p>
    <w:p w14:paraId="460A3DEA" w14:textId="77777777" w:rsidR="00EF23CA" w:rsidRPr="002977FB" w:rsidRDefault="00EF23CA" w:rsidP="002977FB">
      <w:pPr>
        <w:pStyle w:val="HeadingL1"/>
        <w:spacing w:after="260" w:line="280" w:lineRule="exact"/>
        <w:ind w:right="0"/>
        <w:jc w:val="both"/>
        <w:rPr>
          <w:rFonts w:ascii="Times New Roman" w:hAnsi="Times New Roman"/>
          <w:i/>
          <w:iCs/>
        </w:rPr>
      </w:pPr>
      <w:r w:rsidRPr="002977FB">
        <w:rPr>
          <w:rFonts w:ascii="Times New Roman" w:hAnsi="Times New Roman"/>
        </w:rPr>
        <w:t xml:space="preserve">The </w:t>
      </w:r>
      <w:r w:rsidRPr="002977FB">
        <w:rPr>
          <w:rFonts w:ascii="Times New Roman" w:hAnsi="Times New Roman"/>
          <w:i/>
          <w:iCs/>
        </w:rPr>
        <w:t>Review Ac</w:t>
      </w:r>
      <w:r w:rsidRPr="002977FB">
        <w:rPr>
          <w:rFonts w:ascii="Times New Roman" w:hAnsi="Times New Roman"/>
        </w:rPr>
        <w:t xml:space="preserve">t and </w:t>
      </w:r>
      <w:r w:rsidRPr="002977FB">
        <w:rPr>
          <w:rFonts w:ascii="Times New Roman" w:hAnsi="Times New Roman"/>
          <w:i/>
          <w:iCs/>
        </w:rPr>
        <w:t>Tang</w:t>
      </w:r>
    </w:p>
    <w:p w14:paraId="11F61F3D" w14:textId="2403A8CC"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w:t>
      </w:r>
      <w:r w:rsidRPr="002977FB">
        <w:rPr>
          <w:rFonts w:ascii="Times New Roman" w:hAnsi="Times New Roman"/>
          <w:i/>
          <w:iCs/>
        </w:rPr>
        <w:t>Review Act</w:t>
      </w:r>
      <w:r w:rsidRPr="002977FB">
        <w:rPr>
          <w:rFonts w:ascii="Times New Roman" w:hAnsi="Times New Roman"/>
        </w:rPr>
        <w:t xml:space="preserve"> confers statutory rights of judicial review of administrative action that are additional to any other rights that </w:t>
      </w:r>
      <w:r w:rsidR="00210577" w:rsidRPr="002977FB">
        <w:rPr>
          <w:rFonts w:ascii="Times New Roman" w:hAnsi="Times New Roman"/>
        </w:rPr>
        <w:t xml:space="preserve">a </w:t>
      </w:r>
      <w:r w:rsidRPr="002977FB">
        <w:rPr>
          <w:rFonts w:ascii="Times New Roman" w:hAnsi="Times New Roman"/>
        </w:rPr>
        <w:t>person has to seek a review of the relevant action.</w:t>
      </w:r>
      <w:r w:rsidRPr="002977FB">
        <w:rPr>
          <w:rStyle w:val="FootnoteReference"/>
          <w:rFonts w:ascii="Times New Roman" w:hAnsi="Times New Roman"/>
          <w:sz w:val="24"/>
        </w:rPr>
        <w:footnoteReference w:id="8"/>
      </w:r>
      <w:r w:rsidRPr="002977FB">
        <w:rPr>
          <w:rFonts w:ascii="Times New Roman" w:hAnsi="Times New Roman"/>
        </w:rPr>
        <w:t xml:space="preserve"> The right to obtain a statement of reasons under s 33 of the </w:t>
      </w:r>
      <w:r w:rsidRPr="002977FB">
        <w:rPr>
          <w:rFonts w:ascii="Times New Roman" w:hAnsi="Times New Roman"/>
          <w:i/>
          <w:iCs/>
        </w:rPr>
        <w:t xml:space="preserve">Review Act </w:t>
      </w:r>
      <w:r w:rsidRPr="002977FB">
        <w:rPr>
          <w:rFonts w:ascii="Times New Roman" w:hAnsi="Times New Roman"/>
        </w:rPr>
        <w:t xml:space="preserve">applies only to a "decision to which [the </w:t>
      </w:r>
      <w:r w:rsidRPr="002977FB">
        <w:rPr>
          <w:rFonts w:ascii="Times New Roman" w:hAnsi="Times New Roman"/>
          <w:i/>
          <w:iCs/>
        </w:rPr>
        <w:t>Review Act</w:t>
      </w:r>
      <w:r w:rsidRPr="002977FB">
        <w:rPr>
          <w:rFonts w:ascii="Times New Roman" w:hAnsi="Times New Roman"/>
        </w:rPr>
        <w:t>]</w:t>
      </w:r>
      <w:r w:rsidRPr="002977FB">
        <w:rPr>
          <w:rFonts w:ascii="Times New Roman" w:hAnsi="Times New Roman"/>
          <w:i/>
          <w:iCs/>
        </w:rPr>
        <w:t xml:space="preserve"> </w:t>
      </w:r>
      <w:r w:rsidRPr="002977FB">
        <w:rPr>
          <w:rFonts w:ascii="Times New Roman" w:hAnsi="Times New Roman"/>
        </w:rPr>
        <w:t xml:space="preserve">applies", an expression that is defined in s 4 of the </w:t>
      </w:r>
      <w:r w:rsidRPr="002977FB">
        <w:rPr>
          <w:rFonts w:ascii="Times New Roman" w:hAnsi="Times New Roman"/>
          <w:i/>
          <w:iCs/>
        </w:rPr>
        <w:t>Review Act</w:t>
      </w:r>
      <w:r w:rsidRPr="002977FB">
        <w:rPr>
          <w:rFonts w:ascii="Times New Roman" w:hAnsi="Times New Roman"/>
        </w:rPr>
        <w:t>.</w:t>
      </w:r>
      <w:r w:rsidRPr="002977FB">
        <w:rPr>
          <w:rStyle w:val="FootnoteReference"/>
          <w:rFonts w:ascii="Times New Roman" w:hAnsi="Times New Roman"/>
          <w:sz w:val="24"/>
        </w:rPr>
        <w:footnoteReference w:id="9"/>
      </w:r>
      <w:r w:rsidRPr="002977FB">
        <w:rPr>
          <w:rFonts w:ascii="Times New Roman" w:hAnsi="Times New Roman"/>
          <w:i/>
          <w:iCs/>
        </w:rPr>
        <w:t xml:space="preserve"> </w:t>
      </w:r>
      <w:r w:rsidRPr="002977FB">
        <w:rPr>
          <w:rFonts w:ascii="Times New Roman" w:hAnsi="Times New Roman"/>
        </w:rPr>
        <w:t>By s 4(a), a decision to which the Act applies relevantly means:</w:t>
      </w:r>
    </w:p>
    <w:p w14:paraId="3BF647C8" w14:textId="77777777" w:rsidR="002977FB" w:rsidRDefault="00EF23CA" w:rsidP="002977FB">
      <w:pPr>
        <w:pStyle w:val="LeftrightafterHC"/>
        <w:spacing w:before="0" w:after="260" w:line="280" w:lineRule="exact"/>
        <w:ind w:right="0"/>
        <w:jc w:val="both"/>
        <w:rPr>
          <w:rFonts w:ascii="Times New Roman" w:hAnsi="Times New Roman"/>
        </w:rPr>
      </w:pPr>
      <w:r w:rsidRPr="002977FB">
        <w:rPr>
          <w:rFonts w:ascii="Times New Roman" w:hAnsi="Times New Roman"/>
        </w:rPr>
        <w:lastRenderedPageBreak/>
        <w:t xml:space="preserve">"a decision of an administrative character made, proposed to be made, or required to be made, under an enactment (whether or not in the exercise of a discretion)". </w:t>
      </w:r>
    </w:p>
    <w:p w14:paraId="6CA7C5A8" w14:textId="5C5ECD49"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"Enactment" is defined by s 3 of the </w:t>
      </w:r>
      <w:r w:rsidRPr="002977FB">
        <w:rPr>
          <w:rFonts w:ascii="Times New Roman" w:hAnsi="Times New Roman"/>
          <w:i/>
          <w:iCs/>
        </w:rPr>
        <w:t>Review Act</w:t>
      </w:r>
      <w:r w:rsidRPr="002977FB">
        <w:rPr>
          <w:rFonts w:ascii="Times New Roman" w:hAnsi="Times New Roman"/>
        </w:rPr>
        <w:t xml:space="preserve"> to mean an Act or statutory instrument, and includes a part of an Act or statutory instrument. An Act means an Act of the Queensland Parliament.</w:t>
      </w:r>
      <w:r w:rsidRPr="002977FB">
        <w:rPr>
          <w:rStyle w:val="FootnoteReference"/>
          <w:rFonts w:ascii="Times New Roman" w:hAnsi="Times New Roman"/>
          <w:sz w:val="24"/>
        </w:rPr>
        <w:footnoteReference w:id="10"/>
      </w:r>
      <w:r w:rsidRPr="002977FB">
        <w:rPr>
          <w:rFonts w:ascii="Times New Roman" w:hAnsi="Times New Roman"/>
        </w:rPr>
        <w:t xml:space="preserve"> </w:t>
      </w:r>
    </w:p>
    <w:p w14:paraId="7B56B1F1" w14:textId="33BFD830"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meaning of the phrase "made ... under an enactment" was considered by this Court in </w:t>
      </w:r>
      <w:r w:rsidRPr="002977FB">
        <w:rPr>
          <w:rFonts w:ascii="Times New Roman" w:hAnsi="Times New Roman"/>
          <w:i/>
          <w:iCs/>
        </w:rPr>
        <w:t>Tang</w:t>
      </w:r>
      <w:r w:rsidRPr="002977FB">
        <w:rPr>
          <w:rFonts w:ascii="Times New Roman" w:hAnsi="Times New Roman"/>
        </w:rPr>
        <w:t>.</w:t>
      </w:r>
      <w:r w:rsidRPr="002977FB">
        <w:rPr>
          <w:rFonts w:ascii="Times New Roman" w:hAnsi="Times New Roman"/>
          <w:i/>
          <w:iCs/>
        </w:rPr>
        <w:t xml:space="preserve"> </w:t>
      </w:r>
      <w:r w:rsidRPr="002977FB">
        <w:rPr>
          <w:rFonts w:ascii="Times New Roman" w:hAnsi="Times New Roman"/>
        </w:rPr>
        <w:t xml:space="preserve">In </w:t>
      </w:r>
      <w:r w:rsidRPr="002977FB">
        <w:rPr>
          <w:rFonts w:ascii="Times New Roman" w:hAnsi="Times New Roman"/>
          <w:i/>
          <w:iCs/>
        </w:rPr>
        <w:t>Tang</w:t>
      </w:r>
      <w:r w:rsidRPr="002977FB">
        <w:rPr>
          <w:rFonts w:ascii="Times New Roman" w:hAnsi="Times New Roman"/>
        </w:rPr>
        <w:t>,</w:t>
      </w:r>
      <w:r w:rsidRPr="002977FB">
        <w:rPr>
          <w:rFonts w:ascii="Times New Roman" w:hAnsi="Times New Roman"/>
          <w:i/>
          <w:iCs/>
        </w:rPr>
        <w:t xml:space="preserve"> </w:t>
      </w:r>
      <w:r w:rsidRPr="002977FB">
        <w:rPr>
          <w:rFonts w:ascii="Times New Roman" w:hAnsi="Times New Roman"/>
        </w:rPr>
        <w:t>the disputed decisions were a decision made by a committee established by the appellant university to exclude the respondent, Ms</w:t>
      </w:r>
      <w:r w:rsidR="00C50D42">
        <w:rPr>
          <w:rFonts w:ascii="Times New Roman" w:hAnsi="Times New Roman"/>
        </w:rPr>
        <w:t> </w:t>
      </w:r>
      <w:r w:rsidRPr="002977FB">
        <w:rPr>
          <w:rFonts w:ascii="Times New Roman" w:hAnsi="Times New Roman"/>
        </w:rPr>
        <w:t xml:space="preserve">Tang, from her PhD candidature programme for academic misconduct, and the confirmation of that decision on an internal appeal to an appeals committee, also established by the university. The university was established under the </w:t>
      </w:r>
      <w:r w:rsidRPr="002977FB">
        <w:rPr>
          <w:rFonts w:ascii="Times New Roman" w:hAnsi="Times New Roman"/>
          <w:i/>
          <w:iCs/>
        </w:rPr>
        <w:t xml:space="preserve">Griffith University Act 1998 </w:t>
      </w:r>
      <w:r w:rsidRPr="002977FB">
        <w:rPr>
          <w:rFonts w:ascii="Times New Roman" w:hAnsi="Times New Roman"/>
        </w:rPr>
        <w:t xml:space="preserve">(Qld) ("the </w:t>
      </w:r>
      <w:r w:rsidRPr="002977FB">
        <w:rPr>
          <w:rFonts w:ascii="Times New Roman" w:hAnsi="Times New Roman"/>
          <w:i/>
          <w:iCs/>
        </w:rPr>
        <w:t>University Act</w:t>
      </w:r>
      <w:r w:rsidRPr="002977FB">
        <w:rPr>
          <w:rFonts w:ascii="Times New Roman" w:hAnsi="Times New Roman"/>
        </w:rPr>
        <w:t xml:space="preserve">"). The majority, comprising Gleeson CJ, Gummow, Callinan and Heydon JJ, held that the disputed decisions were not "made ... under an enactment" within the meaning of s 4(a) of the </w:t>
      </w:r>
      <w:r w:rsidRPr="002977FB">
        <w:rPr>
          <w:rFonts w:ascii="Times New Roman" w:hAnsi="Times New Roman"/>
          <w:i/>
          <w:iCs/>
        </w:rPr>
        <w:t>Review Act</w:t>
      </w:r>
      <w:r w:rsidRPr="002977FB">
        <w:rPr>
          <w:rFonts w:ascii="Times New Roman" w:hAnsi="Times New Roman"/>
        </w:rPr>
        <w:t xml:space="preserve">. </w:t>
      </w:r>
    </w:p>
    <w:p w14:paraId="47F56AC1" w14:textId="57116CDA"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Accepting that the words "made ... under an enactment" limited the class of decisions to which the </w:t>
      </w:r>
      <w:r w:rsidRPr="002977FB">
        <w:rPr>
          <w:rFonts w:ascii="Times New Roman" w:hAnsi="Times New Roman"/>
          <w:i/>
          <w:iCs/>
        </w:rPr>
        <w:t>Review Act</w:t>
      </w:r>
      <w:r w:rsidRPr="002977FB">
        <w:rPr>
          <w:rFonts w:ascii="Times New Roman" w:hAnsi="Times New Roman"/>
        </w:rPr>
        <w:t xml:space="preserve"> applied, Gleeson CJ identified as the relevant question whether the university's decision "took its legal force or effect from statute".</w:t>
      </w:r>
      <w:r w:rsidRPr="002977FB">
        <w:rPr>
          <w:rStyle w:val="FootnoteReference"/>
          <w:rFonts w:ascii="Times New Roman" w:hAnsi="Times New Roman"/>
          <w:sz w:val="24"/>
        </w:rPr>
        <w:footnoteReference w:id="11"/>
      </w:r>
      <w:r w:rsidRPr="002977FB">
        <w:rPr>
          <w:rFonts w:ascii="Times New Roman" w:hAnsi="Times New Roman"/>
        </w:rPr>
        <w:t xml:space="preserve"> The Chief Justice concluded that the decision, which terminated the voluntary relationship between the university and Ms Tang, was not a decision which took legal force or effect, in whole or in part, from the terms of a statute.</w:t>
      </w:r>
      <w:r w:rsidRPr="002977FB">
        <w:rPr>
          <w:rStyle w:val="FootnoteReference"/>
          <w:rFonts w:ascii="Times New Roman" w:hAnsi="Times New Roman"/>
          <w:sz w:val="24"/>
        </w:rPr>
        <w:footnoteReference w:id="12"/>
      </w:r>
      <w:r w:rsidRPr="002977FB">
        <w:rPr>
          <w:rFonts w:ascii="Times New Roman" w:hAnsi="Times New Roman"/>
        </w:rPr>
        <w:t xml:space="preserve"> While the </w:t>
      </w:r>
      <w:r w:rsidRPr="002977FB">
        <w:rPr>
          <w:rFonts w:ascii="Times New Roman" w:hAnsi="Times New Roman"/>
          <w:i/>
          <w:iCs/>
        </w:rPr>
        <w:t>University Act</w:t>
      </w:r>
      <w:r w:rsidRPr="002977FB">
        <w:rPr>
          <w:rFonts w:ascii="Times New Roman" w:hAnsi="Times New Roman"/>
        </w:rPr>
        <w:t xml:space="preserve"> provided the legal context in which the relationship existed, the termination occurred under the general law and under the terms and conditions on which the university was willing to enter a relationship with Ms</w:t>
      </w:r>
      <w:r w:rsidR="00C50D42">
        <w:rPr>
          <w:rFonts w:ascii="Times New Roman" w:hAnsi="Times New Roman"/>
        </w:rPr>
        <w:t> </w:t>
      </w:r>
      <w:r w:rsidRPr="002977FB">
        <w:rPr>
          <w:rFonts w:ascii="Times New Roman" w:hAnsi="Times New Roman"/>
        </w:rPr>
        <w:t>Tang.</w:t>
      </w:r>
      <w:r w:rsidRPr="002977FB">
        <w:rPr>
          <w:rStyle w:val="FootnoteReference"/>
          <w:rFonts w:ascii="Times New Roman" w:hAnsi="Times New Roman"/>
          <w:sz w:val="24"/>
        </w:rPr>
        <w:footnoteReference w:id="13"/>
      </w:r>
      <w:r w:rsidRPr="002977FB">
        <w:rPr>
          <w:rFonts w:ascii="Times New Roman" w:hAnsi="Times New Roman"/>
        </w:rPr>
        <w:t xml:space="preserve"> </w:t>
      </w:r>
    </w:p>
    <w:p w14:paraId="2D0D3FDD" w14:textId="45AA9F63"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joint reasons of Gummow, Callinan and Heydon JJ reviewed the existing case law on the meaning of the expression "a decision of an administrative character made ... under an enactment" in the </w:t>
      </w:r>
      <w:r w:rsidRPr="002977FB">
        <w:rPr>
          <w:rFonts w:ascii="Times New Roman" w:hAnsi="Times New Roman"/>
          <w:i/>
          <w:iCs/>
        </w:rPr>
        <w:t xml:space="preserve">Administrative Decisions (Judicial </w:t>
      </w:r>
      <w:r w:rsidRPr="002977FB">
        <w:rPr>
          <w:rFonts w:ascii="Times New Roman" w:hAnsi="Times New Roman"/>
          <w:i/>
          <w:iCs/>
        </w:rPr>
        <w:lastRenderedPageBreak/>
        <w:t>Review) Act 19</w:t>
      </w:r>
      <w:r w:rsidR="00050A8F" w:rsidRPr="002977FB">
        <w:rPr>
          <w:rFonts w:ascii="Times New Roman" w:hAnsi="Times New Roman"/>
          <w:i/>
          <w:iCs/>
        </w:rPr>
        <w:t>7</w:t>
      </w:r>
      <w:r w:rsidRPr="002977FB">
        <w:rPr>
          <w:rFonts w:ascii="Times New Roman" w:hAnsi="Times New Roman"/>
          <w:i/>
          <w:iCs/>
        </w:rPr>
        <w:t xml:space="preserve">7 </w:t>
      </w:r>
      <w:r w:rsidRPr="002977FB">
        <w:rPr>
          <w:rFonts w:ascii="Times New Roman" w:hAnsi="Times New Roman"/>
        </w:rPr>
        <w:t xml:space="preserve">(Cth) ("the AD(JR) Act"), upon which the </w:t>
      </w:r>
      <w:r w:rsidRPr="002977FB">
        <w:rPr>
          <w:rFonts w:ascii="Times New Roman" w:hAnsi="Times New Roman"/>
          <w:i/>
          <w:iCs/>
        </w:rPr>
        <w:t xml:space="preserve">Review Act </w:t>
      </w:r>
      <w:r w:rsidRPr="002977FB">
        <w:rPr>
          <w:rFonts w:ascii="Times New Roman" w:hAnsi="Times New Roman"/>
        </w:rPr>
        <w:t>is substantially based.</w:t>
      </w:r>
      <w:r w:rsidRPr="002977FB">
        <w:rPr>
          <w:rStyle w:val="FootnoteReference"/>
          <w:rFonts w:ascii="Times New Roman" w:hAnsi="Times New Roman"/>
          <w:sz w:val="24"/>
        </w:rPr>
        <w:footnoteReference w:id="14"/>
      </w:r>
      <w:r w:rsidRPr="002977FB">
        <w:rPr>
          <w:rFonts w:ascii="Times New Roman" w:hAnsi="Times New Roman"/>
        </w:rPr>
        <w:t xml:space="preserve"> The plurality described the expression "made ... under an enactment" as involving a question of "characterisation of the particular outcome" which founds an application for review under the statute (in the context of the </w:t>
      </w:r>
      <w:r w:rsidRPr="002977FB">
        <w:rPr>
          <w:rFonts w:ascii="Times New Roman" w:hAnsi="Times New Roman"/>
          <w:i/>
          <w:iCs/>
        </w:rPr>
        <w:t>Review Act</w:t>
      </w:r>
      <w:r w:rsidRPr="002977FB">
        <w:rPr>
          <w:rFonts w:ascii="Times New Roman" w:hAnsi="Times New Roman"/>
        </w:rPr>
        <w:t>, an application for a statutory order of review).</w:t>
      </w:r>
      <w:r w:rsidRPr="002977FB">
        <w:rPr>
          <w:rStyle w:val="FootnoteReference"/>
          <w:rFonts w:ascii="Times New Roman" w:hAnsi="Times New Roman"/>
          <w:sz w:val="24"/>
        </w:rPr>
        <w:footnoteReference w:id="15"/>
      </w:r>
      <w:r w:rsidRPr="002977FB">
        <w:rPr>
          <w:rFonts w:ascii="Times New Roman" w:hAnsi="Times New Roman"/>
        </w:rPr>
        <w:t xml:space="preserve"> </w:t>
      </w:r>
    </w:p>
    <w:p w14:paraId="7057BB47" w14:textId="7777777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plurality rejected a construction of s 4(a) turning upon the identification of the "immediate" or "proximate" source of power to make the relevant decision as deflecting attention from the interpretation of the </w:t>
      </w:r>
      <w:r w:rsidRPr="002977FB">
        <w:rPr>
          <w:rFonts w:ascii="Times New Roman" w:hAnsi="Times New Roman"/>
          <w:i/>
          <w:iCs/>
        </w:rPr>
        <w:t>Review Act</w:t>
      </w:r>
      <w:r w:rsidRPr="002977FB">
        <w:rPr>
          <w:rFonts w:ascii="Times New Roman" w:hAnsi="Times New Roman"/>
        </w:rPr>
        <w:t xml:space="preserve"> (and the AD(JR) Act) in the light of legislative subject, scope and purpose.</w:t>
      </w:r>
      <w:r w:rsidRPr="002977FB">
        <w:rPr>
          <w:rStyle w:val="FootnoteReference"/>
          <w:rFonts w:ascii="Times New Roman" w:hAnsi="Times New Roman"/>
          <w:sz w:val="24"/>
        </w:rPr>
        <w:footnoteReference w:id="16"/>
      </w:r>
      <w:r w:rsidRPr="002977FB">
        <w:rPr>
          <w:rFonts w:ascii="Times New Roman" w:hAnsi="Times New Roman"/>
        </w:rPr>
        <w:t xml:space="preserve"> They also rejected a construction turning upon the "true lawful source" of the power to make the decision.</w:t>
      </w:r>
      <w:r w:rsidRPr="002977FB">
        <w:rPr>
          <w:rStyle w:val="FootnoteReference"/>
          <w:rFonts w:ascii="Times New Roman" w:hAnsi="Times New Roman"/>
          <w:sz w:val="24"/>
        </w:rPr>
        <w:footnoteReference w:id="17"/>
      </w:r>
      <w:r w:rsidRPr="002977FB">
        <w:rPr>
          <w:rFonts w:ascii="Times New Roman" w:hAnsi="Times New Roman"/>
        </w:rPr>
        <w:t xml:space="preserve"> Their Honours identified cases in which a decision, required or authorised by an enactment, is nevertheless not "made under" that enactment. These included where the decision derived its capacity to bind from contract or some other private law source;</w:t>
      </w:r>
      <w:r w:rsidRPr="002977FB">
        <w:rPr>
          <w:rStyle w:val="FootnoteReference"/>
          <w:rFonts w:ascii="Times New Roman" w:hAnsi="Times New Roman"/>
          <w:sz w:val="24"/>
        </w:rPr>
        <w:footnoteReference w:id="18"/>
      </w:r>
      <w:r w:rsidRPr="002977FB">
        <w:rPr>
          <w:rFonts w:ascii="Times New Roman" w:hAnsi="Times New Roman"/>
        </w:rPr>
        <w:t xml:space="preserve"> where a decision to vote at a creditors meeting was not given statutory effect by the sections relied upon and only affected legal rights because of the cumulative effect of votes later cast;</w:t>
      </w:r>
      <w:r w:rsidRPr="002977FB">
        <w:rPr>
          <w:rStyle w:val="FootnoteReference"/>
          <w:rFonts w:ascii="Times New Roman" w:hAnsi="Times New Roman"/>
          <w:sz w:val="24"/>
        </w:rPr>
        <w:footnoteReference w:id="19"/>
      </w:r>
      <w:r w:rsidRPr="002977FB">
        <w:rPr>
          <w:rFonts w:ascii="Times New Roman" w:hAnsi="Times New Roman"/>
        </w:rPr>
        <w:t xml:space="preserve"> and where the power to make the decision was not sourced in a relevant statute, even though the decision, once made, had a critical effect for the operation of that statute.</w:t>
      </w:r>
      <w:r w:rsidRPr="002977FB">
        <w:rPr>
          <w:rStyle w:val="FootnoteReference"/>
          <w:rFonts w:ascii="Times New Roman" w:hAnsi="Times New Roman"/>
          <w:sz w:val="24"/>
        </w:rPr>
        <w:footnoteReference w:id="20"/>
      </w:r>
      <w:r w:rsidRPr="002977FB">
        <w:rPr>
          <w:rFonts w:ascii="Times New Roman" w:hAnsi="Times New Roman"/>
        </w:rPr>
        <w:t xml:space="preserve"> </w:t>
      </w:r>
    </w:p>
    <w:p w14:paraId="70B88342" w14:textId="7777777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lastRenderedPageBreak/>
        <w:tab/>
        <w:t>The plurality concluded that the determination of whether a decision is "made ... under an enactment" involves the following two criteria:</w:t>
      </w:r>
      <w:r w:rsidRPr="002977FB">
        <w:rPr>
          <w:rStyle w:val="FootnoteReference"/>
          <w:rFonts w:ascii="Times New Roman" w:hAnsi="Times New Roman"/>
          <w:sz w:val="24"/>
        </w:rPr>
        <w:footnoteReference w:id="21"/>
      </w:r>
    </w:p>
    <w:p w14:paraId="4A346515" w14:textId="77777777" w:rsidR="002977FB" w:rsidRDefault="00EF23CA" w:rsidP="002977FB">
      <w:pPr>
        <w:pStyle w:val="leftright"/>
        <w:spacing w:before="0" w:after="260" w:line="280" w:lineRule="exact"/>
        <w:ind w:right="0"/>
        <w:jc w:val="both"/>
        <w:rPr>
          <w:rFonts w:ascii="Times New Roman" w:hAnsi="Times New Roman"/>
        </w:rPr>
      </w:pPr>
      <w:r w:rsidRPr="002977FB">
        <w:rPr>
          <w:rFonts w:ascii="Times New Roman" w:hAnsi="Times New Roman"/>
        </w:rPr>
        <w:t xml:space="preserve">"first, the decision must be expressly or impliedly required or authorised by the enactment; and, secondly, the decision must itself confer, alter or otherwise affect legal rights or obligations, and in that sense the decision must derive from the enactment." </w:t>
      </w:r>
    </w:p>
    <w:p w14:paraId="127BD1D7" w14:textId="7CC7524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As to the first criterion, the plurality found that the decisions were authorised by the </w:t>
      </w:r>
      <w:r w:rsidRPr="002977FB">
        <w:rPr>
          <w:rFonts w:ascii="Times New Roman" w:hAnsi="Times New Roman"/>
          <w:i/>
          <w:iCs/>
        </w:rPr>
        <w:t>University Act</w:t>
      </w:r>
      <w:r w:rsidRPr="002977FB">
        <w:rPr>
          <w:rFonts w:ascii="Times New Roman" w:hAnsi="Times New Roman"/>
        </w:rPr>
        <w:t>,</w:t>
      </w:r>
      <w:r w:rsidRPr="002977FB">
        <w:rPr>
          <w:rFonts w:ascii="Times New Roman" w:hAnsi="Times New Roman"/>
          <w:i/>
          <w:iCs/>
        </w:rPr>
        <w:t xml:space="preserve"> </w:t>
      </w:r>
      <w:r w:rsidRPr="002977FB">
        <w:rPr>
          <w:rFonts w:ascii="Times New Roman" w:hAnsi="Times New Roman"/>
        </w:rPr>
        <w:t xml:space="preserve">as the decision-making committees depended for their existence and powers upon the delegation by the council of the university under provisions of the </w:t>
      </w:r>
      <w:r w:rsidRPr="002977FB">
        <w:rPr>
          <w:rFonts w:ascii="Times New Roman" w:hAnsi="Times New Roman"/>
          <w:i/>
          <w:iCs/>
        </w:rPr>
        <w:t>University Act</w:t>
      </w:r>
      <w:r w:rsidRPr="002977FB">
        <w:rPr>
          <w:rFonts w:ascii="Times New Roman" w:hAnsi="Times New Roman"/>
        </w:rPr>
        <w:t>.</w:t>
      </w:r>
      <w:r w:rsidRPr="002977FB">
        <w:rPr>
          <w:rStyle w:val="FootnoteReference"/>
          <w:rFonts w:ascii="Times New Roman" w:hAnsi="Times New Roman"/>
          <w:sz w:val="24"/>
        </w:rPr>
        <w:footnoteReference w:id="22"/>
      </w:r>
      <w:r w:rsidRPr="002977FB">
        <w:rPr>
          <w:rFonts w:ascii="Times New Roman" w:hAnsi="Times New Roman"/>
          <w:i/>
          <w:iCs/>
        </w:rPr>
        <w:t xml:space="preserve"> </w:t>
      </w:r>
      <w:r w:rsidRPr="002977FB">
        <w:rPr>
          <w:rFonts w:ascii="Times New Roman" w:hAnsi="Times New Roman"/>
        </w:rPr>
        <w:t xml:space="preserve">However, as to the second criterion: the decisions did not affect legal rights and obligations; the decisions had no impact upon matters to which the </w:t>
      </w:r>
      <w:r w:rsidRPr="002977FB">
        <w:rPr>
          <w:rFonts w:ascii="Times New Roman" w:hAnsi="Times New Roman"/>
          <w:i/>
          <w:iCs/>
        </w:rPr>
        <w:t>University Act</w:t>
      </w:r>
      <w:r w:rsidRPr="002977FB">
        <w:rPr>
          <w:rFonts w:ascii="Times New Roman" w:hAnsi="Times New Roman"/>
        </w:rPr>
        <w:t xml:space="preserve"> gave legal force and effect;</w:t>
      </w:r>
      <w:r w:rsidR="00050A8F" w:rsidRPr="002977FB">
        <w:rPr>
          <w:rFonts w:ascii="Times New Roman" w:hAnsi="Times New Roman"/>
        </w:rPr>
        <w:t xml:space="preserve"> and</w:t>
      </w:r>
      <w:r w:rsidRPr="002977FB">
        <w:rPr>
          <w:rFonts w:ascii="Times New Roman" w:hAnsi="Times New Roman"/>
        </w:rPr>
        <w:t xml:space="preserve"> </w:t>
      </w:r>
      <w:r w:rsidR="0090035B">
        <w:rPr>
          <w:rFonts w:ascii="Times New Roman" w:hAnsi="Times New Roman"/>
        </w:rPr>
        <w:t>Ms Tang</w:t>
      </w:r>
      <w:r w:rsidRPr="002977FB">
        <w:rPr>
          <w:rFonts w:ascii="Times New Roman" w:hAnsi="Times New Roman"/>
        </w:rPr>
        <w:t xml:space="preserve"> enjoyed no relevant legal rights and the university had no obligations under the </w:t>
      </w:r>
      <w:r w:rsidRPr="002977FB">
        <w:rPr>
          <w:rFonts w:ascii="Times New Roman" w:hAnsi="Times New Roman"/>
          <w:i/>
          <w:iCs/>
        </w:rPr>
        <w:t xml:space="preserve">University Act </w:t>
      </w:r>
      <w:r w:rsidRPr="002977FB">
        <w:rPr>
          <w:rFonts w:ascii="Times New Roman" w:hAnsi="Times New Roman"/>
        </w:rPr>
        <w:t>with respect to the course of action the latter adopted towards the former.</w:t>
      </w:r>
      <w:r w:rsidRPr="002977FB">
        <w:rPr>
          <w:rStyle w:val="FootnoteReference"/>
          <w:rFonts w:ascii="Times New Roman" w:hAnsi="Times New Roman"/>
          <w:sz w:val="24"/>
        </w:rPr>
        <w:footnoteReference w:id="23"/>
      </w:r>
      <w:r w:rsidRPr="002977FB">
        <w:rPr>
          <w:rFonts w:ascii="Times New Roman" w:hAnsi="Times New Roman"/>
        </w:rPr>
        <w:t xml:space="preserve"> There were no legal rights and obligations under private law which were capable of being affected by the relevant decisions. A consensual relationship had been brought to an end, but no decision was made by the university "under" the </w:t>
      </w:r>
      <w:r w:rsidRPr="002977FB">
        <w:rPr>
          <w:rFonts w:ascii="Times New Roman" w:hAnsi="Times New Roman"/>
          <w:i/>
          <w:iCs/>
        </w:rPr>
        <w:t>University Act</w:t>
      </w:r>
      <w:r w:rsidRPr="002977FB">
        <w:rPr>
          <w:rFonts w:ascii="Times New Roman" w:hAnsi="Times New Roman"/>
        </w:rPr>
        <w:t>.</w:t>
      </w:r>
      <w:r w:rsidRPr="002977FB">
        <w:rPr>
          <w:rStyle w:val="FootnoteReference"/>
          <w:rFonts w:ascii="Times New Roman" w:hAnsi="Times New Roman"/>
          <w:sz w:val="24"/>
        </w:rPr>
        <w:footnoteReference w:id="24"/>
      </w:r>
    </w:p>
    <w:p w14:paraId="332DD85C" w14:textId="7777777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criteria stated by the plurality in </w:t>
      </w:r>
      <w:r w:rsidRPr="002977FB">
        <w:rPr>
          <w:rFonts w:ascii="Times New Roman" w:hAnsi="Times New Roman"/>
          <w:i/>
          <w:iCs/>
        </w:rPr>
        <w:t xml:space="preserve">Tang </w:t>
      </w:r>
      <w:r w:rsidRPr="002977FB">
        <w:rPr>
          <w:rFonts w:ascii="Times New Roman" w:hAnsi="Times New Roman"/>
        </w:rPr>
        <w:t>for determining whether a decision of an administrative character is "made ... under an enactment" have been applied by numerous Australian courts in construing statutory judicial review regimes.</w:t>
      </w:r>
      <w:r w:rsidRPr="002977FB">
        <w:rPr>
          <w:rStyle w:val="FootnoteReference"/>
          <w:rFonts w:ascii="Times New Roman" w:hAnsi="Times New Roman"/>
          <w:sz w:val="24"/>
        </w:rPr>
        <w:footnoteReference w:id="25"/>
      </w:r>
      <w:r w:rsidRPr="002977FB">
        <w:rPr>
          <w:rFonts w:ascii="Times New Roman" w:hAnsi="Times New Roman"/>
        </w:rPr>
        <w:t xml:space="preserve"> Neither party to this appeal sought to challenge the two "</w:t>
      </w:r>
      <w:r w:rsidRPr="002977FB">
        <w:rPr>
          <w:rFonts w:ascii="Times New Roman" w:hAnsi="Times New Roman"/>
          <w:i/>
          <w:iCs/>
        </w:rPr>
        <w:t xml:space="preserve">Tang </w:t>
      </w:r>
      <w:r w:rsidRPr="002977FB">
        <w:rPr>
          <w:rFonts w:ascii="Times New Roman" w:hAnsi="Times New Roman"/>
        </w:rPr>
        <w:t xml:space="preserve">criteria" as necessary for a finding that the Direction Decision was made under an enactment – namely, the DPSO Act – within the meaning of the </w:t>
      </w:r>
      <w:r w:rsidRPr="002977FB">
        <w:rPr>
          <w:rFonts w:ascii="Times New Roman" w:hAnsi="Times New Roman"/>
          <w:i/>
          <w:iCs/>
        </w:rPr>
        <w:t>Review Act</w:t>
      </w:r>
      <w:r w:rsidRPr="002977FB">
        <w:rPr>
          <w:rFonts w:ascii="Times New Roman" w:hAnsi="Times New Roman"/>
        </w:rPr>
        <w:t>.</w:t>
      </w:r>
    </w:p>
    <w:p w14:paraId="00D1FE31" w14:textId="77777777"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lastRenderedPageBreak/>
        <w:tab/>
        <w:t xml:space="preserve">The second </w:t>
      </w:r>
      <w:r w:rsidRPr="002977FB">
        <w:rPr>
          <w:rFonts w:ascii="Times New Roman" w:hAnsi="Times New Roman"/>
          <w:i/>
          <w:iCs/>
        </w:rPr>
        <w:t xml:space="preserve">Tang </w:t>
      </w:r>
      <w:r w:rsidRPr="002977FB">
        <w:rPr>
          <w:rFonts w:ascii="Times New Roman" w:hAnsi="Times New Roman"/>
        </w:rPr>
        <w:t xml:space="preserve">criterion, that the decision must itself confer, alter or otherwise affect legal rights or obligations, and in that sense the decision must derive from the enactment, coheres with the observation of Mason CJ (with whom Brennan J agreed and Deane J agreed on this point) in </w:t>
      </w:r>
      <w:r w:rsidRPr="002977FB">
        <w:rPr>
          <w:rFonts w:ascii="Times New Roman" w:hAnsi="Times New Roman"/>
          <w:i/>
          <w:iCs/>
        </w:rPr>
        <w:t xml:space="preserve">Australian Broadcasting Tribunal v Bond </w:t>
      </w:r>
      <w:r w:rsidRPr="002977FB">
        <w:rPr>
          <w:rFonts w:ascii="Times New Roman" w:hAnsi="Times New Roman"/>
        </w:rPr>
        <w:t>("</w:t>
      </w:r>
      <w:r w:rsidRPr="002977FB">
        <w:rPr>
          <w:rFonts w:ascii="Times New Roman" w:hAnsi="Times New Roman"/>
          <w:i/>
          <w:iCs/>
        </w:rPr>
        <w:t>Bond</w:t>
      </w:r>
      <w:r w:rsidRPr="002977FB">
        <w:rPr>
          <w:rFonts w:ascii="Times New Roman" w:hAnsi="Times New Roman"/>
        </w:rPr>
        <w:t>") that a decision "on a matter of substance for which the statute provided as an essential preliminary to the making of the ultimate decision" was reviewable under the AD(JR) Act.</w:t>
      </w:r>
      <w:r w:rsidRPr="002977FB">
        <w:rPr>
          <w:rStyle w:val="FootnoteReference"/>
          <w:rFonts w:ascii="Times New Roman" w:hAnsi="Times New Roman"/>
          <w:sz w:val="24"/>
        </w:rPr>
        <w:footnoteReference w:id="26"/>
      </w:r>
      <w:r w:rsidRPr="002977FB">
        <w:rPr>
          <w:rFonts w:ascii="Times New Roman" w:hAnsi="Times New Roman"/>
        </w:rPr>
        <w:t xml:space="preserve"> It also coheres with the observation of Toohey and Gaudron JJ in </w:t>
      </w:r>
      <w:r w:rsidRPr="002977FB">
        <w:rPr>
          <w:rFonts w:ascii="Times New Roman" w:hAnsi="Times New Roman"/>
          <w:i/>
          <w:iCs/>
        </w:rPr>
        <w:t>Bond</w:t>
      </w:r>
      <w:r w:rsidRPr="002977FB">
        <w:rPr>
          <w:rFonts w:ascii="Times New Roman" w:hAnsi="Times New Roman"/>
        </w:rPr>
        <w:t xml:space="preserve"> that, if an enactment requires that a particular finding be made as a condition precedent to the exercise of or refusal to exercise a substantive power (in that case a decision to suspend or cancel a commercial broadcasting licence), a finding that satisfies the condition precedent is "readily characterized as a decision 'under an enactment'".</w:t>
      </w:r>
      <w:r w:rsidRPr="002977FB">
        <w:rPr>
          <w:rStyle w:val="FootnoteReference"/>
          <w:rFonts w:ascii="Times New Roman" w:hAnsi="Times New Roman"/>
          <w:sz w:val="24"/>
        </w:rPr>
        <w:footnoteReference w:id="27"/>
      </w:r>
    </w:p>
    <w:p w14:paraId="13115D31" w14:textId="2BD26624" w:rsidR="00EF23CA" w:rsidRPr="002977FB" w:rsidRDefault="00EF23CA" w:rsidP="002977FB">
      <w:pPr>
        <w:pStyle w:val="HeadingL1"/>
        <w:spacing w:after="260" w:line="280" w:lineRule="exact"/>
        <w:ind w:right="0"/>
        <w:jc w:val="both"/>
        <w:rPr>
          <w:rFonts w:ascii="Times New Roman" w:hAnsi="Times New Roman"/>
        </w:rPr>
      </w:pPr>
      <w:r w:rsidRPr="002977FB">
        <w:rPr>
          <w:rFonts w:ascii="Times New Roman" w:hAnsi="Times New Roman"/>
        </w:rPr>
        <w:t xml:space="preserve">Was the </w:t>
      </w:r>
      <w:r w:rsidR="00862B52" w:rsidRPr="002977FB">
        <w:rPr>
          <w:rFonts w:ascii="Times New Roman" w:hAnsi="Times New Roman"/>
        </w:rPr>
        <w:t>d</w:t>
      </w:r>
      <w:r w:rsidR="00964EF2" w:rsidRPr="002977FB">
        <w:rPr>
          <w:rFonts w:ascii="Times New Roman" w:hAnsi="Times New Roman"/>
        </w:rPr>
        <w:t>i</w:t>
      </w:r>
      <w:r w:rsidRPr="002977FB">
        <w:rPr>
          <w:rFonts w:ascii="Times New Roman" w:hAnsi="Times New Roman"/>
        </w:rPr>
        <w:t>rection "made ... under an enactment"?</w:t>
      </w:r>
    </w:p>
    <w:p w14:paraId="4461BF35" w14:textId="41A53432" w:rsidR="00E301C2"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r>
      <w:r w:rsidR="00E301C2" w:rsidRPr="002977FB">
        <w:rPr>
          <w:rFonts w:ascii="Times New Roman" w:hAnsi="Times New Roman"/>
        </w:rPr>
        <w:t xml:space="preserve">At the outset, it should be noted that the </w:t>
      </w:r>
      <w:r w:rsidR="00964EF2" w:rsidRPr="002977FB">
        <w:rPr>
          <w:rFonts w:ascii="Times New Roman" w:hAnsi="Times New Roman"/>
          <w:i/>
          <w:iCs/>
        </w:rPr>
        <w:t xml:space="preserve">Tang </w:t>
      </w:r>
      <w:r w:rsidR="00964EF2" w:rsidRPr="002977FB">
        <w:rPr>
          <w:rFonts w:ascii="Times New Roman" w:hAnsi="Times New Roman"/>
        </w:rPr>
        <w:t>criteria identify a decision t</w:t>
      </w:r>
      <w:r w:rsidR="00755382" w:rsidRPr="002977FB">
        <w:rPr>
          <w:rFonts w:ascii="Times New Roman" w:hAnsi="Times New Roman"/>
        </w:rPr>
        <w:t xml:space="preserve">o which the </w:t>
      </w:r>
      <w:r w:rsidR="00755382" w:rsidRPr="002977FB">
        <w:rPr>
          <w:rFonts w:ascii="Times New Roman" w:hAnsi="Times New Roman"/>
          <w:i/>
          <w:iCs/>
        </w:rPr>
        <w:t xml:space="preserve">Review Act </w:t>
      </w:r>
      <w:r w:rsidR="00755382" w:rsidRPr="002977FB">
        <w:rPr>
          <w:rFonts w:ascii="Times New Roman" w:hAnsi="Times New Roman"/>
        </w:rPr>
        <w:t xml:space="preserve">applies. </w:t>
      </w:r>
      <w:r w:rsidR="00EE5869" w:rsidRPr="002977FB">
        <w:rPr>
          <w:rFonts w:ascii="Times New Roman" w:hAnsi="Times New Roman"/>
        </w:rPr>
        <w:t xml:space="preserve">Satisfaction of the </w:t>
      </w:r>
      <w:r w:rsidR="00EE5869" w:rsidRPr="002977FB">
        <w:rPr>
          <w:rFonts w:ascii="Times New Roman" w:hAnsi="Times New Roman"/>
          <w:i/>
          <w:iCs/>
        </w:rPr>
        <w:t xml:space="preserve">Tang </w:t>
      </w:r>
      <w:r w:rsidR="00EE5869" w:rsidRPr="002977FB">
        <w:rPr>
          <w:rFonts w:ascii="Times New Roman" w:hAnsi="Times New Roman"/>
        </w:rPr>
        <w:t>criteria does not imply that th</w:t>
      </w:r>
      <w:r w:rsidR="009F2F5C" w:rsidRPr="002977FB">
        <w:rPr>
          <w:rFonts w:ascii="Times New Roman" w:hAnsi="Times New Roman"/>
        </w:rPr>
        <w:t xml:space="preserve">e relevant decision was made validly, or may not be </w:t>
      </w:r>
      <w:r w:rsidR="00AD61D2" w:rsidRPr="002977FB">
        <w:rPr>
          <w:rFonts w:ascii="Times New Roman" w:hAnsi="Times New Roman"/>
        </w:rPr>
        <w:t>set aside, quashed or the subject of the other forms of relief provided for by th</w:t>
      </w:r>
      <w:r w:rsidR="0044424E" w:rsidRPr="002977FB">
        <w:rPr>
          <w:rFonts w:ascii="Times New Roman" w:hAnsi="Times New Roman"/>
        </w:rPr>
        <w:t>at Act.</w:t>
      </w:r>
      <w:r w:rsidR="0044424E" w:rsidRPr="002977FB">
        <w:rPr>
          <w:rStyle w:val="FootnoteReference"/>
          <w:rFonts w:ascii="Times New Roman" w:hAnsi="Times New Roman"/>
          <w:sz w:val="24"/>
        </w:rPr>
        <w:footnoteReference w:id="28"/>
      </w:r>
      <w:r w:rsidR="009F2F5C" w:rsidRPr="002977FB">
        <w:rPr>
          <w:rFonts w:ascii="Times New Roman" w:hAnsi="Times New Roman"/>
        </w:rPr>
        <w:t xml:space="preserve"> </w:t>
      </w:r>
    </w:p>
    <w:p w14:paraId="1C30EDE8" w14:textId="5F1BEC0C" w:rsidR="00EF23CA" w:rsidRPr="002977FB" w:rsidRDefault="00E301C2" w:rsidP="002977FB">
      <w:pPr>
        <w:pStyle w:val="FixListStyle"/>
        <w:spacing w:after="260" w:line="280" w:lineRule="exact"/>
        <w:ind w:right="0"/>
        <w:jc w:val="both"/>
        <w:rPr>
          <w:rFonts w:ascii="Times New Roman" w:hAnsi="Times New Roman"/>
        </w:rPr>
      </w:pPr>
      <w:r w:rsidRPr="002977FB">
        <w:rPr>
          <w:rFonts w:ascii="Times New Roman" w:hAnsi="Times New Roman"/>
        </w:rPr>
        <w:tab/>
      </w:r>
      <w:r w:rsidR="00EF23CA" w:rsidRPr="002977FB">
        <w:rPr>
          <w:rFonts w:ascii="Times New Roman" w:hAnsi="Times New Roman"/>
        </w:rPr>
        <w:t xml:space="preserve">There was no dispute between the parties that the first </w:t>
      </w:r>
      <w:r w:rsidR="00EF23CA" w:rsidRPr="002977FB">
        <w:rPr>
          <w:rFonts w:ascii="Times New Roman" w:hAnsi="Times New Roman"/>
          <w:i/>
          <w:iCs/>
        </w:rPr>
        <w:t xml:space="preserve">Tang </w:t>
      </w:r>
      <w:r w:rsidR="00EF23CA" w:rsidRPr="002977FB">
        <w:rPr>
          <w:rFonts w:ascii="Times New Roman" w:hAnsi="Times New Roman"/>
        </w:rPr>
        <w:t>criterion is satisfied. The appellants accepted that s 16(1)(db) of the DPSO Act either expressly or impliedly authorise</w:t>
      </w:r>
      <w:r w:rsidR="00735186" w:rsidRPr="002977FB">
        <w:rPr>
          <w:rFonts w:ascii="Times New Roman" w:hAnsi="Times New Roman"/>
        </w:rPr>
        <w:t>d</w:t>
      </w:r>
      <w:r w:rsidR="00EF23CA" w:rsidRPr="002977FB">
        <w:rPr>
          <w:rFonts w:ascii="Times New Roman" w:hAnsi="Times New Roman"/>
        </w:rPr>
        <w:t xml:space="preserve"> the Direction Decision. </w:t>
      </w:r>
    </w:p>
    <w:p w14:paraId="1C2398BD" w14:textId="598B0ABE"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narrow contention ultimately made by the appellants was that the Direction Decision fails to satisfy the second </w:t>
      </w:r>
      <w:r w:rsidRPr="002977FB">
        <w:rPr>
          <w:rFonts w:ascii="Times New Roman" w:hAnsi="Times New Roman"/>
          <w:i/>
          <w:iCs/>
        </w:rPr>
        <w:t xml:space="preserve">Tang </w:t>
      </w:r>
      <w:r w:rsidRPr="002977FB">
        <w:rPr>
          <w:rFonts w:ascii="Times New Roman" w:hAnsi="Times New Roman"/>
        </w:rPr>
        <w:t xml:space="preserve">criterion, because the Decision does not "itself" affect legal rights or obligations. The appellants acknowledged that Mr Lawrence's rights have been affected by the requirement that he not have in-person contact with the person named in the Direction Decision. Further, at the hearing in this Court, the appellants conceded that the second </w:t>
      </w:r>
      <w:r w:rsidRPr="002977FB">
        <w:rPr>
          <w:rFonts w:ascii="Times New Roman" w:hAnsi="Times New Roman"/>
          <w:i/>
          <w:iCs/>
        </w:rPr>
        <w:t>Tang</w:t>
      </w:r>
      <w:r w:rsidRPr="002977FB">
        <w:rPr>
          <w:rFonts w:ascii="Times New Roman" w:hAnsi="Times New Roman"/>
        </w:rPr>
        <w:t xml:space="preserve"> criterion is capable of encompassing decisions which derive legal force in whole or in part from the relevant enactment. Accordingly, they did not press an earlier contention that the second </w:t>
      </w:r>
      <w:r w:rsidRPr="002977FB">
        <w:rPr>
          <w:rFonts w:ascii="Times New Roman" w:hAnsi="Times New Roman"/>
          <w:i/>
          <w:iCs/>
        </w:rPr>
        <w:t xml:space="preserve">Tang </w:t>
      </w:r>
      <w:r w:rsidRPr="002977FB">
        <w:rPr>
          <w:rFonts w:ascii="Times New Roman" w:hAnsi="Times New Roman"/>
        </w:rPr>
        <w:t xml:space="preserve">criterion is only satisfied in respect of a decision that "itself, </w:t>
      </w:r>
      <w:r w:rsidRPr="002977FB">
        <w:rPr>
          <w:rFonts w:ascii="Times New Roman" w:hAnsi="Times New Roman"/>
        </w:rPr>
        <w:lastRenderedPageBreak/>
        <w:t>and only itself" affects legal rights or obligations.</w:t>
      </w:r>
      <w:r w:rsidRPr="002977FB">
        <w:rPr>
          <w:rFonts w:ascii="Times New Roman" w:hAnsi="Times New Roman"/>
          <w:b/>
          <w:bCs/>
        </w:rPr>
        <w:t xml:space="preserve"> </w:t>
      </w:r>
      <w:r w:rsidRPr="002977FB">
        <w:rPr>
          <w:rFonts w:ascii="Times New Roman" w:hAnsi="Times New Roman"/>
        </w:rPr>
        <w:t>Having made those concessions, the argument was limited to the proposition that the Direction Decision does not "itself" affect Mr Lawrence's legal obligations where the source of his obligation to comply with the Direction Decision is found in a judicial order, namely, the Supervision Order.</w:t>
      </w:r>
    </w:p>
    <w:p w14:paraId="1CA75661" w14:textId="53917A7E"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Th</w:t>
      </w:r>
      <w:r w:rsidR="00E75579" w:rsidRPr="002977FB">
        <w:rPr>
          <w:rFonts w:ascii="Times New Roman" w:hAnsi="Times New Roman"/>
        </w:rPr>
        <w:t xml:space="preserve">e </w:t>
      </w:r>
      <w:r w:rsidR="00B035D6" w:rsidRPr="002977FB">
        <w:rPr>
          <w:rFonts w:ascii="Times New Roman" w:hAnsi="Times New Roman"/>
        </w:rPr>
        <w:t xml:space="preserve">appellants' </w:t>
      </w:r>
      <w:r w:rsidR="00E75579" w:rsidRPr="002977FB">
        <w:rPr>
          <w:rFonts w:ascii="Times New Roman" w:hAnsi="Times New Roman"/>
        </w:rPr>
        <w:t>narrow contention</w:t>
      </w:r>
      <w:r w:rsidRPr="002977FB">
        <w:rPr>
          <w:rFonts w:ascii="Times New Roman" w:hAnsi="Times New Roman"/>
        </w:rPr>
        <w:t xml:space="preserve"> must be rejected because the source of Mr Lawrence's obligation to comply is in the DPSO Act. The capacity of the Direction Decision to affect Mr Lawrence's legal obligations is derived from the DPSO Act</w:t>
      </w:r>
      <w:r w:rsidRPr="002977FB">
        <w:rPr>
          <w:rFonts w:ascii="Times New Roman" w:hAnsi="Times New Roman"/>
          <w:b/>
          <w:bCs/>
        </w:rPr>
        <w:t xml:space="preserve"> </w:t>
      </w:r>
      <w:r w:rsidRPr="002977FB">
        <w:rPr>
          <w:rFonts w:ascii="Times New Roman" w:hAnsi="Times New Roman"/>
        </w:rPr>
        <w:t>and, specifically, from s 16(1)(db), which required the Supervision Order to contain a requirement that Mr Lawrence comply with any reasonable direction of a corrective services officer, provided that</w:t>
      </w:r>
      <w:r w:rsidRPr="002977FB">
        <w:rPr>
          <w:rFonts w:ascii="Times New Roman" w:hAnsi="Times New Roman"/>
          <w:b/>
          <w:bCs/>
        </w:rPr>
        <w:t xml:space="preserve"> </w:t>
      </w:r>
      <w:r w:rsidRPr="002977FB">
        <w:rPr>
          <w:rFonts w:ascii="Times New Roman" w:hAnsi="Times New Roman"/>
        </w:rPr>
        <w:t>any such direction is not directly inconsistent with a requirement of the order. In this regard, the appellants accepted that the statutory power to make a direction is conditioned by s 16C(1) of the DPSO Act, which provides that a corrective services officer may give a direction mentioned in s 16(1)(db) only if the officer reasonably believes the direction is necessary "to ensure the adequate protection of the community" or "for the prisoner's rehabilitation or care or treatment".</w:t>
      </w:r>
    </w:p>
    <w:p w14:paraId="5AA97C8C" w14:textId="202B4333"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As the appellants ultimately acknowledged, it follows that the legal status or effect of the Direction Decision as one </w:t>
      </w:r>
      <w:r w:rsidR="0028600F" w:rsidRPr="002977FB">
        <w:rPr>
          <w:rFonts w:ascii="Times New Roman" w:hAnsi="Times New Roman"/>
        </w:rPr>
        <w:t xml:space="preserve">purportedly </w:t>
      </w:r>
      <w:r w:rsidRPr="002977FB">
        <w:rPr>
          <w:rFonts w:ascii="Times New Roman" w:hAnsi="Times New Roman"/>
        </w:rPr>
        <w:t xml:space="preserve">authorised by ss 16(1)(db) and 16C(1) is necessary for the Decision to affect Mr Lawrence's legal rights. </w:t>
      </w:r>
      <w:r w:rsidR="00933A5E" w:rsidRPr="002977FB">
        <w:rPr>
          <w:rFonts w:ascii="Times New Roman" w:hAnsi="Times New Roman"/>
        </w:rPr>
        <w:t>A</w:t>
      </w:r>
      <w:r w:rsidRPr="002977FB">
        <w:rPr>
          <w:rFonts w:ascii="Times New Roman" w:hAnsi="Times New Roman"/>
        </w:rPr>
        <w:t xml:space="preserve"> prisoner would not be required by a supervision order to comply with a direction made in breach of s 16C(1) because such a direction would not be within the ambit of that supervision order.</w:t>
      </w:r>
      <w:r w:rsidRPr="002977FB">
        <w:rPr>
          <w:rFonts w:ascii="Times New Roman" w:hAnsi="Times New Roman"/>
          <w:b/>
          <w:bCs/>
        </w:rPr>
        <w:t xml:space="preserve"> </w:t>
      </w:r>
      <w:r w:rsidRPr="002977FB">
        <w:rPr>
          <w:rFonts w:ascii="Times New Roman" w:hAnsi="Times New Roman"/>
        </w:rPr>
        <w:t xml:space="preserve">It follows that the significance of the Direction Decision depends upon its </w:t>
      </w:r>
      <w:r w:rsidR="007454B5" w:rsidRPr="002977FB">
        <w:rPr>
          <w:rFonts w:ascii="Times New Roman" w:hAnsi="Times New Roman"/>
        </w:rPr>
        <w:t xml:space="preserve">purported </w:t>
      </w:r>
      <w:r w:rsidRPr="002977FB">
        <w:rPr>
          <w:rFonts w:ascii="Times New Roman" w:hAnsi="Times New Roman"/>
        </w:rPr>
        <w:t>validity, and not upon the mere historical fact of the Decision having been made,</w:t>
      </w:r>
      <w:r w:rsidRPr="002977FB">
        <w:rPr>
          <w:rStyle w:val="FootnoteReference"/>
          <w:rFonts w:ascii="Times New Roman" w:hAnsi="Times New Roman"/>
          <w:sz w:val="24"/>
        </w:rPr>
        <w:footnoteReference w:id="29"/>
      </w:r>
      <w:r w:rsidRPr="002977FB">
        <w:rPr>
          <w:rFonts w:ascii="Times New Roman" w:hAnsi="Times New Roman"/>
        </w:rPr>
        <w:t xml:space="preserve"> nor upon whether, as a matter of fact, the Decision is reasonable. The Direction Decision "derives from the enactment", the DPSO Act, in the sense that it has no legal efficacy unless it is a direction authorised by ss 16(1)(db) and 16C</w:t>
      </w:r>
      <w:r w:rsidR="000142DA" w:rsidRPr="002977FB">
        <w:rPr>
          <w:rFonts w:ascii="Times New Roman" w:hAnsi="Times New Roman"/>
        </w:rPr>
        <w:t>(1)</w:t>
      </w:r>
      <w:r w:rsidRPr="002977FB">
        <w:rPr>
          <w:rFonts w:ascii="Times New Roman" w:hAnsi="Times New Roman"/>
        </w:rPr>
        <w:t xml:space="preserve"> of the Act.</w:t>
      </w:r>
    </w:p>
    <w:p w14:paraId="331BFCFC" w14:textId="51139855"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Further, the Direction Decision, if validly made, "itself" exposed Mr</w:t>
      </w:r>
      <w:r w:rsidR="00E40F68">
        <w:rPr>
          <w:rFonts w:ascii="Times New Roman" w:hAnsi="Times New Roman"/>
        </w:rPr>
        <w:t> </w:t>
      </w:r>
      <w:r w:rsidRPr="002977FB">
        <w:rPr>
          <w:rFonts w:ascii="Times New Roman" w:hAnsi="Times New Roman"/>
        </w:rPr>
        <w:t>Lawrence to new legal jeopardy under s 20 of the DPSO Act, which provides for the issue of a warrant for the arrest of a released prisoner suspected of contravening a supervision order; or under s 43AA of that Act, which makes it an offence, punishable by a maximum penalty of two years' imprisonment, to contravene a supervision order without a reasonable excuse.</w:t>
      </w:r>
      <w:r w:rsidR="008231B4" w:rsidRPr="002977FB">
        <w:rPr>
          <w:rFonts w:ascii="Times New Roman" w:hAnsi="Times New Roman"/>
        </w:rPr>
        <w:t xml:space="preserve"> </w:t>
      </w:r>
      <w:r w:rsidR="00171988" w:rsidRPr="002977FB">
        <w:rPr>
          <w:rFonts w:ascii="Times New Roman" w:hAnsi="Times New Roman"/>
        </w:rPr>
        <w:t>Without a direction under s</w:t>
      </w:r>
      <w:r w:rsidR="00D974D9">
        <w:rPr>
          <w:rFonts w:ascii="Times New Roman" w:hAnsi="Times New Roman"/>
        </w:rPr>
        <w:t> </w:t>
      </w:r>
      <w:r w:rsidR="00171988" w:rsidRPr="002977FB">
        <w:rPr>
          <w:rFonts w:ascii="Times New Roman" w:hAnsi="Times New Roman"/>
        </w:rPr>
        <w:t xml:space="preserve">16(1)(db) of the DPSO Act, Mr Lawrence would be free to meet the person </w:t>
      </w:r>
      <w:r w:rsidR="00171988" w:rsidRPr="002977FB">
        <w:rPr>
          <w:rFonts w:ascii="Times New Roman" w:hAnsi="Times New Roman"/>
        </w:rPr>
        <w:lastRenderedPageBreak/>
        <w:t>named in the Direction Decision without any potential criminal sanctions.</w:t>
      </w:r>
      <w:r w:rsidRPr="002977FB">
        <w:rPr>
          <w:rFonts w:ascii="Times New Roman" w:hAnsi="Times New Roman"/>
        </w:rPr>
        <w:t xml:space="preserve"> That is, the Direction Decision </w:t>
      </w:r>
      <w:r w:rsidR="00682ECD" w:rsidRPr="002977FB">
        <w:rPr>
          <w:rFonts w:ascii="Times New Roman" w:hAnsi="Times New Roman"/>
        </w:rPr>
        <w:t>purport</w:t>
      </w:r>
      <w:r w:rsidR="00171988" w:rsidRPr="002977FB">
        <w:rPr>
          <w:rFonts w:ascii="Times New Roman" w:hAnsi="Times New Roman"/>
        </w:rPr>
        <w:t xml:space="preserve">ed to </w:t>
      </w:r>
      <w:r w:rsidRPr="002977FB">
        <w:rPr>
          <w:rFonts w:ascii="Times New Roman" w:hAnsi="Times New Roman"/>
        </w:rPr>
        <w:t>add to Mr Lawrence's obligations under the Supervision Order, and the Decision's power to have that effect is derived from the DPSO Act.</w:t>
      </w:r>
    </w:p>
    <w:p w14:paraId="53C523EA" w14:textId="56FDE10B"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appellants sought to illustrate the scope of the second </w:t>
      </w:r>
      <w:r w:rsidRPr="002977FB">
        <w:rPr>
          <w:rFonts w:ascii="Times New Roman" w:hAnsi="Times New Roman"/>
          <w:i/>
          <w:iCs/>
        </w:rPr>
        <w:t xml:space="preserve">Tang </w:t>
      </w:r>
      <w:r w:rsidRPr="002977FB">
        <w:rPr>
          <w:rFonts w:ascii="Times New Roman" w:hAnsi="Times New Roman"/>
        </w:rPr>
        <w:t xml:space="preserve">criterion by reference to the </w:t>
      </w:r>
      <w:r w:rsidR="00D63F8C" w:rsidRPr="002977FB">
        <w:rPr>
          <w:rFonts w:ascii="Times New Roman" w:hAnsi="Times New Roman"/>
        </w:rPr>
        <w:t>Supreme C</w:t>
      </w:r>
      <w:r w:rsidRPr="002977FB">
        <w:rPr>
          <w:rFonts w:ascii="Times New Roman" w:hAnsi="Times New Roman"/>
        </w:rPr>
        <w:t xml:space="preserve">ourt's power under s 30(1)(a) of the </w:t>
      </w:r>
      <w:r w:rsidRPr="002977FB">
        <w:rPr>
          <w:rFonts w:ascii="Times New Roman" w:hAnsi="Times New Roman"/>
          <w:i/>
          <w:iCs/>
        </w:rPr>
        <w:t>Review Act</w:t>
      </w:r>
      <w:r w:rsidRPr="002977FB">
        <w:rPr>
          <w:rFonts w:ascii="Times New Roman" w:hAnsi="Times New Roman"/>
        </w:rPr>
        <w:t xml:space="preserve">, on an application for a statutory order of review in relation to a decision, to make an order quashing or setting aside the decision. The appellants noted that a power to grant relief of this kind presupposes that a decision to which the </w:t>
      </w:r>
      <w:r w:rsidRPr="002977FB">
        <w:rPr>
          <w:rFonts w:ascii="Times New Roman" w:hAnsi="Times New Roman"/>
          <w:i/>
          <w:iCs/>
        </w:rPr>
        <w:t>Review Act</w:t>
      </w:r>
      <w:r w:rsidRPr="002977FB">
        <w:rPr>
          <w:rFonts w:ascii="Times New Roman" w:hAnsi="Times New Roman"/>
        </w:rPr>
        <w:t xml:space="preserve"> applies has an "apparent legal effect",</w:t>
      </w:r>
      <w:r w:rsidRPr="002977FB">
        <w:rPr>
          <w:rStyle w:val="FootnoteReference"/>
          <w:rFonts w:ascii="Times New Roman" w:hAnsi="Times New Roman"/>
          <w:sz w:val="24"/>
        </w:rPr>
        <w:footnoteReference w:id="30"/>
      </w:r>
      <w:r w:rsidRPr="002977FB">
        <w:rPr>
          <w:rFonts w:ascii="Times New Roman" w:hAnsi="Times New Roman"/>
          <w:b/>
          <w:bCs/>
        </w:rPr>
        <w:t xml:space="preserve"> </w:t>
      </w:r>
      <w:r w:rsidRPr="002977FB">
        <w:rPr>
          <w:rFonts w:ascii="Times New Roman" w:hAnsi="Times New Roman"/>
        </w:rPr>
        <w:t>and contended that an order quashing the Direction Decision would have no legal effect. The appellants' argument fails because, as has been explained, the Direction Decision did have an "apparent legal effect" and an order quashing the Decision would affect the scope of Mr Lawrence's legal obligations under the Supervision Order. As the appellants conceded, the Direction Decision is reviewable at common law for jurisdictional error.</w:t>
      </w:r>
      <w:r w:rsidRPr="002977FB">
        <w:rPr>
          <w:rFonts w:ascii="Times New Roman" w:hAnsi="Times New Roman"/>
          <w:b/>
          <w:bCs/>
        </w:rPr>
        <w:t xml:space="preserve"> </w:t>
      </w:r>
    </w:p>
    <w:p w14:paraId="4CFFB614" w14:textId="6E38C266" w:rsidR="00EF23CA" w:rsidRPr="002977FB" w:rsidRDefault="00EF23CA" w:rsidP="002977FB">
      <w:pPr>
        <w:pStyle w:val="FixListStyle"/>
        <w:spacing w:after="260" w:line="280" w:lineRule="exact"/>
        <w:ind w:right="0"/>
        <w:jc w:val="both"/>
        <w:rPr>
          <w:rFonts w:ascii="Times New Roman" w:hAnsi="Times New Roman"/>
        </w:rPr>
      </w:pPr>
      <w:r w:rsidRPr="002977FB">
        <w:rPr>
          <w:rFonts w:ascii="Times New Roman" w:hAnsi="Times New Roman"/>
        </w:rPr>
        <w:tab/>
        <w:t xml:space="preserve">The appellants' remaining argument was that there is no provision of the DPSO Act that imposes a consequence directly for noncompliance with a direction. Instead, the sole force of the obligation derives "indirectly" from provisions of the DPSO Act, including ss 20 and 43AA. However, </w:t>
      </w:r>
      <w:r w:rsidR="004235B7" w:rsidRPr="002977FB">
        <w:rPr>
          <w:rFonts w:ascii="Times New Roman" w:hAnsi="Times New Roman"/>
        </w:rPr>
        <w:t>a</w:t>
      </w:r>
      <w:r w:rsidR="0095359A" w:rsidRPr="002977FB">
        <w:rPr>
          <w:rFonts w:ascii="Times New Roman" w:hAnsi="Times New Roman"/>
        </w:rPr>
        <w:t xml:space="preserve">s noted earlier, </w:t>
      </w:r>
      <w:r w:rsidRPr="002977FB">
        <w:rPr>
          <w:rFonts w:ascii="Times New Roman" w:hAnsi="Times New Roman"/>
        </w:rPr>
        <w:t xml:space="preserve">a decision which takes legal force in part from an enactment satisfies the second </w:t>
      </w:r>
      <w:r w:rsidRPr="002977FB">
        <w:rPr>
          <w:rFonts w:ascii="Times New Roman" w:hAnsi="Times New Roman"/>
          <w:i/>
          <w:iCs/>
        </w:rPr>
        <w:t xml:space="preserve">Tang </w:t>
      </w:r>
      <w:r w:rsidRPr="002977FB">
        <w:rPr>
          <w:rFonts w:ascii="Times New Roman" w:hAnsi="Times New Roman"/>
        </w:rPr>
        <w:t>criterion</w:t>
      </w:r>
      <w:r w:rsidR="0095359A" w:rsidRPr="002977FB">
        <w:rPr>
          <w:rFonts w:ascii="Times New Roman" w:hAnsi="Times New Roman"/>
        </w:rPr>
        <w:t xml:space="preserve">. </w:t>
      </w:r>
      <w:r w:rsidR="00CA055F" w:rsidRPr="002977FB">
        <w:rPr>
          <w:rFonts w:ascii="Times New Roman" w:hAnsi="Times New Roman"/>
        </w:rPr>
        <w:t>It n</w:t>
      </w:r>
      <w:r w:rsidR="00390796" w:rsidRPr="002977FB">
        <w:rPr>
          <w:rFonts w:ascii="Times New Roman" w:hAnsi="Times New Roman"/>
        </w:rPr>
        <w:t>ecessarily</w:t>
      </w:r>
      <w:r w:rsidR="00CA055F" w:rsidRPr="002977FB">
        <w:rPr>
          <w:rFonts w:ascii="Times New Roman" w:hAnsi="Times New Roman"/>
        </w:rPr>
        <w:t xml:space="preserve"> follows </w:t>
      </w:r>
      <w:r w:rsidRPr="002977FB">
        <w:rPr>
          <w:rFonts w:ascii="Times New Roman" w:hAnsi="Times New Roman"/>
        </w:rPr>
        <w:t>that</w:t>
      </w:r>
      <w:r w:rsidR="00CA055F" w:rsidRPr="002977FB">
        <w:rPr>
          <w:rFonts w:ascii="Times New Roman" w:hAnsi="Times New Roman"/>
        </w:rPr>
        <w:t xml:space="preserve">, </w:t>
      </w:r>
      <w:r w:rsidR="000C49B3" w:rsidRPr="002977FB">
        <w:rPr>
          <w:rFonts w:ascii="Times New Roman" w:hAnsi="Times New Roman"/>
        </w:rPr>
        <w:t>while</w:t>
      </w:r>
      <w:r w:rsidR="00CA055F" w:rsidRPr="002977FB">
        <w:rPr>
          <w:rFonts w:ascii="Times New Roman" w:hAnsi="Times New Roman"/>
        </w:rPr>
        <w:t xml:space="preserve"> </w:t>
      </w:r>
      <w:r w:rsidRPr="002977FB">
        <w:rPr>
          <w:rFonts w:ascii="Times New Roman" w:hAnsi="Times New Roman"/>
        </w:rPr>
        <w:t xml:space="preserve">the Direction Decision depends for its </w:t>
      </w:r>
      <w:r w:rsidR="00CA055F" w:rsidRPr="002977FB">
        <w:rPr>
          <w:rFonts w:ascii="Times New Roman" w:hAnsi="Times New Roman"/>
        </w:rPr>
        <w:t xml:space="preserve">purported </w:t>
      </w:r>
      <w:r w:rsidRPr="002977FB">
        <w:rPr>
          <w:rFonts w:ascii="Times New Roman" w:hAnsi="Times New Roman"/>
        </w:rPr>
        <w:t>efficacy on the making of a supervision order by a court in the exercise of judicial power</w:t>
      </w:r>
      <w:r w:rsidR="00BE054B" w:rsidRPr="002977FB">
        <w:rPr>
          <w:rFonts w:ascii="Times New Roman" w:hAnsi="Times New Roman"/>
        </w:rPr>
        <w:t xml:space="preserve">, </w:t>
      </w:r>
      <w:r w:rsidR="00EF3B5F" w:rsidRPr="002977FB">
        <w:rPr>
          <w:rFonts w:ascii="Times New Roman" w:hAnsi="Times New Roman"/>
        </w:rPr>
        <w:t>th</w:t>
      </w:r>
      <w:r w:rsidR="000C49B3" w:rsidRPr="002977FB">
        <w:rPr>
          <w:rFonts w:ascii="Times New Roman" w:hAnsi="Times New Roman"/>
        </w:rPr>
        <w:t>is d</w:t>
      </w:r>
      <w:r w:rsidR="00390796" w:rsidRPr="002977FB">
        <w:rPr>
          <w:rFonts w:ascii="Times New Roman" w:hAnsi="Times New Roman"/>
        </w:rPr>
        <w:t xml:space="preserve">oes </w:t>
      </w:r>
      <w:r w:rsidR="002A0D29" w:rsidRPr="002977FB">
        <w:rPr>
          <w:rFonts w:ascii="Times New Roman" w:hAnsi="Times New Roman"/>
        </w:rPr>
        <w:t>not</w:t>
      </w:r>
      <w:r w:rsidRPr="002977FB">
        <w:rPr>
          <w:rFonts w:ascii="Times New Roman" w:hAnsi="Times New Roman"/>
        </w:rPr>
        <w:t xml:space="preserve"> detract from the conclusion that the Direction Decision was "made under" the DPSO Act. </w:t>
      </w:r>
    </w:p>
    <w:p w14:paraId="08F8F097" w14:textId="77777777" w:rsidR="00EF23CA" w:rsidRPr="002977FB" w:rsidRDefault="00EF23CA" w:rsidP="002977FB">
      <w:pPr>
        <w:pStyle w:val="HeadingL1"/>
        <w:spacing w:after="260" w:line="280" w:lineRule="exact"/>
        <w:ind w:right="0"/>
        <w:jc w:val="both"/>
        <w:rPr>
          <w:rFonts w:ascii="Times New Roman" w:hAnsi="Times New Roman"/>
        </w:rPr>
      </w:pPr>
      <w:r w:rsidRPr="002977FB">
        <w:rPr>
          <w:rFonts w:ascii="Times New Roman" w:hAnsi="Times New Roman"/>
        </w:rPr>
        <w:t>Conclusion</w:t>
      </w:r>
    </w:p>
    <w:p w14:paraId="6C95F3E7" w14:textId="77777777" w:rsidR="00804BD7" w:rsidRDefault="00E40F68" w:rsidP="00804BD7">
      <w:pPr>
        <w:pStyle w:val="FixListStyle"/>
        <w:spacing w:after="260" w:line="280" w:lineRule="exact"/>
        <w:ind w:right="0"/>
        <w:jc w:val="both"/>
        <w:rPr>
          <w:rFonts w:ascii="Times New Roman" w:hAnsi="Times New Roman"/>
        </w:rPr>
      </w:pPr>
      <w:r>
        <w:rPr>
          <w:rFonts w:ascii="Times New Roman" w:hAnsi="Times New Roman"/>
        </w:rPr>
        <w:tab/>
      </w:r>
      <w:r w:rsidR="00EF23CA" w:rsidRPr="002977FB">
        <w:rPr>
          <w:rFonts w:ascii="Times New Roman" w:hAnsi="Times New Roman"/>
        </w:rPr>
        <w:t xml:space="preserve">The appeal must be dismissed with costs. </w:t>
      </w:r>
    </w:p>
    <w:p w14:paraId="6398F5E9" w14:textId="77777777" w:rsidR="00804BD7" w:rsidRDefault="00804BD7" w:rsidP="00804BD7">
      <w:pPr>
        <w:pStyle w:val="FixListStyle"/>
        <w:spacing w:after="260" w:line="280" w:lineRule="exact"/>
        <w:ind w:right="0"/>
        <w:jc w:val="both"/>
        <w:rPr>
          <w:rFonts w:ascii="Times New Roman" w:hAnsi="Times New Roman"/>
        </w:rPr>
        <w:sectPr w:rsidR="00804BD7" w:rsidSect="00AC4E0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A8832D5" w14:textId="62936863" w:rsidR="00B41D37" w:rsidRPr="00804BD7" w:rsidRDefault="00B41D37" w:rsidP="00804BD7">
      <w:pPr>
        <w:pStyle w:val="NormalBody"/>
      </w:pPr>
    </w:p>
    <w:sectPr w:rsidR="00B41D37" w:rsidRPr="00804BD7" w:rsidSect="002977FB">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5478" w14:textId="77777777" w:rsidR="00E612C6" w:rsidRDefault="00E612C6">
      <w:pPr>
        <w:spacing w:line="240" w:lineRule="auto"/>
      </w:pPr>
      <w:r>
        <w:separator/>
      </w:r>
    </w:p>
  </w:endnote>
  <w:endnote w:type="continuationSeparator" w:id="0">
    <w:p w14:paraId="5A939E85" w14:textId="77777777" w:rsidR="00E612C6" w:rsidRDefault="00E612C6">
      <w:pPr>
        <w:spacing w:line="240" w:lineRule="auto"/>
      </w:pPr>
      <w:r>
        <w:continuationSeparator/>
      </w:r>
    </w:p>
  </w:endnote>
  <w:endnote w:type="continuationNotice" w:id="1">
    <w:p w14:paraId="50DF1331" w14:textId="77777777" w:rsidR="00E612C6" w:rsidRDefault="00E612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735C" w14:textId="77777777" w:rsidR="00AC4E05" w:rsidRDefault="00AC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879" w14:textId="77777777" w:rsidR="00AC4E05" w:rsidRDefault="00AC4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ADC" w14:textId="77777777" w:rsidR="00AC4E05" w:rsidRDefault="00AC4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55DB" w14:textId="77777777" w:rsidR="00AC4E05" w:rsidRDefault="00AC4E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674F" w14:textId="77777777" w:rsidR="00AC4E05" w:rsidRDefault="00AC4E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DAFC" w14:textId="77777777" w:rsidR="00AC4E05" w:rsidRDefault="00AC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1719" w14:textId="77777777" w:rsidR="00E612C6" w:rsidRPr="002977FB" w:rsidRDefault="00E612C6" w:rsidP="002977FB">
      <w:pPr>
        <w:pStyle w:val="Footer"/>
        <w:spacing w:before="120" w:after="20"/>
        <w:ind w:right="0"/>
        <w:rPr>
          <w:rFonts w:ascii="Times New Roman" w:hAnsi="Times New Roman"/>
        </w:rPr>
      </w:pPr>
      <w:r>
        <w:continuationSeparator/>
      </w:r>
    </w:p>
  </w:footnote>
  <w:footnote w:type="continuationSeparator" w:id="0">
    <w:p w14:paraId="7C284704" w14:textId="77777777" w:rsidR="00E612C6" w:rsidRPr="002977FB" w:rsidRDefault="00E612C6" w:rsidP="002977FB">
      <w:pPr>
        <w:pStyle w:val="Footer"/>
        <w:spacing w:before="120" w:after="20"/>
        <w:ind w:right="0"/>
        <w:rPr>
          <w:rFonts w:ascii="Times New Roman" w:hAnsi="Times New Roman"/>
        </w:rPr>
      </w:pPr>
      <w:r w:rsidRPr="002977FB">
        <w:rPr>
          <w:rFonts w:ascii="Times New Roman" w:hAnsi="Times New Roman"/>
        </w:rPr>
        <w:continuationSeparator/>
      </w:r>
    </w:p>
  </w:footnote>
  <w:footnote w:type="continuationNotice" w:id="1">
    <w:p w14:paraId="267DDFD8" w14:textId="77777777" w:rsidR="00E612C6" w:rsidRPr="002977FB" w:rsidRDefault="00E612C6">
      <w:pPr>
        <w:jc w:val="right"/>
        <w:rPr>
          <w:rFonts w:ascii="Times Roman" w:hAnsi="Times Roman"/>
          <w:sz w:val="24"/>
        </w:rPr>
      </w:pPr>
    </w:p>
  </w:footnote>
  <w:footnote w:id="2">
    <w:p w14:paraId="5468E57C" w14:textId="77777777" w:rsidR="00EF23CA" w:rsidRPr="002977FB" w:rsidRDefault="00EF23CA" w:rsidP="002977FB">
      <w:pPr>
        <w:pStyle w:val="FootnoteText"/>
        <w:spacing w:line="280" w:lineRule="exact"/>
        <w:ind w:right="0"/>
        <w:jc w:val="both"/>
        <w:rPr>
          <w:rFonts w:ascii="Times New Roman" w:hAnsi="Times New Roman"/>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t>(2005) 221 CLR 99.</w:t>
      </w:r>
    </w:p>
  </w:footnote>
  <w:footnote w:id="3">
    <w:p w14:paraId="5738B7A3" w14:textId="2124B1A1"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sz w:val="24"/>
        </w:rPr>
        <w:t xml:space="preserve">A prisoner is a serious danger to the community if there is an unacceptable risk that the prisoner will commit a "serious sexual offence" if the prisoner is released from custody or if the prisoner is released from custody without a supervision order being made: </w:t>
      </w:r>
      <w:r w:rsidRPr="002977FB">
        <w:rPr>
          <w:rFonts w:ascii="Times New Roman" w:hAnsi="Times New Roman"/>
          <w:i/>
          <w:iCs/>
          <w:sz w:val="24"/>
        </w:rPr>
        <w:t xml:space="preserve">Dangerous Prisoners (Sexual Offenders) Act 2003 </w:t>
      </w:r>
      <w:r w:rsidRPr="002977FB">
        <w:rPr>
          <w:rFonts w:ascii="Times New Roman" w:hAnsi="Times New Roman"/>
          <w:sz w:val="24"/>
        </w:rPr>
        <w:t>(Qld),</w:t>
      </w:r>
      <w:r w:rsidRPr="002977FB">
        <w:rPr>
          <w:rFonts w:ascii="Times New Roman" w:hAnsi="Times New Roman"/>
          <w:sz w:val="24"/>
          <w:lang w:val="en-US"/>
        </w:rPr>
        <w:t xml:space="preserve"> s 13(2) and </w:t>
      </w:r>
      <w:r w:rsidR="004173EA" w:rsidRPr="002977FB">
        <w:rPr>
          <w:rFonts w:ascii="Times New Roman" w:hAnsi="Times New Roman"/>
          <w:sz w:val="24"/>
          <w:lang w:val="en-US"/>
        </w:rPr>
        <w:t>S</w:t>
      </w:r>
      <w:r w:rsidRPr="002977FB">
        <w:rPr>
          <w:rFonts w:ascii="Times New Roman" w:hAnsi="Times New Roman"/>
          <w:sz w:val="24"/>
          <w:lang w:val="en-US"/>
        </w:rPr>
        <w:t>ch 1 Dictionary, definition of "serious sexual offence".</w:t>
      </w:r>
    </w:p>
  </w:footnote>
  <w:footnote w:id="4">
    <w:p w14:paraId="35E9D024" w14:textId="28EED0DB"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rPr>
        <w:t xml:space="preserve">Dangerous Prisoners (Sexual Offenders) Act 2003 </w:t>
      </w:r>
      <w:r w:rsidRPr="002977FB">
        <w:rPr>
          <w:rFonts w:ascii="Times New Roman" w:hAnsi="Times New Roman"/>
          <w:sz w:val="24"/>
        </w:rPr>
        <w:t xml:space="preserve">(Qld), </w:t>
      </w:r>
      <w:r w:rsidRPr="002977FB">
        <w:rPr>
          <w:rFonts w:ascii="Times New Roman" w:hAnsi="Times New Roman"/>
          <w:sz w:val="24"/>
          <w:lang w:val="en-US"/>
        </w:rPr>
        <w:t xml:space="preserve">s 13(1) and </w:t>
      </w:r>
      <w:r w:rsidR="004173EA" w:rsidRPr="002977FB">
        <w:rPr>
          <w:rFonts w:ascii="Times New Roman" w:hAnsi="Times New Roman"/>
          <w:sz w:val="24"/>
          <w:lang w:val="en-US"/>
        </w:rPr>
        <w:t>S</w:t>
      </w:r>
      <w:r w:rsidRPr="002977FB">
        <w:rPr>
          <w:rFonts w:ascii="Times New Roman" w:hAnsi="Times New Roman"/>
          <w:sz w:val="24"/>
          <w:lang w:val="en-US"/>
        </w:rPr>
        <w:t xml:space="preserve">ch 1 Dictionary, definition of "division 3 order". </w:t>
      </w:r>
    </w:p>
  </w:footnote>
  <w:footnote w:id="5">
    <w:p w14:paraId="65E2CC71" w14:textId="70BB36A5"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r>
      <w:r w:rsidRPr="002977FB">
        <w:rPr>
          <w:rFonts w:ascii="Times New Roman" w:hAnsi="Times New Roman"/>
          <w:i/>
          <w:iCs/>
          <w:sz w:val="24"/>
        </w:rPr>
        <w:t xml:space="preserve">Dangerous Prisoners (Sexual Offenders) Act 2003 </w:t>
      </w:r>
      <w:r w:rsidRPr="002977FB">
        <w:rPr>
          <w:rFonts w:ascii="Times New Roman" w:hAnsi="Times New Roman"/>
          <w:sz w:val="24"/>
        </w:rPr>
        <w:t xml:space="preserve">(Qld), </w:t>
      </w:r>
      <w:r w:rsidR="004173EA" w:rsidRPr="002977FB">
        <w:rPr>
          <w:rFonts w:ascii="Times New Roman" w:hAnsi="Times New Roman"/>
          <w:sz w:val="24"/>
          <w:lang w:val="en-US"/>
        </w:rPr>
        <w:t>S</w:t>
      </w:r>
      <w:r w:rsidRPr="002977FB">
        <w:rPr>
          <w:rFonts w:ascii="Times New Roman" w:hAnsi="Times New Roman"/>
          <w:sz w:val="24"/>
          <w:lang w:val="en-US"/>
        </w:rPr>
        <w:t xml:space="preserve">ch 1 Dictionary; </w:t>
      </w:r>
      <w:r w:rsidRPr="002977FB">
        <w:rPr>
          <w:rFonts w:ascii="Times New Roman" w:hAnsi="Times New Roman"/>
          <w:i/>
          <w:iCs/>
          <w:sz w:val="24"/>
          <w:lang w:val="en-US"/>
        </w:rPr>
        <w:t>Corrective Services Act 2006</w:t>
      </w:r>
      <w:r w:rsidRPr="002977FB">
        <w:rPr>
          <w:rFonts w:ascii="Times New Roman" w:hAnsi="Times New Roman"/>
          <w:sz w:val="24"/>
          <w:lang w:val="en-US"/>
        </w:rPr>
        <w:t xml:space="preserve"> (Qld), </w:t>
      </w:r>
      <w:r w:rsidR="004173EA" w:rsidRPr="002977FB">
        <w:rPr>
          <w:rFonts w:ascii="Times New Roman" w:hAnsi="Times New Roman"/>
          <w:sz w:val="24"/>
          <w:lang w:val="en-US"/>
        </w:rPr>
        <w:t>S</w:t>
      </w:r>
      <w:r w:rsidRPr="002977FB">
        <w:rPr>
          <w:rFonts w:ascii="Times New Roman" w:hAnsi="Times New Roman"/>
          <w:sz w:val="24"/>
          <w:lang w:val="en-US"/>
        </w:rPr>
        <w:t>ch 4</w:t>
      </w:r>
      <w:r w:rsidR="004173EA" w:rsidRPr="002977FB">
        <w:rPr>
          <w:rFonts w:ascii="Times New Roman" w:hAnsi="Times New Roman"/>
          <w:sz w:val="24"/>
          <w:lang w:val="en-US"/>
        </w:rPr>
        <w:t xml:space="preserve"> Dictionary</w:t>
      </w:r>
      <w:r w:rsidRPr="002977FB">
        <w:rPr>
          <w:rFonts w:ascii="Times New Roman" w:hAnsi="Times New Roman"/>
          <w:sz w:val="24"/>
          <w:lang w:val="en-US"/>
        </w:rPr>
        <w:t>.</w:t>
      </w:r>
    </w:p>
  </w:footnote>
  <w:footnote w:id="6">
    <w:p w14:paraId="48CA034F"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 xml:space="preserve">Lawrence v Fuller </w:t>
      </w:r>
      <w:r w:rsidRPr="002977FB">
        <w:rPr>
          <w:rFonts w:ascii="Times New Roman" w:hAnsi="Times New Roman"/>
          <w:sz w:val="24"/>
          <w:lang w:val="en-US"/>
        </w:rPr>
        <w:t>[2023] QSC 156 at [77]-[78].</w:t>
      </w:r>
    </w:p>
  </w:footnote>
  <w:footnote w:id="7">
    <w:p w14:paraId="08EDDBFF"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 xml:space="preserve">Fuller v Lawrence </w:t>
      </w:r>
      <w:r w:rsidRPr="002977FB">
        <w:rPr>
          <w:rFonts w:ascii="Times New Roman" w:hAnsi="Times New Roman"/>
          <w:sz w:val="24"/>
          <w:lang w:val="en-US"/>
        </w:rPr>
        <w:t>[2023] QCA 257.</w:t>
      </w:r>
    </w:p>
  </w:footnote>
  <w:footnote w:id="8">
    <w:p w14:paraId="281D8780"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 xml:space="preserve">Judicial Review Act 1991 </w:t>
      </w:r>
      <w:r w:rsidRPr="002977FB">
        <w:rPr>
          <w:rFonts w:ascii="Times New Roman" w:hAnsi="Times New Roman"/>
          <w:sz w:val="24"/>
          <w:lang w:val="en-US"/>
        </w:rPr>
        <w:t>(Qld), s 10(1).</w:t>
      </w:r>
    </w:p>
  </w:footnote>
  <w:footnote w:id="9">
    <w:p w14:paraId="0FE40661" w14:textId="77777777" w:rsidR="00EF23CA" w:rsidRPr="002977FB" w:rsidRDefault="00EF23CA" w:rsidP="002977FB">
      <w:pPr>
        <w:pStyle w:val="FootnoteText"/>
        <w:spacing w:line="280" w:lineRule="exact"/>
        <w:ind w:right="0"/>
        <w:jc w:val="both"/>
        <w:rPr>
          <w:rFonts w:ascii="Times New Roman" w:hAnsi="Times New Roman"/>
          <w:i/>
          <w:iCs/>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r>
      <w:r w:rsidRPr="002977FB">
        <w:rPr>
          <w:rFonts w:ascii="Times New Roman" w:hAnsi="Times New Roman"/>
          <w:i/>
          <w:iCs/>
          <w:sz w:val="24"/>
          <w:lang w:val="en-US"/>
        </w:rPr>
        <w:t xml:space="preserve">Judicial Review Act 1991 </w:t>
      </w:r>
      <w:r w:rsidRPr="002977FB">
        <w:rPr>
          <w:rFonts w:ascii="Times New Roman" w:hAnsi="Times New Roman"/>
          <w:sz w:val="24"/>
          <w:lang w:val="en-US"/>
        </w:rPr>
        <w:t>(Qld), ss 20, 31, 32(1).</w:t>
      </w:r>
    </w:p>
  </w:footnote>
  <w:footnote w:id="10">
    <w:p w14:paraId="39D578A7"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Acts Interpretation Act 1954</w:t>
      </w:r>
      <w:r w:rsidRPr="002977FB">
        <w:rPr>
          <w:rFonts w:ascii="Times New Roman" w:hAnsi="Times New Roman"/>
          <w:sz w:val="24"/>
          <w:lang w:val="en-US"/>
        </w:rPr>
        <w:t xml:space="preserve"> (Qld), s 6(1).</w:t>
      </w:r>
    </w:p>
  </w:footnote>
  <w:footnote w:id="11">
    <w:p w14:paraId="4D826819"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110 [17].</w:t>
      </w:r>
    </w:p>
  </w:footnote>
  <w:footnote w:id="12">
    <w:p w14:paraId="1EE06139"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111-112 [20], [23].</w:t>
      </w:r>
    </w:p>
  </w:footnote>
  <w:footnote w:id="13">
    <w:p w14:paraId="20FE8EE4" w14:textId="77777777" w:rsidR="00EF23CA" w:rsidRPr="002977FB" w:rsidRDefault="00EF23CA" w:rsidP="002977FB">
      <w:pPr>
        <w:pStyle w:val="FootnoteText"/>
        <w:spacing w:line="280" w:lineRule="exact"/>
        <w:ind w:right="0"/>
        <w:jc w:val="both"/>
        <w:rPr>
          <w:rFonts w:ascii="Times New Roman" w:hAnsi="Times New Roman"/>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111-112 [20], [23].</w:t>
      </w:r>
    </w:p>
  </w:footnote>
  <w:footnote w:id="14">
    <w:p w14:paraId="60BC89BB"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112 [26]. See also </w:t>
      </w:r>
      <w:r w:rsidRPr="002977FB">
        <w:rPr>
          <w:rFonts w:ascii="Times New Roman" w:hAnsi="Times New Roman"/>
          <w:i/>
          <w:iCs/>
          <w:sz w:val="24"/>
          <w:lang w:val="en-US"/>
        </w:rPr>
        <w:t xml:space="preserve">Judicial Review Act 1991 </w:t>
      </w:r>
      <w:r w:rsidRPr="002977FB">
        <w:rPr>
          <w:rFonts w:ascii="Times New Roman" w:hAnsi="Times New Roman"/>
          <w:sz w:val="24"/>
          <w:lang w:val="en-US"/>
        </w:rPr>
        <w:t>(Qld), s 16.</w:t>
      </w:r>
    </w:p>
  </w:footnote>
  <w:footnote w:id="15">
    <w:p w14:paraId="3BFCC105" w14:textId="77777777" w:rsidR="00EF23CA" w:rsidRPr="002977FB" w:rsidRDefault="00EF23CA" w:rsidP="002977FB">
      <w:pPr>
        <w:pStyle w:val="FootnoteText"/>
        <w:spacing w:line="280" w:lineRule="exact"/>
        <w:ind w:right="0"/>
        <w:jc w:val="both"/>
        <w:rPr>
          <w:rFonts w:ascii="Times New Roman" w:hAnsi="Times New Roman"/>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123 [64].</w:t>
      </w:r>
    </w:p>
  </w:footnote>
  <w:footnote w:id="16">
    <w:p w14:paraId="6A85C0D8"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125 [69].</w:t>
      </w:r>
    </w:p>
  </w:footnote>
  <w:footnote w:id="17">
    <w:p w14:paraId="28440B1E"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125-126 [71].</w:t>
      </w:r>
    </w:p>
  </w:footnote>
  <w:footnote w:id="18">
    <w:p w14:paraId="556B3FE9" w14:textId="2394A3BC"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12</w:t>
      </w:r>
      <w:r w:rsidR="00050A8F" w:rsidRPr="002977FB">
        <w:rPr>
          <w:rFonts w:ascii="Times New Roman" w:hAnsi="Times New Roman"/>
          <w:sz w:val="24"/>
          <w:lang w:val="en-US"/>
        </w:rPr>
        <w:t>8</w:t>
      </w:r>
      <w:r w:rsidRPr="002977FB">
        <w:rPr>
          <w:rFonts w:ascii="Times New Roman" w:hAnsi="Times New Roman"/>
          <w:sz w:val="24"/>
          <w:lang w:val="en-US"/>
        </w:rPr>
        <w:t>-1</w:t>
      </w:r>
      <w:r w:rsidR="00050A8F" w:rsidRPr="002977FB">
        <w:rPr>
          <w:rFonts w:ascii="Times New Roman" w:hAnsi="Times New Roman"/>
          <w:sz w:val="24"/>
          <w:lang w:val="en-US"/>
        </w:rPr>
        <w:t>29</w:t>
      </w:r>
      <w:r w:rsidRPr="002977FB">
        <w:rPr>
          <w:rFonts w:ascii="Times New Roman" w:hAnsi="Times New Roman"/>
          <w:sz w:val="24"/>
          <w:lang w:val="en-US"/>
        </w:rPr>
        <w:t xml:space="preserve"> [81]-[82], citing </w:t>
      </w:r>
      <w:r w:rsidRPr="002977FB">
        <w:rPr>
          <w:rFonts w:ascii="Times New Roman" w:hAnsi="Times New Roman"/>
          <w:i/>
          <w:iCs/>
          <w:sz w:val="24"/>
          <w:lang w:val="en-US"/>
        </w:rPr>
        <w:t>Australian National University v</w:t>
      </w:r>
      <w:r w:rsidRPr="002977FB">
        <w:rPr>
          <w:rFonts w:ascii="Times New Roman" w:hAnsi="Times New Roman"/>
          <w:sz w:val="24"/>
          <w:lang w:val="en-US"/>
        </w:rPr>
        <w:t xml:space="preserve"> </w:t>
      </w:r>
      <w:r w:rsidRPr="002977FB">
        <w:rPr>
          <w:rFonts w:ascii="Times New Roman" w:hAnsi="Times New Roman"/>
          <w:i/>
          <w:iCs/>
          <w:sz w:val="24"/>
          <w:lang w:val="en-US"/>
        </w:rPr>
        <w:t>Lewins</w:t>
      </w:r>
      <w:r w:rsidRPr="002977FB">
        <w:rPr>
          <w:rFonts w:ascii="Times New Roman" w:hAnsi="Times New Roman"/>
          <w:sz w:val="24"/>
          <w:lang w:val="en-US"/>
        </w:rPr>
        <w:t xml:space="preserve"> (1996) 68 FCR 87. </w:t>
      </w:r>
    </w:p>
  </w:footnote>
  <w:footnote w:id="19">
    <w:p w14:paraId="0E7FA876" w14:textId="185A205E"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129 [84], citing </w:t>
      </w:r>
      <w:r w:rsidRPr="002977FB">
        <w:rPr>
          <w:rFonts w:ascii="Times New Roman" w:hAnsi="Times New Roman"/>
          <w:i/>
          <w:iCs/>
          <w:sz w:val="24"/>
          <w:lang w:val="en-US"/>
        </w:rPr>
        <w:t>Hutchins v Commissioner of Taxation</w:t>
      </w:r>
      <w:r w:rsidRPr="002977FB">
        <w:rPr>
          <w:rFonts w:ascii="Times New Roman" w:hAnsi="Times New Roman"/>
          <w:sz w:val="24"/>
          <w:lang w:val="en-US"/>
        </w:rPr>
        <w:t xml:space="preserve"> (1996) </w:t>
      </w:r>
      <w:r w:rsidR="00050A8F" w:rsidRPr="002977FB">
        <w:rPr>
          <w:rFonts w:ascii="Times New Roman" w:hAnsi="Times New Roman"/>
          <w:sz w:val="24"/>
          <w:lang w:val="en-US"/>
        </w:rPr>
        <w:t xml:space="preserve">65 </w:t>
      </w:r>
      <w:r w:rsidRPr="002977FB">
        <w:rPr>
          <w:rFonts w:ascii="Times New Roman" w:hAnsi="Times New Roman"/>
          <w:sz w:val="24"/>
          <w:lang w:val="en-US"/>
        </w:rPr>
        <w:t>FCR 269.</w:t>
      </w:r>
    </w:p>
  </w:footnote>
  <w:footnote w:id="20">
    <w:p w14:paraId="526E7009"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130 [87], citing </w:t>
      </w:r>
      <w:r w:rsidRPr="002977FB">
        <w:rPr>
          <w:rFonts w:ascii="Times New Roman" w:hAnsi="Times New Roman"/>
          <w:i/>
          <w:iCs/>
          <w:sz w:val="24"/>
          <w:lang w:val="en-US"/>
        </w:rPr>
        <w:t>Glasson</w:t>
      </w:r>
      <w:r w:rsidRPr="002977FB">
        <w:rPr>
          <w:rFonts w:ascii="Times New Roman" w:hAnsi="Times New Roman"/>
          <w:sz w:val="24"/>
          <w:lang w:val="en-US"/>
        </w:rPr>
        <w:t xml:space="preserve"> </w:t>
      </w:r>
      <w:r w:rsidRPr="002977FB">
        <w:rPr>
          <w:rFonts w:ascii="Times New Roman" w:hAnsi="Times New Roman"/>
          <w:i/>
          <w:iCs/>
          <w:sz w:val="24"/>
          <w:lang w:val="en-US"/>
        </w:rPr>
        <w:t>v Parkes Rural Distributions Pty Ltd</w:t>
      </w:r>
      <w:r w:rsidRPr="002977FB">
        <w:rPr>
          <w:rFonts w:ascii="Times New Roman" w:hAnsi="Times New Roman"/>
          <w:sz w:val="24"/>
          <w:lang w:val="en-US"/>
        </w:rPr>
        <w:t xml:space="preserve"> (1984) 155 CLR 234 and </w:t>
      </w:r>
      <w:r w:rsidRPr="002977FB">
        <w:rPr>
          <w:rFonts w:ascii="Times New Roman" w:hAnsi="Times New Roman"/>
          <w:i/>
          <w:iCs/>
          <w:sz w:val="24"/>
          <w:lang w:val="en-US"/>
        </w:rPr>
        <w:t>NEAT Domestic Trading Pty Ltd v AWB Ltd</w:t>
      </w:r>
      <w:r w:rsidRPr="002977FB">
        <w:rPr>
          <w:rFonts w:ascii="Times New Roman" w:hAnsi="Times New Roman"/>
          <w:sz w:val="24"/>
          <w:lang w:val="en-US"/>
        </w:rPr>
        <w:t xml:space="preserve"> (2003) 216 CLR 277.</w:t>
      </w:r>
    </w:p>
  </w:footnote>
  <w:footnote w:id="21">
    <w:p w14:paraId="71CCF9CF" w14:textId="77777777" w:rsidR="00EF23CA" w:rsidRPr="002977FB" w:rsidRDefault="00EF23CA" w:rsidP="002977FB">
      <w:pPr>
        <w:pStyle w:val="FootnoteText"/>
        <w:spacing w:line="280" w:lineRule="exact"/>
        <w:ind w:right="0"/>
        <w:jc w:val="both"/>
        <w:rPr>
          <w:rFonts w:ascii="Times New Roman" w:hAnsi="Times New Roman"/>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130 [89].</w:t>
      </w:r>
    </w:p>
  </w:footnote>
  <w:footnote w:id="22">
    <w:p w14:paraId="5F9873A8"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132 [96].</w:t>
      </w:r>
    </w:p>
  </w:footnote>
  <w:footnote w:id="23">
    <w:p w14:paraId="7699DECD"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132 [96].</w:t>
      </w:r>
    </w:p>
  </w:footnote>
  <w:footnote w:id="24">
    <w:p w14:paraId="08055876"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Griffith University v Tang</w:t>
      </w:r>
      <w:r w:rsidRPr="002977FB">
        <w:rPr>
          <w:rFonts w:ascii="Times New Roman" w:hAnsi="Times New Roman"/>
          <w:sz w:val="24"/>
          <w:lang w:val="en-US"/>
        </w:rPr>
        <w:t xml:space="preserve"> </w:t>
      </w:r>
      <w:r w:rsidRPr="002977FB">
        <w:rPr>
          <w:rFonts w:ascii="Times New Roman" w:hAnsi="Times New Roman"/>
          <w:sz w:val="24"/>
        </w:rPr>
        <w:t>(2005) 221 CLR 99</w:t>
      </w:r>
      <w:r w:rsidRPr="002977FB">
        <w:rPr>
          <w:rFonts w:ascii="Times New Roman" w:hAnsi="Times New Roman"/>
          <w:sz w:val="24"/>
          <w:lang w:val="en-US"/>
        </w:rPr>
        <w:t xml:space="preserve"> at 131 [91].</w:t>
      </w:r>
    </w:p>
  </w:footnote>
  <w:footnote w:id="25">
    <w:p w14:paraId="501F4F41" w14:textId="1236A9A1"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t xml:space="preserve">For example, </w:t>
      </w:r>
      <w:r w:rsidR="007B33E0" w:rsidRPr="002977FB">
        <w:rPr>
          <w:rFonts w:ascii="Times New Roman" w:hAnsi="Times New Roman"/>
          <w:i/>
          <w:iCs/>
          <w:sz w:val="24"/>
          <w:lang w:val="en-US"/>
        </w:rPr>
        <w:t>Eastman v Besanko</w:t>
      </w:r>
      <w:r w:rsidR="007B33E0" w:rsidRPr="002977FB">
        <w:rPr>
          <w:rFonts w:ascii="Times New Roman" w:hAnsi="Times New Roman"/>
          <w:sz w:val="24"/>
          <w:lang w:val="en-US"/>
        </w:rPr>
        <w:t xml:space="preserve"> (2010) 244 FLR 262 at 265-266 [8]-[11];</w:t>
      </w:r>
      <w:r w:rsidR="007F7154" w:rsidRPr="002977FB">
        <w:rPr>
          <w:rFonts w:ascii="Times New Roman" w:hAnsi="Times New Roman"/>
          <w:sz w:val="24"/>
          <w:lang w:val="en-US"/>
        </w:rPr>
        <w:t xml:space="preserve"> </w:t>
      </w:r>
      <w:r w:rsidR="0095677E" w:rsidRPr="002977FB">
        <w:rPr>
          <w:rFonts w:ascii="Times New Roman" w:hAnsi="Times New Roman"/>
          <w:i/>
          <w:iCs/>
          <w:sz w:val="24"/>
          <w:lang w:val="en-US"/>
        </w:rPr>
        <w:t>Prisoners Review Board v Freeman</w:t>
      </w:r>
      <w:r w:rsidR="0095677E" w:rsidRPr="002977FB">
        <w:rPr>
          <w:rFonts w:ascii="Times New Roman" w:hAnsi="Times New Roman"/>
          <w:sz w:val="24"/>
          <w:lang w:val="en-US"/>
        </w:rPr>
        <w:t xml:space="preserve"> [2010] WASCA 166 at [160]-[161]; </w:t>
      </w:r>
      <w:r w:rsidR="0095677E" w:rsidRPr="002977FB">
        <w:rPr>
          <w:rFonts w:ascii="Times New Roman" w:hAnsi="Times New Roman"/>
          <w:i/>
          <w:iCs/>
          <w:sz w:val="24"/>
          <w:lang w:val="en-US"/>
        </w:rPr>
        <w:t>Nona v Barnes</w:t>
      </w:r>
      <w:r w:rsidR="0095677E" w:rsidRPr="002977FB">
        <w:rPr>
          <w:rFonts w:ascii="Times New Roman" w:hAnsi="Times New Roman"/>
          <w:sz w:val="24"/>
          <w:lang w:val="en-US"/>
        </w:rPr>
        <w:t xml:space="preserve"> [2013] 2 Qd R 528 at 530-532 [6]-[10], 536-538 [20]-[23]; </w:t>
      </w:r>
      <w:r w:rsidR="0095677E" w:rsidRPr="002977FB">
        <w:rPr>
          <w:rFonts w:ascii="Times New Roman" w:hAnsi="Times New Roman"/>
          <w:i/>
          <w:iCs/>
          <w:sz w:val="24"/>
          <w:lang w:val="en-US"/>
        </w:rPr>
        <w:t>King v Director of Housing</w:t>
      </w:r>
      <w:r w:rsidR="0095677E" w:rsidRPr="002977FB">
        <w:rPr>
          <w:rFonts w:ascii="Times New Roman" w:hAnsi="Times New Roman"/>
          <w:sz w:val="24"/>
          <w:lang w:val="en-US"/>
        </w:rPr>
        <w:t xml:space="preserve"> (2013) 23 Tas R 353 at 360-361 [25]-[26], 366-371 [53]-[68]; </w:t>
      </w:r>
      <w:r w:rsidRPr="002977FB">
        <w:rPr>
          <w:rFonts w:ascii="Times New Roman" w:hAnsi="Times New Roman"/>
          <w:i/>
          <w:iCs/>
          <w:sz w:val="24"/>
          <w:lang w:val="en-US"/>
        </w:rPr>
        <w:t>Minister for Health v Nicholl Holdings Pty Ltd</w:t>
      </w:r>
      <w:r w:rsidRPr="002977FB">
        <w:rPr>
          <w:rFonts w:ascii="Times New Roman" w:hAnsi="Times New Roman"/>
          <w:sz w:val="24"/>
          <w:lang w:val="en-US"/>
        </w:rPr>
        <w:t xml:space="preserve"> (2015) 231 FCR 539 at 547-549 [36]-[39]</w:t>
      </w:r>
      <w:r w:rsidR="0095677E" w:rsidRPr="002977FB">
        <w:rPr>
          <w:rFonts w:ascii="Times New Roman" w:hAnsi="Times New Roman"/>
          <w:sz w:val="24"/>
          <w:lang w:val="en-US"/>
        </w:rPr>
        <w:t>.</w:t>
      </w:r>
      <w:r w:rsidRPr="002977FB">
        <w:rPr>
          <w:rFonts w:ascii="Times New Roman" w:hAnsi="Times New Roman"/>
          <w:sz w:val="24"/>
          <w:lang w:val="en-US"/>
        </w:rPr>
        <w:t xml:space="preserve"> </w:t>
      </w:r>
    </w:p>
  </w:footnote>
  <w:footnote w:id="26">
    <w:p w14:paraId="5C3046C8" w14:textId="77777777" w:rsidR="00EF23CA" w:rsidRPr="002977FB" w:rsidRDefault="00EF23CA" w:rsidP="002977FB">
      <w:pPr>
        <w:pStyle w:val="FootnoteText"/>
        <w:spacing w:line="280" w:lineRule="exact"/>
        <w:ind w:right="0"/>
        <w:jc w:val="both"/>
        <w:rPr>
          <w:rFonts w:ascii="Times New Roman" w:hAnsi="Times New Roman"/>
          <w:sz w:val="24"/>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rPr>
        <w:tab/>
        <w:t>(1990) 170 CLR 321 at 339.</w:t>
      </w:r>
    </w:p>
  </w:footnote>
  <w:footnote w:id="27">
    <w:p w14:paraId="43183C26" w14:textId="7777777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sz w:val="24"/>
        </w:rPr>
        <w:t>(1990) 170 CLR 321 at 377</w:t>
      </w:r>
      <w:r w:rsidRPr="002977FB">
        <w:rPr>
          <w:rFonts w:ascii="Times New Roman" w:hAnsi="Times New Roman"/>
          <w:sz w:val="24"/>
          <w:lang w:val="en-US"/>
        </w:rPr>
        <w:t>.</w:t>
      </w:r>
    </w:p>
  </w:footnote>
  <w:footnote w:id="28">
    <w:p w14:paraId="0E37E192" w14:textId="6F3C7736" w:rsidR="0044424E" w:rsidRPr="002977FB" w:rsidRDefault="0044424E"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r>
      <w:r w:rsidRPr="002977FB">
        <w:rPr>
          <w:rFonts w:ascii="Times New Roman" w:hAnsi="Times New Roman"/>
          <w:i/>
          <w:iCs/>
          <w:sz w:val="24"/>
          <w:lang w:val="en-US"/>
        </w:rPr>
        <w:t xml:space="preserve">Judicial Review Act 1991 </w:t>
      </w:r>
      <w:r w:rsidRPr="002977FB">
        <w:rPr>
          <w:rFonts w:ascii="Times New Roman" w:hAnsi="Times New Roman"/>
          <w:sz w:val="24"/>
          <w:lang w:val="en-US"/>
        </w:rPr>
        <w:t>(Qld), s 30(1).</w:t>
      </w:r>
    </w:p>
    <w:p w14:paraId="3AC0D1F9" w14:textId="10D54D19" w:rsidR="0044424E" w:rsidRPr="002977FB" w:rsidRDefault="0044424E" w:rsidP="002977FB">
      <w:pPr>
        <w:pStyle w:val="FootnoteText"/>
        <w:spacing w:line="280" w:lineRule="exact"/>
        <w:ind w:right="0"/>
        <w:jc w:val="both"/>
        <w:rPr>
          <w:rFonts w:ascii="Times New Roman" w:hAnsi="Times New Roman"/>
          <w:sz w:val="24"/>
          <w:lang w:val="en-US"/>
        </w:rPr>
      </w:pPr>
    </w:p>
  </w:footnote>
  <w:footnote w:id="29">
    <w:p w14:paraId="13C86150" w14:textId="7F8DFC53"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t xml:space="preserve">cf </w:t>
      </w:r>
      <w:r w:rsidRPr="002977FB">
        <w:rPr>
          <w:rFonts w:ascii="Times New Roman" w:hAnsi="Times New Roman"/>
          <w:i/>
          <w:iCs/>
          <w:sz w:val="24"/>
          <w:lang w:val="en-US"/>
        </w:rPr>
        <w:t>Australian Education Union v General Man</w:t>
      </w:r>
      <w:r w:rsidR="00D63265" w:rsidRPr="002977FB">
        <w:rPr>
          <w:rFonts w:ascii="Times New Roman" w:hAnsi="Times New Roman"/>
          <w:i/>
          <w:iCs/>
          <w:sz w:val="24"/>
          <w:lang w:val="en-US"/>
        </w:rPr>
        <w:t>a</w:t>
      </w:r>
      <w:r w:rsidRPr="002977FB">
        <w:rPr>
          <w:rFonts w:ascii="Times New Roman" w:hAnsi="Times New Roman"/>
          <w:i/>
          <w:iCs/>
          <w:sz w:val="24"/>
          <w:lang w:val="en-US"/>
        </w:rPr>
        <w:t>ger of Fair Work Australia</w:t>
      </w:r>
      <w:r w:rsidRPr="002977FB">
        <w:rPr>
          <w:rFonts w:ascii="Times New Roman" w:hAnsi="Times New Roman"/>
          <w:sz w:val="24"/>
          <w:lang w:val="en-US"/>
        </w:rPr>
        <w:t xml:space="preserve"> (2012) 246 CLR 117 at 140 [46].</w:t>
      </w:r>
    </w:p>
  </w:footnote>
  <w:footnote w:id="30">
    <w:p w14:paraId="0949F5EF" w14:textId="5487C557" w:rsidR="00EF23CA" w:rsidRPr="002977FB" w:rsidRDefault="00EF23CA" w:rsidP="002977FB">
      <w:pPr>
        <w:pStyle w:val="FootnoteText"/>
        <w:spacing w:line="280" w:lineRule="exact"/>
        <w:ind w:right="0"/>
        <w:jc w:val="both"/>
        <w:rPr>
          <w:rFonts w:ascii="Times New Roman" w:hAnsi="Times New Roman"/>
          <w:sz w:val="24"/>
          <w:lang w:val="en-US"/>
        </w:rPr>
      </w:pPr>
      <w:r w:rsidRPr="002977FB">
        <w:rPr>
          <w:rStyle w:val="FootnoteReference"/>
          <w:rFonts w:ascii="Times New Roman" w:hAnsi="Times New Roman"/>
          <w:sz w:val="22"/>
          <w:vertAlign w:val="baseline"/>
        </w:rPr>
        <w:footnoteRef/>
      </w:r>
      <w:r w:rsidRPr="002977FB">
        <w:rPr>
          <w:rFonts w:ascii="Times New Roman" w:hAnsi="Times New Roman"/>
          <w:sz w:val="24"/>
        </w:rPr>
        <w:t xml:space="preserve"> </w:t>
      </w:r>
      <w:r w:rsidRPr="002977FB">
        <w:rPr>
          <w:rFonts w:ascii="Times New Roman" w:hAnsi="Times New Roman"/>
          <w:sz w:val="24"/>
          <w:lang w:val="en-US"/>
        </w:rPr>
        <w:tab/>
        <w:t xml:space="preserve">cf </w:t>
      </w:r>
      <w:r w:rsidRPr="002977FB">
        <w:rPr>
          <w:rFonts w:ascii="Times New Roman" w:hAnsi="Times New Roman"/>
          <w:i/>
          <w:iCs/>
          <w:sz w:val="24"/>
          <w:lang w:val="en-US"/>
        </w:rPr>
        <w:t>Ainsworth v Criminal Justice Commission</w:t>
      </w:r>
      <w:r w:rsidRPr="002977FB">
        <w:rPr>
          <w:rFonts w:ascii="Times New Roman" w:hAnsi="Times New Roman"/>
          <w:sz w:val="24"/>
          <w:lang w:val="en-US"/>
        </w:rPr>
        <w:t xml:space="preserve"> (1992) 175 CLR 564 at 595; </w:t>
      </w:r>
      <w:r w:rsidRPr="002977FB">
        <w:rPr>
          <w:rFonts w:ascii="Times New Roman" w:hAnsi="Times New Roman"/>
          <w:i/>
          <w:iCs/>
          <w:sz w:val="24"/>
          <w:lang w:val="en-US"/>
        </w:rPr>
        <w:t>Hot Holdings</w:t>
      </w:r>
      <w:r w:rsidR="000759F5" w:rsidRPr="002977FB">
        <w:rPr>
          <w:rFonts w:ascii="Times New Roman" w:hAnsi="Times New Roman"/>
          <w:i/>
          <w:iCs/>
          <w:sz w:val="24"/>
          <w:lang w:val="en-US"/>
        </w:rPr>
        <w:t xml:space="preserve"> Pty Ltd</w:t>
      </w:r>
      <w:r w:rsidRPr="002977FB">
        <w:rPr>
          <w:rFonts w:ascii="Times New Roman" w:hAnsi="Times New Roman"/>
          <w:i/>
          <w:iCs/>
          <w:sz w:val="24"/>
          <w:lang w:val="en-US"/>
        </w:rPr>
        <w:t xml:space="preserve"> v Creasy</w:t>
      </w:r>
      <w:r w:rsidRPr="002977FB">
        <w:rPr>
          <w:rFonts w:ascii="Times New Roman" w:hAnsi="Times New Roman"/>
          <w:sz w:val="24"/>
          <w:lang w:val="en-US"/>
        </w:rPr>
        <w:t xml:space="preserve"> (1996) 185 CLR 149 at 159; </w:t>
      </w:r>
      <w:r w:rsidRPr="002977FB">
        <w:rPr>
          <w:rFonts w:ascii="Times New Roman" w:hAnsi="Times New Roman"/>
          <w:i/>
          <w:iCs/>
          <w:sz w:val="24"/>
          <w:lang w:val="en-US"/>
        </w:rPr>
        <w:t xml:space="preserve">Wingfoot Australia Partners Pty Ltd v Kocak </w:t>
      </w:r>
      <w:r w:rsidRPr="002977FB">
        <w:rPr>
          <w:rFonts w:ascii="Times New Roman" w:hAnsi="Times New Roman"/>
          <w:sz w:val="24"/>
          <w:lang w:val="en-US"/>
        </w:rPr>
        <w:t>(2013) 252 CLR 480 at 492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20A2" w14:textId="77777777" w:rsidR="002977FB" w:rsidRPr="00AC4E05" w:rsidRDefault="002977FB" w:rsidP="00AC4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BEFC" w14:textId="641D49AE" w:rsidR="002977FB" w:rsidRPr="00AC4E05" w:rsidRDefault="00AC4E05" w:rsidP="00AC4E0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56CC" w14:textId="7240B6BB" w:rsidR="00C82908" w:rsidRPr="00AC4E05" w:rsidRDefault="00C82908" w:rsidP="00AC4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AD0" w14:textId="77777777" w:rsidR="00AC4E05" w:rsidRPr="002977FB" w:rsidRDefault="00AC4E05" w:rsidP="002977FB">
    <w:pPr>
      <w:pStyle w:val="Header"/>
      <w:tabs>
        <w:tab w:val="clear" w:pos="4153"/>
        <w:tab w:val="clear" w:pos="8306"/>
        <w:tab w:val="right" w:pos="1304"/>
      </w:tabs>
      <w:spacing w:line="280" w:lineRule="exact"/>
      <w:ind w:firstLine="0"/>
      <w:rPr>
        <w:rFonts w:ascii="Times New Roman" w:hAnsi="Times New Roman"/>
        <w:i/>
        <w:sz w:val="22"/>
      </w:rPr>
    </w:pPr>
    <w:r w:rsidRPr="002977FB">
      <w:rPr>
        <w:rFonts w:ascii="Times New Roman" w:hAnsi="Times New Roman"/>
        <w:i/>
        <w:sz w:val="22"/>
      </w:rPr>
      <w:t>Gageler</w:t>
    </w:r>
    <w:r w:rsidRPr="002977FB">
      <w:rPr>
        <w:rFonts w:ascii="Times New Roman" w:hAnsi="Times New Roman"/>
        <w:i/>
        <w:sz w:val="22"/>
      </w:rPr>
      <w:tab/>
      <w:t>CJ</w:t>
    </w:r>
  </w:p>
  <w:p w14:paraId="41EBC143" w14:textId="77777777" w:rsidR="00AC4E05" w:rsidRPr="002977FB" w:rsidRDefault="00AC4E05" w:rsidP="002977FB">
    <w:pPr>
      <w:pStyle w:val="Header"/>
      <w:tabs>
        <w:tab w:val="clear" w:pos="4153"/>
        <w:tab w:val="clear" w:pos="8306"/>
        <w:tab w:val="right" w:pos="1304"/>
      </w:tabs>
      <w:spacing w:line="280" w:lineRule="exact"/>
      <w:ind w:firstLine="0"/>
      <w:rPr>
        <w:rFonts w:ascii="Times New Roman" w:hAnsi="Times New Roman"/>
        <w:i/>
        <w:sz w:val="22"/>
      </w:rPr>
    </w:pPr>
    <w:r w:rsidRPr="002977FB">
      <w:rPr>
        <w:rFonts w:ascii="Times New Roman" w:hAnsi="Times New Roman"/>
        <w:i/>
        <w:sz w:val="22"/>
      </w:rPr>
      <w:t>Gordon</w:t>
    </w:r>
    <w:r w:rsidRPr="002977FB">
      <w:rPr>
        <w:rFonts w:ascii="Times New Roman" w:hAnsi="Times New Roman"/>
        <w:i/>
        <w:sz w:val="22"/>
      </w:rPr>
      <w:tab/>
      <w:t>J</w:t>
    </w:r>
  </w:p>
  <w:p w14:paraId="0C61EDB3" w14:textId="77777777" w:rsidR="00AC4E05" w:rsidRPr="002977FB" w:rsidRDefault="00AC4E05" w:rsidP="002977FB">
    <w:pPr>
      <w:pStyle w:val="Header"/>
      <w:tabs>
        <w:tab w:val="clear" w:pos="4153"/>
        <w:tab w:val="clear" w:pos="8306"/>
        <w:tab w:val="right" w:pos="1304"/>
      </w:tabs>
      <w:spacing w:line="280" w:lineRule="exact"/>
      <w:ind w:firstLine="0"/>
      <w:rPr>
        <w:rFonts w:ascii="Times New Roman" w:hAnsi="Times New Roman"/>
        <w:i/>
        <w:sz w:val="22"/>
      </w:rPr>
    </w:pPr>
    <w:r w:rsidRPr="002977FB">
      <w:rPr>
        <w:rFonts w:ascii="Times New Roman" w:hAnsi="Times New Roman"/>
        <w:i/>
        <w:sz w:val="22"/>
      </w:rPr>
      <w:t>Edelman</w:t>
    </w:r>
    <w:r w:rsidRPr="002977FB">
      <w:rPr>
        <w:rFonts w:ascii="Times New Roman" w:hAnsi="Times New Roman"/>
        <w:i/>
        <w:sz w:val="22"/>
      </w:rPr>
      <w:tab/>
      <w:t>J</w:t>
    </w:r>
  </w:p>
  <w:p w14:paraId="23E8B502" w14:textId="77777777" w:rsidR="00AC4E05" w:rsidRPr="002977FB" w:rsidRDefault="00AC4E05" w:rsidP="002977FB">
    <w:pPr>
      <w:pStyle w:val="Header"/>
      <w:tabs>
        <w:tab w:val="clear" w:pos="4153"/>
        <w:tab w:val="clear" w:pos="8306"/>
        <w:tab w:val="right" w:pos="1304"/>
      </w:tabs>
      <w:spacing w:line="280" w:lineRule="exact"/>
      <w:ind w:firstLine="0"/>
      <w:rPr>
        <w:rFonts w:ascii="Times New Roman" w:hAnsi="Times New Roman"/>
        <w:i/>
        <w:sz w:val="22"/>
      </w:rPr>
    </w:pPr>
    <w:r w:rsidRPr="002977FB">
      <w:rPr>
        <w:rFonts w:ascii="Times New Roman" w:hAnsi="Times New Roman"/>
        <w:i/>
        <w:sz w:val="22"/>
      </w:rPr>
      <w:t>Gleeson</w:t>
    </w:r>
    <w:r w:rsidRPr="002977FB">
      <w:rPr>
        <w:rFonts w:ascii="Times New Roman" w:hAnsi="Times New Roman"/>
        <w:i/>
        <w:sz w:val="22"/>
      </w:rPr>
      <w:tab/>
      <w:t>J</w:t>
    </w:r>
  </w:p>
  <w:p w14:paraId="3174E46B" w14:textId="77777777" w:rsidR="00AC4E05" w:rsidRDefault="00AC4E05" w:rsidP="002977F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6C6BBCC7" w14:textId="77777777" w:rsidR="00AC4E05" w:rsidRDefault="00AC4E05" w:rsidP="002977FB">
    <w:pPr>
      <w:pStyle w:val="Header"/>
      <w:tabs>
        <w:tab w:val="clear" w:pos="4153"/>
        <w:tab w:val="clear" w:pos="8306"/>
        <w:tab w:val="right" w:pos="1304"/>
      </w:tabs>
      <w:spacing w:line="280" w:lineRule="exact"/>
      <w:ind w:firstLine="0"/>
      <w:rPr>
        <w:rFonts w:ascii="Times New Roman" w:hAnsi="Times New Roman"/>
        <w:i/>
        <w:sz w:val="22"/>
      </w:rPr>
    </w:pPr>
  </w:p>
  <w:p w14:paraId="7C360B4F" w14:textId="77777777" w:rsidR="00AC4E05" w:rsidRDefault="00AC4E05" w:rsidP="002977F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05CE0FE" w14:textId="77777777" w:rsidR="00AC4E05" w:rsidRPr="002977FB" w:rsidRDefault="00AC4E05" w:rsidP="002977F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8D0B" w14:textId="77777777" w:rsidR="00AC4E05" w:rsidRPr="002977FB"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r w:rsidRPr="002977FB">
      <w:rPr>
        <w:rFonts w:ascii="Times New Roman" w:hAnsi="Times New Roman"/>
        <w:i/>
        <w:sz w:val="22"/>
      </w:rPr>
      <w:tab/>
      <w:t>Gageler</w:t>
    </w:r>
    <w:r w:rsidRPr="002977FB">
      <w:rPr>
        <w:rFonts w:ascii="Times New Roman" w:hAnsi="Times New Roman"/>
        <w:i/>
        <w:sz w:val="22"/>
      </w:rPr>
      <w:tab/>
      <w:t>CJ</w:t>
    </w:r>
  </w:p>
  <w:p w14:paraId="7F53AE91" w14:textId="77777777" w:rsidR="00AC4E05" w:rsidRPr="002977FB"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r w:rsidRPr="002977FB">
      <w:rPr>
        <w:rFonts w:ascii="Times New Roman" w:hAnsi="Times New Roman"/>
        <w:i/>
        <w:sz w:val="22"/>
      </w:rPr>
      <w:tab/>
      <w:t>Gordon</w:t>
    </w:r>
    <w:r w:rsidRPr="002977FB">
      <w:rPr>
        <w:rFonts w:ascii="Times New Roman" w:hAnsi="Times New Roman"/>
        <w:i/>
        <w:sz w:val="22"/>
      </w:rPr>
      <w:tab/>
      <w:t>J</w:t>
    </w:r>
  </w:p>
  <w:p w14:paraId="485CED22" w14:textId="77777777" w:rsidR="00AC4E05" w:rsidRPr="002977FB"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r w:rsidRPr="002977FB">
      <w:rPr>
        <w:rFonts w:ascii="Times New Roman" w:hAnsi="Times New Roman"/>
        <w:i/>
        <w:sz w:val="22"/>
      </w:rPr>
      <w:tab/>
      <w:t>Edelman</w:t>
    </w:r>
    <w:r w:rsidRPr="002977FB">
      <w:rPr>
        <w:rFonts w:ascii="Times New Roman" w:hAnsi="Times New Roman"/>
        <w:i/>
        <w:sz w:val="22"/>
      </w:rPr>
      <w:tab/>
      <w:t>J</w:t>
    </w:r>
  </w:p>
  <w:p w14:paraId="3001FFF4" w14:textId="77777777" w:rsidR="00AC4E05" w:rsidRPr="002977FB"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r w:rsidRPr="002977FB">
      <w:rPr>
        <w:rFonts w:ascii="Times New Roman" w:hAnsi="Times New Roman"/>
        <w:i/>
        <w:sz w:val="22"/>
      </w:rPr>
      <w:tab/>
      <w:t>Gleeson</w:t>
    </w:r>
    <w:r w:rsidRPr="002977FB">
      <w:rPr>
        <w:rFonts w:ascii="Times New Roman" w:hAnsi="Times New Roman"/>
        <w:i/>
        <w:sz w:val="22"/>
      </w:rPr>
      <w:tab/>
      <w:t>J</w:t>
    </w:r>
  </w:p>
  <w:p w14:paraId="57C4FBDF" w14:textId="77777777" w:rsidR="00AC4E05"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AFF77BF" w14:textId="77777777" w:rsidR="00AC4E05" w:rsidRDefault="00AC4E05" w:rsidP="002977FB">
    <w:pPr>
      <w:pStyle w:val="Header"/>
      <w:tabs>
        <w:tab w:val="clear" w:pos="4153"/>
        <w:tab w:val="clear" w:pos="8306"/>
        <w:tab w:val="left" w:pos="7200"/>
        <w:tab w:val="right" w:pos="8504"/>
      </w:tabs>
      <w:spacing w:line="280" w:lineRule="exact"/>
      <w:jc w:val="right"/>
      <w:rPr>
        <w:rFonts w:ascii="Times New Roman" w:hAnsi="Times New Roman"/>
        <w:i/>
        <w:sz w:val="22"/>
      </w:rPr>
    </w:pPr>
  </w:p>
  <w:p w14:paraId="75A1BD24" w14:textId="77777777" w:rsidR="00AC4E05" w:rsidRDefault="00AC4E05" w:rsidP="002977F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8E1F75A" w14:textId="77777777" w:rsidR="00AC4E05" w:rsidRPr="002977FB" w:rsidRDefault="00AC4E05" w:rsidP="002977F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5102"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460F719F"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5986CDEE"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23971641"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763D7993"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2F6E04EC"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2ABFA9C7" w14:textId="77777777" w:rsidR="00AC4E05"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p w14:paraId="15E0FB2E" w14:textId="77777777" w:rsidR="00AC4E05" w:rsidRPr="002977FB" w:rsidRDefault="00AC4E05" w:rsidP="002977F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88"/>
    <w:rsid w:val="00002069"/>
    <w:rsid w:val="00002CE6"/>
    <w:rsid w:val="0000316A"/>
    <w:rsid w:val="00004598"/>
    <w:rsid w:val="000049B7"/>
    <w:rsid w:val="00006CFF"/>
    <w:rsid w:val="00010A41"/>
    <w:rsid w:val="000123AC"/>
    <w:rsid w:val="00012C78"/>
    <w:rsid w:val="00012D9E"/>
    <w:rsid w:val="0001335C"/>
    <w:rsid w:val="0001358D"/>
    <w:rsid w:val="000141CA"/>
    <w:rsid w:val="000142DA"/>
    <w:rsid w:val="00014B34"/>
    <w:rsid w:val="000168C9"/>
    <w:rsid w:val="00016C20"/>
    <w:rsid w:val="00016DBB"/>
    <w:rsid w:val="00017144"/>
    <w:rsid w:val="00017D83"/>
    <w:rsid w:val="00020D46"/>
    <w:rsid w:val="000217B1"/>
    <w:rsid w:val="00022A53"/>
    <w:rsid w:val="00023C4C"/>
    <w:rsid w:val="00024CEA"/>
    <w:rsid w:val="000250AF"/>
    <w:rsid w:val="00025490"/>
    <w:rsid w:val="0002561E"/>
    <w:rsid w:val="00025AF8"/>
    <w:rsid w:val="000268E1"/>
    <w:rsid w:val="0003448E"/>
    <w:rsid w:val="00034868"/>
    <w:rsid w:val="0003575A"/>
    <w:rsid w:val="000360EB"/>
    <w:rsid w:val="00037A4D"/>
    <w:rsid w:val="00037A5F"/>
    <w:rsid w:val="00037D87"/>
    <w:rsid w:val="00042EF3"/>
    <w:rsid w:val="00043D2C"/>
    <w:rsid w:val="000460D2"/>
    <w:rsid w:val="00046812"/>
    <w:rsid w:val="00050A00"/>
    <w:rsid w:val="00050A8F"/>
    <w:rsid w:val="00050D7A"/>
    <w:rsid w:val="000515B6"/>
    <w:rsid w:val="000517D3"/>
    <w:rsid w:val="0005478A"/>
    <w:rsid w:val="000557FA"/>
    <w:rsid w:val="00055ACD"/>
    <w:rsid w:val="00056F27"/>
    <w:rsid w:val="000573AF"/>
    <w:rsid w:val="00060172"/>
    <w:rsid w:val="000615EF"/>
    <w:rsid w:val="0006169E"/>
    <w:rsid w:val="00062255"/>
    <w:rsid w:val="000626FD"/>
    <w:rsid w:val="000635F1"/>
    <w:rsid w:val="0006432B"/>
    <w:rsid w:val="00064D8E"/>
    <w:rsid w:val="000653D4"/>
    <w:rsid w:val="0006579D"/>
    <w:rsid w:val="000665BC"/>
    <w:rsid w:val="0007060D"/>
    <w:rsid w:val="00070DE4"/>
    <w:rsid w:val="00071C35"/>
    <w:rsid w:val="00071EBD"/>
    <w:rsid w:val="000759F5"/>
    <w:rsid w:val="00075F50"/>
    <w:rsid w:val="000767B0"/>
    <w:rsid w:val="00077B79"/>
    <w:rsid w:val="000805BE"/>
    <w:rsid w:val="00080D10"/>
    <w:rsid w:val="00080D77"/>
    <w:rsid w:val="000813A6"/>
    <w:rsid w:val="00082EB8"/>
    <w:rsid w:val="00084004"/>
    <w:rsid w:val="0008433C"/>
    <w:rsid w:val="0008435D"/>
    <w:rsid w:val="0008558C"/>
    <w:rsid w:val="00085F13"/>
    <w:rsid w:val="00087175"/>
    <w:rsid w:val="00087FFA"/>
    <w:rsid w:val="000927F4"/>
    <w:rsid w:val="00093057"/>
    <w:rsid w:val="000967BE"/>
    <w:rsid w:val="000970F3"/>
    <w:rsid w:val="000A0463"/>
    <w:rsid w:val="000A0638"/>
    <w:rsid w:val="000A28D4"/>
    <w:rsid w:val="000A2D10"/>
    <w:rsid w:val="000A2EB4"/>
    <w:rsid w:val="000A3DA3"/>
    <w:rsid w:val="000A4D78"/>
    <w:rsid w:val="000A63C6"/>
    <w:rsid w:val="000B4630"/>
    <w:rsid w:val="000B4928"/>
    <w:rsid w:val="000B497F"/>
    <w:rsid w:val="000B4B20"/>
    <w:rsid w:val="000B6304"/>
    <w:rsid w:val="000B6B39"/>
    <w:rsid w:val="000B710D"/>
    <w:rsid w:val="000B7558"/>
    <w:rsid w:val="000C04DC"/>
    <w:rsid w:val="000C0D98"/>
    <w:rsid w:val="000C202C"/>
    <w:rsid w:val="000C21F4"/>
    <w:rsid w:val="000C32CF"/>
    <w:rsid w:val="000C419B"/>
    <w:rsid w:val="000C49B3"/>
    <w:rsid w:val="000C794F"/>
    <w:rsid w:val="000D1F2C"/>
    <w:rsid w:val="000D25E6"/>
    <w:rsid w:val="000D3FAC"/>
    <w:rsid w:val="000D53C8"/>
    <w:rsid w:val="000D5518"/>
    <w:rsid w:val="000D5C68"/>
    <w:rsid w:val="000D6542"/>
    <w:rsid w:val="000E250A"/>
    <w:rsid w:val="000E3B51"/>
    <w:rsid w:val="000E4D58"/>
    <w:rsid w:val="000E65F7"/>
    <w:rsid w:val="000F0C99"/>
    <w:rsid w:val="000F1345"/>
    <w:rsid w:val="000F22BF"/>
    <w:rsid w:val="000F3BB3"/>
    <w:rsid w:val="000F61F5"/>
    <w:rsid w:val="000F64A1"/>
    <w:rsid w:val="000F65EC"/>
    <w:rsid w:val="001001B9"/>
    <w:rsid w:val="00100302"/>
    <w:rsid w:val="00102254"/>
    <w:rsid w:val="00103B8E"/>
    <w:rsid w:val="0010702C"/>
    <w:rsid w:val="00110970"/>
    <w:rsid w:val="00111568"/>
    <w:rsid w:val="001120C0"/>
    <w:rsid w:val="00112C94"/>
    <w:rsid w:val="0011387C"/>
    <w:rsid w:val="001150BF"/>
    <w:rsid w:val="00115EB0"/>
    <w:rsid w:val="001168F2"/>
    <w:rsid w:val="00120207"/>
    <w:rsid w:val="00122549"/>
    <w:rsid w:val="00123B7F"/>
    <w:rsid w:val="00123C1B"/>
    <w:rsid w:val="00125E3C"/>
    <w:rsid w:val="00130B31"/>
    <w:rsid w:val="001335EC"/>
    <w:rsid w:val="00133E7E"/>
    <w:rsid w:val="0013456F"/>
    <w:rsid w:val="00135545"/>
    <w:rsid w:val="00137A77"/>
    <w:rsid w:val="00140ACD"/>
    <w:rsid w:val="00142072"/>
    <w:rsid w:val="00143FCB"/>
    <w:rsid w:val="00144C97"/>
    <w:rsid w:val="00144FEF"/>
    <w:rsid w:val="00145627"/>
    <w:rsid w:val="001468AE"/>
    <w:rsid w:val="00146A41"/>
    <w:rsid w:val="00147043"/>
    <w:rsid w:val="0015031C"/>
    <w:rsid w:val="00151679"/>
    <w:rsid w:val="00151A99"/>
    <w:rsid w:val="0015318E"/>
    <w:rsid w:val="00156421"/>
    <w:rsid w:val="00163967"/>
    <w:rsid w:val="00163D92"/>
    <w:rsid w:val="00164144"/>
    <w:rsid w:val="001649BE"/>
    <w:rsid w:val="0016565A"/>
    <w:rsid w:val="001708C2"/>
    <w:rsid w:val="001708DE"/>
    <w:rsid w:val="00171988"/>
    <w:rsid w:val="00172ADE"/>
    <w:rsid w:val="001750E9"/>
    <w:rsid w:val="001751ED"/>
    <w:rsid w:val="00175703"/>
    <w:rsid w:val="001758DE"/>
    <w:rsid w:val="00176D25"/>
    <w:rsid w:val="00176F8A"/>
    <w:rsid w:val="00181ABD"/>
    <w:rsid w:val="00181DB4"/>
    <w:rsid w:val="0018342E"/>
    <w:rsid w:val="001840C2"/>
    <w:rsid w:val="00184258"/>
    <w:rsid w:val="001843E2"/>
    <w:rsid w:val="00184B46"/>
    <w:rsid w:val="00185939"/>
    <w:rsid w:val="001876F6"/>
    <w:rsid w:val="00187927"/>
    <w:rsid w:val="001914BC"/>
    <w:rsid w:val="00191E23"/>
    <w:rsid w:val="00192014"/>
    <w:rsid w:val="001953B1"/>
    <w:rsid w:val="001963C0"/>
    <w:rsid w:val="00197956"/>
    <w:rsid w:val="001A0A16"/>
    <w:rsid w:val="001A22DC"/>
    <w:rsid w:val="001A3DED"/>
    <w:rsid w:val="001A409D"/>
    <w:rsid w:val="001A446E"/>
    <w:rsid w:val="001A4CEE"/>
    <w:rsid w:val="001A7FB5"/>
    <w:rsid w:val="001B0BEC"/>
    <w:rsid w:val="001B1676"/>
    <w:rsid w:val="001B17A8"/>
    <w:rsid w:val="001B55C8"/>
    <w:rsid w:val="001B63C6"/>
    <w:rsid w:val="001C0345"/>
    <w:rsid w:val="001C0D08"/>
    <w:rsid w:val="001C12B3"/>
    <w:rsid w:val="001C2D50"/>
    <w:rsid w:val="001C4767"/>
    <w:rsid w:val="001C48D4"/>
    <w:rsid w:val="001C7C93"/>
    <w:rsid w:val="001D06A3"/>
    <w:rsid w:val="001D08E4"/>
    <w:rsid w:val="001D2044"/>
    <w:rsid w:val="001D36CD"/>
    <w:rsid w:val="001D4F49"/>
    <w:rsid w:val="001D7982"/>
    <w:rsid w:val="001E02FD"/>
    <w:rsid w:val="001E1D3D"/>
    <w:rsid w:val="001E3A66"/>
    <w:rsid w:val="001E47D1"/>
    <w:rsid w:val="001E684A"/>
    <w:rsid w:val="001E6A64"/>
    <w:rsid w:val="001E75C5"/>
    <w:rsid w:val="001F15AE"/>
    <w:rsid w:val="001F1B5F"/>
    <w:rsid w:val="001F3462"/>
    <w:rsid w:val="001F3F2A"/>
    <w:rsid w:val="001F520D"/>
    <w:rsid w:val="001F5C41"/>
    <w:rsid w:val="001F69C2"/>
    <w:rsid w:val="001F6A1E"/>
    <w:rsid w:val="002023E1"/>
    <w:rsid w:val="002048D1"/>
    <w:rsid w:val="002079CB"/>
    <w:rsid w:val="00210577"/>
    <w:rsid w:val="0021096E"/>
    <w:rsid w:val="00210DE8"/>
    <w:rsid w:val="00211D73"/>
    <w:rsid w:val="00212A3E"/>
    <w:rsid w:val="00214B44"/>
    <w:rsid w:val="00214BF2"/>
    <w:rsid w:val="00215111"/>
    <w:rsid w:val="00215A7F"/>
    <w:rsid w:val="00216522"/>
    <w:rsid w:val="00221D19"/>
    <w:rsid w:val="00225C4D"/>
    <w:rsid w:val="0022666B"/>
    <w:rsid w:val="00226682"/>
    <w:rsid w:val="0022734D"/>
    <w:rsid w:val="0023447F"/>
    <w:rsid w:val="002350B3"/>
    <w:rsid w:val="002359CF"/>
    <w:rsid w:val="002360BF"/>
    <w:rsid w:val="002362E5"/>
    <w:rsid w:val="002373C4"/>
    <w:rsid w:val="00237893"/>
    <w:rsid w:val="0023798E"/>
    <w:rsid w:val="00237EF8"/>
    <w:rsid w:val="00242EE4"/>
    <w:rsid w:val="0024462E"/>
    <w:rsid w:val="002474FA"/>
    <w:rsid w:val="00250CBA"/>
    <w:rsid w:val="00253493"/>
    <w:rsid w:val="00253DE9"/>
    <w:rsid w:val="002553C1"/>
    <w:rsid w:val="00257AFB"/>
    <w:rsid w:val="00260E2D"/>
    <w:rsid w:val="0026293D"/>
    <w:rsid w:val="0026346B"/>
    <w:rsid w:val="00264332"/>
    <w:rsid w:val="0026552A"/>
    <w:rsid w:val="00265982"/>
    <w:rsid w:val="00270154"/>
    <w:rsid w:val="002719FF"/>
    <w:rsid w:val="00271F70"/>
    <w:rsid w:val="0027408B"/>
    <w:rsid w:val="0027531E"/>
    <w:rsid w:val="002756A5"/>
    <w:rsid w:val="00276661"/>
    <w:rsid w:val="00276B56"/>
    <w:rsid w:val="00280F46"/>
    <w:rsid w:val="002819FD"/>
    <w:rsid w:val="0028583A"/>
    <w:rsid w:val="0028600F"/>
    <w:rsid w:val="00287368"/>
    <w:rsid w:val="00287873"/>
    <w:rsid w:val="00291654"/>
    <w:rsid w:val="002916CC"/>
    <w:rsid w:val="0029278C"/>
    <w:rsid w:val="00292E65"/>
    <w:rsid w:val="00296671"/>
    <w:rsid w:val="00296925"/>
    <w:rsid w:val="0029697C"/>
    <w:rsid w:val="002977FB"/>
    <w:rsid w:val="002979F1"/>
    <w:rsid w:val="00297BF9"/>
    <w:rsid w:val="002A0D29"/>
    <w:rsid w:val="002A13E1"/>
    <w:rsid w:val="002A21DE"/>
    <w:rsid w:val="002A2271"/>
    <w:rsid w:val="002A3248"/>
    <w:rsid w:val="002A67D8"/>
    <w:rsid w:val="002B0846"/>
    <w:rsid w:val="002B08AC"/>
    <w:rsid w:val="002B0CF0"/>
    <w:rsid w:val="002B1304"/>
    <w:rsid w:val="002B1E57"/>
    <w:rsid w:val="002B539B"/>
    <w:rsid w:val="002B5623"/>
    <w:rsid w:val="002B5ADB"/>
    <w:rsid w:val="002B6CDB"/>
    <w:rsid w:val="002B6E1B"/>
    <w:rsid w:val="002C185D"/>
    <w:rsid w:val="002C1EDE"/>
    <w:rsid w:val="002C5981"/>
    <w:rsid w:val="002C6651"/>
    <w:rsid w:val="002C7307"/>
    <w:rsid w:val="002D0410"/>
    <w:rsid w:val="002D0899"/>
    <w:rsid w:val="002D1707"/>
    <w:rsid w:val="002D17E2"/>
    <w:rsid w:val="002D213B"/>
    <w:rsid w:val="002D2CC3"/>
    <w:rsid w:val="002D31F2"/>
    <w:rsid w:val="002D3F5B"/>
    <w:rsid w:val="002D7360"/>
    <w:rsid w:val="002D7898"/>
    <w:rsid w:val="002E0537"/>
    <w:rsid w:val="002E0EC8"/>
    <w:rsid w:val="002E1403"/>
    <w:rsid w:val="002E25A0"/>
    <w:rsid w:val="002E2764"/>
    <w:rsid w:val="002E278F"/>
    <w:rsid w:val="002E3B4D"/>
    <w:rsid w:val="002F0522"/>
    <w:rsid w:val="002F0734"/>
    <w:rsid w:val="002F10F7"/>
    <w:rsid w:val="0030026A"/>
    <w:rsid w:val="003016A7"/>
    <w:rsid w:val="00301975"/>
    <w:rsid w:val="00301CB3"/>
    <w:rsid w:val="00301D84"/>
    <w:rsid w:val="0030542C"/>
    <w:rsid w:val="00310418"/>
    <w:rsid w:val="00312FFC"/>
    <w:rsid w:val="00314632"/>
    <w:rsid w:val="003150BF"/>
    <w:rsid w:val="003150CE"/>
    <w:rsid w:val="00315E92"/>
    <w:rsid w:val="003164BF"/>
    <w:rsid w:val="00320A0A"/>
    <w:rsid w:val="003229AC"/>
    <w:rsid w:val="00322E3D"/>
    <w:rsid w:val="00323955"/>
    <w:rsid w:val="00323B9E"/>
    <w:rsid w:val="00330804"/>
    <w:rsid w:val="003344C8"/>
    <w:rsid w:val="00334A6B"/>
    <w:rsid w:val="003366B2"/>
    <w:rsid w:val="00340066"/>
    <w:rsid w:val="003409B8"/>
    <w:rsid w:val="0034122D"/>
    <w:rsid w:val="0034288B"/>
    <w:rsid w:val="0034332B"/>
    <w:rsid w:val="003447F5"/>
    <w:rsid w:val="00345CAB"/>
    <w:rsid w:val="0034681C"/>
    <w:rsid w:val="00350666"/>
    <w:rsid w:val="003521D9"/>
    <w:rsid w:val="00353827"/>
    <w:rsid w:val="00353BA3"/>
    <w:rsid w:val="00354108"/>
    <w:rsid w:val="00355556"/>
    <w:rsid w:val="003555F0"/>
    <w:rsid w:val="003600A8"/>
    <w:rsid w:val="00360BEF"/>
    <w:rsid w:val="0036140F"/>
    <w:rsid w:val="0036284D"/>
    <w:rsid w:val="00363B6A"/>
    <w:rsid w:val="00365F9B"/>
    <w:rsid w:val="00366524"/>
    <w:rsid w:val="00373E58"/>
    <w:rsid w:val="0037589B"/>
    <w:rsid w:val="00376073"/>
    <w:rsid w:val="00377452"/>
    <w:rsid w:val="00381223"/>
    <w:rsid w:val="00381849"/>
    <w:rsid w:val="003823A0"/>
    <w:rsid w:val="00384F36"/>
    <w:rsid w:val="00385271"/>
    <w:rsid w:val="00390796"/>
    <w:rsid w:val="0039226E"/>
    <w:rsid w:val="00392CC8"/>
    <w:rsid w:val="0039590D"/>
    <w:rsid w:val="0039704F"/>
    <w:rsid w:val="00397708"/>
    <w:rsid w:val="003A10A4"/>
    <w:rsid w:val="003A2017"/>
    <w:rsid w:val="003A2291"/>
    <w:rsid w:val="003A48CC"/>
    <w:rsid w:val="003A585A"/>
    <w:rsid w:val="003A72EF"/>
    <w:rsid w:val="003A7E21"/>
    <w:rsid w:val="003B114C"/>
    <w:rsid w:val="003B37A9"/>
    <w:rsid w:val="003B4C9C"/>
    <w:rsid w:val="003B4EED"/>
    <w:rsid w:val="003B688C"/>
    <w:rsid w:val="003B6B2C"/>
    <w:rsid w:val="003B6D8D"/>
    <w:rsid w:val="003B70A4"/>
    <w:rsid w:val="003C0881"/>
    <w:rsid w:val="003C1123"/>
    <w:rsid w:val="003C266A"/>
    <w:rsid w:val="003C35C4"/>
    <w:rsid w:val="003C3B05"/>
    <w:rsid w:val="003C5F2F"/>
    <w:rsid w:val="003C602A"/>
    <w:rsid w:val="003C6CB6"/>
    <w:rsid w:val="003C7BEB"/>
    <w:rsid w:val="003D1759"/>
    <w:rsid w:val="003D1896"/>
    <w:rsid w:val="003D3B14"/>
    <w:rsid w:val="003D48B7"/>
    <w:rsid w:val="003D62F7"/>
    <w:rsid w:val="003D72A0"/>
    <w:rsid w:val="003E1035"/>
    <w:rsid w:val="003E17F2"/>
    <w:rsid w:val="003E19F7"/>
    <w:rsid w:val="003E1EB2"/>
    <w:rsid w:val="003E492C"/>
    <w:rsid w:val="003E4991"/>
    <w:rsid w:val="003E5C50"/>
    <w:rsid w:val="003E710D"/>
    <w:rsid w:val="003E72C1"/>
    <w:rsid w:val="003E7A9C"/>
    <w:rsid w:val="003F328F"/>
    <w:rsid w:val="003F338B"/>
    <w:rsid w:val="003F340F"/>
    <w:rsid w:val="003F531A"/>
    <w:rsid w:val="003F7C9E"/>
    <w:rsid w:val="004025E8"/>
    <w:rsid w:val="00402768"/>
    <w:rsid w:val="00403A33"/>
    <w:rsid w:val="00404C36"/>
    <w:rsid w:val="00406F38"/>
    <w:rsid w:val="004107CA"/>
    <w:rsid w:val="004111BC"/>
    <w:rsid w:val="004114CB"/>
    <w:rsid w:val="004118D0"/>
    <w:rsid w:val="004125CD"/>
    <w:rsid w:val="004125F4"/>
    <w:rsid w:val="004126D4"/>
    <w:rsid w:val="0041333E"/>
    <w:rsid w:val="00414703"/>
    <w:rsid w:val="00415D2B"/>
    <w:rsid w:val="00416C0A"/>
    <w:rsid w:val="004173EA"/>
    <w:rsid w:val="0042162D"/>
    <w:rsid w:val="00421941"/>
    <w:rsid w:val="0042224B"/>
    <w:rsid w:val="004235B7"/>
    <w:rsid w:val="00424DE2"/>
    <w:rsid w:val="004251BC"/>
    <w:rsid w:val="0042634B"/>
    <w:rsid w:val="00426751"/>
    <w:rsid w:val="00427C08"/>
    <w:rsid w:val="00431FBE"/>
    <w:rsid w:val="00432528"/>
    <w:rsid w:val="00432635"/>
    <w:rsid w:val="004326E6"/>
    <w:rsid w:val="00432836"/>
    <w:rsid w:val="004352EF"/>
    <w:rsid w:val="004369CE"/>
    <w:rsid w:val="004373D1"/>
    <w:rsid w:val="0043778D"/>
    <w:rsid w:val="00437D8A"/>
    <w:rsid w:val="00443F8D"/>
    <w:rsid w:val="0044424E"/>
    <w:rsid w:val="004454C2"/>
    <w:rsid w:val="00447347"/>
    <w:rsid w:val="00447F33"/>
    <w:rsid w:val="00450A27"/>
    <w:rsid w:val="00451EC2"/>
    <w:rsid w:val="004524CA"/>
    <w:rsid w:val="0045387B"/>
    <w:rsid w:val="004561FD"/>
    <w:rsid w:val="00463357"/>
    <w:rsid w:val="0046337A"/>
    <w:rsid w:val="00463A04"/>
    <w:rsid w:val="00465255"/>
    <w:rsid w:val="00466064"/>
    <w:rsid w:val="00466B5B"/>
    <w:rsid w:val="00473718"/>
    <w:rsid w:val="00473869"/>
    <w:rsid w:val="0047410E"/>
    <w:rsid w:val="004773AC"/>
    <w:rsid w:val="00477EDB"/>
    <w:rsid w:val="0048054A"/>
    <w:rsid w:val="00480B8C"/>
    <w:rsid w:val="004818E8"/>
    <w:rsid w:val="00482F67"/>
    <w:rsid w:val="00483006"/>
    <w:rsid w:val="00484915"/>
    <w:rsid w:val="00485961"/>
    <w:rsid w:val="00487387"/>
    <w:rsid w:val="00490E50"/>
    <w:rsid w:val="0049125A"/>
    <w:rsid w:val="004919FD"/>
    <w:rsid w:val="004A06FC"/>
    <w:rsid w:val="004A132C"/>
    <w:rsid w:val="004A54B0"/>
    <w:rsid w:val="004A6E70"/>
    <w:rsid w:val="004B0AED"/>
    <w:rsid w:val="004B26D9"/>
    <w:rsid w:val="004B2C5E"/>
    <w:rsid w:val="004B4916"/>
    <w:rsid w:val="004B5397"/>
    <w:rsid w:val="004B774B"/>
    <w:rsid w:val="004C0541"/>
    <w:rsid w:val="004C2D41"/>
    <w:rsid w:val="004C4629"/>
    <w:rsid w:val="004C4B71"/>
    <w:rsid w:val="004C4F15"/>
    <w:rsid w:val="004C5D7C"/>
    <w:rsid w:val="004D087E"/>
    <w:rsid w:val="004D0D4E"/>
    <w:rsid w:val="004D0FCC"/>
    <w:rsid w:val="004D19DB"/>
    <w:rsid w:val="004D1E88"/>
    <w:rsid w:val="004D2D63"/>
    <w:rsid w:val="004D3970"/>
    <w:rsid w:val="004D3CD7"/>
    <w:rsid w:val="004D4426"/>
    <w:rsid w:val="004D58DE"/>
    <w:rsid w:val="004D6238"/>
    <w:rsid w:val="004D63E2"/>
    <w:rsid w:val="004E16B9"/>
    <w:rsid w:val="004E36D5"/>
    <w:rsid w:val="004E3F30"/>
    <w:rsid w:val="004E46F8"/>
    <w:rsid w:val="004E50C8"/>
    <w:rsid w:val="004E6399"/>
    <w:rsid w:val="004E653E"/>
    <w:rsid w:val="004E65F5"/>
    <w:rsid w:val="004E7C18"/>
    <w:rsid w:val="004E7FF5"/>
    <w:rsid w:val="004F2D77"/>
    <w:rsid w:val="004F3C00"/>
    <w:rsid w:val="004F3E28"/>
    <w:rsid w:val="004F4EFB"/>
    <w:rsid w:val="004F5123"/>
    <w:rsid w:val="004F621F"/>
    <w:rsid w:val="00502EAE"/>
    <w:rsid w:val="0050367E"/>
    <w:rsid w:val="0050368C"/>
    <w:rsid w:val="00503A0E"/>
    <w:rsid w:val="00503A1B"/>
    <w:rsid w:val="0050500F"/>
    <w:rsid w:val="00505279"/>
    <w:rsid w:val="005063E1"/>
    <w:rsid w:val="00506FD7"/>
    <w:rsid w:val="00507CC5"/>
    <w:rsid w:val="0051239B"/>
    <w:rsid w:val="005135FB"/>
    <w:rsid w:val="00516BBB"/>
    <w:rsid w:val="00516D43"/>
    <w:rsid w:val="00521760"/>
    <w:rsid w:val="00523E83"/>
    <w:rsid w:val="00524253"/>
    <w:rsid w:val="005248BB"/>
    <w:rsid w:val="00524E62"/>
    <w:rsid w:val="005308A5"/>
    <w:rsid w:val="005314E9"/>
    <w:rsid w:val="00531723"/>
    <w:rsid w:val="005323ED"/>
    <w:rsid w:val="0053275E"/>
    <w:rsid w:val="0053324F"/>
    <w:rsid w:val="005348BF"/>
    <w:rsid w:val="005362BF"/>
    <w:rsid w:val="00536662"/>
    <w:rsid w:val="005410C4"/>
    <w:rsid w:val="00541E10"/>
    <w:rsid w:val="00541EF9"/>
    <w:rsid w:val="00541F07"/>
    <w:rsid w:val="005431CF"/>
    <w:rsid w:val="00543D0A"/>
    <w:rsid w:val="00544EFB"/>
    <w:rsid w:val="005454F3"/>
    <w:rsid w:val="005455E5"/>
    <w:rsid w:val="0054681B"/>
    <w:rsid w:val="0054779A"/>
    <w:rsid w:val="00547BA1"/>
    <w:rsid w:val="00547ED8"/>
    <w:rsid w:val="00553332"/>
    <w:rsid w:val="005540A4"/>
    <w:rsid w:val="00554F99"/>
    <w:rsid w:val="00556101"/>
    <w:rsid w:val="00557CB1"/>
    <w:rsid w:val="0056072C"/>
    <w:rsid w:val="0056091E"/>
    <w:rsid w:val="00561371"/>
    <w:rsid w:val="0056172D"/>
    <w:rsid w:val="0056292B"/>
    <w:rsid w:val="005635F3"/>
    <w:rsid w:val="0056411C"/>
    <w:rsid w:val="00564D64"/>
    <w:rsid w:val="00565B4C"/>
    <w:rsid w:val="005663FF"/>
    <w:rsid w:val="0056662C"/>
    <w:rsid w:val="005677E5"/>
    <w:rsid w:val="005678E7"/>
    <w:rsid w:val="00570D24"/>
    <w:rsid w:val="005727BD"/>
    <w:rsid w:val="00573BC6"/>
    <w:rsid w:val="00574C1A"/>
    <w:rsid w:val="00577E1F"/>
    <w:rsid w:val="00577E4E"/>
    <w:rsid w:val="00580EEB"/>
    <w:rsid w:val="00580FCF"/>
    <w:rsid w:val="005815C3"/>
    <w:rsid w:val="00583673"/>
    <w:rsid w:val="00583D08"/>
    <w:rsid w:val="00587BE7"/>
    <w:rsid w:val="00587CBC"/>
    <w:rsid w:val="00590E48"/>
    <w:rsid w:val="00591B9C"/>
    <w:rsid w:val="00592313"/>
    <w:rsid w:val="00592913"/>
    <w:rsid w:val="005932EC"/>
    <w:rsid w:val="00594EA7"/>
    <w:rsid w:val="00595DF1"/>
    <w:rsid w:val="00596524"/>
    <w:rsid w:val="00597D35"/>
    <w:rsid w:val="005A0237"/>
    <w:rsid w:val="005A0E29"/>
    <w:rsid w:val="005A3F84"/>
    <w:rsid w:val="005A4A36"/>
    <w:rsid w:val="005A6D6D"/>
    <w:rsid w:val="005A7264"/>
    <w:rsid w:val="005B0106"/>
    <w:rsid w:val="005B096D"/>
    <w:rsid w:val="005B0ACB"/>
    <w:rsid w:val="005B1601"/>
    <w:rsid w:val="005B24FF"/>
    <w:rsid w:val="005B4CFC"/>
    <w:rsid w:val="005B58B0"/>
    <w:rsid w:val="005B63A3"/>
    <w:rsid w:val="005B6E0D"/>
    <w:rsid w:val="005C0298"/>
    <w:rsid w:val="005C0769"/>
    <w:rsid w:val="005C360A"/>
    <w:rsid w:val="005C7EE9"/>
    <w:rsid w:val="005D0108"/>
    <w:rsid w:val="005D0CAD"/>
    <w:rsid w:val="005D0EB4"/>
    <w:rsid w:val="005D1BD2"/>
    <w:rsid w:val="005D221C"/>
    <w:rsid w:val="005D2A43"/>
    <w:rsid w:val="005D3177"/>
    <w:rsid w:val="005D4DFD"/>
    <w:rsid w:val="005D6053"/>
    <w:rsid w:val="005D6EA0"/>
    <w:rsid w:val="005D7D0E"/>
    <w:rsid w:val="005E14E4"/>
    <w:rsid w:val="005E2674"/>
    <w:rsid w:val="005E3188"/>
    <w:rsid w:val="005E6172"/>
    <w:rsid w:val="005E6778"/>
    <w:rsid w:val="005E76E2"/>
    <w:rsid w:val="005E7B36"/>
    <w:rsid w:val="005F02E6"/>
    <w:rsid w:val="005F10F1"/>
    <w:rsid w:val="005F1911"/>
    <w:rsid w:val="005F1DF6"/>
    <w:rsid w:val="005F2596"/>
    <w:rsid w:val="005F275F"/>
    <w:rsid w:val="005F2CBA"/>
    <w:rsid w:val="005F3216"/>
    <w:rsid w:val="005F3550"/>
    <w:rsid w:val="005F36BB"/>
    <w:rsid w:val="005F3C5E"/>
    <w:rsid w:val="005F4DFE"/>
    <w:rsid w:val="005F4EF9"/>
    <w:rsid w:val="005F6C83"/>
    <w:rsid w:val="006015AE"/>
    <w:rsid w:val="006017B1"/>
    <w:rsid w:val="006028B3"/>
    <w:rsid w:val="00602CAC"/>
    <w:rsid w:val="00602FE4"/>
    <w:rsid w:val="0060333F"/>
    <w:rsid w:val="006049D3"/>
    <w:rsid w:val="006058D0"/>
    <w:rsid w:val="0060685F"/>
    <w:rsid w:val="00607066"/>
    <w:rsid w:val="00607197"/>
    <w:rsid w:val="006074D5"/>
    <w:rsid w:val="0060779C"/>
    <w:rsid w:val="00607A16"/>
    <w:rsid w:val="006109F8"/>
    <w:rsid w:val="00613A3B"/>
    <w:rsid w:val="006147EA"/>
    <w:rsid w:val="006152AE"/>
    <w:rsid w:val="006167FE"/>
    <w:rsid w:val="006204F1"/>
    <w:rsid w:val="00622610"/>
    <w:rsid w:val="00622DD1"/>
    <w:rsid w:val="00623075"/>
    <w:rsid w:val="00623910"/>
    <w:rsid w:val="00624435"/>
    <w:rsid w:val="00624A27"/>
    <w:rsid w:val="00624D74"/>
    <w:rsid w:val="0062716D"/>
    <w:rsid w:val="00627AF2"/>
    <w:rsid w:val="00632157"/>
    <w:rsid w:val="00632F94"/>
    <w:rsid w:val="006332EC"/>
    <w:rsid w:val="0063632F"/>
    <w:rsid w:val="006366D4"/>
    <w:rsid w:val="00636705"/>
    <w:rsid w:val="006379E9"/>
    <w:rsid w:val="00640E1F"/>
    <w:rsid w:val="00640E38"/>
    <w:rsid w:val="00645B15"/>
    <w:rsid w:val="006477F9"/>
    <w:rsid w:val="00647C14"/>
    <w:rsid w:val="00650C56"/>
    <w:rsid w:val="00652858"/>
    <w:rsid w:val="006558DC"/>
    <w:rsid w:val="00655FB4"/>
    <w:rsid w:val="00656B27"/>
    <w:rsid w:val="00657315"/>
    <w:rsid w:val="006573FF"/>
    <w:rsid w:val="00657F8B"/>
    <w:rsid w:val="00660401"/>
    <w:rsid w:val="006618FC"/>
    <w:rsid w:val="00663D00"/>
    <w:rsid w:val="00663E86"/>
    <w:rsid w:val="006643A8"/>
    <w:rsid w:val="0066497D"/>
    <w:rsid w:val="00667233"/>
    <w:rsid w:val="006717AC"/>
    <w:rsid w:val="00671B7E"/>
    <w:rsid w:val="006728FA"/>
    <w:rsid w:val="00672C2D"/>
    <w:rsid w:val="0067493D"/>
    <w:rsid w:val="006767B3"/>
    <w:rsid w:val="006767BC"/>
    <w:rsid w:val="00681D75"/>
    <w:rsid w:val="0068242E"/>
    <w:rsid w:val="00682E24"/>
    <w:rsid w:val="00682ECD"/>
    <w:rsid w:val="00684BAF"/>
    <w:rsid w:val="006851EB"/>
    <w:rsid w:val="00686400"/>
    <w:rsid w:val="006905C9"/>
    <w:rsid w:val="00691496"/>
    <w:rsid w:val="006935B9"/>
    <w:rsid w:val="006939B1"/>
    <w:rsid w:val="0069522D"/>
    <w:rsid w:val="00696EBB"/>
    <w:rsid w:val="00696F2B"/>
    <w:rsid w:val="006A1F10"/>
    <w:rsid w:val="006A4D4E"/>
    <w:rsid w:val="006A5BEE"/>
    <w:rsid w:val="006B3579"/>
    <w:rsid w:val="006B56A4"/>
    <w:rsid w:val="006B630A"/>
    <w:rsid w:val="006B7C24"/>
    <w:rsid w:val="006C09FE"/>
    <w:rsid w:val="006C1577"/>
    <w:rsid w:val="006C1A37"/>
    <w:rsid w:val="006C3415"/>
    <w:rsid w:val="006C5ACD"/>
    <w:rsid w:val="006C6300"/>
    <w:rsid w:val="006D0BD9"/>
    <w:rsid w:val="006D131D"/>
    <w:rsid w:val="006D1544"/>
    <w:rsid w:val="006D36B7"/>
    <w:rsid w:val="006D3A49"/>
    <w:rsid w:val="006D686D"/>
    <w:rsid w:val="006E16F1"/>
    <w:rsid w:val="006E359B"/>
    <w:rsid w:val="006E65EA"/>
    <w:rsid w:val="006E75BF"/>
    <w:rsid w:val="006E7DB7"/>
    <w:rsid w:val="006F09B5"/>
    <w:rsid w:val="006F1349"/>
    <w:rsid w:val="006F201F"/>
    <w:rsid w:val="006F2C03"/>
    <w:rsid w:val="006F48B3"/>
    <w:rsid w:val="006F48B8"/>
    <w:rsid w:val="006F4ACE"/>
    <w:rsid w:val="006F4DB1"/>
    <w:rsid w:val="006F550D"/>
    <w:rsid w:val="006F553C"/>
    <w:rsid w:val="006F57DC"/>
    <w:rsid w:val="006F5924"/>
    <w:rsid w:val="006F6258"/>
    <w:rsid w:val="006F65E1"/>
    <w:rsid w:val="006F6B1E"/>
    <w:rsid w:val="006F7436"/>
    <w:rsid w:val="006F7F8E"/>
    <w:rsid w:val="00701552"/>
    <w:rsid w:val="007021F5"/>
    <w:rsid w:val="007048DC"/>
    <w:rsid w:val="00704FDE"/>
    <w:rsid w:val="00705448"/>
    <w:rsid w:val="00710A64"/>
    <w:rsid w:val="0071196E"/>
    <w:rsid w:val="00711D67"/>
    <w:rsid w:val="00711F4A"/>
    <w:rsid w:val="007122EC"/>
    <w:rsid w:val="0071232E"/>
    <w:rsid w:val="00712C66"/>
    <w:rsid w:val="00714504"/>
    <w:rsid w:val="0071575C"/>
    <w:rsid w:val="0071742A"/>
    <w:rsid w:val="0071791B"/>
    <w:rsid w:val="00720B44"/>
    <w:rsid w:val="00721969"/>
    <w:rsid w:val="00724D33"/>
    <w:rsid w:val="00725E9C"/>
    <w:rsid w:val="0073017A"/>
    <w:rsid w:val="00730E8F"/>
    <w:rsid w:val="00731D48"/>
    <w:rsid w:val="0073233B"/>
    <w:rsid w:val="00733D9F"/>
    <w:rsid w:val="00734484"/>
    <w:rsid w:val="00735186"/>
    <w:rsid w:val="00742076"/>
    <w:rsid w:val="007450C4"/>
    <w:rsid w:val="00745136"/>
    <w:rsid w:val="007454B5"/>
    <w:rsid w:val="00745A15"/>
    <w:rsid w:val="00745DD2"/>
    <w:rsid w:val="00751354"/>
    <w:rsid w:val="007520CB"/>
    <w:rsid w:val="00752321"/>
    <w:rsid w:val="00755382"/>
    <w:rsid w:val="00756909"/>
    <w:rsid w:val="007572F3"/>
    <w:rsid w:val="00760D10"/>
    <w:rsid w:val="00762108"/>
    <w:rsid w:val="0076262D"/>
    <w:rsid w:val="00765900"/>
    <w:rsid w:val="00767C84"/>
    <w:rsid w:val="00770E38"/>
    <w:rsid w:val="007721F5"/>
    <w:rsid w:val="007723C7"/>
    <w:rsid w:val="007751DE"/>
    <w:rsid w:val="00776AF1"/>
    <w:rsid w:val="007772AA"/>
    <w:rsid w:val="0078133D"/>
    <w:rsid w:val="00781E34"/>
    <w:rsid w:val="0078252A"/>
    <w:rsid w:val="007826F1"/>
    <w:rsid w:val="00785785"/>
    <w:rsid w:val="00786E8E"/>
    <w:rsid w:val="007877C9"/>
    <w:rsid w:val="007904B8"/>
    <w:rsid w:val="00790B79"/>
    <w:rsid w:val="00791DED"/>
    <w:rsid w:val="00792AA8"/>
    <w:rsid w:val="0079306F"/>
    <w:rsid w:val="00793AAE"/>
    <w:rsid w:val="00794972"/>
    <w:rsid w:val="007949F4"/>
    <w:rsid w:val="007962DE"/>
    <w:rsid w:val="00796EE7"/>
    <w:rsid w:val="00797022"/>
    <w:rsid w:val="007A0E82"/>
    <w:rsid w:val="007A3ABE"/>
    <w:rsid w:val="007A4CB0"/>
    <w:rsid w:val="007A5B52"/>
    <w:rsid w:val="007A60F8"/>
    <w:rsid w:val="007A62C3"/>
    <w:rsid w:val="007A6959"/>
    <w:rsid w:val="007A7F29"/>
    <w:rsid w:val="007B0AF1"/>
    <w:rsid w:val="007B33E0"/>
    <w:rsid w:val="007B341B"/>
    <w:rsid w:val="007B4102"/>
    <w:rsid w:val="007B55F9"/>
    <w:rsid w:val="007B651A"/>
    <w:rsid w:val="007B6648"/>
    <w:rsid w:val="007B6669"/>
    <w:rsid w:val="007B753B"/>
    <w:rsid w:val="007C29DD"/>
    <w:rsid w:val="007C3026"/>
    <w:rsid w:val="007C311B"/>
    <w:rsid w:val="007C3970"/>
    <w:rsid w:val="007C462E"/>
    <w:rsid w:val="007C506B"/>
    <w:rsid w:val="007D0356"/>
    <w:rsid w:val="007D0986"/>
    <w:rsid w:val="007D43B0"/>
    <w:rsid w:val="007D59A7"/>
    <w:rsid w:val="007D698B"/>
    <w:rsid w:val="007D7610"/>
    <w:rsid w:val="007D7BB6"/>
    <w:rsid w:val="007E07F2"/>
    <w:rsid w:val="007E4124"/>
    <w:rsid w:val="007E41EA"/>
    <w:rsid w:val="007E49A4"/>
    <w:rsid w:val="007E4C16"/>
    <w:rsid w:val="007E5D35"/>
    <w:rsid w:val="007E751B"/>
    <w:rsid w:val="007E7C30"/>
    <w:rsid w:val="007F19A0"/>
    <w:rsid w:val="007F2FE3"/>
    <w:rsid w:val="007F3044"/>
    <w:rsid w:val="007F3F5E"/>
    <w:rsid w:val="007F4A76"/>
    <w:rsid w:val="007F52A6"/>
    <w:rsid w:val="007F5561"/>
    <w:rsid w:val="007F5789"/>
    <w:rsid w:val="007F68DA"/>
    <w:rsid w:val="007F7154"/>
    <w:rsid w:val="0080027C"/>
    <w:rsid w:val="008004E7"/>
    <w:rsid w:val="008013A4"/>
    <w:rsid w:val="0080276C"/>
    <w:rsid w:val="00804BD7"/>
    <w:rsid w:val="008060C8"/>
    <w:rsid w:val="0080692E"/>
    <w:rsid w:val="00810796"/>
    <w:rsid w:val="00810F5C"/>
    <w:rsid w:val="008116EB"/>
    <w:rsid w:val="00812723"/>
    <w:rsid w:val="00813C35"/>
    <w:rsid w:val="0081402F"/>
    <w:rsid w:val="00814A6A"/>
    <w:rsid w:val="00814ED4"/>
    <w:rsid w:val="008152E3"/>
    <w:rsid w:val="0081557C"/>
    <w:rsid w:val="008159B1"/>
    <w:rsid w:val="00820282"/>
    <w:rsid w:val="00820651"/>
    <w:rsid w:val="0082117F"/>
    <w:rsid w:val="00821A10"/>
    <w:rsid w:val="008231B4"/>
    <w:rsid w:val="0082619C"/>
    <w:rsid w:val="008319CE"/>
    <w:rsid w:val="00831A0D"/>
    <w:rsid w:val="0083608E"/>
    <w:rsid w:val="0083686C"/>
    <w:rsid w:val="00836AD2"/>
    <w:rsid w:val="008375CC"/>
    <w:rsid w:val="008415CC"/>
    <w:rsid w:val="00842862"/>
    <w:rsid w:val="00843751"/>
    <w:rsid w:val="00844A64"/>
    <w:rsid w:val="00845199"/>
    <w:rsid w:val="00847313"/>
    <w:rsid w:val="00847DFE"/>
    <w:rsid w:val="00851111"/>
    <w:rsid w:val="008525CF"/>
    <w:rsid w:val="008542CC"/>
    <w:rsid w:val="00856DC6"/>
    <w:rsid w:val="00860973"/>
    <w:rsid w:val="00860B77"/>
    <w:rsid w:val="008613B8"/>
    <w:rsid w:val="0086183E"/>
    <w:rsid w:val="00861C57"/>
    <w:rsid w:val="00862B52"/>
    <w:rsid w:val="008648B5"/>
    <w:rsid w:val="00864B1E"/>
    <w:rsid w:val="00865A78"/>
    <w:rsid w:val="0086641A"/>
    <w:rsid w:val="00867F68"/>
    <w:rsid w:val="00871E38"/>
    <w:rsid w:val="008737D3"/>
    <w:rsid w:val="00873E0E"/>
    <w:rsid w:val="00874693"/>
    <w:rsid w:val="00874BCD"/>
    <w:rsid w:val="0087527A"/>
    <w:rsid w:val="00877CBF"/>
    <w:rsid w:val="0088188B"/>
    <w:rsid w:val="00881F60"/>
    <w:rsid w:val="00882457"/>
    <w:rsid w:val="00882D53"/>
    <w:rsid w:val="00883437"/>
    <w:rsid w:val="008834C5"/>
    <w:rsid w:val="00883C24"/>
    <w:rsid w:val="008853F8"/>
    <w:rsid w:val="00893722"/>
    <w:rsid w:val="0089489D"/>
    <w:rsid w:val="00894930"/>
    <w:rsid w:val="00894999"/>
    <w:rsid w:val="008953BD"/>
    <w:rsid w:val="008A0DFC"/>
    <w:rsid w:val="008A2D92"/>
    <w:rsid w:val="008A4628"/>
    <w:rsid w:val="008A5D90"/>
    <w:rsid w:val="008A6F78"/>
    <w:rsid w:val="008B0783"/>
    <w:rsid w:val="008B07FA"/>
    <w:rsid w:val="008B1D08"/>
    <w:rsid w:val="008B202C"/>
    <w:rsid w:val="008B47CB"/>
    <w:rsid w:val="008B5DF7"/>
    <w:rsid w:val="008B6A6C"/>
    <w:rsid w:val="008B6DA1"/>
    <w:rsid w:val="008B7095"/>
    <w:rsid w:val="008C15BB"/>
    <w:rsid w:val="008C1A27"/>
    <w:rsid w:val="008C28E5"/>
    <w:rsid w:val="008C3870"/>
    <w:rsid w:val="008C3A05"/>
    <w:rsid w:val="008C44D8"/>
    <w:rsid w:val="008C4E5F"/>
    <w:rsid w:val="008C6886"/>
    <w:rsid w:val="008C6C82"/>
    <w:rsid w:val="008D15F7"/>
    <w:rsid w:val="008D175B"/>
    <w:rsid w:val="008D1FDE"/>
    <w:rsid w:val="008D351D"/>
    <w:rsid w:val="008D3B01"/>
    <w:rsid w:val="008D5916"/>
    <w:rsid w:val="008D6A9D"/>
    <w:rsid w:val="008E1C45"/>
    <w:rsid w:val="008E2130"/>
    <w:rsid w:val="008E242E"/>
    <w:rsid w:val="008E3DD1"/>
    <w:rsid w:val="008E647B"/>
    <w:rsid w:val="008E7278"/>
    <w:rsid w:val="008E7B61"/>
    <w:rsid w:val="008F1E5C"/>
    <w:rsid w:val="008F3AE2"/>
    <w:rsid w:val="008F47E6"/>
    <w:rsid w:val="008F51F6"/>
    <w:rsid w:val="008F6221"/>
    <w:rsid w:val="008F722B"/>
    <w:rsid w:val="008F777B"/>
    <w:rsid w:val="008F7CCE"/>
    <w:rsid w:val="0090035B"/>
    <w:rsid w:val="00903DD7"/>
    <w:rsid w:val="009064E2"/>
    <w:rsid w:val="00906AAD"/>
    <w:rsid w:val="009077C7"/>
    <w:rsid w:val="0091220E"/>
    <w:rsid w:val="0091271B"/>
    <w:rsid w:val="0091465A"/>
    <w:rsid w:val="00914A75"/>
    <w:rsid w:val="00920216"/>
    <w:rsid w:val="00920463"/>
    <w:rsid w:val="009231E5"/>
    <w:rsid w:val="009238C7"/>
    <w:rsid w:val="00923D68"/>
    <w:rsid w:val="009245CA"/>
    <w:rsid w:val="00926E4D"/>
    <w:rsid w:val="00927677"/>
    <w:rsid w:val="0093352D"/>
    <w:rsid w:val="00933A5E"/>
    <w:rsid w:val="009358F2"/>
    <w:rsid w:val="009376FF"/>
    <w:rsid w:val="00940185"/>
    <w:rsid w:val="00940BCD"/>
    <w:rsid w:val="00941279"/>
    <w:rsid w:val="00943908"/>
    <w:rsid w:val="009462D5"/>
    <w:rsid w:val="009472A7"/>
    <w:rsid w:val="0095359A"/>
    <w:rsid w:val="00953EB6"/>
    <w:rsid w:val="0095456C"/>
    <w:rsid w:val="009547B3"/>
    <w:rsid w:val="00954F5A"/>
    <w:rsid w:val="0095677E"/>
    <w:rsid w:val="00956905"/>
    <w:rsid w:val="009614C6"/>
    <w:rsid w:val="00962BFB"/>
    <w:rsid w:val="00962E1C"/>
    <w:rsid w:val="0096349D"/>
    <w:rsid w:val="00964954"/>
    <w:rsid w:val="00964EF2"/>
    <w:rsid w:val="0096538D"/>
    <w:rsid w:val="00965B74"/>
    <w:rsid w:val="00966DEC"/>
    <w:rsid w:val="0096701D"/>
    <w:rsid w:val="00967EC2"/>
    <w:rsid w:val="0097214A"/>
    <w:rsid w:val="00972EDE"/>
    <w:rsid w:val="0097673B"/>
    <w:rsid w:val="0098209F"/>
    <w:rsid w:val="009858C4"/>
    <w:rsid w:val="00986663"/>
    <w:rsid w:val="00987C7D"/>
    <w:rsid w:val="00990380"/>
    <w:rsid w:val="0099102F"/>
    <w:rsid w:val="009916EA"/>
    <w:rsid w:val="00991F44"/>
    <w:rsid w:val="009921DB"/>
    <w:rsid w:val="00993ABE"/>
    <w:rsid w:val="009940EF"/>
    <w:rsid w:val="00994845"/>
    <w:rsid w:val="00994A8D"/>
    <w:rsid w:val="00994D06"/>
    <w:rsid w:val="00995AF6"/>
    <w:rsid w:val="00997CF0"/>
    <w:rsid w:val="009A0BBC"/>
    <w:rsid w:val="009A0C34"/>
    <w:rsid w:val="009A12E4"/>
    <w:rsid w:val="009A1C2B"/>
    <w:rsid w:val="009A4DF5"/>
    <w:rsid w:val="009A51E5"/>
    <w:rsid w:val="009A5AFD"/>
    <w:rsid w:val="009A60CC"/>
    <w:rsid w:val="009A66F2"/>
    <w:rsid w:val="009A6EFD"/>
    <w:rsid w:val="009A7810"/>
    <w:rsid w:val="009B1371"/>
    <w:rsid w:val="009B18BC"/>
    <w:rsid w:val="009B39DC"/>
    <w:rsid w:val="009B4CFC"/>
    <w:rsid w:val="009B5674"/>
    <w:rsid w:val="009B61E7"/>
    <w:rsid w:val="009C0087"/>
    <w:rsid w:val="009C0FB6"/>
    <w:rsid w:val="009C1E2F"/>
    <w:rsid w:val="009C455A"/>
    <w:rsid w:val="009C5043"/>
    <w:rsid w:val="009C6311"/>
    <w:rsid w:val="009C6E72"/>
    <w:rsid w:val="009D0E71"/>
    <w:rsid w:val="009D393D"/>
    <w:rsid w:val="009D3C3F"/>
    <w:rsid w:val="009D3DD0"/>
    <w:rsid w:val="009D4D67"/>
    <w:rsid w:val="009D54B2"/>
    <w:rsid w:val="009D635B"/>
    <w:rsid w:val="009D66DC"/>
    <w:rsid w:val="009D680A"/>
    <w:rsid w:val="009D7F6F"/>
    <w:rsid w:val="009E0393"/>
    <w:rsid w:val="009E07D3"/>
    <w:rsid w:val="009E293A"/>
    <w:rsid w:val="009E51BE"/>
    <w:rsid w:val="009E7368"/>
    <w:rsid w:val="009F06F2"/>
    <w:rsid w:val="009F1527"/>
    <w:rsid w:val="009F1664"/>
    <w:rsid w:val="009F2F5C"/>
    <w:rsid w:val="009F635E"/>
    <w:rsid w:val="009F66CD"/>
    <w:rsid w:val="00A01922"/>
    <w:rsid w:val="00A01A72"/>
    <w:rsid w:val="00A02AC1"/>
    <w:rsid w:val="00A02C5D"/>
    <w:rsid w:val="00A02E91"/>
    <w:rsid w:val="00A06CB2"/>
    <w:rsid w:val="00A07C04"/>
    <w:rsid w:val="00A1133A"/>
    <w:rsid w:val="00A140D3"/>
    <w:rsid w:val="00A1446B"/>
    <w:rsid w:val="00A167F2"/>
    <w:rsid w:val="00A17EFE"/>
    <w:rsid w:val="00A17FB7"/>
    <w:rsid w:val="00A20C78"/>
    <w:rsid w:val="00A20D34"/>
    <w:rsid w:val="00A22264"/>
    <w:rsid w:val="00A22E37"/>
    <w:rsid w:val="00A2312E"/>
    <w:rsid w:val="00A24323"/>
    <w:rsid w:val="00A2512C"/>
    <w:rsid w:val="00A2515B"/>
    <w:rsid w:val="00A2588E"/>
    <w:rsid w:val="00A26B37"/>
    <w:rsid w:val="00A26EDF"/>
    <w:rsid w:val="00A2765B"/>
    <w:rsid w:val="00A335F3"/>
    <w:rsid w:val="00A33CBB"/>
    <w:rsid w:val="00A34473"/>
    <w:rsid w:val="00A34789"/>
    <w:rsid w:val="00A3566D"/>
    <w:rsid w:val="00A3630E"/>
    <w:rsid w:val="00A37BB8"/>
    <w:rsid w:val="00A37D74"/>
    <w:rsid w:val="00A41FF8"/>
    <w:rsid w:val="00A42D87"/>
    <w:rsid w:val="00A44BD3"/>
    <w:rsid w:val="00A4521D"/>
    <w:rsid w:val="00A46D6F"/>
    <w:rsid w:val="00A51303"/>
    <w:rsid w:val="00A51F0A"/>
    <w:rsid w:val="00A52C57"/>
    <w:rsid w:val="00A54EF2"/>
    <w:rsid w:val="00A551A8"/>
    <w:rsid w:val="00A55D48"/>
    <w:rsid w:val="00A57BEB"/>
    <w:rsid w:val="00A61673"/>
    <w:rsid w:val="00A62D19"/>
    <w:rsid w:val="00A64926"/>
    <w:rsid w:val="00A665CF"/>
    <w:rsid w:val="00A665F6"/>
    <w:rsid w:val="00A67601"/>
    <w:rsid w:val="00A67CA7"/>
    <w:rsid w:val="00A7100C"/>
    <w:rsid w:val="00A72084"/>
    <w:rsid w:val="00A72D52"/>
    <w:rsid w:val="00A73989"/>
    <w:rsid w:val="00A7504D"/>
    <w:rsid w:val="00A7752F"/>
    <w:rsid w:val="00A77740"/>
    <w:rsid w:val="00A85C35"/>
    <w:rsid w:val="00A85F97"/>
    <w:rsid w:val="00A91037"/>
    <w:rsid w:val="00A92061"/>
    <w:rsid w:val="00A9239F"/>
    <w:rsid w:val="00A93150"/>
    <w:rsid w:val="00A93B90"/>
    <w:rsid w:val="00A93CEC"/>
    <w:rsid w:val="00A94249"/>
    <w:rsid w:val="00A94BC9"/>
    <w:rsid w:val="00A94E85"/>
    <w:rsid w:val="00A959BC"/>
    <w:rsid w:val="00A97A35"/>
    <w:rsid w:val="00AA2562"/>
    <w:rsid w:val="00AA3C60"/>
    <w:rsid w:val="00AA452A"/>
    <w:rsid w:val="00AA5264"/>
    <w:rsid w:val="00AB2FF4"/>
    <w:rsid w:val="00AB3F82"/>
    <w:rsid w:val="00AB5F9C"/>
    <w:rsid w:val="00AB7F67"/>
    <w:rsid w:val="00AC16CD"/>
    <w:rsid w:val="00AC1AD6"/>
    <w:rsid w:val="00AC4E05"/>
    <w:rsid w:val="00AC527D"/>
    <w:rsid w:val="00AD1911"/>
    <w:rsid w:val="00AD38D2"/>
    <w:rsid w:val="00AD4137"/>
    <w:rsid w:val="00AD4A93"/>
    <w:rsid w:val="00AD61D2"/>
    <w:rsid w:val="00AD64DF"/>
    <w:rsid w:val="00AD7A7D"/>
    <w:rsid w:val="00AE1025"/>
    <w:rsid w:val="00AE2062"/>
    <w:rsid w:val="00AE3F03"/>
    <w:rsid w:val="00AE4DC5"/>
    <w:rsid w:val="00AE64F0"/>
    <w:rsid w:val="00AF23C8"/>
    <w:rsid w:val="00AF2AE2"/>
    <w:rsid w:val="00AF68B3"/>
    <w:rsid w:val="00AF6D3F"/>
    <w:rsid w:val="00AF7FA0"/>
    <w:rsid w:val="00B035D6"/>
    <w:rsid w:val="00B0377E"/>
    <w:rsid w:val="00B053A6"/>
    <w:rsid w:val="00B068AA"/>
    <w:rsid w:val="00B07417"/>
    <w:rsid w:val="00B07BA9"/>
    <w:rsid w:val="00B10055"/>
    <w:rsid w:val="00B1141E"/>
    <w:rsid w:val="00B12640"/>
    <w:rsid w:val="00B1278B"/>
    <w:rsid w:val="00B14A69"/>
    <w:rsid w:val="00B16397"/>
    <w:rsid w:val="00B166F7"/>
    <w:rsid w:val="00B17295"/>
    <w:rsid w:val="00B1770C"/>
    <w:rsid w:val="00B17F0B"/>
    <w:rsid w:val="00B203D8"/>
    <w:rsid w:val="00B215F5"/>
    <w:rsid w:val="00B2201C"/>
    <w:rsid w:val="00B22415"/>
    <w:rsid w:val="00B22715"/>
    <w:rsid w:val="00B2506A"/>
    <w:rsid w:val="00B25640"/>
    <w:rsid w:val="00B25A67"/>
    <w:rsid w:val="00B25ECB"/>
    <w:rsid w:val="00B26843"/>
    <w:rsid w:val="00B26B62"/>
    <w:rsid w:val="00B27A54"/>
    <w:rsid w:val="00B30783"/>
    <w:rsid w:val="00B335D8"/>
    <w:rsid w:val="00B36FD5"/>
    <w:rsid w:val="00B41D37"/>
    <w:rsid w:val="00B41F0F"/>
    <w:rsid w:val="00B42560"/>
    <w:rsid w:val="00B455AA"/>
    <w:rsid w:val="00B45778"/>
    <w:rsid w:val="00B457A1"/>
    <w:rsid w:val="00B4630F"/>
    <w:rsid w:val="00B464B1"/>
    <w:rsid w:val="00B46A86"/>
    <w:rsid w:val="00B47A4A"/>
    <w:rsid w:val="00B47B99"/>
    <w:rsid w:val="00B506F2"/>
    <w:rsid w:val="00B510E3"/>
    <w:rsid w:val="00B51905"/>
    <w:rsid w:val="00B521AC"/>
    <w:rsid w:val="00B52702"/>
    <w:rsid w:val="00B5379C"/>
    <w:rsid w:val="00B53ED8"/>
    <w:rsid w:val="00B5498D"/>
    <w:rsid w:val="00B5501D"/>
    <w:rsid w:val="00B56AC6"/>
    <w:rsid w:val="00B56B0B"/>
    <w:rsid w:val="00B6151E"/>
    <w:rsid w:val="00B64962"/>
    <w:rsid w:val="00B676EC"/>
    <w:rsid w:val="00B7016C"/>
    <w:rsid w:val="00B7039B"/>
    <w:rsid w:val="00B74BE7"/>
    <w:rsid w:val="00B74D1E"/>
    <w:rsid w:val="00B76A18"/>
    <w:rsid w:val="00B84C6C"/>
    <w:rsid w:val="00B8540F"/>
    <w:rsid w:val="00B85908"/>
    <w:rsid w:val="00B871C2"/>
    <w:rsid w:val="00B92687"/>
    <w:rsid w:val="00B92CF4"/>
    <w:rsid w:val="00B94248"/>
    <w:rsid w:val="00B942A1"/>
    <w:rsid w:val="00B94B4F"/>
    <w:rsid w:val="00B95280"/>
    <w:rsid w:val="00B976F6"/>
    <w:rsid w:val="00BA105C"/>
    <w:rsid w:val="00BA5F41"/>
    <w:rsid w:val="00BA7385"/>
    <w:rsid w:val="00BB11AB"/>
    <w:rsid w:val="00BB187C"/>
    <w:rsid w:val="00BB296B"/>
    <w:rsid w:val="00BB2A9C"/>
    <w:rsid w:val="00BB3012"/>
    <w:rsid w:val="00BB3622"/>
    <w:rsid w:val="00BB3ABC"/>
    <w:rsid w:val="00BB4460"/>
    <w:rsid w:val="00BB4B93"/>
    <w:rsid w:val="00BB682C"/>
    <w:rsid w:val="00BB7CA9"/>
    <w:rsid w:val="00BC236B"/>
    <w:rsid w:val="00BC2BB4"/>
    <w:rsid w:val="00BC5A81"/>
    <w:rsid w:val="00BC5D2F"/>
    <w:rsid w:val="00BC65D9"/>
    <w:rsid w:val="00BC6B70"/>
    <w:rsid w:val="00BC7C52"/>
    <w:rsid w:val="00BD0CF6"/>
    <w:rsid w:val="00BD1471"/>
    <w:rsid w:val="00BD14C5"/>
    <w:rsid w:val="00BD196A"/>
    <w:rsid w:val="00BD2081"/>
    <w:rsid w:val="00BD2311"/>
    <w:rsid w:val="00BD6262"/>
    <w:rsid w:val="00BD733B"/>
    <w:rsid w:val="00BD7EED"/>
    <w:rsid w:val="00BE054B"/>
    <w:rsid w:val="00BE1C67"/>
    <w:rsid w:val="00BE1F11"/>
    <w:rsid w:val="00BE2E69"/>
    <w:rsid w:val="00BE4C48"/>
    <w:rsid w:val="00BE61C1"/>
    <w:rsid w:val="00BE64AF"/>
    <w:rsid w:val="00BE6717"/>
    <w:rsid w:val="00BE7C45"/>
    <w:rsid w:val="00BF0381"/>
    <w:rsid w:val="00BF24F6"/>
    <w:rsid w:val="00BF446E"/>
    <w:rsid w:val="00BF53DB"/>
    <w:rsid w:val="00BF6E7B"/>
    <w:rsid w:val="00BF78E4"/>
    <w:rsid w:val="00C01021"/>
    <w:rsid w:val="00C0141F"/>
    <w:rsid w:val="00C015AE"/>
    <w:rsid w:val="00C048AF"/>
    <w:rsid w:val="00C077E0"/>
    <w:rsid w:val="00C07DE6"/>
    <w:rsid w:val="00C10B25"/>
    <w:rsid w:val="00C10CDE"/>
    <w:rsid w:val="00C10F17"/>
    <w:rsid w:val="00C1202D"/>
    <w:rsid w:val="00C13950"/>
    <w:rsid w:val="00C14077"/>
    <w:rsid w:val="00C145C5"/>
    <w:rsid w:val="00C154B5"/>
    <w:rsid w:val="00C17872"/>
    <w:rsid w:val="00C2013B"/>
    <w:rsid w:val="00C205E9"/>
    <w:rsid w:val="00C212FC"/>
    <w:rsid w:val="00C21922"/>
    <w:rsid w:val="00C233A2"/>
    <w:rsid w:val="00C23F48"/>
    <w:rsid w:val="00C24673"/>
    <w:rsid w:val="00C25873"/>
    <w:rsid w:val="00C262BD"/>
    <w:rsid w:val="00C30E04"/>
    <w:rsid w:val="00C310C2"/>
    <w:rsid w:val="00C36525"/>
    <w:rsid w:val="00C36FAA"/>
    <w:rsid w:val="00C37008"/>
    <w:rsid w:val="00C40974"/>
    <w:rsid w:val="00C40EB3"/>
    <w:rsid w:val="00C41BD9"/>
    <w:rsid w:val="00C41D8A"/>
    <w:rsid w:val="00C434FD"/>
    <w:rsid w:val="00C4350E"/>
    <w:rsid w:val="00C43939"/>
    <w:rsid w:val="00C44355"/>
    <w:rsid w:val="00C4484F"/>
    <w:rsid w:val="00C46A6C"/>
    <w:rsid w:val="00C47AC7"/>
    <w:rsid w:val="00C50943"/>
    <w:rsid w:val="00C50D42"/>
    <w:rsid w:val="00C512B5"/>
    <w:rsid w:val="00C5192E"/>
    <w:rsid w:val="00C52DE6"/>
    <w:rsid w:val="00C5628A"/>
    <w:rsid w:val="00C6016B"/>
    <w:rsid w:val="00C604DA"/>
    <w:rsid w:val="00C626C9"/>
    <w:rsid w:val="00C634A7"/>
    <w:rsid w:val="00C638D7"/>
    <w:rsid w:val="00C638DF"/>
    <w:rsid w:val="00C64720"/>
    <w:rsid w:val="00C6517F"/>
    <w:rsid w:val="00C6750E"/>
    <w:rsid w:val="00C67702"/>
    <w:rsid w:val="00C67BA6"/>
    <w:rsid w:val="00C7024C"/>
    <w:rsid w:val="00C70DA3"/>
    <w:rsid w:val="00C71920"/>
    <w:rsid w:val="00C71A23"/>
    <w:rsid w:val="00C72A63"/>
    <w:rsid w:val="00C72BC6"/>
    <w:rsid w:val="00C737DA"/>
    <w:rsid w:val="00C73ECB"/>
    <w:rsid w:val="00C74B0E"/>
    <w:rsid w:val="00C76F6A"/>
    <w:rsid w:val="00C77A70"/>
    <w:rsid w:val="00C8029D"/>
    <w:rsid w:val="00C80AE4"/>
    <w:rsid w:val="00C8277D"/>
    <w:rsid w:val="00C82908"/>
    <w:rsid w:val="00C8473D"/>
    <w:rsid w:val="00C84A38"/>
    <w:rsid w:val="00C857F1"/>
    <w:rsid w:val="00C871C4"/>
    <w:rsid w:val="00C910BD"/>
    <w:rsid w:val="00C92880"/>
    <w:rsid w:val="00C9351F"/>
    <w:rsid w:val="00C95D03"/>
    <w:rsid w:val="00C97301"/>
    <w:rsid w:val="00C97687"/>
    <w:rsid w:val="00CA055F"/>
    <w:rsid w:val="00CA09BF"/>
    <w:rsid w:val="00CA0D96"/>
    <w:rsid w:val="00CA1130"/>
    <w:rsid w:val="00CA415F"/>
    <w:rsid w:val="00CA529D"/>
    <w:rsid w:val="00CA5EA7"/>
    <w:rsid w:val="00CB026C"/>
    <w:rsid w:val="00CB0E2E"/>
    <w:rsid w:val="00CB15A5"/>
    <w:rsid w:val="00CB2C14"/>
    <w:rsid w:val="00CB43BD"/>
    <w:rsid w:val="00CB5A49"/>
    <w:rsid w:val="00CB5C15"/>
    <w:rsid w:val="00CB6544"/>
    <w:rsid w:val="00CB678B"/>
    <w:rsid w:val="00CB7504"/>
    <w:rsid w:val="00CC0E80"/>
    <w:rsid w:val="00CC1228"/>
    <w:rsid w:val="00CC1492"/>
    <w:rsid w:val="00CC1A21"/>
    <w:rsid w:val="00CC66DE"/>
    <w:rsid w:val="00CC7131"/>
    <w:rsid w:val="00CC7C0C"/>
    <w:rsid w:val="00CD1218"/>
    <w:rsid w:val="00CD4C52"/>
    <w:rsid w:val="00CD5694"/>
    <w:rsid w:val="00CD75E3"/>
    <w:rsid w:val="00CD7E26"/>
    <w:rsid w:val="00CE2627"/>
    <w:rsid w:val="00CE2AAE"/>
    <w:rsid w:val="00CE2EB2"/>
    <w:rsid w:val="00CE4868"/>
    <w:rsid w:val="00CE525D"/>
    <w:rsid w:val="00CE5C99"/>
    <w:rsid w:val="00CE5DE7"/>
    <w:rsid w:val="00CF23EE"/>
    <w:rsid w:val="00CF2422"/>
    <w:rsid w:val="00CF41D3"/>
    <w:rsid w:val="00CF5401"/>
    <w:rsid w:val="00CF6A6C"/>
    <w:rsid w:val="00D00CB0"/>
    <w:rsid w:val="00D0281E"/>
    <w:rsid w:val="00D06313"/>
    <w:rsid w:val="00D11357"/>
    <w:rsid w:val="00D126F7"/>
    <w:rsid w:val="00D129F5"/>
    <w:rsid w:val="00D12ED9"/>
    <w:rsid w:val="00D141DD"/>
    <w:rsid w:val="00D14508"/>
    <w:rsid w:val="00D1494A"/>
    <w:rsid w:val="00D14BDB"/>
    <w:rsid w:val="00D15E92"/>
    <w:rsid w:val="00D169DE"/>
    <w:rsid w:val="00D21887"/>
    <w:rsid w:val="00D25DC2"/>
    <w:rsid w:val="00D266DE"/>
    <w:rsid w:val="00D31689"/>
    <w:rsid w:val="00D31C2B"/>
    <w:rsid w:val="00D31C6C"/>
    <w:rsid w:val="00D31D9B"/>
    <w:rsid w:val="00D3222D"/>
    <w:rsid w:val="00D325D3"/>
    <w:rsid w:val="00D355E8"/>
    <w:rsid w:val="00D360EF"/>
    <w:rsid w:val="00D360F5"/>
    <w:rsid w:val="00D37810"/>
    <w:rsid w:val="00D42A47"/>
    <w:rsid w:val="00D43DD6"/>
    <w:rsid w:val="00D454EC"/>
    <w:rsid w:val="00D45A88"/>
    <w:rsid w:val="00D47A59"/>
    <w:rsid w:val="00D517AF"/>
    <w:rsid w:val="00D51C2C"/>
    <w:rsid w:val="00D53B03"/>
    <w:rsid w:val="00D55A36"/>
    <w:rsid w:val="00D5689A"/>
    <w:rsid w:val="00D57072"/>
    <w:rsid w:val="00D61249"/>
    <w:rsid w:val="00D61AE5"/>
    <w:rsid w:val="00D63265"/>
    <w:rsid w:val="00D63F8C"/>
    <w:rsid w:val="00D64636"/>
    <w:rsid w:val="00D668E4"/>
    <w:rsid w:val="00D67466"/>
    <w:rsid w:val="00D67774"/>
    <w:rsid w:val="00D7047B"/>
    <w:rsid w:val="00D70735"/>
    <w:rsid w:val="00D71816"/>
    <w:rsid w:val="00D729A9"/>
    <w:rsid w:val="00D741F4"/>
    <w:rsid w:val="00D74FEC"/>
    <w:rsid w:val="00D75505"/>
    <w:rsid w:val="00D7567C"/>
    <w:rsid w:val="00D76695"/>
    <w:rsid w:val="00D77DAB"/>
    <w:rsid w:val="00D80998"/>
    <w:rsid w:val="00D815BA"/>
    <w:rsid w:val="00D8228F"/>
    <w:rsid w:val="00D83CB1"/>
    <w:rsid w:val="00D85FE8"/>
    <w:rsid w:val="00D86241"/>
    <w:rsid w:val="00D862DA"/>
    <w:rsid w:val="00D8640C"/>
    <w:rsid w:val="00D86456"/>
    <w:rsid w:val="00D870BD"/>
    <w:rsid w:val="00D8723D"/>
    <w:rsid w:val="00D90ED8"/>
    <w:rsid w:val="00D936C9"/>
    <w:rsid w:val="00D974D9"/>
    <w:rsid w:val="00D97ACC"/>
    <w:rsid w:val="00D97C59"/>
    <w:rsid w:val="00DA25A5"/>
    <w:rsid w:val="00DA34CE"/>
    <w:rsid w:val="00DA3D7B"/>
    <w:rsid w:val="00DA3F31"/>
    <w:rsid w:val="00DA5AEF"/>
    <w:rsid w:val="00DA6337"/>
    <w:rsid w:val="00DA6721"/>
    <w:rsid w:val="00DA6C6D"/>
    <w:rsid w:val="00DA7189"/>
    <w:rsid w:val="00DA7370"/>
    <w:rsid w:val="00DA7952"/>
    <w:rsid w:val="00DB1190"/>
    <w:rsid w:val="00DB152A"/>
    <w:rsid w:val="00DB4594"/>
    <w:rsid w:val="00DB4AA3"/>
    <w:rsid w:val="00DB68FF"/>
    <w:rsid w:val="00DB6A70"/>
    <w:rsid w:val="00DB6F41"/>
    <w:rsid w:val="00DB7230"/>
    <w:rsid w:val="00DC0AC1"/>
    <w:rsid w:val="00DC32BA"/>
    <w:rsid w:val="00DC5FD8"/>
    <w:rsid w:val="00DD0451"/>
    <w:rsid w:val="00DD5389"/>
    <w:rsid w:val="00DD6518"/>
    <w:rsid w:val="00DD6537"/>
    <w:rsid w:val="00DD6667"/>
    <w:rsid w:val="00DD74A2"/>
    <w:rsid w:val="00DE036C"/>
    <w:rsid w:val="00DE1233"/>
    <w:rsid w:val="00DE19C7"/>
    <w:rsid w:val="00DE1E57"/>
    <w:rsid w:val="00DE383B"/>
    <w:rsid w:val="00DE49BE"/>
    <w:rsid w:val="00DE6576"/>
    <w:rsid w:val="00DF3370"/>
    <w:rsid w:val="00DF4614"/>
    <w:rsid w:val="00DF5470"/>
    <w:rsid w:val="00DF58C5"/>
    <w:rsid w:val="00DF6D10"/>
    <w:rsid w:val="00DF7B25"/>
    <w:rsid w:val="00E00845"/>
    <w:rsid w:val="00E00B67"/>
    <w:rsid w:val="00E00F1A"/>
    <w:rsid w:val="00E025A7"/>
    <w:rsid w:val="00E04840"/>
    <w:rsid w:val="00E05741"/>
    <w:rsid w:val="00E06383"/>
    <w:rsid w:val="00E10574"/>
    <w:rsid w:val="00E1107B"/>
    <w:rsid w:val="00E135A1"/>
    <w:rsid w:val="00E1496E"/>
    <w:rsid w:val="00E15F05"/>
    <w:rsid w:val="00E16EF1"/>
    <w:rsid w:val="00E17151"/>
    <w:rsid w:val="00E177A0"/>
    <w:rsid w:val="00E17F63"/>
    <w:rsid w:val="00E22AB7"/>
    <w:rsid w:val="00E248D7"/>
    <w:rsid w:val="00E2662C"/>
    <w:rsid w:val="00E268EE"/>
    <w:rsid w:val="00E30059"/>
    <w:rsid w:val="00E301C2"/>
    <w:rsid w:val="00E31120"/>
    <w:rsid w:val="00E31417"/>
    <w:rsid w:val="00E31641"/>
    <w:rsid w:val="00E32A55"/>
    <w:rsid w:val="00E359C0"/>
    <w:rsid w:val="00E368C3"/>
    <w:rsid w:val="00E3764A"/>
    <w:rsid w:val="00E40188"/>
    <w:rsid w:val="00E40F68"/>
    <w:rsid w:val="00E43C06"/>
    <w:rsid w:val="00E44347"/>
    <w:rsid w:val="00E449B1"/>
    <w:rsid w:val="00E455B6"/>
    <w:rsid w:val="00E46D99"/>
    <w:rsid w:val="00E47B31"/>
    <w:rsid w:val="00E501F7"/>
    <w:rsid w:val="00E5082D"/>
    <w:rsid w:val="00E52CF5"/>
    <w:rsid w:val="00E54008"/>
    <w:rsid w:val="00E56D3B"/>
    <w:rsid w:val="00E574A9"/>
    <w:rsid w:val="00E612C6"/>
    <w:rsid w:val="00E61355"/>
    <w:rsid w:val="00E613BC"/>
    <w:rsid w:val="00E61F1E"/>
    <w:rsid w:val="00E6458D"/>
    <w:rsid w:val="00E65FA4"/>
    <w:rsid w:val="00E66861"/>
    <w:rsid w:val="00E66E21"/>
    <w:rsid w:val="00E67063"/>
    <w:rsid w:val="00E67081"/>
    <w:rsid w:val="00E70F38"/>
    <w:rsid w:val="00E710FC"/>
    <w:rsid w:val="00E71915"/>
    <w:rsid w:val="00E7379A"/>
    <w:rsid w:val="00E75579"/>
    <w:rsid w:val="00E759B9"/>
    <w:rsid w:val="00E807C8"/>
    <w:rsid w:val="00E80916"/>
    <w:rsid w:val="00E83456"/>
    <w:rsid w:val="00E83F15"/>
    <w:rsid w:val="00E840DF"/>
    <w:rsid w:val="00E8452A"/>
    <w:rsid w:val="00E8560F"/>
    <w:rsid w:val="00E8780A"/>
    <w:rsid w:val="00E910AA"/>
    <w:rsid w:val="00E92226"/>
    <w:rsid w:val="00E9333A"/>
    <w:rsid w:val="00E957FC"/>
    <w:rsid w:val="00E96DE2"/>
    <w:rsid w:val="00E975FA"/>
    <w:rsid w:val="00E976B9"/>
    <w:rsid w:val="00EA0289"/>
    <w:rsid w:val="00EA3AED"/>
    <w:rsid w:val="00EA7ED2"/>
    <w:rsid w:val="00EB0ED0"/>
    <w:rsid w:val="00EB11D1"/>
    <w:rsid w:val="00EB181B"/>
    <w:rsid w:val="00EB1CA4"/>
    <w:rsid w:val="00EB266E"/>
    <w:rsid w:val="00EB2DEA"/>
    <w:rsid w:val="00EB69BB"/>
    <w:rsid w:val="00EB75A4"/>
    <w:rsid w:val="00EC341C"/>
    <w:rsid w:val="00EC3BAB"/>
    <w:rsid w:val="00EC5403"/>
    <w:rsid w:val="00ED1657"/>
    <w:rsid w:val="00ED5637"/>
    <w:rsid w:val="00ED6618"/>
    <w:rsid w:val="00ED6B7D"/>
    <w:rsid w:val="00EE116E"/>
    <w:rsid w:val="00EE1805"/>
    <w:rsid w:val="00EE5403"/>
    <w:rsid w:val="00EE57E9"/>
    <w:rsid w:val="00EE5869"/>
    <w:rsid w:val="00EE71C9"/>
    <w:rsid w:val="00EF23CA"/>
    <w:rsid w:val="00EF33E2"/>
    <w:rsid w:val="00EF3500"/>
    <w:rsid w:val="00EF352D"/>
    <w:rsid w:val="00EF3B5F"/>
    <w:rsid w:val="00EF3FDC"/>
    <w:rsid w:val="00EF44F6"/>
    <w:rsid w:val="00EF4AEE"/>
    <w:rsid w:val="00EF6E41"/>
    <w:rsid w:val="00F00546"/>
    <w:rsid w:val="00F00A8C"/>
    <w:rsid w:val="00F01C9F"/>
    <w:rsid w:val="00F03A99"/>
    <w:rsid w:val="00F03BF4"/>
    <w:rsid w:val="00F03F3B"/>
    <w:rsid w:val="00F04BAD"/>
    <w:rsid w:val="00F07468"/>
    <w:rsid w:val="00F0762C"/>
    <w:rsid w:val="00F1038A"/>
    <w:rsid w:val="00F11040"/>
    <w:rsid w:val="00F11DDC"/>
    <w:rsid w:val="00F1302B"/>
    <w:rsid w:val="00F13E7C"/>
    <w:rsid w:val="00F13F76"/>
    <w:rsid w:val="00F14748"/>
    <w:rsid w:val="00F153C1"/>
    <w:rsid w:val="00F1636B"/>
    <w:rsid w:val="00F203C0"/>
    <w:rsid w:val="00F2176B"/>
    <w:rsid w:val="00F217E8"/>
    <w:rsid w:val="00F21C35"/>
    <w:rsid w:val="00F22D82"/>
    <w:rsid w:val="00F22FE8"/>
    <w:rsid w:val="00F23A8E"/>
    <w:rsid w:val="00F26744"/>
    <w:rsid w:val="00F26D40"/>
    <w:rsid w:val="00F278D8"/>
    <w:rsid w:val="00F340B6"/>
    <w:rsid w:val="00F35FD5"/>
    <w:rsid w:val="00F361B7"/>
    <w:rsid w:val="00F4015E"/>
    <w:rsid w:val="00F40BAE"/>
    <w:rsid w:val="00F4595B"/>
    <w:rsid w:val="00F466B2"/>
    <w:rsid w:val="00F479B8"/>
    <w:rsid w:val="00F50215"/>
    <w:rsid w:val="00F52E84"/>
    <w:rsid w:val="00F52F93"/>
    <w:rsid w:val="00F531ED"/>
    <w:rsid w:val="00F54608"/>
    <w:rsid w:val="00F54AF5"/>
    <w:rsid w:val="00F552F2"/>
    <w:rsid w:val="00F55E52"/>
    <w:rsid w:val="00F561FA"/>
    <w:rsid w:val="00F57EF0"/>
    <w:rsid w:val="00F62347"/>
    <w:rsid w:val="00F627E2"/>
    <w:rsid w:val="00F66DFC"/>
    <w:rsid w:val="00F71520"/>
    <w:rsid w:val="00F71672"/>
    <w:rsid w:val="00F74D07"/>
    <w:rsid w:val="00F757C6"/>
    <w:rsid w:val="00F7590F"/>
    <w:rsid w:val="00F75FE2"/>
    <w:rsid w:val="00F76F64"/>
    <w:rsid w:val="00F772CC"/>
    <w:rsid w:val="00F81118"/>
    <w:rsid w:val="00F8569E"/>
    <w:rsid w:val="00F85A14"/>
    <w:rsid w:val="00F87FBE"/>
    <w:rsid w:val="00F90D0D"/>
    <w:rsid w:val="00F90EB0"/>
    <w:rsid w:val="00F913C6"/>
    <w:rsid w:val="00F916AD"/>
    <w:rsid w:val="00F932A7"/>
    <w:rsid w:val="00F9341D"/>
    <w:rsid w:val="00F946F7"/>
    <w:rsid w:val="00F94864"/>
    <w:rsid w:val="00F94BA5"/>
    <w:rsid w:val="00F95BDD"/>
    <w:rsid w:val="00FA02EE"/>
    <w:rsid w:val="00FA177F"/>
    <w:rsid w:val="00FA33A6"/>
    <w:rsid w:val="00FA3737"/>
    <w:rsid w:val="00FA4E72"/>
    <w:rsid w:val="00FA7B80"/>
    <w:rsid w:val="00FB0466"/>
    <w:rsid w:val="00FB0599"/>
    <w:rsid w:val="00FB0B18"/>
    <w:rsid w:val="00FB18EA"/>
    <w:rsid w:val="00FB2ACA"/>
    <w:rsid w:val="00FB343A"/>
    <w:rsid w:val="00FB673E"/>
    <w:rsid w:val="00FB753B"/>
    <w:rsid w:val="00FC0B2D"/>
    <w:rsid w:val="00FC3D57"/>
    <w:rsid w:val="00FC3EB4"/>
    <w:rsid w:val="00FC51B8"/>
    <w:rsid w:val="00FC52EE"/>
    <w:rsid w:val="00FC5999"/>
    <w:rsid w:val="00FC5FD1"/>
    <w:rsid w:val="00FC68F8"/>
    <w:rsid w:val="00FC6C2D"/>
    <w:rsid w:val="00FC6DCD"/>
    <w:rsid w:val="00FD16AB"/>
    <w:rsid w:val="00FD2461"/>
    <w:rsid w:val="00FD2C2D"/>
    <w:rsid w:val="00FD2E3A"/>
    <w:rsid w:val="00FD38DC"/>
    <w:rsid w:val="00FD4C7A"/>
    <w:rsid w:val="00FD5D4F"/>
    <w:rsid w:val="00FD6457"/>
    <w:rsid w:val="00FD755E"/>
    <w:rsid w:val="00FD76D1"/>
    <w:rsid w:val="00FD7CD3"/>
    <w:rsid w:val="00FE0BA1"/>
    <w:rsid w:val="00FE0E51"/>
    <w:rsid w:val="00FE2404"/>
    <w:rsid w:val="00FE278A"/>
    <w:rsid w:val="00FE410C"/>
    <w:rsid w:val="00FE44C5"/>
    <w:rsid w:val="00FE49D1"/>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F757C6"/>
  </w:style>
  <w:style w:type="paragraph" w:styleId="Revision">
    <w:name w:val="Revision"/>
    <w:hidden/>
    <w:uiPriority w:val="99"/>
    <w:semiHidden/>
    <w:rsid w:val="00E52CF5"/>
  </w:style>
  <w:style w:type="character" w:styleId="CommentReference">
    <w:name w:val="annotation reference"/>
    <w:basedOn w:val="DefaultParagraphFont"/>
    <w:uiPriority w:val="99"/>
    <w:semiHidden/>
    <w:unhideWhenUsed/>
    <w:locked/>
    <w:rsid w:val="00E52CF5"/>
    <w:rPr>
      <w:sz w:val="16"/>
      <w:szCs w:val="16"/>
    </w:rPr>
  </w:style>
  <w:style w:type="paragraph" w:styleId="CommentText">
    <w:name w:val="annotation text"/>
    <w:basedOn w:val="Normal"/>
    <w:link w:val="CommentTextChar"/>
    <w:uiPriority w:val="99"/>
    <w:unhideWhenUsed/>
    <w:locked/>
    <w:rsid w:val="00E52CF5"/>
    <w:pPr>
      <w:spacing w:line="240" w:lineRule="auto"/>
    </w:pPr>
    <w:rPr>
      <w:sz w:val="20"/>
      <w:szCs w:val="20"/>
    </w:rPr>
  </w:style>
  <w:style w:type="character" w:customStyle="1" w:styleId="CommentTextChar">
    <w:name w:val="Comment Text Char"/>
    <w:basedOn w:val="DefaultParagraphFont"/>
    <w:link w:val="CommentText"/>
    <w:uiPriority w:val="99"/>
    <w:rsid w:val="00E52CF5"/>
    <w:rPr>
      <w:sz w:val="20"/>
      <w:szCs w:val="20"/>
    </w:rPr>
  </w:style>
  <w:style w:type="paragraph" w:styleId="CommentSubject">
    <w:name w:val="annotation subject"/>
    <w:basedOn w:val="CommentText"/>
    <w:next w:val="CommentText"/>
    <w:link w:val="CommentSubjectChar"/>
    <w:uiPriority w:val="99"/>
    <w:semiHidden/>
    <w:unhideWhenUsed/>
    <w:locked/>
    <w:rsid w:val="00E52CF5"/>
    <w:rPr>
      <w:b/>
      <w:bCs/>
    </w:rPr>
  </w:style>
  <w:style w:type="character" w:customStyle="1" w:styleId="CommentSubjectChar">
    <w:name w:val="Comment Subject Char"/>
    <w:basedOn w:val="CommentTextChar"/>
    <w:link w:val="CommentSubject"/>
    <w:uiPriority w:val="99"/>
    <w:semiHidden/>
    <w:rsid w:val="00E52CF5"/>
    <w:rPr>
      <w:b/>
      <w:bCs/>
      <w:sz w:val="20"/>
      <w:szCs w:val="20"/>
    </w:rPr>
  </w:style>
  <w:style w:type="paragraph" w:customStyle="1" w:styleId="Body">
    <w:name w:val="Body"/>
    <w:basedOn w:val="Normal"/>
    <w:qFormat/>
    <w:rsid w:val="00AC4E0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C4E0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C4E0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C4E0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C4E0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C4E05"/>
    <w:pPr>
      <w:jc w:val="center"/>
    </w:pPr>
    <w:rPr>
      <w:rFonts w:ascii="Times New Roman" w:hAnsi="Times New Roman"/>
      <w:bCs/>
      <w:szCs w:val="20"/>
      <w:lang w:val="en-GB"/>
    </w:rPr>
  </w:style>
  <w:style w:type="paragraph" w:customStyle="1" w:styleId="Default">
    <w:name w:val="Default"/>
    <w:rsid w:val="00E6708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57905-D950-441A-BC90-C8CECC48E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13</Pages>
  <Words>2821</Words>
  <Characters>14445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2024-11-29T05:53:00Z</dcterms:created>
  <dcterms:modified xsi:type="dcterms:W3CDTF">2024-11-29T05:55:00Z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