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B67D" w14:textId="77777777" w:rsidR="005F2362" w:rsidRPr="00704FF8" w:rsidRDefault="005F2362" w:rsidP="00704FF8">
      <w:pPr>
        <w:pStyle w:val="OrdersTopLine"/>
      </w:pPr>
      <w:r w:rsidRPr="00704FF8">
        <w:t>HIGH COURT OF AUSTRALIA</w:t>
      </w:r>
    </w:p>
    <w:p w14:paraId="3F33B5CC" w14:textId="77777777" w:rsidR="005F2362" w:rsidRPr="00704FF8" w:rsidRDefault="005F2362" w:rsidP="00704FF8">
      <w:pPr>
        <w:pStyle w:val="OrderCentre"/>
      </w:pPr>
    </w:p>
    <w:p w14:paraId="3DD22B86" w14:textId="77777777" w:rsidR="005F2362" w:rsidRPr="00C46004" w:rsidRDefault="005F2362" w:rsidP="00704FF8">
      <w:pPr>
        <w:pStyle w:val="OrderCentre"/>
        <w:rPr>
          <w:spacing w:val="-4"/>
          <w:sz w:val="24"/>
          <w:szCs w:val="24"/>
        </w:rPr>
      </w:pPr>
      <w:r w:rsidRPr="00C46004">
        <w:rPr>
          <w:spacing w:val="-4"/>
          <w:sz w:val="24"/>
          <w:szCs w:val="24"/>
        </w:rPr>
        <w:t>GAGELER CJ,</w:t>
      </w:r>
    </w:p>
    <w:p w14:paraId="42DC9A68" w14:textId="77777777" w:rsidR="005F2362" w:rsidRPr="00704FF8" w:rsidRDefault="005F2362" w:rsidP="00704FF8">
      <w:pPr>
        <w:pStyle w:val="OrderCentre"/>
      </w:pPr>
      <w:r w:rsidRPr="00C46004">
        <w:rPr>
          <w:spacing w:val="-4"/>
          <w:sz w:val="24"/>
          <w:szCs w:val="24"/>
        </w:rPr>
        <w:t>GORDON, EDELMAN, JAGOT AND BEECH</w:t>
      </w:r>
      <w:r w:rsidRPr="00C46004">
        <w:rPr>
          <w:spacing w:val="-4"/>
          <w:sz w:val="24"/>
          <w:szCs w:val="24"/>
        </w:rPr>
        <w:noBreakHyphen/>
        <w:t>JONES JJ</w:t>
      </w:r>
    </w:p>
    <w:p w14:paraId="241C62BF" w14:textId="77777777" w:rsidR="005F2362" w:rsidRPr="00427F3A" w:rsidRDefault="005F2362" w:rsidP="00EE5374">
      <w:pPr>
        <w:pStyle w:val="Centre"/>
        <w:rPr>
          <w:lang w:val="en-AU"/>
        </w:rPr>
      </w:pPr>
    </w:p>
    <w:p w14:paraId="7005007E" w14:textId="77777777" w:rsidR="005F2362" w:rsidRPr="00704FF8" w:rsidRDefault="005F2362" w:rsidP="00704FF8">
      <w:pPr>
        <w:pStyle w:val="OrdersCenteredBorder"/>
      </w:pPr>
    </w:p>
    <w:p w14:paraId="0AF0CA14" w14:textId="77777777" w:rsidR="005F2362" w:rsidRPr="00704FF8" w:rsidRDefault="005F2362" w:rsidP="0032341F">
      <w:pPr>
        <w:pStyle w:val="OrdersBodyHeading"/>
      </w:pPr>
    </w:p>
    <w:p w14:paraId="52850EBF" w14:textId="77777777" w:rsidR="005F2362" w:rsidRPr="0032341F" w:rsidRDefault="005F2362" w:rsidP="009362E8">
      <w:pPr>
        <w:pStyle w:val="OrdersPartyName"/>
        <w:ind w:right="-1"/>
      </w:pPr>
      <w:r w:rsidRPr="00036224">
        <w:t>THE KING</w:t>
      </w:r>
      <w:r w:rsidRPr="0032341F">
        <w:tab/>
        <w:t>APPELLANT</w:t>
      </w:r>
    </w:p>
    <w:p w14:paraId="5593990A" w14:textId="77777777" w:rsidR="005F2362" w:rsidRPr="0032341F" w:rsidRDefault="005F2362" w:rsidP="009362E8">
      <w:pPr>
        <w:pStyle w:val="OrdersPartyName"/>
        <w:ind w:right="-1"/>
      </w:pPr>
    </w:p>
    <w:p w14:paraId="1A6304CE" w14:textId="77777777" w:rsidR="005F2362" w:rsidRPr="0032341F" w:rsidRDefault="005F2362" w:rsidP="009362E8">
      <w:pPr>
        <w:pStyle w:val="OrdersPartyName"/>
        <w:ind w:right="-1"/>
      </w:pPr>
      <w:r w:rsidRPr="0032341F">
        <w:t>AND</w:t>
      </w:r>
    </w:p>
    <w:p w14:paraId="63BC0317" w14:textId="77777777" w:rsidR="005F2362" w:rsidRPr="0032341F" w:rsidRDefault="005F2362" w:rsidP="009362E8">
      <w:pPr>
        <w:pStyle w:val="OrdersPartyName"/>
        <w:ind w:right="-1"/>
      </w:pPr>
    </w:p>
    <w:p w14:paraId="3ECF624C" w14:textId="77777777" w:rsidR="005F2362" w:rsidRPr="0032341F" w:rsidRDefault="005F2362" w:rsidP="009362E8">
      <w:pPr>
        <w:pStyle w:val="OrdersPartyName"/>
        <w:ind w:right="-1"/>
      </w:pPr>
      <w:r w:rsidRPr="00036224">
        <w:t>ANNA ROWAN – A PSEUDONYM</w:t>
      </w:r>
      <w:r w:rsidRPr="0032341F">
        <w:tab/>
        <w:t>RESPONDENT</w:t>
      </w:r>
    </w:p>
    <w:p w14:paraId="34FAC864" w14:textId="77777777" w:rsidR="005F2362" w:rsidRPr="00427F3A" w:rsidRDefault="005F2362" w:rsidP="00AF0A5E">
      <w:pPr>
        <w:pStyle w:val="BodyHeading"/>
      </w:pPr>
    </w:p>
    <w:p w14:paraId="13E66272" w14:textId="77777777" w:rsidR="005F2362" w:rsidRPr="00427F3A" w:rsidRDefault="005F2362" w:rsidP="00BE0A6C">
      <w:pPr>
        <w:pStyle w:val="BodyHeading"/>
      </w:pPr>
    </w:p>
    <w:p w14:paraId="085B7926" w14:textId="77777777" w:rsidR="005F2362" w:rsidRPr="00427F3A" w:rsidRDefault="005F2362" w:rsidP="00EE5374">
      <w:pPr>
        <w:pStyle w:val="CentreItalics"/>
      </w:pPr>
      <w:r w:rsidRPr="00036224">
        <w:t>The King v Anna Rowan – A Pseudonym</w:t>
      </w:r>
    </w:p>
    <w:p w14:paraId="38435017" w14:textId="77777777" w:rsidR="005F2362" w:rsidRPr="00427F3A" w:rsidRDefault="005F2362" w:rsidP="00E90E4F">
      <w:pPr>
        <w:pStyle w:val="OrdersCentre"/>
      </w:pPr>
      <w:r>
        <w:t>[2024</w:t>
      </w:r>
      <w:r w:rsidRPr="00427F3A">
        <w:t xml:space="preserve">] HCA </w:t>
      </w:r>
      <w:r>
        <w:t>9</w:t>
      </w:r>
    </w:p>
    <w:p w14:paraId="09645F6C" w14:textId="77777777" w:rsidR="005F2362" w:rsidRDefault="005F2362" w:rsidP="00E90E4F">
      <w:pPr>
        <w:pStyle w:val="OrdersCentreItalics"/>
      </w:pPr>
      <w:r>
        <w:t xml:space="preserve">Date of Hearing: </w:t>
      </w:r>
      <w:r w:rsidRPr="00036224">
        <w:t>14 November 2023</w:t>
      </w:r>
    </w:p>
    <w:p w14:paraId="6AAD5646" w14:textId="77777777" w:rsidR="005F2362" w:rsidRPr="00427F3A" w:rsidRDefault="005F2362" w:rsidP="00E90E4F">
      <w:pPr>
        <w:pStyle w:val="OrdersCentreItalics"/>
      </w:pPr>
      <w:r>
        <w:t>Date of Judgment: 13 March 2024</w:t>
      </w:r>
    </w:p>
    <w:p w14:paraId="16D3A36F" w14:textId="77777777" w:rsidR="005F2362" w:rsidRDefault="005F2362" w:rsidP="00E90E4F">
      <w:pPr>
        <w:pStyle w:val="OrdersCentre"/>
      </w:pPr>
      <w:r w:rsidRPr="00036224">
        <w:t>M47/2023</w:t>
      </w:r>
    </w:p>
    <w:p w14:paraId="5031914C" w14:textId="77777777" w:rsidR="005F2362" w:rsidRPr="00427F3A" w:rsidRDefault="005F2362" w:rsidP="00E90E4F">
      <w:pPr>
        <w:pStyle w:val="OrdersCentre"/>
      </w:pPr>
    </w:p>
    <w:p w14:paraId="189FDE63" w14:textId="77777777" w:rsidR="005F2362" w:rsidRPr="00BE0A6C" w:rsidRDefault="005F2362" w:rsidP="00E90E4F">
      <w:pPr>
        <w:pStyle w:val="OrderCentreBold"/>
      </w:pPr>
      <w:r w:rsidRPr="00BE0A6C">
        <w:t>ORDER</w:t>
      </w:r>
    </w:p>
    <w:p w14:paraId="48234445" w14:textId="77777777" w:rsidR="005F2362" w:rsidRPr="00427F3A" w:rsidRDefault="005F2362" w:rsidP="00736C52">
      <w:pPr>
        <w:pStyle w:val="Centre"/>
        <w:rPr>
          <w:lang w:val="en-AU"/>
        </w:rPr>
      </w:pPr>
    </w:p>
    <w:p w14:paraId="0BFEEFC6" w14:textId="77777777" w:rsidR="005F2362" w:rsidRPr="00932312" w:rsidRDefault="005F2362" w:rsidP="003979C9">
      <w:pPr>
        <w:pStyle w:val="OrdersText"/>
      </w:pPr>
      <w:r w:rsidRPr="00E50D6F">
        <w:t xml:space="preserve">Appeal </w:t>
      </w:r>
      <w:r>
        <w:t>dismissed</w:t>
      </w:r>
      <w:r w:rsidRPr="00E50D6F">
        <w:t>.</w:t>
      </w:r>
    </w:p>
    <w:p w14:paraId="4E413733" w14:textId="77777777" w:rsidR="005F2362" w:rsidRDefault="005F2362" w:rsidP="00EE5374">
      <w:pPr>
        <w:pStyle w:val="Body"/>
      </w:pPr>
    </w:p>
    <w:p w14:paraId="36EF892D" w14:textId="77777777" w:rsidR="005F2362" w:rsidRPr="00427F3A" w:rsidRDefault="005F2362" w:rsidP="00EE5374">
      <w:pPr>
        <w:pStyle w:val="Body"/>
      </w:pPr>
    </w:p>
    <w:p w14:paraId="1E6E6189" w14:textId="77777777" w:rsidR="005F2362" w:rsidRPr="00427F3A" w:rsidRDefault="005F2362" w:rsidP="0032341F">
      <w:pPr>
        <w:pStyle w:val="OrdersBody"/>
      </w:pPr>
      <w:r w:rsidRPr="00427F3A">
        <w:t xml:space="preserve">On appeal from the </w:t>
      </w:r>
      <w:r w:rsidRPr="00036224">
        <w:t>Supreme Court of Victoria</w:t>
      </w:r>
    </w:p>
    <w:p w14:paraId="0BA0849D" w14:textId="77777777" w:rsidR="005F2362" w:rsidRDefault="005F2362" w:rsidP="00EE5374">
      <w:pPr>
        <w:pStyle w:val="Body"/>
      </w:pPr>
    </w:p>
    <w:p w14:paraId="280C2539" w14:textId="77777777" w:rsidR="005F2362" w:rsidRPr="00427F3A" w:rsidRDefault="005F2362" w:rsidP="00EE5374">
      <w:pPr>
        <w:pStyle w:val="Body"/>
      </w:pPr>
    </w:p>
    <w:p w14:paraId="74FCB94C" w14:textId="77777777" w:rsidR="005F2362" w:rsidRPr="00427F3A" w:rsidRDefault="005F2362" w:rsidP="00E90E4F">
      <w:pPr>
        <w:pStyle w:val="OrdersBodyHeading"/>
      </w:pPr>
      <w:r w:rsidRPr="00427F3A">
        <w:t>Representation</w:t>
      </w:r>
    </w:p>
    <w:p w14:paraId="1E5D7E4A" w14:textId="77777777" w:rsidR="005F2362" w:rsidRDefault="005F2362" w:rsidP="00EE5374">
      <w:pPr>
        <w:pStyle w:val="Body"/>
      </w:pPr>
    </w:p>
    <w:p w14:paraId="03C2A318" w14:textId="77777777" w:rsidR="005F2362" w:rsidRPr="00036224" w:rsidRDefault="005F2362" w:rsidP="00E90E4F">
      <w:pPr>
        <w:pStyle w:val="OrdersBody"/>
      </w:pPr>
      <w:r w:rsidRPr="00036224">
        <w:t>C B Boyce KC with S C Clancy for the appellant (instructed by Solicitor for Public Prosecutions (Vic))</w:t>
      </w:r>
    </w:p>
    <w:p w14:paraId="5CF78AC3" w14:textId="77777777" w:rsidR="005F2362" w:rsidRPr="00036224" w:rsidRDefault="005F2362" w:rsidP="001B3C97">
      <w:pPr>
        <w:pStyle w:val="Body"/>
      </w:pPr>
    </w:p>
    <w:p w14:paraId="1F9339C7" w14:textId="77777777" w:rsidR="005F2362" w:rsidRPr="00036224" w:rsidRDefault="005F2362" w:rsidP="00E90E4F">
      <w:pPr>
        <w:pStyle w:val="OrdersBody"/>
      </w:pPr>
      <w:r w:rsidRPr="00036224">
        <w:t>P J Morrissey SC with C Mylonas for the respondent (instructed by Brown McComish Solicitors)</w:t>
      </w:r>
    </w:p>
    <w:p w14:paraId="6E1C4016" w14:textId="77777777" w:rsidR="005F2362" w:rsidRPr="00036224" w:rsidRDefault="005F2362" w:rsidP="00A01277">
      <w:pPr>
        <w:pStyle w:val="Body"/>
      </w:pPr>
    </w:p>
    <w:p w14:paraId="4CD3800E" w14:textId="77777777" w:rsidR="005F2362" w:rsidRDefault="005F2362" w:rsidP="00A01277">
      <w:pPr>
        <w:pStyle w:val="Body"/>
      </w:pPr>
    </w:p>
    <w:p w14:paraId="31234099" w14:textId="77777777" w:rsidR="005F2362" w:rsidRDefault="005F2362" w:rsidP="00A01277">
      <w:pPr>
        <w:pStyle w:val="Body"/>
      </w:pPr>
    </w:p>
    <w:p w14:paraId="68E480DC" w14:textId="77777777" w:rsidR="005F2362" w:rsidRPr="00427F3A" w:rsidRDefault="005F2362" w:rsidP="00EE5374">
      <w:pPr>
        <w:pStyle w:val="Body"/>
      </w:pPr>
    </w:p>
    <w:p w14:paraId="213067B8" w14:textId="77777777" w:rsidR="005F2362" w:rsidRPr="00427F3A" w:rsidRDefault="005F2362" w:rsidP="00F9713B">
      <w:pPr>
        <w:pStyle w:val="Notice"/>
        <w:rPr>
          <w:lang w:val="en-AU"/>
        </w:rPr>
      </w:pPr>
      <w:r w:rsidRPr="00427F3A">
        <w:rPr>
          <w:lang w:val="en-AU"/>
        </w:rPr>
        <w:t>Notice:  This copy of the Court's Reasons for Judgment is subject to formal revision prior to publication in the Commonwealth Law Reports.</w:t>
      </w:r>
    </w:p>
    <w:p w14:paraId="114A11B8" w14:textId="198E8366" w:rsidR="005F2362" w:rsidRDefault="005F236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55EB0B2" w14:textId="77777777" w:rsidR="0096139E" w:rsidRDefault="005F236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96139E" w:rsidSect="005F2362">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91F0C13" w14:textId="77777777" w:rsidR="0096139E" w:rsidRDefault="0096139E" w:rsidP="0096139E">
      <w:pPr>
        <w:pStyle w:val="CatchwordsBold"/>
      </w:pPr>
      <w:r w:rsidRPr="00B9489E">
        <w:lastRenderedPageBreak/>
        <w:t>CATCHWORDS</w:t>
      </w:r>
    </w:p>
    <w:p w14:paraId="671F1CFA" w14:textId="77777777" w:rsidR="0096139E" w:rsidRPr="00B9489E" w:rsidRDefault="0096139E" w:rsidP="0096139E">
      <w:pPr>
        <w:pStyle w:val="CatchwordsBold"/>
      </w:pPr>
    </w:p>
    <w:p w14:paraId="2FA78820" w14:textId="26F63BC5" w:rsidR="0096139E" w:rsidRPr="00B9489E" w:rsidRDefault="0096139E" w:rsidP="0096139E">
      <w:pPr>
        <w:pStyle w:val="CatchwordsBold"/>
      </w:pPr>
      <w:r>
        <w:t xml:space="preserve">The King v Anna Rowan </w:t>
      </w:r>
      <w:r w:rsidR="00302542">
        <w:t>–</w:t>
      </w:r>
      <w:r>
        <w:t xml:space="preserve"> A Pseudonym</w:t>
      </w:r>
    </w:p>
    <w:p w14:paraId="491DFD47" w14:textId="77777777" w:rsidR="0096139E" w:rsidRPr="00B9489E" w:rsidRDefault="0096139E" w:rsidP="0096139E">
      <w:pPr>
        <w:pStyle w:val="CatchwordsBold"/>
      </w:pPr>
    </w:p>
    <w:p w14:paraId="1E8A7BD7" w14:textId="1146199E" w:rsidR="0096139E" w:rsidRPr="0096139E" w:rsidRDefault="0096139E" w:rsidP="0096139E">
      <w:pPr>
        <w:pStyle w:val="CatchwordsText"/>
      </w:pPr>
      <w:r>
        <w:t xml:space="preserve">Criminal law – Defences – Defence of duress – Where respondent charged with sexual offences committed against two of her daughters in presence of respondent's partner "JR" – Where, prior to trial, respondent sought to raise defence of duress – Where supporting evidence on voir-dire included daughters' evidence, forensic psychologist's report and tendency evidence concerning JR's threatening, violent and controlling behaviour – Where trial judge ruled no factual basis for duress – Where trial proceeded without duress being put to jury and respondent convicted – Where Court of Appeal of Supreme Court of Victoria found duress should have been put to jury – Whether Court of Appeal implicitly adopted doctrine of "duress of circumstances" instead of requirement there be threat to inflict harm if accused failed to commit acts charged – Whether Court of Appeal erred in concluding evidence was sufficient to raise defence of duress at common law and under s 322O of </w:t>
      </w:r>
      <w:r>
        <w:rPr>
          <w:i/>
          <w:iCs/>
        </w:rPr>
        <w:t xml:space="preserve">Crimes Act 1958 </w:t>
      </w:r>
      <w:r>
        <w:t xml:space="preserve">(Vic). </w:t>
      </w:r>
    </w:p>
    <w:p w14:paraId="41BDA1ED" w14:textId="77777777" w:rsidR="0096139E" w:rsidRPr="0096139E" w:rsidRDefault="0096139E" w:rsidP="0096139E">
      <w:pPr>
        <w:pStyle w:val="CatchwordsText"/>
      </w:pPr>
    </w:p>
    <w:p w14:paraId="22F9CB21" w14:textId="77777777" w:rsidR="0096139E" w:rsidRPr="0096139E" w:rsidRDefault="0096139E" w:rsidP="0096139E">
      <w:pPr>
        <w:pStyle w:val="CatchwordsText"/>
      </w:pPr>
      <w:r w:rsidRPr="001A07C8">
        <w:t>Words and phrases</w:t>
      </w:r>
      <w:r w:rsidRPr="00B9489E">
        <w:t xml:space="preserve"> –</w:t>
      </w:r>
      <w:r>
        <w:t xml:space="preserve"> </w:t>
      </w:r>
      <w:r w:rsidRPr="00B9489E">
        <w:t>"</w:t>
      </w:r>
      <w:r>
        <w:t>defence of duress", "duress at common law", "duress of circumstances", "ongoing threat", "operative threat", "threat to inflict harm", "unstated demand".</w:t>
      </w:r>
    </w:p>
    <w:p w14:paraId="63F27625" w14:textId="77777777" w:rsidR="0096139E" w:rsidRPr="0096139E" w:rsidRDefault="0096139E" w:rsidP="0096139E">
      <w:pPr>
        <w:pStyle w:val="CatchwordsText"/>
      </w:pPr>
    </w:p>
    <w:p w14:paraId="67AB5C61" w14:textId="77777777" w:rsidR="0096139E" w:rsidRPr="0096139E" w:rsidRDefault="0096139E" w:rsidP="0096139E">
      <w:pPr>
        <w:pStyle w:val="CatchwordsText"/>
      </w:pPr>
      <w:r w:rsidRPr="0096139E">
        <w:rPr>
          <w:i/>
          <w:iCs/>
        </w:rPr>
        <w:t>Crimes Act 1958</w:t>
      </w:r>
      <w:r>
        <w:t xml:space="preserve"> </w:t>
      </w:r>
      <w:r w:rsidRPr="00B9489E">
        <w:t>(</w:t>
      </w:r>
      <w:r>
        <w:t>Vic</w:t>
      </w:r>
      <w:r w:rsidRPr="00B9489E">
        <w:t xml:space="preserve">), s </w:t>
      </w:r>
      <w:r>
        <w:t>322O.</w:t>
      </w:r>
    </w:p>
    <w:p w14:paraId="0B539BC7" w14:textId="218BCBDB" w:rsidR="005F2362" w:rsidRDefault="005F2362" w:rsidP="0096139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B184AA2" w14:textId="192B3618" w:rsidR="0096139E" w:rsidRDefault="0096139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9C705FF" w14:textId="533DC1DB" w:rsidR="0096139E" w:rsidRDefault="0096139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342CD92" w14:textId="77777777" w:rsidR="005F2362" w:rsidRDefault="005F2362" w:rsidP="00F90E7C">
      <w:pPr>
        <w:pStyle w:val="FixListStyle"/>
        <w:tabs>
          <w:tab w:val="clear" w:pos="720"/>
          <w:tab w:val="left" w:pos="0"/>
        </w:tabs>
        <w:spacing w:after="260" w:line="280" w:lineRule="exact"/>
        <w:ind w:right="0"/>
        <w:jc w:val="both"/>
        <w:rPr>
          <w:rFonts w:ascii="Times New Roman" w:hAnsi="Times New Roman"/>
        </w:rPr>
        <w:sectPr w:rsidR="005F2362" w:rsidSect="0096139E">
          <w:pgSz w:w="11907" w:h="16839" w:code="9"/>
          <w:pgMar w:top="1440" w:right="1701" w:bottom="1984" w:left="1701" w:header="720" w:footer="720" w:gutter="0"/>
          <w:pgNumType w:start="1"/>
          <w:cols w:space="720"/>
          <w:titlePg/>
          <w:docGrid w:linePitch="354"/>
        </w:sectPr>
      </w:pPr>
    </w:p>
    <w:p w14:paraId="7DEF8F41" w14:textId="75BD6741" w:rsidR="00562D00" w:rsidRPr="00F90E7C" w:rsidRDefault="00F90E7C" w:rsidP="00F90E7C">
      <w:pPr>
        <w:pStyle w:val="FixListStyle"/>
        <w:tabs>
          <w:tab w:val="clear" w:pos="720"/>
          <w:tab w:val="left" w:pos="0"/>
        </w:tabs>
        <w:spacing w:after="260" w:line="280" w:lineRule="exact"/>
        <w:ind w:right="0"/>
        <w:jc w:val="both"/>
        <w:rPr>
          <w:rFonts w:ascii="Times New Roman" w:hAnsi="Times New Roman"/>
        </w:rPr>
      </w:pPr>
      <w:r w:rsidRPr="00F90E7C">
        <w:rPr>
          <w:rFonts w:ascii="Times New Roman" w:hAnsi="Times New Roman"/>
        </w:rPr>
        <w:lastRenderedPageBreak/>
        <w:t xml:space="preserve">GAGELER CJ, GORDON, JAGOT AND BEECH-JONES JJ.   </w:t>
      </w:r>
      <w:r w:rsidR="00562D00" w:rsidRPr="00F90E7C">
        <w:rPr>
          <w:rFonts w:ascii="Times New Roman" w:hAnsi="Times New Roman"/>
        </w:rPr>
        <w:t xml:space="preserve">The principal issue in this appeal is whether the Court of Appeal of the Victorian Supreme Court erred in concluding that the evidence adduced before a trial judge on a voir-dire was sufficient to raise a "defence" of duress both at common law and under s 322O of the </w:t>
      </w:r>
      <w:r w:rsidR="00562D00" w:rsidRPr="00F90E7C">
        <w:rPr>
          <w:rFonts w:ascii="Times New Roman" w:hAnsi="Times New Roman"/>
          <w:i/>
          <w:iCs/>
        </w:rPr>
        <w:t>Crimes Act 1958</w:t>
      </w:r>
      <w:r w:rsidR="00562D00" w:rsidRPr="00F90E7C">
        <w:rPr>
          <w:rFonts w:ascii="Times New Roman" w:hAnsi="Times New Roman"/>
        </w:rPr>
        <w:t xml:space="preserve"> (Vic).</w:t>
      </w:r>
      <w:r w:rsidR="00562D00" w:rsidRPr="00F90E7C">
        <w:rPr>
          <w:rStyle w:val="FootnoteReference"/>
          <w:rFonts w:ascii="Times New Roman" w:hAnsi="Times New Roman"/>
          <w:sz w:val="24"/>
        </w:rPr>
        <w:footnoteReference w:id="2"/>
      </w:r>
      <w:r w:rsidR="00562D00" w:rsidRPr="00F90E7C">
        <w:rPr>
          <w:rFonts w:ascii="Times New Roman" w:hAnsi="Times New Roman"/>
        </w:rPr>
        <w:t xml:space="preserve">  </w:t>
      </w:r>
    </w:p>
    <w:p w14:paraId="6A57BF0D" w14:textId="26DB48F9"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It was common ground that one of the elements of the defence of duress is that, when the accused committed the acts that constitute the offence charged, they were subject to a threat of</w:t>
      </w:r>
      <w:r w:rsidRPr="00F90E7C" w:rsidDel="4D7D2E0C">
        <w:rPr>
          <w:rFonts w:ascii="Times New Roman" w:hAnsi="Times New Roman"/>
        </w:rPr>
        <w:t xml:space="preserve"> the relevant form </w:t>
      </w:r>
      <w:r w:rsidRPr="00F90E7C">
        <w:rPr>
          <w:rFonts w:ascii="Times New Roman" w:hAnsi="Times New Roman"/>
        </w:rPr>
        <w:t>of harm (such as death or grievous bodily harm) if they failed to undertake those acts.</w:t>
      </w:r>
      <w:r w:rsidRPr="00F90E7C">
        <w:rPr>
          <w:rStyle w:val="FootnoteReference"/>
          <w:rFonts w:ascii="Times New Roman" w:hAnsi="Times New Roman"/>
          <w:sz w:val="24"/>
        </w:rPr>
        <w:footnoteReference w:id="3"/>
      </w:r>
      <w:r w:rsidRPr="00F90E7C">
        <w:rPr>
          <w:rFonts w:ascii="Times New Roman" w:hAnsi="Times New Roman"/>
        </w:rPr>
        <w:t xml:space="preserve"> The appellant contended that the Court of Appeal ignored or misapplied this element and instead implicitly adopted the doctrine developed in England and Wales known as "duress of circumstances". Under that doctrine, duress can be established by objective circumstances that caused an accused to commit the acts that constituted a crime in order to avoid death or serious injury, provided their response was reasonable and proportionate.</w:t>
      </w:r>
      <w:r w:rsidRPr="00F90E7C">
        <w:rPr>
          <w:rStyle w:val="FootnoteReference"/>
          <w:rFonts w:ascii="Times New Roman" w:hAnsi="Times New Roman"/>
          <w:sz w:val="24"/>
        </w:rPr>
        <w:footnoteReference w:id="4"/>
      </w:r>
      <w:r w:rsidRPr="00F90E7C">
        <w:rPr>
          <w:rFonts w:ascii="Times New Roman" w:hAnsi="Times New Roman"/>
        </w:rPr>
        <w:t xml:space="preserve"> The doctrine does not require evidence of any threat to inflict the relevant form of harm if the accused failed to undertake those acts. </w:t>
      </w:r>
    </w:p>
    <w:p w14:paraId="43493B1A" w14:textId="28E8FAAD"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For the reasons that follow, the Court of Appeal did not adopt or apply the doctrine of "duress of circumstances", but instead applied the accepted understanding in this country of the form of threat necessary to establish duress at common law. This understanding derives from the dissenting judgment of Smith J in </w:t>
      </w:r>
      <w:r w:rsidRPr="00F90E7C">
        <w:rPr>
          <w:rFonts w:ascii="Times New Roman" w:hAnsi="Times New Roman"/>
          <w:i/>
          <w:iCs/>
        </w:rPr>
        <w:t>R v Hurley</w:t>
      </w:r>
      <w:r w:rsidRPr="00F90E7C">
        <w:rPr>
          <w:rFonts w:ascii="Times New Roman" w:hAnsi="Times New Roman"/>
        </w:rPr>
        <w:t>.</w:t>
      </w:r>
      <w:r w:rsidRPr="00F90E7C">
        <w:rPr>
          <w:rStyle w:val="FootnoteReference"/>
          <w:rFonts w:ascii="Times New Roman" w:hAnsi="Times New Roman"/>
          <w:sz w:val="24"/>
        </w:rPr>
        <w:footnoteReference w:id="5"/>
      </w:r>
      <w:r w:rsidRPr="00F90E7C">
        <w:rPr>
          <w:rFonts w:ascii="Times New Roman" w:hAnsi="Times New Roman"/>
        </w:rPr>
        <w:t xml:space="preserve"> In those circumstances, the occasion does not arise for this Court to consider whether the common law</w:t>
      </w:r>
      <w:r w:rsidRPr="00F90E7C" w:rsidDel="008515A4">
        <w:rPr>
          <w:rFonts w:ascii="Times New Roman" w:hAnsi="Times New Roman"/>
        </w:rPr>
        <w:t xml:space="preserve"> </w:t>
      </w:r>
      <w:r w:rsidRPr="00F90E7C">
        <w:rPr>
          <w:rFonts w:ascii="Times New Roman" w:hAnsi="Times New Roman"/>
        </w:rPr>
        <w:t xml:space="preserve">of Australia concerning duress as a defence to a criminal charge should be extended in the manner that has occurred in England and Wales or in any other respect. Accordingly, the appeal should be dismissed. </w:t>
      </w:r>
    </w:p>
    <w:p w14:paraId="6B6D2511" w14:textId="77777777" w:rsidR="00562D00" w:rsidRPr="00F90E7C" w:rsidRDefault="00562D00" w:rsidP="00F90E7C">
      <w:pPr>
        <w:pStyle w:val="HeadingL1"/>
        <w:spacing w:after="260" w:line="280" w:lineRule="exact"/>
        <w:ind w:right="0"/>
        <w:jc w:val="both"/>
        <w:rPr>
          <w:rFonts w:ascii="Times New Roman" w:hAnsi="Times New Roman"/>
        </w:rPr>
      </w:pPr>
      <w:r w:rsidRPr="00F90E7C">
        <w:rPr>
          <w:rFonts w:ascii="Times New Roman" w:hAnsi="Times New Roman"/>
        </w:rPr>
        <w:t>Background</w:t>
      </w:r>
    </w:p>
    <w:p w14:paraId="5533E819" w14:textId="400EA89B"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The respondent was born in 1974. According to the report of a forensic psychologist, Ms Pamela Matthews, tendered on the voir-dire, the respondent has a full-scale IQ of 70 and a mild intellectual disability, with her abstract reasoning, vocabulary and general knowledge in the bottom 0.5% of the population. </w:t>
      </w:r>
    </w:p>
    <w:p w14:paraId="435BE8B7" w14:textId="57388447"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lastRenderedPageBreak/>
        <w:tab/>
        <w:t>The respondent's partner, JR, was born in 1971.</w:t>
      </w:r>
      <w:r w:rsidRPr="00F90E7C">
        <w:rPr>
          <w:rStyle w:val="FootnoteReference"/>
          <w:rFonts w:ascii="Times New Roman" w:hAnsi="Times New Roman"/>
          <w:sz w:val="24"/>
        </w:rPr>
        <w:footnoteReference w:id="6"/>
      </w:r>
      <w:r w:rsidRPr="00F90E7C">
        <w:rPr>
          <w:rFonts w:ascii="Times New Roman" w:hAnsi="Times New Roman"/>
          <w:b/>
          <w:bCs/>
        </w:rPr>
        <w:t xml:space="preserve"> </w:t>
      </w:r>
      <w:r w:rsidRPr="00F90E7C">
        <w:rPr>
          <w:rFonts w:ascii="Times New Roman" w:hAnsi="Times New Roman"/>
        </w:rPr>
        <w:t>The respondent and JR commenced a relationship in 1992. Throughout their relationship, the respondent lived with JR on a farm in rural Victoria. Their first child, Paige, was born in November 1999 and their second child, Alicia, was born in June 2001. They had two more children. The evidence at the trial reveals extreme family dysfunction. JR was violent and controlling toward the respondent and their children. The respondent was financially and socially dependent on JR.</w:t>
      </w:r>
      <w:r w:rsidRPr="00F90E7C">
        <w:rPr>
          <w:rStyle w:val="FootnoteReference"/>
          <w:rFonts w:ascii="Times New Roman" w:hAnsi="Times New Roman"/>
          <w:sz w:val="24"/>
        </w:rPr>
        <w:footnoteReference w:id="7"/>
      </w:r>
      <w:r w:rsidRPr="00F90E7C">
        <w:rPr>
          <w:rFonts w:ascii="Times New Roman" w:hAnsi="Times New Roman"/>
        </w:rPr>
        <w:t xml:space="preserve"> </w:t>
      </w:r>
    </w:p>
    <w:p w14:paraId="37FB81F5" w14:textId="22E664CE"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In</w:t>
      </w:r>
      <w:r w:rsidRPr="00F90E7C" w:rsidDel="00FE39A2">
        <w:rPr>
          <w:rFonts w:ascii="Times New Roman" w:hAnsi="Times New Roman"/>
        </w:rPr>
        <w:t xml:space="preserve"> </w:t>
      </w:r>
      <w:r w:rsidRPr="00F90E7C">
        <w:rPr>
          <w:rFonts w:ascii="Times New Roman" w:hAnsi="Times New Roman"/>
        </w:rPr>
        <w:t xml:space="preserve">November 2015, JR was arrested and charged with committing sexual offences against Paige and Alicia. In September 2016, the respondent was arrested and charged. JR and the respondent were initially arraigned on a single indictment that contained 13 joint counts and numerous separate counts against JR. </w:t>
      </w:r>
    </w:p>
    <w:p w14:paraId="46B566CD" w14:textId="513C5C37"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After a joint trial in the County Court of Victoria in early 2019, JR was found guilty on 26 separate counts on the indictment. However, the jury was unable to return verdicts on the 13 joint counts and was discharged. The voir-dire was conducted just prior to the date fixed for the retrial of JR and the respondent on the joint counts. The trial judge ruled that there was no factual basis for the respondent to rely on duress. JR then applied for and obtained a separate trial on the joint counts, after which the appellant decided not to prosecute him further. He was later sentenced to a lengthy term of imprisonment for the 26 offences of which he was convicted.</w:t>
      </w:r>
      <w:r w:rsidRPr="00F90E7C">
        <w:rPr>
          <w:rStyle w:val="FootnoteReference"/>
          <w:rFonts w:ascii="Times New Roman" w:hAnsi="Times New Roman"/>
          <w:sz w:val="24"/>
        </w:rPr>
        <w:footnoteReference w:id="8"/>
      </w:r>
    </w:p>
    <w:p w14:paraId="3835954C" w14:textId="56CFBE51"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In June 2021, the respondent stood trial on the 13 joint counts. Consistent with the trial judge's ruling, the jury was not instructed on duress. On 30 June 2021, the jury found the respondent guilty of counts 1 and 3 to 13, and not guilty o</w:t>
      </w:r>
      <w:r w:rsidR="00FE6431" w:rsidRPr="00F90E7C">
        <w:rPr>
          <w:rFonts w:ascii="Times New Roman" w:hAnsi="Times New Roman"/>
        </w:rPr>
        <w:t>f</w:t>
      </w:r>
      <w:r w:rsidRPr="00F90E7C">
        <w:rPr>
          <w:rFonts w:ascii="Times New Roman" w:hAnsi="Times New Roman"/>
        </w:rPr>
        <w:t xml:space="preserve"> count 2. On 13 August 2021, the respondent was sentenced to terms of imprisonment for each count. The effective term of imprisonment imposed was </w:t>
      </w:r>
      <w:r w:rsidR="00D4623F" w:rsidRPr="00F90E7C">
        <w:rPr>
          <w:rFonts w:ascii="Times New Roman" w:hAnsi="Times New Roman"/>
        </w:rPr>
        <w:t>seven</w:t>
      </w:r>
      <w:r w:rsidRPr="00F90E7C">
        <w:rPr>
          <w:rFonts w:ascii="Times New Roman" w:hAnsi="Times New Roman"/>
        </w:rPr>
        <w:t xml:space="preserve"> years and </w:t>
      </w:r>
      <w:r w:rsidR="00D4623F" w:rsidRPr="00F90E7C">
        <w:rPr>
          <w:rFonts w:ascii="Times New Roman" w:hAnsi="Times New Roman"/>
        </w:rPr>
        <w:t>five</w:t>
      </w:r>
      <w:r w:rsidRPr="00F90E7C">
        <w:rPr>
          <w:rFonts w:ascii="Times New Roman" w:hAnsi="Times New Roman"/>
        </w:rPr>
        <w:t xml:space="preserve"> months with a non-parole period of </w:t>
      </w:r>
      <w:r w:rsidR="00D4623F" w:rsidRPr="00F90E7C">
        <w:rPr>
          <w:rFonts w:ascii="Times New Roman" w:hAnsi="Times New Roman"/>
        </w:rPr>
        <w:t>four</w:t>
      </w:r>
      <w:r w:rsidRPr="00F90E7C">
        <w:rPr>
          <w:rFonts w:ascii="Times New Roman" w:hAnsi="Times New Roman"/>
        </w:rPr>
        <w:t> years and 11 months.</w:t>
      </w:r>
      <w:r w:rsidRPr="00F90E7C">
        <w:rPr>
          <w:rStyle w:val="FootnoteReference"/>
          <w:rFonts w:ascii="Times New Roman" w:hAnsi="Times New Roman"/>
          <w:sz w:val="24"/>
        </w:rPr>
        <w:footnoteReference w:id="9"/>
      </w:r>
      <w:r w:rsidRPr="00F90E7C">
        <w:rPr>
          <w:rFonts w:ascii="Times New Roman" w:hAnsi="Times New Roman"/>
        </w:rPr>
        <w:t xml:space="preserve"> </w:t>
      </w:r>
    </w:p>
    <w:p w14:paraId="7AAD61BE" w14:textId="3B22C916"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lastRenderedPageBreak/>
        <w:tab/>
        <w:t>The respondent sought leave to appeal against her convictions and sentence. The respondent maintained one ground of appeal against her convictions, namely, that the trial judge erred in ruling that the defence of duress was not available, which thereby occasioned a substantial miscarriage of justice.</w:t>
      </w:r>
      <w:r w:rsidRPr="00F90E7C">
        <w:rPr>
          <w:rStyle w:val="FootnoteReference"/>
          <w:rFonts w:ascii="Times New Roman" w:hAnsi="Times New Roman"/>
          <w:sz w:val="24"/>
        </w:rPr>
        <w:footnoteReference w:id="10"/>
      </w:r>
      <w:r w:rsidRPr="00F90E7C">
        <w:rPr>
          <w:rFonts w:ascii="Times New Roman" w:hAnsi="Times New Roman"/>
        </w:rPr>
        <w:t xml:space="preserve"> On 28 October 2022, the Court of Appeal (Kyrou, McLeish and Niall JJA) upheld this ground, set aside the trial judge's ruling and the respondent's convictions, and ordered a retrial in respect of counts 1 and 3 to 13.</w:t>
      </w:r>
      <w:r w:rsidRPr="00F90E7C">
        <w:rPr>
          <w:rStyle w:val="FootnoteReference"/>
          <w:rFonts w:ascii="Times New Roman" w:hAnsi="Times New Roman"/>
          <w:sz w:val="24"/>
        </w:rPr>
        <w:footnoteReference w:id="11"/>
      </w:r>
      <w:r w:rsidRPr="00F90E7C">
        <w:rPr>
          <w:rFonts w:ascii="Times New Roman" w:hAnsi="Times New Roman"/>
        </w:rPr>
        <w:t xml:space="preserve"> On 16 June 2023, Kiefel CJ and Jagot J granted the appellant special leave to appeal that decision. </w:t>
      </w:r>
    </w:p>
    <w:p w14:paraId="688BADC2" w14:textId="56AA8EFD" w:rsidR="00562D00" w:rsidRPr="00F90E7C" w:rsidRDefault="00562D00" w:rsidP="00F90E7C">
      <w:pPr>
        <w:pStyle w:val="HeadingL1"/>
        <w:spacing w:after="260" w:line="280" w:lineRule="exact"/>
        <w:ind w:right="0"/>
        <w:jc w:val="both"/>
        <w:rPr>
          <w:rFonts w:ascii="Times New Roman" w:hAnsi="Times New Roman"/>
        </w:rPr>
      </w:pPr>
      <w:r w:rsidRPr="00F90E7C">
        <w:rPr>
          <w:rFonts w:ascii="Times New Roman" w:hAnsi="Times New Roman"/>
        </w:rPr>
        <w:t xml:space="preserve">The </w:t>
      </w:r>
      <w:r w:rsidR="00815137" w:rsidRPr="00F90E7C">
        <w:rPr>
          <w:rFonts w:ascii="Times New Roman" w:hAnsi="Times New Roman"/>
        </w:rPr>
        <w:t>p</w:t>
      </w:r>
      <w:r w:rsidRPr="00F90E7C">
        <w:rPr>
          <w:rFonts w:ascii="Times New Roman" w:hAnsi="Times New Roman"/>
        </w:rPr>
        <w:t xml:space="preserve">rosecution and </w:t>
      </w:r>
      <w:r w:rsidR="00815137" w:rsidRPr="00F90E7C">
        <w:rPr>
          <w:rFonts w:ascii="Times New Roman" w:hAnsi="Times New Roman"/>
        </w:rPr>
        <w:t>d</w:t>
      </w:r>
      <w:r w:rsidRPr="00F90E7C">
        <w:rPr>
          <w:rFonts w:ascii="Times New Roman" w:hAnsi="Times New Roman"/>
        </w:rPr>
        <w:t xml:space="preserve">efence </w:t>
      </w:r>
      <w:r w:rsidR="00815137" w:rsidRPr="00F90E7C">
        <w:rPr>
          <w:rFonts w:ascii="Times New Roman" w:hAnsi="Times New Roman"/>
        </w:rPr>
        <w:t>c</w:t>
      </w:r>
      <w:r w:rsidRPr="00F90E7C">
        <w:rPr>
          <w:rFonts w:ascii="Times New Roman" w:hAnsi="Times New Roman"/>
        </w:rPr>
        <w:t>ase</w:t>
      </w:r>
      <w:r w:rsidR="00315B7A" w:rsidRPr="00F90E7C">
        <w:rPr>
          <w:rFonts w:ascii="Times New Roman" w:hAnsi="Times New Roman"/>
        </w:rPr>
        <w:t>s</w:t>
      </w:r>
    </w:p>
    <w:p w14:paraId="5195CF81" w14:textId="6D2985B5"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Count 1 of the indictment charged the respondent and JR with having committed an act of indecency with or in the presence of Paige.</w:t>
      </w:r>
      <w:r w:rsidRPr="00F90E7C">
        <w:rPr>
          <w:rStyle w:val="FootnoteReference"/>
          <w:rFonts w:ascii="Times New Roman" w:hAnsi="Times New Roman"/>
          <w:sz w:val="24"/>
        </w:rPr>
        <w:footnoteReference w:id="12"/>
      </w:r>
      <w:r w:rsidRPr="00F90E7C">
        <w:rPr>
          <w:rFonts w:ascii="Times New Roman" w:hAnsi="Times New Roman"/>
        </w:rPr>
        <w:t xml:space="preserve"> Counts 2 to 12 charged the respondent and JR with having committed incest upon Paige (ie, taking part in an act of sexual penetration with Paige knowing her to be their child).</w:t>
      </w:r>
      <w:r w:rsidRPr="00F90E7C">
        <w:rPr>
          <w:rStyle w:val="FootnoteReference"/>
          <w:rFonts w:ascii="Times New Roman" w:hAnsi="Times New Roman"/>
          <w:sz w:val="24"/>
        </w:rPr>
        <w:footnoteReference w:id="13"/>
      </w:r>
      <w:r w:rsidRPr="00F90E7C">
        <w:rPr>
          <w:rFonts w:ascii="Times New Roman" w:hAnsi="Times New Roman"/>
        </w:rPr>
        <w:t xml:space="preserve"> Count 13 charged the respondent and JR with having committed incest upon Alicia.</w:t>
      </w:r>
      <w:r w:rsidRPr="00F90E7C">
        <w:rPr>
          <w:rStyle w:val="FootnoteReference"/>
          <w:rFonts w:ascii="Times New Roman" w:hAnsi="Times New Roman"/>
          <w:sz w:val="24"/>
        </w:rPr>
        <w:footnoteReference w:id="14"/>
      </w:r>
      <w:r w:rsidRPr="00F90E7C">
        <w:rPr>
          <w:rFonts w:ascii="Times New Roman" w:hAnsi="Times New Roman"/>
        </w:rPr>
        <w:t xml:space="preserve"> The indictment averred that the offences were committed during various periods between 27 November 2009 and 26 November 2015. Paige was aged between 10 and 15 and Alicia was 13 at the time the offences against each of them were committed. It was common ground that s 322O of the </w:t>
      </w:r>
      <w:r w:rsidRPr="00F90E7C">
        <w:rPr>
          <w:rFonts w:ascii="Times New Roman" w:hAnsi="Times New Roman"/>
          <w:i/>
          <w:iCs/>
        </w:rPr>
        <w:t>Crimes Act</w:t>
      </w:r>
      <w:r w:rsidRPr="00F90E7C">
        <w:rPr>
          <w:rFonts w:ascii="Times New Roman" w:hAnsi="Times New Roman"/>
        </w:rPr>
        <w:t xml:space="preserve"> only had potential application to count 13 and the potential availability of duress as a defence to the other counts was governed by the common law. With all the incest counts, other than counts 2 and 11, the prosecution alleged that it was JR who penetrated either Paige or Alicia and the respondent was present and either encouraging or assisting JR. </w:t>
      </w:r>
    </w:p>
    <w:p w14:paraId="7B467482" w14:textId="787F67B0"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The prosecution principally relied on the evidence of Paige and Alicia. Their evidence was adduced in a pre</w:t>
      </w:r>
      <w:r w:rsidRPr="00F90E7C">
        <w:rPr>
          <w:rFonts w:ascii="Times New Roman" w:hAnsi="Times New Roman"/>
        </w:rPr>
        <w:noBreakHyphen/>
        <w:t>recorded format.</w:t>
      </w:r>
      <w:r w:rsidRPr="00F90E7C">
        <w:rPr>
          <w:rStyle w:val="FootnoteReference"/>
          <w:rFonts w:ascii="Times New Roman" w:hAnsi="Times New Roman"/>
          <w:sz w:val="24"/>
        </w:rPr>
        <w:footnoteReference w:id="15"/>
      </w:r>
      <w:r w:rsidRPr="00F90E7C">
        <w:rPr>
          <w:rFonts w:ascii="Times New Roman" w:hAnsi="Times New Roman"/>
        </w:rPr>
        <w:t xml:space="preserve"> The following precis of </w:t>
      </w:r>
      <w:r w:rsidRPr="00F90E7C">
        <w:rPr>
          <w:rFonts w:ascii="Times New Roman" w:hAnsi="Times New Roman"/>
        </w:rPr>
        <w:lastRenderedPageBreak/>
        <w:t>that evidence is taken from the trial judge's summing up and the Court of Appeal's description of their evidence.</w:t>
      </w:r>
      <w:r w:rsidRPr="00F90E7C">
        <w:rPr>
          <w:rStyle w:val="FootnoteReference"/>
          <w:rFonts w:ascii="Times New Roman" w:hAnsi="Times New Roman"/>
          <w:sz w:val="24"/>
        </w:rPr>
        <w:footnoteReference w:id="16"/>
      </w:r>
      <w:r w:rsidRPr="00F90E7C">
        <w:rPr>
          <w:rFonts w:ascii="Times New Roman" w:hAnsi="Times New Roman"/>
        </w:rPr>
        <w:t xml:space="preserve"> Their evidence was confronting. They described many uncharged acts of sexual abuse and violence.</w:t>
      </w:r>
    </w:p>
    <w:p w14:paraId="58F0879A" w14:textId="683C61FD" w:rsidR="00562D00" w:rsidRPr="00F90E7C" w:rsidRDefault="00562D00" w:rsidP="00F90E7C">
      <w:pPr>
        <w:pStyle w:val="HeadingL2"/>
        <w:spacing w:after="260" w:line="280" w:lineRule="exact"/>
        <w:ind w:right="0"/>
        <w:jc w:val="both"/>
        <w:rPr>
          <w:rFonts w:ascii="Times New Roman" w:hAnsi="Times New Roman"/>
        </w:rPr>
      </w:pPr>
      <w:r w:rsidRPr="00F90E7C">
        <w:rPr>
          <w:rFonts w:ascii="Times New Roman" w:hAnsi="Times New Roman"/>
        </w:rPr>
        <w:t xml:space="preserve">Paige's </w:t>
      </w:r>
      <w:r w:rsidR="007E1614" w:rsidRPr="00F90E7C">
        <w:rPr>
          <w:rFonts w:ascii="Times New Roman" w:hAnsi="Times New Roman"/>
        </w:rPr>
        <w:t>e</w:t>
      </w:r>
      <w:r w:rsidRPr="00F90E7C">
        <w:rPr>
          <w:rFonts w:ascii="Times New Roman" w:hAnsi="Times New Roman"/>
        </w:rPr>
        <w:t>vidence</w:t>
      </w:r>
    </w:p>
    <w:p w14:paraId="1E8EF9D6" w14:textId="41CE27CC"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Paige said that the acts that constituted counts 1, 3 and 4 occurred on the same occasion in the </w:t>
      </w:r>
      <w:r w:rsidR="00DC38EC" w:rsidRPr="00F90E7C">
        <w:rPr>
          <w:rFonts w:ascii="Times New Roman" w:hAnsi="Times New Roman"/>
        </w:rPr>
        <w:t xml:space="preserve">bedroom of the </w:t>
      </w:r>
      <w:r w:rsidRPr="00F90E7C">
        <w:rPr>
          <w:rFonts w:ascii="Times New Roman" w:hAnsi="Times New Roman"/>
        </w:rPr>
        <w:t>respondent and JR.</w:t>
      </w:r>
      <w:r w:rsidRPr="00F90E7C">
        <w:rPr>
          <w:rStyle w:val="FootnoteReference"/>
          <w:rFonts w:ascii="Times New Roman" w:hAnsi="Times New Roman"/>
          <w:sz w:val="24"/>
        </w:rPr>
        <w:footnoteReference w:id="17"/>
      </w:r>
      <w:r w:rsidRPr="00F90E7C">
        <w:rPr>
          <w:rFonts w:ascii="Times New Roman" w:hAnsi="Times New Roman"/>
        </w:rPr>
        <w:t xml:space="preserve"> Those counts respectively involved JR and the respondent having sex</w:t>
      </w:r>
      <w:r w:rsidR="002820D5" w:rsidRPr="00F90E7C">
        <w:rPr>
          <w:rFonts w:ascii="Times New Roman" w:hAnsi="Times New Roman"/>
        </w:rPr>
        <w:t>ual intercourse</w:t>
      </w:r>
      <w:r w:rsidRPr="00F90E7C">
        <w:rPr>
          <w:rFonts w:ascii="Times New Roman" w:hAnsi="Times New Roman"/>
        </w:rPr>
        <w:t xml:space="preserve"> in the presence of Paige, JR digitally penetrating Paige and JR penetrating Paige with his penis. Paige described various uncharged acts, such as JR licking the respondent's vagina in Paige's presence, JR wanting Paige to put her fingers in her vagina, the respondent touching and playing with Paige's breasts, and the respondent touching her own vagina while JR penetrated Paige. Paige said that JR told her that he "talked [the respondent] into showing [Paige] what to do". </w:t>
      </w:r>
      <w:r w:rsidRPr="00F90E7C">
        <w:rPr>
          <w:rFonts w:ascii="Times New Roman" w:hAnsi="Times New Roman"/>
          <w:b/>
          <w:bCs/>
        </w:rPr>
        <w:t xml:space="preserve"> </w:t>
      </w:r>
    </w:p>
    <w:p w14:paraId="6E1346E1" w14:textId="1CD99AD9"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Counts 5 and 6 were committed in the </w:t>
      </w:r>
      <w:r w:rsidR="00B95237" w:rsidRPr="00F90E7C">
        <w:rPr>
          <w:rFonts w:ascii="Times New Roman" w:hAnsi="Times New Roman"/>
        </w:rPr>
        <w:t xml:space="preserve">bedroom of the </w:t>
      </w:r>
      <w:r w:rsidRPr="00F90E7C">
        <w:rPr>
          <w:rFonts w:ascii="Times New Roman" w:hAnsi="Times New Roman"/>
        </w:rPr>
        <w:t xml:space="preserve">respondent and JR on a different occasion to counts 1, 3 and 4 and respectively involved JR penetrating Paige's vagina with his penis and then with a sex toy. Both immediately prior to and after </w:t>
      </w:r>
      <w:r w:rsidR="000815B1" w:rsidRPr="00F90E7C">
        <w:rPr>
          <w:rFonts w:ascii="Times New Roman" w:hAnsi="Times New Roman"/>
        </w:rPr>
        <w:t xml:space="preserve">the commission of </w:t>
      </w:r>
      <w:r w:rsidRPr="00F90E7C">
        <w:rPr>
          <w:rFonts w:ascii="Times New Roman" w:hAnsi="Times New Roman"/>
        </w:rPr>
        <w:t xml:space="preserve">count 5, </w:t>
      </w:r>
      <w:r w:rsidR="00FF15D1" w:rsidRPr="00F90E7C">
        <w:rPr>
          <w:rFonts w:ascii="Times New Roman" w:hAnsi="Times New Roman"/>
        </w:rPr>
        <w:t xml:space="preserve">JR and </w:t>
      </w:r>
      <w:r w:rsidRPr="00F90E7C">
        <w:rPr>
          <w:rFonts w:ascii="Times New Roman" w:hAnsi="Times New Roman"/>
        </w:rPr>
        <w:t>the respondent had sex</w:t>
      </w:r>
      <w:r w:rsidR="00C30021" w:rsidRPr="00F90E7C">
        <w:rPr>
          <w:rFonts w:ascii="Times New Roman" w:hAnsi="Times New Roman"/>
        </w:rPr>
        <w:t>ual intercourse</w:t>
      </w:r>
      <w:r w:rsidRPr="00F90E7C">
        <w:rPr>
          <w:rFonts w:ascii="Times New Roman" w:hAnsi="Times New Roman"/>
        </w:rPr>
        <w:t xml:space="preserve">. During the commission of count 6, the respondent rubbed Paige's breasts. Paige said that she complained about pain, but that JR dismissed her complaint before the respondent said something to JR and he stopped. </w:t>
      </w:r>
    </w:p>
    <w:p w14:paraId="74931228" w14:textId="7D672AB0"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Counts 7 to 10 were committed on a different occasion to the other counts in a cabin that was located behind the farmhouse. Those offences involved JR penetrating Paige twice with his penis and twice with a sex toy. The first act of penetration occurred while JR and the respondent were having sexual intercourse. During one of the other acts of penetration, the respondent penetrated herself with a sex toy.</w:t>
      </w:r>
      <w:r w:rsidRPr="00F90E7C">
        <w:rPr>
          <w:rFonts w:ascii="Times New Roman" w:hAnsi="Times New Roman"/>
          <w:b/>
          <w:bCs/>
        </w:rPr>
        <w:t xml:space="preserve"> </w:t>
      </w:r>
    </w:p>
    <w:p w14:paraId="492C8270" w14:textId="5510F7ED"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With these counts, Paige said that at one point she resisted JR's attempts to make her have an orgasm and protested that she was in pain. JR said something to the respondent, and the respondent put her breast in Paige</w:t>
      </w:r>
      <w:r w:rsidR="000874CC" w:rsidRPr="00F90E7C">
        <w:rPr>
          <w:rFonts w:ascii="Times New Roman" w:hAnsi="Times New Roman"/>
        </w:rPr>
        <w:t>'</w:t>
      </w:r>
      <w:r w:rsidRPr="00F90E7C">
        <w:rPr>
          <w:rFonts w:ascii="Times New Roman" w:hAnsi="Times New Roman"/>
        </w:rPr>
        <w:t xml:space="preserve">s mouth. Paige resisted. Paige described JR as "really angry" and </w:t>
      </w:r>
      <w:r w:rsidR="00005EFF" w:rsidRPr="00F90E7C">
        <w:rPr>
          <w:rFonts w:ascii="Times New Roman" w:hAnsi="Times New Roman"/>
        </w:rPr>
        <w:t xml:space="preserve">said </w:t>
      </w:r>
      <w:r w:rsidR="00C30021" w:rsidRPr="00F90E7C">
        <w:rPr>
          <w:rFonts w:ascii="Times New Roman" w:hAnsi="Times New Roman"/>
        </w:rPr>
        <w:t xml:space="preserve">that he </w:t>
      </w:r>
      <w:r w:rsidRPr="00F90E7C">
        <w:rPr>
          <w:rFonts w:ascii="Times New Roman" w:hAnsi="Times New Roman"/>
        </w:rPr>
        <w:t xml:space="preserve">told her to "stop it, just take it and get past the pain, it won’t be as bad and stop fighting". Paige began crying </w:t>
      </w:r>
      <w:r w:rsidRPr="00F90E7C">
        <w:rPr>
          <w:rFonts w:ascii="Times New Roman" w:hAnsi="Times New Roman"/>
        </w:rPr>
        <w:lastRenderedPageBreak/>
        <w:t>and the respondent told JR to stop, which he did.</w:t>
      </w:r>
      <w:r w:rsidRPr="00F90E7C">
        <w:rPr>
          <w:rFonts w:ascii="Times New Roman" w:hAnsi="Times New Roman"/>
          <w:b/>
          <w:bCs/>
        </w:rPr>
        <w:t xml:space="preserve"> </w:t>
      </w:r>
      <w:r w:rsidRPr="00F90E7C">
        <w:rPr>
          <w:rFonts w:ascii="Times New Roman" w:hAnsi="Times New Roman"/>
        </w:rPr>
        <w:t xml:space="preserve">JR and the respondent then argued. </w:t>
      </w:r>
    </w:p>
    <w:p w14:paraId="4B94F0E8" w14:textId="4698FA31"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Counts 11 and 12 were also committed in the cabin behind the farmhouse, but on a different occasion to counts 7 to 10. With count 11, JR grabbed Paige and placed her close to the respondent, who was sitting naked on a bed with her legs open. The respondent then inserted a sex toy into Paige's vagina. With count 12, JR interrupted sexual intercourse with the respondent to penetrate Paige's vagina with his penis. </w:t>
      </w:r>
    </w:p>
    <w:p w14:paraId="2BEAD58A" w14:textId="5490C60A"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Paige gave evidence of violent acts committed against both her and Alicia by JR without the involvement of the respondent. Paige described JR as "hot-tempered" and said he would "just lose it". On one occasion he smashed a baseball bat against the wall, causing Alicia</w:t>
      </w:r>
      <w:r w:rsidR="009420D0" w:rsidRPr="00F90E7C">
        <w:rPr>
          <w:rFonts w:ascii="Times New Roman" w:hAnsi="Times New Roman"/>
        </w:rPr>
        <w:t>'</w:t>
      </w:r>
      <w:r w:rsidRPr="00F90E7C">
        <w:rPr>
          <w:rFonts w:ascii="Times New Roman" w:hAnsi="Times New Roman"/>
        </w:rPr>
        <w:t xml:space="preserve">s hand to scar. Paige said that JR kept a belt hanging over his bedroom door which he would use to hit the children, making them cry and leaving marks on them. She said that </w:t>
      </w:r>
      <w:r w:rsidR="00964A8F" w:rsidRPr="00F90E7C">
        <w:rPr>
          <w:rFonts w:ascii="Times New Roman" w:hAnsi="Times New Roman"/>
        </w:rPr>
        <w:t>JR</w:t>
      </w:r>
      <w:r w:rsidRPr="00F90E7C">
        <w:rPr>
          <w:rFonts w:ascii="Times New Roman" w:hAnsi="Times New Roman"/>
        </w:rPr>
        <w:t xml:space="preserve"> threatened to kill her if she disclosed the sexual abuse. </w:t>
      </w:r>
    </w:p>
    <w:p w14:paraId="6B0EE021" w14:textId="51DFA71F"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Paige described various</w:t>
      </w:r>
      <w:r w:rsidRPr="00F90E7C" w:rsidDel="006E2D84">
        <w:rPr>
          <w:rFonts w:ascii="Times New Roman" w:hAnsi="Times New Roman"/>
        </w:rPr>
        <w:t xml:space="preserve"> </w:t>
      </w:r>
      <w:r w:rsidRPr="00F90E7C">
        <w:rPr>
          <w:rFonts w:ascii="Times New Roman" w:hAnsi="Times New Roman"/>
        </w:rPr>
        <w:t xml:space="preserve">acts of </w:t>
      </w:r>
      <w:r w:rsidR="006E2D84" w:rsidRPr="00F90E7C">
        <w:rPr>
          <w:rFonts w:ascii="Times New Roman" w:hAnsi="Times New Roman"/>
        </w:rPr>
        <w:t xml:space="preserve">extreme </w:t>
      </w:r>
      <w:r w:rsidRPr="00F90E7C">
        <w:rPr>
          <w:rFonts w:ascii="Times New Roman" w:hAnsi="Times New Roman"/>
        </w:rPr>
        <w:t xml:space="preserve">depravity committed by JR against her accompanied by threats of violence that did not involve the respondent, including making Paige watch pornography that depicted bestiality and making her allow the family dog </w:t>
      </w:r>
      <w:r w:rsidR="00AA4B43" w:rsidRPr="00F90E7C">
        <w:rPr>
          <w:rFonts w:ascii="Times New Roman" w:hAnsi="Times New Roman"/>
        </w:rPr>
        <w:t xml:space="preserve">to </w:t>
      </w:r>
      <w:r w:rsidRPr="00F90E7C">
        <w:rPr>
          <w:rFonts w:ascii="Times New Roman" w:hAnsi="Times New Roman"/>
        </w:rPr>
        <w:t xml:space="preserve">lick her vagina under threat that, if she moved, he would hit her. On one occasion, he urinated on Paige. Paige said that JR made her use "dildos and vibrators", which she </w:t>
      </w:r>
      <w:r w:rsidR="006E2D84" w:rsidRPr="00F90E7C">
        <w:rPr>
          <w:rFonts w:ascii="Times New Roman" w:hAnsi="Times New Roman"/>
        </w:rPr>
        <w:t xml:space="preserve">did </w:t>
      </w:r>
      <w:r w:rsidRPr="00F90E7C">
        <w:rPr>
          <w:rFonts w:ascii="Times New Roman" w:hAnsi="Times New Roman"/>
        </w:rPr>
        <w:t xml:space="preserve">because she believed JR would hit her if she refused. On another occasion when JR sexually assaulted Paige, JR hit her and held his hand over her mouth to stop her from yelling. </w:t>
      </w:r>
    </w:p>
    <w:p w14:paraId="34B93964" w14:textId="7BAF8527"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r>
      <w:bookmarkStart w:id="1" w:name="_Ref152326639"/>
      <w:r w:rsidRPr="00F90E7C">
        <w:rPr>
          <w:rFonts w:ascii="Times New Roman" w:hAnsi="Times New Roman"/>
        </w:rPr>
        <w:t>Paige's evidence included observations about the respondent's willingness to participate in the sexual abuse. Paige made notes of her recollection of her abuse to assist her memory, which included the statement that "to [her] knowledge [JR] made [the respondent] do those things". In cross-examination, Paige confirmed that, to her knowledge, JR made the respondent "do stuff".</w:t>
      </w:r>
      <w:r w:rsidRPr="00F90E7C">
        <w:rPr>
          <w:rFonts w:ascii="Times New Roman" w:hAnsi="Times New Roman"/>
          <w:b/>
          <w:bCs/>
        </w:rPr>
        <w:t xml:space="preserve"> </w:t>
      </w:r>
      <w:r w:rsidRPr="00F90E7C">
        <w:rPr>
          <w:rFonts w:ascii="Times New Roman" w:hAnsi="Times New Roman"/>
        </w:rPr>
        <w:t>In re-examination, Paige said that "at times, it did not look like the [respondent's] involvement in the sexual abuse was voluntary because they were not making decisions together, she was very quiet and she would even argue with JR".</w:t>
      </w:r>
      <w:r w:rsidRPr="00F90E7C">
        <w:rPr>
          <w:rFonts w:ascii="Times New Roman" w:hAnsi="Times New Roman"/>
          <w:b/>
          <w:bCs/>
        </w:rPr>
        <w:t xml:space="preserve"> </w:t>
      </w:r>
      <w:r w:rsidRPr="00F90E7C">
        <w:rPr>
          <w:rFonts w:ascii="Times New Roman" w:hAnsi="Times New Roman"/>
        </w:rPr>
        <w:t xml:space="preserve">Paige described the respondent as "easily pushed around by everyone in the family, including the children". </w:t>
      </w:r>
      <w:bookmarkEnd w:id="1"/>
    </w:p>
    <w:p w14:paraId="40DB7E48" w14:textId="72D53EE8" w:rsidR="00562D00" w:rsidRPr="00F90E7C" w:rsidRDefault="00562D00" w:rsidP="00F90E7C">
      <w:pPr>
        <w:pStyle w:val="HeadingL2"/>
        <w:spacing w:after="260" w:line="280" w:lineRule="exact"/>
        <w:ind w:right="0"/>
        <w:jc w:val="both"/>
        <w:rPr>
          <w:rFonts w:ascii="Times New Roman" w:hAnsi="Times New Roman"/>
        </w:rPr>
      </w:pPr>
      <w:r w:rsidRPr="00F90E7C">
        <w:rPr>
          <w:rFonts w:ascii="Times New Roman" w:hAnsi="Times New Roman"/>
        </w:rPr>
        <w:t xml:space="preserve">Alicia's </w:t>
      </w:r>
      <w:r w:rsidR="007E1614" w:rsidRPr="00F90E7C">
        <w:rPr>
          <w:rFonts w:ascii="Times New Roman" w:hAnsi="Times New Roman"/>
        </w:rPr>
        <w:t>e</w:t>
      </w:r>
      <w:r w:rsidRPr="00F90E7C">
        <w:rPr>
          <w:rFonts w:ascii="Times New Roman" w:hAnsi="Times New Roman"/>
        </w:rPr>
        <w:t xml:space="preserve">vidence </w:t>
      </w:r>
    </w:p>
    <w:p w14:paraId="3F88588A" w14:textId="17941B83"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It is necessary to describe Alicia's evidence in relation to count 13 in some detail. Alicia stated that, on one occasion when she and JR were alone in the cabin, JR left and returned with the respondent. Alicia said the respondent did not do anything but just stood and looked at Alicia. JR told the respondent that he wanted </w:t>
      </w:r>
      <w:r w:rsidRPr="00F90E7C">
        <w:rPr>
          <w:rFonts w:ascii="Times New Roman" w:hAnsi="Times New Roman"/>
        </w:rPr>
        <w:lastRenderedPageBreak/>
        <w:t xml:space="preserve">to shave Alicia and the respondent said, "Why do I need to be in here?" Alicia said that JR said that he wanted the respondent's help. Alicia said her eyes were closed but she believed that JR then shaved </w:t>
      </w:r>
      <w:r w:rsidR="00356F34" w:rsidRPr="00F90E7C">
        <w:rPr>
          <w:rFonts w:ascii="Times New Roman" w:hAnsi="Times New Roman"/>
        </w:rPr>
        <w:t xml:space="preserve">her </w:t>
      </w:r>
      <w:r w:rsidRPr="00F90E7C">
        <w:rPr>
          <w:rFonts w:ascii="Times New Roman" w:hAnsi="Times New Roman"/>
        </w:rPr>
        <w:t>pubic region and the respondent held Alicia's legs open while JR inserted a sex toy into Alicia's vagina (count 13). Alicia screamed in pain and the respondent released her grip on Alicia's legs. Alicia closed her legs to try to stop JR inserting the sex toy into her vagina again. JR covered her mouth and she bit his hand. JR again pushed the sex toy into Alicia</w:t>
      </w:r>
      <w:r w:rsidR="00694DD3" w:rsidRPr="00F90E7C">
        <w:rPr>
          <w:rFonts w:ascii="Times New Roman" w:hAnsi="Times New Roman"/>
        </w:rPr>
        <w:t>'</w:t>
      </w:r>
      <w:r w:rsidRPr="00F90E7C">
        <w:rPr>
          <w:rFonts w:ascii="Times New Roman" w:hAnsi="Times New Roman"/>
        </w:rPr>
        <w:t xml:space="preserve">s vagina and then let go of her and walked out. </w:t>
      </w:r>
    </w:p>
    <w:p w14:paraId="6CB96B70" w14:textId="6FAF8498"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Alicia said that</w:t>
      </w:r>
      <w:r w:rsidR="00356F34" w:rsidRPr="00F90E7C">
        <w:rPr>
          <w:rFonts w:ascii="Times New Roman" w:hAnsi="Times New Roman"/>
        </w:rPr>
        <w:t>,</w:t>
      </w:r>
      <w:r w:rsidRPr="00F90E7C">
        <w:rPr>
          <w:rFonts w:ascii="Times New Roman" w:hAnsi="Times New Roman"/>
        </w:rPr>
        <w:t xml:space="preserve"> shortly afterwards, JR told her that it was the respondent's idea to "put it in [Alicia]". Alicia relayed this to the respondent, who replied that it was JR's idea and that "he wanted her to take the blame because [Alicia] blamed him for so many other things". </w:t>
      </w:r>
    </w:p>
    <w:p w14:paraId="205BA891" w14:textId="5FD9BC4E"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In his closing address to the jury, the Crown Prosecutor referred to an answer given by Alicia in her recorded interview by the police to the effect that: "I don't understand why [the respondent] would have been involved</w:t>
      </w:r>
      <w:r w:rsidR="00722F36" w:rsidRPr="00F90E7C">
        <w:rPr>
          <w:rFonts w:ascii="Times New Roman" w:hAnsi="Times New Roman"/>
        </w:rPr>
        <w:t xml:space="preserve"> </w:t>
      </w:r>
      <w:r w:rsidRPr="00F90E7C">
        <w:rPr>
          <w:rFonts w:ascii="Times New Roman" w:hAnsi="Times New Roman"/>
        </w:rPr>
        <w:t xml:space="preserve">... unless [JR] forced her to and told her that if she didn't do it, he'd [do] something to her". </w:t>
      </w:r>
    </w:p>
    <w:p w14:paraId="775E8655" w14:textId="6DF5CF02" w:rsidR="00562D00" w:rsidRPr="00F90E7C" w:rsidRDefault="00562D00" w:rsidP="00F90E7C">
      <w:pPr>
        <w:pStyle w:val="HeadingL2"/>
        <w:spacing w:after="260" w:line="280" w:lineRule="exact"/>
        <w:ind w:right="0"/>
        <w:jc w:val="both"/>
        <w:rPr>
          <w:rFonts w:ascii="Times New Roman" w:hAnsi="Times New Roman"/>
        </w:rPr>
      </w:pPr>
      <w:r w:rsidRPr="00F90E7C">
        <w:rPr>
          <w:rFonts w:ascii="Times New Roman" w:hAnsi="Times New Roman"/>
        </w:rPr>
        <w:t xml:space="preserve">The </w:t>
      </w:r>
      <w:r w:rsidR="007E1614" w:rsidRPr="00F90E7C">
        <w:rPr>
          <w:rFonts w:ascii="Times New Roman" w:hAnsi="Times New Roman"/>
        </w:rPr>
        <w:t>d</w:t>
      </w:r>
      <w:r w:rsidRPr="00F90E7C">
        <w:rPr>
          <w:rFonts w:ascii="Times New Roman" w:hAnsi="Times New Roman"/>
        </w:rPr>
        <w:t xml:space="preserve">efence </w:t>
      </w:r>
      <w:r w:rsidR="007E1614" w:rsidRPr="00F90E7C">
        <w:rPr>
          <w:rFonts w:ascii="Times New Roman" w:hAnsi="Times New Roman"/>
        </w:rPr>
        <w:t>c</w:t>
      </w:r>
      <w:r w:rsidRPr="00F90E7C">
        <w:rPr>
          <w:rFonts w:ascii="Times New Roman" w:hAnsi="Times New Roman"/>
        </w:rPr>
        <w:t>ase</w:t>
      </w:r>
    </w:p>
    <w:p w14:paraId="00546BE9" w14:textId="61B640C4"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The respondent did not give evidence at any of her trials. The defence case did not dispute that JR offended against Paige or Alicia, but contended that the respondent was not present and did not do any of the acts for which she was charged. Alternatively, the respondent contended that she could not remember committing any of the offences because of difficulties with her memory. </w:t>
      </w:r>
    </w:p>
    <w:p w14:paraId="41BC7507" w14:textId="33201453" w:rsidR="00562D00" w:rsidRPr="00F90E7C" w:rsidRDefault="00562D00" w:rsidP="00F90E7C">
      <w:pPr>
        <w:pStyle w:val="HeadingL1"/>
        <w:spacing w:after="260" w:line="280" w:lineRule="exact"/>
        <w:ind w:right="0"/>
        <w:jc w:val="both"/>
        <w:rPr>
          <w:rFonts w:ascii="Times New Roman" w:hAnsi="Times New Roman"/>
        </w:rPr>
      </w:pPr>
      <w:r w:rsidRPr="00F90E7C">
        <w:rPr>
          <w:rFonts w:ascii="Times New Roman" w:hAnsi="Times New Roman"/>
        </w:rPr>
        <w:t xml:space="preserve">The </w:t>
      </w:r>
      <w:r w:rsidR="007E1614" w:rsidRPr="00F90E7C">
        <w:rPr>
          <w:rFonts w:ascii="Times New Roman" w:hAnsi="Times New Roman"/>
        </w:rPr>
        <w:t>v</w:t>
      </w:r>
      <w:r w:rsidRPr="00F90E7C">
        <w:rPr>
          <w:rFonts w:ascii="Times New Roman" w:hAnsi="Times New Roman"/>
        </w:rPr>
        <w:t>oir-</w:t>
      </w:r>
      <w:r w:rsidR="007E1614" w:rsidRPr="00F90E7C">
        <w:rPr>
          <w:rFonts w:ascii="Times New Roman" w:hAnsi="Times New Roman"/>
        </w:rPr>
        <w:t>di</w:t>
      </w:r>
      <w:r w:rsidRPr="00F90E7C">
        <w:rPr>
          <w:rFonts w:ascii="Times New Roman" w:hAnsi="Times New Roman"/>
        </w:rPr>
        <w:t xml:space="preserve">re and the </w:t>
      </w:r>
      <w:r w:rsidR="007E1614" w:rsidRPr="00F90E7C">
        <w:rPr>
          <w:rFonts w:ascii="Times New Roman" w:hAnsi="Times New Roman"/>
        </w:rPr>
        <w:t>t</w:t>
      </w:r>
      <w:r w:rsidRPr="00F90E7C">
        <w:rPr>
          <w:rFonts w:ascii="Times New Roman" w:hAnsi="Times New Roman"/>
        </w:rPr>
        <w:t xml:space="preserve">rial </w:t>
      </w:r>
      <w:r w:rsidR="007E1614" w:rsidRPr="00F90E7C">
        <w:rPr>
          <w:rFonts w:ascii="Times New Roman" w:hAnsi="Times New Roman"/>
        </w:rPr>
        <w:t>j</w:t>
      </w:r>
      <w:r w:rsidRPr="00F90E7C">
        <w:rPr>
          <w:rFonts w:ascii="Times New Roman" w:hAnsi="Times New Roman"/>
        </w:rPr>
        <w:t xml:space="preserve">udge's </w:t>
      </w:r>
      <w:r w:rsidR="007E1614" w:rsidRPr="00F90E7C">
        <w:rPr>
          <w:rFonts w:ascii="Times New Roman" w:hAnsi="Times New Roman"/>
        </w:rPr>
        <w:t>r</w:t>
      </w:r>
      <w:r w:rsidRPr="00F90E7C">
        <w:rPr>
          <w:rFonts w:ascii="Times New Roman" w:hAnsi="Times New Roman"/>
        </w:rPr>
        <w:t>uling</w:t>
      </w:r>
    </w:p>
    <w:p w14:paraId="75E26DE6" w14:textId="42E8B008"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On the voir-dire, the respondent contended that Paige and Alicia's evidence, Ms Matthews' report and the evidence the subject of a tendency notice concerning JR were a sufficient evidentiary basis for duress to be put to the jury. Paige and Alicia's evidence has already been described.</w:t>
      </w:r>
    </w:p>
    <w:p w14:paraId="0A9F0F69" w14:textId="5795A0B5"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Some aspects of Ms Matthews' assessment of the respondent's intellectual functioning have already been noted. Ms Matthews also opined that the respondent's "social deficits", which were associated with her intellectual disability, made it more difficult for the respondent to "withstand persuasion and manipulation". Ms Matthews' report includes verbatim extracts of her discussion with the respondent concerning her relationship with JR. These extracts supported Ms Matthews' conclusion that the respondent was subject to JR's financial and social control, was unable to leave the farm without his permission and suffered emotional abuse, intimidation and sexual abuse at his whim. The report recounts </w:t>
      </w:r>
      <w:r w:rsidRPr="00F90E7C">
        <w:rPr>
          <w:rFonts w:ascii="Times New Roman" w:hAnsi="Times New Roman"/>
        </w:rPr>
        <w:lastRenderedPageBreak/>
        <w:t xml:space="preserve">the respondent stating that JR would hit her every time during sex and that he displayed extreme anger towards her which made her afraid. </w:t>
      </w:r>
    </w:p>
    <w:p w14:paraId="131EF68E" w14:textId="1CA4493A"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Parts of Ms Matthews' report recount the respondent's response to Paige and Alicia's allegations against her. The respondent admitted having sex</w:t>
      </w:r>
      <w:r w:rsidR="006D4E60" w:rsidRPr="00F90E7C">
        <w:rPr>
          <w:rFonts w:ascii="Times New Roman" w:hAnsi="Times New Roman"/>
        </w:rPr>
        <w:t>ual intercourse</w:t>
      </w:r>
      <w:r w:rsidRPr="00F90E7C">
        <w:rPr>
          <w:rFonts w:ascii="Times New Roman" w:hAnsi="Times New Roman"/>
        </w:rPr>
        <w:t xml:space="preserve"> with JR in </w:t>
      </w:r>
      <w:r w:rsidR="00EB0030" w:rsidRPr="00F90E7C">
        <w:rPr>
          <w:rFonts w:ascii="Times New Roman" w:hAnsi="Times New Roman"/>
        </w:rPr>
        <w:t xml:space="preserve">the presence of </w:t>
      </w:r>
      <w:r w:rsidRPr="00F90E7C">
        <w:rPr>
          <w:rFonts w:ascii="Times New Roman" w:hAnsi="Times New Roman"/>
        </w:rPr>
        <w:t>Paige</w:t>
      </w:r>
      <w:r w:rsidR="0085055E" w:rsidRPr="00F90E7C">
        <w:rPr>
          <w:rFonts w:ascii="Times New Roman" w:hAnsi="Times New Roman"/>
        </w:rPr>
        <w:t xml:space="preserve"> and Alicia</w:t>
      </w:r>
      <w:r w:rsidRPr="00F90E7C">
        <w:rPr>
          <w:rFonts w:ascii="Times New Roman" w:hAnsi="Times New Roman"/>
        </w:rPr>
        <w:t xml:space="preserve"> but denied so much of the allegations that suggested she took any active step beyond that to sexually abuse Paige or Alicia. The report recounts the respondent repeatedly stating that she </w:t>
      </w:r>
      <w:r w:rsidR="003A29B5" w:rsidRPr="00F90E7C">
        <w:rPr>
          <w:rFonts w:ascii="Times New Roman" w:hAnsi="Times New Roman"/>
        </w:rPr>
        <w:t xml:space="preserve">had sexual intercourse with JR in Paige's presence </w:t>
      </w:r>
      <w:r w:rsidRPr="00F90E7C">
        <w:rPr>
          <w:rFonts w:ascii="Times New Roman" w:hAnsi="Times New Roman"/>
        </w:rPr>
        <w:t>because JR made her ("I tried to say no, but he made me"; "I only knew what I was told"). The report also recounts that the respondent explained that she did not stop JR from abusing Paige and Alicia because she felt "afraid" and that if she ran away from him, he "would take the kids off me". When she was pressed as to why she did not stop having sex with JR in the presence of Paige and Alicia, the respondent stated "[JR's] short fuse would come out, and [I was] afraid of [what] might happen, [JR got] angry on those occasions when he would hit, I would get afraid for the girls, afraid [he would] hit the girls</w:t>
      </w:r>
      <w:r w:rsidR="00B16A8A" w:rsidRPr="00F90E7C">
        <w:rPr>
          <w:rFonts w:ascii="Times New Roman" w:hAnsi="Times New Roman"/>
        </w:rPr>
        <w:t xml:space="preserve"> </w:t>
      </w:r>
      <w:r w:rsidRPr="00F90E7C">
        <w:rPr>
          <w:rFonts w:ascii="Times New Roman" w:hAnsi="Times New Roman"/>
        </w:rPr>
        <w:t xml:space="preserve">... hit me". </w:t>
      </w:r>
    </w:p>
    <w:p w14:paraId="25E55D09" w14:textId="5F9001ED"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Under the heading "Opinion", Ms Matthews concluded that the respondent was intellectually disabled and that her circumstances were suggestive of her having experienced "Battered Woman Syndrome". This syndrome was described as a "learned helplessness process" in which women who have been repeatedly abused within a relationship believe they cannot escape. Ms Matthews described this syndrome as a form of Post</w:t>
      </w:r>
      <w:r w:rsidRPr="00F90E7C">
        <w:rPr>
          <w:rFonts w:ascii="Times New Roman" w:hAnsi="Times New Roman"/>
        </w:rPr>
        <w:noBreakHyphen/>
        <w:t xml:space="preserve">Traumatic Stress Disorder. </w:t>
      </w:r>
    </w:p>
    <w:p w14:paraId="6B2EE5A1" w14:textId="670B3F99"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On the voir</w:t>
      </w:r>
      <w:r w:rsidRPr="00F90E7C">
        <w:rPr>
          <w:rFonts w:ascii="Times New Roman" w:hAnsi="Times New Roman"/>
        </w:rPr>
        <w:noBreakHyphen/>
        <w:t>dire, the Crown Prosecutor objected to the tender of Ms</w:t>
      </w:r>
      <w:r w:rsidR="00CE0CA6" w:rsidRPr="00F90E7C">
        <w:rPr>
          <w:rFonts w:ascii="Times New Roman" w:hAnsi="Times New Roman"/>
        </w:rPr>
        <w:t> </w:t>
      </w:r>
      <w:r w:rsidRPr="00F90E7C">
        <w:rPr>
          <w:rFonts w:ascii="Times New Roman" w:hAnsi="Times New Roman"/>
        </w:rPr>
        <w:t xml:space="preserve">Matthews' report. The trial judge did not address that objection, but instead made a ruling on the assumption that the report and the statements of the respondent it contained were admissible. The appellant maintained its objection in the Court of Appeal. However, in this Court, the appellant accepted that the appeal is to be decided on an evidentiary basis that includes Ms Matthew's report. </w:t>
      </w:r>
    </w:p>
    <w:p w14:paraId="012C36A5" w14:textId="04E1A284"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The respondent's tendency notice</w:t>
      </w:r>
      <w:r w:rsidRPr="00F90E7C">
        <w:rPr>
          <w:rStyle w:val="FootnoteReference"/>
          <w:rFonts w:ascii="Times New Roman" w:hAnsi="Times New Roman"/>
          <w:sz w:val="24"/>
        </w:rPr>
        <w:footnoteReference w:id="18"/>
      </w:r>
      <w:r w:rsidRPr="00F90E7C">
        <w:rPr>
          <w:rFonts w:ascii="Times New Roman" w:hAnsi="Times New Roman"/>
        </w:rPr>
        <w:t xml:space="preserve"> described a tendency of JR to display "towards all family members</w:t>
      </w:r>
      <w:r w:rsidR="006804FF" w:rsidRPr="00F90E7C">
        <w:rPr>
          <w:rFonts w:ascii="Times New Roman" w:hAnsi="Times New Roman"/>
        </w:rPr>
        <w:t xml:space="preserve"> </w:t>
      </w:r>
      <w:r w:rsidR="00D518FF" w:rsidRPr="00F90E7C">
        <w:rPr>
          <w:rFonts w:ascii="Times New Roman" w:hAnsi="Times New Roman"/>
        </w:rPr>
        <w:t>...</w:t>
      </w:r>
      <w:r w:rsidRPr="00F90E7C">
        <w:rPr>
          <w:rFonts w:ascii="Times New Roman" w:hAnsi="Times New Roman"/>
        </w:rPr>
        <w:t xml:space="preserve"> threats, intimidation, psychological violence, physical violence and family violence including economic for the purpose of control, coercion and domination of all family members".  </w:t>
      </w:r>
    </w:p>
    <w:p w14:paraId="183913D0" w14:textId="0EAC3D1F"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The tendency notice identified 19 passages from the evidence of Paige and Alicia as supporting the alleged tendency, which included the violent and sadistic acts of JR described above. The tendency notice also identified nine statements </w:t>
      </w:r>
      <w:r w:rsidRPr="00F90E7C">
        <w:rPr>
          <w:rFonts w:ascii="Times New Roman" w:hAnsi="Times New Roman"/>
        </w:rPr>
        <w:lastRenderedPageBreak/>
        <w:t>made by the respondent set out in Ms Matthews' report concerning violent and controlling conduct of JR. It suffices to state that the evidence identified in the tendency notice was capable of establishing the asserted tendency on the part of JR during the period covered by the indictment.</w:t>
      </w:r>
    </w:p>
    <w:p w14:paraId="60B9CB0F" w14:textId="34E7C00A"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In the trial judge's ruling rejecting the respondent's reliance on duress, his Honour concluded that there was no evidence that the respondent was acting under any form of threat which had</w:t>
      </w:r>
      <w:r w:rsidRPr="00F90E7C" w:rsidDel="002E0D44">
        <w:rPr>
          <w:rFonts w:ascii="Times New Roman" w:hAnsi="Times New Roman"/>
        </w:rPr>
        <w:t xml:space="preserve"> </w:t>
      </w:r>
      <w:r w:rsidRPr="00F90E7C">
        <w:rPr>
          <w:rFonts w:ascii="Times New Roman" w:hAnsi="Times New Roman"/>
        </w:rPr>
        <w:t xml:space="preserve">constrained her to commit the offence nominated by the person making the threats (ie, JR).  </w:t>
      </w:r>
    </w:p>
    <w:p w14:paraId="52AFE224" w14:textId="6F6A151C"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As noted, the respondent sought leave to appeal against her convictions and her appeal was </w:t>
      </w:r>
      <w:r w:rsidR="002D7C56" w:rsidRPr="00F90E7C">
        <w:rPr>
          <w:rFonts w:ascii="Times New Roman" w:hAnsi="Times New Roman"/>
        </w:rPr>
        <w:t>allowed</w:t>
      </w:r>
      <w:r w:rsidR="004B49E1" w:rsidRPr="00F90E7C">
        <w:rPr>
          <w:rFonts w:ascii="Times New Roman" w:hAnsi="Times New Roman"/>
        </w:rPr>
        <w:t>.</w:t>
      </w:r>
      <w:r w:rsidRPr="00F90E7C">
        <w:rPr>
          <w:rFonts w:ascii="Times New Roman" w:hAnsi="Times New Roman"/>
        </w:rPr>
        <w:t xml:space="preserve"> Before considering the appellant's complaints about the Court of Appeal's reasoning and conclusion, it is necessary to address so much of the common law concerning duress that requires that the accused be subject to a threat of the relevant form of harm if the accused fails to do the acts that constitute the offence charged.</w:t>
      </w:r>
    </w:p>
    <w:p w14:paraId="40835F96" w14:textId="3C9CFFD1" w:rsidR="00562D00" w:rsidRPr="00F90E7C" w:rsidRDefault="00562D00" w:rsidP="00F90E7C">
      <w:pPr>
        <w:pStyle w:val="HeadingL1"/>
        <w:spacing w:after="260" w:line="280" w:lineRule="exact"/>
        <w:ind w:right="0"/>
        <w:jc w:val="both"/>
        <w:rPr>
          <w:rFonts w:ascii="Times New Roman" w:hAnsi="Times New Roman"/>
        </w:rPr>
      </w:pPr>
      <w:r w:rsidRPr="00F90E7C">
        <w:rPr>
          <w:rFonts w:ascii="Times New Roman" w:hAnsi="Times New Roman"/>
        </w:rPr>
        <w:t>Duress and "</w:t>
      </w:r>
      <w:r w:rsidR="007E1614" w:rsidRPr="00F90E7C">
        <w:rPr>
          <w:rFonts w:ascii="Times New Roman" w:hAnsi="Times New Roman"/>
        </w:rPr>
        <w:t>e</w:t>
      </w:r>
      <w:r w:rsidRPr="00F90E7C">
        <w:rPr>
          <w:rFonts w:ascii="Times New Roman" w:hAnsi="Times New Roman"/>
        </w:rPr>
        <w:t xml:space="preserve">lement (i)" in </w:t>
      </w:r>
      <w:r w:rsidRPr="00F90E7C">
        <w:rPr>
          <w:rFonts w:ascii="Times New Roman" w:hAnsi="Times New Roman"/>
          <w:i/>
        </w:rPr>
        <w:t xml:space="preserve">Hurley </w:t>
      </w:r>
    </w:p>
    <w:p w14:paraId="0AF6D589" w14:textId="4BF14C23"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Subject to any statutory provision to the contrary,</w:t>
      </w:r>
      <w:r w:rsidRPr="00F90E7C">
        <w:rPr>
          <w:rStyle w:val="FootnoteReference"/>
          <w:rFonts w:ascii="Times New Roman" w:hAnsi="Times New Roman"/>
          <w:sz w:val="24"/>
        </w:rPr>
        <w:footnoteReference w:id="19"/>
      </w:r>
      <w:r w:rsidRPr="00F90E7C">
        <w:rPr>
          <w:rFonts w:ascii="Times New Roman" w:hAnsi="Times New Roman"/>
        </w:rPr>
        <w:t xml:space="preserve"> the accused bears an evidential burden to raise a defence of duress and, if discharged, the prosecution bears the legal burden of proving beyond reasonable doubt that the accused did not act under duress.</w:t>
      </w:r>
      <w:r w:rsidRPr="00F90E7C">
        <w:rPr>
          <w:rStyle w:val="FootnoteReference"/>
          <w:rFonts w:ascii="Times New Roman" w:hAnsi="Times New Roman"/>
          <w:sz w:val="24"/>
        </w:rPr>
        <w:footnoteReference w:id="20"/>
      </w:r>
      <w:r w:rsidRPr="00F90E7C">
        <w:rPr>
          <w:rFonts w:ascii="Times New Roman" w:hAnsi="Times New Roman"/>
        </w:rPr>
        <w:t xml:space="preserve"> It follows from </w:t>
      </w:r>
      <w:r w:rsidRPr="00F90E7C">
        <w:rPr>
          <w:rFonts w:ascii="Times New Roman" w:hAnsi="Times New Roman"/>
          <w:i/>
          <w:iCs/>
        </w:rPr>
        <w:t>Braysich v The Queen</w:t>
      </w:r>
      <w:r w:rsidRPr="00F90E7C">
        <w:rPr>
          <w:rStyle w:val="FootnoteReference"/>
          <w:rFonts w:ascii="Times New Roman" w:hAnsi="Times New Roman"/>
          <w:iCs/>
          <w:sz w:val="24"/>
        </w:rPr>
        <w:footnoteReference w:id="21"/>
      </w:r>
      <w:r w:rsidRPr="00F90E7C">
        <w:rPr>
          <w:rFonts w:ascii="Times New Roman" w:hAnsi="Times New Roman"/>
        </w:rPr>
        <w:t xml:space="preserve"> that the accused's evidential burden is satisfied if there is "evidence which, taken at its highest in favour of the accused, could lead a reasonable jury, properly instructed, to have a reasonable doubt that each of the elements of the defence had been negatived". This test can be expressed in positive terms as requiring that the accused identify some basis in the evidence that raises a reasonable possibility that each of the elements of the defence exist</w:t>
      </w:r>
      <w:r w:rsidR="00545FDB" w:rsidRPr="00F90E7C">
        <w:rPr>
          <w:rFonts w:ascii="Times New Roman" w:hAnsi="Times New Roman"/>
        </w:rPr>
        <w:t>s</w:t>
      </w:r>
      <w:r w:rsidRPr="00F90E7C">
        <w:rPr>
          <w:rFonts w:ascii="Times New Roman" w:hAnsi="Times New Roman"/>
        </w:rPr>
        <w:t>.</w:t>
      </w:r>
      <w:r w:rsidRPr="00F90E7C">
        <w:rPr>
          <w:rStyle w:val="FootnoteReference"/>
          <w:rFonts w:ascii="Times New Roman" w:hAnsi="Times New Roman"/>
          <w:sz w:val="24"/>
        </w:rPr>
        <w:footnoteReference w:id="22"/>
      </w:r>
      <w:r w:rsidRPr="00F90E7C">
        <w:rPr>
          <w:rFonts w:ascii="Times New Roman" w:hAnsi="Times New Roman"/>
        </w:rPr>
        <w:t xml:space="preserve"> It is only if a trial judge is satisfied that threshold has </w:t>
      </w:r>
      <w:r w:rsidRPr="00F90E7C">
        <w:rPr>
          <w:rFonts w:ascii="Times New Roman" w:hAnsi="Times New Roman"/>
          <w:i/>
        </w:rPr>
        <w:t>not</w:t>
      </w:r>
      <w:r w:rsidRPr="00F90E7C">
        <w:rPr>
          <w:rFonts w:ascii="Times New Roman" w:hAnsi="Times New Roman"/>
        </w:rPr>
        <w:t xml:space="preserve"> been reached </w:t>
      </w:r>
      <w:r w:rsidR="00F65D6C" w:rsidRPr="00F90E7C">
        <w:rPr>
          <w:rFonts w:ascii="Times New Roman" w:hAnsi="Times New Roman"/>
        </w:rPr>
        <w:t xml:space="preserve">that </w:t>
      </w:r>
      <w:r w:rsidRPr="00F90E7C">
        <w:rPr>
          <w:rFonts w:ascii="Times New Roman" w:hAnsi="Times New Roman"/>
        </w:rPr>
        <w:t xml:space="preserve">they </w:t>
      </w:r>
      <w:r w:rsidR="00F65D6C" w:rsidRPr="00F90E7C">
        <w:rPr>
          <w:rFonts w:ascii="Times New Roman" w:hAnsi="Times New Roman"/>
        </w:rPr>
        <w:t xml:space="preserve">may </w:t>
      </w:r>
      <w:r w:rsidRPr="00F90E7C">
        <w:rPr>
          <w:rFonts w:ascii="Times New Roman" w:hAnsi="Times New Roman"/>
        </w:rPr>
        <w:t xml:space="preserve">decline to put duress to the jury. In terms of the </w:t>
      </w:r>
      <w:r w:rsidRPr="00F90E7C">
        <w:rPr>
          <w:rFonts w:ascii="Times New Roman" w:hAnsi="Times New Roman"/>
          <w:i/>
          <w:iCs/>
        </w:rPr>
        <w:t>Jury Directions Act 2015</w:t>
      </w:r>
      <w:r w:rsidRPr="00F90E7C">
        <w:rPr>
          <w:rFonts w:ascii="Times New Roman" w:hAnsi="Times New Roman"/>
        </w:rPr>
        <w:t xml:space="preserve"> (Vic), unless the trial judge was so satisfied, there </w:t>
      </w:r>
      <w:r w:rsidRPr="00F90E7C">
        <w:rPr>
          <w:rFonts w:ascii="Times New Roman" w:hAnsi="Times New Roman"/>
        </w:rPr>
        <w:lastRenderedPageBreak/>
        <w:t>would not be a "good reason" to decline to give a requested direction to the jury in respect of duress.</w:t>
      </w:r>
      <w:r w:rsidR="004224F0" w:rsidRPr="00F90E7C">
        <w:rPr>
          <w:rStyle w:val="FootnoteReference"/>
          <w:rFonts w:ascii="Times New Roman" w:hAnsi="Times New Roman"/>
          <w:sz w:val="24"/>
        </w:rPr>
        <w:footnoteReference w:id="23"/>
      </w:r>
    </w:p>
    <w:p w14:paraId="3A6AACA8" w14:textId="77777777"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Reference has already been made to the judgment of Smith J in </w:t>
      </w:r>
      <w:r w:rsidRPr="00F90E7C">
        <w:rPr>
          <w:rFonts w:ascii="Times New Roman" w:hAnsi="Times New Roman"/>
          <w:i/>
          <w:iCs/>
        </w:rPr>
        <w:t>Hurley</w:t>
      </w:r>
      <w:r w:rsidRPr="00F90E7C">
        <w:rPr>
          <w:rFonts w:ascii="Times New Roman" w:hAnsi="Times New Roman"/>
        </w:rPr>
        <w:t xml:space="preserve"> and the so-called "elements" of the defence of duress. The relevant passage in </w:t>
      </w:r>
      <w:r w:rsidRPr="00F90E7C">
        <w:rPr>
          <w:rFonts w:ascii="Times New Roman" w:hAnsi="Times New Roman"/>
          <w:i/>
          <w:iCs/>
        </w:rPr>
        <w:t>Hurley</w:t>
      </w:r>
      <w:r w:rsidRPr="00F90E7C">
        <w:rPr>
          <w:rFonts w:ascii="Times New Roman" w:hAnsi="Times New Roman"/>
        </w:rPr>
        <w:t xml:space="preserve"> specifying those elements is as follows:</w:t>
      </w:r>
      <w:r w:rsidRPr="00F90E7C">
        <w:rPr>
          <w:rStyle w:val="FootnoteReference"/>
          <w:rFonts w:ascii="Times New Roman" w:hAnsi="Times New Roman"/>
          <w:sz w:val="24"/>
        </w:rPr>
        <w:footnoteReference w:id="24"/>
      </w:r>
      <w:r w:rsidRPr="00F90E7C">
        <w:rPr>
          <w:rFonts w:ascii="Times New Roman" w:hAnsi="Times New Roman"/>
        </w:rPr>
        <w:t xml:space="preserve"> </w:t>
      </w:r>
    </w:p>
    <w:p w14:paraId="1CB59C96" w14:textId="77777777" w:rsidR="00F90E7C" w:rsidRDefault="00562D00" w:rsidP="00F90E7C">
      <w:pPr>
        <w:pStyle w:val="LeftrightafterHC"/>
        <w:spacing w:before="0" w:after="260" w:line="280" w:lineRule="exact"/>
        <w:ind w:right="0"/>
        <w:jc w:val="both"/>
        <w:rPr>
          <w:rFonts w:ascii="Times New Roman" w:hAnsi="Times New Roman"/>
        </w:rPr>
      </w:pPr>
      <w:r w:rsidRPr="00F90E7C">
        <w:rPr>
          <w:rFonts w:ascii="Times New Roman" w:hAnsi="Times New Roman"/>
        </w:rPr>
        <w:t xml:space="preserve">"Where the accused has been </w:t>
      </w:r>
      <w:r w:rsidRPr="00F90E7C">
        <w:rPr>
          <w:rFonts w:ascii="Times New Roman" w:hAnsi="Times New Roman"/>
          <w:i/>
          <w:iCs/>
        </w:rPr>
        <w:t>required to do the act charged against him (i)</w:t>
      </w:r>
      <w:r w:rsidR="0084451B" w:rsidRPr="00F90E7C">
        <w:rPr>
          <w:rFonts w:ascii="Times New Roman" w:hAnsi="Times New Roman"/>
          <w:i/>
          <w:iCs/>
        </w:rPr>
        <w:t> </w:t>
      </w:r>
      <w:r w:rsidRPr="00F90E7C">
        <w:rPr>
          <w:rFonts w:ascii="Times New Roman" w:hAnsi="Times New Roman"/>
          <w:i/>
          <w:iCs/>
        </w:rPr>
        <w:t>under a threat that death or grievous bodily harm will be inflicted unlawfully upon a human being if the accused fails to do the act</w:t>
      </w:r>
      <w:r w:rsidRPr="00F90E7C">
        <w:rPr>
          <w:rFonts w:ascii="Times New Roman" w:hAnsi="Times New Roman"/>
        </w:rPr>
        <w:t xml:space="preserve"> and (ii)</w:t>
      </w:r>
      <w:r w:rsidR="00ED77F9" w:rsidRPr="00F90E7C">
        <w:rPr>
          <w:rFonts w:ascii="Times New Roman" w:hAnsi="Times New Roman"/>
        </w:rPr>
        <w:t> </w:t>
      </w:r>
      <w:r w:rsidRPr="00F90E7C">
        <w:rPr>
          <w:rFonts w:ascii="Times New Roman" w:hAnsi="Times New Roman"/>
        </w:rPr>
        <w:t>the circumstances were such that a person of ordinary firmness would have been likely to yield to the threat in the way the accused did and (iii)</w:t>
      </w:r>
      <w:r w:rsidR="00ED77F9" w:rsidRPr="00F90E7C">
        <w:rPr>
          <w:rFonts w:ascii="Times New Roman" w:hAnsi="Times New Roman"/>
        </w:rPr>
        <w:t> </w:t>
      </w:r>
      <w:r w:rsidRPr="00F90E7C">
        <w:rPr>
          <w:rFonts w:ascii="Times New Roman" w:hAnsi="Times New Roman"/>
        </w:rPr>
        <w:t>the threat was present and continuing, imminent and impending (as previously described) and (iv) the accused reasonably apprehended that the threat would be carried out and (v) he was induced thereby to commit the crime charged and (vi) that crime was not murder, nor any other crime so heinous as to be excepted from the doctrine and (vii) the accused did not, by fault on his part when free from the duress, expose himself to its application and (viii) he had no means, with safety to himself, of preventing the execution of the threat, then the accused, in such circumstances at least, has a defence of duress." (emphasis added)</w:t>
      </w:r>
    </w:p>
    <w:p w14:paraId="52891D3C" w14:textId="3D69BE48"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In </w:t>
      </w:r>
      <w:r w:rsidRPr="00F90E7C">
        <w:rPr>
          <w:rFonts w:ascii="Times New Roman" w:hAnsi="Times New Roman"/>
          <w:i/>
          <w:iCs/>
        </w:rPr>
        <w:t>Taiapa v The Queen</w:t>
      </w:r>
      <w:r w:rsidRPr="00F90E7C">
        <w:rPr>
          <w:rFonts w:ascii="Times New Roman" w:hAnsi="Times New Roman"/>
        </w:rPr>
        <w:t>,</w:t>
      </w:r>
      <w:r w:rsidRPr="00F90E7C">
        <w:rPr>
          <w:rStyle w:val="FootnoteReference"/>
          <w:rFonts w:ascii="Times New Roman" w:hAnsi="Times New Roman"/>
          <w:iCs/>
          <w:sz w:val="24"/>
        </w:rPr>
        <w:footnoteReference w:id="25"/>
      </w:r>
      <w:r w:rsidRPr="00F90E7C">
        <w:rPr>
          <w:rFonts w:ascii="Times New Roman" w:hAnsi="Times New Roman"/>
        </w:rPr>
        <w:t xml:space="preserve"> this Court observed that the above statement of the elements has been frequently cited as authoritative</w:t>
      </w:r>
      <w:r w:rsidRPr="00F90E7C">
        <w:rPr>
          <w:rStyle w:val="FootnoteReference"/>
          <w:rFonts w:ascii="Times New Roman" w:hAnsi="Times New Roman"/>
          <w:sz w:val="24"/>
        </w:rPr>
        <w:footnoteReference w:id="26"/>
      </w:r>
      <w:r w:rsidRPr="00F90E7C">
        <w:rPr>
          <w:rFonts w:ascii="Times New Roman" w:hAnsi="Times New Roman"/>
        </w:rPr>
        <w:t xml:space="preserve"> and cited decisions of intermediate courts of appeal in non</w:t>
      </w:r>
      <w:r w:rsidRPr="00F90E7C">
        <w:rPr>
          <w:rFonts w:ascii="Times New Roman" w:hAnsi="Times New Roman"/>
        </w:rPr>
        <w:noBreakHyphen/>
        <w:t>code jurisdictions, namely, Victoria,</w:t>
      </w:r>
      <w:r w:rsidRPr="00F90E7C">
        <w:rPr>
          <w:rStyle w:val="FootnoteReference"/>
          <w:rFonts w:ascii="Times New Roman" w:hAnsi="Times New Roman"/>
          <w:sz w:val="24"/>
        </w:rPr>
        <w:footnoteReference w:id="27"/>
      </w:r>
      <w:r w:rsidRPr="00F90E7C">
        <w:rPr>
          <w:rFonts w:ascii="Times New Roman" w:hAnsi="Times New Roman"/>
        </w:rPr>
        <w:t xml:space="preserve"> New </w:t>
      </w:r>
      <w:r w:rsidRPr="00F90E7C">
        <w:rPr>
          <w:rFonts w:ascii="Times New Roman" w:hAnsi="Times New Roman"/>
        </w:rPr>
        <w:lastRenderedPageBreak/>
        <w:t>South Wales</w:t>
      </w:r>
      <w:r w:rsidRPr="00F90E7C">
        <w:rPr>
          <w:rStyle w:val="FootnoteReference"/>
          <w:rFonts w:ascii="Times New Roman" w:hAnsi="Times New Roman"/>
          <w:sz w:val="24"/>
        </w:rPr>
        <w:footnoteReference w:id="28"/>
      </w:r>
      <w:r w:rsidRPr="00F90E7C">
        <w:rPr>
          <w:rFonts w:ascii="Times New Roman" w:hAnsi="Times New Roman"/>
        </w:rPr>
        <w:t xml:space="preserve"> and South Australia.</w:t>
      </w:r>
      <w:r w:rsidRPr="00F90E7C">
        <w:rPr>
          <w:rStyle w:val="FootnoteReference"/>
          <w:rFonts w:ascii="Times New Roman" w:hAnsi="Times New Roman"/>
          <w:sz w:val="24"/>
        </w:rPr>
        <w:footnoteReference w:id="29"/>
      </w:r>
      <w:r w:rsidRPr="00F90E7C" w:rsidDel="006756FD">
        <w:rPr>
          <w:rFonts w:ascii="Times New Roman" w:hAnsi="Times New Roman"/>
        </w:rPr>
        <w:t xml:space="preserve"> </w:t>
      </w:r>
      <w:r w:rsidRPr="00F90E7C">
        <w:rPr>
          <w:rFonts w:ascii="Times New Roman" w:hAnsi="Times New Roman"/>
        </w:rPr>
        <w:t>To those references there can be added first instance decisions in the Australian Capital Territory.</w:t>
      </w:r>
      <w:r w:rsidRPr="00F90E7C">
        <w:rPr>
          <w:rStyle w:val="FootnoteReference"/>
          <w:rFonts w:ascii="Times New Roman" w:hAnsi="Times New Roman"/>
          <w:sz w:val="24"/>
        </w:rPr>
        <w:footnoteReference w:id="30"/>
      </w:r>
      <w:r w:rsidRPr="00F90E7C">
        <w:rPr>
          <w:rFonts w:ascii="Times New Roman" w:hAnsi="Times New Roman"/>
        </w:rPr>
        <w:t xml:space="preserve"> </w:t>
      </w:r>
    </w:p>
    <w:p w14:paraId="713374F0" w14:textId="1267174A"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Although the above statement from </w:t>
      </w:r>
      <w:r w:rsidRPr="00F90E7C">
        <w:rPr>
          <w:rFonts w:ascii="Times New Roman" w:hAnsi="Times New Roman"/>
          <w:i/>
          <w:iCs/>
        </w:rPr>
        <w:t>Hurley</w:t>
      </w:r>
      <w:r w:rsidRPr="00F90E7C">
        <w:rPr>
          <w:rFonts w:ascii="Times New Roman" w:hAnsi="Times New Roman"/>
        </w:rPr>
        <w:t xml:space="preserve"> has been treated as "authoritative", it has not been treated as prescribing any particular form of jury direction, much less one that has eight components.</w:t>
      </w:r>
      <w:r w:rsidRPr="00F90E7C">
        <w:rPr>
          <w:rStyle w:val="FootnoteReference"/>
          <w:rFonts w:ascii="Times New Roman" w:hAnsi="Times New Roman"/>
          <w:sz w:val="24"/>
        </w:rPr>
        <w:footnoteReference w:id="31"/>
      </w:r>
    </w:p>
    <w:p w14:paraId="5E1A1BD6" w14:textId="4AA0358C" w:rsidR="00562D00" w:rsidRPr="00F90E7C" w:rsidRDefault="00562D00" w:rsidP="00F90E7C">
      <w:pPr>
        <w:pStyle w:val="HeadingL2"/>
        <w:spacing w:after="260" w:line="280" w:lineRule="exact"/>
        <w:ind w:right="0"/>
        <w:jc w:val="both"/>
        <w:rPr>
          <w:rFonts w:ascii="Times New Roman" w:hAnsi="Times New Roman"/>
        </w:rPr>
      </w:pPr>
      <w:r w:rsidRPr="00F90E7C">
        <w:rPr>
          <w:rFonts w:ascii="Times New Roman" w:hAnsi="Times New Roman"/>
        </w:rPr>
        <w:t xml:space="preserve">Express and </w:t>
      </w:r>
      <w:r w:rsidR="007E1614" w:rsidRPr="00F90E7C">
        <w:rPr>
          <w:rFonts w:ascii="Times New Roman" w:hAnsi="Times New Roman"/>
        </w:rPr>
        <w:t>i</w:t>
      </w:r>
      <w:r w:rsidRPr="00F90E7C">
        <w:rPr>
          <w:rFonts w:ascii="Times New Roman" w:hAnsi="Times New Roman"/>
        </w:rPr>
        <w:t xml:space="preserve">mplied </w:t>
      </w:r>
      <w:r w:rsidR="007E1614" w:rsidRPr="00F90E7C">
        <w:rPr>
          <w:rFonts w:ascii="Times New Roman" w:hAnsi="Times New Roman"/>
        </w:rPr>
        <w:t>t</w:t>
      </w:r>
      <w:r w:rsidRPr="00F90E7C">
        <w:rPr>
          <w:rFonts w:ascii="Times New Roman" w:hAnsi="Times New Roman"/>
        </w:rPr>
        <w:t>hreats</w:t>
      </w:r>
    </w:p>
    <w:p w14:paraId="2AAADC4D" w14:textId="70DBBE8C"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The necessity for the accused to be subject to a threat </w:t>
      </w:r>
      <w:r w:rsidR="006848BF" w:rsidRPr="00F90E7C">
        <w:rPr>
          <w:rFonts w:ascii="Times New Roman" w:hAnsi="Times New Roman"/>
        </w:rPr>
        <w:t>of</w:t>
      </w:r>
      <w:r w:rsidRPr="00F90E7C" w:rsidDel="006848BF">
        <w:rPr>
          <w:rFonts w:ascii="Times New Roman" w:hAnsi="Times New Roman"/>
        </w:rPr>
        <w:t xml:space="preserve"> </w:t>
      </w:r>
      <w:r w:rsidR="00582572" w:rsidRPr="00F90E7C">
        <w:rPr>
          <w:rFonts w:ascii="Times New Roman" w:hAnsi="Times New Roman"/>
        </w:rPr>
        <w:t xml:space="preserve">infliction of </w:t>
      </w:r>
      <w:r w:rsidRPr="00F90E7C">
        <w:rPr>
          <w:rFonts w:ascii="Times New Roman" w:hAnsi="Times New Roman"/>
        </w:rPr>
        <w:t xml:space="preserve">the relevant form of harm if the accused </w:t>
      </w:r>
      <w:r w:rsidR="004F65A1" w:rsidRPr="00F90E7C">
        <w:rPr>
          <w:rFonts w:ascii="Times New Roman" w:hAnsi="Times New Roman"/>
        </w:rPr>
        <w:t xml:space="preserve">fails </w:t>
      </w:r>
      <w:r w:rsidRPr="00F90E7C">
        <w:rPr>
          <w:rFonts w:ascii="Times New Roman" w:hAnsi="Times New Roman"/>
        </w:rPr>
        <w:t xml:space="preserve">to commit the acts that constitute the offence charged has been a consistent feature of the consideration of </w:t>
      </w:r>
      <w:r w:rsidR="00D06E0D" w:rsidRPr="00F90E7C">
        <w:rPr>
          <w:rFonts w:ascii="Times New Roman" w:hAnsi="Times New Roman"/>
        </w:rPr>
        <w:t xml:space="preserve">the </w:t>
      </w:r>
      <w:r w:rsidRPr="00F90E7C">
        <w:rPr>
          <w:rFonts w:ascii="Times New Roman" w:hAnsi="Times New Roman"/>
        </w:rPr>
        <w:t>common law of duress by intermediate courts of appeal in the common law jurisdictions in this country.</w:t>
      </w:r>
      <w:r w:rsidRPr="00F90E7C">
        <w:rPr>
          <w:rStyle w:val="FootnoteReference"/>
          <w:rFonts w:ascii="Times New Roman" w:hAnsi="Times New Roman"/>
          <w:sz w:val="24"/>
        </w:rPr>
        <w:footnoteReference w:id="32"/>
      </w:r>
      <w:r w:rsidRPr="00F90E7C">
        <w:rPr>
          <w:rFonts w:ascii="Times New Roman" w:hAnsi="Times New Roman"/>
        </w:rPr>
        <w:t xml:space="preserve"> </w:t>
      </w:r>
    </w:p>
    <w:p w14:paraId="77D23D9A" w14:textId="77777777"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The nature of the requisite threat is illustrated by the facts of </w:t>
      </w:r>
      <w:r w:rsidRPr="00F90E7C">
        <w:rPr>
          <w:rFonts w:ascii="Times New Roman" w:hAnsi="Times New Roman"/>
          <w:i/>
          <w:iCs/>
        </w:rPr>
        <w:t>R v Dawson</w:t>
      </w:r>
      <w:r w:rsidRPr="00F90E7C">
        <w:rPr>
          <w:rStyle w:val="FootnoteReference"/>
          <w:rFonts w:ascii="Times New Roman" w:hAnsi="Times New Roman"/>
          <w:iCs/>
          <w:sz w:val="24"/>
        </w:rPr>
        <w:footnoteReference w:id="33"/>
      </w:r>
      <w:r w:rsidRPr="00F90E7C">
        <w:rPr>
          <w:rFonts w:ascii="Times New Roman" w:hAnsi="Times New Roman"/>
        </w:rPr>
        <w:t xml:space="preserve"> and </w:t>
      </w:r>
      <w:r w:rsidRPr="00F90E7C">
        <w:rPr>
          <w:rFonts w:ascii="Times New Roman" w:hAnsi="Times New Roman"/>
          <w:i/>
          <w:iCs/>
        </w:rPr>
        <w:t>R v Lorenz</w:t>
      </w:r>
      <w:r w:rsidRPr="00F90E7C">
        <w:rPr>
          <w:rFonts w:ascii="Times New Roman" w:hAnsi="Times New Roman"/>
        </w:rPr>
        <w:t>.</w:t>
      </w:r>
      <w:r w:rsidRPr="00F90E7C">
        <w:rPr>
          <w:rStyle w:val="FootnoteReference"/>
          <w:rFonts w:ascii="Times New Roman" w:hAnsi="Times New Roman"/>
          <w:sz w:val="24"/>
        </w:rPr>
        <w:footnoteReference w:id="34"/>
      </w:r>
      <w:r w:rsidRPr="00F90E7C">
        <w:rPr>
          <w:rFonts w:ascii="Times New Roman" w:hAnsi="Times New Roman"/>
        </w:rPr>
        <w:t xml:space="preserve"> In </w:t>
      </w:r>
      <w:r w:rsidRPr="00F90E7C">
        <w:rPr>
          <w:rFonts w:ascii="Times New Roman" w:hAnsi="Times New Roman"/>
          <w:i/>
          <w:iCs/>
        </w:rPr>
        <w:t>Dawson</w:t>
      </w:r>
      <w:r w:rsidRPr="00F90E7C">
        <w:rPr>
          <w:rFonts w:ascii="Times New Roman" w:hAnsi="Times New Roman"/>
        </w:rPr>
        <w:t xml:space="preserve">, the accused escaped from prison but led evidence that he did so because he feared for his life after receiving threats from other </w:t>
      </w:r>
      <w:r w:rsidRPr="00F90E7C">
        <w:rPr>
          <w:rFonts w:ascii="Times New Roman" w:hAnsi="Times New Roman"/>
        </w:rPr>
        <w:lastRenderedPageBreak/>
        <w:t>prisoners. The Full Court held that duress was not open because the threats were not made on the basis that, if he did not escape, he would be subject to violence.</w:t>
      </w:r>
      <w:r w:rsidRPr="00F90E7C">
        <w:rPr>
          <w:rStyle w:val="FootnoteReference"/>
          <w:rFonts w:ascii="Times New Roman" w:hAnsi="Times New Roman"/>
          <w:sz w:val="24"/>
        </w:rPr>
        <w:footnoteReference w:id="35"/>
      </w:r>
      <w:r w:rsidRPr="00F90E7C">
        <w:rPr>
          <w:rFonts w:ascii="Times New Roman" w:hAnsi="Times New Roman"/>
        </w:rPr>
        <w:t xml:space="preserve"> In </w:t>
      </w:r>
      <w:r w:rsidRPr="00F90E7C">
        <w:rPr>
          <w:rFonts w:ascii="Times New Roman" w:hAnsi="Times New Roman"/>
          <w:i/>
          <w:iCs/>
        </w:rPr>
        <w:t>Lorenz</w:t>
      </w:r>
      <w:r w:rsidRPr="00F90E7C">
        <w:rPr>
          <w:rFonts w:ascii="Times New Roman" w:hAnsi="Times New Roman"/>
        </w:rPr>
        <w:t>, the accused robbed a supermarket employee with a knife after her de facto partner threatened to kill her if she did not obtain enough money to re-register his car. The accused was pregnant at the time.</w:t>
      </w:r>
      <w:r w:rsidRPr="00F90E7C">
        <w:rPr>
          <w:rStyle w:val="FootnoteReference"/>
          <w:rFonts w:ascii="Times New Roman" w:hAnsi="Times New Roman"/>
          <w:sz w:val="24"/>
        </w:rPr>
        <w:footnoteReference w:id="36"/>
      </w:r>
      <w:r w:rsidRPr="00F90E7C">
        <w:rPr>
          <w:rFonts w:ascii="Times New Roman" w:hAnsi="Times New Roman"/>
        </w:rPr>
        <w:t xml:space="preserve"> After noting </w:t>
      </w:r>
      <w:r w:rsidRPr="00F90E7C">
        <w:rPr>
          <w:rFonts w:ascii="Times New Roman" w:hAnsi="Times New Roman"/>
          <w:i/>
          <w:iCs/>
        </w:rPr>
        <w:t>Hurley</w:t>
      </w:r>
      <w:r w:rsidRPr="00F90E7C">
        <w:rPr>
          <w:rFonts w:ascii="Times New Roman" w:hAnsi="Times New Roman"/>
        </w:rPr>
        <w:t xml:space="preserve"> and </w:t>
      </w:r>
      <w:r w:rsidRPr="00F90E7C">
        <w:rPr>
          <w:rFonts w:ascii="Times New Roman" w:hAnsi="Times New Roman"/>
          <w:i/>
          <w:iCs/>
        </w:rPr>
        <w:t>Dawson</w:t>
      </w:r>
      <w:r w:rsidRPr="00F90E7C">
        <w:rPr>
          <w:rFonts w:ascii="Times New Roman" w:hAnsi="Times New Roman"/>
        </w:rPr>
        <w:t>, Crispin J held that the defence of duress was not available as the accused's de facto partner did not direct her to commit the robbery.</w:t>
      </w:r>
      <w:r w:rsidRPr="00F90E7C">
        <w:rPr>
          <w:rStyle w:val="FootnoteReference"/>
          <w:rFonts w:ascii="Times New Roman" w:hAnsi="Times New Roman"/>
          <w:sz w:val="24"/>
        </w:rPr>
        <w:footnoteReference w:id="37"/>
      </w:r>
      <w:r w:rsidRPr="00F90E7C">
        <w:rPr>
          <w:rFonts w:ascii="Times New Roman" w:hAnsi="Times New Roman"/>
        </w:rPr>
        <w:t xml:space="preserve"> </w:t>
      </w:r>
    </w:p>
    <w:p w14:paraId="57922FA9" w14:textId="3AB60EC5"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However, neither </w:t>
      </w:r>
      <w:r w:rsidRPr="00F90E7C">
        <w:rPr>
          <w:rFonts w:ascii="Times New Roman" w:hAnsi="Times New Roman"/>
          <w:i/>
        </w:rPr>
        <w:t>Dawson</w:t>
      </w:r>
      <w:r w:rsidRPr="00F90E7C">
        <w:rPr>
          <w:rFonts w:ascii="Times New Roman" w:hAnsi="Times New Roman"/>
        </w:rPr>
        <w:t xml:space="preserve"> nor </w:t>
      </w:r>
      <w:r w:rsidRPr="00F90E7C">
        <w:rPr>
          <w:rFonts w:ascii="Times New Roman" w:hAnsi="Times New Roman"/>
          <w:i/>
          <w:iCs/>
        </w:rPr>
        <w:t xml:space="preserve">Lorenz </w:t>
      </w:r>
      <w:r w:rsidRPr="00F90E7C">
        <w:rPr>
          <w:rFonts w:ascii="Times New Roman" w:hAnsi="Times New Roman"/>
        </w:rPr>
        <w:t>suggest</w:t>
      </w:r>
      <w:r w:rsidR="00DE6A60" w:rsidRPr="00F90E7C">
        <w:rPr>
          <w:rFonts w:ascii="Times New Roman" w:hAnsi="Times New Roman"/>
        </w:rPr>
        <w:t>s</w:t>
      </w:r>
      <w:r w:rsidRPr="00F90E7C">
        <w:rPr>
          <w:rFonts w:ascii="Times New Roman" w:hAnsi="Times New Roman"/>
        </w:rPr>
        <w:t xml:space="preserve"> that a threat to inflict the relevant form of harm if the accused </w:t>
      </w:r>
      <w:r w:rsidR="00EB679F" w:rsidRPr="00F90E7C">
        <w:rPr>
          <w:rFonts w:ascii="Times New Roman" w:hAnsi="Times New Roman"/>
        </w:rPr>
        <w:t xml:space="preserve">fails </w:t>
      </w:r>
      <w:r w:rsidRPr="00F90E7C">
        <w:rPr>
          <w:rFonts w:ascii="Times New Roman" w:hAnsi="Times New Roman"/>
        </w:rPr>
        <w:t xml:space="preserve">to commit the acts constituting the charge cannot be implied. In </w:t>
      </w:r>
      <w:r w:rsidRPr="00F90E7C">
        <w:rPr>
          <w:rFonts w:ascii="Times New Roman" w:hAnsi="Times New Roman"/>
          <w:i/>
          <w:iCs/>
        </w:rPr>
        <w:t>Hurley</w:t>
      </w:r>
      <w:r w:rsidRPr="00F90E7C">
        <w:rPr>
          <w:rFonts w:ascii="Times New Roman" w:hAnsi="Times New Roman"/>
        </w:rPr>
        <w:t xml:space="preserve">, Smith J postulated the scenario of armed men taking possession of a house at gunpoint and sending the accused to commit a crime on their behalf while retaining a hostage such that "the threat to the hostage's life, </w:t>
      </w:r>
      <w:r w:rsidRPr="00F90E7C">
        <w:rPr>
          <w:rFonts w:ascii="Times New Roman" w:hAnsi="Times New Roman"/>
          <w:i/>
          <w:iCs/>
        </w:rPr>
        <w:t>whether it is formulated in words or left unsaid</w:t>
      </w:r>
      <w:r w:rsidRPr="00F90E7C">
        <w:rPr>
          <w:rFonts w:ascii="Times New Roman" w:hAnsi="Times New Roman"/>
        </w:rPr>
        <w:t>, may be held to be, during the execution of the commission, sufficiently present and continuing, imminent and impending to found the defence of duress" (emphasis added).</w:t>
      </w:r>
      <w:r w:rsidRPr="00F90E7C">
        <w:rPr>
          <w:rStyle w:val="FootnoteReference"/>
          <w:rFonts w:ascii="Times New Roman" w:hAnsi="Times New Roman"/>
          <w:sz w:val="24"/>
        </w:rPr>
        <w:footnoteReference w:id="38"/>
      </w:r>
    </w:p>
    <w:p w14:paraId="1E3B43D5" w14:textId="7F33061C"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The references in </w:t>
      </w:r>
      <w:r w:rsidRPr="00F90E7C">
        <w:rPr>
          <w:rFonts w:ascii="Times New Roman" w:hAnsi="Times New Roman"/>
          <w:i/>
          <w:iCs/>
        </w:rPr>
        <w:t>Hurley</w:t>
      </w:r>
      <w:r w:rsidRPr="00F90E7C">
        <w:rPr>
          <w:rFonts w:ascii="Times New Roman" w:hAnsi="Times New Roman"/>
        </w:rPr>
        <w:t xml:space="preserve"> to the threat being "present and continuing, imminent and impending" do not require that all the conduct relied upon as giving rise to the threat be engaged in immediately prior to the crime being committed. Instead, those statements should be taken as conveying a requirement that the threat conform with the description of the equivalent aspect of duress noted in other cases, namely that the threat be "operative"</w:t>
      </w:r>
      <w:r w:rsidRPr="00F90E7C">
        <w:rPr>
          <w:rStyle w:val="FootnoteReference"/>
          <w:rFonts w:ascii="Times New Roman" w:hAnsi="Times New Roman"/>
          <w:sz w:val="24"/>
        </w:rPr>
        <w:footnoteReference w:id="39"/>
      </w:r>
      <w:r w:rsidRPr="00F90E7C">
        <w:rPr>
          <w:rFonts w:ascii="Times New Roman" w:hAnsi="Times New Roman"/>
        </w:rPr>
        <w:t xml:space="preserve"> or "effective"</w:t>
      </w:r>
      <w:r w:rsidRPr="00F90E7C">
        <w:rPr>
          <w:rStyle w:val="FootnoteReference"/>
          <w:rFonts w:ascii="Times New Roman" w:hAnsi="Times New Roman"/>
          <w:sz w:val="24"/>
        </w:rPr>
        <w:footnoteReference w:id="40"/>
      </w:r>
      <w:r w:rsidRPr="00F90E7C">
        <w:rPr>
          <w:rFonts w:ascii="Times New Roman" w:hAnsi="Times New Roman"/>
        </w:rPr>
        <w:t xml:space="preserve"> at the time the accused committed the acts that constitute the offence charged. The relevant threat does not have to immediately precede the accused's criminal act if there was no reasonable </w:t>
      </w:r>
      <w:r w:rsidRPr="00F90E7C">
        <w:rPr>
          <w:rFonts w:ascii="Times New Roman" w:hAnsi="Times New Roman"/>
        </w:rPr>
        <w:lastRenderedPageBreak/>
        <w:t xml:space="preserve">opportunity to avoid committing the offence in the meantime (that being the issue raised by element (viii) in </w:t>
      </w:r>
      <w:r w:rsidRPr="00F90E7C">
        <w:rPr>
          <w:rFonts w:ascii="Times New Roman" w:hAnsi="Times New Roman"/>
          <w:i/>
          <w:iCs/>
        </w:rPr>
        <w:t>Hurley</w:t>
      </w:r>
      <w:r w:rsidRPr="00F90E7C">
        <w:rPr>
          <w:rFonts w:ascii="Times New Roman" w:hAnsi="Times New Roman"/>
        </w:rPr>
        <w:t>).</w:t>
      </w:r>
      <w:r w:rsidRPr="00F90E7C">
        <w:rPr>
          <w:rStyle w:val="FootnoteReference"/>
          <w:rFonts w:ascii="Times New Roman" w:hAnsi="Times New Roman"/>
          <w:sz w:val="24"/>
        </w:rPr>
        <w:footnoteReference w:id="41"/>
      </w:r>
      <w:r w:rsidRPr="00F90E7C" w:rsidDel="000D7EC6">
        <w:rPr>
          <w:rFonts w:ascii="Times New Roman" w:hAnsi="Times New Roman"/>
        </w:rPr>
        <w:t xml:space="preserve"> </w:t>
      </w:r>
    </w:p>
    <w:p w14:paraId="62A60942" w14:textId="637E6099"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The significance of antecedent conduct of the maker of the threat and what is known about their character in determining whether there is a threat to inflict violence unless the accused commits the acts that constitute the offence can be illustrated by the facts in </w:t>
      </w:r>
      <w:r w:rsidRPr="00F90E7C">
        <w:rPr>
          <w:rFonts w:ascii="Times New Roman" w:hAnsi="Times New Roman"/>
          <w:i/>
          <w:iCs/>
        </w:rPr>
        <w:t>D</w:t>
      </w:r>
      <w:r w:rsidR="00DC2E23" w:rsidRPr="00F90E7C">
        <w:rPr>
          <w:rFonts w:ascii="Times New Roman" w:hAnsi="Times New Roman"/>
          <w:i/>
          <w:iCs/>
        </w:rPr>
        <w:t>irector of Public Prosecutions for Northern Ireland</w:t>
      </w:r>
      <w:r w:rsidRPr="00F90E7C">
        <w:rPr>
          <w:rFonts w:ascii="Times New Roman" w:hAnsi="Times New Roman"/>
          <w:i/>
          <w:iCs/>
        </w:rPr>
        <w:t xml:space="preserve"> v Lynch</w:t>
      </w:r>
      <w:r w:rsidR="00516E0F" w:rsidRPr="00F90E7C">
        <w:rPr>
          <w:rFonts w:ascii="Times New Roman" w:hAnsi="Times New Roman"/>
        </w:rPr>
        <w:t>,</w:t>
      </w:r>
      <w:r w:rsidRPr="00F90E7C">
        <w:rPr>
          <w:rStyle w:val="FootnoteReference"/>
          <w:rFonts w:ascii="Times New Roman" w:hAnsi="Times New Roman"/>
          <w:sz w:val="24"/>
        </w:rPr>
        <w:footnoteReference w:id="42"/>
      </w:r>
      <w:r w:rsidR="00516E0F" w:rsidRPr="00F90E7C">
        <w:rPr>
          <w:rFonts w:ascii="Times New Roman" w:hAnsi="Times New Roman"/>
        </w:rPr>
        <w:t xml:space="preserve"> which was decided before the </w:t>
      </w:r>
      <w:r w:rsidR="004716C4" w:rsidRPr="00F90E7C">
        <w:rPr>
          <w:rFonts w:ascii="Times New Roman" w:hAnsi="Times New Roman"/>
        </w:rPr>
        <w:t>developments</w:t>
      </w:r>
      <w:r w:rsidR="00516E0F" w:rsidRPr="00F90E7C">
        <w:rPr>
          <w:rFonts w:ascii="Times New Roman" w:hAnsi="Times New Roman"/>
        </w:rPr>
        <w:t xml:space="preserve"> in the law of duress in England and Wales</w:t>
      </w:r>
      <w:r w:rsidR="000B5248" w:rsidRPr="00F90E7C">
        <w:rPr>
          <w:rFonts w:ascii="Times New Roman" w:hAnsi="Times New Roman"/>
        </w:rPr>
        <w:t xml:space="preserve"> discussed below</w:t>
      </w:r>
      <w:r w:rsidR="00516E0F" w:rsidRPr="00F90E7C">
        <w:rPr>
          <w:rFonts w:ascii="Times New Roman" w:hAnsi="Times New Roman"/>
        </w:rPr>
        <w:t>.</w:t>
      </w:r>
      <w:r w:rsidRPr="00F90E7C">
        <w:rPr>
          <w:rFonts w:ascii="Times New Roman" w:hAnsi="Times New Roman"/>
        </w:rPr>
        <w:t xml:space="preserve"> In </w:t>
      </w:r>
      <w:r w:rsidRPr="00F90E7C">
        <w:rPr>
          <w:rFonts w:ascii="Times New Roman" w:hAnsi="Times New Roman"/>
          <w:i/>
          <w:iCs/>
        </w:rPr>
        <w:t>Lynch</w:t>
      </w:r>
      <w:r w:rsidRPr="00F90E7C">
        <w:rPr>
          <w:rFonts w:ascii="Times New Roman" w:hAnsi="Times New Roman"/>
        </w:rPr>
        <w:t>, the appellant drove a motor car containing a group of gunmen, who shot and killed a police officer.</w:t>
      </w:r>
      <w:r w:rsidRPr="00F90E7C">
        <w:rPr>
          <w:rStyle w:val="FootnoteReference"/>
          <w:rFonts w:ascii="Times New Roman" w:hAnsi="Times New Roman"/>
          <w:sz w:val="24"/>
        </w:rPr>
        <w:footnoteReference w:id="43"/>
      </w:r>
      <w:r w:rsidRPr="00F90E7C">
        <w:rPr>
          <w:rFonts w:ascii="Times New Roman" w:hAnsi="Times New Roman"/>
        </w:rPr>
        <w:t xml:space="preserve"> The appellant said that he acted under a threat that, if he did not co-operate, he would be shot.</w:t>
      </w:r>
      <w:r w:rsidRPr="00F90E7C">
        <w:rPr>
          <w:rStyle w:val="FootnoteReference"/>
          <w:rFonts w:ascii="Times New Roman" w:hAnsi="Times New Roman"/>
          <w:sz w:val="24"/>
        </w:rPr>
        <w:footnoteReference w:id="44"/>
      </w:r>
      <w:r w:rsidRPr="00F90E7C">
        <w:rPr>
          <w:rFonts w:ascii="Times New Roman" w:hAnsi="Times New Roman"/>
        </w:rPr>
        <w:t xml:space="preserve"> The debate at trial and at two levels of appeal concerned the availability of duress as a defence to murder, a matter that is not of present significance in this case.</w:t>
      </w:r>
      <w:r w:rsidRPr="00F90E7C">
        <w:rPr>
          <w:rStyle w:val="FootnoteReference"/>
          <w:rFonts w:ascii="Times New Roman" w:hAnsi="Times New Roman"/>
          <w:sz w:val="24"/>
        </w:rPr>
        <w:footnoteReference w:id="45"/>
      </w:r>
    </w:p>
    <w:p w14:paraId="16BE22BD" w14:textId="024CB450"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What is of present significance is the facts that were found to be sufficient to raise the defence of duress in </w:t>
      </w:r>
      <w:r w:rsidRPr="00F90E7C">
        <w:rPr>
          <w:rFonts w:ascii="Times New Roman" w:hAnsi="Times New Roman"/>
          <w:i/>
          <w:iCs/>
        </w:rPr>
        <w:t>Lynch</w:t>
      </w:r>
      <w:r w:rsidRPr="00F90E7C">
        <w:rPr>
          <w:rFonts w:ascii="Times New Roman" w:hAnsi="Times New Roman"/>
        </w:rPr>
        <w:t xml:space="preserve">. The appellant was summoned to meet Meehan, a known "member of the IRA and </w:t>
      </w:r>
      <w:r w:rsidR="00E44CA2" w:rsidRPr="00F90E7C">
        <w:rPr>
          <w:rFonts w:ascii="Times New Roman" w:hAnsi="Times New Roman"/>
        </w:rPr>
        <w:t xml:space="preserve">a </w:t>
      </w:r>
      <w:r w:rsidRPr="00F90E7C">
        <w:rPr>
          <w:rFonts w:ascii="Times New Roman" w:hAnsi="Times New Roman"/>
        </w:rPr>
        <w:t>ruthless gunman", and was told to drive Meehan and two other gunmen to the scene of the killing.</w:t>
      </w:r>
      <w:r w:rsidRPr="00F90E7C">
        <w:rPr>
          <w:rStyle w:val="FootnoteReference"/>
          <w:rFonts w:ascii="Times New Roman" w:hAnsi="Times New Roman"/>
          <w:sz w:val="24"/>
        </w:rPr>
        <w:footnoteReference w:id="46"/>
      </w:r>
      <w:r w:rsidRPr="00F90E7C">
        <w:rPr>
          <w:rFonts w:ascii="Times New Roman" w:hAnsi="Times New Roman"/>
        </w:rPr>
        <w:t xml:space="preserve"> Lord Edmund-Davies described the balance of the evidence that was adduced in support of duress as follows:</w:t>
      </w:r>
      <w:r w:rsidRPr="00F90E7C">
        <w:rPr>
          <w:rStyle w:val="FootnoteReference"/>
          <w:rFonts w:ascii="Times New Roman" w:hAnsi="Times New Roman"/>
          <w:sz w:val="24"/>
        </w:rPr>
        <w:footnoteReference w:id="47"/>
      </w:r>
      <w:r w:rsidRPr="00F90E7C">
        <w:rPr>
          <w:rFonts w:ascii="Times New Roman" w:hAnsi="Times New Roman"/>
        </w:rPr>
        <w:t xml:space="preserve"> </w:t>
      </w:r>
    </w:p>
    <w:p w14:paraId="104116E9" w14:textId="77777777" w:rsidR="00F90E7C" w:rsidRDefault="00562D00" w:rsidP="00F90E7C">
      <w:pPr>
        <w:pStyle w:val="LeftrightafterHC"/>
        <w:spacing w:before="0" w:after="260" w:line="280" w:lineRule="exact"/>
        <w:ind w:right="0"/>
        <w:jc w:val="both"/>
        <w:rPr>
          <w:rFonts w:ascii="Times New Roman" w:hAnsi="Times New Roman"/>
        </w:rPr>
      </w:pPr>
      <w:r w:rsidRPr="00F90E7C">
        <w:rPr>
          <w:rFonts w:ascii="Times New Roman" w:hAnsi="Times New Roman"/>
        </w:rPr>
        <w:t>"It was</w:t>
      </w:r>
      <w:r w:rsidR="00E44CA2" w:rsidRPr="00F90E7C">
        <w:rPr>
          <w:rFonts w:ascii="Times New Roman" w:hAnsi="Times New Roman"/>
        </w:rPr>
        <w:t xml:space="preserve"> </w:t>
      </w:r>
      <w:r w:rsidRPr="00F90E7C">
        <w:rPr>
          <w:rFonts w:ascii="Times New Roman" w:hAnsi="Times New Roman"/>
        </w:rPr>
        <w:t>... proved that, before the date of the shooting</w:t>
      </w:r>
      <w:r w:rsidR="00E44CA2" w:rsidRPr="00F90E7C">
        <w:rPr>
          <w:rFonts w:ascii="Times New Roman" w:hAnsi="Times New Roman"/>
        </w:rPr>
        <w:t>,</w:t>
      </w:r>
      <w:r w:rsidRPr="00F90E7C">
        <w:rPr>
          <w:rFonts w:ascii="Times New Roman" w:hAnsi="Times New Roman"/>
        </w:rPr>
        <w:t xml:space="preserve"> six policemen had already been murdered in the Ardoyne area, which was a stronghold of the Provisional IRA, and where the appellant lived</w:t>
      </w:r>
      <w:r w:rsidR="00E020DB" w:rsidRPr="00F90E7C">
        <w:rPr>
          <w:rFonts w:ascii="Times New Roman" w:hAnsi="Times New Roman"/>
        </w:rPr>
        <w:t>,</w:t>
      </w:r>
      <w:r w:rsidRPr="00F90E7C">
        <w:rPr>
          <w:rFonts w:ascii="Times New Roman" w:hAnsi="Times New Roman"/>
        </w:rPr>
        <w:t xml:space="preserve"> and that Sean Meehan was a well-known and ruthless gunman, and the appellant and Bates gave evidence that Meehan was the kind of person whom it would be perilous to defy or disobey and who, on the occasion in question, gave his instructions </w:t>
      </w:r>
      <w:r w:rsidRPr="00F90E7C">
        <w:rPr>
          <w:rFonts w:ascii="Times New Roman" w:hAnsi="Times New Roman"/>
        </w:rPr>
        <w:lastRenderedPageBreak/>
        <w:t>in a manner which indicated to them that he would tolerate no disobedience</w:t>
      </w:r>
      <w:r w:rsidRPr="00F90E7C">
        <w:rPr>
          <w:rFonts w:ascii="Times New Roman" w:hAnsi="Times New Roman"/>
          <w:i/>
          <w:iCs/>
        </w:rPr>
        <w:t>. There was no evidence of a direct threat by Meehan or any other person against the life or personal safety of the appellant or any member of his family</w:t>
      </w:r>
      <w:r w:rsidRPr="00F90E7C">
        <w:rPr>
          <w:rFonts w:ascii="Times New Roman" w:hAnsi="Times New Roman"/>
        </w:rPr>
        <w:t>, but both the appellant and Bates testified to their fear of Meehan and their clear view that their disobedience of his instructions would cause them to be shot." (emphasis added)</w:t>
      </w:r>
    </w:p>
    <w:p w14:paraId="5557080F" w14:textId="61BFA59B"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In the Court of Criminal Appeal of Northern Ireland, it was accepted that this evidence "raised a question for the jury whether Meehan impliedly threatened the appellant with death or serious personal injury".</w:t>
      </w:r>
      <w:r w:rsidRPr="00F90E7C">
        <w:rPr>
          <w:rStyle w:val="FootnoteReference"/>
          <w:rFonts w:ascii="Times New Roman" w:hAnsi="Times New Roman"/>
          <w:sz w:val="24"/>
        </w:rPr>
        <w:footnoteReference w:id="48"/>
      </w:r>
      <w:r w:rsidRPr="00F90E7C">
        <w:rPr>
          <w:rFonts w:ascii="Times New Roman" w:hAnsi="Times New Roman"/>
        </w:rPr>
        <w:t xml:space="preserve"> The implication that Meehan threatened the appellant with serious violence or death unless he committed the acts charged </w:t>
      </w:r>
      <w:r w:rsidR="00344FAE" w:rsidRPr="00F90E7C">
        <w:rPr>
          <w:rFonts w:ascii="Times New Roman" w:hAnsi="Times New Roman"/>
        </w:rPr>
        <w:t xml:space="preserve">arose </w:t>
      </w:r>
      <w:r w:rsidRPr="00F90E7C">
        <w:rPr>
          <w:rFonts w:ascii="Times New Roman" w:hAnsi="Times New Roman"/>
        </w:rPr>
        <w:t>from Meehan's violent character, antecedent conduct and direction to the appellant on the day of the crime that he assist Meehan in the murder of the police officer.</w:t>
      </w:r>
    </w:p>
    <w:p w14:paraId="06DD1586" w14:textId="77777777" w:rsidR="00562D00" w:rsidRPr="00F90E7C" w:rsidRDefault="00562D00" w:rsidP="00F90E7C">
      <w:pPr>
        <w:pStyle w:val="HeadingL2"/>
        <w:spacing w:after="260" w:line="280" w:lineRule="exact"/>
        <w:ind w:right="0"/>
        <w:jc w:val="both"/>
        <w:rPr>
          <w:rFonts w:ascii="Times New Roman" w:hAnsi="Times New Roman"/>
        </w:rPr>
      </w:pPr>
      <w:r w:rsidRPr="00F90E7C">
        <w:rPr>
          <w:rFonts w:ascii="Times New Roman" w:hAnsi="Times New Roman"/>
        </w:rPr>
        <w:t>Section 322O</w:t>
      </w:r>
    </w:p>
    <w:p w14:paraId="6A8F62A2" w14:textId="4035F7C2"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With effect from 1 November 2014, the defence at common law of duress was abolished </w:t>
      </w:r>
      <w:r w:rsidR="00C91895" w:rsidRPr="00F90E7C">
        <w:rPr>
          <w:rFonts w:ascii="Times New Roman" w:hAnsi="Times New Roman"/>
        </w:rPr>
        <w:t xml:space="preserve">in Victoria </w:t>
      </w:r>
      <w:r w:rsidRPr="00F90E7C">
        <w:rPr>
          <w:rFonts w:ascii="Times New Roman" w:hAnsi="Times New Roman"/>
        </w:rPr>
        <w:t xml:space="preserve">and replaced by s 322O of the </w:t>
      </w:r>
      <w:r w:rsidRPr="00F90E7C">
        <w:rPr>
          <w:rFonts w:ascii="Times New Roman" w:hAnsi="Times New Roman"/>
          <w:i/>
          <w:iCs/>
        </w:rPr>
        <w:t>Crimes Act</w:t>
      </w:r>
      <w:r w:rsidRPr="00F90E7C">
        <w:rPr>
          <w:rFonts w:ascii="Times New Roman" w:hAnsi="Times New Roman"/>
        </w:rPr>
        <w:t>.</w:t>
      </w:r>
      <w:r w:rsidRPr="00F90E7C">
        <w:rPr>
          <w:rStyle w:val="FootnoteReference"/>
          <w:rFonts w:ascii="Times New Roman" w:hAnsi="Times New Roman"/>
          <w:sz w:val="24"/>
        </w:rPr>
        <w:footnoteReference w:id="49"/>
      </w:r>
      <w:r w:rsidRPr="00F90E7C">
        <w:rPr>
          <w:rFonts w:ascii="Times New Roman" w:hAnsi="Times New Roman"/>
        </w:rPr>
        <w:t xml:space="preserve"> As noted, it was common ground that s 322O was potentially applicable to count 13 only. Section 322O provides:</w:t>
      </w:r>
    </w:p>
    <w:p w14:paraId="19C7E075" w14:textId="77777777" w:rsidR="00562D00" w:rsidRPr="00F90E7C" w:rsidRDefault="00562D00" w:rsidP="00F90E7C">
      <w:pPr>
        <w:pStyle w:val="LeftrightafterHC"/>
        <w:spacing w:before="0" w:after="260" w:line="280" w:lineRule="exact"/>
        <w:ind w:right="0"/>
        <w:jc w:val="both"/>
        <w:rPr>
          <w:rFonts w:ascii="Times New Roman" w:hAnsi="Times New Roman"/>
        </w:rPr>
      </w:pPr>
      <w:r w:rsidRPr="00F90E7C">
        <w:rPr>
          <w:rFonts w:ascii="Times New Roman" w:hAnsi="Times New Roman"/>
        </w:rPr>
        <w:t>"</w:t>
      </w:r>
      <w:r w:rsidRPr="00F90E7C">
        <w:rPr>
          <w:rFonts w:ascii="Times New Roman" w:hAnsi="Times New Roman"/>
          <w:b/>
        </w:rPr>
        <w:t>Duress</w:t>
      </w:r>
    </w:p>
    <w:p w14:paraId="23FAA8CB" w14:textId="77777777" w:rsidR="00562D00" w:rsidRPr="00F90E7C" w:rsidRDefault="00562D00" w:rsidP="00F90E7C">
      <w:pPr>
        <w:pStyle w:val="LeftrightHanging"/>
        <w:spacing w:before="0" w:after="260" w:line="280" w:lineRule="exact"/>
        <w:ind w:right="0"/>
        <w:jc w:val="both"/>
        <w:rPr>
          <w:rFonts w:ascii="Times New Roman" w:hAnsi="Times New Roman"/>
        </w:rPr>
      </w:pPr>
      <w:r w:rsidRPr="00F90E7C">
        <w:rPr>
          <w:rFonts w:ascii="Times New Roman" w:hAnsi="Times New Roman"/>
        </w:rPr>
        <w:t>(1)</w:t>
      </w:r>
      <w:r w:rsidRPr="00F90E7C">
        <w:rPr>
          <w:rFonts w:ascii="Times New Roman" w:hAnsi="Times New Roman"/>
        </w:rPr>
        <w:tab/>
        <w:t>A person is not guilty of an offence in respect of conduct carried out by the person under duress.</w:t>
      </w:r>
    </w:p>
    <w:p w14:paraId="622A47BD" w14:textId="13489DA3" w:rsidR="00562D00" w:rsidRPr="00F90E7C" w:rsidRDefault="00562D00" w:rsidP="00F90E7C">
      <w:pPr>
        <w:pStyle w:val="LeftrightHanging"/>
        <w:spacing w:before="0" w:after="260" w:line="280" w:lineRule="exact"/>
        <w:ind w:right="0"/>
        <w:jc w:val="both"/>
        <w:rPr>
          <w:rFonts w:ascii="Times New Roman" w:hAnsi="Times New Roman"/>
        </w:rPr>
      </w:pPr>
      <w:r w:rsidRPr="00F90E7C">
        <w:rPr>
          <w:rFonts w:ascii="Times New Roman" w:hAnsi="Times New Roman"/>
        </w:rPr>
        <w:t>(2)</w:t>
      </w:r>
      <w:r w:rsidRPr="00F90E7C">
        <w:rPr>
          <w:rFonts w:ascii="Times New Roman" w:hAnsi="Times New Roman"/>
        </w:rPr>
        <w:tab/>
        <w:t xml:space="preserve">A person carries out conduct under duress if </w:t>
      </w:r>
      <w:r w:rsidR="00545F52" w:rsidRPr="00F90E7C">
        <w:rPr>
          <w:rFonts w:ascii="Times New Roman" w:hAnsi="Times New Roman"/>
        </w:rPr>
        <w:t>–</w:t>
      </w:r>
    </w:p>
    <w:p w14:paraId="0B0F0F41" w14:textId="63D43454" w:rsidR="00562D00" w:rsidRPr="00F90E7C" w:rsidRDefault="00562D00" w:rsidP="00F90E7C">
      <w:pPr>
        <w:pStyle w:val="LRHangingMore"/>
        <w:spacing w:before="0" w:after="260" w:line="280" w:lineRule="exact"/>
        <w:ind w:right="0"/>
        <w:jc w:val="both"/>
        <w:rPr>
          <w:rFonts w:ascii="Times New Roman" w:hAnsi="Times New Roman"/>
        </w:rPr>
      </w:pPr>
      <w:r w:rsidRPr="00F90E7C">
        <w:rPr>
          <w:rFonts w:ascii="Times New Roman" w:hAnsi="Times New Roman"/>
        </w:rPr>
        <w:t>(a)</w:t>
      </w:r>
      <w:r w:rsidRPr="00F90E7C">
        <w:rPr>
          <w:rFonts w:ascii="Times New Roman" w:hAnsi="Times New Roman"/>
        </w:rPr>
        <w:tab/>
        <w:t xml:space="preserve">the person reasonably believes that </w:t>
      </w:r>
      <w:r w:rsidR="00902641" w:rsidRPr="00F90E7C">
        <w:rPr>
          <w:rFonts w:ascii="Times New Roman" w:hAnsi="Times New Roman"/>
        </w:rPr>
        <w:t>–</w:t>
      </w:r>
    </w:p>
    <w:p w14:paraId="5BC8F22D" w14:textId="77777777" w:rsidR="00562D00" w:rsidRPr="00F90E7C" w:rsidRDefault="00562D00" w:rsidP="00F90E7C">
      <w:pPr>
        <w:pStyle w:val="LRHangingMore"/>
        <w:spacing w:before="0" w:after="260" w:line="280" w:lineRule="exact"/>
        <w:ind w:left="2880" w:right="0" w:hanging="1440"/>
        <w:jc w:val="both"/>
        <w:rPr>
          <w:rFonts w:ascii="Times New Roman" w:hAnsi="Times New Roman"/>
        </w:rPr>
      </w:pPr>
      <w:r w:rsidRPr="00F90E7C">
        <w:rPr>
          <w:rFonts w:ascii="Times New Roman" w:hAnsi="Times New Roman"/>
        </w:rPr>
        <w:lastRenderedPageBreak/>
        <w:tab/>
        <w:t>(i)</w:t>
      </w:r>
      <w:r w:rsidRPr="00F90E7C">
        <w:rPr>
          <w:rFonts w:ascii="Times New Roman" w:hAnsi="Times New Roman"/>
        </w:rPr>
        <w:tab/>
        <w:t>subject to subsection (3), a threat of harm has been made that will be carried out unless an offence is committed; and</w:t>
      </w:r>
    </w:p>
    <w:p w14:paraId="46FF7FB7" w14:textId="77777777" w:rsidR="00562D00" w:rsidRPr="00F90E7C" w:rsidRDefault="00562D00" w:rsidP="00F90E7C">
      <w:pPr>
        <w:pStyle w:val="LRHangingMore"/>
        <w:spacing w:before="0" w:after="260" w:line="280" w:lineRule="exact"/>
        <w:ind w:left="2880" w:right="0" w:hanging="1440"/>
        <w:jc w:val="both"/>
        <w:rPr>
          <w:rFonts w:ascii="Times New Roman" w:hAnsi="Times New Roman"/>
        </w:rPr>
      </w:pPr>
      <w:r w:rsidRPr="00F90E7C">
        <w:rPr>
          <w:rFonts w:ascii="Times New Roman" w:hAnsi="Times New Roman"/>
        </w:rPr>
        <w:tab/>
        <w:t>(ii)</w:t>
      </w:r>
      <w:r w:rsidRPr="00F90E7C">
        <w:rPr>
          <w:rFonts w:ascii="Times New Roman" w:hAnsi="Times New Roman"/>
        </w:rPr>
        <w:tab/>
        <w:t>carrying out the conduct is the only reasonable way that the threatened harm can be avoided; and</w:t>
      </w:r>
    </w:p>
    <w:p w14:paraId="52D36160" w14:textId="77777777" w:rsidR="00562D00" w:rsidRPr="00F90E7C" w:rsidRDefault="00562D00" w:rsidP="00F90E7C">
      <w:pPr>
        <w:pStyle w:val="LRHangingMore"/>
        <w:spacing w:before="0" w:after="260" w:line="280" w:lineRule="exact"/>
        <w:ind w:right="0"/>
        <w:jc w:val="both"/>
        <w:rPr>
          <w:rFonts w:ascii="Times New Roman" w:hAnsi="Times New Roman"/>
        </w:rPr>
      </w:pPr>
      <w:r w:rsidRPr="00F90E7C">
        <w:rPr>
          <w:rFonts w:ascii="Times New Roman" w:hAnsi="Times New Roman"/>
        </w:rPr>
        <w:t>(b)</w:t>
      </w:r>
      <w:r w:rsidRPr="00F90E7C">
        <w:rPr>
          <w:rFonts w:ascii="Times New Roman" w:hAnsi="Times New Roman"/>
        </w:rPr>
        <w:tab/>
        <w:t>the conduct is a reasonable response to the threat.</w:t>
      </w:r>
    </w:p>
    <w:p w14:paraId="124B8E2C" w14:textId="77777777" w:rsidR="00562D00" w:rsidRPr="00F90E7C" w:rsidRDefault="00562D00" w:rsidP="00F90E7C">
      <w:pPr>
        <w:pStyle w:val="LeftrightHanging"/>
        <w:spacing w:before="0" w:after="260" w:line="280" w:lineRule="exact"/>
        <w:ind w:right="0"/>
        <w:jc w:val="both"/>
        <w:rPr>
          <w:rFonts w:ascii="Times New Roman" w:hAnsi="Times New Roman"/>
        </w:rPr>
      </w:pPr>
      <w:r w:rsidRPr="00F90E7C">
        <w:rPr>
          <w:rFonts w:ascii="Times New Roman" w:hAnsi="Times New Roman"/>
        </w:rPr>
        <w:t>(3)</w:t>
      </w:r>
      <w:r w:rsidRPr="00F90E7C">
        <w:rPr>
          <w:rFonts w:ascii="Times New Roman" w:hAnsi="Times New Roman"/>
        </w:rPr>
        <w:tab/>
        <w:t xml:space="preserve">A person does not carry out conduct under duress if the threat is made by or on behalf of a person with whom the person is voluntarily associating for the purpose of carrying out violent conduct. </w:t>
      </w:r>
    </w:p>
    <w:p w14:paraId="7D4F4DA2" w14:textId="77777777" w:rsidR="00F90E7C" w:rsidRDefault="00562D00" w:rsidP="00F90E7C">
      <w:pPr>
        <w:pStyle w:val="LeftrightHanging"/>
        <w:spacing w:before="0" w:after="260" w:line="280" w:lineRule="exact"/>
        <w:ind w:right="0"/>
        <w:jc w:val="both"/>
        <w:rPr>
          <w:rFonts w:ascii="Times New Roman" w:hAnsi="Times New Roman"/>
        </w:rPr>
      </w:pPr>
      <w:r w:rsidRPr="00F90E7C">
        <w:rPr>
          <w:rFonts w:ascii="Times New Roman" w:hAnsi="Times New Roman"/>
        </w:rPr>
        <w:t>(4)</w:t>
      </w:r>
      <w:r w:rsidRPr="00F90E7C">
        <w:rPr>
          <w:rFonts w:ascii="Times New Roman" w:hAnsi="Times New Roman"/>
        </w:rPr>
        <w:tab/>
        <w:t>This section only applies in the case of murder if the person believes that the threat is to inflict death or really serious injury."</w:t>
      </w:r>
    </w:p>
    <w:p w14:paraId="12F41BAF" w14:textId="55D59203"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Section 322P provides that in circumstances where duress in the context of family violence is in issue, evidence of that violence may be relevant in determining whether a person has carried out conduct under duress. The Victorian Court of Appeal reached the same conclusion in relation to the common law.</w:t>
      </w:r>
      <w:r w:rsidRPr="00F90E7C">
        <w:rPr>
          <w:rStyle w:val="FootnoteReference"/>
          <w:rFonts w:ascii="Times New Roman" w:hAnsi="Times New Roman"/>
          <w:sz w:val="24"/>
        </w:rPr>
        <w:footnoteReference w:id="50"/>
      </w:r>
      <w:r w:rsidRPr="00F90E7C">
        <w:rPr>
          <w:rFonts w:ascii="Times New Roman" w:hAnsi="Times New Roman"/>
        </w:rPr>
        <w:t xml:space="preserve"> </w:t>
      </w:r>
    </w:p>
    <w:p w14:paraId="39D6B994" w14:textId="5CEE637C"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The submissions in this Court and the Court of Appeal did not address s 322O in any detail. Leaving aside the reference to reasonable belief, both parties treated s 322O(2)(a)(i) as specifying a similar element to element (i) in </w:t>
      </w:r>
      <w:r w:rsidRPr="00F90E7C">
        <w:rPr>
          <w:rFonts w:ascii="Times New Roman" w:hAnsi="Times New Roman"/>
          <w:i/>
          <w:iCs/>
        </w:rPr>
        <w:t>Hurley</w:t>
      </w:r>
      <w:r w:rsidRPr="00F90E7C">
        <w:rPr>
          <w:rFonts w:ascii="Times New Roman" w:hAnsi="Times New Roman"/>
        </w:rPr>
        <w:t xml:space="preserve"> and excluding the application of the doctrine of duress of circumstances. It suffices to state that, in this case, if the evidence adduced on the voir</w:t>
      </w:r>
      <w:r w:rsidRPr="00F90E7C">
        <w:rPr>
          <w:rFonts w:ascii="Times New Roman" w:hAnsi="Times New Roman"/>
        </w:rPr>
        <w:noBreakHyphen/>
        <w:t xml:space="preserve">dire was sufficient to raise a defence of duress at common law, then it was sufficient to raise a defence under s 322O. </w:t>
      </w:r>
    </w:p>
    <w:p w14:paraId="7D9A34A9" w14:textId="5EE86A9B" w:rsidR="00562D00" w:rsidRPr="00F90E7C" w:rsidRDefault="00562D00" w:rsidP="00F90E7C">
      <w:pPr>
        <w:pStyle w:val="HeadingL2"/>
        <w:spacing w:after="260" w:line="280" w:lineRule="exact"/>
        <w:ind w:right="0"/>
        <w:jc w:val="both"/>
        <w:rPr>
          <w:rFonts w:ascii="Times New Roman" w:hAnsi="Times New Roman"/>
        </w:rPr>
      </w:pPr>
      <w:r w:rsidRPr="00F90E7C">
        <w:rPr>
          <w:rFonts w:ascii="Times New Roman" w:hAnsi="Times New Roman"/>
        </w:rPr>
        <w:t xml:space="preserve">Duress of </w:t>
      </w:r>
      <w:r w:rsidR="007E1614" w:rsidRPr="00F90E7C">
        <w:rPr>
          <w:rFonts w:ascii="Times New Roman" w:hAnsi="Times New Roman"/>
        </w:rPr>
        <w:t>c</w:t>
      </w:r>
      <w:r w:rsidRPr="00F90E7C">
        <w:rPr>
          <w:rFonts w:ascii="Times New Roman" w:hAnsi="Times New Roman"/>
        </w:rPr>
        <w:t>ircumstances</w:t>
      </w:r>
    </w:p>
    <w:p w14:paraId="1FE325B1" w14:textId="4CA4A3E2"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As noted, the appellant's concern is that the Court of Appeal's judgment in this case reflected the adoption of a relatively recent doctrinal development in England and Wales known as duress of circumstances. In </w:t>
      </w:r>
      <w:r w:rsidR="00F62FF4" w:rsidRPr="00F90E7C">
        <w:rPr>
          <w:rFonts w:ascii="Times New Roman" w:hAnsi="Times New Roman"/>
          <w:i/>
          <w:iCs/>
        </w:rPr>
        <w:t xml:space="preserve">In </w:t>
      </w:r>
      <w:r w:rsidR="00DD369D" w:rsidRPr="00F90E7C">
        <w:rPr>
          <w:rFonts w:ascii="Times New Roman" w:hAnsi="Times New Roman"/>
          <w:i/>
          <w:iCs/>
        </w:rPr>
        <w:t>r</w:t>
      </w:r>
      <w:r w:rsidRPr="00F90E7C">
        <w:rPr>
          <w:rFonts w:ascii="Times New Roman" w:hAnsi="Times New Roman"/>
          <w:i/>
          <w:iCs/>
        </w:rPr>
        <w:t>e A (</w:t>
      </w:r>
      <w:r w:rsidR="005F2D81" w:rsidRPr="00F90E7C">
        <w:rPr>
          <w:rFonts w:ascii="Times New Roman" w:hAnsi="Times New Roman"/>
          <w:i/>
          <w:iCs/>
        </w:rPr>
        <w:t>C</w:t>
      </w:r>
      <w:r w:rsidRPr="00F90E7C">
        <w:rPr>
          <w:rFonts w:ascii="Times New Roman" w:hAnsi="Times New Roman"/>
          <w:i/>
          <w:iCs/>
        </w:rPr>
        <w:t>hildren) (</w:t>
      </w:r>
      <w:r w:rsidR="005F2D81" w:rsidRPr="00F90E7C">
        <w:rPr>
          <w:rFonts w:ascii="Times New Roman" w:hAnsi="Times New Roman"/>
          <w:i/>
          <w:iCs/>
        </w:rPr>
        <w:t>C</w:t>
      </w:r>
      <w:r w:rsidRPr="00F90E7C">
        <w:rPr>
          <w:rFonts w:ascii="Times New Roman" w:hAnsi="Times New Roman"/>
          <w:i/>
          <w:iCs/>
        </w:rPr>
        <w:t xml:space="preserve">onjoined </w:t>
      </w:r>
      <w:r w:rsidR="005F2D81" w:rsidRPr="00F90E7C">
        <w:rPr>
          <w:rFonts w:ascii="Times New Roman" w:hAnsi="Times New Roman"/>
          <w:i/>
          <w:iCs/>
        </w:rPr>
        <w:t>T</w:t>
      </w:r>
      <w:r w:rsidRPr="00F90E7C">
        <w:rPr>
          <w:rFonts w:ascii="Times New Roman" w:hAnsi="Times New Roman"/>
          <w:i/>
          <w:iCs/>
        </w:rPr>
        <w:t>wins</w:t>
      </w:r>
      <w:r w:rsidR="005F2D81" w:rsidRPr="00F90E7C">
        <w:rPr>
          <w:rFonts w:ascii="Times New Roman" w:hAnsi="Times New Roman"/>
          <w:i/>
          <w:iCs/>
        </w:rPr>
        <w:t>: Surgical Separation</w:t>
      </w:r>
      <w:r w:rsidRPr="00F90E7C">
        <w:rPr>
          <w:rFonts w:ascii="Times New Roman" w:hAnsi="Times New Roman"/>
          <w:i/>
          <w:iCs/>
        </w:rPr>
        <w:t xml:space="preserve">) </w:t>
      </w:r>
      <w:r w:rsidRPr="00F90E7C">
        <w:rPr>
          <w:rFonts w:ascii="Times New Roman" w:hAnsi="Times New Roman"/>
        </w:rPr>
        <w:t>("</w:t>
      </w:r>
      <w:r w:rsidRPr="00F90E7C">
        <w:rPr>
          <w:rFonts w:ascii="Times New Roman" w:hAnsi="Times New Roman"/>
          <w:i/>
          <w:iCs/>
        </w:rPr>
        <w:t>Re A</w:t>
      </w:r>
      <w:r w:rsidRPr="00F90E7C">
        <w:rPr>
          <w:rFonts w:ascii="Times New Roman" w:hAnsi="Times New Roman"/>
        </w:rPr>
        <w:t>"),</w:t>
      </w:r>
      <w:r w:rsidRPr="00F90E7C">
        <w:rPr>
          <w:rStyle w:val="FootnoteReference"/>
          <w:rFonts w:ascii="Times New Roman" w:hAnsi="Times New Roman"/>
          <w:sz w:val="24"/>
        </w:rPr>
        <w:footnoteReference w:id="51"/>
      </w:r>
      <w:r w:rsidRPr="00F90E7C">
        <w:rPr>
          <w:rFonts w:ascii="Times New Roman" w:hAnsi="Times New Roman"/>
          <w:i/>
          <w:iCs/>
        </w:rPr>
        <w:t xml:space="preserve"> </w:t>
      </w:r>
      <w:r w:rsidRPr="00F90E7C">
        <w:rPr>
          <w:rFonts w:ascii="Times New Roman" w:hAnsi="Times New Roman"/>
        </w:rPr>
        <w:t xml:space="preserve">Brooke LJ traced the development of this doctrine through a series of cases </w:t>
      </w:r>
      <w:r w:rsidR="00C91895" w:rsidRPr="00F90E7C">
        <w:rPr>
          <w:rFonts w:ascii="Times New Roman" w:hAnsi="Times New Roman"/>
        </w:rPr>
        <w:t xml:space="preserve">in which </w:t>
      </w:r>
      <w:r w:rsidRPr="00F90E7C">
        <w:rPr>
          <w:rFonts w:ascii="Times New Roman" w:hAnsi="Times New Roman"/>
        </w:rPr>
        <w:t xml:space="preserve">the accused was said to be compelled by circumstances to drive unlawfully, such as driving on a </w:t>
      </w:r>
      <w:r w:rsidRPr="00F90E7C">
        <w:rPr>
          <w:rFonts w:ascii="Times New Roman" w:hAnsi="Times New Roman"/>
        </w:rPr>
        <w:lastRenderedPageBreak/>
        <w:t>pavement to escape a violent gang.</w:t>
      </w:r>
      <w:r w:rsidRPr="00F90E7C">
        <w:rPr>
          <w:rStyle w:val="FootnoteReference"/>
          <w:rFonts w:ascii="Times New Roman" w:hAnsi="Times New Roman"/>
          <w:sz w:val="24"/>
        </w:rPr>
        <w:footnoteReference w:id="52"/>
      </w:r>
      <w:r w:rsidRPr="00F90E7C">
        <w:rPr>
          <w:rFonts w:ascii="Times New Roman" w:hAnsi="Times New Roman"/>
        </w:rPr>
        <w:t xml:space="preserve"> The doctrine was described by Simon Brown J in </w:t>
      </w:r>
      <w:r w:rsidRPr="00F90E7C">
        <w:rPr>
          <w:rFonts w:ascii="Times New Roman" w:hAnsi="Times New Roman"/>
          <w:i/>
          <w:iCs/>
        </w:rPr>
        <w:t xml:space="preserve">R v Martin </w:t>
      </w:r>
      <w:r w:rsidRPr="00F90E7C">
        <w:rPr>
          <w:rFonts w:ascii="Times New Roman" w:hAnsi="Times New Roman"/>
        </w:rPr>
        <w:t>as follows:</w:t>
      </w:r>
      <w:r w:rsidRPr="00F90E7C">
        <w:rPr>
          <w:rStyle w:val="FootnoteReference"/>
          <w:rFonts w:ascii="Times New Roman" w:hAnsi="Times New Roman"/>
          <w:sz w:val="24"/>
        </w:rPr>
        <w:footnoteReference w:id="53"/>
      </w:r>
    </w:p>
    <w:p w14:paraId="6829B929" w14:textId="076BA696" w:rsidR="00562D00" w:rsidRPr="00F90E7C" w:rsidRDefault="00562D00" w:rsidP="00F90E7C">
      <w:pPr>
        <w:pStyle w:val="LeftrightafterHC"/>
        <w:spacing w:before="0" w:after="260" w:line="280" w:lineRule="exact"/>
        <w:ind w:right="0"/>
        <w:jc w:val="both"/>
        <w:rPr>
          <w:rFonts w:ascii="Times New Roman" w:hAnsi="Times New Roman"/>
        </w:rPr>
      </w:pPr>
      <w:r w:rsidRPr="00F90E7C">
        <w:rPr>
          <w:rFonts w:ascii="Times New Roman" w:hAnsi="Times New Roman"/>
        </w:rPr>
        <w:tab/>
        <w:t>"The principles may be summarised thus: first, English law does, in extreme circumstances, recognise a defence of necessity. Most commonly this defence arises as duress, that is pressure on the accused</w:t>
      </w:r>
      <w:r w:rsidR="00343FE7" w:rsidRPr="00F90E7C">
        <w:rPr>
          <w:rFonts w:ascii="Times New Roman" w:hAnsi="Times New Roman"/>
        </w:rPr>
        <w:t>'</w:t>
      </w:r>
      <w:r w:rsidRPr="00F90E7C">
        <w:rPr>
          <w:rFonts w:ascii="Times New Roman" w:hAnsi="Times New Roman"/>
        </w:rPr>
        <w:t xml:space="preserve">s will from the wrongful threats or violence of another. Equally however it can arise from other objective dangers threatening the accused or others. Arising thus it is conveniently called 'duress of circumstances'. </w:t>
      </w:r>
    </w:p>
    <w:p w14:paraId="201160F2" w14:textId="77777777" w:rsidR="00F90E7C" w:rsidRDefault="003803B6" w:rsidP="00F90E7C">
      <w:pPr>
        <w:pStyle w:val="leftright"/>
        <w:spacing w:before="0" w:after="260" w:line="280" w:lineRule="exact"/>
        <w:ind w:right="0"/>
        <w:jc w:val="both"/>
        <w:rPr>
          <w:rFonts w:ascii="Times New Roman" w:hAnsi="Times New Roman"/>
        </w:rPr>
      </w:pPr>
      <w:r w:rsidRPr="00F90E7C">
        <w:rPr>
          <w:rFonts w:ascii="Times New Roman" w:hAnsi="Times New Roman"/>
        </w:rPr>
        <w:tab/>
      </w:r>
      <w:r w:rsidR="00562D00" w:rsidRPr="00F90E7C">
        <w:rPr>
          <w:rFonts w:ascii="Times New Roman" w:hAnsi="Times New Roman"/>
        </w:rPr>
        <w:t>Second, the defence is available only if, from an objective standpoint, the accused can be said to be acting reasonably and proportionately in order to avoid a threat of death or serious injury."</w:t>
      </w:r>
    </w:p>
    <w:p w14:paraId="7BAA306A" w14:textId="1C7A6F6D"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This passage subsumes two forms of "duress", being duress from threats and "duress of circumstances", into a single defence of necessity that is conditioned upon the need for the accused's response to be reasonable and proportionate. In </w:t>
      </w:r>
      <w:r w:rsidRPr="00F90E7C">
        <w:rPr>
          <w:rFonts w:ascii="Times New Roman" w:hAnsi="Times New Roman"/>
          <w:i/>
          <w:iCs/>
        </w:rPr>
        <w:t>R v Howe</w:t>
      </w:r>
      <w:r w:rsidRPr="00F90E7C">
        <w:rPr>
          <w:rFonts w:ascii="Times New Roman" w:hAnsi="Times New Roman"/>
        </w:rPr>
        <w:t>, Lord Hailsham described duress arising from wrongful threats as a "species of the genus of necessity".</w:t>
      </w:r>
      <w:r w:rsidRPr="00F90E7C">
        <w:rPr>
          <w:rStyle w:val="FootnoteReference"/>
          <w:rFonts w:ascii="Times New Roman" w:hAnsi="Times New Roman"/>
          <w:sz w:val="24"/>
        </w:rPr>
        <w:footnoteReference w:id="54"/>
      </w:r>
      <w:r w:rsidRPr="00F90E7C">
        <w:rPr>
          <w:rFonts w:ascii="Times New Roman" w:hAnsi="Times New Roman"/>
        </w:rPr>
        <w:t xml:space="preserve"> However, in </w:t>
      </w:r>
      <w:r w:rsidRPr="00F90E7C">
        <w:rPr>
          <w:rFonts w:ascii="Times New Roman" w:hAnsi="Times New Roman"/>
          <w:i/>
          <w:iCs/>
        </w:rPr>
        <w:t>Re A</w:t>
      </w:r>
      <w:r w:rsidRPr="00F90E7C">
        <w:rPr>
          <w:rFonts w:ascii="Times New Roman" w:hAnsi="Times New Roman"/>
        </w:rPr>
        <w:t xml:space="preserve">, Brooke LJ distinguished between the form of "necessity" discussed in the above extract from </w:t>
      </w:r>
      <w:r w:rsidRPr="00F90E7C">
        <w:rPr>
          <w:rFonts w:ascii="Times New Roman" w:hAnsi="Times New Roman"/>
          <w:i/>
          <w:iCs/>
        </w:rPr>
        <w:t>Martin</w:t>
      </w:r>
      <w:r w:rsidRPr="00F90E7C">
        <w:rPr>
          <w:rFonts w:ascii="Times New Roman" w:hAnsi="Times New Roman"/>
        </w:rPr>
        <w:t>, and "pure necessity" as discussed in Stephen's</w:t>
      </w:r>
      <w:r w:rsidRPr="00F90E7C">
        <w:rPr>
          <w:rFonts w:ascii="Times New Roman" w:hAnsi="Times New Roman"/>
          <w:i/>
          <w:iCs/>
        </w:rPr>
        <w:t xml:space="preserve"> Digest</w:t>
      </w:r>
      <w:r w:rsidRPr="00F90E7C">
        <w:rPr>
          <w:rFonts w:ascii="Times New Roman" w:hAnsi="Times New Roman"/>
        </w:rPr>
        <w:t>,</w:t>
      </w:r>
      <w:r w:rsidRPr="00F90E7C">
        <w:rPr>
          <w:rStyle w:val="FootnoteReference"/>
          <w:rFonts w:ascii="Times New Roman" w:hAnsi="Times New Roman"/>
          <w:sz w:val="24"/>
        </w:rPr>
        <w:footnoteReference w:id="55"/>
      </w:r>
      <w:r w:rsidRPr="00F90E7C">
        <w:rPr>
          <w:rFonts w:ascii="Times New Roman" w:hAnsi="Times New Roman"/>
        </w:rPr>
        <w:t xml:space="preserve"> and which has been developed in this country.</w:t>
      </w:r>
      <w:r w:rsidRPr="00F90E7C">
        <w:rPr>
          <w:rStyle w:val="FootnoteReference"/>
          <w:rFonts w:ascii="Times New Roman" w:hAnsi="Times New Roman"/>
          <w:sz w:val="24"/>
        </w:rPr>
        <w:footnoteReference w:id="56"/>
      </w:r>
      <w:r w:rsidRPr="00F90E7C">
        <w:rPr>
          <w:rFonts w:ascii="Times New Roman" w:hAnsi="Times New Roman"/>
        </w:rPr>
        <w:t xml:space="preserve"> </w:t>
      </w:r>
      <w:r w:rsidR="00865790" w:rsidRPr="00F90E7C">
        <w:rPr>
          <w:rFonts w:ascii="Times New Roman" w:hAnsi="Times New Roman"/>
        </w:rPr>
        <w:t>Brooke LJ</w:t>
      </w:r>
      <w:r w:rsidRPr="00F90E7C">
        <w:rPr>
          <w:rFonts w:ascii="Times New Roman" w:hAnsi="Times New Roman"/>
        </w:rPr>
        <w:t xml:space="preserve"> noted that with "pure necessity the [accused's] mind is not irresistibly over</w:t>
      </w:r>
      <w:r w:rsidR="00DB66CC" w:rsidRPr="00F90E7C">
        <w:rPr>
          <w:rFonts w:ascii="Times New Roman" w:hAnsi="Times New Roman"/>
        </w:rPr>
        <w:t>borne</w:t>
      </w:r>
      <w:r w:rsidRPr="00F90E7C">
        <w:rPr>
          <w:rFonts w:ascii="Times New Roman" w:hAnsi="Times New Roman"/>
        </w:rPr>
        <w:t xml:space="preserve"> by external pressures" as is the case </w:t>
      </w:r>
      <w:r w:rsidR="00A201D7" w:rsidRPr="00F90E7C">
        <w:rPr>
          <w:rFonts w:ascii="Times New Roman" w:hAnsi="Times New Roman"/>
        </w:rPr>
        <w:t>with</w:t>
      </w:r>
      <w:r w:rsidRPr="00F90E7C">
        <w:rPr>
          <w:rFonts w:ascii="Times New Roman" w:hAnsi="Times New Roman"/>
        </w:rPr>
        <w:t xml:space="preserve"> duress by threats or circumstances.</w:t>
      </w:r>
      <w:r w:rsidRPr="00F90E7C">
        <w:rPr>
          <w:rStyle w:val="FootnoteReference"/>
          <w:rFonts w:ascii="Times New Roman" w:hAnsi="Times New Roman"/>
          <w:sz w:val="24"/>
        </w:rPr>
        <w:footnoteReference w:id="57"/>
      </w:r>
      <w:r w:rsidRPr="00F90E7C">
        <w:rPr>
          <w:rFonts w:ascii="Times New Roman" w:hAnsi="Times New Roman"/>
        </w:rPr>
        <w:t xml:space="preserve"> Instead, the accused's "conduct [is] not harmful because on a choice of two evils the choice of avoiding the greater harm was justified".</w:t>
      </w:r>
      <w:r w:rsidRPr="00F90E7C">
        <w:rPr>
          <w:rStyle w:val="FootnoteReference"/>
          <w:rFonts w:ascii="Times New Roman" w:hAnsi="Times New Roman"/>
          <w:sz w:val="24"/>
        </w:rPr>
        <w:footnoteReference w:id="58"/>
      </w:r>
      <w:r w:rsidRPr="00F90E7C">
        <w:rPr>
          <w:rFonts w:ascii="Times New Roman" w:hAnsi="Times New Roman"/>
        </w:rPr>
        <w:t xml:space="preserve"> </w:t>
      </w:r>
      <w:r w:rsidRPr="00F90E7C">
        <w:rPr>
          <w:rFonts w:ascii="Times New Roman" w:hAnsi="Times New Roman"/>
        </w:rPr>
        <w:lastRenderedPageBreak/>
        <w:t>Whether there is a distinction in England and Wales between necessity and duress of circumstances has not been finally determined.</w:t>
      </w:r>
      <w:r w:rsidRPr="00F90E7C">
        <w:rPr>
          <w:rStyle w:val="FootnoteReference"/>
          <w:rFonts w:ascii="Times New Roman" w:hAnsi="Times New Roman"/>
          <w:sz w:val="24"/>
        </w:rPr>
        <w:footnoteReference w:id="59"/>
      </w:r>
      <w:r w:rsidRPr="00F90E7C">
        <w:rPr>
          <w:rFonts w:ascii="Times New Roman" w:hAnsi="Times New Roman"/>
        </w:rPr>
        <w:t xml:space="preserve"> </w:t>
      </w:r>
    </w:p>
    <w:p w14:paraId="4B105302" w14:textId="41BE339C"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It is not necessary to explore this doctrinal development further given neither party contended that the common law of this country should adopt duress of circumstances as an aspect of </w:t>
      </w:r>
      <w:r w:rsidR="007A677C" w:rsidRPr="00F90E7C">
        <w:rPr>
          <w:rFonts w:ascii="Times New Roman" w:hAnsi="Times New Roman"/>
        </w:rPr>
        <w:t xml:space="preserve">either </w:t>
      </w:r>
      <w:r w:rsidRPr="00F90E7C">
        <w:rPr>
          <w:rFonts w:ascii="Times New Roman" w:hAnsi="Times New Roman"/>
        </w:rPr>
        <w:t>necessity, duress or any other defence. Both parties accepted that it is an element of duress that there be a threat to impose the relevant form of harm unless the accused commit</w:t>
      </w:r>
      <w:r w:rsidR="00D70B24" w:rsidRPr="00F90E7C">
        <w:rPr>
          <w:rFonts w:ascii="Times New Roman" w:hAnsi="Times New Roman"/>
        </w:rPr>
        <w:t>s</w:t>
      </w:r>
      <w:r w:rsidRPr="00F90E7C">
        <w:rPr>
          <w:rFonts w:ascii="Times New Roman" w:hAnsi="Times New Roman"/>
        </w:rPr>
        <w:t xml:space="preserve"> the acts that constitute the offence charged. </w:t>
      </w:r>
    </w:p>
    <w:p w14:paraId="4C4D6159" w14:textId="165FACBC" w:rsidR="00562D00" w:rsidRPr="00F90E7C" w:rsidRDefault="00562D00" w:rsidP="00F90E7C">
      <w:pPr>
        <w:pStyle w:val="HeadingL1"/>
        <w:spacing w:after="260" w:line="280" w:lineRule="exact"/>
        <w:ind w:right="0"/>
        <w:jc w:val="both"/>
        <w:rPr>
          <w:rFonts w:ascii="Times New Roman" w:hAnsi="Times New Roman"/>
        </w:rPr>
      </w:pPr>
      <w:r w:rsidRPr="00F90E7C">
        <w:rPr>
          <w:rFonts w:ascii="Times New Roman" w:hAnsi="Times New Roman"/>
        </w:rPr>
        <w:t xml:space="preserve">The Court of Appeal </w:t>
      </w:r>
      <w:r w:rsidR="007D0652" w:rsidRPr="00F90E7C">
        <w:rPr>
          <w:rFonts w:ascii="Times New Roman" w:hAnsi="Times New Roman"/>
        </w:rPr>
        <w:t>d</w:t>
      </w:r>
      <w:r w:rsidRPr="00F90E7C">
        <w:rPr>
          <w:rFonts w:ascii="Times New Roman" w:hAnsi="Times New Roman"/>
        </w:rPr>
        <w:t xml:space="preserve">id </w:t>
      </w:r>
      <w:r w:rsidR="007D0652" w:rsidRPr="00F90E7C">
        <w:rPr>
          <w:rFonts w:ascii="Times New Roman" w:hAnsi="Times New Roman"/>
        </w:rPr>
        <w:t>n</w:t>
      </w:r>
      <w:r w:rsidRPr="00F90E7C">
        <w:rPr>
          <w:rFonts w:ascii="Times New Roman" w:hAnsi="Times New Roman"/>
        </w:rPr>
        <w:t xml:space="preserve">ot </w:t>
      </w:r>
      <w:r w:rsidR="007D0652" w:rsidRPr="00F90E7C">
        <w:rPr>
          <w:rFonts w:ascii="Times New Roman" w:hAnsi="Times New Roman"/>
        </w:rPr>
        <w:t>e</w:t>
      </w:r>
      <w:r w:rsidRPr="00F90E7C">
        <w:rPr>
          <w:rFonts w:ascii="Times New Roman" w:hAnsi="Times New Roman"/>
        </w:rPr>
        <w:t>rr</w:t>
      </w:r>
    </w:p>
    <w:p w14:paraId="4F9C6334" w14:textId="6F34BD70"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The appellant's sole ground of appeal in this Court was that the Court of Appeal erred in finding that the trial judge had erred in ruling that the respondent could not avail herself of the defence of duress. The focus of this ground was that the Court of Appeal erred in its approach to element (i) in </w:t>
      </w:r>
      <w:r w:rsidRPr="00F90E7C">
        <w:rPr>
          <w:rFonts w:ascii="Times New Roman" w:hAnsi="Times New Roman"/>
          <w:i/>
          <w:iCs/>
        </w:rPr>
        <w:t>Hurley</w:t>
      </w:r>
      <w:r w:rsidRPr="00F90E7C">
        <w:rPr>
          <w:rFonts w:ascii="Times New Roman" w:hAnsi="Times New Roman"/>
        </w:rPr>
        <w:t xml:space="preserve">. </w:t>
      </w:r>
    </w:p>
    <w:p w14:paraId="3D96B3DB" w14:textId="763EC10F"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In the Court of Appeal, Kyrou and Niall JJA addressed the respondent's application for leave to appeal her convictions on the basis that Ms Matthews' report was available to be deployed to support the defence of duress.</w:t>
      </w:r>
      <w:r w:rsidRPr="00F90E7C">
        <w:rPr>
          <w:rStyle w:val="FootnoteReference"/>
          <w:rFonts w:ascii="Times New Roman" w:hAnsi="Times New Roman"/>
          <w:sz w:val="24"/>
        </w:rPr>
        <w:footnoteReference w:id="60"/>
      </w:r>
      <w:r w:rsidRPr="00F90E7C">
        <w:rPr>
          <w:rFonts w:ascii="Times New Roman" w:hAnsi="Times New Roman"/>
        </w:rPr>
        <w:t xml:space="preserve"> McLeish JA considered whether the evidence was sufficient to raise duress solely on the basis of Paige and Alicia's evidence and without reference to Ms Matthews' report.</w:t>
      </w:r>
      <w:r w:rsidRPr="00F90E7C">
        <w:rPr>
          <w:rStyle w:val="FootnoteReference"/>
          <w:rFonts w:ascii="Times New Roman" w:hAnsi="Times New Roman"/>
          <w:sz w:val="24"/>
        </w:rPr>
        <w:footnoteReference w:id="61"/>
      </w:r>
    </w:p>
    <w:p w14:paraId="597EBCF6" w14:textId="6F726835"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Relevantly, Kyrou and Niall JJA concluded that the trial judge had erred in implicitly accepting that element (i) specified in </w:t>
      </w:r>
      <w:r w:rsidRPr="00F90E7C">
        <w:rPr>
          <w:rFonts w:ascii="Times New Roman" w:hAnsi="Times New Roman"/>
          <w:i/>
          <w:iCs/>
        </w:rPr>
        <w:t>Hurley</w:t>
      </w:r>
      <w:r w:rsidRPr="00F90E7C">
        <w:rPr>
          <w:rFonts w:ascii="Times New Roman" w:hAnsi="Times New Roman"/>
        </w:rPr>
        <w:t xml:space="preserve"> "requires a specific, overt threat in close temporal proximity to the offending and that a continuing or ever present threat is not sufficient".</w:t>
      </w:r>
      <w:r w:rsidRPr="00F90E7C">
        <w:rPr>
          <w:rStyle w:val="FootnoteReference"/>
          <w:rFonts w:ascii="Times New Roman" w:hAnsi="Times New Roman"/>
          <w:sz w:val="24"/>
        </w:rPr>
        <w:footnoteReference w:id="62"/>
      </w:r>
      <w:r w:rsidRPr="00F90E7C">
        <w:rPr>
          <w:rFonts w:ascii="Times New Roman" w:hAnsi="Times New Roman"/>
        </w:rPr>
        <w:t xml:space="preserve"> Their Honours added that "a continuing or ever present threat which is subsisting at the time an accused committed the charged offence can suffice</w:t>
      </w:r>
      <w:r w:rsidRPr="00F90E7C">
        <w:rPr>
          <w:rFonts w:ascii="Times New Roman" w:hAnsi="Times New Roman"/>
          <w:i/>
          <w:iCs/>
        </w:rPr>
        <w:t xml:space="preserve"> </w:t>
      </w:r>
      <w:r w:rsidRPr="00F90E7C">
        <w:rPr>
          <w:rFonts w:ascii="Times New Roman" w:hAnsi="Times New Roman"/>
        </w:rPr>
        <w:t>if</w:t>
      </w:r>
      <w:r w:rsidR="00EB0D56" w:rsidRPr="00F90E7C">
        <w:rPr>
          <w:rFonts w:ascii="Times New Roman" w:hAnsi="Times New Roman"/>
        </w:rPr>
        <w:t>,</w:t>
      </w:r>
      <w:r w:rsidRPr="00F90E7C">
        <w:rPr>
          <w:rFonts w:ascii="Times New Roman" w:hAnsi="Times New Roman"/>
          <w:i/>
          <w:iCs/>
        </w:rPr>
        <w:t xml:space="preserve"> in all other respects</w:t>
      </w:r>
      <w:r w:rsidRPr="00F90E7C">
        <w:rPr>
          <w:rFonts w:ascii="Times New Roman" w:hAnsi="Times New Roman"/>
        </w:rPr>
        <w:t>, the defence of duress can be made out"</w:t>
      </w:r>
      <w:r w:rsidR="00027CE1" w:rsidRPr="00F90E7C">
        <w:rPr>
          <w:rFonts w:ascii="Times New Roman" w:hAnsi="Times New Roman"/>
        </w:rPr>
        <w:t xml:space="preserve"> </w:t>
      </w:r>
      <w:r w:rsidRPr="00F90E7C">
        <w:rPr>
          <w:rFonts w:ascii="Times New Roman" w:hAnsi="Times New Roman"/>
        </w:rPr>
        <w:t>(emphasis added).</w:t>
      </w:r>
      <w:r w:rsidRPr="00F90E7C">
        <w:rPr>
          <w:rStyle w:val="FootnoteReference"/>
          <w:rFonts w:ascii="Times New Roman" w:hAnsi="Times New Roman"/>
          <w:sz w:val="24"/>
        </w:rPr>
        <w:footnoteReference w:id="63"/>
      </w:r>
      <w:r w:rsidRPr="00F90E7C" w:rsidDel="004143AB">
        <w:rPr>
          <w:rFonts w:ascii="Times New Roman" w:hAnsi="Times New Roman"/>
        </w:rPr>
        <w:t xml:space="preserve"> </w:t>
      </w:r>
      <w:r w:rsidRPr="00F90E7C">
        <w:rPr>
          <w:rFonts w:ascii="Times New Roman" w:hAnsi="Times New Roman"/>
        </w:rPr>
        <w:t xml:space="preserve">This aspect of their Honours' reasons and the passages noted below were the basis for the appellant's concern that the Court of Appeal had </w:t>
      </w:r>
      <w:r w:rsidRPr="00F90E7C">
        <w:rPr>
          <w:rFonts w:ascii="Times New Roman" w:hAnsi="Times New Roman"/>
        </w:rPr>
        <w:lastRenderedPageBreak/>
        <w:t xml:space="preserve">extended duress to accommodate duress of circumstances, or at least </w:t>
      </w:r>
      <w:r w:rsidR="00D70B24" w:rsidRPr="00F90E7C">
        <w:rPr>
          <w:rFonts w:ascii="Times New Roman" w:hAnsi="Times New Roman"/>
        </w:rPr>
        <w:t xml:space="preserve">had </w:t>
      </w:r>
      <w:r w:rsidRPr="00F90E7C">
        <w:rPr>
          <w:rFonts w:ascii="Times New Roman" w:hAnsi="Times New Roman"/>
        </w:rPr>
        <w:t xml:space="preserve">drifted towards its adoption. </w:t>
      </w:r>
    </w:p>
    <w:p w14:paraId="6E24127D" w14:textId="6AC9B820"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To the extent that Kyrou and Niall JJA can be taken as accepting that at least part of the origin of a threat that addresses element (i) in </w:t>
      </w:r>
      <w:r w:rsidRPr="00F90E7C">
        <w:rPr>
          <w:rFonts w:ascii="Times New Roman" w:hAnsi="Times New Roman"/>
          <w:i/>
          <w:iCs/>
        </w:rPr>
        <w:t xml:space="preserve">Hurley </w:t>
      </w:r>
      <w:r w:rsidRPr="00F90E7C">
        <w:rPr>
          <w:rFonts w:ascii="Times New Roman" w:hAnsi="Times New Roman"/>
        </w:rPr>
        <w:t>can be the antecedent conduct of the maker of the threat and that what is necessary is that the threat be "subsisting" (ie, operative), then, for the reasons outlined above, their Honours' approach was in accordance with accepted principle.</w:t>
      </w:r>
      <w:r w:rsidRPr="00F90E7C" w:rsidDel="00F0376D">
        <w:rPr>
          <w:rFonts w:ascii="Times New Roman" w:hAnsi="Times New Roman"/>
        </w:rPr>
        <w:t xml:space="preserve"> </w:t>
      </w:r>
      <w:r w:rsidR="005A6E49" w:rsidRPr="00F90E7C">
        <w:rPr>
          <w:rFonts w:ascii="Times New Roman" w:hAnsi="Times New Roman"/>
        </w:rPr>
        <w:t>However,</w:t>
      </w:r>
      <w:r w:rsidRPr="00F90E7C">
        <w:rPr>
          <w:rFonts w:ascii="Times New Roman" w:hAnsi="Times New Roman"/>
        </w:rPr>
        <w:t xml:space="preserve"> if their Honours are to be understood as suggesting that a "continuing </w:t>
      </w:r>
      <w:r w:rsidR="003A1BA5" w:rsidRPr="00F90E7C">
        <w:rPr>
          <w:rFonts w:ascii="Times New Roman" w:hAnsi="Times New Roman"/>
        </w:rPr>
        <w:t>or</w:t>
      </w:r>
      <w:r w:rsidRPr="00F90E7C">
        <w:rPr>
          <w:rFonts w:ascii="Times New Roman" w:hAnsi="Times New Roman"/>
        </w:rPr>
        <w:t xml:space="preserve"> ever present threat" </w:t>
      </w:r>
      <w:r w:rsidRPr="00F90E7C">
        <w:rPr>
          <w:rFonts w:ascii="Times New Roman" w:hAnsi="Times New Roman"/>
          <w:i/>
          <w:iCs/>
        </w:rPr>
        <w:t>of serious violence per se</w:t>
      </w:r>
      <w:r w:rsidRPr="00F90E7C">
        <w:rPr>
          <w:rFonts w:ascii="Times New Roman" w:hAnsi="Times New Roman"/>
        </w:rPr>
        <w:t xml:space="preserve"> is </w:t>
      </w:r>
      <w:r w:rsidRPr="00F90E7C" w:rsidDel="00A4371C">
        <w:rPr>
          <w:rFonts w:ascii="Times New Roman" w:hAnsi="Times New Roman"/>
        </w:rPr>
        <w:t xml:space="preserve">a </w:t>
      </w:r>
      <w:r w:rsidRPr="00F90E7C">
        <w:rPr>
          <w:rFonts w:ascii="Times New Roman" w:hAnsi="Times New Roman"/>
        </w:rPr>
        <w:t xml:space="preserve">sufficient form of threat to raise a defence of duress, </w:t>
      </w:r>
      <w:r w:rsidR="005A6E49" w:rsidRPr="00F90E7C">
        <w:rPr>
          <w:rFonts w:ascii="Times New Roman" w:hAnsi="Times New Roman"/>
        </w:rPr>
        <w:t xml:space="preserve">then </w:t>
      </w:r>
      <w:r w:rsidR="00B82618" w:rsidRPr="00F90E7C">
        <w:rPr>
          <w:rFonts w:ascii="Times New Roman" w:hAnsi="Times New Roman"/>
        </w:rPr>
        <w:t xml:space="preserve">their statement </w:t>
      </w:r>
      <w:r w:rsidRPr="00F90E7C">
        <w:rPr>
          <w:rFonts w:ascii="Times New Roman" w:hAnsi="Times New Roman"/>
        </w:rPr>
        <w:t xml:space="preserve">would not be in accordance with accepted principle, as </w:t>
      </w:r>
      <w:r w:rsidRPr="00F90E7C" w:rsidDel="00072B5C">
        <w:rPr>
          <w:rFonts w:ascii="Times New Roman" w:hAnsi="Times New Roman"/>
        </w:rPr>
        <w:t xml:space="preserve">such a threat </w:t>
      </w:r>
      <w:r w:rsidRPr="00F90E7C">
        <w:rPr>
          <w:rFonts w:ascii="Times New Roman" w:hAnsi="Times New Roman"/>
        </w:rPr>
        <w:t xml:space="preserve">would not constitute a threat to inflict the relevant form of harm if the accused failed to commit the acts that constitute the offence. Ultimately, having regard to another finding made by their Honours noted below, </w:t>
      </w:r>
      <w:r w:rsidR="00B82618" w:rsidRPr="00F90E7C">
        <w:rPr>
          <w:rFonts w:ascii="Times New Roman" w:hAnsi="Times New Roman"/>
        </w:rPr>
        <w:t xml:space="preserve">it is apparent </w:t>
      </w:r>
      <w:r w:rsidR="005E6273" w:rsidRPr="00F90E7C">
        <w:rPr>
          <w:rFonts w:ascii="Times New Roman" w:hAnsi="Times New Roman"/>
        </w:rPr>
        <w:t xml:space="preserve">that </w:t>
      </w:r>
      <w:r w:rsidR="00934A57" w:rsidRPr="00F90E7C">
        <w:rPr>
          <w:rFonts w:ascii="Times New Roman" w:hAnsi="Times New Roman"/>
        </w:rPr>
        <w:t xml:space="preserve">is not what their </w:t>
      </w:r>
      <w:r w:rsidRPr="00F90E7C">
        <w:rPr>
          <w:rFonts w:ascii="Times New Roman" w:hAnsi="Times New Roman"/>
        </w:rPr>
        <w:t>Honours were intending to convey</w:t>
      </w:r>
      <w:r w:rsidR="00B0232C" w:rsidRPr="00F90E7C">
        <w:rPr>
          <w:rFonts w:ascii="Times New Roman" w:hAnsi="Times New Roman"/>
        </w:rPr>
        <w:t>.</w:t>
      </w:r>
      <w:r w:rsidRPr="00F90E7C" w:rsidDel="008140BD">
        <w:rPr>
          <w:rFonts w:ascii="Times New Roman" w:hAnsi="Times New Roman"/>
        </w:rPr>
        <w:t xml:space="preserve"> </w:t>
      </w:r>
      <w:r w:rsidR="004D7B93" w:rsidRPr="00F90E7C">
        <w:rPr>
          <w:rFonts w:ascii="Times New Roman" w:hAnsi="Times New Roman"/>
        </w:rPr>
        <w:t>Instead,</w:t>
      </w:r>
      <w:r w:rsidR="00DE7F19" w:rsidRPr="00F90E7C">
        <w:rPr>
          <w:rFonts w:ascii="Times New Roman" w:hAnsi="Times New Roman"/>
        </w:rPr>
        <w:t xml:space="preserve"> </w:t>
      </w:r>
      <w:r w:rsidR="00B0232C" w:rsidRPr="00F90E7C">
        <w:rPr>
          <w:rFonts w:ascii="Times New Roman" w:hAnsi="Times New Roman"/>
        </w:rPr>
        <w:t xml:space="preserve">their </w:t>
      </w:r>
      <w:r w:rsidRPr="00F90E7C">
        <w:rPr>
          <w:rFonts w:ascii="Times New Roman" w:hAnsi="Times New Roman"/>
        </w:rPr>
        <w:t>Honours</w:t>
      </w:r>
      <w:r w:rsidR="009C500D" w:rsidRPr="00F90E7C">
        <w:rPr>
          <w:rFonts w:ascii="Times New Roman" w:hAnsi="Times New Roman"/>
        </w:rPr>
        <w:t>' statement was focussed on</w:t>
      </w:r>
      <w:r w:rsidRPr="00F90E7C" w:rsidDel="000C70B5">
        <w:rPr>
          <w:rFonts w:ascii="Times New Roman" w:hAnsi="Times New Roman"/>
        </w:rPr>
        <w:t xml:space="preserve"> </w:t>
      </w:r>
      <w:r w:rsidRPr="00F90E7C">
        <w:rPr>
          <w:rFonts w:ascii="Times New Roman" w:hAnsi="Times New Roman"/>
        </w:rPr>
        <w:t xml:space="preserve">the temporal proximity of the threat to the commission of the acts that constitute the offence. The necessity to demonstrate that the threat included a requirement or demand for the accused to avoid the </w:t>
      </w:r>
      <w:r w:rsidR="000C70B5" w:rsidRPr="00F90E7C">
        <w:rPr>
          <w:rFonts w:ascii="Times New Roman" w:hAnsi="Times New Roman"/>
        </w:rPr>
        <w:t xml:space="preserve">violence </w:t>
      </w:r>
      <w:r w:rsidRPr="00F90E7C">
        <w:rPr>
          <w:rFonts w:ascii="Times New Roman" w:hAnsi="Times New Roman"/>
        </w:rPr>
        <w:t xml:space="preserve">by committing the acts that constitute the offence was encompassed by the phrase "in all other respects". </w:t>
      </w:r>
    </w:p>
    <w:p w14:paraId="78E63F8A" w14:textId="77777777"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Having identified this error on the part of the trial judge, Kyrou and Niall JJA then considered whether this and other errors resulted in a "substantial miscarriage of justice".</w:t>
      </w:r>
      <w:r w:rsidRPr="00F90E7C">
        <w:rPr>
          <w:rStyle w:val="FootnoteReference"/>
          <w:rFonts w:ascii="Times New Roman" w:hAnsi="Times New Roman"/>
          <w:sz w:val="24"/>
        </w:rPr>
        <w:footnoteReference w:id="64"/>
      </w:r>
      <w:r w:rsidRPr="00F90E7C">
        <w:rPr>
          <w:rFonts w:ascii="Times New Roman" w:hAnsi="Times New Roman"/>
        </w:rPr>
        <w:t xml:space="preserve"> Their Honours considered that question would be answered in the affirmative if there was "any possibility the jury might not unreasonably discover in the material before them enough to enable them to find a case of duress".</w:t>
      </w:r>
      <w:r w:rsidRPr="00F90E7C">
        <w:rPr>
          <w:rStyle w:val="FootnoteReference"/>
          <w:rFonts w:ascii="Times New Roman" w:hAnsi="Times New Roman"/>
          <w:sz w:val="24"/>
        </w:rPr>
        <w:footnoteReference w:id="65"/>
      </w:r>
      <w:r w:rsidRPr="00F90E7C">
        <w:rPr>
          <w:rFonts w:ascii="Times New Roman" w:hAnsi="Times New Roman"/>
        </w:rPr>
        <w:t xml:space="preserve"> This formulation seems to have been intended to correspond with an inquiry into whether an accused has discharged their evidentiary burden in seeking to raise duress. The proper formulation of that test by reference to </w:t>
      </w:r>
      <w:r w:rsidRPr="00F90E7C">
        <w:rPr>
          <w:rFonts w:ascii="Times New Roman" w:hAnsi="Times New Roman"/>
          <w:i/>
          <w:iCs/>
        </w:rPr>
        <w:t xml:space="preserve">Braysich </w:t>
      </w:r>
      <w:r w:rsidRPr="00F90E7C">
        <w:rPr>
          <w:rFonts w:ascii="Times New Roman" w:hAnsi="Times New Roman"/>
        </w:rPr>
        <w:t>is set out above.</w:t>
      </w:r>
    </w:p>
    <w:p w14:paraId="34209455" w14:textId="3DE45818"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After reviewing the evidence, their Honours </w:t>
      </w:r>
      <w:r w:rsidR="00A55732" w:rsidRPr="00F90E7C">
        <w:rPr>
          <w:rFonts w:ascii="Times New Roman" w:hAnsi="Times New Roman"/>
        </w:rPr>
        <w:t>made the following critical findings</w:t>
      </w:r>
      <w:r w:rsidRPr="00F90E7C">
        <w:rPr>
          <w:rFonts w:ascii="Times New Roman" w:hAnsi="Times New Roman"/>
        </w:rPr>
        <w:t>:</w:t>
      </w:r>
      <w:r w:rsidRPr="00F90E7C">
        <w:rPr>
          <w:rStyle w:val="FootnoteReference"/>
          <w:rFonts w:ascii="Times New Roman" w:hAnsi="Times New Roman"/>
          <w:sz w:val="24"/>
        </w:rPr>
        <w:footnoteReference w:id="66"/>
      </w:r>
    </w:p>
    <w:p w14:paraId="60E75CD0" w14:textId="77777777" w:rsidR="00562D00" w:rsidRPr="00F90E7C" w:rsidRDefault="00562D00" w:rsidP="00F90E7C">
      <w:pPr>
        <w:pStyle w:val="LeftrightafterHC"/>
        <w:spacing w:before="0" w:after="260" w:line="280" w:lineRule="exact"/>
        <w:ind w:right="0"/>
        <w:jc w:val="both"/>
        <w:rPr>
          <w:rFonts w:ascii="Times New Roman" w:hAnsi="Times New Roman"/>
        </w:rPr>
      </w:pPr>
      <w:r w:rsidRPr="00F90E7C">
        <w:rPr>
          <w:rFonts w:ascii="Times New Roman" w:hAnsi="Times New Roman"/>
        </w:rPr>
        <w:tab/>
        <w:t xml:space="preserve">"In our opinion, the combined psychological, physical and sexual abuse (including rape) that we have found could be inferred to be the subject </w:t>
      </w:r>
      <w:r w:rsidRPr="00F90E7C">
        <w:rPr>
          <w:rFonts w:ascii="Times New Roman" w:hAnsi="Times New Roman"/>
        </w:rPr>
        <w:lastRenderedPageBreak/>
        <w:t xml:space="preserve">of a </w:t>
      </w:r>
      <w:r w:rsidRPr="00F90E7C">
        <w:rPr>
          <w:rFonts w:ascii="Times New Roman" w:hAnsi="Times New Roman"/>
          <w:i/>
          <w:iCs/>
        </w:rPr>
        <w:t>continuing or ever present threat in the present case was a sufficient form of harm for the purposes of element (i) of the defence of duress</w:t>
      </w:r>
      <w:r w:rsidRPr="00F90E7C">
        <w:rPr>
          <w:rFonts w:ascii="Times New Roman" w:hAnsi="Times New Roman"/>
        </w:rPr>
        <w:t>.</w:t>
      </w:r>
    </w:p>
    <w:p w14:paraId="26E092E5" w14:textId="5AEF9AB7" w:rsidR="00562D00" w:rsidRPr="00F90E7C" w:rsidRDefault="00CF6CD6" w:rsidP="00F90E7C">
      <w:pPr>
        <w:pStyle w:val="leftright"/>
        <w:spacing w:before="0" w:after="260" w:line="280" w:lineRule="exact"/>
        <w:ind w:right="0"/>
        <w:jc w:val="both"/>
        <w:rPr>
          <w:rFonts w:ascii="Times New Roman" w:hAnsi="Times New Roman"/>
        </w:rPr>
      </w:pPr>
      <w:r w:rsidRPr="00F90E7C">
        <w:rPr>
          <w:rFonts w:ascii="Times New Roman" w:hAnsi="Times New Roman"/>
        </w:rPr>
        <w:tab/>
      </w:r>
      <w:r w:rsidR="00562D00" w:rsidRPr="00F90E7C">
        <w:rPr>
          <w:rFonts w:ascii="Times New Roman" w:hAnsi="Times New Roman"/>
        </w:rPr>
        <w:t>We are also of the opinion that it is not fatal in this case that there is no direct evidence that JR told the [respondent] shortly prior to each offence that, unless she performed the acts that constitute each of the charged offences, he would physically and sexually abuse her. That is because it would be open to the jury to infer that this was a reasonable possibility based upon the history of the relationship between JR and the [respondent] as set out in the Matthews 2019 report and, in particular, the complainants</w:t>
      </w:r>
      <w:r w:rsidR="008B5A4D" w:rsidRPr="00F90E7C">
        <w:rPr>
          <w:rFonts w:ascii="Times New Roman" w:hAnsi="Times New Roman"/>
        </w:rPr>
        <w:t>'</w:t>
      </w:r>
      <w:r w:rsidR="00562D00" w:rsidRPr="00F90E7C">
        <w:rPr>
          <w:rFonts w:ascii="Times New Roman" w:hAnsi="Times New Roman"/>
        </w:rPr>
        <w:t xml:space="preserve"> evidence. It must be borne in mind that the offending conduct of the [respondent] for all but charges 1, 11 and 13 constituted being present during JR</w:t>
      </w:r>
      <w:r w:rsidR="008B5A4D" w:rsidRPr="00F90E7C">
        <w:rPr>
          <w:rFonts w:ascii="Times New Roman" w:hAnsi="Times New Roman"/>
        </w:rPr>
        <w:t>'</w:t>
      </w:r>
      <w:r w:rsidR="00562D00" w:rsidRPr="00F90E7C">
        <w:rPr>
          <w:rFonts w:ascii="Times New Roman" w:hAnsi="Times New Roman"/>
        </w:rPr>
        <w:t xml:space="preserve">s offending. </w:t>
      </w:r>
      <w:r w:rsidR="00562D00" w:rsidRPr="00F90E7C">
        <w:rPr>
          <w:rFonts w:ascii="Times New Roman" w:hAnsi="Times New Roman"/>
          <w:i/>
          <w:iCs/>
        </w:rPr>
        <w:t>For all of the offences, it would be open to the jury to conclude that there was a reasonable possibility that the [respondent] would not have been present or undertaken the specific acts that constituted the offending had it not been for an unstated demand from JR that she do so, otherwise he would physically and sexually abuse her</w:t>
      </w:r>
      <w:r w:rsidR="00562D00" w:rsidRPr="00F90E7C">
        <w:rPr>
          <w:rFonts w:ascii="Times New Roman" w:hAnsi="Times New Roman"/>
        </w:rPr>
        <w:t xml:space="preserve">. In relation to the offending the subject of charge 1, the existence of such a reasonable possibility is supported by the [respondent's] statement to Ms Matthews that she </w:t>
      </w:r>
      <w:r w:rsidR="004933DF" w:rsidRPr="00F90E7C">
        <w:rPr>
          <w:rFonts w:ascii="Times New Roman" w:hAnsi="Times New Roman"/>
        </w:rPr>
        <w:t>'</w:t>
      </w:r>
      <w:r w:rsidR="00562D00" w:rsidRPr="00F90E7C">
        <w:rPr>
          <w:rFonts w:ascii="Times New Roman" w:hAnsi="Times New Roman"/>
        </w:rPr>
        <w:t>tried to say no, but [JR] made [her]</w:t>
      </w:r>
      <w:r w:rsidR="004933DF" w:rsidRPr="00F90E7C">
        <w:rPr>
          <w:rFonts w:ascii="Times New Roman" w:hAnsi="Times New Roman"/>
        </w:rPr>
        <w:t>'</w:t>
      </w:r>
      <w:r w:rsidR="00562D00" w:rsidRPr="00F90E7C">
        <w:rPr>
          <w:rFonts w:ascii="Times New Roman" w:hAnsi="Times New Roman"/>
        </w:rPr>
        <w:t xml:space="preserve">. </w:t>
      </w:r>
    </w:p>
    <w:p w14:paraId="10703449" w14:textId="0421AC5A" w:rsidR="00562D00" w:rsidRPr="00F90E7C" w:rsidRDefault="00CF6CD6" w:rsidP="00F90E7C">
      <w:pPr>
        <w:pStyle w:val="leftright"/>
        <w:spacing w:before="0" w:after="260" w:line="280" w:lineRule="exact"/>
        <w:ind w:right="0"/>
        <w:jc w:val="both"/>
        <w:rPr>
          <w:rFonts w:ascii="Times New Roman" w:hAnsi="Times New Roman"/>
        </w:rPr>
      </w:pPr>
      <w:r w:rsidRPr="00F90E7C">
        <w:rPr>
          <w:rFonts w:ascii="Times New Roman" w:hAnsi="Times New Roman"/>
        </w:rPr>
        <w:tab/>
      </w:r>
      <w:r w:rsidR="00562D00" w:rsidRPr="00F90E7C">
        <w:rPr>
          <w:rFonts w:ascii="Times New Roman" w:hAnsi="Times New Roman"/>
        </w:rPr>
        <w:t xml:space="preserve">For the above reasons, we are of the opinion that it would have been open to the jury to conclude that there was a reasonable possibility that the [respondent] committed the offences against the complainants as a result of her will being overborne by the continuing or ever present threat </w:t>
      </w:r>
      <w:r w:rsidR="00562D00" w:rsidRPr="00F90E7C">
        <w:rPr>
          <w:rFonts w:ascii="Times New Roman" w:hAnsi="Times New Roman"/>
          <w:i/>
          <w:iCs/>
        </w:rPr>
        <w:t>of JR</w:t>
      </w:r>
      <w:r w:rsidR="00562D00" w:rsidRPr="00F90E7C">
        <w:rPr>
          <w:rFonts w:ascii="Times New Roman" w:hAnsi="Times New Roman"/>
        </w:rPr>
        <w:t xml:space="preserve"> to which we have referred.</w:t>
      </w:r>
    </w:p>
    <w:p w14:paraId="22784025" w14:textId="77777777" w:rsidR="00F90E7C" w:rsidRDefault="00CF6CD6" w:rsidP="00F90E7C">
      <w:pPr>
        <w:pStyle w:val="leftright"/>
        <w:spacing w:before="0" w:after="260" w:line="280" w:lineRule="exact"/>
        <w:ind w:right="0"/>
        <w:jc w:val="both"/>
        <w:rPr>
          <w:rFonts w:ascii="Times New Roman" w:hAnsi="Times New Roman"/>
        </w:rPr>
      </w:pPr>
      <w:r w:rsidRPr="00F90E7C">
        <w:rPr>
          <w:rFonts w:ascii="Times New Roman" w:hAnsi="Times New Roman"/>
        </w:rPr>
        <w:tab/>
      </w:r>
      <w:r w:rsidR="00562D00" w:rsidRPr="00F90E7C">
        <w:rPr>
          <w:rFonts w:ascii="Times New Roman" w:hAnsi="Times New Roman"/>
        </w:rPr>
        <w:t xml:space="preserve">In relation to element (iii), the jury could find that there was a reasonable possibility that, as the threat was ongoing throughout the period of the offending, it was present and continuing, imminent and impending at the time each offence was committed." (emphasis added; </w:t>
      </w:r>
      <w:r w:rsidR="008262AD" w:rsidRPr="00F90E7C">
        <w:rPr>
          <w:rFonts w:ascii="Times New Roman" w:hAnsi="Times New Roman"/>
        </w:rPr>
        <w:t xml:space="preserve">footnotes </w:t>
      </w:r>
      <w:r w:rsidR="00562D00" w:rsidRPr="00F90E7C">
        <w:rPr>
          <w:rFonts w:ascii="Times New Roman" w:hAnsi="Times New Roman"/>
        </w:rPr>
        <w:t>omitted)</w:t>
      </w:r>
    </w:p>
    <w:p w14:paraId="466962BB" w14:textId="16ED2384"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The appellant pointed </w:t>
      </w:r>
      <w:r w:rsidRPr="00F90E7C" w:rsidDel="001C0F7E">
        <w:rPr>
          <w:rFonts w:ascii="Times New Roman" w:hAnsi="Times New Roman"/>
        </w:rPr>
        <w:t xml:space="preserve">to the </w:t>
      </w:r>
      <w:r w:rsidRPr="00F90E7C">
        <w:rPr>
          <w:rFonts w:ascii="Times New Roman" w:hAnsi="Times New Roman"/>
        </w:rPr>
        <w:t xml:space="preserve">two references to the "continuing or ever present threat", as well as to the reference to the threat "of" JR, as opposed to threats "by" JR, in this passage as indicative of Kyrou and Niall JJA treating evidence of an ongoing threat of violence as sufficient to raise the defence of duress without the necessity for evidence of a threat to inflict the relevant form of harm if </w:t>
      </w:r>
      <w:r w:rsidR="00BE3F85" w:rsidRPr="00F90E7C">
        <w:rPr>
          <w:rFonts w:ascii="Times New Roman" w:hAnsi="Times New Roman"/>
        </w:rPr>
        <w:t>an</w:t>
      </w:r>
      <w:r w:rsidRPr="00F90E7C">
        <w:rPr>
          <w:rFonts w:ascii="Times New Roman" w:hAnsi="Times New Roman"/>
        </w:rPr>
        <w:t xml:space="preserve"> accused failed to commit the acts the subject of the charge. Thus, the appellant submitted that their Honours implicitly treated duress of circumstances as sufficient to raise duress. </w:t>
      </w:r>
    </w:p>
    <w:p w14:paraId="53FD68B0" w14:textId="0484E1A1"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These submissions ignore the emphasised finding in the second paragraph of the above extract</w:t>
      </w:r>
      <w:r w:rsidR="007865AE" w:rsidRPr="00F90E7C">
        <w:rPr>
          <w:rFonts w:ascii="Times New Roman" w:hAnsi="Times New Roman"/>
        </w:rPr>
        <w:t>,</w:t>
      </w:r>
      <w:r w:rsidRPr="00F90E7C">
        <w:rPr>
          <w:rFonts w:ascii="Times New Roman" w:hAnsi="Times New Roman"/>
        </w:rPr>
        <w:t xml:space="preserve"> which specifically addresses element (i) in </w:t>
      </w:r>
      <w:r w:rsidRPr="00F90E7C">
        <w:rPr>
          <w:rFonts w:ascii="Times New Roman" w:hAnsi="Times New Roman"/>
          <w:i/>
          <w:iCs/>
        </w:rPr>
        <w:t>Hurley</w:t>
      </w:r>
      <w:r w:rsidRPr="00F90E7C">
        <w:rPr>
          <w:rFonts w:ascii="Times New Roman" w:hAnsi="Times New Roman"/>
        </w:rPr>
        <w:t xml:space="preserve">. A footnote </w:t>
      </w:r>
      <w:r w:rsidRPr="00F90E7C">
        <w:rPr>
          <w:rFonts w:ascii="Times New Roman" w:hAnsi="Times New Roman"/>
        </w:rPr>
        <w:lastRenderedPageBreak/>
        <w:t>to that finding refers to Smith J's reference in</w:t>
      </w:r>
      <w:r w:rsidRPr="00F90E7C">
        <w:rPr>
          <w:rFonts w:ascii="Times New Roman" w:hAnsi="Times New Roman"/>
          <w:i/>
          <w:iCs/>
        </w:rPr>
        <w:t xml:space="preserve"> Hurley</w:t>
      </w:r>
      <w:r w:rsidRPr="00F90E7C">
        <w:rPr>
          <w:rFonts w:ascii="Times New Roman" w:hAnsi="Times New Roman"/>
        </w:rPr>
        <w:t xml:space="preserve"> to a threat being "formulated in words or left unsaid".</w:t>
      </w:r>
      <w:r w:rsidRPr="00F90E7C">
        <w:rPr>
          <w:rStyle w:val="FootnoteReference"/>
          <w:rFonts w:ascii="Times New Roman" w:hAnsi="Times New Roman"/>
          <w:sz w:val="24"/>
        </w:rPr>
        <w:footnoteReference w:id="67"/>
      </w:r>
      <w:r w:rsidRPr="00F90E7C">
        <w:rPr>
          <w:rFonts w:ascii="Times New Roman" w:hAnsi="Times New Roman"/>
        </w:rPr>
        <w:t xml:space="preserve"> Given that finding, Kyrou and Niall JJA did not err in the manner alleged by the appellant. Overall, their Honours' approach was consistent with the accepted understanding of the nature of the threat required for the defence of duress at common law. </w:t>
      </w:r>
    </w:p>
    <w:p w14:paraId="3BA61017" w14:textId="77777777"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As noted, McLeish JA's consideration was confined to the evidence given by Paige and Alicia without reference to Ms Matthews' report. Even so, his Honour concluded as follows:</w:t>
      </w:r>
      <w:r w:rsidRPr="00F90E7C">
        <w:rPr>
          <w:rStyle w:val="FootnoteReference"/>
          <w:rFonts w:ascii="Times New Roman" w:hAnsi="Times New Roman"/>
          <w:sz w:val="24"/>
        </w:rPr>
        <w:footnoteReference w:id="68"/>
      </w:r>
      <w:r w:rsidRPr="00F90E7C">
        <w:rPr>
          <w:rFonts w:ascii="Times New Roman" w:hAnsi="Times New Roman"/>
        </w:rPr>
        <w:t xml:space="preserve"> </w:t>
      </w:r>
    </w:p>
    <w:p w14:paraId="098A7100" w14:textId="77777777" w:rsidR="00F90E7C" w:rsidRDefault="00562D00" w:rsidP="00F90E7C">
      <w:pPr>
        <w:pStyle w:val="LeftrightafterHC"/>
        <w:spacing w:before="0" w:after="260" w:line="280" w:lineRule="exact"/>
        <w:ind w:right="0"/>
        <w:jc w:val="both"/>
        <w:rPr>
          <w:rFonts w:ascii="Times New Roman" w:hAnsi="Times New Roman"/>
        </w:rPr>
      </w:pPr>
      <w:r w:rsidRPr="00F90E7C">
        <w:rPr>
          <w:rFonts w:ascii="Times New Roman" w:hAnsi="Times New Roman"/>
        </w:rPr>
        <w:tab/>
        <w:t xml:space="preserve">"In my opinion this evidence raises the possibility that a jury acting reasonably, and in the light of the tendency evidence, might not be satisfied beyond reasonable doubt that the [respondent's] involvement in these events was not procured by threats of serious physical harm. The whole event could be seen as one orchestrated by JR for his sexual pleasure. He is said to have talked the [respondent] into taking part, and an inference that he had done so using threats of the kind mentioned in the tendency evidence would not be wholly unreasonable. </w:t>
      </w:r>
      <w:r w:rsidRPr="00F90E7C">
        <w:rPr>
          <w:rFonts w:ascii="Times New Roman" w:hAnsi="Times New Roman"/>
          <w:i/>
          <w:iCs/>
        </w:rPr>
        <w:t>As indicated, it is not necessary to infer an explicit threat.</w:t>
      </w:r>
      <w:r w:rsidRPr="00F90E7C">
        <w:rPr>
          <w:rFonts w:ascii="Times New Roman" w:hAnsi="Times New Roman"/>
        </w:rPr>
        <w:t xml:space="preserve"> </w:t>
      </w:r>
      <w:r w:rsidRPr="00F90E7C">
        <w:rPr>
          <w:rFonts w:ascii="Times New Roman" w:hAnsi="Times New Roman"/>
          <w:i/>
          <w:iCs/>
        </w:rPr>
        <w:t>It might be inferred that the general conduct of JR as revealed by the other evidence meant that when he talked the [respondent] into acceding to his desires there was an implicit threat of serious physical harm if she refused.</w:t>
      </w:r>
      <w:r w:rsidRPr="00F90E7C">
        <w:rPr>
          <w:rFonts w:ascii="Times New Roman" w:hAnsi="Times New Roman"/>
        </w:rPr>
        <w:t>"</w:t>
      </w:r>
      <w:r w:rsidRPr="00F90E7C">
        <w:rPr>
          <w:rFonts w:ascii="Times New Roman" w:hAnsi="Times New Roman"/>
          <w:i/>
          <w:iCs/>
        </w:rPr>
        <w:t xml:space="preserve"> </w:t>
      </w:r>
      <w:r w:rsidRPr="00F90E7C">
        <w:rPr>
          <w:rFonts w:ascii="Times New Roman" w:hAnsi="Times New Roman"/>
        </w:rPr>
        <w:t>(emphasis added)</w:t>
      </w:r>
    </w:p>
    <w:p w14:paraId="72C39336" w14:textId="018940E0"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The emphasised finding accords with element (i) in </w:t>
      </w:r>
      <w:r w:rsidRPr="00F90E7C">
        <w:rPr>
          <w:rFonts w:ascii="Times New Roman" w:hAnsi="Times New Roman"/>
          <w:i/>
          <w:iCs/>
        </w:rPr>
        <w:t>Hurley</w:t>
      </w:r>
      <w:r w:rsidRPr="00F90E7C">
        <w:rPr>
          <w:rFonts w:ascii="Times New Roman" w:hAnsi="Times New Roman"/>
        </w:rPr>
        <w:t xml:space="preserve">. His Honour's approach was consistent with the accepted understanding of the nature of the threat required </w:t>
      </w:r>
      <w:r w:rsidR="00A746F3" w:rsidRPr="00F90E7C">
        <w:rPr>
          <w:rFonts w:ascii="Times New Roman" w:hAnsi="Times New Roman"/>
        </w:rPr>
        <w:t xml:space="preserve">for </w:t>
      </w:r>
      <w:r w:rsidRPr="00F90E7C">
        <w:rPr>
          <w:rFonts w:ascii="Times New Roman" w:hAnsi="Times New Roman"/>
        </w:rPr>
        <w:t xml:space="preserve">the defence of duress at common law. </w:t>
      </w:r>
    </w:p>
    <w:p w14:paraId="53F382A4" w14:textId="2BEE7FF6"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The remaining issue is whether Kyrou and Niall JJA erred in holding that the evidence adduced before the trial judge on the voir</w:t>
      </w:r>
      <w:r w:rsidRPr="00F90E7C">
        <w:rPr>
          <w:rFonts w:ascii="Times New Roman" w:hAnsi="Times New Roman"/>
        </w:rPr>
        <w:noBreakHyphen/>
        <w:t>dire, including Ms</w:t>
      </w:r>
      <w:r w:rsidR="00B77D6C" w:rsidRPr="00F90E7C">
        <w:rPr>
          <w:rFonts w:ascii="Times New Roman" w:hAnsi="Times New Roman"/>
        </w:rPr>
        <w:t> </w:t>
      </w:r>
      <w:r w:rsidRPr="00F90E7C">
        <w:rPr>
          <w:rFonts w:ascii="Times New Roman" w:hAnsi="Times New Roman"/>
        </w:rPr>
        <w:t xml:space="preserve">Matthews' report, supported the above finding. In the terms posed by </w:t>
      </w:r>
      <w:r w:rsidRPr="00F90E7C">
        <w:rPr>
          <w:rFonts w:ascii="Times New Roman" w:hAnsi="Times New Roman"/>
          <w:i/>
          <w:iCs/>
        </w:rPr>
        <w:t>Braysich</w:t>
      </w:r>
      <w:r w:rsidRPr="00F90E7C">
        <w:rPr>
          <w:rFonts w:ascii="Times New Roman" w:hAnsi="Times New Roman"/>
        </w:rPr>
        <w:t xml:space="preserve">: was the evidence, taken at its highest in favour of the respondent, such that it could lead a reasonable jury, properly instructed, to have a reasonable doubt that the prosecution negatived the existence of a threat to inflict the relevant form of harm if the </w:t>
      </w:r>
      <w:r w:rsidR="00B9383A" w:rsidRPr="00F90E7C">
        <w:rPr>
          <w:rFonts w:ascii="Times New Roman" w:hAnsi="Times New Roman"/>
        </w:rPr>
        <w:t xml:space="preserve">respondent </w:t>
      </w:r>
      <w:r w:rsidRPr="00F90E7C">
        <w:rPr>
          <w:rFonts w:ascii="Times New Roman" w:hAnsi="Times New Roman"/>
        </w:rPr>
        <w:t>failed to commit the acts that constituted the offence charged?</w:t>
      </w:r>
    </w:p>
    <w:p w14:paraId="3FE7A984" w14:textId="7EB2F2C6"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One difference between this case and cases such as </w:t>
      </w:r>
      <w:r w:rsidRPr="00F90E7C">
        <w:rPr>
          <w:rFonts w:ascii="Times New Roman" w:hAnsi="Times New Roman"/>
          <w:i/>
          <w:iCs/>
        </w:rPr>
        <w:t>Dawson</w:t>
      </w:r>
      <w:r w:rsidRPr="00F90E7C">
        <w:rPr>
          <w:rFonts w:ascii="Times New Roman" w:hAnsi="Times New Roman"/>
        </w:rPr>
        <w:t xml:space="preserve"> or </w:t>
      </w:r>
      <w:r w:rsidRPr="00F90E7C">
        <w:rPr>
          <w:rFonts w:ascii="Times New Roman" w:hAnsi="Times New Roman"/>
          <w:i/>
          <w:iCs/>
        </w:rPr>
        <w:t>Lorenz</w:t>
      </w:r>
      <w:r w:rsidRPr="00F90E7C">
        <w:rPr>
          <w:rFonts w:ascii="Times New Roman" w:hAnsi="Times New Roman"/>
        </w:rPr>
        <w:t xml:space="preserve"> is that here the maker of the threats (JR) was a participant in the acts said to constitute the offences. The prisoners in </w:t>
      </w:r>
      <w:r w:rsidRPr="00F90E7C">
        <w:rPr>
          <w:rFonts w:ascii="Times New Roman" w:hAnsi="Times New Roman"/>
          <w:i/>
          <w:iCs/>
        </w:rPr>
        <w:t>Dawson</w:t>
      </w:r>
      <w:r w:rsidRPr="00F90E7C">
        <w:rPr>
          <w:rFonts w:ascii="Times New Roman" w:hAnsi="Times New Roman"/>
        </w:rPr>
        <w:t xml:space="preserve"> who threatened the a</w:t>
      </w:r>
      <w:r w:rsidR="00640341" w:rsidRPr="00F90E7C">
        <w:rPr>
          <w:rFonts w:ascii="Times New Roman" w:hAnsi="Times New Roman"/>
        </w:rPr>
        <w:t xml:space="preserve">ccused </w:t>
      </w:r>
      <w:r w:rsidRPr="00F90E7C">
        <w:rPr>
          <w:rFonts w:ascii="Times New Roman" w:hAnsi="Times New Roman"/>
        </w:rPr>
        <w:t xml:space="preserve">were not </w:t>
      </w:r>
      <w:r w:rsidRPr="00F90E7C">
        <w:rPr>
          <w:rFonts w:ascii="Times New Roman" w:hAnsi="Times New Roman"/>
        </w:rPr>
        <w:lastRenderedPageBreak/>
        <w:t xml:space="preserve">escaping and the de facto partner in </w:t>
      </w:r>
      <w:r w:rsidRPr="00F90E7C">
        <w:rPr>
          <w:rFonts w:ascii="Times New Roman" w:hAnsi="Times New Roman"/>
          <w:i/>
          <w:iCs/>
        </w:rPr>
        <w:t>Lorenz</w:t>
      </w:r>
      <w:r w:rsidRPr="00F90E7C">
        <w:rPr>
          <w:rFonts w:ascii="Times New Roman" w:hAnsi="Times New Roman"/>
        </w:rPr>
        <w:t xml:space="preserve"> did not participate in the robbery of the supermarket employee. In neither of those cases could it be said that any conduct of the maker of the threats amounted to an express or implied request that the relevant a</w:t>
      </w:r>
      <w:r w:rsidR="00640341" w:rsidRPr="00F90E7C">
        <w:rPr>
          <w:rFonts w:ascii="Times New Roman" w:hAnsi="Times New Roman"/>
        </w:rPr>
        <w:t xml:space="preserve">ccused </w:t>
      </w:r>
      <w:r w:rsidRPr="00F90E7C">
        <w:rPr>
          <w:rFonts w:ascii="Times New Roman" w:hAnsi="Times New Roman"/>
        </w:rPr>
        <w:t xml:space="preserve">assist them in committing a crime. By contrast, in </w:t>
      </w:r>
      <w:r w:rsidRPr="00F90E7C">
        <w:rPr>
          <w:rFonts w:ascii="Times New Roman" w:hAnsi="Times New Roman"/>
          <w:i/>
          <w:iCs/>
        </w:rPr>
        <w:t>Lynch</w:t>
      </w:r>
      <w:r w:rsidRPr="00F90E7C">
        <w:rPr>
          <w:rFonts w:ascii="Times New Roman" w:hAnsi="Times New Roman"/>
        </w:rPr>
        <w:t xml:space="preserve">, Meehan told the appellant to drive him and the other gunmen to the scene of the execution. The threat of serious violence if the appellant did not do so may have been implied (or </w:t>
      </w:r>
      <w:r w:rsidR="00A03BA1" w:rsidRPr="00F90E7C">
        <w:rPr>
          <w:rFonts w:ascii="Times New Roman" w:hAnsi="Times New Roman"/>
        </w:rPr>
        <w:t>"</w:t>
      </w:r>
      <w:r w:rsidRPr="00F90E7C">
        <w:rPr>
          <w:rFonts w:ascii="Times New Roman" w:hAnsi="Times New Roman"/>
        </w:rPr>
        <w:t>unstated</w:t>
      </w:r>
      <w:r w:rsidR="00A03BA1" w:rsidRPr="00F90E7C">
        <w:rPr>
          <w:rFonts w:ascii="Times New Roman" w:hAnsi="Times New Roman"/>
        </w:rPr>
        <w:t>"</w:t>
      </w:r>
      <w:r w:rsidRPr="00F90E7C">
        <w:rPr>
          <w:rFonts w:ascii="Times New Roman" w:hAnsi="Times New Roman"/>
        </w:rPr>
        <w:t xml:space="preserve">), but it was nevertheless real. </w:t>
      </w:r>
    </w:p>
    <w:p w14:paraId="355F01EC" w14:textId="12B3F1DB"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 xml:space="preserve">In this case, the evidence of pervasive violence, intimidation, control and sexual abuse perpetrated by JR on the respondent and </w:t>
      </w:r>
      <w:r w:rsidR="00441C23" w:rsidRPr="00F90E7C">
        <w:rPr>
          <w:rFonts w:ascii="Times New Roman" w:hAnsi="Times New Roman"/>
        </w:rPr>
        <w:t>their</w:t>
      </w:r>
      <w:r w:rsidRPr="00F90E7C">
        <w:rPr>
          <w:rFonts w:ascii="Times New Roman" w:hAnsi="Times New Roman"/>
        </w:rPr>
        <w:t xml:space="preserve"> children over a sustained period raised a reasonable possibility that any express or implicit demand JR may have placed on the respondent to join in the sexual abuse of Paige and Alicia carried with it the implication that serious violence and more severe sexual abuse would be inflicted on the respondent or </w:t>
      </w:r>
      <w:r w:rsidR="00F24C27" w:rsidRPr="00F90E7C">
        <w:rPr>
          <w:rFonts w:ascii="Times New Roman" w:hAnsi="Times New Roman"/>
        </w:rPr>
        <w:t>their</w:t>
      </w:r>
      <w:r w:rsidRPr="00F90E7C">
        <w:rPr>
          <w:rFonts w:ascii="Times New Roman" w:hAnsi="Times New Roman"/>
        </w:rPr>
        <w:t xml:space="preserve"> children if she refused. The evidence also raised a reasonable possibility that it was JR who initiated the sexual abuse of Paige and Alicia on the occasion of the offences and that he insisted, by words or conduct, on the respondent participating. Similar to the circumstances described above in </w:t>
      </w:r>
      <w:r w:rsidRPr="00F90E7C">
        <w:rPr>
          <w:rFonts w:ascii="Times New Roman" w:hAnsi="Times New Roman"/>
          <w:i/>
          <w:iCs/>
        </w:rPr>
        <w:t>Lynch</w:t>
      </w:r>
      <w:r w:rsidRPr="00F90E7C">
        <w:rPr>
          <w:rFonts w:ascii="Times New Roman" w:hAnsi="Times New Roman"/>
        </w:rPr>
        <w:t xml:space="preserve">, the evidence raised a reasonable possibility that there was an express or implied (or "unstated") requirement that the respondent participate in the sexual abuse, with an implied (or "unstated") threat of serious violence or more severe sexual assaults being committed on the respondent or </w:t>
      </w:r>
      <w:r w:rsidR="00176AC0" w:rsidRPr="00F90E7C">
        <w:rPr>
          <w:rFonts w:ascii="Times New Roman" w:hAnsi="Times New Roman"/>
        </w:rPr>
        <w:t xml:space="preserve">their </w:t>
      </w:r>
      <w:r w:rsidRPr="00F90E7C">
        <w:rPr>
          <w:rFonts w:ascii="Times New Roman" w:hAnsi="Times New Roman"/>
        </w:rPr>
        <w:t xml:space="preserve">children if she did not comply. </w:t>
      </w:r>
    </w:p>
    <w:p w14:paraId="18D993D4" w14:textId="77777777" w:rsidR="00562D00" w:rsidRPr="00F90E7C"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The evidence adduced on the voir</w:t>
      </w:r>
      <w:r w:rsidRPr="00F90E7C">
        <w:rPr>
          <w:rFonts w:ascii="Times New Roman" w:hAnsi="Times New Roman"/>
        </w:rPr>
        <w:noBreakHyphen/>
        <w:t xml:space="preserve">dire was sufficient to raise a reasonable possibility that there was an operative threat to inflict the relevant form of harm unless the respondent committed the acts the subject of the charges against her (as well as a threat that satisfied s 322O(2)(a)(i) of the </w:t>
      </w:r>
      <w:r w:rsidRPr="00F90E7C">
        <w:rPr>
          <w:rFonts w:ascii="Times New Roman" w:hAnsi="Times New Roman"/>
          <w:i/>
          <w:iCs/>
        </w:rPr>
        <w:t>Crimes Act</w:t>
      </w:r>
      <w:r w:rsidRPr="00F90E7C">
        <w:rPr>
          <w:rFonts w:ascii="Times New Roman" w:hAnsi="Times New Roman"/>
        </w:rPr>
        <w:t xml:space="preserve">). Kyrou and Niall JJA were correct to so hold. In light of the evidentiary basis on which this appeal was conducted, it is not necessary to consider whether McLeish JA was also correct to so hold on the evidence his Honour considered. </w:t>
      </w:r>
    </w:p>
    <w:p w14:paraId="4AF3AC2C" w14:textId="77777777" w:rsidR="003567D9" w:rsidRDefault="00562D00" w:rsidP="00F90E7C">
      <w:pPr>
        <w:pStyle w:val="FixListStyle"/>
        <w:spacing w:after="260" w:line="280" w:lineRule="exact"/>
        <w:ind w:right="0"/>
        <w:jc w:val="both"/>
        <w:rPr>
          <w:rFonts w:ascii="Times New Roman" w:hAnsi="Times New Roman"/>
        </w:rPr>
      </w:pPr>
      <w:r w:rsidRPr="00F90E7C">
        <w:rPr>
          <w:rFonts w:ascii="Times New Roman" w:hAnsi="Times New Roman"/>
        </w:rPr>
        <w:tab/>
        <w:t>It was not disputed that, if the effect of the trial judge's ruling was that an available defence was not put to the jury, then a substantial miscarriage of justice was occasioned. Accordingly, the appeal should be dismissed.</w:t>
      </w:r>
    </w:p>
    <w:p w14:paraId="69CBCCBE" w14:textId="77777777" w:rsidR="003567D9" w:rsidRDefault="003567D9" w:rsidP="00F90E7C">
      <w:pPr>
        <w:pStyle w:val="FixListStyle"/>
        <w:spacing w:after="260" w:line="280" w:lineRule="exact"/>
        <w:ind w:right="0"/>
        <w:jc w:val="both"/>
        <w:rPr>
          <w:rFonts w:ascii="Times New Roman" w:hAnsi="Times New Roman"/>
        </w:rPr>
        <w:sectPr w:rsidR="003567D9" w:rsidSect="005F2362">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1F37851" w14:textId="77777777" w:rsidR="003567D9" w:rsidRPr="004B2AE8" w:rsidRDefault="003567D9" w:rsidP="004B2AE8">
      <w:pPr>
        <w:pStyle w:val="NormalBody"/>
        <w:tabs>
          <w:tab w:val="clear" w:pos="720"/>
          <w:tab w:val="left" w:pos="0"/>
        </w:tabs>
        <w:spacing w:after="260" w:line="280" w:lineRule="exact"/>
        <w:ind w:right="0"/>
        <w:jc w:val="both"/>
        <w:rPr>
          <w:rFonts w:ascii="Times New Roman" w:hAnsi="Times New Roman"/>
        </w:rPr>
      </w:pPr>
      <w:r w:rsidRPr="004B2AE8">
        <w:rPr>
          <w:rFonts w:ascii="Times New Roman" w:hAnsi="Times New Roman"/>
        </w:rPr>
        <w:lastRenderedPageBreak/>
        <w:t xml:space="preserve">EDELMAN J.   </w:t>
      </w:r>
    </w:p>
    <w:p w14:paraId="245BBCFB" w14:textId="77777777" w:rsidR="003567D9" w:rsidRPr="004B2AE8" w:rsidRDefault="003567D9" w:rsidP="004B2AE8">
      <w:pPr>
        <w:pStyle w:val="HeadingL1"/>
        <w:spacing w:after="260" w:line="280" w:lineRule="exact"/>
        <w:ind w:right="0"/>
        <w:jc w:val="both"/>
        <w:rPr>
          <w:rFonts w:ascii="Times New Roman" w:hAnsi="Times New Roman"/>
        </w:rPr>
      </w:pPr>
      <w:r w:rsidRPr="004B2AE8">
        <w:rPr>
          <w:rFonts w:ascii="Times New Roman" w:hAnsi="Times New Roman"/>
        </w:rPr>
        <w:t>Introduction</w:t>
      </w:r>
    </w:p>
    <w:p w14:paraId="6E6D9EE8"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Free will, or individual choice, is a fundamental assumption of the common law. So long as that assumption holds, the common law will excuse people from criminal liability where their ability to choose, and the like ability of others in their position, is deeply impaired. This appeal requires consideration of when duress, either at common law or</w:t>
      </w:r>
      <w:r w:rsidRPr="004B2AE8" w:rsidDel="00274D6A">
        <w:rPr>
          <w:rFonts w:ascii="Times New Roman" w:hAnsi="Times New Roman"/>
        </w:rPr>
        <w:t xml:space="preserve"> </w:t>
      </w:r>
      <w:r w:rsidRPr="004B2AE8">
        <w:rPr>
          <w:rFonts w:ascii="Times New Roman" w:hAnsi="Times New Roman"/>
        </w:rPr>
        <w:t xml:space="preserve">under s 322O of the </w:t>
      </w:r>
      <w:r w:rsidRPr="004B2AE8">
        <w:rPr>
          <w:rFonts w:ascii="Times New Roman" w:hAnsi="Times New Roman"/>
          <w:i/>
          <w:iCs/>
        </w:rPr>
        <w:t xml:space="preserve">Crimes Act 1958 </w:t>
      </w:r>
      <w:r w:rsidRPr="004B2AE8">
        <w:rPr>
          <w:rFonts w:ascii="Times New Roman" w:hAnsi="Times New Roman"/>
        </w:rPr>
        <w:t>(Vic), will sufficiently impair a person's ability to choose so as to excuse the commission of an offence. This deceptively simple question has caused enormous difficulties in the authorities. The difficulty is compounded by errors in understanding the underlying principle and errors in the language used to describe the defence of duress.</w:t>
      </w:r>
    </w:p>
    <w:p w14:paraId="7E760D2F"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The short point of principle upon which this appeal should be resolved is this. In general, a common law defence of duress </w:t>
      </w:r>
      <w:r w:rsidRPr="004B2AE8" w:rsidDel="00C003CB">
        <w:rPr>
          <w:rFonts w:ascii="Times New Roman" w:hAnsi="Times New Roman"/>
        </w:rPr>
        <w:t xml:space="preserve">should be left to the jury to assess </w:t>
      </w:r>
      <w:r w:rsidRPr="004B2AE8">
        <w:rPr>
          <w:rFonts w:ascii="Times New Roman" w:hAnsi="Times New Roman"/>
        </w:rPr>
        <w:t>whether the Crown has disproved the defence beyond reasonable doubt, in circumstances which include those where there is an evidentiary foundation upon which the jury might conclude that: (i) there was an express or implied human threat to the accused of serious physical harm or death (to which threat the accused had not voluntarily left themself open</w:t>
      </w:r>
      <w:r w:rsidRPr="004B2AE8">
        <w:rPr>
          <w:rStyle w:val="FootnoteReference"/>
          <w:rFonts w:ascii="Times New Roman" w:hAnsi="Times New Roman"/>
          <w:sz w:val="24"/>
        </w:rPr>
        <w:footnoteReference w:id="69"/>
      </w:r>
      <w:r w:rsidRPr="004B2AE8" w:rsidDel="00151435">
        <w:rPr>
          <w:rFonts w:ascii="Times New Roman" w:hAnsi="Times New Roman"/>
        </w:rPr>
        <w:t>)</w:t>
      </w:r>
      <w:r w:rsidRPr="004B2AE8">
        <w:rPr>
          <w:rFonts w:ascii="Times New Roman" w:hAnsi="Times New Roman"/>
        </w:rPr>
        <w:t xml:space="preserve">; (ii) the threat caused the accused to commit the charged acts; (iii) the threat would have left a reasonable person in the position of, and with the general attributes of, the accused with no reasonable alternative </w:t>
      </w:r>
      <w:r w:rsidRPr="004B2AE8" w:rsidDel="00701838">
        <w:rPr>
          <w:rFonts w:ascii="Times New Roman" w:hAnsi="Times New Roman"/>
        </w:rPr>
        <w:t xml:space="preserve">expected of them </w:t>
      </w:r>
      <w:r w:rsidRPr="004B2AE8">
        <w:rPr>
          <w:rFonts w:ascii="Times New Roman" w:hAnsi="Times New Roman"/>
        </w:rPr>
        <w:t>other than to commit acts in the general nature of the charged acts.</w:t>
      </w:r>
      <w:r w:rsidRPr="004B2AE8">
        <w:rPr>
          <w:rStyle w:val="FootnoteReference"/>
          <w:rFonts w:ascii="Times New Roman" w:hAnsi="Times New Roman"/>
          <w:sz w:val="24"/>
        </w:rPr>
        <w:footnoteReference w:id="70"/>
      </w:r>
      <w:r w:rsidRPr="004B2AE8">
        <w:rPr>
          <w:rFonts w:ascii="Times New Roman" w:hAnsi="Times New Roman"/>
        </w:rPr>
        <w:t xml:space="preserve"> A matter that is highly relevant to (iii) is whether the threat was accompanied by a demand or direction for the accused to perform an act in the general nature of the charged act.</w:t>
      </w:r>
    </w:p>
    <w:p w14:paraId="11E4BB4A"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There was an evidentiary foundation for this sufficient set of circumstances </w:t>
      </w:r>
      <w:r w:rsidRPr="004B2AE8" w:rsidDel="00476F81">
        <w:rPr>
          <w:rFonts w:ascii="Times New Roman" w:hAnsi="Times New Roman"/>
        </w:rPr>
        <w:t xml:space="preserve">to raise duress at common law </w:t>
      </w:r>
      <w:r w:rsidRPr="004B2AE8">
        <w:rPr>
          <w:rFonts w:ascii="Times New Roman" w:hAnsi="Times New Roman"/>
        </w:rPr>
        <w:t xml:space="preserve">on the facts of this appeal. So too, there was an evidentiary foundation for the defence of duress in relation to one count relevant to this appeal under s 322O of the </w:t>
      </w:r>
      <w:r w:rsidRPr="004B2AE8">
        <w:rPr>
          <w:rFonts w:ascii="Times New Roman" w:hAnsi="Times New Roman"/>
          <w:i/>
          <w:iCs/>
        </w:rPr>
        <w:t>Crimes Act</w:t>
      </w:r>
      <w:r w:rsidRPr="004B2AE8">
        <w:rPr>
          <w:rFonts w:ascii="Times New Roman" w:hAnsi="Times New Roman"/>
        </w:rPr>
        <w:t>. The trial judge erred in failing to leave the defence of duress to the jury. The appeal was properly allowed by the Court of Appeal of the Supreme Court of Victoria. The appeal to this Court should be dismissed.</w:t>
      </w:r>
    </w:p>
    <w:p w14:paraId="0EF1B910" w14:textId="77777777" w:rsidR="003567D9" w:rsidRPr="004B2AE8" w:rsidRDefault="003567D9" w:rsidP="004B2AE8">
      <w:pPr>
        <w:pStyle w:val="HeadingL1"/>
        <w:spacing w:after="260" w:line="280" w:lineRule="exact"/>
        <w:ind w:right="0"/>
        <w:jc w:val="both"/>
        <w:rPr>
          <w:rFonts w:ascii="Times New Roman" w:hAnsi="Times New Roman"/>
        </w:rPr>
      </w:pPr>
      <w:r w:rsidRPr="004B2AE8">
        <w:rPr>
          <w:rFonts w:ascii="Times New Roman" w:hAnsi="Times New Roman"/>
        </w:rPr>
        <w:t>The circumstances of this appeal</w:t>
      </w:r>
    </w:p>
    <w:p w14:paraId="6A55509C"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This appeal, with all names pseudonymised, concerns the principles of duress in the context of shocking acts of abuse by JR upon two of his children, </w:t>
      </w:r>
      <w:r w:rsidRPr="004B2AE8">
        <w:rPr>
          <w:rFonts w:ascii="Times New Roman" w:hAnsi="Times New Roman"/>
        </w:rPr>
        <w:lastRenderedPageBreak/>
        <w:t xml:space="preserve">Paige and Alicia. JR was charged with 40 sole counts as well as 13 joint counts with his partner, Ms Rowan (the respondent in this appeal). JR was convicted of 26 of the sole counts but the jury </w:t>
      </w:r>
      <w:r w:rsidRPr="004B2AE8" w:rsidDel="004E60E6">
        <w:rPr>
          <w:rFonts w:ascii="Times New Roman" w:hAnsi="Times New Roman"/>
        </w:rPr>
        <w:t>were</w:t>
      </w:r>
      <w:r w:rsidRPr="004B2AE8">
        <w:rPr>
          <w:rFonts w:ascii="Times New Roman" w:hAnsi="Times New Roman"/>
        </w:rPr>
        <w:t xml:space="preserve"> unable to reach a verdict on any of the joint counts. Ms Rowan was subsequently tried alone for the 13 joint counts. These offences involved Ms Rowan and JR's wilful commission of an indecent act in the presence of a child under the age of 16 years,</w:t>
      </w:r>
      <w:r w:rsidRPr="004B2AE8">
        <w:rPr>
          <w:rStyle w:val="FootnoteReference"/>
          <w:rFonts w:ascii="Times New Roman" w:hAnsi="Times New Roman"/>
          <w:sz w:val="24"/>
        </w:rPr>
        <w:footnoteReference w:id="71"/>
      </w:r>
      <w:r w:rsidRPr="004B2AE8">
        <w:rPr>
          <w:rFonts w:ascii="Times New Roman" w:hAnsi="Times New Roman"/>
        </w:rPr>
        <w:t xml:space="preserve"> and Ms Rowan taking part in an act of sexual penetration of a person known to be the child of her and JR.</w:t>
      </w:r>
      <w:r w:rsidRPr="004B2AE8">
        <w:rPr>
          <w:rStyle w:val="FootnoteReference"/>
          <w:rFonts w:ascii="Times New Roman" w:hAnsi="Times New Roman"/>
          <w:sz w:val="24"/>
        </w:rPr>
        <w:footnoteReference w:id="72"/>
      </w:r>
      <w:r w:rsidRPr="004B2AE8">
        <w:rPr>
          <w:rFonts w:ascii="Times New Roman" w:hAnsi="Times New Roman"/>
        </w:rPr>
        <w:t xml:space="preserve"> At a </w:t>
      </w:r>
      <w:r w:rsidRPr="004B2AE8" w:rsidDel="00E05839">
        <w:rPr>
          <w:rFonts w:ascii="Times New Roman" w:hAnsi="Times New Roman"/>
        </w:rPr>
        <w:t>voir</w:t>
      </w:r>
      <w:r w:rsidRPr="004B2AE8">
        <w:rPr>
          <w:rFonts w:ascii="Times New Roman" w:hAnsi="Times New Roman"/>
        </w:rPr>
        <w:t xml:space="preserve"> dire prior to the trial, the trial judge </w:t>
      </w:r>
      <w:r w:rsidRPr="004B2AE8" w:rsidDel="00E05839">
        <w:rPr>
          <w:rFonts w:ascii="Times New Roman" w:hAnsi="Times New Roman"/>
        </w:rPr>
        <w:t xml:space="preserve">held </w:t>
      </w:r>
      <w:r w:rsidRPr="004B2AE8">
        <w:rPr>
          <w:rFonts w:ascii="Times New Roman" w:hAnsi="Times New Roman"/>
        </w:rPr>
        <w:t>that there was no factual basis upon which the defence of duress could be properly raised by Ms Rowan before the jury. Ms Rowan was subsequently convicted of 12 of the 13 counts.</w:t>
      </w:r>
    </w:p>
    <w:p w14:paraId="66025A8B"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In the Court of Appeal, Ms Rowan sought leave to appeal on the ground that a substantial miscarriage of justice occurred because the trial judge failed to leave the defence of duress to the jury. The focus of the Court of Appeal was upon the recorded evidence of Paige and Alicia which had been played at trial, including aspects of their evidence that had been relied upon by Ms Rowan for the purposes of proving a tendency by JR "[t]o display towards all members of the family threats, intimidation, psychological violence, physical violence and family violence including economic" and "[f]or the purpose of control, coercion and domination of all family members".</w:t>
      </w:r>
      <w:r w:rsidRPr="004B2AE8">
        <w:rPr>
          <w:rStyle w:val="FootnoteReference"/>
          <w:rFonts w:ascii="Times New Roman" w:hAnsi="Times New Roman"/>
          <w:sz w:val="24"/>
        </w:rPr>
        <w:footnoteReference w:id="73"/>
      </w:r>
    </w:p>
    <w:p w14:paraId="03587997"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The evidence of Paige and Alicia upon which Ms Rowan relied, as described by the Court of Appeal, included: JR having "talked [Ms Rowan] into showing Paige what to do"; JR</w:t>
      </w:r>
      <w:r w:rsidRPr="004B2AE8" w:rsidDel="009F2EEE">
        <w:rPr>
          <w:rFonts w:ascii="Times New Roman" w:hAnsi="Times New Roman"/>
        </w:rPr>
        <w:t xml:space="preserve"> </w:t>
      </w:r>
      <w:r w:rsidRPr="004B2AE8">
        <w:rPr>
          <w:rFonts w:ascii="Times New Roman" w:hAnsi="Times New Roman"/>
        </w:rPr>
        <w:t>becoming "really angry" at Paige on an occasion when she resisted abuse, following which JR and Ms Rowan got in a fight; incidents of JR's physical abuse and hot temper including JR smashing a baseball bat against a wall, causing Alicia's hand to scar, and hitting the children with his hands and with a belt; JR threatening to kill Paige and incidents of extreme abuse of Paige by JR; Paige's evidence of JR "ma[king]" Ms Rowan "do those things" and "do stuff" and that "</w:t>
      </w:r>
      <w:r w:rsidRPr="004B2AE8" w:rsidDel="00850617">
        <w:rPr>
          <w:rFonts w:ascii="Times New Roman" w:hAnsi="Times New Roman"/>
        </w:rPr>
        <w:t>[</w:t>
      </w:r>
      <w:r w:rsidRPr="004B2AE8">
        <w:rPr>
          <w:rFonts w:ascii="Times New Roman" w:hAnsi="Times New Roman"/>
        </w:rPr>
        <w:t>a</w:t>
      </w:r>
      <w:r w:rsidRPr="004B2AE8" w:rsidDel="00850617">
        <w:rPr>
          <w:rFonts w:ascii="Times New Roman" w:hAnsi="Times New Roman"/>
        </w:rPr>
        <w:t>]</w:t>
      </w:r>
      <w:r w:rsidRPr="004B2AE8">
        <w:rPr>
          <w:rFonts w:ascii="Times New Roman" w:hAnsi="Times New Roman"/>
        </w:rPr>
        <w:t>t times, it did not look like [Ms Rowan's]</w:t>
      </w:r>
      <w:r w:rsidRPr="004B2AE8" w:rsidDel="00324EB8">
        <w:rPr>
          <w:rFonts w:ascii="Times New Roman" w:hAnsi="Times New Roman"/>
        </w:rPr>
        <w:t xml:space="preserve"> </w:t>
      </w:r>
      <w:r w:rsidRPr="004B2AE8">
        <w:rPr>
          <w:rFonts w:ascii="Times New Roman" w:hAnsi="Times New Roman"/>
        </w:rPr>
        <w:t xml:space="preserve">involvement in the sexual abuse was voluntary because they were not making decisions together, [Ms Rowan] was very quiet and [Ms Rowan] would even argue with JR"; Ms Rowan being easily pushed around by everyone in the family, including the children; Alicia's evidence that during the incident giving rise to count 13, Ms Rowan "was just standing in the room and looking at Alicia"; Alicia's evidence, at one point, of Ms Rowan asking JR why she (Ms Rowan) needed to be there and Alicia saying </w:t>
      </w:r>
      <w:r w:rsidRPr="004B2AE8" w:rsidDel="0050474E">
        <w:rPr>
          <w:rFonts w:ascii="Times New Roman" w:hAnsi="Times New Roman"/>
        </w:rPr>
        <w:t xml:space="preserve">that she did not know </w:t>
      </w:r>
      <w:r w:rsidRPr="004B2AE8">
        <w:rPr>
          <w:rFonts w:ascii="Times New Roman" w:hAnsi="Times New Roman"/>
        </w:rPr>
        <w:t xml:space="preserve">why Ms Rowan would have been involved in the incident unless JR forced her. </w:t>
      </w:r>
    </w:p>
    <w:p w14:paraId="743D4954"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lastRenderedPageBreak/>
        <w:tab/>
        <w:t xml:space="preserve">Before the Court of Appeal, Ms Rowan also relied upon a 2019 report from a forensic psychologist, Ms Matthews, who had previously assessed Ms Rowan and concluded that she was not fit to plead. After a special hearing, a jury nevertheless found that Ms Rowan was fit to stand trial. </w:t>
      </w:r>
    </w:p>
    <w:p w14:paraId="6E33138C"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In her 2019 report, Ms Matthews observed that Ms Rowan had an IQ of 70 and that her overall intellectual ability fell within the "mildly intellectually disabled" category. Ms Matthews' report contained observations about factual incidents of which Ms Rowan had informed her and Ms Matthews' opinions about Ms Rowan's state of mind based on those incidents. She also observed that the behaviour of Ms Rowan was consistent with battered woman syndrome, which Ms Matthews described as "a learned helplessness process in which women who have been abused repeatedly within a relationship [that] they believe they cannot escape from, learn 'good coping skills as a trade-off for escape'".</w:t>
      </w:r>
    </w:p>
    <w:p w14:paraId="3881E1C3"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There are difficulties with relying upon the evidence of Ms Matthews. As McLeish JA observed, there is force in the argument of the Crown that the expert opinion of Ms Matthews could not be admissible without independent</w:t>
      </w:r>
      <w:r w:rsidRPr="004B2AE8" w:rsidDel="00625DF2">
        <w:rPr>
          <w:rFonts w:ascii="Times New Roman" w:hAnsi="Times New Roman"/>
        </w:rPr>
        <w:t>ly</w:t>
      </w:r>
      <w:r w:rsidRPr="004B2AE8">
        <w:rPr>
          <w:rFonts w:ascii="Times New Roman" w:hAnsi="Times New Roman"/>
        </w:rPr>
        <w:t xml:space="preserve"> admissible evidence sufficient to provide a foundation for </w:t>
      </w:r>
      <w:r w:rsidRPr="004B2AE8" w:rsidDel="00625DF2">
        <w:rPr>
          <w:rFonts w:ascii="Times New Roman" w:hAnsi="Times New Roman"/>
        </w:rPr>
        <w:t xml:space="preserve">that </w:t>
      </w:r>
      <w:r w:rsidRPr="004B2AE8" w:rsidDel="007E4E92">
        <w:rPr>
          <w:rFonts w:ascii="Times New Roman" w:hAnsi="Times New Roman"/>
        </w:rPr>
        <w:t>opinion</w:t>
      </w:r>
      <w:r w:rsidRPr="004B2AE8">
        <w:rPr>
          <w:rFonts w:ascii="Times New Roman" w:hAnsi="Times New Roman"/>
        </w:rPr>
        <w:t>.</w:t>
      </w:r>
      <w:r w:rsidRPr="004B2AE8">
        <w:rPr>
          <w:rStyle w:val="FootnoteReference"/>
          <w:rFonts w:ascii="Times New Roman" w:hAnsi="Times New Roman"/>
          <w:sz w:val="24"/>
        </w:rPr>
        <w:footnoteReference w:id="74"/>
      </w:r>
      <w:r w:rsidRPr="004B2AE8">
        <w:rPr>
          <w:rFonts w:ascii="Times New Roman" w:hAnsi="Times New Roman"/>
        </w:rPr>
        <w:t xml:space="preserve"> Moreover, for the evidence of Ms Matthews to be part of the record on the appeal in this Court, her evidence would need to have been admitted as evidence at trial or as evidence before the Court of Appeal.</w:t>
      </w:r>
      <w:r w:rsidRPr="004B2AE8">
        <w:rPr>
          <w:rStyle w:val="FootnoteReference"/>
          <w:rFonts w:ascii="Times New Roman" w:hAnsi="Times New Roman"/>
          <w:sz w:val="24"/>
        </w:rPr>
        <w:footnoteReference w:id="75"/>
      </w:r>
      <w:r w:rsidRPr="004B2AE8">
        <w:rPr>
          <w:rFonts w:ascii="Times New Roman" w:hAnsi="Times New Roman"/>
        </w:rPr>
        <w:t xml:space="preserve"> Her evidence was not evidence at trial but evidence at the voir dire. The appeal was an appeal from the conviction at trial, not an appeal from the decision given on the voir dire.</w:t>
      </w:r>
      <w:r w:rsidRPr="004B2AE8">
        <w:rPr>
          <w:rStyle w:val="FootnoteReference"/>
          <w:rFonts w:ascii="Times New Roman" w:hAnsi="Times New Roman"/>
          <w:sz w:val="24"/>
        </w:rPr>
        <w:footnoteReference w:id="76"/>
      </w:r>
      <w:r w:rsidRPr="004B2AE8">
        <w:rPr>
          <w:rFonts w:ascii="Times New Roman" w:hAnsi="Times New Roman"/>
        </w:rPr>
        <w:t xml:space="preserve"> And there is uncertainty about whether Ms Matthews' report was separately admitted as evidence on the appeal rather than merely being relied upon as part of the record of the voir dire ruling.</w:t>
      </w:r>
      <w:r w:rsidRPr="004B2AE8">
        <w:rPr>
          <w:rStyle w:val="FootnoteReference"/>
          <w:rFonts w:ascii="Times New Roman" w:hAnsi="Times New Roman"/>
          <w:sz w:val="24"/>
        </w:rPr>
        <w:footnoteReference w:id="77"/>
      </w:r>
      <w:r w:rsidRPr="004B2AE8">
        <w:rPr>
          <w:rFonts w:ascii="Times New Roman" w:hAnsi="Times New Roman"/>
        </w:rPr>
        <w:t xml:space="preserve"> </w:t>
      </w:r>
    </w:p>
    <w:p w14:paraId="69BED213"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Since there was little argument in this Court about the basis for the admissibility of Ms Matthews' evidence, and since (for the reasons explained below) the appeal should be dismissed without reliance upon the evidence of Ms Matthews, the better approach is to put aside the evidence of Ms Matthews, as McLeish JA did in the Court of Appeal.</w:t>
      </w:r>
      <w:r w:rsidRPr="004B2AE8">
        <w:rPr>
          <w:rStyle w:val="FootnoteReference"/>
          <w:rFonts w:ascii="Times New Roman" w:hAnsi="Times New Roman"/>
          <w:sz w:val="24"/>
        </w:rPr>
        <w:footnoteReference w:id="78"/>
      </w:r>
      <w:r w:rsidRPr="004B2AE8">
        <w:rPr>
          <w:rFonts w:ascii="Times New Roman" w:hAnsi="Times New Roman"/>
        </w:rPr>
        <w:t xml:space="preserve"> The only evidence that need be considered for the defence of duress was the evidence that was led at trial, </w:t>
      </w:r>
      <w:r w:rsidRPr="004B2AE8">
        <w:rPr>
          <w:rFonts w:ascii="Times New Roman" w:hAnsi="Times New Roman"/>
        </w:rPr>
        <w:lastRenderedPageBreak/>
        <w:t xml:space="preserve">including the pre-recorded evidence of Paige and Alicia. The tendency notice filed by the Crown is not itself evidence, although it relies upon evidence given at the trial. </w:t>
      </w:r>
    </w:p>
    <w:p w14:paraId="588E13BE" w14:textId="77777777" w:rsidR="003567D9" w:rsidRPr="004B2AE8" w:rsidRDefault="003567D9" w:rsidP="004B2AE8">
      <w:pPr>
        <w:pStyle w:val="HeadingL1"/>
        <w:spacing w:after="260" w:line="280" w:lineRule="exact"/>
        <w:ind w:right="0"/>
        <w:jc w:val="both"/>
        <w:rPr>
          <w:rFonts w:ascii="Times New Roman" w:hAnsi="Times New Roman"/>
        </w:rPr>
      </w:pPr>
      <w:r w:rsidRPr="004B2AE8">
        <w:rPr>
          <w:rFonts w:ascii="Times New Roman" w:hAnsi="Times New Roman"/>
        </w:rPr>
        <w:t>Problems of underlying principle and language</w:t>
      </w:r>
    </w:p>
    <w:p w14:paraId="5D984EFE" w14:textId="77777777" w:rsidR="003567D9" w:rsidRPr="004B2AE8" w:rsidRDefault="003567D9" w:rsidP="004B2AE8">
      <w:pPr>
        <w:pStyle w:val="HeadingL2"/>
        <w:spacing w:after="260" w:line="280" w:lineRule="exact"/>
        <w:ind w:right="0"/>
        <w:jc w:val="both"/>
        <w:rPr>
          <w:rFonts w:ascii="Times New Roman" w:hAnsi="Times New Roman"/>
        </w:rPr>
      </w:pPr>
      <w:r w:rsidRPr="004B2AE8">
        <w:rPr>
          <w:rFonts w:ascii="Times New Roman" w:hAnsi="Times New Roman"/>
        </w:rPr>
        <w:t>Justifications and excuses</w:t>
      </w:r>
    </w:p>
    <w:p w14:paraId="371B407D"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The criminal law recognises a hierarchy of claims by which an accused person can deny liability for punishment.</w:t>
      </w:r>
      <w:r w:rsidRPr="004B2AE8">
        <w:rPr>
          <w:rStyle w:val="FootnoteReference"/>
          <w:rFonts w:ascii="Times New Roman" w:hAnsi="Times New Roman"/>
          <w:sz w:val="24"/>
        </w:rPr>
        <w:footnoteReference w:id="79"/>
      </w:r>
      <w:r w:rsidRPr="004B2AE8">
        <w:rPr>
          <w:rFonts w:ascii="Times New Roman" w:hAnsi="Times New Roman"/>
        </w:rPr>
        <w:t xml:space="preserve"> First, the accused might deny that any crime has been committed because some element of the offence was not satisfied. Secondly, the accused might claim that although all elements of the offence were satisfied, their conduct was justified with the effect that no offence was committed. Thirdly, the accused might accept that an offence was committed but claim that the offence was excused so that the accused can be relieved of liability for punishment by a finding of not guilty.</w:t>
      </w:r>
    </w:p>
    <w:p w14:paraId="2B85C990"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Although very difficult questions can arise at the margins, particularly when questions of statutory interpretation involving the relation between statutory offences and common law defences are involved, there is a fundamental distinction of principle between the second and third of these claims. A justification, whether for criminal or civil wrongs, provides a privilege to engage in an act that would otherwise be wrongful.</w:t>
      </w:r>
      <w:r w:rsidRPr="004B2AE8">
        <w:rPr>
          <w:rStyle w:val="FootnoteReference"/>
          <w:rFonts w:ascii="Times New Roman" w:hAnsi="Times New Roman"/>
          <w:sz w:val="24"/>
        </w:rPr>
        <w:footnoteReference w:id="80"/>
      </w:r>
      <w:r w:rsidRPr="004B2AE8">
        <w:rPr>
          <w:rFonts w:ascii="Times New Roman" w:hAnsi="Times New Roman"/>
        </w:rPr>
        <w:t xml:space="preserve"> In general, justified conduct is rightful in the sense that the balance of reasons demonstrates the propriety of the action.</w:t>
      </w:r>
      <w:r w:rsidRPr="004B2AE8">
        <w:rPr>
          <w:rStyle w:val="FootnoteReference"/>
          <w:rFonts w:ascii="Times New Roman" w:hAnsi="Times New Roman"/>
          <w:sz w:val="24"/>
        </w:rPr>
        <w:footnoteReference w:id="81"/>
      </w:r>
      <w:r w:rsidRPr="004B2AE8">
        <w:rPr>
          <w:rFonts w:ascii="Times New Roman" w:hAnsi="Times New Roman"/>
        </w:rPr>
        <w:t xml:space="preserve"> An excuse (or immunity from liability), whether for criminal or civil wrongs, affords no privilege to engage in the conduct; it "concedes the wrongfulness of the action".</w:t>
      </w:r>
      <w:r w:rsidRPr="004B2AE8">
        <w:rPr>
          <w:rStyle w:val="FootnoteReference"/>
          <w:rFonts w:ascii="Times New Roman" w:hAnsi="Times New Roman"/>
          <w:sz w:val="24"/>
        </w:rPr>
        <w:footnoteReference w:id="82"/>
      </w:r>
      <w:r w:rsidRPr="004B2AE8">
        <w:rPr>
          <w:rFonts w:ascii="Times New Roman" w:hAnsi="Times New Roman"/>
        </w:rPr>
        <w:t xml:space="preserve"> In criminal law, in general terms, an excuse relieves the offender of consequences including </w:t>
      </w:r>
      <w:r w:rsidRPr="004B2AE8">
        <w:rPr>
          <w:rFonts w:ascii="Times New Roman" w:hAnsi="Times New Roman"/>
        </w:rPr>
        <w:lastRenderedPageBreak/>
        <w:t>liability for punishment for their wrongful conduct because the offender cannot reasonably be expected to have acted otherwise.</w:t>
      </w:r>
      <w:r w:rsidRPr="004B2AE8">
        <w:rPr>
          <w:rStyle w:val="FootnoteReference"/>
          <w:rFonts w:ascii="Times New Roman" w:hAnsi="Times New Roman"/>
          <w:sz w:val="24"/>
        </w:rPr>
        <w:footnoteReference w:id="83"/>
      </w:r>
      <w:r w:rsidRPr="004B2AE8">
        <w:rPr>
          <w:rFonts w:ascii="Times New Roman" w:hAnsi="Times New Roman"/>
        </w:rPr>
        <w:t xml:space="preserve"> </w:t>
      </w:r>
    </w:p>
    <w:p w14:paraId="46925E19"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H L A Hart described the distinction between justifications and excuses as one "of great moral importance".</w:t>
      </w:r>
      <w:r w:rsidRPr="004B2AE8">
        <w:rPr>
          <w:rStyle w:val="FootnoteReference"/>
          <w:rFonts w:ascii="Times New Roman" w:hAnsi="Times New Roman"/>
          <w:sz w:val="24"/>
        </w:rPr>
        <w:footnoteReference w:id="84"/>
      </w:r>
      <w:r w:rsidRPr="004B2AE8">
        <w:rPr>
          <w:rFonts w:ascii="Times New Roman" w:hAnsi="Times New Roman"/>
        </w:rPr>
        <w:t xml:space="preserve"> The distinction is "of fundamental theoretical and practical value",</w:t>
      </w:r>
      <w:r w:rsidRPr="004B2AE8">
        <w:rPr>
          <w:rStyle w:val="FootnoteReference"/>
          <w:rFonts w:ascii="Times New Roman" w:hAnsi="Times New Roman"/>
          <w:sz w:val="24"/>
        </w:rPr>
        <w:footnoteReference w:id="85"/>
      </w:r>
      <w:r w:rsidRPr="004B2AE8">
        <w:rPr>
          <w:rFonts w:ascii="Times New Roman" w:hAnsi="Times New Roman"/>
        </w:rPr>
        <w:t xml:space="preserve"> and was important to the development of the common law of crimes against the person, particularly homicide.</w:t>
      </w:r>
      <w:r w:rsidRPr="004B2AE8">
        <w:rPr>
          <w:rStyle w:val="FootnoteReference"/>
          <w:rFonts w:ascii="Times New Roman" w:hAnsi="Times New Roman"/>
          <w:sz w:val="24"/>
        </w:rPr>
        <w:footnoteReference w:id="86"/>
      </w:r>
      <w:r w:rsidRPr="004B2AE8">
        <w:rPr>
          <w:rFonts w:ascii="Times New Roman" w:hAnsi="Times New Roman"/>
        </w:rPr>
        <w:t xml:space="preserve"> Subject to the terms of legislation, it remains of practical importance in areas such as derivative liability (where the justified act of a principal precludes derivative liability for punishment but the excused act of a principal does not)</w:t>
      </w:r>
      <w:r w:rsidRPr="004B2AE8">
        <w:rPr>
          <w:rStyle w:val="FootnoteReference"/>
          <w:rFonts w:ascii="Times New Roman" w:hAnsi="Times New Roman"/>
          <w:sz w:val="24"/>
        </w:rPr>
        <w:footnoteReference w:id="87"/>
      </w:r>
      <w:r w:rsidRPr="004B2AE8">
        <w:rPr>
          <w:rFonts w:ascii="Times New Roman" w:hAnsi="Times New Roman"/>
        </w:rPr>
        <w:t xml:space="preserve"> and, at least in some cases, the legality of using force to resist another.</w:t>
      </w:r>
      <w:r w:rsidRPr="004B2AE8">
        <w:rPr>
          <w:rStyle w:val="FootnoteReference"/>
          <w:rFonts w:ascii="Times New Roman" w:hAnsi="Times New Roman"/>
          <w:sz w:val="24"/>
        </w:rPr>
        <w:footnoteReference w:id="88"/>
      </w:r>
      <w:r w:rsidRPr="004B2AE8">
        <w:rPr>
          <w:rFonts w:ascii="Times New Roman" w:hAnsi="Times New Roman"/>
        </w:rPr>
        <w:t xml:space="preserve"> Any treatment of justification and excuse as synonymous has rightly been described as a "serious mistake".</w:t>
      </w:r>
      <w:r w:rsidRPr="004B2AE8">
        <w:rPr>
          <w:rStyle w:val="FootnoteReference"/>
          <w:rFonts w:ascii="Times New Roman" w:hAnsi="Times New Roman"/>
          <w:sz w:val="24"/>
        </w:rPr>
        <w:footnoteReference w:id="89"/>
      </w:r>
    </w:p>
    <w:p w14:paraId="7830B52D"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The distinction between justifications and excuses is important for this appeal because much of the oral argument in this Court focused on the relationship between the defences of duress and necessity. "Necessity" is a label that can be, and sometimes is, used to describe different defences. Relevantly to this appeal, when necessity is seen as a justification there are significant differences between the defence of necessity and the defence of duress. But, when the defence of necessity is seen as an excuse, the differences between the defences of necessity </w:t>
      </w:r>
      <w:r w:rsidRPr="004B2AE8">
        <w:rPr>
          <w:rFonts w:ascii="Times New Roman" w:hAnsi="Times New Roman"/>
        </w:rPr>
        <w:lastRenderedPageBreak/>
        <w:t>and duress are, at best, slight. In short, there is a need "to distinguish clearly between necessity as an excuse and necessity as a justification".</w:t>
      </w:r>
      <w:r w:rsidRPr="004B2AE8">
        <w:rPr>
          <w:rStyle w:val="FootnoteReference"/>
          <w:rFonts w:ascii="Times New Roman" w:hAnsi="Times New Roman"/>
          <w:sz w:val="24"/>
        </w:rPr>
        <w:footnoteReference w:id="90"/>
      </w:r>
      <w:r w:rsidRPr="004B2AE8">
        <w:rPr>
          <w:rFonts w:ascii="Times New Roman" w:hAnsi="Times New Roman"/>
        </w:rPr>
        <w:t xml:space="preserve"> </w:t>
      </w:r>
    </w:p>
    <w:p w14:paraId="7FA38637"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In England, the defence of necessity has sometimes been treated as a justification, occasionally described as "pure necessity", with the propriety of the action assessed in utilitarian terms: "on a choice of two evils the choice of avoiding the greater harm was justified".</w:t>
      </w:r>
      <w:r w:rsidRPr="004B2AE8">
        <w:rPr>
          <w:rStyle w:val="FootnoteReference"/>
          <w:rFonts w:ascii="Times New Roman" w:hAnsi="Times New Roman"/>
          <w:sz w:val="24"/>
        </w:rPr>
        <w:footnoteReference w:id="91"/>
      </w:r>
      <w:r w:rsidRPr="004B2AE8">
        <w:rPr>
          <w:rFonts w:ascii="Times New Roman" w:hAnsi="Times New Roman"/>
        </w:rPr>
        <w:t xml:space="preserve"> In Australia, necessity has sometimes been recognised as a justification by analogy with self-defence at common law although in terms that muddle the distinction between justifications and excuses.</w:t>
      </w:r>
      <w:r w:rsidRPr="004B2AE8">
        <w:rPr>
          <w:rStyle w:val="FootnoteReference"/>
          <w:rFonts w:ascii="Times New Roman" w:hAnsi="Times New Roman"/>
          <w:sz w:val="24"/>
        </w:rPr>
        <w:footnoteReference w:id="92"/>
      </w:r>
      <w:r w:rsidRPr="004B2AE8">
        <w:rPr>
          <w:rFonts w:ascii="Times New Roman" w:hAnsi="Times New Roman"/>
        </w:rPr>
        <w:t xml:space="preserve"> Self-defence at common law was traditionally regarded as "a ground of justification based upon the necessity of repelling force with force".</w:t>
      </w:r>
      <w:r w:rsidRPr="004B2AE8">
        <w:rPr>
          <w:rStyle w:val="FootnoteReference"/>
          <w:rFonts w:ascii="Times New Roman" w:hAnsi="Times New Roman"/>
          <w:sz w:val="24"/>
        </w:rPr>
        <w:footnoteReference w:id="93"/>
      </w:r>
      <w:r w:rsidRPr="004B2AE8">
        <w:rPr>
          <w:rFonts w:ascii="Times New Roman" w:hAnsi="Times New Roman"/>
        </w:rPr>
        <w:t xml:space="preserve"> </w:t>
      </w:r>
    </w:p>
    <w:p w14:paraId="3F60EA63"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There are, however, other instances in which a defence of necessity is recognised independently of the propriety of the conduct, where the accused could not reasonably have been expected to act otherwise. In those cases, necessity is not relied upon as providing a privilege to act (which it might not) but is relied upon only as an excuse for wrongful conduct.</w:t>
      </w:r>
      <w:r w:rsidRPr="004B2AE8">
        <w:rPr>
          <w:rStyle w:val="FootnoteReference"/>
          <w:rFonts w:ascii="Times New Roman" w:hAnsi="Times New Roman"/>
          <w:sz w:val="24"/>
        </w:rPr>
        <w:footnoteReference w:id="94"/>
      </w:r>
      <w:r w:rsidRPr="004B2AE8">
        <w:rPr>
          <w:rFonts w:ascii="Times New Roman" w:hAnsi="Times New Roman"/>
        </w:rPr>
        <w:t xml:space="preserve"> Arguably one difficulty with the much-debated case of </w:t>
      </w:r>
      <w:r w:rsidRPr="004B2AE8">
        <w:rPr>
          <w:rFonts w:ascii="Times New Roman" w:hAnsi="Times New Roman"/>
          <w:i/>
          <w:iCs/>
        </w:rPr>
        <w:t>R v Dudley and Stephens</w:t>
      </w:r>
      <w:r w:rsidRPr="004B2AE8">
        <w:rPr>
          <w:rStyle w:val="FootnoteReference"/>
          <w:rFonts w:ascii="Times New Roman" w:hAnsi="Times New Roman"/>
          <w:sz w:val="24"/>
        </w:rPr>
        <w:footnoteReference w:id="95"/>
      </w:r>
      <w:r w:rsidRPr="004B2AE8">
        <w:rPr>
          <w:rFonts w:ascii="Times New Roman" w:hAnsi="Times New Roman"/>
          <w:i/>
          <w:iCs/>
        </w:rPr>
        <w:t xml:space="preserve"> </w:t>
      </w:r>
      <w:r w:rsidRPr="004B2AE8">
        <w:rPr>
          <w:rFonts w:ascii="Times New Roman" w:hAnsi="Times New Roman"/>
        </w:rPr>
        <w:t>is that the Divisional Court conceived only of the possibility of necessity as a justification and neglected the possibility that necessity might function as an excuse.</w:t>
      </w:r>
      <w:r w:rsidRPr="004B2AE8">
        <w:rPr>
          <w:rStyle w:val="FootnoteReference"/>
          <w:rFonts w:ascii="Times New Roman" w:hAnsi="Times New Roman"/>
          <w:sz w:val="24"/>
        </w:rPr>
        <w:footnoteReference w:id="96"/>
      </w:r>
      <w:r w:rsidRPr="004B2AE8">
        <w:rPr>
          <w:rFonts w:ascii="Times New Roman" w:hAnsi="Times New Roman"/>
        </w:rPr>
        <w:t xml:space="preserve"> </w:t>
      </w:r>
    </w:p>
    <w:p w14:paraId="040C9BEE"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Insofar as necessity is conceived of as a justification, on the facts of </w:t>
      </w:r>
      <w:r w:rsidRPr="004B2AE8">
        <w:rPr>
          <w:rFonts w:ascii="Times New Roman" w:hAnsi="Times New Roman"/>
          <w:i/>
          <w:iCs/>
        </w:rPr>
        <w:t>R v Dudley and Stephens</w:t>
      </w:r>
      <w:r w:rsidRPr="004B2AE8">
        <w:rPr>
          <w:rFonts w:ascii="Times New Roman" w:hAnsi="Times New Roman"/>
        </w:rPr>
        <w:t xml:space="preserve"> the Court was undoubtedly correct to hold that the defence of necessity failed. This is because even the extreme circumstances of that case did not create a privilege to kill the emaciated cabin boy, who posed no threat. The balance of reasons did </w:t>
      </w:r>
      <w:r w:rsidRPr="004B2AE8">
        <w:rPr>
          <w:rFonts w:ascii="Times New Roman" w:hAnsi="Times New Roman"/>
          <w:i/>
        </w:rPr>
        <w:t xml:space="preserve">not </w:t>
      </w:r>
      <w:r w:rsidRPr="004B2AE8">
        <w:rPr>
          <w:rFonts w:ascii="Times New Roman" w:hAnsi="Times New Roman"/>
        </w:rPr>
        <w:t xml:space="preserve">favour the killing as proper or rightful conduct. But it is a different question whether necessity could have excused the wrongful act of killing in that case. Referring to the "somewhat similar position" of a person who </w:t>
      </w:r>
      <w:r w:rsidRPr="004B2AE8">
        <w:rPr>
          <w:rFonts w:ascii="Times New Roman" w:hAnsi="Times New Roman"/>
        </w:rPr>
        <w:lastRenderedPageBreak/>
        <w:t>has a defence of duress due to a threat of death, Simpson observed that the judges failed "to separate clearly and analyze the different bases on which the claim to a defence of necessity can in principle be advanced".</w:t>
      </w:r>
      <w:r w:rsidRPr="004B2AE8">
        <w:rPr>
          <w:rStyle w:val="FootnoteReference"/>
          <w:rFonts w:ascii="Times New Roman" w:hAnsi="Times New Roman"/>
          <w:sz w:val="24"/>
        </w:rPr>
        <w:footnoteReference w:id="97"/>
      </w:r>
      <w:r w:rsidRPr="004B2AE8">
        <w:rPr>
          <w:rFonts w:ascii="Times New Roman" w:hAnsi="Times New Roman"/>
        </w:rPr>
        <w:t xml:space="preserve"> On the assumption that an excuse could arise even for murder, where extreme pressure left no other reasonable alternative expected of the accused, it has also been suggested that the case "is a textbook example of the wrongful killing of an innocent person that might properly be excused on grounds of necessity".</w:t>
      </w:r>
      <w:r w:rsidRPr="004B2AE8">
        <w:rPr>
          <w:rStyle w:val="FootnoteReference"/>
          <w:rFonts w:ascii="Times New Roman" w:hAnsi="Times New Roman"/>
          <w:sz w:val="24"/>
        </w:rPr>
        <w:footnoteReference w:id="98"/>
      </w:r>
    </w:p>
    <w:p w14:paraId="72C6A345" w14:textId="77777777" w:rsidR="003567D9" w:rsidRPr="004B2AE8" w:rsidRDefault="003567D9" w:rsidP="004B2AE8">
      <w:pPr>
        <w:pStyle w:val="HeadingL2"/>
        <w:spacing w:after="260" w:line="280" w:lineRule="exact"/>
        <w:ind w:right="0"/>
        <w:jc w:val="both"/>
        <w:rPr>
          <w:rFonts w:ascii="Times New Roman" w:hAnsi="Times New Roman"/>
        </w:rPr>
      </w:pPr>
      <w:r w:rsidRPr="004B2AE8">
        <w:rPr>
          <w:rFonts w:ascii="Times New Roman" w:hAnsi="Times New Roman"/>
        </w:rPr>
        <w:t>The excuses of duress and necessity</w:t>
      </w:r>
    </w:p>
    <w:p w14:paraId="4972758B"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Duress has been said to be "a paradigmatic example of an excuse".</w:t>
      </w:r>
      <w:r w:rsidRPr="004B2AE8">
        <w:rPr>
          <w:rStyle w:val="FootnoteReference"/>
          <w:rFonts w:ascii="Times New Roman" w:hAnsi="Times New Roman"/>
          <w:sz w:val="24"/>
        </w:rPr>
        <w:footnoteReference w:id="99"/>
      </w:r>
      <w:r w:rsidRPr="004B2AE8">
        <w:rPr>
          <w:rFonts w:ascii="Times New Roman" w:hAnsi="Times New Roman"/>
        </w:rPr>
        <w:t xml:space="preserve"> Whether or not it involves conduct that might be separately justified,</w:t>
      </w:r>
      <w:r w:rsidRPr="004B2AE8">
        <w:rPr>
          <w:rStyle w:val="FootnoteReference"/>
          <w:rFonts w:ascii="Times New Roman" w:hAnsi="Times New Roman"/>
          <w:sz w:val="24"/>
        </w:rPr>
        <w:footnoteReference w:id="100"/>
      </w:r>
      <w:r w:rsidRPr="004B2AE8">
        <w:rPr>
          <w:rFonts w:ascii="Times New Roman" w:hAnsi="Times New Roman"/>
        </w:rPr>
        <w:t xml:space="preserve"> the defence is not shaped by whether the balance of reasons favoured the action taken as proper or rightful conduct. It is, instead, an excuse that is based upon a "merciful concession to human frailty".</w:t>
      </w:r>
      <w:r w:rsidRPr="004B2AE8">
        <w:rPr>
          <w:rStyle w:val="FootnoteReference"/>
          <w:rFonts w:ascii="Times New Roman" w:hAnsi="Times New Roman"/>
          <w:sz w:val="24"/>
        </w:rPr>
        <w:footnoteReference w:id="101"/>
      </w:r>
      <w:r w:rsidRPr="004B2AE8">
        <w:rPr>
          <w:rFonts w:ascii="Times New Roman" w:hAnsi="Times New Roman"/>
        </w:rPr>
        <w:t xml:space="preserve"> As will be seen, the various formulations of the defence of duress have in common the central concern that the pressure on the accused caused the charged act and that the extent of that pressure left no other action that would reasonably be taken by a person in the position of, and with the general attributes of, the accused.</w:t>
      </w:r>
    </w:p>
    <w:p w14:paraId="4714297E"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There is a contextual difference between what has traditionally been described as the common law excuse of duress and what has sometimes been described as a common law excuse of "necessity". That contextual difference is that the impairment of free choice in cases of duress arises from a threat made by a person whilst the impairment of choice in cases of necessity arises from other circumstances, including natural forces. That difference of context, rather than principle, led Glanville Williams to describe duress as "a species of necessity, in that it is necessity created by the illegal conduct of another, and not by natural forces".</w:t>
      </w:r>
      <w:r w:rsidRPr="004B2AE8">
        <w:rPr>
          <w:rStyle w:val="FootnoteReference"/>
          <w:rFonts w:ascii="Times New Roman" w:hAnsi="Times New Roman"/>
          <w:sz w:val="24"/>
        </w:rPr>
        <w:footnoteReference w:id="102"/>
      </w:r>
      <w:r w:rsidRPr="004B2AE8">
        <w:rPr>
          <w:rFonts w:ascii="Times New Roman" w:hAnsi="Times New Roman"/>
        </w:rPr>
        <w:t xml:space="preserve"> Later English cases described the defence of "duress of </w:t>
      </w:r>
      <w:r w:rsidRPr="004B2AE8">
        <w:rPr>
          <w:rFonts w:ascii="Times New Roman" w:hAnsi="Times New Roman"/>
        </w:rPr>
        <w:lastRenderedPageBreak/>
        <w:t>circumstances"</w:t>
      </w:r>
      <w:r w:rsidRPr="004B2AE8">
        <w:rPr>
          <w:rStyle w:val="FootnoteReference"/>
          <w:rFonts w:ascii="Times New Roman" w:hAnsi="Times New Roman"/>
          <w:sz w:val="24"/>
        </w:rPr>
        <w:footnoteReference w:id="103"/>
      </w:r>
      <w:r w:rsidRPr="004B2AE8">
        <w:rPr>
          <w:rFonts w:ascii="Times New Roman" w:hAnsi="Times New Roman"/>
        </w:rPr>
        <w:t xml:space="preserve"> as a "species of the genus of necessity".</w:t>
      </w:r>
      <w:r w:rsidRPr="004B2AE8">
        <w:rPr>
          <w:rStyle w:val="FootnoteReference"/>
          <w:rFonts w:ascii="Times New Roman" w:hAnsi="Times New Roman"/>
          <w:sz w:val="24"/>
        </w:rPr>
        <w:footnoteReference w:id="104"/>
      </w:r>
      <w:r w:rsidRPr="004B2AE8">
        <w:rPr>
          <w:rFonts w:ascii="Times New Roman" w:hAnsi="Times New Roman"/>
        </w:rPr>
        <w:t xml:space="preserve"> On that view, necessity is the genus and the species of that genus are duress by human threats and duress by circumstances.</w:t>
      </w:r>
    </w:p>
    <w:p w14:paraId="6B889200"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Whether or not the excuses of duress by human threat and duress by circumstances are seen as species of the genus of necessity, there is no principled basis for distinguishing between different sources of extreme pressure. As Sir Rupert Cross said, it would be the "apotheosis of absurdity" to allow a defence of duress by threats but to disallow a defence where exactly the same compulsion arises from the circumstances without a human threat.</w:t>
      </w:r>
      <w:r w:rsidRPr="004B2AE8">
        <w:rPr>
          <w:rStyle w:val="FootnoteReference"/>
          <w:rFonts w:ascii="Times New Roman" w:hAnsi="Times New Roman"/>
          <w:sz w:val="24"/>
        </w:rPr>
        <w:footnoteReference w:id="105"/>
      </w:r>
      <w:r w:rsidRPr="004B2AE8">
        <w:rPr>
          <w:rFonts w:ascii="Times New Roman" w:hAnsi="Times New Roman"/>
        </w:rPr>
        <w:t xml:space="preserve"> Similarly, in </w:t>
      </w:r>
      <w:r w:rsidRPr="004B2AE8">
        <w:rPr>
          <w:rFonts w:ascii="Times New Roman" w:hAnsi="Times New Roman"/>
          <w:i/>
          <w:iCs/>
        </w:rPr>
        <w:t>R v Howe</w:t>
      </w:r>
      <w:r w:rsidRPr="004B2AE8">
        <w:rPr>
          <w:rFonts w:ascii="Times New Roman" w:hAnsi="Times New Roman"/>
        </w:rPr>
        <w:t>,</w:t>
      </w:r>
      <w:r w:rsidRPr="004B2AE8">
        <w:rPr>
          <w:rStyle w:val="FootnoteReference"/>
          <w:rFonts w:ascii="Times New Roman" w:hAnsi="Times New Roman"/>
          <w:sz w:val="24"/>
        </w:rPr>
        <w:footnoteReference w:id="106"/>
      </w:r>
      <w:r w:rsidRPr="004B2AE8">
        <w:rPr>
          <w:rFonts w:ascii="Times New Roman" w:hAnsi="Times New Roman"/>
        </w:rPr>
        <w:t xml:space="preserve"> the Lord Chancellor observed that the excuses of duress and necessity involved "a distinction without a relevant difference, since on this view duress is only that species of the genus of necessity which is caused by wrongful threats". The point was also colourfully put by Lord Simon when he said:</w:t>
      </w:r>
      <w:r w:rsidRPr="004B2AE8">
        <w:rPr>
          <w:rStyle w:val="FootnoteReference"/>
          <w:rFonts w:ascii="Times New Roman" w:hAnsi="Times New Roman"/>
          <w:sz w:val="24"/>
        </w:rPr>
        <w:footnoteReference w:id="107"/>
      </w:r>
    </w:p>
    <w:p w14:paraId="7155F1EC" w14:textId="77777777" w:rsidR="003567D9" w:rsidRDefault="003567D9" w:rsidP="004B2AE8">
      <w:pPr>
        <w:pStyle w:val="LeftrightafterHC"/>
        <w:spacing w:before="0" w:after="260" w:line="280" w:lineRule="exact"/>
        <w:ind w:right="0"/>
        <w:jc w:val="both"/>
        <w:rPr>
          <w:rFonts w:ascii="Times New Roman" w:hAnsi="Times New Roman"/>
        </w:rPr>
      </w:pPr>
      <w:r w:rsidRPr="004B2AE8">
        <w:rPr>
          <w:rFonts w:ascii="Times New Roman" w:hAnsi="Times New Roman"/>
        </w:rPr>
        <w:t>"It would be a travesty of justice and an invitation to anarchy to declare that an innocent life may be taken with impunity if the threat to one's own life is from a terrorist but not when from a natural disaster like ship- or plane-wreck."</w:t>
      </w:r>
    </w:p>
    <w:p w14:paraId="092EE88B"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There may also be cases at the margins, of which this case might be an example, where the pressure on an accused derives from </w:t>
      </w:r>
      <w:r w:rsidRPr="004B2AE8">
        <w:rPr>
          <w:rFonts w:ascii="Times New Roman" w:hAnsi="Times New Roman"/>
          <w:i/>
        </w:rPr>
        <w:t>both</w:t>
      </w:r>
      <w:r w:rsidRPr="004B2AE8">
        <w:rPr>
          <w:rFonts w:ascii="Times New Roman" w:hAnsi="Times New Roman"/>
        </w:rPr>
        <w:t xml:space="preserve"> human threats and circumstances. In the commentary upon the model defence of duress formulated by the American Law Institute in §2.09 of the Model Penal Code, the following example is given:</w:t>
      </w:r>
      <w:r w:rsidRPr="004B2AE8">
        <w:rPr>
          <w:rStyle w:val="FootnoteReference"/>
          <w:rFonts w:ascii="Times New Roman" w:hAnsi="Times New Roman"/>
          <w:sz w:val="24"/>
        </w:rPr>
        <w:footnoteReference w:id="108"/>
      </w:r>
    </w:p>
    <w:p w14:paraId="679BCF12" w14:textId="77777777" w:rsidR="003567D9" w:rsidRDefault="003567D9" w:rsidP="004B2AE8">
      <w:pPr>
        <w:pStyle w:val="LeftrightafterHC"/>
        <w:spacing w:before="0" w:after="260" w:line="280" w:lineRule="exact"/>
        <w:ind w:right="0"/>
        <w:jc w:val="both"/>
        <w:rPr>
          <w:rFonts w:ascii="Times New Roman" w:hAnsi="Times New Roman"/>
        </w:rPr>
      </w:pPr>
      <w:r w:rsidRPr="004B2AE8">
        <w:rPr>
          <w:rFonts w:ascii="Times New Roman" w:hAnsi="Times New Roman"/>
        </w:rPr>
        <w:t xml:space="preserve">"[S]uppose that by the continued use of unlawful force, persons effectively break down the personality of the actor, rendering him submissive to </w:t>
      </w:r>
      <w:r w:rsidRPr="004B2AE8">
        <w:rPr>
          <w:rFonts w:ascii="Times New Roman" w:hAnsi="Times New Roman"/>
        </w:rPr>
        <w:lastRenderedPageBreak/>
        <w:t>whatever suggestions they make. They then, using neither force nor threat of force on that occasion, suggest that he perform a criminal act; and the actor does what they suggest. The 'brainwashed' actor would not be barred from claiming the defense of duress, since he may assert that he was 'coerced' to perform the act by the use of unlawful force on his person."</w:t>
      </w:r>
    </w:p>
    <w:p w14:paraId="5F63D6AE" w14:textId="77777777" w:rsidR="003567D9" w:rsidRPr="004B2AE8" w:rsidRDefault="003567D9" w:rsidP="004B2AE8">
      <w:pPr>
        <w:pStyle w:val="NormalBody"/>
        <w:spacing w:after="260" w:line="280" w:lineRule="exact"/>
        <w:ind w:right="0"/>
        <w:jc w:val="both"/>
        <w:rPr>
          <w:rFonts w:ascii="Times New Roman" w:hAnsi="Times New Roman"/>
        </w:rPr>
      </w:pPr>
      <w:r w:rsidRPr="004B2AE8">
        <w:rPr>
          <w:rFonts w:ascii="Times New Roman" w:hAnsi="Times New Roman"/>
        </w:rPr>
        <w:t>It may be possible, in such cases, to see the earlier threats (which formed part of the breaking down of the personality of the accused) as only part of the operative pressure, which may depend also upon multifarious psychological influences. A focus exclusively upon threats may be an unjust, unprincipled and unreasonable approach to human psychology.</w:t>
      </w:r>
    </w:p>
    <w:p w14:paraId="142FB5B1"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The common law of Australia has not yet embraced any unification of the excuses of duress and necessity, nor has it yet recognised duress of circumstances as a species of necessity alongside duress by human threat. Duress as a defence has remained confined to pressure arising from human threats. Necessity has been left as a shadowy, uncertain defence often treated as though it were only a justification but sometimes also recognised as an excuse. Ultimately, however, from the perspective of justice generally, Woolf LJ was correct to say that "[w]hether 'duress of circumstances' is called 'duress' or 'necessity' does not matter. What is important is that, whatever it is called, it is subject to the same limitations as to 'do this or else' species of duress."</w:t>
      </w:r>
      <w:r w:rsidRPr="004B2AE8">
        <w:rPr>
          <w:rStyle w:val="FootnoteReference"/>
          <w:rFonts w:ascii="Times New Roman" w:hAnsi="Times New Roman"/>
          <w:sz w:val="24"/>
        </w:rPr>
        <w:footnoteReference w:id="109"/>
      </w:r>
      <w:r w:rsidRPr="004B2AE8">
        <w:rPr>
          <w:rFonts w:ascii="Times New Roman" w:hAnsi="Times New Roman"/>
        </w:rPr>
        <w:t xml:space="preserve"> Hence, with a keen eye to justice, when the Victorian Parliament abolished the common law defences of duress and necessity,</w:t>
      </w:r>
      <w:r w:rsidRPr="004B2AE8">
        <w:rPr>
          <w:rStyle w:val="FootnoteReference"/>
          <w:rFonts w:ascii="Times New Roman" w:hAnsi="Times New Roman"/>
          <w:sz w:val="24"/>
        </w:rPr>
        <w:footnoteReference w:id="110"/>
      </w:r>
      <w:r w:rsidRPr="004B2AE8">
        <w:rPr>
          <w:rFonts w:ascii="Times New Roman" w:hAnsi="Times New Roman"/>
        </w:rPr>
        <w:t xml:space="preserve"> it created statutory excuses of duress and necessity, with nearly identical elements.</w:t>
      </w:r>
      <w:r w:rsidRPr="004B2AE8">
        <w:rPr>
          <w:rStyle w:val="FootnoteReference"/>
          <w:rFonts w:ascii="Times New Roman" w:hAnsi="Times New Roman"/>
          <w:sz w:val="24"/>
        </w:rPr>
        <w:footnoteReference w:id="111"/>
      </w:r>
    </w:p>
    <w:p w14:paraId="055A1109" w14:textId="77777777" w:rsidR="003567D9" w:rsidRPr="004B2AE8" w:rsidRDefault="003567D9" w:rsidP="004B2AE8">
      <w:pPr>
        <w:pStyle w:val="HeadingL1"/>
        <w:spacing w:after="260" w:line="280" w:lineRule="exact"/>
        <w:ind w:right="0"/>
        <w:jc w:val="both"/>
        <w:rPr>
          <w:rFonts w:ascii="Times New Roman" w:hAnsi="Times New Roman"/>
        </w:rPr>
      </w:pPr>
      <w:r w:rsidRPr="004B2AE8">
        <w:rPr>
          <w:rFonts w:ascii="Times New Roman" w:hAnsi="Times New Roman"/>
        </w:rPr>
        <w:t>The issues on this appeal</w:t>
      </w:r>
    </w:p>
    <w:p w14:paraId="6B4C2F8D"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The availability of a "do this or else" defence, whether described as duress, duress of circumstances, or necessity, was at the forefront of this appeal. Neither party made submissions in favour of formally unifying the excuses of duress by human threats and duress of circumstances as species of necessity. The Crown submitted that the common law of this country should not accept the existence of a defence of "duress of circumstances" to excuse conduct that would otherwise satisfy the defence of duress but where the pressure arose from circumstances other than exclusively a human threat. Ms Rowan submitted that an excuse of duress should have been left to the jury on the existing state of Australian law, based on pressure arising from a human threat. But she argued that if the Court of Appeal had extended Australian law to embrace "duress of circumstances" then the matter </w:t>
      </w:r>
      <w:r w:rsidRPr="004B2AE8">
        <w:rPr>
          <w:rFonts w:ascii="Times New Roman" w:hAnsi="Times New Roman"/>
        </w:rPr>
        <w:lastRenderedPageBreak/>
        <w:t>should be remitted to the Court of Appeal to consider the defence of necessity (as "duress of circumstances").</w:t>
      </w:r>
    </w:p>
    <w:p w14:paraId="64C937A5"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It is convenient to begin the analysis with the traditional Australian view that a human threat is necessary for the defence of duress, putting to one side the operation of any functionally identical defence where the human threat is replaced by pressure of circumstances that are equally grave. As I explain later in these reasons, the functional identity of the two defences informs the understanding of the elements of duress in relation to any purported requirement of demand or direction to perform the charged act.</w:t>
      </w:r>
    </w:p>
    <w:p w14:paraId="1668A5DC"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The dispute between the parties to this appeal was not merely over whether the Court of Appeal had expanded the defence of duress in Australia by extending it beyond instances of human threats. The Crown also argued that the Court of Appeal erroneously removed a purported requirement that the threat be accompanied by a demand or direction to perform the charged act.</w:t>
      </w:r>
    </w:p>
    <w:p w14:paraId="47AFB87F"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It was assumed by the parties that the defence of duress required that implied threats by JR be accompanied by an express or implied demand or direction by JR that Ms Rowan commit the conduct involved in the charged acts. As explained below, however, a demand or direction is not always a necessary element of duress. Nor, in cases where it is a necessary element, will there always be the same degree of clarity required in the communication of the demand or direction. In order to appreciate the extent to which a demand or direction might be required in any case it is necessary to appreciate the purpose that a demand or direction might serve in establishing the defence of duress. A demand or direction is only ever a factual basis from which it could be established that the threat would have left a reasonable person in the position of, and with the general attributes of, the accused with no reasonable alternative expected of them other than to commit acts in the general nature of the charged acts.</w:t>
      </w:r>
    </w:p>
    <w:p w14:paraId="3B45B63B"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The Crown's submissions should not be accepted. The Court of Appeal required an evidentiary foundation for threats of serious bodily harm by JR and it accepted, at least to the extent that such acceptance was required, the existence of an evidentiary foundation (assessed across all counts generally) for a conclusion that implied threats by JR were accompanied by an implied demand or direction to Ms Rowan that the charged acts be performed. </w:t>
      </w:r>
    </w:p>
    <w:p w14:paraId="7C6CC3F5" w14:textId="77777777" w:rsidR="003567D9" w:rsidRPr="004B2AE8" w:rsidRDefault="003567D9" w:rsidP="004B2AE8">
      <w:pPr>
        <w:pStyle w:val="HeadingL1"/>
        <w:spacing w:after="260" w:line="280" w:lineRule="exact"/>
        <w:ind w:right="0"/>
        <w:jc w:val="both"/>
        <w:rPr>
          <w:rFonts w:ascii="Times New Roman" w:hAnsi="Times New Roman"/>
        </w:rPr>
      </w:pPr>
      <w:r w:rsidRPr="004B2AE8">
        <w:rPr>
          <w:rFonts w:ascii="Times New Roman" w:hAnsi="Times New Roman"/>
        </w:rPr>
        <w:t>The Court of Appeal required an evidentiary foundation for a threat and a demand or direction</w:t>
      </w:r>
    </w:p>
    <w:p w14:paraId="73A675A0"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In the Court of Appeal, the joint judgment of Kyrou and Niall JJA identified errors in the reasoning of the trial judge in failing to leave the defence of duress to the jury. Relevantly to this appeal, the trial judge had considered that it was necessary for Ms Rowan to identify a specific threat operating and continuing on </w:t>
      </w:r>
      <w:r w:rsidRPr="004B2AE8">
        <w:rPr>
          <w:rFonts w:ascii="Times New Roman" w:hAnsi="Times New Roman"/>
        </w:rPr>
        <w:lastRenderedPageBreak/>
        <w:t>each occasion of offending, and that the existence of an underlying general threat was insufficient. The joint judgment held that this was an error:</w:t>
      </w:r>
      <w:r w:rsidRPr="004B2AE8">
        <w:rPr>
          <w:rStyle w:val="FootnoteReference"/>
          <w:rFonts w:ascii="Times New Roman" w:hAnsi="Times New Roman"/>
          <w:sz w:val="24"/>
        </w:rPr>
        <w:footnoteReference w:id="112"/>
      </w:r>
    </w:p>
    <w:p w14:paraId="53FB836B" w14:textId="77777777" w:rsidR="003567D9" w:rsidRPr="004B2AE8" w:rsidRDefault="003567D9" w:rsidP="004B2AE8">
      <w:pPr>
        <w:pStyle w:val="LeftrightafterHC"/>
        <w:spacing w:before="0" w:after="260" w:line="280" w:lineRule="exact"/>
        <w:ind w:right="0"/>
        <w:jc w:val="both"/>
        <w:rPr>
          <w:rFonts w:ascii="Times New Roman" w:hAnsi="Times New Roman"/>
        </w:rPr>
      </w:pPr>
      <w:r w:rsidRPr="004B2AE8">
        <w:rPr>
          <w:rFonts w:ascii="Times New Roman" w:hAnsi="Times New Roman"/>
        </w:rPr>
        <w:t xml:space="preserve">"We accept that no previous case has expressly accepted the proposition that a continuing or ever present threat—whether overt or tacit—as distinct from a specific, overt threat, is sufficient ... </w:t>
      </w:r>
    </w:p>
    <w:p w14:paraId="72ED894B" w14:textId="77777777" w:rsidR="003567D9" w:rsidRDefault="003567D9" w:rsidP="004B2AE8">
      <w:pPr>
        <w:pStyle w:val="leftright"/>
        <w:spacing w:before="0" w:after="260" w:line="280" w:lineRule="exact"/>
        <w:ind w:right="0"/>
        <w:jc w:val="both"/>
        <w:rPr>
          <w:rFonts w:ascii="Times New Roman" w:hAnsi="Times New Roman"/>
        </w:rPr>
      </w:pPr>
      <w:r w:rsidRPr="004B2AE8">
        <w:rPr>
          <w:rFonts w:ascii="Times New Roman" w:hAnsi="Times New Roman"/>
        </w:rPr>
        <w:t xml:space="preserve">In our opinion, a continuing or ever present threat which is subsisting at the time an accused committed the charged offence can suffice if, in all other respects, the defence of duress can be made out. We cannot think of any reason in principle or policy that requires exclusion of a continuing or ever present threat where, due to the threat, the accused has lost his or her freedom to choose to refrain from committing the charged offence. In this context, it is relevant to note the additional limiting factors ... that the threat be present and continuing, imminent and impending at the time each offence is committed."   </w:t>
      </w:r>
    </w:p>
    <w:p w14:paraId="1DB8F1E4"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In this part of their Honours' reasons, Kyrou and Niall JJA plainly required the existence of a threat but did not specifically advert to any requirement that the threat be accompanied by a demand or direction that the accused perform the charged act or acts in the general nature of the charged acts. Indeed, their Honours did not specify any of the other requirements of duress in the circumstances of the case other than the need for a continuing or ever-present threat. But they were conscious of other requirements, describing the need for the defence of duress to be made out "in all other respects".</w:t>
      </w:r>
      <w:r w:rsidRPr="004B2AE8">
        <w:rPr>
          <w:rStyle w:val="FootnoteReference"/>
          <w:rFonts w:ascii="Times New Roman" w:hAnsi="Times New Roman"/>
          <w:sz w:val="24"/>
        </w:rPr>
        <w:footnoteReference w:id="113"/>
      </w:r>
      <w:r w:rsidRPr="004B2AE8">
        <w:rPr>
          <w:rFonts w:ascii="Times New Roman" w:hAnsi="Times New Roman"/>
        </w:rPr>
        <w:t xml:space="preserve"> Later in their Honours' reasons they referred to a requirement for an evidentiary basis for an implied demand or direction by JR for Ms Rowan to be present or to undertake the specific acts:</w:t>
      </w:r>
      <w:r w:rsidRPr="004B2AE8">
        <w:rPr>
          <w:rStyle w:val="FootnoteReference"/>
          <w:rFonts w:ascii="Times New Roman" w:hAnsi="Times New Roman"/>
          <w:sz w:val="24"/>
        </w:rPr>
        <w:footnoteReference w:id="114"/>
      </w:r>
    </w:p>
    <w:p w14:paraId="5B24842E" w14:textId="77777777" w:rsidR="003567D9" w:rsidRDefault="003567D9" w:rsidP="004B2AE8">
      <w:pPr>
        <w:pStyle w:val="LeftrightafterHC"/>
        <w:spacing w:before="0" w:after="260" w:line="280" w:lineRule="exact"/>
        <w:ind w:right="0"/>
        <w:jc w:val="both"/>
        <w:rPr>
          <w:rFonts w:ascii="Times New Roman" w:hAnsi="Times New Roman"/>
        </w:rPr>
      </w:pPr>
      <w:r w:rsidRPr="004B2AE8">
        <w:rPr>
          <w:rFonts w:ascii="Times New Roman" w:hAnsi="Times New Roman"/>
        </w:rPr>
        <w:t>"For all of the offences, it would be open to the jury to conclude that there was a reasonable possibility that [Ms Rowan] would not have been present or undertaken the specific acts that constituted the offending had it not been for an unstated demand from JR that she do so, otherwise he would physically and sexually abuse her."</w:t>
      </w:r>
    </w:p>
    <w:p w14:paraId="22EFB613"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Similarly, McLeish JA, who relied only on the evidence of Paige and Alicia, concluded that:</w:t>
      </w:r>
      <w:r w:rsidRPr="004B2AE8">
        <w:rPr>
          <w:rStyle w:val="FootnoteReference"/>
          <w:rFonts w:ascii="Times New Roman" w:hAnsi="Times New Roman"/>
          <w:sz w:val="24"/>
        </w:rPr>
        <w:footnoteReference w:id="115"/>
      </w:r>
    </w:p>
    <w:p w14:paraId="6128B6D1" w14:textId="77777777" w:rsidR="003567D9" w:rsidRDefault="003567D9" w:rsidP="004B2AE8">
      <w:pPr>
        <w:pStyle w:val="LeftrightafterHC"/>
        <w:spacing w:before="0" w:after="260" w:line="280" w:lineRule="exact"/>
        <w:ind w:right="0"/>
        <w:jc w:val="both"/>
        <w:rPr>
          <w:rFonts w:ascii="Times New Roman" w:hAnsi="Times New Roman"/>
        </w:rPr>
      </w:pPr>
      <w:r w:rsidRPr="004B2AE8">
        <w:rPr>
          <w:rFonts w:ascii="Times New Roman" w:hAnsi="Times New Roman"/>
        </w:rPr>
        <w:lastRenderedPageBreak/>
        <w:t xml:space="preserve">"It might be inferred that the general conduct of JR as revealed by the other evidence meant that when he talked [Ms Rowan] into acceding to his desires there was an implicit threat of serious physical harm if she refused." </w:t>
      </w:r>
    </w:p>
    <w:p w14:paraId="71FA4770"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In relation to some of the counts, the reasoning of Kyrou and Niall JJA about an "unstated demand" is plainly correct. An evidentiary basis for such an unstated demand exists (in relation to some counts) in the evidence of Paige and Alicia as described in the trial judge's summing up to the jury and in the reasons of the Court of Appeal. For instance, Paige's evidence relating to counts 1 to 4 was described as including evidence that JR had told her that he "had talked [Ms Rowan] into" her action that was the subject of those counts.</w:t>
      </w:r>
    </w:p>
    <w:p w14:paraId="299399E3"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By contrast, it does not appear that there was any direct evidence in relation to some of the other counts, such as count 11, that supported an express or implied demand or direction by JR for Ms Rowan to engage in the specific conduct that was the subject of the charge. In such cases, it appears from the reasons of the Court of Appeal that the highest that the evidence comes to establishing an evidentiary foundation for a demand or direction is the evidence of Paige and Alicia to the general effect that JR compelled Ms Rowan to "do stuff". Nevertheless, that evidence alone was sufficient for the defence to be put to the jury. </w:t>
      </w:r>
    </w:p>
    <w:p w14:paraId="1E83593B"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For the reasons explained below, it is not necessary to establish that a demand or direction by JR was present in relation to each and every count. Such a demand or direction is not generally a requirement to establish the defence of duress. The only reason that a demand or direction, express or implied, may be needed for a defence of duress in some cases is because it demonstrates that a reasonable person in the position of, and with the general attributes of, the accused would have had no reasonable alternative expected of them other than to commit acts in the general nature of the charged acts.</w:t>
      </w:r>
      <w:r w:rsidRPr="004B2AE8">
        <w:rPr>
          <w:rStyle w:val="FootnoteReference"/>
          <w:rFonts w:ascii="Times New Roman" w:hAnsi="Times New Roman"/>
          <w:sz w:val="24"/>
        </w:rPr>
        <w:footnoteReference w:id="116"/>
      </w:r>
      <w:r w:rsidRPr="004B2AE8">
        <w:rPr>
          <w:rFonts w:ascii="Times New Roman" w:hAnsi="Times New Roman"/>
        </w:rPr>
        <w:t xml:space="preserve"> Despite the potential lack of any express or implied demand or direction by JR in relation to some specific counts, the evidence of JR's conduct, including evidence supporting implied demands concerning some counts, was a sufficient foundation for the possibility that the threats made by JR left Ms Rowan with no reasonable alternative expected of her other than to commit acts in the general nature of the charged acts. This required the Crown to establish that Ms Rowan did in fact have reasonable alternatives expected of her. </w:t>
      </w:r>
    </w:p>
    <w:p w14:paraId="3002F604" w14:textId="77777777" w:rsidR="003567D9" w:rsidRPr="004B2AE8" w:rsidRDefault="003567D9" w:rsidP="004B2AE8">
      <w:pPr>
        <w:pStyle w:val="HeadingL1"/>
        <w:spacing w:after="260" w:line="280" w:lineRule="exact"/>
        <w:ind w:right="0"/>
        <w:jc w:val="both"/>
        <w:rPr>
          <w:rFonts w:ascii="Times New Roman" w:hAnsi="Times New Roman"/>
        </w:rPr>
      </w:pPr>
      <w:r w:rsidRPr="004B2AE8">
        <w:rPr>
          <w:rFonts w:ascii="Times New Roman" w:hAnsi="Times New Roman"/>
        </w:rPr>
        <w:lastRenderedPageBreak/>
        <w:t>A demand or direction to perform the charged act is not always necessary for the defence of duress</w:t>
      </w:r>
    </w:p>
    <w:p w14:paraId="7CA4B929" w14:textId="77777777" w:rsidR="003567D9" w:rsidRPr="004B2AE8" w:rsidRDefault="003567D9" w:rsidP="004B2AE8">
      <w:pPr>
        <w:pStyle w:val="HeadingL2"/>
        <w:spacing w:after="260" w:line="280" w:lineRule="exact"/>
        <w:ind w:right="0"/>
        <w:jc w:val="both"/>
        <w:rPr>
          <w:rFonts w:ascii="Times New Roman" w:hAnsi="Times New Roman"/>
        </w:rPr>
      </w:pPr>
      <w:r w:rsidRPr="004B2AE8">
        <w:rPr>
          <w:rFonts w:ascii="Times New Roman" w:hAnsi="Times New Roman"/>
        </w:rPr>
        <w:t>A demand or direction is unnecessary at common law</w:t>
      </w:r>
    </w:p>
    <w:p w14:paraId="5660658F"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The parties to this appeal assumed that for the defence of duress the common law of Australia requires the presence of (and therefore an accused to establish an evidentiary foundation for) a demand or direction that the charged act be performed. That assumption was based upon the dissenting judgment of Smith J in </w:t>
      </w:r>
      <w:r w:rsidRPr="004B2AE8">
        <w:rPr>
          <w:rFonts w:ascii="Times New Roman" w:hAnsi="Times New Roman"/>
          <w:i/>
          <w:iCs/>
        </w:rPr>
        <w:t>R v Hurley</w:t>
      </w:r>
      <w:r w:rsidRPr="004B2AE8">
        <w:rPr>
          <w:rFonts w:ascii="Times New Roman" w:hAnsi="Times New Roman"/>
        </w:rPr>
        <w:t>.</w:t>
      </w:r>
      <w:r w:rsidRPr="004B2AE8">
        <w:rPr>
          <w:rStyle w:val="FootnoteReference"/>
          <w:rFonts w:ascii="Times New Roman" w:hAnsi="Times New Roman"/>
          <w:sz w:val="24"/>
        </w:rPr>
        <w:footnoteReference w:id="117"/>
      </w:r>
      <w:r w:rsidRPr="004B2AE8">
        <w:rPr>
          <w:rFonts w:ascii="Times New Roman" w:hAnsi="Times New Roman"/>
        </w:rPr>
        <w:t xml:space="preserve"> That decision does not support the assumption. Nor, for the most part, is the assumption supported by the manner in which the judgment of Smith J has been understood or applied. Nor </w:t>
      </w:r>
      <w:r w:rsidRPr="004B2AE8" w:rsidDel="00750018">
        <w:rPr>
          <w:rFonts w:ascii="Times New Roman" w:hAnsi="Times New Roman"/>
        </w:rPr>
        <w:t>is</w:t>
      </w:r>
      <w:r w:rsidRPr="004B2AE8">
        <w:rPr>
          <w:rFonts w:ascii="Times New Roman" w:hAnsi="Times New Roman"/>
        </w:rPr>
        <w:t xml:space="preserve"> the assumption supported by basic principle.</w:t>
      </w:r>
    </w:p>
    <w:p w14:paraId="4B250EF7" w14:textId="77777777" w:rsidR="003567D9" w:rsidRPr="004B2AE8" w:rsidRDefault="003567D9" w:rsidP="004B2AE8">
      <w:pPr>
        <w:pStyle w:val="HeadingL3"/>
        <w:spacing w:after="260" w:line="280" w:lineRule="exact"/>
        <w:ind w:right="0"/>
        <w:jc w:val="both"/>
        <w:rPr>
          <w:rFonts w:ascii="Times New Roman" w:hAnsi="Times New Roman"/>
        </w:rPr>
      </w:pPr>
      <w:r w:rsidRPr="004B2AE8">
        <w:rPr>
          <w:rFonts w:ascii="Times New Roman" w:hAnsi="Times New Roman"/>
        </w:rPr>
        <w:t xml:space="preserve">(1) The lack of support in </w:t>
      </w:r>
      <w:r w:rsidRPr="004B2AE8">
        <w:rPr>
          <w:rFonts w:ascii="Times New Roman" w:hAnsi="Times New Roman"/>
          <w:i/>
          <w:iCs/>
        </w:rPr>
        <w:t xml:space="preserve">Hurley </w:t>
      </w:r>
      <w:r w:rsidRPr="004B2AE8">
        <w:rPr>
          <w:rFonts w:ascii="Times New Roman" w:hAnsi="Times New Roman"/>
        </w:rPr>
        <w:t>for a requirement of a demand or direction</w:t>
      </w:r>
    </w:p>
    <w:p w14:paraId="67BC08C6"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In </w:t>
      </w:r>
      <w:r w:rsidRPr="004B2AE8">
        <w:rPr>
          <w:rFonts w:ascii="Times New Roman" w:hAnsi="Times New Roman"/>
          <w:i/>
          <w:iCs/>
        </w:rPr>
        <w:t>Hurley</w:t>
      </w:r>
      <w:r w:rsidRPr="004B2AE8">
        <w:rPr>
          <w:rFonts w:ascii="Times New Roman" w:hAnsi="Times New Roman"/>
        </w:rPr>
        <w:t>, Smith J set out eight elements of the defence of duress. The first of those elements, which was the focus of this appeal, was that the accused was required to do the act charged against them "under a threat that death or grievous bodily harm will be inflicted unlawfully upon a human being if the accused fails to do the act".</w:t>
      </w:r>
      <w:r w:rsidRPr="004B2AE8">
        <w:rPr>
          <w:rStyle w:val="FootnoteReference"/>
          <w:rFonts w:ascii="Times New Roman" w:hAnsi="Times New Roman"/>
          <w:sz w:val="24"/>
        </w:rPr>
        <w:footnoteReference w:id="118"/>
      </w:r>
      <w:r w:rsidRPr="004B2AE8">
        <w:rPr>
          <w:rFonts w:ascii="Times New Roman" w:hAnsi="Times New Roman"/>
        </w:rPr>
        <w:t xml:space="preserve"> </w:t>
      </w:r>
    </w:p>
    <w:p w14:paraId="33A9751D"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Smith J purported to set out this element only as part of a set of sufficient requirements, described as an "affirmative proposition", for when duress would be established.</w:t>
      </w:r>
      <w:r w:rsidRPr="004B2AE8">
        <w:rPr>
          <w:rStyle w:val="FootnoteReference"/>
          <w:rFonts w:ascii="Times New Roman" w:hAnsi="Times New Roman"/>
          <w:sz w:val="24"/>
        </w:rPr>
        <w:footnoteReference w:id="119"/>
      </w:r>
      <w:r w:rsidRPr="004B2AE8">
        <w:rPr>
          <w:rFonts w:ascii="Times New Roman" w:hAnsi="Times New Roman"/>
        </w:rPr>
        <w:t xml:space="preserve"> The set of sufficient requirements set out by Smith J has become authoritative: subsequent decisions recognise those requirements as at least sufficient for the defence of duress.</w:t>
      </w:r>
      <w:r w:rsidRPr="004B2AE8">
        <w:rPr>
          <w:rStyle w:val="FootnoteReference"/>
          <w:rFonts w:ascii="Times New Roman" w:hAnsi="Times New Roman"/>
          <w:sz w:val="24"/>
        </w:rPr>
        <w:footnoteReference w:id="120"/>
      </w:r>
      <w:r w:rsidRPr="004B2AE8">
        <w:rPr>
          <w:rFonts w:ascii="Times New Roman" w:hAnsi="Times New Roman"/>
        </w:rPr>
        <w:t xml:space="preserve"> But his Honour did not suggest that all elements were </w:t>
      </w:r>
      <w:r w:rsidRPr="004B2AE8">
        <w:rPr>
          <w:rFonts w:ascii="Times New Roman" w:hAnsi="Times New Roman"/>
          <w:i/>
          <w:iCs/>
        </w:rPr>
        <w:t>necessary</w:t>
      </w:r>
      <w:r w:rsidRPr="004B2AE8">
        <w:rPr>
          <w:rFonts w:ascii="Times New Roman" w:hAnsi="Times New Roman"/>
        </w:rPr>
        <w:t xml:space="preserve">. Nor did he suggest that the first element was a necessary requirement of the defence of duress in every case. To the contrary, after setting out the eight elements that would be sufficient for the defence of duress, Smith J carefully said that an accused, "in such circumstances </w:t>
      </w:r>
      <w:r w:rsidRPr="004B2AE8">
        <w:rPr>
          <w:rFonts w:ascii="Times New Roman" w:hAnsi="Times New Roman"/>
          <w:i/>
          <w:iCs/>
        </w:rPr>
        <w:t>at least</w:t>
      </w:r>
      <w:r w:rsidRPr="004B2AE8">
        <w:rPr>
          <w:rFonts w:ascii="Times New Roman" w:hAnsi="Times New Roman"/>
        </w:rPr>
        <w:t>, has a defence of duress".</w:t>
      </w:r>
      <w:r w:rsidRPr="004B2AE8">
        <w:rPr>
          <w:rStyle w:val="FootnoteReference"/>
          <w:rFonts w:ascii="Times New Roman" w:hAnsi="Times New Roman"/>
          <w:sz w:val="24"/>
        </w:rPr>
        <w:footnoteReference w:id="121"/>
      </w:r>
      <w:r w:rsidRPr="004B2AE8">
        <w:rPr>
          <w:rFonts w:ascii="Times New Roman" w:hAnsi="Times New Roman"/>
        </w:rPr>
        <w:t xml:space="preserve">  </w:t>
      </w:r>
    </w:p>
    <w:p w14:paraId="06FEA391" w14:textId="77777777" w:rsidR="003567D9" w:rsidRPr="004B2AE8" w:rsidRDefault="003567D9" w:rsidP="004B2AE8">
      <w:pPr>
        <w:pStyle w:val="HeadingL3"/>
        <w:spacing w:after="260" w:line="280" w:lineRule="exact"/>
        <w:ind w:right="0"/>
        <w:jc w:val="both"/>
        <w:rPr>
          <w:rFonts w:ascii="Times New Roman" w:hAnsi="Times New Roman"/>
        </w:rPr>
      </w:pPr>
      <w:r w:rsidRPr="004B2AE8">
        <w:rPr>
          <w:rFonts w:ascii="Times New Roman" w:hAnsi="Times New Roman"/>
        </w:rPr>
        <w:lastRenderedPageBreak/>
        <w:t>(2) </w:t>
      </w:r>
      <w:r w:rsidRPr="004B2AE8">
        <w:rPr>
          <w:rFonts w:ascii="Times New Roman" w:hAnsi="Times New Roman"/>
          <w:i/>
          <w:iCs/>
        </w:rPr>
        <w:t xml:space="preserve">Hurley </w:t>
      </w:r>
      <w:r w:rsidRPr="004B2AE8">
        <w:rPr>
          <w:rFonts w:ascii="Times New Roman" w:hAnsi="Times New Roman"/>
        </w:rPr>
        <w:t xml:space="preserve">has not always been understood as requiring a demand or direction </w:t>
      </w:r>
    </w:p>
    <w:p w14:paraId="71D5B6D5"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Whilst the cases after </w:t>
      </w:r>
      <w:r w:rsidRPr="004B2AE8">
        <w:rPr>
          <w:rFonts w:ascii="Times New Roman" w:hAnsi="Times New Roman"/>
          <w:i/>
          <w:iCs/>
        </w:rPr>
        <w:t xml:space="preserve">Hurley </w:t>
      </w:r>
      <w:r w:rsidRPr="004B2AE8">
        <w:rPr>
          <w:rFonts w:ascii="Times New Roman" w:hAnsi="Times New Roman"/>
        </w:rPr>
        <w:t>can be understood as treating the eight elements set out by Smith J as an "authoritative" test for circumstances that are sufficient for duress,</w:t>
      </w:r>
      <w:r w:rsidRPr="004B2AE8">
        <w:rPr>
          <w:rStyle w:val="FootnoteReference"/>
          <w:rFonts w:ascii="Times New Roman" w:hAnsi="Times New Roman"/>
          <w:sz w:val="24"/>
        </w:rPr>
        <w:footnoteReference w:id="122"/>
      </w:r>
      <w:r w:rsidRPr="004B2AE8">
        <w:rPr>
          <w:rFonts w:ascii="Times New Roman" w:hAnsi="Times New Roman"/>
          <w:i/>
          <w:iCs/>
        </w:rPr>
        <w:t xml:space="preserve"> </w:t>
      </w:r>
      <w:r w:rsidRPr="004B2AE8">
        <w:rPr>
          <w:rFonts w:ascii="Times New Roman" w:hAnsi="Times New Roman"/>
        </w:rPr>
        <w:t>most of the cases do not need to be understood as having misunderstood, and misapplied, the basic point being made by Smith J that these elements established a sufficient test for duress but not a necessary one.</w:t>
      </w:r>
    </w:p>
    <w:p w14:paraId="2ED3FC52"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Nevertheless, a basic misunderstanding, in the reasoning but not the result, occurred in </w:t>
      </w:r>
      <w:r w:rsidRPr="004B2AE8">
        <w:rPr>
          <w:rFonts w:ascii="Times New Roman" w:hAnsi="Times New Roman"/>
          <w:i/>
          <w:iCs/>
        </w:rPr>
        <w:t>R v Dawson</w:t>
      </w:r>
      <w:r w:rsidRPr="004B2AE8">
        <w:rPr>
          <w:rFonts w:ascii="Times New Roman" w:hAnsi="Times New Roman"/>
        </w:rPr>
        <w:t>,</w:t>
      </w:r>
      <w:r w:rsidRPr="004B2AE8">
        <w:rPr>
          <w:rStyle w:val="FootnoteReference"/>
          <w:rFonts w:ascii="Times New Roman" w:hAnsi="Times New Roman"/>
          <w:sz w:val="24"/>
        </w:rPr>
        <w:footnoteReference w:id="123"/>
      </w:r>
      <w:r w:rsidRPr="004B2AE8">
        <w:rPr>
          <w:rFonts w:ascii="Times New Roman" w:hAnsi="Times New Roman"/>
          <w:i/>
          <w:iCs/>
        </w:rPr>
        <w:t xml:space="preserve"> </w:t>
      </w:r>
      <w:r w:rsidRPr="004B2AE8">
        <w:rPr>
          <w:rFonts w:ascii="Times New Roman" w:hAnsi="Times New Roman"/>
        </w:rPr>
        <w:t xml:space="preserve">where a demand or direction to perform the charged act was treated as a necessary element of duress. In </w:t>
      </w:r>
      <w:r w:rsidRPr="004B2AE8">
        <w:rPr>
          <w:rFonts w:ascii="Times New Roman" w:hAnsi="Times New Roman"/>
          <w:i/>
          <w:iCs/>
        </w:rPr>
        <w:t>Dawson</w:t>
      </w:r>
      <w:r w:rsidRPr="004B2AE8">
        <w:rPr>
          <w:rFonts w:ascii="Times New Roman" w:hAnsi="Times New Roman"/>
        </w:rPr>
        <w:t xml:space="preserve">, the question for the Full Court of the Supreme Court of Victoria was whether the trial judge should have left a defence of duress to the jury in circumstances where the applicant gave evidence that his offence of escaping from prison was committed because he feared for his life due to threats made against him in prison. </w:t>
      </w:r>
    </w:p>
    <w:p w14:paraId="1583A1D8"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The Full Court correctly dismissed the application for leave to appeal. There was no foundation for the assertion that escape was the only reasonable alternative expected of the applicant to avoid a threat to the applicant's life. There "was no immediate threat, nothing imminent or impending, which left no alternative" to the applicant, and he could have reported the threat to the authorities.</w:t>
      </w:r>
      <w:r w:rsidRPr="004B2AE8">
        <w:rPr>
          <w:rStyle w:val="FootnoteReference"/>
          <w:rFonts w:ascii="Times New Roman" w:hAnsi="Times New Roman"/>
          <w:sz w:val="24"/>
        </w:rPr>
        <w:footnoteReference w:id="124"/>
      </w:r>
      <w:r w:rsidRPr="004B2AE8">
        <w:rPr>
          <w:rFonts w:ascii="Times New Roman" w:hAnsi="Times New Roman"/>
        </w:rPr>
        <w:t xml:space="preserve"> There was no suggestion that, like the situation in </w:t>
      </w:r>
      <w:r w:rsidRPr="004B2AE8">
        <w:rPr>
          <w:rFonts w:ascii="Times New Roman" w:hAnsi="Times New Roman"/>
          <w:i/>
          <w:iCs/>
        </w:rPr>
        <w:t>People v Harmon</w:t>
      </w:r>
      <w:r w:rsidRPr="004B2AE8">
        <w:rPr>
          <w:rFonts w:ascii="Times New Roman" w:hAnsi="Times New Roman"/>
        </w:rPr>
        <w:t>,</w:t>
      </w:r>
      <w:r w:rsidRPr="004B2AE8">
        <w:rPr>
          <w:rStyle w:val="FootnoteReference"/>
          <w:rFonts w:ascii="Times New Roman" w:hAnsi="Times New Roman"/>
          <w:sz w:val="24"/>
        </w:rPr>
        <w:footnoteReference w:id="125"/>
      </w:r>
      <w:r w:rsidRPr="004B2AE8">
        <w:rPr>
          <w:rFonts w:ascii="Times New Roman" w:hAnsi="Times New Roman"/>
          <w:i/>
          <w:iCs/>
        </w:rPr>
        <w:t xml:space="preserve"> </w:t>
      </w:r>
      <w:r w:rsidRPr="004B2AE8">
        <w:rPr>
          <w:rFonts w:ascii="Times New Roman" w:hAnsi="Times New Roman"/>
        </w:rPr>
        <w:t>where a defence of duress was held to be available, "the conditions of [the relevant] penal institutions have reached the point where the only recourse to free one's self from unwanted personal attacks is to flee".</w:t>
      </w:r>
      <w:r w:rsidRPr="004B2AE8">
        <w:rPr>
          <w:rStyle w:val="FootnoteReference"/>
          <w:rFonts w:ascii="Times New Roman" w:hAnsi="Times New Roman"/>
          <w:sz w:val="24"/>
        </w:rPr>
        <w:footnoteReference w:id="126"/>
      </w:r>
      <w:r w:rsidRPr="004B2AE8">
        <w:rPr>
          <w:rFonts w:ascii="Times New Roman" w:hAnsi="Times New Roman"/>
        </w:rPr>
        <w:t xml:space="preserve"> There was no "history of futile complaints to the authorities which made the results of any belated complaint illusory".</w:t>
      </w:r>
      <w:r w:rsidRPr="004B2AE8">
        <w:rPr>
          <w:rStyle w:val="FootnoteReference"/>
          <w:rFonts w:ascii="Times New Roman" w:hAnsi="Times New Roman"/>
          <w:sz w:val="24"/>
        </w:rPr>
        <w:footnoteReference w:id="127"/>
      </w:r>
      <w:r w:rsidRPr="004B2AE8">
        <w:rPr>
          <w:rFonts w:ascii="Times New Roman" w:hAnsi="Times New Roman"/>
        </w:rPr>
        <w:t xml:space="preserve"> Nor was it suggested that the circumstances were akin to those of "a prisoner with his back to the wall, facing a gang of fellow-inmates approaching him with drawn knives, who are making it very clear that they intend to kill him", in which case it has been said that the prisoner "might be expected to go over the wall rather than remain and be a martyr to the principle of prison discipline".</w:t>
      </w:r>
      <w:r w:rsidRPr="004B2AE8">
        <w:rPr>
          <w:rStyle w:val="FootnoteReference"/>
          <w:rFonts w:ascii="Times New Roman" w:hAnsi="Times New Roman"/>
          <w:sz w:val="24"/>
        </w:rPr>
        <w:footnoteReference w:id="128"/>
      </w:r>
    </w:p>
    <w:p w14:paraId="75E49CF4"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lastRenderedPageBreak/>
        <w:tab/>
        <w:t xml:space="preserve">Despite correctly dismissing the application for leave to appeal in </w:t>
      </w:r>
      <w:r w:rsidRPr="004B2AE8">
        <w:rPr>
          <w:rFonts w:ascii="Times New Roman" w:hAnsi="Times New Roman"/>
          <w:i/>
          <w:iCs/>
        </w:rPr>
        <w:t>Dawson</w:t>
      </w:r>
      <w:r w:rsidRPr="004B2AE8">
        <w:rPr>
          <w:rFonts w:ascii="Times New Roman" w:hAnsi="Times New Roman"/>
        </w:rPr>
        <w:t xml:space="preserve">, the reasons of each of Anderson J (with whom Starke J agreed) and Harris J appeared to treat the first element in </w:t>
      </w:r>
      <w:r w:rsidRPr="004B2AE8">
        <w:rPr>
          <w:rFonts w:ascii="Times New Roman" w:hAnsi="Times New Roman"/>
          <w:i/>
          <w:iCs/>
        </w:rPr>
        <w:t xml:space="preserve">Hurley </w:t>
      </w:r>
      <w:r w:rsidRPr="004B2AE8">
        <w:rPr>
          <w:rFonts w:ascii="Times New Roman" w:hAnsi="Times New Roman"/>
        </w:rPr>
        <w:t>as necessary for a defence of duress: without a demand or direction to perform the charged act, the defence could not be left to the jury.</w:t>
      </w:r>
      <w:r w:rsidRPr="004B2AE8">
        <w:rPr>
          <w:rStyle w:val="FootnoteReference"/>
          <w:rFonts w:ascii="Times New Roman" w:hAnsi="Times New Roman"/>
          <w:sz w:val="24"/>
        </w:rPr>
        <w:footnoteReference w:id="129"/>
      </w:r>
      <w:r w:rsidRPr="004B2AE8">
        <w:rPr>
          <w:rFonts w:ascii="Times New Roman" w:hAnsi="Times New Roman"/>
        </w:rPr>
        <w:t xml:space="preserve"> The misunderstanding by their Honours was ameliorated in part by Anderson J's recognition, under the description of "necessity", of an arguable defence where a threat by another left no reasonable alternative expected of the accused than for the accused to commit the charged act.</w:t>
      </w:r>
      <w:r w:rsidRPr="004B2AE8">
        <w:rPr>
          <w:rStyle w:val="FootnoteReference"/>
          <w:rFonts w:ascii="Times New Roman" w:hAnsi="Times New Roman"/>
          <w:sz w:val="24"/>
        </w:rPr>
        <w:footnoteReference w:id="130"/>
      </w:r>
      <w:r w:rsidRPr="004B2AE8">
        <w:rPr>
          <w:rFonts w:ascii="Times New Roman" w:hAnsi="Times New Roman"/>
        </w:rPr>
        <w:t xml:space="preserve"> Perhaps for this reason, decisions subsequent to </w:t>
      </w:r>
      <w:r w:rsidRPr="004B2AE8">
        <w:rPr>
          <w:rFonts w:ascii="Times New Roman" w:hAnsi="Times New Roman"/>
          <w:i/>
          <w:iCs/>
        </w:rPr>
        <w:t xml:space="preserve">Dawson </w:t>
      </w:r>
      <w:r w:rsidRPr="004B2AE8">
        <w:rPr>
          <w:rFonts w:ascii="Times New Roman" w:hAnsi="Times New Roman"/>
        </w:rPr>
        <w:t>have focused upon developing the defence of necessity in the absence of a demand or direction to perform the charged act, albeit with some confusion in those cases concerning the separate conceptions of necessity as a justification and as an excuse.</w:t>
      </w:r>
      <w:r w:rsidRPr="004B2AE8">
        <w:rPr>
          <w:rStyle w:val="FootnoteReference"/>
          <w:rFonts w:ascii="Times New Roman" w:hAnsi="Times New Roman"/>
          <w:sz w:val="24"/>
        </w:rPr>
        <w:footnoteReference w:id="131"/>
      </w:r>
    </w:p>
    <w:p w14:paraId="5E663367"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It would be more conducive to clear thinking if all instances where an excuse was based upon human threats were described as "duress". Ultimately, however, it may be no more than semantics if, in circumstances where it is open to conclude that a reasonable person in the position of, and with the general attributes of, the accused would have had no reasonable alternative expected of them other than to commit acts in the general nature of the charged acts: (i) one excuse of duress is left to the jury based upon human threats but not requiring a demand or direction to perform the charged act, or (ii) two excuses are left to the jury, with one described as duress and based upon human threats with a demand or direction to perform the charged act and another described as necessity with the same constraints as the excuse of duress and based upon the same human threats but without a demand or direction to perform the charged act. In this respect, I agree with the joint reasons</w:t>
      </w:r>
      <w:r w:rsidRPr="004B2AE8">
        <w:rPr>
          <w:rStyle w:val="FootnoteReference"/>
          <w:rFonts w:ascii="Times New Roman" w:hAnsi="Times New Roman"/>
          <w:sz w:val="24"/>
        </w:rPr>
        <w:footnoteReference w:id="132"/>
      </w:r>
      <w:r w:rsidRPr="004B2AE8">
        <w:rPr>
          <w:rFonts w:ascii="Times New Roman" w:hAnsi="Times New Roman"/>
        </w:rPr>
        <w:t xml:space="preserve"> that the "authoritative" nature of </w:t>
      </w:r>
      <w:r w:rsidRPr="004B2AE8">
        <w:rPr>
          <w:rFonts w:ascii="Times New Roman" w:hAnsi="Times New Roman"/>
          <w:i/>
          <w:iCs/>
        </w:rPr>
        <w:t xml:space="preserve">Hurley </w:t>
      </w:r>
      <w:r w:rsidRPr="004B2AE8">
        <w:rPr>
          <w:rFonts w:ascii="Times New Roman" w:hAnsi="Times New Roman"/>
        </w:rPr>
        <w:t xml:space="preserve">does not prescribe any form of jury direction. </w:t>
      </w:r>
    </w:p>
    <w:p w14:paraId="11CECC84" w14:textId="77777777" w:rsidR="003567D9" w:rsidRPr="004B2AE8" w:rsidRDefault="003567D9" w:rsidP="004B2AE8">
      <w:pPr>
        <w:pStyle w:val="HeadingL3"/>
        <w:spacing w:after="260" w:line="280" w:lineRule="exact"/>
        <w:ind w:right="0"/>
        <w:jc w:val="both"/>
        <w:rPr>
          <w:rFonts w:ascii="Times New Roman" w:hAnsi="Times New Roman"/>
        </w:rPr>
      </w:pPr>
      <w:r w:rsidRPr="004B2AE8">
        <w:rPr>
          <w:rFonts w:ascii="Times New Roman" w:hAnsi="Times New Roman"/>
        </w:rPr>
        <w:t>(3) A requirement for a demand or direction is contrary to basic principle</w:t>
      </w:r>
    </w:p>
    <w:p w14:paraId="45888C1D"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It would be contrary to basic principle for the common law to insist upon a demand or direction that the accused perform the particular act charged. Where an accused person is subjected to a human threat of serious physical harm or death, and the only reasonable option to avoid the threat is the commission of an act in the nature of the charged act, there is no principled basis for insisting that the threat be accompanied by a demand or direction that the particular act be performed. The </w:t>
      </w:r>
      <w:r w:rsidRPr="004B2AE8">
        <w:rPr>
          <w:rFonts w:ascii="Times New Roman" w:hAnsi="Times New Roman"/>
        </w:rPr>
        <w:lastRenderedPageBreak/>
        <w:t>absurdity of such a requirement might be illustrated by the following example given by Fairall and Barrett:</w:t>
      </w:r>
      <w:r w:rsidRPr="004B2AE8">
        <w:rPr>
          <w:rStyle w:val="FootnoteReference"/>
          <w:rFonts w:ascii="Times New Roman" w:hAnsi="Times New Roman"/>
          <w:sz w:val="24"/>
        </w:rPr>
        <w:footnoteReference w:id="133"/>
      </w:r>
      <w:r w:rsidRPr="004B2AE8">
        <w:rPr>
          <w:rFonts w:ascii="Times New Roman" w:hAnsi="Times New Roman"/>
        </w:rPr>
        <w:t xml:space="preserve">  </w:t>
      </w:r>
    </w:p>
    <w:p w14:paraId="22741C2A" w14:textId="77777777" w:rsidR="003567D9" w:rsidRPr="004B2AE8" w:rsidRDefault="003567D9" w:rsidP="004B2AE8">
      <w:pPr>
        <w:pStyle w:val="LeftrightafterHC"/>
        <w:spacing w:before="0" w:after="260" w:line="280" w:lineRule="exact"/>
        <w:ind w:right="0"/>
        <w:jc w:val="both"/>
        <w:rPr>
          <w:rFonts w:ascii="Times New Roman" w:hAnsi="Times New Roman"/>
        </w:rPr>
      </w:pPr>
      <w:r w:rsidRPr="004B2AE8">
        <w:rPr>
          <w:rFonts w:ascii="Times New Roman" w:hAnsi="Times New Roman"/>
        </w:rPr>
        <w:t>"</w:t>
      </w:r>
      <w:r w:rsidRPr="004B2AE8">
        <w:rPr>
          <w:rFonts w:ascii="Times New Roman" w:hAnsi="Times New Roman"/>
          <w:i/>
          <w:iCs/>
        </w:rPr>
        <w:t>Case 1</w:t>
      </w:r>
      <w:r w:rsidRPr="004B2AE8">
        <w:rPr>
          <w:rFonts w:ascii="Times New Roman" w:hAnsi="Times New Roman"/>
        </w:rPr>
        <w:t xml:space="preserve">: T tells D1, a prisoner, that unless D1 kills another prisoner he will be killed. </w:t>
      </w:r>
    </w:p>
    <w:p w14:paraId="5B6932C0" w14:textId="77777777" w:rsidR="003567D9" w:rsidRDefault="003567D9" w:rsidP="004B2AE8">
      <w:pPr>
        <w:pStyle w:val="leftright"/>
        <w:spacing w:before="0" w:after="260" w:line="280" w:lineRule="exact"/>
        <w:ind w:right="0"/>
        <w:jc w:val="both"/>
        <w:rPr>
          <w:rFonts w:ascii="Times New Roman" w:hAnsi="Times New Roman"/>
        </w:rPr>
      </w:pPr>
      <w:r w:rsidRPr="004B2AE8">
        <w:rPr>
          <w:rFonts w:ascii="Times New Roman" w:hAnsi="Times New Roman"/>
          <w:i/>
          <w:iCs/>
        </w:rPr>
        <w:t>Case 2</w:t>
      </w:r>
      <w:r w:rsidRPr="004B2AE8">
        <w:rPr>
          <w:rFonts w:ascii="Times New Roman" w:hAnsi="Times New Roman"/>
        </w:rPr>
        <w:t>: T tells D2, a prisoner, that unless D2 joins in a prison escape he will be killed."</w:t>
      </w:r>
    </w:p>
    <w:p w14:paraId="6DCCD221" w14:textId="77777777" w:rsidR="003567D9" w:rsidRPr="004B2AE8" w:rsidRDefault="003567D9" w:rsidP="004B2AE8">
      <w:pPr>
        <w:pStyle w:val="NormalBody"/>
        <w:spacing w:after="260" w:line="280" w:lineRule="exact"/>
        <w:ind w:right="0"/>
        <w:jc w:val="both"/>
        <w:rPr>
          <w:rFonts w:ascii="Times New Roman" w:hAnsi="Times New Roman"/>
        </w:rPr>
      </w:pPr>
      <w:r w:rsidRPr="004B2AE8">
        <w:rPr>
          <w:rFonts w:ascii="Times New Roman" w:hAnsi="Times New Roman"/>
        </w:rPr>
        <w:t xml:space="preserve">If it is assumed that the only reasonable alternative expected of both D1 and D2 is to escape from prison (an assumption which might often be factually questionable), then a requirement in every case for the existence of a demand or direction to perform acts in the general nature of the charged acts would mean that an excuse would be available to D2, who escaped to avoid death to himself, but not D1, who escaped to avoid death to himself or to another prisoner. This would be a surprising result. As will be seen below, the Victorian Parliament may have been aware of this potential absurdity when s 322O of the </w:t>
      </w:r>
      <w:r w:rsidRPr="004B2AE8">
        <w:rPr>
          <w:rFonts w:ascii="Times New Roman" w:hAnsi="Times New Roman"/>
          <w:i/>
          <w:iCs/>
        </w:rPr>
        <w:t xml:space="preserve">Crimes Act </w:t>
      </w:r>
      <w:r w:rsidRPr="004B2AE8">
        <w:rPr>
          <w:rFonts w:ascii="Times New Roman" w:hAnsi="Times New Roman"/>
        </w:rPr>
        <w:t>was drafted.</w:t>
      </w:r>
    </w:p>
    <w:p w14:paraId="65A628C8"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The example above demonstrates the grave difficulties with a requirement that the human threat must be accompanied by a demand or direction that the particular charged act be committed. It is also difficult to see the rationale for a requirement of a demand or direction that </w:t>
      </w:r>
      <w:r w:rsidRPr="004B2AE8">
        <w:rPr>
          <w:rFonts w:ascii="Times New Roman" w:hAnsi="Times New Roman"/>
          <w:i/>
          <w:iCs/>
        </w:rPr>
        <w:t>any</w:t>
      </w:r>
      <w:r w:rsidRPr="004B2AE8">
        <w:rPr>
          <w:rFonts w:ascii="Times New Roman" w:hAnsi="Times New Roman"/>
        </w:rPr>
        <w:t xml:space="preserve"> act be committed. A person who drives a car recklessly in order to escape from a gang of 20 to 30 people "who were obviously bent upon doing further violence" should have a defence of duress without the need for a demand or direction that the person drive away recklessly.</w:t>
      </w:r>
      <w:r w:rsidRPr="004B2AE8">
        <w:rPr>
          <w:rStyle w:val="FootnoteReference"/>
          <w:rFonts w:ascii="Times New Roman" w:hAnsi="Times New Roman"/>
          <w:sz w:val="24"/>
        </w:rPr>
        <w:footnoteReference w:id="134"/>
      </w:r>
      <w:r w:rsidRPr="004B2AE8">
        <w:rPr>
          <w:rFonts w:ascii="Times New Roman" w:hAnsi="Times New Roman"/>
        </w:rPr>
        <w:t xml:space="preserve"> There is no difference in principle between a threat of immediate death to the driver which can only be avoided by driving away and the same threat of immediate death that is accompanied by the words "unless you drive away".</w:t>
      </w:r>
    </w:p>
    <w:p w14:paraId="327776F8"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It is therefore unsurprising that the model defence of duress, formulated by the American Law Institute in §2.09 of the Model Penal Code, contains no requirement of a demand or direction. It is also unsurprising that it has been said that "[t]he requirement of a direction is merely a guideline to demonstrate how free will can be affected. Insistence upon this element is, therefore, without logical basis."</w:t>
      </w:r>
      <w:r w:rsidRPr="004B2AE8">
        <w:rPr>
          <w:rStyle w:val="FootnoteReference"/>
          <w:rFonts w:ascii="Times New Roman" w:hAnsi="Times New Roman"/>
          <w:sz w:val="24"/>
        </w:rPr>
        <w:footnoteReference w:id="135"/>
      </w:r>
      <w:r w:rsidRPr="004B2AE8">
        <w:rPr>
          <w:rFonts w:ascii="Times New Roman" w:hAnsi="Times New Roman"/>
        </w:rPr>
        <w:t xml:space="preserve"> </w:t>
      </w:r>
    </w:p>
    <w:p w14:paraId="2C1BDAAB"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It is, however, necessary to reiterate that, as Smith J contemplated in </w:t>
      </w:r>
      <w:r w:rsidRPr="004B2AE8">
        <w:rPr>
          <w:rFonts w:ascii="Times New Roman" w:hAnsi="Times New Roman"/>
          <w:i/>
          <w:iCs/>
        </w:rPr>
        <w:t>Hurley</w:t>
      </w:r>
      <w:r w:rsidRPr="004B2AE8">
        <w:rPr>
          <w:rFonts w:ascii="Times New Roman" w:hAnsi="Times New Roman"/>
        </w:rPr>
        <w:t xml:space="preserve">, in the usual case there will need to be a demand or direction. A threat of </w:t>
      </w:r>
      <w:r w:rsidRPr="004B2AE8">
        <w:rPr>
          <w:rFonts w:ascii="Times New Roman" w:hAnsi="Times New Roman"/>
        </w:rPr>
        <w:lastRenderedPageBreak/>
        <w:t>serious physical harm or death to a person will usually present a number of alternatives to avoid the threat, some of which may involve lawful conduct. Therefore, without a demand or direction to engage in conduct in the general nature of the offence charged, it may be difficult to establish that there was no reasonable alternative action. An evidentiary foundation for a demand or direction will thus usually be highly relevant to establishing the evidentiary foundation for the requirement for duress that a reasonable person in the position of, and with the general attributes of, the accused would have had no reasonable alternative expected of them other than to commit acts in the general nature of the charged acts.</w:t>
      </w:r>
    </w:p>
    <w:p w14:paraId="43A08C0A" w14:textId="77777777" w:rsidR="003567D9" w:rsidRPr="004B2AE8" w:rsidRDefault="003567D9" w:rsidP="004B2AE8">
      <w:pPr>
        <w:pStyle w:val="HeadingL2"/>
        <w:spacing w:after="260" w:line="280" w:lineRule="exact"/>
        <w:ind w:right="0"/>
        <w:jc w:val="both"/>
        <w:rPr>
          <w:rFonts w:ascii="Times New Roman" w:hAnsi="Times New Roman"/>
        </w:rPr>
      </w:pPr>
      <w:r w:rsidRPr="004B2AE8">
        <w:rPr>
          <w:rFonts w:ascii="Times New Roman" w:hAnsi="Times New Roman"/>
        </w:rPr>
        <w:t>A demand or direction is unnecessary under s 322O of the Crimes Act</w:t>
      </w:r>
    </w:p>
    <w:p w14:paraId="01294523"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From 1 November 2014, and therefore relevant only to count 13 in this case, concerning Ms Rowan's alleged offence against Alicia, s 322Q of the </w:t>
      </w:r>
      <w:r w:rsidRPr="004B2AE8">
        <w:rPr>
          <w:rFonts w:ascii="Times New Roman" w:hAnsi="Times New Roman"/>
          <w:i/>
          <w:iCs/>
        </w:rPr>
        <w:t xml:space="preserve">Crimes Act </w:t>
      </w:r>
      <w:r w:rsidRPr="004B2AE8">
        <w:rPr>
          <w:rFonts w:ascii="Times New Roman" w:hAnsi="Times New Roman"/>
        </w:rPr>
        <w:t>abolished the common law defence of duress in Victoria. The common law defence of duress was replaced with s 322O, which provides as follows:</w:t>
      </w:r>
    </w:p>
    <w:p w14:paraId="274DF99A" w14:textId="77777777" w:rsidR="003567D9" w:rsidRPr="004B2AE8" w:rsidRDefault="003567D9" w:rsidP="004B2AE8">
      <w:pPr>
        <w:pStyle w:val="LeftrightafterHC"/>
        <w:spacing w:before="0" w:after="260" w:line="280" w:lineRule="exact"/>
        <w:ind w:right="0"/>
        <w:jc w:val="both"/>
        <w:rPr>
          <w:rFonts w:ascii="Times New Roman" w:hAnsi="Times New Roman"/>
          <w:b/>
          <w:bCs/>
        </w:rPr>
      </w:pPr>
      <w:r w:rsidRPr="004B2AE8">
        <w:rPr>
          <w:rFonts w:ascii="Times New Roman" w:hAnsi="Times New Roman"/>
        </w:rPr>
        <w:t>"</w:t>
      </w:r>
      <w:r w:rsidRPr="004B2AE8">
        <w:rPr>
          <w:rFonts w:ascii="Times New Roman" w:hAnsi="Times New Roman"/>
          <w:b/>
          <w:bCs/>
        </w:rPr>
        <w:t>Duress</w:t>
      </w:r>
    </w:p>
    <w:p w14:paraId="756D5106" w14:textId="77777777" w:rsidR="003567D9" w:rsidRPr="004B2AE8" w:rsidRDefault="003567D9" w:rsidP="004B2AE8">
      <w:pPr>
        <w:pStyle w:val="LeftrightHanging"/>
        <w:spacing w:before="0" w:after="260" w:line="280" w:lineRule="exact"/>
        <w:ind w:right="0"/>
        <w:jc w:val="both"/>
        <w:rPr>
          <w:rFonts w:ascii="Times New Roman" w:hAnsi="Times New Roman"/>
        </w:rPr>
      </w:pPr>
      <w:r w:rsidRPr="004B2AE8">
        <w:rPr>
          <w:rFonts w:ascii="Times New Roman" w:hAnsi="Times New Roman"/>
        </w:rPr>
        <w:t>(1)</w:t>
      </w:r>
      <w:r w:rsidRPr="004B2AE8">
        <w:rPr>
          <w:rFonts w:ascii="Times New Roman" w:hAnsi="Times New Roman"/>
        </w:rPr>
        <w:tab/>
        <w:t xml:space="preserve">A person is not guilty of an offence in respect of conduct carried out by the person under duress. </w:t>
      </w:r>
    </w:p>
    <w:p w14:paraId="7DCA54D7" w14:textId="77777777" w:rsidR="003567D9" w:rsidRPr="004B2AE8" w:rsidRDefault="003567D9" w:rsidP="004B2AE8">
      <w:pPr>
        <w:pStyle w:val="leftright"/>
        <w:spacing w:before="0" w:after="260" w:line="280" w:lineRule="exact"/>
        <w:ind w:right="0"/>
        <w:jc w:val="both"/>
        <w:rPr>
          <w:rFonts w:ascii="Times New Roman" w:hAnsi="Times New Roman"/>
        </w:rPr>
      </w:pPr>
      <w:r w:rsidRPr="004B2AE8">
        <w:rPr>
          <w:rFonts w:ascii="Times New Roman" w:hAnsi="Times New Roman"/>
        </w:rPr>
        <w:t>(2)</w:t>
      </w:r>
      <w:r w:rsidRPr="004B2AE8">
        <w:rPr>
          <w:rFonts w:ascii="Times New Roman" w:hAnsi="Times New Roman"/>
        </w:rPr>
        <w:tab/>
        <w:t>A person carries out conduct under duress if—</w:t>
      </w:r>
      <w:r w:rsidRPr="004B2AE8" w:rsidDel="00F03038">
        <w:rPr>
          <w:rFonts w:ascii="Times New Roman" w:hAnsi="Times New Roman"/>
        </w:rPr>
        <w:t xml:space="preserve"> </w:t>
      </w:r>
    </w:p>
    <w:p w14:paraId="5625B5DD" w14:textId="77777777" w:rsidR="003567D9" w:rsidRPr="004B2AE8" w:rsidRDefault="003567D9" w:rsidP="004B2AE8">
      <w:pPr>
        <w:pStyle w:val="leftright"/>
        <w:spacing w:before="0" w:after="260" w:line="280" w:lineRule="exact"/>
        <w:ind w:right="0"/>
        <w:jc w:val="both"/>
        <w:rPr>
          <w:rFonts w:ascii="Times New Roman" w:hAnsi="Times New Roman"/>
        </w:rPr>
      </w:pPr>
      <w:r w:rsidRPr="004B2AE8">
        <w:rPr>
          <w:rFonts w:ascii="Times New Roman" w:hAnsi="Times New Roman"/>
        </w:rPr>
        <w:tab/>
        <w:t>(a)</w:t>
      </w:r>
      <w:r w:rsidRPr="004B2AE8">
        <w:rPr>
          <w:rFonts w:ascii="Times New Roman" w:hAnsi="Times New Roman"/>
        </w:rPr>
        <w:tab/>
        <w:t>the person reasonably believes that—</w:t>
      </w:r>
      <w:r w:rsidRPr="004B2AE8" w:rsidDel="00F03038">
        <w:rPr>
          <w:rFonts w:ascii="Times New Roman" w:hAnsi="Times New Roman"/>
        </w:rPr>
        <w:t xml:space="preserve"> </w:t>
      </w:r>
    </w:p>
    <w:p w14:paraId="7FBEBF90" w14:textId="77777777" w:rsidR="003567D9" w:rsidRPr="004B2AE8" w:rsidRDefault="003567D9" w:rsidP="004B2AE8">
      <w:pPr>
        <w:pStyle w:val="LRHangingMore"/>
        <w:spacing w:before="0" w:after="260" w:line="280" w:lineRule="exact"/>
        <w:ind w:left="2880" w:right="0" w:hanging="1440"/>
        <w:jc w:val="both"/>
        <w:rPr>
          <w:rFonts w:ascii="Times New Roman" w:hAnsi="Times New Roman"/>
        </w:rPr>
      </w:pPr>
      <w:r w:rsidRPr="004B2AE8">
        <w:rPr>
          <w:rFonts w:ascii="Times New Roman" w:hAnsi="Times New Roman"/>
        </w:rPr>
        <w:tab/>
        <w:t>(i)</w:t>
      </w:r>
      <w:r w:rsidRPr="004B2AE8">
        <w:rPr>
          <w:rFonts w:ascii="Times New Roman" w:hAnsi="Times New Roman"/>
        </w:rPr>
        <w:tab/>
        <w:t xml:space="preserve">subject to subsection (3), a threat of harm has been made that will be carried out unless an offence is committed; and </w:t>
      </w:r>
    </w:p>
    <w:p w14:paraId="53C8072D" w14:textId="77777777" w:rsidR="003567D9" w:rsidRPr="004B2AE8" w:rsidRDefault="003567D9" w:rsidP="004B2AE8">
      <w:pPr>
        <w:pStyle w:val="LRHangingMore"/>
        <w:spacing w:before="0" w:after="260" w:line="280" w:lineRule="exact"/>
        <w:ind w:left="2880" w:right="0" w:hanging="1440"/>
        <w:jc w:val="both"/>
        <w:rPr>
          <w:rFonts w:ascii="Times New Roman" w:hAnsi="Times New Roman"/>
        </w:rPr>
      </w:pPr>
      <w:r w:rsidRPr="004B2AE8">
        <w:rPr>
          <w:rFonts w:ascii="Times New Roman" w:hAnsi="Times New Roman"/>
        </w:rPr>
        <w:tab/>
        <w:t>(ii)</w:t>
      </w:r>
      <w:r w:rsidRPr="004B2AE8">
        <w:rPr>
          <w:rFonts w:ascii="Times New Roman" w:hAnsi="Times New Roman"/>
        </w:rPr>
        <w:tab/>
        <w:t xml:space="preserve">carrying out the conduct is the only reasonable way that the threatened harm can be avoided; and </w:t>
      </w:r>
    </w:p>
    <w:p w14:paraId="3BC81999" w14:textId="77777777" w:rsidR="003567D9" w:rsidRPr="004B2AE8" w:rsidRDefault="003567D9" w:rsidP="004B2AE8">
      <w:pPr>
        <w:pStyle w:val="LeftrightHanging"/>
        <w:spacing w:before="0" w:after="260" w:line="280" w:lineRule="exact"/>
        <w:ind w:left="2160" w:right="0" w:hanging="1440"/>
        <w:jc w:val="both"/>
        <w:rPr>
          <w:rFonts w:ascii="Times New Roman" w:hAnsi="Times New Roman"/>
        </w:rPr>
      </w:pPr>
      <w:r w:rsidRPr="004B2AE8">
        <w:rPr>
          <w:rFonts w:ascii="Times New Roman" w:hAnsi="Times New Roman"/>
        </w:rPr>
        <w:tab/>
        <w:t>(b)</w:t>
      </w:r>
      <w:r w:rsidRPr="004B2AE8">
        <w:rPr>
          <w:rFonts w:ascii="Times New Roman" w:hAnsi="Times New Roman"/>
        </w:rPr>
        <w:tab/>
        <w:t xml:space="preserve">the conduct is a reasonable response to the threat. </w:t>
      </w:r>
    </w:p>
    <w:p w14:paraId="068ACAAB" w14:textId="77777777" w:rsidR="003567D9" w:rsidRPr="004B2AE8" w:rsidRDefault="003567D9" w:rsidP="004B2AE8">
      <w:pPr>
        <w:pStyle w:val="LeftrightHanging"/>
        <w:spacing w:before="0" w:after="260" w:line="280" w:lineRule="exact"/>
        <w:ind w:right="0"/>
        <w:jc w:val="both"/>
        <w:rPr>
          <w:rFonts w:ascii="Times New Roman" w:hAnsi="Times New Roman"/>
        </w:rPr>
      </w:pPr>
      <w:r w:rsidRPr="004B2AE8">
        <w:rPr>
          <w:rFonts w:ascii="Times New Roman" w:hAnsi="Times New Roman"/>
        </w:rPr>
        <w:t>(3)</w:t>
      </w:r>
      <w:r w:rsidRPr="004B2AE8">
        <w:rPr>
          <w:rFonts w:ascii="Times New Roman" w:hAnsi="Times New Roman"/>
        </w:rPr>
        <w:tab/>
        <w:t xml:space="preserve">A person does not carry out conduct under duress if the threat is made by or on behalf of a person with whom the person is voluntarily associating for the purpose of carrying out violent conduct. </w:t>
      </w:r>
    </w:p>
    <w:p w14:paraId="158DAB8F" w14:textId="77777777" w:rsidR="003567D9" w:rsidRDefault="003567D9" w:rsidP="004B2AE8">
      <w:pPr>
        <w:pStyle w:val="LeftrightHanging"/>
        <w:spacing w:before="0" w:after="260" w:line="280" w:lineRule="exact"/>
        <w:ind w:right="0"/>
        <w:jc w:val="both"/>
        <w:rPr>
          <w:rFonts w:ascii="Times New Roman" w:hAnsi="Times New Roman"/>
        </w:rPr>
      </w:pPr>
      <w:r w:rsidRPr="004B2AE8">
        <w:rPr>
          <w:rFonts w:ascii="Times New Roman" w:hAnsi="Times New Roman"/>
        </w:rPr>
        <w:t>(4)</w:t>
      </w:r>
      <w:r w:rsidRPr="004B2AE8">
        <w:rPr>
          <w:rFonts w:ascii="Times New Roman" w:hAnsi="Times New Roman"/>
        </w:rPr>
        <w:tab/>
        <w:t>This section only applies in the case of murder if the person believes that the threat is to inflict death or really serious injury."</w:t>
      </w:r>
    </w:p>
    <w:p w14:paraId="76FB5195"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 xml:space="preserve">Perhaps with an eye to the potential absurdities in insisting upon a requirement that a human threat be accompanied by a demand or direction to perform the particular charged act, s 322O(2) requires a human threat of harm but contains no requirement of any express or implied demand or direction that the </w:t>
      </w:r>
      <w:r w:rsidRPr="004B2AE8">
        <w:rPr>
          <w:rFonts w:ascii="Times New Roman" w:hAnsi="Times New Roman"/>
        </w:rPr>
        <w:lastRenderedPageBreak/>
        <w:t>charged act must be committed in order to avoid the harm. The offender must reasonably believe that the threat of harm "will be carried out unless an offence is committed" but nothing in the text or purpose of s 322O(2) requires that the threat itself must be accompanied by a demand or direction to carry out the offence. For instance, if driving a car recklessly is the only reasonable way to avoid another's threat to kill the driver then s 322O(2) will be satisfied if the driver reasonably believes that they will be killed unless they drive recklessly. Neither the text nor the purpose of s 322O(2) supports any implication of an anomalous requirement in those circumstances that the threat of death be accompanied by a demand or direction to drive recklessly.</w:t>
      </w:r>
    </w:p>
    <w:p w14:paraId="2275A9A8" w14:textId="77777777" w:rsidR="003567D9" w:rsidRPr="004B2AE8" w:rsidRDefault="003567D9" w:rsidP="004B2AE8">
      <w:pPr>
        <w:pStyle w:val="HeadingL1"/>
        <w:spacing w:after="260" w:line="280" w:lineRule="exact"/>
        <w:ind w:right="0"/>
        <w:jc w:val="both"/>
        <w:rPr>
          <w:rFonts w:ascii="Times New Roman" w:hAnsi="Times New Roman"/>
        </w:rPr>
      </w:pPr>
      <w:r w:rsidRPr="004B2AE8">
        <w:rPr>
          <w:rFonts w:ascii="Times New Roman" w:hAnsi="Times New Roman"/>
        </w:rPr>
        <w:t>Conclusion</w:t>
      </w:r>
    </w:p>
    <w:p w14:paraId="16FA547F"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At common law, an accused bears the evidentiary onus of establishing a foundation upon which it would be open for the jury to accept an excuse of duress, following which the Crown must negate that excuse beyond reasonable doubt.</w:t>
      </w:r>
      <w:r w:rsidRPr="004B2AE8">
        <w:rPr>
          <w:rStyle w:val="FootnoteReference"/>
          <w:rFonts w:ascii="Times New Roman" w:hAnsi="Times New Roman"/>
          <w:sz w:val="24"/>
        </w:rPr>
        <w:footnoteReference w:id="136"/>
      </w:r>
      <w:r w:rsidRPr="004B2AE8">
        <w:rPr>
          <w:rFonts w:ascii="Times New Roman" w:hAnsi="Times New Roman"/>
        </w:rPr>
        <w:t xml:space="preserve"> The same is true for the excuse of duress under s 322O of the </w:t>
      </w:r>
      <w:r w:rsidRPr="004B2AE8">
        <w:rPr>
          <w:rFonts w:ascii="Times New Roman" w:hAnsi="Times New Roman"/>
          <w:i/>
          <w:iCs/>
        </w:rPr>
        <w:t>Crimes Act.</w:t>
      </w:r>
      <w:r w:rsidRPr="004B2AE8">
        <w:rPr>
          <w:rStyle w:val="FootnoteReference"/>
          <w:rFonts w:ascii="Times New Roman" w:hAnsi="Times New Roman"/>
          <w:sz w:val="24"/>
        </w:rPr>
        <w:footnoteReference w:id="137"/>
      </w:r>
      <w:r w:rsidRPr="004B2AE8">
        <w:rPr>
          <w:rFonts w:ascii="Times New Roman" w:hAnsi="Times New Roman"/>
          <w:i/>
          <w:iCs/>
        </w:rPr>
        <w:t xml:space="preserve"> </w:t>
      </w:r>
    </w:p>
    <w:p w14:paraId="1C884409"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There was a foundation in the evidence of Paige and Alicia that was sufficient for the excuse of duress to be left to the jury as a common law defence and, in relation to count 13, as a defence under s 322O. In particular, there was an evidentiary foundation of threats by JR of serious bodily harm. It can be accepted that there was no clear evidentiary foundation in respect of some counts for an implied demand or direction by JR that Ms Rowan commit the acts with which she was charged. But when the role of a demand or direction is understood, there was a sufficient evidentiary foundation for the jury to be required to consider whether the Crown had established that Ms Rowan had a reasonable alternative that was expected of her or whether, in the language of s 322O, carrying out the charged acts was not the only reasonable way for Ms Rowan to avoid the threats.</w:t>
      </w:r>
    </w:p>
    <w:p w14:paraId="32A6D414" w14:textId="77777777" w:rsidR="003567D9" w:rsidRPr="004B2AE8" w:rsidRDefault="003567D9" w:rsidP="003567D9">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rPr>
        <w:tab/>
        <w:t>For these reasons, having regard to the evidence raised at the trial and the manner in which the Crown and Ms Rowan conducted their cases, there were no "good reasons" for the trial judge not to give a direction to the jury concerning the excuse of duress.</w:t>
      </w:r>
      <w:r w:rsidRPr="004B2AE8">
        <w:rPr>
          <w:rStyle w:val="FootnoteReference"/>
          <w:rFonts w:ascii="Times New Roman" w:hAnsi="Times New Roman"/>
          <w:sz w:val="24"/>
        </w:rPr>
        <w:footnoteReference w:id="138"/>
      </w:r>
      <w:r w:rsidRPr="004B2AE8">
        <w:rPr>
          <w:rFonts w:ascii="Times New Roman" w:hAnsi="Times New Roman"/>
        </w:rPr>
        <w:t xml:space="preserve">  </w:t>
      </w:r>
    </w:p>
    <w:p w14:paraId="4875BABE" w14:textId="77777777" w:rsidR="00B93F98" w:rsidRDefault="003567D9" w:rsidP="00A2672B">
      <w:pPr>
        <w:pStyle w:val="FixListStyle"/>
        <w:numPr>
          <w:ilvl w:val="0"/>
          <w:numId w:val="18"/>
        </w:numPr>
        <w:spacing w:after="260" w:line="280" w:lineRule="exact"/>
        <w:ind w:left="0" w:right="0" w:hanging="720"/>
        <w:jc w:val="both"/>
        <w:rPr>
          <w:rFonts w:ascii="Times New Roman" w:hAnsi="Times New Roman"/>
        </w:rPr>
      </w:pPr>
      <w:r w:rsidRPr="004B2AE8">
        <w:rPr>
          <w:rFonts w:ascii="Times New Roman" w:hAnsi="Times New Roman"/>
          <w:i/>
          <w:iCs/>
        </w:rPr>
        <w:tab/>
      </w:r>
      <w:r w:rsidRPr="004B2AE8">
        <w:rPr>
          <w:rFonts w:ascii="Times New Roman" w:hAnsi="Times New Roman"/>
        </w:rPr>
        <w:t xml:space="preserve">The appeal should be dismissed. </w:t>
      </w:r>
    </w:p>
    <w:p w14:paraId="07660869" w14:textId="77777777" w:rsidR="00B93F98" w:rsidRDefault="00B93F98" w:rsidP="00A2672B">
      <w:pPr>
        <w:pStyle w:val="FixListStyle"/>
        <w:numPr>
          <w:ilvl w:val="0"/>
          <w:numId w:val="18"/>
        </w:numPr>
        <w:spacing w:after="260" w:line="280" w:lineRule="exact"/>
        <w:ind w:left="0" w:right="0" w:hanging="720"/>
        <w:jc w:val="both"/>
        <w:rPr>
          <w:rFonts w:ascii="Times New Roman" w:hAnsi="Times New Roman"/>
        </w:rPr>
        <w:sectPr w:rsidR="00B93F98" w:rsidSect="00A2672B">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AA8C406" w14:textId="3744FDE1" w:rsidR="00A73989" w:rsidRPr="00A2672B" w:rsidRDefault="00A73989" w:rsidP="00B93F98">
      <w:pPr>
        <w:pStyle w:val="NormalBody"/>
      </w:pPr>
    </w:p>
    <w:sectPr w:rsidR="00A73989" w:rsidRPr="00A2672B" w:rsidSect="00A2672B">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A121" w14:textId="77777777" w:rsidR="00E67C1E" w:rsidRDefault="00E67C1E">
      <w:pPr>
        <w:spacing w:line="240" w:lineRule="auto"/>
      </w:pPr>
      <w:r>
        <w:separator/>
      </w:r>
    </w:p>
  </w:endnote>
  <w:endnote w:type="continuationSeparator" w:id="0">
    <w:p w14:paraId="77917838" w14:textId="77777777" w:rsidR="00E67C1E" w:rsidRDefault="00E67C1E">
      <w:pPr>
        <w:spacing w:line="240" w:lineRule="auto"/>
      </w:pPr>
      <w:r>
        <w:continuationSeparator/>
      </w:r>
    </w:p>
  </w:endnote>
  <w:endnote w:type="continuationNotice" w:id="1">
    <w:p w14:paraId="6B5AF1F4" w14:textId="77777777" w:rsidR="00E67C1E" w:rsidRDefault="00E67C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20B4" w14:textId="77777777" w:rsidR="005F2362" w:rsidRDefault="005F2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5121" w14:textId="77777777" w:rsidR="005F2362" w:rsidRDefault="005F2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2680" w14:textId="77777777" w:rsidR="005F2362" w:rsidRDefault="005F23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2CA9" w14:textId="77777777" w:rsidR="005F2362" w:rsidRDefault="005F23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E1C5" w14:textId="77777777" w:rsidR="005F2362" w:rsidRDefault="005F23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29A0" w14:textId="77777777" w:rsidR="005F2362" w:rsidRDefault="005F2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5751" w14:textId="77777777" w:rsidR="00E67C1E" w:rsidRPr="00F90E7C" w:rsidRDefault="00E67C1E" w:rsidP="00F90E7C">
      <w:pPr>
        <w:pStyle w:val="Footer"/>
        <w:spacing w:before="120" w:after="20"/>
        <w:ind w:right="0"/>
        <w:rPr>
          <w:rFonts w:ascii="Times New Roman" w:hAnsi="Times New Roman"/>
        </w:rPr>
      </w:pPr>
      <w:r>
        <w:continuationSeparator/>
      </w:r>
    </w:p>
  </w:footnote>
  <w:footnote w:type="continuationSeparator" w:id="0">
    <w:p w14:paraId="085A9AD3" w14:textId="77777777" w:rsidR="00E67C1E" w:rsidRPr="00F90E7C" w:rsidRDefault="00E67C1E" w:rsidP="00F90E7C">
      <w:pPr>
        <w:pStyle w:val="Footer"/>
        <w:spacing w:before="120" w:after="20"/>
        <w:ind w:right="0"/>
        <w:rPr>
          <w:rFonts w:ascii="Times New Roman" w:hAnsi="Times New Roman"/>
        </w:rPr>
      </w:pPr>
      <w:r w:rsidRPr="00F90E7C">
        <w:rPr>
          <w:rFonts w:ascii="Times New Roman" w:hAnsi="Times New Roman"/>
        </w:rPr>
        <w:continuationSeparator/>
      </w:r>
    </w:p>
  </w:footnote>
  <w:footnote w:type="continuationNotice" w:id="1">
    <w:p w14:paraId="65E4C667" w14:textId="77777777" w:rsidR="00E67C1E" w:rsidRPr="00A2672B" w:rsidRDefault="00E67C1E">
      <w:pPr>
        <w:jc w:val="right"/>
        <w:rPr>
          <w:rFonts w:ascii="Times New Roman" w:hAnsi="Times New Roman"/>
          <w:sz w:val="24"/>
        </w:rPr>
      </w:pPr>
    </w:p>
  </w:footnote>
  <w:footnote w:id="2">
    <w:p w14:paraId="65479862" w14:textId="03A49F9E" w:rsidR="00562D00" w:rsidRPr="00F90E7C" w:rsidRDefault="00562D00" w:rsidP="00F90E7C">
      <w:pPr>
        <w:pStyle w:val="FootnoteText"/>
        <w:spacing w:line="280" w:lineRule="exact"/>
        <w:ind w:right="0"/>
        <w:jc w:val="both"/>
        <w:rPr>
          <w:rFonts w:ascii="Times New Roman" w:hAnsi="Times New Roman"/>
          <w:sz w:val="24"/>
          <w:lang w:val="en-US"/>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lang w:val="en-US"/>
        </w:rPr>
        <w:tab/>
      </w:r>
      <w:r w:rsidRPr="00F90E7C">
        <w:rPr>
          <w:rFonts w:ascii="Times New Roman" w:hAnsi="Times New Roman"/>
          <w:sz w:val="24"/>
        </w:rPr>
        <w:t>As in force from 1 November 2014</w:t>
      </w:r>
      <w:r w:rsidR="00226F16" w:rsidRPr="00F90E7C">
        <w:rPr>
          <w:rFonts w:ascii="Times New Roman" w:hAnsi="Times New Roman"/>
          <w:sz w:val="24"/>
        </w:rPr>
        <w:t>.</w:t>
      </w:r>
    </w:p>
  </w:footnote>
  <w:footnote w:id="3">
    <w:p w14:paraId="06ADD886"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 xml:space="preserve">See </w:t>
      </w:r>
      <w:r w:rsidRPr="00F90E7C">
        <w:rPr>
          <w:rFonts w:ascii="Times New Roman" w:hAnsi="Times New Roman"/>
          <w:i/>
          <w:iCs/>
          <w:sz w:val="24"/>
        </w:rPr>
        <w:t>R v Hurley</w:t>
      </w:r>
      <w:r w:rsidRPr="00F90E7C">
        <w:rPr>
          <w:rFonts w:ascii="Times New Roman" w:hAnsi="Times New Roman"/>
          <w:sz w:val="24"/>
        </w:rPr>
        <w:t xml:space="preserve"> [1967] VR 526 at 543 per Smith J.</w:t>
      </w:r>
    </w:p>
  </w:footnote>
  <w:footnote w:id="4">
    <w:p w14:paraId="565835E4" w14:textId="6392999A" w:rsidR="00562D00" w:rsidRPr="00F90E7C" w:rsidRDefault="00562D00" w:rsidP="00F90E7C">
      <w:pPr>
        <w:pStyle w:val="FootnoteText"/>
        <w:spacing w:line="280" w:lineRule="exact"/>
        <w:ind w:right="0"/>
        <w:jc w:val="both"/>
        <w:rPr>
          <w:rFonts w:ascii="Times New Roman" w:hAnsi="Times New Roman"/>
          <w:sz w:val="24"/>
          <w:lang w:val="en-US"/>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lang w:val="en-US"/>
        </w:rPr>
        <w:tab/>
      </w:r>
      <w:r w:rsidRPr="00F90E7C">
        <w:rPr>
          <w:rFonts w:ascii="Times New Roman" w:hAnsi="Times New Roman"/>
          <w:i/>
          <w:iCs/>
          <w:sz w:val="24"/>
        </w:rPr>
        <w:t>R v Martin</w:t>
      </w:r>
      <w:r w:rsidRPr="00F90E7C">
        <w:rPr>
          <w:rFonts w:ascii="Times New Roman" w:hAnsi="Times New Roman"/>
          <w:sz w:val="24"/>
        </w:rPr>
        <w:t xml:space="preserve"> [1989] 1 All ER 652 at 653 per Simon Brown J</w:t>
      </w:r>
      <w:r w:rsidR="00882FFC" w:rsidRPr="00F90E7C">
        <w:rPr>
          <w:rFonts w:ascii="Times New Roman" w:hAnsi="Times New Roman"/>
          <w:sz w:val="24"/>
        </w:rPr>
        <w:t xml:space="preserve">; </w:t>
      </w:r>
      <w:r w:rsidR="00882FFC" w:rsidRPr="00F90E7C">
        <w:rPr>
          <w:rFonts w:ascii="Times New Roman" w:hAnsi="Times New Roman"/>
          <w:i/>
          <w:iCs/>
          <w:sz w:val="24"/>
          <w:lang w:val="en-US"/>
        </w:rPr>
        <w:t xml:space="preserve">R v Abdul-Hussain </w:t>
      </w:r>
      <w:r w:rsidR="00882FFC" w:rsidRPr="00F90E7C">
        <w:rPr>
          <w:rFonts w:ascii="Times New Roman" w:hAnsi="Times New Roman"/>
          <w:sz w:val="24"/>
          <w:lang w:val="en-US"/>
        </w:rPr>
        <w:t>[1998] EWCA Crim 3528</w:t>
      </w:r>
      <w:r w:rsidR="00075C17" w:rsidRPr="00F90E7C">
        <w:rPr>
          <w:rFonts w:ascii="Times New Roman" w:hAnsi="Times New Roman"/>
          <w:sz w:val="24"/>
          <w:lang w:val="en-US"/>
        </w:rPr>
        <w:t xml:space="preserve"> at 12-13 per Rose LJ</w:t>
      </w:r>
      <w:r w:rsidRPr="00F90E7C">
        <w:rPr>
          <w:rFonts w:ascii="Times New Roman" w:hAnsi="Times New Roman"/>
          <w:sz w:val="24"/>
          <w:lang w:val="en-US"/>
        </w:rPr>
        <w:t>.</w:t>
      </w:r>
    </w:p>
  </w:footnote>
  <w:footnote w:id="5">
    <w:p w14:paraId="2433CD11" w14:textId="646661E2" w:rsidR="00562D00" w:rsidRPr="00F90E7C" w:rsidRDefault="00562D00" w:rsidP="00F90E7C">
      <w:pPr>
        <w:pStyle w:val="FootnoteText"/>
        <w:spacing w:line="280" w:lineRule="exact"/>
        <w:ind w:right="0"/>
        <w:jc w:val="both"/>
        <w:rPr>
          <w:rFonts w:ascii="Times New Roman" w:hAnsi="Times New Roman"/>
          <w:sz w:val="24"/>
          <w:lang w:val="en-US"/>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lang w:val="en-US"/>
        </w:rPr>
        <w:tab/>
      </w:r>
      <w:r w:rsidRPr="00F90E7C">
        <w:rPr>
          <w:rFonts w:ascii="Times New Roman" w:hAnsi="Times New Roman"/>
          <w:sz w:val="24"/>
        </w:rPr>
        <w:t>[1967] VR 526.</w:t>
      </w:r>
    </w:p>
  </w:footnote>
  <w:footnote w:id="6">
    <w:p w14:paraId="6AA5C942"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All of the names in this judgment are pseudonyms. The initials of the respondent's partner are not "JR".</w:t>
      </w:r>
    </w:p>
  </w:footnote>
  <w:footnote w:id="7">
    <w:p w14:paraId="7526D099"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Anna Rowan (a pseudonym) v The King</w:t>
      </w:r>
      <w:r w:rsidRPr="00F90E7C">
        <w:rPr>
          <w:rFonts w:ascii="Times New Roman" w:hAnsi="Times New Roman"/>
          <w:sz w:val="24"/>
        </w:rPr>
        <w:t xml:space="preserve"> </w:t>
      </w:r>
      <w:bookmarkStart w:id="0" w:name="_Hlk152163657"/>
      <w:r w:rsidRPr="00F90E7C">
        <w:rPr>
          <w:rFonts w:ascii="Times New Roman" w:hAnsi="Times New Roman"/>
          <w:sz w:val="24"/>
        </w:rPr>
        <w:t xml:space="preserve">[2022] VSCA 236 </w:t>
      </w:r>
      <w:bookmarkEnd w:id="0"/>
      <w:r w:rsidRPr="00F90E7C">
        <w:rPr>
          <w:rFonts w:ascii="Times New Roman" w:hAnsi="Times New Roman"/>
          <w:sz w:val="24"/>
        </w:rPr>
        <w:t>("</w:t>
      </w:r>
      <w:r w:rsidRPr="00F90E7C">
        <w:rPr>
          <w:rFonts w:ascii="Times New Roman" w:hAnsi="Times New Roman"/>
          <w:i/>
          <w:iCs/>
          <w:sz w:val="24"/>
        </w:rPr>
        <w:t>Rowan</w:t>
      </w:r>
      <w:r w:rsidRPr="00F90E7C">
        <w:rPr>
          <w:rFonts w:ascii="Times New Roman" w:hAnsi="Times New Roman"/>
          <w:sz w:val="24"/>
        </w:rPr>
        <w:t>") at [10] per Kyrou and Niall JJA.</w:t>
      </w:r>
    </w:p>
  </w:footnote>
  <w:footnote w:id="8">
    <w:p w14:paraId="6D1D85CD"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 xml:space="preserve">DPP v Rowan (a pseudonym) </w:t>
      </w:r>
      <w:r w:rsidRPr="00F90E7C">
        <w:rPr>
          <w:rFonts w:ascii="Times New Roman" w:hAnsi="Times New Roman"/>
          <w:sz w:val="24"/>
        </w:rPr>
        <w:t>[2020] VCC 360 at [32]-[33] per Judge Lyon.</w:t>
      </w:r>
    </w:p>
  </w:footnote>
  <w:footnote w:id="9">
    <w:p w14:paraId="20A2EC01"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DPP v Rowan (a pseudonym)</w:t>
      </w:r>
      <w:r w:rsidRPr="00F90E7C">
        <w:rPr>
          <w:rFonts w:ascii="Times New Roman" w:hAnsi="Times New Roman"/>
          <w:sz w:val="24"/>
        </w:rPr>
        <w:t xml:space="preserve"> [2021] VCC 1135 at [68] per Judge Lyon.</w:t>
      </w:r>
    </w:p>
  </w:footnote>
  <w:footnote w:id="10">
    <w:p w14:paraId="2544B6CF"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Criminal Procedure Act 2009</w:t>
      </w:r>
      <w:r w:rsidRPr="00F90E7C">
        <w:rPr>
          <w:rFonts w:ascii="Times New Roman" w:hAnsi="Times New Roman"/>
          <w:sz w:val="24"/>
        </w:rPr>
        <w:t xml:space="preserve"> (Vic) ("CPA"), s 276(1)(b).</w:t>
      </w:r>
    </w:p>
  </w:footnote>
  <w:footnote w:id="11">
    <w:p w14:paraId="5825F1DF"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 xml:space="preserve">Rowan </w:t>
      </w:r>
      <w:r w:rsidRPr="00F90E7C">
        <w:rPr>
          <w:rFonts w:ascii="Times New Roman" w:hAnsi="Times New Roman"/>
          <w:sz w:val="24"/>
        </w:rPr>
        <w:t>[2022] VSCA 236.</w:t>
      </w:r>
    </w:p>
  </w:footnote>
  <w:footnote w:id="12">
    <w:p w14:paraId="42BCED93"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Crimes Act 1958</w:t>
      </w:r>
      <w:r w:rsidRPr="00F90E7C">
        <w:rPr>
          <w:rFonts w:ascii="Times New Roman" w:hAnsi="Times New Roman"/>
          <w:sz w:val="24"/>
        </w:rPr>
        <w:t xml:space="preserve"> (Vic), s 47(1).</w:t>
      </w:r>
    </w:p>
  </w:footnote>
  <w:footnote w:id="13">
    <w:p w14:paraId="64F2FA04"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Crimes Act</w:t>
      </w:r>
      <w:r w:rsidRPr="00F90E7C">
        <w:rPr>
          <w:rFonts w:ascii="Times New Roman" w:hAnsi="Times New Roman"/>
          <w:sz w:val="24"/>
        </w:rPr>
        <w:t>, s 44(1).</w:t>
      </w:r>
    </w:p>
  </w:footnote>
  <w:footnote w:id="14">
    <w:p w14:paraId="586E4E95" w14:textId="77777777" w:rsidR="00562D00" w:rsidRPr="00F90E7C" w:rsidRDefault="00562D00" w:rsidP="00F90E7C">
      <w:pPr>
        <w:pStyle w:val="FootnoteText"/>
        <w:spacing w:line="280" w:lineRule="exact"/>
        <w:ind w:right="0"/>
        <w:jc w:val="both"/>
        <w:rPr>
          <w:rFonts w:ascii="Times New Roman" w:hAnsi="Times New Roman"/>
          <w:b/>
          <w:bCs/>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Crimes Act</w:t>
      </w:r>
      <w:r w:rsidRPr="00F90E7C">
        <w:rPr>
          <w:rFonts w:ascii="Times New Roman" w:hAnsi="Times New Roman"/>
          <w:sz w:val="24"/>
        </w:rPr>
        <w:t>, s 44(1).</w:t>
      </w:r>
      <w:r w:rsidRPr="00F90E7C">
        <w:rPr>
          <w:rFonts w:ascii="Times New Roman" w:hAnsi="Times New Roman"/>
          <w:i/>
          <w:iCs/>
          <w:sz w:val="24"/>
        </w:rPr>
        <w:t xml:space="preserve"> </w:t>
      </w:r>
    </w:p>
  </w:footnote>
  <w:footnote w:id="15">
    <w:p w14:paraId="1AC98FE2" w14:textId="31E52963" w:rsidR="00562D00" w:rsidRPr="00F90E7C" w:rsidRDefault="00562D00" w:rsidP="00F90E7C">
      <w:pPr>
        <w:pStyle w:val="FootnoteText"/>
        <w:spacing w:line="280" w:lineRule="exact"/>
        <w:ind w:right="0"/>
        <w:jc w:val="both"/>
        <w:rPr>
          <w:rFonts w:ascii="Times New Roman" w:hAnsi="Times New Roman"/>
          <w:b/>
          <w:bCs/>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This Court was</w:t>
      </w:r>
      <w:r w:rsidRPr="00F90E7C" w:rsidDel="00C15785">
        <w:rPr>
          <w:rFonts w:ascii="Times New Roman" w:hAnsi="Times New Roman"/>
          <w:sz w:val="24"/>
        </w:rPr>
        <w:t xml:space="preserve"> </w:t>
      </w:r>
      <w:r w:rsidR="00C15785" w:rsidRPr="00F90E7C">
        <w:rPr>
          <w:rFonts w:ascii="Times New Roman" w:hAnsi="Times New Roman"/>
          <w:sz w:val="24"/>
        </w:rPr>
        <w:t xml:space="preserve">informed </w:t>
      </w:r>
      <w:r w:rsidRPr="00F90E7C">
        <w:rPr>
          <w:rFonts w:ascii="Times New Roman" w:hAnsi="Times New Roman"/>
          <w:sz w:val="24"/>
        </w:rPr>
        <w:t>that the evidence of Paige and Alicia that was adduced in the voir</w:t>
      </w:r>
      <w:r w:rsidRPr="00F90E7C">
        <w:rPr>
          <w:rFonts w:ascii="Times New Roman" w:hAnsi="Times New Roman"/>
          <w:sz w:val="24"/>
        </w:rPr>
        <w:noBreakHyphen/>
        <w:t xml:space="preserve">dire was materially the same as that adduced at both the trial at which the jury could not agree (in early 2019) and the trial that resulted in the respondent being convicted (in June 2021). </w:t>
      </w:r>
    </w:p>
  </w:footnote>
  <w:footnote w:id="16">
    <w:p w14:paraId="41A19E34"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 xml:space="preserve">See </w:t>
      </w:r>
      <w:r w:rsidRPr="00F90E7C">
        <w:rPr>
          <w:rFonts w:ascii="Times New Roman" w:hAnsi="Times New Roman"/>
          <w:i/>
          <w:iCs/>
          <w:sz w:val="24"/>
        </w:rPr>
        <w:t>Rowan</w:t>
      </w:r>
      <w:r w:rsidRPr="00F90E7C">
        <w:rPr>
          <w:rFonts w:ascii="Times New Roman" w:hAnsi="Times New Roman"/>
          <w:sz w:val="24"/>
        </w:rPr>
        <w:t xml:space="preserve"> [2022] VSCA 236 at [13], [39]</w:t>
      </w:r>
      <w:r w:rsidRPr="00F90E7C">
        <w:rPr>
          <w:rFonts w:ascii="Times New Roman" w:hAnsi="Times New Roman"/>
          <w:sz w:val="24"/>
        </w:rPr>
        <w:noBreakHyphen/>
        <w:t>[52] per Kyrou and Niall JJA.</w:t>
      </w:r>
    </w:p>
  </w:footnote>
  <w:footnote w:id="17">
    <w:p w14:paraId="703F0735" w14:textId="77777777" w:rsidR="00562D00" w:rsidRPr="00F90E7C" w:rsidRDefault="00562D00" w:rsidP="00F90E7C">
      <w:pPr>
        <w:pStyle w:val="FootnoteText"/>
        <w:spacing w:line="280" w:lineRule="exact"/>
        <w:ind w:right="0"/>
        <w:jc w:val="both"/>
        <w:rPr>
          <w:rFonts w:ascii="Times New Roman" w:hAnsi="Times New Roman"/>
          <w:sz w:val="24"/>
          <w:lang w:val="en-US"/>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sz w:val="24"/>
          <w:lang w:val="en-US"/>
        </w:rPr>
        <w:t>Count 2 was also said to have occurred on the same occasion.</w:t>
      </w:r>
    </w:p>
  </w:footnote>
  <w:footnote w:id="18">
    <w:p w14:paraId="3D045FAF"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 xml:space="preserve">Evidence Act 2008 </w:t>
      </w:r>
      <w:r w:rsidRPr="00F90E7C">
        <w:rPr>
          <w:rFonts w:ascii="Times New Roman" w:hAnsi="Times New Roman"/>
          <w:sz w:val="24"/>
        </w:rPr>
        <w:t>(Vic), s 97.</w:t>
      </w:r>
    </w:p>
  </w:footnote>
  <w:footnote w:id="19">
    <w:p w14:paraId="6BD797E9"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 xml:space="preserve">See, eg, </w:t>
      </w:r>
      <w:r w:rsidRPr="00F90E7C">
        <w:rPr>
          <w:rFonts w:ascii="Times New Roman" w:hAnsi="Times New Roman"/>
          <w:i/>
          <w:iCs/>
          <w:sz w:val="24"/>
        </w:rPr>
        <w:t>R v Daher</w:t>
      </w:r>
      <w:r w:rsidRPr="00F90E7C">
        <w:rPr>
          <w:rFonts w:ascii="Times New Roman" w:hAnsi="Times New Roman"/>
          <w:sz w:val="24"/>
        </w:rPr>
        <w:t xml:space="preserve"> [1981] 2 NSWLR 669.</w:t>
      </w:r>
    </w:p>
  </w:footnote>
  <w:footnote w:id="20">
    <w:p w14:paraId="48EBAF98" w14:textId="4893493E"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D</w:t>
      </w:r>
      <w:r w:rsidR="00A056A3" w:rsidRPr="00F90E7C">
        <w:rPr>
          <w:rFonts w:ascii="Times New Roman" w:hAnsi="Times New Roman"/>
          <w:i/>
          <w:iCs/>
          <w:sz w:val="24"/>
        </w:rPr>
        <w:t>irector of Public Prosecutions</w:t>
      </w:r>
      <w:r w:rsidR="00747974" w:rsidRPr="00F90E7C">
        <w:rPr>
          <w:rFonts w:ascii="Times New Roman" w:hAnsi="Times New Roman"/>
          <w:i/>
          <w:iCs/>
          <w:sz w:val="24"/>
        </w:rPr>
        <w:t xml:space="preserve"> for Northern Ireland</w:t>
      </w:r>
      <w:r w:rsidRPr="00F90E7C">
        <w:rPr>
          <w:rFonts w:ascii="Times New Roman" w:hAnsi="Times New Roman"/>
          <w:i/>
          <w:iCs/>
          <w:sz w:val="24"/>
        </w:rPr>
        <w:t xml:space="preserve"> v Lynch</w:t>
      </w:r>
      <w:r w:rsidRPr="00F90E7C">
        <w:rPr>
          <w:rFonts w:ascii="Times New Roman" w:hAnsi="Times New Roman"/>
          <w:sz w:val="24"/>
        </w:rPr>
        <w:t xml:space="preserve"> [1975] AC 653 ("</w:t>
      </w:r>
      <w:r w:rsidRPr="00F90E7C">
        <w:rPr>
          <w:rFonts w:ascii="Times New Roman" w:hAnsi="Times New Roman"/>
          <w:i/>
          <w:iCs/>
          <w:sz w:val="24"/>
        </w:rPr>
        <w:t>Lynch</w:t>
      </w:r>
      <w:r w:rsidRPr="00F90E7C">
        <w:rPr>
          <w:rFonts w:ascii="Times New Roman" w:hAnsi="Times New Roman"/>
          <w:sz w:val="24"/>
        </w:rPr>
        <w:t>") at 668 per Lord Morris;</w:t>
      </w:r>
      <w:r w:rsidRPr="00F90E7C">
        <w:rPr>
          <w:rFonts w:ascii="Times New Roman" w:hAnsi="Times New Roman"/>
          <w:i/>
          <w:iCs/>
          <w:sz w:val="24"/>
        </w:rPr>
        <w:t xml:space="preserve"> Zaharias</w:t>
      </w:r>
      <w:r w:rsidRPr="00F90E7C">
        <w:rPr>
          <w:rFonts w:ascii="Times New Roman" w:hAnsi="Times New Roman"/>
          <w:sz w:val="24"/>
        </w:rPr>
        <w:t xml:space="preserve"> (2001) 122 A Crim R 586 at 599 [79] per O'Bryan A</w:t>
      </w:r>
      <w:r w:rsidR="006621B2" w:rsidRPr="00F90E7C">
        <w:rPr>
          <w:rFonts w:ascii="Times New Roman" w:hAnsi="Times New Roman"/>
          <w:sz w:val="24"/>
        </w:rPr>
        <w:t>-</w:t>
      </w:r>
      <w:r w:rsidRPr="00F90E7C">
        <w:rPr>
          <w:rFonts w:ascii="Times New Roman" w:hAnsi="Times New Roman"/>
          <w:sz w:val="24"/>
        </w:rPr>
        <w:t>JA, Winneke P and Vincent JA agreeing.</w:t>
      </w:r>
    </w:p>
  </w:footnote>
  <w:footnote w:id="21">
    <w:p w14:paraId="14BC2E11"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(2011) 243 CLR 434 at 454 [36(1)] per French CJ, Crennan and Kiefel JJ.</w:t>
      </w:r>
    </w:p>
  </w:footnote>
  <w:footnote w:id="22">
    <w:p w14:paraId="123FFF78"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Taiapa</w:t>
      </w:r>
      <w:r w:rsidRPr="00F90E7C">
        <w:rPr>
          <w:rFonts w:ascii="Times New Roman" w:hAnsi="Times New Roman"/>
          <w:sz w:val="24"/>
        </w:rPr>
        <w:t xml:space="preserve"> </w:t>
      </w:r>
      <w:r w:rsidRPr="00F90E7C">
        <w:rPr>
          <w:rFonts w:ascii="Times New Roman" w:hAnsi="Times New Roman"/>
          <w:i/>
          <w:iCs/>
          <w:sz w:val="24"/>
        </w:rPr>
        <w:t xml:space="preserve">v The Queen </w:t>
      </w:r>
      <w:r w:rsidRPr="00F90E7C">
        <w:rPr>
          <w:rFonts w:ascii="Times New Roman" w:hAnsi="Times New Roman"/>
          <w:sz w:val="24"/>
        </w:rPr>
        <w:t>(2009) 240 CLR 95 at 109 [39] per French CJ, Heydon, Crennan, Kiefel and Bell JJ.</w:t>
      </w:r>
    </w:p>
  </w:footnote>
  <w:footnote w:id="23">
    <w:p w14:paraId="0302CAF6" w14:textId="4D571168" w:rsidR="004224F0" w:rsidRPr="00F90E7C" w:rsidRDefault="004224F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Jury Directions Act 2015</w:t>
      </w:r>
      <w:r w:rsidRPr="00F90E7C">
        <w:rPr>
          <w:rFonts w:ascii="Times New Roman" w:hAnsi="Times New Roman"/>
          <w:sz w:val="24"/>
        </w:rPr>
        <w:t xml:space="preserve"> (Vic), s 14(1). </w:t>
      </w:r>
    </w:p>
  </w:footnote>
  <w:footnote w:id="24">
    <w:p w14:paraId="3C386866"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[1967] VR 526 at 543 per Smith J.</w:t>
      </w:r>
    </w:p>
  </w:footnote>
  <w:footnote w:id="25">
    <w:p w14:paraId="5B09E7AC"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(2009) 240 CLR 95.</w:t>
      </w:r>
    </w:p>
  </w:footnote>
  <w:footnote w:id="26">
    <w:p w14:paraId="26098A6D" w14:textId="529016A2"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Taiapa</w:t>
      </w:r>
      <w:r w:rsidRPr="00F90E7C">
        <w:rPr>
          <w:rFonts w:ascii="Times New Roman" w:hAnsi="Times New Roman"/>
          <w:sz w:val="24"/>
        </w:rPr>
        <w:t xml:space="preserve"> (2009) 240 CLR 95 at 105 </w:t>
      </w:r>
      <w:r w:rsidR="00174152" w:rsidRPr="00F90E7C">
        <w:rPr>
          <w:rFonts w:ascii="Times New Roman" w:hAnsi="Times New Roman"/>
          <w:sz w:val="24"/>
        </w:rPr>
        <w:t xml:space="preserve">[28] </w:t>
      </w:r>
      <w:r w:rsidRPr="00F90E7C">
        <w:rPr>
          <w:rFonts w:ascii="Times New Roman" w:hAnsi="Times New Roman"/>
          <w:sz w:val="24"/>
        </w:rPr>
        <w:t>fn 46 per French CJ, Heydon, Crennan, Kiefel and Bell JJ.</w:t>
      </w:r>
    </w:p>
  </w:footnote>
  <w:footnote w:id="27">
    <w:p w14:paraId="57104260"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R v Dawson</w:t>
      </w:r>
      <w:r w:rsidRPr="00F90E7C">
        <w:rPr>
          <w:rFonts w:ascii="Times New Roman" w:hAnsi="Times New Roman"/>
          <w:sz w:val="24"/>
        </w:rPr>
        <w:t xml:space="preserve"> [1978] VR 536.</w:t>
      </w:r>
    </w:p>
  </w:footnote>
  <w:footnote w:id="28">
    <w:p w14:paraId="25CF415B"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R v Abusafiah</w:t>
      </w:r>
      <w:r w:rsidRPr="00F90E7C">
        <w:rPr>
          <w:rFonts w:ascii="Times New Roman" w:hAnsi="Times New Roman"/>
          <w:sz w:val="24"/>
        </w:rPr>
        <w:t xml:space="preserve"> (1991) 24 NSWLR 531 at 537 per Hunt J, Gleeson CJ and Mahoney JA agreeing.</w:t>
      </w:r>
    </w:p>
  </w:footnote>
  <w:footnote w:id="29">
    <w:p w14:paraId="1B0B09CA"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R v Brown</w:t>
      </w:r>
      <w:r w:rsidRPr="00F90E7C">
        <w:rPr>
          <w:rFonts w:ascii="Times New Roman" w:hAnsi="Times New Roman"/>
          <w:sz w:val="24"/>
        </w:rPr>
        <w:t xml:space="preserve"> (1986) 43 SASR 33 at 38 per King CJ.</w:t>
      </w:r>
    </w:p>
  </w:footnote>
  <w:footnote w:id="30">
    <w:p w14:paraId="11835A09"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R v Lorenz</w:t>
      </w:r>
      <w:r w:rsidRPr="00F90E7C">
        <w:rPr>
          <w:rFonts w:ascii="Times New Roman" w:hAnsi="Times New Roman"/>
          <w:i/>
          <w:sz w:val="24"/>
        </w:rPr>
        <w:t xml:space="preserve"> </w:t>
      </w:r>
      <w:r w:rsidRPr="00F90E7C">
        <w:rPr>
          <w:rFonts w:ascii="Times New Roman" w:hAnsi="Times New Roman"/>
          <w:sz w:val="24"/>
        </w:rPr>
        <w:t>(1998) 146 FLR 369.</w:t>
      </w:r>
    </w:p>
  </w:footnote>
  <w:footnote w:id="31">
    <w:p w14:paraId="7721C1F7"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 xml:space="preserve">See </w:t>
      </w:r>
      <w:r w:rsidRPr="00F90E7C">
        <w:rPr>
          <w:rFonts w:ascii="Times New Roman" w:hAnsi="Times New Roman"/>
          <w:i/>
          <w:iCs/>
          <w:sz w:val="24"/>
        </w:rPr>
        <w:t xml:space="preserve">Abusafiah </w:t>
      </w:r>
      <w:r w:rsidRPr="00F90E7C">
        <w:rPr>
          <w:rFonts w:ascii="Times New Roman" w:hAnsi="Times New Roman"/>
          <w:sz w:val="24"/>
        </w:rPr>
        <w:t>(1991) 24 NSWLR 531</w:t>
      </w:r>
      <w:r w:rsidRPr="00F90E7C">
        <w:rPr>
          <w:rFonts w:ascii="Times New Roman" w:hAnsi="Times New Roman"/>
          <w:i/>
          <w:iCs/>
          <w:sz w:val="24"/>
        </w:rPr>
        <w:t xml:space="preserve"> </w:t>
      </w:r>
      <w:r w:rsidRPr="00F90E7C">
        <w:rPr>
          <w:rFonts w:ascii="Times New Roman" w:hAnsi="Times New Roman"/>
          <w:sz w:val="24"/>
        </w:rPr>
        <w:t>at 544-545 per Hunt J, Gleeson CJ and Mahoney JA agreeing.</w:t>
      </w:r>
    </w:p>
  </w:footnote>
  <w:footnote w:id="32">
    <w:p w14:paraId="651B117F" w14:textId="5726B05D"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 xml:space="preserve">Hurley </w:t>
      </w:r>
      <w:r w:rsidRPr="00F90E7C">
        <w:rPr>
          <w:rFonts w:ascii="Times New Roman" w:hAnsi="Times New Roman"/>
          <w:sz w:val="24"/>
        </w:rPr>
        <w:t>[1967] VR 526;</w:t>
      </w:r>
      <w:r w:rsidRPr="00F90E7C">
        <w:rPr>
          <w:rFonts w:ascii="Times New Roman" w:hAnsi="Times New Roman"/>
          <w:i/>
          <w:iCs/>
          <w:sz w:val="24"/>
        </w:rPr>
        <w:t xml:space="preserve"> Dawson </w:t>
      </w:r>
      <w:r w:rsidRPr="00F90E7C">
        <w:rPr>
          <w:rFonts w:ascii="Times New Roman" w:hAnsi="Times New Roman"/>
          <w:sz w:val="24"/>
        </w:rPr>
        <w:t>[1978] VR 536;</w:t>
      </w:r>
      <w:r w:rsidRPr="00F90E7C">
        <w:rPr>
          <w:rFonts w:ascii="Times New Roman" w:hAnsi="Times New Roman"/>
          <w:i/>
          <w:iCs/>
          <w:sz w:val="24"/>
        </w:rPr>
        <w:t xml:space="preserve"> Brown </w:t>
      </w:r>
      <w:r w:rsidRPr="00F90E7C">
        <w:rPr>
          <w:rFonts w:ascii="Times New Roman" w:hAnsi="Times New Roman"/>
          <w:sz w:val="24"/>
        </w:rPr>
        <w:t>(1986) 43 SASR 33;</w:t>
      </w:r>
      <w:r w:rsidRPr="00F90E7C">
        <w:rPr>
          <w:rFonts w:ascii="Times New Roman" w:hAnsi="Times New Roman"/>
          <w:i/>
          <w:iCs/>
          <w:sz w:val="24"/>
        </w:rPr>
        <w:t xml:space="preserve"> Abusafiah </w:t>
      </w:r>
      <w:r w:rsidRPr="00F90E7C">
        <w:rPr>
          <w:rFonts w:ascii="Times New Roman" w:hAnsi="Times New Roman"/>
          <w:sz w:val="24"/>
        </w:rPr>
        <w:t xml:space="preserve">(1991) 24 NSWLR 531; </w:t>
      </w:r>
      <w:r w:rsidRPr="00F90E7C">
        <w:rPr>
          <w:rFonts w:ascii="Times New Roman" w:hAnsi="Times New Roman"/>
          <w:i/>
          <w:iCs/>
          <w:sz w:val="24"/>
        </w:rPr>
        <w:t xml:space="preserve">Clarkson v The Queen </w:t>
      </w:r>
      <w:r w:rsidRPr="00F90E7C">
        <w:rPr>
          <w:rFonts w:ascii="Times New Roman" w:hAnsi="Times New Roman"/>
          <w:sz w:val="24"/>
        </w:rPr>
        <w:t xml:space="preserve">(2007) 209 FLR 387 at 402 [86] per Beazley JA. Even though only some of the statutory definitions of duress include that element: </w:t>
      </w:r>
      <w:r w:rsidRPr="00F90E7C">
        <w:rPr>
          <w:rFonts w:ascii="Times New Roman" w:hAnsi="Times New Roman"/>
          <w:i/>
          <w:iCs/>
          <w:sz w:val="24"/>
        </w:rPr>
        <w:t xml:space="preserve">Criminal Code </w:t>
      </w:r>
      <w:r w:rsidRPr="00F90E7C">
        <w:rPr>
          <w:rFonts w:ascii="Times New Roman" w:hAnsi="Times New Roman"/>
          <w:sz w:val="24"/>
        </w:rPr>
        <w:t xml:space="preserve">(Cth), s 10.2(2)(a); </w:t>
      </w:r>
      <w:r w:rsidRPr="00F90E7C">
        <w:rPr>
          <w:rFonts w:ascii="Times New Roman" w:hAnsi="Times New Roman"/>
          <w:i/>
          <w:iCs/>
          <w:sz w:val="24"/>
        </w:rPr>
        <w:t>Crimes Act</w:t>
      </w:r>
      <w:r w:rsidR="00BE645C" w:rsidRPr="00F90E7C">
        <w:rPr>
          <w:rFonts w:ascii="Times New Roman" w:hAnsi="Times New Roman"/>
          <w:i/>
          <w:iCs/>
          <w:sz w:val="24"/>
        </w:rPr>
        <w:t xml:space="preserve"> 1958</w:t>
      </w:r>
      <w:r w:rsidRPr="00F90E7C">
        <w:rPr>
          <w:rFonts w:ascii="Times New Roman" w:hAnsi="Times New Roman"/>
          <w:i/>
          <w:iCs/>
          <w:sz w:val="24"/>
        </w:rPr>
        <w:t xml:space="preserve"> </w:t>
      </w:r>
      <w:r w:rsidRPr="00F90E7C">
        <w:rPr>
          <w:rFonts w:ascii="Times New Roman" w:hAnsi="Times New Roman"/>
          <w:sz w:val="24"/>
        </w:rPr>
        <w:t xml:space="preserve">(Vic), s 322O(2)(a)(i) and former s 9AG(2)(a); </w:t>
      </w:r>
      <w:r w:rsidRPr="00F90E7C">
        <w:rPr>
          <w:rFonts w:ascii="Times New Roman" w:hAnsi="Times New Roman"/>
          <w:i/>
          <w:iCs/>
          <w:sz w:val="24"/>
        </w:rPr>
        <w:t>Criminal Law Consolidation Act 1935</w:t>
      </w:r>
      <w:r w:rsidRPr="00F90E7C">
        <w:rPr>
          <w:rFonts w:ascii="Times New Roman" w:hAnsi="Times New Roman"/>
          <w:sz w:val="24"/>
        </w:rPr>
        <w:t xml:space="preserve"> (SA), s 15D(1)(a)(i); </w:t>
      </w:r>
      <w:r w:rsidRPr="00F90E7C">
        <w:rPr>
          <w:rFonts w:ascii="Times New Roman" w:hAnsi="Times New Roman"/>
          <w:i/>
          <w:iCs/>
          <w:sz w:val="24"/>
        </w:rPr>
        <w:t xml:space="preserve">Criminal Code </w:t>
      </w:r>
      <w:r w:rsidRPr="00F90E7C">
        <w:rPr>
          <w:rFonts w:ascii="Times New Roman" w:hAnsi="Times New Roman"/>
          <w:sz w:val="24"/>
        </w:rPr>
        <w:t xml:space="preserve">(WA), s 32(2)(a); </w:t>
      </w:r>
      <w:r w:rsidRPr="00F90E7C">
        <w:rPr>
          <w:rFonts w:ascii="Times New Roman" w:hAnsi="Times New Roman"/>
          <w:i/>
          <w:iCs/>
          <w:sz w:val="24"/>
        </w:rPr>
        <w:t xml:space="preserve">Criminal Code </w:t>
      </w:r>
      <w:r w:rsidRPr="00F90E7C">
        <w:rPr>
          <w:rFonts w:ascii="Times New Roman" w:hAnsi="Times New Roman"/>
          <w:sz w:val="24"/>
        </w:rPr>
        <w:t xml:space="preserve">(ACT), s 40(2)(a). The other provisions require a threat but not one that necessarily involves a threat to inflict the relevant form of harm if the accused fails to commit an offence: </w:t>
      </w:r>
      <w:r w:rsidRPr="00F90E7C">
        <w:rPr>
          <w:rFonts w:ascii="Times New Roman" w:hAnsi="Times New Roman"/>
          <w:i/>
          <w:iCs/>
          <w:sz w:val="24"/>
        </w:rPr>
        <w:t xml:space="preserve">Criminal Code </w:t>
      </w:r>
      <w:r w:rsidRPr="00F90E7C">
        <w:rPr>
          <w:rFonts w:ascii="Times New Roman" w:hAnsi="Times New Roman"/>
          <w:sz w:val="24"/>
        </w:rPr>
        <w:t xml:space="preserve">(Qld), s 31(1)(c); </w:t>
      </w:r>
      <w:r w:rsidRPr="00F90E7C">
        <w:rPr>
          <w:rFonts w:ascii="Times New Roman" w:hAnsi="Times New Roman"/>
          <w:i/>
          <w:iCs/>
          <w:sz w:val="24"/>
        </w:rPr>
        <w:t xml:space="preserve">Criminal Code </w:t>
      </w:r>
      <w:r w:rsidRPr="00F90E7C">
        <w:rPr>
          <w:rFonts w:ascii="Times New Roman" w:hAnsi="Times New Roman"/>
          <w:sz w:val="24"/>
        </w:rPr>
        <w:t xml:space="preserve">(Tas), s 20(1); </w:t>
      </w:r>
      <w:r w:rsidRPr="00F90E7C">
        <w:rPr>
          <w:rFonts w:ascii="Times New Roman" w:hAnsi="Times New Roman"/>
          <w:i/>
          <w:iCs/>
          <w:sz w:val="24"/>
        </w:rPr>
        <w:t xml:space="preserve">Criminal Code </w:t>
      </w:r>
      <w:r w:rsidRPr="00F90E7C">
        <w:rPr>
          <w:rFonts w:ascii="Times New Roman" w:hAnsi="Times New Roman"/>
          <w:sz w:val="24"/>
        </w:rPr>
        <w:t>(NT), s 40.</w:t>
      </w:r>
    </w:p>
  </w:footnote>
  <w:footnote w:id="33">
    <w:p w14:paraId="5A7B1D36"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[1978] VR 536.</w:t>
      </w:r>
    </w:p>
  </w:footnote>
  <w:footnote w:id="34">
    <w:p w14:paraId="401C85EC"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(1998) 146 FLR 369.</w:t>
      </w:r>
    </w:p>
  </w:footnote>
  <w:footnote w:id="35">
    <w:p w14:paraId="214A7864" w14:textId="61B94E09"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Dawson</w:t>
      </w:r>
      <w:r w:rsidRPr="00F90E7C">
        <w:rPr>
          <w:rFonts w:ascii="Times New Roman" w:hAnsi="Times New Roman"/>
          <w:sz w:val="24"/>
        </w:rPr>
        <w:t xml:space="preserve"> [1978] VR 536 at 538</w:t>
      </w:r>
      <w:r w:rsidR="00BE645C" w:rsidRPr="00F90E7C">
        <w:rPr>
          <w:rFonts w:ascii="Times New Roman" w:hAnsi="Times New Roman"/>
          <w:sz w:val="24"/>
        </w:rPr>
        <w:t xml:space="preserve"> per Anderson J</w:t>
      </w:r>
      <w:r w:rsidRPr="00F90E7C">
        <w:rPr>
          <w:rFonts w:ascii="Times New Roman" w:hAnsi="Times New Roman"/>
          <w:sz w:val="24"/>
        </w:rPr>
        <w:t xml:space="preserve">, 542 per </w:t>
      </w:r>
      <w:r w:rsidR="00BE645C" w:rsidRPr="00F90E7C">
        <w:rPr>
          <w:rFonts w:ascii="Times New Roman" w:hAnsi="Times New Roman"/>
          <w:sz w:val="24"/>
        </w:rPr>
        <w:t>Harris </w:t>
      </w:r>
      <w:r w:rsidRPr="00F90E7C">
        <w:rPr>
          <w:rFonts w:ascii="Times New Roman" w:hAnsi="Times New Roman"/>
          <w:sz w:val="24"/>
        </w:rPr>
        <w:t>J.</w:t>
      </w:r>
    </w:p>
  </w:footnote>
  <w:footnote w:id="36">
    <w:p w14:paraId="40F95D02"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Lorenz</w:t>
      </w:r>
      <w:r w:rsidRPr="00F90E7C">
        <w:rPr>
          <w:rFonts w:ascii="Times New Roman" w:hAnsi="Times New Roman"/>
          <w:sz w:val="24"/>
        </w:rPr>
        <w:t xml:space="preserve"> (1998) 146 FLR 369 at 371 per Crispin J.</w:t>
      </w:r>
    </w:p>
  </w:footnote>
  <w:footnote w:id="37">
    <w:p w14:paraId="3971F6E9"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Lorenz</w:t>
      </w:r>
      <w:r w:rsidRPr="00F90E7C">
        <w:rPr>
          <w:rFonts w:ascii="Times New Roman" w:hAnsi="Times New Roman"/>
          <w:sz w:val="24"/>
        </w:rPr>
        <w:t xml:space="preserve"> (1998) 146 FLR 369 at 377.</w:t>
      </w:r>
    </w:p>
  </w:footnote>
  <w:footnote w:id="38">
    <w:p w14:paraId="641A12AC" w14:textId="77777777" w:rsidR="00562D00" w:rsidRPr="00F90E7C" w:rsidRDefault="00562D00" w:rsidP="00F90E7C">
      <w:pPr>
        <w:pStyle w:val="FootnoteText"/>
        <w:spacing w:line="280" w:lineRule="exact"/>
        <w:ind w:right="0"/>
        <w:jc w:val="both"/>
        <w:rPr>
          <w:rFonts w:ascii="Times New Roman" w:hAnsi="Times New Roman"/>
          <w:sz w:val="24"/>
          <w:lang w:val="en-US"/>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lang w:val="en-US"/>
        </w:rPr>
        <w:tab/>
      </w:r>
      <w:r w:rsidRPr="00F90E7C">
        <w:rPr>
          <w:rFonts w:ascii="Times New Roman" w:hAnsi="Times New Roman"/>
          <w:i/>
          <w:iCs/>
          <w:sz w:val="24"/>
          <w:lang w:val="en-US"/>
        </w:rPr>
        <w:t xml:space="preserve">Hurley </w:t>
      </w:r>
      <w:r w:rsidRPr="00F90E7C">
        <w:rPr>
          <w:rFonts w:ascii="Times New Roman" w:hAnsi="Times New Roman"/>
          <w:sz w:val="24"/>
        </w:rPr>
        <w:t xml:space="preserve">[1967] VR 526 </w:t>
      </w:r>
      <w:r w:rsidRPr="00F90E7C">
        <w:rPr>
          <w:rFonts w:ascii="Times New Roman" w:hAnsi="Times New Roman"/>
          <w:sz w:val="24"/>
          <w:lang w:val="en-US"/>
        </w:rPr>
        <w:t xml:space="preserve">at 543. </w:t>
      </w:r>
    </w:p>
  </w:footnote>
  <w:footnote w:id="39">
    <w:p w14:paraId="574B3C01"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Attorney-General v Whelan</w:t>
      </w:r>
      <w:r w:rsidRPr="00F90E7C">
        <w:rPr>
          <w:rFonts w:ascii="Times New Roman" w:hAnsi="Times New Roman"/>
          <w:sz w:val="24"/>
        </w:rPr>
        <w:t xml:space="preserve"> [1934] IR 518 at 526 per Murnaghan J.</w:t>
      </w:r>
    </w:p>
  </w:footnote>
  <w:footnote w:id="40">
    <w:p w14:paraId="7C49E54D"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Abusafiah</w:t>
      </w:r>
      <w:r w:rsidRPr="00F90E7C">
        <w:rPr>
          <w:rFonts w:ascii="Times New Roman" w:hAnsi="Times New Roman"/>
          <w:sz w:val="24"/>
        </w:rPr>
        <w:t xml:space="preserve"> (1991) 24 NSWLR 531 at 545 per Hunt J, Gleeson CJ and Mahoney JA agreeing.</w:t>
      </w:r>
    </w:p>
  </w:footnote>
  <w:footnote w:id="41">
    <w:p w14:paraId="39EEAD3D"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 xml:space="preserve">See </w:t>
      </w:r>
      <w:r w:rsidRPr="00F90E7C">
        <w:rPr>
          <w:rFonts w:ascii="Times New Roman" w:hAnsi="Times New Roman"/>
          <w:i/>
          <w:iCs/>
          <w:sz w:val="24"/>
        </w:rPr>
        <w:t xml:space="preserve">Taiapa </w:t>
      </w:r>
      <w:r w:rsidRPr="00F90E7C">
        <w:rPr>
          <w:rFonts w:ascii="Times New Roman" w:hAnsi="Times New Roman"/>
          <w:sz w:val="24"/>
        </w:rPr>
        <w:t>(2009) 240 CLR 95</w:t>
      </w:r>
      <w:r w:rsidRPr="00F90E7C">
        <w:rPr>
          <w:rFonts w:ascii="Times New Roman" w:hAnsi="Times New Roman"/>
          <w:i/>
          <w:iCs/>
          <w:sz w:val="24"/>
        </w:rPr>
        <w:t xml:space="preserve"> </w:t>
      </w:r>
      <w:r w:rsidRPr="00F90E7C">
        <w:rPr>
          <w:rFonts w:ascii="Times New Roman" w:hAnsi="Times New Roman"/>
          <w:sz w:val="24"/>
        </w:rPr>
        <w:t>at 107-108 [35] per French CJ, Heydon, Crennan, Kiefel and Bell JJ.</w:t>
      </w:r>
    </w:p>
  </w:footnote>
  <w:footnote w:id="42">
    <w:p w14:paraId="1478D727"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[1975] AC 653.</w:t>
      </w:r>
    </w:p>
  </w:footnote>
  <w:footnote w:id="43">
    <w:p w14:paraId="7AE2AC69"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 xml:space="preserve">Lynch </w:t>
      </w:r>
      <w:r w:rsidRPr="00F90E7C">
        <w:rPr>
          <w:rFonts w:ascii="Times New Roman" w:hAnsi="Times New Roman"/>
          <w:sz w:val="24"/>
        </w:rPr>
        <w:t>[1975] AC 653 at 655-656.</w:t>
      </w:r>
    </w:p>
  </w:footnote>
  <w:footnote w:id="44">
    <w:p w14:paraId="64FD2FA7"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 xml:space="preserve">Lynch </w:t>
      </w:r>
      <w:r w:rsidRPr="00F90E7C">
        <w:rPr>
          <w:rFonts w:ascii="Times New Roman" w:hAnsi="Times New Roman"/>
          <w:sz w:val="24"/>
        </w:rPr>
        <w:t>[1975] AC 653 at 655.</w:t>
      </w:r>
    </w:p>
  </w:footnote>
  <w:footnote w:id="45">
    <w:p w14:paraId="601A0F14" w14:textId="1CF3A06A"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 xml:space="preserve">See also </w:t>
      </w:r>
      <w:r w:rsidRPr="00F90E7C">
        <w:rPr>
          <w:rFonts w:ascii="Times New Roman" w:hAnsi="Times New Roman"/>
          <w:i/>
          <w:iCs/>
          <w:sz w:val="24"/>
        </w:rPr>
        <w:t>R v Howe</w:t>
      </w:r>
      <w:r w:rsidRPr="00F90E7C" w:rsidDel="00566590">
        <w:rPr>
          <w:rFonts w:ascii="Times New Roman" w:hAnsi="Times New Roman"/>
          <w:i/>
          <w:iCs/>
          <w:sz w:val="24"/>
        </w:rPr>
        <w:t xml:space="preserve"> </w:t>
      </w:r>
      <w:r w:rsidRPr="00F90E7C" w:rsidDel="00566590">
        <w:rPr>
          <w:rFonts w:ascii="Times New Roman" w:hAnsi="Times New Roman"/>
          <w:sz w:val="24"/>
        </w:rPr>
        <w:t xml:space="preserve">[1987] AC </w:t>
      </w:r>
      <w:r w:rsidRPr="00F90E7C">
        <w:rPr>
          <w:rFonts w:ascii="Times New Roman" w:hAnsi="Times New Roman"/>
          <w:sz w:val="24"/>
        </w:rPr>
        <w:t xml:space="preserve">417 at </w:t>
      </w:r>
      <w:r w:rsidRPr="00F90E7C" w:rsidDel="00566590">
        <w:rPr>
          <w:rFonts w:ascii="Times New Roman" w:hAnsi="Times New Roman"/>
          <w:sz w:val="24"/>
        </w:rPr>
        <w:t>437</w:t>
      </w:r>
      <w:r w:rsidRPr="00F90E7C">
        <w:rPr>
          <w:rFonts w:ascii="Times New Roman" w:hAnsi="Times New Roman"/>
          <w:sz w:val="24"/>
        </w:rPr>
        <w:t xml:space="preserve"> per Lord Bridge.</w:t>
      </w:r>
    </w:p>
  </w:footnote>
  <w:footnote w:id="46">
    <w:p w14:paraId="62C1644E"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Lynch</w:t>
      </w:r>
      <w:r w:rsidRPr="00F90E7C">
        <w:rPr>
          <w:rFonts w:ascii="Times New Roman" w:hAnsi="Times New Roman"/>
          <w:sz w:val="24"/>
        </w:rPr>
        <w:t xml:space="preserve"> [1975] AC 653 at 655-656.</w:t>
      </w:r>
    </w:p>
  </w:footnote>
  <w:footnote w:id="47">
    <w:p w14:paraId="3031EFB6" w14:textId="495DC0A0"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Lynch</w:t>
      </w:r>
      <w:r w:rsidRPr="00F90E7C">
        <w:rPr>
          <w:rFonts w:ascii="Times New Roman" w:hAnsi="Times New Roman"/>
          <w:sz w:val="24"/>
        </w:rPr>
        <w:t xml:space="preserve"> [1975] AC 653 at </w:t>
      </w:r>
      <w:r w:rsidR="00E020DB" w:rsidRPr="00F90E7C">
        <w:rPr>
          <w:rFonts w:ascii="Times New Roman" w:hAnsi="Times New Roman"/>
          <w:sz w:val="24"/>
        </w:rPr>
        <w:t>704-</w:t>
      </w:r>
      <w:r w:rsidRPr="00F90E7C">
        <w:rPr>
          <w:rFonts w:ascii="Times New Roman" w:hAnsi="Times New Roman"/>
          <w:sz w:val="24"/>
        </w:rPr>
        <w:t xml:space="preserve">705, quoting </w:t>
      </w:r>
      <w:r w:rsidRPr="00F90E7C">
        <w:rPr>
          <w:rFonts w:ascii="Times New Roman" w:hAnsi="Times New Roman"/>
          <w:i/>
          <w:iCs/>
          <w:sz w:val="24"/>
        </w:rPr>
        <w:t xml:space="preserve">R v Lynch </w:t>
      </w:r>
      <w:r w:rsidRPr="00F90E7C">
        <w:rPr>
          <w:rFonts w:ascii="Times New Roman" w:hAnsi="Times New Roman"/>
          <w:sz w:val="24"/>
        </w:rPr>
        <w:t>[1975] NI 35 at 39 per Lowry LCJ.</w:t>
      </w:r>
    </w:p>
  </w:footnote>
  <w:footnote w:id="48">
    <w:p w14:paraId="06C5D7C3" w14:textId="644D5C4D"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Lynch</w:t>
      </w:r>
      <w:r w:rsidRPr="00F90E7C">
        <w:rPr>
          <w:rFonts w:ascii="Times New Roman" w:hAnsi="Times New Roman"/>
          <w:sz w:val="24"/>
        </w:rPr>
        <w:t xml:space="preserve"> [1975] AC 653 at 705 per Lord Edmund-Davies, quoting </w:t>
      </w:r>
      <w:r w:rsidRPr="00F90E7C">
        <w:rPr>
          <w:rFonts w:ascii="Times New Roman" w:hAnsi="Times New Roman"/>
          <w:i/>
          <w:iCs/>
          <w:sz w:val="24"/>
        </w:rPr>
        <w:t xml:space="preserve">Lynch </w:t>
      </w:r>
      <w:r w:rsidRPr="00F90E7C">
        <w:rPr>
          <w:rFonts w:ascii="Times New Roman" w:hAnsi="Times New Roman"/>
          <w:sz w:val="24"/>
        </w:rPr>
        <w:t>[1975] NI 35 at 52 per Lowry LCJ.</w:t>
      </w:r>
    </w:p>
  </w:footnote>
  <w:footnote w:id="49">
    <w:p w14:paraId="6EF3019E" w14:textId="77D1F791"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 xml:space="preserve">The legislation which enacted this provision repealed, inter alia, former s 9AG of the </w:t>
      </w:r>
      <w:r w:rsidRPr="00F90E7C">
        <w:rPr>
          <w:rFonts w:ascii="Times New Roman" w:hAnsi="Times New Roman"/>
          <w:i/>
          <w:iCs/>
          <w:sz w:val="24"/>
        </w:rPr>
        <w:t>Crimes Act</w:t>
      </w:r>
      <w:r w:rsidR="002B5A1E" w:rsidRPr="00F90E7C">
        <w:rPr>
          <w:rFonts w:ascii="Times New Roman" w:hAnsi="Times New Roman"/>
          <w:sz w:val="24"/>
        </w:rPr>
        <w:t>,</w:t>
      </w:r>
      <w:r w:rsidRPr="00F90E7C">
        <w:rPr>
          <w:rFonts w:ascii="Times New Roman" w:hAnsi="Times New Roman"/>
          <w:sz w:val="24"/>
        </w:rPr>
        <w:t xml:space="preserve"> which was in similar terms but only applicable to murder, manslaughter and defensive homicide:</w:t>
      </w:r>
      <w:r w:rsidRPr="00F90E7C">
        <w:rPr>
          <w:rFonts w:ascii="Times New Roman" w:hAnsi="Times New Roman"/>
          <w:i/>
          <w:iCs/>
          <w:sz w:val="24"/>
        </w:rPr>
        <w:t xml:space="preserve"> Crimes Amendment (Abolition of Defensive Homicide) Act 2014</w:t>
      </w:r>
      <w:r w:rsidRPr="00F90E7C">
        <w:rPr>
          <w:rFonts w:ascii="Times New Roman" w:hAnsi="Times New Roman"/>
          <w:sz w:val="24"/>
        </w:rPr>
        <w:t xml:space="preserve"> (Vic), s 3(3). Under the former s 9AG, the requirement that the conduct of the accused be a reasonable response to the threat was expressed in wholly objective terms and</w:t>
      </w:r>
      <w:r w:rsidR="008A2A38" w:rsidRPr="00F90E7C">
        <w:rPr>
          <w:rFonts w:ascii="Times New Roman" w:hAnsi="Times New Roman"/>
          <w:sz w:val="24"/>
        </w:rPr>
        <w:t xml:space="preserve"> to be a matter for the accused's reasonable belief</w:t>
      </w:r>
      <w:r w:rsidRPr="00F90E7C">
        <w:rPr>
          <w:rFonts w:ascii="Times New Roman" w:hAnsi="Times New Roman"/>
          <w:sz w:val="24"/>
        </w:rPr>
        <w:t>.</w:t>
      </w:r>
    </w:p>
  </w:footnote>
  <w:footnote w:id="50">
    <w:p w14:paraId="7B9209EC" w14:textId="4D136AA3"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 xml:space="preserve">See </w:t>
      </w:r>
      <w:r w:rsidRPr="00F90E7C">
        <w:rPr>
          <w:rFonts w:ascii="Times New Roman" w:hAnsi="Times New Roman"/>
          <w:i/>
          <w:iCs/>
          <w:sz w:val="24"/>
        </w:rPr>
        <w:t>D</w:t>
      </w:r>
      <w:r w:rsidR="00902641" w:rsidRPr="00F90E7C">
        <w:rPr>
          <w:rFonts w:ascii="Times New Roman" w:hAnsi="Times New Roman"/>
          <w:i/>
          <w:iCs/>
          <w:sz w:val="24"/>
        </w:rPr>
        <w:t>irector of Public Prosecutions</w:t>
      </w:r>
      <w:r w:rsidRPr="00F90E7C">
        <w:rPr>
          <w:rFonts w:ascii="Times New Roman" w:hAnsi="Times New Roman"/>
          <w:i/>
          <w:iCs/>
          <w:sz w:val="24"/>
        </w:rPr>
        <w:t xml:space="preserve"> (Vic) v Parker</w:t>
      </w:r>
      <w:r w:rsidRPr="00F90E7C">
        <w:rPr>
          <w:rFonts w:ascii="Times New Roman" w:hAnsi="Times New Roman"/>
          <w:sz w:val="24"/>
        </w:rPr>
        <w:t xml:space="preserve"> (2016) 258 A Crim R 527 at 535-536 [27] per Redlich, Osborn and Priest JJA.</w:t>
      </w:r>
    </w:p>
  </w:footnote>
  <w:footnote w:id="51">
    <w:p w14:paraId="2C93A8EF" w14:textId="7CEEDDE1"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[2001] Fam 147 at 23</w:t>
      </w:r>
      <w:r w:rsidR="004317B4" w:rsidRPr="00F90E7C">
        <w:rPr>
          <w:rFonts w:ascii="Times New Roman" w:hAnsi="Times New Roman"/>
          <w:sz w:val="24"/>
        </w:rPr>
        <w:t>2</w:t>
      </w:r>
      <w:r w:rsidRPr="00F90E7C">
        <w:rPr>
          <w:rFonts w:ascii="Times New Roman" w:hAnsi="Times New Roman"/>
          <w:sz w:val="24"/>
        </w:rPr>
        <w:t>-236.</w:t>
      </w:r>
    </w:p>
  </w:footnote>
  <w:footnote w:id="52">
    <w:p w14:paraId="37C49897" w14:textId="47533151"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Willer</w:t>
      </w:r>
      <w:r w:rsidRPr="00F90E7C">
        <w:rPr>
          <w:rFonts w:ascii="Times New Roman" w:hAnsi="Times New Roman"/>
          <w:sz w:val="24"/>
        </w:rPr>
        <w:t xml:space="preserve"> (1986) 83 Cr App R 225. See also </w:t>
      </w:r>
      <w:r w:rsidRPr="00F90E7C">
        <w:rPr>
          <w:rFonts w:ascii="Times New Roman" w:hAnsi="Times New Roman"/>
          <w:i/>
          <w:iCs/>
          <w:sz w:val="24"/>
        </w:rPr>
        <w:t>R v Conway</w:t>
      </w:r>
      <w:r w:rsidRPr="00F90E7C">
        <w:rPr>
          <w:rFonts w:ascii="Times New Roman" w:hAnsi="Times New Roman"/>
          <w:sz w:val="24"/>
        </w:rPr>
        <w:t xml:space="preserve"> [1989] QB 290; </w:t>
      </w:r>
      <w:r w:rsidRPr="00F90E7C">
        <w:rPr>
          <w:rFonts w:ascii="Times New Roman" w:hAnsi="Times New Roman"/>
          <w:i/>
          <w:iCs/>
          <w:sz w:val="24"/>
        </w:rPr>
        <w:t xml:space="preserve">Martin </w:t>
      </w:r>
      <w:r w:rsidRPr="00F90E7C">
        <w:rPr>
          <w:rFonts w:ascii="Times New Roman" w:hAnsi="Times New Roman"/>
          <w:sz w:val="24"/>
        </w:rPr>
        <w:t xml:space="preserve">[1989] 1 All ER 652; </w:t>
      </w:r>
      <w:r w:rsidRPr="00F90E7C">
        <w:rPr>
          <w:rFonts w:ascii="Times New Roman" w:hAnsi="Times New Roman"/>
          <w:i/>
          <w:iCs/>
          <w:sz w:val="24"/>
        </w:rPr>
        <w:t xml:space="preserve">R v Shayler </w:t>
      </w:r>
      <w:r w:rsidRPr="00F90E7C">
        <w:rPr>
          <w:rFonts w:ascii="Times New Roman" w:hAnsi="Times New Roman"/>
          <w:sz w:val="24"/>
        </w:rPr>
        <w:t>[2001] 1 WLR 2206.</w:t>
      </w:r>
    </w:p>
  </w:footnote>
  <w:footnote w:id="53">
    <w:p w14:paraId="0C1EA270"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[1989] 1 All ER 652 at 653.</w:t>
      </w:r>
    </w:p>
  </w:footnote>
  <w:footnote w:id="54">
    <w:p w14:paraId="0E4A6467" w14:textId="5D97D594"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[1987] AC 417 at 429.</w:t>
      </w:r>
    </w:p>
  </w:footnote>
  <w:footnote w:id="55">
    <w:p w14:paraId="56FA825B" w14:textId="328A623E"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 xml:space="preserve">See </w:t>
      </w:r>
      <w:r w:rsidR="00D120BA" w:rsidRPr="00F90E7C">
        <w:rPr>
          <w:rFonts w:ascii="Times New Roman" w:hAnsi="Times New Roman"/>
          <w:i/>
          <w:iCs/>
          <w:sz w:val="24"/>
        </w:rPr>
        <w:t xml:space="preserve">In </w:t>
      </w:r>
      <w:r w:rsidR="0098377B" w:rsidRPr="00F90E7C">
        <w:rPr>
          <w:rFonts w:ascii="Times New Roman" w:hAnsi="Times New Roman"/>
          <w:i/>
          <w:iCs/>
          <w:sz w:val="24"/>
        </w:rPr>
        <w:t>r</w:t>
      </w:r>
      <w:r w:rsidRPr="00F90E7C">
        <w:rPr>
          <w:rFonts w:ascii="Times New Roman" w:hAnsi="Times New Roman"/>
          <w:i/>
          <w:iCs/>
          <w:sz w:val="24"/>
        </w:rPr>
        <w:t>e A (</w:t>
      </w:r>
      <w:r w:rsidR="00D120BA" w:rsidRPr="00F90E7C">
        <w:rPr>
          <w:rFonts w:ascii="Times New Roman" w:hAnsi="Times New Roman"/>
          <w:i/>
          <w:iCs/>
          <w:sz w:val="24"/>
        </w:rPr>
        <w:t>C</w:t>
      </w:r>
      <w:r w:rsidRPr="00F90E7C">
        <w:rPr>
          <w:rFonts w:ascii="Times New Roman" w:hAnsi="Times New Roman"/>
          <w:i/>
          <w:iCs/>
          <w:sz w:val="24"/>
        </w:rPr>
        <w:t>hildren) (</w:t>
      </w:r>
      <w:r w:rsidR="00D120BA" w:rsidRPr="00F90E7C">
        <w:rPr>
          <w:rFonts w:ascii="Times New Roman" w:hAnsi="Times New Roman"/>
          <w:i/>
          <w:iCs/>
          <w:sz w:val="24"/>
        </w:rPr>
        <w:t>C</w:t>
      </w:r>
      <w:r w:rsidRPr="00F90E7C">
        <w:rPr>
          <w:rFonts w:ascii="Times New Roman" w:hAnsi="Times New Roman"/>
          <w:i/>
          <w:iCs/>
          <w:sz w:val="24"/>
        </w:rPr>
        <w:t>onjoined</w:t>
      </w:r>
      <w:r w:rsidR="00D120BA" w:rsidRPr="00F90E7C">
        <w:rPr>
          <w:rFonts w:ascii="Times New Roman" w:hAnsi="Times New Roman"/>
          <w:i/>
          <w:iCs/>
          <w:sz w:val="24"/>
        </w:rPr>
        <w:t xml:space="preserve"> T</w:t>
      </w:r>
      <w:r w:rsidRPr="00F90E7C">
        <w:rPr>
          <w:rFonts w:ascii="Times New Roman" w:hAnsi="Times New Roman"/>
          <w:i/>
          <w:iCs/>
          <w:sz w:val="24"/>
        </w:rPr>
        <w:t>wins</w:t>
      </w:r>
      <w:r w:rsidR="00D120BA" w:rsidRPr="00F90E7C">
        <w:rPr>
          <w:rFonts w:ascii="Times New Roman" w:hAnsi="Times New Roman"/>
          <w:i/>
          <w:iCs/>
          <w:sz w:val="24"/>
        </w:rPr>
        <w:t>: Surgical Separation</w:t>
      </w:r>
      <w:r w:rsidRPr="00F90E7C">
        <w:rPr>
          <w:rFonts w:ascii="Times New Roman" w:hAnsi="Times New Roman"/>
          <w:i/>
          <w:iCs/>
          <w:sz w:val="24"/>
        </w:rPr>
        <w:t xml:space="preserve">) </w:t>
      </w:r>
      <w:r w:rsidRPr="00F90E7C">
        <w:rPr>
          <w:rFonts w:ascii="Times New Roman" w:hAnsi="Times New Roman"/>
          <w:sz w:val="24"/>
        </w:rPr>
        <w:t>[2001] Fam 147 ("</w:t>
      </w:r>
      <w:r w:rsidRPr="00F90E7C">
        <w:rPr>
          <w:rFonts w:ascii="Times New Roman" w:hAnsi="Times New Roman"/>
          <w:i/>
          <w:iCs/>
          <w:sz w:val="24"/>
        </w:rPr>
        <w:t>Re A</w:t>
      </w:r>
      <w:r w:rsidRPr="00F90E7C">
        <w:rPr>
          <w:rFonts w:ascii="Times New Roman" w:hAnsi="Times New Roman"/>
          <w:sz w:val="24"/>
        </w:rPr>
        <w:t>") at 224-225.</w:t>
      </w:r>
    </w:p>
  </w:footnote>
  <w:footnote w:id="56">
    <w:p w14:paraId="6367CD13"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 xml:space="preserve">See </w:t>
      </w:r>
      <w:r w:rsidRPr="00F90E7C">
        <w:rPr>
          <w:rFonts w:ascii="Times New Roman" w:hAnsi="Times New Roman"/>
          <w:i/>
          <w:iCs/>
          <w:sz w:val="24"/>
        </w:rPr>
        <w:t xml:space="preserve">R v Loughnan </w:t>
      </w:r>
      <w:r w:rsidRPr="00F90E7C">
        <w:rPr>
          <w:rFonts w:ascii="Times New Roman" w:hAnsi="Times New Roman"/>
          <w:sz w:val="24"/>
        </w:rPr>
        <w:t xml:space="preserve">[1981] VR 443; </w:t>
      </w:r>
      <w:r w:rsidRPr="00F90E7C">
        <w:rPr>
          <w:rFonts w:ascii="Times New Roman" w:hAnsi="Times New Roman"/>
          <w:i/>
          <w:iCs/>
          <w:sz w:val="24"/>
        </w:rPr>
        <w:t>Rogers</w:t>
      </w:r>
      <w:r w:rsidRPr="00F90E7C">
        <w:rPr>
          <w:rFonts w:ascii="Times New Roman" w:hAnsi="Times New Roman"/>
          <w:sz w:val="24"/>
        </w:rPr>
        <w:t xml:space="preserve"> (1996) 86 A Crim R 542.</w:t>
      </w:r>
    </w:p>
  </w:footnote>
  <w:footnote w:id="57">
    <w:p w14:paraId="203340F3"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 xml:space="preserve">Re A </w:t>
      </w:r>
      <w:r w:rsidRPr="00F90E7C">
        <w:rPr>
          <w:rFonts w:ascii="Times New Roman" w:hAnsi="Times New Roman"/>
          <w:sz w:val="24"/>
        </w:rPr>
        <w:t>[2001] Fam 147 at 236.</w:t>
      </w:r>
    </w:p>
  </w:footnote>
  <w:footnote w:id="58">
    <w:p w14:paraId="694F6518"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Re A</w:t>
      </w:r>
      <w:r w:rsidRPr="00F90E7C">
        <w:rPr>
          <w:rFonts w:ascii="Times New Roman" w:hAnsi="Times New Roman"/>
          <w:sz w:val="24"/>
        </w:rPr>
        <w:t xml:space="preserve"> [2001] Fam 147 at 236 per Brooke LJ.</w:t>
      </w:r>
    </w:p>
  </w:footnote>
  <w:footnote w:id="59">
    <w:p w14:paraId="25E63A1D" w14:textId="4F00D4EE"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R v S</w:t>
      </w:r>
      <w:r w:rsidRPr="00F90E7C">
        <w:rPr>
          <w:rFonts w:ascii="Times New Roman" w:hAnsi="Times New Roman"/>
          <w:sz w:val="24"/>
        </w:rPr>
        <w:t xml:space="preserve"> </w:t>
      </w:r>
      <w:r w:rsidR="0022560A" w:rsidRPr="00F90E7C">
        <w:rPr>
          <w:rFonts w:ascii="Times New Roman" w:hAnsi="Times New Roman"/>
          <w:i/>
          <w:iCs/>
          <w:sz w:val="24"/>
        </w:rPr>
        <w:t xml:space="preserve">(C) </w:t>
      </w:r>
      <w:r w:rsidRPr="00F90E7C">
        <w:rPr>
          <w:rFonts w:ascii="Times New Roman" w:hAnsi="Times New Roman"/>
          <w:sz w:val="24"/>
        </w:rPr>
        <w:t>[2012] 1 WLR 3081 at 3086 [15] per Sir John Thomas P, Dobbs and Underhill JJ.</w:t>
      </w:r>
    </w:p>
  </w:footnote>
  <w:footnote w:id="60">
    <w:p w14:paraId="0C502FB3"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 xml:space="preserve">Rowan </w:t>
      </w:r>
      <w:r w:rsidRPr="00F90E7C">
        <w:rPr>
          <w:rFonts w:ascii="Times New Roman" w:hAnsi="Times New Roman"/>
          <w:sz w:val="24"/>
        </w:rPr>
        <w:t>[2022] VSCA 236 at [165], [167].</w:t>
      </w:r>
    </w:p>
  </w:footnote>
  <w:footnote w:id="61">
    <w:p w14:paraId="7B428C3D"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 xml:space="preserve">Rowan </w:t>
      </w:r>
      <w:r w:rsidRPr="00F90E7C">
        <w:rPr>
          <w:rFonts w:ascii="Times New Roman" w:hAnsi="Times New Roman"/>
          <w:sz w:val="24"/>
        </w:rPr>
        <w:t>[2022] VSCA 236 at [205].</w:t>
      </w:r>
    </w:p>
  </w:footnote>
  <w:footnote w:id="62">
    <w:p w14:paraId="430AF26D"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Rowan</w:t>
      </w:r>
      <w:r w:rsidRPr="00F90E7C">
        <w:rPr>
          <w:rFonts w:ascii="Times New Roman" w:hAnsi="Times New Roman"/>
          <w:sz w:val="24"/>
        </w:rPr>
        <w:t xml:space="preserve"> [2022] VSCA 236 at [154].</w:t>
      </w:r>
    </w:p>
  </w:footnote>
  <w:footnote w:id="63">
    <w:p w14:paraId="16031997"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Rowan</w:t>
      </w:r>
      <w:r w:rsidRPr="00F90E7C">
        <w:rPr>
          <w:rFonts w:ascii="Times New Roman" w:hAnsi="Times New Roman"/>
          <w:sz w:val="24"/>
        </w:rPr>
        <w:t xml:space="preserve"> [2022] VSCA 236 at [156].</w:t>
      </w:r>
    </w:p>
  </w:footnote>
  <w:footnote w:id="64">
    <w:p w14:paraId="0FF96F1B"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t xml:space="preserve">CPA, s 276(1)(b). </w:t>
      </w:r>
    </w:p>
  </w:footnote>
  <w:footnote w:id="65">
    <w:p w14:paraId="6F280997" w14:textId="77777777" w:rsidR="00562D00" w:rsidRPr="00F90E7C" w:rsidRDefault="00562D00" w:rsidP="00F90E7C">
      <w:pPr>
        <w:pStyle w:val="FootnoteText"/>
        <w:spacing w:line="280" w:lineRule="exact"/>
        <w:ind w:right="0"/>
        <w:jc w:val="both"/>
        <w:rPr>
          <w:rFonts w:ascii="Times New Roman" w:hAnsi="Times New Roman"/>
          <w:sz w:val="24"/>
          <w:lang w:val="en-US"/>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lang w:val="en-US"/>
        </w:rPr>
        <w:tab/>
      </w:r>
      <w:r w:rsidRPr="00F90E7C">
        <w:rPr>
          <w:rFonts w:ascii="Times New Roman" w:hAnsi="Times New Roman"/>
          <w:i/>
          <w:iCs/>
          <w:sz w:val="24"/>
          <w:lang w:val="en-US"/>
        </w:rPr>
        <w:t xml:space="preserve">Rowan </w:t>
      </w:r>
      <w:r w:rsidRPr="00F90E7C">
        <w:rPr>
          <w:rFonts w:ascii="Times New Roman" w:hAnsi="Times New Roman"/>
          <w:sz w:val="24"/>
        </w:rPr>
        <w:t>[2022] VSCA 236 at [164].</w:t>
      </w:r>
    </w:p>
  </w:footnote>
  <w:footnote w:id="66">
    <w:p w14:paraId="6E04DB31"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Rowan</w:t>
      </w:r>
      <w:r w:rsidRPr="00F90E7C">
        <w:rPr>
          <w:rFonts w:ascii="Times New Roman" w:hAnsi="Times New Roman"/>
          <w:sz w:val="24"/>
        </w:rPr>
        <w:t xml:space="preserve"> [2022] VSCA 236 at [173]</w:t>
      </w:r>
      <w:r w:rsidRPr="00F90E7C">
        <w:rPr>
          <w:rFonts w:ascii="Times New Roman" w:hAnsi="Times New Roman"/>
          <w:sz w:val="24"/>
        </w:rPr>
        <w:noBreakHyphen/>
        <w:t>[176].</w:t>
      </w:r>
    </w:p>
  </w:footnote>
  <w:footnote w:id="67">
    <w:p w14:paraId="4B59D206"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Hurley</w:t>
      </w:r>
      <w:r w:rsidRPr="00F90E7C">
        <w:rPr>
          <w:rFonts w:ascii="Times New Roman" w:hAnsi="Times New Roman"/>
          <w:sz w:val="24"/>
        </w:rPr>
        <w:t xml:space="preserve"> [1967] VR 526 at 543.</w:t>
      </w:r>
    </w:p>
  </w:footnote>
  <w:footnote w:id="68">
    <w:p w14:paraId="4FDB0752" w14:textId="77777777" w:rsidR="00562D00" w:rsidRPr="00F90E7C" w:rsidRDefault="00562D00" w:rsidP="00F90E7C">
      <w:pPr>
        <w:pStyle w:val="FootnoteText"/>
        <w:spacing w:line="280" w:lineRule="exact"/>
        <w:ind w:right="0"/>
        <w:jc w:val="both"/>
        <w:rPr>
          <w:rFonts w:ascii="Times New Roman" w:hAnsi="Times New Roman"/>
          <w:sz w:val="24"/>
        </w:rPr>
      </w:pPr>
      <w:r w:rsidRPr="00F90E7C">
        <w:rPr>
          <w:rStyle w:val="FootnoteReference"/>
          <w:rFonts w:ascii="Times New Roman" w:hAnsi="Times New Roman"/>
          <w:sz w:val="22"/>
          <w:vertAlign w:val="baseline"/>
        </w:rPr>
        <w:footnoteRef/>
      </w:r>
      <w:r w:rsidRPr="00F90E7C">
        <w:rPr>
          <w:rFonts w:ascii="Times New Roman" w:hAnsi="Times New Roman"/>
          <w:sz w:val="24"/>
        </w:rPr>
        <w:t xml:space="preserve"> </w:t>
      </w:r>
      <w:r w:rsidRPr="00F90E7C">
        <w:rPr>
          <w:rFonts w:ascii="Times New Roman" w:hAnsi="Times New Roman"/>
          <w:sz w:val="24"/>
        </w:rPr>
        <w:tab/>
      </w:r>
      <w:r w:rsidRPr="00F90E7C">
        <w:rPr>
          <w:rFonts w:ascii="Times New Roman" w:hAnsi="Times New Roman"/>
          <w:i/>
          <w:iCs/>
          <w:sz w:val="24"/>
        </w:rPr>
        <w:t>Rowan</w:t>
      </w:r>
      <w:r w:rsidRPr="00F90E7C">
        <w:rPr>
          <w:rFonts w:ascii="Times New Roman" w:hAnsi="Times New Roman"/>
          <w:sz w:val="24"/>
        </w:rPr>
        <w:t xml:space="preserve"> [2022] VSCA 236 at [218].</w:t>
      </w:r>
    </w:p>
  </w:footnote>
  <w:footnote w:id="69">
    <w:p w14:paraId="63869DA1"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R v Z </w:t>
      </w:r>
      <w:r w:rsidRPr="004B2AE8">
        <w:rPr>
          <w:rFonts w:ascii="Times New Roman" w:hAnsi="Times New Roman"/>
          <w:sz w:val="24"/>
        </w:rPr>
        <w:t xml:space="preserve">[2005] 2 AC 467 at 491 [21(7)]. See also </w:t>
      </w:r>
      <w:r w:rsidRPr="004B2AE8">
        <w:rPr>
          <w:rFonts w:ascii="Times New Roman" w:hAnsi="Times New Roman"/>
          <w:i/>
          <w:iCs/>
          <w:sz w:val="24"/>
        </w:rPr>
        <w:t xml:space="preserve">R v Sharp </w:t>
      </w:r>
      <w:r w:rsidRPr="004B2AE8">
        <w:rPr>
          <w:rFonts w:ascii="Times New Roman" w:hAnsi="Times New Roman"/>
          <w:sz w:val="24"/>
        </w:rPr>
        <w:t>[1987] QB 853 at 861.</w:t>
      </w:r>
    </w:p>
  </w:footnote>
  <w:footnote w:id="70">
    <w:p w14:paraId="3E5A0BA5"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See </w:t>
      </w:r>
      <w:r w:rsidRPr="004B2AE8">
        <w:rPr>
          <w:rFonts w:ascii="Times New Roman" w:hAnsi="Times New Roman"/>
          <w:i/>
          <w:iCs/>
          <w:sz w:val="24"/>
        </w:rPr>
        <w:t>R v Ru</w:t>
      </w:r>
      <w:r w:rsidRPr="004B2AE8">
        <w:rPr>
          <w:rFonts w:ascii="Times New Roman" w:hAnsi="Times New Roman"/>
          <w:i/>
          <w:sz w:val="24"/>
        </w:rPr>
        <w:t>n</w:t>
      </w:r>
      <w:r w:rsidRPr="004B2AE8">
        <w:rPr>
          <w:rFonts w:ascii="Times New Roman" w:hAnsi="Times New Roman"/>
          <w:i/>
          <w:iCs/>
          <w:sz w:val="24"/>
        </w:rPr>
        <w:t xml:space="preserve">janjic </w:t>
      </w:r>
      <w:r w:rsidRPr="004B2AE8">
        <w:rPr>
          <w:rFonts w:ascii="Times New Roman" w:hAnsi="Times New Roman"/>
          <w:sz w:val="24"/>
        </w:rPr>
        <w:t xml:space="preserve">(1991) 56 SASR 114 at 119-120. </w:t>
      </w:r>
    </w:p>
  </w:footnote>
  <w:footnote w:id="71">
    <w:p w14:paraId="1F7D90D6"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Crimes Act 1958 </w:t>
      </w:r>
      <w:r w:rsidRPr="004B2AE8">
        <w:rPr>
          <w:rFonts w:ascii="Times New Roman" w:hAnsi="Times New Roman"/>
          <w:sz w:val="24"/>
        </w:rPr>
        <w:t>(Vic), s 47(1) (as then in force).</w:t>
      </w:r>
    </w:p>
  </w:footnote>
  <w:footnote w:id="72">
    <w:p w14:paraId="2F2A17B1"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Crimes Act 1958 </w:t>
      </w:r>
      <w:r w:rsidRPr="004B2AE8">
        <w:rPr>
          <w:rFonts w:ascii="Times New Roman" w:hAnsi="Times New Roman"/>
          <w:sz w:val="24"/>
        </w:rPr>
        <w:t>(Vic), s 44(1) (as then in force).</w:t>
      </w:r>
    </w:p>
  </w:footnote>
  <w:footnote w:id="73">
    <w:p w14:paraId="7CDBB2BF"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Anna Rowan (a pseudonym) v The King </w:t>
      </w:r>
      <w:r w:rsidRPr="004B2AE8">
        <w:rPr>
          <w:rFonts w:ascii="Times New Roman" w:hAnsi="Times New Roman"/>
          <w:sz w:val="24"/>
        </w:rPr>
        <w:t xml:space="preserve">[2022] VSCA 236 at [38] fn 19, [118]. </w:t>
      </w:r>
    </w:p>
  </w:footnote>
  <w:footnote w:id="74">
    <w:p w14:paraId="1365343D"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Anna Rowan (a pseudonym) v The King </w:t>
      </w:r>
      <w:r w:rsidRPr="004B2AE8">
        <w:rPr>
          <w:rFonts w:ascii="Times New Roman" w:hAnsi="Times New Roman"/>
          <w:sz w:val="24"/>
        </w:rPr>
        <w:t xml:space="preserve">[2022] VSCA 236 at [202]. See also </w:t>
      </w:r>
      <w:r w:rsidRPr="004B2AE8">
        <w:rPr>
          <w:rFonts w:ascii="Times New Roman" w:hAnsi="Times New Roman"/>
          <w:i/>
          <w:iCs/>
          <w:sz w:val="24"/>
        </w:rPr>
        <w:t xml:space="preserve">Makita (Australia) Pty Ltd v Sprowles </w:t>
      </w:r>
      <w:r w:rsidRPr="004B2AE8">
        <w:rPr>
          <w:rFonts w:ascii="Times New Roman" w:hAnsi="Times New Roman"/>
          <w:sz w:val="24"/>
        </w:rPr>
        <w:t>(2001) 52 NSWLR 705 at 743-744 [85].</w:t>
      </w:r>
      <w:r w:rsidRPr="004B2AE8">
        <w:rPr>
          <w:rFonts w:ascii="Times New Roman" w:hAnsi="Times New Roman"/>
          <w:i/>
          <w:iCs/>
          <w:sz w:val="24"/>
        </w:rPr>
        <w:t xml:space="preserve"> </w:t>
      </w:r>
    </w:p>
  </w:footnote>
  <w:footnote w:id="75">
    <w:p w14:paraId="2C91BC89" w14:textId="77777777" w:rsidR="003567D9" w:rsidRPr="004B2AE8" w:rsidRDefault="003567D9" w:rsidP="004B2AE8">
      <w:pPr>
        <w:pStyle w:val="FootnoteText"/>
        <w:spacing w:line="280" w:lineRule="exact"/>
        <w:ind w:right="0"/>
        <w:jc w:val="both"/>
        <w:rPr>
          <w:rFonts w:ascii="Times New Roman" w:hAnsi="Times New Roman"/>
          <w:color w:val="333333"/>
          <w:sz w:val="24"/>
          <w:shd w:val="clear" w:color="auto" w:fill="FFFFFF"/>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Constitution</w:t>
      </w:r>
      <w:r w:rsidRPr="004B2AE8">
        <w:rPr>
          <w:rFonts w:ascii="Times New Roman" w:hAnsi="Times New Roman"/>
          <w:sz w:val="24"/>
        </w:rPr>
        <w:t xml:space="preserve">, s 73. See </w:t>
      </w:r>
      <w:r w:rsidRPr="004B2AE8">
        <w:rPr>
          <w:rFonts w:ascii="Times New Roman" w:hAnsi="Times New Roman"/>
          <w:i/>
          <w:iCs/>
          <w:sz w:val="24"/>
        </w:rPr>
        <w:t xml:space="preserve">Mickelberg v The Queen </w:t>
      </w:r>
      <w:r w:rsidRPr="004B2AE8">
        <w:rPr>
          <w:rFonts w:ascii="Times New Roman" w:hAnsi="Times New Roman"/>
          <w:sz w:val="24"/>
        </w:rPr>
        <w:t xml:space="preserve">(1989) 167 CLR 259 at 264, 271, 297-299; </w:t>
      </w:r>
      <w:r w:rsidRPr="004B2AE8">
        <w:rPr>
          <w:rFonts w:ascii="Times New Roman" w:hAnsi="Times New Roman"/>
          <w:i/>
          <w:sz w:val="24"/>
          <w:shd w:val="clear" w:color="auto" w:fill="FFFFFF"/>
        </w:rPr>
        <w:t xml:space="preserve">Eastman v The Queen </w:t>
      </w:r>
      <w:r w:rsidRPr="004B2AE8">
        <w:rPr>
          <w:rFonts w:ascii="Times New Roman" w:hAnsi="Times New Roman"/>
          <w:sz w:val="24"/>
          <w:shd w:val="clear" w:color="auto" w:fill="FFFFFF"/>
        </w:rPr>
        <w:t>(2000) 203 CLR 1 at 32-33 [104].</w:t>
      </w:r>
    </w:p>
  </w:footnote>
  <w:footnote w:id="76">
    <w:p w14:paraId="6DFAAC55"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Compare </w:t>
      </w:r>
      <w:r w:rsidRPr="004B2AE8">
        <w:rPr>
          <w:rFonts w:ascii="Times New Roman" w:hAnsi="Times New Roman"/>
          <w:i/>
          <w:iCs/>
          <w:sz w:val="24"/>
        </w:rPr>
        <w:t xml:space="preserve">Lang v The Queen </w:t>
      </w:r>
      <w:r w:rsidRPr="004B2AE8">
        <w:rPr>
          <w:rFonts w:ascii="Times New Roman" w:hAnsi="Times New Roman"/>
          <w:sz w:val="24"/>
        </w:rPr>
        <w:t>(2023) 97 ALJR 758 at 789 [192].</w:t>
      </w:r>
    </w:p>
  </w:footnote>
  <w:footnote w:id="77">
    <w:p w14:paraId="44B22D8B"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See </w:t>
      </w:r>
      <w:r w:rsidRPr="004B2AE8">
        <w:rPr>
          <w:rFonts w:ascii="Times New Roman" w:hAnsi="Times New Roman"/>
          <w:i/>
          <w:iCs/>
          <w:sz w:val="24"/>
        </w:rPr>
        <w:t xml:space="preserve">Anna Rowan (a pseudonym) v The King </w:t>
      </w:r>
      <w:r w:rsidRPr="004B2AE8">
        <w:rPr>
          <w:rFonts w:ascii="Times New Roman" w:hAnsi="Times New Roman"/>
          <w:sz w:val="24"/>
        </w:rPr>
        <w:t xml:space="preserve">[2022] VSCA 236 at [87], [200]-[203]. </w:t>
      </w:r>
    </w:p>
  </w:footnote>
  <w:footnote w:id="78">
    <w:p w14:paraId="028A004C"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Anna Rowan (a pseudonym) v The King </w:t>
      </w:r>
      <w:r w:rsidRPr="004B2AE8">
        <w:rPr>
          <w:rFonts w:ascii="Times New Roman" w:hAnsi="Times New Roman"/>
          <w:sz w:val="24"/>
        </w:rPr>
        <w:t>[2022] VSCA 236 at [205].</w:t>
      </w:r>
    </w:p>
  </w:footnote>
  <w:footnote w:id="79">
    <w:p w14:paraId="033A0C13"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See Gardner, </w:t>
      </w:r>
      <w:r w:rsidRPr="004B2AE8">
        <w:rPr>
          <w:rFonts w:ascii="Times New Roman" w:hAnsi="Times New Roman"/>
          <w:i/>
          <w:iCs/>
          <w:sz w:val="24"/>
        </w:rPr>
        <w:t xml:space="preserve">Offences and Defences: Selected Essays in the Philosophy of Criminal Law </w:t>
      </w:r>
      <w:r w:rsidRPr="004B2AE8">
        <w:rPr>
          <w:rFonts w:ascii="Times New Roman" w:hAnsi="Times New Roman"/>
          <w:sz w:val="24"/>
        </w:rPr>
        <w:t>(2007)</w:t>
      </w:r>
      <w:r w:rsidRPr="004B2AE8">
        <w:rPr>
          <w:rFonts w:ascii="Times New Roman" w:hAnsi="Times New Roman"/>
          <w:i/>
          <w:iCs/>
          <w:sz w:val="24"/>
        </w:rPr>
        <w:t xml:space="preserve"> </w:t>
      </w:r>
      <w:r w:rsidRPr="004B2AE8">
        <w:rPr>
          <w:rFonts w:ascii="Times New Roman" w:hAnsi="Times New Roman"/>
          <w:sz w:val="24"/>
        </w:rPr>
        <w:t xml:space="preserve">at 133. </w:t>
      </w:r>
    </w:p>
  </w:footnote>
  <w:footnote w:id="80">
    <w:p w14:paraId="64EDEBAD"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In re F (Mental Patient: Sterilisation) </w:t>
      </w:r>
      <w:r w:rsidRPr="004B2AE8">
        <w:rPr>
          <w:rFonts w:ascii="Times New Roman" w:hAnsi="Times New Roman"/>
          <w:sz w:val="24"/>
        </w:rPr>
        <w:t xml:space="preserve">[1990] 2 AC 1 at 74. See also Virgo, "Justifying Necessity as a Defence in Tort Law", in Dyson, Goudkamp and Wilmot-Smith (eds), </w:t>
      </w:r>
      <w:r w:rsidRPr="004B2AE8">
        <w:rPr>
          <w:rFonts w:ascii="Times New Roman" w:hAnsi="Times New Roman"/>
          <w:i/>
          <w:iCs/>
          <w:sz w:val="24"/>
        </w:rPr>
        <w:t xml:space="preserve">Defences in Tort </w:t>
      </w:r>
      <w:r w:rsidRPr="004B2AE8">
        <w:rPr>
          <w:rFonts w:ascii="Times New Roman" w:hAnsi="Times New Roman"/>
          <w:sz w:val="24"/>
        </w:rPr>
        <w:t xml:space="preserve">(2015) 135 at 151, referring to </w:t>
      </w:r>
      <w:r w:rsidRPr="004B2AE8">
        <w:rPr>
          <w:rFonts w:ascii="Times New Roman" w:hAnsi="Times New Roman"/>
          <w:i/>
          <w:iCs/>
          <w:sz w:val="24"/>
        </w:rPr>
        <w:t xml:space="preserve">Ploof v Putnam </w:t>
      </w:r>
      <w:r w:rsidRPr="004B2AE8">
        <w:rPr>
          <w:rFonts w:ascii="Times New Roman" w:hAnsi="Times New Roman"/>
          <w:sz w:val="24"/>
        </w:rPr>
        <w:t xml:space="preserve">(1908) 71 A 188 and the privilege (subject to a condition subsequent to pay for damage caused) in </w:t>
      </w:r>
      <w:r w:rsidRPr="004B2AE8">
        <w:rPr>
          <w:rFonts w:ascii="Times New Roman" w:hAnsi="Times New Roman"/>
          <w:i/>
          <w:iCs/>
          <w:sz w:val="24"/>
        </w:rPr>
        <w:t xml:space="preserve">Vincent v Lake Erie Transportation Co </w:t>
      </w:r>
      <w:r w:rsidRPr="004B2AE8">
        <w:rPr>
          <w:rFonts w:ascii="Times New Roman" w:hAnsi="Times New Roman"/>
          <w:sz w:val="24"/>
        </w:rPr>
        <w:t>(1910) 124 NW 221.</w:t>
      </w:r>
    </w:p>
  </w:footnote>
  <w:footnote w:id="81">
    <w:p w14:paraId="16773439" w14:textId="77777777" w:rsidR="003567D9" w:rsidRPr="004B2AE8" w:rsidRDefault="003567D9" w:rsidP="004B2AE8">
      <w:pPr>
        <w:pStyle w:val="FootnoteText"/>
        <w:spacing w:line="280" w:lineRule="exact"/>
        <w:ind w:right="0"/>
        <w:jc w:val="both"/>
        <w:rPr>
          <w:rFonts w:ascii="Times New Roman" w:hAnsi="Times New Roman"/>
          <w:i/>
          <w:iCs/>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See </w:t>
      </w:r>
      <w:r w:rsidRPr="004B2AE8">
        <w:rPr>
          <w:rFonts w:ascii="Times New Roman" w:hAnsi="Times New Roman"/>
          <w:i/>
          <w:iCs/>
          <w:sz w:val="24"/>
        </w:rPr>
        <w:t xml:space="preserve">Perka v The Queen </w:t>
      </w:r>
      <w:r w:rsidRPr="004B2AE8">
        <w:rPr>
          <w:rFonts w:ascii="Times New Roman" w:hAnsi="Times New Roman"/>
          <w:sz w:val="24"/>
        </w:rPr>
        <w:t xml:space="preserve">[1984] 2 SCR 232 at 246-247; Fletcher, </w:t>
      </w:r>
      <w:r w:rsidRPr="004B2AE8">
        <w:rPr>
          <w:rFonts w:ascii="Times New Roman" w:hAnsi="Times New Roman"/>
          <w:i/>
          <w:iCs/>
          <w:sz w:val="24"/>
        </w:rPr>
        <w:t xml:space="preserve">Rethinking Criminal Law </w:t>
      </w:r>
      <w:r w:rsidRPr="004B2AE8">
        <w:rPr>
          <w:rFonts w:ascii="Times New Roman" w:hAnsi="Times New Roman"/>
          <w:sz w:val="24"/>
        </w:rPr>
        <w:t xml:space="preserve">(1978) at 759, §10.1; Hart, </w:t>
      </w:r>
      <w:r w:rsidRPr="004B2AE8">
        <w:rPr>
          <w:rFonts w:ascii="Times New Roman" w:hAnsi="Times New Roman"/>
          <w:i/>
          <w:iCs/>
          <w:sz w:val="24"/>
        </w:rPr>
        <w:t>Punishment and Responsibility</w:t>
      </w:r>
      <w:r w:rsidRPr="004B2AE8">
        <w:rPr>
          <w:rFonts w:ascii="Times New Roman" w:hAnsi="Times New Roman"/>
          <w:i/>
          <w:sz w:val="24"/>
        </w:rPr>
        <w:t>: Essays in the Philosophy of Law</w:t>
      </w:r>
      <w:r w:rsidRPr="004B2AE8">
        <w:rPr>
          <w:rFonts w:ascii="Times New Roman" w:hAnsi="Times New Roman"/>
          <w:sz w:val="24"/>
        </w:rPr>
        <w:t xml:space="preserve">, 2nd ed (2008) at 13. </w:t>
      </w:r>
      <w:r w:rsidRPr="004B2AE8">
        <w:rPr>
          <w:rFonts w:ascii="Times New Roman" w:hAnsi="Times New Roman"/>
          <w:i/>
          <w:iCs/>
          <w:sz w:val="24"/>
        </w:rPr>
        <w:t xml:space="preserve"> </w:t>
      </w:r>
    </w:p>
  </w:footnote>
  <w:footnote w:id="82">
    <w:p w14:paraId="761B1B83"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Perka v The Queen </w:t>
      </w:r>
      <w:r w:rsidRPr="004B2AE8">
        <w:rPr>
          <w:rFonts w:ascii="Times New Roman" w:hAnsi="Times New Roman"/>
          <w:sz w:val="24"/>
        </w:rPr>
        <w:t>[1984] 2 SCR 232</w:t>
      </w:r>
      <w:r w:rsidRPr="004B2AE8">
        <w:rPr>
          <w:rFonts w:ascii="Times New Roman" w:hAnsi="Times New Roman"/>
          <w:i/>
          <w:iCs/>
          <w:sz w:val="24"/>
        </w:rPr>
        <w:t xml:space="preserve"> </w:t>
      </w:r>
      <w:r w:rsidRPr="004B2AE8">
        <w:rPr>
          <w:rFonts w:ascii="Times New Roman" w:hAnsi="Times New Roman"/>
          <w:sz w:val="24"/>
        </w:rPr>
        <w:t xml:space="preserve">at 246. </w:t>
      </w:r>
    </w:p>
  </w:footnote>
  <w:footnote w:id="83">
    <w:p w14:paraId="08FB6242"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Style w:val="cf01"/>
          <w:rFonts w:ascii="Times New Roman" w:hAnsi="Times New Roman"/>
          <w:sz w:val="24"/>
        </w:rPr>
        <w:t xml:space="preserve">Simester, "On Justifications and Excuses", in Zedner and Roberts (eds), </w:t>
      </w:r>
      <w:r w:rsidRPr="004B2AE8">
        <w:rPr>
          <w:rStyle w:val="cf11"/>
          <w:rFonts w:ascii="Times New Roman" w:hAnsi="Times New Roman" w:cs="Times New Roman"/>
          <w:sz w:val="24"/>
          <w:szCs w:val="26"/>
        </w:rPr>
        <w:t xml:space="preserve">Principles and Values in Criminal Law and Criminal Justice: Essays in Honour of Andrew Ashworth </w:t>
      </w:r>
      <w:r w:rsidRPr="004B2AE8">
        <w:rPr>
          <w:rStyle w:val="cf01"/>
          <w:rFonts w:ascii="Times New Roman" w:hAnsi="Times New Roman"/>
          <w:sz w:val="24"/>
        </w:rPr>
        <w:t>(2012) 95 at 100.</w:t>
      </w:r>
    </w:p>
  </w:footnote>
  <w:footnote w:id="84">
    <w:p w14:paraId="2EF54695"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Hart, </w:t>
      </w:r>
      <w:r w:rsidRPr="004B2AE8">
        <w:rPr>
          <w:rFonts w:ascii="Times New Roman" w:hAnsi="Times New Roman"/>
          <w:i/>
          <w:iCs/>
          <w:sz w:val="24"/>
        </w:rPr>
        <w:t>Punishment and Responsibility</w:t>
      </w:r>
      <w:r w:rsidRPr="004B2AE8">
        <w:rPr>
          <w:rFonts w:ascii="Times New Roman" w:hAnsi="Times New Roman"/>
          <w:i/>
          <w:sz w:val="24"/>
        </w:rPr>
        <w:t>: Essays in the Philosophy of Law</w:t>
      </w:r>
      <w:r w:rsidRPr="004B2AE8">
        <w:rPr>
          <w:rFonts w:ascii="Times New Roman" w:hAnsi="Times New Roman"/>
          <w:sz w:val="24"/>
        </w:rPr>
        <w:t>, 2nd ed (2008) at 13.</w:t>
      </w:r>
    </w:p>
  </w:footnote>
  <w:footnote w:id="85">
    <w:p w14:paraId="12A19C58"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Fletcher, "The Right and the Reasonable" (1985) 98 </w:t>
      </w:r>
      <w:r w:rsidRPr="004B2AE8">
        <w:rPr>
          <w:rFonts w:ascii="Times New Roman" w:hAnsi="Times New Roman"/>
          <w:i/>
          <w:iCs/>
          <w:sz w:val="24"/>
        </w:rPr>
        <w:t xml:space="preserve">Harvard Law Review </w:t>
      </w:r>
      <w:r w:rsidRPr="004B2AE8">
        <w:rPr>
          <w:rFonts w:ascii="Times New Roman" w:hAnsi="Times New Roman"/>
          <w:sz w:val="24"/>
        </w:rPr>
        <w:t>949 at 955.</w:t>
      </w:r>
    </w:p>
  </w:footnote>
  <w:footnote w:id="86">
    <w:p w14:paraId="5CF7AA1E"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Pickett v Western Australia </w:t>
      </w:r>
      <w:r w:rsidRPr="004B2AE8">
        <w:rPr>
          <w:rFonts w:ascii="Times New Roman" w:hAnsi="Times New Roman"/>
          <w:sz w:val="24"/>
        </w:rPr>
        <w:t xml:space="preserve">(2020) 270 CLR 323 at 364-365 [98]. See also </w:t>
      </w:r>
      <w:r w:rsidRPr="004B2AE8">
        <w:rPr>
          <w:rFonts w:ascii="Times New Roman" w:hAnsi="Times New Roman"/>
          <w:i/>
          <w:iCs/>
          <w:sz w:val="24"/>
        </w:rPr>
        <w:t xml:space="preserve">Zecevic v Director of Public Prosecutions (Vict) </w:t>
      </w:r>
      <w:r w:rsidRPr="004B2AE8">
        <w:rPr>
          <w:rFonts w:ascii="Times New Roman" w:hAnsi="Times New Roman"/>
          <w:sz w:val="24"/>
        </w:rPr>
        <w:t>(1987) 162 CLR 645 at 657-658.</w:t>
      </w:r>
    </w:p>
  </w:footnote>
  <w:footnote w:id="87">
    <w:p w14:paraId="24462C0C"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See </w:t>
      </w:r>
      <w:r w:rsidRPr="004B2AE8">
        <w:rPr>
          <w:rFonts w:ascii="Times New Roman" w:hAnsi="Times New Roman"/>
          <w:i/>
          <w:iCs/>
          <w:sz w:val="24"/>
        </w:rPr>
        <w:t xml:space="preserve">Pickett v Western Australia </w:t>
      </w:r>
      <w:r w:rsidRPr="004B2AE8">
        <w:rPr>
          <w:rFonts w:ascii="Times New Roman" w:hAnsi="Times New Roman"/>
          <w:sz w:val="24"/>
        </w:rPr>
        <w:t xml:space="preserve">(2020) 270 CLR 323 at 366 [102]; </w:t>
      </w:r>
      <w:r w:rsidRPr="004B2AE8">
        <w:rPr>
          <w:rFonts w:ascii="Times New Roman" w:hAnsi="Times New Roman"/>
          <w:i/>
          <w:iCs/>
          <w:sz w:val="24"/>
        </w:rPr>
        <w:t xml:space="preserve">O'Dea v Western Australia </w:t>
      </w:r>
      <w:r w:rsidRPr="004B2AE8">
        <w:rPr>
          <w:rFonts w:ascii="Times New Roman" w:hAnsi="Times New Roman"/>
          <w:sz w:val="24"/>
        </w:rPr>
        <w:t>(2022) 273 CLR 315 at 339-340 [65].</w:t>
      </w:r>
    </w:p>
  </w:footnote>
  <w:footnote w:id="88">
    <w:p w14:paraId="33149875"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See </w:t>
      </w:r>
      <w:r w:rsidRPr="004B2AE8">
        <w:rPr>
          <w:rFonts w:ascii="Times New Roman" w:hAnsi="Times New Roman"/>
          <w:i/>
          <w:iCs/>
          <w:sz w:val="24"/>
        </w:rPr>
        <w:t xml:space="preserve">Pickett v Western Australia </w:t>
      </w:r>
      <w:r w:rsidRPr="004B2AE8">
        <w:rPr>
          <w:rFonts w:ascii="Times New Roman" w:hAnsi="Times New Roman"/>
          <w:sz w:val="24"/>
        </w:rPr>
        <w:t xml:space="preserve">(2020) 270 CLR 323 at 366 [100], referring to Smith, </w:t>
      </w:r>
      <w:r w:rsidRPr="004B2AE8">
        <w:rPr>
          <w:rFonts w:ascii="Times New Roman" w:hAnsi="Times New Roman"/>
          <w:i/>
          <w:iCs/>
          <w:sz w:val="24"/>
        </w:rPr>
        <w:t xml:space="preserve">Justification and Excuse in the Criminal Law </w:t>
      </w:r>
      <w:r w:rsidRPr="004B2AE8">
        <w:rPr>
          <w:rFonts w:ascii="Times New Roman" w:hAnsi="Times New Roman"/>
          <w:sz w:val="24"/>
        </w:rPr>
        <w:t xml:space="preserve">(1989) at 19, 27-28. </w:t>
      </w:r>
    </w:p>
  </w:footnote>
  <w:footnote w:id="89">
    <w:p w14:paraId="3829A103"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Goudkamp, </w:t>
      </w:r>
      <w:r w:rsidRPr="004B2AE8">
        <w:rPr>
          <w:rFonts w:ascii="Times New Roman" w:hAnsi="Times New Roman"/>
          <w:i/>
          <w:iCs/>
          <w:sz w:val="24"/>
        </w:rPr>
        <w:t xml:space="preserve">Tort Law Defences </w:t>
      </w:r>
      <w:r w:rsidRPr="004B2AE8">
        <w:rPr>
          <w:rFonts w:ascii="Times New Roman" w:hAnsi="Times New Roman"/>
          <w:sz w:val="24"/>
        </w:rPr>
        <w:t xml:space="preserve">(2013) at 85. </w:t>
      </w:r>
    </w:p>
  </w:footnote>
  <w:footnote w:id="90">
    <w:p w14:paraId="3012C822"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Fletcher, </w:t>
      </w:r>
      <w:r w:rsidRPr="004B2AE8">
        <w:rPr>
          <w:rFonts w:ascii="Times New Roman" w:hAnsi="Times New Roman"/>
          <w:i/>
          <w:iCs/>
          <w:sz w:val="24"/>
        </w:rPr>
        <w:t xml:space="preserve">Rethinking Criminal Law </w:t>
      </w:r>
      <w:r w:rsidRPr="004B2AE8">
        <w:rPr>
          <w:rFonts w:ascii="Times New Roman" w:hAnsi="Times New Roman"/>
          <w:sz w:val="24"/>
        </w:rPr>
        <w:t xml:space="preserve">(1978) at 818, §10.4.1. See also Stark, "Necessity and </w:t>
      </w:r>
      <w:r w:rsidRPr="004B2AE8">
        <w:rPr>
          <w:rFonts w:ascii="Times New Roman" w:hAnsi="Times New Roman"/>
          <w:i/>
          <w:iCs/>
          <w:sz w:val="24"/>
        </w:rPr>
        <w:t>Nicklinson</w:t>
      </w:r>
      <w:r w:rsidRPr="004B2AE8">
        <w:rPr>
          <w:rFonts w:ascii="Times New Roman" w:hAnsi="Times New Roman"/>
          <w:sz w:val="24"/>
        </w:rPr>
        <w:t xml:space="preserve">" [2013] </w:t>
      </w:r>
      <w:r w:rsidRPr="004B2AE8">
        <w:rPr>
          <w:rFonts w:ascii="Times New Roman" w:hAnsi="Times New Roman"/>
          <w:i/>
          <w:sz w:val="24"/>
        </w:rPr>
        <w:t>The</w:t>
      </w:r>
      <w:r w:rsidRPr="004B2AE8">
        <w:rPr>
          <w:rFonts w:ascii="Times New Roman" w:hAnsi="Times New Roman"/>
          <w:i/>
          <w:iCs/>
          <w:sz w:val="24"/>
        </w:rPr>
        <w:t xml:space="preserve"> Criminal Law Review </w:t>
      </w:r>
      <w:r w:rsidRPr="004B2AE8">
        <w:rPr>
          <w:rFonts w:ascii="Times New Roman" w:hAnsi="Times New Roman"/>
          <w:sz w:val="24"/>
        </w:rPr>
        <w:t xml:space="preserve">949 at 950; Virgo, "Justifying Necessity as a Defence in Tort Law", in Dyson, Goudkamp and Wilmot-Smith (eds), </w:t>
      </w:r>
      <w:r w:rsidRPr="004B2AE8">
        <w:rPr>
          <w:rFonts w:ascii="Times New Roman" w:hAnsi="Times New Roman"/>
          <w:i/>
          <w:iCs/>
          <w:sz w:val="24"/>
        </w:rPr>
        <w:t xml:space="preserve">Defences in Tort </w:t>
      </w:r>
      <w:r w:rsidRPr="004B2AE8">
        <w:rPr>
          <w:rFonts w:ascii="Times New Roman" w:hAnsi="Times New Roman"/>
          <w:sz w:val="24"/>
        </w:rPr>
        <w:t xml:space="preserve">(2015) 135 at 141. </w:t>
      </w:r>
      <w:r w:rsidRPr="004B2AE8">
        <w:rPr>
          <w:rFonts w:ascii="Times New Roman" w:hAnsi="Times New Roman"/>
          <w:i/>
          <w:iCs/>
          <w:sz w:val="24"/>
        </w:rPr>
        <w:t xml:space="preserve"> </w:t>
      </w:r>
    </w:p>
  </w:footnote>
  <w:footnote w:id="91">
    <w:p w14:paraId="5B94843C"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In re A (Children) (Conjoined Twins: Surgical Separation) </w:t>
      </w:r>
      <w:r w:rsidRPr="004B2AE8">
        <w:rPr>
          <w:rFonts w:ascii="Times New Roman" w:hAnsi="Times New Roman"/>
          <w:sz w:val="24"/>
        </w:rPr>
        <w:t xml:space="preserve">[2001] Fam 147 at 236. See also </w:t>
      </w:r>
      <w:r w:rsidRPr="004B2AE8">
        <w:rPr>
          <w:rFonts w:ascii="Times New Roman" w:hAnsi="Times New Roman"/>
          <w:i/>
          <w:iCs/>
          <w:sz w:val="24"/>
        </w:rPr>
        <w:t>In re F (Mental Patient</w:t>
      </w:r>
      <w:r w:rsidRPr="004B2AE8">
        <w:rPr>
          <w:rFonts w:ascii="Times New Roman" w:hAnsi="Times New Roman"/>
          <w:i/>
          <w:sz w:val="24"/>
        </w:rPr>
        <w:t>:</w:t>
      </w:r>
      <w:r w:rsidRPr="004B2AE8">
        <w:rPr>
          <w:rFonts w:ascii="Times New Roman" w:hAnsi="Times New Roman"/>
          <w:i/>
          <w:iCs/>
          <w:sz w:val="24"/>
        </w:rPr>
        <w:t xml:space="preserve"> Sterilisation) </w:t>
      </w:r>
      <w:r w:rsidRPr="004B2AE8">
        <w:rPr>
          <w:rFonts w:ascii="Times New Roman" w:hAnsi="Times New Roman"/>
          <w:sz w:val="24"/>
        </w:rPr>
        <w:t>[1990] 2 AC 1 at 74.</w:t>
      </w:r>
    </w:p>
  </w:footnote>
  <w:footnote w:id="92">
    <w:p w14:paraId="6BA1E15D"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See </w:t>
      </w:r>
      <w:r w:rsidRPr="004B2AE8">
        <w:rPr>
          <w:rFonts w:ascii="Times New Roman" w:hAnsi="Times New Roman"/>
          <w:i/>
          <w:iCs/>
          <w:sz w:val="24"/>
        </w:rPr>
        <w:t xml:space="preserve">R v Loughnan </w:t>
      </w:r>
      <w:r w:rsidRPr="004B2AE8">
        <w:rPr>
          <w:rFonts w:ascii="Times New Roman" w:hAnsi="Times New Roman"/>
          <w:sz w:val="24"/>
        </w:rPr>
        <w:t xml:space="preserve">[1981] VR 443; </w:t>
      </w:r>
      <w:r w:rsidRPr="004B2AE8">
        <w:rPr>
          <w:rFonts w:ascii="Times New Roman" w:hAnsi="Times New Roman"/>
          <w:i/>
          <w:iCs/>
          <w:sz w:val="24"/>
        </w:rPr>
        <w:t xml:space="preserve">Rogers </w:t>
      </w:r>
      <w:r w:rsidRPr="004B2AE8">
        <w:rPr>
          <w:rFonts w:ascii="Times New Roman" w:hAnsi="Times New Roman"/>
          <w:sz w:val="24"/>
        </w:rPr>
        <w:t xml:space="preserve">(1996) 86 A Crim R 542. </w:t>
      </w:r>
    </w:p>
  </w:footnote>
  <w:footnote w:id="93">
    <w:p w14:paraId="3C4F9862"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Packett v The King </w:t>
      </w:r>
      <w:r w:rsidRPr="004B2AE8">
        <w:rPr>
          <w:rFonts w:ascii="Times New Roman" w:hAnsi="Times New Roman"/>
          <w:sz w:val="24"/>
        </w:rPr>
        <w:t>(1937) 58 CLR 190 at 217.</w:t>
      </w:r>
    </w:p>
  </w:footnote>
  <w:footnote w:id="94">
    <w:p w14:paraId="5495BB25"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Perka v The Queen </w:t>
      </w:r>
      <w:r w:rsidRPr="004B2AE8">
        <w:rPr>
          <w:rFonts w:ascii="Times New Roman" w:hAnsi="Times New Roman"/>
          <w:sz w:val="24"/>
        </w:rPr>
        <w:t>[1984] 2 SCR 232 at 248-249. Compare at 276.</w:t>
      </w:r>
    </w:p>
  </w:footnote>
  <w:footnote w:id="95">
    <w:p w14:paraId="0F396897"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(1884) 14 QBD 273. </w:t>
      </w:r>
    </w:p>
  </w:footnote>
  <w:footnote w:id="96">
    <w:p w14:paraId="286E1CC8"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See especially (1884) 14 QBD 273 at 286-288.</w:t>
      </w:r>
    </w:p>
  </w:footnote>
  <w:footnote w:id="97">
    <w:p w14:paraId="2352F9C7"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Simpson, </w:t>
      </w:r>
      <w:r w:rsidRPr="004B2AE8">
        <w:rPr>
          <w:rFonts w:ascii="Times New Roman" w:hAnsi="Times New Roman"/>
          <w:i/>
          <w:iCs/>
          <w:sz w:val="24"/>
        </w:rPr>
        <w:t xml:space="preserve">Cannibalism and the Common Law </w:t>
      </w:r>
      <w:r w:rsidRPr="004B2AE8">
        <w:rPr>
          <w:rFonts w:ascii="Times New Roman" w:hAnsi="Times New Roman"/>
          <w:sz w:val="24"/>
        </w:rPr>
        <w:t>(1984) at 230-231.</w:t>
      </w:r>
    </w:p>
  </w:footnote>
  <w:footnote w:id="98">
    <w:p w14:paraId="414507F5"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Fletcher, </w:t>
      </w:r>
      <w:r w:rsidRPr="004B2AE8">
        <w:rPr>
          <w:rFonts w:ascii="Times New Roman" w:hAnsi="Times New Roman"/>
          <w:i/>
          <w:iCs/>
          <w:sz w:val="24"/>
        </w:rPr>
        <w:t xml:space="preserve">Rethinking Criminal Law </w:t>
      </w:r>
      <w:r w:rsidRPr="004B2AE8">
        <w:rPr>
          <w:rFonts w:ascii="Times New Roman" w:hAnsi="Times New Roman"/>
          <w:sz w:val="24"/>
        </w:rPr>
        <w:t xml:space="preserve">(1978) at 823, §10.4.1, citing Simonson, "Der 'Mignonette'-fall in England" (1885) 5 </w:t>
      </w:r>
      <w:r w:rsidRPr="004B2AE8">
        <w:rPr>
          <w:rFonts w:ascii="Times New Roman" w:hAnsi="Times New Roman"/>
          <w:i/>
          <w:iCs/>
          <w:sz w:val="24"/>
        </w:rPr>
        <w:t>Zeitschrift für die gesamte Strafrechtswissenschaft</w:t>
      </w:r>
      <w:r w:rsidRPr="004B2AE8">
        <w:rPr>
          <w:rFonts w:ascii="Times New Roman" w:hAnsi="Times New Roman"/>
          <w:sz w:val="24"/>
        </w:rPr>
        <w:t xml:space="preserve"> 367.</w:t>
      </w:r>
    </w:p>
  </w:footnote>
  <w:footnote w:id="99">
    <w:p w14:paraId="104F127B"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Fletcher, </w:t>
      </w:r>
      <w:r w:rsidRPr="004B2AE8">
        <w:rPr>
          <w:rFonts w:ascii="Times New Roman" w:hAnsi="Times New Roman"/>
          <w:i/>
          <w:iCs/>
          <w:sz w:val="24"/>
        </w:rPr>
        <w:t xml:space="preserve">Rethinking Criminal Law </w:t>
      </w:r>
      <w:r w:rsidRPr="004B2AE8">
        <w:rPr>
          <w:rFonts w:ascii="Times New Roman" w:hAnsi="Times New Roman"/>
          <w:sz w:val="24"/>
        </w:rPr>
        <w:t xml:space="preserve">(1978) at 830, §10.4.2. See also </w:t>
      </w:r>
      <w:r w:rsidRPr="004B2AE8">
        <w:rPr>
          <w:rFonts w:ascii="Times New Roman" w:hAnsi="Times New Roman"/>
          <w:i/>
          <w:iCs/>
          <w:sz w:val="24"/>
        </w:rPr>
        <w:t xml:space="preserve">R v Z </w:t>
      </w:r>
      <w:r w:rsidRPr="004B2AE8">
        <w:rPr>
          <w:rFonts w:ascii="Times New Roman" w:hAnsi="Times New Roman"/>
          <w:sz w:val="24"/>
        </w:rPr>
        <w:t>[2005] 2 AC 467 at 489 [18].</w:t>
      </w:r>
    </w:p>
  </w:footnote>
  <w:footnote w:id="100">
    <w:p w14:paraId="4484AF4E"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See Gardner, </w:t>
      </w:r>
      <w:r w:rsidRPr="004B2AE8">
        <w:rPr>
          <w:rFonts w:ascii="Times New Roman" w:hAnsi="Times New Roman"/>
          <w:i/>
          <w:iCs/>
          <w:sz w:val="24"/>
        </w:rPr>
        <w:t xml:space="preserve">Offences and Defences: Selected Essays in the Philosophy of Criminal Law </w:t>
      </w:r>
      <w:r w:rsidRPr="004B2AE8">
        <w:rPr>
          <w:rFonts w:ascii="Times New Roman" w:hAnsi="Times New Roman"/>
          <w:sz w:val="24"/>
        </w:rPr>
        <w:t>(2007)</w:t>
      </w:r>
      <w:r w:rsidRPr="004B2AE8">
        <w:rPr>
          <w:rFonts w:ascii="Times New Roman" w:hAnsi="Times New Roman"/>
          <w:i/>
          <w:iCs/>
          <w:sz w:val="24"/>
        </w:rPr>
        <w:t xml:space="preserve"> </w:t>
      </w:r>
      <w:r w:rsidRPr="004B2AE8">
        <w:rPr>
          <w:rFonts w:ascii="Times New Roman" w:hAnsi="Times New Roman"/>
          <w:sz w:val="24"/>
        </w:rPr>
        <w:t>at 256-257.</w:t>
      </w:r>
    </w:p>
  </w:footnote>
  <w:footnote w:id="101">
    <w:p w14:paraId="31462D23" w14:textId="77777777" w:rsidR="003567D9" w:rsidRPr="004B2AE8" w:rsidRDefault="003567D9" w:rsidP="004B2AE8">
      <w:pPr>
        <w:pStyle w:val="FootnoteText"/>
        <w:spacing w:line="280" w:lineRule="exact"/>
        <w:ind w:right="0"/>
        <w:jc w:val="both"/>
        <w:rPr>
          <w:rFonts w:ascii="Times New Roman" w:hAnsi="Times New Roman"/>
          <w:i/>
          <w:iCs/>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R v Howe </w:t>
      </w:r>
      <w:r w:rsidRPr="004B2AE8">
        <w:rPr>
          <w:rFonts w:ascii="Times New Roman" w:hAnsi="Times New Roman"/>
          <w:sz w:val="24"/>
        </w:rPr>
        <w:t xml:space="preserve">[1987] AC 417 at 443. See also at 432-433. </w:t>
      </w:r>
    </w:p>
  </w:footnote>
  <w:footnote w:id="102">
    <w:p w14:paraId="6C3E5D79"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sz w:val="24"/>
          <w:lang w:eastAsia="en-US"/>
        </w:rPr>
        <w:t xml:space="preserve">Williams, </w:t>
      </w:r>
      <w:r w:rsidRPr="004B2AE8">
        <w:rPr>
          <w:rFonts w:ascii="Times New Roman" w:hAnsi="Times New Roman"/>
          <w:i/>
          <w:iCs/>
          <w:sz w:val="24"/>
          <w:lang w:eastAsia="en-US"/>
        </w:rPr>
        <w:t>Criminal Law: The General Part</w:t>
      </w:r>
      <w:r w:rsidRPr="004B2AE8">
        <w:rPr>
          <w:rFonts w:ascii="Times New Roman" w:hAnsi="Times New Roman"/>
          <w:sz w:val="24"/>
          <w:lang w:eastAsia="en-US"/>
        </w:rPr>
        <w:t>, 2nd ed (1961) at 757.</w:t>
      </w:r>
    </w:p>
  </w:footnote>
  <w:footnote w:id="103">
    <w:p w14:paraId="2F94C8EB"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See </w:t>
      </w:r>
      <w:r w:rsidRPr="004B2AE8">
        <w:rPr>
          <w:rFonts w:ascii="Times New Roman" w:hAnsi="Times New Roman"/>
          <w:i/>
          <w:iCs/>
          <w:sz w:val="24"/>
        </w:rPr>
        <w:t xml:space="preserve">R v Martin </w:t>
      </w:r>
      <w:r w:rsidRPr="004B2AE8">
        <w:rPr>
          <w:rFonts w:ascii="Times New Roman" w:hAnsi="Times New Roman"/>
          <w:sz w:val="24"/>
        </w:rPr>
        <w:t xml:space="preserve">[1989] 1 All ER 652 at 653; </w:t>
      </w:r>
      <w:r w:rsidRPr="004B2AE8">
        <w:rPr>
          <w:rFonts w:ascii="Times New Roman" w:hAnsi="Times New Roman"/>
          <w:i/>
          <w:iCs/>
          <w:sz w:val="24"/>
        </w:rPr>
        <w:t xml:space="preserve">Pommell </w:t>
      </w:r>
      <w:r w:rsidRPr="004B2AE8">
        <w:rPr>
          <w:rFonts w:ascii="Times New Roman" w:hAnsi="Times New Roman"/>
          <w:sz w:val="24"/>
        </w:rPr>
        <w:t xml:space="preserve">[1995] 2 Cr App R 607 at 609-610, 614-615; </w:t>
      </w:r>
      <w:r w:rsidRPr="004B2AE8">
        <w:rPr>
          <w:rFonts w:ascii="Times New Roman" w:hAnsi="Times New Roman"/>
          <w:i/>
          <w:iCs/>
          <w:sz w:val="24"/>
        </w:rPr>
        <w:t xml:space="preserve">In re A (Children) (Conjoined Twins: Surgical Separation) </w:t>
      </w:r>
      <w:r w:rsidRPr="004B2AE8">
        <w:rPr>
          <w:rFonts w:ascii="Times New Roman" w:hAnsi="Times New Roman"/>
          <w:sz w:val="24"/>
        </w:rPr>
        <w:t xml:space="preserve">[2001] Fam 147 at 232-236; </w:t>
      </w:r>
      <w:r w:rsidRPr="004B2AE8">
        <w:rPr>
          <w:rFonts w:ascii="Times New Roman" w:hAnsi="Times New Roman"/>
          <w:i/>
          <w:iCs/>
          <w:sz w:val="24"/>
        </w:rPr>
        <w:t xml:space="preserve">R v Shayler </w:t>
      </w:r>
      <w:r w:rsidRPr="004B2AE8">
        <w:rPr>
          <w:rFonts w:ascii="Times New Roman" w:hAnsi="Times New Roman"/>
          <w:sz w:val="24"/>
        </w:rPr>
        <w:t>[2001] 1 WLR 2206 at 2222 [42].</w:t>
      </w:r>
    </w:p>
  </w:footnote>
  <w:footnote w:id="104">
    <w:p w14:paraId="79ECB0D1"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R v Howe </w:t>
      </w:r>
      <w:r w:rsidRPr="004B2AE8">
        <w:rPr>
          <w:rFonts w:ascii="Times New Roman" w:hAnsi="Times New Roman"/>
          <w:sz w:val="24"/>
        </w:rPr>
        <w:t xml:space="preserve">[1987] AC 417 at 429. See also </w:t>
      </w:r>
      <w:r w:rsidRPr="004B2AE8">
        <w:rPr>
          <w:rFonts w:ascii="Times New Roman" w:hAnsi="Times New Roman"/>
          <w:i/>
          <w:iCs/>
          <w:sz w:val="24"/>
        </w:rPr>
        <w:t xml:space="preserve">R v Conway </w:t>
      </w:r>
      <w:r w:rsidRPr="004B2AE8">
        <w:rPr>
          <w:rFonts w:ascii="Times New Roman" w:hAnsi="Times New Roman"/>
          <w:sz w:val="24"/>
        </w:rPr>
        <w:t>[1989] QB 290 at 297.</w:t>
      </w:r>
    </w:p>
  </w:footnote>
  <w:footnote w:id="105">
    <w:p w14:paraId="08482CC7"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Cross, "Murder under Duress" (1978) 28 </w:t>
      </w:r>
      <w:r w:rsidRPr="004B2AE8">
        <w:rPr>
          <w:rFonts w:ascii="Times New Roman" w:hAnsi="Times New Roman"/>
          <w:i/>
          <w:iCs/>
          <w:sz w:val="24"/>
        </w:rPr>
        <w:t xml:space="preserve">University of Toronto Law Journal </w:t>
      </w:r>
      <w:r w:rsidRPr="004B2AE8">
        <w:rPr>
          <w:rFonts w:ascii="Times New Roman" w:hAnsi="Times New Roman"/>
          <w:sz w:val="24"/>
        </w:rPr>
        <w:t xml:space="preserve">369 at 377. See also </w:t>
      </w:r>
      <w:r w:rsidRPr="004B2AE8">
        <w:rPr>
          <w:rFonts w:ascii="Times New Roman" w:hAnsi="Times New Roman"/>
          <w:i/>
          <w:iCs/>
          <w:sz w:val="24"/>
        </w:rPr>
        <w:t xml:space="preserve">Moss v Howdle </w:t>
      </w:r>
      <w:r w:rsidRPr="004B2AE8">
        <w:rPr>
          <w:rFonts w:ascii="Times New Roman" w:hAnsi="Times New Roman"/>
          <w:sz w:val="24"/>
        </w:rPr>
        <w:t>1997 JC 123 at 128.</w:t>
      </w:r>
    </w:p>
  </w:footnote>
  <w:footnote w:id="106">
    <w:p w14:paraId="53EA82AB"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[1987] AC 417 at 429. See also </w:t>
      </w:r>
      <w:r w:rsidRPr="004B2AE8">
        <w:rPr>
          <w:rFonts w:ascii="Times New Roman" w:hAnsi="Times New Roman"/>
          <w:i/>
          <w:iCs/>
          <w:sz w:val="24"/>
        </w:rPr>
        <w:t xml:space="preserve">R v Martin </w:t>
      </w:r>
      <w:r w:rsidRPr="004B2AE8">
        <w:rPr>
          <w:rFonts w:ascii="Times New Roman" w:hAnsi="Times New Roman"/>
          <w:sz w:val="24"/>
        </w:rPr>
        <w:t xml:space="preserve">[1989] 1 All ER 652 at 653-654; </w:t>
      </w:r>
      <w:r w:rsidRPr="004B2AE8">
        <w:rPr>
          <w:rFonts w:ascii="Times New Roman" w:hAnsi="Times New Roman"/>
          <w:i/>
          <w:iCs/>
          <w:sz w:val="24"/>
        </w:rPr>
        <w:t xml:space="preserve">In re A (Children) (Conjoined Twins: Surgical Separation) </w:t>
      </w:r>
      <w:r w:rsidRPr="004B2AE8">
        <w:rPr>
          <w:rFonts w:ascii="Times New Roman" w:hAnsi="Times New Roman"/>
          <w:sz w:val="24"/>
        </w:rPr>
        <w:t>[2001] Fam 147</w:t>
      </w:r>
      <w:r w:rsidRPr="004B2AE8">
        <w:rPr>
          <w:rFonts w:ascii="Times New Roman" w:hAnsi="Times New Roman"/>
          <w:i/>
          <w:iCs/>
          <w:sz w:val="24"/>
        </w:rPr>
        <w:t xml:space="preserve"> </w:t>
      </w:r>
      <w:r w:rsidRPr="004B2AE8">
        <w:rPr>
          <w:rFonts w:ascii="Times New Roman" w:hAnsi="Times New Roman"/>
          <w:sz w:val="24"/>
        </w:rPr>
        <w:t xml:space="preserve">at 253. </w:t>
      </w:r>
    </w:p>
  </w:footnote>
  <w:footnote w:id="107">
    <w:p w14:paraId="66A3B2AF"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Director of Public Prosecutions for Northern Ireland v Lynch </w:t>
      </w:r>
      <w:r w:rsidRPr="004B2AE8">
        <w:rPr>
          <w:rFonts w:ascii="Times New Roman" w:hAnsi="Times New Roman"/>
          <w:sz w:val="24"/>
        </w:rPr>
        <w:t xml:space="preserve">[1975] AC 653 at 692-693. See also Smith, </w:t>
      </w:r>
      <w:r w:rsidRPr="004B2AE8">
        <w:rPr>
          <w:rFonts w:ascii="Times New Roman" w:hAnsi="Times New Roman"/>
          <w:i/>
          <w:iCs/>
          <w:sz w:val="24"/>
        </w:rPr>
        <w:t>Justification and Excuse in the Criminal Law</w:t>
      </w:r>
      <w:r w:rsidRPr="004B2AE8">
        <w:rPr>
          <w:rFonts w:ascii="Times New Roman" w:hAnsi="Times New Roman"/>
          <w:sz w:val="24"/>
        </w:rPr>
        <w:t xml:space="preserve"> (1989) at 85. </w:t>
      </w:r>
    </w:p>
  </w:footnote>
  <w:footnote w:id="108">
    <w:p w14:paraId="310AD83D"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American Law Institute, </w:t>
      </w:r>
      <w:r w:rsidRPr="004B2AE8">
        <w:rPr>
          <w:rFonts w:ascii="Times New Roman" w:hAnsi="Times New Roman"/>
          <w:i/>
          <w:iCs/>
          <w:sz w:val="24"/>
        </w:rPr>
        <w:t xml:space="preserve">Model Penal Code and Commentaries (Official Draft and Revised Comments) </w:t>
      </w:r>
      <w:r w:rsidRPr="004B2AE8">
        <w:rPr>
          <w:rFonts w:ascii="Times New Roman" w:hAnsi="Times New Roman"/>
          <w:sz w:val="24"/>
        </w:rPr>
        <w:t>(1985), Pt 1, §2.09, comment 3 at 376.</w:t>
      </w:r>
    </w:p>
  </w:footnote>
  <w:footnote w:id="109">
    <w:p w14:paraId="08166EE2"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R v Conway </w:t>
      </w:r>
      <w:r w:rsidRPr="004B2AE8">
        <w:rPr>
          <w:rFonts w:ascii="Times New Roman" w:hAnsi="Times New Roman"/>
          <w:sz w:val="24"/>
        </w:rPr>
        <w:t xml:space="preserve">[1989] QB 290 at 297.  </w:t>
      </w:r>
    </w:p>
  </w:footnote>
  <w:footnote w:id="110">
    <w:p w14:paraId="5FA89BF5"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Crimes Act 1958</w:t>
      </w:r>
      <w:r w:rsidRPr="004B2AE8">
        <w:rPr>
          <w:rFonts w:ascii="Times New Roman" w:hAnsi="Times New Roman"/>
          <w:sz w:val="24"/>
        </w:rPr>
        <w:t> (Vic), ss 322Q, 322S.</w:t>
      </w:r>
    </w:p>
  </w:footnote>
  <w:footnote w:id="111">
    <w:p w14:paraId="6273E742"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Crimes Act 1958</w:t>
      </w:r>
      <w:r w:rsidRPr="004B2AE8">
        <w:rPr>
          <w:rFonts w:ascii="Times New Roman" w:hAnsi="Times New Roman"/>
          <w:sz w:val="24"/>
        </w:rPr>
        <w:t> (Vic), ss 322O, 322R.</w:t>
      </w:r>
    </w:p>
  </w:footnote>
  <w:footnote w:id="112">
    <w:p w14:paraId="137BC657"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Anna Rowan (a pseudonym) v The King </w:t>
      </w:r>
      <w:r w:rsidRPr="004B2AE8">
        <w:rPr>
          <w:rFonts w:ascii="Times New Roman" w:hAnsi="Times New Roman"/>
          <w:sz w:val="24"/>
        </w:rPr>
        <w:t>[2022] VSCA 236 at [154]-[156] (footnote omitted).</w:t>
      </w:r>
    </w:p>
  </w:footnote>
  <w:footnote w:id="113">
    <w:p w14:paraId="0E74B8A6"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Anna Rowan (a pseudonym) v The King </w:t>
      </w:r>
      <w:r w:rsidRPr="004B2AE8">
        <w:rPr>
          <w:rFonts w:ascii="Times New Roman" w:hAnsi="Times New Roman"/>
          <w:sz w:val="24"/>
        </w:rPr>
        <w:t>[2022] VSCA 236 at [156].</w:t>
      </w:r>
    </w:p>
  </w:footnote>
  <w:footnote w:id="114">
    <w:p w14:paraId="2EDC5EE5"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Anna Rowan (a pseudonym) v The King </w:t>
      </w:r>
      <w:r w:rsidRPr="004B2AE8">
        <w:rPr>
          <w:rFonts w:ascii="Times New Roman" w:hAnsi="Times New Roman"/>
          <w:sz w:val="24"/>
        </w:rPr>
        <w:t>[2022] VSCA 236 at [174].</w:t>
      </w:r>
    </w:p>
  </w:footnote>
  <w:footnote w:id="115">
    <w:p w14:paraId="57313F92"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Anna Rowan (a pseudonym) v The King </w:t>
      </w:r>
      <w:r w:rsidRPr="004B2AE8">
        <w:rPr>
          <w:rFonts w:ascii="Times New Roman" w:hAnsi="Times New Roman"/>
          <w:sz w:val="24"/>
        </w:rPr>
        <w:t>[2022] VSCA 236 at [218].</w:t>
      </w:r>
    </w:p>
  </w:footnote>
  <w:footnote w:id="116">
    <w:p w14:paraId="1760AFB7"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See also </w:t>
      </w:r>
      <w:r w:rsidRPr="004B2AE8">
        <w:rPr>
          <w:rFonts w:ascii="Times New Roman" w:hAnsi="Times New Roman"/>
          <w:i/>
          <w:iCs/>
          <w:sz w:val="24"/>
        </w:rPr>
        <w:t xml:space="preserve">R v Runjanjic </w:t>
      </w:r>
      <w:r w:rsidRPr="004B2AE8">
        <w:rPr>
          <w:rFonts w:ascii="Times New Roman" w:hAnsi="Times New Roman"/>
          <w:sz w:val="24"/>
        </w:rPr>
        <w:t>(1991) 56 SASR 114 at 119-120.</w:t>
      </w:r>
    </w:p>
  </w:footnote>
  <w:footnote w:id="117">
    <w:p w14:paraId="7341B3A1"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[1967] VR 526.</w:t>
      </w:r>
    </w:p>
  </w:footnote>
  <w:footnote w:id="118">
    <w:p w14:paraId="3A951183"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[1967] VR 526 at 543.</w:t>
      </w:r>
    </w:p>
  </w:footnote>
  <w:footnote w:id="119">
    <w:p w14:paraId="03CDA955"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[1967] VR 526 at 543.</w:t>
      </w:r>
    </w:p>
  </w:footnote>
  <w:footnote w:id="120">
    <w:p w14:paraId="03E5D416"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See </w:t>
      </w:r>
      <w:r w:rsidRPr="004B2AE8">
        <w:rPr>
          <w:rFonts w:ascii="Times New Roman" w:hAnsi="Times New Roman"/>
          <w:i/>
          <w:sz w:val="24"/>
        </w:rPr>
        <w:t>Taiapa v The Queen</w:t>
      </w:r>
      <w:r w:rsidRPr="004B2AE8">
        <w:rPr>
          <w:rFonts w:ascii="Times New Roman" w:hAnsi="Times New Roman"/>
          <w:sz w:val="24"/>
        </w:rPr>
        <w:t xml:space="preserve"> (2009) 240 CLR 95 at 105 [28] fn 46.</w:t>
      </w:r>
    </w:p>
  </w:footnote>
  <w:footnote w:id="121">
    <w:p w14:paraId="2305F7EE"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[1967] VR 526 at 543 (emphasis added).</w:t>
      </w:r>
    </w:p>
  </w:footnote>
  <w:footnote w:id="122">
    <w:p w14:paraId="3705382F"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See </w:t>
      </w:r>
      <w:r w:rsidRPr="004B2AE8">
        <w:rPr>
          <w:rFonts w:ascii="Times New Roman" w:hAnsi="Times New Roman"/>
          <w:i/>
          <w:iCs/>
          <w:sz w:val="24"/>
        </w:rPr>
        <w:t xml:space="preserve">Taiapa v The Queen </w:t>
      </w:r>
      <w:r w:rsidRPr="004B2AE8">
        <w:rPr>
          <w:rFonts w:ascii="Times New Roman" w:hAnsi="Times New Roman"/>
          <w:sz w:val="24"/>
        </w:rPr>
        <w:t xml:space="preserve">(2009) 240 CLR 95 at 105 [28] fn 46. </w:t>
      </w:r>
    </w:p>
  </w:footnote>
  <w:footnote w:id="123">
    <w:p w14:paraId="5E492AEE"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[1978] VR 536.</w:t>
      </w:r>
    </w:p>
  </w:footnote>
  <w:footnote w:id="124">
    <w:p w14:paraId="3800CDB8"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R v Dawson </w:t>
      </w:r>
      <w:r w:rsidRPr="004B2AE8">
        <w:rPr>
          <w:rFonts w:ascii="Times New Roman" w:hAnsi="Times New Roman"/>
          <w:sz w:val="24"/>
        </w:rPr>
        <w:t>[1978] VR 536 at 538.</w:t>
      </w:r>
    </w:p>
  </w:footnote>
  <w:footnote w:id="125">
    <w:p w14:paraId="11E0DCD8"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(1974) 220 NW 2d 212.</w:t>
      </w:r>
    </w:p>
  </w:footnote>
  <w:footnote w:id="126">
    <w:p w14:paraId="7A850B81"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People v Harmon </w:t>
      </w:r>
      <w:r w:rsidRPr="004B2AE8">
        <w:rPr>
          <w:rFonts w:ascii="Times New Roman" w:hAnsi="Times New Roman"/>
          <w:sz w:val="24"/>
        </w:rPr>
        <w:t xml:space="preserve">(1974) 220 NW 2d 212 at 215. </w:t>
      </w:r>
    </w:p>
  </w:footnote>
  <w:footnote w:id="127">
    <w:p w14:paraId="5D17472D"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People v Lovercamp </w:t>
      </w:r>
      <w:r w:rsidRPr="004B2AE8">
        <w:rPr>
          <w:rFonts w:ascii="Times New Roman" w:hAnsi="Times New Roman"/>
          <w:sz w:val="24"/>
        </w:rPr>
        <w:t>(1974) 118 Cal Rptr 110 at 115.</w:t>
      </w:r>
    </w:p>
  </w:footnote>
  <w:footnote w:id="128">
    <w:p w14:paraId="6112782A"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People v Lovercamp </w:t>
      </w:r>
      <w:r w:rsidRPr="004B2AE8">
        <w:rPr>
          <w:rFonts w:ascii="Times New Roman" w:hAnsi="Times New Roman"/>
          <w:sz w:val="24"/>
        </w:rPr>
        <w:t>(1974) 118 Cal Rptr 110 at 112.</w:t>
      </w:r>
    </w:p>
  </w:footnote>
  <w:footnote w:id="129">
    <w:p w14:paraId="1C98D5E7"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[1978] VR 536 at 538-539, 542-543.</w:t>
      </w:r>
    </w:p>
  </w:footnote>
  <w:footnote w:id="130">
    <w:p w14:paraId="2E52AEF3"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R v Dawson </w:t>
      </w:r>
      <w:r w:rsidRPr="004B2AE8">
        <w:rPr>
          <w:rFonts w:ascii="Times New Roman" w:hAnsi="Times New Roman"/>
          <w:sz w:val="24"/>
        </w:rPr>
        <w:t>[1978] VR 536 at 539-540.</w:t>
      </w:r>
    </w:p>
  </w:footnote>
  <w:footnote w:id="131">
    <w:p w14:paraId="350E6450" w14:textId="77777777" w:rsidR="003567D9" w:rsidRPr="004B2AE8" w:rsidRDefault="003567D9" w:rsidP="004B2AE8">
      <w:pPr>
        <w:pStyle w:val="FootnoteText"/>
        <w:spacing w:line="280" w:lineRule="exact"/>
        <w:ind w:right="0"/>
        <w:jc w:val="both"/>
        <w:rPr>
          <w:rFonts w:ascii="Times New Roman" w:hAnsi="Times New Roman"/>
          <w:i/>
          <w:iCs/>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See </w:t>
      </w:r>
      <w:r w:rsidRPr="004B2AE8">
        <w:rPr>
          <w:rFonts w:ascii="Times New Roman" w:hAnsi="Times New Roman"/>
          <w:i/>
          <w:iCs/>
          <w:sz w:val="24"/>
        </w:rPr>
        <w:t xml:space="preserve">R v Loughnan </w:t>
      </w:r>
      <w:r w:rsidRPr="004B2AE8">
        <w:rPr>
          <w:rFonts w:ascii="Times New Roman" w:hAnsi="Times New Roman"/>
          <w:sz w:val="24"/>
        </w:rPr>
        <w:t xml:space="preserve">[1981] VR 443; </w:t>
      </w:r>
      <w:r w:rsidRPr="004B2AE8">
        <w:rPr>
          <w:rFonts w:ascii="Times New Roman" w:hAnsi="Times New Roman"/>
          <w:i/>
          <w:iCs/>
          <w:sz w:val="24"/>
        </w:rPr>
        <w:t xml:space="preserve">Rogers </w:t>
      </w:r>
      <w:r w:rsidRPr="004B2AE8">
        <w:rPr>
          <w:rFonts w:ascii="Times New Roman" w:hAnsi="Times New Roman"/>
          <w:sz w:val="24"/>
        </w:rPr>
        <w:t>(1996) 86 A Crim R 542.</w:t>
      </w:r>
      <w:r w:rsidRPr="004B2AE8">
        <w:rPr>
          <w:rFonts w:ascii="Times New Roman" w:hAnsi="Times New Roman"/>
          <w:i/>
          <w:iCs/>
          <w:sz w:val="24"/>
        </w:rPr>
        <w:t xml:space="preserve"> </w:t>
      </w:r>
    </w:p>
  </w:footnote>
  <w:footnote w:id="132">
    <w:p w14:paraId="042B2835"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Joint reasons at [</w:t>
      </w:r>
      <w:r w:rsidRPr="006D50E5">
        <w:rPr>
          <w:rFonts w:ascii="Times New Roman" w:hAnsi="Times New Roman"/>
          <w:sz w:val="24"/>
        </w:rPr>
        <w:t>36</w:t>
      </w:r>
      <w:r w:rsidRPr="004B2AE8">
        <w:rPr>
          <w:rFonts w:ascii="Times New Roman" w:hAnsi="Times New Roman"/>
          <w:sz w:val="24"/>
        </w:rPr>
        <w:t xml:space="preserve">]. </w:t>
      </w:r>
    </w:p>
  </w:footnote>
  <w:footnote w:id="133">
    <w:p w14:paraId="06B23640"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Fairall and Barrett, </w:t>
      </w:r>
      <w:r w:rsidRPr="004B2AE8">
        <w:rPr>
          <w:rFonts w:ascii="Times New Roman" w:hAnsi="Times New Roman"/>
          <w:i/>
          <w:iCs/>
          <w:sz w:val="24"/>
        </w:rPr>
        <w:t>Criminal Defences in Australia</w:t>
      </w:r>
      <w:r w:rsidRPr="004B2AE8">
        <w:rPr>
          <w:rFonts w:ascii="Times New Roman" w:hAnsi="Times New Roman"/>
          <w:sz w:val="24"/>
        </w:rPr>
        <w:t>, 5th ed (2017) at 233.</w:t>
      </w:r>
    </w:p>
  </w:footnote>
  <w:footnote w:id="134">
    <w:p w14:paraId="7DD7E32D"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Willer </w:t>
      </w:r>
      <w:r w:rsidRPr="004B2AE8">
        <w:rPr>
          <w:rFonts w:ascii="Times New Roman" w:hAnsi="Times New Roman"/>
          <w:sz w:val="24"/>
        </w:rPr>
        <w:t xml:space="preserve">(1986) 83 Cr App R 225 at 226. </w:t>
      </w:r>
    </w:p>
  </w:footnote>
  <w:footnote w:id="135">
    <w:p w14:paraId="5E3342D0"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Olson, "Escape: The Defenses of Duress and Necessity" (1972) 6 </w:t>
      </w:r>
      <w:r w:rsidRPr="004B2AE8">
        <w:rPr>
          <w:rFonts w:ascii="Times New Roman" w:hAnsi="Times New Roman"/>
          <w:i/>
          <w:iCs/>
          <w:sz w:val="24"/>
        </w:rPr>
        <w:t xml:space="preserve">University of San Francisco Law Review </w:t>
      </w:r>
      <w:r w:rsidRPr="004B2AE8">
        <w:rPr>
          <w:rFonts w:ascii="Times New Roman" w:hAnsi="Times New Roman"/>
          <w:sz w:val="24"/>
        </w:rPr>
        <w:t xml:space="preserve">430 at 448. </w:t>
      </w:r>
    </w:p>
  </w:footnote>
  <w:footnote w:id="136">
    <w:p w14:paraId="6F96FD00"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Taiapa v The Queen </w:t>
      </w:r>
      <w:r w:rsidRPr="004B2AE8">
        <w:rPr>
          <w:rFonts w:ascii="Times New Roman" w:hAnsi="Times New Roman"/>
          <w:sz w:val="24"/>
        </w:rPr>
        <w:t xml:space="preserve">(2009) 240 CLR 95 at 109 [39]. See also </w:t>
      </w:r>
      <w:r w:rsidRPr="004B2AE8">
        <w:rPr>
          <w:rFonts w:ascii="Times New Roman" w:hAnsi="Times New Roman"/>
          <w:i/>
          <w:iCs/>
          <w:sz w:val="24"/>
        </w:rPr>
        <w:t xml:space="preserve">Director of Public Prosecutions for Northern Ireland v Lynch </w:t>
      </w:r>
      <w:r w:rsidRPr="004B2AE8">
        <w:rPr>
          <w:rFonts w:ascii="Times New Roman" w:hAnsi="Times New Roman"/>
          <w:sz w:val="24"/>
        </w:rPr>
        <w:t xml:space="preserve">[1975] AC 653 at 668; </w:t>
      </w:r>
      <w:r w:rsidRPr="004B2AE8">
        <w:rPr>
          <w:rFonts w:ascii="Times New Roman" w:hAnsi="Times New Roman"/>
          <w:i/>
          <w:iCs/>
          <w:sz w:val="24"/>
        </w:rPr>
        <w:t xml:space="preserve">R v Z </w:t>
      </w:r>
      <w:r w:rsidRPr="004B2AE8">
        <w:rPr>
          <w:rFonts w:ascii="Times New Roman" w:hAnsi="Times New Roman"/>
          <w:sz w:val="24"/>
        </w:rPr>
        <w:t>[2005] 2 AC 467 at 489 [20].</w:t>
      </w:r>
    </w:p>
  </w:footnote>
  <w:footnote w:id="137">
    <w:p w14:paraId="0E74E83B"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t xml:space="preserve">See </w:t>
      </w:r>
      <w:r w:rsidRPr="004B2AE8">
        <w:rPr>
          <w:rFonts w:ascii="Times New Roman" w:hAnsi="Times New Roman"/>
          <w:i/>
          <w:iCs/>
          <w:sz w:val="24"/>
        </w:rPr>
        <w:t xml:space="preserve">Crimes Act 1958 </w:t>
      </w:r>
      <w:r w:rsidRPr="004B2AE8">
        <w:rPr>
          <w:rFonts w:ascii="Times New Roman" w:hAnsi="Times New Roman"/>
          <w:sz w:val="24"/>
        </w:rPr>
        <w:t>(Vic), s 322I.</w:t>
      </w:r>
    </w:p>
  </w:footnote>
  <w:footnote w:id="138">
    <w:p w14:paraId="35FDE365" w14:textId="77777777" w:rsidR="003567D9" w:rsidRPr="004B2AE8" w:rsidRDefault="003567D9" w:rsidP="004B2AE8">
      <w:pPr>
        <w:pStyle w:val="FootnoteText"/>
        <w:spacing w:line="280" w:lineRule="exact"/>
        <w:ind w:right="0"/>
        <w:jc w:val="both"/>
        <w:rPr>
          <w:rFonts w:ascii="Times New Roman" w:hAnsi="Times New Roman"/>
          <w:sz w:val="24"/>
        </w:rPr>
      </w:pPr>
      <w:r w:rsidRPr="004B2AE8">
        <w:rPr>
          <w:rStyle w:val="FootnoteReference"/>
          <w:rFonts w:ascii="Times New Roman" w:hAnsi="Times New Roman"/>
          <w:sz w:val="22"/>
          <w:vertAlign w:val="baseline"/>
        </w:rPr>
        <w:footnoteRef/>
      </w:r>
      <w:r w:rsidRPr="004B2AE8">
        <w:rPr>
          <w:rFonts w:ascii="Times New Roman" w:hAnsi="Times New Roman"/>
          <w:sz w:val="24"/>
        </w:rPr>
        <w:t xml:space="preserve"> </w:t>
      </w:r>
      <w:r w:rsidRPr="004B2AE8">
        <w:rPr>
          <w:rFonts w:ascii="Times New Roman" w:hAnsi="Times New Roman"/>
          <w:sz w:val="24"/>
        </w:rPr>
        <w:tab/>
      </w:r>
      <w:r w:rsidRPr="004B2AE8">
        <w:rPr>
          <w:rFonts w:ascii="Times New Roman" w:hAnsi="Times New Roman"/>
          <w:i/>
          <w:iCs/>
          <w:sz w:val="24"/>
        </w:rPr>
        <w:t xml:space="preserve">Jury Directions Act 2015 </w:t>
      </w:r>
      <w:r w:rsidRPr="004B2AE8">
        <w:rPr>
          <w:rFonts w:ascii="Times New Roman" w:hAnsi="Times New Roman"/>
          <w:sz w:val="24"/>
        </w:rPr>
        <w:t>(Vic), s 14(2).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6655" w14:textId="77777777" w:rsidR="00F90E7C" w:rsidRPr="005F2362" w:rsidRDefault="00F90E7C" w:rsidP="005F23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B60C" w14:textId="77777777" w:rsidR="00B93F98" w:rsidRPr="00B93F98" w:rsidRDefault="00B93F98" w:rsidP="00B93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5449" w14:textId="69D64FE2" w:rsidR="00F90E7C" w:rsidRPr="005F2362" w:rsidRDefault="005F2362" w:rsidP="005F236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17</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9</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EAAC" w14:textId="2825BB56" w:rsidR="008A7A04" w:rsidRPr="005F2362" w:rsidRDefault="008A7A04" w:rsidP="005F23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6306" w14:textId="77777777" w:rsidR="005F2362" w:rsidRPr="00F90E7C" w:rsidRDefault="005F2362" w:rsidP="00F90E7C">
    <w:pPr>
      <w:pStyle w:val="Header"/>
      <w:tabs>
        <w:tab w:val="clear" w:pos="4153"/>
        <w:tab w:val="clear" w:pos="8306"/>
        <w:tab w:val="right" w:pos="1304"/>
      </w:tabs>
      <w:spacing w:line="280" w:lineRule="exact"/>
      <w:ind w:firstLine="0"/>
      <w:rPr>
        <w:rFonts w:ascii="Times New Roman" w:hAnsi="Times New Roman"/>
        <w:i/>
        <w:sz w:val="22"/>
      </w:rPr>
    </w:pPr>
    <w:r w:rsidRPr="00F90E7C">
      <w:rPr>
        <w:rFonts w:ascii="Times New Roman" w:hAnsi="Times New Roman"/>
        <w:i/>
        <w:sz w:val="22"/>
      </w:rPr>
      <w:t>Gageler</w:t>
    </w:r>
    <w:r w:rsidRPr="00F90E7C">
      <w:rPr>
        <w:rFonts w:ascii="Times New Roman" w:hAnsi="Times New Roman"/>
        <w:i/>
        <w:sz w:val="22"/>
      </w:rPr>
      <w:tab/>
      <w:t>CJ</w:t>
    </w:r>
  </w:p>
  <w:p w14:paraId="115CC64F" w14:textId="77777777" w:rsidR="005F2362" w:rsidRPr="00F90E7C" w:rsidRDefault="005F2362" w:rsidP="00F90E7C">
    <w:pPr>
      <w:pStyle w:val="Header"/>
      <w:tabs>
        <w:tab w:val="clear" w:pos="4153"/>
        <w:tab w:val="clear" w:pos="8306"/>
        <w:tab w:val="right" w:pos="1304"/>
      </w:tabs>
      <w:spacing w:line="280" w:lineRule="exact"/>
      <w:ind w:firstLine="0"/>
      <w:rPr>
        <w:rFonts w:ascii="Times New Roman" w:hAnsi="Times New Roman"/>
        <w:i/>
        <w:sz w:val="22"/>
      </w:rPr>
    </w:pPr>
    <w:r w:rsidRPr="00F90E7C">
      <w:rPr>
        <w:rFonts w:ascii="Times New Roman" w:hAnsi="Times New Roman"/>
        <w:i/>
        <w:sz w:val="22"/>
      </w:rPr>
      <w:t>Gordon</w:t>
    </w:r>
    <w:r w:rsidRPr="00F90E7C">
      <w:rPr>
        <w:rFonts w:ascii="Times New Roman" w:hAnsi="Times New Roman"/>
        <w:i/>
        <w:sz w:val="22"/>
      </w:rPr>
      <w:tab/>
      <w:t>J</w:t>
    </w:r>
  </w:p>
  <w:p w14:paraId="2F30722F" w14:textId="77777777" w:rsidR="005F2362" w:rsidRPr="00F90E7C" w:rsidRDefault="005F2362" w:rsidP="00F90E7C">
    <w:pPr>
      <w:pStyle w:val="Header"/>
      <w:tabs>
        <w:tab w:val="clear" w:pos="4153"/>
        <w:tab w:val="clear" w:pos="8306"/>
        <w:tab w:val="right" w:pos="1304"/>
      </w:tabs>
      <w:spacing w:line="280" w:lineRule="exact"/>
      <w:ind w:firstLine="0"/>
      <w:rPr>
        <w:rFonts w:ascii="Times New Roman" w:hAnsi="Times New Roman"/>
        <w:i/>
        <w:sz w:val="22"/>
      </w:rPr>
    </w:pPr>
    <w:r w:rsidRPr="00F90E7C">
      <w:rPr>
        <w:rFonts w:ascii="Times New Roman" w:hAnsi="Times New Roman"/>
        <w:i/>
        <w:sz w:val="22"/>
      </w:rPr>
      <w:t>Jagot</w:t>
    </w:r>
    <w:r w:rsidRPr="00F90E7C">
      <w:rPr>
        <w:rFonts w:ascii="Times New Roman" w:hAnsi="Times New Roman"/>
        <w:i/>
        <w:sz w:val="22"/>
      </w:rPr>
      <w:tab/>
      <w:t>J</w:t>
    </w:r>
  </w:p>
  <w:p w14:paraId="7099325D" w14:textId="77777777" w:rsidR="005F2362" w:rsidRDefault="005F2362" w:rsidP="00F90E7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402E09F4" w14:textId="77777777" w:rsidR="005F2362" w:rsidRDefault="005F2362" w:rsidP="00F90E7C">
    <w:pPr>
      <w:pStyle w:val="Header"/>
      <w:tabs>
        <w:tab w:val="clear" w:pos="4153"/>
        <w:tab w:val="clear" w:pos="8306"/>
        <w:tab w:val="right" w:pos="1304"/>
      </w:tabs>
      <w:spacing w:line="280" w:lineRule="exact"/>
      <w:ind w:firstLine="0"/>
      <w:rPr>
        <w:rFonts w:ascii="Times New Roman" w:hAnsi="Times New Roman"/>
        <w:i/>
        <w:sz w:val="22"/>
      </w:rPr>
    </w:pPr>
  </w:p>
  <w:p w14:paraId="4140AC55" w14:textId="77777777" w:rsidR="005F2362" w:rsidRDefault="005F2362" w:rsidP="00F90E7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92018C9" w14:textId="77777777" w:rsidR="005F2362" w:rsidRPr="00F90E7C" w:rsidRDefault="005F2362" w:rsidP="00F90E7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B644" w14:textId="77777777" w:rsidR="005F2362" w:rsidRPr="00F90E7C" w:rsidRDefault="005F2362" w:rsidP="00F90E7C">
    <w:pPr>
      <w:pStyle w:val="Header"/>
      <w:tabs>
        <w:tab w:val="clear" w:pos="4153"/>
        <w:tab w:val="clear" w:pos="8306"/>
        <w:tab w:val="left" w:pos="7200"/>
        <w:tab w:val="right" w:pos="8504"/>
      </w:tabs>
      <w:spacing w:line="280" w:lineRule="exact"/>
      <w:jc w:val="right"/>
      <w:rPr>
        <w:rFonts w:ascii="Times New Roman" w:hAnsi="Times New Roman"/>
        <w:i/>
        <w:sz w:val="22"/>
      </w:rPr>
    </w:pPr>
    <w:r w:rsidRPr="00F90E7C">
      <w:rPr>
        <w:rFonts w:ascii="Times New Roman" w:hAnsi="Times New Roman"/>
        <w:i/>
        <w:sz w:val="22"/>
      </w:rPr>
      <w:tab/>
      <w:t>Gageler</w:t>
    </w:r>
    <w:r w:rsidRPr="00F90E7C">
      <w:rPr>
        <w:rFonts w:ascii="Times New Roman" w:hAnsi="Times New Roman"/>
        <w:i/>
        <w:sz w:val="22"/>
      </w:rPr>
      <w:tab/>
      <w:t>CJ</w:t>
    </w:r>
  </w:p>
  <w:p w14:paraId="65B053A0" w14:textId="77777777" w:rsidR="005F2362" w:rsidRPr="00F90E7C" w:rsidRDefault="005F2362" w:rsidP="00F90E7C">
    <w:pPr>
      <w:pStyle w:val="Header"/>
      <w:tabs>
        <w:tab w:val="clear" w:pos="4153"/>
        <w:tab w:val="clear" w:pos="8306"/>
        <w:tab w:val="left" w:pos="7200"/>
        <w:tab w:val="right" w:pos="8504"/>
      </w:tabs>
      <w:spacing w:line="280" w:lineRule="exact"/>
      <w:jc w:val="right"/>
      <w:rPr>
        <w:rFonts w:ascii="Times New Roman" w:hAnsi="Times New Roman"/>
        <w:i/>
        <w:sz w:val="22"/>
      </w:rPr>
    </w:pPr>
    <w:r w:rsidRPr="00F90E7C">
      <w:rPr>
        <w:rFonts w:ascii="Times New Roman" w:hAnsi="Times New Roman"/>
        <w:i/>
        <w:sz w:val="22"/>
      </w:rPr>
      <w:tab/>
      <w:t>Gordon</w:t>
    </w:r>
    <w:r w:rsidRPr="00F90E7C">
      <w:rPr>
        <w:rFonts w:ascii="Times New Roman" w:hAnsi="Times New Roman"/>
        <w:i/>
        <w:sz w:val="22"/>
      </w:rPr>
      <w:tab/>
      <w:t>J</w:t>
    </w:r>
  </w:p>
  <w:p w14:paraId="388503F5" w14:textId="77777777" w:rsidR="005F2362" w:rsidRPr="00F90E7C" w:rsidRDefault="005F2362" w:rsidP="00F90E7C">
    <w:pPr>
      <w:pStyle w:val="Header"/>
      <w:tabs>
        <w:tab w:val="clear" w:pos="4153"/>
        <w:tab w:val="clear" w:pos="8306"/>
        <w:tab w:val="left" w:pos="7200"/>
        <w:tab w:val="right" w:pos="8504"/>
      </w:tabs>
      <w:spacing w:line="280" w:lineRule="exact"/>
      <w:jc w:val="right"/>
      <w:rPr>
        <w:rFonts w:ascii="Times New Roman" w:hAnsi="Times New Roman"/>
        <w:i/>
        <w:sz w:val="22"/>
      </w:rPr>
    </w:pPr>
    <w:r w:rsidRPr="00F90E7C">
      <w:rPr>
        <w:rFonts w:ascii="Times New Roman" w:hAnsi="Times New Roman"/>
        <w:i/>
        <w:sz w:val="22"/>
      </w:rPr>
      <w:tab/>
      <w:t>Jagot</w:t>
    </w:r>
    <w:r w:rsidRPr="00F90E7C">
      <w:rPr>
        <w:rFonts w:ascii="Times New Roman" w:hAnsi="Times New Roman"/>
        <w:i/>
        <w:sz w:val="22"/>
      </w:rPr>
      <w:tab/>
      <w:t>J</w:t>
    </w:r>
  </w:p>
  <w:p w14:paraId="61F597E2" w14:textId="77777777" w:rsidR="005F2362" w:rsidRDefault="005F2362" w:rsidP="00F90E7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25D096B0" w14:textId="77777777" w:rsidR="005F2362" w:rsidRDefault="005F2362" w:rsidP="00F90E7C">
    <w:pPr>
      <w:pStyle w:val="Header"/>
      <w:tabs>
        <w:tab w:val="clear" w:pos="4153"/>
        <w:tab w:val="clear" w:pos="8306"/>
        <w:tab w:val="left" w:pos="7200"/>
        <w:tab w:val="right" w:pos="8504"/>
      </w:tabs>
      <w:spacing w:line="280" w:lineRule="exact"/>
      <w:jc w:val="right"/>
      <w:rPr>
        <w:rFonts w:ascii="Times New Roman" w:hAnsi="Times New Roman"/>
        <w:i/>
        <w:sz w:val="22"/>
      </w:rPr>
    </w:pPr>
  </w:p>
  <w:p w14:paraId="4E31B2C1" w14:textId="77777777" w:rsidR="005F2362" w:rsidRDefault="005F2362" w:rsidP="00F90E7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3A387A1" w14:textId="77777777" w:rsidR="005F2362" w:rsidRPr="00F90E7C" w:rsidRDefault="005F2362" w:rsidP="00F90E7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450C" w14:textId="77777777" w:rsidR="005F2362" w:rsidRDefault="005F2362" w:rsidP="00F90E7C">
    <w:pPr>
      <w:pStyle w:val="Header"/>
      <w:tabs>
        <w:tab w:val="clear" w:pos="4153"/>
        <w:tab w:val="clear" w:pos="8306"/>
        <w:tab w:val="center" w:pos="1134"/>
      </w:tabs>
      <w:spacing w:line="280" w:lineRule="exact"/>
      <w:ind w:firstLine="0"/>
      <w:rPr>
        <w:rFonts w:ascii="Times New Roman" w:hAnsi="Times New Roman"/>
        <w:i/>
        <w:sz w:val="22"/>
      </w:rPr>
    </w:pPr>
  </w:p>
  <w:p w14:paraId="2632AFDB" w14:textId="77777777" w:rsidR="005F2362" w:rsidRDefault="005F2362" w:rsidP="00F90E7C">
    <w:pPr>
      <w:pStyle w:val="Header"/>
      <w:tabs>
        <w:tab w:val="clear" w:pos="4153"/>
        <w:tab w:val="clear" w:pos="8306"/>
        <w:tab w:val="center" w:pos="1134"/>
      </w:tabs>
      <w:spacing w:line="280" w:lineRule="exact"/>
      <w:ind w:firstLine="0"/>
      <w:rPr>
        <w:rFonts w:ascii="Times New Roman" w:hAnsi="Times New Roman"/>
        <w:i/>
        <w:sz w:val="22"/>
      </w:rPr>
    </w:pPr>
  </w:p>
  <w:p w14:paraId="01913DE1" w14:textId="77777777" w:rsidR="005F2362" w:rsidRDefault="005F2362" w:rsidP="00F90E7C">
    <w:pPr>
      <w:pStyle w:val="Header"/>
      <w:tabs>
        <w:tab w:val="clear" w:pos="4153"/>
        <w:tab w:val="clear" w:pos="8306"/>
        <w:tab w:val="center" w:pos="1134"/>
      </w:tabs>
      <w:spacing w:line="280" w:lineRule="exact"/>
      <w:ind w:firstLine="0"/>
      <w:rPr>
        <w:rFonts w:ascii="Times New Roman" w:hAnsi="Times New Roman"/>
        <w:i/>
        <w:sz w:val="22"/>
      </w:rPr>
    </w:pPr>
  </w:p>
  <w:p w14:paraId="3BFF81A2" w14:textId="77777777" w:rsidR="005F2362" w:rsidRDefault="005F2362" w:rsidP="00F90E7C">
    <w:pPr>
      <w:pStyle w:val="Header"/>
      <w:tabs>
        <w:tab w:val="clear" w:pos="4153"/>
        <w:tab w:val="clear" w:pos="8306"/>
        <w:tab w:val="center" w:pos="1134"/>
      </w:tabs>
      <w:spacing w:line="280" w:lineRule="exact"/>
      <w:ind w:firstLine="0"/>
      <w:rPr>
        <w:rFonts w:ascii="Times New Roman" w:hAnsi="Times New Roman"/>
        <w:i/>
        <w:sz w:val="22"/>
      </w:rPr>
    </w:pPr>
  </w:p>
  <w:p w14:paraId="541CF3BA" w14:textId="77777777" w:rsidR="005F2362" w:rsidRDefault="005F2362" w:rsidP="00F90E7C">
    <w:pPr>
      <w:pStyle w:val="Header"/>
      <w:tabs>
        <w:tab w:val="clear" w:pos="4153"/>
        <w:tab w:val="clear" w:pos="8306"/>
        <w:tab w:val="center" w:pos="1134"/>
      </w:tabs>
      <w:spacing w:line="280" w:lineRule="exact"/>
      <w:ind w:firstLine="0"/>
      <w:rPr>
        <w:rFonts w:ascii="Times New Roman" w:hAnsi="Times New Roman"/>
        <w:i/>
        <w:sz w:val="22"/>
      </w:rPr>
    </w:pPr>
  </w:p>
  <w:p w14:paraId="75BEFDA2" w14:textId="77777777" w:rsidR="005F2362" w:rsidRDefault="005F2362" w:rsidP="00F90E7C">
    <w:pPr>
      <w:pStyle w:val="Header"/>
      <w:tabs>
        <w:tab w:val="clear" w:pos="4153"/>
        <w:tab w:val="clear" w:pos="8306"/>
        <w:tab w:val="center" w:pos="1134"/>
      </w:tabs>
      <w:spacing w:line="280" w:lineRule="exact"/>
      <w:ind w:firstLine="0"/>
      <w:rPr>
        <w:rFonts w:ascii="Times New Roman" w:hAnsi="Times New Roman"/>
        <w:i/>
        <w:sz w:val="22"/>
      </w:rPr>
    </w:pPr>
  </w:p>
  <w:p w14:paraId="3B15329A" w14:textId="77777777" w:rsidR="005F2362" w:rsidRPr="00F90E7C" w:rsidRDefault="005F2362" w:rsidP="00F90E7C">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69DD" w14:textId="77777777" w:rsidR="0085684B" w:rsidRDefault="0096139E" w:rsidP="004B2AE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4C2F2AC3" w14:textId="77777777" w:rsidR="0085684B" w:rsidRDefault="0085684B" w:rsidP="004B2AE8">
    <w:pPr>
      <w:pStyle w:val="Header"/>
      <w:tabs>
        <w:tab w:val="clear" w:pos="4153"/>
        <w:tab w:val="clear" w:pos="8306"/>
        <w:tab w:val="right" w:pos="1304"/>
      </w:tabs>
      <w:spacing w:line="280" w:lineRule="exact"/>
      <w:ind w:firstLine="0"/>
      <w:rPr>
        <w:rFonts w:ascii="Times New Roman" w:hAnsi="Times New Roman"/>
        <w:i/>
        <w:sz w:val="22"/>
      </w:rPr>
    </w:pPr>
  </w:p>
  <w:p w14:paraId="48884EC2" w14:textId="77777777" w:rsidR="0085684B" w:rsidRDefault="0096139E" w:rsidP="004B2AE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29</w:t>
    </w:r>
    <w:r>
      <w:rPr>
        <w:rFonts w:ascii="Times New Roman" w:hAnsi="Times New Roman"/>
        <w:sz w:val="22"/>
      </w:rPr>
      <w:fldChar w:fldCharType="end"/>
    </w:r>
    <w:r>
      <w:rPr>
        <w:rFonts w:ascii="Times New Roman" w:hAnsi="Times New Roman"/>
        <w:sz w:val="22"/>
      </w:rPr>
      <w:t>.</w:t>
    </w:r>
  </w:p>
  <w:p w14:paraId="3042531A" w14:textId="77777777" w:rsidR="0085684B" w:rsidRPr="004B2AE8" w:rsidRDefault="0085684B" w:rsidP="004B2AE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12FB" w14:textId="77777777" w:rsidR="0085684B" w:rsidRDefault="0096139E" w:rsidP="004B2AE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2D0FCAD" w14:textId="77777777" w:rsidR="0085684B" w:rsidRDefault="0085684B" w:rsidP="004B2AE8">
    <w:pPr>
      <w:pStyle w:val="Header"/>
      <w:tabs>
        <w:tab w:val="clear" w:pos="4153"/>
        <w:tab w:val="clear" w:pos="8306"/>
        <w:tab w:val="left" w:pos="7200"/>
        <w:tab w:val="right" w:pos="8504"/>
      </w:tabs>
      <w:spacing w:line="280" w:lineRule="exact"/>
      <w:jc w:val="right"/>
      <w:rPr>
        <w:rFonts w:ascii="Times New Roman" w:hAnsi="Times New Roman"/>
        <w:i/>
        <w:sz w:val="22"/>
      </w:rPr>
    </w:pPr>
  </w:p>
  <w:p w14:paraId="067A5C5B" w14:textId="77777777" w:rsidR="0085684B" w:rsidRDefault="0096139E" w:rsidP="004B2AE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29</w:t>
    </w:r>
    <w:r>
      <w:rPr>
        <w:rFonts w:ascii="Times New Roman" w:hAnsi="Times New Roman"/>
        <w:sz w:val="22"/>
      </w:rPr>
      <w:fldChar w:fldCharType="end"/>
    </w:r>
    <w:r>
      <w:rPr>
        <w:rFonts w:ascii="Times New Roman" w:hAnsi="Times New Roman"/>
        <w:sz w:val="22"/>
      </w:rPr>
      <w:t>.</w:t>
    </w:r>
  </w:p>
  <w:p w14:paraId="1F35CAEE" w14:textId="77777777" w:rsidR="0085684B" w:rsidRPr="004B2AE8" w:rsidRDefault="0085684B" w:rsidP="004B2AE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C333" w14:textId="77777777" w:rsidR="0085684B" w:rsidRDefault="0085684B" w:rsidP="004B2AE8">
    <w:pPr>
      <w:pStyle w:val="Header"/>
      <w:tabs>
        <w:tab w:val="clear" w:pos="4153"/>
        <w:tab w:val="clear" w:pos="8306"/>
        <w:tab w:val="center" w:pos="1134"/>
      </w:tabs>
      <w:spacing w:line="280" w:lineRule="exact"/>
      <w:ind w:firstLine="0"/>
      <w:rPr>
        <w:rFonts w:ascii="Times New Roman" w:hAnsi="Times New Roman"/>
        <w:i/>
        <w:sz w:val="22"/>
      </w:rPr>
    </w:pPr>
  </w:p>
  <w:p w14:paraId="26832710" w14:textId="77777777" w:rsidR="0085684B" w:rsidRDefault="0085684B" w:rsidP="004B2AE8">
    <w:pPr>
      <w:pStyle w:val="Header"/>
      <w:tabs>
        <w:tab w:val="clear" w:pos="4153"/>
        <w:tab w:val="clear" w:pos="8306"/>
        <w:tab w:val="center" w:pos="1134"/>
      </w:tabs>
      <w:spacing w:line="280" w:lineRule="exact"/>
      <w:ind w:firstLine="0"/>
      <w:rPr>
        <w:rFonts w:ascii="Times New Roman" w:hAnsi="Times New Roman"/>
        <w:i/>
        <w:sz w:val="22"/>
      </w:rPr>
    </w:pPr>
  </w:p>
  <w:p w14:paraId="107E58BF" w14:textId="77777777" w:rsidR="0085684B" w:rsidRDefault="0085684B" w:rsidP="004B2AE8">
    <w:pPr>
      <w:pStyle w:val="Header"/>
      <w:tabs>
        <w:tab w:val="clear" w:pos="4153"/>
        <w:tab w:val="clear" w:pos="8306"/>
        <w:tab w:val="center" w:pos="1134"/>
      </w:tabs>
      <w:spacing w:line="280" w:lineRule="exact"/>
      <w:ind w:firstLine="0"/>
      <w:rPr>
        <w:rFonts w:ascii="Times New Roman" w:hAnsi="Times New Roman"/>
        <w:i/>
        <w:sz w:val="22"/>
      </w:rPr>
    </w:pPr>
  </w:p>
  <w:p w14:paraId="5A1F593F" w14:textId="77777777" w:rsidR="0085684B" w:rsidRPr="004B2AE8" w:rsidRDefault="0085684B" w:rsidP="004B2AE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CD21087"/>
    <w:multiLevelType w:val="hybridMultilevel"/>
    <w:tmpl w:val="D8663954"/>
    <w:lvl w:ilvl="0" w:tplc="9A88CC6C">
      <w:start w:val="1"/>
      <w:numFmt w:val="decimal"/>
      <w:pStyle w:val="Numberedpara"/>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DB92F76"/>
    <w:multiLevelType w:val="hybridMultilevel"/>
    <w:tmpl w:val="7870E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6"/>
  </w:num>
  <w:num w:numId="3" w16cid:durableId="1375159326">
    <w:abstractNumId w:val="19"/>
  </w:num>
  <w:num w:numId="4" w16cid:durableId="1020468450">
    <w:abstractNumId w:val="15"/>
  </w:num>
  <w:num w:numId="5" w16cid:durableId="298609604">
    <w:abstractNumId w:val="18"/>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4"/>
  </w:num>
  <w:num w:numId="17" w16cid:durableId="952325839">
    <w:abstractNumId w:val="17"/>
  </w:num>
  <w:num w:numId="18" w16cid:durableId="586305847">
    <w:abstractNumId w:val="11"/>
  </w:num>
  <w:num w:numId="19" w16cid:durableId="650985869">
    <w:abstractNumId w:val="11"/>
  </w:num>
  <w:num w:numId="20" w16cid:durableId="765462564">
    <w:abstractNumId w:val="12"/>
  </w:num>
  <w:num w:numId="21" w16cid:durableId="565127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00"/>
    <w:rsid w:val="00002069"/>
    <w:rsid w:val="00002CE6"/>
    <w:rsid w:val="0000316A"/>
    <w:rsid w:val="000049B7"/>
    <w:rsid w:val="00005EFF"/>
    <w:rsid w:val="000141CA"/>
    <w:rsid w:val="00014B34"/>
    <w:rsid w:val="000168C9"/>
    <w:rsid w:val="00016C20"/>
    <w:rsid w:val="00016D01"/>
    <w:rsid w:val="00016DBB"/>
    <w:rsid w:val="00017144"/>
    <w:rsid w:val="0001746F"/>
    <w:rsid w:val="00022A53"/>
    <w:rsid w:val="000250AF"/>
    <w:rsid w:val="00025490"/>
    <w:rsid w:val="0002561E"/>
    <w:rsid w:val="000268E1"/>
    <w:rsid w:val="00027CE1"/>
    <w:rsid w:val="00030F01"/>
    <w:rsid w:val="0003575A"/>
    <w:rsid w:val="000360EB"/>
    <w:rsid w:val="00037A5F"/>
    <w:rsid w:val="00037B80"/>
    <w:rsid w:val="00037D87"/>
    <w:rsid w:val="00042EF3"/>
    <w:rsid w:val="00043D2C"/>
    <w:rsid w:val="00045390"/>
    <w:rsid w:val="00046812"/>
    <w:rsid w:val="00055ACD"/>
    <w:rsid w:val="00056F27"/>
    <w:rsid w:val="000573AF"/>
    <w:rsid w:val="00057CF1"/>
    <w:rsid w:val="00060BC3"/>
    <w:rsid w:val="0006169E"/>
    <w:rsid w:val="000626FD"/>
    <w:rsid w:val="0006432B"/>
    <w:rsid w:val="000653D4"/>
    <w:rsid w:val="00071C35"/>
    <w:rsid w:val="00072B5C"/>
    <w:rsid w:val="00075C17"/>
    <w:rsid w:val="00075F50"/>
    <w:rsid w:val="00080D77"/>
    <w:rsid w:val="000815B1"/>
    <w:rsid w:val="0008435D"/>
    <w:rsid w:val="0008558C"/>
    <w:rsid w:val="00085F13"/>
    <w:rsid w:val="000874CC"/>
    <w:rsid w:val="00092C3A"/>
    <w:rsid w:val="00092F92"/>
    <w:rsid w:val="000A28D4"/>
    <w:rsid w:val="000A2EB4"/>
    <w:rsid w:val="000A3DA3"/>
    <w:rsid w:val="000A63C6"/>
    <w:rsid w:val="000B424C"/>
    <w:rsid w:val="000B4630"/>
    <w:rsid w:val="000B497F"/>
    <w:rsid w:val="000B5248"/>
    <w:rsid w:val="000B710D"/>
    <w:rsid w:val="000B7558"/>
    <w:rsid w:val="000C04DC"/>
    <w:rsid w:val="000C069B"/>
    <w:rsid w:val="000C0D90"/>
    <w:rsid w:val="000C0D98"/>
    <w:rsid w:val="000C70B5"/>
    <w:rsid w:val="000C71C5"/>
    <w:rsid w:val="000D25E6"/>
    <w:rsid w:val="000D53C8"/>
    <w:rsid w:val="000E65F7"/>
    <w:rsid w:val="000F1345"/>
    <w:rsid w:val="000F3BB3"/>
    <w:rsid w:val="001001B9"/>
    <w:rsid w:val="00102254"/>
    <w:rsid w:val="001055FF"/>
    <w:rsid w:val="0010702C"/>
    <w:rsid w:val="00110970"/>
    <w:rsid w:val="00111568"/>
    <w:rsid w:val="001120C0"/>
    <w:rsid w:val="001130F8"/>
    <w:rsid w:val="001150BF"/>
    <w:rsid w:val="00115EB0"/>
    <w:rsid w:val="00115F75"/>
    <w:rsid w:val="001168F2"/>
    <w:rsid w:val="00120207"/>
    <w:rsid w:val="00123C1B"/>
    <w:rsid w:val="00125E3C"/>
    <w:rsid w:val="00127EB4"/>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3B60"/>
    <w:rsid w:val="00174152"/>
    <w:rsid w:val="00175095"/>
    <w:rsid w:val="00175703"/>
    <w:rsid w:val="001758DE"/>
    <w:rsid w:val="00175B57"/>
    <w:rsid w:val="00176AC0"/>
    <w:rsid w:val="00176D25"/>
    <w:rsid w:val="0018342E"/>
    <w:rsid w:val="001840C2"/>
    <w:rsid w:val="00184B46"/>
    <w:rsid w:val="00185939"/>
    <w:rsid w:val="001876F6"/>
    <w:rsid w:val="00191E23"/>
    <w:rsid w:val="001933AB"/>
    <w:rsid w:val="001953B1"/>
    <w:rsid w:val="001963C0"/>
    <w:rsid w:val="00197956"/>
    <w:rsid w:val="001A2ABE"/>
    <w:rsid w:val="001A409D"/>
    <w:rsid w:val="001A446E"/>
    <w:rsid w:val="001B1676"/>
    <w:rsid w:val="001B17A8"/>
    <w:rsid w:val="001B55C8"/>
    <w:rsid w:val="001B63C6"/>
    <w:rsid w:val="001C3F8C"/>
    <w:rsid w:val="001C48D4"/>
    <w:rsid w:val="001C7C93"/>
    <w:rsid w:val="001D3182"/>
    <w:rsid w:val="001D36CD"/>
    <w:rsid w:val="001D39EC"/>
    <w:rsid w:val="001D4F49"/>
    <w:rsid w:val="001D7982"/>
    <w:rsid w:val="001E1D3D"/>
    <w:rsid w:val="001E47D1"/>
    <w:rsid w:val="001E6A64"/>
    <w:rsid w:val="001E75C5"/>
    <w:rsid w:val="001F1B5F"/>
    <w:rsid w:val="001F3F2A"/>
    <w:rsid w:val="001F69C2"/>
    <w:rsid w:val="001F6C81"/>
    <w:rsid w:val="002048D1"/>
    <w:rsid w:val="002079CB"/>
    <w:rsid w:val="0021096E"/>
    <w:rsid w:val="00210DE8"/>
    <w:rsid w:val="00211D73"/>
    <w:rsid w:val="00212A3E"/>
    <w:rsid w:val="00214BF2"/>
    <w:rsid w:val="00215A7F"/>
    <w:rsid w:val="00216522"/>
    <w:rsid w:val="00221D19"/>
    <w:rsid w:val="0022560A"/>
    <w:rsid w:val="0022666B"/>
    <w:rsid w:val="00226F16"/>
    <w:rsid w:val="0022734D"/>
    <w:rsid w:val="0023447F"/>
    <w:rsid w:val="00234E95"/>
    <w:rsid w:val="00235094"/>
    <w:rsid w:val="002350B3"/>
    <w:rsid w:val="0023798E"/>
    <w:rsid w:val="00242DBF"/>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20D5"/>
    <w:rsid w:val="0028583A"/>
    <w:rsid w:val="00285DD2"/>
    <w:rsid w:val="00287368"/>
    <w:rsid w:val="00287873"/>
    <w:rsid w:val="002916CC"/>
    <w:rsid w:val="002919A6"/>
    <w:rsid w:val="0029278C"/>
    <w:rsid w:val="00292E65"/>
    <w:rsid w:val="0029697C"/>
    <w:rsid w:val="002979F1"/>
    <w:rsid w:val="00297BF9"/>
    <w:rsid w:val="002A13E1"/>
    <w:rsid w:val="002A3248"/>
    <w:rsid w:val="002B0846"/>
    <w:rsid w:val="002B1304"/>
    <w:rsid w:val="002B292E"/>
    <w:rsid w:val="002B5A1E"/>
    <w:rsid w:val="002C1EDE"/>
    <w:rsid w:val="002C5981"/>
    <w:rsid w:val="002C7307"/>
    <w:rsid w:val="002D0410"/>
    <w:rsid w:val="002D0899"/>
    <w:rsid w:val="002D1707"/>
    <w:rsid w:val="002D17E2"/>
    <w:rsid w:val="002D3F5B"/>
    <w:rsid w:val="002D7C56"/>
    <w:rsid w:val="002E0EC8"/>
    <w:rsid w:val="002E278F"/>
    <w:rsid w:val="002E3B4D"/>
    <w:rsid w:val="002F0522"/>
    <w:rsid w:val="002F0734"/>
    <w:rsid w:val="002F4A5F"/>
    <w:rsid w:val="0030026A"/>
    <w:rsid w:val="00300F40"/>
    <w:rsid w:val="00301975"/>
    <w:rsid w:val="00302542"/>
    <w:rsid w:val="00303426"/>
    <w:rsid w:val="0030542C"/>
    <w:rsid w:val="00310418"/>
    <w:rsid w:val="00312FFC"/>
    <w:rsid w:val="003150BF"/>
    <w:rsid w:val="003150CE"/>
    <w:rsid w:val="00315B7A"/>
    <w:rsid w:val="00315E92"/>
    <w:rsid w:val="00323B9E"/>
    <w:rsid w:val="00330804"/>
    <w:rsid w:val="00334A6B"/>
    <w:rsid w:val="003363F7"/>
    <w:rsid w:val="003366B2"/>
    <w:rsid w:val="00340066"/>
    <w:rsid w:val="0034122D"/>
    <w:rsid w:val="0034288B"/>
    <w:rsid w:val="0034332B"/>
    <w:rsid w:val="00343FE7"/>
    <w:rsid w:val="00344FAE"/>
    <w:rsid w:val="0034681C"/>
    <w:rsid w:val="003567D9"/>
    <w:rsid w:val="00356F34"/>
    <w:rsid w:val="003600A8"/>
    <w:rsid w:val="0036284D"/>
    <w:rsid w:val="00366524"/>
    <w:rsid w:val="00372632"/>
    <w:rsid w:val="00373E58"/>
    <w:rsid w:val="00376073"/>
    <w:rsid w:val="00377452"/>
    <w:rsid w:val="003803B6"/>
    <w:rsid w:val="00381223"/>
    <w:rsid w:val="00381849"/>
    <w:rsid w:val="003823A0"/>
    <w:rsid w:val="00384F36"/>
    <w:rsid w:val="00385271"/>
    <w:rsid w:val="0039226E"/>
    <w:rsid w:val="00392CC8"/>
    <w:rsid w:val="00397708"/>
    <w:rsid w:val="003A1BA5"/>
    <w:rsid w:val="003A2017"/>
    <w:rsid w:val="003A29B5"/>
    <w:rsid w:val="003A48CC"/>
    <w:rsid w:val="003A72EF"/>
    <w:rsid w:val="003A7E21"/>
    <w:rsid w:val="003B4EED"/>
    <w:rsid w:val="003B6B2C"/>
    <w:rsid w:val="003C266A"/>
    <w:rsid w:val="003C602A"/>
    <w:rsid w:val="003C6DCD"/>
    <w:rsid w:val="003D12B0"/>
    <w:rsid w:val="003D1759"/>
    <w:rsid w:val="003D1896"/>
    <w:rsid w:val="003D3B14"/>
    <w:rsid w:val="003D62F7"/>
    <w:rsid w:val="003E0DA5"/>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24F0"/>
    <w:rsid w:val="00424DE2"/>
    <w:rsid w:val="004317B4"/>
    <w:rsid w:val="00432528"/>
    <w:rsid w:val="00432836"/>
    <w:rsid w:val="004373D1"/>
    <w:rsid w:val="0043778D"/>
    <w:rsid w:val="0044141C"/>
    <w:rsid w:val="00441C23"/>
    <w:rsid w:val="00443426"/>
    <w:rsid w:val="004454C2"/>
    <w:rsid w:val="00447347"/>
    <w:rsid w:val="00447F33"/>
    <w:rsid w:val="00450A27"/>
    <w:rsid w:val="00450B63"/>
    <w:rsid w:val="00451EC2"/>
    <w:rsid w:val="00456F5A"/>
    <w:rsid w:val="00460BD7"/>
    <w:rsid w:val="00461269"/>
    <w:rsid w:val="00462C87"/>
    <w:rsid w:val="00463357"/>
    <w:rsid w:val="00463A04"/>
    <w:rsid w:val="00465255"/>
    <w:rsid w:val="004716C4"/>
    <w:rsid w:val="00473718"/>
    <w:rsid w:val="00473869"/>
    <w:rsid w:val="0047410E"/>
    <w:rsid w:val="0048054A"/>
    <w:rsid w:val="00480662"/>
    <w:rsid w:val="004818E8"/>
    <w:rsid w:val="004827FF"/>
    <w:rsid w:val="00482F67"/>
    <w:rsid w:val="00483006"/>
    <w:rsid w:val="00484915"/>
    <w:rsid w:val="00485961"/>
    <w:rsid w:val="00487387"/>
    <w:rsid w:val="004919FD"/>
    <w:rsid w:val="004933DF"/>
    <w:rsid w:val="004A06FC"/>
    <w:rsid w:val="004A132C"/>
    <w:rsid w:val="004B26D9"/>
    <w:rsid w:val="004B2C5E"/>
    <w:rsid w:val="004B49E1"/>
    <w:rsid w:val="004B774B"/>
    <w:rsid w:val="004C3C61"/>
    <w:rsid w:val="004C4629"/>
    <w:rsid w:val="004C4B71"/>
    <w:rsid w:val="004D087E"/>
    <w:rsid w:val="004D19DB"/>
    <w:rsid w:val="004D1E88"/>
    <w:rsid w:val="004D3CD7"/>
    <w:rsid w:val="004D58DE"/>
    <w:rsid w:val="004D63E2"/>
    <w:rsid w:val="004D7B93"/>
    <w:rsid w:val="004E19DA"/>
    <w:rsid w:val="004E3F30"/>
    <w:rsid w:val="004E46F8"/>
    <w:rsid w:val="004E50C8"/>
    <w:rsid w:val="004E653E"/>
    <w:rsid w:val="004E65F5"/>
    <w:rsid w:val="004F2D77"/>
    <w:rsid w:val="004F3C00"/>
    <w:rsid w:val="004F3E28"/>
    <w:rsid w:val="004F46FF"/>
    <w:rsid w:val="004F621F"/>
    <w:rsid w:val="004F65A1"/>
    <w:rsid w:val="00502EAE"/>
    <w:rsid w:val="00503A1B"/>
    <w:rsid w:val="0050500F"/>
    <w:rsid w:val="00505279"/>
    <w:rsid w:val="005063E1"/>
    <w:rsid w:val="00507CC5"/>
    <w:rsid w:val="0051239B"/>
    <w:rsid w:val="00516BBB"/>
    <w:rsid w:val="00516E0F"/>
    <w:rsid w:val="005207F0"/>
    <w:rsid w:val="00523E83"/>
    <w:rsid w:val="005248BB"/>
    <w:rsid w:val="005308A5"/>
    <w:rsid w:val="005314E9"/>
    <w:rsid w:val="00531723"/>
    <w:rsid w:val="0053275E"/>
    <w:rsid w:val="0053324F"/>
    <w:rsid w:val="005348BF"/>
    <w:rsid w:val="00535E3E"/>
    <w:rsid w:val="00541E10"/>
    <w:rsid w:val="00541EF9"/>
    <w:rsid w:val="005431CF"/>
    <w:rsid w:val="00543A23"/>
    <w:rsid w:val="00543D0A"/>
    <w:rsid w:val="00544EFB"/>
    <w:rsid w:val="005454F3"/>
    <w:rsid w:val="005455E5"/>
    <w:rsid w:val="00545F52"/>
    <w:rsid w:val="00545FDB"/>
    <w:rsid w:val="0054681B"/>
    <w:rsid w:val="0054779A"/>
    <w:rsid w:val="00547BA1"/>
    <w:rsid w:val="00556101"/>
    <w:rsid w:val="00557CB1"/>
    <w:rsid w:val="0056072C"/>
    <w:rsid w:val="0056091E"/>
    <w:rsid w:val="00561371"/>
    <w:rsid w:val="0056172D"/>
    <w:rsid w:val="00562D00"/>
    <w:rsid w:val="005635F3"/>
    <w:rsid w:val="0056411C"/>
    <w:rsid w:val="00565B4C"/>
    <w:rsid w:val="005663FF"/>
    <w:rsid w:val="005677E5"/>
    <w:rsid w:val="00570878"/>
    <w:rsid w:val="00570D24"/>
    <w:rsid w:val="00574C1A"/>
    <w:rsid w:val="00577E4E"/>
    <w:rsid w:val="00580EEB"/>
    <w:rsid w:val="00580FCF"/>
    <w:rsid w:val="00582572"/>
    <w:rsid w:val="00583673"/>
    <w:rsid w:val="00583D08"/>
    <w:rsid w:val="00587BE7"/>
    <w:rsid w:val="00587CBC"/>
    <w:rsid w:val="00595DF1"/>
    <w:rsid w:val="00596524"/>
    <w:rsid w:val="00597D35"/>
    <w:rsid w:val="005A4A36"/>
    <w:rsid w:val="005A6D6D"/>
    <w:rsid w:val="005A6E49"/>
    <w:rsid w:val="005A7264"/>
    <w:rsid w:val="005A7FFB"/>
    <w:rsid w:val="005B1601"/>
    <w:rsid w:val="005B4CFC"/>
    <w:rsid w:val="005B58B0"/>
    <w:rsid w:val="005B6E0D"/>
    <w:rsid w:val="005B7617"/>
    <w:rsid w:val="005C0298"/>
    <w:rsid w:val="005C0769"/>
    <w:rsid w:val="005C360A"/>
    <w:rsid w:val="005C7EE9"/>
    <w:rsid w:val="005D221C"/>
    <w:rsid w:val="005D2A43"/>
    <w:rsid w:val="005D6D2B"/>
    <w:rsid w:val="005D6EA0"/>
    <w:rsid w:val="005E2206"/>
    <w:rsid w:val="005E224E"/>
    <w:rsid w:val="005E3188"/>
    <w:rsid w:val="005E6273"/>
    <w:rsid w:val="005E76E2"/>
    <w:rsid w:val="005E7B36"/>
    <w:rsid w:val="005F02E6"/>
    <w:rsid w:val="005F10F1"/>
    <w:rsid w:val="005F1911"/>
    <w:rsid w:val="005F2362"/>
    <w:rsid w:val="005F2CBA"/>
    <w:rsid w:val="005F2D81"/>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341"/>
    <w:rsid w:val="00640E38"/>
    <w:rsid w:val="00650C56"/>
    <w:rsid w:val="00652858"/>
    <w:rsid w:val="006558DC"/>
    <w:rsid w:val="00656B27"/>
    <w:rsid w:val="00657F8B"/>
    <w:rsid w:val="00660401"/>
    <w:rsid w:val="006618FC"/>
    <w:rsid w:val="006621B2"/>
    <w:rsid w:val="00663D00"/>
    <w:rsid w:val="00663E86"/>
    <w:rsid w:val="00671B7E"/>
    <w:rsid w:val="00672615"/>
    <w:rsid w:val="006767BC"/>
    <w:rsid w:val="006804FF"/>
    <w:rsid w:val="00680C7A"/>
    <w:rsid w:val="00681D75"/>
    <w:rsid w:val="0068242E"/>
    <w:rsid w:val="006848BF"/>
    <w:rsid w:val="00684BAF"/>
    <w:rsid w:val="006878E8"/>
    <w:rsid w:val="00694DD3"/>
    <w:rsid w:val="00696EBB"/>
    <w:rsid w:val="006A1F10"/>
    <w:rsid w:val="006A4D4E"/>
    <w:rsid w:val="006A751B"/>
    <w:rsid w:val="006B630A"/>
    <w:rsid w:val="006B7C24"/>
    <w:rsid w:val="006C1577"/>
    <w:rsid w:val="006C1A37"/>
    <w:rsid w:val="006C5ACD"/>
    <w:rsid w:val="006C6300"/>
    <w:rsid w:val="006D1544"/>
    <w:rsid w:val="006D36B7"/>
    <w:rsid w:val="006D3A49"/>
    <w:rsid w:val="006D4E60"/>
    <w:rsid w:val="006D50E5"/>
    <w:rsid w:val="006D686D"/>
    <w:rsid w:val="006E16F1"/>
    <w:rsid w:val="006E2D84"/>
    <w:rsid w:val="006E359B"/>
    <w:rsid w:val="006E75BF"/>
    <w:rsid w:val="006F09B5"/>
    <w:rsid w:val="006F1349"/>
    <w:rsid w:val="006F201F"/>
    <w:rsid w:val="006F245B"/>
    <w:rsid w:val="006F2C03"/>
    <w:rsid w:val="006F48B3"/>
    <w:rsid w:val="006F48B8"/>
    <w:rsid w:val="006F4ACE"/>
    <w:rsid w:val="006F553C"/>
    <w:rsid w:val="006F5924"/>
    <w:rsid w:val="006F6258"/>
    <w:rsid w:val="006F65E1"/>
    <w:rsid w:val="006F7F8E"/>
    <w:rsid w:val="00701552"/>
    <w:rsid w:val="00704FDE"/>
    <w:rsid w:val="00705448"/>
    <w:rsid w:val="00705788"/>
    <w:rsid w:val="00705DDA"/>
    <w:rsid w:val="007122EC"/>
    <w:rsid w:val="00714504"/>
    <w:rsid w:val="00715FF8"/>
    <w:rsid w:val="0071742A"/>
    <w:rsid w:val="00722F36"/>
    <w:rsid w:val="00730E8F"/>
    <w:rsid w:val="00731D48"/>
    <w:rsid w:val="00733D9F"/>
    <w:rsid w:val="00734484"/>
    <w:rsid w:val="00742076"/>
    <w:rsid w:val="00745136"/>
    <w:rsid w:val="00745A15"/>
    <w:rsid w:val="00745DD2"/>
    <w:rsid w:val="00747974"/>
    <w:rsid w:val="007508CB"/>
    <w:rsid w:val="00751354"/>
    <w:rsid w:val="00752A79"/>
    <w:rsid w:val="00756909"/>
    <w:rsid w:val="00760D10"/>
    <w:rsid w:val="00762108"/>
    <w:rsid w:val="00770E38"/>
    <w:rsid w:val="007751DE"/>
    <w:rsid w:val="00776AF1"/>
    <w:rsid w:val="0078133D"/>
    <w:rsid w:val="00781E34"/>
    <w:rsid w:val="00785785"/>
    <w:rsid w:val="007865AE"/>
    <w:rsid w:val="00791DED"/>
    <w:rsid w:val="00792AA8"/>
    <w:rsid w:val="00793AAE"/>
    <w:rsid w:val="00794972"/>
    <w:rsid w:val="00796EE7"/>
    <w:rsid w:val="00797022"/>
    <w:rsid w:val="007A3ABE"/>
    <w:rsid w:val="007A4CB0"/>
    <w:rsid w:val="007A5B52"/>
    <w:rsid w:val="007A60F8"/>
    <w:rsid w:val="007A62C3"/>
    <w:rsid w:val="007A677C"/>
    <w:rsid w:val="007B18E9"/>
    <w:rsid w:val="007B341B"/>
    <w:rsid w:val="007B38E2"/>
    <w:rsid w:val="007B4102"/>
    <w:rsid w:val="007B651A"/>
    <w:rsid w:val="007B6648"/>
    <w:rsid w:val="007B6669"/>
    <w:rsid w:val="007C0493"/>
    <w:rsid w:val="007C311B"/>
    <w:rsid w:val="007C462E"/>
    <w:rsid w:val="007C506B"/>
    <w:rsid w:val="007C628A"/>
    <w:rsid w:val="007D0652"/>
    <w:rsid w:val="007D0986"/>
    <w:rsid w:val="007D59A7"/>
    <w:rsid w:val="007D698B"/>
    <w:rsid w:val="007D6E7D"/>
    <w:rsid w:val="007D7BB6"/>
    <w:rsid w:val="007E1614"/>
    <w:rsid w:val="007E419F"/>
    <w:rsid w:val="007E5D35"/>
    <w:rsid w:val="007F52A6"/>
    <w:rsid w:val="007F5789"/>
    <w:rsid w:val="007F68DA"/>
    <w:rsid w:val="008004E7"/>
    <w:rsid w:val="0080276C"/>
    <w:rsid w:val="008060C8"/>
    <w:rsid w:val="00810F5C"/>
    <w:rsid w:val="008116EB"/>
    <w:rsid w:val="00812723"/>
    <w:rsid w:val="0081388F"/>
    <w:rsid w:val="008140BD"/>
    <w:rsid w:val="00814A6A"/>
    <w:rsid w:val="00814ED4"/>
    <w:rsid w:val="00815137"/>
    <w:rsid w:val="008152E3"/>
    <w:rsid w:val="0081557C"/>
    <w:rsid w:val="008159B1"/>
    <w:rsid w:val="00820282"/>
    <w:rsid w:val="00820651"/>
    <w:rsid w:val="0082117F"/>
    <w:rsid w:val="0082619C"/>
    <w:rsid w:val="008262AD"/>
    <w:rsid w:val="00831A0D"/>
    <w:rsid w:val="00836AD2"/>
    <w:rsid w:val="008375CC"/>
    <w:rsid w:val="008415CC"/>
    <w:rsid w:val="00842862"/>
    <w:rsid w:val="0084451B"/>
    <w:rsid w:val="00844A64"/>
    <w:rsid w:val="00845199"/>
    <w:rsid w:val="00847DFE"/>
    <w:rsid w:val="0085055E"/>
    <w:rsid w:val="00851111"/>
    <w:rsid w:val="008518D6"/>
    <w:rsid w:val="008525CF"/>
    <w:rsid w:val="008542CC"/>
    <w:rsid w:val="0085436E"/>
    <w:rsid w:val="0085684B"/>
    <w:rsid w:val="00860973"/>
    <w:rsid w:val="00860B77"/>
    <w:rsid w:val="0086183E"/>
    <w:rsid w:val="008648B5"/>
    <w:rsid w:val="00865790"/>
    <w:rsid w:val="00865A78"/>
    <w:rsid w:val="00866170"/>
    <w:rsid w:val="0086641A"/>
    <w:rsid w:val="00867B5C"/>
    <w:rsid w:val="00867F68"/>
    <w:rsid w:val="008737D3"/>
    <w:rsid w:val="00873C48"/>
    <w:rsid w:val="00873E0E"/>
    <w:rsid w:val="00877CBF"/>
    <w:rsid w:val="00882D53"/>
    <w:rsid w:val="00882FFC"/>
    <w:rsid w:val="00883437"/>
    <w:rsid w:val="008834C5"/>
    <w:rsid w:val="00883C24"/>
    <w:rsid w:val="008853F8"/>
    <w:rsid w:val="0088776A"/>
    <w:rsid w:val="008953BD"/>
    <w:rsid w:val="008A0F66"/>
    <w:rsid w:val="008A2A38"/>
    <w:rsid w:val="008A4628"/>
    <w:rsid w:val="008A5CDF"/>
    <w:rsid w:val="008A7A04"/>
    <w:rsid w:val="008B47CB"/>
    <w:rsid w:val="008B5A4D"/>
    <w:rsid w:val="008B6A6C"/>
    <w:rsid w:val="008C15BB"/>
    <w:rsid w:val="008C28E5"/>
    <w:rsid w:val="008C4E5F"/>
    <w:rsid w:val="008C6886"/>
    <w:rsid w:val="008C6C82"/>
    <w:rsid w:val="008D15F7"/>
    <w:rsid w:val="008D1FDE"/>
    <w:rsid w:val="008D351D"/>
    <w:rsid w:val="008E1C45"/>
    <w:rsid w:val="008E1E11"/>
    <w:rsid w:val="008E242E"/>
    <w:rsid w:val="008E647B"/>
    <w:rsid w:val="008E7B61"/>
    <w:rsid w:val="008F1749"/>
    <w:rsid w:val="008F3AE2"/>
    <w:rsid w:val="008F6221"/>
    <w:rsid w:val="008F722B"/>
    <w:rsid w:val="008F777B"/>
    <w:rsid w:val="008F7CCE"/>
    <w:rsid w:val="00902641"/>
    <w:rsid w:val="009064E2"/>
    <w:rsid w:val="00906F11"/>
    <w:rsid w:val="009077C7"/>
    <w:rsid w:val="0091220E"/>
    <w:rsid w:val="0091465A"/>
    <w:rsid w:val="00920216"/>
    <w:rsid w:val="00920463"/>
    <w:rsid w:val="009231E5"/>
    <w:rsid w:val="009238C7"/>
    <w:rsid w:val="00923D68"/>
    <w:rsid w:val="009245CA"/>
    <w:rsid w:val="00926E4D"/>
    <w:rsid w:val="0093352D"/>
    <w:rsid w:val="00934A57"/>
    <w:rsid w:val="009376FF"/>
    <w:rsid w:val="009377F9"/>
    <w:rsid w:val="00940185"/>
    <w:rsid w:val="00940BCD"/>
    <w:rsid w:val="00941279"/>
    <w:rsid w:val="009420D0"/>
    <w:rsid w:val="00942C14"/>
    <w:rsid w:val="009462D5"/>
    <w:rsid w:val="00953EB6"/>
    <w:rsid w:val="0095456C"/>
    <w:rsid w:val="009547B3"/>
    <w:rsid w:val="00956905"/>
    <w:rsid w:val="0096139E"/>
    <w:rsid w:val="009614C6"/>
    <w:rsid w:val="00962BFB"/>
    <w:rsid w:val="00962E1C"/>
    <w:rsid w:val="0096349D"/>
    <w:rsid w:val="00964954"/>
    <w:rsid w:val="00964A8F"/>
    <w:rsid w:val="00966DEC"/>
    <w:rsid w:val="0097673B"/>
    <w:rsid w:val="0098377B"/>
    <w:rsid w:val="00987C7D"/>
    <w:rsid w:val="00990380"/>
    <w:rsid w:val="0099102F"/>
    <w:rsid w:val="009921DB"/>
    <w:rsid w:val="009940EF"/>
    <w:rsid w:val="00994A8D"/>
    <w:rsid w:val="00994D06"/>
    <w:rsid w:val="00997CF0"/>
    <w:rsid w:val="00997E1A"/>
    <w:rsid w:val="009A0BBC"/>
    <w:rsid w:val="009A52C1"/>
    <w:rsid w:val="009A5AFD"/>
    <w:rsid w:val="009A6EFD"/>
    <w:rsid w:val="009B05D3"/>
    <w:rsid w:val="009B0707"/>
    <w:rsid w:val="009B1F0E"/>
    <w:rsid w:val="009B39DC"/>
    <w:rsid w:val="009B61E7"/>
    <w:rsid w:val="009C0087"/>
    <w:rsid w:val="009C3B88"/>
    <w:rsid w:val="009C500D"/>
    <w:rsid w:val="009C6E72"/>
    <w:rsid w:val="009D3C3F"/>
    <w:rsid w:val="009D4D67"/>
    <w:rsid w:val="009D50FD"/>
    <w:rsid w:val="009D635B"/>
    <w:rsid w:val="009D66DC"/>
    <w:rsid w:val="009D7893"/>
    <w:rsid w:val="009D7F6F"/>
    <w:rsid w:val="009E0393"/>
    <w:rsid w:val="009E07D3"/>
    <w:rsid w:val="009E22AA"/>
    <w:rsid w:val="009F06F2"/>
    <w:rsid w:val="009F635E"/>
    <w:rsid w:val="00A02C5D"/>
    <w:rsid w:val="00A03BA1"/>
    <w:rsid w:val="00A04118"/>
    <w:rsid w:val="00A056A3"/>
    <w:rsid w:val="00A1406D"/>
    <w:rsid w:val="00A140D3"/>
    <w:rsid w:val="00A1446B"/>
    <w:rsid w:val="00A167F2"/>
    <w:rsid w:val="00A17EFE"/>
    <w:rsid w:val="00A201D7"/>
    <w:rsid w:val="00A20C78"/>
    <w:rsid w:val="00A2312E"/>
    <w:rsid w:val="00A24323"/>
    <w:rsid w:val="00A2512C"/>
    <w:rsid w:val="00A2515B"/>
    <w:rsid w:val="00A2588E"/>
    <w:rsid w:val="00A2672B"/>
    <w:rsid w:val="00A26EDF"/>
    <w:rsid w:val="00A31707"/>
    <w:rsid w:val="00A34789"/>
    <w:rsid w:val="00A3630E"/>
    <w:rsid w:val="00A3668B"/>
    <w:rsid w:val="00A37BB8"/>
    <w:rsid w:val="00A37D74"/>
    <w:rsid w:val="00A41FF8"/>
    <w:rsid w:val="00A42D87"/>
    <w:rsid w:val="00A4371C"/>
    <w:rsid w:val="00A44BD3"/>
    <w:rsid w:val="00A4521D"/>
    <w:rsid w:val="00A46D6F"/>
    <w:rsid w:val="00A475B9"/>
    <w:rsid w:val="00A51F0A"/>
    <w:rsid w:val="00A521A9"/>
    <w:rsid w:val="00A54EF2"/>
    <w:rsid w:val="00A55732"/>
    <w:rsid w:val="00A55D48"/>
    <w:rsid w:val="00A57BEB"/>
    <w:rsid w:val="00A61673"/>
    <w:rsid w:val="00A64926"/>
    <w:rsid w:val="00A665CF"/>
    <w:rsid w:val="00A67CA7"/>
    <w:rsid w:val="00A72084"/>
    <w:rsid w:val="00A7257D"/>
    <w:rsid w:val="00A73989"/>
    <w:rsid w:val="00A746F3"/>
    <w:rsid w:val="00A7752F"/>
    <w:rsid w:val="00A82532"/>
    <w:rsid w:val="00A85C35"/>
    <w:rsid w:val="00A92061"/>
    <w:rsid w:val="00A94249"/>
    <w:rsid w:val="00A94BC9"/>
    <w:rsid w:val="00A959BC"/>
    <w:rsid w:val="00AA2562"/>
    <w:rsid w:val="00AA3C60"/>
    <w:rsid w:val="00AA4B43"/>
    <w:rsid w:val="00AB2FF4"/>
    <w:rsid w:val="00AB5F9C"/>
    <w:rsid w:val="00AB7359"/>
    <w:rsid w:val="00AC1AD6"/>
    <w:rsid w:val="00AD64DF"/>
    <w:rsid w:val="00AE1025"/>
    <w:rsid w:val="00AE3F03"/>
    <w:rsid w:val="00AE64F0"/>
    <w:rsid w:val="00AF23C8"/>
    <w:rsid w:val="00AF2AE2"/>
    <w:rsid w:val="00B0232C"/>
    <w:rsid w:val="00B032ED"/>
    <w:rsid w:val="00B0377E"/>
    <w:rsid w:val="00B056A2"/>
    <w:rsid w:val="00B07BA9"/>
    <w:rsid w:val="00B10055"/>
    <w:rsid w:val="00B1111E"/>
    <w:rsid w:val="00B1141E"/>
    <w:rsid w:val="00B1278B"/>
    <w:rsid w:val="00B16A8A"/>
    <w:rsid w:val="00B171B1"/>
    <w:rsid w:val="00B17295"/>
    <w:rsid w:val="00B215F5"/>
    <w:rsid w:val="00B26B62"/>
    <w:rsid w:val="00B27A54"/>
    <w:rsid w:val="00B30783"/>
    <w:rsid w:val="00B362D8"/>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848"/>
    <w:rsid w:val="00B74D1E"/>
    <w:rsid w:val="00B76748"/>
    <w:rsid w:val="00B76A18"/>
    <w:rsid w:val="00B77D6C"/>
    <w:rsid w:val="00B82618"/>
    <w:rsid w:val="00B84C6C"/>
    <w:rsid w:val="00B92687"/>
    <w:rsid w:val="00B9383A"/>
    <w:rsid w:val="00B93F98"/>
    <w:rsid w:val="00B94248"/>
    <w:rsid w:val="00B942A1"/>
    <w:rsid w:val="00B94B4F"/>
    <w:rsid w:val="00B95237"/>
    <w:rsid w:val="00B976F6"/>
    <w:rsid w:val="00BA563B"/>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5481"/>
    <w:rsid w:val="00BD6262"/>
    <w:rsid w:val="00BD7EED"/>
    <w:rsid w:val="00BE3F85"/>
    <w:rsid w:val="00BE4C48"/>
    <w:rsid w:val="00BE61C1"/>
    <w:rsid w:val="00BE645C"/>
    <w:rsid w:val="00BE64AF"/>
    <w:rsid w:val="00BE6717"/>
    <w:rsid w:val="00BF0381"/>
    <w:rsid w:val="00BF446E"/>
    <w:rsid w:val="00BF6E7B"/>
    <w:rsid w:val="00C01021"/>
    <w:rsid w:val="00C0141F"/>
    <w:rsid w:val="00C032ED"/>
    <w:rsid w:val="00C048AF"/>
    <w:rsid w:val="00C077E0"/>
    <w:rsid w:val="00C07DE6"/>
    <w:rsid w:val="00C12C74"/>
    <w:rsid w:val="00C154B5"/>
    <w:rsid w:val="00C15785"/>
    <w:rsid w:val="00C17872"/>
    <w:rsid w:val="00C205E9"/>
    <w:rsid w:val="00C212FC"/>
    <w:rsid w:val="00C23F48"/>
    <w:rsid w:val="00C262BD"/>
    <w:rsid w:val="00C30021"/>
    <w:rsid w:val="00C30E04"/>
    <w:rsid w:val="00C310C2"/>
    <w:rsid w:val="00C32551"/>
    <w:rsid w:val="00C36525"/>
    <w:rsid w:val="00C40EB3"/>
    <w:rsid w:val="00C41BD9"/>
    <w:rsid w:val="00C434FD"/>
    <w:rsid w:val="00C4350E"/>
    <w:rsid w:val="00C44719"/>
    <w:rsid w:val="00C47AC7"/>
    <w:rsid w:val="00C5192E"/>
    <w:rsid w:val="00C52DE6"/>
    <w:rsid w:val="00C54478"/>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1895"/>
    <w:rsid w:val="00C97301"/>
    <w:rsid w:val="00CA1130"/>
    <w:rsid w:val="00CA2B29"/>
    <w:rsid w:val="00CA415F"/>
    <w:rsid w:val="00CA529D"/>
    <w:rsid w:val="00CA5562"/>
    <w:rsid w:val="00CA5EA7"/>
    <w:rsid w:val="00CB026C"/>
    <w:rsid w:val="00CB2C14"/>
    <w:rsid w:val="00CB5A49"/>
    <w:rsid w:val="00CB5C15"/>
    <w:rsid w:val="00CB678B"/>
    <w:rsid w:val="00CC1228"/>
    <w:rsid w:val="00CC1A21"/>
    <w:rsid w:val="00CC600A"/>
    <w:rsid w:val="00CC66DE"/>
    <w:rsid w:val="00CC7C0C"/>
    <w:rsid w:val="00CD0F34"/>
    <w:rsid w:val="00CD5694"/>
    <w:rsid w:val="00CD75E3"/>
    <w:rsid w:val="00CE0CA6"/>
    <w:rsid w:val="00CE2240"/>
    <w:rsid w:val="00CE2627"/>
    <w:rsid w:val="00CE2EB2"/>
    <w:rsid w:val="00CE525D"/>
    <w:rsid w:val="00CE5C99"/>
    <w:rsid w:val="00CF23EE"/>
    <w:rsid w:val="00CF41D3"/>
    <w:rsid w:val="00CF6CD6"/>
    <w:rsid w:val="00D06E0D"/>
    <w:rsid w:val="00D11357"/>
    <w:rsid w:val="00D120BA"/>
    <w:rsid w:val="00D126F7"/>
    <w:rsid w:val="00D129F5"/>
    <w:rsid w:val="00D12ED9"/>
    <w:rsid w:val="00D141DD"/>
    <w:rsid w:val="00D1494A"/>
    <w:rsid w:val="00D21887"/>
    <w:rsid w:val="00D25429"/>
    <w:rsid w:val="00D266DE"/>
    <w:rsid w:val="00D31689"/>
    <w:rsid w:val="00D325D3"/>
    <w:rsid w:val="00D355E8"/>
    <w:rsid w:val="00D43DD6"/>
    <w:rsid w:val="00D454EC"/>
    <w:rsid w:val="00D4623F"/>
    <w:rsid w:val="00D518FF"/>
    <w:rsid w:val="00D51C2C"/>
    <w:rsid w:val="00D53AB5"/>
    <w:rsid w:val="00D55A36"/>
    <w:rsid w:val="00D5689A"/>
    <w:rsid w:val="00D57072"/>
    <w:rsid w:val="00D61249"/>
    <w:rsid w:val="00D61AE5"/>
    <w:rsid w:val="00D64636"/>
    <w:rsid w:val="00D668E4"/>
    <w:rsid w:val="00D67466"/>
    <w:rsid w:val="00D7047B"/>
    <w:rsid w:val="00D70735"/>
    <w:rsid w:val="00D70B24"/>
    <w:rsid w:val="00D729A9"/>
    <w:rsid w:val="00D738E7"/>
    <w:rsid w:val="00D741F4"/>
    <w:rsid w:val="00D74FEC"/>
    <w:rsid w:val="00D75505"/>
    <w:rsid w:val="00D76695"/>
    <w:rsid w:val="00D77DAB"/>
    <w:rsid w:val="00D80998"/>
    <w:rsid w:val="00D8228F"/>
    <w:rsid w:val="00D82B70"/>
    <w:rsid w:val="00D83CB1"/>
    <w:rsid w:val="00D862DA"/>
    <w:rsid w:val="00D8640C"/>
    <w:rsid w:val="00D86456"/>
    <w:rsid w:val="00D870BD"/>
    <w:rsid w:val="00D87DA3"/>
    <w:rsid w:val="00D90ED8"/>
    <w:rsid w:val="00D9260C"/>
    <w:rsid w:val="00D936C9"/>
    <w:rsid w:val="00DA17C1"/>
    <w:rsid w:val="00DA27A3"/>
    <w:rsid w:val="00DA3D7B"/>
    <w:rsid w:val="00DA6721"/>
    <w:rsid w:val="00DA7189"/>
    <w:rsid w:val="00DA7370"/>
    <w:rsid w:val="00DB1190"/>
    <w:rsid w:val="00DB4594"/>
    <w:rsid w:val="00DB4AA3"/>
    <w:rsid w:val="00DB4BE4"/>
    <w:rsid w:val="00DB66CC"/>
    <w:rsid w:val="00DB68FF"/>
    <w:rsid w:val="00DB7230"/>
    <w:rsid w:val="00DC2E23"/>
    <w:rsid w:val="00DC32BA"/>
    <w:rsid w:val="00DC38EC"/>
    <w:rsid w:val="00DC4D38"/>
    <w:rsid w:val="00DC5FD8"/>
    <w:rsid w:val="00DD369D"/>
    <w:rsid w:val="00DD4E75"/>
    <w:rsid w:val="00DD581F"/>
    <w:rsid w:val="00DD6518"/>
    <w:rsid w:val="00DD6537"/>
    <w:rsid w:val="00DD6667"/>
    <w:rsid w:val="00DD74A2"/>
    <w:rsid w:val="00DE383B"/>
    <w:rsid w:val="00DE3F33"/>
    <w:rsid w:val="00DE49BE"/>
    <w:rsid w:val="00DE6576"/>
    <w:rsid w:val="00DE6A60"/>
    <w:rsid w:val="00DE7F19"/>
    <w:rsid w:val="00DF4614"/>
    <w:rsid w:val="00DF6D10"/>
    <w:rsid w:val="00DF6E46"/>
    <w:rsid w:val="00DF7B25"/>
    <w:rsid w:val="00E00B67"/>
    <w:rsid w:val="00E020DB"/>
    <w:rsid w:val="00E04840"/>
    <w:rsid w:val="00E05027"/>
    <w:rsid w:val="00E135A1"/>
    <w:rsid w:val="00E1496E"/>
    <w:rsid w:val="00E16EF1"/>
    <w:rsid w:val="00E177A0"/>
    <w:rsid w:val="00E17F63"/>
    <w:rsid w:val="00E368C3"/>
    <w:rsid w:val="00E3764A"/>
    <w:rsid w:val="00E376E5"/>
    <w:rsid w:val="00E43C06"/>
    <w:rsid w:val="00E449B1"/>
    <w:rsid w:val="00E44CA2"/>
    <w:rsid w:val="00E47B31"/>
    <w:rsid w:val="00E501F7"/>
    <w:rsid w:val="00E5082D"/>
    <w:rsid w:val="00E574A9"/>
    <w:rsid w:val="00E61355"/>
    <w:rsid w:val="00E613BC"/>
    <w:rsid w:val="00E61F1E"/>
    <w:rsid w:val="00E66861"/>
    <w:rsid w:val="00E66E21"/>
    <w:rsid w:val="00E67063"/>
    <w:rsid w:val="00E679A7"/>
    <w:rsid w:val="00E67C1E"/>
    <w:rsid w:val="00E70F38"/>
    <w:rsid w:val="00E710FC"/>
    <w:rsid w:val="00E71915"/>
    <w:rsid w:val="00E80916"/>
    <w:rsid w:val="00E840DF"/>
    <w:rsid w:val="00E8452A"/>
    <w:rsid w:val="00E8560F"/>
    <w:rsid w:val="00E8780A"/>
    <w:rsid w:val="00E9083F"/>
    <w:rsid w:val="00E943D1"/>
    <w:rsid w:val="00E957FC"/>
    <w:rsid w:val="00E96885"/>
    <w:rsid w:val="00E96FE4"/>
    <w:rsid w:val="00EA0289"/>
    <w:rsid w:val="00EB0030"/>
    <w:rsid w:val="00EB0D56"/>
    <w:rsid w:val="00EB11D1"/>
    <w:rsid w:val="00EB181B"/>
    <w:rsid w:val="00EB1CA4"/>
    <w:rsid w:val="00EB2DEA"/>
    <w:rsid w:val="00EB61C4"/>
    <w:rsid w:val="00EB679F"/>
    <w:rsid w:val="00EC341C"/>
    <w:rsid w:val="00EC7E6D"/>
    <w:rsid w:val="00ED1657"/>
    <w:rsid w:val="00ED1D6B"/>
    <w:rsid w:val="00ED5637"/>
    <w:rsid w:val="00ED6618"/>
    <w:rsid w:val="00ED77F9"/>
    <w:rsid w:val="00EE5741"/>
    <w:rsid w:val="00EE71C9"/>
    <w:rsid w:val="00EF352D"/>
    <w:rsid w:val="00EF4AEE"/>
    <w:rsid w:val="00EF5E15"/>
    <w:rsid w:val="00EF6E41"/>
    <w:rsid w:val="00EF7EDE"/>
    <w:rsid w:val="00F0376D"/>
    <w:rsid w:val="00F03BF4"/>
    <w:rsid w:val="00F03F3B"/>
    <w:rsid w:val="00F07468"/>
    <w:rsid w:val="00F11DDC"/>
    <w:rsid w:val="00F1302B"/>
    <w:rsid w:val="00F13F76"/>
    <w:rsid w:val="00F153C1"/>
    <w:rsid w:val="00F2176B"/>
    <w:rsid w:val="00F217E8"/>
    <w:rsid w:val="00F22D82"/>
    <w:rsid w:val="00F22FE8"/>
    <w:rsid w:val="00F23176"/>
    <w:rsid w:val="00F23A8E"/>
    <w:rsid w:val="00F24C27"/>
    <w:rsid w:val="00F26D40"/>
    <w:rsid w:val="00F30E93"/>
    <w:rsid w:val="00F340B6"/>
    <w:rsid w:val="00F361B7"/>
    <w:rsid w:val="00F40BAE"/>
    <w:rsid w:val="00F52F93"/>
    <w:rsid w:val="00F531ED"/>
    <w:rsid w:val="00F54608"/>
    <w:rsid w:val="00F552F2"/>
    <w:rsid w:val="00F55E52"/>
    <w:rsid w:val="00F57EF0"/>
    <w:rsid w:val="00F627E2"/>
    <w:rsid w:val="00F62FF4"/>
    <w:rsid w:val="00F65D6C"/>
    <w:rsid w:val="00F66DFC"/>
    <w:rsid w:val="00F71520"/>
    <w:rsid w:val="00F7590F"/>
    <w:rsid w:val="00F75FE2"/>
    <w:rsid w:val="00F772CC"/>
    <w:rsid w:val="00F8569E"/>
    <w:rsid w:val="00F85A14"/>
    <w:rsid w:val="00F90E7C"/>
    <w:rsid w:val="00F90EB0"/>
    <w:rsid w:val="00F913C6"/>
    <w:rsid w:val="00F94864"/>
    <w:rsid w:val="00F95BDD"/>
    <w:rsid w:val="00F97E82"/>
    <w:rsid w:val="00FA02EE"/>
    <w:rsid w:val="00FA33A6"/>
    <w:rsid w:val="00FA7B80"/>
    <w:rsid w:val="00FB0B18"/>
    <w:rsid w:val="00FB18EA"/>
    <w:rsid w:val="00FB2ACA"/>
    <w:rsid w:val="00FB673E"/>
    <w:rsid w:val="00FB753B"/>
    <w:rsid w:val="00FC3D57"/>
    <w:rsid w:val="00FC3EB4"/>
    <w:rsid w:val="00FC51B8"/>
    <w:rsid w:val="00FC5FD1"/>
    <w:rsid w:val="00FC6497"/>
    <w:rsid w:val="00FC6C2D"/>
    <w:rsid w:val="00FD16AB"/>
    <w:rsid w:val="00FD2E3A"/>
    <w:rsid w:val="00FD38DC"/>
    <w:rsid w:val="00FD4EC6"/>
    <w:rsid w:val="00FD6457"/>
    <w:rsid w:val="00FD755E"/>
    <w:rsid w:val="00FD7CD3"/>
    <w:rsid w:val="00FE410C"/>
    <w:rsid w:val="00FE44C5"/>
    <w:rsid w:val="00FE6431"/>
    <w:rsid w:val="00FE7746"/>
    <w:rsid w:val="00FF1021"/>
    <w:rsid w:val="00FF141F"/>
    <w:rsid w:val="00FF15D1"/>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562D00"/>
  </w:style>
  <w:style w:type="paragraph" w:styleId="Revision">
    <w:name w:val="Revision"/>
    <w:hidden/>
    <w:uiPriority w:val="99"/>
    <w:semiHidden/>
    <w:rsid w:val="002919A6"/>
  </w:style>
  <w:style w:type="character" w:styleId="CommentReference">
    <w:name w:val="annotation reference"/>
    <w:basedOn w:val="DefaultParagraphFont"/>
    <w:uiPriority w:val="99"/>
    <w:semiHidden/>
    <w:unhideWhenUsed/>
    <w:locked/>
    <w:rsid w:val="007D6E7D"/>
    <w:rPr>
      <w:sz w:val="16"/>
      <w:szCs w:val="16"/>
    </w:rPr>
  </w:style>
  <w:style w:type="paragraph" w:styleId="CommentText">
    <w:name w:val="annotation text"/>
    <w:basedOn w:val="Normal"/>
    <w:link w:val="CommentTextChar"/>
    <w:uiPriority w:val="99"/>
    <w:unhideWhenUsed/>
    <w:locked/>
    <w:rsid w:val="007D6E7D"/>
    <w:pPr>
      <w:spacing w:line="240" w:lineRule="auto"/>
    </w:pPr>
    <w:rPr>
      <w:sz w:val="20"/>
      <w:szCs w:val="20"/>
    </w:rPr>
  </w:style>
  <w:style w:type="character" w:customStyle="1" w:styleId="CommentTextChar">
    <w:name w:val="Comment Text Char"/>
    <w:basedOn w:val="DefaultParagraphFont"/>
    <w:link w:val="CommentText"/>
    <w:uiPriority w:val="99"/>
    <w:rsid w:val="007D6E7D"/>
    <w:rPr>
      <w:sz w:val="20"/>
      <w:szCs w:val="20"/>
    </w:rPr>
  </w:style>
  <w:style w:type="paragraph" w:styleId="CommentSubject">
    <w:name w:val="annotation subject"/>
    <w:basedOn w:val="CommentText"/>
    <w:next w:val="CommentText"/>
    <w:link w:val="CommentSubjectChar"/>
    <w:uiPriority w:val="99"/>
    <w:semiHidden/>
    <w:unhideWhenUsed/>
    <w:locked/>
    <w:rsid w:val="007D6E7D"/>
    <w:rPr>
      <w:b/>
      <w:bCs/>
    </w:rPr>
  </w:style>
  <w:style w:type="character" w:customStyle="1" w:styleId="CommentSubjectChar">
    <w:name w:val="Comment Subject Char"/>
    <w:basedOn w:val="CommentTextChar"/>
    <w:link w:val="CommentSubject"/>
    <w:uiPriority w:val="99"/>
    <w:semiHidden/>
    <w:rsid w:val="007D6E7D"/>
    <w:rPr>
      <w:b/>
      <w:bCs/>
      <w:sz w:val="20"/>
      <w:szCs w:val="20"/>
    </w:rPr>
  </w:style>
  <w:style w:type="character" w:styleId="Hyperlink">
    <w:name w:val="Hyperlink"/>
    <w:basedOn w:val="DefaultParagraphFont"/>
    <w:uiPriority w:val="99"/>
    <w:unhideWhenUsed/>
    <w:locked/>
    <w:rsid w:val="003567D9"/>
    <w:rPr>
      <w:color w:val="0000FF"/>
      <w:u w:val="single"/>
    </w:rPr>
  </w:style>
  <w:style w:type="paragraph" w:customStyle="1" w:styleId="Quote1">
    <w:name w:val="Quote1"/>
    <w:basedOn w:val="Normal"/>
    <w:qFormat/>
    <w:rsid w:val="003567D9"/>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59" w:lineRule="auto"/>
      <w:ind w:left="720" w:right="0" w:firstLine="0"/>
    </w:pPr>
    <w:rPr>
      <w:rFonts w:ascii="Times New Roman" w:eastAsiaTheme="minorHAnsi" w:hAnsi="Times New Roman"/>
      <w:sz w:val="23"/>
      <w:szCs w:val="24"/>
      <w:lang w:eastAsia="en-US"/>
    </w:rPr>
  </w:style>
  <w:style w:type="paragraph" w:customStyle="1" w:styleId="Numberedpara">
    <w:name w:val="Numbered para"/>
    <w:basedOn w:val="ListParagraph"/>
    <w:qFormat/>
    <w:rsid w:val="003567D9"/>
    <w:pPr>
      <w:numPr>
        <w:numId w:val="20"/>
      </w:numPr>
      <w:tabs>
        <w:tab w:val="clear" w:pos="720"/>
        <w:tab w:val="clear" w:pos="1440"/>
        <w:tab w:val="clear" w:pos="2160"/>
        <w:tab w:val="clear" w:pos="2880"/>
        <w:tab w:val="clear" w:pos="3600"/>
        <w:tab w:val="clear" w:pos="4320"/>
        <w:tab w:val="clear" w:pos="5040"/>
        <w:tab w:val="clear" w:pos="5760"/>
        <w:tab w:val="clear" w:pos="6480"/>
        <w:tab w:val="clear" w:pos="7200"/>
      </w:tabs>
      <w:spacing w:before="240" w:after="240" w:line="259" w:lineRule="auto"/>
      <w:ind w:left="1440" w:right="0" w:hanging="720"/>
      <w:contextualSpacing w:val="0"/>
    </w:pPr>
    <w:rPr>
      <w:rFonts w:ascii="Times New Roman" w:eastAsiaTheme="minorHAnsi" w:hAnsi="Times New Roman"/>
      <w:sz w:val="24"/>
      <w:szCs w:val="24"/>
      <w:lang w:eastAsia="en-US"/>
    </w:rPr>
  </w:style>
  <w:style w:type="paragraph" w:styleId="ListParagraph">
    <w:name w:val="List Paragraph"/>
    <w:basedOn w:val="Normal"/>
    <w:uiPriority w:val="34"/>
    <w:qFormat/>
    <w:locked/>
    <w:rsid w:val="003567D9"/>
    <w:pPr>
      <w:ind w:left="720"/>
      <w:contextualSpacing/>
    </w:pPr>
  </w:style>
  <w:style w:type="paragraph" w:customStyle="1" w:styleId="Default">
    <w:name w:val="Default"/>
    <w:rsid w:val="003567D9"/>
    <w:pPr>
      <w:autoSpaceDE w:val="0"/>
      <w:autoSpaceDN w:val="0"/>
      <w:adjustRightInd w:val="0"/>
    </w:pPr>
    <w:rPr>
      <w:rFonts w:cs="Univers"/>
      <w:color w:val="000000"/>
      <w:sz w:val="24"/>
      <w:szCs w:val="24"/>
    </w:rPr>
  </w:style>
  <w:style w:type="character" w:styleId="UnresolvedMention">
    <w:name w:val="Unresolved Mention"/>
    <w:basedOn w:val="DefaultParagraphFont"/>
    <w:uiPriority w:val="99"/>
    <w:semiHidden/>
    <w:unhideWhenUsed/>
    <w:rsid w:val="003567D9"/>
    <w:rPr>
      <w:color w:val="605E5C"/>
      <w:shd w:val="clear" w:color="auto" w:fill="E1DFDD"/>
    </w:rPr>
  </w:style>
  <w:style w:type="character" w:styleId="FollowedHyperlink">
    <w:name w:val="FollowedHyperlink"/>
    <w:basedOn w:val="DefaultParagraphFont"/>
    <w:uiPriority w:val="99"/>
    <w:semiHidden/>
    <w:unhideWhenUsed/>
    <w:locked/>
    <w:rsid w:val="003567D9"/>
    <w:rPr>
      <w:color w:val="800080" w:themeColor="followedHyperlink"/>
      <w:u w:val="single"/>
    </w:rPr>
  </w:style>
  <w:style w:type="character" w:customStyle="1" w:styleId="cf01">
    <w:name w:val="cf01"/>
    <w:basedOn w:val="DefaultParagraphFont"/>
    <w:rsid w:val="003567D9"/>
    <w:rPr>
      <w:rFonts w:ascii="Segoe UI" w:hAnsi="Segoe UI" w:cs="Segoe UI" w:hint="default"/>
      <w:sz w:val="18"/>
      <w:szCs w:val="18"/>
    </w:rPr>
  </w:style>
  <w:style w:type="character" w:customStyle="1" w:styleId="cf11">
    <w:name w:val="cf11"/>
    <w:basedOn w:val="DefaultParagraphFont"/>
    <w:rsid w:val="003567D9"/>
    <w:rPr>
      <w:rFonts w:ascii="Segoe UI" w:hAnsi="Segoe UI" w:cs="Segoe UI" w:hint="default"/>
      <w:i/>
      <w:iCs/>
      <w:sz w:val="18"/>
      <w:szCs w:val="18"/>
    </w:rPr>
  </w:style>
  <w:style w:type="paragraph" w:customStyle="1" w:styleId="Body">
    <w:name w:val="Body"/>
    <w:basedOn w:val="Normal"/>
    <w:qFormat/>
    <w:rsid w:val="005F236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F236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F2362"/>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F236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F2362"/>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F2362"/>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A0020EF4-2F3F-418F-A73F-8D3AB8A2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43</Pages>
  <Words>12364</Words>
  <Characters>70475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2024-03-08T05:44:00Z</dcterms:created>
  <dcterms:modified xsi:type="dcterms:W3CDTF">2024-03-08T05:53:00Z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