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2A1F" w14:textId="77777777" w:rsidR="00621E8C" w:rsidRDefault="00621E8C" w:rsidP="00AF092E">
      <w:pPr>
        <w:pStyle w:val="OrdersTopLine"/>
      </w:pPr>
      <w:r>
        <w:t>HIGH COURT OF AUSTRALIA</w:t>
      </w:r>
    </w:p>
    <w:p w14:paraId="6530D508" w14:textId="77777777" w:rsidR="00621E8C" w:rsidRDefault="00621E8C" w:rsidP="00AF092E">
      <w:pPr>
        <w:pStyle w:val="OrdersCentre"/>
      </w:pPr>
    </w:p>
    <w:p w14:paraId="1D6971CB" w14:textId="77777777" w:rsidR="00621E8C" w:rsidRDefault="00621E8C" w:rsidP="00AF092E">
      <w:pPr>
        <w:pStyle w:val="OrdersCentre"/>
      </w:pPr>
      <w:r>
        <w:t>BEECH-JONES J</w:t>
      </w:r>
    </w:p>
    <w:p w14:paraId="713F4313" w14:textId="77777777" w:rsidR="00621E8C" w:rsidRDefault="00621E8C" w:rsidP="00AF092E">
      <w:pPr>
        <w:pStyle w:val="OrdersCentre"/>
      </w:pPr>
    </w:p>
    <w:p w14:paraId="22FD10F0" w14:textId="77777777" w:rsidR="00621E8C" w:rsidRDefault="00621E8C" w:rsidP="00AF092E">
      <w:pPr>
        <w:pStyle w:val="CenteredBorder"/>
      </w:pPr>
    </w:p>
    <w:p w14:paraId="617F835A" w14:textId="77777777" w:rsidR="00621E8C" w:rsidRDefault="00621E8C" w:rsidP="00AF092E">
      <w:pPr>
        <w:pStyle w:val="OrdersPartyName"/>
      </w:pPr>
    </w:p>
    <w:p w14:paraId="73DF0E6D" w14:textId="6527AE38" w:rsidR="00621E8C" w:rsidRDefault="00621E8C" w:rsidP="00AF092E">
      <w:pPr>
        <w:pStyle w:val="OrdersPartyName"/>
      </w:pPr>
      <w:r>
        <w:t xml:space="preserve">IN THE MATTER OF AN APPLICATION BY </w:t>
      </w:r>
      <w:r w:rsidR="00E66349">
        <w:t>MICHAEL RUSSELL MARK BROADBENT</w:t>
      </w:r>
      <w:r>
        <w:t xml:space="preserve"> FOR LEAVE TO ISSUE OR FILE</w:t>
      </w:r>
    </w:p>
    <w:p w14:paraId="4F3959AB" w14:textId="77777777" w:rsidR="00621E8C" w:rsidRDefault="00621E8C" w:rsidP="00AF092E">
      <w:pPr>
        <w:pStyle w:val="OrdersPartyName"/>
      </w:pPr>
    </w:p>
    <w:p w14:paraId="6631C884" w14:textId="77777777" w:rsidR="00621E8C" w:rsidRDefault="00621E8C" w:rsidP="00AF092E">
      <w:pPr>
        <w:pStyle w:val="OrdersPartyName"/>
      </w:pPr>
    </w:p>
    <w:p w14:paraId="1EE6502A" w14:textId="77777777" w:rsidR="00621E8C" w:rsidRDefault="00621E8C" w:rsidP="00AF092E">
      <w:pPr>
        <w:pStyle w:val="OrdersPartyName"/>
      </w:pPr>
    </w:p>
    <w:p w14:paraId="049E176E" w14:textId="77777777" w:rsidR="00621E8C" w:rsidRDefault="00621E8C" w:rsidP="00AF092E">
      <w:pPr>
        <w:pStyle w:val="OrdersPartyName"/>
      </w:pPr>
    </w:p>
    <w:p w14:paraId="3FF584F8" w14:textId="71432558" w:rsidR="00621E8C" w:rsidRDefault="00621E8C" w:rsidP="00AF092E">
      <w:pPr>
        <w:pStyle w:val="OrdersCentre"/>
      </w:pPr>
      <w:r>
        <w:t xml:space="preserve">[2024] HCASJ </w:t>
      </w:r>
      <w:r w:rsidR="00CE6AAA">
        <w:t>19</w:t>
      </w:r>
    </w:p>
    <w:p w14:paraId="48FAE5CD" w14:textId="228AFC45" w:rsidR="00621E8C" w:rsidRDefault="00621E8C" w:rsidP="00AF092E">
      <w:pPr>
        <w:pStyle w:val="OrdersCentreItalics"/>
      </w:pPr>
      <w:r>
        <w:t xml:space="preserve">Date of Judgment: </w:t>
      </w:r>
      <w:r w:rsidR="000F1CD9">
        <w:t xml:space="preserve">22 </w:t>
      </w:r>
      <w:r w:rsidR="00E66349">
        <w:t>May</w:t>
      </w:r>
      <w:r>
        <w:t xml:space="preserve"> 2024</w:t>
      </w:r>
    </w:p>
    <w:p w14:paraId="5C4EBCCB" w14:textId="706A3FE2" w:rsidR="00621E8C" w:rsidRDefault="009A43A6" w:rsidP="00AF092E">
      <w:pPr>
        <w:pStyle w:val="OrdersCentre"/>
      </w:pPr>
      <w:r>
        <w:t>B25</w:t>
      </w:r>
      <w:r w:rsidR="00621E8C">
        <w:t xml:space="preserve"> of 2024</w:t>
      </w:r>
    </w:p>
    <w:p w14:paraId="53AD90FC" w14:textId="77777777" w:rsidR="00621E8C" w:rsidRDefault="00621E8C" w:rsidP="00AF092E">
      <w:pPr>
        <w:pStyle w:val="OrdersCentre"/>
      </w:pPr>
    </w:p>
    <w:p w14:paraId="449FFA33" w14:textId="77777777" w:rsidR="00621E8C" w:rsidRDefault="00621E8C" w:rsidP="00AF092E">
      <w:pPr>
        <w:pStyle w:val="OrdersMatter"/>
      </w:pPr>
      <w:r>
        <w:t>ORDER</w:t>
      </w:r>
    </w:p>
    <w:p w14:paraId="484E4A86" w14:textId="77777777" w:rsidR="00621E8C" w:rsidRDefault="00621E8C" w:rsidP="00AF092E">
      <w:pPr>
        <w:pStyle w:val="OrdersMatter"/>
      </w:pPr>
    </w:p>
    <w:p w14:paraId="7E8DC1E7" w14:textId="50D8DB4C" w:rsidR="00621E8C" w:rsidRDefault="00621E8C" w:rsidP="00AF092E">
      <w:pPr>
        <w:pStyle w:val="OrdersText"/>
      </w:pPr>
      <w:r>
        <w:t>1.</w:t>
      </w:r>
      <w:r>
        <w:tab/>
        <w:t>The application for leave to</w:t>
      </w:r>
      <w:r w:rsidR="00102FD0">
        <w:t xml:space="preserve"> issue or</w:t>
      </w:r>
      <w:r>
        <w:t xml:space="preserve"> file </w:t>
      </w:r>
      <w:r w:rsidR="00102FD0">
        <w:t xml:space="preserve">the </w:t>
      </w:r>
      <w:r w:rsidR="00E16B20">
        <w:t>document</w:t>
      </w:r>
      <w:r w:rsidR="003337E6">
        <w:t xml:space="preserve"> entitled</w:t>
      </w:r>
      <w:r w:rsidR="00102FD0">
        <w:t xml:space="preserve"> </w:t>
      </w:r>
      <w:r>
        <w:t>"Application</w:t>
      </w:r>
      <w:r w:rsidR="00E66349">
        <w:t xml:space="preserve"> for Special Leave to Appeal</w:t>
      </w:r>
      <w:r>
        <w:t>" dated 1</w:t>
      </w:r>
      <w:r w:rsidR="00E66349">
        <w:t xml:space="preserve">6 April </w:t>
      </w:r>
      <w:r>
        <w:t>2024 is dismissed without an oral hearing.</w:t>
      </w:r>
    </w:p>
    <w:p w14:paraId="1F54C936" w14:textId="77777777" w:rsidR="00621E8C" w:rsidRDefault="00621E8C" w:rsidP="00AF092E">
      <w:pPr>
        <w:pStyle w:val="OrdersText"/>
      </w:pPr>
    </w:p>
    <w:p w14:paraId="12B7CDB3" w14:textId="77777777" w:rsidR="00621E8C" w:rsidRDefault="00621E8C" w:rsidP="00AF092E">
      <w:pPr>
        <w:pStyle w:val="OrdersText"/>
      </w:pPr>
    </w:p>
    <w:p w14:paraId="305AFE88" w14:textId="77777777" w:rsidR="00621E8C" w:rsidRDefault="00621E8C" w:rsidP="00AF092E">
      <w:pPr>
        <w:pStyle w:val="OrdersText"/>
      </w:pPr>
    </w:p>
    <w:p w14:paraId="2DE36B38" w14:textId="77777777" w:rsidR="00621E8C" w:rsidRDefault="00621E8C" w:rsidP="00AF092E">
      <w:pPr>
        <w:pStyle w:val="OrdersText"/>
      </w:pPr>
    </w:p>
    <w:p w14:paraId="08950596" w14:textId="77777777" w:rsidR="00621E8C" w:rsidRDefault="00621E8C" w:rsidP="00AF092E">
      <w:pPr>
        <w:pStyle w:val="OrdersText"/>
      </w:pPr>
    </w:p>
    <w:p w14:paraId="5803EE7C" w14:textId="77777777" w:rsidR="00621E8C" w:rsidRDefault="00621E8C" w:rsidP="00AF092E">
      <w:pPr>
        <w:pStyle w:val="OrdersText"/>
      </w:pPr>
    </w:p>
    <w:p w14:paraId="29E0DE38" w14:textId="77777777" w:rsidR="00621E8C" w:rsidRDefault="00621E8C" w:rsidP="00AF092E">
      <w:pPr>
        <w:pStyle w:val="OrdersText"/>
      </w:pPr>
    </w:p>
    <w:p w14:paraId="32B9D5A6" w14:textId="77777777" w:rsidR="00621E8C" w:rsidRDefault="00621E8C" w:rsidP="00AF092E">
      <w:pPr>
        <w:pStyle w:val="OrdersText"/>
      </w:pPr>
    </w:p>
    <w:p w14:paraId="1E4609D6" w14:textId="77777777" w:rsidR="00621E8C" w:rsidRDefault="00621E8C" w:rsidP="00AF092E">
      <w:pPr>
        <w:pStyle w:val="OrdersText"/>
      </w:pPr>
    </w:p>
    <w:p w14:paraId="7FF429FC" w14:textId="77777777" w:rsidR="00621E8C" w:rsidRDefault="00621E8C" w:rsidP="00AF092E">
      <w:pPr>
        <w:pStyle w:val="OrdersText"/>
      </w:pPr>
    </w:p>
    <w:p w14:paraId="54FBA12E" w14:textId="77777777" w:rsidR="00621E8C" w:rsidRDefault="00621E8C" w:rsidP="00AF092E">
      <w:pPr>
        <w:pStyle w:val="OrdersText"/>
      </w:pPr>
    </w:p>
    <w:p w14:paraId="54634CA2" w14:textId="77777777" w:rsidR="00621E8C" w:rsidRDefault="00621E8C" w:rsidP="00AF092E">
      <w:pPr>
        <w:pStyle w:val="OrdersBodyHeading"/>
      </w:pPr>
      <w:r>
        <w:t>Representation</w:t>
      </w:r>
    </w:p>
    <w:p w14:paraId="007FC46A" w14:textId="77777777" w:rsidR="00621E8C" w:rsidRDefault="00621E8C" w:rsidP="00AF092E">
      <w:pPr>
        <w:pStyle w:val="OrdersBodyHeading"/>
      </w:pPr>
    </w:p>
    <w:p w14:paraId="409EB6A7" w14:textId="77777777" w:rsidR="00621E8C" w:rsidRDefault="00621E8C" w:rsidP="00AF092E">
      <w:pPr>
        <w:pStyle w:val="OrdersBody"/>
      </w:pPr>
      <w:r>
        <w:t>The applicant is unrepresented</w:t>
      </w:r>
    </w:p>
    <w:p w14:paraId="6F40E1F5" w14:textId="2097056C" w:rsidR="00621E8C" w:rsidRDefault="00621E8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B7D580" w14:textId="13868477" w:rsidR="00621E8C" w:rsidRDefault="00621E8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2A949177" w14:textId="77777777" w:rsidR="00621E8C" w:rsidRDefault="00621E8C" w:rsidP="00D71DD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621E8C" w:rsidSect="00621E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603DF455" w14:textId="543AC704" w:rsidR="006835F3" w:rsidRPr="00D71DDF" w:rsidRDefault="00D71DDF" w:rsidP="00D71DDF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lastRenderedPageBreak/>
        <w:t xml:space="preserve">BEECH-JONES J. </w:t>
      </w:r>
      <w:r w:rsidR="006835F3" w:rsidRPr="00D71DDF">
        <w:rPr>
          <w:rFonts w:ascii="Times New Roman" w:hAnsi="Times New Roman"/>
        </w:rPr>
        <w:t xml:space="preserve">This is an </w:t>
      </w:r>
      <w:r w:rsidR="00A56354">
        <w:rPr>
          <w:rFonts w:ascii="Times New Roman" w:hAnsi="Times New Roman"/>
        </w:rPr>
        <w:t xml:space="preserve">ex parte </w:t>
      </w:r>
      <w:r w:rsidR="006835F3" w:rsidRPr="00D71DDF">
        <w:rPr>
          <w:rFonts w:ascii="Times New Roman" w:hAnsi="Times New Roman"/>
        </w:rPr>
        <w:t xml:space="preserve">application for leave to issue </w:t>
      </w:r>
      <w:r w:rsidR="000E6618" w:rsidRPr="00D71DDF">
        <w:rPr>
          <w:rFonts w:ascii="Times New Roman" w:hAnsi="Times New Roman"/>
        </w:rPr>
        <w:t xml:space="preserve">or file </w:t>
      </w:r>
      <w:r w:rsidR="006835F3" w:rsidRPr="00D71DDF">
        <w:rPr>
          <w:rFonts w:ascii="Times New Roman" w:hAnsi="Times New Roman"/>
        </w:rPr>
        <w:t>an application for</w:t>
      </w:r>
      <w:r w:rsidR="00E66349">
        <w:rPr>
          <w:rFonts w:ascii="Times New Roman" w:hAnsi="Times New Roman"/>
        </w:rPr>
        <w:t xml:space="preserve"> special leave to appeal</w:t>
      </w:r>
      <w:r w:rsidR="00C9005F">
        <w:rPr>
          <w:rFonts w:ascii="Times New Roman" w:hAnsi="Times New Roman"/>
        </w:rPr>
        <w:t xml:space="preserve"> from a decision of the Court of Appeal of the Supreme Court of Queensland.</w:t>
      </w:r>
      <w:r w:rsidR="00C9005F">
        <w:rPr>
          <w:rStyle w:val="FootnoteReference"/>
          <w:rFonts w:ascii="Times New Roman" w:hAnsi="Times New Roman"/>
        </w:rPr>
        <w:footnoteReference w:id="2"/>
      </w:r>
      <w:r w:rsidR="00E66349">
        <w:rPr>
          <w:rFonts w:ascii="Times New Roman" w:hAnsi="Times New Roman"/>
        </w:rPr>
        <w:t xml:space="preserve"> </w:t>
      </w:r>
      <w:r w:rsidR="006835F3" w:rsidRPr="00D71DDF">
        <w:rPr>
          <w:rFonts w:ascii="Times New Roman" w:hAnsi="Times New Roman"/>
        </w:rPr>
        <w:t>For the reasons that follow, leave should be refused.</w:t>
      </w:r>
    </w:p>
    <w:p w14:paraId="43D34715" w14:textId="6BF9A529" w:rsidR="006835F3" w:rsidRPr="00D71DDF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E66349">
        <w:rPr>
          <w:rFonts w:ascii="Times New Roman" w:hAnsi="Times New Roman"/>
        </w:rPr>
        <w:t xml:space="preserve">On or about </w:t>
      </w:r>
      <w:r w:rsidR="001469A0">
        <w:rPr>
          <w:rFonts w:ascii="Times New Roman" w:hAnsi="Times New Roman"/>
        </w:rPr>
        <w:t>16</w:t>
      </w:r>
      <w:r w:rsidR="00C362E7">
        <w:rPr>
          <w:rFonts w:ascii="Times New Roman" w:hAnsi="Times New Roman"/>
        </w:rPr>
        <w:t> </w:t>
      </w:r>
      <w:r w:rsidR="001469A0">
        <w:rPr>
          <w:rFonts w:ascii="Times New Roman" w:hAnsi="Times New Roman"/>
        </w:rPr>
        <w:t>April 2024</w:t>
      </w:r>
      <w:r w:rsidR="009C2940">
        <w:rPr>
          <w:rFonts w:ascii="Times New Roman" w:hAnsi="Times New Roman"/>
        </w:rPr>
        <w:t>,</w:t>
      </w:r>
      <w:r w:rsidR="00E66349">
        <w:rPr>
          <w:rFonts w:ascii="Times New Roman" w:hAnsi="Times New Roman"/>
        </w:rPr>
        <w:t xml:space="preserve"> the applicant, M</w:t>
      </w:r>
      <w:r w:rsidR="00DC6A91">
        <w:rPr>
          <w:rFonts w:ascii="Times New Roman" w:hAnsi="Times New Roman"/>
        </w:rPr>
        <w:t>ichael</w:t>
      </w:r>
      <w:r w:rsidR="00E66349">
        <w:rPr>
          <w:rFonts w:ascii="Times New Roman" w:hAnsi="Times New Roman"/>
        </w:rPr>
        <w:t xml:space="preserve"> Russell Mark Broadbent, sought to file an application for special leave to appeal</w:t>
      </w:r>
      <w:r w:rsidR="00480E0A">
        <w:rPr>
          <w:rFonts w:ascii="Times New Roman" w:hAnsi="Times New Roman"/>
        </w:rPr>
        <w:t xml:space="preserve"> in this Court</w:t>
      </w:r>
      <w:r w:rsidR="00E66349">
        <w:rPr>
          <w:rFonts w:ascii="Times New Roman" w:hAnsi="Times New Roman"/>
        </w:rPr>
        <w:t xml:space="preserve">. </w:t>
      </w:r>
      <w:r w:rsidRPr="00D71DDF">
        <w:rPr>
          <w:rFonts w:ascii="Times New Roman" w:hAnsi="Times New Roman"/>
        </w:rPr>
        <w:t xml:space="preserve">On </w:t>
      </w:r>
      <w:r w:rsidR="00E66349">
        <w:rPr>
          <w:rFonts w:ascii="Times New Roman" w:hAnsi="Times New Roman"/>
        </w:rPr>
        <w:t>23</w:t>
      </w:r>
      <w:r w:rsidR="003978C1">
        <w:rPr>
          <w:rFonts w:ascii="Times New Roman" w:hAnsi="Times New Roman"/>
        </w:rPr>
        <w:t> </w:t>
      </w:r>
      <w:r w:rsidR="00E66349">
        <w:rPr>
          <w:rFonts w:ascii="Times New Roman" w:hAnsi="Times New Roman"/>
        </w:rPr>
        <w:t>April 2024</w:t>
      </w:r>
      <w:r w:rsidR="007B611C">
        <w:rPr>
          <w:rFonts w:ascii="Times New Roman" w:hAnsi="Times New Roman"/>
        </w:rPr>
        <w:t>,</w:t>
      </w:r>
      <w:r w:rsidRPr="00D71DDF">
        <w:rPr>
          <w:rFonts w:ascii="Times New Roman" w:hAnsi="Times New Roman"/>
        </w:rPr>
        <w:t xml:space="preserve"> </w:t>
      </w:r>
      <w:r w:rsidR="00E66349">
        <w:rPr>
          <w:rFonts w:ascii="Times New Roman" w:hAnsi="Times New Roman"/>
        </w:rPr>
        <w:t>Jagot</w:t>
      </w:r>
      <w:r w:rsidRPr="00D71DDF">
        <w:rPr>
          <w:rFonts w:ascii="Times New Roman" w:hAnsi="Times New Roman"/>
        </w:rPr>
        <w:t> J directed the Registrar of this Court to refuse to issue or file that document without the leave of a Justice first had and obtained by the party seeking to issue or file it.</w:t>
      </w:r>
      <w:r w:rsidR="00D92134" w:rsidRPr="00D71DDF">
        <w:rPr>
          <w:rStyle w:val="FootnoteReference"/>
          <w:rFonts w:ascii="Times New Roman" w:hAnsi="Times New Roman"/>
          <w:sz w:val="24"/>
        </w:rPr>
        <w:footnoteReference w:id="3"/>
      </w:r>
      <w:r w:rsidRPr="00D71DDF">
        <w:rPr>
          <w:rFonts w:ascii="Times New Roman" w:hAnsi="Times New Roman"/>
        </w:rPr>
        <w:t xml:space="preserve"> Mr </w:t>
      </w:r>
      <w:r w:rsidR="00E66349">
        <w:rPr>
          <w:rFonts w:ascii="Times New Roman" w:hAnsi="Times New Roman"/>
        </w:rPr>
        <w:t>Broadbent</w:t>
      </w:r>
      <w:r w:rsidRPr="00D71DDF">
        <w:rPr>
          <w:rFonts w:ascii="Times New Roman" w:hAnsi="Times New Roman"/>
        </w:rPr>
        <w:t xml:space="preserve"> </w:t>
      </w:r>
      <w:r w:rsidR="00C8119B" w:rsidRPr="00D71DDF">
        <w:rPr>
          <w:rFonts w:ascii="Times New Roman" w:hAnsi="Times New Roman"/>
        </w:rPr>
        <w:t xml:space="preserve">now </w:t>
      </w:r>
      <w:r w:rsidRPr="00D71DDF">
        <w:rPr>
          <w:rFonts w:ascii="Times New Roman" w:hAnsi="Times New Roman"/>
        </w:rPr>
        <w:t>s</w:t>
      </w:r>
      <w:r w:rsidR="00E575A5" w:rsidRPr="00D71DDF">
        <w:rPr>
          <w:rFonts w:ascii="Times New Roman" w:hAnsi="Times New Roman"/>
        </w:rPr>
        <w:t xml:space="preserve">eeks </w:t>
      </w:r>
      <w:r w:rsidRPr="00D71DDF">
        <w:rPr>
          <w:rFonts w:ascii="Times New Roman" w:hAnsi="Times New Roman"/>
        </w:rPr>
        <w:t xml:space="preserve">that leave. He relies on an affidavit that he affirmed on </w:t>
      </w:r>
      <w:r w:rsidR="00E66349">
        <w:rPr>
          <w:rFonts w:ascii="Times New Roman" w:hAnsi="Times New Roman"/>
        </w:rPr>
        <w:t>7</w:t>
      </w:r>
      <w:r w:rsidR="00C362E7">
        <w:rPr>
          <w:rFonts w:ascii="Times New Roman" w:hAnsi="Times New Roman"/>
        </w:rPr>
        <w:t> </w:t>
      </w:r>
      <w:r w:rsidR="00E66349">
        <w:rPr>
          <w:rFonts w:ascii="Times New Roman" w:hAnsi="Times New Roman"/>
        </w:rPr>
        <w:t>May 2024</w:t>
      </w:r>
      <w:r w:rsidRPr="00D71DDF">
        <w:rPr>
          <w:rFonts w:ascii="Times New Roman" w:hAnsi="Times New Roman"/>
        </w:rPr>
        <w:t>.</w:t>
      </w:r>
    </w:p>
    <w:p w14:paraId="44F1C3DD" w14:textId="2D41A3EC" w:rsidR="000D4B1B" w:rsidRDefault="006835F3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5D2593">
        <w:rPr>
          <w:rFonts w:ascii="Times New Roman" w:hAnsi="Times New Roman"/>
        </w:rPr>
        <w:t>The applicant was previously a medical practitioner</w:t>
      </w:r>
      <w:r w:rsidR="009C2940">
        <w:rPr>
          <w:rFonts w:ascii="Times New Roman" w:hAnsi="Times New Roman"/>
        </w:rPr>
        <w:t>.</w:t>
      </w:r>
      <w:r w:rsidR="005D2593">
        <w:rPr>
          <w:rFonts w:ascii="Times New Roman" w:hAnsi="Times New Roman"/>
        </w:rPr>
        <w:t xml:space="preserve"> </w:t>
      </w:r>
      <w:r w:rsidR="00AD1D47">
        <w:rPr>
          <w:rFonts w:ascii="Times New Roman" w:hAnsi="Times New Roman"/>
        </w:rPr>
        <w:t xml:space="preserve">The </w:t>
      </w:r>
      <w:r w:rsidR="00BB0EA2">
        <w:rPr>
          <w:rFonts w:ascii="Times New Roman" w:hAnsi="Times New Roman"/>
        </w:rPr>
        <w:t xml:space="preserve">respondent to the </w:t>
      </w:r>
      <w:r w:rsidR="00AD1D47">
        <w:rPr>
          <w:rFonts w:ascii="Times New Roman" w:hAnsi="Times New Roman"/>
        </w:rPr>
        <w:t xml:space="preserve">proposed </w:t>
      </w:r>
      <w:r w:rsidR="00BB0EA2">
        <w:rPr>
          <w:rFonts w:ascii="Times New Roman" w:hAnsi="Times New Roman"/>
        </w:rPr>
        <w:t xml:space="preserve">application is the Medical Board of </w:t>
      </w:r>
      <w:r w:rsidR="00A063D8">
        <w:rPr>
          <w:rFonts w:ascii="Times New Roman" w:hAnsi="Times New Roman"/>
        </w:rPr>
        <w:t>Australia (</w:t>
      </w:r>
      <w:r w:rsidR="00F824AE">
        <w:rPr>
          <w:rFonts w:ascii="Times New Roman" w:hAnsi="Times New Roman"/>
        </w:rPr>
        <w:t>"</w:t>
      </w:r>
      <w:r w:rsidR="00A063D8">
        <w:rPr>
          <w:rFonts w:ascii="Times New Roman" w:hAnsi="Times New Roman"/>
        </w:rPr>
        <w:t xml:space="preserve">the MBA"). </w:t>
      </w:r>
      <w:r w:rsidR="004D64A0">
        <w:rPr>
          <w:rFonts w:ascii="Times New Roman" w:hAnsi="Times New Roman"/>
        </w:rPr>
        <w:t xml:space="preserve">According to the Court of Appeal, the </w:t>
      </w:r>
      <w:r w:rsidR="008B6C22">
        <w:rPr>
          <w:rFonts w:ascii="Times New Roman" w:hAnsi="Times New Roman"/>
        </w:rPr>
        <w:t xml:space="preserve">MBA </w:t>
      </w:r>
      <w:r w:rsidR="004B3611">
        <w:rPr>
          <w:rFonts w:ascii="Times New Roman" w:hAnsi="Times New Roman"/>
        </w:rPr>
        <w:t>is a statutory successor to the Medical Board of Queensland</w:t>
      </w:r>
      <w:r w:rsidR="00912D14">
        <w:rPr>
          <w:rFonts w:ascii="Times New Roman" w:hAnsi="Times New Roman"/>
        </w:rPr>
        <w:t xml:space="preserve"> (</w:t>
      </w:r>
      <w:r w:rsidR="00AF1A27">
        <w:rPr>
          <w:rFonts w:ascii="Times New Roman" w:hAnsi="Times New Roman"/>
        </w:rPr>
        <w:t>"</w:t>
      </w:r>
      <w:r w:rsidR="00912D14">
        <w:rPr>
          <w:rFonts w:ascii="Times New Roman" w:hAnsi="Times New Roman"/>
        </w:rPr>
        <w:t>the MBQ")</w:t>
      </w:r>
      <w:r w:rsidR="004B3611">
        <w:rPr>
          <w:rFonts w:ascii="Times New Roman" w:hAnsi="Times New Roman"/>
        </w:rPr>
        <w:t>.</w:t>
      </w:r>
      <w:r w:rsidR="004B3611">
        <w:rPr>
          <w:rStyle w:val="FootnoteReference"/>
          <w:rFonts w:ascii="Times New Roman" w:hAnsi="Times New Roman"/>
        </w:rPr>
        <w:footnoteReference w:id="4"/>
      </w:r>
      <w:r w:rsidR="004B3611">
        <w:rPr>
          <w:rFonts w:ascii="Times New Roman" w:hAnsi="Times New Roman"/>
        </w:rPr>
        <w:t xml:space="preserve"> </w:t>
      </w:r>
      <w:r w:rsidR="00912D14">
        <w:rPr>
          <w:rFonts w:ascii="Times New Roman" w:hAnsi="Times New Roman"/>
        </w:rPr>
        <w:t xml:space="preserve">In </w:t>
      </w:r>
      <w:r w:rsidR="000D4B1B">
        <w:rPr>
          <w:rFonts w:ascii="Times New Roman" w:hAnsi="Times New Roman"/>
        </w:rPr>
        <w:t>2007 and 2008</w:t>
      </w:r>
      <w:r w:rsidR="003978C1">
        <w:rPr>
          <w:rFonts w:ascii="Times New Roman" w:hAnsi="Times New Roman"/>
        </w:rPr>
        <w:t>,</w:t>
      </w:r>
      <w:r w:rsidR="000D4B1B">
        <w:rPr>
          <w:rFonts w:ascii="Times New Roman" w:hAnsi="Times New Roman"/>
        </w:rPr>
        <w:t xml:space="preserve"> the MBQ commenced disciplinary proceedings against the applicant </w:t>
      </w:r>
      <w:r w:rsidR="00A36AE2">
        <w:rPr>
          <w:rFonts w:ascii="Times New Roman" w:hAnsi="Times New Roman"/>
        </w:rPr>
        <w:t xml:space="preserve">arising out of the </w:t>
      </w:r>
      <w:r w:rsidR="00D851B3">
        <w:rPr>
          <w:rFonts w:ascii="Times New Roman" w:hAnsi="Times New Roman"/>
        </w:rPr>
        <w:t>death</w:t>
      </w:r>
      <w:r w:rsidR="00DC6A91">
        <w:rPr>
          <w:rFonts w:ascii="Times New Roman" w:hAnsi="Times New Roman"/>
        </w:rPr>
        <w:t>s</w:t>
      </w:r>
      <w:r w:rsidR="00D851B3">
        <w:rPr>
          <w:rFonts w:ascii="Times New Roman" w:hAnsi="Times New Roman"/>
        </w:rPr>
        <w:t xml:space="preserve"> </w:t>
      </w:r>
      <w:r w:rsidR="00612F8F">
        <w:rPr>
          <w:rFonts w:ascii="Times New Roman" w:hAnsi="Times New Roman"/>
        </w:rPr>
        <w:t>of two</w:t>
      </w:r>
      <w:r w:rsidR="00243794">
        <w:rPr>
          <w:rFonts w:ascii="Times New Roman" w:hAnsi="Times New Roman"/>
        </w:rPr>
        <w:t xml:space="preserve"> </w:t>
      </w:r>
      <w:r w:rsidR="00551219">
        <w:rPr>
          <w:rFonts w:ascii="Times New Roman" w:hAnsi="Times New Roman"/>
        </w:rPr>
        <w:t xml:space="preserve">of </w:t>
      </w:r>
      <w:r w:rsidR="00D14578">
        <w:rPr>
          <w:rFonts w:ascii="Times New Roman" w:hAnsi="Times New Roman"/>
        </w:rPr>
        <w:t>his</w:t>
      </w:r>
      <w:r w:rsidR="00551219">
        <w:rPr>
          <w:rFonts w:ascii="Times New Roman" w:hAnsi="Times New Roman"/>
        </w:rPr>
        <w:t xml:space="preserve"> </w:t>
      </w:r>
      <w:r w:rsidR="00612F8F">
        <w:rPr>
          <w:rFonts w:ascii="Times New Roman" w:hAnsi="Times New Roman"/>
        </w:rPr>
        <w:t>patients</w:t>
      </w:r>
      <w:r w:rsidR="00E16B20">
        <w:rPr>
          <w:rFonts w:ascii="Times New Roman" w:hAnsi="Times New Roman"/>
        </w:rPr>
        <w:t xml:space="preserve"> </w:t>
      </w:r>
      <w:r w:rsidR="003E303A">
        <w:rPr>
          <w:rFonts w:ascii="Times New Roman" w:hAnsi="Times New Roman"/>
        </w:rPr>
        <w:t xml:space="preserve">following medical procedures </w:t>
      </w:r>
      <w:r w:rsidR="00551219">
        <w:rPr>
          <w:rFonts w:ascii="Times New Roman" w:hAnsi="Times New Roman"/>
        </w:rPr>
        <w:t xml:space="preserve">he </w:t>
      </w:r>
      <w:r w:rsidR="003E303A">
        <w:rPr>
          <w:rFonts w:ascii="Times New Roman" w:hAnsi="Times New Roman"/>
        </w:rPr>
        <w:t xml:space="preserve">had </w:t>
      </w:r>
      <w:r w:rsidR="00551219">
        <w:rPr>
          <w:rFonts w:ascii="Times New Roman" w:hAnsi="Times New Roman"/>
        </w:rPr>
        <w:t>performed</w:t>
      </w:r>
      <w:r w:rsidR="003E303A">
        <w:rPr>
          <w:rFonts w:ascii="Times New Roman" w:hAnsi="Times New Roman"/>
        </w:rPr>
        <w:t xml:space="preserve"> on them</w:t>
      </w:r>
      <w:r w:rsidR="00612F8F">
        <w:rPr>
          <w:rFonts w:ascii="Times New Roman" w:hAnsi="Times New Roman"/>
        </w:rPr>
        <w:t>.</w:t>
      </w:r>
      <w:r w:rsidR="00243D46">
        <w:rPr>
          <w:rStyle w:val="FootnoteReference"/>
          <w:rFonts w:ascii="Times New Roman" w:hAnsi="Times New Roman"/>
        </w:rPr>
        <w:footnoteReference w:id="5"/>
      </w:r>
      <w:r w:rsidR="00612F8F">
        <w:rPr>
          <w:rFonts w:ascii="Times New Roman" w:hAnsi="Times New Roman"/>
        </w:rPr>
        <w:t xml:space="preserve"> This result</w:t>
      </w:r>
      <w:r w:rsidR="00DC6A91">
        <w:rPr>
          <w:rFonts w:ascii="Times New Roman" w:hAnsi="Times New Roman"/>
        </w:rPr>
        <w:t>ed</w:t>
      </w:r>
      <w:r w:rsidR="00612F8F">
        <w:rPr>
          <w:rFonts w:ascii="Times New Roman" w:hAnsi="Times New Roman"/>
        </w:rPr>
        <w:t xml:space="preserve"> in the Queensland </w:t>
      </w:r>
      <w:r w:rsidR="002B34F8">
        <w:rPr>
          <w:rFonts w:ascii="Times New Roman" w:hAnsi="Times New Roman"/>
        </w:rPr>
        <w:t xml:space="preserve">Civil and Administrative Tribunal </w:t>
      </w:r>
      <w:r w:rsidR="00374B96">
        <w:rPr>
          <w:rFonts w:ascii="Times New Roman" w:hAnsi="Times New Roman"/>
        </w:rPr>
        <w:t xml:space="preserve">("QCAT") </w:t>
      </w:r>
      <w:r w:rsidR="002B34F8">
        <w:rPr>
          <w:rFonts w:ascii="Times New Roman" w:hAnsi="Times New Roman"/>
        </w:rPr>
        <w:t>making</w:t>
      </w:r>
      <w:r w:rsidR="00612F8F">
        <w:rPr>
          <w:rFonts w:ascii="Times New Roman" w:hAnsi="Times New Roman"/>
        </w:rPr>
        <w:t xml:space="preserve"> adverse findings </w:t>
      </w:r>
      <w:r w:rsidR="00432AF1">
        <w:rPr>
          <w:rFonts w:ascii="Times New Roman" w:hAnsi="Times New Roman"/>
        </w:rPr>
        <w:t xml:space="preserve">and a costs order </w:t>
      </w:r>
      <w:r w:rsidR="00612F8F">
        <w:rPr>
          <w:rFonts w:ascii="Times New Roman" w:hAnsi="Times New Roman"/>
        </w:rPr>
        <w:t>against the applic</w:t>
      </w:r>
      <w:r w:rsidR="00432AF1">
        <w:rPr>
          <w:rFonts w:ascii="Times New Roman" w:hAnsi="Times New Roman"/>
        </w:rPr>
        <w:t>ant.</w:t>
      </w:r>
      <w:r w:rsidR="0000570D">
        <w:rPr>
          <w:rStyle w:val="FootnoteReference"/>
          <w:rFonts w:ascii="Times New Roman" w:hAnsi="Times New Roman"/>
        </w:rPr>
        <w:footnoteReference w:id="6"/>
      </w:r>
      <w:r w:rsidR="00432AF1">
        <w:rPr>
          <w:rFonts w:ascii="Times New Roman" w:hAnsi="Times New Roman"/>
        </w:rPr>
        <w:t xml:space="preserve"> </w:t>
      </w:r>
    </w:p>
    <w:p w14:paraId="31D92239" w14:textId="34CB6D4A" w:rsidR="00EB760F" w:rsidRDefault="00EB760F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5437E">
        <w:rPr>
          <w:rFonts w:ascii="Times New Roman" w:hAnsi="Times New Roman"/>
        </w:rPr>
        <w:t xml:space="preserve">According to the </w:t>
      </w:r>
      <w:r w:rsidR="00824FF3">
        <w:rPr>
          <w:rFonts w:ascii="Times New Roman" w:hAnsi="Times New Roman"/>
        </w:rPr>
        <w:t>primary judge</w:t>
      </w:r>
      <w:r w:rsidR="003978C1">
        <w:rPr>
          <w:rFonts w:ascii="Times New Roman" w:hAnsi="Times New Roman"/>
        </w:rPr>
        <w:t>,</w:t>
      </w:r>
      <w:r w:rsidR="00824FF3">
        <w:rPr>
          <w:rFonts w:ascii="Times New Roman" w:hAnsi="Times New Roman"/>
        </w:rPr>
        <w:t xml:space="preserve"> </w:t>
      </w:r>
      <w:r w:rsidR="007009F8">
        <w:rPr>
          <w:rFonts w:ascii="Times New Roman" w:hAnsi="Times New Roman"/>
        </w:rPr>
        <w:t>QCAT's decision</w:t>
      </w:r>
      <w:r w:rsidR="00824FF3">
        <w:rPr>
          <w:rFonts w:ascii="Times New Roman" w:hAnsi="Times New Roman"/>
        </w:rPr>
        <w:t xml:space="preserve"> gave rise </w:t>
      </w:r>
      <w:r w:rsidR="00C37363">
        <w:rPr>
          <w:rFonts w:ascii="Times New Roman" w:hAnsi="Times New Roman"/>
        </w:rPr>
        <w:t xml:space="preserve">to extensive litigation between the applicant and the </w:t>
      </w:r>
      <w:r w:rsidR="00A063D8">
        <w:rPr>
          <w:rFonts w:ascii="Times New Roman" w:hAnsi="Times New Roman"/>
        </w:rPr>
        <w:t>MBA</w:t>
      </w:r>
      <w:r w:rsidR="00320168">
        <w:rPr>
          <w:rFonts w:ascii="Times New Roman" w:hAnsi="Times New Roman"/>
        </w:rPr>
        <w:t>,</w:t>
      </w:r>
      <w:r w:rsidR="00A063D8">
        <w:rPr>
          <w:rFonts w:ascii="Times New Roman" w:hAnsi="Times New Roman"/>
        </w:rPr>
        <w:t xml:space="preserve"> </w:t>
      </w:r>
      <w:r w:rsidR="00E10CE7">
        <w:rPr>
          <w:rFonts w:ascii="Times New Roman" w:hAnsi="Times New Roman"/>
        </w:rPr>
        <w:t>which broadly fell into three categories</w:t>
      </w:r>
      <w:r w:rsidR="003978C1">
        <w:rPr>
          <w:rFonts w:ascii="Times New Roman" w:hAnsi="Times New Roman"/>
        </w:rPr>
        <w:t>,</w:t>
      </w:r>
      <w:r w:rsidR="00733891">
        <w:rPr>
          <w:rFonts w:ascii="Times New Roman" w:hAnsi="Times New Roman"/>
        </w:rPr>
        <w:t xml:space="preserve"> name</w:t>
      </w:r>
      <w:r w:rsidR="003978C1">
        <w:rPr>
          <w:rFonts w:ascii="Times New Roman" w:hAnsi="Times New Roman"/>
        </w:rPr>
        <w:t>l</w:t>
      </w:r>
      <w:r w:rsidR="00733891">
        <w:rPr>
          <w:rFonts w:ascii="Times New Roman" w:hAnsi="Times New Roman"/>
        </w:rPr>
        <w:t>y</w:t>
      </w:r>
      <w:r w:rsidR="00E001E1">
        <w:rPr>
          <w:rFonts w:ascii="Times New Roman" w:hAnsi="Times New Roman"/>
        </w:rPr>
        <w:t>:</w:t>
      </w:r>
      <w:r w:rsidR="00E10CE7">
        <w:rPr>
          <w:rFonts w:ascii="Times New Roman" w:hAnsi="Times New Roman"/>
        </w:rPr>
        <w:t xml:space="preserve"> various challenges by the applicant to </w:t>
      </w:r>
      <w:r w:rsidR="00733891">
        <w:rPr>
          <w:rFonts w:ascii="Times New Roman" w:hAnsi="Times New Roman"/>
        </w:rPr>
        <w:t>QCAT's decision</w:t>
      </w:r>
      <w:r w:rsidR="00582EC6">
        <w:rPr>
          <w:rFonts w:ascii="Times New Roman" w:hAnsi="Times New Roman"/>
        </w:rPr>
        <w:t>;</w:t>
      </w:r>
      <w:r w:rsidR="00733891">
        <w:rPr>
          <w:rFonts w:ascii="Times New Roman" w:hAnsi="Times New Roman"/>
        </w:rPr>
        <w:t xml:space="preserve"> </w:t>
      </w:r>
      <w:r w:rsidR="00374B96">
        <w:rPr>
          <w:rFonts w:ascii="Times New Roman" w:hAnsi="Times New Roman"/>
        </w:rPr>
        <w:t>proceedings associated with the MBA's attempts to recover the costs ordered by QCAT</w:t>
      </w:r>
      <w:r w:rsidR="00582EC6">
        <w:rPr>
          <w:rFonts w:ascii="Times New Roman" w:hAnsi="Times New Roman"/>
        </w:rPr>
        <w:t>;</w:t>
      </w:r>
      <w:r w:rsidR="00374B96">
        <w:rPr>
          <w:rFonts w:ascii="Times New Roman" w:hAnsi="Times New Roman"/>
        </w:rPr>
        <w:t xml:space="preserve"> and </w:t>
      </w:r>
      <w:r w:rsidR="00632C37">
        <w:rPr>
          <w:rFonts w:ascii="Times New Roman" w:hAnsi="Times New Roman"/>
        </w:rPr>
        <w:t>the MBA's attempts to recover costs</w:t>
      </w:r>
      <w:r w:rsidR="0026028E">
        <w:rPr>
          <w:rFonts w:ascii="Times New Roman" w:hAnsi="Times New Roman"/>
        </w:rPr>
        <w:t xml:space="preserve"> </w:t>
      </w:r>
      <w:r w:rsidR="008B0E6D">
        <w:rPr>
          <w:rFonts w:ascii="Times New Roman" w:hAnsi="Times New Roman"/>
        </w:rPr>
        <w:t>ordered in its favour by the Federal Circuit Court an</w:t>
      </w:r>
      <w:r w:rsidR="00F53EB6">
        <w:rPr>
          <w:rFonts w:ascii="Times New Roman" w:hAnsi="Times New Roman"/>
        </w:rPr>
        <w:t>d</w:t>
      </w:r>
      <w:r w:rsidR="008B0E6D">
        <w:rPr>
          <w:rFonts w:ascii="Times New Roman" w:hAnsi="Times New Roman"/>
        </w:rPr>
        <w:t xml:space="preserve"> Federal Court of Australia</w:t>
      </w:r>
      <w:r w:rsidR="00733891">
        <w:rPr>
          <w:rFonts w:ascii="Times New Roman" w:hAnsi="Times New Roman"/>
        </w:rPr>
        <w:t>.</w:t>
      </w:r>
      <w:r w:rsidR="00632C37">
        <w:rPr>
          <w:rStyle w:val="FootnoteReference"/>
          <w:rFonts w:ascii="Times New Roman" w:hAnsi="Times New Roman"/>
        </w:rPr>
        <w:footnoteReference w:id="7"/>
      </w:r>
      <w:r w:rsidR="00733891">
        <w:rPr>
          <w:rFonts w:ascii="Times New Roman" w:hAnsi="Times New Roman"/>
        </w:rPr>
        <w:t xml:space="preserve"> </w:t>
      </w:r>
    </w:p>
    <w:p w14:paraId="3F928040" w14:textId="07073119" w:rsidR="00100132" w:rsidRDefault="0043325C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3891">
        <w:rPr>
          <w:rFonts w:ascii="Times New Roman" w:hAnsi="Times New Roman"/>
        </w:rPr>
        <w:t xml:space="preserve">The </w:t>
      </w:r>
      <w:r w:rsidR="00EB760F">
        <w:rPr>
          <w:rFonts w:ascii="Times New Roman" w:hAnsi="Times New Roman"/>
        </w:rPr>
        <w:t>proceedings</w:t>
      </w:r>
      <w:r w:rsidR="00582EC6">
        <w:rPr>
          <w:rFonts w:ascii="Times New Roman" w:hAnsi="Times New Roman"/>
        </w:rPr>
        <w:t xml:space="preserve"> the subject of this application</w:t>
      </w:r>
      <w:r w:rsidR="00EB760F">
        <w:rPr>
          <w:rFonts w:ascii="Times New Roman" w:hAnsi="Times New Roman"/>
        </w:rPr>
        <w:t xml:space="preserve"> </w:t>
      </w:r>
      <w:r w:rsidR="00207950">
        <w:rPr>
          <w:rFonts w:ascii="Times New Roman" w:hAnsi="Times New Roman"/>
        </w:rPr>
        <w:t>involve</w:t>
      </w:r>
      <w:r w:rsidR="00FE0735">
        <w:rPr>
          <w:rFonts w:ascii="Times New Roman" w:hAnsi="Times New Roman"/>
        </w:rPr>
        <w:t>d</w:t>
      </w:r>
      <w:r w:rsidR="00207950">
        <w:rPr>
          <w:rFonts w:ascii="Times New Roman" w:hAnsi="Times New Roman"/>
        </w:rPr>
        <w:t xml:space="preserve"> the applicant seeking an order that the MBA be d</w:t>
      </w:r>
      <w:r w:rsidR="008B74B5">
        <w:rPr>
          <w:rFonts w:ascii="Times New Roman" w:hAnsi="Times New Roman"/>
        </w:rPr>
        <w:t>eclared a vexatious litigant</w:t>
      </w:r>
      <w:r w:rsidR="00FE0735">
        <w:rPr>
          <w:rFonts w:ascii="Times New Roman" w:hAnsi="Times New Roman"/>
        </w:rPr>
        <w:t xml:space="preserve"> under </w:t>
      </w:r>
      <w:r w:rsidR="00437091">
        <w:rPr>
          <w:rFonts w:ascii="Times New Roman" w:hAnsi="Times New Roman"/>
        </w:rPr>
        <w:t xml:space="preserve">s 5 of </w:t>
      </w:r>
      <w:r w:rsidR="00FE0735">
        <w:rPr>
          <w:rFonts w:ascii="Times New Roman" w:hAnsi="Times New Roman"/>
        </w:rPr>
        <w:t xml:space="preserve">the </w:t>
      </w:r>
      <w:r w:rsidR="00FE0735" w:rsidRPr="003978C1">
        <w:rPr>
          <w:rFonts w:ascii="Times New Roman" w:hAnsi="Times New Roman"/>
          <w:i/>
          <w:iCs/>
        </w:rPr>
        <w:t>Vexatious Proceedings Act 2005</w:t>
      </w:r>
      <w:r w:rsidR="001C0FE6">
        <w:rPr>
          <w:rFonts w:ascii="Times New Roman" w:hAnsi="Times New Roman"/>
          <w:i/>
          <w:iCs/>
        </w:rPr>
        <w:t xml:space="preserve"> </w:t>
      </w:r>
      <w:r w:rsidR="001C0FE6">
        <w:rPr>
          <w:rFonts w:ascii="Times New Roman" w:hAnsi="Times New Roman"/>
        </w:rPr>
        <w:t>(Qld)</w:t>
      </w:r>
      <w:r w:rsidR="008B74B5">
        <w:rPr>
          <w:rFonts w:ascii="Times New Roman" w:hAnsi="Times New Roman"/>
        </w:rPr>
        <w:t>.</w:t>
      </w:r>
      <w:r w:rsidR="008B74B5">
        <w:rPr>
          <w:rStyle w:val="FootnoteReference"/>
          <w:rFonts w:ascii="Times New Roman" w:hAnsi="Times New Roman"/>
        </w:rPr>
        <w:footnoteReference w:id="8"/>
      </w:r>
      <w:r w:rsidR="008B74B5">
        <w:rPr>
          <w:rFonts w:ascii="Times New Roman" w:hAnsi="Times New Roman"/>
        </w:rPr>
        <w:t xml:space="preserve"> These proceedings were </w:t>
      </w:r>
      <w:r w:rsidR="00F56504">
        <w:rPr>
          <w:rFonts w:ascii="Times New Roman" w:hAnsi="Times New Roman"/>
        </w:rPr>
        <w:t xml:space="preserve">summarily </w:t>
      </w:r>
      <w:r w:rsidR="008B74B5">
        <w:rPr>
          <w:rFonts w:ascii="Times New Roman" w:hAnsi="Times New Roman"/>
        </w:rPr>
        <w:t>dismissed by the primary judge</w:t>
      </w:r>
      <w:r w:rsidR="00DB09D3">
        <w:rPr>
          <w:rFonts w:ascii="Times New Roman" w:hAnsi="Times New Roman"/>
        </w:rPr>
        <w:t xml:space="preserve"> on the basis that </w:t>
      </w:r>
      <w:r w:rsidR="009C1BA3">
        <w:rPr>
          <w:rFonts w:ascii="Times New Roman" w:hAnsi="Times New Roman"/>
        </w:rPr>
        <w:t xml:space="preserve">they revealed no basis upon which, </w:t>
      </w:r>
      <w:r w:rsidR="009C1BA3">
        <w:rPr>
          <w:rFonts w:ascii="Times New Roman" w:hAnsi="Times New Roman"/>
        </w:rPr>
        <w:lastRenderedPageBreak/>
        <w:t xml:space="preserve">if the matter proceeded to trial, the </w:t>
      </w:r>
      <w:r w:rsidR="00582EC6">
        <w:rPr>
          <w:rFonts w:ascii="Times New Roman" w:hAnsi="Times New Roman"/>
        </w:rPr>
        <w:t>C</w:t>
      </w:r>
      <w:r w:rsidR="009C1BA3">
        <w:rPr>
          <w:rFonts w:ascii="Times New Roman" w:hAnsi="Times New Roman"/>
        </w:rPr>
        <w:t xml:space="preserve">ourt </w:t>
      </w:r>
      <w:r w:rsidR="003978C1">
        <w:rPr>
          <w:rFonts w:ascii="Times New Roman" w:hAnsi="Times New Roman"/>
        </w:rPr>
        <w:t xml:space="preserve">could </w:t>
      </w:r>
      <w:r w:rsidR="009C1BA3">
        <w:rPr>
          <w:rFonts w:ascii="Times New Roman" w:hAnsi="Times New Roman"/>
        </w:rPr>
        <w:t>be satisfied that the MBA had instituted or conducted any vexatious proceedings</w:t>
      </w:r>
      <w:r w:rsidR="00B63E4C">
        <w:rPr>
          <w:rFonts w:ascii="Times New Roman" w:hAnsi="Times New Roman"/>
        </w:rPr>
        <w:t>,</w:t>
      </w:r>
      <w:r w:rsidR="003C63E8">
        <w:rPr>
          <w:rFonts w:ascii="Times New Roman" w:hAnsi="Times New Roman"/>
        </w:rPr>
        <w:t xml:space="preserve"> much less that it had </w:t>
      </w:r>
      <w:r w:rsidR="003978C1">
        <w:rPr>
          <w:rFonts w:ascii="Times New Roman" w:hAnsi="Times New Roman"/>
        </w:rPr>
        <w:t xml:space="preserve">done </w:t>
      </w:r>
      <w:r w:rsidR="003C63E8">
        <w:rPr>
          <w:rFonts w:ascii="Times New Roman" w:hAnsi="Times New Roman"/>
        </w:rPr>
        <w:t xml:space="preserve">so with the frequency necessary to </w:t>
      </w:r>
      <w:r w:rsidR="00A77913">
        <w:rPr>
          <w:rFonts w:ascii="Times New Roman" w:hAnsi="Times New Roman"/>
        </w:rPr>
        <w:t>satisfy s</w:t>
      </w:r>
      <w:r w:rsidR="003978C1">
        <w:rPr>
          <w:rFonts w:ascii="Times New Roman" w:hAnsi="Times New Roman"/>
        </w:rPr>
        <w:t> </w:t>
      </w:r>
      <w:r w:rsidR="00A77913">
        <w:rPr>
          <w:rFonts w:ascii="Times New Roman" w:hAnsi="Times New Roman"/>
        </w:rPr>
        <w:t xml:space="preserve">6(1)(a) of the </w:t>
      </w:r>
      <w:r w:rsidR="00F12234" w:rsidRPr="00DA54E1">
        <w:rPr>
          <w:rFonts w:ascii="Times New Roman" w:hAnsi="Times New Roman"/>
          <w:i/>
          <w:iCs/>
        </w:rPr>
        <w:t xml:space="preserve">Vexatious Proceedings </w:t>
      </w:r>
      <w:r w:rsidR="00A77913" w:rsidRPr="00DA54E1">
        <w:rPr>
          <w:rFonts w:ascii="Times New Roman" w:hAnsi="Times New Roman"/>
          <w:i/>
          <w:iCs/>
        </w:rPr>
        <w:t>Act</w:t>
      </w:r>
      <w:r w:rsidR="00A77913">
        <w:rPr>
          <w:rFonts w:ascii="Times New Roman" w:hAnsi="Times New Roman"/>
        </w:rPr>
        <w:t>.</w:t>
      </w:r>
      <w:r w:rsidR="00A77913">
        <w:rPr>
          <w:rStyle w:val="FootnoteReference"/>
          <w:rFonts w:ascii="Times New Roman" w:hAnsi="Times New Roman"/>
        </w:rPr>
        <w:footnoteReference w:id="9"/>
      </w:r>
      <w:r w:rsidR="008B74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Court of Appeal dismissed </w:t>
      </w:r>
      <w:r w:rsidR="00582EC6">
        <w:rPr>
          <w:rFonts w:ascii="Times New Roman" w:hAnsi="Times New Roman"/>
        </w:rPr>
        <w:t xml:space="preserve">the applicant's </w:t>
      </w:r>
      <w:r>
        <w:rPr>
          <w:rFonts w:ascii="Times New Roman" w:hAnsi="Times New Roman"/>
        </w:rPr>
        <w:t xml:space="preserve">appeal from </w:t>
      </w:r>
      <w:r w:rsidR="007009F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primary judge's decisi</w:t>
      </w:r>
      <w:r w:rsidR="00980291">
        <w:rPr>
          <w:rFonts w:ascii="Times New Roman" w:hAnsi="Times New Roman"/>
        </w:rPr>
        <w:t xml:space="preserve">on on the basis that no error of fact or law </w:t>
      </w:r>
      <w:r w:rsidR="00043FD0">
        <w:rPr>
          <w:rFonts w:ascii="Times New Roman" w:hAnsi="Times New Roman"/>
        </w:rPr>
        <w:t xml:space="preserve">by the primary judge </w:t>
      </w:r>
      <w:r w:rsidR="00980291">
        <w:rPr>
          <w:rFonts w:ascii="Times New Roman" w:hAnsi="Times New Roman"/>
        </w:rPr>
        <w:t xml:space="preserve">had been </w:t>
      </w:r>
      <w:r w:rsidR="003978C1">
        <w:rPr>
          <w:rFonts w:ascii="Times New Roman" w:hAnsi="Times New Roman"/>
        </w:rPr>
        <w:t>identified</w:t>
      </w:r>
      <w:r w:rsidR="00100132">
        <w:rPr>
          <w:rFonts w:ascii="Times New Roman" w:hAnsi="Times New Roman"/>
        </w:rPr>
        <w:t>.</w:t>
      </w:r>
      <w:r w:rsidR="00100132">
        <w:rPr>
          <w:rStyle w:val="FootnoteReference"/>
          <w:rFonts w:ascii="Times New Roman" w:hAnsi="Times New Roman"/>
        </w:rPr>
        <w:footnoteReference w:id="10"/>
      </w:r>
      <w:r w:rsidR="00100132">
        <w:rPr>
          <w:rFonts w:ascii="Times New Roman" w:hAnsi="Times New Roman"/>
        </w:rPr>
        <w:t xml:space="preserve"> </w:t>
      </w:r>
    </w:p>
    <w:p w14:paraId="35460EC9" w14:textId="39F3384A" w:rsidR="006835F3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6835F3" w:rsidRPr="00D71DDF">
        <w:rPr>
          <w:rFonts w:ascii="Times New Roman" w:hAnsi="Times New Roman"/>
        </w:rPr>
        <w:t xml:space="preserve">The discretion </w:t>
      </w:r>
      <w:r w:rsidR="00810137" w:rsidRPr="00D71DDF">
        <w:rPr>
          <w:rFonts w:ascii="Times New Roman" w:hAnsi="Times New Roman"/>
        </w:rPr>
        <w:t>conferred by r 6.07.</w:t>
      </w:r>
      <w:r w:rsidR="00043FD0">
        <w:rPr>
          <w:rFonts w:ascii="Times New Roman" w:hAnsi="Times New Roman"/>
        </w:rPr>
        <w:t>2</w:t>
      </w:r>
      <w:r w:rsidR="00963947" w:rsidRPr="00D71DDF">
        <w:rPr>
          <w:rFonts w:ascii="Times New Roman" w:hAnsi="Times New Roman"/>
        </w:rPr>
        <w:t xml:space="preserve"> </w:t>
      </w:r>
      <w:bookmarkStart w:id="1" w:name="_Hlk157695829"/>
      <w:r w:rsidR="00963947" w:rsidRPr="00D71DDF">
        <w:rPr>
          <w:rFonts w:ascii="Times New Roman" w:hAnsi="Times New Roman"/>
        </w:rPr>
        <w:t xml:space="preserve">of the </w:t>
      </w:r>
      <w:r w:rsidR="00963947" w:rsidRPr="00D71DDF">
        <w:rPr>
          <w:rFonts w:ascii="Times New Roman" w:hAnsi="Times New Roman"/>
          <w:i/>
          <w:iCs/>
        </w:rPr>
        <w:t>High Court Rules 2004</w:t>
      </w:r>
      <w:r w:rsidR="00963947" w:rsidRPr="00D71DDF">
        <w:rPr>
          <w:rFonts w:ascii="Times New Roman" w:hAnsi="Times New Roman"/>
        </w:rPr>
        <w:t xml:space="preserve"> (Cth)</w:t>
      </w:r>
      <w:bookmarkEnd w:id="1"/>
      <w:r w:rsidR="00810137" w:rsidRPr="00D71DDF">
        <w:rPr>
          <w:rFonts w:ascii="Times New Roman" w:hAnsi="Times New Roman"/>
        </w:rPr>
        <w:t xml:space="preserve"> </w:t>
      </w:r>
      <w:r w:rsidR="006835F3" w:rsidRPr="00D71DDF">
        <w:rPr>
          <w:rFonts w:ascii="Times New Roman" w:hAnsi="Times New Roman"/>
        </w:rPr>
        <w:t xml:space="preserve">to refuse leave </w:t>
      </w:r>
      <w:r w:rsidR="00810137" w:rsidRPr="00D71DDF">
        <w:rPr>
          <w:rFonts w:ascii="Times New Roman" w:hAnsi="Times New Roman"/>
        </w:rPr>
        <w:t xml:space="preserve">to </w:t>
      </w:r>
      <w:r w:rsidR="00EB44BB" w:rsidRPr="00D71DDF">
        <w:rPr>
          <w:rFonts w:ascii="Times New Roman" w:hAnsi="Times New Roman"/>
        </w:rPr>
        <w:t>issue</w:t>
      </w:r>
      <w:r w:rsidR="00810137" w:rsidRPr="00D71DDF">
        <w:rPr>
          <w:rFonts w:ascii="Times New Roman" w:hAnsi="Times New Roman"/>
        </w:rPr>
        <w:t xml:space="preserve"> or file a document</w:t>
      </w:r>
      <w:r w:rsidR="006835F3" w:rsidRPr="00D71DDF">
        <w:rPr>
          <w:rFonts w:ascii="Times New Roman" w:hAnsi="Times New Roman"/>
        </w:rPr>
        <w:t xml:space="preserve"> will ordinarily be exercised where the document appears </w:t>
      </w:r>
      <w:r w:rsidR="002644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on its face</w:t>
      </w:r>
      <w:r w:rsidR="002644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 xml:space="preserve"> to be </w:t>
      </w:r>
      <w:r w:rsidR="00B021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an abuse of the process of the Court, to be frivolous or vexatious or to fall outside the jurisdiction of the Court</w:t>
      </w:r>
      <w:r w:rsidR="00B02147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264447" w:rsidRPr="00D71DDF">
        <w:rPr>
          <w:rStyle w:val="FootnoteReference"/>
          <w:rFonts w:ascii="Times New Roman" w:hAnsi="Times New Roman"/>
          <w:sz w:val="24"/>
        </w:rPr>
        <w:footnoteReference w:id="11"/>
      </w:r>
      <w:r w:rsidR="006835F3" w:rsidRPr="00D71DDF">
        <w:rPr>
          <w:rFonts w:ascii="Times New Roman" w:hAnsi="Times New Roman"/>
        </w:rPr>
        <w:t xml:space="preserve"> The concept of abuse of process includes </w:t>
      </w:r>
      <w:r w:rsidR="00444903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an attempt to invoke the original or appellate jurisdiction of the High Court</w:t>
      </w:r>
      <w:r w:rsidR="006D2318" w:rsidRPr="00D71DDF">
        <w:rPr>
          <w:rFonts w:ascii="Times New Roman" w:hAnsi="Times New Roman"/>
        </w:rPr>
        <w:t xml:space="preserve"> </w:t>
      </w:r>
      <w:r w:rsidR="006835F3" w:rsidRPr="00D71DDF">
        <w:rPr>
          <w:rFonts w:ascii="Times New Roman" w:hAnsi="Times New Roman"/>
        </w:rPr>
        <w:t>on a basis that is confused or manifestly untenable</w:t>
      </w:r>
      <w:r w:rsidR="00444903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A24D49" w:rsidRPr="00D71DDF">
        <w:rPr>
          <w:rStyle w:val="FootnoteReference"/>
          <w:rFonts w:ascii="Times New Roman" w:hAnsi="Times New Roman"/>
          <w:sz w:val="24"/>
        </w:rPr>
        <w:footnoteReference w:id="12"/>
      </w:r>
      <w:r w:rsidR="006835F3" w:rsidRPr="00D71DDF">
        <w:rPr>
          <w:rFonts w:ascii="Times New Roman" w:hAnsi="Times New Roman"/>
        </w:rPr>
        <w:t xml:space="preserve"> The exercise of the discretion to refuse leave </w:t>
      </w:r>
      <w:r w:rsidR="00043FD0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is appropriate only in the clearest of cases</w:t>
      </w:r>
      <w:r w:rsidR="00056AC6" w:rsidRPr="00D71DDF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8F1F43" w:rsidRPr="00D71DDF">
        <w:rPr>
          <w:rStyle w:val="FootnoteReference"/>
          <w:rFonts w:ascii="Times New Roman" w:hAnsi="Times New Roman"/>
          <w:sz w:val="24"/>
        </w:rPr>
        <w:footnoteReference w:id="13"/>
      </w:r>
    </w:p>
    <w:p w14:paraId="5BB20AF6" w14:textId="48276BBE" w:rsidR="006835F3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786562">
        <w:rPr>
          <w:rFonts w:ascii="Times New Roman" w:hAnsi="Times New Roman"/>
        </w:rPr>
        <w:t>Neither</w:t>
      </w:r>
      <w:r w:rsidR="00B24647">
        <w:rPr>
          <w:rFonts w:ascii="Times New Roman" w:hAnsi="Times New Roman"/>
        </w:rPr>
        <w:t xml:space="preserve"> the application for special leave to appeal </w:t>
      </w:r>
      <w:r w:rsidR="003978C1">
        <w:rPr>
          <w:rFonts w:ascii="Times New Roman" w:hAnsi="Times New Roman"/>
        </w:rPr>
        <w:t>nor</w:t>
      </w:r>
      <w:r w:rsidR="00B24647">
        <w:rPr>
          <w:rFonts w:ascii="Times New Roman" w:hAnsi="Times New Roman"/>
        </w:rPr>
        <w:t xml:space="preserve"> the affidavit </w:t>
      </w:r>
      <w:r w:rsidR="00786562">
        <w:rPr>
          <w:rFonts w:ascii="Times New Roman" w:hAnsi="Times New Roman"/>
        </w:rPr>
        <w:t xml:space="preserve">filed in support </w:t>
      </w:r>
      <w:r w:rsidR="002C7105">
        <w:rPr>
          <w:rFonts w:ascii="Times New Roman" w:hAnsi="Times New Roman"/>
        </w:rPr>
        <w:t xml:space="preserve">attempt to identify any relevant form of error on the part of the Court of Appeal in dismissing </w:t>
      </w:r>
      <w:r w:rsidR="00043FD0">
        <w:rPr>
          <w:rFonts w:ascii="Times New Roman" w:hAnsi="Times New Roman"/>
        </w:rPr>
        <w:t>the applicant's</w:t>
      </w:r>
      <w:r w:rsidR="0061132E">
        <w:rPr>
          <w:rFonts w:ascii="Times New Roman" w:hAnsi="Times New Roman"/>
        </w:rPr>
        <w:t xml:space="preserve"> appeal from the primary judge</w:t>
      </w:r>
      <w:r w:rsidR="00132FAE">
        <w:rPr>
          <w:rFonts w:ascii="Times New Roman" w:hAnsi="Times New Roman"/>
        </w:rPr>
        <w:t>'s decision</w:t>
      </w:r>
      <w:r w:rsidR="0061132E">
        <w:rPr>
          <w:rFonts w:ascii="Times New Roman" w:hAnsi="Times New Roman"/>
        </w:rPr>
        <w:t xml:space="preserve">. </w:t>
      </w:r>
      <w:r w:rsidR="003978C1">
        <w:rPr>
          <w:rFonts w:ascii="Times New Roman" w:hAnsi="Times New Roman"/>
        </w:rPr>
        <w:t>Instead,</w:t>
      </w:r>
      <w:r w:rsidR="005529E1">
        <w:rPr>
          <w:rFonts w:ascii="Times New Roman" w:hAnsi="Times New Roman"/>
        </w:rPr>
        <w:t xml:space="preserve"> the material is directed towards reagitating </w:t>
      </w:r>
      <w:r w:rsidR="008110B8">
        <w:rPr>
          <w:rFonts w:ascii="Times New Roman" w:hAnsi="Times New Roman"/>
        </w:rPr>
        <w:t>the applicant's</w:t>
      </w:r>
      <w:r w:rsidR="005529E1">
        <w:rPr>
          <w:rFonts w:ascii="Times New Roman" w:hAnsi="Times New Roman"/>
        </w:rPr>
        <w:t xml:space="preserve"> complaints about the disciplinary findings made against him</w:t>
      </w:r>
      <w:r w:rsidR="003978C1">
        <w:rPr>
          <w:rFonts w:ascii="Times New Roman" w:hAnsi="Times New Roman"/>
        </w:rPr>
        <w:t>,</w:t>
      </w:r>
      <w:r w:rsidR="005529E1">
        <w:rPr>
          <w:rFonts w:ascii="Times New Roman" w:hAnsi="Times New Roman"/>
        </w:rPr>
        <w:t xml:space="preserve"> </w:t>
      </w:r>
      <w:r w:rsidR="002C3643">
        <w:rPr>
          <w:rFonts w:ascii="Times New Roman" w:hAnsi="Times New Roman"/>
        </w:rPr>
        <w:t>including by alleging that the de</w:t>
      </w:r>
      <w:r w:rsidR="001D542F">
        <w:rPr>
          <w:rFonts w:ascii="Times New Roman" w:hAnsi="Times New Roman"/>
        </w:rPr>
        <w:t>a</w:t>
      </w:r>
      <w:r w:rsidR="002C3643">
        <w:rPr>
          <w:rFonts w:ascii="Times New Roman" w:hAnsi="Times New Roman"/>
        </w:rPr>
        <w:t xml:space="preserve">ths of the two patients </w:t>
      </w:r>
      <w:r w:rsidR="001D542F">
        <w:rPr>
          <w:rFonts w:ascii="Times New Roman" w:hAnsi="Times New Roman"/>
        </w:rPr>
        <w:t>"occurred and [w</w:t>
      </w:r>
      <w:r w:rsidR="00FE0735">
        <w:rPr>
          <w:rFonts w:ascii="Times New Roman" w:hAnsi="Times New Roman"/>
        </w:rPr>
        <w:t>ere</w:t>
      </w:r>
      <w:r w:rsidR="001D542F">
        <w:rPr>
          <w:rFonts w:ascii="Times New Roman" w:hAnsi="Times New Roman"/>
        </w:rPr>
        <w:t xml:space="preserve">] initiated by the conduct </w:t>
      </w:r>
      <w:r w:rsidR="00145692">
        <w:rPr>
          <w:rFonts w:ascii="Times New Roman" w:hAnsi="Times New Roman"/>
        </w:rPr>
        <w:t>[</w:t>
      </w:r>
      <w:r w:rsidR="001D542F">
        <w:rPr>
          <w:rFonts w:ascii="Times New Roman" w:hAnsi="Times New Roman"/>
        </w:rPr>
        <w:t>of</w:t>
      </w:r>
      <w:r w:rsidR="00145692">
        <w:rPr>
          <w:rFonts w:ascii="Times New Roman" w:hAnsi="Times New Roman"/>
        </w:rPr>
        <w:t>]</w:t>
      </w:r>
      <w:r w:rsidR="001D542F">
        <w:rPr>
          <w:rFonts w:ascii="Times New Roman" w:hAnsi="Times New Roman"/>
        </w:rPr>
        <w:t xml:space="preserve"> each of the </w:t>
      </w:r>
      <w:r w:rsidR="00E128F2">
        <w:rPr>
          <w:rFonts w:ascii="Times New Roman" w:hAnsi="Times New Roman"/>
        </w:rPr>
        <w:t>deceased".</w:t>
      </w:r>
      <w:r w:rsidR="00E128F2">
        <w:rPr>
          <w:rStyle w:val="FootnoteReference"/>
          <w:rFonts w:ascii="Times New Roman" w:hAnsi="Times New Roman"/>
        </w:rPr>
        <w:footnoteReference w:id="14"/>
      </w:r>
      <w:r w:rsidR="00E128F2">
        <w:rPr>
          <w:rFonts w:ascii="Times New Roman" w:hAnsi="Times New Roman"/>
        </w:rPr>
        <w:t xml:space="preserve"> </w:t>
      </w:r>
      <w:r w:rsidR="007B30A8">
        <w:rPr>
          <w:rFonts w:ascii="Times New Roman" w:hAnsi="Times New Roman"/>
        </w:rPr>
        <w:t xml:space="preserve">The </w:t>
      </w:r>
      <w:r w:rsidR="006835F3" w:rsidRPr="00D71DDF">
        <w:rPr>
          <w:rFonts w:ascii="Times New Roman" w:hAnsi="Times New Roman"/>
        </w:rPr>
        <w:t xml:space="preserve">application is </w:t>
      </w:r>
      <w:r w:rsidR="00043FD0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manifestly untenable</w:t>
      </w:r>
      <w:r w:rsidR="00043FD0">
        <w:rPr>
          <w:rFonts w:ascii="Times New Roman" w:hAnsi="Times New Roman"/>
        </w:rPr>
        <w:t>"</w:t>
      </w:r>
      <w:r w:rsidR="006835F3" w:rsidRPr="00D71DDF">
        <w:rPr>
          <w:rFonts w:ascii="Times New Roman" w:hAnsi="Times New Roman"/>
        </w:rPr>
        <w:t>.</w:t>
      </w:r>
      <w:r w:rsidR="00043FD0">
        <w:rPr>
          <w:rStyle w:val="FootnoteReference"/>
          <w:rFonts w:ascii="Times New Roman" w:hAnsi="Times New Roman"/>
        </w:rPr>
        <w:footnoteReference w:id="15"/>
      </w:r>
    </w:p>
    <w:p w14:paraId="01797CB8" w14:textId="1CB06FF6" w:rsidR="00A73989" w:rsidRPr="00D71DDF" w:rsidRDefault="00AA3708" w:rsidP="00D71DDF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D71DDF">
        <w:rPr>
          <w:rFonts w:ascii="Times New Roman" w:hAnsi="Times New Roman"/>
        </w:rPr>
        <w:tab/>
      </w:r>
      <w:r w:rsidR="006835F3" w:rsidRPr="00D71DDF">
        <w:rPr>
          <w:rFonts w:ascii="Times New Roman" w:hAnsi="Times New Roman"/>
        </w:rPr>
        <w:t>The application for leave to issue</w:t>
      </w:r>
      <w:r w:rsidR="00FF5A15" w:rsidRPr="00D71DDF">
        <w:rPr>
          <w:rFonts w:ascii="Times New Roman" w:hAnsi="Times New Roman"/>
        </w:rPr>
        <w:t xml:space="preserve"> or file</w:t>
      </w:r>
      <w:r w:rsidR="006835F3" w:rsidRPr="00D71DDF">
        <w:rPr>
          <w:rFonts w:ascii="Times New Roman" w:hAnsi="Times New Roman"/>
        </w:rPr>
        <w:t xml:space="preserve"> the document entitled "</w:t>
      </w:r>
      <w:r w:rsidR="00786C30">
        <w:rPr>
          <w:rFonts w:ascii="Times New Roman" w:hAnsi="Times New Roman"/>
        </w:rPr>
        <w:t>A</w:t>
      </w:r>
      <w:r w:rsidR="006835F3" w:rsidRPr="00D71DDF">
        <w:rPr>
          <w:rFonts w:ascii="Times New Roman" w:hAnsi="Times New Roman"/>
        </w:rPr>
        <w:t>pplication</w:t>
      </w:r>
      <w:r w:rsidR="00FC4308">
        <w:rPr>
          <w:rFonts w:ascii="Times New Roman" w:hAnsi="Times New Roman"/>
        </w:rPr>
        <w:t xml:space="preserve"> for </w:t>
      </w:r>
      <w:r w:rsidR="00786C30">
        <w:rPr>
          <w:rFonts w:ascii="Times New Roman" w:hAnsi="Times New Roman"/>
        </w:rPr>
        <w:t>S</w:t>
      </w:r>
      <w:r w:rsidR="00FC4308">
        <w:rPr>
          <w:rFonts w:ascii="Times New Roman" w:hAnsi="Times New Roman"/>
        </w:rPr>
        <w:t xml:space="preserve">pecial </w:t>
      </w:r>
      <w:r w:rsidR="00786C30">
        <w:rPr>
          <w:rFonts w:ascii="Times New Roman" w:hAnsi="Times New Roman"/>
        </w:rPr>
        <w:t>L</w:t>
      </w:r>
      <w:r w:rsidR="00FC4308">
        <w:rPr>
          <w:rFonts w:ascii="Times New Roman" w:hAnsi="Times New Roman"/>
        </w:rPr>
        <w:t xml:space="preserve">eave to </w:t>
      </w:r>
      <w:r w:rsidR="00786C30">
        <w:rPr>
          <w:rFonts w:ascii="Times New Roman" w:hAnsi="Times New Roman"/>
        </w:rPr>
        <w:t>A</w:t>
      </w:r>
      <w:r w:rsidR="00FC4308">
        <w:rPr>
          <w:rFonts w:ascii="Times New Roman" w:hAnsi="Times New Roman"/>
        </w:rPr>
        <w:t>ppeal</w:t>
      </w:r>
      <w:r w:rsidR="006835F3" w:rsidRPr="00D71DDF">
        <w:rPr>
          <w:rFonts w:ascii="Times New Roman" w:hAnsi="Times New Roman"/>
        </w:rPr>
        <w:t>" dated 1</w:t>
      </w:r>
      <w:r w:rsidR="00FC4308">
        <w:rPr>
          <w:rFonts w:ascii="Times New Roman" w:hAnsi="Times New Roman"/>
        </w:rPr>
        <w:t>6</w:t>
      </w:r>
      <w:r w:rsidR="003978C1">
        <w:rPr>
          <w:rFonts w:ascii="Times New Roman" w:hAnsi="Times New Roman"/>
        </w:rPr>
        <w:t> </w:t>
      </w:r>
      <w:r w:rsidR="00FC4308">
        <w:rPr>
          <w:rFonts w:ascii="Times New Roman" w:hAnsi="Times New Roman"/>
        </w:rPr>
        <w:t xml:space="preserve">April </w:t>
      </w:r>
      <w:r w:rsidR="00FF0A92">
        <w:rPr>
          <w:rFonts w:ascii="Times New Roman" w:hAnsi="Times New Roman"/>
        </w:rPr>
        <w:t xml:space="preserve">2024 </w:t>
      </w:r>
      <w:r w:rsidR="006835F3" w:rsidRPr="00D71DDF">
        <w:rPr>
          <w:rFonts w:ascii="Times New Roman" w:hAnsi="Times New Roman"/>
        </w:rPr>
        <w:t xml:space="preserve">is dismissed without an oral hearing. </w:t>
      </w:r>
    </w:p>
    <w:sectPr w:rsidR="00A73989" w:rsidRPr="00D71DDF" w:rsidSect="00621E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0BE3" w14:textId="77777777" w:rsidR="008D110C" w:rsidRDefault="008D110C">
      <w:pPr>
        <w:spacing w:line="240" w:lineRule="auto"/>
      </w:pPr>
      <w:r>
        <w:separator/>
      </w:r>
    </w:p>
  </w:endnote>
  <w:endnote w:type="continuationSeparator" w:id="0">
    <w:p w14:paraId="1BF7441E" w14:textId="77777777" w:rsidR="008D110C" w:rsidRDefault="008D110C">
      <w:pPr>
        <w:spacing w:line="240" w:lineRule="auto"/>
      </w:pPr>
      <w:r>
        <w:continuationSeparator/>
      </w:r>
    </w:p>
  </w:endnote>
  <w:endnote w:type="continuationNotice" w:id="1">
    <w:p w14:paraId="3C24824A" w14:textId="77777777" w:rsidR="008D110C" w:rsidRDefault="008D11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36C6" w14:textId="77777777" w:rsidR="00621E8C" w:rsidRDefault="0062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9CA" w14:textId="77777777" w:rsidR="00621E8C" w:rsidRDefault="00621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ADC" w14:textId="77777777" w:rsidR="00621E8C" w:rsidRDefault="00621E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A6F9" w14:textId="77777777" w:rsidR="00621E8C" w:rsidRDefault="00621E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48D1" w14:textId="77777777" w:rsidR="00621E8C" w:rsidRDefault="00621E8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1E36" w14:textId="77777777" w:rsidR="00621E8C" w:rsidRDefault="0062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E817" w14:textId="77777777" w:rsidR="008D110C" w:rsidRPr="00D71DDF" w:rsidRDefault="008D110C" w:rsidP="00D71DDF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16AD2244" w14:textId="77777777" w:rsidR="008D110C" w:rsidRPr="00D71DDF" w:rsidRDefault="008D110C" w:rsidP="00D71DDF">
      <w:pPr>
        <w:pStyle w:val="Footer"/>
        <w:spacing w:before="120" w:after="20"/>
        <w:ind w:right="0"/>
        <w:rPr>
          <w:rFonts w:ascii="Times New Roman" w:hAnsi="Times New Roman"/>
        </w:rPr>
      </w:pPr>
      <w:r w:rsidRPr="00D71DDF">
        <w:rPr>
          <w:rFonts w:ascii="Times New Roman" w:hAnsi="Times New Roman"/>
        </w:rPr>
        <w:continuationSeparator/>
      </w:r>
    </w:p>
  </w:footnote>
  <w:footnote w:type="continuationNotice" w:id="1">
    <w:p w14:paraId="5973B7C8" w14:textId="77777777" w:rsidR="008D110C" w:rsidRPr="00D71DDF" w:rsidRDefault="008D110C">
      <w:pPr>
        <w:jc w:val="right"/>
        <w:rPr>
          <w:rFonts w:ascii="Times Roman" w:hAnsi="Times Roman"/>
          <w:sz w:val="24"/>
        </w:rPr>
      </w:pPr>
    </w:p>
  </w:footnote>
  <w:footnote w:id="2">
    <w:p w14:paraId="38FE2517" w14:textId="4D24F527" w:rsidR="00C9005F" w:rsidRPr="001E49B0" w:rsidRDefault="00C9005F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Pr="001E49B0">
        <w:rPr>
          <w:rFonts w:ascii="Times New Roman" w:hAnsi="Times New Roman"/>
        </w:rPr>
        <w:t xml:space="preserve"> </w:t>
      </w:r>
      <w:r w:rsidRPr="001E49B0">
        <w:rPr>
          <w:rFonts w:ascii="Times New Roman" w:hAnsi="Times New Roman"/>
        </w:rPr>
        <w:tab/>
      </w:r>
      <w:r w:rsidRPr="001E49B0">
        <w:rPr>
          <w:rFonts w:ascii="Times New Roman" w:hAnsi="Times New Roman"/>
          <w:i/>
          <w:iCs/>
          <w:szCs w:val="24"/>
        </w:rPr>
        <w:t>Broad</w:t>
      </w:r>
      <w:r w:rsidR="00B824A8" w:rsidRPr="001E49B0">
        <w:rPr>
          <w:rFonts w:ascii="Times New Roman" w:hAnsi="Times New Roman"/>
          <w:i/>
          <w:iCs/>
          <w:szCs w:val="24"/>
        </w:rPr>
        <w:t>bent v Medical Board of Australia</w:t>
      </w:r>
      <w:r w:rsidR="00B824A8" w:rsidRPr="001E49B0">
        <w:rPr>
          <w:rFonts w:ascii="Times New Roman" w:hAnsi="Times New Roman"/>
          <w:szCs w:val="24"/>
        </w:rPr>
        <w:t xml:space="preserve"> [2024] QCA 37.</w:t>
      </w:r>
    </w:p>
  </w:footnote>
  <w:footnote w:id="3">
    <w:p w14:paraId="2D625EA5" w14:textId="532235CC" w:rsidR="00D92134" w:rsidRPr="001E49B0" w:rsidRDefault="00D92134" w:rsidP="008B6308">
      <w:pPr>
        <w:pStyle w:val="FootnoteText"/>
        <w:spacing w:line="280" w:lineRule="exact"/>
        <w:ind w:right="0"/>
        <w:rPr>
          <w:rFonts w:ascii="Times New Roman" w:hAnsi="Times New Roman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Pr="001E49B0">
        <w:rPr>
          <w:rFonts w:ascii="Times New Roman" w:hAnsi="Times New Roman"/>
        </w:rPr>
        <w:tab/>
      </w:r>
      <w:bookmarkStart w:id="0" w:name="_Hlk159849080"/>
      <w:r w:rsidRPr="001E49B0">
        <w:rPr>
          <w:rFonts w:ascii="Times New Roman" w:hAnsi="Times New Roman"/>
          <w:i/>
          <w:iCs/>
        </w:rPr>
        <w:t>High Court Rules</w:t>
      </w:r>
      <w:r w:rsidR="00EB44BB" w:rsidRPr="001E49B0">
        <w:rPr>
          <w:rFonts w:ascii="Times New Roman" w:hAnsi="Times New Roman"/>
        </w:rPr>
        <w:t xml:space="preserve"> </w:t>
      </w:r>
      <w:r w:rsidR="00EB44BB" w:rsidRPr="001E49B0">
        <w:rPr>
          <w:rFonts w:ascii="Times New Roman" w:hAnsi="Times New Roman"/>
          <w:i/>
          <w:iCs/>
        </w:rPr>
        <w:t>2004</w:t>
      </w:r>
      <w:r w:rsidRPr="001E49B0">
        <w:rPr>
          <w:rFonts w:ascii="Times New Roman" w:hAnsi="Times New Roman"/>
          <w:i/>
          <w:iCs/>
        </w:rPr>
        <w:t xml:space="preserve"> </w:t>
      </w:r>
      <w:r w:rsidRPr="001E49B0">
        <w:rPr>
          <w:rFonts w:ascii="Times New Roman" w:hAnsi="Times New Roman"/>
        </w:rPr>
        <w:t xml:space="preserve">(Cth), </w:t>
      </w:r>
      <w:r w:rsidR="00AC11E4" w:rsidRPr="001E49B0">
        <w:rPr>
          <w:rFonts w:ascii="Times New Roman" w:hAnsi="Times New Roman"/>
        </w:rPr>
        <w:t>r</w:t>
      </w:r>
      <w:r w:rsidR="003978C1" w:rsidRPr="001E49B0">
        <w:rPr>
          <w:rFonts w:ascii="Times New Roman" w:hAnsi="Times New Roman"/>
        </w:rPr>
        <w:t> </w:t>
      </w:r>
      <w:r w:rsidR="00AC11E4" w:rsidRPr="001E49B0">
        <w:rPr>
          <w:rFonts w:ascii="Times New Roman" w:hAnsi="Times New Roman"/>
        </w:rPr>
        <w:t>6.07.2.</w:t>
      </w:r>
      <w:bookmarkEnd w:id="0"/>
    </w:p>
  </w:footnote>
  <w:footnote w:id="4">
    <w:p w14:paraId="40CB2B4A" w14:textId="4BDD7667" w:rsidR="004B3611" w:rsidRPr="001E49B0" w:rsidRDefault="004B3611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</w:rPr>
        <w:tab/>
      </w:r>
      <w:r w:rsidRPr="001E49B0">
        <w:rPr>
          <w:rFonts w:ascii="Times New Roman" w:hAnsi="Times New Roman"/>
          <w:i/>
          <w:iCs/>
          <w:szCs w:val="24"/>
        </w:rPr>
        <w:t>B</w:t>
      </w:r>
      <w:r w:rsidR="00912D14" w:rsidRPr="001E49B0">
        <w:rPr>
          <w:rFonts w:ascii="Times New Roman" w:hAnsi="Times New Roman"/>
          <w:i/>
          <w:iCs/>
          <w:szCs w:val="24"/>
        </w:rPr>
        <w:t>roadbent v Medical Board of Australia</w:t>
      </w:r>
      <w:r w:rsidR="00912D14" w:rsidRPr="001E49B0">
        <w:rPr>
          <w:rFonts w:ascii="Times New Roman" w:hAnsi="Times New Roman"/>
          <w:szCs w:val="24"/>
        </w:rPr>
        <w:t xml:space="preserve"> [2024] QCA 37 at [1</w:t>
      </w:r>
      <w:r w:rsidR="0005437E" w:rsidRPr="001E49B0">
        <w:rPr>
          <w:rFonts w:ascii="Times New Roman" w:hAnsi="Times New Roman"/>
          <w:szCs w:val="24"/>
        </w:rPr>
        <w:t>5</w:t>
      </w:r>
      <w:r w:rsidR="00912D14" w:rsidRPr="001E49B0">
        <w:rPr>
          <w:rFonts w:ascii="Times New Roman" w:hAnsi="Times New Roman"/>
          <w:szCs w:val="24"/>
        </w:rPr>
        <w:t>]</w:t>
      </w:r>
      <w:r w:rsidR="003978C1" w:rsidRPr="001E49B0">
        <w:rPr>
          <w:rFonts w:ascii="Times New Roman" w:hAnsi="Times New Roman"/>
          <w:szCs w:val="24"/>
        </w:rPr>
        <w:t>.</w:t>
      </w:r>
    </w:p>
  </w:footnote>
  <w:footnote w:id="5">
    <w:p w14:paraId="36796AE5" w14:textId="424FE27B" w:rsidR="00243D46" w:rsidRPr="001E49B0" w:rsidRDefault="00243D46">
      <w:pPr>
        <w:pStyle w:val="FootnoteText"/>
        <w:rPr>
          <w:rFonts w:ascii="Times New Roman" w:hAnsi="Times New Roman"/>
        </w:rPr>
      </w:pPr>
      <w:r w:rsidRPr="001E49B0">
        <w:rPr>
          <w:rStyle w:val="FootnoteReference"/>
          <w:rFonts w:ascii="Times New Roman" w:hAnsi="Times New Roman"/>
          <w:sz w:val="20"/>
          <w:vertAlign w:val="baseline"/>
        </w:rPr>
        <w:footnoteRef/>
      </w:r>
      <w:r w:rsidRPr="001E49B0">
        <w:rPr>
          <w:rFonts w:ascii="Times New Roman" w:hAnsi="Times New Roman"/>
        </w:rPr>
        <w:t xml:space="preserve"> </w:t>
      </w:r>
      <w:r w:rsidRPr="001E49B0">
        <w:rPr>
          <w:rFonts w:ascii="Times New Roman" w:hAnsi="Times New Roman"/>
        </w:rPr>
        <w:tab/>
      </w:r>
      <w:r w:rsidRPr="001E49B0">
        <w:rPr>
          <w:rFonts w:ascii="Times New Roman" w:eastAsia="Calibri" w:hAnsi="Times New Roman"/>
          <w:i/>
          <w:iCs/>
          <w:szCs w:val="24"/>
        </w:rPr>
        <w:t xml:space="preserve">Medical Board of Queensland v Broadbent </w:t>
      </w:r>
      <w:r w:rsidRPr="001E49B0">
        <w:rPr>
          <w:rFonts w:ascii="Times New Roman" w:eastAsia="Calibri" w:hAnsi="Times New Roman"/>
          <w:szCs w:val="24"/>
        </w:rPr>
        <w:t xml:space="preserve">[2010] QCAT 280. </w:t>
      </w:r>
    </w:p>
  </w:footnote>
  <w:footnote w:id="6">
    <w:p w14:paraId="528F4AB6" w14:textId="06E5C308" w:rsidR="0000570D" w:rsidRPr="001E49B0" w:rsidRDefault="0000570D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  <w:szCs w:val="24"/>
        </w:rPr>
        <w:tab/>
      </w:r>
      <w:r w:rsidR="002203EE" w:rsidRPr="001E49B0">
        <w:rPr>
          <w:rFonts w:ascii="Times New Roman" w:eastAsia="Calibri" w:hAnsi="Times New Roman"/>
          <w:i/>
          <w:iCs/>
          <w:szCs w:val="24"/>
        </w:rPr>
        <w:t xml:space="preserve">Medical Board of Queensland v Broadbent </w:t>
      </w:r>
      <w:r w:rsidR="002203EE" w:rsidRPr="001E49B0">
        <w:rPr>
          <w:rFonts w:ascii="Times New Roman" w:eastAsia="Calibri" w:hAnsi="Times New Roman"/>
          <w:szCs w:val="24"/>
        </w:rPr>
        <w:t>[2010] QCAT 280</w:t>
      </w:r>
      <w:r w:rsidR="00243D46" w:rsidRPr="001E49B0">
        <w:rPr>
          <w:rFonts w:ascii="Times New Roman" w:eastAsia="Calibri" w:hAnsi="Times New Roman"/>
          <w:szCs w:val="24"/>
        </w:rPr>
        <w:t xml:space="preserve"> at [210]-[211]</w:t>
      </w:r>
      <w:r w:rsidR="002203EE" w:rsidRPr="001E49B0">
        <w:rPr>
          <w:rFonts w:ascii="Times New Roman" w:eastAsia="Calibri" w:hAnsi="Times New Roman"/>
          <w:szCs w:val="24"/>
        </w:rPr>
        <w:t>;</w:t>
      </w:r>
      <w:r w:rsidR="002203EE" w:rsidRPr="001E49B0">
        <w:rPr>
          <w:rFonts w:ascii="Times New Roman" w:eastAsia="Calibri" w:hAnsi="Times New Roman"/>
          <w:szCs w:val="22"/>
        </w:rPr>
        <w:t xml:space="preserve"> </w:t>
      </w:r>
      <w:r w:rsidR="003978C1" w:rsidRPr="001E49B0">
        <w:rPr>
          <w:rFonts w:ascii="Times New Roman" w:hAnsi="Times New Roman"/>
          <w:i/>
          <w:iCs/>
          <w:szCs w:val="24"/>
        </w:rPr>
        <w:t>Broadbent v Medical Board of Australia</w:t>
      </w:r>
      <w:r w:rsidR="003978C1" w:rsidRPr="001E49B0">
        <w:rPr>
          <w:rFonts w:ascii="Times New Roman" w:hAnsi="Times New Roman"/>
          <w:szCs w:val="24"/>
        </w:rPr>
        <w:t xml:space="preserve"> [2024] QCA 37</w:t>
      </w:r>
      <w:r w:rsidRPr="001E49B0">
        <w:rPr>
          <w:rFonts w:ascii="Times New Roman" w:hAnsi="Times New Roman"/>
          <w:szCs w:val="24"/>
        </w:rPr>
        <w:t xml:space="preserve"> at </w:t>
      </w:r>
      <w:r w:rsidR="0005437E" w:rsidRPr="001E49B0">
        <w:rPr>
          <w:rFonts w:ascii="Times New Roman" w:hAnsi="Times New Roman"/>
          <w:szCs w:val="24"/>
        </w:rPr>
        <w:t>[15]</w:t>
      </w:r>
      <w:r w:rsidR="003978C1" w:rsidRPr="001E49B0">
        <w:rPr>
          <w:rFonts w:ascii="Times New Roman" w:hAnsi="Times New Roman"/>
          <w:szCs w:val="24"/>
        </w:rPr>
        <w:t>.</w:t>
      </w:r>
    </w:p>
  </w:footnote>
  <w:footnote w:id="7">
    <w:p w14:paraId="4AA27F94" w14:textId="37C3ED5C" w:rsidR="00632C37" w:rsidRPr="001E49B0" w:rsidRDefault="00632C37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  <w:szCs w:val="24"/>
        </w:rPr>
        <w:tab/>
      </w:r>
      <w:r w:rsidR="003978C1" w:rsidRPr="001E49B0">
        <w:rPr>
          <w:rFonts w:ascii="Times New Roman" w:hAnsi="Times New Roman"/>
          <w:i/>
          <w:iCs/>
          <w:szCs w:val="24"/>
        </w:rPr>
        <w:t>Broadbent v Medical Board of Australia</w:t>
      </w:r>
      <w:r w:rsidR="003978C1" w:rsidRPr="001E49B0">
        <w:rPr>
          <w:rFonts w:ascii="Times New Roman" w:hAnsi="Times New Roman"/>
          <w:szCs w:val="24"/>
        </w:rPr>
        <w:t xml:space="preserve"> [2024] QCA 37</w:t>
      </w:r>
      <w:r w:rsidRPr="001E49B0">
        <w:rPr>
          <w:rFonts w:ascii="Times New Roman" w:hAnsi="Times New Roman"/>
          <w:szCs w:val="24"/>
        </w:rPr>
        <w:t xml:space="preserve"> at </w:t>
      </w:r>
      <w:r w:rsidR="00EB760F" w:rsidRPr="001E49B0">
        <w:rPr>
          <w:rFonts w:ascii="Times New Roman" w:hAnsi="Times New Roman"/>
          <w:szCs w:val="24"/>
        </w:rPr>
        <w:t>[1</w:t>
      </w:r>
      <w:r w:rsidR="000C5A37" w:rsidRPr="001E49B0">
        <w:rPr>
          <w:rFonts w:ascii="Times New Roman" w:hAnsi="Times New Roman"/>
          <w:szCs w:val="24"/>
        </w:rPr>
        <w:t>6</w:t>
      </w:r>
      <w:r w:rsidR="00EB760F" w:rsidRPr="001E49B0">
        <w:rPr>
          <w:rFonts w:ascii="Times New Roman" w:hAnsi="Times New Roman"/>
          <w:szCs w:val="24"/>
        </w:rPr>
        <w:t>]-[19]</w:t>
      </w:r>
      <w:r w:rsidR="003978C1" w:rsidRPr="001E49B0">
        <w:rPr>
          <w:rFonts w:ascii="Times New Roman" w:hAnsi="Times New Roman"/>
          <w:szCs w:val="24"/>
        </w:rPr>
        <w:t>.</w:t>
      </w:r>
    </w:p>
  </w:footnote>
  <w:footnote w:id="8">
    <w:p w14:paraId="59909432" w14:textId="4E49A628" w:rsidR="008B74B5" w:rsidRPr="004748C6" w:rsidRDefault="008B74B5">
      <w:pPr>
        <w:pStyle w:val="FootnoteText"/>
        <w:rPr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  <w:szCs w:val="24"/>
        </w:rPr>
        <w:tab/>
      </w:r>
      <w:r w:rsidR="003978C1" w:rsidRPr="001E49B0">
        <w:rPr>
          <w:rFonts w:ascii="Times New Roman" w:hAnsi="Times New Roman"/>
          <w:i/>
          <w:iCs/>
          <w:szCs w:val="24"/>
        </w:rPr>
        <w:t>Broadbent v Medical Board of Australia</w:t>
      </w:r>
      <w:r w:rsidR="003978C1" w:rsidRPr="001E49B0">
        <w:rPr>
          <w:rFonts w:ascii="Times New Roman" w:hAnsi="Times New Roman"/>
          <w:szCs w:val="24"/>
        </w:rPr>
        <w:t xml:space="preserve"> [2024] QCA 37</w:t>
      </w:r>
      <w:r w:rsidRPr="001E49B0">
        <w:rPr>
          <w:rFonts w:ascii="Times New Roman" w:hAnsi="Times New Roman"/>
          <w:szCs w:val="24"/>
        </w:rPr>
        <w:t xml:space="preserve"> at [1]</w:t>
      </w:r>
      <w:r w:rsidR="003978C1" w:rsidRPr="001E49B0">
        <w:rPr>
          <w:rFonts w:ascii="Times New Roman" w:hAnsi="Times New Roman"/>
          <w:szCs w:val="24"/>
        </w:rPr>
        <w:t>.</w:t>
      </w:r>
    </w:p>
  </w:footnote>
  <w:footnote w:id="9">
    <w:p w14:paraId="3D0F0D2E" w14:textId="7A783893" w:rsidR="00A77913" w:rsidRPr="001E49B0" w:rsidRDefault="00A77913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  <w:szCs w:val="24"/>
        </w:rPr>
        <w:tab/>
      </w:r>
      <w:r w:rsidR="003978C1" w:rsidRPr="001E49B0">
        <w:rPr>
          <w:rFonts w:ascii="Times New Roman" w:hAnsi="Times New Roman"/>
          <w:i/>
          <w:iCs/>
          <w:szCs w:val="24"/>
        </w:rPr>
        <w:t>Broadbent v Medical Board of Australia</w:t>
      </w:r>
      <w:r w:rsidR="003978C1" w:rsidRPr="001E49B0">
        <w:rPr>
          <w:rFonts w:ascii="Times New Roman" w:hAnsi="Times New Roman"/>
          <w:szCs w:val="24"/>
        </w:rPr>
        <w:t xml:space="preserve"> [2024] QCA 37</w:t>
      </w:r>
      <w:r w:rsidRPr="001E49B0">
        <w:rPr>
          <w:rFonts w:ascii="Times New Roman" w:hAnsi="Times New Roman"/>
          <w:szCs w:val="24"/>
        </w:rPr>
        <w:t xml:space="preserve"> at </w:t>
      </w:r>
      <w:r w:rsidR="00951607" w:rsidRPr="001E49B0">
        <w:rPr>
          <w:rFonts w:ascii="Times New Roman" w:hAnsi="Times New Roman"/>
          <w:szCs w:val="24"/>
        </w:rPr>
        <w:t>[20]</w:t>
      </w:r>
      <w:r w:rsidR="003978C1" w:rsidRPr="001E49B0">
        <w:rPr>
          <w:rFonts w:ascii="Times New Roman" w:hAnsi="Times New Roman"/>
          <w:szCs w:val="24"/>
        </w:rPr>
        <w:t>.</w:t>
      </w:r>
    </w:p>
  </w:footnote>
  <w:footnote w:id="10">
    <w:p w14:paraId="5AF6A058" w14:textId="3B0AD760" w:rsidR="00100132" w:rsidRPr="001E49B0" w:rsidRDefault="00100132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3978C1" w:rsidRPr="001E49B0">
        <w:rPr>
          <w:rFonts w:ascii="Times New Roman" w:hAnsi="Times New Roman"/>
          <w:szCs w:val="24"/>
        </w:rPr>
        <w:tab/>
      </w:r>
      <w:r w:rsidR="003978C1" w:rsidRPr="001E49B0">
        <w:rPr>
          <w:rFonts w:ascii="Times New Roman" w:hAnsi="Times New Roman"/>
          <w:i/>
          <w:iCs/>
          <w:szCs w:val="24"/>
        </w:rPr>
        <w:t>Broadbent v Medical Board of Australia</w:t>
      </w:r>
      <w:r w:rsidR="003978C1" w:rsidRPr="001E49B0">
        <w:rPr>
          <w:rFonts w:ascii="Times New Roman" w:hAnsi="Times New Roman"/>
          <w:szCs w:val="24"/>
        </w:rPr>
        <w:t xml:space="preserve"> [2024] QCA 37</w:t>
      </w:r>
      <w:r w:rsidRPr="001E49B0">
        <w:rPr>
          <w:rFonts w:ascii="Times New Roman" w:hAnsi="Times New Roman"/>
          <w:szCs w:val="24"/>
        </w:rPr>
        <w:t xml:space="preserve"> at </w:t>
      </w:r>
      <w:r w:rsidR="00B24647" w:rsidRPr="001E49B0">
        <w:rPr>
          <w:rFonts w:ascii="Times New Roman" w:hAnsi="Times New Roman"/>
          <w:szCs w:val="24"/>
        </w:rPr>
        <w:t>[30</w:t>
      </w:r>
      <w:r w:rsidR="003978C1" w:rsidRPr="001E49B0">
        <w:rPr>
          <w:rFonts w:ascii="Times New Roman" w:hAnsi="Times New Roman"/>
          <w:szCs w:val="24"/>
        </w:rPr>
        <w:t>].</w:t>
      </w:r>
    </w:p>
  </w:footnote>
  <w:footnote w:id="11">
    <w:p w14:paraId="68C8A849" w14:textId="0D18636C" w:rsidR="00264447" w:rsidRPr="001E49B0" w:rsidRDefault="00264447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DC6A91" w:rsidRPr="001E49B0">
        <w:rPr>
          <w:rFonts w:ascii="Times New Roman" w:hAnsi="Times New Roman"/>
          <w:szCs w:val="24"/>
        </w:rPr>
        <w:tab/>
      </w:r>
      <w:r w:rsidRPr="001E49B0">
        <w:rPr>
          <w:rFonts w:ascii="Times New Roman" w:hAnsi="Times New Roman"/>
          <w:i/>
          <w:iCs/>
          <w:szCs w:val="24"/>
        </w:rPr>
        <w:t xml:space="preserve">High Court Rules </w:t>
      </w:r>
      <w:r w:rsidRPr="001E49B0">
        <w:rPr>
          <w:rFonts w:ascii="Times New Roman" w:hAnsi="Times New Roman"/>
          <w:szCs w:val="24"/>
        </w:rPr>
        <w:t>(Cth), r</w:t>
      </w:r>
      <w:r w:rsidR="006A7A74" w:rsidRPr="001E49B0">
        <w:rPr>
          <w:rFonts w:ascii="Times New Roman" w:hAnsi="Times New Roman"/>
          <w:szCs w:val="24"/>
        </w:rPr>
        <w:t> </w:t>
      </w:r>
      <w:r w:rsidRPr="001E49B0">
        <w:rPr>
          <w:rFonts w:ascii="Times New Roman" w:hAnsi="Times New Roman"/>
          <w:szCs w:val="24"/>
        </w:rPr>
        <w:t>6.07.</w:t>
      </w:r>
      <w:r w:rsidR="00C224A7" w:rsidRPr="001E49B0">
        <w:rPr>
          <w:rFonts w:ascii="Times New Roman" w:hAnsi="Times New Roman"/>
          <w:szCs w:val="24"/>
        </w:rPr>
        <w:t>1.</w:t>
      </w:r>
    </w:p>
  </w:footnote>
  <w:footnote w:id="12">
    <w:p w14:paraId="1EC9751A" w14:textId="5887CDB9" w:rsidR="00A24D49" w:rsidRPr="001E49B0" w:rsidRDefault="00A24D49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Pr="001E49B0">
        <w:rPr>
          <w:rFonts w:ascii="Times New Roman" w:hAnsi="Times New Roman"/>
          <w:szCs w:val="24"/>
        </w:rPr>
        <w:tab/>
      </w:r>
      <w:r w:rsidRPr="001E49B0">
        <w:rPr>
          <w:rFonts w:ascii="Times New Roman" w:hAnsi="Times New Roman"/>
          <w:i/>
          <w:iCs/>
          <w:szCs w:val="24"/>
        </w:rPr>
        <w:t xml:space="preserve">Re Young </w:t>
      </w:r>
      <w:r w:rsidRPr="001E49B0">
        <w:rPr>
          <w:rFonts w:ascii="Times New Roman" w:hAnsi="Times New Roman"/>
          <w:szCs w:val="24"/>
        </w:rPr>
        <w:t>(2020) 94 ALJR 448 at 451 [1</w:t>
      </w:r>
      <w:r w:rsidR="001E5E3A" w:rsidRPr="001E49B0">
        <w:rPr>
          <w:rFonts w:ascii="Times New Roman" w:hAnsi="Times New Roman"/>
          <w:szCs w:val="24"/>
        </w:rPr>
        <w:t>3</w:t>
      </w:r>
      <w:r w:rsidRPr="001E49B0">
        <w:rPr>
          <w:rFonts w:ascii="Times New Roman" w:hAnsi="Times New Roman"/>
          <w:szCs w:val="24"/>
        </w:rPr>
        <w:t>]</w:t>
      </w:r>
      <w:r w:rsidR="00A75A99" w:rsidRPr="001E49B0">
        <w:rPr>
          <w:rFonts w:ascii="Times New Roman" w:hAnsi="Times New Roman"/>
          <w:szCs w:val="24"/>
        </w:rPr>
        <w:t>;</w:t>
      </w:r>
      <w:r w:rsidRPr="001E49B0">
        <w:rPr>
          <w:rFonts w:ascii="Times New Roman" w:hAnsi="Times New Roman"/>
          <w:szCs w:val="24"/>
        </w:rPr>
        <w:t xml:space="preserve"> 376 ALR 567 at 570.</w:t>
      </w:r>
    </w:p>
  </w:footnote>
  <w:footnote w:id="13">
    <w:p w14:paraId="4E1EF49E" w14:textId="04E53893" w:rsidR="008F1F43" w:rsidRPr="001E49B0" w:rsidRDefault="008F1F43" w:rsidP="00D71DDF">
      <w:pPr>
        <w:pStyle w:val="FootnoteText"/>
        <w:spacing w:line="280" w:lineRule="exact"/>
        <w:ind w:right="0"/>
        <w:jc w:val="both"/>
        <w:rPr>
          <w:rFonts w:ascii="Times New Roman" w:hAnsi="Times New Roman"/>
          <w:i/>
          <w:iCs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Pr="001E49B0">
        <w:rPr>
          <w:rFonts w:ascii="Times New Roman" w:hAnsi="Times New Roman"/>
          <w:szCs w:val="24"/>
        </w:rPr>
        <w:tab/>
      </w:r>
      <w:r w:rsidRPr="001E49B0">
        <w:rPr>
          <w:rFonts w:ascii="Times New Roman" w:hAnsi="Times New Roman"/>
          <w:i/>
          <w:iCs/>
          <w:szCs w:val="24"/>
        </w:rPr>
        <w:t>Re Young</w:t>
      </w:r>
      <w:r w:rsidR="00385770" w:rsidRPr="001E49B0">
        <w:rPr>
          <w:rFonts w:ascii="Times New Roman" w:hAnsi="Times New Roman"/>
          <w:i/>
          <w:iCs/>
          <w:szCs w:val="24"/>
        </w:rPr>
        <w:t xml:space="preserve"> </w:t>
      </w:r>
      <w:r w:rsidR="00385770" w:rsidRPr="001E49B0">
        <w:rPr>
          <w:rFonts w:ascii="Times New Roman" w:hAnsi="Times New Roman"/>
          <w:szCs w:val="24"/>
        </w:rPr>
        <w:t>(2020) 94 ALJR 448</w:t>
      </w:r>
      <w:r w:rsidR="004C5B16" w:rsidRPr="001E49B0">
        <w:rPr>
          <w:rFonts w:ascii="Times New Roman" w:hAnsi="Times New Roman"/>
          <w:szCs w:val="24"/>
        </w:rPr>
        <w:t xml:space="preserve"> at 451 </w:t>
      </w:r>
      <w:r w:rsidR="00DC0AD2" w:rsidRPr="001E49B0">
        <w:rPr>
          <w:rFonts w:ascii="Times New Roman" w:hAnsi="Times New Roman"/>
          <w:szCs w:val="24"/>
        </w:rPr>
        <w:t>[</w:t>
      </w:r>
      <w:r w:rsidR="00030622" w:rsidRPr="001E49B0">
        <w:rPr>
          <w:rFonts w:ascii="Times New Roman" w:hAnsi="Times New Roman"/>
          <w:szCs w:val="24"/>
        </w:rPr>
        <w:t>13]</w:t>
      </w:r>
      <w:r w:rsidR="00D314E1" w:rsidRPr="001E49B0">
        <w:rPr>
          <w:rFonts w:ascii="Times New Roman" w:hAnsi="Times New Roman"/>
          <w:szCs w:val="24"/>
        </w:rPr>
        <w:t xml:space="preserve">; </w:t>
      </w:r>
      <w:r w:rsidR="00B2085E" w:rsidRPr="001E49B0">
        <w:rPr>
          <w:rFonts w:ascii="Times New Roman" w:hAnsi="Times New Roman"/>
          <w:szCs w:val="24"/>
        </w:rPr>
        <w:t>376 ALR 567</w:t>
      </w:r>
      <w:r w:rsidR="00DB27BA" w:rsidRPr="001E49B0">
        <w:rPr>
          <w:rFonts w:ascii="Times New Roman" w:hAnsi="Times New Roman"/>
          <w:szCs w:val="24"/>
        </w:rPr>
        <w:t xml:space="preserve"> at 570</w:t>
      </w:r>
      <w:r w:rsidR="00030622" w:rsidRPr="001E49B0">
        <w:rPr>
          <w:rFonts w:ascii="Times New Roman" w:hAnsi="Times New Roman"/>
          <w:szCs w:val="24"/>
        </w:rPr>
        <w:t>.</w:t>
      </w:r>
    </w:p>
  </w:footnote>
  <w:footnote w:id="14">
    <w:p w14:paraId="38BFEC69" w14:textId="39AD7678" w:rsidR="00E128F2" w:rsidRPr="001E49B0" w:rsidRDefault="00E128F2">
      <w:pPr>
        <w:pStyle w:val="FootnoteText"/>
        <w:rPr>
          <w:rFonts w:ascii="Times New Roman" w:hAnsi="Times New Roman"/>
          <w:szCs w:val="24"/>
        </w:rPr>
      </w:pPr>
      <w:r w:rsidRPr="001E49B0">
        <w:rPr>
          <w:rStyle w:val="FootnoteReference"/>
          <w:rFonts w:ascii="Times New Roman" w:hAnsi="Times New Roman"/>
          <w:sz w:val="20"/>
          <w:szCs w:val="24"/>
          <w:vertAlign w:val="baseline"/>
        </w:rPr>
        <w:footnoteRef/>
      </w:r>
      <w:r w:rsidR="00DC6A91" w:rsidRPr="001E49B0">
        <w:rPr>
          <w:rFonts w:ascii="Times New Roman" w:hAnsi="Times New Roman"/>
          <w:szCs w:val="24"/>
        </w:rPr>
        <w:tab/>
      </w:r>
      <w:r w:rsidRPr="001E49B0">
        <w:rPr>
          <w:rFonts w:ascii="Times New Roman" w:hAnsi="Times New Roman"/>
          <w:szCs w:val="24"/>
        </w:rPr>
        <w:t>Applica</w:t>
      </w:r>
      <w:r w:rsidR="00E11438" w:rsidRPr="001E49B0">
        <w:rPr>
          <w:rFonts w:ascii="Times New Roman" w:hAnsi="Times New Roman"/>
          <w:szCs w:val="24"/>
        </w:rPr>
        <w:t>nt's submissions</w:t>
      </w:r>
      <w:r w:rsidRPr="001E49B0">
        <w:rPr>
          <w:rFonts w:ascii="Times New Roman" w:hAnsi="Times New Roman"/>
          <w:szCs w:val="24"/>
        </w:rPr>
        <w:t xml:space="preserve"> at </w:t>
      </w:r>
      <w:r w:rsidR="007B30A8" w:rsidRPr="001E49B0">
        <w:rPr>
          <w:rFonts w:ascii="Times New Roman" w:hAnsi="Times New Roman"/>
          <w:szCs w:val="24"/>
        </w:rPr>
        <w:t>[12(1)</w:t>
      </w:r>
      <w:r w:rsidR="00582EC6" w:rsidRPr="001E49B0">
        <w:rPr>
          <w:rFonts w:ascii="Times New Roman" w:hAnsi="Times New Roman"/>
          <w:szCs w:val="24"/>
        </w:rPr>
        <w:t>]</w:t>
      </w:r>
      <w:r w:rsidR="006A7A74" w:rsidRPr="001E49B0">
        <w:rPr>
          <w:rFonts w:ascii="Times New Roman" w:hAnsi="Times New Roman"/>
          <w:szCs w:val="24"/>
        </w:rPr>
        <w:t>.</w:t>
      </w:r>
    </w:p>
  </w:footnote>
  <w:footnote w:id="15">
    <w:p w14:paraId="7A24DA5E" w14:textId="0C2B61B0" w:rsidR="00043FD0" w:rsidRPr="004748C6" w:rsidRDefault="00043FD0">
      <w:pPr>
        <w:pStyle w:val="FootnoteText"/>
      </w:pPr>
      <w:r w:rsidRPr="001E49B0">
        <w:rPr>
          <w:rStyle w:val="FootnoteReference"/>
          <w:rFonts w:ascii="Times New Roman" w:hAnsi="Times New Roman"/>
          <w:sz w:val="20"/>
          <w:vertAlign w:val="baseline"/>
        </w:rPr>
        <w:footnoteRef/>
      </w:r>
      <w:r w:rsidRPr="001E49B0">
        <w:rPr>
          <w:rFonts w:ascii="Times New Roman" w:hAnsi="Times New Roman"/>
        </w:rPr>
        <w:t xml:space="preserve"> </w:t>
      </w:r>
      <w:r w:rsidRPr="001E49B0">
        <w:rPr>
          <w:rFonts w:ascii="Times New Roman" w:hAnsi="Times New Roman"/>
        </w:rPr>
        <w:tab/>
      </w:r>
      <w:r w:rsidRPr="001E49B0">
        <w:rPr>
          <w:rFonts w:ascii="Times New Roman" w:hAnsi="Times New Roman"/>
          <w:i/>
          <w:iCs/>
          <w:szCs w:val="24"/>
        </w:rPr>
        <w:t xml:space="preserve">Re Young </w:t>
      </w:r>
      <w:r w:rsidRPr="001E49B0">
        <w:rPr>
          <w:rFonts w:ascii="Times New Roman" w:hAnsi="Times New Roman"/>
          <w:szCs w:val="24"/>
        </w:rPr>
        <w:t>(2020) 94 ALJR 448 at 451 [13]; 376 ALR 567 at 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7628" w14:textId="77777777" w:rsidR="00D71DDF" w:rsidRPr="00621E8C" w:rsidRDefault="00D71DDF" w:rsidP="0062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D0B" w14:textId="10428C9D" w:rsidR="00D71DDF" w:rsidRPr="00621E8C" w:rsidRDefault="00621E8C" w:rsidP="00621E8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2E17" w14:textId="58DEB830" w:rsidR="006835F3" w:rsidRPr="00621E8C" w:rsidRDefault="006835F3" w:rsidP="00621E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564F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Beech-Jones</w:t>
    </w:r>
    <w:r>
      <w:rPr>
        <w:rFonts w:ascii="Times New Roman" w:hAnsi="Times New Roman"/>
        <w:i/>
        <w:sz w:val="22"/>
      </w:rPr>
      <w:tab/>
      <w:t>J</w:t>
    </w:r>
  </w:p>
  <w:p w14:paraId="663AFEA5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047FA27" w14:textId="77777777" w:rsidR="00621E8C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4546775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1871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Beech-Jones</w:t>
    </w:r>
    <w:r>
      <w:rPr>
        <w:rFonts w:ascii="Times New Roman" w:hAnsi="Times New Roman"/>
        <w:i/>
        <w:sz w:val="22"/>
      </w:rPr>
      <w:tab/>
      <w:t>J</w:t>
    </w:r>
  </w:p>
  <w:p w14:paraId="12F971E8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0693965E" w14:textId="77777777" w:rsidR="00621E8C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6FC59C1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FC74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22EBC4B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5FA4E08" w14:textId="77777777" w:rsidR="00621E8C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E905902" w14:textId="77777777" w:rsidR="00621E8C" w:rsidRPr="00D71DDF" w:rsidRDefault="00621E8C" w:rsidP="00D71DDF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F3"/>
    <w:rsid w:val="00002069"/>
    <w:rsid w:val="00002CE6"/>
    <w:rsid w:val="0000316A"/>
    <w:rsid w:val="000049B7"/>
    <w:rsid w:val="0000570D"/>
    <w:rsid w:val="000141CA"/>
    <w:rsid w:val="00014B34"/>
    <w:rsid w:val="0001521B"/>
    <w:rsid w:val="000168C9"/>
    <w:rsid w:val="00016C20"/>
    <w:rsid w:val="00016DBB"/>
    <w:rsid w:val="00017144"/>
    <w:rsid w:val="00022A53"/>
    <w:rsid w:val="000250AF"/>
    <w:rsid w:val="00025490"/>
    <w:rsid w:val="0002561E"/>
    <w:rsid w:val="000268E1"/>
    <w:rsid w:val="00030622"/>
    <w:rsid w:val="0003575A"/>
    <w:rsid w:val="000360EB"/>
    <w:rsid w:val="00037A5F"/>
    <w:rsid w:val="00037D87"/>
    <w:rsid w:val="00041889"/>
    <w:rsid w:val="00042EF3"/>
    <w:rsid w:val="00043D2C"/>
    <w:rsid w:val="00043FD0"/>
    <w:rsid w:val="000442A8"/>
    <w:rsid w:val="00046812"/>
    <w:rsid w:val="0005437E"/>
    <w:rsid w:val="00055591"/>
    <w:rsid w:val="00055ACD"/>
    <w:rsid w:val="00056AC6"/>
    <w:rsid w:val="00056F27"/>
    <w:rsid w:val="000573AF"/>
    <w:rsid w:val="0006169E"/>
    <w:rsid w:val="00061A37"/>
    <w:rsid w:val="000626FD"/>
    <w:rsid w:val="0006432B"/>
    <w:rsid w:val="000653D4"/>
    <w:rsid w:val="00071C35"/>
    <w:rsid w:val="00075F50"/>
    <w:rsid w:val="00080D77"/>
    <w:rsid w:val="0008435D"/>
    <w:rsid w:val="0008558C"/>
    <w:rsid w:val="00085F13"/>
    <w:rsid w:val="000904B1"/>
    <w:rsid w:val="000A28D4"/>
    <w:rsid w:val="000A2EB4"/>
    <w:rsid w:val="000A3DA3"/>
    <w:rsid w:val="000A63C6"/>
    <w:rsid w:val="000B4630"/>
    <w:rsid w:val="000B497F"/>
    <w:rsid w:val="000B636D"/>
    <w:rsid w:val="000B6ADC"/>
    <w:rsid w:val="000B710D"/>
    <w:rsid w:val="000B7558"/>
    <w:rsid w:val="000C04DC"/>
    <w:rsid w:val="000C0D98"/>
    <w:rsid w:val="000C1B16"/>
    <w:rsid w:val="000C5A37"/>
    <w:rsid w:val="000D25E6"/>
    <w:rsid w:val="000D4B1B"/>
    <w:rsid w:val="000D53C8"/>
    <w:rsid w:val="000E3AAD"/>
    <w:rsid w:val="000E65F7"/>
    <w:rsid w:val="000E6618"/>
    <w:rsid w:val="000F1345"/>
    <w:rsid w:val="000F1CD9"/>
    <w:rsid w:val="000F3BB3"/>
    <w:rsid w:val="00100132"/>
    <w:rsid w:val="001001B9"/>
    <w:rsid w:val="00102254"/>
    <w:rsid w:val="00102FD0"/>
    <w:rsid w:val="0010702C"/>
    <w:rsid w:val="00110970"/>
    <w:rsid w:val="00111568"/>
    <w:rsid w:val="001120C0"/>
    <w:rsid w:val="00113B3C"/>
    <w:rsid w:val="001150BF"/>
    <w:rsid w:val="00115EB0"/>
    <w:rsid w:val="001168F2"/>
    <w:rsid w:val="00120207"/>
    <w:rsid w:val="00123C1B"/>
    <w:rsid w:val="00125E3C"/>
    <w:rsid w:val="00132FAE"/>
    <w:rsid w:val="00133E7E"/>
    <w:rsid w:val="0013456F"/>
    <w:rsid w:val="00135136"/>
    <w:rsid w:val="00142072"/>
    <w:rsid w:val="00143FCB"/>
    <w:rsid w:val="00144FEF"/>
    <w:rsid w:val="00145627"/>
    <w:rsid w:val="00145692"/>
    <w:rsid w:val="001469A0"/>
    <w:rsid w:val="00146A41"/>
    <w:rsid w:val="001479D1"/>
    <w:rsid w:val="0015031C"/>
    <w:rsid w:val="001506F3"/>
    <w:rsid w:val="00151679"/>
    <w:rsid w:val="0015318E"/>
    <w:rsid w:val="00154BBA"/>
    <w:rsid w:val="00163D92"/>
    <w:rsid w:val="00164144"/>
    <w:rsid w:val="001708DE"/>
    <w:rsid w:val="00172ADE"/>
    <w:rsid w:val="00175703"/>
    <w:rsid w:val="001758DE"/>
    <w:rsid w:val="00176D25"/>
    <w:rsid w:val="00180339"/>
    <w:rsid w:val="0018342E"/>
    <w:rsid w:val="001840C2"/>
    <w:rsid w:val="00184B46"/>
    <w:rsid w:val="00185939"/>
    <w:rsid w:val="001876F6"/>
    <w:rsid w:val="00191100"/>
    <w:rsid w:val="00191E23"/>
    <w:rsid w:val="00193CE6"/>
    <w:rsid w:val="001953B1"/>
    <w:rsid w:val="001963C0"/>
    <w:rsid w:val="00197956"/>
    <w:rsid w:val="001A409D"/>
    <w:rsid w:val="001A446E"/>
    <w:rsid w:val="001B1676"/>
    <w:rsid w:val="001B17A8"/>
    <w:rsid w:val="001B55C8"/>
    <w:rsid w:val="001B63C6"/>
    <w:rsid w:val="001C0FE6"/>
    <w:rsid w:val="001C48D4"/>
    <w:rsid w:val="001C7C93"/>
    <w:rsid w:val="001C7E02"/>
    <w:rsid w:val="001D36CD"/>
    <w:rsid w:val="001D4F49"/>
    <w:rsid w:val="001D542F"/>
    <w:rsid w:val="001D7982"/>
    <w:rsid w:val="001E1D3D"/>
    <w:rsid w:val="001E2479"/>
    <w:rsid w:val="001E47D1"/>
    <w:rsid w:val="001E49B0"/>
    <w:rsid w:val="001E5E3A"/>
    <w:rsid w:val="001E6A64"/>
    <w:rsid w:val="001E75C5"/>
    <w:rsid w:val="001F1B5F"/>
    <w:rsid w:val="001F3F2A"/>
    <w:rsid w:val="001F528B"/>
    <w:rsid w:val="001F69C2"/>
    <w:rsid w:val="002048D1"/>
    <w:rsid w:val="00207950"/>
    <w:rsid w:val="002079CB"/>
    <w:rsid w:val="0021096E"/>
    <w:rsid w:val="00210DE8"/>
    <w:rsid w:val="00211D73"/>
    <w:rsid w:val="00212A3E"/>
    <w:rsid w:val="00214BF2"/>
    <w:rsid w:val="00215A7F"/>
    <w:rsid w:val="00216522"/>
    <w:rsid w:val="002203EE"/>
    <w:rsid w:val="00221D19"/>
    <w:rsid w:val="0022666B"/>
    <w:rsid w:val="0022734D"/>
    <w:rsid w:val="002276A7"/>
    <w:rsid w:val="002307A7"/>
    <w:rsid w:val="00232BD5"/>
    <w:rsid w:val="0023447F"/>
    <w:rsid w:val="002350B3"/>
    <w:rsid w:val="0023798E"/>
    <w:rsid w:val="00242E88"/>
    <w:rsid w:val="00242EE4"/>
    <w:rsid w:val="00243794"/>
    <w:rsid w:val="00243D46"/>
    <w:rsid w:val="0024462E"/>
    <w:rsid w:val="002474FA"/>
    <w:rsid w:val="00253493"/>
    <w:rsid w:val="00253DE9"/>
    <w:rsid w:val="00254FDE"/>
    <w:rsid w:val="00257AFB"/>
    <w:rsid w:val="0026028E"/>
    <w:rsid w:val="0026293D"/>
    <w:rsid w:val="00264447"/>
    <w:rsid w:val="00265982"/>
    <w:rsid w:val="00267018"/>
    <w:rsid w:val="00270154"/>
    <w:rsid w:val="00271F70"/>
    <w:rsid w:val="0027408B"/>
    <w:rsid w:val="002746A4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45F1"/>
    <w:rsid w:val="0029697C"/>
    <w:rsid w:val="002979F1"/>
    <w:rsid w:val="00297BF9"/>
    <w:rsid w:val="002A13E1"/>
    <w:rsid w:val="002A3248"/>
    <w:rsid w:val="002A6C37"/>
    <w:rsid w:val="002B0846"/>
    <w:rsid w:val="002B1304"/>
    <w:rsid w:val="002B1CD5"/>
    <w:rsid w:val="002B34F8"/>
    <w:rsid w:val="002B7FDB"/>
    <w:rsid w:val="002C1EDE"/>
    <w:rsid w:val="002C3643"/>
    <w:rsid w:val="002C5981"/>
    <w:rsid w:val="002C7105"/>
    <w:rsid w:val="002C7307"/>
    <w:rsid w:val="002D0410"/>
    <w:rsid w:val="002D0899"/>
    <w:rsid w:val="002D1707"/>
    <w:rsid w:val="002D17E2"/>
    <w:rsid w:val="002D3F5B"/>
    <w:rsid w:val="002D7B14"/>
    <w:rsid w:val="002E0EC8"/>
    <w:rsid w:val="002E278F"/>
    <w:rsid w:val="002E3B4D"/>
    <w:rsid w:val="002F0522"/>
    <w:rsid w:val="002F0734"/>
    <w:rsid w:val="0030026A"/>
    <w:rsid w:val="00301975"/>
    <w:rsid w:val="0030542C"/>
    <w:rsid w:val="003060B3"/>
    <w:rsid w:val="00310418"/>
    <w:rsid w:val="00310DC4"/>
    <w:rsid w:val="00312FFC"/>
    <w:rsid w:val="003150BF"/>
    <w:rsid w:val="003150CE"/>
    <w:rsid w:val="00315E92"/>
    <w:rsid w:val="00320168"/>
    <w:rsid w:val="00323B9E"/>
    <w:rsid w:val="003257D5"/>
    <w:rsid w:val="00330804"/>
    <w:rsid w:val="003337E6"/>
    <w:rsid w:val="00334A6B"/>
    <w:rsid w:val="003366B2"/>
    <w:rsid w:val="00340066"/>
    <w:rsid w:val="0034122D"/>
    <w:rsid w:val="0034288B"/>
    <w:rsid w:val="0034332B"/>
    <w:rsid w:val="0034681C"/>
    <w:rsid w:val="00353F11"/>
    <w:rsid w:val="00356C7C"/>
    <w:rsid w:val="003600A8"/>
    <w:rsid w:val="0036284D"/>
    <w:rsid w:val="00366524"/>
    <w:rsid w:val="00373E58"/>
    <w:rsid w:val="00374B96"/>
    <w:rsid w:val="00376073"/>
    <w:rsid w:val="00377452"/>
    <w:rsid w:val="00381223"/>
    <w:rsid w:val="00381849"/>
    <w:rsid w:val="003823A0"/>
    <w:rsid w:val="00384F36"/>
    <w:rsid w:val="00385271"/>
    <w:rsid w:val="00385770"/>
    <w:rsid w:val="0039226E"/>
    <w:rsid w:val="00392CC8"/>
    <w:rsid w:val="00394825"/>
    <w:rsid w:val="00396F2F"/>
    <w:rsid w:val="00397708"/>
    <w:rsid w:val="003978C1"/>
    <w:rsid w:val="003A2017"/>
    <w:rsid w:val="003A48CC"/>
    <w:rsid w:val="003A72EF"/>
    <w:rsid w:val="003A7E21"/>
    <w:rsid w:val="003B4EED"/>
    <w:rsid w:val="003B6B2C"/>
    <w:rsid w:val="003C266A"/>
    <w:rsid w:val="003C602A"/>
    <w:rsid w:val="003C63E8"/>
    <w:rsid w:val="003D1759"/>
    <w:rsid w:val="003D1896"/>
    <w:rsid w:val="003D3B14"/>
    <w:rsid w:val="003D62F7"/>
    <w:rsid w:val="003E1035"/>
    <w:rsid w:val="003E17F2"/>
    <w:rsid w:val="003E19F7"/>
    <w:rsid w:val="003E1EB2"/>
    <w:rsid w:val="003E303A"/>
    <w:rsid w:val="003E492C"/>
    <w:rsid w:val="003E710D"/>
    <w:rsid w:val="003E7A9C"/>
    <w:rsid w:val="003F2A71"/>
    <w:rsid w:val="003F328F"/>
    <w:rsid w:val="003F531A"/>
    <w:rsid w:val="003F615B"/>
    <w:rsid w:val="003F7C9E"/>
    <w:rsid w:val="004025E8"/>
    <w:rsid w:val="00402768"/>
    <w:rsid w:val="00402984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2591"/>
    <w:rsid w:val="00424C3D"/>
    <w:rsid w:val="00424DE2"/>
    <w:rsid w:val="00432528"/>
    <w:rsid w:val="00432836"/>
    <w:rsid w:val="00432AF1"/>
    <w:rsid w:val="0043325C"/>
    <w:rsid w:val="00437091"/>
    <w:rsid w:val="004373D1"/>
    <w:rsid w:val="0043778D"/>
    <w:rsid w:val="004443C2"/>
    <w:rsid w:val="00444903"/>
    <w:rsid w:val="004454C2"/>
    <w:rsid w:val="00445FB7"/>
    <w:rsid w:val="00447347"/>
    <w:rsid w:val="00447F33"/>
    <w:rsid w:val="00450A27"/>
    <w:rsid w:val="00451EC2"/>
    <w:rsid w:val="00463357"/>
    <w:rsid w:val="004633B9"/>
    <w:rsid w:val="00463A04"/>
    <w:rsid w:val="00465255"/>
    <w:rsid w:val="00470DAB"/>
    <w:rsid w:val="00470FAA"/>
    <w:rsid w:val="00473718"/>
    <w:rsid w:val="00473869"/>
    <w:rsid w:val="0047410E"/>
    <w:rsid w:val="004748C6"/>
    <w:rsid w:val="0048054A"/>
    <w:rsid w:val="00480E0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32C"/>
    <w:rsid w:val="004B26D9"/>
    <w:rsid w:val="004B2C5E"/>
    <w:rsid w:val="004B3611"/>
    <w:rsid w:val="004B774B"/>
    <w:rsid w:val="004C3145"/>
    <w:rsid w:val="004C4629"/>
    <w:rsid w:val="004C4B71"/>
    <w:rsid w:val="004C5B16"/>
    <w:rsid w:val="004D087E"/>
    <w:rsid w:val="004D10F7"/>
    <w:rsid w:val="004D19DB"/>
    <w:rsid w:val="004D1E88"/>
    <w:rsid w:val="004D3CD7"/>
    <w:rsid w:val="004D58DE"/>
    <w:rsid w:val="004D63E2"/>
    <w:rsid w:val="004D64A0"/>
    <w:rsid w:val="004E3F30"/>
    <w:rsid w:val="004E46F8"/>
    <w:rsid w:val="004E50C8"/>
    <w:rsid w:val="004E653E"/>
    <w:rsid w:val="004E65F5"/>
    <w:rsid w:val="004F05BC"/>
    <w:rsid w:val="004F2D77"/>
    <w:rsid w:val="004F3C00"/>
    <w:rsid w:val="004F3E28"/>
    <w:rsid w:val="004F621F"/>
    <w:rsid w:val="00502013"/>
    <w:rsid w:val="00502EAE"/>
    <w:rsid w:val="00503A1B"/>
    <w:rsid w:val="0050500F"/>
    <w:rsid w:val="00505279"/>
    <w:rsid w:val="005063E1"/>
    <w:rsid w:val="00507CC5"/>
    <w:rsid w:val="0051239B"/>
    <w:rsid w:val="00516BBB"/>
    <w:rsid w:val="00523E83"/>
    <w:rsid w:val="005248BB"/>
    <w:rsid w:val="005308A5"/>
    <w:rsid w:val="005314E9"/>
    <w:rsid w:val="00531723"/>
    <w:rsid w:val="0053275E"/>
    <w:rsid w:val="0053324F"/>
    <w:rsid w:val="005348BF"/>
    <w:rsid w:val="00540428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1219"/>
    <w:rsid w:val="005529E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4C1A"/>
    <w:rsid w:val="00577E4E"/>
    <w:rsid w:val="00580EEB"/>
    <w:rsid w:val="00580FCF"/>
    <w:rsid w:val="00582EC6"/>
    <w:rsid w:val="00583673"/>
    <w:rsid w:val="00583D08"/>
    <w:rsid w:val="005850AC"/>
    <w:rsid w:val="00587BE7"/>
    <w:rsid w:val="00587CBC"/>
    <w:rsid w:val="00595DF1"/>
    <w:rsid w:val="00596524"/>
    <w:rsid w:val="00597D35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593"/>
    <w:rsid w:val="005D2A43"/>
    <w:rsid w:val="005D6EA0"/>
    <w:rsid w:val="005E3188"/>
    <w:rsid w:val="005E3C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5F787D"/>
    <w:rsid w:val="006015AE"/>
    <w:rsid w:val="006017B1"/>
    <w:rsid w:val="0060685F"/>
    <w:rsid w:val="00607066"/>
    <w:rsid w:val="00607197"/>
    <w:rsid w:val="00607A16"/>
    <w:rsid w:val="006109F8"/>
    <w:rsid w:val="0061132E"/>
    <w:rsid w:val="00612F8F"/>
    <w:rsid w:val="00613A4C"/>
    <w:rsid w:val="006147EA"/>
    <w:rsid w:val="00621E8C"/>
    <w:rsid w:val="00623075"/>
    <w:rsid w:val="00623910"/>
    <w:rsid w:val="00624A27"/>
    <w:rsid w:val="00624D74"/>
    <w:rsid w:val="0062716D"/>
    <w:rsid w:val="00627AF2"/>
    <w:rsid w:val="00632C37"/>
    <w:rsid w:val="00632F94"/>
    <w:rsid w:val="0063632F"/>
    <w:rsid w:val="00640E38"/>
    <w:rsid w:val="0064239F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71B7E"/>
    <w:rsid w:val="006767BC"/>
    <w:rsid w:val="00681D75"/>
    <w:rsid w:val="0068242E"/>
    <w:rsid w:val="006835F3"/>
    <w:rsid w:val="00684BAF"/>
    <w:rsid w:val="00696EBB"/>
    <w:rsid w:val="006A1F10"/>
    <w:rsid w:val="006A4D4E"/>
    <w:rsid w:val="006A7A74"/>
    <w:rsid w:val="006B1662"/>
    <w:rsid w:val="006B2D37"/>
    <w:rsid w:val="006B630A"/>
    <w:rsid w:val="006B7C24"/>
    <w:rsid w:val="006C1577"/>
    <w:rsid w:val="006C1A37"/>
    <w:rsid w:val="006C5ACD"/>
    <w:rsid w:val="006C6300"/>
    <w:rsid w:val="006D1544"/>
    <w:rsid w:val="006D2318"/>
    <w:rsid w:val="006D36B7"/>
    <w:rsid w:val="006D3A49"/>
    <w:rsid w:val="006D686D"/>
    <w:rsid w:val="006E16F1"/>
    <w:rsid w:val="006E1AB2"/>
    <w:rsid w:val="006E359B"/>
    <w:rsid w:val="006E4674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09F8"/>
    <w:rsid w:val="00701437"/>
    <w:rsid w:val="00701552"/>
    <w:rsid w:val="00702A84"/>
    <w:rsid w:val="00704FDE"/>
    <w:rsid w:val="00705448"/>
    <w:rsid w:val="00705DD9"/>
    <w:rsid w:val="007122EC"/>
    <w:rsid w:val="00714504"/>
    <w:rsid w:val="0071742A"/>
    <w:rsid w:val="00720272"/>
    <w:rsid w:val="00730E8F"/>
    <w:rsid w:val="00731D48"/>
    <w:rsid w:val="00733891"/>
    <w:rsid w:val="00733D9F"/>
    <w:rsid w:val="00734484"/>
    <w:rsid w:val="00742076"/>
    <w:rsid w:val="00745136"/>
    <w:rsid w:val="00745A15"/>
    <w:rsid w:val="00745DD2"/>
    <w:rsid w:val="00751354"/>
    <w:rsid w:val="0075141C"/>
    <w:rsid w:val="00751A39"/>
    <w:rsid w:val="00756909"/>
    <w:rsid w:val="00757B18"/>
    <w:rsid w:val="00760D10"/>
    <w:rsid w:val="00762108"/>
    <w:rsid w:val="00770E38"/>
    <w:rsid w:val="007751DE"/>
    <w:rsid w:val="00776AF1"/>
    <w:rsid w:val="0078133D"/>
    <w:rsid w:val="00781E34"/>
    <w:rsid w:val="00782642"/>
    <w:rsid w:val="00785785"/>
    <w:rsid w:val="00786562"/>
    <w:rsid w:val="00786C30"/>
    <w:rsid w:val="00791DED"/>
    <w:rsid w:val="00792AA8"/>
    <w:rsid w:val="00793AAE"/>
    <w:rsid w:val="00794972"/>
    <w:rsid w:val="00796EE7"/>
    <w:rsid w:val="00797022"/>
    <w:rsid w:val="007A3ABE"/>
    <w:rsid w:val="007A4CB0"/>
    <w:rsid w:val="007A4F97"/>
    <w:rsid w:val="007A5B52"/>
    <w:rsid w:val="007A60F8"/>
    <w:rsid w:val="007A62C3"/>
    <w:rsid w:val="007B30A8"/>
    <w:rsid w:val="007B341B"/>
    <w:rsid w:val="007B4102"/>
    <w:rsid w:val="007B611C"/>
    <w:rsid w:val="007B651A"/>
    <w:rsid w:val="007B6648"/>
    <w:rsid w:val="007B6669"/>
    <w:rsid w:val="007C311B"/>
    <w:rsid w:val="007C372F"/>
    <w:rsid w:val="007C462E"/>
    <w:rsid w:val="007C506B"/>
    <w:rsid w:val="007C5783"/>
    <w:rsid w:val="007D0986"/>
    <w:rsid w:val="007D3A17"/>
    <w:rsid w:val="007D59A7"/>
    <w:rsid w:val="007D698B"/>
    <w:rsid w:val="007D7BB6"/>
    <w:rsid w:val="007E1625"/>
    <w:rsid w:val="007E1E84"/>
    <w:rsid w:val="007E332C"/>
    <w:rsid w:val="007E542C"/>
    <w:rsid w:val="007E5D35"/>
    <w:rsid w:val="007F52A6"/>
    <w:rsid w:val="007F5789"/>
    <w:rsid w:val="007F68DA"/>
    <w:rsid w:val="008004E7"/>
    <w:rsid w:val="0080276C"/>
    <w:rsid w:val="008060C8"/>
    <w:rsid w:val="00810137"/>
    <w:rsid w:val="00810F5C"/>
    <w:rsid w:val="008110B8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0F78"/>
    <w:rsid w:val="0082117F"/>
    <w:rsid w:val="00824FF3"/>
    <w:rsid w:val="0082619C"/>
    <w:rsid w:val="00831A0D"/>
    <w:rsid w:val="00834B7D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2CC"/>
    <w:rsid w:val="00854501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5B9A"/>
    <w:rsid w:val="00877CBF"/>
    <w:rsid w:val="00882D53"/>
    <w:rsid w:val="00883437"/>
    <w:rsid w:val="008834C5"/>
    <w:rsid w:val="00883C24"/>
    <w:rsid w:val="008853F8"/>
    <w:rsid w:val="008953BD"/>
    <w:rsid w:val="008A4628"/>
    <w:rsid w:val="008B0E6D"/>
    <w:rsid w:val="008B47CB"/>
    <w:rsid w:val="008B6308"/>
    <w:rsid w:val="008B6A6C"/>
    <w:rsid w:val="008B6C22"/>
    <w:rsid w:val="008B74B5"/>
    <w:rsid w:val="008C15BB"/>
    <w:rsid w:val="008C28E5"/>
    <w:rsid w:val="008C4E5F"/>
    <w:rsid w:val="008C6886"/>
    <w:rsid w:val="008C6C82"/>
    <w:rsid w:val="008D06EF"/>
    <w:rsid w:val="008D110C"/>
    <w:rsid w:val="008D15F7"/>
    <w:rsid w:val="008D1FDE"/>
    <w:rsid w:val="008D351D"/>
    <w:rsid w:val="008D3B23"/>
    <w:rsid w:val="008E1C45"/>
    <w:rsid w:val="008E242E"/>
    <w:rsid w:val="008E647B"/>
    <w:rsid w:val="008E7B61"/>
    <w:rsid w:val="008F1F43"/>
    <w:rsid w:val="008F3AE2"/>
    <w:rsid w:val="008F58CF"/>
    <w:rsid w:val="008F6221"/>
    <w:rsid w:val="008F722B"/>
    <w:rsid w:val="008F777B"/>
    <w:rsid w:val="008F7CCE"/>
    <w:rsid w:val="0090313A"/>
    <w:rsid w:val="00903736"/>
    <w:rsid w:val="009043C8"/>
    <w:rsid w:val="009064E2"/>
    <w:rsid w:val="009077C7"/>
    <w:rsid w:val="0091220E"/>
    <w:rsid w:val="00912D14"/>
    <w:rsid w:val="0091465A"/>
    <w:rsid w:val="00920216"/>
    <w:rsid w:val="00920463"/>
    <w:rsid w:val="009231E5"/>
    <w:rsid w:val="009238C7"/>
    <w:rsid w:val="00923D68"/>
    <w:rsid w:val="009245CA"/>
    <w:rsid w:val="00925347"/>
    <w:rsid w:val="00926E4D"/>
    <w:rsid w:val="0093352D"/>
    <w:rsid w:val="009359FA"/>
    <w:rsid w:val="009376FF"/>
    <w:rsid w:val="00940185"/>
    <w:rsid w:val="00940BCD"/>
    <w:rsid w:val="00941279"/>
    <w:rsid w:val="009462D5"/>
    <w:rsid w:val="00946C30"/>
    <w:rsid w:val="00951607"/>
    <w:rsid w:val="00951F78"/>
    <w:rsid w:val="00953EB6"/>
    <w:rsid w:val="0095456C"/>
    <w:rsid w:val="009547B3"/>
    <w:rsid w:val="00956905"/>
    <w:rsid w:val="009614C6"/>
    <w:rsid w:val="00962BFB"/>
    <w:rsid w:val="00962E1C"/>
    <w:rsid w:val="0096349D"/>
    <w:rsid w:val="00963947"/>
    <w:rsid w:val="00964954"/>
    <w:rsid w:val="00966DEC"/>
    <w:rsid w:val="0096776A"/>
    <w:rsid w:val="0097673B"/>
    <w:rsid w:val="00980291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2111"/>
    <w:rsid w:val="009A43A6"/>
    <w:rsid w:val="009A5AFD"/>
    <w:rsid w:val="009A6EFD"/>
    <w:rsid w:val="009B39DC"/>
    <w:rsid w:val="009B61E7"/>
    <w:rsid w:val="009C0087"/>
    <w:rsid w:val="009C1BA3"/>
    <w:rsid w:val="009C2940"/>
    <w:rsid w:val="009C2AA3"/>
    <w:rsid w:val="009C3498"/>
    <w:rsid w:val="009C6E72"/>
    <w:rsid w:val="009D1518"/>
    <w:rsid w:val="009D3C3F"/>
    <w:rsid w:val="009D4D67"/>
    <w:rsid w:val="009D635B"/>
    <w:rsid w:val="009D66DC"/>
    <w:rsid w:val="009D7A67"/>
    <w:rsid w:val="009D7F6F"/>
    <w:rsid w:val="009E0393"/>
    <w:rsid w:val="009E07D3"/>
    <w:rsid w:val="009F06F2"/>
    <w:rsid w:val="009F635E"/>
    <w:rsid w:val="00A011EF"/>
    <w:rsid w:val="00A01350"/>
    <w:rsid w:val="00A02C5D"/>
    <w:rsid w:val="00A063D8"/>
    <w:rsid w:val="00A074D4"/>
    <w:rsid w:val="00A140D3"/>
    <w:rsid w:val="00A1446B"/>
    <w:rsid w:val="00A167F2"/>
    <w:rsid w:val="00A16AE9"/>
    <w:rsid w:val="00A17EFE"/>
    <w:rsid w:val="00A20C78"/>
    <w:rsid w:val="00A2312E"/>
    <w:rsid w:val="00A24323"/>
    <w:rsid w:val="00A24D49"/>
    <w:rsid w:val="00A2512C"/>
    <w:rsid w:val="00A2515B"/>
    <w:rsid w:val="00A2588E"/>
    <w:rsid w:val="00A26EDF"/>
    <w:rsid w:val="00A34789"/>
    <w:rsid w:val="00A3630E"/>
    <w:rsid w:val="00A36AE2"/>
    <w:rsid w:val="00A37BB8"/>
    <w:rsid w:val="00A37D74"/>
    <w:rsid w:val="00A41FF8"/>
    <w:rsid w:val="00A42D87"/>
    <w:rsid w:val="00A44BD3"/>
    <w:rsid w:val="00A4521D"/>
    <w:rsid w:val="00A46D6F"/>
    <w:rsid w:val="00A4724F"/>
    <w:rsid w:val="00A51F0A"/>
    <w:rsid w:val="00A54EF2"/>
    <w:rsid w:val="00A55D48"/>
    <w:rsid w:val="00A56354"/>
    <w:rsid w:val="00A57BEB"/>
    <w:rsid w:val="00A61673"/>
    <w:rsid w:val="00A64926"/>
    <w:rsid w:val="00A661CD"/>
    <w:rsid w:val="00A665CF"/>
    <w:rsid w:val="00A67CA7"/>
    <w:rsid w:val="00A72084"/>
    <w:rsid w:val="00A73989"/>
    <w:rsid w:val="00A75A99"/>
    <w:rsid w:val="00A7752F"/>
    <w:rsid w:val="00A77913"/>
    <w:rsid w:val="00A82648"/>
    <w:rsid w:val="00A85C35"/>
    <w:rsid w:val="00A92061"/>
    <w:rsid w:val="00A94249"/>
    <w:rsid w:val="00A94BC9"/>
    <w:rsid w:val="00A959BC"/>
    <w:rsid w:val="00AA2562"/>
    <w:rsid w:val="00AA2E48"/>
    <w:rsid w:val="00AA3708"/>
    <w:rsid w:val="00AA3C60"/>
    <w:rsid w:val="00AA3C79"/>
    <w:rsid w:val="00AA7A79"/>
    <w:rsid w:val="00AB2FF4"/>
    <w:rsid w:val="00AB44A3"/>
    <w:rsid w:val="00AB5F9C"/>
    <w:rsid w:val="00AC11E4"/>
    <w:rsid w:val="00AC1AD6"/>
    <w:rsid w:val="00AD1D47"/>
    <w:rsid w:val="00AD64DF"/>
    <w:rsid w:val="00AE0C43"/>
    <w:rsid w:val="00AE1025"/>
    <w:rsid w:val="00AE3F03"/>
    <w:rsid w:val="00AE64F0"/>
    <w:rsid w:val="00AF1A27"/>
    <w:rsid w:val="00AF23C8"/>
    <w:rsid w:val="00AF2AE2"/>
    <w:rsid w:val="00B00DF6"/>
    <w:rsid w:val="00B02147"/>
    <w:rsid w:val="00B0377E"/>
    <w:rsid w:val="00B05E72"/>
    <w:rsid w:val="00B07BA9"/>
    <w:rsid w:val="00B10055"/>
    <w:rsid w:val="00B1141E"/>
    <w:rsid w:val="00B1278B"/>
    <w:rsid w:val="00B17295"/>
    <w:rsid w:val="00B2085E"/>
    <w:rsid w:val="00B215F5"/>
    <w:rsid w:val="00B24647"/>
    <w:rsid w:val="00B26B62"/>
    <w:rsid w:val="00B27A54"/>
    <w:rsid w:val="00B30783"/>
    <w:rsid w:val="00B3264C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3E4C"/>
    <w:rsid w:val="00B64962"/>
    <w:rsid w:val="00B676EC"/>
    <w:rsid w:val="00B7016C"/>
    <w:rsid w:val="00B7039B"/>
    <w:rsid w:val="00B74D1E"/>
    <w:rsid w:val="00B76A18"/>
    <w:rsid w:val="00B824A8"/>
    <w:rsid w:val="00B84C6C"/>
    <w:rsid w:val="00B92687"/>
    <w:rsid w:val="00B94248"/>
    <w:rsid w:val="00B942A1"/>
    <w:rsid w:val="00B948BB"/>
    <w:rsid w:val="00B94B4F"/>
    <w:rsid w:val="00B976F6"/>
    <w:rsid w:val="00BA1974"/>
    <w:rsid w:val="00BA45DE"/>
    <w:rsid w:val="00BA5F41"/>
    <w:rsid w:val="00BA7385"/>
    <w:rsid w:val="00BB0EA2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4146"/>
    <w:rsid w:val="00BD6262"/>
    <w:rsid w:val="00BD7EED"/>
    <w:rsid w:val="00BE4C48"/>
    <w:rsid w:val="00BE61C1"/>
    <w:rsid w:val="00BE64AF"/>
    <w:rsid w:val="00BE6717"/>
    <w:rsid w:val="00BF0381"/>
    <w:rsid w:val="00BF08F3"/>
    <w:rsid w:val="00BF446E"/>
    <w:rsid w:val="00BF6E7B"/>
    <w:rsid w:val="00BF715E"/>
    <w:rsid w:val="00C01021"/>
    <w:rsid w:val="00C0141F"/>
    <w:rsid w:val="00C02105"/>
    <w:rsid w:val="00C048AF"/>
    <w:rsid w:val="00C077E0"/>
    <w:rsid w:val="00C07DE6"/>
    <w:rsid w:val="00C11862"/>
    <w:rsid w:val="00C154B5"/>
    <w:rsid w:val="00C17872"/>
    <w:rsid w:val="00C205E9"/>
    <w:rsid w:val="00C212FC"/>
    <w:rsid w:val="00C224A7"/>
    <w:rsid w:val="00C23F48"/>
    <w:rsid w:val="00C262BD"/>
    <w:rsid w:val="00C30E04"/>
    <w:rsid w:val="00C310C2"/>
    <w:rsid w:val="00C362E7"/>
    <w:rsid w:val="00C36525"/>
    <w:rsid w:val="00C37363"/>
    <w:rsid w:val="00C375AD"/>
    <w:rsid w:val="00C40EB3"/>
    <w:rsid w:val="00C41BD9"/>
    <w:rsid w:val="00C434FD"/>
    <w:rsid w:val="00C4350E"/>
    <w:rsid w:val="00C47AC7"/>
    <w:rsid w:val="00C5192E"/>
    <w:rsid w:val="00C52DE6"/>
    <w:rsid w:val="00C547DC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2C12"/>
    <w:rsid w:val="00C73ECB"/>
    <w:rsid w:val="00C77A70"/>
    <w:rsid w:val="00C80AE4"/>
    <w:rsid w:val="00C8119B"/>
    <w:rsid w:val="00C85068"/>
    <w:rsid w:val="00C857F1"/>
    <w:rsid w:val="00C85CE6"/>
    <w:rsid w:val="00C871C4"/>
    <w:rsid w:val="00C9005F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5FA4"/>
    <w:rsid w:val="00CB678B"/>
    <w:rsid w:val="00CC1228"/>
    <w:rsid w:val="00CC1A21"/>
    <w:rsid w:val="00CC4F58"/>
    <w:rsid w:val="00CC66DE"/>
    <w:rsid w:val="00CC76AB"/>
    <w:rsid w:val="00CC7C0C"/>
    <w:rsid w:val="00CD5694"/>
    <w:rsid w:val="00CD75E3"/>
    <w:rsid w:val="00CE2627"/>
    <w:rsid w:val="00CE2EB2"/>
    <w:rsid w:val="00CE525D"/>
    <w:rsid w:val="00CE5C99"/>
    <w:rsid w:val="00CE6AAA"/>
    <w:rsid w:val="00CF23EE"/>
    <w:rsid w:val="00CF41D3"/>
    <w:rsid w:val="00D11357"/>
    <w:rsid w:val="00D126F7"/>
    <w:rsid w:val="00D129F5"/>
    <w:rsid w:val="00D12ED9"/>
    <w:rsid w:val="00D141DD"/>
    <w:rsid w:val="00D14578"/>
    <w:rsid w:val="00D1494A"/>
    <w:rsid w:val="00D16414"/>
    <w:rsid w:val="00D21887"/>
    <w:rsid w:val="00D266DE"/>
    <w:rsid w:val="00D314E1"/>
    <w:rsid w:val="00D31689"/>
    <w:rsid w:val="00D325D3"/>
    <w:rsid w:val="00D355E8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1DDF"/>
    <w:rsid w:val="00D729A9"/>
    <w:rsid w:val="00D741F4"/>
    <w:rsid w:val="00D74FEC"/>
    <w:rsid w:val="00D75505"/>
    <w:rsid w:val="00D76431"/>
    <w:rsid w:val="00D76695"/>
    <w:rsid w:val="00D77DAB"/>
    <w:rsid w:val="00D80998"/>
    <w:rsid w:val="00D8228F"/>
    <w:rsid w:val="00D83CB1"/>
    <w:rsid w:val="00D851B3"/>
    <w:rsid w:val="00D86257"/>
    <w:rsid w:val="00D862DA"/>
    <w:rsid w:val="00D8640C"/>
    <w:rsid w:val="00D86456"/>
    <w:rsid w:val="00D870BD"/>
    <w:rsid w:val="00D90938"/>
    <w:rsid w:val="00D90ED8"/>
    <w:rsid w:val="00D92134"/>
    <w:rsid w:val="00D936C9"/>
    <w:rsid w:val="00DA3D7B"/>
    <w:rsid w:val="00DA54E1"/>
    <w:rsid w:val="00DA6721"/>
    <w:rsid w:val="00DA7189"/>
    <w:rsid w:val="00DA7370"/>
    <w:rsid w:val="00DB09D3"/>
    <w:rsid w:val="00DB1190"/>
    <w:rsid w:val="00DB27BA"/>
    <w:rsid w:val="00DB317F"/>
    <w:rsid w:val="00DB4594"/>
    <w:rsid w:val="00DB4AA3"/>
    <w:rsid w:val="00DB616D"/>
    <w:rsid w:val="00DB68FF"/>
    <w:rsid w:val="00DB7230"/>
    <w:rsid w:val="00DC0AD2"/>
    <w:rsid w:val="00DC32BA"/>
    <w:rsid w:val="00DC5671"/>
    <w:rsid w:val="00DC5FD8"/>
    <w:rsid w:val="00DC6503"/>
    <w:rsid w:val="00DC6A91"/>
    <w:rsid w:val="00DD6518"/>
    <w:rsid w:val="00DD6537"/>
    <w:rsid w:val="00DD6667"/>
    <w:rsid w:val="00DD74A2"/>
    <w:rsid w:val="00DE1C2E"/>
    <w:rsid w:val="00DE383B"/>
    <w:rsid w:val="00DE49BE"/>
    <w:rsid w:val="00DE5542"/>
    <w:rsid w:val="00DE6576"/>
    <w:rsid w:val="00DF4614"/>
    <w:rsid w:val="00DF6D10"/>
    <w:rsid w:val="00DF7B25"/>
    <w:rsid w:val="00E001E1"/>
    <w:rsid w:val="00E00B67"/>
    <w:rsid w:val="00E04840"/>
    <w:rsid w:val="00E06E86"/>
    <w:rsid w:val="00E10CE7"/>
    <w:rsid w:val="00E11438"/>
    <w:rsid w:val="00E128F2"/>
    <w:rsid w:val="00E135A1"/>
    <w:rsid w:val="00E1496E"/>
    <w:rsid w:val="00E16B20"/>
    <w:rsid w:val="00E16EF1"/>
    <w:rsid w:val="00E177A0"/>
    <w:rsid w:val="00E178AA"/>
    <w:rsid w:val="00E17F63"/>
    <w:rsid w:val="00E261D1"/>
    <w:rsid w:val="00E304D4"/>
    <w:rsid w:val="00E368C3"/>
    <w:rsid w:val="00E3764A"/>
    <w:rsid w:val="00E40D31"/>
    <w:rsid w:val="00E4365B"/>
    <w:rsid w:val="00E43C06"/>
    <w:rsid w:val="00E449B1"/>
    <w:rsid w:val="00E47B31"/>
    <w:rsid w:val="00E501F7"/>
    <w:rsid w:val="00E5082D"/>
    <w:rsid w:val="00E574A9"/>
    <w:rsid w:val="00E575A5"/>
    <w:rsid w:val="00E61355"/>
    <w:rsid w:val="00E613BC"/>
    <w:rsid w:val="00E61F1E"/>
    <w:rsid w:val="00E66349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780A"/>
    <w:rsid w:val="00E87B4B"/>
    <w:rsid w:val="00E94722"/>
    <w:rsid w:val="00E957FC"/>
    <w:rsid w:val="00EA0289"/>
    <w:rsid w:val="00EB11D1"/>
    <w:rsid w:val="00EB181B"/>
    <w:rsid w:val="00EB1CA4"/>
    <w:rsid w:val="00EB2DEA"/>
    <w:rsid w:val="00EB44BB"/>
    <w:rsid w:val="00EB6B13"/>
    <w:rsid w:val="00EB760F"/>
    <w:rsid w:val="00EC0F55"/>
    <w:rsid w:val="00EC341C"/>
    <w:rsid w:val="00ED1657"/>
    <w:rsid w:val="00ED5637"/>
    <w:rsid w:val="00ED6618"/>
    <w:rsid w:val="00EE1FA7"/>
    <w:rsid w:val="00EE4BF4"/>
    <w:rsid w:val="00EE71C9"/>
    <w:rsid w:val="00EF2EF5"/>
    <w:rsid w:val="00EF352D"/>
    <w:rsid w:val="00EF4AEE"/>
    <w:rsid w:val="00EF63C8"/>
    <w:rsid w:val="00EF6E41"/>
    <w:rsid w:val="00F03BF4"/>
    <w:rsid w:val="00F03F3B"/>
    <w:rsid w:val="00F07468"/>
    <w:rsid w:val="00F11DDC"/>
    <w:rsid w:val="00F12234"/>
    <w:rsid w:val="00F1302B"/>
    <w:rsid w:val="00F13F76"/>
    <w:rsid w:val="00F153C1"/>
    <w:rsid w:val="00F2176B"/>
    <w:rsid w:val="00F217E8"/>
    <w:rsid w:val="00F22D82"/>
    <w:rsid w:val="00F22FE8"/>
    <w:rsid w:val="00F23A8E"/>
    <w:rsid w:val="00F26D40"/>
    <w:rsid w:val="00F272E9"/>
    <w:rsid w:val="00F31115"/>
    <w:rsid w:val="00F340B6"/>
    <w:rsid w:val="00F361B7"/>
    <w:rsid w:val="00F40BAE"/>
    <w:rsid w:val="00F501B8"/>
    <w:rsid w:val="00F52F93"/>
    <w:rsid w:val="00F531ED"/>
    <w:rsid w:val="00F53EB6"/>
    <w:rsid w:val="00F54608"/>
    <w:rsid w:val="00F552F2"/>
    <w:rsid w:val="00F55E52"/>
    <w:rsid w:val="00F56504"/>
    <w:rsid w:val="00F57EF0"/>
    <w:rsid w:val="00F627E2"/>
    <w:rsid w:val="00F66DFC"/>
    <w:rsid w:val="00F71134"/>
    <w:rsid w:val="00F71520"/>
    <w:rsid w:val="00F7590F"/>
    <w:rsid w:val="00F75FE2"/>
    <w:rsid w:val="00F772CC"/>
    <w:rsid w:val="00F824AE"/>
    <w:rsid w:val="00F8569E"/>
    <w:rsid w:val="00F85A14"/>
    <w:rsid w:val="00F90EB0"/>
    <w:rsid w:val="00F913C6"/>
    <w:rsid w:val="00F94864"/>
    <w:rsid w:val="00F95BDD"/>
    <w:rsid w:val="00FA02EE"/>
    <w:rsid w:val="00FA07B6"/>
    <w:rsid w:val="00FA33A6"/>
    <w:rsid w:val="00FA7B80"/>
    <w:rsid w:val="00FB0B18"/>
    <w:rsid w:val="00FB18EA"/>
    <w:rsid w:val="00FB2AB5"/>
    <w:rsid w:val="00FB2ACA"/>
    <w:rsid w:val="00FB3156"/>
    <w:rsid w:val="00FB673E"/>
    <w:rsid w:val="00FB753B"/>
    <w:rsid w:val="00FC3D57"/>
    <w:rsid w:val="00FC3EB4"/>
    <w:rsid w:val="00FC4308"/>
    <w:rsid w:val="00FC51B8"/>
    <w:rsid w:val="00FC5FD1"/>
    <w:rsid w:val="00FC6C2D"/>
    <w:rsid w:val="00FD16AB"/>
    <w:rsid w:val="00FD2E3A"/>
    <w:rsid w:val="00FD3080"/>
    <w:rsid w:val="00FD38DC"/>
    <w:rsid w:val="00FD6457"/>
    <w:rsid w:val="00FD755E"/>
    <w:rsid w:val="00FD7CD3"/>
    <w:rsid w:val="00FE0735"/>
    <w:rsid w:val="00FE410C"/>
    <w:rsid w:val="00FE44C5"/>
    <w:rsid w:val="00FF0A92"/>
    <w:rsid w:val="00FF1021"/>
    <w:rsid w:val="00FF141F"/>
    <w:rsid w:val="00FF406D"/>
    <w:rsid w:val="00FF5A1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74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1506F3"/>
  </w:style>
  <w:style w:type="character" w:styleId="CommentReference">
    <w:name w:val="annotation reference"/>
    <w:basedOn w:val="DefaultParagraphFont"/>
    <w:uiPriority w:val="99"/>
    <w:semiHidden/>
    <w:unhideWhenUsed/>
    <w:locked/>
    <w:rsid w:val="008F5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F5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F5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b68f1881d6f48c18e3339e7d0ff05060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037292f78fed22af766e056bc9059971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fe401613-17f7-4f06-8965-7727c1377d6a"/>
    <ds:schemaRef ds:uri="24791096-e234-4cb0-97f2-a54a35e24ba4"/>
  </ds:schemaRefs>
</ds:datastoreItem>
</file>

<file path=customXml/itemProps3.xml><?xml version="1.0" encoding="utf-8"?>
<ds:datastoreItem xmlns:ds="http://schemas.openxmlformats.org/officeDocument/2006/customXml" ds:itemID="{3D135287-382B-4FDE-8D4A-CEFAC2971BD3}"/>
</file>

<file path=customXml/itemProps4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2024-05-20T05:06:00Z</dcterms:created>
  <dcterms:modified xsi:type="dcterms:W3CDTF">2024-05-21T22:23:00Z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