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0AA7" w14:textId="77777777" w:rsidR="00D24606" w:rsidRDefault="00D24606">
      <w:pPr>
        <w:pStyle w:val="OrdersTopLine"/>
      </w:pPr>
      <w:r>
        <w:t>HIGH COURT OF AUSTRALIA</w:t>
      </w:r>
    </w:p>
    <w:p w14:paraId="767C729F" w14:textId="77777777" w:rsidR="00D24606" w:rsidRDefault="00D24606">
      <w:pPr>
        <w:pStyle w:val="OrdersCentre"/>
      </w:pPr>
    </w:p>
    <w:p w14:paraId="1F462251" w14:textId="77777777" w:rsidR="00D24606" w:rsidRDefault="00D24606">
      <w:pPr>
        <w:pStyle w:val="OrdersCentre"/>
      </w:pPr>
      <w:r>
        <w:t>JAGOT J</w:t>
      </w:r>
    </w:p>
    <w:p w14:paraId="609F4E46" w14:textId="77777777" w:rsidR="00D24606" w:rsidRDefault="00D24606">
      <w:pPr>
        <w:pStyle w:val="OrdersCentre"/>
      </w:pPr>
    </w:p>
    <w:p w14:paraId="5A8AACE5" w14:textId="77777777" w:rsidR="00D24606" w:rsidRDefault="00D24606">
      <w:pPr>
        <w:pStyle w:val="CenteredBorder"/>
      </w:pPr>
    </w:p>
    <w:p w14:paraId="1517A263" w14:textId="77777777" w:rsidR="00D24606" w:rsidRDefault="00D24606">
      <w:pPr>
        <w:pStyle w:val="OrdersPartyName"/>
      </w:pPr>
    </w:p>
    <w:p w14:paraId="46BD7799" w14:textId="77777777" w:rsidR="00D24606" w:rsidRDefault="00D24606">
      <w:pPr>
        <w:pStyle w:val="OrdersPartyName"/>
      </w:pPr>
      <w:r>
        <w:t>DAQ22</w:t>
      </w:r>
      <w:r>
        <w:tab/>
        <w:t>PLAINTIFF</w:t>
      </w:r>
    </w:p>
    <w:p w14:paraId="6DA1F4EE" w14:textId="77777777" w:rsidR="00D24606" w:rsidRDefault="00D24606">
      <w:pPr>
        <w:pStyle w:val="OrdersPartyName"/>
      </w:pPr>
    </w:p>
    <w:p w14:paraId="793E522F" w14:textId="77777777" w:rsidR="00D24606" w:rsidRDefault="00D24606">
      <w:pPr>
        <w:pStyle w:val="OrdersPartyName"/>
      </w:pPr>
      <w:r>
        <w:t>AND</w:t>
      </w:r>
    </w:p>
    <w:p w14:paraId="66E3BB80" w14:textId="77777777" w:rsidR="00D24606" w:rsidRDefault="00D24606">
      <w:pPr>
        <w:pStyle w:val="OrdersPartyName"/>
      </w:pPr>
    </w:p>
    <w:p w14:paraId="499D0307" w14:textId="77777777" w:rsidR="00D24606" w:rsidRDefault="00D24606">
      <w:pPr>
        <w:pStyle w:val="OrdersPartyName"/>
      </w:pPr>
      <w:r>
        <w:t>FEDERAL COURT OF AUSTRALIA &amp; ANOR</w:t>
      </w:r>
      <w:r>
        <w:tab/>
        <w:t>DEFENDANTS</w:t>
      </w:r>
    </w:p>
    <w:p w14:paraId="747F821F" w14:textId="77777777" w:rsidR="00F61714" w:rsidRDefault="00F61714">
      <w:pPr>
        <w:pStyle w:val="OrdersPartyName"/>
      </w:pPr>
    </w:p>
    <w:p w14:paraId="202FF481" w14:textId="77777777" w:rsidR="00A4335E" w:rsidRDefault="00A4335E">
      <w:pPr>
        <w:pStyle w:val="OrdersPartyName"/>
      </w:pPr>
    </w:p>
    <w:p w14:paraId="5AAFE7EE" w14:textId="6B2CE8AB" w:rsidR="00D24606" w:rsidRDefault="00D24606">
      <w:pPr>
        <w:pStyle w:val="OrdersCentre"/>
      </w:pPr>
      <w:r>
        <w:t xml:space="preserve">[2024] HCASJ </w:t>
      </w:r>
      <w:r w:rsidR="009C234B">
        <w:t>27</w:t>
      </w:r>
    </w:p>
    <w:p w14:paraId="29617B4A" w14:textId="77777777" w:rsidR="00D24606" w:rsidRDefault="00D24606">
      <w:pPr>
        <w:pStyle w:val="OrdersCentreItalics"/>
      </w:pPr>
      <w:r>
        <w:t>Date of Judgment: 25 June 2024</w:t>
      </w:r>
    </w:p>
    <w:p w14:paraId="1BC399F4" w14:textId="77777777" w:rsidR="00D24606" w:rsidRDefault="00D24606">
      <w:pPr>
        <w:pStyle w:val="OrdersCentre"/>
      </w:pPr>
      <w:r>
        <w:t>M18 of 2024</w:t>
      </w:r>
    </w:p>
    <w:p w14:paraId="39F5F7D6" w14:textId="77777777" w:rsidR="00D24606" w:rsidRDefault="00D24606">
      <w:pPr>
        <w:pStyle w:val="OrdersCentre"/>
      </w:pPr>
    </w:p>
    <w:p w14:paraId="2C31B08C" w14:textId="38AD471A" w:rsidR="00D24606" w:rsidRDefault="00D24606">
      <w:pPr>
        <w:pStyle w:val="OrdersMatter"/>
      </w:pPr>
      <w:r>
        <w:t>ORDERS</w:t>
      </w:r>
    </w:p>
    <w:p w14:paraId="094EC29B" w14:textId="77777777" w:rsidR="00D24606" w:rsidRDefault="00D24606">
      <w:pPr>
        <w:pStyle w:val="OrdersMatter"/>
      </w:pPr>
    </w:p>
    <w:p w14:paraId="11E0E6D7" w14:textId="77777777" w:rsidR="0008128B" w:rsidRPr="00681561" w:rsidRDefault="00D24606" w:rsidP="0008128B">
      <w:pPr>
        <w:pStyle w:val="OrdersText"/>
      </w:pPr>
      <w:r>
        <w:t>1.</w:t>
      </w:r>
      <w:r>
        <w:tab/>
      </w:r>
      <w:r w:rsidR="0008128B" w:rsidRPr="00681561">
        <w:t xml:space="preserve">The time fixed for the filing of this application be extended from the </w:t>
      </w:r>
      <w:proofErr w:type="gramStart"/>
      <w:r w:rsidR="0008128B" w:rsidRPr="00681561">
        <w:t>time period</w:t>
      </w:r>
      <w:proofErr w:type="gramEnd"/>
      <w:r w:rsidR="0008128B" w:rsidRPr="00681561">
        <w:t xml:space="preserve"> prescribed by r 25.02.1 of the High Court Rules</w:t>
      </w:r>
      <w:r w:rsidR="0008128B" w:rsidRPr="00681561">
        <w:rPr>
          <w:iCs/>
        </w:rPr>
        <w:t xml:space="preserve"> 2004</w:t>
      </w:r>
      <w:r w:rsidR="0008128B" w:rsidRPr="00681561">
        <w:t> (</w:t>
      </w:r>
      <w:proofErr w:type="spellStart"/>
      <w:r w:rsidR="0008128B" w:rsidRPr="00681561">
        <w:t>Cth</w:t>
      </w:r>
      <w:proofErr w:type="spellEnd"/>
      <w:r w:rsidR="0008128B" w:rsidRPr="00681561">
        <w:t>) to the date it was accepted for filing.</w:t>
      </w:r>
    </w:p>
    <w:p w14:paraId="7C046ECA" w14:textId="77777777" w:rsidR="0008128B" w:rsidRPr="00681561" w:rsidRDefault="0008128B" w:rsidP="0008128B">
      <w:pPr>
        <w:pStyle w:val="OrdersText"/>
      </w:pPr>
      <w:r w:rsidRPr="00681561">
        <w:t>2</w:t>
      </w:r>
      <w:r>
        <w:t>.</w:t>
      </w:r>
      <w:r w:rsidRPr="00681561">
        <w:tab/>
        <w:t>The writ of certiorari be issued quashing the orders of the first defendant, the Federal Court of Australia, made on 8 December 2023 in matter VID499 of 2022.</w:t>
      </w:r>
    </w:p>
    <w:p w14:paraId="511B2D6C" w14:textId="71B49107" w:rsidR="0008128B" w:rsidRPr="00681561" w:rsidRDefault="0008128B" w:rsidP="0008128B">
      <w:pPr>
        <w:pStyle w:val="OrdersText"/>
      </w:pPr>
      <w:r w:rsidRPr="00681561">
        <w:t>3</w:t>
      </w:r>
      <w:r>
        <w:t>.</w:t>
      </w:r>
      <w:r w:rsidRPr="00681561">
        <w:tab/>
        <w:t xml:space="preserve">The writ of mandamus be issued requiring the first defendant, the Federal Court of Australia, to determine according to law the plaintiff's application under s 477A of the </w:t>
      </w:r>
      <w:r w:rsidRPr="00681561">
        <w:rPr>
          <w:iCs/>
        </w:rPr>
        <w:t>Migration Act 1958</w:t>
      </w:r>
      <w:r w:rsidRPr="00681561">
        <w:t> (</w:t>
      </w:r>
      <w:proofErr w:type="spellStart"/>
      <w:r w:rsidRPr="00681561">
        <w:t>Cth</w:t>
      </w:r>
      <w:proofErr w:type="spellEnd"/>
      <w:r w:rsidRPr="00681561">
        <w:t>) (</w:t>
      </w:r>
      <w:r w:rsidR="00944012">
        <w:t>"</w:t>
      </w:r>
      <w:r w:rsidRPr="00681561">
        <w:t>the Act</w:t>
      </w:r>
      <w:r w:rsidR="00944012">
        <w:t>"</w:t>
      </w:r>
      <w:r w:rsidRPr="00681561">
        <w:t>) for an order extending the time within which he may file an application for judicial review in relation to a decision of the second defendant</w:t>
      </w:r>
      <w:r w:rsidR="00E06C49">
        <w:t>,</w:t>
      </w:r>
      <w:r w:rsidRPr="00681561">
        <w:t xml:space="preserve"> the Minister</w:t>
      </w:r>
      <w:r w:rsidR="00E06C49">
        <w:t>,</w:t>
      </w:r>
      <w:r w:rsidRPr="00681561">
        <w:t xml:space="preserve"> not to revoke the cancellation of his visa under s 501CA(4) of the Act.</w:t>
      </w:r>
    </w:p>
    <w:p w14:paraId="1AAA73C2" w14:textId="77777777" w:rsidR="0008128B" w:rsidRDefault="0008128B" w:rsidP="0008128B">
      <w:pPr>
        <w:pStyle w:val="OrdersText"/>
      </w:pPr>
      <w:r w:rsidRPr="00681561">
        <w:t>4</w:t>
      </w:r>
      <w:r>
        <w:t>.</w:t>
      </w:r>
      <w:r w:rsidRPr="00681561">
        <w:tab/>
        <w:t>The second defendant pay the plaintiff's costs of this application, and below.</w:t>
      </w:r>
    </w:p>
    <w:p w14:paraId="795354DB" w14:textId="77777777" w:rsidR="00D24606" w:rsidRDefault="00D24606">
      <w:pPr>
        <w:pStyle w:val="OrdersText"/>
      </w:pPr>
    </w:p>
    <w:p w14:paraId="0CEB55FD" w14:textId="77777777" w:rsidR="00D24606" w:rsidRDefault="00D24606">
      <w:pPr>
        <w:pStyle w:val="OrdersBodyHeading"/>
      </w:pPr>
      <w:r>
        <w:t>Representation</w:t>
      </w:r>
    </w:p>
    <w:p w14:paraId="3B4E8B46" w14:textId="77777777" w:rsidR="00D24606" w:rsidRDefault="00D24606">
      <w:pPr>
        <w:pStyle w:val="OrdersBodyHeading"/>
      </w:pPr>
    </w:p>
    <w:p w14:paraId="6F11AB54" w14:textId="77777777" w:rsidR="00A4335E" w:rsidRPr="00A4335E" w:rsidRDefault="00A4335E" w:rsidP="00A433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rsidRPr="00A4335E">
        <w:rPr>
          <w:rFonts w:ascii="Times New Roman" w:hAnsi="Times New Roman"/>
          <w:szCs w:val="20"/>
          <w:lang w:val="en-GB"/>
        </w:rPr>
        <w:t>The plaintiff is represented by Norton Rose Fulbright Australia</w:t>
      </w:r>
    </w:p>
    <w:p w14:paraId="13E6ACBB" w14:textId="77777777" w:rsidR="00A4335E" w:rsidRPr="00A4335E" w:rsidRDefault="00A4335E" w:rsidP="00A433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p>
    <w:p w14:paraId="137D351D" w14:textId="77777777" w:rsidR="00A4335E" w:rsidRPr="00A4335E" w:rsidRDefault="00A4335E" w:rsidP="00A433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rsidRPr="00A4335E">
        <w:rPr>
          <w:rFonts w:ascii="Times New Roman" w:hAnsi="Times New Roman"/>
          <w:szCs w:val="20"/>
          <w:lang w:val="en-GB"/>
        </w:rPr>
        <w:t xml:space="preserve">The second defendant is represented by </w:t>
      </w:r>
      <w:proofErr w:type="spellStart"/>
      <w:proofErr w:type="gramStart"/>
      <w:r w:rsidRPr="00A4335E">
        <w:rPr>
          <w:rFonts w:ascii="Times New Roman" w:hAnsi="Times New Roman"/>
          <w:szCs w:val="20"/>
          <w:lang w:val="en-GB"/>
        </w:rPr>
        <w:t>MinterEllison</w:t>
      </w:r>
      <w:proofErr w:type="spellEnd"/>
      <w:proofErr w:type="gramEnd"/>
    </w:p>
    <w:p w14:paraId="456B4F55" w14:textId="77777777" w:rsidR="00A4335E" w:rsidRPr="00A4335E" w:rsidRDefault="00A4335E" w:rsidP="00A433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p>
    <w:p w14:paraId="12B66344" w14:textId="6DB30DD6" w:rsidR="00D24606" w:rsidRDefault="00A4335E" w:rsidP="00A4335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sidRPr="00A4335E">
        <w:rPr>
          <w:rFonts w:ascii="Times New Roman" w:hAnsi="Times New Roman"/>
          <w:szCs w:val="20"/>
          <w:lang w:val="en-GB"/>
        </w:rPr>
        <w:t>Submitting appearance for the first defendant</w:t>
      </w:r>
    </w:p>
    <w:p w14:paraId="18D69E91" w14:textId="7C8DEA7A" w:rsidR="00D24606" w:rsidRDefault="00D246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2C5F57C" w14:textId="77777777" w:rsidR="005A782D" w:rsidRDefault="005A782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6B69474C" w14:textId="77777777" w:rsidR="00D24606" w:rsidRDefault="00D24606" w:rsidP="00324C95">
      <w:pPr>
        <w:pStyle w:val="NormalBody"/>
        <w:tabs>
          <w:tab w:val="clear" w:pos="720"/>
          <w:tab w:val="left" w:pos="0"/>
        </w:tabs>
        <w:spacing w:after="260" w:line="280" w:lineRule="exact"/>
        <w:ind w:right="0"/>
        <w:jc w:val="both"/>
        <w:rPr>
          <w:rFonts w:ascii="Times New Roman" w:hAnsi="Times New Roman"/>
        </w:rPr>
        <w:sectPr w:rsidR="00D24606" w:rsidSect="00D24606">
          <w:headerReference w:type="default" r:id="rId8"/>
          <w:pgSz w:w="11907" w:h="16839" w:code="9"/>
          <w:pgMar w:top="1440" w:right="1984" w:bottom="1984" w:left="1984" w:header="720" w:footer="720" w:gutter="0"/>
          <w:cols w:space="720"/>
          <w:titlePg/>
          <w:docGrid w:linePitch="354"/>
        </w:sectPr>
      </w:pPr>
    </w:p>
    <w:p w14:paraId="46D7779C" w14:textId="53147D4D" w:rsidR="00324C95" w:rsidRPr="00324C95" w:rsidRDefault="00324C95" w:rsidP="00324C95">
      <w:pPr>
        <w:pStyle w:val="NormalBody"/>
        <w:tabs>
          <w:tab w:val="clear" w:pos="720"/>
          <w:tab w:val="left" w:pos="0"/>
        </w:tabs>
        <w:spacing w:after="260" w:line="280" w:lineRule="exact"/>
        <w:ind w:right="0"/>
        <w:jc w:val="both"/>
        <w:rPr>
          <w:rFonts w:ascii="Times New Roman" w:hAnsi="Times New Roman"/>
        </w:rPr>
      </w:pPr>
      <w:r w:rsidRPr="00324C95">
        <w:rPr>
          <w:rFonts w:ascii="Times New Roman" w:hAnsi="Times New Roman"/>
        </w:rPr>
        <w:lastRenderedPageBreak/>
        <w:t xml:space="preserve">JAGOT J.   </w:t>
      </w:r>
    </w:p>
    <w:p w14:paraId="0A2552E1" w14:textId="72DA96C8" w:rsidR="00A73989" w:rsidRPr="00324C95" w:rsidRDefault="00331A48" w:rsidP="00324C95">
      <w:pPr>
        <w:pStyle w:val="HeadingL1"/>
        <w:spacing w:after="260" w:line="280" w:lineRule="exact"/>
        <w:ind w:right="0"/>
        <w:jc w:val="both"/>
        <w:rPr>
          <w:rFonts w:ascii="Times New Roman" w:hAnsi="Times New Roman"/>
        </w:rPr>
      </w:pPr>
      <w:r w:rsidRPr="00324C95">
        <w:rPr>
          <w:rFonts w:ascii="Times New Roman" w:hAnsi="Times New Roman"/>
        </w:rPr>
        <w:t>The application</w:t>
      </w:r>
    </w:p>
    <w:p w14:paraId="68CE47E5" w14:textId="311CCB86" w:rsidR="009A257F" w:rsidRPr="00324C95" w:rsidRDefault="00331A48"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61621B" w:rsidRPr="00324C95">
        <w:rPr>
          <w:rFonts w:ascii="Times New Roman" w:hAnsi="Times New Roman"/>
        </w:rPr>
        <w:t xml:space="preserve">These reasons for judgment concern an application for a constitutional </w:t>
      </w:r>
      <w:r w:rsidR="0091733C" w:rsidRPr="00324C95">
        <w:rPr>
          <w:rFonts w:ascii="Times New Roman" w:hAnsi="Times New Roman"/>
        </w:rPr>
        <w:t xml:space="preserve">or other </w:t>
      </w:r>
      <w:r w:rsidR="0061621B" w:rsidRPr="00324C95">
        <w:rPr>
          <w:rFonts w:ascii="Times New Roman" w:hAnsi="Times New Roman"/>
        </w:rPr>
        <w:t xml:space="preserve">writ in which the </w:t>
      </w:r>
      <w:r w:rsidR="001172D9" w:rsidRPr="00324C95">
        <w:rPr>
          <w:rFonts w:ascii="Times New Roman" w:hAnsi="Times New Roman"/>
        </w:rPr>
        <w:t xml:space="preserve">plaintiff </w:t>
      </w:r>
      <w:r w:rsidR="0061621B" w:rsidRPr="00324C95">
        <w:rPr>
          <w:rFonts w:ascii="Times New Roman" w:hAnsi="Times New Roman"/>
        </w:rPr>
        <w:t>seeks</w:t>
      </w:r>
      <w:r w:rsidR="001931DD" w:rsidRPr="00324C95">
        <w:rPr>
          <w:rFonts w:ascii="Times New Roman" w:hAnsi="Times New Roman"/>
        </w:rPr>
        <w:t>, relevantly: (a) </w:t>
      </w:r>
      <w:r w:rsidR="0061621B" w:rsidRPr="00324C95">
        <w:rPr>
          <w:rFonts w:ascii="Times New Roman" w:hAnsi="Times New Roman"/>
        </w:rPr>
        <w:t xml:space="preserve">certiorari to quash </w:t>
      </w:r>
      <w:r w:rsidR="001931DD" w:rsidRPr="00324C95">
        <w:rPr>
          <w:rFonts w:ascii="Times New Roman" w:hAnsi="Times New Roman"/>
        </w:rPr>
        <w:t xml:space="preserve">a </w:t>
      </w:r>
      <w:r w:rsidR="0061621B" w:rsidRPr="00324C95">
        <w:rPr>
          <w:rFonts w:ascii="Times New Roman" w:hAnsi="Times New Roman"/>
        </w:rPr>
        <w:t xml:space="preserve">decision of </w:t>
      </w:r>
      <w:r w:rsidR="001362A3" w:rsidRPr="00324C95">
        <w:rPr>
          <w:rFonts w:ascii="Times New Roman" w:hAnsi="Times New Roman"/>
        </w:rPr>
        <w:t xml:space="preserve">O'Sullivan J </w:t>
      </w:r>
      <w:r w:rsidR="00A13187" w:rsidRPr="00324C95">
        <w:rPr>
          <w:rFonts w:ascii="Times New Roman" w:hAnsi="Times New Roman"/>
        </w:rPr>
        <w:t xml:space="preserve">("the primary judge") </w:t>
      </w:r>
      <w:r w:rsidR="001362A3" w:rsidRPr="00324C95">
        <w:rPr>
          <w:rFonts w:ascii="Times New Roman" w:hAnsi="Times New Roman"/>
        </w:rPr>
        <w:t>in the Federal Court of Australia</w:t>
      </w:r>
      <w:r w:rsidR="00CE1E4A" w:rsidRPr="00324C95">
        <w:rPr>
          <w:rStyle w:val="FootnoteReference"/>
          <w:rFonts w:ascii="Times New Roman" w:hAnsi="Times New Roman"/>
          <w:sz w:val="24"/>
        </w:rPr>
        <w:footnoteReference w:id="2"/>
      </w:r>
      <w:r w:rsidR="001362A3" w:rsidRPr="00324C95">
        <w:rPr>
          <w:rFonts w:ascii="Times New Roman" w:hAnsi="Times New Roman"/>
        </w:rPr>
        <w:t xml:space="preserve"> </w:t>
      </w:r>
      <w:r w:rsidR="004E4A3D" w:rsidRPr="00324C95">
        <w:rPr>
          <w:rFonts w:ascii="Times New Roman" w:hAnsi="Times New Roman"/>
        </w:rPr>
        <w:t xml:space="preserve">dismissing the </w:t>
      </w:r>
      <w:r w:rsidR="001172D9" w:rsidRPr="00324C95">
        <w:rPr>
          <w:rFonts w:ascii="Times New Roman" w:hAnsi="Times New Roman"/>
        </w:rPr>
        <w:t xml:space="preserve">plaintiff's </w:t>
      </w:r>
      <w:r w:rsidR="004E4A3D" w:rsidRPr="00324C95">
        <w:rPr>
          <w:rFonts w:ascii="Times New Roman" w:hAnsi="Times New Roman"/>
        </w:rPr>
        <w:t xml:space="preserve">application for an extension of time to file an application </w:t>
      </w:r>
      <w:r w:rsidR="00BE085C" w:rsidRPr="00324C95">
        <w:rPr>
          <w:rFonts w:ascii="Times New Roman" w:hAnsi="Times New Roman"/>
        </w:rPr>
        <w:t xml:space="preserve">("the extension of time application") </w:t>
      </w:r>
      <w:r w:rsidR="006C43B8" w:rsidRPr="00324C95">
        <w:rPr>
          <w:rFonts w:ascii="Times New Roman" w:hAnsi="Times New Roman"/>
        </w:rPr>
        <w:t xml:space="preserve">for judicial review of the Minister's decision </w:t>
      </w:r>
      <w:r w:rsidR="00A8562D" w:rsidRPr="00324C95">
        <w:rPr>
          <w:rFonts w:ascii="Times New Roman" w:hAnsi="Times New Roman"/>
        </w:rPr>
        <w:t xml:space="preserve">under s 501CA(4) of the </w:t>
      </w:r>
      <w:r w:rsidR="00A8562D" w:rsidRPr="00324C95">
        <w:rPr>
          <w:rFonts w:ascii="Times New Roman" w:hAnsi="Times New Roman"/>
          <w:i/>
          <w:iCs/>
        </w:rPr>
        <w:t>Migration Act 1958</w:t>
      </w:r>
      <w:r w:rsidR="00640667" w:rsidRPr="00324C95">
        <w:rPr>
          <w:rFonts w:ascii="Times New Roman" w:hAnsi="Times New Roman"/>
        </w:rPr>
        <w:t> </w:t>
      </w:r>
      <w:r w:rsidR="00A8562D" w:rsidRPr="00324C95">
        <w:rPr>
          <w:rFonts w:ascii="Times New Roman" w:hAnsi="Times New Roman"/>
        </w:rPr>
        <w:t>(</w:t>
      </w:r>
      <w:proofErr w:type="spellStart"/>
      <w:r w:rsidR="00A8562D" w:rsidRPr="00324C95">
        <w:rPr>
          <w:rFonts w:ascii="Times New Roman" w:hAnsi="Times New Roman"/>
        </w:rPr>
        <w:t>Cth</w:t>
      </w:r>
      <w:proofErr w:type="spellEnd"/>
      <w:r w:rsidR="00A8562D" w:rsidRPr="00324C95">
        <w:rPr>
          <w:rFonts w:ascii="Times New Roman" w:hAnsi="Times New Roman"/>
        </w:rPr>
        <w:t xml:space="preserve">) </w:t>
      </w:r>
      <w:r w:rsidR="006C43B8" w:rsidRPr="00324C95">
        <w:rPr>
          <w:rFonts w:ascii="Times New Roman" w:hAnsi="Times New Roman"/>
        </w:rPr>
        <w:t xml:space="preserve">not to revoke the mandatory cancellation of the </w:t>
      </w:r>
      <w:r w:rsidR="001172D9" w:rsidRPr="00324C95">
        <w:rPr>
          <w:rFonts w:ascii="Times New Roman" w:hAnsi="Times New Roman"/>
        </w:rPr>
        <w:t>plaintiff</w:t>
      </w:r>
      <w:r w:rsidR="008B5EE3" w:rsidRPr="00324C95">
        <w:rPr>
          <w:rFonts w:ascii="Times New Roman" w:hAnsi="Times New Roman"/>
        </w:rPr>
        <w:t xml:space="preserve">'s </w:t>
      </w:r>
      <w:r w:rsidR="006C43B8" w:rsidRPr="00324C95">
        <w:rPr>
          <w:rFonts w:ascii="Times New Roman" w:hAnsi="Times New Roman"/>
        </w:rPr>
        <w:t>protection visa</w:t>
      </w:r>
      <w:r w:rsidR="00704EF8" w:rsidRPr="00324C95">
        <w:rPr>
          <w:rFonts w:ascii="Times New Roman" w:hAnsi="Times New Roman"/>
        </w:rPr>
        <w:t xml:space="preserve"> </w:t>
      </w:r>
      <w:r w:rsidR="004245FF" w:rsidRPr="00324C95">
        <w:rPr>
          <w:rFonts w:ascii="Times New Roman" w:hAnsi="Times New Roman"/>
        </w:rPr>
        <w:t>("the judicial review application")</w:t>
      </w:r>
      <w:r w:rsidR="006C43B8" w:rsidRPr="00324C95">
        <w:rPr>
          <w:rFonts w:ascii="Times New Roman" w:hAnsi="Times New Roman"/>
        </w:rPr>
        <w:t xml:space="preserve">; and </w:t>
      </w:r>
      <w:r w:rsidR="00CE1E4A" w:rsidRPr="00324C95">
        <w:rPr>
          <w:rFonts w:ascii="Times New Roman" w:hAnsi="Times New Roman"/>
        </w:rPr>
        <w:t xml:space="preserve">(b) mandamus </w:t>
      </w:r>
      <w:r w:rsidR="00704EF8" w:rsidRPr="00324C95">
        <w:rPr>
          <w:rFonts w:ascii="Times New Roman" w:hAnsi="Times New Roman"/>
        </w:rPr>
        <w:t xml:space="preserve">requiring the Federal Court of Australia to determine </w:t>
      </w:r>
      <w:r w:rsidR="004245FF" w:rsidRPr="00324C95">
        <w:rPr>
          <w:rFonts w:ascii="Times New Roman" w:hAnsi="Times New Roman"/>
        </w:rPr>
        <w:t>according</w:t>
      </w:r>
      <w:r w:rsidR="00704EF8" w:rsidRPr="00324C95">
        <w:rPr>
          <w:rFonts w:ascii="Times New Roman" w:hAnsi="Times New Roman"/>
        </w:rPr>
        <w:t xml:space="preserve"> to law th</w:t>
      </w:r>
      <w:r w:rsidR="004245FF" w:rsidRPr="00324C95">
        <w:rPr>
          <w:rFonts w:ascii="Times New Roman" w:hAnsi="Times New Roman"/>
        </w:rPr>
        <w:t>e</w:t>
      </w:r>
      <w:r w:rsidR="00BE085C" w:rsidRPr="00324C95">
        <w:rPr>
          <w:rFonts w:ascii="Times New Roman" w:hAnsi="Times New Roman"/>
        </w:rPr>
        <w:t xml:space="preserve"> extension of time application</w:t>
      </w:r>
      <w:r w:rsidR="00A8562D" w:rsidRPr="00324C95">
        <w:rPr>
          <w:rFonts w:ascii="Times New Roman" w:hAnsi="Times New Roman"/>
        </w:rPr>
        <w:t xml:space="preserve">. </w:t>
      </w:r>
    </w:p>
    <w:p w14:paraId="282B4C4A" w14:textId="6D1B3789" w:rsidR="00331A48" w:rsidRPr="00324C95" w:rsidRDefault="009A257F" w:rsidP="00324C95">
      <w:pPr>
        <w:pStyle w:val="FixListStyle"/>
        <w:spacing w:after="260" w:line="280" w:lineRule="exact"/>
        <w:ind w:right="0"/>
        <w:jc w:val="both"/>
        <w:rPr>
          <w:rFonts w:ascii="Times New Roman" w:hAnsi="Times New Roman"/>
        </w:rPr>
      </w:pPr>
      <w:r w:rsidRPr="00324C95">
        <w:rPr>
          <w:rFonts w:ascii="Times New Roman" w:hAnsi="Times New Roman"/>
        </w:rPr>
        <w:tab/>
        <w:t xml:space="preserve">The </w:t>
      </w:r>
      <w:r w:rsidR="008B5EE3" w:rsidRPr="00324C95">
        <w:rPr>
          <w:rFonts w:ascii="Times New Roman" w:hAnsi="Times New Roman"/>
        </w:rPr>
        <w:t xml:space="preserve">plaintiff </w:t>
      </w:r>
      <w:r w:rsidRPr="00324C95">
        <w:rPr>
          <w:rFonts w:ascii="Times New Roman" w:hAnsi="Times New Roman"/>
        </w:rPr>
        <w:t xml:space="preserve">requires an extension of time to </w:t>
      </w:r>
      <w:r w:rsidR="0043276B" w:rsidRPr="00324C95">
        <w:rPr>
          <w:rFonts w:ascii="Times New Roman" w:hAnsi="Times New Roman"/>
        </w:rPr>
        <w:t>file</w:t>
      </w:r>
      <w:r w:rsidRPr="00324C95">
        <w:rPr>
          <w:rFonts w:ascii="Times New Roman" w:hAnsi="Times New Roman"/>
        </w:rPr>
        <w:t xml:space="preserve"> the application </w:t>
      </w:r>
      <w:r w:rsidR="00093FE8" w:rsidRPr="00324C95">
        <w:rPr>
          <w:rFonts w:ascii="Times New Roman" w:hAnsi="Times New Roman"/>
        </w:rPr>
        <w:t>in this Court</w:t>
      </w:r>
      <w:r w:rsidRPr="00324C95">
        <w:rPr>
          <w:rFonts w:ascii="Times New Roman" w:hAnsi="Times New Roman"/>
        </w:rPr>
        <w:t xml:space="preserve">, but the Minister </w:t>
      </w:r>
      <w:r w:rsidR="00512A4C" w:rsidRPr="00324C95">
        <w:rPr>
          <w:rFonts w:ascii="Times New Roman" w:hAnsi="Times New Roman"/>
        </w:rPr>
        <w:t xml:space="preserve">(the second defendant in these proceedings) </w:t>
      </w:r>
      <w:r w:rsidRPr="00324C95">
        <w:rPr>
          <w:rFonts w:ascii="Times New Roman" w:hAnsi="Times New Roman"/>
        </w:rPr>
        <w:t>does not oppose that extension of time application. That extension of time application should be granted because: (a) </w:t>
      </w:r>
      <w:r w:rsidR="00B864FE" w:rsidRPr="00324C95">
        <w:rPr>
          <w:rFonts w:ascii="Times New Roman" w:hAnsi="Times New Roman"/>
        </w:rPr>
        <w:t>it is not opposed; (b) </w:t>
      </w:r>
      <w:r w:rsidR="004133FA" w:rsidRPr="00324C95">
        <w:rPr>
          <w:rFonts w:ascii="Times New Roman" w:hAnsi="Times New Roman"/>
        </w:rPr>
        <w:t xml:space="preserve">the required extension of time is relatively short; and (c) there is an adequate explanation for the failure to file the application for the constitutional writ within the time required by </w:t>
      </w:r>
      <w:r w:rsidR="00D22EB4" w:rsidRPr="00324C95">
        <w:rPr>
          <w:rFonts w:ascii="Times New Roman" w:hAnsi="Times New Roman"/>
        </w:rPr>
        <w:t>r</w:t>
      </w:r>
      <w:r w:rsidR="004133FA" w:rsidRPr="00324C95">
        <w:rPr>
          <w:rFonts w:ascii="Times New Roman" w:hAnsi="Times New Roman"/>
        </w:rPr>
        <w:t> 25.02</w:t>
      </w:r>
      <w:r w:rsidR="00106305" w:rsidRPr="00324C95">
        <w:rPr>
          <w:rFonts w:ascii="Times New Roman" w:hAnsi="Times New Roman"/>
        </w:rPr>
        <w:t xml:space="preserve">.1 of the </w:t>
      </w:r>
      <w:r w:rsidR="00106305" w:rsidRPr="00324C95">
        <w:rPr>
          <w:rFonts w:ascii="Times New Roman" w:hAnsi="Times New Roman"/>
          <w:i/>
          <w:iCs/>
        </w:rPr>
        <w:t>High Court Rules 2004</w:t>
      </w:r>
      <w:r w:rsidR="00D22EB4" w:rsidRPr="00324C95">
        <w:rPr>
          <w:rFonts w:ascii="Times New Roman" w:hAnsi="Times New Roman"/>
        </w:rPr>
        <w:t> </w:t>
      </w:r>
      <w:r w:rsidR="00106305" w:rsidRPr="00324C95">
        <w:rPr>
          <w:rFonts w:ascii="Times New Roman" w:hAnsi="Times New Roman"/>
        </w:rPr>
        <w:t>(</w:t>
      </w:r>
      <w:proofErr w:type="spellStart"/>
      <w:r w:rsidR="00106305" w:rsidRPr="00324C95">
        <w:rPr>
          <w:rFonts w:ascii="Times New Roman" w:hAnsi="Times New Roman"/>
        </w:rPr>
        <w:t>Cth</w:t>
      </w:r>
      <w:proofErr w:type="spellEnd"/>
      <w:r w:rsidR="00106305" w:rsidRPr="00324C95">
        <w:rPr>
          <w:rFonts w:ascii="Times New Roman" w:hAnsi="Times New Roman"/>
        </w:rPr>
        <w:t xml:space="preserve">). </w:t>
      </w:r>
      <w:r w:rsidR="006C5FC3" w:rsidRPr="00324C95">
        <w:rPr>
          <w:rFonts w:ascii="Times New Roman" w:hAnsi="Times New Roman"/>
        </w:rPr>
        <w:t xml:space="preserve">As explained below, the constitutional writs sought must also be granted. </w:t>
      </w:r>
    </w:p>
    <w:p w14:paraId="7D436FB9" w14:textId="2331CDF2" w:rsidR="00F00E9F" w:rsidRPr="00324C95" w:rsidRDefault="00DB6321" w:rsidP="00324C95">
      <w:pPr>
        <w:pStyle w:val="HeadingL1"/>
        <w:spacing w:after="260" w:line="280" w:lineRule="exact"/>
        <w:ind w:right="0"/>
        <w:jc w:val="both"/>
        <w:rPr>
          <w:rFonts w:ascii="Times New Roman" w:hAnsi="Times New Roman"/>
        </w:rPr>
      </w:pPr>
      <w:r w:rsidRPr="00324C95">
        <w:rPr>
          <w:rFonts w:ascii="Times New Roman" w:hAnsi="Times New Roman"/>
        </w:rPr>
        <w:t>Background to</w:t>
      </w:r>
      <w:r w:rsidR="00F00E9F" w:rsidRPr="00324C95">
        <w:rPr>
          <w:rFonts w:ascii="Times New Roman" w:hAnsi="Times New Roman"/>
        </w:rPr>
        <w:t xml:space="preserve"> application for constitutional </w:t>
      </w:r>
      <w:r w:rsidR="004131A2" w:rsidRPr="00324C95">
        <w:rPr>
          <w:rFonts w:ascii="Times New Roman" w:hAnsi="Times New Roman"/>
        </w:rPr>
        <w:t xml:space="preserve">or other </w:t>
      </w:r>
      <w:r w:rsidR="00F00E9F" w:rsidRPr="00324C95">
        <w:rPr>
          <w:rFonts w:ascii="Times New Roman" w:hAnsi="Times New Roman"/>
        </w:rPr>
        <w:t>writ</w:t>
      </w:r>
    </w:p>
    <w:p w14:paraId="0F87E2E4" w14:textId="510727B6" w:rsidR="005949E5" w:rsidRPr="00324C95" w:rsidRDefault="00F00E9F"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5949E5" w:rsidRPr="00324C95">
        <w:rPr>
          <w:rFonts w:ascii="Times New Roman" w:hAnsi="Times New Roman"/>
        </w:rPr>
        <w:t>The application for the constitutional</w:t>
      </w:r>
      <w:r w:rsidR="004131A2" w:rsidRPr="00324C95">
        <w:rPr>
          <w:rFonts w:ascii="Times New Roman" w:hAnsi="Times New Roman"/>
        </w:rPr>
        <w:t xml:space="preserve"> or other</w:t>
      </w:r>
      <w:r w:rsidR="005949E5" w:rsidRPr="00324C95">
        <w:rPr>
          <w:rFonts w:ascii="Times New Roman" w:hAnsi="Times New Roman"/>
        </w:rPr>
        <w:t xml:space="preserve"> writ </w:t>
      </w:r>
      <w:r w:rsidR="00B749D3" w:rsidRPr="00324C95">
        <w:rPr>
          <w:rFonts w:ascii="Times New Roman" w:hAnsi="Times New Roman"/>
        </w:rPr>
        <w:t>is brought on two grounds. First, that</w:t>
      </w:r>
      <w:r w:rsidR="00F05588" w:rsidRPr="00324C95">
        <w:rPr>
          <w:rFonts w:ascii="Times New Roman" w:hAnsi="Times New Roman"/>
        </w:rPr>
        <w:t xml:space="preserve">, in deciding to dismiss the </w:t>
      </w:r>
      <w:r w:rsidR="008B5EE3" w:rsidRPr="00324C95">
        <w:rPr>
          <w:rFonts w:ascii="Times New Roman" w:hAnsi="Times New Roman"/>
        </w:rPr>
        <w:t xml:space="preserve">plaintiff's </w:t>
      </w:r>
      <w:r w:rsidR="00F05588" w:rsidRPr="00324C95">
        <w:rPr>
          <w:rFonts w:ascii="Times New Roman" w:hAnsi="Times New Roman"/>
        </w:rPr>
        <w:t>extension of time application</w:t>
      </w:r>
      <w:r w:rsidR="00C0581F" w:rsidRPr="00324C95">
        <w:rPr>
          <w:rFonts w:ascii="Times New Roman" w:hAnsi="Times New Roman"/>
        </w:rPr>
        <w:t>,</w:t>
      </w:r>
      <w:r w:rsidR="00B749D3" w:rsidRPr="00324C95">
        <w:rPr>
          <w:rFonts w:ascii="Times New Roman" w:hAnsi="Times New Roman"/>
        </w:rPr>
        <w:t xml:space="preserve"> </w:t>
      </w:r>
      <w:r w:rsidR="00A13187" w:rsidRPr="00324C95">
        <w:rPr>
          <w:rFonts w:ascii="Times New Roman" w:hAnsi="Times New Roman"/>
        </w:rPr>
        <w:t xml:space="preserve">the primary judge </w:t>
      </w:r>
      <w:r w:rsidR="00F05588" w:rsidRPr="00324C95">
        <w:rPr>
          <w:rFonts w:ascii="Times New Roman" w:hAnsi="Times New Roman"/>
        </w:rPr>
        <w:t xml:space="preserve">ignored, overlooked, or misunderstood a substantial and clearly articulated argument in submissions </w:t>
      </w:r>
      <w:r w:rsidR="008B5EE3" w:rsidRPr="00324C95">
        <w:rPr>
          <w:rFonts w:ascii="Times New Roman" w:hAnsi="Times New Roman"/>
        </w:rPr>
        <w:t xml:space="preserve">for </w:t>
      </w:r>
      <w:r w:rsidR="00F05588" w:rsidRPr="00324C95">
        <w:rPr>
          <w:rFonts w:ascii="Times New Roman" w:hAnsi="Times New Roman"/>
        </w:rPr>
        <w:t>the</w:t>
      </w:r>
      <w:r w:rsidR="008B5EE3" w:rsidRPr="00324C95">
        <w:rPr>
          <w:rFonts w:ascii="Times New Roman" w:hAnsi="Times New Roman"/>
        </w:rPr>
        <w:t xml:space="preserve"> plaintiff</w:t>
      </w:r>
      <w:r w:rsidR="00F05588" w:rsidRPr="00324C95">
        <w:rPr>
          <w:rFonts w:ascii="Times New Roman" w:hAnsi="Times New Roman"/>
        </w:rPr>
        <w:t>. Second, that</w:t>
      </w:r>
      <w:r w:rsidR="00C0581F" w:rsidRPr="00324C95">
        <w:rPr>
          <w:rFonts w:ascii="Times New Roman" w:hAnsi="Times New Roman"/>
        </w:rPr>
        <w:t>, in so deciding,</w:t>
      </w:r>
      <w:r w:rsidR="00F05588" w:rsidRPr="00324C95">
        <w:rPr>
          <w:rFonts w:ascii="Times New Roman" w:hAnsi="Times New Roman"/>
        </w:rPr>
        <w:t xml:space="preserve"> </w:t>
      </w:r>
      <w:r w:rsidR="00A13187" w:rsidRPr="00324C95">
        <w:rPr>
          <w:rFonts w:ascii="Times New Roman" w:hAnsi="Times New Roman"/>
        </w:rPr>
        <w:t xml:space="preserve">the primary judge </w:t>
      </w:r>
      <w:r w:rsidR="00F05588" w:rsidRPr="00324C95">
        <w:rPr>
          <w:rFonts w:ascii="Times New Roman" w:hAnsi="Times New Roman"/>
        </w:rPr>
        <w:t>misunderstood the applicable law</w:t>
      </w:r>
      <w:r w:rsidR="00C0581F" w:rsidRPr="00324C95">
        <w:rPr>
          <w:rFonts w:ascii="Times New Roman" w:hAnsi="Times New Roman"/>
        </w:rPr>
        <w:t xml:space="preserve">. The grounds are interrelated and arise from the fact that this Court delivered its reasons for judgment in </w:t>
      </w:r>
      <w:r w:rsidR="006935E0" w:rsidRPr="00324C95">
        <w:rPr>
          <w:rFonts w:ascii="Times New Roman" w:hAnsi="Times New Roman"/>
          <w:i/>
          <w:iCs/>
        </w:rPr>
        <w:t>NZYQ v Minister for Immigration, Citizenship and Multicultural Affairs &amp; Anor</w:t>
      </w:r>
      <w:r w:rsidR="00EB59DC" w:rsidRPr="00324C95">
        <w:rPr>
          <w:rFonts w:ascii="Times New Roman" w:hAnsi="Times New Roman"/>
        </w:rPr>
        <w:t>,</w:t>
      </w:r>
      <w:r w:rsidR="00EE0AC7" w:rsidRPr="00324C95">
        <w:rPr>
          <w:rStyle w:val="FootnoteReference"/>
          <w:rFonts w:ascii="Times New Roman" w:hAnsi="Times New Roman"/>
          <w:sz w:val="24"/>
        </w:rPr>
        <w:footnoteReference w:id="3"/>
      </w:r>
      <w:r w:rsidR="00811F58" w:rsidRPr="00324C95">
        <w:rPr>
          <w:rFonts w:ascii="Times New Roman" w:hAnsi="Times New Roman"/>
        </w:rPr>
        <w:t xml:space="preserve"> </w:t>
      </w:r>
      <w:r w:rsidR="006935E0" w:rsidRPr="00324C95">
        <w:rPr>
          <w:rFonts w:ascii="Times New Roman" w:hAnsi="Times New Roman"/>
        </w:rPr>
        <w:t xml:space="preserve">confining the constitutionality of </w:t>
      </w:r>
      <w:r w:rsidR="00AC29CE" w:rsidRPr="00324C95">
        <w:rPr>
          <w:rFonts w:ascii="Times New Roman" w:hAnsi="Times New Roman"/>
        </w:rPr>
        <w:t xml:space="preserve">continuing </w:t>
      </w:r>
      <w:r w:rsidR="006935E0" w:rsidRPr="00324C95">
        <w:rPr>
          <w:rFonts w:ascii="Times New Roman" w:hAnsi="Times New Roman"/>
        </w:rPr>
        <w:t xml:space="preserve">migration detention </w:t>
      </w:r>
      <w:r w:rsidR="00B84629" w:rsidRPr="00324C95">
        <w:rPr>
          <w:rFonts w:ascii="Times New Roman" w:hAnsi="Times New Roman"/>
        </w:rPr>
        <w:t xml:space="preserve">for the purpose of removal from Australia </w:t>
      </w:r>
      <w:r w:rsidR="006935E0" w:rsidRPr="00324C95">
        <w:rPr>
          <w:rFonts w:ascii="Times New Roman" w:hAnsi="Times New Roman"/>
        </w:rPr>
        <w:t xml:space="preserve">to circumstances in which </w:t>
      </w:r>
      <w:r w:rsidR="00AC29CE" w:rsidRPr="00324C95">
        <w:rPr>
          <w:rFonts w:ascii="Times New Roman" w:hAnsi="Times New Roman"/>
        </w:rPr>
        <w:t>there is a real prospect of the removal of the unlawful non</w:t>
      </w:r>
      <w:r w:rsidR="005C605B" w:rsidRPr="00324C95">
        <w:rPr>
          <w:rFonts w:ascii="Times New Roman" w:hAnsi="Times New Roman"/>
        </w:rPr>
        <w:noBreakHyphen/>
      </w:r>
      <w:r w:rsidR="00AC29CE" w:rsidRPr="00324C95">
        <w:rPr>
          <w:rFonts w:ascii="Times New Roman" w:hAnsi="Times New Roman"/>
        </w:rPr>
        <w:t>citizen from Australia becoming practicable in the reasonably foreseeable future</w:t>
      </w:r>
      <w:r w:rsidR="00B84629" w:rsidRPr="00324C95">
        <w:rPr>
          <w:rFonts w:ascii="Times New Roman" w:hAnsi="Times New Roman"/>
        </w:rPr>
        <w:t>,</w:t>
      </w:r>
      <w:r w:rsidR="003500B7" w:rsidRPr="00324C95">
        <w:rPr>
          <w:rStyle w:val="FootnoteReference"/>
          <w:rFonts w:ascii="Times New Roman" w:hAnsi="Times New Roman"/>
          <w:sz w:val="24"/>
        </w:rPr>
        <w:footnoteReference w:id="4"/>
      </w:r>
      <w:r w:rsidR="00B84629" w:rsidRPr="00324C95">
        <w:rPr>
          <w:rFonts w:ascii="Times New Roman" w:hAnsi="Times New Roman"/>
        </w:rPr>
        <w:t xml:space="preserve"> before </w:t>
      </w:r>
      <w:r w:rsidR="00A13187" w:rsidRPr="00324C95">
        <w:rPr>
          <w:rFonts w:ascii="Times New Roman" w:hAnsi="Times New Roman"/>
        </w:rPr>
        <w:t xml:space="preserve">the primary judge </w:t>
      </w:r>
      <w:r w:rsidR="00B84629" w:rsidRPr="00324C95">
        <w:rPr>
          <w:rFonts w:ascii="Times New Roman" w:hAnsi="Times New Roman"/>
        </w:rPr>
        <w:t xml:space="preserve">dismissed the </w:t>
      </w:r>
      <w:r w:rsidR="002A4362" w:rsidRPr="00324C95">
        <w:rPr>
          <w:rFonts w:ascii="Times New Roman" w:hAnsi="Times New Roman"/>
        </w:rPr>
        <w:t xml:space="preserve">plaintiff's </w:t>
      </w:r>
      <w:r w:rsidR="003500B7" w:rsidRPr="00324C95">
        <w:rPr>
          <w:rFonts w:ascii="Times New Roman" w:hAnsi="Times New Roman"/>
        </w:rPr>
        <w:t>extension of time application.</w:t>
      </w:r>
    </w:p>
    <w:p w14:paraId="1C699801" w14:textId="372CF61A" w:rsidR="00455226" w:rsidRPr="00324C95" w:rsidRDefault="00455226" w:rsidP="00324C95">
      <w:pPr>
        <w:pStyle w:val="FixListStyle"/>
        <w:spacing w:after="260" w:line="280" w:lineRule="exact"/>
        <w:ind w:right="0"/>
        <w:jc w:val="both"/>
        <w:rPr>
          <w:rFonts w:ascii="Times New Roman" w:hAnsi="Times New Roman"/>
        </w:rPr>
      </w:pPr>
      <w:r w:rsidRPr="00324C95">
        <w:rPr>
          <w:rFonts w:ascii="Times New Roman" w:hAnsi="Times New Roman"/>
        </w:rPr>
        <w:lastRenderedPageBreak/>
        <w:tab/>
      </w:r>
      <w:r w:rsidR="00811F58" w:rsidRPr="00324C95">
        <w:rPr>
          <w:rFonts w:ascii="Times New Roman" w:hAnsi="Times New Roman"/>
        </w:rPr>
        <w:t>Following</w:t>
      </w:r>
      <w:r w:rsidRPr="00324C95">
        <w:rPr>
          <w:rFonts w:ascii="Times New Roman" w:hAnsi="Times New Roman"/>
        </w:rPr>
        <w:t xml:space="preserve"> the </w:t>
      </w:r>
      <w:r w:rsidR="00811F58" w:rsidRPr="00324C95">
        <w:rPr>
          <w:rFonts w:ascii="Times New Roman" w:hAnsi="Times New Roman"/>
        </w:rPr>
        <w:t xml:space="preserve">delivery of reasons for judgment in </w:t>
      </w:r>
      <w:r w:rsidR="00811F58" w:rsidRPr="00324C95">
        <w:rPr>
          <w:rFonts w:ascii="Times New Roman" w:hAnsi="Times New Roman"/>
          <w:i/>
          <w:iCs/>
        </w:rPr>
        <w:t>NZYQ</w:t>
      </w:r>
      <w:r w:rsidR="00811F58" w:rsidRPr="00324C95">
        <w:rPr>
          <w:rFonts w:ascii="Times New Roman" w:hAnsi="Times New Roman"/>
        </w:rPr>
        <w:t xml:space="preserve">, </w:t>
      </w:r>
      <w:r w:rsidR="00A13187" w:rsidRPr="00324C95">
        <w:rPr>
          <w:rFonts w:ascii="Times New Roman" w:hAnsi="Times New Roman"/>
        </w:rPr>
        <w:t xml:space="preserve">the primary judge </w:t>
      </w:r>
      <w:r w:rsidR="00811F58" w:rsidRPr="00324C95">
        <w:rPr>
          <w:rFonts w:ascii="Times New Roman" w:hAnsi="Times New Roman"/>
        </w:rPr>
        <w:t>invited the parties to make such fur</w:t>
      </w:r>
      <w:r w:rsidR="002765AF" w:rsidRPr="00324C95">
        <w:rPr>
          <w:rFonts w:ascii="Times New Roman" w:hAnsi="Times New Roman"/>
        </w:rPr>
        <w:t>t</w:t>
      </w:r>
      <w:r w:rsidR="00811F58" w:rsidRPr="00324C95">
        <w:rPr>
          <w:rFonts w:ascii="Times New Roman" w:hAnsi="Times New Roman"/>
        </w:rPr>
        <w:t xml:space="preserve">her submissions as they wished addressing the relevance of that decision to the </w:t>
      </w:r>
      <w:r w:rsidR="002A4362" w:rsidRPr="00324C95">
        <w:rPr>
          <w:rFonts w:ascii="Times New Roman" w:hAnsi="Times New Roman"/>
        </w:rPr>
        <w:t xml:space="preserve">plaintiff's </w:t>
      </w:r>
      <w:r w:rsidR="002765AF" w:rsidRPr="00324C95">
        <w:rPr>
          <w:rFonts w:ascii="Times New Roman" w:hAnsi="Times New Roman"/>
        </w:rPr>
        <w:t>extension of time application.</w:t>
      </w:r>
      <w:r w:rsidR="003C4E9E" w:rsidRPr="00324C95">
        <w:rPr>
          <w:rStyle w:val="FootnoteReference"/>
          <w:rFonts w:ascii="Times New Roman" w:hAnsi="Times New Roman"/>
          <w:sz w:val="24"/>
        </w:rPr>
        <w:footnoteReference w:id="5"/>
      </w:r>
      <w:r w:rsidR="002765AF" w:rsidRPr="00324C95">
        <w:rPr>
          <w:rFonts w:ascii="Times New Roman" w:hAnsi="Times New Roman"/>
        </w:rPr>
        <w:t xml:space="preserve"> His Honour did so in the context that both parties had agreed that the </w:t>
      </w:r>
      <w:r w:rsidR="00D7279B" w:rsidRPr="00324C95">
        <w:rPr>
          <w:rFonts w:ascii="Times New Roman" w:hAnsi="Times New Roman"/>
        </w:rPr>
        <w:t>extension of tim</w:t>
      </w:r>
      <w:r w:rsidR="00A7728E" w:rsidRPr="00324C95">
        <w:rPr>
          <w:rFonts w:ascii="Times New Roman" w:hAnsi="Times New Roman"/>
        </w:rPr>
        <w:t xml:space="preserve">e application should be determined having regard to the merits of the </w:t>
      </w:r>
      <w:r w:rsidR="001B5D59" w:rsidRPr="00324C95">
        <w:rPr>
          <w:rFonts w:ascii="Times New Roman" w:hAnsi="Times New Roman"/>
        </w:rPr>
        <w:t>judicial review application.</w:t>
      </w:r>
      <w:r w:rsidR="001B5D59" w:rsidRPr="00324C95">
        <w:rPr>
          <w:rStyle w:val="FootnoteReference"/>
          <w:rFonts w:ascii="Times New Roman" w:hAnsi="Times New Roman"/>
          <w:sz w:val="24"/>
        </w:rPr>
        <w:footnoteReference w:id="6"/>
      </w:r>
      <w:r w:rsidR="001B5D59" w:rsidRPr="00324C95">
        <w:rPr>
          <w:rFonts w:ascii="Times New Roman" w:hAnsi="Times New Roman"/>
        </w:rPr>
        <w:t xml:space="preserve"> </w:t>
      </w:r>
      <w:r w:rsidR="0038328A" w:rsidRPr="00324C95">
        <w:rPr>
          <w:rFonts w:ascii="Times New Roman" w:hAnsi="Times New Roman"/>
        </w:rPr>
        <w:t xml:space="preserve">This is important because it establishes that </w:t>
      </w:r>
      <w:r w:rsidR="00A13187" w:rsidRPr="00324C95">
        <w:rPr>
          <w:rFonts w:ascii="Times New Roman" w:hAnsi="Times New Roman"/>
        </w:rPr>
        <w:t xml:space="preserve">the primary judge </w:t>
      </w:r>
      <w:r w:rsidR="0038328A" w:rsidRPr="00324C95">
        <w:rPr>
          <w:rFonts w:ascii="Times New Roman" w:hAnsi="Times New Roman"/>
        </w:rPr>
        <w:t xml:space="preserve">dismissed the extension of time application because he considered that </w:t>
      </w:r>
      <w:r w:rsidR="001F1FD0" w:rsidRPr="00324C95">
        <w:rPr>
          <w:rFonts w:ascii="Times New Roman" w:hAnsi="Times New Roman"/>
        </w:rPr>
        <w:t xml:space="preserve">there was "no merit in the </w:t>
      </w:r>
      <w:r w:rsidR="003C4E9E" w:rsidRPr="00324C95">
        <w:rPr>
          <w:rFonts w:ascii="Times New Roman" w:hAnsi="Times New Roman"/>
        </w:rPr>
        <w:t xml:space="preserve">substantive </w:t>
      </w:r>
      <w:r w:rsidR="00747881" w:rsidRPr="00324C95">
        <w:rPr>
          <w:rFonts w:ascii="Times New Roman" w:hAnsi="Times New Roman"/>
        </w:rPr>
        <w:t>[judicial review] application, [so that] it is not in the interests of the proper administration of justice that there be an order extending time within which to file the</w:t>
      </w:r>
      <w:r w:rsidR="003C4E9E" w:rsidRPr="00324C95">
        <w:rPr>
          <w:rFonts w:ascii="Times New Roman" w:hAnsi="Times New Roman"/>
        </w:rPr>
        <w:t xml:space="preserve"> [substantive]</w:t>
      </w:r>
      <w:r w:rsidR="00747881" w:rsidRPr="00324C95">
        <w:rPr>
          <w:rFonts w:ascii="Times New Roman" w:hAnsi="Times New Roman"/>
        </w:rPr>
        <w:t xml:space="preserve"> application"</w:t>
      </w:r>
      <w:r w:rsidR="005C605B" w:rsidRPr="00324C95">
        <w:rPr>
          <w:rFonts w:ascii="Times New Roman" w:hAnsi="Times New Roman"/>
        </w:rPr>
        <w:t>.</w:t>
      </w:r>
      <w:r w:rsidR="00747881" w:rsidRPr="00324C95">
        <w:rPr>
          <w:rStyle w:val="FootnoteReference"/>
          <w:rFonts w:ascii="Times New Roman" w:hAnsi="Times New Roman"/>
          <w:sz w:val="24"/>
        </w:rPr>
        <w:footnoteReference w:id="7"/>
      </w:r>
      <w:r w:rsidR="00747881" w:rsidRPr="00324C95">
        <w:rPr>
          <w:rFonts w:ascii="Times New Roman" w:hAnsi="Times New Roman"/>
        </w:rPr>
        <w:t xml:space="preserve"> His Honour did not dismiss the extension of time application on any other basis, such as the length of the delay </w:t>
      </w:r>
      <w:r w:rsidR="00196D68" w:rsidRPr="00324C95">
        <w:rPr>
          <w:rFonts w:ascii="Times New Roman" w:hAnsi="Times New Roman"/>
        </w:rPr>
        <w:t xml:space="preserve">or the adequacy of the explanation for the delay in the filing of the </w:t>
      </w:r>
      <w:r w:rsidR="00F605FF" w:rsidRPr="00324C95">
        <w:rPr>
          <w:rFonts w:ascii="Times New Roman" w:hAnsi="Times New Roman"/>
        </w:rPr>
        <w:t xml:space="preserve">extension of time application and judicial review application to which it related. </w:t>
      </w:r>
    </w:p>
    <w:p w14:paraId="34D887A9" w14:textId="77777777" w:rsidR="00DB6321" w:rsidRPr="00324C95" w:rsidRDefault="00F00E9F"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BD5EC2" w:rsidRPr="00324C95">
        <w:rPr>
          <w:rFonts w:ascii="Times New Roman" w:hAnsi="Times New Roman"/>
        </w:rPr>
        <w:t xml:space="preserve">In accordance with the invitation to do so, the </w:t>
      </w:r>
      <w:r w:rsidR="002A4362" w:rsidRPr="00324C95">
        <w:rPr>
          <w:rFonts w:ascii="Times New Roman" w:hAnsi="Times New Roman"/>
        </w:rPr>
        <w:t xml:space="preserve">plaintiff </w:t>
      </w:r>
      <w:r w:rsidR="00BD5EC2" w:rsidRPr="00324C95">
        <w:rPr>
          <w:rFonts w:ascii="Times New Roman" w:hAnsi="Times New Roman"/>
        </w:rPr>
        <w:t xml:space="preserve">filed further submissions </w:t>
      </w:r>
      <w:r w:rsidRPr="00324C95">
        <w:rPr>
          <w:rFonts w:ascii="Times New Roman" w:hAnsi="Times New Roman"/>
        </w:rPr>
        <w:t xml:space="preserve">concerning the relevance of </w:t>
      </w:r>
      <w:r w:rsidRPr="00324C95">
        <w:rPr>
          <w:rFonts w:ascii="Times New Roman" w:hAnsi="Times New Roman"/>
          <w:i/>
          <w:iCs/>
        </w:rPr>
        <w:t>NZYQ</w:t>
      </w:r>
      <w:r w:rsidR="00BD5EC2" w:rsidRPr="00324C95">
        <w:rPr>
          <w:rFonts w:ascii="Times New Roman" w:hAnsi="Times New Roman"/>
        </w:rPr>
        <w:t>.</w:t>
      </w:r>
      <w:r w:rsidR="003C4E9E" w:rsidRPr="00324C95">
        <w:rPr>
          <w:rStyle w:val="FootnoteReference"/>
          <w:rFonts w:ascii="Times New Roman" w:hAnsi="Times New Roman"/>
          <w:sz w:val="24"/>
        </w:rPr>
        <w:footnoteReference w:id="8"/>
      </w:r>
      <w:r w:rsidR="00BD5EC2" w:rsidRPr="00324C95">
        <w:rPr>
          <w:rFonts w:ascii="Times New Roman" w:hAnsi="Times New Roman"/>
        </w:rPr>
        <w:t xml:space="preserve"> </w:t>
      </w:r>
      <w:r w:rsidR="00FE6177" w:rsidRPr="00324C95">
        <w:rPr>
          <w:rFonts w:ascii="Times New Roman" w:hAnsi="Times New Roman"/>
        </w:rPr>
        <w:t>T</w:t>
      </w:r>
      <w:r w:rsidR="00BD5EC2" w:rsidRPr="00324C95">
        <w:rPr>
          <w:rFonts w:ascii="Times New Roman" w:hAnsi="Times New Roman"/>
        </w:rPr>
        <w:t>hose</w:t>
      </w:r>
      <w:r w:rsidR="00BD5EC2" w:rsidRPr="00324C95" w:rsidDel="00DC106A">
        <w:rPr>
          <w:rFonts w:ascii="Times New Roman" w:hAnsi="Times New Roman"/>
        </w:rPr>
        <w:t xml:space="preserve"> </w:t>
      </w:r>
      <w:r w:rsidR="00BD5EC2" w:rsidRPr="00324C95">
        <w:rPr>
          <w:rFonts w:ascii="Times New Roman" w:hAnsi="Times New Roman"/>
        </w:rPr>
        <w:t>submissions</w:t>
      </w:r>
      <w:r w:rsidR="00A958F3" w:rsidRPr="00324C95">
        <w:rPr>
          <w:rFonts w:ascii="Times New Roman" w:hAnsi="Times New Roman"/>
        </w:rPr>
        <w:t xml:space="preserve"> advanced two additional contentions as to why</w:t>
      </w:r>
      <w:r w:rsidR="00BD5EC2" w:rsidRPr="00324C95">
        <w:rPr>
          <w:rFonts w:ascii="Times New Roman" w:hAnsi="Times New Roman"/>
        </w:rPr>
        <w:t xml:space="preserve"> </w:t>
      </w:r>
      <w:r w:rsidR="00A958F3" w:rsidRPr="00324C95">
        <w:rPr>
          <w:rFonts w:ascii="Times New Roman" w:hAnsi="Times New Roman"/>
        </w:rPr>
        <w:t>"</w:t>
      </w:r>
      <w:r w:rsidR="00270DA4" w:rsidRPr="00324C95">
        <w:rPr>
          <w:rFonts w:ascii="Times New Roman" w:hAnsi="Times New Roman"/>
        </w:rPr>
        <w:t xml:space="preserve">aspects of the Minister's analysis [were] in error". </w:t>
      </w:r>
    </w:p>
    <w:p w14:paraId="1EF78273" w14:textId="77777777" w:rsidR="00DB6321" w:rsidRPr="00324C95" w:rsidRDefault="00DB6321"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270DA4" w:rsidRPr="00324C95">
        <w:rPr>
          <w:rFonts w:ascii="Times New Roman" w:hAnsi="Times New Roman"/>
        </w:rPr>
        <w:t>The first</w:t>
      </w:r>
      <w:r w:rsidR="00DC106A" w:rsidRPr="00324C95">
        <w:rPr>
          <w:rFonts w:ascii="Times New Roman" w:hAnsi="Times New Roman"/>
        </w:rPr>
        <w:t xml:space="preserve"> contention </w:t>
      </w:r>
      <w:r w:rsidRPr="00324C95">
        <w:rPr>
          <w:rFonts w:ascii="Times New Roman" w:hAnsi="Times New Roman"/>
        </w:rPr>
        <w:t>was</w:t>
      </w:r>
      <w:r w:rsidR="009A510F" w:rsidRPr="00324C95">
        <w:rPr>
          <w:rFonts w:ascii="Times New Roman" w:hAnsi="Times New Roman"/>
        </w:rPr>
        <w:t xml:space="preserve"> </w:t>
      </w:r>
      <w:r w:rsidR="00DC106A" w:rsidRPr="00324C95">
        <w:rPr>
          <w:rFonts w:ascii="Times New Roman" w:hAnsi="Times New Roman"/>
        </w:rPr>
        <w:t>that the Minister fell into error because</w:t>
      </w:r>
      <w:r w:rsidR="00BD5EC2" w:rsidRPr="00324C95" w:rsidDel="00270DA4">
        <w:rPr>
          <w:rFonts w:ascii="Times New Roman" w:hAnsi="Times New Roman"/>
        </w:rPr>
        <w:t>:</w:t>
      </w:r>
      <w:r w:rsidR="00BD5EC2" w:rsidRPr="00324C95">
        <w:rPr>
          <w:rFonts w:ascii="Times New Roman" w:hAnsi="Times New Roman"/>
        </w:rPr>
        <w:t xml:space="preserve"> (a) </w:t>
      </w:r>
      <w:r w:rsidR="006E24D3" w:rsidRPr="00324C95">
        <w:rPr>
          <w:rFonts w:ascii="Times New Roman" w:hAnsi="Times New Roman"/>
        </w:rPr>
        <w:t xml:space="preserve">the true legal position emerging from there being </w:t>
      </w:r>
      <w:r w:rsidR="002A0F65" w:rsidRPr="00324C95">
        <w:rPr>
          <w:rFonts w:ascii="Times New Roman" w:hAnsi="Times New Roman"/>
        </w:rPr>
        <w:t>"</w:t>
      </w:r>
      <w:r w:rsidR="006E24D3" w:rsidRPr="00324C95">
        <w:rPr>
          <w:rFonts w:ascii="Times New Roman" w:hAnsi="Times New Roman"/>
        </w:rPr>
        <w:t>poor</w:t>
      </w:r>
      <w:r w:rsidR="002A0F65" w:rsidRPr="00324C95">
        <w:rPr>
          <w:rFonts w:ascii="Times New Roman" w:hAnsi="Times New Roman"/>
        </w:rPr>
        <w:t>"</w:t>
      </w:r>
      <w:r w:rsidR="006E24D3" w:rsidRPr="00324C95">
        <w:rPr>
          <w:rFonts w:ascii="Times New Roman" w:hAnsi="Times New Roman"/>
        </w:rPr>
        <w:t xml:space="preserve"> prospects of the </w:t>
      </w:r>
      <w:r w:rsidR="002A4362" w:rsidRPr="00324C95">
        <w:rPr>
          <w:rFonts w:ascii="Times New Roman" w:hAnsi="Times New Roman"/>
        </w:rPr>
        <w:t xml:space="preserve">plaintiff </w:t>
      </w:r>
      <w:r w:rsidR="006E24D3" w:rsidRPr="00324C95">
        <w:rPr>
          <w:rFonts w:ascii="Times New Roman" w:hAnsi="Times New Roman"/>
        </w:rPr>
        <w:t xml:space="preserve">being able to be removed from Australia was not, as the Minister reasoned in refusing to revoke the cancellation of the </w:t>
      </w:r>
      <w:r w:rsidR="00FE24F5" w:rsidRPr="00324C95">
        <w:rPr>
          <w:rFonts w:ascii="Times New Roman" w:hAnsi="Times New Roman"/>
        </w:rPr>
        <w:t xml:space="preserve">plaintiff's </w:t>
      </w:r>
      <w:r w:rsidR="006E24D3" w:rsidRPr="00324C95">
        <w:rPr>
          <w:rFonts w:ascii="Times New Roman" w:hAnsi="Times New Roman"/>
        </w:rPr>
        <w:t xml:space="preserve">visa, </w:t>
      </w:r>
      <w:r w:rsidR="00C54DF3" w:rsidRPr="00324C95">
        <w:rPr>
          <w:rFonts w:ascii="Times New Roman" w:hAnsi="Times New Roman"/>
        </w:rPr>
        <w:t>"</w:t>
      </w:r>
      <w:r w:rsidR="006E24D3" w:rsidRPr="00324C95">
        <w:rPr>
          <w:rFonts w:ascii="Times New Roman" w:hAnsi="Times New Roman"/>
        </w:rPr>
        <w:t>indefinite detention</w:t>
      </w:r>
      <w:r w:rsidR="00C54DF3" w:rsidRPr="00324C95">
        <w:rPr>
          <w:rFonts w:ascii="Times New Roman" w:hAnsi="Times New Roman"/>
        </w:rPr>
        <w:t>"</w:t>
      </w:r>
      <w:r w:rsidR="006E24D3" w:rsidRPr="00324C95">
        <w:rPr>
          <w:rFonts w:ascii="Times New Roman" w:hAnsi="Times New Roman"/>
        </w:rPr>
        <w:t>, but was</w:t>
      </w:r>
      <w:r w:rsidR="002A0F65" w:rsidRPr="00324C95">
        <w:rPr>
          <w:rFonts w:ascii="Times New Roman" w:hAnsi="Times New Roman"/>
        </w:rPr>
        <w:t>,</w:t>
      </w:r>
      <w:r w:rsidR="006E24D3" w:rsidRPr="00324C95">
        <w:rPr>
          <w:rFonts w:ascii="Times New Roman" w:hAnsi="Times New Roman"/>
        </w:rPr>
        <w:t xml:space="preserve"> rather</w:t>
      </w:r>
      <w:r w:rsidR="002A0F65" w:rsidRPr="00324C95">
        <w:rPr>
          <w:rFonts w:ascii="Times New Roman" w:hAnsi="Times New Roman"/>
        </w:rPr>
        <w:t>,</w:t>
      </w:r>
      <w:r w:rsidR="006E24D3" w:rsidRPr="00324C95">
        <w:rPr>
          <w:rFonts w:ascii="Times New Roman" w:hAnsi="Times New Roman"/>
        </w:rPr>
        <w:t xml:space="preserve"> that the </w:t>
      </w:r>
      <w:r w:rsidR="002A4362" w:rsidRPr="00324C95">
        <w:rPr>
          <w:rFonts w:ascii="Times New Roman" w:hAnsi="Times New Roman"/>
        </w:rPr>
        <w:t xml:space="preserve">plaintiff </w:t>
      </w:r>
      <w:r w:rsidR="006E24D3" w:rsidRPr="00324C95">
        <w:rPr>
          <w:rFonts w:ascii="Times New Roman" w:hAnsi="Times New Roman"/>
        </w:rPr>
        <w:t xml:space="preserve">would be at liberty and destitute in Australia (due to the </w:t>
      </w:r>
      <w:r w:rsidR="00FE24F5" w:rsidRPr="00324C95">
        <w:rPr>
          <w:rFonts w:ascii="Times New Roman" w:hAnsi="Times New Roman"/>
        </w:rPr>
        <w:t>plaintiff's</w:t>
      </w:r>
      <w:r w:rsidR="002A0F65" w:rsidRPr="00324C95">
        <w:rPr>
          <w:rFonts w:ascii="Times New Roman" w:hAnsi="Times New Roman"/>
        </w:rPr>
        <w:t xml:space="preserve"> possible</w:t>
      </w:r>
      <w:r w:rsidR="00FE24F5" w:rsidRPr="00324C95">
        <w:rPr>
          <w:rFonts w:ascii="Times New Roman" w:hAnsi="Times New Roman"/>
        </w:rPr>
        <w:t xml:space="preserve"> </w:t>
      </w:r>
      <w:r w:rsidR="006E24D3" w:rsidRPr="00324C95">
        <w:rPr>
          <w:rFonts w:ascii="Times New Roman" w:hAnsi="Times New Roman"/>
        </w:rPr>
        <w:t>inability</w:t>
      </w:r>
      <w:r w:rsidR="002A0F65" w:rsidRPr="00324C95">
        <w:rPr>
          <w:rFonts w:ascii="Times New Roman" w:hAnsi="Times New Roman"/>
        </w:rPr>
        <w:t>, if released into the Australian community as an unlawful non</w:t>
      </w:r>
      <w:r w:rsidR="002A0F65" w:rsidRPr="00324C95">
        <w:rPr>
          <w:rFonts w:ascii="Times New Roman" w:hAnsi="Times New Roman"/>
        </w:rPr>
        <w:noBreakHyphen/>
        <w:t>citizen,</w:t>
      </w:r>
      <w:r w:rsidR="006E24D3" w:rsidRPr="00324C95">
        <w:rPr>
          <w:rFonts w:ascii="Times New Roman" w:hAnsi="Times New Roman"/>
        </w:rPr>
        <w:t xml:space="preserve"> to work or access social security </w:t>
      </w:r>
      <w:r w:rsidR="005145CF" w:rsidRPr="00324C95">
        <w:rPr>
          <w:rFonts w:ascii="Times New Roman" w:hAnsi="Times New Roman"/>
        </w:rPr>
        <w:t xml:space="preserve">due to </w:t>
      </w:r>
      <w:r w:rsidR="006E24D3" w:rsidRPr="00324C95">
        <w:rPr>
          <w:rFonts w:ascii="Times New Roman" w:hAnsi="Times New Roman"/>
        </w:rPr>
        <w:t>his legal status)</w:t>
      </w:r>
      <w:r w:rsidR="00053B09" w:rsidRPr="00324C95">
        <w:rPr>
          <w:rFonts w:ascii="Times New Roman" w:hAnsi="Times New Roman"/>
        </w:rPr>
        <w:t>;</w:t>
      </w:r>
      <w:r w:rsidR="005145CF" w:rsidRPr="00324C95">
        <w:rPr>
          <w:rStyle w:val="FootnoteReference"/>
          <w:rFonts w:ascii="Times New Roman" w:hAnsi="Times New Roman"/>
          <w:sz w:val="24"/>
        </w:rPr>
        <w:footnoteReference w:id="9"/>
      </w:r>
      <w:r w:rsidR="006E24D3" w:rsidRPr="00324C95">
        <w:rPr>
          <w:rFonts w:ascii="Times New Roman" w:hAnsi="Times New Roman"/>
        </w:rPr>
        <w:t xml:space="preserve"> (b) </w:t>
      </w:r>
      <w:r w:rsidR="00E3500B" w:rsidRPr="00324C95">
        <w:rPr>
          <w:rFonts w:ascii="Times New Roman" w:hAnsi="Times New Roman"/>
        </w:rPr>
        <w:t xml:space="preserve">such circumstances have been found elsewhere to amount to conditions that are </w:t>
      </w:r>
      <w:r w:rsidR="00E3500B" w:rsidRPr="00324C95">
        <w:rPr>
          <w:rFonts w:ascii="Times New Roman" w:hAnsi="Times New Roman"/>
        </w:rPr>
        <w:lastRenderedPageBreak/>
        <w:t>inhuman at law</w:t>
      </w:r>
      <w:r w:rsidR="005C605B" w:rsidRPr="00324C95">
        <w:rPr>
          <w:rFonts w:ascii="Times New Roman" w:hAnsi="Times New Roman"/>
        </w:rPr>
        <w:t>;</w:t>
      </w:r>
      <w:r w:rsidR="00E3500B" w:rsidRPr="00324C95">
        <w:rPr>
          <w:rStyle w:val="FootnoteReference"/>
          <w:rFonts w:ascii="Times New Roman" w:hAnsi="Times New Roman"/>
          <w:sz w:val="24"/>
        </w:rPr>
        <w:footnoteReference w:id="10"/>
      </w:r>
      <w:r w:rsidR="00CF2C6A" w:rsidRPr="00324C95">
        <w:rPr>
          <w:rFonts w:ascii="Times New Roman" w:hAnsi="Times New Roman"/>
        </w:rPr>
        <w:t xml:space="preserve"> </w:t>
      </w:r>
      <w:r w:rsidR="00E62BC7" w:rsidRPr="00324C95">
        <w:rPr>
          <w:rFonts w:ascii="Times New Roman" w:hAnsi="Times New Roman"/>
        </w:rPr>
        <w:t>and</w:t>
      </w:r>
      <w:r w:rsidR="00CF2C6A" w:rsidRPr="00324C95">
        <w:rPr>
          <w:rFonts w:ascii="Times New Roman" w:hAnsi="Times New Roman"/>
        </w:rPr>
        <w:t xml:space="preserve"> (c) </w:t>
      </w:r>
      <w:r w:rsidR="00071358" w:rsidRPr="00324C95">
        <w:rPr>
          <w:rFonts w:ascii="Times New Roman" w:hAnsi="Times New Roman"/>
        </w:rPr>
        <w:t xml:space="preserve">in deciding not to revoke the cancellation of the </w:t>
      </w:r>
      <w:r w:rsidR="002A4362" w:rsidRPr="00324C95">
        <w:rPr>
          <w:rFonts w:ascii="Times New Roman" w:hAnsi="Times New Roman"/>
        </w:rPr>
        <w:t xml:space="preserve">plaintiff's </w:t>
      </w:r>
      <w:r w:rsidR="00071358" w:rsidRPr="00324C95">
        <w:rPr>
          <w:rFonts w:ascii="Times New Roman" w:hAnsi="Times New Roman"/>
        </w:rPr>
        <w:t>visa, the Minister did not consider these matters</w:t>
      </w:r>
      <w:r w:rsidR="00270DA4" w:rsidRPr="00324C95">
        <w:rPr>
          <w:rFonts w:ascii="Times New Roman" w:hAnsi="Times New Roman"/>
        </w:rPr>
        <w:t xml:space="preserve">. </w:t>
      </w:r>
    </w:p>
    <w:p w14:paraId="64A741C6" w14:textId="427FC2AA" w:rsidR="00F00E9F" w:rsidRPr="00324C95" w:rsidRDefault="00DB6321"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270DA4" w:rsidRPr="00324C95">
        <w:rPr>
          <w:rFonts w:ascii="Times New Roman" w:hAnsi="Times New Roman"/>
        </w:rPr>
        <w:t>The seco</w:t>
      </w:r>
      <w:r w:rsidR="00DC106A" w:rsidRPr="00324C95">
        <w:rPr>
          <w:rFonts w:ascii="Times New Roman" w:hAnsi="Times New Roman"/>
        </w:rPr>
        <w:t xml:space="preserve">nd contention </w:t>
      </w:r>
      <w:r w:rsidRPr="00324C95">
        <w:rPr>
          <w:rFonts w:ascii="Times New Roman" w:hAnsi="Times New Roman"/>
        </w:rPr>
        <w:t>was</w:t>
      </w:r>
      <w:r w:rsidR="009A510F" w:rsidRPr="00324C95">
        <w:rPr>
          <w:rFonts w:ascii="Times New Roman" w:hAnsi="Times New Roman"/>
        </w:rPr>
        <w:t xml:space="preserve"> </w:t>
      </w:r>
      <w:r w:rsidR="00DC106A" w:rsidRPr="00324C95">
        <w:rPr>
          <w:rFonts w:ascii="Times New Roman" w:hAnsi="Times New Roman"/>
        </w:rPr>
        <w:t>that the Minister erred because</w:t>
      </w:r>
      <w:r w:rsidR="00270DA4" w:rsidRPr="00324C95">
        <w:rPr>
          <w:rFonts w:ascii="Times New Roman" w:hAnsi="Times New Roman"/>
        </w:rPr>
        <w:t>:</w:t>
      </w:r>
      <w:r w:rsidR="00071358" w:rsidRPr="00324C95">
        <w:rPr>
          <w:rFonts w:ascii="Times New Roman" w:hAnsi="Times New Roman"/>
        </w:rPr>
        <w:t xml:space="preserve"> (</w:t>
      </w:r>
      <w:r w:rsidR="0057748C" w:rsidRPr="00324C95">
        <w:rPr>
          <w:rFonts w:ascii="Times New Roman" w:hAnsi="Times New Roman"/>
        </w:rPr>
        <w:t>a</w:t>
      </w:r>
      <w:r w:rsidR="00071358" w:rsidRPr="00324C95">
        <w:rPr>
          <w:rFonts w:ascii="Times New Roman" w:hAnsi="Times New Roman"/>
        </w:rPr>
        <w:t>) </w:t>
      </w:r>
      <w:r w:rsidR="008278C7" w:rsidRPr="00324C95">
        <w:rPr>
          <w:rFonts w:ascii="Times New Roman" w:hAnsi="Times New Roman"/>
        </w:rPr>
        <w:t>in deciding not to revoke the cancel</w:t>
      </w:r>
      <w:r w:rsidR="00270DA4" w:rsidRPr="00324C95">
        <w:rPr>
          <w:rFonts w:ascii="Times New Roman" w:hAnsi="Times New Roman"/>
        </w:rPr>
        <w:t>lation</w:t>
      </w:r>
      <w:r w:rsidR="008278C7" w:rsidRPr="00324C95">
        <w:rPr>
          <w:rFonts w:ascii="Times New Roman" w:hAnsi="Times New Roman"/>
        </w:rPr>
        <w:t xml:space="preserve"> of the </w:t>
      </w:r>
      <w:r w:rsidR="002A4362" w:rsidRPr="00324C95">
        <w:rPr>
          <w:rFonts w:ascii="Times New Roman" w:hAnsi="Times New Roman"/>
        </w:rPr>
        <w:t xml:space="preserve">plaintiff's </w:t>
      </w:r>
      <w:r w:rsidR="008278C7" w:rsidRPr="00324C95">
        <w:rPr>
          <w:rFonts w:ascii="Times New Roman" w:hAnsi="Times New Roman"/>
        </w:rPr>
        <w:t xml:space="preserve">visa based on the belief that </w:t>
      </w:r>
      <w:r w:rsidR="00DE394A" w:rsidRPr="00324C95">
        <w:rPr>
          <w:rFonts w:ascii="Times New Roman" w:hAnsi="Times New Roman"/>
        </w:rPr>
        <w:t xml:space="preserve">the legal consequence would be the </w:t>
      </w:r>
      <w:r w:rsidR="00FE24F5" w:rsidRPr="00324C95">
        <w:rPr>
          <w:rFonts w:ascii="Times New Roman" w:hAnsi="Times New Roman"/>
        </w:rPr>
        <w:t xml:space="preserve">plaintiff's </w:t>
      </w:r>
      <w:r w:rsidR="00DE394A" w:rsidRPr="00324C95">
        <w:rPr>
          <w:rFonts w:ascii="Times New Roman" w:hAnsi="Times New Roman"/>
        </w:rPr>
        <w:t xml:space="preserve">indefinite detention, the Minister misunderstood and misapplied the law as decided in </w:t>
      </w:r>
      <w:r w:rsidR="00DE394A" w:rsidRPr="00324C95">
        <w:rPr>
          <w:rFonts w:ascii="Times New Roman" w:hAnsi="Times New Roman"/>
          <w:i/>
          <w:iCs/>
        </w:rPr>
        <w:t>NZ</w:t>
      </w:r>
      <w:r w:rsidR="00757DF9" w:rsidRPr="00324C95">
        <w:rPr>
          <w:rFonts w:ascii="Times New Roman" w:hAnsi="Times New Roman"/>
          <w:i/>
          <w:iCs/>
        </w:rPr>
        <w:t>YQ</w:t>
      </w:r>
      <w:r w:rsidR="00757DF9" w:rsidRPr="00324C95">
        <w:rPr>
          <w:rFonts w:ascii="Times New Roman" w:hAnsi="Times New Roman"/>
        </w:rPr>
        <w:t>; and (</w:t>
      </w:r>
      <w:r w:rsidR="0057748C" w:rsidRPr="00324C95">
        <w:rPr>
          <w:rFonts w:ascii="Times New Roman" w:hAnsi="Times New Roman"/>
        </w:rPr>
        <w:t>b</w:t>
      </w:r>
      <w:r w:rsidR="00757DF9" w:rsidRPr="00324C95">
        <w:rPr>
          <w:rFonts w:ascii="Times New Roman" w:hAnsi="Times New Roman"/>
        </w:rPr>
        <w:t xml:space="preserve">) as decided in </w:t>
      </w:r>
      <w:r w:rsidR="00757DF9" w:rsidRPr="00324C95">
        <w:rPr>
          <w:rFonts w:ascii="Times New Roman" w:hAnsi="Times New Roman"/>
          <w:i/>
          <w:iCs/>
        </w:rPr>
        <w:t>Minister for Immigration and Border Protection v Mohammed</w:t>
      </w:r>
      <w:r w:rsidR="005C605B" w:rsidRPr="00324C95">
        <w:rPr>
          <w:rFonts w:ascii="Times New Roman" w:hAnsi="Times New Roman"/>
        </w:rPr>
        <w:t>,</w:t>
      </w:r>
      <w:r w:rsidR="00757DF9" w:rsidRPr="00324C95">
        <w:rPr>
          <w:rStyle w:val="FootnoteReference"/>
          <w:rFonts w:ascii="Times New Roman" w:hAnsi="Times New Roman"/>
          <w:sz w:val="24"/>
        </w:rPr>
        <w:footnoteReference w:id="11"/>
      </w:r>
      <w:r w:rsidR="006839BA" w:rsidRPr="00324C95" w:rsidDel="005C605B">
        <w:rPr>
          <w:rFonts w:ascii="Times New Roman" w:hAnsi="Times New Roman"/>
        </w:rPr>
        <w:t xml:space="preserve"> </w:t>
      </w:r>
      <w:r w:rsidR="007D1B27" w:rsidRPr="00324C95">
        <w:rPr>
          <w:rFonts w:ascii="Times New Roman" w:hAnsi="Times New Roman"/>
        </w:rPr>
        <w:t>a decision can be legally unreasonable at the time it is made if, when made, the decision</w:t>
      </w:r>
      <w:r w:rsidR="00270DA4" w:rsidRPr="00324C95">
        <w:rPr>
          <w:rFonts w:ascii="Times New Roman" w:hAnsi="Times New Roman"/>
        </w:rPr>
        <w:noBreakHyphen/>
      </w:r>
      <w:r w:rsidR="007D1B27" w:rsidRPr="00324C95">
        <w:rPr>
          <w:rFonts w:ascii="Times New Roman" w:hAnsi="Times New Roman"/>
        </w:rPr>
        <w:t>maker acts on an understanding of the law later held to be incorrect.</w:t>
      </w:r>
      <w:r w:rsidR="0026339D" w:rsidRPr="00324C95">
        <w:rPr>
          <w:rFonts w:ascii="Times New Roman" w:hAnsi="Times New Roman"/>
        </w:rPr>
        <w:t xml:space="preserve"> On either </w:t>
      </w:r>
      <w:r w:rsidR="00DC106A" w:rsidRPr="00324C95">
        <w:rPr>
          <w:rFonts w:ascii="Times New Roman" w:hAnsi="Times New Roman"/>
        </w:rPr>
        <w:t>contention</w:t>
      </w:r>
      <w:r w:rsidR="0026339D" w:rsidRPr="00324C95">
        <w:rPr>
          <w:rFonts w:ascii="Times New Roman" w:hAnsi="Times New Roman"/>
        </w:rPr>
        <w:t xml:space="preserve">, the Minister's decision not to revoke the cancellation of the </w:t>
      </w:r>
      <w:r w:rsidR="002A4362" w:rsidRPr="00324C95">
        <w:rPr>
          <w:rFonts w:ascii="Times New Roman" w:hAnsi="Times New Roman"/>
        </w:rPr>
        <w:t xml:space="preserve">plaintiff's </w:t>
      </w:r>
      <w:r w:rsidR="0026339D" w:rsidRPr="00324C95">
        <w:rPr>
          <w:rFonts w:ascii="Times New Roman" w:hAnsi="Times New Roman"/>
        </w:rPr>
        <w:t>visa</w:t>
      </w:r>
      <w:r w:rsidR="00522AA2" w:rsidRPr="00324C95">
        <w:rPr>
          <w:rFonts w:ascii="Times New Roman" w:hAnsi="Times New Roman"/>
        </w:rPr>
        <w:t xml:space="preserve"> was</w:t>
      </w:r>
      <w:r w:rsidR="0026339D" w:rsidRPr="00324C95">
        <w:rPr>
          <w:rFonts w:ascii="Times New Roman" w:hAnsi="Times New Roman"/>
        </w:rPr>
        <w:t>, according to the</w:t>
      </w:r>
      <w:r w:rsidR="002A4362" w:rsidRPr="00324C95">
        <w:rPr>
          <w:rFonts w:ascii="Times New Roman" w:hAnsi="Times New Roman"/>
        </w:rPr>
        <w:t xml:space="preserve"> plaintiff</w:t>
      </w:r>
      <w:r w:rsidR="0026339D" w:rsidRPr="00324C95">
        <w:rPr>
          <w:rFonts w:ascii="Times New Roman" w:hAnsi="Times New Roman"/>
        </w:rPr>
        <w:t>, void for jurisdictional error</w:t>
      </w:r>
      <w:r w:rsidR="00270DA4" w:rsidRPr="00324C95">
        <w:rPr>
          <w:rFonts w:ascii="Times New Roman" w:hAnsi="Times New Roman"/>
        </w:rPr>
        <w:t>.</w:t>
      </w:r>
    </w:p>
    <w:p w14:paraId="686EA0E2" w14:textId="111F14A1" w:rsidR="004F3E85" w:rsidRPr="00324C95" w:rsidRDefault="004F3E85" w:rsidP="00324C95">
      <w:pPr>
        <w:pStyle w:val="FixListStyle"/>
        <w:spacing w:after="260" w:line="280" w:lineRule="exact"/>
        <w:ind w:right="0"/>
        <w:jc w:val="both"/>
        <w:rPr>
          <w:rFonts w:ascii="Times New Roman" w:hAnsi="Times New Roman"/>
        </w:rPr>
      </w:pPr>
      <w:r w:rsidRPr="00324C95">
        <w:rPr>
          <w:rFonts w:ascii="Times New Roman" w:hAnsi="Times New Roman"/>
        </w:rPr>
        <w:tab/>
        <w:t xml:space="preserve">The </w:t>
      </w:r>
      <w:r w:rsidR="00FE24F5" w:rsidRPr="00324C95">
        <w:rPr>
          <w:rFonts w:ascii="Times New Roman" w:hAnsi="Times New Roman"/>
        </w:rPr>
        <w:t>Minister</w:t>
      </w:r>
      <w:r w:rsidRPr="00324C95">
        <w:rPr>
          <w:rFonts w:ascii="Times New Roman" w:hAnsi="Times New Roman"/>
        </w:rPr>
        <w:t xml:space="preserve"> made no further submissions in response to </w:t>
      </w:r>
      <w:r w:rsidRPr="00324C95">
        <w:rPr>
          <w:rFonts w:ascii="Times New Roman" w:hAnsi="Times New Roman"/>
          <w:i/>
          <w:iCs/>
        </w:rPr>
        <w:t>NZYQ</w:t>
      </w:r>
      <w:r w:rsidRPr="00324C95">
        <w:rPr>
          <w:rFonts w:ascii="Times New Roman" w:hAnsi="Times New Roman"/>
        </w:rPr>
        <w:t>.</w:t>
      </w:r>
      <w:r w:rsidR="003C4E9E" w:rsidRPr="00324C95">
        <w:rPr>
          <w:rStyle w:val="FootnoteReference"/>
          <w:rFonts w:ascii="Times New Roman" w:hAnsi="Times New Roman"/>
          <w:sz w:val="24"/>
        </w:rPr>
        <w:footnoteReference w:id="12"/>
      </w:r>
    </w:p>
    <w:p w14:paraId="00339BD5" w14:textId="0AAFD017" w:rsidR="0026339D" w:rsidRPr="00324C95" w:rsidRDefault="002A4362" w:rsidP="00324C95">
      <w:pPr>
        <w:pStyle w:val="HeadingL1"/>
        <w:spacing w:after="260" w:line="280" w:lineRule="exact"/>
        <w:ind w:right="0"/>
        <w:jc w:val="both"/>
        <w:rPr>
          <w:rFonts w:ascii="Times New Roman" w:hAnsi="Times New Roman"/>
        </w:rPr>
      </w:pPr>
      <w:r w:rsidRPr="00324C95">
        <w:rPr>
          <w:rFonts w:ascii="Times New Roman" w:hAnsi="Times New Roman"/>
        </w:rPr>
        <w:t xml:space="preserve">Primary judge's </w:t>
      </w:r>
      <w:r w:rsidR="0026339D" w:rsidRPr="00324C95">
        <w:rPr>
          <w:rFonts w:ascii="Times New Roman" w:hAnsi="Times New Roman"/>
        </w:rPr>
        <w:t>reasons</w:t>
      </w:r>
    </w:p>
    <w:p w14:paraId="181AC440" w14:textId="6D85BBE0" w:rsidR="0026339D" w:rsidRPr="00324C95" w:rsidRDefault="0026339D"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1F4AED" w:rsidRPr="00324C95">
        <w:rPr>
          <w:rFonts w:ascii="Times New Roman" w:hAnsi="Times New Roman"/>
        </w:rPr>
        <w:t>The primary judge</w:t>
      </w:r>
      <w:r w:rsidRPr="00324C95">
        <w:rPr>
          <w:rFonts w:ascii="Times New Roman" w:hAnsi="Times New Roman"/>
        </w:rPr>
        <w:t xml:space="preserve">, in dismissing the </w:t>
      </w:r>
      <w:r w:rsidR="002A4362" w:rsidRPr="00324C95">
        <w:rPr>
          <w:rFonts w:ascii="Times New Roman" w:hAnsi="Times New Roman"/>
        </w:rPr>
        <w:t xml:space="preserve">plaintiff's </w:t>
      </w:r>
      <w:r w:rsidR="004F3E85" w:rsidRPr="00324C95">
        <w:rPr>
          <w:rFonts w:ascii="Times New Roman" w:hAnsi="Times New Roman"/>
        </w:rPr>
        <w:t>extension of time application, reasoned that</w:t>
      </w:r>
      <w:r w:rsidR="00DA1E22" w:rsidRPr="00324C95">
        <w:rPr>
          <w:rFonts w:ascii="Times New Roman" w:hAnsi="Times New Roman"/>
        </w:rPr>
        <w:t>: (a) the power to extend time in s </w:t>
      </w:r>
      <w:r w:rsidR="00291132" w:rsidRPr="00324C95">
        <w:rPr>
          <w:rFonts w:ascii="Times New Roman" w:hAnsi="Times New Roman"/>
        </w:rPr>
        <w:t xml:space="preserve">477A(2) of the </w:t>
      </w:r>
      <w:r w:rsidR="00291132" w:rsidRPr="00324C95">
        <w:rPr>
          <w:rFonts w:ascii="Times New Roman" w:hAnsi="Times New Roman"/>
          <w:i/>
          <w:iCs/>
        </w:rPr>
        <w:t>Migration Act</w:t>
      </w:r>
      <w:r w:rsidR="00291132" w:rsidRPr="00324C95">
        <w:rPr>
          <w:rFonts w:ascii="Times New Roman" w:hAnsi="Times New Roman"/>
        </w:rPr>
        <w:t xml:space="preserve"> is unfettered except that </w:t>
      </w:r>
      <w:r w:rsidR="009D538A" w:rsidRPr="00324C95">
        <w:rPr>
          <w:rFonts w:ascii="Times New Roman" w:hAnsi="Times New Roman"/>
        </w:rPr>
        <w:t xml:space="preserve">there must be a written application and </w:t>
      </w:r>
      <w:r w:rsidR="00291132" w:rsidRPr="00324C95">
        <w:rPr>
          <w:rFonts w:ascii="Times New Roman" w:hAnsi="Times New Roman"/>
        </w:rPr>
        <w:t xml:space="preserve">the Court must be satisfied that it is </w:t>
      </w:r>
      <w:r w:rsidR="009D538A" w:rsidRPr="00324C95">
        <w:rPr>
          <w:rFonts w:ascii="Times New Roman" w:hAnsi="Times New Roman"/>
        </w:rPr>
        <w:t>"</w:t>
      </w:r>
      <w:r w:rsidR="00291132" w:rsidRPr="00324C95">
        <w:rPr>
          <w:rFonts w:ascii="Times New Roman" w:hAnsi="Times New Roman"/>
        </w:rPr>
        <w:t>in the interests of</w:t>
      </w:r>
      <w:r w:rsidR="009D538A" w:rsidRPr="00324C95">
        <w:rPr>
          <w:rFonts w:ascii="Times New Roman" w:hAnsi="Times New Roman"/>
        </w:rPr>
        <w:t xml:space="preserve"> the administration of</w:t>
      </w:r>
      <w:r w:rsidR="00291132" w:rsidRPr="00324C95">
        <w:rPr>
          <w:rFonts w:ascii="Times New Roman" w:hAnsi="Times New Roman"/>
        </w:rPr>
        <w:t xml:space="preserve"> justice</w:t>
      </w:r>
      <w:r w:rsidR="009D538A" w:rsidRPr="00324C95">
        <w:rPr>
          <w:rFonts w:ascii="Times New Roman" w:hAnsi="Times New Roman"/>
        </w:rPr>
        <w:t>"</w:t>
      </w:r>
      <w:r w:rsidR="00291132" w:rsidRPr="00324C95">
        <w:rPr>
          <w:rFonts w:ascii="Times New Roman" w:hAnsi="Times New Roman"/>
        </w:rPr>
        <w:t xml:space="preserve"> to </w:t>
      </w:r>
      <w:r w:rsidR="009D538A" w:rsidRPr="00324C95">
        <w:rPr>
          <w:rFonts w:ascii="Times New Roman" w:hAnsi="Times New Roman"/>
        </w:rPr>
        <w:t>extend time</w:t>
      </w:r>
      <w:r w:rsidR="00291132" w:rsidRPr="00324C95">
        <w:rPr>
          <w:rFonts w:ascii="Times New Roman" w:hAnsi="Times New Roman"/>
        </w:rPr>
        <w:t>;</w:t>
      </w:r>
      <w:r w:rsidR="00291132" w:rsidRPr="00324C95">
        <w:rPr>
          <w:rStyle w:val="FootnoteReference"/>
          <w:rFonts w:ascii="Times New Roman" w:hAnsi="Times New Roman"/>
          <w:sz w:val="24"/>
        </w:rPr>
        <w:footnoteReference w:id="13"/>
      </w:r>
      <w:r w:rsidR="00291132" w:rsidRPr="00324C95">
        <w:rPr>
          <w:rFonts w:ascii="Times New Roman" w:hAnsi="Times New Roman"/>
        </w:rPr>
        <w:t xml:space="preserve"> (b) </w:t>
      </w:r>
      <w:r w:rsidR="00AF57F2" w:rsidRPr="00324C95">
        <w:rPr>
          <w:rFonts w:ascii="Times New Roman" w:hAnsi="Times New Roman"/>
        </w:rPr>
        <w:t xml:space="preserve">in </w:t>
      </w:r>
      <w:r w:rsidR="00C11547" w:rsidRPr="00324C95">
        <w:rPr>
          <w:rFonts w:ascii="Times New Roman" w:hAnsi="Times New Roman"/>
        </w:rPr>
        <w:t>considering whether it is in the interests of the administration of justice to grant an extension of time, the merits of the proposed application are an important consideration;</w:t>
      </w:r>
      <w:r w:rsidR="00C11547" w:rsidRPr="00324C95">
        <w:rPr>
          <w:rStyle w:val="FootnoteReference"/>
          <w:rFonts w:ascii="Times New Roman" w:hAnsi="Times New Roman"/>
          <w:sz w:val="24"/>
        </w:rPr>
        <w:footnoteReference w:id="14"/>
      </w:r>
      <w:r w:rsidR="00DD1968" w:rsidRPr="00324C95">
        <w:rPr>
          <w:rFonts w:ascii="Times New Roman" w:hAnsi="Times New Roman"/>
        </w:rPr>
        <w:t xml:space="preserve"> and</w:t>
      </w:r>
      <w:r w:rsidR="00C11547" w:rsidRPr="00324C95">
        <w:rPr>
          <w:rFonts w:ascii="Times New Roman" w:hAnsi="Times New Roman"/>
        </w:rPr>
        <w:t xml:space="preserve"> (c) in the circumstances of this matter it was appropriate to </w:t>
      </w:r>
      <w:r w:rsidR="00183EC1" w:rsidRPr="00324C95">
        <w:rPr>
          <w:rFonts w:ascii="Times New Roman" w:hAnsi="Times New Roman"/>
        </w:rPr>
        <w:t xml:space="preserve">consider "both the substantive </w:t>
      </w:r>
      <w:r w:rsidR="00DD1968" w:rsidRPr="00324C95">
        <w:rPr>
          <w:rFonts w:ascii="Times New Roman" w:hAnsi="Times New Roman"/>
        </w:rPr>
        <w:t xml:space="preserve">[judicial review] </w:t>
      </w:r>
      <w:r w:rsidR="00183EC1" w:rsidRPr="00324C95">
        <w:rPr>
          <w:rFonts w:ascii="Times New Roman" w:hAnsi="Times New Roman"/>
        </w:rPr>
        <w:lastRenderedPageBreak/>
        <w:t>application and the application for an extension of time"</w:t>
      </w:r>
      <w:r w:rsidR="005C605B" w:rsidRPr="00324C95">
        <w:rPr>
          <w:rFonts w:ascii="Times New Roman" w:hAnsi="Times New Roman"/>
        </w:rPr>
        <w:t>.</w:t>
      </w:r>
      <w:r w:rsidR="00183EC1" w:rsidRPr="00324C95">
        <w:rPr>
          <w:rStyle w:val="FootnoteReference"/>
          <w:rFonts w:ascii="Times New Roman" w:hAnsi="Times New Roman"/>
          <w:sz w:val="24"/>
        </w:rPr>
        <w:footnoteReference w:id="15"/>
      </w:r>
      <w:r w:rsidR="00183EC1" w:rsidRPr="00324C95">
        <w:rPr>
          <w:rFonts w:ascii="Times New Roman" w:hAnsi="Times New Roman"/>
        </w:rPr>
        <w:t xml:space="preserve"> </w:t>
      </w:r>
      <w:r w:rsidR="005C605B" w:rsidRPr="00324C95">
        <w:rPr>
          <w:rFonts w:ascii="Times New Roman" w:hAnsi="Times New Roman"/>
        </w:rPr>
        <w:t>T</w:t>
      </w:r>
      <w:r w:rsidR="00183EC1" w:rsidRPr="00324C95">
        <w:rPr>
          <w:rFonts w:ascii="Times New Roman" w:hAnsi="Times New Roman"/>
        </w:rPr>
        <w:t>hese preliminary steps in his Honour's reasoning process are unobjectionable.</w:t>
      </w:r>
    </w:p>
    <w:p w14:paraId="05635875" w14:textId="669D950C" w:rsidR="00183EC1" w:rsidRPr="00324C95" w:rsidRDefault="00183EC1" w:rsidP="00324C95">
      <w:pPr>
        <w:pStyle w:val="FixListStyle"/>
        <w:spacing w:after="260" w:line="280" w:lineRule="exact"/>
        <w:ind w:right="0"/>
        <w:jc w:val="both"/>
        <w:rPr>
          <w:rFonts w:ascii="Times New Roman" w:hAnsi="Times New Roman"/>
        </w:rPr>
      </w:pPr>
      <w:r w:rsidRPr="00324C95">
        <w:rPr>
          <w:rFonts w:ascii="Times New Roman" w:hAnsi="Times New Roman"/>
        </w:rPr>
        <w:tab/>
        <w:t xml:space="preserve">In </w:t>
      </w:r>
      <w:r w:rsidR="00EB0723" w:rsidRPr="00324C95">
        <w:rPr>
          <w:rFonts w:ascii="Times New Roman" w:hAnsi="Times New Roman"/>
        </w:rPr>
        <w:t xml:space="preserve">considering "both the substantive </w:t>
      </w:r>
      <w:r w:rsidR="00522AA2" w:rsidRPr="00324C95">
        <w:rPr>
          <w:rFonts w:ascii="Times New Roman" w:hAnsi="Times New Roman"/>
        </w:rPr>
        <w:t xml:space="preserve">[judicial review] </w:t>
      </w:r>
      <w:r w:rsidR="00EB0723" w:rsidRPr="00324C95">
        <w:rPr>
          <w:rFonts w:ascii="Times New Roman" w:hAnsi="Times New Roman"/>
        </w:rPr>
        <w:t>application and the application for an extension of time"</w:t>
      </w:r>
      <w:r w:rsidR="005C605B" w:rsidRPr="00324C95">
        <w:rPr>
          <w:rFonts w:ascii="Times New Roman" w:hAnsi="Times New Roman"/>
        </w:rPr>
        <w:t>,</w:t>
      </w:r>
      <w:r w:rsidR="00EB0723" w:rsidRPr="00324C95">
        <w:rPr>
          <w:rFonts w:ascii="Times New Roman" w:hAnsi="Times New Roman"/>
        </w:rPr>
        <w:t xml:space="preserve"> his Honour relevantly reasoned</w:t>
      </w:r>
      <w:r w:rsidR="00ED070B" w:rsidRPr="00324C95">
        <w:rPr>
          <w:rFonts w:ascii="Times New Roman" w:hAnsi="Times New Roman"/>
        </w:rPr>
        <w:t xml:space="preserve"> that</w:t>
      </w:r>
      <w:r w:rsidR="002F4BA5" w:rsidRPr="00324C95" w:rsidDel="00DC106A">
        <w:rPr>
          <w:rFonts w:ascii="Times New Roman" w:hAnsi="Times New Roman"/>
        </w:rPr>
        <w:t xml:space="preserve"> </w:t>
      </w:r>
      <w:r w:rsidR="00DC106A" w:rsidRPr="00324C95">
        <w:rPr>
          <w:rFonts w:ascii="Times New Roman" w:hAnsi="Times New Roman"/>
        </w:rPr>
        <w:t xml:space="preserve">the </w:t>
      </w:r>
      <w:r w:rsidR="00495D64" w:rsidRPr="00324C95">
        <w:rPr>
          <w:rFonts w:ascii="Times New Roman" w:hAnsi="Times New Roman"/>
        </w:rPr>
        <w:t xml:space="preserve">plaintiff's </w:t>
      </w:r>
      <w:r w:rsidR="00DC106A" w:rsidRPr="00324C95">
        <w:rPr>
          <w:rFonts w:ascii="Times New Roman" w:hAnsi="Times New Roman"/>
        </w:rPr>
        <w:t xml:space="preserve">first contention </w:t>
      </w:r>
      <w:r w:rsidR="002F4BA5" w:rsidRPr="00324C95">
        <w:rPr>
          <w:rFonts w:ascii="Times New Roman" w:hAnsi="Times New Roman"/>
        </w:rPr>
        <w:t>must be rejected as</w:t>
      </w:r>
      <w:r w:rsidR="00786DA9" w:rsidRPr="00324C95">
        <w:rPr>
          <w:rFonts w:ascii="Times New Roman" w:hAnsi="Times New Roman"/>
        </w:rPr>
        <w:t>,</w:t>
      </w:r>
      <w:r w:rsidR="002F4BA5" w:rsidRPr="00324C95">
        <w:rPr>
          <w:rFonts w:ascii="Times New Roman" w:hAnsi="Times New Roman"/>
        </w:rPr>
        <w:t xml:space="preserve"> </w:t>
      </w:r>
      <w:r w:rsidR="002D3448" w:rsidRPr="00324C95">
        <w:rPr>
          <w:rFonts w:ascii="Times New Roman" w:hAnsi="Times New Roman"/>
        </w:rPr>
        <w:t xml:space="preserve">while "those matters may well be factors to be taken into account now, it is for the reasons set out above concerning the proper approach to the exercise of the power in s 501CA(4) that I do not accept that those factors by themselves could comprise </w:t>
      </w:r>
      <w:r w:rsidR="00DC106A" w:rsidRPr="00324C95">
        <w:rPr>
          <w:rFonts w:ascii="Times New Roman" w:hAnsi="Times New Roman"/>
        </w:rPr>
        <w:t>'</w:t>
      </w:r>
      <w:r w:rsidR="002D3448" w:rsidRPr="00324C95">
        <w:rPr>
          <w:rFonts w:ascii="Times New Roman" w:hAnsi="Times New Roman"/>
        </w:rPr>
        <w:t>another reason</w:t>
      </w:r>
      <w:r w:rsidR="00DC106A" w:rsidRPr="00324C95">
        <w:rPr>
          <w:rFonts w:ascii="Times New Roman" w:hAnsi="Times New Roman"/>
        </w:rPr>
        <w:t>'</w:t>
      </w:r>
      <w:r w:rsidR="002D3448" w:rsidRPr="00324C95">
        <w:rPr>
          <w:rFonts w:ascii="Times New Roman" w:hAnsi="Times New Roman"/>
        </w:rPr>
        <w:t xml:space="preserve"> for the Minister to decide to revoke the cancellation of the applicant's visa"</w:t>
      </w:r>
      <w:r w:rsidR="00DC106A" w:rsidRPr="00324C95">
        <w:rPr>
          <w:rFonts w:ascii="Times New Roman" w:hAnsi="Times New Roman"/>
        </w:rPr>
        <w:t>.</w:t>
      </w:r>
      <w:r w:rsidR="002D3448" w:rsidRPr="00324C95">
        <w:rPr>
          <w:rStyle w:val="FootnoteReference"/>
          <w:rFonts w:ascii="Times New Roman" w:hAnsi="Times New Roman"/>
          <w:sz w:val="24"/>
        </w:rPr>
        <w:footnoteReference w:id="16"/>
      </w:r>
      <w:r w:rsidR="002D3448" w:rsidRPr="00324C95">
        <w:rPr>
          <w:rFonts w:ascii="Times New Roman" w:hAnsi="Times New Roman"/>
        </w:rPr>
        <w:t xml:space="preserve"> His Honour relevantly reasoned that </w:t>
      </w:r>
      <w:r w:rsidR="00DC106A" w:rsidRPr="00324C95">
        <w:rPr>
          <w:rFonts w:ascii="Times New Roman" w:hAnsi="Times New Roman"/>
        </w:rPr>
        <w:t xml:space="preserve">the </w:t>
      </w:r>
      <w:r w:rsidR="0081497C" w:rsidRPr="00324C95">
        <w:rPr>
          <w:rFonts w:ascii="Times New Roman" w:hAnsi="Times New Roman"/>
        </w:rPr>
        <w:t xml:space="preserve">plaintiff's </w:t>
      </w:r>
      <w:r w:rsidR="00DC106A" w:rsidRPr="00324C95">
        <w:rPr>
          <w:rFonts w:ascii="Times New Roman" w:hAnsi="Times New Roman"/>
        </w:rPr>
        <w:t>second contention</w:t>
      </w:r>
      <w:r w:rsidR="002D3448" w:rsidRPr="00324C95">
        <w:rPr>
          <w:rFonts w:ascii="Times New Roman" w:hAnsi="Times New Roman"/>
        </w:rPr>
        <w:t xml:space="preserve"> must also be rejected as </w:t>
      </w:r>
      <w:r w:rsidR="002C570B" w:rsidRPr="00324C95">
        <w:rPr>
          <w:rFonts w:ascii="Times New Roman" w:hAnsi="Times New Roman"/>
        </w:rPr>
        <w:t>"[a]</w:t>
      </w:r>
      <w:proofErr w:type="spellStart"/>
      <w:r w:rsidR="002C570B" w:rsidRPr="00324C95">
        <w:rPr>
          <w:rFonts w:ascii="Times New Roman" w:hAnsi="Times New Roman"/>
        </w:rPr>
        <w:t>lthough</w:t>
      </w:r>
      <w:proofErr w:type="spellEnd"/>
      <w:r w:rsidR="002C570B" w:rsidRPr="00324C95">
        <w:rPr>
          <w:rFonts w:ascii="Times New Roman" w:hAnsi="Times New Roman"/>
        </w:rPr>
        <w:t xml:space="preserve"> the law has changed, I do not consider the Minister’s decision was legally unreasonable as that concept was discussed by </w:t>
      </w:r>
      <w:proofErr w:type="spellStart"/>
      <w:r w:rsidR="002C570B" w:rsidRPr="00324C95">
        <w:rPr>
          <w:rFonts w:ascii="Times New Roman" w:hAnsi="Times New Roman"/>
        </w:rPr>
        <w:t>Crennan</w:t>
      </w:r>
      <w:proofErr w:type="spellEnd"/>
      <w:r w:rsidR="002C570B" w:rsidRPr="00324C95">
        <w:rPr>
          <w:rFonts w:ascii="Times New Roman" w:hAnsi="Times New Roman"/>
        </w:rPr>
        <w:t xml:space="preserve"> and Bell</w:t>
      </w:r>
      <w:r w:rsidR="00B30B34" w:rsidRPr="00324C95">
        <w:rPr>
          <w:rFonts w:ascii="Times New Roman" w:hAnsi="Times New Roman"/>
        </w:rPr>
        <w:t> </w:t>
      </w:r>
      <w:r w:rsidR="002C570B" w:rsidRPr="00324C95">
        <w:rPr>
          <w:rFonts w:ascii="Times New Roman" w:hAnsi="Times New Roman"/>
        </w:rPr>
        <w:t xml:space="preserve">JJ in </w:t>
      </w:r>
      <w:r w:rsidR="002C570B" w:rsidRPr="00324C95">
        <w:rPr>
          <w:rFonts w:ascii="Times New Roman" w:hAnsi="Times New Roman"/>
          <w:i/>
          <w:iCs/>
        </w:rPr>
        <w:t>Minister for Immigration and Citizenship v SZMDS</w:t>
      </w:r>
      <w:r w:rsidR="002C570B" w:rsidRPr="00324C95">
        <w:rPr>
          <w:rFonts w:ascii="Times New Roman" w:hAnsi="Times New Roman"/>
        </w:rPr>
        <w:t xml:space="preserve"> [2010] HCA 16; 240 CLR 611 at [131], [133] and [135]"</w:t>
      </w:r>
      <w:r w:rsidR="00DC106A" w:rsidRPr="00324C95">
        <w:rPr>
          <w:rFonts w:ascii="Times New Roman" w:hAnsi="Times New Roman"/>
        </w:rPr>
        <w:t>.</w:t>
      </w:r>
      <w:r w:rsidR="002C570B" w:rsidRPr="00324C95">
        <w:rPr>
          <w:rStyle w:val="FootnoteReference"/>
          <w:rFonts w:ascii="Times New Roman" w:hAnsi="Times New Roman"/>
          <w:sz w:val="24"/>
        </w:rPr>
        <w:footnoteReference w:id="17"/>
      </w:r>
    </w:p>
    <w:p w14:paraId="79BA2A00" w14:textId="6D645ED9" w:rsidR="004040B2" w:rsidRPr="00324C95" w:rsidRDefault="004040B2" w:rsidP="00324C95">
      <w:pPr>
        <w:pStyle w:val="HeadingL1"/>
        <w:spacing w:after="260" w:line="280" w:lineRule="exact"/>
        <w:ind w:right="0"/>
        <w:jc w:val="both"/>
        <w:rPr>
          <w:rFonts w:ascii="Times New Roman" w:hAnsi="Times New Roman"/>
        </w:rPr>
      </w:pPr>
      <w:r w:rsidRPr="00324C95">
        <w:rPr>
          <w:rFonts w:ascii="Times New Roman" w:hAnsi="Times New Roman"/>
        </w:rPr>
        <w:t>Jurisdictional error?</w:t>
      </w:r>
    </w:p>
    <w:p w14:paraId="5808725D" w14:textId="342A6BCC" w:rsidR="004040B2" w:rsidRPr="00324C95" w:rsidRDefault="004040B2"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8A75E4" w:rsidRPr="00324C95">
        <w:rPr>
          <w:rFonts w:ascii="Times New Roman" w:hAnsi="Times New Roman"/>
        </w:rPr>
        <w:t xml:space="preserve">The </w:t>
      </w:r>
      <w:r w:rsidR="00D46384" w:rsidRPr="00324C95">
        <w:rPr>
          <w:rFonts w:ascii="Times New Roman" w:hAnsi="Times New Roman"/>
        </w:rPr>
        <w:t>Minister</w:t>
      </w:r>
      <w:r w:rsidR="00FE24F5" w:rsidRPr="00324C95">
        <w:rPr>
          <w:rFonts w:ascii="Times New Roman" w:hAnsi="Times New Roman"/>
        </w:rPr>
        <w:t xml:space="preserve"> </w:t>
      </w:r>
      <w:r w:rsidR="008A75E4" w:rsidRPr="00324C95">
        <w:rPr>
          <w:rFonts w:ascii="Times New Roman" w:hAnsi="Times New Roman"/>
        </w:rPr>
        <w:t xml:space="preserve">submitted that </w:t>
      </w:r>
      <w:r w:rsidR="001F4AED" w:rsidRPr="00324C95">
        <w:rPr>
          <w:rFonts w:ascii="Times New Roman" w:hAnsi="Times New Roman"/>
        </w:rPr>
        <w:t xml:space="preserve">the primary judge's </w:t>
      </w:r>
      <w:r w:rsidR="008A75E4" w:rsidRPr="00324C95">
        <w:rPr>
          <w:rFonts w:ascii="Times New Roman" w:hAnsi="Times New Roman"/>
        </w:rPr>
        <w:t xml:space="preserve">reasoning does not disclose any jurisdictional error. </w:t>
      </w:r>
      <w:r w:rsidR="00A3555A" w:rsidRPr="00324C95">
        <w:rPr>
          <w:rFonts w:ascii="Times New Roman" w:hAnsi="Times New Roman"/>
        </w:rPr>
        <w:t xml:space="preserve">As the </w:t>
      </w:r>
      <w:r w:rsidR="00D46384" w:rsidRPr="00324C95">
        <w:rPr>
          <w:rFonts w:ascii="Times New Roman" w:hAnsi="Times New Roman"/>
        </w:rPr>
        <w:t>Minister</w:t>
      </w:r>
      <w:r w:rsidR="00FE24F5" w:rsidRPr="00324C95">
        <w:rPr>
          <w:rFonts w:ascii="Times New Roman" w:hAnsi="Times New Roman"/>
        </w:rPr>
        <w:t xml:space="preserve"> </w:t>
      </w:r>
      <w:r w:rsidR="00A3555A" w:rsidRPr="00324C95">
        <w:rPr>
          <w:rFonts w:ascii="Times New Roman" w:hAnsi="Times New Roman"/>
        </w:rPr>
        <w:t>put it: (a) </w:t>
      </w:r>
      <w:r w:rsidR="00AA7752" w:rsidRPr="00324C95">
        <w:rPr>
          <w:rFonts w:ascii="Times New Roman" w:hAnsi="Times New Roman"/>
        </w:rPr>
        <w:t>"the mere fact that a proposed ground may not have been considered in the sense that a different view may be taken by other judges as to the nature and scope of the grounds is not jurisdictional</w:t>
      </w:r>
      <w:r w:rsidR="004F5F4E" w:rsidRPr="00324C95">
        <w:rPr>
          <w:rFonts w:ascii="Times New Roman" w:hAnsi="Times New Roman"/>
        </w:rPr>
        <w:t xml:space="preserve"> </w:t>
      </w:r>
      <w:r w:rsidR="00AA7752" w:rsidRPr="00324C95">
        <w:rPr>
          <w:rFonts w:ascii="Times New Roman" w:hAnsi="Times New Roman"/>
        </w:rPr>
        <w:t>...</w:t>
      </w:r>
      <w:r w:rsidR="00B41BA2" w:rsidRPr="00324C95">
        <w:rPr>
          <w:rFonts w:ascii="Times New Roman" w:hAnsi="Times New Roman"/>
        </w:rPr>
        <w:t xml:space="preserve"> [I]t</w:t>
      </w:r>
      <w:r w:rsidR="00F0202F" w:rsidRPr="00324C95">
        <w:rPr>
          <w:rFonts w:ascii="Times New Roman" w:hAnsi="Times New Roman"/>
        </w:rPr>
        <w:t xml:space="preserve"> is only the crucial arguments that are to be addressed by judges in their reasons and it is for the judge to formulate the issues by considering the application";</w:t>
      </w:r>
      <w:r w:rsidR="00F0202F" w:rsidRPr="00324C95">
        <w:rPr>
          <w:rStyle w:val="FootnoteReference"/>
          <w:rFonts w:ascii="Times New Roman" w:hAnsi="Times New Roman"/>
          <w:sz w:val="24"/>
        </w:rPr>
        <w:footnoteReference w:id="18"/>
      </w:r>
      <w:r w:rsidR="008B219D" w:rsidRPr="00324C95">
        <w:rPr>
          <w:rFonts w:ascii="Times New Roman" w:hAnsi="Times New Roman"/>
        </w:rPr>
        <w:t xml:space="preserve"> (b) his Honour </w:t>
      </w:r>
      <w:r w:rsidR="006839BA" w:rsidRPr="00324C95">
        <w:rPr>
          <w:rFonts w:ascii="Times New Roman" w:hAnsi="Times New Roman"/>
        </w:rPr>
        <w:t>did not "wholly neglect to deal with, or fundamentally misunderstand, the</w:t>
      </w:r>
      <w:r w:rsidR="006839BA" w:rsidRPr="00324C95" w:rsidDel="00FE24F5">
        <w:rPr>
          <w:rFonts w:ascii="Times New Roman" w:hAnsi="Times New Roman"/>
        </w:rPr>
        <w:t xml:space="preserve"> </w:t>
      </w:r>
      <w:r w:rsidR="00FE24F5" w:rsidRPr="00324C95">
        <w:rPr>
          <w:rFonts w:ascii="Times New Roman" w:hAnsi="Times New Roman"/>
        </w:rPr>
        <w:t xml:space="preserve">plaintiff's </w:t>
      </w:r>
      <w:r w:rsidR="00B41BA2" w:rsidRPr="00324C95">
        <w:rPr>
          <w:rFonts w:ascii="Times New Roman" w:hAnsi="Times New Roman"/>
        </w:rPr>
        <w:t xml:space="preserve">... </w:t>
      </w:r>
      <w:r w:rsidR="006839BA" w:rsidRPr="00324C95">
        <w:rPr>
          <w:rFonts w:ascii="Times New Roman" w:hAnsi="Times New Roman"/>
        </w:rPr>
        <w:t xml:space="preserve">argument based on </w:t>
      </w:r>
      <w:r w:rsidR="00A92ACF" w:rsidRPr="00324C95">
        <w:rPr>
          <w:rFonts w:ascii="Times New Roman" w:hAnsi="Times New Roman"/>
          <w:i/>
          <w:iCs/>
        </w:rPr>
        <w:t>Mohammed</w:t>
      </w:r>
      <w:r w:rsidR="00B41BA2" w:rsidRPr="00324C95">
        <w:rPr>
          <w:rFonts w:ascii="Times New Roman" w:hAnsi="Times New Roman"/>
        </w:rPr>
        <w:t>"</w:t>
      </w:r>
      <w:r w:rsidR="00A92ACF" w:rsidRPr="00324C95">
        <w:rPr>
          <w:rFonts w:ascii="Times New Roman" w:hAnsi="Times New Roman"/>
        </w:rPr>
        <w:t xml:space="preserve">; (c) while his Honour did not refer to </w:t>
      </w:r>
      <w:r w:rsidR="00A92ACF" w:rsidRPr="00324C95">
        <w:rPr>
          <w:rFonts w:ascii="Times New Roman" w:hAnsi="Times New Roman"/>
          <w:i/>
          <w:iCs/>
        </w:rPr>
        <w:t>Mohammed</w:t>
      </w:r>
      <w:r w:rsidR="00A92ACF" w:rsidRPr="00324C95">
        <w:rPr>
          <w:rFonts w:ascii="Times New Roman" w:hAnsi="Times New Roman"/>
        </w:rPr>
        <w:t xml:space="preserve">, it is plain that he </w:t>
      </w:r>
      <w:r w:rsidR="00324226" w:rsidRPr="00324C95">
        <w:rPr>
          <w:rFonts w:ascii="Times New Roman" w:hAnsi="Times New Roman"/>
        </w:rPr>
        <w:t xml:space="preserve">identified and considered the submission based on </w:t>
      </w:r>
      <w:r w:rsidR="00324226" w:rsidRPr="00324C95">
        <w:rPr>
          <w:rFonts w:ascii="Times New Roman" w:hAnsi="Times New Roman"/>
          <w:i/>
          <w:iCs/>
        </w:rPr>
        <w:t>Mohammed</w:t>
      </w:r>
      <w:r w:rsidR="00324226" w:rsidRPr="00324C95">
        <w:rPr>
          <w:rFonts w:ascii="Times New Roman" w:hAnsi="Times New Roman"/>
        </w:rPr>
        <w:t xml:space="preserve">; </w:t>
      </w:r>
      <w:r w:rsidR="00F90854" w:rsidRPr="00324C95">
        <w:rPr>
          <w:rFonts w:ascii="Times New Roman" w:hAnsi="Times New Roman"/>
        </w:rPr>
        <w:t xml:space="preserve">and </w:t>
      </w:r>
      <w:r w:rsidR="00324226" w:rsidRPr="00324C95">
        <w:rPr>
          <w:rFonts w:ascii="Times New Roman" w:hAnsi="Times New Roman"/>
        </w:rPr>
        <w:t>(</w:t>
      </w:r>
      <w:r w:rsidR="00F90854" w:rsidRPr="00324C95">
        <w:rPr>
          <w:rFonts w:ascii="Times New Roman" w:hAnsi="Times New Roman"/>
        </w:rPr>
        <w:t>d</w:t>
      </w:r>
      <w:r w:rsidR="00324226" w:rsidRPr="00324C95">
        <w:rPr>
          <w:rFonts w:ascii="Times New Roman" w:hAnsi="Times New Roman"/>
        </w:rPr>
        <w:t>) </w:t>
      </w:r>
      <w:r w:rsidR="002A78B3" w:rsidRPr="00324C95">
        <w:rPr>
          <w:rFonts w:ascii="Times New Roman" w:hAnsi="Times New Roman"/>
        </w:rPr>
        <w:t xml:space="preserve">in any event, </w:t>
      </w:r>
      <w:r w:rsidR="00324226" w:rsidRPr="00324C95">
        <w:rPr>
          <w:rFonts w:ascii="Times New Roman" w:hAnsi="Times New Roman"/>
        </w:rPr>
        <w:t>as held by Kenne</w:t>
      </w:r>
      <w:r w:rsidR="002A78B3" w:rsidRPr="00324C95">
        <w:rPr>
          <w:rFonts w:ascii="Times New Roman" w:hAnsi="Times New Roman"/>
        </w:rPr>
        <w:t>t</w:t>
      </w:r>
      <w:r w:rsidR="00324226" w:rsidRPr="00324C95">
        <w:rPr>
          <w:rFonts w:ascii="Times New Roman" w:hAnsi="Times New Roman"/>
        </w:rPr>
        <w:t xml:space="preserve">t J in </w:t>
      </w:r>
      <w:r w:rsidR="002A78B3" w:rsidRPr="00324C95">
        <w:rPr>
          <w:rFonts w:ascii="Times New Roman" w:hAnsi="Times New Roman"/>
          <w:i/>
          <w:iCs/>
        </w:rPr>
        <w:t xml:space="preserve">AJN23 v Minister for Immigration, Citizenship and Multicultural </w:t>
      </w:r>
      <w:r w:rsidR="002A78B3" w:rsidRPr="00324C95">
        <w:rPr>
          <w:rFonts w:ascii="Times New Roman" w:hAnsi="Times New Roman"/>
          <w:i/>
          <w:iCs/>
        </w:rPr>
        <w:lastRenderedPageBreak/>
        <w:t>Affairs</w:t>
      </w:r>
      <w:r w:rsidR="00F90854" w:rsidRPr="00324C95">
        <w:rPr>
          <w:rFonts w:ascii="Times New Roman" w:hAnsi="Times New Roman"/>
        </w:rPr>
        <w:t>,</w:t>
      </w:r>
      <w:r w:rsidR="002A78B3" w:rsidRPr="00324C95">
        <w:rPr>
          <w:rStyle w:val="FootnoteReference"/>
          <w:rFonts w:ascii="Times New Roman" w:hAnsi="Times New Roman"/>
          <w:sz w:val="24"/>
        </w:rPr>
        <w:footnoteReference w:id="19"/>
      </w:r>
      <w:r w:rsidR="0019629A" w:rsidRPr="00324C95" w:rsidDel="00F90854">
        <w:rPr>
          <w:rFonts w:ascii="Times New Roman" w:hAnsi="Times New Roman"/>
        </w:rPr>
        <w:t xml:space="preserve"> </w:t>
      </w:r>
      <w:r w:rsidR="00696D49" w:rsidRPr="00324C95">
        <w:rPr>
          <w:rFonts w:ascii="Times New Roman" w:hAnsi="Times New Roman"/>
        </w:rPr>
        <w:t xml:space="preserve">legal unreasonableness </w:t>
      </w:r>
      <w:r w:rsidR="00DA0553" w:rsidRPr="00324C95">
        <w:rPr>
          <w:rFonts w:ascii="Times New Roman" w:hAnsi="Times New Roman"/>
        </w:rPr>
        <w:t>"</w:t>
      </w:r>
      <w:r w:rsidR="00696D49" w:rsidRPr="00324C95">
        <w:rPr>
          <w:rFonts w:ascii="Times New Roman" w:hAnsi="Times New Roman"/>
        </w:rPr>
        <w:t>is to be judged at the time the power is exercised or should have been exercised".</w:t>
      </w:r>
      <w:r w:rsidR="00696D49" w:rsidRPr="00324C95">
        <w:rPr>
          <w:rStyle w:val="FootnoteReference"/>
          <w:rFonts w:ascii="Times New Roman" w:hAnsi="Times New Roman"/>
          <w:sz w:val="24"/>
        </w:rPr>
        <w:footnoteReference w:id="20"/>
      </w:r>
    </w:p>
    <w:p w14:paraId="2A241F3A" w14:textId="6FD42B2F" w:rsidR="00696D49" w:rsidRPr="00324C95" w:rsidRDefault="00696D49" w:rsidP="00324C95">
      <w:pPr>
        <w:pStyle w:val="FixListStyle"/>
        <w:spacing w:after="260" w:line="280" w:lineRule="exact"/>
        <w:ind w:right="0"/>
        <w:jc w:val="both"/>
        <w:rPr>
          <w:rFonts w:ascii="Times New Roman" w:hAnsi="Times New Roman"/>
        </w:rPr>
      </w:pPr>
      <w:r w:rsidRPr="00324C95">
        <w:rPr>
          <w:rFonts w:ascii="Times New Roman" w:hAnsi="Times New Roman"/>
        </w:rPr>
        <w:tab/>
        <w:t xml:space="preserve">The </w:t>
      </w:r>
      <w:r w:rsidR="003B7598" w:rsidRPr="00324C95">
        <w:rPr>
          <w:rFonts w:ascii="Times New Roman" w:hAnsi="Times New Roman"/>
        </w:rPr>
        <w:t>Minister</w:t>
      </w:r>
      <w:r w:rsidR="00FE24F5" w:rsidRPr="00324C95">
        <w:rPr>
          <w:rFonts w:ascii="Times New Roman" w:hAnsi="Times New Roman"/>
        </w:rPr>
        <w:t>'</w:t>
      </w:r>
      <w:r w:rsidR="003B7598" w:rsidRPr="00324C95">
        <w:rPr>
          <w:rFonts w:ascii="Times New Roman" w:hAnsi="Times New Roman"/>
        </w:rPr>
        <w:t>s</w:t>
      </w:r>
      <w:r w:rsidR="00FE24F5" w:rsidRPr="00324C95">
        <w:rPr>
          <w:rFonts w:ascii="Times New Roman" w:hAnsi="Times New Roman"/>
        </w:rPr>
        <w:t xml:space="preserve"> </w:t>
      </w:r>
      <w:r w:rsidRPr="00324C95">
        <w:rPr>
          <w:rFonts w:ascii="Times New Roman" w:hAnsi="Times New Roman"/>
        </w:rPr>
        <w:t xml:space="preserve">submissions do not confront the reality of </w:t>
      </w:r>
      <w:r w:rsidR="001F4AED" w:rsidRPr="00324C95">
        <w:rPr>
          <w:rFonts w:ascii="Times New Roman" w:hAnsi="Times New Roman"/>
        </w:rPr>
        <w:t>the primary judge</w:t>
      </w:r>
      <w:r w:rsidR="003A48D7" w:rsidRPr="00324C95">
        <w:rPr>
          <w:rFonts w:ascii="Times New Roman" w:hAnsi="Times New Roman"/>
        </w:rPr>
        <w:t xml:space="preserve">'s </w:t>
      </w:r>
      <w:r w:rsidRPr="00324C95">
        <w:rPr>
          <w:rFonts w:ascii="Times New Roman" w:hAnsi="Times New Roman"/>
        </w:rPr>
        <w:t xml:space="preserve">reasoning. </w:t>
      </w:r>
      <w:r w:rsidR="002328DC" w:rsidRPr="00324C95">
        <w:rPr>
          <w:rFonts w:ascii="Times New Roman" w:hAnsi="Times New Roman"/>
        </w:rPr>
        <w:t xml:space="preserve">There are different kinds of legal unreasonableness. </w:t>
      </w:r>
      <w:r w:rsidR="002F357B" w:rsidRPr="00324C95">
        <w:rPr>
          <w:rFonts w:ascii="Times New Roman" w:hAnsi="Times New Roman"/>
        </w:rPr>
        <w:t>T</w:t>
      </w:r>
      <w:r w:rsidR="00624B3F" w:rsidRPr="00324C95">
        <w:rPr>
          <w:rFonts w:ascii="Times New Roman" w:hAnsi="Times New Roman"/>
        </w:rPr>
        <w:t>he</w:t>
      </w:r>
      <w:r w:rsidR="006E3F2D" w:rsidRPr="00324C95">
        <w:rPr>
          <w:rFonts w:ascii="Times New Roman" w:hAnsi="Times New Roman"/>
        </w:rPr>
        <w:t xml:space="preserve"> plaintiff's </w:t>
      </w:r>
      <w:r w:rsidR="00674D7C" w:rsidRPr="00324C95">
        <w:rPr>
          <w:rFonts w:ascii="Times New Roman" w:hAnsi="Times New Roman"/>
        </w:rPr>
        <w:t xml:space="preserve">further </w:t>
      </w:r>
      <w:r w:rsidR="00624B3F" w:rsidRPr="00324C95">
        <w:rPr>
          <w:rFonts w:ascii="Times New Roman" w:hAnsi="Times New Roman"/>
        </w:rPr>
        <w:t xml:space="preserve">submissions framed the relevance of </w:t>
      </w:r>
      <w:r w:rsidR="00624B3F" w:rsidRPr="00324C95">
        <w:rPr>
          <w:rFonts w:ascii="Times New Roman" w:hAnsi="Times New Roman"/>
          <w:i/>
          <w:iCs/>
        </w:rPr>
        <w:t>NZYQ</w:t>
      </w:r>
      <w:r w:rsidR="00624B3F" w:rsidRPr="00324C95">
        <w:rPr>
          <w:rFonts w:ascii="Times New Roman" w:hAnsi="Times New Roman"/>
        </w:rPr>
        <w:t xml:space="preserve"> to the alleged unreasonableness of the Minister's decision not to revoke the cancellation of the </w:t>
      </w:r>
      <w:r w:rsidR="00FE24F5" w:rsidRPr="00324C95">
        <w:rPr>
          <w:rFonts w:ascii="Times New Roman" w:hAnsi="Times New Roman"/>
        </w:rPr>
        <w:t xml:space="preserve">plaintiff's </w:t>
      </w:r>
      <w:r w:rsidR="00624B3F" w:rsidRPr="00324C95">
        <w:rPr>
          <w:rFonts w:ascii="Times New Roman" w:hAnsi="Times New Roman"/>
        </w:rPr>
        <w:t xml:space="preserve">visa as consisting of two </w:t>
      </w:r>
      <w:r w:rsidR="00674D7C" w:rsidRPr="00324C95">
        <w:rPr>
          <w:rFonts w:ascii="Times New Roman" w:hAnsi="Times New Roman"/>
        </w:rPr>
        <w:t>contentions</w:t>
      </w:r>
      <w:r w:rsidR="002F357B" w:rsidRPr="00324C95">
        <w:rPr>
          <w:rFonts w:ascii="Times New Roman" w:hAnsi="Times New Roman"/>
        </w:rPr>
        <w:t xml:space="preserve">. </w:t>
      </w:r>
      <w:r w:rsidR="00674D7C" w:rsidRPr="00324C95">
        <w:rPr>
          <w:rFonts w:ascii="Times New Roman" w:hAnsi="Times New Roman"/>
        </w:rPr>
        <w:t xml:space="preserve">The </w:t>
      </w:r>
      <w:r w:rsidR="00380231" w:rsidRPr="00324C95">
        <w:rPr>
          <w:rFonts w:ascii="Times New Roman" w:hAnsi="Times New Roman"/>
        </w:rPr>
        <w:t>plaintiff's</w:t>
      </w:r>
      <w:r w:rsidR="00674D7C" w:rsidRPr="00324C95">
        <w:rPr>
          <w:rFonts w:ascii="Times New Roman" w:hAnsi="Times New Roman"/>
        </w:rPr>
        <w:t xml:space="preserve"> first contention</w:t>
      </w:r>
      <w:r w:rsidR="00DA0553" w:rsidRPr="00324C95">
        <w:rPr>
          <w:rFonts w:ascii="Times New Roman" w:hAnsi="Times New Roman"/>
        </w:rPr>
        <w:t xml:space="preserve"> was capable of being answered by the proposition that legal unreasonableness "is to be judged at the time the power is exercised or should have been exercised". </w:t>
      </w:r>
      <w:r w:rsidR="002A17A3" w:rsidRPr="00324C95">
        <w:rPr>
          <w:rFonts w:ascii="Times New Roman" w:hAnsi="Times New Roman"/>
        </w:rPr>
        <w:t xml:space="preserve">This is because </w:t>
      </w:r>
      <w:r w:rsidR="00731B78" w:rsidRPr="00324C95">
        <w:rPr>
          <w:rFonts w:ascii="Times New Roman" w:hAnsi="Times New Roman"/>
        </w:rPr>
        <w:t>the first contention</w:t>
      </w:r>
      <w:r w:rsidR="002A17A3" w:rsidRPr="00324C95">
        <w:rPr>
          <w:rFonts w:ascii="Times New Roman" w:hAnsi="Times New Roman"/>
        </w:rPr>
        <w:t xml:space="preserve"> concerns </w:t>
      </w:r>
      <w:r w:rsidR="003E7B79" w:rsidRPr="00324C95">
        <w:rPr>
          <w:rFonts w:ascii="Times New Roman" w:hAnsi="Times New Roman"/>
        </w:rPr>
        <w:t xml:space="preserve">only </w:t>
      </w:r>
      <w:r w:rsidR="002A17A3" w:rsidRPr="00324C95">
        <w:rPr>
          <w:rFonts w:ascii="Times New Roman" w:hAnsi="Times New Roman"/>
        </w:rPr>
        <w:t>the</w:t>
      </w:r>
      <w:r w:rsidR="0077036D" w:rsidRPr="00324C95">
        <w:rPr>
          <w:rFonts w:ascii="Times New Roman" w:hAnsi="Times New Roman"/>
        </w:rPr>
        <w:t xml:space="preserve"> Minister's (mis)understanding of the consequences of his decision, which resulted from his application of the law subsequently found to be wrong</w:t>
      </w:r>
      <w:r w:rsidR="007E143F" w:rsidRPr="00324C95">
        <w:rPr>
          <w:rFonts w:ascii="Times New Roman" w:hAnsi="Times New Roman"/>
        </w:rPr>
        <w:t xml:space="preserve"> (</w:t>
      </w:r>
      <w:proofErr w:type="spellStart"/>
      <w:r w:rsidR="007E143F" w:rsidRPr="00324C95">
        <w:rPr>
          <w:rFonts w:ascii="Times New Roman" w:hAnsi="Times New Roman"/>
        </w:rPr>
        <w:t>ie</w:t>
      </w:r>
      <w:proofErr w:type="spellEnd"/>
      <w:r w:rsidR="007E143F" w:rsidRPr="00324C95">
        <w:rPr>
          <w:rFonts w:ascii="Times New Roman" w:hAnsi="Times New Roman"/>
        </w:rPr>
        <w:t>, the fact of whether the plaintiff would remain in indefinite detention or be released into the community)</w:t>
      </w:r>
      <w:r w:rsidR="0077036D" w:rsidRPr="00324C95">
        <w:rPr>
          <w:rFonts w:ascii="Times New Roman" w:hAnsi="Times New Roman"/>
        </w:rPr>
        <w:t>.</w:t>
      </w:r>
      <w:r w:rsidR="002A17A3" w:rsidRPr="00324C95">
        <w:rPr>
          <w:rFonts w:ascii="Times New Roman" w:hAnsi="Times New Roman"/>
        </w:rPr>
        <w:t xml:space="preserve"> </w:t>
      </w:r>
      <w:r w:rsidR="003E7B79" w:rsidRPr="00324C95">
        <w:rPr>
          <w:rFonts w:ascii="Times New Roman" w:hAnsi="Times New Roman"/>
        </w:rPr>
        <w:t xml:space="preserve">The Minster did not know, and could not have known, those consequences at the time the Minister decided not to revoke the cancellation of the </w:t>
      </w:r>
      <w:r w:rsidR="006E3F2D" w:rsidRPr="00324C95">
        <w:rPr>
          <w:rFonts w:ascii="Times New Roman" w:hAnsi="Times New Roman"/>
        </w:rPr>
        <w:t xml:space="preserve">plaintiff's </w:t>
      </w:r>
      <w:r w:rsidR="003E7B79" w:rsidRPr="00324C95">
        <w:rPr>
          <w:rFonts w:ascii="Times New Roman" w:hAnsi="Times New Roman"/>
        </w:rPr>
        <w:t xml:space="preserve">visa. This reflects the argument put to, and rejected by, Kennett J in </w:t>
      </w:r>
      <w:r w:rsidR="003E7B79" w:rsidRPr="00324C95">
        <w:rPr>
          <w:rFonts w:ascii="Times New Roman" w:hAnsi="Times New Roman"/>
          <w:i/>
          <w:iCs/>
        </w:rPr>
        <w:t>AJN23</w:t>
      </w:r>
      <w:r w:rsidR="003E7B79" w:rsidRPr="00324C95">
        <w:rPr>
          <w:rFonts w:ascii="Times New Roman" w:hAnsi="Times New Roman"/>
        </w:rPr>
        <w:t>.</w:t>
      </w:r>
      <w:r w:rsidR="00526AA9" w:rsidRPr="00324C95">
        <w:rPr>
          <w:rStyle w:val="FootnoteReference"/>
          <w:rFonts w:ascii="Times New Roman" w:hAnsi="Times New Roman"/>
          <w:sz w:val="24"/>
        </w:rPr>
        <w:footnoteReference w:id="21"/>
      </w:r>
    </w:p>
    <w:p w14:paraId="3B203DC2" w14:textId="6CE9AA7E" w:rsidR="003E7B79" w:rsidRPr="00324C95" w:rsidRDefault="003E7B79"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731B78" w:rsidRPr="00324C95">
        <w:rPr>
          <w:rFonts w:ascii="Times New Roman" w:hAnsi="Times New Roman"/>
        </w:rPr>
        <w:t xml:space="preserve">The </w:t>
      </w:r>
      <w:r w:rsidR="00380231" w:rsidRPr="00324C95">
        <w:rPr>
          <w:rFonts w:ascii="Times New Roman" w:hAnsi="Times New Roman"/>
        </w:rPr>
        <w:t>plaintiff's</w:t>
      </w:r>
      <w:r w:rsidR="00731B78" w:rsidRPr="00324C95">
        <w:rPr>
          <w:rFonts w:ascii="Times New Roman" w:hAnsi="Times New Roman"/>
        </w:rPr>
        <w:t xml:space="preserve"> second contention</w:t>
      </w:r>
      <w:r w:rsidRPr="00324C95">
        <w:rPr>
          <w:rFonts w:ascii="Times New Roman" w:hAnsi="Times New Roman"/>
        </w:rPr>
        <w:t>, however, could not be</w:t>
      </w:r>
      <w:r w:rsidR="00731B78" w:rsidRPr="00324C95">
        <w:rPr>
          <w:rFonts w:ascii="Times New Roman" w:hAnsi="Times New Roman"/>
        </w:rPr>
        <w:t xml:space="preserve"> answered by</w:t>
      </w:r>
      <w:r w:rsidRPr="00324C95">
        <w:rPr>
          <w:rFonts w:ascii="Times New Roman" w:hAnsi="Times New Roman"/>
        </w:rPr>
        <w:t xml:space="preserve"> </w:t>
      </w:r>
      <w:r w:rsidR="003469B8" w:rsidRPr="00324C95">
        <w:rPr>
          <w:rFonts w:ascii="Times New Roman" w:hAnsi="Times New Roman"/>
        </w:rPr>
        <w:t xml:space="preserve">the proposition that legal unreasonableness "is to be judged at the time the power is exercised or should have been exercised". </w:t>
      </w:r>
      <w:r w:rsidR="00731B78" w:rsidRPr="00324C95">
        <w:rPr>
          <w:rFonts w:ascii="Times New Roman" w:hAnsi="Times New Roman"/>
        </w:rPr>
        <w:t>The second contention</w:t>
      </w:r>
      <w:r w:rsidR="005E560A" w:rsidRPr="00324C95">
        <w:rPr>
          <w:rFonts w:ascii="Times New Roman" w:hAnsi="Times New Roman"/>
        </w:rPr>
        <w:t xml:space="preserve"> is not concerned with </w:t>
      </w:r>
      <w:r w:rsidR="007E143F" w:rsidRPr="00324C95">
        <w:rPr>
          <w:rFonts w:ascii="Times New Roman" w:hAnsi="Times New Roman"/>
        </w:rPr>
        <w:t xml:space="preserve">the Minister's misunderstanding of </w:t>
      </w:r>
      <w:r w:rsidR="005E560A" w:rsidRPr="00324C95">
        <w:rPr>
          <w:rFonts w:ascii="Times New Roman" w:hAnsi="Times New Roman"/>
        </w:rPr>
        <w:t>the consequences of the Minister's legal error</w:t>
      </w:r>
      <w:r w:rsidR="00C54DF3" w:rsidRPr="00324C95">
        <w:rPr>
          <w:rFonts w:ascii="Times New Roman" w:hAnsi="Times New Roman"/>
        </w:rPr>
        <w:t xml:space="preserve"> in applying the law subsequently found to be wrong</w:t>
      </w:r>
      <w:r w:rsidR="005E560A" w:rsidRPr="00324C95">
        <w:rPr>
          <w:rFonts w:ascii="Times New Roman" w:hAnsi="Times New Roman"/>
        </w:rPr>
        <w:t xml:space="preserve">. </w:t>
      </w:r>
      <w:r w:rsidR="00731B78" w:rsidRPr="00324C95">
        <w:rPr>
          <w:rFonts w:ascii="Times New Roman" w:hAnsi="Times New Roman"/>
        </w:rPr>
        <w:t>The second contention</w:t>
      </w:r>
      <w:r w:rsidR="005E560A" w:rsidRPr="00324C95">
        <w:rPr>
          <w:rFonts w:ascii="Times New Roman" w:hAnsi="Times New Roman"/>
        </w:rPr>
        <w:t xml:space="preserve"> reflects </w:t>
      </w:r>
      <w:r w:rsidR="005E560A" w:rsidRPr="00324C95" w:rsidDel="006736F6">
        <w:rPr>
          <w:rFonts w:ascii="Times New Roman" w:hAnsi="Times New Roman"/>
        </w:rPr>
        <w:t>that the common law</w:t>
      </w:r>
      <w:r w:rsidR="005E560A" w:rsidRPr="00324C95">
        <w:rPr>
          <w:rFonts w:ascii="Times New Roman" w:hAnsi="Times New Roman"/>
        </w:rPr>
        <w:t xml:space="preserve">, once determined, operates </w:t>
      </w:r>
      <w:r w:rsidR="00FB1317" w:rsidRPr="00324C95">
        <w:rPr>
          <w:rFonts w:ascii="Times New Roman" w:hAnsi="Times New Roman"/>
        </w:rPr>
        <w:t xml:space="preserve">both prospectively and </w:t>
      </w:r>
      <w:r w:rsidR="005E560A" w:rsidRPr="00324C95">
        <w:rPr>
          <w:rFonts w:ascii="Times New Roman" w:hAnsi="Times New Roman"/>
        </w:rPr>
        <w:t>retrospectively.</w:t>
      </w:r>
      <w:r w:rsidR="00FB1317" w:rsidRPr="00324C95">
        <w:rPr>
          <w:rStyle w:val="FootnoteReference"/>
          <w:rFonts w:ascii="Times New Roman" w:hAnsi="Times New Roman"/>
          <w:sz w:val="24"/>
        </w:rPr>
        <w:footnoteReference w:id="22"/>
      </w:r>
      <w:r w:rsidR="005E560A" w:rsidRPr="00324C95">
        <w:rPr>
          <w:rFonts w:ascii="Times New Roman" w:hAnsi="Times New Roman"/>
        </w:rPr>
        <w:t xml:space="preserve"> </w:t>
      </w:r>
      <w:r w:rsidR="00A05C18" w:rsidRPr="00324C95">
        <w:rPr>
          <w:rFonts w:ascii="Times New Roman" w:hAnsi="Times New Roman"/>
        </w:rPr>
        <w:t xml:space="preserve">In </w:t>
      </w:r>
      <w:r w:rsidR="00A05C18" w:rsidRPr="00324C95">
        <w:rPr>
          <w:rFonts w:ascii="Times New Roman" w:hAnsi="Times New Roman"/>
          <w:i/>
          <w:iCs/>
        </w:rPr>
        <w:t>NZYQ</w:t>
      </w:r>
      <w:r w:rsidR="00731B78" w:rsidRPr="00324C95">
        <w:rPr>
          <w:rFonts w:ascii="Times New Roman" w:hAnsi="Times New Roman"/>
        </w:rPr>
        <w:t>,</w:t>
      </w:r>
      <w:r w:rsidR="00A05C18" w:rsidRPr="00324C95">
        <w:rPr>
          <w:rFonts w:ascii="Times New Roman" w:hAnsi="Times New Roman"/>
        </w:rPr>
        <w:t xml:space="preserve"> this Court overruled </w:t>
      </w:r>
      <w:r w:rsidR="009E0101" w:rsidRPr="00324C95">
        <w:rPr>
          <w:rFonts w:ascii="Times New Roman" w:hAnsi="Times New Roman"/>
          <w:i/>
          <w:iCs/>
        </w:rPr>
        <w:t>Al</w:t>
      </w:r>
      <w:r w:rsidR="00731B78" w:rsidRPr="00324C95">
        <w:rPr>
          <w:rFonts w:ascii="Times New Roman" w:hAnsi="Times New Roman"/>
          <w:i/>
          <w:iCs/>
        </w:rPr>
        <w:noBreakHyphen/>
      </w:r>
      <w:proofErr w:type="spellStart"/>
      <w:r w:rsidR="009E0101" w:rsidRPr="00324C95">
        <w:rPr>
          <w:rFonts w:ascii="Times New Roman" w:hAnsi="Times New Roman"/>
          <w:i/>
          <w:iCs/>
        </w:rPr>
        <w:t>Kateb</w:t>
      </w:r>
      <w:proofErr w:type="spellEnd"/>
      <w:r w:rsidR="009E0101" w:rsidRPr="00324C95">
        <w:rPr>
          <w:rFonts w:ascii="Times New Roman" w:hAnsi="Times New Roman"/>
          <w:i/>
          <w:iCs/>
        </w:rPr>
        <w:t xml:space="preserve"> v Godwin</w:t>
      </w:r>
      <w:r w:rsidR="00610876" w:rsidRPr="00324C95">
        <w:rPr>
          <w:rFonts w:ascii="Times New Roman" w:hAnsi="Times New Roman"/>
        </w:rPr>
        <w:t>.</w:t>
      </w:r>
      <w:r w:rsidR="00610876" w:rsidRPr="00324C95">
        <w:rPr>
          <w:rStyle w:val="FootnoteReference"/>
          <w:rFonts w:ascii="Times New Roman" w:hAnsi="Times New Roman"/>
          <w:sz w:val="24"/>
        </w:rPr>
        <w:footnoteReference w:id="23"/>
      </w:r>
      <w:r w:rsidR="00610876" w:rsidRPr="00324C95">
        <w:rPr>
          <w:rFonts w:ascii="Times New Roman" w:hAnsi="Times New Roman"/>
        </w:rPr>
        <w:t xml:space="preserve"> </w:t>
      </w:r>
      <w:r w:rsidR="00595ED9" w:rsidRPr="00324C95">
        <w:rPr>
          <w:rFonts w:ascii="Times New Roman" w:hAnsi="Times New Roman"/>
        </w:rPr>
        <w:t xml:space="preserve">The consequence is that the reasoning in </w:t>
      </w:r>
      <w:r w:rsidR="00595ED9" w:rsidRPr="00324C95">
        <w:rPr>
          <w:rFonts w:ascii="Times New Roman" w:hAnsi="Times New Roman"/>
          <w:i/>
          <w:iCs/>
        </w:rPr>
        <w:t>NZYQ</w:t>
      </w:r>
      <w:r w:rsidR="00595ED9" w:rsidRPr="00324C95">
        <w:rPr>
          <w:rFonts w:ascii="Times New Roman" w:hAnsi="Times New Roman"/>
        </w:rPr>
        <w:t xml:space="preserve"> is the law and is taken to have always been the law</w:t>
      </w:r>
      <w:r w:rsidR="00FB1317" w:rsidRPr="00324C95">
        <w:rPr>
          <w:rFonts w:ascii="Times New Roman" w:hAnsi="Times New Roman"/>
        </w:rPr>
        <w:t>,</w:t>
      </w:r>
      <w:r w:rsidR="00595ED9" w:rsidRPr="00324C95">
        <w:rPr>
          <w:rFonts w:ascii="Times New Roman" w:hAnsi="Times New Roman"/>
        </w:rPr>
        <w:t xml:space="preserve"> including at the time of the </w:t>
      </w:r>
      <w:r w:rsidR="00236672" w:rsidRPr="00324C95">
        <w:rPr>
          <w:rFonts w:ascii="Times New Roman" w:hAnsi="Times New Roman"/>
        </w:rPr>
        <w:t xml:space="preserve">Minister's decision not to revoke the cancellation of the </w:t>
      </w:r>
      <w:r w:rsidR="00D125AF" w:rsidRPr="00324C95">
        <w:rPr>
          <w:rFonts w:ascii="Times New Roman" w:hAnsi="Times New Roman"/>
        </w:rPr>
        <w:t xml:space="preserve">plaintiff's </w:t>
      </w:r>
      <w:r w:rsidR="00236672" w:rsidRPr="00324C95">
        <w:rPr>
          <w:rFonts w:ascii="Times New Roman" w:hAnsi="Times New Roman"/>
        </w:rPr>
        <w:t xml:space="preserve">visa. </w:t>
      </w:r>
      <w:r w:rsidR="00FB1317" w:rsidRPr="00324C95">
        <w:rPr>
          <w:rFonts w:ascii="Times New Roman" w:hAnsi="Times New Roman"/>
        </w:rPr>
        <w:t>The second contention</w:t>
      </w:r>
      <w:r w:rsidR="00236672" w:rsidRPr="00324C95">
        <w:rPr>
          <w:rFonts w:ascii="Times New Roman" w:hAnsi="Times New Roman"/>
        </w:rPr>
        <w:t xml:space="preserve"> alleges that, in making that legal error, the Minister's decision was legally unreasonable. </w:t>
      </w:r>
    </w:p>
    <w:p w14:paraId="5530B671" w14:textId="4FC5F15F" w:rsidR="00345144" w:rsidRPr="00324C95" w:rsidRDefault="00345144" w:rsidP="00324C95">
      <w:pPr>
        <w:pStyle w:val="FixListStyle"/>
        <w:spacing w:after="260" w:line="280" w:lineRule="exact"/>
        <w:ind w:right="0"/>
        <w:jc w:val="both"/>
        <w:rPr>
          <w:rFonts w:ascii="Times New Roman" w:hAnsi="Times New Roman"/>
        </w:rPr>
      </w:pPr>
      <w:r w:rsidRPr="00324C95">
        <w:rPr>
          <w:rFonts w:ascii="Times New Roman" w:hAnsi="Times New Roman"/>
        </w:rPr>
        <w:tab/>
        <w:t xml:space="preserve">Contrary to the </w:t>
      </w:r>
      <w:r w:rsidR="00A96BFF" w:rsidRPr="00324C95">
        <w:rPr>
          <w:rFonts w:ascii="Times New Roman" w:hAnsi="Times New Roman"/>
        </w:rPr>
        <w:t>Minister</w:t>
      </w:r>
      <w:r w:rsidR="00FE24F5" w:rsidRPr="00324C95">
        <w:rPr>
          <w:rFonts w:ascii="Times New Roman" w:hAnsi="Times New Roman"/>
        </w:rPr>
        <w:t>'</w:t>
      </w:r>
      <w:r w:rsidR="00A96BFF" w:rsidRPr="00324C95">
        <w:rPr>
          <w:rFonts w:ascii="Times New Roman" w:hAnsi="Times New Roman"/>
        </w:rPr>
        <w:t>s</w:t>
      </w:r>
      <w:r w:rsidR="00FE24F5" w:rsidRPr="00324C95">
        <w:rPr>
          <w:rFonts w:ascii="Times New Roman" w:hAnsi="Times New Roman"/>
        </w:rPr>
        <w:t xml:space="preserve"> </w:t>
      </w:r>
      <w:r w:rsidRPr="00324C95">
        <w:rPr>
          <w:rFonts w:ascii="Times New Roman" w:hAnsi="Times New Roman"/>
        </w:rPr>
        <w:t xml:space="preserve">submissions, </w:t>
      </w:r>
      <w:r w:rsidR="003A48D7" w:rsidRPr="00324C95">
        <w:rPr>
          <w:rFonts w:ascii="Times New Roman" w:hAnsi="Times New Roman"/>
        </w:rPr>
        <w:t xml:space="preserve">the primary judge </w:t>
      </w:r>
      <w:r w:rsidRPr="00324C95">
        <w:rPr>
          <w:rFonts w:ascii="Times New Roman" w:hAnsi="Times New Roman"/>
        </w:rPr>
        <w:t xml:space="preserve">did not consider the substance of </w:t>
      </w:r>
      <w:r w:rsidR="0075175F" w:rsidRPr="00324C95">
        <w:rPr>
          <w:rFonts w:ascii="Times New Roman" w:hAnsi="Times New Roman"/>
        </w:rPr>
        <w:t>the second contention</w:t>
      </w:r>
      <w:r w:rsidRPr="00324C95">
        <w:rPr>
          <w:rFonts w:ascii="Times New Roman" w:hAnsi="Times New Roman"/>
        </w:rPr>
        <w:t xml:space="preserve">. This emerges from the fact that his Honour, </w:t>
      </w:r>
      <w:r w:rsidRPr="00324C95">
        <w:rPr>
          <w:rFonts w:ascii="Times New Roman" w:hAnsi="Times New Roman"/>
        </w:rPr>
        <w:lastRenderedPageBreak/>
        <w:t xml:space="preserve">in rejecting </w:t>
      </w:r>
      <w:r w:rsidR="0075175F" w:rsidRPr="00324C95">
        <w:rPr>
          <w:rFonts w:ascii="Times New Roman" w:hAnsi="Times New Roman"/>
        </w:rPr>
        <w:t>that contention</w:t>
      </w:r>
      <w:r w:rsidRPr="00324C95">
        <w:rPr>
          <w:rFonts w:ascii="Times New Roman" w:hAnsi="Times New Roman"/>
        </w:rPr>
        <w:t>,</w:t>
      </w:r>
      <w:r w:rsidR="0075175F" w:rsidRPr="00324C95">
        <w:rPr>
          <w:rStyle w:val="FootnoteReference"/>
          <w:rFonts w:ascii="Times New Roman" w:hAnsi="Times New Roman"/>
          <w:sz w:val="24"/>
        </w:rPr>
        <w:footnoteReference w:id="24"/>
      </w:r>
      <w:r w:rsidRPr="00324C95">
        <w:rPr>
          <w:rFonts w:ascii="Times New Roman" w:hAnsi="Times New Roman"/>
        </w:rPr>
        <w:t xml:space="preserve"> </w:t>
      </w:r>
      <w:r w:rsidR="00A01453" w:rsidRPr="00324C95">
        <w:rPr>
          <w:rFonts w:ascii="Times New Roman" w:hAnsi="Times New Roman"/>
        </w:rPr>
        <w:t xml:space="preserve">relied on the reasoning of </w:t>
      </w:r>
      <w:proofErr w:type="spellStart"/>
      <w:r w:rsidR="00A01453" w:rsidRPr="00324C95">
        <w:rPr>
          <w:rFonts w:ascii="Times New Roman" w:hAnsi="Times New Roman"/>
        </w:rPr>
        <w:t>Crennan</w:t>
      </w:r>
      <w:proofErr w:type="spellEnd"/>
      <w:r w:rsidR="00A01453" w:rsidRPr="00324C95">
        <w:rPr>
          <w:rFonts w:ascii="Times New Roman" w:hAnsi="Times New Roman"/>
        </w:rPr>
        <w:t xml:space="preserve"> and Bell JJ in </w:t>
      </w:r>
      <w:r w:rsidR="00A01453" w:rsidRPr="00324C95">
        <w:rPr>
          <w:rFonts w:ascii="Times New Roman" w:hAnsi="Times New Roman"/>
          <w:i/>
          <w:iCs/>
        </w:rPr>
        <w:t>Minister for Immigration and Citizenship v SZMDS</w:t>
      </w:r>
      <w:r w:rsidR="00A01453" w:rsidRPr="00324C95">
        <w:rPr>
          <w:rFonts w:ascii="Times New Roman" w:hAnsi="Times New Roman"/>
        </w:rPr>
        <w:t>.</w:t>
      </w:r>
      <w:r w:rsidR="00A01453" w:rsidRPr="00324C95">
        <w:rPr>
          <w:rStyle w:val="FootnoteReference"/>
          <w:rFonts w:ascii="Times New Roman" w:hAnsi="Times New Roman"/>
          <w:sz w:val="24"/>
        </w:rPr>
        <w:footnoteReference w:id="25"/>
      </w:r>
      <w:r w:rsidR="00402623" w:rsidRPr="00324C95">
        <w:rPr>
          <w:rFonts w:ascii="Times New Roman" w:hAnsi="Times New Roman"/>
        </w:rPr>
        <w:t xml:space="preserve"> In that case, their Honours were not dealing with an argument such as</w:t>
      </w:r>
      <w:r w:rsidR="00737C8E" w:rsidRPr="00324C95">
        <w:rPr>
          <w:rFonts w:ascii="Times New Roman" w:hAnsi="Times New Roman"/>
        </w:rPr>
        <w:t xml:space="preserve"> that in the second contention</w:t>
      </w:r>
      <w:r w:rsidR="00402623" w:rsidRPr="00324C95">
        <w:rPr>
          <w:rFonts w:ascii="Times New Roman" w:hAnsi="Times New Roman"/>
        </w:rPr>
        <w:t xml:space="preserve">. They were dealing with a </w:t>
      </w:r>
      <w:r w:rsidR="00940EC9" w:rsidRPr="00324C95">
        <w:rPr>
          <w:rFonts w:ascii="Times New Roman" w:hAnsi="Times New Roman"/>
        </w:rPr>
        <w:t>(typical)</w:t>
      </w:r>
      <w:r w:rsidR="00402623" w:rsidRPr="00324C95">
        <w:rPr>
          <w:rFonts w:ascii="Times New Roman" w:hAnsi="Times New Roman"/>
        </w:rPr>
        <w:t xml:space="preserve"> case in which legal unreasonableness could be </w:t>
      </w:r>
      <w:r w:rsidR="004B1394" w:rsidRPr="00324C95">
        <w:rPr>
          <w:rFonts w:ascii="Times New Roman" w:hAnsi="Times New Roman"/>
        </w:rPr>
        <w:t>assessed</w:t>
      </w:r>
      <w:r w:rsidR="00402623" w:rsidRPr="00324C95">
        <w:rPr>
          <w:rFonts w:ascii="Times New Roman" w:hAnsi="Times New Roman"/>
        </w:rPr>
        <w:t xml:space="preserve"> only by reference to the material before the decision</w:t>
      </w:r>
      <w:r w:rsidR="0075175F" w:rsidRPr="00324C95">
        <w:rPr>
          <w:rFonts w:ascii="Times New Roman" w:hAnsi="Times New Roman"/>
        </w:rPr>
        <w:noBreakHyphen/>
      </w:r>
      <w:r w:rsidR="00402623" w:rsidRPr="00324C95">
        <w:rPr>
          <w:rFonts w:ascii="Times New Roman" w:hAnsi="Times New Roman"/>
        </w:rPr>
        <w:t xml:space="preserve">maker. </w:t>
      </w:r>
      <w:r w:rsidR="004B1394" w:rsidRPr="00324C95">
        <w:rPr>
          <w:rFonts w:ascii="Times New Roman" w:hAnsi="Times New Roman"/>
        </w:rPr>
        <w:t xml:space="preserve">As </w:t>
      </w:r>
      <w:r w:rsidR="00402623" w:rsidRPr="00324C95">
        <w:rPr>
          <w:rFonts w:ascii="Times New Roman" w:hAnsi="Times New Roman"/>
        </w:rPr>
        <w:t>their Honours said</w:t>
      </w:r>
      <w:r w:rsidR="004B1394" w:rsidRPr="00324C95">
        <w:rPr>
          <w:rFonts w:ascii="Times New Roman" w:hAnsi="Times New Roman"/>
        </w:rPr>
        <w:t xml:space="preserve">, the case before them was one of </w:t>
      </w:r>
      <w:r w:rsidR="00300174" w:rsidRPr="00324C95">
        <w:rPr>
          <w:rFonts w:ascii="Times New Roman" w:hAnsi="Times New Roman"/>
        </w:rPr>
        <w:t>"illogicality or irrationality ...</w:t>
      </w:r>
      <w:r w:rsidR="0075175F" w:rsidRPr="00324C95">
        <w:rPr>
          <w:rFonts w:ascii="Times New Roman" w:hAnsi="Times New Roman"/>
        </w:rPr>
        <w:t xml:space="preserve"> </w:t>
      </w:r>
      <w:r w:rsidR="00300174" w:rsidRPr="00324C95">
        <w:rPr>
          <w:rFonts w:ascii="Times New Roman" w:hAnsi="Times New Roman"/>
        </w:rPr>
        <w:t>in the process of reasoning" in fact undertaken.</w:t>
      </w:r>
      <w:r w:rsidR="00300174" w:rsidRPr="00324C95">
        <w:rPr>
          <w:rStyle w:val="FootnoteReference"/>
          <w:rFonts w:ascii="Times New Roman" w:hAnsi="Times New Roman"/>
          <w:sz w:val="24"/>
        </w:rPr>
        <w:footnoteReference w:id="26"/>
      </w:r>
      <w:r w:rsidR="00300174" w:rsidRPr="00324C95">
        <w:rPr>
          <w:rFonts w:ascii="Times New Roman" w:hAnsi="Times New Roman"/>
        </w:rPr>
        <w:t xml:space="preserve"> </w:t>
      </w:r>
      <w:r w:rsidR="00DE7743" w:rsidRPr="00324C95">
        <w:rPr>
          <w:rFonts w:ascii="Times New Roman" w:hAnsi="Times New Roman"/>
        </w:rPr>
        <w:t xml:space="preserve">Given that ground of challenge, the "correct approach </w:t>
      </w:r>
      <w:r w:rsidR="00F31502" w:rsidRPr="00324C95">
        <w:rPr>
          <w:rFonts w:ascii="Times New Roman" w:hAnsi="Times New Roman"/>
        </w:rPr>
        <w:t xml:space="preserve">[was] </w:t>
      </w:r>
      <w:r w:rsidR="00DE7743" w:rsidRPr="00324C95">
        <w:rPr>
          <w:rFonts w:ascii="Times New Roman" w:hAnsi="Times New Roman"/>
        </w:rPr>
        <w:t>to ask whether it was open to the Tribunal to engage in the process of reasoning in which it did engage and to make the findings it did make on the material before it"</w:t>
      </w:r>
      <w:r w:rsidR="000B6825" w:rsidRPr="00324C95">
        <w:rPr>
          <w:rFonts w:ascii="Times New Roman" w:hAnsi="Times New Roman"/>
        </w:rPr>
        <w:t>.</w:t>
      </w:r>
      <w:r w:rsidR="00DE7743" w:rsidRPr="00324C95">
        <w:rPr>
          <w:rStyle w:val="FootnoteReference"/>
          <w:rFonts w:ascii="Times New Roman" w:hAnsi="Times New Roman"/>
          <w:sz w:val="24"/>
        </w:rPr>
        <w:footnoteReference w:id="27"/>
      </w:r>
      <w:r w:rsidR="00F31502" w:rsidRPr="00324C95">
        <w:rPr>
          <w:rFonts w:ascii="Times New Roman" w:hAnsi="Times New Roman"/>
        </w:rPr>
        <w:t xml:space="preserve"> And</w:t>
      </w:r>
      <w:r w:rsidR="003A48D7" w:rsidRPr="00324C95">
        <w:rPr>
          <w:rFonts w:ascii="Times New Roman" w:hAnsi="Times New Roman"/>
        </w:rPr>
        <w:t>,</w:t>
      </w:r>
      <w:r w:rsidR="00F31502" w:rsidRPr="00324C95">
        <w:rPr>
          <w:rFonts w:ascii="Times New Roman" w:hAnsi="Times New Roman"/>
        </w:rPr>
        <w:t xml:space="preserve"> on that approach</w:t>
      </w:r>
      <w:r w:rsidR="003A48D7" w:rsidRPr="00324C95">
        <w:rPr>
          <w:rFonts w:ascii="Times New Roman" w:hAnsi="Times New Roman"/>
        </w:rPr>
        <w:t>,</w:t>
      </w:r>
      <w:r w:rsidR="00F31502" w:rsidRPr="00324C95">
        <w:rPr>
          <w:rFonts w:ascii="Times New Roman" w:hAnsi="Times New Roman"/>
        </w:rPr>
        <w:t xml:space="preserve"> their Honours concluded that "[o]n the probative evidence before the Tribunal, a logical or rational decision maker could have come to the same conclusion as the Tribunal"</w:t>
      </w:r>
      <w:r w:rsidR="000B6825" w:rsidRPr="00324C95">
        <w:rPr>
          <w:rFonts w:ascii="Times New Roman" w:hAnsi="Times New Roman"/>
        </w:rPr>
        <w:t>.</w:t>
      </w:r>
      <w:r w:rsidR="00F31502" w:rsidRPr="00324C95">
        <w:rPr>
          <w:rStyle w:val="FootnoteReference"/>
          <w:rFonts w:ascii="Times New Roman" w:hAnsi="Times New Roman"/>
          <w:sz w:val="24"/>
        </w:rPr>
        <w:footnoteReference w:id="28"/>
      </w:r>
      <w:r w:rsidR="00F31502" w:rsidRPr="00324C95">
        <w:rPr>
          <w:rFonts w:ascii="Times New Roman" w:hAnsi="Times New Roman"/>
        </w:rPr>
        <w:t xml:space="preserve"> In the context of the issue before them, this is all orthodox. But it has nothing to do with </w:t>
      </w:r>
      <w:r w:rsidR="000B6825" w:rsidRPr="00324C95">
        <w:rPr>
          <w:rFonts w:ascii="Times New Roman" w:hAnsi="Times New Roman"/>
        </w:rPr>
        <w:t xml:space="preserve">the </w:t>
      </w:r>
      <w:r w:rsidR="00BE7117" w:rsidRPr="00324C95">
        <w:rPr>
          <w:rFonts w:ascii="Times New Roman" w:hAnsi="Times New Roman"/>
        </w:rPr>
        <w:t>plaintiff's</w:t>
      </w:r>
      <w:r w:rsidR="000B6825" w:rsidRPr="00324C95">
        <w:rPr>
          <w:rFonts w:ascii="Times New Roman" w:hAnsi="Times New Roman"/>
        </w:rPr>
        <w:t xml:space="preserve"> second contention</w:t>
      </w:r>
      <w:r w:rsidR="00F31502" w:rsidRPr="00324C95">
        <w:rPr>
          <w:rFonts w:ascii="Times New Roman" w:hAnsi="Times New Roman"/>
        </w:rPr>
        <w:t xml:space="preserve"> in this case.</w:t>
      </w:r>
    </w:p>
    <w:p w14:paraId="45CFA2FC" w14:textId="4DD9DE97" w:rsidR="00F31502" w:rsidRPr="00324C95" w:rsidRDefault="00F31502" w:rsidP="00324C95">
      <w:pPr>
        <w:pStyle w:val="FixListStyle"/>
        <w:spacing w:after="260" w:line="280" w:lineRule="exact"/>
        <w:ind w:right="0"/>
        <w:jc w:val="both"/>
        <w:rPr>
          <w:rFonts w:ascii="Times New Roman" w:hAnsi="Times New Roman"/>
        </w:rPr>
      </w:pPr>
      <w:r w:rsidRPr="00324C95">
        <w:rPr>
          <w:rFonts w:ascii="Times New Roman" w:hAnsi="Times New Roman"/>
        </w:rPr>
        <w:tab/>
      </w:r>
      <w:r w:rsidR="002925DD" w:rsidRPr="00324C95">
        <w:rPr>
          <w:rFonts w:ascii="Times New Roman" w:hAnsi="Times New Roman"/>
        </w:rPr>
        <w:t xml:space="preserve">Accordingly, it is not merely that </w:t>
      </w:r>
      <w:r w:rsidR="00412F38" w:rsidRPr="00324C95">
        <w:rPr>
          <w:rFonts w:ascii="Times New Roman" w:hAnsi="Times New Roman"/>
        </w:rPr>
        <w:t xml:space="preserve">the primary judge </w:t>
      </w:r>
      <w:r w:rsidR="002925DD" w:rsidRPr="00324C95">
        <w:rPr>
          <w:rFonts w:ascii="Times New Roman" w:hAnsi="Times New Roman"/>
        </w:rPr>
        <w:t xml:space="preserve">did not refer to a submission clearly put </w:t>
      </w:r>
      <w:r w:rsidR="000C0CB8" w:rsidRPr="00324C95">
        <w:rPr>
          <w:rFonts w:ascii="Times New Roman" w:hAnsi="Times New Roman"/>
        </w:rPr>
        <w:t xml:space="preserve">for </w:t>
      </w:r>
      <w:r w:rsidR="002925DD" w:rsidRPr="00324C95">
        <w:rPr>
          <w:rFonts w:ascii="Times New Roman" w:hAnsi="Times New Roman"/>
        </w:rPr>
        <w:t xml:space="preserve">the </w:t>
      </w:r>
      <w:r w:rsidR="000C0CB8" w:rsidRPr="00324C95">
        <w:rPr>
          <w:rFonts w:ascii="Times New Roman" w:hAnsi="Times New Roman"/>
        </w:rPr>
        <w:t xml:space="preserve">plaintiff </w:t>
      </w:r>
      <w:r w:rsidR="00817066" w:rsidRPr="00324C95">
        <w:rPr>
          <w:rFonts w:ascii="Times New Roman" w:hAnsi="Times New Roman"/>
        </w:rPr>
        <w:t xml:space="preserve">and central to the merits of the judicial review application and, therefore, </w:t>
      </w:r>
      <w:r w:rsidR="00BC72D5" w:rsidRPr="00324C95">
        <w:rPr>
          <w:rFonts w:ascii="Times New Roman" w:hAnsi="Times New Roman"/>
        </w:rPr>
        <w:t xml:space="preserve">central also to consideration of </w:t>
      </w:r>
      <w:r w:rsidR="00817066" w:rsidRPr="00324C95">
        <w:rPr>
          <w:rFonts w:ascii="Times New Roman" w:hAnsi="Times New Roman"/>
        </w:rPr>
        <w:t xml:space="preserve">the interests of </w:t>
      </w:r>
      <w:r w:rsidR="000B6825" w:rsidRPr="00324C95">
        <w:rPr>
          <w:rFonts w:ascii="Times New Roman" w:hAnsi="Times New Roman"/>
        </w:rPr>
        <w:t xml:space="preserve">the administration of </w:t>
      </w:r>
      <w:r w:rsidR="00817066" w:rsidRPr="00324C95">
        <w:rPr>
          <w:rFonts w:ascii="Times New Roman" w:hAnsi="Times New Roman"/>
        </w:rPr>
        <w:t>justice in granting or refusing to grant the extension of time</w:t>
      </w:r>
      <w:r w:rsidR="002925DD" w:rsidRPr="00324C95">
        <w:rPr>
          <w:rFonts w:ascii="Times New Roman" w:hAnsi="Times New Roman"/>
        </w:rPr>
        <w:t xml:space="preserve">. It is that his Honour fundamentally misunderstood the submission that was </w:t>
      </w:r>
      <w:r w:rsidR="0076127F" w:rsidRPr="00324C95">
        <w:rPr>
          <w:rFonts w:ascii="Times New Roman" w:hAnsi="Times New Roman"/>
        </w:rPr>
        <w:t>p</w:t>
      </w:r>
      <w:r w:rsidR="002925DD" w:rsidRPr="00324C95">
        <w:rPr>
          <w:rFonts w:ascii="Times New Roman" w:hAnsi="Times New Roman"/>
        </w:rPr>
        <w:t xml:space="preserve">ut and, in misunderstanding it, </w:t>
      </w:r>
      <w:r w:rsidR="0076127F" w:rsidRPr="00324C95">
        <w:rPr>
          <w:rFonts w:ascii="Times New Roman" w:hAnsi="Times New Roman"/>
        </w:rPr>
        <w:t xml:space="preserve">failed to consider the </w:t>
      </w:r>
      <w:r w:rsidR="00295C41" w:rsidRPr="00324C95">
        <w:rPr>
          <w:rFonts w:ascii="Times New Roman" w:hAnsi="Times New Roman"/>
        </w:rPr>
        <w:t xml:space="preserve">second contention </w:t>
      </w:r>
      <w:r w:rsidR="0076127F" w:rsidRPr="00324C95">
        <w:rPr>
          <w:rFonts w:ascii="Times New Roman" w:hAnsi="Times New Roman"/>
        </w:rPr>
        <w:t xml:space="preserve">at all. </w:t>
      </w:r>
      <w:r w:rsidR="00412F38" w:rsidRPr="00324C95">
        <w:rPr>
          <w:rFonts w:ascii="Times New Roman" w:hAnsi="Times New Roman"/>
        </w:rPr>
        <w:t xml:space="preserve">This was not a case of the Court merely not dealing with every submission made. The submissions made about the relevance of </w:t>
      </w:r>
      <w:r w:rsidR="00412F38" w:rsidRPr="00324C95">
        <w:rPr>
          <w:rFonts w:ascii="Times New Roman" w:hAnsi="Times New Roman"/>
          <w:i/>
          <w:iCs/>
        </w:rPr>
        <w:t>NZYQ</w:t>
      </w:r>
      <w:r w:rsidR="00412F38" w:rsidRPr="00324C95">
        <w:rPr>
          <w:rFonts w:ascii="Times New Roman" w:hAnsi="Times New Roman"/>
        </w:rPr>
        <w:t xml:space="preserve"> were concise and focused. The primary judge did not consider one of only two </w:t>
      </w:r>
      <w:r w:rsidR="00295C41" w:rsidRPr="00324C95">
        <w:rPr>
          <w:rFonts w:ascii="Times New Roman" w:hAnsi="Times New Roman"/>
        </w:rPr>
        <w:t>contentions</w:t>
      </w:r>
      <w:r w:rsidR="00412F38" w:rsidRPr="00324C95">
        <w:rPr>
          <w:rFonts w:ascii="Times New Roman" w:hAnsi="Times New Roman"/>
        </w:rPr>
        <w:t xml:space="preserve"> made about the relevance of </w:t>
      </w:r>
      <w:r w:rsidR="00412F38" w:rsidRPr="00324C95">
        <w:rPr>
          <w:rFonts w:ascii="Times New Roman" w:hAnsi="Times New Roman"/>
          <w:i/>
          <w:iCs/>
        </w:rPr>
        <w:t>NZYQ</w:t>
      </w:r>
      <w:r w:rsidR="00A13187" w:rsidRPr="00324C95">
        <w:rPr>
          <w:rFonts w:ascii="Times New Roman" w:hAnsi="Times New Roman"/>
        </w:rPr>
        <w:t xml:space="preserve"> which were crucial to the </w:t>
      </w:r>
      <w:r w:rsidR="000C0CB8" w:rsidRPr="00324C95">
        <w:rPr>
          <w:rFonts w:ascii="Times New Roman" w:hAnsi="Times New Roman"/>
        </w:rPr>
        <w:t xml:space="preserve">plaintiff's </w:t>
      </w:r>
      <w:r w:rsidR="00A13187" w:rsidRPr="00324C95">
        <w:rPr>
          <w:rFonts w:ascii="Times New Roman" w:hAnsi="Times New Roman"/>
        </w:rPr>
        <w:t xml:space="preserve">case as put. </w:t>
      </w:r>
      <w:r w:rsidR="00F8674C" w:rsidRPr="00324C95">
        <w:rPr>
          <w:rFonts w:ascii="Times New Roman" w:hAnsi="Times New Roman"/>
        </w:rPr>
        <w:t>T</w:t>
      </w:r>
      <w:r w:rsidR="003A48D7" w:rsidRPr="00324C95">
        <w:rPr>
          <w:rFonts w:ascii="Times New Roman" w:hAnsi="Times New Roman"/>
        </w:rPr>
        <w:t xml:space="preserve">his </w:t>
      </w:r>
      <w:r w:rsidR="00F8674C" w:rsidRPr="00324C95">
        <w:rPr>
          <w:rFonts w:ascii="Times New Roman" w:hAnsi="Times New Roman"/>
        </w:rPr>
        <w:t>involves jurisdictional error vitiating his Honour's decision.</w:t>
      </w:r>
    </w:p>
    <w:p w14:paraId="0FB0561C" w14:textId="7AE428E4" w:rsidR="00F8674C" w:rsidRPr="00324C95" w:rsidRDefault="00F8674C" w:rsidP="00324C95">
      <w:pPr>
        <w:pStyle w:val="HeadingL1"/>
        <w:spacing w:after="260" w:line="280" w:lineRule="exact"/>
        <w:ind w:right="0"/>
        <w:jc w:val="both"/>
        <w:rPr>
          <w:rFonts w:ascii="Times New Roman" w:hAnsi="Times New Roman"/>
        </w:rPr>
      </w:pPr>
      <w:r w:rsidRPr="00324C95">
        <w:rPr>
          <w:rFonts w:ascii="Times New Roman" w:hAnsi="Times New Roman"/>
        </w:rPr>
        <w:lastRenderedPageBreak/>
        <w:t>Orders</w:t>
      </w:r>
    </w:p>
    <w:p w14:paraId="1F5580BC" w14:textId="0CD0C876" w:rsidR="00F8674C" w:rsidRDefault="00F8674C" w:rsidP="00BC53B2">
      <w:pPr>
        <w:pStyle w:val="FixListStyle"/>
        <w:keepNext/>
        <w:spacing w:after="260" w:line="280" w:lineRule="exact"/>
        <w:ind w:right="0"/>
        <w:jc w:val="both"/>
        <w:rPr>
          <w:rFonts w:ascii="Times New Roman" w:hAnsi="Times New Roman"/>
        </w:rPr>
      </w:pPr>
      <w:r w:rsidRPr="00324C95">
        <w:rPr>
          <w:rFonts w:ascii="Times New Roman" w:hAnsi="Times New Roman"/>
        </w:rPr>
        <w:tab/>
        <w:t xml:space="preserve">The </w:t>
      </w:r>
      <w:r w:rsidR="007D3D78" w:rsidRPr="00324C95">
        <w:rPr>
          <w:rFonts w:ascii="Times New Roman" w:hAnsi="Times New Roman"/>
        </w:rPr>
        <w:t xml:space="preserve">following </w:t>
      </w:r>
      <w:r w:rsidRPr="00324C95">
        <w:rPr>
          <w:rFonts w:ascii="Times New Roman" w:hAnsi="Times New Roman"/>
        </w:rPr>
        <w:t>orders</w:t>
      </w:r>
      <w:r w:rsidR="007D3D78" w:rsidRPr="00324C95">
        <w:rPr>
          <w:rFonts w:ascii="Times New Roman" w:hAnsi="Times New Roman"/>
        </w:rPr>
        <w:t>,</w:t>
      </w:r>
      <w:r w:rsidRPr="00324C95">
        <w:rPr>
          <w:rFonts w:ascii="Times New Roman" w:hAnsi="Times New Roman"/>
        </w:rPr>
        <w:t xml:space="preserve"> as sought by the </w:t>
      </w:r>
      <w:r w:rsidR="000C0CB8" w:rsidRPr="00324C95">
        <w:rPr>
          <w:rFonts w:ascii="Times New Roman" w:hAnsi="Times New Roman"/>
        </w:rPr>
        <w:t xml:space="preserve">plaintiff </w:t>
      </w:r>
      <w:r w:rsidRPr="00324C95">
        <w:rPr>
          <w:rFonts w:ascii="Times New Roman" w:hAnsi="Times New Roman"/>
        </w:rPr>
        <w:t xml:space="preserve">in the application for the constitutional </w:t>
      </w:r>
      <w:r w:rsidR="00270752" w:rsidRPr="00324C95">
        <w:rPr>
          <w:rFonts w:ascii="Times New Roman" w:hAnsi="Times New Roman"/>
        </w:rPr>
        <w:t xml:space="preserve">or other </w:t>
      </w:r>
      <w:r w:rsidRPr="00324C95">
        <w:rPr>
          <w:rFonts w:ascii="Times New Roman" w:hAnsi="Times New Roman"/>
        </w:rPr>
        <w:t>writ</w:t>
      </w:r>
      <w:r w:rsidR="007D3D78" w:rsidRPr="00324C95">
        <w:rPr>
          <w:rFonts w:ascii="Times New Roman" w:hAnsi="Times New Roman"/>
        </w:rPr>
        <w:t>,</w:t>
      </w:r>
      <w:r w:rsidRPr="00324C95">
        <w:rPr>
          <w:rFonts w:ascii="Times New Roman" w:hAnsi="Times New Roman"/>
        </w:rPr>
        <w:t xml:space="preserve"> should be made:</w:t>
      </w:r>
    </w:p>
    <w:p w14:paraId="3F92FCB9" w14:textId="77777777" w:rsidR="00700092" w:rsidRPr="00065D5B" w:rsidRDefault="00700092" w:rsidP="00700092">
      <w:pPr>
        <w:pStyle w:val="NormalBody"/>
        <w:spacing w:after="260" w:line="280" w:lineRule="exact"/>
        <w:ind w:left="720" w:right="0" w:hanging="720"/>
        <w:jc w:val="both"/>
        <w:rPr>
          <w:rFonts w:ascii="Times New Roman" w:hAnsi="Times New Roman"/>
        </w:rPr>
      </w:pPr>
      <w:r w:rsidRPr="00065D5B">
        <w:rPr>
          <w:rFonts w:ascii="Times New Roman" w:hAnsi="Times New Roman"/>
        </w:rPr>
        <w:t>(1)</w:t>
      </w:r>
      <w:r w:rsidRPr="00065D5B">
        <w:rPr>
          <w:rFonts w:ascii="Times New Roman" w:hAnsi="Times New Roman"/>
        </w:rPr>
        <w:tab/>
        <w:t xml:space="preserve">The time fixed for the filing of this application be extended from the </w:t>
      </w:r>
      <w:proofErr w:type="gramStart"/>
      <w:r w:rsidRPr="00065D5B">
        <w:rPr>
          <w:rFonts w:ascii="Times New Roman" w:hAnsi="Times New Roman"/>
        </w:rPr>
        <w:t>time period</w:t>
      </w:r>
      <w:proofErr w:type="gramEnd"/>
      <w:r w:rsidRPr="00065D5B">
        <w:rPr>
          <w:rFonts w:ascii="Times New Roman" w:hAnsi="Times New Roman"/>
        </w:rPr>
        <w:t xml:space="preserve"> prescribed by r 25.02.1 of the </w:t>
      </w:r>
      <w:r w:rsidRPr="00065D5B">
        <w:rPr>
          <w:rFonts w:ascii="Times New Roman" w:hAnsi="Times New Roman"/>
          <w:i/>
        </w:rPr>
        <w:t>High Court Rules</w:t>
      </w:r>
      <w:r w:rsidRPr="00065D5B">
        <w:rPr>
          <w:rFonts w:ascii="Times New Roman" w:hAnsi="Times New Roman"/>
          <w:i/>
          <w:iCs/>
        </w:rPr>
        <w:t xml:space="preserve"> 2004</w:t>
      </w:r>
      <w:r w:rsidRPr="00065D5B">
        <w:rPr>
          <w:rFonts w:ascii="Times New Roman" w:hAnsi="Times New Roman"/>
        </w:rPr>
        <w:t> (</w:t>
      </w:r>
      <w:proofErr w:type="spellStart"/>
      <w:r w:rsidRPr="00065D5B">
        <w:rPr>
          <w:rFonts w:ascii="Times New Roman" w:hAnsi="Times New Roman"/>
        </w:rPr>
        <w:t>Cth</w:t>
      </w:r>
      <w:proofErr w:type="spellEnd"/>
      <w:r w:rsidRPr="00065D5B">
        <w:rPr>
          <w:rFonts w:ascii="Times New Roman" w:hAnsi="Times New Roman"/>
        </w:rPr>
        <w:t>) to the date it was accepted for filing.</w:t>
      </w:r>
    </w:p>
    <w:p w14:paraId="04F62678" w14:textId="77777777" w:rsidR="00700092" w:rsidRPr="00065D5B" w:rsidRDefault="00700092" w:rsidP="00700092">
      <w:pPr>
        <w:pStyle w:val="NormalBody"/>
        <w:spacing w:after="260" w:line="280" w:lineRule="exact"/>
        <w:ind w:left="720" w:right="0" w:hanging="720"/>
        <w:jc w:val="both"/>
        <w:rPr>
          <w:rFonts w:ascii="Times New Roman" w:hAnsi="Times New Roman"/>
        </w:rPr>
      </w:pPr>
      <w:r w:rsidRPr="00065D5B">
        <w:rPr>
          <w:rFonts w:ascii="Times New Roman" w:hAnsi="Times New Roman"/>
        </w:rPr>
        <w:t>(2)</w:t>
      </w:r>
      <w:r w:rsidRPr="00065D5B">
        <w:rPr>
          <w:rFonts w:ascii="Times New Roman" w:hAnsi="Times New Roman"/>
        </w:rPr>
        <w:tab/>
        <w:t>The writ of certiorari be issued quashing the orders of the first defendant, the Federal Court of Australia, made on 8 December 2023 in matter VID499 of 2022.</w:t>
      </w:r>
    </w:p>
    <w:p w14:paraId="722E743A" w14:textId="77777777" w:rsidR="00700092" w:rsidRPr="00065D5B" w:rsidRDefault="00700092" w:rsidP="00700092">
      <w:pPr>
        <w:pStyle w:val="NormalBody"/>
        <w:spacing w:after="260" w:line="280" w:lineRule="exact"/>
        <w:ind w:left="720" w:right="0" w:hanging="720"/>
        <w:jc w:val="both"/>
        <w:rPr>
          <w:rFonts w:ascii="Times New Roman" w:hAnsi="Times New Roman"/>
        </w:rPr>
      </w:pPr>
      <w:r w:rsidRPr="00065D5B">
        <w:rPr>
          <w:rFonts w:ascii="Times New Roman" w:hAnsi="Times New Roman"/>
        </w:rPr>
        <w:t>(3)</w:t>
      </w:r>
      <w:r w:rsidRPr="00065D5B">
        <w:rPr>
          <w:rFonts w:ascii="Times New Roman" w:hAnsi="Times New Roman"/>
        </w:rPr>
        <w:tab/>
        <w:t xml:space="preserve">The writ of mandamus be issued requiring the first defendant, the Federal Court of Australia, to determine according to law the plaintiff's application under s 477A of the </w:t>
      </w:r>
      <w:r w:rsidRPr="00065D5B">
        <w:rPr>
          <w:rFonts w:ascii="Times New Roman" w:hAnsi="Times New Roman"/>
          <w:i/>
          <w:iCs/>
        </w:rPr>
        <w:t>Migration Act 1958</w:t>
      </w:r>
      <w:r w:rsidRPr="00065D5B">
        <w:rPr>
          <w:rFonts w:ascii="Times New Roman" w:hAnsi="Times New Roman"/>
        </w:rPr>
        <w:t> (</w:t>
      </w:r>
      <w:proofErr w:type="spellStart"/>
      <w:r w:rsidRPr="00065D5B">
        <w:rPr>
          <w:rFonts w:ascii="Times New Roman" w:hAnsi="Times New Roman"/>
        </w:rPr>
        <w:t>Cth</w:t>
      </w:r>
      <w:proofErr w:type="spellEnd"/>
      <w:r w:rsidRPr="00065D5B">
        <w:rPr>
          <w:rFonts w:ascii="Times New Roman" w:hAnsi="Times New Roman"/>
        </w:rPr>
        <w:t>) (the Act) for an order extending the time within which he may file an application for judicial review in relation to a decision of the second defendant (the Minister) not to revoke the cancellation of his visa under s 501CA(4) of the Act.</w:t>
      </w:r>
    </w:p>
    <w:p w14:paraId="7B2DBC78" w14:textId="77777777" w:rsidR="00700092" w:rsidRPr="00065D5B" w:rsidRDefault="00700092" w:rsidP="00700092">
      <w:pPr>
        <w:pStyle w:val="NormalBody"/>
        <w:spacing w:after="260" w:line="280" w:lineRule="exact"/>
        <w:ind w:left="720" w:right="0" w:hanging="720"/>
        <w:jc w:val="both"/>
        <w:rPr>
          <w:rFonts w:ascii="Times New Roman" w:hAnsi="Times New Roman"/>
        </w:rPr>
      </w:pPr>
      <w:r w:rsidRPr="00065D5B">
        <w:rPr>
          <w:rFonts w:ascii="Times New Roman" w:hAnsi="Times New Roman"/>
        </w:rPr>
        <w:t>(4)</w:t>
      </w:r>
      <w:r w:rsidRPr="00065D5B">
        <w:rPr>
          <w:rFonts w:ascii="Times New Roman" w:hAnsi="Times New Roman"/>
        </w:rPr>
        <w:tab/>
        <w:t>The second defendant pay the plaintiff's costs of this application, and below.</w:t>
      </w:r>
    </w:p>
    <w:p w14:paraId="05D0B028" w14:textId="77777777" w:rsidR="00700092" w:rsidRPr="00324C95" w:rsidRDefault="00700092" w:rsidP="00700092">
      <w:pPr>
        <w:pStyle w:val="FixListStyle"/>
        <w:keepNext/>
        <w:numPr>
          <w:ilvl w:val="0"/>
          <w:numId w:val="0"/>
        </w:numPr>
        <w:spacing w:after="260" w:line="280" w:lineRule="exact"/>
        <w:ind w:right="0"/>
        <w:jc w:val="both"/>
        <w:rPr>
          <w:rFonts w:ascii="Times New Roman" w:hAnsi="Times New Roman"/>
        </w:rPr>
      </w:pPr>
    </w:p>
    <w:sectPr w:rsidR="00700092" w:rsidRPr="00324C95" w:rsidSect="00D24606">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DCC1" w14:textId="77777777" w:rsidR="00115BEF" w:rsidRDefault="00115BEF">
      <w:pPr>
        <w:spacing w:line="240" w:lineRule="auto"/>
      </w:pPr>
      <w:r>
        <w:separator/>
      </w:r>
    </w:p>
  </w:endnote>
  <w:endnote w:type="continuationSeparator" w:id="0">
    <w:p w14:paraId="7B4D001F" w14:textId="77777777" w:rsidR="00115BEF" w:rsidRDefault="00115BEF">
      <w:pPr>
        <w:spacing w:line="240" w:lineRule="auto"/>
      </w:pPr>
      <w:r>
        <w:continuationSeparator/>
      </w:r>
    </w:p>
  </w:endnote>
  <w:endnote w:type="continuationNotice" w:id="1">
    <w:p w14:paraId="37359B15" w14:textId="77777777" w:rsidR="00115BEF" w:rsidRDefault="00115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AA11" w14:textId="77777777" w:rsidR="00D24606" w:rsidRDefault="00D2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7CA7" w14:textId="77777777" w:rsidR="00D24606" w:rsidRDefault="00D24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8398" w14:textId="77777777" w:rsidR="00D24606" w:rsidRDefault="00D2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0AAB" w14:textId="77777777" w:rsidR="00115BEF" w:rsidRPr="00324C95" w:rsidRDefault="00115BEF" w:rsidP="00324C95">
      <w:pPr>
        <w:pStyle w:val="Footer"/>
        <w:spacing w:before="120" w:after="20"/>
        <w:ind w:right="0"/>
        <w:rPr>
          <w:rFonts w:ascii="Times New Roman" w:hAnsi="Times New Roman"/>
        </w:rPr>
      </w:pPr>
      <w:r>
        <w:continuationSeparator/>
      </w:r>
    </w:p>
  </w:footnote>
  <w:footnote w:type="continuationSeparator" w:id="0">
    <w:p w14:paraId="0BFD79E7" w14:textId="77777777" w:rsidR="00115BEF" w:rsidRPr="00324C95" w:rsidRDefault="00115BEF" w:rsidP="00324C95">
      <w:pPr>
        <w:pStyle w:val="Footer"/>
        <w:spacing w:before="120" w:after="20"/>
        <w:ind w:right="0"/>
        <w:rPr>
          <w:rFonts w:ascii="Times New Roman" w:hAnsi="Times New Roman"/>
        </w:rPr>
      </w:pPr>
      <w:r w:rsidRPr="00324C95">
        <w:rPr>
          <w:rFonts w:ascii="Times New Roman" w:hAnsi="Times New Roman"/>
        </w:rPr>
        <w:continuationSeparator/>
      </w:r>
    </w:p>
  </w:footnote>
  <w:footnote w:type="continuationNotice" w:id="1">
    <w:p w14:paraId="57D5FDE4" w14:textId="77777777" w:rsidR="00115BEF" w:rsidRPr="00324C95" w:rsidRDefault="00115BEF">
      <w:pPr>
        <w:jc w:val="right"/>
        <w:rPr>
          <w:rFonts w:ascii="Times Roman" w:hAnsi="Times Roman"/>
          <w:sz w:val="24"/>
        </w:rPr>
      </w:pPr>
    </w:p>
  </w:footnote>
  <w:footnote w:id="2">
    <w:p w14:paraId="3B24A072" w14:textId="06A4930A" w:rsidR="00CE1E4A" w:rsidRPr="00324C95" w:rsidRDefault="00CE1E4A"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w:t>
      </w:r>
    </w:p>
  </w:footnote>
  <w:footnote w:id="3">
    <w:p w14:paraId="13303AB1" w14:textId="0446BFE4" w:rsidR="00EE0AC7" w:rsidRPr="00324C95" w:rsidRDefault="00EE0AC7"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006B32A8" w:rsidRPr="00324C95">
        <w:rPr>
          <w:rFonts w:ascii="Times New Roman" w:hAnsi="Times New Roman"/>
          <w:sz w:val="24"/>
        </w:rPr>
        <w:t>(2023) 97 ALJR 1005.</w:t>
      </w:r>
    </w:p>
  </w:footnote>
  <w:footnote w:id="4">
    <w:p w14:paraId="3ECAC7B6" w14:textId="39B3BA4F" w:rsidR="003500B7" w:rsidRPr="00324C95" w:rsidRDefault="003500B7"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 xml:space="preserve">(2023) 97 ALJR 1005 at </w:t>
      </w:r>
      <w:r w:rsidR="00EB59DC" w:rsidRPr="00324C95">
        <w:rPr>
          <w:rFonts w:ascii="Times New Roman" w:hAnsi="Times New Roman"/>
          <w:sz w:val="24"/>
        </w:rPr>
        <w:t xml:space="preserve">1016 </w:t>
      </w:r>
      <w:r w:rsidRPr="00324C95">
        <w:rPr>
          <w:rFonts w:ascii="Times New Roman" w:hAnsi="Times New Roman"/>
          <w:sz w:val="24"/>
        </w:rPr>
        <w:t>[</w:t>
      </w:r>
      <w:r w:rsidR="005A6A72" w:rsidRPr="00324C95">
        <w:rPr>
          <w:rFonts w:ascii="Times New Roman" w:hAnsi="Times New Roman"/>
          <w:sz w:val="24"/>
        </w:rPr>
        <w:t>44</w:t>
      </w:r>
      <w:r w:rsidRPr="00324C95">
        <w:rPr>
          <w:rFonts w:ascii="Times New Roman" w:hAnsi="Times New Roman"/>
          <w:sz w:val="24"/>
        </w:rPr>
        <w:t>]</w:t>
      </w:r>
      <w:r w:rsidR="005A6A72" w:rsidRPr="00324C95">
        <w:rPr>
          <w:rFonts w:ascii="Times New Roman" w:hAnsi="Times New Roman"/>
          <w:sz w:val="24"/>
        </w:rPr>
        <w:t>-[</w:t>
      </w:r>
      <w:r w:rsidR="00F066DB" w:rsidRPr="00324C95">
        <w:rPr>
          <w:rFonts w:ascii="Times New Roman" w:hAnsi="Times New Roman"/>
          <w:sz w:val="24"/>
        </w:rPr>
        <w:t>46</w:t>
      </w:r>
      <w:r w:rsidR="005A6A72" w:rsidRPr="00324C95">
        <w:rPr>
          <w:rFonts w:ascii="Times New Roman" w:hAnsi="Times New Roman"/>
          <w:sz w:val="24"/>
        </w:rPr>
        <w:t>]</w:t>
      </w:r>
      <w:r w:rsidR="00D91D1A" w:rsidRPr="00324C95">
        <w:rPr>
          <w:rFonts w:ascii="Times New Roman" w:hAnsi="Times New Roman"/>
          <w:sz w:val="24"/>
        </w:rPr>
        <w:t xml:space="preserve">, </w:t>
      </w:r>
      <w:r w:rsidR="00EB59DC" w:rsidRPr="00324C95">
        <w:rPr>
          <w:rFonts w:ascii="Times New Roman" w:hAnsi="Times New Roman"/>
          <w:sz w:val="24"/>
        </w:rPr>
        <w:t xml:space="preserve">1018 </w:t>
      </w:r>
      <w:r w:rsidR="00D91D1A" w:rsidRPr="00324C95">
        <w:rPr>
          <w:rFonts w:ascii="Times New Roman" w:hAnsi="Times New Roman"/>
          <w:sz w:val="24"/>
        </w:rPr>
        <w:t xml:space="preserve">[55], </w:t>
      </w:r>
      <w:r w:rsidR="00EB59DC" w:rsidRPr="00324C95">
        <w:rPr>
          <w:rFonts w:ascii="Times New Roman" w:hAnsi="Times New Roman"/>
          <w:sz w:val="24"/>
        </w:rPr>
        <w:t xml:space="preserve">1019 </w:t>
      </w:r>
      <w:r w:rsidR="00D91D1A" w:rsidRPr="00324C95">
        <w:rPr>
          <w:rFonts w:ascii="Times New Roman" w:hAnsi="Times New Roman"/>
          <w:sz w:val="24"/>
        </w:rPr>
        <w:t xml:space="preserve">[61], </w:t>
      </w:r>
      <w:r w:rsidR="00EB59DC" w:rsidRPr="00324C95">
        <w:rPr>
          <w:rFonts w:ascii="Times New Roman" w:hAnsi="Times New Roman"/>
          <w:sz w:val="24"/>
        </w:rPr>
        <w:t xml:space="preserve">1020 </w:t>
      </w:r>
      <w:r w:rsidR="00455226" w:rsidRPr="00324C95">
        <w:rPr>
          <w:rFonts w:ascii="Times New Roman" w:hAnsi="Times New Roman"/>
          <w:sz w:val="24"/>
        </w:rPr>
        <w:t>[69]-[71].</w:t>
      </w:r>
    </w:p>
  </w:footnote>
  <w:footnote w:id="5">
    <w:p w14:paraId="494FA508" w14:textId="258EE1E2" w:rsidR="003C4E9E" w:rsidRPr="00324C95" w:rsidRDefault="003C4E9E"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[57]. </w:t>
      </w:r>
    </w:p>
  </w:footnote>
  <w:footnote w:id="6">
    <w:p w14:paraId="1EE2754E" w14:textId="75EEBB4C" w:rsidR="001B5D59" w:rsidRPr="00324C95" w:rsidRDefault="001B5D59"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w:t>
      </w:r>
      <w:r w:rsidR="0038328A" w:rsidRPr="00324C95">
        <w:rPr>
          <w:rFonts w:ascii="Times New Roman" w:hAnsi="Times New Roman"/>
          <w:sz w:val="24"/>
        </w:rPr>
        <w:t xml:space="preserve">[13]. </w:t>
      </w:r>
    </w:p>
  </w:footnote>
  <w:footnote w:id="7">
    <w:p w14:paraId="3DE5FE91" w14:textId="59AFD53C" w:rsidR="00747881" w:rsidRPr="00324C95" w:rsidRDefault="00747881"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[93].</w:t>
      </w:r>
    </w:p>
  </w:footnote>
  <w:footnote w:id="8">
    <w:p w14:paraId="7AF288D8" w14:textId="5AAAB780" w:rsidR="003C4E9E" w:rsidRPr="00324C95" w:rsidRDefault="003C4E9E"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[57].</w:t>
      </w:r>
    </w:p>
  </w:footnote>
  <w:footnote w:id="9">
    <w:p w14:paraId="0E559C2F" w14:textId="19196D5B" w:rsidR="005145CF" w:rsidRPr="00324C95" w:rsidRDefault="005145CF"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 xml:space="preserve">The plaintiff was granted a (temporary) bridging visa on 23 November 2023. </w:t>
      </w:r>
    </w:p>
  </w:footnote>
  <w:footnote w:id="10">
    <w:p w14:paraId="614CA7F7" w14:textId="132746DA" w:rsidR="00E3500B" w:rsidRPr="00324C95" w:rsidRDefault="00E3500B"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005145CF" w:rsidRPr="00324C95">
        <w:rPr>
          <w:rFonts w:ascii="Times New Roman" w:hAnsi="Times New Roman"/>
          <w:sz w:val="24"/>
        </w:rPr>
        <w:t xml:space="preserve">In support of this contention, the plaintiff referred to </w:t>
      </w:r>
      <w:r w:rsidR="00066BBC" w:rsidRPr="00324C95">
        <w:rPr>
          <w:rFonts w:ascii="Times New Roman" w:hAnsi="Times New Roman"/>
          <w:i/>
          <w:iCs/>
          <w:sz w:val="24"/>
        </w:rPr>
        <w:t>R (</w:t>
      </w:r>
      <w:proofErr w:type="spellStart"/>
      <w:r w:rsidR="00066BBC" w:rsidRPr="00324C95">
        <w:rPr>
          <w:rFonts w:ascii="Times New Roman" w:hAnsi="Times New Roman"/>
          <w:i/>
          <w:iCs/>
          <w:sz w:val="24"/>
        </w:rPr>
        <w:t>Limbuela</w:t>
      </w:r>
      <w:proofErr w:type="spellEnd"/>
      <w:r w:rsidR="00066BBC" w:rsidRPr="00324C95">
        <w:rPr>
          <w:rFonts w:ascii="Times New Roman" w:hAnsi="Times New Roman"/>
          <w:i/>
          <w:iCs/>
          <w:sz w:val="24"/>
        </w:rPr>
        <w:t>) v Secretary of State for the Home Department</w:t>
      </w:r>
      <w:r w:rsidR="00066BBC" w:rsidRPr="00324C95">
        <w:rPr>
          <w:rFonts w:ascii="Times New Roman" w:hAnsi="Times New Roman"/>
          <w:sz w:val="24"/>
        </w:rPr>
        <w:t xml:space="preserve"> [200</w:t>
      </w:r>
      <w:r w:rsidR="00642AA8" w:rsidRPr="00324C95">
        <w:rPr>
          <w:rFonts w:ascii="Times New Roman" w:hAnsi="Times New Roman"/>
          <w:sz w:val="24"/>
        </w:rPr>
        <w:t>6</w:t>
      </w:r>
      <w:r w:rsidR="00066BBC" w:rsidRPr="00324C95">
        <w:rPr>
          <w:rFonts w:ascii="Times New Roman" w:hAnsi="Times New Roman"/>
          <w:sz w:val="24"/>
        </w:rPr>
        <w:t xml:space="preserve">] 1 AC 396 at </w:t>
      </w:r>
      <w:r w:rsidR="00E36E0A" w:rsidRPr="00324C95">
        <w:rPr>
          <w:rFonts w:ascii="Times New Roman" w:hAnsi="Times New Roman"/>
          <w:sz w:val="24"/>
        </w:rPr>
        <w:t xml:space="preserve">402-402 </w:t>
      </w:r>
      <w:r w:rsidR="00066BBC" w:rsidRPr="00324C95">
        <w:rPr>
          <w:rFonts w:ascii="Times New Roman" w:hAnsi="Times New Roman"/>
          <w:sz w:val="24"/>
        </w:rPr>
        <w:t xml:space="preserve">[8], </w:t>
      </w:r>
      <w:r w:rsidR="00E36E0A" w:rsidRPr="00324C95">
        <w:rPr>
          <w:rFonts w:ascii="Times New Roman" w:hAnsi="Times New Roman"/>
          <w:sz w:val="24"/>
        </w:rPr>
        <w:t xml:space="preserve">405 </w:t>
      </w:r>
      <w:r w:rsidR="00066BBC" w:rsidRPr="00324C95">
        <w:rPr>
          <w:rFonts w:ascii="Times New Roman" w:hAnsi="Times New Roman"/>
          <w:sz w:val="24"/>
        </w:rPr>
        <w:t xml:space="preserve">[19], </w:t>
      </w:r>
      <w:r w:rsidR="00E36E0A" w:rsidRPr="00324C95">
        <w:rPr>
          <w:rFonts w:ascii="Times New Roman" w:hAnsi="Times New Roman"/>
          <w:sz w:val="24"/>
        </w:rPr>
        <w:t xml:space="preserve">406 </w:t>
      </w:r>
      <w:r w:rsidR="00066BBC" w:rsidRPr="00324C95">
        <w:rPr>
          <w:rFonts w:ascii="Times New Roman" w:hAnsi="Times New Roman"/>
          <w:sz w:val="24"/>
        </w:rPr>
        <w:t xml:space="preserve">[25], </w:t>
      </w:r>
      <w:r w:rsidR="00E36E0A" w:rsidRPr="00324C95">
        <w:rPr>
          <w:rFonts w:ascii="Times New Roman" w:hAnsi="Times New Roman"/>
          <w:sz w:val="24"/>
        </w:rPr>
        <w:t xml:space="preserve">407 </w:t>
      </w:r>
      <w:r w:rsidR="00066BBC" w:rsidRPr="00324C95">
        <w:rPr>
          <w:rFonts w:ascii="Times New Roman" w:hAnsi="Times New Roman"/>
          <w:sz w:val="24"/>
        </w:rPr>
        <w:t xml:space="preserve">[31], </w:t>
      </w:r>
      <w:r w:rsidR="00E36E0A" w:rsidRPr="00324C95">
        <w:rPr>
          <w:rFonts w:ascii="Times New Roman" w:hAnsi="Times New Roman"/>
          <w:sz w:val="24"/>
        </w:rPr>
        <w:t xml:space="preserve">408 </w:t>
      </w:r>
      <w:r w:rsidR="00066BBC" w:rsidRPr="00324C95">
        <w:rPr>
          <w:rFonts w:ascii="Times New Roman" w:hAnsi="Times New Roman"/>
          <w:sz w:val="24"/>
        </w:rPr>
        <w:t xml:space="preserve">[34], </w:t>
      </w:r>
      <w:r w:rsidR="00E36E0A" w:rsidRPr="00324C95">
        <w:rPr>
          <w:rFonts w:ascii="Times New Roman" w:hAnsi="Times New Roman"/>
          <w:sz w:val="24"/>
        </w:rPr>
        <w:t xml:space="preserve">412 </w:t>
      </w:r>
      <w:r w:rsidR="00066BBC" w:rsidRPr="00324C95">
        <w:rPr>
          <w:rFonts w:ascii="Times New Roman" w:hAnsi="Times New Roman"/>
          <w:sz w:val="24"/>
        </w:rPr>
        <w:t>[47]</w:t>
      </w:r>
      <w:r w:rsidR="00CF2C6A" w:rsidRPr="00324C95">
        <w:rPr>
          <w:rFonts w:ascii="Times New Roman" w:hAnsi="Times New Roman"/>
          <w:sz w:val="24"/>
        </w:rPr>
        <w:t>.</w:t>
      </w:r>
    </w:p>
  </w:footnote>
  <w:footnote w:id="11">
    <w:p w14:paraId="37B2F156" w14:textId="55FB8024" w:rsidR="00757DF9" w:rsidRPr="00324C95" w:rsidRDefault="00757DF9"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007D1B27" w:rsidRPr="00324C95">
        <w:rPr>
          <w:rFonts w:ascii="Times New Roman" w:hAnsi="Times New Roman"/>
          <w:sz w:val="24"/>
        </w:rPr>
        <w:t>[2019] FCAFC 49.</w:t>
      </w:r>
    </w:p>
  </w:footnote>
  <w:footnote w:id="12">
    <w:p w14:paraId="51944EAA" w14:textId="5F07EAC0" w:rsidR="003C4E9E" w:rsidRPr="00324C95" w:rsidRDefault="003C4E9E"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[57].</w:t>
      </w:r>
    </w:p>
  </w:footnote>
  <w:footnote w:id="13">
    <w:p w14:paraId="5929A393" w14:textId="11D248D5" w:rsidR="00291132" w:rsidRPr="00324C95" w:rsidRDefault="00291132"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[11]</w:t>
      </w:r>
      <w:r w:rsidR="009D538A" w:rsidRPr="00324C95">
        <w:rPr>
          <w:rFonts w:ascii="Times New Roman" w:hAnsi="Times New Roman"/>
          <w:sz w:val="24"/>
        </w:rPr>
        <w:t>,</w:t>
      </w:r>
      <w:r w:rsidRPr="00324C95">
        <w:rPr>
          <w:rFonts w:ascii="Times New Roman" w:hAnsi="Times New Roman"/>
          <w:sz w:val="24"/>
        </w:rPr>
        <w:t xml:space="preserve"> </w:t>
      </w:r>
      <w:r w:rsidR="00AF57F2" w:rsidRPr="00324C95">
        <w:rPr>
          <w:rFonts w:ascii="Times New Roman" w:hAnsi="Times New Roman"/>
          <w:sz w:val="24"/>
        </w:rPr>
        <w:t xml:space="preserve">quoting </w:t>
      </w:r>
      <w:proofErr w:type="spellStart"/>
      <w:r w:rsidR="00AF57F2" w:rsidRPr="00324C95">
        <w:rPr>
          <w:rFonts w:ascii="Times New Roman" w:hAnsi="Times New Roman"/>
          <w:i/>
          <w:iCs/>
          <w:sz w:val="24"/>
        </w:rPr>
        <w:t>Tu</w:t>
      </w:r>
      <w:r w:rsidR="009D538A" w:rsidRPr="00324C95">
        <w:rPr>
          <w:rFonts w:ascii="Times New Roman" w:hAnsi="Times New Roman"/>
          <w:i/>
          <w:iCs/>
          <w:sz w:val="24"/>
        </w:rPr>
        <w:t>'</w:t>
      </w:r>
      <w:r w:rsidR="00AF57F2" w:rsidRPr="00324C95">
        <w:rPr>
          <w:rFonts w:ascii="Times New Roman" w:hAnsi="Times New Roman"/>
          <w:i/>
          <w:iCs/>
          <w:sz w:val="24"/>
        </w:rPr>
        <w:t>uta</w:t>
      </w:r>
      <w:proofErr w:type="spellEnd"/>
      <w:r w:rsidR="00AF57F2" w:rsidRPr="00324C95">
        <w:rPr>
          <w:rFonts w:ascii="Times New Roman" w:hAnsi="Times New Roman"/>
          <w:i/>
          <w:iCs/>
          <w:sz w:val="24"/>
        </w:rPr>
        <w:t xml:space="preserve"> Katoa v Minister for Immigration, Citizenship, Migrant Services and Multicultural Affairs</w:t>
      </w:r>
      <w:r w:rsidR="00AF57F2" w:rsidRPr="00324C95">
        <w:rPr>
          <w:rFonts w:ascii="Times New Roman" w:hAnsi="Times New Roman"/>
          <w:sz w:val="24"/>
        </w:rPr>
        <w:t xml:space="preserve"> (2022) 96 ALJR 819 at </w:t>
      </w:r>
      <w:r w:rsidR="009D538A" w:rsidRPr="00324C95">
        <w:rPr>
          <w:rFonts w:ascii="Times New Roman" w:hAnsi="Times New Roman"/>
          <w:sz w:val="24"/>
        </w:rPr>
        <w:t>824</w:t>
      </w:r>
      <w:r w:rsidR="008A5DCF" w:rsidRPr="00324C95">
        <w:rPr>
          <w:rFonts w:ascii="Times New Roman" w:hAnsi="Times New Roman"/>
          <w:sz w:val="24"/>
        </w:rPr>
        <w:t xml:space="preserve"> </w:t>
      </w:r>
      <w:r w:rsidR="00AF57F2" w:rsidRPr="00324C95">
        <w:rPr>
          <w:rFonts w:ascii="Times New Roman" w:hAnsi="Times New Roman"/>
          <w:sz w:val="24"/>
        </w:rPr>
        <w:t>[12]</w:t>
      </w:r>
      <w:r w:rsidR="009D538A" w:rsidRPr="00324C95">
        <w:rPr>
          <w:rFonts w:ascii="Times New Roman" w:hAnsi="Times New Roman"/>
          <w:sz w:val="24"/>
        </w:rPr>
        <w:t>; 403 ALR 604 at 607-608</w:t>
      </w:r>
      <w:r w:rsidR="00AF57F2" w:rsidRPr="00324C95" w:rsidDel="009D538A">
        <w:rPr>
          <w:rFonts w:ascii="Times New Roman" w:hAnsi="Times New Roman"/>
          <w:sz w:val="24"/>
        </w:rPr>
        <w:t>.</w:t>
      </w:r>
    </w:p>
  </w:footnote>
  <w:footnote w:id="14">
    <w:p w14:paraId="6C8761FB" w14:textId="4186384E" w:rsidR="00C11547" w:rsidRPr="00324C95" w:rsidRDefault="00C11547"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[12].</w:t>
      </w:r>
    </w:p>
  </w:footnote>
  <w:footnote w:id="15">
    <w:p w14:paraId="4F36C5BE" w14:textId="736D7EBC" w:rsidR="00183EC1" w:rsidRPr="00324C95" w:rsidRDefault="00183EC1"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[13].</w:t>
      </w:r>
    </w:p>
  </w:footnote>
  <w:footnote w:id="16">
    <w:p w14:paraId="21BC4872" w14:textId="170119F5" w:rsidR="002D3448" w:rsidRPr="00324C95" w:rsidRDefault="002D3448"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[67].</w:t>
      </w:r>
    </w:p>
  </w:footnote>
  <w:footnote w:id="17">
    <w:p w14:paraId="4AD19DB8" w14:textId="3C024980" w:rsidR="002C570B" w:rsidRPr="00324C95" w:rsidRDefault="002C570B"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[6</w:t>
      </w:r>
      <w:r w:rsidR="004040B2" w:rsidRPr="00324C95">
        <w:rPr>
          <w:rFonts w:ascii="Times New Roman" w:hAnsi="Times New Roman"/>
          <w:sz w:val="24"/>
        </w:rPr>
        <w:t>9</w:t>
      </w:r>
      <w:r w:rsidRPr="00324C95">
        <w:rPr>
          <w:rFonts w:ascii="Times New Roman" w:hAnsi="Times New Roman"/>
          <w:sz w:val="24"/>
        </w:rPr>
        <w:t>].</w:t>
      </w:r>
    </w:p>
  </w:footnote>
  <w:footnote w:id="18">
    <w:p w14:paraId="626A1DCA" w14:textId="61A8B6A5" w:rsidR="00F0202F" w:rsidRPr="00324C95" w:rsidRDefault="00F0202F"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CZA19 v Federal Circuit Court of Australia</w:t>
      </w:r>
      <w:r w:rsidRPr="00324C95">
        <w:rPr>
          <w:rFonts w:ascii="Times New Roman" w:hAnsi="Times New Roman"/>
          <w:sz w:val="24"/>
        </w:rPr>
        <w:t xml:space="preserve"> (2021) 285 FCR 447 at </w:t>
      </w:r>
      <w:r w:rsidR="00F90854" w:rsidRPr="00324C95">
        <w:rPr>
          <w:rFonts w:ascii="Times New Roman" w:hAnsi="Times New Roman"/>
          <w:sz w:val="24"/>
        </w:rPr>
        <w:t xml:space="preserve">456 </w:t>
      </w:r>
      <w:r w:rsidRPr="00324C95">
        <w:rPr>
          <w:rFonts w:ascii="Times New Roman" w:hAnsi="Times New Roman"/>
          <w:sz w:val="24"/>
        </w:rPr>
        <w:t>[34]</w:t>
      </w:r>
      <w:r w:rsidR="00F90854" w:rsidRPr="00324C95">
        <w:rPr>
          <w:rFonts w:ascii="Times New Roman" w:hAnsi="Times New Roman"/>
          <w:sz w:val="24"/>
        </w:rPr>
        <w:t>,</w:t>
      </w:r>
      <w:r w:rsidRPr="00324C95">
        <w:rPr>
          <w:rFonts w:ascii="Times New Roman" w:hAnsi="Times New Roman"/>
          <w:sz w:val="24"/>
        </w:rPr>
        <w:t xml:space="preserve"> citing </w:t>
      </w:r>
      <w:r w:rsidR="008B219D" w:rsidRPr="00324C95">
        <w:rPr>
          <w:rFonts w:ascii="Times New Roman" w:hAnsi="Times New Roman"/>
          <w:i/>
          <w:iCs/>
          <w:sz w:val="24"/>
        </w:rPr>
        <w:t>DL v The Queen</w:t>
      </w:r>
      <w:r w:rsidR="008B219D" w:rsidRPr="00324C95">
        <w:rPr>
          <w:rFonts w:ascii="Times New Roman" w:hAnsi="Times New Roman"/>
          <w:sz w:val="24"/>
        </w:rPr>
        <w:t xml:space="preserve"> (2018) 266 CLR 1 at 12-13 [33].</w:t>
      </w:r>
    </w:p>
  </w:footnote>
  <w:footnote w:id="19">
    <w:p w14:paraId="69F9FC8E" w14:textId="2E2BDA1D" w:rsidR="002A78B3" w:rsidRPr="00324C95" w:rsidRDefault="002A78B3"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[2024] FCA 130.</w:t>
      </w:r>
    </w:p>
  </w:footnote>
  <w:footnote w:id="20">
    <w:p w14:paraId="5AC1EA43" w14:textId="4213D9EB" w:rsidR="00696D49" w:rsidRPr="00324C95" w:rsidRDefault="00696D49"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00AC7410" w:rsidRPr="00324C95">
        <w:rPr>
          <w:rFonts w:ascii="Times New Roman" w:hAnsi="Times New Roman"/>
          <w:i/>
          <w:iCs/>
          <w:sz w:val="24"/>
        </w:rPr>
        <w:t>AJN23 v Minister for Immigration, Citizenship and Multicultural Affairs</w:t>
      </w:r>
      <w:r w:rsidR="00AC7410" w:rsidRPr="00324C95">
        <w:rPr>
          <w:rFonts w:ascii="Times New Roman" w:hAnsi="Times New Roman"/>
          <w:sz w:val="24"/>
        </w:rPr>
        <w:t xml:space="preserve"> </w:t>
      </w:r>
      <w:r w:rsidRPr="00324C95">
        <w:rPr>
          <w:rFonts w:ascii="Times New Roman" w:hAnsi="Times New Roman"/>
          <w:sz w:val="24"/>
        </w:rPr>
        <w:t>[2024] FCA 130 at [37].</w:t>
      </w:r>
    </w:p>
  </w:footnote>
  <w:footnote w:id="21">
    <w:p w14:paraId="2F62217E" w14:textId="7E2079E6" w:rsidR="00526AA9" w:rsidRPr="00324C95" w:rsidRDefault="00526AA9"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AJN23 v Minister for Immigration, Citizenship and Multicultural Affairs</w:t>
      </w:r>
      <w:r w:rsidRPr="00324C95">
        <w:rPr>
          <w:rFonts w:ascii="Times New Roman" w:hAnsi="Times New Roman"/>
          <w:sz w:val="24"/>
        </w:rPr>
        <w:t xml:space="preserve"> [2024] FCA 130 at [37]-[38].</w:t>
      </w:r>
    </w:p>
  </w:footnote>
  <w:footnote w:id="22">
    <w:p w14:paraId="4310548B" w14:textId="63392964" w:rsidR="00FB1317" w:rsidRPr="00324C95" w:rsidRDefault="00FB1317"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 xml:space="preserve">See, </w:t>
      </w:r>
      <w:proofErr w:type="spellStart"/>
      <w:r w:rsidRPr="00324C95">
        <w:rPr>
          <w:rFonts w:ascii="Times New Roman" w:hAnsi="Times New Roman"/>
          <w:sz w:val="24"/>
        </w:rPr>
        <w:t>eg</w:t>
      </w:r>
      <w:proofErr w:type="spellEnd"/>
      <w:r w:rsidRPr="00324C95">
        <w:rPr>
          <w:rFonts w:ascii="Times New Roman" w:hAnsi="Times New Roman"/>
          <w:sz w:val="24"/>
        </w:rPr>
        <w:t xml:space="preserve">, </w:t>
      </w:r>
      <w:r w:rsidRPr="00324C95">
        <w:rPr>
          <w:rFonts w:ascii="Times New Roman" w:hAnsi="Times New Roman"/>
          <w:i/>
          <w:sz w:val="24"/>
        </w:rPr>
        <w:t>Kleinwort Benson Ltd v Lincoln City Council</w:t>
      </w:r>
      <w:r w:rsidRPr="00324C95">
        <w:rPr>
          <w:rFonts w:ascii="Times New Roman" w:hAnsi="Times New Roman"/>
          <w:sz w:val="24"/>
        </w:rPr>
        <w:t xml:space="preserve"> [1998] 3 WLR 1095 at 1100.</w:t>
      </w:r>
    </w:p>
  </w:footnote>
  <w:footnote w:id="23">
    <w:p w14:paraId="66F531F5" w14:textId="135F570C" w:rsidR="00610876" w:rsidRPr="00324C95" w:rsidRDefault="00610876"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(2004) 219 CLR 562.</w:t>
      </w:r>
    </w:p>
  </w:footnote>
  <w:footnote w:id="24">
    <w:p w14:paraId="137CD968" w14:textId="6DFAEB7D" w:rsidR="0075175F" w:rsidRPr="00324C95" w:rsidRDefault="0075175F"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Pr="00324C95">
        <w:rPr>
          <w:rFonts w:ascii="Times New Roman" w:hAnsi="Times New Roman"/>
          <w:i/>
          <w:iCs/>
          <w:sz w:val="24"/>
        </w:rPr>
        <w:t>DAQ22 v Minister for Immigration, Citizenship, Migrant Services and Multicultural Affairs</w:t>
      </w:r>
      <w:r w:rsidRPr="00324C95">
        <w:rPr>
          <w:rFonts w:ascii="Times New Roman" w:hAnsi="Times New Roman"/>
          <w:sz w:val="24"/>
        </w:rPr>
        <w:t xml:space="preserve"> [2023] FCA 1557 at [69].</w:t>
      </w:r>
    </w:p>
  </w:footnote>
  <w:footnote w:id="25">
    <w:p w14:paraId="78BF3A44" w14:textId="31F71FFC" w:rsidR="00A01453" w:rsidRPr="00324C95" w:rsidRDefault="00A01453"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00402623" w:rsidRPr="00324C95">
        <w:rPr>
          <w:rFonts w:ascii="Times New Roman" w:hAnsi="Times New Roman"/>
          <w:sz w:val="24"/>
        </w:rPr>
        <w:t xml:space="preserve">(2010) 240 CLR 611 at </w:t>
      </w:r>
      <w:r w:rsidR="000B6825" w:rsidRPr="00324C95">
        <w:rPr>
          <w:rFonts w:ascii="Times New Roman" w:hAnsi="Times New Roman"/>
          <w:sz w:val="24"/>
        </w:rPr>
        <w:t xml:space="preserve">648 </w:t>
      </w:r>
      <w:r w:rsidR="00402623" w:rsidRPr="00324C95">
        <w:rPr>
          <w:rFonts w:ascii="Times New Roman" w:hAnsi="Times New Roman"/>
          <w:sz w:val="24"/>
        </w:rPr>
        <w:t xml:space="preserve">[131], </w:t>
      </w:r>
      <w:r w:rsidR="000B6825" w:rsidRPr="00324C95">
        <w:rPr>
          <w:rFonts w:ascii="Times New Roman" w:hAnsi="Times New Roman"/>
          <w:sz w:val="24"/>
        </w:rPr>
        <w:t xml:space="preserve">648-649 </w:t>
      </w:r>
      <w:r w:rsidR="00402623" w:rsidRPr="00324C95">
        <w:rPr>
          <w:rFonts w:ascii="Times New Roman" w:hAnsi="Times New Roman"/>
          <w:sz w:val="24"/>
        </w:rPr>
        <w:t>[133]</w:t>
      </w:r>
      <w:r w:rsidR="000B6825" w:rsidRPr="00324C95">
        <w:rPr>
          <w:rFonts w:ascii="Times New Roman" w:hAnsi="Times New Roman"/>
          <w:sz w:val="24"/>
        </w:rPr>
        <w:t>,</w:t>
      </w:r>
      <w:r w:rsidR="00937982" w:rsidRPr="00324C95">
        <w:rPr>
          <w:rFonts w:ascii="Times New Roman" w:hAnsi="Times New Roman"/>
          <w:sz w:val="24"/>
        </w:rPr>
        <w:t xml:space="preserve"> </w:t>
      </w:r>
      <w:r w:rsidR="000B6825" w:rsidRPr="00324C95">
        <w:rPr>
          <w:rFonts w:ascii="Times New Roman" w:hAnsi="Times New Roman"/>
          <w:sz w:val="24"/>
        </w:rPr>
        <w:t xml:space="preserve">649-650 </w:t>
      </w:r>
      <w:r w:rsidR="00402623" w:rsidRPr="00324C95">
        <w:rPr>
          <w:rFonts w:ascii="Times New Roman" w:hAnsi="Times New Roman"/>
          <w:sz w:val="24"/>
        </w:rPr>
        <w:t>[135].</w:t>
      </w:r>
    </w:p>
  </w:footnote>
  <w:footnote w:id="26">
    <w:p w14:paraId="3A155220" w14:textId="7D7CC2A7" w:rsidR="00300174" w:rsidRPr="00324C95" w:rsidRDefault="00300174"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 xml:space="preserve">(2010) 240 CLR 611 at </w:t>
      </w:r>
      <w:r w:rsidR="000B6825" w:rsidRPr="00324C95">
        <w:rPr>
          <w:rFonts w:ascii="Times New Roman" w:hAnsi="Times New Roman"/>
          <w:sz w:val="24"/>
        </w:rPr>
        <w:t xml:space="preserve">648 </w:t>
      </w:r>
      <w:r w:rsidRPr="00324C95">
        <w:rPr>
          <w:rFonts w:ascii="Times New Roman" w:hAnsi="Times New Roman"/>
          <w:sz w:val="24"/>
        </w:rPr>
        <w:t>[131].</w:t>
      </w:r>
    </w:p>
  </w:footnote>
  <w:footnote w:id="27">
    <w:p w14:paraId="0EDBCF4D" w14:textId="36447A47" w:rsidR="00DE7743" w:rsidRPr="00324C95" w:rsidRDefault="00DE7743"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t xml:space="preserve">(2010) 240 CLR 611 at </w:t>
      </w:r>
      <w:r w:rsidR="000B6825" w:rsidRPr="00324C95">
        <w:rPr>
          <w:rFonts w:ascii="Times New Roman" w:hAnsi="Times New Roman"/>
          <w:sz w:val="24"/>
        </w:rPr>
        <w:t xml:space="preserve">648-649 </w:t>
      </w:r>
      <w:r w:rsidRPr="00324C95">
        <w:rPr>
          <w:rFonts w:ascii="Times New Roman" w:hAnsi="Times New Roman"/>
          <w:sz w:val="24"/>
        </w:rPr>
        <w:t>[133].</w:t>
      </w:r>
    </w:p>
  </w:footnote>
  <w:footnote w:id="28">
    <w:p w14:paraId="0D02D4D0" w14:textId="7C13C823" w:rsidR="00F31502" w:rsidRPr="00324C95" w:rsidRDefault="00F31502" w:rsidP="00324C95">
      <w:pPr>
        <w:pStyle w:val="FootnoteText"/>
        <w:spacing w:line="280" w:lineRule="exact"/>
        <w:ind w:right="0"/>
        <w:jc w:val="both"/>
        <w:rPr>
          <w:rFonts w:ascii="Times New Roman" w:hAnsi="Times New Roman"/>
          <w:sz w:val="24"/>
        </w:rPr>
      </w:pPr>
      <w:r w:rsidRPr="00324C95">
        <w:rPr>
          <w:rStyle w:val="FootnoteReference"/>
          <w:rFonts w:ascii="Times New Roman" w:hAnsi="Times New Roman"/>
          <w:sz w:val="22"/>
          <w:vertAlign w:val="baseline"/>
        </w:rPr>
        <w:footnoteRef/>
      </w:r>
      <w:r w:rsidRPr="00324C95">
        <w:rPr>
          <w:rFonts w:ascii="Times New Roman" w:hAnsi="Times New Roman"/>
          <w:sz w:val="24"/>
        </w:rPr>
        <w:t xml:space="preserve"> </w:t>
      </w:r>
      <w:r w:rsidRPr="00324C95">
        <w:rPr>
          <w:rFonts w:ascii="Times New Roman" w:hAnsi="Times New Roman"/>
          <w:sz w:val="24"/>
        </w:rPr>
        <w:tab/>
      </w:r>
      <w:r w:rsidR="000B6825" w:rsidRPr="00324C95">
        <w:rPr>
          <w:rFonts w:ascii="Times New Roman" w:hAnsi="Times New Roman"/>
          <w:sz w:val="24"/>
        </w:rPr>
        <w:t>(</w:t>
      </w:r>
      <w:r w:rsidRPr="00324C95">
        <w:rPr>
          <w:rFonts w:ascii="Times New Roman" w:hAnsi="Times New Roman"/>
          <w:sz w:val="24"/>
        </w:rPr>
        <w:t xml:space="preserve">2010) 240 CLR 611 at </w:t>
      </w:r>
      <w:r w:rsidR="000B6825" w:rsidRPr="00324C95">
        <w:rPr>
          <w:rFonts w:ascii="Times New Roman" w:hAnsi="Times New Roman"/>
          <w:sz w:val="24"/>
        </w:rPr>
        <w:t xml:space="preserve">649-650 </w:t>
      </w:r>
      <w:r w:rsidRPr="00324C95">
        <w:rPr>
          <w:rFonts w:ascii="Times New Roman" w:hAnsi="Times New Roman"/>
          <w:sz w:val="24"/>
        </w:rPr>
        <w:t>[135].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766D" w14:textId="455F56AD" w:rsidR="00324C95" w:rsidRPr="00D24606" w:rsidRDefault="00D24606" w:rsidP="00D2460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727DF">
      <w:rPr>
        <w:rFonts w:ascii="Times New Roman" w:hAnsi="Times New Roman"/>
        <w:noProof/>
        <w:sz w:val="22"/>
      </w:rPr>
      <w:instrText>1</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727DF">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5DD3" w14:textId="77777777" w:rsidR="00D24606" w:rsidRDefault="00D24606" w:rsidP="00324C95">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59065738" w14:textId="77777777" w:rsidR="00D24606" w:rsidRDefault="00D24606" w:rsidP="00324C95">
    <w:pPr>
      <w:pStyle w:val="Header"/>
      <w:tabs>
        <w:tab w:val="clear" w:pos="4153"/>
        <w:tab w:val="clear" w:pos="8306"/>
        <w:tab w:val="right" w:pos="1304"/>
      </w:tabs>
      <w:spacing w:line="280" w:lineRule="exact"/>
      <w:ind w:firstLine="0"/>
      <w:rPr>
        <w:rFonts w:ascii="Times New Roman" w:hAnsi="Times New Roman"/>
        <w:i/>
        <w:sz w:val="22"/>
      </w:rPr>
    </w:pPr>
  </w:p>
  <w:p w14:paraId="634CEAF0" w14:textId="77777777" w:rsidR="00D24606" w:rsidRDefault="00D24606" w:rsidP="00324C9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8DDF319" w14:textId="77777777" w:rsidR="00D24606" w:rsidRPr="00324C95" w:rsidRDefault="00D24606" w:rsidP="00324C9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9609" w14:textId="77777777" w:rsidR="00D24606" w:rsidRDefault="00D24606" w:rsidP="00324C9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78F6C111" w14:textId="77777777" w:rsidR="00D24606" w:rsidRDefault="00D24606" w:rsidP="00324C95">
    <w:pPr>
      <w:pStyle w:val="Header"/>
      <w:tabs>
        <w:tab w:val="clear" w:pos="4153"/>
        <w:tab w:val="clear" w:pos="8306"/>
        <w:tab w:val="left" w:pos="7200"/>
        <w:tab w:val="right" w:pos="8504"/>
      </w:tabs>
      <w:spacing w:line="280" w:lineRule="exact"/>
      <w:jc w:val="right"/>
      <w:rPr>
        <w:rFonts w:ascii="Times New Roman" w:hAnsi="Times New Roman"/>
        <w:i/>
        <w:sz w:val="22"/>
      </w:rPr>
    </w:pPr>
  </w:p>
  <w:p w14:paraId="2D59954C" w14:textId="77777777" w:rsidR="00D24606" w:rsidRDefault="00D24606" w:rsidP="00324C9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0C162A5" w14:textId="77777777" w:rsidR="00D24606" w:rsidRPr="00324C95" w:rsidRDefault="00D24606" w:rsidP="00324C9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0A54" w14:textId="77777777" w:rsidR="00D24606" w:rsidRDefault="00D24606" w:rsidP="00324C95">
    <w:pPr>
      <w:pStyle w:val="Header"/>
      <w:tabs>
        <w:tab w:val="clear" w:pos="4153"/>
        <w:tab w:val="clear" w:pos="8306"/>
        <w:tab w:val="center" w:pos="1134"/>
      </w:tabs>
      <w:spacing w:line="280" w:lineRule="exact"/>
      <w:ind w:firstLine="0"/>
      <w:rPr>
        <w:rFonts w:ascii="Times New Roman" w:hAnsi="Times New Roman"/>
        <w:i/>
        <w:sz w:val="22"/>
      </w:rPr>
    </w:pPr>
  </w:p>
  <w:p w14:paraId="0C8114E8" w14:textId="77777777" w:rsidR="00D24606" w:rsidRDefault="00D24606" w:rsidP="00324C95">
    <w:pPr>
      <w:pStyle w:val="Header"/>
      <w:tabs>
        <w:tab w:val="clear" w:pos="4153"/>
        <w:tab w:val="clear" w:pos="8306"/>
        <w:tab w:val="center" w:pos="1134"/>
      </w:tabs>
      <w:spacing w:line="280" w:lineRule="exact"/>
      <w:ind w:firstLine="0"/>
      <w:rPr>
        <w:rFonts w:ascii="Times New Roman" w:hAnsi="Times New Roman"/>
        <w:i/>
        <w:sz w:val="22"/>
      </w:rPr>
    </w:pPr>
  </w:p>
  <w:p w14:paraId="4F0BBA55" w14:textId="77777777" w:rsidR="00D24606" w:rsidRDefault="00D24606" w:rsidP="00324C95">
    <w:pPr>
      <w:pStyle w:val="Header"/>
      <w:tabs>
        <w:tab w:val="clear" w:pos="4153"/>
        <w:tab w:val="clear" w:pos="8306"/>
        <w:tab w:val="center" w:pos="1134"/>
      </w:tabs>
      <w:spacing w:line="280" w:lineRule="exact"/>
      <w:ind w:firstLine="0"/>
      <w:rPr>
        <w:rFonts w:ascii="Times New Roman" w:hAnsi="Times New Roman"/>
        <w:i/>
        <w:sz w:val="22"/>
      </w:rPr>
    </w:pPr>
  </w:p>
  <w:p w14:paraId="0FF8359C" w14:textId="77777777" w:rsidR="00D24606" w:rsidRPr="00324C95" w:rsidRDefault="00D24606" w:rsidP="00324C9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71"/>
    <w:rsid w:val="00002069"/>
    <w:rsid w:val="00002CE6"/>
    <w:rsid w:val="0000316A"/>
    <w:rsid w:val="000049B7"/>
    <w:rsid w:val="00006866"/>
    <w:rsid w:val="0001114B"/>
    <w:rsid w:val="00012D8F"/>
    <w:rsid w:val="000141CA"/>
    <w:rsid w:val="00014B34"/>
    <w:rsid w:val="000168C9"/>
    <w:rsid w:val="00016C20"/>
    <w:rsid w:val="00016DBB"/>
    <w:rsid w:val="00017144"/>
    <w:rsid w:val="00022A53"/>
    <w:rsid w:val="00024F2A"/>
    <w:rsid w:val="000250AF"/>
    <w:rsid w:val="00025490"/>
    <w:rsid w:val="0002561E"/>
    <w:rsid w:val="000268E1"/>
    <w:rsid w:val="0003575A"/>
    <w:rsid w:val="000360EB"/>
    <w:rsid w:val="00037A5F"/>
    <w:rsid w:val="00037D87"/>
    <w:rsid w:val="00042EF3"/>
    <w:rsid w:val="00043D2C"/>
    <w:rsid w:val="00046812"/>
    <w:rsid w:val="00053B09"/>
    <w:rsid w:val="00055ACD"/>
    <w:rsid w:val="00056F27"/>
    <w:rsid w:val="000573AF"/>
    <w:rsid w:val="000578F9"/>
    <w:rsid w:val="0006169E"/>
    <w:rsid w:val="000626FD"/>
    <w:rsid w:val="0006432B"/>
    <w:rsid w:val="0006513E"/>
    <w:rsid w:val="00065294"/>
    <w:rsid w:val="000653D4"/>
    <w:rsid w:val="00066BBC"/>
    <w:rsid w:val="00071358"/>
    <w:rsid w:val="00071C35"/>
    <w:rsid w:val="00075F50"/>
    <w:rsid w:val="00080D77"/>
    <w:rsid w:val="0008128B"/>
    <w:rsid w:val="0008435D"/>
    <w:rsid w:val="0008558C"/>
    <w:rsid w:val="00085F13"/>
    <w:rsid w:val="00090378"/>
    <w:rsid w:val="00093FE8"/>
    <w:rsid w:val="00096352"/>
    <w:rsid w:val="000A28D4"/>
    <w:rsid w:val="000A2EB4"/>
    <w:rsid w:val="000A3DA3"/>
    <w:rsid w:val="000A63C6"/>
    <w:rsid w:val="000B4630"/>
    <w:rsid w:val="000B497F"/>
    <w:rsid w:val="000B6825"/>
    <w:rsid w:val="000B710D"/>
    <w:rsid w:val="000B7558"/>
    <w:rsid w:val="000C04DC"/>
    <w:rsid w:val="000C0CB8"/>
    <w:rsid w:val="000C0D98"/>
    <w:rsid w:val="000C775E"/>
    <w:rsid w:val="000D25E6"/>
    <w:rsid w:val="000D53C8"/>
    <w:rsid w:val="000E65F7"/>
    <w:rsid w:val="000E7D5B"/>
    <w:rsid w:val="000F1345"/>
    <w:rsid w:val="000F3BB3"/>
    <w:rsid w:val="001001B9"/>
    <w:rsid w:val="00102254"/>
    <w:rsid w:val="001039A5"/>
    <w:rsid w:val="00106305"/>
    <w:rsid w:val="0010702C"/>
    <w:rsid w:val="00110970"/>
    <w:rsid w:val="00111568"/>
    <w:rsid w:val="001120C0"/>
    <w:rsid w:val="001150BF"/>
    <w:rsid w:val="00115BEF"/>
    <w:rsid w:val="00115EB0"/>
    <w:rsid w:val="001168F2"/>
    <w:rsid w:val="001172D9"/>
    <w:rsid w:val="00120207"/>
    <w:rsid w:val="00123C1B"/>
    <w:rsid w:val="00125E3C"/>
    <w:rsid w:val="00132CB4"/>
    <w:rsid w:val="00132D8A"/>
    <w:rsid w:val="00133E7E"/>
    <w:rsid w:val="0013456F"/>
    <w:rsid w:val="001362A3"/>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3EC1"/>
    <w:rsid w:val="001840C2"/>
    <w:rsid w:val="00184B46"/>
    <w:rsid w:val="00185939"/>
    <w:rsid w:val="001876F6"/>
    <w:rsid w:val="00190B87"/>
    <w:rsid w:val="00191E23"/>
    <w:rsid w:val="001931DD"/>
    <w:rsid w:val="001953B1"/>
    <w:rsid w:val="0019629A"/>
    <w:rsid w:val="001963C0"/>
    <w:rsid w:val="00196D68"/>
    <w:rsid w:val="00197956"/>
    <w:rsid w:val="001A409D"/>
    <w:rsid w:val="001A446E"/>
    <w:rsid w:val="001B1676"/>
    <w:rsid w:val="001B17A8"/>
    <w:rsid w:val="001B55C8"/>
    <w:rsid w:val="001B5D59"/>
    <w:rsid w:val="001B63C6"/>
    <w:rsid w:val="001C27B5"/>
    <w:rsid w:val="001C48D4"/>
    <w:rsid w:val="001C7C93"/>
    <w:rsid w:val="001D36CD"/>
    <w:rsid w:val="001D4F49"/>
    <w:rsid w:val="001D7982"/>
    <w:rsid w:val="001E1D3D"/>
    <w:rsid w:val="001E47D1"/>
    <w:rsid w:val="001E6A64"/>
    <w:rsid w:val="001E75C5"/>
    <w:rsid w:val="001F1B5F"/>
    <w:rsid w:val="001F1FD0"/>
    <w:rsid w:val="001F3F2A"/>
    <w:rsid w:val="001F4AED"/>
    <w:rsid w:val="001F69C2"/>
    <w:rsid w:val="002048D1"/>
    <w:rsid w:val="002079CB"/>
    <w:rsid w:val="0021096E"/>
    <w:rsid w:val="00210DE8"/>
    <w:rsid w:val="00211D73"/>
    <w:rsid w:val="00212A3E"/>
    <w:rsid w:val="00214BF2"/>
    <w:rsid w:val="00215A7F"/>
    <w:rsid w:val="00216522"/>
    <w:rsid w:val="002201B9"/>
    <w:rsid w:val="00221D19"/>
    <w:rsid w:val="0022666B"/>
    <w:rsid w:val="0022734D"/>
    <w:rsid w:val="002328DC"/>
    <w:rsid w:val="0023447F"/>
    <w:rsid w:val="002350B3"/>
    <w:rsid w:val="00236672"/>
    <w:rsid w:val="0023798E"/>
    <w:rsid w:val="00242EE4"/>
    <w:rsid w:val="0024462E"/>
    <w:rsid w:val="002474FA"/>
    <w:rsid w:val="00253493"/>
    <w:rsid w:val="00253DE9"/>
    <w:rsid w:val="0025408A"/>
    <w:rsid w:val="00257AFB"/>
    <w:rsid w:val="002624C8"/>
    <w:rsid w:val="0026293D"/>
    <w:rsid w:val="0026339D"/>
    <w:rsid w:val="00265982"/>
    <w:rsid w:val="00270154"/>
    <w:rsid w:val="00270752"/>
    <w:rsid w:val="00270DA4"/>
    <w:rsid w:val="00271F70"/>
    <w:rsid w:val="0027408B"/>
    <w:rsid w:val="002765AF"/>
    <w:rsid w:val="00276B56"/>
    <w:rsid w:val="00280F46"/>
    <w:rsid w:val="002819FD"/>
    <w:rsid w:val="0028583A"/>
    <w:rsid w:val="00287368"/>
    <w:rsid w:val="00287873"/>
    <w:rsid w:val="00291132"/>
    <w:rsid w:val="002916CC"/>
    <w:rsid w:val="002925DD"/>
    <w:rsid w:val="0029278C"/>
    <w:rsid w:val="00292E65"/>
    <w:rsid w:val="002953AA"/>
    <w:rsid w:val="00295C41"/>
    <w:rsid w:val="0029697C"/>
    <w:rsid w:val="002979F1"/>
    <w:rsid w:val="00297BF9"/>
    <w:rsid w:val="002A0F65"/>
    <w:rsid w:val="002A13E1"/>
    <w:rsid w:val="002A17A3"/>
    <w:rsid w:val="002A3248"/>
    <w:rsid w:val="002A4362"/>
    <w:rsid w:val="002A78B3"/>
    <w:rsid w:val="002B0846"/>
    <w:rsid w:val="002B1304"/>
    <w:rsid w:val="002C1EDE"/>
    <w:rsid w:val="002C570B"/>
    <w:rsid w:val="002C5981"/>
    <w:rsid w:val="002C7307"/>
    <w:rsid w:val="002D0410"/>
    <w:rsid w:val="002D0899"/>
    <w:rsid w:val="002D1707"/>
    <w:rsid w:val="002D17E2"/>
    <w:rsid w:val="002D3448"/>
    <w:rsid w:val="002D3F5B"/>
    <w:rsid w:val="002D4616"/>
    <w:rsid w:val="002E0EC8"/>
    <w:rsid w:val="002E278F"/>
    <w:rsid w:val="002E3B4D"/>
    <w:rsid w:val="002F0522"/>
    <w:rsid w:val="002F0734"/>
    <w:rsid w:val="002F0F09"/>
    <w:rsid w:val="002F357B"/>
    <w:rsid w:val="002F4BA5"/>
    <w:rsid w:val="00300174"/>
    <w:rsid w:val="0030026A"/>
    <w:rsid w:val="00301975"/>
    <w:rsid w:val="0030542C"/>
    <w:rsid w:val="00310418"/>
    <w:rsid w:val="00312FFC"/>
    <w:rsid w:val="003150BF"/>
    <w:rsid w:val="003150CE"/>
    <w:rsid w:val="00315E92"/>
    <w:rsid w:val="00323B9E"/>
    <w:rsid w:val="00324226"/>
    <w:rsid w:val="00324C95"/>
    <w:rsid w:val="00330804"/>
    <w:rsid w:val="003315C5"/>
    <w:rsid w:val="00331A48"/>
    <w:rsid w:val="00333B95"/>
    <w:rsid w:val="00334A6B"/>
    <w:rsid w:val="003366B2"/>
    <w:rsid w:val="00340066"/>
    <w:rsid w:val="0034122D"/>
    <w:rsid w:val="0034288B"/>
    <w:rsid w:val="0034332B"/>
    <w:rsid w:val="00345144"/>
    <w:rsid w:val="0034681C"/>
    <w:rsid w:val="003469B8"/>
    <w:rsid w:val="003500B7"/>
    <w:rsid w:val="003600A8"/>
    <w:rsid w:val="0036284D"/>
    <w:rsid w:val="00366524"/>
    <w:rsid w:val="00373E58"/>
    <w:rsid w:val="00376073"/>
    <w:rsid w:val="00377452"/>
    <w:rsid w:val="00380231"/>
    <w:rsid w:val="00381223"/>
    <w:rsid w:val="00381849"/>
    <w:rsid w:val="003823A0"/>
    <w:rsid w:val="0038328A"/>
    <w:rsid w:val="00384F36"/>
    <w:rsid w:val="00385271"/>
    <w:rsid w:val="0039226E"/>
    <w:rsid w:val="00392CC8"/>
    <w:rsid w:val="00397708"/>
    <w:rsid w:val="003A2017"/>
    <w:rsid w:val="003A48CC"/>
    <w:rsid w:val="003A48D7"/>
    <w:rsid w:val="003A72EF"/>
    <w:rsid w:val="003A7E21"/>
    <w:rsid w:val="003B4EED"/>
    <w:rsid w:val="003B6B2C"/>
    <w:rsid w:val="003B7598"/>
    <w:rsid w:val="003C266A"/>
    <w:rsid w:val="003C4E9E"/>
    <w:rsid w:val="003C602A"/>
    <w:rsid w:val="003D015A"/>
    <w:rsid w:val="003D1759"/>
    <w:rsid w:val="003D1896"/>
    <w:rsid w:val="003D3B14"/>
    <w:rsid w:val="003D62F7"/>
    <w:rsid w:val="003E1035"/>
    <w:rsid w:val="003E17F2"/>
    <w:rsid w:val="003E19F7"/>
    <w:rsid w:val="003E1EB2"/>
    <w:rsid w:val="003E3180"/>
    <w:rsid w:val="003E492C"/>
    <w:rsid w:val="003E710D"/>
    <w:rsid w:val="003E7A9C"/>
    <w:rsid w:val="003E7B79"/>
    <w:rsid w:val="003F328F"/>
    <w:rsid w:val="003F531A"/>
    <w:rsid w:val="003F7C9E"/>
    <w:rsid w:val="004025E8"/>
    <w:rsid w:val="00402623"/>
    <w:rsid w:val="00402768"/>
    <w:rsid w:val="004040B2"/>
    <w:rsid w:val="00404C36"/>
    <w:rsid w:val="00406F38"/>
    <w:rsid w:val="004107CA"/>
    <w:rsid w:val="004111BC"/>
    <w:rsid w:val="004114CB"/>
    <w:rsid w:val="0041218D"/>
    <w:rsid w:val="004125F4"/>
    <w:rsid w:val="004126D4"/>
    <w:rsid w:val="00412F38"/>
    <w:rsid w:val="004131A2"/>
    <w:rsid w:val="004133FA"/>
    <w:rsid w:val="00414703"/>
    <w:rsid w:val="00415D2B"/>
    <w:rsid w:val="00416C0A"/>
    <w:rsid w:val="00421941"/>
    <w:rsid w:val="004245FF"/>
    <w:rsid w:val="00424DE2"/>
    <w:rsid w:val="00432528"/>
    <w:rsid w:val="0043276B"/>
    <w:rsid w:val="00432836"/>
    <w:rsid w:val="00434A8E"/>
    <w:rsid w:val="004373D1"/>
    <w:rsid w:val="0043778D"/>
    <w:rsid w:val="004454C2"/>
    <w:rsid w:val="00447347"/>
    <w:rsid w:val="00447F33"/>
    <w:rsid w:val="00450A27"/>
    <w:rsid w:val="00451EC2"/>
    <w:rsid w:val="00455226"/>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95D64"/>
    <w:rsid w:val="004A06FC"/>
    <w:rsid w:val="004A132C"/>
    <w:rsid w:val="004A4BC8"/>
    <w:rsid w:val="004A568F"/>
    <w:rsid w:val="004B1394"/>
    <w:rsid w:val="004B26D9"/>
    <w:rsid w:val="004B2C5E"/>
    <w:rsid w:val="004B774B"/>
    <w:rsid w:val="004C4629"/>
    <w:rsid w:val="004C4B71"/>
    <w:rsid w:val="004D087E"/>
    <w:rsid w:val="004D19DB"/>
    <w:rsid w:val="004D1E88"/>
    <w:rsid w:val="004D3CD7"/>
    <w:rsid w:val="004D57BB"/>
    <w:rsid w:val="004D58DE"/>
    <w:rsid w:val="004D63E2"/>
    <w:rsid w:val="004E3F30"/>
    <w:rsid w:val="004E46F8"/>
    <w:rsid w:val="004E4A3D"/>
    <w:rsid w:val="004E50C8"/>
    <w:rsid w:val="004E5C3C"/>
    <w:rsid w:val="004E653E"/>
    <w:rsid w:val="004E65F5"/>
    <w:rsid w:val="004F2D77"/>
    <w:rsid w:val="004F3C00"/>
    <w:rsid w:val="004F3E28"/>
    <w:rsid w:val="004F3E85"/>
    <w:rsid w:val="004F5F4E"/>
    <w:rsid w:val="004F621F"/>
    <w:rsid w:val="00502EAE"/>
    <w:rsid w:val="00503A1B"/>
    <w:rsid w:val="0050500F"/>
    <w:rsid w:val="00505279"/>
    <w:rsid w:val="005063E1"/>
    <w:rsid w:val="00507CC5"/>
    <w:rsid w:val="0051239B"/>
    <w:rsid w:val="00512A4C"/>
    <w:rsid w:val="005145CF"/>
    <w:rsid w:val="00516BBB"/>
    <w:rsid w:val="00522AA2"/>
    <w:rsid w:val="00523E83"/>
    <w:rsid w:val="005248BB"/>
    <w:rsid w:val="00526AA9"/>
    <w:rsid w:val="005308A5"/>
    <w:rsid w:val="005314E9"/>
    <w:rsid w:val="00531723"/>
    <w:rsid w:val="0053275E"/>
    <w:rsid w:val="0053324F"/>
    <w:rsid w:val="005348BF"/>
    <w:rsid w:val="0053658C"/>
    <w:rsid w:val="00541E10"/>
    <w:rsid w:val="00541EF9"/>
    <w:rsid w:val="005431CF"/>
    <w:rsid w:val="00543D0A"/>
    <w:rsid w:val="00544EFB"/>
    <w:rsid w:val="005454F3"/>
    <w:rsid w:val="005455E5"/>
    <w:rsid w:val="0054681B"/>
    <w:rsid w:val="0054779A"/>
    <w:rsid w:val="00547BA1"/>
    <w:rsid w:val="00556101"/>
    <w:rsid w:val="00557CB1"/>
    <w:rsid w:val="00560271"/>
    <w:rsid w:val="0056072C"/>
    <w:rsid w:val="0056091E"/>
    <w:rsid w:val="00561371"/>
    <w:rsid w:val="0056172D"/>
    <w:rsid w:val="005635F3"/>
    <w:rsid w:val="0056411C"/>
    <w:rsid w:val="00565B4C"/>
    <w:rsid w:val="005663FF"/>
    <w:rsid w:val="005677E5"/>
    <w:rsid w:val="00570D24"/>
    <w:rsid w:val="005727DF"/>
    <w:rsid w:val="00574C1A"/>
    <w:rsid w:val="0057748C"/>
    <w:rsid w:val="00577E4E"/>
    <w:rsid w:val="00580EEB"/>
    <w:rsid w:val="00580FCF"/>
    <w:rsid w:val="00583673"/>
    <w:rsid w:val="00583D08"/>
    <w:rsid w:val="00587BE7"/>
    <w:rsid w:val="00587CBC"/>
    <w:rsid w:val="005949E5"/>
    <w:rsid w:val="00595DF1"/>
    <w:rsid w:val="00595ED9"/>
    <w:rsid w:val="00596524"/>
    <w:rsid w:val="00597D35"/>
    <w:rsid w:val="005A14EE"/>
    <w:rsid w:val="005A4A36"/>
    <w:rsid w:val="005A6A72"/>
    <w:rsid w:val="005A6D6D"/>
    <w:rsid w:val="005A7264"/>
    <w:rsid w:val="005A782D"/>
    <w:rsid w:val="005B1601"/>
    <w:rsid w:val="005B4CFC"/>
    <w:rsid w:val="005B58B0"/>
    <w:rsid w:val="005B6E0D"/>
    <w:rsid w:val="005C0298"/>
    <w:rsid w:val="005C0769"/>
    <w:rsid w:val="005C360A"/>
    <w:rsid w:val="005C605B"/>
    <w:rsid w:val="005C7EE9"/>
    <w:rsid w:val="005D221C"/>
    <w:rsid w:val="005D2A43"/>
    <w:rsid w:val="005D6EA0"/>
    <w:rsid w:val="005E3188"/>
    <w:rsid w:val="005E560A"/>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876"/>
    <w:rsid w:val="006109F8"/>
    <w:rsid w:val="006147EA"/>
    <w:rsid w:val="0061621B"/>
    <w:rsid w:val="006219DE"/>
    <w:rsid w:val="00623075"/>
    <w:rsid w:val="00623910"/>
    <w:rsid w:val="00624A27"/>
    <w:rsid w:val="00624B3F"/>
    <w:rsid w:val="00624D74"/>
    <w:rsid w:val="0062716D"/>
    <w:rsid w:val="00627AF2"/>
    <w:rsid w:val="00631F7A"/>
    <w:rsid w:val="00632F94"/>
    <w:rsid w:val="0063632F"/>
    <w:rsid w:val="00640667"/>
    <w:rsid w:val="00640E38"/>
    <w:rsid w:val="00642AA8"/>
    <w:rsid w:val="00650C56"/>
    <w:rsid w:val="00652858"/>
    <w:rsid w:val="00654DEE"/>
    <w:rsid w:val="006558DC"/>
    <w:rsid w:val="00656B27"/>
    <w:rsid w:val="00657F8B"/>
    <w:rsid w:val="00660401"/>
    <w:rsid w:val="006618FC"/>
    <w:rsid w:val="00663D00"/>
    <w:rsid w:val="00663E86"/>
    <w:rsid w:val="00671B7E"/>
    <w:rsid w:val="006736F6"/>
    <w:rsid w:val="00674D7C"/>
    <w:rsid w:val="006767BC"/>
    <w:rsid w:val="00681D75"/>
    <w:rsid w:val="0068242E"/>
    <w:rsid w:val="0068347D"/>
    <w:rsid w:val="006839BA"/>
    <w:rsid w:val="00684BAF"/>
    <w:rsid w:val="006854EE"/>
    <w:rsid w:val="006935E0"/>
    <w:rsid w:val="00696D49"/>
    <w:rsid w:val="00696EBB"/>
    <w:rsid w:val="0069772D"/>
    <w:rsid w:val="00697D41"/>
    <w:rsid w:val="006A1F10"/>
    <w:rsid w:val="006A4D4E"/>
    <w:rsid w:val="006B32A8"/>
    <w:rsid w:val="006B630A"/>
    <w:rsid w:val="006B7C24"/>
    <w:rsid w:val="006C1577"/>
    <w:rsid w:val="006C1A37"/>
    <w:rsid w:val="006C43B8"/>
    <w:rsid w:val="006C5ACD"/>
    <w:rsid w:val="006C5FC3"/>
    <w:rsid w:val="006C6300"/>
    <w:rsid w:val="006D1544"/>
    <w:rsid w:val="006D36B7"/>
    <w:rsid w:val="006D3A49"/>
    <w:rsid w:val="006D686D"/>
    <w:rsid w:val="006E16F1"/>
    <w:rsid w:val="006E24D3"/>
    <w:rsid w:val="006E359B"/>
    <w:rsid w:val="006E3F2D"/>
    <w:rsid w:val="006E75BF"/>
    <w:rsid w:val="006F09B5"/>
    <w:rsid w:val="006F1349"/>
    <w:rsid w:val="006F201F"/>
    <w:rsid w:val="006F2C03"/>
    <w:rsid w:val="006F48B3"/>
    <w:rsid w:val="006F48B8"/>
    <w:rsid w:val="006F4ACE"/>
    <w:rsid w:val="006F553C"/>
    <w:rsid w:val="006F5924"/>
    <w:rsid w:val="006F6258"/>
    <w:rsid w:val="006F65E1"/>
    <w:rsid w:val="006F7F8E"/>
    <w:rsid w:val="00700092"/>
    <w:rsid w:val="00701552"/>
    <w:rsid w:val="00704EF8"/>
    <w:rsid w:val="00704FDE"/>
    <w:rsid w:val="00705448"/>
    <w:rsid w:val="00710068"/>
    <w:rsid w:val="007122EC"/>
    <w:rsid w:val="00714504"/>
    <w:rsid w:val="0071742A"/>
    <w:rsid w:val="00722C83"/>
    <w:rsid w:val="00726085"/>
    <w:rsid w:val="00730E8F"/>
    <w:rsid w:val="00731B78"/>
    <w:rsid w:val="00731D48"/>
    <w:rsid w:val="00733D9F"/>
    <w:rsid w:val="00734484"/>
    <w:rsid w:val="00737C8E"/>
    <w:rsid w:val="00742076"/>
    <w:rsid w:val="00745136"/>
    <w:rsid w:val="00745A15"/>
    <w:rsid w:val="00745DD2"/>
    <w:rsid w:val="00747881"/>
    <w:rsid w:val="00751354"/>
    <w:rsid w:val="0075175F"/>
    <w:rsid w:val="00756909"/>
    <w:rsid w:val="00757DF9"/>
    <w:rsid w:val="00760D10"/>
    <w:rsid w:val="0076127F"/>
    <w:rsid w:val="00762108"/>
    <w:rsid w:val="0077036D"/>
    <w:rsid w:val="00770E38"/>
    <w:rsid w:val="007751DE"/>
    <w:rsid w:val="00776AF1"/>
    <w:rsid w:val="0078133D"/>
    <w:rsid w:val="00781E34"/>
    <w:rsid w:val="00785780"/>
    <w:rsid w:val="00785785"/>
    <w:rsid w:val="00786DA9"/>
    <w:rsid w:val="00791DED"/>
    <w:rsid w:val="00792AA8"/>
    <w:rsid w:val="00793AAE"/>
    <w:rsid w:val="00794972"/>
    <w:rsid w:val="00796EE7"/>
    <w:rsid w:val="00797022"/>
    <w:rsid w:val="007A1A81"/>
    <w:rsid w:val="007A3ABE"/>
    <w:rsid w:val="007A4CB0"/>
    <w:rsid w:val="007A5B52"/>
    <w:rsid w:val="007A60F8"/>
    <w:rsid w:val="007A62C3"/>
    <w:rsid w:val="007B341B"/>
    <w:rsid w:val="007B4102"/>
    <w:rsid w:val="007B651A"/>
    <w:rsid w:val="007B6648"/>
    <w:rsid w:val="007B6669"/>
    <w:rsid w:val="007C311B"/>
    <w:rsid w:val="007C3A0F"/>
    <w:rsid w:val="007C462E"/>
    <w:rsid w:val="007C506B"/>
    <w:rsid w:val="007D0986"/>
    <w:rsid w:val="007D1B27"/>
    <w:rsid w:val="007D3D78"/>
    <w:rsid w:val="007D4C1C"/>
    <w:rsid w:val="007D59A7"/>
    <w:rsid w:val="007D698B"/>
    <w:rsid w:val="007D7BB6"/>
    <w:rsid w:val="007E143F"/>
    <w:rsid w:val="007E4788"/>
    <w:rsid w:val="007E5A9D"/>
    <w:rsid w:val="007E5D35"/>
    <w:rsid w:val="007F52A6"/>
    <w:rsid w:val="007F5789"/>
    <w:rsid w:val="007F68DA"/>
    <w:rsid w:val="008004E7"/>
    <w:rsid w:val="0080276C"/>
    <w:rsid w:val="008060C8"/>
    <w:rsid w:val="008071E5"/>
    <w:rsid w:val="00810F5C"/>
    <w:rsid w:val="008116EB"/>
    <w:rsid w:val="00811F58"/>
    <w:rsid w:val="00812723"/>
    <w:rsid w:val="0081497C"/>
    <w:rsid w:val="00814A6A"/>
    <w:rsid w:val="00814ED4"/>
    <w:rsid w:val="008152E3"/>
    <w:rsid w:val="0081557C"/>
    <w:rsid w:val="008159B1"/>
    <w:rsid w:val="00817066"/>
    <w:rsid w:val="00820282"/>
    <w:rsid w:val="00820651"/>
    <w:rsid w:val="0082117F"/>
    <w:rsid w:val="0082619C"/>
    <w:rsid w:val="008278C7"/>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A5DCF"/>
    <w:rsid w:val="008A75E4"/>
    <w:rsid w:val="008B219D"/>
    <w:rsid w:val="008B47CB"/>
    <w:rsid w:val="008B5EE3"/>
    <w:rsid w:val="008B6A6C"/>
    <w:rsid w:val="008C15BB"/>
    <w:rsid w:val="008C28E5"/>
    <w:rsid w:val="008C46AA"/>
    <w:rsid w:val="008C4E5F"/>
    <w:rsid w:val="008C6886"/>
    <w:rsid w:val="008C6C82"/>
    <w:rsid w:val="008D15F7"/>
    <w:rsid w:val="008D1FDE"/>
    <w:rsid w:val="008D351D"/>
    <w:rsid w:val="008E1C45"/>
    <w:rsid w:val="008E242E"/>
    <w:rsid w:val="008E383A"/>
    <w:rsid w:val="008E647B"/>
    <w:rsid w:val="008E7B61"/>
    <w:rsid w:val="008F3AE2"/>
    <w:rsid w:val="008F6221"/>
    <w:rsid w:val="008F722B"/>
    <w:rsid w:val="008F777B"/>
    <w:rsid w:val="008F7CCE"/>
    <w:rsid w:val="009064E2"/>
    <w:rsid w:val="009077C7"/>
    <w:rsid w:val="0091220E"/>
    <w:rsid w:val="0091465A"/>
    <w:rsid w:val="0091733C"/>
    <w:rsid w:val="00920216"/>
    <w:rsid w:val="00920463"/>
    <w:rsid w:val="009231E5"/>
    <w:rsid w:val="009238C7"/>
    <w:rsid w:val="00923D68"/>
    <w:rsid w:val="009245CA"/>
    <w:rsid w:val="00926E4D"/>
    <w:rsid w:val="0093352D"/>
    <w:rsid w:val="009376FF"/>
    <w:rsid w:val="00937982"/>
    <w:rsid w:val="00940185"/>
    <w:rsid w:val="00940BCD"/>
    <w:rsid w:val="00940EC9"/>
    <w:rsid w:val="00941279"/>
    <w:rsid w:val="00944012"/>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257F"/>
    <w:rsid w:val="009A510F"/>
    <w:rsid w:val="009A5AFD"/>
    <w:rsid w:val="009A5D6B"/>
    <w:rsid w:val="009A6EFD"/>
    <w:rsid w:val="009B0BCE"/>
    <w:rsid w:val="009B22B4"/>
    <w:rsid w:val="009B39DC"/>
    <w:rsid w:val="009B61E7"/>
    <w:rsid w:val="009C0087"/>
    <w:rsid w:val="009C234B"/>
    <w:rsid w:val="009C6E72"/>
    <w:rsid w:val="009D3C3F"/>
    <w:rsid w:val="009D3DA1"/>
    <w:rsid w:val="009D4D67"/>
    <w:rsid w:val="009D538A"/>
    <w:rsid w:val="009D635B"/>
    <w:rsid w:val="009D66DC"/>
    <w:rsid w:val="009D7F6F"/>
    <w:rsid w:val="009E0101"/>
    <w:rsid w:val="009E0393"/>
    <w:rsid w:val="009E07D3"/>
    <w:rsid w:val="009E5B5B"/>
    <w:rsid w:val="009F06F2"/>
    <w:rsid w:val="009F635E"/>
    <w:rsid w:val="00A01453"/>
    <w:rsid w:val="00A02C5D"/>
    <w:rsid w:val="00A05C18"/>
    <w:rsid w:val="00A13187"/>
    <w:rsid w:val="00A140D3"/>
    <w:rsid w:val="00A1446B"/>
    <w:rsid w:val="00A167F2"/>
    <w:rsid w:val="00A17EFE"/>
    <w:rsid w:val="00A20C78"/>
    <w:rsid w:val="00A2312E"/>
    <w:rsid w:val="00A24323"/>
    <w:rsid w:val="00A24D90"/>
    <w:rsid w:val="00A2512C"/>
    <w:rsid w:val="00A2515B"/>
    <w:rsid w:val="00A2588E"/>
    <w:rsid w:val="00A26EDF"/>
    <w:rsid w:val="00A34789"/>
    <w:rsid w:val="00A3555A"/>
    <w:rsid w:val="00A3630E"/>
    <w:rsid w:val="00A37BB8"/>
    <w:rsid w:val="00A37D74"/>
    <w:rsid w:val="00A41FF8"/>
    <w:rsid w:val="00A42D87"/>
    <w:rsid w:val="00A4335E"/>
    <w:rsid w:val="00A44BD3"/>
    <w:rsid w:val="00A44E47"/>
    <w:rsid w:val="00A4521D"/>
    <w:rsid w:val="00A46D6F"/>
    <w:rsid w:val="00A51F0A"/>
    <w:rsid w:val="00A54EF2"/>
    <w:rsid w:val="00A55D48"/>
    <w:rsid w:val="00A57BEB"/>
    <w:rsid w:val="00A61673"/>
    <w:rsid w:val="00A64926"/>
    <w:rsid w:val="00A665CF"/>
    <w:rsid w:val="00A67CA7"/>
    <w:rsid w:val="00A72084"/>
    <w:rsid w:val="00A73989"/>
    <w:rsid w:val="00A7728E"/>
    <w:rsid w:val="00A7752F"/>
    <w:rsid w:val="00A814FE"/>
    <w:rsid w:val="00A8562D"/>
    <w:rsid w:val="00A85C35"/>
    <w:rsid w:val="00A92061"/>
    <w:rsid w:val="00A92ACF"/>
    <w:rsid w:val="00A94249"/>
    <w:rsid w:val="00A94BC9"/>
    <w:rsid w:val="00A958F3"/>
    <w:rsid w:val="00A959BC"/>
    <w:rsid w:val="00A96BFF"/>
    <w:rsid w:val="00AA2562"/>
    <w:rsid w:val="00AA3C60"/>
    <w:rsid w:val="00AA7752"/>
    <w:rsid w:val="00AB2FF4"/>
    <w:rsid w:val="00AB5F9C"/>
    <w:rsid w:val="00AC1AD6"/>
    <w:rsid w:val="00AC29CE"/>
    <w:rsid w:val="00AC7410"/>
    <w:rsid w:val="00AD64DF"/>
    <w:rsid w:val="00AE1025"/>
    <w:rsid w:val="00AE3F03"/>
    <w:rsid w:val="00AE64F0"/>
    <w:rsid w:val="00AF23C8"/>
    <w:rsid w:val="00AF2AE2"/>
    <w:rsid w:val="00AF4457"/>
    <w:rsid w:val="00AF57F2"/>
    <w:rsid w:val="00B028A7"/>
    <w:rsid w:val="00B0377E"/>
    <w:rsid w:val="00B07BA9"/>
    <w:rsid w:val="00B10055"/>
    <w:rsid w:val="00B1141E"/>
    <w:rsid w:val="00B1278B"/>
    <w:rsid w:val="00B17295"/>
    <w:rsid w:val="00B215F5"/>
    <w:rsid w:val="00B26B62"/>
    <w:rsid w:val="00B27A54"/>
    <w:rsid w:val="00B30783"/>
    <w:rsid w:val="00B30B34"/>
    <w:rsid w:val="00B41BA2"/>
    <w:rsid w:val="00B41F0F"/>
    <w:rsid w:val="00B42560"/>
    <w:rsid w:val="00B455AA"/>
    <w:rsid w:val="00B45778"/>
    <w:rsid w:val="00B457A1"/>
    <w:rsid w:val="00B4630F"/>
    <w:rsid w:val="00B464B1"/>
    <w:rsid w:val="00B47A4A"/>
    <w:rsid w:val="00B47B99"/>
    <w:rsid w:val="00B47D6B"/>
    <w:rsid w:val="00B506F2"/>
    <w:rsid w:val="00B50E06"/>
    <w:rsid w:val="00B510E3"/>
    <w:rsid w:val="00B521AC"/>
    <w:rsid w:val="00B52702"/>
    <w:rsid w:val="00B5498D"/>
    <w:rsid w:val="00B5501D"/>
    <w:rsid w:val="00B6151E"/>
    <w:rsid w:val="00B63EBE"/>
    <w:rsid w:val="00B64962"/>
    <w:rsid w:val="00B672AF"/>
    <w:rsid w:val="00B676EC"/>
    <w:rsid w:val="00B7016C"/>
    <w:rsid w:val="00B7039B"/>
    <w:rsid w:val="00B749D3"/>
    <w:rsid w:val="00B74D1E"/>
    <w:rsid w:val="00B76A18"/>
    <w:rsid w:val="00B84629"/>
    <w:rsid w:val="00B84C6C"/>
    <w:rsid w:val="00B864FE"/>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53B2"/>
    <w:rsid w:val="00BC65D9"/>
    <w:rsid w:val="00BC72D5"/>
    <w:rsid w:val="00BC7C52"/>
    <w:rsid w:val="00BD0CF6"/>
    <w:rsid w:val="00BD1471"/>
    <w:rsid w:val="00BD14C5"/>
    <w:rsid w:val="00BD196A"/>
    <w:rsid w:val="00BD2081"/>
    <w:rsid w:val="00BD2311"/>
    <w:rsid w:val="00BD5EC2"/>
    <w:rsid w:val="00BD6262"/>
    <w:rsid w:val="00BD7EED"/>
    <w:rsid w:val="00BE085C"/>
    <w:rsid w:val="00BE1969"/>
    <w:rsid w:val="00BE4C48"/>
    <w:rsid w:val="00BE61C1"/>
    <w:rsid w:val="00BE64AF"/>
    <w:rsid w:val="00BE6717"/>
    <w:rsid w:val="00BE7117"/>
    <w:rsid w:val="00BF0381"/>
    <w:rsid w:val="00BF446E"/>
    <w:rsid w:val="00BF6E7B"/>
    <w:rsid w:val="00C01021"/>
    <w:rsid w:val="00C0141F"/>
    <w:rsid w:val="00C048AF"/>
    <w:rsid w:val="00C0581F"/>
    <w:rsid w:val="00C077E0"/>
    <w:rsid w:val="00C07DE6"/>
    <w:rsid w:val="00C11547"/>
    <w:rsid w:val="00C154B5"/>
    <w:rsid w:val="00C17872"/>
    <w:rsid w:val="00C205E9"/>
    <w:rsid w:val="00C212FC"/>
    <w:rsid w:val="00C23F48"/>
    <w:rsid w:val="00C262BD"/>
    <w:rsid w:val="00C30E04"/>
    <w:rsid w:val="00C310C2"/>
    <w:rsid w:val="00C33864"/>
    <w:rsid w:val="00C36525"/>
    <w:rsid w:val="00C40EB3"/>
    <w:rsid w:val="00C41BD9"/>
    <w:rsid w:val="00C434FD"/>
    <w:rsid w:val="00C4350E"/>
    <w:rsid w:val="00C466D4"/>
    <w:rsid w:val="00C47AC7"/>
    <w:rsid w:val="00C5192E"/>
    <w:rsid w:val="00C52DE6"/>
    <w:rsid w:val="00C54DF3"/>
    <w:rsid w:val="00C5555F"/>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300F"/>
    <w:rsid w:val="00C97301"/>
    <w:rsid w:val="00CA1130"/>
    <w:rsid w:val="00CA415F"/>
    <w:rsid w:val="00CA529D"/>
    <w:rsid w:val="00CA5EA7"/>
    <w:rsid w:val="00CB026C"/>
    <w:rsid w:val="00CB0F10"/>
    <w:rsid w:val="00CB1B8F"/>
    <w:rsid w:val="00CB2C14"/>
    <w:rsid w:val="00CB5A49"/>
    <w:rsid w:val="00CB5C15"/>
    <w:rsid w:val="00CB678B"/>
    <w:rsid w:val="00CC1228"/>
    <w:rsid w:val="00CC1A21"/>
    <w:rsid w:val="00CC66DE"/>
    <w:rsid w:val="00CC7C0C"/>
    <w:rsid w:val="00CD4B2B"/>
    <w:rsid w:val="00CD5694"/>
    <w:rsid w:val="00CD75E3"/>
    <w:rsid w:val="00CE1E4A"/>
    <w:rsid w:val="00CE2627"/>
    <w:rsid w:val="00CE2EB2"/>
    <w:rsid w:val="00CE525D"/>
    <w:rsid w:val="00CE5C99"/>
    <w:rsid w:val="00CF23EE"/>
    <w:rsid w:val="00CF2C6A"/>
    <w:rsid w:val="00CF41D3"/>
    <w:rsid w:val="00D11357"/>
    <w:rsid w:val="00D125AF"/>
    <w:rsid w:val="00D126F7"/>
    <w:rsid w:val="00D129F5"/>
    <w:rsid w:val="00D12ED9"/>
    <w:rsid w:val="00D141DD"/>
    <w:rsid w:val="00D1494A"/>
    <w:rsid w:val="00D202E9"/>
    <w:rsid w:val="00D21887"/>
    <w:rsid w:val="00D22EB4"/>
    <w:rsid w:val="00D24606"/>
    <w:rsid w:val="00D266DE"/>
    <w:rsid w:val="00D31689"/>
    <w:rsid w:val="00D325D3"/>
    <w:rsid w:val="00D355E8"/>
    <w:rsid w:val="00D43DD6"/>
    <w:rsid w:val="00D43DEA"/>
    <w:rsid w:val="00D454EC"/>
    <w:rsid w:val="00D46384"/>
    <w:rsid w:val="00D51C2C"/>
    <w:rsid w:val="00D55A36"/>
    <w:rsid w:val="00D5689A"/>
    <w:rsid w:val="00D57072"/>
    <w:rsid w:val="00D61249"/>
    <w:rsid w:val="00D61AE5"/>
    <w:rsid w:val="00D6446C"/>
    <w:rsid w:val="00D64636"/>
    <w:rsid w:val="00D668E4"/>
    <w:rsid w:val="00D67466"/>
    <w:rsid w:val="00D7047B"/>
    <w:rsid w:val="00D70735"/>
    <w:rsid w:val="00D7279B"/>
    <w:rsid w:val="00D729A9"/>
    <w:rsid w:val="00D741F4"/>
    <w:rsid w:val="00D74FEC"/>
    <w:rsid w:val="00D75505"/>
    <w:rsid w:val="00D76695"/>
    <w:rsid w:val="00D7797F"/>
    <w:rsid w:val="00D77DAB"/>
    <w:rsid w:val="00D80998"/>
    <w:rsid w:val="00D8228F"/>
    <w:rsid w:val="00D83CB1"/>
    <w:rsid w:val="00D85E8D"/>
    <w:rsid w:val="00D862DA"/>
    <w:rsid w:val="00D8640C"/>
    <w:rsid w:val="00D86456"/>
    <w:rsid w:val="00D870BD"/>
    <w:rsid w:val="00D90ED8"/>
    <w:rsid w:val="00D91D1A"/>
    <w:rsid w:val="00D936C9"/>
    <w:rsid w:val="00DA0553"/>
    <w:rsid w:val="00DA1E22"/>
    <w:rsid w:val="00DA3D7B"/>
    <w:rsid w:val="00DA6721"/>
    <w:rsid w:val="00DA7189"/>
    <w:rsid w:val="00DA7370"/>
    <w:rsid w:val="00DB1190"/>
    <w:rsid w:val="00DB2310"/>
    <w:rsid w:val="00DB4594"/>
    <w:rsid w:val="00DB4AA3"/>
    <w:rsid w:val="00DB6321"/>
    <w:rsid w:val="00DB68FF"/>
    <w:rsid w:val="00DB7230"/>
    <w:rsid w:val="00DC106A"/>
    <w:rsid w:val="00DC32BA"/>
    <w:rsid w:val="00DC5FD8"/>
    <w:rsid w:val="00DC6CBB"/>
    <w:rsid w:val="00DD1968"/>
    <w:rsid w:val="00DD6518"/>
    <w:rsid w:val="00DD6537"/>
    <w:rsid w:val="00DD6667"/>
    <w:rsid w:val="00DD74A2"/>
    <w:rsid w:val="00DE383B"/>
    <w:rsid w:val="00DE394A"/>
    <w:rsid w:val="00DE49BE"/>
    <w:rsid w:val="00DE6576"/>
    <w:rsid w:val="00DE7743"/>
    <w:rsid w:val="00DF199F"/>
    <w:rsid w:val="00DF4614"/>
    <w:rsid w:val="00DF6D10"/>
    <w:rsid w:val="00DF7B25"/>
    <w:rsid w:val="00E00B67"/>
    <w:rsid w:val="00E04840"/>
    <w:rsid w:val="00E06C49"/>
    <w:rsid w:val="00E135A1"/>
    <w:rsid w:val="00E1496E"/>
    <w:rsid w:val="00E16EF1"/>
    <w:rsid w:val="00E177A0"/>
    <w:rsid w:val="00E17F63"/>
    <w:rsid w:val="00E2458F"/>
    <w:rsid w:val="00E305C0"/>
    <w:rsid w:val="00E3500B"/>
    <w:rsid w:val="00E368C3"/>
    <w:rsid w:val="00E36E0A"/>
    <w:rsid w:val="00E3764A"/>
    <w:rsid w:val="00E43C06"/>
    <w:rsid w:val="00E449B1"/>
    <w:rsid w:val="00E47B31"/>
    <w:rsid w:val="00E501F7"/>
    <w:rsid w:val="00E5082D"/>
    <w:rsid w:val="00E54A61"/>
    <w:rsid w:val="00E574A9"/>
    <w:rsid w:val="00E61355"/>
    <w:rsid w:val="00E613BC"/>
    <w:rsid w:val="00E61F1E"/>
    <w:rsid w:val="00E62BC7"/>
    <w:rsid w:val="00E66842"/>
    <w:rsid w:val="00E66861"/>
    <w:rsid w:val="00E66E21"/>
    <w:rsid w:val="00E67063"/>
    <w:rsid w:val="00E70F38"/>
    <w:rsid w:val="00E710FC"/>
    <w:rsid w:val="00E71915"/>
    <w:rsid w:val="00E80916"/>
    <w:rsid w:val="00E840DF"/>
    <w:rsid w:val="00E8452A"/>
    <w:rsid w:val="00E8560F"/>
    <w:rsid w:val="00E8780A"/>
    <w:rsid w:val="00E91CEF"/>
    <w:rsid w:val="00E957FC"/>
    <w:rsid w:val="00EA0289"/>
    <w:rsid w:val="00EB0723"/>
    <w:rsid w:val="00EB11D1"/>
    <w:rsid w:val="00EB181B"/>
    <w:rsid w:val="00EB1CA4"/>
    <w:rsid w:val="00EB2DEA"/>
    <w:rsid w:val="00EB59DC"/>
    <w:rsid w:val="00EC341C"/>
    <w:rsid w:val="00ED070B"/>
    <w:rsid w:val="00ED1657"/>
    <w:rsid w:val="00ED5637"/>
    <w:rsid w:val="00ED6618"/>
    <w:rsid w:val="00EE0AC7"/>
    <w:rsid w:val="00EE71C9"/>
    <w:rsid w:val="00EE7D19"/>
    <w:rsid w:val="00EF352D"/>
    <w:rsid w:val="00EF4AEE"/>
    <w:rsid w:val="00EF6E41"/>
    <w:rsid w:val="00F00E9F"/>
    <w:rsid w:val="00F0202F"/>
    <w:rsid w:val="00F03BF4"/>
    <w:rsid w:val="00F03F3B"/>
    <w:rsid w:val="00F05588"/>
    <w:rsid w:val="00F066DB"/>
    <w:rsid w:val="00F07468"/>
    <w:rsid w:val="00F11DDC"/>
    <w:rsid w:val="00F1302B"/>
    <w:rsid w:val="00F13F76"/>
    <w:rsid w:val="00F153C1"/>
    <w:rsid w:val="00F2176B"/>
    <w:rsid w:val="00F217E8"/>
    <w:rsid w:val="00F22D82"/>
    <w:rsid w:val="00F22FE8"/>
    <w:rsid w:val="00F23A8E"/>
    <w:rsid w:val="00F26D40"/>
    <w:rsid w:val="00F31502"/>
    <w:rsid w:val="00F340B6"/>
    <w:rsid w:val="00F361B7"/>
    <w:rsid w:val="00F40BAE"/>
    <w:rsid w:val="00F52F93"/>
    <w:rsid w:val="00F531ED"/>
    <w:rsid w:val="00F54608"/>
    <w:rsid w:val="00F552F2"/>
    <w:rsid w:val="00F55E52"/>
    <w:rsid w:val="00F57EF0"/>
    <w:rsid w:val="00F605FF"/>
    <w:rsid w:val="00F61714"/>
    <w:rsid w:val="00F627E2"/>
    <w:rsid w:val="00F65E26"/>
    <w:rsid w:val="00F66DFC"/>
    <w:rsid w:val="00F71520"/>
    <w:rsid w:val="00F7590F"/>
    <w:rsid w:val="00F75FE2"/>
    <w:rsid w:val="00F772CC"/>
    <w:rsid w:val="00F8569E"/>
    <w:rsid w:val="00F85A14"/>
    <w:rsid w:val="00F8674C"/>
    <w:rsid w:val="00F90854"/>
    <w:rsid w:val="00F90EB0"/>
    <w:rsid w:val="00F913C6"/>
    <w:rsid w:val="00F94864"/>
    <w:rsid w:val="00F95BDD"/>
    <w:rsid w:val="00FA02EE"/>
    <w:rsid w:val="00FA33A6"/>
    <w:rsid w:val="00FA46AF"/>
    <w:rsid w:val="00FA7B80"/>
    <w:rsid w:val="00FB0B18"/>
    <w:rsid w:val="00FB1317"/>
    <w:rsid w:val="00FB18EA"/>
    <w:rsid w:val="00FB2ACA"/>
    <w:rsid w:val="00FB673E"/>
    <w:rsid w:val="00FB753B"/>
    <w:rsid w:val="00FC3D57"/>
    <w:rsid w:val="00FC3EB4"/>
    <w:rsid w:val="00FC44F1"/>
    <w:rsid w:val="00FC51B8"/>
    <w:rsid w:val="00FC5FD1"/>
    <w:rsid w:val="00FC6C2D"/>
    <w:rsid w:val="00FD05AA"/>
    <w:rsid w:val="00FD16AB"/>
    <w:rsid w:val="00FD2E3A"/>
    <w:rsid w:val="00FD38DC"/>
    <w:rsid w:val="00FD6457"/>
    <w:rsid w:val="00FD755E"/>
    <w:rsid w:val="00FD7CD3"/>
    <w:rsid w:val="00FE24F5"/>
    <w:rsid w:val="00FE40B7"/>
    <w:rsid w:val="00FE410C"/>
    <w:rsid w:val="00FE44C5"/>
    <w:rsid w:val="00FE6177"/>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785780"/>
  </w:style>
  <w:style w:type="character" w:customStyle="1" w:styleId="FootnoteTextChar">
    <w:name w:val="Footnote Text Char"/>
    <w:basedOn w:val="DefaultParagraphFont"/>
    <w:link w:val="FootnoteText"/>
    <w:uiPriority w:val="53"/>
    <w:rsid w:val="003C4E9E"/>
  </w:style>
  <w:style w:type="character" w:styleId="CommentReference">
    <w:name w:val="annotation reference"/>
    <w:basedOn w:val="DefaultParagraphFont"/>
    <w:uiPriority w:val="99"/>
    <w:semiHidden/>
    <w:unhideWhenUsed/>
    <w:locked/>
    <w:rsid w:val="00FE24F5"/>
    <w:rPr>
      <w:sz w:val="16"/>
      <w:szCs w:val="16"/>
    </w:rPr>
  </w:style>
  <w:style w:type="paragraph" w:styleId="CommentText">
    <w:name w:val="annotation text"/>
    <w:basedOn w:val="Normal"/>
    <w:link w:val="CommentTextChar"/>
    <w:uiPriority w:val="99"/>
    <w:unhideWhenUsed/>
    <w:locked/>
    <w:rsid w:val="00FE24F5"/>
    <w:pPr>
      <w:spacing w:line="240" w:lineRule="auto"/>
    </w:pPr>
    <w:rPr>
      <w:sz w:val="20"/>
      <w:szCs w:val="20"/>
    </w:rPr>
  </w:style>
  <w:style w:type="character" w:customStyle="1" w:styleId="CommentTextChar">
    <w:name w:val="Comment Text Char"/>
    <w:basedOn w:val="DefaultParagraphFont"/>
    <w:link w:val="CommentText"/>
    <w:uiPriority w:val="99"/>
    <w:rsid w:val="00FE24F5"/>
    <w:rPr>
      <w:sz w:val="20"/>
      <w:szCs w:val="20"/>
    </w:rPr>
  </w:style>
  <w:style w:type="paragraph" w:styleId="CommentSubject">
    <w:name w:val="annotation subject"/>
    <w:basedOn w:val="CommentText"/>
    <w:next w:val="CommentText"/>
    <w:link w:val="CommentSubjectChar"/>
    <w:uiPriority w:val="99"/>
    <w:semiHidden/>
    <w:unhideWhenUsed/>
    <w:locked/>
    <w:rsid w:val="00FE24F5"/>
    <w:rPr>
      <w:b/>
      <w:bCs/>
    </w:rPr>
  </w:style>
  <w:style w:type="character" w:customStyle="1" w:styleId="CommentSubjectChar">
    <w:name w:val="Comment Subject Char"/>
    <w:basedOn w:val="CommentTextChar"/>
    <w:link w:val="CommentSubject"/>
    <w:uiPriority w:val="99"/>
    <w:semiHidden/>
    <w:rsid w:val="00FE2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2296</Words>
  <Characters>11890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2024-06-24T23:54:00Z</dcterms:created>
  <dcterms:modified xsi:type="dcterms:W3CDTF">2024-06-25T00:00:00Z</dcterms:modified>
</cp:coreProperties>
</file>