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6D558B9D" w:rsidR="00A15546" w:rsidRPr="00A15546" w:rsidRDefault="00D771C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NORKIN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796D6925" w:rsidR="00A15546" w:rsidRPr="00A15546" w:rsidRDefault="00D771C3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UNIVERSITY OF NEW ENGLAND ABN 75792454315 &amp; ANOR</w:t>
      </w:r>
    </w:p>
    <w:p w14:paraId="620B25A3" w14:textId="2519C585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CC7540">
        <w:rPr>
          <w:szCs w:val="26"/>
          <w:lang w:val="en-US" w:eastAsia="en-US"/>
        </w:rPr>
        <w:t>202</w:t>
      </w:r>
      <w:r w:rsidR="00393461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E269D0">
        <w:rPr>
          <w:szCs w:val="26"/>
          <w:lang w:val="en-US" w:eastAsia="en-US"/>
        </w:rPr>
        <w:t>9</w:t>
      </w:r>
    </w:p>
    <w:p w14:paraId="5159F591" w14:textId="7D808295" w:rsidR="00A15546" w:rsidRPr="00A15546" w:rsidRDefault="00CC7540" w:rsidP="00A15546">
      <w:pPr>
        <w:pStyle w:val="Centre"/>
        <w:rPr>
          <w:szCs w:val="26"/>
          <w:lang w:val="en-US" w:eastAsia="en-US"/>
        </w:rPr>
      </w:pPr>
      <w:r>
        <w:rPr>
          <w:szCs w:val="26"/>
          <w:lang w:val="en-US" w:eastAsia="en-US"/>
        </w:rPr>
        <w:t>S</w:t>
      </w:r>
      <w:r w:rsidR="008F76F7">
        <w:rPr>
          <w:szCs w:val="26"/>
          <w:lang w:val="en-US" w:eastAsia="en-US"/>
        </w:rPr>
        <w:t>124</w:t>
      </w:r>
      <w:r>
        <w:rPr>
          <w:szCs w:val="26"/>
          <w:lang w:val="en-US" w:eastAsia="en-US"/>
        </w:rPr>
        <w:t>/2023</w:t>
      </w:r>
    </w:p>
    <w:p w14:paraId="032E96B8" w14:textId="77777777" w:rsidR="00A15546" w:rsidRDefault="00A15546" w:rsidP="00A15546">
      <w:pPr>
        <w:pStyle w:val="Centre"/>
        <w:rPr>
          <w:szCs w:val="26"/>
          <w:lang w:val="en-US" w:eastAsia="en-US"/>
        </w:rPr>
      </w:pPr>
    </w:p>
    <w:p w14:paraId="4DEA737F" w14:textId="77777777" w:rsidR="004B128A" w:rsidRPr="00AD52B8" w:rsidRDefault="004B128A" w:rsidP="00A15546">
      <w:pPr>
        <w:pStyle w:val="Centre"/>
        <w:rPr>
          <w:szCs w:val="26"/>
          <w:lang w:val="en-US" w:eastAsia="en-US"/>
        </w:rPr>
      </w:pPr>
    </w:p>
    <w:p w14:paraId="02AB8221" w14:textId="11517631" w:rsidR="0027370C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D52B8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0245D" w:rsidRPr="00AD52B8">
        <w:rPr>
          <w:rFonts w:ascii="Times New Roman" w:eastAsia="Times New Roman" w:hAnsi="Times New Roman"/>
          <w:sz w:val="26"/>
          <w:szCs w:val="26"/>
          <w:lang w:eastAsia="en-AU"/>
        </w:rPr>
        <w:t>Th</w:t>
      </w:r>
      <w:r w:rsidR="00D0245D">
        <w:rPr>
          <w:rFonts w:ascii="Times New Roman" w:eastAsia="Times New Roman" w:hAnsi="Times New Roman"/>
          <w:sz w:val="26"/>
          <w:szCs w:val="26"/>
          <w:lang w:eastAsia="en-AU"/>
        </w:rPr>
        <w:t>e</w:t>
      </w:r>
      <w:r w:rsidR="00D0245D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765014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>pplica</w:t>
      </w:r>
      <w:r w:rsidR="00D0245D">
        <w:rPr>
          <w:rFonts w:ascii="Times New Roman" w:eastAsia="Times New Roman" w:hAnsi="Times New Roman"/>
          <w:sz w:val="26"/>
          <w:szCs w:val="26"/>
          <w:lang w:eastAsia="en-AU"/>
        </w:rPr>
        <w:t>nt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E3C17">
        <w:rPr>
          <w:rFonts w:ascii="Times New Roman" w:eastAsia="Times New Roman" w:hAnsi="Times New Roman"/>
          <w:sz w:val="26"/>
          <w:szCs w:val="26"/>
          <w:lang w:eastAsia="en-AU"/>
        </w:rPr>
        <w:t xml:space="preserve">requires an extension of time within which to seek 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to appeal from </w:t>
      </w:r>
      <w:r w:rsidR="00D0245D">
        <w:rPr>
          <w:rFonts w:ascii="Times New Roman" w:eastAsia="Times New Roman" w:hAnsi="Times New Roman"/>
          <w:sz w:val="26"/>
          <w:szCs w:val="26"/>
          <w:lang w:eastAsia="en-AU"/>
        </w:rPr>
        <w:t xml:space="preserve">orders 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of the </w:t>
      </w:r>
      <w:r w:rsidR="00D771C3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Appeal of </w:t>
      </w:r>
      <w:r w:rsidR="00765014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827DCD">
        <w:rPr>
          <w:rFonts w:ascii="Times New Roman" w:eastAsia="Times New Roman" w:hAnsi="Times New Roman"/>
          <w:sz w:val="26"/>
          <w:szCs w:val="26"/>
          <w:lang w:eastAsia="en-AU"/>
        </w:rPr>
        <w:t>Supreme Court of New South Wales</w:t>
      </w:r>
      <w:r w:rsidR="00BB485F">
        <w:rPr>
          <w:rFonts w:ascii="Times New Roman" w:eastAsia="Times New Roman" w:hAnsi="Times New Roman"/>
          <w:sz w:val="26"/>
          <w:szCs w:val="26"/>
          <w:lang w:eastAsia="en-AU"/>
        </w:rPr>
        <w:t xml:space="preserve"> (Leeming JA</w:t>
      </w:r>
      <w:r w:rsidR="00FE0331">
        <w:rPr>
          <w:rFonts w:ascii="Times New Roman" w:eastAsia="Times New Roman" w:hAnsi="Times New Roman"/>
          <w:sz w:val="26"/>
          <w:szCs w:val="26"/>
          <w:lang w:eastAsia="en-AU"/>
        </w:rPr>
        <w:t>, Basten and Griffiths AJJA</w:t>
      </w:r>
      <w:r w:rsidR="00BB485F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827DCD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827DCD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Appeal 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had dismissed an application </w:t>
      </w:r>
      <w:r w:rsidR="00827DCD">
        <w:rPr>
          <w:rFonts w:ascii="Times New Roman" w:eastAsia="Times New Roman" w:hAnsi="Times New Roman"/>
          <w:sz w:val="26"/>
          <w:szCs w:val="26"/>
          <w:lang w:eastAsia="en-AU"/>
        </w:rPr>
        <w:t xml:space="preserve">for </w:t>
      </w:r>
      <w:r w:rsidR="00E46EDB">
        <w:rPr>
          <w:rFonts w:ascii="Times New Roman" w:eastAsia="Times New Roman" w:hAnsi="Times New Roman"/>
          <w:sz w:val="26"/>
          <w:szCs w:val="26"/>
          <w:lang w:eastAsia="en-AU"/>
        </w:rPr>
        <w:t>leave to appeal f</w:t>
      </w:r>
      <w:r w:rsidR="00FC5956">
        <w:rPr>
          <w:rFonts w:ascii="Times New Roman" w:eastAsia="Times New Roman" w:hAnsi="Times New Roman"/>
          <w:sz w:val="26"/>
          <w:szCs w:val="26"/>
          <w:lang w:eastAsia="en-AU"/>
        </w:rPr>
        <w:t>rom the Supreme Court of New South Wales</w:t>
      </w:r>
      <w:r w:rsidR="007F33FF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FE0331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FC595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7F33FF">
        <w:rPr>
          <w:rFonts w:ascii="Times New Roman" w:eastAsia="Times New Roman" w:hAnsi="Times New Roman"/>
          <w:sz w:val="26"/>
          <w:szCs w:val="26"/>
          <w:lang w:eastAsia="en-AU"/>
        </w:rPr>
        <w:t xml:space="preserve">The Supreme Court </w:t>
      </w:r>
      <w:r w:rsidR="00FC5956">
        <w:rPr>
          <w:rFonts w:ascii="Times New Roman" w:eastAsia="Times New Roman" w:hAnsi="Times New Roman"/>
          <w:sz w:val="26"/>
          <w:szCs w:val="26"/>
          <w:lang w:eastAsia="en-AU"/>
        </w:rPr>
        <w:t xml:space="preserve">had affirmed 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a decision of the </w:t>
      </w:r>
      <w:r w:rsidR="00442E11">
        <w:rPr>
          <w:rFonts w:ascii="Times New Roman" w:eastAsia="Times New Roman" w:hAnsi="Times New Roman"/>
          <w:sz w:val="26"/>
          <w:szCs w:val="26"/>
          <w:lang w:eastAsia="en-AU"/>
        </w:rPr>
        <w:t xml:space="preserve">Appeal Panel of the Civil and </w:t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>Administrative Tribunal</w:t>
      </w:r>
      <w:r w:rsidR="00442E11">
        <w:rPr>
          <w:rFonts w:ascii="Times New Roman" w:eastAsia="Times New Roman" w:hAnsi="Times New Roman"/>
          <w:sz w:val="26"/>
          <w:szCs w:val="26"/>
          <w:lang w:eastAsia="en-AU"/>
        </w:rPr>
        <w:t xml:space="preserve"> of New South Wales</w:t>
      </w:r>
      <w:r w:rsidR="007F33FF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1F72D7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3"/>
      </w:r>
      <w:r w:rsidR="00CC7540" w:rsidRPr="00AD52B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7F33FF">
        <w:rPr>
          <w:rFonts w:ascii="Times New Roman" w:eastAsia="Times New Roman" w:hAnsi="Times New Roman"/>
          <w:sz w:val="26"/>
          <w:szCs w:val="26"/>
          <w:lang w:eastAsia="en-AU"/>
        </w:rPr>
        <w:t xml:space="preserve">which had </w:t>
      </w:r>
      <w:r w:rsidR="00E4585F">
        <w:rPr>
          <w:rFonts w:ascii="Times New Roman" w:eastAsia="Times New Roman" w:hAnsi="Times New Roman"/>
          <w:sz w:val="26"/>
          <w:szCs w:val="26"/>
          <w:lang w:eastAsia="en-AU"/>
        </w:rPr>
        <w:t xml:space="preserve">dismissed an appeal </w:t>
      </w:r>
      <w:r w:rsidR="006C59CE">
        <w:rPr>
          <w:rFonts w:ascii="Times New Roman" w:eastAsia="Times New Roman" w:hAnsi="Times New Roman"/>
          <w:sz w:val="26"/>
          <w:szCs w:val="26"/>
          <w:lang w:eastAsia="en-AU"/>
        </w:rPr>
        <w:t>from</w:t>
      </w:r>
      <w:r w:rsidR="00E4585F">
        <w:rPr>
          <w:rFonts w:ascii="Times New Roman" w:eastAsia="Times New Roman" w:hAnsi="Times New Roman"/>
          <w:sz w:val="26"/>
          <w:szCs w:val="26"/>
          <w:lang w:eastAsia="en-AU"/>
        </w:rPr>
        <w:t xml:space="preserve"> a </w:t>
      </w:r>
      <w:r w:rsidR="00682229">
        <w:rPr>
          <w:rFonts w:ascii="Times New Roman" w:eastAsia="Times New Roman" w:hAnsi="Times New Roman"/>
          <w:sz w:val="26"/>
          <w:szCs w:val="26"/>
          <w:lang w:eastAsia="en-AU"/>
        </w:rPr>
        <w:t xml:space="preserve">decision of the Civil and Administrative Tribunal </w:t>
      </w:r>
      <w:r w:rsidR="00D52DE5">
        <w:rPr>
          <w:rFonts w:ascii="Times New Roman" w:eastAsia="Times New Roman" w:hAnsi="Times New Roman"/>
          <w:sz w:val="26"/>
          <w:szCs w:val="26"/>
          <w:lang w:eastAsia="en-AU"/>
        </w:rPr>
        <w:t>of New South Wales</w:t>
      </w:r>
      <w:r w:rsidR="00E14F7A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4"/>
      </w:r>
      <w:r w:rsidR="00D52DE5">
        <w:rPr>
          <w:rFonts w:ascii="Times New Roman" w:eastAsia="Times New Roman" w:hAnsi="Times New Roman"/>
          <w:sz w:val="26"/>
          <w:szCs w:val="26"/>
          <w:lang w:eastAsia="en-AU"/>
        </w:rPr>
        <w:t xml:space="preserve"> that </w:t>
      </w:r>
      <w:r w:rsidR="00D73E94">
        <w:rPr>
          <w:rFonts w:ascii="Times New Roman" w:eastAsia="Times New Roman" w:hAnsi="Times New Roman"/>
          <w:sz w:val="26"/>
          <w:szCs w:val="26"/>
          <w:lang w:eastAsia="en-AU"/>
        </w:rPr>
        <w:t xml:space="preserve">had </w:t>
      </w:r>
      <w:r w:rsidR="00466955">
        <w:rPr>
          <w:rFonts w:ascii="Times New Roman" w:eastAsia="Times New Roman" w:hAnsi="Times New Roman"/>
          <w:sz w:val="26"/>
          <w:szCs w:val="26"/>
          <w:lang w:eastAsia="en-AU"/>
        </w:rPr>
        <w:t xml:space="preserve">taken no action in the applicant's </w:t>
      </w:r>
      <w:r w:rsidR="00E14F7A">
        <w:rPr>
          <w:rFonts w:ascii="Times New Roman" w:eastAsia="Times New Roman" w:hAnsi="Times New Roman"/>
          <w:sz w:val="26"/>
          <w:szCs w:val="26"/>
          <w:lang w:eastAsia="en-AU"/>
        </w:rPr>
        <w:t>challenge under the</w:t>
      </w:r>
      <w:r w:rsidR="00DE680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E680B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 xml:space="preserve">Privacy and Personal Information Protection Act 1998 </w:t>
      </w:r>
      <w:r w:rsidR="00DE680B">
        <w:rPr>
          <w:rFonts w:ascii="Times New Roman" w:eastAsia="Times New Roman" w:hAnsi="Times New Roman"/>
          <w:sz w:val="26"/>
          <w:szCs w:val="26"/>
          <w:lang w:eastAsia="en-AU"/>
        </w:rPr>
        <w:t>(NSW)</w:t>
      </w:r>
      <w:r w:rsidR="00AC358C">
        <w:rPr>
          <w:rFonts w:ascii="Times New Roman" w:eastAsia="Times New Roman" w:hAnsi="Times New Roman"/>
          <w:sz w:val="26"/>
          <w:szCs w:val="26"/>
          <w:lang w:eastAsia="en-AU"/>
        </w:rPr>
        <w:t xml:space="preserve"> to the</w:t>
      </w:r>
      <w:r w:rsidR="00B3004C">
        <w:rPr>
          <w:rFonts w:ascii="Times New Roman" w:eastAsia="Times New Roman" w:hAnsi="Times New Roman"/>
          <w:sz w:val="26"/>
          <w:szCs w:val="26"/>
          <w:lang w:eastAsia="en-AU"/>
        </w:rPr>
        <w:t xml:space="preserve"> first</w:t>
      </w:r>
      <w:r w:rsidR="00AC358C">
        <w:rPr>
          <w:rFonts w:ascii="Times New Roman" w:eastAsia="Times New Roman" w:hAnsi="Times New Roman"/>
          <w:sz w:val="26"/>
          <w:szCs w:val="26"/>
          <w:lang w:eastAsia="en-AU"/>
        </w:rPr>
        <w:t xml:space="preserve"> respondent's collection of personal information</w:t>
      </w:r>
      <w:r w:rsidR="00DE680B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3FAD03C5" w14:textId="4EBF6E0F" w:rsidR="00A15546" w:rsidRPr="00934F47" w:rsidRDefault="0027370C" w:rsidP="00934F47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934F47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CC7540" w:rsidRPr="00934F47">
        <w:rPr>
          <w:rFonts w:ascii="Times New Roman" w:hAnsi="Times New Roman"/>
          <w:sz w:val="26"/>
          <w:szCs w:val="26"/>
        </w:rPr>
        <w:t>The application for special leave to appeal does not have sufficient prospects of success to warrant a grant of special leave</w:t>
      </w:r>
      <w:r w:rsidR="00C86B0A" w:rsidRPr="00934F47">
        <w:rPr>
          <w:rFonts w:ascii="Times New Roman" w:hAnsi="Times New Roman"/>
          <w:sz w:val="26"/>
          <w:szCs w:val="26"/>
        </w:rPr>
        <w:t xml:space="preserve"> or an extension of time</w:t>
      </w:r>
      <w:r w:rsidR="00CC7540" w:rsidRPr="00934F47">
        <w:rPr>
          <w:rFonts w:ascii="Times New Roman" w:hAnsi="Times New Roman"/>
          <w:sz w:val="26"/>
          <w:szCs w:val="26"/>
        </w:rPr>
        <w:t>.</w:t>
      </w:r>
      <w:r w:rsidR="00934F4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90FB0" w:rsidRPr="00934F47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934F47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</w:t>
      </w:r>
      <w:r w:rsidR="00CC7540" w:rsidRPr="00934F47">
        <w:rPr>
          <w:rFonts w:ascii="Times New Roman" w:eastAsia="Times New Roman" w:hAnsi="Times New Roman"/>
          <w:sz w:val="26"/>
          <w:szCs w:val="26"/>
          <w:lang w:eastAsia="en-AU"/>
        </w:rPr>
        <w:t>d</w:t>
      </w:r>
      <w:r w:rsidR="00EC7CDB" w:rsidRPr="00934F47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FCBC3E0" w:rsidR="00A15546" w:rsidRPr="004F3046" w:rsidRDefault="004F3046" w:rsidP="004F30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4F30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6F0F" w14:textId="77777777" w:rsidR="0059636A" w:rsidRDefault="0059636A" w:rsidP="00563C8C">
      <w:pPr>
        <w:spacing w:after="0" w:line="240" w:lineRule="auto"/>
      </w:pPr>
      <w:r>
        <w:separator/>
      </w:r>
    </w:p>
  </w:endnote>
  <w:endnote w:type="continuationSeparator" w:id="0">
    <w:p w14:paraId="5B8D3F82" w14:textId="77777777" w:rsidR="0059636A" w:rsidRDefault="0059636A" w:rsidP="00563C8C">
      <w:pPr>
        <w:spacing w:after="0" w:line="240" w:lineRule="auto"/>
      </w:pPr>
      <w:r>
        <w:continuationSeparator/>
      </w:r>
    </w:p>
  </w:endnote>
  <w:endnote w:type="continuationNotice" w:id="1">
    <w:p w14:paraId="716D60F3" w14:textId="77777777" w:rsidR="0059636A" w:rsidRDefault="00596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5B8A" w14:textId="77777777" w:rsidR="0059636A" w:rsidRDefault="0059636A" w:rsidP="00563C8C">
      <w:pPr>
        <w:spacing w:after="0" w:line="240" w:lineRule="auto"/>
      </w:pPr>
      <w:r>
        <w:separator/>
      </w:r>
    </w:p>
  </w:footnote>
  <w:footnote w:type="continuationSeparator" w:id="0">
    <w:p w14:paraId="709F8E6D" w14:textId="77777777" w:rsidR="0059636A" w:rsidRDefault="0059636A" w:rsidP="00563C8C">
      <w:pPr>
        <w:spacing w:after="0" w:line="240" w:lineRule="auto"/>
      </w:pPr>
      <w:r>
        <w:continuationSeparator/>
      </w:r>
    </w:p>
  </w:footnote>
  <w:footnote w:type="continuationNotice" w:id="1">
    <w:p w14:paraId="775D8DF2" w14:textId="77777777" w:rsidR="0059636A" w:rsidRDefault="0059636A">
      <w:pPr>
        <w:spacing w:after="0" w:line="240" w:lineRule="auto"/>
      </w:pPr>
    </w:p>
  </w:footnote>
  <w:footnote w:id="2">
    <w:p w14:paraId="3748D844" w14:textId="483A86C7" w:rsidR="00FE0331" w:rsidRPr="00DE680B" w:rsidRDefault="00FE0331">
      <w:pPr>
        <w:pStyle w:val="FootnoteText"/>
        <w:rPr>
          <w:rFonts w:ascii="Times New Roman" w:hAnsi="Times New Roman"/>
          <w:lang w:val="en-US"/>
        </w:rPr>
      </w:pPr>
      <w:r w:rsidRPr="00DE680B">
        <w:rPr>
          <w:rStyle w:val="FootnoteReference"/>
          <w:rFonts w:ascii="Times New Roman" w:hAnsi="Times New Roman"/>
        </w:rPr>
        <w:footnoteRef/>
      </w:r>
      <w:r w:rsidRPr="00DE680B">
        <w:rPr>
          <w:rFonts w:ascii="Times New Roman" w:hAnsi="Times New Roman"/>
        </w:rPr>
        <w:t xml:space="preserve"> </w:t>
      </w:r>
      <w:r w:rsidR="008A462F" w:rsidRPr="00DE680B">
        <w:rPr>
          <w:rFonts w:ascii="Times New Roman" w:hAnsi="Times New Roman"/>
          <w:i/>
          <w:iCs/>
          <w:lang w:val="en-US"/>
        </w:rPr>
        <w:t>Norkin v Univers</w:t>
      </w:r>
      <w:r w:rsidR="00D978FB">
        <w:rPr>
          <w:rFonts w:ascii="Times New Roman" w:hAnsi="Times New Roman"/>
          <w:i/>
          <w:iCs/>
          <w:lang w:val="en-US"/>
        </w:rPr>
        <w:t>i</w:t>
      </w:r>
      <w:r w:rsidR="008A462F" w:rsidRPr="00DE680B">
        <w:rPr>
          <w:rFonts w:ascii="Times New Roman" w:hAnsi="Times New Roman"/>
          <w:i/>
          <w:iCs/>
          <w:lang w:val="en-US"/>
        </w:rPr>
        <w:t xml:space="preserve">ty of New England </w:t>
      </w:r>
      <w:r w:rsidR="008A462F" w:rsidRPr="00DE680B">
        <w:rPr>
          <w:rFonts w:ascii="Times New Roman" w:hAnsi="Times New Roman"/>
          <w:lang w:val="en-US"/>
        </w:rPr>
        <w:t>[2022] NSWSC 819.</w:t>
      </w:r>
    </w:p>
  </w:footnote>
  <w:footnote w:id="3">
    <w:p w14:paraId="52231084" w14:textId="36518120" w:rsidR="001F72D7" w:rsidRPr="00DE680B" w:rsidRDefault="001F72D7">
      <w:pPr>
        <w:pStyle w:val="FootnoteText"/>
        <w:rPr>
          <w:rFonts w:ascii="Times New Roman" w:hAnsi="Times New Roman"/>
          <w:i/>
          <w:iCs/>
          <w:lang w:val="en-US"/>
        </w:rPr>
      </w:pPr>
      <w:r w:rsidRPr="00DE680B">
        <w:rPr>
          <w:rStyle w:val="FootnoteReference"/>
          <w:rFonts w:ascii="Times New Roman" w:hAnsi="Times New Roman"/>
        </w:rPr>
        <w:footnoteRef/>
      </w:r>
      <w:r w:rsidRPr="00DE680B">
        <w:rPr>
          <w:rFonts w:ascii="Times New Roman" w:hAnsi="Times New Roman"/>
        </w:rPr>
        <w:t xml:space="preserve"> </w:t>
      </w:r>
      <w:r w:rsidRPr="00DE680B">
        <w:rPr>
          <w:rFonts w:ascii="Times New Roman" w:hAnsi="Times New Roman"/>
          <w:i/>
          <w:iCs/>
          <w:lang w:val="en-US"/>
        </w:rPr>
        <w:t>DQ</w:t>
      </w:r>
      <w:r w:rsidR="00140044">
        <w:rPr>
          <w:rFonts w:ascii="Times New Roman" w:hAnsi="Times New Roman"/>
          <w:i/>
          <w:iCs/>
          <w:lang w:val="en-US"/>
        </w:rPr>
        <w:t>V</w:t>
      </w:r>
      <w:r w:rsidRPr="00DE680B">
        <w:rPr>
          <w:rFonts w:ascii="Times New Roman" w:hAnsi="Times New Roman"/>
          <w:i/>
          <w:iCs/>
          <w:lang w:val="en-US"/>
        </w:rPr>
        <w:t xml:space="preserve"> v Univers</w:t>
      </w:r>
      <w:r w:rsidR="00D978FB">
        <w:rPr>
          <w:rFonts w:ascii="Times New Roman" w:hAnsi="Times New Roman"/>
          <w:i/>
          <w:iCs/>
          <w:lang w:val="en-US"/>
        </w:rPr>
        <w:t>i</w:t>
      </w:r>
      <w:r w:rsidRPr="00DE680B">
        <w:rPr>
          <w:rFonts w:ascii="Times New Roman" w:hAnsi="Times New Roman"/>
          <w:i/>
          <w:iCs/>
          <w:lang w:val="en-US"/>
        </w:rPr>
        <w:t xml:space="preserve">ty of New England </w:t>
      </w:r>
      <w:r w:rsidRPr="00DE680B">
        <w:rPr>
          <w:rFonts w:ascii="Times New Roman" w:hAnsi="Times New Roman"/>
          <w:lang w:val="en-US"/>
        </w:rPr>
        <w:t>[2021] NSWCATAP 208.</w:t>
      </w:r>
    </w:p>
  </w:footnote>
  <w:footnote w:id="4">
    <w:p w14:paraId="78BC80E2" w14:textId="6FD374D3" w:rsidR="00E14F7A" w:rsidRPr="00DE680B" w:rsidRDefault="00E14F7A">
      <w:pPr>
        <w:pStyle w:val="FootnoteText"/>
        <w:rPr>
          <w:rFonts w:ascii="Times New Roman" w:hAnsi="Times New Roman"/>
          <w:lang w:val="en-US"/>
        </w:rPr>
      </w:pPr>
      <w:r w:rsidRPr="00DE680B">
        <w:rPr>
          <w:rStyle w:val="FootnoteReference"/>
          <w:rFonts w:ascii="Times New Roman" w:hAnsi="Times New Roman"/>
        </w:rPr>
        <w:footnoteRef/>
      </w:r>
      <w:r w:rsidRPr="00DE680B">
        <w:rPr>
          <w:rFonts w:ascii="Times New Roman" w:hAnsi="Times New Roman"/>
        </w:rPr>
        <w:t xml:space="preserve"> </w:t>
      </w:r>
      <w:r w:rsidRPr="00DE680B">
        <w:rPr>
          <w:rFonts w:ascii="Times New Roman" w:hAnsi="Times New Roman"/>
          <w:i/>
          <w:iCs/>
          <w:lang w:val="en-US"/>
        </w:rPr>
        <w:t>DQU v Univers</w:t>
      </w:r>
      <w:r w:rsidR="00D978FB">
        <w:rPr>
          <w:rFonts w:ascii="Times New Roman" w:hAnsi="Times New Roman"/>
          <w:i/>
          <w:iCs/>
          <w:lang w:val="en-US"/>
        </w:rPr>
        <w:t>i</w:t>
      </w:r>
      <w:r w:rsidRPr="00DE680B">
        <w:rPr>
          <w:rFonts w:ascii="Times New Roman" w:hAnsi="Times New Roman"/>
          <w:i/>
          <w:iCs/>
          <w:lang w:val="en-US"/>
        </w:rPr>
        <w:t xml:space="preserve">ty of New England </w:t>
      </w:r>
      <w:r w:rsidRPr="00DE680B">
        <w:rPr>
          <w:rFonts w:ascii="Times New Roman" w:hAnsi="Times New Roman"/>
          <w:lang w:val="en-US"/>
        </w:rPr>
        <w:t>[2020] NSWCATAD 226.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DFD8F56E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i w:val="0"/>
        <w:iCs w:val="0"/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6086"/>
    <w:rsid w:val="000070AA"/>
    <w:rsid w:val="000121F2"/>
    <w:rsid w:val="000152D3"/>
    <w:rsid w:val="0002069F"/>
    <w:rsid w:val="00020D8A"/>
    <w:rsid w:val="00023D64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7D"/>
    <w:rsid w:val="000F33C4"/>
    <w:rsid w:val="000F7EB4"/>
    <w:rsid w:val="00102673"/>
    <w:rsid w:val="00103E9C"/>
    <w:rsid w:val="001172B6"/>
    <w:rsid w:val="00120C41"/>
    <w:rsid w:val="00140044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29F8"/>
    <w:rsid w:val="001E4C7A"/>
    <w:rsid w:val="001E5A8D"/>
    <w:rsid w:val="001F386A"/>
    <w:rsid w:val="001F693F"/>
    <w:rsid w:val="001F72D7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37860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370C"/>
    <w:rsid w:val="00276688"/>
    <w:rsid w:val="00280417"/>
    <w:rsid w:val="00280C6B"/>
    <w:rsid w:val="002866C5"/>
    <w:rsid w:val="00291E23"/>
    <w:rsid w:val="00297F17"/>
    <w:rsid w:val="002A084A"/>
    <w:rsid w:val="002A1B6D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3149A"/>
    <w:rsid w:val="003558E4"/>
    <w:rsid w:val="00355C4F"/>
    <w:rsid w:val="003568E2"/>
    <w:rsid w:val="00357CDC"/>
    <w:rsid w:val="00360B55"/>
    <w:rsid w:val="0036183A"/>
    <w:rsid w:val="0037006D"/>
    <w:rsid w:val="00372CF8"/>
    <w:rsid w:val="00375BD2"/>
    <w:rsid w:val="00375E6A"/>
    <w:rsid w:val="00377E26"/>
    <w:rsid w:val="0038670F"/>
    <w:rsid w:val="003909D4"/>
    <w:rsid w:val="00393461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2E11"/>
    <w:rsid w:val="0044740B"/>
    <w:rsid w:val="00447FA3"/>
    <w:rsid w:val="00460DEF"/>
    <w:rsid w:val="004652C6"/>
    <w:rsid w:val="00466106"/>
    <w:rsid w:val="00466955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28A"/>
    <w:rsid w:val="004B1546"/>
    <w:rsid w:val="004B47A6"/>
    <w:rsid w:val="004C11DA"/>
    <w:rsid w:val="004D5D37"/>
    <w:rsid w:val="004D5F6C"/>
    <w:rsid w:val="004E05DE"/>
    <w:rsid w:val="004E24D3"/>
    <w:rsid w:val="004E34AD"/>
    <w:rsid w:val="004E5C06"/>
    <w:rsid w:val="004E6212"/>
    <w:rsid w:val="004F3046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636A"/>
    <w:rsid w:val="00597241"/>
    <w:rsid w:val="005B1916"/>
    <w:rsid w:val="005B2ADF"/>
    <w:rsid w:val="005B72D3"/>
    <w:rsid w:val="005B75FD"/>
    <w:rsid w:val="005C3D0A"/>
    <w:rsid w:val="005C412B"/>
    <w:rsid w:val="005D03A9"/>
    <w:rsid w:val="005D3377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562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1D03"/>
    <w:rsid w:val="0066776A"/>
    <w:rsid w:val="00667CE9"/>
    <w:rsid w:val="006728D0"/>
    <w:rsid w:val="0067764F"/>
    <w:rsid w:val="00682229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59CE"/>
    <w:rsid w:val="006C6485"/>
    <w:rsid w:val="006E0951"/>
    <w:rsid w:val="006E4B53"/>
    <w:rsid w:val="006E79C1"/>
    <w:rsid w:val="006F04FC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014"/>
    <w:rsid w:val="00765DCF"/>
    <w:rsid w:val="00766B5D"/>
    <w:rsid w:val="00773024"/>
    <w:rsid w:val="00773FB8"/>
    <w:rsid w:val="007755B7"/>
    <w:rsid w:val="00775CC0"/>
    <w:rsid w:val="007779DD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33FF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27DCD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3B9A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462F"/>
    <w:rsid w:val="008A5E1F"/>
    <w:rsid w:val="008A79C7"/>
    <w:rsid w:val="008A7ED7"/>
    <w:rsid w:val="008C2E1C"/>
    <w:rsid w:val="008C7BA7"/>
    <w:rsid w:val="008C7EE6"/>
    <w:rsid w:val="008D1E9B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8F76F7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372C"/>
    <w:rsid w:val="00925859"/>
    <w:rsid w:val="0093432B"/>
    <w:rsid w:val="00934D3F"/>
    <w:rsid w:val="00934F47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87C96"/>
    <w:rsid w:val="00992505"/>
    <w:rsid w:val="00995B17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26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647A"/>
    <w:rsid w:val="00A87A97"/>
    <w:rsid w:val="00A90190"/>
    <w:rsid w:val="00A95E04"/>
    <w:rsid w:val="00AA220F"/>
    <w:rsid w:val="00AA3989"/>
    <w:rsid w:val="00AA4ADB"/>
    <w:rsid w:val="00AB61A5"/>
    <w:rsid w:val="00AC189E"/>
    <w:rsid w:val="00AC358C"/>
    <w:rsid w:val="00AC4707"/>
    <w:rsid w:val="00AC4DB8"/>
    <w:rsid w:val="00AC58BA"/>
    <w:rsid w:val="00AD00DB"/>
    <w:rsid w:val="00AD086E"/>
    <w:rsid w:val="00AD1817"/>
    <w:rsid w:val="00AD358B"/>
    <w:rsid w:val="00AD5095"/>
    <w:rsid w:val="00AD52B8"/>
    <w:rsid w:val="00AD771B"/>
    <w:rsid w:val="00AE2A0C"/>
    <w:rsid w:val="00AE3D63"/>
    <w:rsid w:val="00AE6BC0"/>
    <w:rsid w:val="00AE778B"/>
    <w:rsid w:val="00AE7D80"/>
    <w:rsid w:val="00AF20BE"/>
    <w:rsid w:val="00AF54FC"/>
    <w:rsid w:val="00AF7B94"/>
    <w:rsid w:val="00B04EE9"/>
    <w:rsid w:val="00B1248F"/>
    <w:rsid w:val="00B138E0"/>
    <w:rsid w:val="00B14BD6"/>
    <w:rsid w:val="00B15658"/>
    <w:rsid w:val="00B1711F"/>
    <w:rsid w:val="00B24717"/>
    <w:rsid w:val="00B253C3"/>
    <w:rsid w:val="00B3004C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5774B"/>
    <w:rsid w:val="00B601C8"/>
    <w:rsid w:val="00B64DA7"/>
    <w:rsid w:val="00B67958"/>
    <w:rsid w:val="00B71613"/>
    <w:rsid w:val="00B739E1"/>
    <w:rsid w:val="00B753B2"/>
    <w:rsid w:val="00B858E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485F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4A55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30C0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6B0A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C7540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245D"/>
    <w:rsid w:val="00D03CBA"/>
    <w:rsid w:val="00D066F4"/>
    <w:rsid w:val="00D06A59"/>
    <w:rsid w:val="00D10E92"/>
    <w:rsid w:val="00D11252"/>
    <w:rsid w:val="00D1177C"/>
    <w:rsid w:val="00D158C1"/>
    <w:rsid w:val="00D15E5E"/>
    <w:rsid w:val="00D17B3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2DE5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3E94"/>
    <w:rsid w:val="00D771C3"/>
    <w:rsid w:val="00D7758D"/>
    <w:rsid w:val="00D77D4F"/>
    <w:rsid w:val="00D77E49"/>
    <w:rsid w:val="00D8150C"/>
    <w:rsid w:val="00D85CE6"/>
    <w:rsid w:val="00D86CB2"/>
    <w:rsid w:val="00D900C4"/>
    <w:rsid w:val="00D92526"/>
    <w:rsid w:val="00D978FB"/>
    <w:rsid w:val="00D97DAE"/>
    <w:rsid w:val="00DB156B"/>
    <w:rsid w:val="00DB2EC4"/>
    <w:rsid w:val="00DB52C7"/>
    <w:rsid w:val="00DC50A9"/>
    <w:rsid w:val="00DC7395"/>
    <w:rsid w:val="00DD08E8"/>
    <w:rsid w:val="00DD36A0"/>
    <w:rsid w:val="00DD6F25"/>
    <w:rsid w:val="00DE0C6A"/>
    <w:rsid w:val="00DE1E5E"/>
    <w:rsid w:val="00DE3C17"/>
    <w:rsid w:val="00DE411B"/>
    <w:rsid w:val="00DE680B"/>
    <w:rsid w:val="00DF1B55"/>
    <w:rsid w:val="00DF3AAF"/>
    <w:rsid w:val="00DF5B75"/>
    <w:rsid w:val="00DF77FF"/>
    <w:rsid w:val="00E00496"/>
    <w:rsid w:val="00E05BB4"/>
    <w:rsid w:val="00E12ABB"/>
    <w:rsid w:val="00E12D64"/>
    <w:rsid w:val="00E14F7A"/>
    <w:rsid w:val="00E24111"/>
    <w:rsid w:val="00E269D0"/>
    <w:rsid w:val="00E270E8"/>
    <w:rsid w:val="00E32B24"/>
    <w:rsid w:val="00E35353"/>
    <w:rsid w:val="00E36EB6"/>
    <w:rsid w:val="00E42D6B"/>
    <w:rsid w:val="00E43036"/>
    <w:rsid w:val="00E44A44"/>
    <w:rsid w:val="00E4585F"/>
    <w:rsid w:val="00E4586C"/>
    <w:rsid w:val="00E46EDB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0FB0"/>
    <w:rsid w:val="00E92A76"/>
    <w:rsid w:val="00E93133"/>
    <w:rsid w:val="00E94812"/>
    <w:rsid w:val="00E969F9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04764"/>
    <w:rsid w:val="00F12B63"/>
    <w:rsid w:val="00F172EF"/>
    <w:rsid w:val="00F23029"/>
    <w:rsid w:val="00F32409"/>
    <w:rsid w:val="00F34EAF"/>
    <w:rsid w:val="00F353D3"/>
    <w:rsid w:val="00F37256"/>
    <w:rsid w:val="00F478C5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5956"/>
    <w:rsid w:val="00FC6262"/>
    <w:rsid w:val="00FD1659"/>
    <w:rsid w:val="00FD315E"/>
    <w:rsid w:val="00FD7F28"/>
    <w:rsid w:val="00FE0331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F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F2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7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2024-02-08T01:52:00Z</dcterms:created>
  <dcterms:modified xsi:type="dcterms:W3CDTF">2024-02-08T01:52:00Z</dcterms:modified>
</cp:coreProperties>
</file>