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B887" w14:textId="77777777" w:rsidR="00F82E83" w:rsidRPr="00905A07" w:rsidRDefault="00F82E83" w:rsidP="001512E3">
      <w:pPr>
        <w:pStyle w:val="OrderTitle"/>
        <w:rPr>
          <w:rStyle w:val="a5"/>
        </w:rPr>
      </w:pPr>
      <w:r w:rsidRPr="00905A07">
        <w:rPr>
          <w:rStyle w:val="a5"/>
        </w:rPr>
        <w:t>HIGH COURT OF AUSTRALIA</w:t>
      </w:r>
    </w:p>
    <w:p w14:paraId="5D5BBEF3" w14:textId="77777777" w:rsidR="00F82E83" w:rsidRPr="00905A07" w:rsidRDefault="00F82E83" w:rsidP="001512E3">
      <w:pPr>
        <w:pStyle w:val="OrderCentre"/>
        <w:rPr>
          <w:rStyle w:val="a5"/>
          <w:lang w:val="en-AU"/>
        </w:rPr>
      </w:pPr>
    </w:p>
    <w:p w14:paraId="23B95B0D" w14:textId="77777777" w:rsidR="00F82E83" w:rsidRPr="00427F3A" w:rsidRDefault="00F82E83" w:rsidP="001512E3">
      <w:pPr>
        <w:pStyle w:val="Centre"/>
        <w:rPr>
          <w:lang w:val="en-AU"/>
        </w:rPr>
      </w:pPr>
      <w:r>
        <w:rPr>
          <w:lang w:val="en-AU"/>
        </w:rPr>
        <w:t>FRENCH CJ</w:t>
      </w:r>
    </w:p>
    <w:p w14:paraId="18E6D558" w14:textId="77777777" w:rsidR="00F82E83" w:rsidRPr="00427F3A" w:rsidRDefault="00F82E83" w:rsidP="001512E3">
      <w:pPr>
        <w:pStyle w:val="Centre"/>
        <w:rPr>
          <w:lang w:val="en-AU"/>
        </w:rPr>
      </w:pPr>
    </w:p>
    <w:p w14:paraId="6A935FB7" w14:textId="77777777" w:rsidR="00F82E83" w:rsidRPr="00427F3A" w:rsidRDefault="00F82E83" w:rsidP="001512E3">
      <w:pPr>
        <w:pStyle w:val="CenteredBorder"/>
        <w:rPr>
          <w:lang w:val="en-AU"/>
        </w:rPr>
      </w:pPr>
    </w:p>
    <w:p w14:paraId="32CBEC03" w14:textId="77777777" w:rsidR="00F82E83" w:rsidRDefault="00F82E83" w:rsidP="001512E3">
      <w:pPr>
        <w:pStyle w:val="BodyHeading"/>
      </w:pPr>
      <w:r>
        <w:t>Matter No S417/2011</w:t>
      </w:r>
    </w:p>
    <w:p w14:paraId="542A0495" w14:textId="77777777" w:rsidR="00F82E83" w:rsidRDefault="00F82E83" w:rsidP="001512E3">
      <w:pPr>
        <w:pStyle w:val="BodyHeading"/>
      </w:pPr>
    </w:p>
    <w:p w14:paraId="6AFEABA2" w14:textId="77777777" w:rsidR="00F82E83" w:rsidRDefault="00F82E83" w:rsidP="001512E3">
      <w:pPr>
        <w:pStyle w:val="PartyName"/>
        <w:rPr>
          <w:color w:val="000000"/>
          <w:szCs w:val="26"/>
        </w:rPr>
      </w:pPr>
      <w:r w:rsidRPr="003E128E">
        <w:rPr>
          <w:color w:val="000000"/>
          <w:szCs w:val="26"/>
        </w:rPr>
        <w:t xml:space="preserve">CERTAIN LLOYD'S UNDERWRITERS </w:t>
      </w:r>
    </w:p>
    <w:p w14:paraId="470B4815" w14:textId="77777777" w:rsidR="00F82E83" w:rsidRPr="00427F3A" w:rsidRDefault="00F82E83" w:rsidP="001512E3">
      <w:pPr>
        <w:pStyle w:val="PartyName"/>
      </w:pPr>
      <w:r w:rsidRPr="003E128E">
        <w:rPr>
          <w:color w:val="000000"/>
          <w:szCs w:val="26"/>
        </w:rPr>
        <w:t>SUBSCRIBING TO CONTRACT NO IH00AAQS</w:t>
      </w:r>
      <w:r w:rsidRPr="00427F3A">
        <w:tab/>
        <w:t>APPELLANT</w:t>
      </w:r>
    </w:p>
    <w:p w14:paraId="16D92C91" w14:textId="77777777" w:rsidR="00F82E83" w:rsidRPr="00427F3A" w:rsidRDefault="00F82E83" w:rsidP="001512E3">
      <w:pPr>
        <w:pStyle w:val="PartyName"/>
      </w:pPr>
    </w:p>
    <w:p w14:paraId="248F6F79" w14:textId="77777777" w:rsidR="00F82E83" w:rsidRPr="00427F3A" w:rsidRDefault="00F82E83" w:rsidP="001512E3">
      <w:pPr>
        <w:pStyle w:val="PartyName"/>
      </w:pPr>
      <w:r w:rsidRPr="00427F3A">
        <w:t>AND</w:t>
      </w:r>
    </w:p>
    <w:p w14:paraId="2DB442A9" w14:textId="77777777" w:rsidR="00F82E83" w:rsidRPr="00427F3A" w:rsidRDefault="00F82E83" w:rsidP="001512E3">
      <w:pPr>
        <w:pStyle w:val="PartyName"/>
      </w:pPr>
    </w:p>
    <w:p w14:paraId="776E0EBB" w14:textId="77777777" w:rsidR="00F82E83" w:rsidRPr="00427F3A" w:rsidRDefault="00F82E83" w:rsidP="001512E3">
      <w:pPr>
        <w:pStyle w:val="PartyName"/>
      </w:pPr>
      <w:r>
        <w:t>JOHN CROSS</w:t>
      </w:r>
      <w:r w:rsidRPr="00427F3A">
        <w:tab/>
        <w:t>RESPONDENT</w:t>
      </w:r>
    </w:p>
    <w:p w14:paraId="543804C2" w14:textId="77777777" w:rsidR="00F82E83" w:rsidRPr="00427F3A" w:rsidRDefault="00F82E83" w:rsidP="001512E3">
      <w:pPr>
        <w:pStyle w:val="BodyHeading"/>
      </w:pPr>
    </w:p>
    <w:p w14:paraId="041B64D1" w14:textId="77777777" w:rsidR="00F82E83" w:rsidRDefault="00F82E83" w:rsidP="001512E3">
      <w:pPr>
        <w:pStyle w:val="BodyHeading"/>
      </w:pPr>
      <w:r>
        <w:t>Matter No S418/2011</w:t>
      </w:r>
    </w:p>
    <w:p w14:paraId="29F74D57" w14:textId="77777777" w:rsidR="00F82E83" w:rsidRDefault="00F82E83" w:rsidP="001512E3">
      <w:pPr>
        <w:pStyle w:val="BodyHeading"/>
      </w:pPr>
    </w:p>
    <w:p w14:paraId="0F5ECAEA" w14:textId="77777777" w:rsidR="00F82E83" w:rsidRDefault="00F82E83" w:rsidP="001512E3">
      <w:pPr>
        <w:pStyle w:val="PartyName"/>
        <w:rPr>
          <w:color w:val="000000"/>
          <w:szCs w:val="26"/>
        </w:rPr>
      </w:pPr>
      <w:r w:rsidRPr="003E128E">
        <w:rPr>
          <w:color w:val="000000"/>
          <w:szCs w:val="26"/>
        </w:rPr>
        <w:t xml:space="preserve">CERTAIN LLOYD'S UNDERWRITERS </w:t>
      </w:r>
    </w:p>
    <w:p w14:paraId="429B3159" w14:textId="77777777" w:rsidR="00F82E83" w:rsidRPr="00427F3A" w:rsidRDefault="00F82E83" w:rsidP="001512E3">
      <w:pPr>
        <w:pStyle w:val="PartyName"/>
      </w:pPr>
      <w:r w:rsidRPr="003E128E">
        <w:rPr>
          <w:color w:val="000000"/>
          <w:szCs w:val="26"/>
        </w:rPr>
        <w:t>SUBSCRIBING TO CONTRACT NO IH00AAQS</w:t>
      </w:r>
      <w:r w:rsidRPr="00427F3A">
        <w:tab/>
        <w:t>APPELLANT</w:t>
      </w:r>
    </w:p>
    <w:p w14:paraId="56C101F7" w14:textId="77777777" w:rsidR="00F82E83" w:rsidRPr="00427F3A" w:rsidRDefault="00F82E83" w:rsidP="001512E3">
      <w:pPr>
        <w:pStyle w:val="PartyName"/>
      </w:pPr>
    </w:p>
    <w:p w14:paraId="45754A61" w14:textId="77777777" w:rsidR="00F82E83" w:rsidRPr="00427F3A" w:rsidRDefault="00F82E83" w:rsidP="001512E3">
      <w:pPr>
        <w:pStyle w:val="PartyName"/>
      </w:pPr>
      <w:r w:rsidRPr="00427F3A">
        <w:t>AND</w:t>
      </w:r>
    </w:p>
    <w:p w14:paraId="3FB3496C" w14:textId="77777777" w:rsidR="00F82E83" w:rsidRPr="00427F3A" w:rsidRDefault="00F82E83" w:rsidP="001512E3">
      <w:pPr>
        <w:pStyle w:val="PartyName"/>
      </w:pPr>
    </w:p>
    <w:p w14:paraId="5C149A6F" w14:textId="77777777" w:rsidR="00F82E83" w:rsidRPr="00427F3A" w:rsidRDefault="00F82E83" w:rsidP="001512E3">
      <w:pPr>
        <w:pStyle w:val="PartyName"/>
      </w:pPr>
      <w:r>
        <w:t>MARK GEORGE THELANDER</w:t>
      </w:r>
      <w:r w:rsidRPr="00427F3A">
        <w:tab/>
        <w:t>RESPONDENT</w:t>
      </w:r>
    </w:p>
    <w:p w14:paraId="1D758B3D" w14:textId="77777777" w:rsidR="00F82E83" w:rsidRPr="00427F3A" w:rsidRDefault="00F82E83" w:rsidP="001512E3">
      <w:pPr>
        <w:pStyle w:val="BodyHeading"/>
      </w:pPr>
    </w:p>
    <w:p w14:paraId="416B60C0" w14:textId="77777777" w:rsidR="00F82E83" w:rsidRDefault="00F82E83" w:rsidP="001512E3">
      <w:pPr>
        <w:pStyle w:val="BodyHeading"/>
      </w:pPr>
      <w:r>
        <w:t>Matter No S419/2011</w:t>
      </w:r>
    </w:p>
    <w:p w14:paraId="4F6B8B6D" w14:textId="77777777" w:rsidR="00F82E83" w:rsidRDefault="00F82E83" w:rsidP="001512E3">
      <w:pPr>
        <w:pStyle w:val="BodyHeading"/>
      </w:pPr>
    </w:p>
    <w:p w14:paraId="6BD0C117" w14:textId="77777777" w:rsidR="00F82E83" w:rsidRDefault="00F82E83" w:rsidP="001512E3">
      <w:pPr>
        <w:pStyle w:val="PartyName"/>
        <w:rPr>
          <w:color w:val="000000"/>
          <w:szCs w:val="26"/>
        </w:rPr>
      </w:pPr>
      <w:r w:rsidRPr="003E128E">
        <w:rPr>
          <w:color w:val="000000"/>
          <w:szCs w:val="26"/>
        </w:rPr>
        <w:t xml:space="preserve">CERTAIN LLOYD'S UNDERWRITERS </w:t>
      </w:r>
    </w:p>
    <w:p w14:paraId="428C9028" w14:textId="77777777" w:rsidR="00F82E83" w:rsidRPr="00427F3A" w:rsidRDefault="00F82E83" w:rsidP="001512E3">
      <w:pPr>
        <w:pStyle w:val="PartyName"/>
      </w:pPr>
      <w:r w:rsidRPr="003E128E">
        <w:rPr>
          <w:color w:val="000000"/>
          <w:szCs w:val="26"/>
        </w:rPr>
        <w:t>SUBSCRIBING TO CONTRACT NO IH00AAQS</w:t>
      </w:r>
      <w:r w:rsidRPr="00427F3A">
        <w:tab/>
        <w:t>APPELLANT</w:t>
      </w:r>
    </w:p>
    <w:p w14:paraId="258331AA" w14:textId="77777777" w:rsidR="00F82E83" w:rsidRPr="00427F3A" w:rsidRDefault="00F82E83" w:rsidP="001512E3">
      <w:pPr>
        <w:pStyle w:val="PartyName"/>
      </w:pPr>
    </w:p>
    <w:p w14:paraId="35150626" w14:textId="77777777" w:rsidR="00F82E83" w:rsidRPr="00427F3A" w:rsidRDefault="00F82E83" w:rsidP="001512E3">
      <w:pPr>
        <w:pStyle w:val="PartyName"/>
      </w:pPr>
      <w:r w:rsidRPr="00427F3A">
        <w:t>AND</w:t>
      </w:r>
    </w:p>
    <w:p w14:paraId="0299ACE9" w14:textId="77777777" w:rsidR="00F82E83" w:rsidRPr="00427F3A" w:rsidRDefault="00F82E83" w:rsidP="001512E3">
      <w:pPr>
        <w:pStyle w:val="PartyName"/>
      </w:pPr>
    </w:p>
    <w:p w14:paraId="5C8B1699" w14:textId="77777777" w:rsidR="00F82E83" w:rsidRPr="00427F3A" w:rsidRDefault="00F82E83" w:rsidP="001512E3">
      <w:pPr>
        <w:pStyle w:val="PartyName"/>
      </w:pPr>
      <w:r>
        <w:t>JILL MARIA THELANDER</w:t>
      </w:r>
      <w:r w:rsidRPr="00427F3A">
        <w:tab/>
        <w:t>RESPONDENT</w:t>
      </w:r>
    </w:p>
    <w:p w14:paraId="5EEECF03" w14:textId="77777777" w:rsidR="00F82E83" w:rsidRPr="00427F3A" w:rsidRDefault="00F82E83" w:rsidP="001512E3">
      <w:pPr>
        <w:pStyle w:val="BodyHeading"/>
      </w:pPr>
    </w:p>
    <w:p w14:paraId="0A88985C" w14:textId="77777777" w:rsidR="00F82E83" w:rsidRPr="003E128E" w:rsidRDefault="00F82E83" w:rsidP="001512E3">
      <w:pPr>
        <w:pStyle w:val="CentreItalics"/>
        <w:rPr>
          <w:color w:val="000000"/>
          <w:szCs w:val="26"/>
        </w:rPr>
      </w:pPr>
      <w:r w:rsidRPr="003E128E">
        <w:rPr>
          <w:color w:val="000000"/>
          <w:szCs w:val="26"/>
        </w:rPr>
        <w:t>Certain Lloyd's Underwriters Subscr</w:t>
      </w:r>
      <w:r>
        <w:rPr>
          <w:color w:val="000000"/>
          <w:szCs w:val="26"/>
        </w:rPr>
        <w:t>ibing to Contract No IH00AAQS v</w:t>
      </w:r>
      <w:r w:rsidRPr="003E128E">
        <w:rPr>
          <w:color w:val="000000"/>
          <w:szCs w:val="26"/>
        </w:rPr>
        <w:t xml:space="preserve"> Cross</w:t>
      </w:r>
    </w:p>
    <w:p w14:paraId="3549B4F9" w14:textId="77777777" w:rsidR="00F82E83" w:rsidRPr="003E128E" w:rsidRDefault="00F82E83" w:rsidP="001512E3">
      <w:pPr>
        <w:pStyle w:val="CentreItalics"/>
        <w:rPr>
          <w:color w:val="000000"/>
          <w:szCs w:val="26"/>
        </w:rPr>
      </w:pPr>
      <w:r w:rsidRPr="003E128E">
        <w:rPr>
          <w:color w:val="000000"/>
          <w:szCs w:val="26"/>
        </w:rPr>
        <w:t>Certain Lloyd's Underwriters Subscr</w:t>
      </w:r>
      <w:r>
        <w:rPr>
          <w:color w:val="000000"/>
          <w:szCs w:val="26"/>
        </w:rPr>
        <w:t>ibing to Contract No IH00AAQS v</w:t>
      </w:r>
      <w:r w:rsidRPr="003E128E">
        <w:rPr>
          <w:color w:val="000000"/>
          <w:szCs w:val="26"/>
        </w:rPr>
        <w:t xml:space="preserve"> Thelander</w:t>
      </w:r>
    </w:p>
    <w:p w14:paraId="67B08D18" w14:textId="77777777" w:rsidR="00F82E83" w:rsidRPr="003E128E" w:rsidRDefault="00F82E83" w:rsidP="001512E3">
      <w:pPr>
        <w:pStyle w:val="CentreItalics"/>
        <w:rPr>
          <w:szCs w:val="26"/>
        </w:rPr>
      </w:pPr>
      <w:r w:rsidRPr="003E128E">
        <w:rPr>
          <w:color w:val="000000"/>
          <w:szCs w:val="26"/>
        </w:rPr>
        <w:t>Certain Lloyd's Underwriters Subscr</w:t>
      </w:r>
      <w:r>
        <w:rPr>
          <w:color w:val="000000"/>
          <w:szCs w:val="26"/>
        </w:rPr>
        <w:t>ibing to Contract No IH00AAQS v</w:t>
      </w:r>
      <w:r w:rsidRPr="003E128E">
        <w:rPr>
          <w:color w:val="000000"/>
          <w:szCs w:val="26"/>
        </w:rPr>
        <w:t xml:space="preserve"> Thelander</w:t>
      </w:r>
    </w:p>
    <w:p w14:paraId="7B21CD59" w14:textId="77777777" w:rsidR="00F82E83" w:rsidRPr="00427F3A" w:rsidRDefault="00F82E83" w:rsidP="001512E3">
      <w:pPr>
        <w:pStyle w:val="Centre"/>
        <w:rPr>
          <w:lang w:val="en-AU"/>
        </w:rPr>
      </w:pPr>
      <w:r>
        <w:rPr>
          <w:lang w:val="en-AU"/>
        </w:rPr>
        <w:t>[2015</w:t>
      </w:r>
      <w:r w:rsidRPr="00427F3A">
        <w:rPr>
          <w:lang w:val="en-AU"/>
        </w:rPr>
        <w:t xml:space="preserve">] HCA </w:t>
      </w:r>
      <w:r>
        <w:rPr>
          <w:lang w:val="en-AU"/>
        </w:rPr>
        <w:t>52</w:t>
      </w:r>
    </w:p>
    <w:p w14:paraId="5ACFC44B" w14:textId="77777777" w:rsidR="00F82E83" w:rsidRPr="00427F3A" w:rsidRDefault="00F82E83" w:rsidP="001512E3">
      <w:pPr>
        <w:pStyle w:val="CentreItalics"/>
      </w:pPr>
      <w:r>
        <w:t>17 December 2015</w:t>
      </w:r>
    </w:p>
    <w:p w14:paraId="6FAA5FEA" w14:textId="77777777" w:rsidR="00F82E83" w:rsidRDefault="00F82E83" w:rsidP="001512E3">
      <w:pPr>
        <w:pStyle w:val="Centre"/>
        <w:rPr>
          <w:lang w:val="en-AU"/>
        </w:rPr>
      </w:pPr>
      <w:r>
        <w:rPr>
          <w:lang w:val="en-AU"/>
        </w:rPr>
        <w:t>S417/2011 to S419/2011</w:t>
      </w:r>
    </w:p>
    <w:p w14:paraId="762E78B5" w14:textId="77777777" w:rsidR="00F82E83" w:rsidRPr="00427F3A" w:rsidRDefault="00F82E83" w:rsidP="001512E3">
      <w:pPr>
        <w:pStyle w:val="Centre"/>
        <w:rPr>
          <w:lang w:val="en-AU"/>
        </w:rPr>
      </w:pPr>
    </w:p>
    <w:p w14:paraId="6FD9BCC0" w14:textId="77777777" w:rsidR="00B43977" w:rsidRDefault="00B43977" w:rsidP="001512E3">
      <w:pPr>
        <w:pStyle w:val="OrderCentre"/>
        <w:keepNext/>
        <w:sectPr w:rsidR="00B43977" w:rsidSect="00811108">
          <w:headerReference w:type="even" r:id="rId8"/>
          <w:headerReference w:type="default" r:id="rId9"/>
          <w:type w:val="oddPage"/>
          <w:pgSz w:w="11907" w:h="16840" w:code="9"/>
          <w:pgMar w:top="1440" w:right="1985" w:bottom="1985" w:left="1985" w:header="720" w:footer="403" w:gutter="0"/>
          <w:pgNumType w:start="1"/>
          <w:cols w:space="720"/>
          <w:titlePg/>
        </w:sectPr>
      </w:pPr>
    </w:p>
    <w:p w14:paraId="0F2AFB7A" w14:textId="77777777" w:rsidR="00F82E83" w:rsidRPr="00BE0A6C" w:rsidRDefault="00F82E83" w:rsidP="001512E3">
      <w:pPr>
        <w:pStyle w:val="OrderCentre"/>
        <w:keepNext/>
      </w:pPr>
      <w:r w:rsidRPr="00BE0A6C">
        <w:lastRenderedPageBreak/>
        <w:t>ORDER</w:t>
      </w:r>
    </w:p>
    <w:p w14:paraId="7EFE362E" w14:textId="77777777" w:rsidR="00F82E83" w:rsidRPr="00427F3A" w:rsidRDefault="00F82E83" w:rsidP="001512E3">
      <w:pPr>
        <w:pStyle w:val="Centre"/>
        <w:rPr>
          <w:lang w:val="en-AU"/>
        </w:rPr>
      </w:pPr>
    </w:p>
    <w:p w14:paraId="7971921F" w14:textId="77777777" w:rsidR="00F82E83" w:rsidRDefault="00F82E83" w:rsidP="001512E3">
      <w:pPr>
        <w:pStyle w:val="OrdersText"/>
      </w:pPr>
      <w:r>
        <w:t xml:space="preserve">In each application, application is dismissed with costs. </w:t>
      </w:r>
    </w:p>
    <w:p w14:paraId="14FFA294" w14:textId="77777777" w:rsidR="00F82E83" w:rsidRDefault="00F82E83" w:rsidP="001512E3">
      <w:pPr>
        <w:pStyle w:val="Body"/>
      </w:pPr>
    </w:p>
    <w:p w14:paraId="2E0CD039" w14:textId="77777777" w:rsidR="00F82E83" w:rsidRPr="00427F3A" w:rsidRDefault="00F82E83" w:rsidP="001512E3">
      <w:pPr>
        <w:pStyle w:val="Body"/>
      </w:pPr>
    </w:p>
    <w:p w14:paraId="3C9CE6FC" w14:textId="77777777" w:rsidR="00F82E83" w:rsidRPr="00427F3A" w:rsidRDefault="00F82E83" w:rsidP="001512E3">
      <w:pPr>
        <w:pStyle w:val="Body"/>
      </w:pPr>
      <w:r w:rsidRPr="00427F3A">
        <w:t xml:space="preserve">On appeal from the </w:t>
      </w:r>
      <w:r>
        <w:t>Supreme Court of New South Wales</w:t>
      </w:r>
    </w:p>
    <w:p w14:paraId="6A5627F0" w14:textId="77777777" w:rsidR="00F82E83" w:rsidRDefault="00F82E83" w:rsidP="001512E3">
      <w:pPr>
        <w:pStyle w:val="Body"/>
      </w:pPr>
    </w:p>
    <w:p w14:paraId="06470C97" w14:textId="77777777" w:rsidR="00F82E83" w:rsidRPr="00427F3A" w:rsidRDefault="00F82E83" w:rsidP="001512E3">
      <w:pPr>
        <w:pStyle w:val="Body"/>
      </w:pPr>
    </w:p>
    <w:p w14:paraId="6EBAADA2" w14:textId="77777777" w:rsidR="00F82E83" w:rsidRPr="00427F3A" w:rsidRDefault="00F82E83" w:rsidP="001512E3">
      <w:pPr>
        <w:pStyle w:val="BodyHeading"/>
      </w:pPr>
      <w:r w:rsidRPr="00427F3A">
        <w:t>Representation</w:t>
      </w:r>
    </w:p>
    <w:p w14:paraId="0AA40336" w14:textId="77777777" w:rsidR="00F82E83" w:rsidRPr="00427F3A" w:rsidRDefault="00F82E83" w:rsidP="001512E3">
      <w:pPr>
        <w:pStyle w:val="BodyHeading"/>
      </w:pPr>
    </w:p>
    <w:p w14:paraId="511BDCB3" w14:textId="77777777" w:rsidR="00F82E83" w:rsidRPr="00427F3A" w:rsidRDefault="00F82E83" w:rsidP="001512E3">
      <w:pPr>
        <w:pStyle w:val="Body"/>
      </w:pPr>
      <w:r>
        <w:t>M J Stevens for the appellant in each matter (instructed by Riley Gray</w:t>
      </w:r>
      <w:r>
        <w:noBreakHyphen/>
        <w:t>Spencer Lawyers</w:t>
      </w:r>
      <w:r w:rsidRPr="00427F3A">
        <w:t>)</w:t>
      </w:r>
    </w:p>
    <w:p w14:paraId="34EE8DB4" w14:textId="77777777" w:rsidR="00F82E83" w:rsidRPr="00427F3A" w:rsidRDefault="00F82E83" w:rsidP="001512E3">
      <w:pPr>
        <w:pStyle w:val="Body"/>
      </w:pPr>
    </w:p>
    <w:p w14:paraId="3EBF0197" w14:textId="77777777" w:rsidR="00F82E83" w:rsidRPr="00427F3A" w:rsidRDefault="00F82E83" w:rsidP="001512E3">
      <w:pPr>
        <w:pStyle w:val="Body"/>
      </w:pPr>
      <w:r>
        <w:t>R T McKeand SC for the respondent</w:t>
      </w:r>
      <w:r w:rsidRPr="00427F3A">
        <w:t xml:space="preserve"> </w:t>
      </w:r>
      <w:r>
        <w:t xml:space="preserve">in each matter </w:t>
      </w:r>
      <w:r w:rsidRPr="00427F3A">
        <w:t xml:space="preserve">(instructed by </w:t>
      </w:r>
      <w:r>
        <w:t>G H Healey &amp; Co</w:t>
      </w:r>
      <w:r w:rsidRPr="00427F3A">
        <w:t>)</w:t>
      </w:r>
    </w:p>
    <w:p w14:paraId="40ACD778" w14:textId="77777777" w:rsidR="00F82E83" w:rsidRDefault="00F82E83" w:rsidP="001512E3">
      <w:pPr>
        <w:pStyle w:val="Body"/>
      </w:pPr>
    </w:p>
    <w:p w14:paraId="41D2F9B9" w14:textId="77777777" w:rsidR="00F82E83" w:rsidRDefault="00F82E83" w:rsidP="001512E3">
      <w:pPr>
        <w:pStyle w:val="Body"/>
      </w:pPr>
    </w:p>
    <w:p w14:paraId="55C313F5" w14:textId="77777777" w:rsidR="00F82E83" w:rsidRDefault="00F82E83" w:rsidP="001512E3">
      <w:pPr>
        <w:pStyle w:val="Body"/>
      </w:pPr>
    </w:p>
    <w:p w14:paraId="37E19178" w14:textId="77777777" w:rsidR="00F82E83" w:rsidRDefault="00F82E83" w:rsidP="001512E3">
      <w:pPr>
        <w:pStyle w:val="Body"/>
      </w:pPr>
    </w:p>
    <w:p w14:paraId="63967EE9" w14:textId="77777777" w:rsidR="00F82E83" w:rsidRDefault="00F82E83" w:rsidP="001512E3">
      <w:pPr>
        <w:pStyle w:val="Body"/>
      </w:pPr>
    </w:p>
    <w:p w14:paraId="1F8F9414" w14:textId="77777777" w:rsidR="00F82E83" w:rsidRDefault="00F82E83" w:rsidP="001512E3">
      <w:pPr>
        <w:pStyle w:val="Body"/>
      </w:pPr>
    </w:p>
    <w:p w14:paraId="6230782A" w14:textId="77777777" w:rsidR="00F82E83" w:rsidRDefault="00F82E83" w:rsidP="001512E3">
      <w:pPr>
        <w:pStyle w:val="Body"/>
      </w:pPr>
    </w:p>
    <w:p w14:paraId="787EC63C" w14:textId="77777777" w:rsidR="00F82E83" w:rsidRDefault="00F82E83" w:rsidP="001512E3">
      <w:pPr>
        <w:pStyle w:val="Body"/>
      </w:pPr>
    </w:p>
    <w:p w14:paraId="3287E9FA" w14:textId="77777777" w:rsidR="00F82E83" w:rsidRDefault="00F82E83" w:rsidP="001512E3">
      <w:pPr>
        <w:pStyle w:val="Body"/>
      </w:pPr>
    </w:p>
    <w:p w14:paraId="2327F12A" w14:textId="77777777" w:rsidR="00F82E83" w:rsidRDefault="00F82E83" w:rsidP="001512E3">
      <w:pPr>
        <w:pStyle w:val="Body"/>
      </w:pPr>
    </w:p>
    <w:p w14:paraId="4E5BADD3" w14:textId="77777777" w:rsidR="00F82E83" w:rsidRDefault="00F82E83" w:rsidP="001512E3">
      <w:pPr>
        <w:pStyle w:val="Body"/>
      </w:pPr>
    </w:p>
    <w:p w14:paraId="2E286220" w14:textId="77777777" w:rsidR="00F82E83" w:rsidRDefault="00F82E83" w:rsidP="001512E3">
      <w:pPr>
        <w:pStyle w:val="Body"/>
      </w:pPr>
    </w:p>
    <w:p w14:paraId="5E4943BC" w14:textId="77777777" w:rsidR="00F82E83" w:rsidRDefault="00F82E83" w:rsidP="001512E3">
      <w:pPr>
        <w:pStyle w:val="Body"/>
      </w:pPr>
    </w:p>
    <w:p w14:paraId="3BB86288" w14:textId="77777777" w:rsidR="00F82E83" w:rsidRDefault="00F82E83" w:rsidP="001512E3">
      <w:pPr>
        <w:pStyle w:val="Body"/>
      </w:pPr>
    </w:p>
    <w:p w14:paraId="2BA8D014" w14:textId="77777777" w:rsidR="00F82E83" w:rsidRDefault="00F82E83" w:rsidP="001512E3">
      <w:pPr>
        <w:pStyle w:val="Body"/>
      </w:pPr>
    </w:p>
    <w:p w14:paraId="06434C7C" w14:textId="77777777" w:rsidR="00F82E83" w:rsidRDefault="00F82E83" w:rsidP="001512E3">
      <w:pPr>
        <w:pStyle w:val="Body"/>
      </w:pPr>
    </w:p>
    <w:p w14:paraId="5ED9F3E2" w14:textId="77777777" w:rsidR="00F82E83" w:rsidRDefault="00F82E83" w:rsidP="001512E3">
      <w:pPr>
        <w:pStyle w:val="Body"/>
      </w:pPr>
    </w:p>
    <w:p w14:paraId="6A6DFFD6" w14:textId="77777777" w:rsidR="00F82E83" w:rsidRDefault="00F82E83" w:rsidP="001512E3">
      <w:pPr>
        <w:pStyle w:val="Body"/>
      </w:pPr>
    </w:p>
    <w:p w14:paraId="18FCB3AC" w14:textId="77777777" w:rsidR="00F82E83" w:rsidRDefault="00F82E83" w:rsidP="001512E3">
      <w:pPr>
        <w:pStyle w:val="Body"/>
      </w:pPr>
    </w:p>
    <w:p w14:paraId="31859BC9" w14:textId="77777777" w:rsidR="00F82E83" w:rsidRDefault="00F82E83" w:rsidP="001512E3">
      <w:pPr>
        <w:pStyle w:val="Body"/>
      </w:pPr>
    </w:p>
    <w:p w14:paraId="6DB640BD" w14:textId="77777777" w:rsidR="00F82E83" w:rsidRPr="00427F3A" w:rsidRDefault="00F82E83" w:rsidP="001512E3">
      <w:pPr>
        <w:pStyle w:val="Body"/>
      </w:pPr>
    </w:p>
    <w:p w14:paraId="03DE80E2" w14:textId="77777777" w:rsidR="00F82E83" w:rsidRPr="00427F3A" w:rsidRDefault="00F82E83" w:rsidP="001512E3">
      <w:pPr>
        <w:pStyle w:val="Notice"/>
        <w:rPr>
          <w:lang w:val="en-AU"/>
        </w:rPr>
      </w:pPr>
      <w:r w:rsidRPr="00427F3A">
        <w:rPr>
          <w:lang w:val="en-AU"/>
        </w:rPr>
        <w:t>Notice:  This copy of the Court's Reasons for Judgment is subject to formal revision prior to publication in the Commonwealth Law Reports.</w:t>
      </w:r>
    </w:p>
    <w:p w14:paraId="0A031913" w14:textId="77777777" w:rsidR="00E92692" w:rsidRDefault="00E92692" w:rsidP="00DE2C67">
      <w:pPr>
        <w:pStyle w:val="a6"/>
        <w:tabs>
          <w:tab w:val="clear" w:pos="510"/>
          <w:tab w:val="clear" w:pos="1021"/>
          <w:tab w:val="clear" w:pos="1559"/>
          <w:tab w:val="clear" w:pos="2126"/>
          <w:tab w:val="clear" w:pos="2693"/>
          <w:tab w:val="clear" w:pos="4153"/>
          <w:tab w:val="clear" w:pos="8306"/>
        </w:tabs>
        <w:jc w:val="left"/>
      </w:pPr>
    </w:p>
    <w:p w14:paraId="33E59F82" w14:textId="77777777" w:rsidR="00DE2C67" w:rsidRDefault="00DE2C67" w:rsidP="00DE2C67">
      <w:pPr>
        <w:pStyle w:val="a6"/>
        <w:tabs>
          <w:tab w:val="clear" w:pos="510"/>
          <w:tab w:val="clear" w:pos="1021"/>
          <w:tab w:val="clear" w:pos="1559"/>
          <w:tab w:val="clear" w:pos="2126"/>
          <w:tab w:val="clear" w:pos="2693"/>
          <w:tab w:val="clear" w:pos="4153"/>
          <w:tab w:val="clear" w:pos="8306"/>
        </w:tabs>
        <w:jc w:val="left"/>
      </w:pPr>
    </w:p>
    <w:p w14:paraId="0B24FB26" w14:textId="77777777" w:rsidR="002C6D17" w:rsidRDefault="002C6D17">
      <w:pPr>
        <w:pStyle w:val="a6"/>
        <w:tabs>
          <w:tab w:val="clear" w:pos="510"/>
          <w:tab w:val="clear" w:pos="1021"/>
          <w:tab w:val="clear" w:pos="1559"/>
          <w:tab w:val="clear" w:pos="2126"/>
          <w:tab w:val="clear" w:pos="2693"/>
          <w:tab w:val="clear" w:pos="4153"/>
          <w:tab w:val="clear" w:pos="8306"/>
        </w:tabs>
        <w:jc w:val="left"/>
      </w:pPr>
    </w:p>
    <w:p w14:paraId="24C387C5" w14:textId="77777777" w:rsidR="00783C49" w:rsidRDefault="00783C49">
      <w:pPr>
        <w:pStyle w:val="a6"/>
        <w:tabs>
          <w:tab w:val="clear" w:pos="510"/>
          <w:tab w:val="clear" w:pos="1021"/>
          <w:tab w:val="clear" w:pos="1559"/>
          <w:tab w:val="clear" w:pos="2126"/>
          <w:tab w:val="clear" w:pos="2693"/>
          <w:tab w:val="clear" w:pos="4153"/>
          <w:tab w:val="clear" w:pos="8306"/>
        </w:tabs>
        <w:jc w:val="left"/>
        <w:sectPr w:rsidR="00783C49" w:rsidSect="00B43977">
          <w:headerReference w:type="first" r:id="rId10"/>
          <w:pgSz w:w="11907" w:h="16840" w:code="9"/>
          <w:pgMar w:top="1440" w:right="1985" w:bottom="1985" w:left="1985" w:header="720" w:footer="403" w:gutter="0"/>
          <w:pgNumType w:start="1"/>
          <w:cols w:space="720"/>
          <w:titlePg/>
        </w:sectPr>
      </w:pPr>
    </w:p>
    <w:p w14:paraId="7C3C556C" w14:textId="77777777" w:rsidR="00F82E83" w:rsidRDefault="00F82E83" w:rsidP="00B43977">
      <w:pPr>
        <w:pStyle w:val="CatchwordsBold"/>
      </w:pPr>
      <w:r>
        <w:lastRenderedPageBreak/>
        <w:t>CATCHWORDS</w:t>
      </w:r>
    </w:p>
    <w:p w14:paraId="31A60DAA" w14:textId="77777777" w:rsidR="00F82E83" w:rsidRDefault="00F82E83" w:rsidP="00B43977">
      <w:pPr>
        <w:pStyle w:val="CatchwordsBold"/>
      </w:pPr>
    </w:p>
    <w:p w14:paraId="4A670F4B" w14:textId="77777777" w:rsidR="00F82E83" w:rsidRDefault="00F82E83" w:rsidP="00B43977">
      <w:pPr>
        <w:pStyle w:val="CatchwordsBold"/>
      </w:pPr>
      <w:r>
        <w:t>Certain Lloyd</w:t>
      </w:r>
      <w:r w:rsidRPr="00E101CE">
        <w:t>'</w:t>
      </w:r>
      <w:r>
        <w:t>s Underwriters Subscribing to Contract No IH</w:t>
      </w:r>
      <w:r w:rsidRPr="00B83FDF">
        <w:t>00AAQS</w:t>
      </w:r>
      <w:r>
        <w:t xml:space="preserve"> v Cross</w:t>
      </w:r>
    </w:p>
    <w:p w14:paraId="6EC29698" w14:textId="77777777" w:rsidR="00F82E83" w:rsidRDefault="00F82E83" w:rsidP="00B43977">
      <w:pPr>
        <w:pStyle w:val="CatchwordsBold"/>
      </w:pPr>
      <w:r w:rsidRPr="00B83FDF">
        <w:t>Certain Lloyd</w:t>
      </w:r>
      <w:r w:rsidRPr="00E101CE">
        <w:t>'</w:t>
      </w:r>
      <w:r>
        <w:t>s Underwriters Subscribing t</w:t>
      </w:r>
      <w:r w:rsidRPr="00B83FDF">
        <w:t>o Contract No IH00AAQS</w:t>
      </w:r>
      <w:r>
        <w:t xml:space="preserve"> v Thelander</w:t>
      </w:r>
    </w:p>
    <w:p w14:paraId="3A184A11" w14:textId="77777777" w:rsidR="00F82E83" w:rsidRDefault="00F82E83" w:rsidP="00B43977">
      <w:pPr>
        <w:pStyle w:val="CatchwordsBold"/>
      </w:pPr>
      <w:r w:rsidRPr="00B83FDF">
        <w:t>Certain Lloyd</w:t>
      </w:r>
      <w:r w:rsidRPr="00E101CE">
        <w:t>'</w:t>
      </w:r>
      <w:r>
        <w:t>s Underwriters Subscribing t</w:t>
      </w:r>
      <w:r w:rsidRPr="00B83FDF">
        <w:t>o Contract No IH00AAQS</w:t>
      </w:r>
      <w:r>
        <w:t xml:space="preserve"> v Thelander</w:t>
      </w:r>
    </w:p>
    <w:p w14:paraId="50DE49F6" w14:textId="77777777" w:rsidR="00F82E83" w:rsidRDefault="00F82E83">
      <w:pPr>
        <w:spacing w:line="240" w:lineRule="auto"/>
      </w:pPr>
    </w:p>
    <w:p w14:paraId="7AC84FC2" w14:textId="77777777" w:rsidR="00F82E83" w:rsidRDefault="00F82E83" w:rsidP="00B43977">
      <w:pPr>
        <w:pStyle w:val="CatchwordsText"/>
      </w:pPr>
      <w:r>
        <w:t xml:space="preserve">Slip rule – Costs order – Special leave undertaking that insurer bear costs of application and appeal to High Court – Insurer successful in appeal – Whether costs order in orders of court appealed from should have been set aside. </w:t>
      </w:r>
    </w:p>
    <w:p w14:paraId="71A8CD2B" w14:textId="77777777" w:rsidR="00F82E83" w:rsidRDefault="00F82E83" w:rsidP="00B43977">
      <w:pPr>
        <w:pStyle w:val="CatchwordsText"/>
        <w:rPr>
          <w:bCs/>
        </w:rPr>
      </w:pPr>
    </w:p>
    <w:p w14:paraId="73D3E906" w14:textId="77777777" w:rsidR="00F82E83" w:rsidRDefault="00F82E83" w:rsidP="00B43977">
      <w:pPr>
        <w:pStyle w:val="CatchwordsText"/>
      </w:pPr>
      <w:r>
        <w:t xml:space="preserve">Words and phrases – "accidental slip or omission", "test case".  </w:t>
      </w:r>
    </w:p>
    <w:p w14:paraId="239F7581" w14:textId="77777777" w:rsidR="00F82E83" w:rsidRDefault="00F82E83" w:rsidP="00B43977">
      <w:pPr>
        <w:pStyle w:val="CatchwordsText"/>
      </w:pPr>
    </w:p>
    <w:p w14:paraId="376BA61D" w14:textId="77777777" w:rsidR="00F82E83" w:rsidRDefault="00F82E83" w:rsidP="00B43977">
      <w:pPr>
        <w:pStyle w:val="CatchwordsText"/>
      </w:pPr>
      <w:r>
        <w:t>High Court Rules 2004 (</w:t>
      </w:r>
      <w:proofErr w:type="spellStart"/>
      <w:r>
        <w:t>Cth</w:t>
      </w:r>
      <w:proofErr w:type="spellEnd"/>
      <w:r>
        <w:t>), r 3.01.2.</w:t>
      </w:r>
    </w:p>
    <w:p w14:paraId="37D06E9E" w14:textId="77777777" w:rsidR="00F82E83" w:rsidRDefault="00F82E83">
      <w:pPr>
        <w:spacing w:line="240" w:lineRule="auto"/>
        <w:rPr>
          <w:i/>
        </w:rPr>
      </w:pPr>
    </w:p>
    <w:p w14:paraId="52307332" w14:textId="77777777" w:rsidR="001910B3" w:rsidRDefault="001910B3">
      <w:pPr>
        <w:pStyle w:val="a6"/>
        <w:tabs>
          <w:tab w:val="clear" w:pos="510"/>
          <w:tab w:val="clear" w:pos="1021"/>
          <w:tab w:val="clear" w:pos="1559"/>
          <w:tab w:val="clear" w:pos="2126"/>
          <w:tab w:val="clear" w:pos="2693"/>
          <w:tab w:val="clear" w:pos="4153"/>
          <w:tab w:val="clear" w:pos="8306"/>
        </w:tabs>
        <w:jc w:val="left"/>
        <w:rPr>
          <w:b/>
        </w:rPr>
      </w:pPr>
    </w:p>
    <w:p w14:paraId="27C0302A"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pPr>
    </w:p>
    <w:p w14:paraId="13047D6C"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pPr>
    </w:p>
    <w:p w14:paraId="2E4C5A9F"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sectPr w:rsidR="00783C49">
          <w:headerReference w:type="even" r:id="rId11"/>
          <w:headerReference w:type="first" r:id="rId12"/>
          <w:footerReference w:type="first" r:id="rId13"/>
          <w:type w:val="oddPage"/>
          <w:pgSz w:w="11907" w:h="16840" w:code="9"/>
          <w:pgMar w:top="1534" w:right="1701" w:bottom="1985" w:left="1701" w:header="720" w:footer="404" w:gutter="0"/>
          <w:pgNumType w:start="1"/>
          <w:cols w:space="720"/>
          <w:titlePg/>
        </w:sectPr>
      </w:pPr>
    </w:p>
    <w:p w14:paraId="423D5D0E" w14:textId="77777777" w:rsidR="00F82E83" w:rsidRDefault="00F82E83" w:rsidP="00F82E83">
      <w:pPr>
        <w:pStyle w:val="ad"/>
        <w:numPr>
          <w:ilvl w:val="0"/>
          <w:numId w:val="2"/>
        </w:numPr>
        <w:tabs>
          <w:tab w:val="clear" w:pos="360"/>
        </w:tabs>
        <w:ind w:left="0" w:hanging="720"/>
      </w:pPr>
      <w:r>
        <w:lastRenderedPageBreak/>
        <w:t>FRENCH CJ.   On 12 December 2012, this Court</w:t>
      </w:r>
      <w:r>
        <w:rPr>
          <w:rStyle w:val="aa"/>
        </w:rPr>
        <w:footnoteReference w:id="2"/>
      </w:r>
      <w:r>
        <w:t xml:space="preserve"> allowed three appeals by </w:t>
      </w:r>
      <w:r w:rsidRPr="004E3D7B">
        <w:t>Certain Lloyd</w:t>
      </w:r>
      <w:r>
        <w:t>'</w:t>
      </w:r>
      <w:r w:rsidRPr="004E3D7B">
        <w:t>s Underwriters Subscribing to Cont</w:t>
      </w:r>
      <w:r>
        <w:t>r</w:t>
      </w:r>
      <w:r w:rsidRPr="004E3D7B">
        <w:t>act No IH00AAQS</w:t>
      </w:r>
      <w:r>
        <w:rPr>
          <w:b/>
        </w:rPr>
        <w:t xml:space="preserve"> </w:t>
      </w:r>
      <w:r w:rsidRPr="00C87A76">
        <w:t>("</w:t>
      </w:r>
      <w:r>
        <w:t>the insurer") against decisions of the Court of Appeal of New South Wales</w:t>
      </w:r>
      <w:r>
        <w:rPr>
          <w:rStyle w:val="aa"/>
        </w:rPr>
        <w:footnoteReference w:id="3"/>
      </w:r>
      <w:r>
        <w:t xml:space="preserve">.  A provision of the </w:t>
      </w:r>
      <w:r>
        <w:rPr>
          <w:i/>
        </w:rPr>
        <w:t xml:space="preserve">Legal Profession Act </w:t>
      </w:r>
      <w:r>
        <w:t>1987 (NSW) ("the Act") limited the costs that a court could order a party to pay to another if the amount recovered on a claim for personal injury damages did not exceed a specified sum</w:t>
      </w:r>
      <w:r>
        <w:rPr>
          <w:rStyle w:val="aa"/>
        </w:rPr>
        <w:footnoteReference w:id="4"/>
      </w:r>
      <w:r>
        <w:t>.  The Court of Appeal decided, adversely to the insurer, that the respondents' claims for damages in respect of assaults perpetrated on them were not claims for "personal injury damages" within the meaning of the cost limiting provision.</w:t>
      </w:r>
    </w:p>
    <w:p w14:paraId="4727AD04" w14:textId="77777777" w:rsidR="00F82E83" w:rsidRDefault="00F82E83" w:rsidP="00F82E83">
      <w:pPr>
        <w:pStyle w:val="ad"/>
        <w:numPr>
          <w:ilvl w:val="0"/>
          <w:numId w:val="2"/>
        </w:numPr>
        <w:tabs>
          <w:tab w:val="clear" w:pos="360"/>
        </w:tabs>
        <w:ind w:left="0" w:hanging="720"/>
      </w:pPr>
      <w:r w:rsidRPr="0035782E">
        <w:tab/>
      </w:r>
      <w:r>
        <w:t>A judge of the District Court of New South Wales had decided in favour of the insurer that the cost limiting provision did apply.  The order of the District Court in each case had been:</w:t>
      </w:r>
    </w:p>
    <w:p w14:paraId="58253E81" w14:textId="77777777" w:rsidR="00F82E83" w:rsidRDefault="00F82E83" w:rsidP="001512E3">
      <w:pPr>
        <w:pStyle w:val="LeftrightHanging"/>
      </w:pPr>
      <w:r>
        <w:t>"1.</w:t>
      </w:r>
      <w:r>
        <w:tab/>
        <w:t xml:space="preserve">The Defendant [insurer] is to pay the Plaintiff's legal costs from 12 July 2005.  Those legal costs are subject to s 198D of </w:t>
      </w:r>
      <w:r w:rsidRPr="001511CF">
        <w:t>the Legal Profession Act 1987</w:t>
      </w:r>
      <w:r>
        <w:t>.</w:t>
      </w:r>
    </w:p>
    <w:p w14:paraId="27DBC2B7" w14:textId="77777777" w:rsidR="00F82E83" w:rsidRPr="00DD3D85" w:rsidRDefault="00F82E83" w:rsidP="001512E3">
      <w:pPr>
        <w:pStyle w:val="LeftrightHanging"/>
      </w:pPr>
      <w:r>
        <w:t>2.</w:t>
      </w:r>
      <w:r>
        <w:tab/>
        <w:t xml:space="preserve">Judgment reserved on the costs previously reserved." </w:t>
      </w:r>
    </w:p>
    <w:p w14:paraId="34C9B6E1" w14:textId="77777777" w:rsidR="00F82E83" w:rsidRDefault="00F82E83" w:rsidP="00F82E83">
      <w:pPr>
        <w:pStyle w:val="ad"/>
        <w:numPr>
          <w:ilvl w:val="0"/>
          <w:numId w:val="2"/>
        </w:numPr>
        <w:tabs>
          <w:tab w:val="clear" w:pos="360"/>
        </w:tabs>
        <w:ind w:left="0" w:hanging="720"/>
      </w:pPr>
      <w:r w:rsidRPr="0035782E">
        <w:tab/>
      </w:r>
      <w:r>
        <w:t xml:space="preserve">On appeal, the Court of Appeal ordered that, in respect of each of the respondents (who were applicants for leave to appeal in that Court): </w:t>
      </w:r>
    </w:p>
    <w:p w14:paraId="3979ABC2" w14:textId="77777777" w:rsidR="00F82E83" w:rsidRDefault="00F82E83" w:rsidP="001512E3">
      <w:pPr>
        <w:pStyle w:val="LeftrightHanging"/>
      </w:pPr>
      <w:r>
        <w:t>"1.</w:t>
      </w:r>
      <w:r>
        <w:tab/>
        <w:t>Grant the applicants an extension of time to 24 September 2010 to file applications for leave to appeal.</w:t>
      </w:r>
    </w:p>
    <w:p w14:paraId="0BBEF909" w14:textId="77777777" w:rsidR="00F82E83" w:rsidRDefault="00F82E83" w:rsidP="001512E3">
      <w:pPr>
        <w:pStyle w:val="LeftrightHanging"/>
      </w:pPr>
      <w:r>
        <w:t>2.</w:t>
      </w:r>
      <w:r>
        <w:tab/>
        <w:t>In respect of each, grant leave to appeal.</w:t>
      </w:r>
    </w:p>
    <w:p w14:paraId="386493A7" w14:textId="77777777" w:rsidR="00F82E83" w:rsidRDefault="00F82E83" w:rsidP="001512E3">
      <w:pPr>
        <w:pStyle w:val="LeftrightHanging"/>
      </w:pPr>
      <w:r>
        <w:t>3.</w:t>
      </w:r>
      <w:r>
        <w:tab/>
        <w:t xml:space="preserve">Direct that the applicants file within 14 days notices of appeal in accordance with the draft notices contained in the Court file. </w:t>
      </w:r>
    </w:p>
    <w:p w14:paraId="05814F27" w14:textId="77777777" w:rsidR="00F82E83" w:rsidRDefault="00F82E83" w:rsidP="001512E3">
      <w:pPr>
        <w:pStyle w:val="LeftrightHanging"/>
      </w:pPr>
      <w:r>
        <w:t>4.</w:t>
      </w:r>
      <w:r>
        <w:tab/>
        <w:t xml:space="preserve">Set aside the second order made by the District Court on 22 April 2010 declaring that the legal costs are subject to s 198D of the </w:t>
      </w:r>
      <w:r w:rsidRPr="001511CF">
        <w:t>Legal Profession Act 1987</w:t>
      </w:r>
      <w:r>
        <w:t xml:space="preserve">. </w:t>
      </w:r>
    </w:p>
    <w:p w14:paraId="4CC64AB5" w14:textId="77777777" w:rsidR="00F82E83" w:rsidRPr="00EE5FCD" w:rsidRDefault="00F82E83" w:rsidP="001512E3">
      <w:pPr>
        <w:pStyle w:val="LeftrightHanging"/>
        <w:rPr>
          <w:i/>
        </w:rPr>
      </w:pPr>
      <w:r>
        <w:t>5.</w:t>
      </w:r>
      <w:r>
        <w:tab/>
        <w:t xml:space="preserve">Declare that the legal costs incurred by the plaintiffs to be paid by the defendants in accordance with order 1 made by the District Court on 22 April 2010 are not subject to s 198D of the </w:t>
      </w:r>
      <w:r w:rsidRPr="001511CF">
        <w:t xml:space="preserve">Legal </w:t>
      </w:r>
      <w:r w:rsidRPr="001511CF">
        <w:lastRenderedPageBreak/>
        <w:t>Profession Act 1987</w:t>
      </w:r>
      <w:r>
        <w:t xml:space="preserve">, nor subject to s 338 of the </w:t>
      </w:r>
      <w:r w:rsidRPr="001511CF">
        <w:t>Legal Profession Act 2004</w:t>
      </w:r>
      <w:r>
        <w:rPr>
          <w:i/>
        </w:rPr>
        <w:t>.</w:t>
      </w:r>
    </w:p>
    <w:p w14:paraId="6E2CDCCA" w14:textId="77777777" w:rsidR="00F82E83" w:rsidRDefault="00F82E83" w:rsidP="001512E3">
      <w:pPr>
        <w:pStyle w:val="LeftrightHanging"/>
      </w:pPr>
      <w:r>
        <w:t>6.</w:t>
      </w:r>
      <w:r>
        <w:tab/>
        <w:t>Order that [the] respondents (sic) [</w:t>
      </w:r>
      <w:proofErr w:type="spellStart"/>
      <w:r>
        <w:t>ie</w:t>
      </w:r>
      <w:proofErr w:type="spellEnd"/>
      <w:r>
        <w:t xml:space="preserve"> the insurer] pay the applicants' costs in this Court. </w:t>
      </w:r>
    </w:p>
    <w:p w14:paraId="4A1F25D2" w14:textId="77777777" w:rsidR="00F82E83" w:rsidRPr="00DD3D85" w:rsidRDefault="00F82E83" w:rsidP="001512E3">
      <w:pPr>
        <w:pStyle w:val="LeftrightHanging"/>
      </w:pPr>
      <w:r>
        <w:t>7.</w:t>
      </w:r>
      <w:r>
        <w:tab/>
        <w:t xml:space="preserve">If not disqualified pursuant to s 6(7) of the </w:t>
      </w:r>
      <w:r w:rsidRPr="001511CF">
        <w:t>Suitors</w:t>
      </w:r>
      <w:r>
        <w:t>'</w:t>
      </w:r>
      <w:r w:rsidRPr="001511CF">
        <w:t xml:space="preserve"> Fund Act 1951 </w:t>
      </w:r>
      <w:r>
        <w:t>(NSW), grant the respondents (sic) [</w:t>
      </w:r>
      <w:proofErr w:type="spellStart"/>
      <w:r>
        <w:t>ie</w:t>
      </w:r>
      <w:proofErr w:type="spellEnd"/>
      <w:r>
        <w:t xml:space="preserve"> the insurer] a certificate under that Act in respect of the costs of the appeals."</w:t>
      </w:r>
    </w:p>
    <w:p w14:paraId="27FACD9F" w14:textId="77777777" w:rsidR="00F82E83" w:rsidRDefault="00F82E83" w:rsidP="00F82E83">
      <w:pPr>
        <w:pStyle w:val="ad"/>
        <w:numPr>
          <w:ilvl w:val="0"/>
          <w:numId w:val="2"/>
        </w:numPr>
        <w:tabs>
          <w:tab w:val="clear" w:pos="360"/>
        </w:tabs>
        <w:ind w:left="0" w:hanging="720"/>
      </w:pPr>
      <w:r w:rsidRPr="0035782E">
        <w:tab/>
      </w:r>
      <w:r>
        <w:t xml:space="preserve">This Court granted special leave to appeal to the insurer </w:t>
      </w:r>
      <w:r w:rsidRPr="00DD3D85">
        <w:t xml:space="preserve">in </w:t>
      </w:r>
      <w:r w:rsidRPr="004E3D7B">
        <w:t xml:space="preserve">each case </w:t>
      </w:r>
      <w:r>
        <w:t xml:space="preserve">in the following terms: </w:t>
      </w:r>
    </w:p>
    <w:p w14:paraId="5BAF088E" w14:textId="77777777" w:rsidR="00F82E83" w:rsidRDefault="00F82E83" w:rsidP="001512E3">
      <w:pPr>
        <w:pStyle w:val="LeftrightHanging"/>
      </w:pPr>
      <w:r>
        <w:t xml:space="preserve">"UPON AN UNDERTAKING: </w:t>
      </w:r>
    </w:p>
    <w:p w14:paraId="64E8077A" w14:textId="77777777" w:rsidR="00F82E83" w:rsidRDefault="00F82E83" w:rsidP="001512E3">
      <w:pPr>
        <w:pStyle w:val="LeftrightHanging"/>
      </w:pPr>
      <w:r>
        <w:t>1.</w:t>
      </w:r>
      <w:r>
        <w:tab/>
        <w:t>By the Applicant that it will pay the Respondent's costs of the application and appeal in any event.</w:t>
      </w:r>
    </w:p>
    <w:p w14:paraId="3473AFA2" w14:textId="77777777" w:rsidR="00F82E83" w:rsidRDefault="00F82E83" w:rsidP="001512E3">
      <w:pPr>
        <w:pStyle w:val="LeftrightHanging"/>
      </w:pPr>
      <w:r>
        <w:t>THE COURT ORDERS THAT:</w:t>
      </w:r>
    </w:p>
    <w:p w14:paraId="5525AB4C" w14:textId="77777777" w:rsidR="00F82E83" w:rsidRDefault="00F82E83" w:rsidP="001512E3">
      <w:pPr>
        <w:pStyle w:val="LeftrightHanging"/>
      </w:pPr>
      <w:r>
        <w:t>1.</w:t>
      </w:r>
      <w:r>
        <w:tab/>
        <w:t>Special leave be granted to the Applicant to appeal to this Court from the whole of the judgment and order of the New South Wales Court of Appeal given and made on 1 June 2011 in proceeding no CA 2009 [followed by each proceeding number]."</w:t>
      </w:r>
    </w:p>
    <w:p w14:paraId="21296D76" w14:textId="77777777" w:rsidR="00F82E83" w:rsidRPr="00821947" w:rsidRDefault="00F82E83" w:rsidP="001512E3">
      <w:pPr>
        <w:pStyle w:val="NormalBody"/>
      </w:pPr>
      <w:r>
        <w:t>The undertaking upon which special leave was granted was in terms sought by the respondents in their written submissions in the special leave applications.  The insurer agreed to that undertaking at the special leave hearing</w:t>
      </w:r>
      <w:r>
        <w:rPr>
          <w:rStyle w:val="aa"/>
        </w:rPr>
        <w:footnoteReference w:id="5"/>
      </w:r>
      <w:r>
        <w:t>.</w:t>
      </w:r>
    </w:p>
    <w:p w14:paraId="4D58FC17" w14:textId="77777777" w:rsidR="00F82E83" w:rsidRDefault="00F82E83" w:rsidP="00F82E83">
      <w:pPr>
        <w:pStyle w:val="ad"/>
        <w:numPr>
          <w:ilvl w:val="0"/>
          <w:numId w:val="2"/>
        </w:numPr>
        <w:tabs>
          <w:tab w:val="clear" w:pos="360"/>
        </w:tabs>
        <w:ind w:left="0" w:hanging="720"/>
      </w:pPr>
      <w:r w:rsidRPr="0035782E">
        <w:tab/>
      </w:r>
      <w:r>
        <w:t xml:space="preserve">In each notice of appeal to this Court, the insurer sought an order that: </w:t>
      </w:r>
    </w:p>
    <w:p w14:paraId="69CBEF58" w14:textId="77777777" w:rsidR="00F82E83" w:rsidRPr="00DD3D85" w:rsidRDefault="00F82E83" w:rsidP="001512E3">
      <w:pPr>
        <w:pStyle w:val="LeftrightafterHC"/>
      </w:pPr>
      <w:r>
        <w:t>"orders (4) to (7) made on 1 June 2011 by the Court of Appeal of the Supreme Court of New South Wales be set aside and in lieu thereof an order that the appeal to the Court of Appeal of the Supreme Court of New South Wales be dismissed with costs."</w:t>
      </w:r>
    </w:p>
    <w:p w14:paraId="4FA9FFE0" w14:textId="77777777" w:rsidR="00F82E83" w:rsidRDefault="00F82E83" w:rsidP="001512E3">
      <w:pPr>
        <w:pStyle w:val="NormalBody"/>
      </w:pPr>
      <w:r>
        <w:t xml:space="preserve">An order in those terms would have set aside the costs order in </w:t>
      </w:r>
      <w:proofErr w:type="spellStart"/>
      <w:r>
        <w:t>favour</w:t>
      </w:r>
      <w:proofErr w:type="spellEnd"/>
      <w:r>
        <w:t xml:space="preserve"> of the respondents in the Court of Appeal set out in par 6 of that Court's orders.</w:t>
      </w:r>
    </w:p>
    <w:p w14:paraId="47CA0659" w14:textId="77777777" w:rsidR="00F82E83" w:rsidRDefault="00F82E83" w:rsidP="00F82E83">
      <w:pPr>
        <w:pStyle w:val="ad"/>
        <w:numPr>
          <w:ilvl w:val="0"/>
          <w:numId w:val="2"/>
        </w:numPr>
        <w:tabs>
          <w:tab w:val="clear" w:pos="360"/>
        </w:tabs>
        <w:ind w:left="0" w:hanging="720"/>
      </w:pPr>
      <w:r w:rsidRPr="0035782E">
        <w:tab/>
      </w:r>
      <w:r>
        <w:t xml:space="preserve">There were no submissions as to the costs generally nor the costs in the Court of Appeal on the hearing of the appeal to this Court.  In delivering judgment in favour of the insurer, this Court made the following orders in each appeal: </w:t>
      </w:r>
    </w:p>
    <w:p w14:paraId="2C62533C" w14:textId="77777777" w:rsidR="00F82E83" w:rsidRDefault="00F82E83" w:rsidP="001512E3">
      <w:pPr>
        <w:pStyle w:val="LeftrightHanging"/>
      </w:pPr>
      <w:r>
        <w:lastRenderedPageBreak/>
        <w:t>"1.</w:t>
      </w:r>
      <w:r>
        <w:tab/>
        <w:t xml:space="preserve">Appeal allowed. </w:t>
      </w:r>
    </w:p>
    <w:p w14:paraId="531FE289" w14:textId="77777777" w:rsidR="00F82E83" w:rsidRDefault="00F82E83" w:rsidP="001512E3">
      <w:pPr>
        <w:pStyle w:val="LeftrightHanging"/>
      </w:pPr>
      <w:r>
        <w:t>2.</w:t>
      </w:r>
      <w:r>
        <w:tab/>
        <w:t xml:space="preserve">Set aside paragraphs 4 and 5 of the order of the Court of Appeal of the Supreme Court of New South Wales made on 1 June 2011, and, in their place, order that the appeal to that Court be dismissed. </w:t>
      </w:r>
    </w:p>
    <w:p w14:paraId="09429563" w14:textId="77777777" w:rsidR="00F82E83" w:rsidRDefault="00F82E83" w:rsidP="001512E3">
      <w:pPr>
        <w:pStyle w:val="LeftrightHanging"/>
      </w:pPr>
      <w:r>
        <w:t>3.</w:t>
      </w:r>
      <w:r>
        <w:tab/>
        <w:t>Appellants to pay the respondent's costs of the appeal to this Court."</w:t>
      </w:r>
    </w:p>
    <w:p w14:paraId="5A69B4DB" w14:textId="77777777" w:rsidR="00F82E83" w:rsidRDefault="00F82E83" w:rsidP="001512E3">
      <w:pPr>
        <w:pStyle w:val="NormalBody"/>
      </w:pPr>
      <w:r>
        <w:t xml:space="preserve">As appears from the above, this Court did not set aside par 6 of the orders of the Court of Appeal </w:t>
      </w:r>
      <w:r w:rsidRPr="004E3D7B">
        <w:t>in each case</w:t>
      </w:r>
      <w:r>
        <w:rPr>
          <w:b/>
        </w:rPr>
        <w:t xml:space="preserve"> </w:t>
      </w:r>
      <w:r>
        <w:t xml:space="preserve">and therefore did not disturb the costs orders made in </w:t>
      </w:r>
      <w:proofErr w:type="spellStart"/>
      <w:r>
        <w:t>favour</w:t>
      </w:r>
      <w:proofErr w:type="spellEnd"/>
      <w:r>
        <w:t xml:space="preserve"> of the respondents by that Court.</w:t>
      </w:r>
    </w:p>
    <w:p w14:paraId="244C10C0" w14:textId="77777777" w:rsidR="00F82E83" w:rsidRDefault="00F82E83" w:rsidP="00F82E83">
      <w:pPr>
        <w:pStyle w:val="ad"/>
        <w:numPr>
          <w:ilvl w:val="0"/>
          <w:numId w:val="2"/>
        </w:numPr>
        <w:tabs>
          <w:tab w:val="clear" w:pos="360"/>
        </w:tabs>
        <w:ind w:left="0" w:hanging="720"/>
      </w:pPr>
      <w:r w:rsidRPr="0035782E">
        <w:tab/>
      </w:r>
      <w:r>
        <w:t xml:space="preserve">By summonses filed on 6 October 2015, the insurer </w:t>
      </w:r>
      <w:r w:rsidRPr="004E3D7B">
        <w:t>sought,</w:t>
      </w:r>
      <w:r>
        <w:t xml:space="preserve"> inter alia, orders that pars 4, 5 and 6 of the orders of the Court of Appeal be set aside and that the respondents pay the insurer's costs of each appeal to that Court.  Alternatively, the </w:t>
      </w:r>
      <w:r w:rsidRPr="004E3D7B">
        <w:t>insurer sought</w:t>
      </w:r>
      <w:r>
        <w:rPr>
          <w:b/>
        </w:rPr>
        <w:t xml:space="preserve"> </w:t>
      </w:r>
      <w:r>
        <w:t xml:space="preserve">an order that there be no order as to costs in the Court of Appeal with the intent that each party bear its own costs of each appeal to that Court. </w:t>
      </w:r>
    </w:p>
    <w:p w14:paraId="152B4B67" w14:textId="77777777" w:rsidR="00F82E83" w:rsidRDefault="00F82E83" w:rsidP="00F82E83">
      <w:pPr>
        <w:pStyle w:val="ad"/>
        <w:numPr>
          <w:ilvl w:val="0"/>
          <w:numId w:val="2"/>
        </w:numPr>
        <w:tabs>
          <w:tab w:val="clear" w:pos="360"/>
        </w:tabs>
        <w:ind w:left="0" w:hanging="720"/>
      </w:pPr>
      <w:r w:rsidRPr="0035782E">
        <w:tab/>
      </w:r>
      <w:r>
        <w:t>In each case the application on the summons is made pursuant to r 3.01.2 of the High Court Rules 2004 (</w:t>
      </w:r>
      <w:proofErr w:type="spellStart"/>
      <w:r>
        <w:t>Cth</w:t>
      </w:r>
      <w:proofErr w:type="spellEnd"/>
      <w:r>
        <w:t xml:space="preserve">).  That rule provides: </w:t>
      </w:r>
    </w:p>
    <w:p w14:paraId="38F863FE" w14:textId="77777777" w:rsidR="00F82E83" w:rsidRDefault="00F82E83" w:rsidP="001512E3">
      <w:pPr>
        <w:pStyle w:val="LeftrightafterHC"/>
      </w:pPr>
      <w:r>
        <w:t>"The Court or a Justice may, at any time, correct a clerical mistake in a judgment or order, or an error arising in a judgment or order from any accidental slip or omission."</w:t>
      </w:r>
    </w:p>
    <w:p w14:paraId="2C20DC3E" w14:textId="77777777" w:rsidR="00F82E83" w:rsidRPr="005A3014" w:rsidRDefault="00F82E83" w:rsidP="001512E3">
      <w:pPr>
        <w:pStyle w:val="NormalBody"/>
        <w:rPr>
          <w:strike/>
        </w:rPr>
      </w:pPr>
      <w:r>
        <w:t xml:space="preserve">Relevant to the application of that rule are observations which were made in </w:t>
      </w:r>
      <w:r>
        <w:rPr>
          <w:i/>
        </w:rPr>
        <w:t>Burrell v The Queen</w:t>
      </w:r>
      <w:r w:rsidRPr="00E96C9F">
        <w:rPr>
          <w:rStyle w:val="aa"/>
        </w:rPr>
        <w:footnoteReference w:id="6"/>
      </w:r>
      <w:r>
        <w:t xml:space="preserve"> which were quoted more recently in </w:t>
      </w:r>
      <w:proofErr w:type="spellStart"/>
      <w:r>
        <w:rPr>
          <w:i/>
        </w:rPr>
        <w:t>Achurch</w:t>
      </w:r>
      <w:proofErr w:type="spellEnd"/>
      <w:r>
        <w:rPr>
          <w:i/>
        </w:rPr>
        <w:t xml:space="preserve"> v The Queen</w:t>
      </w:r>
      <w:r w:rsidRPr="000F4BC3">
        <w:rPr>
          <w:rStyle w:val="aa"/>
        </w:rPr>
        <w:footnoteReference w:id="7"/>
      </w:r>
      <w:r>
        <w:t>.  In the latter judgment reference was made to the slip rule as an aspect of the inherent or implied powers allowing for limited correction of an order after its final entry</w:t>
      </w:r>
      <w:r>
        <w:rPr>
          <w:rStyle w:val="aa"/>
        </w:rPr>
        <w:footnoteReference w:id="8"/>
      </w:r>
      <w:r>
        <w:t xml:space="preserve">, as explained in </w:t>
      </w:r>
      <w:r>
        <w:rPr>
          <w:i/>
        </w:rPr>
        <w:t>Burrell</w:t>
      </w:r>
      <w:r w:rsidRPr="00D059FC">
        <w:rPr>
          <w:rStyle w:val="aa"/>
        </w:rPr>
        <w:footnoteReference w:id="9"/>
      </w:r>
      <w:r>
        <w:t>:</w:t>
      </w:r>
    </w:p>
    <w:p w14:paraId="03AE0F9E" w14:textId="77777777" w:rsidR="00F82E83" w:rsidRDefault="00F82E83" w:rsidP="001512E3">
      <w:pPr>
        <w:pStyle w:val="LRIndentafterHC"/>
      </w:pPr>
      <w:r>
        <w:t xml:space="preserve">"The power to correct the record so that it truly does represent what the court pronounced or intended to pronounce as its order provides no substantial qualification to that rule.  The power to correct an error arising </w:t>
      </w:r>
      <w:r>
        <w:lastRenderedPageBreak/>
        <w:t>from accidental slip or omission, whether under a specific rule of court or otherwise, directs attention to what the court whose record is to be corrected did or intended to do.  It does not permit reconsideration, let alone alteration, of the substance of the result that was reached and recorded."  (footnote omitted)</w:t>
      </w:r>
    </w:p>
    <w:p w14:paraId="4799D2C0" w14:textId="77777777" w:rsidR="00F82E83" w:rsidRPr="00CC07B2" w:rsidRDefault="00F82E83" w:rsidP="001512E3">
      <w:pPr>
        <w:pStyle w:val="NormalBody"/>
      </w:pPr>
      <w:r>
        <w:t>The power has been described in this Court as "one to be exercised sparingly, lest it encourage carelessness by a party's legal representatives and expose to risk the public interest in finality of litigation"</w:t>
      </w:r>
      <w:r>
        <w:rPr>
          <w:rStyle w:val="aa"/>
        </w:rPr>
        <w:footnoteReference w:id="10"/>
      </w:r>
      <w:r>
        <w:t>.</w:t>
      </w:r>
    </w:p>
    <w:p w14:paraId="7336EBFC" w14:textId="77777777" w:rsidR="00F82E83" w:rsidRDefault="00F82E83" w:rsidP="00F82E83">
      <w:pPr>
        <w:pStyle w:val="ad"/>
        <w:numPr>
          <w:ilvl w:val="0"/>
          <w:numId w:val="2"/>
        </w:numPr>
        <w:tabs>
          <w:tab w:val="clear" w:pos="360"/>
        </w:tabs>
        <w:ind w:left="0" w:hanging="720"/>
      </w:pPr>
      <w:r w:rsidRPr="0035782E">
        <w:tab/>
      </w:r>
      <w:r>
        <w:t xml:space="preserve">The insurer submitted that the principle that the costs of a successful party should be paid by the unsuccessful party should not have been disturbed in relation to the costs of the proceedings in the Court of Appeal.  The general issue of the application of that principle is not in issue.  However, in test cases, as the present cases were, it is not unusual to find special leave to appeal granted on the basis that the </w:t>
      </w:r>
      <w:r w:rsidRPr="005A3014">
        <w:t xml:space="preserve">applicant </w:t>
      </w:r>
      <w:r>
        <w:t xml:space="preserve">will not seek to disturb the orders as to costs already made in the court appealed from, </w:t>
      </w:r>
      <w:r w:rsidRPr="005A3014">
        <w:t>or orders made to that effect</w:t>
      </w:r>
      <w:r w:rsidRPr="00C87A76">
        <w:rPr>
          <w:rStyle w:val="aa"/>
        </w:rPr>
        <w:footnoteReference w:id="11"/>
      </w:r>
      <w:r w:rsidRPr="005A3014">
        <w:t xml:space="preserve">.  </w:t>
      </w:r>
      <w:r>
        <w:t>No such undertaking was proffered in these cases.  However, given the character of the appeals to this Court as test cases, the absence of an order setting aside the costs orders in the Court of Appeal was not, on its face, the result of an error of the kind suggested by the insurer as attracting the application of r 3.01.2.</w:t>
      </w:r>
    </w:p>
    <w:p w14:paraId="1D081364" w14:textId="77777777" w:rsidR="00F82E83" w:rsidRPr="005A3014" w:rsidRDefault="00F82E83" w:rsidP="00F82E83">
      <w:pPr>
        <w:pStyle w:val="ad"/>
        <w:numPr>
          <w:ilvl w:val="0"/>
          <w:numId w:val="2"/>
        </w:numPr>
        <w:tabs>
          <w:tab w:val="clear" w:pos="360"/>
        </w:tabs>
        <w:ind w:left="0" w:hanging="720"/>
      </w:pPr>
      <w:r w:rsidRPr="0035782E">
        <w:tab/>
      </w:r>
      <w:r w:rsidRPr="005A3014">
        <w:t>Another aspect of the insurer's submissions was that no argument about the costs in the Court of Appeal was put to this Court.  To the extent that that is a complaint about the orders ultimately made in this Court, it does not establish the existence of an error or omis</w:t>
      </w:r>
      <w:r>
        <w:t>sion of the kind referred to in r </w:t>
      </w:r>
      <w:r w:rsidRPr="005A3014">
        <w:t>3.01.2.</w:t>
      </w:r>
    </w:p>
    <w:p w14:paraId="59DCAC15" w14:textId="77777777" w:rsidR="00F82E83" w:rsidRDefault="00F82E83" w:rsidP="00F82E83">
      <w:pPr>
        <w:pStyle w:val="ad"/>
        <w:numPr>
          <w:ilvl w:val="0"/>
          <w:numId w:val="2"/>
        </w:numPr>
        <w:tabs>
          <w:tab w:val="clear" w:pos="360"/>
        </w:tabs>
        <w:ind w:left="0" w:hanging="720"/>
      </w:pPr>
      <w:r w:rsidRPr="0035782E">
        <w:tab/>
      </w:r>
      <w:r>
        <w:t xml:space="preserve">In the present case it would have been appropriate for the insurer to have moved promptly to correct the allegedly erroneous failure to set aside the costs orders in the Court of Appeal.  That there has been a long history of disputation between the parties in relation to the costs in that Court subsequently does not explain the insurer's failure to seek early correction of what it characterises as an error arising from an accidental slip or omission in the orders made pursuant to the judgment of this Court. </w:t>
      </w:r>
    </w:p>
    <w:p w14:paraId="01C289C9" w14:textId="77777777" w:rsidR="00F82E83" w:rsidRPr="004D7AB8" w:rsidRDefault="00F82E83" w:rsidP="00F82E83">
      <w:pPr>
        <w:pStyle w:val="ad"/>
        <w:numPr>
          <w:ilvl w:val="0"/>
          <w:numId w:val="2"/>
        </w:numPr>
        <w:tabs>
          <w:tab w:val="clear" w:pos="360"/>
        </w:tabs>
        <w:ind w:left="0" w:hanging="720"/>
      </w:pPr>
      <w:r w:rsidRPr="0035782E">
        <w:tab/>
      </w:r>
      <w:r>
        <w:t xml:space="preserve">In my opinion, the absence of an order setting aside the costs orders in the Court of Appeal cannot be judged, at this remove in time, as an error of the kind covered by r 3.01.2.  In the event, each summons will be dismissed with costs.  I </w:t>
      </w:r>
      <w:r>
        <w:lastRenderedPageBreak/>
        <w:t>do not accede to the respondents' application that there be an order for indemnity costs on the summonses.</w:t>
      </w:r>
    </w:p>
    <w:p w14:paraId="1F2C8391" w14:textId="77777777" w:rsidR="00452324" w:rsidRDefault="00452324">
      <w:pPr>
        <w:pStyle w:val="a6"/>
        <w:tabs>
          <w:tab w:val="clear" w:pos="510"/>
          <w:tab w:val="clear" w:pos="1021"/>
          <w:tab w:val="clear" w:pos="1559"/>
          <w:tab w:val="clear" w:pos="2126"/>
          <w:tab w:val="clear" w:pos="2693"/>
          <w:tab w:val="clear" w:pos="4153"/>
          <w:tab w:val="clear" w:pos="8306"/>
        </w:tabs>
        <w:jc w:val="left"/>
      </w:pPr>
    </w:p>
    <w:sectPr w:rsidR="00452324" w:rsidSect="001512E3">
      <w:headerReference w:type="even" r:id="rId14"/>
      <w:headerReference w:type="default" r:id="rId15"/>
      <w:headerReference w:type="first" r:id="rId16"/>
      <w:footerReference w:type="first" r:id="rId17"/>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0D4D" w14:textId="77777777" w:rsidR="00FC1B02" w:rsidRDefault="00FC1B02">
      <w:pPr>
        <w:spacing w:line="240" w:lineRule="auto"/>
      </w:pPr>
      <w:r>
        <w:separator/>
      </w:r>
    </w:p>
  </w:endnote>
  <w:endnote w:type="continuationSeparator" w:id="0">
    <w:p w14:paraId="02CCA9B3" w14:textId="77777777" w:rsidR="00FC1B02" w:rsidRDefault="00FC1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0590" w14:textId="77777777" w:rsidR="005A7EA5" w:rsidRDefault="005A7EA5">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31F4" w14:textId="77777777" w:rsidR="001512E3" w:rsidRDefault="001512E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1DF7" w14:textId="77777777" w:rsidR="00FC1B02" w:rsidRPr="006C1802" w:rsidRDefault="00FC1B02" w:rsidP="00BB06A8">
      <w:pPr>
        <w:ind w:firstLine="0"/>
      </w:pPr>
      <w:r>
        <w:continuationSeparator/>
      </w:r>
    </w:p>
  </w:footnote>
  <w:footnote w:type="continuationSeparator" w:id="0">
    <w:p w14:paraId="6943C802" w14:textId="77777777" w:rsidR="00FC1B02" w:rsidRPr="00452324" w:rsidRDefault="00FC1B02" w:rsidP="00452324">
      <w:pPr>
        <w:ind w:firstLine="0"/>
      </w:pPr>
      <w:r>
        <w:continuationSeparator/>
      </w:r>
    </w:p>
  </w:footnote>
  <w:footnote w:type="continuationNotice" w:id="1">
    <w:p w14:paraId="4E22232E" w14:textId="77777777" w:rsidR="00FC1B02" w:rsidRDefault="00FC1B02">
      <w:pPr>
        <w:jc w:val="right"/>
      </w:pPr>
      <w:r>
        <w:t>(Footnote continues on next page)</w:t>
      </w:r>
    </w:p>
  </w:footnote>
  <w:footnote w:id="2">
    <w:p w14:paraId="58B9C65C" w14:textId="77777777" w:rsidR="00000000" w:rsidRDefault="00F82E83" w:rsidP="001512E3">
      <w:pPr>
        <w:pStyle w:val="a8"/>
      </w:pPr>
      <w:r w:rsidRPr="00DD3D85">
        <w:rPr>
          <w:rStyle w:val="aa"/>
          <w:sz w:val="22"/>
          <w:vertAlign w:val="baseline"/>
        </w:rPr>
        <w:footnoteRef/>
      </w:r>
      <w:r w:rsidRPr="00DD3D85">
        <w:t xml:space="preserve"> </w:t>
      </w:r>
      <w:r w:rsidRPr="00DD3D85">
        <w:tab/>
      </w:r>
      <w:r w:rsidRPr="00DD3D85">
        <w:rPr>
          <w:i/>
        </w:rPr>
        <w:t>Certain Lloyd's Underwriters v Cross</w:t>
      </w:r>
      <w:r w:rsidRPr="00DD3D85">
        <w:t xml:space="preserve"> (2012) 248 CLR 378; [2012] HCA 56.</w:t>
      </w:r>
    </w:p>
  </w:footnote>
  <w:footnote w:id="3">
    <w:p w14:paraId="69FBACFB" w14:textId="77777777" w:rsidR="00000000" w:rsidRDefault="00F82E83" w:rsidP="001512E3">
      <w:pPr>
        <w:pStyle w:val="a8"/>
      </w:pPr>
      <w:r w:rsidRPr="00DD3D85">
        <w:rPr>
          <w:rStyle w:val="aa"/>
          <w:sz w:val="22"/>
          <w:vertAlign w:val="baseline"/>
        </w:rPr>
        <w:footnoteRef/>
      </w:r>
      <w:r w:rsidRPr="00DD3D85">
        <w:t xml:space="preserve"> </w:t>
      </w:r>
      <w:r w:rsidRPr="00DD3D85">
        <w:tab/>
      </w:r>
      <w:r w:rsidRPr="00DD3D85">
        <w:rPr>
          <w:i/>
        </w:rPr>
        <w:t xml:space="preserve">Cross v Certain Lloyds Underwriters </w:t>
      </w:r>
      <w:r w:rsidRPr="00DD3D85">
        <w:t>[2011] NSWCA 136.</w:t>
      </w:r>
    </w:p>
  </w:footnote>
  <w:footnote w:id="4">
    <w:p w14:paraId="77281928" w14:textId="77777777" w:rsidR="00000000" w:rsidRDefault="00F82E83" w:rsidP="001512E3">
      <w:pPr>
        <w:pStyle w:val="a8"/>
      </w:pPr>
      <w:r w:rsidRPr="00DD3D85">
        <w:rPr>
          <w:rStyle w:val="aa"/>
          <w:sz w:val="22"/>
          <w:vertAlign w:val="baseline"/>
        </w:rPr>
        <w:footnoteRef/>
      </w:r>
      <w:r w:rsidRPr="00DD3D85">
        <w:t xml:space="preserve"> </w:t>
      </w:r>
      <w:r w:rsidRPr="00DD3D85">
        <w:tab/>
        <w:t>Act, s 198D.</w:t>
      </w:r>
    </w:p>
  </w:footnote>
  <w:footnote w:id="5">
    <w:p w14:paraId="585A1D06" w14:textId="77777777" w:rsidR="00000000" w:rsidRDefault="00F82E83" w:rsidP="001512E3">
      <w:pPr>
        <w:pStyle w:val="a8"/>
      </w:pPr>
      <w:r w:rsidRPr="00DD3D85">
        <w:rPr>
          <w:rStyle w:val="aa"/>
          <w:sz w:val="22"/>
          <w:vertAlign w:val="baseline"/>
        </w:rPr>
        <w:footnoteRef/>
      </w:r>
      <w:r w:rsidRPr="00DD3D85">
        <w:t xml:space="preserve"> </w:t>
      </w:r>
      <w:r w:rsidRPr="00DD3D85">
        <w:tab/>
        <w:t>[2011] HCATrans 340.</w:t>
      </w:r>
    </w:p>
  </w:footnote>
  <w:footnote w:id="6">
    <w:p w14:paraId="14185503" w14:textId="77777777" w:rsidR="00000000" w:rsidRDefault="00F82E83" w:rsidP="001512E3">
      <w:pPr>
        <w:pStyle w:val="a8"/>
      </w:pPr>
      <w:r w:rsidRPr="00DD3D85">
        <w:rPr>
          <w:rStyle w:val="aa"/>
          <w:sz w:val="22"/>
          <w:vertAlign w:val="baseline"/>
        </w:rPr>
        <w:footnoteRef/>
      </w:r>
      <w:r w:rsidRPr="00DD3D85">
        <w:t xml:space="preserve"> </w:t>
      </w:r>
      <w:r w:rsidRPr="00DD3D85">
        <w:tab/>
        <w:t>(2008) 238 CLR 218; [2008] HCA 34.</w:t>
      </w:r>
    </w:p>
  </w:footnote>
  <w:footnote w:id="7">
    <w:p w14:paraId="048201CD" w14:textId="77777777" w:rsidR="00000000" w:rsidRDefault="00F82E83" w:rsidP="001512E3">
      <w:pPr>
        <w:pStyle w:val="a8"/>
      </w:pPr>
      <w:r w:rsidRPr="00DD3D85">
        <w:rPr>
          <w:rStyle w:val="aa"/>
          <w:sz w:val="22"/>
          <w:vertAlign w:val="baseline"/>
        </w:rPr>
        <w:footnoteRef/>
      </w:r>
      <w:r w:rsidRPr="00DD3D85">
        <w:t xml:space="preserve"> </w:t>
      </w:r>
      <w:r w:rsidRPr="00DD3D85">
        <w:tab/>
        <w:t>(2014) 253 CLR 141; [2014] HCA 10.</w:t>
      </w:r>
    </w:p>
  </w:footnote>
  <w:footnote w:id="8">
    <w:p w14:paraId="0A8BC14F" w14:textId="77777777" w:rsidR="00000000" w:rsidRDefault="00F82E83" w:rsidP="001512E3">
      <w:pPr>
        <w:pStyle w:val="a8"/>
      </w:pPr>
      <w:r w:rsidRPr="00DD3D85">
        <w:rPr>
          <w:rStyle w:val="aa"/>
          <w:sz w:val="22"/>
          <w:vertAlign w:val="baseline"/>
        </w:rPr>
        <w:footnoteRef/>
      </w:r>
      <w:r w:rsidRPr="00DD3D85">
        <w:t xml:space="preserve"> </w:t>
      </w:r>
      <w:r w:rsidRPr="00DD3D85">
        <w:tab/>
        <w:t>(2014) 253 CLR 141 at 154 [18] per French CJ, Crennan, Kiefel and Bell JJ.</w:t>
      </w:r>
    </w:p>
  </w:footnote>
  <w:footnote w:id="9">
    <w:p w14:paraId="2E83B124" w14:textId="77777777" w:rsidR="00000000" w:rsidRDefault="00F82E83" w:rsidP="001512E3">
      <w:pPr>
        <w:pStyle w:val="a8"/>
      </w:pPr>
      <w:r w:rsidRPr="00DD3D85">
        <w:rPr>
          <w:rStyle w:val="aa"/>
          <w:sz w:val="22"/>
          <w:vertAlign w:val="baseline"/>
        </w:rPr>
        <w:footnoteRef/>
      </w:r>
      <w:r w:rsidRPr="00DD3D85">
        <w:t xml:space="preserve"> </w:t>
      </w:r>
      <w:r w:rsidRPr="00DD3D85">
        <w:tab/>
        <w:t>(2008) 238 CLR 218 at 224-225 [21]</w:t>
      </w:r>
      <w:r>
        <w:t xml:space="preserve"> per Gummow ACJ, Hayne, Heydon, Crennan and Kiefel JJ</w:t>
      </w:r>
      <w:r w:rsidRPr="00DD3D85">
        <w:t>.</w:t>
      </w:r>
    </w:p>
  </w:footnote>
  <w:footnote w:id="10">
    <w:p w14:paraId="0D2F89D3" w14:textId="77777777" w:rsidR="00000000" w:rsidRDefault="00F82E83" w:rsidP="001512E3">
      <w:pPr>
        <w:pStyle w:val="a8"/>
      </w:pPr>
      <w:r w:rsidRPr="00DD3D85">
        <w:rPr>
          <w:rStyle w:val="aa"/>
          <w:sz w:val="22"/>
          <w:vertAlign w:val="baseline"/>
        </w:rPr>
        <w:footnoteRef/>
      </w:r>
      <w:r w:rsidRPr="00DD3D85">
        <w:t xml:space="preserve"> </w:t>
      </w:r>
      <w:r w:rsidRPr="00DD3D85">
        <w:tab/>
      </w:r>
      <w:r w:rsidRPr="00DD3D85">
        <w:rPr>
          <w:i/>
        </w:rPr>
        <w:t xml:space="preserve">Achurch v The Queen </w:t>
      </w:r>
      <w:r w:rsidRPr="00DD3D85">
        <w:t xml:space="preserve">(2014) 253 CLR 141 at 154 [18] per French CJ, Crennan, Kiefel and Bell JJ quoting </w:t>
      </w:r>
      <w:r w:rsidRPr="00DD3D85">
        <w:rPr>
          <w:i/>
        </w:rPr>
        <w:t xml:space="preserve">Gould v Vaggelas </w:t>
      </w:r>
      <w:r w:rsidRPr="00DD3D85">
        <w:t>(1985) 157 CLR 215 at 275; [1985] HCA 75.</w:t>
      </w:r>
    </w:p>
  </w:footnote>
  <w:footnote w:id="11">
    <w:p w14:paraId="73C70BA9" w14:textId="77777777" w:rsidR="00000000" w:rsidRDefault="00F82E83" w:rsidP="001512E3">
      <w:pPr>
        <w:pStyle w:val="a8"/>
      </w:pPr>
      <w:r w:rsidRPr="00DD3D85">
        <w:rPr>
          <w:rStyle w:val="aa"/>
          <w:sz w:val="22"/>
          <w:vertAlign w:val="baseline"/>
        </w:rPr>
        <w:footnoteRef/>
      </w:r>
      <w:r w:rsidRPr="00DD3D85">
        <w:t xml:space="preserve"> </w:t>
      </w:r>
      <w:r w:rsidRPr="00DD3D85">
        <w:tab/>
      </w:r>
      <w:r w:rsidRPr="00DD3D85">
        <w:rPr>
          <w:i/>
        </w:rPr>
        <w:t xml:space="preserve">CSR Ltd v Eddy </w:t>
      </w:r>
      <w:r w:rsidRPr="00DD3D85">
        <w:t>(2005) 226 CLR 1 at 34–36 [78]–[81] per Gleeson CJ, Gummow and Heydon JJ; [2005] HCA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517D" w14:textId="77777777" w:rsidR="00E92692" w:rsidRDefault="00E92692" w:rsidP="00E92692">
    <w:pPr>
      <w:pStyle w:val="a3"/>
      <w:jc w:val="center"/>
      <w:rPr>
        <w:rStyle w:val="a5"/>
        <w:i w:val="0"/>
      </w:rPr>
    </w:pPr>
  </w:p>
  <w:p w14:paraId="7AEE0984" w14:textId="77777777" w:rsidR="00E92692" w:rsidRDefault="00E92692" w:rsidP="00E92692">
    <w:pPr>
      <w:pStyle w:val="a3"/>
      <w:jc w:val="center"/>
    </w:pPr>
    <w:r>
      <w:rPr>
        <w:rStyle w:val="a5"/>
        <w:i w:val="0"/>
      </w:rPr>
      <w:fldChar w:fldCharType="begin"/>
    </w:r>
    <w:r>
      <w:rPr>
        <w:rStyle w:val="a5"/>
        <w:i w:val="0"/>
      </w:rPr>
      <w:instrText xml:space="preserve">PAGE  </w:instrText>
    </w:r>
    <w:r>
      <w:rPr>
        <w:rStyle w:val="a5"/>
        <w:i w:val="0"/>
      </w:rPr>
      <w:fldChar w:fldCharType="separate"/>
    </w:r>
    <w:r w:rsidR="00B43977">
      <w:rPr>
        <w:rStyle w:val="a5"/>
        <w:i w:val="0"/>
        <w:noProof/>
      </w:rPr>
      <w:t>2</w:t>
    </w:r>
    <w:r>
      <w:rPr>
        <w:rStyle w:val="a5"/>
        <w:i w:val="0"/>
      </w:rPr>
      <w:fldChar w:fldCharType="end"/>
    </w:r>
    <w:r>
      <w:rPr>
        <w:rStyle w:val="a5"/>
        <w:i w:val="0"/>
      </w:rPr>
      <w:t>.</w:t>
    </w:r>
  </w:p>
  <w:p w14:paraId="18EFF661" w14:textId="77777777" w:rsidR="002C6D17" w:rsidRPr="00E92692" w:rsidRDefault="002C6D17" w:rsidP="00E926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8A64" w14:textId="77777777" w:rsidR="00E92692" w:rsidRDefault="00E92692" w:rsidP="00E92692">
    <w:pPr>
      <w:pStyle w:val="a3"/>
      <w:jc w:val="center"/>
      <w:rPr>
        <w:rStyle w:val="a5"/>
        <w:i w:val="0"/>
      </w:rPr>
    </w:pPr>
  </w:p>
  <w:p w14:paraId="18C3E9A2" w14:textId="77777777" w:rsidR="00E92692" w:rsidRDefault="00E92692" w:rsidP="00E92692">
    <w:pPr>
      <w:pStyle w:val="a3"/>
      <w:jc w:val="center"/>
    </w:pPr>
    <w:r>
      <w:rPr>
        <w:rStyle w:val="a5"/>
        <w:i w:val="0"/>
      </w:rPr>
      <w:fldChar w:fldCharType="begin"/>
    </w:r>
    <w:r>
      <w:rPr>
        <w:rStyle w:val="a5"/>
        <w:i w:val="0"/>
      </w:rPr>
      <w:instrText xml:space="preserve">PAGE  </w:instrText>
    </w:r>
    <w:r>
      <w:rPr>
        <w:rStyle w:val="a5"/>
        <w:i w:val="0"/>
      </w:rPr>
      <w:fldChar w:fldCharType="separate"/>
    </w:r>
    <w:r>
      <w:rPr>
        <w:rStyle w:val="a5"/>
        <w:i w:val="0"/>
        <w:noProof/>
      </w:rPr>
      <w:t>3</w:t>
    </w:r>
    <w:r>
      <w:rPr>
        <w:rStyle w:val="a5"/>
        <w:i w:val="0"/>
      </w:rPr>
      <w:fldChar w:fldCharType="end"/>
    </w:r>
    <w:r>
      <w:rPr>
        <w:rStyle w:val="a5"/>
        <w:i w:val="0"/>
      </w:rPr>
      <w:t>.</w:t>
    </w:r>
  </w:p>
  <w:p w14:paraId="2EE6B462" w14:textId="77777777" w:rsidR="002C6D17" w:rsidRPr="00E92692" w:rsidRDefault="002C6D17" w:rsidP="00E926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E51A" w14:textId="77777777" w:rsidR="00B43977" w:rsidRDefault="00B43977">
    <w:pPr>
      <w:pStyle w:val="a3"/>
      <w:rPr>
        <w:i w:val="0"/>
      </w:rPr>
    </w:pPr>
  </w:p>
  <w:p w14:paraId="4E280138" w14:textId="77777777" w:rsidR="00B43977" w:rsidRDefault="00B43977" w:rsidP="00B43977">
    <w:pPr>
      <w:pStyle w:val="a3"/>
      <w:jc w:val="center"/>
      <w:rPr>
        <w:i w:val="0"/>
      </w:rPr>
    </w:pPr>
    <w:r>
      <w:rPr>
        <w:i w:val="0"/>
      </w:rPr>
      <w:t>2.</w:t>
    </w:r>
  </w:p>
  <w:p w14:paraId="6FC39509" w14:textId="77777777" w:rsidR="00B43977" w:rsidRPr="00B43977" w:rsidRDefault="00B43977">
    <w:pPr>
      <w:pStyle w:val="a3"/>
      <w:rPr>
        <w:i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2CBD" w14:textId="77777777" w:rsidR="00783C49" w:rsidRDefault="00783C49">
    <w:pPr>
      <w:pStyle w:val="a3"/>
      <w:jc w:val="center"/>
      <w:rPr>
        <w:rStyle w:val="a5"/>
        <w:i w:val="0"/>
      </w:rPr>
    </w:pPr>
  </w:p>
  <w:p w14:paraId="63874AE4" w14:textId="77777777" w:rsidR="00783C49" w:rsidRDefault="00783C49">
    <w:pPr>
      <w:pStyle w:val="a3"/>
      <w:jc w:val="center"/>
    </w:pPr>
    <w:r>
      <w:rPr>
        <w:rStyle w:val="a5"/>
        <w:i w:val="0"/>
      </w:rPr>
      <w:fldChar w:fldCharType="begin"/>
    </w:r>
    <w:r>
      <w:rPr>
        <w:rStyle w:val="a5"/>
        <w:i w:val="0"/>
      </w:rPr>
      <w:instrText xml:space="preserve">PAGE  </w:instrText>
    </w:r>
    <w:r>
      <w:rPr>
        <w:rStyle w:val="a5"/>
        <w:i w:val="0"/>
      </w:rPr>
      <w:fldChar w:fldCharType="separate"/>
    </w:r>
    <w:r w:rsidR="00E92692">
      <w:rPr>
        <w:rStyle w:val="a5"/>
        <w:i w:val="0"/>
        <w:noProof/>
      </w:rPr>
      <w:t>2</w:t>
    </w:r>
    <w:r>
      <w:rPr>
        <w:rStyle w:val="a5"/>
        <w:i w:val="0"/>
      </w:rPr>
      <w:fldChar w:fldCharType="end"/>
    </w:r>
    <w:r>
      <w:rPr>
        <w:rStyle w:val="a5"/>
        <w:i w:val="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B530" w14:textId="77777777" w:rsidR="005A7EA5" w:rsidRDefault="005A7EA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83B7" w14:textId="77777777" w:rsidR="001512E3" w:rsidRDefault="001512E3">
    <w:pPr>
      <w:pStyle w:val="a3"/>
    </w:pPr>
    <w:r>
      <w:t>French</w:t>
    </w:r>
    <w:r>
      <w:tab/>
      <w:t>CJ</w:t>
    </w:r>
  </w:p>
  <w:p w14:paraId="0EA3EB7C" w14:textId="77777777" w:rsidR="001512E3" w:rsidRDefault="001512E3">
    <w:pPr>
      <w:pStyle w:val="a3"/>
    </w:pPr>
  </w:p>
  <w:p w14:paraId="418DAC05" w14:textId="77777777" w:rsidR="001512E3" w:rsidRDefault="001512E3">
    <w:pPr>
      <w:pStyle w:val="a3"/>
      <w:jc w:val="center"/>
    </w:pPr>
    <w:r>
      <w:rPr>
        <w:rStyle w:val="a5"/>
        <w:i w:val="0"/>
      </w:rPr>
      <w:fldChar w:fldCharType="begin"/>
    </w:r>
    <w:r>
      <w:rPr>
        <w:rStyle w:val="a5"/>
        <w:i w:val="0"/>
      </w:rPr>
      <w:instrText xml:space="preserve">PAGE  </w:instrText>
    </w:r>
    <w:r>
      <w:rPr>
        <w:rStyle w:val="a5"/>
        <w:i w:val="0"/>
      </w:rPr>
      <w:fldChar w:fldCharType="separate"/>
    </w:r>
    <w:r w:rsidR="002F0B74">
      <w:rPr>
        <w:rStyle w:val="a5"/>
        <w:i w:val="0"/>
        <w:noProof/>
      </w:rPr>
      <w:t>4</w:t>
    </w:r>
    <w:r>
      <w:rPr>
        <w:rStyle w:val="a5"/>
        <w:i w:val="0"/>
      </w:rPr>
      <w:fldChar w:fldCharType="end"/>
    </w:r>
    <w:r>
      <w:rPr>
        <w:rStyle w:val="a5"/>
        <w:i w:val="0"/>
      </w:rPr>
      <w:t>.</w:t>
    </w:r>
  </w:p>
  <w:p w14:paraId="730D0997" w14:textId="77777777" w:rsidR="001512E3" w:rsidRDefault="001512E3">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FD75" w14:textId="77777777" w:rsidR="001512E3" w:rsidRDefault="001512E3" w:rsidP="001512E3">
    <w:pPr>
      <w:pStyle w:val="a3"/>
      <w:tabs>
        <w:tab w:val="clear" w:pos="1134"/>
      </w:tabs>
    </w:pPr>
    <w:r>
      <w:tab/>
      <w:t>French</w:t>
    </w:r>
    <w:r>
      <w:tab/>
      <w:t>CJ</w:t>
    </w:r>
  </w:p>
  <w:p w14:paraId="74D6571B" w14:textId="77777777" w:rsidR="001512E3" w:rsidRDefault="001512E3" w:rsidP="001512E3">
    <w:pPr>
      <w:pStyle w:val="a3"/>
      <w:tabs>
        <w:tab w:val="clear" w:pos="1134"/>
      </w:tabs>
    </w:pPr>
  </w:p>
  <w:p w14:paraId="5DD88C56" w14:textId="77777777" w:rsidR="001512E3" w:rsidRDefault="001512E3">
    <w:pPr>
      <w:pStyle w:val="a3"/>
      <w:jc w:val="center"/>
      <w:rPr>
        <w:rStyle w:val="a5"/>
        <w:i w:val="0"/>
      </w:rPr>
    </w:pPr>
    <w:r>
      <w:rPr>
        <w:rStyle w:val="a5"/>
        <w:i w:val="0"/>
      </w:rPr>
      <w:fldChar w:fldCharType="begin"/>
    </w:r>
    <w:r>
      <w:rPr>
        <w:rStyle w:val="a5"/>
        <w:i w:val="0"/>
      </w:rPr>
      <w:instrText xml:space="preserve"> PAGE </w:instrText>
    </w:r>
    <w:r>
      <w:rPr>
        <w:rStyle w:val="a5"/>
        <w:i w:val="0"/>
      </w:rPr>
      <w:fldChar w:fldCharType="separate"/>
    </w:r>
    <w:r w:rsidR="002F0B74">
      <w:rPr>
        <w:rStyle w:val="a5"/>
        <w:i w:val="0"/>
        <w:noProof/>
      </w:rPr>
      <w:t>5</w:t>
    </w:r>
    <w:r>
      <w:rPr>
        <w:rStyle w:val="a5"/>
        <w:i w:val="0"/>
      </w:rPr>
      <w:fldChar w:fldCharType="end"/>
    </w:r>
    <w:r>
      <w:rPr>
        <w:rStyle w:val="a5"/>
        <w:i w:val="0"/>
      </w:rPr>
      <w:t>.</w:t>
    </w:r>
  </w:p>
  <w:p w14:paraId="578C9DE0" w14:textId="77777777" w:rsidR="001512E3" w:rsidRDefault="001512E3">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B85E" w14:textId="77777777" w:rsidR="001512E3" w:rsidRDefault="001512E3">
    <w:pPr>
      <w:pStyle w:val="a3"/>
    </w:pPr>
  </w:p>
  <w:p w14:paraId="5EE7ADFC" w14:textId="77777777" w:rsidR="001512E3" w:rsidRDefault="001512E3">
    <w:pPr>
      <w:pStyle w:val="a3"/>
    </w:pPr>
  </w:p>
  <w:p w14:paraId="790A9374" w14:textId="77777777" w:rsidR="001512E3" w:rsidRDefault="001512E3">
    <w:pPr>
      <w:pStyle w:val="a3"/>
    </w:pPr>
  </w:p>
  <w:p w14:paraId="25C7D376" w14:textId="77777777" w:rsidR="001512E3" w:rsidRDefault="001512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76655696"/>
    <w:multiLevelType w:val="singleLevel"/>
    <w:tmpl w:val="FFFFFFFF"/>
    <w:lvl w:ilvl="0">
      <w:start w:val="1"/>
      <w:numFmt w:val="decimal"/>
      <w:lvlText w:val="%1"/>
      <w:lvlJc w:val="left"/>
      <w:pPr>
        <w:tabs>
          <w:tab w:val="num" w:pos="360"/>
        </w:tabs>
        <w:ind w:left="360" w:hanging="360"/>
      </w:pPr>
      <w:rPr>
        <w:rFonts w:cs="Times New Roman"/>
        <w:sz w:val="20"/>
      </w:rPr>
    </w:lvl>
  </w:abstractNum>
  <w:num w:numId="1" w16cid:durableId="947852093">
    <w:abstractNumId w:val="0"/>
  </w:num>
  <w:num w:numId="2" w16cid:durableId="933051463">
    <w:abstractNumId w:val="1"/>
  </w:num>
  <w:num w:numId="3" w16cid:durableId="942344978">
    <w:abstractNumId w:val="1"/>
  </w:num>
  <w:num w:numId="4" w16cid:durableId="1469393454">
    <w:abstractNumId w:val="1"/>
  </w:num>
  <w:num w:numId="5" w16cid:durableId="1809396548">
    <w:abstractNumId w:val="1"/>
  </w:num>
  <w:num w:numId="6" w16cid:durableId="2036727938">
    <w:abstractNumId w:val="1"/>
  </w:num>
  <w:num w:numId="7" w16cid:durableId="900407558">
    <w:abstractNumId w:val="1"/>
  </w:num>
  <w:num w:numId="8" w16cid:durableId="521478404">
    <w:abstractNumId w:val="1"/>
  </w:num>
  <w:num w:numId="9" w16cid:durableId="1021929897">
    <w:abstractNumId w:val="0"/>
  </w:num>
  <w:num w:numId="10" w16cid:durableId="971835868">
    <w:abstractNumId w:val="1"/>
  </w:num>
  <w:num w:numId="11" w16cid:durableId="1824350969">
    <w:abstractNumId w:val="1"/>
  </w:num>
  <w:num w:numId="12" w16cid:durableId="1070881535">
    <w:abstractNumId w:val="1"/>
  </w:num>
  <w:num w:numId="13" w16cid:durableId="657881144">
    <w:abstractNumId w:val="1"/>
  </w:num>
  <w:num w:numId="14" w16cid:durableId="1336422270">
    <w:abstractNumId w:val="1"/>
  </w:num>
  <w:num w:numId="15" w16cid:durableId="744649399">
    <w:abstractNumId w:val="1"/>
  </w:num>
  <w:num w:numId="16" w16cid:durableId="403112514">
    <w:abstractNumId w:val="1"/>
  </w:num>
  <w:num w:numId="17" w16cid:durableId="1114054566">
    <w:abstractNumId w:val="1"/>
  </w:num>
  <w:num w:numId="18" w16cid:durableId="1449156177">
    <w:abstractNumId w:val="1"/>
  </w:num>
  <w:num w:numId="19" w16cid:durableId="13048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E83"/>
    <w:rsid w:val="00065614"/>
    <w:rsid w:val="000F014D"/>
    <w:rsid w:val="000F4BC3"/>
    <w:rsid w:val="001511CF"/>
    <w:rsid w:val="001512E3"/>
    <w:rsid w:val="001910B3"/>
    <w:rsid w:val="001C5FD7"/>
    <w:rsid w:val="001C7BB2"/>
    <w:rsid w:val="00206824"/>
    <w:rsid w:val="002C6D17"/>
    <w:rsid w:val="002F0B74"/>
    <w:rsid w:val="00306316"/>
    <w:rsid w:val="0035782E"/>
    <w:rsid w:val="00394A8A"/>
    <w:rsid w:val="003E128E"/>
    <w:rsid w:val="00427F3A"/>
    <w:rsid w:val="00452324"/>
    <w:rsid w:val="004D7AB8"/>
    <w:rsid w:val="004E3D7B"/>
    <w:rsid w:val="00506EE9"/>
    <w:rsid w:val="00523B22"/>
    <w:rsid w:val="00530F85"/>
    <w:rsid w:val="00576D8B"/>
    <w:rsid w:val="00597DB0"/>
    <w:rsid w:val="005A3014"/>
    <w:rsid w:val="005A7EA5"/>
    <w:rsid w:val="00627EDC"/>
    <w:rsid w:val="0069436A"/>
    <w:rsid w:val="006C1802"/>
    <w:rsid w:val="006C31FE"/>
    <w:rsid w:val="006F25A4"/>
    <w:rsid w:val="00740CFD"/>
    <w:rsid w:val="0077270B"/>
    <w:rsid w:val="00783C49"/>
    <w:rsid w:val="007B4526"/>
    <w:rsid w:val="007D5512"/>
    <w:rsid w:val="00811108"/>
    <w:rsid w:val="00821947"/>
    <w:rsid w:val="008816B1"/>
    <w:rsid w:val="008F3DDF"/>
    <w:rsid w:val="00905A07"/>
    <w:rsid w:val="00966F3C"/>
    <w:rsid w:val="00996F89"/>
    <w:rsid w:val="00A30978"/>
    <w:rsid w:val="00A43D3C"/>
    <w:rsid w:val="00A44FC5"/>
    <w:rsid w:val="00A5235B"/>
    <w:rsid w:val="00A61D8D"/>
    <w:rsid w:val="00A82720"/>
    <w:rsid w:val="00AF5511"/>
    <w:rsid w:val="00B43977"/>
    <w:rsid w:val="00B45282"/>
    <w:rsid w:val="00B83FDF"/>
    <w:rsid w:val="00BB06A8"/>
    <w:rsid w:val="00BB138D"/>
    <w:rsid w:val="00BE0A6C"/>
    <w:rsid w:val="00C0431D"/>
    <w:rsid w:val="00C655F7"/>
    <w:rsid w:val="00C70EE2"/>
    <w:rsid w:val="00C87A76"/>
    <w:rsid w:val="00C97778"/>
    <w:rsid w:val="00CA1961"/>
    <w:rsid w:val="00CC07B2"/>
    <w:rsid w:val="00D059FC"/>
    <w:rsid w:val="00D365E8"/>
    <w:rsid w:val="00D51CF8"/>
    <w:rsid w:val="00D607F3"/>
    <w:rsid w:val="00DB30A6"/>
    <w:rsid w:val="00DC0EB2"/>
    <w:rsid w:val="00DC2B98"/>
    <w:rsid w:val="00DD3D85"/>
    <w:rsid w:val="00DE2C67"/>
    <w:rsid w:val="00E101CE"/>
    <w:rsid w:val="00E209CD"/>
    <w:rsid w:val="00E24254"/>
    <w:rsid w:val="00E514E9"/>
    <w:rsid w:val="00E63FF9"/>
    <w:rsid w:val="00E732F1"/>
    <w:rsid w:val="00E92692"/>
    <w:rsid w:val="00E96C9F"/>
    <w:rsid w:val="00EE5FCD"/>
    <w:rsid w:val="00F043A8"/>
    <w:rsid w:val="00F16CBF"/>
    <w:rsid w:val="00F238F4"/>
    <w:rsid w:val="00F40D1F"/>
    <w:rsid w:val="00F47883"/>
    <w:rsid w:val="00F82E83"/>
    <w:rsid w:val="00FA1F0D"/>
    <w:rsid w:val="00FC1B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C6818"/>
  <w14:defaultImageDpi w14:val="0"/>
  <w15:docId w15:val="{0218CB00-5EC3-4F99-AC98-DFB641D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table of authorities" w:semiHidden="1" w:unhideWhenUsed="1"/>
    <w:lsdException w:name="List" w:uiPriority="0"/>
    <w:lsdException w:name="List Bullet" w:uiPriority="0"/>
    <w:lsdException w:name="List Number" w:semiHidden="1" w:uiPriority="0" w:unhideWhenUsed="1"/>
    <w:lsdException w:name="Title" w:uiPriority="0" w:qFormat="1"/>
    <w:lsdException w:name="Default Paragraph Fo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Block Text" w:semiHidden="1" w:uiPriority="0" w:unhideWhenUsed="1"/>
    <w:lsdException w:name="Strong" w:uiPriority="22" w:qFormat="1"/>
    <w:lsdException w:name="Emphasis" w:uiPriority="20" w:qFormat="1"/>
    <w:lsdException w:name="Document Map"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DF"/>
    <w:pPr>
      <w:tabs>
        <w:tab w:val="left" w:pos="720"/>
        <w:tab w:val="left" w:pos="1440"/>
        <w:tab w:val="left" w:pos="2160"/>
        <w:tab w:val="left" w:pos="2880"/>
        <w:tab w:val="left" w:pos="3600"/>
        <w:tab w:val="left" w:pos="4320"/>
        <w:tab w:val="left" w:pos="5040"/>
        <w:tab w:val="left" w:pos="5760"/>
        <w:tab w:val="left" w:pos="6480"/>
        <w:tab w:val="left" w:pos="7200"/>
      </w:tabs>
      <w:spacing w:line="280" w:lineRule="exact"/>
      <w:ind w:firstLine="720"/>
      <w:jc w:val="both"/>
    </w:pPr>
    <w:rPr>
      <w:sz w:val="26"/>
      <w:lang w:val="en-AU" w:eastAsia="en-US"/>
    </w:rPr>
  </w:style>
  <w:style w:type="paragraph" w:styleId="1">
    <w:name w:val="heading 1"/>
    <w:basedOn w:val="a"/>
    <w:next w:val="a"/>
    <w:link w:val="10"/>
    <w:uiPriority w:val="9"/>
    <w:qFormat/>
    <w:rsid w:val="006F25A4"/>
    <w:pPr>
      <w:keepNext/>
      <w:outlineLvl w:val="0"/>
    </w:pPr>
    <w:rPr>
      <w:bCs/>
      <w:kern w:val="28"/>
      <w:u w:val="single"/>
    </w:rPr>
  </w:style>
  <w:style w:type="character" w:default="1" w:styleId="a0">
    <w:name w:val="Default Paragraph Font"/>
    <w:uiPriority w:val="1"/>
    <w:semiHidden/>
    <w:rsid w:val="006F25A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lang w:val="en-AU" w:eastAsia="en-US"/>
    </w:rPr>
  </w:style>
  <w:style w:type="paragraph" w:styleId="a3">
    <w:name w:val="header"/>
    <w:basedOn w:val="a"/>
    <w:link w:val="a4"/>
    <w:uiPriority w:val="99"/>
    <w:rsid w:val="006F25A4"/>
    <w:pPr>
      <w:tabs>
        <w:tab w:val="clear" w:pos="720"/>
        <w:tab w:val="clear" w:pos="1440"/>
        <w:tab w:val="clear" w:pos="2160"/>
        <w:tab w:val="clear" w:pos="2880"/>
        <w:tab w:val="clear" w:pos="3600"/>
        <w:tab w:val="clear" w:pos="4320"/>
        <w:tab w:val="clear" w:pos="5040"/>
        <w:tab w:val="clear" w:pos="5760"/>
        <w:tab w:val="clear" w:pos="6480"/>
        <w:tab w:val="clear" w:pos="7200"/>
        <w:tab w:val="right" w:pos="1134"/>
        <w:tab w:val="left" w:pos="7371"/>
        <w:tab w:val="right" w:pos="8505"/>
      </w:tabs>
      <w:ind w:firstLine="0"/>
      <w:jc w:val="left"/>
    </w:pPr>
    <w:rPr>
      <w:i/>
      <w:sz w:val="22"/>
      <w:lang w:val="en-GB"/>
    </w:rPr>
  </w:style>
  <w:style w:type="character" w:styleId="a5">
    <w:name w:val="page number"/>
    <w:basedOn w:val="a0"/>
    <w:uiPriority w:val="99"/>
    <w:rsid w:val="006F25A4"/>
  </w:style>
  <w:style w:type="paragraph" w:styleId="a6">
    <w:name w:val="footer"/>
    <w:basedOn w:val="a"/>
    <w:link w:val="a7"/>
    <w:uiPriority w:val="99"/>
    <w:rsid w:val="006F25A4"/>
    <w:pPr>
      <w:tabs>
        <w:tab w:val="left" w:pos="510"/>
        <w:tab w:val="left" w:pos="1021"/>
        <w:tab w:val="left" w:pos="1559"/>
        <w:tab w:val="left" w:pos="2126"/>
        <w:tab w:val="left" w:pos="2693"/>
        <w:tab w:val="center" w:pos="4153"/>
        <w:tab w:val="right" w:pos="8306"/>
      </w:tabs>
    </w:pPr>
    <w:rPr>
      <w:lang w:val="en-GB"/>
    </w:rPr>
  </w:style>
  <w:style w:type="character" w:customStyle="1" w:styleId="a7">
    <w:name w:val="页脚 字符"/>
    <w:link w:val="a6"/>
    <w:uiPriority w:val="99"/>
    <w:semiHidden/>
    <w:rPr>
      <w:sz w:val="18"/>
      <w:szCs w:val="18"/>
      <w:lang w:val="en-AU" w:eastAsia="en-US"/>
    </w:rPr>
  </w:style>
  <w:style w:type="paragraph" w:customStyle="1" w:styleId="Border">
    <w:name w:val="Border"/>
    <w:basedOn w:val="a"/>
    <w:rsid w:val="00DC2B98"/>
    <w:pPr>
      <w:pBdr>
        <w:top w:val="single" w:sz="12" w:space="1" w:color="auto"/>
      </w:pBdr>
      <w:tabs>
        <w:tab w:val="clear" w:pos="2160"/>
        <w:tab w:val="clear" w:pos="2880"/>
        <w:tab w:val="clear" w:pos="3600"/>
        <w:tab w:val="clear" w:pos="4320"/>
        <w:tab w:val="clear" w:pos="5040"/>
        <w:tab w:val="clear" w:pos="5760"/>
        <w:tab w:val="clear" w:pos="6480"/>
        <w:tab w:val="clear" w:pos="7200"/>
      </w:tabs>
      <w:spacing w:line="240" w:lineRule="auto"/>
      <w:ind w:left="2552" w:right="2551" w:firstLine="0"/>
    </w:pPr>
    <w:rPr>
      <w:sz w:val="24"/>
      <w:lang w:val="en-GB" w:eastAsia="en-AU"/>
    </w:rPr>
  </w:style>
  <w:style w:type="paragraph" w:customStyle="1" w:styleId="FootInd">
    <w:name w:val="FootInd"/>
    <w:basedOn w:val="a8"/>
    <w:qFormat/>
    <w:rsid w:val="008F3DDF"/>
    <w:pPr>
      <w:tabs>
        <w:tab w:val="clear" w:pos="720"/>
        <w:tab w:val="clear" w:pos="1440"/>
        <w:tab w:val="clear" w:pos="2160"/>
        <w:tab w:val="clear" w:pos="2880"/>
        <w:tab w:val="clear" w:pos="3600"/>
        <w:tab w:val="clear" w:pos="4320"/>
        <w:tab w:val="clear" w:pos="5040"/>
        <w:tab w:val="clear" w:pos="5760"/>
        <w:tab w:val="clear" w:pos="6480"/>
        <w:tab w:val="clear" w:pos="7200"/>
        <w:tab w:val="left" w:pos="1985"/>
        <w:tab w:val="left" w:pos="2693"/>
        <w:tab w:val="left" w:pos="3402"/>
        <w:tab w:val="left" w:pos="4111"/>
      </w:tabs>
      <w:ind w:left="1134" w:firstLine="0"/>
    </w:pPr>
  </w:style>
  <w:style w:type="paragraph" w:styleId="a8">
    <w:name w:val="footnote text"/>
    <w:basedOn w:val="a"/>
    <w:link w:val="a9"/>
    <w:uiPriority w:val="99"/>
    <w:semiHidden/>
    <w:rsid w:val="006F25A4"/>
    <w:pPr>
      <w:spacing w:after="240"/>
      <w:ind w:left="454" w:hanging="454"/>
    </w:pPr>
    <w:rPr>
      <w:sz w:val="24"/>
    </w:rPr>
  </w:style>
  <w:style w:type="character" w:customStyle="1" w:styleId="a9">
    <w:name w:val="脚注文本 字符"/>
    <w:link w:val="a8"/>
    <w:uiPriority w:val="99"/>
    <w:semiHidden/>
    <w:rPr>
      <w:sz w:val="18"/>
      <w:szCs w:val="18"/>
      <w:lang w:val="en-AU" w:eastAsia="en-US"/>
    </w:rPr>
  </w:style>
  <w:style w:type="character" w:styleId="aa">
    <w:name w:val="footnote reference"/>
    <w:uiPriority w:val="99"/>
    <w:rsid w:val="006F25A4"/>
    <w:rPr>
      <w:b/>
      <w:sz w:val="24"/>
      <w:vertAlign w:val="superscript"/>
    </w:rPr>
  </w:style>
  <w:style w:type="paragraph" w:customStyle="1" w:styleId="leftright">
    <w:name w:val="leftright"/>
    <w:basedOn w:val="a"/>
    <w:qFormat/>
    <w:rsid w:val="00F47883"/>
    <w:pPr>
      <w:spacing w:after="260"/>
      <w:ind w:left="720" w:firstLine="0"/>
    </w:pPr>
  </w:style>
  <w:style w:type="paragraph" w:customStyle="1" w:styleId="Norm">
    <w:name w:val="Norm"/>
    <w:rsid w:val="006F25A4"/>
    <w:pPr>
      <w:tabs>
        <w:tab w:val="left" w:pos="720"/>
        <w:tab w:val="left" w:pos="1440"/>
      </w:tabs>
      <w:ind w:left="567" w:right="567"/>
      <w:jc w:val="both"/>
    </w:pPr>
    <w:rPr>
      <w:sz w:val="24"/>
      <w:lang w:val="en-GB" w:eastAsia="en-US"/>
    </w:rPr>
  </w:style>
  <w:style w:type="paragraph" w:customStyle="1" w:styleId="BorderOrd">
    <w:name w:val="BorderOrd"/>
    <w:basedOn w:val="a"/>
    <w:rsid w:val="00DC2B98"/>
    <w:pPr>
      <w:pBdr>
        <w:top w:val="single" w:sz="12" w:space="0" w:color="auto"/>
      </w:pBdr>
      <w:tabs>
        <w:tab w:val="clear" w:pos="2160"/>
        <w:tab w:val="clear" w:pos="2880"/>
        <w:tab w:val="clear" w:pos="3600"/>
        <w:tab w:val="clear" w:pos="4320"/>
        <w:tab w:val="clear" w:pos="5040"/>
        <w:tab w:val="clear" w:pos="5760"/>
        <w:tab w:val="clear" w:pos="6480"/>
        <w:tab w:val="clear" w:pos="7200"/>
        <w:tab w:val="left" w:pos="5103"/>
      </w:tabs>
      <w:spacing w:line="240" w:lineRule="auto"/>
      <w:ind w:left="2268" w:right="17" w:firstLine="0"/>
    </w:pPr>
    <w:rPr>
      <w:lang w:val="en-GB" w:eastAsia="en-AU"/>
    </w:rPr>
  </w:style>
  <w:style w:type="paragraph" w:customStyle="1" w:styleId="FootIndAgain">
    <w:name w:val="FootIndAgain"/>
    <w:basedOn w:val="a8"/>
    <w:qFormat/>
    <w:rsid w:val="008F3DDF"/>
    <w:pPr>
      <w:tabs>
        <w:tab w:val="clear" w:pos="720"/>
        <w:tab w:val="clear" w:pos="1440"/>
        <w:tab w:val="clear" w:pos="2160"/>
        <w:tab w:val="clear" w:pos="2880"/>
        <w:tab w:val="clear" w:pos="3600"/>
        <w:tab w:val="clear" w:pos="4320"/>
        <w:tab w:val="clear" w:pos="5040"/>
        <w:tab w:val="clear" w:pos="5760"/>
        <w:tab w:val="clear" w:pos="6480"/>
        <w:tab w:val="clear" w:pos="7200"/>
        <w:tab w:val="left" w:pos="2693"/>
        <w:tab w:val="left" w:pos="3402"/>
        <w:tab w:val="left" w:pos="4111"/>
        <w:tab w:val="left" w:pos="4820"/>
      </w:tabs>
      <w:ind w:left="1985" w:firstLine="0"/>
    </w:pPr>
  </w:style>
  <w:style w:type="paragraph" w:styleId="ab">
    <w:name w:val="Title"/>
    <w:basedOn w:val="a"/>
    <w:link w:val="ac"/>
    <w:uiPriority w:val="10"/>
    <w:qFormat/>
    <w:rsid w:val="006F25A4"/>
    <w:pPr>
      <w:spacing w:line="240" w:lineRule="atLeast"/>
      <w:jc w:val="center"/>
      <w:outlineLvl w:val="0"/>
    </w:pPr>
    <w:rPr>
      <w:b/>
      <w:kern w:val="28"/>
      <w:sz w:val="48"/>
    </w:rPr>
  </w:style>
  <w:style w:type="character" w:customStyle="1" w:styleId="ac">
    <w:name w:val="标题 字符"/>
    <w:link w:val="ab"/>
    <w:uiPriority w:val="10"/>
    <w:rPr>
      <w:rFonts w:ascii="Cambria" w:eastAsia="宋体" w:hAnsi="Cambria" w:cs="Times New Roman"/>
      <w:b/>
      <w:bCs/>
      <w:sz w:val="32"/>
      <w:szCs w:val="32"/>
      <w:lang w:val="en-AU" w:eastAsia="en-US"/>
    </w:rPr>
  </w:style>
  <w:style w:type="paragraph" w:styleId="ad">
    <w:name w:val="List Number"/>
    <w:basedOn w:val="a"/>
    <w:next w:val="a"/>
    <w:uiPriority w:val="99"/>
    <w:rsid w:val="007D5512"/>
    <w:pPr>
      <w:numPr>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357" w:hanging="357"/>
    </w:pPr>
  </w:style>
  <w:style w:type="paragraph" w:customStyle="1" w:styleId="Quote1">
    <w:name w:val="Quote 1"/>
    <w:basedOn w:val="a"/>
    <w:rsid w:val="006F25A4"/>
    <w:pPr>
      <w:tabs>
        <w:tab w:val="clear" w:pos="720"/>
      </w:tabs>
      <w:ind w:left="1134"/>
    </w:pPr>
  </w:style>
  <w:style w:type="paragraph" w:customStyle="1" w:styleId="Quote2">
    <w:name w:val="Quote 2"/>
    <w:basedOn w:val="Quote1"/>
    <w:rsid w:val="006F25A4"/>
    <w:pPr>
      <w:tabs>
        <w:tab w:val="clear" w:pos="1440"/>
      </w:tabs>
      <w:ind w:left="1701" w:hanging="567"/>
    </w:pPr>
  </w:style>
  <w:style w:type="paragraph" w:customStyle="1" w:styleId="Topic">
    <w:name w:val="Topic"/>
    <w:basedOn w:val="ad"/>
    <w:rsid w:val="006F25A4"/>
    <w:pPr>
      <w:keepNext/>
      <w:numPr>
        <w:numId w:val="0"/>
      </w:numPr>
      <w:ind w:left="567"/>
    </w:pPr>
    <w:rPr>
      <w:u w:val="single"/>
    </w:rPr>
  </w:style>
  <w:style w:type="paragraph" w:customStyle="1" w:styleId="Quote3">
    <w:name w:val="Quote 3"/>
    <w:basedOn w:val="Quote2"/>
    <w:rsid w:val="006F25A4"/>
    <w:pPr>
      <w:ind w:left="1985" w:firstLine="0"/>
    </w:pPr>
  </w:style>
  <w:style w:type="paragraph" w:styleId="ae">
    <w:name w:val="Block Text"/>
    <w:basedOn w:val="a"/>
    <w:uiPriority w:val="99"/>
    <w:rsid w:val="006F25A4"/>
    <w:pPr>
      <w:tabs>
        <w:tab w:val="left" w:pos="5103"/>
        <w:tab w:val="right" w:pos="7797"/>
      </w:tabs>
      <w:spacing w:line="240" w:lineRule="auto"/>
      <w:ind w:left="851" w:right="942"/>
      <w:jc w:val="left"/>
    </w:pPr>
  </w:style>
  <w:style w:type="character" w:customStyle="1" w:styleId="Ital">
    <w:name w:val="Ital"/>
    <w:rsid w:val="006F25A4"/>
    <w:rPr>
      <w:i/>
      <w:sz w:val="26"/>
    </w:rPr>
  </w:style>
  <w:style w:type="paragraph" w:customStyle="1" w:styleId="Quote4">
    <w:name w:val="Quote4"/>
    <w:basedOn w:val="Quote1"/>
    <w:rsid w:val="006F25A4"/>
    <w:pPr>
      <w:ind w:left="2835" w:hanging="567"/>
    </w:pPr>
  </w:style>
  <w:style w:type="paragraph" w:customStyle="1" w:styleId="FootNorm">
    <w:name w:val="FootNorm"/>
    <w:basedOn w:val="a8"/>
    <w:qFormat/>
    <w:rsid w:val="006F25A4"/>
    <w:pPr>
      <w:ind w:firstLine="0"/>
    </w:pPr>
    <w:rPr>
      <w:lang w:val="en-US" w:eastAsia="en-AU"/>
    </w:rPr>
  </w:style>
  <w:style w:type="paragraph" w:customStyle="1" w:styleId="HeadingMain">
    <w:name w:val="Heading Main"/>
    <w:basedOn w:val="a"/>
    <w:next w:val="a"/>
    <w:qFormat/>
    <w:rsid w:val="008F3DDF"/>
    <w:pPr>
      <w:keepNext/>
      <w:spacing w:after="260"/>
      <w:ind w:firstLine="0"/>
    </w:pPr>
    <w:rPr>
      <w:u w:val="single"/>
      <w:lang w:val="en-US"/>
    </w:rPr>
  </w:style>
  <w:style w:type="paragraph" w:customStyle="1" w:styleId="HeadingMainItalics">
    <w:name w:val="Heading Main Italics"/>
    <w:basedOn w:val="HeadingMain"/>
    <w:next w:val="a"/>
    <w:qFormat/>
    <w:rsid w:val="00F47883"/>
    <w:rPr>
      <w:i/>
      <w:u w:val="none"/>
    </w:rPr>
  </w:style>
  <w:style w:type="paragraph" w:customStyle="1" w:styleId="LeftrightafterHC">
    <w:name w:val="Leftright after HC"/>
    <w:basedOn w:val="a"/>
    <w:qFormat/>
    <w:rsid w:val="00F47883"/>
    <w:pPr>
      <w:spacing w:after="260"/>
      <w:ind w:left="720" w:firstLine="0"/>
    </w:pPr>
  </w:style>
  <w:style w:type="paragraph" w:customStyle="1" w:styleId="LeftrightHanging">
    <w:name w:val="LeftrightHanging"/>
    <w:basedOn w:val="a"/>
    <w:qFormat/>
    <w:rsid w:val="00F47883"/>
    <w:pPr>
      <w:spacing w:after="260"/>
      <w:ind w:left="1440" w:hanging="720"/>
    </w:pPr>
    <w:rPr>
      <w:lang w:val="en-US"/>
    </w:rPr>
  </w:style>
  <w:style w:type="paragraph" w:customStyle="1" w:styleId="LRIndent">
    <w:name w:val="LR Indent"/>
    <w:basedOn w:val="a"/>
    <w:qFormat/>
    <w:rsid w:val="00F47883"/>
    <w:p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720"/>
    </w:pPr>
    <w:rPr>
      <w:szCs w:val="26"/>
      <w:lang w:val="en-US" w:eastAsia="en-AU"/>
    </w:rPr>
  </w:style>
  <w:style w:type="paragraph" w:customStyle="1" w:styleId="LRIndentafterHC">
    <w:name w:val="LR Indent after HC"/>
    <w:basedOn w:val="LeftrightafterHC"/>
    <w:qFormat/>
    <w:rsid w:val="00F47883"/>
    <w:pPr>
      <w:ind w:firstLine="720"/>
    </w:pPr>
  </w:style>
  <w:style w:type="paragraph" w:customStyle="1" w:styleId="LRFirstLine">
    <w:name w:val="LRFirstLine"/>
    <w:basedOn w:val="a"/>
    <w:semiHidden/>
    <w:rsid w:val="006F25A4"/>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260"/>
      <w:ind w:left="720"/>
    </w:pPr>
    <w:rPr>
      <w:szCs w:val="26"/>
      <w:lang w:val="en-US" w:eastAsia="en-AU"/>
    </w:rPr>
  </w:style>
  <w:style w:type="paragraph" w:customStyle="1" w:styleId="LRHangingMore">
    <w:name w:val="LRHangingMore"/>
    <w:basedOn w:val="LeftrightHanging"/>
    <w:qFormat/>
    <w:rsid w:val="00F47883"/>
    <w:pPr>
      <w:ind w:left="2160"/>
    </w:pPr>
  </w:style>
  <w:style w:type="paragraph" w:customStyle="1" w:styleId="NormalHC">
    <w:name w:val="Normal HC"/>
    <w:basedOn w:val="a"/>
    <w:qFormat/>
    <w:rsid w:val="007D5512"/>
    <w:pPr>
      <w:spacing w:after="260"/>
    </w:pPr>
    <w:rPr>
      <w:szCs w:val="26"/>
      <w:lang w:val="en-US"/>
    </w:rPr>
  </w:style>
  <w:style w:type="paragraph" w:customStyle="1" w:styleId="NormalBody">
    <w:name w:val="Normal Body"/>
    <w:basedOn w:val="NormalHC"/>
    <w:next w:val="NormalHC"/>
    <w:qFormat/>
    <w:rsid w:val="007D5512"/>
    <w:pPr>
      <w:ind w:firstLine="0"/>
    </w:pPr>
  </w:style>
  <w:style w:type="paragraph" w:styleId="af">
    <w:name w:val="Document Map"/>
    <w:basedOn w:val="a"/>
    <w:link w:val="af0"/>
    <w:uiPriority w:val="99"/>
    <w:semiHidden/>
    <w:rsid w:val="006F25A4"/>
    <w:pPr>
      <w:shd w:val="clear" w:color="auto" w:fill="000080"/>
    </w:pPr>
    <w:rPr>
      <w:rFonts w:ascii="Tahoma" w:hAnsi="Tahoma" w:cs="Tahoma"/>
    </w:rPr>
  </w:style>
  <w:style w:type="paragraph" w:customStyle="1" w:styleId="HeadingFirst">
    <w:name w:val="Heading First"/>
    <w:basedOn w:val="a"/>
    <w:next w:val="a"/>
    <w:qFormat/>
    <w:rsid w:val="006F25A4"/>
    <w:pPr>
      <w:keepNext/>
      <w:spacing w:before="100" w:beforeAutospacing="1" w:after="260"/>
    </w:pPr>
    <w:rPr>
      <w:caps/>
      <w:szCs w:val="26"/>
      <w:u w:val="single"/>
      <w:lang w:val="en-US"/>
    </w:rPr>
  </w:style>
  <w:style w:type="character" w:customStyle="1" w:styleId="af0">
    <w:name w:val="文档结构图 字符"/>
    <w:link w:val="af"/>
    <w:semiHidden/>
    <w:locked/>
    <w:rsid w:val="006F25A4"/>
    <w:rPr>
      <w:rFonts w:ascii="Tahoma" w:hAnsi="Tahoma"/>
      <w:sz w:val="26"/>
      <w:shd w:val="clear" w:color="auto" w:fill="000080"/>
      <w:lang w:val="x-none" w:eastAsia="en-US"/>
    </w:rPr>
  </w:style>
  <w:style w:type="paragraph" w:customStyle="1" w:styleId="HeadingMatter">
    <w:name w:val="Heading Matter"/>
    <w:basedOn w:val="a"/>
    <w:next w:val="HeadingFirst"/>
    <w:qFormat/>
    <w:rsid w:val="006F25A4"/>
    <w:pPr>
      <w:spacing w:before="100" w:beforeAutospacing="1" w:after="260"/>
    </w:pPr>
    <w:rPr>
      <w:szCs w:val="26"/>
      <w:u w:val="single"/>
      <w:lang w:val="en-US"/>
    </w:rPr>
  </w:style>
  <w:style w:type="paragraph" w:customStyle="1" w:styleId="HeadingSecond">
    <w:name w:val="Heading Second"/>
    <w:basedOn w:val="HeadingFirst"/>
    <w:next w:val="HeadingMatter"/>
    <w:qFormat/>
    <w:rsid w:val="006F25A4"/>
    <w:pPr>
      <w:keepNext w:val="0"/>
    </w:pPr>
  </w:style>
  <w:style w:type="paragraph" w:customStyle="1" w:styleId="HeadingV">
    <w:name w:val="Heading V"/>
    <w:basedOn w:val="HeadingFirst"/>
    <w:next w:val="HeadingSecond"/>
    <w:qFormat/>
    <w:rsid w:val="006F25A4"/>
    <w:rPr>
      <w:caps w:val="0"/>
      <w:u w:val="none"/>
    </w:rPr>
  </w:style>
  <w:style w:type="paragraph" w:styleId="af1">
    <w:name w:val="No Spacing"/>
    <w:uiPriority w:val="1"/>
    <w:qFormat/>
    <w:rsid w:val="006F25A4"/>
    <w:pPr>
      <w:tabs>
        <w:tab w:val="left" w:pos="720"/>
        <w:tab w:val="left" w:pos="1440"/>
        <w:tab w:val="left" w:pos="2160"/>
        <w:tab w:val="left" w:pos="2880"/>
        <w:tab w:val="left" w:pos="3600"/>
        <w:tab w:val="left" w:pos="4320"/>
        <w:tab w:val="left" w:pos="5040"/>
        <w:tab w:val="left" w:pos="5760"/>
        <w:tab w:val="left" w:pos="6480"/>
        <w:tab w:val="left" w:pos="7200"/>
      </w:tabs>
      <w:ind w:firstLine="720"/>
      <w:jc w:val="both"/>
    </w:pPr>
    <w:rPr>
      <w:sz w:val="26"/>
      <w:lang w:val="en-AU" w:eastAsia="en-US"/>
    </w:rPr>
  </w:style>
  <w:style w:type="paragraph" w:customStyle="1" w:styleId="NormalafterHd2nd">
    <w:name w:val="Normal after Hd2nd"/>
    <w:basedOn w:val="NormalHC"/>
    <w:next w:val="NormalHC"/>
    <w:semiHidden/>
    <w:qFormat/>
    <w:rsid w:val="006F25A4"/>
  </w:style>
  <w:style w:type="paragraph" w:customStyle="1" w:styleId="NormalHC1">
    <w:name w:val="Normal HC 1"/>
    <w:basedOn w:val="NormalHC"/>
    <w:semiHidden/>
    <w:rsid w:val="006F25A4"/>
  </w:style>
  <w:style w:type="character" w:customStyle="1" w:styleId="NormalHCChar">
    <w:name w:val="Normal HC Char"/>
    <w:semiHidden/>
    <w:rsid w:val="006F25A4"/>
    <w:rPr>
      <w:rFonts w:ascii="Times New Roman" w:hAnsi="Times New Roman"/>
      <w:sz w:val="26"/>
    </w:rPr>
  </w:style>
  <w:style w:type="paragraph" w:customStyle="1" w:styleId="NormalHCNoIndent">
    <w:name w:val="Normal HC No Indent"/>
    <w:basedOn w:val="NormalHC"/>
    <w:semiHidden/>
    <w:qFormat/>
    <w:rsid w:val="006F25A4"/>
    <w:pPr>
      <w:ind w:firstLine="0"/>
    </w:pPr>
  </w:style>
  <w:style w:type="paragraph" w:styleId="af2">
    <w:name w:val="Quote"/>
    <w:basedOn w:val="a"/>
    <w:next w:val="a"/>
    <w:link w:val="af3"/>
    <w:uiPriority w:val="29"/>
    <w:qFormat/>
    <w:rsid w:val="006F25A4"/>
    <w:rPr>
      <w:i/>
      <w:iCs/>
      <w:color w:val="000000"/>
    </w:rPr>
  </w:style>
  <w:style w:type="paragraph" w:styleId="af4">
    <w:name w:val="Subtitle"/>
    <w:basedOn w:val="a"/>
    <w:next w:val="a"/>
    <w:link w:val="af5"/>
    <w:uiPriority w:val="11"/>
    <w:qFormat/>
    <w:rsid w:val="006F25A4"/>
    <w:pPr>
      <w:spacing w:after="60"/>
      <w:jc w:val="center"/>
      <w:outlineLvl w:val="1"/>
    </w:pPr>
    <w:rPr>
      <w:rFonts w:ascii="Cambria" w:hAnsi="Cambria"/>
      <w:sz w:val="24"/>
      <w:szCs w:val="24"/>
    </w:rPr>
  </w:style>
  <w:style w:type="character" w:customStyle="1" w:styleId="af3">
    <w:name w:val="引用 字符"/>
    <w:link w:val="af2"/>
    <w:locked/>
    <w:rsid w:val="006F25A4"/>
    <w:rPr>
      <w:i/>
      <w:color w:val="000000"/>
      <w:sz w:val="26"/>
      <w:lang w:val="x-none" w:eastAsia="en-US"/>
    </w:rPr>
  </w:style>
  <w:style w:type="paragraph" w:customStyle="1" w:styleId="AppelRespond">
    <w:name w:val="AppelRespond"/>
    <w:qFormat/>
    <w:rsid w:val="00DC2B98"/>
    <w:pPr>
      <w:tabs>
        <w:tab w:val="left" w:pos="720"/>
        <w:tab w:val="left" w:pos="1440"/>
        <w:tab w:val="right" w:pos="7938"/>
      </w:tabs>
      <w:ind w:right="2126"/>
    </w:pPr>
    <w:rPr>
      <w:sz w:val="26"/>
      <w:lang w:val="en-AU" w:eastAsia="en-AU"/>
    </w:rPr>
  </w:style>
  <w:style w:type="character" w:customStyle="1" w:styleId="af5">
    <w:name w:val="副标题 字符"/>
    <w:link w:val="af4"/>
    <w:locked/>
    <w:rsid w:val="006F25A4"/>
    <w:rPr>
      <w:rFonts w:ascii="Cambria" w:hAnsi="Cambria"/>
      <w:sz w:val="24"/>
      <w:lang w:val="x-none" w:eastAsia="en-US"/>
    </w:rPr>
  </w:style>
  <w:style w:type="paragraph" w:customStyle="1" w:styleId="Body">
    <w:name w:val="Body"/>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pPr>
    <w:rPr>
      <w:lang w:val="en-GB" w:eastAsia="en-AU"/>
    </w:rPr>
  </w:style>
  <w:style w:type="paragraph" w:customStyle="1" w:styleId="BodyHeading">
    <w:name w:val="Body Heading"/>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pPr>
    <w:rPr>
      <w:b/>
      <w:bCs/>
      <w:lang w:val="en-GB" w:eastAsia="en-AU"/>
    </w:rPr>
  </w:style>
  <w:style w:type="character" w:customStyle="1" w:styleId="BodyItalic">
    <w:name w:val="Body Italic"/>
    <w:semiHidden/>
    <w:rsid w:val="00DC2B98"/>
    <w:rPr>
      <w:i/>
      <w:sz w:val="26"/>
    </w:rPr>
  </w:style>
  <w:style w:type="paragraph" w:customStyle="1" w:styleId="CenteredBorder">
    <w:name w:val="Centered Border"/>
    <w:qFormat/>
    <w:rsid w:val="00DC2B98"/>
    <w:pPr>
      <w:pBdr>
        <w:top w:val="single" w:sz="12" w:space="1" w:color="auto"/>
      </w:pBdr>
      <w:tabs>
        <w:tab w:val="left" w:pos="720"/>
        <w:tab w:val="left" w:pos="1440"/>
        <w:tab w:val="left" w:pos="5103"/>
      </w:tabs>
      <w:ind w:left="1440" w:right="1457"/>
    </w:pPr>
    <w:rPr>
      <w:sz w:val="26"/>
      <w:lang w:val="en-GB" w:eastAsia="en-AU"/>
    </w:rPr>
  </w:style>
  <w:style w:type="paragraph" w:customStyle="1" w:styleId="Centre">
    <w:name w:val="Centre"/>
    <w:qFormat/>
    <w:rsid w:val="00DC2B98"/>
    <w:pPr>
      <w:tabs>
        <w:tab w:val="left" w:pos="720"/>
        <w:tab w:val="left" w:pos="1440"/>
      </w:tabs>
      <w:ind w:right="17"/>
      <w:jc w:val="center"/>
    </w:pPr>
    <w:rPr>
      <w:sz w:val="26"/>
      <w:lang w:val="en-GB" w:eastAsia="en-AU"/>
    </w:rPr>
  </w:style>
  <w:style w:type="paragraph" w:customStyle="1" w:styleId="CentreItalics">
    <w:name w:val="Centre Italics"/>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i/>
      <w:iCs/>
      <w:lang w:val="en-GB" w:eastAsia="en-AU"/>
    </w:rPr>
  </w:style>
  <w:style w:type="paragraph" w:customStyle="1" w:styleId="ItalicHanging">
    <w:name w:val="Italic Hanging"/>
    <w:qFormat/>
    <w:rsid w:val="00DC2B98"/>
    <w:pPr>
      <w:ind w:left="720" w:hanging="720"/>
    </w:pPr>
    <w:rPr>
      <w:i/>
      <w:iCs/>
      <w:sz w:val="26"/>
      <w:lang w:val="en-GB" w:eastAsia="en-AU"/>
    </w:rPr>
  </w:style>
  <w:style w:type="paragraph" w:customStyle="1" w:styleId="Notice">
    <w:name w:val="Notice"/>
    <w:rsid w:val="00FA1F0D"/>
    <w:pPr>
      <w:tabs>
        <w:tab w:val="left" w:pos="5103"/>
        <w:tab w:val="right" w:pos="7797"/>
      </w:tabs>
      <w:ind w:left="851" w:right="17"/>
      <w:jc w:val="both"/>
    </w:pPr>
    <w:rPr>
      <w:sz w:val="26"/>
      <w:lang w:val="en-GB" w:eastAsia="en-AU"/>
    </w:rPr>
  </w:style>
  <w:style w:type="paragraph" w:customStyle="1" w:styleId="OrderCentre">
    <w:name w:val="Order Centre"/>
    <w:rsid w:val="00DC2B98"/>
    <w:pPr>
      <w:jc w:val="center"/>
    </w:pPr>
    <w:rPr>
      <w:b/>
      <w:bCs/>
      <w:sz w:val="26"/>
      <w:lang w:val="en-GB" w:eastAsia="en-AU"/>
    </w:rPr>
  </w:style>
  <w:style w:type="character" w:customStyle="1" w:styleId="OrderCentred">
    <w:name w:val="Order Centred"/>
    <w:semiHidden/>
    <w:rsid w:val="00DC2B98"/>
    <w:rPr>
      <w:b/>
      <w:sz w:val="26"/>
    </w:rPr>
  </w:style>
  <w:style w:type="paragraph" w:customStyle="1" w:styleId="OrderTitle">
    <w:name w:val="Order Title"/>
    <w:qFormat/>
    <w:rsid w:val="00DC2B98"/>
    <w:pPr>
      <w:spacing w:line="240" w:lineRule="atLeast"/>
      <w:ind w:right="17"/>
      <w:jc w:val="center"/>
      <w:outlineLvl w:val="0"/>
    </w:pPr>
    <w:rPr>
      <w:b/>
      <w:bCs/>
      <w:kern w:val="28"/>
      <w:sz w:val="48"/>
      <w:lang w:val="en-GB" w:eastAsia="en-US"/>
    </w:rPr>
  </w:style>
  <w:style w:type="paragraph" w:customStyle="1" w:styleId="PartyName">
    <w:name w:val="PartyName"/>
    <w:basedOn w:val="a"/>
    <w:link w:val="PartyNameChar"/>
    <w:qFormat/>
    <w:rsid w:val="00F16CB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pPr>
    <w:rPr>
      <w:lang w:eastAsia="en-AU"/>
    </w:rPr>
  </w:style>
  <w:style w:type="character" w:customStyle="1" w:styleId="PartyNameChar">
    <w:name w:val="PartyName Char"/>
    <w:link w:val="PartyName"/>
    <w:locked/>
    <w:rsid w:val="00F16CBF"/>
    <w:rPr>
      <w:sz w:val="26"/>
    </w:rPr>
  </w:style>
  <w:style w:type="paragraph" w:customStyle="1" w:styleId="CatchwordsBold">
    <w:name w:val="Catchwords Bold"/>
    <w:basedOn w:val="a"/>
    <w:link w:val="CatchwordsBoldChar"/>
    <w:qFormat/>
    <w:rsid w:val="00D607F3"/>
    <w:pPr>
      <w:tabs>
        <w:tab w:val="clear" w:pos="4320"/>
        <w:tab w:val="clear" w:pos="5040"/>
        <w:tab w:val="clear" w:pos="5760"/>
        <w:tab w:val="clear" w:pos="7200"/>
      </w:tabs>
      <w:ind w:firstLine="0"/>
    </w:pPr>
    <w:rPr>
      <w:b/>
      <w:lang w:eastAsia="en-AU"/>
    </w:rPr>
  </w:style>
  <w:style w:type="character" w:customStyle="1" w:styleId="CatchwordsBoldChar">
    <w:name w:val="Catchwords Bold Char"/>
    <w:link w:val="CatchwordsBold"/>
    <w:locked/>
    <w:rsid w:val="00D607F3"/>
    <w:rPr>
      <w:b/>
      <w:sz w:val="26"/>
    </w:rPr>
  </w:style>
  <w:style w:type="paragraph" w:customStyle="1" w:styleId="CatchwordsRight">
    <w:name w:val="Catchwords Right"/>
    <w:basedOn w:val="a"/>
    <w:link w:val="CatchwordsRightChar"/>
    <w:qFormat/>
    <w:rsid w:val="00D607F3"/>
    <w:pPr>
      <w:tabs>
        <w:tab w:val="clear" w:pos="4320"/>
        <w:tab w:val="clear" w:pos="5040"/>
        <w:tab w:val="clear" w:pos="5760"/>
        <w:tab w:val="clear" w:pos="7200"/>
      </w:tabs>
      <w:ind w:firstLine="0"/>
      <w:jc w:val="right"/>
    </w:pPr>
    <w:rPr>
      <w:lang w:eastAsia="en-AU"/>
    </w:rPr>
  </w:style>
  <w:style w:type="character" w:customStyle="1" w:styleId="CatchwordsRightChar">
    <w:name w:val="Catchwords Right Char"/>
    <w:link w:val="CatchwordsRight"/>
    <w:locked/>
    <w:rsid w:val="00D607F3"/>
    <w:rPr>
      <w:sz w:val="26"/>
    </w:rPr>
  </w:style>
  <w:style w:type="paragraph" w:customStyle="1" w:styleId="CatchwordsText">
    <w:name w:val="Catchwords Text"/>
    <w:basedOn w:val="a"/>
    <w:link w:val="CatchwordsTextChar"/>
    <w:qFormat/>
    <w:rsid w:val="00C70EE2"/>
    <w:pPr>
      <w:tabs>
        <w:tab w:val="clear" w:pos="4320"/>
        <w:tab w:val="clear" w:pos="5040"/>
        <w:tab w:val="clear" w:pos="5760"/>
        <w:tab w:val="clear" w:pos="7200"/>
      </w:tabs>
      <w:spacing w:line="240" w:lineRule="auto"/>
      <w:ind w:firstLine="0"/>
    </w:pPr>
    <w:rPr>
      <w:lang w:eastAsia="en-AU"/>
    </w:rPr>
  </w:style>
  <w:style w:type="character" w:customStyle="1" w:styleId="CatchwordsTextChar">
    <w:name w:val="Catchwords Text Char"/>
    <w:link w:val="CatchwordsText"/>
    <w:locked/>
    <w:rsid w:val="00C70EE2"/>
    <w:rPr>
      <w:sz w:val="26"/>
    </w:rPr>
  </w:style>
  <w:style w:type="character" w:customStyle="1" w:styleId="Italics">
    <w:name w:val="Italics"/>
    <w:qFormat/>
    <w:rsid w:val="00D607F3"/>
    <w:rPr>
      <w:i/>
      <w:sz w:val="26"/>
    </w:rPr>
  </w:style>
  <w:style w:type="paragraph" w:customStyle="1" w:styleId="OrdersIndentLevel1a">
    <w:name w:val="Orders Indent Level 1 (a)"/>
    <w:basedOn w:val="a"/>
    <w:link w:val="OrdersIndentLevel1aChar"/>
    <w:qFormat/>
    <w:rsid w:val="00E209CD"/>
    <w:pPr>
      <w:tabs>
        <w:tab w:val="clear" w:pos="720"/>
        <w:tab w:val="clear" w:pos="1440"/>
        <w:tab w:val="clear" w:pos="2160"/>
        <w:tab w:val="clear" w:pos="4320"/>
        <w:tab w:val="clear" w:pos="5040"/>
        <w:tab w:val="clear" w:pos="5760"/>
        <w:tab w:val="clear" w:pos="7200"/>
        <w:tab w:val="left" w:pos="709"/>
        <w:tab w:val="left" w:pos="1418"/>
      </w:tabs>
      <w:spacing w:line="240" w:lineRule="auto"/>
      <w:ind w:left="1418" w:hanging="709"/>
    </w:pPr>
    <w:rPr>
      <w:i/>
      <w:szCs w:val="26"/>
    </w:rPr>
  </w:style>
  <w:style w:type="character" w:customStyle="1" w:styleId="OrdersIndentLevel1aChar">
    <w:name w:val="Orders Indent Level 1 (a) Char"/>
    <w:link w:val="OrdersIndentLevel1a"/>
    <w:locked/>
    <w:rsid w:val="00E209CD"/>
    <w:rPr>
      <w:i/>
      <w:sz w:val="26"/>
      <w:lang w:val="x-none" w:eastAsia="en-US"/>
    </w:rPr>
  </w:style>
  <w:style w:type="paragraph" w:customStyle="1" w:styleId="OrdersIndentLevel2i">
    <w:name w:val="Orders Indent Level 2 (i)"/>
    <w:basedOn w:val="a"/>
    <w:link w:val="OrdersIndentLevel2iChar"/>
    <w:qFormat/>
    <w:rsid w:val="00E209CD"/>
    <w:pPr>
      <w:tabs>
        <w:tab w:val="clear" w:pos="720"/>
        <w:tab w:val="clear" w:pos="1440"/>
        <w:tab w:val="clear" w:pos="4320"/>
        <w:tab w:val="clear" w:pos="5040"/>
        <w:tab w:val="clear" w:pos="5760"/>
        <w:tab w:val="clear" w:pos="7200"/>
      </w:tabs>
      <w:spacing w:line="240" w:lineRule="auto"/>
      <w:ind w:left="2836" w:hanging="1418"/>
    </w:pPr>
    <w:rPr>
      <w:i/>
      <w:szCs w:val="26"/>
    </w:rPr>
  </w:style>
  <w:style w:type="character" w:customStyle="1" w:styleId="OrdersIndentLevel2iChar">
    <w:name w:val="Orders Indent Level 2 (i) Char"/>
    <w:link w:val="OrdersIndentLevel2i"/>
    <w:locked/>
    <w:rsid w:val="00E209CD"/>
    <w:rPr>
      <w:i/>
      <w:sz w:val="26"/>
      <w:lang w:val="x-none" w:eastAsia="en-US"/>
    </w:rPr>
  </w:style>
  <w:style w:type="paragraph" w:customStyle="1" w:styleId="OrdersMatter">
    <w:name w:val="Orders Matter"/>
    <w:basedOn w:val="OrderCentre"/>
    <w:link w:val="OrdersMatterChar"/>
    <w:qFormat/>
    <w:rsid w:val="00E63FF9"/>
  </w:style>
  <w:style w:type="character" w:customStyle="1" w:styleId="OrdersMatterChar">
    <w:name w:val="Orders Matter Char"/>
    <w:link w:val="OrdersMatter"/>
    <w:locked/>
    <w:rsid w:val="00E63FF9"/>
    <w:rPr>
      <w:b/>
      <w:sz w:val="26"/>
      <w:lang w:val="en-GB" w:eastAsia="x-none"/>
    </w:rPr>
  </w:style>
  <w:style w:type="paragraph" w:customStyle="1" w:styleId="OrdersRight">
    <w:name w:val="Orders Right"/>
    <w:basedOn w:val="a"/>
    <w:link w:val="OrdersRightChar"/>
    <w:qFormat/>
    <w:rsid w:val="00D607F3"/>
    <w:pPr>
      <w:tabs>
        <w:tab w:val="clear" w:pos="4320"/>
        <w:tab w:val="clear" w:pos="5040"/>
        <w:tab w:val="clear" w:pos="5760"/>
        <w:tab w:val="clear" w:pos="7200"/>
      </w:tabs>
      <w:spacing w:line="240" w:lineRule="auto"/>
      <w:ind w:firstLine="0"/>
      <w:jc w:val="right"/>
    </w:pPr>
  </w:style>
  <w:style w:type="character" w:customStyle="1" w:styleId="OrdersRightChar">
    <w:name w:val="Orders Right Char"/>
    <w:link w:val="OrdersRight"/>
    <w:locked/>
    <w:rsid w:val="00D607F3"/>
    <w:rPr>
      <w:sz w:val="26"/>
      <w:lang w:val="x-none" w:eastAsia="en-US"/>
    </w:rPr>
  </w:style>
  <w:style w:type="paragraph" w:customStyle="1" w:styleId="OrdersText">
    <w:name w:val="Orders Text"/>
    <w:basedOn w:val="a"/>
    <w:link w:val="OrdersTextChar"/>
    <w:qFormat/>
    <w:rsid w:val="00E63FF9"/>
    <w:pPr>
      <w:spacing w:line="240" w:lineRule="auto"/>
      <w:ind w:left="709" w:hanging="709"/>
    </w:pPr>
    <w:rPr>
      <w:i/>
      <w:szCs w:val="26"/>
    </w:rPr>
  </w:style>
  <w:style w:type="character" w:customStyle="1" w:styleId="OrdersTextChar">
    <w:name w:val="Orders Text Char"/>
    <w:link w:val="OrdersText"/>
    <w:locked/>
    <w:rsid w:val="00E63FF9"/>
    <w:rPr>
      <w:i/>
      <w:sz w:val="26"/>
      <w:lang w:val="x-none" w:eastAsia="en-US"/>
    </w:rPr>
  </w:style>
  <w:style w:type="character" w:customStyle="1" w:styleId="a4">
    <w:name w:val="页眉 字符"/>
    <w:link w:val="a3"/>
    <w:locked/>
    <w:rsid w:val="002C6D17"/>
    <w:rPr>
      <w: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w2k8-fs1\mastertemplates\Production\Final-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7EC9-F56F-42F8-8337-94D62853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Final-new.dot</Template>
  <TotalTime>1</TotalTime>
  <Pages>11</Pages>
  <Words>1469</Words>
  <Characters>8375</Characters>
  <Application>Microsoft Office Word</Application>
  <DocSecurity>0</DocSecurity>
  <Lines>69</Lines>
  <Paragraphs>19</Paragraphs>
  <ScaleCrop>false</ScaleCrop>
  <Company>High Court of Australia</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High Court of Australia</dc:creator>
  <cp:keywords/>
  <dc:description/>
  <cp:lastModifiedBy>Digital Intern 2</cp:lastModifiedBy>
  <cp:revision>2</cp:revision>
  <cp:lastPrinted>2015-12-21T04:51:00Z</cp:lastPrinted>
  <dcterms:created xsi:type="dcterms:W3CDTF">2025-05-28T05:11:00Z</dcterms:created>
  <dcterms:modified xsi:type="dcterms:W3CDTF">2025-05-28T05:11:00Z</dcterms:modified>
</cp:coreProperties>
</file>