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17D8" w14:textId="77777777" w:rsidR="00877A9D" w:rsidRPr="00C04159" w:rsidRDefault="00877A9D" w:rsidP="00704FF8">
      <w:pPr>
        <w:pStyle w:val="OrdersTopLine"/>
      </w:pPr>
      <w:r w:rsidRPr="00C04159">
        <w:t>HIGH COURT OF AUSTRALIA</w:t>
      </w:r>
    </w:p>
    <w:p w14:paraId="40559F4C" w14:textId="77777777" w:rsidR="00877A9D" w:rsidRPr="00C04159" w:rsidRDefault="00877A9D" w:rsidP="00704FF8">
      <w:pPr>
        <w:pStyle w:val="OrderCentre"/>
      </w:pPr>
    </w:p>
    <w:p w14:paraId="2FCCFAAE" w14:textId="77777777" w:rsidR="00877A9D" w:rsidRPr="00C04159" w:rsidRDefault="00877A9D" w:rsidP="00704FF8">
      <w:pPr>
        <w:pStyle w:val="OrderCentre"/>
        <w:rPr>
          <w:spacing w:val="-4"/>
          <w:sz w:val="24"/>
          <w:szCs w:val="24"/>
        </w:rPr>
      </w:pPr>
      <w:r w:rsidRPr="00C04159">
        <w:rPr>
          <w:spacing w:val="-4"/>
          <w:sz w:val="24"/>
          <w:szCs w:val="24"/>
        </w:rPr>
        <w:t>GAGELER CJ,</w:t>
      </w:r>
    </w:p>
    <w:p w14:paraId="65B9B768" w14:textId="77777777" w:rsidR="00877A9D" w:rsidRPr="00C04159" w:rsidRDefault="00877A9D" w:rsidP="00704FF8">
      <w:pPr>
        <w:pStyle w:val="OrderCentre"/>
      </w:pPr>
      <w:r w:rsidRPr="00C04159">
        <w:rPr>
          <w:spacing w:val="-4"/>
          <w:sz w:val="24"/>
          <w:szCs w:val="24"/>
        </w:rPr>
        <w:t>GORDON, EDELMAN, STEWARD, GLEESON, JAGOT AND BEECH</w:t>
      </w:r>
      <w:r w:rsidRPr="00C04159">
        <w:rPr>
          <w:spacing w:val="-4"/>
          <w:sz w:val="24"/>
          <w:szCs w:val="24"/>
        </w:rPr>
        <w:noBreakHyphen/>
        <w:t>JONES JJ</w:t>
      </w:r>
    </w:p>
    <w:p w14:paraId="20BDF497" w14:textId="77777777" w:rsidR="00877A9D" w:rsidRPr="00C04159" w:rsidRDefault="00877A9D" w:rsidP="00EE5374">
      <w:pPr>
        <w:pStyle w:val="Centre"/>
        <w:rPr>
          <w:lang w:val="en-AU"/>
        </w:rPr>
      </w:pPr>
    </w:p>
    <w:p w14:paraId="325CF63C" w14:textId="77777777" w:rsidR="00877A9D" w:rsidRPr="00C04159" w:rsidRDefault="00877A9D" w:rsidP="00704FF8">
      <w:pPr>
        <w:pStyle w:val="OrdersCenteredBorder"/>
      </w:pPr>
    </w:p>
    <w:p w14:paraId="335F2A2C" w14:textId="77777777" w:rsidR="00877A9D" w:rsidRPr="00C04159" w:rsidRDefault="00877A9D" w:rsidP="0032341F">
      <w:pPr>
        <w:pStyle w:val="OrdersBodyHeading"/>
      </w:pPr>
    </w:p>
    <w:p w14:paraId="64E1B3AC" w14:textId="77777777" w:rsidR="00877A9D" w:rsidRPr="00C04159" w:rsidRDefault="00877A9D" w:rsidP="009362E8">
      <w:pPr>
        <w:pStyle w:val="OrdersPartyName"/>
        <w:ind w:right="-1"/>
      </w:pPr>
      <w:r w:rsidRPr="00C04159">
        <w:t>MATHEW CUCU BRAWN</w:t>
      </w:r>
      <w:r w:rsidRPr="00C04159">
        <w:tab/>
        <w:t>APPELLANT</w:t>
      </w:r>
    </w:p>
    <w:p w14:paraId="41B6B795" w14:textId="77777777" w:rsidR="00877A9D" w:rsidRPr="00C04159" w:rsidRDefault="00877A9D" w:rsidP="009362E8">
      <w:pPr>
        <w:pStyle w:val="OrdersPartyName"/>
        <w:ind w:right="-1"/>
      </w:pPr>
    </w:p>
    <w:p w14:paraId="19ADB0C3" w14:textId="77777777" w:rsidR="00877A9D" w:rsidRPr="00C04159" w:rsidRDefault="00877A9D" w:rsidP="009362E8">
      <w:pPr>
        <w:pStyle w:val="OrdersPartyName"/>
        <w:ind w:right="-1"/>
      </w:pPr>
      <w:r w:rsidRPr="00C04159">
        <w:t>AND</w:t>
      </w:r>
    </w:p>
    <w:p w14:paraId="3762F651" w14:textId="77777777" w:rsidR="00877A9D" w:rsidRPr="00C04159" w:rsidRDefault="00877A9D" w:rsidP="009362E8">
      <w:pPr>
        <w:pStyle w:val="OrdersPartyName"/>
        <w:ind w:right="-1"/>
      </w:pPr>
    </w:p>
    <w:p w14:paraId="6A905438" w14:textId="77777777" w:rsidR="00877A9D" w:rsidRPr="00C04159" w:rsidRDefault="00877A9D" w:rsidP="009362E8">
      <w:pPr>
        <w:pStyle w:val="OrdersPartyName"/>
        <w:ind w:right="-1"/>
      </w:pPr>
      <w:r w:rsidRPr="00C04159">
        <w:t>THE KING</w:t>
      </w:r>
      <w:r w:rsidRPr="00C04159">
        <w:tab/>
        <w:t>RESPONDENT</w:t>
      </w:r>
    </w:p>
    <w:p w14:paraId="3DFBDD88" w14:textId="77777777" w:rsidR="00877A9D" w:rsidRPr="00C04159" w:rsidRDefault="00877A9D" w:rsidP="00AF0A5E">
      <w:pPr>
        <w:pStyle w:val="BodyHeading"/>
      </w:pPr>
    </w:p>
    <w:p w14:paraId="026E878C" w14:textId="77777777" w:rsidR="00877A9D" w:rsidRPr="00C04159" w:rsidRDefault="00877A9D" w:rsidP="00BE0A6C">
      <w:pPr>
        <w:pStyle w:val="BodyHeading"/>
      </w:pPr>
    </w:p>
    <w:p w14:paraId="6552B0DE" w14:textId="77777777" w:rsidR="00877A9D" w:rsidRPr="00C04159" w:rsidRDefault="00877A9D" w:rsidP="00EE5374">
      <w:pPr>
        <w:pStyle w:val="CentreItalics"/>
      </w:pPr>
      <w:r w:rsidRPr="00C04159">
        <w:t>Brawn v The King</w:t>
      </w:r>
    </w:p>
    <w:p w14:paraId="30581888" w14:textId="77777777" w:rsidR="00877A9D" w:rsidRPr="00C04159" w:rsidRDefault="00877A9D" w:rsidP="00E90E4F">
      <w:pPr>
        <w:pStyle w:val="OrdersCentre"/>
      </w:pPr>
      <w:r w:rsidRPr="00C04159">
        <w:t xml:space="preserve">[2025] HCA </w:t>
      </w:r>
      <w:r>
        <w:t>20</w:t>
      </w:r>
    </w:p>
    <w:p w14:paraId="3EB1E8C1" w14:textId="77777777" w:rsidR="00877A9D" w:rsidRPr="00C04159" w:rsidRDefault="00877A9D" w:rsidP="00E90E4F">
      <w:pPr>
        <w:pStyle w:val="OrdersCentreItalics"/>
      </w:pPr>
      <w:r w:rsidRPr="00C04159">
        <w:t>Date of Hearing: 4 December 2024</w:t>
      </w:r>
    </w:p>
    <w:p w14:paraId="4A3B1BAA" w14:textId="77777777" w:rsidR="00877A9D" w:rsidRPr="00C04159" w:rsidRDefault="00877A9D" w:rsidP="00E90E4F">
      <w:pPr>
        <w:pStyle w:val="OrdersCentreItalics"/>
      </w:pPr>
      <w:r w:rsidRPr="00C04159">
        <w:t>Date of Judgment:</w:t>
      </w:r>
      <w:r>
        <w:t xml:space="preserve"> 7 May 2025</w:t>
      </w:r>
    </w:p>
    <w:p w14:paraId="58A123A5" w14:textId="77777777" w:rsidR="00877A9D" w:rsidRPr="00C04159" w:rsidRDefault="00877A9D" w:rsidP="00E90E4F">
      <w:pPr>
        <w:pStyle w:val="OrdersCentre"/>
      </w:pPr>
      <w:r w:rsidRPr="00C04159">
        <w:t>A20/2024</w:t>
      </w:r>
    </w:p>
    <w:p w14:paraId="38E15772" w14:textId="77777777" w:rsidR="00877A9D" w:rsidRPr="00C04159" w:rsidRDefault="00877A9D" w:rsidP="00E90E4F">
      <w:pPr>
        <w:pStyle w:val="OrdersCentre"/>
      </w:pPr>
    </w:p>
    <w:p w14:paraId="37E47679" w14:textId="77777777" w:rsidR="00877A9D" w:rsidRPr="00C04159" w:rsidRDefault="00877A9D" w:rsidP="00E90E4F">
      <w:pPr>
        <w:pStyle w:val="OrderCentreBold"/>
      </w:pPr>
      <w:r w:rsidRPr="00C04159">
        <w:t>ORDER</w:t>
      </w:r>
    </w:p>
    <w:p w14:paraId="52A1D36D" w14:textId="77777777" w:rsidR="00877A9D" w:rsidRPr="00C04159" w:rsidRDefault="00877A9D" w:rsidP="00736C52">
      <w:pPr>
        <w:pStyle w:val="Centre"/>
        <w:rPr>
          <w:lang w:val="en-AU"/>
        </w:rPr>
      </w:pPr>
    </w:p>
    <w:p w14:paraId="2538E3C7" w14:textId="77777777" w:rsidR="00877A9D" w:rsidRDefault="00877A9D" w:rsidP="00E63165">
      <w:pPr>
        <w:pStyle w:val="OrdersText"/>
      </w:pPr>
      <w:r>
        <w:t>1.</w:t>
      </w:r>
      <w:r>
        <w:tab/>
        <w:t>Appeal allowed.</w:t>
      </w:r>
    </w:p>
    <w:p w14:paraId="12870158" w14:textId="77777777" w:rsidR="00877A9D" w:rsidRDefault="00877A9D" w:rsidP="00E63165">
      <w:pPr>
        <w:pStyle w:val="OrdersText"/>
      </w:pPr>
    </w:p>
    <w:p w14:paraId="604B3B59" w14:textId="77777777" w:rsidR="00877A9D" w:rsidRDefault="00877A9D" w:rsidP="00E63165">
      <w:pPr>
        <w:pStyle w:val="OrdersText"/>
      </w:pPr>
      <w:r>
        <w:t>2.</w:t>
      </w:r>
      <w:r>
        <w:tab/>
      </w:r>
      <w:r w:rsidRPr="00566AD7">
        <w:t xml:space="preserve">Set aside the order made by the Court of Appeal of the Supreme Court of </w:t>
      </w:r>
      <w:r>
        <w:t>South Australia</w:t>
      </w:r>
      <w:r w:rsidRPr="00566AD7">
        <w:t xml:space="preserve"> on </w:t>
      </w:r>
      <w:r>
        <w:t>15 September 2022</w:t>
      </w:r>
      <w:r w:rsidRPr="00AD051D">
        <w:t xml:space="preserve"> </w:t>
      </w:r>
      <w:r>
        <w:t>and, in lieu thereof, the appellant's appeal to the Court of Appeal be allowed, his conviction set aside, and a new trial ordered.</w:t>
      </w:r>
    </w:p>
    <w:p w14:paraId="4130AFE1" w14:textId="77777777" w:rsidR="00877A9D" w:rsidRPr="00C04159" w:rsidRDefault="00877A9D" w:rsidP="00EE5374">
      <w:pPr>
        <w:pStyle w:val="Body"/>
      </w:pPr>
    </w:p>
    <w:p w14:paraId="03D82FD2" w14:textId="77777777" w:rsidR="00877A9D" w:rsidRPr="00C04159" w:rsidRDefault="00877A9D" w:rsidP="00EE5374">
      <w:pPr>
        <w:pStyle w:val="Body"/>
      </w:pPr>
    </w:p>
    <w:p w14:paraId="17AF400B" w14:textId="77777777" w:rsidR="00877A9D" w:rsidRPr="00C04159" w:rsidRDefault="00877A9D" w:rsidP="0032341F">
      <w:pPr>
        <w:pStyle w:val="OrdersBody"/>
      </w:pPr>
      <w:r w:rsidRPr="00C04159">
        <w:t>On appeal from the Supreme Court of South Australia</w:t>
      </w:r>
    </w:p>
    <w:p w14:paraId="393894AD" w14:textId="77777777" w:rsidR="00877A9D" w:rsidRPr="00C04159" w:rsidRDefault="00877A9D" w:rsidP="00EE5374">
      <w:pPr>
        <w:pStyle w:val="Body"/>
      </w:pPr>
    </w:p>
    <w:p w14:paraId="4AAC90E8" w14:textId="77777777" w:rsidR="00877A9D" w:rsidRPr="00C04159" w:rsidRDefault="00877A9D" w:rsidP="00EE5374">
      <w:pPr>
        <w:pStyle w:val="Body"/>
      </w:pPr>
    </w:p>
    <w:p w14:paraId="593FE8E0" w14:textId="77777777" w:rsidR="00877A9D" w:rsidRPr="00C04159" w:rsidRDefault="00877A9D" w:rsidP="00E90E4F">
      <w:pPr>
        <w:pStyle w:val="OrdersBodyHeading"/>
      </w:pPr>
      <w:r w:rsidRPr="00C04159">
        <w:t>Representation</w:t>
      </w:r>
    </w:p>
    <w:p w14:paraId="03D5B5FE" w14:textId="77777777" w:rsidR="00877A9D" w:rsidRPr="00C04159" w:rsidRDefault="00877A9D" w:rsidP="00EE5374">
      <w:pPr>
        <w:pStyle w:val="Body"/>
      </w:pPr>
    </w:p>
    <w:p w14:paraId="38B371DE" w14:textId="77777777" w:rsidR="00877A9D" w:rsidRPr="00C04159" w:rsidRDefault="00877A9D" w:rsidP="00E90E4F">
      <w:pPr>
        <w:pStyle w:val="OrdersBody"/>
      </w:pPr>
      <w:r w:rsidRPr="00C04159">
        <w:t xml:space="preserve">S G </w:t>
      </w:r>
      <w:proofErr w:type="spellStart"/>
      <w:r w:rsidRPr="00C04159">
        <w:t>Henchliffe</w:t>
      </w:r>
      <w:proofErr w:type="spellEnd"/>
      <w:r w:rsidRPr="00C04159">
        <w:t xml:space="preserve"> KC with A J Culshaw for the appellant (instructed by Caldicott &amp; Isaacs Lawyers)</w:t>
      </w:r>
    </w:p>
    <w:p w14:paraId="57242C03" w14:textId="77777777" w:rsidR="00877A9D" w:rsidRPr="00C04159" w:rsidRDefault="00877A9D" w:rsidP="001B3C97">
      <w:pPr>
        <w:pStyle w:val="Body"/>
      </w:pPr>
    </w:p>
    <w:p w14:paraId="21B94B2E" w14:textId="77777777" w:rsidR="00877A9D" w:rsidRPr="00C04159" w:rsidRDefault="00877A9D" w:rsidP="00E90E4F">
      <w:pPr>
        <w:pStyle w:val="OrdersBody"/>
      </w:pPr>
      <w:r w:rsidRPr="00C04159">
        <w:t>M G Hinton KC with K J Draper and W M Scobie for the respondent (instructed by Director of Public Prosecutions (SA))</w:t>
      </w:r>
    </w:p>
    <w:p w14:paraId="5C85E040" w14:textId="77777777" w:rsidR="00877A9D" w:rsidRPr="00C04159" w:rsidRDefault="00877A9D" w:rsidP="00A01277">
      <w:pPr>
        <w:pStyle w:val="Body"/>
      </w:pPr>
    </w:p>
    <w:p w14:paraId="444C5CC0" w14:textId="77777777" w:rsidR="00877A9D" w:rsidRDefault="00877A9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495521B1" w14:textId="77777777" w:rsidR="00877A9D" w:rsidRDefault="00877A9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16F8EE77" w14:textId="408F0239" w:rsidR="00877A9D" w:rsidRPr="00C04159" w:rsidRDefault="00877A9D" w:rsidP="00C04159">
      <w:pPr>
        <w:pStyle w:val="OrdersBody"/>
      </w:pPr>
      <w:r w:rsidRPr="00C04159">
        <w:lastRenderedPageBreak/>
        <w:t xml:space="preserve">R J Sharp KC with T M Wood </w:t>
      </w:r>
      <w:r>
        <w:t xml:space="preserve">for </w:t>
      </w:r>
      <w:r w:rsidRPr="00C04159">
        <w:t>the Commonwealth Director of Public Prosecutions, intervening (instructed by Office of the Director of Public Prosecutions (</w:t>
      </w:r>
      <w:proofErr w:type="spellStart"/>
      <w:r w:rsidRPr="00C04159">
        <w:t>Cth</w:t>
      </w:r>
      <w:proofErr w:type="spellEnd"/>
      <w:r w:rsidRPr="00C04159">
        <w:t>))</w:t>
      </w:r>
    </w:p>
    <w:p w14:paraId="66E0FE54" w14:textId="77777777" w:rsidR="00877A9D" w:rsidRPr="00C04159" w:rsidRDefault="00877A9D" w:rsidP="00C04159">
      <w:pPr>
        <w:pStyle w:val="OrdersBody"/>
      </w:pPr>
    </w:p>
    <w:p w14:paraId="6089D812" w14:textId="77777777" w:rsidR="00877A9D" w:rsidRPr="00C04159" w:rsidRDefault="00877A9D" w:rsidP="00C04159">
      <w:pPr>
        <w:pStyle w:val="OrdersBody"/>
      </w:pPr>
      <w:r w:rsidRPr="00C04159">
        <w:t xml:space="preserve">B A Hatfield SC with E R Nicholson </w:t>
      </w:r>
      <w:r>
        <w:t>for</w:t>
      </w:r>
      <w:r w:rsidRPr="00C04159">
        <w:t xml:space="preserve"> the Director of Public Prosecutions (NSW), intervening (instructed by Solicitor for Public Prosecutions (NSW))</w:t>
      </w:r>
    </w:p>
    <w:p w14:paraId="23331889" w14:textId="77777777" w:rsidR="00877A9D" w:rsidRPr="009D4BB3" w:rsidRDefault="00877A9D" w:rsidP="00C04159">
      <w:pPr>
        <w:pStyle w:val="OrdersBody"/>
      </w:pPr>
    </w:p>
    <w:p w14:paraId="7A410C1E" w14:textId="77777777" w:rsidR="00877A9D" w:rsidRDefault="00877A9D" w:rsidP="00A01277">
      <w:pPr>
        <w:pStyle w:val="Body"/>
      </w:pPr>
    </w:p>
    <w:p w14:paraId="0F9E5F37" w14:textId="77777777" w:rsidR="00877A9D" w:rsidRDefault="00877A9D" w:rsidP="00A01277">
      <w:pPr>
        <w:pStyle w:val="Body"/>
      </w:pPr>
    </w:p>
    <w:p w14:paraId="7E7CBF18" w14:textId="77777777" w:rsidR="00877A9D" w:rsidRDefault="00877A9D" w:rsidP="00A01277">
      <w:pPr>
        <w:pStyle w:val="Body"/>
      </w:pPr>
    </w:p>
    <w:p w14:paraId="74951674" w14:textId="77777777" w:rsidR="00877A9D" w:rsidRDefault="00877A9D" w:rsidP="00A01277">
      <w:pPr>
        <w:pStyle w:val="Body"/>
      </w:pPr>
    </w:p>
    <w:p w14:paraId="77C3CEDC" w14:textId="77777777" w:rsidR="00877A9D" w:rsidRDefault="00877A9D" w:rsidP="00A01277">
      <w:pPr>
        <w:pStyle w:val="Body"/>
      </w:pPr>
    </w:p>
    <w:p w14:paraId="786622E7" w14:textId="77777777" w:rsidR="00877A9D" w:rsidRDefault="00877A9D" w:rsidP="00A01277">
      <w:pPr>
        <w:pStyle w:val="Body"/>
      </w:pPr>
    </w:p>
    <w:p w14:paraId="221E17E2" w14:textId="77777777" w:rsidR="00877A9D" w:rsidRDefault="00877A9D" w:rsidP="00A01277">
      <w:pPr>
        <w:pStyle w:val="Body"/>
      </w:pPr>
    </w:p>
    <w:p w14:paraId="621103F8" w14:textId="77777777" w:rsidR="00877A9D" w:rsidRDefault="00877A9D" w:rsidP="00A01277">
      <w:pPr>
        <w:pStyle w:val="Body"/>
      </w:pPr>
    </w:p>
    <w:p w14:paraId="291895D7" w14:textId="77777777" w:rsidR="00877A9D" w:rsidRDefault="00877A9D" w:rsidP="00A01277">
      <w:pPr>
        <w:pStyle w:val="Body"/>
      </w:pPr>
    </w:p>
    <w:p w14:paraId="6BDE2963" w14:textId="77777777" w:rsidR="00877A9D" w:rsidRDefault="00877A9D" w:rsidP="00A01277">
      <w:pPr>
        <w:pStyle w:val="Body"/>
      </w:pPr>
    </w:p>
    <w:p w14:paraId="148861AA" w14:textId="77777777" w:rsidR="00877A9D" w:rsidRDefault="00877A9D" w:rsidP="00A01277">
      <w:pPr>
        <w:pStyle w:val="Body"/>
      </w:pPr>
    </w:p>
    <w:p w14:paraId="752F2709" w14:textId="77777777" w:rsidR="00877A9D" w:rsidRDefault="00877A9D" w:rsidP="00A01277">
      <w:pPr>
        <w:pStyle w:val="Body"/>
      </w:pPr>
    </w:p>
    <w:p w14:paraId="4B9DA452" w14:textId="77777777" w:rsidR="00877A9D" w:rsidRDefault="00877A9D" w:rsidP="00A01277">
      <w:pPr>
        <w:pStyle w:val="Body"/>
      </w:pPr>
    </w:p>
    <w:p w14:paraId="3E24462F" w14:textId="77777777" w:rsidR="00877A9D" w:rsidRDefault="00877A9D" w:rsidP="00A01277">
      <w:pPr>
        <w:pStyle w:val="Body"/>
      </w:pPr>
    </w:p>
    <w:p w14:paraId="7DD9A67E" w14:textId="77777777" w:rsidR="00877A9D" w:rsidRDefault="00877A9D" w:rsidP="00A01277">
      <w:pPr>
        <w:pStyle w:val="Body"/>
      </w:pPr>
    </w:p>
    <w:p w14:paraId="01A36E72" w14:textId="77777777" w:rsidR="00877A9D" w:rsidRDefault="00877A9D" w:rsidP="00A01277">
      <w:pPr>
        <w:pStyle w:val="Body"/>
      </w:pPr>
    </w:p>
    <w:p w14:paraId="17368DB8" w14:textId="77777777" w:rsidR="00877A9D" w:rsidRDefault="00877A9D" w:rsidP="00A01277">
      <w:pPr>
        <w:pStyle w:val="Body"/>
      </w:pPr>
    </w:p>
    <w:p w14:paraId="52DB2EA3" w14:textId="77777777" w:rsidR="00877A9D" w:rsidRDefault="00877A9D" w:rsidP="00A01277">
      <w:pPr>
        <w:pStyle w:val="Body"/>
      </w:pPr>
    </w:p>
    <w:p w14:paraId="36169408" w14:textId="77777777" w:rsidR="00877A9D" w:rsidRDefault="00877A9D" w:rsidP="00A01277">
      <w:pPr>
        <w:pStyle w:val="Body"/>
      </w:pPr>
    </w:p>
    <w:p w14:paraId="115A14E6" w14:textId="77777777" w:rsidR="00877A9D" w:rsidRDefault="00877A9D" w:rsidP="00A01277">
      <w:pPr>
        <w:pStyle w:val="Body"/>
      </w:pPr>
    </w:p>
    <w:p w14:paraId="55817F61" w14:textId="77777777" w:rsidR="00877A9D" w:rsidRDefault="00877A9D" w:rsidP="00A01277">
      <w:pPr>
        <w:pStyle w:val="Body"/>
      </w:pPr>
    </w:p>
    <w:p w14:paraId="654D35FF" w14:textId="77777777" w:rsidR="00877A9D" w:rsidRDefault="00877A9D" w:rsidP="00A01277">
      <w:pPr>
        <w:pStyle w:val="Body"/>
      </w:pPr>
    </w:p>
    <w:p w14:paraId="0266E651" w14:textId="77777777" w:rsidR="00877A9D" w:rsidRDefault="00877A9D" w:rsidP="00A01277">
      <w:pPr>
        <w:pStyle w:val="Body"/>
      </w:pPr>
    </w:p>
    <w:p w14:paraId="0629ADEA" w14:textId="77777777" w:rsidR="00877A9D" w:rsidRDefault="00877A9D" w:rsidP="00A01277">
      <w:pPr>
        <w:pStyle w:val="Body"/>
      </w:pPr>
    </w:p>
    <w:p w14:paraId="6F193345" w14:textId="77777777" w:rsidR="00877A9D" w:rsidRDefault="00877A9D" w:rsidP="00A01277">
      <w:pPr>
        <w:pStyle w:val="Body"/>
      </w:pPr>
    </w:p>
    <w:p w14:paraId="2C572FF5" w14:textId="77777777" w:rsidR="00877A9D" w:rsidRDefault="00877A9D" w:rsidP="00A01277">
      <w:pPr>
        <w:pStyle w:val="Body"/>
      </w:pPr>
    </w:p>
    <w:p w14:paraId="2C7ADEA0" w14:textId="77777777" w:rsidR="00877A9D" w:rsidRDefault="00877A9D" w:rsidP="00EE5374">
      <w:pPr>
        <w:pStyle w:val="Body"/>
      </w:pPr>
    </w:p>
    <w:p w14:paraId="00BB6031" w14:textId="77777777" w:rsidR="00877A9D" w:rsidRPr="00427F3A" w:rsidRDefault="00877A9D" w:rsidP="00EE5374">
      <w:pPr>
        <w:pStyle w:val="Body"/>
      </w:pPr>
    </w:p>
    <w:p w14:paraId="2F65F6E4" w14:textId="77777777" w:rsidR="00877A9D" w:rsidRPr="00427F3A" w:rsidRDefault="00877A9D" w:rsidP="00F9713B">
      <w:pPr>
        <w:pStyle w:val="Notice"/>
        <w:rPr>
          <w:lang w:val="en-AU"/>
        </w:rPr>
      </w:pPr>
      <w:r w:rsidRPr="00427F3A">
        <w:rPr>
          <w:lang w:val="en-AU"/>
        </w:rPr>
        <w:t>Notice:  This copy of the Court's Reasons for Judgment is subject to formal revision prior to publication in the Commonwealth Law Reports.</w:t>
      </w:r>
    </w:p>
    <w:p w14:paraId="154761C8" w14:textId="738706AF" w:rsidR="00877A9D" w:rsidRDefault="00877A9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A257D1" w14:textId="77777777" w:rsidR="00DD5BCA" w:rsidRDefault="00877A9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D5BCA" w:rsidSect="00877A9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55CD3E3" w14:textId="77777777" w:rsidR="00DD5BCA" w:rsidRPr="00DD5BCA" w:rsidRDefault="00DD5BCA" w:rsidP="00DD5BCA">
      <w:pPr>
        <w:pStyle w:val="CatchwordsBold"/>
      </w:pPr>
      <w:r w:rsidRPr="00DD5BCA">
        <w:lastRenderedPageBreak/>
        <w:t>CATCHWORDS</w:t>
      </w:r>
    </w:p>
    <w:p w14:paraId="4539775E" w14:textId="77777777" w:rsidR="00DD5BCA" w:rsidRPr="00DD5BCA" w:rsidRDefault="00DD5BCA" w:rsidP="00DD5BCA">
      <w:pPr>
        <w:pStyle w:val="CatchwordsBold"/>
      </w:pPr>
    </w:p>
    <w:p w14:paraId="48A52B10" w14:textId="77777777" w:rsidR="00DD5BCA" w:rsidRDefault="00DD5BCA" w:rsidP="00DD5BCA">
      <w:pPr>
        <w:pStyle w:val="CatchwordsBold"/>
      </w:pPr>
      <w:r w:rsidRPr="00DD5BCA">
        <w:t>Brawn v The King</w:t>
      </w:r>
    </w:p>
    <w:p w14:paraId="1D9F1B47" w14:textId="77777777" w:rsidR="00DD5BCA" w:rsidRPr="00DD5BCA" w:rsidRDefault="00DD5BCA" w:rsidP="00DD5BCA">
      <w:pPr>
        <w:pStyle w:val="CatchwordsBold"/>
      </w:pPr>
    </w:p>
    <w:p w14:paraId="0371DD75" w14:textId="77777777" w:rsidR="00DD5BCA" w:rsidRDefault="00DD5BCA" w:rsidP="00DD5BCA">
      <w:pPr>
        <w:pStyle w:val="CatchwordsText"/>
      </w:pPr>
      <w:r>
        <w:t>Criminal practice – Appeal – Irregularity in criminal trial</w:t>
      </w:r>
      <w:r w:rsidRPr="00A54972">
        <w:t xml:space="preserve"> –</w:t>
      </w:r>
      <w:r>
        <w:t xml:space="preserve"> Where </w:t>
      </w:r>
      <w:r w:rsidRPr="006E3968">
        <w:t>principal issue at trial was whether perpetrator was appellant or another adult member of complainant's community</w:t>
      </w:r>
      <w:r w:rsidRPr="00010134">
        <w:t xml:space="preserve"> –</w:t>
      </w:r>
      <w:r>
        <w:t xml:space="preserve"> Where after trial prosecution disclosed appellant's father had been charged with sexual offences against another child – Where appellant appealed conviction on ground that </w:t>
      </w:r>
      <w:r w:rsidRPr="000802E4">
        <w:t>there had been a miscarriage of justice</w:t>
      </w:r>
      <w:r w:rsidRPr="00936210">
        <w:t xml:space="preserve"> –</w:t>
      </w:r>
      <w:r>
        <w:t xml:space="preserve"> Where Court of Appeal of Supreme Court of South Australia found prosecution breached prosecution's common law duty of disclosure – Where Court of Appeal found </w:t>
      </w:r>
      <w:r w:rsidRPr="00B306E8">
        <w:t xml:space="preserve">no miscarriage of justice because </w:t>
      </w:r>
      <w:r>
        <w:t>appellant did not</w:t>
      </w:r>
      <w:r w:rsidRPr="00B306E8">
        <w:t xml:space="preserve"> demonstrate</w:t>
      </w:r>
      <w:r>
        <w:t xml:space="preserve"> </w:t>
      </w:r>
      <w:r w:rsidRPr="00B306E8">
        <w:t xml:space="preserve">that defence </w:t>
      </w:r>
      <w:r>
        <w:t>would</w:t>
      </w:r>
      <w:r w:rsidRPr="00B306E8">
        <w:t xml:space="preserve"> have been conducted differently</w:t>
      </w:r>
      <w:r>
        <w:t xml:space="preserve"> but for breach of duty of disclosure</w:t>
      </w:r>
      <w:r w:rsidRPr="00B306E8">
        <w:t xml:space="preserve"> –</w:t>
      </w:r>
      <w:r>
        <w:t xml:space="preserve"> Whether Court of Appeal erred in finding no miscarriage of justice</w:t>
      </w:r>
      <w:r w:rsidRPr="00B306E8">
        <w:t xml:space="preserve"> –</w:t>
      </w:r>
      <w:r>
        <w:t xml:space="preserve"> Whether error or </w:t>
      </w:r>
      <w:r w:rsidRPr="0006035C">
        <w:t xml:space="preserve">irregularity must be material </w:t>
      </w:r>
      <w:r>
        <w:t xml:space="preserve">to establish miscarriage of justice. </w:t>
      </w:r>
    </w:p>
    <w:p w14:paraId="223432C7" w14:textId="77777777" w:rsidR="00DD5BCA" w:rsidRPr="00B306E8" w:rsidRDefault="00DD5BCA" w:rsidP="00DD5BCA">
      <w:pPr>
        <w:pStyle w:val="CatchwordsText"/>
      </w:pPr>
    </w:p>
    <w:p w14:paraId="42498069" w14:textId="77777777" w:rsidR="00DD5BCA" w:rsidRDefault="00DD5BCA" w:rsidP="00DD5BCA">
      <w:pPr>
        <w:pStyle w:val="CatchwordsText"/>
      </w:pPr>
      <w:r w:rsidRPr="00AD18D4">
        <w:t>Words and phrases</w:t>
      </w:r>
      <w:r>
        <w:t xml:space="preserve"> </w:t>
      </w:r>
      <w:bookmarkStart w:id="0" w:name="_Hlk161737022"/>
      <w:r>
        <w:t xml:space="preserve">– </w:t>
      </w:r>
      <w:bookmarkEnd w:id="0"/>
      <w:r>
        <w:t>"</w:t>
      </w:r>
      <w:r w:rsidRPr="000632B8">
        <w:t>all relevant evidence</w:t>
      </w:r>
      <w:r>
        <w:t>", "appeal", "burden", "</w:t>
      </w:r>
      <w:r w:rsidRPr="00301AD6">
        <w:t>categories of potential miscarriages of justice</w:t>
      </w:r>
      <w:r>
        <w:t>", "</w:t>
      </w:r>
      <w:r w:rsidRPr="008B5A96">
        <w:t>character evidence</w:t>
      </w:r>
      <w:r>
        <w:t>", "common form criminal appeal provision", "concession", "conviction set aside", "</w:t>
      </w:r>
      <w:r w:rsidRPr="00440F11">
        <w:t>could realistically have affected the reasoning of the jury to a verdict of guilt</w:t>
      </w:r>
      <w:r>
        <w:t>y", "disclosure after the trial", "duty of disclosure", "error or irregularity", "</w:t>
      </w:r>
      <w:r w:rsidRPr="008F3F1A">
        <w:t>fanciful or improbable</w:t>
      </w:r>
      <w:r>
        <w:t>", "final address", "</w:t>
      </w:r>
      <w:r w:rsidRPr="00522298">
        <w:t>forensic utility</w:t>
      </w:r>
      <w:r>
        <w:t>", "fundamental", "identity of the perpetrator", "</w:t>
      </w:r>
      <w:r w:rsidRPr="003309E6">
        <w:t>informing a relevant line of inquiry</w:t>
      </w:r>
      <w:r>
        <w:t>", "</w:t>
      </w:r>
      <w:r w:rsidRPr="0076046C">
        <w:t>maintaining an unlawful sexual relationship with a child under the age of 1</w:t>
      </w:r>
      <w:r>
        <w:t>7</w:t>
      </w:r>
      <w:r w:rsidRPr="0076046C">
        <w:t xml:space="preserve"> years</w:t>
      </w:r>
      <w:r>
        <w:t>", "materiality", "miscarriage of justice", "negative proposition", "new trial ordered", "</w:t>
      </w:r>
      <w:r w:rsidRPr="00E44D80">
        <w:t>opening address</w:t>
      </w:r>
      <w:r>
        <w:t>", "perpetrator", "proviso", "third limb".</w:t>
      </w:r>
    </w:p>
    <w:p w14:paraId="3D53976E" w14:textId="77777777" w:rsidR="00DD5BCA" w:rsidRDefault="00DD5BCA" w:rsidP="00DD5BCA">
      <w:pPr>
        <w:pStyle w:val="CatchwordsText"/>
      </w:pPr>
    </w:p>
    <w:p w14:paraId="1E184A68" w14:textId="5197FE2A" w:rsidR="00877A9D" w:rsidRDefault="00DD5BCA" w:rsidP="00DD5BCA">
      <w:pPr>
        <w:pStyle w:val="CatchwordsText"/>
      </w:pPr>
      <w:r w:rsidRPr="00DD5BCA">
        <w:rPr>
          <w:i/>
          <w:iCs/>
        </w:rPr>
        <w:t>Criminal Procedure Act 1921</w:t>
      </w:r>
      <w:r>
        <w:t> </w:t>
      </w:r>
      <w:r w:rsidRPr="00C16591">
        <w:t>(SA), s</w:t>
      </w:r>
      <w:r>
        <w:t> </w:t>
      </w:r>
      <w:r w:rsidRPr="00C16591">
        <w:t>15</w:t>
      </w:r>
      <w:r>
        <w:t>8.</w:t>
      </w:r>
    </w:p>
    <w:p w14:paraId="7045ADD9" w14:textId="0A57D672" w:rsidR="00DD5BCA" w:rsidRDefault="00DD5B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6CA88E9" w14:textId="02F34703" w:rsidR="00DD5BCA" w:rsidRDefault="00DD5BC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9F7F4F0" w14:textId="77777777" w:rsidR="00877A9D" w:rsidRDefault="00877A9D" w:rsidP="005B5ADE">
      <w:pPr>
        <w:pStyle w:val="FixListStyle"/>
        <w:tabs>
          <w:tab w:val="clear" w:pos="720"/>
          <w:tab w:val="left" w:pos="0"/>
        </w:tabs>
        <w:spacing w:after="260" w:line="280" w:lineRule="exact"/>
        <w:ind w:right="0"/>
        <w:jc w:val="both"/>
        <w:rPr>
          <w:rFonts w:ascii="Times New Roman" w:hAnsi="Times New Roman"/>
        </w:rPr>
        <w:sectPr w:rsidR="00877A9D" w:rsidSect="00DD5BCA">
          <w:pgSz w:w="11907" w:h="16839" w:code="9"/>
          <w:pgMar w:top="1440" w:right="1701" w:bottom="1984" w:left="1701" w:header="720" w:footer="720" w:gutter="0"/>
          <w:pgNumType w:start="1"/>
          <w:cols w:space="720"/>
          <w:titlePg/>
          <w:docGrid w:linePitch="354"/>
        </w:sectPr>
      </w:pPr>
    </w:p>
    <w:p w14:paraId="5BA584F6" w14:textId="1DCD692F" w:rsidR="00B47311" w:rsidRPr="005B5ADE" w:rsidRDefault="005B5ADE" w:rsidP="005B5ADE">
      <w:pPr>
        <w:pStyle w:val="FixListStyle"/>
        <w:tabs>
          <w:tab w:val="clear" w:pos="720"/>
          <w:tab w:val="left" w:pos="0"/>
        </w:tabs>
        <w:spacing w:after="260" w:line="280" w:lineRule="exact"/>
        <w:ind w:right="0"/>
        <w:jc w:val="both"/>
        <w:rPr>
          <w:rFonts w:ascii="Times New Roman" w:hAnsi="Times New Roman"/>
        </w:rPr>
      </w:pPr>
      <w:r w:rsidRPr="005B5ADE">
        <w:rPr>
          <w:rFonts w:ascii="Times New Roman" w:hAnsi="Times New Roman"/>
        </w:rPr>
        <w:lastRenderedPageBreak/>
        <w:t xml:space="preserve">GAGELER CJ, GORDON, EDELMAN, STEWARD, GLEESON, JAGOT AND BEECH-JONES JJ.   </w:t>
      </w:r>
      <w:r w:rsidR="00B47311" w:rsidRPr="005B5ADE">
        <w:rPr>
          <w:rFonts w:ascii="Times New Roman" w:hAnsi="Times New Roman"/>
        </w:rPr>
        <w:t xml:space="preserve">After a trial </w:t>
      </w:r>
      <w:r w:rsidR="002E62FF" w:rsidRPr="005B5ADE">
        <w:rPr>
          <w:rFonts w:ascii="Times New Roman" w:hAnsi="Times New Roman"/>
        </w:rPr>
        <w:t>by jury</w:t>
      </w:r>
      <w:r w:rsidR="00B47311" w:rsidRPr="005B5ADE">
        <w:rPr>
          <w:rFonts w:ascii="Times New Roman" w:hAnsi="Times New Roman"/>
        </w:rPr>
        <w:t xml:space="preserve"> in the District Court of South Australia, the appellant was convicted of an offence of maintaining an unlawful sexual relationship with a child under the age of 1</w:t>
      </w:r>
      <w:r w:rsidR="009E662F" w:rsidRPr="005B5ADE">
        <w:rPr>
          <w:rFonts w:ascii="Times New Roman" w:hAnsi="Times New Roman"/>
        </w:rPr>
        <w:t>7</w:t>
      </w:r>
      <w:r w:rsidR="00B47311" w:rsidRPr="005B5ADE">
        <w:rPr>
          <w:rFonts w:ascii="Times New Roman" w:hAnsi="Times New Roman"/>
        </w:rPr>
        <w:t> years,</w:t>
      </w:r>
      <w:r w:rsidR="00B47311" w:rsidRPr="005B5ADE">
        <w:rPr>
          <w:rStyle w:val="FootnoteReference"/>
          <w:rFonts w:ascii="Times New Roman" w:hAnsi="Times New Roman"/>
          <w:sz w:val="24"/>
        </w:rPr>
        <w:footnoteReference w:id="2"/>
      </w:r>
      <w:r w:rsidR="00B47311" w:rsidRPr="005B5ADE">
        <w:rPr>
          <w:rFonts w:ascii="Times New Roman" w:hAnsi="Times New Roman"/>
        </w:rPr>
        <w:t xml:space="preserve"> namely a girl who was aged between 5 and 8 years during the period the offence was committed.</w:t>
      </w:r>
      <w:r w:rsidR="00E36D63" w:rsidRPr="005B5ADE">
        <w:rPr>
          <w:rFonts w:ascii="Times New Roman" w:hAnsi="Times New Roman"/>
          <w:b/>
          <w:sz w:val="24"/>
          <w:vertAlign w:val="superscript"/>
        </w:rPr>
        <w:footnoteReference w:id="3"/>
      </w:r>
      <w:r w:rsidR="00B47311" w:rsidRPr="005B5ADE">
        <w:rPr>
          <w:rFonts w:ascii="Times New Roman" w:hAnsi="Times New Roman"/>
        </w:rPr>
        <w:t xml:space="preserve"> The principal issue at the appellant's trial was whether the perpetrator was the appellant or another adult member of </w:t>
      </w:r>
      <w:r w:rsidR="00E36D63" w:rsidRPr="005B5ADE">
        <w:rPr>
          <w:rFonts w:ascii="Times New Roman" w:hAnsi="Times New Roman"/>
        </w:rPr>
        <w:t>the complainant</w:t>
      </w:r>
      <w:r w:rsidR="00B47311" w:rsidRPr="005B5ADE">
        <w:rPr>
          <w:rFonts w:ascii="Times New Roman" w:hAnsi="Times New Roman"/>
        </w:rPr>
        <w:t>'s community</w:t>
      </w:r>
      <w:r w:rsidR="00B805C6" w:rsidRPr="005B5ADE">
        <w:rPr>
          <w:rFonts w:ascii="Times New Roman" w:hAnsi="Times New Roman"/>
        </w:rPr>
        <w:t>. A</w:t>
      </w:r>
      <w:r w:rsidR="00B47311" w:rsidRPr="005B5ADE">
        <w:rPr>
          <w:rFonts w:ascii="Times New Roman" w:hAnsi="Times New Roman"/>
        </w:rPr>
        <w:t xml:space="preserve">ccording to one witness, </w:t>
      </w:r>
      <w:r w:rsidR="00E36D63" w:rsidRPr="005B5ADE">
        <w:rPr>
          <w:rFonts w:ascii="Times New Roman" w:hAnsi="Times New Roman"/>
        </w:rPr>
        <w:t>the complainant</w:t>
      </w:r>
      <w:r w:rsidR="00B47311" w:rsidRPr="005B5ADE">
        <w:rPr>
          <w:rFonts w:ascii="Times New Roman" w:hAnsi="Times New Roman"/>
        </w:rPr>
        <w:t xml:space="preserve"> </w:t>
      </w:r>
      <w:r w:rsidR="004E38B6" w:rsidRPr="005B5ADE">
        <w:rPr>
          <w:rFonts w:ascii="Times New Roman" w:hAnsi="Times New Roman"/>
        </w:rPr>
        <w:t>said she was</w:t>
      </w:r>
      <w:r w:rsidR="00B805C6" w:rsidRPr="005B5ADE">
        <w:rPr>
          <w:rFonts w:ascii="Times New Roman" w:hAnsi="Times New Roman"/>
        </w:rPr>
        <w:t xml:space="preserve"> abused by</w:t>
      </w:r>
      <w:r w:rsidR="00B47311" w:rsidRPr="005B5ADE">
        <w:rPr>
          <w:rFonts w:ascii="Times New Roman" w:hAnsi="Times New Roman"/>
        </w:rPr>
        <w:t xml:space="preserve"> her "uncle". Like other children in her community, </w:t>
      </w:r>
      <w:r w:rsidR="00E36D63" w:rsidRPr="005B5ADE">
        <w:rPr>
          <w:rFonts w:ascii="Times New Roman" w:hAnsi="Times New Roman"/>
        </w:rPr>
        <w:t>the complainant</w:t>
      </w:r>
      <w:r w:rsidR="00B47311" w:rsidRPr="005B5ADE">
        <w:rPr>
          <w:rFonts w:ascii="Times New Roman" w:hAnsi="Times New Roman"/>
        </w:rPr>
        <w:t xml:space="preserve"> referred to elder males within that community, including the appellant's father</w:t>
      </w:r>
      <w:r w:rsidR="0026175F" w:rsidRPr="005B5ADE">
        <w:rPr>
          <w:rFonts w:ascii="Times New Roman" w:hAnsi="Times New Roman"/>
        </w:rPr>
        <w:t xml:space="preserve"> (</w:t>
      </w:r>
      <w:r w:rsidR="00472C3D" w:rsidRPr="005B5ADE">
        <w:rPr>
          <w:rFonts w:ascii="Times New Roman" w:hAnsi="Times New Roman"/>
        </w:rPr>
        <w:t>"</w:t>
      </w:r>
      <w:r w:rsidR="0003324C" w:rsidRPr="005B5ADE">
        <w:rPr>
          <w:rFonts w:ascii="Times New Roman" w:hAnsi="Times New Roman"/>
        </w:rPr>
        <w:t>X</w:t>
      </w:r>
      <w:r w:rsidR="00472C3D" w:rsidRPr="005B5ADE">
        <w:rPr>
          <w:rFonts w:ascii="Times New Roman" w:hAnsi="Times New Roman"/>
        </w:rPr>
        <w:t>"</w:t>
      </w:r>
      <w:r w:rsidR="0026175F" w:rsidRPr="005B5ADE">
        <w:rPr>
          <w:rFonts w:ascii="Times New Roman" w:hAnsi="Times New Roman"/>
        </w:rPr>
        <w:t>)</w:t>
      </w:r>
      <w:r w:rsidR="00B47311" w:rsidRPr="005B5ADE">
        <w:rPr>
          <w:rFonts w:ascii="Times New Roman" w:hAnsi="Times New Roman"/>
        </w:rPr>
        <w:t xml:space="preserve">, as </w:t>
      </w:r>
      <w:r w:rsidR="00727B5E" w:rsidRPr="005B5ADE">
        <w:rPr>
          <w:rFonts w:ascii="Times New Roman" w:hAnsi="Times New Roman"/>
        </w:rPr>
        <w:t>"</w:t>
      </w:r>
      <w:r w:rsidR="00B47311" w:rsidRPr="005B5ADE">
        <w:rPr>
          <w:rFonts w:ascii="Times New Roman" w:hAnsi="Times New Roman"/>
        </w:rPr>
        <w:t>uncle</w:t>
      </w:r>
      <w:r w:rsidR="00727B5E" w:rsidRPr="005B5ADE">
        <w:rPr>
          <w:rFonts w:ascii="Times New Roman" w:hAnsi="Times New Roman"/>
        </w:rPr>
        <w:t>"</w:t>
      </w:r>
      <w:r w:rsidR="00B47311" w:rsidRPr="005B5ADE">
        <w:rPr>
          <w:rFonts w:ascii="Times New Roman" w:hAnsi="Times New Roman"/>
        </w:rPr>
        <w:t xml:space="preserve">. </w:t>
      </w:r>
    </w:p>
    <w:p w14:paraId="77EAAFD9" w14:textId="29EF242B"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 xml:space="preserve">The appellant appealed his conviction. The Court of Appeal of the Supreme Court of South Australia found that the prosecution breached its common law duty of disclosure by failing to disclose to the appellant and his legal representatives that </w:t>
      </w:r>
      <w:r w:rsidR="00AF6ED5" w:rsidRPr="005B5ADE">
        <w:rPr>
          <w:rFonts w:ascii="Times New Roman" w:hAnsi="Times New Roman"/>
        </w:rPr>
        <w:t>X</w:t>
      </w:r>
      <w:r w:rsidRPr="005B5ADE">
        <w:rPr>
          <w:rFonts w:ascii="Times New Roman" w:hAnsi="Times New Roman"/>
        </w:rPr>
        <w:t xml:space="preserve"> had been charged with committing unlawful sexual acts against a teenage girl during a period that overlapped with the </w:t>
      </w:r>
      <w:r w:rsidR="00727B5E" w:rsidRPr="005B5ADE">
        <w:rPr>
          <w:rFonts w:ascii="Times New Roman" w:hAnsi="Times New Roman"/>
        </w:rPr>
        <w:t xml:space="preserve">period of the </w:t>
      </w:r>
      <w:r w:rsidRPr="005B5ADE">
        <w:rPr>
          <w:rFonts w:ascii="Times New Roman" w:hAnsi="Times New Roman"/>
        </w:rPr>
        <w:t>indictment.</w:t>
      </w:r>
      <w:r w:rsidR="00E77B73" w:rsidRPr="005B5ADE">
        <w:rPr>
          <w:rFonts w:ascii="Times New Roman" w:hAnsi="Times New Roman"/>
        </w:rPr>
        <w:t xml:space="preserve"> </w:t>
      </w:r>
      <w:r w:rsidRPr="005B5ADE">
        <w:rPr>
          <w:rFonts w:ascii="Times New Roman" w:hAnsi="Times New Roman"/>
        </w:rPr>
        <w:t xml:space="preserve">However, the Court of Appeal held that </w:t>
      </w:r>
      <w:r w:rsidR="003C5CFE" w:rsidRPr="005B5ADE">
        <w:rPr>
          <w:rFonts w:ascii="Times New Roman" w:hAnsi="Times New Roman"/>
        </w:rPr>
        <w:t xml:space="preserve">there was </w:t>
      </w:r>
      <w:r w:rsidRPr="005B5ADE">
        <w:rPr>
          <w:rFonts w:ascii="Times New Roman" w:hAnsi="Times New Roman"/>
        </w:rPr>
        <w:t>no miscarriage of justice because it had not been demonstrated that, had that disclosure been made prior to or during the trial, the appellant's defence either "would" or "might" have been conducted differently.</w:t>
      </w:r>
      <w:r w:rsidR="00764FDF" w:rsidRPr="005B5ADE">
        <w:rPr>
          <w:rStyle w:val="FootnoteReference"/>
          <w:rFonts w:ascii="Times New Roman" w:hAnsi="Times New Roman"/>
          <w:sz w:val="24"/>
        </w:rPr>
        <w:footnoteReference w:id="4"/>
      </w:r>
    </w:p>
    <w:p w14:paraId="016919E9" w14:textId="26B07F8B"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 xml:space="preserve">For the reasons that follow, where it has been shown that there was error or irregularity in a criminal trial, such as the breach of the prosecution's duty of disclosure that occurred in this case, then to establish a miscarriage of justice it must be shown that the error or irregularity was material in the sense that the error or irregularity could realistically have affected the reasoning of the jury to its verdict. </w:t>
      </w:r>
      <w:r w:rsidR="006404DC" w:rsidRPr="005B5ADE">
        <w:rPr>
          <w:rFonts w:ascii="Times New Roman" w:hAnsi="Times New Roman"/>
        </w:rPr>
        <w:t>T</w:t>
      </w:r>
      <w:r w:rsidR="00E77B73" w:rsidRPr="005B5ADE">
        <w:rPr>
          <w:rFonts w:ascii="Times New Roman" w:hAnsi="Times New Roman"/>
        </w:rPr>
        <w:t xml:space="preserve">he </w:t>
      </w:r>
      <w:r w:rsidRPr="005B5ADE">
        <w:rPr>
          <w:rFonts w:ascii="Times New Roman" w:hAnsi="Times New Roman"/>
        </w:rPr>
        <w:t xml:space="preserve">Court of Appeal </w:t>
      </w:r>
      <w:r w:rsidR="00BB316C" w:rsidRPr="005B5ADE">
        <w:rPr>
          <w:rFonts w:ascii="Times New Roman" w:hAnsi="Times New Roman"/>
        </w:rPr>
        <w:t xml:space="preserve">erred to the extent that </w:t>
      </w:r>
      <w:r w:rsidR="00377DE1" w:rsidRPr="005B5ADE">
        <w:rPr>
          <w:rFonts w:ascii="Times New Roman" w:hAnsi="Times New Roman"/>
        </w:rPr>
        <w:t xml:space="preserve">it </w:t>
      </w:r>
      <w:r w:rsidR="008050FE" w:rsidRPr="005B5ADE">
        <w:rPr>
          <w:rFonts w:ascii="Times New Roman" w:hAnsi="Times New Roman"/>
        </w:rPr>
        <w:t xml:space="preserve">required that </w:t>
      </w:r>
      <w:r w:rsidR="00BB316C" w:rsidRPr="005B5ADE">
        <w:rPr>
          <w:rFonts w:ascii="Times New Roman" w:hAnsi="Times New Roman"/>
        </w:rPr>
        <w:t xml:space="preserve">it be demonstrated that the appellant's defence </w:t>
      </w:r>
      <w:r w:rsidR="00BB316C" w:rsidRPr="005B5ADE">
        <w:rPr>
          <w:rFonts w:ascii="Times New Roman" w:hAnsi="Times New Roman"/>
          <w:i/>
          <w:iCs/>
        </w:rPr>
        <w:t>would</w:t>
      </w:r>
      <w:r w:rsidR="00BB316C" w:rsidRPr="005B5ADE">
        <w:rPr>
          <w:rFonts w:ascii="Times New Roman" w:hAnsi="Times New Roman"/>
        </w:rPr>
        <w:t xml:space="preserve"> have been conduct</w:t>
      </w:r>
      <w:r w:rsidR="003A416B" w:rsidRPr="005B5ADE">
        <w:rPr>
          <w:rFonts w:ascii="Times New Roman" w:hAnsi="Times New Roman"/>
        </w:rPr>
        <w:t>ed</w:t>
      </w:r>
      <w:r w:rsidR="00BB316C" w:rsidRPr="005B5ADE">
        <w:rPr>
          <w:rFonts w:ascii="Times New Roman" w:hAnsi="Times New Roman"/>
        </w:rPr>
        <w:t xml:space="preserve"> differently </w:t>
      </w:r>
      <w:r w:rsidR="000B04B2" w:rsidRPr="005B5ADE">
        <w:rPr>
          <w:rFonts w:ascii="Times New Roman" w:hAnsi="Times New Roman"/>
        </w:rPr>
        <w:t>but for the</w:t>
      </w:r>
      <w:r w:rsidR="00F87E03" w:rsidRPr="005B5ADE">
        <w:rPr>
          <w:rFonts w:ascii="Times New Roman" w:hAnsi="Times New Roman"/>
        </w:rPr>
        <w:t xml:space="preserve"> error or irregularity </w:t>
      </w:r>
      <w:r w:rsidR="00BB316C" w:rsidRPr="005B5ADE">
        <w:rPr>
          <w:rFonts w:ascii="Times New Roman" w:hAnsi="Times New Roman"/>
        </w:rPr>
        <w:t xml:space="preserve">and erred </w:t>
      </w:r>
      <w:r w:rsidRPr="005B5ADE">
        <w:rPr>
          <w:rFonts w:ascii="Times New Roman" w:hAnsi="Times New Roman"/>
        </w:rPr>
        <w:t>in failing to conclude that</w:t>
      </w:r>
      <w:r w:rsidR="00D16F84" w:rsidRPr="005B5ADE">
        <w:rPr>
          <w:rFonts w:ascii="Times New Roman" w:hAnsi="Times New Roman"/>
        </w:rPr>
        <w:t xml:space="preserve"> </w:t>
      </w:r>
      <w:r w:rsidRPr="005B5ADE">
        <w:rPr>
          <w:rFonts w:ascii="Times New Roman" w:hAnsi="Times New Roman"/>
        </w:rPr>
        <w:t>a miscarriage of justice was demonstrated. Accordingly, the appeal should be allowed</w:t>
      </w:r>
      <w:r w:rsidR="00377DE1" w:rsidRPr="005B5ADE">
        <w:rPr>
          <w:rFonts w:ascii="Times New Roman" w:hAnsi="Times New Roman"/>
        </w:rPr>
        <w:t xml:space="preserve">, the appellant's conviction set </w:t>
      </w:r>
      <w:proofErr w:type="gramStart"/>
      <w:r w:rsidR="00377DE1" w:rsidRPr="005B5ADE">
        <w:rPr>
          <w:rFonts w:ascii="Times New Roman" w:hAnsi="Times New Roman"/>
        </w:rPr>
        <w:t>aside</w:t>
      </w:r>
      <w:proofErr w:type="gramEnd"/>
      <w:r w:rsidRPr="005B5ADE">
        <w:rPr>
          <w:rFonts w:ascii="Times New Roman" w:hAnsi="Times New Roman"/>
        </w:rPr>
        <w:t xml:space="preserve"> and a new trial ordered.</w:t>
      </w:r>
    </w:p>
    <w:p w14:paraId="3813BFB6" w14:textId="17337792"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lastRenderedPageBreak/>
        <w:t>Materiality and miscarriages of justice</w:t>
      </w:r>
    </w:p>
    <w:p w14:paraId="68AE6835" w14:textId="28EC4D7B"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 xml:space="preserve">Section 158(1) and (2) of the </w:t>
      </w:r>
      <w:r w:rsidRPr="005B5ADE">
        <w:rPr>
          <w:rFonts w:ascii="Times New Roman" w:hAnsi="Times New Roman"/>
          <w:i/>
          <w:iCs/>
        </w:rPr>
        <w:t>Criminal Procedure Act</w:t>
      </w:r>
      <w:r w:rsidRPr="005B5ADE">
        <w:rPr>
          <w:rFonts w:ascii="Times New Roman" w:hAnsi="Times New Roman"/>
        </w:rPr>
        <w:t xml:space="preserve"> </w:t>
      </w:r>
      <w:r w:rsidRPr="005B5ADE">
        <w:rPr>
          <w:rFonts w:ascii="Times New Roman" w:hAnsi="Times New Roman"/>
          <w:i/>
          <w:iCs/>
        </w:rPr>
        <w:t>1921</w:t>
      </w:r>
      <w:r w:rsidR="008648EC" w:rsidRPr="005B5ADE">
        <w:rPr>
          <w:rFonts w:ascii="Times New Roman" w:hAnsi="Times New Roman"/>
        </w:rPr>
        <w:t> </w:t>
      </w:r>
      <w:r w:rsidRPr="005B5ADE">
        <w:rPr>
          <w:rFonts w:ascii="Times New Roman" w:hAnsi="Times New Roman"/>
        </w:rPr>
        <w:t>(SA) enact the "common form" criminal appeal provision for appeals from a conviction on indictment.</w:t>
      </w:r>
      <w:r w:rsidR="00E77B73" w:rsidRPr="005B5ADE">
        <w:rPr>
          <w:rStyle w:val="FootnoteReference"/>
          <w:rFonts w:ascii="Times New Roman" w:hAnsi="Times New Roman"/>
          <w:sz w:val="24"/>
        </w:rPr>
        <w:footnoteReference w:id="5"/>
      </w:r>
      <w:r w:rsidRPr="005B5ADE">
        <w:rPr>
          <w:rFonts w:ascii="Times New Roman" w:hAnsi="Times New Roman"/>
        </w:rPr>
        <w:t xml:space="preserve"> Such an appeal may be brought as of right on any ground that involves a question of law alone or with the permission of the Court of Appeal on any other ground.</w:t>
      </w:r>
      <w:r w:rsidRPr="005B5ADE">
        <w:rPr>
          <w:rStyle w:val="FootnoteReference"/>
          <w:rFonts w:ascii="Times New Roman" w:hAnsi="Times New Roman"/>
          <w:sz w:val="24"/>
        </w:rPr>
        <w:footnoteReference w:id="6"/>
      </w:r>
      <w:r w:rsidRPr="005B5ADE">
        <w:rPr>
          <w:rFonts w:ascii="Times New Roman" w:hAnsi="Times New Roman"/>
        </w:rPr>
        <w:t xml:space="preserve"> </w:t>
      </w:r>
      <w:r w:rsidR="00894863" w:rsidRPr="005B5ADE">
        <w:rPr>
          <w:rFonts w:ascii="Times New Roman" w:hAnsi="Times New Roman"/>
        </w:rPr>
        <w:t>Subject to s 158(2), s</w:t>
      </w:r>
      <w:r w:rsidRPr="005B5ADE">
        <w:rPr>
          <w:rFonts w:ascii="Times New Roman" w:hAnsi="Times New Roman"/>
        </w:rPr>
        <w:t xml:space="preserve"> 158(1) enables </w:t>
      </w:r>
      <w:r w:rsidR="00B428C1" w:rsidRPr="005B5ADE">
        <w:rPr>
          <w:rFonts w:ascii="Times New Roman" w:hAnsi="Times New Roman"/>
        </w:rPr>
        <w:t>and requires</w:t>
      </w:r>
      <w:r w:rsidR="00B428C1" w:rsidRPr="005B5ADE">
        <w:rPr>
          <w:rStyle w:val="FootnoteReference"/>
          <w:rFonts w:ascii="Times New Roman" w:hAnsi="Times New Roman"/>
          <w:sz w:val="24"/>
        </w:rPr>
        <w:footnoteReference w:id="7"/>
      </w:r>
      <w:r w:rsidR="00B428C1" w:rsidRPr="005B5ADE">
        <w:rPr>
          <w:rFonts w:ascii="Times New Roman" w:hAnsi="Times New Roman"/>
        </w:rPr>
        <w:t xml:space="preserve"> </w:t>
      </w:r>
      <w:r w:rsidRPr="005B5ADE">
        <w:rPr>
          <w:rFonts w:ascii="Times New Roman" w:hAnsi="Times New Roman"/>
        </w:rPr>
        <w:t xml:space="preserve">the Court of Appeal, when determining such an appeal, to allow the appeal if </w:t>
      </w:r>
      <w:r w:rsidR="00564A77" w:rsidRPr="005B5ADE">
        <w:rPr>
          <w:rFonts w:ascii="Times New Roman" w:hAnsi="Times New Roman"/>
        </w:rPr>
        <w:t>at least</w:t>
      </w:r>
      <w:r w:rsidRPr="005B5ADE">
        <w:rPr>
          <w:rFonts w:ascii="Times New Roman" w:hAnsi="Times New Roman"/>
        </w:rPr>
        <w:t xml:space="preserve"> one of three limbs </w:t>
      </w:r>
      <w:r w:rsidR="00344360" w:rsidRPr="005B5ADE">
        <w:rPr>
          <w:rFonts w:ascii="Times New Roman" w:hAnsi="Times New Roman"/>
        </w:rPr>
        <w:t xml:space="preserve">is </w:t>
      </w:r>
      <w:r w:rsidRPr="005B5ADE">
        <w:rPr>
          <w:rFonts w:ascii="Times New Roman" w:hAnsi="Times New Roman"/>
        </w:rPr>
        <w:t>satisfied</w:t>
      </w:r>
      <w:r w:rsidR="00344360" w:rsidRPr="005B5ADE">
        <w:rPr>
          <w:rFonts w:ascii="Times New Roman" w:hAnsi="Times New Roman"/>
        </w:rPr>
        <w:t>,</w:t>
      </w:r>
      <w:r w:rsidRPr="005B5ADE">
        <w:rPr>
          <w:rFonts w:ascii="Times New Roman" w:hAnsi="Times New Roman"/>
        </w:rPr>
        <w:t xml:space="preserve"> namely: (1) the verdict of the jury is unreasonable or cannot be supported having regard to the evidence; (2) the judgment of the court before which the appellant was convicted should be set </w:t>
      </w:r>
      <w:r w:rsidR="00AD3D34" w:rsidRPr="005B5ADE">
        <w:rPr>
          <w:rFonts w:ascii="Times New Roman" w:hAnsi="Times New Roman"/>
        </w:rPr>
        <w:t xml:space="preserve">aside </w:t>
      </w:r>
      <w:r w:rsidRPr="005B5ADE">
        <w:rPr>
          <w:rFonts w:ascii="Times New Roman" w:hAnsi="Times New Roman"/>
        </w:rPr>
        <w:t xml:space="preserve">on the ground of a wrong decision on any question of law; </w:t>
      </w:r>
      <w:r w:rsidR="004F433D" w:rsidRPr="005B5ADE">
        <w:rPr>
          <w:rFonts w:ascii="Times New Roman" w:hAnsi="Times New Roman"/>
        </w:rPr>
        <w:t xml:space="preserve">or </w:t>
      </w:r>
      <w:r w:rsidRPr="005B5ADE">
        <w:rPr>
          <w:rFonts w:ascii="Times New Roman" w:hAnsi="Times New Roman"/>
        </w:rPr>
        <w:t xml:space="preserve">(3) on any ground there was a miscarriage of justice. Section 158(2) provides that the Court </w:t>
      </w:r>
      <w:r w:rsidR="00F00F57" w:rsidRPr="005B5ADE">
        <w:rPr>
          <w:rFonts w:ascii="Times New Roman" w:hAnsi="Times New Roman"/>
        </w:rPr>
        <w:t>of Appeal</w:t>
      </w:r>
      <w:r w:rsidRPr="005B5ADE">
        <w:rPr>
          <w:rFonts w:ascii="Times New Roman" w:hAnsi="Times New Roman"/>
        </w:rPr>
        <w:t xml:space="preserve"> may, notwithstanding that the point raised in an appeal might be decided in the appellant's favour, dismiss the appeal if it considers that no substantial miscarriage of justice has </w:t>
      </w:r>
      <w:proofErr w:type="gramStart"/>
      <w:r w:rsidRPr="005B5ADE">
        <w:rPr>
          <w:rFonts w:ascii="Times New Roman" w:hAnsi="Times New Roman"/>
        </w:rPr>
        <w:t>actually occurred</w:t>
      </w:r>
      <w:proofErr w:type="gramEnd"/>
      <w:r w:rsidRPr="005B5ADE">
        <w:rPr>
          <w:rFonts w:ascii="Times New Roman" w:hAnsi="Times New Roman"/>
        </w:rPr>
        <w:t xml:space="preserve"> (</w:t>
      </w:r>
      <w:r w:rsidR="00F00F57" w:rsidRPr="005B5ADE">
        <w:rPr>
          <w:rFonts w:ascii="Times New Roman" w:hAnsi="Times New Roman"/>
        </w:rPr>
        <w:t>"</w:t>
      </w:r>
      <w:r w:rsidRPr="005B5ADE">
        <w:rPr>
          <w:rFonts w:ascii="Times New Roman" w:hAnsi="Times New Roman"/>
        </w:rPr>
        <w:t xml:space="preserve">the proviso"). </w:t>
      </w:r>
    </w:p>
    <w:p w14:paraId="05E09C50" w14:textId="59F5E378"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 xml:space="preserve">This appeal was heard immediately following the appeal in </w:t>
      </w:r>
      <w:r w:rsidRPr="005B5ADE">
        <w:rPr>
          <w:rFonts w:ascii="Times New Roman" w:hAnsi="Times New Roman"/>
          <w:i/>
          <w:iCs/>
        </w:rPr>
        <w:t xml:space="preserve">MDP v The </w:t>
      </w:r>
      <w:r w:rsidR="00D31999" w:rsidRPr="005B5ADE">
        <w:rPr>
          <w:rFonts w:ascii="Times New Roman" w:hAnsi="Times New Roman"/>
          <w:i/>
          <w:iCs/>
        </w:rPr>
        <w:t>King</w:t>
      </w:r>
      <w:r w:rsidRPr="005B5ADE">
        <w:rPr>
          <w:rFonts w:ascii="Times New Roman" w:hAnsi="Times New Roman"/>
        </w:rPr>
        <w:t>.</w:t>
      </w:r>
      <w:r w:rsidR="00B1571B" w:rsidRPr="005B5ADE">
        <w:rPr>
          <w:rStyle w:val="FootnoteReference"/>
          <w:rFonts w:ascii="Times New Roman" w:hAnsi="Times New Roman"/>
          <w:sz w:val="24"/>
        </w:rPr>
        <w:footnoteReference w:id="8"/>
      </w:r>
      <w:r w:rsidRPr="005B5ADE">
        <w:rPr>
          <w:rFonts w:ascii="Times New Roman" w:hAnsi="Times New Roman"/>
        </w:rPr>
        <w:t xml:space="preserve"> The parties in this proceeding and in </w:t>
      </w:r>
      <w:r w:rsidRPr="005B5ADE">
        <w:rPr>
          <w:rFonts w:ascii="Times New Roman" w:hAnsi="Times New Roman"/>
          <w:i/>
          <w:iCs/>
        </w:rPr>
        <w:t>MDP</w:t>
      </w:r>
      <w:r w:rsidR="0066307A" w:rsidRPr="005B5ADE">
        <w:rPr>
          <w:rFonts w:ascii="Times New Roman" w:hAnsi="Times New Roman"/>
        </w:rPr>
        <w:t>,</w:t>
      </w:r>
      <w:r w:rsidRPr="005B5ADE">
        <w:rPr>
          <w:rFonts w:ascii="Times New Roman" w:hAnsi="Times New Roman"/>
        </w:rPr>
        <w:t xml:space="preserve"> as well as the Commonwealth Director of Public Prosecutions and the New South Wales Director of Public Prosecutions (</w:t>
      </w:r>
      <w:r w:rsidR="00C54229" w:rsidRPr="005B5ADE">
        <w:rPr>
          <w:rFonts w:ascii="Times New Roman" w:hAnsi="Times New Roman"/>
        </w:rPr>
        <w:t>"</w:t>
      </w:r>
      <w:r w:rsidRPr="005B5ADE">
        <w:rPr>
          <w:rFonts w:ascii="Times New Roman" w:hAnsi="Times New Roman"/>
        </w:rPr>
        <w:t xml:space="preserve">the </w:t>
      </w:r>
      <w:r w:rsidR="00162120" w:rsidRPr="005B5ADE">
        <w:rPr>
          <w:rFonts w:ascii="Times New Roman" w:hAnsi="Times New Roman"/>
        </w:rPr>
        <w:t xml:space="preserve">NSW </w:t>
      </w:r>
      <w:r w:rsidRPr="005B5ADE">
        <w:rPr>
          <w:rFonts w:ascii="Times New Roman" w:hAnsi="Times New Roman"/>
        </w:rPr>
        <w:t>DPP")</w:t>
      </w:r>
      <w:r w:rsidR="0052036D" w:rsidRPr="005B5ADE">
        <w:rPr>
          <w:rFonts w:ascii="Times New Roman" w:hAnsi="Times New Roman"/>
        </w:rPr>
        <w:t>,</w:t>
      </w:r>
      <w:r w:rsidRPr="005B5ADE">
        <w:rPr>
          <w:rFonts w:ascii="Times New Roman" w:hAnsi="Times New Roman"/>
        </w:rPr>
        <w:t xml:space="preserve"> </w:t>
      </w:r>
      <w:r w:rsidR="0066307A" w:rsidRPr="005B5ADE">
        <w:rPr>
          <w:rFonts w:ascii="Times New Roman" w:hAnsi="Times New Roman"/>
        </w:rPr>
        <w:t>who</w:t>
      </w:r>
      <w:r w:rsidRPr="005B5ADE">
        <w:rPr>
          <w:rFonts w:ascii="Times New Roman" w:hAnsi="Times New Roman"/>
        </w:rPr>
        <w:t xml:space="preserve"> </w:t>
      </w:r>
      <w:r w:rsidR="00C200D6" w:rsidRPr="005B5ADE">
        <w:rPr>
          <w:rFonts w:ascii="Times New Roman" w:hAnsi="Times New Roman"/>
        </w:rPr>
        <w:t>each</w:t>
      </w:r>
      <w:r w:rsidRPr="005B5ADE">
        <w:rPr>
          <w:rFonts w:ascii="Times New Roman" w:hAnsi="Times New Roman"/>
        </w:rPr>
        <w:t xml:space="preserve"> interven</w:t>
      </w:r>
      <w:r w:rsidR="004B75E9" w:rsidRPr="005B5ADE">
        <w:rPr>
          <w:rFonts w:ascii="Times New Roman" w:hAnsi="Times New Roman"/>
        </w:rPr>
        <w:t xml:space="preserve">ed in </w:t>
      </w:r>
      <w:r w:rsidR="00C200D6" w:rsidRPr="005B5ADE">
        <w:rPr>
          <w:rFonts w:ascii="Times New Roman" w:hAnsi="Times New Roman"/>
        </w:rPr>
        <w:t>both</w:t>
      </w:r>
      <w:r w:rsidR="004B75E9" w:rsidRPr="005B5ADE">
        <w:rPr>
          <w:rFonts w:ascii="Times New Roman" w:hAnsi="Times New Roman"/>
        </w:rPr>
        <w:t xml:space="preserve"> </w:t>
      </w:r>
      <w:r w:rsidR="006E5BF4" w:rsidRPr="005B5ADE">
        <w:rPr>
          <w:rFonts w:ascii="Times New Roman" w:hAnsi="Times New Roman"/>
        </w:rPr>
        <w:t>appeals</w:t>
      </w:r>
      <w:r w:rsidRPr="005B5ADE">
        <w:rPr>
          <w:rFonts w:ascii="Times New Roman" w:hAnsi="Times New Roman"/>
        </w:rPr>
        <w:t>, made extensive submissions concerning the construction of the second and third of these limbs. However, the only question</w:t>
      </w:r>
      <w:r w:rsidR="00CE4F2E" w:rsidRPr="005B5ADE">
        <w:rPr>
          <w:rFonts w:ascii="Times New Roman" w:hAnsi="Times New Roman"/>
        </w:rPr>
        <w:t>s</w:t>
      </w:r>
      <w:r w:rsidRPr="005B5ADE">
        <w:rPr>
          <w:rFonts w:ascii="Times New Roman" w:hAnsi="Times New Roman"/>
        </w:rPr>
        <w:t xml:space="preserve"> of principle raised by this appeal </w:t>
      </w:r>
      <w:r w:rsidR="00C2762A" w:rsidRPr="005B5ADE">
        <w:rPr>
          <w:rFonts w:ascii="Times New Roman" w:hAnsi="Times New Roman"/>
        </w:rPr>
        <w:t xml:space="preserve">are </w:t>
      </w:r>
      <w:r w:rsidRPr="005B5ADE">
        <w:rPr>
          <w:rFonts w:ascii="Times New Roman" w:hAnsi="Times New Roman"/>
        </w:rPr>
        <w:t xml:space="preserve">whether, in the case of an error or irregularity affecting an appellant's trial, </w:t>
      </w:r>
      <w:r w:rsidR="003D3CFF" w:rsidRPr="005B5ADE">
        <w:rPr>
          <w:rFonts w:ascii="Times New Roman" w:hAnsi="Times New Roman"/>
        </w:rPr>
        <w:t>an appellate c</w:t>
      </w:r>
      <w:r w:rsidRPr="005B5ADE">
        <w:rPr>
          <w:rFonts w:ascii="Times New Roman" w:hAnsi="Times New Roman"/>
        </w:rPr>
        <w:t xml:space="preserve">ourt must be satisfied that the error or irregularity was material before it can </w:t>
      </w:r>
      <w:r w:rsidR="00943FC9" w:rsidRPr="005B5ADE">
        <w:rPr>
          <w:rFonts w:ascii="Times New Roman" w:hAnsi="Times New Roman"/>
        </w:rPr>
        <w:t xml:space="preserve">be </w:t>
      </w:r>
      <w:r w:rsidRPr="005B5ADE">
        <w:rPr>
          <w:rFonts w:ascii="Times New Roman" w:hAnsi="Times New Roman"/>
        </w:rPr>
        <w:lastRenderedPageBreak/>
        <w:t>conclude</w:t>
      </w:r>
      <w:r w:rsidR="00943FC9" w:rsidRPr="005B5ADE">
        <w:rPr>
          <w:rFonts w:ascii="Times New Roman" w:hAnsi="Times New Roman"/>
        </w:rPr>
        <w:t>d</w:t>
      </w:r>
      <w:r w:rsidRPr="005B5ADE">
        <w:rPr>
          <w:rFonts w:ascii="Times New Roman" w:hAnsi="Times New Roman"/>
        </w:rPr>
        <w:t xml:space="preserve"> that there was a miscarriage of justice within the meaning of the third limb </w:t>
      </w:r>
      <w:r w:rsidR="00B44C40" w:rsidRPr="005B5ADE">
        <w:rPr>
          <w:rFonts w:ascii="Times New Roman" w:hAnsi="Times New Roman"/>
        </w:rPr>
        <w:t xml:space="preserve">of s 158(1) </w:t>
      </w:r>
      <w:r w:rsidRPr="005B5ADE">
        <w:rPr>
          <w:rFonts w:ascii="Times New Roman" w:hAnsi="Times New Roman"/>
        </w:rPr>
        <w:t xml:space="preserve">and, if so, how </w:t>
      </w:r>
      <w:r w:rsidR="00B44C40" w:rsidRPr="005B5ADE">
        <w:rPr>
          <w:rFonts w:ascii="Times New Roman" w:hAnsi="Times New Roman"/>
        </w:rPr>
        <w:t>the question of materiality</w:t>
      </w:r>
      <w:r w:rsidRPr="005B5ADE">
        <w:rPr>
          <w:rFonts w:ascii="Times New Roman" w:hAnsi="Times New Roman"/>
        </w:rPr>
        <w:t xml:space="preserve"> </w:t>
      </w:r>
      <w:r w:rsidR="00340B7D" w:rsidRPr="005B5ADE">
        <w:rPr>
          <w:rFonts w:ascii="Times New Roman" w:hAnsi="Times New Roman"/>
        </w:rPr>
        <w:t xml:space="preserve">is </w:t>
      </w:r>
      <w:r w:rsidRPr="005B5ADE">
        <w:rPr>
          <w:rFonts w:ascii="Times New Roman" w:hAnsi="Times New Roman"/>
        </w:rPr>
        <w:t xml:space="preserve">to be determined. </w:t>
      </w:r>
    </w:p>
    <w:p w14:paraId="14D9617D" w14:textId="232FC6AB"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 xml:space="preserve">With the exception of the appellant in </w:t>
      </w:r>
      <w:r w:rsidRPr="005B5ADE">
        <w:rPr>
          <w:rFonts w:ascii="Times New Roman" w:hAnsi="Times New Roman"/>
          <w:i/>
          <w:iCs/>
        </w:rPr>
        <w:t>MDP</w:t>
      </w:r>
      <w:r w:rsidR="00FF5058" w:rsidRPr="005B5ADE">
        <w:rPr>
          <w:rFonts w:ascii="Times New Roman" w:hAnsi="Times New Roman"/>
        </w:rPr>
        <w:t xml:space="preserve"> </w:t>
      </w:r>
      <w:r w:rsidRPr="005B5ADE">
        <w:rPr>
          <w:rFonts w:ascii="Times New Roman" w:hAnsi="Times New Roman"/>
        </w:rPr>
        <w:t>and the NSW</w:t>
      </w:r>
      <w:r w:rsidR="00162120" w:rsidRPr="005B5ADE">
        <w:rPr>
          <w:rFonts w:ascii="Times New Roman" w:hAnsi="Times New Roman"/>
        </w:rPr>
        <w:t xml:space="preserve"> </w:t>
      </w:r>
      <w:r w:rsidRPr="005B5ADE">
        <w:rPr>
          <w:rFonts w:ascii="Times New Roman" w:hAnsi="Times New Roman"/>
        </w:rPr>
        <w:t xml:space="preserve">DPP, all the parties and intervenors </w:t>
      </w:r>
      <w:r w:rsidR="00BF03B5" w:rsidRPr="005B5ADE">
        <w:rPr>
          <w:rFonts w:ascii="Times New Roman" w:hAnsi="Times New Roman"/>
        </w:rPr>
        <w:t xml:space="preserve">in </w:t>
      </w:r>
      <w:r w:rsidR="00745F95" w:rsidRPr="005B5ADE">
        <w:rPr>
          <w:rFonts w:ascii="Times New Roman" w:hAnsi="Times New Roman"/>
        </w:rPr>
        <w:t>both</w:t>
      </w:r>
      <w:r w:rsidR="00BF03B5" w:rsidRPr="005B5ADE">
        <w:rPr>
          <w:rFonts w:ascii="Times New Roman" w:hAnsi="Times New Roman"/>
        </w:rPr>
        <w:t xml:space="preserve"> </w:t>
      </w:r>
      <w:r w:rsidR="00745F95" w:rsidRPr="005B5ADE">
        <w:rPr>
          <w:rFonts w:ascii="Times New Roman" w:hAnsi="Times New Roman"/>
        </w:rPr>
        <w:t>appeals</w:t>
      </w:r>
      <w:r w:rsidR="00BF03B5" w:rsidRPr="005B5ADE">
        <w:rPr>
          <w:rFonts w:ascii="Times New Roman" w:hAnsi="Times New Roman"/>
          <w:i/>
          <w:iCs/>
        </w:rPr>
        <w:t xml:space="preserve"> </w:t>
      </w:r>
      <w:r w:rsidRPr="005B5ADE">
        <w:rPr>
          <w:rFonts w:ascii="Times New Roman" w:hAnsi="Times New Roman"/>
        </w:rPr>
        <w:t xml:space="preserve">submitted that, before an error or irregularity in a trial constitutes a miscarriage of justice, it must be material and described that threshold by reference to passages from this Court's decisions in one or more of </w:t>
      </w:r>
      <w:r w:rsidRPr="005B5ADE">
        <w:rPr>
          <w:rFonts w:ascii="Times New Roman" w:hAnsi="Times New Roman"/>
          <w:i/>
          <w:iCs/>
        </w:rPr>
        <w:t>Hofer</w:t>
      </w:r>
      <w:r w:rsidR="0033770A" w:rsidRPr="005B5ADE">
        <w:rPr>
          <w:rFonts w:ascii="Times New Roman" w:hAnsi="Times New Roman"/>
          <w:i/>
          <w:iCs/>
        </w:rPr>
        <w:t xml:space="preserve"> v The Queen</w:t>
      </w:r>
      <w:r w:rsidRPr="005B5ADE">
        <w:rPr>
          <w:rFonts w:ascii="Times New Roman" w:hAnsi="Times New Roman"/>
        </w:rPr>
        <w:t>,</w:t>
      </w:r>
      <w:r w:rsidR="0033770A" w:rsidRPr="005B5ADE">
        <w:rPr>
          <w:rStyle w:val="FootnoteReference"/>
          <w:rFonts w:ascii="Times New Roman" w:hAnsi="Times New Roman"/>
          <w:sz w:val="24"/>
        </w:rPr>
        <w:footnoteReference w:id="9"/>
      </w:r>
      <w:r w:rsidRPr="005B5ADE">
        <w:rPr>
          <w:rFonts w:ascii="Times New Roman" w:hAnsi="Times New Roman"/>
        </w:rPr>
        <w:t xml:space="preserve"> </w:t>
      </w:r>
      <w:r w:rsidRPr="005B5ADE">
        <w:rPr>
          <w:rFonts w:ascii="Times New Roman" w:hAnsi="Times New Roman"/>
          <w:i/>
          <w:iCs/>
        </w:rPr>
        <w:t>Edwards</w:t>
      </w:r>
      <w:r w:rsidRPr="005B5ADE">
        <w:rPr>
          <w:rFonts w:ascii="Times New Roman" w:hAnsi="Times New Roman"/>
          <w:i/>
        </w:rPr>
        <w:t xml:space="preserve"> </w:t>
      </w:r>
      <w:r w:rsidR="006A6826" w:rsidRPr="005B5ADE">
        <w:rPr>
          <w:rFonts w:ascii="Times New Roman" w:hAnsi="Times New Roman"/>
          <w:i/>
          <w:iCs/>
        </w:rPr>
        <w:t>v The Queen</w:t>
      </w:r>
      <w:r w:rsidR="006A6826" w:rsidRPr="005B5ADE">
        <w:rPr>
          <w:rStyle w:val="FootnoteReference"/>
          <w:rFonts w:ascii="Times New Roman" w:hAnsi="Times New Roman"/>
          <w:sz w:val="24"/>
        </w:rPr>
        <w:footnoteReference w:id="10"/>
      </w:r>
      <w:r w:rsidRPr="005B5ADE">
        <w:rPr>
          <w:rFonts w:ascii="Times New Roman" w:hAnsi="Times New Roman"/>
        </w:rPr>
        <w:t xml:space="preserve"> and </w:t>
      </w:r>
      <w:r w:rsidRPr="005B5ADE">
        <w:rPr>
          <w:rFonts w:ascii="Times New Roman" w:hAnsi="Times New Roman"/>
          <w:i/>
          <w:iCs/>
        </w:rPr>
        <w:t>HCF</w:t>
      </w:r>
      <w:r w:rsidR="007B6CFB" w:rsidRPr="005B5ADE">
        <w:rPr>
          <w:rFonts w:ascii="Times New Roman" w:hAnsi="Times New Roman"/>
          <w:i/>
          <w:iCs/>
        </w:rPr>
        <w:t xml:space="preserve"> v The Queen</w:t>
      </w:r>
      <w:r w:rsidRPr="005B5ADE">
        <w:rPr>
          <w:rFonts w:ascii="Times New Roman" w:hAnsi="Times New Roman"/>
        </w:rPr>
        <w:t>.</w:t>
      </w:r>
      <w:r w:rsidR="007B6CFB" w:rsidRPr="005B5ADE">
        <w:rPr>
          <w:rStyle w:val="FootnoteReference"/>
          <w:rFonts w:ascii="Times New Roman" w:hAnsi="Times New Roman"/>
          <w:sz w:val="24"/>
        </w:rPr>
        <w:footnoteReference w:id="11"/>
      </w:r>
      <w:r w:rsidRPr="005B5ADE">
        <w:rPr>
          <w:rFonts w:ascii="Times New Roman" w:hAnsi="Times New Roman"/>
        </w:rPr>
        <w:t xml:space="preserve"> The appellant in </w:t>
      </w:r>
      <w:r w:rsidRPr="005B5ADE">
        <w:rPr>
          <w:rFonts w:ascii="Times New Roman" w:hAnsi="Times New Roman"/>
          <w:i/>
          <w:iCs/>
        </w:rPr>
        <w:t>MDP</w:t>
      </w:r>
      <w:r w:rsidRPr="005B5ADE">
        <w:rPr>
          <w:rFonts w:ascii="Times New Roman" w:hAnsi="Times New Roman"/>
        </w:rPr>
        <w:t xml:space="preserve"> submitted that there was a credible argument that there is no such threshold but in the alternative embraced the approach of Edelman and Steward</w:t>
      </w:r>
      <w:r w:rsidR="00EE7A9E" w:rsidRPr="005B5ADE">
        <w:rPr>
          <w:rFonts w:ascii="Times New Roman" w:hAnsi="Times New Roman"/>
        </w:rPr>
        <w:t> </w:t>
      </w:r>
      <w:r w:rsidRPr="005B5ADE">
        <w:rPr>
          <w:rFonts w:ascii="Times New Roman" w:hAnsi="Times New Roman"/>
        </w:rPr>
        <w:t xml:space="preserve">JJ in </w:t>
      </w:r>
      <w:r w:rsidRPr="005B5ADE">
        <w:rPr>
          <w:rFonts w:ascii="Times New Roman" w:hAnsi="Times New Roman"/>
          <w:i/>
          <w:iCs/>
        </w:rPr>
        <w:t>HCF</w:t>
      </w:r>
      <w:r w:rsidRPr="005B5ADE">
        <w:rPr>
          <w:rFonts w:ascii="Times New Roman" w:hAnsi="Times New Roman"/>
        </w:rPr>
        <w:t>.</w:t>
      </w:r>
      <w:r w:rsidR="00D76DB5" w:rsidRPr="005B5ADE">
        <w:rPr>
          <w:rStyle w:val="FootnoteReference"/>
          <w:rFonts w:ascii="Times New Roman" w:hAnsi="Times New Roman"/>
          <w:sz w:val="24"/>
        </w:rPr>
        <w:footnoteReference w:id="12"/>
      </w:r>
      <w:r w:rsidRPr="005B5ADE">
        <w:rPr>
          <w:rFonts w:ascii="Times New Roman" w:hAnsi="Times New Roman"/>
        </w:rPr>
        <w:t xml:space="preserve"> </w:t>
      </w:r>
    </w:p>
    <w:p w14:paraId="727DA344" w14:textId="4A991F28" w:rsidR="00B47311" w:rsidRPr="005B5ADE" w:rsidRDefault="00EE7A9E"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The NSW</w:t>
      </w:r>
      <w:r w:rsidR="00CD5647" w:rsidRPr="005B5ADE">
        <w:rPr>
          <w:rFonts w:ascii="Times New Roman" w:hAnsi="Times New Roman"/>
        </w:rPr>
        <w:t xml:space="preserve"> </w:t>
      </w:r>
      <w:r w:rsidR="00B47311" w:rsidRPr="005B5ADE">
        <w:rPr>
          <w:rFonts w:ascii="Times New Roman" w:hAnsi="Times New Roman"/>
        </w:rPr>
        <w:t>DPP contended that the authorities suggested that the relevant threshold differed according to the nature of the asserted miscarriage</w:t>
      </w:r>
      <w:r w:rsidR="00D44B00" w:rsidRPr="005B5ADE">
        <w:rPr>
          <w:rFonts w:ascii="Times New Roman" w:hAnsi="Times New Roman"/>
        </w:rPr>
        <w:t>,</w:t>
      </w:r>
      <w:r w:rsidR="00B47311" w:rsidRPr="005B5ADE">
        <w:rPr>
          <w:rFonts w:ascii="Times New Roman" w:hAnsi="Times New Roman"/>
        </w:rPr>
        <w:t xml:space="preserve"> including the nature of the asserted error or irregularity. The</w:t>
      </w:r>
      <w:r w:rsidR="003A014A" w:rsidRPr="005B5ADE">
        <w:rPr>
          <w:rFonts w:ascii="Times New Roman" w:hAnsi="Times New Roman"/>
        </w:rPr>
        <w:t xml:space="preserve"> NSW DPP</w:t>
      </w:r>
      <w:r w:rsidR="00B47311" w:rsidRPr="005B5ADE">
        <w:rPr>
          <w:rFonts w:ascii="Times New Roman" w:hAnsi="Times New Roman"/>
        </w:rPr>
        <w:t xml:space="preserve"> cite</w:t>
      </w:r>
      <w:r w:rsidR="00FC74E8" w:rsidRPr="005B5ADE">
        <w:rPr>
          <w:rFonts w:ascii="Times New Roman" w:hAnsi="Times New Roman"/>
        </w:rPr>
        <w:t>d</w:t>
      </w:r>
      <w:r w:rsidR="00B47311" w:rsidRPr="005B5ADE">
        <w:rPr>
          <w:rFonts w:ascii="Times New Roman" w:hAnsi="Times New Roman"/>
        </w:rPr>
        <w:t xml:space="preserve"> as an example this Court's decision in </w:t>
      </w:r>
      <w:r w:rsidR="00B47311" w:rsidRPr="005B5ADE">
        <w:rPr>
          <w:rFonts w:ascii="Times New Roman" w:hAnsi="Times New Roman"/>
          <w:i/>
          <w:iCs/>
        </w:rPr>
        <w:t>Huxley v The Queen</w:t>
      </w:r>
      <w:r w:rsidRPr="005B5ADE">
        <w:rPr>
          <w:rStyle w:val="FootnoteReference"/>
          <w:rFonts w:ascii="Times New Roman" w:hAnsi="Times New Roman"/>
          <w:sz w:val="24"/>
        </w:rPr>
        <w:footnoteReference w:id="13"/>
      </w:r>
      <w:r w:rsidR="00B47311" w:rsidRPr="005B5ADE">
        <w:rPr>
          <w:rFonts w:ascii="Times New Roman" w:hAnsi="Times New Roman"/>
        </w:rPr>
        <w:t xml:space="preserve"> where a complaint about the content of a jury direction was addressed on the basis of what the jury </w:t>
      </w:r>
      <w:r w:rsidR="00B47311" w:rsidRPr="005B5ADE">
        <w:rPr>
          <w:rFonts w:ascii="Times New Roman" w:hAnsi="Times New Roman"/>
          <w:i/>
          <w:iCs/>
        </w:rPr>
        <w:t>would</w:t>
      </w:r>
      <w:r w:rsidR="00B47311" w:rsidRPr="005B5ADE">
        <w:rPr>
          <w:rFonts w:ascii="Times New Roman" w:hAnsi="Times New Roman"/>
        </w:rPr>
        <w:t xml:space="preserve"> have understood </w:t>
      </w:r>
      <w:r w:rsidR="002264F6" w:rsidRPr="005B5ADE">
        <w:rPr>
          <w:rFonts w:ascii="Times New Roman" w:hAnsi="Times New Roman"/>
        </w:rPr>
        <w:t xml:space="preserve">the direction to </w:t>
      </w:r>
      <w:r w:rsidR="00B47311" w:rsidRPr="005B5ADE">
        <w:rPr>
          <w:rFonts w:ascii="Times New Roman" w:hAnsi="Times New Roman"/>
        </w:rPr>
        <w:t xml:space="preserve">convey and whether overall it </w:t>
      </w:r>
      <w:r w:rsidR="00B47311" w:rsidRPr="005B5ADE">
        <w:rPr>
          <w:rFonts w:ascii="Times New Roman" w:hAnsi="Times New Roman"/>
          <w:i/>
          <w:iCs/>
        </w:rPr>
        <w:t>would</w:t>
      </w:r>
      <w:r w:rsidR="00B47311" w:rsidRPr="005B5ADE">
        <w:rPr>
          <w:rFonts w:ascii="Times New Roman" w:hAnsi="Times New Roman"/>
        </w:rPr>
        <w:t xml:space="preserve"> have deflected the jury from its fundamental task of deciding whether the prosecution had proved its case beyond reasonable doubt.</w:t>
      </w:r>
      <w:r w:rsidRPr="005B5ADE">
        <w:rPr>
          <w:rStyle w:val="FootnoteReference"/>
          <w:rFonts w:ascii="Times New Roman" w:hAnsi="Times New Roman"/>
          <w:sz w:val="24"/>
        </w:rPr>
        <w:footnoteReference w:id="14"/>
      </w:r>
      <w:r w:rsidR="00B47311" w:rsidRPr="005B5ADE">
        <w:rPr>
          <w:rFonts w:ascii="Times New Roman" w:hAnsi="Times New Roman"/>
        </w:rPr>
        <w:t xml:space="preserve"> However, at least to the extent that such a complaint falls within the third limb, that analysis is directed to an anterior inquiry, </w:t>
      </w:r>
      <w:r w:rsidR="00B47311" w:rsidRPr="005B5ADE">
        <w:rPr>
          <w:rFonts w:ascii="Times New Roman" w:hAnsi="Times New Roman"/>
        </w:rPr>
        <w:lastRenderedPageBreak/>
        <w:t>namely whether there was a misdirection;</w:t>
      </w:r>
      <w:r w:rsidRPr="005B5ADE">
        <w:rPr>
          <w:rStyle w:val="FootnoteReference"/>
          <w:rFonts w:ascii="Times New Roman" w:hAnsi="Times New Roman"/>
          <w:sz w:val="24"/>
        </w:rPr>
        <w:footnoteReference w:id="15"/>
      </w:r>
      <w:r w:rsidR="00B47311" w:rsidRPr="005B5ADE">
        <w:rPr>
          <w:rFonts w:ascii="Times New Roman" w:hAnsi="Times New Roman"/>
        </w:rPr>
        <w:t xml:space="preserve"> </w:t>
      </w:r>
      <w:proofErr w:type="spellStart"/>
      <w:r w:rsidR="00B47311" w:rsidRPr="005B5ADE">
        <w:rPr>
          <w:rFonts w:ascii="Times New Roman" w:hAnsi="Times New Roman"/>
        </w:rPr>
        <w:t>ie</w:t>
      </w:r>
      <w:proofErr w:type="spellEnd"/>
      <w:r w:rsidRPr="005B5ADE">
        <w:rPr>
          <w:rFonts w:ascii="Times New Roman" w:hAnsi="Times New Roman"/>
        </w:rPr>
        <w:t>,</w:t>
      </w:r>
      <w:r w:rsidR="00B47311" w:rsidRPr="005B5ADE">
        <w:rPr>
          <w:rFonts w:ascii="Times New Roman" w:hAnsi="Times New Roman"/>
        </w:rPr>
        <w:t xml:space="preserve"> whether there was an error or irregularity, and not whether it was material.</w:t>
      </w:r>
    </w:p>
    <w:p w14:paraId="58ED6402" w14:textId="0398A238" w:rsidR="00B47311" w:rsidRPr="005B5ADE" w:rsidRDefault="00B47311" w:rsidP="005B5ADE">
      <w:pPr>
        <w:pStyle w:val="HeadingL2"/>
        <w:spacing w:after="260" w:line="280" w:lineRule="exact"/>
        <w:ind w:right="0"/>
        <w:jc w:val="both"/>
        <w:rPr>
          <w:rFonts w:ascii="Times New Roman" w:hAnsi="Times New Roman"/>
        </w:rPr>
      </w:pPr>
      <w:r w:rsidRPr="005B5ADE">
        <w:rPr>
          <w:rFonts w:ascii="Times New Roman" w:hAnsi="Times New Roman"/>
        </w:rPr>
        <w:t xml:space="preserve">The </w:t>
      </w:r>
      <w:r w:rsidR="00EE7A9E" w:rsidRPr="005B5ADE">
        <w:rPr>
          <w:rFonts w:ascii="Times New Roman" w:hAnsi="Times New Roman"/>
        </w:rPr>
        <w:t>t</w:t>
      </w:r>
      <w:r w:rsidRPr="005B5ADE">
        <w:rPr>
          <w:rFonts w:ascii="Times New Roman" w:hAnsi="Times New Roman"/>
        </w:rPr>
        <w:t xml:space="preserve">est for </w:t>
      </w:r>
      <w:r w:rsidR="00EE7A9E" w:rsidRPr="005B5ADE">
        <w:rPr>
          <w:rFonts w:ascii="Times New Roman" w:hAnsi="Times New Roman"/>
        </w:rPr>
        <w:t>m</w:t>
      </w:r>
      <w:r w:rsidRPr="005B5ADE">
        <w:rPr>
          <w:rFonts w:ascii="Times New Roman" w:hAnsi="Times New Roman"/>
        </w:rPr>
        <w:t xml:space="preserve">ateriality </w:t>
      </w:r>
    </w:p>
    <w:p w14:paraId="262287C1" w14:textId="1EC8E6C6" w:rsidR="00B47311" w:rsidRPr="005B5ADE" w:rsidRDefault="00EE7A9E"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Read literally, the statement in </w:t>
      </w:r>
      <w:r w:rsidR="00B47311" w:rsidRPr="005B5ADE">
        <w:rPr>
          <w:rFonts w:ascii="Times New Roman" w:hAnsi="Times New Roman"/>
          <w:i/>
          <w:iCs/>
        </w:rPr>
        <w:t>Weiss v The Queen</w:t>
      </w:r>
      <w:r w:rsidRPr="005B5ADE">
        <w:rPr>
          <w:rStyle w:val="FootnoteReference"/>
          <w:rFonts w:ascii="Times New Roman" w:hAnsi="Times New Roman"/>
          <w:sz w:val="24"/>
        </w:rPr>
        <w:footnoteReference w:id="16"/>
      </w:r>
      <w:r w:rsidR="00B47311" w:rsidRPr="005B5ADE">
        <w:rPr>
          <w:rFonts w:ascii="Times New Roman" w:hAnsi="Times New Roman"/>
        </w:rPr>
        <w:t xml:space="preserve"> that a "'miscarriage of justice' ... was </w:t>
      </w:r>
      <w:r w:rsidR="00B47311" w:rsidRPr="005B5ADE">
        <w:rPr>
          <w:rFonts w:ascii="Times New Roman" w:hAnsi="Times New Roman"/>
          <w:i/>
        </w:rPr>
        <w:t>any</w:t>
      </w:r>
      <w:r w:rsidR="00B47311" w:rsidRPr="005B5ADE">
        <w:rPr>
          <w:rFonts w:ascii="Times New Roman" w:hAnsi="Times New Roman"/>
        </w:rPr>
        <w:t xml:space="preserve"> departure from trial according to law, regardless of the nature or importance of that departure</w:t>
      </w:r>
      <w:r w:rsidR="009B7A1E" w:rsidRPr="005B5ADE">
        <w:rPr>
          <w:rFonts w:ascii="Times New Roman" w:hAnsi="Times New Roman"/>
        </w:rPr>
        <w:t>"</w:t>
      </w:r>
      <w:r w:rsidR="00B47311" w:rsidRPr="005B5ADE">
        <w:rPr>
          <w:rFonts w:ascii="Times New Roman" w:hAnsi="Times New Roman"/>
        </w:rPr>
        <w:t xml:space="preserve"> and similar statements in other decisions of this Court</w:t>
      </w:r>
      <w:r w:rsidR="00DA56ED" w:rsidRPr="005B5ADE">
        <w:rPr>
          <w:rStyle w:val="FootnoteReference"/>
          <w:rFonts w:ascii="Times New Roman" w:hAnsi="Times New Roman"/>
          <w:sz w:val="24"/>
        </w:rPr>
        <w:footnoteReference w:id="17"/>
      </w:r>
      <w:r w:rsidR="00B47311" w:rsidRPr="005B5ADE">
        <w:rPr>
          <w:rFonts w:ascii="Times New Roman" w:hAnsi="Times New Roman"/>
        </w:rPr>
        <w:t xml:space="preserve"> can be taken as </w:t>
      </w:r>
      <w:r w:rsidR="005B7092" w:rsidRPr="005B5ADE">
        <w:rPr>
          <w:rFonts w:ascii="Times New Roman" w:hAnsi="Times New Roman"/>
        </w:rPr>
        <w:t>saying</w:t>
      </w:r>
      <w:r w:rsidR="00B47311" w:rsidRPr="005B5ADE">
        <w:rPr>
          <w:rFonts w:ascii="Times New Roman" w:hAnsi="Times New Roman"/>
        </w:rPr>
        <w:t xml:space="preserve"> that any error or irregularity in, or in relation to, a criminal trial </w:t>
      </w:r>
      <w:r w:rsidR="005B7092" w:rsidRPr="005B5ADE">
        <w:rPr>
          <w:rFonts w:ascii="Times New Roman" w:hAnsi="Times New Roman"/>
        </w:rPr>
        <w:t xml:space="preserve">need not </w:t>
      </w:r>
      <w:r w:rsidR="00B47311" w:rsidRPr="005B5ADE">
        <w:rPr>
          <w:rFonts w:ascii="Times New Roman" w:hAnsi="Times New Roman"/>
        </w:rPr>
        <w:t>have any possible effect on the trial and verdict before it constitutes a miscarriage of justice. However, as the parties</w:t>
      </w:r>
      <w:r w:rsidRPr="005B5ADE">
        <w:rPr>
          <w:rFonts w:ascii="Times New Roman" w:hAnsi="Times New Roman"/>
        </w:rPr>
        <w:t>'</w:t>
      </w:r>
      <w:r w:rsidR="00B47311" w:rsidRPr="005B5ADE">
        <w:rPr>
          <w:rFonts w:ascii="Times New Roman" w:hAnsi="Times New Roman"/>
        </w:rPr>
        <w:t xml:space="preserve"> submissions </w:t>
      </w:r>
      <w:r w:rsidR="005B7092" w:rsidRPr="005B5ADE">
        <w:rPr>
          <w:rFonts w:ascii="Times New Roman" w:hAnsi="Times New Roman"/>
        </w:rPr>
        <w:t>disclose</w:t>
      </w:r>
      <w:r w:rsidR="00B47311" w:rsidRPr="005B5ADE">
        <w:rPr>
          <w:rFonts w:ascii="Times New Roman" w:hAnsi="Times New Roman"/>
        </w:rPr>
        <w:t xml:space="preserve">, other statements in this Court have referred to a materiality threshold which must be overcome before it can be said that an error or irregularity that has occurred in, or in relation to, a criminal trial amounts to a miscarriage of justice, although the </w:t>
      </w:r>
      <w:r w:rsidR="003410B8" w:rsidRPr="005B5ADE">
        <w:rPr>
          <w:rFonts w:ascii="Times New Roman" w:hAnsi="Times New Roman"/>
        </w:rPr>
        <w:t xml:space="preserve">formulations </w:t>
      </w:r>
      <w:r w:rsidR="00B47311" w:rsidRPr="005B5ADE">
        <w:rPr>
          <w:rFonts w:ascii="Times New Roman" w:hAnsi="Times New Roman"/>
        </w:rPr>
        <w:t>of that threshold have differed.</w:t>
      </w:r>
      <w:r w:rsidR="00DA56ED" w:rsidRPr="005B5ADE">
        <w:rPr>
          <w:rStyle w:val="FootnoteReference"/>
          <w:rFonts w:ascii="Times New Roman" w:hAnsi="Times New Roman"/>
          <w:sz w:val="24"/>
        </w:rPr>
        <w:footnoteReference w:id="18"/>
      </w:r>
      <w:r w:rsidR="00B47311" w:rsidRPr="005B5ADE">
        <w:rPr>
          <w:rFonts w:ascii="Times New Roman" w:hAnsi="Times New Roman"/>
        </w:rPr>
        <w:t xml:space="preserve"> We confirm that there is such a threshold. At the invitation of the parties, we </w:t>
      </w:r>
      <w:r w:rsidR="005B7092" w:rsidRPr="005B5ADE">
        <w:rPr>
          <w:rFonts w:ascii="Times New Roman" w:hAnsi="Times New Roman"/>
        </w:rPr>
        <w:t>now</w:t>
      </w:r>
      <w:r w:rsidR="00B47311" w:rsidRPr="005B5ADE">
        <w:rPr>
          <w:rFonts w:ascii="Times New Roman" w:hAnsi="Times New Roman"/>
        </w:rPr>
        <w:t xml:space="preserve"> harmonise those various formulations as follows. </w:t>
      </w:r>
    </w:p>
    <w:p w14:paraId="15BEC797" w14:textId="10A6B99F" w:rsidR="00B47311" w:rsidRPr="005B5ADE" w:rsidRDefault="00EE7A9E"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A common circumstance relied on as giving rise to a miscarriage of justice is that there was an error or irregularity in the trial at which the appellant was convicted</w:t>
      </w:r>
      <w:r w:rsidR="00951F1B" w:rsidRPr="005B5ADE">
        <w:rPr>
          <w:rFonts w:ascii="Times New Roman" w:hAnsi="Times New Roman"/>
        </w:rPr>
        <w:t>;</w:t>
      </w:r>
      <w:r w:rsidR="00B47311" w:rsidRPr="005B5ADE">
        <w:rPr>
          <w:rFonts w:ascii="Times New Roman" w:hAnsi="Times New Roman"/>
        </w:rPr>
        <w:t xml:space="preserve"> that is</w:t>
      </w:r>
      <w:r w:rsidR="003F3A85" w:rsidRPr="005B5ADE">
        <w:rPr>
          <w:rFonts w:ascii="Times New Roman" w:hAnsi="Times New Roman"/>
        </w:rPr>
        <w:t>,</w:t>
      </w:r>
      <w:r w:rsidR="00B47311" w:rsidRPr="005B5ADE">
        <w:rPr>
          <w:rFonts w:ascii="Times New Roman" w:hAnsi="Times New Roman"/>
        </w:rPr>
        <w:t xml:space="preserve"> some defect in the trial such as a departure from the rules of evidence </w:t>
      </w:r>
      <w:r w:rsidR="009025C5" w:rsidRPr="005B5ADE">
        <w:rPr>
          <w:rFonts w:ascii="Times New Roman" w:hAnsi="Times New Roman"/>
        </w:rPr>
        <w:t xml:space="preserve">or </w:t>
      </w:r>
      <w:r w:rsidR="00B47311" w:rsidRPr="005B5ADE">
        <w:rPr>
          <w:rFonts w:ascii="Times New Roman" w:hAnsi="Times New Roman"/>
        </w:rPr>
        <w:t>procedure, improper cross</w:t>
      </w:r>
      <w:r w:rsidR="00DA56ED" w:rsidRPr="005B5ADE">
        <w:rPr>
          <w:rFonts w:ascii="Times New Roman" w:hAnsi="Times New Roman"/>
        </w:rPr>
        <w:t>-</w:t>
      </w:r>
      <w:r w:rsidR="00B47311" w:rsidRPr="005B5ADE">
        <w:rPr>
          <w:rFonts w:ascii="Times New Roman" w:hAnsi="Times New Roman"/>
        </w:rPr>
        <w:t>examination by a crown prosecutor</w:t>
      </w:r>
      <w:r w:rsidR="00DA56ED" w:rsidRPr="005B5ADE">
        <w:rPr>
          <w:rStyle w:val="FootnoteReference"/>
          <w:rFonts w:ascii="Times New Roman" w:hAnsi="Times New Roman"/>
          <w:sz w:val="24"/>
        </w:rPr>
        <w:footnoteReference w:id="19"/>
      </w:r>
      <w:r w:rsidR="00B47311" w:rsidRPr="005B5ADE">
        <w:rPr>
          <w:rFonts w:ascii="Times New Roman" w:hAnsi="Times New Roman"/>
        </w:rPr>
        <w:t xml:space="preserve"> or a misstatement of fact by the trial judge in the summing up.</w:t>
      </w:r>
      <w:r w:rsidR="00DA56ED" w:rsidRPr="005B5ADE">
        <w:rPr>
          <w:rStyle w:val="FootnoteReference"/>
          <w:rFonts w:ascii="Times New Roman" w:hAnsi="Times New Roman"/>
          <w:sz w:val="24"/>
        </w:rPr>
        <w:footnoteReference w:id="20"/>
      </w:r>
      <w:r w:rsidR="00B47311" w:rsidRPr="005B5ADE">
        <w:rPr>
          <w:rFonts w:ascii="Times New Roman" w:hAnsi="Times New Roman"/>
        </w:rPr>
        <w:t xml:space="preserve"> If such an error or </w:t>
      </w:r>
      <w:r w:rsidR="00B47311" w:rsidRPr="005B5ADE">
        <w:rPr>
          <w:rFonts w:ascii="Times New Roman" w:hAnsi="Times New Roman"/>
        </w:rPr>
        <w:lastRenderedPageBreak/>
        <w:t>irregularity was "fundamental" in the sense discussed in the authorities</w:t>
      </w:r>
      <w:r w:rsidR="00D545E5" w:rsidRPr="005B5ADE">
        <w:rPr>
          <w:rStyle w:val="FootnoteReference"/>
          <w:rFonts w:ascii="Times New Roman" w:hAnsi="Times New Roman"/>
          <w:sz w:val="24"/>
        </w:rPr>
        <w:footnoteReference w:id="21"/>
      </w:r>
      <w:r w:rsidR="00B47311" w:rsidRPr="005B5ADE">
        <w:rPr>
          <w:rFonts w:ascii="Times New Roman" w:hAnsi="Times New Roman"/>
        </w:rPr>
        <w:t xml:space="preserve"> then there will be a miscarriage of justice and no occasion to address the proviso </w:t>
      </w:r>
      <w:r w:rsidR="0090642B" w:rsidRPr="005B5ADE">
        <w:rPr>
          <w:rFonts w:ascii="Times New Roman" w:hAnsi="Times New Roman"/>
        </w:rPr>
        <w:t xml:space="preserve">separately </w:t>
      </w:r>
      <w:r w:rsidR="00B47311" w:rsidRPr="005B5ADE">
        <w:rPr>
          <w:rFonts w:ascii="Times New Roman" w:hAnsi="Times New Roman"/>
        </w:rPr>
        <w:t>will arise. The establishment of a fundamental error or irregularity will necessarily mean that there was a substantial miscarriage of justice.</w:t>
      </w:r>
      <w:r w:rsidR="00D545E5" w:rsidRPr="005B5ADE">
        <w:rPr>
          <w:rStyle w:val="FootnoteReference"/>
          <w:rFonts w:ascii="Times New Roman" w:hAnsi="Times New Roman"/>
          <w:sz w:val="24"/>
        </w:rPr>
        <w:footnoteReference w:id="22"/>
      </w:r>
    </w:p>
    <w:p w14:paraId="52FBA27A" w14:textId="3EEC3A10" w:rsidR="00B47311" w:rsidRPr="005B5ADE" w:rsidRDefault="00DA56ED"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For other errors or irregularities to constitute a miscarriage of justice, they must be material in the sense that the error or irregularity could realistically have affected the reasoning of the jury to a verdict of guilt</w:t>
      </w:r>
      <w:r w:rsidR="00E26400">
        <w:rPr>
          <w:rFonts w:ascii="Times New Roman" w:hAnsi="Times New Roman"/>
        </w:rPr>
        <w:t>y</w:t>
      </w:r>
      <w:r w:rsidR="00B47311" w:rsidRPr="005B5ADE">
        <w:rPr>
          <w:rFonts w:ascii="Times New Roman" w:hAnsi="Times New Roman"/>
        </w:rPr>
        <w:t xml:space="preserve"> that was returned by the jury in the criminal trial that occurred. In this context, "could" is to be understood as meaning "having the capacity to", and "realistically" distinguishes the relevant assessment of the possibility of a different outcome from a possibility that is fanciful or improbable. This threshold to establish that an error or irregularity is material must be satisfied by the appellant, but </w:t>
      </w:r>
      <w:r w:rsidR="002658C4" w:rsidRPr="005B5ADE">
        <w:rPr>
          <w:rFonts w:ascii="Times New Roman" w:hAnsi="Times New Roman"/>
        </w:rPr>
        <w:t>that burden</w:t>
      </w:r>
      <w:r w:rsidR="00B47311" w:rsidRPr="005B5ADE">
        <w:rPr>
          <w:rFonts w:ascii="Times New Roman" w:hAnsi="Times New Roman"/>
        </w:rPr>
        <w:t xml:space="preserve"> is not onerous. It does not invite an analysis of whether, but for the error, the accused might or might not have been found guilty.</w:t>
      </w:r>
    </w:p>
    <w:p w14:paraId="1A950C1F" w14:textId="07C6AD97"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In each instance where the materiality threshold is met, the error or irregularity will be one that could realistically have affected the jury's reasoning to a verdict of guilty. The inquiry required by th</w:t>
      </w:r>
      <w:r w:rsidR="001015BA" w:rsidRPr="005B5ADE">
        <w:rPr>
          <w:rFonts w:ascii="Times New Roman" w:hAnsi="Times New Roman"/>
        </w:rPr>
        <w:t>is</w:t>
      </w:r>
      <w:r w:rsidRPr="005B5ADE">
        <w:rPr>
          <w:rFonts w:ascii="Times New Roman" w:hAnsi="Times New Roman"/>
        </w:rPr>
        <w:t xml:space="preserve"> materiality threshold </w:t>
      </w:r>
      <w:r w:rsidR="008B04B6" w:rsidRPr="005B5ADE">
        <w:rPr>
          <w:rFonts w:ascii="Times New Roman" w:hAnsi="Times New Roman"/>
        </w:rPr>
        <w:t xml:space="preserve">or test </w:t>
      </w:r>
      <w:r w:rsidRPr="005B5ADE">
        <w:rPr>
          <w:rFonts w:ascii="Times New Roman" w:hAnsi="Times New Roman"/>
        </w:rPr>
        <w:t xml:space="preserve">does not collapse into the inquiry undertaken in applying the proviso. </w:t>
      </w:r>
      <w:r w:rsidR="000A6046" w:rsidRPr="005B5ADE">
        <w:rPr>
          <w:rFonts w:ascii="Times New Roman" w:hAnsi="Times New Roman"/>
        </w:rPr>
        <w:t>T</w:t>
      </w:r>
      <w:r w:rsidRPr="005B5ADE">
        <w:rPr>
          <w:rFonts w:ascii="Times New Roman" w:hAnsi="Times New Roman"/>
        </w:rPr>
        <w:t xml:space="preserve">he question posed by the materiality test looks to the possible effect </w:t>
      </w:r>
      <w:r w:rsidR="00127F4E" w:rsidRPr="005B5ADE">
        <w:rPr>
          <w:rFonts w:ascii="Times New Roman" w:hAnsi="Times New Roman"/>
        </w:rPr>
        <w:t xml:space="preserve">of the error or irregularity </w:t>
      </w:r>
      <w:r w:rsidRPr="005B5ADE">
        <w:rPr>
          <w:rFonts w:ascii="Times New Roman" w:hAnsi="Times New Roman"/>
        </w:rPr>
        <w:t xml:space="preserve">on the trial that was had. </w:t>
      </w:r>
      <w:r w:rsidR="000A6046" w:rsidRPr="005B5ADE">
        <w:rPr>
          <w:rFonts w:ascii="Times New Roman" w:hAnsi="Times New Roman"/>
        </w:rPr>
        <w:t>In contrast, t</w:t>
      </w:r>
      <w:r w:rsidRPr="005B5ADE">
        <w:rPr>
          <w:rFonts w:ascii="Times New Roman" w:hAnsi="Times New Roman"/>
        </w:rPr>
        <w:t xml:space="preserve">he task required of an appellate court in applying so much of the proviso that requires it to address the "negative proposition" stated in </w:t>
      </w:r>
      <w:r w:rsidRPr="005B5ADE">
        <w:rPr>
          <w:rFonts w:ascii="Times New Roman" w:hAnsi="Times New Roman"/>
          <w:i/>
          <w:iCs/>
        </w:rPr>
        <w:t>Weiss</w:t>
      </w:r>
      <w:r w:rsidRPr="005B5ADE">
        <w:rPr>
          <w:rFonts w:ascii="Times New Roman" w:hAnsi="Times New Roman"/>
        </w:rPr>
        <w:t>,</w:t>
      </w:r>
      <w:r w:rsidR="00D545E5" w:rsidRPr="005B5ADE">
        <w:rPr>
          <w:rStyle w:val="FootnoteReference"/>
          <w:rFonts w:ascii="Times New Roman" w:hAnsi="Times New Roman"/>
          <w:sz w:val="24"/>
        </w:rPr>
        <w:footnoteReference w:id="23"/>
      </w:r>
      <w:r w:rsidRPr="005B5ADE">
        <w:rPr>
          <w:rFonts w:ascii="Times New Roman" w:hAnsi="Times New Roman"/>
        </w:rPr>
        <w:t xml:space="preserve"> namely by asking whether "the evidence properly admitted at trial proved, beyond reasonable doubt, the accused</w:t>
      </w:r>
      <w:r w:rsidR="0020597A" w:rsidRPr="005B5ADE">
        <w:rPr>
          <w:rFonts w:ascii="Times New Roman" w:hAnsi="Times New Roman"/>
        </w:rPr>
        <w:t>'</w:t>
      </w:r>
      <w:r w:rsidRPr="005B5ADE">
        <w:rPr>
          <w:rFonts w:ascii="Times New Roman" w:hAnsi="Times New Roman"/>
        </w:rPr>
        <w:t>s guilt of the offence on which the jury returned its verdict of guilty</w:t>
      </w:r>
      <w:r w:rsidR="0020597A" w:rsidRPr="005B5ADE">
        <w:rPr>
          <w:rFonts w:ascii="Times New Roman" w:hAnsi="Times New Roman"/>
        </w:rPr>
        <w:t>"</w:t>
      </w:r>
      <w:r w:rsidRPr="005B5ADE">
        <w:rPr>
          <w:rFonts w:ascii="Times New Roman" w:hAnsi="Times New Roman"/>
        </w:rPr>
        <w:t xml:space="preserve">, is qualitatively different </w:t>
      </w:r>
      <w:r w:rsidR="009025C5" w:rsidRPr="005B5ADE">
        <w:rPr>
          <w:rFonts w:ascii="Times New Roman" w:hAnsi="Times New Roman"/>
        </w:rPr>
        <w:t xml:space="preserve">from </w:t>
      </w:r>
      <w:r w:rsidRPr="005B5ADE">
        <w:rPr>
          <w:rFonts w:ascii="Times New Roman" w:hAnsi="Times New Roman"/>
        </w:rPr>
        <w:t xml:space="preserve">asking whether an error or irregularity could realistically have affected the jury's reasoning to the verdict of guilty that was returned by the jury in the trial that occurred. The proviso was addressed by all members of the Court in </w:t>
      </w:r>
      <w:r w:rsidRPr="005B5ADE">
        <w:rPr>
          <w:rFonts w:ascii="Times New Roman" w:hAnsi="Times New Roman"/>
          <w:i/>
          <w:iCs/>
        </w:rPr>
        <w:t>Hofer</w:t>
      </w:r>
      <w:r w:rsidRPr="005B5ADE">
        <w:rPr>
          <w:rFonts w:ascii="Times New Roman" w:hAnsi="Times New Roman"/>
        </w:rPr>
        <w:t xml:space="preserve">. </w:t>
      </w:r>
      <w:r w:rsidR="00155D54" w:rsidRPr="005B5ADE">
        <w:rPr>
          <w:rFonts w:ascii="Times New Roman" w:hAnsi="Times New Roman"/>
        </w:rPr>
        <w:t xml:space="preserve">As the </w:t>
      </w:r>
      <w:r w:rsidR="00155D54" w:rsidRPr="005B5ADE">
        <w:rPr>
          <w:rFonts w:ascii="Times New Roman" w:hAnsi="Times New Roman"/>
        </w:rPr>
        <w:lastRenderedPageBreak/>
        <w:t xml:space="preserve">judgments in </w:t>
      </w:r>
      <w:r w:rsidR="00155D54" w:rsidRPr="005B5ADE">
        <w:rPr>
          <w:rFonts w:ascii="Times New Roman" w:hAnsi="Times New Roman"/>
          <w:i/>
          <w:iCs/>
        </w:rPr>
        <w:t>Hofer</w:t>
      </w:r>
      <w:r w:rsidR="00155D54" w:rsidRPr="005B5ADE">
        <w:rPr>
          <w:rFonts w:ascii="Times New Roman" w:hAnsi="Times New Roman"/>
        </w:rPr>
        <w:t xml:space="preserve"> illustrate</w:t>
      </w:r>
      <w:r w:rsidR="00D11BB0" w:rsidRPr="005B5ADE">
        <w:rPr>
          <w:rFonts w:ascii="Times New Roman" w:hAnsi="Times New Roman"/>
        </w:rPr>
        <w:t>,</w:t>
      </w:r>
      <w:r w:rsidR="00155D54" w:rsidRPr="005B5ADE">
        <w:rPr>
          <w:rStyle w:val="FootnoteReference"/>
          <w:rFonts w:ascii="Times New Roman" w:hAnsi="Times New Roman"/>
          <w:sz w:val="24"/>
        </w:rPr>
        <w:footnoteReference w:id="24"/>
      </w:r>
      <w:r w:rsidR="00155D54" w:rsidRPr="005B5ADE">
        <w:rPr>
          <w:rFonts w:ascii="Times New Roman" w:hAnsi="Times New Roman"/>
        </w:rPr>
        <w:t xml:space="preserve"> i</w:t>
      </w:r>
      <w:r w:rsidRPr="005B5ADE">
        <w:rPr>
          <w:rFonts w:ascii="Times New Roman" w:hAnsi="Times New Roman"/>
        </w:rPr>
        <w:t>t is conceivable but not inevitable that an appellate court, having concluded that an error or irregularity was such that a miscarriage of justice has been established, could nevertheless be satisfied of the negative proposition, depending on the nature of the evidence and the nature of the error or irregularity.</w:t>
      </w:r>
      <w:r w:rsidR="00D545E5" w:rsidRPr="005B5ADE">
        <w:rPr>
          <w:rStyle w:val="FootnoteReference"/>
          <w:rFonts w:ascii="Times New Roman" w:hAnsi="Times New Roman"/>
          <w:sz w:val="24"/>
        </w:rPr>
        <w:footnoteReference w:id="25"/>
      </w:r>
      <w:r w:rsidRPr="005B5ADE">
        <w:rPr>
          <w:rFonts w:ascii="Times New Roman" w:hAnsi="Times New Roman"/>
        </w:rPr>
        <w:t xml:space="preserve"> </w:t>
      </w:r>
    </w:p>
    <w:p w14:paraId="62FEC705" w14:textId="14B1CFDD"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The categories of potential miscarriages of justice are not closed. A review of the multitude of circumstances which have been found to constitute a miscarriage of justice was undertaken by Gageler</w:t>
      </w:r>
      <w:r w:rsidR="00D545E5" w:rsidRPr="005B5ADE">
        <w:rPr>
          <w:rFonts w:ascii="Times New Roman" w:hAnsi="Times New Roman"/>
        </w:rPr>
        <w:t> </w:t>
      </w:r>
      <w:r w:rsidRPr="005B5ADE">
        <w:rPr>
          <w:rFonts w:ascii="Times New Roman" w:hAnsi="Times New Roman"/>
        </w:rPr>
        <w:t xml:space="preserve">J in </w:t>
      </w:r>
      <w:r w:rsidRPr="005B5ADE">
        <w:rPr>
          <w:rFonts w:ascii="Times New Roman" w:hAnsi="Times New Roman"/>
          <w:i/>
          <w:iCs/>
        </w:rPr>
        <w:t>Hofer</w:t>
      </w:r>
      <w:r w:rsidRPr="005B5ADE">
        <w:rPr>
          <w:rFonts w:ascii="Times New Roman" w:hAnsi="Times New Roman"/>
        </w:rPr>
        <w:t>.</w:t>
      </w:r>
      <w:r w:rsidR="00D545E5" w:rsidRPr="005B5ADE">
        <w:rPr>
          <w:rStyle w:val="FootnoteReference"/>
          <w:rFonts w:ascii="Times New Roman" w:hAnsi="Times New Roman"/>
          <w:sz w:val="24"/>
        </w:rPr>
        <w:footnoteReference w:id="26"/>
      </w:r>
      <w:r w:rsidRPr="005B5ADE">
        <w:rPr>
          <w:rFonts w:ascii="Times New Roman" w:hAnsi="Times New Roman"/>
        </w:rPr>
        <w:t xml:space="preserve"> Many but not </w:t>
      </w:r>
      <w:proofErr w:type="gramStart"/>
      <w:r w:rsidRPr="005B5ADE">
        <w:rPr>
          <w:rFonts w:ascii="Times New Roman" w:hAnsi="Times New Roman"/>
        </w:rPr>
        <w:t>all</w:t>
      </w:r>
      <w:r w:rsidR="00EB2477" w:rsidRPr="005B5ADE">
        <w:rPr>
          <w:rFonts w:ascii="Times New Roman" w:hAnsi="Times New Roman"/>
        </w:rPr>
        <w:t xml:space="preserve"> of</w:t>
      </w:r>
      <w:proofErr w:type="gramEnd"/>
      <w:r w:rsidRPr="005B5ADE">
        <w:rPr>
          <w:rFonts w:ascii="Times New Roman" w:hAnsi="Times New Roman"/>
        </w:rPr>
        <w:t xml:space="preserve"> those cases involved an actual or alleged error or irregularity in the trial that led to a conviction. Subject to what follows, in each of those instances of error or irregularity where the conviction was set aside the above test of materiality was satisfied. For example, in </w:t>
      </w:r>
      <w:proofErr w:type="spellStart"/>
      <w:r w:rsidRPr="005B5ADE">
        <w:rPr>
          <w:rFonts w:ascii="Times New Roman" w:hAnsi="Times New Roman"/>
          <w:i/>
          <w:iCs/>
        </w:rPr>
        <w:t>Cesan</w:t>
      </w:r>
      <w:proofErr w:type="spellEnd"/>
      <w:r w:rsidRPr="005B5ADE">
        <w:rPr>
          <w:rFonts w:ascii="Times New Roman" w:hAnsi="Times New Roman"/>
          <w:i/>
          <w:iCs/>
        </w:rPr>
        <w:t xml:space="preserve"> v The Queen</w:t>
      </w:r>
      <w:r w:rsidR="00D545E5" w:rsidRPr="005B5ADE">
        <w:rPr>
          <w:rStyle w:val="FootnoteReference"/>
          <w:rFonts w:ascii="Times New Roman" w:hAnsi="Times New Roman"/>
          <w:sz w:val="24"/>
        </w:rPr>
        <w:footnoteReference w:id="27"/>
      </w:r>
      <w:r w:rsidR="00D545E5" w:rsidRPr="005B5ADE">
        <w:rPr>
          <w:rFonts w:ascii="Times New Roman" w:hAnsi="Times New Roman"/>
          <w:i/>
          <w:iCs/>
        </w:rPr>
        <w:t xml:space="preserve"> </w:t>
      </w:r>
      <w:r w:rsidRPr="005B5ADE">
        <w:rPr>
          <w:rFonts w:ascii="Times New Roman" w:hAnsi="Times New Roman"/>
        </w:rPr>
        <w:t>the relevant defect at the trial arose from the conduct of the trial judge in periodically sleeping during the trial. However, it was the "repeated distraction of the jury [because the trial judge was asleep] from attending to the evidence at various stages of the trial, including when one of the accused was giving his evidence" that constituted a miscarriage of justice.</w:t>
      </w:r>
      <w:r w:rsidR="00D545E5" w:rsidRPr="005B5ADE">
        <w:rPr>
          <w:rStyle w:val="FootnoteReference"/>
          <w:rFonts w:ascii="Times New Roman" w:hAnsi="Times New Roman"/>
          <w:sz w:val="24"/>
        </w:rPr>
        <w:footnoteReference w:id="28"/>
      </w:r>
      <w:r w:rsidRPr="005B5ADE">
        <w:rPr>
          <w:rFonts w:ascii="Times New Roman" w:hAnsi="Times New Roman"/>
        </w:rPr>
        <w:t xml:space="preserve"> </w:t>
      </w:r>
      <w:r w:rsidR="001503DD" w:rsidRPr="005B5ADE">
        <w:rPr>
          <w:rFonts w:ascii="Times New Roman" w:hAnsi="Times New Roman"/>
        </w:rPr>
        <w:t>That</w:t>
      </w:r>
      <w:r w:rsidRPr="005B5ADE">
        <w:rPr>
          <w:rFonts w:ascii="Times New Roman" w:hAnsi="Times New Roman"/>
        </w:rPr>
        <w:t xml:space="preserve"> conclusion </w:t>
      </w:r>
      <w:r w:rsidR="001503DD" w:rsidRPr="005B5ADE">
        <w:rPr>
          <w:rFonts w:ascii="Times New Roman" w:hAnsi="Times New Roman"/>
        </w:rPr>
        <w:t>conforms</w:t>
      </w:r>
      <w:r w:rsidRPr="005B5ADE">
        <w:rPr>
          <w:rFonts w:ascii="Times New Roman" w:hAnsi="Times New Roman"/>
        </w:rPr>
        <w:t xml:space="preserve"> with the above test of materiality.</w:t>
      </w:r>
    </w:p>
    <w:p w14:paraId="003820B2" w14:textId="6DB0BD2A" w:rsidR="00BF2557"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F2557" w:rsidRPr="005B5ADE">
        <w:rPr>
          <w:rFonts w:ascii="Times New Roman" w:hAnsi="Times New Roman"/>
        </w:rPr>
        <w:t xml:space="preserve">Three matters should be noted. First, </w:t>
      </w:r>
      <w:r w:rsidR="002F1D69" w:rsidRPr="005B5ADE">
        <w:rPr>
          <w:rFonts w:ascii="Times New Roman" w:hAnsi="Times New Roman"/>
        </w:rPr>
        <w:t>i</w:t>
      </w:r>
      <w:r w:rsidRPr="005B5ADE">
        <w:rPr>
          <w:rFonts w:ascii="Times New Roman" w:hAnsi="Times New Roman"/>
        </w:rPr>
        <w:t xml:space="preserve">n stating the </w:t>
      </w:r>
      <w:r w:rsidR="00735258" w:rsidRPr="005B5ADE">
        <w:rPr>
          <w:rFonts w:ascii="Times New Roman" w:hAnsi="Times New Roman"/>
        </w:rPr>
        <w:t xml:space="preserve">test of </w:t>
      </w:r>
      <w:r w:rsidRPr="005B5ADE">
        <w:rPr>
          <w:rFonts w:ascii="Times New Roman" w:hAnsi="Times New Roman"/>
        </w:rPr>
        <w:t xml:space="preserve">materiality </w:t>
      </w:r>
      <w:r w:rsidR="00100D97" w:rsidRPr="005B5ADE">
        <w:rPr>
          <w:rFonts w:ascii="Times New Roman" w:hAnsi="Times New Roman"/>
        </w:rPr>
        <w:t xml:space="preserve">applicable where there is an error or </w:t>
      </w:r>
      <w:proofErr w:type="gramStart"/>
      <w:r w:rsidR="00100D97" w:rsidRPr="005B5ADE">
        <w:rPr>
          <w:rFonts w:ascii="Times New Roman" w:hAnsi="Times New Roman"/>
        </w:rPr>
        <w:t>irregularity</w:t>
      </w:r>
      <w:proofErr w:type="gramEnd"/>
      <w:r w:rsidR="00100D97" w:rsidRPr="005B5ADE">
        <w:rPr>
          <w:rFonts w:ascii="Times New Roman" w:hAnsi="Times New Roman"/>
        </w:rPr>
        <w:t xml:space="preserve"> </w:t>
      </w:r>
      <w:r w:rsidRPr="005B5ADE">
        <w:rPr>
          <w:rFonts w:ascii="Times New Roman" w:hAnsi="Times New Roman"/>
        </w:rPr>
        <w:t>we are not addressing what is sufficient to establish a miscarriage of justice in those cases involving fresh, much less new, evidence</w:t>
      </w:r>
      <w:r w:rsidR="00ED66B6" w:rsidRPr="005B5ADE">
        <w:rPr>
          <w:rFonts w:ascii="Times New Roman" w:hAnsi="Times New Roman"/>
        </w:rPr>
        <w:t>.</w:t>
      </w:r>
      <w:r w:rsidRPr="005B5ADE">
        <w:rPr>
          <w:rFonts w:ascii="Times New Roman" w:hAnsi="Times New Roman"/>
        </w:rPr>
        <w:t xml:space="preserve"> </w:t>
      </w:r>
      <w:r w:rsidR="00ED66B6" w:rsidRPr="005B5ADE">
        <w:rPr>
          <w:rFonts w:ascii="Times New Roman" w:hAnsi="Times New Roman"/>
        </w:rPr>
        <w:t>T</w:t>
      </w:r>
      <w:r w:rsidRPr="005B5ADE">
        <w:rPr>
          <w:rFonts w:ascii="Times New Roman" w:hAnsi="Times New Roman"/>
        </w:rPr>
        <w:t>here is established authority as to the approach to be adopted</w:t>
      </w:r>
      <w:r w:rsidR="00ED66B6" w:rsidRPr="005B5ADE">
        <w:rPr>
          <w:rFonts w:ascii="Times New Roman" w:hAnsi="Times New Roman"/>
        </w:rPr>
        <w:t xml:space="preserve"> in those cases</w:t>
      </w:r>
      <w:r w:rsidRPr="005B5ADE">
        <w:rPr>
          <w:rFonts w:ascii="Times New Roman" w:hAnsi="Times New Roman"/>
        </w:rPr>
        <w:t>.</w:t>
      </w:r>
      <w:r w:rsidR="00D545E5" w:rsidRPr="005B5ADE">
        <w:rPr>
          <w:rStyle w:val="FootnoteReference"/>
          <w:rFonts w:ascii="Times New Roman" w:hAnsi="Times New Roman"/>
          <w:sz w:val="24"/>
        </w:rPr>
        <w:footnoteReference w:id="29"/>
      </w:r>
      <w:r w:rsidRPr="005B5ADE">
        <w:rPr>
          <w:rFonts w:ascii="Times New Roman" w:hAnsi="Times New Roman"/>
        </w:rPr>
        <w:t xml:space="preserve"> </w:t>
      </w:r>
    </w:p>
    <w:p w14:paraId="6325E8C6" w14:textId="399529D9" w:rsidR="00B47311" w:rsidRPr="005B5ADE" w:rsidRDefault="00F20C79" w:rsidP="005B5ADE">
      <w:pPr>
        <w:pStyle w:val="FixListStyle"/>
        <w:spacing w:after="260" w:line="280" w:lineRule="exact"/>
        <w:ind w:right="0"/>
        <w:jc w:val="both"/>
        <w:rPr>
          <w:rFonts w:ascii="Times New Roman" w:hAnsi="Times New Roman"/>
        </w:rPr>
      </w:pPr>
      <w:r w:rsidRPr="005B5ADE">
        <w:rPr>
          <w:rFonts w:ascii="Times New Roman" w:hAnsi="Times New Roman"/>
        </w:rPr>
        <w:lastRenderedPageBreak/>
        <w:tab/>
      </w:r>
      <w:r w:rsidR="00BF2557" w:rsidRPr="005B5ADE">
        <w:rPr>
          <w:rFonts w:ascii="Times New Roman" w:hAnsi="Times New Roman"/>
        </w:rPr>
        <w:t>Second, w</w:t>
      </w:r>
      <w:r w:rsidR="00EB4AB3" w:rsidRPr="005B5ADE">
        <w:rPr>
          <w:rFonts w:ascii="Times New Roman" w:hAnsi="Times New Roman"/>
        </w:rPr>
        <w:t>e are also not addressing</w:t>
      </w:r>
      <w:r w:rsidR="00B47311" w:rsidRPr="005B5ADE">
        <w:rPr>
          <w:rFonts w:ascii="Times New Roman" w:hAnsi="Times New Roman"/>
        </w:rPr>
        <w:t xml:space="preserve"> other categories of cases where there is an alleged miscarriage of justice that does not involve an alleged error or irregularity.</w:t>
      </w:r>
      <w:r w:rsidR="00D545E5" w:rsidRPr="005B5ADE">
        <w:rPr>
          <w:rStyle w:val="FootnoteReference"/>
          <w:rFonts w:ascii="Times New Roman" w:hAnsi="Times New Roman"/>
          <w:sz w:val="24"/>
        </w:rPr>
        <w:footnoteReference w:id="30"/>
      </w:r>
      <w:r w:rsidR="00B47311" w:rsidRPr="005B5ADE">
        <w:rPr>
          <w:rFonts w:ascii="Times New Roman" w:hAnsi="Times New Roman"/>
        </w:rPr>
        <w:t xml:space="preserve"> </w:t>
      </w:r>
    </w:p>
    <w:p w14:paraId="405FEB97" w14:textId="492454D3"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F2557" w:rsidRPr="005B5ADE">
        <w:rPr>
          <w:rFonts w:ascii="Times New Roman" w:hAnsi="Times New Roman"/>
        </w:rPr>
        <w:t xml:space="preserve">Third, </w:t>
      </w:r>
      <w:r w:rsidR="009025C5" w:rsidRPr="005B5ADE">
        <w:rPr>
          <w:rFonts w:ascii="Times New Roman" w:hAnsi="Times New Roman"/>
        </w:rPr>
        <w:t xml:space="preserve">and finally, </w:t>
      </w:r>
      <w:r w:rsidR="00BF2557" w:rsidRPr="005B5ADE">
        <w:rPr>
          <w:rFonts w:ascii="Times New Roman" w:hAnsi="Times New Roman"/>
        </w:rPr>
        <w:t>w</w:t>
      </w:r>
      <w:r w:rsidRPr="005B5ADE">
        <w:rPr>
          <w:rFonts w:ascii="Times New Roman" w:hAnsi="Times New Roman"/>
        </w:rPr>
        <w:t>e are not addressing whether or not the establishment of an error or irregularity that is material in the sense explained above will be sufficient to establish a miscarriage of justice in all circumstances, including those circumstances where that error or irregularity was the product of, or contributed to by, the accused as a result of rational forensic decisions of their trial counsel.</w:t>
      </w:r>
      <w:r w:rsidR="00D545E5" w:rsidRPr="005B5ADE">
        <w:rPr>
          <w:rStyle w:val="FootnoteReference"/>
          <w:rFonts w:ascii="Times New Roman" w:hAnsi="Times New Roman"/>
          <w:sz w:val="24"/>
        </w:rPr>
        <w:footnoteReference w:id="31"/>
      </w:r>
      <w:r w:rsidRPr="005B5ADE">
        <w:rPr>
          <w:rFonts w:ascii="Times New Roman" w:hAnsi="Times New Roman"/>
        </w:rPr>
        <w:t xml:space="preserve"> That issue does not arise in this case. </w:t>
      </w:r>
    </w:p>
    <w:p w14:paraId="3ADDDCC4" w14:textId="13B2F767" w:rsidR="00B47311" w:rsidRPr="005B5ADE" w:rsidRDefault="00B47311" w:rsidP="005B5ADE">
      <w:pPr>
        <w:pStyle w:val="FixListStyle"/>
        <w:spacing w:after="260" w:line="280" w:lineRule="exact"/>
        <w:ind w:right="0"/>
        <w:jc w:val="both"/>
        <w:rPr>
          <w:rFonts w:ascii="Times New Roman" w:hAnsi="Times New Roman"/>
        </w:rPr>
      </w:pPr>
      <w:r w:rsidRPr="005B5ADE">
        <w:rPr>
          <w:rFonts w:ascii="Times New Roman" w:hAnsi="Times New Roman"/>
        </w:rPr>
        <w:tab/>
        <w:t>Subject to those t</w:t>
      </w:r>
      <w:r w:rsidR="00BF2557" w:rsidRPr="005B5ADE">
        <w:rPr>
          <w:rFonts w:ascii="Times New Roman" w:hAnsi="Times New Roman"/>
        </w:rPr>
        <w:t>hree</w:t>
      </w:r>
      <w:r w:rsidRPr="005B5ADE">
        <w:rPr>
          <w:rFonts w:ascii="Times New Roman" w:hAnsi="Times New Roman"/>
        </w:rPr>
        <w:t xml:space="preserve"> matters, the establishment of a material error or irregularity will establish a miscarriage of justice warranting the allowing of the appeal and consideration of the appropriate remedy subject to any invocation of the proviso. The burden of satisfying the proviso rests upon the prosecution and the proviso, including the negative proposition, is to be addressed by the appellate court in accordance with existing authority</w:t>
      </w:r>
      <w:r w:rsidR="007751F6" w:rsidRPr="005B5ADE">
        <w:rPr>
          <w:rFonts w:ascii="Times New Roman" w:hAnsi="Times New Roman"/>
        </w:rPr>
        <w:t>,</w:t>
      </w:r>
      <w:r w:rsidRPr="005B5ADE">
        <w:rPr>
          <w:rFonts w:ascii="Times New Roman" w:hAnsi="Times New Roman"/>
        </w:rPr>
        <w:t xml:space="preserve"> principally </w:t>
      </w:r>
      <w:r w:rsidRPr="005B5ADE">
        <w:rPr>
          <w:rFonts w:ascii="Times New Roman" w:hAnsi="Times New Roman"/>
          <w:i/>
          <w:iCs/>
        </w:rPr>
        <w:t>Weiss</w:t>
      </w:r>
      <w:r w:rsidRPr="005B5ADE">
        <w:rPr>
          <w:rFonts w:ascii="Times New Roman" w:hAnsi="Times New Roman"/>
        </w:rPr>
        <w:t>.</w:t>
      </w:r>
      <w:r w:rsidR="00193909" w:rsidRPr="005B5ADE">
        <w:rPr>
          <w:rStyle w:val="FootnoteReference"/>
          <w:rFonts w:ascii="Times New Roman" w:hAnsi="Times New Roman"/>
          <w:sz w:val="24"/>
        </w:rPr>
        <w:footnoteReference w:id="32"/>
      </w:r>
      <w:r w:rsidRPr="005B5ADE">
        <w:rPr>
          <w:rFonts w:ascii="Times New Roman" w:hAnsi="Times New Roman"/>
        </w:rPr>
        <w:t xml:space="preserve"> If the burden imposed on the prosecution by the proviso is </w:t>
      </w:r>
      <w:r w:rsidR="00193909" w:rsidRPr="005B5ADE">
        <w:rPr>
          <w:rFonts w:ascii="Times New Roman" w:hAnsi="Times New Roman"/>
        </w:rPr>
        <w:t>discharged,</w:t>
      </w:r>
      <w:r w:rsidRPr="005B5ADE">
        <w:rPr>
          <w:rFonts w:ascii="Times New Roman" w:hAnsi="Times New Roman"/>
        </w:rPr>
        <w:t xml:space="preserve"> the appeal must be dismissed. Otherwise, the appeal must be allowed. </w:t>
      </w:r>
    </w:p>
    <w:p w14:paraId="6C6B2E08" w14:textId="67CBD8FD"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t xml:space="preserve">The </w:t>
      </w:r>
      <w:r w:rsidR="00193909" w:rsidRPr="005B5ADE">
        <w:rPr>
          <w:rFonts w:ascii="Times New Roman" w:hAnsi="Times New Roman"/>
        </w:rPr>
        <w:t>p</w:t>
      </w:r>
      <w:r w:rsidRPr="005B5ADE">
        <w:rPr>
          <w:rFonts w:ascii="Times New Roman" w:hAnsi="Times New Roman"/>
        </w:rPr>
        <w:t xml:space="preserve">rosecution and </w:t>
      </w:r>
      <w:r w:rsidR="00193909" w:rsidRPr="005B5ADE">
        <w:rPr>
          <w:rFonts w:ascii="Times New Roman" w:hAnsi="Times New Roman"/>
        </w:rPr>
        <w:t>d</w:t>
      </w:r>
      <w:r w:rsidRPr="005B5ADE">
        <w:rPr>
          <w:rFonts w:ascii="Times New Roman" w:hAnsi="Times New Roman"/>
        </w:rPr>
        <w:t xml:space="preserve">efence </w:t>
      </w:r>
      <w:r w:rsidR="00193909" w:rsidRPr="005B5ADE">
        <w:rPr>
          <w:rFonts w:ascii="Times New Roman" w:hAnsi="Times New Roman"/>
        </w:rPr>
        <w:t>c</w:t>
      </w:r>
      <w:r w:rsidRPr="005B5ADE">
        <w:rPr>
          <w:rFonts w:ascii="Times New Roman" w:hAnsi="Times New Roman"/>
        </w:rPr>
        <w:t>ases</w:t>
      </w:r>
    </w:p>
    <w:p w14:paraId="66D1D926" w14:textId="13F6E99F" w:rsidR="00B47311" w:rsidRPr="005B5ADE" w:rsidRDefault="00193909"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indictment alleged that the offence was committed between </w:t>
      </w:r>
      <w:r w:rsidR="0001370E" w:rsidRPr="005B5ADE">
        <w:rPr>
          <w:rFonts w:ascii="Times New Roman" w:hAnsi="Times New Roman"/>
        </w:rPr>
        <w:t>1 </w:t>
      </w:r>
      <w:r w:rsidR="00B47311" w:rsidRPr="005B5ADE">
        <w:rPr>
          <w:rFonts w:ascii="Times New Roman" w:hAnsi="Times New Roman"/>
        </w:rPr>
        <w:t xml:space="preserve">April 2016 and </w:t>
      </w:r>
      <w:r w:rsidR="00F2723C" w:rsidRPr="005B5ADE">
        <w:rPr>
          <w:rFonts w:ascii="Times New Roman" w:hAnsi="Times New Roman"/>
        </w:rPr>
        <w:t>1 </w:t>
      </w:r>
      <w:r w:rsidR="00B47311" w:rsidRPr="005B5ADE">
        <w:rPr>
          <w:rFonts w:ascii="Times New Roman" w:hAnsi="Times New Roman"/>
        </w:rPr>
        <w:t xml:space="preserve">January 2019. </w:t>
      </w:r>
      <w:r w:rsidR="005101D7" w:rsidRPr="005B5ADE">
        <w:rPr>
          <w:rFonts w:ascii="Times New Roman" w:hAnsi="Times New Roman"/>
        </w:rPr>
        <w:t xml:space="preserve">The appellant turned 18 years of age in April 2016. </w:t>
      </w:r>
      <w:r w:rsidR="00B47311" w:rsidRPr="005B5ADE">
        <w:rPr>
          <w:rFonts w:ascii="Times New Roman" w:hAnsi="Times New Roman"/>
        </w:rPr>
        <w:t xml:space="preserve">Both </w:t>
      </w:r>
      <w:r w:rsidR="00340F5A" w:rsidRPr="005B5ADE">
        <w:rPr>
          <w:rFonts w:ascii="Times New Roman" w:hAnsi="Times New Roman"/>
        </w:rPr>
        <w:t>the complainant</w:t>
      </w:r>
      <w:r w:rsidR="00B47311" w:rsidRPr="005B5ADE">
        <w:rPr>
          <w:rFonts w:ascii="Times New Roman" w:hAnsi="Times New Roman"/>
        </w:rPr>
        <w:t xml:space="preserve"> and the appellant were members of the Sudanese community, and their families were very close. </w:t>
      </w:r>
    </w:p>
    <w:p w14:paraId="1B84648B" w14:textId="720BD541" w:rsidR="00B47311" w:rsidRPr="005B5ADE" w:rsidRDefault="00193909" w:rsidP="005B5ADE">
      <w:pPr>
        <w:pStyle w:val="FixListStyle"/>
        <w:spacing w:after="260" w:line="280" w:lineRule="exact"/>
        <w:ind w:right="0"/>
        <w:jc w:val="both"/>
        <w:rPr>
          <w:rFonts w:ascii="Times New Roman" w:hAnsi="Times New Roman"/>
        </w:rPr>
      </w:pPr>
      <w:r w:rsidRPr="005B5ADE">
        <w:rPr>
          <w:rFonts w:ascii="Times New Roman" w:hAnsi="Times New Roman"/>
        </w:rPr>
        <w:lastRenderedPageBreak/>
        <w:tab/>
      </w:r>
      <w:r w:rsidR="00B47311" w:rsidRPr="005B5ADE">
        <w:rPr>
          <w:rFonts w:ascii="Times New Roman" w:hAnsi="Times New Roman"/>
        </w:rPr>
        <w:t xml:space="preserve">To prove the offence, the prosecution was required to prove the existence of a relationship </w:t>
      </w:r>
      <w:r w:rsidR="00A842D4" w:rsidRPr="005B5ADE">
        <w:rPr>
          <w:rFonts w:ascii="Times New Roman" w:hAnsi="Times New Roman"/>
        </w:rPr>
        <w:t>"</w:t>
      </w:r>
      <w:r w:rsidR="00B47311" w:rsidRPr="005B5ADE">
        <w:rPr>
          <w:rFonts w:ascii="Times New Roman" w:hAnsi="Times New Roman"/>
        </w:rPr>
        <w:t>in which</w:t>
      </w:r>
      <w:r w:rsidR="00A842D4" w:rsidRPr="005B5ADE">
        <w:rPr>
          <w:rFonts w:ascii="Times New Roman" w:hAnsi="Times New Roman"/>
        </w:rPr>
        <w:t>"</w:t>
      </w:r>
      <w:r w:rsidR="00B47311" w:rsidRPr="005B5ADE">
        <w:rPr>
          <w:rFonts w:ascii="Times New Roman" w:hAnsi="Times New Roman"/>
        </w:rPr>
        <w:t xml:space="preserve"> two or more unlawful sexual acts were committed.</w:t>
      </w:r>
      <w:r w:rsidRPr="005B5ADE">
        <w:rPr>
          <w:rStyle w:val="FootnoteReference"/>
          <w:rFonts w:ascii="Times New Roman" w:hAnsi="Times New Roman"/>
          <w:sz w:val="24"/>
        </w:rPr>
        <w:footnoteReference w:id="33"/>
      </w:r>
      <w:r w:rsidR="00B47311" w:rsidRPr="005B5ADE">
        <w:rPr>
          <w:rFonts w:ascii="Times New Roman" w:hAnsi="Times New Roman"/>
        </w:rPr>
        <w:t xml:space="preserve"> The prosecution relied on eight such acts and a relationship between the appellant and </w:t>
      </w:r>
      <w:r w:rsidR="00D438C1" w:rsidRPr="005B5ADE">
        <w:rPr>
          <w:rFonts w:ascii="Times New Roman" w:hAnsi="Times New Roman"/>
        </w:rPr>
        <w:t>the complainant</w:t>
      </w:r>
      <w:r w:rsidR="00B47311" w:rsidRPr="005B5ADE">
        <w:rPr>
          <w:rFonts w:ascii="Times New Roman" w:hAnsi="Times New Roman"/>
        </w:rPr>
        <w:t xml:space="preserve"> as close family friends as demonstrated by </w:t>
      </w:r>
      <w:r w:rsidR="004B4EA7" w:rsidRPr="005B5ADE">
        <w:rPr>
          <w:rFonts w:ascii="Times New Roman" w:hAnsi="Times New Roman"/>
        </w:rPr>
        <w:t>the complainant</w:t>
      </w:r>
      <w:r w:rsidR="00B47311" w:rsidRPr="005B5ADE">
        <w:rPr>
          <w:rFonts w:ascii="Times New Roman" w:hAnsi="Times New Roman"/>
        </w:rPr>
        <w:t xml:space="preserve">'s description of the appellant as her "cousin". </w:t>
      </w:r>
    </w:p>
    <w:p w14:paraId="4111E4E3" w14:textId="7D611642" w:rsidR="00B47311" w:rsidRPr="005B5ADE" w:rsidRDefault="00193909"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prosecution played to the jury recordings of two interviews the police conducted with </w:t>
      </w:r>
      <w:r w:rsidR="002E53A3" w:rsidRPr="005B5ADE">
        <w:rPr>
          <w:rFonts w:ascii="Times New Roman" w:hAnsi="Times New Roman"/>
        </w:rPr>
        <w:t>the complainant</w:t>
      </w:r>
      <w:r w:rsidR="00B47311" w:rsidRPr="005B5ADE">
        <w:rPr>
          <w:rFonts w:ascii="Times New Roman" w:hAnsi="Times New Roman"/>
        </w:rPr>
        <w:t xml:space="preserve"> in which she described th</w:t>
      </w:r>
      <w:r w:rsidR="00927ECC" w:rsidRPr="005B5ADE">
        <w:rPr>
          <w:rFonts w:ascii="Times New Roman" w:hAnsi="Times New Roman"/>
        </w:rPr>
        <w:t>ose</w:t>
      </w:r>
      <w:r w:rsidR="00B47311" w:rsidRPr="005B5ADE">
        <w:rPr>
          <w:rFonts w:ascii="Times New Roman" w:hAnsi="Times New Roman"/>
        </w:rPr>
        <w:t xml:space="preserve"> eight acts</w:t>
      </w:r>
      <w:r w:rsidRPr="005B5ADE">
        <w:rPr>
          <w:rFonts w:ascii="Times New Roman" w:hAnsi="Times New Roman"/>
        </w:rPr>
        <w:t>,</w:t>
      </w:r>
      <w:r w:rsidR="00B47311" w:rsidRPr="005B5ADE">
        <w:rPr>
          <w:rFonts w:ascii="Times New Roman" w:hAnsi="Times New Roman"/>
        </w:rPr>
        <w:t xml:space="preserve"> a</w:t>
      </w:r>
      <w:r w:rsidR="00771644" w:rsidRPr="005B5ADE">
        <w:rPr>
          <w:rFonts w:ascii="Times New Roman" w:hAnsi="Times New Roman"/>
        </w:rPr>
        <w:t xml:space="preserve">s well as </w:t>
      </w:r>
      <w:r w:rsidR="00B47311" w:rsidRPr="005B5ADE">
        <w:rPr>
          <w:rFonts w:ascii="Times New Roman" w:hAnsi="Times New Roman"/>
        </w:rPr>
        <w:t>unlawful sexual acts committed against her prior to the appellant turning</w:t>
      </w:r>
      <w:r w:rsidR="00C82DBA" w:rsidRPr="005B5ADE">
        <w:rPr>
          <w:rFonts w:ascii="Times New Roman" w:hAnsi="Times New Roman"/>
        </w:rPr>
        <w:t> </w:t>
      </w:r>
      <w:r w:rsidR="00B47311" w:rsidRPr="005B5ADE">
        <w:rPr>
          <w:rFonts w:ascii="Times New Roman" w:hAnsi="Times New Roman"/>
        </w:rPr>
        <w:t>18</w:t>
      </w:r>
      <w:r w:rsidR="00400738" w:rsidRPr="005B5ADE">
        <w:rPr>
          <w:rFonts w:ascii="Times New Roman" w:hAnsi="Times New Roman"/>
        </w:rPr>
        <w:t xml:space="preserve"> years of age</w:t>
      </w:r>
      <w:r w:rsidR="00B47311" w:rsidRPr="005B5ADE">
        <w:rPr>
          <w:rFonts w:ascii="Times New Roman" w:hAnsi="Times New Roman"/>
        </w:rPr>
        <w:t xml:space="preserve">. </w:t>
      </w:r>
      <w:r w:rsidR="00400738" w:rsidRPr="005B5ADE">
        <w:rPr>
          <w:rFonts w:ascii="Times New Roman" w:hAnsi="Times New Roman"/>
        </w:rPr>
        <w:t xml:space="preserve">In those interviews, </w:t>
      </w:r>
      <w:r w:rsidR="002E53A3" w:rsidRPr="005B5ADE">
        <w:rPr>
          <w:rFonts w:ascii="Times New Roman" w:hAnsi="Times New Roman"/>
        </w:rPr>
        <w:t>the complainant</w:t>
      </w:r>
      <w:r w:rsidR="00B47311" w:rsidRPr="005B5ADE">
        <w:rPr>
          <w:rFonts w:ascii="Times New Roman" w:hAnsi="Times New Roman"/>
        </w:rPr>
        <w:t xml:space="preserve"> identified the appellant as the perpetrator</w:t>
      </w:r>
      <w:r w:rsidR="008A18BD" w:rsidRPr="005B5ADE">
        <w:rPr>
          <w:rFonts w:ascii="Times New Roman" w:hAnsi="Times New Roman"/>
        </w:rPr>
        <w:t>.</w:t>
      </w:r>
      <w:r w:rsidR="00B47311" w:rsidRPr="005B5ADE">
        <w:rPr>
          <w:rFonts w:ascii="Times New Roman" w:hAnsi="Times New Roman"/>
        </w:rPr>
        <w:t xml:space="preserve"> Five of the eight acts were alleged to have occurred in the appellant's bedroom, two of the acts were said to have occurred in </w:t>
      </w:r>
      <w:r w:rsidR="002E53A3" w:rsidRPr="005B5ADE">
        <w:rPr>
          <w:rFonts w:ascii="Times New Roman" w:hAnsi="Times New Roman"/>
        </w:rPr>
        <w:t>the complainant</w:t>
      </w:r>
      <w:r w:rsidR="00B47311" w:rsidRPr="005B5ADE">
        <w:rPr>
          <w:rFonts w:ascii="Times New Roman" w:hAnsi="Times New Roman"/>
        </w:rPr>
        <w:t xml:space="preserve">'s bedroom and the other act was alleged to have occurred in the lavatory of a public park where </w:t>
      </w:r>
      <w:r w:rsidR="002E53A3" w:rsidRPr="005B5ADE">
        <w:rPr>
          <w:rFonts w:ascii="Times New Roman" w:hAnsi="Times New Roman"/>
        </w:rPr>
        <w:t>the complainant</w:t>
      </w:r>
      <w:r w:rsidR="00BD52C7" w:rsidRPr="005B5ADE">
        <w:rPr>
          <w:rFonts w:ascii="Times New Roman" w:hAnsi="Times New Roman"/>
        </w:rPr>
        <w:t xml:space="preserve"> and the appellant</w:t>
      </w:r>
      <w:r w:rsidR="00B47311" w:rsidRPr="005B5ADE">
        <w:rPr>
          <w:rFonts w:ascii="Times New Roman" w:hAnsi="Times New Roman"/>
        </w:rPr>
        <w:t xml:space="preserve"> were attending the birthday </w:t>
      </w:r>
      <w:r w:rsidR="00ED2F22" w:rsidRPr="005B5ADE">
        <w:rPr>
          <w:rFonts w:ascii="Times New Roman" w:hAnsi="Times New Roman"/>
        </w:rPr>
        <w:t xml:space="preserve">party </w:t>
      </w:r>
      <w:r w:rsidR="00B47311" w:rsidRPr="005B5ADE">
        <w:rPr>
          <w:rFonts w:ascii="Times New Roman" w:hAnsi="Times New Roman"/>
        </w:rPr>
        <w:t xml:space="preserve">of another child. </w:t>
      </w:r>
    </w:p>
    <w:p w14:paraId="6686C1BD" w14:textId="5158B8E2" w:rsidR="00B47311" w:rsidRPr="005B5ADE" w:rsidRDefault="00C82DB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The appellant gave evidence denying that he ever sexually abused</w:t>
      </w:r>
      <w:r w:rsidR="002E53A3" w:rsidRPr="005B5ADE">
        <w:rPr>
          <w:rFonts w:ascii="Times New Roman" w:hAnsi="Times New Roman"/>
        </w:rPr>
        <w:t xml:space="preserve"> the complainant</w:t>
      </w:r>
      <w:r w:rsidR="00B47311" w:rsidRPr="005B5ADE">
        <w:rPr>
          <w:rFonts w:ascii="Times New Roman" w:hAnsi="Times New Roman"/>
        </w:rPr>
        <w:t xml:space="preserve">. He called character evidence. He also adduced evidence from members of his family to contradict aspects of the evidence given </w:t>
      </w:r>
      <w:r w:rsidRPr="005B5ADE">
        <w:rPr>
          <w:rFonts w:ascii="Times New Roman" w:hAnsi="Times New Roman"/>
        </w:rPr>
        <w:t>by</w:t>
      </w:r>
      <w:r w:rsidR="00E9068D" w:rsidRPr="005B5ADE">
        <w:rPr>
          <w:rFonts w:ascii="Times New Roman" w:hAnsi="Times New Roman"/>
        </w:rPr>
        <w:t xml:space="preserve"> the complainant</w:t>
      </w:r>
      <w:r w:rsidR="00B47311" w:rsidRPr="005B5ADE">
        <w:rPr>
          <w:rFonts w:ascii="Times New Roman" w:hAnsi="Times New Roman"/>
        </w:rPr>
        <w:t xml:space="preserve"> and other members of her family called </w:t>
      </w:r>
      <w:r w:rsidR="00AE1BCE" w:rsidRPr="005B5ADE">
        <w:rPr>
          <w:rFonts w:ascii="Times New Roman" w:hAnsi="Times New Roman"/>
        </w:rPr>
        <w:t xml:space="preserve">as part of </w:t>
      </w:r>
      <w:r w:rsidR="00B47311" w:rsidRPr="005B5ADE">
        <w:rPr>
          <w:rFonts w:ascii="Times New Roman" w:hAnsi="Times New Roman"/>
        </w:rPr>
        <w:t>the prosecution case concerning the configuration of rooms in the various households, the sleeping arrangements</w:t>
      </w:r>
      <w:r w:rsidR="00AE4370" w:rsidRPr="005B5ADE">
        <w:rPr>
          <w:rFonts w:ascii="Times New Roman" w:hAnsi="Times New Roman"/>
        </w:rPr>
        <w:t>,</w:t>
      </w:r>
      <w:r w:rsidR="00B47311" w:rsidRPr="005B5ADE">
        <w:rPr>
          <w:rFonts w:ascii="Times New Roman" w:hAnsi="Times New Roman"/>
        </w:rPr>
        <w:t xml:space="preserve"> whether the appellant and</w:t>
      </w:r>
      <w:r w:rsidR="00AE1BCE" w:rsidRPr="005B5ADE">
        <w:rPr>
          <w:rFonts w:ascii="Times New Roman" w:hAnsi="Times New Roman"/>
        </w:rPr>
        <w:t xml:space="preserve"> the complainant</w:t>
      </w:r>
      <w:r w:rsidR="00B47311" w:rsidRPr="005B5ADE">
        <w:rPr>
          <w:rFonts w:ascii="Times New Roman" w:hAnsi="Times New Roman"/>
        </w:rPr>
        <w:t xml:space="preserve"> were discovered alone in a bedroom together</w:t>
      </w:r>
      <w:r w:rsidR="00AE4370" w:rsidRPr="005B5ADE">
        <w:rPr>
          <w:rFonts w:ascii="Times New Roman" w:hAnsi="Times New Roman"/>
        </w:rPr>
        <w:t xml:space="preserve"> and the </w:t>
      </w:r>
      <w:proofErr w:type="gramStart"/>
      <w:r w:rsidR="00AE4370" w:rsidRPr="005B5ADE">
        <w:rPr>
          <w:rFonts w:ascii="Times New Roman" w:hAnsi="Times New Roman"/>
        </w:rPr>
        <w:t>period of time</w:t>
      </w:r>
      <w:proofErr w:type="gramEnd"/>
      <w:r w:rsidR="00AE4370" w:rsidRPr="005B5ADE">
        <w:rPr>
          <w:rFonts w:ascii="Times New Roman" w:hAnsi="Times New Roman"/>
        </w:rPr>
        <w:t xml:space="preserve"> he attended the birthday party in the park</w:t>
      </w:r>
      <w:r w:rsidR="00B47311" w:rsidRPr="005B5ADE">
        <w:rPr>
          <w:rFonts w:ascii="Times New Roman" w:hAnsi="Times New Roman"/>
        </w:rPr>
        <w:t>.</w:t>
      </w:r>
      <w:r w:rsidR="0080009B" w:rsidRPr="005B5ADE">
        <w:rPr>
          <w:rFonts w:ascii="Times New Roman" w:hAnsi="Times New Roman"/>
        </w:rPr>
        <w:t xml:space="preserve"> </w:t>
      </w:r>
      <w:r w:rsidR="00AF6ED5" w:rsidRPr="005B5ADE">
        <w:rPr>
          <w:rFonts w:ascii="Times New Roman" w:hAnsi="Times New Roman"/>
        </w:rPr>
        <w:t>X</w:t>
      </w:r>
      <w:r w:rsidR="00B47311" w:rsidRPr="005B5ADE">
        <w:rPr>
          <w:rFonts w:ascii="Times New Roman" w:hAnsi="Times New Roman"/>
        </w:rPr>
        <w:t xml:space="preserve"> was not called to give evidence</w:t>
      </w:r>
      <w:r w:rsidR="00771644" w:rsidRPr="005B5ADE">
        <w:rPr>
          <w:rFonts w:ascii="Times New Roman" w:hAnsi="Times New Roman"/>
        </w:rPr>
        <w:t xml:space="preserve"> by either the prosecution or </w:t>
      </w:r>
      <w:r w:rsidR="009A2E66">
        <w:rPr>
          <w:rFonts w:ascii="Times New Roman" w:hAnsi="Times New Roman"/>
        </w:rPr>
        <w:t xml:space="preserve">the </w:t>
      </w:r>
      <w:r w:rsidR="00771644" w:rsidRPr="005B5ADE">
        <w:rPr>
          <w:rFonts w:ascii="Times New Roman" w:hAnsi="Times New Roman"/>
        </w:rPr>
        <w:t>defence</w:t>
      </w:r>
      <w:r w:rsidR="00B47311" w:rsidRPr="005B5ADE">
        <w:rPr>
          <w:rFonts w:ascii="Times New Roman" w:hAnsi="Times New Roman"/>
        </w:rPr>
        <w:t xml:space="preserve">. </w:t>
      </w:r>
    </w:p>
    <w:p w14:paraId="5AC3515E" w14:textId="71E980BD" w:rsidR="00B47311" w:rsidRPr="005B5ADE" w:rsidRDefault="00C82DB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Immediately after the prosecutor's opening address, </w:t>
      </w:r>
      <w:r w:rsidR="00BC334E" w:rsidRPr="005B5ADE">
        <w:rPr>
          <w:rFonts w:ascii="Times New Roman" w:hAnsi="Times New Roman"/>
        </w:rPr>
        <w:t>the appellant's</w:t>
      </w:r>
      <w:r w:rsidR="00B47311" w:rsidRPr="005B5ADE">
        <w:rPr>
          <w:rFonts w:ascii="Times New Roman" w:hAnsi="Times New Roman"/>
        </w:rPr>
        <w:t xml:space="preserve"> trial </w:t>
      </w:r>
      <w:r w:rsidRPr="005B5ADE">
        <w:rPr>
          <w:rFonts w:ascii="Times New Roman" w:hAnsi="Times New Roman"/>
        </w:rPr>
        <w:t>c</w:t>
      </w:r>
      <w:r w:rsidR="00B47311" w:rsidRPr="005B5ADE">
        <w:rPr>
          <w:rFonts w:ascii="Times New Roman" w:hAnsi="Times New Roman"/>
        </w:rPr>
        <w:t>ounsel told the jury that the commission of the sexual acts against</w:t>
      </w:r>
      <w:r w:rsidR="00ED2F22" w:rsidRPr="005B5ADE">
        <w:rPr>
          <w:rFonts w:ascii="Times New Roman" w:hAnsi="Times New Roman"/>
        </w:rPr>
        <w:t xml:space="preserve"> the complainant</w:t>
      </w:r>
      <w:r w:rsidR="00B47311" w:rsidRPr="005B5ADE">
        <w:rPr>
          <w:rFonts w:ascii="Times New Roman" w:hAnsi="Times New Roman"/>
        </w:rPr>
        <w:t xml:space="preserve"> was not in issue</w:t>
      </w:r>
      <w:r w:rsidR="00BC334E" w:rsidRPr="005B5ADE">
        <w:rPr>
          <w:rFonts w:ascii="Times New Roman" w:hAnsi="Times New Roman"/>
        </w:rPr>
        <w:t>.</w:t>
      </w:r>
      <w:r w:rsidR="00B47311" w:rsidRPr="005B5ADE">
        <w:rPr>
          <w:rFonts w:ascii="Times New Roman" w:hAnsi="Times New Roman"/>
        </w:rPr>
        <w:t xml:space="preserve"> </w:t>
      </w:r>
      <w:proofErr w:type="gramStart"/>
      <w:r w:rsidR="00BC334E" w:rsidRPr="005B5ADE">
        <w:rPr>
          <w:rFonts w:ascii="Times New Roman" w:hAnsi="Times New Roman"/>
        </w:rPr>
        <w:t>I</w:t>
      </w:r>
      <w:r w:rsidR="00B47311" w:rsidRPr="005B5ADE">
        <w:rPr>
          <w:rFonts w:ascii="Times New Roman" w:hAnsi="Times New Roman"/>
        </w:rPr>
        <w:t>nstead</w:t>
      </w:r>
      <w:proofErr w:type="gramEnd"/>
      <w:r w:rsidR="00B47311" w:rsidRPr="005B5ADE">
        <w:rPr>
          <w:rFonts w:ascii="Times New Roman" w:hAnsi="Times New Roman"/>
        </w:rPr>
        <w:t xml:space="preserve"> the principal issue was whether</w:t>
      </w:r>
      <w:r w:rsidR="00ED2F22" w:rsidRPr="005B5ADE">
        <w:rPr>
          <w:rFonts w:ascii="Times New Roman" w:hAnsi="Times New Roman"/>
        </w:rPr>
        <w:t xml:space="preserve"> the complainant</w:t>
      </w:r>
      <w:r w:rsidR="00B47311" w:rsidRPr="005B5ADE">
        <w:rPr>
          <w:rFonts w:ascii="Times New Roman" w:hAnsi="Times New Roman"/>
        </w:rPr>
        <w:t xml:space="preserve"> "is accurate and</w:t>
      </w:r>
      <w:r w:rsidR="00ED2F22" w:rsidRPr="005B5ADE">
        <w:rPr>
          <w:rFonts w:ascii="Times New Roman" w:hAnsi="Times New Roman"/>
        </w:rPr>
        <w:t xml:space="preserve"> </w:t>
      </w:r>
      <w:r w:rsidR="00FD79EF" w:rsidRPr="005B5ADE">
        <w:rPr>
          <w:rFonts w:ascii="Times New Roman" w:hAnsi="Times New Roman"/>
        </w:rPr>
        <w:t>whether [the complainant]</w:t>
      </w:r>
      <w:r w:rsidR="00B47311" w:rsidRPr="005B5ADE">
        <w:rPr>
          <w:rFonts w:ascii="Times New Roman" w:hAnsi="Times New Roman"/>
        </w:rPr>
        <w:t xml:space="preserve"> is reliable when </w:t>
      </w:r>
      <w:r w:rsidRPr="005B5ADE">
        <w:rPr>
          <w:rFonts w:ascii="Times New Roman" w:hAnsi="Times New Roman"/>
        </w:rPr>
        <w:t xml:space="preserve">she </w:t>
      </w:r>
      <w:r w:rsidR="00B47311" w:rsidRPr="005B5ADE">
        <w:rPr>
          <w:rFonts w:ascii="Times New Roman" w:hAnsi="Times New Roman"/>
        </w:rPr>
        <w:t>says it</w:t>
      </w:r>
      <w:r w:rsidR="00FD79EF" w:rsidRPr="005B5ADE">
        <w:rPr>
          <w:rFonts w:ascii="Times New Roman" w:hAnsi="Times New Roman"/>
        </w:rPr>
        <w:t>'</w:t>
      </w:r>
      <w:r w:rsidR="00B47311" w:rsidRPr="005B5ADE">
        <w:rPr>
          <w:rFonts w:ascii="Times New Roman" w:hAnsi="Times New Roman"/>
        </w:rPr>
        <w:t xml:space="preserve">s </w:t>
      </w:r>
      <w:r w:rsidR="003F0987" w:rsidRPr="005B5ADE">
        <w:rPr>
          <w:rFonts w:ascii="Times New Roman" w:hAnsi="Times New Roman"/>
        </w:rPr>
        <w:t>[</w:t>
      </w:r>
      <w:r w:rsidR="00B47311" w:rsidRPr="005B5ADE">
        <w:rPr>
          <w:rFonts w:ascii="Times New Roman" w:hAnsi="Times New Roman"/>
        </w:rPr>
        <w:t>the appellant] who abused her"</w:t>
      </w:r>
      <w:r w:rsidR="00DD319B" w:rsidRPr="005B5ADE">
        <w:rPr>
          <w:rFonts w:ascii="Times New Roman" w:hAnsi="Times New Roman"/>
        </w:rPr>
        <w:t>.</w:t>
      </w:r>
      <w:r w:rsidRPr="005B5ADE">
        <w:rPr>
          <w:rStyle w:val="FootnoteReference"/>
          <w:rFonts w:ascii="Times New Roman" w:hAnsi="Times New Roman"/>
          <w:sz w:val="24"/>
        </w:rPr>
        <w:footnoteReference w:id="34"/>
      </w:r>
      <w:r w:rsidR="00B47311" w:rsidRPr="005B5ADE">
        <w:rPr>
          <w:rFonts w:ascii="Times New Roman" w:hAnsi="Times New Roman"/>
        </w:rPr>
        <w:t xml:space="preserve"> </w:t>
      </w:r>
      <w:r w:rsidR="0046019B" w:rsidRPr="005B5ADE">
        <w:rPr>
          <w:rFonts w:ascii="Times New Roman" w:hAnsi="Times New Roman"/>
        </w:rPr>
        <w:t>Th</w:t>
      </w:r>
      <w:r w:rsidR="00B825CF" w:rsidRPr="005B5ADE">
        <w:rPr>
          <w:rFonts w:ascii="Times New Roman" w:hAnsi="Times New Roman"/>
        </w:rPr>
        <w:t xml:space="preserve">is was reiterated when counsel </w:t>
      </w:r>
      <w:r w:rsidR="00B47311" w:rsidRPr="005B5ADE">
        <w:rPr>
          <w:rFonts w:ascii="Times New Roman" w:hAnsi="Times New Roman"/>
        </w:rPr>
        <w:t>open</w:t>
      </w:r>
      <w:r w:rsidR="00B825CF" w:rsidRPr="005B5ADE">
        <w:rPr>
          <w:rFonts w:ascii="Times New Roman" w:hAnsi="Times New Roman"/>
        </w:rPr>
        <w:t>ed</w:t>
      </w:r>
      <w:r w:rsidR="00B47311" w:rsidRPr="005B5ADE">
        <w:rPr>
          <w:rFonts w:ascii="Times New Roman" w:hAnsi="Times New Roman"/>
        </w:rPr>
        <w:t xml:space="preserve"> the defence case and, </w:t>
      </w:r>
      <w:r w:rsidR="00B47311" w:rsidRPr="005B5ADE">
        <w:rPr>
          <w:rFonts w:ascii="Times New Roman" w:hAnsi="Times New Roman"/>
        </w:rPr>
        <w:lastRenderedPageBreak/>
        <w:t xml:space="preserve">as noted below, in </w:t>
      </w:r>
      <w:r w:rsidR="00F5102F" w:rsidRPr="005B5ADE">
        <w:rPr>
          <w:rFonts w:ascii="Times New Roman" w:hAnsi="Times New Roman"/>
        </w:rPr>
        <w:t>counsel's</w:t>
      </w:r>
      <w:r w:rsidR="00DB271D" w:rsidRPr="005B5ADE">
        <w:rPr>
          <w:rFonts w:ascii="Times New Roman" w:hAnsi="Times New Roman"/>
        </w:rPr>
        <w:t xml:space="preserve"> </w:t>
      </w:r>
      <w:r w:rsidR="00B47311" w:rsidRPr="005B5ADE">
        <w:rPr>
          <w:rFonts w:ascii="Times New Roman" w:hAnsi="Times New Roman"/>
        </w:rPr>
        <w:t xml:space="preserve">final address. The trial judge summarised the defence case accordingly. </w:t>
      </w:r>
    </w:p>
    <w:p w14:paraId="12155799" w14:textId="72D21501" w:rsidR="00B47311" w:rsidRPr="005B5ADE" w:rsidRDefault="00C82DB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A significant part of the defence case fixed upon evidence that when </w:t>
      </w:r>
      <w:r w:rsidR="00DB271D" w:rsidRPr="005B5ADE">
        <w:rPr>
          <w:rFonts w:ascii="Times New Roman" w:hAnsi="Times New Roman"/>
        </w:rPr>
        <w:t>the complainant</w:t>
      </w:r>
      <w:r w:rsidR="00B47311" w:rsidRPr="005B5ADE">
        <w:rPr>
          <w:rFonts w:ascii="Times New Roman" w:hAnsi="Times New Roman"/>
        </w:rPr>
        <w:t xml:space="preserve"> first complained about her </w:t>
      </w:r>
      <w:proofErr w:type="gramStart"/>
      <w:r w:rsidR="00B47311" w:rsidRPr="005B5ADE">
        <w:rPr>
          <w:rFonts w:ascii="Times New Roman" w:hAnsi="Times New Roman"/>
        </w:rPr>
        <w:t>abuse</w:t>
      </w:r>
      <w:proofErr w:type="gramEnd"/>
      <w:r w:rsidR="00B47311" w:rsidRPr="005B5ADE">
        <w:rPr>
          <w:rFonts w:ascii="Times New Roman" w:hAnsi="Times New Roman"/>
        </w:rPr>
        <w:t xml:space="preserve"> she said that her "uncle" sexually abused her. The prosecution called a school support worker who told the jury that</w:t>
      </w:r>
      <w:r w:rsidR="00B25E24" w:rsidRPr="005B5ADE">
        <w:rPr>
          <w:rFonts w:ascii="Times New Roman" w:hAnsi="Times New Roman"/>
        </w:rPr>
        <w:t>,</w:t>
      </w:r>
      <w:r w:rsidR="00B47311" w:rsidRPr="005B5ADE">
        <w:rPr>
          <w:rFonts w:ascii="Times New Roman" w:hAnsi="Times New Roman"/>
        </w:rPr>
        <w:t xml:space="preserve"> two days prior to</w:t>
      </w:r>
      <w:r w:rsidR="00DB271D" w:rsidRPr="005B5ADE">
        <w:rPr>
          <w:rFonts w:ascii="Times New Roman" w:hAnsi="Times New Roman"/>
        </w:rPr>
        <w:t xml:space="preserve"> the complainant</w:t>
      </w:r>
      <w:r w:rsidR="00B47311" w:rsidRPr="005B5ADE">
        <w:rPr>
          <w:rFonts w:ascii="Times New Roman" w:hAnsi="Times New Roman"/>
        </w:rPr>
        <w:t>'</w:t>
      </w:r>
      <w:r w:rsidRPr="005B5ADE">
        <w:rPr>
          <w:rFonts w:ascii="Times New Roman" w:hAnsi="Times New Roman"/>
        </w:rPr>
        <w:t>s</w:t>
      </w:r>
      <w:r w:rsidR="00B47311" w:rsidRPr="005B5ADE">
        <w:rPr>
          <w:rFonts w:ascii="Times New Roman" w:hAnsi="Times New Roman"/>
        </w:rPr>
        <w:t xml:space="preserve"> first interview with the police, </w:t>
      </w:r>
      <w:r w:rsidR="00AF54D3" w:rsidRPr="005B5ADE">
        <w:rPr>
          <w:rFonts w:ascii="Times New Roman" w:hAnsi="Times New Roman"/>
        </w:rPr>
        <w:t>she</w:t>
      </w:r>
      <w:r w:rsidR="00DB271D" w:rsidRPr="005B5ADE">
        <w:rPr>
          <w:rFonts w:ascii="Times New Roman" w:hAnsi="Times New Roman"/>
        </w:rPr>
        <w:t xml:space="preserve"> </w:t>
      </w:r>
      <w:r w:rsidR="00B47311" w:rsidRPr="005B5ADE">
        <w:rPr>
          <w:rFonts w:ascii="Times New Roman" w:hAnsi="Times New Roman"/>
        </w:rPr>
        <w:t xml:space="preserve">told </w:t>
      </w:r>
      <w:r w:rsidR="00DB271D" w:rsidRPr="005B5ADE">
        <w:rPr>
          <w:rFonts w:ascii="Times New Roman" w:hAnsi="Times New Roman"/>
        </w:rPr>
        <w:t xml:space="preserve">the support worker </w:t>
      </w:r>
      <w:r w:rsidR="00B47311" w:rsidRPr="005B5ADE">
        <w:rPr>
          <w:rFonts w:ascii="Times New Roman" w:hAnsi="Times New Roman"/>
        </w:rPr>
        <w:t xml:space="preserve">that </w:t>
      </w:r>
      <w:r w:rsidR="00DB271D" w:rsidRPr="005B5ADE">
        <w:rPr>
          <w:rFonts w:ascii="Times New Roman" w:hAnsi="Times New Roman"/>
        </w:rPr>
        <w:t>the complainant</w:t>
      </w:r>
      <w:r w:rsidR="00B47311" w:rsidRPr="005B5ADE">
        <w:rPr>
          <w:rFonts w:ascii="Times New Roman" w:hAnsi="Times New Roman"/>
        </w:rPr>
        <w:t xml:space="preserve"> felt </w:t>
      </w:r>
      <w:r w:rsidR="00D169EC" w:rsidRPr="005B5ADE">
        <w:rPr>
          <w:rFonts w:ascii="Times New Roman" w:hAnsi="Times New Roman"/>
        </w:rPr>
        <w:t>"</w:t>
      </w:r>
      <w:r w:rsidR="00B47311" w:rsidRPr="005B5ADE">
        <w:rPr>
          <w:rFonts w:ascii="Times New Roman" w:hAnsi="Times New Roman"/>
        </w:rPr>
        <w:t xml:space="preserve">sad when </w:t>
      </w:r>
      <w:r w:rsidR="00B25E24" w:rsidRPr="005B5ADE">
        <w:rPr>
          <w:rFonts w:ascii="Times New Roman" w:hAnsi="Times New Roman"/>
        </w:rPr>
        <w:t>[she]</w:t>
      </w:r>
      <w:r w:rsidR="00B47311" w:rsidRPr="005B5ADE">
        <w:rPr>
          <w:rFonts w:ascii="Times New Roman" w:hAnsi="Times New Roman"/>
        </w:rPr>
        <w:t xml:space="preserve"> </w:t>
      </w:r>
      <w:proofErr w:type="gramStart"/>
      <w:r w:rsidR="00B47311" w:rsidRPr="005B5ADE">
        <w:rPr>
          <w:rFonts w:ascii="Times New Roman" w:hAnsi="Times New Roman"/>
        </w:rPr>
        <w:t>remember</w:t>
      </w:r>
      <w:proofErr w:type="gramEnd"/>
      <w:r w:rsidR="00B25E24" w:rsidRPr="005B5ADE">
        <w:rPr>
          <w:rFonts w:ascii="Times New Roman" w:hAnsi="Times New Roman"/>
        </w:rPr>
        <w:t>[ed]</w:t>
      </w:r>
      <w:r w:rsidR="00B47311" w:rsidRPr="005B5ADE">
        <w:rPr>
          <w:rFonts w:ascii="Times New Roman" w:hAnsi="Times New Roman"/>
        </w:rPr>
        <w:t xml:space="preserve"> things that </w:t>
      </w:r>
      <w:r w:rsidR="00B25E24" w:rsidRPr="005B5ADE">
        <w:rPr>
          <w:rFonts w:ascii="Times New Roman" w:hAnsi="Times New Roman"/>
        </w:rPr>
        <w:t xml:space="preserve">[her] </w:t>
      </w:r>
      <w:r w:rsidR="00B47311" w:rsidRPr="005B5ADE">
        <w:rPr>
          <w:rFonts w:ascii="Times New Roman" w:hAnsi="Times New Roman"/>
        </w:rPr>
        <w:t xml:space="preserve">uncle </w:t>
      </w:r>
      <w:r w:rsidR="00566C8A" w:rsidRPr="005B5ADE">
        <w:rPr>
          <w:rFonts w:ascii="Times New Roman" w:hAnsi="Times New Roman"/>
        </w:rPr>
        <w:t xml:space="preserve">[did] </w:t>
      </w:r>
      <w:r w:rsidR="00B47311" w:rsidRPr="005B5ADE">
        <w:rPr>
          <w:rFonts w:ascii="Times New Roman" w:hAnsi="Times New Roman"/>
        </w:rPr>
        <w:t xml:space="preserve">to </w:t>
      </w:r>
      <w:r w:rsidR="00566C8A" w:rsidRPr="005B5ADE">
        <w:rPr>
          <w:rFonts w:ascii="Times New Roman" w:hAnsi="Times New Roman"/>
        </w:rPr>
        <w:t>[her]</w:t>
      </w:r>
      <w:r w:rsidR="00B47311" w:rsidRPr="005B5ADE">
        <w:rPr>
          <w:rFonts w:ascii="Times New Roman" w:hAnsi="Times New Roman"/>
        </w:rPr>
        <w:t>". In cross</w:t>
      </w:r>
      <w:r w:rsidRPr="005B5ADE">
        <w:rPr>
          <w:rFonts w:ascii="Times New Roman" w:hAnsi="Times New Roman"/>
        </w:rPr>
        <w:t>-</w:t>
      </w:r>
      <w:r w:rsidR="00B47311" w:rsidRPr="005B5ADE">
        <w:rPr>
          <w:rFonts w:ascii="Times New Roman" w:hAnsi="Times New Roman"/>
        </w:rPr>
        <w:t>examination the support worker agreed that in her written statement she described</w:t>
      </w:r>
      <w:r w:rsidR="00D62D6C" w:rsidRPr="005B5ADE">
        <w:rPr>
          <w:rFonts w:ascii="Times New Roman" w:hAnsi="Times New Roman"/>
        </w:rPr>
        <w:t xml:space="preserve"> the complainant</w:t>
      </w:r>
      <w:r w:rsidR="00B47311" w:rsidRPr="005B5ADE">
        <w:rPr>
          <w:rFonts w:ascii="Times New Roman" w:hAnsi="Times New Roman"/>
        </w:rPr>
        <w:t xml:space="preserve"> referring to her "uncle" three times and</w:t>
      </w:r>
      <w:r w:rsidR="00D62D6C" w:rsidRPr="005B5ADE">
        <w:rPr>
          <w:rFonts w:ascii="Times New Roman" w:hAnsi="Times New Roman"/>
        </w:rPr>
        <w:t xml:space="preserve"> the complainant</w:t>
      </w:r>
      <w:r w:rsidR="00B47311" w:rsidRPr="005B5ADE">
        <w:rPr>
          <w:rFonts w:ascii="Times New Roman" w:hAnsi="Times New Roman"/>
        </w:rPr>
        <w:t xml:space="preserve"> describing this "uncle" as having "bought things for her that she didn't want". A character witness called on behalf of the </w:t>
      </w:r>
      <w:r w:rsidRPr="005B5ADE">
        <w:rPr>
          <w:rFonts w:ascii="Times New Roman" w:hAnsi="Times New Roman"/>
        </w:rPr>
        <w:t>a</w:t>
      </w:r>
      <w:r w:rsidR="00B47311" w:rsidRPr="005B5ADE">
        <w:rPr>
          <w:rFonts w:ascii="Times New Roman" w:hAnsi="Times New Roman"/>
        </w:rPr>
        <w:t>ppellant said that it is common for children in the Sudanese community to call adults "uncle" or "aunty" rather than their names. Each of</w:t>
      </w:r>
      <w:r w:rsidR="009C723F" w:rsidRPr="005B5ADE">
        <w:rPr>
          <w:rFonts w:ascii="Times New Roman" w:hAnsi="Times New Roman"/>
        </w:rPr>
        <w:t xml:space="preserve"> the complainant</w:t>
      </w:r>
      <w:r w:rsidR="00B47311" w:rsidRPr="005B5ADE">
        <w:rPr>
          <w:rFonts w:ascii="Times New Roman" w:hAnsi="Times New Roman"/>
        </w:rPr>
        <w:t xml:space="preserve">'s parents told the jury that their children referred to </w:t>
      </w:r>
      <w:r w:rsidR="00AF6ED5" w:rsidRPr="005B5ADE">
        <w:rPr>
          <w:rFonts w:ascii="Times New Roman" w:hAnsi="Times New Roman"/>
        </w:rPr>
        <w:t>X</w:t>
      </w:r>
      <w:r w:rsidR="00B47311" w:rsidRPr="005B5ADE">
        <w:rPr>
          <w:rFonts w:ascii="Times New Roman" w:hAnsi="Times New Roman"/>
        </w:rPr>
        <w:t xml:space="preserve"> as "uncle". </w:t>
      </w:r>
      <w:r w:rsidR="009C723F" w:rsidRPr="005B5ADE">
        <w:rPr>
          <w:rFonts w:ascii="Times New Roman" w:hAnsi="Times New Roman"/>
        </w:rPr>
        <w:t>The complainant</w:t>
      </w:r>
      <w:r w:rsidR="00B47311" w:rsidRPr="005B5ADE">
        <w:rPr>
          <w:rFonts w:ascii="Times New Roman" w:hAnsi="Times New Roman"/>
        </w:rPr>
        <w:t xml:space="preserve"> said that she called </w:t>
      </w:r>
      <w:r w:rsidR="00AF6ED5" w:rsidRPr="005B5ADE">
        <w:rPr>
          <w:rFonts w:ascii="Times New Roman" w:hAnsi="Times New Roman"/>
        </w:rPr>
        <w:t>X</w:t>
      </w:r>
      <w:r w:rsidR="00D75D1E">
        <w:rPr>
          <w:rFonts w:ascii="Times New Roman" w:hAnsi="Times New Roman"/>
        </w:rPr>
        <w:t> </w:t>
      </w:r>
      <w:r w:rsidR="00B47311" w:rsidRPr="005B5ADE">
        <w:rPr>
          <w:rFonts w:ascii="Times New Roman" w:hAnsi="Times New Roman"/>
        </w:rPr>
        <w:t xml:space="preserve">"uncle". </w:t>
      </w:r>
    </w:p>
    <w:p w14:paraId="57CE30E4" w14:textId="4B422FDE" w:rsidR="00B47311" w:rsidRPr="005B5ADE" w:rsidRDefault="00C82DB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9C723F" w:rsidRPr="005B5ADE">
        <w:rPr>
          <w:rFonts w:ascii="Times New Roman" w:hAnsi="Times New Roman"/>
        </w:rPr>
        <w:t>The complainant</w:t>
      </w:r>
      <w:r w:rsidR="00B47311" w:rsidRPr="005B5ADE">
        <w:rPr>
          <w:rFonts w:ascii="Times New Roman" w:hAnsi="Times New Roman"/>
        </w:rPr>
        <w:t xml:space="preserve"> was cross</w:t>
      </w:r>
      <w:r w:rsidRPr="005B5ADE">
        <w:rPr>
          <w:rFonts w:ascii="Times New Roman" w:hAnsi="Times New Roman"/>
        </w:rPr>
        <w:noBreakHyphen/>
      </w:r>
      <w:r w:rsidR="00B47311" w:rsidRPr="005B5ADE">
        <w:rPr>
          <w:rFonts w:ascii="Times New Roman" w:hAnsi="Times New Roman"/>
        </w:rPr>
        <w:t>examined about her complaint to the s</w:t>
      </w:r>
      <w:r w:rsidR="00700146" w:rsidRPr="005B5ADE">
        <w:rPr>
          <w:rFonts w:ascii="Times New Roman" w:hAnsi="Times New Roman"/>
        </w:rPr>
        <w:t>upport</w:t>
      </w:r>
      <w:r w:rsidR="00B47311" w:rsidRPr="005B5ADE">
        <w:rPr>
          <w:rFonts w:ascii="Times New Roman" w:hAnsi="Times New Roman"/>
        </w:rPr>
        <w:t xml:space="preserve"> worker. She said she was "not sure" if she told the support worker that she was abused by her </w:t>
      </w:r>
      <w:r w:rsidR="00BF253C" w:rsidRPr="005B5ADE">
        <w:rPr>
          <w:rFonts w:ascii="Times New Roman" w:hAnsi="Times New Roman"/>
        </w:rPr>
        <w:t>"</w:t>
      </w:r>
      <w:r w:rsidR="00B47311" w:rsidRPr="005B5ADE">
        <w:rPr>
          <w:rFonts w:ascii="Times New Roman" w:hAnsi="Times New Roman"/>
        </w:rPr>
        <w:t>uncle</w:t>
      </w:r>
      <w:r w:rsidR="00BF253C" w:rsidRPr="005B5ADE">
        <w:rPr>
          <w:rFonts w:ascii="Times New Roman" w:hAnsi="Times New Roman"/>
        </w:rPr>
        <w:t>"</w:t>
      </w:r>
      <w:r w:rsidR="00B47311" w:rsidRPr="005B5ADE">
        <w:rPr>
          <w:rFonts w:ascii="Times New Roman" w:hAnsi="Times New Roman"/>
        </w:rPr>
        <w:t xml:space="preserve"> or </w:t>
      </w:r>
      <w:r w:rsidR="00DF207C" w:rsidRPr="005B5ADE">
        <w:rPr>
          <w:rFonts w:ascii="Times New Roman" w:hAnsi="Times New Roman"/>
        </w:rPr>
        <w:t xml:space="preserve">told the support worker </w:t>
      </w:r>
      <w:r w:rsidR="00B47311" w:rsidRPr="005B5ADE">
        <w:rPr>
          <w:rFonts w:ascii="Times New Roman" w:hAnsi="Times New Roman"/>
        </w:rPr>
        <w:t xml:space="preserve">that her </w:t>
      </w:r>
      <w:r w:rsidR="00BF253C" w:rsidRPr="005B5ADE">
        <w:rPr>
          <w:rFonts w:ascii="Times New Roman" w:hAnsi="Times New Roman"/>
        </w:rPr>
        <w:t>"</w:t>
      </w:r>
      <w:r w:rsidR="00B47311" w:rsidRPr="005B5ADE">
        <w:rPr>
          <w:rFonts w:ascii="Times New Roman" w:hAnsi="Times New Roman"/>
        </w:rPr>
        <w:t>uncle</w:t>
      </w:r>
      <w:r w:rsidR="00BF253C" w:rsidRPr="005B5ADE">
        <w:rPr>
          <w:rFonts w:ascii="Times New Roman" w:hAnsi="Times New Roman"/>
        </w:rPr>
        <w:t>"</w:t>
      </w:r>
      <w:r w:rsidR="00B47311" w:rsidRPr="005B5ADE">
        <w:rPr>
          <w:rFonts w:ascii="Times New Roman" w:hAnsi="Times New Roman"/>
        </w:rPr>
        <w:t xml:space="preserve"> bought things for he</w:t>
      </w:r>
      <w:r w:rsidR="000652C9" w:rsidRPr="005B5ADE">
        <w:rPr>
          <w:rFonts w:ascii="Times New Roman" w:hAnsi="Times New Roman"/>
        </w:rPr>
        <w:t>r</w:t>
      </w:r>
      <w:r w:rsidR="00B47311" w:rsidRPr="005B5ADE">
        <w:rPr>
          <w:rFonts w:ascii="Times New Roman" w:hAnsi="Times New Roman"/>
        </w:rPr>
        <w:t xml:space="preserve"> that she did not want. </w:t>
      </w:r>
      <w:r w:rsidR="000652C9" w:rsidRPr="005B5ADE">
        <w:rPr>
          <w:rFonts w:ascii="Times New Roman" w:hAnsi="Times New Roman"/>
        </w:rPr>
        <w:t>The complainant</w:t>
      </w:r>
      <w:r w:rsidR="00B47311" w:rsidRPr="005B5ADE">
        <w:rPr>
          <w:rFonts w:ascii="Times New Roman" w:hAnsi="Times New Roman"/>
        </w:rPr>
        <w:t xml:space="preserve"> said that she "remember[ed] an uncle" who bought her a packet of lollies she did not want but</w:t>
      </w:r>
      <w:r w:rsidR="005A0AB2" w:rsidRPr="005B5ADE">
        <w:rPr>
          <w:rFonts w:ascii="Times New Roman" w:hAnsi="Times New Roman"/>
        </w:rPr>
        <w:t xml:space="preserve"> </w:t>
      </w:r>
      <w:r w:rsidR="0034640B" w:rsidRPr="005B5ADE">
        <w:rPr>
          <w:rFonts w:ascii="Times New Roman" w:hAnsi="Times New Roman"/>
        </w:rPr>
        <w:t>the complainant</w:t>
      </w:r>
      <w:r w:rsidR="00B47311" w:rsidRPr="005B5ADE">
        <w:rPr>
          <w:rFonts w:ascii="Times New Roman" w:hAnsi="Times New Roman"/>
        </w:rPr>
        <w:t xml:space="preserve"> could not remember his name. She denied that </w:t>
      </w:r>
      <w:r w:rsidR="00816C41" w:rsidRPr="005B5ADE">
        <w:rPr>
          <w:rFonts w:ascii="Times New Roman" w:hAnsi="Times New Roman"/>
        </w:rPr>
        <w:t xml:space="preserve">this </w:t>
      </w:r>
      <w:r w:rsidR="00BF253C" w:rsidRPr="005B5ADE">
        <w:rPr>
          <w:rFonts w:ascii="Times New Roman" w:hAnsi="Times New Roman"/>
        </w:rPr>
        <w:t>"</w:t>
      </w:r>
      <w:r w:rsidR="00B47311" w:rsidRPr="005B5ADE">
        <w:rPr>
          <w:rFonts w:ascii="Times New Roman" w:hAnsi="Times New Roman"/>
        </w:rPr>
        <w:t>uncle</w:t>
      </w:r>
      <w:r w:rsidR="00BF253C" w:rsidRPr="005B5ADE">
        <w:rPr>
          <w:rFonts w:ascii="Times New Roman" w:hAnsi="Times New Roman"/>
        </w:rPr>
        <w:t>"</w:t>
      </w:r>
      <w:r w:rsidR="00B47311" w:rsidRPr="005B5ADE">
        <w:rPr>
          <w:rFonts w:ascii="Times New Roman" w:hAnsi="Times New Roman"/>
        </w:rPr>
        <w:t xml:space="preserve"> abused her. At the conclusion of the cross</w:t>
      </w:r>
      <w:r w:rsidR="00532EDA" w:rsidRPr="005B5ADE">
        <w:rPr>
          <w:rFonts w:ascii="Times New Roman" w:hAnsi="Times New Roman"/>
        </w:rPr>
        <w:noBreakHyphen/>
      </w:r>
      <w:r w:rsidR="00B47311" w:rsidRPr="005B5ADE">
        <w:rPr>
          <w:rFonts w:ascii="Times New Roman" w:hAnsi="Times New Roman"/>
        </w:rPr>
        <w:t xml:space="preserve">examination of </w:t>
      </w:r>
      <w:r w:rsidR="0034640B" w:rsidRPr="005B5ADE">
        <w:rPr>
          <w:rFonts w:ascii="Times New Roman" w:hAnsi="Times New Roman"/>
        </w:rPr>
        <w:t>the complainant</w:t>
      </w:r>
      <w:r w:rsidR="00B47311" w:rsidRPr="005B5ADE">
        <w:rPr>
          <w:rFonts w:ascii="Times New Roman" w:hAnsi="Times New Roman"/>
        </w:rPr>
        <w:t xml:space="preserve"> it was put to her that she was not abused by the appellant and not abused in his bedroom. In re</w:t>
      </w:r>
      <w:r w:rsidR="00D775FF" w:rsidRPr="005B5ADE">
        <w:rPr>
          <w:rFonts w:ascii="Times New Roman" w:hAnsi="Times New Roman"/>
        </w:rPr>
        <w:noBreakHyphen/>
      </w:r>
      <w:r w:rsidR="00B47311" w:rsidRPr="005B5ADE">
        <w:rPr>
          <w:rFonts w:ascii="Times New Roman" w:hAnsi="Times New Roman"/>
        </w:rPr>
        <w:t xml:space="preserve">examination </w:t>
      </w:r>
      <w:r w:rsidR="00375AF8" w:rsidRPr="005B5ADE">
        <w:rPr>
          <w:rFonts w:ascii="Times New Roman" w:hAnsi="Times New Roman"/>
        </w:rPr>
        <w:t>the complainant</w:t>
      </w:r>
      <w:r w:rsidR="00B47311" w:rsidRPr="005B5ADE">
        <w:rPr>
          <w:rFonts w:ascii="Times New Roman" w:hAnsi="Times New Roman"/>
        </w:rPr>
        <w:t xml:space="preserve"> denied that she told the support worker that her </w:t>
      </w:r>
      <w:r w:rsidR="00BF253C" w:rsidRPr="005B5ADE">
        <w:rPr>
          <w:rFonts w:ascii="Times New Roman" w:hAnsi="Times New Roman"/>
        </w:rPr>
        <w:t>"</w:t>
      </w:r>
      <w:r w:rsidR="00B47311" w:rsidRPr="005B5ADE">
        <w:rPr>
          <w:rFonts w:ascii="Times New Roman" w:hAnsi="Times New Roman"/>
        </w:rPr>
        <w:t>uncle</w:t>
      </w:r>
      <w:r w:rsidR="00BF253C" w:rsidRPr="005B5ADE">
        <w:rPr>
          <w:rFonts w:ascii="Times New Roman" w:hAnsi="Times New Roman"/>
        </w:rPr>
        <w:t>"</w:t>
      </w:r>
      <w:r w:rsidR="00B47311" w:rsidRPr="005B5ADE">
        <w:rPr>
          <w:rFonts w:ascii="Times New Roman" w:hAnsi="Times New Roman"/>
        </w:rPr>
        <w:t xml:space="preserve"> "did things" to her. </w:t>
      </w:r>
      <w:r w:rsidR="00F2150E" w:rsidRPr="005B5ADE">
        <w:rPr>
          <w:rFonts w:ascii="Times New Roman" w:hAnsi="Times New Roman"/>
        </w:rPr>
        <w:t>The complainant</w:t>
      </w:r>
      <w:r w:rsidR="00B47311" w:rsidRPr="005B5ADE">
        <w:rPr>
          <w:rFonts w:ascii="Times New Roman" w:hAnsi="Times New Roman"/>
        </w:rPr>
        <w:t xml:space="preserve"> said that she </w:t>
      </w:r>
      <w:r w:rsidR="003F5B82" w:rsidRPr="005B5ADE">
        <w:rPr>
          <w:rFonts w:ascii="Times New Roman" w:hAnsi="Times New Roman"/>
        </w:rPr>
        <w:t xml:space="preserve">also </w:t>
      </w:r>
      <w:r w:rsidR="00B47311" w:rsidRPr="005B5ADE">
        <w:rPr>
          <w:rFonts w:ascii="Times New Roman" w:hAnsi="Times New Roman"/>
        </w:rPr>
        <w:t xml:space="preserve">regarded the </w:t>
      </w:r>
      <w:r w:rsidR="00532EDA" w:rsidRPr="005B5ADE">
        <w:rPr>
          <w:rFonts w:ascii="Times New Roman" w:hAnsi="Times New Roman"/>
        </w:rPr>
        <w:t>a</w:t>
      </w:r>
      <w:r w:rsidR="00B47311" w:rsidRPr="005B5ADE">
        <w:rPr>
          <w:rFonts w:ascii="Times New Roman" w:hAnsi="Times New Roman"/>
        </w:rPr>
        <w:t xml:space="preserve">ppellant as her </w:t>
      </w:r>
      <w:r w:rsidR="00757E2F" w:rsidRPr="005B5ADE">
        <w:rPr>
          <w:rFonts w:ascii="Times New Roman" w:hAnsi="Times New Roman"/>
        </w:rPr>
        <w:t>"</w:t>
      </w:r>
      <w:r w:rsidR="00B47311" w:rsidRPr="005B5ADE">
        <w:rPr>
          <w:rFonts w:ascii="Times New Roman" w:hAnsi="Times New Roman"/>
        </w:rPr>
        <w:t>uncle</w:t>
      </w:r>
      <w:r w:rsidR="00757E2F" w:rsidRPr="005B5ADE">
        <w:rPr>
          <w:rFonts w:ascii="Times New Roman" w:hAnsi="Times New Roman"/>
        </w:rPr>
        <w:t>"</w:t>
      </w:r>
      <w:r w:rsidR="00B47311" w:rsidRPr="005B5ADE">
        <w:rPr>
          <w:rFonts w:ascii="Times New Roman" w:hAnsi="Times New Roman"/>
        </w:rPr>
        <w:t xml:space="preserve">. </w:t>
      </w:r>
      <w:r w:rsidR="0019170F" w:rsidRPr="005B5ADE">
        <w:rPr>
          <w:rFonts w:ascii="Times New Roman" w:hAnsi="Times New Roman"/>
        </w:rPr>
        <w:t>The complainant</w:t>
      </w:r>
      <w:r w:rsidR="00B47311" w:rsidRPr="005B5ADE">
        <w:rPr>
          <w:rFonts w:ascii="Times New Roman" w:hAnsi="Times New Roman"/>
        </w:rPr>
        <w:t xml:space="preserve"> was not asked whether </w:t>
      </w:r>
      <w:r w:rsidR="00AF6ED5" w:rsidRPr="005B5ADE">
        <w:rPr>
          <w:rFonts w:ascii="Times New Roman" w:hAnsi="Times New Roman"/>
        </w:rPr>
        <w:t>X</w:t>
      </w:r>
      <w:r w:rsidR="00B47311" w:rsidRPr="005B5ADE">
        <w:rPr>
          <w:rFonts w:ascii="Times New Roman" w:hAnsi="Times New Roman"/>
        </w:rPr>
        <w:t xml:space="preserve"> ever abused her. She was not asked how many male members of her community she referred to as "uncle".</w:t>
      </w:r>
    </w:p>
    <w:p w14:paraId="1C369065" w14:textId="60C6FC2A" w:rsidR="00B47311" w:rsidRPr="005B5ADE" w:rsidRDefault="00532ED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In her closing address to the jury, the appellant's trial </w:t>
      </w:r>
      <w:r w:rsidRPr="005B5ADE">
        <w:rPr>
          <w:rFonts w:ascii="Times New Roman" w:hAnsi="Times New Roman"/>
        </w:rPr>
        <w:t>c</w:t>
      </w:r>
      <w:r w:rsidR="00B47311" w:rsidRPr="005B5ADE">
        <w:rPr>
          <w:rFonts w:ascii="Times New Roman" w:hAnsi="Times New Roman"/>
        </w:rPr>
        <w:t xml:space="preserve">ounsel referred to the evidence of the support worker and asked (rhetorically) why </w:t>
      </w:r>
      <w:r w:rsidR="002F48C7" w:rsidRPr="005B5ADE">
        <w:rPr>
          <w:rFonts w:ascii="Times New Roman" w:hAnsi="Times New Roman"/>
        </w:rPr>
        <w:t>the complainant</w:t>
      </w:r>
      <w:r w:rsidR="00B47311" w:rsidRPr="005B5ADE">
        <w:rPr>
          <w:rFonts w:ascii="Times New Roman" w:hAnsi="Times New Roman"/>
        </w:rPr>
        <w:t xml:space="preserve"> "has changed or changes her story from saying it</w:t>
      </w:r>
      <w:r w:rsidR="00416308" w:rsidRPr="005B5ADE">
        <w:rPr>
          <w:rFonts w:ascii="Times New Roman" w:hAnsi="Times New Roman"/>
        </w:rPr>
        <w:t>'</w:t>
      </w:r>
      <w:r w:rsidR="00B47311" w:rsidRPr="005B5ADE">
        <w:rPr>
          <w:rFonts w:ascii="Times New Roman" w:hAnsi="Times New Roman"/>
        </w:rPr>
        <w:t>s [her] uncle who's abused her to nominating" the appellant. Counsel suggested that it was a "real possibility" that "</w:t>
      </w:r>
      <w:r w:rsidR="00B47311" w:rsidRPr="005B5ADE">
        <w:rPr>
          <w:rFonts w:ascii="Times New Roman" w:hAnsi="Times New Roman"/>
          <w:i/>
          <w:iCs/>
        </w:rPr>
        <w:t>some other 'uncle'</w:t>
      </w:r>
      <w:r w:rsidR="00B47311" w:rsidRPr="005B5ADE">
        <w:rPr>
          <w:rFonts w:ascii="Times New Roman" w:hAnsi="Times New Roman"/>
        </w:rPr>
        <w:t xml:space="preserve"> of [</w:t>
      </w:r>
      <w:r w:rsidR="001F2DFF" w:rsidRPr="005B5ADE">
        <w:rPr>
          <w:rFonts w:ascii="Times New Roman" w:hAnsi="Times New Roman"/>
        </w:rPr>
        <w:t>the complainant</w:t>
      </w:r>
      <w:r w:rsidR="00B47311" w:rsidRPr="005B5ADE">
        <w:rPr>
          <w:rFonts w:ascii="Times New Roman" w:hAnsi="Times New Roman"/>
        </w:rPr>
        <w:t>] in the Sudanese community has, in fact</w:t>
      </w:r>
      <w:r w:rsidR="000440F3" w:rsidRPr="005B5ADE">
        <w:rPr>
          <w:rFonts w:ascii="Times New Roman" w:hAnsi="Times New Roman"/>
        </w:rPr>
        <w:t>,</w:t>
      </w:r>
      <w:r w:rsidR="00B47311" w:rsidRPr="005B5ADE">
        <w:rPr>
          <w:rFonts w:ascii="Times New Roman" w:hAnsi="Times New Roman"/>
        </w:rPr>
        <w:t xml:space="preserve"> abused her"</w:t>
      </w:r>
      <w:r w:rsidR="00FC3EF2" w:rsidRPr="005B5ADE">
        <w:rPr>
          <w:rFonts w:ascii="Times New Roman" w:hAnsi="Times New Roman"/>
        </w:rPr>
        <w:t xml:space="preserve"> (emphasis added)</w:t>
      </w:r>
      <w:r w:rsidR="00B47311" w:rsidRPr="005B5ADE">
        <w:rPr>
          <w:rFonts w:ascii="Times New Roman" w:hAnsi="Times New Roman"/>
        </w:rPr>
        <w:t>. Counsel submitted that "</w:t>
      </w:r>
      <w:r w:rsidR="00C02350" w:rsidRPr="005B5ADE">
        <w:rPr>
          <w:rFonts w:ascii="Times New Roman" w:hAnsi="Times New Roman"/>
        </w:rPr>
        <w:t>[</w:t>
      </w:r>
      <w:r w:rsidR="00B47311" w:rsidRPr="005B5ADE">
        <w:rPr>
          <w:rFonts w:ascii="Times New Roman" w:hAnsi="Times New Roman"/>
        </w:rPr>
        <w:t>f</w:t>
      </w:r>
      <w:r w:rsidR="00C02350" w:rsidRPr="005B5ADE">
        <w:rPr>
          <w:rFonts w:ascii="Times New Roman" w:hAnsi="Times New Roman"/>
        </w:rPr>
        <w:t>]</w:t>
      </w:r>
      <w:r w:rsidR="00B47311" w:rsidRPr="005B5ADE">
        <w:rPr>
          <w:rFonts w:ascii="Times New Roman" w:hAnsi="Times New Roman"/>
        </w:rPr>
        <w:t>or some reason unknown to the defence" such as "</w:t>
      </w:r>
      <w:r w:rsidR="004520B6" w:rsidRPr="005B5ADE">
        <w:rPr>
          <w:rFonts w:ascii="Times New Roman" w:hAnsi="Times New Roman"/>
        </w:rPr>
        <w:t xml:space="preserve">some </w:t>
      </w:r>
      <w:r w:rsidR="00B47311" w:rsidRPr="005B5ADE">
        <w:rPr>
          <w:rFonts w:ascii="Times New Roman" w:hAnsi="Times New Roman"/>
        </w:rPr>
        <w:t>family dynamic, some fear o</w:t>
      </w:r>
      <w:r w:rsidR="004520B6" w:rsidRPr="005B5ADE">
        <w:rPr>
          <w:rFonts w:ascii="Times New Roman" w:hAnsi="Times New Roman"/>
        </w:rPr>
        <w:t>f</w:t>
      </w:r>
      <w:r w:rsidR="00B47311" w:rsidRPr="005B5ADE">
        <w:rPr>
          <w:rFonts w:ascii="Times New Roman" w:hAnsi="Times New Roman"/>
        </w:rPr>
        <w:t xml:space="preserve"> power or position </w:t>
      </w:r>
      <w:r w:rsidR="0018202D" w:rsidRPr="005B5ADE">
        <w:rPr>
          <w:rFonts w:ascii="Times New Roman" w:hAnsi="Times New Roman"/>
        </w:rPr>
        <w:t>...</w:t>
      </w:r>
      <w:r w:rsidR="00B47311" w:rsidRPr="005B5ADE">
        <w:rPr>
          <w:rFonts w:ascii="Times New Roman" w:hAnsi="Times New Roman"/>
        </w:rPr>
        <w:t xml:space="preserve"> </w:t>
      </w:r>
      <w:r w:rsidR="0018202D" w:rsidRPr="005B5ADE">
        <w:rPr>
          <w:rFonts w:ascii="Times New Roman" w:hAnsi="Times New Roman"/>
        </w:rPr>
        <w:t>with</w:t>
      </w:r>
      <w:r w:rsidR="00B47311" w:rsidRPr="005B5ADE">
        <w:rPr>
          <w:rFonts w:ascii="Times New Roman" w:hAnsi="Times New Roman"/>
        </w:rPr>
        <w:t xml:space="preserve">in the </w:t>
      </w:r>
      <w:r w:rsidR="0018202D" w:rsidRPr="005B5ADE">
        <w:rPr>
          <w:rFonts w:ascii="Times New Roman" w:hAnsi="Times New Roman"/>
        </w:rPr>
        <w:t>Sudanese</w:t>
      </w:r>
      <w:r w:rsidR="00B47311" w:rsidRPr="005B5ADE">
        <w:rPr>
          <w:rFonts w:ascii="Times New Roman" w:hAnsi="Times New Roman"/>
        </w:rPr>
        <w:t xml:space="preserve"> community" or some other reason</w:t>
      </w:r>
      <w:r w:rsidR="00943790" w:rsidRPr="005B5ADE">
        <w:rPr>
          <w:rFonts w:ascii="Times New Roman" w:hAnsi="Times New Roman"/>
        </w:rPr>
        <w:t xml:space="preserve"> the complainant</w:t>
      </w:r>
      <w:r w:rsidR="00B47311" w:rsidRPr="005B5ADE">
        <w:rPr>
          <w:rFonts w:ascii="Times New Roman" w:hAnsi="Times New Roman"/>
        </w:rPr>
        <w:t xml:space="preserve"> had "decided to keep silent about </w:t>
      </w:r>
      <w:r w:rsidR="00B47311" w:rsidRPr="005B5ADE">
        <w:rPr>
          <w:rFonts w:ascii="Times New Roman" w:hAnsi="Times New Roman"/>
          <w:i/>
          <w:iCs/>
        </w:rPr>
        <w:t>that man</w:t>
      </w:r>
      <w:r w:rsidR="00B47311" w:rsidRPr="005B5ADE">
        <w:rPr>
          <w:rFonts w:ascii="Times New Roman" w:hAnsi="Times New Roman"/>
        </w:rPr>
        <w:t>"</w:t>
      </w:r>
      <w:r w:rsidR="00FC3EF2" w:rsidRPr="005B5ADE">
        <w:rPr>
          <w:rFonts w:ascii="Times New Roman" w:hAnsi="Times New Roman"/>
        </w:rPr>
        <w:t xml:space="preserve"> (emphasis added)</w:t>
      </w:r>
      <w:r w:rsidR="00B47311" w:rsidRPr="005B5ADE">
        <w:rPr>
          <w:rFonts w:ascii="Times New Roman" w:hAnsi="Times New Roman"/>
        </w:rPr>
        <w:t xml:space="preserve">. Counsel reminded </w:t>
      </w:r>
      <w:r w:rsidR="00EB1540" w:rsidRPr="005B5ADE">
        <w:rPr>
          <w:rFonts w:ascii="Times New Roman" w:hAnsi="Times New Roman"/>
        </w:rPr>
        <w:lastRenderedPageBreak/>
        <w:t xml:space="preserve">the jury </w:t>
      </w:r>
      <w:r w:rsidR="00B47311" w:rsidRPr="005B5ADE">
        <w:rPr>
          <w:rFonts w:ascii="Times New Roman" w:hAnsi="Times New Roman"/>
        </w:rPr>
        <w:t xml:space="preserve">of the character witness' evidence to the effect that "all senior members of the Sudanese community are respectfully </w:t>
      </w:r>
      <w:r w:rsidR="00035D39" w:rsidRPr="005B5ADE">
        <w:rPr>
          <w:rFonts w:ascii="Times New Roman" w:hAnsi="Times New Roman"/>
        </w:rPr>
        <w:t xml:space="preserve">... </w:t>
      </w:r>
      <w:r w:rsidR="00B47311" w:rsidRPr="005B5ADE">
        <w:rPr>
          <w:rFonts w:ascii="Times New Roman" w:hAnsi="Times New Roman"/>
        </w:rPr>
        <w:t xml:space="preserve">referred to as uncle and aunty". </w:t>
      </w:r>
    </w:p>
    <w:p w14:paraId="744E25F1" w14:textId="0BDE3C1B"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t xml:space="preserve">Disclosure </w:t>
      </w:r>
      <w:r w:rsidR="00532EDA" w:rsidRPr="005B5ADE">
        <w:rPr>
          <w:rFonts w:ascii="Times New Roman" w:hAnsi="Times New Roman"/>
        </w:rPr>
        <w:t>a</w:t>
      </w:r>
      <w:r w:rsidRPr="005B5ADE">
        <w:rPr>
          <w:rFonts w:ascii="Times New Roman" w:hAnsi="Times New Roman"/>
        </w:rPr>
        <w:t xml:space="preserve">fter </w:t>
      </w:r>
      <w:r w:rsidR="00532EDA" w:rsidRPr="005B5ADE">
        <w:rPr>
          <w:rFonts w:ascii="Times New Roman" w:hAnsi="Times New Roman"/>
        </w:rPr>
        <w:t>t</w:t>
      </w:r>
      <w:r w:rsidRPr="005B5ADE">
        <w:rPr>
          <w:rFonts w:ascii="Times New Roman" w:hAnsi="Times New Roman"/>
        </w:rPr>
        <w:t xml:space="preserve">he </w:t>
      </w:r>
      <w:r w:rsidR="00532EDA" w:rsidRPr="005B5ADE">
        <w:rPr>
          <w:rFonts w:ascii="Times New Roman" w:hAnsi="Times New Roman"/>
        </w:rPr>
        <w:t>t</w:t>
      </w:r>
      <w:r w:rsidRPr="005B5ADE">
        <w:rPr>
          <w:rFonts w:ascii="Times New Roman" w:hAnsi="Times New Roman"/>
        </w:rPr>
        <w:t>rial</w:t>
      </w:r>
    </w:p>
    <w:p w14:paraId="751271AE" w14:textId="07F32D5C" w:rsidR="00B47311" w:rsidRPr="005B5ADE" w:rsidRDefault="00532ED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On 29</w:t>
      </w:r>
      <w:r w:rsidRPr="005B5ADE">
        <w:rPr>
          <w:rFonts w:ascii="Times New Roman" w:hAnsi="Times New Roman"/>
        </w:rPr>
        <w:t> </w:t>
      </w:r>
      <w:r w:rsidR="00B47311" w:rsidRPr="005B5ADE">
        <w:rPr>
          <w:rFonts w:ascii="Times New Roman" w:hAnsi="Times New Roman"/>
        </w:rPr>
        <w:t>July 2019</w:t>
      </w:r>
      <w:r w:rsidR="00781103" w:rsidRPr="005B5ADE">
        <w:rPr>
          <w:rFonts w:ascii="Times New Roman" w:hAnsi="Times New Roman"/>
        </w:rPr>
        <w:t>,</w:t>
      </w:r>
      <w:r w:rsidR="00B47311" w:rsidRPr="005B5ADE">
        <w:rPr>
          <w:rFonts w:ascii="Times New Roman" w:hAnsi="Times New Roman"/>
        </w:rPr>
        <w:t xml:space="preserve"> </w:t>
      </w:r>
      <w:r w:rsidR="00963F61" w:rsidRPr="005B5ADE">
        <w:rPr>
          <w:rFonts w:ascii="Times New Roman" w:hAnsi="Times New Roman"/>
        </w:rPr>
        <w:t xml:space="preserve">X </w:t>
      </w:r>
      <w:r w:rsidR="00B47311" w:rsidRPr="005B5ADE">
        <w:rPr>
          <w:rFonts w:ascii="Times New Roman" w:hAnsi="Times New Roman"/>
        </w:rPr>
        <w:t xml:space="preserve">was charged with committing six sexual offences against his biological niece, </w:t>
      </w:r>
      <w:r w:rsidR="00C02350" w:rsidRPr="005B5ADE">
        <w:rPr>
          <w:rFonts w:ascii="Times New Roman" w:hAnsi="Times New Roman"/>
        </w:rPr>
        <w:t>"</w:t>
      </w:r>
      <w:r w:rsidR="00E72643" w:rsidRPr="005B5ADE">
        <w:rPr>
          <w:rFonts w:ascii="Times New Roman" w:hAnsi="Times New Roman"/>
        </w:rPr>
        <w:t>Y</w:t>
      </w:r>
      <w:r w:rsidR="00C02350" w:rsidRPr="005B5ADE">
        <w:rPr>
          <w:rFonts w:ascii="Times New Roman" w:hAnsi="Times New Roman"/>
        </w:rPr>
        <w:t>"</w:t>
      </w:r>
      <w:r w:rsidR="00B47311" w:rsidRPr="005B5ADE">
        <w:rPr>
          <w:rFonts w:ascii="Times New Roman" w:hAnsi="Times New Roman"/>
        </w:rPr>
        <w:t xml:space="preserve">, between November 2018 and May 2019 when </w:t>
      </w:r>
      <w:r w:rsidR="007350ED" w:rsidRPr="005B5ADE">
        <w:rPr>
          <w:rFonts w:ascii="Times New Roman" w:hAnsi="Times New Roman"/>
        </w:rPr>
        <w:t>Y</w:t>
      </w:r>
      <w:r w:rsidR="00B47311" w:rsidRPr="005B5ADE">
        <w:rPr>
          <w:rFonts w:ascii="Times New Roman" w:hAnsi="Times New Roman"/>
        </w:rPr>
        <w:t xml:space="preserve"> was aged between 15 and 16</w:t>
      </w:r>
      <w:r w:rsidRPr="005B5ADE">
        <w:rPr>
          <w:rFonts w:ascii="Times New Roman" w:hAnsi="Times New Roman"/>
        </w:rPr>
        <w:t> </w:t>
      </w:r>
      <w:r w:rsidR="00B47311" w:rsidRPr="005B5ADE">
        <w:rPr>
          <w:rFonts w:ascii="Times New Roman" w:hAnsi="Times New Roman"/>
        </w:rPr>
        <w:t>years of age. He was committed for trial on 23</w:t>
      </w:r>
      <w:r w:rsidRPr="005B5ADE">
        <w:rPr>
          <w:rFonts w:ascii="Times New Roman" w:hAnsi="Times New Roman"/>
        </w:rPr>
        <w:t> </w:t>
      </w:r>
      <w:r w:rsidR="00B47311" w:rsidRPr="005B5ADE">
        <w:rPr>
          <w:rFonts w:ascii="Times New Roman" w:hAnsi="Times New Roman"/>
        </w:rPr>
        <w:t>July</w:t>
      </w:r>
      <w:r w:rsidR="00C726CB">
        <w:rPr>
          <w:rFonts w:ascii="Times New Roman" w:hAnsi="Times New Roman"/>
        </w:rPr>
        <w:t> </w:t>
      </w:r>
      <w:r w:rsidR="00B47311" w:rsidRPr="005B5ADE">
        <w:rPr>
          <w:rFonts w:ascii="Times New Roman" w:hAnsi="Times New Roman"/>
        </w:rPr>
        <w:t xml:space="preserve">2020. The proceedings were discontinued in August 2020 before he was arraigned. </w:t>
      </w:r>
    </w:p>
    <w:p w14:paraId="5FA00609" w14:textId="01FF85D4" w:rsidR="00B47311" w:rsidRPr="005B5ADE" w:rsidRDefault="00532ED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The appellant was tried in June 2021 and sentenced on 4</w:t>
      </w:r>
      <w:r w:rsidRPr="005B5ADE">
        <w:rPr>
          <w:rFonts w:ascii="Times New Roman" w:hAnsi="Times New Roman"/>
        </w:rPr>
        <w:t> </w:t>
      </w:r>
      <w:r w:rsidR="00B47311" w:rsidRPr="005B5ADE">
        <w:rPr>
          <w:rFonts w:ascii="Times New Roman" w:hAnsi="Times New Roman"/>
        </w:rPr>
        <w:t xml:space="preserve">August 2021 to a substantial term of imprisonment. </w:t>
      </w:r>
      <w:r w:rsidR="001269F3" w:rsidRPr="005B5ADE">
        <w:rPr>
          <w:rFonts w:ascii="Times New Roman" w:hAnsi="Times New Roman"/>
        </w:rPr>
        <w:t xml:space="preserve">Soon after </w:t>
      </w:r>
      <w:r w:rsidR="00035D39" w:rsidRPr="005B5ADE">
        <w:rPr>
          <w:rFonts w:ascii="Times New Roman" w:hAnsi="Times New Roman"/>
        </w:rPr>
        <w:t>the appellant was sentenced</w:t>
      </w:r>
      <w:r w:rsidR="00B47311" w:rsidRPr="005B5ADE">
        <w:rPr>
          <w:rFonts w:ascii="Times New Roman" w:hAnsi="Times New Roman"/>
        </w:rPr>
        <w:t xml:space="preserve">, </w:t>
      </w:r>
      <w:r w:rsidRPr="005B5ADE">
        <w:rPr>
          <w:rFonts w:ascii="Times New Roman" w:hAnsi="Times New Roman"/>
        </w:rPr>
        <w:t>c</w:t>
      </w:r>
      <w:r w:rsidR="00B47311" w:rsidRPr="005B5ADE">
        <w:rPr>
          <w:rFonts w:ascii="Times New Roman" w:hAnsi="Times New Roman"/>
        </w:rPr>
        <w:t>ounsel for the prosecution disclosed to the appellant</w:t>
      </w:r>
      <w:r w:rsidR="00B521DC" w:rsidRPr="005B5ADE">
        <w:rPr>
          <w:rFonts w:ascii="Times New Roman" w:hAnsi="Times New Roman"/>
        </w:rPr>
        <w:t>'</w:t>
      </w:r>
      <w:r w:rsidR="00B47311" w:rsidRPr="005B5ADE">
        <w:rPr>
          <w:rFonts w:ascii="Times New Roman" w:hAnsi="Times New Roman"/>
        </w:rPr>
        <w:t xml:space="preserve">s legal representatives that </w:t>
      </w:r>
      <w:r w:rsidR="0093066E" w:rsidRPr="005B5ADE">
        <w:rPr>
          <w:rFonts w:ascii="Times New Roman" w:hAnsi="Times New Roman"/>
        </w:rPr>
        <w:t>X</w:t>
      </w:r>
      <w:r w:rsidR="00B47311" w:rsidRPr="005B5ADE">
        <w:rPr>
          <w:rFonts w:ascii="Times New Roman" w:hAnsi="Times New Roman"/>
        </w:rPr>
        <w:t xml:space="preserve"> had previously been charged with sexual offences against a child. According to the Court of Appeal, </w:t>
      </w:r>
      <w:r w:rsidRPr="005B5ADE">
        <w:rPr>
          <w:rFonts w:ascii="Times New Roman" w:hAnsi="Times New Roman"/>
        </w:rPr>
        <w:t>c</w:t>
      </w:r>
      <w:r w:rsidR="00B47311" w:rsidRPr="005B5ADE">
        <w:rPr>
          <w:rFonts w:ascii="Times New Roman" w:hAnsi="Times New Roman"/>
        </w:rPr>
        <w:t xml:space="preserve">ounsel for the prosecution expressed </w:t>
      </w:r>
      <w:r w:rsidR="006511AC" w:rsidRPr="005B5ADE">
        <w:rPr>
          <w:rFonts w:ascii="Times New Roman" w:hAnsi="Times New Roman"/>
        </w:rPr>
        <w:t>"</w:t>
      </w:r>
      <w:r w:rsidR="00FB6FED" w:rsidRPr="005B5ADE">
        <w:rPr>
          <w:rFonts w:ascii="Times New Roman" w:hAnsi="Times New Roman"/>
        </w:rPr>
        <w:t xml:space="preserve">some </w:t>
      </w:r>
      <w:r w:rsidR="00B47311" w:rsidRPr="005B5ADE">
        <w:rPr>
          <w:rFonts w:ascii="Times New Roman" w:hAnsi="Times New Roman"/>
        </w:rPr>
        <w:t>surprise</w:t>
      </w:r>
      <w:r w:rsidR="006511AC" w:rsidRPr="005B5ADE">
        <w:rPr>
          <w:rFonts w:ascii="Times New Roman" w:hAnsi="Times New Roman"/>
        </w:rPr>
        <w:t>"</w:t>
      </w:r>
      <w:r w:rsidR="00B47311" w:rsidRPr="005B5ADE">
        <w:rPr>
          <w:rFonts w:ascii="Times New Roman" w:hAnsi="Times New Roman"/>
        </w:rPr>
        <w:t xml:space="preserve"> when the appellant</w:t>
      </w:r>
      <w:r w:rsidR="00AA7224" w:rsidRPr="005B5ADE">
        <w:rPr>
          <w:rFonts w:ascii="Times New Roman" w:hAnsi="Times New Roman"/>
        </w:rPr>
        <w:t>'</w:t>
      </w:r>
      <w:r w:rsidR="00B47311" w:rsidRPr="005B5ADE">
        <w:rPr>
          <w:rFonts w:ascii="Times New Roman" w:hAnsi="Times New Roman"/>
        </w:rPr>
        <w:t xml:space="preserve">s </w:t>
      </w:r>
      <w:r w:rsidR="00EA519E" w:rsidRPr="005B5ADE">
        <w:rPr>
          <w:rFonts w:ascii="Times New Roman" w:hAnsi="Times New Roman"/>
        </w:rPr>
        <w:t xml:space="preserve">legal </w:t>
      </w:r>
      <w:r w:rsidR="00B47311" w:rsidRPr="005B5ADE">
        <w:rPr>
          <w:rFonts w:ascii="Times New Roman" w:hAnsi="Times New Roman"/>
        </w:rPr>
        <w:t>representatives explained that this information had not previously been disclosed to them.</w:t>
      </w:r>
      <w:r w:rsidR="0081695D" w:rsidRPr="005B5ADE">
        <w:rPr>
          <w:rStyle w:val="FootnoteReference"/>
          <w:rFonts w:ascii="Times New Roman" w:hAnsi="Times New Roman"/>
          <w:sz w:val="24"/>
        </w:rPr>
        <w:footnoteReference w:id="35"/>
      </w:r>
      <w:r w:rsidR="00B47311" w:rsidRPr="005B5ADE">
        <w:rPr>
          <w:rFonts w:ascii="Times New Roman" w:hAnsi="Times New Roman"/>
        </w:rPr>
        <w:t xml:space="preserve"> The appellant had </w:t>
      </w:r>
      <w:r w:rsidR="000F3DE0" w:rsidRPr="005B5ADE">
        <w:rPr>
          <w:rFonts w:ascii="Times New Roman" w:hAnsi="Times New Roman"/>
        </w:rPr>
        <w:t>been aware of the charges against X</w:t>
      </w:r>
      <w:r w:rsidR="009A0182" w:rsidRPr="005B5ADE">
        <w:rPr>
          <w:rFonts w:ascii="Times New Roman" w:hAnsi="Times New Roman"/>
        </w:rPr>
        <w:t xml:space="preserve"> but had not disclosed them to </w:t>
      </w:r>
      <w:r w:rsidR="00B47311" w:rsidRPr="005B5ADE">
        <w:rPr>
          <w:rFonts w:ascii="Times New Roman" w:hAnsi="Times New Roman"/>
        </w:rPr>
        <w:t xml:space="preserve">his legal representatives because he did not understand </w:t>
      </w:r>
      <w:r w:rsidR="00412AB3" w:rsidRPr="005B5ADE">
        <w:rPr>
          <w:rFonts w:ascii="Times New Roman" w:hAnsi="Times New Roman"/>
        </w:rPr>
        <w:t xml:space="preserve">the </w:t>
      </w:r>
      <w:r w:rsidR="00B47311" w:rsidRPr="005B5ADE">
        <w:rPr>
          <w:rFonts w:ascii="Times New Roman" w:hAnsi="Times New Roman"/>
        </w:rPr>
        <w:t>relevance or significance</w:t>
      </w:r>
      <w:r w:rsidR="000C3E2A" w:rsidRPr="005B5ADE">
        <w:rPr>
          <w:rFonts w:ascii="Times New Roman" w:hAnsi="Times New Roman"/>
        </w:rPr>
        <w:t xml:space="preserve"> of that information</w:t>
      </w:r>
      <w:r w:rsidR="00B47311" w:rsidRPr="005B5ADE">
        <w:rPr>
          <w:rFonts w:ascii="Times New Roman" w:hAnsi="Times New Roman"/>
        </w:rPr>
        <w:t xml:space="preserve">. It </w:t>
      </w:r>
      <w:r w:rsidR="00555A0B" w:rsidRPr="005B5ADE">
        <w:rPr>
          <w:rFonts w:ascii="Times New Roman" w:hAnsi="Times New Roman"/>
        </w:rPr>
        <w:t>was</w:t>
      </w:r>
      <w:r w:rsidR="00B47311" w:rsidRPr="005B5ADE">
        <w:rPr>
          <w:rFonts w:ascii="Times New Roman" w:hAnsi="Times New Roman"/>
        </w:rPr>
        <w:t xml:space="preserve"> not suggested that the solicitors in the Office of the Director of Public Prosecutions </w:t>
      </w:r>
      <w:r w:rsidR="00EF44C8" w:rsidRPr="005B5ADE">
        <w:rPr>
          <w:rFonts w:ascii="Times New Roman" w:hAnsi="Times New Roman"/>
        </w:rPr>
        <w:t xml:space="preserve">("ODPP") </w:t>
      </w:r>
      <w:r w:rsidR="00B47311" w:rsidRPr="005B5ADE">
        <w:rPr>
          <w:rFonts w:ascii="Times New Roman" w:hAnsi="Times New Roman"/>
        </w:rPr>
        <w:t xml:space="preserve">who instructed </w:t>
      </w:r>
      <w:r w:rsidRPr="005B5ADE">
        <w:rPr>
          <w:rFonts w:ascii="Times New Roman" w:hAnsi="Times New Roman"/>
        </w:rPr>
        <w:t>c</w:t>
      </w:r>
      <w:r w:rsidR="00B47311" w:rsidRPr="005B5ADE">
        <w:rPr>
          <w:rFonts w:ascii="Times New Roman" w:hAnsi="Times New Roman"/>
        </w:rPr>
        <w:t xml:space="preserve">ounsel for the prosecution </w:t>
      </w:r>
      <w:r w:rsidR="00145BCE" w:rsidRPr="005B5ADE">
        <w:rPr>
          <w:rFonts w:ascii="Times New Roman" w:hAnsi="Times New Roman"/>
        </w:rPr>
        <w:t xml:space="preserve">at the appellant's trial </w:t>
      </w:r>
      <w:r w:rsidR="00B47311" w:rsidRPr="005B5ADE">
        <w:rPr>
          <w:rFonts w:ascii="Times New Roman" w:hAnsi="Times New Roman"/>
        </w:rPr>
        <w:t xml:space="preserve">were aware that charges had previously been laid against </w:t>
      </w:r>
      <w:r w:rsidR="00105649" w:rsidRPr="005B5ADE">
        <w:rPr>
          <w:rFonts w:ascii="Times New Roman" w:hAnsi="Times New Roman"/>
        </w:rPr>
        <w:t>X</w:t>
      </w:r>
      <w:r w:rsidR="00B47311" w:rsidRPr="005B5ADE">
        <w:rPr>
          <w:rFonts w:ascii="Times New Roman" w:hAnsi="Times New Roman"/>
        </w:rPr>
        <w:t xml:space="preserve">. </w:t>
      </w:r>
    </w:p>
    <w:p w14:paraId="191481C8" w14:textId="077A2659" w:rsidR="00B47311" w:rsidRPr="005B5ADE" w:rsidRDefault="00532ED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appellant made inquiries </w:t>
      </w:r>
      <w:r w:rsidR="00BB3E49" w:rsidRPr="005B5ADE">
        <w:rPr>
          <w:rFonts w:ascii="Times New Roman" w:hAnsi="Times New Roman"/>
        </w:rPr>
        <w:t xml:space="preserve">of </w:t>
      </w:r>
      <w:r w:rsidR="00D066EF" w:rsidRPr="005B5ADE">
        <w:rPr>
          <w:rFonts w:ascii="Times New Roman" w:hAnsi="Times New Roman"/>
        </w:rPr>
        <w:t xml:space="preserve">the ODPP </w:t>
      </w:r>
      <w:r w:rsidR="00B47311" w:rsidRPr="005B5ADE">
        <w:rPr>
          <w:rFonts w:ascii="Times New Roman" w:hAnsi="Times New Roman"/>
        </w:rPr>
        <w:t>and was provided with a "facts of charge" document</w:t>
      </w:r>
      <w:r w:rsidR="00CE5D6C" w:rsidRPr="005B5ADE">
        <w:rPr>
          <w:rFonts w:ascii="Times New Roman" w:hAnsi="Times New Roman"/>
        </w:rPr>
        <w:t xml:space="preserve">, which provided a detailed account of the </w:t>
      </w:r>
      <w:r w:rsidR="00A82B50" w:rsidRPr="005B5ADE">
        <w:rPr>
          <w:rFonts w:ascii="Times New Roman" w:hAnsi="Times New Roman"/>
        </w:rPr>
        <w:t>offences allegedly committed by X</w:t>
      </w:r>
      <w:r w:rsidR="00B47311" w:rsidRPr="005B5ADE">
        <w:rPr>
          <w:rFonts w:ascii="Times New Roman" w:hAnsi="Times New Roman"/>
        </w:rPr>
        <w:t>. It</w:t>
      </w:r>
      <w:r w:rsidR="00972449" w:rsidRPr="005B5ADE">
        <w:rPr>
          <w:rFonts w:ascii="Times New Roman" w:hAnsi="Times New Roman"/>
        </w:rPr>
        <w:t xml:space="preserve"> seems likely</w:t>
      </w:r>
      <w:r w:rsidR="00B47311" w:rsidRPr="005B5ADE">
        <w:rPr>
          <w:rFonts w:ascii="Times New Roman" w:hAnsi="Times New Roman"/>
        </w:rPr>
        <w:t xml:space="preserve"> </w:t>
      </w:r>
      <w:r w:rsidR="00E44DEC" w:rsidRPr="005B5ADE">
        <w:rPr>
          <w:rFonts w:ascii="Times New Roman" w:hAnsi="Times New Roman"/>
        </w:rPr>
        <w:t>that the document</w:t>
      </w:r>
      <w:r w:rsidR="00B47311" w:rsidRPr="005B5ADE">
        <w:rPr>
          <w:rFonts w:ascii="Times New Roman" w:hAnsi="Times New Roman"/>
        </w:rPr>
        <w:t xml:space="preserve"> was derived from a statement </w:t>
      </w:r>
      <w:r w:rsidR="0004112A" w:rsidRPr="005B5ADE">
        <w:rPr>
          <w:rFonts w:ascii="Times New Roman" w:hAnsi="Times New Roman"/>
        </w:rPr>
        <w:t xml:space="preserve">given by </w:t>
      </w:r>
      <w:proofErr w:type="gramStart"/>
      <w:r w:rsidR="00005D01" w:rsidRPr="005B5ADE">
        <w:rPr>
          <w:rFonts w:ascii="Times New Roman" w:hAnsi="Times New Roman"/>
        </w:rPr>
        <w:t>Y</w:t>
      </w:r>
      <w:proofErr w:type="gramEnd"/>
      <w:r w:rsidR="00B47311" w:rsidRPr="005B5ADE">
        <w:rPr>
          <w:rFonts w:ascii="Times New Roman" w:hAnsi="Times New Roman"/>
        </w:rPr>
        <w:t xml:space="preserve"> or </w:t>
      </w:r>
      <w:r w:rsidR="0004112A" w:rsidRPr="005B5ADE">
        <w:rPr>
          <w:rFonts w:ascii="Times New Roman" w:hAnsi="Times New Roman"/>
        </w:rPr>
        <w:t xml:space="preserve">an </w:t>
      </w:r>
      <w:r w:rsidR="00B47311" w:rsidRPr="005B5ADE">
        <w:rPr>
          <w:rFonts w:ascii="Times New Roman" w:hAnsi="Times New Roman"/>
        </w:rPr>
        <w:t xml:space="preserve">interview </w:t>
      </w:r>
      <w:r w:rsidR="0004112A" w:rsidRPr="005B5ADE">
        <w:rPr>
          <w:rFonts w:ascii="Times New Roman" w:hAnsi="Times New Roman"/>
        </w:rPr>
        <w:t xml:space="preserve">conducted </w:t>
      </w:r>
      <w:r w:rsidR="00B47311" w:rsidRPr="005B5ADE">
        <w:rPr>
          <w:rFonts w:ascii="Times New Roman" w:hAnsi="Times New Roman"/>
        </w:rPr>
        <w:t>with</w:t>
      </w:r>
      <w:r w:rsidR="0075690B" w:rsidRPr="005B5ADE">
        <w:rPr>
          <w:rFonts w:ascii="Times New Roman" w:hAnsi="Times New Roman"/>
        </w:rPr>
        <w:t xml:space="preserve"> </w:t>
      </w:r>
      <w:r w:rsidR="0004112A" w:rsidRPr="005B5ADE">
        <w:rPr>
          <w:rFonts w:ascii="Times New Roman" w:hAnsi="Times New Roman"/>
        </w:rPr>
        <w:t>her</w:t>
      </w:r>
      <w:r w:rsidR="0075690B" w:rsidRPr="005B5ADE">
        <w:rPr>
          <w:rFonts w:ascii="Times New Roman" w:hAnsi="Times New Roman"/>
        </w:rPr>
        <w:t>.</w:t>
      </w:r>
      <w:r w:rsidR="00B47311" w:rsidRPr="005B5ADE">
        <w:rPr>
          <w:rFonts w:ascii="Times New Roman" w:hAnsi="Times New Roman"/>
        </w:rPr>
        <w:t xml:space="preserve"> </w:t>
      </w:r>
    </w:p>
    <w:p w14:paraId="42C38875" w14:textId="77777777"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t>Proceedings in the Court of Appeal</w:t>
      </w:r>
    </w:p>
    <w:p w14:paraId="6256D030" w14:textId="167E44BC" w:rsidR="00B47311" w:rsidRPr="005B5ADE" w:rsidRDefault="00532ED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appellant appealed his conviction on the basis that the failure </w:t>
      </w:r>
      <w:r w:rsidR="00262919" w:rsidRPr="005B5ADE">
        <w:rPr>
          <w:rFonts w:ascii="Times New Roman" w:hAnsi="Times New Roman"/>
        </w:rPr>
        <w:t>by</w:t>
      </w:r>
      <w:r w:rsidR="00B47311" w:rsidRPr="005B5ADE">
        <w:rPr>
          <w:rFonts w:ascii="Times New Roman" w:hAnsi="Times New Roman"/>
        </w:rPr>
        <w:t xml:space="preserve"> the prosecution to make proper disclosure of the charges against </w:t>
      </w:r>
      <w:r w:rsidR="007C75F9" w:rsidRPr="005B5ADE">
        <w:rPr>
          <w:rFonts w:ascii="Times New Roman" w:hAnsi="Times New Roman"/>
        </w:rPr>
        <w:t>X</w:t>
      </w:r>
      <w:r w:rsidR="00B47311" w:rsidRPr="005B5ADE">
        <w:rPr>
          <w:rFonts w:ascii="Times New Roman" w:hAnsi="Times New Roman"/>
        </w:rPr>
        <w:t xml:space="preserve"> resulted in a miscarriage of justice. </w:t>
      </w:r>
    </w:p>
    <w:p w14:paraId="377D998E" w14:textId="4B87BF26" w:rsidR="00B47311" w:rsidRPr="005B5ADE" w:rsidRDefault="00532EDA"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It was common ground in the Court of Appeal and </w:t>
      </w:r>
      <w:r w:rsidR="00BA4B11" w:rsidRPr="005B5ADE">
        <w:rPr>
          <w:rFonts w:ascii="Times New Roman" w:hAnsi="Times New Roman"/>
        </w:rPr>
        <w:t xml:space="preserve">in </w:t>
      </w:r>
      <w:r w:rsidR="00B47311" w:rsidRPr="005B5ADE">
        <w:rPr>
          <w:rFonts w:ascii="Times New Roman" w:hAnsi="Times New Roman"/>
        </w:rPr>
        <w:t xml:space="preserve">this Court that it </w:t>
      </w:r>
      <w:r w:rsidR="00665446" w:rsidRPr="005B5ADE">
        <w:rPr>
          <w:rFonts w:ascii="Times New Roman" w:hAnsi="Times New Roman"/>
        </w:rPr>
        <w:t>did not matter</w:t>
      </w:r>
      <w:r w:rsidR="00B47311" w:rsidRPr="005B5ADE">
        <w:rPr>
          <w:rFonts w:ascii="Times New Roman" w:hAnsi="Times New Roman"/>
        </w:rPr>
        <w:t xml:space="preserve"> whether</w:t>
      </w:r>
      <w:r w:rsidR="000B1FC7" w:rsidRPr="005B5ADE">
        <w:rPr>
          <w:rFonts w:ascii="Times New Roman" w:hAnsi="Times New Roman"/>
        </w:rPr>
        <w:t>, at the relevant time,</w:t>
      </w:r>
      <w:r w:rsidR="00B47311" w:rsidRPr="005B5ADE">
        <w:rPr>
          <w:rFonts w:ascii="Times New Roman" w:hAnsi="Times New Roman"/>
        </w:rPr>
        <w:t xml:space="preserve"> knowledge of the charges against </w:t>
      </w:r>
      <w:r w:rsidR="00B1764B" w:rsidRPr="005B5ADE">
        <w:rPr>
          <w:rFonts w:ascii="Times New Roman" w:hAnsi="Times New Roman"/>
        </w:rPr>
        <w:t>X</w:t>
      </w:r>
      <w:r w:rsidR="00B47311" w:rsidRPr="005B5ADE">
        <w:rPr>
          <w:rFonts w:ascii="Times New Roman" w:hAnsi="Times New Roman"/>
        </w:rPr>
        <w:t xml:space="preserve"> was </w:t>
      </w:r>
      <w:r w:rsidR="00B47311" w:rsidRPr="005B5ADE">
        <w:rPr>
          <w:rFonts w:ascii="Times New Roman" w:hAnsi="Times New Roman"/>
        </w:rPr>
        <w:lastRenderedPageBreak/>
        <w:t xml:space="preserve">only in the possession of the police or </w:t>
      </w:r>
      <w:r w:rsidR="003D3A3B" w:rsidRPr="005B5ADE">
        <w:rPr>
          <w:rFonts w:ascii="Times New Roman" w:hAnsi="Times New Roman"/>
        </w:rPr>
        <w:t xml:space="preserve">whether </w:t>
      </w:r>
      <w:r w:rsidR="0085663C" w:rsidRPr="005B5ADE">
        <w:rPr>
          <w:rFonts w:ascii="Times New Roman" w:hAnsi="Times New Roman"/>
        </w:rPr>
        <w:t xml:space="preserve">that </w:t>
      </w:r>
      <w:r w:rsidR="003D3A3B" w:rsidRPr="005B5ADE">
        <w:rPr>
          <w:rFonts w:ascii="Times New Roman" w:hAnsi="Times New Roman"/>
        </w:rPr>
        <w:t xml:space="preserve">knowledge </w:t>
      </w:r>
      <w:r w:rsidR="00B47311" w:rsidRPr="005B5ADE">
        <w:rPr>
          <w:rFonts w:ascii="Times New Roman" w:hAnsi="Times New Roman"/>
        </w:rPr>
        <w:t xml:space="preserve">was shared by the </w:t>
      </w:r>
      <w:r w:rsidR="007608E7" w:rsidRPr="005B5ADE">
        <w:rPr>
          <w:rFonts w:ascii="Times New Roman" w:hAnsi="Times New Roman"/>
        </w:rPr>
        <w:t>ODPP</w:t>
      </w:r>
      <w:r w:rsidR="00554FCC" w:rsidRPr="005B5ADE">
        <w:rPr>
          <w:rFonts w:ascii="Times New Roman" w:hAnsi="Times New Roman"/>
        </w:rPr>
        <w:t>. C</w:t>
      </w:r>
      <w:r w:rsidR="00B47311" w:rsidRPr="005B5ADE">
        <w:rPr>
          <w:rFonts w:ascii="Times New Roman" w:hAnsi="Times New Roman"/>
        </w:rPr>
        <w:t xml:space="preserve">ollectively the "prosecution" could be taken to have </w:t>
      </w:r>
      <w:r w:rsidR="00AA7224" w:rsidRPr="005B5ADE">
        <w:rPr>
          <w:rFonts w:ascii="Times New Roman" w:hAnsi="Times New Roman"/>
        </w:rPr>
        <w:t xml:space="preserve">had </w:t>
      </w:r>
      <w:r w:rsidR="00B47311" w:rsidRPr="005B5ADE">
        <w:rPr>
          <w:rFonts w:ascii="Times New Roman" w:hAnsi="Times New Roman"/>
        </w:rPr>
        <w:t>that knowledge</w:t>
      </w:r>
      <w:r w:rsidR="00C2597C" w:rsidRPr="005B5ADE">
        <w:rPr>
          <w:rFonts w:ascii="Times New Roman" w:hAnsi="Times New Roman"/>
        </w:rPr>
        <w:t>.</w:t>
      </w:r>
      <w:r w:rsidRPr="005B5ADE">
        <w:rPr>
          <w:rStyle w:val="FootnoteReference"/>
          <w:rFonts w:ascii="Times New Roman" w:hAnsi="Times New Roman"/>
          <w:sz w:val="24"/>
        </w:rPr>
        <w:footnoteReference w:id="36"/>
      </w:r>
      <w:r w:rsidR="00B47311" w:rsidRPr="005B5ADE">
        <w:rPr>
          <w:rFonts w:ascii="Times New Roman" w:hAnsi="Times New Roman"/>
        </w:rPr>
        <w:t xml:space="preserve"> </w:t>
      </w:r>
    </w:p>
    <w:p w14:paraId="6878A770" w14:textId="40B2C7DB"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Court of Appeal described the duty of disclosure as </w:t>
      </w:r>
      <w:r w:rsidR="009A4D7A" w:rsidRPr="005B5ADE">
        <w:rPr>
          <w:rFonts w:ascii="Times New Roman" w:hAnsi="Times New Roman"/>
        </w:rPr>
        <w:t>"a duty owed to the court, which requires that the prosecutor disclose as soon as practicable all material available to the prosecutor, or of which the prosecutor becomes aware, which could constitute evidence relevant to the guilt or innocence of the accused".</w:t>
      </w:r>
      <w:r w:rsidR="009A4D7A" w:rsidRPr="005B5ADE">
        <w:rPr>
          <w:rStyle w:val="FootnoteReference"/>
          <w:rFonts w:ascii="Times New Roman" w:hAnsi="Times New Roman"/>
          <w:sz w:val="24"/>
        </w:rPr>
        <w:footnoteReference w:id="37"/>
      </w:r>
      <w:r w:rsidR="009A4D7A" w:rsidRPr="005B5ADE">
        <w:rPr>
          <w:rFonts w:ascii="Times New Roman" w:hAnsi="Times New Roman"/>
        </w:rPr>
        <w:t xml:space="preserve"> </w:t>
      </w:r>
      <w:r w:rsidR="00B47311" w:rsidRPr="005B5ADE">
        <w:rPr>
          <w:rFonts w:ascii="Times New Roman" w:hAnsi="Times New Roman"/>
        </w:rPr>
        <w:t xml:space="preserve">However, the Court found that </w:t>
      </w:r>
      <w:r w:rsidR="00CB4448" w:rsidRPr="005B5ADE">
        <w:rPr>
          <w:rFonts w:ascii="Times New Roman" w:hAnsi="Times New Roman"/>
        </w:rPr>
        <w:t xml:space="preserve">the prosecution had not breached the duty </w:t>
      </w:r>
      <w:r w:rsidR="00B47311" w:rsidRPr="005B5ADE">
        <w:rPr>
          <w:rFonts w:ascii="Times New Roman" w:hAnsi="Times New Roman"/>
        </w:rPr>
        <w:t xml:space="preserve">in that respect because </w:t>
      </w:r>
      <w:r w:rsidR="0004112A" w:rsidRPr="005B5ADE">
        <w:rPr>
          <w:rFonts w:ascii="Times New Roman" w:hAnsi="Times New Roman"/>
        </w:rPr>
        <w:t xml:space="preserve">in argument </w:t>
      </w:r>
      <w:r w:rsidR="00B47311" w:rsidRPr="005B5ADE">
        <w:rPr>
          <w:rFonts w:ascii="Times New Roman" w:hAnsi="Times New Roman"/>
        </w:rPr>
        <w:t xml:space="preserve">before the Court of Appeal the appellant's counsel was said to have conceded that the appellant had not been deprived of any opportunity to adduce admissible evidence that </w:t>
      </w:r>
      <w:r w:rsidR="00B74748" w:rsidRPr="005B5ADE">
        <w:rPr>
          <w:rFonts w:ascii="Times New Roman" w:hAnsi="Times New Roman"/>
        </w:rPr>
        <w:t xml:space="preserve">X </w:t>
      </w:r>
      <w:r w:rsidR="00B47311" w:rsidRPr="005B5ADE">
        <w:rPr>
          <w:rFonts w:ascii="Times New Roman" w:hAnsi="Times New Roman"/>
        </w:rPr>
        <w:t>had engaged in unlawful sexual intercourse with another child.</w:t>
      </w:r>
      <w:r w:rsidR="00206FAD" w:rsidRPr="005B5ADE">
        <w:rPr>
          <w:rStyle w:val="FootnoteReference"/>
          <w:rFonts w:ascii="Times New Roman" w:hAnsi="Times New Roman"/>
          <w:sz w:val="24"/>
        </w:rPr>
        <w:footnoteReference w:id="38"/>
      </w:r>
      <w:r w:rsidR="00B47311" w:rsidRPr="005B5ADE">
        <w:rPr>
          <w:rFonts w:ascii="Times New Roman" w:hAnsi="Times New Roman"/>
        </w:rPr>
        <w:t xml:space="preserve"> In this Court the appellant disputed whether any such concession</w:t>
      </w:r>
      <w:r w:rsidR="0064397E" w:rsidRPr="005B5ADE">
        <w:rPr>
          <w:rFonts w:ascii="Times New Roman" w:hAnsi="Times New Roman"/>
        </w:rPr>
        <w:t xml:space="preserve"> was made</w:t>
      </w:r>
      <w:r w:rsidR="00B47311" w:rsidRPr="005B5ADE">
        <w:rPr>
          <w:rFonts w:ascii="Times New Roman" w:hAnsi="Times New Roman"/>
        </w:rPr>
        <w:t>.</w:t>
      </w:r>
      <w:r w:rsidR="00EF4BC9" w:rsidRPr="005B5ADE">
        <w:rPr>
          <w:rFonts w:ascii="Times New Roman" w:hAnsi="Times New Roman"/>
        </w:rPr>
        <w:t xml:space="preserve"> </w:t>
      </w:r>
    </w:p>
    <w:p w14:paraId="77BC5F22" w14:textId="3101CEDD"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The Court of Appeal also held that the duty of disclosure extends to requir</w:t>
      </w:r>
      <w:r w:rsidR="001F7F09" w:rsidRPr="005B5ADE">
        <w:rPr>
          <w:rFonts w:ascii="Times New Roman" w:hAnsi="Times New Roman"/>
        </w:rPr>
        <w:t>ing</w:t>
      </w:r>
      <w:r w:rsidR="00B47311" w:rsidRPr="005B5ADE">
        <w:rPr>
          <w:rFonts w:ascii="Times New Roman" w:hAnsi="Times New Roman"/>
        </w:rPr>
        <w:t xml:space="preserve"> disclosure of material that "may be of forensic utility even if it can only be used by the defence indirectly before or at the trial"</w:t>
      </w:r>
      <w:r w:rsidR="001F7F09" w:rsidRPr="005B5ADE">
        <w:rPr>
          <w:rFonts w:ascii="Times New Roman" w:hAnsi="Times New Roman"/>
        </w:rPr>
        <w:t>,</w:t>
      </w:r>
      <w:r w:rsidR="00B47311" w:rsidRPr="005B5ADE">
        <w:rPr>
          <w:rFonts w:ascii="Times New Roman" w:hAnsi="Times New Roman"/>
        </w:rPr>
        <w:t xml:space="preserve"> such as "informing a relevant line of inquiry", assisting in identifying witnesses or assisting in the questioning of witnesses at the trial.</w:t>
      </w:r>
      <w:r w:rsidR="001F7F09" w:rsidRPr="005B5ADE">
        <w:rPr>
          <w:rStyle w:val="FootnoteReference"/>
          <w:rFonts w:ascii="Times New Roman" w:hAnsi="Times New Roman"/>
          <w:sz w:val="24"/>
        </w:rPr>
        <w:footnoteReference w:id="39"/>
      </w:r>
      <w:r w:rsidR="00B47311" w:rsidRPr="005B5ADE">
        <w:rPr>
          <w:rFonts w:ascii="Times New Roman" w:hAnsi="Times New Roman"/>
        </w:rPr>
        <w:t xml:space="preserve"> The Court of Appeal found that</w:t>
      </w:r>
      <w:r w:rsidR="00273C42" w:rsidRPr="005B5ADE">
        <w:rPr>
          <w:rFonts w:ascii="Times New Roman" w:hAnsi="Times New Roman"/>
        </w:rPr>
        <w:t xml:space="preserve"> the prosecution had not complied with this </w:t>
      </w:r>
      <w:r w:rsidR="00D57A72" w:rsidRPr="005B5ADE">
        <w:rPr>
          <w:rFonts w:ascii="Times New Roman" w:hAnsi="Times New Roman"/>
        </w:rPr>
        <w:t xml:space="preserve">aspect of the </w:t>
      </w:r>
      <w:r w:rsidR="00273C42" w:rsidRPr="005B5ADE">
        <w:rPr>
          <w:rFonts w:ascii="Times New Roman" w:hAnsi="Times New Roman"/>
        </w:rPr>
        <w:t xml:space="preserve">duty </w:t>
      </w:r>
      <w:r w:rsidR="00EF314E" w:rsidRPr="005B5ADE">
        <w:rPr>
          <w:rFonts w:ascii="Times New Roman" w:hAnsi="Times New Roman"/>
        </w:rPr>
        <w:t>because</w:t>
      </w:r>
      <w:r w:rsidR="0023366A" w:rsidRPr="005B5ADE">
        <w:rPr>
          <w:rFonts w:ascii="Times New Roman" w:hAnsi="Times New Roman"/>
        </w:rPr>
        <w:t>,</w:t>
      </w:r>
      <w:r w:rsidR="00B47311" w:rsidRPr="005B5ADE">
        <w:rPr>
          <w:rFonts w:ascii="Times New Roman" w:hAnsi="Times New Roman"/>
        </w:rPr>
        <w:t xml:space="preserve"> by no later than the defence opening, the "undisclosed material" </w:t>
      </w:r>
      <w:r w:rsidR="00EF314E" w:rsidRPr="005B5ADE">
        <w:rPr>
          <w:rFonts w:ascii="Times New Roman" w:hAnsi="Times New Roman"/>
        </w:rPr>
        <w:t>(</w:t>
      </w:r>
      <w:proofErr w:type="spellStart"/>
      <w:r w:rsidR="00B47311" w:rsidRPr="005B5ADE">
        <w:rPr>
          <w:rFonts w:ascii="Times New Roman" w:hAnsi="Times New Roman"/>
        </w:rPr>
        <w:t>ie</w:t>
      </w:r>
      <w:proofErr w:type="spellEnd"/>
      <w:r w:rsidRPr="005B5ADE">
        <w:rPr>
          <w:rFonts w:ascii="Times New Roman" w:hAnsi="Times New Roman"/>
        </w:rPr>
        <w:t>,</w:t>
      </w:r>
      <w:r w:rsidR="00B47311" w:rsidRPr="005B5ADE">
        <w:rPr>
          <w:rFonts w:ascii="Times New Roman" w:hAnsi="Times New Roman"/>
        </w:rPr>
        <w:t xml:space="preserve"> the fact of the charges and the "fact</w:t>
      </w:r>
      <w:r w:rsidR="00EF314E" w:rsidRPr="005B5ADE">
        <w:rPr>
          <w:rFonts w:ascii="Times New Roman" w:hAnsi="Times New Roman"/>
        </w:rPr>
        <w:t>s</w:t>
      </w:r>
      <w:r w:rsidR="00B47311" w:rsidRPr="005B5ADE">
        <w:rPr>
          <w:rFonts w:ascii="Times New Roman" w:hAnsi="Times New Roman"/>
        </w:rPr>
        <w:t xml:space="preserve"> of charge" document</w:t>
      </w:r>
      <w:r w:rsidR="00EF314E" w:rsidRPr="005B5ADE">
        <w:rPr>
          <w:rFonts w:ascii="Times New Roman" w:hAnsi="Times New Roman"/>
        </w:rPr>
        <w:t>)</w:t>
      </w:r>
      <w:r w:rsidR="00B47311" w:rsidRPr="005B5ADE">
        <w:rPr>
          <w:rFonts w:ascii="Times New Roman" w:hAnsi="Times New Roman"/>
        </w:rPr>
        <w:t xml:space="preserve"> may have assisted the appellant's cross-examination of various witnesses on the topic of the identi</w:t>
      </w:r>
      <w:r w:rsidRPr="005B5ADE">
        <w:rPr>
          <w:rFonts w:ascii="Times New Roman" w:hAnsi="Times New Roman"/>
        </w:rPr>
        <w:t>t</w:t>
      </w:r>
      <w:r w:rsidR="00B47311" w:rsidRPr="005B5ADE">
        <w:rPr>
          <w:rFonts w:ascii="Times New Roman" w:hAnsi="Times New Roman"/>
        </w:rPr>
        <w:t>y of the offender.</w:t>
      </w:r>
      <w:r w:rsidR="00F36120" w:rsidRPr="005B5ADE">
        <w:rPr>
          <w:rStyle w:val="FootnoteReference"/>
          <w:rFonts w:ascii="Times New Roman" w:hAnsi="Times New Roman"/>
          <w:sz w:val="24"/>
        </w:rPr>
        <w:footnoteReference w:id="40"/>
      </w:r>
      <w:r w:rsidR="00B47311" w:rsidRPr="005B5ADE">
        <w:rPr>
          <w:rFonts w:ascii="Times New Roman" w:hAnsi="Times New Roman"/>
        </w:rPr>
        <w:t xml:space="preserve"> Nevertheless, the Court of Appeal concluded that there was no miscarriage of justice because the appellant failed to demonstrate that</w:t>
      </w:r>
      <w:r w:rsidR="00597A38" w:rsidRPr="005B5ADE">
        <w:rPr>
          <w:rFonts w:ascii="Times New Roman" w:hAnsi="Times New Roman"/>
        </w:rPr>
        <w:t>, had the undisclosed material been provided,</w:t>
      </w:r>
      <w:r w:rsidR="00B47311" w:rsidRPr="005B5ADE">
        <w:rPr>
          <w:rFonts w:ascii="Times New Roman" w:hAnsi="Times New Roman"/>
        </w:rPr>
        <w:t xml:space="preserve"> his defence either "would</w:t>
      </w:r>
      <w:r w:rsidR="009A4237" w:rsidRPr="005B5ADE">
        <w:rPr>
          <w:rFonts w:ascii="Times New Roman" w:hAnsi="Times New Roman"/>
        </w:rPr>
        <w:t>"</w:t>
      </w:r>
      <w:r w:rsidR="00B47311" w:rsidRPr="005B5ADE">
        <w:rPr>
          <w:rFonts w:ascii="Times New Roman" w:hAnsi="Times New Roman"/>
        </w:rPr>
        <w:t xml:space="preserve"> or "might</w:t>
      </w:r>
      <w:r w:rsidR="009A4237" w:rsidRPr="005B5ADE">
        <w:rPr>
          <w:rFonts w:ascii="Times New Roman" w:hAnsi="Times New Roman"/>
        </w:rPr>
        <w:t>"</w:t>
      </w:r>
      <w:r w:rsidR="00B47311" w:rsidRPr="005B5ADE">
        <w:rPr>
          <w:rFonts w:ascii="Times New Roman" w:hAnsi="Times New Roman"/>
        </w:rPr>
        <w:t xml:space="preserve"> have been conducted differently</w:t>
      </w:r>
      <w:r w:rsidRPr="005B5ADE">
        <w:rPr>
          <w:rFonts w:ascii="Times New Roman" w:hAnsi="Times New Roman"/>
        </w:rPr>
        <w:t>.</w:t>
      </w:r>
      <w:r w:rsidR="00760DFE" w:rsidRPr="005B5ADE">
        <w:rPr>
          <w:rStyle w:val="FootnoteReference"/>
          <w:rFonts w:ascii="Times New Roman" w:hAnsi="Times New Roman"/>
          <w:sz w:val="24"/>
        </w:rPr>
        <w:footnoteReference w:id="41"/>
      </w:r>
      <w:r w:rsidR="00B47311" w:rsidRPr="005B5ADE">
        <w:rPr>
          <w:rFonts w:ascii="Times New Roman" w:hAnsi="Times New Roman"/>
        </w:rPr>
        <w:t xml:space="preserve"> </w:t>
      </w:r>
    </w:p>
    <w:p w14:paraId="109A8754" w14:textId="15297037"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lastRenderedPageBreak/>
        <w:t>Non-</w:t>
      </w:r>
      <w:r w:rsidR="00C2597C" w:rsidRPr="005B5ADE">
        <w:rPr>
          <w:rFonts w:ascii="Times New Roman" w:hAnsi="Times New Roman"/>
        </w:rPr>
        <w:t>d</w:t>
      </w:r>
      <w:r w:rsidRPr="005B5ADE">
        <w:rPr>
          <w:rFonts w:ascii="Times New Roman" w:hAnsi="Times New Roman"/>
        </w:rPr>
        <w:t xml:space="preserve">isclosure and </w:t>
      </w:r>
      <w:r w:rsidR="00C2597C" w:rsidRPr="005B5ADE">
        <w:rPr>
          <w:rFonts w:ascii="Times New Roman" w:hAnsi="Times New Roman"/>
        </w:rPr>
        <w:t>m</w:t>
      </w:r>
      <w:r w:rsidRPr="005B5ADE">
        <w:rPr>
          <w:rFonts w:ascii="Times New Roman" w:hAnsi="Times New Roman"/>
        </w:rPr>
        <w:t xml:space="preserve">iscarriage of </w:t>
      </w:r>
      <w:r w:rsidR="00C2597C" w:rsidRPr="005B5ADE">
        <w:rPr>
          <w:rFonts w:ascii="Times New Roman" w:hAnsi="Times New Roman"/>
        </w:rPr>
        <w:t>j</w:t>
      </w:r>
      <w:r w:rsidRPr="005B5ADE">
        <w:rPr>
          <w:rFonts w:ascii="Times New Roman" w:hAnsi="Times New Roman"/>
        </w:rPr>
        <w:t>ustice</w:t>
      </w:r>
    </w:p>
    <w:p w14:paraId="13464B41" w14:textId="012E1D76"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Ground 1 of the appeal contends that the Court of Appeal erred in finding that the prosecution's failure to comply with its duty of disclosure did not result in a miscarriage of justice. </w:t>
      </w:r>
      <w:r w:rsidR="00FD7EA8" w:rsidRPr="005B5ADE">
        <w:rPr>
          <w:rFonts w:ascii="Times New Roman" w:hAnsi="Times New Roman"/>
        </w:rPr>
        <w:t>This ground is premised on the</w:t>
      </w:r>
      <w:r w:rsidR="00197D9A" w:rsidRPr="005B5ADE">
        <w:rPr>
          <w:rFonts w:ascii="Times New Roman" w:hAnsi="Times New Roman"/>
        </w:rPr>
        <w:t xml:space="preserve"> </w:t>
      </w:r>
      <w:r w:rsidR="000E482F" w:rsidRPr="005B5ADE">
        <w:rPr>
          <w:rFonts w:ascii="Times New Roman" w:hAnsi="Times New Roman"/>
        </w:rPr>
        <w:t>Court of Appeal having accurately recorded the concession of the appellant noted above.</w:t>
      </w:r>
      <w:r w:rsidR="000E482F" w:rsidRPr="005B5ADE">
        <w:rPr>
          <w:rStyle w:val="FootnoteReference"/>
          <w:rFonts w:ascii="Times New Roman" w:hAnsi="Times New Roman"/>
          <w:sz w:val="24"/>
        </w:rPr>
        <w:footnoteReference w:id="42"/>
      </w:r>
    </w:p>
    <w:p w14:paraId="42A8462A" w14:textId="32C98968" w:rsidR="00D73DF2"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Decisions of this Court have accepted that at common law the prosecution must</w:t>
      </w:r>
      <w:r w:rsidR="00C97869" w:rsidRPr="005B5ADE">
        <w:rPr>
          <w:rFonts w:ascii="Times New Roman" w:hAnsi="Times New Roman"/>
        </w:rPr>
        <w:t>, at least,</w:t>
      </w:r>
      <w:r w:rsidR="00B47311" w:rsidRPr="005B5ADE">
        <w:rPr>
          <w:rFonts w:ascii="Times New Roman" w:hAnsi="Times New Roman"/>
        </w:rPr>
        <w:t xml:space="preserve"> disclose all relevant evidence to an accused and the failure to do so may warrant the quashing of a conviction as a miscarriage of justice.</w:t>
      </w:r>
      <w:r w:rsidRPr="005B5ADE">
        <w:rPr>
          <w:rStyle w:val="FootnoteReference"/>
          <w:rFonts w:ascii="Times New Roman" w:hAnsi="Times New Roman"/>
          <w:sz w:val="24"/>
        </w:rPr>
        <w:footnoteReference w:id="43"/>
      </w:r>
      <w:r w:rsidR="00B47311" w:rsidRPr="005B5ADE">
        <w:rPr>
          <w:rFonts w:ascii="Times New Roman" w:hAnsi="Times New Roman"/>
        </w:rPr>
        <w:t xml:space="preserve"> As there was no challenge to the Court of Appeal's finding that there was a failure on the part of the prosecution to comply with its duty of disclosure, it is unnecessary to address </w:t>
      </w:r>
      <w:r w:rsidR="00FD3718" w:rsidRPr="005B5ADE">
        <w:rPr>
          <w:rFonts w:ascii="Times New Roman" w:hAnsi="Times New Roman"/>
        </w:rPr>
        <w:t xml:space="preserve">how far </w:t>
      </w:r>
      <w:r w:rsidR="00B47311" w:rsidRPr="005B5ADE">
        <w:rPr>
          <w:rFonts w:ascii="Times New Roman" w:hAnsi="Times New Roman"/>
        </w:rPr>
        <w:t xml:space="preserve">the scope of that </w:t>
      </w:r>
      <w:r w:rsidR="00267F79" w:rsidRPr="005B5ADE">
        <w:rPr>
          <w:rFonts w:ascii="Times New Roman" w:hAnsi="Times New Roman"/>
        </w:rPr>
        <w:t xml:space="preserve">duty </w:t>
      </w:r>
      <w:r w:rsidR="00FD3718" w:rsidRPr="005B5ADE">
        <w:rPr>
          <w:rFonts w:ascii="Times New Roman" w:hAnsi="Times New Roman"/>
        </w:rPr>
        <w:t xml:space="preserve">extends </w:t>
      </w:r>
      <w:r w:rsidR="00AF77AD" w:rsidRPr="005B5ADE">
        <w:rPr>
          <w:rFonts w:ascii="Times New Roman" w:hAnsi="Times New Roman"/>
        </w:rPr>
        <w:t xml:space="preserve">beyond disclosure of </w:t>
      </w:r>
      <w:r w:rsidR="00A1618B" w:rsidRPr="005B5ADE">
        <w:rPr>
          <w:rFonts w:ascii="Times New Roman" w:hAnsi="Times New Roman"/>
        </w:rPr>
        <w:t xml:space="preserve">such </w:t>
      </w:r>
      <w:r w:rsidR="00D0789C" w:rsidRPr="005B5ADE">
        <w:rPr>
          <w:rFonts w:ascii="Times New Roman" w:hAnsi="Times New Roman"/>
        </w:rPr>
        <w:t>evidence</w:t>
      </w:r>
      <w:r w:rsidR="00FD3718" w:rsidRPr="005B5ADE">
        <w:rPr>
          <w:rFonts w:ascii="Times New Roman" w:hAnsi="Times New Roman"/>
        </w:rPr>
        <w:t>.</w:t>
      </w:r>
      <w:r w:rsidRPr="005B5ADE">
        <w:rPr>
          <w:rStyle w:val="FootnoteReference"/>
          <w:rFonts w:ascii="Times New Roman" w:hAnsi="Times New Roman"/>
          <w:sz w:val="24"/>
        </w:rPr>
        <w:footnoteReference w:id="44"/>
      </w:r>
      <w:r w:rsidR="00B47311" w:rsidRPr="005B5ADE">
        <w:rPr>
          <w:rFonts w:ascii="Times New Roman" w:hAnsi="Times New Roman"/>
        </w:rPr>
        <w:t xml:space="preserve"> </w:t>
      </w:r>
    </w:p>
    <w:p w14:paraId="0AC1B6C3" w14:textId="7D041E47" w:rsidR="00B47311" w:rsidRPr="005B5ADE" w:rsidRDefault="00F777E4"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D73DF2" w:rsidRPr="005B5ADE">
        <w:rPr>
          <w:rFonts w:ascii="Times New Roman" w:hAnsi="Times New Roman"/>
        </w:rPr>
        <w:t xml:space="preserve">So far as assessing the effect of a breach of the duty is concerned, in both </w:t>
      </w:r>
      <w:r w:rsidR="00D73DF2" w:rsidRPr="005B5ADE">
        <w:rPr>
          <w:rFonts w:ascii="Times New Roman" w:hAnsi="Times New Roman"/>
          <w:i/>
          <w:iCs/>
        </w:rPr>
        <w:t>Mallard</w:t>
      </w:r>
      <w:r w:rsidR="00652CCA" w:rsidRPr="005B5ADE">
        <w:rPr>
          <w:rFonts w:ascii="Times New Roman" w:hAnsi="Times New Roman"/>
          <w:i/>
          <w:iCs/>
        </w:rPr>
        <w:t xml:space="preserve"> v The Queen</w:t>
      </w:r>
      <w:r w:rsidR="00652CCA" w:rsidRPr="005B5ADE">
        <w:rPr>
          <w:rStyle w:val="FootnoteReference"/>
          <w:rFonts w:ascii="Times New Roman" w:hAnsi="Times New Roman"/>
          <w:sz w:val="24"/>
        </w:rPr>
        <w:footnoteReference w:id="45"/>
      </w:r>
      <w:r w:rsidR="00D73DF2" w:rsidRPr="005B5ADE">
        <w:rPr>
          <w:rFonts w:ascii="Times New Roman" w:hAnsi="Times New Roman"/>
        </w:rPr>
        <w:t xml:space="preserve"> and </w:t>
      </w:r>
      <w:r w:rsidR="00D73DF2" w:rsidRPr="005B5ADE">
        <w:rPr>
          <w:rFonts w:ascii="Times New Roman" w:hAnsi="Times New Roman"/>
          <w:i/>
          <w:iCs/>
        </w:rPr>
        <w:t>Grey</w:t>
      </w:r>
      <w:r w:rsidR="00652CCA" w:rsidRPr="005B5ADE">
        <w:rPr>
          <w:rFonts w:ascii="Times New Roman" w:hAnsi="Times New Roman"/>
          <w:i/>
          <w:iCs/>
        </w:rPr>
        <w:t xml:space="preserve"> v The Queen</w:t>
      </w:r>
      <w:r w:rsidR="00652CCA" w:rsidRPr="005B5ADE">
        <w:rPr>
          <w:rStyle w:val="FootnoteReference"/>
          <w:rFonts w:ascii="Times New Roman" w:hAnsi="Times New Roman"/>
          <w:sz w:val="24"/>
        </w:rPr>
        <w:footnoteReference w:id="46"/>
      </w:r>
      <w:r w:rsidR="00D73DF2" w:rsidRPr="005B5ADE">
        <w:rPr>
          <w:rFonts w:ascii="Times New Roman" w:hAnsi="Times New Roman"/>
        </w:rPr>
        <w:t xml:space="preserve"> the convictions were set aside after the Court considered the potential impact of the non</w:t>
      </w:r>
      <w:r w:rsidR="00797FF2" w:rsidRPr="005B5ADE">
        <w:rPr>
          <w:rFonts w:ascii="Times New Roman" w:hAnsi="Times New Roman"/>
        </w:rPr>
        <w:noBreakHyphen/>
      </w:r>
      <w:r w:rsidR="00D73DF2" w:rsidRPr="005B5ADE">
        <w:rPr>
          <w:rFonts w:ascii="Times New Roman" w:hAnsi="Times New Roman"/>
        </w:rPr>
        <w:t xml:space="preserve">disclosure on the </w:t>
      </w:r>
      <w:r w:rsidR="00D73DF2" w:rsidRPr="005B5ADE">
        <w:rPr>
          <w:rFonts w:ascii="Times New Roman" w:hAnsi="Times New Roman"/>
          <w:i/>
          <w:iCs/>
        </w:rPr>
        <w:t>capacity</w:t>
      </w:r>
      <w:r w:rsidR="00D73DF2" w:rsidRPr="005B5ADE">
        <w:rPr>
          <w:rFonts w:ascii="Times New Roman" w:hAnsi="Times New Roman"/>
        </w:rPr>
        <w:t xml:space="preserve"> of the accused to refute a central component of the prosecution case and undermine </w:t>
      </w:r>
      <w:r w:rsidR="00D73DF2" w:rsidRPr="005B5ADE">
        <w:rPr>
          <w:rFonts w:ascii="Times New Roman" w:hAnsi="Times New Roman"/>
        </w:rPr>
        <w:lastRenderedPageBreak/>
        <w:t>its credibility.</w:t>
      </w:r>
      <w:r w:rsidR="00D73DF2" w:rsidRPr="005B5ADE">
        <w:rPr>
          <w:rStyle w:val="FootnoteReference"/>
          <w:rFonts w:ascii="Times New Roman" w:hAnsi="Times New Roman"/>
          <w:sz w:val="24"/>
        </w:rPr>
        <w:footnoteReference w:id="47"/>
      </w:r>
      <w:r w:rsidR="00D73DF2" w:rsidRPr="005B5ADE">
        <w:rPr>
          <w:rFonts w:ascii="Times New Roman" w:hAnsi="Times New Roman"/>
        </w:rPr>
        <w:t xml:space="preserve"> That approach accords with the test of materiality</w:t>
      </w:r>
      <w:r w:rsidR="005746BF" w:rsidRPr="005B5ADE">
        <w:rPr>
          <w:rFonts w:ascii="Times New Roman" w:hAnsi="Times New Roman"/>
        </w:rPr>
        <w:t xml:space="preserve"> set out above</w:t>
      </w:r>
      <w:r w:rsidR="00D73DF2" w:rsidRPr="005B5ADE">
        <w:rPr>
          <w:rFonts w:ascii="Times New Roman" w:hAnsi="Times New Roman"/>
        </w:rPr>
        <w:t>.</w:t>
      </w:r>
      <w:r w:rsidR="006B460A" w:rsidRPr="005B5ADE">
        <w:rPr>
          <w:rFonts w:ascii="Times New Roman" w:hAnsi="Times New Roman"/>
        </w:rPr>
        <w:t xml:space="preserve"> Otherwise, it</w:t>
      </w:r>
      <w:r w:rsidR="00D73DF2" w:rsidRPr="005B5ADE">
        <w:rPr>
          <w:rFonts w:ascii="Times New Roman" w:hAnsi="Times New Roman"/>
        </w:rPr>
        <w:t xml:space="preserve"> suffices to observe t</w:t>
      </w:r>
      <w:r w:rsidR="00B47311" w:rsidRPr="005B5ADE">
        <w:rPr>
          <w:rFonts w:ascii="Times New Roman" w:hAnsi="Times New Roman"/>
        </w:rPr>
        <w:t>hat the lost opportunity to cross</w:t>
      </w:r>
      <w:r w:rsidR="00C2597C" w:rsidRPr="005B5ADE">
        <w:rPr>
          <w:rFonts w:ascii="Times New Roman" w:hAnsi="Times New Roman"/>
        </w:rPr>
        <w:noBreakHyphen/>
      </w:r>
      <w:r w:rsidR="00B47311" w:rsidRPr="005B5ADE">
        <w:rPr>
          <w:rFonts w:ascii="Times New Roman" w:hAnsi="Times New Roman"/>
        </w:rPr>
        <w:t>examine a witness on material that should have been disclosed bears upon the assessment of whether a failure to comply with the duty has occasioned a miscarriage of justice.</w:t>
      </w:r>
      <w:r w:rsidR="00C2597C" w:rsidRPr="005B5ADE">
        <w:rPr>
          <w:rStyle w:val="FootnoteReference"/>
          <w:rFonts w:ascii="Times New Roman" w:hAnsi="Times New Roman"/>
          <w:sz w:val="24"/>
        </w:rPr>
        <w:footnoteReference w:id="48"/>
      </w:r>
      <w:r w:rsidR="00B47311" w:rsidRPr="005B5ADE">
        <w:rPr>
          <w:rFonts w:ascii="Times New Roman" w:hAnsi="Times New Roman"/>
        </w:rPr>
        <w:t xml:space="preserve"> </w:t>
      </w:r>
    </w:p>
    <w:p w14:paraId="448D0884" w14:textId="59D20C93"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w:t>
      </w:r>
      <w:r w:rsidR="00206764" w:rsidRPr="005B5ADE">
        <w:rPr>
          <w:rFonts w:ascii="Times New Roman" w:hAnsi="Times New Roman"/>
        </w:rPr>
        <w:t>unchallenged</w:t>
      </w:r>
      <w:r w:rsidR="00B47311" w:rsidRPr="005B5ADE">
        <w:rPr>
          <w:rFonts w:ascii="Times New Roman" w:hAnsi="Times New Roman"/>
        </w:rPr>
        <w:t xml:space="preserve"> breach of the duty of disclosure in this case amounted to an error or irregularity in the appellant's trial. The </w:t>
      </w:r>
      <w:r w:rsidR="00182A80" w:rsidRPr="005B5ADE">
        <w:rPr>
          <w:rFonts w:ascii="Times New Roman" w:hAnsi="Times New Roman"/>
        </w:rPr>
        <w:t>appellant</w:t>
      </w:r>
      <w:r w:rsidR="00B47311" w:rsidRPr="005B5ADE">
        <w:rPr>
          <w:rFonts w:ascii="Times New Roman" w:hAnsi="Times New Roman"/>
        </w:rPr>
        <w:t xml:space="preserve"> did not contend that the error or irregularity was "fundamental" in the sense </w:t>
      </w:r>
      <w:r w:rsidR="00206764" w:rsidRPr="005B5ADE">
        <w:rPr>
          <w:rFonts w:ascii="Times New Roman" w:hAnsi="Times New Roman"/>
        </w:rPr>
        <w:t xml:space="preserve">noted </w:t>
      </w:r>
      <w:r w:rsidR="00B47311" w:rsidRPr="005B5ADE">
        <w:rPr>
          <w:rFonts w:ascii="Times New Roman" w:hAnsi="Times New Roman"/>
        </w:rPr>
        <w:t xml:space="preserve">above. </w:t>
      </w:r>
      <w:r w:rsidRPr="005B5ADE">
        <w:rPr>
          <w:rFonts w:ascii="Times New Roman" w:hAnsi="Times New Roman"/>
        </w:rPr>
        <w:t>Instead,</w:t>
      </w:r>
      <w:r w:rsidR="00B47311" w:rsidRPr="005B5ADE">
        <w:rPr>
          <w:rFonts w:ascii="Times New Roman" w:hAnsi="Times New Roman"/>
        </w:rPr>
        <w:t xml:space="preserve"> the appellant submitted that, once the Court of Appeal accepted that the undisclosed material may have assisted the conduct of the defence case and the appellant's cross</w:t>
      </w:r>
      <w:r w:rsidRPr="005B5ADE">
        <w:rPr>
          <w:rFonts w:ascii="Times New Roman" w:hAnsi="Times New Roman"/>
        </w:rPr>
        <w:noBreakHyphen/>
      </w:r>
      <w:r w:rsidR="00B47311" w:rsidRPr="005B5ADE">
        <w:rPr>
          <w:rFonts w:ascii="Times New Roman" w:hAnsi="Times New Roman"/>
        </w:rPr>
        <w:t xml:space="preserve">examination of various witnesses on the topic of the identity of the </w:t>
      </w:r>
      <w:r w:rsidR="00251580" w:rsidRPr="005B5ADE">
        <w:rPr>
          <w:rFonts w:ascii="Times New Roman" w:hAnsi="Times New Roman"/>
        </w:rPr>
        <w:t>perpetrator</w:t>
      </w:r>
      <w:r w:rsidR="00B47311" w:rsidRPr="005B5ADE">
        <w:rPr>
          <w:rFonts w:ascii="Times New Roman" w:hAnsi="Times New Roman"/>
        </w:rPr>
        <w:t xml:space="preserve">, then it followed that the irregularity was material </w:t>
      </w:r>
      <w:proofErr w:type="gramStart"/>
      <w:r w:rsidR="00382413" w:rsidRPr="005B5ADE">
        <w:rPr>
          <w:rFonts w:ascii="Times New Roman" w:hAnsi="Times New Roman"/>
        </w:rPr>
        <w:t xml:space="preserve">so as </w:t>
      </w:r>
      <w:r w:rsidR="00B47311" w:rsidRPr="005B5ADE">
        <w:rPr>
          <w:rFonts w:ascii="Times New Roman" w:hAnsi="Times New Roman"/>
        </w:rPr>
        <w:t>to</w:t>
      </w:r>
      <w:proofErr w:type="gramEnd"/>
      <w:r w:rsidR="00B47311" w:rsidRPr="005B5ADE">
        <w:rPr>
          <w:rFonts w:ascii="Times New Roman" w:hAnsi="Times New Roman"/>
        </w:rPr>
        <w:t xml:space="preserve"> constitute a miscarriage of justice. The appellant </w:t>
      </w:r>
      <w:r w:rsidR="00A34F5B" w:rsidRPr="005B5ADE">
        <w:rPr>
          <w:rFonts w:ascii="Times New Roman" w:hAnsi="Times New Roman"/>
        </w:rPr>
        <w:t xml:space="preserve">further </w:t>
      </w:r>
      <w:r w:rsidR="00B47311" w:rsidRPr="005B5ADE">
        <w:rPr>
          <w:rFonts w:ascii="Times New Roman" w:hAnsi="Times New Roman"/>
        </w:rPr>
        <w:t xml:space="preserve">submitted that the absence of the undisclosed material could have realistically affected the forensic choices available to the appellant's trial counsel as to the emphasis to be placed on who might have </w:t>
      </w:r>
      <w:r w:rsidR="00A33CA1" w:rsidRPr="005B5ADE">
        <w:rPr>
          <w:rFonts w:ascii="Times New Roman" w:hAnsi="Times New Roman"/>
        </w:rPr>
        <w:t>perpetrated the sexual abuse described by the complainant</w:t>
      </w:r>
      <w:r w:rsidR="00B47311" w:rsidRPr="005B5ADE">
        <w:rPr>
          <w:rFonts w:ascii="Times New Roman" w:hAnsi="Times New Roman"/>
        </w:rPr>
        <w:t xml:space="preserve">. It was </w:t>
      </w:r>
      <w:r w:rsidR="00A34F5B" w:rsidRPr="005B5ADE">
        <w:rPr>
          <w:rFonts w:ascii="Times New Roman" w:hAnsi="Times New Roman"/>
        </w:rPr>
        <w:t>also</w:t>
      </w:r>
      <w:r w:rsidR="00B47311" w:rsidRPr="005B5ADE">
        <w:rPr>
          <w:rFonts w:ascii="Times New Roman" w:hAnsi="Times New Roman"/>
        </w:rPr>
        <w:t xml:space="preserve"> submitted that, consistent with </w:t>
      </w:r>
      <w:r w:rsidRPr="005B5ADE">
        <w:rPr>
          <w:rFonts w:ascii="Times New Roman" w:hAnsi="Times New Roman"/>
        </w:rPr>
        <w:t>c</w:t>
      </w:r>
      <w:r w:rsidR="00B47311" w:rsidRPr="005B5ADE">
        <w:rPr>
          <w:rFonts w:ascii="Times New Roman" w:hAnsi="Times New Roman"/>
        </w:rPr>
        <w:t xml:space="preserve">ounsel's ethical obligations, in the absence of the undisclosed material </w:t>
      </w:r>
      <w:r w:rsidRPr="005B5ADE">
        <w:rPr>
          <w:rFonts w:ascii="Times New Roman" w:hAnsi="Times New Roman"/>
        </w:rPr>
        <w:t>c</w:t>
      </w:r>
      <w:r w:rsidR="00B47311" w:rsidRPr="005B5ADE">
        <w:rPr>
          <w:rFonts w:ascii="Times New Roman" w:hAnsi="Times New Roman"/>
        </w:rPr>
        <w:t xml:space="preserve">ounsel could not have suggested to the jury that </w:t>
      </w:r>
      <w:r w:rsidR="004F69B7" w:rsidRPr="005B5ADE">
        <w:rPr>
          <w:rFonts w:ascii="Times New Roman" w:hAnsi="Times New Roman"/>
        </w:rPr>
        <w:t xml:space="preserve">X was or may have been the </w:t>
      </w:r>
      <w:r w:rsidR="001812A6" w:rsidRPr="005B5ADE">
        <w:rPr>
          <w:rFonts w:ascii="Times New Roman" w:hAnsi="Times New Roman"/>
        </w:rPr>
        <w:t>perpetrat</w:t>
      </w:r>
      <w:r w:rsidR="00A01D40" w:rsidRPr="005B5ADE">
        <w:rPr>
          <w:rFonts w:ascii="Times New Roman" w:hAnsi="Times New Roman"/>
        </w:rPr>
        <w:t>or</w:t>
      </w:r>
      <w:r w:rsidR="001D6C10">
        <w:rPr>
          <w:rFonts w:ascii="Times New Roman" w:hAnsi="Times New Roman"/>
        </w:rPr>
        <w:t>.</w:t>
      </w:r>
      <w:r w:rsidR="00B47311" w:rsidRPr="005B5ADE">
        <w:rPr>
          <w:rFonts w:ascii="Times New Roman" w:hAnsi="Times New Roman"/>
        </w:rPr>
        <w:t xml:space="preserve"> </w:t>
      </w:r>
    </w:p>
    <w:p w14:paraId="718C9A33" w14:textId="61953244"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course of the </w:t>
      </w:r>
      <w:r w:rsidR="004A6B9F" w:rsidRPr="005B5ADE">
        <w:rPr>
          <w:rFonts w:ascii="Times New Roman" w:hAnsi="Times New Roman"/>
        </w:rPr>
        <w:t xml:space="preserve">appellant's </w:t>
      </w:r>
      <w:r w:rsidR="00B47311" w:rsidRPr="005B5ADE">
        <w:rPr>
          <w:rFonts w:ascii="Times New Roman" w:hAnsi="Times New Roman"/>
        </w:rPr>
        <w:t xml:space="preserve">trial is outlined above. The </w:t>
      </w:r>
      <w:r w:rsidRPr="005B5ADE">
        <w:rPr>
          <w:rFonts w:ascii="Times New Roman" w:hAnsi="Times New Roman"/>
        </w:rPr>
        <w:t>r</w:t>
      </w:r>
      <w:r w:rsidR="00B47311" w:rsidRPr="005B5ADE">
        <w:rPr>
          <w:rFonts w:ascii="Times New Roman" w:hAnsi="Times New Roman"/>
        </w:rPr>
        <w:t xml:space="preserve">espondent embraced the Court of Appeal's characterisation of the defence </w:t>
      </w:r>
      <w:r w:rsidR="008D6A63" w:rsidRPr="005B5ADE">
        <w:rPr>
          <w:rFonts w:ascii="Times New Roman" w:hAnsi="Times New Roman"/>
        </w:rPr>
        <w:t xml:space="preserve">case </w:t>
      </w:r>
      <w:r w:rsidR="00B47311" w:rsidRPr="005B5ADE">
        <w:rPr>
          <w:rFonts w:ascii="Times New Roman" w:hAnsi="Times New Roman"/>
        </w:rPr>
        <w:t xml:space="preserve">as being "diffuse in its focus" in that, without being specific, the appellant's </w:t>
      </w:r>
      <w:r w:rsidR="008D6A63" w:rsidRPr="005B5ADE">
        <w:rPr>
          <w:rFonts w:ascii="Times New Roman" w:hAnsi="Times New Roman"/>
        </w:rPr>
        <w:t xml:space="preserve">trial </w:t>
      </w:r>
      <w:r w:rsidRPr="005B5ADE">
        <w:rPr>
          <w:rFonts w:ascii="Times New Roman" w:hAnsi="Times New Roman"/>
        </w:rPr>
        <w:t>c</w:t>
      </w:r>
      <w:r w:rsidR="00B47311" w:rsidRPr="005B5ADE">
        <w:rPr>
          <w:rFonts w:ascii="Times New Roman" w:hAnsi="Times New Roman"/>
        </w:rPr>
        <w:t>ounsel</w:t>
      </w:r>
      <w:r w:rsidR="008D6A63" w:rsidRPr="005B5ADE">
        <w:rPr>
          <w:rFonts w:ascii="Times New Roman" w:hAnsi="Times New Roman"/>
        </w:rPr>
        <w:t xml:space="preserve"> had</w:t>
      </w:r>
      <w:r w:rsidR="00B47311" w:rsidRPr="005B5ADE">
        <w:rPr>
          <w:rFonts w:ascii="Times New Roman" w:hAnsi="Times New Roman"/>
        </w:rPr>
        <w:t xml:space="preserve"> pointed to "other males" in the </w:t>
      </w:r>
      <w:r w:rsidR="000139A3" w:rsidRPr="005B5ADE">
        <w:rPr>
          <w:rFonts w:ascii="Times New Roman" w:hAnsi="Times New Roman"/>
        </w:rPr>
        <w:t>complainant's</w:t>
      </w:r>
      <w:r w:rsidR="00B47311" w:rsidRPr="005B5ADE">
        <w:rPr>
          <w:rFonts w:ascii="Times New Roman" w:hAnsi="Times New Roman"/>
        </w:rPr>
        <w:t xml:space="preserve"> community when suggesting that</w:t>
      </w:r>
      <w:r w:rsidR="000139A3" w:rsidRPr="005B5ADE">
        <w:rPr>
          <w:rFonts w:ascii="Times New Roman" w:hAnsi="Times New Roman"/>
        </w:rPr>
        <w:t xml:space="preserve"> the complainant</w:t>
      </w:r>
      <w:r w:rsidR="00B47311" w:rsidRPr="005B5ADE">
        <w:rPr>
          <w:rFonts w:ascii="Times New Roman" w:hAnsi="Times New Roman"/>
        </w:rPr>
        <w:t xml:space="preserve"> was being untruthful about the identity of her abuser</w:t>
      </w:r>
      <w:r w:rsidR="00563224" w:rsidRPr="005B5ADE">
        <w:rPr>
          <w:rFonts w:ascii="Times New Roman" w:hAnsi="Times New Roman"/>
        </w:rPr>
        <w:t xml:space="preserve">. The Court of Appeal described the defence as </w:t>
      </w:r>
      <w:r w:rsidR="00B47311" w:rsidRPr="005B5ADE">
        <w:rPr>
          <w:rFonts w:ascii="Times New Roman" w:hAnsi="Times New Roman"/>
        </w:rPr>
        <w:t>contend</w:t>
      </w:r>
      <w:r w:rsidR="00563224" w:rsidRPr="005B5ADE">
        <w:rPr>
          <w:rFonts w:ascii="Times New Roman" w:hAnsi="Times New Roman"/>
        </w:rPr>
        <w:t>ing</w:t>
      </w:r>
      <w:r w:rsidR="00B47311" w:rsidRPr="005B5ADE">
        <w:rPr>
          <w:rFonts w:ascii="Times New Roman" w:hAnsi="Times New Roman"/>
        </w:rPr>
        <w:t xml:space="preserve"> "that it was reasonably possible that it was not the appellant but one </w:t>
      </w:r>
      <w:r w:rsidR="00B47311" w:rsidRPr="005B5ADE">
        <w:rPr>
          <w:rFonts w:ascii="Times New Roman" w:hAnsi="Times New Roman"/>
          <w:i/>
          <w:iCs/>
        </w:rPr>
        <w:t>or more of those other males</w:t>
      </w:r>
      <w:r w:rsidR="00B47311" w:rsidRPr="005B5ADE">
        <w:rPr>
          <w:rFonts w:ascii="Times New Roman" w:hAnsi="Times New Roman"/>
        </w:rPr>
        <w:t xml:space="preserve">, including but not limited to </w:t>
      </w:r>
      <w:r w:rsidR="00FC1CE5" w:rsidRPr="005B5ADE">
        <w:rPr>
          <w:rFonts w:ascii="Times New Roman" w:hAnsi="Times New Roman"/>
        </w:rPr>
        <w:t>[X]</w:t>
      </w:r>
      <w:r w:rsidR="000E5512" w:rsidRPr="005B5ADE">
        <w:rPr>
          <w:rFonts w:ascii="Times New Roman" w:hAnsi="Times New Roman"/>
        </w:rPr>
        <w:t>, who had committed the offending</w:t>
      </w:r>
      <w:r w:rsidR="00B47311" w:rsidRPr="005B5ADE">
        <w:rPr>
          <w:rFonts w:ascii="Times New Roman" w:hAnsi="Times New Roman"/>
        </w:rPr>
        <w:t>"</w:t>
      </w:r>
      <w:r w:rsidR="003C09CF" w:rsidRPr="005B5ADE">
        <w:rPr>
          <w:rFonts w:ascii="Times New Roman" w:hAnsi="Times New Roman"/>
        </w:rPr>
        <w:t xml:space="preserve"> (emphasis added).</w:t>
      </w:r>
      <w:r w:rsidR="00221853" w:rsidRPr="005B5ADE">
        <w:rPr>
          <w:rStyle w:val="FootnoteReference"/>
          <w:rFonts w:ascii="Times New Roman" w:hAnsi="Times New Roman"/>
          <w:sz w:val="24"/>
        </w:rPr>
        <w:footnoteReference w:id="49"/>
      </w:r>
      <w:r w:rsidR="00B47311" w:rsidRPr="005B5ADE">
        <w:rPr>
          <w:rFonts w:ascii="Times New Roman" w:hAnsi="Times New Roman"/>
        </w:rPr>
        <w:t xml:space="preserve"> The Court of Appeal stated that, rather than narrowing the focus to any one member of the Sudanese community, including </w:t>
      </w:r>
      <w:r w:rsidR="00261308" w:rsidRPr="005B5ADE">
        <w:rPr>
          <w:rFonts w:ascii="Times New Roman" w:hAnsi="Times New Roman"/>
        </w:rPr>
        <w:t>X</w:t>
      </w:r>
      <w:r w:rsidR="00B47311" w:rsidRPr="005B5ADE">
        <w:rPr>
          <w:rFonts w:ascii="Times New Roman" w:hAnsi="Times New Roman"/>
        </w:rPr>
        <w:t xml:space="preserve">, </w:t>
      </w:r>
      <w:r w:rsidR="00137B3A" w:rsidRPr="005B5ADE">
        <w:rPr>
          <w:rFonts w:ascii="Times New Roman" w:hAnsi="Times New Roman"/>
        </w:rPr>
        <w:t>the appellant's trial counsel</w:t>
      </w:r>
      <w:r w:rsidR="002D0C4D" w:rsidRPr="005B5ADE">
        <w:rPr>
          <w:rFonts w:ascii="Times New Roman" w:hAnsi="Times New Roman"/>
        </w:rPr>
        <w:t xml:space="preserve"> had</w:t>
      </w:r>
      <w:r w:rsidR="00137B3A" w:rsidRPr="005B5ADE">
        <w:rPr>
          <w:rFonts w:ascii="Times New Roman" w:hAnsi="Times New Roman"/>
        </w:rPr>
        <w:t xml:space="preserve"> adopted </w:t>
      </w:r>
      <w:r w:rsidR="00B47311" w:rsidRPr="005B5ADE">
        <w:rPr>
          <w:rFonts w:ascii="Times New Roman" w:hAnsi="Times New Roman"/>
        </w:rPr>
        <w:t>this approach because</w:t>
      </w:r>
      <w:r w:rsidR="006A2D8B" w:rsidRPr="005B5ADE">
        <w:rPr>
          <w:rFonts w:ascii="Times New Roman" w:hAnsi="Times New Roman"/>
        </w:rPr>
        <w:t xml:space="preserve"> the complainant's</w:t>
      </w:r>
      <w:r w:rsidR="00B47311" w:rsidRPr="005B5ADE">
        <w:rPr>
          <w:rFonts w:ascii="Times New Roman" w:hAnsi="Times New Roman"/>
        </w:rPr>
        <w:t xml:space="preserve"> account was specific to the appellant and </w:t>
      </w:r>
      <w:r w:rsidR="006A2D8B" w:rsidRPr="005B5ADE">
        <w:rPr>
          <w:rFonts w:ascii="Times New Roman" w:hAnsi="Times New Roman"/>
        </w:rPr>
        <w:t xml:space="preserve">to </w:t>
      </w:r>
      <w:r w:rsidR="00B47311" w:rsidRPr="005B5ADE">
        <w:rPr>
          <w:rFonts w:ascii="Times New Roman" w:hAnsi="Times New Roman"/>
        </w:rPr>
        <w:lastRenderedPageBreak/>
        <w:t xml:space="preserve">those places the appellant attended </w:t>
      </w:r>
      <w:r w:rsidR="006A2D8B" w:rsidRPr="005B5ADE">
        <w:rPr>
          <w:rFonts w:ascii="Times New Roman" w:hAnsi="Times New Roman"/>
        </w:rPr>
        <w:t>(</w:t>
      </w:r>
      <w:proofErr w:type="spellStart"/>
      <w:r w:rsidR="006A2D8B" w:rsidRPr="005B5ADE">
        <w:rPr>
          <w:rFonts w:ascii="Times New Roman" w:hAnsi="Times New Roman"/>
        </w:rPr>
        <w:t>ie</w:t>
      </w:r>
      <w:proofErr w:type="spellEnd"/>
      <w:r w:rsidR="006A2D8B" w:rsidRPr="005B5ADE">
        <w:rPr>
          <w:rFonts w:ascii="Times New Roman" w:hAnsi="Times New Roman"/>
        </w:rPr>
        <w:t xml:space="preserve">, </w:t>
      </w:r>
      <w:r w:rsidR="00B47311" w:rsidRPr="005B5ADE">
        <w:rPr>
          <w:rFonts w:ascii="Times New Roman" w:hAnsi="Times New Roman"/>
        </w:rPr>
        <w:t>the birthday party and his own bedroom</w:t>
      </w:r>
      <w:r w:rsidR="006A2D8B" w:rsidRPr="005B5ADE">
        <w:rPr>
          <w:rFonts w:ascii="Times New Roman" w:hAnsi="Times New Roman"/>
        </w:rPr>
        <w:t>)</w:t>
      </w:r>
      <w:r w:rsidR="00B47311" w:rsidRPr="005B5ADE">
        <w:rPr>
          <w:rFonts w:ascii="Times New Roman" w:hAnsi="Times New Roman"/>
        </w:rPr>
        <w:t>.</w:t>
      </w:r>
      <w:r w:rsidR="006A2D8B" w:rsidRPr="005B5ADE">
        <w:rPr>
          <w:rStyle w:val="FootnoteReference"/>
          <w:rFonts w:ascii="Times New Roman" w:hAnsi="Times New Roman"/>
          <w:sz w:val="24"/>
        </w:rPr>
        <w:footnoteReference w:id="50"/>
      </w:r>
      <w:r w:rsidR="00B47311" w:rsidRPr="005B5ADE">
        <w:rPr>
          <w:rFonts w:ascii="Times New Roman" w:hAnsi="Times New Roman"/>
        </w:rPr>
        <w:t xml:space="preserve"> The Court of Appeal observed that it would not have been credible to substitute another male as the </w:t>
      </w:r>
      <w:r w:rsidR="00DF04B4" w:rsidRPr="005B5ADE">
        <w:rPr>
          <w:rFonts w:ascii="Times New Roman" w:hAnsi="Times New Roman"/>
        </w:rPr>
        <w:t>perpetrator</w:t>
      </w:r>
      <w:r w:rsidR="00B47311" w:rsidRPr="005B5ADE">
        <w:rPr>
          <w:rFonts w:ascii="Times New Roman" w:hAnsi="Times New Roman"/>
        </w:rPr>
        <w:t xml:space="preserve"> because, for example, it </w:t>
      </w:r>
      <w:r w:rsidR="00C623A5" w:rsidRPr="005B5ADE">
        <w:rPr>
          <w:rFonts w:ascii="Times New Roman" w:hAnsi="Times New Roman"/>
        </w:rPr>
        <w:t xml:space="preserve">would not have been credible to suggest </w:t>
      </w:r>
      <w:r w:rsidR="00B47311" w:rsidRPr="005B5ADE">
        <w:rPr>
          <w:rFonts w:ascii="Times New Roman" w:hAnsi="Times New Roman"/>
        </w:rPr>
        <w:t>that another male abused</w:t>
      </w:r>
      <w:r w:rsidR="00B9291D" w:rsidRPr="005B5ADE">
        <w:rPr>
          <w:rFonts w:ascii="Times New Roman" w:hAnsi="Times New Roman"/>
        </w:rPr>
        <w:t xml:space="preserve"> the complainant</w:t>
      </w:r>
      <w:r w:rsidR="00B47311" w:rsidRPr="005B5ADE">
        <w:rPr>
          <w:rFonts w:ascii="Times New Roman" w:hAnsi="Times New Roman"/>
        </w:rPr>
        <w:t xml:space="preserve"> in the appellant's bedroom.</w:t>
      </w:r>
      <w:r w:rsidR="006A2D8B" w:rsidRPr="005B5ADE">
        <w:rPr>
          <w:rStyle w:val="FootnoteReference"/>
          <w:rFonts w:ascii="Times New Roman" w:hAnsi="Times New Roman"/>
          <w:sz w:val="24"/>
        </w:rPr>
        <w:footnoteReference w:id="51"/>
      </w:r>
      <w:r w:rsidR="00B47311" w:rsidRPr="005B5ADE">
        <w:rPr>
          <w:rFonts w:ascii="Times New Roman" w:hAnsi="Times New Roman"/>
        </w:rPr>
        <w:t xml:space="preserve"> </w:t>
      </w:r>
    </w:p>
    <w:p w14:paraId="3A048619" w14:textId="629DD1B4"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D262E9" w:rsidRPr="005B5ADE">
        <w:rPr>
          <w:rFonts w:ascii="Times New Roman" w:hAnsi="Times New Roman"/>
        </w:rPr>
        <w:t>However, t</w:t>
      </w:r>
      <w:r w:rsidR="00B47311" w:rsidRPr="005B5ADE">
        <w:rPr>
          <w:rFonts w:ascii="Times New Roman" w:hAnsi="Times New Roman"/>
        </w:rPr>
        <w:t xml:space="preserve">he Court of Appeal mischaracterised the defence case. It is correct that the defence did not seek to identify any specific male as the </w:t>
      </w:r>
      <w:r w:rsidR="00DF04B4" w:rsidRPr="005B5ADE">
        <w:rPr>
          <w:rFonts w:ascii="Times New Roman" w:hAnsi="Times New Roman"/>
        </w:rPr>
        <w:t>perpetrator</w:t>
      </w:r>
      <w:r w:rsidR="00B47311" w:rsidRPr="005B5ADE">
        <w:rPr>
          <w:rFonts w:ascii="Times New Roman" w:hAnsi="Times New Roman"/>
        </w:rPr>
        <w:t xml:space="preserve"> beyond someone who could be characterised as </w:t>
      </w:r>
      <w:r w:rsidR="00FC3C25" w:rsidRPr="005B5ADE">
        <w:rPr>
          <w:rFonts w:ascii="Times New Roman" w:hAnsi="Times New Roman"/>
        </w:rPr>
        <w:t>the complainant's</w:t>
      </w:r>
      <w:r w:rsidR="00B47311" w:rsidRPr="005B5ADE">
        <w:rPr>
          <w:rFonts w:ascii="Times New Roman" w:hAnsi="Times New Roman"/>
        </w:rPr>
        <w:t xml:space="preserve"> "uncle". However, the defence case focussed on a single alternative </w:t>
      </w:r>
      <w:r w:rsidR="00396F31" w:rsidRPr="005B5ADE">
        <w:rPr>
          <w:rFonts w:ascii="Times New Roman" w:hAnsi="Times New Roman"/>
        </w:rPr>
        <w:t>perpetrator</w:t>
      </w:r>
      <w:r w:rsidR="00B47311" w:rsidRPr="005B5ADE">
        <w:rPr>
          <w:rFonts w:ascii="Times New Roman" w:hAnsi="Times New Roman"/>
        </w:rPr>
        <w:t xml:space="preserve"> and did not raise the possibility of multiple </w:t>
      </w:r>
      <w:r w:rsidR="00396F31" w:rsidRPr="005B5ADE">
        <w:rPr>
          <w:rFonts w:ascii="Times New Roman" w:hAnsi="Times New Roman"/>
        </w:rPr>
        <w:t>perpetrator</w:t>
      </w:r>
      <w:r w:rsidR="00B47311" w:rsidRPr="005B5ADE">
        <w:rPr>
          <w:rFonts w:ascii="Times New Roman" w:hAnsi="Times New Roman"/>
        </w:rPr>
        <w:t xml:space="preserve">s. </w:t>
      </w:r>
      <w:r w:rsidRPr="005B5ADE">
        <w:rPr>
          <w:rFonts w:ascii="Times New Roman" w:hAnsi="Times New Roman"/>
        </w:rPr>
        <w:t>Thus,</w:t>
      </w:r>
      <w:r w:rsidR="00B47311" w:rsidRPr="005B5ADE">
        <w:rPr>
          <w:rFonts w:ascii="Times New Roman" w:hAnsi="Times New Roman"/>
        </w:rPr>
        <w:t xml:space="preserve"> it was submitted to the jury that "some other </w:t>
      </w:r>
      <w:r w:rsidR="00512D83" w:rsidRPr="005B5ADE">
        <w:rPr>
          <w:rFonts w:ascii="Times New Roman" w:hAnsi="Times New Roman"/>
        </w:rPr>
        <w:t>'</w:t>
      </w:r>
      <w:r w:rsidR="00B47311" w:rsidRPr="005B5ADE">
        <w:rPr>
          <w:rFonts w:ascii="Times New Roman" w:hAnsi="Times New Roman"/>
        </w:rPr>
        <w:t>uncle</w:t>
      </w:r>
      <w:r w:rsidR="00512D83" w:rsidRPr="005B5ADE">
        <w:rPr>
          <w:rFonts w:ascii="Times New Roman" w:hAnsi="Times New Roman"/>
        </w:rPr>
        <w:t>'</w:t>
      </w:r>
      <w:r w:rsidR="00B47311" w:rsidRPr="005B5ADE">
        <w:rPr>
          <w:rFonts w:ascii="Times New Roman" w:hAnsi="Times New Roman"/>
        </w:rPr>
        <w:t>" was the perpetrator</w:t>
      </w:r>
      <w:r w:rsidR="00806AD9" w:rsidRPr="005B5ADE">
        <w:rPr>
          <w:rFonts w:ascii="Times New Roman" w:hAnsi="Times New Roman"/>
        </w:rPr>
        <w:t>,</w:t>
      </w:r>
      <w:r w:rsidR="00B47311" w:rsidRPr="005B5ADE">
        <w:rPr>
          <w:rFonts w:ascii="Times New Roman" w:hAnsi="Times New Roman"/>
        </w:rPr>
        <w:t xml:space="preserve"> being "that man" </w:t>
      </w:r>
      <w:r w:rsidR="00D262E9" w:rsidRPr="005B5ADE">
        <w:rPr>
          <w:rFonts w:ascii="Times New Roman" w:hAnsi="Times New Roman"/>
        </w:rPr>
        <w:t xml:space="preserve">that </w:t>
      </w:r>
      <w:r w:rsidR="00090793" w:rsidRPr="005B5ADE">
        <w:rPr>
          <w:rFonts w:ascii="Times New Roman" w:hAnsi="Times New Roman"/>
        </w:rPr>
        <w:t xml:space="preserve">the complainant had decided to keep </w:t>
      </w:r>
      <w:r w:rsidR="00B47311" w:rsidRPr="005B5ADE">
        <w:rPr>
          <w:rFonts w:ascii="Times New Roman" w:hAnsi="Times New Roman"/>
        </w:rPr>
        <w:t xml:space="preserve">silent about. The defence case sought to confront </w:t>
      </w:r>
      <w:r w:rsidR="002E324E" w:rsidRPr="005B5ADE">
        <w:rPr>
          <w:rFonts w:ascii="Times New Roman" w:hAnsi="Times New Roman"/>
        </w:rPr>
        <w:t>the complainant's</w:t>
      </w:r>
      <w:r w:rsidR="00B47311" w:rsidRPr="005B5ADE">
        <w:rPr>
          <w:rFonts w:ascii="Times New Roman" w:hAnsi="Times New Roman"/>
        </w:rPr>
        <w:t xml:space="preserve"> account that </w:t>
      </w:r>
      <w:r w:rsidR="00857EDE" w:rsidRPr="005B5ADE">
        <w:rPr>
          <w:rFonts w:ascii="Times New Roman" w:hAnsi="Times New Roman"/>
        </w:rPr>
        <w:t>instances of</w:t>
      </w:r>
      <w:r w:rsidR="00396F31" w:rsidRPr="005B5ADE">
        <w:rPr>
          <w:rFonts w:ascii="Times New Roman" w:hAnsi="Times New Roman"/>
        </w:rPr>
        <w:t xml:space="preserve"> sexual abuse</w:t>
      </w:r>
      <w:r w:rsidR="00B47311" w:rsidRPr="005B5ADE">
        <w:rPr>
          <w:rFonts w:ascii="Times New Roman" w:hAnsi="Times New Roman"/>
        </w:rPr>
        <w:t xml:space="preserve"> were committed in the appellant's bedroom and other locations such as the birthday party by suggesting that </w:t>
      </w:r>
      <w:r w:rsidR="002E324E" w:rsidRPr="005B5ADE">
        <w:rPr>
          <w:rFonts w:ascii="Times New Roman" w:hAnsi="Times New Roman"/>
        </w:rPr>
        <w:t>the complainant</w:t>
      </w:r>
      <w:r w:rsidR="00B47311" w:rsidRPr="005B5ADE">
        <w:rPr>
          <w:rFonts w:ascii="Times New Roman" w:hAnsi="Times New Roman"/>
        </w:rPr>
        <w:t xml:space="preserve"> was either lying or mistaken about the appellant being the </w:t>
      </w:r>
      <w:r w:rsidR="00471648" w:rsidRPr="005B5ADE">
        <w:rPr>
          <w:rFonts w:ascii="Times New Roman" w:hAnsi="Times New Roman"/>
        </w:rPr>
        <w:t>perpetrator</w:t>
      </w:r>
      <w:r w:rsidR="00341941" w:rsidRPr="005B5ADE">
        <w:rPr>
          <w:rFonts w:ascii="Times New Roman" w:hAnsi="Times New Roman"/>
        </w:rPr>
        <w:t>,</w:t>
      </w:r>
      <w:r w:rsidR="00B47311" w:rsidRPr="005B5ADE">
        <w:rPr>
          <w:rFonts w:ascii="Times New Roman" w:hAnsi="Times New Roman"/>
        </w:rPr>
        <w:t xml:space="preserve"> </w:t>
      </w:r>
      <w:r w:rsidR="00341941" w:rsidRPr="005B5ADE">
        <w:rPr>
          <w:rFonts w:ascii="Times New Roman" w:hAnsi="Times New Roman"/>
        </w:rPr>
        <w:t xml:space="preserve">was either lying or mistaken </w:t>
      </w:r>
      <w:r w:rsidR="00B47311" w:rsidRPr="005B5ADE">
        <w:rPr>
          <w:rFonts w:ascii="Times New Roman" w:hAnsi="Times New Roman"/>
        </w:rPr>
        <w:t xml:space="preserve">that any abuse took place in his </w:t>
      </w:r>
      <w:proofErr w:type="gramStart"/>
      <w:r w:rsidR="00B47311" w:rsidRPr="005B5ADE">
        <w:rPr>
          <w:rFonts w:ascii="Times New Roman" w:hAnsi="Times New Roman"/>
        </w:rPr>
        <w:t>bedroom</w:t>
      </w:r>
      <w:r w:rsidR="00341941" w:rsidRPr="005B5ADE">
        <w:rPr>
          <w:rFonts w:ascii="Times New Roman" w:hAnsi="Times New Roman"/>
        </w:rPr>
        <w:t>,</w:t>
      </w:r>
      <w:r w:rsidR="009818DB" w:rsidRPr="005B5ADE">
        <w:rPr>
          <w:rFonts w:ascii="Times New Roman" w:hAnsi="Times New Roman"/>
        </w:rPr>
        <w:t xml:space="preserve"> and</w:t>
      </w:r>
      <w:proofErr w:type="gramEnd"/>
      <w:r w:rsidR="009818DB" w:rsidRPr="005B5ADE">
        <w:rPr>
          <w:rFonts w:ascii="Times New Roman" w:hAnsi="Times New Roman"/>
        </w:rPr>
        <w:t xml:space="preserve"> was otherwise unreliable</w:t>
      </w:r>
      <w:r w:rsidR="00B47311" w:rsidRPr="005B5ADE">
        <w:rPr>
          <w:rFonts w:ascii="Times New Roman" w:hAnsi="Times New Roman"/>
        </w:rPr>
        <w:t xml:space="preserve">. The defence case that there was an alternative </w:t>
      </w:r>
      <w:r w:rsidR="00321598" w:rsidRPr="005B5ADE">
        <w:rPr>
          <w:rFonts w:ascii="Times New Roman" w:hAnsi="Times New Roman"/>
        </w:rPr>
        <w:t>perpetrator</w:t>
      </w:r>
      <w:r w:rsidR="00B47311" w:rsidRPr="005B5ADE">
        <w:rPr>
          <w:rFonts w:ascii="Times New Roman" w:hAnsi="Times New Roman"/>
        </w:rPr>
        <w:t xml:space="preserve"> may have been enhanced if </w:t>
      </w:r>
      <w:r w:rsidR="0024174C" w:rsidRPr="005B5ADE">
        <w:rPr>
          <w:rFonts w:ascii="Times New Roman" w:hAnsi="Times New Roman"/>
        </w:rPr>
        <w:t xml:space="preserve">the appellant's trial counsel </w:t>
      </w:r>
      <w:r w:rsidR="003140AA" w:rsidRPr="005B5ADE">
        <w:rPr>
          <w:rFonts w:ascii="Times New Roman" w:hAnsi="Times New Roman"/>
        </w:rPr>
        <w:t>had</w:t>
      </w:r>
      <w:r w:rsidR="00B47311" w:rsidRPr="005B5ADE">
        <w:rPr>
          <w:rFonts w:ascii="Times New Roman" w:hAnsi="Times New Roman"/>
        </w:rPr>
        <w:t xml:space="preserve"> directed </w:t>
      </w:r>
      <w:r w:rsidR="0024174C" w:rsidRPr="005B5ADE">
        <w:rPr>
          <w:rFonts w:ascii="Times New Roman" w:hAnsi="Times New Roman"/>
        </w:rPr>
        <w:t xml:space="preserve">the jury's </w:t>
      </w:r>
      <w:r w:rsidR="00B47311" w:rsidRPr="005B5ADE">
        <w:rPr>
          <w:rFonts w:ascii="Times New Roman" w:hAnsi="Times New Roman"/>
        </w:rPr>
        <w:t xml:space="preserve">attention toward a particular "uncle" </w:t>
      </w:r>
      <w:r w:rsidR="00642996" w:rsidRPr="005B5ADE">
        <w:rPr>
          <w:rFonts w:ascii="Times New Roman" w:hAnsi="Times New Roman"/>
        </w:rPr>
        <w:t>(</w:t>
      </w:r>
      <w:proofErr w:type="spellStart"/>
      <w:r w:rsidR="00642996" w:rsidRPr="005B5ADE">
        <w:rPr>
          <w:rFonts w:ascii="Times New Roman" w:hAnsi="Times New Roman"/>
        </w:rPr>
        <w:t>ie</w:t>
      </w:r>
      <w:proofErr w:type="spellEnd"/>
      <w:r w:rsidR="00642996" w:rsidRPr="005B5ADE">
        <w:rPr>
          <w:rFonts w:ascii="Times New Roman" w:hAnsi="Times New Roman"/>
        </w:rPr>
        <w:t xml:space="preserve">, X) </w:t>
      </w:r>
      <w:r w:rsidR="00B47311" w:rsidRPr="005B5ADE">
        <w:rPr>
          <w:rFonts w:ascii="Times New Roman" w:hAnsi="Times New Roman"/>
        </w:rPr>
        <w:t xml:space="preserve">who was likely to have had a reasonable level of contact with </w:t>
      </w:r>
      <w:r w:rsidR="0024174C" w:rsidRPr="005B5ADE">
        <w:rPr>
          <w:rFonts w:ascii="Times New Roman" w:hAnsi="Times New Roman"/>
        </w:rPr>
        <w:t>the complainant</w:t>
      </w:r>
      <w:r w:rsidR="00B47311" w:rsidRPr="005B5ADE">
        <w:rPr>
          <w:rFonts w:ascii="Times New Roman" w:hAnsi="Times New Roman"/>
        </w:rPr>
        <w:t xml:space="preserve"> over the relevant period in similar if not the same locations as </w:t>
      </w:r>
      <w:r w:rsidR="00642996" w:rsidRPr="005B5ADE">
        <w:rPr>
          <w:rFonts w:ascii="Times New Roman" w:hAnsi="Times New Roman"/>
        </w:rPr>
        <w:t xml:space="preserve">the complainant </w:t>
      </w:r>
      <w:r w:rsidR="00B47311" w:rsidRPr="005B5ADE">
        <w:rPr>
          <w:rFonts w:ascii="Times New Roman" w:hAnsi="Times New Roman"/>
        </w:rPr>
        <w:t xml:space="preserve">said the </w:t>
      </w:r>
      <w:r w:rsidR="008828E3" w:rsidRPr="005B5ADE">
        <w:rPr>
          <w:rFonts w:ascii="Times New Roman" w:hAnsi="Times New Roman"/>
        </w:rPr>
        <w:t>sexual abuse</w:t>
      </w:r>
      <w:r w:rsidR="00B47311" w:rsidRPr="005B5ADE">
        <w:rPr>
          <w:rFonts w:ascii="Times New Roman" w:hAnsi="Times New Roman"/>
        </w:rPr>
        <w:t xml:space="preserve"> took place</w:t>
      </w:r>
      <w:r w:rsidR="00642996" w:rsidRPr="005B5ADE">
        <w:rPr>
          <w:rFonts w:ascii="Times New Roman" w:hAnsi="Times New Roman"/>
        </w:rPr>
        <w:t>.</w:t>
      </w:r>
    </w:p>
    <w:p w14:paraId="5A993264" w14:textId="586587D3"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w:t>
      </w:r>
      <w:r w:rsidRPr="005B5ADE">
        <w:rPr>
          <w:rFonts w:ascii="Times New Roman" w:hAnsi="Times New Roman"/>
        </w:rPr>
        <w:t>r</w:t>
      </w:r>
      <w:r w:rsidR="00B47311" w:rsidRPr="005B5ADE">
        <w:rPr>
          <w:rFonts w:ascii="Times New Roman" w:hAnsi="Times New Roman"/>
        </w:rPr>
        <w:t xml:space="preserve">espondent contended that the absence of disclosure was immaterial </w:t>
      </w:r>
      <w:r w:rsidR="00DC10F8" w:rsidRPr="005B5ADE">
        <w:rPr>
          <w:rFonts w:ascii="Times New Roman" w:hAnsi="Times New Roman"/>
        </w:rPr>
        <w:t>as</w:t>
      </w:r>
      <w:r w:rsidR="00B47311" w:rsidRPr="005B5ADE">
        <w:rPr>
          <w:rFonts w:ascii="Times New Roman" w:hAnsi="Times New Roman"/>
        </w:rPr>
        <w:t xml:space="preserve"> the defence case included the possibility that </w:t>
      </w:r>
      <w:r w:rsidR="00D039BE" w:rsidRPr="005B5ADE">
        <w:rPr>
          <w:rFonts w:ascii="Times New Roman" w:hAnsi="Times New Roman"/>
        </w:rPr>
        <w:t>X</w:t>
      </w:r>
      <w:r w:rsidR="00B47311" w:rsidRPr="005B5ADE">
        <w:rPr>
          <w:rFonts w:ascii="Times New Roman" w:hAnsi="Times New Roman"/>
        </w:rPr>
        <w:t xml:space="preserve"> was one of </w:t>
      </w:r>
      <w:r w:rsidR="00BB215D" w:rsidRPr="005B5ADE">
        <w:rPr>
          <w:rFonts w:ascii="Times New Roman" w:hAnsi="Times New Roman"/>
        </w:rPr>
        <w:t xml:space="preserve">the </w:t>
      </w:r>
      <w:r w:rsidR="00B228EB" w:rsidRPr="005B5ADE">
        <w:rPr>
          <w:rFonts w:ascii="Times New Roman" w:hAnsi="Times New Roman"/>
        </w:rPr>
        <w:t>"</w:t>
      </w:r>
      <w:r w:rsidR="00E86E49" w:rsidRPr="005B5ADE">
        <w:rPr>
          <w:rFonts w:ascii="Times New Roman" w:hAnsi="Times New Roman"/>
        </w:rPr>
        <w:t>uncles</w:t>
      </w:r>
      <w:r w:rsidR="00B228EB" w:rsidRPr="005B5ADE">
        <w:rPr>
          <w:rFonts w:ascii="Times New Roman" w:hAnsi="Times New Roman"/>
        </w:rPr>
        <w:t>"</w:t>
      </w:r>
      <w:r w:rsidR="00B47311" w:rsidRPr="005B5ADE">
        <w:rPr>
          <w:rFonts w:ascii="Times New Roman" w:hAnsi="Times New Roman"/>
        </w:rPr>
        <w:t xml:space="preserve"> she complained about. The </w:t>
      </w:r>
      <w:r w:rsidRPr="005B5ADE">
        <w:rPr>
          <w:rFonts w:ascii="Times New Roman" w:hAnsi="Times New Roman"/>
        </w:rPr>
        <w:t>r</w:t>
      </w:r>
      <w:r w:rsidR="00B47311" w:rsidRPr="005B5ADE">
        <w:rPr>
          <w:rFonts w:ascii="Times New Roman" w:hAnsi="Times New Roman"/>
        </w:rPr>
        <w:t xml:space="preserve">espondent pointed to evidence of </w:t>
      </w:r>
      <w:r w:rsidR="00DE5974" w:rsidRPr="005B5ADE">
        <w:rPr>
          <w:rFonts w:ascii="Times New Roman" w:hAnsi="Times New Roman"/>
        </w:rPr>
        <w:t>the complainant</w:t>
      </w:r>
      <w:r w:rsidR="00B47311" w:rsidRPr="005B5ADE">
        <w:rPr>
          <w:rFonts w:ascii="Times New Roman" w:hAnsi="Times New Roman"/>
        </w:rPr>
        <w:t>, adduced in chief and in cross</w:t>
      </w:r>
      <w:r w:rsidRPr="005B5ADE">
        <w:rPr>
          <w:rFonts w:ascii="Times New Roman" w:hAnsi="Times New Roman"/>
        </w:rPr>
        <w:noBreakHyphen/>
      </w:r>
      <w:r w:rsidR="00B47311" w:rsidRPr="005B5ADE">
        <w:rPr>
          <w:rFonts w:ascii="Times New Roman" w:hAnsi="Times New Roman"/>
        </w:rPr>
        <w:t xml:space="preserve">examination, </w:t>
      </w:r>
      <w:r w:rsidR="00DE5974" w:rsidRPr="005B5ADE">
        <w:rPr>
          <w:rFonts w:ascii="Times New Roman" w:hAnsi="Times New Roman"/>
        </w:rPr>
        <w:t xml:space="preserve">that placed X </w:t>
      </w:r>
      <w:r w:rsidR="00B47311" w:rsidRPr="005B5ADE">
        <w:rPr>
          <w:rFonts w:ascii="Times New Roman" w:hAnsi="Times New Roman"/>
        </w:rPr>
        <w:t xml:space="preserve">in </w:t>
      </w:r>
      <w:r w:rsidR="00DF6127" w:rsidRPr="005B5ADE">
        <w:rPr>
          <w:rFonts w:ascii="Times New Roman" w:hAnsi="Times New Roman"/>
        </w:rPr>
        <w:t xml:space="preserve">the complainant's </w:t>
      </w:r>
      <w:r w:rsidR="00B47311" w:rsidRPr="005B5ADE">
        <w:rPr>
          <w:rFonts w:ascii="Times New Roman" w:hAnsi="Times New Roman"/>
        </w:rPr>
        <w:t>home for part of the period of the offen</w:t>
      </w:r>
      <w:r w:rsidR="005058C8" w:rsidRPr="005B5ADE">
        <w:rPr>
          <w:rFonts w:ascii="Times New Roman" w:hAnsi="Times New Roman"/>
        </w:rPr>
        <w:t>ce</w:t>
      </w:r>
      <w:r w:rsidR="00B47311" w:rsidRPr="005B5ADE">
        <w:rPr>
          <w:rFonts w:ascii="Times New Roman" w:hAnsi="Times New Roman"/>
        </w:rPr>
        <w:t xml:space="preserve"> (and the period of the "uncharged acts</w:t>
      </w:r>
      <w:r w:rsidR="003D3F92" w:rsidRPr="005B5ADE">
        <w:rPr>
          <w:rFonts w:ascii="Times New Roman" w:hAnsi="Times New Roman"/>
        </w:rPr>
        <w:t>"</w:t>
      </w:r>
      <w:r w:rsidR="00B47311" w:rsidRPr="005B5ADE">
        <w:rPr>
          <w:rFonts w:ascii="Times New Roman" w:hAnsi="Times New Roman"/>
        </w:rPr>
        <w:t xml:space="preserve">) </w:t>
      </w:r>
      <w:proofErr w:type="gramStart"/>
      <w:r w:rsidR="00B47311" w:rsidRPr="005B5ADE">
        <w:rPr>
          <w:rFonts w:ascii="Times New Roman" w:hAnsi="Times New Roman"/>
        </w:rPr>
        <w:t>and also</w:t>
      </w:r>
      <w:proofErr w:type="gramEnd"/>
      <w:r w:rsidR="00B47311" w:rsidRPr="005B5ADE">
        <w:rPr>
          <w:rFonts w:ascii="Times New Roman" w:hAnsi="Times New Roman"/>
        </w:rPr>
        <w:t xml:space="preserve"> </w:t>
      </w:r>
      <w:r w:rsidR="00302861" w:rsidRPr="005B5ADE">
        <w:rPr>
          <w:rFonts w:ascii="Times New Roman" w:hAnsi="Times New Roman"/>
        </w:rPr>
        <w:t xml:space="preserve">at </w:t>
      </w:r>
      <w:r w:rsidR="00B47311" w:rsidRPr="005B5ADE">
        <w:rPr>
          <w:rFonts w:ascii="Times New Roman" w:hAnsi="Times New Roman"/>
        </w:rPr>
        <w:t xml:space="preserve">the birthday party. The </w:t>
      </w:r>
      <w:r w:rsidRPr="005B5ADE">
        <w:rPr>
          <w:rFonts w:ascii="Times New Roman" w:hAnsi="Times New Roman"/>
        </w:rPr>
        <w:t>r</w:t>
      </w:r>
      <w:r w:rsidR="00B47311" w:rsidRPr="005B5ADE">
        <w:rPr>
          <w:rFonts w:ascii="Times New Roman" w:hAnsi="Times New Roman"/>
        </w:rPr>
        <w:t xml:space="preserve">espondent contended that the appellant's </w:t>
      </w:r>
      <w:r w:rsidR="00B82E1A" w:rsidRPr="005B5ADE">
        <w:rPr>
          <w:rFonts w:ascii="Times New Roman" w:hAnsi="Times New Roman"/>
        </w:rPr>
        <w:t xml:space="preserve">trial </w:t>
      </w:r>
      <w:r w:rsidRPr="005B5ADE">
        <w:rPr>
          <w:rFonts w:ascii="Times New Roman" w:hAnsi="Times New Roman"/>
        </w:rPr>
        <w:t>c</w:t>
      </w:r>
      <w:r w:rsidR="00B47311" w:rsidRPr="005B5ADE">
        <w:rPr>
          <w:rFonts w:ascii="Times New Roman" w:hAnsi="Times New Roman"/>
        </w:rPr>
        <w:t xml:space="preserve">ounsel was not restrained in nominating </w:t>
      </w:r>
      <w:r w:rsidR="00B82E1A" w:rsidRPr="005B5ADE">
        <w:rPr>
          <w:rFonts w:ascii="Times New Roman" w:hAnsi="Times New Roman"/>
        </w:rPr>
        <w:t>X</w:t>
      </w:r>
      <w:r w:rsidR="00B47311" w:rsidRPr="005B5ADE">
        <w:rPr>
          <w:rFonts w:ascii="Times New Roman" w:hAnsi="Times New Roman"/>
        </w:rPr>
        <w:t xml:space="preserve"> as </w:t>
      </w:r>
      <w:r w:rsidR="00AD01C0" w:rsidRPr="005B5ADE">
        <w:rPr>
          <w:rFonts w:ascii="Times New Roman" w:hAnsi="Times New Roman"/>
        </w:rPr>
        <w:t>the</w:t>
      </w:r>
      <w:r w:rsidR="00E40083" w:rsidRPr="005B5ADE">
        <w:rPr>
          <w:rFonts w:ascii="Times New Roman" w:hAnsi="Times New Roman"/>
        </w:rPr>
        <w:t xml:space="preserve"> perpetrator</w:t>
      </w:r>
      <w:r w:rsidR="00B47311" w:rsidRPr="005B5ADE">
        <w:rPr>
          <w:rFonts w:ascii="Times New Roman" w:hAnsi="Times New Roman"/>
        </w:rPr>
        <w:t xml:space="preserve"> </w:t>
      </w:r>
      <w:r w:rsidRPr="005B5ADE">
        <w:rPr>
          <w:rFonts w:ascii="Times New Roman" w:hAnsi="Times New Roman"/>
        </w:rPr>
        <w:t>because</w:t>
      </w:r>
      <w:r w:rsidR="00B47311" w:rsidRPr="005B5ADE">
        <w:rPr>
          <w:rFonts w:ascii="Times New Roman" w:hAnsi="Times New Roman"/>
        </w:rPr>
        <w:t xml:space="preserve"> that</w:t>
      </w:r>
      <w:r w:rsidR="00E85820" w:rsidRPr="005B5ADE">
        <w:rPr>
          <w:rFonts w:ascii="Times New Roman" w:hAnsi="Times New Roman"/>
        </w:rPr>
        <w:t xml:space="preserve"> course </w:t>
      </w:r>
      <w:r w:rsidR="005D5E36" w:rsidRPr="005B5ADE">
        <w:rPr>
          <w:rFonts w:ascii="Times New Roman" w:hAnsi="Times New Roman"/>
        </w:rPr>
        <w:t xml:space="preserve">would have been </w:t>
      </w:r>
      <w:r w:rsidR="00B47311" w:rsidRPr="005B5ADE">
        <w:rPr>
          <w:rFonts w:ascii="Times New Roman" w:hAnsi="Times New Roman"/>
        </w:rPr>
        <w:t xml:space="preserve">justified by the evidence adduced about a complaint made by </w:t>
      </w:r>
      <w:r w:rsidR="005D5E36" w:rsidRPr="005B5ADE">
        <w:rPr>
          <w:rFonts w:ascii="Times New Roman" w:hAnsi="Times New Roman"/>
        </w:rPr>
        <w:t xml:space="preserve">the complainant </w:t>
      </w:r>
      <w:r w:rsidR="00B47311" w:rsidRPr="005B5ADE">
        <w:rPr>
          <w:rFonts w:ascii="Times New Roman" w:hAnsi="Times New Roman"/>
        </w:rPr>
        <w:t xml:space="preserve">against her </w:t>
      </w:r>
      <w:r w:rsidR="007E08A4" w:rsidRPr="005B5ADE">
        <w:rPr>
          <w:rFonts w:ascii="Times New Roman" w:hAnsi="Times New Roman"/>
        </w:rPr>
        <w:t>"</w:t>
      </w:r>
      <w:r w:rsidR="00B47311" w:rsidRPr="005B5ADE">
        <w:rPr>
          <w:rFonts w:ascii="Times New Roman" w:hAnsi="Times New Roman"/>
        </w:rPr>
        <w:t>uncle</w:t>
      </w:r>
      <w:r w:rsidR="007E08A4" w:rsidRPr="005B5ADE">
        <w:rPr>
          <w:rFonts w:ascii="Times New Roman" w:hAnsi="Times New Roman"/>
        </w:rPr>
        <w:t>"</w:t>
      </w:r>
      <w:r w:rsidRPr="005B5ADE">
        <w:rPr>
          <w:rFonts w:ascii="Times New Roman" w:hAnsi="Times New Roman"/>
        </w:rPr>
        <w:t>.</w:t>
      </w:r>
      <w:r w:rsidR="00B47311" w:rsidRPr="005B5ADE">
        <w:rPr>
          <w:rFonts w:ascii="Times New Roman" w:hAnsi="Times New Roman"/>
        </w:rPr>
        <w:t xml:space="preserve"> The respondent </w:t>
      </w:r>
      <w:r w:rsidR="00E85820" w:rsidRPr="005B5ADE">
        <w:rPr>
          <w:rFonts w:ascii="Times New Roman" w:hAnsi="Times New Roman"/>
        </w:rPr>
        <w:t xml:space="preserve">further </w:t>
      </w:r>
      <w:r w:rsidR="00B47311" w:rsidRPr="005B5ADE">
        <w:rPr>
          <w:rFonts w:ascii="Times New Roman" w:hAnsi="Times New Roman"/>
        </w:rPr>
        <w:t xml:space="preserve">contended that possession of the undisclosed material at the time of the trial would not have enhanced </w:t>
      </w:r>
      <w:r w:rsidR="005D5E36" w:rsidRPr="005B5ADE">
        <w:rPr>
          <w:rFonts w:ascii="Times New Roman" w:hAnsi="Times New Roman"/>
        </w:rPr>
        <w:t xml:space="preserve">trial </w:t>
      </w:r>
      <w:r w:rsidRPr="005B5ADE">
        <w:rPr>
          <w:rFonts w:ascii="Times New Roman" w:hAnsi="Times New Roman"/>
        </w:rPr>
        <w:t>c</w:t>
      </w:r>
      <w:r w:rsidR="00B47311" w:rsidRPr="005B5ADE">
        <w:rPr>
          <w:rFonts w:ascii="Times New Roman" w:hAnsi="Times New Roman"/>
        </w:rPr>
        <w:t xml:space="preserve">ounsel's capacity to demonstrate that it was </w:t>
      </w:r>
      <w:r w:rsidR="005B1D2B" w:rsidRPr="005B5ADE">
        <w:rPr>
          <w:rFonts w:ascii="Times New Roman" w:hAnsi="Times New Roman"/>
        </w:rPr>
        <w:t xml:space="preserve">X who was the </w:t>
      </w:r>
      <w:r w:rsidR="00E40083" w:rsidRPr="005B5ADE">
        <w:rPr>
          <w:rFonts w:ascii="Times New Roman" w:hAnsi="Times New Roman"/>
        </w:rPr>
        <w:t>perpetrator</w:t>
      </w:r>
      <w:r w:rsidR="00B47311" w:rsidRPr="005B5ADE">
        <w:rPr>
          <w:rFonts w:ascii="Times New Roman" w:hAnsi="Times New Roman"/>
        </w:rPr>
        <w:t xml:space="preserve">. </w:t>
      </w:r>
    </w:p>
    <w:p w14:paraId="422F00D7" w14:textId="535FA78E" w:rsidR="00B47311" w:rsidRPr="005B5ADE" w:rsidRDefault="00C2597C" w:rsidP="005B5ADE">
      <w:pPr>
        <w:pStyle w:val="FixListStyle"/>
        <w:spacing w:after="260" w:line="280" w:lineRule="exact"/>
        <w:ind w:right="0"/>
        <w:jc w:val="both"/>
        <w:rPr>
          <w:rFonts w:ascii="Times New Roman" w:hAnsi="Times New Roman"/>
        </w:rPr>
      </w:pPr>
      <w:r w:rsidRPr="005B5ADE">
        <w:rPr>
          <w:rFonts w:ascii="Times New Roman" w:hAnsi="Times New Roman"/>
        </w:rPr>
        <w:lastRenderedPageBreak/>
        <w:tab/>
      </w:r>
      <w:r w:rsidR="00B47311" w:rsidRPr="005B5ADE">
        <w:rPr>
          <w:rFonts w:ascii="Times New Roman" w:hAnsi="Times New Roman"/>
        </w:rPr>
        <w:t xml:space="preserve">It is doubtful that, without </w:t>
      </w:r>
      <w:r w:rsidR="00A73340" w:rsidRPr="005B5ADE">
        <w:rPr>
          <w:rFonts w:ascii="Times New Roman" w:hAnsi="Times New Roman"/>
        </w:rPr>
        <w:t>the undisclosed material</w:t>
      </w:r>
      <w:r w:rsidR="00B47311" w:rsidRPr="005B5ADE">
        <w:rPr>
          <w:rFonts w:ascii="Times New Roman" w:hAnsi="Times New Roman"/>
        </w:rPr>
        <w:t xml:space="preserve">, there was any proper basis for the appellant's trial counsel to have positively suggested that </w:t>
      </w:r>
      <w:r w:rsidR="001533EC" w:rsidRPr="005B5ADE">
        <w:rPr>
          <w:rFonts w:ascii="Times New Roman" w:hAnsi="Times New Roman"/>
        </w:rPr>
        <w:t>X may</w:t>
      </w:r>
      <w:r w:rsidR="00526564" w:rsidRPr="005B5ADE">
        <w:rPr>
          <w:rFonts w:ascii="Times New Roman" w:hAnsi="Times New Roman"/>
        </w:rPr>
        <w:t xml:space="preserve"> have been the </w:t>
      </w:r>
      <w:r w:rsidR="00984237" w:rsidRPr="005B5ADE">
        <w:rPr>
          <w:rFonts w:ascii="Times New Roman" w:hAnsi="Times New Roman"/>
        </w:rPr>
        <w:t>perpetrator</w:t>
      </w:r>
      <w:r w:rsidR="00B47311" w:rsidRPr="005B5ADE">
        <w:rPr>
          <w:rFonts w:ascii="Times New Roman" w:hAnsi="Times New Roman"/>
        </w:rPr>
        <w:t>.</w:t>
      </w:r>
      <w:r w:rsidR="00376C5A" w:rsidRPr="005B5ADE">
        <w:rPr>
          <w:rStyle w:val="FootnoteReference"/>
          <w:rFonts w:ascii="Times New Roman" w:hAnsi="Times New Roman"/>
          <w:sz w:val="24"/>
        </w:rPr>
        <w:footnoteReference w:id="52"/>
      </w:r>
      <w:r w:rsidR="00B47311" w:rsidRPr="005B5ADE">
        <w:rPr>
          <w:rFonts w:ascii="Times New Roman" w:hAnsi="Times New Roman"/>
        </w:rPr>
        <w:t xml:space="preserve"> </w:t>
      </w:r>
      <w:r w:rsidR="00CB3FD0" w:rsidRPr="005B5ADE">
        <w:rPr>
          <w:rFonts w:ascii="Times New Roman" w:hAnsi="Times New Roman"/>
        </w:rPr>
        <w:t>The appellant's trial c</w:t>
      </w:r>
      <w:r w:rsidR="00B47311" w:rsidRPr="005B5ADE">
        <w:rPr>
          <w:rFonts w:ascii="Times New Roman" w:hAnsi="Times New Roman"/>
        </w:rPr>
        <w:t xml:space="preserve">ounsel would have been justified in concluding </w:t>
      </w:r>
      <w:r w:rsidR="001364BF" w:rsidRPr="005B5ADE">
        <w:rPr>
          <w:rFonts w:ascii="Times New Roman" w:hAnsi="Times New Roman"/>
        </w:rPr>
        <w:t xml:space="preserve">that </w:t>
      </w:r>
      <w:r w:rsidR="00A44707" w:rsidRPr="005B5ADE">
        <w:rPr>
          <w:rFonts w:ascii="Times New Roman" w:hAnsi="Times New Roman"/>
        </w:rPr>
        <w:t xml:space="preserve">she </w:t>
      </w:r>
      <w:r w:rsidR="00B47311" w:rsidRPr="005B5ADE">
        <w:rPr>
          <w:rFonts w:ascii="Times New Roman" w:hAnsi="Times New Roman"/>
        </w:rPr>
        <w:t xml:space="preserve">could not take that course. </w:t>
      </w:r>
      <w:r w:rsidR="002E40A1" w:rsidRPr="005B5ADE">
        <w:rPr>
          <w:rFonts w:ascii="Times New Roman" w:hAnsi="Times New Roman"/>
        </w:rPr>
        <w:t>On the Court of Appeal's findings</w:t>
      </w:r>
      <w:r w:rsidR="0084221B" w:rsidRPr="005B5ADE">
        <w:rPr>
          <w:rFonts w:ascii="Times New Roman" w:hAnsi="Times New Roman"/>
        </w:rPr>
        <w:t>,</w:t>
      </w:r>
      <w:r w:rsidR="002E40A1" w:rsidRPr="005B5ADE">
        <w:rPr>
          <w:rFonts w:ascii="Times New Roman" w:hAnsi="Times New Roman"/>
        </w:rPr>
        <w:t xml:space="preserve"> the appellant's trial </w:t>
      </w:r>
      <w:r w:rsidR="0084221B" w:rsidRPr="005B5ADE">
        <w:rPr>
          <w:rFonts w:ascii="Times New Roman" w:hAnsi="Times New Roman"/>
        </w:rPr>
        <w:t>c</w:t>
      </w:r>
      <w:r w:rsidR="002E40A1" w:rsidRPr="005B5ADE">
        <w:rPr>
          <w:rFonts w:ascii="Times New Roman" w:hAnsi="Times New Roman"/>
        </w:rPr>
        <w:t xml:space="preserve">ounsel should have </w:t>
      </w:r>
      <w:r w:rsidR="00986241" w:rsidRPr="005B5ADE">
        <w:rPr>
          <w:rFonts w:ascii="Times New Roman" w:hAnsi="Times New Roman"/>
        </w:rPr>
        <w:t xml:space="preserve">at least </w:t>
      </w:r>
      <w:r w:rsidR="002E40A1" w:rsidRPr="005B5ADE">
        <w:rPr>
          <w:rFonts w:ascii="Times New Roman" w:hAnsi="Times New Roman"/>
        </w:rPr>
        <w:t xml:space="preserve">been informed that </w:t>
      </w:r>
      <w:r w:rsidR="00B47311" w:rsidRPr="005B5ADE">
        <w:rPr>
          <w:rFonts w:ascii="Times New Roman" w:hAnsi="Times New Roman"/>
        </w:rPr>
        <w:t xml:space="preserve">a prosecuting authority considered there was a reasonable basis for alleging that </w:t>
      </w:r>
      <w:r w:rsidR="00720A5D" w:rsidRPr="005B5ADE">
        <w:rPr>
          <w:rFonts w:ascii="Times New Roman" w:hAnsi="Times New Roman"/>
        </w:rPr>
        <w:t xml:space="preserve">X </w:t>
      </w:r>
      <w:r w:rsidR="00B47311" w:rsidRPr="005B5ADE">
        <w:rPr>
          <w:rFonts w:ascii="Times New Roman" w:hAnsi="Times New Roman"/>
        </w:rPr>
        <w:t>had committed similar sexual offences against a teenage girl in a period that overlapped with the offence alleged</w:t>
      </w:r>
      <w:r w:rsidR="00610E6F" w:rsidRPr="005B5ADE">
        <w:rPr>
          <w:rFonts w:ascii="Times New Roman" w:hAnsi="Times New Roman"/>
        </w:rPr>
        <w:t>ly committed by</w:t>
      </w:r>
      <w:r w:rsidR="00B47311" w:rsidRPr="005B5ADE">
        <w:rPr>
          <w:rFonts w:ascii="Times New Roman" w:hAnsi="Times New Roman"/>
        </w:rPr>
        <w:t xml:space="preserve"> the appellant and </w:t>
      </w:r>
      <w:r w:rsidR="0080111D" w:rsidRPr="005B5ADE">
        <w:rPr>
          <w:rFonts w:ascii="Times New Roman" w:hAnsi="Times New Roman"/>
        </w:rPr>
        <w:t xml:space="preserve">should have </w:t>
      </w:r>
      <w:r w:rsidR="00B47311" w:rsidRPr="005B5ADE">
        <w:rPr>
          <w:rFonts w:ascii="Times New Roman" w:hAnsi="Times New Roman"/>
        </w:rPr>
        <w:t>been provided with the details of those alleged offences</w:t>
      </w:r>
      <w:r w:rsidR="00327D21" w:rsidRPr="005B5ADE">
        <w:rPr>
          <w:rFonts w:ascii="Times New Roman" w:hAnsi="Times New Roman"/>
        </w:rPr>
        <w:t xml:space="preserve"> as set out in the </w:t>
      </w:r>
      <w:r w:rsidR="0080111D" w:rsidRPr="005B5ADE">
        <w:rPr>
          <w:rFonts w:ascii="Times New Roman" w:hAnsi="Times New Roman"/>
        </w:rPr>
        <w:t>"</w:t>
      </w:r>
      <w:r w:rsidR="00327D21" w:rsidRPr="005B5ADE">
        <w:rPr>
          <w:rFonts w:ascii="Times New Roman" w:hAnsi="Times New Roman"/>
        </w:rPr>
        <w:t>fact</w:t>
      </w:r>
      <w:r w:rsidR="0080111D" w:rsidRPr="005B5ADE">
        <w:rPr>
          <w:rFonts w:ascii="Times New Roman" w:hAnsi="Times New Roman"/>
        </w:rPr>
        <w:t>s</w:t>
      </w:r>
      <w:r w:rsidR="00327D21" w:rsidRPr="005B5ADE">
        <w:rPr>
          <w:rFonts w:ascii="Times New Roman" w:hAnsi="Times New Roman"/>
        </w:rPr>
        <w:t xml:space="preserve"> of charge</w:t>
      </w:r>
      <w:r w:rsidR="0080111D" w:rsidRPr="005B5ADE">
        <w:rPr>
          <w:rFonts w:ascii="Times New Roman" w:hAnsi="Times New Roman"/>
        </w:rPr>
        <w:t>"</w:t>
      </w:r>
      <w:r w:rsidR="00327D21" w:rsidRPr="005B5ADE">
        <w:rPr>
          <w:rFonts w:ascii="Times New Roman" w:hAnsi="Times New Roman"/>
        </w:rPr>
        <w:t xml:space="preserve"> </w:t>
      </w:r>
      <w:r w:rsidR="0080111D" w:rsidRPr="005B5ADE">
        <w:rPr>
          <w:rFonts w:ascii="Times New Roman" w:hAnsi="Times New Roman"/>
        </w:rPr>
        <w:t>document</w:t>
      </w:r>
      <w:r w:rsidR="003D6411" w:rsidRPr="005B5ADE">
        <w:rPr>
          <w:rFonts w:ascii="Times New Roman" w:hAnsi="Times New Roman"/>
        </w:rPr>
        <w:t xml:space="preserve">. </w:t>
      </w:r>
      <w:r w:rsidR="0080111D" w:rsidRPr="005B5ADE">
        <w:rPr>
          <w:rFonts w:ascii="Times New Roman" w:hAnsi="Times New Roman"/>
        </w:rPr>
        <w:t>The appellant's trial c</w:t>
      </w:r>
      <w:r w:rsidR="003D6411" w:rsidRPr="005B5ADE">
        <w:rPr>
          <w:rFonts w:ascii="Times New Roman" w:hAnsi="Times New Roman"/>
        </w:rPr>
        <w:t xml:space="preserve">ounsel could have </w:t>
      </w:r>
      <w:r w:rsidR="0080111D" w:rsidRPr="005B5ADE">
        <w:rPr>
          <w:rFonts w:ascii="Times New Roman" w:hAnsi="Times New Roman"/>
        </w:rPr>
        <w:t xml:space="preserve">reasonably </w:t>
      </w:r>
      <w:r w:rsidR="003D6411" w:rsidRPr="005B5ADE">
        <w:rPr>
          <w:rFonts w:ascii="Times New Roman" w:hAnsi="Times New Roman"/>
        </w:rPr>
        <w:t xml:space="preserve">concluded that the details </w:t>
      </w:r>
      <w:r w:rsidR="0080111D" w:rsidRPr="005B5ADE">
        <w:rPr>
          <w:rFonts w:ascii="Times New Roman" w:hAnsi="Times New Roman"/>
        </w:rPr>
        <w:t xml:space="preserve">of the alleged offences </w:t>
      </w:r>
      <w:r w:rsidR="003D6411" w:rsidRPr="005B5ADE">
        <w:rPr>
          <w:rFonts w:ascii="Times New Roman" w:hAnsi="Times New Roman"/>
        </w:rPr>
        <w:t xml:space="preserve">in that </w:t>
      </w:r>
      <w:r w:rsidR="0080111D" w:rsidRPr="005B5ADE">
        <w:rPr>
          <w:rFonts w:ascii="Times New Roman" w:hAnsi="Times New Roman"/>
        </w:rPr>
        <w:t xml:space="preserve">document </w:t>
      </w:r>
      <w:r w:rsidR="00B47311" w:rsidRPr="005B5ADE">
        <w:rPr>
          <w:rFonts w:ascii="Times New Roman" w:hAnsi="Times New Roman"/>
        </w:rPr>
        <w:t>w</w:t>
      </w:r>
      <w:r w:rsidR="003D6411" w:rsidRPr="005B5ADE">
        <w:rPr>
          <w:rFonts w:ascii="Times New Roman" w:hAnsi="Times New Roman"/>
        </w:rPr>
        <w:t>ere</w:t>
      </w:r>
      <w:r w:rsidR="00B47311" w:rsidRPr="005B5ADE">
        <w:rPr>
          <w:rFonts w:ascii="Times New Roman" w:hAnsi="Times New Roman"/>
        </w:rPr>
        <w:t xml:space="preserve"> taken from a statement </w:t>
      </w:r>
      <w:r w:rsidR="00F9383E" w:rsidRPr="005B5ADE">
        <w:rPr>
          <w:rFonts w:ascii="Times New Roman" w:hAnsi="Times New Roman"/>
        </w:rPr>
        <w:t xml:space="preserve">of </w:t>
      </w:r>
      <w:r w:rsidR="00327D21" w:rsidRPr="005B5ADE">
        <w:rPr>
          <w:rFonts w:ascii="Times New Roman" w:hAnsi="Times New Roman"/>
        </w:rPr>
        <w:t xml:space="preserve">or interview with </w:t>
      </w:r>
      <w:r w:rsidR="00B47311" w:rsidRPr="005B5ADE">
        <w:rPr>
          <w:rFonts w:ascii="Times New Roman" w:hAnsi="Times New Roman"/>
        </w:rPr>
        <w:t xml:space="preserve">that </w:t>
      </w:r>
      <w:r w:rsidR="0080111D" w:rsidRPr="005B5ADE">
        <w:rPr>
          <w:rFonts w:ascii="Times New Roman" w:hAnsi="Times New Roman"/>
        </w:rPr>
        <w:t xml:space="preserve">teenage </w:t>
      </w:r>
      <w:r w:rsidR="00B47311" w:rsidRPr="005B5ADE">
        <w:rPr>
          <w:rFonts w:ascii="Times New Roman" w:hAnsi="Times New Roman"/>
        </w:rPr>
        <w:t>girl</w:t>
      </w:r>
      <w:r w:rsidR="003D6411" w:rsidRPr="005B5ADE">
        <w:rPr>
          <w:rFonts w:ascii="Times New Roman" w:hAnsi="Times New Roman"/>
        </w:rPr>
        <w:t xml:space="preserve">. </w:t>
      </w:r>
      <w:r w:rsidR="00AF361F" w:rsidRPr="005B5ADE">
        <w:rPr>
          <w:rFonts w:ascii="Times New Roman" w:hAnsi="Times New Roman"/>
        </w:rPr>
        <w:t xml:space="preserve">If </w:t>
      </w:r>
      <w:r w:rsidR="00E41B54" w:rsidRPr="005B5ADE">
        <w:rPr>
          <w:rFonts w:ascii="Times New Roman" w:hAnsi="Times New Roman"/>
        </w:rPr>
        <w:t xml:space="preserve">the appellant's trial counsel </w:t>
      </w:r>
      <w:r w:rsidR="00AF361F" w:rsidRPr="005B5ADE">
        <w:rPr>
          <w:rFonts w:ascii="Times New Roman" w:hAnsi="Times New Roman"/>
        </w:rPr>
        <w:t xml:space="preserve">had </w:t>
      </w:r>
      <w:r w:rsidR="003D6411" w:rsidRPr="005B5ADE">
        <w:rPr>
          <w:rFonts w:ascii="Times New Roman" w:hAnsi="Times New Roman"/>
        </w:rPr>
        <w:t xml:space="preserve">been provided with </w:t>
      </w:r>
      <w:r w:rsidR="00943758" w:rsidRPr="005B5ADE">
        <w:rPr>
          <w:rFonts w:ascii="Times New Roman" w:hAnsi="Times New Roman"/>
        </w:rPr>
        <w:t>the undisclosed</w:t>
      </w:r>
      <w:r w:rsidR="003D6411" w:rsidRPr="005B5ADE">
        <w:rPr>
          <w:rFonts w:ascii="Times New Roman" w:hAnsi="Times New Roman"/>
        </w:rPr>
        <w:t xml:space="preserve"> material</w:t>
      </w:r>
      <w:r w:rsidR="004B0642" w:rsidRPr="005B5ADE">
        <w:rPr>
          <w:rFonts w:ascii="Times New Roman" w:hAnsi="Times New Roman"/>
        </w:rPr>
        <w:t>,</w:t>
      </w:r>
      <w:r w:rsidR="003D6411" w:rsidRPr="005B5ADE">
        <w:rPr>
          <w:rFonts w:ascii="Times New Roman" w:hAnsi="Times New Roman"/>
        </w:rPr>
        <w:t xml:space="preserve"> then</w:t>
      </w:r>
      <w:r w:rsidR="00814D7C" w:rsidRPr="005B5ADE">
        <w:rPr>
          <w:rFonts w:ascii="Times New Roman" w:hAnsi="Times New Roman"/>
        </w:rPr>
        <w:t xml:space="preserve">, given the evidence of </w:t>
      </w:r>
      <w:r w:rsidR="00E41B54" w:rsidRPr="005B5ADE">
        <w:rPr>
          <w:rFonts w:ascii="Times New Roman" w:hAnsi="Times New Roman"/>
        </w:rPr>
        <w:t xml:space="preserve">the complainant </w:t>
      </w:r>
      <w:r w:rsidR="00814D7C" w:rsidRPr="005B5ADE">
        <w:rPr>
          <w:rFonts w:ascii="Times New Roman" w:hAnsi="Times New Roman"/>
        </w:rPr>
        <w:t xml:space="preserve">against her </w:t>
      </w:r>
      <w:r w:rsidR="00E41B54" w:rsidRPr="005B5ADE">
        <w:rPr>
          <w:rFonts w:ascii="Times New Roman" w:hAnsi="Times New Roman"/>
        </w:rPr>
        <w:t>"</w:t>
      </w:r>
      <w:r w:rsidR="00814D7C" w:rsidRPr="005B5ADE">
        <w:rPr>
          <w:rFonts w:ascii="Times New Roman" w:hAnsi="Times New Roman"/>
        </w:rPr>
        <w:t>uncle</w:t>
      </w:r>
      <w:r w:rsidR="00E41B54" w:rsidRPr="005B5ADE">
        <w:rPr>
          <w:rFonts w:ascii="Times New Roman" w:hAnsi="Times New Roman"/>
        </w:rPr>
        <w:t>"</w:t>
      </w:r>
      <w:r w:rsidR="00814D7C" w:rsidRPr="005B5ADE">
        <w:rPr>
          <w:rFonts w:ascii="Times New Roman" w:hAnsi="Times New Roman"/>
        </w:rPr>
        <w:t xml:space="preserve">, </w:t>
      </w:r>
      <w:r w:rsidR="00E41B54" w:rsidRPr="005B5ADE">
        <w:rPr>
          <w:rFonts w:ascii="Times New Roman" w:hAnsi="Times New Roman"/>
        </w:rPr>
        <w:t>counsel</w:t>
      </w:r>
      <w:r w:rsidR="00814D7C" w:rsidRPr="005B5ADE">
        <w:rPr>
          <w:rFonts w:ascii="Times New Roman" w:hAnsi="Times New Roman"/>
        </w:rPr>
        <w:t xml:space="preserve"> would have </w:t>
      </w:r>
      <w:r w:rsidR="004B0642" w:rsidRPr="005B5ADE">
        <w:rPr>
          <w:rFonts w:ascii="Times New Roman" w:hAnsi="Times New Roman"/>
        </w:rPr>
        <w:t xml:space="preserve">had </w:t>
      </w:r>
      <w:r w:rsidR="00814D7C" w:rsidRPr="005B5ADE">
        <w:rPr>
          <w:rFonts w:ascii="Times New Roman" w:hAnsi="Times New Roman"/>
        </w:rPr>
        <w:t xml:space="preserve">a sufficient </w:t>
      </w:r>
      <w:r w:rsidR="0027194B" w:rsidRPr="005B5ADE">
        <w:rPr>
          <w:rFonts w:ascii="Times New Roman" w:hAnsi="Times New Roman"/>
        </w:rPr>
        <w:t xml:space="preserve">basis to have </w:t>
      </w:r>
      <w:r w:rsidR="00146FAF" w:rsidRPr="005B5ADE">
        <w:rPr>
          <w:rFonts w:ascii="Times New Roman" w:hAnsi="Times New Roman"/>
        </w:rPr>
        <w:t xml:space="preserve">submitted </w:t>
      </w:r>
      <w:r w:rsidR="0088421F" w:rsidRPr="005B5ADE">
        <w:rPr>
          <w:rFonts w:ascii="Times New Roman" w:hAnsi="Times New Roman"/>
        </w:rPr>
        <w:t xml:space="preserve">that it was reasonably possible that </w:t>
      </w:r>
      <w:r w:rsidR="004B0642" w:rsidRPr="005B5ADE">
        <w:rPr>
          <w:rFonts w:ascii="Times New Roman" w:hAnsi="Times New Roman"/>
        </w:rPr>
        <w:t xml:space="preserve">X </w:t>
      </w:r>
      <w:r w:rsidR="003E123E" w:rsidRPr="005B5ADE">
        <w:rPr>
          <w:rFonts w:ascii="Times New Roman" w:hAnsi="Times New Roman"/>
        </w:rPr>
        <w:t xml:space="preserve">perpetrated the sexual abuse described </w:t>
      </w:r>
      <w:r w:rsidR="002266C5" w:rsidRPr="005B5ADE">
        <w:rPr>
          <w:rFonts w:ascii="Times New Roman" w:hAnsi="Times New Roman"/>
        </w:rPr>
        <w:t xml:space="preserve">by </w:t>
      </w:r>
      <w:r w:rsidR="003E123E" w:rsidRPr="005B5ADE">
        <w:rPr>
          <w:rFonts w:ascii="Times New Roman" w:hAnsi="Times New Roman"/>
        </w:rPr>
        <w:t>the complainant</w:t>
      </w:r>
      <w:r w:rsidR="00A22FD0" w:rsidRPr="005B5ADE">
        <w:rPr>
          <w:rFonts w:ascii="Times New Roman" w:hAnsi="Times New Roman"/>
        </w:rPr>
        <w:t xml:space="preserve"> and cross-examined the complainant towards making such a potential submission</w:t>
      </w:r>
      <w:r w:rsidR="004B76B7" w:rsidRPr="005B5ADE">
        <w:rPr>
          <w:rFonts w:ascii="Times New Roman" w:hAnsi="Times New Roman"/>
        </w:rPr>
        <w:t>. At the very least</w:t>
      </w:r>
      <w:r w:rsidR="00ED44BB" w:rsidRPr="005B5ADE">
        <w:rPr>
          <w:rFonts w:ascii="Times New Roman" w:hAnsi="Times New Roman"/>
        </w:rPr>
        <w:t xml:space="preserve">, </w:t>
      </w:r>
      <w:r w:rsidR="00395A7E" w:rsidRPr="005B5ADE">
        <w:rPr>
          <w:rFonts w:ascii="Times New Roman" w:hAnsi="Times New Roman"/>
        </w:rPr>
        <w:t xml:space="preserve">any assessment made by </w:t>
      </w:r>
      <w:r w:rsidR="00ED44BB" w:rsidRPr="005B5ADE">
        <w:rPr>
          <w:rFonts w:ascii="Times New Roman" w:hAnsi="Times New Roman"/>
        </w:rPr>
        <w:t>c</w:t>
      </w:r>
      <w:r w:rsidR="004B76B7" w:rsidRPr="005B5ADE">
        <w:rPr>
          <w:rFonts w:ascii="Times New Roman" w:hAnsi="Times New Roman"/>
        </w:rPr>
        <w:t>ounsel</w:t>
      </w:r>
      <w:r w:rsidR="00395A7E" w:rsidRPr="005B5ADE">
        <w:rPr>
          <w:rFonts w:ascii="Times New Roman" w:hAnsi="Times New Roman"/>
        </w:rPr>
        <w:t xml:space="preserve"> </w:t>
      </w:r>
      <w:r w:rsidR="004B76B7" w:rsidRPr="005B5ADE">
        <w:rPr>
          <w:rFonts w:ascii="Times New Roman" w:hAnsi="Times New Roman"/>
        </w:rPr>
        <w:t xml:space="preserve">that </w:t>
      </w:r>
      <w:r w:rsidR="00ED44BB" w:rsidRPr="005B5ADE">
        <w:rPr>
          <w:rFonts w:ascii="Times New Roman" w:hAnsi="Times New Roman"/>
        </w:rPr>
        <w:t xml:space="preserve">such a </w:t>
      </w:r>
      <w:r w:rsidR="004B76B7" w:rsidRPr="005B5ADE">
        <w:rPr>
          <w:rFonts w:ascii="Times New Roman" w:hAnsi="Times New Roman"/>
        </w:rPr>
        <w:t xml:space="preserve">course was justified would have </w:t>
      </w:r>
      <w:r w:rsidR="00ED44BB" w:rsidRPr="005B5ADE">
        <w:rPr>
          <w:rFonts w:ascii="Times New Roman" w:hAnsi="Times New Roman"/>
        </w:rPr>
        <w:t xml:space="preserve">had a far </w:t>
      </w:r>
      <w:proofErr w:type="gramStart"/>
      <w:r w:rsidR="000C1188" w:rsidRPr="005B5ADE">
        <w:rPr>
          <w:rFonts w:ascii="Times New Roman" w:hAnsi="Times New Roman"/>
        </w:rPr>
        <w:t xml:space="preserve">more </w:t>
      </w:r>
      <w:r w:rsidR="00ED44BB" w:rsidRPr="005B5ADE">
        <w:rPr>
          <w:rFonts w:ascii="Times New Roman" w:hAnsi="Times New Roman"/>
        </w:rPr>
        <w:t>sound</w:t>
      </w:r>
      <w:proofErr w:type="gramEnd"/>
      <w:r w:rsidR="00ED44BB" w:rsidRPr="005B5ADE">
        <w:rPr>
          <w:rFonts w:ascii="Times New Roman" w:hAnsi="Times New Roman"/>
        </w:rPr>
        <w:t xml:space="preserve"> basis </w:t>
      </w:r>
      <w:r w:rsidR="004B76B7" w:rsidRPr="005B5ADE">
        <w:rPr>
          <w:rFonts w:ascii="Times New Roman" w:hAnsi="Times New Roman"/>
        </w:rPr>
        <w:t>tha</w:t>
      </w:r>
      <w:r w:rsidR="00FE7B21" w:rsidRPr="005B5ADE">
        <w:rPr>
          <w:rFonts w:ascii="Times New Roman" w:hAnsi="Times New Roman"/>
        </w:rPr>
        <w:t xml:space="preserve">n </w:t>
      </w:r>
      <w:r w:rsidR="00144280" w:rsidRPr="005B5ADE">
        <w:rPr>
          <w:rFonts w:ascii="Times New Roman" w:hAnsi="Times New Roman"/>
        </w:rPr>
        <w:t xml:space="preserve">without </w:t>
      </w:r>
      <w:r w:rsidR="00FE7B21" w:rsidRPr="005B5ADE">
        <w:rPr>
          <w:rFonts w:ascii="Times New Roman" w:hAnsi="Times New Roman"/>
        </w:rPr>
        <w:t>such disclosure</w:t>
      </w:r>
      <w:r w:rsidR="00B47311" w:rsidRPr="005B5ADE">
        <w:rPr>
          <w:rFonts w:ascii="Times New Roman" w:hAnsi="Times New Roman"/>
        </w:rPr>
        <w:t>.</w:t>
      </w:r>
    </w:p>
    <w:p w14:paraId="20402222" w14:textId="3090E9CE" w:rsidR="00B47311" w:rsidRPr="005B5ADE" w:rsidRDefault="00125558"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0C1188" w:rsidRPr="005B5ADE">
        <w:rPr>
          <w:rFonts w:ascii="Times New Roman" w:hAnsi="Times New Roman"/>
        </w:rPr>
        <w:t>As it was, without the required disclosure by the prosecut</w:t>
      </w:r>
      <w:r w:rsidR="00E83A36" w:rsidRPr="005B5ADE">
        <w:rPr>
          <w:rFonts w:ascii="Times New Roman" w:hAnsi="Times New Roman"/>
        </w:rPr>
        <w:t>ion</w:t>
      </w:r>
      <w:r w:rsidR="000C1188" w:rsidRPr="005B5ADE">
        <w:rPr>
          <w:rFonts w:ascii="Times New Roman" w:hAnsi="Times New Roman"/>
        </w:rPr>
        <w:t>, t</w:t>
      </w:r>
      <w:r w:rsidR="00FE7A3F" w:rsidRPr="005B5ADE">
        <w:rPr>
          <w:rFonts w:ascii="Times New Roman" w:hAnsi="Times New Roman"/>
        </w:rPr>
        <w:t xml:space="preserve">he defence case did not seek to elevate </w:t>
      </w:r>
      <w:r w:rsidR="00F37CB5" w:rsidRPr="005B5ADE">
        <w:rPr>
          <w:rFonts w:ascii="Times New Roman" w:hAnsi="Times New Roman"/>
        </w:rPr>
        <w:t>X</w:t>
      </w:r>
      <w:r w:rsidR="00FE7A3F" w:rsidRPr="005B5ADE">
        <w:rPr>
          <w:rFonts w:ascii="Times New Roman" w:hAnsi="Times New Roman"/>
        </w:rPr>
        <w:t xml:space="preserve"> as a possible </w:t>
      </w:r>
      <w:r w:rsidR="00C6778D" w:rsidRPr="005B5ADE">
        <w:rPr>
          <w:rFonts w:ascii="Times New Roman" w:hAnsi="Times New Roman"/>
        </w:rPr>
        <w:t xml:space="preserve">perpetrator beyond any other member of the </w:t>
      </w:r>
      <w:r w:rsidR="00F37CB5" w:rsidRPr="005B5ADE">
        <w:rPr>
          <w:rFonts w:ascii="Times New Roman" w:hAnsi="Times New Roman"/>
        </w:rPr>
        <w:t>ill-defined</w:t>
      </w:r>
      <w:r w:rsidR="00A80EFC" w:rsidRPr="005B5ADE">
        <w:rPr>
          <w:rFonts w:ascii="Times New Roman" w:hAnsi="Times New Roman"/>
        </w:rPr>
        <w:t xml:space="preserve"> </w:t>
      </w:r>
      <w:r w:rsidR="006F3FFC" w:rsidRPr="005B5ADE">
        <w:rPr>
          <w:rFonts w:ascii="Times New Roman" w:hAnsi="Times New Roman"/>
        </w:rPr>
        <w:t>class of male members of</w:t>
      </w:r>
      <w:r w:rsidR="00F37CB5" w:rsidRPr="005B5ADE">
        <w:rPr>
          <w:rFonts w:ascii="Times New Roman" w:hAnsi="Times New Roman"/>
        </w:rPr>
        <w:t xml:space="preserve"> the complainant's</w:t>
      </w:r>
      <w:r w:rsidR="006F3FFC" w:rsidRPr="005B5ADE">
        <w:rPr>
          <w:rFonts w:ascii="Times New Roman" w:hAnsi="Times New Roman"/>
        </w:rPr>
        <w:t xml:space="preserve"> community that </w:t>
      </w:r>
      <w:r w:rsidR="00A80EFC" w:rsidRPr="005B5ADE">
        <w:rPr>
          <w:rFonts w:ascii="Times New Roman" w:hAnsi="Times New Roman"/>
        </w:rPr>
        <w:t xml:space="preserve">might have been regarded by </w:t>
      </w:r>
      <w:r w:rsidR="00F37CB5" w:rsidRPr="005B5ADE">
        <w:rPr>
          <w:rFonts w:ascii="Times New Roman" w:hAnsi="Times New Roman"/>
        </w:rPr>
        <w:t>the compl</w:t>
      </w:r>
      <w:r w:rsidR="00014D1F" w:rsidRPr="005B5ADE">
        <w:rPr>
          <w:rFonts w:ascii="Times New Roman" w:hAnsi="Times New Roman"/>
        </w:rPr>
        <w:t>ainant</w:t>
      </w:r>
      <w:r w:rsidR="00A80EFC" w:rsidRPr="005B5ADE">
        <w:rPr>
          <w:rFonts w:ascii="Times New Roman" w:hAnsi="Times New Roman"/>
        </w:rPr>
        <w:t xml:space="preserve"> as her "uncle". </w:t>
      </w:r>
      <w:r w:rsidR="00B47311" w:rsidRPr="005B5ADE">
        <w:rPr>
          <w:rFonts w:ascii="Times New Roman" w:hAnsi="Times New Roman"/>
        </w:rPr>
        <w:t xml:space="preserve">While there was </w:t>
      </w:r>
      <w:r w:rsidR="00A227CC" w:rsidRPr="005B5ADE">
        <w:rPr>
          <w:rFonts w:ascii="Times New Roman" w:hAnsi="Times New Roman"/>
        </w:rPr>
        <w:t>e</w:t>
      </w:r>
      <w:r w:rsidR="00B47311" w:rsidRPr="005B5ADE">
        <w:rPr>
          <w:rFonts w:ascii="Times New Roman" w:hAnsi="Times New Roman"/>
        </w:rPr>
        <w:t xml:space="preserve">vidence </w:t>
      </w:r>
      <w:r w:rsidR="00A227CC" w:rsidRPr="005B5ADE">
        <w:rPr>
          <w:rFonts w:ascii="Times New Roman" w:hAnsi="Times New Roman"/>
        </w:rPr>
        <w:t xml:space="preserve">adduced at the trial </w:t>
      </w:r>
      <w:r w:rsidR="00B47311" w:rsidRPr="005B5ADE">
        <w:rPr>
          <w:rFonts w:ascii="Times New Roman" w:hAnsi="Times New Roman"/>
        </w:rPr>
        <w:t xml:space="preserve">that </w:t>
      </w:r>
      <w:r w:rsidR="006764A1" w:rsidRPr="005B5ADE">
        <w:rPr>
          <w:rFonts w:ascii="Times New Roman" w:hAnsi="Times New Roman"/>
        </w:rPr>
        <w:t>X</w:t>
      </w:r>
      <w:r w:rsidR="00B47311" w:rsidRPr="005B5ADE">
        <w:rPr>
          <w:rFonts w:ascii="Times New Roman" w:hAnsi="Times New Roman"/>
        </w:rPr>
        <w:t xml:space="preserve"> was </w:t>
      </w:r>
      <w:r w:rsidR="006D1B79" w:rsidRPr="005B5ADE">
        <w:rPr>
          <w:rFonts w:ascii="Times New Roman" w:hAnsi="Times New Roman"/>
        </w:rPr>
        <w:t>nearby at the time of</w:t>
      </w:r>
      <w:r w:rsidR="00A227CC" w:rsidRPr="005B5ADE">
        <w:rPr>
          <w:rFonts w:ascii="Times New Roman" w:hAnsi="Times New Roman"/>
        </w:rPr>
        <w:t xml:space="preserve"> some of the instances </w:t>
      </w:r>
      <w:r w:rsidR="006764A1" w:rsidRPr="005B5ADE">
        <w:rPr>
          <w:rFonts w:ascii="Times New Roman" w:hAnsi="Times New Roman"/>
        </w:rPr>
        <w:t xml:space="preserve">of </w:t>
      </w:r>
      <w:r w:rsidR="007E76B0" w:rsidRPr="005B5ADE">
        <w:rPr>
          <w:rFonts w:ascii="Times New Roman" w:hAnsi="Times New Roman"/>
        </w:rPr>
        <w:t>offending</w:t>
      </w:r>
      <w:r w:rsidR="00051F55" w:rsidRPr="005B5ADE">
        <w:rPr>
          <w:rFonts w:ascii="Times New Roman" w:hAnsi="Times New Roman"/>
        </w:rPr>
        <w:t xml:space="preserve"> </w:t>
      </w:r>
      <w:r w:rsidR="00B47311" w:rsidRPr="005B5ADE">
        <w:rPr>
          <w:rFonts w:ascii="Times New Roman" w:hAnsi="Times New Roman"/>
        </w:rPr>
        <w:t xml:space="preserve">described </w:t>
      </w:r>
      <w:r w:rsidR="00051F55" w:rsidRPr="005B5ADE">
        <w:rPr>
          <w:rFonts w:ascii="Times New Roman" w:hAnsi="Times New Roman"/>
        </w:rPr>
        <w:t xml:space="preserve">by </w:t>
      </w:r>
      <w:r w:rsidR="007E76B0" w:rsidRPr="005B5ADE">
        <w:rPr>
          <w:rFonts w:ascii="Times New Roman" w:hAnsi="Times New Roman"/>
        </w:rPr>
        <w:t>the complainant</w:t>
      </w:r>
      <w:r w:rsidR="00B47311" w:rsidRPr="005B5ADE">
        <w:rPr>
          <w:rFonts w:ascii="Times New Roman" w:hAnsi="Times New Roman"/>
        </w:rPr>
        <w:t>, the</w:t>
      </w:r>
      <w:r w:rsidR="00A227CC" w:rsidRPr="005B5ADE">
        <w:rPr>
          <w:rFonts w:ascii="Times New Roman" w:hAnsi="Times New Roman"/>
        </w:rPr>
        <w:t xml:space="preserve"> </w:t>
      </w:r>
      <w:r w:rsidR="00B47311" w:rsidRPr="005B5ADE">
        <w:rPr>
          <w:rFonts w:ascii="Times New Roman" w:hAnsi="Times New Roman"/>
        </w:rPr>
        <w:t>cross</w:t>
      </w:r>
      <w:r w:rsidR="007E76B0" w:rsidRPr="005B5ADE">
        <w:rPr>
          <w:rFonts w:ascii="Times New Roman" w:hAnsi="Times New Roman"/>
        </w:rPr>
        <w:t>-</w:t>
      </w:r>
      <w:r w:rsidR="00B47311" w:rsidRPr="005B5ADE">
        <w:rPr>
          <w:rFonts w:ascii="Times New Roman" w:hAnsi="Times New Roman"/>
        </w:rPr>
        <w:t xml:space="preserve">examination of </w:t>
      </w:r>
      <w:r w:rsidR="00051F55" w:rsidRPr="005B5ADE">
        <w:rPr>
          <w:rFonts w:ascii="Times New Roman" w:hAnsi="Times New Roman"/>
        </w:rPr>
        <w:t xml:space="preserve">her </w:t>
      </w:r>
      <w:r w:rsidR="00B47311" w:rsidRPr="005B5ADE">
        <w:rPr>
          <w:rFonts w:ascii="Times New Roman" w:hAnsi="Times New Roman"/>
        </w:rPr>
        <w:t>on th</w:t>
      </w:r>
      <w:r w:rsidR="00051F55" w:rsidRPr="005B5ADE">
        <w:rPr>
          <w:rFonts w:ascii="Times New Roman" w:hAnsi="Times New Roman"/>
        </w:rPr>
        <w:t>at</w:t>
      </w:r>
      <w:r w:rsidR="00B47311" w:rsidRPr="005B5ADE">
        <w:rPr>
          <w:rFonts w:ascii="Times New Roman" w:hAnsi="Times New Roman"/>
        </w:rPr>
        <w:t xml:space="preserve"> topic concerned </w:t>
      </w:r>
      <w:r w:rsidR="007E76B0" w:rsidRPr="005B5ADE">
        <w:rPr>
          <w:rFonts w:ascii="Times New Roman" w:hAnsi="Times New Roman"/>
        </w:rPr>
        <w:t xml:space="preserve">X's </w:t>
      </w:r>
      <w:r w:rsidR="00B47311" w:rsidRPr="005B5ADE">
        <w:rPr>
          <w:rFonts w:ascii="Times New Roman" w:hAnsi="Times New Roman"/>
        </w:rPr>
        <w:t xml:space="preserve">presence and </w:t>
      </w:r>
      <w:r w:rsidR="007E76B0" w:rsidRPr="005B5ADE">
        <w:rPr>
          <w:rFonts w:ascii="Times New Roman" w:hAnsi="Times New Roman"/>
        </w:rPr>
        <w:t>the presence of</w:t>
      </w:r>
      <w:r w:rsidR="00B47311" w:rsidRPr="005B5ADE">
        <w:rPr>
          <w:rFonts w:ascii="Times New Roman" w:hAnsi="Times New Roman"/>
        </w:rPr>
        <w:t xml:space="preserve"> other family members as matters bearing </w:t>
      </w:r>
      <w:r w:rsidR="003E5C2F" w:rsidRPr="005B5ADE">
        <w:rPr>
          <w:rFonts w:ascii="Times New Roman" w:hAnsi="Times New Roman"/>
        </w:rPr>
        <w:t xml:space="preserve">only </w:t>
      </w:r>
      <w:r w:rsidR="00B47311" w:rsidRPr="005B5ADE">
        <w:rPr>
          <w:rFonts w:ascii="Times New Roman" w:hAnsi="Times New Roman"/>
        </w:rPr>
        <w:t xml:space="preserve">on the opportunity for the appellant to have abused </w:t>
      </w:r>
      <w:r w:rsidR="007E76B0" w:rsidRPr="005B5ADE">
        <w:rPr>
          <w:rFonts w:ascii="Times New Roman" w:hAnsi="Times New Roman"/>
        </w:rPr>
        <w:t>the complainant</w:t>
      </w:r>
      <w:r w:rsidR="00B47311" w:rsidRPr="005B5ADE">
        <w:rPr>
          <w:rFonts w:ascii="Times New Roman" w:hAnsi="Times New Roman"/>
        </w:rPr>
        <w:t xml:space="preserve"> undetected. The cross</w:t>
      </w:r>
      <w:r w:rsidRPr="005B5ADE">
        <w:rPr>
          <w:rFonts w:ascii="Times New Roman" w:hAnsi="Times New Roman"/>
        </w:rPr>
        <w:noBreakHyphen/>
      </w:r>
      <w:r w:rsidR="00B47311" w:rsidRPr="005B5ADE">
        <w:rPr>
          <w:rFonts w:ascii="Times New Roman" w:hAnsi="Times New Roman"/>
        </w:rPr>
        <w:t xml:space="preserve">examination </w:t>
      </w:r>
      <w:r w:rsidR="007E76B0" w:rsidRPr="005B5ADE">
        <w:rPr>
          <w:rFonts w:ascii="Times New Roman" w:hAnsi="Times New Roman"/>
        </w:rPr>
        <w:t xml:space="preserve">of the complainant </w:t>
      </w:r>
      <w:r w:rsidR="00B47311" w:rsidRPr="005B5ADE">
        <w:rPr>
          <w:rFonts w:ascii="Times New Roman" w:hAnsi="Times New Roman"/>
        </w:rPr>
        <w:t xml:space="preserve">was not directed to establishing </w:t>
      </w:r>
      <w:r w:rsidR="007E76B0" w:rsidRPr="005B5ADE">
        <w:rPr>
          <w:rFonts w:ascii="Times New Roman" w:hAnsi="Times New Roman"/>
        </w:rPr>
        <w:t>X</w:t>
      </w:r>
      <w:r w:rsidR="00B47311" w:rsidRPr="005B5ADE">
        <w:rPr>
          <w:rFonts w:ascii="Times New Roman" w:hAnsi="Times New Roman"/>
        </w:rPr>
        <w:t xml:space="preserve"> as a possible perpetrator. For example, there was no cross</w:t>
      </w:r>
      <w:r w:rsidRPr="005B5ADE">
        <w:rPr>
          <w:rFonts w:ascii="Times New Roman" w:hAnsi="Times New Roman"/>
        </w:rPr>
        <w:noBreakHyphen/>
      </w:r>
      <w:r w:rsidR="00B47311" w:rsidRPr="005B5ADE">
        <w:rPr>
          <w:rFonts w:ascii="Times New Roman" w:hAnsi="Times New Roman"/>
        </w:rPr>
        <w:t xml:space="preserve">examination directed to establishing the possibility that </w:t>
      </w:r>
      <w:r w:rsidR="00C84F42" w:rsidRPr="005B5ADE">
        <w:rPr>
          <w:rFonts w:ascii="Times New Roman" w:hAnsi="Times New Roman"/>
        </w:rPr>
        <w:t>X</w:t>
      </w:r>
      <w:r w:rsidR="00B47311" w:rsidRPr="005B5ADE">
        <w:rPr>
          <w:rFonts w:ascii="Times New Roman" w:hAnsi="Times New Roman"/>
        </w:rPr>
        <w:t xml:space="preserve"> was alone with </w:t>
      </w:r>
      <w:r w:rsidR="00C84F42" w:rsidRPr="005B5ADE">
        <w:rPr>
          <w:rFonts w:ascii="Times New Roman" w:hAnsi="Times New Roman"/>
        </w:rPr>
        <w:t xml:space="preserve">the </w:t>
      </w:r>
      <w:r w:rsidR="00C84F42" w:rsidRPr="005B5ADE">
        <w:rPr>
          <w:rFonts w:ascii="Times New Roman" w:hAnsi="Times New Roman"/>
        </w:rPr>
        <w:lastRenderedPageBreak/>
        <w:t>complainant</w:t>
      </w:r>
      <w:r w:rsidR="00B47311" w:rsidRPr="005B5ADE">
        <w:rPr>
          <w:rFonts w:ascii="Times New Roman" w:hAnsi="Times New Roman"/>
        </w:rPr>
        <w:t xml:space="preserve"> at or in the vicinity of at least some of the locations</w:t>
      </w:r>
      <w:r w:rsidR="009D769A" w:rsidRPr="005B5ADE">
        <w:rPr>
          <w:rFonts w:ascii="Times New Roman" w:hAnsi="Times New Roman"/>
        </w:rPr>
        <w:t xml:space="preserve"> at which</w:t>
      </w:r>
      <w:r w:rsidR="00B47311" w:rsidRPr="005B5ADE">
        <w:rPr>
          <w:rFonts w:ascii="Times New Roman" w:hAnsi="Times New Roman"/>
        </w:rPr>
        <w:t xml:space="preserve"> she described the abuse as having occurred. Similarly, the</w:t>
      </w:r>
      <w:r w:rsidR="00B535F0" w:rsidRPr="005B5ADE">
        <w:rPr>
          <w:rFonts w:ascii="Times New Roman" w:hAnsi="Times New Roman"/>
        </w:rPr>
        <w:t xml:space="preserve"> </w:t>
      </w:r>
      <w:r w:rsidR="00B47311" w:rsidRPr="005B5ADE">
        <w:rPr>
          <w:rFonts w:ascii="Times New Roman" w:hAnsi="Times New Roman"/>
        </w:rPr>
        <w:t xml:space="preserve">closing submission that "some other 'uncle'" abused </w:t>
      </w:r>
      <w:r w:rsidR="00B535F0" w:rsidRPr="005B5ADE">
        <w:rPr>
          <w:rFonts w:ascii="Times New Roman" w:hAnsi="Times New Roman"/>
        </w:rPr>
        <w:t>the complainant</w:t>
      </w:r>
      <w:r w:rsidR="00B47311" w:rsidRPr="005B5ADE">
        <w:rPr>
          <w:rFonts w:ascii="Times New Roman" w:hAnsi="Times New Roman"/>
        </w:rPr>
        <w:t xml:space="preserve"> made no reference to </w:t>
      </w:r>
      <w:r w:rsidR="007E76B0" w:rsidRPr="005B5ADE">
        <w:rPr>
          <w:rFonts w:ascii="Times New Roman" w:hAnsi="Times New Roman"/>
        </w:rPr>
        <w:t>X</w:t>
      </w:r>
      <w:r w:rsidR="00B47311" w:rsidRPr="005B5ADE">
        <w:rPr>
          <w:rFonts w:ascii="Times New Roman" w:hAnsi="Times New Roman"/>
        </w:rPr>
        <w:t xml:space="preserve">. </w:t>
      </w:r>
      <w:r w:rsidR="007E76B0" w:rsidRPr="005B5ADE">
        <w:rPr>
          <w:rFonts w:ascii="Times New Roman" w:hAnsi="Times New Roman"/>
        </w:rPr>
        <w:t xml:space="preserve">If </w:t>
      </w:r>
      <w:r w:rsidR="00B47311" w:rsidRPr="005B5ADE">
        <w:rPr>
          <w:rFonts w:ascii="Times New Roman" w:hAnsi="Times New Roman"/>
        </w:rPr>
        <w:t xml:space="preserve">proper disclosure </w:t>
      </w:r>
      <w:r w:rsidR="007E76B0" w:rsidRPr="005B5ADE">
        <w:rPr>
          <w:rFonts w:ascii="Times New Roman" w:hAnsi="Times New Roman"/>
        </w:rPr>
        <w:t xml:space="preserve">had </w:t>
      </w:r>
      <w:r w:rsidR="00B47311" w:rsidRPr="005B5ADE">
        <w:rPr>
          <w:rFonts w:ascii="Times New Roman" w:hAnsi="Times New Roman"/>
        </w:rPr>
        <w:t>been made</w:t>
      </w:r>
      <w:r w:rsidR="008D54DE" w:rsidRPr="005B5ADE">
        <w:rPr>
          <w:rFonts w:ascii="Times New Roman" w:hAnsi="Times New Roman"/>
        </w:rPr>
        <w:t>,</w:t>
      </w:r>
      <w:r w:rsidR="00B47311" w:rsidRPr="005B5ADE">
        <w:rPr>
          <w:rFonts w:ascii="Times New Roman" w:hAnsi="Times New Roman"/>
        </w:rPr>
        <w:t xml:space="preserve"> that may have become a submission that "some other </w:t>
      </w:r>
      <w:r w:rsidR="00B535F0" w:rsidRPr="005B5ADE">
        <w:rPr>
          <w:rFonts w:ascii="Times New Roman" w:hAnsi="Times New Roman"/>
        </w:rPr>
        <w:t>'</w:t>
      </w:r>
      <w:r w:rsidR="00B47311" w:rsidRPr="005B5ADE">
        <w:rPr>
          <w:rFonts w:ascii="Times New Roman" w:hAnsi="Times New Roman"/>
        </w:rPr>
        <w:t>uncle</w:t>
      </w:r>
      <w:r w:rsidR="00B535F0" w:rsidRPr="005B5ADE">
        <w:rPr>
          <w:rFonts w:ascii="Times New Roman" w:hAnsi="Times New Roman"/>
        </w:rPr>
        <w:t>'</w:t>
      </w:r>
      <w:r w:rsidR="00B47311" w:rsidRPr="005B5ADE">
        <w:rPr>
          <w:rFonts w:ascii="Times New Roman" w:hAnsi="Times New Roman"/>
        </w:rPr>
        <w:t xml:space="preserve">" was most likely </w:t>
      </w:r>
      <w:r w:rsidR="00B535F0" w:rsidRPr="005B5ADE">
        <w:rPr>
          <w:rFonts w:ascii="Times New Roman" w:hAnsi="Times New Roman"/>
        </w:rPr>
        <w:t>X</w:t>
      </w:r>
      <w:r w:rsidR="00B47311" w:rsidRPr="005B5ADE">
        <w:rPr>
          <w:rFonts w:ascii="Times New Roman" w:hAnsi="Times New Roman"/>
        </w:rPr>
        <w:t xml:space="preserve"> or there was a reasonable possibility that was the case. </w:t>
      </w:r>
      <w:r w:rsidR="00051F55" w:rsidRPr="005B5ADE">
        <w:rPr>
          <w:rFonts w:ascii="Times New Roman" w:hAnsi="Times New Roman"/>
        </w:rPr>
        <w:t xml:space="preserve">In </w:t>
      </w:r>
      <w:proofErr w:type="gramStart"/>
      <w:r w:rsidR="00051F55" w:rsidRPr="005B5ADE">
        <w:rPr>
          <w:rFonts w:ascii="Times New Roman" w:hAnsi="Times New Roman"/>
        </w:rPr>
        <w:t>the end result</w:t>
      </w:r>
      <w:proofErr w:type="gramEnd"/>
      <w:r w:rsidR="00051F55" w:rsidRPr="005B5ADE">
        <w:rPr>
          <w:rFonts w:ascii="Times New Roman" w:hAnsi="Times New Roman"/>
        </w:rPr>
        <w:t>, t</w:t>
      </w:r>
      <w:r w:rsidR="00B47311" w:rsidRPr="005B5ADE">
        <w:rPr>
          <w:rFonts w:ascii="Times New Roman" w:hAnsi="Times New Roman"/>
        </w:rPr>
        <w:t xml:space="preserve">he absence of disclosure meant that </w:t>
      </w:r>
      <w:r w:rsidR="00CD12E0" w:rsidRPr="005B5ADE">
        <w:rPr>
          <w:rFonts w:ascii="Times New Roman" w:hAnsi="Times New Roman"/>
        </w:rPr>
        <w:t xml:space="preserve">either </w:t>
      </w:r>
      <w:r w:rsidR="00B47311" w:rsidRPr="005B5ADE">
        <w:rPr>
          <w:rFonts w:ascii="Times New Roman" w:hAnsi="Times New Roman"/>
        </w:rPr>
        <w:t xml:space="preserve">a realistic basis for </w:t>
      </w:r>
      <w:r w:rsidR="008654CD" w:rsidRPr="005B5ADE">
        <w:rPr>
          <w:rFonts w:ascii="Times New Roman" w:hAnsi="Times New Roman"/>
        </w:rPr>
        <w:t>identify</w:t>
      </w:r>
      <w:r w:rsidR="00E527EE" w:rsidRPr="005B5ADE">
        <w:rPr>
          <w:rFonts w:ascii="Times New Roman" w:hAnsi="Times New Roman"/>
        </w:rPr>
        <w:t>ing</w:t>
      </w:r>
      <w:r w:rsidR="00B47311" w:rsidRPr="005B5ADE">
        <w:rPr>
          <w:rFonts w:ascii="Times New Roman" w:hAnsi="Times New Roman"/>
        </w:rPr>
        <w:t xml:space="preserve"> </w:t>
      </w:r>
      <w:r w:rsidR="00E527EE" w:rsidRPr="005B5ADE">
        <w:rPr>
          <w:rFonts w:ascii="Times New Roman" w:hAnsi="Times New Roman"/>
        </w:rPr>
        <w:t>X</w:t>
      </w:r>
      <w:r w:rsidR="00B47311" w:rsidRPr="005B5ADE">
        <w:rPr>
          <w:rFonts w:ascii="Times New Roman" w:hAnsi="Times New Roman"/>
        </w:rPr>
        <w:t xml:space="preserve"> as a </w:t>
      </w:r>
      <w:r w:rsidR="00E527EE" w:rsidRPr="005B5ADE">
        <w:rPr>
          <w:rFonts w:ascii="Times New Roman" w:hAnsi="Times New Roman"/>
        </w:rPr>
        <w:t>possible</w:t>
      </w:r>
      <w:r w:rsidR="00B47311" w:rsidRPr="005B5ADE">
        <w:rPr>
          <w:rFonts w:ascii="Times New Roman" w:hAnsi="Times New Roman"/>
        </w:rPr>
        <w:t xml:space="preserve"> perpetrator was denied to the appellant</w:t>
      </w:r>
      <w:r w:rsidR="00B535F0" w:rsidRPr="005B5ADE">
        <w:rPr>
          <w:rFonts w:ascii="Times New Roman" w:hAnsi="Times New Roman"/>
        </w:rPr>
        <w:t>,</w:t>
      </w:r>
      <w:r w:rsidR="00B47311" w:rsidRPr="005B5ADE">
        <w:rPr>
          <w:rFonts w:ascii="Times New Roman" w:hAnsi="Times New Roman"/>
        </w:rPr>
        <w:t xml:space="preserve"> or he was </w:t>
      </w:r>
      <w:r w:rsidR="00920875" w:rsidRPr="005B5ADE">
        <w:rPr>
          <w:rFonts w:ascii="Times New Roman" w:hAnsi="Times New Roman"/>
        </w:rPr>
        <w:t xml:space="preserve">at least </w:t>
      </w:r>
      <w:r w:rsidR="00B47311" w:rsidRPr="005B5ADE">
        <w:rPr>
          <w:rFonts w:ascii="Times New Roman" w:hAnsi="Times New Roman"/>
        </w:rPr>
        <w:t xml:space="preserve">substantially impaired in raising it. </w:t>
      </w:r>
    </w:p>
    <w:p w14:paraId="5882D22B" w14:textId="1E58BFFF" w:rsidR="00826CDD" w:rsidRPr="005B5ADE" w:rsidRDefault="00125558"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It may </w:t>
      </w:r>
      <w:r w:rsidR="00DA5482" w:rsidRPr="005B5ADE">
        <w:rPr>
          <w:rFonts w:ascii="Times New Roman" w:hAnsi="Times New Roman"/>
        </w:rPr>
        <w:t xml:space="preserve">be </w:t>
      </w:r>
      <w:r w:rsidR="00B47311" w:rsidRPr="005B5ADE">
        <w:rPr>
          <w:rFonts w:ascii="Times New Roman" w:hAnsi="Times New Roman"/>
        </w:rPr>
        <w:t>that</w:t>
      </w:r>
      <w:r w:rsidR="00807B74" w:rsidRPr="005B5ADE">
        <w:rPr>
          <w:rFonts w:ascii="Times New Roman" w:hAnsi="Times New Roman"/>
        </w:rPr>
        <w:t>,</w:t>
      </w:r>
      <w:r w:rsidR="00B47311" w:rsidRPr="005B5ADE">
        <w:rPr>
          <w:rFonts w:ascii="Times New Roman" w:hAnsi="Times New Roman"/>
        </w:rPr>
        <w:t xml:space="preserve"> if the </w:t>
      </w:r>
      <w:r w:rsidR="006C2403" w:rsidRPr="005B5ADE">
        <w:rPr>
          <w:rFonts w:ascii="Times New Roman" w:hAnsi="Times New Roman"/>
        </w:rPr>
        <w:t xml:space="preserve">undisclosed material had been provided to the </w:t>
      </w:r>
      <w:r w:rsidR="00B47311" w:rsidRPr="005B5ADE">
        <w:rPr>
          <w:rFonts w:ascii="Times New Roman" w:hAnsi="Times New Roman"/>
        </w:rPr>
        <w:t xml:space="preserve">appellant's legal representatives, </w:t>
      </w:r>
      <w:r w:rsidR="00807B74" w:rsidRPr="005B5ADE">
        <w:rPr>
          <w:rFonts w:ascii="Times New Roman" w:hAnsi="Times New Roman"/>
        </w:rPr>
        <w:t>the appellant's</w:t>
      </w:r>
      <w:r w:rsidR="00B47311" w:rsidRPr="005B5ADE">
        <w:rPr>
          <w:rFonts w:ascii="Times New Roman" w:hAnsi="Times New Roman"/>
        </w:rPr>
        <w:t xml:space="preserve"> defence would not have been conducted differently. There may have been forensic disadvantages to t</w:t>
      </w:r>
      <w:r w:rsidR="002E7197" w:rsidRPr="005B5ADE">
        <w:rPr>
          <w:rFonts w:ascii="Times New Roman" w:hAnsi="Times New Roman"/>
        </w:rPr>
        <w:t>ethering</w:t>
      </w:r>
      <w:r w:rsidR="00B47311" w:rsidRPr="005B5ADE">
        <w:rPr>
          <w:rFonts w:ascii="Times New Roman" w:hAnsi="Times New Roman"/>
        </w:rPr>
        <w:t xml:space="preserve"> the defence case too closely to nominating a specific "uncle" as the </w:t>
      </w:r>
      <w:r w:rsidR="00465052" w:rsidRPr="005B5ADE">
        <w:rPr>
          <w:rFonts w:ascii="Times New Roman" w:hAnsi="Times New Roman"/>
        </w:rPr>
        <w:t xml:space="preserve">possible </w:t>
      </w:r>
      <w:r w:rsidR="00B47311" w:rsidRPr="005B5ADE">
        <w:rPr>
          <w:rFonts w:ascii="Times New Roman" w:hAnsi="Times New Roman"/>
        </w:rPr>
        <w:t>perpetrator</w:t>
      </w:r>
      <w:r w:rsidR="00566A1B" w:rsidRPr="005B5ADE">
        <w:rPr>
          <w:rFonts w:ascii="Times New Roman" w:hAnsi="Times New Roman"/>
        </w:rPr>
        <w:t>. F</w:t>
      </w:r>
      <w:r w:rsidR="00B47311" w:rsidRPr="005B5ADE">
        <w:rPr>
          <w:rFonts w:ascii="Times New Roman" w:hAnsi="Times New Roman"/>
        </w:rPr>
        <w:t xml:space="preserve">or example, as noted by the </w:t>
      </w:r>
      <w:r w:rsidRPr="005B5ADE">
        <w:rPr>
          <w:rFonts w:ascii="Times New Roman" w:hAnsi="Times New Roman"/>
        </w:rPr>
        <w:t>r</w:t>
      </w:r>
      <w:r w:rsidR="00B47311" w:rsidRPr="005B5ADE">
        <w:rPr>
          <w:rFonts w:ascii="Times New Roman" w:hAnsi="Times New Roman"/>
        </w:rPr>
        <w:t>espondent</w:t>
      </w:r>
      <w:r w:rsidRPr="005B5ADE">
        <w:rPr>
          <w:rFonts w:ascii="Times New Roman" w:hAnsi="Times New Roman"/>
        </w:rPr>
        <w:t>,</w:t>
      </w:r>
      <w:r w:rsidR="00B47311" w:rsidRPr="005B5ADE">
        <w:rPr>
          <w:rFonts w:ascii="Times New Roman" w:hAnsi="Times New Roman"/>
        </w:rPr>
        <w:t xml:space="preserve"> for </w:t>
      </w:r>
      <w:proofErr w:type="gramStart"/>
      <w:r w:rsidR="00B47311" w:rsidRPr="005B5ADE">
        <w:rPr>
          <w:rFonts w:ascii="Times New Roman" w:hAnsi="Times New Roman"/>
        </w:rPr>
        <w:t>a period of time</w:t>
      </w:r>
      <w:proofErr w:type="gramEnd"/>
      <w:r w:rsidR="00B47311" w:rsidRPr="005B5ADE">
        <w:rPr>
          <w:rFonts w:ascii="Times New Roman" w:hAnsi="Times New Roman"/>
        </w:rPr>
        <w:t xml:space="preserve"> when some of the sexual acts were said by </w:t>
      </w:r>
      <w:r w:rsidR="006777F0" w:rsidRPr="005B5ADE">
        <w:rPr>
          <w:rFonts w:ascii="Times New Roman" w:hAnsi="Times New Roman"/>
        </w:rPr>
        <w:t>the complain</w:t>
      </w:r>
      <w:r w:rsidR="00AF4208" w:rsidRPr="005B5ADE">
        <w:rPr>
          <w:rFonts w:ascii="Times New Roman" w:hAnsi="Times New Roman"/>
        </w:rPr>
        <w:t>an</w:t>
      </w:r>
      <w:r w:rsidR="006777F0" w:rsidRPr="005B5ADE">
        <w:rPr>
          <w:rFonts w:ascii="Times New Roman" w:hAnsi="Times New Roman"/>
        </w:rPr>
        <w:t>t</w:t>
      </w:r>
      <w:r w:rsidR="00B47311" w:rsidRPr="005B5ADE">
        <w:rPr>
          <w:rFonts w:ascii="Times New Roman" w:hAnsi="Times New Roman"/>
        </w:rPr>
        <w:t xml:space="preserve"> to have occurred "nearly every day"</w:t>
      </w:r>
      <w:r w:rsidRPr="005B5ADE">
        <w:rPr>
          <w:rFonts w:ascii="Times New Roman" w:hAnsi="Times New Roman"/>
        </w:rPr>
        <w:t>,</w:t>
      </w:r>
      <w:r w:rsidR="00B47311" w:rsidRPr="005B5ADE">
        <w:rPr>
          <w:rFonts w:ascii="Times New Roman" w:hAnsi="Times New Roman"/>
        </w:rPr>
        <w:t xml:space="preserve"> there was evidence that </w:t>
      </w:r>
      <w:r w:rsidR="005D0CFC" w:rsidRPr="005B5ADE">
        <w:rPr>
          <w:rFonts w:ascii="Times New Roman" w:hAnsi="Times New Roman"/>
        </w:rPr>
        <w:t xml:space="preserve">X </w:t>
      </w:r>
      <w:r w:rsidR="00B47311" w:rsidRPr="005B5ADE">
        <w:rPr>
          <w:rFonts w:ascii="Times New Roman" w:hAnsi="Times New Roman"/>
        </w:rPr>
        <w:t xml:space="preserve">was in Melbourne. The appellant may have </w:t>
      </w:r>
      <w:r w:rsidR="005D0CFC" w:rsidRPr="005B5ADE">
        <w:rPr>
          <w:rFonts w:ascii="Times New Roman" w:hAnsi="Times New Roman"/>
        </w:rPr>
        <w:t xml:space="preserve">also </w:t>
      </w:r>
      <w:r w:rsidR="00B47311" w:rsidRPr="005B5ADE">
        <w:rPr>
          <w:rFonts w:ascii="Times New Roman" w:hAnsi="Times New Roman"/>
        </w:rPr>
        <w:t xml:space="preserve">been </w:t>
      </w:r>
      <w:r w:rsidR="005D0CFC" w:rsidRPr="005B5ADE">
        <w:rPr>
          <w:rFonts w:ascii="Times New Roman" w:hAnsi="Times New Roman"/>
        </w:rPr>
        <w:t xml:space="preserve">hesitant </w:t>
      </w:r>
      <w:r w:rsidR="00B47311" w:rsidRPr="005B5ADE">
        <w:rPr>
          <w:rFonts w:ascii="Times New Roman" w:hAnsi="Times New Roman"/>
        </w:rPr>
        <w:t xml:space="preserve">to allow his </w:t>
      </w:r>
      <w:r w:rsidR="005D0CFC" w:rsidRPr="005B5ADE">
        <w:rPr>
          <w:rFonts w:ascii="Times New Roman" w:hAnsi="Times New Roman"/>
        </w:rPr>
        <w:t xml:space="preserve">trial </w:t>
      </w:r>
      <w:r w:rsidRPr="005B5ADE">
        <w:rPr>
          <w:rFonts w:ascii="Times New Roman" w:hAnsi="Times New Roman"/>
        </w:rPr>
        <w:t>c</w:t>
      </w:r>
      <w:r w:rsidR="00B47311" w:rsidRPr="005B5ADE">
        <w:rPr>
          <w:rFonts w:ascii="Times New Roman" w:hAnsi="Times New Roman"/>
        </w:rPr>
        <w:t xml:space="preserve">ounsel to conduct </w:t>
      </w:r>
      <w:r w:rsidR="005D0CFC" w:rsidRPr="005B5ADE">
        <w:rPr>
          <w:rFonts w:ascii="Times New Roman" w:hAnsi="Times New Roman"/>
        </w:rPr>
        <w:t xml:space="preserve">his </w:t>
      </w:r>
      <w:r w:rsidR="00B47311" w:rsidRPr="005B5ADE">
        <w:rPr>
          <w:rFonts w:ascii="Times New Roman" w:hAnsi="Times New Roman"/>
        </w:rPr>
        <w:t xml:space="preserve">case in a manner that potentially implicated </w:t>
      </w:r>
      <w:r w:rsidR="00C66440" w:rsidRPr="005B5ADE">
        <w:rPr>
          <w:rFonts w:ascii="Times New Roman" w:hAnsi="Times New Roman"/>
        </w:rPr>
        <w:t>X</w:t>
      </w:r>
      <w:r w:rsidR="00B47311" w:rsidRPr="005B5ADE">
        <w:rPr>
          <w:rFonts w:ascii="Times New Roman" w:hAnsi="Times New Roman"/>
        </w:rPr>
        <w:t>.</w:t>
      </w:r>
      <w:r w:rsidRPr="005B5ADE">
        <w:rPr>
          <w:rStyle w:val="FootnoteReference"/>
          <w:rFonts w:ascii="Times New Roman" w:hAnsi="Times New Roman"/>
          <w:sz w:val="24"/>
        </w:rPr>
        <w:footnoteReference w:id="53"/>
      </w:r>
      <w:r w:rsidR="00B47311" w:rsidRPr="005B5ADE">
        <w:rPr>
          <w:rFonts w:ascii="Times New Roman" w:hAnsi="Times New Roman"/>
        </w:rPr>
        <w:t xml:space="preserve"> </w:t>
      </w:r>
    </w:p>
    <w:p w14:paraId="576A26A7" w14:textId="57180835" w:rsidR="00B47311" w:rsidRPr="005B5ADE" w:rsidRDefault="000B6B51"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However, as explained, the test for whether an error or irregularity is material </w:t>
      </w:r>
      <w:proofErr w:type="gramStart"/>
      <w:r w:rsidR="002E7197" w:rsidRPr="005B5ADE">
        <w:rPr>
          <w:rFonts w:ascii="Times New Roman" w:hAnsi="Times New Roman"/>
        </w:rPr>
        <w:t xml:space="preserve">so as </w:t>
      </w:r>
      <w:r w:rsidR="00B47311" w:rsidRPr="005B5ADE">
        <w:rPr>
          <w:rFonts w:ascii="Times New Roman" w:hAnsi="Times New Roman"/>
        </w:rPr>
        <w:t>to</w:t>
      </w:r>
      <w:proofErr w:type="gramEnd"/>
      <w:r w:rsidR="00B47311" w:rsidRPr="005B5ADE">
        <w:rPr>
          <w:rFonts w:ascii="Times New Roman" w:hAnsi="Times New Roman"/>
        </w:rPr>
        <w:t xml:space="preserve"> amount to a miscarriage of </w:t>
      </w:r>
      <w:r w:rsidR="00566A1B" w:rsidRPr="005B5ADE">
        <w:rPr>
          <w:rFonts w:ascii="Times New Roman" w:hAnsi="Times New Roman"/>
        </w:rPr>
        <w:t>justice</w:t>
      </w:r>
      <w:r w:rsidR="00B47311" w:rsidRPr="005B5ADE">
        <w:rPr>
          <w:rFonts w:ascii="Times New Roman" w:hAnsi="Times New Roman"/>
        </w:rPr>
        <w:t xml:space="preserve"> looks to the possible effect on the trial that was had; it is not a</w:t>
      </w:r>
      <w:r w:rsidR="00DD2871" w:rsidRPr="005B5ADE">
        <w:rPr>
          <w:rFonts w:ascii="Times New Roman" w:hAnsi="Times New Roman"/>
        </w:rPr>
        <w:t xml:space="preserve"> counterfactual</w:t>
      </w:r>
      <w:r w:rsidR="00B47311" w:rsidRPr="005B5ADE">
        <w:rPr>
          <w:rFonts w:ascii="Times New Roman" w:hAnsi="Times New Roman"/>
        </w:rPr>
        <w:t xml:space="preserve"> inquiry into a trial that did not occur. If the appellant's </w:t>
      </w:r>
      <w:r w:rsidR="009E1076" w:rsidRPr="005B5ADE">
        <w:rPr>
          <w:rFonts w:ascii="Times New Roman" w:hAnsi="Times New Roman"/>
        </w:rPr>
        <w:t xml:space="preserve">trial </w:t>
      </w:r>
      <w:r w:rsidR="00E34708" w:rsidRPr="005B5ADE">
        <w:rPr>
          <w:rFonts w:ascii="Times New Roman" w:hAnsi="Times New Roman"/>
        </w:rPr>
        <w:t>c</w:t>
      </w:r>
      <w:r w:rsidR="00B47311" w:rsidRPr="005B5ADE">
        <w:rPr>
          <w:rFonts w:ascii="Times New Roman" w:hAnsi="Times New Roman"/>
        </w:rPr>
        <w:t xml:space="preserve">ounsel had sought to identify </w:t>
      </w:r>
      <w:r w:rsidR="0024401B" w:rsidRPr="005B5ADE">
        <w:rPr>
          <w:rFonts w:ascii="Times New Roman" w:hAnsi="Times New Roman"/>
        </w:rPr>
        <w:t>X</w:t>
      </w:r>
      <w:r w:rsidR="00B47311" w:rsidRPr="005B5ADE">
        <w:rPr>
          <w:rFonts w:ascii="Times New Roman" w:hAnsi="Times New Roman"/>
        </w:rPr>
        <w:t xml:space="preserve"> as the </w:t>
      </w:r>
      <w:r w:rsidR="004136CF" w:rsidRPr="005B5ADE">
        <w:rPr>
          <w:rFonts w:ascii="Times New Roman" w:hAnsi="Times New Roman"/>
        </w:rPr>
        <w:t>perpetrator</w:t>
      </w:r>
      <w:r w:rsidR="00E34708" w:rsidRPr="005B5ADE">
        <w:rPr>
          <w:rFonts w:ascii="Times New Roman" w:hAnsi="Times New Roman"/>
        </w:rPr>
        <w:t>,</w:t>
      </w:r>
      <w:r w:rsidR="00B47311" w:rsidRPr="005B5ADE">
        <w:rPr>
          <w:rFonts w:ascii="Times New Roman" w:hAnsi="Times New Roman"/>
        </w:rPr>
        <w:t xml:space="preserve"> or the most likely </w:t>
      </w:r>
      <w:r w:rsidR="004136CF" w:rsidRPr="005B5ADE">
        <w:rPr>
          <w:rFonts w:ascii="Times New Roman" w:hAnsi="Times New Roman"/>
        </w:rPr>
        <w:t>perpetrator</w:t>
      </w:r>
      <w:r w:rsidR="00B47311" w:rsidRPr="005B5ADE">
        <w:rPr>
          <w:rFonts w:ascii="Times New Roman" w:hAnsi="Times New Roman"/>
        </w:rPr>
        <w:t xml:space="preserve"> amongst the possible </w:t>
      </w:r>
      <w:r w:rsidR="00AF4208" w:rsidRPr="005B5ADE">
        <w:rPr>
          <w:rFonts w:ascii="Times New Roman" w:hAnsi="Times New Roman"/>
        </w:rPr>
        <w:t>"</w:t>
      </w:r>
      <w:r w:rsidR="00B47311" w:rsidRPr="005B5ADE">
        <w:rPr>
          <w:rFonts w:ascii="Times New Roman" w:hAnsi="Times New Roman"/>
        </w:rPr>
        <w:t>uncles</w:t>
      </w:r>
      <w:r w:rsidR="00AF4208" w:rsidRPr="005B5ADE">
        <w:rPr>
          <w:rFonts w:ascii="Times New Roman" w:hAnsi="Times New Roman"/>
        </w:rPr>
        <w:t>"</w:t>
      </w:r>
      <w:r w:rsidR="00E34708" w:rsidRPr="005B5ADE">
        <w:rPr>
          <w:rFonts w:ascii="Times New Roman" w:hAnsi="Times New Roman"/>
        </w:rPr>
        <w:t>,</w:t>
      </w:r>
      <w:r w:rsidR="00B47311" w:rsidRPr="005B5ADE">
        <w:rPr>
          <w:rFonts w:ascii="Times New Roman" w:hAnsi="Times New Roman"/>
        </w:rPr>
        <w:t xml:space="preserve"> then that might have been a </w:t>
      </w:r>
      <w:r w:rsidR="009E755E" w:rsidRPr="005B5ADE">
        <w:rPr>
          <w:rFonts w:ascii="Times New Roman" w:hAnsi="Times New Roman"/>
        </w:rPr>
        <w:t xml:space="preserve">better or </w:t>
      </w:r>
      <w:r w:rsidR="00B47311" w:rsidRPr="005B5ADE">
        <w:rPr>
          <w:rFonts w:ascii="Times New Roman" w:hAnsi="Times New Roman"/>
        </w:rPr>
        <w:t xml:space="preserve">worse </w:t>
      </w:r>
      <w:r w:rsidR="00014926" w:rsidRPr="005B5ADE">
        <w:rPr>
          <w:rFonts w:ascii="Times New Roman" w:hAnsi="Times New Roman"/>
        </w:rPr>
        <w:t xml:space="preserve">defence </w:t>
      </w:r>
      <w:r w:rsidR="00B47311" w:rsidRPr="005B5ADE">
        <w:rPr>
          <w:rFonts w:ascii="Times New Roman" w:hAnsi="Times New Roman"/>
        </w:rPr>
        <w:t xml:space="preserve">case than was </w:t>
      </w:r>
      <w:r w:rsidR="009E755E" w:rsidRPr="005B5ADE">
        <w:rPr>
          <w:rFonts w:ascii="Times New Roman" w:hAnsi="Times New Roman"/>
        </w:rPr>
        <w:t xml:space="preserve">in fact </w:t>
      </w:r>
      <w:r w:rsidR="00B47311" w:rsidRPr="005B5ADE">
        <w:rPr>
          <w:rFonts w:ascii="Times New Roman" w:hAnsi="Times New Roman"/>
        </w:rPr>
        <w:t xml:space="preserve">run. </w:t>
      </w:r>
      <w:r w:rsidR="00EF7FF7" w:rsidRPr="005B5ADE">
        <w:rPr>
          <w:rFonts w:ascii="Times New Roman" w:hAnsi="Times New Roman"/>
        </w:rPr>
        <w:t xml:space="preserve">But that is beside the point. </w:t>
      </w:r>
      <w:r w:rsidR="00B47311" w:rsidRPr="005B5ADE">
        <w:rPr>
          <w:rFonts w:ascii="Times New Roman" w:hAnsi="Times New Roman"/>
        </w:rPr>
        <w:t xml:space="preserve">What </w:t>
      </w:r>
      <w:r w:rsidR="00EF7FF7" w:rsidRPr="005B5ADE">
        <w:rPr>
          <w:rFonts w:ascii="Times New Roman" w:hAnsi="Times New Roman"/>
        </w:rPr>
        <w:t xml:space="preserve">matters </w:t>
      </w:r>
      <w:r w:rsidR="00B47311" w:rsidRPr="005B5ADE">
        <w:rPr>
          <w:rFonts w:ascii="Times New Roman" w:hAnsi="Times New Roman"/>
        </w:rPr>
        <w:t xml:space="preserve">is that </w:t>
      </w:r>
      <w:r w:rsidR="005C5C94" w:rsidRPr="005B5ADE">
        <w:rPr>
          <w:rFonts w:ascii="Times New Roman" w:hAnsi="Times New Roman"/>
        </w:rPr>
        <w:t xml:space="preserve">the appellant was denied the opportunity to </w:t>
      </w:r>
      <w:r w:rsidR="00A54B39" w:rsidRPr="005B5ADE">
        <w:rPr>
          <w:rFonts w:ascii="Times New Roman" w:hAnsi="Times New Roman"/>
        </w:rPr>
        <w:t>conduct a case that was</w:t>
      </w:r>
      <w:r w:rsidR="006952FE" w:rsidRPr="005B5ADE">
        <w:rPr>
          <w:rFonts w:ascii="Times New Roman" w:hAnsi="Times New Roman"/>
        </w:rPr>
        <w:t xml:space="preserve"> </w:t>
      </w:r>
      <w:r w:rsidR="00B47311" w:rsidRPr="005B5ADE">
        <w:rPr>
          <w:rFonts w:ascii="Times New Roman" w:hAnsi="Times New Roman"/>
        </w:rPr>
        <w:t xml:space="preserve">different </w:t>
      </w:r>
      <w:r w:rsidR="007A054E" w:rsidRPr="005B5ADE">
        <w:rPr>
          <w:rFonts w:ascii="Times New Roman" w:hAnsi="Times New Roman"/>
        </w:rPr>
        <w:t>from</w:t>
      </w:r>
      <w:r w:rsidR="00B47311" w:rsidRPr="005B5ADE">
        <w:rPr>
          <w:rFonts w:ascii="Times New Roman" w:hAnsi="Times New Roman"/>
        </w:rPr>
        <w:t xml:space="preserve"> the case that was run</w:t>
      </w:r>
      <w:r w:rsidR="00014926" w:rsidRPr="005B5ADE">
        <w:rPr>
          <w:rFonts w:ascii="Times New Roman" w:hAnsi="Times New Roman"/>
        </w:rPr>
        <w:t>,</w:t>
      </w:r>
      <w:r w:rsidR="00B47311" w:rsidRPr="005B5ADE">
        <w:rPr>
          <w:rFonts w:ascii="Times New Roman" w:hAnsi="Times New Roman"/>
        </w:rPr>
        <w:t xml:space="preserve"> </w:t>
      </w:r>
      <w:r w:rsidR="00C843A6" w:rsidRPr="005B5ADE">
        <w:rPr>
          <w:rFonts w:ascii="Times New Roman" w:hAnsi="Times New Roman"/>
        </w:rPr>
        <w:t xml:space="preserve">and that difference could </w:t>
      </w:r>
      <w:r w:rsidR="00B47311" w:rsidRPr="005B5ADE">
        <w:rPr>
          <w:rFonts w:ascii="Times New Roman" w:hAnsi="Times New Roman"/>
        </w:rPr>
        <w:t>realistically have affected the reasoning of the jury to the verdict of guilty.</w:t>
      </w:r>
      <w:r w:rsidR="00E34708" w:rsidRPr="005B5ADE">
        <w:rPr>
          <w:rStyle w:val="FootnoteReference"/>
          <w:rFonts w:ascii="Times New Roman" w:hAnsi="Times New Roman"/>
          <w:sz w:val="24"/>
        </w:rPr>
        <w:footnoteReference w:id="54"/>
      </w:r>
      <w:r w:rsidR="00B47311" w:rsidRPr="005B5ADE">
        <w:rPr>
          <w:rFonts w:ascii="Times New Roman" w:hAnsi="Times New Roman"/>
        </w:rPr>
        <w:t xml:space="preserve"> </w:t>
      </w:r>
    </w:p>
    <w:p w14:paraId="1E59A644" w14:textId="6E098AF7" w:rsidR="00B47311" w:rsidRPr="005B5ADE" w:rsidRDefault="00E34708"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Once it is accepted, as it was here, that there was a breach of the duty of disclosure then a miscarriage of justice w</w:t>
      </w:r>
      <w:r w:rsidR="00025036" w:rsidRPr="005B5ADE">
        <w:rPr>
          <w:rFonts w:ascii="Times New Roman" w:hAnsi="Times New Roman"/>
        </w:rPr>
        <w:t>ill have been</w:t>
      </w:r>
      <w:r w:rsidR="00B47311" w:rsidRPr="005B5ADE">
        <w:rPr>
          <w:rFonts w:ascii="Times New Roman" w:hAnsi="Times New Roman"/>
        </w:rPr>
        <w:t xml:space="preserve"> established if it </w:t>
      </w:r>
      <w:r w:rsidR="00025036" w:rsidRPr="005B5ADE">
        <w:rPr>
          <w:rFonts w:ascii="Times New Roman" w:hAnsi="Times New Roman"/>
        </w:rPr>
        <w:t>can be</w:t>
      </w:r>
      <w:r w:rsidR="00B47311" w:rsidRPr="005B5ADE">
        <w:rPr>
          <w:rFonts w:ascii="Times New Roman" w:hAnsi="Times New Roman"/>
        </w:rPr>
        <w:t xml:space="preserve"> concluded that </w:t>
      </w:r>
      <w:r w:rsidR="00754D5E" w:rsidRPr="005B5ADE">
        <w:rPr>
          <w:rFonts w:ascii="Times New Roman" w:hAnsi="Times New Roman"/>
        </w:rPr>
        <w:t>the</w:t>
      </w:r>
      <w:r w:rsidR="00B47311" w:rsidRPr="005B5ADE">
        <w:rPr>
          <w:rFonts w:ascii="Times New Roman" w:hAnsi="Times New Roman"/>
        </w:rPr>
        <w:t xml:space="preserve"> breach could realistically have affected the reasoning of the jury to the verdict of guilty that was returned. To the extent that the Court of Appeal addressed that issue by reference to whether it </w:t>
      </w:r>
      <w:r w:rsidR="00A21306" w:rsidRPr="005B5ADE">
        <w:rPr>
          <w:rFonts w:ascii="Times New Roman" w:hAnsi="Times New Roman"/>
        </w:rPr>
        <w:t>"</w:t>
      </w:r>
      <w:r w:rsidR="00B47311" w:rsidRPr="005B5ADE">
        <w:rPr>
          <w:rFonts w:ascii="Times New Roman" w:hAnsi="Times New Roman"/>
        </w:rPr>
        <w:t>would</w:t>
      </w:r>
      <w:r w:rsidR="00A21306" w:rsidRPr="005B5ADE">
        <w:rPr>
          <w:rFonts w:ascii="Times New Roman" w:hAnsi="Times New Roman"/>
        </w:rPr>
        <w:t>"</w:t>
      </w:r>
      <w:r w:rsidR="00B47311" w:rsidRPr="005B5ADE">
        <w:rPr>
          <w:rFonts w:ascii="Times New Roman" w:hAnsi="Times New Roman"/>
        </w:rPr>
        <w:t xml:space="preserve"> have affected the</w:t>
      </w:r>
      <w:r w:rsidR="00A21306" w:rsidRPr="005B5ADE">
        <w:rPr>
          <w:rFonts w:ascii="Times New Roman" w:hAnsi="Times New Roman"/>
        </w:rPr>
        <w:t xml:space="preserve"> course of the trial and thus the jury's</w:t>
      </w:r>
      <w:r w:rsidR="00B47311" w:rsidRPr="005B5ADE">
        <w:rPr>
          <w:rFonts w:ascii="Times New Roman" w:hAnsi="Times New Roman"/>
        </w:rPr>
        <w:t xml:space="preserve"> reasoning</w:t>
      </w:r>
      <w:r w:rsidR="00FA5D1A" w:rsidRPr="005B5ADE">
        <w:rPr>
          <w:rFonts w:ascii="Times New Roman" w:hAnsi="Times New Roman"/>
        </w:rPr>
        <w:t>,</w:t>
      </w:r>
      <w:r w:rsidR="00B47311" w:rsidRPr="005B5ADE">
        <w:rPr>
          <w:rFonts w:ascii="Times New Roman" w:hAnsi="Times New Roman"/>
        </w:rPr>
        <w:t xml:space="preserve"> their Honours erred. </w:t>
      </w:r>
      <w:r w:rsidR="006A1A41" w:rsidRPr="005B5ADE">
        <w:rPr>
          <w:rFonts w:ascii="Times New Roman" w:hAnsi="Times New Roman"/>
        </w:rPr>
        <w:t>There</w:t>
      </w:r>
      <w:r w:rsidR="00B47311" w:rsidRPr="005B5ADE">
        <w:rPr>
          <w:rFonts w:ascii="Times New Roman" w:hAnsi="Times New Roman"/>
        </w:rPr>
        <w:t xml:space="preserve"> was evidence at </w:t>
      </w:r>
      <w:r w:rsidR="00B47311" w:rsidRPr="005B5ADE">
        <w:rPr>
          <w:rFonts w:ascii="Times New Roman" w:hAnsi="Times New Roman"/>
        </w:rPr>
        <w:lastRenderedPageBreak/>
        <w:t xml:space="preserve">the trial that </w:t>
      </w:r>
      <w:r w:rsidR="00FA5D1A" w:rsidRPr="005B5ADE">
        <w:rPr>
          <w:rFonts w:ascii="Times New Roman" w:hAnsi="Times New Roman"/>
        </w:rPr>
        <w:t>the complainant</w:t>
      </w:r>
      <w:r w:rsidR="00B47311" w:rsidRPr="005B5ADE">
        <w:rPr>
          <w:rFonts w:ascii="Times New Roman" w:hAnsi="Times New Roman"/>
        </w:rPr>
        <w:t xml:space="preserve"> had nominated an </w:t>
      </w:r>
      <w:r w:rsidR="006B31F0" w:rsidRPr="005B5ADE">
        <w:rPr>
          <w:rFonts w:ascii="Times New Roman" w:hAnsi="Times New Roman"/>
        </w:rPr>
        <w:t>"</w:t>
      </w:r>
      <w:r w:rsidR="00B47311" w:rsidRPr="005B5ADE">
        <w:rPr>
          <w:rFonts w:ascii="Times New Roman" w:hAnsi="Times New Roman"/>
        </w:rPr>
        <w:t xml:space="preserve">uncle" as the perpetrator and that </w:t>
      </w:r>
      <w:r w:rsidR="00FA5D1A" w:rsidRPr="005B5ADE">
        <w:rPr>
          <w:rFonts w:ascii="Times New Roman" w:hAnsi="Times New Roman"/>
        </w:rPr>
        <w:t>the complainant</w:t>
      </w:r>
      <w:r w:rsidR="00B47311" w:rsidRPr="005B5ADE">
        <w:rPr>
          <w:rFonts w:ascii="Times New Roman" w:hAnsi="Times New Roman"/>
        </w:rPr>
        <w:t xml:space="preserve"> regarded </w:t>
      </w:r>
      <w:r w:rsidR="00FA5D1A" w:rsidRPr="005B5ADE">
        <w:rPr>
          <w:rFonts w:ascii="Times New Roman" w:hAnsi="Times New Roman"/>
        </w:rPr>
        <w:t>X</w:t>
      </w:r>
      <w:r w:rsidR="00B47311" w:rsidRPr="005B5ADE">
        <w:rPr>
          <w:rFonts w:ascii="Times New Roman" w:hAnsi="Times New Roman"/>
        </w:rPr>
        <w:t xml:space="preserve"> as an </w:t>
      </w:r>
      <w:r w:rsidR="006B31F0" w:rsidRPr="005B5ADE">
        <w:rPr>
          <w:rFonts w:ascii="Times New Roman" w:hAnsi="Times New Roman"/>
        </w:rPr>
        <w:t>"</w:t>
      </w:r>
      <w:r w:rsidR="00B47311" w:rsidRPr="005B5ADE">
        <w:rPr>
          <w:rFonts w:ascii="Times New Roman" w:hAnsi="Times New Roman"/>
        </w:rPr>
        <w:t>uncle</w:t>
      </w:r>
      <w:r w:rsidR="006B31F0" w:rsidRPr="005B5ADE">
        <w:rPr>
          <w:rFonts w:ascii="Times New Roman" w:hAnsi="Times New Roman"/>
        </w:rPr>
        <w:t>"</w:t>
      </w:r>
      <w:r w:rsidR="00B47311" w:rsidRPr="005B5ADE">
        <w:rPr>
          <w:rFonts w:ascii="Times New Roman" w:hAnsi="Times New Roman"/>
        </w:rPr>
        <w:t xml:space="preserve">. Given that evidence and the manner in which the trial was conducted, the denial to the appellant of the opportunity, or at least the enhanced opportunity, to point to </w:t>
      </w:r>
      <w:r w:rsidR="00FA5D1A" w:rsidRPr="005B5ADE">
        <w:rPr>
          <w:rFonts w:ascii="Times New Roman" w:hAnsi="Times New Roman"/>
        </w:rPr>
        <w:t>X</w:t>
      </w:r>
      <w:r w:rsidR="00B47311" w:rsidRPr="005B5ADE">
        <w:rPr>
          <w:rFonts w:ascii="Times New Roman" w:hAnsi="Times New Roman"/>
        </w:rPr>
        <w:t xml:space="preserve"> as a</w:t>
      </w:r>
      <w:r w:rsidR="00D269C5" w:rsidRPr="005B5ADE">
        <w:rPr>
          <w:rFonts w:ascii="Times New Roman" w:hAnsi="Times New Roman"/>
        </w:rPr>
        <w:t xml:space="preserve"> </w:t>
      </w:r>
      <w:r w:rsidR="00C27AB1" w:rsidRPr="005B5ADE">
        <w:rPr>
          <w:rFonts w:ascii="Times New Roman" w:hAnsi="Times New Roman"/>
        </w:rPr>
        <w:t>possible</w:t>
      </w:r>
      <w:r w:rsidR="00B47311" w:rsidRPr="005B5ADE">
        <w:rPr>
          <w:rFonts w:ascii="Times New Roman" w:hAnsi="Times New Roman"/>
        </w:rPr>
        <w:t xml:space="preserve"> perpetrator that was occasioned by the non-disclosure of material suggesting </w:t>
      </w:r>
      <w:r w:rsidR="00A84EE1" w:rsidRPr="005B5ADE">
        <w:rPr>
          <w:rFonts w:ascii="Times New Roman" w:hAnsi="Times New Roman"/>
        </w:rPr>
        <w:t xml:space="preserve">X </w:t>
      </w:r>
      <w:r w:rsidR="00B47311" w:rsidRPr="005B5ADE">
        <w:rPr>
          <w:rFonts w:ascii="Times New Roman" w:hAnsi="Times New Roman"/>
        </w:rPr>
        <w:t xml:space="preserve">had committed similar sexual abuse against a teenage girl </w:t>
      </w:r>
      <w:r w:rsidR="003817E2" w:rsidRPr="005B5ADE">
        <w:rPr>
          <w:rFonts w:ascii="Times New Roman" w:hAnsi="Times New Roman"/>
        </w:rPr>
        <w:t xml:space="preserve">is a matter that </w:t>
      </w:r>
      <w:r w:rsidR="00B47311" w:rsidRPr="005B5ADE">
        <w:rPr>
          <w:rFonts w:ascii="Times New Roman" w:hAnsi="Times New Roman"/>
        </w:rPr>
        <w:t xml:space="preserve">could realistically have affected the reasoning of the jury to the verdict of guilty. </w:t>
      </w:r>
    </w:p>
    <w:p w14:paraId="704C511F" w14:textId="30F1CB10" w:rsidR="00B47311" w:rsidRPr="005B5ADE" w:rsidRDefault="00E34708"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Ground 1 of the appeal should be upheld.</w:t>
      </w:r>
    </w:p>
    <w:p w14:paraId="3AD10AF9" w14:textId="2BD2978A"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t xml:space="preserve">The </w:t>
      </w:r>
      <w:r w:rsidR="003817E2" w:rsidRPr="005B5ADE">
        <w:rPr>
          <w:rFonts w:ascii="Times New Roman" w:hAnsi="Times New Roman"/>
        </w:rPr>
        <w:t xml:space="preserve">alleged </w:t>
      </w:r>
      <w:r w:rsidR="00E34708" w:rsidRPr="005B5ADE">
        <w:rPr>
          <w:rFonts w:ascii="Times New Roman" w:hAnsi="Times New Roman"/>
        </w:rPr>
        <w:t>c</w:t>
      </w:r>
      <w:r w:rsidRPr="005B5ADE">
        <w:rPr>
          <w:rFonts w:ascii="Times New Roman" w:hAnsi="Times New Roman"/>
        </w:rPr>
        <w:t>oncession</w:t>
      </w:r>
    </w:p>
    <w:p w14:paraId="1C72D0E7" w14:textId="4DCA5FD8" w:rsidR="00961AA4" w:rsidRPr="005B5ADE" w:rsidRDefault="00E34708"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Ground 2 of the appeal contends that the Court of Appeal erred in relying on what was understood to be a concession by the appellant that the prosecution's non</w:t>
      </w:r>
      <w:r w:rsidR="00217B98" w:rsidRPr="005B5ADE">
        <w:rPr>
          <w:rFonts w:ascii="Times New Roman" w:hAnsi="Times New Roman"/>
        </w:rPr>
        <w:noBreakHyphen/>
      </w:r>
      <w:r w:rsidR="00B47311" w:rsidRPr="005B5ADE">
        <w:rPr>
          <w:rFonts w:ascii="Times New Roman" w:hAnsi="Times New Roman"/>
        </w:rPr>
        <w:t xml:space="preserve">disclosure had not deprived him of any opportunity to adduce admissible evidence that </w:t>
      </w:r>
      <w:r w:rsidR="002525F8" w:rsidRPr="005B5ADE">
        <w:rPr>
          <w:rFonts w:ascii="Times New Roman" w:hAnsi="Times New Roman"/>
        </w:rPr>
        <w:t>X</w:t>
      </w:r>
      <w:r w:rsidR="00B47311" w:rsidRPr="005B5ADE">
        <w:rPr>
          <w:rFonts w:ascii="Times New Roman" w:hAnsi="Times New Roman"/>
        </w:rPr>
        <w:t xml:space="preserve"> had engaged in unlawful sexual intercourse with another child. </w:t>
      </w:r>
    </w:p>
    <w:p w14:paraId="009EBDEA" w14:textId="7F252016" w:rsidR="00B47311" w:rsidRPr="005B5ADE" w:rsidRDefault="00961AA4"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Given</w:t>
      </w:r>
      <w:r w:rsidR="00217B98" w:rsidRPr="005B5ADE">
        <w:rPr>
          <w:rFonts w:ascii="Times New Roman" w:hAnsi="Times New Roman"/>
        </w:rPr>
        <w:t xml:space="preserve"> that</w:t>
      </w:r>
      <w:r w:rsidR="00B47311" w:rsidRPr="005B5ADE">
        <w:rPr>
          <w:rFonts w:ascii="Times New Roman" w:hAnsi="Times New Roman"/>
        </w:rPr>
        <w:t xml:space="preserve"> the appellant succeeds on ground</w:t>
      </w:r>
      <w:r w:rsidR="00E34708" w:rsidRPr="005B5ADE">
        <w:rPr>
          <w:rFonts w:ascii="Times New Roman" w:hAnsi="Times New Roman"/>
        </w:rPr>
        <w:t> </w:t>
      </w:r>
      <w:r w:rsidR="00B47311" w:rsidRPr="005B5ADE">
        <w:rPr>
          <w:rFonts w:ascii="Times New Roman" w:hAnsi="Times New Roman"/>
        </w:rPr>
        <w:t>1</w:t>
      </w:r>
      <w:r w:rsidR="002525F8" w:rsidRPr="005B5ADE">
        <w:rPr>
          <w:rFonts w:ascii="Times New Roman" w:hAnsi="Times New Roman"/>
        </w:rPr>
        <w:t>,</w:t>
      </w:r>
      <w:r w:rsidR="00B47311" w:rsidRPr="005B5ADE">
        <w:rPr>
          <w:rFonts w:ascii="Times New Roman" w:hAnsi="Times New Roman"/>
        </w:rPr>
        <w:t xml:space="preserve"> it is not necessary to address this ground. </w:t>
      </w:r>
      <w:r w:rsidR="00AD0A62" w:rsidRPr="005B5ADE">
        <w:rPr>
          <w:rFonts w:ascii="Times New Roman" w:hAnsi="Times New Roman"/>
        </w:rPr>
        <w:t xml:space="preserve">In any event, </w:t>
      </w:r>
      <w:r w:rsidR="00B47311" w:rsidRPr="005B5ADE">
        <w:rPr>
          <w:rFonts w:ascii="Times New Roman" w:hAnsi="Times New Roman"/>
        </w:rPr>
        <w:t>the argument in the Court of Appeal about whether, had disclosure been made, the appellant might have adduced additional evidence proceeded</w:t>
      </w:r>
      <w:r w:rsidR="00AD0A62" w:rsidRPr="005B5ADE">
        <w:rPr>
          <w:rFonts w:ascii="Times New Roman" w:hAnsi="Times New Roman"/>
        </w:rPr>
        <w:t xml:space="preserve"> on the basis that the </w:t>
      </w:r>
      <w:r w:rsidR="00235598" w:rsidRPr="005B5ADE">
        <w:rPr>
          <w:rFonts w:ascii="Times New Roman" w:hAnsi="Times New Roman"/>
        </w:rPr>
        <w:t>only</w:t>
      </w:r>
      <w:r w:rsidR="009C31CC" w:rsidRPr="005B5ADE">
        <w:rPr>
          <w:rFonts w:ascii="Times New Roman" w:hAnsi="Times New Roman"/>
        </w:rPr>
        <w:t xml:space="preserve"> </w:t>
      </w:r>
      <w:r w:rsidR="00AD0A62" w:rsidRPr="005B5ADE">
        <w:rPr>
          <w:rFonts w:ascii="Times New Roman" w:hAnsi="Times New Roman"/>
        </w:rPr>
        <w:t xml:space="preserve">"disclosure" which should have been made was of </w:t>
      </w:r>
      <w:r w:rsidR="00B47311" w:rsidRPr="005B5ADE">
        <w:rPr>
          <w:rFonts w:ascii="Times New Roman" w:hAnsi="Times New Roman"/>
        </w:rPr>
        <w:t xml:space="preserve">the </w:t>
      </w:r>
      <w:r w:rsidR="00AF33C9" w:rsidRPr="005B5ADE">
        <w:rPr>
          <w:rFonts w:ascii="Times New Roman" w:hAnsi="Times New Roman"/>
        </w:rPr>
        <w:t>"</w:t>
      </w:r>
      <w:r w:rsidR="00B47311" w:rsidRPr="005B5ADE">
        <w:rPr>
          <w:rFonts w:ascii="Times New Roman" w:hAnsi="Times New Roman"/>
        </w:rPr>
        <w:t>fact</w:t>
      </w:r>
      <w:r w:rsidR="00AF33C9" w:rsidRPr="005B5ADE">
        <w:rPr>
          <w:rFonts w:ascii="Times New Roman" w:hAnsi="Times New Roman"/>
        </w:rPr>
        <w:t>s</w:t>
      </w:r>
      <w:r w:rsidR="00B47311" w:rsidRPr="005B5ADE">
        <w:rPr>
          <w:rFonts w:ascii="Times New Roman" w:hAnsi="Times New Roman"/>
        </w:rPr>
        <w:t xml:space="preserve"> of charge</w:t>
      </w:r>
      <w:r w:rsidR="00AF33C9" w:rsidRPr="005B5ADE">
        <w:rPr>
          <w:rFonts w:ascii="Times New Roman" w:hAnsi="Times New Roman"/>
        </w:rPr>
        <w:t>"</w:t>
      </w:r>
      <w:r w:rsidR="00B47311" w:rsidRPr="005B5ADE">
        <w:rPr>
          <w:rFonts w:ascii="Times New Roman" w:hAnsi="Times New Roman"/>
        </w:rPr>
        <w:t xml:space="preserve"> document</w:t>
      </w:r>
      <w:r w:rsidR="0021048B" w:rsidRPr="005B5ADE">
        <w:rPr>
          <w:rFonts w:ascii="Times New Roman" w:hAnsi="Times New Roman"/>
        </w:rPr>
        <w:t xml:space="preserve"> and the other information noted above</w:t>
      </w:r>
      <w:r w:rsidR="00B47311" w:rsidRPr="005B5ADE">
        <w:rPr>
          <w:rFonts w:ascii="Times New Roman" w:hAnsi="Times New Roman"/>
        </w:rPr>
        <w:t xml:space="preserve">. </w:t>
      </w:r>
      <w:r w:rsidR="00AD0A62" w:rsidRPr="005B5ADE">
        <w:rPr>
          <w:rFonts w:ascii="Times New Roman" w:hAnsi="Times New Roman"/>
        </w:rPr>
        <w:t xml:space="preserve">However, disclosure of those documents did not necessarily discharge the prosecution's duty of </w:t>
      </w:r>
      <w:proofErr w:type="gramStart"/>
      <w:r w:rsidR="00AD0A62" w:rsidRPr="005B5ADE">
        <w:rPr>
          <w:rFonts w:ascii="Times New Roman" w:hAnsi="Times New Roman"/>
        </w:rPr>
        <w:t>disclosure</w:t>
      </w:r>
      <w:proofErr w:type="gramEnd"/>
      <w:r w:rsidR="00AD0A62" w:rsidRPr="005B5ADE">
        <w:rPr>
          <w:rFonts w:ascii="Times New Roman" w:hAnsi="Times New Roman"/>
        </w:rPr>
        <w:t xml:space="preserve"> and w</w:t>
      </w:r>
      <w:r w:rsidR="00B47311" w:rsidRPr="005B5ADE">
        <w:rPr>
          <w:rFonts w:ascii="Times New Roman" w:hAnsi="Times New Roman"/>
        </w:rPr>
        <w:t xml:space="preserve">e should not be taken as </w:t>
      </w:r>
      <w:r w:rsidR="006D6630" w:rsidRPr="005B5ADE">
        <w:rPr>
          <w:rFonts w:ascii="Times New Roman" w:hAnsi="Times New Roman"/>
        </w:rPr>
        <w:t xml:space="preserve">necessarily </w:t>
      </w:r>
      <w:r w:rsidR="00B47311" w:rsidRPr="005B5ADE">
        <w:rPr>
          <w:rFonts w:ascii="Times New Roman" w:hAnsi="Times New Roman"/>
        </w:rPr>
        <w:t>accepting that</w:t>
      </w:r>
      <w:r w:rsidR="00AD0A62" w:rsidRPr="005B5ADE">
        <w:rPr>
          <w:rFonts w:ascii="Times New Roman" w:hAnsi="Times New Roman"/>
        </w:rPr>
        <w:t xml:space="preserve"> it did so</w:t>
      </w:r>
      <w:r w:rsidR="00B47311" w:rsidRPr="005B5ADE">
        <w:rPr>
          <w:rFonts w:ascii="Times New Roman" w:hAnsi="Times New Roman"/>
        </w:rPr>
        <w:t xml:space="preserve">. It is not known whether </w:t>
      </w:r>
      <w:r w:rsidR="00F06D7E" w:rsidRPr="005B5ADE">
        <w:rPr>
          <w:rFonts w:ascii="Times New Roman" w:hAnsi="Times New Roman"/>
        </w:rPr>
        <w:t xml:space="preserve">there was other material that the prosecution was required to disclose, such as a copy of any statement provided by Y or any interview conducted with her, or whether there was any reason why such a statement or interview could not be provided. </w:t>
      </w:r>
      <w:r w:rsidR="00B47311" w:rsidRPr="005B5ADE">
        <w:rPr>
          <w:rFonts w:ascii="Times New Roman" w:hAnsi="Times New Roman"/>
        </w:rPr>
        <w:t>As the appellant's conviction will be set aside and a new trial ordered, it will be for the parties to address whether any further disclosure is required.</w:t>
      </w:r>
    </w:p>
    <w:p w14:paraId="64E86A1C" w14:textId="32F214C7"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t xml:space="preserve">The </w:t>
      </w:r>
      <w:r w:rsidR="00E34708" w:rsidRPr="005B5ADE">
        <w:rPr>
          <w:rFonts w:ascii="Times New Roman" w:hAnsi="Times New Roman"/>
        </w:rPr>
        <w:t>p</w:t>
      </w:r>
      <w:r w:rsidRPr="005B5ADE">
        <w:rPr>
          <w:rFonts w:ascii="Times New Roman" w:hAnsi="Times New Roman"/>
        </w:rPr>
        <w:t>roviso</w:t>
      </w:r>
    </w:p>
    <w:p w14:paraId="433BA58A" w14:textId="67CBC2E0" w:rsidR="00B47311" w:rsidRPr="005B5ADE" w:rsidRDefault="00E34708"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By a notice of contention, the </w:t>
      </w:r>
      <w:r w:rsidRPr="005B5ADE">
        <w:rPr>
          <w:rFonts w:ascii="Times New Roman" w:hAnsi="Times New Roman"/>
        </w:rPr>
        <w:t>r</w:t>
      </w:r>
      <w:r w:rsidR="00B47311" w:rsidRPr="005B5ADE">
        <w:rPr>
          <w:rFonts w:ascii="Times New Roman" w:hAnsi="Times New Roman"/>
        </w:rPr>
        <w:t>espondent sought to rely on the proviso</w:t>
      </w:r>
      <w:r w:rsidRPr="005B5ADE">
        <w:rPr>
          <w:rStyle w:val="FootnoteReference"/>
          <w:rFonts w:ascii="Times New Roman" w:hAnsi="Times New Roman"/>
          <w:sz w:val="24"/>
        </w:rPr>
        <w:footnoteReference w:id="55"/>
      </w:r>
      <w:r w:rsidR="00B47311" w:rsidRPr="005B5ADE">
        <w:rPr>
          <w:rFonts w:ascii="Times New Roman" w:hAnsi="Times New Roman"/>
        </w:rPr>
        <w:t xml:space="preserve"> by contending that, if th</w:t>
      </w:r>
      <w:r w:rsidR="001C7266" w:rsidRPr="005B5ADE">
        <w:rPr>
          <w:rFonts w:ascii="Times New Roman" w:hAnsi="Times New Roman"/>
        </w:rPr>
        <w:t>is</w:t>
      </w:r>
      <w:r w:rsidR="00B47311" w:rsidRPr="005B5ADE">
        <w:rPr>
          <w:rFonts w:ascii="Times New Roman" w:hAnsi="Times New Roman"/>
        </w:rPr>
        <w:t xml:space="preserve"> Court found that there is no materiality threshold required to establish a miscarriage of justice, the appeal should be dismissed because no </w:t>
      </w:r>
      <w:r w:rsidR="00B47311" w:rsidRPr="005B5ADE">
        <w:rPr>
          <w:rFonts w:ascii="Times New Roman" w:hAnsi="Times New Roman"/>
        </w:rPr>
        <w:lastRenderedPageBreak/>
        <w:t xml:space="preserve">substantial miscarriage of justice </w:t>
      </w:r>
      <w:proofErr w:type="gramStart"/>
      <w:r w:rsidR="00B47311" w:rsidRPr="005B5ADE">
        <w:rPr>
          <w:rFonts w:ascii="Times New Roman" w:hAnsi="Times New Roman"/>
        </w:rPr>
        <w:t>actually occurred</w:t>
      </w:r>
      <w:proofErr w:type="gramEnd"/>
      <w:r w:rsidR="00B47311" w:rsidRPr="005B5ADE">
        <w:rPr>
          <w:rFonts w:ascii="Times New Roman" w:hAnsi="Times New Roman"/>
        </w:rPr>
        <w:t>. However, as th</w:t>
      </w:r>
      <w:r w:rsidR="00611C84" w:rsidRPr="005B5ADE">
        <w:rPr>
          <w:rFonts w:ascii="Times New Roman" w:hAnsi="Times New Roman"/>
        </w:rPr>
        <w:t>is</w:t>
      </w:r>
      <w:r w:rsidR="00B47311" w:rsidRPr="005B5ADE">
        <w:rPr>
          <w:rFonts w:ascii="Times New Roman" w:hAnsi="Times New Roman"/>
        </w:rPr>
        <w:t xml:space="preserve"> Court has held there is such a </w:t>
      </w:r>
      <w:r w:rsidR="00611C84" w:rsidRPr="005B5ADE">
        <w:rPr>
          <w:rFonts w:ascii="Times New Roman" w:hAnsi="Times New Roman"/>
        </w:rPr>
        <w:t xml:space="preserve">materiality </w:t>
      </w:r>
      <w:r w:rsidR="00B47311" w:rsidRPr="005B5ADE">
        <w:rPr>
          <w:rFonts w:ascii="Times New Roman" w:hAnsi="Times New Roman"/>
        </w:rPr>
        <w:t>threshold, the notice of contention does not arise.</w:t>
      </w:r>
    </w:p>
    <w:p w14:paraId="624A7D9E" w14:textId="77777777" w:rsidR="00B47311" w:rsidRPr="005B5ADE" w:rsidRDefault="00B47311" w:rsidP="005B5ADE">
      <w:pPr>
        <w:pStyle w:val="HeadingL1"/>
        <w:spacing w:after="260" w:line="280" w:lineRule="exact"/>
        <w:ind w:right="0"/>
        <w:jc w:val="both"/>
        <w:rPr>
          <w:rFonts w:ascii="Times New Roman" w:hAnsi="Times New Roman"/>
        </w:rPr>
      </w:pPr>
      <w:r w:rsidRPr="005B5ADE">
        <w:rPr>
          <w:rFonts w:ascii="Times New Roman" w:hAnsi="Times New Roman"/>
        </w:rPr>
        <w:t xml:space="preserve">Conclusion </w:t>
      </w:r>
    </w:p>
    <w:p w14:paraId="6E0A27CC" w14:textId="77777777" w:rsidR="00B84339" w:rsidRDefault="00E34708" w:rsidP="005B5ADE">
      <w:pPr>
        <w:pStyle w:val="FixListStyle"/>
        <w:spacing w:after="260" w:line="280" w:lineRule="exact"/>
        <w:ind w:right="0"/>
        <w:jc w:val="both"/>
        <w:rPr>
          <w:rFonts w:ascii="Times New Roman" w:hAnsi="Times New Roman"/>
        </w:rPr>
      </w:pPr>
      <w:r w:rsidRPr="005B5ADE">
        <w:rPr>
          <w:rFonts w:ascii="Times New Roman" w:hAnsi="Times New Roman"/>
        </w:rPr>
        <w:tab/>
      </w:r>
      <w:r w:rsidR="00B47311" w:rsidRPr="005B5ADE">
        <w:rPr>
          <w:rFonts w:ascii="Times New Roman" w:hAnsi="Times New Roman"/>
        </w:rPr>
        <w:t xml:space="preserve">The appeal should be allowed and the order of the Court of Appeal dismissing the appellant's appeal against his conviction should be set aside. In lieu thereof </w:t>
      </w:r>
      <w:r w:rsidR="00056D44" w:rsidRPr="005B5ADE">
        <w:rPr>
          <w:rFonts w:ascii="Times New Roman" w:hAnsi="Times New Roman"/>
        </w:rPr>
        <w:t xml:space="preserve">the appellant's </w:t>
      </w:r>
      <w:r w:rsidR="00B47311" w:rsidRPr="005B5ADE">
        <w:rPr>
          <w:rFonts w:ascii="Times New Roman" w:hAnsi="Times New Roman"/>
        </w:rPr>
        <w:t>appeal to that Court should be allowed, his conviction set aside, and a new trial ordered.</w:t>
      </w:r>
      <w:r w:rsidRPr="005B5ADE">
        <w:rPr>
          <w:rStyle w:val="FootnoteReference"/>
          <w:rFonts w:ascii="Times New Roman" w:hAnsi="Times New Roman"/>
          <w:sz w:val="24"/>
        </w:rPr>
        <w:footnoteReference w:id="56"/>
      </w:r>
      <w:r w:rsidR="00B47311" w:rsidRPr="005B5ADE">
        <w:rPr>
          <w:rFonts w:ascii="Times New Roman" w:hAnsi="Times New Roman"/>
        </w:rPr>
        <w:t xml:space="preserve"> </w:t>
      </w:r>
    </w:p>
    <w:p w14:paraId="702284E4" w14:textId="77777777" w:rsidR="008D109D" w:rsidRDefault="008D109D" w:rsidP="005B5ADE">
      <w:pPr>
        <w:pStyle w:val="FixListStyle"/>
        <w:spacing w:after="260" w:line="280" w:lineRule="exact"/>
        <w:ind w:right="0"/>
        <w:jc w:val="both"/>
        <w:rPr>
          <w:rFonts w:ascii="Times New Roman" w:hAnsi="Times New Roman"/>
        </w:rPr>
        <w:sectPr w:rsidR="008D109D" w:rsidSect="00877A9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1E209B0" w14:textId="23BDF7D5" w:rsidR="00A73989" w:rsidRPr="005B5ADE" w:rsidRDefault="00A73989" w:rsidP="00B84339">
      <w:pPr>
        <w:pStyle w:val="NormalBody"/>
      </w:pPr>
    </w:p>
    <w:sectPr w:rsidR="00A73989" w:rsidRPr="005B5ADE" w:rsidSect="005B5ADE">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0004" w14:textId="77777777" w:rsidR="00435CFF" w:rsidRDefault="00435CFF">
      <w:pPr>
        <w:spacing w:line="240" w:lineRule="auto"/>
      </w:pPr>
      <w:r>
        <w:separator/>
      </w:r>
    </w:p>
  </w:endnote>
  <w:endnote w:type="continuationSeparator" w:id="0">
    <w:p w14:paraId="4AD610E4" w14:textId="77777777" w:rsidR="00435CFF" w:rsidRDefault="00435CFF">
      <w:pPr>
        <w:spacing w:line="240" w:lineRule="auto"/>
      </w:pPr>
      <w:r>
        <w:continuationSeparator/>
      </w:r>
    </w:p>
  </w:endnote>
  <w:endnote w:type="continuationNotice" w:id="1">
    <w:p w14:paraId="318D379B" w14:textId="77777777" w:rsidR="00435CFF" w:rsidRDefault="00435C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FBE3" w14:textId="77777777" w:rsidR="00877A9D" w:rsidRDefault="00877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7704" w14:textId="77777777" w:rsidR="00877A9D" w:rsidRDefault="00877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100A" w14:textId="77777777" w:rsidR="00877A9D" w:rsidRDefault="00877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01C7" w14:textId="77777777" w:rsidR="00877A9D" w:rsidRDefault="00877A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390F" w14:textId="77777777" w:rsidR="00877A9D" w:rsidRDefault="00877A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627E" w14:textId="77777777" w:rsidR="00877A9D" w:rsidRDefault="00877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343B" w14:textId="77777777" w:rsidR="00435CFF" w:rsidRPr="005B5ADE" w:rsidRDefault="00435CFF" w:rsidP="005B5ADE">
      <w:pPr>
        <w:pStyle w:val="Footer"/>
        <w:spacing w:before="120" w:after="20"/>
        <w:ind w:right="0"/>
        <w:rPr>
          <w:rFonts w:ascii="Times New Roman" w:hAnsi="Times New Roman"/>
        </w:rPr>
      </w:pPr>
      <w:r>
        <w:continuationSeparator/>
      </w:r>
    </w:p>
  </w:footnote>
  <w:footnote w:type="continuationSeparator" w:id="0">
    <w:p w14:paraId="3A095008" w14:textId="77777777" w:rsidR="00435CFF" w:rsidRPr="005B5ADE" w:rsidRDefault="00435CFF" w:rsidP="005B5ADE">
      <w:pPr>
        <w:pStyle w:val="Footer"/>
        <w:spacing w:before="120" w:after="20"/>
        <w:ind w:right="0"/>
        <w:rPr>
          <w:rFonts w:ascii="Times New Roman" w:hAnsi="Times New Roman"/>
        </w:rPr>
      </w:pPr>
      <w:r w:rsidRPr="005B5ADE">
        <w:rPr>
          <w:rFonts w:ascii="Times New Roman" w:hAnsi="Times New Roman"/>
        </w:rPr>
        <w:continuationSeparator/>
      </w:r>
    </w:p>
  </w:footnote>
  <w:footnote w:type="continuationNotice" w:id="1">
    <w:p w14:paraId="22B147FF" w14:textId="77777777" w:rsidR="00435CFF" w:rsidRPr="005B5ADE" w:rsidRDefault="00435CFF">
      <w:pPr>
        <w:jc w:val="right"/>
        <w:rPr>
          <w:rFonts w:ascii="Times Roman" w:hAnsi="Times Roman"/>
          <w:sz w:val="24"/>
        </w:rPr>
      </w:pPr>
    </w:p>
  </w:footnote>
  <w:footnote w:id="2">
    <w:p w14:paraId="30ECA3C5" w14:textId="350CEBCF" w:rsidR="00B47311" w:rsidRPr="005B5ADE" w:rsidRDefault="00B47311"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Criminal Law Consolidation Act 1935</w:t>
      </w:r>
      <w:r w:rsidRPr="005B5ADE">
        <w:rPr>
          <w:rFonts w:ascii="Times New Roman" w:hAnsi="Times New Roman"/>
          <w:sz w:val="24"/>
        </w:rPr>
        <w:t xml:space="preserve"> (SA), s 50(1).</w:t>
      </w:r>
    </w:p>
  </w:footnote>
  <w:footnote w:id="3">
    <w:p w14:paraId="6602706B" w14:textId="1C57A180" w:rsidR="00E36D63" w:rsidRPr="005B5ADE" w:rsidRDefault="00E36D63"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 xml:space="preserve">As the complainant was a child when the offence the subject of the appeal was committed, her name </w:t>
      </w:r>
      <w:r w:rsidR="002E0B83" w:rsidRPr="005B5ADE">
        <w:rPr>
          <w:rFonts w:ascii="Times New Roman" w:hAnsi="Times New Roman"/>
          <w:sz w:val="24"/>
        </w:rPr>
        <w:t>must</w:t>
      </w:r>
      <w:r w:rsidRPr="005B5ADE">
        <w:rPr>
          <w:rFonts w:ascii="Times New Roman" w:hAnsi="Times New Roman"/>
          <w:sz w:val="24"/>
        </w:rPr>
        <w:t xml:space="preserve"> </w:t>
      </w:r>
      <w:r w:rsidR="002013B9" w:rsidRPr="005B5ADE">
        <w:rPr>
          <w:rFonts w:ascii="Times New Roman" w:hAnsi="Times New Roman"/>
          <w:sz w:val="24"/>
        </w:rPr>
        <w:t>not be</w:t>
      </w:r>
      <w:r w:rsidR="003935C3" w:rsidRPr="005B5ADE">
        <w:rPr>
          <w:rFonts w:ascii="Times New Roman" w:hAnsi="Times New Roman"/>
          <w:sz w:val="24"/>
        </w:rPr>
        <w:t xml:space="preserve"> published</w:t>
      </w:r>
      <w:r w:rsidRPr="005B5ADE">
        <w:rPr>
          <w:rFonts w:ascii="Times New Roman" w:hAnsi="Times New Roman"/>
          <w:sz w:val="24"/>
        </w:rPr>
        <w:t xml:space="preserve">: </w:t>
      </w:r>
      <w:r w:rsidRPr="005B5ADE">
        <w:rPr>
          <w:rFonts w:ascii="Times New Roman" w:hAnsi="Times New Roman"/>
          <w:i/>
          <w:iCs/>
          <w:sz w:val="24"/>
        </w:rPr>
        <w:t xml:space="preserve">Evidence Act 1929 </w:t>
      </w:r>
      <w:r w:rsidRPr="005B5ADE">
        <w:rPr>
          <w:rFonts w:ascii="Times New Roman" w:hAnsi="Times New Roman"/>
          <w:sz w:val="24"/>
        </w:rPr>
        <w:t>(SA), s 71</w:t>
      </w:r>
      <w:proofErr w:type="gramStart"/>
      <w:r w:rsidRPr="005B5ADE">
        <w:rPr>
          <w:rFonts w:ascii="Times New Roman" w:hAnsi="Times New Roman"/>
          <w:sz w:val="24"/>
        </w:rPr>
        <w:t>A(</w:t>
      </w:r>
      <w:proofErr w:type="gramEnd"/>
      <w:r w:rsidRPr="005B5ADE">
        <w:rPr>
          <w:rFonts w:ascii="Times New Roman" w:hAnsi="Times New Roman"/>
          <w:sz w:val="24"/>
        </w:rPr>
        <w:t>4).</w:t>
      </w:r>
    </w:p>
  </w:footnote>
  <w:footnote w:id="4">
    <w:p w14:paraId="6E49CEA0" w14:textId="7E3B9E5B" w:rsidR="00764FDF" w:rsidRPr="005B5ADE" w:rsidRDefault="00764FDF"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sz w:val="24"/>
        </w:rPr>
        <w:t xml:space="preserve">Brawn v The King </w:t>
      </w:r>
      <w:r w:rsidR="002010D7" w:rsidRPr="005B5ADE">
        <w:rPr>
          <w:rFonts w:ascii="Times New Roman" w:hAnsi="Times New Roman"/>
          <w:sz w:val="24"/>
        </w:rPr>
        <w:t>(</w:t>
      </w:r>
      <w:r w:rsidRPr="005B5ADE">
        <w:rPr>
          <w:rFonts w:ascii="Times New Roman" w:hAnsi="Times New Roman"/>
          <w:sz w:val="24"/>
        </w:rPr>
        <w:t>2022</w:t>
      </w:r>
      <w:r w:rsidR="002010D7" w:rsidRPr="005B5ADE">
        <w:rPr>
          <w:rFonts w:ascii="Times New Roman" w:hAnsi="Times New Roman"/>
          <w:sz w:val="24"/>
        </w:rPr>
        <w:t>) 141 SASR 465</w:t>
      </w:r>
      <w:r w:rsidR="00FF5C9B" w:rsidRPr="005B5ADE">
        <w:rPr>
          <w:rFonts w:ascii="Times New Roman" w:hAnsi="Times New Roman"/>
          <w:sz w:val="24"/>
        </w:rPr>
        <w:t xml:space="preserve"> at 480 [83]</w:t>
      </w:r>
      <w:r w:rsidR="00703850" w:rsidRPr="005B5ADE">
        <w:rPr>
          <w:rFonts w:ascii="Times New Roman" w:hAnsi="Times New Roman"/>
          <w:sz w:val="24"/>
        </w:rPr>
        <w:t>-[84].</w:t>
      </w:r>
    </w:p>
  </w:footnote>
  <w:footnote w:id="5">
    <w:p w14:paraId="3F2A5B23" w14:textId="1F70C2EB" w:rsidR="00E77B73" w:rsidRPr="005B5ADE" w:rsidRDefault="00E77B73"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8D18DA" w:rsidRPr="005B5ADE">
        <w:rPr>
          <w:rFonts w:ascii="Times New Roman" w:hAnsi="Times New Roman"/>
          <w:i/>
          <w:sz w:val="24"/>
        </w:rPr>
        <w:t xml:space="preserve">Criminal </w:t>
      </w:r>
      <w:r w:rsidR="008D18DA" w:rsidRPr="005B5ADE">
        <w:rPr>
          <w:rFonts w:ascii="Times New Roman" w:hAnsi="Times New Roman"/>
          <w:i/>
          <w:iCs/>
          <w:sz w:val="24"/>
        </w:rPr>
        <w:t>Code</w:t>
      </w:r>
      <w:r w:rsidR="00495496" w:rsidRPr="005B5ADE">
        <w:rPr>
          <w:rFonts w:ascii="Times New Roman" w:hAnsi="Times New Roman"/>
          <w:sz w:val="24"/>
        </w:rPr>
        <w:t> </w:t>
      </w:r>
      <w:r w:rsidR="008D18DA" w:rsidRPr="005B5ADE">
        <w:rPr>
          <w:rFonts w:ascii="Times New Roman" w:hAnsi="Times New Roman"/>
          <w:sz w:val="24"/>
        </w:rPr>
        <w:t>(Qld), s</w:t>
      </w:r>
      <w:r w:rsidR="00495496" w:rsidRPr="005B5ADE">
        <w:rPr>
          <w:rFonts w:ascii="Times New Roman" w:hAnsi="Times New Roman"/>
          <w:sz w:val="24"/>
        </w:rPr>
        <w:t> </w:t>
      </w:r>
      <w:r w:rsidR="008D18DA" w:rsidRPr="005B5ADE">
        <w:rPr>
          <w:rFonts w:ascii="Times New Roman" w:hAnsi="Times New Roman"/>
          <w:sz w:val="24"/>
        </w:rPr>
        <w:t>668</w:t>
      </w:r>
      <w:proofErr w:type="gramStart"/>
      <w:r w:rsidR="008D18DA" w:rsidRPr="005B5ADE">
        <w:rPr>
          <w:rFonts w:ascii="Times New Roman" w:hAnsi="Times New Roman"/>
          <w:sz w:val="24"/>
        </w:rPr>
        <w:t>E(</w:t>
      </w:r>
      <w:proofErr w:type="gramEnd"/>
      <w:r w:rsidR="008D18DA" w:rsidRPr="005B5ADE">
        <w:rPr>
          <w:rFonts w:ascii="Times New Roman" w:hAnsi="Times New Roman"/>
          <w:sz w:val="24"/>
        </w:rPr>
        <w:t>1);</w:t>
      </w:r>
      <w:r w:rsidR="00E753DA" w:rsidRPr="005B5ADE">
        <w:rPr>
          <w:rFonts w:ascii="Times New Roman" w:hAnsi="Times New Roman"/>
          <w:i/>
          <w:iCs/>
          <w:sz w:val="24"/>
        </w:rPr>
        <w:t xml:space="preserve"> Criminal </w:t>
      </w:r>
      <w:r w:rsidR="008D18DA" w:rsidRPr="005B5ADE">
        <w:rPr>
          <w:rFonts w:ascii="Times New Roman" w:hAnsi="Times New Roman"/>
          <w:i/>
          <w:sz w:val="24"/>
        </w:rPr>
        <w:t>Appeal Act</w:t>
      </w:r>
      <w:r w:rsidR="00982844" w:rsidRPr="005B5ADE">
        <w:rPr>
          <w:rFonts w:ascii="Times New Roman" w:hAnsi="Times New Roman"/>
          <w:i/>
          <w:iCs/>
          <w:sz w:val="24"/>
        </w:rPr>
        <w:t xml:space="preserve"> 1912</w:t>
      </w:r>
      <w:r w:rsidR="00982844" w:rsidRPr="005B5ADE">
        <w:rPr>
          <w:rFonts w:ascii="Times New Roman" w:hAnsi="Times New Roman"/>
          <w:sz w:val="24"/>
        </w:rPr>
        <w:t> (NSW)</w:t>
      </w:r>
      <w:r w:rsidR="008D18DA" w:rsidRPr="005B5ADE">
        <w:rPr>
          <w:rFonts w:ascii="Times New Roman" w:hAnsi="Times New Roman"/>
          <w:sz w:val="24"/>
        </w:rPr>
        <w:t>, s</w:t>
      </w:r>
      <w:r w:rsidR="00982844" w:rsidRPr="005B5ADE">
        <w:rPr>
          <w:rFonts w:ascii="Times New Roman" w:hAnsi="Times New Roman"/>
          <w:sz w:val="24"/>
        </w:rPr>
        <w:t> </w:t>
      </w:r>
      <w:r w:rsidR="008D18DA" w:rsidRPr="005B5ADE">
        <w:rPr>
          <w:rFonts w:ascii="Times New Roman" w:hAnsi="Times New Roman"/>
          <w:sz w:val="24"/>
        </w:rPr>
        <w:t xml:space="preserve">6(1); </w:t>
      </w:r>
      <w:r w:rsidR="008D18DA" w:rsidRPr="005B5ADE">
        <w:rPr>
          <w:rFonts w:ascii="Times New Roman" w:hAnsi="Times New Roman"/>
          <w:i/>
          <w:sz w:val="24"/>
        </w:rPr>
        <w:t>Criminal Code</w:t>
      </w:r>
      <w:r w:rsidR="00495496" w:rsidRPr="005B5ADE">
        <w:rPr>
          <w:rFonts w:ascii="Times New Roman" w:hAnsi="Times New Roman"/>
          <w:sz w:val="24"/>
        </w:rPr>
        <w:t> </w:t>
      </w:r>
      <w:r w:rsidR="008D18DA" w:rsidRPr="005B5ADE">
        <w:rPr>
          <w:rFonts w:ascii="Times New Roman" w:hAnsi="Times New Roman"/>
          <w:sz w:val="24"/>
        </w:rPr>
        <w:t>(Tas), s</w:t>
      </w:r>
      <w:r w:rsidR="00BC5CB9" w:rsidRPr="005B5ADE">
        <w:rPr>
          <w:rFonts w:ascii="Times New Roman" w:hAnsi="Times New Roman"/>
          <w:sz w:val="24"/>
        </w:rPr>
        <w:t> </w:t>
      </w:r>
      <w:r w:rsidR="008D18DA" w:rsidRPr="005B5ADE">
        <w:rPr>
          <w:rFonts w:ascii="Times New Roman" w:hAnsi="Times New Roman"/>
          <w:sz w:val="24"/>
        </w:rPr>
        <w:t xml:space="preserve">402(1); </w:t>
      </w:r>
      <w:r w:rsidR="008D18DA" w:rsidRPr="005B5ADE">
        <w:rPr>
          <w:rFonts w:ascii="Times New Roman" w:hAnsi="Times New Roman"/>
          <w:i/>
          <w:sz w:val="24"/>
        </w:rPr>
        <w:t>Supreme Court Act 1933</w:t>
      </w:r>
      <w:r w:rsidR="00BC5CB9" w:rsidRPr="005B5ADE">
        <w:rPr>
          <w:rFonts w:ascii="Times New Roman" w:hAnsi="Times New Roman"/>
          <w:i/>
          <w:iCs/>
          <w:sz w:val="24"/>
        </w:rPr>
        <w:t> </w:t>
      </w:r>
      <w:r w:rsidR="008D18DA" w:rsidRPr="005B5ADE">
        <w:rPr>
          <w:rFonts w:ascii="Times New Roman" w:hAnsi="Times New Roman"/>
          <w:sz w:val="24"/>
        </w:rPr>
        <w:t>(ACT), s</w:t>
      </w:r>
      <w:r w:rsidR="00E753DA" w:rsidRPr="005B5ADE">
        <w:rPr>
          <w:rFonts w:ascii="Times New Roman" w:hAnsi="Times New Roman"/>
          <w:sz w:val="24"/>
        </w:rPr>
        <w:t> </w:t>
      </w:r>
      <w:r w:rsidR="008D18DA" w:rsidRPr="005B5ADE">
        <w:rPr>
          <w:rFonts w:ascii="Times New Roman" w:hAnsi="Times New Roman"/>
          <w:sz w:val="24"/>
        </w:rPr>
        <w:t xml:space="preserve">37O(2); </w:t>
      </w:r>
      <w:r w:rsidR="008D18DA" w:rsidRPr="005B5ADE">
        <w:rPr>
          <w:rFonts w:ascii="Times New Roman" w:hAnsi="Times New Roman"/>
          <w:i/>
          <w:sz w:val="24"/>
        </w:rPr>
        <w:t>Federal Court of Australia Act 1976</w:t>
      </w:r>
      <w:r w:rsidR="00BC5CB9" w:rsidRPr="005B5ADE">
        <w:rPr>
          <w:rFonts w:ascii="Times New Roman" w:hAnsi="Times New Roman"/>
          <w:i/>
          <w:iCs/>
          <w:sz w:val="24"/>
        </w:rPr>
        <w:t> </w:t>
      </w:r>
      <w:r w:rsidR="008D18DA" w:rsidRPr="005B5ADE">
        <w:rPr>
          <w:rFonts w:ascii="Times New Roman" w:hAnsi="Times New Roman"/>
          <w:sz w:val="24"/>
        </w:rPr>
        <w:t>(</w:t>
      </w:r>
      <w:proofErr w:type="spellStart"/>
      <w:r w:rsidR="008D18DA" w:rsidRPr="005B5ADE">
        <w:rPr>
          <w:rFonts w:ascii="Times New Roman" w:hAnsi="Times New Roman"/>
          <w:sz w:val="24"/>
        </w:rPr>
        <w:t>Cth</w:t>
      </w:r>
      <w:proofErr w:type="spellEnd"/>
      <w:r w:rsidR="008D18DA" w:rsidRPr="005B5ADE">
        <w:rPr>
          <w:rFonts w:ascii="Times New Roman" w:hAnsi="Times New Roman"/>
          <w:sz w:val="24"/>
        </w:rPr>
        <w:t>), s</w:t>
      </w:r>
      <w:r w:rsidR="00BC5CB9" w:rsidRPr="005B5ADE">
        <w:rPr>
          <w:rFonts w:ascii="Times New Roman" w:hAnsi="Times New Roman"/>
          <w:sz w:val="24"/>
        </w:rPr>
        <w:t> </w:t>
      </w:r>
      <w:r w:rsidR="008D18DA" w:rsidRPr="005B5ADE">
        <w:rPr>
          <w:rFonts w:ascii="Times New Roman" w:hAnsi="Times New Roman"/>
          <w:sz w:val="24"/>
        </w:rPr>
        <w:t xml:space="preserve">30AJ(1); </w:t>
      </w:r>
      <w:r w:rsidR="008D18DA" w:rsidRPr="005B5ADE">
        <w:rPr>
          <w:rFonts w:ascii="Times New Roman" w:hAnsi="Times New Roman"/>
          <w:i/>
          <w:sz w:val="24"/>
        </w:rPr>
        <w:t>Criminal Code</w:t>
      </w:r>
      <w:r w:rsidR="00BC5CB9" w:rsidRPr="005B5ADE">
        <w:rPr>
          <w:rFonts w:ascii="Times New Roman" w:hAnsi="Times New Roman"/>
          <w:i/>
          <w:iCs/>
          <w:sz w:val="24"/>
        </w:rPr>
        <w:t> </w:t>
      </w:r>
      <w:r w:rsidR="008D18DA" w:rsidRPr="005B5ADE">
        <w:rPr>
          <w:rFonts w:ascii="Times New Roman" w:hAnsi="Times New Roman"/>
          <w:sz w:val="24"/>
        </w:rPr>
        <w:t>(NT), s</w:t>
      </w:r>
      <w:r w:rsidR="00BC5CB9" w:rsidRPr="005B5ADE">
        <w:rPr>
          <w:rFonts w:ascii="Times New Roman" w:hAnsi="Times New Roman"/>
          <w:sz w:val="24"/>
        </w:rPr>
        <w:t> </w:t>
      </w:r>
      <w:r w:rsidR="008D18DA" w:rsidRPr="005B5ADE">
        <w:rPr>
          <w:rFonts w:ascii="Times New Roman" w:hAnsi="Times New Roman"/>
          <w:sz w:val="24"/>
        </w:rPr>
        <w:t xml:space="preserve">411(1); </w:t>
      </w:r>
      <w:r w:rsidR="008D18DA" w:rsidRPr="005B5ADE">
        <w:rPr>
          <w:rFonts w:ascii="Times New Roman" w:hAnsi="Times New Roman"/>
          <w:i/>
          <w:sz w:val="24"/>
        </w:rPr>
        <w:t>Criminal Appeals Act 2004</w:t>
      </w:r>
      <w:r w:rsidR="00BC5CB9" w:rsidRPr="005B5ADE">
        <w:rPr>
          <w:rFonts w:ascii="Times New Roman" w:hAnsi="Times New Roman"/>
          <w:i/>
          <w:iCs/>
          <w:sz w:val="24"/>
        </w:rPr>
        <w:t> </w:t>
      </w:r>
      <w:r w:rsidR="008D18DA" w:rsidRPr="005B5ADE">
        <w:rPr>
          <w:rFonts w:ascii="Times New Roman" w:hAnsi="Times New Roman"/>
          <w:sz w:val="24"/>
        </w:rPr>
        <w:t>(WA), s</w:t>
      </w:r>
      <w:r w:rsidR="00BC5CB9" w:rsidRPr="005B5ADE">
        <w:rPr>
          <w:rFonts w:ascii="Times New Roman" w:hAnsi="Times New Roman"/>
          <w:sz w:val="24"/>
        </w:rPr>
        <w:t> </w:t>
      </w:r>
      <w:r w:rsidR="008D18DA" w:rsidRPr="005B5ADE">
        <w:rPr>
          <w:rFonts w:ascii="Times New Roman" w:hAnsi="Times New Roman"/>
          <w:sz w:val="24"/>
        </w:rPr>
        <w:t>30(3).</w:t>
      </w:r>
      <w:r w:rsidR="00A349BC">
        <w:rPr>
          <w:rFonts w:ascii="Times New Roman" w:hAnsi="Times New Roman"/>
          <w:sz w:val="24"/>
        </w:rPr>
        <w:t xml:space="preserve"> </w:t>
      </w:r>
      <w:proofErr w:type="spellStart"/>
      <w:r w:rsidR="00A349BC">
        <w:rPr>
          <w:rFonts w:ascii="Times New Roman" w:hAnsi="Times New Roman"/>
          <w:sz w:val="24"/>
        </w:rPr>
        <w:t>cf</w:t>
      </w:r>
      <w:proofErr w:type="spellEnd"/>
      <w:r w:rsidR="00A349BC">
        <w:rPr>
          <w:rFonts w:ascii="Times New Roman" w:hAnsi="Times New Roman"/>
          <w:sz w:val="24"/>
        </w:rPr>
        <w:t xml:space="preserve"> </w:t>
      </w:r>
      <w:r w:rsidR="00A349BC" w:rsidRPr="00A349BC">
        <w:rPr>
          <w:rFonts w:ascii="Times New Roman" w:hAnsi="Times New Roman"/>
          <w:i/>
          <w:iCs/>
          <w:sz w:val="24"/>
        </w:rPr>
        <w:t>Criminal Procedure Act 2009</w:t>
      </w:r>
      <w:r w:rsidR="00A349BC">
        <w:rPr>
          <w:rFonts w:ascii="Times New Roman" w:hAnsi="Times New Roman"/>
          <w:sz w:val="24"/>
        </w:rPr>
        <w:t xml:space="preserve"> (Vic), s 276(1).</w:t>
      </w:r>
    </w:p>
  </w:footnote>
  <w:footnote w:id="6">
    <w:p w14:paraId="181B99CE" w14:textId="3C8F8B37" w:rsidR="00B47311" w:rsidRPr="005B5ADE" w:rsidRDefault="00B47311"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Criminal Procedure Act 1921</w:t>
      </w:r>
      <w:r w:rsidR="00C36EED" w:rsidRPr="005B5ADE">
        <w:rPr>
          <w:rFonts w:ascii="Times New Roman" w:hAnsi="Times New Roman"/>
          <w:sz w:val="24"/>
        </w:rPr>
        <w:t xml:space="preserve"> (SA)</w:t>
      </w:r>
      <w:r w:rsidRPr="005B5ADE">
        <w:rPr>
          <w:rFonts w:ascii="Times New Roman" w:hAnsi="Times New Roman"/>
          <w:sz w:val="24"/>
        </w:rPr>
        <w:t>, s 157(1)(a)</w:t>
      </w:r>
      <w:r w:rsidR="00824F87" w:rsidRPr="005B5ADE">
        <w:rPr>
          <w:rFonts w:ascii="Times New Roman" w:hAnsi="Times New Roman"/>
          <w:sz w:val="24"/>
        </w:rPr>
        <w:t>(</w:t>
      </w:r>
      <w:proofErr w:type="spellStart"/>
      <w:r w:rsidR="00824F87" w:rsidRPr="005B5ADE">
        <w:rPr>
          <w:rFonts w:ascii="Times New Roman" w:hAnsi="Times New Roman"/>
          <w:sz w:val="24"/>
        </w:rPr>
        <w:t>i</w:t>
      </w:r>
      <w:proofErr w:type="spellEnd"/>
      <w:r w:rsidR="00824F87" w:rsidRPr="005B5ADE">
        <w:rPr>
          <w:rFonts w:ascii="Times New Roman" w:hAnsi="Times New Roman"/>
          <w:sz w:val="24"/>
        </w:rPr>
        <w:t>)</w:t>
      </w:r>
      <w:r w:rsidR="00C36EED" w:rsidRPr="005B5ADE">
        <w:rPr>
          <w:rFonts w:ascii="Times New Roman" w:hAnsi="Times New Roman"/>
          <w:sz w:val="24"/>
        </w:rPr>
        <w:t>,</w:t>
      </w:r>
      <w:r w:rsidRPr="005B5ADE">
        <w:rPr>
          <w:rFonts w:ascii="Times New Roman" w:hAnsi="Times New Roman"/>
          <w:sz w:val="24"/>
        </w:rPr>
        <w:t xml:space="preserve"> </w:t>
      </w:r>
      <w:r w:rsidR="00824F87" w:rsidRPr="005B5ADE">
        <w:rPr>
          <w:rFonts w:ascii="Times New Roman" w:hAnsi="Times New Roman"/>
          <w:sz w:val="24"/>
        </w:rPr>
        <w:t>(a)(ii)</w:t>
      </w:r>
      <w:r w:rsidRPr="005B5ADE">
        <w:rPr>
          <w:rFonts w:ascii="Times New Roman" w:hAnsi="Times New Roman"/>
          <w:sz w:val="24"/>
        </w:rPr>
        <w:t>.</w:t>
      </w:r>
    </w:p>
  </w:footnote>
  <w:footnote w:id="7">
    <w:p w14:paraId="6A48900D" w14:textId="69DC8B21" w:rsidR="00B428C1" w:rsidRPr="005B5ADE" w:rsidRDefault="00B428C1"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 xml:space="preserve">See </w:t>
      </w:r>
      <w:bookmarkStart w:id="1" w:name="_Hlk193461274"/>
      <w:r w:rsidRPr="005B5ADE">
        <w:rPr>
          <w:rFonts w:ascii="Times New Roman" w:hAnsi="Times New Roman"/>
          <w:i/>
          <w:iCs/>
          <w:sz w:val="24"/>
        </w:rPr>
        <w:t>Davi</w:t>
      </w:r>
      <w:r w:rsidR="0052036D" w:rsidRPr="005B5ADE">
        <w:rPr>
          <w:rFonts w:ascii="Times New Roman" w:hAnsi="Times New Roman"/>
          <w:i/>
          <w:iCs/>
          <w:sz w:val="24"/>
        </w:rPr>
        <w:t>es</w:t>
      </w:r>
      <w:r w:rsidRPr="005B5ADE">
        <w:rPr>
          <w:rFonts w:ascii="Times New Roman" w:hAnsi="Times New Roman"/>
          <w:i/>
          <w:iCs/>
          <w:sz w:val="24"/>
        </w:rPr>
        <w:t xml:space="preserve"> and Cody v The Ki</w:t>
      </w:r>
      <w:r w:rsidR="00C108CF" w:rsidRPr="005B5ADE">
        <w:rPr>
          <w:rFonts w:ascii="Times New Roman" w:hAnsi="Times New Roman"/>
          <w:i/>
          <w:iCs/>
          <w:sz w:val="24"/>
        </w:rPr>
        <w:t>n</w:t>
      </w:r>
      <w:r w:rsidRPr="005B5ADE">
        <w:rPr>
          <w:rFonts w:ascii="Times New Roman" w:hAnsi="Times New Roman"/>
          <w:i/>
          <w:iCs/>
          <w:sz w:val="24"/>
        </w:rPr>
        <w:t>g</w:t>
      </w:r>
      <w:r w:rsidRPr="005B5ADE">
        <w:rPr>
          <w:rFonts w:ascii="Times New Roman" w:hAnsi="Times New Roman"/>
          <w:sz w:val="24"/>
        </w:rPr>
        <w:t xml:space="preserve"> (1937) 57 CLR 170 at 1</w:t>
      </w:r>
      <w:r w:rsidR="00C108CF" w:rsidRPr="005B5ADE">
        <w:rPr>
          <w:rFonts w:ascii="Times New Roman" w:hAnsi="Times New Roman"/>
          <w:sz w:val="24"/>
        </w:rPr>
        <w:t xml:space="preserve">80; </w:t>
      </w:r>
      <w:r w:rsidR="00C108CF" w:rsidRPr="005B5ADE">
        <w:rPr>
          <w:rFonts w:ascii="Times New Roman" w:hAnsi="Times New Roman"/>
          <w:i/>
          <w:iCs/>
          <w:sz w:val="24"/>
        </w:rPr>
        <w:t>Chamberlain v The Queen</w:t>
      </w:r>
      <w:r w:rsidR="00C108CF" w:rsidRPr="005B5ADE">
        <w:rPr>
          <w:rFonts w:ascii="Times New Roman" w:hAnsi="Times New Roman"/>
          <w:sz w:val="24"/>
        </w:rPr>
        <w:t xml:space="preserve"> </w:t>
      </w:r>
      <w:r w:rsidR="00645806" w:rsidRPr="005B5ADE">
        <w:rPr>
          <w:rFonts w:ascii="Times New Roman" w:hAnsi="Times New Roman"/>
          <w:i/>
          <w:iCs/>
          <w:sz w:val="24"/>
        </w:rPr>
        <w:t xml:space="preserve">[No 2] </w:t>
      </w:r>
      <w:r w:rsidR="00C108CF" w:rsidRPr="005B5ADE">
        <w:rPr>
          <w:rFonts w:ascii="Times New Roman" w:hAnsi="Times New Roman"/>
          <w:sz w:val="24"/>
        </w:rPr>
        <w:t>(1984) 153 CLR 521 at 531</w:t>
      </w:r>
      <w:r w:rsidR="000E63CB" w:rsidRPr="005B5ADE">
        <w:rPr>
          <w:rFonts w:ascii="Times New Roman" w:hAnsi="Times New Roman"/>
          <w:sz w:val="24"/>
        </w:rPr>
        <w:t xml:space="preserve">; </w:t>
      </w:r>
      <w:r w:rsidR="00144A43" w:rsidRPr="005B5ADE">
        <w:rPr>
          <w:rFonts w:ascii="Times New Roman" w:hAnsi="Times New Roman"/>
          <w:i/>
          <w:iCs/>
          <w:sz w:val="24"/>
        </w:rPr>
        <w:t>Kirkland v The Queen</w:t>
      </w:r>
      <w:r w:rsidR="00144A43" w:rsidRPr="005B5ADE">
        <w:rPr>
          <w:rFonts w:ascii="Times New Roman" w:hAnsi="Times New Roman"/>
          <w:sz w:val="24"/>
        </w:rPr>
        <w:t xml:space="preserve"> [2021] SASCA 14 at [163].</w:t>
      </w:r>
      <w:bookmarkEnd w:id="1"/>
    </w:p>
  </w:footnote>
  <w:footnote w:id="8">
    <w:p w14:paraId="613A5677" w14:textId="61E55E12" w:rsidR="00B1571B" w:rsidRPr="005B5ADE" w:rsidRDefault="00B1571B"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0033770A" w:rsidRPr="005B5ADE">
        <w:rPr>
          <w:rFonts w:ascii="Times New Roman" w:hAnsi="Times New Roman"/>
          <w:sz w:val="24"/>
        </w:rPr>
        <w:tab/>
      </w:r>
      <w:r w:rsidR="00210E2F" w:rsidRPr="005B5ADE">
        <w:rPr>
          <w:rFonts w:ascii="Times New Roman" w:hAnsi="Times New Roman"/>
          <w:sz w:val="24"/>
        </w:rPr>
        <w:t xml:space="preserve">Matter No B72/2023. </w:t>
      </w:r>
      <w:r w:rsidR="007F763E" w:rsidRPr="005B5ADE">
        <w:rPr>
          <w:rFonts w:ascii="Times New Roman" w:hAnsi="Times New Roman"/>
          <w:sz w:val="24"/>
        </w:rPr>
        <w:t xml:space="preserve"> </w:t>
      </w:r>
    </w:p>
  </w:footnote>
  <w:footnote w:id="9">
    <w:p w14:paraId="5F033CB3" w14:textId="77EE4672" w:rsidR="0033770A" w:rsidRPr="005B5ADE" w:rsidRDefault="0033770A"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7A7EBF" w:rsidRPr="005B5ADE">
        <w:rPr>
          <w:rFonts w:ascii="Times New Roman" w:hAnsi="Times New Roman"/>
          <w:sz w:val="24"/>
        </w:rPr>
        <w:t>(2021) 274 CLR 351.</w:t>
      </w:r>
    </w:p>
  </w:footnote>
  <w:footnote w:id="10">
    <w:p w14:paraId="32C73B14" w14:textId="42B35598" w:rsidR="006A6826" w:rsidRPr="005B5ADE" w:rsidRDefault="006A6826"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(2021) 273 CLR 585</w:t>
      </w:r>
      <w:r w:rsidR="007B6CFB" w:rsidRPr="005B5ADE">
        <w:rPr>
          <w:rFonts w:ascii="Times New Roman" w:hAnsi="Times New Roman"/>
          <w:sz w:val="24"/>
        </w:rPr>
        <w:t>.</w:t>
      </w:r>
    </w:p>
  </w:footnote>
  <w:footnote w:id="11">
    <w:p w14:paraId="4A6133FA" w14:textId="3C8761D4" w:rsidR="007B6CFB" w:rsidRPr="005B5ADE" w:rsidRDefault="007B6CFB"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(2023) 97 ALJR 978</w:t>
      </w:r>
      <w:r w:rsidR="00DF3264" w:rsidRPr="005B5ADE">
        <w:rPr>
          <w:rFonts w:ascii="Times New Roman" w:hAnsi="Times New Roman"/>
          <w:sz w:val="24"/>
        </w:rPr>
        <w:t>; 415 ALR 190</w:t>
      </w:r>
      <w:r w:rsidRPr="005B5ADE">
        <w:rPr>
          <w:rFonts w:ascii="Times New Roman" w:hAnsi="Times New Roman"/>
          <w:sz w:val="24"/>
        </w:rPr>
        <w:t>.</w:t>
      </w:r>
    </w:p>
  </w:footnote>
  <w:footnote w:id="12">
    <w:p w14:paraId="7740B740" w14:textId="6F5D4AA8" w:rsidR="00D76DB5" w:rsidRPr="005B5ADE" w:rsidRDefault="00D76DB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D24674" w:rsidRPr="005B5ADE">
        <w:rPr>
          <w:rFonts w:ascii="Times New Roman" w:hAnsi="Times New Roman"/>
          <w:sz w:val="24"/>
        </w:rPr>
        <w:t xml:space="preserve">(2023) 97 ALJR 978 </w:t>
      </w:r>
      <w:r w:rsidRPr="005B5ADE">
        <w:rPr>
          <w:rFonts w:ascii="Times New Roman" w:hAnsi="Times New Roman"/>
          <w:sz w:val="24"/>
        </w:rPr>
        <w:t xml:space="preserve">at </w:t>
      </w:r>
      <w:r w:rsidR="00287F8F" w:rsidRPr="005B5ADE">
        <w:rPr>
          <w:rFonts w:ascii="Times New Roman" w:hAnsi="Times New Roman"/>
          <w:sz w:val="24"/>
        </w:rPr>
        <w:t>996 [82]</w:t>
      </w:r>
      <w:r w:rsidR="00D24674" w:rsidRPr="005B5ADE">
        <w:rPr>
          <w:rFonts w:ascii="Times New Roman" w:hAnsi="Times New Roman"/>
          <w:sz w:val="24"/>
        </w:rPr>
        <w:t xml:space="preserve">; 415 ALR 190 at </w:t>
      </w:r>
      <w:r w:rsidR="00627240" w:rsidRPr="005B5ADE">
        <w:rPr>
          <w:rFonts w:ascii="Times New Roman" w:hAnsi="Times New Roman"/>
          <w:sz w:val="24"/>
        </w:rPr>
        <w:t>211.</w:t>
      </w:r>
    </w:p>
  </w:footnote>
  <w:footnote w:id="13">
    <w:p w14:paraId="4920E4E1" w14:textId="18685024" w:rsidR="00EE7A9E" w:rsidRPr="005B5ADE" w:rsidRDefault="00EE7A9E"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(2023) 98 ALJR 62</w:t>
      </w:r>
      <w:r w:rsidR="00D72DE4" w:rsidRPr="005B5ADE">
        <w:rPr>
          <w:rFonts w:ascii="Times New Roman" w:hAnsi="Times New Roman"/>
          <w:sz w:val="24"/>
        </w:rPr>
        <w:t xml:space="preserve">; </w:t>
      </w:r>
      <w:r w:rsidR="00FD7AFC" w:rsidRPr="005B5ADE">
        <w:rPr>
          <w:rFonts w:ascii="Times New Roman" w:hAnsi="Times New Roman"/>
          <w:sz w:val="24"/>
        </w:rPr>
        <w:t>416 ALR 359</w:t>
      </w:r>
      <w:r w:rsidRPr="005B5ADE">
        <w:rPr>
          <w:rFonts w:ascii="Times New Roman" w:hAnsi="Times New Roman"/>
          <w:sz w:val="24"/>
        </w:rPr>
        <w:t>.</w:t>
      </w:r>
    </w:p>
  </w:footnote>
  <w:footnote w:id="14">
    <w:p w14:paraId="04DB8A8C" w14:textId="11199EEB" w:rsidR="00EE7A9E" w:rsidRPr="005B5ADE" w:rsidRDefault="00EE7A9E"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Huxley</w:t>
      </w:r>
      <w:r w:rsidRPr="005B5ADE">
        <w:rPr>
          <w:rFonts w:ascii="Times New Roman" w:hAnsi="Times New Roman"/>
          <w:sz w:val="24"/>
        </w:rPr>
        <w:t xml:space="preserve"> </w:t>
      </w:r>
      <w:r w:rsidR="00627240" w:rsidRPr="005B5ADE">
        <w:rPr>
          <w:rFonts w:ascii="Times New Roman" w:hAnsi="Times New Roman"/>
          <w:i/>
          <w:iCs/>
          <w:sz w:val="24"/>
        </w:rPr>
        <w:t xml:space="preserve">v The Queen </w:t>
      </w:r>
      <w:r w:rsidR="00627240" w:rsidRPr="005B5ADE">
        <w:rPr>
          <w:rFonts w:ascii="Times New Roman" w:hAnsi="Times New Roman"/>
          <w:sz w:val="24"/>
        </w:rPr>
        <w:t>(2023) 98 ALJR 62</w:t>
      </w:r>
      <w:r w:rsidRPr="005B5ADE">
        <w:rPr>
          <w:rFonts w:ascii="Times New Roman" w:hAnsi="Times New Roman"/>
          <w:i/>
          <w:sz w:val="24"/>
        </w:rPr>
        <w:t xml:space="preserve"> </w:t>
      </w:r>
      <w:r w:rsidRPr="005B5ADE">
        <w:rPr>
          <w:rFonts w:ascii="Times New Roman" w:hAnsi="Times New Roman"/>
          <w:sz w:val="24"/>
        </w:rPr>
        <w:t xml:space="preserve">at </w:t>
      </w:r>
      <w:r w:rsidR="0071169F" w:rsidRPr="005B5ADE">
        <w:rPr>
          <w:rFonts w:ascii="Times New Roman" w:hAnsi="Times New Roman"/>
          <w:sz w:val="24"/>
        </w:rPr>
        <w:t>72</w:t>
      </w:r>
      <w:r w:rsidRPr="005B5ADE">
        <w:rPr>
          <w:rFonts w:ascii="Times New Roman" w:hAnsi="Times New Roman"/>
          <w:sz w:val="24"/>
        </w:rPr>
        <w:t xml:space="preserve"> [40]-[41], </w:t>
      </w:r>
      <w:r w:rsidR="007046C0" w:rsidRPr="005B5ADE">
        <w:rPr>
          <w:rFonts w:ascii="Times New Roman" w:hAnsi="Times New Roman"/>
          <w:sz w:val="24"/>
        </w:rPr>
        <w:t xml:space="preserve">75 </w:t>
      </w:r>
      <w:r w:rsidRPr="005B5ADE">
        <w:rPr>
          <w:rFonts w:ascii="Times New Roman" w:hAnsi="Times New Roman"/>
          <w:sz w:val="24"/>
        </w:rPr>
        <w:t>[61]</w:t>
      </w:r>
      <w:r w:rsidR="007046C0" w:rsidRPr="005B5ADE">
        <w:rPr>
          <w:rFonts w:ascii="Times New Roman" w:hAnsi="Times New Roman"/>
          <w:sz w:val="24"/>
        </w:rPr>
        <w:t>-</w:t>
      </w:r>
      <w:r w:rsidRPr="005B5ADE">
        <w:rPr>
          <w:rFonts w:ascii="Times New Roman" w:hAnsi="Times New Roman"/>
          <w:sz w:val="24"/>
        </w:rPr>
        <w:t xml:space="preserve">[62], </w:t>
      </w:r>
      <w:r w:rsidR="00BE3D7B" w:rsidRPr="005B5ADE">
        <w:rPr>
          <w:rFonts w:ascii="Times New Roman" w:hAnsi="Times New Roman"/>
          <w:sz w:val="24"/>
        </w:rPr>
        <w:t xml:space="preserve">76 </w:t>
      </w:r>
      <w:r w:rsidRPr="005B5ADE">
        <w:rPr>
          <w:rFonts w:ascii="Times New Roman" w:hAnsi="Times New Roman"/>
          <w:sz w:val="24"/>
        </w:rPr>
        <w:t>[68]</w:t>
      </w:r>
      <w:r w:rsidR="003C62CE" w:rsidRPr="005B5ADE">
        <w:rPr>
          <w:rFonts w:ascii="Times New Roman" w:hAnsi="Times New Roman"/>
          <w:sz w:val="24"/>
        </w:rPr>
        <w:t>; 416 ALR 359</w:t>
      </w:r>
      <w:r w:rsidRPr="005B5ADE">
        <w:rPr>
          <w:rFonts w:ascii="Times New Roman" w:hAnsi="Times New Roman"/>
          <w:sz w:val="24"/>
        </w:rPr>
        <w:t xml:space="preserve"> </w:t>
      </w:r>
      <w:r w:rsidR="00063BBC" w:rsidRPr="005B5ADE">
        <w:rPr>
          <w:rFonts w:ascii="Times New Roman" w:hAnsi="Times New Roman"/>
          <w:sz w:val="24"/>
        </w:rPr>
        <w:t xml:space="preserve">at </w:t>
      </w:r>
      <w:r w:rsidR="00624F4D" w:rsidRPr="005B5ADE">
        <w:rPr>
          <w:rFonts w:ascii="Times New Roman" w:hAnsi="Times New Roman"/>
          <w:sz w:val="24"/>
        </w:rPr>
        <w:t xml:space="preserve">370-371, </w:t>
      </w:r>
      <w:r w:rsidR="00542722" w:rsidRPr="005B5ADE">
        <w:rPr>
          <w:rFonts w:ascii="Times New Roman" w:hAnsi="Times New Roman"/>
          <w:sz w:val="24"/>
        </w:rPr>
        <w:t xml:space="preserve">375, </w:t>
      </w:r>
      <w:r w:rsidR="00B67328" w:rsidRPr="005B5ADE">
        <w:rPr>
          <w:rFonts w:ascii="Times New Roman" w:hAnsi="Times New Roman"/>
          <w:sz w:val="24"/>
        </w:rPr>
        <w:t>376,</w:t>
      </w:r>
      <w:r w:rsidRPr="005B5ADE">
        <w:rPr>
          <w:rFonts w:ascii="Times New Roman" w:hAnsi="Times New Roman"/>
          <w:sz w:val="24"/>
        </w:rPr>
        <w:t xml:space="preserve"> citing </w:t>
      </w:r>
      <w:r w:rsidRPr="005B5ADE">
        <w:rPr>
          <w:rFonts w:ascii="Times New Roman" w:hAnsi="Times New Roman"/>
          <w:i/>
          <w:iCs/>
          <w:sz w:val="24"/>
        </w:rPr>
        <w:t>Hargraves v The Queen</w:t>
      </w:r>
      <w:r w:rsidRPr="005B5ADE">
        <w:rPr>
          <w:rFonts w:ascii="Times New Roman" w:hAnsi="Times New Roman"/>
          <w:sz w:val="24"/>
        </w:rPr>
        <w:t xml:space="preserve"> (2011) 245 CLR 257</w:t>
      </w:r>
      <w:r w:rsidR="00D655FF" w:rsidRPr="005B5ADE">
        <w:rPr>
          <w:rFonts w:ascii="Times New Roman" w:hAnsi="Times New Roman"/>
          <w:sz w:val="24"/>
        </w:rPr>
        <w:t>.</w:t>
      </w:r>
      <w:r w:rsidRPr="005B5ADE">
        <w:rPr>
          <w:rFonts w:ascii="Times New Roman" w:hAnsi="Times New Roman"/>
          <w:sz w:val="24"/>
        </w:rPr>
        <w:t xml:space="preserve"> </w:t>
      </w:r>
      <w:r w:rsidR="0093606D" w:rsidRPr="005B5ADE">
        <w:rPr>
          <w:rFonts w:ascii="Times New Roman" w:hAnsi="Times New Roman"/>
          <w:sz w:val="24"/>
        </w:rPr>
        <w:t>S</w:t>
      </w:r>
      <w:r w:rsidRPr="005B5ADE">
        <w:rPr>
          <w:rFonts w:ascii="Times New Roman" w:hAnsi="Times New Roman"/>
          <w:sz w:val="24"/>
        </w:rPr>
        <w:t xml:space="preserve">ee also </w:t>
      </w:r>
      <w:r w:rsidRPr="005B5ADE">
        <w:rPr>
          <w:rFonts w:ascii="Times New Roman" w:hAnsi="Times New Roman"/>
          <w:i/>
          <w:iCs/>
          <w:sz w:val="24"/>
        </w:rPr>
        <w:t>Huxley</w:t>
      </w:r>
      <w:r w:rsidRPr="005B5ADE">
        <w:rPr>
          <w:rFonts w:ascii="Times New Roman" w:hAnsi="Times New Roman"/>
          <w:sz w:val="24"/>
        </w:rPr>
        <w:t xml:space="preserve"> </w:t>
      </w:r>
      <w:r w:rsidR="00202AC6" w:rsidRPr="005B5ADE">
        <w:rPr>
          <w:rFonts w:ascii="Times New Roman" w:hAnsi="Times New Roman"/>
          <w:sz w:val="24"/>
        </w:rPr>
        <w:t>(2023) 98 ALJR 62</w:t>
      </w:r>
      <w:r w:rsidR="00202AC6" w:rsidRPr="005B5ADE">
        <w:rPr>
          <w:rFonts w:ascii="Times New Roman" w:hAnsi="Times New Roman"/>
          <w:i/>
          <w:iCs/>
          <w:sz w:val="24"/>
        </w:rPr>
        <w:t xml:space="preserve"> </w:t>
      </w:r>
      <w:r w:rsidRPr="005B5ADE">
        <w:rPr>
          <w:rFonts w:ascii="Times New Roman" w:hAnsi="Times New Roman"/>
          <w:sz w:val="24"/>
        </w:rPr>
        <w:t xml:space="preserve">at </w:t>
      </w:r>
      <w:r w:rsidR="00202AC6" w:rsidRPr="005B5ADE">
        <w:rPr>
          <w:rFonts w:ascii="Times New Roman" w:hAnsi="Times New Roman"/>
          <w:sz w:val="24"/>
        </w:rPr>
        <w:t xml:space="preserve">70 </w:t>
      </w:r>
      <w:r w:rsidRPr="005B5ADE">
        <w:rPr>
          <w:rFonts w:ascii="Times New Roman" w:hAnsi="Times New Roman"/>
          <w:sz w:val="24"/>
        </w:rPr>
        <w:t>[30]</w:t>
      </w:r>
      <w:r w:rsidR="00202AC6" w:rsidRPr="005B5ADE">
        <w:rPr>
          <w:rFonts w:ascii="Times New Roman" w:hAnsi="Times New Roman"/>
          <w:sz w:val="24"/>
        </w:rPr>
        <w:t xml:space="preserve">; 416 ALR 359 at </w:t>
      </w:r>
      <w:r w:rsidR="0081395B" w:rsidRPr="005B5ADE">
        <w:rPr>
          <w:rFonts w:ascii="Times New Roman" w:hAnsi="Times New Roman"/>
          <w:sz w:val="24"/>
        </w:rPr>
        <w:t>368</w:t>
      </w:r>
      <w:r w:rsidRPr="005B5ADE">
        <w:rPr>
          <w:rFonts w:ascii="Times New Roman" w:hAnsi="Times New Roman"/>
          <w:sz w:val="24"/>
        </w:rPr>
        <w:t>.</w:t>
      </w:r>
    </w:p>
  </w:footnote>
  <w:footnote w:id="15">
    <w:p w14:paraId="72C429D6" w14:textId="755F2E4F" w:rsidR="00EE7A9E" w:rsidRPr="005B5ADE" w:rsidRDefault="00EE7A9E"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Huxley</w:t>
      </w:r>
      <w:r w:rsidRPr="005B5ADE">
        <w:rPr>
          <w:rFonts w:ascii="Times New Roman" w:hAnsi="Times New Roman"/>
          <w:sz w:val="24"/>
        </w:rPr>
        <w:t xml:space="preserve"> </w:t>
      </w:r>
      <w:r w:rsidR="00955259" w:rsidRPr="005B5ADE">
        <w:rPr>
          <w:rFonts w:ascii="Times New Roman" w:hAnsi="Times New Roman"/>
          <w:sz w:val="24"/>
        </w:rPr>
        <w:t xml:space="preserve">(2023) 98 ALJR 62 </w:t>
      </w:r>
      <w:r w:rsidRPr="005B5ADE">
        <w:rPr>
          <w:rFonts w:ascii="Times New Roman" w:hAnsi="Times New Roman"/>
          <w:sz w:val="24"/>
        </w:rPr>
        <w:t xml:space="preserve">at </w:t>
      </w:r>
      <w:r w:rsidR="00EF30D2" w:rsidRPr="005B5ADE">
        <w:rPr>
          <w:rFonts w:ascii="Times New Roman" w:hAnsi="Times New Roman"/>
          <w:sz w:val="24"/>
        </w:rPr>
        <w:t xml:space="preserve">69 </w:t>
      </w:r>
      <w:r w:rsidR="00BF54C8" w:rsidRPr="005B5ADE">
        <w:rPr>
          <w:rFonts w:ascii="Times New Roman" w:hAnsi="Times New Roman"/>
          <w:sz w:val="24"/>
        </w:rPr>
        <w:t>[24]</w:t>
      </w:r>
      <w:r w:rsidR="00955259" w:rsidRPr="005B5ADE">
        <w:rPr>
          <w:rFonts w:ascii="Times New Roman" w:hAnsi="Times New Roman"/>
          <w:sz w:val="24"/>
        </w:rPr>
        <w:t>,</w:t>
      </w:r>
      <w:r w:rsidR="00BF54C8" w:rsidRPr="005B5ADE">
        <w:rPr>
          <w:rFonts w:ascii="Times New Roman" w:hAnsi="Times New Roman"/>
          <w:sz w:val="24"/>
        </w:rPr>
        <w:t xml:space="preserve"> </w:t>
      </w:r>
      <w:r w:rsidR="00747550" w:rsidRPr="005B5ADE">
        <w:rPr>
          <w:rFonts w:ascii="Times New Roman" w:hAnsi="Times New Roman"/>
          <w:sz w:val="24"/>
        </w:rPr>
        <w:t xml:space="preserve">70 </w:t>
      </w:r>
      <w:r w:rsidR="00BF54C8" w:rsidRPr="005B5ADE">
        <w:rPr>
          <w:rFonts w:ascii="Times New Roman" w:hAnsi="Times New Roman"/>
          <w:sz w:val="24"/>
        </w:rPr>
        <w:t>[30]</w:t>
      </w:r>
      <w:r w:rsidR="00314186" w:rsidRPr="005B5ADE">
        <w:rPr>
          <w:rFonts w:ascii="Times New Roman" w:hAnsi="Times New Roman"/>
          <w:sz w:val="24"/>
        </w:rPr>
        <w:t xml:space="preserve">, </w:t>
      </w:r>
      <w:r w:rsidR="00833664" w:rsidRPr="005B5ADE">
        <w:rPr>
          <w:rFonts w:ascii="Times New Roman" w:hAnsi="Times New Roman"/>
          <w:sz w:val="24"/>
        </w:rPr>
        <w:t xml:space="preserve">76 </w:t>
      </w:r>
      <w:r w:rsidR="00314186" w:rsidRPr="005B5ADE">
        <w:rPr>
          <w:rFonts w:ascii="Times New Roman" w:hAnsi="Times New Roman"/>
          <w:sz w:val="24"/>
        </w:rPr>
        <w:t>[67</w:t>
      </w:r>
      <w:r w:rsidR="00BF54C8" w:rsidRPr="005B5ADE">
        <w:rPr>
          <w:rFonts w:ascii="Times New Roman" w:hAnsi="Times New Roman"/>
          <w:sz w:val="24"/>
        </w:rPr>
        <w:t>]</w:t>
      </w:r>
      <w:r w:rsidR="00955259" w:rsidRPr="005B5ADE">
        <w:rPr>
          <w:rFonts w:ascii="Times New Roman" w:hAnsi="Times New Roman"/>
          <w:sz w:val="24"/>
        </w:rPr>
        <w:t>; 416 ALR 359</w:t>
      </w:r>
      <w:r w:rsidR="00833664" w:rsidRPr="005B5ADE">
        <w:rPr>
          <w:rFonts w:ascii="Times New Roman" w:hAnsi="Times New Roman"/>
          <w:sz w:val="24"/>
        </w:rPr>
        <w:t xml:space="preserve"> at </w:t>
      </w:r>
      <w:r w:rsidR="00EA32AC" w:rsidRPr="005B5ADE">
        <w:rPr>
          <w:rFonts w:ascii="Times New Roman" w:hAnsi="Times New Roman"/>
          <w:sz w:val="24"/>
        </w:rPr>
        <w:t xml:space="preserve">366, 368, </w:t>
      </w:r>
      <w:r w:rsidR="00AE758D" w:rsidRPr="005B5ADE">
        <w:rPr>
          <w:rFonts w:ascii="Times New Roman" w:hAnsi="Times New Roman"/>
          <w:sz w:val="24"/>
        </w:rPr>
        <w:t>376</w:t>
      </w:r>
      <w:r w:rsidR="00833664" w:rsidRPr="005B5ADE">
        <w:rPr>
          <w:rFonts w:ascii="Times New Roman" w:hAnsi="Times New Roman"/>
          <w:sz w:val="24"/>
        </w:rPr>
        <w:t>.</w:t>
      </w:r>
    </w:p>
  </w:footnote>
  <w:footnote w:id="16">
    <w:p w14:paraId="2A69A03A" w14:textId="2FB94AA5" w:rsidR="00EE7A9E" w:rsidRPr="005B5ADE" w:rsidRDefault="00EE7A9E"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DA56ED" w:rsidRPr="005B5ADE">
        <w:rPr>
          <w:rFonts w:ascii="Times New Roman" w:hAnsi="Times New Roman"/>
          <w:sz w:val="24"/>
        </w:rPr>
        <w:t>(2005) 224 CLR 300</w:t>
      </w:r>
      <w:r w:rsidR="009B7A1E" w:rsidRPr="005B5ADE">
        <w:rPr>
          <w:rFonts w:ascii="Times New Roman" w:hAnsi="Times New Roman"/>
          <w:sz w:val="24"/>
        </w:rPr>
        <w:t xml:space="preserve"> at 308 </w:t>
      </w:r>
      <w:r w:rsidR="00C15863">
        <w:rPr>
          <w:rFonts w:ascii="Times New Roman" w:hAnsi="Times New Roman"/>
          <w:sz w:val="24"/>
        </w:rPr>
        <w:t xml:space="preserve">[18] </w:t>
      </w:r>
      <w:r w:rsidR="009B7A1E" w:rsidRPr="005B5ADE">
        <w:rPr>
          <w:rFonts w:ascii="Times New Roman" w:hAnsi="Times New Roman"/>
          <w:sz w:val="24"/>
        </w:rPr>
        <w:t>(emphasis in original)</w:t>
      </w:r>
      <w:r w:rsidR="00DA56ED" w:rsidRPr="005B5ADE">
        <w:rPr>
          <w:rFonts w:ascii="Times New Roman" w:hAnsi="Times New Roman"/>
          <w:sz w:val="24"/>
        </w:rPr>
        <w:t>.</w:t>
      </w:r>
    </w:p>
  </w:footnote>
  <w:footnote w:id="17">
    <w:p w14:paraId="4C1D6D15" w14:textId="6BEE2CA0" w:rsidR="00DA56ED" w:rsidRPr="005B5ADE" w:rsidRDefault="00DA56ED"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proofErr w:type="spellStart"/>
      <w:r w:rsidRPr="005B5ADE">
        <w:rPr>
          <w:rFonts w:ascii="Times New Roman" w:hAnsi="Times New Roman"/>
          <w:i/>
          <w:iCs/>
          <w:sz w:val="24"/>
        </w:rPr>
        <w:t>Kalbasi</w:t>
      </w:r>
      <w:proofErr w:type="spellEnd"/>
      <w:r w:rsidRPr="005B5ADE">
        <w:rPr>
          <w:rFonts w:ascii="Times New Roman" w:hAnsi="Times New Roman"/>
          <w:i/>
          <w:iCs/>
          <w:sz w:val="24"/>
        </w:rPr>
        <w:t xml:space="preserve"> v Western Australia</w:t>
      </w:r>
      <w:r w:rsidRPr="005B5ADE">
        <w:rPr>
          <w:rFonts w:ascii="Times New Roman" w:hAnsi="Times New Roman"/>
          <w:sz w:val="24"/>
        </w:rPr>
        <w:t xml:space="preserve"> (2</w:t>
      </w:r>
      <w:r w:rsidR="00BD7EB8" w:rsidRPr="005B5ADE">
        <w:rPr>
          <w:rFonts w:ascii="Times New Roman" w:hAnsi="Times New Roman"/>
          <w:sz w:val="24"/>
        </w:rPr>
        <w:t>0</w:t>
      </w:r>
      <w:r w:rsidRPr="005B5ADE">
        <w:rPr>
          <w:rFonts w:ascii="Times New Roman" w:hAnsi="Times New Roman"/>
          <w:sz w:val="24"/>
        </w:rPr>
        <w:t xml:space="preserve">18) 264 CLR 62 at </w:t>
      </w:r>
      <w:r w:rsidR="003F1889" w:rsidRPr="005B5ADE">
        <w:rPr>
          <w:rFonts w:ascii="Times New Roman" w:hAnsi="Times New Roman"/>
          <w:sz w:val="24"/>
        </w:rPr>
        <w:t xml:space="preserve">69-70 </w:t>
      </w:r>
      <w:r w:rsidRPr="005B5ADE">
        <w:rPr>
          <w:rFonts w:ascii="Times New Roman" w:hAnsi="Times New Roman"/>
          <w:sz w:val="24"/>
        </w:rPr>
        <w:t xml:space="preserve">[12]; </w:t>
      </w:r>
      <w:r w:rsidRPr="005B5ADE">
        <w:rPr>
          <w:rFonts w:ascii="Times New Roman" w:hAnsi="Times New Roman"/>
          <w:i/>
          <w:iCs/>
          <w:sz w:val="24"/>
        </w:rPr>
        <w:t>GBF v The Queen</w:t>
      </w:r>
      <w:r w:rsidRPr="005B5ADE">
        <w:rPr>
          <w:rFonts w:ascii="Times New Roman" w:hAnsi="Times New Roman"/>
          <w:sz w:val="24"/>
        </w:rPr>
        <w:t xml:space="preserve"> (2020) 271 CLR 537 at </w:t>
      </w:r>
      <w:r w:rsidR="000F5758" w:rsidRPr="005B5ADE">
        <w:rPr>
          <w:rFonts w:ascii="Times New Roman" w:hAnsi="Times New Roman"/>
          <w:sz w:val="24"/>
        </w:rPr>
        <w:t xml:space="preserve">547 </w:t>
      </w:r>
      <w:r w:rsidRPr="005B5ADE">
        <w:rPr>
          <w:rFonts w:ascii="Times New Roman" w:hAnsi="Times New Roman"/>
          <w:sz w:val="24"/>
        </w:rPr>
        <w:t>[24].</w:t>
      </w:r>
    </w:p>
  </w:footnote>
  <w:footnote w:id="18">
    <w:p w14:paraId="57F5CCCE" w14:textId="437F9783" w:rsidR="00DA56ED" w:rsidRPr="005B5ADE" w:rsidRDefault="00DA56ED"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Hofer v The Queen </w:t>
      </w:r>
      <w:r w:rsidRPr="005B5ADE">
        <w:rPr>
          <w:rFonts w:ascii="Times New Roman" w:hAnsi="Times New Roman"/>
          <w:sz w:val="24"/>
        </w:rPr>
        <w:t xml:space="preserve">(2021) 274 CLR 351 at </w:t>
      </w:r>
      <w:r w:rsidR="00D11A54" w:rsidRPr="005B5ADE">
        <w:rPr>
          <w:rFonts w:ascii="Times New Roman" w:hAnsi="Times New Roman"/>
          <w:sz w:val="24"/>
        </w:rPr>
        <w:t xml:space="preserve">364-365 </w:t>
      </w:r>
      <w:r w:rsidRPr="005B5ADE">
        <w:rPr>
          <w:rFonts w:ascii="Times New Roman" w:hAnsi="Times New Roman"/>
          <w:sz w:val="24"/>
        </w:rPr>
        <w:t xml:space="preserve">[41], </w:t>
      </w:r>
      <w:r w:rsidR="00D11A54" w:rsidRPr="005B5ADE">
        <w:rPr>
          <w:rFonts w:ascii="Times New Roman" w:hAnsi="Times New Roman"/>
          <w:sz w:val="24"/>
        </w:rPr>
        <w:t>366-367</w:t>
      </w:r>
      <w:r w:rsidRPr="005B5ADE">
        <w:rPr>
          <w:rFonts w:ascii="Times New Roman" w:hAnsi="Times New Roman"/>
          <w:sz w:val="24"/>
        </w:rPr>
        <w:t xml:space="preserve"> [47], </w:t>
      </w:r>
      <w:r w:rsidR="0029528F" w:rsidRPr="005B5ADE">
        <w:rPr>
          <w:rFonts w:ascii="Times New Roman" w:hAnsi="Times New Roman"/>
          <w:sz w:val="24"/>
        </w:rPr>
        <w:t>388-</w:t>
      </w:r>
      <w:r w:rsidR="003E6008" w:rsidRPr="005B5ADE">
        <w:rPr>
          <w:rFonts w:ascii="Times New Roman" w:hAnsi="Times New Roman"/>
          <w:sz w:val="24"/>
        </w:rPr>
        <w:t>392</w:t>
      </w:r>
      <w:r w:rsidR="0029528F" w:rsidRPr="005B5ADE">
        <w:rPr>
          <w:rFonts w:ascii="Times New Roman" w:hAnsi="Times New Roman"/>
          <w:sz w:val="24"/>
        </w:rPr>
        <w:t xml:space="preserve"> </w:t>
      </w:r>
      <w:r w:rsidRPr="005B5ADE">
        <w:rPr>
          <w:rFonts w:ascii="Times New Roman" w:hAnsi="Times New Roman"/>
          <w:sz w:val="24"/>
        </w:rPr>
        <w:t xml:space="preserve">[114]-[123], </w:t>
      </w:r>
      <w:r w:rsidR="00A53CD7" w:rsidRPr="005B5ADE">
        <w:rPr>
          <w:rFonts w:ascii="Times New Roman" w:hAnsi="Times New Roman"/>
          <w:sz w:val="24"/>
        </w:rPr>
        <w:t xml:space="preserve">392 </w:t>
      </w:r>
      <w:r w:rsidRPr="005B5ADE">
        <w:rPr>
          <w:rFonts w:ascii="Times New Roman" w:hAnsi="Times New Roman"/>
          <w:sz w:val="24"/>
        </w:rPr>
        <w:t>[125],</w:t>
      </w:r>
      <w:r w:rsidR="00A53CD7" w:rsidRPr="005B5ADE">
        <w:rPr>
          <w:rFonts w:ascii="Times New Roman" w:hAnsi="Times New Roman"/>
          <w:sz w:val="24"/>
        </w:rPr>
        <w:t xml:space="preserve"> 393</w:t>
      </w:r>
      <w:r w:rsidRPr="005B5ADE">
        <w:rPr>
          <w:rFonts w:ascii="Times New Roman" w:hAnsi="Times New Roman"/>
          <w:sz w:val="24"/>
        </w:rPr>
        <w:t xml:space="preserve"> [130]; </w:t>
      </w:r>
      <w:r w:rsidRPr="005B5ADE">
        <w:rPr>
          <w:rFonts w:ascii="Times New Roman" w:hAnsi="Times New Roman"/>
          <w:i/>
          <w:iCs/>
          <w:sz w:val="24"/>
        </w:rPr>
        <w:t xml:space="preserve">Edwards v The Queen </w:t>
      </w:r>
      <w:r w:rsidR="00A53CD7" w:rsidRPr="005B5ADE">
        <w:rPr>
          <w:rFonts w:ascii="Times New Roman" w:hAnsi="Times New Roman"/>
          <w:sz w:val="24"/>
        </w:rPr>
        <w:t xml:space="preserve">(2021) 273 CLR 585 </w:t>
      </w:r>
      <w:r w:rsidRPr="005B5ADE">
        <w:rPr>
          <w:rFonts w:ascii="Times New Roman" w:hAnsi="Times New Roman"/>
          <w:sz w:val="24"/>
        </w:rPr>
        <w:t xml:space="preserve">at </w:t>
      </w:r>
      <w:r w:rsidR="00DD7825" w:rsidRPr="005B5ADE">
        <w:rPr>
          <w:rFonts w:ascii="Times New Roman" w:hAnsi="Times New Roman"/>
          <w:sz w:val="24"/>
        </w:rPr>
        <w:t xml:space="preserve">609 </w:t>
      </w:r>
      <w:r w:rsidRPr="005B5ADE">
        <w:rPr>
          <w:rFonts w:ascii="Times New Roman" w:hAnsi="Times New Roman"/>
          <w:sz w:val="24"/>
        </w:rPr>
        <w:t xml:space="preserve">[74]; </w:t>
      </w:r>
      <w:r w:rsidRPr="005B5ADE">
        <w:rPr>
          <w:rFonts w:ascii="Times New Roman" w:hAnsi="Times New Roman"/>
          <w:i/>
          <w:iCs/>
          <w:sz w:val="24"/>
        </w:rPr>
        <w:t>HCF</w:t>
      </w:r>
      <w:r w:rsidR="00F47B5D" w:rsidRPr="005B5ADE">
        <w:rPr>
          <w:rFonts w:ascii="Times New Roman" w:hAnsi="Times New Roman"/>
          <w:i/>
          <w:iCs/>
          <w:sz w:val="24"/>
        </w:rPr>
        <w:t xml:space="preserve"> v The Queen</w:t>
      </w:r>
      <w:r w:rsidRPr="005B5ADE">
        <w:rPr>
          <w:rFonts w:ascii="Times New Roman" w:hAnsi="Times New Roman"/>
          <w:i/>
          <w:iCs/>
          <w:sz w:val="24"/>
        </w:rPr>
        <w:t xml:space="preserve"> </w:t>
      </w:r>
      <w:r w:rsidRPr="005B5ADE">
        <w:rPr>
          <w:rFonts w:ascii="Times New Roman" w:hAnsi="Times New Roman"/>
          <w:sz w:val="24"/>
        </w:rPr>
        <w:t xml:space="preserve">(2023) 97 ALJR 978 at </w:t>
      </w:r>
      <w:r w:rsidR="00760DBA" w:rsidRPr="005B5ADE">
        <w:rPr>
          <w:rFonts w:ascii="Times New Roman" w:hAnsi="Times New Roman"/>
          <w:sz w:val="24"/>
        </w:rPr>
        <w:t xml:space="preserve">981-982 </w:t>
      </w:r>
      <w:r w:rsidRPr="005B5ADE">
        <w:rPr>
          <w:rFonts w:ascii="Times New Roman" w:hAnsi="Times New Roman"/>
          <w:sz w:val="24"/>
        </w:rPr>
        <w:t xml:space="preserve">[2], </w:t>
      </w:r>
      <w:r w:rsidR="00A5532E" w:rsidRPr="005B5ADE">
        <w:rPr>
          <w:rFonts w:ascii="Times New Roman" w:hAnsi="Times New Roman"/>
          <w:sz w:val="24"/>
        </w:rPr>
        <w:t xml:space="preserve">996 </w:t>
      </w:r>
      <w:r w:rsidRPr="005B5ADE">
        <w:rPr>
          <w:rFonts w:ascii="Times New Roman" w:hAnsi="Times New Roman"/>
          <w:sz w:val="24"/>
        </w:rPr>
        <w:t>[82]</w:t>
      </w:r>
      <w:r w:rsidR="001C4E84" w:rsidRPr="005B5ADE">
        <w:rPr>
          <w:rFonts w:ascii="Times New Roman" w:hAnsi="Times New Roman"/>
          <w:sz w:val="24"/>
        </w:rPr>
        <w:t>; 415 ALR 190</w:t>
      </w:r>
      <w:r w:rsidR="00A5532E" w:rsidRPr="005B5ADE">
        <w:rPr>
          <w:rFonts w:ascii="Times New Roman" w:hAnsi="Times New Roman"/>
          <w:sz w:val="24"/>
        </w:rPr>
        <w:t xml:space="preserve"> at </w:t>
      </w:r>
      <w:r w:rsidR="0088547F" w:rsidRPr="005B5ADE">
        <w:rPr>
          <w:rFonts w:ascii="Times New Roman" w:hAnsi="Times New Roman"/>
          <w:sz w:val="24"/>
        </w:rPr>
        <w:t>191-192</w:t>
      </w:r>
      <w:r w:rsidR="00AA63CC" w:rsidRPr="005B5ADE">
        <w:rPr>
          <w:rFonts w:ascii="Times New Roman" w:hAnsi="Times New Roman"/>
          <w:sz w:val="24"/>
        </w:rPr>
        <w:t xml:space="preserve">, </w:t>
      </w:r>
      <w:r w:rsidR="00CC6AEE" w:rsidRPr="005B5ADE">
        <w:rPr>
          <w:rFonts w:ascii="Times New Roman" w:hAnsi="Times New Roman"/>
          <w:sz w:val="24"/>
        </w:rPr>
        <w:t>211</w:t>
      </w:r>
      <w:r w:rsidRPr="005B5ADE">
        <w:rPr>
          <w:rFonts w:ascii="Times New Roman" w:hAnsi="Times New Roman"/>
          <w:sz w:val="24"/>
        </w:rPr>
        <w:t>.</w:t>
      </w:r>
    </w:p>
  </w:footnote>
  <w:footnote w:id="19">
    <w:p w14:paraId="2E4509B0" w14:textId="79B7FF5D" w:rsidR="00DA56ED" w:rsidRPr="005B5ADE" w:rsidRDefault="00DA56ED"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207F6F" w:rsidRPr="005B5ADE">
        <w:rPr>
          <w:rFonts w:ascii="Times New Roman" w:hAnsi="Times New Roman"/>
          <w:sz w:val="24"/>
        </w:rPr>
        <w:t>S</w:t>
      </w:r>
      <w:r w:rsidRPr="005B5ADE">
        <w:rPr>
          <w:rFonts w:ascii="Times New Roman" w:hAnsi="Times New Roman"/>
          <w:sz w:val="24"/>
        </w:rPr>
        <w:t xml:space="preserve">uch as in </w:t>
      </w:r>
      <w:r w:rsidRPr="005B5ADE">
        <w:rPr>
          <w:rFonts w:ascii="Times New Roman" w:hAnsi="Times New Roman"/>
          <w:i/>
          <w:iCs/>
          <w:sz w:val="24"/>
        </w:rPr>
        <w:t>Hofer</w:t>
      </w:r>
      <w:r w:rsidR="00207F6F" w:rsidRPr="005B5ADE">
        <w:rPr>
          <w:rFonts w:ascii="Times New Roman" w:hAnsi="Times New Roman"/>
          <w:i/>
          <w:iCs/>
          <w:sz w:val="24"/>
        </w:rPr>
        <w:t xml:space="preserve"> </w:t>
      </w:r>
      <w:r w:rsidR="00207F6F" w:rsidRPr="005B5ADE">
        <w:rPr>
          <w:rFonts w:ascii="Times New Roman" w:hAnsi="Times New Roman"/>
          <w:sz w:val="24"/>
        </w:rPr>
        <w:t>(2021) 274 CLR 351</w:t>
      </w:r>
      <w:r w:rsidRPr="005B5ADE">
        <w:rPr>
          <w:rFonts w:ascii="Times New Roman" w:hAnsi="Times New Roman"/>
          <w:sz w:val="24"/>
        </w:rPr>
        <w:t>.</w:t>
      </w:r>
    </w:p>
  </w:footnote>
  <w:footnote w:id="20">
    <w:p w14:paraId="0E77E49E" w14:textId="22CC94CA" w:rsidR="00DA56ED" w:rsidRPr="005B5ADE" w:rsidRDefault="00DA56ED"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B74D97" w:rsidRPr="005B5ADE">
        <w:rPr>
          <w:rFonts w:ascii="Times New Roman" w:hAnsi="Times New Roman"/>
          <w:sz w:val="24"/>
        </w:rPr>
        <w:t>S</w:t>
      </w:r>
      <w:r w:rsidRPr="005B5ADE">
        <w:rPr>
          <w:rFonts w:ascii="Times New Roman" w:hAnsi="Times New Roman"/>
          <w:sz w:val="24"/>
        </w:rPr>
        <w:t xml:space="preserve">uch as in </w:t>
      </w:r>
      <w:r w:rsidRPr="005B5ADE">
        <w:rPr>
          <w:rFonts w:ascii="Times New Roman" w:hAnsi="Times New Roman"/>
          <w:i/>
          <w:iCs/>
          <w:sz w:val="24"/>
        </w:rPr>
        <w:t xml:space="preserve">Simic v The Queen </w:t>
      </w:r>
      <w:r w:rsidRPr="005B5ADE">
        <w:rPr>
          <w:rFonts w:ascii="Times New Roman" w:hAnsi="Times New Roman"/>
          <w:sz w:val="24"/>
        </w:rPr>
        <w:t>(1980) 144 CLR 319 at 333-334.</w:t>
      </w:r>
    </w:p>
  </w:footnote>
  <w:footnote w:id="21">
    <w:p w14:paraId="79751A41" w14:textId="594BA715"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pacing w:val="-2"/>
          <w:sz w:val="24"/>
          <w:szCs w:val="24"/>
        </w:rPr>
        <w:t>Wilde v The Queen</w:t>
      </w:r>
      <w:r w:rsidRPr="005B5ADE">
        <w:rPr>
          <w:rFonts w:ascii="Times New Roman" w:hAnsi="Times New Roman"/>
          <w:spacing w:val="-2"/>
          <w:sz w:val="24"/>
          <w:szCs w:val="24"/>
        </w:rPr>
        <w:t xml:space="preserve"> (1988) 164 CLR 365 at 373; </w:t>
      </w:r>
      <w:proofErr w:type="spellStart"/>
      <w:r w:rsidR="00885AAD" w:rsidRPr="005B5ADE">
        <w:rPr>
          <w:rFonts w:ascii="Times New Roman" w:hAnsi="Times New Roman"/>
          <w:i/>
          <w:iCs/>
          <w:spacing w:val="-2"/>
          <w:sz w:val="24"/>
          <w:szCs w:val="24"/>
        </w:rPr>
        <w:t>Katsuno</w:t>
      </w:r>
      <w:proofErr w:type="spellEnd"/>
      <w:r w:rsidR="00885AAD" w:rsidRPr="005B5ADE">
        <w:rPr>
          <w:rFonts w:ascii="Times New Roman" w:hAnsi="Times New Roman"/>
          <w:i/>
          <w:iCs/>
          <w:spacing w:val="-2"/>
          <w:sz w:val="24"/>
          <w:szCs w:val="24"/>
        </w:rPr>
        <w:t xml:space="preserve"> v The Queen</w:t>
      </w:r>
      <w:r w:rsidR="00885AAD" w:rsidRPr="005B5ADE">
        <w:rPr>
          <w:rFonts w:ascii="Times New Roman" w:hAnsi="Times New Roman"/>
          <w:spacing w:val="-2"/>
          <w:sz w:val="24"/>
          <w:szCs w:val="24"/>
        </w:rPr>
        <w:t xml:space="preserve"> (1999) 199 CLR 40 at 60 [35]; </w:t>
      </w:r>
      <w:r w:rsidRPr="005B5ADE">
        <w:rPr>
          <w:rFonts w:ascii="Times New Roman" w:hAnsi="Times New Roman"/>
          <w:i/>
          <w:iCs/>
          <w:spacing w:val="-2"/>
          <w:sz w:val="24"/>
          <w:szCs w:val="24"/>
        </w:rPr>
        <w:t>Weiss</w:t>
      </w:r>
      <w:r w:rsidR="005E0BC1" w:rsidRPr="005B5ADE">
        <w:rPr>
          <w:rFonts w:ascii="Times New Roman" w:hAnsi="Times New Roman"/>
          <w:i/>
          <w:iCs/>
          <w:spacing w:val="-2"/>
          <w:sz w:val="24"/>
          <w:szCs w:val="24"/>
        </w:rPr>
        <w:t xml:space="preserve"> v The Queen</w:t>
      </w:r>
      <w:r w:rsidRPr="005B5ADE">
        <w:rPr>
          <w:rFonts w:ascii="Times New Roman" w:hAnsi="Times New Roman"/>
          <w:i/>
          <w:iCs/>
          <w:spacing w:val="-2"/>
          <w:sz w:val="24"/>
          <w:szCs w:val="24"/>
        </w:rPr>
        <w:t xml:space="preserve"> </w:t>
      </w:r>
      <w:r w:rsidRPr="005B5ADE">
        <w:rPr>
          <w:rFonts w:ascii="Times New Roman" w:hAnsi="Times New Roman"/>
          <w:sz w:val="24"/>
          <w:szCs w:val="24"/>
        </w:rPr>
        <w:t xml:space="preserve">(2005) 224 CLR 300 </w:t>
      </w:r>
      <w:r w:rsidRPr="005B5ADE">
        <w:rPr>
          <w:rFonts w:ascii="Times New Roman" w:hAnsi="Times New Roman"/>
          <w:spacing w:val="-2"/>
          <w:sz w:val="24"/>
          <w:szCs w:val="24"/>
        </w:rPr>
        <w:t xml:space="preserve">at </w:t>
      </w:r>
      <w:r w:rsidR="00793A15" w:rsidRPr="005B5ADE">
        <w:rPr>
          <w:rFonts w:ascii="Times New Roman" w:hAnsi="Times New Roman"/>
          <w:spacing w:val="-2"/>
          <w:sz w:val="24"/>
          <w:szCs w:val="24"/>
        </w:rPr>
        <w:t>317-318</w:t>
      </w:r>
      <w:r w:rsidRPr="005B5ADE">
        <w:rPr>
          <w:rFonts w:ascii="Times New Roman" w:hAnsi="Times New Roman"/>
          <w:spacing w:val="-2"/>
          <w:sz w:val="24"/>
          <w:szCs w:val="24"/>
        </w:rPr>
        <w:t xml:space="preserve"> [46]; </w:t>
      </w:r>
      <w:r w:rsidRPr="005B5ADE">
        <w:rPr>
          <w:rFonts w:ascii="Times New Roman" w:hAnsi="Times New Roman"/>
          <w:i/>
          <w:iCs/>
          <w:spacing w:val="-2"/>
          <w:sz w:val="24"/>
          <w:szCs w:val="24"/>
        </w:rPr>
        <w:t>Hofer</w:t>
      </w:r>
      <w:r w:rsidRPr="005B5ADE">
        <w:rPr>
          <w:rFonts w:ascii="Times New Roman" w:hAnsi="Times New Roman"/>
          <w:spacing w:val="-2"/>
          <w:sz w:val="24"/>
          <w:szCs w:val="24"/>
        </w:rPr>
        <w:t xml:space="preserve"> </w:t>
      </w:r>
      <w:r w:rsidRPr="005B5ADE">
        <w:rPr>
          <w:rFonts w:ascii="Times New Roman" w:hAnsi="Times New Roman"/>
          <w:sz w:val="24"/>
          <w:szCs w:val="24"/>
        </w:rPr>
        <w:t>(2021)</w:t>
      </w:r>
      <w:r w:rsidRPr="005B5ADE">
        <w:rPr>
          <w:rFonts w:ascii="Times New Roman" w:hAnsi="Times New Roman"/>
          <w:spacing w:val="31"/>
          <w:sz w:val="24"/>
          <w:szCs w:val="24"/>
        </w:rPr>
        <w:t xml:space="preserve"> </w:t>
      </w:r>
      <w:r w:rsidRPr="005B5ADE">
        <w:rPr>
          <w:rFonts w:ascii="Times New Roman" w:hAnsi="Times New Roman"/>
          <w:sz w:val="24"/>
          <w:szCs w:val="24"/>
        </w:rPr>
        <w:t>274</w:t>
      </w:r>
      <w:r w:rsidRPr="005B5ADE">
        <w:rPr>
          <w:rFonts w:ascii="Times New Roman" w:hAnsi="Times New Roman"/>
          <w:spacing w:val="30"/>
          <w:sz w:val="24"/>
          <w:szCs w:val="24"/>
        </w:rPr>
        <w:t xml:space="preserve"> </w:t>
      </w:r>
      <w:r w:rsidRPr="005B5ADE">
        <w:rPr>
          <w:rFonts w:ascii="Times New Roman" w:hAnsi="Times New Roman"/>
          <w:sz w:val="24"/>
          <w:szCs w:val="24"/>
        </w:rPr>
        <w:t>CLR</w:t>
      </w:r>
      <w:r w:rsidRPr="005B5ADE">
        <w:rPr>
          <w:rFonts w:ascii="Times New Roman" w:hAnsi="Times New Roman"/>
          <w:spacing w:val="33"/>
          <w:sz w:val="24"/>
          <w:szCs w:val="24"/>
        </w:rPr>
        <w:t xml:space="preserve"> </w:t>
      </w:r>
      <w:r w:rsidRPr="005B5ADE">
        <w:rPr>
          <w:rFonts w:ascii="Times New Roman" w:hAnsi="Times New Roman"/>
          <w:sz w:val="24"/>
          <w:szCs w:val="24"/>
        </w:rPr>
        <w:t>351</w:t>
      </w:r>
      <w:r w:rsidRPr="005B5ADE">
        <w:rPr>
          <w:rFonts w:ascii="Times New Roman" w:hAnsi="Times New Roman"/>
          <w:spacing w:val="30"/>
          <w:sz w:val="24"/>
          <w:szCs w:val="24"/>
        </w:rPr>
        <w:t xml:space="preserve"> </w:t>
      </w:r>
      <w:r w:rsidRPr="005B5ADE">
        <w:rPr>
          <w:rFonts w:ascii="Times New Roman" w:hAnsi="Times New Roman"/>
          <w:spacing w:val="-2"/>
          <w:sz w:val="24"/>
          <w:szCs w:val="24"/>
        </w:rPr>
        <w:t xml:space="preserve">at </w:t>
      </w:r>
      <w:r w:rsidR="005A18CE" w:rsidRPr="005B5ADE">
        <w:rPr>
          <w:rFonts w:ascii="Times New Roman" w:hAnsi="Times New Roman"/>
          <w:spacing w:val="-2"/>
          <w:sz w:val="24"/>
          <w:szCs w:val="24"/>
        </w:rPr>
        <w:t>391-392</w:t>
      </w:r>
      <w:r w:rsidRPr="005B5ADE">
        <w:rPr>
          <w:rFonts w:ascii="Times New Roman" w:hAnsi="Times New Roman"/>
          <w:spacing w:val="-2"/>
          <w:sz w:val="24"/>
          <w:szCs w:val="24"/>
        </w:rPr>
        <w:t xml:space="preserve"> [123]</w:t>
      </w:r>
      <w:r w:rsidR="00382089" w:rsidRPr="005B5ADE">
        <w:rPr>
          <w:rFonts w:ascii="Times New Roman" w:hAnsi="Times New Roman"/>
          <w:spacing w:val="-2"/>
          <w:sz w:val="24"/>
          <w:szCs w:val="24"/>
        </w:rPr>
        <w:t>,</w:t>
      </w:r>
      <w:r w:rsidR="00A67158" w:rsidRPr="005B5ADE">
        <w:rPr>
          <w:rFonts w:ascii="Times New Roman" w:hAnsi="Times New Roman"/>
          <w:spacing w:val="-2"/>
          <w:sz w:val="24"/>
          <w:szCs w:val="24"/>
        </w:rPr>
        <w:t xml:space="preserve"> referring to </w:t>
      </w:r>
      <w:r w:rsidR="00A67158" w:rsidRPr="005B5ADE">
        <w:rPr>
          <w:rFonts w:ascii="Times New Roman" w:hAnsi="Times New Roman"/>
          <w:i/>
          <w:iCs/>
          <w:spacing w:val="-2"/>
          <w:sz w:val="24"/>
          <w:szCs w:val="24"/>
        </w:rPr>
        <w:t>Maher v The Queen</w:t>
      </w:r>
      <w:r w:rsidR="00A67158" w:rsidRPr="005B5ADE">
        <w:rPr>
          <w:rFonts w:ascii="Times New Roman" w:hAnsi="Times New Roman"/>
          <w:spacing w:val="-2"/>
          <w:sz w:val="24"/>
          <w:szCs w:val="24"/>
        </w:rPr>
        <w:t xml:space="preserve"> (1987) 163 CLR 221 at 234; </w:t>
      </w:r>
      <w:r w:rsidR="00427C60" w:rsidRPr="005B5ADE">
        <w:rPr>
          <w:rFonts w:ascii="Times New Roman" w:hAnsi="Times New Roman"/>
          <w:i/>
          <w:iCs/>
          <w:spacing w:val="-2"/>
          <w:sz w:val="24"/>
          <w:szCs w:val="24"/>
        </w:rPr>
        <w:t>Hoang v The Queen</w:t>
      </w:r>
      <w:r w:rsidR="00427C60" w:rsidRPr="005B5ADE">
        <w:rPr>
          <w:rFonts w:ascii="Times New Roman" w:hAnsi="Times New Roman"/>
          <w:spacing w:val="-2"/>
          <w:sz w:val="24"/>
          <w:szCs w:val="24"/>
        </w:rPr>
        <w:t xml:space="preserve"> (2022) 276 CLR </w:t>
      </w:r>
      <w:r w:rsidR="004124B6" w:rsidRPr="005B5ADE">
        <w:rPr>
          <w:rFonts w:ascii="Times New Roman" w:hAnsi="Times New Roman"/>
          <w:spacing w:val="-2"/>
          <w:sz w:val="24"/>
          <w:szCs w:val="24"/>
        </w:rPr>
        <w:t xml:space="preserve">252 at </w:t>
      </w:r>
      <w:r w:rsidR="00E45F71" w:rsidRPr="005B5ADE">
        <w:rPr>
          <w:rFonts w:ascii="Times New Roman" w:hAnsi="Times New Roman"/>
          <w:spacing w:val="-2"/>
          <w:sz w:val="24"/>
          <w:szCs w:val="24"/>
        </w:rPr>
        <w:t xml:space="preserve">268 </w:t>
      </w:r>
      <w:r w:rsidR="004124B6" w:rsidRPr="005B5ADE">
        <w:rPr>
          <w:rFonts w:ascii="Times New Roman" w:hAnsi="Times New Roman"/>
          <w:spacing w:val="-2"/>
          <w:sz w:val="24"/>
          <w:szCs w:val="24"/>
        </w:rPr>
        <w:t xml:space="preserve">[42]; </w:t>
      </w:r>
      <w:r w:rsidR="00A67158" w:rsidRPr="005B5ADE">
        <w:rPr>
          <w:rFonts w:ascii="Times New Roman" w:hAnsi="Times New Roman"/>
          <w:i/>
          <w:iCs/>
          <w:sz w:val="24"/>
        </w:rPr>
        <w:t>Huxley</w:t>
      </w:r>
      <w:r w:rsidR="00A67158" w:rsidRPr="005B5ADE">
        <w:rPr>
          <w:rFonts w:ascii="Times New Roman" w:hAnsi="Times New Roman"/>
          <w:sz w:val="24"/>
        </w:rPr>
        <w:t xml:space="preserve"> (2023) 98 ALJR 62 at </w:t>
      </w:r>
      <w:r w:rsidR="00F40EB8" w:rsidRPr="005B5ADE">
        <w:rPr>
          <w:rFonts w:ascii="Times New Roman" w:hAnsi="Times New Roman"/>
          <w:sz w:val="24"/>
        </w:rPr>
        <w:t xml:space="preserve">72-73 </w:t>
      </w:r>
      <w:r w:rsidR="00CB4154" w:rsidRPr="005B5ADE">
        <w:rPr>
          <w:rFonts w:ascii="Times New Roman" w:hAnsi="Times New Roman"/>
          <w:sz w:val="24"/>
        </w:rPr>
        <w:t>[44]; 416 ALR 359</w:t>
      </w:r>
      <w:r w:rsidR="00F40EB8" w:rsidRPr="005B5ADE">
        <w:rPr>
          <w:rFonts w:ascii="Times New Roman" w:hAnsi="Times New Roman"/>
          <w:sz w:val="24"/>
        </w:rPr>
        <w:t xml:space="preserve"> at </w:t>
      </w:r>
      <w:r w:rsidR="00C20306" w:rsidRPr="005B5ADE">
        <w:rPr>
          <w:rFonts w:ascii="Times New Roman" w:hAnsi="Times New Roman"/>
          <w:sz w:val="24"/>
        </w:rPr>
        <w:t>371</w:t>
      </w:r>
      <w:r w:rsidR="00C31483" w:rsidRPr="005B5ADE">
        <w:rPr>
          <w:rFonts w:ascii="Times New Roman" w:hAnsi="Times New Roman"/>
          <w:sz w:val="24"/>
        </w:rPr>
        <w:t>.</w:t>
      </w:r>
    </w:p>
  </w:footnote>
  <w:footnote w:id="22">
    <w:p w14:paraId="5322FDE9" w14:textId="174C934C"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bCs/>
          <w:i/>
          <w:iCs/>
          <w:sz w:val="24"/>
          <w:szCs w:val="24"/>
        </w:rPr>
        <w:t xml:space="preserve">HCF </w:t>
      </w:r>
      <w:r w:rsidRPr="005B5ADE">
        <w:rPr>
          <w:rFonts w:ascii="Times New Roman" w:hAnsi="Times New Roman"/>
          <w:sz w:val="24"/>
          <w:szCs w:val="24"/>
        </w:rPr>
        <w:t xml:space="preserve">(2023) 97 ALJR 978 </w:t>
      </w:r>
      <w:r w:rsidRPr="005B5ADE">
        <w:rPr>
          <w:rFonts w:ascii="Times New Roman" w:hAnsi="Times New Roman"/>
          <w:bCs/>
          <w:sz w:val="24"/>
          <w:szCs w:val="24"/>
        </w:rPr>
        <w:t xml:space="preserve">at </w:t>
      </w:r>
      <w:r w:rsidR="001A63AE" w:rsidRPr="005B5ADE">
        <w:rPr>
          <w:rFonts w:ascii="Times New Roman" w:hAnsi="Times New Roman"/>
          <w:sz w:val="24"/>
          <w:szCs w:val="24"/>
        </w:rPr>
        <w:t xml:space="preserve">982-983 </w:t>
      </w:r>
      <w:r w:rsidRPr="005B5ADE">
        <w:rPr>
          <w:rFonts w:ascii="Times New Roman" w:hAnsi="Times New Roman"/>
          <w:bCs/>
          <w:sz w:val="24"/>
          <w:szCs w:val="24"/>
        </w:rPr>
        <w:t>[7</w:t>
      </w:r>
      <w:r w:rsidRPr="005B5ADE">
        <w:rPr>
          <w:rFonts w:ascii="Times New Roman" w:hAnsi="Times New Roman"/>
          <w:sz w:val="24"/>
          <w:szCs w:val="24"/>
        </w:rPr>
        <w:t>]</w:t>
      </w:r>
      <w:r w:rsidR="00233281" w:rsidRPr="005B5ADE">
        <w:rPr>
          <w:rFonts w:ascii="Times New Roman" w:hAnsi="Times New Roman"/>
          <w:sz w:val="24"/>
          <w:szCs w:val="24"/>
        </w:rPr>
        <w:t>, 996 [83</w:t>
      </w:r>
      <w:r w:rsidR="001E6489" w:rsidRPr="005B5ADE">
        <w:rPr>
          <w:rFonts w:ascii="Times New Roman" w:hAnsi="Times New Roman"/>
          <w:sz w:val="24"/>
          <w:szCs w:val="24"/>
        </w:rPr>
        <w:t>]</w:t>
      </w:r>
      <w:r w:rsidR="005A18CE" w:rsidRPr="005B5ADE">
        <w:rPr>
          <w:rFonts w:ascii="Times New Roman" w:hAnsi="Times New Roman"/>
          <w:sz w:val="24"/>
          <w:szCs w:val="24"/>
        </w:rPr>
        <w:t>; 415 ALR 190 at</w:t>
      </w:r>
      <w:r w:rsidR="00B76C79" w:rsidRPr="005B5ADE">
        <w:rPr>
          <w:rFonts w:ascii="Times New Roman" w:hAnsi="Times New Roman"/>
          <w:sz w:val="24"/>
          <w:szCs w:val="24"/>
        </w:rPr>
        <w:t xml:space="preserve"> 193</w:t>
      </w:r>
      <w:r w:rsidR="001E6489" w:rsidRPr="005B5ADE">
        <w:rPr>
          <w:rFonts w:ascii="Times New Roman" w:hAnsi="Times New Roman"/>
          <w:sz w:val="24"/>
          <w:szCs w:val="24"/>
        </w:rPr>
        <w:t>, 211</w:t>
      </w:r>
      <w:r w:rsidRPr="005B5ADE">
        <w:rPr>
          <w:rFonts w:ascii="Times New Roman" w:hAnsi="Times New Roman"/>
          <w:sz w:val="24"/>
          <w:szCs w:val="24"/>
        </w:rPr>
        <w:t>.</w:t>
      </w:r>
    </w:p>
  </w:footnote>
  <w:footnote w:id="23">
    <w:p w14:paraId="46BE1786" w14:textId="10FC9B4F"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sz w:val="24"/>
          <w:szCs w:val="24"/>
        </w:rPr>
        <w:t xml:space="preserve">(2005) 224 CLR 300 at </w:t>
      </w:r>
      <w:r w:rsidR="007114A8" w:rsidRPr="005B5ADE">
        <w:rPr>
          <w:rFonts w:ascii="Times New Roman" w:hAnsi="Times New Roman"/>
          <w:sz w:val="24"/>
          <w:szCs w:val="24"/>
        </w:rPr>
        <w:t xml:space="preserve">317 </w:t>
      </w:r>
      <w:r w:rsidRPr="005B5ADE">
        <w:rPr>
          <w:rFonts w:ascii="Times New Roman" w:hAnsi="Times New Roman"/>
          <w:sz w:val="24"/>
          <w:szCs w:val="24"/>
        </w:rPr>
        <w:t>[44].</w:t>
      </w:r>
    </w:p>
  </w:footnote>
  <w:footnote w:id="24">
    <w:p w14:paraId="236F6834" w14:textId="45DEF25A" w:rsidR="00155D54" w:rsidRPr="005B5ADE" w:rsidRDefault="00155D54"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5B714E" w:rsidRPr="005B5ADE">
        <w:rPr>
          <w:rFonts w:ascii="Times New Roman" w:hAnsi="Times New Roman"/>
          <w:sz w:val="24"/>
        </w:rPr>
        <w:t xml:space="preserve">(2021) 274 CLR 351 at </w:t>
      </w:r>
      <w:r w:rsidR="000D45F2" w:rsidRPr="005B5ADE">
        <w:rPr>
          <w:rFonts w:ascii="Times New Roman" w:hAnsi="Times New Roman"/>
          <w:sz w:val="24"/>
        </w:rPr>
        <w:t>367 [49],</w:t>
      </w:r>
      <w:r w:rsidR="005B714E" w:rsidRPr="005B5ADE">
        <w:rPr>
          <w:rFonts w:ascii="Times New Roman" w:hAnsi="Times New Roman"/>
          <w:sz w:val="24"/>
        </w:rPr>
        <w:t xml:space="preserve"> </w:t>
      </w:r>
      <w:r w:rsidR="00F80EEF" w:rsidRPr="005B5ADE">
        <w:rPr>
          <w:rFonts w:ascii="Times New Roman" w:hAnsi="Times New Roman"/>
          <w:sz w:val="24"/>
        </w:rPr>
        <w:t>374</w:t>
      </w:r>
      <w:r w:rsidR="0084484D" w:rsidRPr="005B5ADE">
        <w:rPr>
          <w:rFonts w:ascii="Times New Roman" w:hAnsi="Times New Roman"/>
          <w:sz w:val="24"/>
        </w:rPr>
        <w:t>-375</w:t>
      </w:r>
      <w:r w:rsidR="004E65E8" w:rsidRPr="005B5ADE">
        <w:rPr>
          <w:rFonts w:ascii="Times New Roman" w:hAnsi="Times New Roman"/>
          <w:sz w:val="24"/>
        </w:rPr>
        <w:t xml:space="preserve"> [72]-</w:t>
      </w:r>
      <w:r w:rsidR="0084484D" w:rsidRPr="005B5ADE">
        <w:rPr>
          <w:rFonts w:ascii="Times New Roman" w:hAnsi="Times New Roman"/>
          <w:sz w:val="24"/>
        </w:rPr>
        <w:t>[77]</w:t>
      </w:r>
      <w:r w:rsidR="000D45F2" w:rsidRPr="005B5ADE">
        <w:rPr>
          <w:rFonts w:ascii="Times New Roman" w:hAnsi="Times New Roman"/>
          <w:sz w:val="24"/>
        </w:rPr>
        <w:t xml:space="preserve">, </w:t>
      </w:r>
      <w:r w:rsidR="00936B3C" w:rsidRPr="005B5ADE">
        <w:rPr>
          <w:rFonts w:ascii="Times New Roman" w:hAnsi="Times New Roman"/>
          <w:sz w:val="24"/>
        </w:rPr>
        <w:t xml:space="preserve">391-392 [123], </w:t>
      </w:r>
      <w:r w:rsidR="00F93766" w:rsidRPr="005B5ADE">
        <w:rPr>
          <w:rFonts w:ascii="Times New Roman" w:hAnsi="Times New Roman"/>
          <w:sz w:val="24"/>
        </w:rPr>
        <w:t>393 [130]</w:t>
      </w:r>
      <w:r w:rsidR="005B714E" w:rsidRPr="005B5ADE">
        <w:rPr>
          <w:rFonts w:ascii="Times New Roman" w:hAnsi="Times New Roman"/>
          <w:sz w:val="24"/>
        </w:rPr>
        <w:t>.</w:t>
      </w:r>
    </w:p>
  </w:footnote>
  <w:footnote w:id="25">
    <w:p w14:paraId="12F9E446" w14:textId="4E3ECF1E"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sz w:val="24"/>
          <w:szCs w:val="24"/>
        </w:rPr>
        <w:t xml:space="preserve">See </w:t>
      </w:r>
      <w:proofErr w:type="spellStart"/>
      <w:r w:rsidRPr="005B5ADE">
        <w:rPr>
          <w:rFonts w:ascii="Times New Roman" w:hAnsi="Times New Roman"/>
          <w:i/>
          <w:iCs/>
          <w:sz w:val="24"/>
          <w:szCs w:val="24"/>
        </w:rPr>
        <w:t>Kalbasi</w:t>
      </w:r>
      <w:proofErr w:type="spellEnd"/>
      <w:r w:rsidRPr="005B5ADE">
        <w:rPr>
          <w:rFonts w:ascii="Times New Roman" w:hAnsi="Times New Roman"/>
          <w:sz w:val="24"/>
          <w:szCs w:val="24"/>
        </w:rPr>
        <w:t xml:space="preserve"> </w:t>
      </w:r>
      <w:r w:rsidRPr="005B5ADE">
        <w:rPr>
          <w:rFonts w:ascii="Times New Roman" w:hAnsi="Times New Roman"/>
          <w:sz w:val="24"/>
          <w:szCs w:val="24"/>
          <w:shd w:val="clear" w:color="auto" w:fill="FFFFFF"/>
        </w:rPr>
        <w:t xml:space="preserve">(2018) 264 CLR 62 </w:t>
      </w:r>
      <w:r w:rsidRPr="005B5ADE">
        <w:rPr>
          <w:rFonts w:ascii="Times New Roman" w:hAnsi="Times New Roman"/>
          <w:sz w:val="24"/>
          <w:szCs w:val="24"/>
        </w:rPr>
        <w:t xml:space="preserve">at </w:t>
      </w:r>
      <w:r w:rsidR="00E660FE" w:rsidRPr="005B5ADE">
        <w:rPr>
          <w:rFonts w:ascii="Times New Roman" w:hAnsi="Times New Roman"/>
          <w:sz w:val="24"/>
          <w:szCs w:val="24"/>
        </w:rPr>
        <w:t>83</w:t>
      </w:r>
      <w:r w:rsidRPr="005B5ADE">
        <w:rPr>
          <w:rFonts w:ascii="Times New Roman" w:hAnsi="Times New Roman"/>
          <w:sz w:val="24"/>
          <w:szCs w:val="24"/>
        </w:rPr>
        <w:t xml:space="preserve"> [57].</w:t>
      </w:r>
    </w:p>
  </w:footnote>
  <w:footnote w:id="26">
    <w:p w14:paraId="5A3412CE" w14:textId="256CC609"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sz w:val="24"/>
          <w:szCs w:val="24"/>
        </w:rPr>
        <w:t>(2021)</w:t>
      </w:r>
      <w:r w:rsidRPr="005B5ADE">
        <w:rPr>
          <w:rFonts w:ascii="Times New Roman" w:hAnsi="Times New Roman"/>
          <w:spacing w:val="31"/>
          <w:sz w:val="24"/>
          <w:szCs w:val="24"/>
        </w:rPr>
        <w:t xml:space="preserve"> </w:t>
      </w:r>
      <w:r w:rsidRPr="005B5ADE">
        <w:rPr>
          <w:rFonts w:ascii="Times New Roman" w:hAnsi="Times New Roman"/>
          <w:sz w:val="24"/>
          <w:szCs w:val="24"/>
        </w:rPr>
        <w:t>274</w:t>
      </w:r>
      <w:r w:rsidRPr="005B5ADE">
        <w:rPr>
          <w:rFonts w:ascii="Times New Roman" w:hAnsi="Times New Roman"/>
          <w:spacing w:val="30"/>
          <w:sz w:val="24"/>
          <w:szCs w:val="24"/>
        </w:rPr>
        <w:t xml:space="preserve"> </w:t>
      </w:r>
      <w:r w:rsidRPr="005B5ADE">
        <w:rPr>
          <w:rFonts w:ascii="Times New Roman" w:hAnsi="Times New Roman"/>
          <w:sz w:val="24"/>
          <w:szCs w:val="24"/>
        </w:rPr>
        <w:t>CLR</w:t>
      </w:r>
      <w:r w:rsidRPr="005B5ADE">
        <w:rPr>
          <w:rFonts w:ascii="Times New Roman" w:hAnsi="Times New Roman"/>
          <w:spacing w:val="33"/>
          <w:sz w:val="24"/>
          <w:szCs w:val="24"/>
        </w:rPr>
        <w:t xml:space="preserve"> </w:t>
      </w:r>
      <w:r w:rsidRPr="005B5ADE">
        <w:rPr>
          <w:rFonts w:ascii="Times New Roman" w:hAnsi="Times New Roman"/>
          <w:sz w:val="24"/>
          <w:szCs w:val="24"/>
        </w:rPr>
        <w:t xml:space="preserve">351 at </w:t>
      </w:r>
      <w:r w:rsidR="00A030C4" w:rsidRPr="005B5ADE">
        <w:rPr>
          <w:rFonts w:ascii="Times New Roman" w:hAnsi="Times New Roman"/>
          <w:sz w:val="24"/>
          <w:szCs w:val="24"/>
        </w:rPr>
        <w:t>388-389</w:t>
      </w:r>
      <w:r w:rsidRPr="005B5ADE">
        <w:rPr>
          <w:rFonts w:ascii="Times New Roman" w:hAnsi="Times New Roman"/>
          <w:sz w:val="24"/>
          <w:szCs w:val="24"/>
        </w:rPr>
        <w:t xml:space="preserve"> [115].</w:t>
      </w:r>
    </w:p>
  </w:footnote>
  <w:footnote w:id="27">
    <w:p w14:paraId="687FD5CB" w14:textId="5FD0A651"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sz w:val="24"/>
          <w:szCs w:val="24"/>
        </w:rPr>
        <w:t>(2008) 236 CLR 358.</w:t>
      </w:r>
    </w:p>
  </w:footnote>
  <w:footnote w:id="28">
    <w:p w14:paraId="73DDA9AF" w14:textId="7A9780BB"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proofErr w:type="spellStart"/>
      <w:r w:rsidRPr="005B5ADE">
        <w:rPr>
          <w:rFonts w:ascii="Times New Roman" w:hAnsi="Times New Roman"/>
          <w:i/>
          <w:iCs/>
          <w:sz w:val="24"/>
          <w:szCs w:val="24"/>
        </w:rPr>
        <w:t>Cesan</w:t>
      </w:r>
      <w:proofErr w:type="spellEnd"/>
      <w:r w:rsidRPr="005B5ADE">
        <w:rPr>
          <w:rFonts w:ascii="Times New Roman" w:hAnsi="Times New Roman"/>
          <w:i/>
          <w:iCs/>
          <w:sz w:val="24"/>
          <w:szCs w:val="24"/>
        </w:rPr>
        <w:t xml:space="preserve"> v The Queen </w:t>
      </w:r>
      <w:r w:rsidRPr="005B5ADE">
        <w:rPr>
          <w:rFonts w:ascii="Times New Roman" w:hAnsi="Times New Roman"/>
          <w:sz w:val="24"/>
          <w:szCs w:val="24"/>
        </w:rPr>
        <w:t>(2008) 236 CLR 358</w:t>
      </w:r>
      <w:r w:rsidR="00F577A7" w:rsidRPr="005B5ADE">
        <w:rPr>
          <w:rFonts w:ascii="Times New Roman" w:hAnsi="Times New Roman"/>
          <w:sz w:val="24"/>
          <w:szCs w:val="24"/>
        </w:rPr>
        <w:t xml:space="preserve"> </w:t>
      </w:r>
      <w:r w:rsidRPr="005B5ADE">
        <w:rPr>
          <w:rFonts w:ascii="Times New Roman" w:hAnsi="Times New Roman"/>
          <w:sz w:val="24"/>
          <w:szCs w:val="24"/>
        </w:rPr>
        <w:t xml:space="preserve">at </w:t>
      </w:r>
      <w:r w:rsidR="003460C2" w:rsidRPr="005B5ADE">
        <w:rPr>
          <w:rFonts w:ascii="Times New Roman" w:hAnsi="Times New Roman"/>
          <w:sz w:val="24"/>
          <w:szCs w:val="24"/>
        </w:rPr>
        <w:t xml:space="preserve">391 </w:t>
      </w:r>
      <w:r w:rsidRPr="005B5ADE">
        <w:rPr>
          <w:rFonts w:ascii="Times New Roman" w:hAnsi="Times New Roman"/>
          <w:sz w:val="24"/>
          <w:szCs w:val="24"/>
        </w:rPr>
        <w:t xml:space="preserve">[112], </w:t>
      </w:r>
      <w:r w:rsidR="000E40A2" w:rsidRPr="005B5ADE">
        <w:rPr>
          <w:rFonts w:ascii="Times New Roman" w:hAnsi="Times New Roman"/>
          <w:sz w:val="24"/>
          <w:szCs w:val="24"/>
        </w:rPr>
        <w:t xml:space="preserve">393 </w:t>
      </w:r>
      <w:r w:rsidRPr="005B5ADE">
        <w:rPr>
          <w:rFonts w:ascii="Times New Roman" w:hAnsi="Times New Roman"/>
          <w:sz w:val="24"/>
          <w:szCs w:val="24"/>
        </w:rPr>
        <w:t>[119].</w:t>
      </w:r>
    </w:p>
  </w:footnote>
  <w:footnote w:id="29">
    <w:p w14:paraId="1F39CFDF" w14:textId="24AA7DF2"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Style w:val="Emphasis"/>
          <w:rFonts w:ascii="Times New Roman" w:hAnsi="Times New Roman"/>
          <w:sz w:val="24"/>
          <w:szCs w:val="24"/>
        </w:rPr>
        <w:t>Gallagher v The Queen</w:t>
      </w:r>
      <w:r w:rsidRPr="005B5ADE">
        <w:rPr>
          <w:rFonts w:ascii="Times New Roman" w:hAnsi="Times New Roman"/>
          <w:sz w:val="24"/>
          <w:szCs w:val="24"/>
        </w:rPr>
        <w:t xml:space="preserve"> (1986) 160 CLR 392 at 399, 402, 414, 421; </w:t>
      </w:r>
      <w:proofErr w:type="spellStart"/>
      <w:r w:rsidRPr="005B5ADE">
        <w:rPr>
          <w:rStyle w:val="Emphasis"/>
          <w:rFonts w:ascii="Times New Roman" w:hAnsi="Times New Roman"/>
          <w:sz w:val="24"/>
          <w:szCs w:val="24"/>
        </w:rPr>
        <w:t>Rodi</w:t>
      </w:r>
      <w:proofErr w:type="spellEnd"/>
      <w:r w:rsidRPr="005B5ADE">
        <w:rPr>
          <w:rStyle w:val="Emphasis"/>
          <w:rFonts w:ascii="Times New Roman" w:hAnsi="Times New Roman"/>
          <w:sz w:val="24"/>
          <w:szCs w:val="24"/>
        </w:rPr>
        <w:t xml:space="preserve"> v Western Australia</w:t>
      </w:r>
      <w:r w:rsidRPr="005B5ADE">
        <w:rPr>
          <w:rFonts w:ascii="Times New Roman" w:hAnsi="Times New Roman"/>
          <w:sz w:val="24"/>
          <w:szCs w:val="24"/>
        </w:rPr>
        <w:t xml:space="preserve"> (2018) 265 CLR 254</w:t>
      </w:r>
      <w:r w:rsidR="00A16ED3" w:rsidRPr="005B5ADE">
        <w:rPr>
          <w:rFonts w:ascii="Times New Roman" w:hAnsi="Times New Roman"/>
          <w:sz w:val="24"/>
          <w:szCs w:val="24"/>
        </w:rPr>
        <w:t xml:space="preserve"> </w:t>
      </w:r>
      <w:r w:rsidRPr="005B5ADE">
        <w:rPr>
          <w:rFonts w:ascii="Times New Roman" w:hAnsi="Times New Roman"/>
          <w:sz w:val="24"/>
          <w:szCs w:val="24"/>
        </w:rPr>
        <w:t xml:space="preserve">at </w:t>
      </w:r>
      <w:r w:rsidR="00C87558" w:rsidRPr="005B5ADE">
        <w:rPr>
          <w:rFonts w:ascii="Times New Roman" w:hAnsi="Times New Roman"/>
          <w:sz w:val="24"/>
          <w:szCs w:val="24"/>
        </w:rPr>
        <w:t xml:space="preserve">263 </w:t>
      </w:r>
      <w:r w:rsidRPr="005B5ADE">
        <w:rPr>
          <w:rFonts w:ascii="Times New Roman" w:hAnsi="Times New Roman"/>
          <w:sz w:val="24"/>
          <w:szCs w:val="24"/>
        </w:rPr>
        <w:t>[28].</w:t>
      </w:r>
    </w:p>
  </w:footnote>
  <w:footnote w:id="30">
    <w:p w14:paraId="495FA001" w14:textId="6306682D"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363B7A" w:rsidRPr="005B5ADE">
        <w:rPr>
          <w:rFonts w:ascii="Times New Roman" w:hAnsi="Times New Roman"/>
          <w:sz w:val="24"/>
        </w:rPr>
        <w:t xml:space="preserve">See, </w:t>
      </w:r>
      <w:proofErr w:type="spellStart"/>
      <w:r w:rsidRPr="005B5ADE">
        <w:rPr>
          <w:rFonts w:ascii="Times New Roman" w:hAnsi="Times New Roman"/>
          <w:sz w:val="24"/>
        </w:rPr>
        <w:t>eg</w:t>
      </w:r>
      <w:proofErr w:type="spellEnd"/>
      <w:r w:rsidR="00363B7A" w:rsidRPr="005B5ADE">
        <w:rPr>
          <w:rFonts w:ascii="Times New Roman" w:hAnsi="Times New Roman"/>
          <w:sz w:val="24"/>
        </w:rPr>
        <w:t>,</w:t>
      </w:r>
      <w:r w:rsidRPr="005B5ADE">
        <w:rPr>
          <w:rFonts w:ascii="Times New Roman" w:hAnsi="Times New Roman"/>
          <w:sz w:val="24"/>
        </w:rPr>
        <w:t xml:space="preserve"> </w:t>
      </w:r>
      <w:r w:rsidRPr="005B5ADE">
        <w:rPr>
          <w:rStyle w:val="Emphasis"/>
          <w:rFonts w:ascii="Times New Roman" w:hAnsi="Times New Roman"/>
          <w:sz w:val="24"/>
        </w:rPr>
        <w:t>TKWJ</w:t>
      </w:r>
      <w:r w:rsidRPr="005B5ADE">
        <w:rPr>
          <w:rFonts w:ascii="Times New Roman" w:hAnsi="Times New Roman"/>
          <w:sz w:val="24"/>
        </w:rPr>
        <w:t xml:space="preserve"> </w:t>
      </w:r>
      <w:r w:rsidRPr="005B5ADE">
        <w:rPr>
          <w:rStyle w:val="defaultparagraphfont0"/>
          <w:rFonts w:ascii="Times New Roman" w:hAnsi="Times New Roman"/>
          <w:i/>
          <w:iCs/>
          <w:sz w:val="24"/>
        </w:rPr>
        <w:t xml:space="preserve">v The Queen </w:t>
      </w:r>
      <w:r w:rsidRPr="005B5ADE">
        <w:rPr>
          <w:rFonts w:ascii="Times New Roman" w:hAnsi="Times New Roman"/>
          <w:sz w:val="24"/>
        </w:rPr>
        <w:t xml:space="preserve">(2002) 212 CLR 124 at </w:t>
      </w:r>
      <w:r w:rsidR="001E27B2" w:rsidRPr="005B5ADE">
        <w:rPr>
          <w:rFonts w:ascii="Times New Roman" w:hAnsi="Times New Roman"/>
          <w:sz w:val="24"/>
        </w:rPr>
        <w:t xml:space="preserve">135 </w:t>
      </w:r>
      <w:r w:rsidRPr="005B5ADE">
        <w:rPr>
          <w:rFonts w:ascii="Times New Roman" w:hAnsi="Times New Roman"/>
          <w:sz w:val="24"/>
        </w:rPr>
        <w:t xml:space="preserve">[33], </w:t>
      </w:r>
      <w:r w:rsidR="005E36AB" w:rsidRPr="005B5ADE">
        <w:rPr>
          <w:rFonts w:ascii="Times New Roman" w:hAnsi="Times New Roman"/>
          <w:sz w:val="24"/>
        </w:rPr>
        <w:t xml:space="preserve">149-150 </w:t>
      </w:r>
      <w:r w:rsidRPr="005B5ADE">
        <w:rPr>
          <w:rFonts w:ascii="Times New Roman" w:hAnsi="Times New Roman"/>
          <w:sz w:val="24"/>
        </w:rPr>
        <w:t>[79]</w:t>
      </w:r>
      <w:r w:rsidR="005E36AB" w:rsidRPr="005B5ADE">
        <w:rPr>
          <w:rFonts w:ascii="Times New Roman" w:hAnsi="Times New Roman"/>
          <w:sz w:val="24"/>
        </w:rPr>
        <w:t>,</w:t>
      </w:r>
      <w:r w:rsidRPr="005B5ADE">
        <w:rPr>
          <w:rFonts w:ascii="Times New Roman" w:hAnsi="Times New Roman"/>
          <w:sz w:val="24"/>
        </w:rPr>
        <w:t xml:space="preserve"> </w:t>
      </w:r>
      <w:r w:rsidR="005312D0" w:rsidRPr="005B5ADE">
        <w:rPr>
          <w:rFonts w:ascii="Times New Roman" w:hAnsi="Times New Roman"/>
          <w:sz w:val="24"/>
        </w:rPr>
        <w:t xml:space="preserve">156 </w:t>
      </w:r>
      <w:r w:rsidRPr="005B5ADE">
        <w:rPr>
          <w:rFonts w:ascii="Times New Roman" w:hAnsi="Times New Roman"/>
          <w:sz w:val="24"/>
        </w:rPr>
        <w:t xml:space="preserve">[97], </w:t>
      </w:r>
      <w:r w:rsidR="0066084D" w:rsidRPr="005B5ADE">
        <w:rPr>
          <w:rFonts w:ascii="Times New Roman" w:hAnsi="Times New Roman"/>
          <w:sz w:val="24"/>
        </w:rPr>
        <w:t xml:space="preserve">157 </w:t>
      </w:r>
      <w:r w:rsidRPr="005B5ADE">
        <w:rPr>
          <w:rFonts w:ascii="Times New Roman" w:hAnsi="Times New Roman"/>
          <w:sz w:val="24"/>
        </w:rPr>
        <w:t>[101]</w:t>
      </w:r>
      <w:r w:rsidR="0066084D" w:rsidRPr="005B5ADE">
        <w:rPr>
          <w:rFonts w:ascii="Times New Roman" w:hAnsi="Times New Roman"/>
          <w:sz w:val="24"/>
        </w:rPr>
        <w:t>,</w:t>
      </w:r>
      <w:r w:rsidRPr="005B5ADE">
        <w:rPr>
          <w:rFonts w:ascii="Times New Roman" w:hAnsi="Times New Roman"/>
          <w:sz w:val="24"/>
        </w:rPr>
        <w:t xml:space="preserve"> </w:t>
      </w:r>
      <w:r w:rsidR="0066084D" w:rsidRPr="005B5ADE">
        <w:rPr>
          <w:rFonts w:ascii="Times New Roman" w:hAnsi="Times New Roman"/>
          <w:sz w:val="24"/>
        </w:rPr>
        <w:t xml:space="preserve">157 </w:t>
      </w:r>
      <w:r w:rsidRPr="005B5ADE">
        <w:rPr>
          <w:rFonts w:ascii="Times New Roman" w:hAnsi="Times New Roman"/>
          <w:sz w:val="24"/>
        </w:rPr>
        <w:t>[104]</w:t>
      </w:r>
      <w:r w:rsidR="00967A12" w:rsidRPr="005B5ADE">
        <w:rPr>
          <w:rFonts w:ascii="Times New Roman" w:hAnsi="Times New Roman"/>
          <w:sz w:val="24"/>
        </w:rPr>
        <w:t xml:space="preserve">; </w:t>
      </w:r>
      <w:proofErr w:type="spellStart"/>
      <w:r w:rsidR="00967A12" w:rsidRPr="005B5ADE">
        <w:rPr>
          <w:rStyle w:val="defaultparagraphfont0"/>
          <w:rFonts w:ascii="Times New Roman" w:hAnsi="Times New Roman"/>
          <w:i/>
          <w:iCs/>
          <w:sz w:val="24"/>
        </w:rPr>
        <w:t>Nudd</w:t>
      </w:r>
      <w:proofErr w:type="spellEnd"/>
      <w:r w:rsidR="00967A12" w:rsidRPr="005B5ADE">
        <w:rPr>
          <w:rStyle w:val="defaultparagraphfont0"/>
          <w:rFonts w:ascii="Times New Roman" w:hAnsi="Times New Roman"/>
          <w:i/>
          <w:iCs/>
          <w:sz w:val="24"/>
        </w:rPr>
        <w:t xml:space="preserve"> v The Queen</w:t>
      </w:r>
      <w:r w:rsidR="00967A12" w:rsidRPr="005B5ADE">
        <w:rPr>
          <w:rStyle w:val="defaultparagraphfont0"/>
          <w:rFonts w:ascii="Times New Roman" w:hAnsi="Times New Roman"/>
          <w:sz w:val="24"/>
        </w:rPr>
        <w:t xml:space="preserve"> (2006) 80 ALJR 614 </w:t>
      </w:r>
      <w:r w:rsidR="00967A12" w:rsidRPr="005B5ADE">
        <w:rPr>
          <w:rFonts w:ascii="Times New Roman" w:hAnsi="Times New Roman"/>
          <w:sz w:val="24"/>
        </w:rPr>
        <w:t xml:space="preserve">at 622 [24]; 225 ALR 161 at 170; </w:t>
      </w:r>
      <w:r w:rsidR="00967A12" w:rsidRPr="005B5ADE">
        <w:rPr>
          <w:rFonts w:ascii="Times New Roman" w:hAnsi="Times New Roman"/>
          <w:i/>
          <w:iCs/>
          <w:sz w:val="24"/>
        </w:rPr>
        <w:t>Craig v The Queen</w:t>
      </w:r>
      <w:r w:rsidR="00967A12" w:rsidRPr="005B5ADE">
        <w:rPr>
          <w:rFonts w:ascii="Times New Roman" w:hAnsi="Times New Roman"/>
          <w:sz w:val="24"/>
        </w:rPr>
        <w:t xml:space="preserve"> (2018) 264 CLR 202 at 215-216 [37]</w:t>
      </w:r>
      <w:r w:rsidRPr="005B5ADE">
        <w:rPr>
          <w:rFonts w:ascii="Times New Roman" w:hAnsi="Times New Roman"/>
          <w:sz w:val="24"/>
        </w:rPr>
        <w:t>.</w:t>
      </w:r>
    </w:p>
  </w:footnote>
  <w:footnote w:id="31">
    <w:p w14:paraId="02B2969A" w14:textId="698AF172" w:rsidR="00D545E5" w:rsidRPr="005B5ADE" w:rsidRDefault="00D545E5"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193909" w:rsidRPr="005B5ADE">
        <w:rPr>
          <w:rFonts w:ascii="Times New Roman" w:hAnsi="Times New Roman"/>
          <w:sz w:val="24"/>
        </w:rPr>
        <w:t>See</w:t>
      </w:r>
      <w:r w:rsidR="00193909" w:rsidRPr="005B5ADE">
        <w:rPr>
          <w:rFonts w:ascii="Times New Roman" w:hAnsi="Times New Roman"/>
          <w:i/>
          <w:iCs/>
          <w:sz w:val="24"/>
        </w:rPr>
        <w:t xml:space="preserve"> Hamilton</w:t>
      </w:r>
      <w:r w:rsidR="00193909" w:rsidRPr="005B5ADE">
        <w:rPr>
          <w:rFonts w:ascii="Times New Roman" w:hAnsi="Times New Roman"/>
          <w:sz w:val="24"/>
        </w:rPr>
        <w:t xml:space="preserve"> </w:t>
      </w:r>
      <w:r w:rsidR="00193909" w:rsidRPr="005B5ADE">
        <w:rPr>
          <w:rFonts w:ascii="Times New Roman" w:hAnsi="Times New Roman"/>
          <w:i/>
          <w:iCs/>
          <w:sz w:val="24"/>
        </w:rPr>
        <w:t xml:space="preserve">(a </w:t>
      </w:r>
      <w:r w:rsidR="00826C39" w:rsidRPr="005B5ADE">
        <w:rPr>
          <w:rFonts w:ascii="Times New Roman" w:hAnsi="Times New Roman"/>
          <w:i/>
          <w:iCs/>
          <w:sz w:val="24"/>
        </w:rPr>
        <w:t>pseudonym</w:t>
      </w:r>
      <w:r w:rsidR="00193909" w:rsidRPr="005B5ADE">
        <w:rPr>
          <w:rFonts w:ascii="Times New Roman" w:hAnsi="Times New Roman"/>
          <w:i/>
          <w:iCs/>
          <w:sz w:val="24"/>
        </w:rPr>
        <w:t>) v The Queen</w:t>
      </w:r>
      <w:r w:rsidR="00193909" w:rsidRPr="005B5ADE">
        <w:rPr>
          <w:rFonts w:ascii="Times New Roman" w:hAnsi="Times New Roman"/>
          <w:sz w:val="24"/>
        </w:rPr>
        <w:t xml:space="preserve"> (2021) 274 CLR 531 at </w:t>
      </w:r>
      <w:r w:rsidR="00791D56" w:rsidRPr="005B5ADE">
        <w:rPr>
          <w:rFonts w:ascii="Times New Roman" w:hAnsi="Times New Roman"/>
          <w:sz w:val="24"/>
        </w:rPr>
        <w:t xml:space="preserve">555 </w:t>
      </w:r>
      <w:r w:rsidR="00193909" w:rsidRPr="005B5ADE">
        <w:rPr>
          <w:rFonts w:ascii="Times New Roman" w:hAnsi="Times New Roman"/>
          <w:sz w:val="24"/>
        </w:rPr>
        <w:t>[49],</w:t>
      </w:r>
      <w:r w:rsidR="00791D56" w:rsidRPr="005B5ADE">
        <w:rPr>
          <w:rFonts w:ascii="Times New Roman" w:hAnsi="Times New Roman"/>
          <w:sz w:val="24"/>
        </w:rPr>
        <w:t xml:space="preserve"> </w:t>
      </w:r>
      <w:r w:rsidR="002E43D8" w:rsidRPr="005B5ADE">
        <w:rPr>
          <w:rFonts w:ascii="Times New Roman" w:hAnsi="Times New Roman"/>
          <w:sz w:val="24"/>
        </w:rPr>
        <w:t xml:space="preserve">557 </w:t>
      </w:r>
      <w:r w:rsidR="00193909" w:rsidRPr="005B5ADE">
        <w:rPr>
          <w:rFonts w:ascii="Times New Roman" w:hAnsi="Times New Roman"/>
          <w:sz w:val="24"/>
        </w:rPr>
        <w:t xml:space="preserve">[54] and </w:t>
      </w:r>
      <w:r w:rsidR="002E43D8" w:rsidRPr="005B5ADE">
        <w:rPr>
          <w:rFonts w:ascii="Times New Roman" w:hAnsi="Times New Roman"/>
          <w:sz w:val="24"/>
        </w:rPr>
        <w:t>the</w:t>
      </w:r>
      <w:r w:rsidR="00193909" w:rsidRPr="005B5ADE">
        <w:rPr>
          <w:rFonts w:ascii="Times New Roman" w:hAnsi="Times New Roman"/>
          <w:sz w:val="24"/>
        </w:rPr>
        <w:t xml:space="preserve"> cases there cited; </w:t>
      </w:r>
      <w:r w:rsidR="00967A12" w:rsidRPr="005B5ADE">
        <w:rPr>
          <w:rFonts w:ascii="Times New Roman" w:hAnsi="Times New Roman"/>
          <w:i/>
          <w:iCs/>
          <w:sz w:val="24"/>
        </w:rPr>
        <w:t xml:space="preserve">TKWJ </w:t>
      </w:r>
      <w:r w:rsidR="00967A12" w:rsidRPr="005B5ADE">
        <w:rPr>
          <w:rFonts w:ascii="Times New Roman" w:hAnsi="Times New Roman"/>
          <w:sz w:val="24"/>
        </w:rPr>
        <w:t xml:space="preserve">(2002) 212 CLR 124 at 132-133 [24]-[25], 133 [28]; </w:t>
      </w:r>
      <w:proofErr w:type="spellStart"/>
      <w:r w:rsidR="00193909" w:rsidRPr="005B5ADE">
        <w:rPr>
          <w:rFonts w:ascii="Times New Roman" w:hAnsi="Times New Roman"/>
          <w:i/>
          <w:iCs/>
          <w:sz w:val="24"/>
        </w:rPr>
        <w:t>Orreal</w:t>
      </w:r>
      <w:proofErr w:type="spellEnd"/>
      <w:r w:rsidR="00193909" w:rsidRPr="005B5ADE">
        <w:rPr>
          <w:rFonts w:ascii="Times New Roman" w:hAnsi="Times New Roman"/>
          <w:i/>
          <w:iCs/>
          <w:sz w:val="24"/>
        </w:rPr>
        <w:t xml:space="preserve"> v The Queen</w:t>
      </w:r>
      <w:r w:rsidR="00193909" w:rsidRPr="005B5ADE">
        <w:rPr>
          <w:rFonts w:ascii="Times New Roman" w:hAnsi="Times New Roman"/>
          <w:sz w:val="24"/>
        </w:rPr>
        <w:t xml:space="preserve"> (2021) 274 CLR 630 at </w:t>
      </w:r>
      <w:r w:rsidR="00F615B8" w:rsidRPr="005B5ADE">
        <w:rPr>
          <w:rFonts w:ascii="Times New Roman" w:hAnsi="Times New Roman"/>
          <w:sz w:val="24"/>
        </w:rPr>
        <w:t>639-</w:t>
      </w:r>
      <w:r w:rsidR="003C2647" w:rsidRPr="005B5ADE">
        <w:rPr>
          <w:rFonts w:ascii="Times New Roman" w:hAnsi="Times New Roman"/>
          <w:sz w:val="24"/>
        </w:rPr>
        <w:t>640</w:t>
      </w:r>
      <w:r w:rsidR="00F615B8" w:rsidRPr="005B5ADE">
        <w:rPr>
          <w:rFonts w:ascii="Times New Roman" w:hAnsi="Times New Roman"/>
          <w:sz w:val="24"/>
        </w:rPr>
        <w:t xml:space="preserve"> </w:t>
      </w:r>
      <w:r w:rsidR="00193909" w:rsidRPr="005B5ADE">
        <w:rPr>
          <w:rFonts w:ascii="Times New Roman" w:hAnsi="Times New Roman"/>
          <w:sz w:val="24"/>
        </w:rPr>
        <w:t>[14]-[18].</w:t>
      </w:r>
    </w:p>
  </w:footnote>
  <w:footnote w:id="32">
    <w:p w14:paraId="4B8095E0" w14:textId="38CF54BA" w:rsidR="00193909" w:rsidRPr="005B5ADE" w:rsidRDefault="00193909"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7751F6" w:rsidRPr="005B5ADE">
        <w:rPr>
          <w:rFonts w:ascii="Times New Roman" w:hAnsi="Times New Roman"/>
          <w:sz w:val="24"/>
          <w:szCs w:val="24"/>
        </w:rPr>
        <w:t>S</w:t>
      </w:r>
      <w:r w:rsidRPr="005B5ADE">
        <w:rPr>
          <w:rFonts w:ascii="Times New Roman" w:hAnsi="Times New Roman"/>
          <w:sz w:val="24"/>
          <w:szCs w:val="24"/>
        </w:rPr>
        <w:t xml:space="preserve">ee also </w:t>
      </w:r>
      <w:r w:rsidRPr="005B5ADE">
        <w:rPr>
          <w:rFonts w:ascii="Times New Roman" w:hAnsi="Times New Roman"/>
          <w:i/>
          <w:iCs/>
          <w:sz w:val="24"/>
          <w:szCs w:val="24"/>
        </w:rPr>
        <w:t>Bai</w:t>
      </w:r>
      <w:r w:rsidR="00A842D4" w:rsidRPr="005B5ADE">
        <w:rPr>
          <w:rFonts w:ascii="Times New Roman" w:hAnsi="Times New Roman"/>
          <w:i/>
          <w:iCs/>
          <w:sz w:val="24"/>
          <w:szCs w:val="24"/>
        </w:rPr>
        <w:t>a</w:t>
      </w:r>
      <w:r w:rsidRPr="005B5ADE">
        <w:rPr>
          <w:rFonts w:ascii="Times New Roman" w:hAnsi="Times New Roman"/>
          <w:i/>
          <w:iCs/>
          <w:sz w:val="24"/>
          <w:szCs w:val="24"/>
        </w:rPr>
        <w:t>da Poultry Pty Ltd v The Queen</w:t>
      </w:r>
      <w:r w:rsidRPr="005B5ADE">
        <w:rPr>
          <w:rFonts w:ascii="Times New Roman" w:hAnsi="Times New Roman"/>
          <w:sz w:val="24"/>
          <w:szCs w:val="24"/>
        </w:rPr>
        <w:t xml:space="preserve"> (2012) 246 CLR 92</w:t>
      </w:r>
      <w:r w:rsidR="00D248FD" w:rsidRPr="005B5ADE">
        <w:rPr>
          <w:rFonts w:ascii="Times New Roman" w:hAnsi="Times New Roman"/>
          <w:sz w:val="24"/>
          <w:szCs w:val="24"/>
        </w:rPr>
        <w:t xml:space="preserve">; </w:t>
      </w:r>
      <w:r w:rsidR="00D248FD" w:rsidRPr="005B5ADE">
        <w:rPr>
          <w:rFonts w:ascii="Times New Roman" w:hAnsi="Times New Roman"/>
          <w:i/>
          <w:iCs/>
          <w:sz w:val="24"/>
          <w:szCs w:val="24"/>
        </w:rPr>
        <w:t>Castle v The Queen</w:t>
      </w:r>
      <w:r w:rsidR="00D248FD" w:rsidRPr="005B5ADE">
        <w:rPr>
          <w:rFonts w:ascii="Times New Roman" w:hAnsi="Times New Roman"/>
          <w:sz w:val="24"/>
          <w:szCs w:val="24"/>
        </w:rPr>
        <w:t xml:space="preserve"> (2016) 259 CLR 449</w:t>
      </w:r>
      <w:r w:rsidRPr="005B5ADE">
        <w:rPr>
          <w:rFonts w:ascii="Times New Roman" w:hAnsi="Times New Roman"/>
          <w:sz w:val="24"/>
          <w:szCs w:val="24"/>
        </w:rPr>
        <w:t>.</w:t>
      </w:r>
    </w:p>
  </w:footnote>
  <w:footnote w:id="33">
    <w:p w14:paraId="7E00C114" w14:textId="04F226EF" w:rsidR="00193909" w:rsidRPr="005B5ADE" w:rsidRDefault="00193909"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R v </w:t>
      </w:r>
      <w:r w:rsidR="00006C5D" w:rsidRPr="005B5ADE">
        <w:rPr>
          <w:rFonts w:ascii="Times New Roman" w:hAnsi="Times New Roman"/>
          <w:i/>
          <w:iCs/>
          <w:sz w:val="24"/>
        </w:rPr>
        <w:t>M,</w:t>
      </w:r>
      <w:r w:rsidRPr="005B5ADE">
        <w:rPr>
          <w:rFonts w:ascii="Times New Roman" w:hAnsi="Times New Roman"/>
          <w:i/>
          <w:iCs/>
          <w:sz w:val="24"/>
        </w:rPr>
        <w:t xml:space="preserve"> DV</w:t>
      </w:r>
      <w:r w:rsidRPr="005B5ADE">
        <w:rPr>
          <w:rFonts w:ascii="Times New Roman" w:hAnsi="Times New Roman"/>
          <w:sz w:val="24"/>
        </w:rPr>
        <w:t xml:space="preserve"> (2019) 133 SASR 470</w:t>
      </w:r>
      <w:r w:rsidR="007B7CD5" w:rsidRPr="005B5ADE">
        <w:rPr>
          <w:rFonts w:ascii="Times New Roman" w:hAnsi="Times New Roman"/>
          <w:sz w:val="24"/>
        </w:rPr>
        <w:t xml:space="preserve"> </w:t>
      </w:r>
      <w:r w:rsidRPr="005B5ADE">
        <w:rPr>
          <w:rFonts w:ascii="Times New Roman" w:hAnsi="Times New Roman"/>
          <w:sz w:val="24"/>
        </w:rPr>
        <w:t xml:space="preserve">at </w:t>
      </w:r>
      <w:r w:rsidR="001B7A72" w:rsidRPr="005B5ADE">
        <w:rPr>
          <w:rFonts w:ascii="Times New Roman" w:hAnsi="Times New Roman"/>
          <w:sz w:val="24"/>
        </w:rPr>
        <w:t xml:space="preserve">476 </w:t>
      </w:r>
      <w:r w:rsidRPr="005B5ADE">
        <w:rPr>
          <w:rFonts w:ascii="Times New Roman" w:hAnsi="Times New Roman"/>
          <w:sz w:val="24"/>
        </w:rPr>
        <w:t>[16]</w:t>
      </w:r>
      <w:r w:rsidR="001B7A72" w:rsidRPr="005B5ADE">
        <w:rPr>
          <w:rFonts w:ascii="Times New Roman" w:hAnsi="Times New Roman"/>
          <w:sz w:val="24"/>
        </w:rPr>
        <w:t>,</w:t>
      </w:r>
      <w:r w:rsidRPr="005B5ADE">
        <w:rPr>
          <w:rFonts w:ascii="Times New Roman" w:hAnsi="Times New Roman"/>
          <w:sz w:val="24"/>
        </w:rPr>
        <w:t xml:space="preserve"> </w:t>
      </w:r>
      <w:r w:rsidR="00485ECD" w:rsidRPr="005B5ADE">
        <w:rPr>
          <w:rFonts w:ascii="Times New Roman" w:hAnsi="Times New Roman"/>
          <w:sz w:val="24"/>
        </w:rPr>
        <w:t>478</w:t>
      </w:r>
      <w:r w:rsidRPr="005B5ADE">
        <w:rPr>
          <w:rFonts w:ascii="Times New Roman" w:hAnsi="Times New Roman"/>
          <w:sz w:val="24"/>
        </w:rPr>
        <w:t xml:space="preserve"> [22]; </w:t>
      </w:r>
      <w:r w:rsidRPr="005B5ADE">
        <w:rPr>
          <w:rFonts w:ascii="Times New Roman" w:hAnsi="Times New Roman"/>
          <w:i/>
          <w:iCs/>
          <w:sz w:val="24"/>
        </w:rPr>
        <w:t>R v Mann</w:t>
      </w:r>
      <w:r w:rsidRPr="005B5ADE">
        <w:rPr>
          <w:rFonts w:ascii="Times New Roman" w:hAnsi="Times New Roman"/>
          <w:sz w:val="24"/>
        </w:rPr>
        <w:t xml:space="preserve"> </w:t>
      </w:r>
      <w:r w:rsidRPr="005B5ADE">
        <w:rPr>
          <w:rFonts w:ascii="Times New Roman" w:hAnsi="Times New Roman"/>
          <w:i/>
          <w:sz w:val="24"/>
        </w:rPr>
        <w:t>(</w:t>
      </w:r>
      <w:r w:rsidR="00B14C4C" w:rsidRPr="005B5ADE">
        <w:rPr>
          <w:rFonts w:ascii="Times New Roman" w:hAnsi="Times New Roman"/>
          <w:i/>
          <w:iCs/>
          <w:sz w:val="24"/>
        </w:rPr>
        <w:t>Question of Law Reserved on Acquittal (No 1 of 2020))</w:t>
      </w:r>
      <w:r w:rsidR="00B14C4C" w:rsidRPr="005B5ADE">
        <w:rPr>
          <w:rFonts w:ascii="Times New Roman" w:hAnsi="Times New Roman"/>
          <w:sz w:val="24"/>
        </w:rPr>
        <w:t xml:space="preserve"> </w:t>
      </w:r>
      <w:r w:rsidRPr="005B5ADE">
        <w:rPr>
          <w:rFonts w:ascii="Times New Roman" w:hAnsi="Times New Roman"/>
          <w:sz w:val="24"/>
        </w:rPr>
        <w:t xml:space="preserve">(2020) 135 SASR 457 at </w:t>
      </w:r>
      <w:r w:rsidR="00DB1E05" w:rsidRPr="005B5ADE">
        <w:rPr>
          <w:rFonts w:ascii="Times New Roman" w:hAnsi="Times New Roman"/>
          <w:sz w:val="24"/>
        </w:rPr>
        <w:t xml:space="preserve">464-465 </w:t>
      </w:r>
      <w:r w:rsidRPr="005B5ADE">
        <w:rPr>
          <w:rFonts w:ascii="Times New Roman" w:hAnsi="Times New Roman"/>
          <w:sz w:val="24"/>
        </w:rPr>
        <w:t>[20]</w:t>
      </w:r>
      <w:r w:rsidR="00185111" w:rsidRPr="005B5ADE">
        <w:rPr>
          <w:rFonts w:ascii="Times New Roman" w:hAnsi="Times New Roman"/>
          <w:sz w:val="24"/>
        </w:rPr>
        <w:t>.</w:t>
      </w:r>
      <w:r w:rsidRPr="005B5ADE">
        <w:rPr>
          <w:rFonts w:ascii="Times New Roman" w:hAnsi="Times New Roman"/>
          <w:sz w:val="24"/>
        </w:rPr>
        <w:t xml:space="preserve"> </w:t>
      </w:r>
      <w:r w:rsidR="00185111" w:rsidRPr="005B5ADE">
        <w:rPr>
          <w:rFonts w:ascii="Times New Roman" w:hAnsi="Times New Roman"/>
          <w:sz w:val="24"/>
        </w:rPr>
        <w:t>S</w:t>
      </w:r>
      <w:r w:rsidRPr="005B5ADE">
        <w:rPr>
          <w:rFonts w:ascii="Times New Roman" w:hAnsi="Times New Roman"/>
          <w:sz w:val="24"/>
        </w:rPr>
        <w:t xml:space="preserve">ee also </w:t>
      </w:r>
      <w:r w:rsidRPr="005B5ADE">
        <w:rPr>
          <w:rFonts w:ascii="Times New Roman" w:hAnsi="Times New Roman"/>
          <w:i/>
          <w:iCs/>
          <w:sz w:val="24"/>
        </w:rPr>
        <w:t xml:space="preserve">MK v </w:t>
      </w:r>
      <w:r w:rsidR="00D248FD" w:rsidRPr="005B5ADE">
        <w:rPr>
          <w:rFonts w:ascii="Times New Roman" w:hAnsi="Times New Roman"/>
          <w:i/>
          <w:iCs/>
          <w:sz w:val="24"/>
        </w:rPr>
        <w:t>The King</w:t>
      </w:r>
      <w:r w:rsidRPr="005B5ADE">
        <w:rPr>
          <w:rFonts w:ascii="Times New Roman" w:hAnsi="Times New Roman"/>
          <w:sz w:val="24"/>
        </w:rPr>
        <w:t xml:space="preserve"> </w:t>
      </w:r>
      <w:r w:rsidR="00185111" w:rsidRPr="005B5ADE">
        <w:rPr>
          <w:rFonts w:ascii="Times New Roman" w:hAnsi="Times New Roman"/>
          <w:sz w:val="24"/>
        </w:rPr>
        <w:t>(2023) 112 NSWLR 96</w:t>
      </w:r>
      <w:r w:rsidRPr="005B5ADE">
        <w:rPr>
          <w:rFonts w:ascii="Times New Roman" w:hAnsi="Times New Roman"/>
          <w:sz w:val="24"/>
        </w:rPr>
        <w:t>.</w:t>
      </w:r>
    </w:p>
  </w:footnote>
  <w:footnote w:id="34">
    <w:p w14:paraId="7981BDAD" w14:textId="1E4BE13A" w:rsidR="00C82DBA" w:rsidRPr="005B5ADE" w:rsidRDefault="00C82DBA"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 xml:space="preserve">The appellant's </w:t>
      </w:r>
      <w:r w:rsidR="0046019B" w:rsidRPr="005B5ADE">
        <w:rPr>
          <w:rFonts w:ascii="Times New Roman" w:hAnsi="Times New Roman"/>
          <w:sz w:val="24"/>
        </w:rPr>
        <w:t>trial</w:t>
      </w:r>
      <w:r w:rsidRPr="005B5ADE">
        <w:rPr>
          <w:rFonts w:ascii="Times New Roman" w:hAnsi="Times New Roman"/>
          <w:sz w:val="24"/>
        </w:rPr>
        <w:t xml:space="preserve"> counsel was permitted to address the jury immediately after the prosecution opening for the limited purpose of outlining the issues in contention between the prosecution and the defence: </w:t>
      </w:r>
      <w:r w:rsidRPr="005B5ADE">
        <w:rPr>
          <w:rFonts w:ascii="Times New Roman" w:hAnsi="Times New Roman"/>
          <w:i/>
          <w:iCs/>
          <w:sz w:val="24"/>
        </w:rPr>
        <w:t>Criminal Procedure Act</w:t>
      </w:r>
      <w:r w:rsidRPr="005B5ADE">
        <w:rPr>
          <w:rFonts w:ascii="Times New Roman" w:hAnsi="Times New Roman"/>
          <w:sz w:val="24"/>
        </w:rPr>
        <w:t>, s 136(1).</w:t>
      </w:r>
    </w:p>
  </w:footnote>
  <w:footnote w:id="35">
    <w:p w14:paraId="0AB5749B" w14:textId="740860F8" w:rsidR="0081695D" w:rsidRPr="005B5ADE" w:rsidRDefault="0081695D"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sz w:val="24"/>
        </w:rPr>
        <w:t xml:space="preserve">Brawn </w:t>
      </w:r>
      <w:r w:rsidRPr="005B5ADE">
        <w:rPr>
          <w:rFonts w:ascii="Times New Roman" w:hAnsi="Times New Roman"/>
          <w:sz w:val="24"/>
        </w:rPr>
        <w:t xml:space="preserve">(2022) 141 SASR 465 at </w:t>
      </w:r>
      <w:r w:rsidR="009A22D3" w:rsidRPr="005B5ADE">
        <w:rPr>
          <w:rFonts w:ascii="Times New Roman" w:hAnsi="Times New Roman"/>
          <w:sz w:val="24"/>
        </w:rPr>
        <w:t xml:space="preserve">469 </w:t>
      </w:r>
      <w:r w:rsidRPr="005B5ADE">
        <w:rPr>
          <w:rFonts w:ascii="Times New Roman" w:hAnsi="Times New Roman"/>
          <w:sz w:val="24"/>
        </w:rPr>
        <w:t>[18].</w:t>
      </w:r>
    </w:p>
  </w:footnote>
  <w:footnote w:id="36">
    <w:p w14:paraId="485DA884" w14:textId="58227FDD" w:rsidR="00532EDA" w:rsidRPr="005B5ADE" w:rsidRDefault="00532EDA"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See</w:t>
      </w:r>
      <w:r w:rsidR="00F504E5" w:rsidRPr="005B5ADE">
        <w:rPr>
          <w:rFonts w:ascii="Times New Roman" w:hAnsi="Times New Roman"/>
          <w:sz w:val="24"/>
        </w:rPr>
        <w:t xml:space="preserve">, </w:t>
      </w:r>
      <w:proofErr w:type="spellStart"/>
      <w:r w:rsidR="00F504E5" w:rsidRPr="005B5ADE">
        <w:rPr>
          <w:rFonts w:ascii="Times New Roman" w:hAnsi="Times New Roman"/>
          <w:sz w:val="24"/>
        </w:rPr>
        <w:t>eg</w:t>
      </w:r>
      <w:proofErr w:type="spellEnd"/>
      <w:r w:rsidR="00F504E5" w:rsidRPr="005B5ADE">
        <w:rPr>
          <w:rFonts w:ascii="Times New Roman" w:hAnsi="Times New Roman"/>
          <w:sz w:val="24"/>
        </w:rPr>
        <w:t>,</w:t>
      </w:r>
      <w:r w:rsidRPr="005B5ADE">
        <w:rPr>
          <w:rFonts w:ascii="Times New Roman" w:hAnsi="Times New Roman"/>
          <w:sz w:val="24"/>
        </w:rPr>
        <w:t xml:space="preserve"> </w:t>
      </w:r>
      <w:r w:rsidRPr="005B5ADE">
        <w:rPr>
          <w:rFonts w:ascii="Times New Roman" w:hAnsi="Times New Roman"/>
          <w:i/>
          <w:iCs/>
          <w:sz w:val="24"/>
        </w:rPr>
        <w:t>Mallard v The Queen</w:t>
      </w:r>
      <w:r w:rsidRPr="005B5ADE">
        <w:rPr>
          <w:rFonts w:ascii="Times New Roman" w:hAnsi="Times New Roman"/>
          <w:sz w:val="24"/>
        </w:rPr>
        <w:t xml:space="preserve"> (2005) 224 CLR 125 at 132</w:t>
      </w:r>
      <w:r w:rsidR="006A1C86" w:rsidRPr="005B5ADE">
        <w:rPr>
          <w:rFonts w:ascii="Times New Roman" w:hAnsi="Times New Roman"/>
          <w:sz w:val="24"/>
        </w:rPr>
        <w:t>-133</w:t>
      </w:r>
      <w:r w:rsidRPr="005B5ADE">
        <w:rPr>
          <w:rFonts w:ascii="Times New Roman" w:hAnsi="Times New Roman"/>
          <w:sz w:val="24"/>
        </w:rPr>
        <w:t xml:space="preserve"> [16]; </w:t>
      </w:r>
      <w:r w:rsidRPr="005B5ADE">
        <w:rPr>
          <w:rFonts w:ascii="Times New Roman" w:hAnsi="Times New Roman"/>
          <w:i/>
          <w:iCs/>
          <w:sz w:val="24"/>
        </w:rPr>
        <w:t>Director of Public Prosecutions Act 1991</w:t>
      </w:r>
      <w:r w:rsidR="00205A5F" w:rsidRPr="005B5ADE">
        <w:rPr>
          <w:rFonts w:ascii="Times New Roman" w:hAnsi="Times New Roman"/>
          <w:sz w:val="24"/>
        </w:rPr>
        <w:t> </w:t>
      </w:r>
      <w:r w:rsidRPr="005B5ADE">
        <w:rPr>
          <w:rFonts w:ascii="Times New Roman" w:hAnsi="Times New Roman"/>
          <w:sz w:val="24"/>
        </w:rPr>
        <w:t>(SA), s</w:t>
      </w:r>
      <w:r w:rsidR="008C1F71" w:rsidRPr="005B5ADE">
        <w:rPr>
          <w:rFonts w:ascii="Times New Roman" w:hAnsi="Times New Roman"/>
          <w:sz w:val="24"/>
        </w:rPr>
        <w:t> </w:t>
      </w:r>
      <w:r w:rsidRPr="005B5ADE">
        <w:rPr>
          <w:rFonts w:ascii="Times New Roman" w:hAnsi="Times New Roman"/>
          <w:sz w:val="24"/>
        </w:rPr>
        <w:t>10A.</w:t>
      </w:r>
    </w:p>
  </w:footnote>
  <w:footnote w:id="37">
    <w:p w14:paraId="15C77DCA" w14:textId="2F9DDCB5" w:rsidR="009A4D7A" w:rsidRPr="005B5ADE" w:rsidRDefault="009A4D7A"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156C3C"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00156C3C" w:rsidRPr="005B5ADE">
        <w:rPr>
          <w:rFonts w:ascii="Times New Roman" w:hAnsi="Times New Roman"/>
          <w:sz w:val="24"/>
        </w:rPr>
        <w:t xml:space="preserve">at </w:t>
      </w:r>
      <w:r w:rsidR="00141B20" w:rsidRPr="005B5ADE">
        <w:rPr>
          <w:rFonts w:ascii="Times New Roman" w:hAnsi="Times New Roman"/>
          <w:sz w:val="24"/>
        </w:rPr>
        <w:t xml:space="preserve">473 </w:t>
      </w:r>
      <w:r w:rsidR="00156C3C" w:rsidRPr="005B5ADE">
        <w:rPr>
          <w:rFonts w:ascii="Times New Roman" w:hAnsi="Times New Roman"/>
          <w:sz w:val="24"/>
        </w:rPr>
        <w:t xml:space="preserve">[36]. </w:t>
      </w:r>
    </w:p>
  </w:footnote>
  <w:footnote w:id="38">
    <w:p w14:paraId="5FF6B88F" w14:textId="294B6B98" w:rsidR="00206FAD" w:rsidRPr="005B5ADE" w:rsidRDefault="00206FAD"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Pr="005B5ADE">
        <w:rPr>
          <w:rFonts w:ascii="Times New Roman" w:hAnsi="Times New Roman"/>
          <w:sz w:val="24"/>
        </w:rPr>
        <w:t xml:space="preserve">at </w:t>
      </w:r>
      <w:r w:rsidR="00141B20" w:rsidRPr="005B5ADE">
        <w:rPr>
          <w:rFonts w:ascii="Times New Roman" w:hAnsi="Times New Roman"/>
          <w:sz w:val="24"/>
        </w:rPr>
        <w:t xml:space="preserve">475 </w:t>
      </w:r>
      <w:r w:rsidRPr="005B5ADE">
        <w:rPr>
          <w:rFonts w:ascii="Times New Roman" w:hAnsi="Times New Roman"/>
          <w:sz w:val="24"/>
        </w:rPr>
        <w:t xml:space="preserve">[50], </w:t>
      </w:r>
      <w:r w:rsidR="001D403D" w:rsidRPr="005B5ADE">
        <w:rPr>
          <w:rFonts w:ascii="Times New Roman" w:hAnsi="Times New Roman"/>
          <w:sz w:val="24"/>
        </w:rPr>
        <w:t xml:space="preserve">480 </w:t>
      </w:r>
      <w:r w:rsidRPr="005B5ADE">
        <w:rPr>
          <w:rFonts w:ascii="Times New Roman" w:hAnsi="Times New Roman"/>
          <w:sz w:val="24"/>
        </w:rPr>
        <w:t>[</w:t>
      </w:r>
      <w:r w:rsidR="00AC1C7F" w:rsidRPr="005B5ADE">
        <w:rPr>
          <w:rFonts w:ascii="Times New Roman" w:hAnsi="Times New Roman"/>
          <w:sz w:val="24"/>
        </w:rPr>
        <w:t>83].</w:t>
      </w:r>
    </w:p>
  </w:footnote>
  <w:footnote w:id="39">
    <w:p w14:paraId="5CBB0013" w14:textId="0DD074A2" w:rsidR="001F7F09" w:rsidRPr="005B5ADE" w:rsidRDefault="001F7F09"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Pr="005B5ADE">
        <w:rPr>
          <w:rFonts w:ascii="Times New Roman" w:hAnsi="Times New Roman"/>
          <w:sz w:val="24"/>
        </w:rPr>
        <w:t xml:space="preserve">at </w:t>
      </w:r>
      <w:r w:rsidR="00D707E0" w:rsidRPr="005B5ADE">
        <w:rPr>
          <w:rFonts w:ascii="Times New Roman" w:hAnsi="Times New Roman"/>
          <w:sz w:val="24"/>
        </w:rPr>
        <w:t xml:space="preserve">475 </w:t>
      </w:r>
      <w:r w:rsidRPr="005B5ADE">
        <w:rPr>
          <w:rFonts w:ascii="Times New Roman" w:hAnsi="Times New Roman"/>
          <w:sz w:val="24"/>
        </w:rPr>
        <w:t>[52].</w:t>
      </w:r>
    </w:p>
  </w:footnote>
  <w:footnote w:id="40">
    <w:p w14:paraId="32D71034" w14:textId="7DB9713E" w:rsidR="00F36120" w:rsidRPr="005B5ADE" w:rsidRDefault="00F36120"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Pr="005B5ADE">
        <w:rPr>
          <w:rFonts w:ascii="Times New Roman" w:hAnsi="Times New Roman"/>
          <w:sz w:val="24"/>
        </w:rPr>
        <w:t xml:space="preserve">at </w:t>
      </w:r>
      <w:r w:rsidR="00D707E0" w:rsidRPr="005B5ADE">
        <w:rPr>
          <w:rFonts w:ascii="Times New Roman" w:hAnsi="Times New Roman"/>
          <w:sz w:val="24"/>
        </w:rPr>
        <w:t xml:space="preserve">476 </w:t>
      </w:r>
      <w:r w:rsidRPr="005B5ADE">
        <w:rPr>
          <w:rFonts w:ascii="Times New Roman" w:hAnsi="Times New Roman"/>
          <w:sz w:val="24"/>
        </w:rPr>
        <w:t>[56].</w:t>
      </w:r>
    </w:p>
  </w:footnote>
  <w:footnote w:id="41">
    <w:p w14:paraId="0D5311BC" w14:textId="4BAAB793" w:rsidR="00760DFE" w:rsidRPr="005B5ADE" w:rsidRDefault="00760DFE"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Pr="005B5ADE">
        <w:rPr>
          <w:rFonts w:ascii="Times New Roman" w:hAnsi="Times New Roman"/>
          <w:sz w:val="24"/>
        </w:rPr>
        <w:t xml:space="preserve">at </w:t>
      </w:r>
      <w:r w:rsidR="00BB70AE" w:rsidRPr="005B5ADE">
        <w:rPr>
          <w:rFonts w:ascii="Times New Roman" w:hAnsi="Times New Roman"/>
          <w:sz w:val="24"/>
        </w:rPr>
        <w:t xml:space="preserve">480 </w:t>
      </w:r>
      <w:r w:rsidRPr="005B5ADE">
        <w:rPr>
          <w:rFonts w:ascii="Times New Roman" w:hAnsi="Times New Roman"/>
          <w:sz w:val="24"/>
        </w:rPr>
        <w:t>[83]</w:t>
      </w:r>
      <w:r w:rsidR="00CA2CEC" w:rsidRPr="005B5ADE">
        <w:rPr>
          <w:rFonts w:ascii="Times New Roman" w:hAnsi="Times New Roman"/>
          <w:sz w:val="24"/>
        </w:rPr>
        <w:t>-</w:t>
      </w:r>
      <w:r w:rsidRPr="005B5ADE">
        <w:rPr>
          <w:rFonts w:ascii="Times New Roman" w:hAnsi="Times New Roman"/>
          <w:sz w:val="24"/>
        </w:rPr>
        <w:t>[84].</w:t>
      </w:r>
    </w:p>
  </w:footnote>
  <w:footnote w:id="42">
    <w:p w14:paraId="5064415F" w14:textId="78AEB074" w:rsidR="000E482F" w:rsidRPr="005B5ADE" w:rsidRDefault="000E482F"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DE1D4C" w:rsidRPr="005B5ADE">
        <w:rPr>
          <w:rFonts w:ascii="Times New Roman" w:hAnsi="Times New Roman"/>
          <w:sz w:val="24"/>
        </w:rPr>
        <w:t>S</w:t>
      </w:r>
      <w:r w:rsidRPr="005B5ADE">
        <w:rPr>
          <w:rFonts w:ascii="Times New Roman" w:hAnsi="Times New Roman"/>
          <w:sz w:val="24"/>
        </w:rPr>
        <w:t xml:space="preserve">ee </w:t>
      </w:r>
      <w:r w:rsidR="00DE1D4C" w:rsidRPr="005B5ADE">
        <w:rPr>
          <w:rFonts w:ascii="Times New Roman" w:hAnsi="Times New Roman"/>
          <w:sz w:val="24"/>
        </w:rPr>
        <w:t xml:space="preserve">above at </w:t>
      </w:r>
      <w:r w:rsidRPr="005B5ADE">
        <w:rPr>
          <w:rFonts w:ascii="Times New Roman" w:hAnsi="Times New Roman"/>
          <w:sz w:val="24"/>
        </w:rPr>
        <w:t>[</w:t>
      </w:r>
      <w:r w:rsidR="0006256A" w:rsidRPr="005B5ADE">
        <w:rPr>
          <w:rFonts w:ascii="Times New Roman" w:hAnsi="Times New Roman"/>
          <w:sz w:val="24"/>
        </w:rPr>
        <w:t>30</w:t>
      </w:r>
      <w:r w:rsidRPr="005B5ADE">
        <w:rPr>
          <w:rFonts w:ascii="Times New Roman" w:hAnsi="Times New Roman"/>
          <w:sz w:val="24"/>
        </w:rPr>
        <w:t>]</w:t>
      </w:r>
      <w:r w:rsidR="00DE1D4C" w:rsidRPr="005B5ADE">
        <w:rPr>
          <w:rFonts w:ascii="Times New Roman" w:hAnsi="Times New Roman"/>
          <w:sz w:val="24"/>
        </w:rPr>
        <w:t>.</w:t>
      </w:r>
    </w:p>
  </w:footnote>
  <w:footnote w:id="43">
    <w:p w14:paraId="58E6C58C" w14:textId="1CF35783" w:rsidR="00C2597C" w:rsidRPr="005B5ADE" w:rsidRDefault="00C2597C"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Mallard </w:t>
      </w:r>
      <w:r w:rsidRPr="005B5ADE">
        <w:rPr>
          <w:rFonts w:ascii="Times New Roman" w:hAnsi="Times New Roman"/>
          <w:sz w:val="24"/>
        </w:rPr>
        <w:t xml:space="preserve">(2005) 224 CLR 125 at 133 [17] per </w:t>
      </w:r>
      <w:proofErr w:type="spellStart"/>
      <w:r w:rsidRPr="005B5ADE">
        <w:rPr>
          <w:rFonts w:ascii="Times New Roman" w:hAnsi="Times New Roman"/>
          <w:sz w:val="24"/>
        </w:rPr>
        <w:t>Gummow</w:t>
      </w:r>
      <w:proofErr w:type="spellEnd"/>
      <w:r w:rsidRPr="005B5ADE">
        <w:rPr>
          <w:rFonts w:ascii="Times New Roman" w:hAnsi="Times New Roman"/>
          <w:sz w:val="24"/>
        </w:rPr>
        <w:t xml:space="preserve">, Hayne, </w:t>
      </w:r>
      <w:proofErr w:type="spellStart"/>
      <w:r w:rsidRPr="005B5ADE">
        <w:rPr>
          <w:rFonts w:ascii="Times New Roman" w:hAnsi="Times New Roman"/>
          <w:sz w:val="24"/>
        </w:rPr>
        <w:t>Callinan</w:t>
      </w:r>
      <w:proofErr w:type="spellEnd"/>
      <w:r w:rsidRPr="005B5ADE">
        <w:rPr>
          <w:rFonts w:ascii="Times New Roman" w:hAnsi="Times New Roman"/>
          <w:sz w:val="24"/>
        </w:rPr>
        <w:t xml:space="preserve"> and </w:t>
      </w:r>
      <w:proofErr w:type="spellStart"/>
      <w:r w:rsidRPr="005B5ADE">
        <w:rPr>
          <w:rFonts w:ascii="Times New Roman" w:hAnsi="Times New Roman"/>
          <w:sz w:val="24"/>
        </w:rPr>
        <w:t>Heydon</w:t>
      </w:r>
      <w:proofErr w:type="spellEnd"/>
      <w:r w:rsidRPr="005B5ADE">
        <w:rPr>
          <w:rFonts w:ascii="Times New Roman" w:hAnsi="Times New Roman"/>
          <w:sz w:val="24"/>
        </w:rPr>
        <w:t> JJ, 150-151 [64]</w:t>
      </w:r>
      <w:r w:rsidR="00284334" w:rsidRPr="005B5ADE">
        <w:rPr>
          <w:rFonts w:ascii="Times New Roman" w:hAnsi="Times New Roman"/>
          <w:sz w:val="24"/>
        </w:rPr>
        <w:t>-</w:t>
      </w:r>
      <w:r w:rsidRPr="005B5ADE">
        <w:rPr>
          <w:rFonts w:ascii="Times New Roman" w:hAnsi="Times New Roman"/>
          <w:sz w:val="24"/>
        </w:rPr>
        <w:t>[67] per Kirby</w:t>
      </w:r>
      <w:r w:rsidR="00284334" w:rsidRPr="005B5ADE">
        <w:rPr>
          <w:rFonts w:ascii="Times New Roman" w:hAnsi="Times New Roman"/>
          <w:sz w:val="24"/>
        </w:rPr>
        <w:t> </w:t>
      </w:r>
      <w:r w:rsidRPr="005B5ADE">
        <w:rPr>
          <w:rFonts w:ascii="Times New Roman" w:hAnsi="Times New Roman"/>
          <w:sz w:val="24"/>
        </w:rPr>
        <w:t>J</w:t>
      </w:r>
      <w:r w:rsidR="00966F5F" w:rsidRPr="005B5ADE">
        <w:rPr>
          <w:rFonts w:ascii="Times New Roman" w:hAnsi="Times New Roman"/>
          <w:sz w:val="24"/>
        </w:rPr>
        <w:t>. See also</w:t>
      </w:r>
      <w:r w:rsidRPr="005B5ADE">
        <w:rPr>
          <w:rFonts w:ascii="Times New Roman" w:hAnsi="Times New Roman"/>
          <w:sz w:val="24"/>
        </w:rPr>
        <w:t xml:space="preserve"> </w:t>
      </w:r>
      <w:proofErr w:type="gramStart"/>
      <w:r w:rsidRPr="005B5ADE">
        <w:rPr>
          <w:rFonts w:ascii="Times New Roman" w:hAnsi="Times New Roman"/>
          <w:i/>
          <w:iCs/>
          <w:sz w:val="24"/>
        </w:rPr>
        <w:t>Grey</w:t>
      </w:r>
      <w:proofErr w:type="gramEnd"/>
      <w:r w:rsidRPr="005B5ADE">
        <w:rPr>
          <w:rFonts w:ascii="Times New Roman" w:hAnsi="Times New Roman"/>
          <w:i/>
          <w:iCs/>
          <w:sz w:val="24"/>
        </w:rPr>
        <w:t xml:space="preserve"> v The Queen</w:t>
      </w:r>
      <w:r w:rsidRPr="005B5ADE">
        <w:rPr>
          <w:rFonts w:ascii="Times New Roman" w:hAnsi="Times New Roman"/>
          <w:sz w:val="24"/>
        </w:rPr>
        <w:t xml:space="preserve"> (2001) 75 ALJR 1708 at 1712 [18]</w:t>
      </w:r>
      <w:r w:rsidR="00AC66A9" w:rsidRPr="005B5ADE">
        <w:rPr>
          <w:rFonts w:ascii="Times New Roman" w:hAnsi="Times New Roman"/>
          <w:sz w:val="24"/>
        </w:rPr>
        <w:t>,</w:t>
      </w:r>
      <w:r w:rsidRPr="005B5ADE">
        <w:rPr>
          <w:rFonts w:ascii="Times New Roman" w:hAnsi="Times New Roman"/>
          <w:sz w:val="24"/>
        </w:rPr>
        <w:t xml:space="preserve"> </w:t>
      </w:r>
      <w:r w:rsidR="00234B18" w:rsidRPr="005B5ADE">
        <w:rPr>
          <w:rFonts w:ascii="Times New Roman" w:hAnsi="Times New Roman"/>
          <w:sz w:val="24"/>
        </w:rPr>
        <w:t xml:space="preserve">1713 </w:t>
      </w:r>
      <w:r w:rsidRPr="005B5ADE">
        <w:rPr>
          <w:rFonts w:ascii="Times New Roman" w:hAnsi="Times New Roman"/>
          <w:sz w:val="24"/>
        </w:rPr>
        <w:t xml:space="preserve">[23] per Gleeson CJ, </w:t>
      </w:r>
      <w:proofErr w:type="spellStart"/>
      <w:r w:rsidRPr="005B5ADE">
        <w:rPr>
          <w:rFonts w:ascii="Times New Roman" w:hAnsi="Times New Roman"/>
          <w:sz w:val="24"/>
        </w:rPr>
        <w:t>Gummow</w:t>
      </w:r>
      <w:proofErr w:type="spellEnd"/>
      <w:r w:rsidRPr="005B5ADE">
        <w:rPr>
          <w:rFonts w:ascii="Times New Roman" w:hAnsi="Times New Roman"/>
          <w:sz w:val="24"/>
        </w:rPr>
        <w:t xml:space="preserve"> and </w:t>
      </w:r>
      <w:proofErr w:type="spellStart"/>
      <w:r w:rsidRPr="005B5ADE">
        <w:rPr>
          <w:rFonts w:ascii="Times New Roman" w:hAnsi="Times New Roman"/>
          <w:sz w:val="24"/>
        </w:rPr>
        <w:t>Callinan</w:t>
      </w:r>
      <w:proofErr w:type="spellEnd"/>
      <w:r w:rsidRPr="005B5ADE">
        <w:rPr>
          <w:rFonts w:ascii="Times New Roman" w:hAnsi="Times New Roman"/>
          <w:sz w:val="24"/>
        </w:rPr>
        <w:t xml:space="preserve"> JJ, 1718 [50], 1721 [63] per Kirby J; 184 ALR 593 at 598, </w:t>
      </w:r>
      <w:r w:rsidR="005D73B3" w:rsidRPr="005B5ADE">
        <w:rPr>
          <w:rFonts w:ascii="Times New Roman" w:hAnsi="Times New Roman"/>
          <w:sz w:val="24"/>
        </w:rPr>
        <w:t xml:space="preserve">599-600, </w:t>
      </w:r>
      <w:r w:rsidRPr="005B5ADE">
        <w:rPr>
          <w:rFonts w:ascii="Times New Roman" w:hAnsi="Times New Roman"/>
          <w:sz w:val="24"/>
        </w:rPr>
        <w:t>607, 611</w:t>
      </w:r>
      <w:r w:rsidR="007E2D92" w:rsidRPr="005B5ADE">
        <w:rPr>
          <w:rFonts w:ascii="Times New Roman" w:hAnsi="Times New Roman"/>
          <w:sz w:val="24"/>
        </w:rPr>
        <w:t xml:space="preserve">; </w:t>
      </w:r>
      <w:r w:rsidR="007E2D92" w:rsidRPr="005B5ADE">
        <w:rPr>
          <w:rFonts w:ascii="Times New Roman" w:hAnsi="Times New Roman"/>
          <w:i/>
          <w:iCs/>
          <w:sz w:val="24"/>
        </w:rPr>
        <w:t xml:space="preserve">Edwards </w:t>
      </w:r>
      <w:r w:rsidR="007E2D92" w:rsidRPr="005B5ADE">
        <w:rPr>
          <w:rFonts w:ascii="Times New Roman" w:hAnsi="Times New Roman"/>
          <w:sz w:val="24"/>
        </w:rPr>
        <w:t>(2021) 273 CLR 585 at 605-606 [63]-[64]</w:t>
      </w:r>
      <w:r w:rsidRPr="005B5ADE">
        <w:rPr>
          <w:rFonts w:ascii="Times New Roman" w:hAnsi="Times New Roman"/>
          <w:sz w:val="24"/>
        </w:rPr>
        <w:t>.</w:t>
      </w:r>
    </w:p>
  </w:footnote>
  <w:footnote w:id="44">
    <w:p w14:paraId="7399A8B9" w14:textId="422B9D2B" w:rsidR="00C2597C" w:rsidRPr="005B5ADE" w:rsidRDefault="00C2597C"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 xml:space="preserve">See </w:t>
      </w:r>
      <w:r w:rsidRPr="005B5ADE">
        <w:rPr>
          <w:rFonts w:ascii="Times New Roman" w:hAnsi="Times New Roman"/>
          <w:i/>
          <w:iCs/>
          <w:sz w:val="24"/>
        </w:rPr>
        <w:t xml:space="preserve">Edwards </w:t>
      </w:r>
      <w:r w:rsidRPr="005B5ADE">
        <w:rPr>
          <w:rFonts w:ascii="Times New Roman" w:hAnsi="Times New Roman"/>
          <w:sz w:val="24"/>
        </w:rPr>
        <w:t>(2021) 273 CLR 585 at 595 [26]</w:t>
      </w:r>
      <w:r w:rsidR="00BF351D" w:rsidRPr="005B5ADE">
        <w:rPr>
          <w:rFonts w:ascii="Times New Roman" w:hAnsi="Times New Roman"/>
          <w:sz w:val="24"/>
        </w:rPr>
        <w:t>,</w:t>
      </w:r>
      <w:r w:rsidRPr="005B5ADE">
        <w:rPr>
          <w:rFonts w:ascii="Times New Roman" w:hAnsi="Times New Roman"/>
          <w:sz w:val="24"/>
        </w:rPr>
        <w:t xml:space="preserve"> 600</w:t>
      </w:r>
      <w:r w:rsidR="00A07FEF" w:rsidRPr="005B5ADE">
        <w:rPr>
          <w:rFonts w:ascii="Times New Roman" w:hAnsi="Times New Roman"/>
          <w:sz w:val="24"/>
        </w:rPr>
        <w:t>-601</w:t>
      </w:r>
      <w:r w:rsidRPr="005B5ADE">
        <w:rPr>
          <w:rFonts w:ascii="Times New Roman" w:hAnsi="Times New Roman"/>
          <w:sz w:val="24"/>
        </w:rPr>
        <w:t xml:space="preserve"> [48]</w:t>
      </w:r>
      <w:r w:rsidR="003D6E89" w:rsidRPr="005B5ADE">
        <w:rPr>
          <w:rFonts w:ascii="Times New Roman" w:hAnsi="Times New Roman"/>
          <w:sz w:val="24"/>
        </w:rPr>
        <w:t>.</w:t>
      </w:r>
      <w:r w:rsidRPr="005B5ADE">
        <w:rPr>
          <w:rFonts w:ascii="Times New Roman" w:hAnsi="Times New Roman"/>
          <w:sz w:val="24"/>
        </w:rPr>
        <w:t xml:space="preserve"> </w:t>
      </w:r>
      <w:r w:rsidR="003D6E89" w:rsidRPr="005B5ADE">
        <w:rPr>
          <w:rFonts w:ascii="Times New Roman" w:hAnsi="Times New Roman"/>
          <w:sz w:val="24"/>
        </w:rPr>
        <w:t>S</w:t>
      </w:r>
      <w:r w:rsidRPr="005B5ADE">
        <w:rPr>
          <w:rFonts w:ascii="Times New Roman" w:hAnsi="Times New Roman"/>
          <w:sz w:val="24"/>
        </w:rPr>
        <w:t xml:space="preserve">ee also </w:t>
      </w:r>
      <w:r w:rsidRPr="005B5ADE">
        <w:rPr>
          <w:rFonts w:ascii="Times New Roman" w:hAnsi="Times New Roman"/>
          <w:i/>
          <w:iCs/>
          <w:sz w:val="24"/>
        </w:rPr>
        <w:t>R v Keane</w:t>
      </w:r>
      <w:r w:rsidRPr="005B5ADE">
        <w:rPr>
          <w:rFonts w:ascii="Times New Roman" w:hAnsi="Times New Roman"/>
          <w:sz w:val="24"/>
        </w:rPr>
        <w:t xml:space="preserve"> [1994] 1 WLR 746 at 752; [1994] 2 All ER 478 at 484; </w:t>
      </w:r>
      <w:r w:rsidRPr="005B5ADE">
        <w:rPr>
          <w:rFonts w:ascii="Times New Roman" w:hAnsi="Times New Roman"/>
          <w:i/>
          <w:iCs/>
          <w:sz w:val="24"/>
        </w:rPr>
        <w:t>R v Brown (Winston)</w:t>
      </w:r>
      <w:r w:rsidRPr="005B5ADE">
        <w:rPr>
          <w:rFonts w:ascii="Times New Roman" w:hAnsi="Times New Roman"/>
          <w:sz w:val="24"/>
        </w:rPr>
        <w:t xml:space="preserve"> [1998] AC 367 at 376</w:t>
      </w:r>
      <w:r w:rsidR="00F00DB5" w:rsidRPr="005B5ADE">
        <w:rPr>
          <w:rFonts w:ascii="Times New Roman" w:hAnsi="Times New Roman"/>
          <w:sz w:val="24"/>
        </w:rPr>
        <w:t>-</w:t>
      </w:r>
      <w:r w:rsidRPr="005B5ADE">
        <w:rPr>
          <w:rFonts w:ascii="Times New Roman" w:hAnsi="Times New Roman"/>
          <w:sz w:val="24"/>
        </w:rPr>
        <w:t xml:space="preserve">377; </w:t>
      </w:r>
      <w:r w:rsidRPr="005B5ADE">
        <w:rPr>
          <w:rFonts w:ascii="Times New Roman" w:hAnsi="Times New Roman"/>
          <w:i/>
          <w:iCs/>
          <w:sz w:val="24"/>
        </w:rPr>
        <w:t>R v Reardon [No 2]</w:t>
      </w:r>
      <w:r w:rsidRPr="005B5ADE">
        <w:rPr>
          <w:rFonts w:ascii="Times New Roman" w:hAnsi="Times New Roman"/>
          <w:sz w:val="24"/>
        </w:rPr>
        <w:t xml:space="preserve"> (2004) 60 NSWLR 454 at 468 [48]; </w:t>
      </w:r>
      <w:r w:rsidRPr="005B5ADE">
        <w:rPr>
          <w:rFonts w:ascii="Times New Roman" w:hAnsi="Times New Roman"/>
          <w:i/>
          <w:iCs/>
          <w:sz w:val="24"/>
        </w:rPr>
        <w:t>R v Spiteri</w:t>
      </w:r>
      <w:r w:rsidRPr="005B5ADE">
        <w:rPr>
          <w:rFonts w:ascii="Times New Roman" w:hAnsi="Times New Roman"/>
          <w:sz w:val="24"/>
        </w:rPr>
        <w:t xml:space="preserve"> (2004) 61 NSWLR 369 at 373-374 [17]-[20]; </w:t>
      </w:r>
      <w:r w:rsidRPr="005B5ADE">
        <w:rPr>
          <w:rFonts w:ascii="Times New Roman" w:hAnsi="Times New Roman"/>
          <w:i/>
          <w:iCs/>
          <w:sz w:val="24"/>
        </w:rPr>
        <w:t>R v Livingstone</w:t>
      </w:r>
      <w:r w:rsidRPr="005B5ADE">
        <w:rPr>
          <w:rFonts w:ascii="Times New Roman" w:hAnsi="Times New Roman"/>
          <w:sz w:val="24"/>
        </w:rPr>
        <w:t xml:space="preserve"> (2004) 150 A</w:t>
      </w:r>
      <w:r w:rsidR="00C22C26">
        <w:rPr>
          <w:rFonts w:ascii="Times New Roman" w:hAnsi="Times New Roman"/>
          <w:sz w:val="24"/>
        </w:rPr>
        <w:t> </w:t>
      </w:r>
      <w:r w:rsidRPr="005B5ADE">
        <w:rPr>
          <w:rFonts w:ascii="Times New Roman" w:hAnsi="Times New Roman"/>
          <w:sz w:val="24"/>
        </w:rPr>
        <w:t xml:space="preserve">Crim R 117 at 126-127 [44]-[45]; </w:t>
      </w:r>
      <w:r w:rsidRPr="005B5ADE">
        <w:rPr>
          <w:rFonts w:ascii="Times New Roman" w:hAnsi="Times New Roman"/>
          <w:i/>
          <w:iCs/>
          <w:sz w:val="24"/>
        </w:rPr>
        <w:t>R v Lipton</w:t>
      </w:r>
      <w:r w:rsidRPr="005B5ADE">
        <w:rPr>
          <w:rFonts w:ascii="Times New Roman" w:hAnsi="Times New Roman"/>
          <w:sz w:val="24"/>
        </w:rPr>
        <w:t xml:space="preserve"> (2011) 82 NSWLR 123 at 145</w:t>
      </w:r>
      <w:r w:rsidR="000C1651" w:rsidRPr="005B5ADE">
        <w:rPr>
          <w:rFonts w:ascii="Times New Roman" w:hAnsi="Times New Roman"/>
          <w:sz w:val="24"/>
        </w:rPr>
        <w:noBreakHyphen/>
      </w:r>
      <w:r w:rsidRPr="005B5ADE">
        <w:rPr>
          <w:rFonts w:ascii="Times New Roman" w:hAnsi="Times New Roman"/>
          <w:sz w:val="24"/>
        </w:rPr>
        <w:t>147 [77].</w:t>
      </w:r>
    </w:p>
  </w:footnote>
  <w:footnote w:id="45">
    <w:p w14:paraId="3F39C188" w14:textId="1B4F515D" w:rsidR="00652CCA" w:rsidRPr="005B5ADE" w:rsidRDefault="00652CCA"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(2005) 224 CLR 125.</w:t>
      </w:r>
    </w:p>
  </w:footnote>
  <w:footnote w:id="46">
    <w:p w14:paraId="5E8DF7AA" w14:textId="5007803D" w:rsidR="00652CCA" w:rsidRPr="005B5ADE" w:rsidRDefault="00652CCA"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(2001) 75 ALJR 1708; 184 ALR 593.</w:t>
      </w:r>
    </w:p>
  </w:footnote>
  <w:footnote w:id="47">
    <w:p w14:paraId="39A3CD4D" w14:textId="3E903427" w:rsidR="00D73DF2" w:rsidRPr="005B5ADE" w:rsidRDefault="00D73DF2"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Mallard</w:t>
      </w:r>
      <w:r w:rsidRPr="005B5ADE">
        <w:rPr>
          <w:rFonts w:ascii="Times New Roman" w:hAnsi="Times New Roman"/>
          <w:sz w:val="24"/>
        </w:rPr>
        <w:t xml:space="preserve"> </w:t>
      </w:r>
      <w:r w:rsidR="001D0C60" w:rsidRPr="005B5ADE">
        <w:rPr>
          <w:rFonts w:ascii="Times New Roman" w:hAnsi="Times New Roman"/>
          <w:sz w:val="24"/>
        </w:rPr>
        <w:t xml:space="preserve">(2005) 224 CLR 125 </w:t>
      </w:r>
      <w:r w:rsidRPr="005B5ADE">
        <w:rPr>
          <w:rFonts w:ascii="Times New Roman" w:hAnsi="Times New Roman"/>
          <w:sz w:val="24"/>
        </w:rPr>
        <w:t xml:space="preserve">at </w:t>
      </w:r>
      <w:r w:rsidR="00BB6019" w:rsidRPr="005B5ADE">
        <w:rPr>
          <w:rFonts w:ascii="Times New Roman" w:hAnsi="Times New Roman"/>
          <w:sz w:val="24"/>
        </w:rPr>
        <w:t xml:space="preserve">135 </w:t>
      </w:r>
      <w:r w:rsidRPr="005B5ADE">
        <w:rPr>
          <w:rFonts w:ascii="Times New Roman" w:hAnsi="Times New Roman"/>
          <w:sz w:val="24"/>
        </w:rPr>
        <w:t xml:space="preserve">[23]; </w:t>
      </w:r>
      <w:r w:rsidRPr="005B5ADE">
        <w:rPr>
          <w:rFonts w:ascii="Times New Roman" w:hAnsi="Times New Roman"/>
          <w:i/>
          <w:iCs/>
          <w:sz w:val="24"/>
        </w:rPr>
        <w:t>Grey</w:t>
      </w:r>
      <w:r w:rsidRPr="005B5ADE">
        <w:rPr>
          <w:rFonts w:ascii="Times New Roman" w:hAnsi="Times New Roman"/>
          <w:sz w:val="24"/>
        </w:rPr>
        <w:t xml:space="preserve"> </w:t>
      </w:r>
      <w:r w:rsidR="00BB6019" w:rsidRPr="005B5ADE">
        <w:rPr>
          <w:rFonts w:ascii="Times New Roman" w:hAnsi="Times New Roman"/>
          <w:sz w:val="24"/>
        </w:rPr>
        <w:t xml:space="preserve">(2001) 75 ALJR 1708 at </w:t>
      </w:r>
      <w:r w:rsidR="00D96CED" w:rsidRPr="005B5ADE">
        <w:rPr>
          <w:rFonts w:ascii="Times New Roman" w:hAnsi="Times New Roman"/>
          <w:sz w:val="24"/>
        </w:rPr>
        <w:t xml:space="preserve">1712 </w:t>
      </w:r>
      <w:r w:rsidRPr="005B5ADE">
        <w:rPr>
          <w:rFonts w:ascii="Times New Roman" w:hAnsi="Times New Roman"/>
          <w:sz w:val="24"/>
        </w:rPr>
        <w:t>[18]</w:t>
      </w:r>
      <w:r w:rsidR="00BB6019" w:rsidRPr="005B5ADE">
        <w:rPr>
          <w:rFonts w:ascii="Times New Roman" w:hAnsi="Times New Roman"/>
          <w:sz w:val="24"/>
        </w:rPr>
        <w:t>; 184 ALR 593 at</w:t>
      </w:r>
      <w:r w:rsidR="00870AA1" w:rsidRPr="005B5ADE">
        <w:rPr>
          <w:rFonts w:ascii="Times New Roman" w:hAnsi="Times New Roman"/>
          <w:sz w:val="24"/>
        </w:rPr>
        <w:t xml:space="preserve"> 598</w:t>
      </w:r>
      <w:r w:rsidRPr="005B5ADE">
        <w:rPr>
          <w:rFonts w:ascii="Times New Roman" w:hAnsi="Times New Roman"/>
          <w:sz w:val="24"/>
        </w:rPr>
        <w:t>.</w:t>
      </w:r>
    </w:p>
  </w:footnote>
  <w:footnote w:id="48">
    <w:p w14:paraId="5C60BDCC" w14:textId="4DDCF3AD" w:rsidR="00C2597C" w:rsidRPr="005B5ADE" w:rsidRDefault="00C2597C"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Grey</w:t>
      </w:r>
      <w:r w:rsidRPr="005B5ADE">
        <w:rPr>
          <w:rFonts w:ascii="Times New Roman" w:hAnsi="Times New Roman"/>
          <w:sz w:val="24"/>
        </w:rPr>
        <w:t xml:space="preserve"> </w:t>
      </w:r>
      <w:r w:rsidR="00870AA1" w:rsidRPr="005B5ADE">
        <w:rPr>
          <w:rFonts w:ascii="Times New Roman" w:hAnsi="Times New Roman"/>
          <w:sz w:val="24"/>
        </w:rPr>
        <w:t>(2001) 75 ALJR 1708 at 1712 [18]; 184 ALR 593 at 598.</w:t>
      </w:r>
    </w:p>
  </w:footnote>
  <w:footnote w:id="49">
    <w:p w14:paraId="0625F05E" w14:textId="582458B1" w:rsidR="00221853" w:rsidRPr="005B5ADE" w:rsidRDefault="00221853"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Pr="005B5ADE">
        <w:rPr>
          <w:rFonts w:ascii="Times New Roman" w:hAnsi="Times New Roman"/>
          <w:sz w:val="24"/>
        </w:rPr>
        <w:t xml:space="preserve">at </w:t>
      </w:r>
      <w:r w:rsidR="00E6645C" w:rsidRPr="005B5ADE">
        <w:rPr>
          <w:rFonts w:ascii="Times New Roman" w:hAnsi="Times New Roman"/>
          <w:sz w:val="24"/>
        </w:rPr>
        <w:t xml:space="preserve">480 </w:t>
      </w:r>
      <w:r w:rsidR="006A2D8B" w:rsidRPr="005B5ADE">
        <w:rPr>
          <w:rFonts w:ascii="Times New Roman" w:hAnsi="Times New Roman"/>
          <w:sz w:val="24"/>
        </w:rPr>
        <w:t>[81].</w:t>
      </w:r>
    </w:p>
  </w:footnote>
  <w:footnote w:id="50">
    <w:p w14:paraId="79940B10" w14:textId="4DCDBE62" w:rsidR="006A2D8B" w:rsidRPr="005B5ADE" w:rsidRDefault="006A2D8B"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Pr="005B5ADE">
        <w:rPr>
          <w:rFonts w:ascii="Times New Roman" w:hAnsi="Times New Roman"/>
          <w:sz w:val="24"/>
        </w:rPr>
        <w:t xml:space="preserve">at </w:t>
      </w:r>
      <w:r w:rsidR="00E6645C" w:rsidRPr="005B5ADE">
        <w:rPr>
          <w:rFonts w:ascii="Times New Roman" w:hAnsi="Times New Roman"/>
          <w:sz w:val="24"/>
        </w:rPr>
        <w:t xml:space="preserve">479 </w:t>
      </w:r>
      <w:r w:rsidRPr="005B5ADE">
        <w:rPr>
          <w:rFonts w:ascii="Times New Roman" w:hAnsi="Times New Roman"/>
          <w:sz w:val="24"/>
        </w:rPr>
        <w:t>[78].</w:t>
      </w:r>
    </w:p>
  </w:footnote>
  <w:footnote w:id="51">
    <w:p w14:paraId="7080EFD7" w14:textId="64088E72" w:rsidR="006A2D8B" w:rsidRPr="005B5ADE" w:rsidRDefault="006A2D8B"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00B9291D" w:rsidRPr="005B5ADE">
        <w:rPr>
          <w:rFonts w:ascii="Times New Roman" w:hAnsi="Times New Roman"/>
          <w:i/>
          <w:iCs/>
          <w:sz w:val="24"/>
        </w:rPr>
        <w:t xml:space="preserve">Brawn </w:t>
      </w:r>
      <w:r w:rsidR="00E6645C" w:rsidRPr="005B5ADE">
        <w:rPr>
          <w:rFonts w:ascii="Times New Roman" w:hAnsi="Times New Roman"/>
          <w:sz w:val="24"/>
        </w:rPr>
        <w:t xml:space="preserve">(2022) 141 SASR 465 </w:t>
      </w:r>
      <w:r w:rsidR="00B9291D" w:rsidRPr="005B5ADE">
        <w:rPr>
          <w:rFonts w:ascii="Times New Roman" w:hAnsi="Times New Roman"/>
          <w:sz w:val="24"/>
        </w:rPr>
        <w:t xml:space="preserve">at </w:t>
      </w:r>
      <w:r w:rsidR="00CE206F" w:rsidRPr="005B5ADE">
        <w:rPr>
          <w:rFonts w:ascii="Times New Roman" w:hAnsi="Times New Roman"/>
          <w:sz w:val="24"/>
        </w:rPr>
        <w:t xml:space="preserve">480 </w:t>
      </w:r>
      <w:r w:rsidR="00B9291D" w:rsidRPr="005B5ADE">
        <w:rPr>
          <w:rFonts w:ascii="Times New Roman" w:hAnsi="Times New Roman"/>
          <w:sz w:val="24"/>
        </w:rPr>
        <w:t>[79].</w:t>
      </w:r>
    </w:p>
  </w:footnote>
  <w:footnote w:id="52">
    <w:p w14:paraId="3D7DE050" w14:textId="3D2D811A" w:rsidR="00376C5A" w:rsidRPr="005B5ADE" w:rsidRDefault="00376C5A"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 xml:space="preserve">See </w:t>
      </w:r>
      <w:r w:rsidRPr="005B5ADE">
        <w:rPr>
          <w:rFonts w:ascii="Times New Roman" w:hAnsi="Times New Roman"/>
          <w:i/>
          <w:iCs/>
          <w:sz w:val="24"/>
        </w:rPr>
        <w:t xml:space="preserve">Clyne v </w:t>
      </w:r>
      <w:r w:rsidR="00516A47" w:rsidRPr="005B5ADE">
        <w:rPr>
          <w:rFonts w:ascii="Times New Roman" w:hAnsi="Times New Roman"/>
          <w:i/>
          <w:iCs/>
          <w:sz w:val="24"/>
        </w:rPr>
        <w:t xml:space="preserve">The New South Wales </w:t>
      </w:r>
      <w:r w:rsidRPr="005B5ADE">
        <w:rPr>
          <w:rFonts w:ascii="Times New Roman" w:hAnsi="Times New Roman"/>
          <w:i/>
          <w:iCs/>
          <w:sz w:val="24"/>
        </w:rPr>
        <w:t>Bar Association</w:t>
      </w:r>
      <w:r w:rsidRPr="005B5ADE">
        <w:rPr>
          <w:rFonts w:ascii="Times New Roman" w:hAnsi="Times New Roman"/>
          <w:sz w:val="24"/>
        </w:rPr>
        <w:t xml:space="preserve"> (19</w:t>
      </w:r>
      <w:r w:rsidR="00B24A0D" w:rsidRPr="005B5ADE">
        <w:rPr>
          <w:rFonts w:ascii="Times New Roman" w:hAnsi="Times New Roman"/>
          <w:sz w:val="24"/>
        </w:rPr>
        <w:t>6</w:t>
      </w:r>
      <w:r w:rsidRPr="005B5ADE">
        <w:rPr>
          <w:rFonts w:ascii="Times New Roman" w:hAnsi="Times New Roman"/>
          <w:sz w:val="24"/>
        </w:rPr>
        <w:t>0) 104 CLR 186 at 200-201</w:t>
      </w:r>
      <w:r w:rsidR="00FE7B21" w:rsidRPr="005B5ADE">
        <w:rPr>
          <w:rFonts w:ascii="Times New Roman" w:hAnsi="Times New Roman"/>
          <w:sz w:val="24"/>
        </w:rPr>
        <w:t>.</w:t>
      </w:r>
      <w:r w:rsidRPr="005B5ADE">
        <w:rPr>
          <w:rFonts w:ascii="Times New Roman" w:hAnsi="Times New Roman"/>
          <w:sz w:val="24"/>
        </w:rPr>
        <w:t xml:space="preserve"> As at June 2021, </w:t>
      </w:r>
      <w:r w:rsidR="003911C0" w:rsidRPr="005B5ADE">
        <w:rPr>
          <w:rFonts w:ascii="Times New Roman" w:hAnsi="Times New Roman"/>
          <w:sz w:val="24"/>
        </w:rPr>
        <w:t>r </w:t>
      </w:r>
      <w:r w:rsidRPr="005B5ADE">
        <w:rPr>
          <w:rFonts w:ascii="Times New Roman" w:hAnsi="Times New Roman"/>
          <w:sz w:val="24"/>
        </w:rPr>
        <w:t xml:space="preserve">64 of the South Australian </w:t>
      </w:r>
      <w:r w:rsidR="0058131C" w:rsidRPr="005B5ADE">
        <w:rPr>
          <w:rFonts w:ascii="Times New Roman" w:hAnsi="Times New Roman"/>
          <w:sz w:val="24"/>
        </w:rPr>
        <w:t xml:space="preserve">Bar Association </w:t>
      </w:r>
      <w:r w:rsidRPr="005B5ADE">
        <w:rPr>
          <w:rFonts w:ascii="Times New Roman" w:hAnsi="Times New Roman"/>
          <w:sz w:val="24"/>
        </w:rPr>
        <w:t>Barristers</w:t>
      </w:r>
      <w:r w:rsidR="0058131C" w:rsidRPr="005B5ADE">
        <w:rPr>
          <w:rFonts w:ascii="Times New Roman" w:hAnsi="Times New Roman"/>
          <w:sz w:val="24"/>
        </w:rPr>
        <w:t>'</w:t>
      </w:r>
      <w:r w:rsidRPr="005B5ADE">
        <w:rPr>
          <w:rFonts w:ascii="Times New Roman" w:hAnsi="Times New Roman"/>
          <w:sz w:val="24"/>
        </w:rPr>
        <w:t xml:space="preserve"> Conduct Rules provided that "[a] barrister must not allege any matter of fact amounting to criminality, fraud or other serious misconduct against any person unless the barrister believes on reasonable grounds that: (a) available material by which the allegation could be supported provides a proper basis for it; and (b) the client wishes the allegation to be made, after having been advised of the seriousness of the allegation and of the possible consequences for the client and the case if it is not made out</w:t>
      </w:r>
      <w:r w:rsidR="00CA6C38" w:rsidRPr="005B5ADE">
        <w:rPr>
          <w:rFonts w:ascii="Times New Roman" w:hAnsi="Times New Roman"/>
          <w:sz w:val="24"/>
        </w:rPr>
        <w:t>"</w:t>
      </w:r>
      <w:r w:rsidRPr="005B5ADE">
        <w:rPr>
          <w:rFonts w:ascii="Times New Roman" w:hAnsi="Times New Roman"/>
          <w:sz w:val="24"/>
        </w:rPr>
        <w:t>.</w:t>
      </w:r>
    </w:p>
  </w:footnote>
  <w:footnote w:id="53">
    <w:p w14:paraId="73F00AB9" w14:textId="7715B767" w:rsidR="00125558" w:rsidRPr="005B5ADE" w:rsidRDefault="00125558"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t xml:space="preserve">See </w:t>
      </w:r>
      <w:r w:rsidR="00A34301" w:rsidRPr="005B5ADE">
        <w:rPr>
          <w:rFonts w:ascii="Times New Roman" w:hAnsi="Times New Roman"/>
          <w:sz w:val="24"/>
        </w:rPr>
        <w:t xml:space="preserve">South Australian Bar Association Barristers' Conduct Rules, r 64(b). </w:t>
      </w:r>
    </w:p>
  </w:footnote>
  <w:footnote w:id="54">
    <w:p w14:paraId="3EDD1F10" w14:textId="6BF4E7C1" w:rsidR="00E34708" w:rsidRPr="005B5ADE" w:rsidRDefault="00E34708"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proofErr w:type="spellStart"/>
      <w:r w:rsidRPr="005B5ADE">
        <w:rPr>
          <w:rFonts w:ascii="Times New Roman" w:hAnsi="Times New Roman"/>
          <w:sz w:val="24"/>
        </w:rPr>
        <w:t>cf</w:t>
      </w:r>
      <w:proofErr w:type="spellEnd"/>
      <w:r w:rsidRPr="005B5ADE">
        <w:rPr>
          <w:rFonts w:ascii="Times New Roman" w:hAnsi="Times New Roman"/>
          <w:sz w:val="24"/>
        </w:rPr>
        <w:t xml:space="preserve"> </w:t>
      </w:r>
      <w:r w:rsidRPr="005B5ADE">
        <w:rPr>
          <w:rFonts w:ascii="Times New Roman" w:hAnsi="Times New Roman"/>
          <w:i/>
          <w:iCs/>
          <w:sz w:val="24"/>
        </w:rPr>
        <w:t>Edwards</w:t>
      </w:r>
      <w:r w:rsidRPr="005B5ADE">
        <w:rPr>
          <w:rFonts w:ascii="Times New Roman" w:hAnsi="Times New Roman"/>
          <w:sz w:val="24"/>
        </w:rPr>
        <w:t xml:space="preserve"> </w:t>
      </w:r>
      <w:r w:rsidR="00302C60" w:rsidRPr="005B5ADE">
        <w:rPr>
          <w:rFonts w:ascii="Times New Roman" w:hAnsi="Times New Roman"/>
          <w:sz w:val="24"/>
        </w:rPr>
        <w:t xml:space="preserve">(2021) 273 CLR 585 </w:t>
      </w:r>
      <w:r w:rsidRPr="005B5ADE">
        <w:rPr>
          <w:rFonts w:ascii="Times New Roman" w:hAnsi="Times New Roman"/>
          <w:sz w:val="24"/>
        </w:rPr>
        <w:t xml:space="preserve">at </w:t>
      </w:r>
      <w:r w:rsidR="00C832A9" w:rsidRPr="005B5ADE">
        <w:rPr>
          <w:rFonts w:ascii="Times New Roman" w:hAnsi="Times New Roman"/>
          <w:sz w:val="24"/>
        </w:rPr>
        <w:t xml:space="preserve">595 </w:t>
      </w:r>
      <w:r w:rsidRPr="005B5ADE">
        <w:rPr>
          <w:rFonts w:ascii="Times New Roman" w:hAnsi="Times New Roman"/>
          <w:sz w:val="24"/>
        </w:rPr>
        <w:t xml:space="preserve">[28], </w:t>
      </w:r>
      <w:r w:rsidR="00C832A9" w:rsidRPr="005B5ADE">
        <w:rPr>
          <w:rFonts w:ascii="Times New Roman" w:hAnsi="Times New Roman"/>
          <w:sz w:val="24"/>
        </w:rPr>
        <w:t>596</w:t>
      </w:r>
      <w:r w:rsidR="00D06705" w:rsidRPr="005B5ADE">
        <w:rPr>
          <w:rFonts w:ascii="Times New Roman" w:hAnsi="Times New Roman"/>
          <w:sz w:val="24"/>
        </w:rPr>
        <w:t xml:space="preserve"> </w:t>
      </w:r>
      <w:r w:rsidRPr="005B5ADE">
        <w:rPr>
          <w:rFonts w:ascii="Times New Roman" w:hAnsi="Times New Roman"/>
          <w:sz w:val="24"/>
        </w:rPr>
        <w:t>[30]</w:t>
      </w:r>
      <w:r w:rsidR="00075351" w:rsidRPr="005B5ADE">
        <w:rPr>
          <w:rFonts w:ascii="Times New Roman" w:hAnsi="Times New Roman"/>
          <w:sz w:val="24"/>
        </w:rPr>
        <w:t>, 609</w:t>
      </w:r>
      <w:r w:rsidR="00F84D76" w:rsidRPr="005B5ADE">
        <w:rPr>
          <w:rFonts w:ascii="Times New Roman" w:hAnsi="Times New Roman"/>
          <w:sz w:val="24"/>
        </w:rPr>
        <w:t xml:space="preserve"> </w:t>
      </w:r>
      <w:r w:rsidRPr="005B5ADE">
        <w:rPr>
          <w:rFonts w:ascii="Times New Roman" w:hAnsi="Times New Roman"/>
          <w:sz w:val="24"/>
        </w:rPr>
        <w:t>[75].</w:t>
      </w:r>
    </w:p>
  </w:footnote>
  <w:footnote w:id="55">
    <w:p w14:paraId="4C9B9EEB" w14:textId="3CB357C0" w:rsidR="00E34708" w:rsidRPr="005B5ADE" w:rsidRDefault="00E34708"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Criminal Procedure Act</w:t>
      </w:r>
      <w:r w:rsidRPr="005B5ADE">
        <w:rPr>
          <w:rFonts w:ascii="Times New Roman" w:hAnsi="Times New Roman"/>
          <w:sz w:val="24"/>
        </w:rPr>
        <w:t>, s 158(2).</w:t>
      </w:r>
    </w:p>
  </w:footnote>
  <w:footnote w:id="56">
    <w:p w14:paraId="5BE55A21" w14:textId="473A321F" w:rsidR="00E34708" w:rsidRPr="005B5ADE" w:rsidRDefault="00E34708" w:rsidP="005B5ADE">
      <w:pPr>
        <w:pStyle w:val="FootnoteText"/>
        <w:spacing w:line="280" w:lineRule="exact"/>
        <w:ind w:right="0"/>
        <w:jc w:val="both"/>
        <w:rPr>
          <w:rFonts w:ascii="Times New Roman" w:hAnsi="Times New Roman"/>
          <w:sz w:val="24"/>
        </w:rPr>
      </w:pPr>
      <w:r w:rsidRPr="005B5ADE">
        <w:rPr>
          <w:rStyle w:val="FootnoteReference"/>
          <w:rFonts w:ascii="Times New Roman" w:hAnsi="Times New Roman"/>
          <w:sz w:val="22"/>
          <w:vertAlign w:val="baseline"/>
        </w:rPr>
        <w:footnoteRef/>
      </w:r>
      <w:r w:rsidRPr="005B5ADE">
        <w:rPr>
          <w:rFonts w:ascii="Times New Roman" w:hAnsi="Times New Roman"/>
          <w:sz w:val="24"/>
        </w:rPr>
        <w:t xml:space="preserve"> </w:t>
      </w:r>
      <w:r w:rsidRPr="005B5ADE">
        <w:rPr>
          <w:rFonts w:ascii="Times New Roman" w:hAnsi="Times New Roman"/>
          <w:sz w:val="24"/>
        </w:rPr>
        <w:tab/>
      </w:r>
      <w:r w:rsidRPr="005B5ADE">
        <w:rPr>
          <w:rFonts w:ascii="Times New Roman" w:hAnsi="Times New Roman"/>
          <w:i/>
          <w:iCs/>
          <w:sz w:val="24"/>
        </w:rPr>
        <w:t>Criminal Procedure Act</w:t>
      </w:r>
      <w:r w:rsidRPr="005B5ADE">
        <w:rPr>
          <w:rFonts w:ascii="Times New Roman" w:hAnsi="Times New Roman"/>
          <w:sz w:val="24"/>
        </w:rPr>
        <w:t>, s 158(3).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1BCD" w14:textId="77777777" w:rsidR="005B5ADE" w:rsidRPr="00877A9D" w:rsidRDefault="005B5ADE" w:rsidP="00877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EA65" w14:textId="66A8971B" w:rsidR="005B5ADE" w:rsidRPr="00877A9D" w:rsidRDefault="00877A9D" w:rsidP="00877A9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D5BCA">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D5BCA">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891B" w14:textId="7935DD50" w:rsidR="00B47311" w:rsidRPr="00877A9D" w:rsidRDefault="00B47311" w:rsidP="00877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4F01" w14:textId="77777777" w:rsidR="00877A9D" w:rsidRPr="005B5ADE" w:rsidRDefault="00877A9D" w:rsidP="005B5ADE">
    <w:pPr>
      <w:pStyle w:val="Header"/>
      <w:tabs>
        <w:tab w:val="clear" w:pos="4153"/>
        <w:tab w:val="clear" w:pos="8306"/>
        <w:tab w:val="right" w:pos="1304"/>
      </w:tabs>
      <w:spacing w:line="280" w:lineRule="exact"/>
      <w:ind w:firstLine="0"/>
      <w:rPr>
        <w:rFonts w:ascii="Times New Roman" w:hAnsi="Times New Roman"/>
        <w:i/>
        <w:sz w:val="22"/>
      </w:rPr>
    </w:pPr>
    <w:r w:rsidRPr="005B5ADE">
      <w:rPr>
        <w:rFonts w:ascii="Times New Roman" w:hAnsi="Times New Roman"/>
        <w:i/>
        <w:sz w:val="22"/>
      </w:rPr>
      <w:t>Gageler</w:t>
    </w:r>
    <w:r w:rsidRPr="005B5ADE">
      <w:rPr>
        <w:rFonts w:ascii="Times New Roman" w:hAnsi="Times New Roman"/>
        <w:i/>
        <w:sz w:val="22"/>
      </w:rPr>
      <w:tab/>
      <w:t>CJ</w:t>
    </w:r>
  </w:p>
  <w:p w14:paraId="31F27D8E" w14:textId="77777777" w:rsidR="00877A9D" w:rsidRPr="005B5ADE" w:rsidRDefault="00877A9D" w:rsidP="005B5ADE">
    <w:pPr>
      <w:pStyle w:val="Header"/>
      <w:tabs>
        <w:tab w:val="clear" w:pos="4153"/>
        <w:tab w:val="clear" w:pos="8306"/>
        <w:tab w:val="right" w:pos="1304"/>
      </w:tabs>
      <w:spacing w:line="280" w:lineRule="exact"/>
      <w:ind w:firstLine="0"/>
      <w:rPr>
        <w:rFonts w:ascii="Times New Roman" w:hAnsi="Times New Roman"/>
        <w:i/>
        <w:sz w:val="22"/>
      </w:rPr>
    </w:pPr>
    <w:r w:rsidRPr="005B5ADE">
      <w:rPr>
        <w:rFonts w:ascii="Times New Roman" w:hAnsi="Times New Roman"/>
        <w:i/>
        <w:sz w:val="22"/>
      </w:rPr>
      <w:t>Gordon</w:t>
    </w:r>
    <w:r w:rsidRPr="005B5ADE">
      <w:rPr>
        <w:rFonts w:ascii="Times New Roman" w:hAnsi="Times New Roman"/>
        <w:i/>
        <w:sz w:val="22"/>
      </w:rPr>
      <w:tab/>
      <w:t>J</w:t>
    </w:r>
  </w:p>
  <w:p w14:paraId="3EC78029" w14:textId="77777777" w:rsidR="00877A9D" w:rsidRPr="005B5ADE" w:rsidRDefault="00877A9D" w:rsidP="005B5ADE">
    <w:pPr>
      <w:pStyle w:val="Header"/>
      <w:tabs>
        <w:tab w:val="clear" w:pos="4153"/>
        <w:tab w:val="clear" w:pos="8306"/>
        <w:tab w:val="right" w:pos="1304"/>
      </w:tabs>
      <w:spacing w:line="280" w:lineRule="exact"/>
      <w:ind w:firstLine="0"/>
      <w:rPr>
        <w:rFonts w:ascii="Times New Roman" w:hAnsi="Times New Roman"/>
        <w:i/>
        <w:sz w:val="22"/>
      </w:rPr>
    </w:pPr>
    <w:r w:rsidRPr="005B5ADE">
      <w:rPr>
        <w:rFonts w:ascii="Times New Roman" w:hAnsi="Times New Roman"/>
        <w:i/>
        <w:sz w:val="22"/>
      </w:rPr>
      <w:t>Edelman</w:t>
    </w:r>
    <w:r w:rsidRPr="005B5ADE">
      <w:rPr>
        <w:rFonts w:ascii="Times New Roman" w:hAnsi="Times New Roman"/>
        <w:i/>
        <w:sz w:val="22"/>
      </w:rPr>
      <w:tab/>
      <w:t>J</w:t>
    </w:r>
  </w:p>
  <w:p w14:paraId="068C7AFE" w14:textId="77777777" w:rsidR="00877A9D" w:rsidRPr="005B5ADE" w:rsidRDefault="00877A9D" w:rsidP="005B5ADE">
    <w:pPr>
      <w:pStyle w:val="Header"/>
      <w:tabs>
        <w:tab w:val="clear" w:pos="4153"/>
        <w:tab w:val="clear" w:pos="8306"/>
        <w:tab w:val="right" w:pos="1304"/>
      </w:tabs>
      <w:spacing w:line="280" w:lineRule="exact"/>
      <w:ind w:firstLine="0"/>
      <w:rPr>
        <w:rFonts w:ascii="Times New Roman" w:hAnsi="Times New Roman"/>
        <w:i/>
        <w:sz w:val="22"/>
      </w:rPr>
    </w:pPr>
    <w:r w:rsidRPr="005B5ADE">
      <w:rPr>
        <w:rFonts w:ascii="Times New Roman" w:hAnsi="Times New Roman"/>
        <w:i/>
        <w:sz w:val="22"/>
      </w:rPr>
      <w:t>Steward</w:t>
    </w:r>
    <w:r w:rsidRPr="005B5ADE">
      <w:rPr>
        <w:rFonts w:ascii="Times New Roman" w:hAnsi="Times New Roman"/>
        <w:i/>
        <w:sz w:val="22"/>
      </w:rPr>
      <w:tab/>
      <w:t>J</w:t>
    </w:r>
  </w:p>
  <w:p w14:paraId="56570A6F" w14:textId="77777777" w:rsidR="00877A9D" w:rsidRPr="005B5ADE" w:rsidRDefault="00877A9D" w:rsidP="005B5ADE">
    <w:pPr>
      <w:pStyle w:val="Header"/>
      <w:tabs>
        <w:tab w:val="clear" w:pos="4153"/>
        <w:tab w:val="clear" w:pos="8306"/>
        <w:tab w:val="right" w:pos="1304"/>
      </w:tabs>
      <w:spacing w:line="280" w:lineRule="exact"/>
      <w:ind w:firstLine="0"/>
      <w:rPr>
        <w:rFonts w:ascii="Times New Roman" w:hAnsi="Times New Roman"/>
        <w:i/>
        <w:sz w:val="22"/>
      </w:rPr>
    </w:pPr>
    <w:r w:rsidRPr="005B5ADE">
      <w:rPr>
        <w:rFonts w:ascii="Times New Roman" w:hAnsi="Times New Roman"/>
        <w:i/>
        <w:sz w:val="22"/>
      </w:rPr>
      <w:t>Gleeson</w:t>
    </w:r>
    <w:r w:rsidRPr="005B5ADE">
      <w:rPr>
        <w:rFonts w:ascii="Times New Roman" w:hAnsi="Times New Roman"/>
        <w:i/>
        <w:sz w:val="22"/>
      </w:rPr>
      <w:tab/>
      <w:t>J</w:t>
    </w:r>
  </w:p>
  <w:p w14:paraId="64382BF3" w14:textId="77777777" w:rsidR="00877A9D" w:rsidRPr="005B5ADE" w:rsidRDefault="00877A9D" w:rsidP="005B5ADE">
    <w:pPr>
      <w:pStyle w:val="Header"/>
      <w:tabs>
        <w:tab w:val="clear" w:pos="4153"/>
        <w:tab w:val="clear" w:pos="8306"/>
        <w:tab w:val="right" w:pos="1304"/>
      </w:tabs>
      <w:spacing w:line="280" w:lineRule="exact"/>
      <w:ind w:firstLine="0"/>
      <w:rPr>
        <w:rFonts w:ascii="Times New Roman" w:hAnsi="Times New Roman"/>
        <w:i/>
        <w:sz w:val="22"/>
      </w:rPr>
    </w:pPr>
    <w:r w:rsidRPr="005B5ADE">
      <w:rPr>
        <w:rFonts w:ascii="Times New Roman" w:hAnsi="Times New Roman"/>
        <w:i/>
        <w:sz w:val="22"/>
      </w:rPr>
      <w:t>Jagot</w:t>
    </w:r>
    <w:r w:rsidRPr="005B5ADE">
      <w:rPr>
        <w:rFonts w:ascii="Times New Roman" w:hAnsi="Times New Roman"/>
        <w:i/>
        <w:sz w:val="22"/>
      </w:rPr>
      <w:tab/>
      <w:t>J</w:t>
    </w:r>
  </w:p>
  <w:p w14:paraId="59FAEB22" w14:textId="77777777" w:rsidR="00877A9D" w:rsidRDefault="00877A9D" w:rsidP="005B5AD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A1B59BC" w14:textId="77777777" w:rsidR="00877A9D" w:rsidRDefault="00877A9D" w:rsidP="005B5ADE">
    <w:pPr>
      <w:pStyle w:val="Header"/>
      <w:tabs>
        <w:tab w:val="clear" w:pos="4153"/>
        <w:tab w:val="clear" w:pos="8306"/>
        <w:tab w:val="right" w:pos="1304"/>
      </w:tabs>
      <w:spacing w:line="280" w:lineRule="exact"/>
      <w:ind w:firstLine="0"/>
      <w:rPr>
        <w:rFonts w:ascii="Times New Roman" w:hAnsi="Times New Roman"/>
        <w:i/>
        <w:sz w:val="22"/>
      </w:rPr>
    </w:pPr>
  </w:p>
  <w:p w14:paraId="564E47BA" w14:textId="77777777" w:rsidR="00877A9D" w:rsidRDefault="00877A9D" w:rsidP="005B5AD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422A0E3" w14:textId="77777777" w:rsidR="00877A9D" w:rsidRPr="005B5ADE" w:rsidRDefault="00877A9D" w:rsidP="005B5AD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0F51" w14:textId="77777777" w:rsidR="00877A9D" w:rsidRPr="005B5ADE"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r w:rsidRPr="005B5ADE">
      <w:rPr>
        <w:rFonts w:ascii="Times New Roman" w:hAnsi="Times New Roman"/>
        <w:i/>
        <w:sz w:val="22"/>
      </w:rPr>
      <w:tab/>
      <w:t>Gageler</w:t>
    </w:r>
    <w:r w:rsidRPr="005B5ADE">
      <w:rPr>
        <w:rFonts w:ascii="Times New Roman" w:hAnsi="Times New Roman"/>
        <w:i/>
        <w:sz w:val="22"/>
      </w:rPr>
      <w:tab/>
      <w:t>CJ</w:t>
    </w:r>
  </w:p>
  <w:p w14:paraId="598859C9" w14:textId="77777777" w:rsidR="00877A9D" w:rsidRPr="005B5ADE"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r w:rsidRPr="005B5ADE">
      <w:rPr>
        <w:rFonts w:ascii="Times New Roman" w:hAnsi="Times New Roman"/>
        <w:i/>
        <w:sz w:val="22"/>
      </w:rPr>
      <w:tab/>
      <w:t>Gordon</w:t>
    </w:r>
    <w:r w:rsidRPr="005B5ADE">
      <w:rPr>
        <w:rFonts w:ascii="Times New Roman" w:hAnsi="Times New Roman"/>
        <w:i/>
        <w:sz w:val="22"/>
      </w:rPr>
      <w:tab/>
      <w:t>J</w:t>
    </w:r>
  </w:p>
  <w:p w14:paraId="5EE9592C" w14:textId="77777777" w:rsidR="00877A9D" w:rsidRPr="005B5ADE"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r w:rsidRPr="005B5ADE">
      <w:rPr>
        <w:rFonts w:ascii="Times New Roman" w:hAnsi="Times New Roman"/>
        <w:i/>
        <w:sz w:val="22"/>
      </w:rPr>
      <w:tab/>
      <w:t>Edelman</w:t>
    </w:r>
    <w:r w:rsidRPr="005B5ADE">
      <w:rPr>
        <w:rFonts w:ascii="Times New Roman" w:hAnsi="Times New Roman"/>
        <w:i/>
        <w:sz w:val="22"/>
      </w:rPr>
      <w:tab/>
      <w:t>J</w:t>
    </w:r>
  </w:p>
  <w:p w14:paraId="390ECF11" w14:textId="77777777" w:rsidR="00877A9D" w:rsidRPr="005B5ADE"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r w:rsidRPr="005B5ADE">
      <w:rPr>
        <w:rFonts w:ascii="Times New Roman" w:hAnsi="Times New Roman"/>
        <w:i/>
        <w:sz w:val="22"/>
      </w:rPr>
      <w:tab/>
      <w:t>Steward</w:t>
    </w:r>
    <w:r w:rsidRPr="005B5ADE">
      <w:rPr>
        <w:rFonts w:ascii="Times New Roman" w:hAnsi="Times New Roman"/>
        <w:i/>
        <w:sz w:val="22"/>
      </w:rPr>
      <w:tab/>
      <w:t>J</w:t>
    </w:r>
  </w:p>
  <w:p w14:paraId="082A901A" w14:textId="77777777" w:rsidR="00877A9D" w:rsidRPr="005B5ADE"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r w:rsidRPr="005B5ADE">
      <w:rPr>
        <w:rFonts w:ascii="Times New Roman" w:hAnsi="Times New Roman"/>
        <w:i/>
        <w:sz w:val="22"/>
      </w:rPr>
      <w:tab/>
      <w:t>Gleeson</w:t>
    </w:r>
    <w:r w:rsidRPr="005B5ADE">
      <w:rPr>
        <w:rFonts w:ascii="Times New Roman" w:hAnsi="Times New Roman"/>
        <w:i/>
        <w:sz w:val="22"/>
      </w:rPr>
      <w:tab/>
      <w:t>J</w:t>
    </w:r>
  </w:p>
  <w:p w14:paraId="63E6EF83" w14:textId="77777777" w:rsidR="00877A9D" w:rsidRPr="005B5ADE"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r w:rsidRPr="005B5ADE">
      <w:rPr>
        <w:rFonts w:ascii="Times New Roman" w:hAnsi="Times New Roman"/>
        <w:i/>
        <w:sz w:val="22"/>
      </w:rPr>
      <w:tab/>
      <w:t>Jagot</w:t>
    </w:r>
    <w:r w:rsidRPr="005B5ADE">
      <w:rPr>
        <w:rFonts w:ascii="Times New Roman" w:hAnsi="Times New Roman"/>
        <w:i/>
        <w:sz w:val="22"/>
      </w:rPr>
      <w:tab/>
      <w:t>J</w:t>
    </w:r>
  </w:p>
  <w:p w14:paraId="2D7F6C07" w14:textId="77777777" w:rsidR="00877A9D"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C60108D" w14:textId="77777777" w:rsidR="00877A9D" w:rsidRDefault="00877A9D" w:rsidP="005B5ADE">
    <w:pPr>
      <w:pStyle w:val="Header"/>
      <w:tabs>
        <w:tab w:val="clear" w:pos="4153"/>
        <w:tab w:val="clear" w:pos="8306"/>
        <w:tab w:val="left" w:pos="7200"/>
        <w:tab w:val="right" w:pos="8504"/>
      </w:tabs>
      <w:spacing w:line="280" w:lineRule="exact"/>
      <w:jc w:val="right"/>
      <w:rPr>
        <w:rFonts w:ascii="Times New Roman" w:hAnsi="Times New Roman"/>
        <w:i/>
        <w:sz w:val="22"/>
      </w:rPr>
    </w:pPr>
  </w:p>
  <w:p w14:paraId="5C67BA0D" w14:textId="77777777" w:rsidR="00877A9D" w:rsidRDefault="00877A9D" w:rsidP="005B5AD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25973D8" w14:textId="77777777" w:rsidR="00877A9D" w:rsidRPr="005B5ADE" w:rsidRDefault="00877A9D" w:rsidP="005B5AD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6FEE"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6B17AE29"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06815DA6"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2BF25B6F"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0BAA78A9"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25E39BE0"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27DFA7DC"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4A376156"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499E05D8" w14:textId="77777777" w:rsidR="00877A9D"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p w14:paraId="4E5314FF" w14:textId="77777777" w:rsidR="00877A9D" w:rsidRPr="005B5ADE" w:rsidRDefault="00877A9D" w:rsidP="005B5AD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11"/>
    <w:rsid w:val="00000925"/>
    <w:rsid w:val="00002069"/>
    <w:rsid w:val="00002CE6"/>
    <w:rsid w:val="00002E31"/>
    <w:rsid w:val="0000316A"/>
    <w:rsid w:val="000049B7"/>
    <w:rsid w:val="00005D01"/>
    <w:rsid w:val="00005E23"/>
    <w:rsid w:val="00006C5D"/>
    <w:rsid w:val="00006E8E"/>
    <w:rsid w:val="00010F81"/>
    <w:rsid w:val="000128E9"/>
    <w:rsid w:val="00012FE1"/>
    <w:rsid w:val="0001370E"/>
    <w:rsid w:val="000139A3"/>
    <w:rsid w:val="000141CA"/>
    <w:rsid w:val="00014926"/>
    <w:rsid w:val="00014B34"/>
    <w:rsid w:val="00014C78"/>
    <w:rsid w:val="00014D1F"/>
    <w:rsid w:val="00014EA8"/>
    <w:rsid w:val="000153B3"/>
    <w:rsid w:val="000168C9"/>
    <w:rsid w:val="00016C20"/>
    <w:rsid w:val="00016DBB"/>
    <w:rsid w:val="00017144"/>
    <w:rsid w:val="00020054"/>
    <w:rsid w:val="00020B8E"/>
    <w:rsid w:val="00021979"/>
    <w:rsid w:val="00022877"/>
    <w:rsid w:val="00022A53"/>
    <w:rsid w:val="0002413D"/>
    <w:rsid w:val="00025036"/>
    <w:rsid w:val="000250AF"/>
    <w:rsid w:val="00025490"/>
    <w:rsid w:val="0002561E"/>
    <w:rsid w:val="00026875"/>
    <w:rsid w:val="000268E1"/>
    <w:rsid w:val="00026BED"/>
    <w:rsid w:val="00030056"/>
    <w:rsid w:val="00030C54"/>
    <w:rsid w:val="00031757"/>
    <w:rsid w:val="0003324C"/>
    <w:rsid w:val="0003575A"/>
    <w:rsid w:val="00035D39"/>
    <w:rsid w:val="000360EB"/>
    <w:rsid w:val="0003787E"/>
    <w:rsid w:val="00037A5F"/>
    <w:rsid w:val="00037D87"/>
    <w:rsid w:val="00040D2B"/>
    <w:rsid w:val="0004112A"/>
    <w:rsid w:val="00042EF3"/>
    <w:rsid w:val="00043D2C"/>
    <w:rsid w:val="000440F3"/>
    <w:rsid w:val="000448C8"/>
    <w:rsid w:val="00046812"/>
    <w:rsid w:val="00051D29"/>
    <w:rsid w:val="00051F55"/>
    <w:rsid w:val="000531AB"/>
    <w:rsid w:val="00055060"/>
    <w:rsid w:val="00055ACD"/>
    <w:rsid w:val="00056898"/>
    <w:rsid w:val="00056D44"/>
    <w:rsid w:val="00056F27"/>
    <w:rsid w:val="000573AF"/>
    <w:rsid w:val="000606F6"/>
    <w:rsid w:val="00060C89"/>
    <w:rsid w:val="0006169E"/>
    <w:rsid w:val="0006256A"/>
    <w:rsid w:val="000626FD"/>
    <w:rsid w:val="000633DD"/>
    <w:rsid w:val="00063BBC"/>
    <w:rsid w:val="0006432B"/>
    <w:rsid w:val="0006462F"/>
    <w:rsid w:val="00064BA8"/>
    <w:rsid w:val="000652C9"/>
    <w:rsid w:val="000653D4"/>
    <w:rsid w:val="000654D7"/>
    <w:rsid w:val="000660A5"/>
    <w:rsid w:val="000703E0"/>
    <w:rsid w:val="000711D6"/>
    <w:rsid w:val="00071585"/>
    <w:rsid w:val="00071C35"/>
    <w:rsid w:val="00072773"/>
    <w:rsid w:val="0007315C"/>
    <w:rsid w:val="00073588"/>
    <w:rsid w:val="00073D9E"/>
    <w:rsid w:val="00075351"/>
    <w:rsid w:val="000759BF"/>
    <w:rsid w:val="00075F50"/>
    <w:rsid w:val="00075F82"/>
    <w:rsid w:val="00076136"/>
    <w:rsid w:val="000764CF"/>
    <w:rsid w:val="00080D77"/>
    <w:rsid w:val="00081C05"/>
    <w:rsid w:val="00082673"/>
    <w:rsid w:val="0008364F"/>
    <w:rsid w:val="0008435D"/>
    <w:rsid w:val="0008558C"/>
    <w:rsid w:val="00085F13"/>
    <w:rsid w:val="0008705A"/>
    <w:rsid w:val="00090793"/>
    <w:rsid w:val="00091890"/>
    <w:rsid w:val="000926D2"/>
    <w:rsid w:val="00092849"/>
    <w:rsid w:val="000952F8"/>
    <w:rsid w:val="00096D9B"/>
    <w:rsid w:val="000973CE"/>
    <w:rsid w:val="0009771F"/>
    <w:rsid w:val="00097E9E"/>
    <w:rsid w:val="000A1E22"/>
    <w:rsid w:val="000A28D4"/>
    <w:rsid w:val="000A2EB4"/>
    <w:rsid w:val="000A3DA3"/>
    <w:rsid w:val="000A49C3"/>
    <w:rsid w:val="000A6046"/>
    <w:rsid w:val="000A63C6"/>
    <w:rsid w:val="000A647C"/>
    <w:rsid w:val="000A749E"/>
    <w:rsid w:val="000A7BE9"/>
    <w:rsid w:val="000A7D96"/>
    <w:rsid w:val="000B04B2"/>
    <w:rsid w:val="000B1FC7"/>
    <w:rsid w:val="000B2558"/>
    <w:rsid w:val="000B4630"/>
    <w:rsid w:val="000B497F"/>
    <w:rsid w:val="000B4AD1"/>
    <w:rsid w:val="000B4B23"/>
    <w:rsid w:val="000B5322"/>
    <w:rsid w:val="000B5A44"/>
    <w:rsid w:val="000B6B51"/>
    <w:rsid w:val="000B6BE7"/>
    <w:rsid w:val="000B710D"/>
    <w:rsid w:val="000B7558"/>
    <w:rsid w:val="000C00D2"/>
    <w:rsid w:val="000C04DC"/>
    <w:rsid w:val="000C0B51"/>
    <w:rsid w:val="000C0D98"/>
    <w:rsid w:val="000C1188"/>
    <w:rsid w:val="000C1651"/>
    <w:rsid w:val="000C1A85"/>
    <w:rsid w:val="000C2CE3"/>
    <w:rsid w:val="000C3E2A"/>
    <w:rsid w:val="000C44E3"/>
    <w:rsid w:val="000C4549"/>
    <w:rsid w:val="000C47AD"/>
    <w:rsid w:val="000C5570"/>
    <w:rsid w:val="000C76B1"/>
    <w:rsid w:val="000D04CA"/>
    <w:rsid w:val="000D1447"/>
    <w:rsid w:val="000D1E92"/>
    <w:rsid w:val="000D22F3"/>
    <w:rsid w:val="000D25E6"/>
    <w:rsid w:val="000D41A3"/>
    <w:rsid w:val="000D45F2"/>
    <w:rsid w:val="000D4AEF"/>
    <w:rsid w:val="000D52A8"/>
    <w:rsid w:val="000D53C8"/>
    <w:rsid w:val="000E03FA"/>
    <w:rsid w:val="000E0D61"/>
    <w:rsid w:val="000E1F90"/>
    <w:rsid w:val="000E285E"/>
    <w:rsid w:val="000E40A2"/>
    <w:rsid w:val="000E4291"/>
    <w:rsid w:val="000E482F"/>
    <w:rsid w:val="000E4F19"/>
    <w:rsid w:val="000E5512"/>
    <w:rsid w:val="000E63CB"/>
    <w:rsid w:val="000E65F7"/>
    <w:rsid w:val="000E77A2"/>
    <w:rsid w:val="000F1345"/>
    <w:rsid w:val="000F1A54"/>
    <w:rsid w:val="000F3498"/>
    <w:rsid w:val="000F3BB3"/>
    <w:rsid w:val="000F3DE0"/>
    <w:rsid w:val="000F448E"/>
    <w:rsid w:val="000F4834"/>
    <w:rsid w:val="000F5758"/>
    <w:rsid w:val="001001B9"/>
    <w:rsid w:val="00100BB5"/>
    <w:rsid w:val="00100D97"/>
    <w:rsid w:val="001015BA"/>
    <w:rsid w:val="00102254"/>
    <w:rsid w:val="00103C9A"/>
    <w:rsid w:val="00104F86"/>
    <w:rsid w:val="00105649"/>
    <w:rsid w:val="0010702C"/>
    <w:rsid w:val="00107504"/>
    <w:rsid w:val="00110279"/>
    <w:rsid w:val="00110354"/>
    <w:rsid w:val="00110970"/>
    <w:rsid w:val="00111568"/>
    <w:rsid w:val="001120C0"/>
    <w:rsid w:val="00112A32"/>
    <w:rsid w:val="00113031"/>
    <w:rsid w:val="001150BF"/>
    <w:rsid w:val="00115EB0"/>
    <w:rsid w:val="001168F2"/>
    <w:rsid w:val="00116B0A"/>
    <w:rsid w:val="00117214"/>
    <w:rsid w:val="00120207"/>
    <w:rsid w:val="001203CD"/>
    <w:rsid w:val="00121A4F"/>
    <w:rsid w:val="0012247B"/>
    <w:rsid w:val="00122D24"/>
    <w:rsid w:val="00123C1B"/>
    <w:rsid w:val="00124529"/>
    <w:rsid w:val="00125558"/>
    <w:rsid w:val="00125E3C"/>
    <w:rsid w:val="001269F3"/>
    <w:rsid w:val="00126F53"/>
    <w:rsid w:val="00127F4E"/>
    <w:rsid w:val="0013096F"/>
    <w:rsid w:val="00132DD1"/>
    <w:rsid w:val="00132F3E"/>
    <w:rsid w:val="00133E7E"/>
    <w:rsid w:val="0013456F"/>
    <w:rsid w:val="001364BF"/>
    <w:rsid w:val="001369C6"/>
    <w:rsid w:val="0013746B"/>
    <w:rsid w:val="00137B3A"/>
    <w:rsid w:val="00141B20"/>
    <w:rsid w:val="00142072"/>
    <w:rsid w:val="0014245C"/>
    <w:rsid w:val="001438C3"/>
    <w:rsid w:val="00143FCB"/>
    <w:rsid w:val="00144280"/>
    <w:rsid w:val="0014455D"/>
    <w:rsid w:val="00144A43"/>
    <w:rsid w:val="00144FEF"/>
    <w:rsid w:val="0014526C"/>
    <w:rsid w:val="00145627"/>
    <w:rsid w:val="00145BCE"/>
    <w:rsid w:val="001467E8"/>
    <w:rsid w:val="00146A41"/>
    <w:rsid w:val="00146FAF"/>
    <w:rsid w:val="0014710D"/>
    <w:rsid w:val="001501CD"/>
    <w:rsid w:val="0015026D"/>
    <w:rsid w:val="0015031C"/>
    <w:rsid w:val="001503DD"/>
    <w:rsid w:val="00151679"/>
    <w:rsid w:val="0015192F"/>
    <w:rsid w:val="00152E7E"/>
    <w:rsid w:val="0015318E"/>
    <w:rsid w:val="001533EC"/>
    <w:rsid w:val="00153D36"/>
    <w:rsid w:val="00155C3A"/>
    <w:rsid w:val="00155D54"/>
    <w:rsid w:val="00156C3C"/>
    <w:rsid w:val="0015729E"/>
    <w:rsid w:val="0015795E"/>
    <w:rsid w:val="001619A3"/>
    <w:rsid w:val="00162120"/>
    <w:rsid w:val="00162635"/>
    <w:rsid w:val="001628AB"/>
    <w:rsid w:val="00163D92"/>
    <w:rsid w:val="00164144"/>
    <w:rsid w:val="00166A28"/>
    <w:rsid w:val="0016786C"/>
    <w:rsid w:val="0017081C"/>
    <w:rsid w:val="001708DE"/>
    <w:rsid w:val="0017136C"/>
    <w:rsid w:val="00172ADE"/>
    <w:rsid w:val="00172B91"/>
    <w:rsid w:val="0017385F"/>
    <w:rsid w:val="00175703"/>
    <w:rsid w:val="001758DE"/>
    <w:rsid w:val="00175F09"/>
    <w:rsid w:val="00176D25"/>
    <w:rsid w:val="001812A6"/>
    <w:rsid w:val="0018202D"/>
    <w:rsid w:val="00182A80"/>
    <w:rsid w:val="0018342E"/>
    <w:rsid w:val="0018357A"/>
    <w:rsid w:val="001840C2"/>
    <w:rsid w:val="00184B46"/>
    <w:rsid w:val="00185111"/>
    <w:rsid w:val="00185939"/>
    <w:rsid w:val="00185C88"/>
    <w:rsid w:val="00186817"/>
    <w:rsid w:val="00186BD2"/>
    <w:rsid w:val="00186C0A"/>
    <w:rsid w:val="001872B9"/>
    <w:rsid w:val="001876F6"/>
    <w:rsid w:val="001907F1"/>
    <w:rsid w:val="00190E20"/>
    <w:rsid w:val="0019170F"/>
    <w:rsid w:val="00191E23"/>
    <w:rsid w:val="00193909"/>
    <w:rsid w:val="00193E4A"/>
    <w:rsid w:val="001953B1"/>
    <w:rsid w:val="0019606E"/>
    <w:rsid w:val="001963C0"/>
    <w:rsid w:val="00196538"/>
    <w:rsid w:val="00197956"/>
    <w:rsid w:val="00197D9A"/>
    <w:rsid w:val="001A0108"/>
    <w:rsid w:val="001A097E"/>
    <w:rsid w:val="001A19EF"/>
    <w:rsid w:val="001A2A37"/>
    <w:rsid w:val="001A2A5D"/>
    <w:rsid w:val="001A3015"/>
    <w:rsid w:val="001A30C6"/>
    <w:rsid w:val="001A409D"/>
    <w:rsid w:val="001A446E"/>
    <w:rsid w:val="001A4523"/>
    <w:rsid w:val="001A4B27"/>
    <w:rsid w:val="001A5BCC"/>
    <w:rsid w:val="001A63AE"/>
    <w:rsid w:val="001A63FB"/>
    <w:rsid w:val="001A67A7"/>
    <w:rsid w:val="001A74D8"/>
    <w:rsid w:val="001B0EB4"/>
    <w:rsid w:val="001B1472"/>
    <w:rsid w:val="001B1676"/>
    <w:rsid w:val="001B17A8"/>
    <w:rsid w:val="001B21DB"/>
    <w:rsid w:val="001B3075"/>
    <w:rsid w:val="001B34FA"/>
    <w:rsid w:val="001B4A63"/>
    <w:rsid w:val="001B55C8"/>
    <w:rsid w:val="001B62B1"/>
    <w:rsid w:val="001B6319"/>
    <w:rsid w:val="001B63C6"/>
    <w:rsid w:val="001B7A72"/>
    <w:rsid w:val="001C02A0"/>
    <w:rsid w:val="001C2C5D"/>
    <w:rsid w:val="001C48D4"/>
    <w:rsid w:val="001C4E84"/>
    <w:rsid w:val="001C54F1"/>
    <w:rsid w:val="001C5A07"/>
    <w:rsid w:val="001C614E"/>
    <w:rsid w:val="001C707D"/>
    <w:rsid w:val="001C7266"/>
    <w:rsid w:val="001C7C93"/>
    <w:rsid w:val="001D0907"/>
    <w:rsid w:val="001D0C60"/>
    <w:rsid w:val="001D3077"/>
    <w:rsid w:val="001D36CD"/>
    <w:rsid w:val="001D403D"/>
    <w:rsid w:val="001D4F49"/>
    <w:rsid w:val="001D6C10"/>
    <w:rsid w:val="001D7755"/>
    <w:rsid w:val="001D7982"/>
    <w:rsid w:val="001D7FF7"/>
    <w:rsid w:val="001E1D3D"/>
    <w:rsid w:val="001E27B2"/>
    <w:rsid w:val="001E3153"/>
    <w:rsid w:val="001E3662"/>
    <w:rsid w:val="001E47D1"/>
    <w:rsid w:val="001E4DF1"/>
    <w:rsid w:val="001E6489"/>
    <w:rsid w:val="001E6A64"/>
    <w:rsid w:val="001E75C5"/>
    <w:rsid w:val="001F1B5F"/>
    <w:rsid w:val="001F27D2"/>
    <w:rsid w:val="001F28FB"/>
    <w:rsid w:val="001F2DFF"/>
    <w:rsid w:val="001F38D4"/>
    <w:rsid w:val="001F3F2A"/>
    <w:rsid w:val="001F4E66"/>
    <w:rsid w:val="001F626B"/>
    <w:rsid w:val="001F651C"/>
    <w:rsid w:val="001F69C2"/>
    <w:rsid w:val="001F7F09"/>
    <w:rsid w:val="002010D7"/>
    <w:rsid w:val="00201339"/>
    <w:rsid w:val="002013AD"/>
    <w:rsid w:val="002013B9"/>
    <w:rsid w:val="002029E3"/>
    <w:rsid w:val="00202A89"/>
    <w:rsid w:val="00202AC6"/>
    <w:rsid w:val="002043EF"/>
    <w:rsid w:val="002048D1"/>
    <w:rsid w:val="00205689"/>
    <w:rsid w:val="0020597A"/>
    <w:rsid w:val="00205A5F"/>
    <w:rsid w:val="00206764"/>
    <w:rsid w:val="00206FAD"/>
    <w:rsid w:val="002079CB"/>
    <w:rsid w:val="00207B4E"/>
    <w:rsid w:val="00207F6F"/>
    <w:rsid w:val="0021048B"/>
    <w:rsid w:val="0021096E"/>
    <w:rsid w:val="00210DE8"/>
    <w:rsid w:val="00210E2F"/>
    <w:rsid w:val="002111B5"/>
    <w:rsid w:val="00211D73"/>
    <w:rsid w:val="00212A3E"/>
    <w:rsid w:val="00214BF2"/>
    <w:rsid w:val="00214DF1"/>
    <w:rsid w:val="00215519"/>
    <w:rsid w:val="00215A7F"/>
    <w:rsid w:val="00216522"/>
    <w:rsid w:val="00217038"/>
    <w:rsid w:val="00217B98"/>
    <w:rsid w:val="00221853"/>
    <w:rsid w:val="00221B51"/>
    <w:rsid w:val="00221D19"/>
    <w:rsid w:val="002236DF"/>
    <w:rsid w:val="00224656"/>
    <w:rsid w:val="00224934"/>
    <w:rsid w:val="002264F6"/>
    <w:rsid w:val="0022666B"/>
    <w:rsid w:val="002266C5"/>
    <w:rsid w:val="00226CE0"/>
    <w:rsid w:val="00227266"/>
    <w:rsid w:val="0022734D"/>
    <w:rsid w:val="00227AD6"/>
    <w:rsid w:val="00227BA0"/>
    <w:rsid w:val="00230928"/>
    <w:rsid w:val="00230D82"/>
    <w:rsid w:val="00232578"/>
    <w:rsid w:val="00232EB3"/>
    <w:rsid w:val="00233281"/>
    <w:rsid w:val="002332C3"/>
    <w:rsid w:val="0023366A"/>
    <w:rsid w:val="00233B5B"/>
    <w:rsid w:val="00233BE7"/>
    <w:rsid w:val="0023447F"/>
    <w:rsid w:val="00234B18"/>
    <w:rsid w:val="002350B3"/>
    <w:rsid w:val="00235598"/>
    <w:rsid w:val="0023667C"/>
    <w:rsid w:val="00236839"/>
    <w:rsid w:val="0023760F"/>
    <w:rsid w:val="0023798E"/>
    <w:rsid w:val="002410A2"/>
    <w:rsid w:val="0024174C"/>
    <w:rsid w:val="00241AB2"/>
    <w:rsid w:val="00241FF8"/>
    <w:rsid w:val="00242EE4"/>
    <w:rsid w:val="0024401B"/>
    <w:rsid w:val="0024462E"/>
    <w:rsid w:val="002474FA"/>
    <w:rsid w:val="002476C3"/>
    <w:rsid w:val="00251580"/>
    <w:rsid w:val="002525F8"/>
    <w:rsid w:val="00253493"/>
    <w:rsid w:val="00253DE9"/>
    <w:rsid w:val="002557E9"/>
    <w:rsid w:val="00256161"/>
    <w:rsid w:val="00257AFB"/>
    <w:rsid w:val="00261308"/>
    <w:rsid w:val="0026175F"/>
    <w:rsid w:val="00262919"/>
    <w:rsid w:val="0026293D"/>
    <w:rsid w:val="002658C4"/>
    <w:rsid w:val="00265982"/>
    <w:rsid w:val="00265B7F"/>
    <w:rsid w:val="002673A5"/>
    <w:rsid w:val="002675D9"/>
    <w:rsid w:val="00267A3C"/>
    <w:rsid w:val="00267F79"/>
    <w:rsid w:val="00270154"/>
    <w:rsid w:val="0027133D"/>
    <w:rsid w:val="0027194B"/>
    <w:rsid w:val="00271F70"/>
    <w:rsid w:val="00272B8F"/>
    <w:rsid w:val="00272D38"/>
    <w:rsid w:val="00273C24"/>
    <w:rsid w:val="00273C42"/>
    <w:rsid w:val="0027408B"/>
    <w:rsid w:val="00274ACB"/>
    <w:rsid w:val="00274B31"/>
    <w:rsid w:val="00275325"/>
    <w:rsid w:val="002767D2"/>
    <w:rsid w:val="00276B56"/>
    <w:rsid w:val="00276E38"/>
    <w:rsid w:val="00277138"/>
    <w:rsid w:val="00277621"/>
    <w:rsid w:val="00277852"/>
    <w:rsid w:val="00277F32"/>
    <w:rsid w:val="00280EF0"/>
    <w:rsid w:val="00280F46"/>
    <w:rsid w:val="00281159"/>
    <w:rsid w:val="00281227"/>
    <w:rsid w:val="002812DA"/>
    <w:rsid w:val="002819FD"/>
    <w:rsid w:val="00281E95"/>
    <w:rsid w:val="00282DF8"/>
    <w:rsid w:val="00284334"/>
    <w:rsid w:val="0028445E"/>
    <w:rsid w:val="00284922"/>
    <w:rsid w:val="00285771"/>
    <w:rsid w:val="0028583A"/>
    <w:rsid w:val="00285B35"/>
    <w:rsid w:val="00287368"/>
    <w:rsid w:val="00287873"/>
    <w:rsid w:val="00287F8F"/>
    <w:rsid w:val="0029070C"/>
    <w:rsid w:val="0029132F"/>
    <w:rsid w:val="002916CC"/>
    <w:rsid w:val="0029278C"/>
    <w:rsid w:val="00292E65"/>
    <w:rsid w:val="0029528F"/>
    <w:rsid w:val="00296214"/>
    <w:rsid w:val="0029697C"/>
    <w:rsid w:val="00296A9E"/>
    <w:rsid w:val="00296E6B"/>
    <w:rsid w:val="002979F1"/>
    <w:rsid w:val="00297A43"/>
    <w:rsid w:val="00297BF9"/>
    <w:rsid w:val="00297D3C"/>
    <w:rsid w:val="002A13E1"/>
    <w:rsid w:val="002A2820"/>
    <w:rsid w:val="002A320A"/>
    <w:rsid w:val="002A3248"/>
    <w:rsid w:val="002A35D7"/>
    <w:rsid w:val="002A47E1"/>
    <w:rsid w:val="002A573E"/>
    <w:rsid w:val="002A602A"/>
    <w:rsid w:val="002A6B17"/>
    <w:rsid w:val="002B0846"/>
    <w:rsid w:val="002B1304"/>
    <w:rsid w:val="002B3779"/>
    <w:rsid w:val="002B4284"/>
    <w:rsid w:val="002C1176"/>
    <w:rsid w:val="002C1EDE"/>
    <w:rsid w:val="002C3706"/>
    <w:rsid w:val="002C4D7F"/>
    <w:rsid w:val="002C5981"/>
    <w:rsid w:val="002C627F"/>
    <w:rsid w:val="002C7307"/>
    <w:rsid w:val="002D0410"/>
    <w:rsid w:val="002D0899"/>
    <w:rsid w:val="002D0C4D"/>
    <w:rsid w:val="002D1707"/>
    <w:rsid w:val="002D17E2"/>
    <w:rsid w:val="002D2F5F"/>
    <w:rsid w:val="002D3F5B"/>
    <w:rsid w:val="002E00C0"/>
    <w:rsid w:val="002E0B83"/>
    <w:rsid w:val="002E0EC8"/>
    <w:rsid w:val="002E1BB1"/>
    <w:rsid w:val="002E1D81"/>
    <w:rsid w:val="002E1DCA"/>
    <w:rsid w:val="002E1EA9"/>
    <w:rsid w:val="002E278F"/>
    <w:rsid w:val="002E324E"/>
    <w:rsid w:val="002E3419"/>
    <w:rsid w:val="002E3B4D"/>
    <w:rsid w:val="002E40A1"/>
    <w:rsid w:val="002E43D8"/>
    <w:rsid w:val="002E53A3"/>
    <w:rsid w:val="002E5564"/>
    <w:rsid w:val="002E62FF"/>
    <w:rsid w:val="002E7197"/>
    <w:rsid w:val="002F0522"/>
    <w:rsid w:val="002F0734"/>
    <w:rsid w:val="002F14D7"/>
    <w:rsid w:val="002F1A1E"/>
    <w:rsid w:val="002F1D69"/>
    <w:rsid w:val="002F3946"/>
    <w:rsid w:val="002F3EBF"/>
    <w:rsid w:val="002F48C7"/>
    <w:rsid w:val="002F74B0"/>
    <w:rsid w:val="002F79F3"/>
    <w:rsid w:val="0030026A"/>
    <w:rsid w:val="00300433"/>
    <w:rsid w:val="00301975"/>
    <w:rsid w:val="00302861"/>
    <w:rsid w:val="00302C60"/>
    <w:rsid w:val="00303BF6"/>
    <w:rsid w:val="0030542C"/>
    <w:rsid w:val="00305914"/>
    <w:rsid w:val="00306A38"/>
    <w:rsid w:val="00306EDF"/>
    <w:rsid w:val="00307025"/>
    <w:rsid w:val="00310097"/>
    <w:rsid w:val="00310418"/>
    <w:rsid w:val="003127E9"/>
    <w:rsid w:val="00312A3C"/>
    <w:rsid w:val="00312FFC"/>
    <w:rsid w:val="00313407"/>
    <w:rsid w:val="003140AA"/>
    <w:rsid w:val="00314186"/>
    <w:rsid w:val="003147B8"/>
    <w:rsid w:val="003150BF"/>
    <w:rsid w:val="003150CE"/>
    <w:rsid w:val="003151C4"/>
    <w:rsid w:val="00315261"/>
    <w:rsid w:val="00315549"/>
    <w:rsid w:val="00315E92"/>
    <w:rsid w:val="00321598"/>
    <w:rsid w:val="00321D5C"/>
    <w:rsid w:val="003225BE"/>
    <w:rsid w:val="00322929"/>
    <w:rsid w:val="00323B9E"/>
    <w:rsid w:val="0032537F"/>
    <w:rsid w:val="0032585F"/>
    <w:rsid w:val="00327D21"/>
    <w:rsid w:val="00330804"/>
    <w:rsid w:val="00330FFB"/>
    <w:rsid w:val="00334A6B"/>
    <w:rsid w:val="00335E14"/>
    <w:rsid w:val="003366B2"/>
    <w:rsid w:val="0033770A"/>
    <w:rsid w:val="00340066"/>
    <w:rsid w:val="003402DD"/>
    <w:rsid w:val="00340B7D"/>
    <w:rsid w:val="00340F5A"/>
    <w:rsid w:val="003410B8"/>
    <w:rsid w:val="0034122D"/>
    <w:rsid w:val="00341258"/>
    <w:rsid w:val="00341941"/>
    <w:rsid w:val="00341A84"/>
    <w:rsid w:val="0034257E"/>
    <w:rsid w:val="00342689"/>
    <w:rsid w:val="0034288B"/>
    <w:rsid w:val="0034332B"/>
    <w:rsid w:val="00344360"/>
    <w:rsid w:val="003460C2"/>
    <w:rsid w:val="0034640B"/>
    <w:rsid w:val="0034681C"/>
    <w:rsid w:val="00346CCE"/>
    <w:rsid w:val="003501F5"/>
    <w:rsid w:val="0035039D"/>
    <w:rsid w:val="00350DCA"/>
    <w:rsid w:val="00350F5D"/>
    <w:rsid w:val="00353211"/>
    <w:rsid w:val="003542C5"/>
    <w:rsid w:val="00354701"/>
    <w:rsid w:val="00355217"/>
    <w:rsid w:val="0035629A"/>
    <w:rsid w:val="00356350"/>
    <w:rsid w:val="003600A8"/>
    <w:rsid w:val="003609A4"/>
    <w:rsid w:val="0036260D"/>
    <w:rsid w:val="0036284D"/>
    <w:rsid w:val="00363149"/>
    <w:rsid w:val="00363ABD"/>
    <w:rsid w:val="00363B7A"/>
    <w:rsid w:val="003641E6"/>
    <w:rsid w:val="003643B5"/>
    <w:rsid w:val="00366524"/>
    <w:rsid w:val="003730B0"/>
    <w:rsid w:val="00373E58"/>
    <w:rsid w:val="00375AF8"/>
    <w:rsid w:val="00376073"/>
    <w:rsid w:val="00376C5A"/>
    <w:rsid w:val="00377452"/>
    <w:rsid w:val="00377766"/>
    <w:rsid w:val="00377DE1"/>
    <w:rsid w:val="00381223"/>
    <w:rsid w:val="00381430"/>
    <w:rsid w:val="003817E2"/>
    <w:rsid w:val="00381849"/>
    <w:rsid w:val="00382089"/>
    <w:rsid w:val="003823A0"/>
    <w:rsid w:val="00382413"/>
    <w:rsid w:val="00382D1F"/>
    <w:rsid w:val="0038406C"/>
    <w:rsid w:val="0038416C"/>
    <w:rsid w:val="00384F36"/>
    <w:rsid w:val="00385271"/>
    <w:rsid w:val="00386462"/>
    <w:rsid w:val="003876F7"/>
    <w:rsid w:val="00387B3D"/>
    <w:rsid w:val="003911C0"/>
    <w:rsid w:val="003918AE"/>
    <w:rsid w:val="003919C8"/>
    <w:rsid w:val="0039226E"/>
    <w:rsid w:val="003927CB"/>
    <w:rsid w:val="00392CC8"/>
    <w:rsid w:val="00392F77"/>
    <w:rsid w:val="003935C3"/>
    <w:rsid w:val="003940CB"/>
    <w:rsid w:val="003942F8"/>
    <w:rsid w:val="00394D13"/>
    <w:rsid w:val="00395A7E"/>
    <w:rsid w:val="00396F31"/>
    <w:rsid w:val="00397708"/>
    <w:rsid w:val="003A014A"/>
    <w:rsid w:val="003A1EFB"/>
    <w:rsid w:val="003A2017"/>
    <w:rsid w:val="003A2188"/>
    <w:rsid w:val="003A2CC3"/>
    <w:rsid w:val="003A3079"/>
    <w:rsid w:val="003A416B"/>
    <w:rsid w:val="003A48CC"/>
    <w:rsid w:val="003A496E"/>
    <w:rsid w:val="003A5F8A"/>
    <w:rsid w:val="003A660D"/>
    <w:rsid w:val="003A72EF"/>
    <w:rsid w:val="003A795C"/>
    <w:rsid w:val="003A7E21"/>
    <w:rsid w:val="003B105A"/>
    <w:rsid w:val="003B154E"/>
    <w:rsid w:val="003B2A11"/>
    <w:rsid w:val="003B37C4"/>
    <w:rsid w:val="003B3832"/>
    <w:rsid w:val="003B3DD8"/>
    <w:rsid w:val="003B3E22"/>
    <w:rsid w:val="003B4EED"/>
    <w:rsid w:val="003B6A9C"/>
    <w:rsid w:val="003B6B2C"/>
    <w:rsid w:val="003C09CF"/>
    <w:rsid w:val="003C11FB"/>
    <w:rsid w:val="003C2647"/>
    <w:rsid w:val="003C266A"/>
    <w:rsid w:val="003C2D67"/>
    <w:rsid w:val="003C2ED9"/>
    <w:rsid w:val="003C3B3C"/>
    <w:rsid w:val="003C5169"/>
    <w:rsid w:val="003C51EB"/>
    <w:rsid w:val="003C5651"/>
    <w:rsid w:val="003C5CFE"/>
    <w:rsid w:val="003C602A"/>
    <w:rsid w:val="003C62CE"/>
    <w:rsid w:val="003C7C64"/>
    <w:rsid w:val="003D1759"/>
    <w:rsid w:val="003D1896"/>
    <w:rsid w:val="003D23C8"/>
    <w:rsid w:val="003D2C33"/>
    <w:rsid w:val="003D3A3B"/>
    <w:rsid w:val="003D3B14"/>
    <w:rsid w:val="003D3CFF"/>
    <w:rsid w:val="003D3F92"/>
    <w:rsid w:val="003D5816"/>
    <w:rsid w:val="003D62F7"/>
    <w:rsid w:val="003D63A6"/>
    <w:rsid w:val="003D6411"/>
    <w:rsid w:val="003D69EC"/>
    <w:rsid w:val="003D6E89"/>
    <w:rsid w:val="003E074B"/>
    <w:rsid w:val="003E0A61"/>
    <w:rsid w:val="003E0BD1"/>
    <w:rsid w:val="003E0D26"/>
    <w:rsid w:val="003E1035"/>
    <w:rsid w:val="003E123E"/>
    <w:rsid w:val="003E15F5"/>
    <w:rsid w:val="003E17F2"/>
    <w:rsid w:val="003E19F7"/>
    <w:rsid w:val="003E1C11"/>
    <w:rsid w:val="003E1EB2"/>
    <w:rsid w:val="003E2BA5"/>
    <w:rsid w:val="003E492C"/>
    <w:rsid w:val="003E5C2F"/>
    <w:rsid w:val="003E5F65"/>
    <w:rsid w:val="003E6008"/>
    <w:rsid w:val="003E710D"/>
    <w:rsid w:val="003E79A9"/>
    <w:rsid w:val="003E7A9C"/>
    <w:rsid w:val="003F0987"/>
    <w:rsid w:val="003F0DD3"/>
    <w:rsid w:val="003F117E"/>
    <w:rsid w:val="003F1889"/>
    <w:rsid w:val="003F2378"/>
    <w:rsid w:val="003F2CC8"/>
    <w:rsid w:val="003F328F"/>
    <w:rsid w:val="003F3989"/>
    <w:rsid w:val="003F3A28"/>
    <w:rsid w:val="003F3A85"/>
    <w:rsid w:val="003F531A"/>
    <w:rsid w:val="003F5651"/>
    <w:rsid w:val="003F5B82"/>
    <w:rsid w:val="003F7C9E"/>
    <w:rsid w:val="00400738"/>
    <w:rsid w:val="00401770"/>
    <w:rsid w:val="004025E8"/>
    <w:rsid w:val="00402768"/>
    <w:rsid w:val="004041B1"/>
    <w:rsid w:val="00404C36"/>
    <w:rsid w:val="00406F38"/>
    <w:rsid w:val="00407129"/>
    <w:rsid w:val="00407222"/>
    <w:rsid w:val="004103CA"/>
    <w:rsid w:val="004107CA"/>
    <w:rsid w:val="004111BC"/>
    <w:rsid w:val="004112D2"/>
    <w:rsid w:val="004114CB"/>
    <w:rsid w:val="00411D11"/>
    <w:rsid w:val="00411D31"/>
    <w:rsid w:val="004124B6"/>
    <w:rsid w:val="004124C5"/>
    <w:rsid w:val="004125F4"/>
    <w:rsid w:val="004126D4"/>
    <w:rsid w:val="00412AB3"/>
    <w:rsid w:val="00412CAC"/>
    <w:rsid w:val="004136CF"/>
    <w:rsid w:val="00413A26"/>
    <w:rsid w:val="00414703"/>
    <w:rsid w:val="00415D2B"/>
    <w:rsid w:val="00416308"/>
    <w:rsid w:val="004166E5"/>
    <w:rsid w:val="00416C0A"/>
    <w:rsid w:val="00421941"/>
    <w:rsid w:val="00424DE2"/>
    <w:rsid w:val="004250A1"/>
    <w:rsid w:val="00426213"/>
    <w:rsid w:val="00427612"/>
    <w:rsid w:val="00427C60"/>
    <w:rsid w:val="0043189E"/>
    <w:rsid w:val="00432528"/>
    <w:rsid w:val="0043269B"/>
    <w:rsid w:val="00432836"/>
    <w:rsid w:val="0043295D"/>
    <w:rsid w:val="00433BDE"/>
    <w:rsid w:val="00435CFF"/>
    <w:rsid w:val="00437326"/>
    <w:rsid w:val="004373D1"/>
    <w:rsid w:val="0043778D"/>
    <w:rsid w:val="004434F7"/>
    <w:rsid w:val="004454C2"/>
    <w:rsid w:val="0044694F"/>
    <w:rsid w:val="00447347"/>
    <w:rsid w:val="004473A3"/>
    <w:rsid w:val="00447BE2"/>
    <w:rsid w:val="00447EA1"/>
    <w:rsid w:val="00447EFE"/>
    <w:rsid w:val="00447F33"/>
    <w:rsid w:val="00450A27"/>
    <w:rsid w:val="00450BEF"/>
    <w:rsid w:val="004512CC"/>
    <w:rsid w:val="00451EC2"/>
    <w:rsid w:val="004520B6"/>
    <w:rsid w:val="00453BC5"/>
    <w:rsid w:val="00454EAB"/>
    <w:rsid w:val="004550D2"/>
    <w:rsid w:val="00455C8C"/>
    <w:rsid w:val="004562F1"/>
    <w:rsid w:val="004567B6"/>
    <w:rsid w:val="0046019B"/>
    <w:rsid w:val="00461B3C"/>
    <w:rsid w:val="00463357"/>
    <w:rsid w:val="00463A04"/>
    <w:rsid w:val="00463BF2"/>
    <w:rsid w:val="00465052"/>
    <w:rsid w:val="00465255"/>
    <w:rsid w:val="00466577"/>
    <w:rsid w:val="004669DB"/>
    <w:rsid w:val="004676A8"/>
    <w:rsid w:val="00470CD9"/>
    <w:rsid w:val="00471648"/>
    <w:rsid w:val="00472023"/>
    <w:rsid w:val="00472559"/>
    <w:rsid w:val="00472C3D"/>
    <w:rsid w:val="00472FCB"/>
    <w:rsid w:val="00473718"/>
    <w:rsid w:val="00473869"/>
    <w:rsid w:val="0047410E"/>
    <w:rsid w:val="00474CA7"/>
    <w:rsid w:val="004759C9"/>
    <w:rsid w:val="004761A5"/>
    <w:rsid w:val="00476EA8"/>
    <w:rsid w:val="00477777"/>
    <w:rsid w:val="004779AE"/>
    <w:rsid w:val="0048054A"/>
    <w:rsid w:val="004816FD"/>
    <w:rsid w:val="004818E8"/>
    <w:rsid w:val="00481E53"/>
    <w:rsid w:val="00482EE6"/>
    <w:rsid w:val="00482F34"/>
    <w:rsid w:val="00482F67"/>
    <w:rsid w:val="00483006"/>
    <w:rsid w:val="00483B07"/>
    <w:rsid w:val="00483FC5"/>
    <w:rsid w:val="00484915"/>
    <w:rsid w:val="004849C8"/>
    <w:rsid w:val="00485961"/>
    <w:rsid w:val="00485ECD"/>
    <w:rsid w:val="00487387"/>
    <w:rsid w:val="00487E54"/>
    <w:rsid w:val="00490E50"/>
    <w:rsid w:val="004919FD"/>
    <w:rsid w:val="00491CDE"/>
    <w:rsid w:val="004920CC"/>
    <w:rsid w:val="00492573"/>
    <w:rsid w:val="00495496"/>
    <w:rsid w:val="00496386"/>
    <w:rsid w:val="00496DEA"/>
    <w:rsid w:val="00497897"/>
    <w:rsid w:val="004A06FC"/>
    <w:rsid w:val="004A0C5A"/>
    <w:rsid w:val="004A1305"/>
    <w:rsid w:val="004A132C"/>
    <w:rsid w:val="004A42A2"/>
    <w:rsid w:val="004A491F"/>
    <w:rsid w:val="004A5693"/>
    <w:rsid w:val="004A5BDB"/>
    <w:rsid w:val="004A6537"/>
    <w:rsid w:val="004A6B9F"/>
    <w:rsid w:val="004A72A9"/>
    <w:rsid w:val="004B0642"/>
    <w:rsid w:val="004B1A2B"/>
    <w:rsid w:val="004B26D9"/>
    <w:rsid w:val="004B2C5E"/>
    <w:rsid w:val="004B3B1F"/>
    <w:rsid w:val="004B41C2"/>
    <w:rsid w:val="004B4EA7"/>
    <w:rsid w:val="004B5411"/>
    <w:rsid w:val="004B64C4"/>
    <w:rsid w:val="004B75E9"/>
    <w:rsid w:val="004B76B7"/>
    <w:rsid w:val="004B774B"/>
    <w:rsid w:val="004C2161"/>
    <w:rsid w:val="004C4629"/>
    <w:rsid w:val="004C4B4D"/>
    <w:rsid w:val="004C4B71"/>
    <w:rsid w:val="004C76B7"/>
    <w:rsid w:val="004D087E"/>
    <w:rsid w:val="004D0F71"/>
    <w:rsid w:val="004D19DB"/>
    <w:rsid w:val="004D1C35"/>
    <w:rsid w:val="004D1E88"/>
    <w:rsid w:val="004D3CD7"/>
    <w:rsid w:val="004D3FDA"/>
    <w:rsid w:val="004D410A"/>
    <w:rsid w:val="004D58DE"/>
    <w:rsid w:val="004D6124"/>
    <w:rsid w:val="004D63E2"/>
    <w:rsid w:val="004D6F6A"/>
    <w:rsid w:val="004D733B"/>
    <w:rsid w:val="004E19D9"/>
    <w:rsid w:val="004E33FE"/>
    <w:rsid w:val="004E38B6"/>
    <w:rsid w:val="004E3F30"/>
    <w:rsid w:val="004E46F8"/>
    <w:rsid w:val="004E50C8"/>
    <w:rsid w:val="004E653E"/>
    <w:rsid w:val="004E65E8"/>
    <w:rsid w:val="004E65F5"/>
    <w:rsid w:val="004E78A3"/>
    <w:rsid w:val="004F0CA9"/>
    <w:rsid w:val="004F170F"/>
    <w:rsid w:val="004F1C73"/>
    <w:rsid w:val="004F2D77"/>
    <w:rsid w:val="004F3C00"/>
    <w:rsid w:val="004F3E28"/>
    <w:rsid w:val="004F433D"/>
    <w:rsid w:val="004F5494"/>
    <w:rsid w:val="004F621F"/>
    <w:rsid w:val="004F69B7"/>
    <w:rsid w:val="004F707C"/>
    <w:rsid w:val="005005F5"/>
    <w:rsid w:val="00500B38"/>
    <w:rsid w:val="00500C63"/>
    <w:rsid w:val="005021F1"/>
    <w:rsid w:val="00502EAE"/>
    <w:rsid w:val="00503A1B"/>
    <w:rsid w:val="0050500F"/>
    <w:rsid w:val="00505279"/>
    <w:rsid w:val="005058C8"/>
    <w:rsid w:val="005063E1"/>
    <w:rsid w:val="00507CC5"/>
    <w:rsid w:val="00507DC4"/>
    <w:rsid w:val="005101D7"/>
    <w:rsid w:val="00510B33"/>
    <w:rsid w:val="0051175F"/>
    <w:rsid w:val="00511A54"/>
    <w:rsid w:val="00511CBF"/>
    <w:rsid w:val="0051239B"/>
    <w:rsid w:val="00512D83"/>
    <w:rsid w:val="00515905"/>
    <w:rsid w:val="005165C6"/>
    <w:rsid w:val="00516A47"/>
    <w:rsid w:val="00516BBB"/>
    <w:rsid w:val="00516EF2"/>
    <w:rsid w:val="0052036D"/>
    <w:rsid w:val="00520F33"/>
    <w:rsid w:val="00521B4A"/>
    <w:rsid w:val="00522641"/>
    <w:rsid w:val="00523E83"/>
    <w:rsid w:val="00523E8B"/>
    <w:rsid w:val="005248BB"/>
    <w:rsid w:val="00524FEB"/>
    <w:rsid w:val="00526564"/>
    <w:rsid w:val="00526B9C"/>
    <w:rsid w:val="00527C36"/>
    <w:rsid w:val="005308A5"/>
    <w:rsid w:val="00530B1E"/>
    <w:rsid w:val="00530B24"/>
    <w:rsid w:val="005312D0"/>
    <w:rsid w:val="005314E9"/>
    <w:rsid w:val="00531723"/>
    <w:rsid w:val="005319EA"/>
    <w:rsid w:val="0053275E"/>
    <w:rsid w:val="00532EDA"/>
    <w:rsid w:val="00533094"/>
    <w:rsid w:val="0053310B"/>
    <w:rsid w:val="0053324F"/>
    <w:rsid w:val="005348BF"/>
    <w:rsid w:val="00540F48"/>
    <w:rsid w:val="00541627"/>
    <w:rsid w:val="00541E10"/>
    <w:rsid w:val="00541EF9"/>
    <w:rsid w:val="00542722"/>
    <w:rsid w:val="005430A6"/>
    <w:rsid w:val="005431CF"/>
    <w:rsid w:val="00543D0A"/>
    <w:rsid w:val="00544EFB"/>
    <w:rsid w:val="00545273"/>
    <w:rsid w:val="005454F3"/>
    <w:rsid w:val="005455E5"/>
    <w:rsid w:val="00545980"/>
    <w:rsid w:val="00545FAE"/>
    <w:rsid w:val="0054681B"/>
    <w:rsid w:val="00546DCD"/>
    <w:rsid w:val="0054779A"/>
    <w:rsid w:val="00547BA1"/>
    <w:rsid w:val="00552256"/>
    <w:rsid w:val="00552E8C"/>
    <w:rsid w:val="00554FCC"/>
    <w:rsid w:val="00555180"/>
    <w:rsid w:val="00555A0B"/>
    <w:rsid w:val="00555A29"/>
    <w:rsid w:val="00556101"/>
    <w:rsid w:val="00557CB1"/>
    <w:rsid w:val="0056072C"/>
    <w:rsid w:val="0056091E"/>
    <w:rsid w:val="00561371"/>
    <w:rsid w:val="0056172D"/>
    <w:rsid w:val="00562EAE"/>
    <w:rsid w:val="00563224"/>
    <w:rsid w:val="005635F3"/>
    <w:rsid w:val="0056411C"/>
    <w:rsid w:val="00564A77"/>
    <w:rsid w:val="005652D7"/>
    <w:rsid w:val="00565B4C"/>
    <w:rsid w:val="005663FF"/>
    <w:rsid w:val="0056698E"/>
    <w:rsid w:val="00566A1B"/>
    <w:rsid w:val="00566C8A"/>
    <w:rsid w:val="005677E5"/>
    <w:rsid w:val="00570618"/>
    <w:rsid w:val="00570D24"/>
    <w:rsid w:val="00571240"/>
    <w:rsid w:val="00572E37"/>
    <w:rsid w:val="0057412C"/>
    <w:rsid w:val="00574458"/>
    <w:rsid w:val="005746BF"/>
    <w:rsid w:val="00574C1A"/>
    <w:rsid w:val="00577E4E"/>
    <w:rsid w:val="005809FC"/>
    <w:rsid w:val="00580EEB"/>
    <w:rsid w:val="00580FCF"/>
    <w:rsid w:val="0058131C"/>
    <w:rsid w:val="00581424"/>
    <w:rsid w:val="00581823"/>
    <w:rsid w:val="00583673"/>
    <w:rsid w:val="00583D08"/>
    <w:rsid w:val="00585569"/>
    <w:rsid w:val="005868E2"/>
    <w:rsid w:val="00587BE7"/>
    <w:rsid w:val="00587CBC"/>
    <w:rsid w:val="00595362"/>
    <w:rsid w:val="00595DF1"/>
    <w:rsid w:val="00596524"/>
    <w:rsid w:val="005978A9"/>
    <w:rsid w:val="00597A38"/>
    <w:rsid w:val="00597D35"/>
    <w:rsid w:val="005A0AB2"/>
    <w:rsid w:val="005A0FFA"/>
    <w:rsid w:val="005A1229"/>
    <w:rsid w:val="005A18CE"/>
    <w:rsid w:val="005A39C1"/>
    <w:rsid w:val="005A3B54"/>
    <w:rsid w:val="005A4A01"/>
    <w:rsid w:val="005A4A36"/>
    <w:rsid w:val="005A6D6D"/>
    <w:rsid w:val="005A6D9A"/>
    <w:rsid w:val="005A7264"/>
    <w:rsid w:val="005A7302"/>
    <w:rsid w:val="005B1316"/>
    <w:rsid w:val="005B1601"/>
    <w:rsid w:val="005B1D2B"/>
    <w:rsid w:val="005B4CFC"/>
    <w:rsid w:val="005B5654"/>
    <w:rsid w:val="005B58B0"/>
    <w:rsid w:val="005B5ADE"/>
    <w:rsid w:val="005B6E0D"/>
    <w:rsid w:val="005B7092"/>
    <w:rsid w:val="005B714E"/>
    <w:rsid w:val="005C0298"/>
    <w:rsid w:val="005C0769"/>
    <w:rsid w:val="005C1163"/>
    <w:rsid w:val="005C360A"/>
    <w:rsid w:val="005C5C94"/>
    <w:rsid w:val="005C6F42"/>
    <w:rsid w:val="005C7D3C"/>
    <w:rsid w:val="005C7EE9"/>
    <w:rsid w:val="005D0CFC"/>
    <w:rsid w:val="005D221C"/>
    <w:rsid w:val="005D2A43"/>
    <w:rsid w:val="005D313A"/>
    <w:rsid w:val="005D3377"/>
    <w:rsid w:val="005D3789"/>
    <w:rsid w:val="005D51DF"/>
    <w:rsid w:val="005D58A2"/>
    <w:rsid w:val="005D5E36"/>
    <w:rsid w:val="005D6EA0"/>
    <w:rsid w:val="005D73B3"/>
    <w:rsid w:val="005E01F6"/>
    <w:rsid w:val="005E0BC1"/>
    <w:rsid w:val="005E1770"/>
    <w:rsid w:val="005E2583"/>
    <w:rsid w:val="005E3188"/>
    <w:rsid w:val="005E32CB"/>
    <w:rsid w:val="005E3598"/>
    <w:rsid w:val="005E36AB"/>
    <w:rsid w:val="005E75E4"/>
    <w:rsid w:val="005E76E2"/>
    <w:rsid w:val="005E7B36"/>
    <w:rsid w:val="005F02E6"/>
    <w:rsid w:val="005F10F1"/>
    <w:rsid w:val="005F1911"/>
    <w:rsid w:val="005F2CBA"/>
    <w:rsid w:val="005F3216"/>
    <w:rsid w:val="005F3476"/>
    <w:rsid w:val="005F390E"/>
    <w:rsid w:val="005F3DBA"/>
    <w:rsid w:val="005F414C"/>
    <w:rsid w:val="005F4365"/>
    <w:rsid w:val="005F47B9"/>
    <w:rsid w:val="005F4DFE"/>
    <w:rsid w:val="005F4EF9"/>
    <w:rsid w:val="005F6769"/>
    <w:rsid w:val="00600324"/>
    <w:rsid w:val="006015AE"/>
    <w:rsid w:val="006015EA"/>
    <w:rsid w:val="006017B1"/>
    <w:rsid w:val="00604C48"/>
    <w:rsid w:val="006054C4"/>
    <w:rsid w:val="006065C0"/>
    <w:rsid w:val="0060685F"/>
    <w:rsid w:val="00606DD8"/>
    <w:rsid w:val="00606ED6"/>
    <w:rsid w:val="00607066"/>
    <w:rsid w:val="00607197"/>
    <w:rsid w:val="00607920"/>
    <w:rsid w:val="00607A16"/>
    <w:rsid w:val="00607D50"/>
    <w:rsid w:val="006109F8"/>
    <w:rsid w:val="00610E6F"/>
    <w:rsid w:val="00611C84"/>
    <w:rsid w:val="00611EF2"/>
    <w:rsid w:val="0061310E"/>
    <w:rsid w:val="0061390A"/>
    <w:rsid w:val="006147EA"/>
    <w:rsid w:val="0061505C"/>
    <w:rsid w:val="00615941"/>
    <w:rsid w:val="0061734C"/>
    <w:rsid w:val="006201BB"/>
    <w:rsid w:val="006217A9"/>
    <w:rsid w:val="00622CB3"/>
    <w:rsid w:val="00623075"/>
    <w:rsid w:val="00623910"/>
    <w:rsid w:val="00623D7B"/>
    <w:rsid w:val="00624A27"/>
    <w:rsid w:val="00624D74"/>
    <w:rsid w:val="00624F4D"/>
    <w:rsid w:val="0062716D"/>
    <w:rsid w:val="00627240"/>
    <w:rsid w:val="006279DF"/>
    <w:rsid w:val="00627AF2"/>
    <w:rsid w:val="00632684"/>
    <w:rsid w:val="00632F94"/>
    <w:rsid w:val="006332B6"/>
    <w:rsid w:val="0063632F"/>
    <w:rsid w:val="006368BA"/>
    <w:rsid w:val="0063751A"/>
    <w:rsid w:val="00637AF9"/>
    <w:rsid w:val="006404DC"/>
    <w:rsid w:val="00640E38"/>
    <w:rsid w:val="006419FA"/>
    <w:rsid w:val="00642996"/>
    <w:rsid w:val="0064397E"/>
    <w:rsid w:val="00643C40"/>
    <w:rsid w:val="00645806"/>
    <w:rsid w:val="006475BD"/>
    <w:rsid w:val="00647C25"/>
    <w:rsid w:val="00650C56"/>
    <w:rsid w:val="006511AC"/>
    <w:rsid w:val="00652858"/>
    <w:rsid w:val="00652CCA"/>
    <w:rsid w:val="00652D78"/>
    <w:rsid w:val="0065507F"/>
    <w:rsid w:val="006558DC"/>
    <w:rsid w:val="00656B27"/>
    <w:rsid w:val="00657582"/>
    <w:rsid w:val="00657F8B"/>
    <w:rsid w:val="006601EA"/>
    <w:rsid w:val="00660401"/>
    <w:rsid w:val="0066084D"/>
    <w:rsid w:val="006618FC"/>
    <w:rsid w:val="00662FB9"/>
    <w:rsid w:val="0066307A"/>
    <w:rsid w:val="00663D00"/>
    <w:rsid w:val="00663E86"/>
    <w:rsid w:val="00665446"/>
    <w:rsid w:val="00666D62"/>
    <w:rsid w:val="00666EFD"/>
    <w:rsid w:val="00667C81"/>
    <w:rsid w:val="00671369"/>
    <w:rsid w:val="00671B7E"/>
    <w:rsid w:val="00673C53"/>
    <w:rsid w:val="00674539"/>
    <w:rsid w:val="00675F21"/>
    <w:rsid w:val="006764A1"/>
    <w:rsid w:val="006767BC"/>
    <w:rsid w:val="006777F0"/>
    <w:rsid w:val="00681D75"/>
    <w:rsid w:val="0068242E"/>
    <w:rsid w:val="006829C3"/>
    <w:rsid w:val="00683510"/>
    <w:rsid w:val="006842B2"/>
    <w:rsid w:val="0068480F"/>
    <w:rsid w:val="00684BAF"/>
    <w:rsid w:val="00686405"/>
    <w:rsid w:val="00687978"/>
    <w:rsid w:val="00687DCD"/>
    <w:rsid w:val="0069189D"/>
    <w:rsid w:val="00691A31"/>
    <w:rsid w:val="00691EE5"/>
    <w:rsid w:val="00692FE4"/>
    <w:rsid w:val="00693C17"/>
    <w:rsid w:val="00695037"/>
    <w:rsid w:val="006952FE"/>
    <w:rsid w:val="006956D3"/>
    <w:rsid w:val="006966DF"/>
    <w:rsid w:val="00696EBB"/>
    <w:rsid w:val="00697C4F"/>
    <w:rsid w:val="006A140D"/>
    <w:rsid w:val="006A1A41"/>
    <w:rsid w:val="006A1B92"/>
    <w:rsid w:val="006A1C86"/>
    <w:rsid w:val="006A1F10"/>
    <w:rsid w:val="006A2002"/>
    <w:rsid w:val="006A2D8B"/>
    <w:rsid w:val="006A3D21"/>
    <w:rsid w:val="006A4D4E"/>
    <w:rsid w:val="006A50F5"/>
    <w:rsid w:val="006A6826"/>
    <w:rsid w:val="006A6F32"/>
    <w:rsid w:val="006B1821"/>
    <w:rsid w:val="006B1F94"/>
    <w:rsid w:val="006B2B8F"/>
    <w:rsid w:val="006B31F0"/>
    <w:rsid w:val="006B452A"/>
    <w:rsid w:val="006B460A"/>
    <w:rsid w:val="006B630A"/>
    <w:rsid w:val="006B7C24"/>
    <w:rsid w:val="006B7E63"/>
    <w:rsid w:val="006C0117"/>
    <w:rsid w:val="006C1577"/>
    <w:rsid w:val="006C1A37"/>
    <w:rsid w:val="006C2403"/>
    <w:rsid w:val="006C2E9C"/>
    <w:rsid w:val="006C44EA"/>
    <w:rsid w:val="006C45E1"/>
    <w:rsid w:val="006C4F92"/>
    <w:rsid w:val="006C5ACD"/>
    <w:rsid w:val="006C61EE"/>
    <w:rsid w:val="006C6300"/>
    <w:rsid w:val="006C762F"/>
    <w:rsid w:val="006D1544"/>
    <w:rsid w:val="006D1B79"/>
    <w:rsid w:val="006D227F"/>
    <w:rsid w:val="006D36B7"/>
    <w:rsid w:val="006D3A49"/>
    <w:rsid w:val="006D6630"/>
    <w:rsid w:val="006D66BF"/>
    <w:rsid w:val="006D686D"/>
    <w:rsid w:val="006D71E3"/>
    <w:rsid w:val="006D7DA7"/>
    <w:rsid w:val="006E0962"/>
    <w:rsid w:val="006E13B7"/>
    <w:rsid w:val="006E16F1"/>
    <w:rsid w:val="006E1D14"/>
    <w:rsid w:val="006E1EA0"/>
    <w:rsid w:val="006E2640"/>
    <w:rsid w:val="006E359B"/>
    <w:rsid w:val="006E3C0A"/>
    <w:rsid w:val="006E406A"/>
    <w:rsid w:val="006E4812"/>
    <w:rsid w:val="006E4B08"/>
    <w:rsid w:val="006E4F61"/>
    <w:rsid w:val="006E569D"/>
    <w:rsid w:val="006E56A4"/>
    <w:rsid w:val="006E5871"/>
    <w:rsid w:val="006E5BBC"/>
    <w:rsid w:val="006E5BF4"/>
    <w:rsid w:val="006E6B36"/>
    <w:rsid w:val="006E75BF"/>
    <w:rsid w:val="006F01B6"/>
    <w:rsid w:val="006F09B5"/>
    <w:rsid w:val="006F0F1F"/>
    <w:rsid w:val="006F1349"/>
    <w:rsid w:val="006F201F"/>
    <w:rsid w:val="006F29FD"/>
    <w:rsid w:val="006F2C03"/>
    <w:rsid w:val="006F339F"/>
    <w:rsid w:val="006F3FFC"/>
    <w:rsid w:val="006F48B3"/>
    <w:rsid w:val="006F48B8"/>
    <w:rsid w:val="006F4ACE"/>
    <w:rsid w:val="006F553C"/>
    <w:rsid w:val="006F5924"/>
    <w:rsid w:val="006F6258"/>
    <w:rsid w:val="006F65E1"/>
    <w:rsid w:val="006F6826"/>
    <w:rsid w:val="006F70FF"/>
    <w:rsid w:val="006F7F8E"/>
    <w:rsid w:val="00700146"/>
    <w:rsid w:val="00700B03"/>
    <w:rsid w:val="00700F0F"/>
    <w:rsid w:val="00701552"/>
    <w:rsid w:val="00701DBB"/>
    <w:rsid w:val="0070294D"/>
    <w:rsid w:val="00703850"/>
    <w:rsid w:val="00703FC7"/>
    <w:rsid w:val="007046C0"/>
    <w:rsid w:val="00704FDE"/>
    <w:rsid w:val="00705448"/>
    <w:rsid w:val="007075A7"/>
    <w:rsid w:val="007114A8"/>
    <w:rsid w:val="0071169F"/>
    <w:rsid w:val="007122EC"/>
    <w:rsid w:val="00712C84"/>
    <w:rsid w:val="00714504"/>
    <w:rsid w:val="00714713"/>
    <w:rsid w:val="0071578F"/>
    <w:rsid w:val="0071676B"/>
    <w:rsid w:val="0071742A"/>
    <w:rsid w:val="00720A5D"/>
    <w:rsid w:val="00720B1A"/>
    <w:rsid w:val="00723A7A"/>
    <w:rsid w:val="00723D1B"/>
    <w:rsid w:val="00726EA5"/>
    <w:rsid w:val="00727B5E"/>
    <w:rsid w:val="00730E8F"/>
    <w:rsid w:val="0073110C"/>
    <w:rsid w:val="00731D48"/>
    <w:rsid w:val="0073297B"/>
    <w:rsid w:val="00732B8C"/>
    <w:rsid w:val="0073342F"/>
    <w:rsid w:val="00733D9F"/>
    <w:rsid w:val="00734484"/>
    <w:rsid w:val="00734781"/>
    <w:rsid w:val="007350ED"/>
    <w:rsid w:val="00735225"/>
    <w:rsid w:val="00735258"/>
    <w:rsid w:val="00737804"/>
    <w:rsid w:val="00740112"/>
    <w:rsid w:val="00742076"/>
    <w:rsid w:val="00742A07"/>
    <w:rsid w:val="007437CD"/>
    <w:rsid w:val="00745136"/>
    <w:rsid w:val="00745A15"/>
    <w:rsid w:val="00745DD2"/>
    <w:rsid w:val="00745F95"/>
    <w:rsid w:val="00747550"/>
    <w:rsid w:val="00747943"/>
    <w:rsid w:val="00747EB1"/>
    <w:rsid w:val="00751354"/>
    <w:rsid w:val="0075322B"/>
    <w:rsid w:val="00754D5E"/>
    <w:rsid w:val="00756909"/>
    <w:rsid w:val="0075690B"/>
    <w:rsid w:val="00757305"/>
    <w:rsid w:val="00757E2F"/>
    <w:rsid w:val="007608E7"/>
    <w:rsid w:val="00760D10"/>
    <w:rsid w:val="00760DBA"/>
    <w:rsid w:val="00760DFE"/>
    <w:rsid w:val="0076188C"/>
    <w:rsid w:val="00762108"/>
    <w:rsid w:val="0076249D"/>
    <w:rsid w:val="00764FDF"/>
    <w:rsid w:val="007653F4"/>
    <w:rsid w:val="007676B2"/>
    <w:rsid w:val="00767F46"/>
    <w:rsid w:val="00770E38"/>
    <w:rsid w:val="00771644"/>
    <w:rsid w:val="0077251B"/>
    <w:rsid w:val="00774D0B"/>
    <w:rsid w:val="007751DE"/>
    <w:rsid w:val="007751F6"/>
    <w:rsid w:val="00775F3E"/>
    <w:rsid w:val="00776AF1"/>
    <w:rsid w:val="00776F0F"/>
    <w:rsid w:val="00777657"/>
    <w:rsid w:val="00780D61"/>
    <w:rsid w:val="00781103"/>
    <w:rsid w:val="0078133D"/>
    <w:rsid w:val="00781E34"/>
    <w:rsid w:val="00785785"/>
    <w:rsid w:val="00787632"/>
    <w:rsid w:val="00787D4A"/>
    <w:rsid w:val="00790075"/>
    <w:rsid w:val="007900C4"/>
    <w:rsid w:val="00790CA7"/>
    <w:rsid w:val="00790FFD"/>
    <w:rsid w:val="00791D56"/>
    <w:rsid w:val="00791DED"/>
    <w:rsid w:val="00792AA8"/>
    <w:rsid w:val="00793091"/>
    <w:rsid w:val="00793A15"/>
    <w:rsid w:val="00793AAE"/>
    <w:rsid w:val="00794972"/>
    <w:rsid w:val="00796EE7"/>
    <w:rsid w:val="00797022"/>
    <w:rsid w:val="007970D0"/>
    <w:rsid w:val="00797FF2"/>
    <w:rsid w:val="007A054E"/>
    <w:rsid w:val="007A1126"/>
    <w:rsid w:val="007A39D0"/>
    <w:rsid w:val="007A3ABE"/>
    <w:rsid w:val="007A43D4"/>
    <w:rsid w:val="007A4CB0"/>
    <w:rsid w:val="007A5B52"/>
    <w:rsid w:val="007A60F8"/>
    <w:rsid w:val="007A619D"/>
    <w:rsid w:val="007A62C3"/>
    <w:rsid w:val="007A6CCC"/>
    <w:rsid w:val="007A707E"/>
    <w:rsid w:val="007A74D4"/>
    <w:rsid w:val="007A7EBF"/>
    <w:rsid w:val="007B138F"/>
    <w:rsid w:val="007B341B"/>
    <w:rsid w:val="007B4102"/>
    <w:rsid w:val="007B477B"/>
    <w:rsid w:val="007B54AE"/>
    <w:rsid w:val="007B5C27"/>
    <w:rsid w:val="007B60F4"/>
    <w:rsid w:val="007B639A"/>
    <w:rsid w:val="007B651A"/>
    <w:rsid w:val="007B6648"/>
    <w:rsid w:val="007B6669"/>
    <w:rsid w:val="007B6C63"/>
    <w:rsid w:val="007B6CFB"/>
    <w:rsid w:val="007B7CD5"/>
    <w:rsid w:val="007C037E"/>
    <w:rsid w:val="007C1D47"/>
    <w:rsid w:val="007C1D9B"/>
    <w:rsid w:val="007C311B"/>
    <w:rsid w:val="007C462E"/>
    <w:rsid w:val="007C506B"/>
    <w:rsid w:val="007C5D41"/>
    <w:rsid w:val="007C75F9"/>
    <w:rsid w:val="007D0986"/>
    <w:rsid w:val="007D0B1A"/>
    <w:rsid w:val="007D1F74"/>
    <w:rsid w:val="007D38FC"/>
    <w:rsid w:val="007D4C84"/>
    <w:rsid w:val="007D59A7"/>
    <w:rsid w:val="007D698B"/>
    <w:rsid w:val="007D6C18"/>
    <w:rsid w:val="007D7996"/>
    <w:rsid w:val="007D7BB6"/>
    <w:rsid w:val="007E08A4"/>
    <w:rsid w:val="007E12C7"/>
    <w:rsid w:val="007E1BC0"/>
    <w:rsid w:val="007E2D92"/>
    <w:rsid w:val="007E2E32"/>
    <w:rsid w:val="007E4942"/>
    <w:rsid w:val="007E5D0C"/>
    <w:rsid w:val="007E5D35"/>
    <w:rsid w:val="007E6FF4"/>
    <w:rsid w:val="007E755A"/>
    <w:rsid w:val="007E76B0"/>
    <w:rsid w:val="007E7D99"/>
    <w:rsid w:val="007F24B4"/>
    <w:rsid w:val="007F4895"/>
    <w:rsid w:val="007F52A6"/>
    <w:rsid w:val="007F5789"/>
    <w:rsid w:val="007F6826"/>
    <w:rsid w:val="007F68DA"/>
    <w:rsid w:val="007F6A68"/>
    <w:rsid w:val="007F7635"/>
    <w:rsid w:val="007F763E"/>
    <w:rsid w:val="0080009B"/>
    <w:rsid w:val="008004E7"/>
    <w:rsid w:val="0080111D"/>
    <w:rsid w:val="00802284"/>
    <w:rsid w:val="0080276C"/>
    <w:rsid w:val="00802F7E"/>
    <w:rsid w:val="00804E16"/>
    <w:rsid w:val="008050FE"/>
    <w:rsid w:val="0080559F"/>
    <w:rsid w:val="008060C8"/>
    <w:rsid w:val="00806AD9"/>
    <w:rsid w:val="00806D9F"/>
    <w:rsid w:val="00807B74"/>
    <w:rsid w:val="0081023A"/>
    <w:rsid w:val="00810712"/>
    <w:rsid w:val="00810A4F"/>
    <w:rsid w:val="00810F5C"/>
    <w:rsid w:val="008116EB"/>
    <w:rsid w:val="00812723"/>
    <w:rsid w:val="0081395B"/>
    <w:rsid w:val="00814A6A"/>
    <w:rsid w:val="00814CB6"/>
    <w:rsid w:val="00814D7C"/>
    <w:rsid w:val="00814ED4"/>
    <w:rsid w:val="008152E3"/>
    <w:rsid w:val="0081557C"/>
    <w:rsid w:val="008159B1"/>
    <w:rsid w:val="0081695D"/>
    <w:rsid w:val="00816B74"/>
    <w:rsid w:val="00816C41"/>
    <w:rsid w:val="00820282"/>
    <w:rsid w:val="00820651"/>
    <w:rsid w:val="0082117F"/>
    <w:rsid w:val="00821A3F"/>
    <w:rsid w:val="00822040"/>
    <w:rsid w:val="008245D4"/>
    <w:rsid w:val="00824F87"/>
    <w:rsid w:val="0082619C"/>
    <w:rsid w:val="00826C39"/>
    <w:rsid w:val="00826CDD"/>
    <w:rsid w:val="0083083C"/>
    <w:rsid w:val="008318AC"/>
    <w:rsid w:val="00831A0D"/>
    <w:rsid w:val="00831FC6"/>
    <w:rsid w:val="00833664"/>
    <w:rsid w:val="00834472"/>
    <w:rsid w:val="008360AB"/>
    <w:rsid w:val="00836AD2"/>
    <w:rsid w:val="008375CC"/>
    <w:rsid w:val="008415CC"/>
    <w:rsid w:val="0084221B"/>
    <w:rsid w:val="0084241B"/>
    <w:rsid w:val="00842862"/>
    <w:rsid w:val="0084484D"/>
    <w:rsid w:val="00844A64"/>
    <w:rsid w:val="00845199"/>
    <w:rsid w:val="00845C2E"/>
    <w:rsid w:val="008468A3"/>
    <w:rsid w:val="00847C65"/>
    <w:rsid w:val="00847DFE"/>
    <w:rsid w:val="00851111"/>
    <w:rsid w:val="00851147"/>
    <w:rsid w:val="00851602"/>
    <w:rsid w:val="008525CF"/>
    <w:rsid w:val="008540E3"/>
    <w:rsid w:val="008542CB"/>
    <w:rsid w:val="008542CC"/>
    <w:rsid w:val="00855CFF"/>
    <w:rsid w:val="0085663C"/>
    <w:rsid w:val="00856BCF"/>
    <w:rsid w:val="00857EDE"/>
    <w:rsid w:val="00857F9E"/>
    <w:rsid w:val="00860973"/>
    <w:rsid w:val="00860B77"/>
    <w:rsid w:val="00860C4A"/>
    <w:rsid w:val="0086183E"/>
    <w:rsid w:val="00861954"/>
    <w:rsid w:val="00862473"/>
    <w:rsid w:val="008633E8"/>
    <w:rsid w:val="00863D03"/>
    <w:rsid w:val="008648B5"/>
    <w:rsid w:val="008648EC"/>
    <w:rsid w:val="008654CD"/>
    <w:rsid w:val="00865A78"/>
    <w:rsid w:val="0086641A"/>
    <w:rsid w:val="00867F68"/>
    <w:rsid w:val="00870AA1"/>
    <w:rsid w:val="00870E09"/>
    <w:rsid w:val="008737D3"/>
    <w:rsid w:val="00873E0E"/>
    <w:rsid w:val="00875055"/>
    <w:rsid w:val="00875D96"/>
    <w:rsid w:val="00877A9D"/>
    <w:rsid w:val="00877CBF"/>
    <w:rsid w:val="0088015F"/>
    <w:rsid w:val="0088137B"/>
    <w:rsid w:val="00881AA3"/>
    <w:rsid w:val="00881DE4"/>
    <w:rsid w:val="008828E3"/>
    <w:rsid w:val="00882D53"/>
    <w:rsid w:val="00883437"/>
    <w:rsid w:val="008834C5"/>
    <w:rsid w:val="0088397F"/>
    <w:rsid w:val="00883C24"/>
    <w:rsid w:val="0088421F"/>
    <w:rsid w:val="008853F8"/>
    <w:rsid w:val="0088547F"/>
    <w:rsid w:val="008859F7"/>
    <w:rsid w:val="00885AAD"/>
    <w:rsid w:val="00892A60"/>
    <w:rsid w:val="00892AB3"/>
    <w:rsid w:val="00893905"/>
    <w:rsid w:val="00894863"/>
    <w:rsid w:val="008953BD"/>
    <w:rsid w:val="00896BC3"/>
    <w:rsid w:val="00896D4F"/>
    <w:rsid w:val="00897B97"/>
    <w:rsid w:val="008A08D1"/>
    <w:rsid w:val="008A175A"/>
    <w:rsid w:val="008A18BD"/>
    <w:rsid w:val="008A1FA8"/>
    <w:rsid w:val="008A4628"/>
    <w:rsid w:val="008A48DA"/>
    <w:rsid w:val="008A58A7"/>
    <w:rsid w:val="008A5BF5"/>
    <w:rsid w:val="008A7B09"/>
    <w:rsid w:val="008B04B6"/>
    <w:rsid w:val="008B17C2"/>
    <w:rsid w:val="008B2464"/>
    <w:rsid w:val="008B24F1"/>
    <w:rsid w:val="008B37C0"/>
    <w:rsid w:val="008B47CB"/>
    <w:rsid w:val="008B6A6C"/>
    <w:rsid w:val="008C15BB"/>
    <w:rsid w:val="008C1F71"/>
    <w:rsid w:val="008C2687"/>
    <w:rsid w:val="008C28E5"/>
    <w:rsid w:val="008C4A91"/>
    <w:rsid w:val="008C4E5F"/>
    <w:rsid w:val="008C6886"/>
    <w:rsid w:val="008C6C82"/>
    <w:rsid w:val="008D109D"/>
    <w:rsid w:val="008D15F7"/>
    <w:rsid w:val="008D18DA"/>
    <w:rsid w:val="008D1ED1"/>
    <w:rsid w:val="008D1FDE"/>
    <w:rsid w:val="008D24F1"/>
    <w:rsid w:val="008D351D"/>
    <w:rsid w:val="008D5318"/>
    <w:rsid w:val="008D54DE"/>
    <w:rsid w:val="008D692B"/>
    <w:rsid w:val="008D6A63"/>
    <w:rsid w:val="008E197E"/>
    <w:rsid w:val="008E1C45"/>
    <w:rsid w:val="008E2087"/>
    <w:rsid w:val="008E242E"/>
    <w:rsid w:val="008E25C6"/>
    <w:rsid w:val="008E2B27"/>
    <w:rsid w:val="008E2C9E"/>
    <w:rsid w:val="008E5023"/>
    <w:rsid w:val="008E647B"/>
    <w:rsid w:val="008E7500"/>
    <w:rsid w:val="008E7B61"/>
    <w:rsid w:val="008E7DB6"/>
    <w:rsid w:val="008F001D"/>
    <w:rsid w:val="008F0A85"/>
    <w:rsid w:val="008F2D53"/>
    <w:rsid w:val="008F3AE2"/>
    <w:rsid w:val="008F6221"/>
    <w:rsid w:val="008F6F4F"/>
    <w:rsid w:val="008F722B"/>
    <w:rsid w:val="008F777B"/>
    <w:rsid w:val="008F7CCE"/>
    <w:rsid w:val="00900E4A"/>
    <w:rsid w:val="00902120"/>
    <w:rsid w:val="009025C5"/>
    <w:rsid w:val="009032F3"/>
    <w:rsid w:val="009041C7"/>
    <w:rsid w:val="00904EF9"/>
    <w:rsid w:val="009055B1"/>
    <w:rsid w:val="0090642B"/>
    <w:rsid w:val="009064E2"/>
    <w:rsid w:val="00906CEC"/>
    <w:rsid w:val="00907746"/>
    <w:rsid w:val="009077C7"/>
    <w:rsid w:val="00910823"/>
    <w:rsid w:val="009121F6"/>
    <w:rsid w:val="0091220E"/>
    <w:rsid w:val="00912423"/>
    <w:rsid w:val="009133EC"/>
    <w:rsid w:val="0091465A"/>
    <w:rsid w:val="00920216"/>
    <w:rsid w:val="00920463"/>
    <w:rsid w:val="00920875"/>
    <w:rsid w:val="00921279"/>
    <w:rsid w:val="00921BCC"/>
    <w:rsid w:val="009231E5"/>
    <w:rsid w:val="009236B1"/>
    <w:rsid w:val="009238C7"/>
    <w:rsid w:val="00923D68"/>
    <w:rsid w:val="009245CA"/>
    <w:rsid w:val="00926E0F"/>
    <w:rsid w:val="00926E4D"/>
    <w:rsid w:val="00927ECC"/>
    <w:rsid w:val="00930408"/>
    <w:rsid w:val="0093066E"/>
    <w:rsid w:val="00931C5F"/>
    <w:rsid w:val="00932AE6"/>
    <w:rsid w:val="0093352D"/>
    <w:rsid w:val="009345BD"/>
    <w:rsid w:val="0093606D"/>
    <w:rsid w:val="00936B3C"/>
    <w:rsid w:val="009370C8"/>
    <w:rsid w:val="00937320"/>
    <w:rsid w:val="009375C1"/>
    <w:rsid w:val="009376FF"/>
    <w:rsid w:val="00940185"/>
    <w:rsid w:val="00940BCD"/>
    <w:rsid w:val="00940ED0"/>
    <w:rsid w:val="00941134"/>
    <w:rsid w:val="00941279"/>
    <w:rsid w:val="00943758"/>
    <w:rsid w:val="00943790"/>
    <w:rsid w:val="00943FC9"/>
    <w:rsid w:val="009453F1"/>
    <w:rsid w:val="009462D5"/>
    <w:rsid w:val="00947365"/>
    <w:rsid w:val="00947820"/>
    <w:rsid w:val="00951F1B"/>
    <w:rsid w:val="00953395"/>
    <w:rsid w:val="00953EB6"/>
    <w:rsid w:val="0095456C"/>
    <w:rsid w:val="009547B3"/>
    <w:rsid w:val="00955214"/>
    <w:rsid w:val="00955259"/>
    <w:rsid w:val="0095574B"/>
    <w:rsid w:val="00956905"/>
    <w:rsid w:val="00960C3D"/>
    <w:rsid w:val="009614C6"/>
    <w:rsid w:val="00961AA4"/>
    <w:rsid w:val="0096228B"/>
    <w:rsid w:val="00962BFB"/>
    <w:rsid w:val="00962E1C"/>
    <w:rsid w:val="0096349D"/>
    <w:rsid w:val="00963F61"/>
    <w:rsid w:val="00964954"/>
    <w:rsid w:val="009659C0"/>
    <w:rsid w:val="009660F4"/>
    <w:rsid w:val="00966DEC"/>
    <w:rsid w:val="00966F5F"/>
    <w:rsid w:val="00967365"/>
    <w:rsid w:val="00967A12"/>
    <w:rsid w:val="00967A45"/>
    <w:rsid w:val="0097237B"/>
    <w:rsid w:val="00972449"/>
    <w:rsid w:val="009740A3"/>
    <w:rsid w:val="0097673B"/>
    <w:rsid w:val="00976CE7"/>
    <w:rsid w:val="00976E91"/>
    <w:rsid w:val="009775A0"/>
    <w:rsid w:val="00977727"/>
    <w:rsid w:val="009808C7"/>
    <w:rsid w:val="009818DB"/>
    <w:rsid w:val="00981AA9"/>
    <w:rsid w:val="00982844"/>
    <w:rsid w:val="00984237"/>
    <w:rsid w:val="00985256"/>
    <w:rsid w:val="00986241"/>
    <w:rsid w:val="00986E5B"/>
    <w:rsid w:val="00987513"/>
    <w:rsid w:val="00987C7D"/>
    <w:rsid w:val="00990380"/>
    <w:rsid w:val="0099102F"/>
    <w:rsid w:val="0099182A"/>
    <w:rsid w:val="009921DB"/>
    <w:rsid w:val="009940EF"/>
    <w:rsid w:val="0099455B"/>
    <w:rsid w:val="00994A8D"/>
    <w:rsid w:val="00994D06"/>
    <w:rsid w:val="00994D4B"/>
    <w:rsid w:val="00994E13"/>
    <w:rsid w:val="00995020"/>
    <w:rsid w:val="0099769E"/>
    <w:rsid w:val="00997C29"/>
    <w:rsid w:val="00997CF0"/>
    <w:rsid w:val="009A00E5"/>
    <w:rsid w:val="009A0182"/>
    <w:rsid w:val="009A0BBC"/>
    <w:rsid w:val="009A22D3"/>
    <w:rsid w:val="009A2E66"/>
    <w:rsid w:val="009A4237"/>
    <w:rsid w:val="009A4295"/>
    <w:rsid w:val="009A48B6"/>
    <w:rsid w:val="009A4D7A"/>
    <w:rsid w:val="009A4E86"/>
    <w:rsid w:val="009A5354"/>
    <w:rsid w:val="009A5692"/>
    <w:rsid w:val="009A5AFD"/>
    <w:rsid w:val="009A6A37"/>
    <w:rsid w:val="009A6EFD"/>
    <w:rsid w:val="009B1EF3"/>
    <w:rsid w:val="009B2009"/>
    <w:rsid w:val="009B39DC"/>
    <w:rsid w:val="009B574B"/>
    <w:rsid w:val="009B61E7"/>
    <w:rsid w:val="009B7647"/>
    <w:rsid w:val="009B7A1E"/>
    <w:rsid w:val="009C0087"/>
    <w:rsid w:val="009C013F"/>
    <w:rsid w:val="009C0C5C"/>
    <w:rsid w:val="009C1540"/>
    <w:rsid w:val="009C1AE7"/>
    <w:rsid w:val="009C23E2"/>
    <w:rsid w:val="009C27DC"/>
    <w:rsid w:val="009C2C64"/>
    <w:rsid w:val="009C31CC"/>
    <w:rsid w:val="009C5BA9"/>
    <w:rsid w:val="009C607B"/>
    <w:rsid w:val="009C60A6"/>
    <w:rsid w:val="009C6E72"/>
    <w:rsid w:val="009C723F"/>
    <w:rsid w:val="009D0788"/>
    <w:rsid w:val="009D2614"/>
    <w:rsid w:val="009D3C3F"/>
    <w:rsid w:val="009D477E"/>
    <w:rsid w:val="009D4D67"/>
    <w:rsid w:val="009D635B"/>
    <w:rsid w:val="009D66DC"/>
    <w:rsid w:val="009D769A"/>
    <w:rsid w:val="009D7F6F"/>
    <w:rsid w:val="009E0393"/>
    <w:rsid w:val="009E04BE"/>
    <w:rsid w:val="009E07D3"/>
    <w:rsid w:val="009E1076"/>
    <w:rsid w:val="009E1AA4"/>
    <w:rsid w:val="009E34E3"/>
    <w:rsid w:val="009E662F"/>
    <w:rsid w:val="009E755E"/>
    <w:rsid w:val="009F06F2"/>
    <w:rsid w:val="009F2389"/>
    <w:rsid w:val="009F27FB"/>
    <w:rsid w:val="009F2D9C"/>
    <w:rsid w:val="009F35B4"/>
    <w:rsid w:val="009F635E"/>
    <w:rsid w:val="009F711D"/>
    <w:rsid w:val="009F719A"/>
    <w:rsid w:val="00A00BAE"/>
    <w:rsid w:val="00A01D40"/>
    <w:rsid w:val="00A02C5D"/>
    <w:rsid w:val="00A02CD7"/>
    <w:rsid w:val="00A030C4"/>
    <w:rsid w:val="00A039BF"/>
    <w:rsid w:val="00A047E3"/>
    <w:rsid w:val="00A05FD9"/>
    <w:rsid w:val="00A07FEF"/>
    <w:rsid w:val="00A10125"/>
    <w:rsid w:val="00A1137F"/>
    <w:rsid w:val="00A132AF"/>
    <w:rsid w:val="00A140D3"/>
    <w:rsid w:val="00A1446B"/>
    <w:rsid w:val="00A14540"/>
    <w:rsid w:val="00A14FDE"/>
    <w:rsid w:val="00A15A11"/>
    <w:rsid w:val="00A1618B"/>
    <w:rsid w:val="00A162B4"/>
    <w:rsid w:val="00A167F2"/>
    <w:rsid w:val="00A16ED3"/>
    <w:rsid w:val="00A171D3"/>
    <w:rsid w:val="00A17EFE"/>
    <w:rsid w:val="00A20C78"/>
    <w:rsid w:val="00A21306"/>
    <w:rsid w:val="00A21BFF"/>
    <w:rsid w:val="00A2259A"/>
    <w:rsid w:val="00A227CC"/>
    <w:rsid w:val="00A22FD0"/>
    <w:rsid w:val="00A2312E"/>
    <w:rsid w:val="00A23851"/>
    <w:rsid w:val="00A24323"/>
    <w:rsid w:val="00A2512C"/>
    <w:rsid w:val="00A2515B"/>
    <w:rsid w:val="00A2585B"/>
    <w:rsid w:val="00A2588E"/>
    <w:rsid w:val="00A26AB6"/>
    <w:rsid w:val="00A26EDF"/>
    <w:rsid w:val="00A26FF2"/>
    <w:rsid w:val="00A30639"/>
    <w:rsid w:val="00A30FB0"/>
    <w:rsid w:val="00A32A3A"/>
    <w:rsid w:val="00A33140"/>
    <w:rsid w:val="00A332C2"/>
    <w:rsid w:val="00A3377A"/>
    <w:rsid w:val="00A33CA1"/>
    <w:rsid w:val="00A34301"/>
    <w:rsid w:val="00A34789"/>
    <w:rsid w:val="00A349BC"/>
    <w:rsid w:val="00A34F5B"/>
    <w:rsid w:val="00A3630E"/>
    <w:rsid w:val="00A36FF8"/>
    <w:rsid w:val="00A3733E"/>
    <w:rsid w:val="00A37BB8"/>
    <w:rsid w:val="00A37D74"/>
    <w:rsid w:val="00A37E58"/>
    <w:rsid w:val="00A4077C"/>
    <w:rsid w:val="00A40E50"/>
    <w:rsid w:val="00A41138"/>
    <w:rsid w:val="00A41FF8"/>
    <w:rsid w:val="00A42D87"/>
    <w:rsid w:val="00A42D99"/>
    <w:rsid w:val="00A44535"/>
    <w:rsid w:val="00A44707"/>
    <w:rsid w:val="00A44BD3"/>
    <w:rsid w:val="00A4521D"/>
    <w:rsid w:val="00A46D6F"/>
    <w:rsid w:val="00A47647"/>
    <w:rsid w:val="00A50BB0"/>
    <w:rsid w:val="00A51F0A"/>
    <w:rsid w:val="00A53AB2"/>
    <w:rsid w:val="00A53B58"/>
    <w:rsid w:val="00A53CD7"/>
    <w:rsid w:val="00A54B39"/>
    <w:rsid w:val="00A54C9E"/>
    <w:rsid w:val="00A54EF2"/>
    <w:rsid w:val="00A5521B"/>
    <w:rsid w:val="00A5532E"/>
    <w:rsid w:val="00A55D48"/>
    <w:rsid w:val="00A56626"/>
    <w:rsid w:val="00A5781A"/>
    <w:rsid w:val="00A57BEB"/>
    <w:rsid w:val="00A60741"/>
    <w:rsid w:val="00A60EB0"/>
    <w:rsid w:val="00A61673"/>
    <w:rsid w:val="00A63996"/>
    <w:rsid w:val="00A64926"/>
    <w:rsid w:val="00A665CF"/>
    <w:rsid w:val="00A66691"/>
    <w:rsid w:val="00A67158"/>
    <w:rsid w:val="00A673FD"/>
    <w:rsid w:val="00A67CA7"/>
    <w:rsid w:val="00A72084"/>
    <w:rsid w:val="00A725A7"/>
    <w:rsid w:val="00A73340"/>
    <w:rsid w:val="00A735FD"/>
    <w:rsid w:val="00A73989"/>
    <w:rsid w:val="00A755AB"/>
    <w:rsid w:val="00A7752F"/>
    <w:rsid w:val="00A80EFC"/>
    <w:rsid w:val="00A82409"/>
    <w:rsid w:val="00A82B50"/>
    <w:rsid w:val="00A842D4"/>
    <w:rsid w:val="00A84EE1"/>
    <w:rsid w:val="00A85C35"/>
    <w:rsid w:val="00A86515"/>
    <w:rsid w:val="00A92061"/>
    <w:rsid w:val="00A9293A"/>
    <w:rsid w:val="00A92F15"/>
    <w:rsid w:val="00A93087"/>
    <w:rsid w:val="00A93FE9"/>
    <w:rsid w:val="00A94249"/>
    <w:rsid w:val="00A94BC9"/>
    <w:rsid w:val="00A959BC"/>
    <w:rsid w:val="00A95D81"/>
    <w:rsid w:val="00A96226"/>
    <w:rsid w:val="00A979E0"/>
    <w:rsid w:val="00AA1A17"/>
    <w:rsid w:val="00AA2562"/>
    <w:rsid w:val="00AA2BE0"/>
    <w:rsid w:val="00AA3C60"/>
    <w:rsid w:val="00AA4D52"/>
    <w:rsid w:val="00AA53B7"/>
    <w:rsid w:val="00AA63CC"/>
    <w:rsid w:val="00AA7224"/>
    <w:rsid w:val="00AB04A2"/>
    <w:rsid w:val="00AB12D3"/>
    <w:rsid w:val="00AB2FF4"/>
    <w:rsid w:val="00AB33A3"/>
    <w:rsid w:val="00AB33B6"/>
    <w:rsid w:val="00AB5484"/>
    <w:rsid w:val="00AB5F9C"/>
    <w:rsid w:val="00AC0131"/>
    <w:rsid w:val="00AC01B1"/>
    <w:rsid w:val="00AC1650"/>
    <w:rsid w:val="00AC1AD6"/>
    <w:rsid w:val="00AC1C7F"/>
    <w:rsid w:val="00AC37A0"/>
    <w:rsid w:val="00AC3C70"/>
    <w:rsid w:val="00AC3CFF"/>
    <w:rsid w:val="00AC47DF"/>
    <w:rsid w:val="00AC4875"/>
    <w:rsid w:val="00AC4AA9"/>
    <w:rsid w:val="00AC4ACD"/>
    <w:rsid w:val="00AC5286"/>
    <w:rsid w:val="00AC66A9"/>
    <w:rsid w:val="00AC78C0"/>
    <w:rsid w:val="00AD01C0"/>
    <w:rsid w:val="00AD0A62"/>
    <w:rsid w:val="00AD1F4B"/>
    <w:rsid w:val="00AD2462"/>
    <w:rsid w:val="00AD3102"/>
    <w:rsid w:val="00AD3D34"/>
    <w:rsid w:val="00AD4FD1"/>
    <w:rsid w:val="00AD5A00"/>
    <w:rsid w:val="00AD64DF"/>
    <w:rsid w:val="00AD7239"/>
    <w:rsid w:val="00AD72A8"/>
    <w:rsid w:val="00AE1025"/>
    <w:rsid w:val="00AE1BCE"/>
    <w:rsid w:val="00AE1EE2"/>
    <w:rsid w:val="00AE3F03"/>
    <w:rsid w:val="00AE4370"/>
    <w:rsid w:val="00AE64F0"/>
    <w:rsid w:val="00AE758D"/>
    <w:rsid w:val="00AF0B25"/>
    <w:rsid w:val="00AF23C8"/>
    <w:rsid w:val="00AF2AE2"/>
    <w:rsid w:val="00AF33C9"/>
    <w:rsid w:val="00AF361F"/>
    <w:rsid w:val="00AF3C7E"/>
    <w:rsid w:val="00AF3D27"/>
    <w:rsid w:val="00AF4208"/>
    <w:rsid w:val="00AF4DC9"/>
    <w:rsid w:val="00AF54D3"/>
    <w:rsid w:val="00AF61B7"/>
    <w:rsid w:val="00AF6C68"/>
    <w:rsid w:val="00AF6ED5"/>
    <w:rsid w:val="00AF72BE"/>
    <w:rsid w:val="00AF77AD"/>
    <w:rsid w:val="00AF7D00"/>
    <w:rsid w:val="00B01D3C"/>
    <w:rsid w:val="00B01DB2"/>
    <w:rsid w:val="00B0377E"/>
    <w:rsid w:val="00B03B3E"/>
    <w:rsid w:val="00B03D1D"/>
    <w:rsid w:val="00B04BD8"/>
    <w:rsid w:val="00B07BA9"/>
    <w:rsid w:val="00B10055"/>
    <w:rsid w:val="00B1104D"/>
    <w:rsid w:val="00B1141E"/>
    <w:rsid w:val="00B1278B"/>
    <w:rsid w:val="00B12A79"/>
    <w:rsid w:val="00B138FE"/>
    <w:rsid w:val="00B14C4C"/>
    <w:rsid w:val="00B1571B"/>
    <w:rsid w:val="00B16695"/>
    <w:rsid w:val="00B17295"/>
    <w:rsid w:val="00B1764B"/>
    <w:rsid w:val="00B20984"/>
    <w:rsid w:val="00B215F5"/>
    <w:rsid w:val="00B227D8"/>
    <w:rsid w:val="00B228EB"/>
    <w:rsid w:val="00B22C75"/>
    <w:rsid w:val="00B248F8"/>
    <w:rsid w:val="00B248FE"/>
    <w:rsid w:val="00B24A0D"/>
    <w:rsid w:val="00B25E24"/>
    <w:rsid w:val="00B26143"/>
    <w:rsid w:val="00B265BE"/>
    <w:rsid w:val="00B2692F"/>
    <w:rsid w:val="00B26B62"/>
    <w:rsid w:val="00B27A54"/>
    <w:rsid w:val="00B30783"/>
    <w:rsid w:val="00B30BB1"/>
    <w:rsid w:val="00B3111C"/>
    <w:rsid w:val="00B344DF"/>
    <w:rsid w:val="00B41F0F"/>
    <w:rsid w:val="00B4212D"/>
    <w:rsid w:val="00B42560"/>
    <w:rsid w:val="00B428C1"/>
    <w:rsid w:val="00B44C40"/>
    <w:rsid w:val="00B455AA"/>
    <w:rsid w:val="00B45778"/>
    <w:rsid w:val="00B457A1"/>
    <w:rsid w:val="00B4630F"/>
    <w:rsid w:val="00B464B1"/>
    <w:rsid w:val="00B46591"/>
    <w:rsid w:val="00B46A17"/>
    <w:rsid w:val="00B47311"/>
    <w:rsid w:val="00B47A1D"/>
    <w:rsid w:val="00B47A4A"/>
    <w:rsid w:val="00B47B99"/>
    <w:rsid w:val="00B506F2"/>
    <w:rsid w:val="00B510E3"/>
    <w:rsid w:val="00B521AC"/>
    <w:rsid w:val="00B521DC"/>
    <w:rsid w:val="00B526C6"/>
    <w:rsid w:val="00B52702"/>
    <w:rsid w:val="00B5346E"/>
    <w:rsid w:val="00B535F0"/>
    <w:rsid w:val="00B5498D"/>
    <w:rsid w:val="00B5501D"/>
    <w:rsid w:val="00B557EC"/>
    <w:rsid w:val="00B5616F"/>
    <w:rsid w:val="00B56AE5"/>
    <w:rsid w:val="00B60CD2"/>
    <w:rsid w:val="00B6151E"/>
    <w:rsid w:val="00B62FCD"/>
    <w:rsid w:val="00B633F4"/>
    <w:rsid w:val="00B639E8"/>
    <w:rsid w:val="00B64962"/>
    <w:rsid w:val="00B652BE"/>
    <w:rsid w:val="00B67328"/>
    <w:rsid w:val="00B676EC"/>
    <w:rsid w:val="00B7016C"/>
    <w:rsid w:val="00B7039B"/>
    <w:rsid w:val="00B71FB3"/>
    <w:rsid w:val="00B74748"/>
    <w:rsid w:val="00B74D1E"/>
    <w:rsid w:val="00B74D97"/>
    <w:rsid w:val="00B75464"/>
    <w:rsid w:val="00B76A18"/>
    <w:rsid w:val="00B76C79"/>
    <w:rsid w:val="00B805C6"/>
    <w:rsid w:val="00B825CF"/>
    <w:rsid w:val="00B82B38"/>
    <w:rsid w:val="00B82B5B"/>
    <w:rsid w:val="00B82E1A"/>
    <w:rsid w:val="00B84339"/>
    <w:rsid w:val="00B84C6C"/>
    <w:rsid w:val="00B84DB6"/>
    <w:rsid w:val="00B864DA"/>
    <w:rsid w:val="00B918F6"/>
    <w:rsid w:val="00B92589"/>
    <w:rsid w:val="00B92687"/>
    <w:rsid w:val="00B9291D"/>
    <w:rsid w:val="00B93627"/>
    <w:rsid w:val="00B94248"/>
    <w:rsid w:val="00B942A1"/>
    <w:rsid w:val="00B94B4F"/>
    <w:rsid w:val="00B95D2B"/>
    <w:rsid w:val="00B95DE3"/>
    <w:rsid w:val="00B969EA"/>
    <w:rsid w:val="00B96CF3"/>
    <w:rsid w:val="00B976F6"/>
    <w:rsid w:val="00BA0245"/>
    <w:rsid w:val="00BA0D2C"/>
    <w:rsid w:val="00BA1000"/>
    <w:rsid w:val="00BA14BD"/>
    <w:rsid w:val="00BA4B11"/>
    <w:rsid w:val="00BA5F41"/>
    <w:rsid w:val="00BA692F"/>
    <w:rsid w:val="00BA717C"/>
    <w:rsid w:val="00BA7385"/>
    <w:rsid w:val="00BB0511"/>
    <w:rsid w:val="00BB0B61"/>
    <w:rsid w:val="00BB187C"/>
    <w:rsid w:val="00BB1ABF"/>
    <w:rsid w:val="00BB1FC5"/>
    <w:rsid w:val="00BB215D"/>
    <w:rsid w:val="00BB296B"/>
    <w:rsid w:val="00BB29B7"/>
    <w:rsid w:val="00BB2A9C"/>
    <w:rsid w:val="00BB316C"/>
    <w:rsid w:val="00BB3332"/>
    <w:rsid w:val="00BB3622"/>
    <w:rsid w:val="00BB3E49"/>
    <w:rsid w:val="00BB6019"/>
    <w:rsid w:val="00BB682C"/>
    <w:rsid w:val="00BB6F72"/>
    <w:rsid w:val="00BB70AE"/>
    <w:rsid w:val="00BB7CA9"/>
    <w:rsid w:val="00BC12E4"/>
    <w:rsid w:val="00BC170B"/>
    <w:rsid w:val="00BC236B"/>
    <w:rsid w:val="00BC2BB4"/>
    <w:rsid w:val="00BC334E"/>
    <w:rsid w:val="00BC3800"/>
    <w:rsid w:val="00BC594A"/>
    <w:rsid w:val="00BC5CB9"/>
    <w:rsid w:val="00BC65D9"/>
    <w:rsid w:val="00BC6CCF"/>
    <w:rsid w:val="00BC7C52"/>
    <w:rsid w:val="00BD0CF6"/>
    <w:rsid w:val="00BD1445"/>
    <w:rsid w:val="00BD1471"/>
    <w:rsid w:val="00BD14C5"/>
    <w:rsid w:val="00BD196A"/>
    <w:rsid w:val="00BD2081"/>
    <w:rsid w:val="00BD2311"/>
    <w:rsid w:val="00BD2E02"/>
    <w:rsid w:val="00BD3BDA"/>
    <w:rsid w:val="00BD47FD"/>
    <w:rsid w:val="00BD52C7"/>
    <w:rsid w:val="00BD6262"/>
    <w:rsid w:val="00BD6BB8"/>
    <w:rsid w:val="00BD7296"/>
    <w:rsid w:val="00BD769B"/>
    <w:rsid w:val="00BD798A"/>
    <w:rsid w:val="00BD7EB8"/>
    <w:rsid w:val="00BD7EED"/>
    <w:rsid w:val="00BE2B04"/>
    <w:rsid w:val="00BE2F12"/>
    <w:rsid w:val="00BE344B"/>
    <w:rsid w:val="00BE3D7B"/>
    <w:rsid w:val="00BE4C48"/>
    <w:rsid w:val="00BE5ECB"/>
    <w:rsid w:val="00BE61C1"/>
    <w:rsid w:val="00BE64AF"/>
    <w:rsid w:val="00BE6717"/>
    <w:rsid w:val="00BE7D36"/>
    <w:rsid w:val="00BF0381"/>
    <w:rsid w:val="00BF03B5"/>
    <w:rsid w:val="00BF0953"/>
    <w:rsid w:val="00BF114C"/>
    <w:rsid w:val="00BF1340"/>
    <w:rsid w:val="00BF1521"/>
    <w:rsid w:val="00BF253C"/>
    <w:rsid w:val="00BF2557"/>
    <w:rsid w:val="00BF2EA4"/>
    <w:rsid w:val="00BF351D"/>
    <w:rsid w:val="00BF446E"/>
    <w:rsid w:val="00BF54C8"/>
    <w:rsid w:val="00BF6E7B"/>
    <w:rsid w:val="00BF7EAA"/>
    <w:rsid w:val="00C01021"/>
    <w:rsid w:val="00C0141F"/>
    <w:rsid w:val="00C02350"/>
    <w:rsid w:val="00C03076"/>
    <w:rsid w:val="00C03BA7"/>
    <w:rsid w:val="00C048AF"/>
    <w:rsid w:val="00C051AD"/>
    <w:rsid w:val="00C077E0"/>
    <w:rsid w:val="00C07DE6"/>
    <w:rsid w:val="00C108CF"/>
    <w:rsid w:val="00C12727"/>
    <w:rsid w:val="00C15413"/>
    <w:rsid w:val="00C154B5"/>
    <w:rsid w:val="00C1566E"/>
    <w:rsid w:val="00C15863"/>
    <w:rsid w:val="00C17704"/>
    <w:rsid w:val="00C17872"/>
    <w:rsid w:val="00C17EA5"/>
    <w:rsid w:val="00C200D6"/>
    <w:rsid w:val="00C20306"/>
    <w:rsid w:val="00C2059D"/>
    <w:rsid w:val="00C205E9"/>
    <w:rsid w:val="00C212FC"/>
    <w:rsid w:val="00C22C26"/>
    <w:rsid w:val="00C23F48"/>
    <w:rsid w:val="00C2597C"/>
    <w:rsid w:val="00C262BD"/>
    <w:rsid w:val="00C2762A"/>
    <w:rsid w:val="00C27AB1"/>
    <w:rsid w:val="00C30CCF"/>
    <w:rsid w:val="00C30E04"/>
    <w:rsid w:val="00C310C2"/>
    <w:rsid w:val="00C31483"/>
    <w:rsid w:val="00C32D5B"/>
    <w:rsid w:val="00C34A3A"/>
    <w:rsid w:val="00C35074"/>
    <w:rsid w:val="00C36525"/>
    <w:rsid w:val="00C36734"/>
    <w:rsid w:val="00C36EED"/>
    <w:rsid w:val="00C40EB3"/>
    <w:rsid w:val="00C415C8"/>
    <w:rsid w:val="00C41BD9"/>
    <w:rsid w:val="00C434FD"/>
    <w:rsid w:val="00C4350E"/>
    <w:rsid w:val="00C45AE7"/>
    <w:rsid w:val="00C46B4C"/>
    <w:rsid w:val="00C47242"/>
    <w:rsid w:val="00C47AC7"/>
    <w:rsid w:val="00C50909"/>
    <w:rsid w:val="00C5192E"/>
    <w:rsid w:val="00C52DE6"/>
    <w:rsid w:val="00C532F3"/>
    <w:rsid w:val="00C54229"/>
    <w:rsid w:val="00C54C45"/>
    <w:rsid w:val="00C57DC7"/>
    <w:rsid w:val="00C57FAF"/>
    <w:rsid w:val="00C6016B"/>
    <w:rsid w:val="00C62080"/>
    <w:rsid w:val="00C623A5"/>
    <w:rsid w:val="00C634A7"/>
    <w:rsid w:val="00C638D7"/>
    <w:rsid w:val="00C638DF"/>
    <w:rsid w:val="00C64720"/>
    <w:rsid w:val="00C647D1"/>
    <w:rsid w:val="00C6517F"/>
    <w:rsid w:val="00C656C6"/>
    <w:rsid w:val="00C65FD5"/>
    <w:rsid w:val="00C66440"/>
    <w:rsid w:val="00C6778D"/>
    <w:rsid w:val="00C67928"/>
    <w:rsid w:val="00C67BA6"/>
    <w:rsid w:val="00C70B7C"/>
    <w:rsid w:val="00C70C33"/>
    <w:rsid w:val="00C70DA3"/>
    <w:rsid w:val="00C71920"/>
    <w:rsid w:val="00C726CB"/>
    <w:rsid w:val="00C72A63"/>
    <w:rsid w:val="00C72FC7"/>
    <w:rsid w:val="00C73ECB"/>
    <w:rsid w:val="00C74608"/>
    <w:rsid w:val="00C7559D"/>
    <w:rsid w:val="00C757CE"/>
    <w:rsid w:val="00C75F14"/>
    <w:rsid w:val="00C76180"/>
    <w:rsid w:val="00C772B2"/>
    <w:rsid w:val="00C77A70"/>
    <w:rsid w:val="00C808A2"/>
    <w:rsid w:val="00C80AE4"/>
    <w:rsid w:val="00C8139B"/>
    <w:rsid w:val="00C82DBA"/>
    <w:rsid w:val="00C8323F"/>
    <w:rsid w:val="00C832A9"/>
    <w:rsid w:val="00C843A6"/>
    <w:rsid w:val="00C84454"/>
    <w:rsid w:val="00C84F42"/>
    <w:rsid w:val="00C857F1"/>
    <w:rsid w:val="00C857FF"/>
    <w:rsid w:val="00C869D9"/>
    <w:rsid w:val="00C871C4"/>
    <w:rsid w:val="00C87558"/>
    <w:rsid w:val="00C90124"/>
    <w:rsid w:val="00C90BCE"/>
    <w:rsid w:val="00C924F0"/>
    <w:rsid w:val="00C92FCE"/>
    <w:rsid w:val="00C93495"/>
    <w:rsid w:val="00C94986"/>
    <w:rsid w:val="00C968A4"/>
    <w:rsid w:val="00C97301"/>
    <w:rsid w:val="00C97869"/>
    <w:rsid w:val="00CA0A0C"/>
    <w:rsid w:val="00CA1130"/>
    <w:rsid w:val="00CA12D6"/>
    <w:rsid w:val="00CA19D3"/>
    <w:rsid w:val="00CA1E51"/>
    <w:rsid w:val="00CA2584"/>
    <w:rsid w:val="00CA2CEC"/>
    <w:rsid w:val="00CA4130"/>
    <w:rsid w:val="00CA415F"/>
    <w:rsid w:val="00CA4D8A"/>
    <w:rsid w:val="00CA529D"/>
    <w:rsid w:val="00CA59E4"/>
    <w:rsid w:val="00CA5EA7"/>
    <w:rsid w:val="00CA6507"/>
    <w:rsid w:val="00CA674E"/>
    <w:rsid w:val="00CA6C38"/>
    <w:rsid w:val="00CB026C"/>
    <w:rsid w:val="00CB060A"/>
    <w:rsid w:val="00CB0625"/>
    <w:rsid w:val="00CB1012"/>
    <w:rsid w:val="00CB2C14"/>
    <w:rsid w:val="00CB3FD0"/>
    <w:rsid w:val="00CB4154"/>
    <w:rsid w:val="00CB4448"/>
    <w:rsid w:val="00CB58D9"/>
    <w:rsid w:val="00CB5A49"/>
    <w:rsid w:val="00CB5C15"/>
    <w:rsid w:val="00CB678B"/>
    <w:rsid w:val="00CB76B5"/>
    <w:rsid w:val="00CB7D4F"/>
    <w:rsid w:val="00CC1228"/>
    <w:rsid w:val="00CC1A21"/>
    <w:rsid w:val="00CC25C7"/>
    <w:rsid w:val="00CC5713"/>
    <w:rsid w:val="00CC66DE"/>
    <w:rsid w:val="00CC6AEE"/>
    <w:rsid w:val="00CC7C0C"/>
    <w:rsid w:val="00CD07E0"/>
    <w:rsid w:val="00CD0EFB"/>
    <w:rsid w:val="00CD0F3A"/>
    <w:rsid w:val="00CD12E0"/>
    <w:rsid w:val="00CD4518"/>
    <w:rsid w:val="00CD5647"/>
    <w:rsid w:val="00CD5694"/>
    <w:rsid w:val="00CD5695"/>
    <w:rsid w:val="00CD57A3"/>
    <w:rsid w:val="00CD5B55"/>
    <w:rsid w:val="00CD6171"/>
    <w:rsid w:val="00CD75E3"/>
    <w:rsid w:val="00CE1779"/>
    <w:rsid w:val="00CE206F"/>
    <w:rsid w:val="00CE2627"/>
    <w:rsid w:val="00CE2EB2"/>
    <w:rsid w:val="00CE4234"/>
    <w:rsid w:val="00CE4F2E"/>
    <w:rsid w:val="00CE525D"/>
    <w:rsid w:val="00CE5C99"/>
    <w:rsid w:val="00CE5D6C"/>
    <w:rsid w:val="00CE69D0"/>
    <w:rsid w:val="00CE7260"/>
    <w:rsid w:val="00CE75A2"/>
    <w:rsid w:val="00CF0982"/>
    <w:rsid w:val="00CF0CDE"/>
    <w:rsid w:val="00CF23EE"/>
    <w:rsid w:val="00CF41D3"/>
    <w:rsid w:val="00D03391"/>
    <w:rsid w:val="00D039BE"/>
    <w:rsid w:val="00D05DB7"/>
    <w:rsid w:val="00D05E09"/>
    <w:rsid w:val="00D061C0"/>
    <w:rsid w:val="00D066EF"/>
    <w:rsid w:val="00D06705"/>
    <w:rsid w:val="00D07805"/>
    <w:rsid w:val="00D0789C"/>
    <w:rsid w:val="00D10DB1"/>
    <w:rsid w:val="00D11357"/>
    <w:rsid w:val="00D11A54"/>
    <w:rsid w:val="00D11BB0"/>
    <w:rsid w:val="00D126F7"/>
    <w:rsid w:val="00D129F5"/>
    <w:rsid w:val="00D12CA7"/>
    <w:rsid w:val="00D12ED9"/>
    <w:rsid w:val="00D13896"/>
    <w:rsid w:val="00D141DD"/>
    <w:rsid w:val="00D144E1"/>
    <w:rsid w:val="00D1494A"/>
    <w:rsid w:val="00D156FC"/>
    <w:rsid w:val="00D169EC"/>
    <w:rsid w:val="00D16F84"/>
    <w:rsid w:val="00D17276"/>
    <w:rsid w:val="00D20D61"/>
    <w:rsid w:val="00D20E20"/>
    <w:rsid w:val="00D21887"/>
    <w:rsid w:val="00D22B93"/>
    <w:rsid w:val="00D2392B"/>
    <w:rsid w:val="00D24674"/>
    <w:rsid w:val="00D248FD"/>
    <w:rsid w:val="00D262E9"/>
    <w:rsid w:val="00D266DE"/>
    <w:rsid w:val="00D269C5"/>
    <w:rsid w:val="00D27958"/>
    <w:rsid w:val="00D27D23"/>
    <w:rsid w:val="00D31570"/>
    <w:rsid w:val="00D31689"/>
    <w:rsid w:val="00D31999"/>
    <w:rsid w:val="00D325D3"/>
    <w:rsid w:val="00D33378"/>
    <w:rsid w:val="00D33A79"/>
    <w:rsid w:val="00D355E8"/>
    <w:rsid w:val="00D364D2"/>
    <w:rsid w:val="00D41845"/>
    <w:rsid w:val="00D42BF1"/>
    <w:rsid w:val="00D42E75"/>
    <w:rsid w:val="00D43677"/>
    <w:rsid w:val="00D438C1"/>
    <w:rsid w:val="00D43DD6"/>
    <w:rsid w:val="00D44B00"/>
    <w:rsid w:val="00D454EC"/>
    <w:rsid w:val="00D454EF"/>
    <w:rsid w:val="00D45ED7"/>
    <w:rsid w:val="00D509D0"/>
    <w:rsid w:val="00D51C2C"/>
    <w:rsid w:val="00D5296D"/>
    <w:rsid w:val="00D52C06"/>
    <w:rsid w:val="00D5379D"/>
    <w:rsid w:val="00D54248"/>
    <w:rsid w:val="00D545E5"/>
    <w:rsid w:val="00D55A36"/>
    <w:rsid w:val="00D5689A"/>
    <w:rsid w:val="00D56C7B"/>
    <w:rsid w:val="00D57072"/>
    <w:rsid w:val="00D57A0D"/>
    <w:rsid w:val="00D57A72"/>
    <w:rsid w:val="00D60FDE"/>
    <w:rsid w:val="00D61249"/>
    <w:rsid w:val="00D61AE5"/>
    <w:rsid w:val="00D620C0"/>
    <w:rsid w:val="00D622AD"/>
    <w:rsid w:val="00D62328"/>
    <w:rsid w:val="00D62D6C"/>
    <w:rsid w:val="00D633D0"/>
    <w:rsid w:val="00D64636"/>
    <w:rsid w:val="00D64648"/>
    <w:rsid w:val="00D64AFF"/>
    <w:rsid w:val="00D655FF"/>
    <w:rsid w:val="00D668E4"/>
    <w:rsid w:val="00D66E42"/>
    <w:rsid w:val="00D672F4"/>
    <w:rsid w:val="00D673A1"/>
    <w:rsid w:val="00D67466"/>
    <w:rsid w:val="00D67585"/>
    <w:rsid w:val="00D7047B"/>
    <w:rsid w:val="00D70735"/>
    <w:rsid w:val="00D707E0"/>
    <w:rsid w:val="00D729A9"/>
    <w:rsid w:val="00D72DE4"/>
    <w:rsid w:val="00D73A8B"/>
    <w:rsid w:val="00D73DF2"/>
    <w:rsid w:val="00D741F4"/>
    <w:rsid w:val="00D74FEC"/>
    <w:rsid w:val="00D75505"/>
    <w:rsid w:val="00D75AB8"/>
    <w:rsid w:val="00D75D1E"/>
    <w:rsid w:val="00D76695"/>
    <w:rsid w:val="00D76DB5"/>
    <w:rsid w:val="00D775FF"/>
    <w:rsid w:val="00D77DAB"/>
    <w:rsid w:val="00D80998"/>
    <w:rsid w:val="00D8228F"/>
    <w:rsid w:val="00D8373E"/>
    <w:rsid w:val="00D83CB1"/>
    <w:rsid w:val="00D84431"/>
    <w:rsid w:val="00D86060"/>
    <w:rsid w:val="00D862DA"/>
    <w:rsid w:val="00D8640C"/>
    <w:rsid w:val="00D86456"/>
    <w:rsid w:val="00D86F4A"/>
    <w:rsid w:val="00D870BD"/>
    <w:rsid w:val="00D87C30"/>
    <w:rsid w:val="00D90ED8"/>
    <w:rsid w:val="00D936C9"/>
    <w:rsid w:val="00D93B32"/>
    <w:rsid w:val="00D94447"/>
    <w:rsid w:val="00D94F47"/>
    <w:rsid w:val="00D9546F"/>
    <w:rsid w:val="00D96CED"/>
    <w:rsid w:val="00DA3AEE"/>
    <w:rsid w:val="00DA3D7B"/>
    <w:rsid w:val="00DA5482"/>
    <w:rsid w:val="00DA56ED"/>
    <w:rsid w:val="00DA6721"/>
    <w:rsid w:val="00DA7189"/>
    <w:rsid w:val="00DA7370"/>
    <w:rsid w:val="00DA79A5"/>
    <w:rsid w:val="00DB1190"/>
    <w:rsid w:val="00DB17A8"/>
    <w:rsid w:val="00DB1E05"/>
    <w:rsid w:val="00DB271D"/>
    <w:rsid w:val="00DB2F8B"/>
    <w:rsid w:val="00DB3E02"/>
    <w:rsid w:val="00DB4594"/>
    <w:rsid w:val="00DB4AA3"/>
    <w:rsid w:val="00DB68FF"/>
    <w:rsid w:val="00DB7230"/>
    <w:rsid w:val="00DC0BD7"/>
    <w:rsid w:val="00DC10F8"/>
    <w:rsid w:val="00DC32BA"/>
    <w:rsid w:val="00DC354F"/>
    <w:rsid w:val="00DC4262"/>
    <w:rsid w:val="00DC5A02"/>
    <w:rsid w:val="00DC5E79"/>
    <w:rsid w:val="00DC5FD8"/>
    <w:rsid w:val="00DD2871"/>
    <w:rsid w:val="00DD319B"/>
    <w:rsid w:val="00DD3B47"/>
    <w:rsid w:val="00DD540D"/>
    <w:rsid w:val="00DD5BCA"/>
    <w:rsid w:val="00DD6518"/>
    <w:rsid w:val="00DD6537"/>
    <w:rsid w:val="00DD6667"/>
    <w:rsid w:val="00DD74A2"/>
    <w:rsid w:val="00DD7825"/>
    <w:rsid w:val="00DD7F74"/>
    <w:rsid w:val="00DE0C64"/>
    <w:rsid w:val="00DE1328"/>
    <w:rsid w:val="00DE1D4C"/>
    <w:rsid w:val="00DE383B"/>
    <w:rsid w:val="00DE3E22"/>
    <w:rsid w:val="00DE49BE"/>
    <w:rsid w:val="00DE5974"/>
    <w:rsid w:val="00DE5DEE"/>
    <w:rsid w:val="00DE6576"/>
    <w:rsid w:val="00DE7D08"/>
    <w:rsid w:val="00DF04B4"/>
    <w:rsid w:val="00DF207C"/>
    <w:rsid w:val="00DF3264"/>
    <w:rsid w:val="00DF37B1"/>
    <w:rsid w:val="00DF4614"/>
    <w:rsid w:val="00DF4A6F"/>
    <w:rsid w:val="00DF5C22"/>
    <w:rsid w:val="00DF6127"/>
    <w:rsid w:val="00DF6D10"/>
    <w:rsid w:val="00DF7B25"/>
    <w:rsid w:val="00DF7CB5"/>
    <w:rsid w:val="00E00B67"/>
    <w:rsid w:val="00E00E00"/>
    <w:rsid w:val="00E018B3"/>
    <w:rsid w:val="00E0199D"/>
    <w:rsid w:val="00E04840"/>
    <w:rsid w:val="00E06244"/>
    <w:rsid w:val="00E0694C"/>
    <w:rsid w:val="00E073E4"/>
    <w:rsid w:val="00E106A0"/>
    <w:rsid w:val="00E10815"/>
    <w:rsid w:val="00E119AB"/>
    <w:rsid w:val="00E1272E"/>
    <w:rsid w:val="00E135A1"/>
    <w:rsid w:val="00E13D0C"/>
    <w:rsid w:val="00E1496E"/>
    <w:rsid w:val="00E16EF1"/>
    <w:rsid w:val="00E177A0"/>
    <w:rsid w:val="00E17C2B"/>
    <w:rsid w:val="00E17F63"/>
    <w:rsid w:val="00E20472"/>
    <w:rsid w:val="00E23437"/>
    <w:rsid w:val="00E23CAF"/>
    <w:rsid w:val="00E249D5"/>
    <w:rsid w:val="00E25043"/>
    <w:rsid w:val="00E2589C"/>
    <w:rsid w:val="00E261AD"/>
    <w:rsid w:val="00E26400"/>
    <w:rsid w:val="00E270DA"/>
    <w:rsid w:val="00E27F39"/>
    <w:rsid w:val="00E304C4"/>
    <w:rsid w:val="00E341F9"/>
    <w:rsid w:val="00E34708"/>
    <w:rsid w:val="00E35E5D"/>
    <w:rsid w:val="00E35FCE"/>
    <w:rsid w:val="00E368C3"/>
    <w:rsid w:val="00E36A0F"/>
    <w:rsid w:val="00E36D63"/>
    <w:rsid w:val="00E3743C"/>
    <w:rsid w:val="00E3764A"/>
    <w:rsid w:val="00E40083"/>
    <w:rsid w:val="00E41B54"/>
    <w:rsid w:val="00E42AFD"/>
    <w:rsid w:val="00E42BAF"/>
    <w:rsid w:val="00E43C06"/>
    <w:rsid w:val="00E43E35"/>
    <w:rsid w:val="00E449B1"/>
    <w:rsid w:val="00E44BE1"/>
    <w:rsid w:val="00E44DEC"/>
    <w:rsid w:val="00E45F71"/>
    <w:rsid w:val="00E47205"/>
    <w:rsid w:val="00E47B31"/>
    <w:rsid w:val="00E501F7"/>
    <w:rsid w:val="00E5082D"/>
    <w:rsid w:val="00E5086D"/>
    <w:rsid w:val="00E50A20"/>
    <w:rsid w:val="00E51BEE"/>
    <w:rsid w:val="00E527EE"/>
    <w:rsid w:val="00E52F23"/>
    <w:rsid w:val="00E5396D"/>
    <w:rsid w:val="00E546E0"/>
    <w:rsid w:val="00E54E15"/>
    <w:rsid w:val="00E574A9"/>
    <w:rsid w:val="00E57A75"/>
    <w:rsid w:val="00E61355"/>
    <w:rsid w:val="00E613BC"/>
    <w:rsid w:val="00E61F1E"/>
    <w:rsid w:val="00E62F73"/>
    <w:rsid w:val="00E63394"/>
    <w:rsid w:val="00E63775"/>
    <w:rsid w:val="00E638A0"/>
    <w:rsid w:val="00E641EE"/>
    <w:rsid w:val="00E64B6E"/>
    <w:rsid w:val="00E660FE"/>
    <w:rsid w:val="00E6645C"/>
    <w:rsid w:val="00E66861"/>
    <w:rsid w:val="00E66A0D"/>
    <w:rsid w:val="00E66CA9"/>
    <w:rsid w:val="00E66E21"/>
    <w:rsid w:val="00E67063"/>
    <w:rsid w:val="00E67C06"/>
    <w:rsid w:val="00E70193"/>
    <w:rsid w:val="00E70F38"/>
    <w:rsid w:val="00E710FC"/>
    <w:rsid w:val="00E71915"/>
    <w:rsid w:val="00E71F89"/>
    <w:rsid w:val="00E72643"/>
    <w:rsid w:val="00E72CF1"/>
    <w:rsid w:val="00E743B2"/>
    <w:rsid w:val="00E753DA"/>
    <w:rsid w:val="00E754BF"/>
    <w:rsid w:val="00E768DB"/>
    <w:rsid w:val="00E77B73"/>
    <w:rsid w:val="00E80549"/>
    <w:rsid w:val="00E80916"/>
    <w:rsid w:val="00E83A36"/>
    <w:rsid w:val="00E83D10"/>
    <w:rsid w:val="00E840DF"/>
    <w:rsid w:val="00E84107"/>
    <w:rsid w:val="00E8452A"/>
    <w:rsid w:val="00E8560F"/>
    <w:rsid w:val="00E85820"/>
    <w:rsid w:val="00E86E49"/>
    <w:rsid w:val="00E8780A"/>
    <w:rsid w:val="00E87E90"/>
    <w:rsid w:val="00E87ECC"/>
    <w:rsid w:val="00E9068D"/>
    <w:rsid w:val="00E90A9A"/>
    <w:rsid w:val="00E9260C"/>
    <w:rsid w:val="00E9324B"/>
    <w:rsid w:val="00E9378F"/>
    <w:rsid w:val="00E94F30"/>
    <w:rsid w:val="00E957FC"/>
    <w:rsid w:val="00E95C72"/>
    <w:rsid w:val="00E96AE6"/>
    <w:rsid w:val="00E976B6"/>
    <w:rsid w:val="00EA0289"/>
    <w:rsid w:val="00EA08C5"/>
    <w:rsid w:val="00EA13FF"/>
    <w:rsid w:val="00EA2F90"/>
    <w:rsid w:val="00EA32AC"/>
    <w:rsid w:val="00EA3953"/>
    <w:rsid w:val="00EA3C3D"/>
    <w:rsid w:val="00EA489A"/>
    <w:rsid w:val="00EA519E"/>
    <w:rsid w:val="00EA7DF8"/>
    <w:rsid w:val="00EB11D1"/>
    <w:rsid w:val="00EB1540"/>
    <w:rsid w:val="00EB181B"/>
    <w:rsid w:val="00EB1CA4"/>
    <w:rsid w:val="00EB2477"/>
    <w:rsid w:val="00EB2DEA"/>
    <w:rsid w:val="00EB4AB3"/>
    <w:rsid w:val="00EB50A3"/>
    <w:rsid w:val="00EB52CC"/>
    <w:rsid w:val="00EB6794"/>
    <w:rsid w:val="00EB6D05"/>
    <w:rsid w:val="00EC03AD"/>
    <w:rsid w:val="00EC0E8A"/>
    <w:rsid w:val="00EC218C"/>
    <w:rsid w:val="00EC32A0"/>
    <w:rsid w:val="00EC341C"/>
    <w:rsid w:val="00EC4164"/>
    <w:rsid w:val="00EC618A"/>
    <w:rsid w:val="00ED06B9"/>
    <w:rsid w:val="00ED1657"/>
    <w:rsid w:val="00ED2EE8"/>
    <w:rsid w:val="00ED2F22"/>
    <w:rsid w:val="00ED366B"/>
    <w:rsid w:val="00ED3EA1"/>
    <w:rsid w:val="00ED44BB"/>
    <w:rsid w:val="00ED494D"/>
    <w:rsid w:val="00ED4FEF"/>
    <w:rsid w:val="00ED5637"/>
    <w:rsid w:val="00ED6618"/>
    <w:rsid w:val="00ED66B6"/>
    <w:rsid w:val="00ED75A3"/>
    <w:rsid w:val="00ED77B6"/>
    <w:rsid w:val="00ED7D3F"/>
    <w:rsid w:val="00EE0101"/>
    <w:rsid w:val="00EE11CB"/>
    <w:rsid w:val="00EE1680"/>
    <w:rsid w:val="00EE2F68"/>
    <w:rsid w:val="00EE4C59"/>
    <w:rsid w:val="00EE5320"/>
    <w:rsid w:val="00EE5AD0"/>
    <w:rsid w:val="00EE71C9"/>
    <w:rsid w:val="00EE7A9E"/>
    <w:rsid w:val="00EF1653"/>
    <w:rsid w:val="00EF1750"/>
    <w:rsid w:val="00EF1C0C"/>
    <w:rsid w:val="00EF30D2"/>
    <w:rsid w:val="00EF310F"/>
    <w:rsid w:val="00EF314E"/>
    <w:rsid w:val="00EF352D"/>
    <w:rsid w:val="00EF3EBB"/>
    <w:rsid w:val="00EF44C8"/>
    <w:rsid w:val="00EF4AEE"/>
    <w:rsid w:val="00EF4BC9"/>
    <w:rsid w:val="00EF58C4"/>
    <w:rsid w:val="00EF6B13"/>
    <w:rsid w:val="00EF6E41"/>
    <w:rsid w:val="00EF7FF7"/>
    <w:rsid w:val="00F00DB5"/>
    <w:rsid w:val="00F00DD1"/>
    <w:rsid w:val="00F00F57"/>
    <w:rsid w:val="00F03BF4"/>
    <w:rsid w:val="00F03C23"/>
    <w:rsid w:val="00F03F3B"/>
    <w:rsid w:val="00F046DF"/>
    <w:rsid w:val="00F05AC4"/>
    <w:rsid w:val="00F06D7E"/>
    <w:rsid w:val="00F07468"/>
    <w:rsid w:val="00F107AD"/>
    <w:rsid w:val="00F10D63"/>
    <w:rsid w:val="00F111AF"/>
    <w:rsid w:val="00F11DDC"/>
    <w:rsid w:val="00F129BD"/>
    <w:rsid w:val="00F1302B"/>
    <w:rsid w:val="00F13F76"/>
    <w:rsid w:val="00F152BB"/>
    <w:rsid w:val="00F153C1"/>
    <w:rsid w:val="00F15847"/>
    <w:rsid w:val="00F16825"/>
    <w:rsid w:val="00F17993"/>
    <w:rsid w:val="00F17E52"/>
    <w:rsid w:val="00F20387"/>
    <w:rsid w:val="00F20C79"/>
    <w:rsid w:val="00F2150E"/>
    <w:rsid w:val="00F21527"/>
    <w:rsid w:val="00F2176B"/>
    <w:rsid w:val="00F217E8"/>
    <w:rsid w:val="00F22624"/>
    <w:rsid w:val="00F22D82"/>
    <w:rsid w:val="00F22FE8"/>
    <w:rsid w:val="00F23A8E"/>
    <w:rsid w:val="00F26D40"/>
    <w:rsid w:val="00F2723C"/>
    <w:rsid w:val="00F27287"/>
    <w:rsid w:val="00F307F8"/>
    <w:rsid w:val="00F30E3C"/>
    <w:rsid w:val="00F31302"/>
    <w:rsid w:val="00F3288D"/>
    <w:rsid w:val="00F33A2D"/>
    <w:rsid w:val="00F340B6"/>
    <w:rsid w:val="00F34896"/>
    <w:rsid w:val="00F34E5E"/>
    <w:rsid w:val="00F35FA4"/>
    <w:rsid w:val="00F36120"/>
    <w:rsid w:val="00F361B7"/>
    <w:rsid w:val="00F3634F"/>
    <w:rsid w:val="00F37CB5"/>
    <w:rsid w:val="00F400FA"/>
    <w:rsid w:val="00F40103"/>
    <w:rsid w:val="00F4088E"/>
    <w:rsid w:val="00F40BAE"/>
    <w:rsid w:val="00F40EB8"/>
    <w:rsid w:val="00F428A1"/>
    <w:rsid w:val="00F42D95"/>
    <w:rsid w:val="00F43780"/>
    <w:rsid w:val="00F47B5D"/>
    <w:rsid w:val="00F504E5"/>
    <w:rsid w:val="00F5102F"/>
    <w:rsid w:val="00F52F93"/>
    <w:rsid w:val="00F531ED"/>
    <w:rsid w:val="00F53914"/>
    <w:rsid w:val="00F54608"/>
    <w:rsid w:val="00F548B7"/>
    <w:rsid w:val="00F54AAB"/>
    <w:rsid w:val="00F552F2"/>
    <w:rsid w:val="00F559EB"/>
    <w:rsid w:val="00F55E52"/>
    <w:rsid w:val="00F55E99"/>
    <w:rsid w:val="00F55ECD"/>
    <w:rsid w:val="00F56D60"/>
    <w:rsid w:val="00F57719"/>
    <w:rsid w:val="00F577A7"/>
    <w:rsid w:val="00F57EF0"/>
    <w:rsid w:val="00F600F7"/>
    <w:rsid w:val="00F60133"/>
    <w:rsid w:val="00F615B8"/>
    <w:rsid w:val="00F627E2"/>
    <w:rsid w:val="00F66DFC"/>
    <w:rsid w:val="00F67CFB"/>
    <w:rsid w:val="00F71520"/>
    <w:rsid w:val="00F71B06"/>
    <w:rsid w:val="00F722A0"/>
    <w:rsid w:val="00F72C2D"/>
    <w:rsid w:val="00F73767"/>
    <w:rsid w:val="00F7590F"/>
    <w:rsid w:val="00F75FC7"/>
    <w:rsid w:val="00F75FE2"/>
    <w:rsid w:val="00F772CC"/>
    <w:rsid w:val="00F77634"/>
    <w:rsid w:val="00F777E4"/>
    <w:rsid w:val="00F80EEF"/>
    <w:rsid w:val="00F81402"/>
    <w:rsid w:val="00F822F9"/>
    <w:rsid w:val="00F83C67"/>
    <w:rsid w:val="00F83DE6"/>
    <w:rsid w:val="00F84D76"/>
    <w:rsid w:val="00F8563E"/>
    <w:rsid w:val="00F8569E"/>
    <w:rsid w:val="00F85A14"/>
    <w:rsid w:val="00F87E03"/>
    <w:rsid w:val="00F90EB0"/>
    <w:rsid w:val="00F913C6"/>
    <w:rsid w:val="00F93766"/>
    <w:rsid w:val="00F9383E"/>
    <w:rsid w:val="00F93D7A"/>
    <w:rsid w:val="00F9476B"/>
    <w:rsid w:val="00F94864"/>
    <w:rsid w:val="00F952D1"/>
    <w:rsid w:val="00F95749"/>
    <w:rsid w:val="00F95BDD"/>
    <w:rsid w:val="00F97A4B"/>
    <w:rsid w:val="00FA02EE"/>
    <w:rsid w:val="00FA04EA"/>
    <w:rsid w:val="00FA33A6"/>
    <w:rsid w:val="00FA4009"/>
    <w:rsid w:val="00FA4E34"/>
    <w:rsid w:val="00FA5C7B"/>
    <w:rsid w:val="00FA5D1A"/>
    <w:rsid w:val="00FA6C4E"/>
    <w:rsid w:val="00FA7B80"/>
    <w:rsid w:val="00FB0B18"/>
    <w:rsid w:val="00FB0F7E"/>
    <w:rsid w:val="00FB18EA"/>
    <w:rsid w:val="00FB1D09"/>
    <w:rsid w:val="00FB2ACA"/>
    <w:rsid w:val="00FB3A08"/>
    <w:rsid w:val="00FB4C58"/>
    <w:rsid w:val="00FB552B"/>
    <w:rsid w:val="00FB673E"/>
    <w:rsid w:val="00FB6FED"/>
    <w:rsid w:val="00FB753B"/>
    <w:rsid w:val="00FC0B72"/>
    <w:rsid w:val="00FC1CE5"/>
    <w:rsid w:val="00FC3C25"/>
    <w:rsid w:val="00FC3D57"/>
    <w:rsid w:val="00FC3EB4"/>
    <w:rsid w:val="00FC3EF2"/>
    <w:rsid w:val="00FC4DD0"/>
    <w:rsid w:val="00FC508E"/>
    <w:rsid w:val="00FC51B8"/>
    <w:rsid w:val="00FC5FD1"/>
    <w:rsid w:val="00FC6083"/>
    <w:rsid w:val="00FC6C2D"/>
    <w:rsid w:val="00FC74D2"/>
    <w:rsid w:val="00FC74E8"/>
    <w:rsid w:val="00FD16AB"/>
    <w:rsid w:val="00FD2E3A"/>
    <w:rsid w:val="00FD3718"/>
    <w:rsid w:val="00FD38DC"/>
    <w:rsid w:val="00FD51CF"/>
    <w:rsid w:val="00FD6457"/>
    <w:rsid w:val="00FD6B08"/>
    <w:rsid w:val="00FD6B1E"/>
    <w:rsid w:val="00FD730A"/>
    <w:rsid w:val="00FD755E"/>
    <w:rsid w:val="00FD759E"/>
    <w:rsid w:val="00FD79EF"/>
    <w:rsid w:val="00FD7AFC"/>
    <w:rsid w:val="00FD7CD3"/>
    <w:rsid w:val="00FD7EA8"/>
    <w:rsid w:val="00FE305F"/>
    <w:rsid w:val="00FE410C"/>
    <w:rsid w:val="00FE44C5"/>
    <w:rsid w:val="00FE7A3F"/>
    <w:rsid w:val="00FE7B21"/>
    <w:rsid w:val="00FF0206"/>
    <w:rsid w:val="00FF0246"/>
    <w:rsid w:val="00FF0DC6"/>
    <w:rsid w:val="00FF1021"/>
    <w:rsid w:val="00FF141F"/>
    <w:rsid w:val="00FF1663"/>
    <w:rsid w:val="00FF284F"/>
    <w:rsid w:val="00FF406D"/>
    <w:rsid w:val="00FF4173"/>
    <w:rsid w:val="00FF4449"/>
    <w:rsid w:val="00FF5058"/>
    <w:rsid w:val="00FF526B"/>
    <w:rsid w:val="00FF5C9B"/>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F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Emphasis">
    <w:name w:val="Emphasis"/>
    <w:basedOn w:val="DefaultParagraphFont"/>
    <w:uiPriority w:val="20"/>
    <w:qFormat/>
    <w:locked/>
    <w:rsid w:val="00D545E5"/>
    <w:rPr>
      <w:i/>
      <w:iCs/>
    </w:rPr>
  </w:style>
  <w:style w:type="character" w:customStyle="1" w:styleId="defaultparagraphfont0">
    <w:name w:val="defaultparagraphfont"/>
    <w:basedOn w:val="DefaultParagraphFont"/>
    <w:rsid w:val="00D545E5"/>
  </w:style>
  <w:style w:type="paragraph" w:styleId="Revision">
    <w:name w:val="Revision"/>
    <w:hidden/>
    <w:uiPriority w:val="99"/>
    <w:semiHidden/>
    <w:rsid w:val="00545980"/>
  </w:style>
  <w:style w:type="character" w:styleId="CommentReference">
    <w:name w:val="annotation reference"/>
    <w:basedOn w:val="DefaultParagraphFont"/>
    <w:uiPriority w:val="99"/>
    <w:semiHidden/>
    <w:unhideWhenUsed/>
    <w:locked/>
    <w:rsid w:val="005F4365"/>
    <w:rPr>
      <w:sz w:val="16"/>
      <w:szCs w:val="16"/>
    </w:rPr>
  </w:style>
  <w:style w:type="paragraph" w:styleId="CommentText">
    <w:name w:val="annotation text"/>
    <w:basedOn w:val="Normal"/>
    <w:link w:val="CommentTextChar"/>
    <w:uiPriority w:val="99"/>
    <w:unhideWhenUsed/>
    <w:locked/>
    <w:rsid w:val="005F4365"/>
    <w:pPr>
      <w:spacing w:line="240" w:lineRule="auto"/>
    </w:pPr>
    <w:rPr>
      <w:sz w:val="20"/>
      <w:szCs w:val="20"/>
    </w:rPr>
  </w:style>
  <w:style w:type="character" w:customStyle="1" w:styleId="CommentTextChar">
    <w:name w:val="Comment Text Char"/>
    <w:basedOn w:val="DefaultParagraphFont"/>
    <w:link w:val="CommentText"/>
    <w:uiPriority w:val="99"/>
    <w:rsid w:val="005F4365"/>
    <w:rPr>
      <w:sz w:val="20"/>
      <w:szCs w:val="20"/>
    </w:rPr>
  </w:style>
  <w:style w:type="paragraph" w:styleId="CommentSubject">
    <w:name w:val="annotation subject"/>
    <w:basedOn w:val="CommentText"/>
    <w:next w:val="CommentText"/>
    <w:link w:val="CommentSubjectChar"/>
    <w:uiPriority w:val="99"/>
    <w:semiHidden/>
    <w:unhideWhenUsed/>
    <w:locked/>
    <w:rsid w:val="005F4365"/>
    <w:rPr>
      <w:b/>
      <w:bCs/>
    </w:rPr>
  </w:style>
  <w:style w:type="character" w:customStyle="1" w:styleId="CommentSubjectChar">
    <w:name w:val="Comment Subject Char"/>
    <w:basedOn w:val="CommentTextChar"/>
    <w:link w:val="CommentSubject"/>
    <w:uiPriority w:val="99"/>
    <w:semiHidden/>
    <w:rsid w:val="005F4365"/>
    <w:rPr>
      <w:b/>
      <w:bCs/>
      <w:sz w:val="20"/>
      <w:szCs w:val="20"/>
    </w:rPr>
  </w:style>
  <w:style w:type="character" w:styleId="Hyperlink">
    <w:name w:val="Hyperlink"/>
    <w:basedOn w:val="DefaultParagraphFont"/>
    <w:uiPriority w:val="99"/>
    <w:unhideWhenUsed/>
    <w:locked/>
    <w:rsid w:val="00D039BE"/>
    <w:rPr>
      <w:color w:val="0000FF" w:themeColor="hyperlink"/>
      <w:u w:val="single"/>
    </w:rPr>
  </w:style>
  <w:style w:type="character" w:styleId="UnresolvedMention">
    <w:name w:val="Unresolved Mention"/>
    <w:basedOn w:val="DefaultParagraphFont"/>
    <w:uiPriority w:val="99"/>
    <w:semiHidden/>
    <w:unhideWhenUsed/>
    <w:rsid w:val="00D039BE"/>
    <w:rPr>
      <w:color w:val="605E5C"/>
      <w:shd w:val="clear" w:color="auto" w:fill="E1DFDD"/>
    </w:rPr>
  </w:style>
  <w:style w:type="paragraph" w:customStyle="1" w:styleId="Body">
    <w:name w:val="Body"/>
    <w:basedOn w:val="Normal"/>
    <w:qFormat/>
    <w:rsid w:val="00877A9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77A9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77A9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77A9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77A9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77A9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6795">
      <w:bodyDiv w:val="1"/>
      <w:marLeft w:val="0"/>
      <w:marRight w:val="0"/>
      <w:marTop w:val="0"/>
      <w:marBottom w:val="0"/>
      <w:divBdr>
        <w:top w:val="none" w:sz="0" w:space="0" w:color="auto"/>
        <w:left w:val="none" w:sz="0" w:space="0" w:color="auto"/>
        <w:bottom w:val="none" w:sz="0" w:space="0" w:color="auto"/>
        <w:right w:val="none" w:sz="0" w:space="0" w:color="auto"/>
      </w:divBdr>
    </w:div>
    <w:div w:id="76290307">
      <w:bodyDiv w:val="1"/>
      <w:marLeft w:val="0"/>
      <w:marRight w:val="0"/>
      <w:marTop w:val="0"/>
      <w:marBottom w:val="0"/>
      <w:divBdr>
        <w:top w:val="none" w:sz="0" w:space="0" w:color="auto"/>
        <w:left w:val="none" w:sz="0" w:space="0" w:color="auto"/>
        <w:bottom w:val="none" w:sz="0" w:space="0" w:color="auto"/>
        <w:right w:val="none" w:sz="0" w:space="0" w:color="auto"/>
      </w:divBdr>
    </w:div>
    <w:div w:id="90863105">
      <w:bodyDiv w:val="1"/>
      <w:marLeft w:val="0"/>
      <w:marRight w:val="0"/>
      <w:marTop w:val="0"/>
      <w:marBottom w:val="0"/>
      <w:divBdr>
        <w:top w:val="none" w:sz="0" w:space="0" w:color="auto"/>
        <w:left w:val="none" w:sz="0" w:space="0" w:color="auto"/>
        <w:bottom w:val="none" w:sz="0" w:space="0" w:color="auto"/>
        <w:right w:val="none" w:sz="0" w:space="0" w:color="auto"/>
      </w:divBdr>
    </w:div>
    <w:div w:id="570115471">
      <w:bodyDiv w:val="1"/>
      <w:marLeft w:val="0"/>
      <w:marRight w:val="0"/>
      <w:marTop w:val="0"/>
      <w:marBottom w:val="0"/>
      <w:divBdr>
        <w:top w:val="none" w:sz="0" w:space="0" w:color="auto"/>
        <w:left w:val="none" w:sz="0" w:space="0" w:color="auto"/>
        <w:bottom w:val="none" w:sz="0" w:space="0" w:color="auto"/>
        <w:right w:val="none" w:sz="0" w:space="0" w:color="auto"/>
      </w:divBdr>
    </w:div>
    <w:div w:id="804397491">
      <w:bodyDiv w:val="1"/>
      <w:marLeft w:val="0"/>
      <w:marRight w:val="0"/>
      <w:marTop w:val="0"/>
      <w:marBottom w:val="0"/>
      <w:divBdr>
        <w:top w:val="none" w:sz="0" w:space="0" w:color="auto"/>
        <w:left w:val="none" w:sz="0" w:space="0" w:color="auto"/>
        <w:bottom w:val="none" w:sz="0" w:space="0" w:color="auto"/>
        <w:right w:val="none" w:sz="0" w:space="0" w:color="auto"/>
      </w:divBdr>
    </w:div>
    <w:div w:id="14722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7D591725-B50D-4DE4-BAF8-C3F91E122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25</Pages>
  <Words>6130</Words>
  <Characters>31211</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2025-05-05T00:52:00Z</dcterms:created>
  <dcterms:modified xsi:type="dcterms:W3CDTF">2025-05-05T00:55:00Z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