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7141" w14:textId="77777777" w:rsidR="00CA52FD" w:rsidRPr="00704FF8" w:rsidRDefault="00CA52FD" w:rsidP="00704FF8">
      <w:pPr>
        <w:pStyle w:val="OrdersTopLine"/>
      </w:pPr>
      <w:r w:rsidRPr="00704FF8">
        <w:t>HIGH COURT OF AUSTRALIA</w:t>
      </w:r>
    </w:p>
    <w:p w14:paraId="61BFB7C8" w14:textId="77777777" w:rsidR="00CA52FD" w:rsidRPr="00704FF8" w:rsidRDefault="00CA52FD" w:rsidP="00704FF8">
      <w:pPr>
        <w:pStyle w:val="OrderCentre"/>
      </w:pPr>
    </w:p>
    <w:p w14:paraId="12FA6686" w14:textId="77777777" w:rsidR="00CA52FD" w:rsidRPr="00C46004" w:rsidRDefault="00CA52FD" w:rsidP="00704FF8">
      <w:pPr>
        <w:pStyle w:val="OrderCentre"/>
        <w:rPr>
          <w:spacing w:val="-4"/>
          <w:sz w:val="24"/>
          <w:szCs w:val="24"/>
        </w:rPr>
      </w:pPr>
      <w:r w:rsidRPr="00C46004">
        <w:rPr>
          <w:spacing w:val="-4"/>
          <w:sz w:val="24"/>
          <w:szCs w:val="24"/>
        </w:rPr>
        <w:t>GAGELER CJ,</w:t>
      </w:r>
    </w:p>
    <w:p w14:paraId="2B3BE79E" w14:textId="213B790F" w:rsidR="00CA52FD" w:rsidRPr="00704FF8" w:rsidRDefault="00CA52FD" w:rsidP="00704FF8">
      <w:pPr>
        <w:pStyle w:val="OrderCentre"/>
      </w:pPr>
      <w:r w:rsidRPr="00C46004">
        <w:rPr>
          <w:spacing w:val="-4"/>
          <w:sz w:val="24"/>
          <w:szCs w:val="24"/>
        </w:rPr>
        <w:t>GORDON, EDELMAN, STEWARD AND GLEESON JJ</w:t>
      </w:r>
    </w:p>
    <w:p w14:paraId="34315012" w14:textId="77777777" w:rsidR="00CA52FD" w:rsidRPr="00427F3A" w:rsidRDefault="00CA52FD" w:rsidP="00EE5374">
      <w:pPr>
        <w:pStyle w:val="Centre"/>
        <w:rPr>
          <w:lang w:val="en-AU"/>
        </w:rPr>
      </w:pPr>
    </w:p>
    <w:p w14:paraId="62D99ACE" w14:textId="77777777" w:rsidR="00CA52FD" w:rsidRPr="00704FF8" w:rsidRDefault="00CA52FD" w:rsidP="00704FF8">
      <w:pPr>
        <w:pStyle w:val="OrdersCenteredBorder"/>
      </w:pPr>
    </w:p>
    <w:p w14:paraId="5114A9A0" w14:textId="77777777" w:rsidR="00CA52FD" w:rsidRPr="00704FF8" w:rsidRDefault="00CA52FD" w:rsidP="0032341F">
      <w:pPr>
        <w:pStyle w:val="OrdersBodyHeading"/>
      </w:pPr>
    </w:p>
    <w:p w14:paraId="20BC4255" w14:textId="77777777" w:rsidR="00CA52FD" w:rsidRPr="0032341F" w:rsidRDefault="00CA52FD" w:rsidP="0046732E">
      <w:pPr>
        <w:pStyle w:val="OrdersPartyName"/>
        <w:ind w:right="-1"/>
      </w:pPr>
      <w:r w:rsidRPr="0046732E">
        <w:t>DZY (A PSEUDONYM)</w:t>
      </w:r>
      <w:r w:rsidRPr="0032341F">
        <w:tab/>
        <w:t>APPELLANT</w:t>
      </w:r>
    </w:p>
    <w:p w14:paraId="71497D3C" w14:textId="77777777" w:rsidR="00CA52FD" w:rsidRPr="0032341F" w:rsidRDefault="00CA52FD" w:rsidP="0046732E">
      <w:pPr>
        <w:pStyle w:val="OrdersPartyName"/>
        <w:ind w:right="-1"/>
      </w:pPr>
    </w:p>
    <w:p w14:paraId="2B565624" w14:textId="77777777" w:rsidR="00CA52FD" w:rsidRPr="0032341F" w:rsidRDefault="00CA52FD" w:rsidP="0046732E">
      <w:pPr>
        <w:pStyle w:val="OrdersPartyName"/>
        <w:ind w:right="-1"/>
      </w:pPr>
      <w:r w:rsidRPr="0032341F">
        <w:t>AND</w:t>
      </w:r>
    </w:p>
    <w:p w14:paraId="2A3379EC" w14:textId="77777777" w:rsidR="00CA52FD" w:rsidRPr="0032341F" w:rsidRDefault="00CA52FD" w:rsidP="0046732E">
      <w:pPr>
        <w:pStyle w:val="OrdersPartyName"/>
        <w:ind w:right="-1"/>
      </w:pPr>
    </w:p>
    <w:p w14:paraId="13D91A38" w14:textId="77777777" w:rsidR="00CA52FD" w:rsidRPr="0032341F" w:rsidRDefault="00CA52FD" w:rsidP="0046732E">
      <w:pPr>
        <w:pStyle w:val="OrdersPartyName"/>
        <w:ind w:right="-1"/>
      </w:pPr>
      <w:r w:rsidRPr="0046732E">
        <w:t>TRUSTEES OF THE CHRISTIAN BROTHERS</w:t>
      </w:r>
      <w:r w:rsidRPr="0032341F">
        <w:tab/>
        <w:t>RESPONDENT</w:t>
      </w:r>
    </w:p>
    <w:p w14:paraId="0ACF94C3" w14:textId="77777777" w:rsidR="00CA52FD" w:rsidRPr="00427F3A" w:rsidRDefault="00CA52FD" w:rsidP="0046732E">
      <w:pPr>
        <w:pStyle w:val="BodyHeading"/>
      </w:pPr>
    </w:p>
    <w:p w14:paraId="588ABC14" w14:textId="77777777" w:rsidR="00CA52FD" w:rsidRPr="00427F3A" w:rsidRDefault="00CA52FD" w:rsidP="0046732E">
      <w:pPr>
        <w:pStyle w:val="BodyHeading"/>
      </w:pPr>
    </w:p>
    <w:p w14:paraId="5D5E30CB" w14:textId="77777777" w:rsidR="00CA52FD" w:rsidRPr="00427F3A" w:rsidRDefault="00CA52FD" w:rsidP="0046732E">
      <w:pPr>
        <w:pStyle w:val="CentreItalics"/>
      </w:pPr>
      <w:r w:rsidRPr="0046732E">
        <w:t>DZY (a pseudonym) v Trustees of the Christian Brothers</w:t>
      </w:r>
    </w:p>
    <w:p w14:paraId="0182BA4F" w14:textId="77777777" w:rsidR="00CA52FD" w:rsidRPr="00427F3A" w:rsidRDefault="00CA52FD" w:rsidP="0046732E">
      <w:pPr>
        <w:pStyle w:val="OrdersCentre"/>
      </w:pPr>
      <w:r>
        <w:t>[2025</w:t>
      </w:r>
      <w:r w:rsidRPr="00427F3A">
        <w:t xml:space="preserve">] HCA </w:t>
      </w:r>
      <w:r>
        <w:t>16</w:t>
      </w:r>
    </w:p>
    <w:p w14:paraId="0F322505" w14:textId="77777777" w:rsidR="00CA52FD" w:rsidRDefault="00CA52FD" w:rsidP="0046732E">
      <w:pPr>
        <w:pStyle w:val="OrdersCentreItalics"/>
      </w:pPr>
      <w:r>
        <w:t>Date of Hearing: 13 February 2025</w:t>
      </w:r>
    </w:p>
    <w:p w14:paraId="11C2ECC3" w14:textId="77777777" w:rsidR="00CA52FD" w:rsidRPr="00427F3A" w:rsidRDefault="00CA52FD" w:rsidP="0046732E">
      <w:pPr>
        <w:pStyle w:val="OrdersCentreItalics"/>
      </w:pPr>
      <w:r>
        <w:t>Date of Judgment: 9 April 2025</w:t>
      </w:r>
    </w:p>
    <w:p w14:paraId="7E01BFCD" w14:textId="77777777" w:rsidR="00CA52FD" w:rsidRPr="00427F3A" w:rsidRDefault="00CA52FD" w:rsidP="0046732E">
      <w:pPr>
        <w:pStyle w:val="OrdersCentre"/>
      </w:pPr>
      <w:r w:rsidRPr="0046732E">
        <w:t>M81/2024</w:t>
      </w:r>
    </w:p>
    <w:p w14:paraId="2428248E" w14:textId="77777777" w:rsidR="00CA52FD" w:rsidRPr="00427F3A" w:rsidRDefault="00CA52FD" w:rsidP="00E90E4F">
      <w:pPr>
        <w:pStyle w:val="OrdersCentre"/>
      </w:pPr>
    </w:p>
    <w:p w14:paraId="330F2E3C" w14:textId="77777777" w:rsidR="00CA52FD" w:rsidRPr="00BE0A6C" w:rsidRDefault="00CA52FD" w:rsidP="00E90E4F">
      <w:pPr>
        <w:pStyle w:val="OrderCentreBold"/>
      </w:pPr>
      <w:r w:rsidRPr="00BE0A6C">
        <w:t>ORDER</w:t>
      </w:r>
    </w:p>
    <w:p w14:paraId="686D74AF" w14:textId="77777777" w:rsidR="00CA52FD" w:rsidRPr="00427F3A" w:rsidRDefault="00CA52FD" w:rsidP="00736C52">
      <w:pPr>
        <w:pStyle w:val="Centre"/>
        <w:rPr>
          <w:lang w:val="en-AU"/>
        </w:rPr>
      </w:pPr>
    </w:p>
    <w:p w14:paraId="4A2242F4" w14:textId="77777777" w:rsidR="00CA52FD" w:rsidRPr="008E1013" w:rsidRDefault="00CA52FD" w:rsidP="00081937">
      <w:pPr>
        <w:pStyle w:val="OrdersText"/>
      </w:pPr>
      <w:r>
        <w:t>Appeal dismissed.</w:t>
      </w:r>
    </w:p>
    <w:p w14:paraId="1F6F5B44" w14:textId="77777777" w:rsidR="00CA52FD" w:rsidRDefault="00CA52FD" w:rsidP="00EE5374">
      <w:pPr>
        <w:pStyle w:val="Body"/>
      </w:pPr>
    </w:p>
    <w:p w14:paraId="0E0D0444" w14:textId="77777777" w:rsidR="00CA52FD" w:rsidRPr="00427F3A" w:rsidRDefault="00CA52FD" w:rsidP="00EE5374">
      <w:pPr>
        <w:pStyle w:val="Body"/>
      </w:pPr>
    </w:p>
    <w:p w14:paraId="24695FE6" w14:textId="77777777" w:rsidR="00CA52FD" w:rsidRPr="00427F3A" w:rsidRDefault="00CA52FD" w:rsidP="0032341F">
      <w:pPr>
        <w:pStyle w:val="OrdersBody"/>
      </w:pPr>
      <w:r w:rsidRPr="00427F3A">
        <w:t xml:space="preserve">On appeal from the </w:t>
      </w:r>
      <w:r w:rsidRPr="0046732E">
        <w:t>Supreme Court of Victoria</w:t>
      </w:r>
    </w:p>
    <w:p w14:paraId="7990C10F" w14:textId="77777777" w:rsidR="00CA52FD" w:rsidRDefault="00CA52FD" w:rsidP="00EE5374">
      <w:pPr>
        <w:pStyle w:val="Body"/>
      </w:pPr>
    </w:p>
    <w:p w14:paraId="414B59BB" w14:textId="77777777" w:rsidR="00CA52FD" w:rsidRPr="00427F3A" w:rsidRDefault="00CA52FD" w:rsidP="00EE5374">
      <w:pPr>
        <w:pStyle w:val="Body"/>
      </w:pPr>
    </w:p>
    <w:p w14:paraId="02BE2963" w14:textId="77777777" w:rsidR="00CA52FD" w:rsidRPr="00427F3A" w:rsidRDefault="00CA52FD" w:rsidP="00E90E4F">
      <w:pPr>
        <w:pStyle w:val="OrdersBodyHeading"/>
      </w:pPr>
      <w:r w:rsidRPr="00427F3A">
        <w:t>Representation</w:t>
      </w:r>
    </w:p>
    <w:p w14:paraId="54467542" w14:textId="77777777" w:rsidR="00CA52FD" w:rsidRDefault="00CA52FD" w:rsidP="00EE5374">
      <w:pPr>
        <w:pStyle w:val="Body"/>
      </w:pPr>
    </w:p>
    <w:p w14:paraId="2E0D4AF5" w14:textId="77777777" w:rsidR="00CA52FD" w:rsidRPr="00763F8E" w:rsidRDefault="00CA52FD" w:rsidP="00E90E4F">
      <w:pPr>
        <w:pStyle w:val="OrdersBody"/>
      </w:pPr>
      <w:r w:rsidRPr="00763F8E">
        <w:t>G J Boas with J P O</w:t>
      </w:r>
      <w:r w:rsidRPr="00763F8E">
        <w:rPr>
          <w:lang w:val="en-AU"/>
        </w:rPr>
        <w:t>'</w:t>
      </w:r>
      <w:r w:rsidRPr="00763F8E">
        <w:t>Connor and E H R Kelly for the appellant (instructed by Judy Courtin Legal)</w:t>
      </w:r>
    </w:p>
    <w:p w14:paraId="4F016BA6" w14:textId="77777777" w:rsidR="00CA52FD" w:rsidRPr="00763F8E" w:rsidRDefault="00CA52FD" w:rsidP="001B3C97">
      <w:pPr>
        <w:pStyle w:val="Body"/>
      </w:pPr>
    </w:p>
    <w:p w14:paraId="048BA68F" w14:textId="77777777" w:rsidR="00CA52FD" w:rsidRPr="00763F8E" w:rsidRDefault="00CA52FD" w:rsidP="00E90E4F">
      <w:pPr>
        <w:pStyle w:val="OrdersBody"/>
      </w:pPr>
      <w:r w:rsidRPr="00763F8E">
        <w:t>S D Hay KC with J A G McComish and C T Morshead for the respondent (instructed by Carroll &amp; O</w:t>
      </w:r>
      <w:r w:rsidRPr="00763F8E">
        <w:rPr>
          <w:lang w:val="en-AU"/>
        </w:rPr>
        <w:t>'</w:t>
      </w:r>
      <w:r w:rsidRPr="00763F8E">
        <w:t>Dea Lawyers)</w:t>
      </w:r>
    </w:p>
    <w:p w14:paraId="7C817AF6" w14:textId="77777777" w:rsidR="00CA52FD" w:rsidRDefault="00CA52FD" w:rsidP="00A01277">
      <w:pPr>
        <w:pStyle w:val="Body"/>
      </w:pPr>
    </w:p>
    <w:p w14:paraId="0E57265B" w14:textId="77777777" w:rsidR="00CA52FD" w:rsidRDefault="00CA52FD" w:rsidP="00EE5374">
      <w:pPr>
        <w:pStyle w:val="Body"/>
      </w:pPr>
    </w:p>
    <w:p w14:paraId="4067359E" w14:textId="77777777" w:rsidR="00CA52FD" w:rsidRPr="00427F3A" w:rsidRDefault="00CA52FD" w:rsidP="00EE5374">
      <w:pPr>
        <w:pStyle w:val="Body"/>
      </w:pPr>
    </w:p>
    <w:p w14:paraId="5280CFF4" w14:textId="77777777" w:rsidR="00CA52FD" w:rsidRPr="00427F3A" w:rsidRDefault="00CA52FD" w:rsidP="00F9713B">
      <w:pPr>
        <w:pStyle w:val="Notice"/>
        <w:rPr>
          <w:lang w:val="en-AU"/>
        </w:rPr>
      </w:pPr>
      <w:r w:rsidRPr="00427F3A">
        <w:rPr>
          <w:lang w:val="en-AU"/>
        </w:rPr>
        <w:t>Notice:  This copy of the Court's Reasons for Judgment is subject to formal revision prior to publication in the Commonwealth Law Reports.</w:t>
      </w:r>
    </w:p>
    <w:p w14:paraId="7EC2806D" w14:textId="1C1BA739" w:rsidR="00CA52FD" w:rsidRDefault="00CA52F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9830449" w14:textId="77777777" w:rsidR="00CA52FD" w:rsidRDefault="00CA52F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A52FD" w:rsidSect="00CA52F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1FE26EA" w14:textId="77777777" w:rsidR="00CA52FD" w:rsidRPr="00054C14" w:rsidRDefault="00CA52FD" w:rsidP="00206895">
      <w:pPr>
        <w:pStyle w:val="CatchwordsBold"/>
      </w:pPr>
      <w:r w:rsidRPr="00054C14">
        <w:lastRenderedPageBreak/>
        <w:t>CATCHWORDS</w:t>
      </w:r>
    </w:p>
    <w:p w14:paraId="0E278CF1" w14:textId="77777777" w:rsidR="00CA52FD" w:rsidRPr="00054C14" w:rsidRDefault="00CA52FD" w:rsidP="00CA52FD">
      <w:pPr>
        <w:spacing w:line="240" w:lineRule="auto"/>
        <w:ind w:firstLine="0"/>
        <w:rPr>
          <w:b/>
        </w:rPr>
      </w:pPr>
    </w:p>
    <w:p w14:paraId="1E56BA4B" w14:textId="77777777" w:rsidR="00CA52FD" w:rsidRPr="00ED38EB" w:rsidRDefault="00CA52FD" w:rsidP="00ED38EB">
      <w:pPr>
        <w:pStyle w:val="CatchwordsBold"/>
      </w:pPr>
      <w:r w:rsidRPr="00ED38EB">
        <w:t>DZY (a pseudonym) v Trustees of the Christian Brothers</w:t>
      </w:r>
    </w:p>
    <w:p w14:paraId="00359755" w14:textId="77777777" w:rsidR="00CA52FD" w:rsidRDefault="00CA52FD" w:rsidP="00CA52FD">
      <w:pPr>
        <w:spacing w:line="240" w:lineRule="auto"/>
        <w:ind w:firstLine="0"/>
      </w:pPr>
    </w:p>
    <w:p w14:paraId="22FB4151" w14:textId="77777777" w:rsidR="00CA52FD" w:rsidRDefault="00CA52FD" w:rsidP="008355B8">
      <w:pPr>
        <w:pStyle w:val="CatchwordsText"/>
        <w:rPr>
          <w:szCs w:val="26"/>
        </w:rPr>
      </w:pPr>
      <w:r>
        <w:t xml:space="preserve">Statutes </w:t>
      </w:r>
      <w:r>
        <w:rPr>
          <w:szCs w:val="26"/>
        </w:rPr>
        <w:t xml:space="preserve">– Construction – Where s 27QE of </w:t>
      </w:r>
      <w:r>
        <w:rPr>
          <w:i/>
          <w:iCs/>
          <w:szCs w:val="26"/>
        </w:rPr>
        <w:t xml:space="preserve">Limitation of Actions Act 1958 </w:t>
      </w:r>
      <w:r>
        <w:rPr>
          <w:szCs w:val="26"/>
        </w:rPr>
        <w:t>(Vic)</w:t>
      </w:r>
      <w:r>
        <w:rPr>
          <w:i/>
          <w:iCs/>
          <w:szCs w:val="26"/>
        </w:rPr>
        <w:t xml:space="preserve"> </w:t>
      </w:r>
      <w:r>
        <w:rPr>
          <w:szCs w:val="26"/>
        </w:rPr>
        <w:t xml:space="preserve">provides court can set aside settlement agreement for personal injury resulting from child abuse if satisfied "just and reasonable" to do so – Where appellant entered into settlement agreements for personal injury allegedly resulting from child abuse – Where settlement agreements renounced claim for economic loss – Where reasons for settlement included </w:t>
      </w:r>
      <w:r>
        <w:rPr>
          <w:i/>
          <w:iCs/>
          <w:szCs w:val="26"/>
        </w:rPr>
        <w:t xml:space="preserve">Ellis </w:t>
      </w:r>
      <w:r>
        <w:rPr>
          <w:szCs w:val="26"/>
        </w:rPr>
        <w:t xml:space="preserve">defence and limitation period – Whether s 27QE requires </w:t>
      </w:r>
      <w:r>
        <w:rPr>
          <w:i/>
          <w:iCs/>
          <w:szCs w:val="26"/>
        </w:rPr>
        <w:t xml:space="preserve">Ellis </w:t>
      </w:r>
      <w:r>
        <w:rPr>
          <w:szCs w:val="26"/>
        </w:rPr>
        <w:t xml:space="preserve">defence or limitation period to have materially influenced decision to settle in order to be "just and reasonable" to set aside settlement agreement – Whether evidence allowed court to be satisfied "just and reasonable" to set aside renouncement of economic loss claim.  </w:t>
      </w:r>
    </w:p>
    <w:p w14:paraId="1C058510" w14:textId="77777777" w:rsidR="00CA52FD" w:rsidRDefault="00CA52FD" w:rsidP="00CA52FD">
      <w:pPr>
        <w:spacing w:line="240" w:lineRule="auto"/>
        <w:ind w:firstLine="0"/>
      </w:pPr>
    </w:p>
    <w:p w14:paraId="1ACE875D" w14:textId="77777777" w:rsidR="00CA52FD" w:rsidRDefault="00CA52FD" w:rsidP="008355B8">
      <w:pPr>
        <w:pStyle w:val="CatchwordsText"/>
      </w:pPr>
      <w:r w:rsidRPr="5F4F639C">
        <w:t>Words and phrases – "</w:t>
      </w:r>
      <w:r w:rsidRPr="00F80A14">
        <w:t>Centrelink benefits", "Centrelink repayment"</w:t>
      </w:r>
      <w:r w:rsidRPr="5F4F639C">
        <w:t xml:space="preserve">, "child abuse", "correctness standard", "decision to settle", "economic loss", </w:t>
      </w:r>
      <w:r>
        <w:t>"</w:t>
      </w:r>
      <w:r>
        <w:rPr>
          <w:i/>
          <w:iCs/>
        </w:rPr>
        <w:t xml:space="preserve">Ellis </w:t>
      </w:r>
      <w:r>
        <w:t xml:space="preserve">defence", "general damages", </w:t>
      </w:r>
      <w:r w:rsidRPr="5F4F639C">
        <w:t xml:space="preserve">"just and reasonable", "legal barriers", "limitation defence", "limitation period", </w:t>
      </w:r>
      <w:r>
        <w:t xml:space="preserve">"material factors", </w:t>
      </w:r>
      <w:r w:rsidRPr="5F4F639C">
        <w:t xml:space="preserve">"materially influenced", </w:t>
      </w:r>
      <w:r>
        <w:t xml:space="preserve">"non-economic loss", </w:t>
      </w:r>
      <w:r w:rsidRPr="5F4F639C">
        <w:t xml:space="preserve">"personal injury", "personal injury resulting from child abuse", "positive finding", "prerequisites to the exercise of the power", "quasi-prerequisites to the exercise of the power", "set aside", "set aside </w:t>
      </w:r>
      <w:r>
        <w:t xml:space="preserve">a </w:t>
      </w:r>
      <w:r w:rsidRPr="5F4F639C">
        <w:t xml:space="preserve">settlement </w:t>
      </w:r>
      <w:r>
        <w:t>agreement</w:t>
      </w:r>
      <w:r w:rsidRPr="5F4F639C">
        <w:t xml:space="preserve">", "settlement agreement", "settlement deed". </w:t>
      </w:r>
    </w:p>
    <w:p w14:paraId="002BB861" w14:textId="77777777" w:rsidR="00CA52FD" w:rsidRDefault="00CA52FD" w:rsidP="00CA52FD">
      <w:pPr>
        <w:spacing w:line="240" w:lineRule="auto"/>
        <w:ind w:firstLine="0"/>
      </w:pPr>
    </w:p>
    <w:p w14:paraId="284D208E" w14:textId="77777777" w:rsidR="00CA52FD" w:rsidRPr="00D325E2" w:rsidRDefault="00CA52FD" w:rsidP="008355B8">
      <w:pPr>
        <w:pStyle w:val="CatchwordsText"/>
        <w:rPr>
          <w:i/>
          <w:szCs w:val="26"/>
        </w:rPr>
      </w:pPr>
      <w:r w:rsidRPr="008355B8">
        <w:rPr>
          <w:i/>
        </w:rPr>
        <w:t>Limitation of Actions Act 1958</w:t>
      </w:r>
      <w:r>
        <w:rPr>
          <w:i/>
          <w:szCs w:val="26"/>
        </w:rPr>
        <w:t xml:space="preserve"> </w:t>
      </w:r>
      <w:r>
        <w:rPr>
          <w:iCs/>
          <w:szCs w:val="26"/>
        </w:rPr>
        <w:t>(Vic),</w:t>
      </w:r>
      <w:r w:rsidRPr="00D325E2">
        <w:rPr>
          <w:szCs w:val="26"/>
        </w:rPr>
        <w:t xml:space="preserve"> s</w:t>
      </w:r>
      <w:r>
        <w:rPr>
          <w:szCs w:val="26"/>
        </w:rPr>
        <w:t>s 27QD,</w:t>
      </w:r>
      <w:r w:rsidRPr="00D325E2">
        <w:rPr>
          <w:szCs w:val="26"/>
        </w:rPr>
        <w:t xml:space="preserve"> </w:t>
      </w:r>
      <w:r>
        <w:rPr>
          <w:szCs w:val="26"/>
        </w:rPr>
        <w:t>27QE</w:t>
      </w:r>
      <w:r w:rsidRPr="00D325E2">
        <w:rPr>
          <w:szCs w:val="26"/>
        </w:rPr>
        <w:t>.</w:t>
      </w:r>
    </w:p>
    <w:p w14:paraId="31E6ADB9" w14:textId="77777777" w:rsidR="00CA52FD" w:rsidRPr="0052283B" w:rsidRDefault="00CA52FD" w:rsidP="00CA52FD">
      <w:pPr>
        <w:spacing w:line="240" w:lineRule="auto"/>
        <w:ind w:firstLine="0"/>
      </w:pPr>
    </w:p>
    <w:p w14:paraId="6BEAFBFD" w14:textId="30D20149" w:rsidR="00CA52FD" w:rsidRDefault="00CA52FD" w:rsidP="00CA52F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3882869" w14:textId="5B39E3C3" w:rsidR="00CA52FD" w:rsidRDefault="00CA52F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6E3985D" w14:textId="74591088" w:rsidR="00CA52FD" w:rsidRDefault="00CA52F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7DC2F10" w14:textId="77777777" w:rsidR="00CA52FD" w:rsidRDefault="00CA52FD" w:rsidP="00D04D32">
      <w:pPr>
        <w:pStyle w:val="FixListStyle"/>
        <w:tabs>
          <w:tab w:val="clear" w:pos="720"/>
          <w:tab w:val="left" w:pos="0"/>
        </w:tabs>
        <w:spacing w:after="260" w:line="280" w:lineRule="exact"/>
        <w:ind w:right="0"/>
        <w:jc w:val="both"/>
        <w:rPr>
          <w:rFonts w:ascii="Times New Roman" w:hAnsi="Times New Roman"/>
        </w:rPr>
        <w:sectPr w:rsidR="00CA52FD" w:rsidSect="00CA52FD">
          <w:pgSz w:w="11907" w:h="16839" w:code="9"/>
          <w:pgMar w:top="1440" w:right="1701" w:bottom="1984" w:left="1701" w:header="720" w:footer="720" w:gutter="0"/>
          <w:pgNumType w:start="1"/>
          <w:cols w:space="720"/>
          <w:titlePg/>
          <w:docGrid w:linePitch="354"/>
        </w:sectPr>
      </w:pPr>
    </w:p>
    <w:p w14:paraId="5A7BAE2B" w14:textId="38A6E604" w:rsidR="00E7262D" w:rsidRPr="00D04D32" w:rsidRDefault="00D04D32" w:rsidP="00D04D32">
      <w:pPr>
        <w:pStyle w:val="FixListStyle"/>
        <w:tabs>
          <w:tab w:val="clear" w:pos="720"/>
          <w:tab w:val="left" w:pos="0"/>
        </w:tabs>
        <w:spacing w:after="260" w:line="280" w:lineRule="exact"/>
        <w:ind w:right="0"/>
        <w:jc w:val="both"/>
        <w:rPr>
          <w:rFonts w:ascii="Times New Roman" w:hAnsi="Times New Roman"/>
        </w:rPr>
      </w:pPr>
      <w:r w:rsidRPr="00D04D32">
        <w:rPr>
          <w:rFonts w:ascii="Times New Roman" w:hAnsi="Times New Roman"/>
        </w:rPr>
        <w:lastRenderedPageBreak/>
        <w:t>GAGELER CJ, GORDON</w:t>
      </w:r>
      <w:r w:rsidR="00BF25D1">
        <w:rPr>
          <w:rFonts w:ascii="Times New Roman" w:hAnsi="Times New Roman"/>
        </w:rPr>
        <w:t>,</w:t>
      </w:r>
      <w:r w:rsidRPr="00D04D32">
        <w:rPr>
          <w:rFonts w:ascii="Times New Roman" w:hAnsi="Times New Roman"/>
        </w:rPr>
        <w:t xml:space="preserve"> EDELMAN</w:t>
      </w:r>
      <w:r w:rsidR="00BD7787">
        <w:rPr>
          <w:rFonts w:ascii="Times New Roman" w:hAnsi="Times New Roman"/>
        </w:rPr>
        <w:t xml:space="preserve"> </w:t>
      </w:r>
      <w:r w:rsidR="00BF25D1">
        <w:rPr>
          <w:rFonts w:ascii="Times New Roman" w:hAnsi="Times New Roman"/>
        </w:rPr>
        <w:t>AND GLEESON</w:t>
      </w:r>
      <w:r w:rsidR="00BD7787">
        <w:rPr>
          <w:rFonts w:ascii="Times New Roman" w:hAnsi="Times New Roman"/>
        </w:rPr>
        <w:t> </w:t>
      </w:r>
      <w:r w:rsidRPr="00D04D32">
        <w:rPr>
          <w:rFonts w:ascii="Times New Roman" w:hAnsi="Times New Roman"/>
        </w:rPr>
        <w:t xml:space="preserve">JJ.   </w:t>
      </w:r>
      <w:r w:rsidR="00912E7F" w:rsidRPr="00D04D32">
        <w:rPr>
          <w:rFonts w:ascii="Times New Roman" w:hAnsi="Times New Roman"/>
        </w:rPr>
        <w:t>In December 2012, the</w:t>
      </w:r>
      <w:r w:rsidR="00C65C7A">
        <w:rPr>
          <w:rFonts w:ascii="Times New Roman" w:hAnsi="Times New Roman"/>
        </w:rPr>
        <w:t> </w:t>
      </w:r>
      <w:r w:rsidR="00912E7F" w:rsidRPr="00D04D32">
        <w:rPr>
          <w:rFonts w:ascii="Times New Roman" w:hAnsi="Times New Roman"/>
        </w:rPr>
        <w:t xml:space="preserve">appellant, DZY, entered into a settlement </w:t>
      </w:r>
      <w:r w:rsidR="004B07C5" w:rsidRPr="00D04D32">
        <w:rPr>
          <w:rFonts w:ascii="Times New Roman" w:hAnsi="Times New Roman"/>
        </w:rPr>
        <w:t>deed</w:t>
      </w:r>
      <w:r w:rsidR="00912E7F" w:rsidRPr="00D04D32">
        <w:rPr>
          <w:rFonts w:ascii="Times New Roman" w:hAnsi="Times New Roman"/>
        </w:rPr>
        <w:t xml:space="preserve"> ("the 2012 deed") with the</w:t>
      </w:r>
      <w:r w:rsidR="00C65C7A">
        <w:rPr>
          <w:rFonts w:ascii="Times New Roman" w:hAnsi="Times New Roman"/>
        </w:rPr>
        <w:t> </w:t>
      </w:r>
      <w:r w:rsidR="00912E7F" w:rsidRPr="00D04D32">
        <w:rPr>
          <w:rFonts w:ascii="Times New Roman" w:hAnsi="Times New Roman"/>
        </w:rPr>
        <w:t>respondent, the Trustees of the Christian Brothers ("the Trustees"). Under the</w:t>
      </w:r>
      <w:r w:rsidR="006F7A1D">
        <w:rPr>
          <w:rFonts w:ascii="Times New Roman" w:hAnsi="Times New Roman"/>
        </w:rPr>
        <w:t> </w:t>
      </w:r>
      <w:r w:rsidR="00912E7F" w:rsidRPr="00D04D32">
        <w:rPr>
          <w:rFonts w:ascii="Times New Roman" w:hAnsi="Times New Roman"/>
        </w:rPr>
        <w:t xml:space="preserve">2012 deed, DZY agreed to release the Trustees from liability for a claim </w:t>
      </w:r>
      <w:r w:rsidR="00510B1B" w:rsidRPr="00D04D32">
        <w:rPr>
          <w:rFonts w:ascii="Times New Roman" w:hAnsi="Times New Roman"/>
        </w:rPr>
        <w:t xml:space="preserve">that </w:t>
      </w:r>
      <w:r w:rsidR="00590049" w:rsidRPr="00D04D32">
        <w:rPr>
          <w:rFonts w:ascii="Times New Roman" w:hAnsi="Times New Roman"/>
        </w:rPr>
        <w:t xml:space="preserve">DZY was </w:t>
      </w:r>
      <w:r w:rsidR="00912E7F" w:rsidRPr="00D04D32">
        <w:rPr>
          <w:rFonts w:ascii="Times New Roman" w:hAnsi="Times New Roman"/>
        </w:rPr>
        <w:t>sexual</w:t>
      </w:r>
      <w:r w:rsidR="00590049" w:rsidRPr="00D04D32">
        <w:rPr>
          <w:rFonts w:ascii="Times New Roman" w:hAnsi="Times New Roman"/>
        </w:rPr>
        <w:t>ly</w:t>
      </w:r>
      <w:r w:rsidR="00912E7F" w:rsidRPr="00D04D32">
        <w:rPr>
          <w:rFonts w:ascii="Times New Roman" w:hAnsi="Times New Roman"/>
        </w:rPr>
        <w:t xml:space="preserve"> </w:t>
      </w:r>
      <w:r w:rsidR="00D92D80" w:rsidRPr="00D04D32">
        <w:rPr>
          <w:rFonts w:ascii="Times New Roman" w:hAnsi="Times New Roman"/>
        </w:rPr>
        <w:t>assault</w:t>
      </w:r>
      <w:r w:rsidR="00590049" w:rsidRPr="00D04D32">
        <w:rPr>
          <w:rFonts w:ascii="Times New Roman" w:hAnsi="Times New Roman"/>
        </w:rPr>
        <w:t xml:space="preserve">ed </w:t>
      </w:r>
      <w:r w:rsidR="00912E7F" w:rsidRPr="00D04D32">
        <w:rPr>
          <w:rFonts w:ascii="Times New Roman" w:hAnsi="Times New Roman"/>
        </w:rPr>
        <w:t>in the 1960s while he was a student at a school operated by the Congregation</w:t>
      </w:r>
      <w:r w:rsidR="00E06497" w:rsidRPr="00D04D32">
        <w:rPr>
          <w:rFonts w:ascii="Times New Roman" w:hAnsi="Times New Roman"/>
        </w:rPr>
        <w:t xml:space="preserve"> of Christian Brothers ("the</w:t>
      </w:r>
      <w:r w:rsidR="00590049" w:rsidRPr="00D04D32">
        <w:rPr>
          <w:rFonts w:ascii="Times New Roman" w:hAnsi="Times New Roman"/>
        </w:rPr>
        <w:t> </w:t>
      </w:r>
      <w:r w:rsidR="00E06497" w:rsidRPr="00D04D32">
        <w:rPr>
          <w:rFonts w:ascii="Times New Roman" w:hAnsi="Times New Roman"/>
        </w:rPr>
        <w:t>Congregation")</w:t>
      </w:r>
      <w:r w:rsidR="00912E7F" w:rsidRPr="00D04D32">
        <w:rPr>
          <w:rFonts w:ascii="Times New Roman" w:hAnsi="Times New Roman"/>
        </w:rPr>
        <w:t xml:space="preserve">. In 2015, </w:t>
      </w:r>
      <w:r w:rsidR="00AE7296" w:rsidRPr="00D04D32">
        <w:rPr>
          <w:rFonts w:ascii="Times New Roman" w:hAnsi="Times New Roman"/>
        </w:rPr>
        <w:t xml:space="preserve">DZY and the Trustees entered into </w:t>
      </w:r>
      <w:r w:rsidR="00912E7F" w:rsidRPr="00D04D32">
        <w:rPr>
          <w:rFonts w:ascii="Times New Roman" w:hAnsi="Times New Roman"/>
        </w:rPr>
        <w:t>a further deed (</w:t>
      </w:r>
      <w:r w:rsidR="005C23E6" w:rsidRPr="00D04D32">
        <w:rPr>
          <w:rFonts w:ascii="Times New Roman" w:hAnsi="Times New Roman"/>
        </w:rPr>
        <w:t>"</w:t>
      </w:r>
      <w:r w:rsidR="00912E7F" w:rsidRPr="00D04D32">
        <w:rPr>
          <w:rFonts w:ascii="Times New Roman" w:hAnsi="Times New Roman"/>
        </w:rPr>
        <w:t>the 2015 deed</w:t>
      </w:r>
      <w:r w:rsidR="005C23E6" w:rsidRPr="00D04D32">
        <w:rPr>
          <w:rFonts w:ascii="Times New Roman" w:hAnsi="Times New Roman"/>
        </w:rPr>
        <w:t>"</w:t>
      </w:r>
      <w:r w:rsidR="00912E7F" w:rsidRPr="00D04D32">
        <w:rPr>
          <w:rFonts w:ascii="Times New Roman" w:hAnsi="Times New Roman"/>
        </w:rPr>
        <w:t>). DZY agreed, under both deeds, not to bring any further claim for damages arising from the</w:t>
      </w:r>
      <w:r w:rsidR="006F7A1D">
        <w:rPr>
          <w:rFonts w:ascii="Times New Roman" w:hAnsi="Times New Roman"/>
        </w:rPr>
        <w:t> </w:t>
      </w:r>
      <w:r w:rsidR="00912E7F" w:rsidRPr="00D04D32">
        <w:rPr>
          <w:rFonts w:ascii="Times New Roman" w:hAnsi="Times New Roman"/>
        </w:rPr>
        <w:t>alleged sexual</w:t>
      </w:r>
      <w:r w:rsidR="00D67DD8" w:rsidRPr="00D04D32">
        <w:rPr>
          <w:rFonts w:ascii="Times New Roman" w:hAnsi="Times New Roman"/>
        </w:rPr>
        <w:t xml:space="preserve"> assault</w:t>
      </w:r>
      <w:r w:rsidR="00E2333E" w:rsidRPr="00D04D32">
        <w:rPr>
          <w:rFonts w:ascii="Times New Roman" w:hAnsi="Times New Roman"/>
        </w:rPr>
        <w:t>s</w:t>
      </w:r>
      <w:r w:rsidR="00912E7F" w:rsidRPr="00D04D32">
        <w:rPr>
          <w:rFonts w:ascii="Times New Roman" w:hAnsi="Times New Roman"/>
        </w:rPr>
        <w:t>.</w:t>
      </w:r>
      <w:r w:rsidR="00E7262D" w:rsidRPr="00D04D32">
        <w:rPr>
          <w:rFonts w:ascii="Times New Roman" w:hAnsi="Times New Roman"/>
        </w:rPr>
        <w:t xml:space="preserve"> Both</w:t>
      </w:r>
      <w:r w:rsidR="00912E7F" w:rsidRPr="00D04D32">
        <w:rPr>
          <w:rFonts w:ascii="Times New Roman" w:hAnsi="Times New Roman"/>
        </w:rPr>
        <w:t xml:space="preserve"> deeds recorded that DZY did not allege that he suffered any economic loss by reason of the alleged </w:t>
      </w:r>
      <w:r w:rsidR="0031434C" w:rsidRPr="00D04D32">
        <w:rPr>
          <w:rFonts w:ascii="Times New Roman" w:hAnsi="Times New Roman"/>
        </w:rPr>
        <w:t xml:space="preserve">sexual </w:t>
      </w:r>
      <w:r w:rsidR="004B352C" w:rsidRPr="00D04D32">
        <w:rPr>
          <w:rFonts w:ascii="Times New Roman" w:hAnsi="Times New Roman"/>
        </w:rPr>
        <w:t>a</w:t>
      </w:r>
      <w:r w:rsidR="00D67DD8" w:rsidRPr="00D04D32">
        <w:rPr>
          <w:rFonts w:ascii="Times New Roman" w:hAnsi="Times New Roman"/>
        </w:rPr>
        <w:t>ssaults</w:t>
      </w:r>
      <w:r w:rsidR="00912E7F" w:rsidRPr="00D04D32">
        <w:rPr>
          <w:rFonts w:ascii="Times New Roman" w:hAnsi="Times New Roman"/>
        </w:rPr>
        <w:t>.</w:t>
      </w:r>
    </w:p>
    <w:p w14:paraId="490EEC56" w14:textId="57BB6D22" w:rsidR="00E7262D" w:rsidRPr="00D04D32" w:rsidRDefault="00E7262D" w:rsidP="00D04D32">
      <w:pPr>
        <w:pStyle w:val="FixListStyle"/>
        <w:spacing w:after="260" w:line="280" w:lineRule="exact"/>
        <w:ind w:right="0"/>
        <w:jc w:val="both"/>
        <w:rPr>
          <w:rFonts w:ascii="Times New Roman" w:hAnsi="Times New Roman"/>
        </w:rPr>
      </w:pPr>
      <w:r w:rsidRPr="00D04D32">
        <w:rPr>
          <w:rFonts w:ascii="Times New Roman" w:hAnsi="Times New Roman"/>
          <w:b/>
          <w:bCs/>
        </w:rPr>
        <w:tab/>
      </w:r>
      <w:r w:rsidR="00912E7F" w:rsidRPr="00D04D32">
        <w:rPr>
          <w:rFonts w:ascii="Times New Roman" w:hAnsi="Times New Roman"/>
        </w:rPr>
        <w:t xml:space="preserve">At the time DZY entered into the 2012 deed, any claim for damages resulting from the alleged sexual </w:t>
      </w:r>
      <w:r w:rsidR="00C26C34" w:rsidRPr="00D04D32">
        <w:rPr>
          <w:rFonts w:ascii="Times New Roman" w:hAnsi="Times New Roman"/>
        </w:rPr>
        <w:t xml:space="preserve">assaults </w:t>
      </w:r>
      <w:r w:rsidR="00912E7F" w:rsidRPr="00D04D32">
        <w:rPr>
          <w:rFonts w:ascii="Times New Roman" w:hAnsi="Times New Roman"/>
        </w:rPr>
        <w:t xml:space="preserve">was likely to face two significant legal obstacles: (1) a defence under the </w:t>
      </w:r>
      <w:r w:rsidR="00912E7F" w:rsidRPr="00D04D32">
        <w:rPr>
          <w:rFonts w:ascii="Times New Roman" w:hAnsi="Times New Roman"/>
          <w:i/>
          <w:iCs/>
        </w:rPr>
        <w:t xml:space="preserve">Limitation of Actions Act 1958 </w:t>
      </w:r>
      <w:r w:rsidR="00912E7F" w:rsidRPr="00D04D32">
        <w:rPr>
          <w:rFonts w:ascii="Times New Roman" w:hAnsi="Times New Roman"/>
        </w:rPr>
        <w:t>(Vic) (</w:t>
      </w:r>
      <w:r w:rsidRPr="00D04D32">
        <w:rPr>
          <w:rFonts w:ascii="Times New Roman" w:hAnsi="Times New Roman"/>
        </w:rPr>
        <w:t>"</w:t>
      </w:r>
      <w:r w:rsidR="00912E7F" w:rsidRPr="00D04D32">
        <w:rPr>
          <w:rFonts w:ascii="Times New Roman" w:hAnsi="Times New Roman"/>
        </w:rPr>
        <w:t>the</w:t>
      </w:r>
      <w:r w:rsidR="004F1E32">
        <w:rPr>
          <w:rFonts w:ascii="Times New Roman" w:hAnsi="Times New Roman"/>
        </w:rPr>
        <w:t> </w:t>
      </w:r>
      <w:r w:rsidR="00912E7F" w:rsidRPr="00D04D32">
        <w:rPr>
          <w:rFonts w:ascii="Times New Roman" w:hAnsi="Times New Roman"/>
        </w:rPr>
        <w:t>limitation defence</w:t>
      </w:r>
      <w:r w:rsidRPr="00D04D32">
        <w:rPr>
          <w:rFonts w:ascii="Times New Roman" w:hAnsi="Times New Roman"/>
        </w:rPr>
        <w:t>"</w:t>
      </w:r>
      <w:r w:rsidR="00912E7F" w:rsidRPr="00D04D32">
        <w:rPr>
          <w:rFonts w:ascii="Times New Roman" w:hAnsi="Times New Roman"/>
        </w:rPr>
        <w:t>);</w:t>
      </w:r>
      <w:r w:rsidR="00912E7F" w:rsidRPr="00D04D32">
        <w:rPr>
          <w:rStyle w:val="FootnoteReference"/>
          <w:rFonts w:ascii="Times New Roman" w:hAnsi="Times New Roman"/>
          <w:sz w:val="24"/>
        </w:rPr>
        <w:footnoteReference w:id="2"/>
      </w:r>
      <w:r w:rsidR="00912E7F" w:rsidRPr="00D04D32">
        <w:rPr>
          <w:rFonts w:ascii="Times New Roman" w:hAnsi="Times New Roman"/>
        </w:rPr>
        <w:t xml:space="preserve"> and</w:t>
      </w:r>
      <w:r w:rsidR="003535B2" w:rsidRPr="00D04D32">
        <w:rPr>
          <w:rFonts w:ascii="Times New Roman" w:hAnsi="Times New Roman"/>
        </w:rPr>
        <w:t> </w:t>
      </w:r>
      <w:r w:rsidR="00912E7F" w:rsidRPr="00D04D32">
        <w:rPr>
          <w:rFonts w:ascii="Times New Roman" w:hAnsi="Times New Roman"/>
        </w:rPr>
        <w:t>(2)</w:t>
      </w:r>
      <w:r w:rsidR="003535B2" w:rsidRPr="00D04D32">
        <w:rPr>
          <w:rFonts w:ascii="Times New Roman" w:hAnsi="Times New Roman"/>
        </w:rPr>
        <w:t> </w:t>
      </w:r>
      <w:r w:rsidR="00912E7F" w:rsidRPr="00D04D32">
        <w:rPr>
          <w:rFonts w:ascii="Times New Roman" w:hAnsi="Times New Roman"/>
        </w:rPr>
        <w:t>difficulties associated with suing an</w:t>
      </w:r>
      <w:r w:rsidR="00C21D58">
        <w:rPr>
          <w:rFonts w:ascii="Times New Roman" w:hAnsi="Times New Roman"/>
        </w:rPr>
        <w:t> </w:t>
      </w:r>
      <w:r w:rsidR="00912E7F" w:rsidRPr="00D04D32">
        <w:rPr>
          <w:rFonts w:ascii="Times New Roman" w:hAnsi="Times New Roman"/>
        </w:rPr>
        <w:t>unincorporated association,</w:t>
      </w:r>
      <w:r w:rsidR="00912E7F" w:rsidRPr="00D04D32">
        <w:rPr>
          <w:rStyle w:val="FootnoteReference"/>
          <w:rFonts w:ascii="Times New Roman" w:hAnsi="Times New Roman"/>
          <w:sz w:val="24"/>
        </w:rPr>
        <w:footnoteReference w:id="3"/>
      </w:r>
      <w:r w:rsidR="00912E7F" w:rsidRPr="00D04D32">
        <w:rPr>
          <w:rFonts w:ascii="Times New Roman" w:hAnsi="Times New Roman"/>
        </w:rPr>
        <w:t xml:space="preserve"> such as the Congregation (</w:t>
      </w:r>
      <w:r w:rsidRPr="00D04D32">
        <w:rPr>
          <w:rFonts w:ascii="Times New Roman" w:hAnsi="Times New Roman"/>
        </w:rPr>
        <w:t>"</w:t>
      </w:r>
      <w:r w:rsidR="00912E7F" w:rsidRPr="00D04D32">
        <w:rPr>
          <w:rFonts w:ascii="Times New Roman" w:hAnsi="Times New Roman"/>
        </w:rPr>
        <w:t>the</w:t>
      </w:r>
      <w:r w:rsidR="00C26C34" w:rsidRPr="00D04D32">
        <w:rPr>
          <w:rFonts w:ascii="Times New Roman" w:hAnsi="Times New Roman"/>
        </w:rPr>
        <w:t> </w:t>
      </w:r>
      <w:r w:rsidR="00912E7F" w:rsidRPr="00D04D32">
        <w:rPr>
          <w:rFonts w:ascii="Times New Roman" w:hAnsi="Times New Roman"/>
          <w:i/>
          <w:iCs/>
        </w:rPr>
        <w:t>Ellis</w:t>
      </w:r>
      <w:r w:rsidR="00912E7F" w:rsidRPr="00D04D32">
        <w:rPr>
          <w:rFonts w:ascii="Times New Roman" w:hAnsi="Times New Roman"/>
        </w:rPr>
        <w:t xml:space="preserve"> defence</w:t>
      </w:r>
      <w:r w:rsidRPr="00D04D32">
        <w:rPr>
          <w:rFonts w:ascii="Times New Roman" w:hAnsi="Times New Roman"/>
        </w:rPr>
        <w:t>"</w:t>
      </w:r>
      <w:r w:rsidR="00912E7F" w:rsidRPr="00D04D32">
        <w:rPr>
          <w:rFonts w:ascii="Times New Roman" w:hAnsi="Times New Roman"/>
        </w:rPr>
        <w:t>). At</w:t>
      </w:r>
      <w:r w:rsidR="00C21D58">
        <w:rPr>
          <w:rFonts w:ascii="Times New Roman" w:hAnsi="Times New Roman"/>
        </w:rPr>
        <w:t> </w:t>
      </w:r>
      <w:r w:rsidR="00912E7F" w:rsidRPr="00D04D32">
        <w:rPr>
          <w:rFonts w:ascii="Times New Roman" w:hAnsi="Times New Roman"/>
        </w:rPr>
        <w:t>the</w:t>
      </w:r>
      <w:r w:rsidR="004F1E32">
        <w:rPr>
          <w:rFonts w:ascii="Times New Roman" w:hAnsi="Times New Roman"/>
        </w:rPr>
        <w:t> </w:t>
      </w:r>
      <w:r w:rsidR="00912E7F" w:rsidRPr="00D04D32">
        <w:rPr>
          <w:rFonts w:ascii="Times New Roman" w:hAnsi="Times New Roman"/>
        </w:rPr>
        <w:t xml:space="preserve">time of </w:t>
      </w:r>
      <w:r w:rsidR="00841F20" w:rsidRPr="00D04D32">
        <w:rPr>
          <w:rFonts w:ascii="Times New Roman" w:hAnsi="Times New Roman"/>
        </w:rPr>
        <w:t xml:space="preserve">the parties' </w:t>
      </w:r>
      <w:r w:rsidR="00912E7F" w:rsidRPr="00D04D32">
        <w:rPr>
          <w:rFonts w:ascii="Times New Roman" w:hAnsi="Times New Roman"/>
        </w:rPr>
        <w:t>ent</w:t>
      </w:r>
      <w:r w:rsidR="00841F20" w:rsidRPr="00D04D32">
        <w:rPr>
          <w:rFonts w:ascii="Times New Roman" w:hAnsi="Times New Roman"/>
        </w:rPr>
        <w:t>ry</w:t>
      </w:r>
      <w:r w:rsidR="00912E7F" w:rsidRPr="00D04D32">
        <w:rPr>
          <w:rFonts w:ascii="Times New Roman" w:hAnsi="Times New Roman"/>
        </w:rPr>
        <w:t xml:space="preserve"> into the 2015 deed, the limitation defence had been abolished, but any claim by DZY would </w:t>
      </w:r>
      <w:r w:rsidR="00E43A09" w:rsidRPr="00D04D32">
        <w:rPr>
          <w:rFonts w:ascii="Times New Roman" w:hAnsi="Times New Roman"/>
        </w:rPr>
        <w:t xml:space="preserve">have </w:t>
      </w:r>
      <w:r w:rsidR="003535B2" w:rsidRPr="00D04D32">
        <w:rPr>
          <w:rFonts w:ascii="Times New Roman" w:hAnsi="Times New Roman"/>
        </w:rPr>
        <w:t xml:space="preserve">continued to </w:t>
      </w:r>
      <w:r w:rsidR="00912E7F" w:rsidRPr="00D04D32">
        <w:rPr>
          <w:rFonts w:ascii="Times New Roman" w:hAnsi="Times New Roman"/>
        </w:rPr>
        <w:t xml:space="preserve">face the </w:t>
      </w:r>
      <w:r w:rsidR="00912E7F" w:rsidRPr="00D04D32">
        <w:rPr>
          <w:rFonts w:ascii="Times New Roman" w:hAnsi="Times New Roman"/>
          <w:i/>
          <w:iCs/>
        </w:rPr>
        <w:t xml:space="preserve">Ellis </w:t>
      </w:r>
      <w:r w:rsidR="00912E7F" w:rsidRPr="00D04D32">
        <w:rPr>
          <w:rFonts w:ascii="Times New Roman" w:hAnsi="Times New Roman"/>
        </w:rPr>
        <w:t>defence.</w:t>
      </w:r>
      <w:r w:rsidR="00912E7F" w:rsidRPr="00D04D32">
        <w:rPr>
          <w:rFonts w:ascii="Times New Roman" w:hAnsi="Times New Roman"/>
          <w:b/>
          <w:bCs/>
        </w:rPr>
        <w:t xml:space="preserve"> </w:t>
      </w:r>
    </w:p>
    <w:p w14:paraId="22D6F574" w14:textId="6A15687F" w:rsidR="006B5C78" w:rsidRPr="00D04D32" w:rsidRDefault="00E7262D" w:rsidP="00D04D32">
      <w:pPr>
        <w:pStyle w:val="FixListStyle"/>
        <w:spacing w:after="260" w:line="280" w:lineRule="exact"/>
        <w:ind w:right="0"/>
        <w:jc w:val="both"/>
        <w:rPr>
          <w:rFonts w:ascii="Times New Roman" w:hAnsi="Times New Roman"/>
        </w:rPr>
      </w:pPr>
      <w:r w:rsidRPr="00D04D32">
        <w:rPr>
          <w:rFonts w:ascii="Times New Roman" w:hAnsi="Times New Roman"/>
          <w:b/>
          <w:bCs/>
        </w:rPr>
        <w:tab/>
      </w:r>
      <w:r w:rsidR="00912E7F" w:rsidRPr="00D04D32">
        <w:rPr>
          <w:rFonts w:ascii="Times New Roman" w:hAnsi="Times New Roman"/>
        </w:rPr>
        <w:t>By legislative amendment, the Victorian Parliament</w:t>
      </w:r>
      <w:r w:rsidR="009500BE" w:rsidRPr="00D04D32">
        <w:rPr>
          <w:rFonts w:ascii="Times New Roman" w:hAnsi="Times New Roman"/>
        </w:rPr>
        <w:t xml:space="preserve"> </w:t>
      </w:r>
      <w:r w:rsidR="00912E7F" w:rsidRPr="00D04D32">
        <w:rPr>
          <w:rFonts w:ascii="Times New Roman" w:hAnsi="Times New Roman"/>
        </w:rPr>
        <w:t>removed both the</w:t>
      </w:r>
      <w:r w:rsidR="004F1E32">
        <w:rPr>
          <w:rFonts w:ascii="Times New Roman" w:hAnsi="Times New Roman"/>
        </w:rPr>
        <w:t> </w:t>
      </w:r>
      <w:r w:rsidR="00912E7F" w:rsidRPr="00D04D32">
        <w:rPr>
          <w:rFonts w:ascii="Times New Roman" w:hAnsi="Times New Roman"/>
        </w:rPr>
        <w:t xml:space="preserve">limitation defence and the </w:t>
      </w:r>
      <w:r w:rsidR="00912E7F" w:rsidRPr="00D04D32">
        <w:rPr>
          <w:rFonts w:ascii="Times New Roman" w:hAnsi="Times New Roman"/>
          <w:i/>
          <w:iCs/>
        </w:rPr>
        <w:t xml:space="preserve">Ellis </w:t>
      </w:r>
      <w:r w:rsidR="00912E7F" w:rsidRPr="00D04D32">
        <w:rPr>
          <w:rFonts w:ascii="Times New Roman" w:hAnsi="Times New Roman"/>
        </w:rPr>
        <w:t>defence. From 1 July 2015, amendments to the</w:t>
      </w:r>
      <w:r w:rsidR="004F1E32">
        <w:rPr>
          <w:rFonts w:ascii="Times New Roman" w:hAnsi="Times New Roman"/>
        </w:rPr>
        <w:t> </w:t>
      </w:r>
      <w:r w:rsidR="00912E7F" w:rsidRPr="00D04D32">
        <w:rPr>
          <w:rFonts w:ascii="Times New Roman" w:hAnsi="Times New Roman"/>
          <w:i/>
          <w:iCs/>
        </w:rPr>
        <w:t xml:space="preserve">Limitation of Actions Act </w:t>
      </w:r>
      <w:r w:rsidR="00912E7F" w:rsidRPr="00D04D32">
        <w:rPr>
          <w:rFonts w:ascii="Times New Roman" w:hAnsi="Times New Roman"/>
        </w:rPr>
        <w:t xml:space="preserve">removed any limitation period for an action for personal injury resulting from </w:t>
      </w:r>
      <w:r w:rsidR="00686BFF" w:rsidRPr="00D04D32">
        <w:rPr>
          <w:rFonts w:ascii="Times New Roman" w:hAnsi="Times New Roman"/>
        </w:rPr>
        <w:t>physical or sexual abuse of a minor</w:t>
      </w:r>
      <w:r w:rsidR="0098745B" w:rsidRPr="00D04D32">
        <w:rPr>
          <w:rFonts w:ascii="Times New Roman" w:hAnsi="Times New Roman"/>
        </w:rPr>
        <w:t xml:space="preserve">, and any psychological </w:t>
      </w:r>
      <w:r w:rsidR="004D4756" w:rsidRPr="00D04D32">
        <w:rPr>
          <w:rFonts w:ascii="Times New Roman" w:hAnsi="Times New Roman"/>
        </w:rPr>
        <w:t>abuse that arises from that abuse;</w:t>
      </w:r>
      <w:r w:rsidR="00912E7F" w:rsidRPr="00D04D32">
        <w:rPr>
          <w:rStyle w:val="FootnoteReference"/>
          <w:rFonts w:ascii="Times New Roman" w:hAnsi="Times New Roman"/>
          <w:sz w:val="24"/>
        </w:rPr>
        <w:footnoteReference w:id="4"/>
      </w:r>
      <w:r w:rsidR="00912E7F" w:rsidRPr="00D04D32">
        <w:rPr>
          <w:rFonts w:ascii="Times New Roman" w:hAnsi="Times New Roman"/>
        </w:rPr>
        <w:t xml:space="preserve"> and</w:t>
      </w:r>
      <w:r w:rsidR="006B5C78" w:rsidRPr="00D04D32">
        <w:rPr>
          <w:rFonts w:ascii="Times New Roman" w:hAnsi="Times New Roman"/>
        </w:rPr>
        <w:t>,</w:t>
      </w:r>
      <w:r w:rsidR="00912E7F" w:rsidRPr="00D04D32">
        <w:rPr>
          <w:rFonts w:ascii="Times New Roman" w:hAnsi="Times New Roman"/>
        </w:rPr>
        <w:t xml:space="preserve"> from 1 July 2018, ss 7 </w:t>
      </w:r>
      <w:r w:rsidR="006B5C78" w:rsidRPr="00D04D32">
        <w:rPr>
          <w:rFonts w:ascii="Times New Roman" w:hAnsi="Times New Roman"/>
        </w:rPr>
        <w:t>and</w:t>
      </w:r>
      <w:r w:rsidR="00912E7F" w:rsidRPr="00D04D32">
        <w:rPr>
          <w:rFonts w:ascii="Times New Roman" w:hAnsi="Times New Roman"/>
        </w:rPr>
        <w:t xml:space="preserve"> 8 of the </w:t>
      </w:r>
      <w:r w:rsidR="00912E7F" w:rsidRPr="00D04D32">
        <w:rPr>
          <w:rFonts w:ascii="Times New Roman" w:hAnsi="Times New Roman"/>
          <w:i/>
          <w:iCs/>
        </w:rPr>
        <w:t xml:space="preserve">Legal Identity of Defendants (Organisational Child Abuse) Act 2018 </w:t>
      </w:r>
      <w:r w:rsidR="00912E7F" w:rsidRPr="00D04D32">
        <w:rPr>
          <w:rFonts w:ascii="Times New Roman" w:hAnsi="Times New Roman"/>
        </w:rPr>
        <w:t xml:space="preserve">(Vic) </w:t>
      </w:r>
      <w:r w:rsidR="00E43A09" w:rsidRPr="00D04D32">
        <w:rPr>
          <w:rFonts w:ascii="Times New Roman" w:hAnsi="Times New Roman"/>
        </w:rPr>
        <w:t xml:space="preserve">removed </w:t>
      </w:r>
      <w:r w:rsidR="00912E7F" w:rsidRPr="00D04D32">
        <w:rPr>
          <w:rFonts w:ascii="Times New Roman" w:hAnsi="Times New Roman"/>
        </w:rPr>
        <w:t xml:space="preserve">the </w:t>
      </w:r>
      <w:r w:rsidR="00912E7F" w:rsidRPr="00D04D32">
        <w:rPr>
          <w:rFonts w:ascii="Times New Roman" w:hAnsi="Times New Roman"/>
          <w:i/>
          <w:iCs/>
        </w:rPr>
        <w:t xml:space="preserve">Ellis </w:t>
      </w:r>
      <w:r w:rsidR="00912E7F" w:rsidRPr="00D04D32">
        <w:rPr>
          <w:rFonts w:ascii="Times New Roman" w:hAnsi="Times New Roman"/>
        </w:rPr>
        <w:t>defence.</w:t>
      </w:r>
    </w:p>
    <w:p w14:paraId="1F30658B" w14:textId="61354B99" w:rsidR="004909C3" w:rsidRPr="00D04D32" w:rsidRDefault="006B5C78" w:rsidP="00D04D32">
      <w:pPr>
        <w:pStyle w:val="FixListStyle"/>
        <w:spacing w:after="260" w:line="280" w:lineRule="exact"/>
        <w:ind w:right="0"/>
        <w:jc w:val="both"/>
        <w:rPr>
          <w:rFonts w:ascii="Times New Roman" w:hAnsi="Times New Roman"/>
        </w:rPr>
      </w:pPr>
      <w:r w:rsidRPr="00D04D32">
        <w:rPr>
          <w:rFonts w:ascii="Times New Roman" w:hAnsi="Times New Roman"/>
          <w:b/>
          <w:bCs/>
        </w:rPr>
        <w:tab/>
      </w:r>
      <w:r w:rsidR="00912E7F" w:rsidRPr="00D04D32">
        <w:rPr>
          <w:rFonts w:ascii="Times New Roman" w:hAnsi="Times New Roman"/>
        </w:rPr>
        <w:t xml:space="preserve">Further, from 18 September 2019, </w:t>
      </w:r>
      <w:r w:rsidR="00670EB2" w:rsidRPr="00D04D32">
        <w:rPr>
          <w:rFonts w:ascii="Times New Roman" w:hAnsi="Times New Roman"/>
        </w:rPr>
        <w:t xml:space="preserve">with </w:t>
      </w:r>
      <w:r w:rsidR="00912E7F" w:rsidRPr="00D04D32">
        <w:rPr>
          <w:rFonts w:ascii="Times New Roman" w:hAnsi="Times New Roman"/>
        </w:rPr>
        <w:t>the insertion of s</w:t>
      </w:r>
      <w:r w:rsidR="00156A95" w:rsidRPr="00D04D32">
        <w:rPr>
          <w:rFonts w:ascii="Times New Roman" w:hAnsi="Times New Roman"/>
        </w:rPr>
        <w:t> 27</w:t>
      </w:r>
      <w:r w:rsidR="00281A3B" w:rsidRPr="00D04D32">
        <w:rPr>
          <w:rFonts w:ascii="Times New Roman" w:hAnsi="Times New Roman"/>
        </w:rPr>
        <w:t>O</w:t>
      </w:r>
      <w:r w:rsidR="00156A95" w:rsidRPr="00D04D32">
        <w:rPr>
          <w:rFonts w:ascii="Times New Roman" w:hAnsi="Times New Roman"/>
        </w:rPr>
        <w:t>A and s</w:t>
      </w:r>
      <w:r w:rsidR="00912E7F" w:rsidRPr="00D04D32">
        <w:rPr>
          <w:rFonts w:ascii="Times New Roman" w:hAnsi="Times New Roman"/>
        </w:rPr>
        <w:t xml:space="preserve">s 27QA to 27QF into the </w:t>
      </w:r>
      <w:r w:rsidR="00912E7F" w:rsidRPr="00D04D32">
        <w:rPr>
          <w:rFonts w:ascii="Times New Roman" w:hAnsi="Times New Roman"/>
          <w:i/>
          <w:iCs/>
        </w:rPr>
        <w:t>Limitation of Actions Act</w:t>
      </w:r>
      <w:r w:rsidR="00670EB2" w:rsidRPr="00D04D32">
        <w:rPr>
          <w:rFonts w:ascii="Times New Roman" w:hAnsi="Times New Roman"/>
        </w:rPr>
        <w:t>,</w:t>
      </w:r>
      <w:r w:rsidR="00912E7F" w:rsidRPr="00D04D32">
        <w:rPr>
          <w:rStyle w:val="FootnoteReference"/>
          <w:rFonts w:ascii="Times New Roman" w:hAnsi="Times New Roman"/>
          <w:sz w:val="24"/>
        </w:rPr>
        <w:footnoteReference w:id="5"/>
      </w:r>
      <w:r w:rsidR="00912E7F" w:rsidRPr="00D04D32">
        <w:rPr>
          <w:rFonts w:ascii="Times New Roman" w:hAnsi="Times New Roman"/>
        </w:rPr>
        <w:t xml:space="preserve"> an action for personal injury resulting from </w:t>
      </w:r>
      <w:r w:rsidR="00A502A5" w:rsidRPr="00D04D32">
        <w:rPr>
          <w:rFonts w:ascii="Times New Roman" w:hAnsi="Times New Roman"/>
        </w:rPr>
        <w:t>physical</w:t>
      </w:r>
      <w:r w:rsidR="007F0C59" w:rsidRPr="00D04D32">
        <w:rPr>
          <w:rFonts w:ascii="Times New Roman" w:hAnsi="Times New Roman"/>
        </w:rPr>
        <w:t xml:space="preserve"> or </w:t>
      </w:r>
      <w:r w:rsidR="00A502A5" w:rsidRPr="00D04D32">
        <w:rPr>
          <w:rFonts w:ascii="Times New Roman" w:hAnsi="Times New Roman"/>
        </w:rPr>
        <w:t xml:space="preserve">sexual </w:t>
      </w:r>
      <w:r w:rsidR="00B9145A" w:rsidRPr="00D04D32">
        <w:rPr>
          <w:rFonts w:ascii="Times New Roman" w:hAnsi="Times New Roman"/>
        </w:rPr>
        <w:t>abuse of a minor, and any psychological</w:t>
      </w:r>
      <w:r w:rsidR="007F0C59" w:rsidRPr="00D04D32">
        <w:rPr>
          <w:rFonts w:ascii="Times New Roman" w:hAnsi="Times New Roman"/>
        </w:rPr>
        <w:t xml:space="preserve"> </w:t>
      </w:r>
      <w:r w:rsidR="00A502A5" w:rsidRPr="00D04D32">
        <w:rPr>
          <w:rFonts w:ascii="Times New Roman" w:hAnsi="Times New Roman"/>
        </w:rPr>
        <w:t xml:space="preserve">abuse </w:t>
      </w:r>
      <w:r w:rsidR="00B9145A" w:rsidRPr="00D04D32">
        <w:rPr>
          <w:rFonts w:ascii="Times New Roman" w:hAnsi="Times New Roman"/>
        </w:rPr>
        <w:lastRenderedPageBreak/>
        <w:t xml:space="preserve">that arises </w:t>
      </w:r>
      <w:r w:rsidR="0008439A" w:rsidRPr="00D04D32">
        <w:rPr>
          <w:rFonts w:ascii="Times New Roman" w:hAnsi="Times New Roman"/>
        </w:rPr>
        <w:t xml:space="preserve">from that abuse, </w:t>
      </w:r>
      <w:r w:rsidR="00912E7F" w:rsidRPr="00D04D32">
        <w:rPr>
          <w:rFonts w:ascii="Times New Roman" w:hAnsi="Times New Roman"/>
        </w:rPr>
        <w:t xml:space="preserve">may be brought on a </w:t>
      </w:r>
      <w:r w:rsidR="008E7386" w:rsidRPr="00D04D32">
        <w:rPr>
          <w:rFonts w:ascii="Times New Roman" w:hAnsi="Times New Roman"/>
        </w:rPr>
        <w:t>"</w:t>
      </w:r>
      <w:r w:rsidR="00912E7F" w:rsidRPr="00D04D32">
        <w:rPr>
          <w:rFonts w:ascii="Times New Roman" w:hAnsi="Times New Roman"/>
        </w:rPr>
        <w:t>previously settled cause of action</w:t>
      </w:r>
      <w:r w:rsidR="008E7386" w:rsidRPr="00D04D32">
        <w:rPr>
          <w:rFonts w:ascii="Times New Roman" w:hAnsi="Times New Roman"/>
        </w:rPr>
        <w:t>"</w:t>
      </w:r>
      <w:r w:rsidR="008E7386" w:rsidRPr="00D04D32">
        <w:rPr>
          <w:rStyle w:val="FootnoteReference"/>
          <w:rFonts w:ascii="Times New Roman" w:hAnsi="Times New Roman"/>
          <w:sz w:val="24"/>
        </w:rPr>
        <w:footnoteReference w:id="6"/>
      </w:r>
      <w:r w:rsidR="00912E7F" w:rsidRPr="00D04D32">
        <w:rPr>
          <w:rFonts w:ascii="Times New Roman" w:hAnsi="Times New Roman"/>
        </w:rPr>
        <w:t xml:space="preserve"> </w:t>
      </w:r>
      <w:r w:rsidR="00F164B1" w:rsidRPr="00D04D32">
        <w:rPr>
          <w:rFonts w:ascii="Times New Roman" w:hAnsi="Times New Roman"/>
        </w:rPr>
        <w:t xml:space="preserve">and a plaintiff </w:t>
      </w:r>
      <w:r w:rsidR="00FA1B51" w:rsidRPr="00D04D32">
        <w:rPr>
          <w:rFonts w:ascii="Times New Roman" w:hAnsi="Times New Roman"/>
        </w:rPr>
        <w:t>may</w:t>
      </w:r>
      <w:r w:rsidR="00912E7F" w:rsidRPr="00D04D32">
        <w:rPr>
          <w:rFonts w:ascii="Times New Roman" w:hAnsi="Times New Roman"/>
        </w:rPr>
        <w:t xml:space="preserve"> apply to the court to set aside </w:t>
      </w:r>
      <w:r w:rsidR="0008439A" w:rsidRPr="00D04D32">
        <w:rPr>
          <w:rFonts w:ascii="Times New Roman" w:hAnsi="Times New Roman"/>
        </w:rPr>
        <w:t>a "</w:t>
      </w:r>
      <w:r w:rsidR="00912E7F" w:rsidRPr="00D04D32">
        <w:rPr>
          <w:rFonts w:ascii="Times New Roman" w:hAnsi="Times New Roman"/>
        </w:rPr>
        <w:t>settlement agreement</w:t>
      </w:r>
      <w:r w:rsidR="0008439A" w:rsidRPr="00D04D32">
        <w:rPr>
          <w:rFonts w:ascii="Times New Roman" w:hAnsi="Times New Roman"/>
        </w:rPr>
        <w:t>"</w:t>
      </w:r>
      <w:r w:rsidR="0008439A" w:rsidRPr="00D04D32">
        <w:rPr>
          <w:rStyle w:val="FootnoteReference"/>
          <w:rFonts w:ascii="Times New Roman" w:hAnsi="Times New Roman"/>
          <w:sz w:val="24"/>
        </w:rPr>
        <w:footnoteReference w:id="7"/>
      </w:r>
      <w:r w:rsidR="00912E7F" w:rsidRPr="00D04D32">
        <w:rPr>
          <w:rFonts w:ascii="Times New Roman" w:hAnsi="Times New Roman"/>
        </w:rPr>
        <w:t xml:space="preserve"> </w:t>
      </w:r>
      <w:r w:rsidR="00A02905" w:rsidRPr="00D04D32">
        <w:rPr>
          <w:rFonts w:ascii="Times New Roman" w:hAnsi="Times New Roman"/>
        </w:rPr>
        <w:t xml:space="preserve">of such a cause of action </w:t>
      </w:r>
      <w:r w:rsidR="00912E7F" w:rsidRPr="00D04D32">
        <w:rPr>
          <w:rFonts w:ascii="Times New Roman" w:hAnsi="Times New Roman"/>
        </w:rPr>
        <w:t xml:space="preserve">if it is </w:t>
      </w:r>
      <w:r w:rsidR="00BE65C2" w:rsidRPr="00D04D32">
        <w:rPr>
          <w:rFonts w:ascii="Times New Roman" w:hAnsi="Times New Roman"/>
        </w:rPr>
        <w:t>"</w:t>
      </w:r>
      <w:r w:rsidR="00912E7F" w:rsidRPr="00D04D32">
        <w:rPr>
          <w:rFonts w:ascii="Times New Roman" w:hAnsi="Times New Roman"/>
        </w:rPr>
        <w:t>just and reasonable</w:t>
      </w:r>
      <w:r w:rsidR="00BE65C2" w:rsidRPr="00D04D32">
        <w:rPr>
          <w:rFonts w:ascii="Times New Roman" w:hAnsi="Times New Roman"/>
        </w:rPr>
        <w:t>"</w:t>
      </w:r>
      <w:r w:rsidR="00912E7F" w:rsidRPr="00D04D32">
        <w:rPr>
          <w:rFonts w:ascii="Times New Roman" w:hAnsi="Times New Roman"/>
        </w:rPr>
        <w:t xml:space="preserve"> to do so.</w:t>
      </w:r>
      <w:r w:rsidR="00BE65C2" w:rsidRPr="00D04D32">
        <w:rPr>
          <w:rStyle w:val="FootnoteReference"/>
          <w:rFonts w:ascii="Times New Roman" w:hAnsi="Times New Roman"/>
          <w:sz w:val="24"/>
        </w:rPr>
        <w:footnoteReference w:id="8"/>
      </w:r>
      <w:r w:rsidR="00912E7F" w:rsidRPr="00D04D32">
        <w:rPr>
          <w:rFonts w:ascii="Times New Roman" w:hAnsi="Times New Roman"/>
          <w:b/>
          <w:bCs/>
        </w:rPr>
        <w:t xml:space="preserve"> </w:t>
      </w:r>
    </w:p>
    <w:p w14:paraId="6D5064C1" w14:textId="139ACC08" w:rsidR="00E23DC3" w:rsidRPr="00D04D32" w:rsidRDefault="004909C3" w:rsidP="00D04D32">
      <w:pPr>
        <w:pStyle w:val="FixListStyle"/>
        <w:spacing w:after="260" w:line="280" w:lineRule="exact"/>
        <w:ind w:right="0"/>
        <w:jc w:val="both"/>
        <w:rPr>
          <w:rFonts w:ascii="Times New Roman" w:hAnsi="Times New Roman"/>
        </w:rPr>
      </w:pPr>
      <w:r w:rsidRPr="00D04D32">
        <w:rPr>
          <w:rFonts w:ascii="Times New Roman" w:hAnsi="Times New Roman"/>
          <w:b/>
          <w:bCs/>
        </w:rPr>
        <w:tab/>
      </w:r>
      <w:r w:rsidR="00912E7F" w:rsidRPr="00D04D32">
        <w:rPr>
          <w:rFonts w:ascii="Times New Roman" w:hAnsi="Times New Roman"/>
        </w:rPr>
        <w:t>In July 2021, DZY commenced proceedings against the Trustees in the</w:t>
      </w:r>
      <w:r w:rsidR="00155CA3">
        <w:rPr>
          <w:rFonts w:ascii="Times New Roman" w:hAnsi="Times New Roman"/>
        </w:rPr>
        <w:t> </w:t>
      </w:r>
      <w:r w:rsidR="00912E7F" w:rsidRPr="00D04D32">
        <w:rPr>
          <w:rFonts w:ascii="Times New Roman" w:hAnsi="Times New Roman"/>
        </w:rPr>
        <w:t xml:space="preserve">Supreme Court of Victoria seeking damages, including </w:t>
      </w:r>
      <w:r w:rsidR="00474DA3" w:rsidRPr="00D04D32">
        <w:rPr>
          <w:rFonts w:ascii="Times New Roman" w:hAnsi="Times New Roman"/>
        </w:rPr>
        <w:t xml:space="preserve">both general damages </w:t>
      </w:r>
      <w:r w:rsidR="00F071FB" w:rsidRPr="00D04D32">
        <w:rPr>
          <w:rFonts w:ascii="Times New Roman" w:hAnsi="Times New Roman"/>
        </w:rPr>
        <w:t xml:space="preserve">for non-economic loss </w:t>
      </w:r>
      <w:r w:rsidR="00474DA3" w:rsidRPr="00D04D32">
        <w:rPr>
          <w:rFonts w:ascii="Times New Roman" w:hAnsi="Times New Roman"/>
        </w:rPr>
        <w:t xml:space="preserve">and </w:t>
      </w:r>
      <w:r w:rsidR="00912E7F" w:rsidRPr="00D04D32">
        <w:rPr>
          <w:rFonts w:ascii="Times New Roman" w:hAnsi="Times New Roman"/>
        </w:rPr>
        <w:t xml:space="preserve">damages for economic loss, </w:t>
      </w:r>
      <w:r w:rsidR="00135C08" w:rsidRPr="00D04D32">
        <w:rPr>
          <w:rFonts w:ascii="Times New Roman" w:hAnsi="Times New Roman"/>
        </w:rPr>
        <w:t>for personal injuries</w:t>
      </w:r>
      <w:r w:rsidR="005A61ED" w:rsidRPr="00D04D32">
        <w:rPr>
          <w:rFonts w:ascii="Times New Roman" w:hAnsi="Times New Roman"/>
        </w:rPr>
        <w:t xml:space="preserve"> resulting</w:t>
      </w:r>
      <w:r w:rsidR="00135C08" w:rsidRPr="00D04D32">
        <w:rPr>
          <w:rFonts w:ascii="Times New Roman" w:hAnsi="Times New Roman"/>
        </w:rPr>
        <w:t xml:space="preserve"> </w:t>
      </w:r>
      <w:r w:rsidR="00912E7F" w:rsidRPr="00D04D32">
        <w:rPr>
          <w:rFonts w:ascii="Times New Roman" w:hAnsi="Times New Roman"/>
        </w:rPr>
        <w:t xml:space="preserve">from the alleged </w:t>
      </w:r>
      <w:r w:rsidR="00C76AE1" w:rsidRPr="00D04D32">
        <w:rPr>
          <w:rFonts w:ascii="Times New Roman" w:hAnsi="Times New Roman"/>
        </w:rPr>
        <w:t>sexua</w:t>
      </w:r>
      <w:r w:rsidR="00736C38" w:rsidRPr="00D04D32">
        <w:rPr>
          <w:rFonts w:ascii="Times New Roman" w:hAnsi="Times New Roman"/>
        </w:rPr>
        <w:t>l</w:t>
      </w:r>
      <w:r w:rsidR="00E23DC3" w:rsidRPr="00D04D32">
        <w:rPr>
          <w:rFonts w:ascii="Times New Roman" w:hAnsi="Times New Roman"/>
        </w:rPr>
        <w:t xml:space="preserve"> assaults</w:t>
      </w:r>
      <w:r w:rsidR="00912E7F" w:rsidRPr="00D04D32">
        <w:rPr>
          <w:rFonts w:ascii="Times New Roman" w:hAnsi="Times New Roman"/>
        </w:rPr>
        <w:t xml:space="preserve">. DZY applied </w:t>
      </w:r>
      <w:r w:rsidR="00C76AE1" w:rsidRPr="00D04D32">
        <w:rPr>
          <w:rFonts w:ascii="Times New Roman" w:hAnsi="Times New Roman"/>
        </w:rPr>
        <w:t>under s </w:t>
      </w:r>
      <w:r w:rsidR="001B0415" w:rsidRPr="00D04D32">
        <w:rPr>
          <w:rFonts w:ascii="Times New Roman" w:hAnsi="Times New Roman"/>
        </w:rPr>
        <w:t xml:space="preserve">27QD </w:t>
      </w:r>
      <w:r w:rsidR="00C76AE1" w:rsidRPr="00D04D32">
        <w:rPr>
          <w:rFonts w:ascii="Times New Roman" w:hAnsi="Times New Roman"/>
        </w:rPr>
        <w:t>of the</w:t>
      </w:r>
      <w:r w:rsidR="00155CA3">
        <w:rPr>
          <w:rFonts w:ascii="Times New Roman" w:hAnsi="Times New Roman"/>
        </w:rPr>
        <w:t> </w:t>
      </w:r>
      <w:r w:rsidR="00C76AE1" w:rsidRPr="00D04D32">
        <w:rPr>
          <w:rFonts w:ascii="Times New Roman" w:hAnsi="Times New Roman"/>
          <w:i/>
          <w:iCs/>
        </w:rPr>
        <w:t>Limitation of Actions Act</w:t>
      </w:r>
      <w:r w:rsidR="00C76AE1" w:rsidRPr="00D04D32">
        <w:rPr>
          <w:rFonts w:ascii="Times New Roman" w:hAnsi="Times New Roman"/>
        </w:rPr>
        <w:t xml:space="preserve"> </w:t>
      </w:r>
      <w:r w:rsidR="00912E7F" w:rsidRPr="00D04D32">
        <w:rPr>
          <w:rFonts w:ascii="Times New Roman" w:hAnsi="Times New Roman"/>
        </w:rPr>
        <w:t xml:space="preserve">to have both the 2012 deed and the 2015 deed set aside on the basis that it was </w:t>
      </w:r>
      <w:r w:rsidR="00C76AE1" w:rsidRPr="00D04D32">
        <w:rPr>
          <w:rFonts w:ascii="Times New Roman" w:hAnsi="Times New Roman"/>
        </w:rPr>
        <w:t>"</w:t>
      </w:r>
      <w:r w:rsidR="00912E7F" w:rsidRPr="00D04D32">
        <w:rPr>
          <w:rFonts w:ascii="Times New Roman" w:hAnsi="Times New Roman"/>
        </w:rPr>
        <w:t>just and reasonable</w:t>
      </w:r>
      <w:r w:rsidR="00C76AE1" w:rsidRPr="00D04D32">
        <w:rPr>
          <w:rFonts w:ascii="Times New Roman" w:hAnsi="Times New Roman"/>
        </w:rPr>
        <w:t>"</w:t>
      </w:r>
      <w:r w:rsidR="00912E7F" w:rsidRPr="00D04D32">
        <w:rPr>
          <w:rFonts w:ascii="Times New Roman" w:hAnsi="Times New Roman"/>
        </w:rPr>
        <w:t xml:space="preserve"> to do so. The Trustees did not resist DZY</w:t>
      </w:r>
      <w:r w:rsidR="00736C38" w:rsidRPr="00D04D32">
        <w:rPr>
          <w:rFonts w:ascii="Times New Roman" w:hAnsi="Times New Roman"/>
        </w:rPr>
        <w:t>'</w:t>
      </w:r>
      <w:r w:rsidR="00912E7F" w:rsidRPr="00D04D32">
        <w:rPr>
          <w:rFonts w:ascii="Times New Roman" w:hAnsi="Times New Roman"/>
        </w:rPr>
        <w:t>s application</w:t>
      </w:r>
      <w:r w:rsidR="00FE2310" w:rsidRPr="00D04D32">
        <w:rPr>
          <w:rFonts w:ascii="Times New Roman" w:hAnsi="Times New Roman"/>
        </w:rPr>
        <w:t xml:space="preserve"> </w:t>
      </w:r>
      <w:r w:rsidR="00AD657C" w:rsidRPr="00D04D32">
        <w:rPr>
          <w:rFonts w:ascii="Times New Roman" w:hAnsi="Times New Roman"/>
        </w:rPr>
        <w:t xml:space="preserve">in relation to </w:t>
      </w:r>
      <w:r w:rsidR="00912E7F" w:rsidRPr="00D04D32">
        <w:rPr>
          <w:rFonts w:ascii="Times New Roman" w:hAnsi="Times New Roman"/>
        </w:rPr>
        <w:t>general damages, but did resist DZY</w:t>
      </w:r>
      <w:r w:rsidR="00736C38" w:rsidRPr="00D04D32">
        <w:rPr>
          <w:rFonts w:ascii="Times New Roman" w:hAnsi="Times New Roman"/>
        </w:rPr>
        <w:t>'</w:t>
      </w:r>
      <w:r w:rsidR="00912E7F" w:rsidRPr="00D04D32">
        <w:rPr>
          <w:rFonts w:ascii="Times New Roman" w:hAnsi="Times New Roman"/>
        </w:rPr>
        <w:t xml:space="preserve">s application </w:t>
      </w:r>
      <w:r w:rsidR="00AD657C" w:rsidRPr="00D04D32">
        <w:rPr>
          <w:rFonts w:ascii="Times New Roman" w:hAnsi="Times New Roman"/>
        </w:rPr>
        <w:t xml:space="preserve">in relation to </w:t>
      </w:r>
      <w:r w:rsidR="00912E7F" w:rsidRPr="00D04D32">
        <w:rPr>
          <w:rFonts w:ascii="Times New Roman" w:hAnsi="Times New Roman"/>
        </w:rPr>
        <w:t xml:space="preserve">economic loss. </w:t>
      </w:r>
    </w:p>
    <w:p w14:paraId="24A584A5" w14:textId="24EE19B9" w:rsidR="00451948" w:rsidRPr="00D04D32" w:rsidRDefault="00E23DC3" w:rsidP="00D04D32">
      <w:pPr>
        <w:pStyle w:val="FixListStyle"/>
        <w:spacing w:after="260" w:line="280" w:lineRule="exact"/>
        <w:ind w:right="0"/>
        <w:jc w:val="both"/>
        <w:rPr>
          <w:rFonts w:ascii="Times New Roman" w:hAnsi="Times New Roman"/>
        </w:rPr>
      </w:pPr>
      <w:r w:rsidRPr="00D04D32">
        <w:rPr>
          <w:rFonts w:ascii="Times New Roman" w:hAnsi="Times New Roman"/>
        </w:rPr>
        <w:tab/>
        <w:t xml:space="preserve">At trial, the </w:t>
      </w:r>
      <w:r w:rsidR="00912E7F" w:rsidRPr="00D04D32">
        <w:rPr>
          <w:rFonts w:ascii="Times New Roman" w:hAnsi="Times New Roman"/>
        </w:rPr>
        <w:t xml:space="preserve">primary judge ordered that both deeds be set aside in their entirety on the basis that it was </w:t>
      </w:r>
      <w:r w:rsidRPr="00D04D32">
        <w:rPr>
          <w:rFonts w:ascii="Times New Roman" w:hAnsi="Times New Roman"/>
        </w:rPr>
        <w:t>"</w:t>
      </w:r>
      <w:r w:rsidR="00912E7F" w:rsidRPr="00D04D32">
        <w:rPr>
          <w:rFonts w:ascii="Times New Roman" w:hAnsi="Times New Roman"/>
        </w:rPr>
        <w:t>just and reasonable</w:t>
      </w:r>
      <w:r w:rsidRPr="00D04D32">
        <w:rPr>
          <w:rFonts w:ascii="Times New Roman" w:hAnsi="Times New Roman"/>
        </w:rPr>
        <w:t>"</w:t>
      </w:r>
      <w:r w:rsidR="00912E7F" w:rsidRPr="00D04D32">
        <w:rPr>
          <w:rFonts w:ascii="Times New Roman" w:hAnsi="Times New Roman"/>
        </w:rPr>
        <w:t xml:space="preserve"> to do so. The Trustees appealed </w:t>
      </w:r>
      <w:r w:rsidR="00897069" w:rsidRPr="00D04D32">
        <w:rPr>
          <w:rFonts w:ascii="Times New Roman" w:hAnsi="Times New Roman"/>
        </w:rPr>
        <w:t xml:space="preserve">that </w:t>
      </w:r>
      <w:r w:rsidR="000B5BDF" w:rsidRPr="00D04D32">
        <w:rPr>
          <w:rFonts w:ascii="Times New Roman" w:hAnsi="Times New Roman"/>
        </w:rPr>
        <w:t xml:space="preserve">part of the </w:t>
      </w:r>
      <w:r w:rsidR="00912E7F" w:rsidRPr="00D04D32">
        <w:rPr>
          <w:rFonts w:ascii="Times New Roman" w:hAnsi="Times New Roman"/>
        </w:rPr>
        <w:t>decision</w:t>
      </w:r>
      <w:r w:rsidRPr="00D04D32">
        <w:rPr>
          <w:rFonts w:ascii="Times New Roman" w:hAnsi="Times New Roman"/>
        </w:rPr>
        <w:t xml:space="preserve"> </w:t>
      </w:r>
      <w:r w:rsidR="000B5BDF" w:rsidRPr="00D04D32">
        <w:rPr>
          <w:rFonts w:ascii="Times New Roman" w:hAnsi="Times New Roman"/>
        </w:rPr>
        <w:t xml:space="preserve">that </w:t>
      </w:r>
      <w:r w:rsidR="00912E7F" w:rsidRPr="00D04D32">
        <w:rPr>
          <w:rFonts w:ascii="Times New Roman" w:hAnsi="Times New Roman"/>
        </w:rPr>
        <w:t>set aside the economic loss component</w:t>
      </w:r>
      <w:r w:rsidR="0008296C" w:rsidRPr="00D04D32">
        <w:rPr>
          <w:rFonts w:ascii="Times New Roman" w:hAnsi="Times New Roman"/>
        </w:rPr>
        <w:t>s</w:t>
      </w:r>
      <w:r w:rsidR="00912E7F" w:rsidRPr="00D04D32">
        <w:rPr>
          <w:rFonts w:ascii="Times New Roman" w:hAnsi="Times New Roman"/>
        </w:rPr>
        <w:t xml:space="preserve"> of the deeds.</w:t>
      </w:r>
      <w:r w:rsidR="00912E7F" w:rsidRPr="00D04D32">
        <w:rPr>
          <w:rFonts w:ascii="Times New Roman" w:hAnsi="Times New Roman"/>
          <w:b/>
          <w:bCs/>
        </w:rPr>
        <w:t xml:space="preserve"> </w:t>
      </w:r>
      <w:r w:rsidR="00912E7F" w:rsidRPr="00D04D32">
        <w:rPr>
          <w:rFonts w:ascii="Times New Roman" w:hAnsi="Times New Roman"/>
        </w:rPr>
        <w:t>The</w:t>
      </w:r>
      <w:r w:rsidR="00897069" w:rsidRPr="00D04D32">
        <w:rPr>
          <w:rFonts w:ascii="Times New Roman" w:hAnsi="Times New Roman"/>
        </w:rPr>
        <w:t> </w:t>
      </w:r>
      <w:r w:rsidR="00912E7F" w:rsidRPr="00D04D32">
        <w:rPr>
          <w:rFonts w:ascii="Times New Roman" w:hAnsi="Times New Roman"/>
        </w:rPr>
        <w:t>Court of Appeal of the Supreme Court of Victoria allowed the</w:t>
      </w:r>
      <w:r w:rsidR="00992AAE">
        <w:rPr>
          <w:rFonts w:ascii="Times New Roman" w:hAnsi="Times New Roman"/>
        </w:rPr>
        <w:t> </w:t>
      </w:r>
      <w:r w:rsidR="00912E7F" w:rsidRPr="00D04D32">
        <w:rPr>
          <w:rFonts w:ascii="Times New Roman" w:hAnsi="Times New Roman"/>
        </w:rPr>
        <w:t>appeal</w:t>
      </w:r>
      <w:r w:rsidR="000F671F" w:rsidRPr="00D04D32">
        <w:rPr>
          <w:rFonts w:ascii="Times New Roman" w:hAnsi="Times New Roman"/>
        </w:rPr>
        <w:t xml:space="preserve"> and set aside</w:t>
      </w:r>
      <w:r w:rsidR="00080506" w:rsidRPr="00D04D32">
        <w:rPr>
          <w:rFonts w:ascii="Times New Roman" w:hAnsi="Times New Roman"/>
        </w:rPr>
        <w:t xml:space="preserve"> only</w:t>
      </w:r>
      <w:r w:rsidR="000F671F" w:rsidRPr="00D04D32">
        <w:rPr>
          <w:rFonts w:ascii="Times New Roman" w:hAnsi="Times New Roman"/>
        </w:rPr>
        <w:t xml:space="preserve"> the </w:t>
      </w:r>
      <w:r w:rsidR="00080506" w:rsidRPr="00D04D32">
        <w:rPr>
          <w:rFonts w:ascii="Times New Roman" w:hAnsi="Times New Roman"/>
        </w:rPr>
        <w:t>non-</w:t>
      </w:r>
      <w:r w:rsidR="000F671F" w:rsidRPr="00D04D32">
        <w:rPr>
          <w:rFonts w:ascii="Times New Roman" w:hAnsi="Times New Roman"/>
        </w:rPr>
        <w:t>economic loss component</w:t>
      </w:r>
      <w:r w:rsidR="002066A1" w:rsidRPr="00D04D32">
        <w:rPr>
          <w:rFonts w:ascii="Times New Roman" w:hAnsi="Times New Roman"/>
        </w:rPr>
        <w:t>s</w:t>
      </w:r>
      <w:r w:rsidR="000F671F" w:rsidRPr="00D04D32">
        <w:rPr>
          <w:rFonts w:ascii="Times New Roman" w:hAnsi="Times New Roman"/>
        </w:rPr>
        <w:t xml:space="preserve"> of the deeds</w:t>
      </w:r>
      <w:r w:rsidR="00912E7F" w:rsidRPr="00D04D32">
        <w:rPr>
          <w:rFonts w:ascii="Times New Roman" w:hAnsi="Times New Roman"/>
        </w:rPr>
        <w:t>.</w:t>
      </w:r>
      <w:r w:rsidR="001C3E10" w:rsidRPr="00D04D32">
        <w:rPr>
          <w:rFonts w:ascii="Times New Roman" w:hAnsi="Times New Roman"/>
          <w:b/>
          <w:bCs/>
        </w:rPr>
        <w:t xml:space="preserve"> </w:t>
      </w:r>
      <w:r w:rsidR="00912E7F" w:rsidRPr="00D04D32">
        <w:rPr>
          <w:rFonts w:ascii="Times New Roman" w:hAnsi="Times New Roman"/>
        </w:rPr>
        <w:t>DZY appeals that decision to this Court.</w:t>
      </w:r>
      <w:r w:rsidR="00451948" w:rsidRPr="00D04D32">
        <w:rPr>
          <w:rFonts w:ascii="Times New Roman" w:hAnsi="Times New Roman"/>
        </w:rPr>
        <w:t xml:space="preserve"> </w:t>
      </w:r>
      <w:r w:rsidR="00912E7F" w:rsidRPr="00D04D32">
        <w:rPr>
          <w:rFonts w:ascii="Times New Roman" w:hAnsi="Times New Roman"/>
        </w:rPr>
        <w:t xml:space="preserve">The </w:t>
      </w:r>
      <w:r w:rsidR="00451948" w:rsidRPr="00D04D32">
        <w:rPr>
          <w:rFonts w:ascii="Times New Roman" w:hAnsi="Times New Roman"/>
        </w:rPr>
        <w:t xml:space="preserve">Court of Appeal </w:t>
      </w:r>
      <w:r w:rsidR="00912E7F" w:rsidRPr="00D04D32">
        <w:rPr>
          <w:rFonts w:ascii="Times New Roman" w:hAnsi="Times New Roman"/>
        </w:rPr>
        <w:t>held, and no submission to the contrary was made in this Court, that the standard to apply</w:t>
      </w:r>
      <w:r w:rsidR="00D82D39" w:rsidRPr="00D04D32">
        <w:rPr>
          <w:rFonts w:ascii="Times New Roman" w:hAnsi="Times New Roman"/>
        </w:rPr>
        <w:t xml:space="preserve"> in </w:t>
      </w:r>
      <w:r w:rsidR="00B76AE5" w:rsidRPr="00D04D32">
        <w:rPr>
          <w:rFonts w:ascii="Times New Roman" w:hAnsi="Times New Roman"/>
        </w:rPr>
        <w:t>the application of what is</w:t>
      </w:r>
      <w:r w:rsidR="003C11DD" w:rsidRPr="00D04D32">
        <w:rPr>
          <w:rFonts w:ascii="Times New Roman" w:hAnsi="Times New Roman"/>
        </w:rPr>
        <w:t xml:space="preserve"> "just and reasonable" </w:t>
      </w:r>
      <w:r w:rsidR="00912E7F" w:rsidRPr="00D04D32">
        <w:rPr>
          <w:rFonts w:ascii="Times New Roman" w:hAnsi="Times New Roman"/>
        </w:rPr>
        <w:t>was that of the correctness of the decision</w:t>
      </w:r>
      <w:r w:rsidR="00451948" w:rsidRPr="00D04D32">
        <w:rPr>
          <w:rFonts w:ascii="Times New Roman" w:hAnsi="Times New Roman"/>
        </w:rPr>
        <w:t xml:space="preserve"> of the</w:t>
      </w:r>
      <w:r w:rsidR="003F4A1F">
        <w:rPr>
          <w:rFonts w:ascii="Times New Roman" w:hAnsi="Times New Roman"/>
        </w:rPr>
        <w:t> </w:t>
      </w:r>
      <w:r w:rsidR="00451948" w:rsidRPr="00D04D32">
        <w:rPr>
          <w:rFonts w:ascii="Times New Roman" w:hAnsi="Times New Roman"/>
        </w:rPr>
        <w:t>primary judge</w:t>
      </w:r>
      <w:r w:rsidR="00912E7F" w:rsidRPr="00D04D32">
        <w:rPr>
          <w:rFonts w:ascii="Times New Roman" w:hAnsi="Times New Roman"/>
        </w:rPr>
        <w:t>.</w:t>
      </w:r>
    </w:p>
    <w:p w14:paraId="2B5E6125" w14:textId="53D9280E" w:rsidR="00912E7F" w:rsidRPr="00D04D32" w:rsidRDefault="00451948"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912E7F" w:rsidRPr="00D04D32">
        <w:rPr>
          <w:rFonts w:ascii="Times New Roman" w:hAnsi="Times New Roman"/>
        </w:rPr>
        <w:t>The</w:t>
      </w:r>
      <w:r w:rsidR="00FE4E01" w:rsidRPr="00D04D32">
        <w:rPr>
          <w:rFonts w:ascii="Times New Roman" w:hAnsi="Times New Roman"/>
        </w:rPr>
        <w:t>re were two</w:t>
      </w:r>
      <w:r w:rsidR="00912E7F" w:rsidRPr="00D04D32">
        <w:rPr>
          <w:rFonts w:ascii="Times New Roman" w:hAnsi="Times New Roman"/>
        </w:rPr>
        <w:t xml:space="preserve"> issues </w:t>
      </w:r>
      <w:r w:rsidRPr="00D04D32">
        <w:rPr>
          <w:rFonts w:ascii="Times New Roman" w:hAnsi="Times New Roman"/>
        </w:rPr>
        <w:t xml:space="preserve">in </w:t>
      </w:r>
      <w:r w:rsidR="00912E7F" w:rsidRPr="00D04D32">
        <w:rPr>
          <w:rFonts w:ascii="Times New Roman" w:hAnsi="Times New Roman"/>
        </w:rPr>
        <w:t xml:space="preserve">this Court: </w:t>
      </w:r>
      <w:r w:rsidR="00501235" w:rsidRPr="00D04D32">
        <w:rPr>
          <w:rFonts w:ascii="Times New Roman" w:hAnsi="Times New Roman"/>
        </w:rPr>
        <w:t xml:space="preserve">first, </w:t>
      </w:r>
      <w:r w:rsidR="00912E7F" w:rsidRPr="00D04D32">
        <w:rPr>
          <w:rFonts w:ascii="Times New Roman" w:hAnsi="Times New Roman"/>
        </w:rPr>
        <w:t>the proper construction of s</w:t>
      </w:r>
      <w:r w:rsidRPr="00D04D32">
        <w:rPr>
          <w:rFonts w:ascii="Times New Roman" w:hAnsi="Times New Roman"/>
        </w:rPr>
        <w:t> </w:t>
      </w:r>
      <w:r w:rsidR="00912E7F" w:rsidRPr="00D04D32">
        <w:rPr>
          <w:rFonts w:ascii="Times New Roman" w:hAnsi="Times New Roman"/>
        </w:rPr>
        <w:t>27QE</w:t>
      </w:r>
      <w:r w:rsidRPr="00D04D32">
        <w:rPr>
          <w:rFonts w:ascii="Times New Roman" w:hAnsi="Times New Roman"/>
        </w:rPr>
        <w:t xml:space="preserve"> of the </w:t>
      </w:r>
      <w:r w:rsidRPr="00D04D32">
        <w:rPr>
          <w:rFonts w:ascii="Times New Roman" w:hAnsi="Times New Roman"/>
          <w:i/>
          <w:iCs/>
        </w:rPr>
        <w:t>Limitation of Actions Act</w:t>
      </w:r>
      <w:r w:rsidR="00912E7F" w:rsidRPr="00D04D32">
        <w:rPr>
          <w:rFonts w:ascii="Times New Roman" w:hAnsi="Times New Roman"/>
        </w:rPr>
        <w:t xml:space="preserve">, </w:t>
      </w:r>
      <w:r w:rsidR="00B95F7C" w:rsidRPr="00D04D32">
        <w:rPr>
          <w:rFonts w:ascii="Times New Roman" w:hAnsi="Times New Roman"/>
        </w:rPr>
        <w:t>and spec</w:t>
      </w:r>
      <w:r w:rsidR="00824A7B" w:rsidRPr="00D04D32">
        <w:rPr>
          <w:rFonts w:ascii="Times New Roman" w:hAnsi="Times New Roman"/>
        </w:rPr>
        <w:t>i</w:t>
      </w:r>
      <w:r w:rsidR="00B95F7C" w:rsidRPr="00D04D32">
        <w:rPr>
          <w:rFonts w:ascii="Times New Roman" w:hAnsi="Times New Roman"/>
        </w:rPr>
        <w:t>fically</w:t>
      </w:r>
      <w:r w:rsidR="00912E7F" w:rsidRPr="00D04D32">
        <w:rPr>
          <w:rFonts w:ascii="Times New Roman" w:hAnsi="Times New Roman"/>
        </w:rPr>
        <w:t xml:space="preserve"> whether it requires the limitation defence or the </w:t>
      </w:r>
      <w:r w:rsidR="00912E7F" w:rsidRPr="00D04D32">
        <w:rPr>
          <w:rFonts w:ascii="Times New Roman" w:hAnsi="Times New Roman"/>
          <w:i/>
          <w:iCs/>
        </w:rPr>
        <w:t xml:space="preserve">Ellis </w:t>
      </w:r>
      <w:r w:rsidR="00912E7F" w:rsidRPr="00D04D32">
        <w:rPr>
          <w:rFonts w:ascii="Times New Roman" w:hAnsi="Times New Roman"/>
        </w:rPr>
        <w:t>defence to have materially influenced a claimant</w:t>
      </w:r>
      <w:r w:rsidRPr="00D04D32">
        <w:rPr>
          <w:rFonts w:ascii="Times New Roman" w:hAnsi="Times New Roman"/>
        </w:rPr>
        <w:t>'</w:t>
      </w:r>
      <w:r w:rsidR="00912E7F" w:rsidRPr="00D04D32">
        <w:rPr>
          <w:rFonts w:ascii="Times New Roman" w:hAnsi="Times New Roman"/>
        </w:rPr>
        <w:t xml:space="preserve">s decision to settle in order for it to be </w:t>
      </w:r>
      <w:r w:rsidR="00501235" w:rsidRPr="00D04D32">
        <w:rPr>
          <w:rFonts w:ascii="Times New Roman" w:hAnsi="Times New Roman"/>
        </w:rPr>
        <w:t>"</w:t>
      </w:r>
      <w:r w:rsidR="00912E7F" w:rsidRPr="00D04D32">
        <w:rPr>
          <w:rFonts w:ascii="Times New Roman" w:hAnsi="Times New Roman"/>
        </w:rPr>
        <w:t>just and reasonable</w:t>
      </w:r>
      <w:r w:rsidR="00501235" w:rsidRPr="00D04D32">
        <w:rPr>
          <w:rFonts w:ascii="Times New Roman" w:hAnsi="Times New Roman"/>
        </w:rPr>
        <w:t>"</w:t>
      </w:r>
      <w:r w:rsidR="00912E7F" w:rsidRPr="00D04D32">
        <w:rPr>
          <w:rFonts w:ascii="Times New Roman" w:hAnsi="Times New Roman"/>
        </w:rPr>
        <w:t xml:space="preserve"> to set aside </w:t>
      </w:r>
      <w:r w:rsidR="00487318" w:rsidRPr="00D04D32">
        <w:rPr>
          <w:rFonts w:ascii="Times New Roman" w:hAnsi="Times New Roman"/>
        </w:rPr>
        <w:t xml:space="preserve">the </w:t>
      </w:r>
      <w:r w:rsidR="00912E7F" w:rsidRPr="00D04D32">
        <w:rPr>
          <w:rFonts w:ascii="Times New Roman" w:hAnsi="Times New Roman"/>
        </w:rPr>
        <w:t>settlement; and</w:t>
      </w:r>
      <w:r w:rsidR="00501235" w:rsidRPr="00D04D32">
        <w:rPr>
          <w:rFonts w:ascii="Times New Roman" w:hAnsi="Times New Roman"/>
        </w:rPr>
        <w:t xml:space="preserve">, second, </w:t>
      </w:r>
      <w:r w:rsidR="00912E7F" w:rsidRPr="00D04D32">
        <w:rPr>
          <w:rFonts w:ascii="Times New Roman" w:hAnsi="Times New Roman"/>
        </w:rPr>
        <w:t xml:space="preserve">whether the </w:t>
      </w:r>
      <w:r w:rsidR="00501235" w:rsidRPr="00D04D32">
        <w:rPr>
          <w:rFonts w:ascii="Times New Roman" w:hAnsi="Times New Roman"/>
        </w:rPr>
        <w:t>Court of Appeal</w:t>
      </w:r>
      <w:r w:rsidR="00912E7F" w:rsidRPr="00D04D32">
        <w:rPr>
          <w:rFonts w:ascii="Times New Roman" w:hAnsi="Times New Roman"/>
        </w:rPr>
        <w:t xml:space="preserve">, in </w:t>
      </w:r>
      <w:r w:rsidR="007F4A0B" w:rsidRPr="00D04D32">
        <w:rPr>
          <w:rFonts w:ascii="Times New Roman" w:hAnsi="Times New Roman"/>
        </w:rPr>
        <w:t xml:space="preserve">concluding </w:t>
      </w:r>
      <w:r w:rsidR="00912E7F" w:rsidRPr="00D04D32">
        <w:rPr>
          <w:rFonts w:ascii="Times New Roman" w:hAnsi="Times New Roman"/>
        </w:rPr>
        <w:t xml:space="preserve">that the primary judge erred in finding that it was </w:t>
      </w:r>
      <w:r w:rsidR="00501235" w:rsidRPr="00D04D32">
        <w:rPr>
          <w:rFonts w:ascii="Times New Roman" w:hAnsi="Times New Roman"/>
        </w:rPr>
        <w:t>"</w:t>
      </w:r>
      <w:r w:rsidR="00912E7F" w:rsidRPr="00D04D32">
        <w:rPr>
          <w:rFonts w:ascii="Times New Roman" w:hAnsi="Times New Roman"/>
        </w:rPr>
        <w:t>just and reasonable</w:t>
      </w:r>
      <w:r w:rsidR="00824A7B" w:rsidRPr="00D04D32">
        <w:rPr>
          <w:rFonts w:ascii="Times New Roman" w:hAnsi="Times New Roman"/>
        </w:rPr>
        <w:t>"</w:t>
      </w:r>
      <w:r w:rsidR="00912E7F" w:rsidRPr="00D04D32">
        <w:rPr>
          <w:rFonts w:ascii="Times New Roman" w:hAnsi="Times New Roman"/>
        </w:rPr>
        <w:t xml:space="preserve"> to set aside the economic loss components of the deeds, misapplied the correctness standard.</w:t>
      </w:r>
    </w:p>
    <w:p w14:paraId="0A1EDF39" w14:textId="19931384" w:rsidR="00FE382D" w:rsidRPr="00D04D32" w:rsidRDefault="00AA5B69"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FE382D" w:rsidRPr="00D04D32">
        <w:rPr>
          <w:rFonts w:ascii="Times New Roman" w:hAnsi="Times New Roman"/>
        </w:rPr>
        <w:t xml:space="preserve">For the reasons that follow, </w:t>
      </w:r>
      <w:r w:rsidR="0063078A" w:rsidRPr="00D04D32">
        <w:rPr>
          <w:rFonts w:ascii="Times New Roman" w:hAnsi="Times New Roman"/>
        </w:rPr>
        <w:t>the appeal should be dismissed. Although the</w:t>
      </w:r>
      <w:r w:rsidR="003E7804">
        <w:rPr>
          <w:rFonts w:ascii="Times New Roman" w:hAnsi="Times New Roman"/>
        </w:rPr>
        <w:t> </w:t>
      </w:r>
      <w:r w:rsidR="00312F4F" w:rsidRPr="00D04D32">
        <w:rPr>
          <w:rFonts w:ascii="Times New Roman" w:hAnsi="Times New Roman"/>
        </w:rPr>
        <w:t xml:space="preserve">plurality </w:t>
      </w:r>
      <w:r w:rsidR="000A5C7B" w:rsidRPr="00D04D32">
        <w:rPr>
          <w:rFonts w:ascii="Times New Roman" w:hAnsi="Times New Roman"/>
        </w:rPr>
        <w:t>of</w:t>
      </w:r>
      <w:r w:rsidR="0063078A" w:rsidRPr="00D04D32">
        <w:rPr>
          <w:rFonts w:ascii="Times New Roman" w:hAnsi="Times New Roman"/>
        </w:rPr>
        <w:t xml:space="preserve"> the </w:t>
      </w:r>
      <w:r w:rsidR="003330BE" w:rsidRPr="00D04D32">
        <w:rPr>
          <w:rFonts w:ascii="Times New Roman" w:hAnsi="Times New Roman"/>
        </w:rPr>
        <w:t>Court of Appeal erred in its construction of s</w:t>
      </w:r>
      <w:r w:rsidR="00F134D8" w:rsidRPr="00D04D32">
        <w:rPr>
          <w:rFonts w:ascii="Times New Roman" w:hAnsi="Times New Roman"/>
        </w:rPr>
        <w:t> </w:t>
      </w:r>
      <w:r w:rsidR="003330BE" w:rsidRPr="00D04D32">
        <w:rPr>
          <w:rFonts w:ascii="Times New Roman" w:hAnsi="Times New Roman"/>
        </w:rPr>
        <w:t>27QE</w:t>
      </w:r>
      <w:r w:rsidRPr="00D04D32">
        <w:rPr>
          <w:rFonts w:ascii="Times New Roman" w:hAnsi="Times New Roman"/>
        </w:rPr>
        <w:t xml:space="preserve"> </w:t>
      </w:r>
      <w:r w:rsidR="003330BE" w:rsidRPr="00D04D32">
        <w:rPr>
          <w:rFonts w:ascii="Times New Roman" w:hAnsi="Times New Roman"/>
        </w:rPr>
        <w:t>of the</w:t>
      </w:r>
      <w:r w:rsidR="003E7804">
        <w:rPr>
          <w:rFonts w:ascii="Times New Roman" w:hAnsi="Times New Roman"/>
        </w:rPr>
        <w:t> </w:t>
      </w:r>
      <w:r w:rsidR="003330BE" w:rsidRPr="00D04D32">
        <w:rPr>
          <w:rFonts w:ascii="Times New Roman" w:hAnsi="Times New Roman"/>
          <w:i/>
        </w:rPr>
        <w:t>Limitation of Actions Act</w:t>
      </w:r>
      <w:r w:rsidR="003330BE" w:rsidRPr="00D04D32">
        <w:rPr>
          <w:rFonts w:ascii="Times New Roman" w:hAnsi="Times New Roman"/>
        </w:rPr>
        <w:t xml:space="preserve">, </w:t>
      </w:r>
      <w:r w:rsidR="00EF2118" w:rsidRPr="00D04D32">
        <w:rPr>
          <w:rFonts w:ascii="Times New Roman" w:hAnsi="Times New Roman"/>
        </w:rPr>
        <w:t xml:space="preserve">the </w:t>
      </w:r>
      <w:r w:rsidR="00C948FC" w:rsidRPr="00D04D32">
        <w:rPr>
          <w:rFonts w:ascii="Times New Roman" w:hAnsi="Times New Roman"/>
        </w:rPr>
        <w:t xml:space="preserve">evidence </w:t>
      </w:r>
      <w:r w:rsidR="009B5A8C" w:rsidRPr="00D04D32">
        <w:rPr>
          <w:rFonts w:ascii="Times New Roman" w:hAnsi="Times New Roman"/>
        </w:rPr>
        <w:t>would</w:t>
      </w:r>
      <w:r w:rsidR="00C948FC" w:rsidRPr="00D04D32">
        <w:rPr>
          <w:rFonts w:ascii="Times New Roman" w:hAnsi="Times New Roman"/>
        </w:rPr>
        <w:t xml:space="preserve"> not </w:t>
      </w:r>
      <w:r w:rsidR="009B5A8C" w:rsidRPr="00D04D32">
        <w:rPr>
          <w:rFonts w:ascii="Times New Roman" w:hAnsi="Times New Roman"/>
        </w:rPr>
        <w:t xml:space="preserve">have allowed the </w:t>
      </w:r>
      <w:r w:rsidR="009E3DA2" w:rsidRPr="00D04D32">
        <w:rPr>
          <w:rFonts w:ascii="Times New Roman" w:hAnsi="Times New Roman"/>
        </w:rPr>
        <w:t>C</w:t>
      </w:r>
      <w:r w:rsidR="009B5A8C" w:rsidRPr="00D04D32">
        <w:rPr>
          <w:rFonts w:ascii="Times New Roman" w:hAnsi="Times New Roman"/>
        </w:rPr>
        <w:t xml:space="preserve">ourt to be </w:t>
      </w:r>
      <w:r w:rsidR="009B5A8C" w:rsidRPr="00D04D32">
        <w:rPr>
          <w:rFonts w:ascii="Times New Roman" w:hAnsi="Times New Roman"/>
        </w:rPr>
        <w:lastRenderedPageBreak/>
        <w:t>satisfied</w:t>
      </w:r>
      <w:r w:rsidR="00C948FC" w:rsidRPr="00D04D32">
        <w:rPr>
          <w:rFonts w:ascii="Times New Roman" w:hAnsi="Times New Roman"/>
        </w:rPr>
        <w:t xml:space="preserve"> </w:t>
      </w:r>
      <w:r w:rsidR="00BF1C5D" w:rsidRPr="00D04D32">
        <w:rPr>
          <w:rFonts w:ascii="Times New Roman" w:hAnsi="Times New Roman"/>
        </w:rPr>
        <w:t>that it</w:t>
      </w:r>
      <w:r w:rsidR="00C948FC" w:rsidRPr="00D04D32">
        <w:rPr>
          <w:rFonts w:ascii="Times New Roman" w:hAnsi="Times New Roman"/>
        </w:rPr>
        <w:t xml:space="preserve"> was just and reasonable to set aside either deed insofar as it released the Trustees from an economic loss claim.</w:t>
      </w:r>
    </w:p>
    <w:p w14:paraId="5EC18CED" w14:textId="77777777" w:rsidR="00912E7F" w:rsidRPr="00D04D32" w:rsidRDefault="00912E7F" w:rsidP="00D04D32">
      <w:pPr>
        <w:pStyle w:val="HeadingL1"/>
        <w:spacing w:after="260" w:line="280" w:lineRule="exact"/>
        <w:ind w:right="0"/>
        <w:jc w:val="both"/>
        <w:rPr>
          <w:rFonts w:ascii="Times New Roman" w:hAnsi="Times New Roman"/>
        </w:rPr>
      </w:pPr>
      <w:r w:rsidRPr="00D04D32">
        <w:rPr>
          <w:rFonts w:ascii="Times New Roman" w:hAnsi="Times New Roman"/>
        </w:rPr>
        <w:t>Legislative framework</w:t>
      </w:r>
    </w:p>
    <w:p w14:paraId="46076866" w14:textId="404C111D" w:rsidR="00CB21F1" w:rsidRPr="00D04D32" w:rsidRDefault="00DC4018"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BE498C" w:rsidRPr="00D04D32">
        <w:rPr>
          <w:rFonts w:ascii="Times New Roman" w:hAnsi="Times New Roman"/>
        </w:rPr>
        <w:t xml:space="preserve">Division 5 of </w:t>
      </w:r>
      <w:r w:rsidR="00912E7F" w:rsidRPr="00D04D32">
        <w:rPr>
          <w:rFonts w:ascii="Times New Roman" w:hAnsi="Times New Roman"/>
        </w:rPr>
        <w:t xml:space="preserve">Pt IIA of the </w:t>
      </w:r>
      <w:r w:rsidR="00912E7F" w:rsidRPr="00D04D32">
        <w:rPr>
          <w:rFonts w:ascii="Times New Roman" w:hAnsi="Times New Roman"/>
          <w:i/>
          <w:iCs/>
        </w:rPr>
        <w:t xml:space="preserve">Limitation of Actions Act </w:t>
      </w:r>
      <w:r w:rsidR="00912E7F" w:rsidRPr="00D04D32">
        <w:rPr>
          <w:rFonts w:ascii="Times New Roman" w:hAnsi="Times New Roman"/>
        </w:rPr>
        <w:t xml:space="preserve">concerns actions for personal injury resulting from child abuse. </w:t>
      </w:r>
      <w:r w:rsidR="007635EF" w:rsidRPr="00D04D32">
        <w:rPr>
          <w:rFonts w:ascii="Times New Roman" w:hAnsi="Times New Roman"/>
        </w:rPr>
        <w:t>Division 5 applies to an action that "(a)</w:t>
      </w:r>
      <w:r w:rsidR="00C35B8F">
        <w:rPr>
          <w:rFonts w:ascii="Times New Roman" w:hAnsi="Times New Roman"/>
        </w:rPr>
        <w:t> </w:t>
      </w:r>
      <w:r w:rsidR="007635EF" w:rsidRPr="00D04D32">
        <w:rPr>
          <w:rFonts w:ascii="Times New Roman" w:hAnsi="Times New Roman"/>
        </w:rPr>
        <w:t>is in respect of a cause of action to which [P</w:t>
      </w:r>
      <w:r w:rsidR="00C85B63" w:rsidRPr="00D04D32">
        <w:rPr>
          <w:rFonts w:ascii="Times New Roman" w:hAnsi="Times New Roman"/>
        </w:rPr>
        <w:t>t</w:t>
      </w:r>
      <w:r w:rsidR="007635EF" w:rsidRPr="00D04D32">
        <w:rPr>
          <w:rFonts w:ascii="Times New Roman" w:hAnsi="Times New Roman"/>
        </w:rPr>
        <w:t xml:space="preserve"> IIA] applies or extends; and (b)</w:t>
      </w:r>
      <w:r w:rsidR="00C35B8F">
        <w:rPr>
          <w:rFonts w:ascii="Times New Roman" w:hAnsi="Times New Roman"/>
        </w:rPr>
        <w:t> </w:t>
      </w:r>
      <w:r w:rsidR="007635EF" w:rsidRPr="00D04D32">
        <w:rPr>
          <w:rFonts w:ascii="Times New Roman" w:hAnsi="Times New Roman"/>
        </w:rPr>
        <w:t xml:space="preserve">is founded on the death or personal injury of a person resulting from </w:t>
      </w:r>
      <w:r w:rsidR="006F1E89" w:rsidRPr="00D04D32">
        <w:rPr>
          <w:rFonts w:ascii="Times New Roman" w:hAnsi="Times New Roman"/>
        </w:rPr>
        <w:t>–</w:t>
      </w:r>
      <w:r w:rsidR="00CB3D2D" w:rsidRPr="00D04D32">
        <w:rPr>
          <w:rFonts w:ascii="Times New Roman" w:hAnsi="Times New Roman"/>
        </w:rPr>
        <w:t xml:space="preserve"> </w:t>
      </w:r>
      <w:r w:rsidR="007635EF" w:rsidRPr="00D04D32">
        <w:rPr>
          <w:rFonts w:ascii="Times New Roman" w:hAnsi="Times New Roman"/>
        </w:rPr>
        <w:t>(i) </w:t>
      </w:r>
      <w:r w:rsidR="00974715" w:rsidRPr="00D04D32">
        <w:rPr>
          <w:rFonts w:ascii="Times New Roman" w:hAnsi="Times New Roman"/>
        </w:rPr>
        <w:t xml:space="preserve">an </w:t>
      </w:r>
      <w:r w:rsidR="007635EF" w:rsidRPr="00D04D32">
        <w:rPr>
          <w:rFonts w:ascii="Times New Roman" w:hAnsi="Times New Roman"/>
        </w:rPr>
        <w:t>act or omission in relation to the person when the person is a minor that is physical abuse or sexual abuse; and (ii) psychological abuse (if any) that arises out of that act or omission".</w:t>
      </w:r>
      <w:r w:rsidR="007635EF" w:rsidRPr="00D04D32">
        <w:rPr>
          <w:rStyle w:val="FootnoteReference"/>
          <w:rFonts w:ascii="Times New Roman" w:hAnsi="Times New Roman"/>
          <w:sz w:val="24"/>
          <w:szCs w:val="28"/>
        </w:rPr>
        <w:footnoteReference w:id="9"/>
      </w:r>
      <w:r w:rsidR="007635EF" w:rsidRPr="00D04D32">
        <w:rPr>
          <w:rFonts w:ascii="Times New Roman" w:hAnsi="Times New Roman"/>
          <w:sz w:val="32"/>
          <w:szCs w:val="32"/>
        </w:rPr>
        <w:t xml:space="preserve"> </w:t>
      </w:r>
      <w:r w:rsidR="00912E7F" w:rsidRPr="00D04D32">
        <w:rPr>
          <w:rFonts w:ascii="Times New Roman" w:hAnsi="Times New Roman"/>
        </w:rPr>
        <w:t xml:space="preserve">Since 18 September 2019, it has included a </w:t>
      </w:r>
      <w:r w:rsidR="00782AC6" w:rsidRPr="00D04D32">
        <w:rPr>
          <w:rFonts w:ascii="Times New Roman" w:hAnsi="Times New Roman"/>
        </w:rPr>
        <w:t>mechanism</w:t>
      </w:r>
      <w:r w:rsidR="00912E7F" w:rsidRPr="00D04D32">
        <w:rPr>
          <w:rFonts w:ascii="Times New Roman" w:hAnsi="Times New Roman"/>
        </w:rPr>
        <w:t xml:space="preserve"> to set aside a</w:t>
      </w:r>
      <w:r w:rsidR="005D5331">
        <w:rPr>
          <w:rFonts w:ascii="Times New Roman" w:hAnsi="Times New Roman"/>
        </w:rPr>
        <w:t> </w:t>
      </w:r>
      <w:r w:rsidR="00012670" w:rsidRPr="00D04D32">
        <w:rPr>
          <w:rFonts w:ascii="Times New Roman" w:hAnsi="Times New Roman"/>
        </w:rPr>
        <w:t>"settlement agreement"</w:t>
      </w:r>
      <w:r w:rsidR="00F70364" w:rsidRPr="00D04D32">
        <w:rPr>
          <w:rFonts w:ascii="Times New Roman" w:hAnsi="Times New Roman"/>
        </w:rPr>
        <w:t xml:space="preserve"> </w:t>
      </w:r>
      <w:r w:rsidR="00852C47" w:rsidRPr="00D04D32">
        <w:rPr>
          <w:rFonts w:ascii="Times New Roman" w:hAnsi="Times New Roman"/>
        </w:rPr>
        <w:t>of</w:t>
      </w:r>
      <w:r w:rsidR="00F70364" w:rsidRPr="00D04D32">
        <w:rPr>
          <w:rFonts w:ascii="Times New Roman" w:hAnsi="Times New Roman"/>
        </w:rPr>
        <w:t xml:space="preserve"> a</w:t>
      </w:r>
      <w:r w:rsidR="00912E7F" w:rsidRPr="00D04D32">
        <w:rPr>
          <w:rFonts w:ascii="Times New Roman" w:hAnsi="Times New Roman"/>
        </w:rPr>
        <w:t xml:space="preserve"> "previously settled cause of action"</w:t>
      </w:r>
      <w:r w:rsidR="00226EEF" w:rsidRPr="00D04D32">
        <w:rPr>
          <w:rStyle w:val="FootnoteReference"/>
          <w:rFonts w:ascii="Times New Roman" w:hAnsi="Times New Roman"/>
          <w:sz w:val="24"/>
        </w:rPr>
        <w:footnoteReference w:id="10"/>
      </w:r>
      <w:r w:rsidR="00912E7F" w:rsidRPr="00D04D32">
        <w:rPr>
          <w:rFonts w:ascii="Times New Roman" w:hAnsi="Times New Roman"/>
        </w:rPr>
        <w:t xml:space="preserve"> which was a</w:t>
      </w:r>
      <w:r w:rsidR="005D5331">
        <w:rPr>
          <w:rFonts w:ascii="Times New Roman" w:hAnsi="Times New Roman"/>
        </w:rPr>
        <w:t> </w:t>
      </w:r>
      <w:r w:rsidR="00912E7F" w:rsidRPr="00D04D32">
        <w:rPr>
          <w:rFonts w:ascii="Times New Roman" w:hAnsi="Times New Roman"/>
        </w:rPr>
        <w:t>child abuse action settlement made before 1 July 2018.</w:t>
      </w:r>
      <w:r w:rsidR="000E34C3" w:rsidRPr="00D04D32">
        <w:rPr>
          <w:rStyle w:val="FootnoteReference"/>
          <w:rFonts w:ascii="Times New Roman" w:hAnsi="Times New Roman"/>
          <w:sz w:val="24"/>
        </w:rPr>
        <w:footnoteReference w:id="11"/>
      </w:r>
      <w:r w:rsidR="00912E7F" w:rsidRPr="00D04D32">
        <w:rPr>
          <w:rFonts w:ascii="Times New Roman" w:hAnsi="Times New Roman"/>
        </w:rPr>
        <w:t xml:space="preserve"> </w:t>
      </w:r>
      <w:bookmarkStart w:id="0" w:name="_Ref188439233"/>
    </w:p>
    <w:p w14:paraId="68003C90" w14:textId="7736F390" w:rsidR="00912E7F" w:rsidRPr="00D04D32" w:rsidRDefault="00CB21F1"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912E7F" w:rsidRPr="00D04D32">
        <w:rPr>
          <w:rFonts w:ascii="Times New Roman" w:hAnsi="Times New Roman"/>
        </w:rPr>
        <w:t xml:space="preserve">Section 27QE is at the heart of this appeal. Section 27QE gives </w:t>
      </w:r>
      <w:r w:rsidRPr="00D04D32">
        <w:rPr>
          <w:rFonts w:ascii="Times New Roman" w:hAnsi="Times New Roman"/>
        </w:rPr>
        <w:t xml:space="preserve">a </w:t>
      </w:r>
      <w:r w:rsidR="00912E7F" w:rsidRPr="00D04D32">
        <w:rPr>
          <w:rFonts w:ascii="Times New Roman" w:hAnsi="Times New Roman"/>
        </w:rPr>
        <w:t>court the</w:t>
      </w:r>
      <w:r w:rsidR="000514FD">
        <w:rPr>
          <w:rFonts w:ascii="Times New Roman" w:hAnsi="Times New Roman"/>
        </w:rPr>
        <w:t> </w:t>
      </w:r>
      <w:r w:rsidR="00912E7F" w:rsidRPr="00D04D32">
        <w:rPr>
          <w:rFonts w:ascii="Times New Roman" w:hAnsi="Times New Roman"/>
        </w:rPr>
        <w:t xml:space="preserve">power to </w:t>
      </w:r>
      <w:r w:rsidRPr="00D04D32">
        <w:rPr>
          <w:rFonts w:ascii="Times New Roman" w:hAnsi="Times New Roman"/>
        </w:rPr>
        <w:t xml:space="preserve">make an order </w:t>
      </w:r>
      <w:r w:rsidR="00912E7F" w:rsidRPr="00D04D32">
        <w:rPr>
          <w:rFonts w:ascii="Times New Roman" w:hAnsi="Times New Roman"/>
        </w:rPr>
        <w:t>set</w:t>
      </w:r>
      <w:r w:rsidRPr="00D04D32">
        <w:rPr>
          <w:rFonts w:ascii="Times New Roman" w:hAnsi="Times New Roman"/>
        </w:rPr>
        <w:t>ting</w:t>
      </w:r>
      <w:r w:rsidR="00912E7F" w:rsidRPr="00D04D32">
        <w:rPr>
          <w:rFonts w:ascii="Times New Roman" w:hAnsi="Times New Roman"/>
        </w:rPr>
        <w:t xml:space="preserve"> aside a settlement agreement </w:t>
      </w:r>
      <w:r w:rsidR="00A26F2A" w:rsidRPr="00D04D32">
        <w:rPr>
          <w:rFonts w:ascii="Times New Roman" w:hAnsi="Times New Roman"/>
        </w:rPr>
        <w:t xml:space="preserve">of a previously settled cause of action, in whole or in part, </w:t>
      </w:r>
      <w:r w:rsidR="00912E7F" w:rsidRPr="00D04D32">
        <w:rPr>
          <w:rFonts w:ascii="Times New Roman" w:hAnsi="Times New Roman"/>
        </w:rPr>
        <w:t>if the court is satisfied that it is "just and reasonable" to do so. The term "just and reasonable" in s 27QE is not defined. The</w:t>
      </w:r>
      <w:r w:rsidR="006B0E2C" w:rsidRPr="00D04D32">
        <w:rPr>
          <w:rFonts w:ascii="Times New Roman" w:hAnsi="Times New Roman"/>
        </w:rPr>
        <w:t> </w:t>
      </w:r>
      <w:r w:rsidR="00912E7F" w:rsidRPr="00D04D32">
        <w:rPr>
          <w:rFonts w:ascii="Times New Roman" w:hAnsi="Times New Roman"/>
        </w:rPr>
        <w:t>construction of "just and reasonable" in s</w:t>
      </w:r>
      <w:r w:rsidR="006B0E2C" w:rsidRPr="00D04D32">
        <w:rPr>
          <w:rFonts w:ascii="Times New Roman" w:hAnsi="Times New Roman"/>
        </w:rPr>
        <w:t> </w:t>
      </w:r>
      <w:r w:rsidR="00912E7F" w:rsidRPr="00D04D32">
        <w:rPr>
          <w:rFonts w:ascii="Times New Roman" w:hAnsi="Times New Roman"/>
        </w:rPr>
        <w:t>27QE is the subject of ground 1. Section 27QE</w:t>
      </w:r>
      <w:r w:rsidR="006B0E2C" w:rsidRPr="00D04D32">
        <w:rPr>
          <w:rFonts w:ascii="Times New Roman" w:hAnsi="Times New Roman"/>
        </w:rPr>
        <w:t xml:space="preserve">, headed </w:t>
      </w:r>
      <w:r w:rsidR="00FF4A7B" w:rsidRPr="00D04D32">
        <w:rPr>
          <w:rFonts w:ascii="Times New Roman" w:hAnsi="Times New Roman"/>
        </w:rPr>
        <w:t>"</w:t>
      </w:r>
      <w:r w:rsidR="006B0E2C" w:rsidRPr="00D04D32">
        <w:rPr>
          <w:rFonts w:ascii="Times New Roman" w:hAnsi="Times New Roman"/>
        </w:rPr>
        <w:t>Court's powers</w:t>
      </w:r>
      <w:r w:rsidR="001F29CD" w:rsidRPr="00D04D32">
        <w:rPr>
          <w:rFonts w:ascii="Times New Roman" w:hAnsi="Times New Roman"/>
        </w:rPr>
        <w:t xml:space="preserve"> – </w:t>
      </w:r>
      <w:r w:rsidR="00FF4A7B" w:rsidRPr="00D04D32">
        <w:rPr>
          <w:rFonts w:ascii="Times New Roman" w:hAnsi="Times New Roman"/>
        </w:rPr>
        <w:t>previously settled cause</w:t>
      </w:r>
      <w:r w:rsidR="001F29CD" w:rsidRPr="00D04D32">
        <w:rPr>
          <w:rFonts w:ascii="Times New Roman" w:hAnsi="Times New Roman"/>
        </w:rPr>
        <w:t>s</w:t>
      </w:r>
      <w:r w:rsidR="00FF4A7B" w:rsidRPr="00D04D32">
        <w:rPr>
          <w:rFonts w:ascii="Times New Roman" w:hAnsi="Times New Roman"/>
        </w:rPr>
        <w:t xml:space="preserve"> of action",</w:t>
      </w:r>
      <w:r w:rsidR="00912E7F" w:rsidRPr="00D04D32">
        <w:rPr>
          <w:rFonts w:ascii="Times New Roman" w:hAnsi="Times New Roman"/>
        </w:rPr>
        <w:t xml:space="preserve"> provides:</w:t>
      </w:r>
      <w:bookmarkEnd w:id="0"/>
    </w:p>
    <w:p w14:paraId="30A4FF51" w14:textId="569E0790" w:rsidR="00912E7F" w:rsidRPr="00D04D32" w:rsidRDefault="006A19F3" w:rsidP="00D04D32">
      <w:pPr>
        <w:pStyle w:val="leftright"/>
        <w:spacing w:before="0" w:after="260" w:line="280" w:lineRule="exact"/>
        <w:ind w:left="1440" w:right="0" w:hanging="720"/>
        <w:jc w:val="both"/>
        <w:rPr>
          <w:rFonts w:ascii="Times New Roman" w:hAnsi="Times New Roman"/>
        </w:rPr>
      </w:pPr>
      <w:r w:rsidRPr="00D04D32">
        <w:rPr>
          <w:rFonts w:ascii="Times New Roman" w:hAnsi="Times New Roman"/>
        </w:rPr>
        <w:t>"</w:t>
      </w:r>
      <w:r w:rsidR="00912E7F" w:rsidRPr="00D04D32">
        <w:rPr>
          <w:rFonts w:ascii="Times New Roman" w:hAnsi="Times New Roman"/>
        </w:rPr>
        <w:t xml:space="preserve">(1) </w:t>
      </w:r>
      <w:r w:rsidR="00912E7F" w:rsidRPr="00D04D32">
        <w:rPr>
          <w:rFonts w:ascii="Times New Roman" w:hAnsi="Times New Roman"/>
        </w:rPr>
        <w:tab/>
        <w:t>On an application under section 27QD or otherwise in a proceeding on an action referred to in section</w:t>
      </w:r>
      <w:r w:rsidR="00C62B4B" w:rsidRPr="00D04D32">
        <w:rPr>
          <w:rFonts w:ascii="Times New Roman" w:hAnsi="Times New Roman"/>
        </w:rPr>
        <w:t> </w:t>
      </w:r>
      <w:r w:rsidR="00912E7F" w:rsidRPr="00D04D32">
        <w:rPr>
          <w:rFonts w:ascii="Times New Roman" w:hAnsi="Times New Roman"/>
        </w:rPr>
        <w:t xml:space="preserve">27QA(2), the court, if satisfied that it is </w:t>
      </w:r>
      <w:r w:rsidR="00912E7F" w:rsidRPr="00D04D32">
        <w:rPr>
          <w:rFonts w:ascii="Times New Roman" w:hAnsi="Times New Roman"/>
          <w:i/>
        </w:rPr>
        <w:t>just and reasonable</w:t>
      </w:r>
      <w:r w:rsidR="00912E7F" w:rsidRPr="00D04D32">
        <w:rPr>
          <w:rFonts w:ascii="Times New Roman" w:hAnsi="Times New Roman"/>
        </w:rPr>
        <w:t xml:space="preserve"> to do so</w:t>
      </w:r>
      <w:r w:rsidR="00B73045" w:rsidRPr="00D04D32">
        <w:rPr>
          <w:rFonts w:ascii="Times New Roman" w:hAnsi="Times New Roman"/>
        </w:rPr>
        <w:t xml:space="preserve"> –</w:t>
      </w:r>
    </w:p>
    <w:p w14:paraId="5B3F55BE" w14:textId="710E59E6" w:rsidR="00FF4A7B" w:rsidRPr="00D04D32" w:rsidRDefault="00912E7F" w:rsidP="00D04D32">
      <w:pPr>
        <w:pStyle w:val="leftright"/>
        <w:spacing w:before="0" w:after="260" w:line="280" w:lineRule="exact"/>
        <w:ind w:left="2160" w:right="0" w:hanging="720"/>
        <w:jc w:val="both"/>
        <w:rPr>
          <w:rFonts w:ascii="Times New Roman" w:hAnsi="Times New Roman"/>
        </w:rPr>
      </w:pPr>
      <w:r w:rsidRPr="00D04D32">
        <w:rPr>
          <w:rFonts w:ascii="Times New Roman" w:hAnsi="Times New Roman"/>
        </w:rPr>
        <w:t xml:space="preserve">(a) </w:t>
      </w:r>
      <w:r w:rsidRPr="00D04D32">
        <w:rPr>
          <w:rFonts w:ascii="Times New Roman" w:hAnsi="Times New Roman"/>
        </w:rPr>
        <w:tab/>
        <w:t>may make an order setting aside the settlement agreement and any judgment or order giving effect to the settlement of the</w:t>
      </w:r>
      <w:r w:rsidR="00F462FC">
        <w:rPr>
          <w:rFonts w:ascii="Times New Roman" w:hAnsi="Times New Roman"/>
        </w:rPr>
        <w:t> </w:t>
      </w:r>
      <w:r w:rsidRPr="00D04D32">
        <w:rPr>
          <w:rFonts w:ascii="Times New Roman" w:hAnsi="Times New Roman"/>
        </w:rPr>
        <w:t>previously settled cause of action, whether wholly or in part; and</w:t>
      </w:r>
    </w:p>
    <w:p w14:paraId="69EA34FF" w14:textId="45877436" w:rsidR="00912E7F" w:rsidRPr="00D04D32" w:rsidRDefault="00912E7F" w:rsidP="00D04D32">
      <w:pPr>
        <w:pStyle w:val="leftright"/>
        <w:spacing w:before="0" w:after="260" w:line="280" w:lineRule="exact"/>
        <w:ind w:left="2160" w:right="0" w:hanging="720"/>
        <w:jc w:val="both"/>
        <w:rPr>
          <w:rFonts w:ascii="Times New Roman" w:hAnsi="Times New Roman"/>
        </w:rPr>
      </w:pPr>
      <w:r w:rsidRPr="00D04D32">
        <w:rPr>
          <w:rFonts w:ascii="Times New Roman" w:hAnsi="Times New Roman"/>
        </w:rPr>
        <w:t xml:space="preserve">(b) </w:t>
      </w:r>
      <w:r w:rsidRPr="00D04D32">
        <w:rPr>
          <w:rFonts w:ascii="Times New Roman" w:hAnsi="Times New Roman"/>
        </w:rPr>
        <w:tab/>
        <w:t>may make any other order that it considers appropriate in the</w:t>
      </w:r>
      <w:r w:rsidR="00F462FC">
        <w:rPr>
          <w:rFonts w:ascii="Times New Roman" w:hAnsi="Times New Roman"/>
        </w:rPr>
        <w:t> </w:t>
      </w:r>
      <w:r w:rsidRPr="00D04D32">
        <w:rPr>
          <w:rFonts w:ascii="Times New Roman" w:hAnsi="Times New Roman"/>
        </w:rPr>
        <w:t>circumstances.</w:t>
      </w:r>
    </w:p>
    <w:p w14:paraId="59000602" w14:textId="68D0F1A9" w:rsidR="00912E7F" w:rsidRPr="00D04D32" w:rsidRDefault="00912E7F" w:rsidP="00D04D32">
      <w:pPr>
        <w:pStyle w:val="leftright"/>
        <w:spacing w:before="0" w:after="260" w:line="280" w:lineRule="exact"/>
        <w:ind w:left="1440" w:right="0" w:hanging="720"/>
        <w:jc w:val="both"/>
        <w:rPr>
          <w:rFonts w:ascii="Times New Roman" w:hAnsi="Times New Roman"/>
        </w:rPr>
      </w:pPr>
      <w:r w:rsidRPr="00D04D32">
        <w:rPr>
          <w:rFonts w:ascii="Times New Roman" w:hAnsi="Times New Roman"/>
        </w:rPr>
        <w:lastRenderedPageBreak/>
        <w:t xml:space="preserve">(2) </w:t>
      </w:r>
      <w:r w:rsidRPr="00D04D32">
        <w:rPr>
          <w:rFonts w:ascii="Times New Roman" w:hAnsi="Times New Roman"/>
        </w:rPr>
        <w:tab/>
        <w:t>In hearing and determining any action to which this Division applies on a previously settled cause of action, the court, if satisfied that it is just and reasonable to do so</w:t>
      </w:r>
      <w:r w:rsidR="00B73045" w:rsidRPr="00D04D32">
        <w:rPr>
          <w:rFonts w:ascii="Times New Roman" w:hAnsi="Times New Roman"/>
        </w:rPr>
        <w:t xml:space="preserve"> </w:t>
      </w:r>
      <w:r w:rsidR="005C5065" w:rsidRPr="00D04D32">
        <w:rPr>
          <w:rFonts w:ascii="Times New Roman" w:hAnsi="Times New Roman"/>
        </w:rPr>
        <w:t>–</w:t>
      </w:r>
    </w:p>
    <w:p w14:paraId="70F35FBA" w14:textId="7A3375A9" w:rsidR="00912E7F" w:rsidRPr="00D04D32" w:rsidRDefault="00912E7F" w:rsidP="00D04D32">
      <w:pPr>
        <w:pStyle w:val="leftright"/>
        <w:spacing w:before="0" w:after="260" w:line="280" w:lineRule="exact"/>
        <w:ind w:left="2160" w:right="0" w:hanging="720"/>
        <w:jc w:val="both"/>
        <w:rPr>
          <w:rFonts w:ascii="Times New Roman" w:hAnsi="Times New Roman"/>
        </w:rPr>
      </w:pPr>
      <w:r w:rsidRPr="00D04D32">
        <w:rPr>
          <w:rFonts w:ascii="Times New Roman" w:hAnsi="Times New Roman"/>
        </w:rPr>
        <w:t xml:space="preserve">(a) </w:t>
      </w:r>
      <w:r w:rsidRPr="00D04D32">
        <w:rPr>
          <w:rFonts w:ascii="Times New Roman" w:hAnsi="Times New Roman"/>
        </w:rPr>
        <w:tab/>
        <w:t>when awarding damages in relation to the action, may take into account any consideration (whether monetary or non</w:t>
      </w:r>
      <w:r w:rsidR="00FF594E" w:rsidRPr="00D04D32">
        <w:rPr>
          <w:rFonts w:ascii="Times New Roman" w:hAnsi="Times New Roman"/>
        </w:rPr>
        <w:noBreakHyphen/>
      </w:r>
      <w:r w:rsidRPr="00D04D32">
        <w:rPr>
          <w:rFonts w:ascii="Times New Roman" w:hAnsi="Times New Roman"/>
        </w:rPr>
        <w:t>monetary) paid, payable or given or to be given under</w:t>
      </w:r>
      <w:r w:rsidR="00B73045" w:rsidRPr="00D04D32">
        <w:rPr>
          <w:rFonts w:ascii="Times New Roman" w:hAnsi="Times New Roman"/>
        </w:rPr>
        <w:t xml:space="preserve"> –</w:t>
      </w:r>
    </w:p>
    <w:p w14:paraId="43AC5D14" w14:textId="77777777" w:rsidR="00912E7F" w:rsidRPr="00D04D32" w:rsidRDefault="00912E7F" w:rsidP="00D04D32">
      <w:pPr>
        <w:pStyle w:val="leftright"/>
        <w:spacing w:before="0" w:after="260" w:line="280" w:lineRule="exact"/>
        <w:ind w:left="2880" w:right="0" w:hanging="720"/>
        <w:jc w:val="both"/>
        <w:rPr>
          <w:rFonts w:ascii="Times New Roman" w:hAnsi="Times New Roman"/>
        </w:rPr>
      </w:pPr>
      <w:r w:rsidRPr="00D04D32">
        <w:rPr>
          <w:rFonts w:ascii="Times New Roman" w:hAnsi="Times New Roman"/>
        </w:rPr>
        <w:t xml:space="preserve">(i) </w:t>
      </w:r>
      <w:r w:rsidRPr="00D04D32">
        <w:rPr>
          <w:rFonts w:ascii="Times New Roman" w:hAnsi="Times New Roman"/>
        </w:rPr>
        <w:tab/>
        <w:t>a settlement agreement set aside under this section; or</w:t>
      </w:r>
    </w:p>
    <w:p w14:paraId="467BA181" w14:textId="77777777" w:rsidR="00912E7F" w:rsidRPr="00D04D32" w:rsidRDefault="00912E7F" w:rsidP="00D04D32">
      <w:pPr>
        <w:pStyle w:val="leftright"/>
        <w:spacing w:before="0" w:after="260" w:line="280" w:lineRule="exact"/>
        <w:ind w:left="2880" w:right="0" w:hanging="720"/>
        <w:jc w:val="both"/>
        <w:rPr>
          <w:rFonts w:ascii="Times New Roman" w:hAnsi="Times New Roman"/>
        </w:rPr>
      </w:pPr>
      <w:r w:rsidRPr="00D04D32">
        <w:rPr>
          <w:rFonts w:ascii="Times New Roman" w:hAnsi="Times New Roman"/>
        </w:rPr>
        <w:t xml:space="preserve">(ii) </w:t>
      </w:r>
      <w:r w:rsidRPr="00D04D32">
        <w:rPr>
          <w:rFonts w:ascii="Times New Roman" w:hAnsi="Times New Roman"/>
        </w:rPr>
        <w:tab/>
        <w:t>any other agreement related to the settlement that has been set aside under this section; and</w:t>
      </w:r>
    </w:p>
    <w:p w14:paraId="0FEFB885" w14:textId="1DAB9BF5" w:rsidR="00912E7F" w:rsidRPr="00D04D32" w:rsidRDefault="00912E7F" w:rsidP="00D04D32">
      <w:pPr>
        <w:pStyle w:val="leftright"/>
        <w:spacing w:before="0" w:after="260" w:line="280" w:lineRule="exact"/>
        <w:ind w:left="2160" w:right="0" w:hanging="720"/>
        <w:jc w:val="both"/>
        <w:rPr>
          <w:rFonts w:ascii="Times New Roman" w:hAnsi="Times New Roman"/>
        </w:rPr>
      </w:pPr>
      <w:r w:rsidRPr="00D04D32">
        <w:rPr>
          <w:rFonts w:ascii="Times New Roman" w:hAnsi="Times New Roman"/>
        </w:rPr>
        <w:t xml:space="preserve">(b) </w:t>
      </w:r>
      <w:r w:rsidRPr="00D04D32">
        <w:rPr>
          <w:rFonts w:ascii="Times New Roman" w:hAnsi="Times New Roman"/>
        </w:rPr>
        <w:tab/>
        <w:t>when awarding costs in relation to the action, may take into account any amounts paid or payable as costs under</w:t>
      </w:r>
      <w:r w:rsidR="00B73045" w:rsidRPr="00D04D32">
        <w:rPr>
          <w:rFonts w:ascii="Times New Roman" w:hAnsi="Times New Roman"/>
        </w:rPr>
        <w:t xml:space="preserve"> –</w:t>
      </w:r>
    </w:p>
    <w:p w14:paraId="6095D9B6" w14:textId="77777777" w:rsidR="009A64BD" w:rsidRPr="00D04D32" w:rsidRDefault="00912E7F" w:rsidP="00D04D32">
      <w:pPr>
        <w:pStyle w:val="leftright"/>
        <w:spacing w:before="0" w:after="260" w:line="280" w:lineRule="exact"/>
        <w:ind w:left="2880" w:right="0" w:hanging="720"/>
        <w:jc w:val="both"/>
        <w:rPr>
          <w:rFonts w:ascii="Times New Roman" w:hAnsi="Times New Roman"/>
        </w:rPr>
      </w:pPr>
      <w:r w:rsidRPr="00D04D32">
        <w:rPr>
          <w:rFonts w:ascii="Times New Roman" w:hAnsi="Times New Roman"/>
        </w:rPr>
        <w:t xml:space="preserve">(i) </w:t>
      </w:r>
      <w:r w:rsidRPr="00D04D32">
        <w:rPr>
          <w:rFonts w:ascii="Times New Roman" w:hAnsi="Times New Roman"/>
        </w:rPr>
        <w:tab/>
        <w:t>a settlement agreement set aside under this section; or</w:t>
      </w:r>
    </w:p>
    <w:p w14:paraId="113E64F4" w14:textId="77777777" w:rsidR="00D04D32" w:rsidRDefault="00912E7F" w:rsidP="00D04D32">
      <w:pPr>
        <w:pStyle w:val="leftright"/>
        <w:spacing w:before="0" w:after="260" w:line="280" w:lineRule="exact"/>
        <w:ind w:left="2880" w:right="0" w:hanging="720"/>
        <w:jc w:val="both"/>
        <w:rPr>
          <w:rFonts w:ascii="Times New Roman" w:hAnsi="Times New Roman"/>
        </w:rPr>
      </w:pPr>
      <w:r w:rsidRPr="00D04D32">
        <w:rPr>
          <w:rFonts w:ascii="Times New Roman" w:hAnsi="Times New Roman"/>
        </w:rPr>
        <w:t xml:space="preserve">(ii) </w:t>
      </w:r>
      <w:r w:rsidRPr="00D04D32">
        <w:rPr>
          <w:rFonts w:ascii="Times New Roman" w:hAnsi="Times New Roman"/>
        </w:rPr>
        <w:tab/>
        <w:t>any other agreement related to the settlement that has been set aside under this section.</w:t>
      </w:r>
      <w:r w:rsidR="009A64BD" w:rsidRPr="00D04D32">
        <w:rPr>
          <w:rFonts w:ascii="Times New Roman" w:hAnsi="Times New Roman"/>
        </w:rPr>
        <w:t>"</w:t>
      </w:r>
      <w:r w:rsidR="00435082" w:rsidRPr="00D04D32">
        <w:rPr>
          <w:rFonts w:ascii="Times New Roman" w:hAnsi="Times New Roman"/>
        </w:rPr>
        <w:t xml:space="preserve"> </w:t>
      </w:r>
      <w:r w:rsidR="00012F2B" w:rsidRPr="00D04D32">
        <w:rPr>
          <w:rFonts w:ascii="Times New Roman" w:hAnsi="Times New Roman"/>
        </w:rPr>
        <w:t>(emphasis added)</w:t>
      </w:r>
    </w:p>
    <w:p w14:paraId="1D524566" w14:textId="66FDE77B" w:rsidR="00D078B1" w:rsidRPr="00D04D32" w:rsidRDefault="007A65F9"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112EFC" w:rsidRPr="00D04D32">
        <w:rPr>
          <w:rFonts w:ascii="Times New Roman" w:hAnsi="Times New Roman"/>
        </w:rPr>
        <w:t>Although "just and reasonable" in s 27QE is not defined, some other terms are defined in s </w:t>
      </w:r>
      <w:r w:rsidRPr="00D04D32">
        <w:rPr>
          <w:rFonts w:ascii="Times New Roman" w:hAnsi="Times New Roman"/>
        </w:rPr>
        <w:t>27OA for the purpose of Div</w:t>
      </w:r>
      <w:r w:rsidR="00112EFC" w:rsidRPr="00D04D32">
        <w:rPr>
          <w:rFonts w:ascii="Times New Roman" w:hAnsi="Times New Roman"/>
        </w:rPr>
        <w:t> </w:t>
      </w:r>
      <w:r w:rsidRPr="00D04D32">
        <w:rPr>
          <w:rFonts w:ascii="Times New Roman" w:hAnsi="Times New Roman"/>
        </w:rPr>
        <w:t xml:space="preserve">5. </w:t>
      </w:r>
      <w:r w:rsidR="00847C42" w:rsidRPr="00D04D32">
        <w:rPr>
          <w:rFonts w:ascii="Times New Roman" w:hAnsi="Times New Roman"/>
        </w:rPr>
        <w:t>Relevantly, "</w:t>
      </w:r>
      <w:r w:rsidRPr="00D04D32">
        <w:rPr>
          <w:rFonts w:ascii="Times New Roman" w:hAnsi="Times New Roman"/>
        </w:rPr>
        <w:t>previously barred cause of action</w:t>
      </w:r>
      <w:r w:rsidR="00847C42" w:rsidRPr="00D04D32">
        <w:rPr>
          <w:rFonts w:ascii="Times New Roman" w:hAnsi="Times New Roman"/>
        </w:rPr>
        <w:t>"</w:t>
      </w:r>
      <w:r w:rsidRPr="00D04D32">
        <w:rPr>
          <w:rFonts w:ascii="Times New Roman" w:hAnsi="Times New Roman"/>
        </w:rPr>
        <w:t xml:space="preserve"> </w:t>
      </w:r>
      <w:r w:rsidR="00847C42" w:rsidRPr="00D04D32">
        <w:rPr>
          <w:rFonts w:ascii="Times New Roman" w:hAnsi="Times New Roman"/>
        </w:rPr>
        <w:t xml:space="preserve">is defined to </w:t>
      </w:r>
      <w:r w:rsidRPr="00D04D32">
        <w:rPr>
          <w:rFonts w:ascii="Times New Roman" w:hAnsi="Times New Roman"/>
        </w:rPr>
        <w:t xml:space="preserve">mean a cause of action to which </w:t>
      </w:r>
      <w:r w:rsidR="00847C42" w:rsidRPr="00D04D32">
        <w:rPr>
          <w:rFonts w:ascii="Times New Roman" w:hAnsi="Times New Roman"/>
        </w:rPr>
        <w:t xml:space="preserve">Div 5 </w:t>
      </w:r>
      <w:r w:rsidRPr="00D04D32">
        <w:rPr>
          <w:rFonts w:ascii="Times New Roman" w:hAnsi="Times New Roman"/>
        </w:rPr>
        <w:t>applies for which any applicable limitation period expired before 1 July 2015</w:t>
      </w:r>
      <w:r w:rsidR="009F76DD" w:rsidRPr="00D04D32">
        <w:rPr>
          <w:rFonts w:ascii="Times New Roman" w:hAnsi="Times New Roman"/>
        </w:rPr>
        <w:t>;</w:t>
      </w:r>
      <w:r w:rsidR="00847C42" w:rsidRPr="00D04D32">
        <w:rPr>
          <w:rFonts w:ascii="Times New Roman" w:hAnsi="Times New Roman"/>
        </w:rPr>
        <w:t xml:space="preserve"> and "</w:t>
      </w:r>
      <w:r w:rsidRPr="00D04D32">
        <w:rPr>
          <w:rFonts w:ascii="Times New Roman" w:hAnsi="Times New Roman"/>
        </w:rPr>
        <w:t>previously settled cause of action</w:t>
      </w:r>
      <w:r w:rsidR="00847C42" w:rsidRPr="00D04D32">
        <w:rPr>
          <w:rFonts w:ascii="Times New Roman" w:hAnsi="Times New Roman"/>
        </w:rPr>
        <w:t>"</w:t>
      </w:r>
      <w:r w:rsidRPr="00D04D32">
        <w:rPr>
          <w:rFonts w:ascii="Times New Roman" w:hAnsi="Times New Roman"/>
          <w:b/>
          <w:bCs/>
          <w:i/>
          <w:iCs/>
        </w:rPr>
        <w:t xml:space="preserve"> </w:t>
      </w:r>
      <w:r w:rsidR="00702801" w:rsidRPr="00D04D32">
        <w:rPr>
          <w:rFonts w:ascii="Times New Roman" w:hAnsi="Times New Roman"/>
        </w:rPr>
        <w:t xml:space="preserve">is defined to mean </w:t>
      </w:r>
      <w:r w:rsidRPr="00D04D32">
        <w:rPr>
          <w:rFonts w:ascii="Times New Roman" w:hAnsi="Times New Roman"/>
        </w:rPr>
        <w:t>a cause of action to which Div</w:t>
      </w:r>
      <w:r w:rsidR="00847C42" w:rsidRPr="00D04D32">
        <w:rPr>
          <w:rFonts w:ascii="Times New Roman" w:hAnsi="Times New Roman"/>
        </w:rPr>
        <w:t xml:space="preserve"> 5 </w:t>
      </w:r>
      <w:r w:rsidRPr="00D04D32">
        <w:rPr>
          <w:rFonts w:ascii="Times New Roman" w:hAnsi="Times New Roman"/>
        </w:rPr>
        <w:t>applies that was settled and given effect by a settlement agreement before 1 July 2018</w:t>
      </w:r>
      <w:r w:rsidR="003C392E" w:rsidRPr="00D04D32">
        <w:rPr>
          <w:rFonts w:ascii="Times New Roman" w:hAnsi="Times New Roman"/>
        </w:rPr>
        <w:t xml:space="preserve">. As is apparent, </w:t>
      </w:r>
      <w:r w:rsidRPr="00D04D32">
        <w:rPr>
          <w:rFonts w:ascii="Times New Roman" w:hAnsi="Times New Roman"/>
        </w:rPr>
        <w:t>"previously barred cause of action" is defined by reference to the</w:t>
      </w:r>
      <w:r w:rsidR="002D5375">
        <w:rPr>
          <w:rFonts w:ascii="Times New Roman" w:hAnsi="Times New Roman"/>
        </w:rPr>
        <w:t> </w:t>
      </w:r>
      <w:r w:rsidRPr="00D04D32">
        <w:rPr>
          <w:rFonts w:ascii="Times New Roman" w:hAnsi="Times New Roman"/>
        </w:rPr>
        <w:t xml:space="preserve">limitation period, whereas "previously settled cause of action" is not. </w:t>
      </w:r>
      <w:r w:rsidR="000665DD" w:rsidRPr="00D04D32">
        <w:rPr>
          <w:rFonts w:ascii="Times New Roman" w:hAnsi="Times New Roman"/>
        </w:rPr>
        <w:t xml:space="preserve">And in relation to </w:t>
      </w:r>
      <w:r w:rsidRPr="00D04D32">
        <w:rPr>
          <w:rFonts w:ascii="Times New Roman" w:hAnsi="Times New Roman"/>
        </w:rPr>
        <w:t>the dates by which those terms are defined: 1 July 2015 corresponds with the date that the limitation period was abolished for child abuse actions and 1</w:t>
      </w:r>
      <w:r w:rsidR="009C27F9">
        <w:rPr>
          <w:rFonts w:ascii="Times New Roman" w:hAnsi="Times New Roman"/>
        </w:rPr>
        <w:t> </w:t>
      </w:r>
      <w:r w:rsidRPr="00D04D32">
        <w:rPr>
          <w:rFonts w:ascii="Times New Roman" w:hAnsi="Times New Roman"/>
        </w:rPr>
        <w:t xml:space="preserve">July 2018 is the date that the </w:t>
      </w:r>
      <w:r w:rsidRPr="00D04D32">
        <w:rPr>
          <w:rFonts w:ascii="Times New Roman" w:hAnsi="Times New Roman"/>
          <w:i/>
          <w:iCs/>
        </w:rPr>
        <w:t xml:space="preserve">Ellis </w:t>
      </w:r>
      <w:r w:rsidRPr="00D04D32">
        <w:rPr>
          <w:rFonts w:ascii="Times New Roman" w:hAnsi="Times New Roman"/>
        </w:rPr>
        <w:t>defence was abolished.</w:t>
      </w:r>
    </w:p>
    <w:p w14:paraId="5AC8C41A" w14:textId="486EBB2C" w:rsidR="007A65F9" w:rsidRPr="00D04D32" w:rsidRDefault="00C64AA8" w:rsidP="00D04D32">
      <w:pPr>
        <w:pStyle w:val="FixListStyle"/>
        <w:spacing w:after="260" w:line="280" w:lineRule="exact"/>
        <w:ind w:right="0"/>
        <w:jc w:val="both"/>
        <w:rPr>
          <w:rFonts w:ascii="Times New Roman" w:hAnsi="Times New Roman"/>
        </w:rPr>
      </w:pPr>
      <w:r w:rsidRPr="00D04D32">
        <w:rPr>
          <w:rFonts w:ascii="Times New Roman" w:hAnsi="Times New Roman"/>
          <w:b/>
        </w:rPr>
        <w:tab/>
      </w:r>
      <w:r w:rsidR="009A3EF0" w:rsidRPr="00D04D32">
        <w:rPr>
          <w:rFonts w:ascii="Times New Roman" w:hAnsi="Times New Roman"/>
        </w:rPr>
        <w:t xml:space="preserve">Section 27QA </w:t>
      </w:r>
      <w:r w:rsidR="007A65F9" w:rsidRPr="00D04D32">
        <w:rPr>
          <w:rFonts w:ascii="Times New Roman" w:hAnsi="Times New Roman"/>
        </w:rPr>
        <w:t>sets the foundation for s</w:t>
      </w:r>
      <w:r w:rsidR="00093CF7" w:rsidRPr="00D04D32">
        <w:rPr>
          <w:rFonts w:ascii="Times New Roman" w:hAnsi="Times New Roman"/>
        </w:rPr>
        <w:t> </w:t>
      </w:r>
      <w:r w:rsidR="007A65F9" w:rsidRPr="00D04D32">
        <w:rPr>
          <w:rFonts w:ascii="Times New Roman" w:hAnsi="Times New Roman"/>
        </w:rPr>
        <w:t>27QE by allowing an action to be brought on a previously settled cause of action. Section</w:t>
      </w:r>
      <w:r w:rsidR="00F02163" w:rsidRPr="00D04D32">
        <w:rPr>
          <w:rFonts w:ascii="Times New Roman" w:hAnsi="Times New Roman"/>
        </w:rPr>
        <w:t> </w:t>
      </w:r>
      <w:r w:rsidR="007A65F9" w:rsidRPr="00D04D32">
        <w:rPr>
          <w:rFonts w:ascii="Times New Roman" w:hAnsi="Times New Roman"/>
        </w:rPr>
        <w:t xml:space="preserve">27QB </w:t>
      </w:r>
      <w:r w:rsidR="009D619B" w:rsidRPr="00D04D32">
        <w:rPr>
          <w:rFonts w:ascii="Times New Roman" w:hAnsi="Times New Roman"/>
        </w:rPr>
        <w:t xml:space="preserve">then </w:t>
      </w:r>
      <w:r w:rsidR="007A65F9" w:rsidRPr="00D04D32">
        <w:rPr>
          <w:rFonts w:ascii="Times New Roman" w:hAnsi="Times New Roman"/>
        </w:rPr>
        <w:t xml:space="preserve">provides that an application may be made to the court for </w:t>
      </w:r>
      <w:r w:rsidR="00DB136E" w:rsidRPr="00D04D32">
        <w:rPr>
          <w:rFonts w:ascii="Times New Roman" w:hAnsi="Times New Roman"/>
        </w:rPr>
        <w:t>setting aside</w:t>
      </w:r>
      <w:r w:rsidR="007A65F9" w:rsidRPr="00D04D32">
        <w:rPr>
          <w:rFonts w:ascii="Times New Roman" w:hAnsi="Times New Roman"/>
        </w:rPr>
        <w:t xml:space="preserve"> </w:t>
      </w:r>
      <w:r w:rsidR="00DC3948" w:rsidRPr="00D04D32">
        <w:rPr>
          <w:rFonts w:ascii="Times New Roman" w:hAnsi="Times New Roman"/>
        </w:rPr>
        <w:t xml:space="preserve">a </w:t>
      </w:r>
      <w:r w:rsidR="007A65F9" w:rsidRPr="00D04D32">
        <w:rPr>
          <w:rFonts w:ascii="Times New Roman" w:hAnsi="Times New Roman"/>
        </w:rPr>
        <w:t>previous judgment. Section 27QC provides that the court may make an order setting aside the previous judgment, whether wholly or in part, "if satisfied that it is just and reasonable to do so". The</w:t>
      </w:r>
      <w:r w:rsidRPr="00D04D32" w:rsidDel="002C6157">
        <w:rPr>
          <w:rFonts w:ascii="Times New Roman" w:hAnsi="Times New Roman"/>
        </w:rPr>
        <w:t xml:space="preserve"> </w:t>
      </w:r>
      <w:r w:rsidR="002C6157" w:rsidRPr="00D04D32">
        <w:rPr>
          <w:rFonts w:ascii="Times New Roman" w:hAnsi="Times New Roman"/>
          <w:i/>
          <w:iCs/>
        </w:rPr>
        <w:t>Limitation of Actions Act</w:t>
      </w:r>
      <w:r w:rsidR="002C6157" w:rsidRPr="00D04D32">
        <w:rPr>
          <w:rFonts w:ascii="Times New Roman" w:hAnsi="Times New Roman"/>
        </w:rPr>
        <w:t xml:space="preserve"> </w:t>
      </w:r>
      <w:r w:rsidR="007A65F9" w:rsidRPr="00D04D32">
        <w:rPr>
          <w:rFonts w:ascii="Times New Roman" w:hAnsi="Times New Roman"/>
        </w:rPr>
        <w:t>does not specify matters that the court shall have regard to when determining whether it is just and reasonable to set aside a</w:t>
      </w:r>
      <w:r w:rsidR="009C27F9">
        <w:rPr>
          <w:rFonts w:ascii="Times New Roman" w:hAnsi="Times New Roman"/>
        </w:rPr>
        <w:t> </w:t>
      </w:r>
      <w:r w:rsidR="007A65F9" w:rsidRPr="00D04D32">
        <w:rPr>
          <w:rFonts w:ascii="Times New Roman" w:hAnsi="Times New Roman"/>
        </w:rPr>
        <w:t>previous judgment.</w:t>
      </w:r>
      <w:r w:rsidRPr="00D04D32">
        <w:rPr>
          <w:rFonts w:ascii="Times New Roman" w:hAnsi="Times New Roman"/>
        </w:rPr>
        <w:t xml:space="preserve"> </w:t>
      </w:r>
      <w:r w:rsidR="00F05D50" w:rsidRPr="00D04D32">
        <w:rPr>
          <w:rFonts w:ascii="Times New Roman" w:hAnsi="Times New Roman"/>
        </w:rPr>
        <w:t>So, for example, s 27QC does not</w:t>
      </w:r>
      <w:r w:rsidR="00BD0073" w:rsidRPr="00D04D32">
        <w:rPr>
          <w:rFonts w:ascii="Times New Roman" w:hAnsi="Times New Roman"/>
        </w:rPr>
        <w:t xml:space="preserve"> limit the matters to be considered to those set out in any reasons given for the judgment that is to be set aside.</w:t>
      </w:r>
    </w:p>
    <w:p w14:paraId="32A6782C" w14:textId="79C87BE3" w:rsidR="003C50E7" w:rsidRPr="00D04D32" w:rsidRDefault="00856087" w:rsidP="00D04D32">
      <w:pPr>
        <w:pStyle w:val="FixListStyle"/>
        <w:spacing w:after="260" w:line="280" w:lineRule="exact"/>
        <w:ind w:right="0"/>
        <w:jc w:val="both"/>
        <w:rPr>
          <w:rFonts w:ascii="Times New Roman" w:hAnsi="Times New Roman"/>
        </w:rPr>
      </w:pPr>
      <w:r w:rsidRPr="00D04D32">
        <w:rPr>
          <w:rFonts w:ascii="Times New Roman" w:hAnsi="Times New Roman"/>
        </w:rPr>
        <w:lastRenderedPageBreak/>
        <w:tab/>
        <w:t>The text of s </w:t>
      </w:r>
      <w:r w:rsidR="007A65F9" w:rsidRPr="00D04D32">
        <w:rPr>
          <w:rFonts w:ascii="Times New Roman" w:hAnsi="Times New Roman"/>
        </w:rPr>
        <w:t>27QE</w:t>
      </w:r>
      <w:r w:rsidR="00FA1EB4" w:rsidRPr="00D04D32">
        <w:rPr>
          <w:rFonts w:ascii="Times New Roman" w:hAnsi="Times New Roman"/>
        </w:rPr>
        <w:t xml:space="preserve"> </w:t>
      </w:r>
      <w:r w:rsidR="007A65F9" w:rsidRPr="00D04D32">
        <w:rPr>
          <w:rFonts w:ascii="Times New Roman" w:hAnsi="Times New Roman"/>
        </w:rPr>
        <w:t>concerns the court's power to set aside previously settled causes of action</w:t>
      </w:r>
      <w:r w:rsidR="00FA1EB4" w:rsidRPr="00D04D32">
        <w:rPr>
          <w:rFonts w:ascii="Times New Roman" w:hAnsi="Times New Roman"/>
        </w:rPr>
        <w:t>.</w:t>
      </w:r>
      <w:r w:rsidR="00AE2CC4" w:rsidRPr="00D04D32">
        <w:rPr>
          <w:rFonts w:ascii="Times New Roman" w:hAnsi="Times New Roman"/>
        </w:rPr>
        <w:t xml:space="preserve"> </w:t>
      </w:r>
      <w:r w:rsidR="00FA1EB4" w:rsidRPr="00D04D32">
        <w:rPr>
          <w:rFonts w:ascii="Times New Roman" w:hAnsi="Times New Roman"/>
        </w:rPr>
        <w:t>L</w:t>
      </w:r>
      <w:r w:rsidR="007A65F9" w:rsidRPr="00D04D32">
        <w:rPr>
          <w:rFonts w:ascii="Times New Roman" w:hAnsi="Times New Roman"/>
        </w:rPr>
        <w:t xml:space="preserve">ike s 27QC, </w:t>
      </w:r>
      <w:r w:rsidR="00FA1EB4" w:rsidRPr="00D04D32">
        <w:rPr>
          <w:rFonts w:ascii="Times New Roman" w:hAnsi="Times New Roman"/>
        </w:rPr>
        <w:t xml:space="preserve">s 27QE </w:t>
      </w:r>
      <w:r w:rsidR="007A65F9" w:rsidRPr="00D04D32">
        <w:rPr>
          <w:rFonts w:ascii="Times New Roman" w:hAnsi="Times New Roman"/>
        </w:rPr>
        <w:t xml:space="preserve">does not specify </w:t>
      </w:r>
      <w:r w:rsidR="003C50E7" w:rsidRPr="00D04D32">
        <w:rPr>
          <w:rFonts w:ascii="Times New Roman" w:hAnsi="Times New Roman"/>
        </w:rPr>
        <w:t xml:space="preserve">the </w:t>
      </w:r>
      <w:r w:rsidR="007A65F9" w:rsidRPr="00D04D32">
        <w:rPr>
          <w:rFonts w:ascii="Times New Roman" w:hAnsi="Times New Roman"/>
        </w:rPr>
        <w:t>matters to which the</w:t>
      </w:r>
      <w:r w:rsidR="009C27F9">
        <w:rPr>
          <w:rFonts w:ascii="Times New Roman" w:hAnsi="Times New Roman"/>
        </w:rPr>
        <w:t> </w:t>
      </w:r>
      <w:r w:rsidR="007A65F9" w:rsidRPr="00D04D32">
        <w:rPr>
          <w:rFonts w:ascii="Times New Roman" w:hAnsi="Times New Roman"/>
        </w:rPr>
        <w:t>court shall have regard in determining whether it is "just and reasonable" to set aside a previously settled cause of action.</w:t>
      </w:r>
    </w:p>
    <w:p w14:paraId="0D55C8CB" w14:textId="2B2D50F7" w:rsidR="00912E7F" w:rsidRPr="00D04D32" w:rsidRDefault="00611628" w:rsidP="00D04D32">
      <w:pPr>
        <w:pStyle w:val="HeadingL1"/>
        <w:spacing w:after="260" w:line="280" w:lineRule="exact"/>
        <w:ind w:right="0"/>
        <w:jc w:val="both"/>
        <w:rPr>
          <w:rFonts w:ascii="Times New Roman" w:hAnsi="Times New Roman"/>
        </w:rPr>
      </w:pPr>
      <w:r w:rsidRPr="00D04D32">
        <w:rPr>
          <w:rFonts w:ascii="Times New Roman" w:hAnsi="Times New Roman"/>
        </w:rPr>
        <w:t>Decisions below</w:t>
      </w:r>
    </w:p>
    <w:p w14:paraId="168AB1AA" w14:textId="6D3E2E80" w:rsidR="00611628" w:rsidRPr="00D04D32" w:rsidRDefault="00611628" w:rsidP="00D04D32">
      <w:pPr>
        <w:pStyle w:val="HeadingL2"/>
        <w:spacing w:after="260" w:line="280" w:lineRule="exact"/>
        <w:ind w:right="0"/>
        <w:jc w:val="both"/>
        <w:rPr>
          <w:rFonts w:ascii="Times New Roman" w:hAnsi="Times New Roman"/>
        </w:rPr>
      </w:pPr>
      <w:r w:rsidRPr="00D04D32">
        <w:rPr>
          <w:rFonts w:ascii="Times New Roman" w:hAnsi="Times New Roman"/>
        </w:rPr>
        <w:t>Primary judge</w:t>
      </w:r>
    </w:p>
    <w:p w14:paraId="0E22A4AB" w14:textId="75814173" w:rsidR="006346E0" w:rsidRPr="00D04D32" w:rsidRDefault="00EC69AD" w:rsidP="00D04D32">
      <w:pPr>
        <w:pStyle w:val="FixListStyle"/>
        <w:spacing w:after="260" w:line="280" w:lineRule="exact"/>
        <w:ind w:right="0"/>
        <w:jc w:val="both"/>
        <w:rPr>
          <w:rFonts w:ascii="Times New Roman" w:hAnsi="Times New Roman"/>
        </w:rPr>
      </w:pPr>
      <w:bookmarkStart w:id="1" w:name="_Ref187825684"/>
      <w:r w:rsidRPr="00D04D32">
        <w:rPr>
          <w:rFonts w:ascii="Times New Roman" w:hAnsi="Times New Roman"/>
        </w:rPr>
        <w:tab/>
      </w:r>
      <w:r w:rsidR="00C31F67" w:rsidRPr="00D04D32">
        <w:rPr>
          <w:rFonts w:ascii="Times New Roman" w:hAnsi="Times New Roman"/>
        </w:rPr>
        <w:t xml:space="preserve">As the primary judge recorded, although the party seeking to set aside </w:t>
      </w:r>
      <w:r w:rsidR="00954C7C" w:rsidRPr="00D04D32">
        <w:rPr>
          <w:rFonts w:ascii="Times New Roman" w:hAnsi="Times New Roman"/>
        </w:rPr>
        <w:t>a</w:t>
      </w:r>
      <w:r w:rsidR="009C27F9">
        <w:rPr>
          <w:rFonts w:ascii="Times New Roman" w:hAnsi="Times New Roman"/>
        </w:rPr>
        <w:t> </w:t>
      </w:r>
      <w:r w:rsidR="00954C7C" w:rsidRPr="00D04D32">
        <w:rPr>
          <w:rFonts w:ascii="Times New Roman" w:hAnsi="Times New Roman"/>
        </w:rPr>
        <w:t xml:space="preserve">settlement agreement, here the </w:t>
      </w:r>
      <w:r w:rsidR="00056BB8" w:rsidRPr="00D04D32">
        <w:rPr>
          <w:rFonts w:ascii="Times New Roman" w:hAnsi="Times New Roman"/>
        </w:rPr>
        <w:t>2012 deed and the 2015 deed,</w:t>
      </w:r>
      <w:r w:rsidR="00C31F67" w:rsidRPr="00D04D32">
        <w:rPr>
          <w:rFonts w:ascii="Times New Roman" w:hAnsi="Times New Roman"/>
        </w:rPr>
        <w:t xml:space="preserve"> bears the burden of demonstrating it is just and reasonable to </w:t>
      </w:r>
      <w:r w:rsidR="00954C7C" w:rsidRPr="00D04D32">
        <w:rPr>
          <w:rFonts w:ascii="Times New Roman" w:hAnsi="Times New Roman"/>
        </w:rPr>
        <w:t>do so</w:t>
      </w:r>
      <w:r w:rsidR="00505F8F" w:rsidRPr="00D04D32">
        <w:rPr>
          <w:rFonts w:ascii="Times New Roman" w:hAnsi="Times New Roman"/>
        </w:rPr>
        <w:t>,</w:t>
      </w:r>
      <w:r w:rsidR="00C31F67" w:rsidRPr="00D04D32">
        <w:rPr>
          <w:rFonts w:ascii="Times New Roman" w:hAnsi="Times New Roman"/>
        </w:rPr>
        <w:t xml:space="preserve"> compelling reasons are not required.</w:t>
      </w:r>
      <w:r w:rsidR="00C31F67" w:rsidRPr="00D04D32">
        <w:rPr>
          <w:rStyle w:val="FootnoteReference"/>
          <w:rFonts w:ascii="Times New Roman" w:hAnsi="Times New Roman"/>
          <w:sz w:val="24"/>
        </w:rPr>
        <w:footnoteReference w:id="12"/>
      </w:r>
      <w:r w:rsidR="00C31F67" w:rsidRPr="00D04D32">
        <w:rPr>
          <w:rFonts w:ascii="Times New Roman" w:hAnsi="Times New Roman"/>
        </w:rPr>
        <w:t xml:space="preserve"> </w:t>
      </w:r>
      <w:bookmarkEnd w:id="1"/>
      <w:r w:rsidR="00DD7D97" w:rsidRPr="00D04D32">
        <w:rPr>
          <w:rFonts w:ascii="Times New Roman" w:hAnsi="Times New Roman"/>
        </w:rPr>
        <w:t>And b</w:t>
      </w:r>
      <w:r w:rsidR="006346E0" w:rsidRPr="00D04D32">
        <w:rPr>
          <w:rFonts w:ascii="Times New Roman" w:hAnsi="Times New Roman"/>
        </w:rPr>
        <w:t>efore t</w:t>
      </w:r>
      <w:r w:rsidR="00912E7F" w:rsidRPr="00D04D32">
        <w:rPr>
          <w:rFonts w:ascii="Times New Roman" w:hAnsi="Times New Roman"/>
        </w:rPr>
        <w:t>he primary judge</w:t>
      </w:r>
      <w:r w:rsidR="006346E0" w:rsidRPr="00D04D32">
        <w:rPr>
          <w:rFonts w:ascii="Times New Roman" w:hAnsi="Times New Roman"/>
        </w:rPr>
        <w:t>,</w:t>
      </w:r>
      <w:r w:rsidR="00912E7F" w:rsidRPr="00D04D32">
        <w:rPr>
          <w:rFonts w:ascii="Times New Roman" w:hAnsi="Times New Roman"/>
        </w:rPr>
        <w:t xml:space="preserve"> the parties agreed </w:t>
      </w:r>
      <w:r w:rsidR="006346E0" w:rsidRPr="00D04D32">
        <w:rPr>
          <w:rFonts w:ascii="Times New Roman" w:hAnsi="Times New Roman"/>
        </w:rPr>
        <w:t xml:space="preserve">that </w:t>
      </w:r>
      <w:r w:rsidR="00912E7F" w:rsidRPr="00D04D32">
        <w:rPr>
          <w:rFonts w:ascii="Times New Roman" w:hAnsi="Times New Roman"/>
        </w:rPr>
        <w:t>the following factors were potentially relevant on a re-opening application: the terms of the deed; whether the parties were legally represented</w:t>
      </w:r>
      <w:r w:rsidR="001D655A" w:rsidRPr="00D04D32">
        <w:rPr>
          <w:rFonts w:ascii="Times New Roman" w:hAnsi="Times New Roman"/>
        </w:rPr>
        <w:t xml:space="preserve"> at the time of settlement</w:t>
      </w:r>
      <w:r w:rsidR="00912E7F" w:rsidRPr="00D04D32">
        <w:rPr>
          <w:rFonts w:ascii="Times New Roman" w:hAnsi="Times New Roman"/>
        </w:rPr>
        <w:t>; the</w:t>
      </w:r>
      <w:r w:rsidR="009C27F9">
        <w:rPr>
          <w:rFonts w:ascii="Times New Roman" w:hAnsi="Times New Roman"/>
        </w:rPr>
        <w:t> </w:t>
      </w:r>
      <w:r w:rsidR="00912E7F" w:rsidRPr="00D04D32">
        <w:rPr>
          <w:rFonts w:ascii="Times New Roman" w:hAnsi="Times New Roman"/>
        </w:rPr>
        <w:t xml:space="preserve">circumstances of the making of the deed (including </w:t>
      </w:r>
      <w:r w:rsidR="005550A0" w:rsidRPr="00D04D32">
        <w:rPr>
          <w:rFonts w:ascii="Times New Roman" w:hAnsi="Times New Roman"/>
        </w:rPr>
        <w:t>any</w:t>
      </w:r>
      <w:r w:rsidR="00912E7F" w:rsidRPr="00D04D32" w:rsidDel="00047FD6">
        <w:rPr>
          <w:rFonts w:ascii="Times New Roman" w:hAnsi="Times New Roman"/>
        </w:rPr>
        <w:t xml:space="preserve"> </w:t>
      </w:r>
      <w:r w:rsidR="00912E7F" w:rsidRPr="00D04D32">
        <w:rPr>
          <w:rFonts w:ascii="Times New Roman" w:hAnsi="Times New Roman"/>
        </w:rPr>
        <w:t xml:space="preserve">medical evidence and whether the settlement process was reasonable or whether there was undue pressure to settle); any prejudice to the </w:t>
      </w:r>
      <w:r w:rsidR="00D163C6" w:rsidRPr="00D04D32">
        <w:rPr>
          <w:rFonts w:ascii="Times New Roman" w:hAnsi="Times New Roman"/>
        </w:rPr>
        <w:t xml:space="preserve">respondent </w:t>
      </w:r>
      <w:r w:rsidR="00912E7F" w:rsidRPr="00D04D32">
        <w:rPr>
          <w:rFonts w:ascii="Times New Roman" w:hAnsi="Times New Roman"/>
        </w:rPr>
        <w:t xml:space="preserve">due to the lapse of time; </w:t>
      </w:r>
      <w:r w:rsidR="00B86D3F" w:rsidRPr="00D04D32">
        <w:rPr>
          <w:rFonts w:ascii="Times New Roman" w:hAnsi="Times New Roman"/>
        </w:rPr>
        <w:t xml:space="preserve">and </w:t>
      </w:r>
      <w:r w:rsidR="00912E7F" w:rsidRPr="00D04D32">
        <w:rPr>
          <w:rFonts w:ascii="Times New Roman" w:hAnsi="Times New Roman"/>
        </w:rPr>
        <w:t xml:space="preserve">any disadvantage to the </w:t>
      </w:r>
      <w:r w:rsidR="00D163C6" w:rsidRPr="00D04D32">
        <w:rPr>
          <w:rFonts w:ascii="Times New Roman" w:hAnsi="Times New Roman"/>
        </w:rPr>
        <w:t xml:space="preserve">respondent </w:t>
      </w:r>
      <w:r w:rsidR="00912E7F" w:rsidRPr="00D04D32">
        <w:rPr>
          <w:rFonts w:ascii="Times New Roman" w:hAnsi="Times New Roman"/>
        </w:rPr>
        <w:t xml:space="preserve">(including financial disadvantage) as a result of the previous deed being set aside. </w:t>
      </w:r>
    </w:p>
    <w:p w14:paraId="733A554A" w14:textId="2B0948AC" w:rsidR="00A55DCF" w:rsidRPr="00D04D32" w:rsidRDefault="006346E0"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CA690F" w:rsidRPr="00D04D32">
        <w:rPr>
          <w:rFonts w:ascii="Times New Roman" w:hAnsi="Times New Roman"/>
        </w:rPr>
        <w:t>As noted, t</w:t>
      </w:r>
      <w:r w:rsidR="00DD7D97" w:rsidRPr="00D04D32">
        <w:rPr>
          <w:rFonts w:ascii="Times New Roman" w:hAnsi="Times New Roman"/>
        </w:rPr>
        <w:t>he Trustees did not oppose DZY's application under s 27QE to set aside the deeds insofar as they related to general damages but did oppose the</w:t>
      </w:r>
      <w:r w:rsidR="00E712E9">
        <w:rPr>
          <w:rFonts w:ascii="Times New Roman" w:hAnsi="Times New Roman"/>
        </w:rPr>
        <w:t> </w:t>
      </w:r>
      <w:r w:rsidR="00DD7D97" w:rsidRPr="00D04D32">
        <w:rPr>
          <w:rFonts w:ascii="Times New Roman" w:hAnsi="Times New Roman"/>
        </w:rPr>
        <w:t xml:space="preserve">application in relation to economic loss. </w:t>
      </w:r>
      <w:r w:rsidR="00912E7F" w:rsidRPr="00D04D32">
        <w:rPr>
          <w:rFonts w:ascii="Times New Roman" w:hAnsi="Times New Roman"/>
        </w:rPr>
        <w:t xml:space="preserve">The primary judge </w:t>
      </w:r>
      <w:r w:rsidR="00F3120F" w:rsidRPr="00D04D32">
        <w:rPr>
          <w:rFonts w:ascii="Times New Roman" w:hAnsi="Times New Roman"/>
        </w:rPr>
        <w:t xml:space="preserve">recorded </w:t>
      </w:r>
      <w:r w:rsidR="00912E7F" w:rsidRPr="00D04D32">
        <w:rPr>
          <w:rFonts w:ascii="Times New Roman" w:hAnsi="Times New Roman"/>
        </w:rPr>
        <w:t>the</w:t>
      </w:r>
      <w:r w:rsidR="00E712E9">
        <w:rPr>
          <w:rFonts w:ascii="Times New Roman" w:hAnsi="Times New Roman"/>
        </w:rPr>
        <w:t> </w:t>
      </w:r>
      <w:r w:rsidR="00912E7F" w:rsidRPr="00D04D32">
        <w:rPr>
          <w:rFonts w:ascii="Times New Roman" w:hAnsi="Times New Roman"/>
        </w:rPr>
        <w:t>Trustees</w:t>
      </w:r>
      <w:r w:rsidR="00250861" w:rsidRPr="00D04D32">
        <w:rPr>
          <w:rFonts w:ascii="Times New Roman" w:hAnsi="Times New Roman"/>
        </w:rPr>
        <w:t>'</w:t>
      </w:r>
      <w:r w:rsidR="00912E7F" w:rsidRPr="00D04D32">
        <w:rPr>
          <w:rFonts w:ascii="Times New Roman" w:hAnsi="Times New Roman"/>
        </w:rPr>
        <w:t xml:space="preserve"> </w:t>
      </w:r>
      <w:r w:rsidR="00F3120F" w:rsidRPr="00D04D32">
        <w:rPr>
          <w:rFonts w:ascii="Times New Roman" w:hAnsi="Times New Roman"/>
        </w:rPr>
        <w:t xml:space="preserve">concession </w:t>
      </w:r>
      <w:r w:rsidR="00912E7F" w:rsidRPr="00D04D32">
        <w:rPr>
          <w:rFonts w:ascii="Times New Roman" w:hAnsi="Times New Roman"/>
        </w:rPr>
        <w:t xml:space="preserve">that the 2012 </w:t>
      </w:r>
      <w:r w:rsidR="00F3120F" w:rsidRPr="00D04D32">
        <w:rPr>
          <w:rFonts w:ascii="Times New Roman" w:hAnsi="Times New Roman"/>
        </w:rPr>
        <w:t xml:space="preserve">deed </w:t>
      </w:r>
      <w:r w:rsidR="00912E7F" w:rsidRPr="00D04D32">
        <w:rPr>
          <w:rFonts w:ascii="Times New Roman" w:hAnsi="Times New Roman"/>
        </w:rPr>
        <w:t xml:space="preserve">may have been affected by </w:t>
      </w:r>
      <w:r w:rsidR="007B31D1" w:rsidRPr="00D04D32">
        <w:rPr>
          <w:rFonts w:ascii="Times New Roman" w:hAnsi="Times New Roman"/>
        </w:rPr>
        <w:t xml:space="preserve">considerations of </w:t>
      </w:r>
      <w:r w:rsidR="00DD7D97" w:rsidRPr="00D04D32">
        <w:rPr>
          <w:rFonts w:ascii="Times New Roman" w:hAnsi="Times New Roman"/>
        </w:rPr>
        <w:t>on</w:t>
      </w:r>
      <w:r w:rsidR="00CA690F" w:rsidRPr="00D04D32">
        <w:rPr>
          <w:rFonts w:ascii="Times New Roman" w:hAnsi="Times New Roman"/>
        </w:rPr>
        <w:t xml:space="preserve">e </w:t>
      </w:r>
      <w:r w:rsidR="00DD7D97" w:rsidRPr="00D04D32">
        <w:rPr>
          <w:rFonts w:ascii="Times New Roman" w:hAnsi="Times New Roman"/>
        </w:rPr>
        <w:t xml:space="preserve">or </w:t>
      </w:r>
      <w:r w:rsidR="000A7EB3" w:rsidRPr="00D04D32">
        <w:rPr>
          <w:rFonts w:ascii="Times New Roman" w:hAnsi="Times New Roman"/>
        </w:rPr>
        <w:t xml:space="preserve">both </w:t>
      </w:r>
      <w:r w:rsidR="00DD7D97" w:rsidRPr="00D04D32">
        <w:rPr>
          <w:rFonts w:ascii="Times New Roman" w:hAnsi="Times New Roman"/>
        </w:rPr>
        <w:t xml:space="preserve">of the </w:t>
      </w:r>
      <w:r w:rsidR="00912E7F" w:rsidRPr="00D04D32">
        <w:rPr>
          <w:rFonts w:ascii="Times New Roman" w:hAnsi="Times New Roman"/>
        </w:rPr>
        <w:t>limitation</w:t>
      </w:r>
      <w:r w:rsidR="00DD7D97" w:rsidRPr="00D04D32">
        <w:rPr>
          <w:rFonts w:ascii="Times New Roman" w:hAnsi="Times New Roman"/>
        </w:rPr>
        <w:t xml:space="preserve"> defence and the </w:t>
      </w:r>
      <w:r w:rsidR="00912E7F" w:rsidRPr="00D04D32">
        <w:rPr>
          <w:rFonts w:ascii="Times New Roman" w:hAnsi="Times New Roman"/>
          <w:i/>
          <w:iCs/>
        </w:rPr>
        <w:t xml:space="preserve">Ellis </w:t>
      </w:r>
      <w:r w:rsidR="00912E7F" w:rsidRPr="00D04D32">
        <w:rPr>
          <w:rFonts w:ascii="Times New Roman" w:hAnsi="Times New Roman"/>
        </w:rPr>
        <w:t>defence. The</w:t>
      </w:r>
      <w:r w:rsidR="00E712E9">
        <w:rPr>
          <w:rFonts w:ascii="Times New Roman" w:hAnsi="Times New Roman"/>
        </w:rPr>
        <w:t> </w:t>
      </w:r>
      <w:r w:rsidR="00912E7F" w:rsidRPr="00D04D32">
        <w:rPr>
          <w:rFonts w:ascii="Times New Roman" w:hAnsi="Times New Roman"/>
        </w:rPr>
        <w:t>primary judge</w:t>
      </w:r>
      <w:r w:rsidR="00C27540" w:rsidRPr="00D04D32">
        <w:rPr>
          <w:rFonts w:ascii="Times New Roman" w:hAnsi="Times New Roman"/>
        </w:rPr>
        <w:t>,</w:t>
      </w:r>
      <w:r w:rsidR="00912E7F" w:rsidRPr="00D04D32">
        <w:rPr>
          <w:rFonts w:ascii="Times New Roman" w:hAnsi="Times New Roman"/>
        </w:rPr>
        <w:t xml:space="preserve"> </w:t>
      </w:r>
      <w:r w:rsidR="00DD7D97" w:rsidRPr="00D04D32">
        <w:rPr>
          <w:rFonts w:ascii="Times New Roman" w:hAnsi="Times New Roman"/>
        </w:rPr>
        <w:t>however</w:t>
      </w:r>
      <w:r w:rsidR="00C27540" w:rsidRPr="00D04D32">
        <w:rPr>
          <w:rFonts w:ascii="Times New Roman" w:hAnsi="Times New Roman"/>
        </w:rPr>
        <w:t>,</w:t>
      </w:r>
      <w:r w:rsidR="00DD7D97" w:rsidRPr="00D04D32">
        <w:rPr>
          <w:rFonts w:ascii="Times New Roman" w:hAnsi="Times New Roman"/>
        </w:rPr>
        <w:t xml:space="preserve"> </w:t>
      </w:r>
      <w:r w:rsidR="00912E7F" w:rsidRPr="00D04D32">
        <w:rPr>
          <w:rFonts w:ascii="Times New Roman" w:hAnsi="Times New Roman"/>
        </w:rPr>
        <w:t>rejected the Trustees</w:t>
      </w:r>
      <w:r w:rsidR="00CA690F" w:rsidRPr="00D04D32">
        <w:rPr>
          <w:rFonts w:ascii="Times New Roman" w:hAnsi="Times New Roman"/>
        </w:rPr>
        <w:t>'</w:t>
      </w:r>
      <w:r w:rsidR="00912E7F" w:rsidRPr="00D04D32">
        <w:rPr>
          <w:rFonts w:ascii="Times New Roman" w:hAnsi="Times New Roman"/>
        </w:rPr>
        <w:t xml:space="preserve"> submission that</w:t>
      </w:r>
      <w:r w:rsidR="002C757A" w:rsidRPr="00D04D32">
        <w:rPr>
          <w:rFonts w:ascii="Times New Roman" w:hAnsi="Times New Roman"/>
        </w:rPr>
        <w:t>,</w:t>
      </w:r>
      <w:r w:rsidR="00912E7F" w:rsidRPr="00D04D32">
        <w:rPr>
          <w:rFonts w:ascii="Times New Roman" w:hAnsi="Times New Roman"/>
        </w:rPr>
        <w:t xml:space="preserve"> where the</w:t>
      </w:r>
      <w:r w:rsidR="00E712E9">
        <w:rPr>
          <w:rFonts w:ascii="Times New Roman" w:hAnsi="Times New Roman"/>
        </w:rPr>
        <w:t> </w:t>
      </w:r>
      <w:r w:rsidR="00912E7F" w:rsidRPr="00D04D32">
        <w:rPr>
          <w:rFonts w:ascii="Times New Roman" w:hAnsi="Times New Roman"/>
        </w:rPr>
        <w:t xml:space="preserve">motivation of a plaintiff is not directly connected with </w:t>
      </w:r>
      <w:r w:rsidR="002605A7" w:rsidRPr="00D04D32">
        <w:rPr>
          <w:rFonts w:ascii="Times New Roman" w:hAnsi="Times New Roman"/>
        </w:rPr>
        <w:t xml:space="preserve">the </w:t>
      </w:r>
      <w:r w:rsidR="00912E7F" w:rsidRPr="00D04D32">
        <w:rPr>
          <w:rFonts w:ascii="Times New Roman" w:hAnsi="Times New Roman"/>
        </w:rPr>
        <w:t xml:space="preserve">limitation </w:t>
      </w:r>
      <w:r w:rsidR="006A75F3" w:rsidRPr="00D04D32">
        <w:rPr>
          <w:rFonts w:ascii="Times New Roman" w:hAnsi="Times New Roman"/>
        </w:rPr>
        <w:t>defence</w:t>
      </w:r>
      <w:r w:rsidR="00424CF4" w:rsidRPr="00D04D32">
        <w:rPr>
          <w:rFonts w:ascii="Times New Roman" w:hAnsi="Times New Roman"/>
        </w:rPr>
        <w:t>,</w:t>
      </w:r>
      <w:r w:rsidR="00912E7F" w:rsidRPr="00D04D32">
        <w:rPr>
          <w:rFonts w:ascii="Times New Roman" w:hAnsi="Times New Roman"/>
        </w:rPr>
        <w:t xml:space="preserve"> </w:t>
      </w:r>
      <w:r w:rsidR="006A75F3" w:rsidRPr="00D04D32">
        <w:rPr>
          <w:rFonts w:ascii="Times New Roman" w:hAnsi="Times New Roman"/>
        </w:rPr>
        <w:t xml:space="preserve">the </w:t>
      </w:r>
      <w:r w:rsidR="00912E7F" w:rsidRPr="00D04D32">
        <w:rPr>
          <w:rFonts w:ascii="Times New Roman" w:hAnsi="Times New Roman"/>
          <w:i/>
          <w:iCs/>
        </w:rPr>
        <w:t xml:space="preserve">Ellis </w:t>
      </w:r>
      <w:r w:rsidR="00912E7F" w:rsidRPr="00D04D32">
        <w:rPr>
          <w:rFonts w:ascii="Times New Roman" w:hAnsi="Times New Roman"/>
        </w:rPr>
        <w:t xml:space="preserve">defence or the quality of consent, the Court </w:t>
      </w:r>
      <w:r w:rsidR="0088662B" w:rsidRPr="00D04D32">
        <w:rPr>
          <w:rFonts w:ascii="Times New Roman" w:hAnsi="Times New Roman"/>
        </w:rPr>
        <w:t>could</w:t>
      </w:r>
      <w:r w:rsidR="00912E7F" w:rsidRPr="00D04D32">
        <w:rPr>
          <w:rFonts w:ascii="Times New Roman" w:hAnsi="Times New Roman"/>
        </w:rPr>
        <w:t xml:space="preserve"> not be satisfied it is just and reasonable to set aside a deed.</w:t>
      </w:r>
      <w:bookmarkStart w:id="2" w:name="_Ref187825806"/>
    </w:p>
    <w:p w14:paraId="73A5A102" w14:textId="35FC2C75" w:rsidR="00912E7F" w:rsidRPr="00D04D32" w:rsidRDefault="00A55DCF"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912E7F" w:rsidRPr="00D04D32">
        <w:rPr>
          <w:rFonts w:ascii="Times New Roman" w:hAnsi="Times New Roman"/>
        </w:rPr>
        <w:t>Accepting that DZY was legally represented throughout</w:t>
      </w:r>
      <w:r w:rsidR="00584517" w:rsidRPr="00D04D32">
        <w:rPr>
          <w:rFonts w:ascii="Times New Roman" w:hAnsi="Times New Roman"/>
        </w:rPr>
        <w:t xml:space="preserve"> the settlement process</w:t>
      </w:r>
      <w:r w:rsidR="004D58F4" w:rsidRPr="00D04D32">
        <w:rPr>
          <w:rFonts w:ascii="Times New Roman" w:hAnsi="Times New Roman"/>
        </w:rPr>
        <w:t>,</w:t>
      </w:r>
      <w:r w:rsidR="00912E7F" w:rsidRPr="00D04D32">
        <w:rPr>
          <w:rFonts w:ascii="Times New Roman" w:hAnsi="Times New Roman"/>
        </w:rPr>
        <w:t xml:space="preserve"> there was no evidence of pressure</w:t>
      </w:r>
      <w:r w:rsidR="004D58F4" w:rsidRPr="00D04D32">
        <w:rPr>
          <w:rFonts w:ascii="Times New Roman" w:hAnsi="Times New Roman"/>
        </w:rPr>
        <w:t>,</w:t>
      </w:r>
      <w:r w:rsidR="00912E7F" w:rsidRPr="00D04D32">
        <w:rPr>
          <w:rFonts w:ascii="Times New Roman" w:hAnsi="Times New Roman"/>
        </w:rPr>
        <w:t xml:space="preserve"> and he had legal advice explaining the</w:t>
      </w:r>
      <w:r w:rsidR="0065196D">
        <w:rPr>
          <w:rFonts w:ascii="Times New Roman" w:hAnsi="Times New Roman"/>
        </w:rPr>
        <w:t> </w:t>
      </w:r>
      <w:r w:rsidR="00912E7F" w:rsidRPr="00D04D32">
        <w:rPr>
          <w:rFonts w:ascii="Times New Roman" w:hAnsi="Times New Roman"/>
        </w:rPr>
        <w:t xml:space="preserve">effects of the </w:t>
      </w:r>
      <w:r w:rsidR="00B2538E" w:rsidRPr="00D04D32">
        <w:rPr>
          <w:rFonts w:ascii="Times New Roman" w:hAnsi="Times New Roman"/>
        </w:rPr>
        <w:t>deeds</w:t>
      </w:r>
      <w:r w:rsidR="00912E7F" w:rsidRPr="00D04D32">
        <w:rPr>
          <w:rFonts w:ascii="Times New Roman" w:hAnsi="Times New Roman"/>
        </w:rPr>
        <w:t xml:space="preserve">, the primary judge set aside the </w:t>
      </w:r>
      <w:r w:rsidR="00C54E49" w:rsidRPr="00D04D32">
        <w:rPr>
          <w:rFonts w:ascii="Times New Roman" w:hAnsi="Times New Roman"/>
        </w:rPr>
        <w:t xml:space="preserve">deeds </w:t>
      </w:r>
      <w:r w:rsidR="00912E7F" w:rsidRPr="00D04D32">
        <w:rPr>
          <w:rFonts w:ascii="Times New Roman" w:hAnsi="Times New Roman"/>
        </w:rPr>
        <w:t>in their entirety (and did not confine the re-opening to non-economic loss)</w:t>
      </w:r>
      <w:r w:rsidR="00286244" w:rsidRPr="00D04D32">
        <w:rPr>
          <w:rFonts w:ascii="Times New Roman" w:hAnsi="Times New Roman"/>
        </w:rPr>
        <w:t>.</w:t>
      </w:r>
      <w:r w:rsidR="007901E0" w:rsidRPr="00D04D32">
        <w:rPr>
          <w:rFonts w:ascii="Times New Roman" w:hAnsi="Times New Roman"/>
        </w:rPr>
        <w:t xml:space="preserve"> The primary judge gave a</w:t>
      </w:r>
      <w:r w:rsidR="0065196D">
        <w:rPr>
          <w:rFonts w:ascii="Times New Roman" w:hAnsi="Times New Roman"/>
        </w:rPr>
        <w:t> </w:t>
      </w:r>
      <w:r w:rsidR="007901E0" w:rsidRPr="00D04D32">
        <w:rPr>
          <w:rFonts w:ascii="Times New Roman" w:hAnsi="Times New Roman"/>
        </w:rPr>
        <w:t>number of reasons for reaching that conclusion.</w:t>
      </w:r>
      <w:bookmarkEnd w:id="2"/>
      <w:r w:rsidR="00912E7F" w:rsidRPr="00D04D32">
        <w:rPr>
          <w:rFonts w:ascii="Times New Roman" w:hAnsi="Times New Roman"/>
        </w:rPr>
        <w:t xml:space="preserve"> </w:t>
      </w:r>
      <w:r w:rsidR="00005CF3" w:rsidRPr="00D04D32">
        <w:rPr>
          <w:rFonts w:ascii="Times New Roman" w:hAnsi="Times New Roman"/>
        </w:rPr>
        <w:t>The</w:t>
      </w:r>
      <w:r w:rsidR="00D07651" w:rsidRPr="00D04D32">
        <w:rPr>
          <w:rFonts w:ascii="Times New Roman" w:hAnsi="Times New Roman"/>
        </w:rPr>
        <w:t xml:space="preserve"> primary judge's reasons</w:t>
      </w:r>
      <w:r w:rsidR="00005CF3" w:rsidRPr="00D04D32">
        <w:rPr>
          <w:rFonts w:ascii="Times New Roman" w:hAnsi="Times New Roman"/>
        </w:rPr>
        <w:t xml:space="preserve"> included that, although </w:t>
      </w:r>
      <w:r w:rsidR="001F76AD" w:rsidRPr="00D04D32">
        <w:rPr>
          <w:rFonts w:ascii="Times New Roman" w:hAnsi="Times New Roman"/>
        </w:rPr>
        <w:t xml:space="preserve">DZY had been advised </w:t>
      </w:r>
      <w:r w:rsidR="009E2FF9" w:rsidRPr="00D04D32">
        <w:rPr>
          <w:rFonts w:ascii="Times New Roman" w:hAnsi="Times New Roman"/>
        </w:rPr>
        <w:t xml:space="preserve">against pursuing </w:t>
      </w:r>
      <w:r w:rsidR="00D5451B" w:rsidRPr="00D04D32">
        <w:rPr>
          <w:rFonts w:ascii="Times New Roman" w:hAnsi="Times New Roman"/>
        </w:rPr>
        <w:t xml:space="preserve">an </w:t>
      </w:r>
      <w:r w:rsidR="009E2FF9" w:rsidRPr="00D04D32">
        <w:rPr>
          <w:rFonts w:ascii="Times New Roman" w:hAnsi="Times New Roman"/>
        </w:rPr>
        <w:t xml:space="preserve">economic loss </w:t>
      </w:r>
      <w:r w:rsidR="00D5451B" w:rsidRPr="00D04D32">
        <w:rPr>
          <w:rFonts w:ascii="Times New Roman" w:hAnsi="Times New Roman"/>
        </w:rPr>
        <w:t xml:space="preserve">claim </w:t>
      </w:r>
      <w:r w:rsidR="009E2FF9" w:rsidRPr="00D04D32">
        <w:rPr>
          <w:rFonts w:ascii="Times New Roman" w:hAnsi="Times New Roman"/>
        </w:rPr>
        <w:t xml:space="preserve">in order to avoid </w:t>
      </w:r>
      <w:r w:rsidR="00E700C8" w:rsidRPr="00D04D32">
        <w:rPr>
          <w:rFonts w:ascii="Times New Roman" w:hAnsi="Times New Roman"/>
        </w:rPr>
        <w:t xml:space="preserve">the possibility of Centrelink </w:t>
      </w:r>
      <w:r w:rsidR="00D5451B" w:rsidRPr="00D04D32">
        <w:rPr>
          <w:rFonts w:ascii="Times New Roman" w:hAnsi="Times New Roman"/>
        </w:rPr>
        <w:t>demanding</w:t>
      </w:r>
      <w:r w:rsidR="00FC203A" w:rsidRPr="00D04D32">
        <w:rPr>
          <w:rFonts w:ascii="Times New Roman" w:hAnsi="Times New Roman"/>
        </w:rPr>
        <w:t xml:space="preserve"> repayment of</w:t>
      </w:r>
      <w:r w:rsidR="00D5451B" w:rsidRPr="00D04D32">
        <w:rPr>
          <w:rFonts w:ascii="Times New Roman" w:hAnsi="Times New Roman"/>
        </w:rPr>
        <w:t xml:space="preserve"> </w:t>
      </w:r>
      <w:r w:rsidR="0017245E" w:rsidRPr="00D04D32">
        <w:rPr>
          <w:rFonts w:ascii="Times New Roman" w:hAnsi="Times New Roman"/>
        </w:rPr>
        <w:t>benefits</w:t>
      </w:r>
      <w:r w:rsidR="00372A24" w:rsidRPr="00D04D32">
        <w:rPr>
          <w:rFonts w:ascii="Times New Roman" w:hAnsi="Times New Roman"/>
        </w:rPr>
        <w:t xml:space="preserve">, </w:t>
      </w:r>
      <w:r w:rsidR="00A87299" w:rsidRPr="00D04D32">
        <w:rPr>
          <w:rFonts w:ascii="Times New Roman" w:hAnsi="Times New Roman"/>
        </w:rPr>
        <w:t>it was "not possible to find that the limitations and the [</w:t>
      </w:r>
      <w:r w:rsidR="00A87299" w:rsidRPr="00D04D32">
        <w:rPr>
          <w:rFonts w:ascii="Times New Roman" w:hAnsi="Times New Roman"/>
          <w:i/>
          <w:iCs/>
        </w:rPr>
        <w:t>Ellis</w:t>
      </w:r>
      <w:r w:rsidR="00A87299" w:rsidRPr="00D04D32">
        <w:rPr>
          <w:rFonts w:ascii="Times New Roman" w:hAnsi="Times New Roman"/>
        </w:rPr>
        <w:t xml:space="preserve">] defence </w:t>
      </w:r>
      <w:r w:rsidR="00A87299" w:rsidRPr="00D04D32">
        <w:rPr>
          <w:rFonts w:ascii="Times New Roman" w:hAnsi="Times New Roman"/>
        </w:rPr>
        <w:lastRenderedPageBreak/>
        <w:t xml:space="preserve">issues had </w:t>
      </w:r>
      <w:r w:rsidR="00A32F56" w:rsidRPr="00D04D32">
        <w:rPr>
          <w:rFonts w:ascii="Times New Roman" w:hAnsi="Times New Roman"/>
        </w:rPr>
        <w:t>no material influence on the plaintiff's decision not to pursue his economic loss claim".</w:t>
      </w:r>
    </w:p>
    <w:p w14:paraId="6FB9C302" w14:textId="7F367E15" w:rsidR="00912E7F" w:rsidRPr="00D04D32" w:rsidRDefault="00912E7F" w:rsidP="00D04D32">
      <w:pPr>
        <w:pStyle w:val="HeadingL2"/>
        <w:spacing w:after="260" w:line="280" w:lineRule="exact"/>
        <w:ind w:right="0"/>
        <w:jc w:val="both"/>
        <w:rPr>
          <w:rFonts w:ascii="Times New Roman" w:hAnsi="Times New Roman"/>
        </w:rPr>
      </w:pPr>
      <w:r w:rsidRPr="00D04D32">
        <w:rPr>
          <w:rFonts w:ascii="Times New Roman" w:hAnsi="Times New Roman"/>
        </w:rPr>
        <w:t>Court of Appeal</w:t>
      </w:r>
    </w:p>
    <w:p w14:paraId="165E6342" w14:textId="54628CC9" w:rsidR="000870DB" w:rsidRPr="00D04D32" w:rsidRDefault="00326302" w:rsidP="00D04D32">
      <w:pPr>
        <w:pStyle w:val="FixListStyle"/>
        <w:spacing w:after="260" w:line="280" w:lineRule="exact"/>
        <w:ind w:right="0"/>
        <w:jc w:val="both"/>
        <w:rPr>
          <w:rFonts w:ascii="Times New Roman" w:hAnsi="Times New Roman"/>
        </w:rPr>
      </w:pPr>
      <w:bookmarkStart w:id="3" w:name="_Ref187825816"/>
      <w:r w:rsidRPr="00D04D32">
        <w:rPr>
          <w:rFonts w:ascii="Times New Roman" w:hAnsi="Times New Roman"/>
        </w:rPr>
        <w:tab/>
      </w:r>
      <w:r w:rsidR="00912E7F" w:rsidRPr="00D04D32">
        <w:rPr>
          <w:rFonts w:ascii="Times New Roman" w:hAnsi="Times New Roman"/>
        </w:rPr>
        <w:t xml:space="preserve">The Court of Appeal of the Supreme Court of Victoria (Beach, Macaulay and Lyons JJA) allowed the </w:t>
      </w:r>
      <w:r w:rsidR="00C65176" w:rsidRPr="00D04D32">
        <w:rPr>
          <w:rFonts w:ascii="Times New Roman" w:hAnsi="Times New Roman"/>
        </w:rPr>
        <w:t>Trustee</w:t>
      </w:r>
      <w:r w:rsidR="00401898" w:rsidRPr="00D04D32">
        <w:rPr>
          <w:rFonts w:ascii="Times New Roman" w:hAnsi="Times New Roman"/>
        </w:rPr>
        <w:t xml:space="preserve">s' </w:t>
      </w:r>
      <w:r w:rsidR="00912E7F" w:rsidRPr="00D04D32">
        <w:rPr>
          <w:rFonts w:ascii="Times New Roman" w:hAnsi="Times New Roman"/>
        </w:rPr>
        <w:t xml:space="preserve">appeal. </w:t>
      </w:r>
    </w:p>
    <w:p w14:paraId="19F3A836" w14:textId="4F655056" w:rsidR="00BD6749" w:rsidRPr="00D04D32" w:rsidRDefault="000870DB"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912E7F" w:rsidRPr="00D04D32">
        <w:rPr>
          <w:rFonts w:ascii="Times New Roman" w:hAnsi="Times New Roman"/>
        </w:rPr>
        <w:t xml:space="preserve">Beach and Macaulay JJA </w:t>
      </w:r>
      <w:bookmarkStart w:id="4" w:name="_Ref187396553"/>
      <w:bookmarkEnd w:id="3"/>
      <w:r w:rsidR="002F263F" w:rsidRPr="00D04D32">
        <w:rPr>
          <w:rFonts w:ascii="Times New Roman" w:hAnsi="Times New Roman"/>
        </w:rPr>
        <w:t xml:space="preserve">observed </w:t>
      </w:r>
      <w:r w:rsidR="00AD3CE3" w:rsidRPr="00D04D32">
        <w:rPr>
          <w:rFonts w:ascii="Times New Roman" w:hAnsi="Times New Roman"/>
        </w:rPr>
        <w:t xml:space="preserve">that </w:t>
      </w:r>
      <w:r w:rsidR="00912E7F" w:rsidRPr="00D04D32">
        <w:rPr>
          <w:rFonts w:ascii="Times New Roman" w:hAnsi="Times New Roman"/>
        </w:rPr>
        <w:t xml:space="preserve">a necessary condition </w:t>
      </w:r>
      <w:r w:rsidR="009F30DB" w:rsidRPr="00D04D32">
        <w:rPr>
          <w:rFonts w:ascii="Times New Roman" w:hAnsi="Times New Roman"/>
        </w:rPr>
        <w:t xml:space="preserve">for </w:t>
      </w:r>
      <w:r w:rsidR="00912E7F" w:rsidRPr="00D04D32">
        <w:rPr>
          <w:rFonts w:ascii="Times New Roman" w:hAnsi="Times New Roman"/>
        </w:rPr>
        <w:t>apply</w:t>
      </w:r>
      <w:r w:rsidR="00AD3CE3" w:rsidRPr="00D04D32">
        <w:rPr>
          <w:rFonts w:ascii="Times New Roman" w:hAnsi="Times New Roman"/>
        </w:rPr>
        <w:t>ing</w:t>
      </w:r>
      <w:r w:rsidR="00912E7F" w:rsidRPr="00D04D32">
        <w:rPr>
          <w:rFonts w:ascii="Times New Roman" w:hAnsi="Times New Roman"/>
        </w:rPr>
        <w:t xml:space="preserve"> s 27QE was that the settlement occurred when </w:t>
      </w:r>
      <w:r w:rsidR="00466AB5" w:rsidRPr="00D04D32">
        <w:rPr>
          <w:rFonts w:ascii="Times New Roman" w:hAnsi="Times New Roman"/>
        </w:rPr>
        <w:t xml:space="preserve">the limitation defence or the </w:t>
      </w:r>
      <w:r w:rsidR="00466AB5" w:rsidRPr="00D04D32">
        <w:rPr>
          <w:rFonts w:ascii="Times New Roman" w:hAnsi="Times New Roman"/>
          <w:i/>
          <w:iCs/>
        </w:rPr>
        <w:t xml:space="preserve">Ellis </w:t>
      </w:r>
      <w:r w:rsidR="00466AB5" w:rsidRPr="00D04D32">
        <w:rPr>
          <w:rFonts w:ascii="Times New Roman" w:hAnsi="Times New Roman"/>
        </w:rPr>
        <w:t xml:space="preserve">defence </w:t>
      </w:r>
      <w:r w:rsidR="009615DC" w:rsidRPr="00D04D32">
        <w:rPr>
          <w:rFonts w:ascii="Times New Roman" w:hAnsi="Times New Roman"/>
        </w:rPr>
        <w:t xml:space="preserve">was </w:t>
      </w:r>
      <w:r w:rsidR="00912E7F" w:rsidRPr="00D04D32">
        <w:rPr>
          <w:rFonts w:ascii="Times New Roman" w:hAnsi="Times New Roman"/>
        </w:rPr>
        <w:t xml:space="preserve">capable of </w:t>
      </w:r>
      <w:r w:rsidR="00E3366A" w:rsidRPr="00D04D32">
        <w:rPr>
          <w:rFonts w:ascii="Times New Roman" w:hAnsi="Times New Roman"/>
        </w:rPr>
        <w:t xml:space="preserve">unfavourably </w:t>
      </w:r>
      <w:r w:rsidR="00912E7F" w:rsidRPr="00D04D32">
        <w:rPr>
          <w:rFonts w:ascii="Times New Roman" w:hAnsi="Times New Roman"/>
        </w:rPr>
        <w:t>influencing the settlement</w:t>
      </w:r>
      <w:r w:rsidR="00693AB5" w:rsidRPr="00D04D32">
        <w:rPr>
          <w:rFonts w:ascii="Times New Roman" w:hAnsi="Times New Roman"/>
        </w:rPr>
        <w:t>,</w:t>
      </w:r>
      <w:r w:rsidR="00912E7F" w:rsidRPr="00D04D32">
        <w:rPr>
          <w:rFonts w:ascii="Times New Roman" w:hAnsi="Times New Roman"/>
        </w:rPr>
        <w:t xml:space="preserve"> </w:t>
      </w:r>
      <w:r w:rsidR="00747B17" w:rsidRPr="00D04D32">
        <w:rPr>
          <w:rFonts w:ascii="Times New Roman" w:hAnsi="Times New Roman"/>
        </w:rPr>
        <w:t>and</w:t>
      </w:r>
      <w:r w:rsidR="00747B17" w:rsidRPr="00D04D32" w:rsidDel="00F22E59">
        <w:rPr>
          <w:rFonts w:ascii="Times New Roman" w:hAnsi="Times New Roman"/>
        </w:rPr>
        <w:t xml:space="preserve"> </w:t>
      </w:r>
      <w:r w:rsidR="00693AB5" w:rsidRPr="00D04D32">
        <w:rPr>
          <w:rFonts w:ascii="Times New Roman" w:hAnsi="Times New Roman"/>
        </w:rPr>
        <w:t xml:space="preserve">that </w:t>
      </w:r>
      <w:r w:rsidR="008C71C7" w:rsidRPr="00D04D32">
        <w:rPr>
          <w:rFonts w:ascii="Times New Roman" w:hAnsi="Times New Roman"/>
        </w:rPr>
        <w:t xml:space="preserve">it was that influence that led to the </w:t>
      </w:r>
      <w:r w:rsidR="0031064C" w:rsidRPr="00D04D32">
        <w:rPr>
          <w:rFonts w:ascii="Times New Roman" w:hAnsi="Times New Roman"/>
        </w:rPr>
        <w:t xml:space="preserve">mischief </w:t>
      </w:r>
      <w:r w:rsidR="000E20B5" w:rsidRPr="00D04D32">
        <w:rPr>
          <w:rFonts w:ascii="Times New Roman" w:hAnsi="Times New Roman"/>
        </w:rPr>
        <w:t>–</w:t>
      </w:r>
      <w:r w:rsidR="0031064C" w:rsidRPr="00D04D32">
        <w:rPr>
          <w:rFonts w:ascii="Times New Roman" w:hAnsi="Times New Roman"/>
        </w:rPr>
        <w:t xml:space="preserve"> a potentially unfair settlement </w:t>
      </w:r>
      <w:r w:rsidR="000E20B5" w:rsidRPr="00D04D32">
        <w:rPr>
          <w:rFonts w:ascii="Times New Roman" w:hAnsi="Times New Roman"/>
        </w:rPr>
        <w:t>–</w:t>
      </w:r>
      <w:r w:rsidR="0031064C" w:rsidRPr="00D04D32">
        <w:rPr>
          <w:rFonts w:ascii="Times New Roman" w:hAnsi="Times New Roman"/>
        </w:rPr>
        <w:t xml:space="preserve"> which the</w:t>
      </w:r>
      <w:r w:rsidR="00D50D74">
        <w:rPr>
          <w:rFonts w:ascii="Times New Roman" w:hAnsi="Times New Roman"/>
        </w:rPr>
        <w:t> </w:t>
      </w:r>
      <w:r w:rsidR="0031064C" w:rsidRPr="00D04D32">
        <w:rPr>
          <w:rFonts w:ascii="Times New Roman" w:hAnsi="Times New Roman"/>
        </w:rPr>
        <w:t>reforms were designed to remedy</w:t>
      </w:r>
      <w:r w:rsidR="00912E7F" w:rsidRPr="00D04D32">
        <w:rPr>
          <w:rFonts w:ascii="Times New Roman" w:hAnsi="Times New Roman"/>
        </w:rPr>
        <w:t xml:space="preserve">. </w:t>
      </w:r>
      <w:r w:rsidR="000F3ECC" w:rsidRPr="00D04D32">
        <w:rPr>
          <w:rFonts w:ascii="Times New Roman" w:hAnsi="Times New Roman"/>
        </w:rPr>
        <w:t xml:space="preserve">It was that </w:t>
      </w:r>
      <w:r w:rsidR="005A5AD6" w:rsidRPr="00D04D32">
        <w:rPr>
          <w:rFonts w:ascii="Times New Roman" w:hAnsi="Times New Roman"/>
        </w:rPr>
        <w:t xml:space="preserve">observation </w:t>
      </w:r>
      <w:r w:rsidR="000F3ECC" w:rsidRPr="00D04D32">
        <w:rPr>
          <w:rFonts w:ascii="Times New Roman" w:hAnsi="Times New Roman"/>
        </w:rPr>
        <w:t xml:space="preserve">which was said to </w:t>
      </w:r>
      <w:r w:rsidR="00912E7F" w:rsidRPr="00D04D32">
        <w:rPr>
          <w:rFonts w:ascii="Times New Roman" w:hAnsi="Times New Roman"/>
        </w:rPr>
        <w:t xml:space="preserve">reinforce </w:t>
      </w:r>
      <w:r w:rsidR="000F3ECC" w:rsidRPr="00D04D32">
        <w:rPr>
          <w:rFonts w:ascii="Times New Roman" w:hAnsi="Times New Roman"/>
        </w:rPr>
        <w:t>"</w:t>
      </w:r>
      <w:r w:rsidR="00912E7F" w:rsidRPr="00D04D32">
        <w:rPr>
          <w:rFonts w:ascii="Times New Roman" w:hAnsi="Times New Roman"/>
        </w:rPr>
        <w:t xml:space="preserve">the centrality of the actual influence of one or both of those two barriers in the consideration of whether it is just and reasonable to set aside a settlement agreement". </w:t>
      </w:r>
      <w:r w:rsidR="00044373" w:rsidRPr="00D04D32">
        <w:rPr>
          <w:rFonts w:ascii="Times New Roman" w:hAnsi="Times New Roman"/>
        </w:rPr>
        <w:t xml:space="preserve">Their Honours </w:t>
      </w:r>
      <w:r w:rsidR="006B0B05" w:rsidRPr="00D04D32">
        <w:rPr>
          <w:rFonts w:ascii="Times New Roman" w:hAnsi="Times New Roman"/>
        </w:rPr>
        <w:t>then said</w:t>
      </w:r>
      <w:r w:rsidR="008A7708" w:rsidRPr="00D04D32">
        <w:rPr>
          <w:rFonts w:ascii="Times New Roman" w:hAnsi="Times New Roman"/>
        </w:rPr>
        <w:t xml:space="preserve">, </w:t>
      </w:r>
      <w:r w:rsidR="00954461" w:rsidRPr="00D04D32">
        <w:rPr>
          <w:rFonts w:ascii="Times New Roman" w:hAnsi="Times New Roman"/>
        </w:rPr>
        <w:t>"</w:t>
      </w:r>
      <w:r w:rsidR="008A7708" w:rsidRPr="00D04D32">
        <w:rPr>
          <w:rFonts w:ascii="Times New Roman" w:hAnsi="Times New Roman"/>
          <w:iCs/>
        </w:rPr>
        <w:t>[i]</w:t>
      </w:r>
      <w:r w:rsidR="00912E7F" w:rsidRPr="00D04D32">
        <w:rPr>
          <w:rFonts w:ascii="Times New Roman" w:hAnsi="Times New Roman"/>
          <w:iCs/>
        </w:rPr>
        <w:t xml:space="preserve">f </w:t>
      </w:r>
      <w:r w:rsidR="003752C6" w:rsidRPr="00D04D32">
        <w:rPr>
          <w:rFonts w:ascii="Times New Roman" w:hAnsi="Times New Roman"/>
          <w:iCs/>
        </w:rPr>
        <w:t xml:space="preserve">a finding was made that </w:t>
      </w:r>
      <w:r w:rsidR="00912E7F" w:rsidRPr="00D04D32">
        <w:rPr>
          <w:rFonts w:ascii="Times New Roman" w:hAnsi="Times New Roman"/>
          <w:iCs/>
        </w:rPr>
        <w:t xml:space="preserve">one </w:t>
      </w:r>
      <w:r w:rsidR="003752C6" w:rsidRPr="00D04D32">
        <w:rPr>
          <w:rFonts w:ascii="Times New Roman" w:hAnsi="Times New Roman"/>
          <w:iCs/>
        </w:rPr>
        <w:t xml:space="preserve">or other </w:t>
      </w:r>
      <w:r w:rsidR="00912E7F" w:rsidRPr="00D04D32">
        <w:rPr>
          <w:rFonts w:ascii="Times New Roman" w:hAnsi="Times New Roman"/>
          <w:iCs/>
        </w:rPr>
        <w:t xml:space="preserve">of those legal barriers had a </w:t>
      </w:r>
      <w:r w:rsidR="00912E7F" w:rsidRPr="00D04D32">
        <w:rPr>
          <w:rFonts w:ascii="Times New Roman" w:hAnsi="Times New Roman"/>
          <w:i/>
        </w:rPr>
        <w:t>material impact</w:t>
      </w:r>
      <w:r w:rsidR="00912E7F" w:rsidRPr="00D04D32">
        <w:rPr>
          <w:rFonts w:ascii="Times New Roman" w:hAnsi="Times New Roman"/>
          <w:iCs/>
        </w:rPr>
        <w:t xml:space="preserve"> on the </w:t>
      </w:r>
      <w:r w:rsidR="000C5E27" w:rsidRPr="00D04D32">
        <w:rPr>
          <w:rFonts w:ascii="Times New Roman" w:hAnsi="Times New Roman"/>
          <w:iCs/>
        </w:rPr>
        <w:t xml:space="preserve">claimant's </w:t>
      </w:r>
      <w:r w:rsidR="00912E7F" w:rsidRPr="00D04D32">
        <w:rPr>
          <w:rFonts w:ascii="Times New Roman" w:hAnsi="Times New Roman"/>
          <w:iCs/>
        </w:rPr>
        <w:t>decision to settle</w:t>
      </w:r>
      <w:r w:rsidR="00DD3ABD">
        <w:rPr>
          <w:rFonts w:ascii="Times New Roman" w:hAnsi="Times New Roman"/>
          <w:iCs/>
        </w:rPr>
        <w:t> </w:t>
      </w:r>
      <w:r w:rsidR="003752C6" w:rsidRPr="00D04D32">
        <w:rPr>
          <w:rFonts w:ascii="Times New Roman" w:hAnsi="Times New Roman"/>
          <w:iCs/>
        </w:rPr>
        <w:t>...</w:t>
      </w:r>
      <w:r w:rsidR="00D50D74">
        <w:rPr>
          <w:rFonts w:ascii="Times New Roman" w:hAnsi="Times New Roman"/>
          <w:iCs/>
        </w:rPr>
        <w:t> </w:t>
      </w:r>
      <w:r w:rsidR="00912E7F" w:rsidRPr="00D04D32">
        <w:rPr>
          <w:rFonts w:ascii="Times New Roman" w:hAnsi="Times New Roman"/>
          <w:iCs/>
        </w:rPr>
        <w:t>a</w:t>
      </w:r>
      <w:r w:rsidR="00D50D74">
        <w:rPr>
          <w:rFonts w:ascii="Times New Roman" w:hAnsi="Times New Roman"/>
          <w:iCs/>
        </w:rPr>
        <w:t> </w:t>
      </w:r>
      <w:r w:rsidR="00912E7F" w:rsidRPr="00D04D32">
        <w:rPr>
          <w:rFonts w:ascii="Times New Roman" w:hAnsi="Times New Roman"/>
          <w:iCs/>
        </w:rPr>
        <w:t xml:space="preserve">cogent ground would exist to conclude </w:t>
      </w:r>
      <w:r w:rsidR="001B2868" w:rsidRPr="00D04D32">
        <w:rPr>
          <w:rFonts w:ascii="Times New Roman" w:hAnsi="Times New Roman"/>
          <w:iCs/>
        </w:rPr>
        <w:t xml:space="preserve">that </w:t>
      </w:r>
      <w:r w:rsidR="00912E7F" w:rsidRPr="00D04D32">
        <w:rPr>
          <w:rFonts w:ascii="Times New Roman" w:hAnsi="Times New Roman"/>
          <w:iCs/>
        </w:rPr>
        <w:t>it was just and reasonable to set the settlement aside</w:t>
      </w:r>
      <w:r w:rsidR="003752C6" w:rsidRPr="00D04D32">
        <w:rPr>
          <w:rFonts w:ascii="Times New Roman" w:hAnsi="Times New Roman"/>
          <w:iCs/>
        </w:rPr>
        <w:t>"</w:t>
      </w:r>
      <w:r w:rsidR="00912E7F" w:rsidRPr="00D04D32">
        <w:rPr>
          <w:rFonts w:ascii="Times New Roman" w:hAnsi="Times New Roman"/>
        </w:rPr>
        <w:t xml:space="preserve"> </w:t>
      </w:r>
      <w:r w:rsidR="001B2868" w:rsidRPr="00D04D32">
        <w:rPr>
          <w:rFonts w:ascii="Times New Roman" w:hAnsi="Times New Roman"/>
        </w:rPr>
        <w:t>(emphasis added)</w:t>
      </w:r>
      <w:r w:rsidR="00912E7F" w:rsidRPr="00D04D32">
        <w:rPr>
          <w:rFonts w:ascii="Times New Roman" w:hAnsi="Times New Roman"/>
        </w:rPr>
        <w:t>. And "</w:t>
      </w:r>
      <w:r w:rsidR="005B5156" w:rsidRPr="00D04D32">
        <w:rPr>
          <w:rFonts w:ascii="Times New Roman" w:hAnsi="Times New Roman"/>
        </w:rPr>
        <w:t>[i]</w:t>
      </w:r>
      <w:r w:rsidR="00912E7F" w:rsidRPr="00D04D32">
        <w:rPr>
          <w:rFonts w:ascii="Times New Roman" w:hAnsi="Times New Roman"/>
        </w:rPr>
        <w:t xml:space="preserve">f no finding was made that either legal barrier had </w:t>
      </w:r>
      <w:r w:rsidR="00B5269D" w:rsidRPr="00D04D32">
        <w:rPr>
          <w:rFonts w:ascii="Times New Roman" w:hAnsi="Times New Roman"/>
        </w:rPr>
        <w:t xml:space="preserve">such an </w:t>
      </w:r>
      <w:r w:rsidR="00912E7F" w:rsidRPr="00D04D32">
        <w:rPr>
          <w:rFonts w:ascii="Times New Roman" w:hAnsi="Times New Roman"/>
        </w:rPr>
        <w:t>impact, it is doubtful that any cogent ground would exist to conclude it was just and reasonable to set the settlement aside".</w:t>
      </w:r>
      <w:bookmarkEnd w:id="4"/>
    </w:p>
    <w:p w14:paraId="527E683C" w14:textId="6E1A3336" w:rsidR="00912E7F" w:rsidRPr="00D04D32" w:rsidRDefault="00BD6749" w:rsidP="00D04D32">
      <w:pPr>
        <w:pStyle w:val="FixListStyle"/>
        <w:spacing w:after="260" w:line="280" w:lineRule="exact"/>
        <w:ind w:right="0"/>
        <w:jc w:val="both"/>
        <w:rPr>
          <w:rFonts w:ascii="Times New Roman" w:hAnsi="Times New Roman"/>
        </w:rPr>
      </w:pPr>
      <w:r w:rsidRPr="00D04D32">
        <w:rPr>
          <w:rFonts w:ascii="Times New Roman" w:hAnsi="Times New Roman"/>
        </w:rPr>
        <w:tab/>
        <w:t>Other than the actual influence of those two hurdles, Beach and Macaulay</w:t>
      </w:r>
      <w:r w:rsidR="00B8453E">
        <w:rPr>
          <w:rFonts w:ascii="Times New Roman" w:hAnsi="Times New Roman"/>
        </w:rPr>
        <w:t> </w:t>
      </w:r>
      <w:r w:rsidRPr="00D04D32">
        <w:rPr>
          <w:rFonts w:ascii="Times New Roman" w:hAnsi="Times New Roman"/>
        </w:rPr>
        <w:t xml:space="preserve">JJA recognised that there could be </w:t>
      </w:r>
      <w:r w:rsidR="000C5B10" w:rsidRPr="00D04D32">
        <w:rPr>
          <w:rFonts w:ascii="Times New Roman" w:hAnsi="Times New Roman"/>
        </w:rPr>
        <w:t>"additional factors that might legi</w:t>
      </w:r>
      <w:r w:rsidR="00002DFC" w:rsidRPr="00D04D32">
        <w:rPr>
          <w:rFonts w:ascii="Times New Roman" w:hAnsi="Times New Roman"/>
        </w:rPr>
        <w:t>ti</w:t>
      </w:r>
      <w:r w:rsidR="000C5B10" w:rsidRPr="00D04D32">
        <w:rPr>
          <w:rFonts w:ascii="Times New Roman" w:hAnsi="Times New Roman"/>
        </w:rPr>
        <w:t>mately be taken into account"</w:t>
      </w:r>
      <w:r w:rsidR="009E01FD" w:rsidRPr="00D04D32">
        <w:rPr>
          <w:rFonts w:ascii="Times New Roman" w:hAnsi="Times New Roman"/>
        </w:rPr>
        <w:t>,</w:t>
      </w:r>
      <w:r w:rsidR="000C5B10" w:rsidRPr="00D04D32">
        <w:rPr>
          <w:rFonts w:ascii="Times New Roman" w:hAnsi="Times New Roman"/>
        </w:rPr>
        <w:t xml:space="preserve"> including, for example, </w:t>
      </w:r>
      <w:r w:rsidR="006D2759" w:rsidRPr="00D04D32">
        <w:rPr>
          <w:rFonts w:ascii="Times New Roman" w:hAnsi="Times New Roman"/>
        </w:rPr>
        <w:t>"</w:t>
      </w:r>
      <w:r w:rsidR="00912E7F" w:rsidRPr="00D04D32">
        <w:rPr>
          <w:rFonts w:ascii="Times New Roman" w:hAnsi="Times New Roman"/>
        </w:rPr>
        <w:t xml:space="preserve">the respondent's conduct in the settlement process; unequal bargaining power; </w:t>
      </w:r>
      <w:r w:rsidR="00CE3A89" w:rsidRPr="00D04D32">
        <w:rPr>
          <w:rFonts w:ascii="Times New Roman" w:hAnsi="Times New Roman"/>
        </w:rPr>
        <w:t xml:space="preserve">any </w:t>
      </w:r>
      <w:r w:rsidR="00912E7F" w:rsidRPr="00D04D32">
        <w:rPr>
          <w:rFonts w:ascii="Times New Roman" w:hAnsi="Times New Roman"/>
        </w:rPr>
        <w:t xml:space="preserve">feelings of guilt </w:t>
      </w:r>
      <w:r w:rsidR="006D2759" w:rsidRPr="00D04D32">
        <w:rPr>
          <w:rFonts w:ascii="Times New Roman" w:hAnsi="Times New Roman"/>
        </w:rPr>
        <w:t xml:space="preserve">or </w:t>
      </w:r>
      <w:r w:rsidR="00912E7F" w:rsidRPr="00D04D32">
        <w:rPr>
          <w:rFonts w:ascii="Times New Roman" w:hAnsi="Times New Roman"/>
        </w:rPr>
        <w:t xml:space="preserve">shame (compounded or not by </w:t>
      </w:r>
      <w:r w:rsidR="00CE3A89" w:rsidRPr="00D04D32">
        <w:rPr>
          <w:rFonts w:ascii="Times New Roman" w:hAnsi="Times New Roman"/>
        </w:rPr>
        <w:t xml:space="preserve">the burden of </w:t>
      </w:r>
      <w:r w:rsidR="00912E7F" w:rsidRPr="00D04D32">
        <w:rPr>
          <w:rFonts w:ascii="Times New Roman" w:hAnsi="Times New Roman"/>
        </w:rPr>
        <w:t xml:space="preserve">giving evidence </w:t>
      </w:r>
      <w:r w:rsidR="000F49F3" w:rsidRPr="00D04D32">
        <w:rPr>
          <w:rFonts w:ascii="Times New Roman" w:hAnsi="Times New Roman"/>
        </w:rPr>
        <w:t xml:space="preserve">and </w:t>
      </w:r>
      <w:r w:rsidR="00912E7F" w:rsidRPr="00D04D32">
        <w:rPr>
          <w:rFonts w:ascii="Times New Roman" w:hAnsi="Times New Roman"/>
        </w:rPr>
        <w:t xml:space="preserve">being </w:t>
      </w:r>
      <w:r w:rsidR="006D2759" w:rsidRPr="00D04D32">
        <w:rPr>
          <w:rFonts w:ascii="Times New Roman" w:hAnsi="Times New Roman"/>
        </w:rPr>
        <w:t xml:space="preserve">subject to </w:t>
      </w:r>
      <w:r w:rsidR="00912E7F" w:rsidRPr="00D04D32">
        <w:rPr>
          <w:rFonts w:ascii="Times New Roman" w:hAnsi="Times New Roman"/>
        </w:rPr>
        <w:t>cross-examin</w:t>
      </w:r>
      <w:r w:rsidR="006D2759" w:rsidRPr="00D04D32">
        <w:rPr>
          <w:rFonts w:ascii="Times New Roman" w:hAnsi="Times New Roman"/>
        </w:rPr>
        <w:t>ation</w:t>
      </w:r>
      <w:r w:rsidR="00912E7F" w:rsidRPr="00D04D32">
        <w:rPr>
          <w:rFonts w:ascii="Times New Roman" w:hAnsi="Times New Roman"/>
        </w:rPr>
        <w:t>)</w:t>
      </w:r>
      <w:r w:rsidR="00361664" w:rsidRPr="00D04D32">
        <w:rPr>
          <w:rFonts w:ascii="Times New Roman" w:hAnsi="Times New Roman"/>
        </w:rPr>
        <w:t>;</w:t>
      </w:r>
      <w:r w:rsidR="00912E7F" w:rsidRPr="00D04D32">
        <w:rPr>
          <w:rFonts w:ascii="Times New Roman" w:hAnsi="Times New Roman"/>
        </w:rPr>
        <w:t xml:space="preserve"> and </w:t>
      </w:r>
      <w:r w:rsidR="00361664" w:rsidRPr="00D04D32">
        <w:rPr>
          <w:rFonts w:ascii="Times New Roman" w:hAnsi="Times New Roman"/>
        </w:rPr>
        <w:t xml:space="preserve">... </w:t>
      </w:r>
      <w:r w:rsidR="00912E7F" w:rsidRPr="00D04D32">
        <w:rPr>
          <w:rFonts w:ascii="Times New Roman" w:hAnsi="Times New Roman"/>
        </w:rPr>
        <w:t>prejudice to the respondent</w:t>
      </w:r>
      <w:r w:rsidR="000F49F3" w:rsidRPr="00D04D32">
        <w:rPr>
          <w:rFonts w:ascii="Times New Roman" w:hAnsi="Times New Roman"/>
        </w:rPr>
        <w:t>"</w:t>
      </w:r>
      <w:r w:rsidR="00912E7F" w:rsidRPr="00D04D32">
        <w:rPr>
          <w:rFonts w:ascii="Times New Roman" w:hAnsi="Times New Roman"/>
        </w:rPr>
        <w:t xml:space="preserve">. However, </w:t>
      </w:r>
      <w:r w:rsidR="0094211F" w:rsidRPr="00D04D32">
        <w:rPr>
          <w:rFonts w:ascii="Times New Roman" w:hAnsi="Times New Roman"/>
        </w:rPr>
        <w:t xml:space="preserve">Beach and Macaulay JJA </w:t>
      </w:r>
      <w:r w:rsidR="00194566" w:rsidRPr="00D04D32">
        <w:rPr>
          <w:rFonts w:ascii="Times New Roman" w:hAnsi="Times New Roman"/>
        </w:rPr>
        <w:t xml:space="preserve">again </w:t>
      </w:r>
      <w:r w:rsidR="0094211F" w:rsidRPr="00D04D32">
        <w:rPr>
          <w:rFonts w:ascii="Times New Roman" w:hAnsi="Times New Roman"/>
        </w:rPr>
        <w:t xml:space="preserve">reiterated that consideration of </w:t>
      </w:r>
      <w:r w:rsidR="00912E7F" w:rsidRPr="00D04D32">
        <w:rPr>
          <w:rFonts w:ascii="Times New Roman" w:hAnsi="Times New Roman"/>
        </w:rPr>
        <w:t>"the actual influence of the</w:t>
      </w:r>
      <w:r w:rsidR="00240789">
        <w:rPr>
          <w:rFonts w:ascii="Times New Roman" w:hAnsi="Times New Roman"/>
        </w:rPr>
        <w:t> </w:t>
      </w:r>
      <w:r w:rsidR="00912E7F" w:rsidRPr="00D04D32">
        <w:rPr>
          <w:rFonts w:ascii="Times New Roman" w:hAnsi="Times New Roman"/>
        </w:rPr>
        <w:t xml:space="preserve">two legal obstacles </w:t>
      </w:r>
      <w:r w:rsidR="00830EB1" w:rsidRPr="00D04D32">
        <w:rPr>
          <w:rFonts w:ascii="Times New Roman" w:hAnsi="Times New Roman"/>
        </w:rPr>
        <w:t>is</w:t>
      </w:r>
      <w:r w:rsidR="00912E7F" w:rsidRPr="00D04D32">
        <w:rPr>
          <w:rFonts w:ascii="Times New Roman" w:hAnsi="Times New Roman"/>
        </w:rPr>
        <w:t xml:space="preserve"> </w:t>
      </w:r>
      <w:r w:rsidR="00912E7F" w:rsidRPr="00D04D32">
        <w:rPr>
          <w:rFonts w:ascii="Times New Roman" w:hAnsi="Times New Roman"/>
          <w:i/>
          <w:iCs/>
        </w:rPr>
        <w:t>central</w:t>
      </w:r>
      <w:r w:rsidR="00912E7F" w:rsidRPr="00D04D32">
        <w:rPr>
          <w:rFonts w:ascii="Times New Roman" w:hAnsi="Times New Roman"/>
        </w:rPr>
        <w:t xml:space="preserve"> to the determination of whether it is just and reasonable to set aside a settlement"</w:t>
      </w:r>
      <w:r w:rsidR="003111EE" w:rsidRPr="00D04D32">
        <w:rPr>
          <w:rFonts w:ascii="Times New Roman" w:hAnsi="Times New Roman"/>
        </w:rPr>
        <w:t xml:space="preserve"> (emphasis added)</w:t>
      </w:r>
      <w:r w:rsidR="00B0478C" w:rsidRPr="00D04D32">
        <w:rPr>
          <w:rFonts w:ascii="Times New Roman" w:hAnsi="Times New Roman"/>
        </w:rPr>
        <w:t xml:space="preserve"> and that </w:t>
      </w:r>
      <w:r w:rsidR="00657619" w:rsidRPr="00D04D32">
        <w:rPr>
          <w:rFonts w:ascii="Times New Roman" w:hAnsi="Times New Roman"/>
        </w:rPr>
        <w:t>"</w:t>
      </w:r>
      <w:r w:rsidR="006B78B0" w:rsidRPr="00D04D32">
        <w:rPr>
          <w:rFonts w:ascii="Times New Roman" w:hAnsi="Times New Roman"/>
        </w:rPr>
        <w:t>a</w:t>
      </w:r>
      <w:r w:rsidR="00657619" w:rsidRPr="00D04D32">
        <w:rPr>
          <w:rFonts w:ascii="Times New Roman" w:hAnsi="Times New Roman"/>
        </w:rPr>
        <w:t xml:space="preserve">part from the influence of those obstacles, </w:t>
      </w:r>
      <w:r w:rsidR="00160D67" w:rsidRPr="00D04D32">
        <w:rPr>
          <w:rFonts w:ascii="Times New Roman" w:hAnsi="Times New Roman"/>
        </w:rPr>
        <w:t>other factors should be seen as supportive rather than leading factors in determining whether it is just and reasonable to set aside a settlement".</w:t>
      </w:r>
    </w:p>
    <w:p w14:paraId="73EFBAE5" w14:textId="427011CB" w:rsidR="00D873E4" w:rsidRPr="00D04D32" w:rsidRDefault="00833368" w:rsidP="00D04D32">
      <w:pPr>
        <w:pStyle w:val="FixListStyle"/>
        <w:spacing w:after="260" w:line="280" w:lineRule="exact"/>
        <w:ind w:right="0"/>
        <w:jc w:val="both"/>
        <w:rPr>
          <w:rFonts w:ascii="Times New Roman" w:hAnsi="Times New Roman"/>
        </w:rPr>
      </w:pPr>
      <w:r w:rsidRPr="00D04D32">
        <w:rPr>
          <w:rFonts w:ascii="Times New Roman" w:hAnsi="Times New Roman"/>
          <w:bCs/>
        </w:rPr>
        <w:tab/>
        <w:t xml:space="preserve">Applying that approach, </w:t>
      </w:r>
      <w:r w:rsidR="00912E7F" w:rsidRPr="00D04D32">
        <w:rPr>
          <w:rFonts w:ascii="Times New Roman" w:hAnsi="Times New Roman"/>
        </w:rPr>
        <w:t xml:space="preserve">Beach and Macaulay JJA held that the primary judge erred in finding that it was just and reasonable to set aside the </w:t>
      </w:r>
      <w:r w:rsidR="001B38A2" w:rsidRPr="00D04D32">
        <w:rPr>
          <w:rFonts w:ascii="Times New Roman" w:hAnsi="Times New Roman"/>
        </w:rPr>
        <w:t xml:space="preserve">deeds </w:t>
      </w:r>
      <w:r w:rsidR="00912E7F" w:rsidRPr="00D04D32">
        <w:rPr>
          <w:rFonts w:ascii="Times New Roman" w:hAnsi="Times New Roman"/>
        </w:rPr>
        <w:t xml:space="preserve">in their entirety and, deciding the matter for themselves, held that it </w:t>
      </w:r>
      <w:r w:rsidR="001903E3" w:rsidRPr="00D04D32">
        <w:rPr>
          <w:rFonts w:ascii="Times New Roman" w:hAnsi="Times New Roman"/>
        </w:rPr>
        <w:t xml:space="preserve">was </w:t>
      </w:r>
      <w:r w:rsidR="00912E7F" w:rsidRPr="00D04D32">
        <w:rPr>
          <w:rFonts w:ascii="Times New Roman" w:hAnsi="Times New Roman"/>
        </w:rPr>
        <w:t xml:space="preserve">just and reasonable to set aside the </w:t>
      </w:r>
      <w:r w:rsidR="001B38A2" w:rsidRPr="00D04D32">
        <w:rPr>
          <w:rFonts w:ascii="Times New Roman" w:hAnsi="Times New Roman"/>
        </w:rPr>
        <w:t xml:space="preserve">deeds </w:t>
      </w:r>
      <w:r w:rsidR="00912E7F" w:rsidRPr="00D04D32">
        <w:rPr>
          <w:rFonts w:ascii="Times New Roman" w:hAnsi="Times New Roman"/>
        </w:rPr>
        <w:t xml:space="preserve">only </w:t>
      </w:r>
      <w:r w:rsidR="007A5E88" w:rsidRPr="00D04D32">
        <w:rPr>
          <w:rFonts w:ascii="Times New Roman" w:hAnsi="Times New Roman"/>
        </w:rPr>
        <w:t>insofar as they relate</w:t>
      </w:r>
      <w:r w:rsidR="003A19AF" w:rsidRPr="00D04D32">
        <w:rPr>
          <w:rFonts w:ascii="Times New Roman" w:hAnsi="Times New Roman"/>
        </w:rPr>
        <w:t>d</w:t>
      </w:r>
      <w:r w:rsidR="007A5E88" w:rsidRPr="00D04D32">
        <w:rPr>
          <w:rFonts w:ascii="Times New Roman" w:hAnsi="Times New Roman"/>
        </w:rPr>
        <w:t xml:space="preserve"> </w:t>
      </w:r>
      <w:r w:rsidR="00912E7F" w:rsidRPr="00D04D32">
        <w:rPr>
          <w:rFonts w:ascii="Times New Roman" w:hAnsi="Times New Roman"/>
        </w:rPr>
        <w:t>to general damages</w:t>
      </w:r>
      <w:r w:rsidR="004F6C35" w:rsidRPr="00D04D32">
        <w:rPr>
          <w:rFonts w:ascii="Times New Roman" w:hAnsi="Times New Roman"/>
        </w:rPr>
        <w:t>. Their Honours held that t</w:t>
      </w:r>
      <w:r w:rsidR="00912E7F" w:rsidRPr="00D04D32">
        <w:rPr>
          <w:rFonts w:ascii="Times New Roman" w:hAnsi="Times New Roman"/>
        </w:rPr>
        <w:t>he primary judge erred by taking into account an</w:t>
      </w:r>
      <w:r w:rsidR="00557535">
        <w:rPr>
          <w:rFonts w:ascii="Times New Roman" w:hAnsi="Times New Roman"/>
        </w:rPr>
        <w:t> </w:t>
      </w:r>
      <w:r w:rsidR="00912E7F" w:rsidRPr="00D04D32">
        <w:rPr>
          <w:rFonts w:ascii="Times New Roman" w:hAnsi="Times New Roman"/>
        </w:rPr>
        <w:t>irrelevant consideration, namely that it was not possible to find that the</w:t>
      </w:r>
      <w:r w:rsidR="00111D21">
        <w:rPr>
          <w:rFonts w:ascii="Times New Roman" w:hAnsi="Times New Roman"/>
        </w:rPr>
        <w:t> </w:t>
      </w:r>
      <w:r w:rsidR="00912E7F" w:rsidRPr="00D04D32">
        <w:rPr>
          <w:rFonts w:ascii="Times New Roman" w:hAnsi="Times New Roman"/>
        </w:rPr>
        <w:t>limitation</w:t>
      </w:r>
      <w:r w:rsidR="00EE3445" w:rsidRPr="00D04D32">
        <w:rPr>
          <w:rFonts w:ascii="Times New Roman" w:hAnsi="Times New Roman"/>
        </w:rPr>
        <w:t xml:space="preserve"> defence</w:t>
      </w:r>
      <w:r w:rsidR="00912E7F" w:rsidRPr="00D04D32">
        <w:rPr>
          <w:rFonts w:ascii="Times New Roman" w:hAnsi="Times New Roman"/>
        </w:rPr>
        <w:t xml:space="preserve"> and</w:t>
      </w:r>
      <w:r w:rsidR="00EE3445" w:rsidRPr="00D04D32">
        <w:rPr>
          <w:rFonts w:ascii="Times New Roman" w:hAnsi="Times New Roman"/>
        </w:rPr>
        <w:t xml:space="preserve"> the</w:t>
      </w:r>
      <w:r w:rsidR="00912E7F" w:rsidRPr="00D04D32">
        <w:rPr>
          <w:rFonts w:ascii="Times New Roman" w:hAnsi="Times New Roman"/>
        </w:rPr>
        <w:t xml:space="preserve"> </w:t>
      </w:r>
      <w:r w:rsidR="00912E7F" w:rsidRPr="00D04D32">
        <w:rPr>
          <w:rFonts w:ascii="Times New Roman" w:hAnsi="Times New Roman"/>
          <w:i/>
        </w:rPr>
        <w:t>Ellis</w:t>
      </w:r>
      <w:r w:rsidR="00912E7F" w:rsidRPr="00D04D32">
        <w:rPr>
          <w:rFonts w:ascii="Times New Roman" w:hAnsi="Times New Roman"/>
        </w:rPr>
        <w:t xml:space="preserve"> defence had no material influence on DZY's decision not to pursue an economic loss claim.</w:t>
      </w:r>
      <w:r w:rsidR="00D873E4" w:rsidRPr="00D04D32">
        <w:rPr>
          <w:rFonts w:ascii="Times New Roman" w:hAnsi="Times New Roman"/>
        </w:rPr>
        <w:t xml:space="preserve"> </w:t>
      </w:r>
      <w:bookmarkStart w:id="5" w:name="_Ref187404022"/>
    </w:p>
    <w:p w14:paraId="0DC8A592" w14:textId="78DDB61B" w:rsidR="00912E7F" w:rsidRPr="00D04D32" w:rsidRDefault="00D873E4" w:rsidP="00D04D32">
      <w:pPr>
        <w:pStyle w:val="FixListStyle"/>
        <w:spacing w:after="260" w:line="280" w:lineRule="exact"/>
        <w:ind w:right="0"/>
        <w:jc w:val="both"/>
        <w:rPr>
          <w:rFonts w:ascii="Times New Roman" w:hAnsi="Times New Roman"/>
        </w:rPr>
      </w:pPr>
      <w:r w:rsidRPr="00D04D32">
        <w:rPr>
          <w:rFonts w:ascii="Times New Roman" w:hAnsi="Times New Roman"/>
        </w:rPr>
        <w:lastRenderedPageBreak/>
        <w:tab/>
      </w:r>
      <w:r w:rsidR="00912E7F" w:rsidRPr="00D04D32">
        <w:rPr>
          <w:rFonts w:ascii="Times New Roman" w:hAnsi="Times New Roman"/>
        </w:rPr>
        <w:t xml:space="preserve">Writing separately, Lyons JA </w:t>
      </w:r>
      <w:r w:rsidR="004D5DF2" w:rsidRPr="00D04D32">
        <w:rPr>
          <w:rFonts w:ascii="Times New Roman" w:hAnsi="Times New Roman"/>
        </w:rPr>
        <w:t xml:space="preserve">regarded </w:t>
      </w:r>
      <w:r w:rsidR="00E8687D" w:rsidRPr="00D04D32">
        <w:rPr>
          <w:rFonts w:ascii="Times New Roman" w:hAnsi="Times New Roman"/>
        </w:rPr>
        <w:t>Beach and Macaulay JJA's</w:t>
      </w:r>
      <w:r w:rsidRPr="00D04D32">
        <w:rPr>
          <w:rFonts w:ascii="Times New Roman" w:hAnsi="Times New Roman"/>
        </w:rPr>
        <w:t xml:space="preserve"> approach to the </w:t>
      </w:r>
      <w:r w:rsidR="00912E7F" w:rsidRPr="00D04D32">
        <w:rPr>
          <w:rFonts w:ascii="Times New Roman" w:hAnsi="Times New Roman"/>
        </w:rPr>
        <w:t xml:space="preserve">exercise of the Court's power under s 27QE(1) of the </w:t>
      </w:r>
      <w:r w:rsidR="00912E7F" w:rsidRPr="00D04D32">
        <w:rPr>
          <w:rFonts w:ascii="Times New Roman" w:hAnsi="Times New Roman"/>
          <w:i/>
          <w:iCs/>
        </w:rPr>
        <w:t>Limitation of Actions Act</w:t>
      </w:r>
      <w:r w:rsidR="00912E7F" w:rsidRPr="00D04D32">
        <w:rPr>
          <w:rFonts w:ascii="Times New Roman" w:hAnsi="Times New Roman"/>
        </w:rPr>
        <w:t xml:space="preserve"> </w:t>
      </w:r>
      <w:r w:rsidR="00F337B1" w:rsidRPr="00D04D32">
        <w:rPr>
          <w:rFonts w:ascii="Times New Roman" w:hAnsi="Times New Roman"/>
        </w:rPr>
        <w:t>–</w:t>
      </w:r>
      <w:r w:rsidR="00853C30" w:rsidRPr="00D04D32">
        <w:rPr>
          <w:rFonts w:ascii="Times New Roman" w:hAnsi="Times New Roman"/>
        </w:rPr>
        <w:t xml:space="preserve"> that the actual influence of the two legal obstacles </w:t>
      </w:r>
      <w:r w:rsidR="00B0478C" w:rsidRPr="00D04D32">
        <w:rPr>
          <w:rFonts w:ascii="Times New Roman" w:hAnsi="Times New Roman"/>
        </w:rPr>
        <w:t xml:space="preserve">was </w:t>
      </w:r>
      <w:r w:rsidR="00853C30" w:rsidRPr="00D04D32">
        <w:rPr>
          <w:rFonts w:ascii="Times New Roman" w:hAnsi="Times New Roman"/>
          <w:i/>
          <w:iCs/>
        </w:rPr>
        <w:t>central</w:t>
      </w:r>
      <w:r w:rsidR="00853C30" w:rsidRPr="00D04D32">
        <w:rPr>
          <w:rFonts w:ascii="Times New Roman" w:hAnsi="Times New Roman"/>
        </w:rPr>
        <w:t xml:space="preserve"> to the</w:t>
      </w:r>
      <w:r w:rsidR="00111D21">
        <w:rPr>
          <w:rFonts w:ascii="Times New Roman" w:hAnsi="Times New Roman"/>
        </w:rPr>
        <w:t> </w:t>
      </w:r>
      <w:r w:rsidR="00853C30" w:rsidRPr="00D04D32">
        <w:rPr>
          <w:rFonts w:ascii="Times New Roman" w:hAnsi="Times New Roman"/>
        </w:rPr>
        <w:t xml:space="preserve">determination of whether it is just and reasonable to set aside a settlement </w:t>
      </w:r>
      <w:r w:rsidR="00F337B1" w:rsidRPr="00D04D32">
        <w:rPr>
          <w:rFonts w:ascii="Times New Roman" w:hAnsi="Times New Roman"/>
        </w:rPr>
        <w:t>–</w:t>
      </w:r>
      <w:r w:rsidR="00853C30" w:rsidRPr="00D04D32">
        <w:rPr>
          <w:rFonts w:ascii="Times New Roman" w:hAnsi="Times New Roman"/>
        </w:rPr>
        <w:t xml:space="preserve"> </w:t>
      </w:r>
      <w:r w:rsidR="00157702" w:rsidRPr="00D04D32">
        <w:rPr>
          <w:rFonts w:ascii="Times New Roman" w:hAnsi="Times New Roman"/>
        </w:rPr>
        <w:t xml:space="preserve">as </w:t>
      </w:r>
      <w:r w:rsidR="003F6A2F" w:rsidRPr="00D04D32">
        <w:rPr>
          <w:rFonts w:ascii="Times New Roman" w:hAnsi="Times New Roman"/>
        </w:rPr>
        <w:t>a</w:t>
      </w:r>
      <w:r w:rsidR="00B0478C" w:rsidRPr="00D04D32">
        <w:rPr>
          <w:rFonts w:ascii="Times New Roman" w:hAnsi="Times New Roman"/>
        </w:rPr>
        <w:t>n impermissible</w:t>
      </w:r>
      <w:r w:rsidR="003F6A2F" w:rsidRPr="00D04D32">
        <w:rPr>
          <w:rFonts w:ascii="Times New Roman" w:hAnsi="Times New Roman"/>
        </w:rPr>
        <w:t xml:space="preserve"> </w:t>
      </w:r>
      <w:r w:rsidR="00912E7F" w:rsidRPr="00D04D32">
        <w:rPr>
          <w:rFonts w:ascii="Times New Roman" w:hAnsi="Times New Roman"/>
        </w:rPr>
        <w:t>fetter</w:t>
      </w:r>
      <w:r w:rsidR="003F6A2F" w:rsidRPr="00D04D32">
        <w:rPr>
          <w:rFonts w:ascii="Times New Roman" w:hAnsi="Times New Roman"/>
        </w:rPr>
        <w:t xml:space="preserve"> on </w:t>
      </w:r>
      <w:r w:rsidR="009C4D8C" w:rsidRPr="00D04D32">
        <w:rPr>
          <w:rFonts w:ascii="Times New Roman" w:hAnsi="Times New Roman"/>
        </w:rPr>
        <w:t xml:space="preserve">the </w:t>
      </w:r>
      <w:r w:rsidR="00157702" w:rsidRPr="00D04D32">
        <w:rPr>
          <w:rFonts w:ascii="Times New Roman" w:hAnsi="Times New Roman"/>
        </w:rPr>
        <w:t>exer</w:t>
      </w:r>
      <w:r w:rsidR="004D5DF2" w:rsidRPr="00D04D32">
        <w:rPr>
          <w:rFonts w:ascii="Times New Roman" w:hAnsi="Times New Roman"/>
        </w:rPr>
        <w:t xml:space="preserve">cise </w:t>
      </w:r>
      <w:r w:rsidR="003F6A2F" w:rsidRPr="00D04D32">
        <w:rPr>
          <w:rFonts w:ascii="Times New Roman" w:hAnsi="Times New Roman"/>
        </w:rPr>
        <w:t>of the power</w:t>
      </w:r>
      <w:r w:rsidR="001064BA" w:rsidRPr="00D04D32">
        <w:rPr>
          <w:rFonts w:ascii="Times New Roman" w:hAnsi="Times New Roman"/>
        </w:rPr>
        <w:t xml:space="preserve"> and </w:t>
      </w:r>
      <w:r w:rsidR="00611BDF" w:rsidRPr="00D04D32">
        <w:rPr>
          <w:rFonts w:ascii="Times New Roman" w:hAnsi="Times New Roman"/>
        </w:rPr>
        <w:t xml:space="preserve">held </w:t>
      </w:r>
      <w:r w:rsidR="001064BA" w:rsidRPr="00D04D32">
        <w:rPr>
          <w:rFonts w:ascii="Times New Roman" w:hAnsi="Times New Roman"/>
        </w:rPr>
        <w:t xml:space="preserve">that </w:t>
      </w:r>
      <w:r w:rsidR="00611BDF" w:rsidRPr="00D04D32">
        <w:rPr>
          <w:rFonts w:ascii="Times New Roman" w:hAnsi="Times New Roman"/>
        </w:rPr>
        <w:t xml:space="preserve">the </w:t>
      </w:r>
      <w:r w:rsidR="00B53993" w:rsidRPr="00D04D32">
        <w:rPr>
          <w:rFonts w:ascii="Times New Roman" w:hAnsi="Times New Roman"/>
        </w:rPr>
        <w:t xml:space="preserve">exercise of the </w:t>
      </w:r>
      <w:r w:rsidR="00611BDF" w:rsidRPr="00D04D32">
        <w:rPr>
          <w:rFonts w:ascii="Times New Roman" w:hAnsi="Times New Roman"/>
        </w:rPr>
        <w:t>power under</w:t>
      </w:r>
      <w:r w:rsidR="001064BA" w:rsidRPr="00D04D32">
        <w:rPr>
          <w:rFonts w:ascii="Times New Roman" w:hAnsi="Times New Roman"/>
        </w:rPr>
        <w:t xml:space="preserve"> </w:t>
      </w:r>
      <w:bookmarkEnd w:id="5"/>
      <w:r w:rsidR="007A5BC1" w:rsidRPr="00D04D32">
        <w:rPr>
          <w:rFonts w:ascii="Times New Roman" w:hAnsi="Times New Roman"/>
        </w:rPr>
        <w:t>s </w:t>
      </w:r>
      <w:r w:rsidR="00912E7F" w:rsidRPr="00D04D32">
        <w:rPr>
          <w:rFonts w:ascii="Times New Roman" w:hAnsi="Times New Roman"/>
        </w:rPr>
        <w:t>27QE is not limited to circumstances where the claimant</w:t>
      </w:r>
      <w:r w:rsidR="00B52CC0" w:rsidRPr="00D04D32">
        <w:rPr>
          <w:rFonts w:ascii="Times New Roman" w:hAnsi="Times New Roman"/>
        </w:rPr>
        <w:t>'</w:t>
      </w:r>
      <w:r w:rsidR="00912E7F" w:rsidRPr="00D04D32">
        <w:rPr>
          <w:rFonts w:ascii="Times New Roman" w:hAnsi="Times New Roman"/>
        </w:rPr>
        <w:t xml:space="preserve">s decision to enter the </w:t>
      </w:r>
      <w:r w:rsidR="00611BDF" w:rsidRPr="00D04D32">
        <w:rPr>
          <w:rFonts w:ascii="Times New Roman" w:hAnsi="Times New Roman"/>
        </w:rPr>
        <w:t xml:space="preserve">settlement </w:t>
      </w:r>
      <w:r w:rsidR="00912E7F" w:rsidRPr="00D04D32">
        <w:rPr>
          <w:rFonts w:ascii="Times New Roman" w:hAnsi="Times New Roman"/>
        </w:rPr>
        <w:t xml:space="preserve">agreement had been materially impacted by one or both of the legal </w:t>
      </w:r>
      <w:r w:rsidR="007A5BC1" w:rsidRPr="00D04D32">
        <w:rPr>
          <w:rFonts w:ascii="Times New Roman" w:hAnsi="Times New Roman"/>
        </w:rPr>
        <w:t>obstacles</w:t>
      </w:r>
      <w:r w:rsidR="00912E7F" w:rsidRPr="00D04D32">
        <w:rPr>
          <w:rFonts w:ascii="Times New Roman" w:hAnsi="Times New Roman"/>
        </w:rPr>
        <w:t>.</w:t>
      </w:r>
      <w:r w:rsidR="003B72F9" w:rsidRPr="00D04D32">
        <w:rPr>
          <w:rFonts w:ascii="Times New Roman" w:hAnsi="Times New Roman"/>
        </w:rPr>
        <w:t xml:space="preserve"> </w:t>
      </w:r>
      <w:r w:rsidR="001064BA" w:rsidRPr="00D04D32">
        <w:rPr>
          <w:rFonts w:ascii="Times New Roman" w:hAnsi="Times New Roman"/>
        </w:rPr>
        <w:t xml:space="preserve">Rather, the </w:t>
      </w:r>
      <w:r w:rsidR="00912E7F" w:rsidRPr="00D04D32">
        <w:rPr>
          <w:rFonts w:ascii="Times New Roman" w:hAnsi="Times New Roman"/>
        </w:rPr>
        <w:t>exercise of the power in s</w:t>
      </w:r>
      <w:r w:rsidR="007F149E" w:rsidRPr="00D04D32">
        <w:rPr>
          <w:rFonts w:ascii="Times New Roman" w:hAnsi="Times New Roman"/>
        </w:rPr>
        <w:t> </w:t>
      </w:r>
      <w:r w:rsidR="00912E7F" w:rsidRPr="00D04D32">
        <w:rPr>
          <w:rFonts w:ascii="Times New Roman" w:hAnsi="Times New Roman"/>
        </w:rPr>
        <w:t>27QE depend</w:t>
      </w:r>
      <w:r w:rsidR="003B72F9" w:rsidRPr="00D04D32">
        <w:rPr>
          <w:rFonts w:ascii="Times New Roman" w:hAnsi="Times New Roman"/>
        </w:rPr>
        <w:t>s</w:t>
      </w:r>
      <w:r w:rsidR="00912E7F" w:rsidRPr="00D04D32">
        <w:rPr>
          <w:rFonts w:ascii="Times New Roman" w:hAnsi="Times New Roman"/>
        </w:rPr>
        <w:t xml:space="preserve"> upon all releva</w:t>
      </w:r>
      <w:r w:rsidR="001064BA" w:rsidRPr="00D04D32">
        <w:rPr>
          <w:rFonts w:ascii="Times New Roman" w:hAnsi="Times New Roman"/>
        </w:rPr>
        <w:t>n</w:t>
      </w:r>
      <w:r w:rsidR="003B72F9" w:rsidRPr="00D04D32">
        <w:rPr>
          <w:rFonts w:ascii="Times New Roman" w:hAnsi="Times New Roman"/>
        </w:rPr>
        <w:t xml:space="preserve">t </w:t>
      </w:r>
      <w:r w:rsidR="00912E7F" w:rsidRPr="00D04D32">
        <w:rPr>
          <w:rFonts w:ascii="Times New Roman" w:hAnsi="Times New Roman"/>
        </w:rPr>
        <w:t>circumstances.</w:t>
      </w:r>
      <w:r w:rsidR="003B72F9" w:rsidRPr="00D04D32">
        <w:rPr>
          <w:rFonts w:ascii="Times New Roman" w:hAnsi="Times New Roman"/>
        </w:rPr>
        <w:t xml:space="preserve"> </w:t>
      </w:r>
      <w:r w:rsidR="00912E7F" w:rsidRPr="00D04D32">
        <w:rPr>
          <w:rFonts w:ascii="Times New Roman" w:hAnsi="Times New Roman"/>
        </w:rPr>
        <w:t>Lyons JA</w:t>
      </w:r>
      <w:r w:rsidR="00D1659F" w:rsidRPr="00D04D32">
        <w:rPr>
          <w:rFonts w:ascii="Times New Roman" w:hAnsi="Times New Roman"/>
        </w:rPr>
        <w:t>,</w:t>
      </w:r>
      <w:r w:rsidR="00912E7F" w:rsidRPr="00D04D32">
        <w:rPr>
          <w:rFonts w:ascii="Times New Roman" w:hAnsi="Times New Roman"/>
        </w:rPr>
        <w:t xml:space="preserve"> </w:t>
      </w:r>
      <w:r w:rsidR="003B72F9" w:rsidRPr="00D04D32">
        <w:rPr>
          <w:rFonts w:ascii="Times New Roman" w:hAnsi="Times New Roman"/>
        </w:rPr>
        <w:t>however</w:t>
      </w:r>
      <w:r w:rsidR="00D1659F" w:rsidRPr="00D04D32">
        <w:rPr>
          <w:rFonts w:ascii="Times New Roman" w:hAnsi="Times New Roman"/>
        </w:rPr>
        <w:t>,</w:t>
      </w:r>
      <w:r w:rsidR="003B72F9" w:rsidRPr="00D04D32">
        <w:rPr>
          <w:rFonts w:ascii="Times New Roman" w:hAnsi="Times New Roman"/>
        </w:rPr>
        <w:t xml:space="preserve"> </w:t>
      </w:r>
      <w:r w:rsidR="00912E7F" w:rsidRPr="00D04D32">
        <w:rPr>
          <w:rFonts w:ascii="Times New Roman" w:hAnsi="Times New Roman"/>
        </w:rPr>
        <w:t xml:space="preserve">concurred with the factual analysis of the </w:t>
      </w:r>
      <w:r w:rsidR="00AB50D2" w:rsidRPr="00D04D32">
        <w:rPr>
          <w:rFonts w:ascii="Times New Roman" w:hAnsi="Times New Roman"/>
        </w:rPr>
        <w:t>plurality</w:t>
      </w:r>
      <w:r w:rsidR="00912E7F" w:rsidRPr="00D04D32">
        <w:rPr>
          <w:rFonts w:ascii="Times New Roman" w:hAnsi="Times New Roman"/>
        </w:rPr>
        <w:t>.</w:t>
      </w:r>
    </w:p>
    <w:p w14:paraId="65849326" w14:textId="162992E6" w:rsidR="00912E7F" w:rsidRPr="00D04D32" w:rsidRDefault="00912E7F" w:rsidP="00D04D32">
      <w:pPr>
        <w:pStyle w:val="HeadingL1"/>
        <w:spacing w:after="260" w:line="280" w:lineRule="exact"/>
        <w:ind w:right="0"/>
        <w:jc w:val="both"/>
        <w:rPr>
          <w:rFonts w:ascii="Times New Roman" w:hAnsi="Times New Roman"/>
        </w:rPr>
      </w:pPr>
      <w:r w:rsidRPr="00D04D32">
        <w:rPr>
          <w:rFonts w:ascii="Times New Roman" w:hAnsi="Times New Roman"/>
        </w:rPr>
        <w:t>Ground 1</w:t>
      </w:r>
      <w:r w:rsidR="005A7B5D" w:rsidRPr="00D04D32">
        <w:rPr>
          <w:rFonts w:ascii="Times New Roman" w:hAnsi="Times New Roman"/>
        </w:rPr>
        <w:t xml:space="preserve"> </w:t>
      </w:r>
      <w:r w:rsidR="00525A21" w:rsidRPr="00D04D32">
        <w:rPr>
          <w:rFonts w:ascii="Times New Roman" w:hAnsi="Times New Roman"/>
        </w:rPr>
        <w:t>–</w:t>
      </w:r>
      <w:r w:rsidR="00EC003F" w:rsidRPr="00D04D32">
        <w:rPr>
          <w:rFonts w:ascii="Times New Roman" w:hAnsi="Times New Roman"/>
        </w:rPr>
        <w:t xml:space="preserve"> </w:t>
      </w:r>
      <w:r w:rsidR="003B72F9" w:rsidRPr="00D04D32">
        <w:rPr>
          <w:rFonts w:ascii="Times New Roman" w:hAnsi="Times New Roman"/>
        </w:rPr>
        <w:t xml:space="preserve">Proper </w:t>
      </w:r>
      <w:r w:rsidR="002363BF" w:rsidRPr="00D04D32">
        <w:rPr>
          <w:rFonts w:ascii="Times New Roman" w:hAnsi="Times New Roman"/>
        </w:rPr>
        <w:t>c</w:t>
      </w:r>
      <w:r w:rsidR="005A7B5D" w:rsidRPr="00D04D32">
        <w:rPr>
          <w:rFonts w:ascii="Times New Roman" w:hAnsi="Times New Roman"/>
        </w:rPr>
        <w:t>onstruction of s 27QE</w:t>
      </w:r>
    </w:p>
    <w:p w14:paraId="346EDEF5" w14:textId="0F2057A3" w:rsidR="003B72F9" w:rsidRPr="00D04D32" w:rsidRDefault="003B72F9" w:rsidP="00D04D32">
      <w:pPr>
        <w:pStyle w:val="FixListStyle"/>
        <w:spacing w:after="260" w:line="280" w:lineRule="exact"/>
        <w:ind w:right="0"/>
        <w:jc w:val="both"/>
        <w:rPr>
          <w:rFonts w:ascii="Times New Roman" w:hAnsi="Times New Roman"/>
        </w:rPr>
      </w:pPr>
      <w:r w:rsidRPr="00D04D32">
        <w:rPr>
          <w:rFonts w:ascii="Times New Roman" w:hAnsi="Times New Roman"/>
        </w:rPr>
        <w:tab/>
        <w:t xml:space="preserve">The issue may be simply stated </w:t>
      </w:r>
      <w:r w:rsidR="005E0B31" w:rsidRPr="00D04D32">
        <w:rPr>
          <w:rFonts w:ascii="Times New Roman" w:hAnsi="Times New Roman"/>
        </w:rPr>
        <w:t>–</w:t>
      </w:r>
      <w:r w:rsidRPr="00D04D32">
        <w:rPr>
          <w:rFonts w:ascii="Times New Roman" w:hAnsi="Times New Roman"/>
        </w:rPr>
        <w:t xml:space="preserve"> </w:t>
      </w:r>
      <w:r w:rsidR="005E0B31" w:rsidRPr="00D04D32">
        <w:rPr>
          <w:rFonts w:ascii="Times New Roman" w:hAnsi="Times New Roman"/>
        </w:rPr>
        <w:t>i</w:t>
      </w:r>
      <w:r w:rsidRPr="00D04D32">
        <w:rPr>
          <w:rFonts w:ascii="Times New Roman" w:hAnsi="Times New Roman"/>
        </w:rPr>
        <w:t>s t</w:t>
      </w:r>
      <w:r w:rsidR="00912E7F" w:rsidRPr="00D04D32">
        <w:rPr>
          <w:rFonts w:ascii="Times New Roman" w:hAnsi="Times New Roman"/>
        </w:rPr>
        <w:t>he operation of s 27QE of the</w:t>
      </w:r>
      <w:r w:rsidR="00111D21">
        <w:rPr>
          <w:rFonts w:ascii="Times New Roman" w:hAnsi="Times New Roman"/>
        </w:rPr>
        <w:t> </w:t>
      </w:r>
      <w:r w:rsidR="00912E7F" w:rsidRPr="00D04D32">
        <w:rPr>
          <w:rFonts w:ascii="Times New Roman" w:hAnsi="Times New Roman"/>
          <w:i/>
          <w:iCs/>
        </w:rPr>
        <w:t xml:space="preserve">Limitation of Actions Act </w:t>
      </w:r>
      <w:r w:rsidR="00912E7F" w:rsidRPr="00D04D32">
        <w:rPr>
          <w:rFonts w:ascii="Times New Roman" w:hAnsi="Times New Roman"/>
        </w:rPr>
        <w:t xml:space="preserve">limited to circumstances where the limitation defence or the </w:t>
      </w:r>
      <w:r w:rsidR="00912E7F" w:rsidRPr="00D04D32">
        <w:rPr>
          <w:rFonts w:ascii="Times New Roman" w:hAnsi="Times New Roman"/>
          <w:i/>
          <w:iCs/>
        </w:rPr>
        <w:t xml:space="preserve">Ellis </w:t>
      </w:r>
      <w:r w:rsidR="00912E7F" w:rsidRPr="00D04D32">
        <w:rPr>
          <w:rFonts w:ascii="Times New Roman" w:hAnsi="Times New Roman"/>
        </w:rPr>
        <w:t>defence materially influenced the claimant</w:t>
      </w:r>
      <w:r w:rsidRPr="00D04D32">
        <w:rPr>
          <w:rFonts w:ascii="Times New Roman" w:hAnsi="Times New Roman"/>
        </w:rPr>
        <w:t>'</w:t>
      </w:r>
      <w:r w:rsidR="00912E7F" w:rsidRPr="00D04D32">
        <w:rPr>
          <w:rFonts w:ascii="Times New Roman" w:hAnsi="Times New Roman"/>
        </w:rPr>
        <w:t>s decision to settle</w:t>
      </w:r>
      <w:r w:rsidR="00EE7BB6" w:rsidRPr="00D04D32">
        <w:rPr>
          <w:rFonts w:ascii="Times New Roman" w:hAnsi="Times New Roman"/>
        </w:rPr>
        <w:t>?</w:t>
      </w:r>
      <w:r w:rsidR="00912E7F" w:rsidRPr="00D04D32">
        <w:rPr>
          <w:rFonts w:ascii="Times New Roman" w:hAnsi="Times New Roman"/>
        </w:rPr>
        <w:t xml:space="preserve"> </w:t>
      </w:r>
      <w:r w:rsidRPr="00D04D32">
        <w:rPr>
          <w:rFonts w:ascii="Times New Roman" w:hAnsi="Times New Roman"/>
        </w:rPr>
        <w:t>The</w:t>
      </w:r>
      <w:r w:rsidR="00111D21">
        <w:rPr>
          <w:rFonts w:ascii="Times New Roman" w:hAnsi="Times New Roman"/>
        </w:rPr>
        <w:t> </w:t>
      </w:r>
      <w:r w:rsidRPr="00D04D32">
        <w:rPr>
          <w:rFonts w:ascii="Times New Roman" w:hAnsi="Times New Roman"/>
        </w:rPr>
        <w:t>answer is "no".</w:t>
      </w:r>
    </w:p>
    <w:p w14:paraId="6ADF31AF" w14:textId="1587EE87" w:rsidR="004040A1" w:rsidRPr="00D04D32" w:rsidRDefault="003B72F9"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912E7F" w:rsidRPr="00D04D32">
        <w:rPr>
          <w:rFonts w:ascii="Times New Roman" w:hAnsi="Times New Roman"/>
        </w:rPr>
        <w:t xml:space="preserve">The principles of statutory construction are well established. The language which has actually been used in the text, in light of </w:t>
      </w:r>
      <w:r w:rsidR="005B3870" w:rsidRPr="00D04D32">
        <w:rPr>
          <w:rFonts w:ascii="Times New Roman" w:hAnsi="Times New Roman"/>
        </w:rPr>
        <w:t xml:space="preserve">its </w:t>
      </w:r>
      <w:r w:rsidR="00912E7F" w:rsidRPr="00D04D32">
        <w:rPr>
          <w:rFonts w:ascii="Times New Roman" w:hAnsi="Times New Roman"/>
        </w:rPr>
        <w:t>context and purpose, is the</w:t>
      </w:r>
      <w:r w:rsidR="00BC373F">
        <w:rPr>
          <w:rFonts w:ascii="Times New Roman" w:hAnsi="Times New Roman"/>
        </w:rPr>
        <w:t> </w:t>
      </w:r>
      <w:r w:rsidR="00912E7F" w:rsidRPr="00D04D32">
        <w:rPr>
          <w:rFonts w:ascii="Times New Roman" w:hAnsi="Times New Roman"/>
        </w:rPr>
        <w:t>surest guide to legislative intention.</w:t>
      </w:r>
      <w:r w:rsidR="00912E7F" w:rsidRPr="00D04D32">
        <w:rPr>
          <w:rStyle w:val="FootnoteReference"/>
          <w:rFonts w:ascii="Times New Roman" w:hAnsi="Times New Roman"/>
          <w:sz w:val="24"/>
        </w:rPr>
        <w:footnoteReference w:id="13"/>
      </w:r>
      <w:r w:rsidR="00912E7F" w:rsidRPr="00D04D32">
        <w:rPr>
          <w:rFonts w:ascii="Times New Roman" w:hAnsi="Times New Roman"/>
        </w:rPr>
        <w:t xml:space="preserve"> One reason that the context and purpose of a provision are important to its proper construction is that an object of statutory construction is to construe the relevant provision so that it is consistent with the</w:t>
      </w:r>
      <w:r w:rsidR="00677B32">
        <w:rPr>
          <w:rFonts w:ascii="Times New Roman" w:hAnsi="Times New Roman"/>
        </w:rPr>
        <w:t> </w:t>
      </w:r>
      <w:r w:rsidR="00912E7F" w:rsidRPr="00D04D32">
        <w:rPr>
          <w:rFonts w:ascii="Times New Roman" w:hAnsi="Times New Roman"/>
        </w:rPr>
        <w:t xml:space="preserve">language and purpose of </w:t>
      </w:r>
      <w:r w:rsidR="00912E7F" w:rsidRPr="00D04D32">
        <w:rPr>
          <w:rFonts w:ascii="Times New Roman" w:hAnsi="Times New Roman"/>
          <w:i/>
          <w:iCs/>
        </w:rPr>
        <w:t>all</w:t>
      </w:r>
      <w:r w:rsidR="00912E7F" w:rsidRPr="00D04D32">
        <w:rPr>
          <w:rFonts w:ascii="Times New Roman" w:hAnsi="Times New Roman"/>
        </w:rPr>
        <w:t xml:space="preserve"> the provisions of the statute.</w:t>
      </w:r>
      <w:r w:rsidR="00912E7F" w:rsidRPr="00D04D32">
        <w:rPr>
          <w:rStyle w:val="FootnoteReference"/>
          <w:rFonts w:ascii="Times New Roman" w:hAnsi="Times New Roman"/>
          <w:sz w:val="24"/>
        </w:rPr>
        <w:footnoteReference w:id="14"/>
      </w:r>
      <w:r w:rsidR="00912E7F" w:rsidRPr="00D04D32">
        <w:rPr>
          <w:rFonts w:ascii="Times New Roman" w:hAnsi="Times New Roman"/>
        </w:rPr>
        <w:t xml:space="preserve"> Or, as was explained in </w:t>
      </w:r>
      <w:r w:rsidR="00912E7F" w:rsidRPr="00D04D32">
        <w:rPr>
          <w:rFonts w:ascii="Times New Roman" w:hAnsi="Times New Roman"/>
          <w:i/>
          <w:iCs/>
        </w:rPr>
        <w:t>Project Blue Sky Inc v Australian Broadcasting Authority</w:t>
      </w:r>
      <w:r w:rsidR="00912E7F" w:rsidRPr="00D04D32">
        <w:rPr>
          <w:rFonts w:ascii="Times New Roman" w:hAnsi="Times New Roman"/>
        </w:rPr>
        <w:t>, statutory construction requires deciding what the legal meaning of the relevant provision</w:t>
      </w:r>
      <w:r w:rsidR="00EA7B74" w:rsidRPr="00D04D32">
        <w:rPr>
          <w:rFonts w:ascii="Times New Roman" w:hAnsi="Times New Roman"/>
        </w:rPr>
        <w:t xml:space="preserve"> is</w:t>
      </w:r>
      <w:r w:rsidR="00912E7F" w:rsidRPr="00D04D32">
        <w:rPr>
          <w:rFonts w:ascii="Times New Roman" w:hAnsi="Times New Roman"/>
        </w:rPr>
        <w:t xml:space="preserve"> "by reference to the language of the instrument viewed as a whole".</w:t>
      </w:r>
      <w:r w:rsidR="00912E7F" w:rsidRPr="00D04D32">
        <w:rPr>
          <w:rStyle w:val="FootnoteReference"/>
          <w:rFonts w:ascii="Times New Roman" w:hAnsi="Times New Roman"/>
          <w:sz w:val="24"/>
        </w:rPr>
        <w:footnoteReference w:id="15"/>
      </w:r>
      <w:r w:rsidR="00912E7F" w:rsidRPr="00D04D32">
        <w:rPr>
          <w:rFonts w:ascii="Times New Roman" w:hAnsi="Times New Roman"/>
        </w:rPr>
        <w:t xml:space="preserve"> Further, the purpose of </w:t>
      </w:r>
      <w:r w:rsidR="00912E7F" w:rsidRPr="00D04D32">
        <w:rPr>
          <w:rFonts w:ascii="Times New Roman" w:hAnsi="Times New Roman"/>
        </w:rPr>
        <w:lastRenderedPageBreak/>
        <w:t>the</w:t>
      </w:r>
      <w:r w:rsidR="00636427">
        <w:rPr>
          <w:rFonts w:ascii="Times New Roman" w:hAnsi="Times New Roman"/>
        </w:rPr>
        <w:t> </w:t>
      </w:r>
      <w:r w:rsidR="00912E7F" w:rsidRPr="00D04D32">
        <w:rPr>
          <w:rFonts w:ascii="Times New Roman" w:hAnsi="Times New Roman"/>
        </w:rPr>
        <w:t xml:space="preserve">legislation </w:t>
      </w:r>
      <w:r w:rsidR="005E01C0" w:rsidRPr="00D04D32">
        <w:rPr>
          <w:rFonts w:ascii="Times New Roman" w:hAnsi="Times New Roman"/>
        </w:rPr>
        <w:t xml:space="preserve">is not </w:t>
      </w:r>
      <w:r w:rsidR="00D45359" w:rsidRPr="00D04D32">
        <w:rPr>
          <w:rFonts w:ascii="Times New Roman" w:hAnsi="Times New Roman"/>
        </w:rPr>
        <w:t xml:space="preserve">to be </w:t>
      </w:r>
      <w:r w:rsidR="005E01C0" w:rsidRPr="00D04D32">
        <w:rPr>
          <w:rFonts w:ascii="Times New Roman" w:hAnsi="Times New Roman"/>
        </w:rPr>
        <w:t>derived</w:t>
      </w:r>
      <w:r w:rsidR="00912E7F" w:rsidRPr="00D04D32">
        <w:rPr>
          <w:rFonts w:ascii="Times New Roman" w:hAnsi="Times New Roman"/>
        </w:rPr>
        <w:t xml:space="preserve"> from any </w:t>
      </w:r>
      <w:r w:rsidR="00B764C9" w:rsidRPr="00D04D32">
        <w:rPr>
          <w:rFonts w:ascii="Times New Roman" w:hAnsi="Times New Roman"/>
        </w:rPr>
        <w:t xml:space="preserve">a priori </w:t>
      </w:r>
      <w:r w:rsidR="00912E7F" w:rsidRPr="00D04D32">
        <w:rPr>
          <w:rFonts w:ascii="Times New Roman" w:hAnsi="Times New Roman"/>
        </w:rPr>
        <w:t>assumption about the desired reach or operation of the relevant provisions.</w:t>
      </w:r>
      <w:r w:rsidR="00912E7F" w:rsidRPr="00D04D32">
        <w:rPr>
          <w:rStyle w:val="FootnoteReference"/>
          <w:rFonts w:ascii="Times New Roman" w:hAnsi="Times New Roman"/>
          <w:sz w:val="24"/>
        </w:rPr>
        <w:footnoteReference w:id="16"/>
      </w:r>
    </w:p>
    <w:p w14:paraId="72ECC884" w14:textId="2D7F1821" w:rsidR="004040A1" w:rsidRPr="00D04D32" w:rsidRDefault="004040A1"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912E7F" w:rsidRPr="00D04D32">
        <w:rPr>
          <w:rFonts w:ascii="Times New Roman" w:hAnsi="Times New Roman"/>
        </w:rPr>
        <w:t>There is nothing in the text of s 27QE which limits the exercise of the court</w:t>
      </w:r>
      <w:r w:rsidR="00E66797" w:rsidRPr="00D04D32">
        <w:rPr>
          <w:rFonts w:ascii="Times New Roman" w:hAnsi="Times New Roman"/>
        </w:rPr>
        <w:t>'</w:t>
      </w:r>
      <w:r w:rsidR="00912E7F" w:rsidRPr="00D04D32">
        <w:rPr>
          <w:rFonts w:ascii="Times New Roman" w:hAnsi="Times New Roman"/>
        </w:rPr>
        <w:t>s power to circumstances where the claimant</w:t>
      </w:r>
      <w:r w:rsidR="0094781C" w:rsidRPr="00D04D32">
        <w:rPr>
          <w:rFonts w:ascii="Times New Roman" w:hAnsi="Times New Roman"/>
        </w:rPr>
        <w:t>'</w:t>
      </w:r>
      <w:r w:rsidR="00912E7F" w:rsidRPr="00D04D32">
        <w:rPr>
          <w:rFonts w:ascii="Times New Roman" w:hAnsi="Times New Roman"/>
        </w:rPr>
        <w:t>s decision to enter the settlement agreement had been materially impacted by either the limitation defence or the</w:t>
      </w:r>
      <w:r w:rsidR="00636427">
        <w:rPr>
          <w:rFonts w:ascii="Times New Roman" w:hAnsi="Times New Roman"/>
        </w:rPr>
        <w:t> </w:t>
      </w:r>
      <w:r w:rsidR="00912E7F" w:rsidRPr="00D04D32">
        <w:rPr>
          <w:rFonts w:ascii="Times New Roman" w:hAnsi="Times New Roman"/>
          <w:i/>
          <w:iCs/>
        </w:rPr>
        <w:t xml:space="preserve">Ellis </w:t>
      </w:r>
      <w:r w:rsidR="00912E7F" w:rsidRPr="00D04D32">
        <w:rPr>
          <w:rFonts w:ascii="Times New Roman" w:hAnsi="Times New Roman"/>
        </w:rPr>
        <w:t>defence.</w:t>
      </w:r>
      <w:r w:rsidR="00912E7F" w:rsidRPr="00D04D32">
        <w:rPr>
          <w:rFonts w:ascii="Times New Roman" w:hAnsi="Times New Roman"/>
          <w:b/>
          <w:bCs/>
        </w:rPr>
        <w:t xml:space="preserve"> </w:t>
      </w:r>
      <w:r w:rsidR="00912E7F" w:rsidRPr="00D04D32">
        <w:rPr>
          <w:rFonts w:ascii="Times New Roman" w:hAnsi="Times New Roman"/>
        </w:rPr>
        <w:t xml:space="preserve">The text of s 27QE simply does not prescribe the matters to which the court should have regard in determining whether to set </w:t>
      </w:r>
      <w:r w:rsidR="00CD3381" w:rsidRPr="00D04D32">
        <w:rPr>
          <w:rFonts w:ascii="Times New Roman" w:hAnsi="Times New Roman"/>
        </w:rPr>
        <w:t xml:space="preserve">aside </w:t>
      </w:r>
      <w:r w:rsidR="00912E7F" w:rsidRPr="00D04D32">
        <w:rPr>
          <w:rFonts w:ascii="Times New Roman" w:hAnsi="Times New Roman"/>
        </w:rPr>
        <w:t>a settlement agreement.</w:t>
      </w:r>
      <w:r w:rsidR="00912E7F" w:rsidRPr="00D04D32">
        <w:rPr>
          <w:rStyle w:val="FootnoteReference"/>
          <w:rFonts w:ascii="Times New Roman" w:hAnsi="Times New Roman"/>
          <w:sz w:val="24"/>
        </w:rPr>
        <w:footnoteReference w:id="17"/>
      </w:r>
    </w:p>
    <w:p w14:paraId="675ABD61" w14:textId="32465321" w:rsidR="008864F4" w:rsidRPr="00D04D32" w:rsidRDefault="004040A1"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912E7F" w:rsidRPr="00D04D32">
        <w:rPr>
          <w:rFonts w:ascii="Times New Roman" w:hAnsi="Times New Roman"/>
        </w:rPr>
        <w:t>What the text of s</w:t>
      </w:r>
      <w:r w:rsidR="005821FB" w:rsidRPr="00D04D32">
        <w:rPr>
          <w:rFonts w:ascii="Times New Roman" w:hAnsi="Times New Roman"/>
        </w:rPr>
        <w:t> </w:t>
      </w:r>
      <w:r w:rsidR="00912E7F" w:rsidRPr="00D04D32">
        <w:rPr>
          <w:rFonts w:ascii="Times New Roman" w:hAnsi="Times New Roman"/>
        </w:rPr>
        <w:t>27QE does require, in order for the court to set aside a</w:t>
      </w:r>
      <w:r w:rsidR="00636427">
        <w:rPr>
          <w:rFonts w:ascii="Times New Roman" w:hAnsi="Times New Roman"/>
        </w:rPr>
        <w:t> </w:t>
      </w:r>
      <w:r w:rsidR="00912E7F" w:rsidRPr="00D04D32">
        <w:rPr>
          <w:rFonts w:ascii="Times New Roman" w:hAnsi="Times New Roman"/>
        </w:rPr>
        <w:t xml:space="preserve">settlement agreement, is that the court be satisfied that it is “just and reasonable” to do so. </w:t>
      </w:r>
      <w:r w:rsidR="0006305B" w:rsidRPr="00D04D32">
        <w:rPr>
          <w:rFonts w:ascii="Times New Roman" w:hAnsi="Times New Roman"/>
        </w:rPr>
        <w:t>"</w:t>
      </w:r>
      <w:r w:rsidR="00A00940" w:rsidRPr="00D04D32">
        <w:rPr>
          <w:rFonts w:ascii="Times New Roman" w:hAnsi="Times New Roman"/>
        </w:rPr>
        <w:t>[</w:t>
      </w:r>
      <w:r w:rsidR="00912E7F" w:rsidRPr="00D04D32">
        <w:rPr>
          <w:rFonts w:ascii="Times New Roman" w:hAnsi="Times New Roman"/>
        </w:rPr>
        <w:t>J</w:t>
      </w:r>
      <w:r w:rsidR="00A00940" w:rsidRPr="00D04D32">
        <w:rPr>
          <w:rFonts w:ascii="Times New Roman" w:hAnsi="Times New Roman"/>
        </w:rPr>
        <w:t>]</w:t>
      </w:r>
      <w:r w:rsidR="00912E7F" w:rsidRPr="00D04D32">
        <w:rPr>
          <w:rFonts w:ascii="Times New Roman" w:hAnsi="Times New Roman"/>
        </w:rPr>
        <w:t>ust and reasonable</w:t>
      </w:r>
      <w:r w:rsidR="0006305B" w:rsidRPr="00D04D32">
        <w:rPr>
          <w:rFonts w:ascii="Times New Roman" w:hAnsi="Times New Roman"/>
        </w:rPr>
        <w:t>"</w:t>
      </w:r>
      <w:r w:rsidR="00912E7F" w:rsidRPr="00D04D32">
        <w:rPr>
          <w:rFonts w:ascii="Times New Roman" w:hAnsi="Times New Roman"/>
        </w:rPr>
        <w:t xml:space="preserve"> are words of wide import. </w:t>
      </w:r>
      <w:r w:rsidR="00B764C9" w:rsidRPr="00D04D32">
        <w:rPr>
          <w:rFonts w:ascii="Times New Roman" w:hAnsi="Times New Roman"/>
        </w:rPr>
        <w:t>There is no basis in the</w:t>
      </w:r>
      <w:r w:rsidR="00636427">
        <w:rPr>
          <w:rFonts w:ascii="Times New Roman" w:hAnsi="Times New Roman"/>
        </w:rPr>
        <w:t> </w:t>
      </w:r>
      <w:r w:rsidR="00B764C9" w:rsidRPr="00D04D32">
        <w:rPr>
          <w:rFonts w:ascii="Times New Roman" w:hAnsi="Times New Roman"/>
        </w:rPr>
        <w:t>purpose or context of s</w:t>
      </w:r>
      <w:r w:rsidR="00C7654B" w:rsidRPr="00D04D32">
        <w:rPr>
          <w:rFonts w:ascii="Times New Roman" w:hAnsi="Times New Roman"/>
        </w:rPr>
        <w:t> </w:t>
      </w:r>
      <w:r w:rsidR="00B764C9" w:rsidRPr="00D04D32">
        <w:rPr>
          <w:rFonts w:ascii="Times New Roman" w:hAnsi="Times New Roman"/>
        </w:rPr>
        <w:t xml:space="preserve">27QE </w:t>
      </w:r>
      <w:r w:rsidR="008639BD" w:rsidRPr="00D04D32">
        <w:rPr>
          <w:rFonts w:ascii="Times New Roman" w:hAnsi="Times New Roman"/>
        </w:rPr>
        <w:t xml:space="preserve">to read the </w:t>
      </w:r>
      <w:r w:rsidR="00912E7F" w:rsidRPr="00D04D32">
        <w:rPr>
          <w:rFonts w:ascii="Times New Roman" w:hAnsi="Times New Roman"/>
        </w:rPr>
        <w:t xml:space="preserve">words </w:t>
      </w:r>
      <w:r w:rsidR="008639BD" w:rsidRPr="00D04D32">
        <w:rPr>
          <w:rFonts w:ascii="Times New Roman" w:hAnsi="Times New Roman"/>
        </w:rPr>
        <w:t>"</w:t>
      </w:r>
      <w:r w:rsidR="00912E7F" w:rsidRPr="00D04D32">
        <w:rPr>
          <w:rFonts w:ascii="Times New Roman" w:hAnsi="Times New Roman"/>
        </w:rPr>
        <w:t>just and reasonable</w:t>
      </w:r>
      <w:r w:rsidR="008639BD" w:rsidRPr="00D04D32">
        <w:rPr>
          <w:rFonts w:ascii="Times New Roman" w:hAnsi="Times New Roman"/>
        </w:rPr>
        <w:t>"</w:t>
      </w:r>
      <w:r w:rsidR="008864F4" w:rsidRPr="00D04D32">
        <w:rPr>
          <w:rFonts w:ascii="Times New Roman" w:hAnsi="Times New Roman"/>
        </w:rPr>
        <w:t xml:space="preserve"> as subject to some limitation not found in the text </w:t>
      </w:r>
      <w:r w:rsidR="007E6C40" w:rsidRPr="00D04D32">
        <w:rPr>
          <w:rFonts w:ascii="Times New Roman" w:hAnsi="Times New Roman"/>
        </w:rPr>
        <w:t xml:space="preserve">of </w:t>
      </w:r>
      <w:r w:rsidR="008864F4" w:rsidRPr="00D04D32">
        <w:rPr>
          <w:rFonts w:ascii="Times New Roman" w:hAnsi="Times New Roman"/>
        </w:rPr>
        <w:t>the provision</w:t>
      </w:r>
      <w:r w:rsidR="00912E7F" w:rsidRPr="00D04D32">
        <w:rPr>
          <w:rFonts w:ascii="Times New Roman" w:hAnsi="Times New Roman"/>
        </w:rPr>
        <w:t>.</w:t>
      </w:r>
      <w:r w:rsidR="00912E7F" w:rsidRPr="00D04D32">
        <w:rPr>
          <w:rStyle w:val="FootnoteReference"/>
          <w:rFonts w:ascii="Times New Roman" w:hAnsi="Times New Roman"/>
          <w:sz w:val="24"/>
        </w:rPr>
        <w:footnoteReference w:id="18"/>
      </w:r>
    </w:p>
    <w:p w14:paraId="0AC58731" w14:textId="77834EFF" w:rsidR="005E6270" w:rsidRPr="00D04D32" w:rsidRDefault="008864F4" w:rsidP="00D04D32">
      <w:pPr>
        <w:pStyle w:val="FixListStyle"/>
        <w:spacing w:after="260" w:line="280" w:lineRule="exact"/>
        <w:ind w:right="0"/>
        <w:jc w:val="both"/>
        <w:rPr>
          <w:rFonts w:ascii="Times New Roman" w:hAnsi="Times New Roman"/>
        </w:rPr>
      </w:pPr>
      <w:r w:rsidRPr="00D04D32">
        <w:rPr>
          <w:rFonts w:ascii="Times New Roman" w:hAnsi="Times New Roman"/>
          <w:b/>
          <w:bCs/>
        </w:rPr>
        <w:tab/>
      </w:r>
      <w:r w:rsidR="00912E7F" w:rsidRPr="00D04D32">
        <w:rPr>
          <w:rFonts w:ascii="Times New Roman" w:hAnsi="Times New Roman"/>
        </w:rPr>
        <w:t>A usefu</w:t>
      </w:r>
      <w:r w:rsidR="00C74FFE" w:rsidRPr="00D04D32">
        <w:rPr>
          <w:rFonts w:ascii="Times New Roman" w:hAnsi="Times New Roman"/>
        </w:rPr>
        <w:t xml:space="preserve">l </w:t>
      </w:r>
      <w:r w:rsidR="00912E7F" w:rsidRPr="00D04D32">
        <w:rPr>
          <w:rFonts w:ascii="Times New Roman" w:hAnsi="Times New Roman"/>
        </w:rPr>
        <w:t>description of the court</w:t>
      </w:r>
      <w:r w:rsidR="00C74FFE" w:rsidRPr="00D04D32">
        <w:rPr>
          <w:rFonts w:ascii="Times New Roman" w:hAnsi="Times New Roman"/>
        </w:rPr>
        <w:t>'</w:t>
      </w:r>
      <w:r w:rsidR="00912E7F" w:rsidRPr="00D04D32">
        <w:rPr>
          <w:rFonts w:ascii="Times New Roman" w:hAnsi="Times New Roman"/>
        </w:rPr>
        <w:t xml:space="preserve">s task in considering whether to set aside a settlement </w:t>
      </w:r>
      <w:r w:rsidR="0084205E" w:rsidRPr="00D04D32">
        <w:rPr>
          <w:rFonts w:ascii="Times New Roman" w:hAnsi="Times New Roman"/>
        </w:rPr>
        <w:t xml:space="preserve">agreement </w:t>
      </w:r>
      <w:r w:rsidR="00912E7F" w:rsidRPr="00D04D32">
        <w:rPr>
          <w:rFonts w:ascii="Times New Roman" w:hAnsi="Times New Roman"/>
        </w:rPr>
        <w:t xml:space="preserve">under s 27QE </w:t>
      </w:r>
      <w:r w:rsidR="00D77015" w:rsidRPr="00D04D32">
        <w:rPr>
          <w:rFonts w:ascii="Times New Roman" w:hAnsi="Times New Roman"/>
        </w:rPr>
        <w:t xml:space="preserve">was provided by </w:t>
      </w:r>
      <w:r w:rsidR="0037613E" w:rsidRPr="00D04D32">
        <w:rPr>
          <w:rFonts w:ascii="Times New Roman" w:hAnsi="Times New Roman"/>
        </w:rPr>
        <w:t>Fraser </w:t>
      </w:r>
      <w:r w:rsidR="00912E7F" w:rsidRPr="00D04D32">
        <w:rPr>
          <w:rFonts w:ascii="Times New Roman" w:hAnsi="Times New Roman"/>
        </w:rPr>
        <w:t xml:space="preserve">JA in </w:t>
      </w:r>
      <w:r w:rsidR="00912E7F" w:rsidRPr="00D04D32">
        <w:rPr>
          <w:rFonts w:ascii="Times New Roman" w:hAnsi="Times New Roman"/>
          <w:i/>
          <w:iCs/>
        </w:rPr>
        <w:t>TRG v Board of Trustees of the Brisbane Grammar School</w:t>
      </w:r>
      <w:r w:rsidR="00FD48E0" w:rsidRPr="00D04D32">
        <w:rPr>
          <w:rFonts w:ascii="Times New Roman" w:hAnsi="Times New Roman"/>
        </w:rPr>
        <w:t>.</w:t>
      </w:r>
      <w:r w:rsidR="00912E7F" w:rsidRPr="00D04D32">
        <w:rPr>
          <w:rStyle w:val="FootnoteReference"/>
          <w:rFonts w:ascii="Times New Roman" w:hAnsi="Times New Roman"/>
          <w:sz w:val="24"/>
        </w:rPr>
        <w:footnoteReference w:id="19"/>
      </w:r>
      <w:r w:rsidR="00912E7F" w:rsidRPr="00D04D32">
        <w:rPr>
          <w:rFonts w:ascii="Times New Roman" w:hAnsi="Times New Roman"/>
          <w:i/>
          <w:iCs/>
        </w:rPr>
        <w:t xml:space="preserve"> </w:t>
      </w:r>
      <w:r w:rsidR="00A722BC" w:rsidRPr="00D04D32">
        <w:rPr>
          <w:rFonts w:ascii="Times New Roman" w:hAnsi="Times New Roman"/>
        </w:rPr>
        <w:t>Although that decision</w:t>
      </w:r>
      <w:r w:rsidR="00912E7F" w:rsidRPr="00D04D32">
        <w:rPr>
          <w:rFonts w:ascii="Times New Roman" w:hAnsi="Times New Roman"/>
        </w:rPr>
        <w:t xml:space="preserve"> concerned a different provision </w:t>
      </w:r>
      <w:r w:rsidR="00A722BC" w:rsidRPr="00D04D32">
        <w:rPr>
          <w:rFonts w:ascii="Times New Roman" w:hAnsi="Times New Roman"/>
        </w:rPr>
        <w:t>–</w:t>
      </w:r>
      <w:r w:rsidR="007434D0" w:rsidRPr="00D04D32">
        <w:rPr>
          <w:rFonts w:ascii="Times New Roman" w:hAnsi="Times New Roman"/>
        </w:rPr>
        <w:t> </w:t>
      </w:r>
      <w:r w:rsidR="00912E7F" w:rsidRPr="00D04D32">
        <w:rPr>
          <w:rFonts w:ascii="Times New Roman" w:hAnsi="Times New Roman"/>
        </w:rPr>
        <w:t xml:space="preserve">namely, s 48(5A) of the </w:t>
      </w:r>
      <w:r w:rsidR="00912E7F" w:rsidRPr="00D04D32">
        <w:rPr>
          <w:rFonts w:ascii="Times New Roman" w:hAnsi="Times New Roman"/>
          <w:i/>
          <w:iCs/>
        </w:rPr>
        <w:t xml:space="preserve">Limitation of Actions Act 1974 </w:t>
      </w:r>
      <w:r w:rsidR="00912E7F" w:rsidRPr="00D04D32">
        <w:rPr>
          <w:rFonts w:ascii="Times New Roman" w:hAnsi="Times New Roman"/>
        </w:rPr>
        <w:t xml:space="preserve">(Qld) </w:t>
      </w:r>
      <w:r w:rsidR="00A722BC" w:rsidRPr="00D04D32">
        <w:rPr>
          <w:rFonts w:ascii="Times New Roman" w:hAnsi="Times New Roman"/>
        </w:rPr>
        <w:t>–</w:t>
      </w:r>
      <w:r w:rsidR="00912E7F" w:rsidRPr="00D04D32" w:rsidDel="00F411AF">
        <w:rPr>
          <w:rFonts w:ascii="Times New Roman" w:hAnsi="Times New Roman"/>
        </w:rPr>
        <w:t xml:space="preserve"> </w:t>
      </w:r>
      <w:r w:rsidR="00F411AF" w:rsidRPr="00D04D32">
        <w:rPr>
          <w:rFonts w:ascii="Times New Roman" w:hAnsi="Times New Roman"/>
        </w:rPr>
        <w:t xml:space="preserve">that provision is </w:t>
      </w:r>
      <w:r w:rsidR="00912E7F" w:rsidRPr="00D04D32">
        <w:rPr>
          <w:rFonts w:ascii="Times New Roman" w:hAnsi="Times New Roman"/>
        </w:rPr>
        <w:t>materially identical to s 27QE.</w:t>
      </w:r>
      <w:r w:rsidR="00D77015" w:rsidRPr="00D04D32">
        <w:rPr>
          <w:rFonts w:ascii="Times New Roman" w:hAnsi="Times New Roman"/>
        </w:rPr>
        <w:t xml:space="preserve"> </w:t>
      </w:r>
      <w:r w:rsidR="008B1C06" w:rsidRPr="00D04D32">
        <w:rPr>
          <w:rFonts w:ascii="Times New Roman" w:hAnsi="Times New Roman"/>
        </w:rPr>
        <w:t>As Fraser JA said</w:t>
      </w:r>
      <w:r w:rsidR="00F60A91" w:rsidRPr="00D04D32">
        <w:rPr>
          <w:rFonts w:ascii="Times New Roman" w:hAnsi="Times New Roman"/>
        </w:rPr>
        <w:t>:</w:t>
      </w:r>
      <w:r w:rsidR="00912E7F" w:rsidRPr="00D04D32">
        <w:rPr>
          <w:rStyle w:val="FootnoteReference"/>
          <w:rFonts w:ascii="Times New Roman" w:hAnsi="Times New Roman"/>
          <w:sz w:val="24"/>
        </w:rPr>
        <w:footnoteReference w:id="20"/>
      </w:r>
      <w:r w:rsidR="00912E7F" w:rsidRPr="00D04D32" w:rsidDel="00537090">
        <w:rPr>
          <w:rFonts w:ascii="Times New Roman" w:hAnsi="Times New Roman"/>
          <w:i/>
        </w:rPr>
        <w:t xml:space="preserve"> </w:t>
      </w:r>
    </w:p>
    <w:p w14:paraId="7159472E" w14:textId="6B79D267" w:rsidR="00D04D32" w:rsidRDefault="0038333F" w:rsidP="00D04D32">
      <w:pPr>
        <w:pStyle w:val="leftright"/>
        <w:spacing w:before="0" w:after="260" w:line="280" w:lineRule="exact"/>
        <w:ind w:right="0"/>
        <w:jc w:val="both"/>
        <w:rPr>
          <w:rFonts w:ascii="Times New Roman" w:hAnsi="Times New Roman"/>
        </w:rPr>
      </w:pPr>
      <w:r w:rsidRPr="00D04D32">
        <w:rPr>
          <w:rFonts w:ascii="Times New Roman" w:hAnsi="Times New Roman"/>
        </w:rPr>
        <w:t>"</w:t>
      </w:r>
      <w:r w:rsidR="003B2CC4" w:rsidRPr="00D04D32">
        <w:rPr>
          <w:rFonts w:ascii="Times New Roman" w:hAnsi="Times New Roman"/>
        </w:rPr>
        <w:t>[t]</w:t>
      </w:r>
      <w:r w:rsidR="00912E7F" w:rsidRPr="00D04D32">
        <w:rPr>
          <w:rFonts w:ascii="Times New Roman" w:hAnsi="Times New Roman"/>
        </w:rPr>
        <w:t xml:space="preserve">he use of the expression </w:t>
      </w:r>
      <w:r w:rsidR="008B1C06" w:rsidRPr="00D04D32">
        <w:rPr>
          <w:rFonts w:ascii="Times New Roman" w:hAnsi="Times New Roman"/>
        </w:rPr>
        <w:t>'</w:t>
      </w:r>
      <w:r w:rsidR="00912E7F" w:rsidRPr="00D04D32">
        <w:rPr>
          <w:rFonts w:ascii="Times New Roman" w:hAnsi="Times New Roman"/>
        </w:rPr>
        <w:t>just and reasonable</w:t>
      </w:r>
      <w:r w:rsidR="008B1C06" w:rsidRPr="00D04D32">
        <w:rPr>
          <w:rFonts w:ascii="Times New Roman" w:hAnsi="Times New Roman"/>
        </w:rPr>
        <w:t>'</w:t>
      </w:r>
      <w:r w:rsidR="00CD7984" w:rsidRPr="00D04D32">
        <w:rPr>
          <w:rFonts w:ascii="Times New Roman" w:hAnsi="Times New Roman"/>
        </w:rPr>
        <w:t xml:space="preserve"> to identify the only ground for such an order</w:t>
      </w:r>
      <w:r w:rsidR="00912E7F" w:rsidRPr="00D04D32">
        <w:rPr>
          <w:rFonts w:ascii="Times New Roman" w:hAnsi="Times New Roman"/>
        </w:rPr>
        <w:t>, the fact that the power is conferred upon courts, and the</w:t>
      </w:r>
      <w:r w:rsidR="00636427">
        <w:rPr>
          <w:rFonts w:ascii="Times New Roman" w:hAnsi="Times New Roman"/>
        </w:rPr>
        <w:t> </w:t>
      </w:r>
      <w:r w:rsidR="00912E7F" w:rsidRPr="00D04D32">
        <w:rPr>
          <w:rFonts w:ascii="Times New Roman" w:hAnsi="Times New Roman"/>
        </w:rPr>
        <w:t>absence of any express identification of the material factors</w:t>
      </w:r>
      <w:r w:rsidR="00AF0C0B" w:rsidRPr="00D04D32">
        <w:rPr>
          <w:rFonts w:ascii="Times New Roman" w:hAnsi="Times New Roman"/>
        </w:rPr>
        <w:t xml:space="preserve"> or the</w:t>
      </w:r>
      <w:r w:rsidR="00636427">
        <w:rPr>
          <w:rFonts w:ascii="Times New Roman" w:hAnsi="Times New Roman"/>
        </w:rPr>
        <w:t> </w:t>
      </w:r>
      <w:r w:rsidR="00AF0C0B" w:rsidRPr="00D04D32">
        <w:rPr>
          <w:rFonts w:ascii="Times New Roman" w:hAnsi="Times New Roman"/>
        </w:rPr>
        <w:t>relative weight or significance to be attributed to any of them</w:t>
      </w:r>
      <w:r w:rsidR="00912E7F" w:rsidRPr="00D04D32">
        <w:rPr>
          <w:rFonts w:ascii="Times New Roman" w:hAnsi="Times New Roman"/>
        </w:rPr>
        <w:t>, compel the conclusion that the legislative purpose encompasses account being taken of the interests of both parties to the settlement</w:t>
      </w:r>
      <w:r w:rsidR="00582275" w:rsidRPr="00D04D32">
        <w:rPr>
          <w:rFonts w:ascii="Times New Roman" w:hAnsi="Times New Roman"/>
        </w:rPr>
        <w:t xml:space="preserve"> in deciding whether it is just and reasonable to set aside the settlement agreement</w:t>
      </w:r>
      <w:r w:rsidR="00912E7F" w:rsidRPr="00D04D32">
        <w:rPr>
          <w:rFonts w:ascii="Times New Roman" w:hAnsi="Times New Roman"/>
        </w:rPr>
        <w:t xml:space="preserve">, the relative significance or weight to be given to the material factors in that exercise </w:t>
      </w:r>
      <w:r w:rsidR="00912E7F" w:rsidRPr="00D04D32">
        <w:rPr>
          <w:rFonts w:ascii="Times New Roman" w:hAnsi="Times New Roman"/>
        </w:rPr>
        <w:lastRenderedPageBreak/>
        <w:t>depending upon a judicial assessment of the particular circumstances of each case</w:t>
      </w:r>
      <w:r w:rsidR="00B95A93" w:rsidRPr="00D04D32">
        <w:rPr>
          <w:rFonts w:ascii="Times New Roman" w:hAnsi="Times New Roman"/>
        </w:rPr>
        <w:t>"</w:t>
      </w:r>
      <w:r w:rsidR="00912E7F" w:rsidRPr="00D04D32">
        <w:rPr>
          <w:rFonts w:ascii="Times New Roman" w:hAnsi="Times New Roman"/>
        </w:rPr>
        <w:t>.</w:t>
      </w:r>
    </w:p>
    <w:p w14:paraId="3DB4152C" w14:textId="405AAADA" w:rsidR="00912E7F" w:rsidRPr="00D04D32" w:rsidRDefault="00AC3361" w:rsidP="00D04D32">
      <w:pPr>
        <w:pStyle w:val="FixListStyle"/>
        <w:spacing w:after="260" w:line="280" w:lineRule="exact"/>
        <w:ind w:right="0"/>
        <w:jc w:val="both"/>
        <w:rPr>
          <w:rFonts w:ascii="Times New Roman" w:hAnsi="Times New Roman"/>
        </w:rPr>
      </w:pPr>
      <w:r w:rsidRPr="00D04D32">
        <w:rPr>
          <w:rFonts w:ascii="Times New Roman" w:hAnsi="Times New Roman"/>
        </w:rPr>
        <w:tab/>
        <w:t xml:space="preserve">That </w:t>
      </w:r>
      <w:r w:rsidR="00912E7F" w:rsidRPr="00D04D32">
        <w:rPr>
          <w:rFonts w:ascii="Times New Roman" w:hAnsi="Times New Roman"/>
        </w:rPr>
        <w:t>construction of s</w:t>
      </w:r>
      <w:r w:rsidRPr="00D04D32">
        <w:rPr>
          <w:rFonts w:ascii="Times New Roman" w:hAnsi="Times New Roman"/>
        </w:rPr>
        <w:t> </w:t>
      </w:r>
      <w:r w:rsidR="00912E7F" w:rsidRPr="00D04D32">
        <w:rPr>
          <w:rFonts w:ascii="Times New Roman" w:hAnsi="Times New Roman"/>
        </w:rPr>
        <w:t xml:space="preserve">27QE is reinforced by the </w:t>
      </w:r>
      <w:r w:rsidRPr="00D04D32">
        <w:rPr>
          <w:rFonts w:ascii="Times New Roman" w:hAnsi="Times New Roman"/>
        </w:rPr>
        <w:t xml:space="preserve">relevant </w:t>
      </w:r>
      <w:r w:rsidR="00912E7F" w:rsidRPr="00D04D32">
        <w:rPr>
          <w:rFonts w:ascii="Times New Roman" w:hAnsi="Times New Roman"/>
        </w:rPr>
        <w:t xml:space="preserve">extrinsic materials. </w:t>
      </w:r>
      <w:r w:rsidR="0002637F" w:rsidRPr="00D04D32">
        <w:rPr>
          <w:rFonts w:ascii="Times New Roman" w:hAnsi="Times New Roman"/>
        </w:rPr>
        <w:t>It may be accepted that</w:t>
      </w:r>
      <w:r w:rsidR="00912E7F" w:rsidRPr="00D04D32">
        <w:rPr>
          <w:rFonts w:ascii="Times New Roman" w:hAnsi="Times New Roman"/>
        </w:rPr>
        <w:t xml:space="preserve"> s</w:t>
      </w:r>
      <w:r w:rsidR="008A7A26" w:rsidRPr="00D04D32">
        <w:rPr>
          <w:rFonts w:ascii="Times New Roman" w:hAnsi="Times New Roman"/>
        </w:rPr>
        <w:t> </w:t>
      </w:r>
      <w:r w:rsidR="00912E7F" w:rsidRPr="00D04D32">
        <w:rPr>
          <w:rFonts w:ascii="Times New Roman" w:hAnsi="Times New Roman"/>
        </w:rPr>
        <w:t>27QE seeks to address the existence of potentially unfair settlement agreements between victims of child abuse and defendant organisations as a result of historic, and unjust, legal barriers</w:t>
      </w:r>
      <w:r w:rsidR="008A7A26" w:rsidRPr="00D04D32">
        <w:rPr>
          <w:rFonts w:ascii="Times New Roman" w:hAnsi="Times New Roman"/>
        </w:rPr>
        <w:t>.</w:t>
      </w:r>
      <w:r w:rsidR="00912E7F" w:rsidRPr="00D04D32">
        <w:rPr>
          <w:rFonts w:ascii="Times New Roman" w:hAnsi="Times New Roman"/>
        </w:rPr>
        <w:t xml:space="preserve"> However, the extrinsic materials reinforce </w:t>
      </w:r>
      <w:r w:rsidR="00C92BEC" w:rsidRPr="00D04D32">
        <w:rPr>
          <w:rFonts w:ascii="Times New Roman" w:hAnsi="Times New Roman"/>
        </w:rPr>
        <w:t xml:space="preserve">that the </w:t>
      </w:r>
      <w:r w:rsidR="00912E7F" w:rsidRPr="00D04D32">
        <w:rPr>
          <w:rFonts w:ascii="Times New Roman" w:hAnsi="Times New Roman"/>
        </w:rPr>
        <w:t xml:space="preserve">breadth of the words </w:t>
      </w:r>
      <w:r w:rsidR="008A7A26" w:rsidRPr="00D04D32">
        <w:rPr>
          <w:rFonts w:ascii="Times New Roman" w:hAnsi="Times New Roman"/>
        </w:rPr>
        <w:t>"</w:t>
      </w:r>
      <w:r w:rsidR="00912E7F" w:rsidRPr="00D04D32">
        <w:rPr>
          <w:rFonts w:ascii="Times New Roman" w:hAnsi="Times New Roman"/>
        </w:rPr>
        <w:t>just and reasonable</w:t>
      </w:r>
      <w:r w:rsidR="008A7A26" w:rsidRPr="00D04D32">
        <w:rPr>
          <w:rFonts w:ascii="Times New Roman" w:hAnsi="Times New Roman"/>
        </w:rPr>
        <w:t>"</w:t>
      </w:r>
      <w:r w:rsidR="00912E7F" w:rsidRPr="00D04D32">
        <w:rPr>
          <w:rFonts w:ascii="Times New Roman" w:hAnsi="Times New Roman"/>
        </w:rPr>
        <w:t xml:space="preserve"> in s</w:t>
      </w:r>
      <w:r w:rsidR="008A7A26" w:rsidRPr="00D04D32">
        <w:rPr>
          <w:rFonts w:ascii="Times New Roman" w:hAnsi="Times New Roman"/>
        </w:rPr>
        <w:t> </w:t>
      </w:r>
      <w:r w:rsidR="00912E7F" w:rsidRPr="00D04D32">
        <w:rPr>
          <w:rFonts w:ascii="Times New Roman" w:hAnsi="Times New Roman"/>
        </w:rPr>
        <w:t>27QE</w:t>
      </w:r>
      <w:r w:rsidR="00180AD8" w:rsidRPr="00D04D32">
        <w:rPr>
          <w:rFonts w:ascii="Times New Roman" w:hAnsi="Times New Roman"/>
        </w:rPr>
        <w:t xml:space="preserve"> </w:t>
      </w:r>
      <w:r w:rsidR="00912E7F" w:rsidRPr="00D04D32">
        <w:rPr>
          <w:rFonts w:ascii="Times New Roman" w:hAnsi="Times New Roman"/>
        </w:rPr>
        <w:t xml:space="preserve">allow a court to set aside settlements in response to a variety of injustices. </w:t>
      </w:r>
      <w:r w:rsidR="00FD05FF" w:rsidRPr="00D04D32">
        <w:rPr>
          <w:rFonts w:ascii="Times New Roman" w:hAnsi="Times New Roman"/>
        </w:rPr>
        <w:t>So, for example, in relation to s 27QE, t</w:t>
      </w:r>
      <w:r w:rsidR="00912E7F" w:rsidRPr="00D04D32">
        <w:rPr>
          <w:rFonts w:ascii="Times New Roman" w:hAnsi="Times New Roman"/>
        </w:rPr>
        <w:t xml:space="preserve">he Explanatory Memorandum to the </w:t>
      </w:r>
      <w:r w:rsidR="00912E7F" w:rsidRPr="00D04D32">
        <w:rPr>
          <w:rFonts w:ascii="Times New Roman" w:hAnsi="Times New Roman"/>
          <w:i/>
          <w:iCs/>
        </w:rPr>
        <w:t>Children Legislation Amendment Bill</w:t>
      </w:r>
      <w:r w:rsidR="0036057E" w:rsidRPr="00D04D32">
        <w:rPr>
          <w:rFonts w:ascii="Times New Roman" w:hAnsi="Times New Roman"/>
          <w:i/>
          <w:iCs/>
        </w:rPr>
        <w:t xml:space="preserve"> 2019 </w:t>
      </w:r>
      <w:r w:rsidR="0036057E" w:rsidRPr="00D04D32">
        <w:rPr>
          <w:rFonts w:ascii="Times New Roman" w:hAnsi="Times New Roman"/>
        </w:rPr>
        <w:t>(Vic)</w:t>
      </w:r>
      <w:r w:rsidR="00912E7F" w:rsidRPr="00D04D32">
        <w:rPr>
          <w:rFonts w:ascii="Times New Roman" w:hAnsi="Times New Roman"/>
          <w:i/>
          <w:iCs/>
        </w:rPr>
        <w:t xml:space="preserve"> </w:t>
      </w:r>
      <w:r w:rsidR="00912E7F" w:rsidRPr="00D04D32">
        <w:rPr>
          <w:rFonts w:ascii="Times New Roman" w:hAnsi="Times New Roman"/>
        </w:rPr>
        <w:t>said:</w:t>
      </w:r>
      <w:r w:rsidR="00FD05FF" w:rsidRPr="00D04D32">
        <w:rPr>
          <w:rStyle w:val="FootnoteReference"/>
          <w:rFonts w:ascii="Times New Roman" w:hAnsi="Times New Roman"/>
          <w:sz w:val="24"/>
        </w:rPr>
        <w:footnoteReference w:id="21"/>
      </w:r>
    </w:p>
    <w:p w14:paraId="5118C86F" w14:textId="29101DFD" w:rsidR="00D04D32" w:rsidRDefault="00FD05FF" w:rsidP="00D04D32">
      <w:pPr>
        <w:pStyle w:val="leftright"/>
        <w:spacing w:before="0" w:after="260" w:line="280" w:lineRule="exact"/>
        <w:ind w:right="0"/>
        <w:jc w:val="both"/>
        <w:rPr>
          <w:rFonts w:ascii="Times New Roman" w:hAnsi="Times New Roman"/>
          <w:b/>
          <w:bCs/>
        </w:rPr>
      </w:pPr>
      <w:r w:rsidRPr="00D04D32">
        <w:rPr>
          <w:rFonts w:ascii="Times New Roman" w:hAnsi="Times New Roman"/>
        </w:rPr>
        <w:t>"</w:t>
      </w:r>
      <w:r w:rsidR="00912E7F" w:rsidRPr="00D04D32">
        <w:rPr>
          <w:rFonts w:ascii="Times New Roman" w:hAnsi="Times New Roman"/>
        </w:rPr>
        <w:t>It is in the court</w:t>
      </w:r>
      <w:r w:rsidRPr="00D04D32">
        <w:rPr>
          <w:rFonts w:ascii="Times New Roman" w:hAnsi="Times New Roman"/>
        </w:rPr>
        <w:t>'</w:t>
      </w:r>
      <w:r w:rsidR="00912E7F" w:rsidRPr="00D04D32">
        <w:rPr>
          <w:rFonts w:ascii="Times New Roman" w:hAnsi="Times New Roman"/>
        </w:rPr>
        <w:t>s discretion to determine what is just and reasonable according to the circumstances of each case, allowing the court to apply broad principles and take account of any relevant factors. This may include, for example, the relative strengths of the parties</w:t>
      </w:r>
      <w:r w:rsidR="00F13B6A" w:rsidRPr="00D04D32">
        <w:rPr>
          <w:rFonts w:ascii="Times New Roman" w:hAnsi="Times New Roman"/>
        </w:rPr>
        <w:t>'</w:t>
      </w:r>
      <w:r w:rsidR="00912E7F" w:rsidRPr="00D04D32">
        <w:rPr>
          <w:rFonts w:ascii="Times New Roman" w:hAnsi="Times New Roman"/>
        </w:rPr>
        <w:t xml:space="preserve"> bargaining positions, the</w:t>
      </w:r>
      <w:r w:rsidR="00940A0A">
        <w:rPr>
          <w:rFonts w:ascii="Times New Roman" w:hAnsi="Times New Roman"/>
        </w:rPr>
        <w:t> </w:t>
      </w:r>
      <w:r w:rsidR="00912E7F" w:rsidRPr="00D04D32">
        <w:rPr>
          <w:rFonts w:ascii="Times New Roman" w:hAnsi="Times New Roman"/>
        </w:rPr>
        <w:t>conduct of the parties and the amount of the settlement.</w:t>
      </w:r>
      <w:r w:rsidRPr="00D04D32">
        <w:rPr>
          <w:rFonts w:ascii="Times New Roman" w:hAnsi="Times New Roman"/>
        </w:rPr>
        <w:t>"</w:t>
      </w:r>
      <w:r w:rsidR="00912E7F" w:rsidRPr="00D04D32">
        <w:rPr>
          <w:rFonts w:ascii="Times New Roman" w:hAnsi="Times New Roman"/>
          <w:b/>
          <w:bCs/>
        </w:rPr>
        <w:t xml:space="preserve"> </w:t>
      </w:r>
    </w:p>
    <w:p w14:paraId="658BD2F3" w14:textId="7F17DA25" w:rsidR="00912E7F" w:rsidRPr="00D04D32" w:rsidRDefault="00EA5992"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F93D7C" w:rsidRPr="00D04D32">
        <w:rPr>
          <w:rFonts w:ascii="Times New Roman" w:hAnsi="Times New Roman"/>
        </w:rPr>
        <w:t xml:space="preserve">Similarly, in </w:t>
      </w:r>
      <w:r w:rsidR="00912E7F" w:rsidRPr="00D04D32">
        <w:rPr>
          <w:rFonts w:ascii="Times New Roman" w:hAnsi="Times New Roman"/>
        </w:rPr>
        <w:t xml:space="preserve">the Second Reading Speech, </w:t>
      </w:r>
      <w:r w:rsidR="00E37DE5" w:rsidRPr="00D04D32">
        <w:rPr>
          <w:rFonts w:ascii="Times New Roman" w:hAnsi="Times New Roman"/>
        </w:rPr>
        <w:t>the Minister</w:t>
      </w:r>
      <w:r w:rsidR="00912E7F" w:rsidRPr="00D04D32">
        <w:rPr>
          <w:rFonts w:ascii="Times New Roman" w:hAnsi="Times New Roman"/>
        </w:rPr>
        <w:t xml:space="preserve"> said:</w:t>
      </w:r>
      <w:r w:rsidR="00F93D7C" w:rsidRPr="00D04D32">
        <w:rPr>
          <w:rStyle w:val="FootnoteReference"/>
          <w:rFonts w:ascii="Times New Roman" w:hAnsi="Times New Roman"/>
          <w:sz w:val="24"/>
        </w:rPr>
        <w:footnoteReference w:id="22"/>
      </w:r>
      <w:r w:rsidR="00F93D7C" w:rsidRPr="00D04D32">
        <w:rPr>
          <w:rFonts w:ascii="Times New Roman" w:hAnsi="Times New Roman"/>
        </w:rPr>
        <w:t xml:space="preserve"> </w:t>
      </w:r>
    </w:p>
    <w:p w14:paraId="4028AF4F" w14:textId="265FA398" w:rsidR="00912E7F" w:rsidRPr="00D04D32" w:rsidRDefault="00181CC0" w:rsidP="00D04D32">
      <w:pPr>
        <w:pStyle w:val="leftright"/>
        <w:spacing w:before="0" w:after="260" w:line="280" w:lineRule="exact"/>
        <w:ind w:right="0"/>
        <w:jc w:val="both"/>
        <w:rPr>
          <w:rFonts w:ascii="Times New Roman" w:hAnsi="Times New Roman"/>
        </w:rPr>
      </w:pPr>
      <w:r w:rsidRPr="00D04D32">
        <w:rPr>
          <w:rFonts w:ascii="Times New Roman" w:hAnsi="Times New Roman"/>
        </w:rPr>
        <w:tab/>
      </w:r>
      <w:r w:rsidR="00F93D7C" w:rsidRPr="00D04D32">
        <w:rPr>
          <w:rFonts w:ascii="Times New Roman" w:hAnsi="Times New Roman"/>
        </w:rPr>
        <w:t>"</w:t>
      </w:r>
      <w:r w:rsidR="00912E7F" w:rsidRPr="00D04D32">
        <w:rPr>
          <w:rFonts w:ascii="Times New Roman" w:hAnsi="Times New Roman"/>
        </w:rPr>
        <w:t>In determining what is just and reasonable a court can take into account a number of considerations, informed by the Royal Commission</w:t>
      </w:r>
      <w:r w:rsidR="00E202B8" w:rsidRPr="00D04D32">
        <w:rPr>
          <w:rFonts w:ascii="Times New Roman" w:hAnsi="Times New Roman"/>
        </w:rPr>
        <w:t>.</w:t>
      </w:r>
      <w:r w:rsidR="00991CC2">
        <w:rPr>
          <w:rFonts w:ascii="Times New Roman" w:hAnsi="Times New Roman"/>
        </w:rPr>
        <w:t> </w:t>
      </w:r>
      <w:r w:rsidR="00912E7F" w:rsidRPr="00D04D32">
        <w:rPr>
          <w:rFonts w:ascii="Times New Roman" w:hAnsi="Times New Roman"/>
        </w:rPr>
        <w:t>… Where survivors faced significant disadvantage in pursuing compensation due to legal barriers such as the statute of limitations, the</w:t>
      </w:r>
      <w:r w:rsidR="00D46CCA">
        <w:rPr>
          <w:rFonts w:ascii="Times New Roman" w:hAnsi="Times New Roman"/>
        </w:rPr>
        <w:t> </w:t>
      </w:r>
      <w:r w:rsidR="00912E7F" w:rsidRPr="00D04D32">
        <w:rPr>
          <w:rFonts w:ascii="Times New Roman" w:hAnsi="Times New Roman"/>
        </w:rPr>
        <w:t>Ellis defence, or the deficiency of the law regarding the duty of care of organisations, settlements entered into should be set aside in the</w:t>
      </w:r>
      <w:r w:rsidR="00676CDE">
        <w:rPr>
          <w:rFonts w:ascii="Times New Roman" w:hAnsi="Times New Roman"/>
        </w:rPr>
        <w:t> </w:t>
      </w:r>
      <w:r w:rsidR="00912E7F" w:rsidRPr="00D04D32">
        <w:rPr>
          <w:rFonts w:ascii="Times New Roman" w:hAnsi="Times New Roman"/>
        </w:rPr>
        <w:t xml:space="preserve">interests of justice, to allow victims to obtain compensation which is deemed adequate by </w:t>
      </w:r>
      <w:r w:rsidR="00D24B07" w:rsidRPr="00D04D32">
        <w:rPr>
          <w:rFonts w:ascii="Times New Roman" w:hAnsi="Times New Roman"/>
        </w:rPr>
        <w:t xml:space="preserve">today's </w:t>
      </w:r>
      <w:r w:rsidR="00912E7F" w:rsidRPr="00D04D32">
        <w:rPr>
          <w:rFonts w:ascii="Times New Roman" w:hAnsi="Times New Roman"/>
        </w:rPr>
        <w:t>standards.</w:t>
      </w:r>
    </w:p>
    <w:p w14:paraId="08C2E2DD" w14:textId="79B10CAC" w:rsidR="006837E3" w:rsidRPr="00D04D32" w:rsidRDefault="006837E3" w:rsidP="00D04D32">
      <w:pPr>
        <w:pStyle w:val="leftright"/>
        <w:spacing w:before="0" w:after="260" w:line="280" w:lineRule="exact"/>
        <w:ind w:right="0"/>
        <w:jc w:val="both"/>
        <w:rPr>
          <w:rFonts w:ascii="Times New Roman" w:hAnsi="Times New Roman"/>
        </w:rPr>
      </w:pPr>
      <w:r w:rsidRPr="00D04D32">
        <w:rPr>
          <w:rFonts w:ascii="Times New Roman" w:hAnsi="Times New Roman"/>
        </w:rPr>
        <w:t>...</w:t>
      </w:r>
    </w:p>
    <w:p w14:paraId="381EF682" w14:textId="7509C5F7" w:rsidR="00D04D32" w:rsidRDefault="00181CC0" w:rsidP="00D04D32">
      <w:pPr>
        <w:pStyle w:val="leftright"/>
        <w:spacing w:before="0" w:after="260" w:line="280" w:lineRule="exact"/>
        <w:ind w:right="0"/>
        <w:jc w:val="both"/>
        <w:rPr>
          <w:rFonts w:ascii="Times New Roman" w:hAnsi="Times New Roman"/>
        </w:rPr>
      </w:pPr>
      <w:r w:rsidRPr="00D04D32">
        <w:rPr>
          <w:rFonts w:ascii="Times New Roman" w:hAnsi="Times New Roman"/>
        </w:rPr>
        <w:tab/>
      </w:r>
      <w:r w:rsidR="00912E7F" w:rsidRPr="00D04D32">
        <w:rPr>
          <w:rFonts w:ascii="Times New Roman" w:hAnsi="Times New Roman"/>
        </w:rPr>
        <w:t>It is not necessary that the existence of the limitation period b</w:t>
      </w:r>
      <w:r w:rsidR="00E709D4" w:rsidRPr="00D04D32">
        <w:rPr>
          <w:rFonts w:ascii="Times New Roman" w:hAnsi="Times New Roman"/>
        </w:rPr>
        <w:t>e</w:t>
      </w:r>
      <w:r w:rsidR="00912E7F" w:rsidRPr="00D04D32">
        <w:rPr>
          <w:rFonts w:ascii="Times New Roman" w:hAnsi="Times New Roman"/>
        </w:rPr>
        <w:t xml:space="preserve"> the</w:t>
      </w:r>
      <w:r w:rsidR="00D46CCA">
        <w:rPr>
          <w:rFonts w:ascii="Times New Roman" w:hAnsi="Times New Roman"/>
        </w:rPr>
        <w:t> </w:t>
      </w:r>
      <w:r w:rsidR="00912E7F" w:rsidRPr="00D04D32">
        <w:rPr>
          <w:rFonts w:ascii="Times New Roman" w:hAnsi="Times New Roman"/>
        </w:rPr>
        <w:t>predominant reason as to why the agreement was entered into. There</w:t>
      </w:r>
      <w:r w:rsidR="00D46CCA">
        <w:rPr>
          <w:rFonts w:ascii="Times New Roman" w:hAnsi="Times New Roman"/>
        </w:rPr>
        <w:t> </w:t>
      </w:r>
      <w:r w:rsidR="00912E7F" w:rsidRPr="00D04D32">
        <w:rPr>
          <w:rFonts w:ascii="Times New Roman" w:hAnsi="Times New Roman"/>
        </w:rPr>
        <w:t>may be a number of reasons that a plaintiff entered into such an</w:t>
      </w:r>
      <w:r w:rsidR="00D46CCA">
        <w:rPr>
          <w:rFonts w:ascii="Times New Roman" w:hAnsi="Times New Roman"/>
        </w:rPr>
        <w:t> </w:t>
      </w:r>
      <w:r w:rsidR="00912E7F" w:rsidRPr="00D04D32">
        <w:rPr>
          <w:rFonts w:ascii="Times New Roman" w:hAnsi="Times New Roman"/>
        </w:rPr>
        <w:t xml:space="preserve">agreement, including but not limited to unequal bargaining power, barriers to identifying a proper defendant, feelings of guilt and shame </w:t>
      </w:r>
      <w:r w:rsidR="00912E7F" w:rsidRPr="00D04D32">
        <w:rPr>
          <w:rFonts w:ascii="Times New Roman" w:hAnsi="Times New Roman"/>
        </w:rPr>
        <w:lastRenderedPageBreak/>
        <w:t>compounded by the burden of giving evidence and being subject to cross</w:t>
      </w:r>
      <w:r w:rsidR="00647F3A">
        <w:rPr>
          <w:rFonts w:ascii="Times New Roman" w:hAnsi="Times New Roman"/>
        </w:rPr>
        <w:noBreakHyphen/>
      </w:r>
      <w:r w:rsidR="00912E7F" w:rsidRPr="00D04D32">
        <w:rPr>
          <w:rFonts w:ascii="Times New Roman" w:hAnsi="Times New Roman"/>
        </w:rPr>
        <w:t>examination, or the behaviour of the relevant institution.</w:t>
      </w:r>
      <w:r w:rsidR="00C35368" w:rsidRPr="00D04D32">
        <w:rPr>
          <w:rFonts w:ascii="Times New Roman" w:hAnsi="Times New Roman"/>
        </w:rPr>
        <w:t>"</w:t>
      </w:r>
    </w:p>
    <w:p w14:paraId="726CA1E2" w14:textId="146AE4CA" w:rsidR="00FE374A" w:rsidRPr="00D04D32" w:rsidRDefault="0023309C"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912E7F" w:rsidRPr="00D04D32">
        <w:rPr>
          <w:rFonts w:ascii="Times New Roman" w:hAnsi="Times New Roman"/>
        </w:rPr>
        <w:t>Consistent with that construction of s 27QE, as Lyons JA observed, the</w:t>
      </w:r>
      <w:r w:rsidR="00647F3A">
        <w:rPr>
          <w:rFonts w:ascii="Times New Roman" w:hAnsi="Times New Roman"/>
        </w:rPr>
        <w:t> </w:t>
      </w:r>
      <w:r w:rsidR="00912E7F" w:rsidRPr="00D04D32">
        <w:rPr>
          <w:rFonts w:ascii="Times New Roman" w:hAnsi="Times New Roman"/>
        </w:rPr>
        <w:t>exercise of the court's power is not fettered such that</w:t>
      </w:r>
      <w:r w:rsidR="00053086" w:rsidRPr="00D04D32">
        <w:rPr>
          <w:rFonts w:ascii="Times New Roman" w:hAnsi="Times New Roman"/>
        </w:rPr>
        <w:t xml:space="preserve"> no order is to be made unless there is a </w:t>
      </w:r>
      <w:r w:rsidR="00912E7F" w:rsidRPr="00D04D32">
        <w:rPr>
          <w:rFonts w:ascii="Times New Roman" w:hAnsi="Times New Roman"/>
        </w:rPr>
        <w:t>finding that either the limitation</w:t>
      </w:r>
      <w:r w:rsidR="00912E7F" w:rsidRPr="00D04D32" w:rsidDel="00994E6F">
        <w:rPr>
          <w:rFonts w:ascii="Times New Roman" w:hAnsi="Times New Roman"/>
        </w:rPr>
        <w:t xml:space="preserve"> </w:t>
      </w:r>
      <w:r w:rsidR="00994E6F" w:rsidRPr="00D04D32">
        <w:rPr>
          <w:rFonts w:ascii="Times New Roman" w:hAnsi="Times New Roman"/>
        </w:rPr>
        <w:t xml:space="preserve">defence </w:t>
      </w:r>
      <w:r w:rsidR="00912E7F" w:rsidRPr="00D04D32">
        <w:rPr>
          <w:rFonts w:ascii="Times New Roman" w:hAnsi="Times New Roman"/>
        </w:rPr>
        <w:t xml:space="preserve">or the </w:t>
      </w:r>
      <w:r w:rsidR="00912E7F" w:rsidRPr="00D04D32">
        <w:rPr>
          <w:rFonts w:ascii="Times New Roman" w:hAnsi="Times New Roman"/>
          <w:i/>
          <w:iCs/>
        </w:rPr>
        <w:t>Ellis</w:t>
      </w:r>
      <w:r w:rsidR="00912E7F" w:rsidRPr="00D04D32">
        <w:rPr>
          <w:rFonts w:ascii="Times New Roman" w:hAnsi="Times New Roman"/>
        </w:rPr>
        <w:t xml:space="preserve"> defence had a "material impact" on the claimant's decision to settle their claim or was a leading fact</w:t>
      </w:r>
      <w:r w:rsidR="00E10FDB" w:rsidRPr="00D04D32">
        <w:rPr>
          <w:rFonts w:ascii="Times New Roman" w:hAnsi="Times New Roman"/>
        </w:rPr>
        <w:t>or</w:t>
      </w:r>
      <w:r w:rsidR="00912E7F" w:rsidRPr="00D04D32">
        <w:rPr>
          <w:rFonts w:ascii="Times New Roman" w:hAnsi="Times New Roman"/>
        </w:rPr>
        <w:t xml:space="preserve"> in the decision</w:t>
      </w:r>
      <w:r w:rsidRPr="00D04D32">
        <w:rPr>
          <w:rFonts w:ascii="Times New Roman" w:hAnsi="Times New Roman"/>
        </w:rPr>
        <w:t>.</w:t>
      </w:r>
      <w:r w:rsidR="00912E7F" w:rsidRPr="00D04D32">
        <w:rPr>
          <w:rFonts w:ascii="Times New Roman" w:hAnsi="Times New Roman"/>
        </w:rPr>
        <w:t xml:space="preserve"> </w:t>
      </w:r>
      <w:r w:rsidR="009762E1" w:rsidRPr="00D04D32">
        <w:rPr>
          <w:rFonts w:ascii="Times New Roman" w:hAnsi="Times New Roman"/>
        </w:rPr>
        <w:t>Given the conclusion reached by Lyons JA</w:t>
      </w:r>
      <w:r w:rsidR="00A326DA" w:rsidRPr="00D04D32">
        <w:rPr>
          <w:rFonts w:ascii="Times New Roman" w:hAnsi="Times New Roman"/>
        </w:rPr>
        <w:t>, and his Honour's understanding of the reasons of Beach and Macaulay JJA</w:t>
      </w:r>
      <w:r w:rsidR="00063B45" w:rsidRPr="00D04D32">
        <w:rPr>
          <w:rFonts w:ascii="Times New Roman" w:hAnsi="Times New Roman"/>
        </w:rPr>
        <w:t xml:space="preserve"> from which Beach and Macaulay JJA did not expressly demur</w:t>
      </w:r>
      <w:r w:rsidR="009762E1" w:rsidRPr="00D04D32">
        <w:rPr>
          <w:rFonts w:ascii="Times New Roman" w:hAnsi="Times New Roman"/>
        </w:rPr>
        <w:t>, t</w:t>
      </w:r>
      <w:r w:rsidR="005A3201" w:rsidRPr="00D04D32">
        <w:rPr>
          <w:rFonts w:ascii="Times New Roman" w:hAnsi="Times New Roman"/>
        </w:rPr>
        <w:t xml:space="preserve">he Trustees' submission that </w:t>
      </w:r>
      <w:r w:rsidR="009762E1" w:rsidRPr="00D04D32">
        <w:rPr>
          <w:rFonts w:ascii="Times New Roman" w:hAnsi="Times New Roman"/>
        </w:rPr>
        <w:t xml:space="preserve">Beach and Macaulay JJA did not treat the limitation defence or the </w:t>
      </w:r>
      <w:r w:rsidR="009762E1" w:rsidRPr="00D04D32">
        <w:rPr>
          <w:rFonts w:ascii="Times New Roman" w:hAnsi="Times New Roman"/>
          <w:i/>
        </w:rPr>
        <w:t>Ellis</w:t>
      </w:r>
      <w:r w:rsidR="009762E1" w:rsidRPr="00D04D32">
        <w:rPr>
          <w:rFonts w:ascii="Times New Roman" w:hAnsi="Times New Roman"/>
        </w:rPr>
        <w:t xml:space="preserve"> defence </w:t>
      </w:r>
      <w:r w:rsidR="00181D81" w:rsidRPr="00D04D32">
        <w:rPr>
          <w:rFonts w:ascii="Times New Roman" w:hAnsi="Times New Roman"/>
        </w:rPr>
        <w:t xml:space="preserve">as necessary </w:t>
      </w:r>
      <w:r w:rsidR="009762E1" w:rsidRPr="00D04D32">
        <w:rPr>
          <w:rFonts w:ascii="Times New Roman" w:hAnsi="Times New Roman"/>
        </w:rPr>
        <w:t xml:space="preserve">prerequisites for the </w:t>
      </w:r>
      <w:r w:rsidR="004A2403" w:rsidRPr="00D04D32">
        <w:rPr>
          <w:rFonts w:ascii="Times New Roman" w:hAnsi="Times New Roman"/>
        </w:rPr>
        <w:t xml:space="preserve">exercise of the power under </w:t>
      </w:r>
      <w:r w:rsidR="009762E1" w:rsidRPr="00D04D32">
        <w:rPr>
          <w:rFonts w:ascii="Times New Roman" w:hAnsi="Times New Roman"/>
        </w:rPr>
        <w:t>s</w:t>
      </w:r>
      <w:r w:rsidR="004A2403" w:rsidRPr="00D04D32">
        <w:rPr>
          <w:rFonts w:ascii="Times New Roman" w:hAnsi="Times New Roman"/>
        </w:rPr>
        <w:t> </w:t>
      </w:r>
      <w:r w:rsidR="009762E1" w:rsidRPr="00D04D32">
        <w:rPr>
          <w:rFonts w:ascii="Times New Roman" w:hAnsi="Times New Roman"/>
        </w:rPr>
        <w:t xml:space="preserve">27QE </w:t>
      </w:r>
      <w:r w:rsidR="004A2403" w:rsidRPr="00D04D32">
        <w:rPr>
          <w:rFonts w:ascii="Times New Roman" w:hAnsi="Times New Roman"/>
        </w:rPr>
        <w:t>but</w:t>
      </w:r>
      <w:r w:rsidR="00E4280E" w:rsidRPr="00D04D32">
        <w:rPr>
          <w:rFonts w:ascii="Times New Roman" w:hAnsi="Times New Roman"/>
        </w:rPr>
        <w:t>,</w:t>
      </w:r>
      <w:r w:rsidR="004A2403" w:rsidRPr="00D04D32">
        <w:rPr>
          <w:rFonts w:ascii="Times New Roman" w:hAnsi="Times New Roman"/>
        </w:rPr>
        <w:t xml:space="preserve"> </w:t>
      </w:r>
      <w:r w:rsidR="009762E1" w:rsidRPr="00D04D32">
        <w:rPr>
          <w:rFonts w:ascii="Times New Roman" w:hAnsi="Times New Roman"/>
        </w:rPr>
        <w:t xml:space="preserve">rather, </w:t>
      </w:r>
      <w:r w:rsidR="009F26E5" w:rsidRPr="00D04D32">
        <w:rPr>
          <w:rFonts w:ascii="Times New Roman" w:hAnsi="Times New Roman"/>
        </w:rPr>
        <w:t xml:space="preserve">that </w:t>
      </w:r>
      <w:r w:rsidR="009762E1" w:rsidRPr="00D04D32">
        <w:rPr>
          <w:rFonts w:ascii="Times New Roman" w:hAnsi="Times New Roman"/>
        </w:rPr>
        <w:t xml:space="preserve">their Honours simply provided guidance as to considerations that were central, but not necessary, to </w:t>
      </w:r>
      <w:r w:rsidR="004A2403" w:rsidRPr="00D04D32">
        <w:rPr>
          <w:rFonts w:ascii="Times New Roman" w:hAnsi="Times New Roman"/>
        </w:rPr>
        <w:t>the exercise of that power</w:t>
      </w:r>
      <w:r w:rsidR="00902DFF" w:rsidRPr="00D04D32">
        <w:rPr>
          <w:rFonts w:ascii="Times New Roman" w:hAnsi="Times New Roman"/>
        </w:rPr>
        <w:t>,</w:t>
      </w:r>
      <w:r w:rsidR="004A2403" w:rsidRPr="00D04D32">
        <w:rPr>
          <w:rFonts w:ascii="Times New Roman" w:hAnsi="Times New Roman"/>
        </w:rPr>
        <w:t xml:space="preserve"> should </w:t>
      </w:r>
      <w:r w:rsidR="00181D81" w:rsidRPr="00D04D32">
        <w:rPr>
          <w:rFonts w:ascii="Times New Roman" w:hAnsi="Times New Roman"/>
        </w:rPr>
        <w:t>not be accepted</w:t>
      </w:r>
      <w:r w:rsidR="004A2403" w:rsidRPr="00D04D32">
        <w:rPr>
          <w:rFonts w:ascii="Times New Roman" w:hAnsi="Times New Roman"/>
        </w:rPr>
        <w:t>.</w:t>
      </w:r>
      <w:r w:rsidR="00E4280E" w:rsidRPr="00D04D32">
        <w:rPr>
          <w:rFonts w:ascii="Times New Roman" w:hAnsi="Times New Roman"/>
        </w:rPr>
        <w:t xml:space="preserve"> </w:t>
      </w:r>
      <w:r w:rsidR="00FE374A" w:rsidRPr="00D04D32">
        <w:rPr>
          <w:rFonts w:ascii="Times New Roman" w:hAnsi="Times New Roman"/>
        </w:rPr>
        <w:t xml:space="preserve">Beach and Macaulay JJA </w:t>
      </w:r>
      <w:r w:rsidR="00A662CD" w:rsidRPr="00D04D32">
        <w:rPr>
          <w:rFonts w:ascii="Times New Roman" w:hAnsi="Times New Roman"/>
        </w:rPr>
        <w:t>repeatedly</w:t>
      </w:r>
      <w:r w:rsidR="004437F3" w:rsidRPr="00D04D32">
        <w:rPr>
          <w:rFonts w:ascii="Times New Roman" w:hAnsi="Times New Roman"/>
        </w:rPr>
        <w:t xml:space="preserve"> made statements to the effect that</w:t>
      </w:r>
      <w:r w:rsidR="00FE374A" w:rsidRPr="00D04D32">
        <w:rPr>
          <w:rFonts w:ascii="Times New Roman" w:hAnsi="Times New Roman"/>
        </w:rPr>
        <w:t>: "[i]f no finding was made that either legal barrier had such an impact, it is doubtful that any cogent ground would exist to conclude it was just and reasonable to set the settlement aside".</w:t>
      </w:r>
      <w:r w:rsidR="00953958" w:rsidRPr="00D04D32">
        <w:rPr>
          <w:rStyle w:val="FootnoteReference"/>
          <w:rFonts w:ascii="Times New Roman" w:hAnsi="Times New Roman"/>
          <w:sz w:val="24"/>
        </w:rPr>
        <w:footnoteReference w:id="23"/>
      </w:r>
      <w:r w:rsidR="00FE374A" w:rsidRPr="00D04D32">
        <w:rPr>
          <w:rFonts w:ascii="Times New Roman" w:hAnsi="Times New Roman"/>
        </w:rPr>
        <w:t xml:space="preserve"> </w:t>
      </w:r>
      <w:r w:rsidR="00782F11" w:rsidRPr="00D04D32">
        <w:rPr>
          <w:rFonts w:ascii="Times New Roman" w:hAnsi="Times New Roman"/>
        </w:rPr>
        <w:t>It is apparent that their Honours incorrectly considered the legal barriers were, if not prerequisites to the exercise of the power under s 27QE, then quasi</w:t>
      </w:r>
      <w:r w:rsidR="00A719ED">
        <w:rPr>
          <w:rFonts w:ascii="Times New Roman" w:hAnsi="Times New Roman"/>
        </w:rPr>
        <w:noBreakHyphen/>
      </w:r>
      <w:r w:rsidR="00782F11" w:rsidRPr="00D04D32">
        <w:rPr>
          <w:rFonts w:ascii="Times New Roman" w:hAnsi="Times New Roman"/>
        </w:rPr>
        <w:t xml:space="preserve">prerequisites, such that it is doubtful that s 27QE could apply absent either the limitation defence or the </w:t>
      </w:r>
      <w:r w:rsidR="00782F11" w:rsidRPr="00D04D32">
        <w:rPr>
          <w:rFonts w:ascii="Times New Roman" w:hAnsi="Times New Roman"/>
          <w:i/>
          <w:iCs/>
        </w:rPr>
        <w:t xml:space="preserve">Ellis </w:t>
      </w:r>
      <w:r w:rsidR="00782F11" w:rsidRPr="00D04D32">
        <w:rPr>
          <w:rFonts w:ascii="Times New Roman" w:hAnsi="Times New Roman"/>
        </w:rPr>
        <w:t>defence.</w:t>
      </w:r>
    </w:p>
    <w:p w14:paraId="3DA68CC9" w14:textId="6C673CB9" w:rsidR="00342F72" w:rsidRPr="00D04D32" w:rsidRDefault="00FE374A"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8C15AA" w:rsidRPr="00D04D32">
        <w:rPr>
          <w:rFonts w:ascii="Times New Roman" w:hAnsi="Times New Roman"/>
        </w:rPr>
        <w:t>That is not to suggest that the previous legal barriers are irrelevant in determining whether it is just and reasonable to set aside a settlement agreement in whole or in part under s 27QE.</w:t>
      </w:r>
      <w:r w:rsidR="001C36BF" w:rsidRPr="00D04D32">
        <w:rPr>
          <w:rFonts w:ascii="Times New Roman" w:hAnsi="Times New Roman"/>
        </w:rPr>
        <w:t xml:space="preserve"> One or both of the legal barriers will ordinarily play some part in determining whether it is just and reasonable to set</w:t>
      </w:r>
      <w:r w:rsidR="00C95E88" w:rsidRPr="00D04D32">
        <w:rPr>
          <w:rFonts w:ascii="Times New Roman" w:hAnsi="Times New Roman"/>
        </w:rPr>
        <w:t xml:space="preserve"> aside a</w:t>
      </w:r>
      <w:r w:rsidR="00A719ED">
        <w:rPr>
          <w:rFonts w:ascii="Times New Roman" w:hAnsi="Times New Roman"/>
        </w:rPr>
        <w:t> </w:t>
      </w:r>
      <w:r w:rsidR="00C95E88" w:rsidRPr="00D04D32">
        <w:rPr>
          <w:rFonts w:ascii="Times New Roman" w:hAnsi="Times New Roman"/>
        </w:rPr>
        <w:t>settlement agreement under s 27QE.</w:t>
      </w:r>
    </w:p>
    <w:p w14:paraId="05C83C04" w14:textId="6FB823A0" w:rsidR="00912E7F" w:rsidRPr="00D04D32" w:rsidRDefault="00342F72"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912E7F" w:rsidRPr="00D04D32">
        <w:rPr>
          <w:rFonts w:ascii="Times New Roman" w:hAnsi="Times New Roman"/>
        </w:rPr>
        <w:t>Ground 1 should be uphel</w:t>
      </w:r>
      <w:r w:rsidR="00766695" w:rsidRPr="00D04D32">
        <w:rPr>
          <w:rFonts w:ascii="Times New Roman" w:hAnsi="Times New Roman"/>
        </w:rPr>
        <w:t>d.</w:t>
      </w:r>
    </w:p>
    <w:p w14:paraId="6DB317A7" w14:textId="1054A355" w:rsidR="00912E7F" w:rsidRPr="00D04D32" w:rsidRDefault="00912E7F" w:rsidP="00D04D32">
      <w:pPr>
        <w:pStyle w:val="HeadingL1"/>
        <w:spacing w:after="260" w:line="280" w:lineRule="exact"/>
        <w:ind w:right="0"/>
        <w:jc w:val="both"/>
        <w:rPr>
          <w:rFonts w:ascii="Times New Roman" w:hAnsi="Times New Roman"/>
        </w:rPr>
      </w:pPr>
      <w:r w:rsidRPr="00D04D32">
        <w:rPr>
          <w:rFonts w:ascii="Times New Roman" w:hAnsi="Times New Roman"/>
        </w:rPr>
        <w:t>Ground 2</w:t>
      </w:r>
      <w:r w:rsidR="0023309C" w:rsidRPr="00D04D32">
        <w:rPr>
          <w:rFonts w:ascii="Times New Roman" w:hAnsi="Times New Roman"/>
        </w:rPr>
        <w:t xml:space="preserve"> </w:t>
      </w:r>
      <w:r w:rsidR="00A77EDB" w:rsidRPr="00D04D32">
        <w:rPr>
          <w:rFonts w:ascii="Times New Roman" w:hAnsi="Times New Roman"/>
        </w:rPr>
        <w:t xml:space="preserve">– </w:t>
      </w:r>
      <w:r w:rsidR="003D1D11" w:rsidRPr="00D04D32">
        <w:rPr>
          <w:rFonts w:ascii="Times New Roman" w:hAnsi="Times New Roman"/>
        </w:rPr>
        <w:t xml:space="preserve">DZY's application </w:t>
      </w:r>
      <w:r w:rsidR="00400255" w:rsidRPr="00D04D32">
        <w:rPr>
          <w:rFonts w:ascii="Times New Roman" w:hAnsi="Times New Roman"/>
        </w:rPr>
        <w:t>to set aside deeds' release of economic loss claim</w:t>
      </w:r>
    </w:p>
    <w:p w14:paraId="46FFDBCF" w14:textId="066EC8EE" w:rsidR="00B242BF" w:rsidRPr="00D04D32" w:rsidRDefault="001462EC"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912E7F" w:rsidRPr="00D04D32">
        <w:rPr>
          <w:rFonts w:ascii="Times New Roman" w:hAnsi="Times New Roman"/>
        </w:rPr>
        <w:t xml:space="preserve">DZY </w:t>
      </w:r>
      <w:r w:rsidRPr="00D04D32">
        <w:rPr>
          <w:rFonts w:ascii="Times New Roman" w:hAnsi="Times New Roman"/>
        </w:rPr>
        <w:t xml:space="preserve">submitted </w:t>
      </w:r>
      <w:r w:rsidR="00912E7F" w:rsidRPr="00D04D32">
        <w:rPr>
          <w:rFonts w:ascii="Times New Roman" w:hAnsi="Times New Roman"/>
        </w:rPr>
        <w:t>th</w:t>
      </w:r>
      <w:r w:rsidR="003F22B8" w:rsidRPr="00D04D32">
        <w:rPr>
          <w:rFonts w:ascii="Times New Roman" w:hAnsi="Times New Roman"/>
        </w:rPr>
        <w:t xml:space="preserve">at </w:t>
      </w:r>
      <w:r w:rsidR="00FC1F5C" w:rsidRPr="00D04D32">
        <w:rPr>
          <w:rFonts w:ascii="Times New Roman" w:hAnsi="Times New Roman"/>
        </w:rPr>
        <w:t>Beach and Macaulay</w:t>
      </w:r>
      <w:r w:rsidR="004D4E3B" w:rsidRPr="00D04D32">
        <w:rPr>
          <w:rFonts w:ascii="Times New Roman" w:hAnsi="Times New Roman"/>
        </w:rPr>
        <w:t> </w:t>
      </w:r>
      <w:r w:rsidR="00FC1F5C" w:rsidRPr="00D04D32">
        <w:rPr>
          <w:rFonts w:ascii="Times New Roman" w:hAnsi="Times New Roman"/>
        </w:rPr>
        <w:t xml:space="preserve">JJA </w:t>
      </w:r>
      <w:r w:rsidR="003B2175" w:rsidRPr="00D04D32">
        <w:rPr>
          <w:rFonts w:ascii="Times New Roman" w:hAnsi="Times New Roman"/>
        </w:rPr>
        <w:t xml:space="preserve">erred in their conclusion </w:t>
      </w:r>
      <w:r w:rsidR="003F22B8" w:rsidRPr="00D04D32">
        <w:rPr>
          <w:rFonts w:ascii="Times New Roman" w:hAnsi="Times New Roman"/>
        </w:rPr>
        <w:t>that</w:t>
      </w:r>
      <w:r w:rsidR="00912E7F" w:rsidRPr="00D04D32">
        <w:rPr>
          <w:rFonts w:ascii="Times New Roman" w:hAnsi="Times New Roman"/>
        </w:rPr>
        <w:t xml:space="preserve"> </w:t>
      </w:r>
      <w:r w:rsidR="003F22B8" w:rsidRPr="00D04D32">
        <w:rPr>
          <w:rFonts w:ascii="Times New Roman" w:hAnsi="Times New Roman"/>
        </w:rPr>
        <w:t xml:space="preserve">there was </w:t>
      </w:r>
      <w:r w:rsidR="00912E7F" w:rsidRPr="00D04D32">
        <w:rPr>
          <w:rFonts w:ascii="Times New Roman" w:hAnsi="Times New Roman"/>
        </w:rPr>
        <w:t>no positive finding by the primary judge that DZY</w:t>
      </w:r>
      <w:r w:rsidR="00C95E88" w:rsidRPr="00D04D32">
        <w:rPr>
          <w:rFonts w:ascii="Times New Roman" w:hAnsi="Times New Roman"/>
        </w:rPr>
        <w:t>'</w:t>
      </w:r>
      <w:r w:rsidR="00912E7F" w:rsidRPr="00D04D32">
        <w:rPr>
          <w:rFonts w:ascii="Times New Roman" w:hAnsi="Times New Roman"/>
        </w:rPr>
        <w:t xml:space="preserve">s decision not to pursue an economic loss claim was materially influenced by the existence and potential impact of the limitation </w:t>
      </w:r>
      <w:r w:rsidR="008555E8" w:rsidRPr="00D04D32">
        <w:rPr>
          <w:rFonts w:ascii="Times New Roman" w:hAnsi="Times New Roman"/>
        </w:rPr>
        <w:t xml:space="preserve">defence </w:t>
      </w:r>
      <w:r w:rsidR="00912E7F" w:rsidRPr="00D04D32">
        <w:rPr>
          <w:rFonts w:ascii="Times New Roman" w:hAnsi="Times New Roman"/>
        </w:rPr>
        <w:t>and</w:t>
      </w:r>
      <w:r w:rsidR="008555E8" w:rsidRPr="00D04D32">
        <w:rPr>
          <w:rFonts w:ascii="Times New Roman" w:hAnsi="Times New Roman"/>
        </w:rPr>
        <w:t xml:space="preserve"> the</w:t>
      </w:r>
      <w:r w:rsidR="00912E7F" w:rsidRPr="00D04D32">
        <w:rPr>
          <w:rFonts w:ascii="Times New Roman" w:hAnsi="Times New Roman"/>
        </w:rPr>
        <w:t xml:space="preserve"> </w:t>
      </w:r>
      <w:r w:rsidR="00912E7F" w:rsidRPr="00D04D32">
        <w:rPr>
          <w:rFonts w:ascii="Times New Roman" w:hAnsi="Times New Roman"/>
          <w:i/>
          <w:iCs/>
        </w:rPr>
        <w:t xml:space="preserve">Ellis </w:t>
      </w:r>
      <w:r w:rsidR="00912E7F" w:rsidRPr="00D04D32">
        <w:rPr>
          <w:rFonts w:ascii="Times New Roman" w:hAnsi="Times New Roman"/>
        </w:rPr>
        <w:t>defence</w:t>
      </w:r>
      <w:r w:rsidR="00CC7624" w:rsidRPr="00D04D32">
        <w:rPr>
          <w:rFonts w:ascii="Times New Roman" w:hAnsi="Times New Roman"/>
        </w:rPr>
        <w:t>. Consequently, DZY argued, Beach and Macaula</w:t>
      </w:r>
      <w:r w:rsidR="00EA5AD7" w:rsidRPr="00D04D32">
        <w:rPr>
          <w:rFonts w:ascii="Times New Roman" w:hAnsi="Times New Roman"/>
        </w:rPr>
        <w:t xml:space="preserve">y JJA erred in concluding that the chief explanation for DZY's decision was </w:t>
      </w:r>
      <w:r w:rsidR="00912E7F" w:rsidRPr="00D04D32">
        <w:rPr>
          <w:rFonts w:ascii="Times New Roman" w:hAnsi="Times New Roman"/>
        </w:rPr>
        <w:t xml:space="preserve">a completely unrelated issue. </w:t>
      </w:r>
    </w:p>
    <w:p w14:paraId="26640BF7" w14:textId="61BFF387" w:rsidR="003B0A06" w:rsidRPr="00D04D32" w:rsidRDefault="00B242BF" w:rsidP="00D04D32">
      <w:pPr>
        <w:pStyle w:val="FixListStyle"/>
        <w:spacing w:after="260" w:line="280" w:lineRule="exact"/>
        <w:ind w:right="0"/>
        <w:jc w:val="both"/>
        <w:rPr>
          <w:rFonts w:ascii="Times New Roman" w:hAnsi="Times New Roman"/>
        </w:rPr>
      </w:pPr>
      <w:r w:rsidRPr="00D04D32">
        <w:rPr>
          <w:rFonts w:ascii="Times New Roman" w:hAnsi="Times New Roman"/>
          <w:b/>
          <w:bCs/>
        </w:rPr>
        <w:lastRenderedPageBreak/>
        <w:tab/>
      </w:r>
      <w:r w:rsidR="00912E7F" w:rsidRPr="00D04D32">
        <w:rPr>
          <w:rFonts w:ascii="Times New Roman" w:hAnsi="Times New Roman"/>
        </w:rPr>
        <w:t xml:space="preserve">In oral submissions, counsel for DZY identified </w:t>
      </w:r>
      <w:r w:rsidR="00C00382" w:rsidRPr="00D04D32">
        <w:rPr>
          <w:rFonts w:ascii="Times New Roman" w:hAnsi="Times New Roman"/>
        </w:rPr>
        <w:t xml:space="preserve">the following </w:t>
      </w:r>
      <w:r w:rsidR="00912E7F" w:rsidRPr="00D04D32">
        <w:rPr>
          <w:rFonts w:ascii="Times New Roman" w:hAnsi="Times New Roman"/>
        </w:rPr>
        <w:t xml:space="preserve">passages from the </w:t>
      </w:r>
      <w:r w:rsidR="00C00382" w:rsidRPr="00D04D32">
        <w:rPr>
          <w:rFonts w:ascii="Times New Roman" w:hAnsi="Times New Roman"/>
        </w:rPr>
        <w:t xml:space="preserve">decision of the </w:t>
      </w:r>
      <w:r w:rsidR="00912E7F" w:rsidRPr="00D04D32">
        <w:rPr>
          <w:rFonts w:ascii="Times New Roman" w:hAnsi="Times New Roman"/>
        </w:rPr>
        <w:t>primary</w:t>
      </w:r>
      <w:r w:rsidR="00C00382" w:rsidRPr="00D04D32">
        <w:rPr>
          <w:rFonts w:ascii="Times New Roman" w:hAnsi="Times New Roman"/>
        </w:rPr>
        <w:t xml:space="preserve"> judge</w:t>
      </w:r>
      <w:r w:rsidR="00912E7F" w:rsidRPr="00D04D32">
        <w:rPr>
          <w:rFonts w:ascii="Times New Roman" w:hAnsi="Times New Roman"/>
        </w:rPr>
        <w:t xml:space="preserve">: </w:t>
      </w:r>
      <w:r w:rsidR="00C00382" w:rsidRPr="00D04D32">
        <w:rPr>
          <w:rFonts w:ascii="Times New Roman" w:hAnsi="Times New Roman"/>
        </w:rPr>
        <w:t xml:space="preserve">(1) </w:t>
      </w:r>
      <w:r w:rsidR="00912E7F" w:rsidRPr="00D04D32">
        <w:rPr>
          <w:rFonts w:ascii="Times New Roman" w:hAnsi="Times New Roman"/>
        </w:rPr>
        <w:t xml:space="preserve">the statement that </w:t>
      </w:r>
      <w:r w:rsidR="00C00382" w:rsidRPr="00D04D32">
        <w:rPr>
          <w:rFonts w:ascii="Times New Roman" w:hAnsi="Times New Roman"/>
        </w:rPr>
        <w:t>"</w:t>
      </w:r>
      <w:r w:rsidR="00912E7F" w:rsidRPr="00D04D32">
        <w:rPr>
          <w:rFonts w:ascii="Times New Roman" w:hAnsi="Times New Roman"/>
        </w:rPr>
        <w:t xml:space="preserve">[g]iven this confluence of circumstances it is not possible to isolate </w:t>
      </w:r>
      <w:r w:rsidR="00C00382" w:rsidRPr="00D04D32">
        <w:rPr>
          <w:rFonts w:ascii="Times New Roman" w:hAnsi="Times New Roman"/>
        </w:rPr>
        <w:t>[DZY's]</w:t>
      </w:r>
      <w:r w:rsidR="00912E7F" w:rsidRPr="00D04D32">
        <w:rPr>
          <w:rFonts w:ascii="Times New Roman" w:hAnsi="Times New Roman"/>
        </w:rPr>
        <w:t xml:space="preserve"> motivation for instructing his solicitor not to pursue his economic loss case solely to the</w:t>
      </w:r>
      <w:r w:rsidR="00DC1C05">
        <w:rPr>
          <w:rFonts w:ascii="Times New Roman" w:hAnsi="Times New Roman"/>
        </w:rPr>
        <w:t> </w:t>
      </w:r>
      <w:r w:rsidR="00912E7F" w:rsidRPr="00D04D32">
        <w:rPr>
          <w:rFonts w:ascii="Times New Roman" w:hAnsi="Times New Roman"/>
        </w:rPr>
        <w:t>possibility of a Centrelink repayment</w:t>
      </w:r>
      <w:r w:rsidR="00C00382" w:rsidRPr="00D04D32">
        <w:rPr>
          <w:rFonts w:ascii="Times New Roman" w:hAnsi="Times New Roman"/>
        </w:rPr>
        <w:t>"</w:t>
      </w:r>
      <w:r w:rsidR="00912E7F" w:rsidRPr="00D04D32">
        <w:rPr>
          <w:rFonts w:ascii="Times New Roman" w:hAnsi="Times New Roman"/>
        </w:rPr>
        <w:t xml:space="preserve">; and </w:t>
      </w:r>
      <w:r w:rsidR="00C00382" w:rsidRPr="00D04D32">
        <w:rPr>
          <w:rFonts w:ascii="Times New Roman" w:hAnsi="Times New Roman"/>
        </w:rPr>
        <w:t>(2) the</w:t>
      </w:r>
      <w:r w:rsidR="00912E7F" w:rsidRPr="00D04D32">
        <w:rPr>
          <w:rFonts w:ascii="Times New Roman" w:hAnsi="Times New Roman"/>
        </w:rPr>
        <w:t xml:space="preserve"> statement that </w:t>
      </w:r>
      <w:r w:rsidR="00C00382" w:rsidRPr="00D04D32">
        <w:rPr>
          <w:rFonts w:ascii="Times New Roman" w:hAnsi="Times New Roman"/>
        </w:rPr>
        <w:t>"</w:t>
      </w:r>
      <w:r w:rsidR="00912E7F" w:rsidRPr="00D04D32">
        <w:rPr>
          <w:rFonts w:ascii="Times New Roman" w:hAnsi="Times New Roman"/>
        </w:rPr>
        <w:t xml:space="preserve">it is not possible to find that the limitations and the Ellis defence issues had no material influence on </w:t>
      </w:r>
      <w:r w:rsidR="003B0A06" w:rsidRPr="00D04D32">
        <w:rPr>
          <w:rFonts w:ascii="Times New Roman" w:hAnsi="Times New Roman"/>
        </w:rPr>
        <w:t>[DZY's]</w:t>
      </w:r>
      <w:r w:rsidR="00912E7F" w:rsidRPr="00D04D32">
        <w:rPr>
          <w:rFonts w:ascii="Times New Roman" w:hAnsi="Times New Roman"/>
        </w:rPr>
        <w:t xml:space="preserve"> decision not to pursue his economic loss claim</w:t>
      </w:r>
      <w:r w:rsidR="003B0A06" w:rsidRPr="00D04D32">
        <w:rPr>
          <w:rFonts w:ascii="Times New Roman" w:hAnsi="Times New Roman"/>
        </w:rPr>
        <w:t>"</w:t>
      </w:r>
      <w:r w:rsidR="00912E7F" w:rsidRPr="00D04D32">
        <w:rPr>
          <w:rFonts w:ascii="Times New Roman" w:hAnsi="Times New Roman"/>
        </w:rPr>
        <w:t>.</w:t>
      </w:r>
      <w:r w:rsidR="00912E7F" w:rsidRPr="00D04D32">
        <w:rPr>
          <w:rFonts w:ascii="Times New Roman" w:hAnsi="Times New Roman"/>
          <w:b/>
          <w:bCs/>
        </w:rPr>
        <w:t xml:space="preserve"> </w:t>
      </w:r>
    </w:p>
    <w:p w14:paraId="1DEBFCCD" w14:textId="23CEAD30" w:rsidR="00B71C1F" w:rsidRPr="00D04D32" w:rsidRDefault="003B0A06" w:rsidP="00D04D32">
      <w:pPr>
        <w:pStyle w:val="FixListStyle"/>
        <w:spacing w:after="260" w:line="280" w:lineRule="exact"/>
        <w:ind w:right="0"/>
        <w:jc w:val="both"/>
        <w:rPr>
          <w:rFonts w:ascii="Times New Roman" w:hAnsi="Times New Roman"/>
        </w:rPr>
      </w:pPr>
      <w:r w:rsidRPr="00D04D32">
        <w:rPr>
          <w:rFonts w:ascii="Times New Roman" w:hAnsi="Times New Roman"/>
          <w:b/>
          <w:bCs/>
        </w:rPr>
        <w:tab/>
      </w:r>
      <w:r w:rsidR="00912E7F" w:rsidRPr="00D04D32">
        <w:rPr>
          <w:rFonts w:ascii="Times New Roman" w:hAnsi="Times New Roman"/>
        </w:rPr>
        <w:t xml:space="preserve">Neither of those passages is inconsistent with the statement that there was no </w:t>
      </w:r>
      <w:r w:rsidRPr="00D04D32">
        <w:rPr>
          <w:rFonts w:ascii="Times New Roman" w:hAnsi="Times New Roman"/>
        </w:rPr>
        <w:t>"</w:t>
      </w:r>
      <w:r w:rsidR="00912E7F" w:rsidRPr="00D04D32">
        <w:rPr>
          <w:rFonts w:ascii="Times New Roman" w:hAnsi="Times New Roman"/>
        </w:rPr>
        <w:t>positive finding</w:t>
      </w:r>
      <w:r w:rsidRPr="00D04D32">
        <w:rPr>
          <w:rFonts w:ascii="Times New Roman" w:hAnsi="Times New Roman"/>
        </w:rPr>
        <w:t>"</w:t>
      </w:r>
      <w:r w:rsidR="00912E7F" w:rsidRPr="00D04D32">
        <w:rPr>
          <w:rFonts w:ascii="Times New Roman" w:hAnsi="Times New Roman"/>
        </w:rPr>
        <w:t xml:space="preserve"> that DZY</w:t>
      </w:r>
      <w:r w:rsidR="00B71C1F" w:rsidRPr="00D04D32">
        <w:rPr>
          <w:rFonts w:ascii="Times New Roman" w:hAnsi="Times New Roman"/>
        </w:rPr>
        <w:t>'</w:t>
      </w:r>
      <w:r w:rsidR="00912E7F" w:rsidRPr="00D04D32">
        <w:rPr>
          <w:rFonts w:ascii="Times New Roman" w:hAnsi="Times New Roman"/>
        </w:rPr>
        <w:t xml:space="preserve">s decision was </w:t>
      </w:r>
      <w:r w:rsidRPr="00D04D32">
        <w:rPr>
          <w:rFonts w:ascii="Times New Roman" w:hAnsi="Times New Roman"/>
        </w:rPr>
        <w:t>"</w:t>
      </w:r>
      <w:r w:rsidR="00912E7F" w:rsidRPr="00D04D32">
        <w:rPr>
          <w:rFonts w:ascii="Times New Roman" w:hAnsi="Times New Roman"/>
        </w:rPr>
        <w:t>materially influenced</w:t>
      </w:r>
      <w:r w:rsidRPr="00D04D32">
        <w:rPr>
          <w:rFonts w:ascii="Times New Roman" w:hAnsi="Times New Roman"/>
        </w:rPr>
        <w:t>"</w:t>
      </w:r>
      <w:r w:rsidR="00912E7F" w:rsidRPr="00D04D32">
        <w:rPr>
          <w:rFonts w:ascii="Times New Roman" w:hAnsi="Times New Roman"/>
        </w:rPr>
        <w:t xml:space="preserve"> by the</w:t>
      </w:r>
      <w:r w:rsidR="00DC1C05">
        <w:rPr>
          <w:rFonts w:ascii="Times New Roman" w:hAnsi="Times New Roman"/>
        </w:rPr>
        <w:t> </w:t>
      </w:r>
      <w:r w:rsidR="00912E7F" w:rsidRPr="00D04D32">
        <w:rPr>
          <w:rFonts w:ascii="Times New Roman" w:hAnsi="Times New Roman"/>
        </w:rPr>
        <w:t xml:space="preserve">limitation defence and the </w:t>
      </w:r>
      <w:r w:rsidR="00912E7F" w:rsidRPr="00D04D32">
        <w:rPr>
          <w:rFonts w:ascii="Times New Roman" w:hAnsi="Times New Roman"/>
          <w:i/>
          <w:iCs/>
        </w:rPr>
        <w:t xml:space="preserve">Ellis </w:t>
      </w:r>
      <w:r w:rsidR="00912E7F" w:rsidRPr="00D04D32">
        <w:rPr>
          <w:rFonts w:ascii="Times New Roman" w:hAnsi="Times New Roman"/>
        </w:rPr>
        <w:t>defence. The primary judge</w:t>
      </w:r>
      <w:r w:rsidR="00B71C1F" w:rsidRPr="00D04D32">
        <w:rPr>
          <w:rFonts w:ascii="Times New Roman" w:hAnsi="Times New Roman"/>
        </w:rPr>
        <w:t>'</w:t>
      </w:r>
      <w:r w:rsidR="00912E7F" w:rsidRPr="00D04D32">
        <w:rPr>
          <w:rFonts w:ascii="Times New Roman" w:hAnsi="Times New Roman"/>
        </w:rPr>
        <w:t xml:space="preserve">s finding was, in effect, that it was not possible to exclude the limitation defence and the </w:t>
      </w:r>
      <w:r w:rsidR="00912E7F" w:rsidRPr="00D04D32">
        <w:rPr>
          <w:rFonts w:ascii="Times New Roman" w:hAnsi="Times New Roman"/>
          <w:i/>
          <w:iCs/>
        </w:rPr>
        <w:t xml:space="preserve">Ellis </w:t>
      </w:r>
      <w:r w:rsidR="00912E7F" w:rsidRPr="00D04D32">
        <w:rPr>
          <w:rFonts w:ascii="Times New Roman" w:hAnsi="Times New Roman"/>
        </w:rPr>
        <w:t xml:space="preserve">defence as material factors. However, that is not the same as a finding that they </w:t>
      </w:r>
      <w:r w:rsidR="00912E7F" w:rsidRPr="00D04D32">
        <w:rPr>
          <w:rFonts w:ascii="Times New Roman" w:hAnsi="Times New Roman"/>
          <w:i/>
          <w:iCs/>
        </w:rPr>
        <w:t xml:space="preserve">were </w:t>
      </w:r>
      <w:r w:rsidR="00912E7F" w:rsidRPr="00D04D32">
        <w:rPr>
          <w:rFonts w:ascii="Times New Roman" w:hAnsi="Times New Roman"/>
        </w:rPr>
        <w:t xml:space="preserve">material factors. </w:t>
      </w:r>
    </w:p>
    <w:p w14:paraId="4E3DDF5D" w14:textId="2D6E3298" w:rsidR="004D08A1" w:rsidRPr="00D04D32" w:rsidRDefault="00B71C1F"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BB5275" w:rsidRPr="00D04D32">
        <w:rPr>
          <w:rFonts w:ascii="Times New Roman" w:hAnsi="Times New Roman"/>
        </w:rPr>
        <w:t xml:space="preserve">The </w:t>
      </w:r>
      <w:r w:rsidR="00912E7F" w:rsidRPr="00D04D32">
        <w:rPr>
          <w:rFonts w:ascii="Times New Roman" w:hAnsi="Times New Roman"/>
        </w:rPr>
        <w:t xml:space="preserve">evaluative judgment undertaken by </w:t>
      </w:r>
      <w:r w:rsidR="002D71B9" w:rsidRPr="00D04D32">
        <w:rPr>
          <w:rFonts w:ascii="Times New Roman" w:hAnsi="Times New Roman"/>
        </w:rPr>
        <w:t xml:space="preserve">the Court of Appeal </w:t>
      </w:r>
      <w:r w:rsidR="00912E7F" w:rsidRPr="00D04D32">
        <w:rPr>
          <w:rFonts w:ascii="Times New Roman" w:hAnsi="Times New Roman"/>
        </w:rPr>
        <w:t xml:space="preserve">identified, correctly, that the evidence did not allow the </w:t>
      </w:r>
      <w:r w:rsidR="00435855" w:rsidRPr="00D04D32">
        <w:rPr>
          <w:rFonts w:ascii="Times New Roman" w:hAnsi="Times New Roman"/>
        </w:rPr>
        <w:t>C</w:t>
      </w:r>
      <w:r w:rsidR="004C330A" w:rsidRPr="00D04D32">
        <w:rPr>
          <w:rFonts w:ascii="Times New Roman" w:hAnsi="Times New Roman"/>
        </w:rPr>
        <w:t xml:space="preserve">ourt </w:t>
      </w:r>
      <w:r w:rsidR="00912E7F" w:rsidRPr="00D04D32">
        <w:rPr>
          <w:rFonts w:ascii="Times New Roman" w:hAnsi="Times New Roman"/>
        </w:rPr>
        <w:t xml:space="preserve">to be satisfied it was just and reasonable to set aside either deed insofar as </w:t>
      </w:r>
      <w:r w:rsidR="009E1D9C" w:rsidRPr="00D04D32">
        <w:rPr>
          <w:rFonts w:ascii="Times New Roman" w:hAnsi="Times New Roman"/>
        </w:rPr>
        <w:t xml:space="preserve">it </w:t>
      </w:r>
      <w:r w:rsidR="00912E7F" w:rsidRPr="00D04D32">
        <w:rPr>
          <w:rFonts w:ascii="Times New Roman" w:hAnsi="Times New Roman"/>
        </w:rPr>
        <w:t>released the Trustees from an</w:t>
      </w:r>
      <w:r w:rsidR="00DC1C05">
        <w:rPr>
          <w:rFonts w:ascii="Times New Roman" w:hAnsi="Times New Roman"/>
        </w:rPr>
        <w:t> </w:t>
      </w:r>
      <w:r w:rsidR="00912E7F" w:rsidRPr="00D04D32">
        <w:rPr>
          <w:rFonts w:ascii="Times New Roman" w:hAnsi="Times New Roman"/>
        </w:rPr>
        <w:t>economic loss claim</w:t>
      </w:r>
      <w:r w:rsidR="000D6ACE" w:rsidRPr="00D04D32">
        <w:rPr>
          <w:rFonts w:ascii="Times New Roman" w:hAnsi="Times New Roman"/>
        </w:rPr>
        <w:t>.</w:t>
      </w:r>
      <w:r w:rsidR="004D08A1" w:rsidRPr="00D04D32">
        <w:rPr>
          <w:rFonts w:ascii="Times New Roman" w:hAnsi="Times New Roman"/>
        </w:rPr>
        <w:t xml:space="preserve"> There was no dispute about the relevant factual circumstances and the following circumstances were identified by both parties during the course of argument.</w:t>
      </w:r>
    </w:p>
    <w:p w14:paraId="175D615B" w14:textId="10708883" w:rsidR="008B7723" w:rsidRPr="00D04D32" w:rsidRDefault="004D08A1" w:rsidP="00D04D32">
      <w:pPr>
        <w:pStyle w:val="FixListStyle"/>
        <w:spacing w:after="260" w:line="280" w:lineRule="exact"/>
        <w:ind w:right="0"/>
        <w:jc w:val="both"/>
        <w:rPr>
          <w:rFonts w:ascii="Times New Roman" w:hAnsi="Times New Roman"/>
        </w:rPr>
      </w:pPr>
      <w:r w:rsidRPr="00D04D32">
        <w:rPr>
          <w:rFonts w:ascii="Times New Roman" w:hAnsi="Times New Roman"/>
        </w:rPr>
        <w:tab/>
      </w:r>
      <w:r w:rsidR="000D6ACE" w:rsidRPr="00D04D32">
        <w:rPr>
          <w:rFonts w:ascii="Times New Roman" w:hAnsi="Times New Roman"/>
        </w:rPr>
        <w:t>First, t</w:t>
      </w:r>
      <w:r w:rsidR="00912E7F" w:rsidRPr="00D04D32">
        <w:rPr>
          <w:rFonts w:ascii="Times New Roman" w:hAnsi="Times New Roman"/>
        </w:rPr>
        <w:t>here was no direct evidence from DZY that</w:t>
      </w:r>
      <w:r w:rsidR="00B12FC4" w:rsidRPr="00D04D32">
        <w:rPr>
          <w:rFonts w:ascii="Times New Roman" w:hAnsi="Times New Roman"/>
        </w:rPr>
        <w:t>,</w:t>
      </w:r>
      <w:r w:rsidR="00912E7F" w:rsidRPr="00D04D32">
        <w:rPr>
          <w:rFonts w:ascii="Times New Roman" w:hAnsi="Times New Roman"/>
        </w:rPr>
        <w:t xml:space="preserve"> </w:t>
      </w:r>
      <w:r w:rsidR="006A4CDD" w:rsidRPr="00D04D32">
        <w:rPr>
          <w:rFonts w:ascii="Times New Roman" w:hAnsi="Times New Roman"/>
        </w:rPr>
        <w:t xml:space="preserve">at the time he signed each of the deeds, </w:t>
      </w:r>
      <w:r w:rsidR="00912E7F" w:rsidRPr="00D04D32">
        <w:rPr>
          <w:rFonts w:ascii="Times New Roman" w:hAnsi="Times New Roman"/>
        </w:rPr>
        <w:t>he decided to renounce his economic loss claim due to the</w:t>
      </w:r>
      <w:r w:rsidR="00DC1C05">
        <w:rPr>
          <w:rFonts w:ascii="Times New Roman" w:hAnsi="Times New Roman"/>
        </w:rPr>
        <w:t> </w:t>
      </w:r>
      <w:r w:rsidR="00912E7F" w:rsidRPr="00D04D32">
        <w:rPr>
          <w:rFonts w:ascii="Times New Roman" w:hAnsi="Times New Roman"/>
        </w:rPr>
        <w:t xml:space="preserve">limitation defence or the </w:t>
      </w:r>
      <w:r w:rsidR="00912E7F" w:rsidRPr="00D04D32">
        <w:rPr>
          <w:rFonts w:ascii="Times New Roman" w:hAnsi="Times New Roman"/>
          <w:i/>
          <w:iCs/>
        </w:rPr>
        <w:t xml:space="preserve">Ellis </w:t>
      </w:r>
      <w:r w:rsidR="00912E7F" w:rsidRPr="00D04D32">
        <w:rPr>
          <w:rFonts w:ascii="Times New Roman" w:hAnsi="Times New Roman"/>
        </w:rPr>
        <w:t xml:space="preserve">defence. Rather, the evidence </w:t>
      </w:r>
      <w:r w:rsidR="008A160E" w:rsidRPr="00D04D32">
        <w:rPr>
          <w:rFonts w:ascii="Times New Roman" w:hAnsi="Times New Roman"/>
        </w:rPr>
        <w:t xml:space="preserve">suggested </w:t>
      </w:r>
      <w:r w:rsidR="00912E7F" w:rsidRPr="00D04D32">
        <w:rPr>
          <w:rFonts w:ascii="Times New Roman" w:hAnsi="Times New Roman"/>
        </w:rPr>
        <w:t xml:space="preserve">that he chose to renounce his economic loss claim </w:t>
      </w:r>
      <w:r w:rsidR="00FD184D" w:rsidRPr="00D04D32">
        <w:rPr>
          <w:rFonts w:ascii="Times New Roman" w:hAnsi="Times New Roman"/>
        </w:rPr>
        <w:t xml:space="preserve">because of </w:t>
      </w:r>
      <w:r w:rsidR="00912E7F" w:rsidRPr="00D04D32">
        <w:rPr>
          <w:rFonts w:ascii="Times New Roman" w:hAnsi="Times New Roman"/>
        </w:rPr>
        <w:t xml:space="preserve">concerns about a potential </w:t>
      </w:r>
      <w:r w:rsidR="00FD184D" w:rsidRPr="00D04D32">
        <w:rPr>
          <w:rFonts w:ascii="Times New Roman" w:hAnsi="Times New Roman"/>
        </w:rPr>
        <w:t>"</w:t>
      </w:r>
      <w:r w:rsidR="00912E7F" w:rsidRPr="00D04D32">
        <w:rPr>
          <w:rFonts w:ascii="Times New Roman" w:hAnsi="Times New Roman"/>
        </w:rPr>
        <w:t>clawback</w:t>
      </w:r>
      <w:r w:rsidR="00FD184D" w:rsidRPr="00D04D32">
        <w:rPr>
          <w:rFonts w:ascii="Times New Roman" w:hAnsi="Times New Roman"/>
        </w:rPr>
        <w:t>"</w:t>
      </w:r>
      <w:r w:rsidR="00912E7F" w:rsidRPr="00D04D32">
        <w:rPr>
          <w:rFonts w:ascii="Times New Roman" w:hAnsi="Times New Roman"/>
        </w:rPr>
        <w:t xml:space="preserve"> of Centrelink benefits.</w:t>
      </w:r>
    </w:p>
    <w:p w14:paraId="0986C5BB" w14:textId="32C0D6E6" w:rsidR="00C154C3" w:rsidRPr="00D04D32" w:rsidRDefault="003F18CF" w:rsidP="00D04D32">
      <w:pPr>
        <w:pStyle w:val="FixListStyle"/>
        <w:spacing w:after="260" w:line="280" w:lineRule="exact"/>
        <w:ind w:right="0"/>
        <w:jc w:val="both"/>
        <w:rPr>
          <w:rFonts w:ascii="Times New Roman" w:hAnsi="Times New Roman"/>
        </w:rPr>
      </w:pPr>
      <w:r w:rsidRPr="00D04D32">
        <w:rPr>
          <w:rFonts w:ascii="Times New Roman" w:hAnsi="Times New Roman"/>
        </w:rPr>
        <w:tab/>
        <w:t>Second, a</w:t>
      </w:r>
      <w:r w:rsidR="00912E7F" w:rsidRPr="00D04D32">
        <w:rPr>
          <w:rFonts w:ascii="Times New Roman" w:hAnsi="Times New Roman"/>
        </w:rPr>
        <w:t>lthough DZY was affected by alcohol consumption and anxiety</w:t>
      </w:r>
      <w:r w:rsidR="005A35B2" w:rsidRPr="00D04D32">
        <w:rPr>
          <w:rFonts w:ascii="Times New Roman" w:hAnsi="Times New Roman"/>
        </w:rPr>
        <w:t xml:space="preserve"> at relevant times in 2012 and 2015</w:t>
      </w:r>
      <w:r w:rsidR="005D4659" w:rsidRPr="00D04D32">
        <w:rPr>
          <w:rFonts w:ascii="Times New Roman" w:hAnsi="Times New Roman"/>
        </w:rPr>
        <w:t>:</w:t>
      </w:r>
      <w:r w:rsidR="00912E7F" w:rsidRPr="00D04D32">
        <w:rPr>
          <w:rFonts w:ascii="Times New Roman" w:hAnsi="Times New Roman"/>
        </w:rPr>
        <w:t xml:space="preserve"> DZY was legally represented and </w:t>
      </w:r>
      <w:r w:rsidR="00EC41D7" w:rsidRPr="00D04D32">
        <w:rPr>
          <w:rFonts w:ascii="Times New Roman" w:hAnsi="Times New Roman"/>
        </w:rPr>
        <w:t xml:space="preserve">he </w:t>
      </w:r>
      <w:r w:rsidR="00912E7F" w:rsidRPr="00D04D32">
        <w:rPr>
          <w:rFonts w:ascii="Times New Roman" w:hAnsi="Times New Roman"/>
        </w:rPr>
        <w:t xml:space="preserve">was provided legal advice in relation to both deeds; he was not rushed into signing either deed, but rather had </w:t>
      </w:r>
      <w:r w:rsidR="007D7F71" w:rsidRPr="00D04D32">
        <w:rPr>
          <w:rFonts w:ascii="Times New Roman" w:hAnsi="Times New Roman"/>
        </w:rPr>
        <w:t>several</w:t>
      </w:r>
      <w:r w:rsidR="00912E7F" w:rsidRPr="00D04D32">
        <w:rPr>
          <w:rFonts w:ascii="Times New Roman" w:hAnsi="Times New Roman"/>
        </w:rPr>
        <w:t xml:space="preserve"> weeks to think about them before signing; DZY</w:t>
      </w:r>
      <w:r w:rsidR="00EC41D7" w:rsidRPr="00D04D32">
        <w:rPr>
          <w:rFonts w:ascii="Times New Roman" w:hAnsi="Times New Roman"/>
        </w:rPr>
        <w:t>'</w:t>
      </w:r>
      <w:r w:rsidR="00912E7F" w:rsidRPr="00D04D32">
        <w:rPr>
          <w:rFonts w:ascii="Times New Roman" w:hAnsi="Times New Roman"/>
        </w:rPr>
        <w:t>s legal representatives certified that DZY appeared to understand the purport and effect of each deed; and DZY</w:t>
      </w:r>
      <w:r w:rsidR="00EC41D7" w:rsidRPr="00D04D32">
        <w:rPr>
          <w:rFonts w:ascii="Times New Roman" w:hAnsi="Times New Roman"/>
        </w:rPr>
        <w:t>'</w:t>
      </w:r>
      <w:r w:rsidR="00912E7F" w:rsidRPr="00D04D32">
        <w:rPr>
          <w:rFonts w:ascii="Times New Roman" w:hAnsi="Times New Roman"/>
        </w:rPr>
        <w:t xml:space="preserve">s statement that he </w:t>
      </w:r>
      <w:r w:rsidR="0043440B" w:rsidRPr="00D04D32">
        <w:rPr>
          <w:rFonts w:ascii="Times New Roman" w:hAnsi="Times New Roman"/>
        </w:rPr>
        <w:t xml:space="preserve">felt like he </w:t>
      </w:r>
      <w:r w:rsidR="00912E7F" w:rsidRPr="00D04D32">
        <w:rPr>
          <w:rFonts w:ascii="Times New Roman" w:hAnsi="Times New Roman"/>
        </w:rPr>
        <w:t xml:space="preserve">had </w:t>
      </w:r>
      <w:r w:rsidR="00015FC5" w:rsidRPr="00D04D32">
        <w:rPr>
          <w:rFonts w:ascii="Times New Roman" w:hAnsi="Times New Roman"/>
        </w:rPr>
        <w:t>"</w:t>
      </w:r>
      <w:r w:rsidR="00912E7F" w:rsidRPr="00D04D32">
        <w:rPr>
          <w:rFonts w:ascii="Times New Roman" w:hAnsi="Times New Roman"/>
        </w:rPr>
        <w:t>no choice but to accept the offer because the legal barriers were too great</w:t>
      </w:r>
      <w:r w:rsidR="00015FC5" w:rsidRPr="00D04D32">
        <w:rPr>
          <w:rFonts w:ascii="Times New Roman" w:hAnsi="Times New Roman"/>
        </w:rPr>
        <w:t>"</w:t>
      </w:r>
      <w:r w:rsidR="00912E7F" w:rsidRPr="00D04D32">
        <w:rPr>
          <w:rFonts w:ascii="Times New Roman" w:hAnsi="Times New Roman"/>
        </w:rPr>
        <w:t xml:space="preserve"> was not related to any conduct </w:t>
      </w:r>
      <w:r w:rsidR="00122277" w:rsidRPr="00D04D32">
        <w:rPr>
          <w:rFonts w:ascii="Times New Roman" w:hAnsi="Times New Roman"/>
        </w:rPr>
        <w:t xml:space="preserve">of </w:t>
      </w:r>
      <w:r w:rsidR="00912E7F" w:rsidRPr="00D04D32">
        <w:rPr>
          <w:rFonts w:ascii="Times New Roman" w:hAnsi="Times New Roman"/>
        </w:rPr>
        <w:t xml:space="preserve">the </w:t>
      </w:r>
      <w:r w:rsidR="00643861" w:rsidRPr="00D04D32">
        <w:rPr>
          <w:rFonts w:ascii="Times New Roman" w:hAnsi="Times New Roman"/>
        </w:rPr>
        <w:t xml:space="preserve">Congregation </w:t>
      </w:r>
      <w:r w:rsidR="00912E7F" w:rsidRPr="00D04D32">
        <w:rPr>
          <w:rFonts w:ascii="Times New Roman" w:hAnsi="Times New Roman"/>
        </w:rPr>
        <w:t xml:space="preserve">or </w:t>
      </w:r>
      <w:r w:rsidR="00053287" w:rsidRPr="00D04D32">
        <w:rPr>
          <w:rFonts w:ascii="Times New Roman" w:hAnsi="Times New Roman"/>
        </w:rPr>
        <w:t xml:space="preserve">to </w:t>
      </w:r>
      <w:r w:rsidR="000F379E" w:rsidRPr="00D04D32">
        <w:rPr>
          <w:rFonts w:ascii="Times New Roman" w:hAnsi="Times New Roman"/>
        </w:rPr>
        <w:t xml:space="preserve">DZY's </w:t>
      </w:r>
      <w:r w:rsidR="00912E7F" w:rsidRPr="00D04D32">
        <w:rPr>
          <w:rFonts w:ascii="Times New Roman" w:hAnsi="Times New Roman"/>
        </w:rPr>
        <w:t>decision to renounce economic loss</w:t>
      </w:r>
      <w:r w:rsidR="00E70D24">
        <w:rPr>
          <w:rFonts w:ascii="Times New Roman" w:hAnsi="Times New Roman"/>
        </w:rPr>
        <w:t> </w:t>
      </w:r>
      <w:r w:rsidR="003A64C7" w:rsidRPr="00D04D32">
        <w:rPr>
          <w:rFonts w:ascii="Times New Roman" w:hAnsi="Times New Roman"/>
        </w:rPr>
        <w:t>–</w:t>
      </w:r>
      <w:r w:rsidR="00DC1C05">
        <w:rPr>
          <w:rFonts w:ascii="Times New Roman" w:hAnsi="Times New Roman"/>
        </w:rPr>
        <w:t> </w:t>
      </w:r>
      <w:r w:rsidR="00912E7F" w:rsidRPr="00D04D32">
        <w:rPr>
          <w:rFonts w:ascii="Times New Roman" w:hAnsi="Times New Roman"/>
        </w:rPr>
        <w:t>rather, that statement appears to relate to DZY</w:t>
      </w:r>
      <w:r w:rsidR="00FB6C6C" w:rsidRPr="00D04D32">
        <w:rPr>
          <w:rFonts w:ascii="Times New Roman" w:hAnsi="Times New Roman"/>
        </w:rPr>
        <w:t>'</w:t>
      </w:r>
      <w:r w:rsidR="00912E7F" w:rsidRPr="00D04D32">
        <w:rPr>
          <w:rFonts w:ascii="Times New Roman" w:hAnsi="Times New Roman"/>
        </w:rPr>
        <w:t xml:space="preserve">s acceptance of the settlement </w:t>
      </w:r>
      <w:r w:rsidR="00015FC5" w:rsidRPr="00D04D32">
        <w:rPr>
          <w:rFonts w:ascii="Times New Roman" w:hAnsi="Times New Roman"/>
        </w:rPr>
        <w:t xml:space="preserve">sum for </w:t>
      </w:r>
      <w:r w:rsidR="00912E7F" w:rsidRPr="00D04D32">
        <w:rPr>
          <w:rFonts w:ascii="Times New Roman" w:hAnsi="Times New Roman"/>
        </w:rPr>
        <w:t>his general damages claim.</w:t>
      </w:r>
      <w:r w:rsidR="00912E7F" w:rsidRPr="00D04D32">
        <w:rPr>
          <w:rFonts w:ascii="Times New Roman" w:hAnsi="Times New Roman"/>
          <w:b/>
          <w:bCs/>
        </w:rPr>
        <w:t xml:space="preserve"> </w:t>
      </w:r>
    </w:p>
    <w:p w14:paraId="418FE9CE" w14:textId="2B0A6B81" w:rsidR="00912E7F" w:rsidRPr="00D04D32" w:rsidRDefault="00C154C3" w:rsidP="003E2094">
      <w:pPr>
        <w:pStyle w:val="FixListStyle"/>
        <w:keepNext/>
        <w:spacing w:after="260" w:line="280" w:lineRule="exact"/>
        <w:ind w:right="0"/>
        <w:jc w:val="both"/>
        <w:rPr>
          <w:rFonts w:ascii="Times New Roman" w:hAnsi="Times New Roman"/>
        </w:rPr>
      </w:pPr>
      <w:r w:rsidRPr="00D04D32">
        <w:rPr>
          <w:rFonts w:ascii="Times New Roman" w:hAnsi="Times New Roman"/>
          <w:b/>
          <w:bCs/>
        </w:rPr>
        <w:lastRenderedPageBreak/>
        <w:tab/>
      </w:r>
      <w:r w:rsidR="00912E7F" w:rsidRPr="00D04D32">
        <w:rPr>
          <w:rFonts w:ascii="Times New Roman" w:hAnsi="Times New Roman"/>
        </w:rPr>
        <w:t>Ground 2 should be dismissed.</w:t>
      </w:r>
    </w:p>
    <w:p w14:paraId="49094B05" w14:textId="1FC918D8" w:rsidR="00912E7F" w:rsidRPr="00D04D32" w:rsidRDefault="00766695" w:rsidP="00D04D32">
      <w:pPr>
        <w:pStyle w:val="HeadingL1"/>
        <w:spacing w:after="260" w:line="280" w:lineRule="exact"/>
        <w:ind w:right="0"/>
        <w:jc w:val="both"/>
        <w:rPr>
          <w:rFonts w:ascii="Times New Roman" w:hAnsi="Times New Roman"/>
        </w:rPr>
      </w:pPr>
      <w:r w:rsidRPr="00D04D32">
        <w:rPr>
          <w:rFonts w:ascii="Times New Roman" w:hAnsi="Times New Roman"/>
        </w:rPr>
        <w:t xml:space="preserve">Orders </w:t>
      </w:r>
    </w:p>
    <w:p w14:paraId="6D4171C2" w14:textId="77777777" w:rsidR="00270185" w:rsidRDefault="00766695" w:rsidP="00D04D32">
      <w:pPr>
        <w:pStyle w:val="FixListStyle"/>
        <w:spacing w:after="260" w:line="280" w:lineRule="exact"/>
        <w:ind w:right="0"/>
        <w:jc w:val="both"/>
        <w:rPr>
          <w:rFonts w:ascii="Times New Roman" w:hAnsi="Times New Roman"/>
        </w:rPr>
      </w:pPr>
      <w:r w:rsidRPr="00D04D32">
        <w:rPr>
          <w:rFonts w:ascii="Times New Roman" w:hAnsi="Times New Roman"/>
        </w:rPr>
        <w:tab/>
        <w:t>For those reasons, the a</w:t>
      </w:r>
      <w:r w:rsidR="00912E7F" w:rsidRPr="00D04D32">
        <w:rPr>
          <w:rFonts w:ascii="Times New Roman" w:hAnsi="Times New Roman"/>
        </w:rPr>
        <w:t xml:space="preserve">ppeal </w:t>
      </w:r>
      <w:r w:rsidRPr="00D04D32">
        <w:rPr>
          <w:rFonts w:ascii="Times New Roman" w:hAnsi="Times New Roman"/>
        </w:rPr>
        <w:t xml:space="preserve">is </w:t>
      </w:r>
      <w:r w:rsidR="00912E7F" w:rsidRPr="00D04D32">
        <w:rPr>
          <w:rFonts w:ascii="Times New Roman" w:hAnsi="Times New Roman"/>
        </w:rPr>
        <w:t>dismissed.</w:t>
      </w:r>
      <w:r w:rsidRPr="00D04D32">
        <w:rPr>
          <w:rFonts w:ascii="Times New Roman" w:hAnsi="Times New Roman"/>
        </w:rPr>
        <w:t xml:space="preserve"> There will be no</w:t>
      </w:r>
      <w:r w:rsidR="00912E7F" w:rsidRPr="00D04D32">
        <w:rPr>
          <w:rFonts w:ascii="Times New Roman" w:hAnsi="Times New Roman"/>
        </w:rPr>
        <w:t xml:space="preserve"> order as to costs.</w:t>
      </w:r>
    </w:p>
    <w:p w14:paraId="206E6203" w14:textId="77777777" w:rsidR="00270185" w:rsidRDefault="00270185" w:rsidP="00D04D32">
      <w:pPr>
        <w:pStyle w:val="FixListStyle"/>
        <w:spacing w:after="260" w:line="280" w:lineRule="exact"/>
        <w:ind w:right="0"/>
        <w:jc w:val="both"/>
        <w:rPr>
          <w:rFonts w:ascii="Times New Roman" w:hAnsi="Times New Roman"/>
        </w:rPr>
        <w:sectPr w:rsidR="00270185" w:rsidSect="00CA52F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766CA50" w14:textId="77777777" w:rsidR="00270185" w:rsidRPr="00276680" w:rsidRDefault="00270185" w:rsidP="00276680">
      <w:pPr>
        <w:pStyle w:val="FixListStyle"/>
        <w:tabs>
          <w:tab w:val="clear" w:pos="720"/>
          <w:tab w:val="left" w:pos="0"/>
        </w:tabs>
        <w:spacing w:after="260" w:line="280" w:lineRule="exact"/>
        <w:ind w:right="0"/>
        <w:jc w:val="both"/>
        <w:rPr>
          <w:rFonts w:ascii="Times New Roman" w:hAnsi="Times New Roman"/>
        </w:rPr>
      </w:pPr>
      <w:r w:rsidRPr="00276680">
        <w:rPr>
          <w:rFonts w:ascii="Times New Roman" w:hAnsi="Times New Roman"/>
        </w:rPr>
        <w:lastRenderedPageBreak/>
        <w:t>STEWARD J.   This Court should not strain to find appellate error. It should not voraciously construe the reasons of appellate courts. I gratefully agree with the reasons of Gageler CJ, Gordon, Edelman and Gleeson JJ, save in one respect. My reading of the reasons of Beach and Macaulay JJA does not suggest that their</w:t>
      </w:r>
      <w:r>
        <w:rPr>
          <w:rFonts w:ascii="Times New Roman" w:hAnsi="Times New Roman"/>
        </w:rPr>
        <w:t> </w:t>
      </w:r>
      <w:r w:rsidRPr="00276680">
        <w:rPr>
          <w:rFonts w:ascii="Times New Roman" w:hAnsi="Times New Roman"/>
        </w:rPr>
        <w:t xml:space="preserve">Honours had decided that there were any necessary "prerequisites" or "quasi-prerequisites" to the exercise of the power conferred by s 27QE of the </w:t>
      </w:r>
      <w:r w:rsidRPr="00276680">
        <w:rPr>
          <w:rFonts w:ascii="Times New Roman" w:hAnsi="Times New Roman"/>
          <w:i/>
          <w:iCs/>
        </w:rPr>
        <w:t xml:space="preserve">Limitation of Actions Act 1958 </w:t>
      </w:r>
      <w:r w:rsidRPr="00276680">
        <w:rPr>
          <w:rFonts w:ascii="Times New Roman" w:hAnsi="Times New Roman"/>
        </w:rPr>
        <w:t>(Vic).</w:t>
      </w:r>
      <w:r w:rsidRPr="00276680">
        <w:rPr>
          <w:rStyle w:val="FootnoteReference"/>
          <w:rFonts w:ascii="Times New Roman" w:hAnsi="Times New Roman"/>
          <w:sz w:val="24"/>
        </w:rPr>
        <w:footnoteReference w:id="24"/>
      </w:r>
      <w:r w:rsidRPr="00276680">
        <w:rPr>
          <w:rFonts w:ascii="Times New Roman" w:hAnsi="Times New Roman"/>
        </w:rPr>
        <w:t xml:space="preserve"> I otherwise agree with the plurality of this Court that this appeal should be dismissed.</w:t>
      </w:r>
    </w:p>
    <w:p w14:paraId="0D6C1850" w14:textId="77777777" w:rsidR="00270185" w:rsidRPr="00276680" w:rsidRDefault="00270185" w:rsidP="00276680">
      <w:pPr>
        <w:pStyle w:val="FixListStyle"/>
        <w:spacing w:after="260" w:line="280" w:lineRule="exact"/>
        <w:ind w:right="0"/>
        <w:jc w:val="both"/>
        <w:rPr>
          <w:rFonts w:ascii="Times New Roman" w:hAnsi="Times New Roman"/>
        </w:rPr>
      </w:pPr>
      <w:r w:rsidRPr="00276680">
        <w:rPr>
          <w:rFonts w:ascii="Times New Roman" w:hAnsi="Times New Roman"/>
        </w:rPr>
        <w:tab/>
        <w:t xml:space="preserve">Gageler CJ, Gordon, Edelman and Gleeson JJ are of the view that Beach and Macaulay JJA had decided that there are "prerequisites" or "quasi-prerequisites" to the exercise of the power conferred by s 27QE to set aside settlements. Those "prerequisites" are said to be the need for one of the historical barriers – respectively called "the limitation defence" and "the </w:t>
      </w:r>
      <w:r w:rsidRPr="00276680">
        <w:rPr>
          <w:rFonts w:ascii="Times New Roman" w:hAnsi="Times New Roman"/>
          <w:i/>
          <w:iCs/>
        </w:rPr>
        <w:t>Ellis</w:t>
      </w:r>
      <w:r w:rsidRPr="00276680">
        <w:rPr>
          <w:rFonts w:ascii="Times New Roman" w:hAnsi="Times New Roman"/>
        </w:rPr>
        <w:t xml:space="preserve"> defence" – to have been a material reason for settling, relevantly, a claim for child sex abuse. But, with great respect, that is not what Beach and Macaulay JJA decided.</w:t>
      </w:r>
    </w:p>
    <w:p w14:paraId="06ED5FDA" w14:textId="77777777" w:rsidR="00270185" w:rsidRPr="00276680" w:rsidRDefault="00270185" w:rsidP="00276680">
      <w:pPr>
        <w:pStyle w:val="FixListStyle"/>
        <w:spacing w:after="260" w:line="280" w:lineRule="exact"/>
        <w:ind w:right="0"/>
        <w:jc w:val="both"/>
        <w:rPr>
          <w:rFonts w:ascii="Times New Roman" w:hAnsi="Times New Roman"/>
        </w:rPr>
      </w:pPr>
      <w:r w:rsidRPr="00276680">
        <w:rPr>
          <w:rFonts w:ascii="Times New Roman" w:hAnsi="Times New Roman"/>
        </w:rPr>
        <w:tab/>
        <w:t>Instead, Beach and Macaulay JJA gave proper guidance as to what a trial judge should expect to look for when exercising such an exceptionally unconfined power as that conferred by s 27QE. That power turns upon a judge's satisfaction as to what is "just and reasonable". Plainly, that is not a reference to a judge's subjective beliefs about what is just and reasonable. What is just and reasonable must have objective content; it must have metes and bounds. Beach and Macaulay JJA, without in any way limiting the power conferred by s 27QE, descriptively indicated how that power is likely to be exercised in the usual case.</w:t>
      </w:r>
    </w:p>
    <w:p w14:paraId="5B82D6CE" w14:textId="77777777" w:rsidR="00270185" w:rsidRPr="00276680" w:rsidRDefault="00270185" w:rsidP="00276680">
      <w:pPr>
        <w:pStyle w:val="FixListStyle"/>
        <w:spacing w:after="260" w:line="280" w:lineRule="exact"/>
        <w:ind w:right="0"/>
        <w:jc w:val="both"/>
        <w:rPr>
          <w:rFonts w:ascii="Times New Roman" w:hAnsi="Times New Roman"/>
        </w:rPr>
      </w:pPr>
      <w:r w:rsidRPr="00276680">
        <w:rPr>
          <w:rFonts w:ascii="Times New Roman" w:hAnsi="Times New Roman"/>
        </w:rPr>
        <w:tab/>
        <w:t>The dispositive reasoning of Beach and Macaulay JJA may be found at [108] to [113] of their Honours' reasons. But it is useful to start with the first sentence of [111] and with what their Honours considered to be "important":</w:t>
      </w:r>
    </w:p>
    <w:p w14:paraId="457787E9" w14:textId="77777777" w:rsidR="00270185" w:rsidRDefault="00270185" w:rsidP="00276680">
      <w:pPr>
        <w:pStyle w:val="LRIndentafterHC"/>
        <w:spacing w:before="0" w:after="260" w:line="280" w:lineRule="exact"/>
        <w:ind w:right="0"/>
        <w:jc w:val="both"/>
        <w:rPr>
          <w:rFonts w:ascii="Times New Roman" w:hAnsi="Times New Roman"/>
        </w:rPr>
      </w:pPr>
      <w:r w:rsidRPr="00276680">
        <w:rPr>
          <w:rFonts w:ascii="Times New Roman" w:hAnsi="Times New Roman"/>
        </w:rPr>
        <w:t>"It is important to pay proper regard to the fact that Parliament has not sought to define the factors that are to be taken into account in determining whether it is just and reasonable to set aside a judgment or a settlement."</w:t>
      </w:r>
    </w:p>
    <w:p w14:paraId="15A5BEC7" w14:textId="77777777" w:rsidR="00270185" w:rsidRPr="00276680" w:rsidRDefault="00270185" w:rsidP="00276680">
      <w:pPr>
        <w:pStyle w:val="FixListStyle"/>
        <w:spacing w:after="260" w:line="280" w:lineRule="exact"/>
        <w:ind w:right="0"/>
        <w:jc w:val="both"/>
        <w:rPr>
          <w:rFonts w:ascii="Times New Roman" w:hAnsi="Times New Roman"/>
        </w:rPr>
      </w:pPr>
      <w:r w:rsidRPr="00276680">
        <w:rPr>
          <w:rFonts w:ascii="Times New Roman" w:hAnsi="Times New Roman"/>
        </w:rPr>
        <w:tab/>
        <w:t>With profound respect, that statement cannot stand with any conclusion that Beach and Macaulay JJA intended to lay down necessary prerequisites to the exercise of the power conferred by s 27QE.</w:t>
      </w:r>
    </w:p>
    <w:p w14:paraId="12949690" w14:textId="77777777" w:rsidR="00270185" w:rsidRPr="00276680" w:rsidRDefault="00270185" w:rsidP="00276680">
      <w:pPr>
        <w:pStyle w:val="FixListStyle"/>
        <w:spacing w:after="260" w:line="280" w:lineRule="exact"/>
        <w:ind w:right="0"/>
        <w:jc w:val="both"/>
        <w:rPr>
          <w:rFonts w:ascii="Times New Roman" w:hAnsi="Times New Roman"/>
        </w:rPr>
      </w:pPr>
      <w:r w:rsidRPr="00276680">
        <w:rPr>
          <w:rFonts w:ascii="Times New Roman" w:hAnsi="Times New Roman"/>
        </w:rPr>
        <w:tab/>
        <w:t xml:space="preserve">At [108] and [109], Beach and Macaulay JJA accurately identify the mischief which s 27QE is directed at overcoming, being the injustices of the limitation defence and the </w:t>
      </w:r>
      <w:r w:rsidRPr="00276680">
        <w:rPr>
          <w:rFonts w:ascii="Times New Roman" w:hAnsi="Times New Roman"/>
          <w:i/>
          <w:iCs/>
        </w:rPr>
        <w:t>Ellis</w:t>
      </w:r>
      <w:r w:rsidRPr="00276680">
        <w:rPr>
          <w:rFonts w:ascii="Times New Roman" w:hAnsi="Times New Roman"/>
        </w:rPr>
        <w:t xml:space="preserve"> defence. No one disputes that. Unremarkably, but </w:t>
      </w:r>
      <w:r w:rsidRPr="00276680">
        <w:rPr>
          <w:rFonts w:ascii="Times New Roman" w:hAnsi="Times New Roman"/>
        </w:rPr>
        <w:lastRenderedPageBreak/>
        <w:t>accurately, their Honours observed that the mischief which the provision addresses is reinforced by "the centrality of the actual influence of one or both of those two barriers in the consideration of whether it is just and reasonable to set aside a settlement agreement".</w:t>
      </w:r>
      <w:r w:rsidRPr="00276680">
        <w:rPr>
          <w:rStyle w:val="FootnoteReference"/>
          <w:rFonts w:ascii="Times New Roman" w:hAnsi="Times New Roman"/>
          <w:sz w:val="24"/>
        </w:rPr>
        <w:footnoteReference w:id="25"/>
      </w:r>
    </w:p>
    <w:p w14:paraId="6960C39D" w14:textId="77777777" w:rsidR="00270185" w:rsidRPr="00276680" w:rsidRDefault="00270185" w:rsidP="00276680">
      <w:pPr>
        <w:pStyle w:val="FixListStyle"/>
        <w:spacing w:after="260" w:line="280" w:lineRule="exact"/>
        <w:ind w:right="0"/>
        <w:jc w:val="both"/>
        <w:rPr>
          <w:rFonts w:ascii="Times New Roman" w:hAnsi="Times New Roman"/>
        </w:rPr>
      </w:pPr>
      <w:r w:rsidRPr="00276680">
        <w:rPr>
          <w:rFonts w:ascii="Times New Roman" w:hAnsi="Times New Roman"/>
        </w:rPr>
        <w:tab/>
        <w:t>But this "centrality" observation did not establish any necessary prerequisite to the setting aside of a settlement agreement. The language which follows is merely a helpful description of what is to be expected in exercising the power in question. Thus, [110] commences with the words "[a]t least in an ordinary case, one would expect" that one of the legal barriers "would play some part" in explaining why a claimant had entered into a settlement agreement. No prerequisite is thereby set up by their Honours' reasons. Unsurprisingly, [110] then states that if one of those legal barriers had contributed to a claimant's reasons for settling, this would be a "cogent ground" for the exercise of the s 27QE power. Absent such a contributing reason, Beach and Macaulay JJA reasoned that it would be "doubtful" that a settlement agreement would be set aside. Again, this is the language of what one might expect in the "ordinary case".</w:t>
      </w:r>
    </w:p>
    <w:p w14:paraId="403D4BCE" w14:textId="77777777" w:rsidR="00270185" w:rsidRPr="00276680" w:rsidRDefault="00270185" w:rsidP="00276680">
      <w:pPr>
        <w:pStyle w:val="FixListStyle"/>
        <w:spacing w:after="260" w:line="280" w:lineRule="exact"/>
        <w:ind w:right="0"/>
        <w:jc w:val="both"/>
        <w:rPr>
          <w:rFonts w:ascii="Times New Roman" w:hAnsi="Times New Roman"/>
        </w:rPr>
      </w:pPr>
      <w:r w:rsidRPr="00276680">
        <w:rPr>
          <w:rFonts w:ascii="Times New Roman" w:hAnsi="Times New Roman"/>
        </w:rPr>
        <w:tab/>
        <w:t>What then immediately follows at [111] is the statement that Parliament had nonetheless not "sought to define the factors that are to be taken into account in determining whether it is just and reasonable to set aside a judgment or a settlement". To put this beyond doubt, that statement is followed by the first sentence of [112]:</w:t>
      </w:r>
    </w:p>
    <w:p w14:paraId="0A91FBA6" w14:textId="77777777" w:rsidR="00270185" w:rsidRDefault="00270185" w:rsidP="00276680">
      <w:pPr>
        <w:pStyle w:val="LRIndentafterHC"/>
        <w:spacing w:before="0" w:after="260" w:line="280" w:lineRule="exact"/>
        <w:ind w:right="0"/>
        <w:jc w:val="both"/>
        <w:rPr>
          <w:rFonts w:ascii="Times New Roman" w:hAnsi="Times New Roman"/>
        </w:rPr>
      </w:pPr>
      <w:r w:rsidRPr="00276680">
        <w:rPr>
          <w:rFonts w:ascii="Times New Roman" w:hAnsi="Times New Roman"/>
        </w:rPr>
        <w:t>"We do not deny that, other than the actual influence of those legal obstacles, there could be additional factors that might legitimately be taken into account."</w:t>
      </w:r>
    </w:p>
    <w:p w14:paraId="1D6FD2AB" w14:textId="77777777" w:rsidR="00270185" w:rsidRPr="00276680" w:rsidRDefault="00270185" w:rsidP="00276680">
      <w:pPr>
        <w:pStyle w:val="FixListStyle"/>
        <w:spacing w:after="260" w:line="280" w:lineRule="exact"/>
        <w:ind w:right="0"/>
        <w:jc w:val="both"/>
        <w:rPr>
          <w:rFonts w:ascii="Times New Roman" w:hAnsi="Times New Roman"/>
        </w:rPr>
      </w:pPr>
      <w:r w:rsidRPr="00276680">
        <w:rPr>
          <w:rFonts w:ascii="Times New Roman" w:hAnsi="Times New Roman"/>
        </w:rPr>
        <w:tab/>
        <w:t>Those additional factors were described at [112] as potentially including prospects of success; the respondent's conduct in the settlement process; unequal bargaining power; feelings of guilt or shame; and prejudice to the respondent. Beach and Macaulay JJA otherwise observed at [113] that consideration of the actual influence of the two legal obstacles "is central" to determining whether to set aside a settlement agreement. And so it should be, given the mischief against which s 27QE is directed. But again, that is not the same thing as mandating a prerequisite to the positive exercise of the power. It is just a description of what a trial judge should seek to discern in the usual case.</w:t>
      </w:r>
    </w:p>
    <w:p w14:paraId="65F1A8E9" w14:textId="77777777" w:rsidR="00270185" w:rsidRPr="00276680" w:rsidRDefault="00270185" w:rsidP="00276680">
      <w:pPr>
        <w:pStyle w:val="FixListStyle"/>
        <w:spacing w:after="260" w:line="280" w:lineRule="exact"/>
        <w:ind w:right="0"/>
        <w:jc w:val="both"/>
        <w:rPr>
          <w:rFonts w:ascii="Times New Roman" w:hAnsi="Times New Roman"/>
        </w:rPr>
      </w:pPr>
      <w:r w:rsidRPr="00276680">
        <w:rPr>
          <w:rFonts w:ascii="Times New Roman" w:hAnsi="Times New Roman"/>
        </w:rPr>
        <w:tab/>
        <w:t>This appeal should be dismissed.</w:t>
      </w:r>
    </w:p>
    <w:p w14:paraId="5B584B4A" w14:textId="77777777" w:rsidR="00270185" w:rsidRDefault="00270185" w:rsidP="00D04D32">
      <w:pPr>
        <w:pStyle w:val="FixListStyle"/>
        <w:spacing w:after="260" w:line="280" w:lineRule="exact"/>
        <w:ind w:right="0"/>
        <w:jc w:val="both"/>
        <w:rPr>
          <w:rFonts w:ascii="Times New Roman" w:hAnsi="Times New Roman"/>
        </w:rPr>
        <w:sectPr w:rsidR="00270185" w:rsidSect="00270185">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705ACDF2" w14:textId="684D018D" w:rsidR="00766695" w:rsidRPr="00D04D32" w:rsidRDefault="00766695" w:rsidP="00270185">
      <w:pPr>
        <w:pStyle w:val="NormalBody"/>
      </w:pPr>
    </w:p>
    <w:sectPr w:rsidR="00766695" w:rsidRPr="00D04D32" w:rsidSect="00270185">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ED1F" w14:textId="77777777" w:rsidR="00A03FDC" w:rsidRDefault="00A03FDC">
      <w:pPr>
        <w:spacing w:line="240" w:lineRule="auto"/>
      </w:pPr>
      <w:r>
        <w:separator/>
      </w:r>
    </w:p>
  </w:endnote>
  <w:endnote w:type="continuationSeparator" w:id="0">
    <w:p w14:paraId="0C38FE95" w14:textId="77777777" w:rsidR="00A03FDC" w:rsidRDefault="00A03FDC">
      <w:pPr>
        <w:spacing w:line="240" w:lineRule="auto"/>
      </w:pPr>
      <w:r>
        <w:continuationSeparator/>
      </w:r>
    </w:p>
  </w:endnote>
  <w:endnote w:type="continuationNotice" w:id="1">
    <w:p w14:paraId="5A8E6990" w14:textId="77777777" w:rsidR="00A03FDC" w:rsidRDefault="00A03F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17D1" w14:textId="77777777" w:rsidR="00CA52FD" w:rsidRDefault="00CA5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F8E9" w14:textId="77777777" w:rsidR="00CA52FD" w:rsidRDefault="00CA5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7B20" w14:textId="77777777" w:rsidR="00CA52FD" w:rsidRDefault="00CA52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DBE6" w14:textId="77777777" w:rsidR="00CA52FD" w:rsidRDefault="00CA52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E0EA" w14:textId="77777777" w:rsidR="00CA52FD" w:rsidRDefault="00CA52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134A" w14:textId="77777777" w:rsidR="00CA52FD" w:rsidRDefault="00CA5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06D9" w14:textId="77777777" w:rsidR="00A03FDC" w:rsidRPr="00D04D32" w:rsidRDefault="00A03FDC" w:rsidP="00D04D32">
      <w:pPr>
        <w:pStyle w:val="Footer"/>
        <w:spacing w:before="120" w:after="20"/>
        <w:ind w:right="0"/>
        <w:rPr>
          <w:rFonts w:ascii="Times New Roman" w:hAnsi="Times New Roman"/>
        </w:rPr>
      </w:pPr>
      <w:r>
        <w:continuationSeparator/>
      </w:r>
    </w:p>
  </w:footnote>
  <w:footnote w:type="continuationSeparator" w:id="0">
    <w:p w14:paraId="394950D0" w14:textId="77777777" w:rsidR="00A03FDC" w:rsidRPr="00D04D32" w:rsidRDefault="00A03FDC" w:rsidP="00D04D32">
      <w:pPr>
        <w:pStyle w:val="Footer"/>
        <w:spacing w:before="120" w:after="20"/>
        <w:ind w:right="0"/>
        <w:rPr>
          <w:rFonts w:ascii="Times New Roman" w:hAnsi="Times New Roman"/>
        </w:rPr>
      </w:pPr>
      <w:r w:rsidRPr="00D04D32">
        <w:rPr>
          <w:rFonts w:ascii="Times New Roman" w:hAnsi="Times New Roman"/>
        </w:rPr>
        <w:continuationSeparator/>
      </w:r>
    </w:p>
  </w:footnote>
  <w:footnote w:type="continuationNotice" w:id="1">
    <w:p w14:paraId="49D76BDD" w14:textId="77777777" w:rsidR="00A03FDC" w:rsidRPr="00270185" w:rsidRDefault="00A03FDC">
      <w:pPr>
        <w:jc w:val="right"/>
        <w:rPr>
          <w:rFonts w:ascii="Times New Roman" w:hAnsi="Times New Roman"/>
          <w:sz w:val="24"/>
        </w:rPr>
      </w:pPr>
    </w:p>
  </w:footnote>
  <w:footnote w:id="2">
    <w:p w14:paraId="30E8357E" w14:textId="70363001" w:rsidR="00912E7F" w:rsidRPr="00D04D32" w:rsidRDefault="00912E7F"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000F0398" w:rsidRPr="00D04D32">
        <w:rPr>
          <w:rFonts w:ascii="Times New Roman" w:hAnsi="Times New Roman"/>
          <w:sz w:val="24"/>
        </w:rPr>
        <w:tab/>
      </w:r>
      <w:r w:rsidRPr="00D04D32">
        <w:rPr>
          <w:rFonts w:ascii="Times New Roman" w:hAnsi="Times New Roman"/>
          <w:sz w:val="24"/>
        </w:rPr>
        <w:t xml:space="preserve">Which required such claims to be brought, in the case of a child victim, within </w:t>
      </w:r>
      <w:r w:rsidR="0085767B" w:rsidRPr="00D04D32">
        <w:rPr>
          <w:rFonts w:ascii="Times New Roman" w:hAnsi="Times New Roman"/>
          <w:sz w:val="24"/>
        </w:rPr>
        <w:t>six</w:t>
      </w:r>
      <w:r w:rsidR="0047021B">
        <w:rPr>
          <w:rFonts w:ascii="Times New Roman" w:hAnsi="Times New Roman"/>
          <w:sz w:val="24"/>
        </w:rPr>
        <w:t> </w:t>
      </w:r>
      <w:r w:rsidRPr="00D04D32">
        <w:rPr>
          <w:rFonts w:ascii="Times New Roman" w:hAnsi="Times New Roman"/>
          <w:sz w:val="24"/>
        </w:rPr>
        <w:t xml:space="preserve">years: </w:t>
      </w:r>
      <w:r w:rsidRPr="00D04D32">
        <w:rPr>
          <w:rFonts w:ascii="Times New Roman" w:hAnsi="Times New Roman"/>
          <w:i/>
          <w:iCs/>
          <w:sz w:val="24"/>
        </w:rPr>
        <w:t>Limitation of Actions Act</w:t>
      </w:r>
      <w:r w:rsidRPr="00D04D32">
        <w:rPr>
          <w:rFonts w:ascii="Times New Roman" w:hAnsi="Times New Roman"/>
          <w:sz w:val="24"/>
        </w:rPr>
        <w:t>, ss</w:t>
      </w:r>
      <w:r w:rsidR="00670EB2" w:rsidRPr="00D04D32">
        <w:rPr>
          <w:rFonts w:ascii="Times New Roman" w:hAnsi="Times New Roman"/>
          <w:sz w:val="24"/>
        </w:rPr>
        <w:t> </w:t>
      </w:r>
      <w:r w:rsidRPr="00D04D32">
        <w:rPr>
          <w:rFonts w:ascii="Times New Roman" w:hAnsi="Times New Roman"/>
          <w:sz w:val="24"/>
        </w:rPr>
        <w:t>5</w:t>
      </w:r>
      <w:r w:rsidR="00C62152" w:rsidRPr="00D04D32">
        <w:rPr>
          <w:rFonts w:ascii="Times New Roman" w:hAnsi="Times New Roman"/>
          <w:sz w:val="24"/>
        </w:rPr>
        <w:t xml:space="preserve"> and</w:t>
      </w:r>
      <w:r w:rsidRPr="00D04D32">
        <w:rPr>
          <w:rFonts w:ascii="Times New Roman" w:hAnsi="Times New Roman"/>
          <w:sz w:val="24"/>
        </w:rPr>
        <w:t xml:space="preserve"> 23. </w:t>
      </w:r>
    </w:p>
  </w:footnote>
  <w:footnote w:id="3">
    <w:p w14:paraId="5758E90E" w14:textId="2E3B4EB2" w:rsidR="00912E7F" w:rsidRPr="00D04D32" w:rsidRDefault="00912E7F"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000F0398" w:rsidRPr="00D04D32">
        <w:rPr>
          <w:rFonts w:ascii="Times New Roman" w:hAnsi="Times New Roman"/>
          <w:sz w:val="24"/>
        </w:rPr>
        <w:tab/>
      </w:r>
      <w:r w:rsidRPr="00D04D32">
        <w:rPr>
          <w:rFonts w:ascii="Times New Roman" w:hAnsi="Times New Roman"/>
          <w:sz w:val="24"/>
        </w:rPr>
        <w:t xml:space="preserve">These difficulties were identified in </w:t>
      </w:r>
      <w:r w:rsidRPr="00D04D32">
        <w:rPr>
          <w:rFonts w:ascii="Times New Roman" w:hAnsi="Times New Roman"/>
          <w:i/>
          <w:iCs/>
          <w:sz w:val="24"/>
        </w:rPr>
        <w:t xml:space="preserve">Trustees of the Roman Catholic Church </w:t>
      </w:r>
      <w:r w:rsidR="00210AB2" w:rsidRPr="00D04D32">
        <w:rPr>
          <w:rFonts w:ascii="Times New Roman" w:hAnsi="Times New Roman"/>
          <w:i/>
          <w:iCs/>
          <w:sz w:val="24"/>
        </w:rPr>
        <w:t>for the</w:t>
      </w:r>
      <w:r w:rsidR="00806221">
        <w:rPr>
          <w:rFonts w:ascii="Times New Roman" w:hAnsi="Times New Roman"/>
          <w:i/>
          <w:iCs/>
          <w:sz w:val="24"/>
        </w:rPr>
        <w:t> </w:t>
      </w:r>
      <w:r w:rsidR="00210AB2" w:rsidRPr="00D04D32">
        <w:rPr>
          <w:rFonts w:ascii="Times New Roman" w:hAnsi="Times New Roman"/>
          <w:i/>
          <w:iCs/>
          <w:sz w:val="24"/>
        </w:rPr>
        <w:t xml:space="preserve">Archdiocese of Sydney </w:t>
      </w:r>
      <w:r w:rsidRPr="00D04D32">
        <w:rPr>
          <w:rFonts w:ascii="Times New Roman" w:hAnsi="Times New Roman"/>
          <w:i/>
          <w:iCs/>
          <w:sz w:val="24"/>
        </w:rPr>
        <w:t>v Ellis</w:t>
      </w:r>
      <w:r w:rsidRPr="00D04D32">
        <w:rPr>
          <w:rFonts w:ascii="Times New Roman" w:hAnsi="Times New Roman"/>
          <w:sz w:val="24"/>
        </w:rPr>
        <w:t xml:space="preserve"> (2007) 70 NSWLR 565.</w:t>
      </w:r>
    </w:p>
  </w:footnote>
  <w:footnote w:id="4">
    <w:p w14:paraId="398BD7AE" w14:textId="18982B50" w:rsidR="00912E7F" w:rsidRPr="00D04D32" w:rsidRDefault="00912E7F"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000F0398" w:rsidRPr="00D04D32">
        <w:rPr>
          <w:rFonts w:ascii="Times New Roman" w:hAnsi="Times New Roman"/>
          <w:sz w:val="24"/>
        </w:rPr>
        <w:tab/>
      </w:r>
      <w:r w:rsidRPr="00D04D32">
        <w:rPr>
          <w:rFonts w:ascii="Times New Roman" w:hAnsi="Times New Roman"/>
          <w:sz w:val="24"/>
        </w:rPr>
        <w:t xml:space="preserve">See </w:t>
      </w:r>
      <w:r w:rsidRPr="00D04D32">
        <w:rPr>
          <w:rFonts w:ascii="Times New Roman" w:hAnsi="Times New Roman"/>
          <w:i/>
          <w:iCs/>
          <w:sz w:val="24"/>
        </w:rPr>
        <w:t>Limitation of Actions Act</w:t>
      </w:r>
      <w:r w:rsidRPr="00D04D32">
        <w:rPr>
          <w:rFonts w:ascii="Times New Roman" w:hAnsi="Times New Roman"/>
          <w:sz w:val="24"/>
        </w:rPr>
        <w:t>, s</w:t>
      </w:r>
      <w:r w:rsidR="006E28C8" w:rsidRPr="00D04D32">
        <w:rPr>
          <w:rFonts w:ascii="Times New Roman" w:hAnsi="Times New Roman"/>
          <w:sz w:val="24"/>
        </w:rPr>
        <w:t>s</w:t>
      </w:r>
      <w:r w:rsidR="007B794C" w:rsidRPr="00D04D32">
        <w:rPr>
          <w:rFonts w:ascii="Times New Roman" w:hAnsi="Times New Roman"/>
          <w:sz w:val="24"/>
        </w:rPr>
        <w:t> </w:t>
      </w:r>
      <w:r w:rsidR="006E28C8" w:rsidRPr="00D04D32">
        <w:rPr>
          <w:rFonts w:ascii="Times New Roman" w:hAnsi="Times New Roman"/>
          <w:sz w:val="24"/>
        </w:rPr>
        <w:t>27O and</w:t>
      </w:r>
      <w:r w:rsidR="000F0398" w:rsidRPr="00D04D32">
        <w:rPr>
          <w:rFonts w:ascii="Times New Roman" w:hAnsi="Times New Roman"/>
          <w:sz w:val="24"/>
        </w:rPr>
        <w:t> </w:t>
      </w:r>
      <w:r w:rsidRPr="00D04D32">
        <w:rPr>
          <w:rFonts w:ascii="Times New Roman" w:hAnsi="Times New Roman"/>
          <w:sz w:val="24"/>
        </w:rPr>
        <w:t xml:space="preserve">27P, which </w:t>
      </w:r>
      <w:r w:rsidR="00FE795A" w:rsidRPr="00D04D32">
        <w:rPr>
          <w:rFonts w:ascii="Times New Roman" w:hAnsi="Times New Roman"/>
          <w:sz w:val="24"/>
        </w:rPr>
        <w:t xml:space="preserve">were </w:t>
      </w:r>
      <w:r w:rsidRPr="00D04D32">
        <w:rPr>
          <w:rFonts w:ascii="Times New Roman" w:hAnsi="Times New Roman"/>
          <w:sz w:val="24"/>
        </w:rPr>
        <w:t>inserted by the</w:t>
      </w:r>
      <w:r w:rsidR="00806221">
        <w:rPr>
          <w:rFonts w:ascii="Times New Roman" w:hAnsi="Times New Roman"/>
          <w:sz w:val="24"/>
        </w:rPr>
        <w:t> </w:t>
      </w:r>
      <w:r w:rsidRPr="00D04D32">
        <w:rPr>
          <w:rFonts w:ascii="Times New Roman" w:hAnsi="Times New Roman"/>
          <w:i/>
          <w:iCs/>
          <w:sz w:val="24"/>
        </w:rPr>
        <w:t xml:space="preserve">Limitation of Actions Amendment (Child Abuse) Act 2015 </w:t>
      </w:r>
      <w:r w:rsidRPr="00D04D32">
        <w:rPr>
          <w:rFonts w:ascii="Times New Roman" w:hAnsi="Times New Roman"/>
          <w:sz w:val="24"/>
        </w:rPr>
        <w:t>(Vic)</w:t>
      </w:r>
      <w:r w:rsidR="009A7D22" w:rsidRPr="00D04D32">
        <w:rPr>
          <w:rFonts w:ascii="Times New Roman" w:hAnsi="Times New Roman"/>
          <w:sz w:val="24"/>
        </w:rPr>
        <w:t>, s 4</w:t>
      </w:r>
      <w:r w:rsidRPr="00D04D32">
        <w:rPr>
          <w:rFonts w:ascii="Times New Roman" w:hAnsi="Times New Roman"/>
          <w:sz w:val="24"/>
        </w:rPr>
        <w:t>.</w:t>
      </w:r>
    </w:p>
  </w:footnote>
  <w:footnote w:id="5">
    <w:p w14:paraId="44DE0DBF" w14:textId="5F07E083" w:rsidR="00912E7F" w:rsidRPr="00D04D32" w:rsidRDefault="00912E7F"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000F0398" w:rsidRPr="00D04D32">
        <w:rPr>
          <w:rFonts w:ascii="Times New Roman" w:hAnsi="Times New Roman"/>
          <w:sz w:val="24"/>
        </w:rPr>
        <w:tab/>
      </w:r>
      <w:r w:rsidRPr="00D04D32">
        <w:rPr>
          <w:rFonts w:ascii="Times New Roman" w:hAnsi="Times New Roman"/>
          <w:sz w:val="24"/>
        </w:rPr>
        <w:t>Th</w:t>
      </w:r>
      <w:r w:rsidR="000F0398" w:rsidRPr="00D04D32">
        <w:rPr>
          <w:rFonts w:ascii="Times New Roman" w:hAnsi="Times New Roman"/>
          <w:sz w:val="24"/>
        </w:rPr>
        <w:t>e</w:t>
      </w:r>
      <w:r w:rsidRPr="00D04D32">
        <w:rPr>
          <w:rFonts w:ascii="Times New Roman" w:hAnsi="Times New Roman"/>
          <w:sz w:val="24"/>
        </w:rPr>
        <w:t xml:space="preserve">se sections were inserted by the </w:t>
      </w:r>
      <w:r w:rsidRPr="00D04D32">
        <w:rPr>
          <w:rFonts w:ascii="Times New Roman" w:hAnsi="Times New Roman"/>
          <w:i/>
          <w:iCs/>
          <w:sz w:val="24"/>
        </w:rPr>
        <w:t>Children Legislation Amendment Act 2019</w:t>
      </w:r>
      <w:r w:rsidRPr="00D04D32">
        <w:rPr>
          <w:rFonts w:ascii="Times New Roman" w:hAnsi="Times New Roman"/>
          <w:sz w:val="24"/>
        </w:rPr>
        <w:t xml:space="preserve"> (Vic)</w:t>
      </w:r>
      <w:r w:rsidR="00D66595" w:rsidRPr="00D04D32">
        <w:rPr>
          <w:rFonts w:ascii="Times New Roman" w:hAnsi="Times New Roman"/>
          <w:sz w:val="24"/>
        </w:rPr>
        <w:t>, ss 31 and 32</w:t>
      </w:r>
      <w:r w:rsidRPr="00D04D32">
        <w:rPr>
          <w:rFonts w:ascii="Times New Roman" w:hAnsi="Times New Roman"/>
          <w:sz w:val="24"/>
        </w:rPr>
        <w:t>.</w:t>
      </w:r>
    </w:p>
  </w:footnote>
  <w:footnote w:id="6">
    <w:p w14:paraId="2C11C8E8" w14:textId="676A81BB" w:rsidR="008E7386" w:rsidRPr="00D04D32" w:rsidRDefault="008E7386"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Pr="00D04D32">
        <w:rPr>
          <w:rFonts w:ascii="Times New Roman" w:hAnsi="Times New Roman"/>
          <w:sz w:val="24"/>
        </w:rPr>
        <w:t xml:space="preserve"> </w:t>
      </w:r>
      <w:r w:rsidRPr="00D04D32">
        <w:rPr>
          <w:rFonts w:ascii="Times New Roman" w:hAnsi="Times New Roman"/>
          <w:sz w:val="24"/>
        </w:rPr>
        <w:tab/>
      </w:r>
      <w:r w:rsidRPr="00D04D32">
        <w:rPr>
          <w:rFonts w:ascii="Times New Roman" w:hAnsi="Times New Roman"/>
          <w:i/>
          <w:iCs/>
          <w:sz w:val="24"/>
        </w:rPr>
        <w:t>Limitation of Actions Act</w:t>
      </w:r>
      <w:r w:rsidRPr="00D04D32">
        <w:rPr>
          <w:rFonts w:ascii="Times New Roman" w:hAnsi="Times New Roman"/>
          <w:sz w:val="24"/>
        </w:rPr>
        <w:t>, s</w:t>
      </w:r>
      <w:r w:rsidR="00702803" w:rsidRPr="00D04D32">
        <w:rPr>
          <w:rFonts w:ascii="Times New Roman" w:hAnsi="Times New Roman"/>
          <w:sz w:val="24"/>
        </w:rPr>
        <w:t>s</w:t>
      </w:r>
      <w:r w:rsidRPr="00D04D32">
        <w:rPr>
          <w:rFonts w:ascii="Times New Roman" w:hAnsi="Times New Roman"/>
          <w:sz w:val="24"/>
        </w:rPr>
        <w:t> 2</w:t>
      </w:r>
      <w:r w:rsidR="007F0C59" w:rsidRPr="00D04D32">
        <w:rPr>
          <w:rFonts w:ascii="Times New Roman" w:hAnsi="Times New Roman"/>
          <w:sz w:val="24"/>
        </w:rPr>
        <w:t>7</w:t>
      </w:r>
      <w:r w:rsidRPr="00D04D32">
        <w:rPr>
          <w:rFonts w:ascii="Times New Roman" w:hAnsi="Times New Roman"/>
          <w:sz w:val="24"/>
        </w:rPr>
        <w:t>O</w:t>
      </w:r>
      <w:r w:rsidR="007F0C59" w:rsidRPr="00D04D32">
        <w:rPr>
          <w:rFonts w:ascii="Times New Roman" w:hAnsi="Times New Roman"/>
          <w:sz w:val="24"/>
        </w:rPr>
        <w:t>(1)(b)</w:t>
      </w:r>
      <w:r w:rsidR="001A02CF" w:rsidRPr="00D04D32">
        <w:rPr>
          <w:rFonts w:ascii="Times New Roman" w:hAnsi="Times New Roman"/>
          <w:sz w:val="24"/>
        </w:rPr>
        <w:t xml:space="preserve"> and 27QA(2)</w:t>
      </w:r>
      <w:r w:rsidR="00617344" w:rsidRPr="00D04D32">
        <w:rPr>
          <w:rFonts w:ascii="Times New Roman" w:hAnsi="Times New Roman"/>
          <w:sz w:val="24"/>
        </w:rPr>
        <w:t>; see also s</w:t>
      </w:r>
      <w:r w:rsidR="004909C3" w:rsidRPr="00D04D32" w:rsidDel="0080198F">
        <w:rPr>
          <w:rFonts w:ascii="Times New Roman" w:hAnsi="Times New Roman"/>
          <w:sz w:val="24"/>
        </w:rPr>
        <w:t> </w:t>
      </w:r>
      <w:r w:rsidRPr="00D04D32">
        <w:rPr>
          <w:rFonts w:ascii="Times New Roman" w:hAnsi="Times New Roman"/>
          <w:sz w:val="24"/>
        </w:rPr>
        <w:t>27OA definition of "previously settled cause of action".</w:t>
      </w:r>
    </w:p>
  </w:footnote>
  <w:footnote w:id="7">
    <w:p w14:paraId="29B5BCB5" w14:textId="1D75640B" w:rsidR="0008439A" w:rsidRPr="00D04D32" w:rsidRDefault="0008439A"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Pr="00D04D32">
        <w:rPr>
          <w:rFonts w:ascii="Times New Roman" w:hAnsi="Times New Roman"/>
          <w:sz w:val="24"/>
        </w:rPr>
        <w:t xml:space="preserve"> </w:t>
      </w:r>
      <w:r w:rsidRPr="00D04D32">
        <w:rPr>
          <w:rFonts w:ascii="Times New Roman" w:hAnsi="Times New Roman"/>
          <w:sz w:val="24"/>
        </w:rPr>
        <w:tab/>
      </w:r>
      <w:r w:rsidRPr="00D04D32">
        <w:rPr>
          <w:rFonts w:ascii="Times New Roman" w:hAnsi="Times New Roman"/>
          <w:i/>
          <w:iCs/>
          <w:sz w:val="24"/>
        </w:rPr>
        <w:t>Limitation of Actions Act</w:t>
      </w:r>
      <w:r w:rsidRPr="00D04D32">
        <w:rPr>
          <w:rFonts w:ascii="Times New Roman" w:hAnsi="Times New Roman"/>
          <w:sz w:val="24"/>
        </w:rPr>
        <w:t xml:space="preserve">, </w:t>
      </w:r>
      <w:r w:rsidR="00FC1826" w:rsidRPr="00D04D32">
        <w:rPr>
          <w:rFonts w:ascii="Times New Roman" w:hAnsi="Times New Roman"/>
          <w:sz w:val="24"/>
        </w:rPr>
        <w:t>s </w:t>
      </w:r>
      <w:r w:rsidR="00642BD6" w:rsidRPr="00D04D32">
        <w:rPr>
          <w:rFonts w:ascii="Times New Roman" w:hAnsi="Times New Roman"/>
          <w:sz w:val="24"/>
        </w:rPr>
        <w:t xml:space="preserve">27QD; see also </w:t>
      </w:r>
      <w:r w:rsidR="004909C3" w:rsidRPr="00D04D32">
        <w:rPr>
          <w:rFonts w:ascii="Times New Roman" w:hAnsi="Times New Roman"/>
          <w:sz w:val="24"/>
        </w:rPr>
        <w:t>s </w:t>
      </w:r>
      <w:r w:rsidRPr="00D04D32">
        <w:rPr>
          <w:rFonts w:ascii="Times New Roman" w:hAnsi="Times New Roman"/>
          <w:sz w:val="24"/>
        </w:rPr>
        <w:t>27OA definition of "</w:t>
      </w:r>
      <w:r w:rsidR="004909C3" w:rsidRPr="00D04D32">
        <w:rPr>
          <w:rFonts w:ascii="Times New Roman" w:hAnsi="Times New Roman"/>
          <w:sz w:val="24"/>
        </w:rPr>
        <w:t>settlement agreement</w:t>
      </w:r>
      <w:r w:rsidRPr="00D04D32">
        <w:rPr>
          <w:rFonts w:ascii="Times New Roman" w:hAnsi="Times New Roman"/>
          <w:sz w:val="24"/>
        </w:rPr>
        <w:t>".</w:t>
      </w:r>
    </w:p>
  </w:footnote>
  <w:footnote w:id="8">
    <w:p w14:paraId="48D6F8A0" w14:textId="791C5524" w:rsidR="00BE65C2" w:rsidRPr="00D04D32" w:rsidRDefault="00BE65C2"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Pr="00D04D32">
        <w:rPr>
          <w:rFonts w:ascii="Times New Roman" w:hAnsi="Times New Roman"/>
          <w:sz w:val="24"/>
        </w:rPr>
        <w:t xml:space="preserve"> </w:t>
      </w:r>
      <w:r w:rsidRPr="00D04D32">
        <w:rPr>
          <w:rFonts w:ascii="Times New Roman" w:hAnsi="Times New Roman"/>
          <w:sz w:val="24"/>
        </w:rPr>
        <w:tab/>
      </w:r>
      <w:r w:rsidRPr="00D04D32">
        <w:rPr>
          <w:rFonts w:ascii="Times New Roman" w:hAnsi="Times New Roman"/>
          <w:i/>
          <w:iCs/>
          <w:sz w:val="24"/>
        </w:rPr>
        <w:t>Limitation of Actions Act</w:t>
      </w:r>
      <w:r w:rsidRPr="00D04D32">
        <w:rPr>
          <w:rFonts w:ascii="Times New Roman" w:hAnsi="Times New Roman"/>
          <w:sz w:val="24"/>
        </w:rPr>
        <w:t>, s 27QE</w:t>
      </w:r>
      <w:r w:rsidR="00963C01" w:rsidRPr="00D04D32">
        <w:rPr>
          <w:rFonts w:ascii="Times New Roman" w:hAnsi="Times New Roman"/>
          <w:sz w:val="24"/>
        </w:rPr>
        <w:t>.</w:t>
      </w:r>
    </w:p>
  </w:footnote>
  <w:footnote w:id="9">
    <w:p w14:paraId="1253DB02" w14:textId="2C130432" w:rsidR="007635EF" w:rsidRPr="00D04D32" w:rsidRDefault="007635EF" w:rsidP="00D04D32">
      <w:pPr>
        <w:pStyle w:val="FootnoteText"/>
        <w:spacing w:line="280" w:lineRule="exact"/>
        <w:ind w:right="0"/>
        <w:jc w:val="both"/>
        <w:rPr>
          <w:rFonts w:ascii="Times New Roman" w:hAnsi="Times New Roman"/>
          <w:sz w:val="24"/>
          <w:szCs w:val="22"/>
        </w:rPr>
      </w:pPr>
      <w:r w:rsidRPr="00D04D32">
        <w:rPr>
          <w:rStyle w:val="FootnoteReference"/>
          <w:rFonts w:ascii="Times New Roman" w:hAnsi="Times New Roman"/>
          <w:sz w:val="22"/>
          <w:szCs w:val="22"/>
          <w:vertAlign w:val="baseline"/>
        </w:rPr>
        <w:footnoteRef/>
      </w:r>
      <w:r w:rsidRPr="00D04D32">
        <w:rPr>
          <w:rFonts w:ascii="Times New Roman" w:hAnsi="Times New Roman"/>
          <w:sz w:val="24"/>
          <w:szCs w:val="22"/>
        </w:rPr>
        <w:t xml:space="preserve"> </w:t>
      </w:r>
      <w:r w:rsidRPr="00D04D32">
        <w:rPr>
          <w:rFonts w:ascii="Times New Roman" w:hAnsi="Times New Roman"/>
          <w:sz w:val="24"/>
          <w:szCs w:val="22"/>
        </w:rPr>
        <w:tab/>
      </w:r>
      <w:r w:rsidRPr="00D04D32">
        <w:rPr>
          <w:rFonts w:ascii="Times New Roman" w:hAnsi="Times New Roman"/>
          <w:i/>
          <w:iCs/>
          <w:sz w:val="24"/>
          <w:szCs w:val="22"/>
        </w:rPr>
        <w:t>Limitation of Actions Act</w:t>
      </w:r>
      <w:r w:rsidRPr="00D04D32">
        <w:rPr>
          <w:rFonts w:ascii="Times New Roman" w:hAnsi="Times New Roman"/>
          <w:sz w:val="24"/>
          <w:szCs w:val="22"/>
        </w:rPr>
        <w:t>, s 27O(1).</w:t>
      </w:r>
    </w:p>
  </w:footnote>
  <w:footnote w:id="10">
    <w:p w14:paraId="35577070" w14:textId="51B468D6" w:rsidR="00226EEF" w:rsidRPr="00D04D32" w:rsidRDefault="00226EEF"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Pr="00D04D32">
        <w:rPr>
          <w:rFonts w:ascii="Times New Roman" w:hAnsi="Times New Roman"/>
          <w:sz w:val="24"/>
        </w:rPr>
        <w:t xml:space="preserve"> </w:t>
      </w:r>
      <w:r w:rsidRPr="00D04D32">
        <w:rPr>
          <w:rFonts w:ascii="Times New Roman" w:hAnsi="Times New Roman"/>
          <w:sz w:val="24"/>
        </w:rPr>
        <w:tab/>
      </w:r>
      <w:r w:rsidRPr="00D04D32">
        <w:rPr>
          <w:rFonts w:ascii="Times New Roman" w:hAnsi="Times New Roman"/>
          <w:i/>
          <w:iCs/>
          <w:sz w:val="24"/>
        </w:rPr>
        <w:t>Limitation of Actions Act</w:t>
      </w:r>
      <w:r w:rsidRPr="00D04D32">
        <w:rPr>
          <w:rFonts w:ascii="Times New Roman" w:hAnsi="Times New Roman"/>
          <w:sz w:val="24"/>
        </w:rPr>
        <w:t>, ss 27QD and 27QE.</w:t>
      </w:r>
    </w:p>
  </w:footnote>
  <w:footnote w:id="11">
    <w:p w14:paraId="0220AE56" w14:textId="32B4395B" w:rsidR="000E34C3" w:rsidRPr="00D04D32" w:rsidRDefault="000E34C3"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Pr="00D04D32">
        <w:rPr>
          <w:rFonts w:ascii="Times New Roman" w:hAnsi="Times New Roman"/>
          <w:sz w:val="24"/>
        </w:rPr>
        <w:t xml:space="preserve"> </w:t>
      </w:r>
      <w:r w:rsidRPr="00D04D32">
        <w:rPr>
          <w:rFonts w:ascii="Times New Roman" w:hAnsi="Times New Roman"/>
          <w:sz w:val="24"/>
        </w:rPr>
        <w:tab/>
      </w:r>
      <w:r w:rsidRPr="00D04D32">
        <w:rPr>
          <w:rFonts w:ascii="Times New Roman" w:hAnsi="Times New Roman"/>
          <w:i/>
          <w:iCs/>
          <w:sz w:val="24"/>
        </w:rPr>
        <w:t>Limitation of Actions Act</w:t>
      </w:r>
      <w:r w:rsidRPr="00D04D32">
        <w:rPr>
          <w:rFonts w:ascii="Times New Roman" w:hAnsi="Times New Roman"/>
          <w:sz w:val="24"/>
        </w:rPr>
        <w:t>, s 27OA definition</w:t>
      </w:r>
      <w:r w:rsidR="00A40CB1" w:rsidRPr="00D04D32">
        <w:rPr>
          <w:rFonts w:ascii="Times New Roman" w:hAnsi="Times New Roman"/>
          <w:sz w:val="24"/>
        </w:rPr>
        <w:t>s</w:t>
      </w:r>
      <w:r w:rsidRPr="00D04D32">
        <w:rPr>
          <w:rFonts w:ascii="Times New Roman" w:hAnsi="Times New Roman"/>
          <w:sz w:val="24"/>
        </w:rPr>
        <w:t xml:space="preserve"> of "previously settled cause of action"</w:t>
      </w:r>
      <w:r w:rsidR="00A40CB1" w:rsidRPr="00D04D32">
        <w:rPr>
          <w:rFonts w:ascii="Times New Roman" w:hAnsi="Times New Roman"/>
          <w:sz w:val="24"/>
        </w:rPr>
        <w:t xml:space="preserve"> and "settlement agreement"</w:t>
      </w:r>
      <w:r w:rsidRPr="00D04D32">
        <w:rPr>
          <w:rFonts w:ascii="Times New Roman" w:hAnsi="Times New Roman"/>
          <w:sz w:val="24"/>
        </w:rPr>
        <w:t>.</w:t>
      </w:r>
    </w:p>
  </w:footnote>
  <w:footnote w:id="12">
    <w:p w14:paraId="46B27B2A" w14:textId="7E3CFDCB" w:rsidR="00C31F67" w:rsidRPr="00D04D32" w:rsidRDefault="00C31F67"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Pr="00D04D32">
        <w:rPr>
          <w:rFonts w:ascii="Times New Roman" w:hAnsi="Times New Roman"/>
          <w:sz w:val="24"/>
        </w:rPr>
        <w:t xml:space="preserve"> </w:t>
      </w:r>
      <w:r w:rsidRPr="00D04D32">
        <w:rPr>
          <w:rFonts w:ascii="Times New Roman" w:hAnsi="Times New Roman"/>
          <w:sz w:val="24"/>
        </w:rPr>
        <w:tab/>
      </w:r>
      <w:r w:rsidR="0030261F" w:rsidRPr="00D04D32">
        <w:rPr>
          <w:rFonts w:ascii="Times New Roman" w:hAnsi="Times New Roman"/>
          <w:sz w:val="24"/>
        </w:rPr>
        <w:t xml:space="preserve">See </w:t>
      </w:r>
      <w:r w:rsidRPr="00D04D32">
        <w:rPr>
          <w:rFonts w:ascii="Times New Roman" w:hAnsi="Times New Roman"/>
          <w:i/>
          <w:sz w:val="24"/>
        </w:rPr>
        <w:t xml:space="preserve">WCB </w:t>
      </w:r>
      <w:r w:rsidR="00AF0E4E" w:rsidRPr="00D04D32">
        <w:rPr>
          <w:rFonts w:ascii="Times New Roman" w:hAnsi="Times New Roman"/>
          <w:i/>
          <w:sz w:val="24"/>
        </w:rPr>
        <w:t>v Roman Catholic Trusts</w:t>
      </w:r>
      <w:r w:rsidR="00CE6648" w:rsidRPr="00D04D32">
        <w:rPr>
          <w:rFonts w:ascii="Times New Roman" w:hAnsi="Times New Roman"/>
          <w:i/>
          <w:sz w:val="24"/>
        </w:rPr>
        <w:t xml:space="preserve"> Corporation for the Diocese of Sale [No 2]</w:t>
      </w:r>
      <w:r w:rsidR="005A566D" w:rsidRPr="00D04D32">
        <w:rPr>
          <w:rFonts w:ascii="Times New Roman" w:hAnsi="Times New Roman"/>
          <w:i/>
          <w:sz w:val="24"/>
        </w:rPr>
        <w:t xml:space="preserve"> </w:t>
      </w:r>
      <w:r w:rsidR="005A566D" w:rsidRPr="00D04D32">
        <w:rPr>
          <w:rFonts w:ascii="Times New Roman" w:hAnsi="Times New Roman"/>
          <w:iCs/>
          <w:sz w:val="24"/>
        </w:rPr>
        <w:t>[2020] VSC 639 at</w:t>
      </w:r>
      <w:r w:rsidR="005A566D" w:rsidRPr="00D04D32" w:rsidDel="00A10216">
        <w:rPr>
          <w:rFonts w:ascii="Times New Roman" w:hAnsi="Times New Roman"/>
          <w:iCs/>
          <w:sz w:val="24"/>
        </w:rPr>
        <w:t xml:space="preserve"> </w:t>
      </w:r>
      <w:r w:rsidRPr="00D04D32">
        <w:rPr>
          <w:rFonts w:ascii="Times New Roman" w:hAnsi="Times New Roman"/>
          <w:sz w:val="24"/>
        </w:rPr>
        <w:t>[145].</w:t>
      </w:r>
    </w:p>
  </w:footnote>
  <w:footnote w:id="13">
    <w:p w14:paraId="60F66D41" w14:textId="267F2745" w:rsidR="00912E7F" w:rsidRPr="00D04D32" w:rsidRDefault="00912E7F" w:rsidP="00D04D32">
      <w:pPr>
        <w:pStyle w:val="FootnoteText"/>
        <w:spacing w:line="280" w:lineRule="exact"/>
        <w:ind w:right="0"/>
        <w:jc w:val="both"/>
        <w:rPr>
          <w:rFonts w:ascii="Times New Roman" w:hAnsi="Times New Roman"/>
          <w:sz w:val="24"/>
          <w:szCs w:val="22"/>
        </w:rPr>
      </w:pPr>
      <w:r w:rsidRPr="00D04D32">
        <w:rPr>
          <w:rStyle w:val="FootnoteReference"/>
          <w:rFonts w:ascii="Times New Roman" w:hAnsi="Times New Roman"/>
          <w:sz w:val="22"/>
          <w:szCs w:val="22"/>
          <w:vertAlign w:val="baseline"/>
        </w:rPr>
        <w:footnoteRef/>
      </w:r>
      <w:r w:rsidRPr="00D04D32">
        <w:rPr>
          <w:rFonts w:ascii="Times New Roman" w:hAnsi="Times New Roman"/>
          <w:sz w:val="24"/>
          <w:szCs w:val="22"/>
        </w:rPr>
        <w:t xml:space="preserve"> </w:t>
      </w:r>
      <w:r w:rsidRPr="00D04D32">
        <w:rPr>
          <w:rFonts w:ascii="Times New Roman" w:hAnsi="Times New Roman"/>
          <w:sz w:val="24"/>
          <w:szCs w:val="22"/>
        </w:rPr>
        <w:tab/>
      </w:r>
      <w:r w:rsidRPr="00D04D32">
        <w:rPr>
          <w:rFonts w:ascii="Times New Roman" w:hAnsi="Times New Roman"/>
          <w:i/>
          <w:iCs/>
          <w:sz w:val="24"/>
          <w:szCs w:val="22"/>
        </w:rPr>
        <w:t>Alcan</w:t>
      </w:r>
      <w:r w:rsidR="00DB2605" w:rsidRPr="00D04D32">
        <w:rPr>
          <w:rFonts w:ascii="Times New Roman" w:hAnsi="Times New Roman"/>
          <w:i/>
          <w:iCs/>
          <w:sz w:val="24"/>
          <w:szCs w:val="22"/>
        </w:rPr>
        <w:t xml:space="preserve"> (NT) Alumina Pty Ltd v Commissioner of Territory Revenue</w:t>
      </w:r>
      <w:r w:rsidRPr="00D04D32">
        <w:rPr>
          <w:rFonts w:ascii="Times New Roman" w:hAnsi="Times New Roman"/>
          <w:i/>
          <w:iCs/>
          <w:sz w:val="24"/>
          <w:szCs w:val="22"/>
        </w:rPr>
        <w:t xml:space="preserve"> </w:t>
      </w:r>
      <w:r w:rsidRPr="00D04D32">
        <w:rPr>
          <w:rFonts w:ascii="Times New Roman" w:hAnsi="Times New Roman"/>
          <w:sz w:val="24"/>
          <w:szCs w:val="22"/>
        </w:rPr>
        <w:t>(2009) 239 CLR</w:t>
      </w:r>
      <w:r w:rsidR="00636427">
        <w:rPr>
          <w:rFonts w:ascii="Times New Roman" w:hAnsi="Times New Roman"/>
          <w:sz w:val="24"/>
          <w:szCs w:val="22"/>
        </w:rPr>
        <w:t> </w:t>
      </w:r>
      <w:r w:rsidRPr="00D04D32">
        <w:rPr>
          <w:rFonts w:ascii="Times New Roman" w:hAnsi="Times New Roman"/>
          <w:sz w:val="24"/>
          <w:szCs w:val="22"/>
        </w:rPr>
        <w:t xml:space="preserve">27 at 47 [47], quoted in </w:t>
      </w:r>
      <w:r w:rsidR="00D15B46" w:rsidRPr="00D04D32">
        <w:rPr>
          <w:rFonts w:ascii="Times New Roman" w:hAnsi="Times New Roman"/>
          <w:i/>
          <w:iCs/>
          <w:sz w:val="24"/>
          <w:szCs w:val="22"/>
        </w:rPr>
        <w:t>Certain Lloyd's Underwriters v Cross</w:t>
      </w:r>
      <w:r w:rsidR="00D15B46" w:rsidRPr="00D04D32">
        <w:rPr>
          <w:rFonts w:ascii="Times New Roman" w:hAnsi="Times New Roman"/>
          <w:sz w:val="24"/>
          <w:szCs w:val="22"/>
        </w:rPr>
        <w:t xml:space="preserve"> (2012) 248 CLR</w:t>
      </w:r>
      <w:r w:rsidR="00636427">
        <w:rPr>
          <w:rFonts w:ascii="Times New Roman" w:hAnsi="Times New Roman"/>
          <w:sz w:val="24"/>
          <w:szCs w:val="22"/>
        </w:rPr>
        <w:t> </w:t>
      </w:r>
      <w:r w:rsidR="00D15B46" w:rsidRPr="00D04D32">
        <w:rPr>
          <w:rFonts w:ascii="Times New Roman" w:hAnsi="Times New Roman"/>
          <w:sz w:val="24"/>
          <w:szCs w:val="22"/>
        </w:rPr>
        <w:t>378</w:t>
      </w:r>
      <w:r w:rsidRPr="00D04D32">
        <w:rPr>
          <w:rFonts w:ascii="Times New Roman" w:hAnsi="Times New Roman"/>
          <w:sz w:val="24"/>
          <w:szCs w:val="22"/>
        </w:rPr>
        <w:t xml:space="preserve"> at 388 [23].</w:t>
      </w:r>
    </w:p>
  </w:footnote>
  <w:footnote w:id="14">
    <w:p w14:paraId="68CA2FB3" w14:textId="77777777" w:rsidR="00912E7F" w:rsidRPr="00D04D32" w:rsidRDefault="00912E7F" w:rsidP="00D04D32">
      <w:pPr>
        <w:pStyle w:val="FootnoteText"/>
        <w:spacing w:line="280" w:lineRule="exact"/>
        <w:ind w:right="0"/>
        <w:jc w:val="both"/>
        <w:rPr>
          <w:rFonts w:ascii="Times New Roman" w:hAnsi="Times New Roman"/>
          <w:sz w:val="24"/>
          <w:szCs w:val="22"/>
        </w:rPr>
      </w:pPr>
      <w:r w:rsidRPr="00D04D32">
        <w:rPr>
          <w:rStyle w:val="FootnoteReference"/>
          <w:rFonts w:ascii="Times New Roman" w:hAnsi="Times New Roman"/>
          <w:sz w:val="22"/>
          <w:szCs w:val="22"/>
          <w:vertAlign w:val="baseline"/>
        </w:rPr>
        <w:footnoteRef/>
      </w:r>
      <w:r w:rsidRPr="00D04D32">
        <w:rPr>
          <w:rFonts w:ascii="Times New Roman" w:hAnsi="Times New Roman"/>
          <w:sz w:val="24"/>
          <w:szCs w:val="22"/>
        </w:rPr>
        <w:t xml:space="preserve"> </w:t>
      </w:r>
      <w:r w:rsidRPr="00D04D32">
        <w:rPr>
          <w:rFonts w:ascii="Times New Roman" w:hAnsi="Times New Roman"/>
          <w:sz w:val="24"/>
          <w:szCs w:val="22"/>
        </w:rPr>
        <w:tab/>
      </w:r>
      <w:r w:rsidRPr="00D04D32">
        <w:rPr>
          <w:rFonts w:ascii="Times New Roman" w:hAnsi="Times New Roman"/>
          <w:i/>
          <w:iCs/>
          <w:sz w:val="24"/>
          <w:szCs w:val="22"/>
        </w:rPr>
        <w:t xml:space="preserve">Cross </w:t>
      </w:r>
      <w:r w:rsidRPr="00D04D32">
        <w:rPr>
          <w:rFonts w:ascii="Times New Roman" w:hAnsi="Times New Roman"/>
          <w:sz w:val="24"/>
          <w:szCs w:val="22"/>
        </w:rPr>
        <w:t xml:space="preserve">(2012) 248 CLR 378 at 389 [24]. See also </w:t>
      </w:r>
      <w:r w:rsidRPr="00D04D32">
        <w:rPr>
          <w:rFonts w:ascii="Times New Roman" w:hAnsi="Times New Roman"/>
          <w:i/>
          <w:iCs/>
          <w:sz w:val="24"/>
          <w:szCs w:val="22"/>
        </w:rPr>
        <w:t xml:space="preserve">Project Blue Sky Inc v Australian Broadcasting Authority </w:t>
      </w:r>
      <w:r w:rsidRPr="00D04D32">
        <w:rPr>
          <w:rFonts w:ascii="Times New Roman" w:hAnsi="Times New Roman"/>
          <w:sz w:val="24"/>
          <w:szCs w:val="22"/>
        </w:rPr>
        <w:t>(1998) 194 CLR 355 at 381 [69].</w:t>
      </w:r>
    </w:p>
  </w:footnote>
  <w:footnote w:id="15">
    <w:p w14:paraId="2F94E51B" w14:textId="329302F0" w:rsidR="00912E7F" w:rsidRPr="00D04D32" w:rsidRDefault="00912E7F" w:rsidP="00D04D32">
      <w:pPr>
        <w:pStyle w:val="FootnoteText"/>
        <w:spacing w:line="280" w:lineRule="exact"/>
        <w:ind w:right="0"/>
        <w:jc w:val="both"/>
        <w:rPr>
          <w:rFonts w:ascii="Times New Roman" w:hAnsi="Times New Roman"/>
          <w:sz w:val="24"/>
          <w:szCs w:val="22"/>
        </w:rPr>
      </w:pPr>
      <w:r w:rsidRPr="00D04D32">
        <w:rPr>
          <w:rStyle w:val="FootnoteReference"/>
          <w:rFonts w:ascii="Times New Roman" w:hAnsi="Times New Roman"/>
          <w:sz w:val="22"/>
          <w:szCs w:val="22"/>
          <w:vertAlign w:val="baseline"/>
        </w:rPr>
        <w:footnoteRef/>
      </w:r>
      <w:r w:rsidRPr="00D04D32">
        <w:rPr>
          <w:rFonts w:ascii="Times New Roman" w:hAnsi="Times New Roman"/>
          <w:sz w:val="24"/>
          <w:szCs w:val="22"/>
        </w:rPr>
        <w:t xml:space="preserve"> </w:t>
      </w:r>
      <w:r w:rsidRPr="00D04D32">
        <w:rPr>
          <w:rFonts w:ascii="Times New Roman" w:hAnsi="Times New Roman"/>
          <w:sz w:val="24"/>
          <w:szCs w:val="22"/>
        </w:rPr>
        <w:tab/>
        <w:t>(1998) 194 CLR 355 at 381 [69]</w:t>
      </w:r>
      <w:r w:rsidR="008F682B" w:rsidRPr="00D04D32">
        <w:rPr>
          <w:rFonts w:ascii="Times New Roman" w:hAnsi="Times New Roman"/>
          <w:sz w:val="24"/>
          <w:szCs w:val="22"/>
        </w:rPr>
        <w:t>.</w:t>
      </w:r>
      <w:r w:rsidRPr="00D04D32">
        <w:rPr>
          <w:rFonts w:ascii="Times New Roman" w:hAnsi="Times New Roman"/>
          <w:sz w:val="24"/>
          <w:szCs w:val="22"/>
        </w:rPr>
        <w:t xml:space="preserve"> See also </w:t>
      </w:r>
      <w:r w:rsidRPr="00D04D32">
        <w:rPr>
          <w:rFonts w:ascii="Times New Roman" w:hAnsi="Times New Roman"/>
          <w:i/>
          <w:iCs/>
          <w:sz w:val="24"/>
          <w:szCs w:val="22"/>
        </w:rPr>
        <w:t xml:space="preserve">Cooper Brookes (Wollongong) Pty Ltd v Federal Commissioner of Taxation </w:t>
      </w:r>
      <w:r w:rsidRPr="00D04D32">
        <w:rPr>
          <w:rFonts w:ascii="Times New Roman" w:hAnsi="Times New Roman"/>
          <w:sz w:val="24"/>
          <w:szCs w:val="22"/>
        </w:rPr>
        <w:t>(1981) 147 CLR 297 at 320</w:t>
      </w:r>
      <w:r w:rsidR="008F682B" w:rsidRPr="00D04D32">
        <w:rPr>
          <w:rFonts w:ascii="Times New Roman" w:hAnsi="Times New Roman"/>
          <w:sz w:val="24"/>
          <w:szCs w:val="22"/>
        </w:rPr>
        <w:t xml:space="preserve">; </w:t>
      </w:r>
      <w:r w:rsidR="008F682B" w:rsidRPr="00D04D32">
        <w:rPr>
          <w:rFonts w:ascii="Times New Roman" w:hAnsi="Times New Roman"/>
          <w:i/>
          <w:iCs/>
          <w:sz w:val="24"/>
          <w:szCs w:val="22"/>
        </w:rPr>
        <w:t>Cross</w:t>
      </w:r>
      <w:r w:rsidR="008F682B" w:rsidRPr="00D04D32">
        <w:rPr>
          <w:rFonts w:ascii="Times New Roman" w:hAnsi="Times New Roman"/>
          <w:sz w:val="24"/>
          <w:szCs w:val="22"/>
        </w:rPr>
        <w:t xml:space="preserve"> (2012) 248 CLR 378 at 389 [24]</w:t>
      </w:r>
      <w:r w:rsidRPr="00D04D32">
        <w:rPr>
          <w:rFonts w:ascii="Times New Roman" w:hAnsi="Times New Roman"/>
          <w:sz w:val="24"/>
          <w:szCs w:val="22"/>
        </w:rPr>
        <w:t>.</w:t>
      </w:r>
    </w:p>
  </w:footnote>
  <w:footnote w:id="16">
    <w:p w14:paraId="7E26190B" w14:textId="77777777" w:rsidR="00912E7F" w:rsidRPr="00D04D32" w:rsidRDefault="00912E7F" w:rsidP="00D04D32">
      <w:pPr>
        <w:pStyle w:val="FootnoteText"/>
        <w:spacing w:line="280" w:lineRule="exact"/>
        <w:ind w:right="0"/>
        <w:jc w:val="both"/>
        <w:rPr>
          <w:rFonts w:ascii="Times New Roman" w:hAnsi="Times New Roman"/>
          <w:sz w:val="24"/>
          <w:szCs w:val="20"/>
        </w:rPr>
      </w:pPr>
      <w:r w:rsidRPr="00D04D32">
        <w:rPr>
          <w:rStyle w:val="FootnoteReference"/>
          <w:rFonts w:ascii="Times New Roman" w:hAnsi="Times New Roman"/>
          <w:sz w:val="22"/>
          <w:szCs w:val="22"/>
          <w:vertAlign w:val="baseline"/>
        </w:rPr>
        <w:footnoteRef/>
      </w:r>
      <w:r w:rsidRPr="00D04D32">
        <w:rPr>
          <w:rFonts w:ascii="Times New Roman" w:hAnsi="Times New Roman"/>
          <w:sz w:val="24"/>
          <w:szCs w:val="22"/>
        </w:rPr>
        <w:t xml:space="preserve"> </w:t>
      </w:r>
      <w:r w:rsidRPr="00D04D32">
        <w:rPr>
          <w:rFonts w:ascii="Times New Roman" w:hAnsi="Times New Roman"/>
          <w:sz w:val="24"/>
          <w:szCs w:val="22"/>
        </w:rPr>
        <w:tab/>
      </w:r>
      <w:r w:rsidRPr="00D04D32">
        <w:rPr>
          <w:rFonts w:ascii="Times New Roman" w:hAnsi="Times New Roman"/>
          <w:i/>
          <w:iCs/>
          <w:sz w:val="24"/>
          <w:szCs w:val="22"/>
        </w:rPr>
        <w:t>Cross</w:t>
      </w:r>
      <w:r w:rsidRPr="00D04D32">
        <w:rPr>
          <w:rFonts w:ascii="Times New Roman" w:hAnsi="Times New Roman"/>
          <w:sz w:val="24"/>
          <w:szCs w:val="22"/>
        </w:rPr>
        <w:t xml:space="preserve"> (2012) 248 CLR 378 at 390 [26].</w:t>
      </w:r>
    </w:p>
  </w:footnote>
  <w:footnote w:id="17">
    <w:p w14:paraId="169BABD7" w14:textId="7CAA935F" w:rsidR="00912E7F" w:rsidRPr="00D04D32" w:rsidRDefault="00912E7F"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Pr="00D04D32">
        <w:rPr>
          <w:rFonts w:ascii="Times New Roman" w:hAnsi="Times New Roman"/>
          <w:sz w:val="24"/>
        </w:rPr>
        <w:t xml:space="preserve"> </w:t>
      </w:r>
      <w:r w:rsidR="00B8061F" w:rsidRPr="00D04D32">
        <w:rPr>
          <w:rFonts w:ascii="Times New Roman" w:hAnsi="Times New Roman"/>
          <w:sz w:val="24"/>
        </w:rPr>
        <w:tab/>
      </w:r>
      <w:r w:rsidRPr="00D04D32">
        <w:rPr>
          <w:rFonts w:ascii="Times New Roman" w:hAnsi="Times New Roman"/>
          <w:sz w:val="24"/>
        </w:rPr>
        <w:t xml:space="preserve">See </w:t>
      </w:r>
      <w:r w:rsidR="00606290" w:rsidRPr="00D04D32">
        <w:rPr>
          <w:rFonts w:ascii="Times New Roman" w:hAnsi="Times New Roman"/>
          <w:i/>
          <w:iCs/>
          <w:sz w:val="24"/>
        </w:rPr>
        <w:t>Roman Catholic Trusts Corporation for the Diocese of Sale v WCB</w:t>
      </w:r>
      <w:r w:rsidRPr="00D04D32">
        <w:rPr>
          <w:rFonts w:ascii="Times New Roman" w:hAnsi="Times New Roman"/>
          <w:i/>
          <w:iCs/>
          <w:sz w:val="24"/>
        </w:rPr>
        <w:t xml:space="preserve"> </w:t>
      </w:r>
      <w:r w:rsidRPr="00D04D32">
        <w:rPr>
          <w:rFonts w:ascii="Times New Roman" w:hAnsi="Times New Roman"/>
          <w:sz w:val="24"/>
        </w:rPr>
        <w:t>(2020) 62 VR 234 at 270 [121].</w:t>
      </w:r>
    </w:p>
  </w:footnote>
  <w:footnote w:id="18">
    <w:p w14:paraId="6D1C1FDC" w14:textId="05C45F43" w:rsidR="00912E7F" w:rsidRPr="00D04D32" w:rsidRDefault="00912E7F"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0006305B" w:rsidRPr="00D04D32">
        <w:rPr>
          <w:rFonts w:ascii="Times New Roman" w:hAnsi="Times New Roman"/>
          <w:sz w:val="24"/>
        </w:rPr>
        <w:tab/>
      </w:r>
      <w:r w:rsidRPr="00D04D32">
        <w:rPr>
          <w:rFonts w:ascii="Times New Roman" w:hAnsi="Times New Roman"/>
          <w:sz w:val="24"/>
        </w:rPr>
        <w:t xml:space="preserve">See </w:t>
      </w:r>
      <w:r w:rsidRPr="00D04D32">
        <w:rPr>
          <w:rFonts w:ascii="Times New Roman" w:hAnsi="Times New Roman"/>
          <w:i/>
          <w:iCs/>
          <w:sz w:val="24"/>
        </w:rPr>
        <w:t xml:space="preserve">Owners of </w:t>
      </w:r>
      <w:r w:rsidR="009318C9" w:rsidRPr="00D04D32">
        <w:rPr>
          <w:rFonts w:ascii="Times New Roman" w:hAnsi="Times New Roman"/>
          <w:i/>
          <w:iCs/>
          <w:sz w:val="24"/>
        </w:rPr>
        <w:t>"</w:t>
      </w:r>
      <w:r w:rsidRPr="00D04D32">
        <w:rPr>
          <w:rFonts w:ascii="Times New Roman" w:hAnsi="Times New Roman"/>
          <w:i/>
          <w:iCs/>
          <w:sz w:val="24"/>
        </w:rPr>
        <w:t>Shin Kobe Maru</w:t>
      </w:r>
      <w:r w:rsidR="009318C9" w:rsidRPr="00D04D32">
        <w:rPr>
          <w:rFonts w:ascii="Times New Roman" w:hAnsi="Times New Roman"/>
          <w:i/>
          <w:iCs/>
          <w:sz w:val="24"/>
        </w:rPr>
        <w:t>"</w:t>
      </w:r>
      <w:r w:rsidRPr="00D04D32">
        <w:rPr>
          <w:rFonts w:ascii="Times New Roman" w:hAnsi="Times New Roman"/>
          <w:i/>
          <w:iCs/>
          <w:sz w:val="24"/>
        </w:rPr>
        <w:t xml:space="preserve"> v Empire Shipping Co Inc </w:t>
      </w:r>
      <w:r w:rsidRPr="00D04D32">
        <w:rPr>
          <w:rFonts w:ascii="Times New Roman" w:hAnsi="Times New Roman"/>
          <w:sz w:val="24"/>
        </w:rPr>
        <w:t xml:space="preserve">(1994) 181 CLR 404 at 421. See also </w:t>
      </w:r>
      <w:r w:rsidRPr="00D04D32">
        <w:rPr>
          <w:rFonts w:ascii="Times New Roman" w:hAnsi="Times New Roman"/>
          <w:i/>
          <w:iCs/>
          <w:sz w:val="24"/>
        </w:rPr>
        <w:t xml:space="preserve">Weinstock v Beck </w:t>
      </w:r>
      <w:r w:rsidRPr="00D04D32">
        <w:rPr>
          <w:rFonts w:ascii="Times New Roman" w:hAnsi="Times New Roman"/>
          <w:sz w:val="24"/>
        </w:rPr>
        <w:t>(2013) 251 CLR 396 at 419-420 [55]</w:t>
      </w:r>
      <w:r w:rsidR="00816089" w:rsidRPr="00D04D32">
        <w:rPr>
          <w:rFonts w:ascii="Times New Roman" w:hAnsi="Times New Roman"/>
          <w:sz w:val="24"/>
        </w:rPr>
        <w:t xml:space="preserve">; </w:t>
      </w:r>
      <w:r w:rsidR="008374E2" w:rsidRPr="00D04D32">
        <w:rPr>
          <w:rFonts w:ascii="Times New Roman" w:hAnsi="Times New Roman"/>
          <w:i/>
          <w:iCs/>
          <w:sz w:val="24"/>
        </w:rPr>
        <w:t>Deputy</w:t>
      </w:r>
      <w:r w:rsidR="0060565C">
        <w:rPr>
          <w:rFonts w:ascii="Times New Roman" w:hAnsi="Times New Roman"/>
          <w:i/>
          <w:iCs/>
          <w:sz w:val="24"/>
        </w:rPr>
        <w:t> </w:t>
      </w:r>
      <w:r w:rsidR="008374E2" w:rsidRPr="00D04D32">
        <w:rPr>
          <w:rFonts w:ascii="Times New Roman" w:hAnsi="Times New Roman"/>
          <w:i/>
          <w:iCs/>
          <w:sz w:val="24"/>
        </w:rPr>
        <w:t>Commissioner of Taxation</w:t>
      </w:r>
      <w:r w:rsidR="00FF3239" w:rsidRPr="00D04D32">
        <w:rPr>
          <w:rFonts w:ascii="Times New Roman" w:hAnsi="Times New Roman"/>
          <w:i/>
          <w:iCs/>
          <w:sz w:val="24"/>
        </w:rPr>
        <w:t xml:space="preserve"> v Huang </w:t>
      </w:r>
      <w:r w:rsidR="00FF3239" w:rsidRPr="00D04D32">
        <w:rPr>
          <w:rFonts w:ascii="Times New Roman" w:hAnsi="Times New Roman"/>
          <w:sz w:val="24"/>
        </w:rPr>
        <w:t>(2021) 273 CLR 429 at 445 [23]</w:t>
      </w:r>
      <w:r w:rsidRPr="00D04D32">
        <w:rPr>
          <w:rFonts w:ascii="Times New Roman" w:hAnsi="Times New Roman"/>
          <w:sz w:val="24"/>
        </w:rPr>
        <w:t>.</w:t>
      </w:r>
    </w:p>
  </w:footnote>
  <w:footnote w:id="19">
    <w:p w14:paraId="6AFF2312" w14:textId="4CE47A51" w:rsidR="00912E7F" w:rsidRPr="00D04D32" w:rsidRDefault="00912E7F"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0006305B" w:rsidRPr="00D04D32">
        <w:rPr>
          <w:rFonts w:ascii="Times New Roman" w:hAnsi="Times New Roman"/>
          <w:sz w:val="24"/>
        </w:rPr>
        <w:tab/>
      </w:r>
      <w:r w:rsidRPr="00D04D32">
        <w:rPr>
          <w:rFonts w:ascii="Times New Roman" w:hAnsi="Times New Roman"/>
          <w:sz w:val="24"/>
        </w:rPr>
        <w:t>(2020) 5 QR 440.</w:t>
      </w:r>
    </w:p>
  </w:footnote>
  <w:footnote w:id="20">
    <w:p w14:paraId="58F155F6" w14:textId="21C4A328" w:rsidR="00912E7F" w:rsidRPr="00D04D32" w:rsidRDefault="00912E7F"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0006305B" w:rsidRPr="00D04D32">
        <w:rPr>
          <w:rFonts w:ascii="Times New Roman" w:hAnsi="Times New Roman"/>
          <w:sz w:val="24"/>
        </w:rPr>
        <w:tab/>
      </w:r>
      <w:r w:rsidRPr="00D04D32">
        <w:rPr>
          <w:rFonts w:ascii="Times New Roman" w:hAnsi="Times New Roman"/>
          <w:sz w:val="24"/>
        </w:rPr>
        <w:t xml:space="preserve">(2020) 5 QR 440 at </w:t>
      </w:r>
      <w:r w:rsidR="00A722BC" w:rsidRPr="00D04D32">
        <w:rPr>
          <w:rFonts w:ascii="Times New Roman" w:hAnsi="Times New Roman"/>
          <w:sz w:val="24"/>
        </w:rPr>
        <w:t xml:space="preserve">461 </w:t>
      </w:r>
      <w:r w:rsidRPr="00D04D32">
        <w:rPr>
          <w:rFonts w:ascii="Times New Roman" w:hAnsi="Times New Roman"/>
          <w:sz w:val="24"/>
        </w:rPr>
        <w:t>[28].</w:t>
      </w:r>
    </w:p>
  </w:footnote>
  <w:footnote w:id="21">
    <w:p w14:paraId="2493705E" w14:textId="561C0B6C" w:rsidR="00FD05FF" w:rsidRPr="00D04D32" w:rsidRDefault="00FD05FF"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00F93D7C" w:rsidRPr="00D04D32">
        <w:rPr>
          <w:rFonts w:ascii="Times New Roman" w:hAnsi="Times New Roman"/>
          <w:sz w:val="24"/>
        </w:rPr>
        <w:tab/>
      </w:r>
      <w:r w:rsidRPr="00D04D32">
        <w:rPr>
          <w:rFonts w:ascii="Times New Roman" w:hAnsi="Times New Roman"/>
          <w:sz w:val="24"/>
          <w:szCs w:val="22"/>
        </w:rPr>
        <w:t xml:space="preserve">Victoria, Legislative Assembly, </w:t>
      </w:r>
      <w:r w:rsidRPr="00D04D32">
        <w:rPr>
          <w:rFonts w:ascii="Times New Roman" w:hAnsi="Times New Roman"/>
          <w:i/>
          <w:iCs/>
          <w:sz w:val="24"/>
          <w:szCs w:val="22"/>
        </w:rPr>
        <w:t>Children Legislation Amendment Bill 2019</w:t>
      </w:r>
      <w:r w:rsidRPr="00D04D32">
        <w:rPr>
          <w:rFonts w:ascii="Times New Roman" w:hAnsi="Times New Roman"/>
          <w:sz w:val="24"/>
          <w:szCs w:val="22"/>
        </w:rPr>
        <w:t xml:space="preserve">, Explanatory Memorandum </w:t>
      </w:r>
      <w:r w:rsidRPr="00D04D32">
        <w:rPr>
          <w:rFonts w:ascii="Times New Roman" w:hAnsi="Times New Roman"/>
          <w:sz w:val="24"/>
        </w:rPr>
        <w:t xml:space="preserve">at </w:t>
      </w:r>
      <w:r w:rsidR="003178EB" w:rsidRPr="00D04D32">
        <w:rPr>
          <w:rFonts w:ascii="Times New Roman" w:hAnsi="Times New Roman"/>
          <w:sz w:val="24"/>
        </w:rPr>
        <w:t>17</w:t>
      </w:r>
      <w:r w:rsidRPr="00D04D32">
        <w:rPr>
          <w:rFonts w:ascii="Times New Roman" w:hAnsi="Times New Roman"/>
          <w:sz w:val="24"/>
        </w:rPr>
        <w:t>.</w:t>
      </w:r>
    </w:p>
  </w:footnote>
  <w:footnote w:id="22">
    <w:p w14:paraId="74CBB5D6" w14:textId="20EC4989" w:rsidR="00F93D7C" w:rsidRPr="00D04D32" w:rsidRDefault="00F93D7C"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Pr="00D04D32">
        <w:rPr>
          <w:rFonts w:ascii="Times New Roman" w:hAnsi="Times New Roman"/>
          <w:sz w:val="24"/>
        </w:rPr>
        <w:tab/>
        <w:t>V</w:t>
      </w:r>
      <w:r w:rsidRPr="00D04D32">
        <w:rPr>
          <w:rFonts w:ascii="Times New Roman" w:hAnsi="Times New Roman"/>
          <w:sz w:val="24"/>
          <w:szCs w:val="22"/>
        </w:rPr>
        <w:t xml:space="preserve">ictoria, Legislative Assembly, </w:t>
      </w:r>
      <w:r w:rsidRPr="00D04D32">
        <w:rPr>
          <w:rFonts w:ascii="Times New Roman" w:hAnsi="Times New Roman"/>
          <w:i/>
          <w:iCs/>
          <w:sz w:val="24"/>
          <w:szCs w:val="22"/>
        </w:rPr>
        <w:t xml:space="preserve">Parliamentary Debates </w:t>
      </w:r>
      <w:r w:rsidRPr="00D04D32">
        <w:rPr>
          <w:rFonts w:ascii="Times New Roman" w:hAnsi="Times New Roman"/>
          <w:sz w:val="24"/>
          <w:szCs w:val="22"/>
        </w:rPr>
        <w:t xml:space="preserve">(Hansard), 15 August 2019 </w:t>
      </w:r>
      <w:r w:rsidRPr="00D04D32">
        <w:rPr>
          <w:rFonts w:ascii="Times New Roman" w:hAnsi="Times New Roman"/>
          <w:sz w:val="24"/>
        </w:rPr>
        <w:t>at 2695-2696.</w:t>
      </w:r>
    </w:p>
  </w:footnote>
  <w:footnote w:id="23">
    <w:p w14:paraId="69BB49CF" w14:textId="19C79880" w:rsidR="00953958" w:rsidRPr="00D04D32" w:rsidRDefault="00953958" w:rsidP="00D04D32">
      <w:pPr>
        <w:pStyle w:val="FootnoteText"/>
        <w:spacing w:line="280" w:lineRule="exact"/>
        <w:ind w:right="0"/>
        <w:jc w:val="both"/>
        <w:rPr>
          <w:rFonts w:ascii="Times New Roman" w:hAnsi="Times New Roman"/>
          <w:sz w:val="24"/>
        </w:rPr>
      </w:pPr>
      <w:r w:rsidRPr="00D04D32">
        <w:rPr>
          <w:rStyle w:val="FootnoteReference"/>
          <w:rFonts w:ascii="Times New Roman" w:hAnsi="Times New Roman"/>
          <w:sz w:val="22"/>
          <w:vertAlign w:val="baseline"/>
        </w:rPr>
        <w:footnoteRef/>
      </w:r>
      <w:r w:rsidRPr="00D04D32">
        <w:rPr>
          <w:rFonts w:ascii="Times New Roman" w:hAnsi="Times New Roman"/>
          <w:sz w:val="24"/>
        </w:rPr>
        <w:t xml:space="preserve"> </w:t>
      </w:r>
      <w:r w:rsidRPr="00D04D32">
        <w:rPr>
          <w:rFonts w:ascii="Times New Roman" w:hAnsi="Times New Roman"/>
          <w:sz w:val="24"/>
        </w:rPr>
        <w:tab/>
        <w:t xml:space="preserve">See </w:t>
      </w:r>
      <w:r w:rsidRPr="00DE6F5A">
        <w:rPr>
          <w:rFonts w:ascii="Times New Roman" w:hAnsi="Times New Roman"/>
          <w:sz w:val="24"/>
        </w:rPr>
        <w:t>[</w:t>
      </w:r>
      <w:r w:rsidR="00700C53" w:rsidRPr="00DE6F5A">
        <w:rPr>
          <w:rFonts w:ascii="Times New Roman" w:hAnsi="Times New Roman"/>
          <w:sz w:val="24"/>
        </w:rPr>
        <w:t>18]-[19]</w:t>
      </w:r>
      <w:r w:rsidR="00700C53" w:rsidRPr="00D04D32">
        <w:rPr>
          <w:rFonts w:ascii="Times New Roman" w:hAnsi="Times New Roman"/>
          <w:sz w:val="24"/>
        </w:rPr>
        <w:t xml:space="preserve"> </w:t>
      </w:r>
      <w:r w:rsidRPr="00D04D32">
        <w:rPr>
          <w:rFonts w:ascii="Times New Roman" w:hAnsi="Times New Roman"/>
          <w:sz w:val="24"/>
        </w:rPr>
        <w:t>above.</w:t>
      </w:r>
    </w:p>
  </w:footnote>
  <w:footnote w:id="24">
    <w:p w14:paraId="02E9D4BB" w14:textId="77777777" w:rsidR="00270185" w:rsidRPr="00276680" w:rsidRDefault="00270185" w:rsidP="00276680">
      <w:pPr>
        <w:pStyle w:val="FootnoteText"/>
        <w:spacing w:line="280" w:lineRule="exact"/>
        <w:ind w:right="0"/>
        <w:jc w:val="both"/>
        <w:rPr>
          <w:rFonts w:ascii="Times New Roman" w:hAnsi="Times New Roman"/>
          <w:sz w:val="24"/>
        </w:rPr>
      </w:pPr>
      <w:r w:rsidRPr="00276680">
        <w:rPr>
          <w:rStyle w:val="FootnoteReference"/>
          <w:rFonts w:ascii="Times New Roman" w:hAnsi="Times New Roman"/>
          <w:sz w:val="22"/>
          <w:vertAlign w:val="baseline"/>
        </w:rPr>
        <w:footnoteRef/>
      </w:r>
      <w:r w:rsidRPr="00276680">
        <w:rPr>
          <w:rFonts w:ascii="Times New Roman" w:hAnsi="Times New Roman"/>
          <w:sz w:val="24"/>
        </w:rPr>
        <w:t xml:space="preserve"> </w:t>
      </w:r>
      <w:r w:rsidRPr="00276680">
        <w:rPr>
          <w:rFonts w:ascii="Times New Roman" w:hAnsi="Times New Roman"/>
          <w:sz w:val="24"/>
        </w:rPr>
        <w:tab/>
      </w:r>
      <w:r w:rsidRPr="00276680">
        <w:rPr>
          <w:rFonts w:ascii="Times New Roman" w:hAnsi="Times New Roman"/>
          <w:i/>
          <w:iCs/>
          <w:sz w:val="24"/>
        </w:rPr>
        <w:t>Trustees of the Christian Brothers v DZY (a pseudonym)</w:t>
      </w:r>
      <w:r w:rsidRPr="00276680">
        <w:rPr>
          <w:rFonts w:ascii="Times New Roman" w:hAnsi="Times New Roman"/>
          <w:sz w:val="24"/>
        </w:rPr>
        <w:t xml:space="preserve"> [2024] VSCA 73 at [1]-[153] per Beach and Macaulay JJ</w:t>
      </w:r>
      <w:r>
        <w:rPr>
          <w:rFonts w:ascii="Times New Roman" w:hAnsi="Times New Roman"/>
          <w:sz w:val="24"/>
        </w:rPr>
        <w:t>A</w:t>
      </w:r>
      <w:r w:rsidRPr="00276680">
        <w:rPr>
          <w:rFonts w:ascii="Times New Roman" w:hAnsi="Times New Roman"/>
          <w:sz w:val="24"/>
        </w:rPr>
        <w:t>.</w:t>
      </w:r>
    </w:p>
  </w:footnote>
  <w:footnote w:id="25">
    <w:p w14:paraId="5F92B47E" w14:textId="77777777" w:rsidR="00270185" w:rsidRPr="00276680" w:rsidRDefault="00270185" w:rsidP="00276680">
      <w:pPr>
        <w:pStyle w:val="FootnoteText"/>
        <w:spacing w:line="280" w:lineRule="exact"/>
        <w:ind w:right="0"/>
        <w:jc w:val="both"/>
        <w:rPr>
          <w:rFonts w:ascii="Times New Roman" w:hAnsi="Times New Roman"/>
          <w:sz w:val="24"/>
        </w:rPr>
      </w:pPr>
      <w:r w:rsidRPr="00276680">
        <w:rPr>
          <w:rStyle w:val="FootnoteReference"/>
          <w:rFonts w:ascii="Times New Roman" w:hAnsi="Times New Roman"/>
          <w:sz w:val="22"/>
          <w:vertAlign w:val="baseline"/>
        </w:rPr>
        <w:footnoteRef/>
      </w:r>
      <w:r w:rsidRPr="00276680">
        <w:rPr>
          <w:rFonts w:ascii="Times New Roman" w:hAnsi="Times New Roman"/>
          <w:sz w:val="24"/>
        </w:rPr>
        <w:t xml:space="preserve"> </w:t>
      </w:r>
      <w:r w:rsidRPr="00276680">
        <w:rPr>
          <w:rFonts w:ascii="Times New Roman" w:hAnsi="Times New Roman"/>
          <w:sz w:val="24"/>
        </w:rPr>
        <w:tab/>
      </w:r>
      <w:r w:rsidRPr="00276680">
        <w:rPr>
          <w:rFonts w:ascii="Times New Roman" w:hAnsi="Times New Roman"/>
          <w:i/>
          <w:iCs/>
          <w:sz w:val="24"/>
        </w:rPr>
        <w:t>Trustees of the Christian Brothers v DZY (a pseudonym)</w:t>
      </w:r>
      <w:r w:rsidRPr="00276680">
        <w:rPr>
          <w:rFonts w:ascii="Times New Roman" w:hAnsi="Times New Roman"/>
          <w:sz w:val="24"/>
        </w:rPr>
        <w:t xml:space="preserve"> [2024] VSCA 73 at [109] per Beach and Macaulay JJ</w:t>
      </w:r>
      <w:r>
        <w:rPr>
          <w:rFonts w:ascii="Times New Roman" w:hAnsi="Times New Roman"/>
          <w:sz w:val="24"/>
        </w:rPr>
        <w:t>A</w:t>
      </w:r>
      <w:r w:rsidRPr="00276680">
        <w:rPr>
          <w:rFonts w:ascii="Times New Roman" w:hAnsi="Times New Roman"/>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AA5C" w14:textId="77777777" w:rsidR="00D04D32" w:rsidRPr="00CA52FD" w:rsidRDefault="00D04D32" w:rsidP="00CA52F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0914" w14:textId="77777777" w:rsidR="00270185" w:rsidRPr="00270185" w:rsidRDefault="00270185" w:rsidP="00270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E2B7" w14:textId="1B754B4D" w:rsidR="00D04D32" w:rsidRPr="00CA52FD" w:rsidRDefault="00CA52FD" w:rsidP="00CA52F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ADC6" w14:textId="1CDBEED5" w:rsidR="00363E59" w:rsidRPr="00CA52FD" w:rsidRDefault="00363E59" w:rsidP="00CA52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56C3" w14:textId="77777777" w:rsidR="00CA52FD" w:rsidRPr="00D04D32" w:rsidRDefault="00CA52FD" w:rsidP="00D04D32">
    <w:pPr>
      <w:pStyle w:val="Header"/>
      <w:tabs>
        <w:tab w:val="clear" w:pos="4153"/>
        <w:tab w:val="clear" w:pos="8306"/>
        <w:tab w:val="right" w:pos="1304"/>
      </w:tabs>
      <w:spacing w:line="280" w:lineRule="exact"/>
      <w:ind w:firstLine="0"/>
      <w:rPr>
        <w:rFonts w:ascii="Times New Roman" w:hAnsi="Times New Roman"/>
        <w:i/>
        <w:sz w:val="22"/>
      </w:rPr>
    </w:pPr>
    <w:r w:rsidRPr="00D04D32">
      <w:rPr>
        <w:rFonts w:ascii="Times New Roman" w:hAnsi="Times New Roman"/>
        <w:i/>
        <w:sz w:val="22"/>
      </w:rPr>
      <w:t>Gageler</w:t>
    </w:r>
    <w:r w:rsidRPr="00D04D32">
      <w:rPr>
        <w:rFonts w:ascii="Times New Roman" w:hAnsi="Times New Roman"/>
        <w:i/>
        <w:sz w:val="22"/>
      </w:rPr>
      <w:tab/>
      <w:t>CJ</w:t>
    </w:r>
  </w:p>
  <w:p w14:paraId="02BC527B" w14:textId="77777777" w:rsidR="00CA52FD" w:rsidRPr="00D04D32" w:rsidRDefault="00CA52FD" w:rsidP="00D04D32">
    <w:pPr>
      <w:pStyle w:val="Header"/>
      <w:tabs>
        <w:tab w:val="clear" w:pos="4153"/>
        <w:tab w:val="clear" w:pos="8306"/>
        <w:tab w:val="right" w:pos="1304"/>
      </w:tabs>
      <w:spacing w:line="280" w:lineRule="exact"/>
      <w:ind w:firstLine="0"/>
      <w:rPr>
        <w:rFonts w:ascii="Times New Roman" w:hAnsi="Times New Roman"/>
        <w:i/>
        <w:sz w:val="22"/>
      </w:rPr>
    </w:pPr>
    <w:r w:rsidRPr="00D04D32">
      <w:rPr>
        <w:rFonts w:ascii="Times New Roman" w:hAnsi="Times New Roman"/>
        <w:i/>
        <w:sz w:val="22"/>
      </w:rPr>
      <w:t>Gordon</w:t>
    </w:r>
    <w:r w:rsidRPr="00D04D32">
      <w:rPr>
        <w:rFonts w:ascii="Times New Roman" w:hAnsi="Times New Roman"/>
        <w:i/>
        <w:sz w:val="22"/>
      </w:rPr>
      <w:tab/>
      <w:t>J</w:t>
    </w:r>
  </w:p>
  <w:p w14:paraId="0DB4F1C8" w14:textId="77777777" w:rsidR="00CA52FD" w:rsidRDefault="00CA52FD" w:rsidP="00D04D3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1AC48DE" w14:textId="77777777" w:rsidR="00CA52FD" w:rsidRDefault="00CA52FD" w:rsidP="00D04D3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79745ADD" w14:textId="77777777" w:rsidR="00CA52FD" w:rsidRDefault="00CA52FD" w:rsidP="00D04D32">
    <w:pPr>
      <w:pStyle w:val="Header"/>
      <w:tabs>
        <w:tab w:val="clear" w:pos="4153"/>
        <w:tab w:val="clear" w:pos="8306"/>
        <w:tab w:val="right" w:pos="1304"/>
      </w:tabs>
      <w:spacing w:line="280" w:lineRule="exact"/>
      <w:ind w:firstLine="0"/>
      <w:rPr>
        <w:rFonts w:ascii="Times New Roman" w:hAnsi="Times New Roman"/>
        <w:i/>
        <w:sz w:val="22"/>
      </w:rPr>
    </w:pPr>
  </w:p>
  <w:p w14:paraId="7FCED7FA" w14:textId="77777777" w:rsidR="00CA52FD" w:rsidRDefault="00CA52FD" w:rsidP="00D04D3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D40903A" w14:textId="77777777" w:rsidR="00CA52FD" w:rsidRPr="00D04D32" w:rsidRDefault="00CA52FD" w:rsidP="00D04D3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6C4D" w14:textId="77777777" w:rsidR="00CA52FD" w:rsidRPr="00D04D32" w:rsidRDefault="00CA52FD" w:rsidP="00D04D32">
    <w:pPr>
      <w:pStyle w:val="Header"/>
      <w:tabs>
        <w:tab w:val="clear" w:pos="4153"/>
        <w:tab w:val="clear" w:pos="8306"/>
        <w:tab w:val="left" w:pos="7200"/>
        <w:tab w:val="right" w:pos="8504"/>
      </w:tabs>
      <w:spacing w:line="280" w:lineRule="exact"/>
      <w:jc w:val="right"/>
      <w:rPr>
        <w:rFonts w:ascii="Times New Roman" w:hAnsi="Times New Roman"/>
        <w:i/>
        <w:sz w:val="22"/>
      </w:rPr>
    </w:pPr>
    <w:r w:rsidRPr="00D04D32">
      <w:rPr>
        <w:rFonts w:ascii="Times New Roman" w:hAnsi="Times New Roman"/>
        <w:i/>
        <w:sz w:val="22"/>
      </w:rPr>
      <w:tab/>
      <w:t>Gageler</w:t>
    </w:r>
    <w:r w:rsidRPr="00D04D32">
      <w:rPr>
        <w:rFonts w:ascii="Times New Roman" w:hAnsi="Times New Roman"/>
        <w:i/>
        <w:sz w:val="22"/>
      </w:rPr>
      <w:tab/>
      <w:t>CJ</w:t>
    </w:r>
  </w:p>
  <w:p w14:paraId="5175AF79" w14:textId="77777777" w:rsidR="00CA52FD" w:rsidRPr="00D04D32" w:rsidRDefault="00CA52FD" w:rsidP="00D04D32">
    <w:pPr>
      <w:pStyle w:val="Header"/>
      <w:tabs>
        <w:tab w:val="clear" w:pos="4153"/>
        <w:tab w:val="clear" w:pos="8306"/>
        <w:tab w:val="left" w:pos="7200"/>
        <w:tab w:val="right" w:pos="8504"/>
      </w:tabs>
      <w:spacing w:line="280" w:lineRule="exact"/>
      <w:jc w:val="right"/>
      <w:rPr>
        <w:rFonts w:ascii="Times New Roman" w:hAnsi="Times New Roman"/>
        <w:i/>
        <w:sz w:val="22"/>
      </w:rPr>
    </w:pPr>
    <w:r w:rsidRPr="00D04D32">
      <w:rPr>
        <w:rFonts w:ascii="Times New Roman" w:hAnsi="Times New Roman"/>
        <w:i/>
        <w:sz w:val="22"/>
      </w:rPr>
      <w:tab/>
      <w:t>Gordon</w:t>
    </w:r>
    <w:r w:rsidRPr="00D04D32">
      <w:rPr>
        <w:rFonts w:ascii="Times New Roman" w:hAnsi="Times New Roman"/>
        <w:i/>
        <w:sz w:val="22"/>
      </w:rPr>
      <w:tab/>
      <w:t>J</w:t>
    </w:r>
  </w:p>
  <w:p w14:paraId="2AD992D8" w14:textId="77777777" w:rsidR="00CA52FD" w:rsidRDefault="00CA52FD" w:rsidP="00D04D3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77E332CB" w14:textId="77777777" w:rsidR="00CA52FD" w:rsidRDefault="00CA52FD" w:rsidP="00C71AC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62209D24" w14:textId="77777777" w:rsidR="00CA52FD" w:rsidRDefault="00CA52FD" w:rsidP="00D04D32">
    <w:pPr>
      <w:pStyle w:val="Header"/>
      <w:tabs>
        <w:tab w:val="clear" w:pos="4153"/>
        <w:tab w:val="clear" w:pos="8306"/>
        <w:tab w:val="left" w:pos="7200"/>
        <w:tab w:val="right" w:pos="8504"/>
      </w:tabs>
      <w:spacing w:line="280" w:lineRule="exact"/>
      <w:jc w:val="right"/>
      <w:rPr>
        <w:rFonts w:ascii="Times New Roman" w:hAnsi="Times New Roman"/>
        <w:i/>
        <w:sz w:val="22"/>
      </w:rPr>
    </w:pPr>
  </w:p>
  <w:p w14:paraId="1839509D" w14:textId="77777777" w:rsidR="00CA52FD" w:rsidRDefault="00CA52FD" w:rsidP="00D04D3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9D6450A" w14:textId="77777777" w:rsidR="00CA52FD" w:rsidRPr="00D04D32" w:rsidRDefault="00CA52FD" w:rsidP="00D04D3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B275" w14:textId="77777777" w:rsidR="00CA52FD" w:rsidRDefault="00CA52FD" w:rsidP="00D04D32">
    <w:pPr>
      <w:pStyle w:val="Header"/>
      <w:tabs>
        <w:tab w:val="clear" w:pos="4153"/>
        <w:tab w:val="clear" w:pos="8306"/>
        <w:tab w:val="center" w:pos="1134"/>
      </w:tabs>
      <w:spacing w:line="280" w:lineRule="exact"/>
      <w:ind w:firstLine="0"/>
      <w:rPr>
        <w:rFonts w:ascii="Times New Roman" w:hAnsi="Times New Roman"/>
        <w:i/>
        <w:sz w:val="22"/>
      </w:rPr>
    </w:pPr>
  </w:p>
  <w:p w14:paraId="7ACAF855" w14:textId="77777777" w:rsidR="00CA52FD" w:rsidRDefault="00CA52FD" w:rsidP="00D04D32">
    <w:pPr>
      <w:pStyle w:val="Header"/>
      <w:tabs>
        <w:tab w:val="clear" w:pos="4153"/>
        <w:tab w:val="clear" w:pos="8306"/>
        <w:tab w:val="center" w:pos="1134"/>
      </w:tabs>
      <w:spacing w:line="280" w:lineRule="exact"/>
      <w:ind w:firstLine="0"/>
      <w:rPr>
        <w:rFonts w:ascii="Times New Roman" w:hAnsi="Times New Roman"/>
        <w:i/>
        <w:sz w:val="22"/>
      </w:rPr>
    </w:pPr>
  </w:p>
  <w:p w14:paraId="57A5E02B" w14:textId="77777777" w:rsidR="00CA52FD" w:rsidRDefault="00CA52FD" w:rsidP="00D04D32">
    <w:pPr>
      <w:pStyle w:val="Header"/>
      <w:tabs>
        <w:tab w:val="clear" w:pos="4153"/>
        <w:tab w:val="clear" w:pos="8306"/>
        <w:tab w:val="center" w:pos="1134"/>
      </w:tabs>
      <w:spacing w:line="280" w:lineRule="exact"/>
      <w:ind w:firstLine="0"/>
      <w:rPr>
        <w:rFonts w:ascii="Times New Roman" w:hAnsi="Times New Roman"/>
        <w:i/>
        <w:sz w:val="22"/>
      </w:rPr>
    </w:pPr>
  </w:p>
  <w:p w14:paraId="1195C53D" w14:textId="77777777" w:rsidR="00CA52FD" w:rsidRDefault="00CA52FD" w:rsidP="00D04D32">
    <w:pPr>
      <w:pStyle w:val="Header"/>
      <w:tabs>
        <w:tab w:val="clear" w:pos="4153"/>
        <w:tab w:val="clear" w:pos="8306"/>
        <w:tab w:val="center" w:pos="1134"/>
      </w:tabs>
      <w:spacing w:line="280" w:lineRule="exact"/>
      <w:ind w:firstLine="0"/>
      <w:rPr>
        <w:rFonts w:ascii="Times New Roman" w:hAnsi="Times New Roman"/>
        <w:i/>
        <w:sz w:val="22"/>
      </w:rPr>
    </w:pPr>
  </w:p>
  <w:p w14:paraId="39BC730D" w14:textId="77777777" w:rsidR="00CA52FD" w:rsidRDefault="00CA52FD" w:rsidP="00D04D32">
    <w:pPr>
      <w:pStyle w:val="Header"/>
      <w:tabs>
        <w:tab w:val="clear" w:pos="4153"/>
        <w:tab w:val="clear" w:pos="8306"/>
        <w:tab w:val="center" w:pos="1134"/>
      </w:tabs>
      <w:spacing w:line="280" w:lineRule="exact"/>
      <w:ind w:firstLine="0"/>
      <w:rPr>
        <w:rFonts w:ascii="Times New Roman" w:hAnsi="Times New Roman"/>
        <w:i/>
        <w:sz w:val="22"/>
      </w:rPr>
    </w:pPr>
  </w:p>
  <w:p w14:paraId="0D9694EA" w14:textId="77777777" w:rsidR="00CA52FD" w:rsidRDefault="00CA52FD" w:rsidP="00D04D32">
    <w:pPr>
      <w:pStyle w:val="Header"/>
      <w:tabs>
        <w:tab w:val="clear" w:pos="4153"/>
        <w:tab w:val="clear" w:pos="8306"/>
        <w:tab w:val="center" w:pos="1134"/>
      </w:tabs>
      <w:spacing w:line="280" w:lineRule="exact"/>
      <w:ind w:firstLine="0"/>
      <w:rPr>
        <w:rFonts w:ascii="Times New Roman" w:hAnsi="Times New Roman"/>
        <w:i/>
        <w:sz w:val="22"/>
      </w:rPr>
    </w:pPr>
  </w:p>
  <w:p w14:paraId="64DB8AA8" w14:textId="77777777" w:rsidR="00CA52FD" w:rsidRPr="00D04D32" w:rsidRDefault="00CA52FD" w:rsidP="00D04D32">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2636" w14:textId="77777777" w:rsidR="00270185" w:rsidRDefault="00270185" w:rsidP="0027668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517DA754" w14:textId="77777777" w:rsidR="00270185" w:rsidRDefault="00270185" w:rsidP="00276680">
    <w:pPr>
      <w:pStyle w:val="Header"/>
      <w:tabs>
        <w:tab w:val="clear" w:pos="4153"/>
        <w:tab w:val="clear" w:pos="8306"/>
        <w:tab w:val="right" w:pos="1304"/>
      </w:tabs>
      <w:spacing w:line="280" w:lineRule="exact"/>
      <w:ind w:firstLine="0"/>
      <w:rPr>
        <w:rFonts w:ascii="Times New Roman" w:hAnsi="Times New Roman"/>
        <w:i/>
        <w:sz w:val="22"/>
      </w:rPr>
    </w:pPr>
  </w:p>
  <w:p w14:paraId="5C8926D1" w14:textId="77777777" w:rsidR="00270185" w:rsidRDefault="00270185" w:rsidP="0027668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4A30FF2" w14:textId="77777777" w:rsidR="00270185" w:rsidRPr="00276680" w:rsidRDefault="00270185" w:rsidP="0027668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CB68" w14:textId="77777777" w:rsidR="00270185" w:rsidRDefault="00270185" w:rsidP="0027668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6D45F872" w14:textId="77777777" w:rsidR="00270185" w:rsidRDefault="00270185" w:rsidP="00276680">
    <w:pPr>
      <w:pStyle w:val="Header"/>
      <w:tabs>
        <w:tab w:val="clear" w:pos="4153"/>
        <w:tab w:val="clear" w:pos="8306"/>
        <w:tab w:val="left" w:pos="7200"/>
        <w:tab w:val="right" w:pos="8504"/>
      </w:tabs>
      <w:spacing w:line="280" w:lineRule="exact"/>
      <w:jc w:val="right"/>
      <w:rPr>
        <w:rFonts w:ascii="Times New Roman" w:hAnsi="Times New Roman"/>
        <w:i/>
        <w:sz w:val="22"/>
      </w:rPr>
    </w:pPr>
  </w:p>
  <w:p w14:paraId="305918F0" w14:textId="77777777" w:rsidR="00270185" w:rsidRDefault="00270185" w:rsidP="0027668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51E7BD6" w14:textId="77777777" w:rsidR="00270185" w:rsidRPr="00276680" w:rsidRDefault="00270185" w:rsidP="0027668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819D" w14:textId="77777777" w:rsidR="00270185" w:rsidRDefault="00270185" w:rsidP="00276680">
    <w:pPr>
      <w:pStyle w:val="Header"/>
      <w:tabs>
        <w:tab w:val="clear" w:pos="4153"/>
        <w:tab w:val="clear" w:pos="8306"/>
        <w:tab w:val="center" w:pos="1134"/>
      </w:tabs>
      <w:spacing w:line="280" w:lineRule="exact"/>
      <w:ind w:firstLine="0"/>
      <w:rPr>
        <w:rFonts w:ascii="Times New Roman" w:hAnsi="Times New Roman"/>
        <w:i/>
        <w:sz w:val="22"/>
      </w:rPr>
    </w:pPr>
  </w:p>
  <w:p w14:paraId="2B213D0D" w14:textId="77777777" w:rsidR="00270185" w:rsidRDefault="00270185" w:rsidP="00276680">
    <w:pPr>
      <w:pStyle w:val="Header"/>
      <w:tabs>
        <w:tab w:val="clear" w:pos="4153"/>
        <w:tab w:val="clear" w:pos="8306"/>
        <w:tab w:val="center" w:pos="1134"/>
      </w:tabs>
      <w:spacing w:line="280" w:lineRule="exact"/>
      <w:ind w:firstLine="0"/>
      <w:rPr>
        <w:rFonts w:ascii="Times New Roman" w:hAnsi="Times New Roman"/>
        <w:i/>
        <w:sz w:val="22"/>
      </w:rPr>
    </w:pPr>
  </w:p>
  <w:p w14:paraId="352FED78" w14:textId="77777777" w:rsidR="00270185" w:rsidRDefault="00270185" w:rsidP="00276680">
    <w:pPr>
      <w:pStyle w:val="Header"/>
      <w:tabs>
        <w:tab w:val="clear" w:pos="4153"/>
        <w:tab w:val="clear" w:pos="8306"/>
        <w:tab w:val="center" w:pos="1134"/>
      </w:tabs>
      <w:spacing w:line="280" w:lineRule="exact"/>
      <w:ind w:firstLine="0"/>
      <w:rPr>
        <w:rFonts w:ascii="Times New Roman" w:hAnsi="Times New Roman"/>
        <w:i/>
        <w:sz w:val="22"/>
      </w:rPr>
    </w:pPr>
  </w:p>
  <w:p w14:paraId="0AB5F4F5" w14:textId="77777777" w:rsidR="00270185" w:rsidRPr="00276680" w:rsidRDefault="00270185" w:rsidP="00276680">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59"/>
    <w:rsid w:val="00002069"/>
    <w:rsid w:val="00002CE6"/>
    <w:rsid w:val="00002DFC"/>
    <w:rsid w:val="0000316A"/>
    <w:rsid w:val="0000375B"/>
    <w:rsid w:val="000039DD"/>
    <w:rsid w:val="000049B7"/>
    <w:rsid w:val="00005B5A"/>
    <w:rsid w:val="00005CF3"/>
    <w:rsid w:val="00010068"/>
    <w:rsid w:val="00010E58"/>
    <w:rsid w:val="00012670"/>
    <w:rsid w:val="00012F2B"/>
    <w:rsid w:val="000141CA"/>
    <w:rsid w:val="00014B34"/>
    <w:rsid w:val="00014CDA"/>
    <w:rsid w:val="0001522D"/>
    <w:rsid w:val="00015E35"/>
    <w:rsid w:val="00015FC5"/>
    <w:rsid w:val="000168C9"/>
    <w:rsid w:val="00016C20"/>
    <w:rsid w:val="00016DBB"/>
    <w:rsid w:val="00017144"/>
    <w:rsid w:val="00020D02"/>
    <w:rsid w:val="00022A53"/>
    <w:rsid w:val="00023868"/>
    <w:rsid w:val="000250AF"/>
    <w:rsid w:val="00025490"/>
    <w:rsid w:val="0002561E"/>
    <w:rsid w:val="0002637F"/>
    <w:rsid w:val="000268E1"/>
    <w:rsid w:val="00032327"/>
    <w:rsid w:val="000345C7"/>
    <w:rsid w:val="0003575A"/>
    <w:rsid w:val="000360EB"/>
    <w:rsid w:val="00037A5F"/>
    <w:rsid w:val="00037D87"/>
    <w:rsid w:val="00042EF3"/>
    <w:rsid w:val="00043D2C"/>
    <w:rsid w:val="00044373"/>
    <w:rsid w:val="00045C3B"/>
    <w:rsid w:val="00046812"/>
    <w:rsid w:val="00047FD6"/>
    <w:rsid w:val="000514FD"/>
    <w:rsid w:val="0005195E"/>
    <w:rsid w:val="00053086"/>
    <w:rsid w:val="00053287"/>
    <w:rsid w:val="00053A86"/>
    <w:rsid w:val="00054FC9"/>
    <w:rsid w:val="00055ACD"/>
    <w:rsid w:val="00056BB8"/>
    <w:rsid w:val="00056F27"/>
    <w:rsid w:val="00056F44"/>
    <w:rsid w:val="000573AF"/>
    <w:rsid w:val="0006169E"/>
    <w:rsid w:val="000626FD"/>
    <w:rsid w:val="00062E09"/>
    <w:rsid w:val="0006305B"/>
    <w:rsid w:val="0006326B"/>
    <w:rsid w:val="00063B45"/>
    <w:rsid w:val="0006432B"/>
    <w:rsid w:val="000653D4"/>
    <w:rsid w:val="000665DD"/>
    <w:rsid w:val="00066661"/>
    <w:rsid w:val="00071C35"/>
    <w:rsid w:val="00074EB6"/>
    <w:rsid w:val="00075F50"/>
    <w:rsid w:val="00077219"/>
    <w:rsid w:val="00080506"/>
    <w:rsid w:val="00080D77"/>
    <w:rsid w:val="00081586"/>
    <w:rsid w:val="00081B4C"/>
    <w:rsid w:val="0008296C"/>
    <w:rsid w:val="0008435D"/>
    <w:rsid w:val="0008439A"/>
    <w:rsid w:val="00084A1B"/>
    <w:rsid w:val="0008558C"/>
    <w:rsid w:val="00085F13"/>
    <w:rsid w:val="000861FC"/>
    <w:rsid w:val="00086D61"/>
    <w:rsid w:val="000870DB"/>
    <w:rsid w:val="0009031A"/>
    <w:rsid w:val="00093CF7"/>
    <w:rsid w:val="00095155"/>
    <w:rsid w:val="00095B84"/>
    <w:rsid w:val="000A28D4"/>
    <w:rsid w:val="000A2CB2"/>
    <w:rsid w:val="000A2EB4"/>
    <w:rsid w:val="000A3DA3"/>
    <w:rsid w:val="000A5C7B"/>
    <w:rsid w:val="000A63C6"/>
    <w:rsid w:val="000A6BE6"/>
    <w:rsid w:val="000A7EB3"/>
    <w:rsid w:val="000B08A5"/>
    <w:rsid w:val="000B0C4F"/>
    <w:rsid w:val="000B36AE"/>
    <w:rsid w:val="000B3D06"/>
    <w:rsid w:val="000B4630"/>
    <w:rsid w:val="000B497F"/>
    <w:rsid w:val="000B4AD5"/>
    <w:rsid w:val="000B5BDF"/>
    <w:rsid w:val="000B710D"/>
    <w:rsid w:val="000B7558"/>
    <w:rsid w:val="000B7ED3"/>
    <w:rsid w:val="000C04DC"/>
    <w:rsid w:val="000C0520"/>
    <w:rsid w:val="000C0D98"/>
    <w:rsid w:val="000C45FD"/>
    <w:rsid w:val="000C50C9"/>
    <w:rsid w:val="000C5AAF"/>
    <w:rsid w:val="000C5B10"/>
    <w:rsid w:val="000C5E27"/>
    <w:rsid w:val="000C7ED1"/>
    <w:rsid w:val="000D25E6"/>
    <w:rsid w:val="000D53C8"/>
    <w:rsid w:val="000D6ACE"/>
    <w:rsid w:val="000E10DF"/>
    <w:rsid w:val="000E20B5"/>
    <w:rsid w:val="000E34C3"/>
    <w:rsid w:val="000E48BF"/>
    <w:rsid w:val="000E65F7"/>
    <w:rsid w:val="000E69F4"/>
    <w:rsid w:val="000E6F1C"/>
    <w:rsid w:val="000F0398"/>
    <w:rsid w:val="000F0441"/>
    <w:rsid w:val="000F1345"/>
    <w:rsid w:val="000F379E"/>
    <w:rsid w:val="000F39A5"/>
    <w:rsid w:val="000F3BB3"/>
    <w:rsid w:val="000F3ECC"/>
    <w:rsid w:val="000F49F3"/>
    <w:rsid w:val="000F5AB1"/>
    <w:rsid w:val="000F671F"/>
    <w:rsid w:val="001001B9"/>
    <w:rsid w:val="00102254"/>
    <w:rsid w:val="001033AD"/>
    <w:rsid w:val="00106132"/>
    <w:rsid w:val="001064BA"/>
    <w:rsid w:val="0010702C"/>
    <w:rsid w:val="00110970"/>
    <w:rsid w:val="00111568"/>
    <w:rsid w:val="00111D21"/>
    <w:rsid w:val="001120C0"/>
    <w:rsid w:val="001124A6"/>
    <w:rsid w:val="00112EFC"/>
    <w:rsid w:val="001136B8"/>
    <w:rsid w:val="001150BF"/>
    <w:rsid w:val="00115EB0"/>
    <w:rsid w:val="00115FCA"/>
    <w:rsid w:val="001168F2"/>
    <w:rsid w:val="00116A1C"/>
    <w:rsid w:val="00120207"/>
    <w:rsid w:val="00122277"/>
    <w:rsid w:val="00123383"/>
    <w:rsid w:val="00123C1B"/>
    <w:rsid w:val="00124003"/>
    <w:rsid w:val="00125E3C"/>
    <w:rsid w:val="00132F34"/>
    <w:rsid w:val="00133E7E"/>
    <w:rsid w:val="0013456F"/>
    <w:rsid w:val="00135C08"/>
    <w:rsid w:val="00142072"/>
    <w:rsid w:val="00143A0A"/>
    <w:rsid w:val="00143FCB"/>
    <w:rsid w:val="00144FEF"/>
    <w:rsid w:val="00145627"/>
    <w:rsid w:val="001462EC"/>
    <w:rsid w:val="00146718"/>
    <w:rsid w:val="00146A41"/>
    <w:rsid w:val="00147A35"/>
    <w:rsid w:val="0015031C"/>
    <w:rsid w:val="00150970"/>
    <w:rsid w:val="00151679"/>
    <w:rsid w:val="0015318E"/>
    <w:rsid w:val="00155CA3"/>
    <w:rsid w:val="00155FCA"/>
    <w:rsid w:val="00156A95"/>
    <w:rsid w:val="00157702"/>
    <w:rsid w:val="00160D67"/>
    <w:rsid w:val="00161153"/>
    <w:rsid w:val="0016201D"/>
    <w:rsid w:val="00162A8F"/>
    <w:rsid w:val="00163D92"/>
    <w:rsid w:val="00164144"/>
    <w:rsid w:val="001706C5"/>
    <w:rsid w:val="001708DE"/>
    <w:rsid w:val="00171CC4"/>
    <w:rsid w:val="0017245E"/>
    <w:rsid w:val="00172ADE"/>
    <w:rsid w:val="00172B76"/>
    <w:rsid w:val="00175703"/>
    <w:rsid w:val="001758DE"/>
    <w:rsid w:val="00176D25"/>
    <w:rsid w:val="00180AD8"/>
    <w:rsid w:val="00181CC0"/>
    <w:rsid w:val="00181D81"/>
    <w:rsid w:val="00183206"/>
    <w:rsid w:val="0018342E"/>
    <w:rsid w:val="001840C2"/>
    <w:rsid w:val="00184B46"/>
    <w:rsid w:val="001854E5"/>
    <w:rsid w:val="00185939"/>
    <w:rsid w:val="00185ECD"/>
    <w:rsid w:val="00186F91"/>
    <w:rsid w:val="001876F6"/>
    <w:rsid w:val="001903E3"/>
    <w:rsid w:val="00191428"/>
    <w:rsid w:val="00191E23"/>
    <w:rsid w:val="00192816"/>
    <w:rsid w:val="00192EDA"/>
    <w:rsid w:val="00194566"/>
    <w:rsid w:val="001953B1"/>
    <w:rsid w:val="001963C0"/>
    <w:rsid w:val="00197956"/>
    <w:rsid w:val="001A02CF"/>
    <w:rsid w:val="001A364B"/>
    <w:rsid w:val="001A409D"/>
    <w:rsid w:val="001A446E"/>
    <w:rsid w:val="001A58FC"/>
    <w:rsid w:val="001B0415"/>
    <w:rsid w:val="001B1676"/>
    <w:rsid w:val="001B17A8"/>
    <w:rsid w:val="001B2868"/>
    <w:rsid w:val="001B38A2"/>
    <w:rsid w:val="001B4C69"/>
    <w:rsid w:val="001B4FC7"/>
    <w:rsid w:val="001B55C8"/>
    <w:rsid w:val="001B63C6"/>
    <w:rsid w:val="001C2A1B"/>
    <w:rsid w:val="001C36BF"/>
    <w:rsid w:val="001C3E10"/>
    <w:rsid w:val="001C48D4"/>
    <w:rsid w:val="001C4942"/>
    <w:rsid w:val="001C57FD"/>
    <w:rsid w:val="001C624C"/>
    <w:rsid w:val="001C6475"/>
    <w:rsid w:val="001C6CFA"/>
    <w:rsid w:val="001C7C93"/>
    <w:rsid w:val="001D1AF5"/>
    <w:rsid w:val="001D2CF8"/>
    <w:rsid w:val="001D36CD"/>
    <w:rsid w:val="001D4F49"/>
    <w:rsid w:val="001D655A"/>
    <w:rsid w:val="001D7982"/>
    <w:rsid w:val="001E1D3D"/>
    <w:rsid w:val="001E3138"/>
    <w:rsid w:val="001E47D1"/>
    <w:rsid w:val="001E6A64"/>
    <w:rsid w:val="001E75C5"/>
    <w:rsid w:val="001F1B5F"/>
    <w:rsid w:val="001F21DD"/>
    <w:rsid w:val="001F2945"/>
    <w:rsid w:val="001F29CD"/>
    <w:rsid w:val="001F3F2A"/>
    <w:rsid w:val="001F4413"/>
    <w:rsid w:val="001F69C2"/>
    <w:rsid w:val="001F76AD"/>
    <w:rsid w:val="0020007E"/>
    <w:rsid w:val="002016DD"/>
    <w:rsid w:val="002048D1"/>
    <w:rsid w:val="002066A1"/>
    <w:rsid w:val="002079CB"/>
    <w:rsid w:val="0021096E"/>
    <w:rsid w:val="00210AB2"/>
    <w:rsid w:val="00210DE8"/>
    <w:rsid w:val="00211D73"/>
    <w:rsid w:val="002122C9"/>
    <w:rsid w:val="00212A3E"/>
    <w:rsid w:val="002149A9"/>
    <w:rsid w:val="00214BF2"/>
    <w:rsid w:val="00215A7F"/>
    <w:rsid w:val="00216522"/>
    <w:rsid w:val="002212A1"/>
    <w:rsid w:val="00221D19"/>
    <w:rsid w:val="00222B5E"/>
    <w:rsid w:val="0022403F"/>
    <w:rsid w:val="00224D1C"/>
    <w:rsid w:val="00225F76"/>
    <w:rsid w:val="0022666B"/>
    <w:rsid w:val="00226EEF"/>
    <w:rsid w:val="0022734D"/>
    <w:rsid w:val="00227560"/>
    <w:rsid w:val="00232D3C"/>
    <w:rsid w:val="0023309C"/>
    <w:rsid w:val="0023447F"/>
    <w:rsid w:val="0023475F"/>
    <w:rsid w:val="002350B3"/>
    <w:rsid w:val="00235B41"/>
    <w:rsid w:val="00236130"/>
    <w:rsid w:val="002363BF"/>
    <w:rsid w:val="0023798E"/>
    <w:rsid w:val="00237BDF"/>
    <w:rsid w:val="0024064D"/>
    <w:rsid w:val="00240789"/>
    <w:rsid w:val="00242CE9"/>
    <w:rsid w:val="00242EE4"/>
    <w:rsid w:val="0024462E"/>
    <w:rsid w:val="002470C9"/>
    <w:rsid w:val="002474FA"/>
    <w:rsid w:val="00250861"/>
    <w:rsid w:val="00251897"/>
    <w:rsid w:val="00253063"/>
    <w:rsid w:val="00253493"/>
    <w:rsid w:val="00253DE9"/>
    <w:rsid w:val="00254F18"/>
    <w:rsid w:val="00257AFB"/>
    <w:rsid w:val="002605A7"/>
    <w:rsid w:val="00260A13"/>
    <w:rsid w:val="00261408"/>
    <w:rsid w:val="0026293D"/>
    <w:rsid w:val="00262C34"/>
    <w:rsid w:val="00262E80"/>
    <w:rsid w:val="00264E60"/>
    <w:rsid w:val="00265982"/>
    <w:rsid w:val="00270154"/>
    <w:rsid w:val="00270185"/>
    <w:rsid w:val="0027048D"/>
    <w:rsid w:val="00271F70"/>
    <w:rsid w:val="0027408B"/>
    <w:rsid w:val="00276B56"/>
    <w:rsid w:val="00280F46"/>
    <w:rsid w:val="00281123"/>
    <w:rsid w:val="002819FD"/>
    <w:rsid w:val="00281A3B"/>
    <w:rsid w:val="00282885"/>
    <w:rsid w:val="00283F1A"/>
    <w:rsid w:val="0028583A"/>
    <w:rsid w:val="00286244"/>
    <w:rsid w:val="00287368"/>
    <w:rsid w:val="00287873"/>
    <w:rsid w:val="00291186"/>
    <w:rsid w:val="002916CC"/>
    <w:rsid w:val="00291FC3"/>
    <w:rsid w:val="0029278C"/>
    <w:rsid w:val="002929D5"/>
    <w:rsid w:val="00292CD7"/>
    <w:rsid w:val="00292E65"/>
    <w:rsid w:val="00294AF5"/>
    <w:rsid w:val="0029697C"/>
    <w:rsid w:val="002979F1"/>
    <w:rsid w:val="00297BF9"/>
    <w:rsid w:val="002A13E1"/>
    <w:rsid w:val="002A16C1"/>
    <w:rsid w:val="002A3248"/>
    <w:rsid w:val="002A3BD7"/>
    <w:rsid w:val="002A7AA6"/>
    <w:rsid w:val="002B0846"/>
    <w:rsid w:val="002B1304"/>
    <w:rsid w:val="002B709D"/>
    <w:rsid w:val="002B7E6D"/>
    <w:rsid w:val="002C03CF"/>
    <w:rsid w:val="002C1EDE"/>
    <w:rsid w:val="002C5981"/>
    <w:rsid w:val="002C6157"/>
    <w:rsid w:val="002C724C"/>
    <w:rsid w:val="002C7307"/>
    <w:rsid w:val="002C757A"/>
    <w:rsid w:val="002D0410"/>
    <w:rsid w:val="002D0899"/>
    <w:rsid w:val="002D1707"/>
    <w:rsid w:val="002D17E2"/>
    <w:rsid w:val="002D1C08"/>
    <w:rsid w:val="002D1C11"/>
    <w:rsid w:val="002D3F5B"/>
    <w:rsid w:val="002D5375"/>
    <w:rsid w:val="002D67D6"/>
    <w:rsid w:val="002D71B9"/>
    <w:rsid w:val="002D7BA3"/>
    <w:rsid w:val="002E0EC8"/>
    <w:rsid w:val="002E0F44"/>
    <w:rsid w:val="002E278F"/>
    <w:rsid w:val="002E3B4D"/>
    <w:rsid w:val="002F027D"/>
    <w:rsid w:val="002F0522"/>
    <w:rsid w:val="002F0734"/>
    <w:rsid w:val="002F263F"/>
    <w:rsid w:val="002F3133"/>
    <w:rsid w:val="002F56AB"/>
    <w:rsid w:val="002F6BBF"/>
    <w:rsid w:val="002F6BCD"/>
    <w:rsid w:val="0030026A"/>
    <w:rsid w:val="00300E01"/>
    <w:rsid w:val="00301975"/>
    <w:rsid w:val="0030261F"/>
    <w:rsid w:val="0030542C"/>
    <w:rsid w:val="00310418"/>
    <w:rsid w:val="0031064C"/>
    <w:rsid w:val="003111EE"/>
    <w:rsid w:val="00312F4F"/>
    <w:rsid w:val="00312FFC"/>
    <w:rsid w:val="0031434C"/>
    <w:rsid w:val="003150BF"/>
    <w:rsid w:val="003150CE"/>
    <w:rsid w:val="00315E92"/>
    <w:rsid w:val="0031718E"/>
    <w:rsid w:val="003178EB"/>
    <w:rsid w:val="00323B9E"/>
    <w:rsid w:val="00323C8B"/>
    <w:rsid w:val="00326302"/>
    <w:rsid w:val="00330804"/>
    <w:rsid w:val="00330CA3"/>
    <w:rsid w:val="003326AC"/>
    <w:rsid w:val="003330BE"/>
    <w:rsid w:val="00334A6B"/>
    <w:rsid w:val="00334C44"/>
    <w:rsid w:val="00336569"/>
    <w:rsid w:val="003366B2"/>
    <w:rsid w:val="00340066"/>
    <w:rsid w:val="00340B39"/>
    <w:rsid w:val="00341202"/>
    <w:rsid w:val="0034122D"/>
    <w:rsid w:val="0034288B"/>
    <w:rsid w:val="00342F72"/>
    <w:rsid w:val="0034332B"/>
    <w:rsid w:val="003447CD"/>
    <w:rsid w:val="003452BD"/>
    <w:rsid w:val="0034681C"/>
    <w:rsid w:val="00351669"/>
    <w:rsid w:val="003535B2"/>
    <w:rsid w:val="00354262"/>
    <w:rsid w:val="00354972"/>
    <w:rsid w:val="003600A8"/>
    <w:rsid w:val="0036057E"/>
    <w:rsid w:val="00361664"/>
    <w:rsid w:val="0036284D"/>
    <w:rsid w:val="00363E59"/>
    <w:rsid w:val="00366057"/>
    <w:rsid w:val="00366524"/>
    <w:rsid w:val="00371E74"/>
    <w:rsid w:val="00372A24"/>
    <w:rsid w:val="00373E58"/>
    <w:rsid w:val="00374872"/>
    <w:rsid w:val="00374932"/>
    <w:rsid w:val="003752C6"/>
    <w:rsid w:val="00376073"/>
    <w:rsid w:val="0037613E"/>
    <w:rsid w:val="00377452"/>
    <w:rsid w:val="00377567"/>
    <w:rsid w:val="00380CA7"/>
    <w:rsid w:val="00381223"/>
    <w:rsid w:val="00381849"/>
    <w:rsid w:val="00381A21"/>
    <w:rsid w:val="003823A0"/>
    <w:rsid w:val="0038241F"/>
    <w:rsid w:val="003829B9"/>
    <w:rsid w:val="0038333F"/>
    <w:rsid w:val="00384F36"/>
    <w:rsid w:val="00385271"/>
    <w:rsid w:val="00385316"/>
    <w:rsid w:val="00385423"/>
    <w:rsid w:val="00385E0C"/>
    <w:rsid w:val="00386DF0"/>
    <w:rsid w:val="0038730F"/>
    <w:rsid w:val="00391B31"/>
    <w:rsid w:val="0039226E"/>
    <w:rsid w:val="00392CC8"/>
    <w:rsid w:val="00395F70"/>
    <w:rsid w:val="00397708"/>
    <w:rsid w:val="00397E74"/>
    <w:rsid w:val="003A0668"/>
    <w:rsid w:val="003A0D03"/>
    <w:rsid w:val="003A19AF"/>
    <w:rsid w:val="003A1EE1"/>
    <w:rsid w:val="003A2017"/>
    <w:rsid w:val="003A2F3F"/>
    <w:rsid w:val="003A41FF"/>
    <w:rsid w:val="003A48CC"/>
    <w:rsid w:val="003A4D74"/>
    <w:rsid w:val="003A5B36"/>
    <w:rsid w:val="003A64C7"/>
    <w:rsid w:val="003A72EF"/>
    <w:rsid w:val="003A7E21"/>
    <w:rsid w:val="003B0A06"/>
    <w:rsid w:val="003B2175"/>
    <w:rsid w:val="003B2447"/>
    <w:rsid w:val="003B2CC4"/>
    <w:rsid w:val="003B4EED"/>
    <w:rsid w:val="003B55F3"/>
    <w:rsid w:val="003B6AAD"/>
    <w:rsid w:val="003B6B2C"/>
    <w:rsid w:val="003B72F9"/>
    <w:rsid w:val="003C0394"/>
    <w:rsid w:val="003C11DD"/>
    <w:rsid w:val="003C266A"/>
    <w:rsid w:val="003C392E"/>
    <w:rsid w:val="003C50E7"/>
    <w:rsid w:val="003C602A"/>
    <w:rsid w:val="003D0D56"/>
    <w:rsid w:val="003D1759"/>
    <w:rsid w:val="003D1896"/>
    <w:rsid w:val="003D1D11"/>
    <w:rsid w:val="003D2761"/>
    <w:rsid w:val="003D3B14"/>
    <w:rsid w:val="003D4568"/>
    <w:rsid w:val="003D62F7"/>
    <w:rsid w:val="003E1035"/>
    <w:rsid w:val="003E17F2"/>
    <w:rsid w:val="003E19F7"/>
    <w:rsid w:val="003E1EB2"/>
    <w:rsid w:val="003E2094"/>
    <w:rsid w:val="003E492C"/>
    <w:rsid w:val="003E710D"/>
    <w:rsid w:val="003E7804"/>
    <w:rsid w:val="003E7A9C"/>
    <w:rsid w:val="003F18CF"/>
    <w:rsid w:val="003F22B8"/>
    <w:rsid w:val="003F328F"/>
    <w:rsid w:val="003F4A1F"/>
    <w:rsid w:val="003F531A"/>
    <w:rsid w:val="003F6773"/>
    <w:rsid w:val="003F6A2F"/>
    <w:rsid w:val="003F7C9E"/>
    <w:rsid w:val="00400255"/>
    <w:rsid w:val="00401257"/>
    <w:rsid w:val="00401898"/>
    <w:rsid w:val="004025E8"/>
    <w:rsid w:val="00402768"/>
    <w:rsid w:val="00403F35"/>
    <w:rsid w:val="004040A1"/>
    <w:rsid w:val="004047BA"/>
    <w:rsid w:val="00404C36"/>
    <w:rsid w:val="00405A78"/>
    <w:rsid w:val="00406F38"/>
    <w:rsid w:val="004070C1"/>
    <w:rsid w:val="004076B9"/>
    <w:rsid w:val="004107CA"/>
    <w:rsid w:val="004111BC"/>
    <w:rsid w:val="004114CB"/>
    <w:rsid w:val="004125F4"/>
    <w:rsid w:val="004126D4"/>
    <w:rsid w:val="00414703"/>
    <w:rsid w:val="00414DAA"/>
    <w:rsid w:val="00415D2B"/>
    <w:rsid w:val="00416C0A"/>
    <w:rsid w:val="00420535"/>
    <w:rsid w:val="00421941"/>
    <w:rsid w:val="00421D02"/>
    <w:rsid w:val="00424CF4"/>
    <w:rsid w:val="00424DE2"/>
    <w:rsid w:val="004314C6"/>
    <w:rsid w:val="0043190F"/>
    <w:rsid w:val="00432528"/>
    <w:rsid w:val="004327B5"/>
    <w:rsid w:val="00432836"/>
    <w:rsid w:val="00432F10"/>
    <w:rsid w:val="0043440B"/>
    <w:rsid w:val="00434E7B"/>
    <w:rsid w:val="00435082"/>
    <w:rsid w:val="00435855"/>
    <w:rsid w:val="004373D1"/>
    <w:rsid w:val="0043778D"/>
    <w:rsid w:val="00442A8E"/>
    <w:rsid w:val="004437F3"/>
    <w:rsid w:val="004454C2"/>
    <w:rsid w:val="00446080"/>
    <w:rsid w:val="00447347"/>
    <w:rsid w:val="00447A3F"/>
    <w:rsid w:val="00447F33"/>
    <w:rsid w:val="00450A27"/>
    <w:rsid w:val="00450B5E"/>
    <w:rsid w:val="00451769"/>
    <w:rsid w:val="00451948"/>
    <w:rsid w:val="00451EC2"/>
    <w:rsid w:val="0045315D"/>
    <w:rsid w:val="00453C42"/>
    <w:rsid w:val="00454886"/>
    <w:rsid w:val="00455782"/>
    <w:rsid w:val="00457570"/>
    <w:rsid w:val="00463357"/>
    <w:rsid w:val="00463A04"/>
    <w:rsid w:val="00465255"/>
    <w:rsid w:val="004661DE"/>
    <w:rsid w:val="00466AB5"/>
    <w:rsid w:val="00466C11"/>
    <w:rsid w:val="00467DE3"/>
    <w:rsid w:val="00470031"/>
    <w:rsid w:val="004700DE"/>
    <w:rsid w:val="0047021B"/>
    <w:rsid w:val="00473718"/>
    <w:rsid w:val="00473869"/>
    <w:rsid w:val="0047410E"/>
    <w:rsid w:val="00474DA3"/>
    <w:rsid w:val="004762A4"/>
    <w:rsid w:val="0048054A"/>
    <w:rsid w:val="004817C9"/>
    <w:rsid w:val="004818E8"/>
    <w:rsid w:val="00482051"/>
    <w:rsid w:val="00482F67"/>
    <w:rsid w:val="00483006"/>
    <w:rsid w:val="00484915"/>
    <w:rsid w:val="00485961"/>
    <w:rsid w:val="00486C3D"/>
    <w:rsid w:val="00487318"/>
    <w:rsid w:val="00487387"/>
    <w:rsid w:val="00487489"/>
    <w:rsid w:val="004909C3"/>
    <w:rsid w:val="00490E50"/>
    <w:rsid w:val="004919FD"/>
    <w:rsid w:val="00495C5A"/>
    <w:rsid w:val="004A06FC"/>
    <w:rsid w:val="004A132C"/>
    <w:rsid w:val="004A19D7"/>
    <w:rsid w:val="004A2403"/>
    <w:rsid w:val="004A5C61"/>
    <w:rsid w:val="004B07C5"/>
    <w:rsid w:val="004B1256"/>
    <w:rsid w:val="004B143D"/>
    <w:rsid w:val="004B26D9"/>
    <w:rsid w:val="004B2C5E"/>
    <w:rsid w:val="004B352C"/>
    <w:rsid w:val="004B74DD"/>
    <w:rsid w:val="004B774B"/>
    <w:rsid w:val="004C330A"/>
    <w:rsid w:val="004C4629"/>
    <w:rsid w:val="004C4B71"/>
    <w:rsid w:val="004C565B"/>
    <w:rsid w:val="004C5CB6"/>
    <w:rsid w:val="004C624B"/>
    <w:rsid w:val="004D087E"/>
    <w:rsid w:val="004D08A1"/>
    <w:rsid w:val="004D19DB"/>
    <w:rsid w:val="004D1E88"/>
    <w:rsid w:val="004D3CD7"/>
    <w:rsid w:val="004D4756"/>
    <w:rsid w:val="004D4E3B"/>
    <w:rsid w:val="004D58DE"/>
    <w:rsid w:val="004D58F4"/>
    <w:rsid w:val="004D5DF2"/>
    <w:rsid w:val="004D63E2"/>
    <w:rsid w:val="004E0CBA"/>
    <w:rsid w:val="004E2DFC"/>
    <w:rsid w:val="004E3F30"/>
    <w:rsid w:val="004E46F8"/>
    <w:rsid w:val="004E50C8"/>
    <w:rsid w:val="004E653E"/>
    <w:rsid w:val="004E65F5"/>
    <w:rsid w:val="004E740D"/>
    <w:rsid w:val="004F1E32"/>
    <w:rsid w:val="004F2D77"/>
    <w:rsid w:val="004F3C00"/>
    <w:rsid w:val="004F3E28"/>
    <w:rsid w:val="004F621F"/>
    <w:rsid w:val="004F6C35"/>
    <w:rsid w:val="00501235"/>
    <w:rsid w:val="00502EAE"/>
    <w:rsid w:val="00503A1B"/>
    <w:rsid w:val="00503FA0"/>
    <w:rsid w:val="0050500F"/>
    <w:rsid w:val="00505279"/>
    <w:rsid w:val="00505F8F"/>
    <w:rsid w:val="005063E1"/>
    <w:rsid w:val="00506B08"/>
    <w:rsid w:val="00507CC5"/>
    <w:rsid w:val="00510B1B"/>
    <w:rsid w:val="00511891"/>
    <w:rsid w:val="00511EF5"/>
    <w:rsid w:val="0051239B"/>
    <w:rsid w:val="00516BBB"/>
    <w:rsid w:val="0052083B"/>
    <w:rsid w:val="0052216A"/>
    <w:rsid w:val="00523E83"/>
    <w:rsid w:val="005248BB"/>
    <w:rsid w:val="00525A21"/>
    <w:rsid w:val="00526EE5"/>
    <w:rsid w:val="00526F70"/>
    <w:rsid w:val="00527044"/>
    <w:rsid w:val="00527184"/>
    <w:rsid w:val="005308A5"/>
    <w:rsid w:val="005314E9"/>
    <w:rsid w:val="00531617"/>
    <w:rsid w:val="00531723"/>
    <w:rsid w:val="00531B32"/>
    <w:rsid w:val="00532113"/>
    <w:rsid w:val="0053275E"/>
    <w:rsid w:val="0053324F"/>
    <w:rsid w:val="005348BF"/>
    <w:rsid w:val="00535186"/>
    <w:rsid w:val="00537090"/>
    <w:rsid w:val="00541E10"/>
    <w:rsid w:val="00541EF9"/>
    <w:rsid w:val="005431CF"/>
    <w:rsid w:val="00543D0A"/>
    <w:rsid w:val="00544EFB"/>
    <w:rsid w:val="005454F3"/>
    <w:rsid w:val="005455E5"/>
    <w:rsid w:val="005458A6"/>
    <w:rsid w:val="0054681B"/>
    <w:rsid w:val="0054779A"/>
    <w:rsid w:val="00547BA1"/>
    <w:rsid w:val="00551571"/>
    <w:rsid w:val="00551985"/>
    <w:rsid w:val="005550A0"/>
    <w:rsid w:val="00556101"/>
    <w:rsid w:val="00557535"/>
    <w:rsid w:val="00557CB1"/>
    <w:rsid w:val="0056072C"/>
    <w:rsid w:val="0056091E"/>
    <w:rsid w:val="00561371"/>
    <w:rsid w:val="0056172D"/>
    <w:rsid w:val="00562C33"/>
    <w:rsid w:val="005635F3"/>
    <w:rsid w:val="0056411C"/>
    <w:rsid w:val="005646C7"/>
    <w:rsid w:val="00565B4C"/>
    <w:rsid w:val="005663FF"/>
    <w:rsid w:val="005677E5"/>
    <w:rsid w:val="00570D24"/>
    <w:rsid w:val="00573AEC"/>
    <w:rsid w:val="00574C1A"/>
    <w:rsid w:val="00574E16"/>
    <w:rsid w:val="00577579"/>
    <w:rsid w:val="00577889"/>
    <w:rsid w:val="00577E4E"/>
    <w:rsid w:val="00580006"/>
    <w:rsid w:val="00580EEB"/>
    <w:rsid w:val="00580FCF"/>
    <w:rsid w:val="005813A0"/>
    <w:rsid w:val="005821FB"/>
    <w:rsid w:val="00582275"/>
    <w:rsid w:val="00582FCA"/>
    <w:rsid w:val="00583673"/>
    <w:rsid w:val="00583D08"/>
    <w:rsid w:val="00584517"/>
    <w:rsid w:val="00584DBD"/>
    <w:rsid w:val="00585416"/>
    <w:rsid w:val="005854B1"/>
    <w:rsid w:val="00586A8D"/>
    <w:rsid w:val="00587002"/>
    <w:rsid w:val="00587BE7"/>
    <w:rsid w:val="00587CBC"/>
    <w:rsid w:val="00590049"/>
    <w:rsid w:val="00595481"/>
    <w:rsid w:val="00595541"/>
    <w:rsid w:val="00595DF1"/>
    <w:rsid w:val="00596524"/>
    <w:rsid w:val="00597D35"/>
    <w:rsid w:val="005A08B1"/>
    <w:rsid w:val="005A1329"/>
    <w:rsid w:val="005A1723"/>
    <w:rsid w:val="005A2533"/>
    <w:rsid w:val="005A3201"/>
    <w:rsid w:val="005A329C"/>
    <w:rsid w:val="005A34F2"/>
    <w:rsid w:val="005A35B2"/>
    <w:rsid w:val="005A4A36"/>
    <w:rsid w:val="005A566D"/>
    <w:rsid w:val="005A5AD6"/>
    <w:rsid w:val="005A61ED"/>
    <w:rsid w:val="005A6D6D"/>
    <w:rsid w:val="005A7264"/>
    <w:rsid w:val="005A7B5D"/>
    <w:rsid w:val="005A7EFB"/>
    <w:rsid w:val="005B0B29"/>
    <w:rsid w:val="005B15E7"/>
    <w:rsid w:val="005B1601"/>
    <w:rsid w:val="005B217D"/>
    <w:rsid w:val="005B3845"/>
    <w:rsid w:val="005B3870"/>
    <w:rsid w:val="005B4CFC"/>
    <w:rsid w:val="005B5156"/>
    <w:rsid w:val="005B58B0"/>
    <w:rsid w:val="005B6E0D"/>
    <w:rsid w:val="005B7652"/>
    <w:rsid w:val="005C0298"/>
    <w:rsid w:val="005C0769"/>
    <w:rsid w:val="005C23E6"/>
    <w:rsid w:val="005C360A"/>
    <w:rsid w:val="005C5065"/>
    <w:rsid w:val="005C58BB"/>
    <w:rsid w:val="005C7EE9"/>
    <w:rsid w:val="005D221C"/>
    <w:rsid w:val="005D2A43"/>
    <w:rsid w:val="005D2AB6"/>
    <w:rsid w:val="005D4659"/>
    <w:rsid w:val="005D5331"/>
    <w:rsid w:val="005D5F01"/>
    <w:rsid w:val="005D6EA0"/>
    <w:rsid w:val="005D7249"/>
    <w:rsid w:val="005E01C0"/>
    <w:rsid w:val="005E06F0"/>
    <w:rsid w:val="005E0B31"/>
    <w:rsid w:val="005E2A77"/>
    <w:rsid w:val="005E3188"/>
    <w:rsid w:val="005E4F15"/>
    <w:rsid w:val="005E5404"/>
    <w:rsid w:val="005E6270"/>
    <w:rsid w:val="005E76E2"/>
    <w:rsid w:val="005E7B36"/>
    <w:rsid w:val="005F02E6"/>
    <w:rsid w:val="005F10F1"/>
    <w:rsid w:val="005F1911"/>
    <w:rsid w:val="005F2CBA"/>
    <w:rsid w:val="005F3216"/>
    <w:rsid w:val="005F39A9"/>
    <w:rsid w:val="005F4DFE"/>
    <w:rsid w:val="005F4EF9"/>
    <w:rsid w:val="005F4F81"/>
    <w:rsid w:val="005F50AE"/>
    <w:rsid w:val="005F673C"/>
    <w:rsid w:val="005F73F1"/>
    <w:rsid w:val="006015AE"/>
    <w:rsid w:val="006017B1"/>
    <w:rsid w:val="0060565C"/>
    <w:rsid w:val="00605E04"/>
    <w:rsid w:val="00606290"/>
    <w:rsid w:val="00606709"/>
    <w:rsid w:val="0060685F"/>
    <w:rsid w:val="00606E55"/>
    <w:rsid w:val="00607066"/>
    <w:rsid w:val="00607197"/>
    <w:rsid w:val="00607A16"/>
    <w:rsid w:val="006109F8"/>
    <w:rsid w:val="00611628"/>
    <w:rsid w:val="00611BDF"/>
    <w:rsid w:val="00612946"/>
    <w:rsid w:val="006147EA"/>
    <w:rsid w:val="00614F10"/>
    <w:rsid w:val="00617344"/>
    <w:rsid w:val="00620EB8"/>
    <w:rsid w:val="0062247A"/>
    <w:rsid w:val="00622B73"/>
    <w:rsid w:val="00623075"/>
    <w:rsid w:val="00623910"/>
    <w:rsid w:val="00624A27"/>
    <w:rsid w:val="00624D74"/>
    <w:rsid w:val="00625577"/>
    <w:rsid w:val="0062662F"/>
    <w:rsid w:val="0062716D"/>
    <w:rsid w:val="00627AF2"/>
    <w:rsid w:val="0063078A"/>
    <w:rsid w:val="00632F94"/>
    <w:rsid w:val="006346E0"/>
    <w:rsid w:val="00634CF7"/>
    <w:rsid w:val="0063632F"/>
    <w:rsid w:val="00636427"/>
    <w:rsid w:val="006403DC"/>
    <w:rsid w:val="00640AF1"/>
    <w:rsid w:val="00640E38"/>
    <w:rsid w:val="00642BD6"/>
    <w:rsid w:val="00643216"/>
    <w:rsid w:val="00643467"/>
    <w:rsid w:val="00643861"/>
    <w:rsid w:val="00643979"/>
    <w:rsid w:val="00644F8E"/>
    <w:rsid w:val="006473DD"/>
    <w:rsid w:val="0064749B"/>
    <w:rsid w:val="00647F3A"/>
    <w:rsid w:val="00650C56"/>
    <w:rsid w:val="0065196D"/>
    <w:rsid w:val="00652858"/>
    <w:rsid w:val="00653ED3"/>
    <w:rsid w:val="006558DC"/>
    <w:rsid w:val="00656B27"/>
    <w:rsid w:val="00657619"/>
    <w:rsid w:val="00657F8B"/>
    <w:rsid w:val="00660401"/>
    <w:rsid w:val="0066082B"/>
    <w:rsid w:val="006618FC"/>
    <w:rsid w:val="00661B63"/>
    <w:rsid w:val="00663D00"/>
    <w:rsid w:val="00663E86"/>
    <w:rsid w:val="006654A1"/>
    <w:rsid w:val="006656D9"/>
    <w:rsid w:val="00665963"/>
    <w:rsid w:val="00667070"/>
    <w:rsid w:val="00670B78"/>
    <w:rsid w:val="00670E70"/>
    <w:rsid w:val="00670EB2"/>
    <w:rsid w:val="00671B7E"/>
    <w:rsid w:val="00672C14"/>
    <w:rsid w:val="00673C0C"/>
    <w:rsid w:val="00676336"/>
    <w:rsid w:val="006767BC"/>
    <w:rsid w:val="00676CDE"/>
    <w:rsid w:val="00677B32"/>
    <w:rsid w:val="00681AE0"/>
    <w:rsid w:val="00681BAD"/>
    <w:rsid w:val="00681D75"/>
    <w:rsid w:val="0068242E"/>
    <w:rsid w:val="006837E3"/>
    <w:rsid w:val="00684BAF"/>
    <w:rsid w:val="00685439"/>
    <w:rsid w:val="00686BFF"/>
    <w:rsid w:val="00691C64"/>
    <w:rsid w:val="00693AB5"/>
    <w:rsid w:val="00695CF8"/>
    <w:rsid w:val="00696480"/>
    <w:rsid w:val="00696C9D"/>
    <w:rsid w:val="00696EBB"/>
    <w:rsid w:val="006975D9"/>
    <w:rsid w:val="006A19F3"/>
    <w:rsid w:val="006A1F10"/>
    <w:rsid w:val="006A4CDD"/>
    <w:rsid w:val="006A4D4E"/>
    <w:rsid w:val="006A66B7"/>
    <w:rsid w:val="006A75F3"/>
    <w:rsid w:val="006B0B05"/>
    <w:rsid w:val="006B0E2C"/>
    <w:rsid w:val="006B1B95"/>
    <w:rsid w:val="006B2782"/>
    <w:rsid w:val="006B4155"/>
    <w:rsid w:val="006B4DF2"/>
    <w:rsid w:val="006B5C78"/>
    <w:rsid w:val="006B618D"/>
    <w:rsid w:val="006B630A"/>
    <w:rsid w:val="006B78B0"/>
    <w:rsid w:val="006B7C24"/>
    <w:rsid w:val="006C1577"/>
    <w:rsid w:val="006C185C"/>
    <w:rsid w:val="006C1A37"/>
    <w:rsid w:val="006C5409"/>
    <w:rsid w:val="006C5ACD"/>
    <w:rsid w:val="006C6300"/>
    <w:rsid w:val="006D03F0"/>
    <w:rsid w:val="006D1544"/>
    <w:rsid w:val="006D22DF"/>
    <w:rsid w:val="006D2759"/>
    <w:rsid w:val="006D2BD5"/>
    <w:rsid w:val="006D3642"/>
    <w:rsid w:val="006D36B7"/>
    <w:rsid w:val="006D3A49"/>
    <w:rsid w:val="006D658B"/>
    <w:rsid w:val="006D686D"/>
    <w:rsid w:val="006E16F1"/>
    <w:rsid w:val="006E28C8"/>
    <w:rsid w:val="006E359B"/>
    <w:rsid w:val="006E5741"/>
    <w:rsid w:val="006E75BF"/>
    <w:rsid w:val="006F09B5"/>
    <w:rsid w:val="006F1349"/>
    <w:rsid w:val="006F1E89"/>
    <w:rsid w:val="006F201F"/>
    <w:rsid w:val="006F266C"/>
    <w:rsid w:val="006F2C03"/>
    <w:rsid w:val="006F450F"/>
    <w:rsid w:val="006F48B3"/>
    <w:rsid w:val="006F48B8"/>
    <w:rsid w:val="006F4A91"/>
    <w:rsid w:val="006F4ACE"/>
    <w:rsid w:val="006F4E66"/>
    <w:rsid w:val="006F553C"/>
    <w:rsid w:val="006F5924"/>
    <w:rsid w:val="006F6258"/>
    <w:rsid w:val="006F65E1"/>
    <w:rsid w:val="006F6B3A"/>
    <w:rsid w:val="006F7A1D"/>
    <w:rsid w:val="006F7F8E"/>
    <w:rsid w:val="00700C53"/>
    <w:rsid w:val="00701552"/>
    <w:rsid w:val="00702801"/>
    <w:rsid w:val="00702803"/>
    <w:rsid w:val="00704FDE"/>
    <w:rsid w:val="00705448"/>
    <w:rsid w:val="0071205E"/>
    <w:rsid w:val="007122EC"/>
    <w:rsid w:val="00712780"/>
    <w:rsid w:val="00714504"/>
    <w:rsid w:val="0071742A"/>
    <w:rsid w:val="00720BBE"/>
    <w:rsid w:val="00720C5B"/>
    <w:rsid w:val="00722737"/>
    <w:rsid w:val="00730E8F"/>
    <w:rsid w:val="00731D48"/>
    <w:rsid w:val="00732DD7"/>
    <w:rsid w:val="007331E0"/>
    <w:rsid w:val="00733D9F"/>
    <w:rsid w:val="00734484"/>
    <w:rsid w:val="00736C38"/>
    <w:rsid w:val="00737218"/>
    <w:rsid w:val="00740AC1"/>
    <w:rsid w:val="00742033"/>
    <w:rsid w:val="00742076"/>
    <w:rsid w:val="007434D0"/>
    <w:rsid w:val="0074406A"/>
    <w:rsid w:val="00745136"/>
    <w:rsid w:val="0074566B"/>
    <w:rsid w:val="00745A15"/>
    <w:rsid w:val="00745DD2"/>
    <w:rsid w:val="0074645B"/>
    <w:rsid w:val="00747B17"/>
    <w:rsid w:val="00751354"/>
    <w:rsid w:val="007553ED"/>
    <w:rsid w:val="00755D73"/>
    <w:rsid w:val="0075677A"/>
    <w:rsid w:val="00756909"/>
    <w:rsid w:val="00760469"/>
    <w:rsid w:val="00760D10"/>
    <w:rsid w:val="00761395"/>
    <w:rsid w:val="00762108"/>
    <w:rsid w:val="007635EF"/>
    <w:rsid w:val="00766695"/>
    <w:rsid w:val="00767565"/>
    <w:rsid w:val="00770C57"/>
    <w:rsid w:val="00770E38"/>
    <w:rsid w:val="00772346"/>
    <w:rsid w:val="0077364C"/>
    <w:rsid w:val="00773C2D"/>
    <w:rsid w:val="007751DE"/>
    <w:rsid w:val="00775E58"/>
    <w:rsid w:val="00776AF1"/>
    <w:rsid w:val="007805E7"/>
    <w:rsid w:val="0078133D"/>
    <w:rsid w:val="0078168A"/>
    <w:rsid w:val="00781E34"/>
    <w:rsid w:val="00782AC6"/>
    <w:rsid w:val="00782F11"/>
    <w:rsid w:val="00785501"/>
    <w:rsid w:val="00785785"/>
    <w:rsid w:val="00785DA6"/>
    <w:rsid w:val="00787A2E"/>
    <w:rsid w:val="007901E0"/>
    <w:rsid w:val="00791DED"/>
    <w:rsid w:val="00792AA8"/>
    <w:rsid w:val="00793AAE"/>
    <w:rsid w:val="0079482B"/>
    <w:rsid w:val="00794972"/>
    <w:rsid w:val="00796EE7"/>
    <w:rsid w:val="00797022"/>
    <w:rsid w:val="007A3ABE"/>
    <w:rsid w:val="007A4824"/>
    <w:rsid w:val="007A4CB0"/>
    <w:rsid w:val="007A5B52"/>
    <w:rsid w:val="007A5BC1"/>
    <w:rsid w:val="007A5E88"/>
    <w:rsid w:val="007A60F8"/>
    <w:rsid w:val="007A62C3"/>
    <w:rsid w:val="007A65F9"/>
    <w:rsid w:val="007B0A09"/>
    <w:rsid w:val="007B31D1"/>
    <w:rsid w:val="007B341B"/>
    <w:rsid w:val="007B4102"/>
    <w:rsid w:val="007B530E"/>
    <w:rsid w:val="007B651A"/>
    <w:rsid w:val="007B6648"/>
    <w:rsid w:val="007B6669"/>
    <w:rsid w:val="007B794C"/>
    <w:rsid w:val="007C25D2"/>
    <w:rsid w:val="007C311B"/>
    <w:rsid w:val="007C462E"/>
    <w:rsid w:val="007C506B"/>
    <w:rsid w:val="007D05BA"/>
    <w:rsid w:val="007D0986"/>
    <w:rsid w:val="007D44FE"/>
    <w:rsid w:val="007D4D0B"/>
    <w:rsid w:val="007D59A7"/>
    <w:rsid w:val="007D698B"/>
    <w:rsid w:val="007D7BB6"/>
    <w:rsid w:val="007D7F71"/>
    <w:rsid w:val="007E2130"/>
    <w:rsid w:val="007E2988"/>
    <w:rsid w:val="007E4632"/>
    <w:rsid w:val="007E5D35"/>
    <w:rsid w:val="007E6C40"/>
    <w:rsid w:val="007E722B"/>
    <w:rsid w:val="007F096A"/>
    <w:rsid w:val="007F0C59"/>
    <w:rsid w:val="007F149E"/>
    <w:rsid w:val="007F2138"/>
    <w:rsid w:val="007F2D2F"/>
    <w:rsid w:val="007F4A0B"/>
    <w:rsid w:val="007F52A6"/>
    <w:rsid w:val="007F5789"/>
    <w:rsid w:val="007F68DA"/>
    <w:rsid w:val="008004E7"/>
    <w:rsid w:val="0080198F"/>
    <w:rsid w:val="0080276C"/>
    <w:rsid w:val="008060C8"/>
    <w:rsid w:val="00806221"/>
    <w:rsid w:val="00810796"/>
    <w:rsid w:val="00810F5C"/>
    <w:rsid w:val="008116EB"/>
    <w:rsid w:val="00812723"/>
    <w:rsid w:val="0081389C"/>
    <w:rsid w:val="00813BEC"/>
    <w:rsid w:val="00813E7A"/>
    <w:rsid w:val="00814A6A"/>
    <w:rsid w:val="00814ED4"/>
    <w:rsid w:val="008152E3"/>
    <w:rsid w:val="0081557C"/>
    <w:rsid w:val="008159B1"/>
    <w:rsid w:val="00816089"/>
    <w:rsid w:val="00817D74"/>
    <w:rsid w:val="00820282"/>
    <w:rsid w:val="00820651"/>
    <w:rsid w:val="0082117F"/>
    <w:rsid w:val="0082180B"/>
    <w:rsid w:val="00822D84"/>
    <w:rsid w:val="00822EAF"/>
    <w:rsid w:val="0082424C"/>
    <w:rsid w:val="00824A7B"/>
    <w:rsid w:val="00825FF6"/>
    <w:rsid w:val="0082619C"/>
    <w:rsid w:val="00830EB1"/>
    <w:rsid w:val="00831A0D"/>
    <w:rsid w:val="00833368"/>
    <w:rsid w:val="00833854"/>
    <w:rsid w:val="00835039"/>
    <w:rsid w:val="00836AD2"/>
    <w:rsid w:val="008374E2"/>
    <w:rsid w:val="008375CC"/>
    <w:rsid w:val="008415CC"/>
    <w:rsid w:val="00841F20"/>
    <w:rsid w:val="0084205E"/>
    <w:rsid w:val="00842862"/>
    <w:rsid w:val="008435F2"/>
    <w:rsid w:val="00844A64"/>
    <w:rsid w:val="00845199"/>
    <w:rsid w:val="008461CB"/>
    <w:rsid w:val="00847C42"/>
    <w:rsid w:val="00847DFE"/>
    <w:rsid w:val="008503A2"/>
    <w:rsid w:val="00851111"/>
    <w:rsid w:val="008525CF"/>
    <w:rsid w:val="00852C47"/>
    <w:rsid w:val="00853C30"/>
    <w:rsid w:val="008542CC"/>
    <w:rsid w:val="008555E8"/>
    <w:rsid w:val="00856087"/>
    <w:rsid w:val="0085759E"/>
    <w:rsid w:val="0085767B"/>
    <w:rsid w:val="00860973"/>
    <w:rsid w:val="00860B77"/>
    <w:rsid w:val="0086183E"/>
    <w:rsid w:val="008639BD"/>
    <w:rsid w:val="008648B5"/>
    <w:rsid w:val="00865A78"/>
    <w:rsid w:val="0086641A"/>
    <w:rsid w:val="00867F68"/>
    <w:rsid w:val="0087062E"/>
    <w:rsid w:val="008737D3"/>
    <w:rsid w:val="00873E0E"/>
    <w:rsid w:val="008761B8"/>
    <w:rsid w:val="00877CBF"/>
    <w:rsid w:val="00882D53"/>
    <w:rsid w:val="00883437"/>
    <w:rsid w:val="008834C5"/>
    <w:rsid w:val="00883C24"/>
    <w:rsid w:val="00884EED"/>
    <w:rsid w:val="008853F8"/>
    <w:rsid w:val="008864F4"/>
    <w:rsid w:val="0088662B"/>
    <w:rsid w:val="008868C7"/>
    <w:rsid w:val="00892E81"/>
    <w:rsid w:val="0089393D"/>
    <w:rsid w:val="008953BD"/>
    <w:rsid w:val="00897069"/>
    <w:rsid w:val="008A0B6C"/>
    <w:rsid w:val="008A160E"/>
    <w:rsid w:val="008A222C"/>
    <w:rsid w:val="008A4628"/>
    <w:rsid w:val="008A7708"/>
    <w:rsid w:val="008A7A26"/>
    <w:rsid w:val="008B1A6F"/>
    <w:rsid w:val="008B1C06"/>
    <w:rsid w:val="008B47CB"/>
    <w:rsid w:val="008B6A6C"/>
    <w:rsid w:val="008B7723"/>
    <w:rsid w:val="008C1271"/>
    <w:rsid w:val="008C15AA"/>
    <w:rsid w:val="008C15BB"/>
    <w:rsid w:val="008C28E5"/>
    <w:rsid w:val="008C4E5F"/>
    <w:rsid w:val="008C6886"/>
    <w:rsid w:val="008C6C82"/>
    <w:rsid w:val="008C71C7"/>
    <w:rsid w:val="008D15F7"/>
    <w:rsid w:val="008D1FDE"/>
    <w:rsid w:val="008D351D"/>
    <w:rsid w:val="008D7625"/>
    <w:rsid w:val="008E1C45"/>
    <w:rsid w:val="008E242E"/>
    <w:rsid w:val="008E647B"/>
    <w:rsid w:val="008E7386"/>
    <w:rsid w:val="008E7B61"/>
    <w:rsid w:val="008E7DBA"/>
    <w:rsid w:val="008F3AE2"/>
    <w:rsid w:val="008F55B9"/>
    <w:rsid w:val="008F6221"/>
    <w:rsid w:val="008F682B"/>
    <w:rsid w:val="008F722B"/>
    <w:rsid w:val="008F777B"/>
    <w:rsid w:val="008F7CCE"/>
    <w:rsid w:val="00901B50"/>
    <w:rsid w:val="009027F0"/>
    <w:rsid w:val="00902AF4"/>
    <w:rsid w:val="00902DFF"/>
    <w:rsid w:val="00905433"/>
    <w:rsid w:val="009064E2"/>
    <w:rsid w:val="009067AF"/>
    <w:rsid w:val="009077C7"/>
    <w:rsid w:val="0091220E"/>
    <w:rsid w:val="00912E7F"/>
    <w:rsid w:val="0091465A"/>
    <w:rsid w:val="00915322"/>
    <w:rsid w:val="00915564"/>
    <w:rsid w:val="0092013E"/>
    <w:rsid w:val="00920216"/>
    <w:rsid w:val="00920463"/>
    <w:rsid w:val="009211EE"/>
    <w:rsid w:val="009231E5"/>
    <w:rsid w:val="009238C7"/>
    <w:rsid w:val="00923D68"/>
    <w:rsid w:val="009245CA"/>
    <w:rsid w:val="00926E4D"/>
    <w:rsid w:val="009318C9"/>
    <w:rsid w:val="00932530"/>
    <w:rsid w:val="0093352D"/>
    <w:rsid w:val="009376FF"/>
    <w:rsid w:val="009377C7"/>
    <w:rsid w:val="00937D53"/>
    <w:rsid w:val="00940185"/>
    <w:rsid w:val="00940A0A"/>
    <w:rsid w:val="00940BCD"/>
    <w:rsid w:val="00941279"/>
    <w:rsid w:val="0094211F"/>
    <w:rsid w:val="00944414"/>
    <w:rsid w:val="009462D5"/>
    <w:rsid w:val="0094781C"/>
    <w:rsid w:val="00947C3A"/>
    <w:rsid w:val="009500BE"/>
    <w:rsid w:val="00953505"/>
    <w:rsid w:val="00953958"/>
    <w:rsid w:val="00953EB6"/>
    <w:rsid w:val="00954461"/>
    <w:rsid w:val="0095456C"/>
    <w:rsid w:val="009547B3"/>
    <w:rsid w:val="00954C7C"/>
    <w:rsid w:val="00955050"/>
    <w:rsid w:val="00956905"/>
    <w:rsid w:val="009614C6"/>
    <w:rsid w:val="009615DC"/>
    <w:rsid w:val="00961716"/>
    <w:rsid w:val="00962BFB"/>
    <w:rsid w:val="00962E1C"/>
    <w:rsid w:val="0096349D"/>
    <w:rsid w:val="00963C01"/>
    <w:rsid w:val="009648DC"/>
    <w:rsid w:val="00964954"/>
    <w:rsid w:val="00966DEC"/>
    <w:rsid w:val="009679DB"/>
    <w:rsid w:val="0097288C"/>
    <w:rsid w:val="009735C2"/>
    <w:rsid w:val="00974715"/>
    <w:rsid w:val="00976023"/>
    <w:rsid w:val="009762E1"/>
    <w:rsid w:val="0097673B"/>
    <w:rsid w:val="00982A97"/>
    <w:rsid w:val="0098745B"/>
    <w:rsid w:val="00987C7D"/>
    <w:rsid w:val="00990380"/>
    <w:rsid w:val="0099102F"/>
    <w:rsid w:val="00991CC2"/>
    <w:rsid w:val="009921DB"/>
    <w:rsid w:val="00992AAE"/>
    <w:rsid w:val="00993732"/>
    <w:rsid w:val="009940EF"/>
    <w:rsid w:val="00994A8D"/>
    <w:rsid w:val="00994D06"/>
    <w:rsid w:val="00994E6F"/>
    <w:rsid w:val="00996CBA"/>
    <w:rsid w:val="00997CF0"/>
    <w:rsid w:val="009A0433"/>
    <w:rsid w:val="009A0BBC"/>
    <w:rsid w:val="009A1CCB"/>
    <w:rsid w:val="009A3EF0"/>
    <w:rsid w:val="009A5AFD"/>
    <w:rsid w:val="009A642B"/>
    <w:rsid w:val="009A64BD"/>
    <w:rsid w:val="009A6EFD"/>
    <w:rsid w:val="009A7D22"/>
    <w:rsid w:val="009B0945"/>
    <w:rsid w:val="009B2C8F"/>
    <w:rsid w:val="009B39DC"/>
    <w:rsid w:val="009B5A8C"/>
    <w:rsid w:val="009B61E7"/>
    <w:rsid w:val="009C0087"/>
    <w:rsid w:val="009C0395"/>
    <w:rsid w:val="009C1A44"/>
    <w:rsid w:val="009C2610"/>
    <w:rsid w:val="009C27F9"/>
    <w:rsid w:val="009C4D8C"/>
    <w:rsid w:val="009C6E72"/>
    <w:rsid w:val="009D301F"/>
    <w:rsid w:val="009D3C3F"/>
    <w:rsid w:val="009D4D67"/>
    <w:rsid w:val="009D619B"/>
    <w:rsid w:val="009D635B"/>
    <w:rsid w:val="009D66DC"/>
    <w:rsid w:val="009D7F6F"/>
    <w:rsid w:val="009E01FD"/>
    <w:rsid w:val="009E0393"/>
    <w:rsid w:val="009E07D3"/>
    <w:rsid w:val="009E10F9"/>
    <w:rsid w:val="009E1D9C"/>
    <w:rsid w:val="009E2B89"/>
    <w:rsid w:val="009E2FF9"/>
    <w:rsid w:val="009E3DA2"/>
    <w:rsid w:val="009F06F2"/>
    <w:rsid w:val="009F26E5"/>
    <w:rsid w:val="009F30DB"/>
    <w:rsid w:val="009F3375"/>
    <w:rsid w:val="009F635E"/>
    <w:rsid w:val="009F6F0A"/>
    <w:rsid w:val="009F76DD"/>
    <w:rsid w:val="00A00940"/>
    <w:rsid w:val="00A00B4D"/>
    <w:rsid w:val="00A02905"/>
    <w:rsid w:val="00A02C5D"/>
    <w:rsid w:val="00A03FDC"/>
    <w:rsid w:val="00A10216"/>
    <w:rsid w:val="00A140D3"/>
    <w:rsid w:val="00A1446B"/>
    <w:rsid w:val="00A14932"/>
    <w:rsid w:val="00A16514"/>
    <w:rsid w:val="00A167F2"/>
    <w:rsid w:val="00A178A8"/>
    <w:rsid w:val="00A17E84"/>
    <w:rsid w:val="00A17EFE"/>
    <w:rsid w:val="00A20C78"/>
    <w:rsid w:val="00A21FA2"/>
    <w:rsid w:val="00A2312E"/>
    <w:rsid w:val="00A234D3"/>
    <w:rsid w:val="00A2379F"/>
    <w:rsid w:val="00A24323"/>
    <w:rsid w:val="00A24536"/>
    <w:rsid w:val="00A2512C"/>
    <w:rsid w:val="00A2515B"/>
    <w:rsid w:val="00A2588E"/>
    <w:rsid w:val="00A26EDF"/>
    <w:rsid w:val="00A26F2A"/>
    <w:rsid w:val="00A273E5"/>
    <w:rsid w:val="00A30BE8"/>
    <w:rsid w:val="00A30F81"/>
    <w:rsid w:val="00A313F7"/>
    <w:rsid w:val="00A31A75"/>
    <w:rsid w:val="00A326DA"/>
    <w:rsid w:val="00A32F56"/>
    <w:rsid w:val="00A341A5"/>
    <w:rsid w:val="00A34789"/>
    <w:rsid w:val="00A347DC"/>
    <w:rsid w:val="00A349E4"/>
    <w:rsid w:val="00A3630E"/>
    <w:rsid w:val="00A36DAF"/>
    <w:rsid w:val="00A37BB8"/>
    <w:rsid w:val="00A37D74"/>
    <w:rsid w:val="00A40CB1"/>
    <w:rsid w:val="00A40D61"/>
    <w:rsid w:val="00A41FF8"/>
    <w:rsid w:val="00A42D87"/>
    <w:rsid w:val="00A44868"/>
    <w:rsid w:val="00A44BD3"/>
    <w:rsid w:val="00A4521D"/>
    <w:rsid w:val="00A46D6F"/>
    <w:rsid w:val="00A4709F"/>
    <w:rsid w:val="00A502A5"/>
    <w:rsid w:val="00A51F0A"/>
    <w:rsid w:val="00A54EF2"/>
    <w:rsid w:val="00A55D48"/>
    <w:rsid w:val="00A55DCF"/>
    <w:rsid w:val="00A57BEB"/>
    <w:rsid w:val="00A57CD0"/>
    <w:rsid w:val="00A60D33"/>
    <w:rsid w:val="00A61673"/>
    <w:rsid w:val="00A6361D"/>
    <w:rsid w:val="00A64914"/>
    <w:rsid w:val="00A64926"/>
    <w:rsid w:val="00A662CD"/>
    <w:rsid w:val="00A665CF"/>
    <w:rsid w:val="00A668E7"/>
    <w:rsid w:val="00A67CA7"/>
    <w:rsid w:val="00A7069D"/>
    <w:rsid w:val="00A719ED"/>
    <w:rsid w:val="00A72084"/>
    <w:rsid w:val="00A722BC"/>
    <w:rsid w:val="00A73989"/>
    <w:rsid w:val="00A747BB"/>
    <w:rsid w:val="00A75B6F"/>
    <w:rsid w:val="00A7752F"/>
    <w:rsid w:val="00A77EDB"/>
    <w:rsid w:val="00A81BA5"/>
    <w:rsid w:val="00A823BC"/>
    <w:rsid w:val="00A839FE"/>
    <w:rsid w:val="00A845C7"/>
    <w:rsid w:val="00A846C9"/>
    <w:rsid w:val="00A85C35"/>
    <w:rsid w:val="00A87299"/>
    <w:rsid w:val="00A87C73"/>
    <w:rsid w:val="00A92061"/>
    <w:rsid w:val="00A94249"/>
    <w:rsid w:val="00A94BC9"/>
    <w:rsid w:val="00A959BC"/>
    <w:rsid w:val="00A978B1"/>
    <w:rsid w:val="00AA14FC"/>
    <w:rsid w:val="00AA2562"/>
    <w:rsid w:val="00AA3C60"/>
    <w:rsid w:val="00AA5B69"/>
    <w:rsid w:val="00AB184A"/>
    <w:rsid w:val="00AB2FF4"/>
    <w:rsid w:val="00AB50D2"/>
    <w:rsid w:val="00AB5F9C"/>
    <w:rsid w:val="00AC1AD6"/>
    <w:rsid w:val="00AC3361"/>
    <w:rsid w:val="00AC6F6B"/>
    <w:rsid w:val="00AD0EA8"/>
    <w:rsid w:val="00AD1729"/>
    <w:rsid w:val="00AD2EFB"/>
    <w:rsid w:val="00AD3CE3"/>
    <w:rsid w:val="00AD64DF"/>
    <w:rsid w:val="00AD64E2"/>
    <w:rsid w:val="00AD657C"/>
    <w:rsid w:val="00AD7CA8"/>
    <w:rsid w:val="00AE1025"/>
    <w:rsid w:val="00AE17FA"/>
    <w:rsid w:val="00AE1DF7"/>
    <w:rsid w:val="00AE2CC4"/>
    <w:rsid w:val="00AE3504"/>
    <w:rsid w:val="00AE3F03"/>
    <w:rsid w:val="00AE64F0"/>
    <w:rsid w:val="00AE6F5F"/>
    <w:rsid w:val="00AE7296"/>
    <w:rsid w:val="00AE7D1B"/>
    <w:rsid w:val="00AF029B"/>
    <w:rsid w:val="00AF0C0B"/>
    <w:rsid w:val="00AF0E4E"/>
    <w:rsid w:val="00AF1396"/>
    <w:rsid w:val="00AF23C8"/>
    <w:rsid w:val="00AF2AE2"/>
    <w:rsid w:val="00AF2AF6"/>
    <w:rsid w:val="00AF3EA6"/>
    <w:rsid w:val="00AF43A6"/>
    <w:rsid w:val="00AF4513"/>
    <w:rsid w:val="00AF7624"/>
    <w:rsid w:val="00AF7E52"/>
    <w:rsid w:val="00B001BF"/>
    <w:rsid w:val="00B0377E"/>
    <w:rsid w:val="00B0478C"/>
    <w:rsid w:val="00B05139"/>
    <w:rsid w:val="00B07283"/>
    <w:rsid w:val="00B075AE"/>
    <w:rsid w:val="00B07BA9"/>
    <w:rsid w:val="00B10055"/>
    <w:rsid w:val="00B1141E"/>
    <w:rsid w:val="00B1278B"/>
    <w:rsid w:val="00B12FC4"/>
    <w:rsid w:val="00B15F76"/>
    <w:rsid w:val="00B17295"/>
    <w:rsid w:val="00B215F5"/>
    <w:rsid w:val="00B2262E"/>
    <w:rsid w:val="00B23B84"/>
    <w:rsid w:val="00B24087"/>
    <w:rsid w:val="00B242BF"/>
    <w:rsid w:val="00B2538E"/>
    <w:rsid w:val="00B26B62"/>
    <w:rsid w:val="00B27A54"/>
    <w:rsid w:val="00B301EF"/>
    <w:rsid w:val="00B30214"/>
    <w:rsid w:val="00B30783"/>
    <w:rsid w:val="00B30F9F"/>
    <w:rsid w:val="00B33958"/>
    <w:rsid w:val="00B360A3"/>
    <w:rsid w:val="00B3669F"/>
    <w:rsid w:val="00B37EF2"/>
    <w:rsid w:val="00B41F0F"/>
    <w:rsid w:val="00B42560"/>
    <w:rsid w:val="00B43CEC"/>
    <w:rsid w:val="00B4542C"/>
    <w:rsid w:val="00B455AA"/>
    <w:rsid w:val="00B45778"/>
    <w:rsid w:val="00B457A1"/>
    <w:rsid w:val="00B45F1B"/>
    <w:rsid w:val="00B4630F"/>
    <w:rsid w:val="00B464B1"/>
    <w:rsid w:val="00B47A4A"/>
    <w:rsid w:val="00B47B99"/>
    <w:rsid w:val="00B506F2"/>
    <w:rsid w:val="00B50A61"/>
    <w:rsid w:val="00B510E3"/>
    <w:rsid w:val="00B521AC"/>
    <w:rsid w:val="00B5269D"/>
    <w:rsid w:val="00B52702"/>
    <w:rsid w:val="00B52954"/>
    <w:rsid w:val="00B52CC0"/>
    <w:rsid w:val="00B53993"/>
    <w:rsid w:val="00B5498D"/>
    <w:rsid w:val="00B54B53"/>
    <w:rsid w:val="00B5501D"/>
    <w:rsid w:val="00B6151E"/>
    <w:rsid w:val="00B61564"/>
    <w:rsid w:val="00B647F3"/>
    <w:rsid w:val="00B64962"/>
    <w:rsid w:val="00B65001"/>
    <w:rsid w:val="00B676EC"/>
    <w:rsid w:val="00B7016C"/>
    <w:rsid w:val="00B7039B"/>
    <w:rsid w:val="00B71C1F"/>
    <w:rsid w:val="00B73045"/>
    <w:rsid w:val="00B74D1E"/>
    <w:rsid w:val="00B764C9"/>
    <w:rsid w:val="00B76A18"/>
    <w:rsid w:val="00B76AE5"/>
    <w:rsid w:val="00B8061F"/>
    <w:rsid w:val="00B812B5"/>
    <w:rsid w:val="00B82900"/>
    <w:rsid w:val="00B82CD1"/>
    <w:rsid w:val="00B8453E"/>
    <w:rsid w:val="00B84C6C"/>
    <w:rsid w:val="00B8506B"/>
    <w:rsid w:val="00B86D3F"/>
    <w:rsid w:val="00B9145A"/>
    <w:rsid w:val="00B92687"/>
    <w:rsid w:val="00B94248"/>
    <w:rsid w:val="00B942A1"/>
    <w:rsid w:val="00B94B4F"/>
    <w:rsid w:val="00B95A93"/>
    <w:rsid w:val="00B95F7C"/>
    <w:rsid w:val="00B976F6"/>
    <w:rsid w:val="00BA2EF3"/>
    <w:rsid w:val="00BA5F41"/>
    <w:rsid w:val="00BA7313"/>
    <w:rsid w:val="00BA7385"/>
    <w:rsid w:val="00BB187C"/>
    <w:rsid w:val="00BB296B"/>
    <w:rsid w:val="00BB2A9C"/>
    <w:rsid w:val="00BB3622"/>
    <w:rsid w:val="00BB5275"/>
    <w:rsid w:val="00BB5EC0"/>
    <w:rsid w:val="00BB682C"/>
    <w:rsid w:val="00BB6D80"/>
    <w:rsid w:val="00BB7839"/>
    <w:rsid w:val="00BB7CA9"/>
    <w:rsid w:val="00BC236B"/>
    <w:rsid w:val="00BC2AD5"/>
    <w:rsid w:val="00BC2BB4"/>
    <w:rsid w:val="00BC373F"/>
    <w:rsid w:val="00BC5A8A"/>
    <w:rsid w:val="00BC65D9"/>
    <w:rsid w:val="00BC77A9"/>
    <w:rsid w:val="00BC7C52"/>
    <w:rsid w:val="00BD0073"/>
    <w:rsid w:val="00BD08D2"/>
    <w:rsid w:val="00BD0CF6"/>
    <w:rsid w:val="00BD1471"/>
    <w:rsid w:val="00BD14C5"/>
    <w:rsid w:val="00BD196A"/>
    <w:rsid w:val="00BD2081"/>
    <w:rsid w:val="00BD2311"/>
    <w:rsid w:val="00BD4512"/>
    <w:rsid w:val="00BD4533"/>
    <w:rsid w:val="00BD5284"/>
    <w:rsid w:val="00BD6262"/>
    <w:rsid w:val="00BD6749"/>
    <w:rsid w:val="00BD7787"/>
    <w:rsid w:val="00BD7EED"/>
    <w:rsid w:val="00BE0FA6"/>
    <w:rsid w:val="00BE3811"/>
    <w:rsid w:val="00BE3AAD"/>
    <w:rsid w:val="00BE498C"/>
    <w:rsid w:val="00BE4C48"/>
    <w:rsid w:val="00BE61C1"/>
    <w:rsid w:val="00BE64AF"/>
    <w:rsid w:val="00BE65C2"/>
    <w:rsid w:val="00BE6717"/>
    <w:rsid w:val="00BF0381"/>
    <w:rsid w:val="00BF0AD6"/>
    <w:rsid w:val="00BF1C5D"/>
    <w:rsid w:val="00BF25D1"/>
    <w:rsid w:val="00BF2779"/>
    <w:rsid w:val="00BF4089"/>
    <w:rsid w:val="00BF446E"/>
    <w:rsid w:val="00BF5FFE"/>
    <w:rsid w:val="00BF6244"/>
    <w:rsid w:val="00BF6E7B"/>
    <w:rsid w:val="00BF7823"/>
    <w:rsid w:val="00C00382"/>
    <w:rsid w:val="00C01021"/>
    <w:rsid w:val="00C0141F"/>
    <w:rsid w:val="00C01CE9"/>
    <w:rsid w:val="00C01EDC"/>
    <w:rsid w:val="00C034A8"/>
    <w:rsid w:val="00C047CC"/>
    <w:rsid w:val="00C048AF"/>
    <w:rsid w:val="00C077E0"/>
    <w:rsid w:val="00C07B5B"/>
    <w:rsid w:val="00C07DE6"/>
    <w:rsid w:val="00C10847"/>
    <w:rsid w:val="00C122B2"/>
    <w:rsid w:val="00C154B5"/>
    <w:rsid w:val="00C154C3"/>
    <w:rsid w:val="00C17872"/>
    <w:rsid w:val="00C205E9"/>
    <w:rsid w:val="00C212FC"/>
    <w:rsid w:val="00C21D58"/>
    <w:rsid w:val="00C23265"/>
    <w:rsid w:val="00C23F48"/>
    <w:rsid w:val="00C24D6F"/>
    <w:rsid w:val="00C262BD"/>
    <w:rsid w:val="00C26C34"/>
    <w:rsid w:val="00C27540"/>
    <w:rsid w:val="00C30E04"/>
    <w:rsid w:val="00C310C2"/>
    <w:rsid w:val="00C31187"/>
    <w:rsid w:val="00C31F67"/>
    <w:rsid w:val="00C33704"/>
    <w:rsid w:val="00C35368"/>
    <w:rsid w:val="00C35B8F"/>
    <w:rsid w:val="00C36525"/>
    <w:rsid w:val="00C40010"/>
    <w:rsid w:val="00C40E25"/>
    <w:rsid w:val="00C40EB3"/>
    <w:rsid w:val="00C41BD9"/>
    <w:rsid w:val="00C434FD"/>
    <w:rsid w:val="00C4350E"/>
    <w:rsid w:val="00C4503C"/>
    <w:rsid w:val="00C45D4B"/>
    <w:rsid w:val="00C47AC7"/>
    <w:rsid w:val="00C5192E"/>
    <w:rsid w:val="00C52DE6"/>
    <w:rsid w:val="00C52F77"/>
    <w:rsid w:val="00C53BAD"/>
    <w:rsid w:val="00C54E49"/>
    <w:rsid w:val="00C560EC"/>
    <w:rsid w:val="00C6016B"/>
    <w:rsid w:val="00C60246"/>
    <w:rsid w:val="00C60337"/>
    <w:rsid w:val="00C6039F"/>
    <w:rsid w:val="00C615C1"/>
    <w:rsid w:val="00C62152"/>
    <w:rsid w:val="00C62B4B"/>
    <w:rsid w:val="00C634A7"/>
    <w:rsid w:val="00C638D7"/>
    <w:rsid w:val="00C638DF"/>
    <w:rsid w:val="00C64720"/>
    <w:rsid w:val="00C64AA8"/>
    <w:rsid w:val="00C64E52"/>
    <w:rsid w:val="00C65176"/>
    <w:rsid w:val="00C6517F"/>
    <w:rsid w:val="00C65C7A"/>
    <w:rsid w:val="00C67BA6"/>
    <w:rsid w:val="00C70DA3"/>
    <w:rsid w:val="00C71920"/>
    <w:rsid w:val="00C71AC4"/>
    <w:rsid w:val="00C72A63"/>
    <w:rsid w:val="00C72DED"/>
    <w:rsid w:val="00C73ECB"/>
    <w:rsid w:val="00C74FFE"/>
    <w:rsid w:val="00C752ED"/>
    <w:rsid w:val="00C753E3"/>
    <w:rsid w:val="00C757B7"/>
    <w:rsid w:val="00C7654B"/>
    <w:rsid w:val="00C76AE1"/>
    <w:rsid w:val="00C77A70"/>
    <w:rsid w:val="00C80AE4"/>
    <w:rsid w:val="00C82B5C"/>
    <w:rsid w:val="00C857F1"/>
    <w:rsid w:val="00C85ABE"/>
    <w:rsid w:val="00C85B63"/>
    <w:rsid w:val="00C871C4"/>
    <w:rsid w:val="00C9241D"/>
    <w:rsid w:val="00C92BEC"/>
    <w:rsid w:val="00C948FC"/>
    <w:rsid w:val="00C9568C"/>
    <w:rsid w:val="00C95E7A"/>
    <w:rsid w:val="00C95E88"/>
    <w:rsid w:val="00C96B98"/>
    <w:rsid w:val="00C97301"/>
    <w:rsid w:val="00C97CAE"/>
    <w:rsid w:val="00CA1130"/>
    <w:rsid w:val="00CA415F"/>
    <w:rsid w:val="00CA529D"/>
    <w:rsid w:val="00CA52FD"/>
    <w:rsid w:val="00CA5EA7"/>
    <w:rsid w:val="00CA6637"/>
    <w:rsid w:val="00CA690F"/>
    <w:rsid w:val="00CA71CB"/>
    <w:rsid w:val="00CB026C"/>
    <w:rsid w:val="00CB21F1"/>
    <w:rsid w:val="00CB2C14"/>
    <w:rsid w:val="00CB3AFB"/>
    <w:rsid w:val="00CB3D2D"/>
    <w:rsid w:val="00CB503C"/>
    <w:rsid w:val="00CB5A49"/>
    <w:rsid w:val="00CB5C15"/>
    <w:rsid w:val="00CB678B"/>
    <w:rsid w:val="00CC1228"/>
    <w:rsid w:val="00CC1A21"/>
    <w:rsid w:val="00CC66DE"/>
    <w:rsid w:val="00CC7624"/>
    <w:rsid w:val="00CC7C0C"/>
    <w:rsid w:val="00CD11B5"/>
    <w:rsid w:val="00CD250D"/>
    <w:rsid w:val="00CD3381"/>
    <w:rsid w:val="00CD3C6B"/>
    <w:rsid w:val="00CD5375"/>
    <w:rsid w:val="00CD5694"/>
    <w:rsid w:val="00CD75E3"/>
    <w:rsid w:val="00CD7984"/>
    <w:rsid w:val="00CE2627"/>
    <w:rsid w:val="00CE2EB2"/>
    <w:rsid w:val="00CE3819"/>
    <w:rsid w:val="00CE3A89"/>
    <w:rsid w:val="00CE5054"/>
    <w:rsid w:val="00CE525D"/>
    <w:rsid w:val="00CE52B1"/>
    <w:rsid w:val="00CE5C99"/>
    <w:rsid w:val="00CE6648"/>
    <w:rsid w:val="00CE751A"/>
    <w:rsid w:val="00CF23EE"/>
    <w:rsid w:val="00CF25C4"/>
    <w:rsid w:val="00CF41D3"/>
    <w:rsid w:val="00CF5530"/>
    <w:rsid w:val="00CF5C2F"/>
    <w:rsid w:val="00CF6BD2"/>
    <w:rsid w:val="00CF7C24"/>
    <w:rsid w:val="00D03A0C"/>
    <w:rsid w:val="00D046FC"/>
    <w:rsid w:val="00D04D32"/>
    <w:rsid w:val="00D0601B"/>
    <w:rsid w:val="00D07651"/>
    <w:rsid w:val="00D078B1"/>
    <w:rsid w:val="00D11357"/>
    <w:rsid w:val="00D126F7"/>
    <w:rsid w:val="00D129F5"/>
    <w:rsid w:val="00D12ED9"/>
    <w:rsid w:val="00D13ABD"/>
    <w:rsid w:val="00D141DD"/>
    <w:rsid w:val="00D1494A"/>
    <w:rsid w:val="00D15777"/>
    <w:rsid w:val="00D15B46"/>
    <w:rsid w:val="00D15B59"/>
    <w:rsid w:val="00D163C6"/>
    <w:rsid w:val="00D1659F"/>
    <w:rsid w:val="00D171DF"/>
    <w:rsid w:val="00D17A51"/>
    <w:rsid w:val="00D21887"/>
    <w:rsid w:val="00D243EB"/>
    <w:rsid w:val="00D24B07"/>
    <w:rsid w:val="00D2597A"/>
    <w:rsid w:val="00D266DE"/>
    <w:rsid w:val="00D27EA4"/>
    <w:rsid w:val="00D31689"/>
    <w:rsid w:val="00D325D3"/>
    <w:rsid w:val="00D33686"/>
    <w:rsid w:val="00D355E8"/>
    <w:rsid w:val="00D37ABE"/>
    <w:rsid w:val="00D40222"/>
    <w:rsid w:val="00D41780"/>
    <w:rsid w:val="00D430E4"/>
    <w:rsid w:val="00D43DD6"/>
    <w:rsid w:val="00D45359"/>
    <w:rsid w:val="00D454EC"/>
    <w:rsid w:val="00D46CCA"/>
    <w:rsid w:val="00D5045F"/>
    <w:rsid w:val="00D50D74"/>
    <w:rsid w:val="00D51BD9"/>
    <w:rsid w:val="00D51C2C"/>
    <w:rsid w:val="00D5451B"/>
    <w:rsid w:val="00D54CFC"/>
    <w:rsid w:val="00D55A36"/>
    <w:rsid w:val="00D5689A"/>
    <w:rsid w:val="00D57072"/>
    <w:rsid w:val="00D61249"/>
    <w:rsid w:val="00D61AE5"/>
    <w:rsid w:val="00D61B51"/>
    <w:rsid w:val="00D64636"/>
    <w:rsid w:val="00D64FC9"/>
    <w:rsid w:val="00D66595"/>
    <w:rsid w:val="00D668E4"/>
    <w:rsid w:val="00D6700E"/>
    <w:rsid w:val="00D67466"/>
    <w:rsid w:val="00D67DD8"/>
    <w:rsid w:val="00D7047B"/>
    <w:rsid w:val="00D70735"/>
    <w:rsid w:val="00D729A9"/>
    <w:rsid w:val="00D72AD2"/>
    <w:rsid w:val="00D72CDC"/>
    <w:rsid w:val="00D741F4"/>
    <w:rsid w:val="00D74D4F"/>
    <w:rsid w:val="00D74FEC"/>
    <w:rsid w:val="00D75505"/>
    <w:rsid w:val="00D76695"/>
    <w:rsid w:val="00D77015"/>
    <w:rsid w:val="00D77DAB"/>
    <w:rsid w:val="00D80998"/>
    <w:rsid w:val="00D8228F"/>
    <w:rsid w:val="00D82D39"/>
    <w:rsid w:val="00D83CB1"/>
    <w:rsid w:val="00D862DA"/>
    <w:rsid w:val="00D8640C"/>
    <w:rsid w:val="00D86456"/>
    <w:rsid w:val="00D870BD"/>
    <w:rsid w:val="00D873E4"/>
    <w:rsid w:val="00D90ED8"/>
    <w:rsid w:val="00D92D80"/>
    <w:rsid w:val="00D936C9"/>
    <w:rsid w:val="00D93D99"/>
    <w:rsid w:val="00D940D4"/>
    <w:rsid w:val="00D944B3"/>
    <w:rsid w:val="00D96EBE"/>
    <w:rsid w:val="00DA30DE"/>
    <w:rsid w:val="00DA3D7B"/>
    <w:rsid w:val="00DA5B52"/>
    <w:rsid w:val="00DA6721"/>
    <w:rsid w:val="00DA7189"/>
    <w:rsid w:val="00DA7370"/>
    <w:rsid w:val="00DB1190"/>
    <w:rsid w:val="00DB136E"/>
    <w:rsid w:val="00DB2605"/>
    <w:rsid w:val="00DB40F6"/>
    <w:rsid w:val="00DB4594"/>
    <w:rsid w:val="00DB4AA3"/>
    <w:rsid w:val="00DB68FF"/>
    <w:rsid w:val="00DB6CDB"/>
    <w:rsid w:val="00DB7230"/>
    <w:rsid w:val="00DC1C05"/>
    <w:rsid w:val="00DC32BA"/>
    <w:rsid w:val="00DC3948"/>
    <w:rsid w:val="00DC4018"/>
    <w:rsid w:val="00DC5FD8"/>
    <w:rsid w:val="00DD0079"/>
    <w:rsid w:val="00DD10D5"/>
    <w:rsid w:val="00DD3ABD"/>
    <w:rsid w:val="00DD4466"/>
    <w:rsid w:val="00DD5173"/>
    <w:rsid w:val="00DD6518"/>
    <w:rsid w:val="00DD6537"/>
    <w:rsid w:val="00DD6667"/>
    <w:rsid w:val="00DD74A2"/>
    <w:rsid w:val="00DD7D97"/>
    <w:rsid w:val="00DE210E"/>
    <w:rsid w:val="00DE32DB"/>
    <w:rsid w:val="00DE383B"/>
    <w:rsid w:val="00DE49BE"/>
    <w:rsid w:val="00DE5AAB"/>
    <w:rsid w:val="00DE6576"/>
    <w:rsid w:val="00DE6F5A"/>
    <w:rsid w:val="00DF19CC"/>
    <w:rsid w:val="00DF1A94"/>
    <w:rsid w:val="00DF3811"/>
    <w:rsid w:val="00DF4614"/>
    <w:rsid w:val="00DF4C09"/>
    <w:rsid w:val="00DF4DAB"/>
    <w:rsid w:val="00DF6D10"/>
    <w:rsid w:val="00DF7B25"/>
    <w:rsid w:val="00E00B67"/>
    <w:rsid w:val="00E04840"/>
    <w:rsid w:val="00E06497"/>
    <w:rsid w:val="00E10DAA"/>
    <w:rsid w:val="00E10FDB"/>
    <w:rsid w:val="00E122F5"/>
    <w:rsid w:val="00E12DB0"/>
    <w:rsid w:val="00E135A1"/>
    <w:rsid w:val="00E1496E"/>
    <w:rsid w:val="00E16EF1"/>
    <w:rsid w:val="00E177A0"/>
    <w:rsid w:val="00E17F63"/>
    <w:rsid w:val="00E202B8"/>
    <w:rsid w:val="00E20DB0"/>
    <w:rsid w:val="00E2236F"/>
    <w:rsid w:val="00E2333E"/>
    <w:rsid w:val="00E23DC3"/>
    <w:rsid w:val="00E30224"/>
    <w:rsid w:val="00E30700"/>
    <w:rsid w:val="00E33485"/>
    <w:rsid w:val="00E3366A"/>
    <w:rsid w:val="00E368C3"/>
    <w:rsid w:val="00E36943"/>
    <w:rsid w:val="00E3764A"/>
    <w:rsid w:val="00E37DE5"/>
    <w:rsid w:val="00E41BDB"/>
    <w:rsid w:val="00E4280E"/>
    <w:rsid w:val="00E43A09"/>
    <w:rsid w:val="00E43C06"/>
    <w:rsid w:val="00E449B1"/>
    <w:rsid w:val="00E47B31"/>
    <w:rsid w:val="00E501F7"/>
    <w:rsid w:val="00E5082D"/>
    <w:rsid w:val="00E52403"/>
    <w:rsid w:val="00E52EA9"/>
    <w:rsid w:val="00E574A9"/>
    <w:rsid w:val="00E61355"/>
    <w:rsid w:val="00E613BC"/>
    <w:rsid w:val="00E61F1E"/>
    <w:rsid w:val="00E6223A"/>
    <w:rsid w:val="00E62A58"/>
    <w:rsid w:val="00E63D1A"/>
    <w:rsid w:val="00E64B6A"/>
    <w:rsid w:val="00E66797"/>
    <w:rsid w:val="00E66861"/>
    <w:rsid w:val="00E66E21"/>
    <w:rsid w:val="00E67063"/>
    <w:rsid w:val="00E700C8"/>
    <w:rsid w:val="00E709D4"/>
    <w:rsid w:val="00E70D24"/>
    <w:rsid w:val="00E70F38"/>
    <w:rsid w:val="00E710FC"/>
    <w:rsid w:val="00E712E9"/>
    <w:rsid w:val="00E71915"/>
    <w:rsid w:val="00E7262D"/>
    <w:rsid w:val="00E72995"/>
    <w:rsid w:val="00E7437B"/>
    <w:rsid w:val="00E80916"/>
    <w:rsid w:val="00E840DF"/>
    <w:rsid w:val="00E8452A"/>
    <w:rsid w:val="00E8560F"/>
    <w:rsid w:val="00E8662A"/>
    <w:rsid w:val="00E8687D"/>
    <w:rsid w:val="00E8780A"/>
    <w:rsid w:val="00E93310"/>
    <w:rsid w:val="00E957FC"/>
    <w:rsid w:val="00E96B0B"/>
    <w:rsid w:val="00EA0289"/>
    <w:rsid w:val="00EA1992"/>
    <w:rsid w:val="00EA5992"/>
    <w:rsid w:val="00EA5AD7"/>
    <w:rsid w:val="00EA5D58"/>
    <w:rsid w:val="00EA7B74"/>
    <w:rsid w:val="00EB11D1"/>
    <w:rsid w:val="00EB181B"/>
    <w:rsid w:val="00EB1CA4"/>
    <w:rsid w:val="00EB24FE"/>
    <w:rsid w:val="00EB2DEA"/>
    <w:rsid w:val="00EB3B4C"/>
    <w:rsid w:val="00EB649C"/>
    <w:rsid w:val="00EC003F"/>
    <w:rsid w:val="00EC0E26"/>
    <w:rsid w:val="00EC341C"/>
    <w:rsid w:val="00EC41D7"/>
    <w:rsid w:val="00EC69AD"/>
    <w:rsid w:val="00EC6F36"/>
    <w:rsid w:val="00ED1657"/>
    <w:rsid w:val="00ED1CB4"/>
    <w:rsid w:val="00ED5637"/>
    <w:rsid w:val="00ED6618"/>
    <w:rsid w:val="00ED74A1"/>
    <w:rsid w:val="00EE2663"/>
    <w:rsid w:val="00EE3445"/>
    <w:rsid w:val="00EE71C9"/>
    <w:rsid w:val="00EE7BB6"/>
    <w:rsid w:val="00EF0823"/>
    <w:rsid w:val="00EF0A2D"/>
    <w:rsid w:val="00EF2118"/>
    <w:rsid w:val="00EF352D"/>
    <w:rsid w:val="00EF4AEE"/>
    <w:rsid w:val="00EF5E74"/>
    <w:rsid w:val="00EF6E41"/>
    <w:rsid w:val="00F02163"/>
    <w:rsid w:val="00F02196"/>
    <w:rsid w:val="00F024E8"/>
    <w:rsid w:val="00F03BF4"/>
    <w:rsid w:val="00F03CA3"/>
    <w:rsid w:val="00F03F3B"/>
    <w:rsid w:val="00F05D50"/>
    <w:rsid w:val="00F062DB"/>
    <w:rsid w:val="00F063CF"/>
    <w:rsid w:val="00F071FB"/>
    <w:rsid w:val="00F07468"/>
    <w:rsid w:val="00F07A0F"/>
    <w:rsid w:val="00F10EAC"/>
    <w:rsid w:val="00F114F2"/>
    <w:rsid w:val="00F11DDC"/>
    <w:rsid w:val="00F1302B"/>
    <w:rsid w:val="00F134D8"/>
    <w:rsid w:val="00F1376D"/>
    <w:rsid w:val="00F13B6A"/>
    <w:rsid w:val="00F13F76"/>
    <w:rsid w:val="00F153C1"/>
    <w:rsid w:val="00F1546E"/>
    <w:rsid w:val="00F15BEE"/>
    <w:rsid w:val="00F164B1"/>
    <w:rsid w:val="00F166EA"/>
    <w:rsid w:val="00F1690E"/>
    <w:rsid w:val="00F172D3"/>
    <w:rsid w:val="00F175EE"/>
    <w:rsid w:val="00F20A6F"/>
    <w:rsid w:val="00F2176B"/>
    <w:rsid w:val="00F217E8"/>
    <w:rsid w:val="00F2230A"/>
    <w:rsid w:val="00F22D82"/>
    <w:rsid w:val="00F22E59"/>
    <w:rsid w:val="00F22FE8"/>
    <w:rsid w:val="00F23A8E"/>
    <w:rsid w:val="00F24E45"/>
    <w:rsid w:val="00F25E0B"/>
    <w:rsid w:val="00F26D40"/>
    <w:rsid w:val="00F27096"/>
    <w:rsid w:val="00F3120F"/>
    <w:rsid w:val="00F31DAD"/>
    <w:rsid w:val="00F322E0"/>
    <w:rsid w:val="00F32504"/>
    <w:rsid w:val="00F337B1"/>
    <w:rsid w:val="00F340B6"/>
    <w:rsid w:val="00F36075"/>
    <w:rsid w:val="00F361B7"/>
    <w:rsid w:val="00F40337"/>
    <w:rsid w:val="00F40BAE"/>
    <w:rsid w:val="00F411AF"/>
    <w:rsid w:val="00F413B6"/>
    <w:rsid w:val="00F4386E"/>
    <w:rsid w:val="00F43A6C"/>
    <w:rsid w:val="00F462FC"/>
    <w:rsid w:val="00F46A55"/>
    <w:rsid w:val="00F527BE"/>
    <w:rsid w:val="00F52F93"/>
    <w:rsid w:val="00F531ED"/>
    <w:rsid w:val="00F53B98"/>
    <w:rsid w:val="00F54608"/>
    <w:rsid w:val="00F552F2"/>
    <w:rsid w:val="00F55A05"/>
    <w:rsid w:val="00F55E52"/>
    <w:rsid w:val="00F57CF7"/>
    <w:rsid w:val="00F57EF0"/>
    <w:rsid w:val="00F608D7"/>
    <w:rsid w:val="00F60A91"/>
    <w:rsid w:val="00F627E2"/>
    <w:rsid w:val="00F66DAB"/>
    <w:rsid w:val="00F66DFC"/>
    <w:rsid w:val="00F70364"/>
    <w:rsid w:val="00F70539"/>
    <w:rsid w:val="00F71520"/>
    <w:rsid w:val="00F7590F"/>
    <w:rsid w:val="00F75FE2"/>
    <w:rsid w:val="00F76B9A"/>
    <w:rsid w:val="00F772CC"/>
    <w:rsid w:val="00F77961"/>
    <w:rsid w:val="00F82A15"/>
    <w:rsid w:val="00F8383E"/>
    <w:rsid w:val="00F8569E"/>
    <w:rsid w:val="00F85A14"/>
    <w:rsid w:val="00F90EB0"/>
    <w:rsid w:val="00F913C6"/>
    <w:rsid w:val="00F921A3"/>
    <w:rsid w:val="00F92D23"/>
    <w:rsid w:val="00F934D9"/>
    <w:rsid w:val="00F93D7C"/>
    <w:rsid w:val="00F94864"/>
    <w:rsid w:val="00F95BDD"/>
    <w:rsid w:val="00FA02EE"/>
    <w:rsid w:val="00FA1B51"/>
    <w:rsid w:val="00FA1EB4"/>
    <w:rsid w:val="00FA33A6"/>
    <w:rsid w:val="00FA6228"/>
    <w:rsid w:val="00FA7B80"/>
    <w:rsid w:val="00FA7C7B"/>
    <w:rsid w:val="00FB0B18"/>
    <w:rsid w:val="00FB18EA"/>
    <w:rsid w:val="00FB19DA"/>
    <w:rsid w:val="00FB22BF"/>
    <w:rsid w:val="00FB2ACA"/>
    <w:rsid w:val="00FB60AC"/>
    <w:rsid w:val="00FB673E"/>
    <w:rsid w:val="00FB6C6C"/>
    <w:rsid w:val="00FB7246"/>
    <w:rsid w:val="00FB753B"/>
    <w:rsid w:val="00FB7616"/>
    <w:rsid w:val="00FC1826"/>
    <w:rsid w:val="00FC1B4D"/>
    <w:rsid w:val="00FC1F5C"/>
    <w:rsid w:val="00FC203A"/>
    <w:rsid w:val="00FC3D57"/>
    <w:rsid w:val="00FC3EB4"/>
    <w:rsid w:val="00FC4C81"/>
    <w:rsid w:val="00FC51B8"/>
    <w:rsid w:val="00FC5FD1"/>
    <w:rsid w:val="00FC6C2D"/>
    <w:rsid w:val="00FD05FF"/>
    <w:rsid w:val="00FD16AB"/>
    <w:rsid w:val="00FD184D"/>
    <w:rsid w:val="00FD2E3A"/>
    <w:rsid w:val="00FD38DC"/>
    <w:rsid w:val="00FD48E0"/>
    <w:rsid w:val="00FD6457"/>
    <w:rsid w:val="00FD755E"/>
    <w:rsid w:val="00FD7CD3"/>
    <w:rsid w:val="00FE2310"/>
    <w:rsid w:val="00FE374A"/>
    <w:rsid w:val="00FE382D"/>
    <w:rsid w:val="00FE410C"/>
    <w:rsid w:val="00FE44C5"/>
    <w:rsid w:val="00FE4E01"/>
    <w:rsid w:val="00FE5864"/>
    <w:rsid w:val="00FE795A"/>
    <w:rsid w:val="00FF0DC6"/>
    <w:rsid w:val="00FF1021"/>
    <w:rsid w:val="00FF141F"/>
    <w:rsid w:val="00FF1937"/>
    <w:rsid w:val="00FF3239"/>
    <w:rsid w:val="00FF3F9C"/>
    <w:rsid w:val="00FF406D"/>
    <w:rsid w:val="00FF436F"/>
    <w:rsid w:val="00FF4A7B"/>
    <w:rsid w:val="00FF594E"/>
    <w:rsid w:val="00FF5CE3"/>
    <w:rsid w:val="00FF6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7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0"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NoNorm">
    <w:name w:val="No Norm"/>
    <w:basedOn w:val="Normal"/>
    <w:qFormat/>
    <w:rsid w:val="00912E7F"/>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character" w:customStyle="1" w:styleId="FootnoteTextChar">
    <w:name w:val="Footnote Text Char"/>
    <w:basedOn w:val="DefaultParagraphFont"/>
    <w:link w:val="FootnoteText"/>
    <w:uiPriority w:val="53"/>
    <w:rsid w:val="00912E7F"/>
  </w:style>
  <w:style w:type="paragraph" w:customStyle="1" w:styleId="Noindentnormal">
    <w:name w:val="No indent normal"/>
    <w:basedOn w:val="NoNorm"/>
    <w:qFormat/>
    <w:rsid w:val="00912E7F"/>
    <w:pPr>
      <w:tabs>
        <w:tab w:val="clear" w:pos="2160"/>
        <w:tab w:val="left" w:pos="1418"/>
      </w:tabs>
      <w:ind w:left="1418" w:hanging="709"/>
    </w:pPr>
  </w:style>
  <w:style w:type="paragraph" w:customStyle="1" w:styleId="Indentlista">
    <w:name w:val="Indent list a)"/>
    <w:basedOn w:val="Noindentnormal"/>
    <w:qFormat/>
    <w:rsid w:val="00912E7F"/>
    <w:pPr>
      <w:tabs>
        <w:tab w:val="left" w:pos="2268"/>
      </w:tabs>
      <w:spacing w:before="60"/>
      <w:ind w:left="2268" w:hanging="567"/>
    </w:pPr>
  </w:style>
  <w:style w:type="paragraph" w:styleId="EndnoteText">
    <w:name w:val="endnote text"/>
    <w:basedOn w:val="Normal"/>
    <w:link w:val="EndnoteTextChar"/>
    <w:uiPriority w:val="99"/>
    <w:semiHidden/>
    <w:unhideWhenUsed/>
    <w:locked/>
    <w:rsid w:val="00BE65C2"/>
    <w:pPr>
      <w:spacing w:line="240" w:lineRule="auto"/>
    </w:pPr>
    <w:rPr>
      <w:sz w:val="20"/>
      <w:szCs w:val="20"/>
    </w:rPr>
  </w:style>
  <w:style w:type="character" w:customStyle="1" w:styleId="EndnoteTextChar">
    <w:name w:val="Endnote Text Char"/>
    <w:basedOn w:val="DefaultParagraphFont"/>
    <w:link w:val="EndnoteText"/>
    <w:uiPriority w:val="99"/>
    <w:semiHidden/>
    <w:rsid w:val="00BE65C2"/>
    <w:rPr>
      <w:sz w:val="20"/>
      <w:szCs w:val="20"/>
    </w:rPr>
  </w:style>
  <w:style w:type="character" w:styleId="EndnoteReference">
    <w:name w:val="endnote reference"/>
    <w:basedOn w:val="DefaultParagraphFont"/>
    <w:uiPriority w:val="99"/>
    <w:semiHidden/>
    <w:unhideWhenUsed/>
    <w:locked/>
    <w:rsid w:val="00BE65C2"/>
    <w:rPr>
      <w:vertAlign w:val="superscript"/>
    </w:rPr>
  </w:style>
  <w:style w:type="paragraph" w:styleId="Revision">
    <w:name w:val="Revision"/>
    <w:hidden/>
    <w:uiPriority w:val="99"/>
    <w:semiHidden/>
    <w:rsid w:val="00281123"/>
  </w:style>
  <w:style w:type="character" w:styleId="CommentReference">
    <w:name w:val="annotation reference"/>
    <w:basedOn w:val="DefaultParagraphFont"/>
    <w:uiPriority w:val="99"/>
    <w:semiHidden/>
    <w:unhideWhenUsed/>
    <w:locked/>
    <w:rsid w:val="00510B1B"/>
    <w:rPr>
      <w:sz w:val="16"/>
      <w:szCs w:val="16"/>
    </w:rPr>
  </w:style>
  <w:style w:type="paragraph" w:styleId="CommentText">
    <w:name w:val="annotation text"/>
    <w:basedOn w:val="Normal"/>
    <w:link w:val="CommentTextChar"/>
    <w:uiPriority w:val="99"/>
    <w:unhideWhenUsed/>
    <w:locked/>
    <w:rsid w:val="00510B1B"/>
    <w:pPr>
      <w:spacing w:line="240" w:lineRule="auto"/>
    </w:pPr>
    <w:rPr>
      <w:sz w:val="20"/>
      <w:szCs w:val="20"/>
    </w:rPr>
  </w:style>
  <w:style w:type="character" w:customStyle="1" w:styleId="CommentTextChar">
    <w:name w:val="Comment Text Char"/>
    <w:basedOn w:val="DefaultParagraphFont"/>
    <w:link w:val="CommentText"/>
    <w:uiPriority w:val="99"/>
    <w:rsid w:val="00510B1B"/>
    <w:rPr>
      <w:sz w:val="20"/>
      <w:szCs w:val="20"/>
    </w:rPr>
  </w:style>
  <w:style w:type="paragraph" w:styleId="CommentSubject">
    <w:name w:val="annotation subject"/>
    <w:basedOn w:val="CommentText"/>
    <w:next w:val="CommentText"/>
    <w:link w:val="CommentSubjectChar"/>
    <w:uiPriority w:val="99"/>
    <w:semiHidden/>
    <w:unhideWhenUsed/>
    <w:locked/>
    <w:rsid w:val="00510B1B"/>
    <w:rPr>
      <w:b/>
      <w:bCs/>
    </w:rPr>
  </w:style>
  <w:style w:type="character" w:customStyle="1" w:styleId="CommentSubjectChar">
    <w:name w:val="Comment Subject Char"/>
    <w:basedOn w:val="CommentTextChar"/>
    <w:link w:val="CommentSubject"/>
    <w:uiPriority w:val="99"/>
    <w:semiHidden/>
    <w:rsid w:val="00510B1B"/>
    <w:rPr>
      <w:b/>
      <w:bCs/>
      <w:sz w:val="20"/>
      <w:szCs w:val="20"/>
    </w:rPr>
  </w:style>
  <w:style w:type="paragraph" w:customStyle="1" w:styleId="Body">
    <w:name w:val="Body"/>
    <w:basedOn w:val="Normal"/>
    <w:qFormat/>
    <w:rsid w:val="00CA52F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A52F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A52FD"/>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A52F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A52FD"/>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A52FD"/>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A63310BF-D18C-4310-89E9-45C4D98BA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19</Pages>
  <Words>5210</Words>
  <Characters>26521</Characters>
  <Application>Microsoft Office Word</Application>
  <DocSecurity>0</DocSecurity>
  <Lines>530</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2025-04-07T01:16:00Z</dcterms:created>
  <dcterms:modified xsi:type="dcterms:W3CDTF">2025-04-08T23:28:00Z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