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9A27" w14:textId="77777777" w:rsidR="00891673" w:rsidRPr="00704FF8" w:rsidRDefault="00891673" w:rsidP="00704FF8">
      <w:pPr>
        <w:pStyle w:val="OrdersTopLine"/>
      </w:pPr>
      <w:r w:rsidRPr="00704FF8">
        <w:t>HIGH COURT OF AUSTRALIA</w:t>
      </w:r>
    </w:p>
    <w:p w14:paraId="5B4EBA56" w14:textId="77777777" w:rsidR="00891673" w:rsidRPr="00704FF8" w:rsidRDefault="00891673" w:rsidP="00704FF8">
      <w:pPr>
        <w:pStyle w:val="OrderCentre"/>
      </w:pPr>
    </w:p>
    <w:p w14:paraId="764F4BEE" w14:textId="77777777" w:rsidR="00891673" w:rsidRPr="00C46004" w:rsidRDefault="00891673" w:rsidP="00704FF8">
      <w:pPr>
        <w:pStyle w:val="OrderCentre"/>
        <w:rPr>
          <w:spacing w:val="-4"/>
          <w:sz w:val="24"/>
          <w:szCs w:val="24"/>
        </w:rPr>
      </w:pPr>
      <w:r w:rsidRPr="00C46004">
        <w:rPr>
          <w:spacing w:val="-4"/>
          <w:sz w:val="24"/>
          <w:szCs w:val="24"/>
        </w:rPr>
        <w:t>GAGELER CJ,</w:t>
      </w:r>
    </w:p>
    <w:p w14:paraId="5B20EFBB" w14:textId="77777777" w:rsidR="00891673" w:rsidRPr="00704FF8" w:rsidRDefault="00891673" w:rsidP="00704FF8">
      <w:pPr>
        <w:pStyle w:val="OrderCentre"/>
      </w:pPr>
      <w:r w:rsidRPr="00C46004">
        <w:rPr>
          <w:spacing w:val="-4"/>
          <w:sz w:val="24"/>
          <w:szCs w:val="24"/>
        </w:rPr>
        <w:t>EDELMAN, STEWARD, GLEESON AND BEECH</w:t>
      </w:r>
      <w:r w:rsidRPr="00C46004">
        <w:rPr>
          <w:spacing w:val="-4"/>
          <w:sz w:val="24"/>
          <w:szCs w:val="24"/>
        </w:rPr>
        <w:noBreakHyphen/>
        <w:t>JONES JJ</w:t>
      </w:r>
    </w:p>
    <w:p w14:paraId="1999C5F5" w14:textId="77777777" w:rsidR="00891673" w:rsidRPr="00427F3A" w:rsidRDefault="00891673" w:rsidP="00EE5374">
      <w:pPr>
        <w:pStyle w:val="Centre"/>
        <w:rPr>
          <w:lang w:val="en-AU"/>
        </w:rPr>
      </w:pPr>
    </w:p>
    <w:p w14:paraId="3B4C067F" w14:textId="77777777" w:rsidR="00891673" w:rsidRPr="00704FF8" w:rsidRDefault="00891673" w:rsidP="00704FF8">
      <w:pPr>
        <w:pStyle w:val="OrdersCenteredBorder"/>
      </w:pPr>
    </w:p>
    <w:p w14:paraId="6EA1FC58" w14:textId="77777777" w:rsidR="00891673" w:rsidRPr="00704FF8" w:rsidRDefault="00891673" w:rsidP="0032341F">
      <w:pPr>
        <w:pStyle w:val="OrdersBodyHeading"/>
      </w:pPr>
    </w:p>
    <w:p w14:paraId="575A9D60" w14:textId="77777777" w:rsidR="00891673" w:rsidRPr="0032341F" w:rsidRDefault="00891673" w:rsidP="009362E8">
      <w:pPr>
        <w:pStyle w:val="OrdersPartyName"/>
        <w:ind w:right="-1"/>
      </w:pPr>
      <w:r w:rsidRPr="00FD77DC">
        <w:t>RENAE EVANS &amp; ANOR</w:t>
      </w:r>
      <w:r w:rsidRPr="0032341F">
        <w:tab/>
        <w:t>APPELLANT</w:t>
      </w:r>
      <w:r>
        <w:t>S</w:t>
      </w:r>
    </w:p>
    <w:p w14:paraId="4A544ACF" w14:textId="77777777" w:rsidR="00891673" w:rsidRPr="0032341F" w:rsidRDefault="00891673" w:rsidP="009362E8">
      <w:pPr>
        <w:pStyle w:val="OrdersPartyName"/>
        <w:ind w:right="-1"/>
      </w:pPr>
    </w:p>
    <w:p w14:paraId="1EC6C65C" w14:textId="77777777" w:rsidR="00891673" w:rsidRPr="0032341F" w:rsidRDefault="00891673" w:rsidP="009362E8">
      <w:pPr>
        <w:pStyle w:val="OrdersPartyName"/>
        <w:ind w:right="-1"/>
      </w:pPr>
      <w:r w:rsidRPr="0032341F">
        <w:t>AND</w:t>
      </w:r>
    </w:p>
    <w:p w14:paraId="4AB4851F" w14:textId="77777777" w:rsidR="00891673" w:rsidRPr="0032341F" w:rsidRDefault="00891673" w:rsidP="009362E8">
      <w:pPr>
        <w:pStyle w:val="OrdersPartyName"/>
        <w:ind w:right="-1"/>
      </w:pPr>
    </w:p>
    <w:p w14:paraId="0A63DDF7" w14:textId="77777777" w:rsidR="00891673" w:rsidRPr="0032341F" w:rsidRDefault="00891673" w:rsidP="009362E8">
      <w:pPr>
        <w:pStyle w:val="OrdersPartyName"/>
        <w:ind w:right="-1"/>
      </w:pPr>
      <w:r w:rsidRPr="00FD77DC">
        <w:t>AIR CANADA</w:t>
      </w:r>
      <w:r w:rsidRPr="0032341F">
        <w:tab/>
        <w:t>RESPONDENT</w:t>
      </w:r>
    </w:p>
    <w:p w14:paraId="34470F31" w14:textId="77777777" w:rsidR="00891673" w:rsidRPr="00427F3A" w:rsidRDefault="00891673" w:rsidP="00AF0A5E">
      <w:pPr>
        <w:pStyle w:val="BodyHeading"/>
      </w:pPr>
    </w:p>
    <w:p w14:paraId="251EA910" w14:textId="77777777" w:rsidR="00891673" w:rsidRPr="00427F3A" w:rsidRDefault="00891673" w:rsidP="00BE0A6C">
      <w:pPr>
        <w:pStyle w:val="BodyHeading"/>
      </w:pPr>
    </w:p>
    <w:p w14:paraId="2448919F" w14:textId="77777777" w:rsidR="00891673" w:rsidRPr="00427F3A" w:rsidRDefault="00891673" w:rsidP="00EE5374">
      <w:pPr>
        <w:pStyle w:val="CentreItalics"/>
      </w:pPr>
      <w:r w:rsidRPr="00FD77DC">
        <w:t>Evans v Air Canada</w:t>
      </w:r>
    </w:p>
    <w:p w14:paraId="0F074D31" w14:textId="77777777" w:rsidR="00891673" w:rsidRPr="00427F3A" w:rsidRDefault="00891673" w:rsidP="00E90E4F">
      <w:pPr>
        <w:pStyle w:val="OrdersCentre"/>
      </w:pPr>
      <w:r>
        <w:t>[2025</w:t>
      </w:r>
      <w:r w:rsidRPr="00427F3A">
        <w:t xml:space="preserve">] HCA </w:t>
      </w:r>
      <w:r>
        <w:t>22</w:t>
      </w:r>
    </w:p>
    <w:p w14:paraId="26290EC5" w14:textId="77777777" w:rsidR="00891673" w:rsidRDefault="00891673" w:rsidP="00E90E4F">
      <w:pPr>
        <w:pStyle w:val="OrdersCentreItalics"/>
      </w:pPr>
      <w:r>
        <w:t xml:space="preserve">Date of Hearing: </w:t>
      </w:r>
      <w:r w:rsidRPr="00FD77DC">
        <w:t>12 March 2025</w:t>
      </w:r>
    </w:p>
    <w:p w14:paraId="1028575D" w14:textId="77777777" w:rsidR="00891673" w:rsidRPr="00427F3A" w:rsidRDefault="00891673" w:rsidP="00E90E4F">
      <w:pPr>
        <w:pStyle w:val="OrdersCentreItalics"/>
      </w:pPr>
      <w:r>
        <w:t>Date of Judgment: 14 May 2025</w:t>
      </w:r>
    </w:p>
    <w:p w14:paraId="76AC3C4F" w14:textId="77777777" w:rsidR="00891673" w:rsidRDefault="00891673" w:rsidP="00E90E4F">
      <w:pPr>
        <w:pStyle w:val="OrdersCentre"/>
      </w:pPr>
      <w:r w:rsidRPr="00FD77DC">
        <w:t>S138/2024</w:t>
      </w:r>
    </w:p>
    <w:p w14:paraId="4892A560" w14:textId="77777777" w:rsidR="00891673" w:rsidRPr="00427F3A" w:rsidRDefault="00891673" w:rsidP="00E90E4F">
      <w:pPr>
        <w:pStyle w:val="OrdersCentre"/>
      </w:pPr>
    </w:p>
    <w:p w14:paraId="3CDF2553" w14:textId="77777777" w:rsidR="00891673" w:rsidRPr="00BE0A6C" w:rsidRDefault="00891673" w:rsidP="00E90E4F">
      <w:pPr>
        <w:pStyle w:val="OrderCentreBold"/>
      </w:pPr>
      <w:r w:rsidRPr="00BE0A6C">
        <w:t>ORDER</w:t>
      </w:r>
    </w:p>
    <w:p w14:paraId="57A7A5A3" w14:textId="77777777" w:rsidR="00891673" w:rsidRPr="00427F3A" w:rsidRDefault="00891673" w:rsidP="00736C52">
      <w:pPr>
        <w:pStyle w:val="Centre"/>
        <w:rPr>
          <w:lang w:val="en-AU"/>
        </w:rPr>
      </w:pPr>
    </w:p>
    <w:p w14:paraId="558A38CD" w14:textId="77777777" w:rsidR="00891673" w:rsidRPr="00C71A10" w:rsidRDefault="00891673" w:rsidP="00C71A10">
      <w:pPr>
        <w:pStyle w:val="OrdersText"/>
      </w:pPr>
      <w:r>
        <w:t>Appeal dismissed with costs.</w:t>
      </w:r>
    </w:p>
    <w:p w14:paraId="32B20177" w14:textId="77777777" w:rsidR="00891673" w:rsidRDefault="00891673" w:rsidP="00EE5374">
      <w:pPr>
        <w:pStyle w:val="Body"/>
      </w:pPr>
    </w:p>
    <w:p w14:paraId="71EF08C5" w14:textId="77777777" w:rsidR="00891673" w:rsidRPr="00427F3A" w:rsidRDefault="00891673" w:rsidP="00EE5374">
      <w:pPr>
        <w:pStyle w:val="Body"/>
      </w:pPr>
    </w:p>
    <w:p w14:paraId="7A3065E6" w14:textId="77777777" w:rsidR="00891673" w:rsidRPr="00427F3A" w:rsidRDefault="00891673" w:rsidP="0032341F">
      <w:pPr>
        <w:pStyle w:val="OrdersBody"/>
      </w:pPr>
      <w:r w:rsidRPr="00427F3A">
        <w:t xml:space="preserve">On appeal from the </w:t>
      </w:r>
      <w:r w:rsidRPr="00FD77DC">
        <w:t>Supreme Court of New South Wales</w:t>
      </w:r>
    </w:p>
    <w:p w14:paraId="2DC21DF8" w14:textId="77777777" w:rsidR="00891673" w:rsidRDefault="00891673" w:rsidP="00EE5374">
      <w:pPr>
        <w:pStyle w:val="Body"/>
      </w:pPr>
    </w:p>
    <w:p w14:paraId="0B047EDA" w14:textId="77777777" w:rsidR="00891673" w:rsidRPr="00427F3A" w:rsidRDefault="00891673" w:rsidP="00EE5374">
      <w:pPr>
        <w:pStyle w:val="Body"/>
      </w:pPr>
    </w:p>
    <w:p w14:paraId="468316CF" w14:textId="77777777" w:rsidR="00891673" w:rsidRPr="00427F3A" w:rsidRDefault="00891673" w:rsidP="00E90E4F">
      <w:pPr>
        <w:pStyle w:val="OrdersBodyHeading"/>
      </w:pPr>
      <w:r w:rsidRPr="00427F3A">
        <w:t>Representation</w:t>
      </w:r>
    </w:p>
    <w:p w14:paraId="2E0EE415" w14:textId="77777777" w:rsidR="00891673" w:rsidRDefault="00891673" w:rsidP="00EE5374">
      <w:pPr>
        <w:pStyle w:val="Body"/>
      </w:pPr>
    </w:p>
    <w:p w14:paraId="0C50CE27" w14:textId="77777777" w:rsidR="00891673" w:rsidRPr="0002442F" w:rsidRDefault="00891673" w:rsidP="00E90E4F">
      <w:pPr>
        <w:pStyle w:val="OrdersBody"/>
      </w:pPr>
      <w:r w:rsidRPr="0002442F">
        <w:t xml:space="preserve">B W Walker SC with M </w:t>
      </w:r>
      <w:proofErr w:type="spellStart"/>
      <w:r w:rsidRPr="0002442F">
        <w:t>Tanevski</w:t>
      </w:r>
      <w:proofErr w:type="spellEnd"/>
      <w:r w:rsidRPr="0002442F">
        <w:t xml:space="preserve"> for the appellants (instructed by Shine Lawyers)</w:t>
      </w:r>
    </w:p>
    <w:p w14:paraId="13015D73" w14:textId="77777777" w:rsidR="00891673" w:rsidRPr="0002442F" w:rsidRDefault="00891673" w:rsidP="001B3C97">
      <w:pPr>
        <w:pStyle w:val="Body"/>
      </w:pPr>
    </w:p>
    <w:p w14:paraId="366ACFDB" w14:textId="77777777" w:rsidR="00891673" w:rsidRPr="0002442F" w:rsidRDefault="00891673" w:rsidP="00E90E4F">
      <w:pPr>
        <w:pStyle w:val="OrdersBody"/>
      </w:pPr>
      <w:r w:rsidRPr="0002442F">
        <w:t>J T Gleeson SC with G O J O’Mahoney and L G Moretti for the respondent (instructed by Norton White)</w:t>
      </w:r>
    </w:p>
    <w:p w14:paraId="3AB4DE8C" w14:textId="77777777" w:rsidR="00891673" w:rsidRDefault="00891673" w:rsidP="00A01277">
      <w:pPr>
        <w:pStyle w:val="Body"/>
      </w:pPr>
    </w:p>
    <w:p w14:paraId="47CA8078" w14:textId="77777777" w:rsidR="00891673" w:rsidRDefault="00891673" w:rsidP="00EE5374">
      <w:pPr>
        <w:pStyle w:val="Body"/>
      </w:pPr>
    </w:p>
    <w:p w14:paraId="3EAF4CBE" w14:textId="77777777" w:rsidR="00891673" w:rsidRPr="00427F3A" w:rsidRDefault="00891673" w:rsidP="00EE5374">
      <w:pPr>
        <w:pStyle w:val="Body"/>
      </w:pPr>
    </w:p>
    <w:p w14:paraId="661FE3FF" w14:textId="77777777" w:rsidR="00891673" w:rsidRPr="00427F3A" w:rsidRDefault="00891673" w:rsidP="00F9713B">
      <w:pPr>
        <w:pStyle w:val="Notice"/>
        <w:rPr>
          <w:lang w:val="en-AU"/>
        </w:rPr>
      </w:pPr>
      <w:r w:rsidRPr="00427F3A">
        <w:rPr>
          <w:lang w:val="en-AU"/>
        </w:rPr>
        <w:t>Notice:  This copy of the Court's Reasons for Judgment is subject to formal revision prior to publication in the Commonwealth Law Reports.</w:t>
      </w:r>
    </w:p>
    <w:p w14:paraId="7251814F" w14:textId="02BF065A" w:rsidR="00891673" w:rsidRDefault="0089167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42C2FF0E" w14:textId="77777777" w:rsidR="00891673" w:rsidRDefault="0089167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891673" w:rsidSect="0089167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24065D7" w14:textId="77777777" w:rsidR="00891673" w:rsidRDefault="00891673" w:rsidP="001649CA">
      <w:pPr>
        <w:pStyle w:val="CatchwordsBold"/>
      </w:pPr>
      <w:r w:rsidRPr="00B9489E">
        <w:lastRenderedPageBreak/>
        <w:t>CATCHWORDS</w:t>
      </w:r>
    </w:p>
    <w:p w14:paraId="5B8FD97F" w14:textId="77777777" w:rsidR="00891673" w:rsidRPr="00B9489E" w:rsidRDefault="00891673" w:rsidP="001649CA">
      <w:pPr>
        <w:pStyle w:val="CatchwordsBold"/>
      </w:pPr>
    </w:p>
    <w:p w14:paraId="3897D420" w14:textId="77777777" w:rsidR="00891673" w:rsidRPr="00B9489E" w:rsidRDefault="00891673" w:rsidP="001649CA">
      <w:pPr>
        <w:pStyle w:val="CatchwordsBold"/>
      </w:pPr>
      <w:r>
        <w:t>Evans v Air Canada</w:t>
      </w:r>
    </w:p>
    <w:p w14:paraId="33B1942F" w14:textId="77777777" w:rsidR="00891673" w:rsidRPr="00B9489E" w:rsidRDefault="00891673" w:rsidP="00562CAB">
      <w:pPr>
        <w:pStyle w:val="Default"/>
      </w:pPr>
    </w:p>
    <w:p w14:paraId="3E8EB0A2" w14:textId="77777777" w:rsidR="00891673" w:rsidRDefault="00891673" w:rsidP="001649CA">
      <w:pPr>
        <w:pStyle w:val="CatchwordsText"/>
      </w:pPr>
      <w:r w:rsidRPr="00E1450D">
        <w:t>Aviation – Carriage of passengers by air – Contract of carriage – Where Air Canada's International Passenger Rules and Fares Tariff ("Air Canada Tariff") formed part of contract of carriage with passengers</w:t>
      </w:r>
      <w:r>
        <w:t xml:space="preserve"> </w:t>
      </w:r>
      <w:r w:rsidRPr="00E1450D">
        <w:t>–</w:t>
      </w:r>
      <w:r>
        <w:t xml:space="preserve"> Where defences to liability recognised by </w:t>
      </w:r>
      <w:r w:rsidRPr="003D29FF">
        <w:t xml:space="preserve">Convention for the Unification of Certain Rules for International Carriage by Air </w:t>
      </w:r>
      <w:r w:rsidRPr="003F4D3B">
        <w:t>(</w:t>
      </w:r>
      <w:r w:rsidRPr="003D29FF">
        <w:t>1999</w:t>
      </w:r>
      <w:r w:rsidRPr="003F4D3B">
        <w:t>)</w:t>
      </w:r>
      <w:r>
        <w:t xml:space="preserve"> ("Montreal Convention") </w:t>
      </w:r>
      <w:r w:rsidRPr="00E1450D">
        <w:t>–</w:t>
      </w:r>
      <w:r w:rsidRPr="00A22939">
        <w:t xml:space="preserve"> </w:t>
      </w:r>
      <w:r>
        <w:t xml:space="preserve">Where treaty provisions given effect in domestic law </w:t>
      </w:r>
      <w:r w:rsidRPr="00E1450D">
        <w:t>–</w:t>
      </w:r>
      <w:r>
        <w:t xml:space="preserve"> Where liability rules of Montreal Convention expressly incorporated into Air Canada Tariff </w:t>
      </w:r>
      <w:r w:rsidRPr="00E1450D">
        <w:t>–</w:t>
      </w:r>
      <w:r>
        <w:t xml:space="preserve"> Where partial </w:t>
      </w:r>
      <w:r w:rsidRPr="00FC54EF">
        <w:t>defence in Art 21(2) of Montreal Convention</w:t>
      </w:r>
      <w:r>
        <w:t xml:space="preserve"> raised </w:t>
      </w:r>
      <w:r w:rsidRPr="00E1450D">
        <w:t>–</w:t>
      </w:r>
      <w:r>
        <w:t xml:space="preserve"> Whether open to Air Canada to waive partial defence limiting extent of passengers' recovery of damages for bodily injury allegedly caused by turbulence experienced on flight </w:t>
      </w:r>
      <w:r w:rsidRPr="00E1450D">
        <w:t>–</w:t>
      </w:r>
      <w:r>
        <w:t xml:space="preserve"> Whether any waiver of partial defence in Air Canada Tariff.</w:t>
      </w:r>
    </w:p>
    <w:p w14:paraId="031AFD5D" w14:textId="77777777" w:rsidR="00891673" w:rsidRDefault="00891673" w:rsidP="001649CA">
      <w:pPr>
        <w:pStyle w:val="CatchwordsText"/>
      </w:pPr>
    </w:p>
    <w:p w14:paraId="3D768957" w14:textId="77777777" w:rsidR="00891673" w:rsidRDefault="00891673" w:rsidP="001649CA">
      <w:pPr>
        <w:pStyle w:val="CatchwordsText"/>
      </w:pPr>
      <w:r w:rsidRPr="0090072D">
        <w:t xml:space="preserve">Words and phrases – </w:t>
      </w:r>
      <w:r>
        <w:t xml:space="preserve">"aviation", </w:t>
      </w:r>
      <w:r w:rsidRPr="0090072D">
        <w:t>"bodily injury"</w:t>
      </w:r>
      <w:r>
        <w:t>, "context", "contract of carriage", "damages", "defence", "financial limit", "liability cap", "liability rules", "partial defence", "purpose", "tiers of liability", "</w:t>
      </w:r>
      <w:r w:rsidRPr="00ED1601">
        <w:rPr>
          <w:iCs/>
        </w:rPr>
        <w:t>travaux pr</w:t>
      </w:r>
      <w:r w:rsidRPr="008D28F5">
        <w:rPr>
          <w:iCs/>
        </w:rPr>
        <w:t>éparatoi</w:t>
      </w:r>
      <w:r w:rsidRPr="00ED1601">
        <w:rPr>
          <w:iCs/>
        </w:rPr>
        <w:t>res</w:t>
      </w:r>
      <w:r>
        <w:rPr>
          <w:iCs/>
        </w:rPr>
        <w:t>"</w:t>
      </w:r>
      <w:r>
        <w:t>, "treaty", "treaty interpretation", "unlimited liability", "waiver".</w:t>
      </w:r>
    </w:p>
    <w:p w14:paraId="077F9D10" w14:textId="77777777" w:rsidR="00891673" w:rsidRPr="00B9489E" w:rsidRDefault="00891673" w:rsidP="001649CA">
      <w:pPr>
        <w:pStyle w:val="CatchwordsText"/>
      </w:pPr>
    </w:p>
    <w:p w14:paraId="45B919BF" w14:textId="77777777" w:rsidR="00891673" w:rsidRDefault="00891673" w:rsidP="001649CA">
      <w:pPr>
        <w:pStyle w:val="CatchwordsText"/>
      </w:pPr>
      <w:r w:rsidRPr="00214A45">
        <w:rPr>
          <w:i/>
          <w:iCs/>
        </w:rPr>
        <w:t xml:space="preserve">Civil Aviation (Carriers' Liability) Act 1959 </w:t>
      </w:r>
      <w:r w:rsidRPr="00214A45">
        <w:t>(Cth),</w:t>
      </w:r>
      <w:r>
        <w:t xml:space="preserve"> ss 9B, 11.</w:t>
      </w:r>
    </w:p>
    <w:p w14:paraId="691D914C" w14:textId="77777777" w:rsidR="00891673" w:rsidRDefault="00891673" w:rsidP="001649CA">
      <w:pPr>
        <w:pStyle w:val="CatchwordsText"/>
      </w:pPr>
      <w:r w:rsidRPr="003D29FF">
        <w:t xml:space="preserve">Convention for the Unification of Certain Rules for International Carriage by Air </w:t>
      </w:r>
      <w:r w:rsidRPr="003F4D3B">
        <w:t>(</w:t>
      </w:r>
      <w:r w:rsidRPr="003D29FF">
        <w:t>1999</w:t>
      </w:r>
      <w:r w:rsidRPr="003F4D3B">
        <w:t>)</w:t>
      </w:r>
      <w:r>
        <w:t>, Arts 17, 21, 25.</w:t>
      </w:r>
    </w:p>
    <w:p w14:paraId="2E5BF371" w14:textId="77777777" w:rsidR="00891673" w:rsidRPr="003D5837" w:rsidRDefault="00891673" w:rsidP="001649CA">
      <w:pPr>
        <w:pStyle w:val="CatchwordsText"/>
      </w:pPr>
      <w:r>
        <w:t xml:space="preserve">Vienna Convention on the Law of Treaties </w:t>
      </w:r>
      <w:r w:rsidRPr="00680DD6">
        <w:t>(1969)</w:t>
      </w:r>
      <w:r>
        <w:t>, Arts 31, 32.</w:t>
      </w:r>
    </w:p>
    <w:p w14:paraId="75636B95" w14:textId="02231883" w:rsidR="00891673" w:rsidRDefault="00891673" w:rsidP="0089167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17701ADB" w14:textId="26B9849C" w:rsidR="00891673" w:rsidRDefault="0089167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3621205A" w14:textId="2FE2E1B5" w:rsidR="00891673" w:rsidRDefault="0089167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2DF99B65" w14:textId="77777777" w:rsidR="00891673" w:rsidRDefault="00891673" w:rsidP="00842E68">
      <w:pPr>
        <w:pStyle w:val="NormalBody"/>
        <w:tabs>
          <w:tab w:val="clear" w:pos="720"/>
          <w:tab w:val="left" w:pos="0"/>
        </w:tabs>
        <w:spacing w:after="260" w:line="280" w:lineRule="exact"/>
        <w:ind w:right="0"/>
        <w:jc w:val="both"/>
        <w:rPr>
          <w:rFonts w:ascii="Times New Roman" w:hAnsi="Times New Roman"/>
        </w:rPr>
        <w:sectPr w:rsidR="00891673" w:rsidSect="00891673">
          <w:pgSz w:w="11907" w:h="16839" w:code="9"/>
          <w:pgMar w:top="1440" w:right="1701" w:bottom="1984" w:left="1701" w:header="720" w:footer="720" w:gutter="0"/>
          <w:pgNumType w:start="1"/>
          <w:cols w:space="720"/>
          <w:titlePg/>
          <w:docGrid w:linePitch="354"/>
        </w:sectPr>
      </w:pPr>
    </w:p>
    <w:p w14:paraId="3E28AF3F" w14:textId="09574ACF" w:rsidR="00842E68" w:rsidRPr="00842E68" w:rsidRDefault="00842E68" w:rsidP="00842E68">
      <w:pPr>
        <w:pStyle w:val="NormalBody"/>
        <w:tabs>
          <w:tab w:val="clear" w:pos="720"/>
          <w:tab w:val="left" w:pos="0"/>
        </w:tabs>
        <w:spacing w:after="260" w:line="280" w:lineRule="exact"/>
        <w:ind w:right="0"/>
        <w:jc w:val="both"/>
        <w:rPr>
          <w:rFonts w:ascii="Times New Roman" w:hAnsi="Times New Roman"/>
        </w:rPr>
      </w:pPr>
      <w:r w:rsidRPr="00842E68">
        <w:rPr>
          <w:rFonts w:ascii="Times New Roman" w:hAnsi="Times New Roman"/>
        </w:rPr>
        <w:lastRenderedPageBreak/>
        <w:t xml:space="preserve">GAGELER CJ, EDELMAN, STEWARD, GLEESON AND BEECH-JONES JJ.   </w:t>
      </w:r>
    </w:p>
    <w:p w14:paraId="45B92C26" w14:textId="2590C6D5" w:rsidR="00531621" w:rsidRPr="00842E68" w:rsidRDefault="00D92213" w:rsidP="00842E68">
      <w:pPr>
        <w:pStyle w:val="HeadingL1"/>
        <w:spacing w:after="260" w:line="280" w:lineRule="exact"/>
        <w:ind w:right="0"/>
        <w:jc w:val="both"/>
        <w:rPr>
          <w:rFonts w:ascii="Times New Roman" w:hAnsi="Times New Roman"/>
        </w:rPr>
      </w:pPr>
      <w:r w:rsidRPr="00842E68">
        <w:rPr>
          <w:rFonts w:ascii="Times New Roman" w:hAnsi="Times New Roman"/>
        </w:rPr>
        <w:t>Introduction</w:t>
      </w:r>
    </w:p>
    <w:p w14:paraId="2F0AC82C" w14:textId="2B90D25D" w:rsidR="00282C03" w:rsidRPr="00842E68" w:rsidRDefault="004A0734"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D92213" w:rsidRPr="00842E68">
        <w:rPr>
          <w:rFonts w:ascii="Times New Roman" w:hAnsi="Times New Roman"/>
        </w:rPr>
        <w:t xml:space="preserve">This appeal concerns </w:t>
      </w:r>
      <w:r w:rsidR="00C12F17" w:rsidRPr="00842E68">
        <w:rPr>
          <w:rFonts w:ascii="Times New Roman" w:hAnsi="Times New Roman"/>
        </w:rPr>
        <w:t>the meaning of Art</w:t>
      </w:r>
      <w:r w:rsidR="00F93CFE" w:rsidRPr="00842E68">
        <w:rPr>
          <w:rFonts w:ascii="Times New Roman" w:hAnsi="Times New Roman"/>
        </w:rPr>
        <w:t>s</w:t>
      </w:r>
      <w:r w:rsidR="005C2C9D" w:rsidRPr="00842E68">
        <w:rPr>
          <w:rFonts w:ascii="Times New Roman" w:hAnsi="Times New Roman"/>
        </w:rPr>
        <w:t> </w:t>
      </w:r>
      <w:r w:rsidR="00F93CFE" w:rsidRPr="00842E68">
        <w:rPr>
          <w:rFonts w:ascii="Times New Roman" w:hAnsi="Times New Roman"/>
        </w:rPr>
        <w:t>17, 21 and</w:t>
      </w:r>
      <w:r w:rsidR="00C12F17" w:rsidRPr="00842E68">
        <w:rPr>
          <w:rFonts w:ascii="Times New Roman" w:hAnsi="Times New Roman"/>
        </w:rPr>
        <w:t xml:space="preserve"> 25 of the </w:t>
      </w:r>
      <w:r w:rsidR="002A6FBD" w:rsidRPr="00842E68">
        <w:rPr>
          <w:rFonts w:ascii="Times New Roman" w:hAnsi="Times New Roman"/>
        </w:rPr>
        <w:t xml:space="preserve">Convention for the </w:t>
      </w:r>
      <w:r w:rsidR="0067398D" w:rsidRPr="00842E68">
        <w:rPr>
          <w:rFonts w:ascii="Times New Roman" w:hAnsi="Times New Roman"/>
        </w:rPr>
        <w:t xml:space="preserve">Unification of Certain </w:t>
      </w:r>
      <w:r w:rsidR="001C4484" w:rsidRPr="00842E68">
        <w:rPr>
          <w:rFonts w:ascii="Times New Roman" w:hAnsi="Times New Roman"/>
        </w:rPr>
        <w:t>Rules</w:t>
      </w:r>
      <w:r w:rsidR="0067398D" w:rsidRPr="00842E68">
        <w:rPr>
          <w:rFonts w:ascii="Times New Roman" w:hAnsi="Times New Roman"/>
        </w:rPr>
        <w:t xml:space="preserve"> </w:t>
      </w:r>
      <w:r w:rsidR="001C4484" w:rsidRPr="00842E68">
        <w:rPr>
          <w:rFonts w:ascii="Times New Roman" w:hAnsi="Times New Roman"/>
        </w:rPr>
        <w:t>for</w:t>
      </w:r>
      <w:r w:rsidR="0067398D" w:rsidRPr="00842E68">
        <w:rPr>
          <w:rFonts w:ascii="Times New Roman" w:hAnsi="Times New Roman"/>
        </w:rPr>
        <w:t xml:space="preserve"> International Carriage by Air </w:t>
      </w:r>
      <w:r w:rsidR="006D5819" w:rsidRPr="00842E68">
        <w:rPr>
          <w:rFonts w:ascii="Times New Roman" w:hAnsi="Times New Roman"/>
        </w:rPr>
        <w:t>(</w:t>
      </w:r>
      <w:r w:rsidR="0067398D" w:rsidRPr="00842E68">
        <w:rPr>
          <w:rFonts w:ascii="Times New Roman" w:hAnsi="Times New Roman"/>
        </w:rPr>
        <w:t>1999</w:t>
      </w:r>
      <w:r w:rsidR="006D5819" w:rsidRPr="00842E68">
        <w:rPr>
          <w:rFonts w:ascii="Times New Roman" w:hAnsi="Times New Roman"/>
        </w:rPr>
        <w:t>)</w:t>
      </w:r>
      <w:r w:rsidR="00C020B4" w:rsidRPr="00842E68">
        <w:rPr>
          <w:rStyle w:val="FootnoteReference"/>
          <w:rFonts w:ascii="Times New Roman" w:hAnsi="Times New Roman"/>
          <w:sz w:val="24"/>
        </w:rPr>
        <w:footnoteReference w:id="2"/>
      </w:r>
      <w:r w:rsidR="0067398D" w:rsidRPr="00842E68">
        <w:rPr>
          <w:rFonts w:ascii="Times New Roman" w:hAnsi="Times New Roman"/>
          <w:i/>
          <w:iCs/>
        </w:rPr>
        <w:t xml:space="preserve"> </w:t>
      </w:r>
      <w:r w:rsidR="004836BB" w:rsidRPr="00842E68">
        <w:rPr>
          <w:rFonts w:ascii="Times New Roman" w:hAnsi="Times New Roman"/>
        </w:rPr>
        <w:t>("the Montreal Convention")</w:t>
      </w:r>
      <w:r w:rsidR="003C10BD" w:rsidRPr="00842E68">
        <w:rPr>
          <w:rFonts w:ascii="Times New Roman" w:hAnsi="Times New Roman"/>
        </w:rPr>
        <w:t xml:space="preserve"> and the application of those provisions in Air Canada</w:t>
      </w:r>
      <w:r w:rsidR="00962971" w:rsidRPr="00842E68">
        <w:rPr>
          <w:rFonts w:ascii="Times New Roman" w:hAnsi="Times New Roman"/>
        </w:rPr>
        <w:t xml:space="preserve">'s </w:t>
      </w:r>
      <w:r w:rsidR="00D367C0" w:rsidRPr="00842E68">
        <w:rPr>
          <w:rFonts w:ascii="Times New Roman" w:hAnsi="Times New Roman"/>
        </w:rPr>
        <w:t xml:space="preserve">International </w:t>
      </w:r>
      <w:r w:rsidR="00BF7485" w:rsidRPr="00842E68">
        <w:rPr>
          <w:rFonts w:ascii="Times New Roman" w:hAnsi="Times New Roman"/>
        </w:rPr>
        <w:t xml:space="preserve">Passenger </w:t>
      </w:r>
      <w:r w:rsidR="00D367C0" w:rsidRPr="00842E68">
        <w:rPr>
          <w:rFonts w:ascii="Times New Roman" w:hAnsi="Times New Roman"/>
        </w:rPr>
        <w:t xml:space="preserve">Rules </w:t>
      </w:r>
      <w:r w:rsidR="00BF7485" w:rsidRPr="00842E68">
        <w:rPr>
          <w:rFonts w:ascii="Times New Roman" w:hAnsi="Times New Roman"/>
        </w:rPr>
        <w:t xml:space="preserve">and Fares Tariff </w:t>
      </w:r>
      <w:r w:rsidR="00E662CF" w:rsidRPr="00842E68">
        <w:rPr>
          <w:rFonts w:ascii="Times New Roman" w:hAnsi="Times New Roman"/>
        </w:rPr>
        <w:t>("the Air Canada Tariff")</w:t>
      </w:r>
      <w:r w:rsidR="003C10BD" w:rsidRPr="00842E68">
        <w:rPr>
          <w:rFonts w:ascii="Times New Roman" w:hAnsi="Times New Roman"/>
        </w:rPr>
        <w:t xml:space="preserve">, </w:t>
      </w:r>
      <w:r w:rsidR="00A83896" w:rsidRPr="00842E68">
        <w:rPr>
          <w:rFonts w:ascii="Times New Roman" w:hAnsi="Times New Roman"/>
        </w:rPr>
        <w:t>which</w:t>
      </w:r>
      <w:r w:rsidR="00977F6A" w:rsidRPr="00842E68">
        <w:rPr>
          <w:rFonts w:ascii="Times New Roman" w:hAnsi="Times New Roman"/>
        </w:rPr>
        <w:t xml:space="preserve"> formed part of</w:t>
      </w:r>
      <w:r w:rsidR="003C10BD" w:rsidRPr="00842E68">
        <w:rPr>
          <w:rFonts w:ascii="Times New Roman" w:hAnsi="Times New Roman"/>
        </w:rPr>
        <w:t xml:space="preserve"> its contract </w:t>
      </w:r>
      <w:r w:rsidR="00A4582B" w:rsidRPr="00842E68">
        <w:rPr>
          <w:rFonts w:ascii="Times New Roman" w:hAnsi="Times New Roman"/>
        </w:rPr>
        <w:t xml:space="preserve">of carriage </w:t>
      </w:r>
      <w:r w:rsidR="003C10BD" w:rsidRPr="00842E68">
        <w:rPr>
          <w:rFonts w:ascii="Times New Roman" w:hAnsi="Times New Roman"/>
        </w:rPr>
        <w:t>with passengers</w:t>
      </w:r>
      <w:r w:rsidR="004836BB" w:rsidRPr="00842E68">
        <w:rPr>
          <w:rFonts w:ascii="Times New Roman" w:hAnsi="Times New Roman"/>
        </w:rPr>
        <w:t xml:space="preserve">. </w:t>
      </w:r>
    </w:p>
    <w:p w14:paraId="0C2AE89C" w14:textId="2A04E27E" w:rsidR="004A0734" w:rsidRPr="00842E68" w:rsidRDefault="00282C03"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723F8F" w:rsidRPr="00842E68">
        <w:rPr>
          <w:rFonts w:ascii="Times New Roman" w:hAnsi="Times New Roman"/>
        </w:rPr>
        <w:t xml:space="preserve">The </w:t>
      </w:r>
      <w:r w:rsidR="003B57AF" w:rsidRPr="00842E68">
        <w:rPr>
          <w:rFonts w:ascii="Times New Roman" w:hAnsi="Times New Roman"/>
        </w:rPr>
        <w:t>issue in this Court arise</w:t>
      </w:r>
      <w:r w:rsidR="00A60D0E" w:rsidRPr="00842E68">
        <w:rPr>
          <w:rFonts w:ascii="Times New Roman" w:hAnsi="Times New Roman"/>
        </w:rPr>
        <w:t>s</w:t>
      </w:r>
      <w:r w:rsidR="003B57AF" w:rsidRPr="00842E68">
        <w:rPr>
          <w:rFonts w:ascii="Times New Roman" w:hAnsi="Times New Roman"/>
        </w:rPr>
        <w:t xml:space="preserve"> from a claim, </w:t>
      </w:r>
      <w:r w:rsidR="00977FA8" w:rsidRPr="00842E68">
        <w:rPr>
          <w:rFonts w:ascii="Times New Roman" w:hAnsi="Times New Roman"/>
        </w:rPr>
        <w:t xml:space="preserve">made </w:t>
      </w:r>
      <w:r w:rsidR="003B57AF" w:rsidRPr="00842E68">
        <w:rPr>
          <w:rFonts w:ascii="Times New Roman" w:hAnsi="Times New Roman"/>
        </w:rPr>
        <w:t>by</w:t>
      </w:r>
      <w:r w:rsidR="00EC38C1" w:rsidRPr="00842E68">
        <w:rPr>
          <w:rFonts w:ascii="Times New Roman" w:hAnsi="Times New Roman"/>
        </w:rPr>
        <w:t xml:space="preserve"> two passengers</w:t>
      </w:r>
      <w:r w:rsidR="00723F8F" w:rsidRPr="00842E68">
        <w:rPr>
          <w:rFonts w:ascii="Times New Roman" w:hAnsi="Times New Roman"/>
        </w:rPr>
        <w:t xml:space="preserve"> </w:t>
      </w:r>
      <w:r w:rsidR="00116466" w:rsidRPr="00842E68">
        <w:rPr>
          <w:rFonts w:ascii="Times New Roman" w:hAnsi="Times New Roman"/>
        </w:rPr>
        <w:t xml:space="preserve">who travelled </w:t>
      </w:r>
      <w:r w:rsidR="00124BBB" w:rsidRPr="00842E68">
        <w:rPr>
          <w:rFonts w:ascii="Times New Roman" w:hAnsi="Times New Roman"/>
        </w:rPr>
        <w:t>on an Air Canada flight from Vancouver to Sydney</w:t>
      </w:r>
      <w:r w:rsidR="00EC38C1" w:rsidRPr="00842E68">
        <w:rPr>
          <w:rFonts w:ascii="Times New Roman" w:hAnsi="Times New Roman"/>
        </w:rPr>
        <w:t xml:space="preserve"> in </w:t>
      </w:r>
      <w:r w:rsidR="00CA3AA3" w:rsidRPr="00842E68">
        <w:rPr>
          <w:rFonts w:ascii="Times New Roman" w:hAnsi="Times New Roman"/>
        </w:rPr>
        <w:t xml:space="preserve">July </w:t>
      </w:r>
      <w:r w:rsidR="00EC38C1" w:rsidRPr="00842E68">
        <w:rPr>
          <w:rFonts w:ascii="Times New Roman" w:hAnsi="Times New Roman"/>
        </w:rPr>
        <w:t>2019</w:t>
      </w:r>
      <w:r w:rsidR="003B57AF" w:rsidRPr="00842E68">
        <w:rPr>
          <w:rFonts w:ascii="Times New Roman" w:hAnsi="Times New Roman"/>
        </w:rPr>
        <w:t xml:space="preserve">, </w:t>
      </w:r>
      <w:r w:rsidR="00E41BD1" w:rsidRPr="00842E68">
        <w:rPr>
          <w:rFonts w:ascii="Times New Roman" w:hAnsi="Times New Roman"/>
        </w:rPr>
        <w:t xml:space="preserve">for damages arising from </w:t>
      </w:r>
      <w:r w:rsidR="00A34A8D" w:rsidRPr="00842E68">
        <w:rPr>
          <w:rFonts w:ascii="Times New Roman" w:hAnsi="Times New Roman"/>
        </w:rPr>
        <w:t>spinal and psychological injury</w:t>
      </w:r>
      <w:r w:rsidR="00582EBA" w:rsidRPr="00842E68">
        <w:rPr>
          <w:rFonts w:ascii="Times New Roman" w:hAnsi="Times New Roman"/>
        </w:rPr>
        <w:t xml:space="preserve"> </w:t>
      </w:r>
      <w:r w:rsidR="004A43CF" w:rsidRPr="00842E68">
        <w:rPr>
          <w:rFonts w:ascii="Times New Roman" w:hAnsi="Times New Roman"/>
        </w:rPr>
        <w:t xml:space="preserve">allegedly </w:t>
      </w:r>
      <w:r w:rsidR="00EF169F" w:rsidRPr="00842E68">
        <w:rPr>
          <w:rFonts w:ascii="Times New Roman" w:hAnsi="Times New Roman"/>
        </w:rPr>
        <w:t>caused by</w:t>
      </w:r>
      <w:r w:rsidR="00582EBA" w:rsidRPr="00842E68">
        <w:rPr>
          <w:rFonts w:ascii="Times New Roman" w:hAnsi="Times New Roman"/>
        </w:rPr>
        <w:t xml:space="preserve"> turbulence </w:t>
      </w:r>
      <w:r w:rsidR="00EF169F" w:rsidRPr="00842E68">
        <w:rPr>
          <w:rFonts w:ascii="Times New Roman" w:hAnsi="Times New Roman"/>
        </w:rPr>
        <w:t xml:space="preserve">experienced </w:t>
      </w:r>
      <w:r w:rsidR="00582EBA" w:rsidRPr="00842E68">
        <w:rPr>
          <w:rFonts w:ascii="Times New Roman" w:hAnsi="Times New Roman"/>
        </w:rPr>
        <w:t>on the flight.</w:t>
      </w:r>
      <w:r w:rsidR="000B774A" w:rsidRPr="00842E68">
        <w:rPr>
          <w:rFonts w:ascii="Times New Roman" w:hAnsi="Times New Roman"/>
        </w:rPr>
        <w:t xml:space="preserve"> </w:t>
      </w:r>
      <w:r w:rsidR="00834792" w:rsidRPr="00842E68">
        <w:rPr>
          <w:rFonts w:ascii="Times New Roman" w:hAnsi="Times New Roman"/>
        </w:rPr>
        <w:t xml:space="preserve">In the Supreme Court of New South Wales, the passengers sought damages </w:t>
      </w:r>
      <w:r w:rsidR="00106A3C" w:rsidRPr="00842E68">
        <w:rPr>
          <w:rFonts w:ascii="Times New Roman" w:hAnsi="Times New Roman"/>
        </w:rPr>
        <w:t xml:space="preserve">from Air Canada </w:t>
      </w:r>
      <w:r w:rsidR="00834792" w:rsidRPr="00842E68">
        <w:rPr>
          <w:rFonts w:ascii="Times New Roman" w:hAnsi="Times New Roman"/>
        </w:rPr>
        <w:t>for</w:t>
      </w:r>
      <w:r w:rsidR="00106A3C" w:rsidRPr="00842E68">
        <w:rPr>
          <w:rFonts w:ascii="Times New Roman" w:hAnsi="Times New Roman"/>
        </w:rPr>
        <w:t xml:space="preserve"> these</w:t>
      </w:r>
      <w:r w:rsidR="00834792" w:rsidRPr="00842E68">
        <w:rPr>
          <w:rFonts w:ascii="Times New Roman" w:hAnsi="Times New Roman"/>
        </w:rPr>
        <w:t xml:space="preserve"> bodily injuries </w:t>
      </w:r>
      <w:r w:rsidR="00121D61" w:rsidRPr="00842E68">
        <w:rPr>
          <w:rFonts w:ascii="Times New Roman" w:hAnsi="Times New Roman"/>
        </w:rPr>
        <w:t>under Art</w:t>
      </w:r>
      <w:r w:rsidR="00E4168B" w:rsidRPr="00842E68">
        <w:rPr>
          <w:rFonts w:ascii="Times New Roman" w:hAnsi="Times New Roman"/>
        </w:rPr>
        <w:t> </w:t>
      </w:r>
      <w:r w:rsidR="00121D61" w:rsidRPr="00842E68">
        <w:rPr>
          <w:rFonts w:ascii="Times New Roman" w:hAnsi="Times New Roman"/>
        </w:rPr>
        <w:t>17 of the Montreal Convention</w:t>
      </w:r>
      <w:r w:rsidR="00897E23" w:rsidRPr="00842E68">
        <w:rPr>
          <w:rFonts w:ascii="Times New Roman" w:hAnsi="Times New Roman"/>
        </w:rPr>
        <w:t>, as incorporated into Australian law</w:t>
      </w:r>
      <w:r w:rsidR="00121D61" w:rsidRPr="00842E68">
        <w:rPr>
          <w:rFonts w:ascii="Times New Roman" w:hAnsi="Times New Roman"/>
        </w:rPr>
        <w:t>.</w:t>
      </w:r>
      <w:r w:rsidR="004E70E4" w:rsidRPr="00842E68">
        <w:rPr>
          <w:rStyle w:val="FootnoteReference"/>
          <w:rFonts w:ascii="Times New Roman" w:hAnsi="Times New Roman"/>
          <w:sz w:val="24"/>
        </w:rPr>
        <w:footnoteReference w:id="3"/>
      </w:r>
      <w:r w:rsidR="00121D61" w:rsidRPr="00842E68">
        <w:rPr>
          <w:rFonts w:ascii="Times New Roman" w:hAnsi="Times New Roman"/>
        </w:rPr>
        <w:t xml:space="preserve"> </w:t>
      </w:r>
      <w:r w:rsidR="00AD6D00" w:rsidRPr="00842E68">
        <w:rPr>
          <w:rFonts w:ascii="Times New Roman" w:hAnsi="Times New Roman"/>
        </w:rPr>
        <w:t xml:space="preserve">Air Canada </w:t>
      </w:r>
      <w:r w:rsidR="00A60D0E" w:rsidRPr="00842E68">
        <w:rPr>
          <w:rFonts w:ascii="Times New Roman" w:hAnsi="Times New Roman"/>
        </w:rPr>
        <w:t>relied upon a partial defence in Art</w:t>
      </w:r>
      <w:r w:rsidR="00EC41A4" w:rsidRPr="00842E68">
        <w:rPr>
          <w:rFonts w:ascii="Times New Roman" w:hAnsi="Times New Roman"/>
        </w:rPr>
        <w:t> </w:t>
      </w:r>
      <w:r w:rsidR="00A60D0E" w:rsidRPr="00842E68">
        <w:rPr>
          <w:rFonts w:ascii="Times New Roman" w:hAnsi="Times New Roman"/>
        </w:rPr>
        <w:t>21(2)</w:t>
      </w:r>
      <w:r w:rsidR="000C11F6" w:rsidRPr="00842E68">
        <w:rPr>
          <w:rFonts w:ascii="Times New Roman" w:hAnsi="Times New Roman"/>
        </w:rPr>
        <w:t xml:space="preserve"> of the Montreal Convention</w:t>
      </w:r>
      <w:r w:rsidR="004719C5" w:rsidRPr="00842E68">
        <w:rPr>
          <w:rFonts w:ascii="Times New Roman" w:hAnsi="Times New Roman"/>
        </w:rPr>
        <w:t>, available</w:t>
      </w:r>
      <w:r w:rsidR="00A60D0E" w:rsidRPr="00842E68">
        <w:rPr>
          <w:rFonts w:ascii="Times New Roman" w:hAnsi="Times New Roman"/>
        </w:rPr>
        <w:t xml:space="preserve"> where </w:t>
      </w:r>
      <w:r w:rsidR="0060366D" w:rsidRPr="00842E68">
        <w:rPr>
          <w:rFonts w:ascii="Times New Roman" w:hAnsi="Times New Roman"/>
        </w:rPr>
        <w:t xml:space="preserve">the damage was not due to negligence or </w:t>
      </w:r>
      <w:r w:rsidR="00127620" w:rsidRPr="00842E68">
        <w:rPr>
          <w:rFonts w:ascii="Times New Roman" w:hAnsi="Times New Roman"/>
        </w:rPr>
        <w:t xml:space="preserve">any </w:t>
      </w:r>
      <w:r w:rsidR="0060366D" w:rsidRPr="00842E68">
        <w:rPr>
          <w:rFonts w:ascii="Times New Roman" w:hAnsi="Times New Roman"/>
        </w:rPr>
        <w:t xml:space="preserve">other wrongful act or omission </w:t>
      </w:r>
      <w:r w:rsidR="00127620" w:rsidRPr="00842E68">
        <w:rPr>
          <w:rFonts w:ascii="Times New Roman" w:hAnsi="Times New Roman"/>
        </w:rPr>
        <w:t xml:space="preserve">by </w:t>
      </w:r>
      <w:r w:rsidR="006A1F7A" w:rsidRPr="00842E68">
        <w:rPr>
          <w:rFonts w:ascii="Times New Roman" w:hAnsi="Times New Roman"/>
        </w:rPr>
        <w:t>Air Canada</w:t>
      </w:r>
      <w:r w:rsidR="00127620" w:rsidRPr="00842E68">
        <w:rPr>
          <w:rFonts w:ascii="Times New Roman" w:hAnsi="Times New Roman"/>
        </w:rPr>
        <w:t xml:space="preserve"> or its servants or agents</w:t>
      </w:r>
      <w:r w:rsidR="00A60D0E" w:rsidRPr="00842E68">
        <w:rPr>
          <w:rFonts w:ascii="Times New Roman" w:hAnsi="Times New Roman"/>
        </w:rPr>
        <w:t xml:space="preserve">. Under that partial defence, </w:t>
      </w:r>
      <w:r w:rsidR="006D67A9" w:rsidRPr="00842E68">
        <w:rPr>
          <w:rFonts w:ascii="Times New Roman" w:hAnsi="Times New Roman"/>
        </w:rPr>
        <w:t>damages would be subject to</w:t>
      </w:r>
      <w:r w:rsidR="00127620" w:rsidRPr="00842E68">
        <w:rPr>
          <w:rFonts w:ascii="Times New Roman" w:hAnsi="Times New Roman"/>
        </w:rPr>
        <w:t xml:space="preserve"> </w:t>
      </w:r>
      <w:r w:rsidR="005E1C9F" w:rsidRPr="00842E68">
        <w:rPr>
          <w:rFonts w:ascii="Times New Roman" w:hAnsi="Times New Roman"/>
        </w:rPr>
        <w:t>a</w:t>
      </w:r>
      <w:r w:rsidR="00C95D38" w:rsidRPr="00842E68">
        <w:rPr>
          <w:rFonts w:ascii="Times New Roman" w:hAnsi="Times New Roman"/>
        </w:rPr>
        <w:t xml:space="preserve"> cap </w:t>
      </w:r>
      <w:r w:rsidR="006D67A9" w:rsidRPr="00842E68">
        <w:rPr>
          <w:rFonts w:ascii="Times New Roman" w:hAnsi="Times New Roman"/>
        </w:rPr>
        <w:t>that</w:t>
      </w:r>
      <w:r w:rsidR="00C95D38" w:rsidRPr="00842E68">
        <w:rPr>
          <w:rFonts w:ascii="Times New Roman" w:hAnsi="Times New Roman"/>
        </w:rPr>
        <w:t xml:space="preserve"> </w:t>
      </w:r>
      <w:r w:rsidR="004A5688" w:rsidRPr="00842E68">
        <w:rPr>
          <w:rFonts w:ascii="Times New Roman" w:hAnsi="Times New Roman"/>
        </w:rPr>
        <w:t xml:space="preserve">limited the extent of the passengers' recovery to </w:t>
      </w:r>
      <w:r w:rsidR="0074171E" w:rsidRPr="00842E68">
        <w:rPr>
          <w:rFonts w:ascii="Times New Roman" w:hAnsi="Times New Roman"/>
        </w:rPr>
        <w:t>113,100</w:t>
      </w:r>
      <w:r w:rsidR="00AD28D8" w:rsidRPr="00842E68">
        <w:rPr>
          <w:rStyle w:val="FootnoteReference"/>
          <w:rFonts w:ascii="Times New Roman" w:hAnsi="Times New Roman"/>
          <w:sz w:val="24"/>
        </w:rPr>
        <w:footnoteReference w:id="4"/>
      </w:r>
      <w:r w:rsidR="0074171E" w:rsidRPr="00842E68">
        <w:rPr>
          <w:rFonts w:ascii="Times New Roman" w:hAnsi="Times New Roman"/>
        </w:rPr>
        <w:t xml:space="preserve"> Special Drawing Rights </w:t>
      </w:r>
      <w:r w:rsidR="00CC4E23" w:rsidRPr="00842E68">
        <w:rPr>
          <w:rFonts w:ascii="Times New Roman" w:hAnsi="Times New Roman"/>
        </w:rPr>
        <w:t>(</w:t>
      </w:r>
      <w:r w:rsidR="005C67FB" w:rsidRPr="00842E68">
        <w:rPr>
          <w:rFonts w:ascii="Times New Roman" w:hAnsi="Times New Roman"/>
        </w:rPr>
        <w:t>an international reserve asset created by the International Monetary Fund</w:t>
      </w:r>
      <w:r w:rsidR="00BB016C" w:rsidRPr="00842E68">
        <w:rPr>
          <w:rStyle w:val="FootnoteReference"/>
          <w:rFonts w:ascii="Times New Roman" w:hAnsi="Times New Roman"/>
          <w:sz w:val="24"/>
        </w:rPr>
        <w:footnoteReference w:id="5"/>
      </w:r>
      <w:r w:rsidR="00F7574D" w:rsidRPr="00842E68">
        <w:rPr>
          <w:rFonts w:ascii="Times New Roman" w:hAnsi="Times New Roman"/>
        </w:rPr>
        <w:t xml:space="preserve">) which is </w:t>
      </w:r>
      <w:r w:rsidR="00CC4E23" w:rsidRPr="00842E68">
        <w:rPr>
          <w:rFonts w:ascii="Times New Roman" w:hAnsi="Times New Roman"/>
        </w:rPr>
        <w:t xml:space="preserve">approximately </w:t>
      </w:r>
      <w:r w:rsidR="00BB4650" w:rsidRPr="00842E68">
        <w:rPr>
          <w:rFonts w:ascii="Times New Roman" w:hAnsi="Times New Roman"/>
        </w:rPr>
        <w:t>$2</w:t>
      </w:r>
      <w:r w:rsidR="00EF3E0B" w:rsidRPr="00842E68">
        <w:rPr>
          <w:rFonts w:ascii="Times New Roman" w:hAnsi="Times New Roman"/>
        </w:rPr>
        <w:t>40</w:t>
      </w:r>
      <w:r w:rsidR="00BB4650" w:rsidRPr="00842E68">
        <w:rPr>
          <w:rFonts w:ascii="Times New Roman" w:hAnsi="Times New Roman"/>
        </w:rPr>
        <w:t>,000</w:t>
      </w:r>
      <w:r w:rsidR="00823E85" w:rsidRPr="00842E68">
        <w:rPr>
          <w:rFonts w:ascii="Times New Roman" w:hAnsi="Times New Roman"/>
        </w:rPr>
        <w:t xml:space="preserve"> at present exchange rates</w:t>
      </w:r>
      <w:r w:rsidR="00045573" w:rsidRPr="00842E68">
        <w:rPr>
          <w:rFonts w:ascii="Times New Roman" w:hAnsi="Times New Roman"/>
        </w:rPr>
        <w:t xml:space="preserve">. </w:t>
      </w:r>
      <w:r w:rsidR="00D44C6E" w:rsidRPr="00842E68">
        <w:rPr>
          <w:rFonts w:ascii="Times New Roman" w:hAnsi="Times New Roman"/>
        </w:rPr>
        <w:t>T</w:t>
      </w:r>
      <w:r w:rsidR="00E9477E" w:rsidRPr="00842E68">
        <w:rPr>
          <w:rFonts w:ascii="Times New Roman" w:hAnsi="Times New Roman"/>
        </w:rPr>
        <w:t xml:space="preserve">he appellant passengers </w:t>
      </w:r>
      <w:r w:rsidR="00A60D0E" w:rsidRPr="00842E68">
        <w:rPr>
          <w:rFonts w:ascii="Times New Roman" w:hAnsi="Times New Roman"/>
        </w:rPr>
        <w:t>replied</w:t>
      </w:r>
      <w:r w:rsidR="00D44C6E" w:rsidRPr="00842E68">
        <w:rPr>
          <w:rFonts w:ascii="Times New Roman" w:hAnsi="Times New Roman"/>
        </w:rPr>
        <w:t xml:space="preserve"> that</w:t>
      </w:r>
      <w:r w:rsidR="00A60D0E" w:rsidRPr="00842E68">
        <w:rPr>
          <w:rFonts w:ascii="Times New Roman" w:hAnsi="Times New Roman"/>
        </w:rPr>
        <w:t>, under Art</w:t>
      </w:r>
      <w:r w:rsidR="00415893" w:rsidRPr="00842E68">
        <w:rPr>
          <w:rFonts w:ascii="Times New Roman" w:hAnsi="Times New Roman"/>
        </w:rPr>
        <w:t> </w:t>
      </w:r>
      <w:r w:rsidR="00A60D0E" w:rsidRPr="00842E68">
        <w:rPr>
          <w:rFonts w:ascii="Times New Roman" w:hAnsi="Times New Roman"/>
        </w:rPr>
        <w:t>25, Air Canada had waived</w:t>
      </w:r>
      <w:r w:rsidR="00692164" w:rsidRPr="00842E68">
        <w:rPr>
          <w:rFonts w:ascii="Times New Roman" w:hAnsi="Times New Roman"/>
        </w:rPr>
        <w:t xml:space="preserve"> </w:t>
      </w:r>
      <w:r w:rsidR="00C95D38" w:rsidRPr="00842E68">
        <w:rPr>
          <w:rFonts w:ascii="Times New Roman" w:hAnsi="Times New Roman"/>
        </w:rPr>
        <w:t xml:space="preserve">the </w:t>
      </w:r>
      <w:r w:rsidR="006D67A9" w:rsidRPr="00842E68">
        <w:rPr>
          <w:rFonts w:ascii="Times New Roman" w:hAnsi="Times New Roman"/>
        </w:rPr>
        <w:t>partial defence</w:t>
      </w:r>
      <w:r w:rsidR="00C95D38" w:rsidRPr="00842E68">
        <w:rPr>
          <w:rFonts w:ascii="Times New Roman" w:hAnsi="Times New Roman"/>
        </w:rPr>
        <w:t xml:space="preserve"> in Art</w:t>
      </w:r>
      <w:r w:rsidR="00415893" w:rsidRPr="00842E68">
        <w:rPr>
          <w:rFonts w:ascii="Times New Roman" w:hAnsi="Times New Roman"/>
        </w:rPr>
        <w:t> </w:t>
      </w:r>
      <w:r w:rsidR="00C95D38" w:rsidRPr="00842E68">
        <w:rPr>
          <w:rFonts w:ascii="Times New Roman" w:hAnsi="Times New Roman"/>
        </w:rPr>
        <w:t>21</w:t>
      </w:r>
      <w:r w:rsidR="00A60D0E" w:rsidRPr="00842E68">
        <w:rPr>
          <w:rFonts w:ascii="Times New Roman" w:hAnsi="Times New Roman"/>
        </w:rPr>
        <w:t>(2)</w:t>
      </w:r>
      <w:r w:rsidR="00C95D38" w:rsidRPr="00842E68">
        <w:rPr>
          <w:rFonts w:ascii="Times New Roman" w:hAnsi="Times New Roman"/>
        </w:rPr>
        <w:t xml:space="preserve"> </w:t>
      </w:r>
      <w:r w:rsidR="001A4C7C" w:rsidRPr="00842E68">
        <w:rPr>
          <w:rFonts w:ascii="Times New Roman" w:hAnsi="Times New Roman"/>
        </w:rPr>
        <w:t xml:space="preserve">because </w:t>
      </w:r>
      <w:r w:rsidR="00111F2B" w:rsidRPr="00842E68">
        <w:rPr>
          <w:rFonts w:ascii="Times New Roman" w:hAnsi="Times New Roman"/>
        </w:rPr>
        <w:t xml:space="preserve">the Air Canada Tariff provided in </w:t>
      </w:r>
      <w:r w:rsidR="003E13CF" w:rsidRPr="00842E68">
        <w:rPr>
          <w:rFonts w:ascii="Times New Roman" w:hAnsi="Times New Roman"/>
        </w:rPr>
        <w:t>r </w:t>
      </w:r>
      <w:r w:rsidR="00F85246" w:rsidRPr="00842E68">
        <w:rPr>
          <w:rFonts w:ascii="Times New Roman" w:hAnsi="Times New Roman"/>
        </w:rPr>
        <w:t>105</w:t>
      </w:r>
      <w:r w:rsidR="00F50FF0" w:rsidRPr="00842E68">
        <w:rPr>
          <w:rFonts w:ascii="Times New Roman" w:hAnsi="Times New Roman"/>
        </w:rPr>
        <w:t>(</w:t>
      </w:r>
      <w:r w:rsidR="00F85246" w:rsidRPr="00842E68">
        <w:rPr>
          <w:rFonts w:ascii="Times New Roman" w:hAnsi="Times New Roman"/>
        </w:rPr>
        <w:t>C</w:t>
      </w:r>
      <w:r w:rsidR="00F50FF0" w:rsidRPr="00842E68">
        <w:rPr>
          <w:rFonts w:ascii="Times New Roman" w:hAnsi="Times New Roman"/>
        </w:rPr>
        <w:t>)</w:t>
      </w:r>
      <w:r w:rsidR="00F85246" w:rsidRPr="00842E68">
        <w:rPr>
          <w:rFonts w:ascii="Times New Roman" w:hAnsi="Times New Roman"/>
        </w:rPr>
        <w:t>(</w:t>
      </w:r>
      <w:r w:rsidR="00B334DA" w:rsidRPr="00842E68">
        <w:rPr>
          <w:rFonts w:ascii="Times New Roman" w:hAnsi="Times New Roman"/>
        </w:rPr>
        <w:t>1)(a) that "[t]here are no financial limits in respect of death or bodily injury"</w:t>
      </w:r>
      <w:r w:rsidR="00111F2B" w:rsidRPr="00842E68">
        <w:rPr>
          <w:rFonts w:ascii="Times New Roman" w:hAnsi="Times New Roman"/>
        </w:rPr>
        <w:t xml:space="preserve">. </w:t>
      </w:r>
    </w:p>
    <w:p w14:paraId="669AA05D" w14:textId="5D27751F" w:rsidR="0047585F" w:rsidRPr="00842E68" w:rsidRDefault="004A0734"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9744BD" w:rsidRPr="00842E68">
        <w:rPr>
          <w:rFonts w:ascii="Times New Roman" w:hAnsi="Times New Roman"/>
        </w:rPr>
        <w:t>In the Supreme Court of New South Wales, t</w:t>
      </w:r>
      <w:r w:rsidR="00B334DA" w:rsidRPr="00842E68">
        <w:rPr>
          <w:rFonts w:ascii="Times New Roman" w:hAnsi="Times New Roman"/>
        </w:rPr>
        <w:t>wo</w:t>
      </w:r>
      <w:r w:rsidR="009744BD" w:rsidRPr="00842E68">
        <w:rPr>
          <w:rFonts w:ascii="Times New Roman" w:hAnsi="Times New Roman"/>
        </w:rPr>
        <w:t xml:space="preserve"> </w:t>
      </w:r>
      <w:r w:rsidR="00D76F07" w:rsidRPr="00842E68">
        <w:rPr>
          <w:rFonts w:ascii="Times New Roman" w:hAnsi="Times New Roman"/>
        </w:rPr>
        <w:t>question</w:t>
      </w:r>
      <w:r w:rsidR="006D67A9" w:rsidRPr="00842E68">
        <w:rPr>
          <w:rFonts w:ascii="Times New Roman" w:hAnsi="Times New Roman"/>
        </w:rPr>
        <w:t>s</w:t>
      </w:r>
      <w:r w:rsidR="009744BD" w:rsidRPr="00842E68">
        <w:rPr>
          <w:rFonts w:ascii="Times New Roman" w:hAnsi="Times New Roman"/>
        </w:rPr>
        <w:t xml:space="preserve"> w</w:t>
      </w:r>
      <w:r w:rsidR="00B334DA" w:rsidRPr="00842E68">
        <w:rPr>
          <w:rFonts w:ascii="Times New Roman" w:hAnsi="Times New Roman"/>
        </w:rPr>
        <w:t>ere</w:t>
      </w:r>
      <w:r w:rsidR="009744BD" w:rsidRPr="00842E68">
        <w:rPr>
          <w:rFonts w:ascii="Times New Roman" w:hAnsi="Times New Roman"/>
        </w:rPr>
        <w:t xml:space="preserve"> </w:t>
      </w:r>
      <w:r w:rsidR="000B6AE2" w:rsidRPr="00842E68">
        <w:rPr>
          <w:rFonts w:ascii="Times New Roman" w:hAnsi="Times New Roman"/>
        </w:rPr>
        <w:t xml:space="preserve">reserved for the consideration of the Court. </w:t>
      </w:r>
      <w:r w:rsidR="00D76F07" w:rsidRPr="00842E68">
        <w:rPr>
          <w:rFonts w:ascii="Times New Roman" w:hAnsi="Times New Roman"/>
        </w:rPr>
        <w:t>One of the</w:t>
      </w:r>
      <w:r w:rsidR="006D75B5" w:rsidRPr="00842E68">
        <w:rPr>
          <w:rFonts w:ascii="Times New Roman" w:hAnsi="Times New Roman"/>
        </w:rPr>
        <w:t xml:space="preserve"> question</w:t>
      </w:r>
      <w:r w:rsidR="00D76F07" w:rsidRPr="00842E68">
        <w:rPr>
          <w:rFonts w:ascii="Times New Roman" w:hAnsi="Times New Roman"/>
        </w:rPr>
        <w:t>s</w:t>
      </w:r>
      <w:r w:rsidR="006D75B5" w:rsidRPr="00842E68">
        <w:rPr>
          <w:rFonts w:ascii="Times New Roman" w:hAnsi="Times New Roman"/>
        </w:rPr>
        <w:t xml:space="preserve"> concern</w:t>
      </w:r>
      <w:r w:rsidR="00641E92" w:rsidRPr="00842E68">
        <w:rPr>
          <w:rFonts w:ascii="Times New Roman" w:hAnsi="Times New Roman"/>
        </w:rPr>
        <w:t>ed</w:t>
      </w:r>
      <w:r w:rsidR="006D75B5" w:rsidRPr="00842E68">
        <w:rPr>
          <w:rFonts w:ascii="Times New Roman" w:hAnsi="Times New Roman"/>
        </w:rPr>
        <w:t xml:space="preserve"> the applicability</w:t>
      </w:r>
      <w:r w:rsidR="00641E92" w:rsidRPr="00842E68">
        <w:rPr>
          <w:rFonts w:ascii="Times New Roman" w:hAnsi="Times New Roman"/>
        </w:rPr>
        <w:t xml:space="preserve"> to the</w:t>
      </w:r>
      <w:r w:rsidR="00783EEC" w:rsidRPr="00842E68">
        <w:rPr>
          <w:rFonts w:ascii="Times New Roman" w:hAnsi="Times New Roman"/>
        </w:rPr>
        <w:t xml:space="preserve"> quantum of the</w:t>
      </w:r>
      <w:r w:rsidR="00641E92" w:rsidRPr="00842E68">
        <w:rPr>
          <w:rFonts w:ascii="Times New Roman" w:hAnsi="Times New Roman"/>
        </w:rPr>
        <w:t xml:space="preserve"> appellant passengers' claim for damages</w:t>
      </w:r>
      <w:r w:rsidR="006D75B5" w:rsidRPr="00842E68">
        <w:rPr>
          <w:rFonts w:ascii="Times New Roman" w:hAnsi="Times New Roman"/>
        </w:rPr>
        <w:t xml:space="preserve"> of Pt</w:t>
      </w:r>
      <w:r w:rsidR="001F53A3" w:rsidRPr="00842E68">
        <w:rPr>
          <w:rFonts w:ascii="Times New Roman" w:hAnsi="Times New Roman"/>
        </w:rPr>
        <w:t> </w:t>
      </w:r>
      <w:r w:rsidR="006D75B5" w:rsidRPr="00842E68">
        <w:rPr>
          <w:rFonts w:ascii="Times New Roman" w:hAnsi="Times New Roman"/>
        </w:rPr>
        <w:t xml:space="preserve">2 of the </w:t>
      </w:r>
      <w:r w:rsidR="006D75B5" w:rsidRPr="00842E68">
        <w:rPr>
          <w:rFonts w:ascii="Times New Roman" w:hAnsi="Times New Roman"/>
          <w:i/>
          <w:iCs/>
        </w:rPr>
        <w:t xml:space="preserve">Civil </w:t>
      </w:r>
      <w:r w:rsidR="006D75B5" w:rsidRPr="00842E68">
        <w:rPr>
          <w:rFonts w:ascii="Times New Roman" w:hAnsi="Times New Roman"/>
          <w:i/>
          <w:iCs/>
        </w:rPr>
        <w:lastRenderedPageBreak/>
        <w:t xml:space="preserve">Liability Act 2002 </w:t>
      </w:r>
      <w:r w:rsidR="006D75B5" w:rsidRPr="00842E68">
        <w:rPr>
          <w:rFonts w:ascii="Times New Roman" w:hAnsi="Times New Roman"/>
        </w:rPr>
        <w:t>(NSW)</w:t>
      </w:r>
      <w:r w:rsidR="00444239" w:rsidRPr="00842E68">
        <w:rPr>
          <w:rFonts w:ascii="Times New Roman" w:hAnsi="Times New Roman"/>
        </w:rPr>
        <w:t>. That question was answered by the primary judge (Rothman</w:t>
      </w:r>
      <w:r w:rsidR="002D30E9" w:rsidRPr="00842E68">
        <w:rPr>
          <w:rFonts w:ascii="Times New Roman" w:hAnsi="Times New Roman"/>
        </w:rPr>
        <w:t> </w:t>
      </w:r>
      <w:r w:rsidR="00444239" w:rsidRPr="00842E68">
        <w:rPr>
          <w:rFonts w:ascii="Times New Roman" w:hAnsi="Times New Roman"/>
        </w:rPr>
        <w:t xml:space="preserve">J) in favour of Air Canada. No appeal was brought from that </w:t>
      </w:r>
      <w:r w:rsidR="007C327C" w:rsidRPr="00842E68">
        <w:rPr>
          <w:rFonts w:ascii="Times New Roman" w:hAnsi="Times New Roman"/>
        </w:rPr>
        <w:t>answer</w:t>
      </w:r>
      <w:r w:rsidR="00444239" w:rsidRPr="00842E68">
        <w:rPr>
          <w:rFonts w:ascii="Times New Roman" w:hAnsi="Times New Roman"/>
        </w:rPr>
        <w:t>.</w:t>
      </w:r>
      <w:r w:rsidR="0047585F" w:rsidRPr="00842E68">
        <w:rPr>
          <w:rFonts w:ascii="Times New Roman" w:hAnsi="Times New Roman"/>
        </w:rPr>
        <w:t xml:space="preserve"> The </w:t>
      </w:r>
      <w:r w:rsidR="00D76F07" w:rsidRPr="00842E68">
        <w:rPr>
          <w:rFonts w:ascii="Times New Roman" w:hAnsi="Times New Roman"/>
        </w:rPr>
        <w:t>other</w:t>
      </w:r>
      <w:r w:rsidR="0047585F" w:rsidRPr="00842E68">
        <w:rPr>
          <w:rFonts w:ascii="Times New Roman" w:hAnsi="Times New Roman"/>
        </w:rPr>
        <w:t xml:space="preserve"> question was as follows:</w:t>
      </w:r>
    </w:p>
    <w:p w14:paraId="044A12F2" w14:textId="77777777" w:rsidR="00842E68" w:rsidRDefault="00C0332A" w:rsidP="00842E68">
      <w:pPr>
        <w:pStyle w:val="LeftrightafterHC"/>
        <w:spacing w:before="0" w:after="260" w:line="280" w:lineRule="exact"/>
        <w:ind w:right="0"/>
        <w:jc w:val="both"/>
        <w:rPr>
          <w:rFonts w:ascii="Times New Roman" w:hAnsi="Times New Roman"/>
        </w:rPr>
      </w:pPr>
      <w:r w:rsidRPr="00842E68">
        <w:rPr>
          <w:rFonts w:ascii="Times New Roman" w:hAnsi="Times New Roman"/>
        </w:rPr>
        <w:t xml:space="preserve">"Does Rule 105(C) [of the </w:t>
      </w:r>
      <w:r w:rsidR="002E3359" w:rsidRPr="00842E68">
        <w:rPr>
          <w:rFonts w:ascii="Times New Roman" w:hAnsi="Times New Roman"/>
        </w:rPr>
        <w:t>Air Canada Tariff</w:t>
      </w:r>
      <w:r w:rsidRPr="00842E68">
        <w:rPr>
          <w:rFonts w:ascii="Times New Roman" w:hAnsi="Times New Roman"/>
        </w:rPr>
        <w:t>] provide and have the effect that if this Court assesses each plaintiff</w:t>
      </w:r>
      <w:r w:rsidR="00D0601F" w:rsidRPr="00842E68">
        <w:rPr>
          <w:rFonts w:ascii="Times New Roman" w:hAnsi="Times New Roman"/>
        </w:rPr>
        <w:t>'</w:t>
      </w:r>
      <w:r w:rsidRPr="00842E68">
        <w:rPr>
          <w:rFonts w:ascii="Times New Roman" w:hAnsi="Times New Roman"/>
        </w:rPr>
        <w:t xml:space="preserve">s compensatory damages in Australian dollars in an amount in excess of </w:t>
      </w:r>
      <w:r w:rsidR="00D00C1D" w:rsidRPr="00842E68">
        <w:rPr>
          <w:rFonts w:ascii="Times New Roman" w:hAnsi="Times New Roman"/>
        </w:rPr>
        <w:t>[113,100]</w:t>
      </w:r>
      <w:r w:rsidRPr="00842E68">
        <w:rPr>
          <w:rFonts w:ascii="Times New Roman" w:hAnsi="Times New Roman"/>
        </w:rPr>
        <w:t xml:space="preserve"> Special Drawing Rights (SDR), each is entitled to recover that sum from the defendant even if the defendant can prove that the damages were not due to the negligence or other wrongful act or omission of the carrier or its servants or agents or such damage was solely due to the negligence or other wrongful act or omission of a third party?"</w:t>
      </w:r>
      <w:r w:rsidR="00AE091D" w:rsidRPr="00842E68">
        <w:rPr>
          <w:rFonts w:ascii="Times New Roman" w:hAnsi="Times New Roman"/>
        </w:rPr>
        <w:t xml:space="preserve"> </w:t>
      </w:r>
    </w:p>
    <w:p w14:paraId="3138445B" w14:textId="0272AC56" w:rsidR="00531621" w:rsidRPr="00842E68" w:rsidRDefault="00CD0355"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47585F" w:rsidRPr="00842E68">
        <w:rPr>
          <w:rFonts w:ascii="Times New Roman" w:hAnsi="Times New Roman"/>
        </w:rPr>
        <w:t>T</w:t>
      </w:r>
      <w:r w:rsidR="009F4ADC" w:rsidRPr="00842E68">
        <w:rPr>
          <w:rFonts w:ascii="Times New Roman" w:hAnsi="Times New Roman"/>
        </w:rPr>
        <w:t xml:space="preserve">he </w:t>
      </w:r>
      <w:r w:rsidR="00C06061" w:rsidRPr="00842E68">
        <w:rPr>
          <w:rFonts w:ascii="Times New Roman" w:hAnsi="Times New Roman"/>
        </w:rPr>
        <w:t>primary</w:t>
      </w:r>
      <w:r w:rsidR="009F4ADC" w:rsidRPr="00842E68">
        <w:rPr>
          <w:rFonts w:ascii="Times New Roman" w:hAnsi="Times New Roman"/>
        </w:rPr>
        <w:t xml:space="preserve"> jud</w:t>
      </w:r>
      <w:r w:rsidR="00C068E9" w:rsidRPr="00842E68">
        <w:rPr>
          <w:rFonts w:ascii="Times New Roman" w:hAnsi="Times New Roman"/>
        </w:rPr>
        <w:t>g</w:t>
      </w:r>
      <w:r w:rsidR="009F4ADC" w:rsidRPr="00842E68">
        <w:rPr>
          <w:rFonts w:ascii="Times New Roman" w:hAnsi="Times New Roman"/>
        </w:rPr>
        <w:t xml:space="preserve">e </w:t>
      </w:r>
      <w:r w:rsidR="00EB4A46" w:rsidRPr="00842E68">
        <w:rPr>
          <w:rFonts w:ascii="Times New Roman" w:hAnsi="Times New Roman"/>
        </w:rPr>
        <w:t>held that Art</w:t>
      </w:r>
      <w:r w:rsidR="00E0785D" w:rsidRPr="00842E68">
        <w:rPr>
          <w:rFonts w:ascii="Times New Roman" w:hAnsi="Times New Roman"/>
        </w:rPr>
        <w:t> </w:t>
      </w:r>
      <w:r w:rsidR="00EB4A46" w:rsidRPr="00842E68">
        <w:rPr>
          <w:rFonts w:ascii="Times New Roman" w:hAnsi="Times New Roman"/>
        </w:rPr>
        <w:t xml:space="preserve">25 of the Montreal Convention </w:t>
      </w:r>
      <w:r w:rsidR="005C73F0" w:rsidRPr="00842E68">
        <w:rPr>
          <w:rFonts w:ascii="Times New Roman" w:hAnsi="Times New Roman"/>
        </w:rPr>
        <w:t xml:space="preserve">allowed </w:t>
      </w:r>
      <w:r w:rsidR="00CB4594" w:rsidRPr="00842E68">
        <w:rPr>
          <w:rFonts w:ascii="Times New Roman" w:hAnsi="Times New Roman"/>
        </w:rPr>
        <w:t>a carrier</w:t>
      </w:r>
      <w:r w:rsidR="005C73F0" w:rsidRPr="00842E68">
        <w:rPr>
          <w:rFonts w:ascii="Times New Roman" w:hAnsi="Times New Roman"/>
        </w:rPr>
        <w:t xml:space="preserve"> to </w:t>
      </w:r>
      <w:r w:rsidR="00B05706" w:rsidRPr="00842E68">
        <w:rPr>
          <w:rFonts w:ascii="Times New Roman" w:hAnsi="Times New Roman"/>
        </w:rPr>
        <w:t xml:space="preserve">remove </w:t>
      </w:r>
      <w:r w:rsidR="00845B13" w:rsidRPr="00842E68">
        <w:rPr>
          <w:rFonts w:ascii="Times New Roman" w:hAnsi="Times New Roman"/>
        </w:rPr>
        <w:t xml:space="preserve">entirely </w:t>
      </w:r>
      <w:r w:rsidR="00B05706" w:rsidRPr="00842E68">
        <w:rPr>
          <w:rFonts w:ascii="Times New Roman" w:hAnsi="Times New Roman"/>
        </w:rPr>
        <w:t>the</w:t>
      </w:r>
      <w:r w:rsidR="00566333" w:rsidRPr="00842E68">
        <w:rPr>
          <w:rFonts w:ascii="Times New Roman" w:hAnsi="Times New Roman"/>
        </w:rPr>
        <w:t xml:space="preserve"> partial defence to</w:t>
      </w:r>
      <w:r w:rsidR="00B05706" w:rsidRPr="00842E68">
        <w:rPr>
          <w:rFonts w:ascii="Times New Roman" w:hAnsi="Times New Roman"/>
        </w:rPr>
        <w:t xml:space="preserve"> liability </w:t>
      </w:r>
      <w:r w:rsidR="00566333" w:rsidRPr="00842E68">
        <w:rPr>
          <w:rFonts w:ascii="Times New Roman" w:hAnsi="Times New Roman"/>
        </w:rPr>
        <w:t>provided by</w:t>
      </w:r>
      <w:r w:rsidR="00B05706" w:rsidRPr="00842E68">
        <w:rPr>
          <w:rFonts w:ascii="Times New Roman" w:hAnsi="Times New Roman"/>
        </w:rPr>
        <w:t xml:space="preserve"> Art</w:t>
      </w:r>
      <w:r w:rsidR="00845B13" w:rsidRPr="00842E68">
        <w:rPr>
          <w:rFonts w:ascii="Times New Roman" w:hAnsi="Times New Roman"/>
        </w:rPr>
        <w:t> </w:t>
      </w:r>
      <w:r w:rsidR="00B05706" w:rsidRPr="00842E68">
        <w:rPr>
          <w:rFonts w:ascii="Times New Roman" w:hAnsi="Times New Roman"/>
        </w:rPr>
        <w:t>21</w:t>
      </w:r>
      <w:r w:rsidR="00A60D0E" w:rsidRPr="00842E68">
        <w:rPr>
          <w:rFonts w:ascii="Times New Roman" w:hAnsi="Times New Roman"/>
        </w:rPr>
        <w:t>(2)</w:t>
      </w:r>
      <w:r w:rsidR="00845B13" w:rsidRPr="00842E68">
        <w:rPr>
          <w:rStyle w:val="FootnoteReference"/>
          <w:rFonts w:ascii="Times New Roman" w:hAnsi="Times New Roman"/>
          <w:sz w:val="24"/>
        </w:rPr>
        <w:footnoteReference w:id="6"/>
      </w:r>
      <w:r w:rsidR="005628EA" w:rsidRPr="00842E68">
        <w:rPr>
          <w:rFonts w:ascii="Times New Roman" w:hAnsi="Times New Roman"/>
        </w:rPr>
        <w:t xml:space="preserve"> and </w:t>
      </w:r>
      <w:r w:rsidR="00A60D0E" w:rsidRPr="00842E68">
        <w:rPr>
          <w:rFonts w:ascii="Times New Roman" w:hAnsi="Times New Roman"/>
        </w:rPr>
        <w:t xml:space="preserve">that </w:t>
      </w:r>
      <w:r w:rsidR="00561809" w:rsidRPr="00842E68">
        <w:rPr>
          <w:rFonts w:ascii="Times New Roman" w:hAnsi="Times New Roman"/>
        </w:rPr>
        <w:t xml:space="preserve">the clear and unambiguous language of </w:t>
      </w:r>
      <w:r w:rsidR="008342CD" w:rsidRPr="00842E68">
        <w:rPr>
          <w:rFonts w:ascii="Times New Roman" w:hAnsi="Times New Roman"/>
        </w:rPr>
        <w:t>r</w:t>
      </w:r>
      <w:r w:rsidR="003E13CF" w:rsidRPr="00842E68">
        <w:rPr>
          <w:rFonts w:ascii="Times New Roman" w:hAnsi="Times New Roman"/>
        </w:rPr>
        <w:t> </w:t>
      </w:r>
      <w:r w:rsidR="00561809" w:rsidRPr="00842E68">
        <w:rPr>
          <w:rFonts w:ascii="Times New Roman" w:hAnsi="Times New Roman"/>
        </w:rPr>
        <w:t>105</w:t>
      </w:r>
      <w:r w:rsidR="00B11D17" w:rsidRPr="00842E68">
        <w:rPr>
          <w:rFonts w:ascii="Times New Roman" w:hAnsi="Times New Roman"/>
        </w:rPr>
        <w:t>(</w:t>
      </w:r>
      <w:r w:rsidR="00561809" w:rsidRPr="00842E68">
        <w:rPr>
          <w:rFonts w:ascii="Times New Roman" w:hAnsi="Times New Roman"/>
        </w:rPr>
        <w:t>C</w:t>
      </w:r>
      <w:r w:rsidR="00B11D17" w:rsidRPr="00842E68">
        <w:rPr>
          <w:rFonts w:ascii="Times New Roman" w:hAnsi="Times New Roman"/>
        </w:rPr>
        <w:t>)</w:t>
      </w:r>
      <w:r w:rsidR="00561809" w:rsidRPr="00842E68">
        <w:rPr>
          <w:rFonts w:ascii="Times New Roman" w:hAnsi="Times New Roman"/>
        </w:rPr>
        <w:t xml:space="preserve">(1)(a) </w:t>
      </w:r>
      <w:r w:rsidR="00A60D0E" w:rsidRPr="00842E68">
        <w:rPr>
          <w:rFonts w:ascii="Times New Roman" w:hAnsi="Times New Roman"/>
        </w:rPr>
        <w:t>had done so</w:t>
      </w:r>
      <w:r w:rsidR="004C05B0" w:rsidRPr="00842E68">
        <w:rPr>
          <w:rFonts w:ascii="Times New Roman" w:hAnsi="Times New Roman"/>
        </w:rPr>
        <w:t>.</w:t>
      </w:r>
      <w:r w:rsidR="009048A5" w:rsidRPr="00842E68">
        <w:rPr>
          <w:rStyle w:val="FootnoteReference"/>
          <w:rFonts w:ascii="Times New Roman" w:hAnsi="Times New Roman"/>
          <w:sz w:val="24"/>
        </w:rPr>
        <w:footnoteReference w:id="7"/>
      </w:r>
      <w:r w:rsidR="00F97603" w:rsidRPr="00842E68">
        <w:rPr>
          <w:rFonts w:ascii="Times New Roman" w:hAnsi="Times New Roman"/>
        </w:rPr>
        <w:t xml:space="preserve"> </w:t>
      </w:r>
      <w:r w:rsidR="007A7405" w:rsidRPr="00842E68">
        <w:rPr>
          <w:rFonts w:ascii="Times New Roman" w:hAnsi="Times New Roman"/>
        </w:rPr>
        <w:t xml:space="preserve">The Court of Appeal </w:t>
      </w:r>
      <w:r w:rsidR="003372E5" w:rsidRPr="00842E68">
        <w:rPr>
          <w:rFonts w:ascii="Times New Roman" w:hAnsi="Times New Roman"/>
        </w:rPr>
        <w:t>(Leeming</w:t>
      </w:r>
      <w:r w:rsidR="000A58A3" w:rsidRPr="00842E68">
        <w:rPr>
          <w:rFonts w:ascii="Times New Roman" w:hAnsi="Times New Roman"/>
        </w:rPr>
        <w:t> </w:t>
      </w:r>
      <w:r w:rsidR="003372E5" w:rsidRPr="00842E68">
        <w:rPr>
          <w:rFonts w:ascii="Times New Roman" w:hAnsi="Times New Roman"/>
        </w:rPr>
        <w:t>JA, with whom Payne</w:t>
      </w:r>
      <w:r w:rsidR="000A58A3" w:rsidRPr="00842E68">
        <w:rPr>
          <w:rFonts w:ascii="Times New Roman" w:hAnsi="Times New Roman"/>
        </w:rPr>
        <w:t> </w:t>
      </w:r>
      <w:r w:rsidR="003372E5" w:rsidRPr="00842E68">
        <w:rPr>
          <w:rFonts w:ascii="Times New Roman" w:hAnsi="Times New Roman"/>
        </w:rPr>
        <w:t>JA and Griffiths</w:t>
      </w:r>
      <w:r w:rsidR="000A58A3" w:rsidRPr="00842E68">
        <w:rPr>
          <w:rFonts w:ascii="Times New Roman" w:hAnsi="Times New Roman"/>
        </w:rPr>
        <w:t> </w:t>
      </w:r>
      <w:r w:rsidR="003372E5" w:rsidRPr="00842E68">
        <w:rPr>
          <w:rFonts w:ascii="Times New Roman" w:hAnsi="Times New Roman"/>
        </w:rPr>
        <w:t>A</w:t>
      </w:r>
      <w:r w:rsidR="005E4309" w:rsidRPr="00842E68">
        <w:rPr>
          <w:rFonts w:ascii="Times New Roman" w:hAnsi="Times New Roman"/>
        </w:rPr>
        <w:t>-</w:t>
      </w:r>
      <w:r w:rsidR="003372E5" w:rsidRPr="00842E68">
        <w:rPr>
          <w:rFonts w:ascii="Times New Roman" w:hAnsi="Times New Roman"/>
        </w:rPr>
        <w:t xml:space="preserve">JA agreed) </w:t>
      </w:r>
      <w:r w:rsidR="00EC4C50" w:rsidRPr="00842E68">
        <w:rPr>
          <w:rFonts w:ascii="Times New Roman" w:hAnsi="Times New Roman"/>
        </w:rPr>
        <w:t>granted leave and allowed the appeal.</w:t>
      </w:r>
      <w:r w:rsidR="00EC4C50" w:rsidRPr="00842E68">
        <w:rPr>
          <w:rStyle w:val="FootnoteReference"/>
          <w:rFonts w:ascii="Times New Roman" w:hAnsi="Times New Roman"/>
          <w:sz w:val="24"/>
        </w:rPr>
        <w:footnoteReference w:id="8"/>
      </w:r>
      <w:r w:rsidR="00EC4C50" w:rsidRPr="00842E68">
        <w:rPr>
          <w:rFonts w:ascii="Times New Roman" w:hAnsi="Times New Roman"/>
        </w:rPr>
        <w:t xml:space="preserve"> The Court of Appeal </w:t>
      </w:r>
      <w:r w:rsidR="009E4F1E" w:rsidRPr="00842E68">
        <w:rPr>
          <w:rFonts w:ascii="Times New Roman" w:hAnsi="Times New Roman"/>
        </w:rPr>
        <w:t xml:space="preserve">held that </w:t>
      </w:r>
      <w:r w:rsidR="00850231" w:rsidRPr="00842E68">
        <w:rPr>
          <w:rFonts w:ascii="Times New Roman" w:hAnsi="Times New Roman"/>
        </w:rPr>
        <w:t xml:space="preserve">it was open to Air Canada to waive </w:t>
      </w:r>
      <w:r w:rsidR="00C24C0B" w:rsidRPr="00842E68">
        <w:rPr>
          <w:rFonts w:ascii="Times New Roman" w:hAnsi="Times New Roman"/>
        </w:rPr>
        <w:t>the partial defence in Art</w:t>
      </w:r>
      <w:r w:rsidR="002A7195" w:rsidRPr="00842E68">
        <w:rPr>
          <w:rFonts w:ascii="Times New Roman" w:hAnsi="Times New Roman"/>
        </w:rPr>
        <w:t> </w:t>
      </w:r>
      <w:r w:rsidR="00C24C0B" w:rsidRPr="00842E68">
        <w:rPr>
          <w:rFonts w:ascii="Times New Roman" w:hAnsi="Times New Roman"/>
        </w:rPr>
        <w:t>21(2)</w:t>
      </w:r>
      <w:r w:rsidR="001B00AA" w:rsidRPr="00842E68">
        <w:rPr>
          <w:rFonts w:ascii="Times New Roman" w:hAnsi="Times New Roman"/>
        </w:rPr>
        <w:t>, although</w:t>
      </w:r>
      <w:r w:rsidR="00C24C0B" w:rsidRPr="00842E68">
        <w:rPr>
          <w:rFonts w:ascii="Times New Roman" w:hAnsi="Times New Roman"/>
        </w:rPr>
        <w:t xml:space="preserve"> the Court of Appeal did not decide whether such a waiver would occur under </w:t>
      </w:r>
      <w:r w:rsidR="006D534F" w:rsidRPr="00842E68">
        <w:rPr>
          <w:rFonts w:ascii="Times New Roman" w:hAnsi="Times New Roman"/>
        </w:rPr>
        <w:t>Art</w:t>
      </w:r>
      <w:r w:rsidR="002A7195" w:rsidRPr="00842E68">
        <w:rPr>
          <w:rFonts w:ascii="Times New Roman" w:hAnsi="Times New Roman"/>
        </w:rPr>
        <w:t> </w:t>
      </w:r>
      <w:r w:rsidR="006D534F" w:rsidRPr="00842E68">
        <w:rPr>
          <w:rFonts w:ascii="Times New Roman" w:hAnsi="Times New Roman"/>
        </w:rPr>
        <w:t>25</w:t>
      </w:r>
      <w:r w:rsidR="00C24C0B" w:rsidRPr="00842E68">
        <w:rPr>
          <w:rFonts w:ascii="Times New Roman" w:hAnsi="Times New Roman"/>
        </w:rPr>
        <w:t xml:space="preserve"> or Art</w:t>
      </w:r>
      <w:r w:rsidR="002A7195" w:rsidRPr="00842E68">
        <w:rPr>
          <w:rFonts w:ascii="Times New Roman" w:hAnsi="Times New Roman"/>
        </w:rPr>
        <w:t> </w:t>
      </w:r>
      <w:r w:rsidR="00C24C0B" w:rsidRPr="00842E68">
        <w:rPr>
          <w:rFonts w:ascii="Times New Roman" w:hAnsi="Times New Roman"/>
        </w:rPr>
        <w:t xml:space="preserve">27, or both, because </w:t>
      </w:r>
      <w:r w:rsidR="005B5713" w:rsidRPr="00842E68">
        <w:rPr>
          <w:rFonts w:ascii="Times New Roman" w:hAnsi="Times New Roman"/>
        </w:rPr>
        <w:t xml:space="preserve">the Court held that </w:t>
      </w:r>
      <w:r w:rsidR="001B00AA" w:rsidRPr="00842E68">
        <w:rPr>
          <w:rFonts w:ascii="Times New Roman" w:hAnsi="Times New Roman"/>
        </w:rPr>
        <w:t xml:space="preserve">Air Canada had not </w:t>
      </w:r>
      <w:r w:rsidR="00B55CEA" w:rsidRPr="00842E68">
        <w:rPr>
          <w:rFonts w:ascii="Times New Roman" w:hAnsi="Times New Roman"/>
        </w:rPr>
        <w:t xml:space="preserve">waived </w:t>
      </w:r>
      <w:r w:rsidR="004F1AD6" w:rsidRPr="00842E68">
        <w:rPr>
          <w:rFonts w:ascii="Times New Roman" w:hAnsi="Times New Roman"/>
        </w:rPr>
        <w:t>the partial defence</w:t>
      </w:r>
      <w:r w:rsidR="001B00AA" w:rsidRPr="00842E68">
        <w:rPr>
          <w:rFonts w:ascii="Times New Roman" w:hAnsi="Times New Roman"/>
        </w:rPr>
        <w:t xml:space="preserve"> under </w:t>
      </w:r>
      <w:r w:rsidR="00EC4C50" w:rsidRPr="00842E68">
        <w:rPr>
          <w:rFonts w:ascii="Times New Roman" w:hAnsi="Times New Roman"/>
        </w:rPr>
        <w:t>r</w:t>
      </w:r>
      <w:r w:rsidR="003E13CF" w:rsidRPr="00842E68">
        <w:rPr>
          <w:rFonts w:ascii="Times New Roman" w:hAnsi="Times New Roman"/>
        </w:rPr>
        <w:t> </w:t>
      </w:r>
      <w:r w:rsidR="00EC4C50" w:rsidRPr="00842E68">
        <w:rPr>
          <w:rFonts w:ascii="Times New Roman" w:hAnsi="Times New Roman"/>
        </w:rPr>
        <w:t>105</w:t>
      </w:r>
      <w:r w:rsidR="00B11D17" w:rsidRPr="00842E68">
        <w:rPr>
          <w:rFonts w:ascii="Times New Roman" w:hAnsi="Times New Roman"/>
        </w:rPr>
        <w:t>(</w:t>
      </w:r>
      <w:r w:rsidR="00EC4C50" w:rsidRPr="00842E68">
        <w:rPr>
          <w:rFonts w:ascii="Times New Roman" w:hAnsi="Times New Roman"/>
        </w:rPr>
        <w:t>C</w:t>
      </w:r>
      <w:r w:rsidR="00B11D17" w:rsidRPr="00842E68">
        <w:rPr>
          <w:rFonts w:ascii="Times New Roman" w:hAnsi="Times New Roman"/>
        </w:rPr>
        <w:t>)</w:t>
      </w:r>
      <w:r w:rsidR="00EC4C50" w:rsidRPr="00842E68">
        <w:rPr>
          <w:rFonts w:ascii="Times New Roman" w:hAnsi="Times New Roman"/>
        </w:rPr>
        <w:t>(1)</w:t>
      </w:r>
      <w:r w:rsidR="001B00AA" w:rsidRPr="00842E68">
        <w:rPr>
          <w:rFonts w:ascii="Times New Roman" w:hAnsi="Times New Roman"/>
        </w:rPr>
        <w:t>(a)</w:t>
      </w:r>
      <w:r w:rsidR="006D534F" w:rsidRPr="00842E68">
        <w:rPr>
          <w:rFonts w:ascii="Times New Roman" w:hAnsi="Times New Roman"/>
        </w:rPr>
        <w:t>.</w:t>
      </w:r>
      <w:r w:rsidR="007035BF" w:rsidRPr="00842E68">
        <w:rPr>
          <w:rStyle w:val="FootnoteReference"/>
          <w:rFonts w:ascii="Times New Roman" w:hAnsi="Times New Roman"/>
          <w:sz w:val="24"/>
        </w:rPr>
        <w:footnoteReference w:id="9"/>
      </w:r>
      <w:r w:rsidR="00E87620" w:rsidRPr="00842E68">
        <w:rPr>
          <w:rFonts w:ascii="Times New Roman" w:hAnsi="Times New Roman"/>
        </w:rPr>
        <w:t xml:space="preserve"> </w:t>
      </w:r>
    </w:p>
    <w:p w14:paraId="7AB608E0" w14:textId="4C3612E4" w:rsidR="006F5C21" w:rsidRPr="00842E68" w:rsidRDefault="006F5C21"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A60D0E" w:rsidRPr="00842E68">
        <w:rPr>
          <w:rFonts w:ascii="Times New Roman" w:hAnsi="Times New Roman"/>
        </w:rPr>
        <w:t>For the reasons below, Art</w:t>
      </w:r>
      <w:r w:rsidR="00E763D6" w:rsidRPr="00842E68">
        <w:rPr>
          <w:rFonts w:ascii="Times New Roman" w:hAnsi="Times New Roman"/>
        </w:rPr>
        <w:t> </w:t>
      </w:r>
      <w:r w:rsidR="00A60D0E" w:rsidRPr="00842E68">
        <w:rPr>
          <w:rFonts w:ascii="Times New Roman" w:hAnsi="Times New Roman"/>
        </w:rPr>
        <w:t>25 empowered Air Canada to waive the partial defence in Art</w:t>
      </w:r>
      <w:r w:rsidR="00E763D6" w:rsidRPr="00842E68">
        <w:rPr>
          <w:rFonts w:ascii="Times New Roman" w:hAnsi="Times New Roman"/>
        </w:rPr>
        <w:t> </w:t>
      </w:r>
      <w:r w:rsidR="00A60D0E" w:rsidRPr="00842E68">
        <w:rPr>
          <w:rFonts w:ascii="Times New Roman" w:hAnsi="Times New Roman"/>
        </w:rPr>
        <w:t>21</w:t>
      </w:r>
      <w:r w:rsidR="001B00AA" w:rsidRPr="00842E68">
        <w:rPr>
          <w:rFonts w:ascii="Times New Roman" w:hAnsi="Times New Roman"/>
        </w:rPr>
        <w:t xml:space="preserve">(2) but, as the Court of Appeal correctly concluded, Air Canada did not do so. </w:t>
      </w:r>
      <w:r w:rsidR="0013351E" w:rsidRPr="00842E68">
        <w:rPr>
          <w:rFonts w:ascii="Times New Roman" w:hAnsi="Times New Roman"/>
        </w:rPr>
        <w:t>When regard is had to t</w:t>
      </w:r>
      <w:r w:rsidR="001B00AA" w:rsidRPr="00842E68">
        <w:rPr>
          <w:rFonts w:ascii="Times New Roman" w:hAnsi="Times New Roman"/>
        </w:rPr>
        <w:t xml:space="preserve">he context of </w:t>
      </w:r>
      <w:r w:rsidR="00600DB4" w:rsidRPr="00842E68">
        <w:rPr>
          <w:rFonts w:ascii="Times New Roman" w:hAnsi="Times New Roman"/>
        </w:rPr>
        <w:t>r</w:t>
      </w:r>
      <w:r w:rsidR="003E13CF" w:rsidRPr="00842E68">
        <w:rPr>
          <w:rFonts w:ascii="Times New Roman" w:hAnsi="Times New Roman"/>
        </w:rPr>
        <w:t> </w:t>
      </w:r>
      <w:r w:rsidR="001B00AA" w:rsidRPr="00842E68">
        <w:rPr>
          <w:rFonts w:ascii="Times New Roman" w:hAnsi="Times New Roman"/>
        </w:rPr>
        <w:t>105</w:t>
      </w:r>
      <w:r w:rsidR="00B11D17" w:rsidRPr="00842E68">
        <w:rPr>
          <w:rFonts w:ascii="Times New Roman" w:hAnsi="Times New Roman"/>
        </w:rPr>
        <w:t>(</w:t>
      </w:r>
      <w:r w:rsidR="001B00AA" w:rsidRPr="00842E68">
        <w:rPr>
          <w:rFonts w:ascii="Times New Roman" w:hAnsi="Times New Roman"/>
        </w:rPr>
        <w:t>C</w:t>
      </w:r>
      <w:r w:rsidR="00B11D17" w:rsidRPr="00842E68">
        <w:rPr>
          <w:rFonts w:ascii="Times New Roman" w:hAnsi="Times New Roman"/>
        </w:rPr>
        <w:t>)</w:t>
      </w:r>
      <w:r w:rsidR="001B00AA" w:rsidRPr="00842E68">
        <w:rPr>
          <w:rFonts w:ascii="Times New Roman" w:hAnsi="Times New Roman"/>
        </w:rPr>
        <w:t>(1)(a)</w:t>
      </w:r>
      <w:r w:rsidR="009460A2" w:rsidRPr="00842E68">
        <w:rPr>
          <w:rFonts w:ascii="Times New Roman" w:hAnsi="Times New Roman"/>
        </w:rPr>
        <w:t xml:space="preserve"> of the Air Canada Tariff</w:t>
      </w:r>
      <w:r w:rsidR="0013351E" w:rsidRPr="00842E68">
        <w:rPr>
          <w:rFonts w:ascii="Times New Roman" w:hAnsi="Times New Roman"/>
        </w:rPr>
        <w:t xml:space="preserve">, </w:t>
      </w:r>
      <w:r w:rsidR="003D10C5" w:rsidRPr="00842E68">
        <w:rPr>
          <w:rFonts w:ascii="Times New Roman" w:hAnsi="Times New Roman"/>
        </w:rPr>
        <w:t xml:space="preserve">particularly the </w:t>
      </w:r>
      <w:r w:rsidR="004F1AD6" w:rsidRPr="00842E68">
        <w:rPr>
          <w:rFonts w:ascii="Times New Roman" w:hAnsi="Times New Roman"/>
        </w:rPr>
        <w:t>meaning</w:t>
      </w:r>
      <w:r w:rsidR="003D10C5" w:rsidRPr="00842E68">
        <w:rPr>
          <w:rFonts w:ascii="Times New Roman" w:hAnsi="Times New Roman"/>
        </w:rPr>
        <w:t xml:space="preserve"> of Arts</w:t>
      </w:r>
      <w:r w:rsidR="004873C2" w:rsidRPr="00842E68">
        <w:rPr>
          <w:rFonts w:ascii="Times New Roman" w:hAnsi="Times New Roman"/>
        </w:rPr>
        <w:t> </w:t>
      </w:r>
      <w:r w:rsidR="003D10C5" w:rsidRPr="00842E68">
        <w:rPr>
          <w:rFonts w:ascii="Times New Roman" w:hAnsi="Times New Roman"/>
        </w:rPr>
        <w:t xml:space="preserve">17 and 21 of the Montreal Convention, </w:t>
      </w:r>
      <w:r w:rsidR="00600DB4" w:rsidRPr="00842E68">
        <w:rPr>
          <w:rFonts w:ascii="Times New Roman" w:hAnsi="Times New Roman"/>
        </w:rPr>
        <w:t>r</w:t>
      </w:r>
      <w:r w:rsidR="00134560" w:rsidRPr="00842E68">
        <w:rPr>
          <w:rFonts w:ascii="Times New Roman" w:hAnsi="Times New Roman"/>
        </w:rPr>
        <w:t> </w:t>
      </w:r>
      <w:r w:rsidR="00600DB4" w:rsidRPr="00842E68">
        <w:rPr>
          <w:rFonts w:ascii="Times New Roman" w:hAnsi="Times New Roman"/>
        </w:rPr>
        <w:t>105</w:t>
      </w:r>
      <w:r w:rsidR="00B11D17" w:rsidRPr="00842E68">
        <w:rPr>
          <w:rFonts w:ascii="Times New Roman" w:hAnsi="Times New Roman"/>
        </w:rPr>
        <w:t>(</w:t>
      </w:r>
      <w:r w:rsidR="00600DB4" w:rsidRPr="00842E68">
        <w:rPr>
          <w:rFonts w:ascii="Times New Roman" w:hAnsi="Times New Roman"/>
        </w:rPr>
        <w:t>C</w:t>
      </w:r>
      <w:r w:rsidR="00B11D17" w:rsidRPr="00842E68">
        <w:rPr>
          <w:rFonts w:ascii="Times New Roman" w:hAnsi="Times New Roman"/>
        </w:rPr>
        <w:t>)</w:t>
      </w:r>
      <w:r w:rsidR="00600DB4" w:rsidRPr="00842E68">
        <w:rPr>
          <w:rFonts w:ascii="Times New Roman" w:hAnsi="Times New Roman"/>
        </w:rPr>
        <w:t>(1)(a)</w:t>
      </w:r>
      <w:r w:rsidR="0013351E" w:rsidRPr="00842E68">
        <w:rPr>
          <w:rFonts w:ascii="Times New Roman" w:hAnsi="Times New Roman"/>
        </w:rPr>
        <w:t xml:space="preserve"> </w:t>
      </w:r>
      <w:r w:rsidR="00966AEE" w:rsidRPr="00842E68">
        <w:rPr>
          <w:rFonts w:ascii="Times New Roman" w:hAnsi="Times New Roman"/>
        </w:rPr>
        <w:t xml:space="preserve">must be seen as </w:t>
      </w:r>
      <w:r w:rsidR="0013351E" w:rsidRPr="00842E68">
        <w:rPr>
          <w:rFonts w:ascii="Times New Roman" w:hAnsi="Times New Roman"/>
        </w:rPr>
        <w:t xml:space="preserve">no more than declaratory of </w:t>
      </w:r>
      <w:r w:rsidR="003D10C5" w:rsidRPr="00842E68">
        <w:rPr>
          <w:rFonts w:ascii="Times New Roman" w:hAnsi="Times New Roman"/>
        </w:rPr>
        <w:t>the effect of Art</w:t>
      </w:r>
      <w:r w:rsidR="0015566C" w:rsidRPr="00842E68">
        <w:rPr>
          <w:rFonts w:ascii="Times New Roman" w:hAnsi="Times New Roman"/>
        </w:rPr>
        <w:t> </w:t>
      </w:r>
      <w:r w:rsidR="003D10C5" w:rsidRPr="00842E68">
        <w:rPr>
          <w:rFonts w:ascii="Times New Roman" w:hAnsi="Times New Roman"/>
        </w:rPr>
        <w:t>17, and therefore subject to the defences to liability recognised by the Montreal Convention.</w:t>
      </w:r>
      <w:r w:rsidR="001B00AA" w:rsidRPr="00842E68">
        <w:rPr>
          <w:rFonts w:ascii="Times New Roman" w:hAnsi="Times New Roman"/>
        </w:rPr>
        <w:t xml:space="preserve">   </w:t>
      </w:r>
    </w:p>
    <w:p w14:paraId="0A272828" w14:textId="77777777" w:rsidR="00F30A4B" w:rsidRPr="00842E68" w:rsidRDefault="00F30A4B" w:rsidP="00842E68">
      <w:pPr>
        <w:pStyle w:val="HeadingL1"/>
        <w:spacing w:after="260" w:line="280" w:lineRule="exact"/>
        <w:ind w:right="0"/>
        <w:jc w:val="both"/>
        <w:rPr>
          <w:rFonts w:ascii="Times New Roman" w:hAnsi="Times New Roman"/>
        </w:rPr>
      </w:pPr>
      <w:r w:rsidRPr="00842E68">
        <w:rPr>
          <w:rFonts w:ascii="Times New Roman" w:hAnsi="Times New Roman"/>
        </w:rPr>
        <w:lastRenderedPageBreak/>
        <w:t>International principles of interpretation</w:t>
      </w:r>
    </w:p>
    <w:p w14:paraId="1B3C46F9" w14:textId="3732E5D5" w:rsidR="00F30A4B" w:rsidRPr="00842E68" w:rsidRDefault="00F30A4B" w:rsidP="00842E68">
      <w:pPr>
        <w:pStyle w:val="FixListStyle"/>
        <w:spacing w:after="260" w:line="280" w:lineRule="exact"/>
        <w:ind w:right="0"/>
        <w:jc w:val="both"/>
        <w:rPr>
          <w:rFonts w:ascii="Times New Roman" w:hAnsi="Times New Roman"/>
        </w:rPr>
      </w:pPr>
      <w:r w:rsidRPr="00842E68">
        <w:rPr>
          <w:rFonts w:ascii="Times New Roman" w:hAnsi="Times New Roman"/>
        </w:rPr>
        <w:tab/>
        <w:t xml:space="preserve">The </w:t>
      </w:r>
      <w:r w:rsidRPr="00842E68">
        <w:rPr>
          <w:rFonts w:ascii="Times New Roman" w:hAnsi="Times New Roman"/>
          <w:i/>
          <w:iCs/>
        </w:rPr>
        <w:t xml:space="preserve">Civil Aviation (Carriers' Liability) Act 1959 </w:t>
      </w:r>
      <w:r w:rsidRPr="00842E68">
        <w:rPr>
          <w:rFonts w:ascii="Times New Roman" w:hAnsi="Times New Roman"/>
        </w:rPr>
        <w:t>(</w:t>
      </w:r>
      <w:proofErr w:type="spellStart"/>
      <w:r w:rsidRPr="00842E68">
        <w:rPr>
          <w:rFonts w:ascii="Times New Roman" w:hAnsi="Times New Roman"/>
        </w:rPr>
        <w:t>Cth</w:t>
      </w:r>
      <w:proofErr w:type="spellEnd"/>
      <w:r w:rsidRPr="00842E68">
        <w:rPr>
          <w:rFonts w:ascii="Times New Roman" w:hAnsi="Times New Roman"/>
        </w:rPr>
        <w:t>) ("the Civil Aviation Act") gives the Montreal Convention</w:t>
      </w:r>
      <w:r w:rsidRPr="00842E68">
        <w:rPr>
          <w:rStyle w:val="FootnoteReference"/>
          <w:rFonts w:ascii="Times New Roman" w:hAnsi="Times New Roman"/>
          <w:sz w:val="24"/>
        </w:rPr>
        <w:footnoteReference w:id="10"/>
      </w:r>
      <w:r w:rsidRPr="00842E68">
        <w:rPr>
          <w:rFonts w:ascii="Times New Roman" w:hAnsi="Times New Roman"/>
        </w:rPr>
        <w:t xml:space="preserve"> and (replacing earlier legislation</w:t>
      </w:r>
      <w:r w:rsidRPr="00842E68">
        <w:rPr>
          <w:rStyle w:val="FootnoteReference"/>
          <w:rFonts w:ascii="Times New Roman" w:hAnsi="Times New Roman"/>
          <w:sz w:val="24"/>
        </w:rPr>
        <w:footnoteReference w:id="11"/>
      </w:r>
      <w:r w:rsidRPr="00842E68">
        <w:rPr>
          <w:rFonts w:ascii="Times New Roman" w:hAnsi="Times New Roman"/>
        </w:rPr>
        <w:t xml:space="preserve">) the </w:t>
      </w:r>
      <w:r w:rsidR="005E5621" w:rsidRPr="00842E68">
        <w:rPr>
          <w:rFonts w:ascii="Times New Roman" w:hAnsi="Times New Roman"/>
        </w:rPr>
        <w:t xml:space="preserve">Convention </w:t>
      </w:r>
      <w:r w:rsidR="00911A8A" w:rsidRPr="00842E68">
        <w:rPr>
          <w:rFonts w:ascii="Times New Roman" w:hAnsi="Times New Roman"/>
        </w:rPr>
        <w:t xml:space="preserve">for the Unification of Certain Rules Relating to </w:t>
      </w:r>
      <w:r w:rsidR="00E93EE9" w:rsidRPr="00842E68">
        <w:rPr>
          <w:rFonts w:ascii="Times New Roman" w:hAnsi="Times New Roman"/>
        </w:rPr>
        <w:t xml:space="preserve">International </w:t>
      </w:r>
      <w:r w:rsidR="00076D57" w:rsidRPr="00842E68">
        <w:rPr>
          <w:rFonts w:ascii="Times New Roman" w:hAnsi="Times New Roman"/>
        </w:rPr>
        <w:t xml:space="preserve">Carriage by Air </w:t>
      </w:r>
      <w:r w:rsidR="00DA2A1F" w:rsidRPr="00842E68">
        <w:rPr>
          <w:rFonts w:ascii="Times New Roman" w:hAnsi="Times New Roman"/>
        </w:rPr>
        <w:t>(1929)</w:t>
      </w:r>
      <w:r w:rsidR="009532EA" w:rsidRPr="00842E68">
        <w:rPr>
          <w:rStyle w:val="FootnoteReference"/>
          <w:rFonts w:ascii="Times New Roman" w:hAnsi="Times New Roman"/>
          <w:sz w:val="24"/>
        </w:rPr>
        <w:footnoteReference w:id="12"/>
      </w:r>
      <w:r w:rsidR="00865702" w:rsidRPr="00842E68">
        <w:rPr>
          <w:rFonts w:ascii="Times New Roman" w:hAnsi="Times New Roman"/>
        </w:rPr>
        <w:t xml:space="preserve"> </w:t>
      </w:r>
      <w:r w:rsidR="00DA2A1F" w:rsidRPr="00842E68">
        <w:rPr>
          <w:rFonts w:ascii="Times New Roman" w:hAnsi="Times New Roman"/>
        </w:rPr>
        <w:t>("</w:t>
      </w:r>
      <w:r w:rsidR="00B55676" w:rsidRPr="00842E68">
        <w:rPr>
          <w:rFonts w:ascii="Times New Roman" w:hAnsi="Times New Roman"/>
        </w:rPr>
        <w:t xml:space="preserve">the </w:t>
      </w:r>
      <w:r w:rsidRPr="00842E68">
        <w:rPr>
          <w:rFonts w:ascii="Times New Roman" w:hAnsi="Times New Roman"/>
        </w:rPr>
        <w:t>Warsaw Convention</w:t>
      </w:r>
      <w:r w:rsidR="00DA2A1F" w:rsidRPr="00842E68">
        <w:rPr>
          <w:rFonts w:ascii="Times New Roman" w:hAnsi="Times New Roman"/>
        </w:rPr>
        <w:t>")</w:t>
      </w:r>
      <w:r w:rsidR="0084466E" w:rsidRPr="00842E68">
        <w:rPr>
          <w:rFonts w:ascii="Times New Roman" w:hAnsi="Times New Roman"/>
        </w:rPr>
        <w:t>,</w:t>
      </w:r>
      <w:r w:rsidRPr="00842E68">
        <w:rPr>
          <w:rStyle w:val="FootnoteReference"/>
          <w:rFonts w:ascii="Times New Roman" w:hAnsi="Times New Roman"/>
          <w:sz w:val="24"/>
        </w:rPr>
        <w:footnoteReference w:id="13"/>
      </w:r>
      <w:r w:rsidRPr="00842E68">
        <w:rPr>
          <w:rFonts w:ascii="Times New Roman" w:hAnsi="Times New Roman"/>
        </w:rPr>
        <w:t xml:space="preserve"> </w:t>
      </w:r>
      <w:r w:rsidR="0084466E" w:rsidRPr="00842E68">
        <w:rPr>
          <w:rFonts w:ascii="Times New Roman" w:hAnsi="Times New Roman"/>
        </w:rPr>
        <w:t>as amended,</w:t>
      </w:r>
      <w:r w:rsidR="0084466E" w:rsidRPr="00842E68">
        <w:rPr>
          <w:rStyle w:val="FootnoteReference"/>
          <w:rFonts w:ascii="Times New Roman" w:hAnsi="Times New Roman"/>
          <w:sz w:val="24"/>
        </w:rPr>
        <w:footnoteReference w:id="14"/>
      </w:r>
      <w:r w:rsidR="0084466E" w:rsidRPr="00842E68">
        <w:rPr>
          <w:rFonts w:ascii="Times New Roman" w:hAnsi="Times New Roman"/>
        </w:rPr>
        <w:t xml:space="preserve"> </w:t>
      </w:r>
      <w:r w:rsidRPr="00842E68">
        <w:rPr>
          <w:rFonts w:ascii="Times New Roman" w:hAnsi="Times New Roman"/>
        </w:rPr>
        <w:t xml:space="preserve">domestic legal effect in Australian law. However, although the appellant passengers' claim is brought under the Civil Aviation Act as a matter of domestic law, the treaty provisions that are given effect in domestic law have meaning </w:t>
      </w:r>
      <w:r w:rsidR="00004DF6" w:rsidRPr="00842E68">
        <w:rPr>
          <w:rFonts w:ascii="Times New Roman" w:hAnsi="Times New Roman"/>
        </w:rPr>
        <w:t>in</w:t>
      </w:r>
      <w:r w:rsidR="00596E80" w:rsidRPr="00842E68">
        <w:rPr>
          <w:rFonts w:ascii="Times New Roman" w:hAnsi="Times New Roman"/>
        </w:rPr>
        <w:t xml:space="preserve"> public international law </w:t>
      </w:r>
      <w:r w:rsidRPr="00842E68">
        <w:rPr>
          <w:rFonts w:ascii="Times New Roman" w:hAnsi="Times New Roman"/>
        </w:rPr>
        <w:t xml:space="preserve">which has not been altered by the Civil Aviation Act. As four members of this Court said in </w:t>
      </w:r>
      <w:r w:rsidRPr="00842E68">
        <w:rPr>
          <w:rFonts w:ascii="Times New Roman" w:hAnsi="Times New Roman"/>
          <w:i/>
          <w:iCs/>
        </w:rPr>
        <w:t>Povey v Qantas Airways Ltd</w:t>
      </w:r>
      <w:r w:rsidRPr="00842E68">
        <w:rPr>
          <w:rFonts w:ascii="Times New Roman" w:hAnsi="Times New Roman"/>
        </w:rPr>
        <w:t>,</w:t>
      </w:r>
      <w:r w:rsidRPr="00842E68">
        <w:rPr>
          <w:rStyle w:val="FootnoteReference"/>
          <w:rFonts w:ascii="Times New Roman" w:hAnsi="Times New Roman"/>
          <w:sz w:val="24"/>
        </w:rPr>
        <w:footnoteReference w:id="15"/>
      </w:r>
      <w:r w:rsidRPr="00842E68">
        <w:rPr>
          <w:rFonts w:ascii="Times New Roman" w:hAnsi="Times New Roman"/>
        </w:rPr>
        <w:t xml:space="preserve"> "international treaties should be interpreted uniformly by contracting states". </w:t>
      </w:r>
      <w:r w:rsidR="00E32624" w:rsidRPr="00842E68">
        <w:rPr>
          <w:rFonts w:ascii="Times New Roman" w:hAnsi="Times New Roman"/>
        </w:rPr>
        <w:t>And a</w:t>
      </w:r>
      <w:r w:rsidRPr="00842E68">
        <w:rPr>
          <w:rFonts w:ascii="Times New Roman" w:hAnsi="Times New Roman"/>
        </w:rPr>
        <w:t>s this Court has reiterated,</w:t>
      </w:r>
      <w:r w:rsidRPr="00842E68">
        <w:rPr>
          <w:rStyle w:val="FootnoteReference"/>
          <w:rFonts w:ascii="Times New Roman" w:hAnsi="Times New Roman"/>
          <w:sz w:val="24"/>
        </w:rPr>
        <w:footnoteReference w:id="16"/>
      </w:r>
      <w:r w:rsidRPr="00842E68">
        <w:rPr>
          <w:rFonts w:ascii="Times New Roman" w:hAnsi="Times New Roman"/>
        </w:rPr>
        <w:t xml:space="preserve"> the text of an international treaty is to be interpretated in accordance with the </w:t>
      </w:r>
      <w:r w:rsidR="00524D8A" w:rsidRPr="00842E68">
        <w:rPr>
          <w:rFonts w:ascii="Times New Roman" w:hAnsi="Times New Roman"/>
        </w:rPr>
        <w:t xml:space="preserve">interpretative rules of the </w:t>
      </w:r>
      <w:r w:rsidRPr="00842E68">
        <w:rPr>
          <w:rFonts w:ascii="Times New Roman" w:hAnsi="Times New Roman"/>
        </w:rPr>
        <w:t>Vienna Convention on the Law of Treaties</w:t>
      </w:r>
      <w:r w:rsidR="005177ED" w:rsidRPr="00842E68">
        <w:rPr>
          <w:rFonts w:ascii="Times New Roman" w:hAnsi="Times New Roman"/>
        </w:rPr>
        <w:t xml:space="preserve"> (1969)</w:t>
      </w:r>
      <w:r w:rsidR="000D769A" w:rsidRPr="00842E68">
        <w:rPr>
          <w:rFonts w:ascii="Times New Roman" w:hAnsi="Times New Roman"/>
        </w:rPr>
        <w:t xml:space="preserve"> ("</w:t>
      </w:r>
      <w:r w:rsidR="009E2E0A" w:rsidRPr="00842E68">
        <w:rPr>
          <w:rFonts w:ascii="Times New Roman" w:hAnsi="Times New Roman"/>
        </w:rPr>
        <w:t xml:space="preserve">the </w:t>
      </w:r>
      <w:r w:rsidR="000D769A" w:rsidRPr="00842E68">
        <w:rPr>
          <w:rFonts w:ascii="Times New Roman" w:hAnsi="Times New Roman"/>
        </w:rPr>
        <w:t>Vienna Convention")</w:t>
      </w:r>
      <w:r w:rsidRPr="00842E68">
        <w:rPr>
          <w:rFonts w:ascii="Times New Roman" w:hAnsi="Times New Roman"/>
        </w:rPr>
        <w:t xml:space="preserve">. </w:t>
      </w:r>
      <w:r w:rsidR="00EB291B" w:rsidRPr="00842E68">
        <w:rPr>
          <w:rFonts w:ascii="Times New Roman" w:hAnsi="Times New Roman"/>
        </w:rPr>
        <w:t>Consideration of t</w:t>
      </w:r>
      <w:r w:rsidRPr="00842E68">
        <w:rPr>
          <w:rFonts w:ascii="Times New Roman" w:hAnsi="Times New Roman"/>
        </w:rPr>
        <w:t xml:space="preserve">he historical context of a treaty, </w:t>
      </w:r>
      <w:r w:rsidR="00E67A86" w:rsidRPr="00842E68">
        <w:rPr>
          <w:rFonts w:ascii="Times New Roman" w:hAnsi="Times New Roman"/>
        </w:rPr>
        <w:t xml:space="preserve">including related treaty instruments and </w:t>
      </w:r>
      <w:r w:rsidRPr="00842E68">
        <w:rPr>
          <w:rFonts w:ascii="Times New Roman" w:hAnsi="Times New Roman"/>
        </w:rPr>
        <w:t xml:space="preserve">the travaux </w:t>
      </w:r>
      <w:proofErr w:type="spellStart"/>
      <w:r w:rsidRPr="00842E68">
        <w:rPr>
          <w:rFonts w:ascii="Times New Roman" w:hAnsi="Times New Roman"/>
        </w:rPr>
        <w:t>pr</w:t>
      </w:r>
      <w:r w:rsidR="00857656" w:rsidRPr="00842E68">
        <w:rPr>
          <w:rFonts w:ascii="Times New Roman" w:hAnsi="Times New Roman"/>
        </w:rPr>
        <w:t>é</w:t>
      </w:r>
      <w:r w:rsidRPr="00842E68">
        <w:rPr>
          <w:rFonts w:ascii="Times New Roman" w:hAnsi="Times New Roman"/>
        </w:rPr>
        <w:t>paratoires</w:t>
      </w:r>
      <w:proofErr w:type="spellEnd"/>
      <w:r w:rsidRPr="00842E68">
        <w:rPr>
          <w:rFonts w:ascii="Times New Roman" w:hAnsi="Times New Roman"/>
          <w:i/>
          <w:iCs/>
        </w:rPr>
        <w:t xml:space="preserve"> </w:t>
      </w:r>
      <w:r w:rsidRPr="00842E68">
        <w:rPr>
          <w:rFonts w:ascii="Times New Roman" w:hAnsi="Times New Roman"/>
        </w:rPr>
        <w:t>to the treaty, is an important aspect of that interpretative process</w:t>
      </w:r>
      <w:r w:rsidR="0060497B" w:rsidRPr="00842E68">
        <w:rPr>
          <w:rFonts w:ascii="Times New Roman" w:hAnsi="Times New Roman"/>
        </w:rPr>
        <w:t xml:space="preserve">. </w:t>
      </w:r>
    </w:p>
    <w:p w14:paraId="6472BC2A" w14:textId="29667AA3" w:rsidR="00103424" w:rsidRPr="00842E68" w:rsidRDefault="00F30A4B" w:rsidP="00842E68">
      <w:pPr>
        <w:pStyle w:val="FixListStyle"/>
        <w:spacing w:after="260" w:line="280" w:lineRule="exact"/>
        <w:ind w:right="0"/>
        <w:jc w:val="both"/>
        <w:rPr>
          <w:rFonts w:ascii="Times New Roman" w:hAnsi="Times New Roman"/>
        </w:rPr>
      </w:pPr>
      <w:r w:rsidRPr="00842E68">
        <w:rPr>
          <w:rFonts w:ascii="Times New Roman" w:hAnsi="Times New Roman"/>
        </w:rPr>
        <w:tab/>
        <w:t>Art</w:t>
      </w:r>
      <w:r w:rsidR="00F37D27" w:rsidRPr="00842E68">
        <w:rPr>
          <w:rFonts w:ascii="Times New Roman" w:hAnsi="Times New Roman"/>
        </w:rPr>
        <w:t>icle</w:t>
      </w:r>
      <w:r w:rsidRPr="00842E68">
        <w:rPr>
          <w:rFonts w:ascii="Times New Roman" w:hAnsi="Times New Roman"/>
        </w:rPr>
        <w:t xml:space="preserve"> 31(1) </w:t>
      </w:r>
      <w:r w:rsidR="00317254" w:rsidRPr="00842E68">
        <w:rPr>
          <w:rFonts w:ascii="Times New Roman" w:hAnsi="Times New Roman"/>
        </w:rPr>
        <w:t xml:space="preserve">of the Vienna Convention </w:t>
      </w:r>
      <w:r w:rsidRPr="00842E68">
        <w:rPr>
          <w:rFonts w:ascii="Times New Roman" w:hAnsi="Times New Roman"/>
        </w:rPr>
        <w:t xml:space="preserve">requires that a treaty be "interpreted in good faith in accordance with the ordinary meaning to be given to the terms of the treaty in their context and in light of its object and purpose". </w:t>
      </w:r>
      <w:r w:rsidR="008626A3" w:rsidRPr="00842E68">
        <w:rPr>
          <w:rFonts w:ascii="Times New Roman" w:hAnsi="Times New Roman"/>
        </w:rPr>
        <w:t>T</w:t>
      </w:r>
      <w:r w:rsidRPr="00842E68">
        <w:rPr>
          <w:rFonts w:ascii="Times New Roman" w:hAnsi="Times New Roman"/>
        </w:rPr>
        <w:t>he definition of "context" in Art</w:t>
      </w:r>
      <w:r w:rsidR="006C3B6D" w:rsidRPr="00842E68">
        <w:rPr>
          <w:rFonts w:ascii="Times New Roman" w:hAnsi="Times New Roman"/>
        </w:rPr>
        <w:t> </w:t>
      </w:r>
      <w:r w:rsidRPr="00842E68">
        <w:rPr>
          <w:rFonts w:ascii="Times New Roman" w:hAnsi="Times New Roman"/>
        </w:rPr>
        <w:t>31(2)</w:t>
      </w:r>
      <w:r w:rsidR="00103424" w:rsidRPr="00842E68">
        <w:rPr>
          <w:rFonts w:ascii="Times New Roman" w:hAnsi="Times New Roman"/>
        </w:rPr>
        <w:t xml:space="preserve"> is narrow,</w:t>
      </w:r>
      <w:r w:rsidRPr="00842E68">
        <w:rPr>
          <w:rFonts w:ascii="Times New Roman" w:hAnsi="Times New Roman"/>
        </w:rPr>
        <w:t xml:space="preserve"> referring </w:t>
      </w:r>
      <w:r w:rsidR="0053135A">
        <w:rPr>
          <w:rFonts w:ascii="Times New Roman" w:hAnsi="Times New Roman"/>
        </w:rPr>
        <w:t xml:space="preserve">to </w:t>
      </w:r>
      <w:r w:rsidR="00B6784A" w:rsidRPr="00842E68">
        <w:rPr>
          <w:rFonts w:ascii="Times New Roman" w:hAnsi="Times New Roman"/>
        </w:rPr>
        <w:t xml:space="preserve">(in addition to </w:t>
      </w:r>
      <w:r w:rsidR="0099099F" w:rsidRPr="00842E68">
        <w:rPr>
          <w:rFonts w:ascii="Times New Roman" w:hAnsi="Times New Roman"/>
        </w:rPr>
        <w:t xml:space="preserve">the general text of the </w:t>
      </w:r>
      <w:r w:rsidR="0099099F" w:rsidRPr="00842E68">
        <w:rPr>
          <w:rFonts w:ascii="Times New Roman" w:hAnsi="Times New Roman"/>
        </w:rPr>
        <w:lastRenderedPageBreak/>
        <w:t xml:space="preserve">treaty, including </w:t>
      </w:r>
      <w:r w:rsidR="00A975A0" w:rsidRPr="00842E68">
        <w:rPr>
          <w:rFonts w:ascii="Times New Roman" w:hAnsi="Times New Roman"/>
        </w:rPr>
        <w:t xml:space="preserve">the </w:t>
      </w:r>
      <w:r w:rsidR="0099099F" w:rsidRPr="00842E68">
        <w:rPr>
          <w:rFonts w:ascii="Times New Roman" w:hAnsi="Times New Roman"/>
        </w:rPr>
        <w:t xml:space="preserve">preamble and </w:t>
      </w:r>
      <w:r w:rsidR="009F24C4" w:rsidRPr="00842E68">
        <w:rPr>
          <w:rFonts w:ascii="Times New Roman" w:hAnsi="Times New Roman"/>
        </w:rPr>
        <w:t xml:space="preserve">any </w:t>
      </w:r>
      <w:r w:rsidR="0099099F" w:rsidRPr="00842E68">
        <w:rPr>
          <w:rFonts w:ascii="Times New Roman" w:hAnsi="Times New Roman"/>
        </w:rPr>
        <w:t xml:space="preserve">annexes) </w:t>
      </w:r>
      <w:r w:rsidR="008933F7" w:rsidRPr="00842E68">
        <w:rPr>
          <w:rFonts w:ascii="Times New Roman" w:hAnsi="Times New Roman"/>
        </w:rPr>
        <w:t>certain</w:t>
      </w:r>
      <w:r w:rsidRPr="00842E68">
        <w:rPr>
          <w:rFonts w:ascii="Times New Roman" w:hAnsi="Times New Roman"/>
        </w:rPr>
        <w:t xml:space="preserve"> agreements and instruments related to the treaty</w:t>
      </w:r>
      <w:r w:rsidR="0099099F" w:rsidRPr="00842E68">
        <w:rPr>
          <w:rFonts w:ascii="Times New Roman" w:hAnsi="Times New Roman"/>
        </w:rPr>
        <w:t>.</w:t>
      </w:r>
      <w:r w:rsidR="00635598" w:rsidRPr="00842E68">
        <w:rPr>
          <w:rFonts w:ascii="Times New Roman" w:hAnsi="Times New Roman"/>
        </w:rPr>
        <w:t xml:space="preserve"> Nevertheless, </w:t>
      </w:r>
      <w:r w:rsidR="00BC5A3F" w:rsidRPr="00842E68">
        <w:rPr>
          <w:rFonts w:ascii="Times New Roman" w:hAnsi="Times New Roman"/>
        </w:rPr>
        <w:t>consistent</w:t>
      </w:r>
      <w:r w:rsidR="005F5D1F" w:rsidRPr="00842E68">
        <w:rPr>
          <w:rFonts w:ascii="Times New Roman" w:hAnsi="Times New Roman"/>
        </w:rPr>
        <w:t>ly</w:t>
      </w:r>
      <w:r w:rsidR="00BC5A3F" w:rsidRPr="00842E68">
        <w:rPr>
          <w:rFonts w:ascii="Times New Roman" w:hAnsi="Times New Roman"/>
        </w:rPr>
        <w:t xml:space="preserve"> with ordinary conventions of language</w:t>
      </w:r>
      <w:r w:rsidR="009C45C8" w:rsidRPr="00842E68">
        <w:rPr>
          <w:rFonts w:ascii="Times New Roman" w:hAnsi="Times New Roman"/>
        </w:rPr>
        <w:t>,</w:t>
      </w:r>
      <w:r w:rsidR="00BC5A3F" w:rsidRPr="00842E68">
        <w:rPr>
          <w:rFonts w:ascii="Times New Roman" w:hAnsi="Times New Roman"/>
        </w:rPr>
        <w:t xml:space="preserve"> </w:t>
      </w:r>
      <w:r w:rsidR="00DB5D7D" w:rsidRPr="00842E68">
        <w:rPr>
          <w:rFonts w:ascii="Times New Roman" w:hAnsi="Times New Roman"/>
        </w:rPr>
        <w:t xml:space="preserve">the </w:t>
      </w:r>
      <w:r w:rsidR="00456863" w:rsidRPr="00842E68">
        <w:rPr>
          <w:rFonts w:ascii="Times New Roman" w:hAnsi="Times New Roman"/>
        </w:rPr>
        <w:t>International Law Commission</w:t>
      </w:r>
      <w:r w:rsidR="00456863" w:rsidRPr="00842E68">
        <w:rPr>
          <w:rStyle w:val="FootnoteReference"/>
          <w:rFonts w:ascii="Times New Roman" w:hAnsi="Times New Roman"/>
          <w:sz w:val="24"/>
        </w:rPr>
        <w:footnoteReference w:id="17"/>
      </w:r>
      <w:r w:rsidR="00456863" w:rsidRPr="00842E68">
        <w:rPr>
          <w:rFonts w:ascii="Times New Roman" w:hAnsi="Times New Roman"/>
        </w:rPr>
        <w:t xml:space="preserve"> and the </w:t>
      </w:r>
      <w:r w:rsidR="00DB5D7D" w:rsidRPr="00842E68">
        <w:rPr>
          <w:rFonts w:ascii="Times New Roman" w:hAnsi="Times New Roman"/>
        </w:rPr>
        <w:t>International Court of Justice</w:t>
      </w:r>
      <w:r w:rsidR="00CB7F6B" w:rsidRPr="00842E68">
        <w:rPr>
          <w:rStyle w:val="FootnoteReference"/>
          <w:rFonts w:ascii="Times New Roman" w:hAnsi="Times New Roman"/>
          <w:sz w:val="24"/>
        </w:rPr>
        <w:footnoteReference w:id="18"/>
      </w:r>
      <w:r w:rsidR="00DB5D7D" w:rsidRPr="00842E68">
        <w:rPr>
          <w:rFonts w:ascii="Times New Roman" w:hAnsi="Times New Roman"/>
        </w:rPr>
        <w:t xml:space="preserve"> ha</w:t>
      </w:r>
      <w:r w:rsidR="00C24447" w:rsidRPr="00842E68">
        <w:rPr>
          <w:rFonts w:ascii="Times New Roman" w:hAnsi="Times New Roman"/>
        </w:rPr>
        <w:t>ve</w:t>
      </w:r>
      <w:r w:rsidR="00DB5D7D" w:rsidRPr="00842E68">
        <w:rPr>
          <w:rFonts w:ascii="Times New Roman" w:hAnsi="Times New Roman"/>
        </w:rPr>
        <w:t xml:space="preserve"> emphasised that </w:t>
      </w:r>
      <w:r w:rsidR="00103424" w:rsidRPr="00842E68">
        <w:rPr>
          <w:rFonts w:ascii="Times New Roman" w:hAnsi="Times New Roman"/>
        </w:rPr>
        <w:t xml:space="preserve">treaty interpretation is a holistic exercise to ascertain meaning, </w:t>
      </w:r>
      <w:r w:rsidR="00475DCE" w:rsidRPr="00842E68">
        <w:rPr>
          <w:rFonts w:ascii="Times New Roman" w:hAnsi="Times New Roman"/>
        </w:rPr>
        <w:t xml:space="preserve">without separation of </w:t>
      </w:r>
      <w:r w:rsidR="00EC25A9" w:rsidRPr="00842E68">
        <w:rPr>
          <w:rFonts w:ascii="Times New Roman" w:hAnsi="Times New Roman"/>
        </w:rPr>
        <w:t>"context" in Art</w:t>
      </w:r>
      <w:r w:rsidR="00202F30" w:rsidRPr="00842E68">
        <w:rPr>
          <w:rFonts w:ascii="Times New Roman" w:hAnsi="Times New Roman"/>
        </w:rPr>
        <w:t> </w:t>
      </w:r>
      <w:r w:rsidR="00EC25A9" w:rsidRPr="00842E68">
        <w:rPr>
          <w:rFonts w:ascii="Times New Roman" w:hAnsi="Times New Roman"/>
        </w:rPr>
        <w:t xml:space="preserve">31(1) from the </w:t>
      </w:r>
      <w:r w:rsidR="00A87107" w:rsidRPr="00842E68">
        <w:rPr>
          <w:rFonts w:ascii="Times New Roman" w:hAnsi="Times New Roman"/>
        </w:rPr>
        <w:t xml:space="preserve">broad range of materials which can be considered as part of the </w:t>
      </w:r>
      <w:r w:rsidR="00EC25A9" w:rsidRPr="00842E68">
        <w:rPr>
          <w:rFonts w:ascii="Times New Roman" w:hAnsi="Times New Roman"/>
        </w:rPr>
        <w:t>"</w:t>
      </w:r>
      <w:r w:rsidR="00103424" w:rsidRPr="00842E68">
        <w:rPr>
          <w:rFonts w:ascii="Times New Roman" w:hAnsi="Times New Roman"/>
        </w:rPr>
        <w:t>supplementary means</w:t>
      </w:r>
      <w:r w:rsidR="00EC25A9" w:rsidRPr="00842E68">
        <w:rPr>
          <w:rFonts w:ascii="Times New Roman" w:hAnsi="Times New Roman"/>
        </w:rPr>
        <w:t>" of interpretation in Art</w:t>
      </w:r>
      <w:r w:rsidR="003B6728" w:rsidRPr="00842E68">
        <w:rPr>
          <w:rFonts w:ascii="Times New Roman" w:hAnsi="Times New Roman"/>
        </w:rPr>
        <w:t> </w:t>
      </w:r>
      <w:r w:rsidR="00EC25A9" w:rsidRPr="00842E68">
        <w:rPr>
          <w:rFonts w:ascii="Times New Roman" w:hAnsi="Times New Roman"/>
        </w:rPr>
        <w:t>32</w:t>
      </w:r>
      <w:r w:rsidR="00103424" w:rsidRPr="00842E68">
        <w:rPr>
          <w:rFonts w:ascii="Times New Roman" w:hAnsi="Times New Roman"/>
        </w:rPr>
        <w:t>.</w:t>
      </w:r>
    </w:p>
    <w:p w14:paraId="5631ED74" w14:textId="5B9DAF77" w:rsidR="00DC3DA3" w:rsidRPr="00842E68" w:rsidRDefault="00ED1601"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F30A4B" w:rsidRPr="00842E68">
        <w:rPr>
          <w:rFonts w:ascii="Times New Roman" w:hAnsi="Times New Roman"/>
        </w:rPr>
        <w:t>Art</w:t>
      </w:r>
      <w:r w:rsidR="007146D8" w:rsidRPr="00842E68">
        <w:rPr>
          <w:rFonts w:ascii="Times New Roman" w:hAnsi="Times New Roman"/>
        </w:rPr>
        <w:t>icle</w:t>
      </w:r>
      <w:r w:rsidR="00F30A4B" w:rsidRPr="00842E68">
        <w:rPr>
          <w:rFonts w:ascii="Times New Roman" w:hAnsi="Times New Roman"/>
        </w:rPr>
        <w:t xml:space="preserve"> 32 permits resort to "supplementary means of interpretation, including the preparatory work of the treaty and the circumstances of its conclusion", to confirm the meaning </w:t>
      </w:r>
      <w:r w:rsidR="006E0767" w:rsidRPr="00842E68">
        <w:rPr>
          <w:rFonts w:ascii="Times New Roman" w:hAnsi="Times New Roman"/>
        </w:rPr>
        <w:t xml:space="preserve">of the provision </w:t>
      </w:r>
      <w:r w:rsidR="00F30A4B" w:rsidRPr="00842E68">
        <w:rPr>
          <w:rFonts w:ascii="Times New Roman" w:hAnsi="Times New Roman"/>
        </w:rPr>
        <w:t>arising from the application of Art</w:t>
      </w:r>
      <w:r w:rsidR="008D5C55" w:rsidRPr="00842E68">
        <w:rPr>
          <w:rFonts w:ascii="Times New Roman" w:hAnsi="Times New Roman"/>
        </w:rPr>
        <w:t> </w:t>
      </w:r>
      <w:r w:rsidR="00F30A4B" w:rsidRPr="00842E68">
        <w:rPr>
          <w:rFonts w:ascii="Times New Roman" w:hAnsi="Times New Roman"/>
        </w:rPr>
        <w:t>31</w:t>
      </w:r>
      <w:r w:rsidR="00032301" w:rsidRPr="00842E68">
        <w:rPr>
          <w:rFonts w:ascii="Times New Roman" w:hAnsi="Times New Roman"/>
        </w:rPr>
        <w:t>,</w:t>
      </w:r>
      <w:r w:rsidR="00F30A4B" w:rsidRPr="00842E68">
        <w:rPr>
          <w:rFonts w:ascii="Times New Roman" w:hAnsi="Times New Roman"/>
        </w:rPr>
        <w:t xml:space="preserve"> or to determine the meaning</w:t>
      </w:r>
      <w:r w:rsidR="006E0767" w:rsidRPr="00842E68">
        <w:rPr>
          <w:rFonts w:ascii="Times New Roman" w:hAnsi="Times New Roman"/>
        </w:rPr>
        <w:t xml:space="preserve"> of the provision</w:t>
      </w:r>
      <w:r w:rsidR="00F30A4B" w:rsidRPr="00842E68">
        <w:rPr>
          <w:rFonts w:ascii="Times New Roman" w:hAnsi="Times New Roman"/>
        </w:rPr>
        <w:t xml:space="preserve"> if that meaning is ambiguous (including latent ambiguity) or obscure or "</w:t>
      </w:r>
      <w:r w:rsidR="003807C1" w:rsidRPr="00842E68">
        <w:rPr>
          <w:rFonts w:ascii="Times New Roman" w:hAnsi="Times New Roman"/>
        </w:rPr>
        <w:t>[</w:t>
      </w:r>
      <w:r w:rsidR="00F30A4B" w:rsidRPr="00842E68">
        <w:rPr>
          <w:rFonts w:ascii="Times New Roman" w:hAnsi="Times New Roman"/>
        </w:rPr>
        <w:t>l</w:t>
      </w:r>
      <w:r w:rsidR="003807C1" w:rsidRPr="00842E68">
        <w:rPr>
          <w:rFonts w:ascii="Times New Roman" w:hAnsi="Times New Roman"/>
        </w:rPr>
        <w:t>]</w:t>
      </w:r>
      <w:proofErr w:type="spellStart"/>
      <w:r w:rsidR="00F30A4B" w:rsidRPr="00842E68">
        <w:rPr>
          <w:rFonts w:ascii="Times New Roman" w:hAnsi="Times New Roman"/>
        </w:rPr>
        <w:t>eads</w:t>
      </w:r>
      <w:proofErr w:type="spellEnd"/>
      <w:r w:rsidR="00F30A4B" w:rsidRPr="00842E68">
        <w:rPr>
          <w:rFonts w:ascii="Times New Roman" w:hAnsi="Times New Roman"/>
        </w:rPr>
        <w:t xml:space="preserve"> to a result which is manifestly absurd or unreasonable". The distinction</w:t>
      </w:r>
      <w:r w:rsidR="00CA67C2" w:rsidRPr="00842E68">
        <w:rPr>
          <w:rFonts w:ascii="Times New Roman" w:hAnsi="Times New Roman"/>
        </w:rPr>
        <w:t xml:space="preserve"> in Art</w:t>
      </w:r>
      <w:r w:rsidR="00B34D76" w:rsidRPr="00842E68">
        <w:rPr>
          <w:rFonts w:ascii="Times New Roman" w:hAnsi="Times New Roman"/>
        </w:rPr>
        <w:t> </w:t>
      </w:r>
      <w:r w:rsidR="00CA67C2" w:rsidRPr="00842E68">
        <w:rPr>
          <w:rFonts w:ascii="Times New Roman" w:hAnsi="Times New Roman"/>
        </w:rPr>
        <w:t>32</w:t>
      </w:r>
      <w:r w:rsidR="00F30A4B" w:rsidRPr="00842E68">
        <w:rPr>
          <w:rFonts w:ascii="Times New Roman" w:hAnsi="Times New Roman"/>
        </w:rPr>
        <w:t xml:space="preserve"> between confirming a meaning and determining a meaning was not intended to be, and has not been, applied rigidly</w:t>
      </w:r>
      <w:r w:rsidR="00AC7C64" w:rsidRPr="00842E68">
        <w:rPr>
          <w:rFonts w:ascii="Times New Roman" w:hAnsi="Times New Roman"/>
        </w:rPr>
        <w:t xml:space="preserve"> or independently of the considerations of</w:t>
      </w:r>
      <w:r w:rsidR="00A62DD8" w:rsidRPr="00842E68">
        <w:rPr>
          <w:rFonts w:ascii="Times New Roman" w:hAnsi="Times New Roman"/>
        </w:rPr>
        <w:t xml:space="preserve"> context,</w:t>
      </w:r>
      <w:r w:rsidR="00AC7C64" w:rsidRPr="00842E68">
        <w:rPr>
          <w:rFonts w:ascii="Times New Roman" w:hAnsi="Times New Roman"/>
        </w:rPr>
        <w:t xml:space="preserve"> object</w:t>
      </w:r>
      <w:r w:rsidR="00A62DD8" w:rsidRPr="00842E68">
        <w:rPr>
          <w:rFonts w:ascii="Times New Roman" w:hAnsi="Times New Roman"/>
        </w:rPr>
        <w:t>,</w:t>
      </w:r>
      <w:r w:rsidR="00AC7C64" w:rsidRPr="00842E68">
        <w:rPr>
          <w:rFonts w:ascii="Times New Roman" w:hAnsi="Times New Roman"/>
        </w:rPr>
        <w:t xml:space="preserve"> and purpose in Art</w:t>
      </w:r>
      <w:r w:rsidR="008D5C55" w:rsidRPr="00842E68">
        <w:rPr>
          <w:rFonts w:ascii="Times New Roman" w:hAnsi="Times New Roman"/>
        </w:rPr>
        <w:t> </w:t>
      </w:r>
      <w:r w:rsidR="00AC7C64" w:rsidRPr="00842E68">
        <w:rPr>
          <w:rFonts w:ascii="Times New Roman" w:hAnsi="Times New Roman"/>
        </w:rPr>
        <w:t>31</w:t>
      </w:r>
      <w:r w:rsidR="00F30A4B" w:rsidRPr="00842E68">
        <w:rPr>
          <w:rFonts w:ascii="Times New Roman" w:hAnsi="Times New Roman"/>
        </w:rPr>
        <w:t>.</w:t>
      </w:r>
      <w:r w:rsidR="00F30A4B" w:rsidRPr="00842E68">
        <w:rPr>
          <w:rStyle w:val="FootnoteReference"/>
          <w:rFonts w:ascii="Times New Roman" w:hAnsi="Times New Roman"/>
          <w:sz w:val="24"/>
        </w:rPr>
        <w:footnoteReference w:id="19"/>
      </w:r>
      <w:r w:rsidR="00F30A4B" w:rsidRPr="00842E68">
        <w:rPr>
          <w:rFonts w:ascii="Times New Roman" w:hAnsi="Times New Roman"/>
        </w:rPr>
        <w:t xml:space="preserve"> The intention was one of "frequent and quite normal recourse to </w:t>
      </w:r>
      <w:r w:rsidR="00F30A4B" w:rsidRPr="00842E68">
        <w:rPr>
          <w:rFonts w:ascii="Times New Roman" w:hAnsi="Times New Roman"/>
          <w:i/>
          <w:iCs/>
        </w:rPr>
        <w:t xml:space="preserve">travaux </w:t>
      </w:r>
      <w:proofErr w:type="spellStart"/>
      <w:r w:rsidR="00F30A4B" w:rsidRPr="00842E68">
        <w:rPr>
          <w:rFonts w:ascii="Times New Roman" w:hAnsi="Times New Roman"/>
          <w:i/>
          <w:iCs/>
        </w:rPr>
        <w:t>pr</w:t>
      </w:r>
      <w:r w:rsidR="00857656" w:rsidRPr="00842E68">
        <w:rPr>
          <w:rFonts w:ascii="Times New Roman" w:hAnsi="Times New Roman"/>
          <w:i/>
        </w:rPr>
        <w:t>é</w:t>
      </w:r>
      <w:r w:rsidR="00F30A4B" w:rsidRPr="00842E68">
        <w:rPr>
          <w:rFonts w:ascii="Times New Roman" w:hAnsi="Times New Roman"/>
          <w:i/>
          <w:iCs/>
        </w:rPr>
        <w:t>paratoires</w:t>
      </w:r>
      <w:proofErr w:type="spellEnd"/>
      <w:r w:rsidR="00F30A4B" w:rsidRPr="00842E68">
        <w:rPr>
          <w:rFonts w:ascii="Times New Roman" w:hAnsi="Times New Roman"/>
        </w:rPr>
        <w:t xml:space="preserve"> </w:t>
      </w:r>
      <w:r w:rsidR="00E83578" w:rsidRPr="00842E68">
        <w:rPr>
          <w:rFonts w:ascii="Times New Roman" w:hAnsi="Times New Roman"/>
        </w:rPr>
        <w:t xml:space="preserve">without any too nice regard for the question whether </w:t>
      </w:r>
      <w:r w:rsidR="00E41A43" w:rsidRPr="00842E68">
        <w:rPr>
          <w:rFonts w:ascii="Times New Roman" w:hAnsi="Times New Roman"/>
        </w:rPr>
        <w:t>the text itself is clear".</w:t>
      </w:r>
      <w:r w:rsidR="00E41A43" w:rsidRPr="00842E68">
        <w:rPr>
          <w:rStyle w:val="FootnoteReference"/>
          <w:rFonts w:ascii="Times New Roman" w:hAnsi="Times New Roman"/>
          <w:sz w:val="24"/>
        </w:rPr>
        <w:footnoteReference w:id="20"/>
      </w:r>
      <w:r w:rsidR="00E41A43" w:rsidRPr="00842E68">
        <w:rPr>
          <w:rFonts w:ascii="Times New Roman" w:hAnsi="Times New Roman"/>
        </w:rPr>
        <w:t xml:space="preserve"> </w:t>
      </w:r>
      <w:r w:rsidR="00F30A4B" w:rsidRPr="00842E68">
        <w:rPr>
          <w:rFonts w:ascii="Times New Roman" w:hAnsi="Times New Roman"/>
        </w:rPr>
        <w:t xml:space="preserve"> </w:t>
      </w:r>
    </w:p>
    <w:p w14:paraId="536FFC03" w14:textId="04B27685" w:rsidR="00E43423" w:rsidRPr="00842E68" w:rsidRDefault="00E43423" w:rsidP="00842E68">
      <w:pPr>
        <w:pStyle w:val="HeadingL1"/>
        <w:spacing w:after="260" w:line="280" w:lineRule="exact"/>
        <w:ind w:right="0"/>
        <w:jc w:val="both"/>
        <w:rPr>
          <w:rFonts w:ascii="Times New Roman" w:hAnsi="Times New Roman"/>
        </w:rPr>
      </w:pPr>
      <w:r w:rsidRPr="00842E68">
        <w:rPr>
          <w:rFonts w:ascii="Times New Roman" w:hAnsi="Times New Roman"/>
        </w:rPr>
        <w:lastRenderedPageBreak/>
        <w:t xml:space="preserve">The history </w:t>
      </w:r>
      <w:r w:rsidR="009D6065">
        <w:rPr>
          <w:rFonts w:ascii="Times New Roman" w:hAnsi="Times New Roman"/>
        </w:rPr>
        <w:t>of</w:t>
      </w:r>
      <w:r w:rsidR="00387111">
        <w:rPr>
          <w:rFonts w:ascii="Times New Roman" w:hAnsi="Times New Roman"/>
        </w:rPr>
        <w:t>,</w:t>
      </w:r>
      <w:r w:rsidR="009D6065">
        <w:rPr>
          <w:rFonts w:ascii="Times New Roman" w:hAnsi="Times New Roman"/>
        </w:rPr>
        <w:t xml:space="preserve"> </w:t>
      </w:r>
      <w:r w:rsidRPr="00842E68">
        <w:rPr>
          <w:rFonts w:ascii="Times New Roman" w:hAnsi="Times New Roman"/>
        </w:rPr>
        <w:t>and background to</w:t>
      </w:r>
      <w:r w:rsidR="00387111">
        <w:rPr>
          <w:rFonts w:ascii="Times New Roman" w:hAnsi="Times New Roman"/>
        </w:rPr>
        <w:t>,</w:t>
      </w:r>
      <w:r w:rsidRPr="00842E68">
        <w:rPr>
          <w:rFonts w:ascii="Times New Roman" w:hAnsi="Times New Roman"/>
        </w:rPr>
        <w:t xml:space="preserve"> the Montreal Convention</w:t>
      </w:r>
    </w:p>
    <w:p w14:paraId="039B3E3D" w14:textId="70BECD12" w:rsidR="00DD12D0" w:rsidRPr="00842E68" w:rsidRDefault="00DD12D0" w:rsidP="00842E68">
      <w:pPr>
        <w:pStyle w:val="HeadingL2"/>
        <w:spacing w:after="260" w:line="280" w:lineRule="exact"/>
        <w:ind w:right="0"/>
        <w:jc w:val="both"/>
        <w:rPr>
          <w:rFonts w:ascii="Times New Roman" w:hAnsi="Times New Roman"/>
        </w:rPr>
      </w:pPr>
      <w:r w:rsidRPr="00842E68">
        <w:rPr>
          <w:rFonts w:ascii="Times New Roman" w:hAnsi="Times New Roman"/>
        </w:rPr>
        <w:t>The importance of the history of the Montreal Convention</w:t>
      </w:r>
    </w:p>
    <w:p w14:paraId="4721618F" w14:textId="2688FFA6" w:rsidR="0025119E" w:rsidRPr="00842E68" w:rsidRDefault="0025119E" w:rsidP="00842E68">
      <w:pPr>
        <w:pStyle w:val="FixListStyle"/>
        <w:spacing w:after="260" w:line="280" w:lineRule="exact"/>
        <w:ind w:right="0"/>
        <w:jc w:val="both"/>
        <w:rPr>
          <w:rFonts w:ascii="Times New Roman" w:hAnsi="Times New Roman"/>
        </w:rPr>
      </w:pPr>
      <w:r w:rsidRPr="00842E68">
        <w:rPr>
          <w:rFonts w:ascii="Times New Roman" w:hAnsi="Times New Roman"/>
        </w:rPr>
        <w:tab/>
        <w:t xml:space="preserve">The system </w:t>
      </w:r>
      <w:r w:rsidR="00FC0FA6" w:rsidRPr="00842E68">
        <w:rPr>
          <w:rFonts w:ascii="Times New Roman" w:hAnsi="Times New Roman"/>
        </w:rPr>
        <w:t>involving the</w:t>
      </w:r>
      <w:r w:rsidRPr="00842E68">
        <w:rPr>
          <w:rFonts w:ascii="Times New Roman" w:hAnsi="Times New Roman"/>
        </w:rPr>
        <w:t xml:space="preserve"> </w:t>
      </w:r>
      <w:r w:rsidR="00D54863" w:rsidRPr="00842E68">
        <w:rPr>
          <w:rFonts w:ascii="Times New Roman" w:hAnsi="Times New Roman"/>
        </w:rPr>
        <w:t xml:space="preserve">rules </w:t>
      </w:r>
      <w:r w:rsidR="00BB1666" w:rsidRPr="00842E68">
        <w:rPr>
          <w:rFonts w:ascii="Times New Roman" w:hAnsi="Times New Roman"/>
        </w:rPr>
        <w:t xml:space="preserve">governing </w:t>
      </w:r>
      <w:r w:rsidRPr="00842E68">
        <w:rPr>
          <w:rFonts w:ascii="Times New Roman" w:hAnsi="Times New Roman"/>
        </w:rPr>
        <w:t xml:space="preserve">liability for international air carriers </w:t>
      </w:r>
      <w:r w:rsidR="00FC0FA6" w:rsidRPr="00842E68">
        <w:rPr>
          <w:rFonts w:ascii="Times New Roman" w:hAnsi="Times New Roman"/>
        </w:rPr>
        <w:t xml:space="preserve">and their application </w:t>
      </w:r>
      <w:r w:rsidRPr="00842E68">
        <w:rPr>
          <w:rFonts w:ascii="Times New Roman" w:hAnsi="Times New Roman"/>
        </w:rPr>
        <w:t>has been described as "an unusual hybrid of public international law and private transnational law";</w:t>
      </w:r>
      <w:r w:rsidRPr="00842E68">
        <w:rPr>
          <w:rStyle w:val="FootnoteReference"/>
          <w:rFonts w:ascii="Times New Roman" w:hAnsi="Times New Roman"/>
          <w:sz w:val="24"/>
        </w:rPr>
        <w:footnoteReference w:id="21"/>
      </w:r>
      <w:r w:rsidRPr="00842E68">
        <w:rPr>
          <w:rFonts w:ascii="Times New Roman" w:hAnsi="Times New Roman"/>
        </w:rPr>
        <w:t xml:space="preserve"> </w:t>
      </w:r>
      <w:r w:rsidR="00A130FF" w:rsidRPr="00842E68">
        <w:rPr>
          <w:rFonts w:ascii="Times New Roman" w:hAnsi="Times New Roman"/>
        </w:rPr>
        <w:t xml:space="preserve">the </w:t>
      </w:r>
      <w:r w:rsidRPr="00842E68">
        <w:rPr>
          <w:rFonts w:ascii="Times New Roman" w:hAnsi="Times New Roman"/>
        </w:rPr>
        <w:t xml:space="preserve">rules </w:t>
      </w:r>
      <w:r w:rsidR="00A130FF" w:rsidRPr="00842E68">
        <w:rPr>
          <w:rFonts w:ascii="Times New Roman" w:hAnsi="Times New Roman"/>
        </w:rPr>
        <w:t xml:space="preserve">are </w:t>
      </w:r>
      <w:r w:rsidRPr="00842E68">
        <w:rPr>
          <w:rFonts w:ascii="Times New Roman" w:hAnsi="Times New Roman"/>
        </w:rPr>
        <w:t xml:space="preserve">provided by international </w:t>
      </w:r>
      <w:proofErr w:type="gramStart"/>
      <w:r w:rsidRPr="00842E68">
        <w:rPr>
          <w:rFonts w:ascii="Times New Roman" w:hAnsi="Times New Roman"/>
        </w:rPr>
        <w:t>treaties</w:t>
      </w:r>
      <w:proofErr w:type="gramEnd"/>
      <w:r w:rsidRPr="00842E68">
        <w:rPr>
          <w:rFonts w:ascii="Times New Roman" w:hAnsi="Times New Roman"/>
        </w:rPr>
        <w:t xml:space="preserve"> but disputes </w:t>
      </w:r>
      <w:r w:rsidR="008F495A" w:rsidRPr="00842E68">
        <w:rPr>
          <w:rFonts w:ascii="Times New Roman" w:hAnsi="Times New Roman"/>
        </w:rPr>
        <w:t xml:space="preserve">are </w:t>
      </w:r>
      <w:r w:rsidRPr="00842E68">
        <w:rPr>
          <w:rFonts w:ascii="Times New Roman" w:hAnsi="Times New Roman"/>
        </w:rPr>
        <w:t xml:space="preserve">generally adjudicated by domestic courts. Although this appeal is most directly concerned with provisions of the Montreal Convention, the interpretation of the Montreal Convention requires an understanding of its history and development and particularly its relationship with the Warsaw Convention and the agreements that amended the Warsaw Convention or waived the </w:t>
      </w:r>
      <w:r w:rsidR="009A015D" w:rsidRPr="00842E68">
        <w:rPr>
          <w:rFonts w:ascii="Times New Roman" w:hAnsi="Times New Roman"/>
        </w:rPr>
        <w:t>benefit</w:t>
      </w:r>
      <w:r w:rsidR="007D5B56" w:rsidRPr="00842E68">
        <w:rPr>
          <w:rFonts w:ascii="Times New Roman" w:hAnsi="Times New Roman"/>
        </w:rPr>
        <w:t>s</w:t>
      </w:r>
      <w:r w:rsidR="009A015D" w:rsidRPr="00842E68">
        <w:rPr>
          <w:rFonts w:ascii="Times New Roman" w:hAnsi="Times New Roman"/>
        </w:rPr>
        <w:t xml:space="preserve"> accruing </w:t>
      </w:r>
      <w:r w:rsidR="00783360" w:rsidRPr="00842E68">
        <w:rPr>
          <w:rFonts w:ascii="Times New Roman" w:hAnsi="Times New Roman"/>
        </w:rPr>
        <w:t>to carriers under</w:t>
      </w:r>
      <w:r w:rsidRPr="00842E68">
        <w:rPr>
          <w:rFonts w:ascii="Times New Roman" w:hAnsi="Times New Roman"/>
        </w:rPr>
        <w:t xml:space="preserve"> it.</w:t>
      </w:r>
    </w:p>
    <w:p w14:paraId="565CF49F" w14:textId="7A13C73A" w:rsidR="0025119E" w:rsidRPr="00842E68" w:rsidRDefault="0025119E" w:rsidP="00842E68">
      <w:pPr>
        <w:pStyle w:val="FixListStyle"/>
        <w:spacing w:after="260" w:line="280" w:lineRule="exact"/>
        <w:ind w:right="0"/>
        <w:jc w:val="both"/>
        <w:rPr>
          <w:rFonts w:ascii="Times New Roman" w:hAnsi="Times New Roman"/>
        </w:rPr>
      </w:pPr>
      <w:r w:rsidRPr="00842E68">
        <w:rPr>
          <w:rFonts w:ascii="Times New Roman" w:hAnsi="Times New Roman"/>
        </w:rPr>
        <w:tab/>
        <w:t xml:space="preserve">The </w:t>
      </w:r>
      <w:r w:rsidR="004F1436" w:rsidRPr="00842E68">
        <w:rPr>
          <w:rFonts w:ascii="Times New Roman" w:hAnsi="Times New Roman"/>
        </w:rPr>
        <w:t xml:space="preserve">recitals to the Montreal Convention reveal the </w:t>
      </w:r>
      <w:r w:rsidR="00AF4731" w:rsidRPr="00842E68">
        <w:rPr>
          <w:rFonts w:ascii="Times New Roman" w:hAnsi="Times New Roman"/>
        </w:rPr>
        <w:t>importance to the development and understanding of the Montreal Convention</w:t>
      </w:r>
      <w:r w:rsidRPr="00842E68">
        <w:rPr>
          <w:rFonts w:ascii="Times New Roman" w:hAnsi="Times New Roman"/>
        </w:rPr>
        <w:t xml:space="preserve"> </w:t>
      </w:r>
      <w:r w:rsidR="00791B5E" w:rsidRPr="00842E68">
        <w:rPr>
          <w:rFonts w:ascii="Times New Roman" w:hAnsi="Times New Roman"/>
        </w:rPr>
        <w:t>of</w:t>
      </w:r>
      <w:r w:rsidRPr="00842E68">
        <w:rPr>
          <w:rFonts w:ascii="Times New Roman" w:hAnsi="Times New Roman"/>
        </w:rPr>
        <w:t xml:space="preserve"> the Warsaw Convention and related instruments </w:t>
      </w:r>
      <w:r w:rsidR="00791B5E" w:rsidRPr="00842E68">
        <w:rPr>
          <w:rFonts w:ascii="Times New Roman" w:hAnsi="Times New Roman"/>
        </w:rPr>
        <w:t>("the Warsaw system")</w:t>
      </w:r>
      <w:r w:rsidR="00AF4731" w:rsidRPr="00842E68">
        <w:rPr>
          <w:rFonts w:ascii="Times New Roman" w:hAnsi="Times New Roman"/>
        </w:rPr>
        <w:t xml:space="preserve">. The recitals </w:t>
      </w:r>
      <w:r w:rsidRPr="00842E68">
        <w:rPr>
          <w:rFonts w:ascii="Times New Roman" w:hAnsi="Times New Roman"/>
        </w:rPr>
        <w:t>include recognition of the "significant contribution" of the Warsaw Convention and the "need to modernize and consolidate the Warsaw Convention and related instruments".</w:t>
      </w:r>
      <w:r w:rsidR="00811CAF" w:rsidRPr="00842E68">
        <w:rPr>
          <w:rStyle w:val="FootnoteReference"/>
          <w:rFonts w:ascii="Times New Roman" w:hAnsi="Times New Roman"/>
          <w:sz w:val="24"/>
        </w:rPr>
        <w:footnoteReference w:id="22"/>
      </w:r>
      <w:r w:rsidRPr="00842E68">
        <w:rPr>
          <w:rFonts w:ascii="Times New Roman" w:hAnsi="Times New Roman"/>
        </w:rPr>
        <w:t xml:space="preserve"> It has therefore been consistently reiterated</w:t>
      </w:r>
      <w:r w:rsidR="006D196E" w:rsidRPr="00842E68">
        <w:rPr>
          <w:rFonts w:ascii="Times New Roman" w:hAnsi="Times New Roman"/>
        </w:rPr>
        <w:t xml:space="preserve"> in case law</w:t>
      </w:r>
      <w:r w:rsidRPr="00842E68">
        <w:rPr>
          <w:rFonts w:ascii="Times New Roman" w:hAnsi="Times New Roman"/>
        </w:rPr>
        <w:t>, including by the Court of Appeal in this case,</w:t>
      </w:r>
      <w:r w:rsidRPr="00842E68">
        <w:rPr>
          <w:rStyle w:val="FootnoteReference"/>
          <w:rFonts w:ascii="Times New Roman" w:hAnsi="Times New Roman"/>
          <w:sz w:val="24"/>
        </w:rPr>
        <w:footnoteReference w:id="23"/>
      </w:r>
      <w:r w:rsidRPr="00842E68">
        <w:rPr>
          <w:rFonts w:ascii="Times New Roman" w:hAnsi="Times New Roman"/>
        </w:rPr>
        <w:t xml:space="preserve"> that an understanding of the Warsaw system, including authorities on similar or identical provisions,</w:t>
      </w:r>
      <w:r w:rsidRPr="00842E68">
        <w:rPr>
          <w:rStyle w:val="FootnoteReference"/>
          <w:rFonts w:ascii="Times New Roman" w:hAnsi="Times New Roman"/>
          <w:sz w:val="24"/>
        </w:rPr>
        <w:footnoteReference w:id="24"/>
      </w:r>
      <w:r w:rsidRPr="00842E68">
        <w:rPr>
          <w:rFonts w:ascii="Times New Roman" w:hAnsi="Times New Roman"/>
        </w:rPr>
        <w:t xml:space="preserve"> is necessary to appreciate the meaning of </w:t>
      </w:r>
      <w:r w:rsidR="00A33926" w:rsidRPr="00842E68">
        <w:rPr>
          <w:rFonts w:ascii="Times New Roman" w:hAnsi="Times New Roman"/>
        </w:rPr>
        <w:t>many</w:t>
      </w:r>
      <w:r w:rsidRPr="00842E68">
        <w:rPr>
          <w:rFonts w:ascii="Times New Roman" w:hAnsi="Times New Roman"/>
        </w:rPr>
        <w:t xml:space="preserve"> provisions of the Montreal Convention.</w:t>
      </w:r>
    </w:p>
    <w:p w14:paraId="39901A28" w14:textId="07515600" w:rsidR="00A00002" w:rsidRPr="00842E68" w:rsidRDefault="00A00002" w:rsidP="00842E68">
      <w:pPr>
        <w:pStyle w:val="HeadingL2"/>
        <w:spacing w:after="260" w:line="280" w:lineRule="exact"/>
        <w:ind w:right="0"/>
        <w:jc w:val="both"/>
        <w:rPr>
          <w:rFonts w:ascii="Times New Roman" w:hAnsi="Times New Roman"/>
        </w:rPr>
      </w:pPr>
      <w:r w:rsidRPr="00842E68">
        <w:rPr>
          <w:rFonts w:ascii="Times New Roman" w:hAnsi="Times New Roman"/>
        </w:rPr>
        <w:t xml:space="preserve">The Warsaw </w:t>
      </w:r>
      <w:r w:rsidR="006607DD" w:rsidRPr="00842E68">
        <w:rPr>
          <w:rFonts w:ascii="Times New Roman" w:hAnsi="Times New Roman"/>
        </w:rPr>
        <w:t>system</w:t>
      </w:r>
    </w:p>
    <w:p w14:paraId="2E2EFACF" w14:textId="5645CA93" w:rsidR="008F4EB6" w:rsidRPr="00842E68" w:rsidRDefault="00A00002"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C8180A" w:rsidRPr="00842E68">
        <w:rPr>
          <w:rFonts w:ascii="Times New Roman" w:hAnsi="Times New Roman"/>
        </w:rPr>
        <w:t xml:space="preserve">The </w:t>
      </w:r>
      <w:r w:rsidR="00B95638" w:rsidRPr="00842E68">
        <w:rPr>
          <w:rFonts w:ascii="Times New Roman" w:hAnsi="Times New Roman"/>
        </w:rPr>
        <w:t xml:space="preserve">Warsaw Convention </w:t>
      </w:r>
      <w:r w:rsidR="007B46EE" w:rsidRPr="00842E68">
        <w:rPr>
          <w:rFonts w:ascii="Times New Roman" w:hAnsi="Times New Roman"/>
        </w:rPr>
        <w:t>came into force</w:t>
      </w:r>
      <w:r w:rsidR="00C8180A" w:rsidRPr="00842E68">
        <w:rPr>
          <w:rFonts w:ascii="Times New Roman" w:hAnsi="Times New Roman"/>
        </w:rPr>
        <w:t xml:space="preserve"> in 1933</w:t>
      </w:r>
      <w:r w:rsidR="007B46EE" w:rsidRPr="00842E68">
        <w:rPr>
          <w:rFonts w:ascii="Times New Roman" w:hAnsi="Times New Roman"/>
        </w:rPr>
        <w:t>.</w:t>
      </w:r>
      <w:r w:rsidR="00D878EC" w:rsidRPr="00842E68">
        <w:rPr>
          <w:rStyle w:val="FootnoteReference"/>
          <w:rFonts w:ascii="Times New Roman" w:hAnsi="Times New Roman"/>
          <w:sz w:val="24"/>
        </w:rPr>
        <w:footnoteReference w:id="25"/>
      </w:r>
      <w:r w:rsidR="00C8180A" w:rsidRPr="00842E68">
        <w:rPr>
          <w:rFonts w:ascii="Times New Roman" w:hAnsi="Times New Roman"/>
        </w:rPr>
        <w:t xml:space="preserve"> It had been the produc</w:t>
      </w:r>
      <w:r w:rsidR="008F6A3C" w:rsidRPr="00842E68">
        <w:rPr>
          <w:rFonts w:ascii="Times New Roman" w:hAnsi="Times New Roman"/>
        </w:rPr>
        <w:t>t</w:t>
      </w:r>
      <w:r w:rsidR="00C8180A" w:rsidRPr="00842E68">
        <w:rPr>
          <w:rFonts w:ascii="Times New Roman" w:hAnsi="Times New Roman"/>
        </w:rPr>
        <w:t xml:space="preserve"> of a decade of international discussion and negotiation, meticulously </w:t>
      </w:r>
      <w:r w:rsidR="004F1747" w:rsidRPr="00842E68">
        <w:rPr>
          <w:rFonts w:ascii="Times New Roman" w:hAnsi="Times New Roman"/>
        </w:rPr>
        <w:t xml:space="preserve">set out </w:t>
      </w:r>
      <w:r w:rsidR="00C8180A" w:rsidRPr="00842E68">
        <w:rPr>
          <w:rFonts w:ascii="Times New Roman" w:hAnsi="Times New Roman"/>
        </w:rPr>
        <w:t xml:space="preserve">by </w:t>
      </w:r>
      <w:r w:rsidR="00C8180A" w:rsidRPr="00842E68">
        <w:rPr>
          <w:rFonts w:ascii="Times New Roman" w:hAnsi="Times New Roman"/>
        </w:rPr>
        <w:lastRenderedPageBreak/>
        <w:t>Lord</w:t>
      </w:r>
      <w:r w:rsidR="00C5099B" w:rsidRPr="00842E68">
        <w:rPr>
          <w:rFonts w:ascii="Times New Roman" w:hAnsi="Times New Roman"/>
        </w:rPr>
        <w:t> </w:t>
      </w:r>
      <w:r w:rsidR="00C8180A" w:rsidRPr="00842E68">
        <w:rPr>
          <w:rFonts w:ascii="Times New Roman" w:hAnsi="Times New Roman"/>
        </w:rPr>
        <w:t xml:space="preserve">Reed in </w:t>
      </w:r>
      <w:r w:rsidR="00C8180A" w:rsidRPr="00842E68">
        <w:rPr>
          <w:rFonts w:ascii="Times New Roman" w:hAnsi="Times New Roman"/>
          <w:i/>
          <w:iCs/>
        </w:rPr>
        <w:t>King v Bristow Helicopters</w:t>
      </w:r>
      <w:r w:rsidR="00CE0FC2" w:rsidRPr="00842E68">
        <w:rPr>
          <w:rFonts w:ascii="Times New Roman" w:hAnsi="Times New Roman"/>
          <w:i/>
          <w:iCs/>
        </w:rPr>
        <w:t xml:space="preserve"> Ltd</w:t>
      </w:r>
      <w:r w:rsidR="00C8180A" w:rsidRPr="00842E68">
        <w:rPr>
          <w:rFonts w:ascii="Times New Roman" w:hAnsi="Times New Roman"/>
        </w:rPr>
        <w:t>.</w:t>
      </w:r>
      <w:r w:rsidR="00C8180A" w:rsidRPr="00842E68">
        <w:rPr>
          <w:rStyle w:val="FootnoteReference"/>
          <w:rFonts w:ascii="Times New Roman" w:hAnsi="Times New Roman"/>
          <w:sz w:val="24"/>
        </w:rPr>
        <w:footnoteReference w:id="26"/>
      </w:r>
      <w:r w:rsidR="00C8180A" w:rsidRPr="00842E68">
        <w:rPr>
          <w:rFonts w:ascii="Times New Roman" w:hAnsi="Times New Roman"/>
        </w:rPr>
        <w:t xml:space="preserve"> </w:t>
      </w:r>
      <w:r w:rsidR="00BC498A" w:rsidRPr="00842E68">
        <w:rPr>
          <w:rFonts w:ascii="Times New Roman" w:hAnsi="Times New Roman"/>
        </w:rPr>
        <w:t>For 70 years th</w:t>
      </w:r>
      <w:r w:rsidR="00D45D8D" w:rsidRPr="00842E68">
        <w:rPr>
          <w:rFonts w:ascii="Times New Roman" w:hAnsi="Times New Roman"/>
        </w:rPr>
        <w:t>e Warsaw</w:t>
      </w:r>
      <w:r w:rsidR="00BC498A" w:rsidRPr="00842E68">
        <w:rPr>
          <w:rFonts w:ascii="Times New Roman" w:hAnsi="Times New Roman"/>
        </w:rPr>
        <w:t xml:space="preserve"> </w:t>
      </w:r>
      <w:r w:rsidR="00D45D8D" w:rsidRPr="00842E68">
        <w:rPr>
          <w:rFonts w:ascii="Times New Roman" w:hAnsi="Times New Roman"/>
        </w:rPr>
        <w:t>C</w:t>
      </w:r>
      <w:r w:rsidR="00BC498A" w:rsidRPr="00842E68">
        <w:rPr>
          <w:rFonts w:ascii="Times New Roman" w:hAnsi="Times New Roman"/>
        </w:rPr>
        <w:t>onvention</w:t>
      </w:r>
      <w:r w:rsidR="00A60D0E" w:rsidRPr="00842E68">
        <w:rPr>
          <w:rFonts w:ascii="Times New Roman" w:hAnsi="Times New Roman"/>
        </w:rPr>
        <w:t xml:space="preserve">, as modified by various </w:t>
      </w:r>
      <w:r w:rsidR="0013351E" w:rsidRPr="00842E68">
        <w:rPr>
          <w:rFonts w:ascii="Times New Roman" w:hAnsi="Times New Roman"/>
        </w:rPr>
        <w:t>instruments,</w:t>
      </w:r>
      <w:r w:rsidR="00BC498A" w:rsidRPr="00842E68">
        <w:rPr>
          <w:rFonts w:ascii="Times New Roman" w:hAnsi="Times New Roman"/>
        </w:rPr>
        <w:t xml:space="preserve"> governed "virtually all international carriage of passengers, baggage and cargo throughout the </w:t>
      </w:r>
      <w:r w:rsidR="00B10B53" w:rsidRPr="00842E68">
        <w:rPr>
          <w:rFonts w:ascii="Times New Roman" w:hAnsi="Times New Roman"/>
        </w:rPr>
        <w:t>world and, thanks to voluntary adoption by States, also much of their domestic carriage".</w:t>
      </w:r>
      <w:r w:rsidR="00D66A3F" w:rsidRPr="00842E68">
        <w:rPr>
          <w:rStyle w:val="FootnoteReference"/>
          <w:rFonts w:ascii="Times New Roman" w:hAnsi="Times New Roman"/>
          <w:sz w:val="24"/>
        </w:rPr>
        <w:footnoteReference w:id="27"/>
      </w:r>
      <w:r w:rsidR="008F4EB6" w:rsidRPr="00842E68">
        <w:rPr>
          <w:rFonts w:ascii="Times New Roman" w:hAnsi="Times New Roman"/>
        </w:rPr>
        <w:t xml:space="preserve"> </w:t>
      </w:r>
    </w:p>
    <w:p w14:paraId="3772309C" w14:textId="02D79C24" w:rsidR="00A7357D" w:rsidRPr="00842E68" w:rsidRDefault="008F4EB6" w:rsidP="00842E68">
      <w:pPr>
        <w:pStyle w:val="FixListStyle"/>
        <w:spacing w:after="260" w:line="280" w:lineRule="exact"/>
        <w:ind w:right="0"/>
        <w:jc w:val="both"/>
        <w:rPr>
          <w:rFonts w:ascii="Times New Roman" w:hAnsi="Times New Roman"/>
        </w:rPr>
      </w:pPr>
      <w:r w:rsidRPr="00842E68">
        <w:rPr>
          <w:rFonts w:ascii="Times New Roman" w:hAnsi="Times New Roman"/>
        </w:rPr>
        <w:tab/>
        <w:t>The "main feature"</w:t>
      </w:r>
      <w:r w:rsidRPr="00842E68">
        <w:rPr>
          <w:rStyle w:val="FootnoteReference"/>
          <w:rFonts w:ascii="Times New Roman" w:hAnsi="Times New Roman"/>
          <w:sz w:val="24"/>
        </w:rPr>
        <w:footnoteReference w:id="28"/>
      </w:r>
      <w:r w:rsidRPr="00842E68">
        <w:rPr>
          <w:rFonts w:ascii="Times New Roman" w:hAnsi="Times New Roman"/>
        </w:rPr>
        <w:t xml:space="preserve"> of the Warsaw Convention</w:t>
      </w:r>
      <w:r w:rsidR="00E14080" w:rsidRPr="00842E68">
        <w:rPr>
          <w:rFonts w:ascii="Times New Roman" w:hAnsi="Times New Roman"/>
        </w:rPr>
        <w:t xml:space="preserve"> </w:t>
      </w:r>
      <w:r w:rsidR="009A0447" w:rsidRPr="00842E68">
        <w:rPr>
          <w:rFonts w:ascii="Times New Roman" w:hAnsi="Times New Roman"/>
        </w:rPr>
        <w:t>was</w:t>
      </w:r>
      <w:r w:rsidRPr="00842E68">
        <w:rPr>
          <w:rFonts w:ascii="Times New Roman" w:hAnsi="Times New Roman"/>
        </w:rPr>
        <w:t xml:space="preserve"> Arts</w:t>
      </w:r>
      <w:r w:rsidR="00D60562" w:rsidRPr="00842E68">
        <w:rPr>
          <w:rFonts w:ascii="Times New Roman" w:hAnsi="Times New Roman"/>
        </w:rPr>
        <w:t> </w:t>
      </w:r>
      <w:r w:rsidRPr="00842E68">
        <w:rPr>
          <w:rFonts w:ascii="Times New Roman" w:hAnsi="Times New Roman"/>
        </w:rPr>
        <w:t>17 and 22(1) which</w:t>
      </w:r>
      <w:r w:rsidR="009A0447" w:rsidRPr="00842E68">
        <w:rPr>
          <w:rFonts w:ascii="Times New Roman" w:hAnsi="Times New Roman"/>
        </w:rPr>
        <w:t>, together with other provisions</w:t>
      </w:r>
      <w:r w:rsidRPr="00842E68">
        <w:rPr>
          <w:rFonts w:ascii="Times New Roman" w:hAnsi="Times New Roman"/>
        </w:rPr>
        <w:t>: (</w:t>
      </w:r>
      <w:proofErr w:type="spellStart"/>
      <w:r w:rsidRPr="00842E68">
        <w:rPr>
          <w:rFonts w:ascii="Times New Roman" w:hAnsi="Times New Roman"/>
        </w:rPr>
        <w:t>i</w:t>
      </w:r>
      <w:proofErr w:type="spellEnd"/>
      <w:r w:rsidRPr="00842E68">
        <w:rPr>
          <w:rFonts w:ascii="Times New Roman" w:hAnsi="Times New Roman"/>
        </w:rPr>
        <w:t>)</w:t>
      </w:r>
      <w:r w:rsidR="00D60562" w:rsidRPr="00842E68">
        <w:rPr>
          <w:rFonts w:ascii="Times New Roman" w:hAnsi="Times New Roman"/>
        </w:rPr>
        <w:t> </w:t>
      </w:r>
      <w:r w:rsidR="004C1941" w:rsidRPr="00842E68">
        <w:rPr>
          <w:rFonts w:ascii="Times New Roman" w:hAnsi="Times New Roman"/>
        </w:rPr>
        <w:t>create</w:t>
      </w:r>
      <w:r w:rsidRPr="00842E68">
        <w:rPr>
          <w:rFonts w:ascii="Times New Roman" w:hAnsi="Times New Roman"/>
        </w:rPr>
        <w:t>d</w:t>
      </w:r>
      <w:r w:rsidR="004C1941" w:rsidRPr="00842E68">
        <w:rPr>
          <w:rFonts w:ascii="Times New Roman" w:hAnsi="Times New Roman"/>
        </w:rPr>
        <w:t xml:space="preserve"> an exclusive regime for damages for personal injury or deat</w:t>
      </w:r>
      <w:r w:rsidR="00F021A2" w:rsidRPr="00842E68">
        <w:rPr>
          <w:rFonts w:ascii="Times New Roman" w:hAnsi="Times New Roman"/>
        </w:rPr>
        <w:t>h</w:t>
      </w:r>
      <w:r w:rsidR="004C1941" w:rsidRPr="00842E68">
        <w:rPr>
          <w:rFonts w:ascii="Times New Roman" w:hAnsi="Times New Roman"/>
        </w:rPr>
        <w:t xml:space="preserve"> "if the accident which caused the damage so sustained took place on board the aircraft or in the course of any of the operations of embarking or disembarking"</w:t>
      </w:r>
      <w:r w:rsidR="00BC33CE">
        <w:rPr>
          <w:rFonts w:ascii="Times New Roman" w:hAnsi="Times New Roman"/>
        </w:rPr>
        <w:t>;</w:t>
      </w:r>
      <w:r w:rsidR="004C1941" w:rsidRPr="00842E68">
        <w:rPr>
          <w:rStyle w:val="FootnoteReference"/>
          <w:rFonts w:ascii="Times New Roman" w:hAnsi="Times New Roman"/>
          <w:sz w:val="24"/>
        </w:rPr>
        <w:footnoteReference w:id="29"/>
      </w:r>
      <w:r w:rsidRPr="00842E68">
        <w:rPr>
          <w:rFonts w:ascii="Times New Roman" w:hAnsi="Times New Roman"/>
        </w:rPr>
        <w:t xml:space="preserve"> (ii)</w:t>
      </w:r>
      <w:r w:rsidR="00D60562" w:rsidRPr="00842E68">
        <w:rPr>
          <w:rFonts w:ascii="Times New Roman" w:hAnsi="Times New Roman"/>
        </w:rPr>
        <w:t> </w:t>
      </w:r>
      <w:r w:rsidR="003A4BA1" w:rsidRPr="00842E68">
        <w:rPr>
          <w:rFonts w:ascii="Times New Roman" w:hAnsi="Times New Roman"/>
        </w:rPr>
        <w:t>provided a defence if the carrier prove</w:t>
      </w:r>
      <w:r w:rsidR="00011976" w:rsidRPr="00842E68">
        <w:rPr>
          <w:rFonts w:ascii="Times New Roman" w:hAnsi="Times New Roman"/>
        </w:rPr>
        <w:t>d</w:t>
      </w:r>
      <w:r w:rsidR="003A4BA1" w:rsidRPr="00842E68">
        <w:rPr>
          <w:rFonts w:ascii="Times New Roman" w:hAnsi="Times New Roman"/>
        </w:rPr>
        <w:t xml:space="preserve"> that the carrier and its "agents </w:t>
      </w:r>
      <w:r w:rsidR="0060719B" w:rsidRPr="00842E68">
        <w:rPr>
          <w:rFonts w:ascii="Times New Roman" w:hAnsi="Times New Roman"/>
        </w:rPr>
        <w:t>[had]</w:t>
      </w:r>
      <w:r w:rsidR="003A4BA1" w:rsidRPr="00842E68">
        <w:rPr>
          <w:rFonts w:ascii="Times New Roman" w:hAnsi="Times New Roman"/>
        </w:rPr>
        <w:t xml:space="preserve"> taken all necessary measures to avoid the damage or that it was impossible ... to take such measures";</w:t>
      </w:r>
      <w:r w:rsidR="003A4BA1" w:rsidRPr="00842E68">
        <w:rPr>
          <w:rStyle w:val="FootnoteReference"/>
          <w:rFonts w:ascii="Times New Roman" w:hAnsi="Times New Roman"/>
          <w:sz w:val="24"/>
        </w:rPr>
        <w:footnoteReference w:id="30"/>
      </w:r>
      <w:r w:rsidR="003A4BA1" w:rsidRPr="00842E68">
        <w:rPr>
          <w:rFonts w:ascii="Times New Roman" w:hAnsi="Times New Roman"/>
        </w:rPr>
        <w:t xml:space="preserve"> </w:t>
      </w:r>
      <w:r w:rsidR="0031117C">
        <w:rPr>
          <w:rFonts w:ascii="Times New Roman" w:hAnsi="Times New Roman"/>
        </w:rPr>
        <w:t xml:space="preserve">and </w:t>
      </w:r>
      <w:r w:rsidR="003A4BA1" w:rsidRPr="00842E68">
        <w:rPr>
          <w:rFonts w:ascii="Times New Roman" w:hAnsi="Times New Roman"/>
        </w:rPr>
        <w:t>(iii)</w:t>
      </w:r>
      <w:r w:rsidR="00D60562" w:rsidRPr="00842E68">
        <w:rPr>
          <w:rFonts w:ascii="Times New Roman" w:hAnsi="Times New Roman"/>
        </w:rPr>
        <w:t> </w:t>
      </w:r>
      <w:r w:rsidRPr="00842E68">
        <w:rPr>
          <w:rFonts w:ascii="Times New Roman" w:hAnsi="Times New Roman"/>
        </w:rPr>
        <w:t>provided, subject to</w:t>
      </w:r>
      <w:r w:rsidR="00BC49A2" w:rsidRPr="00842E68">
        <w:rPr>
          <w:rFonts w:ascii="Times New Roman" w:hAnsi="Times New Roman"/>
        </w:rPr>
        <w:t xml:space="preserve"> the carrier</w:t>
      </w:r>
      <w:r w:rsidR="008E41E4" w:rsidRPr="00842E68">
        <w:rPr>
          <w:rFonts w:ascii="Times New Roman" w:hAnsi="Times New Roman"/>
        </w:rPr>
        <w:t xml:space="preserve"> and its agents'</w:t>
      </w:r>
      <w:r w:rsidRPr="00842E68">
        <w:rPr>
          <w:rFonts w:ascii="Times New Roman" w:hAnsi="Times New Roman"/>
        </w:rPr>
        <w:t xml:space="preserve"> wilful misconduct</w:t>
      </w:r>
      <w:r w:rsidR="00DC51EB" w:rsidRPr="00842E68">
        <w:rPr>
          <w:rStyle w:val="FootnoteReference"/>
          <w:rFonts w:ascii="Times New Roman" w:hAnsi="Times New Roman"/>
          <w:sz w:val="24"/>
        </w:rPr>
        <w:footnoteReference w:id="31"/>
      </w:r>
      <w:r w:rsidR="00DC51EB" w:rsidRPr="00842E68">
        <w:rPr>
          <w:rFonts w:ascii="Times New Roman" w:hAnsi="Times New Roman"/>
        </w:rPr>
        <w:t xml:space="preserve"> and other infringements</w:t>
      </w:r>
      <w:r w:rsidRPr="00842E68">
        <w:rPr>
          <w:rFonts w:ascii="Times New Roman" w:hAnsi="Times New Roman"/>
        </w:rPr>
        <w:t>,</w:t>
      </w:r>
      <w:r w:rsidRPr="00842E68">
        <w:rPr>
          <w:rStyle w:val="FootnoteReference"/>
          <w:rFonts w:ascii="Times New Roman" w:hAnsi="Times New Roman"/>
          <w:sz w:val="24"/>
        </w:rPr>
        <w:footnoteReference w:id="32"/>
      </w:r>
      <w:r w:rsidRPr="00842E68">
        <w:rPr>
          <w:rFonts w:ascii="Times New Roman" w:hAnsi="Times New Roman"/>
        </w:rPr>
        <w:t xml:space="preserve"> </w:t>
      </w:r>
      <w:r w:rsidR="003A4BA1" w:rsidRPr="00842E68">
        <w:rPr>
          <w:rFonts w:ascii="Times New Roman" w:hAnsi="Times New Roman"/>
        </w:rPr>
        <w:t xml:space="preserve">a </w:t>
      </w:r>
      <w:r w:rsidRPr="00842E68">
        <w:rPr>
          <w:rFonts w:ascii="Times New Roman" w:hAnsi="Times New Roman"/>
        </w:rPr>
        <w:t>limit</w:t>
      </w:r>
      <w:r w:rsidR="003A4BA1" w:rsidRPr="00842E68">
        <w:rPr>
          <w:rFonts w:ascii="Times New Roman" w:hAnsi="Times New Roman"/>
        </w:rPr>
        <w:t xml:space="preserve"> to</w:t>
      </w:r>
      <w:r w:rsidRPr="00842E68">
        <w:rPr>
          <w:rFonts w:ascii="Times New Roman" w:hAnsi="Times New Roman"/>
        </w:rPr>
        <w:t xml:space="preserve"> the liability of the carrier </w:t>
      </w:r>
      <w:r w:rsidR="00702E74">
        <w:rPr>
          <w:rFonts w:ascii="Times New Roman" w:hAnsi="Times New Roman"/>
        </w:rPr>
        <w:t>of</w:t>
      </w:r>
      <w:r w:rsidR="00702E74" w:rsidRPr="00842E68">
        <w:rPr>
          <w:rFonts w:ascii="Times New Roman" w:hAnsi="Times New Roman"/>
        </w:rPr>
        <w:t xml:space="preserve"> </w:t>
      </w:r>
      <w:r w:rsidRPr="00842E68">
        <w:rPr>
          <w:rFonts w:ascii="Times New Roman" w:hAnsi="Times New Roman"/>
        </w:rPr>
        <w:t>125,000</w:t>
      </w:r>
      <w:r w:rsidR="00351F7F" w:rsidRPr="00842E68">
        <w:rPr>
          <w:rFonts w:ascii="Times New Roman" w:hAnsi="Times New Roman"/>
        </w:rPr>
        <w:t xml:space="preserve"> </w:t>
      </w:r>
      <w:r w:rsidR="004B16ED" w:rsidRPr="00842E68">
        <w:rPr>
          <w:rFonts w:ascii="Times New Roman" w:hAnsi="Times New Roman"/>
        </w:rPr>
        <w:t xml:space="preserve">French or </w:t>
      </w:r>
      <w:r w:rsidR="00446319" w:rsidRPr="00842E68">
        <w:rPr>
          <w:rFonts w:ascii="Times New Roman" w:hAnsi="Times New Roman"/>
        </w:rPr>
        <w:t>"</w:t>
      </w:r>
      <w:proofErr w:type="spellStart"/>
      <w:r w:rsidR="00446319" w:rsidRPr="00842E68">
        <w:rPr>
          <w:rFonts w:ascii="Times New Roman" w:hAnsi="Times New Roman"/>
        </w:rPr>
        <w:t>Poincar</w:t>
      </w:r>
      <w:r w:rsidR="008A54E9" w:rsidRPr="00842E68">
        <w:rPr>
          <w:rFonts w:ascii="Times New Roman" w:hAnsi="Times New Roman"/>
        </w:rPr>
        <w:t>é</w:t>
      </w:r>
      <w:proofErr w:type="spellEnd"/>
      <w:r w:rsidR="00446319" w:rsidRPr="00842E68">
        <w:rPr>
          <w:rFonts w:ascii="Times New Roman" w:hAnsi="Times New Roman"/>
        </w:rPr>
        <w:t>" gold</w:t>
      </w:r>
      <w:r w:rsidRPr="00842E68">
        <w:rPr>
          <w:rFonts w:ascii="Times New Roman" w:hAnsi="Times New Roman"/>
        </w:rPr>
        <w:t xml:space="preserve"> francs</w:t>
      </w:r>
      <w:r w:rsidR="003A4BA1" w:rsidRPr="00842E68">
        <w:rPr>
          <w:rFonts w:ascii="Times New Roman" w:hAnsi="Times New Roman"/>
        </w:rPr>
        <w:t xml:space="preserve"> (subject to </w:t>
      </w:r>
      <w:r w:rsidR="00793087" w:rsidRPr="00842E68">
        <w:rPr>
          <w:rFonts w:ascii="Times New Roman" w:hAnsi="Times New Roman"/>
        </w:rPr>
        <w:t xml:space="preserve">any </w:t>
      </w:r>
      <w:r w:rsidR="003A4BA1" w:rsidRPr="00842E68">
        <w:rPr>
          <w:rFonts w:ascii="Times New Roman" w:hAnsi="Times New Roman"/>
        </w:rPr>
        <w:t>contractual agreement</w:t>
      </w:r>
      <w:r w:rsidR="00D0109E" w:rsidRPr="00842E68">
        <w:rPr>
          <w:rFonts w:ascii="Times New Roman" w:hAnsi="Times New Roman"/>
        </w:rPr>
        <w:t xml:space="preserve"> be</w:t>
      </w:r>
      <w:r w:rsidR="00E856DE" w:rsidRPr="00842E68">
        <w:rPr>
          <w:rFonts w:ascii="Times New Roman" w:hAnsi="Times New Roman"/>
        </w:rPr>
        <w:t>twe</w:t>
      </w:r>
      <w:r w:rsidR="00D0109E" w:rsidRPr="00842E68">
        <w:rPr>
          <w:rFonts w:ascii="Times New Roman" w:hAnsi="Times New Roman"/>
        </w:rPr>
        <w:t xml:space="preserve">en the carrier and </w:t>
      </w:r>
      <w:r w:rsidR="00E856DE" w:rsidRPr="00842E68">
        <w:rPr>
          <w:rFonts w:ascii="Times New Roman" w:hAnsi="Times New Roman"/>
        </w:rPr>
        <w:t>passenger</w:t>
      </w:r>
      <w:r w:rsidR="003A4BA1" w:rsidRPr="00842E68">
        <w:rPr>
          <w:rFonts w:ascii="Times New Roman" w:hAnsi="Times New Roman"/>
        </w:rPr>
        <w:t xml:space="preserve"> for a higher limit)</w:t>
      </w:r>
      <w:r w:rsidR="008A1C70" w:rsidRPr="00842E68">
        <w:rPr>
          <w:rFonts w:ascii="Times New Roman" w:hAnsi="Times New Roman"/>
        </w:rPr>
        <w:t>.</w:t>
      </w:r>
      <w:r w:rsidR="003A4BA1" w:rsidRPr="00842E68">
        <w:rPr>
          <w:rStyle w:val="FootnoteReference"/>
          <w:rFonts w:ascii="Times New Roman" w:hAnsi="Times New Roman"/>
          <w:sz w:val="24"/>
        </w:rPr>
        <w:footnoteReference w:id="33"/>
      </w:r>
      <w:r w:rsidR="00460950" w:rsidRPr="00842E68">
        <w:rPr>
          <w:rFonts w:ascii="Times New Roman" w:hAnsi="Times New Roman"/>
        </w:rPr>
        <w:t xml:space="preserve"> In </w:t>
      </w:r>
      <w:r w:rsidR="00460950" w:rsidRPr="00842E68">
        <w:rPr>
          <w:rFonts w:ascii="Times New Roman" w:hAnsi="Times New Roman"/>
        </w:rPr>
        <w:lastRenderedPageBreak/>
        <w:t xml:space="preserve">1933, 125,000 </w:t>
      </w:r>
      <w:proofErr w:type="spellStart"/>
      <w:r w:rsidR="00890925" w:rsidRPr="00842E68">
        <w:rPr>
          <w:rFonts w:ascii="Times New Roman" w:hAnsi="Times New Roman"/>
        </w:rPr>
        <w:t>Poincar</w:t>
      </w:r>
      <w:r w:rsidR="009E1550" w:rsidRPr="00842E68">
        <w:rPr>
          <w:rFonts w:ascii="Times New Roman" w:hAnsi="Times New Roman"/>
        </w:rPr>
        <w:t>é</w:t>
      </w:r>
      <w:proofErr w:type="spellEnd"/>
      <w:r w:rsidR="00890925" w:rsidRPr="00842E68">
        <w:rPr>
          <w:rFonts w:ascii="Times New Roman" w:hAnsi="Times New Roman"/>
        </w:rPr>
        <w:t xml:space="preserve"> gold </w:t>
      </w:r>
      <w:r w:rsidR="00460950" w:rsidRPr="00842E68">
        <w:rPr>
          <w:rFonts w:ascii="Times New Roman" w:hAnsi="Times New Roman"/>
        </w:rPr>
        <w:t>francs</w:t>
      </w:r>
      <w:r w:rsidR="00890925" w:rsidRPr="00842E68">
        <w:rPr>
          <w:rFonts w:ascii="Times New Roman" w:hAnsi="Times New Roman"/>
        </w:rPr>
        <w:t xml:space="preserve"> was </w:t>
      </w:r>
      <w:r w:rsidR="00460950" w:rsidRPr="00842E68">
        <w:rPr>
          <w:rFonts w:ascii="Times New Roman" w:hAnsi="Times New Roman"/>
        </w:rPr>
        <w:t xml:space="preserve">a "modest" amount of approximately </w:t>
      </w:r>
      <w:r w:rsidR="00263C31" w:rsidRPr="00842E68">
        <w:rPr>
          <w:rFonts w:ascii="Times New Roman" w:hAnsi="Times New Roman"/>
        </w:rPr>
        <w:t>US</w:t>
      </w:r>
      <w:r w:rsidR="00460950" w:rsidRPr="00842E68">
        <w:rPr>
          <w:rFonts w:ascii="Times New Roman" w:hAnsi="Times New Roman"/>
        </w:rPr>
        <w:t>$8,300.</w:t>
      </w:r>
      <w:r w:rsidR="00460950" w:rsidRPr="00842E68">
        <w:rPr>
          <w:rStyle w:val="FootnoteReference"/>
          <w:rFonts w:ascii="Times New Roman" w:hAnsi="Times New Roman"/>
          <w:sz w:val="24"/>
        </w:rPr>
        <w:footnoteReference w:id="34"/>
      </w:r>
      <w:r w:rsidRPr="00842E68">
        <w:rPr>
          <w:rFonts w:ascii="Times New Roman" w:hAnsi="Times New Roman"/>
        </w:rPr>
        <w:t xml:space="preserve"> </w:t>
      </w:r>
      <w:r w:rsidR="00E05FA8" w:rsidRPr="00842E68">
        <w:rPr>
          <w:rFonts w:ascii="Times New Roman" w:hAnsi="Times New Roman"/>
        </w:rPr>
        <w:t xml:space="preserve"> </w:t>
      </w:r>
    </w:p>
    <w:p w14:paraId="4B4FB0C8" w14:textId="141ACBB4" w:rsidR="00C55D92" w:rsidRPr="00842E68" w:rsidRDefault="0013351E"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8E2AAE" w:rsidRPr="00842E68">
        <w:rPr>
          <w:rFonts w:ascii="Times New Roman" w:hAnsi="Times New Roman"/>
        </w:rPr>
        <w:t>In addition to the "all necessary measures" defence, t</w:t>
      </w:r>
      <w:r w:rsidR="003022A1" w:rsidRPr="00842E68">
        <w:rPr>
          <w:rFonts w:ascii="Times New Roman" w:hAnsi="Times New Roman"/>
        </w:rPr>
        <w:t>he "</w:t>
      </w:r>
      <w:r w:rsidR="00460950" w:rsidRPr="00842E68">
        <w:rPr>
          <w:rFonts w:ascii="Times New Roman" w:hAnsi="Times New Roman"/>
        </w:rPr>
        <w:t xml:space="preserve">severe monetary limitations on the amount of the carrier's liability" </w:t>
      </w:r>
      <w:r w:rsidR="00BE0A01" w:rsidRPr="00842E68">
        <w:rPr>
          <w:rFonts w:ascii="Times New Roman" w:hAnsi="Times New Roman"/>
        </w:rPr>
        <w:t>came into effect</w:t>
      </w:r>
      <w:r w:rsidR="00460950" w:rsidRPr="00842E68">
        <w:rPr>
          <w:rFonts w:ascii="Times New Roman" w:hAnsi="Times New Roman"/>
        </w:rPr>
        <w:t xml:space="preserve"> in 1933 "in order to help the international civil aviation industry grow"</w:t>
      </w:r>
      <w:r w:rsidR="0074295F" w:rsidRPr="00842E68">
        <w:rPr>
          <w:rFonts w:ascii="Times New Roman" w:hAnsi="Times New Roman"/>
        </w:rPr>
        <w:t>.</w:t>
      </w:r>
      <w:r w:rsidR="00460950" w:rsidRPr="00842E68">
        <w:rPr>
          <w:rStyle w:val="FootnoteReference"/>
          <w:rFonts w:ascii="Times New Roman" w:hAnsi="Times New Roman"/>
          <w:sz w:val="24"/>
        </w:rPr>
        <w:footnoteReference w:id="35"/>
      </w:r>
      <w:r w:rsidR="00460950" w:rsidRPr="00842E68">
        <w:rPr>
          <w:rFonts w:ascii="Times New Roman" w:hAnsi="Times New Roman"/>
        </w:rPr>
        <w:t xml:space="preserve"> </w:t>
      </w:r>
      <w:r w:rsidR="00DC51EB" w:rsidRPr="00842E68">
        <w:rPr>
          <w:rFonts w:ascii="Times New Roman" w:hAnsi="Times New Roman"/>
        </w:rPr>
        <w:t xml:space="preserve">But </w:t>
      </w:r>
      <w:r w:rsidR="00C55D92" w:rsidRPr="00842E68">
        <w:rPr>
          <w:rFonts w:ascii="Times New Roman" w:hAnsi="Times New Roman"/>
        </w:rPr>
        <w:t xml:space="preserve">the combination of </w:t>
      </w:r>
      <w:r w:rsidR="00D43F8D" w:rsidRPr="00842E68">
        <w:rPr>
          <w:rFonts w:ascii="Times New Roman" w:hAnsi="Times New Roman"/>
        </w:rPr>
        <w:t xml:space="preserve">the </w:t>
      </w:r>
      <w:r w:rsidR="00C55D92" w:rsidRPr="00842E68">
        <w:rPr>
          <w:rFonts w:ascii="Times New Roman" w:hAnsi="Times New Roman"/>
        </w:rPr>
        <w:t xml:space="preserve">abandonment of the </w:t>
      </w:r>
      <w:r w:rsidR="009D61F7" w:rsidRPr="00842E68">
        <w:rPr>
          <w:rFonts w:ascii="Times New Roman" w:hAnsi="Times New Roman"/>
        </w:rPr>
        <w:t>g</w:t>
      </w:r>
      <w:r w:rsidR="00C55D92" w:rsidRPr="00842E68">
        <w:rPr>
          <w:rFonts w:ascii="Times New Roman" w:hAnsi="Times New Roman"/>
        </w:rPr>
        <w:t xml:space="preserve">old </w:t>
      </w:r>
      <w:r w:rsidR="009D61F7" w:rsidRPr="00842E68">
        <w:rPr>
          <w:rFonts w:ascii="Times New Roman" w:hAnsi="Times New Roman"/>
        </w:rPr>
        <w:t>s</w:t>
      </w:r>
      <w:r w:rsidR="00C55D92" w:rsidRPr="00842E68">
        <w:rPr>
          <w:rFonts w:ascii="Times New Roman" w:hAnsi="Times New Roman"/>
        </w:rPr>
        <w:t>tandard</w:t>
      </w:r>
      <w:r w:rsidR="00EB3516" w:rsidRPr="00842E68">
        <w:rPr>
          <w:rFonts w:ascii="Times New Roman" w:hAnsi="Times New Roman"/>
        </w:rPr>
        <w:t xml:space="preserve"> (on which </w:t>
      </w:r>
      <w:r w:rsidR="000379B7" w:rsidRPr="00842E68">
        <w:rPr>
          <w:rFonts w:ascii="Times New Roman" w:hAnsi="Times New Roman"/>
        </w:rPr>
        <w:t>m</w:t>
      </w:r>
      <w:r w:rsidR="00F57444" w:rsidRPr="00842E68">
        <w:rPr>
          <w:rFonts w:ascii="Times New Roman" w:hAnsi="Times New Roman"/>
        </w:rPr>
        <w:t>any</w:t>
      </w:r>
      <w:r w:rsidR="000379B7" w:rsidRPr="00842E68">
        <w:rPr>
          <w:rFonts w:ascii="Times New Roman" w:hAnsi="Times New Roman"/>
        </w:rPr>
        <w:t xml:space="preserve"> currencies were </w:t>
      </w:r>
      <w:r w:rsidR="005E0554" w:rsidRPr="00842E68">
        <w:rPr>
          <w:rFonts w:ascii="Times New Roman" w:hAnsi="Times New Roman"/>
        </w:rPr>
        <w:t xml:space="preserve">formerly </w:t>
      </w:r>
      <w:r w:rsidR="000379B7" w:rsidRPr="00842E68">
        <w:rPr>
          <w:rFonts w:ascii="Times New Roman" w:hAnsi="Times New Roman"/>
        </w:rPr>
        <w:t>based)</w:t>
      </w:r>
      <w:r w:rsidR="00C55D92" w:rsidRPr="00842E68">
        <w:rPr>
          <w:rFonts w:ascii="Times New Roman" w:hAnsi="Times New Roman"/>
        </w:rPr>
        <w:t>, together with inflation and a rising cost of living after the Second World War</w:t>
      </w:r>
      <w:r w:rsidR="0040438F" w:rsidRPr="00842E68">
        <w:rPr>
          <w:rFonts w:ascii="Times New Roman" w:hAnsi="Times New Roman"/>
        </w:rPr>
        <w:t>,</w:t>
      </w:r>
      <w:r w:rsidR="00C55D92" w:rsidRPr="00842E68">
        <w:rPr>
          <w:rFonts w:ascii="Times New Roman" w:hAnsi="Times New Roman"/>
        </w:rPr>
        <w:t xml:space="preserve"> led to the 125,000 franc limit becoming "more and more unacceptable", particularly in the United States where</w:t>
      </w:r>
      <w:r w:rsidR="004807D4" w:rsidRPr="00842E68">
        <w:rPr>
          <w:rFonts w:ascii="Times New Roman" w:hAnsi="Times New Roman"/>
        </w:rPr>
        <w:t xml:space="preserve"> claimants bore their own legal costs</w:t>
      </w:r>
      <w:r w:rsidR="00C55D92" w:rsidRPr="00842E68">
        <w:rPr>
          <w:rFonts w:ascii="Times New Roman" w:hAnsi="Times New Roman"/>
        </w:rPr>
        <w:t xml:space="preserve">. </w:t>
      </w:r>
      <w:r w:rsidR="004807D4" w:rsidRPr="00842E68">
        <w:rPr>
          <w:rFonts w:ascii="Times New Roman" w:hAnsi="Times New Roman"/>
        </w:rPr>
        <w:t>Although the airlines, and most other governments, resisted any increase in the limit, the United States agitated for an increase.</w:t>
      </w:r>
      <w:r w:rsidR="004807D4" w:rsidRPr="00842E68">
        <w:rPr>
          <w:rStyle w:val="FootnoteReference"/>
          <w:rFonts w:ascii="Times New Roman" w:hAnsi="Times New Roman"/>
          <w:sz w:val="24"/>
        </w:rPr>
        <w:footnoteReference w:id="36"/>
      </w:r>
    </w:p>
    <w:p w14:paraId="21F423D5" w14:textId="45565D0B" w:rsidR="00A50527" w:rsidRPr="00842E68" w:rsidRDefault="00C55D92"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9119AB" w:rsidRPr="00842E68">
        <w:rPr>
          <w:rFonts w:ascii="Times New Roman" w:hAnsi="Times New Roman"/>
        </w:rPr>
        <w:t>T</w:t>
      </w:r>
      <w:r w:rsidR="008D7F40" w:rsidRPr="00842E68">
        <w:rPr>
          <w:rFonts w:ascii="Times New Roman" w:hAnsi="Times New Roman"/>
        </w:rPr>
        <w:t xml:space="preserve">he Hague Protocol </w:t>
      </w:r>
      <w:r w:rsidR="00A75369" w:rsidRPr="00842E68">
        <w:rPr>
          <w:rFonts w:ascii="Times New Roman" w:hAnsi="Times New Roman"/>
        </w:rPr>
        <w:t>of 1955</w:t>
      </w:r>
      <w:r w:rsidR="007573A7" w:rsidRPr="00842E68">
        <w:rPr>
          <w:rFonts w:ascii="Times New Roman" w:hAnsi="Times New Roman"/>
        </w:rPr>
        <w:t xml:space="preserve"> ("</w:t>
      </w:r>
      <w:r w:rsidR="002C3E46" w:rsidRPr="00842E68">
        <w:rPr>
          <w:rFonts w:ascii="Times New Roman" w:hAnsi="Times New Roman"/>
        </w:rPr>
        <w:t xml:space="preserve">the </w:t>
      </w:r>
      <w:r w:rsidR="007573A7" w:rsidRPr="00842E68">
        <w:rPr>
          <w:rFonts w:ascii="Times New Roman" w:hAnsi="Times New Roman"/>
        </w:rPr>
        <w:t>Hague Protocol")</w:t>
      </w:r>
      <w:r w:rsidR="004807D4" w:rsidRPr="00842E68">
        <w:rPr>
          <w:rFonts w:ascii="Times New Roman" w:hAnsi="Times New Roman"/>
        </w:rPr>
        <w:t xml:space="preserve">, </w:t>
      </w:r>
      <w:r w:rsidR="00A75369" w:rsidRPr="00842E68">
        <w:rPr>
          <w:rFonts w:ascii="Times New Roman" w:hAnsi="Times New Roman"/>
        </w:rPr>
        <w:t>operative</w:t>
      </w:r>
      <w:r w:rsidR="004807D4" w:rsidRPr="00842E68">
        <w:rPr>
          <w:rFonts w:ascii="Times New Roman" w:hAnsi="Times New Roman"/>
        </w:rPr>
        <w:t xml:space="preserve"> from 1963</w:t>
      </w:r>
      <w:r w:rsidR="00A75369" w:rsidRPr="00842E68">
        <w:rPr>
          <w:rFonts w:ascii="Times New Roman" w:hAnsi="Times New Roman"/>
        </w:rPr>
        <w:t>,</w:t>
      </w:r>
      <w:r w:rsidR="00052F37" w:rsidRPr="00842E68">
        <w:rPr>
          <w:rStyle w:val="FootnoteReference"/>
          <w:rFonts w:ascii="Times New Roman" w:hAnsi="Times New Roman"/>
          <w:sz w:val="24"/>
        </w:rPr>
        <w:footnoteReference w:id="37"/>
      </w:r>
      <w:r w:rsidR="00A75369" w:rsidRPr="00842E68">
        <w:rPr>
          <w:rFonts w:ascii="Times New Roman" w:hAnsi="Times New Roman"/>
        </w:rPr>
        <w:t xml:space="preserve"> </w:t>
      </w:r>
      <w:r w:rsidR="00B80158" w:rsidRPr="00842E68">
        <w:rPr>
          <w:rFonts w:ascii="Times New Roman" w:hAnsi="Times New Roman"/>
        </w:rPr>
        <w:t>amended the</w:t>
      </w:r>
      <w:r w:rsidR="00A75369" w:rsidRPr="00842E68">
        <w:rPr>
          <w:rFonts w:ascii="Times New Roman" w:hAnsi="Times New Roman"/>
        </w:rPr>
        <w:t xml:space="preserve"> Warsaw Convention </w:t>
      </w:r>
      <w:r w:rsidR="009746C3" w:rsidRPr="00842E68">
        <w:rPr>
          <w:rFonts w:ascii="Times New Roman" w:hAnsi="Times New Roman"/>
        </w:rPr>
        <w:t xml:space="preserve">to, among other things, </w:t>
      </w:r>
      <w:r w:rsidR="0096553E" w:rsidRPr="00842E68">
        <w:rPr>
          <w:rFonts w:ascii="Times New Roman" w:hAnsi="Times New Roman"/>
        </w:rPr>
        <w:t xml:space="preserve">increase </w:t>
      </w:r>
      <w:r w:rsidR="00A75369" w:rsidRPr="00842E68">
        <w:rPr>
          <w:rFonts w:ascii="Times New Roman" w:hAnsi="Times New Roman"/>
        </w:rPr>
        <w:t>the liability limit from 125,000</w:t>
      </w:r>
      <w:r w:rsidR="001D6633" w:rsidRPr="00842E68">
        <w:rPr>
          <w:rFonts w:ascii="Times New Roman" w:hAnsi="Times New Roman"/>
        </w:rPr>
        <w:t> </w:t>
      </w:r>
      <w:r w:rsidR="00A75369" w:rsidRPr="00842E68">
        <w:rPr>
          <w:rFonts w:ascii="Times New Roman" w:hAnsi="Times New Roman"/>
        </w:rPr>
        <w:t>francs to</w:t>
      </w:r>
      <w:r w:rsidR="001D6633" w:rsidRPr="00842E68">
        <w:rPr>
          <w:rFonts w:ascii="Times New Roman" w:hAnsi="Times New Roman"/>
        </w:rPr>
        <w:t> </w:t>
      </w:r>
      <w:r w:rsidR="00A75369" w:rsidRPr="00842E68">
        <w:rPr>
          <w:rFonts w:ascii="Times New Roman" w:hAnsi="Times New Roman"/>
        </w:rPr>
        <w:t>250,000 francs.</w:t>
      </w:r>
      <w:r w:rsidR="00EE3773" w:rsidRPr="00842E68">
        <w:rPr>
          <w:rStyle w:val="FootnoteReference"/>
          <w:rFonts w:ascii="Times New Roman" w:hAnsi="Times New Roman"/>
          <w:sz w:val="24"/>
        </w:rPr>
        <w:footnoteReference w:id="38"/>
      </w:r>
      <w:r w:rsidR="00D92D42" w:rsidRPr="00842E68">
        <w:rPr>
          <w:rFonts w:ascii="Times New Roman" w:hAnsi="Times New Roman"/>
        </w:rPr>
        <w:t xml:space="preserve"> Nevertheless, the </w:t>
      </w:r>
      <w:r w:rsidR="00EE3773" w:rsidRPr="00842E68">
        <w:rPr>
          <w:rFonts w:ascii="Times New Roman" w:hAnsi="Times New Roman"/>
        </w:rPr>
        <w:t xml:space="preserve">United States remained dissatisfied, to the point of giving notice of its intention to denounce the Warsaw Convention. </w:t>
      </w:r>
      <w:r w:rsidR="004E6123" w:rsidRPr="00842E68">
        <w:rPr>
          <w:rFonts w:ascii="Times New Roman" w:hAnsi="Times New Roman"/>
        </w:rPr>
        <w:t>Ultimately, the United States did not do so because a</w:t>
      </w:r>
      <w:r w:rsidR="00EE3773" w:rsidRPr="00842E68">
        <w:rPr>
          <w:rFonts w:ascii="Times New Roman" w:hAnsi="Times New Roman"/>
        </w:rPr>
        <w:t xml:space="preserve"> </w:t>
      </w:r>
      <w:r w:rsidR="005D5729" w:rsidRPr="00842E68">
        <w:rPr>
          <w:rFonts w:ascii="Times New Roman" w:hAnsi="Times New Roman"/>
        </w:rPr>
        <w:t>private accord</w:t>
      </w:r>
      <w:r w:rsidR="00E77A0F" w:rsidRPr="00842E68">
        <w:rPr>
          <w:rFonts w:ascii="Times New Roman" w:hAnsi="Times New Roman"/>
        </w:rPr>
        <w:t xml:space="preserve">, the 1966 </w:t>
      </w:r>
      <w:r w:rsidR="000840D7" w:rsidRPr="00842E68">
        <w:rPr>
          <w:rFonts w:ascii="Times New Roman" w:hAnsi="Times New Roman"/>
        </w:rPr>
        <w:t>Montreal Intercarrier Agreement</w:t>
      </w:r>
      <w:r w:rsidR="00655715" w:rsidRPr="00842E68">
        <w:rPr>
          <w:rFonts w:ascii="Times New Roman" w:hAnsi="Times New Roman"/>
        </w:rPr>
        <w:t xml:space="preserve"> ("the 1966 </w:t>
      </w:r>
      <w:r w:rsidR="00667AC0" w:rsidRPr="00842E68">
        <w:rPr>
          <w:rFonts w:ascii="Times New Roman" w:hAnsi="Times New Roman"/>
        </w:rPr>
        <w:t xml:space="preserve">IATA </w:t>
      </w:r>
      <w:r w:rsidR="00655715" w:rsidRPr="00842E68">
        <w:rPr>
          <w:rFonts w:ascii="Times New Roman" w:hAnsi="Times New Roman"/>
        </w:rPr>
        <w:t>Agreement")</w:t>
      </w:r>
      <w:r w:rsidR="000840D7" w:rsidRPr="00842E68">
        <w:rPr>
          <w:rFonts w:ascii="Times New Roman" w:hAnsi="Times New Roman"/>
        </w:rPr>
        <w:t>,</w:t>
      </w:r>
      <w:r w:rsidR="005D5729" w:rsidRPr="00842E68">
        <w:rPr>
          <w:rFonts w:ascii="Times New Roman" w:hAnsi="Times New Roman"/>
        </w:rPr>
        <w:t xml:space="preserve"> </w:t>
      </w:r>
      <w:r w:rsidR="00EE3773" w:rsidRPr="00842E68">
        <w:rPr>
          <w:rFonts w:ascii="Times New Roman" w:hAnsi="Times New Roman"/>
        </w:rPr>
        <w:t xml:space="preserve">was reached </w:t>
      </w:r>
      <w:r w:rsidR="00E54688" w:rsidRPr="00842E68">
        <w:rPr>
          <w:rFonts w:ascii="Times New Roman" w:hAnsi="Times New Roman"/>
        </w:rPr>
        <w:t>between the International Air Transport Association ("IATA") and the United States</w:t>
      </w:r>
      <w:r w:rsidR="0014720D" w:rsidRPr="00842E68">
        <w:rPr>
          <w:rFonts w:ascii="Times New Roman" w:hAnsi="Times New Roman"/>
        </w:rPr>
        <w:t>.</w:t>
      </w:r>
      <w:r w:rsidR="00E54688" w:rsidRPr="00842E68">
        <w:rPr>
          <w:rFonts w:ascii="Times New Roman" w:hAnsi="Times New Roman"/>
        </w:rPr>
        <w:t xml:space="preserve"> </w:t>
      </w:r>
      <w:r w:rsidR="00597CA1" w:rsidRPr="00842E68">
        <w:rPr>
          <w:rFonts w:ascii="Times New Roman" w:hAnsi="Times New Roman"/>
        </w:rPr>
        <w:t>Under</w:t>
      </w:r>
      <w:r w:rsidR="001E2E63" w:rsidRPr="00842E68">
        <w:rPr>
          <w:rFonts w:ascii="Times New Roman" w:hAnsi="Times New Roman"/>
        </w:rPr>
        <w:t xml:space="preserve"> the 1966 IATA Agreement,</w:t>
      </w:r>
      <w:r w:rsidR="00E54688" w:rsidRPr="00842E68">
        <w:rPr>
          <w:rFonts w:ascii="Times New Roman" w:hAnsi="Times New Roman"/>
        </w:rPr>
        <w:t xml:space="preserve"> members of IATA </w:t>
      </w:r>
      <w:r w:rsidR="00FB5700" w:rsidRPr="00842E68">
        <w:rPr>
          <w:rFonts w:ascii="Times New Roman" w:hAnsi="Times New Roman"/>
        </w:rPr>
        <w:t xml:space="preserve">operating </w:t>
      </w:r>
      <w:r w:rsidR="00FE55FE" w:rsidRPr="00842E68">
        <w:rPr>
          <w:rFonts w:ascii="Times New Roman" w:hAnsi="Times New Roman"/>
        </w:rPr>
        <w:lastRenderedPageBreak/>
        <w:t xml:space="preserve">international flights with </w:t>
      </w:r>
      <w:r w:rsidR="00B92444" w:rsidRPr="00842E68">
        <w:rPr>
          <w:rFonts w:ascii="Times New Roman" w:hAnsi="Times New Roman"/>
        </w:rPr>
        <w:t xml:space="preserve">any </w:t>
      </w:r>
      <w:r w:rsidR="00FE55FE" w:rsidRPr="00842E68">
        <w:rPr>
          <w:rFonts w:ascii="Times New Roman" w:hAnsi="Times New Roman"/>
        </w:rPr>
        <w:t>connecting points in the United States</w:t>
      </w:r>
      <w:r w:rsidR="004A6B71" w:rsidRPr="00842E68">
        <w:rPr>
          <w:rFonts w:ascii="Times New Roman" w:hAnsi="Times New Roman"/>
        </w:rPr>
        <w:t xml:space="preserve"> effectively accepted </w:t>
      </w:r>
      <w:r w:rsidR="00546893" w:rsidRPr="00842E68">
        <w:rPr>
          <w:rFonts w:ascii="Times New Roman" w:hAnsi="Times New Roman"/>
        </w:rPr>
        <w:t>strict</w:t>
      </w:r>
      <w:r w:rsidR="004A6B71" w:rsidRPr="00842E68">
        <w:rPr>
          <w:rFonts w:ascii="Times New Roman" w:hAnsi="Times New Roman"/>
        </w:rPr>
        <w:t xml:space="preserve"> liability</w:t>
      </w:r>
      <w:r w:rsidR="00546893" w:rsidRPr="00842E68">
        <w:rPr>
          <w:rFonts w:ascii="Times New Roman" w:hAnsi="Times New Roman"/>
        </w:rPr>
        <w:t xml:space="preserve"> </w:t>
      </w:r>
      <w:r w:rsidR="00DB267A" w:rsidRPr="00842E68">
        <w:rPr>
          <w:rFonts w:ascii="Times New Roman" w:hAnsi="Times New Roman"/>
        </w:rPr>
        <w:t>up to a higher limit</w:t>
      </w:r>
      <w:r w:rsidR="00C20A58" w:rsidRPr="00842E68">
        <w:rPr>
          <w:rFonts w:ascii="Times New Roman" w:hAnsi="Times New Roman"/>
        </w:rPr>
        <w:t>,</w:t>
      </w:r>
      <w:r w:rsidR="00DB267A" w:rsidRPr="00842E68">
        <w:rPr>
          <w:rFonts w:ascii="Times New Roman" w:hAnsi="Times New Roman"/>
        </w:rPr>
        <w:t xml:space="preserve"> </w:t>
      </w:r>
      <w:r w:rsidR="00546893" w:rsidRPr="00842E68">
        <w:rPr>
          <w:rFonts w:ascii="Times New Roman" w:hAnsi="Times New Roman"/>
        </w:rPr>
        <w:t>subject only to the defence of contributory negligence</w:t>
      </w:r>
      <w:r w:rsidR="004B7E78" w:rsidRPr="00842E68">
        <w:rPr>
          <w:rFonts w:ascii="Times New Roman" w:hAnsi="Times New Roman"/>
        </w:rPr>
        <w:t>, and without the "all necessary measures" defence</w:t>
      </w:r>
      <w:r w:rsidR="00546893" w:rsidRPr="00842E68">
        <w:rPr>
          <w:rFonts w:ascii="Times New Roman" w:hAnsi="Times New Roman"/>
        </w:rPr>
        <w:t>.</w:t>
      </w:r>
      <w:r w:rsidR="00546893" w:rsidRPr="00842E68">
        <w:rPr>
          <w:rStyle w:val="FootnoteReference"/>
          <w:rFonts w:ascii="Times New Roman" w:hAnsi="Times New Roman"/>
          <w:sz w:val="24"/>
        </w:rPr>
        <w:footnoteReference w:id="39"/>
      </w:r>
      <w:r w:rsidR="00EE3773" w:rsidRPr="00842E68">
        <w:rPr>
          <w:rFonts w:ascii="Times New Roman" w:hAnsi="Times New Roman"/>
        </w:rPr>
        <w:t xml:space="preserve"> </w:t>
      </w:r>
    </w:p>
    <w:p w14:paraId="1C2332C8" w14:textId="7DFC0F39" w:rsidR="003664D5" w:rsidRPr="00842E68" w:rsidRDefault="00A50527"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903157" w:rsidRPr="00842E68">
        <w:rPr>
          <w:rFonts w:ascii="Times New Roman" w:hAnsi="Times New Roman"/>
        </w:rPr>
        <w:t xml:space="preserve">The </w:t>
      </w:r>
      <w:r w:rsidR="007858D0" w:rsidRPr="00842E68">
        <w:rPr>
          <w:rFonts w:ascii="Times New Roman" w:hAnsi="Times New Roman"/>
        </w:rPr>
        <w:t xml:space="preserve">following </w:t>
      </w:r>
      <w:r w:rsidR="003D6A43" w:rsidRPr="00842E68">
        <w:rPr>
          <w:rFonts w:ascii="Times New Roman" w:hAnsi="Times New Roman"/>
        </w:rPr>
        <w:t>years saw attempts to address the non</w:t>
      </w:r>
      <w:r w:rsidR="00962A9B" w:rsidRPr="00842E68">
        <w:rPr>
          <w:rFonts w:ascii="Times New Roman" w:hAnsi="Times New Roman"/>
        </w:rPr>
        <w:noBreakHyphen/>
      </w:r>
      <w:r w:rsidR="003D6A43" w:rsidRPr="00842E68">
        <w:rPr>
          <w:rFonts w:ascii="Times New Roman" w:hAnsi="Times New Roman"/>
        </w:rPr>
        <w:t xml:space="preserve">uniform </w:t>
      </w:r>
      <w:r w:rsidR="00971D9D" w:rsidRPr="00842E68">
        <w:rPr>
          <w:rFonts w:ascii="Times New Roman" w:hAnsi="Times New Roman"/>
        </w:rPr>
        <w:t>international system</w:t>
      </w:r>
      <w:r w:rsidR="003D6A43" w:rsidRPr="00842E68">
        <w:rPr>
          <w:rFonts w:ascii="Times New Roman" w:hAnsi="Times New Roman"/>
        </w:rPr>
        <w:t xml:space="preserve"> that resulted from the </w:t>
      </w:r>
      <w:r w:rsidR="00655715" w:rsidRPr="00842E68">
        <w:rPr>
          <w:rFonts w:ascii="Times New Roman" w:hAnsi="Times New Roman"/>
        </w:rPr>
        <w:t xml:space="preserve">operation of the 1966 </w:t>
      </w:r>
      <w:r w:rsidR="00675A4F" w:rsidRPr="00842E68">
        <w:rPr>
          <w:rFonts w:ascii="Times New Roman" w:hAnsi="Times New Roman"/>
        </w:rPr>
        <w:t xml:space="preserve">IATA </w:t>
      </w:r>
      <w:r w:rsidR="00655715" w:rsidRPr="00842E68">
        <w:rPr>
          <w:rFonts w:ascii="Times New Roman" w:hAnsi="Times New Roman"/>
        </w:rPr>
        <w:t xml:space="preserve">Agreement only in relation to </w:t>
      </w:r>
      <w:r w:rsidR="00A30FEC" w:rsidRPr="00842E68">
        <w:rPr>
          <w:rFonts w:ascii="Times New Roman" w:hAnsi="Times New Roman"/>
        </w:rPr>
        <w:t xml:space="preserve">international flights with connecting points in the United States. </w:t>
      </w:r>
      <w:r w:rsidR="0096301D" w:rsidRPr="00842E68">
        <w:rPr>
          <w:rFonts w:ascii="Times New Roman" w:hAnsi="Times New Roman"/>
        </w:rPr>
        <w:t>In 1971, a protocol was agreed</w:t>
      </w:r>
      <w:r w:rsidR="00DD5BE1" w:rsidRPr="00842E68">
        <w:rPr>
          <w:rFonts w:ascii="Times New Roman" w:hAnsi="Times New Roman"/>
        </w:rPr>
        <w:t xml:space="preserve"> </w:t>
      </w:r>
      <w:r w:rsidR="007C0DFD" w:rsidRPr="00842E68">
        <w:rPr>
          <w:rFonts w:ascii="Times New Roman" w:hAnsi="Times New Roman"/>
        </w:rPr>
        <w:t>at Guatemala City</w:t>
      </w:r>
      <w:r w:rsidR="00DD5BE1" w:rsidRPr="00842E68">
        <w:rPr>
          <w:rFonts w:ascii="Times New Roman" w:hAnsi="Times New Roman"/>
        </w:rPr>
        <w:t xml:space="preserve"> </w:t>
      </w:r>
      <w:r w:rsidR="0096301D" w:rsidRPr="00842E68">
        <w:rPr>
          <w:rFonts w:ascii="Times New Roman" w:hAnsi="Times New Roman"/>
        </w:rPr>
        <w:t>but never came into force.</w:t>
      </w:r>
      <w:r w:rsidR="00B407E2" w:rsidRPr="00842E68">
        <w:rPr>
          <w:rStyle w:val="FootnoteReference"/>
          <w:rFonts w:ascii="Times New Roman" w:hAnsi="Times New Roman"/>
          <w:sz w:val="24"/>
        </w:rPr>
        <w:footnoteReference w:id="40"/>
      </w:r>
      <w:r w:rsidR="0096301D" w:rsidRPr="00842E68">
        <w:rPr>
          <w:rFonts w:ascii="Times New Roman" w:hAnsi="Times New Roman"/>
        </w:rPr>
        <w:t xml:space="preserve"> In 1975, four protocols were agreed in </w:t>
      </w:r>
      <w:r w:rsidR="00DD5BE1" w:rsidRPr="00842E68">
        <w:rPr>
          <w:rFonts w:ascii="Times New Roman" w:hAnsi="Times New Roman"/>
        </w:rPr>
        <w:t>Montreal</w:t>
      </w:r>
      <w:r w:rsidR="007C0DFD" w:rsidRPr="00842E68">
        <w:rPr>
          <w:rFonts w:ascii="Times New Roman" w:hAnsi="Times New Roman"/>
        </w:rPr>
        <w:t xml:space="preserve">, </w:t>
      </w:r>
      <w:r w:rsidR="00292750" w:rsidRPr="00842E68">
        <w:rPr>
          <w:rFonts w:ascii="Times New Roman" w:hAnsi="Times New Roman"/>
        </w:rPr>
        <w:t xml:space="preserve">with significant changes including the replacement of </w:t>
      </w:r>
      <w:r w:rsidR="007B30E2" w:rsidRPr="00842E68">
        <w:rPr>
          <w:rFonts w:ascii="Times New Roman" w:hAnsi="Times New Roman"/>
        </w:rPr>
        <w:t xml:space="preserve">a </w:t>
      </w:r>
      <w:r w:rsidR="00292750" w:rsidRPr="00842E68">
        <w:rPr>
          <w:rFonts w:ascii="Times New Roman" w:hAnsi="Times New Roman"/>
        </w:rPr>
        <w:t xml:space="preserve">gold standard </w:t>
      </w:r>
      <w:r w:rsidR="00B34E2C" w:rsidRPr="00842E68">
        <w:rPr>
          <w:rFonts w:ascii="Times New Roman" w:hAnsi="Times New Roman"/>
        </w:rPr>
        <w:t>with Special Drawing Rights and a new liability cap of 100,000 Special Drawing Rights.</w:t>
      </w:r>
      <w:r w:rsidR="00190D7E" w:rsidRPr="00842E68">
        <w:rPr>
          <w:rStyle w:val="FootnoteReference"/>
          <w:rFonts w:ascii="Times New Roman" w:hAnsi="Times New Roman"/>
          <w:sz w:val="24"/>
        </w:rPr>
        <w:footnoteReference w:id="41"/>
      </w:r>
      <w:r w:rsidR="00F456F1" w:rsidRPr="00842E68">
        <w:rPr>
          <w:rFonts w:ascii="Times New Roman" w:hAnsi="Times New Roman"/>
        </w:rPr>
        <w:t xml:space="preserve"> </w:t>
      </w:r>
      <w:r w:rsidR="00733047" w:rsidRPr="00842E68">
        <w:rPr>
          <w:rFonts w:ascii="Times New Roman" w:hAnsi="Times New Roman"/>
        </w:rPr>
        <w:t>But</w:t>
      </w:r>
      <w:r w:rsidR="00065203" w:rsidRPr="00842E68">
        <w:rPr>
          <w:rFonts w:ascii="Times New Roman" w:hAnsi="Times New Roman"/>
        </w:rPr>
        <w:t xml:space="preserve"> </w:t>
      </w:r>
      <w:r w:rsidR="003E7EE6" w:rsidRPr="00842E68">
        <w:rPr>
          <w:rFonts w:ascii="Times New Roman" w:hAnsi="Times New Roman"/>
        </w:rPr>
        <w:t xml:space="preserve">the United States remained dissatisfied with </w:t>
      </w:r>
      <w:r w:rsidR="00E82079" w:rsidRPr="00842E68">
        <w:rPr>
          <w:rFonts w:ascii="Times New Roman" w:hAnsi="Times New Roman"/>
        </w:rPr>
        <w:t xml:space="preserve">what it saw as </w:t>
      </w:r>
      <w:r w:rsidR="0032723D" w:rsidRPr="00842E68">
        <w:rPr>
          <w:rFonts w:ascii="Times New Roman" w:hAnsi="Times New Roman"/>
        </w:rPr>
        <w:t>the</w:t>
      </w:r>
      <w:r w:rsidR="00337781" w:rsidRPr="00842E68">
        <w:rPr>
          <w:rFonts w:ascii="Times New Roman" w:hAnsi="Times New Roman"/>
        </w:rPr>
        <w:t xml:space="preserve"> "unconscionably low"</w:t>
      </w:r>
      <w:r w:rsidR="00FE3499" w:rsidRPr="00842E68">
        <w:rPr>
          <w:rStyle w:val="FootnoteReference"/>
          <w:rFonts w:ascii="Times New Roman" w:hAnsi="Times New Roman"/>
          <w:sz w:val="24"/>
        </w:rPr>
        <w:footnoteReference w:id="42"/>
      </w:r>
      <w:r w:rsidR="0032723D" w:rsidRPr="00842E68">
        <w:rPr>
          <w:rFonts w:ascii="Times New Roman" w:hAnsi="Times New Roman"/>
        </w:rPr>
        <w:t xml:space="preserve"> liability cap of the </w:t>
      </w:r>
      <w:r w:rsidR="003E7EE6" w:rsidRPr="00842E68">
        <w:rPr>
          <w:rFonts w:ascii="Times New Roman" w:hAnsi="Times New Roman"/>
        </w:rPr>
        <w:t xml:space="preserve">Warsaw </w:t>
      </w:r>
      <w:r w:rsidR="00971D9D" w:rsidRPr="00842E68">
        <w:rPr>
          <w:rFonts w:ascii="Times New Roman" w:hAnsi="Times New Roman"/>
        </w:rPr>
        <w:t>system</w:t>
      </w:r>
      <w:r w:rsidR="00605E6C" w:rsidRPr="00842E68">
        <w:rPr>
          <w:rFonts w:ascii="Times New Roman" w:hAnsi="Times New Roman"/>
        </w:rPr>
        <w:t>.</w:t>
      </w:r>
      <w:r w:rsidR="00605E6C" w:rsidRPr="00842E68">
        <w:rPr>
          <w:rStyle w:val="FootnoteReference"/>
          <w:rFonts w:ascii="Times New Roman" w:hAnsi="Times New Roman"/>
          <w:sz w:val="24"/>
        </w:rPr>
        <w:footnoteReference w:id="43"/>
      </w:r>
      <w:r w:rsidR="00605E6C" w:rsidRPr="00842E68">
        <w:rPr>
          <w:rFonts w:ascii="Times New Roman" w:hAnsi="Times New Roman"/>
        </w:rPr>
        <w:t xml:space="preserve"> The Warsaw </w:t>
      </w:r>
      <w:r w:rsidR="00971D9D" w:rsidRPr="00842E68">
        <w:rPr>
          <w:rFonts w:ascii="Times New Roman" w:hAnsi="Times New Roman"/>
        </w:rPr>
        <w:t>system</w:t>
      </w:r>
      <w:r w:rsidR="00605E6C" w:rsidRPr="00842E68">
        <w:rPr>
          <w:rFonts w:ascii="Times New Roman" w:hAnsi="Times New Roman"/>
        </w:rPr>
        <w:t xml:space="preserve"> </w:t>
      </w:r>
      <w:r w:rsidR="005F06E6" w:rsidRPr="00842E68">
        <w:rPr>
          <w:rFonts w:ascii="Times New Roman" w:hAnsi="Times New Roman"/>
        </w:rPr>
        <w:t>w</w:t>
      </w:r>
      <w:r w:rsidR="00FA465C" w:rsidRPr="00842E68">
        <w:rPr>
          <w:rFonts w:ascii="Times New Roman" w:hAnsi="Times New Roman"/>
        </w:rPr>
        <w:t>as</w:t>
      </w:r>
      <w:r w:rsidR="005F06E6" w:rsidRPr="00842E68">
        <w:rPr>
          <w:rFonts w:ascii="Times New Roman" w:hAnsi="Times New Roman"/>
        </w:rPr>
        <w:t xml:space="preserve"> </w:t>
      </w:r>
      <w:r w:rsidR="006921B7" w:rsidRPr="00842E68">
        <w:rPr>
          <w:rFonts w:ascii="Times New Roman" w:hAnsi="Times New Roman"/>
        </w:rPr>
        <w:t xml:space="preserve">also </w:t>
      </w:r>
      <w:r w:rsidR="00127C27" w:rsidRPr="00842E68">
        <w:rPr>
          <w:rFonts w:ascii="Times New Roman" w:hAnsi="Times New Roman"/>
        </w:rPr>
        <w:t xml:space="preserve">"plagued by inconsistent and uneven ratifications of </w:t>
      </w:r>
      <w:r w:rsidR="00FA465C" w:rsidRPr="00842E68">
        <w:rPr>
          <w:rFonts w:ascii="Times New Roman" w:hAnsi="Times New Roman"/>
        </w:rPr>
        <w:t>its various instruments"</w:t>
      </w:r>
      <w:r w:rsidR="00A97609" w:rsidRPr="00842E68">
        <w:rPr>
          <w:rFonts w:ascii="Times New Roman" w:hAnsi="Times New Roman"/>
        </w:rPr>
        <w:t>.</w:t>
      </w:r>
      <w:r w:rsidR="00065203" w:rsidRPr="00842E68">
        <w:rPr>
          <w:rStyle w:val="FootnoteReference"/>
          <w:rFonts w:ascii="Times New Roman" w:hAnsi="Times New Roman"/>
          <w:sz w:val="24"/>
        </w:rPr>
        <w:footnoteReference w:id="44"/>
      </w:r>
      <w:r w:rsidR="004D4108" w:rsidRPr="00842E68">
        <w:rPr>
          <w:rFonts w:ascii="Times New Roman" w:hAnsi="Times New Roman"/>
        </w:rPr>
        <w:t xml:space="preserve"> </w:t>
      </w:r>
      <w:r w:rsidR="00216DCC" w:rsidRPr="00842E68">
        <w:rPr>
          <w:rFonts w:ascii="Times New Roman" w:hAnsi="Times New Roman"/>
        </w:rPr>
        <w:t xml:space="preserve">The inconsistencies were exacerbated by </w:t>
      </w:r>
      <w:r w:rsidR="003A2616" w:rsidRPr="00842E68">
        <w:rPr>
          <w:rFonts w:ascii="Times New Roman" w:hAnsi="Times New Roman"/>
        </w:rPr>
        <w:t xml:space="preserve">a group of </w:t>
      </w:r>
      <w:r w:rsidR="007E09BB" w:rsidRPr="00842E68">
        <w:rPr>
          <w:rFonts w:ascii="Times New Roman" w:hAnsi="Times New Roman"/>
        </w:rPr>
        <w:t xml:space="preserve">countries who </w:t>
      </w:r>
      <w:r w:rsidR="00C3308D" w:rsidRPr="00842E68">
        <w:rPr>
          <w:rFonts w:ascii="Times New Roman" w:hAnsi="Times New Roman"/>
        </w:rPr>
        <w:t>developed a consensus</w:t>
      </w:r>
      <w:r w:rsidR="00853268" w:rsidRPr="00842E68">
        <w:rPr>
          <w:rFonts w:ascii="Times New Roman" w:hAnsi="Times New Roman"/>
        </w:rPr>
        <w:t>, described as</w:t>
      </w:r>
      <w:r w:rsidR="007E09BB" w:rsidRPr="00842E68">
        <w:rPr>
          <w:rFonts w:ascii="Times New Roman" w:hAnsi="Times New Roman"/>
        </w:rPr>
        <w:t xml:space="preserve"> </w:t>
      </w:r>
      <w:r w:rsidR="00853268" w:rsidRPr="00842E68">
        <w:rPr>
          <w:rFonts w:ascii="Times New Roman" w:hAnsi="Times New Roman"/>
        </w:rPr>
        <w:t>the</w:t>
      </w:r>
      <w:r w:rsidR="007E09BB" w:rsidRPr="00842E68">
        <w:rPr>
          <w:rFonts w:ascii="Times New Roman" w:hAnsi="Times New Roman"/>
        </w:rPr>
        <w:t xml:space="preserve"> "Malta Agreement"</w:t>
      </w:r>
      <w:r w:rsidR="004C44D9" w:rsidRPr="00842E68">
        <w:rPr>
          <w:rFonts w:ascii="Times New Roman" w:hAnsi="Times New Roman"/>
        </w:rPr>
        <w:t>,</w:t>
      </w:r>
      <w:r w:rsidR="00853268" w:rsidRPr="00842E68">
        <w:rPr>
          <w:rFonts w:ascii="Times New Roman" w:hAnsi="Times New Roman"/>
        </w:rPr>
        <w:t xml:space="preserve"> from 197</w:t>
      </w:r>
      <w:r w:rsidR="0081457F" w:rsidRPr="00842E68">
        <w:rPr>
          <w:rFonts w:ascii="Times New Roman" w:hAnsi="Times New Roman"/>
        </w:rPr>
        <w:t>4 onwards</w:t>
      </w:r>
      <w:r w:rsidR="007E09BB" w:rsidRPr="00842E68">
        <w:rPr>
          <w:rFonts w:ascii="Times New Roman" w:hAnsi="Times New Roman"/>
        </w:rPr>
        <w:t xml:space="preserve"> to </w:t>
      </w:r>
      <w:r w:rsidR="008A24C0" w:rsidRPr="00842E68">
        <w:rPr>
          <w:rFonts w:ascii="Times New Roman" w:hAnsi="Times New Roman"/>
        </w:rPr>
        <w:t xml:space="preserve">increase the limit of liability </w:t>
      </w:r>
      <w:r w:rsidR="00E236E9" w:rsidRPr="00842E68">
        <w:rPr>
          <w:rFonts w:ascii="Times New Roman" w:hAnsi="Times New Roman"/>
        </w:rPr>
        <w:t xml:space="preserve">from the limit </w:t>
      </w:r>
      <w:r w:rsidR="008A24C0" w:rsidRPr="00842E68">
        <w:rPr>
          <w:rFonts w:ascii="Times New Roman" w:hAnsi="Times New Roman"/>
        </w:rPr>
        <w:t xml:space="preserve">in </w:t>
      </w:r>
      <w:r w:rsidR="003E1B70" w:rsidRPr="00842E68">
        <w:rPr>
          <w:rFonts w:ascii="Times New Roman" w:hAnsi="Times New Roman"/>
        </w:rPr>
        <w:t>Art </w:t>
      </w:r>
      <w:r w:rsidR="00BD5AFE" w:rsidRPr="00842E68">
        <w:rPr>
          <w:rFonts w:ascii="Times New Roman" w:hAnsi="Times New Roman"/>
        </w:rPr>
        <w:t>2</w:t>
      </w:r>
      <w:r w:rsidR="003E1B70" w:rsidRPr="00842E68">
        <w:rPr>
          <w:rFonts w:ascii="Times New Roman" w:hAnsi="Times New Roman"/>
        </w:rPr>
        <w:t>2</w:t>
      </w:r>
      <w:r w:rsidR="00BD5AFE" w:rsidRPr="00842E68">
        <w:rPr>
          <w:rFonts w:ascii="Times New Roman" w:hAnsi="Times New Roman"/>
        </w:rPr>
        <w:t>(1)</w:t>
      </w:r>
      <w:r w:rsidR="003E1B70" w:rsidRPr="00842E68">
        <w:rPr>
          <w:rFonts w:ascii="Times New Roman" w:hAnsi="Times New Roman"/>
        </w:rPr>
        <w:t xml:space="preserve"> of </w:t>
      </w:r>
      <w:r w:rsidR="008A24C0" w:rsidRPr="00842E68">
        <w:rPr>
          <w:rFonts w:ascii="Times New Roman" w:hAnsi="Times New Roman"/>
        </w:rPr>
        <w:t>the Warsaw Convention (as amended)</w:t>
      </w:r>
      <w:r w:rsidR="00853268" w:rsidRPr="00842E68">
        <w:rPr>
          <w:rFonts w:ascii="Times New Roman" w:hAnsi="Times New Roman"/>
        </w:rPr>
        <w:t xml:space="preserve">. The inconsistencies were further exacerbated by </w:t>
      </w:r>
      <w:r w:rsidR="00CA0BB7" w:rsidRPr="00842E68">
        <w:rPr>
          <w:rFonts w:ascii="Times New Roman" w:hAnsi="Times New Roman"/>
        </w:rPr>
        <w:t xml:space="preserve">the decision of Japanese international airlines </w:t>
      </w:r>
      <w:r w:rsidR="00F8018B" w:rsidRPr="00842E68">
        <w:rPr>
          <w:rFonts w:ascii="Times New Roman" w:hAnsi="Times New Roman"/>
        </w:rPr>
        <w:t>to accept</w:t>
      </w:r>
      <w:r w:rsidR="004775E0" w:rsidRPr="00842E68">
        <w:rPr>
          <w:rFonts w:ascii="Times New Roman" w:hAnsi="Times New Roman"/>
        </w:rPr>
        <w:t>, in respect of passenger injury or death,</w:t>
      </w:r>
      <w:r w:rsidR="00F8018B" w:rsidRPr="00842E68">
        <w:rPr>
          <w:rFonts w:ascii="Times New Roman" w:hAnsi="Times New Roman"/>
        </w:rPr>
        <w:t xml:space="preserve"> liability </w:t>
      </w:r>
      <w:r w:rsidR="0050728B" w:rsidRPr="00842E68">
        <w:rPr>
          <w:rFonts w:ascii="Times New Roman" w:hAnsi="Times New Roman"/>
        </w:rPr>
        <w:t xml:space="preserve">for claims </w:t>
      </w:r>
      <w:r w:rsidR="00F8018B" w:rsidRPr="00842E68">
        <w:rPr>
          <w:rFonts w:ascii="Times New Roman" w:hAnsi="Times New Roman"/>
        </w:rPr>
        <w:t xml:space="preserve">up to 100,000 </w:t>
      </w:r>
      <w:r w:rsidR="00F8018B" w:rsidRPr="00842E68">
        <w:rPr>
          <w:rFonts w:ascii="Times New Roman" w:hAnsi="Times New Roman"/>
        </w:rPr>
        <w:lastRenderedPageBreak/>
        <w:t xml:space="preserve">Special Drawing Rights </w:t>
      </w:r>
      <w:r w:rsidR="004775E0" w:rsidRPr="00842E68">
        <w:rPr>
          <w:rFonts w:ascii="Times New Roman" w:hAnsi="Times New Roman"/>
        </w:rPr>
        <w:t xml:space="preserve">(subject to </w:t>
      </w:r>
      <w:r w:rsidR="00DC3DF7" w:rsidRPr="00842E68">
        <w:rPr>
          <w:rFonts w:ascii="Times New Roman" w:hAnsi="Times New Roman"/>
        </w:rPr>
        <w:t xml:space="preserve">a defence of </w:t>
      </w:r>
      <w:r w:rsidR="004775E0" w:rsidRPr="00842E68">
        <w:rPr>
          <w:rFonts w:ascii="Times New Roman" w:hAnsi="Times New Roman"/>
        </w:rPr>
        <w:t xml:space="preserve">contributory negligence) and, beyond that, unlimited liability </w:t>
      </w:r>
      <w:r w:rsidR="001D472D" w:rsidRPr="00842E68">
        <w:rPr>
          <w:rFonts w:ascii="Times New Roman" w:hAnsi="Times New Roman"/>
        </w:rPr>
        <w:t>subject to defences of lack of fault and contributory negligence.</w:t>
      </w:r>
      <w:r w:rsidR="00853268" w:rsidRPr="00842E68">
        <w:rPr>
          <w:rStyle w:val="FootnoteReference"/>
          <w:rFonts w:ascii="Times New Roman" w:hAnsi="Times New Roman"/>
          <w:sz w:val="24"/>
        </w:rPr>
        <w:footnoteReference w:id="45"/>
      </w:r>
    </w:p>
    <w:p w14:paraId="75A3CB8D" w14:textId="35BDBBB2" w:rsidR="00B93649" w:rsidRPr="00842E68" w:rsidRDefault="00F473CD"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CD17B8" w:rsidRPr="00842E68">
        <w:rPr>
          <w:rFonts w:ascii="Times New Roman" w:hAnsi="Times New Roman"/>
        </w:rPr>
        <w:t>In 1995</w:t>
      </w:r>
      <w:r w:rsidR="00702951" w:rsidRPr="00842E68">
        <w:rPr>
          <w:rFonts w:ascii="Times New Roman" w:hAnsi="Times New Roman"/>
        </w:rPr>
        <w:t xml:space="preserve"> and 1996</w:t>
      </w:r>
      <w:r w:rsidR="00CD17B8" w:rsidRPr="00842E68">
        <w:rPr>
          <w:rFonts w:ascii="Times New Roman" w:hAnsi="Times New Roman"/>
        </w:rPr>
        <w:t>, following negotiations conducted with the benefit of a grant of anti-trust immunity</w:t>
      </w:r>
      <w:r w:rsidR="00336271" w:rsidRPr="00842E68">
        <w:rPr>
          <w:rFonts w:ascii="Times New Roman" w:hAnsi="Times New Roman"/>
        </w:rPr>
        <w:t xml:space="preserve">, IATA </w:t>
      </w:r>
      <w:r w:rsidR="00B53E11" w:rsidRPr="00842E68">
        <w:rPr>
          <w:rFonts w:ascii="Times New Roman" w:hAnsi="Times New Roman"/>
        </w:rPr>
        <w:t>member airlines</w:t>
      </w:r>
      <w:r w:rsidR="00BA2C46" w:rsidRPr="00842E68">
        <w:rPr>
          <w:rFonts w:ascii="Times New Roman" w:hAnsi="Times New Roman"/>
        </w:rPr>
        <w:t xml:space="preserve"> and others</w:t>
      </w:r>
      <w:r w:rsidR="00B53E11" w:rsidRPr="00842E68">
        <w:rPr>
          <w:rFonts w:ascii="Times New Roman" w:hAnsi="Times New Roman"/>
        </w:rPr>
        <w:t xml:space="preserve"> entered </w:t>
      </w:r>
      <w:r w:rsidR="002F4F65" w:rsidRPr="00842E68">
        <w:rPr>
          <w:rFonts w:ascii="Times New Roman" w:hAnsi="Times New Roman"/>
        </w:rPr>
        <w:t>into</w:t>
      </w:r>
      <w:r w:rsidR="00B53E11" w:rsidRPr="00842E68">
        <w:rPr>
          <w:rFonts w:ascii="Times New Roman" w:hAnsi="Times New Roman"/>
        </w:rPr>
        <w:t xml:space="preserve"> agreement</w:t>
      </w:r>
      <w:r w:rsidR="002F4F65" w:rsidRPr="00842E68">
        <w:rPr>
          <w:rFonts w:ascii="Times New Roman" w:hAnsi="Times New Roman"/>
        </w:rPr>
        <w:t>s</w:t>
      </w:r>
      <w:r w:rsidR="00B53E11" w:rsidRPr="00842E68">
        <w:rPr>
          <w:rFonts w:ascii="Times New Roman" w:hAnsi="Times New Roman"/>
        </w:rPr>
        <w:t xml:space="preserve"> </w:t>
      </w:r>
      <w:r w:rsidR="0086202F" w:rsidRPr="00842E68">
        <w:rPr>
          <w:rFonts w:ascii="Times New Roman" w:hAnsi="Times New Roman"/>
        </w:rPr>
        <w:t>("the 1995</w:t>
      </w:r>
      <w:r w:rsidR="00702951" w:rsidRPr="00842E68">
        <w:rPr>
          <w:rFonts w:ascii="Times New Roman" w:hAnsi="Times New Roman"/>
        </w:rPr>
        <w:t>/6</w:t>
      </w:r>
      <w:r w:rsidR="0086202F" w:rsidRPr="00842E68">
        <w:rPr>
          <w:rFonts w:ascii="Times New Roman" w:hAnsi="Times New Roman"/>
        </w:rPr>
        <w:t xml:space="preserve"> IATA Agreement</w:t>
      </w:r>
      <w:r w:rsidR="00702951" w:rsidRPr="00842E68">
        <w:rPr>
          <w:rFonts w:ascii="Times New Roman" w:hAnsi="Times New Roman"/>
        </w:rPr>
        <w:t>s</w:t>
      </w:r>
      <w:r w:rsidR="0086202F" w:rsidRPr="00842E68">
        <w:rPr>
          <w:rFonts w:ascii="Times New Roman" w:hAnsi="Times New Roman"/>
        </w:rPr>
        <w:t xml:space="preserve">") </w:t>
      </w:r>
      <w:r w:rsidR="00843C3E" w:rsidRPr="00842E68">
        <w:rPr>
          <w:rFonts w:ascii="Times New Roman" w:hAnsi="Times New Roman"/>
        </w:rPr>
        <w:t xml:space="preserve">based on the recognition that </w:t>
      </w:r>
      <w:r w:rsidR="009E391B" w:rsidRPr="00842E68">
        <w:rPr>
          <w:rFonts w:ascii="Times New Roman" w:hAnsi="Times New Roman"/>
        </w:rPr>
        <w:t>the Warsaw Convention's "limits of liability ... are now grossly inadequate in most countries and that international airlines have previously acted together to increase them to the benefit of passengers".</w:t>
      </w:r>
      <w:r w:rsidR="00FB47B2" w:rsidRPr="00842E68">
        <w:rPr>
          <w:rStyle w:val="FootnoteReference"/>
          <w:rFonts w:ascii="Times New Roman" w:hAnsi="Times New Roman"/>
          <w:sz w:val="24"/>
        </w:rPr>
        <w:footnoteReference w:id="46"/>
      </w:r>
      <w:r w:rsidR="009E391B" w:rsidRPr="00842E68">
        <w:rPr>
          <w:rFonts w:ascii="Times New Roman" w:hAnsi="Times New Roman"/>
        </w:rPr>
        <w:t xml:space="preserve"> Under the 1995/6 IATA Agreements</w:t>
      </w:r>
      <w:r w:rsidR="00D251AA" w:rsidRPr="00842E68">
        <w:rPr>
          <w:rFonts w:ascii="Times New Roman" w:hAnsi="Times New Roman"/>
        </w:rPr>
        <w:t>,</w:t>
      </w:r>
      <w:r w:rsidR="009E391B" w:rsidRPr="00842E68">
        <w:rPr>
          <w:rFonts w:ascii="Times New Roman" w:hAnsi="Times New Roman"/>
        </w:rPr>
        <w:t xml:space="preserve"> the airlines </w:t>
      </w:r>
      <w:r w:rsidR="007D2F93" w:rsidRPr="00842E68">
        <w:rPr>
          <w:rFonts w:ascii="Times New Roman" w:hAnsi="Times New Roman"/>
        </w:rPr>
        <w:t>agreed</w:t>
      </w:r>
      <w:r w:rsidR="00A72456" w:rsidRPr="00842E68">
        <w:rPr>
          <w:rFonts w:ascii="Times New Roman" w:hAnsi="Times New Roman"/>
        </w:rPr>
        <w:t xml:space="preserve"> to</w:t>
      </w:r>
      <w:r w:rsidR="0024123B" w:rsidRPr="00842E68">
        <w:rPr>
          <w:rFonts w:ascii="Times New Roman" w:hAnsi="Times New Roman"/>
        </w:rPr>
        <w:t xml:space="preserve"> take measures including</w:t>
      </w:r>
      <w:r w:rsidR="007D2F93" w:rsidRPr="00842E68">
        <w:rPr>
          <w:rFonts w:ascii="Times New Roman" w:hAnsi="Times New Roman"/>
        </w:rPr>
        <w:t>: (</w:t>
      </w:r>
      <w:proofErr w:type="spellStart"/>
      <w:r w:rsidR="007D2F93" w:rsidRPr="00842E68">
        <w:rPr>
          <w:rFonts w:ascii="Times New Roman" w:hAnsi="Times New Roman"/>
        </w:rPr>
        <w:t>i</w:t>
      </w:r>
      <w:proofErr w:type="spellEnd"/>
      <w:r w:rsidR="007D2F93" w:rsidRPr="00842E68">
        <w:rPr>
          <w:rFonts w:ascii="Times New Roman" w:hAnsi="Times New Roman"/>
        </w:rPr>
        <w:t>)</w:t>
      </w:r>
      <w:r w:rsidR="000B4DEA" w:rsidRPr="00842E68">
        <w:rPr>
          <w:rFonts w:ascii="Times New Roman" w:hAnsi="Times New Roman"/>
        </w:rPr>
        <w:t> </w:t>
      </w:r>
      <w:r w:rsidR="007D2F93" w:rsidRPr="00842E68">
        <w:rPr>
          <w:rFonts w:ascii="Times New Roman" w:hAnsi="Times New Roman"/>
        </w:rPr>
        <w:t>waiv</w:t>
      </w:r>
      <w:r w:rsidR="0024123B" w:rsidRPr="00842E68">
        <w:rPr>
          <w:rFonts w:ascii="Times New Roman" w:hAnsi="Times New Roman"/>
        </w:rPr>
        <w:t>ing</w:t>
      </w:r>
      <w:r w:rsidR="007D2F93" w:rsidRPr="00842E68">
        <w:rPr>
          <w:rFonts w:ascii="Times New Roman" w:hAnsi="Times New Roman"/>
        </w:rPr>
        <w:t xml:space="preserve"> the</w:t>
      </w:r>
      <w:r w:rsidR="0024123B" w:rsidRPr="00842E68">
        <w:rPr>
          <w:rFonts w:ascii="Times New Roman" w:hAnsi="Times New Roman"/>
        </w:rPr>
        <w:t xml:space="preserve"> Warsaw Convention</w:t>
      </w:r>
      <w:r w:rsidR="006C303E" w:rsidRPr="00842E68">
        <w:rPr>
          <w:rFonts w:ascii="Times New Roman" w:hAnsi="Times New Roman"/>
        </w:rPr>
        <w:t>'s</w:t>
      </w:r>
      <w:r w:rsidR="007D2F93" w:rsidRPr="00842E68">
        <w:rPr>
          <w:rFonts w:ascii="Times New Roman" w:hAnsi="Times New Roman"/>
        </w:rPr>
        <w:t xml:space="preserve"> limit of liability</w:t>
      </w:r>
      <w:r w:rsidR="001E6DD4" w:rsidRPr="00842E68">
        <w:rPr>
          <w:rFonts w:ascii="Times New Roman" w:hAnsi="Times New Roman"/>
        </w:rPr>
        <w:t xml:space="preserve"> in Art</w:t>
      </w:r>
      <w:r w:rsidR="00775E73" w:rsidRPr="00842E68">
        <w:rPr>
          <w:rFonts w:ascii="Times New Roman" w:hAnsi="Times New Roman"/>
        </w:rPr>
        <w:t> </w:t>
      </w:r>
      <w:r w:rsidR="001E6DD4" w:rsidRPr="00842E68">
        <w:rPr>
          <w:rFonts w:ascii="Times New Roman" w:hAnsi="Times New Roman"/>
        </w:rPr>
        <w:t>22(1)</w:t>
      </w:r>
      <w:r w:rsidR="007D2F93" w:rsidRPr="00842E68">
        <w:rPr>
          <w:rFonts w:ascii="Times New Roman" w:hAnsi="Times New Roman"/>
        </w:rPr>
        <w:t xml:space="preserve"> for personal injury or death</w:t>
      </w:r>
      <w:r w:rsidR="00160922" w:rsidRPr="00842E68">
        <w:rPr>
          <w:rFonts w:ascii="Times New Roman" w:hAnsi="Times New Roman"/>
        </w:rPr>
        <w:t xml:space="preserve"> arising from an Art</w:t>
      </w:r>
      <w:r w:rsidR="000B4DEA" w:rsidRPr="00842E68">
        <w:rPr>
          <w:rFonts w:ascii="Times New Roman" w:hAnsi="Times New Roman"/>
        </w:rPr>
        <w:t> </w:t>
      </w:r>
      <w:r w:rsidR="00160922" w:rsidRPr="00842E68">
        <w:rPr>
          <w:rFonts w:ascii="Times New Roman" w:hAnsi="Times New Roman"/>
        </w:rPr>
        <w:t>17 accident</w:t>
      </w:r>
      <w:r w:rsidR="007D2F93" w:rsidRPr="00842E68">
        <w:rPr>
          <w:rFonts w:ascii="Times New Roman" w:hAnsi="Times New Roman"/>
        </w:rPr>
        <w:t xml:space="preserve">; </w:t>
      </w:r>
      <w:r w:rsidR="0024123B" w:rsidRPr="00842E68">
        <w:rPr>
          <w:rFonts w:ascii="Times New Roman" w:hAnsi="Times New Roman"/>
        </w:rPr>
        <w:t xml:space="preserve">and </w:t>
      </w:r>
      <w:r w:rsidR="007D2F93" w:rsidRPr="00842E68">
        <w:rPr>
          <w:rFonts w:ascii="Times New Roman" w:hAnsi="Times New Roman"/>
        </w:rPr>
        <w:t>(ii)</w:t>
      </w:r>
      <w:r w:rsidR="000B4DEA" w:rsidRPr="00842E68">
        <w:rPr>
          <w:rFonts w:ascii="Times New Roman" w:hAnsi="Times New Roman"/>
        </w:rPr>
        <w:t> </w:t>
      </w:r>
      <w:r w:rsidR="0084053F" w:rsidRPr="00842E68">
        <w:rPr>
          <w:rFonts w:ascii="Times New Roman" w:hAnsi="Times New Roman"/>
        </w:rPr>
        <w:t>waiv</w:t>
      </w:r>
      <w:r w:rsidR="0024123B" w:rsidRPr="00842E68">
        <w:rPr>
          <w:rFonts w:ascii="Times New Roman" w:hAnsi="Times New Roman"/>
        </w:rPr>
        <w:t>ing</w:t>
      </w:r>
      <w:r w:rsidR="0084053F" w:rsidRPr="00842E68">
        <w:rPr>
          <w:rFonts w:ascii="Times New Roman" w:hAnsi="Times New Roman"/>
        </w:rPr>
        <w:t xml:space="preserve"> the </w:t>
      </w:r>
      <w:r w:rsidR="0024123B" w:rsidRPr="00842E68">
        <w:rPr>
          <w:rFonts w:ascii="Times New Roman" w:hAnsi="Times New Roman"/>
        </w:rPr>
        <w:t>Art</w:t>
      </w:r>
      <w:r w:rsidR="000B4DEA" w:rsidRPr="00842E68">
        <w:rPr>
          <w:rFonts w:ascii="Times New Roman" w:hAnsi="Times New Roman"/>
        </w:rPr>
        <w:t> </w:t>
      </w:r>
      <w:r w:rsidR="0024123B" w:rsidRPr="00842E68">
        <w:rPr>
          <w:rFonts w:ascii="Times New Roman" w:hAnsi="Times New Roman"/>
        </w:rPr>
        <w:t xml:space="preserve">20(1) </w:t>
      </w:r>
      <w:r w:rsidR="0084053F" w:rsidRPr="00842E68">
        <w:rPr>
          <w:rFonts w:ascii="Times New Roman" w:hAnsi="Times New Roman"/>
        </w:rPr>
        <w:t>"all necessary measures" defence</w:t>
      </w:r>
      <w:r w:rsidR="00A64721" w:rsidRPr="00842E68">
        <w:rPr>
          <w:rFonts w:ascii="Times New Roman" w:hAnsi="Times New Roman"/>
        </w:rPr>
        <w:t xml:space="preserve"> for that part of any claim that is below 100,000 Special Drawing Rights</w:t>
      </w:r>
      <w:r w:rsidR="00EB78AE" w:rsidRPr="00842E68">
        <w:rPr>
          <w:rFonts w:ascii="Times New Roman" w:hAnsi="Times New Roman"/>
        </w:rPr>
        <w:t>.</w:t>
      </w:r>
      <w:r w:rsidR="00DE2619" w:rsidRPr="00842E68">
        <w:rPr>
          <w:rStyle w:val="FootnoteReference"/>
          <w:rFonts w:ascii="Times New Roman" w:hAnsi="Times New Roman"/>
          <w:sz w:val="24"/>
        </w:rPr>
        <w:footnoteReference w:id="47"/>
      </w:r>
      <w:r w:rsidR="0084053F" w:rsidRPr="00842E68">
        <w:rPr>
          <w:rFonts w:ascii="Times New Roman" w:hAnsi="Times New Roman"/>
        </w:rPr>
        <w:t xml:space="preserve"> </w:t>
      </w:r>
      <w:r w:rsidR="00471EF6" w:rsidRPr="00842E68">
        <w:rPr>
          <w:rFonts w:ascii="Times New Roman" w:hAnsi="Times New Roman"/>
        </w:rPr>
        <w:t>The European Union followed suit in 1997 with a regulation</w:t>
      </w:r>
      <w:r w:rsidR="007942FD" w:rsidRPr="00842E68">
        <w:rPr>
          <w:rFonts w:ascii="Times New Roman" w:hAnsi="Times New Roman"/>
        </w:rPr>
        <w:t xml:space="preserve"> requiring waivers</w:t>
      </w:r>
      <w:r w:rsidR="00471EF6" w:rsidRPr="00842E68">
        <w:rPr>
          <w:rFonts w:ascii="Times New Roman" w:hAnsi="Times New Roman"/>
        </w:rPr>
        <w:t xml:space="preserve"> to similar effect.</w:t>
      </w:r>
      <w:r w:rsidR="00471EF6" w:rsidRPr="00842E68">
        <w:rPr>
          <w:rStyle w:val="FootnoteReference"/>
          <w:rFonts w:ascii="Times New Roman" w:hAnsi="Times New Roman"/>
          <w:sz w:val="24"/>
        </w:rPr>
        <w:footnoteReference w:id="48"/>
      </w:r>
      <w:r w:rsidR="00B93649" w:rsidRPr="00842E68">
        <w:rPr>
          <w:rFonts w:ascii="Times New Roman" w:hAnsi="Times New Roman"/>
        </w:rPr>
        <w:t xml:space="preserve"> </w:t>
      </w:r>
    </w:p>
    <w:p w14:paraId="0DC0363D" w14:textId="248DD3FE" w:rsidR="00F473CD" w:rsidRPr="00842E68" w:rsidRDefault="00B93649" w:rsidP="00842E68">
      <w:pPr>
        <w:pStyle w:val="FixListStyle"/>
        <w:spacing w:after="260" w:line="280" w:lineRule="exact"/>
        <w:ind w:right="0"/>
        <w:jc w:val="both"/>
        <w:rPr>
          <w:rFonts w:ascii="Times New Roman" w:hAnsi="Times New Roman"/>
        </w:rPr>
      </w:pPr>
      <w:r w:rsidRPr="00842E68">
        <w:rPr>
          <w:rFonts w:ascii="Times New Roman" w:hAnsi="Times New Roman"/>
        </w:rPr>
        <w:tab/>
        <w:t>The 1995/6 IATA Agreements, like the</w:t>
      </w:r>
      <w:r w:rsidR="00B2484C" w:rsidRPr="00842E68">
        <w:rPr>
          <w:rFonts w:ascii="Times New Roman" w:hAnsi="Times New Roman"/>
        </w:rPr>
        <w:t xml:space="preserve"> 1966 IATA Agreement and the</w:t>
      </w:r>
      <w:r w:rsidRPr="00842E68">
        <w:rPr>
          <w:rFonts w:ascii="Times New Roman" w:hAnsi="Times New Roman"/>
        </w:rPr>
        <w:t xml:space="preserve"> </w:t>
      </w:r>
      <w:r w:rsidR="001E5069" w:rsidRPr="00842E68">
        <w:rPr>
          <w:rFonts w:ascii="Times New Roman" w:hAnsi="Times New Roman"/>
        </w:rPr>
        <w:t>Malta Agreement</w:t>
      </w:r>
      <w:r w:rsidR="00B2484C" w:rsidRPr="00842E68">
        <w:rPr>
          <w:rFonts w:ascii="Times New Roman" w:hAnsi="Times New Roman"/>
        </w:rPr>
        <w:t>,</w:t>
      </w:r>
      <w:r w:rsidR="00B2484C" w:rsidRPr="00842E68">
        <w:rPr>
          <w:rStyle w:val="FootnoteReference"/>
          <w:rFonts w:ascii="Times New Roman" w:hAnsi="Times New Roman"/>
          <w:sz w:val="24"/>
        </w:rPr>
        <w:footnoteReference w:id="49"/>
      </w:r>
      <w:r w:rsidRPr="00842E68">
        <w:rPr>
          <w:rFonts w:ascii="Times New Roman" w:hAnsi="Times New Roman"/>
        </w:rPr>
        <w:t xml:space="preserve"> provided for this waiver of liability to take effect by "incorporating [the waivers] in </w:t>
      </w:r>
      <w:r w:rsidR="00766773">
        <w:rPr>
          <w:rFonts w:ascii="Times New Roman" w:hAnsi="Times New Roman"/>
        </w:rPr>
        <w:t>[carriers']</w:t>
      </w:r>
      <w:r w:rsidRPr="00842E68">
        <w:rPr>
          <w:rFonts w:ascii="Times New Roman" w:hAnsi="Times New Roman"/>
        </w:rPr>
        <w:t xml:space="preserve"> conditions of carriage and tariffs".</w:t>
      </w:r>
      <w:r w:rsidR="00583BEB" w:rsidRPr="00842E68">
        <w:rPr>
          <w:rFonts w:ascii="Times New Roman" w:hAnsi="Times New Roman"/>
        </w:rPr>
        <w:t xml:space="preserve"> This was an application of the </w:t>
      </w:r>
      <w:r w:rsidR="00CA354D" w:rsidRPr="00842E68">
        <w:rPr>
          <w:rFonts w:ascii="Times New Roman" w:hAnsi="Times New Roman"/>
        </w:rPr>
        <w:t>provision in Art</w:t>
      </w:r>
      <w:r w:rsidR="008B7FC1" w:rsidRPr="00842E68">
        <w:rPr>
          <w:rFonts w:ascii="Times New Roman" w:hAnsi="Times New Roman"/>
        </w:rPr>
        <w:t> </w:t>
      </w:r>
      <w:r w:rsidR="00CA354D" w:rsidRPr="00842E68">
        <w:rPr>
          <w:rFonts w:ascii="Times New Roman" w:hAnsi="Times New Roman"/>
        </w:rPr>
        <w:t xml:space="preserve">22(1) of the Warsaw Convention </w:t>
      </w:r>
      <w:r w:rsidR="00455A83" w:rsidRPr="00842E68">
        <w:rPr>
          <w:rFonts w:ascii="Times New Roman" w:hAnsi="Times New Roman"/>
        </w:rPr>
        <w:t>under</w:t>
      </w:r>
      <w:r w:rsidR="00CA354D" w:rsidRPr="00842E68">
        <w:rPr>
          <w:rFonts w:ascii="Times New Roman" w:hAnsi="Times New Roman"/>
        </w:rPr>
        <w:t xml:space="preserve"> </w:t>
      </w:r>
      <w:r w:rsidR="00CA354D" w:rsidRPr="00842E68">
        <w:rPr>
          <w:rFonts w:ascii="Times New Roman" w:hAnsi="Times New Roman"/>
        </w:rPr>
        <w:lastRenderedPageBreak/>
        <w:t>which "by special contract, the carrier and the passenger may agree to a higher limit of liability".</w:t>
      </w:r>
      <w:r w:rsidR="00933D9A" w:rsidRPr="00842E68">
        <w:rPr>
          <w:rStyle w:val="FootnoteReference"/>
          <w:rFonts w:ascii="Times New Roman" w:hAnsi="Times New Roman"/>
          <w:sz w:val="24"/>
        </w:rPr>
        <w:footnoteReference w:id="50"/>
      </w:r>
      <w:r w:rsidR="00CA354D" w:rsidRPr="00842E68">
        <w:rPr>
          <w:rFonts w:ascii="Times New Roman" w:hAnsi="Times New Roman"/>
        </w:rPr>
        <w:t xml:space="preserve"> </w:t>
      </w:r>
    </w:p>
    <w:p w14:paraId="38B6D596" w14:textId="1FA19924" w:rsidR="00261264" w:rsidRPr="00842E68" w:rsidRDefault="003664D5" w:rsidP="00842E68">
      <w:pPr>
        <w:pStyle w:val="HeadingL2"/>
        <w:spacing w:after="260" w:line="280" w:lineRule="exact"/>
        <w:ind w:right="0"/>
        <w:jc w:val="both"/>
        <w:rPr>
          <w:rFonts w:ascii="Times New Roman" w:hAnsi="Times New Roman"/>
        </w:rPr>
      </w:pPr>
      <w:r w:rsidRPr="00842E68">
        <w:rPr>
          <w:rFonts w:ascii="Times New Roman" w:hAnsi="Times New Roman"/>
        </w:rPr>
        <w:t>The</w:t>
      </w:r>
      <w:r w:rsidR="007C2380" w:rsidRPr="00842E68">
        <w:rPr>
          <w:rFonts w:ascii="Times New Roman" w:hAnsi="Times New Roman"/>
        </w:rPr>
        <w:t xml:space="preserve"> development of</w:t>
      </w:r>
      <w:r w:rsidR="004D0E57" w:rsidRPr="00842E68">
        <w:rPr>
          <w:rFonts w:ascii="Times New Roman" w:hAnsi="Times New Roman"/>
        </w:rPr>
        <w:t xml:space="preserve">, and </w:t>
      </w:r>
      <w:r w:rsidR="00FC3E29" w:rsidRPr="00842E68">
        <w:rPr>
          <w:rFonts w:ascii="Times New Roman" w:hAnsi="Times New Roman"/>
          <w:iCs/>
        </w:rPr>
        <w:t xml:space="preserve">travaux </w:t>
      </w:r>
      <w:proofErr w:type="spellStart"/>
      <w:r w:rsidR="00FC3E29" w:rsidRPr="00842E68">
        <w:rPr>
          <w:rFonts w:ascii="Times New Roman" w:hAnsi="Times New Roman"/>
          <w:iCs/>
        </w:rPr>
        <w:t>pr</w:t>
      </w:r>
      <w:r w:rsidR="00857656" w:rsidRPr="00842E68">
        <w:rPr>
          <w:rFonts w:ascii="Times New Roman" w:hAnsi="Times New Roman"/>
          <w:iCs/>
        </w:rPr>
        <w:t>é</w:t>
      </w:r>
      <w:r w:rsidR="00FC3E29" w:rsidRPr="00842E68">
        <w:rPr>
          <w:rFonts w:ascii="Times New Roman" w:hAnsi="Times New Roman"/>
          <w:iCs/>
        </w:rPr>
        <w:t>paratoires</w:t>
      </w:r>
      <w:proofErr w:type="spellEnd"/>
      <w:r w:rsidR="00FC3E29" w:rsidRPr="00842E68">
        <w:rPr>
          <w:rFonts w:ascii="Times New Roman" w:hAnsi="Times New Roman"/>
          <w:iCs/>
        </w:rPr>
        <w:t xml:space="preserve"> to,</w:t>
      </w:r>
      <w:r w:rsidR="007C2380" w:rsidRPr="00842E68">
        <w:rPr>
          <w:rFonts w:ascii="Times New Roman" w:hAnsi="Times New Roman"/>
        </w:rPr>
        <w:t xml:space="preserve"> the</w:t>
      </w:r>
      <w:r w:rsidRPr="00842E68">
        <w:rPr>
          <w:rFonts w:ascii="Times New Roman" w:hAnsi="Times New Roman"/>
        </w:rPr>
        <w:t xml:space="preserve"> Montreal Convention</w:t>
      </w:r>
      <w:r w:rsidR="009A0592" w:rsidRPr="00842E68">
        <w:rPr>
          <w:rFonts w:ascii="Times New Roman" w:hAnsi="Times New Roman"/>
        </w:rPr>
        <w:t xml:space="preserve"> </w:t>
      </w:r>
      <w:r w:rsidR="007C0DFD" w:rsidRPr="00842E68">
        <w:rPr>
          <w:rFonts w:ascii="Times New Roman" w:hAnsi="Times New Roman"/>
        </w:rPr>
        <w:t xml:space="preserve"> </w:t>
      </w:r>
      <w:r w:rsidR="00163B87" w:rsidRPr="00842E68">
        <w:rPr>
          <w:rFonts w:ascii="Times New Roman" w:hAnsi="Times New Roman"/>
          <w:iCs/>
        </w:rPr>
        <w:t xml:space="preserve"> </w:t>
      </w:r>
    </w:p>
    <w:p w14:paraId="78A590DC" w14:textId="181B434D" w:rsidR="0049654C" w:rsidRPr="00842E68" w:rsidRDefault="00261264"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49654C" w:rsidRPr="00842E68">
        <w:rPr>
          <w:rFonts w:ascii="Times New Roman" w:hAnsi="Times New Roman"/>
        </w:rPr>
        <w:t>In December 1994, the International Civil Aviation Organization ("ICAO") Council established the parameters for the ICAO Secretariat</w:t>
      </w:r>
      <w:r w:rsidR="00A92E85" w:rsidRPr="00842E68">
        <w:rPr>
          <w:rFonts w:ascii="Times New Roman" w:hAnsi="Times New Roman"/>
        </w:rPr>
        <w:t xml:space="preserve"> to carry out</w:t>
      </w:r>
      <w:r w:rsidR="0049654C" w:rsidRPr="00842E68">
        <w:rPr>
          <w:rFonts w:ascii="Times New Roman" w:hAnsi="Times New Roman"/>
        </w:rPr>
        <w:t xml:space="preserve"> </w:t>
      </w:r>
      <w:r w:rsidR="00750E58" w:rsidRPr="00842E68">
        <w:rPr>
          <w:rFonts w:ascii="Times New Roman" w:hAnsi="Times New Roman"/>
        </w:rPr>
        <w:t xml:space="preserve">an </w:t>
      </w:r>
      <w:r w:rsidR="001C670F" w:rsidRPr="00842E68">
        <w:rPr>
          <w:rFonts w:ascii="Times New Roman" w:hAnsi="Times New Roman"/>
        </w:rPr>
        <w:t>"</w:t>
      </w:r>
      <w:r w:rsidR="00750E58" w:rsidRPr="00842E68">
        <w:rPr>
          <w:rFonts w:ascii="Times New Roman" w:hAnsi="Times New Roman"/>
        </w:rPr>
        <w:t>analysis of the limits of air carrier liability</w:t>
      </w:r>
      <w:r w:rsidR="00A26565" w:rsidRPr="00842E68">
        <w:rPr>
          <w:rFonts w:ascii="Times New Roman" w:hAnsi="Times New Roman"/>
        </w:rPr>
        <w:t>"</w:t>
      </w:r>
      <w:r w:rsidR="00750E58" w:rsidRPr="00842E68">
        <w:rPr>
          <w:rFonts w:ascii="Times New Roman" w:hAnsi="Times New Roman"/>
        </w:rPr>
        <w:t xml:space="preserve"> </w:t>
      </w:r>
      <w:r w:rsidR="00A26565" w:rsidRPr="00842E68">
        <w:rPr>
          <w:rFonts w:ascii="Times New Roman" w:hAnsi="Times New Roman"/>
        </w:rPr>
        <w:t xml:space="preserve">as part of </w:t>
      </w:r>
      <w:r w:rsidR="0049654C" w:rsidRPr="00842E68">
        <w:rPr>
          <w:rFonts w:ascii="Times New Roman" w:hAnsi="Times New Roman"/>
        </w:rPr>
        <w:t>"a comprehensive effort to accelerate the modernization of the 'Warsaw System' of air carrier liability". That analysis showed widespread dissatisfaction with the limits o</w:t>
      </w:r>
      <w:r w:rsidR="00E44F08" w:rsidRPr="00842E68">
        <w:rPr>
          <w:rFonts w:ascii="Times New Roman" w:hAnsi="Times New Roman"/>
        </w:rPr>
        <w:t>f</w:t>
      </w:r>
      <w:r w:rsidR="0049654C" w:rsidRPr="00842E68">
        <w:rPr>
          <w:rFonts w:ascii="Times New Roman" w:hAnsi="Times New Roman"/>
        </w:rPr>
        <w:t xml:space="preserve"> liability imposed by the Warsaw Convention.</w:t>
      </w:r>
      <w:r w:rsidR="0049654C" w:rsidRPr="00842E68">
        <w:rPr>
          <w:rStyle w:val="FootnoteReference"/>
          <w:rFonts w:ascii="Times New Roman" w:hAnsi="Times New Roman"/>
          <w:sz w:val="24"/>
        </w:rPr>
        <w:footnoteReference w:id="51"/>
      </w:r>
    </w:p>
    <w:p w14:paraId="16E6226A" w14:textId="700A729E" w:rsidR="00D5404B" w:rsidRPr="00842E68" w:rsidRDefault="0049654C"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3F2808" w:rsidRPr="00842E68">
        <w:rPr>
          <w:rFonts w:ascii="Times New Roman" w:hAnsi="Times New Roman"/>
        </w:rPr>
        <w:t xml:space="preserve">In 1995, </w:t>
      </w:r>
      <w:r w:rsidR="0050664B" w:rsidRPr="00842E68">
        <w:rPr>
          <w:rFonts w:ascii="Times New Roman" w:hAnsi="Times New Roman"/>
        </w:rPr>
        <w:t xml:space="preserve">the 31st session of the </w:t>
      </w:r>
      <w:r w:rsidR="009315DF" w:rsidRPr="00842E68">
        <w:rPr>
          <w:rFonts w:ascii="Times New Roman" w:hAnsi="Times New Roman"/>
        </w:rPr>
        <w:t>ICAO</w:t>
      </w:r>
      <w:r w:rsidR="0050664B" w:rsidRPr="00842E68">
        <w:rPr>
          <w:rFonts w:ascii="Times New Roman" w:hAnsi="Times New Roman"/>
        </w:rPr>
        <w:t xml:space="preserve"> </w:t>
      </w:r>
      <w:r w:rsidR="002D54BC" w:rsidRPr="00842E68">
        <w:rPr>
          <w:rFonts w:ascii="Times New Roman" w:hAnsi="Times New Roman"/>
        </w:rPr>
        <w:t>Assembly</w:t>
      </w:r>
      <w:r w:rsidR="003F2808" w:rsidRPr="00842E68">
        <w:rPr>
          <w:rFonts w:ascii="Times New Roman" w:hAnsi="Times New Roman"/>
        </w:rPr>
        <w:t xml:space="preserve"> directed the ICAO Council to "continue its efforts to moderni</w:t>
      </w:r>
      <w:r w:rsidR="002161A5" w:rsidRPr="00842E68">
        <w:rPr>
          <w:rFonts w:ascii="Times New Roman" w:hAnsi="Times New Roman"/>
        </w:rPr>
        <w:t>z</w:t>
      </w:r>
      <w:r w:rsidR="003F2808" w:rsidRPr="00842E68">
        <w:rPr>
          <w:rFonts w:ascii="Times New Roman" w:hAnsi="Times New Roman"/>
        </w:rPr>
        <w:t xml:space="preserve">e </w:t>
      </w:r>
      <w:r w:rsidR="00ED0A2B" w:rsidRPr="00842E68">
        <w:rPr>
          <w:rFonts w:ascii="Times New Roman" w:hAnsi="Times New Roman"/>
        </w:rPr>
        <w:t>the 'Warsaw System' as expeditiously as possible".</w:t>
      </w:r>
      <w:r w:rsidR="00ED0A2B" w:rsidRPr="00842E68">
        <w:rPr>
          <w:rStyle w:val="FootnoteReference"/>
          <w:rFonts w:ascii="Times New Roman" w:hAnsi="Times New Roman"/>
          <w:sz w:val="24"/>
        </w:rPr>
        <w:footnoteReference w:id="52"/>
      </w:r>
      <w:r w:rsidR="002D54BC" w:rsidRPr="00842E68">
        <w:rPr>
          <w:rFonts w:ascii="Times New Roman" w:hAnsi="Times New Roman"/>
        </w:rPr>
        <w:t xml:space="preserve"> </w:t>
      </w:r>
      <w:r w:rsidR="00A25FEF" w:rsidRPr="00842E68">
        <w:rPr>
          <w:rFonts w:ascii="Times New Roman" w:hAnsi="Times New Roman"/>
        </w:rPr>
        <w:t xml:space="preserve">In 1997, </w:t>
      </w:r>
      <w:r w:rsidR="00336500" w:rsidRPr="00842E68">
        <w:rPr>
          <w:rFonts w:ascii="Times New Roman" w:hAnsi="Times New Roman"/>
        </w:rPr>
        <w:t xml:space="preserve">at </w:t>
      </w:r>
      <w:r w:rsidR="00B70A9A" w:rsidRPr="00842E68">
        <w:rPr>
          <w:rFonts w:ascii="Times New Roman" w:hAnsi="Times New Roman"/>
        </w:rPr>
        <w:t>the</w:t>
      </w:r>
      <w:r w:rsidR="00E90E5F" w:rsidRPr="00842E68">
        <w:rPr>
          <w:rFonts w:ascii="Times New Roman" w:hAnsi="Times New Roman"/>
        </w:rPr>
        <w:t xml:space="preserve"> </w:t>
      </w:r>
      <w:r w:rsidR="001544C3" w:rsidRPr="00842E68">
        <w:rPr>
          <w:rFonts w:ascii="Times New Roman" w:hAnsi="Times New Roman"/>
        </w:rPr>
        <w:t>30th session of the</w:t>
      </w:r>
      <w:r w:rsidR="00E90E5F" w:rsidRPr="00842E68">
        <w:rPr>
          <w:rFonts w:ascii="Times New Roman" w:hAnsi="Times New Roman"/>
        </w:rPr>
        <w:t xml:space="preserve"> ICAO</w:t>
      </w:r>
      <w:r w:rsidR="00B70A9A" w:rsidRPr="00842E68">
        <w:rPr>
          <w:rFonts w:ascii="Times New Roman" w:hAnsi="Times New Roman"/>
        </w:rPr>
        <w:t xml:space="preserve"> Legal Committee</w:t>
      </w:r>
      <w:r w:rsidR="00336500" w:rsidRPr="00842E68">
        <w:rPr>
          <w:rFonts w:ascii="Times New Roman" w:hAnsi="Times New Roman"/>
        </w:rPr>
        <w:t>, "[a]</w:t>
      </w:r>
      <w:proofErr w:type="spellStart"/>
      <w:r w:rsidR="00336500" w:rsidRPr="00842E68">
        <w:rPr>
          <w:rFonts w:ascii="Times New Roman" w:hAnsi="Times New Roman"/>
        </w:rPr>
        <w:t>ll</w:t>
      </w:r>
      <w:proofErr w:type="spellEnd"/>
      <w:r w:rsidR="00336500" w:rsidRPr="00842E68">
        <w:rPr>
          <w:rFonts w:ascii="Times New Roman" w:hAnsi="Times New Roman"/>
        </w:rPr>
        <w:t xml:space="preserve"> attention was focused </w:t>
      </w:r>
      <w:r w:rsidR="005C67FE" w:rsidRPr="00842E68">
        <w:rPr>
          <w:rFonts w:ascii="Times New Roman" w:hAnsi="Times New Roman"/>
        </w:rPr>
        <w:t>only on the</w:t>
      </w:r>
      <w:r w:rsidR="00766310" w:rsidRPr="00842E68">
        <w:rPr>
          <w:rFonts w:ascii="Times New Roman" w:hAnsi="Times New Roman"/>
        </w:rPr>
        <w:t xml:space="preserve"> [1995/6 IATA Agreements]</w:t>
      </w:r>
      <w:r w:rsidR="005C67FE" w:rsidRPr="00842E68">
        <w:rPr>
          <w:rFonts w:ascii="Times New Roman" w:hAnsi="Times New Roman"/>
        </w:rPr>
        <w:t xml:space="preserve"> that </w:t>
      </w:r>
      <w:r w:rsidR="00B07D96" w:rsidRPr="00842E68">
        <w:rPr>
          <w:rFonts w:ascii="Times New Roman" w:hAnsi="Times New Roman"/>
        </w:rPr>
        <w:t>[were]</w:t>
      </w:r>
      <w:r w:rsidR="005C67FE" w:rsidRPr="00842E68">
        <w:rPr>
          <w:rFonts w:ascii="Times New Roman" w:hAnsi="Times New Roman"/>
        </w:rPr>
        <w:t xml:space="preserve"> embodied in the draft presented to the Committee"</w:t>
      </w:r>
      <w:r w:rsidR="003F3C0E">
        <w:rPr>
          <w:rFonts w:ascii="Times New Roman" w:hAnsi="Times New Roman"/>
        </w:rPr>
        <w:t>.</w:t>
      </w:r>
      <w:r w:rsidR="005C67FE" w:rsidRPr="00842E68">
        <w:rPr>
          <w:rStyle w:val="FootnoteReference"/>
          <w:rFonts w:ascii="Times New Roman" w:hAnsi="Times New Roman"/>
          <w:sz w:val="24"/>
        </w:rPr>
        <w:footnoteReference w:id="53"/>
      </w:r>
      <w:r w:rsidR="00B70A9A" w:rsidRPr="00842E68">
        <w:rPr>
          <w:rFonts w:ascii="Times New Roman" w:hAnsi="Times New Roman"/>
        </w:rPr>
        <w:t xml:space="preserve"> </w:t>
      </w:r>
    </w:p>
    <w:p w14:paraId="0B34753B" w14:textId="502E5271" w:rsidR="00246EED" w:rsidRPr="00842E68" w:rsidRDefault="00D5404B"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246EED" w:rsidRPr="00842E68">
        <w:rPr>
          <w:rFonts w:ascii="Times New Roman" w:hAnsi="Times New Roman"/>
        </w:rPr>
        <w:t xml:space="preserve">A draft of the Montreal Convention </w:t>
      </w:r>
      <w:r w:rsidR="00D17BC9" w:rsidRPr="00842E68">
        <w:rPr>
          <w:rFonts w:ascii="Times New Roman" w:hAnsi="Times New Roman"/>
        </w:rPr>
        <w:t xml:space="preserve">presented to </w:t>
      </w:r>
      <w:r w:rsidR="00246EED" w:rsidRPr="00842E68">
        <w:rPr>
          <w:rFonts w:ascii="Times New Roman" w:hAnsi="Times New Roman"/>
        </w:rPr>
        <w:t>the International Conference on Air Law convened by ICAO in Montreal in May 1999 ("the Diplomatic Conference")</w:t>
      </w:r>
      <w:r w:rsidR="00D17BC9" w:rsidRPr="00842E68">
        <w:rPr>
          <w:rFonts w:ascii="Times New Roman" w:hAnsi="Times New Roman"/>
        </w:rPr>
        <w:t xml:space="preserve"> </w:t>
      </w:r>
      <w:r w:rsidR="00DB096D" w:rsidRPr="00842E68">
        <w:rPr>
          <w:rFonts w:ascii="Times New Roman" w:hAnsi="Times New Roman"/>
        </w:rPr>
        <w:t>provided for</w:t>
      </w:r>
      <w:r w:rsidR="00246EED" w:rsidRPr="00842E68" w:rsidDel="00DE5CD3">
        <w:rPr>
          <w:rFonts w:ascii="Times New Roman" w:hAnsi="Times New Roman"/>
        </w:rPr>
        <w:t xml:space="preserve"> </w:t>
      </w:r>
      <w:r w:rsidR="00246EED" w:rsidRPr="00842E68">
        <w:rPr>
          <w:rFonts w:ascii="Times New Roman" w:hAnsi="Times New Roman"/>
        </w:rPr>
        <w:t>liability</w:t>
      </w:r>
      <w:r w:rsidR="00B071BA" w:rsidRPr="00842E68">
        <w:rPr>
          <w:rFonts w:ascii="Times New Roman" w:hAnsi="Times New Roman"/>
        </w:rPr>
        <w:t xml:space="preserve"> for personal injury or death in the</w:t>
      </w:r>
      <w:r w:rsidR="00E50142" w:rsidRPr="00842E68">
        <w:rPr>
          <w:rFonts w:ascii="Times New Roman" w:hAnsi="Times New Roman"/>
        </w:rPr>
        <w:t xml:space="preserve"> same circumstances as provided by Art</w:t>
      </w:r>
      <w:r w:rsidR="00CD3E11" w:rsidRPr="00842E68">
        <w:rPr>
          <w:rFonts w:ascii="Times New Roman" w:hAnsi="Times New Roman"/>
        </w:rPr>
        <w:t> </w:t>
      </w:r>
      <w:r w:rsidR="00E50142" w:rsidRPr="00842E68">
        <w:rPr>
          <w:rFonts w:ascii="Times New Roman" w:hAnsi="Times New Roman"/>
        </w:rPr>
        <w:t>17 of the Warsaw Convention</w:t>
      </w:r>
      <w:r w:rsidR="00754CE7" w:rsidRPr="00842E68">
        <w:rPr>
          <w:rFonts w:ascii="Times New Roman" w:hAnsi="Times New Roman"/>
        </w:rPr>
        <w:t>. T</w:t>
      </w:r>
      <w:r w:rsidR="009A21DF" w:rsidRPr="00842E68">
        <w:rPr>
          <w:rFonts w:ascii="Times New Roman" w:hAnsi="Times New Roman"/>
        </w:rPr>
        <w:t xml:space="preserve">hat liability </w:t>
      </w:r>
      <w:r w:rsidR="00754CE7" w:rsidRPr="00842E68">
        <w:rPr>
          <w:rFonts w:ascii="Times New Roman" w:hAnsi="Times New Roman"/>
        </w:rPr>
        <w:t xml:space="preserve">was </w:t>
      </w:r>
      <w:r w:rsidR="00F06BF8" w:rsidRPr="00842E68">
        <w:rPr>
          <w:rFonts w:ascii="Times New Roman" w:hAnsi="Times New Roman"/>
        </w:rPr>
        <w:t xml:space="preserve">effectively </w:t>
      </w:r>
      <w:r w:rsidR="009A21DF" w:rsidRPr="00842E68">
        <w:rPr>
          <w:rFonts w:ascii="Times New Roman" w:hAnsi="Times New Roman"/>
        </w:rPr>
        <w:t>divided into two tiers</w:t>
      </w:r>
      <w:r w:rsidR="00271DC2" w:rsidRPr="00842E68">
        <w:rPr>
          <w:rFonts w:ascii="Times New Roman" w:hAnsi="Times New Roman"/>
        </w:rPr>
        <w:t xml:space="preserve"> </w:t>
      </w:r>
      <w:r w:rsidR="00F06BF8" w:rsidRPr="00842E68">
        <w:rPr>
          <w:rFonts w:ascii="Times New Roman" w:hAnsi="Times New Roman"/>
        </w:rPr>
        <w:t xml:space="preserve">for the purposes of a defence </w:t>
      </w:r>
      <w:r w:rsidR="00271DC2" w:rsidRPr="00842E68">
        <w:rPr>
          <w:rFonts w:ascii="Times New Roman" w:hAnsi="Times New Roman"/>
        </w:rPr>
        <w:t>contained in draft Art</w:t>
      </w:r>
      <w:r w:rsidR="00CD3E11" w:rsidRPr="00842E68">
        <w:rPr>
          <w:rFonts w:ascii="Times New Roman" w:hAnsi="Times New Roman"/>
        </w:rPr>
        <w:t> </w:t>
      </w:r>
      <w:r w:rsidR="00271DC2" w:rsidRPr="00842E68">
        <w:rPr>
          <w:rFonts w:ascii="Times New Roman" w:hAnsi="Times New Roman"/>
        </w:rPr>
        <w:t>20</w:t>
      </w:r>
      <w:r w:rsidR="009A21DF" w:rsidRPr="00842E68">
        <w:rPr>
          <w:rFonts w:ascii="Times New Roman" w:hAnsi="Times New Roman"/>
        </w:rPr>
        <w:t xml:space="preserve">. </w:t>
      </w:r>
      <w:r w:rsidR="00544A1D" w:rsidRPr="00842E68">
        <w:rPr>
          <w:rFonts w:ascii="Times New Roman" w:hAnsi="Times New Roman"/>
        </w:rPr>
        <w:t xml:space="preserve">The first </w:t>
      </w:r>
      <w:proofErr w:type="gramStart"/>
      <w:r w:rsidR="00544A1D" w:rsidRPr="00842E68">
        <w:rPr>
          <w:rFonts w:ascii="Times New Roman" w:hAnsi="Times New Roman"/>
        </w:rPr>
        <w:t xml:space="preserve">tier </w:t>
      </w:r>
      <w:r w:rsidR="00027C4E" w:rsidRPr="00842E68">
        <w:rPr>
          <w:rFonts w:ascii="Times New Roman" w:hAnsi="Times New Roman"/>
        </w:rPr>
        <w:t>imposed</w:t>
      </w:r>
      <w:proofErr w:type="gramEnd"/>
      <w:r w:rsidR="00027C4E" w:rsidRPr="00842E68" w:rsidDel="00423B1A">
        <w:rPr>
          <w:rFonts w:ascii="Times New Roman" w:hAnsi="Times New Roman"/>
        </w:rPr>
        <w:t xml:space="preserve"> </w:t>
      </w:r>
      <w:r w:rsidR="00027C4E" w:rsidRPr="00842E68">
        <w:rPr>
          <w:rFonts w:ascii="Times New Roman" w:hAnsi="Times New Roman"/>
        </w:rPr>
        <w:t xml:space="preserve">liability upon the air carrier </w:t>
      </w:r>
      <w:r w:rsidR="001E7A6E" w:rsidRPr="00842E68">
        <w:rPr>
          <w:rFonts w:ascii="Times New Roman" w:hAnsi="Times New Roman"/>
        </w:rPr>
        <w:t xml:space="preserve">up to </w:t>
      </w:r>
      <w:r w:rsidR="00246EED" w:rsidRPr="00842E68">
        <w:rPr>
          <w:rFonts w:ascii="Times New Roman" w:hAnsi="Times New Roman"/>
        </w:rPr>
        <w:t xml:space="preserve">a monetary threshold (subject to an exemption from liability </w:t>
      </w:r>
      <w:r w:rsidR="00A070D9" w:rsidRPr="00842E68">
        <w:rPr>
          <w:rFonts w:ascii="Times New Roman" w:hAnsi="Times New Roman"/>
        </w:rPr>
        <w:t>in draft Art</w:t>
      </w:r>
      <w:r w:rsidR="0096535D" w:rsidRPr="00842E68">
        <w:rPr>
          <w:rFonts w:ascii="Times New Roman" w:hAnsi="Times New Roman"/>
        </w:rPr>
        <w:t> </w:t>
      </w:r>
      <w:r w:rsidR="00A070D9" w:rsidRPr="00842E68">
        <w:rPr>
          <w:rFonts w:ascii="Times New Roman" w:hAnsi="Times New Roman"/>
        </w:rPr>
        <w:t>16(1)</w:t>
      </w:r>
      <w:r w:rsidR="00246EED" w:rsidRPr="00842E68">
        <w:rPr>
          <w:rFonts w:ascii="Times New Roman" w:hAnsi="Times New Roman"/>
        </w:rPr>
        <w:t xml:space="preserve"> for "death or injury result[</w:t>
      </w:r>
      <w:proofErr w:type="spellStart"/>
      <w:r w:rsidR="00246EED" w:rsidRPr="00842E68">
        <w:rPr>
          <w:rFonts w:ascii="Times New Roman" w:hAnsi="Times New Roman"/>
        </w:rPr>
        <w:t>ing</w:t>
      </w:r>
      <w:proofErr w:type="spellEnd"/>
      <w:r w:rsidR="00246EED" w:rsidRPr="00842E68">
        <w:rPr>
          <w:rFonts w:ascii="Times New Roman" w:hAnsi="Times New Roman"/>
        </w:rPr>
        <w:t>] from the state of health of the passenger"</w:t>
      </w:r>
      <w:r w:rsidR="00180530" w:rsidRPr="00842E68">
        <w:rPr>
          <w:rFonts w:ascii="Times New Roman" w:hAnsi="Times New Roman"/>
        </w:rPr>
        <w:t>,</w:t>
      </w:r>
      <w:r w:rsidR="00246EED" w:rsidRPr="00842E68">
        <w:rPr>
          <w:rFonts w:ascii="Times New Roman" w:hAnsi="Times New Roman"/>
        </w:rPr>
        <w:t xml:space="preserve"> which was not included in the final text</w:t>
      </w:r>
      <w:r w:rsidR="00A65570" w:rsidRPr="00842E68">
        <w:rPr>
          <w:rStyle w:val="FootnoteReference"/>
          <w:rFonts w:ascii="Times New Roman" w:hAnsi="Times New Roman"/>
          <w:sz w:val="24"/>
        </w:rPr>
        <w:footnoteReference w:id="54"/>
      </w:r>
      <w:r w:rsidR="00246EED" w:rsidRPr="00842E68">
        <w:rPr>
          <w:rFonts w:ascii="Times New Roman" w:hAnsi="Times New Roman"/>
        </w:rPr>
        <w:t>)</w:t>
      </w:r>
      <w:r w:rsidR="00027C4E" w:rsidRPr="00842E68">
        <w:rPr>
          <w:rFonts w:ascii="Times New Roman" w:hAnsi="Times New Roman"/>
        </w:rPr>
        <w:t xml:space="preserve">. The second tier imposed </w:t>
      </w:r>
      <w:r w:rsidR="00246EED" w:rsidRPr="00842E68">
        <w:rPr>
          <w:rFonts w:ascii="Times New Roman" w:hAnsi="Times New Roman"/>
        </w:rPr>
        <w:t xml:space="preserve">unlimited liability </w:t>
      </w:r>
      <w:r w:rsidR="006E4762" w:rsidRPr="00842E68">
        <w:rPr>
          <w:rFonts w:ascii="Times New Roman" w:hAnsi="Times New Roman"/>
        </w:rPr>
        <w:t xml:space="preserve">upon </w:t>
      </w:r>
      <w:r w:rsidR="00246EED" w:rsidRPr="00842E68">
        <w:rPr>
          <w:rFonts w:ascii="Times New Roman" w:hAnsi="Times New Roman"/>
        </w:rPr>
        <w:lastRenderedPageBreak/>
        <w:t xml:space="preserve">the air carrier </w:t>
      </w:r>
      <w:r w:rsidR="00F21D19" w:rsidRPr="00842E68">
        <w:rPr>
          <w:rFonts w:ascii="Times New Roman" w:hAnsi="Times New Roman"/>
        </w:rPr>
        <w:t xml:space="preserve">beyond the threshold but subject to </w:t>
      </w:r>
      <w:r w:rsidR="00F83078" w:rsidRPr="00842E68">
        <w:rPr>
          <w:rFonts w:ascii="Times New Roman" w:hAnsi="Times New Roman"/>
        </w:rPr>
        <w:t xml:space="preserve">the </w:t>
      </w:r>
      <w:r w:rsidR="006779E6" w:rsidRPr="00842E68">
        <w:rPr>
          <w:rFonts w:ascii="Times New Roman" w:hAnsi="Times New Roman"/>
        </w:rPr>
        <w:t xml:space="preserve">various defences </w:t>
      </w:r>
      <w:r w:rsidR="00687C8D" w:rsidRPr="00842E68">
        <w:rPr>
          <w:rFonts w:ascii="Times New Roman" w:hAnsi="Times New Roman"/>
        </w:rPr>
        <w:t>available to</w:t>
      </w:r>
      <w:r w:rsidR="006779E6" w:rsidRPr="00842E68">
        <w:rPr>
          <w:rFonts w:ascii="Times New Roman" w:hAnsi="Times New Roman"/>
        </w:rPr>
        <w:t xml:space="preserve"> the carrier</w:t>
      </w:r>
      <w:r w:rsidR="00F83078" w:rsidRPr="00842E68">
        <w:rPr>
          <w:rFonts w:ascii="Times New Roman" w:hAnsi="Times New Roman"/>
        </w:rPr>
        <w:t xml:space="preserve"> under draft Art 20</w:t>
      </w:r>
      <w:r w:rsidR="00246EED" w:rsidRPr="00842E68">
        <w:rPr>
          <w:rFonts w:ascii="Times New Roman" w:hAnsi="Times New Roman"/>
        </w:rPr>
        <w:t>.</w:t>
      </w:r>
      <w:r w:rsidR="00246EED" w:rsidRPr="00842E68">
        <w:rPr>
          <w:rStyle w:val="FootnoteReference"/>
          <w:rFonts w:ascii="Times New Roman" w:hAnsi="Times New Roman"/>
          <w:sz w:val="24"/>
        </w:rPr>
        <w:footnoteReference w:id="55"/>
      </w:r>
      <w:r w:rsidR="00CE6835" w:rsidRPr="00842E68">
        <w:rPr>
          <w:rFonts w:ascii="Times New Roman" w:hAnsi="Times New Roman"/>
        </w:rPr>
        <w:t xml:space="preserve"> </w:t>
      </w:r>
    </w:p>
    <w:p w14:paraId="05238C47" w14:textId="42C7A8CD" w:rsidR="00DB0CF5" w:rsidRPr="00842E68" w:rsidRDefault="00DB0CF5" w:rsidP="00842E68">
      <w:pPr>
        <w:pStyle w:val="FixListStyle"/>
        <w:spacing w:after="260" w:line="280" w:lineRule="exact"/>
        <w:ind w:right="0"/>
        <w:jc w:val="both"/>
        <w:rPr>
          <w:rFonts w:ascii="Times New Roman" w:hAnsi="Times New Roman"/>
        </w:rPr>
      </w:pPr>
      <w:r w:rsidRPr="00842E68">
        <w:rPr>
          <w:rFonts w:ascii="Times New Roman" w:hAnsi="Times New Roman"/>
        </w:rPr>
        <w:tab/>
        <w:t xml:space="preserve">During negotiations, the most vocal proponents of draft </w:t>
      </w:r>
      <w:r w:rsidR="00271DC2" w:rsidRPr="00842E68">
        <w:rPr>
          <w:rFonts w:ascii="Times New Roman" w:hAnsi="Times New Roman"/>
        </w:rPr>
        <w:t>A</w:t>
      </w:r>
      <w:r w:rsidRPr="00842E68">
        <w:rPr>
          <w:rFonts w:ascii="Times New Roman" w:hAnsi="Times New Roman"/>
        </w:rPr>
        <w:t>rt 20 pointed to its similarity to the pre</w:t>
      </w:r>
      <w:r w:rsidRPr="00842E68">
        <w:rPr>
          <w:rFonts w:ascii="Times New Roman" w:hAnsi="Times New Roman"/>
        </w:rPr>
        <w:noBreakHyphen/>
        <w:t xml:space="preserve">existing IATA regime, and the need to modernise the Warsaw system without causing "a fragmentation of </w:t>
      </w:r>
      <w:proofErr w:type="spellStart"/>
      <w:r w:rsidRPr="00842E68">
        <w:rPr>
          <w:rFonts w:ascii="Times New Roman" w:hAnsi="Times New Roman"/>
        </w:rPr>
        <w:t>régimes</w:t>
      </w:r>
      <w:proofErr w:type="spellEnd"/>
      <w:r w:rsidRPr="00842E68">
        <w:rPr>
          <w:rFonts w:ascii="Times New Roman" w:hAnsi="Times New Roman"/>
        </w:rPr>
        <w:t xml:space="preserve"> [which] the Diplomatic Conference was trying to cure".</w:t>
      </w:r>
      <w:r w:rsidRPr="00842E68">
        <w:rPr>
          <w:rStyle w:val="FootnoteReference"/>
          <w:rFonts w:ascii="Times New Roman" w:hAnsi="Times New Roman"/>
          <w:sz w:val="24"/>
        </w:rPr>
        <w:footnoteReference w:id="56"/>
      </w:r>
      <w:r w:rsidRPr="00842E68">
        <w:rPr>
          <w:rFonts w:ascii="Times New Roman" w:hAnsi="Times New Roman"/>
        </w:rPr>
        <w:t xml:space="preserve"> Other states were more sceptical of the proposal, voicing concerns that a system of unlimited liability would raise insurance premiums and adversely impact state-owned carriers and the viability of civil aviation in developing countries.</w:t>
      </w:r>
      <w:r w:rsidRPr="00842E68">
        <w:rPr>
          <w:rStyle w:val="FootnoteReference"/>
          <w:rFonts w:ascii="Times New Roman" w:hAnsi="Times New Roman"/>
          <w:sz w:val="24"/>
        </w:rPr>
        <w:footnoteReference w:id="57"/>
      </w:r>
      <w:r w:rsidRPr="00842E68">
        <w:rPr>
          <w:rFonts w:ascii="Times New Roman" w:hAnsi="Times New Roman"/>
        </w:rPr>
        <w:t xml:space="preserve"> </w:t>
      </w:r>
      <w:r w:rsidR="00E25CBF" w:rsidRPr="00842E68">
        <w:rPr>
          <w:rFonts w:ascii="Times New Roman" w:hAnsi="Times New Roman"/>
        </w:rPr>
        <w:t>A</w:t>
      </w:r>
      <w:r w:rsidRPr="00842E68">
        <w:rPr>
          <w:rFonts w:ascii="Times New Roman" w:hAnsi="Times New Roman"/>
        </w:rPr>
        <w:t xml:space="preserve">lternative proposals for the text of draft </w:t>
      </w:r>
      <w:r w:rsidR="0036099B" w:rsidRPr="00842E68">
        <w:rPr>
          <w:rFonts w:ascii="Times New Roman" w:hAnsi="Times New Roman"/>
        </w:rPr>
        <w:t>A</w:t>
      </w:r>
      <w:r w:rsidRPr="00842E68">
        <w:rPr>
          <w:rFonts w:ascii="Times New Roman" w:hAnsi="Times New Roman"/>
        </w:rPr>
        <w:t>rt 20 were put forward</w:t>
      </w:r>
      <w:r w:rsidR="006F334B" w:rsidRPr="00842E68">
        <w:rPr>
          <w:rFonts w:ascii="Times New Roman" w:hAnsi="Times New Roman"/>
        </w:rPr>
        <w:t xml:space="preserve"> by India, </w:t>
      </w:r>
      <w:r w:rsidRPr="00842E68">
        <w:rPr>
          <w:rFonts w:ascii="Times New Roman" w:hAnsi="Times New Roman"/>
        </w:rPr>
        <w:t>53 African states</w:t>
      </w:r>
      <w:r w:rsidR="00E25CBF" w:rsidRPr="00842E68">
        <w:rPr>
          <w:rFonts w:ascii="Times New Roman" w:hAnsi="Times New Roman"/>
        </w:rPr>
        <w:t>,</w:t>
      </w:r>
      <w:r w:rsidRPr="00842E68">
        <w:rPr>
          <w:rFonts w:ascii="Times New Roman" w:hAnsi="Times New Roman"/>
        </w:rPr>
        <w:t xml:space="preserve"> the member states of the Arab Civil Aviation Commission</w:t>
      </w:r>
      <w:r w:rsidR="00692207" w:rsidRPr="00842E68">
        <w:rPr>
          <w:rFonts w:ascii="Times New Roman" w:hAnsi="Times New Roman"/>
        </w:rPr>
        <w:t xml:space="preserve">, </w:t>
      </w:r>
      <w:r w:rsidRPr="00842E68">
        <w:rPr>
          <w:rFonts w:ascii="Times New Roman" w:hAnsi="Times New Roman"/>
        </w:rPr>
        <w:t>Vietnam</w:t>
      </w:r>
      <w:r w:rsidR="00E25CBF" w:rsidRPr="00842E68">
        <w:rPr>
          <w:rFonts w:ascii="Times New Roman" w:hAnsi="Times New Roman"/>
        </w:rPr>
        <w:t>,</w:t>
      </w:r>
      <w:r w:rsidRPr="00842E68">
        <w:rPr>
          <w:rFonts w:ascii="Times New Roman" w:hAnsi="Times New Roman"/>
        </w:rPr>
        <w:t xml:space="preserve"> and Pakistan</w:t>
      </w:r>
      <w:r w:rsidR="00305A10" w:rsidRPr="00842E68">
        <w:rPr>
          <w:rFonts w:ascii="Times New Roman" w:hAnsi="Times New Roman"/>
        </w:rPr>
        <w:t xml:space="preserve">. None of these </w:t>
      </w:r>
      <w:r w:rsidRPr="00842E68">
        <w:rPr>
          <w:rFonts w:ascii="Times New Roman" w:hAnsi="Times New Roman"/>
        </w:rPr>
        <w:t>attain</w:t>
      </w:r>
      <w:r w:rsidR="00305A10" w:rsidRPr="00842E68">
        <w:rPr>
          <w:rFonts w:ascii="Times New Roman" w:hAnsi="Times New Roman"/>
        </w:rPr>
        <w:t>ed</w:t>
      </w:r>
      <w:r w:rsidRPr="00842E68">
        <w:rPr>
          <w:rFonts w:ascii="Times New Roman" w:hAnsi="Times New Roman"/>
        </w:rPr>
        <w:t xml:space="preserve"> significant support </w:t>
      </w:r>
      <w:r w:rsidR="008036D5" w:rsidRPr="00842E68">
        <w:rPr>
          <w:rFonts w:ascii="Times New Roman" w:hAnsi="Times New Roman"/>
        </w:rPr>
        <w:t xml:space="preserve">from other </w:t>
      </w:r>
      <w:r w:rsidR="00A054AF" w:rsidRPr="00842E68">
        <w:rPr>
          <w:rFonts w:ascii="Times New Roman" w:hAnsi="Times New Roman"/>
        </w:rPr>
        <w:t>s</w:t>
      </w:r>
      <w:r w:rsidR="008036D5" w:rsidRPr="00842E68">
        <w:rPr>
          <w:rFonts w:ascii="Times New Roman" w:hAnsi="Times New Roman"/>
        </w:rPr>
        <w:t xml:space="preserve">tates or groups of </w:t>
      </w:r>
      <w:r w:rsidR="00A054AF" w:rsidRPr="00842E68">
        <w:rPr>
          <w:rFonts w:ascii="Times New Roman" w:hAnsi="Times New Roman"/>
        </w:rPr>
        <w:t>s</w:t>
      </w:r>
      <w:r w:rsidR="008036D5" w:rsidRPr="00842E68">
        <w:rPr>
          <w:rFonts w:ascii="Times New Roman" w:hAnsi="Times New Roman"/>
        </w:rPr>
        <w:t xml:space="preserve">tates </w:t>
      </w:r>
      <w:r w:rsidRPr="00842E68">
        <w:rPr>
          <w:rFonts w:ascii="Times New Roman" w:hAnsi="Times New Roman"/>
        </w:rPr>
        <w:t>in the Diplomatic Conference.</w:t>
      </w:r>
      <w:r w:rsidRPr="00842E68">
        <w:rPr>
          <w:rStyle w:val="FootnoteReference"/>
          <w:rFonts w:ascii="Times New Roman" w:hAnsi="Times New Roman"/>
          <w:sz w:val="24"/>
        </w:rPr>
        <w:footnoteReference w:id="58"/>
      </w:r>
    </w:p>
    <w:p w14:paraId="2F94575A" w14:textId="42A99CFE" w:rsidR="00531267" w:rsidRPr="00842E68" w:rsidRDefault="005436A7"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531267" w:rsidRPr="00842E68">
        <w:rPr>
          <w:rFonts w:ascii="Times New Roman" w:hAnsi="Times New Roman"/>
        </w:rPr>
        <w:t xml:space="preserve">Faced with this lack of consensus, the Chairman of the Diplomatic Conference </w:t>
      </w:r>
      <w:r w:rsidR="0001155D" w:rsidRPr="00842E68">
        <w:rPr>
          <w:rFonts w:ascii="Times New Roman" w:hAnsi="Times New Roman"/>
        </w:rPr>
        <w:t xml:space="preserve">identified </w:t>
      </w:r>
      <w:r w:rsidR="00531267" w:rsidRPr="00842E68">
        <w:rPr>
          <w:rFonts w:ascii="Times New Roman" w:hAnsi="Times New Roman"/>
        </w:rPr>
        <w:t>"a common thread running through the proposals made by the 53 African Contracting States, India and Viet</w:t>
      </w:r>
      <w:r w:rsidR="00ED7D14" w:rsidRPr="00842E68">
        <w:rPr>
          <w:rFonts w:ascii="Times New Roman" w:hAnsi="Times New Roman"/>
        </w:rPr>
        <w:t>n</w:t>
      </w:r>
      <w:r w:rsidR="00531267" w:rsidRPr="00842E68">
        <w:rPr>
          <w:rFonts w:ascii="Times New Roman" w:hAnsi="Times New Roman"/>
        </w:rPr>
        <w:t>am ... namely, that they all subscribed to the principle of unlimited liability".</w:t>
      </w:r>
      <w:r w:rsidR="00531267" w:rsidRPr="00842E68">
        <w:rPr>
          <w:rStyle w:val="FootnoteReference"/>
          <w:rFonts w:ascii="Times New Roman" w:hAnsi="Times New Roman"/>
          <w:sz w:val="24"/>
        </w:rPr>
        <w:footnoteReference w:id="59"/>
      </w:r>
      <w:r w:rsidR="00531267" w:rsidRPr="00842E68">
        <w:rPr>
          <w:rFonts w:ascii="Times New Roman" w:hAnsi="Times New Roman"/>
        </w:rPr>
        <w:t xml:space="preserve"> This limited consensus was reiterated by the Chairman, in a "Friends of the Chairman" Group </w:t>
      </w:r>
      <w:r w:rsidR="0080172F" w:rsidRPr="00842E68">
        <w:rPr>
          <w:rFonts w:ascii="Times New Roman" w:hAnsi="Times New Roman"/>
        </w:rPr>
        <w:t xml:space="preserve">meeting </w:t>
      </w:r>
      <w:r w:rsidR="00531267" w:rsidRPr="00842E68">
        <w:rPr>
          <w:rFonts w:ascii="Times New Roman" w:hAnsi="Times New Roman"/>
        </w:rPr>
        <w:lastRenderedPageBreak/>
        <w:t>convened in the second week of negotiations</w:t>
      </w:r>
      <w:r w:rsidR="00D96B12" w:rsidRPr="00842E68">
        <w:rPr>
          <w:rFonts w:ascii="Times New Roman" w:hAnsi="Times New Roman"/>
        </w:rPr>
        <w:t>:</w:t>
      </w:r>
      <w:r w:rsidR="00531267" w:rsidRPr="00842E68">
        <w:rPr>
          <w:rFonts w:ascii="Times New Roman" w:hAnsi="Times New Roman"/>
        </w:rPr>
        <w:t xml:space="preserve"> "the overwhelming majority of Delegates had come around to accepting the principle of strict liability up to a certain </w:t>
      </w:r>
      <w:r w:rsidR="00531267" w:rsidRPr="00842E68">
        <w:rPr>
          <w:rFonts w:ascii="Times New Roman" w:hAnsi="Times New Roman"/>
          <w:i/>
          <w:iCs/>
        </w:rPr>
        <w:t>threshold</w:t>
      </w:r>
      <w:r w:rsidR="00531267" w:rsidRPr="00842E68">
        <w:rPr>
          <w:rFonts w:ascii="Times New Roman" w:hAnsi="Times New Roman"/>
        </w:rPr>
        <w:t>"</w:t>
      </w:r>
      <w:r w:rsidR="00531267" w:rsidRPr="00842E68">
        <w:rPr>
          <w:rStyle w:val="FootnoteReference"/>
          <w:rFonts w:ascii="Times New Roman" w:hAnsi="Times New Roman"/>
          <w:sz w:val="24"/>
        </w:rPr>
        <w:footnoteReference w:id="60"/>
      </w:r>
      <w:r w:rsidR="00531267" w:rsidRPr="00842E68">
        <w:rPr>
          <w:rFonts w:ascii="Times New Roman" w:hAnsi="Times New Roman"/>
        </w:rPr>
        <w:t xml:space="preserve"> and the</w:t>
      </w:r>
      <w:r w:rsidR="001938AD" w:rsidRPr="00842E68">
        <w:rPr>
          <w:rFonts w:ascii="Times New Roman" w:hAnsi="Times New Roman"/>
        </w:rPr>
        <w:t>re was</w:t>
      </w:r>
      <w:r w:rsidR="00531267" w:rsidRPr="00842E68">
        <w:rPr>
          <w:rFonts w:ascii="Times New Roman" w:hAnsi="Times New Roman"/>
        </w:rPr>
        <w:t xml:space="preserve"> "common ground that there would be circumstances in which there would be unlimited liability".</w:t>
      </w:r>
      <w:r w:rsidR="00531267" w:rsidRPr="00842E68">
        <w:rPr>
          <w:rStyle w:val="FootnoteReference"/>
          <w:rFonts w:ascii="Times New Roman" w:hAnsi="Times New Roman"/>
          <w:sz w:val="24"/>
        </w:rPr>
        <w:footnoteReference w:id="61"/>
      </w:r>
      <w:r w:rsidR="00531267" w:rsidRPr="00842E68">
        <w:rPr>
          <w:rFonts w:ascii="Times New Roman" w:hAnsi="Times New Roman"/>
        </w:rPr>
        <w:t xml:space="preserve"> </w:t>
      </w:r>
    </w:p>
    <w:p w14:paraId="68E7E4CB" w14:textId="1A6A8592" w:rsidR="00531267" w:rsidRPr="00842E68" w:rsidRDefault="00531267" w:rsidP="00842E68">
      <w:pPr>
        <w:pStyle w:val="FixListStyle"/>
        <w:spacing w:after="260" w:line="280" w:lineRule="exact"/>
        <w:ind w:right="0"/>
        <w:jc w:val="both"/>
        <w:rPr>
          <w:rFonts w:ascii="Times New Roman" w:hAnsi="Times New Roman"/>
        </w:rPr>
      </w:pPr>
      <w:r w:rsidRPr="00842E68">
        <w:rPr>
          <w:rFonts w:ascii="Times New Roman" w:hAnsi="Times New Roman"/>
        </w:rPr>
        <w:tab/>
        <w:t>The Chairman presented a draft consensus package to the Friends of the Chairman Group with two alternative proposals</w:t>
      </w:r>
      <w:r w:rsidR="0001548F" w:rsidRPr="00842E68">
        <w:rPr>
          <w:rFonts w:ascii="Times New Roman" w:hAnsi="Times New Roman"/>
        </w:rPr>
        <w:t xml:space="preserve"> for draft Art 20</w:t>
      </w:r>
      <w:r w:rsidR="008B45FE" w:rsidRPr="00842E68">
        <w:rPr>
          <w:rFonts w:ascii="Times New Roman" w:hAnsi="Times New Roman"/>
        </w:rPr>
        <w:t>. Although one alternative involved two tiers and the other involved three tiers</w:t>
      </w:r>
      <w:r w:rsidRPr="00842E68">
        <w:rPr>
          <w:rFonts w:ascii="Times New Roman" w:hAnsi="Times New Roman"/>
        </w:rPr>
        <w:t xml:space="preserve">, each </w:t>
      </w:r>
      <w:r w:rsidR="00CA2ADC" w:rsidRPr="00842E68">
        <w:rPr>
          <w:rFonts w:ascii="Times New Roman" w:hAnsi="Times New Roman"/>
        </w:rPr>
        <w:t>involved</w:t>
      </w:r>
      <w:r w:rsidRPr="00842E68">
        <w:rPr>
          <w:rFonts w:ascii="Times New Roman" w:hAnsi="Times New Roman"/>
        </w:rPr>
        <w:t xml:space="preserve"> liability up to a monetary threshold and, after a particular threshold was met, unlimited liability </w:t>
      </w:r>
      <w:r w:rsidR="00FB318A" w:rsidRPr="00842E68">
        <w:rPr>
          <w:rFonts w:ascii="Times New Roman" w:hAnsi="Times New Roman"/>
        </w:rPr>
        <w:t xml:space="preserve">subject to </w:t>
      </w:r>
      <w:r w:rsidRPr="00842E68">
        <w:rPr>
          <w:rFonts w:ascii="Times New Roman" w:hAnsi="Times New Roman"/>
        </w:rPr>
        <w:t>certain c</w:t>
      </w:r>
      <w:r w:rsidR="00FB318A" w:rsidRPr="00842E68">
        <w:rPr>
          <w:rFonts w:ascii="Times New Roman" w:hAnsi="Times New Roman"/>
        </w:rPr>
        <w:t>onditions</w:t>
      </w:r>
      <w:r w:rsidR="008B45FE" w:rsidRPr="00842E68">
        <w:rPr>
          <w:rFonts w:ascii="Times New Roman" w:hAnsi="Times New Roman"/>
        </w:rPr>
        <w:t>.</w:t>
      </w:r>
      <w:r w:rsidR="00904569" w:rsidRPr="00842E68">
        <w:rPr>
          <w:rStyle w:val="FootnoteReference"/>
          <w:rFonts w:ascii="Times New Roman" w:hAnsi="Times New Roman"/>
          <w:sz w:val="24"/>
        </w:rPr>
        <w:footnoteReference w:id="62"/>
      </w:r>
      <w:r w:rsidRPr="00842E68">
        <w:rPr>
          <w:rFonts w:ascii="Times New Roman" w:hAnsi="Times New Roman"/>
        </w:rPr>
        <w:t xml:space="preserve"> </w:t>
      </w:r>
      <w:r w:rsidR="005128E7" w:rsidRPr="00842E68">
        <w:rPr>
          <w:rFonts w:ascii="Times New Roman" w:hAnsi="Times New Roman"/>
        </w:rPr>
        <w:t>After t</w:t>
      </w:r>
      <w:r w:rsidRPr="00842E68">
        <w:rPr>
          <w:rFonts w:ascii="Times New Roman" w:hAnsi="Times New Roman"/>
        </w:rPr>
        <w:t>he Delegate of the United States of America expressed strong dissatisfaction with both alternatives, the Chairman</w:t>
      </w:r>
      <w:r w:rsidR="005128E7" w:rsidRPr="00842E68">
        <w:rPr>
          <w:rFonts w:ascii="Times New Roman" w:hAnsi="Times New Roman"/>
        </w:rPr>
        <w:t xml:space="preserve"> observed that </w:t>
      </w:r>
      <w:r w:rsidRPr="00842E68">
        <w:rPr>
          <w:rFonts w:ascii="Times New Roman" w:hAnsi="Times New Roman"/>
        </w:rPr>
        <w:t>the drafting "exercise had been one of 'blood sweat and tiers'".</w:t>
      </w:r>
      <w:r w:rsidRPr="00842E68">
        <w:rPr>
          <w:rStyle w:val="FootnoteReference"/>
          <w:rFonts w:ascii="Times New Roman" w:hAnsi="Times New Roman"/>
          <w:sz w:val="24"/>
        </w:rPr>
        <w:footnoteReference w:id="63"/>
      </w:r>
    </w:p>
    <w:p w14:paraId="0252361D" w14:textId="715BEA3A" w:rsidR="00D66A3F" w:rsidRPr="00842E68" w:rsidRDefault="00531267"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8A0FC2" w:rsidRPr="00842E68">
        <w:rPr>
          <w:rFonts w:ascii="Times New Roman" w:hAnsi="Times New Roman"/>
        </w:rPr>
        <w:t>A</w:t>
      </w:r>
      <w:r w:rsidRPr="00842E68">
        <w:rPr>
          <w:rFonts w:ascii="Times New Roman" w:hAnsi="Times New Roman"/>
        </w:rPr>
        <w:t xml:space="preserve">t a meeting of the Commission of the Whole, the Chairman presented an updated consensus package, which included what would become the final text of </w:t>
      </w:r>
      <w:r w:rsidR="004416BC" w:rsidRPr="00842E68">
        <w:rPr>
          <w:rFonts w:ascii="Times New Roman" w:hAnsi="Times New Roman"/>
        </w:rPr>
        <w:t>A</w:t>
      </w:r>
      <w:r w:rsidRPr="00842E68">
        <w:rPr>
          <w:rFonts w:ascii="Times New Roman" w:hAnsi="Times New Roman"/>
        </w:rPr>
        <w:t>rt 21.</w:t>
      </w:r>
      <w:r w:rsidRPr="00842E68">
        <w:rPr>
          <w:rStyle w:val="FootnoteReference"/>
          <w:rFonts w:ascii="Times New Roman" w:hAnsi="Times New Roman"/>
          <w:sz w:val="24"/>
        </w:rPr>
        <w:footnoteReference w:id="64"/>
      </w:r>
      <w:r w:rsidRPr="00842E68">
        <w:rPr>
          <w:rFonts w:ascii="Times New Roman" w:hAnsi="Times New Roman"/>
        </w:rPr>
        <w:t xml:space="preserve"> The Chairman summarised the changes made since the first version of the draft article, noting that the </w:t>
      </w:r>
      <w:r w:rsidR="00145553" w:rsidRPr="00842E68">
        <w:rPr>
          <w:rFonts w:ascii="Times New Roman" w:hAnsi="Times New Roman"/>
        </w:rPr>
        <w:t xml:space="preserve">Friends of the </w:t>
      </w:r>
      <w:r w:rsidRPr="00842E68">
        <w:rPr>
          <w:rFonts w:ascii="Times New Roman" w:hAnsi="Times New Roman"/>
        </w:rPr>
        <w:t xml:space="preserve">Chairman Group had opted to </w:t>
      </w:r>
      <w:r w:rsidRPr="00842E68">
        <w:rPr>
          <w:rFonts w:ascii="Times New Roman" w:hAnsi="Times New Roman"/>
        </w:rPr>
        <w:lastRenderedPageBreak/>
        <w:t>maintain a two</w:t>
      </w:r>
      <w:r w:rsidR="00DA4A72" w:rsidRPr="00842E68">
        <w:rPr>
          <w:rFonts w:ascii="Times New Roman" w:hAnsi="Times New Roman"/>
        </w:rPr>
        <w:t>-</w:t>
      </w:r>
      <w:r w:rsidRPr="00842E68">
        <w:rPr>
          <w:rFonts w:ascii="Times New Roman" w:hAnsi="Times New Roman"/>
        </w:rPr>
        <w:t xml:space="preserve">tier model so as to "ensure the continued predictability of recovery up to a threshold which would apply in the majority of cases" and had concluded that for cases of "unlimited liability arising under </w:t>
      </w:r>
      <w:r w:rsidR="008726C6" w:rsidRPr="00842E68">
        <w:rPr>
          <w:rFonts w:ascii="Times New Roman" w:hAnsi="Times New Roman"/>
        </w:rPr>
        <w:t>[what became Art</w:t>
      </w:r>
      <w:r w:rsidR="008922CA" w:rsidRPr="00842E68">
        <w:rPr>
          <w:rFonts w:ascii="Times New Roman" w:hAnsi="Times New Roman"/>
        </w:rPr>
        <w:t> </w:t>
      </w:r>
      <w:r w:rsidR="008726C6" w:rsidRPr="00842E68">
        <w:rPr>
          <w:rFonts w:ascii="Times New Roman" w:hAnsi="Times New Roman"/>
        </w:rPr>
        <w:t>21(2)]</w:t>
      </w:r>
      <w:r w:rsidR="008D1DE6" w:rsidRPr="00842E68">
        <w:rPr>
          <w:rFonts w:ascii="Times New Roman" w:hAnsi="Times New Roman"/>
        </w:rPr>
        <w:t>,</w:t>
      </w:r>
      <w:r w:rsidRPr="00842E68">
        <w:rPr>
          <w:rFonts w:ascii="Times New Roman" w:hAnsi="Times New Roman"/>
        </w:rPr>
        <w:t xml:space="preserve"> the burden of proof should be on the air carrier".</w:t>
      </w:r>
      <w:r w:rsidRPr="00842E68">
        <w:rPr>
          <w:rStyle w:val="FootnoteReference"/>
          <w:rFonts w:ascii="Times New Roman" w:hAnsi="Times New Roman"/>
          <w:sz w:val="24"/>
        </w:rPr>
        <w:footnoteReference w:id="65"/>
      </w:r>
      <w:r w:rsidRPr="00842E68">
        <w:rPr>
          <w:rFonts w:ascii="Times New Roman" w:hAnsi="Times New Roman"/>
        </w:rPr>
        <w:t xml:space="preserve"> </w:t>
      </w:r>
    </w:p>
    <w:p w14:paraId="10E3FA8E" w14:textId="1E5F4B04" w:rsidR="00A84B18" w:rsidRPr="00842E68" w:rsidRDefault="00D66A3F"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4F1743" w:rsidRPr="00842E68">
        <w:rPr>
          <w:rFonts w:ascii="Times New Roman" w:hAnsi="Times New Roman"/>
        </w:rPr>
        <w:t xml:space="preserve">Following the entry into force of the Montreal Convention </w:t>
      </w:r>
      <w:r w:rsidR="001C39E8" w:rsidRPr="00842E68">
        <w:rPr>
          <w:rFonts w:ascii="Times New Roman" w:hAnsi="Times New Roman"/>
        </w:rPr>
        <w:t>on 4</w:t>
      </w:r>
      <w:r w:rsidR="004416BC" w:rsidRPr="00842E68">
        <w:rPr>
          <w:rFonts w:ascii="Times New Roman" w:hAnsi="Times New Roman"/>
        </w:rPr>
        <w:t> </w:t>
      </w:r>
      <w:r w:rsidR="001C39E8" w:rsidRPr="00842E68">
        <w:rPr>
          <w:rFonts w:ascii="Times New Roman" w:hAnsi="Times New Roman"/>
        </w:rPr>
        <w:t>November 2003</w:t>
      </w:r>
      <w:r w:rsidRPr="00842E68">
        <w:rPr>
          <w:rFonts w:ascii="Times New Roman" w:hAnsi="Times New Roman"/>
        </w:rPr>
        <w:t>,</w:t>
      </w:r>
      <w:r w:rsidR="001C39E8" w:rsidRPr="00842E68">
        <w:rPr>
          <w:rStyle w:val="FootnoteReference"/>
          <w:rFonts w:ascii="Times New Roman" w:hAnsi="Times New Roman"/>
          <w:sz w:val="24"/>
        </w:rPr>
        <w:footnoteReference w:id="66"/>
      </w:r>
      <w:r w:rsidRPr="00842E68">
        <w:rPr>
          <w:rFonts w:ascii="Times New Roman" w:hAnsi="Times New Roman"/>
        </w:rPr>
        <w:t xml:space="preserve"> </w:t>
      </w:r>
      <w:r w:rsidR="00A84B18" w:rsidRPr="00842E68">
        <w:rPr>
          <w:rFonts w:ascii="Times New Roman" w:hAnsi="Times New Roman"/>
        </w:rPr>
        <w:t xml:space="preserve">there began </w:t>
      </w:r>
      <w:r w:rsidRPr="00842E68">
        <w:rPr>
          <w:rFonts w:ascii="Times New Roman" w:hAnsi="Times New Roman"/>
        </w:rPr>
        <w:t>"[a] new era in the law of international carriage by air".</w:t>
      </w:r>
      <w:r w:rsidRPr="00842E68">
        <w:rPr>
          <w:rStyle w:val="FootnoteReference"/>
          <w:rFonts w:ascii="Times New Roman" w:hAnsi="Times New Roman"/>
          <w:sz w:val="24"/>
        </w:rPr>
        <w:footnoteReference w:id="67"/>
      </w:r>
      <w:r w:rsidR="001A042B" w:rsidRPr="00842E68">
        <w:rPr>
          <w:rFonts w:ascii="Times New Roman" w:hAnsi="Times New Roman"/>
        </w:rPr>
        <w:t xml:space="preserve"> </w:t>
      </w:r>
      <w:r w:rsidR="008038BD" w:rsidRPr="00842E68">
        <w:rPr>
          <w:rFonts w:ascii="Times New Roman" w:hAnsi="Times New Roman"/>
        </w:rPr>
        <w:t>A central feature of that new era was the Art</w:t>
      </w:r>
      <w:r w:rsidR="00174CEE" w:rsidRPr="00842E68">
        <w:rPr>
          <w:rFonts w:ascii="Times New Roman" w:hAnsi="Times New Roman"/>
        </w:rPr>
        <w:t>s</w:t>
      </w:r>
      <w:r w:rsidR="0099324D" w:rsidRPr="00842E68">
        <w:rPr>
          <w:rFonts w:ascii="Times New Roman" w:hAnsi="Times New Roman"/>
        </w:rPr>
        <w:t> </w:t>
      </w:r>
      <w:r w:rsidR="008038BD" w:rsidRPr="00842E68">
        <w:rPr>
          <w:rFonts w:ascii="Times New Roman" w:hAnsi="Times New Roman"/>
        </w:rPr>
        <w:t>17</w:t>
      </w:r>
      <w:r w:rsidR="001960A0" w:rsidRPr="00842E68">
        <w:rPr>
          <w:rFonts w:ascii="Times New Roman" w:hAnsi="Times New Roman"/>
        </w:rPr>
        <w:t xml:space="preserve"> and 21</w:t>
      </w:r>
      <w:r w:rsidR="008038BD" w:rsidRPr="00842E68">
        <w:rPr>
          <w:rFonts w:ascii="Times New Roman" w:hAnsi="Times New Roman"/>
        </w:rPr>
        <w:t xml:space="preserve"> </w:t>
      </w:r>
      <w:r w:rsidR="00C516FA" w:rsidRPr="00842E68">
        <w:rPr>
          <w:rFonts w:ascii="Times New Roman" w:hAnsi="Times New Roman"/>
        </w:rPr>
        <w:t xml:space="preserve">scope of </w:t>
      </w:r>
      <w:r w:rsidR="008038BD" w:rsidRPr="00842E68">
        <w:rPr>
          <w:rFonts w:ascii="Times New Roman" w:hAnsi="Times New Roman"/>
        </w:rPr>
        <w:t xml:space="preserve">liability for death or personal injury which </w:t>
      </w:r>
      <w:r w:rsidR="00A84B18" w:rsidRPr="00842E68">
        <w:rPr>
          <w:rFonts w:ascii="Times New Roman" w:hAnsi="Times New Roman"/>
        </w:rPr>
        <w:t xml:space="preserve">the </w:t>
      </w:r>
      <w:r w:rsidR="00BE07F4" w:rsidRPr="00842E68">
        <w:rPr>
          <w:rFonts w:ascii="Times New Roman" w:hAnsi="Times New Roman"/>
        </w:rPr>
        <w:t xml:space="preserve">President of the Diplomatic Conference </w:t>
      </w:r>
      <w:r w:rsidR="00A84B18" w:rsidRPr="00842E68">
        <w:rPr>
          <w:rFonts w:ascii="Times New Roman" w:hAnsi="Times New Roman"/>
        </w:rPr>
        <w:t xml:space="preserve">described </w:t>
      </w:r>
      <w:r w:rsidR="008038BD" w:rsidRPr="00842E68">
        <w:rPr>
          <w:rFonts w:ascii="Times New Roman" w:hAnsi="Times New Roman"/>
        </w:rPr>
        <w:t xml:space="preserve">at the conclusion of the negotiations </w:t>
      </w:r>
      <w:r w:rsidR="00A84B18" w:rsidRPr="00842E68">
        <w:rPr>
          <w:rFonts w:ascii="Times New Roman" w:hAnsi="Times New Roman"/>
        </w:rPr>
        <w:t>as "establishing a two-tier system: a system of strict liability up to 100,000 SDRs; a principle of unlimited liability thereafter, but with the burden of proof on the carrier".</w:t>
      </w:r>
      <w:r w:rsidR="00A84B18" w:rsidRPr="00842E68">
        <w:rPr>
          <w:rStyle w:val="FootnoteReference"/>
          <w:rFonts w:ascii="Times New Roman" w:hAnsi="Times New Roman"/>
          <w:sz w:val="24"/>
        </w:rPr>
        <w:footnoteReference w:id="68"/>
      </w:r>
    </w:p>
    <w:p w14:paraId="3153E9A1" w14:textId="5DCC5691" w:rsidR="00A57CBA" w:rsidRPr="00842E68" w:rsidRDefault="006009A5" w:rsidP="00842E68">
      <w:pPr>
        <w:pStyle w:val="HeadingL1"/>
        <w:spacing w:after="260" w:line="280" w:lineRule="exact"/>
        <w:ind w:right="0"/>
        <w:jc w:val="both"/>
        <w:rPr>
          <w:rFonts w:ascii="Times New Roman" w:hAnsi="Times New Roman"/>
        </w:rPr>
      </w:pPr>
      <w:r w:rsidRPr="00842E68">
        <w:rPr>
          <w:rFonts w:ascii="Times New Roman" w:hAnsi="Times New Roman"/>
        </w:rPr>
        <w:t>The re</w:t>
      </w:r>
      <w:r w:rsidR="00302EA4" w:rsidRPr="00842E68">
        <w:rPr>
          <w:rFonts w:ascii="Times New Roman" w:hAnsi="Times New Roman"/>
        </w:rPr>
        <w:t xml:space="preserve">levant </w:t>
      </w:r>
      <w:r w:rsidRPr="00842E68">
        <w:rPr>
          <w:rFonts w:ascii="Times New Roman" w:hAnsi="Times New Roman"/>
        </w:rPr>
        <w:t>terms of the Montreal Convention</w:t>
      </w:r>
      <w:r w:rsidR="00302EA4" w:rsidRPr="00842E68">
        <w:rPr>
          <w:rFonts w:ascii="Times New Roman" w:hAnsi="Times New Roman"/>
        </w:rPr>
        <w:t xml:space="preserve"> and their meaning</w:t>
      </w:r>
    </w:p>
    <w:p w14:paraId="45A10C16" w14:textId="6196847F" w:rsidR="00302EA4" w:rsidRPr="00842E68" w:rsidRDefault="0054725B" w:rsidP="00842E68">
      <w:pPr>
        <w:pStyle w:val="HeadingL2"/>
        <w:spacing w:after="260" w:line="280" w:lineRule="exact"/>
        <w:ind w:right="0"/>
        <w:jc w:val="both"/>
        <w:rPr>
          <w:rFonts w:ascii="Times New Roman" w:hAnsi="Times New Roman"/>
        </w:rPr>
      </w:pPr>
      <w:r w:rsidRPr="00842E68">
        <w:rPr>
          <w:rFonts w:ascii="Times New Roman" w:hAnsi="Times New Roman"/>
        </w:rPr>
        <w:t>The relevant terms of Ch</w:t>
      </w:r>
      <w:r w:rsidR="00D15F1C" w:rsidRPr="00842E68">
        <w:rPr>
          <w:rFonts w:ascii="Times New Roman" w:hAnsi="Times New Roman"/>
        </w:rPr>
        <w:t> </w:t>
      </w:r>
      <w:r w:rsidRPr="00842E68">
        <w:rPr>
          <w:rFonts w:ascii="Times New Roman" w:hAnsi="Times New Roman"/>
        </w:rPr>
        <w:t>III of the Montreal Convention</w:t>
      </w:r>
    </w:p>
    <w:p w14:paraId="28D47685" w14:textId="38FCC576" w:rsidR="008C215F" w:rsidRPr="00842E68" w:rsidRDefault="00A57CBA"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8C215F" w:rsidRPr="00842E68">
        <w:rPr>
          <w:rFonts w:ascii="Times New Roman" w:hAnsi="Times New Roman"/>
        </w:rPr>
        <w:t>Chapter III of the Montreal Convention</w:t>
      </w:r>
      <w:r w:rsidR="008C215F" w:rsidRPr="00842E68">
        <w:rPr>
          <w:rFonts w:ascii="Times New Roman" w:hAnsi="Times New Roman"/>
          <w:i/>
          <w:iCs/>
        </w:rPr>
        <w:t xml:space="preserve"> </w:t>
      </w:r>
      <w:r w:rsidR="008C215F" w:rsidRPr="00842E68">
        <w:rPr>
          <w:rFonts w:ascii="Times New Roman" w:hAnsi="Times New Roman"/>
        </w:rPr>
        <w:t>is entitled "Liability of the Carrier and Extent of Compensation for Damage".</w:t>
      </w:r>
      <w:r w:rsidR="00640BDA" w:rsidRPr="00842E68">
        <w:rPr>
          <w:rFonts w:ascii="Times New Roman" w:hAnsi="Times New Roman"/>
        </w:rPr>
        <w:t xml:space="preserve"> </w:t>
      </w:r>
      <w:r w:rsidR="003C757E" w:rsidRPr="00842E68">
        <w:rPr>
          <w:rFonts w:ascii="Times New Roman" w:hAnsi="Times New Roman"/>
        </w:rPr>
        <w:t>Art</w:t>
      </w:r>
      <w:r w:rsidR="00DB4716" w:rsidRPr="00842E68">
        <w:rPr>
          <w:rFonts w:ascii="Times New Roman" w:hAnsi="Times New Roman"/>
        </w:rPr>
        <w:t>icle</w:t>
      </w:r>
      <w:r w:rsidR="00D15F1C" w:rsidRPr="00842E68">
        <w:rPr>
          <w:rFonts w:ascii="Times New Roman" w:hAnsi="Times New Roman"/>
        </w:rPr>
        <w:t> </w:t>
      </w:r>
      <w:r w:rsidR="003C757E" w:rsidRPr="00842E68">
        <w:rPr>
          <w:rFonts w:ascii="Times New Roman" w:hAnsi="Times New Roman"/>
        </w:rPr>
        <w:t>17</w:t>
      </w:r>
      <w:r w:rsidR="00694FFF" w:rsidRPr="00842E68">
        <w:rPr>
          <w:rFonts w:ascii="Times New Roman" w:hAnsi="Times New Roman"/>
        </w:rPr>
        <w:t>(1)</w:t>
      </w:r>
      <w:r w:rsidR="00614E56" w:rsidRPr="00842E68">
        <w:rPr>
          <w:rFonts w:ascii="Times New Roman" w:hAnsi="Times New Roman"/>
        </w:rPr>
        <w:t xml:space="preserve"> of the Montreal Convention</w:t>
      </w:r>
      <w:r w:rsidR="00915A0A" w:rsidRPr="00842E68">
        <w:rPr>
          <w:rFonts w:ascii="Times New Roman" w:hAnsi="Times New Roman"/>
        </w:rPr>
        <w:t xml:space="preserve"> is in</w:t>
      </w:r>
      <w:r w:rsidR="00946AA3" w:rsidRPr="00842E68">
        <w:rPr>
          <w:rFonts w:ascii="Times New Roman" w:hAnsi="Times New Roman"/>
        </w:rPr>
        <w:t xml:space="preserve"> similar terms to Art</w:t>
      </w:r>
      <w:r w:rsidR="00D15F1C" w:rsidRPr="00842E68">
        <w:rPr>
          <w:rFonts w:ascii="Times New Roman" w:hAnsi="Times New Roman"/>
        </w:rPr>
        <w:t> </w:t>
      </w:r>
      <w:r w:rsidR="00946AA3" w:rsidRPr="00842E68">
        <w:rPr>
          <w:rFonts w:ascii="Times New Roman" w:hAnsi="Times New Roman"/>
        </w:rPr>
        <w:t>17 of the Warsaw Convention</w:t>
      </w:r>
      <w:r w:rsidR="003C757E" w:rsidRPr="00842E68">
        <w:rPr>
          <w:rFonts w:ascii="Times New Roman" w:hAnsi="Times New Roman"/>
        </w:rPr>
        <w:t xml:space="preserve"> </w:t>
      </w:r>
      <w:r w:rsidR="00A841F6" w:rsidRPr="00842E68">
        <w:rPr>
          <w:rFonts w:ascii="Times New Roman" w:hAnsi="Times New Roman"/>
        </w:rPr>
        <w:t xml:space="preserve">and </w:t>
      </w:r>
      <w:r w:rsidR="00506396" w:rsidRPr="00842E68">
        <w:rPr>
          <w:rFonts w:ascii="Times New Roman" w:hAnsi="Times New Roman"/>
        </w:rPr>
        <w:t xml:space="preserve">provides </w:t>
      </w:r>
      <w:r w:rsidR="00FF39E7" w:rsidRPr="00842E68">
        <w:rPr>
          <w:rFonts w:ascii="Times New Roman" w:hAnsi="Times New Roman"/>
        </w:rPr>
        <w:t>as follows:</w:t>
      </w:r>
    </w:p>
    <w:p w14:paraId="380245BE" w14:textId="3F246CCC" w:rsidR="00705CA1" w:rsidRPr="00842E68" w:rsidRDefault="00FF39E7" w:rsidP="00842E68">
      <w:pPr>
        <w:pStyle w:val="LeftrightafterHC"/>
        <w:spacing w:before="0" w:after="260" w:line="280" w:lineRule="exact"/>
        <w:ind w:right="0"/>
        <w:jc w:val="both"/>
        <w:rPr>
          <w:rFonts w:ascii="Times New Roman" w:hAnsi="Times New Roman"/>
          <w:b/>
          <w:bCs/>
        </w:rPr>
      </w:pPr>
      <w:r w:rsidRPr="00842E68">
        <w:rPr>
          <w:rFonts w:ascii="Times New Roman" w:hAnsi="Times New Roman"/>
        </w:rPr>
        <w:t>"</w:t>
      </w:r>
      <w:r w:rsidR="00705CA1" w:rsidRPr="00842E68">
        <w:rPr>
          <w:rFonts w:ascii="Times New Roman" w:hAnsi="Times New Roman"/>
          <w:b/>
          <w:bCs/>
        </w:rPr>
        <w:t>Article 17</w:t>
      </w:r>
      <w:r w:rsidR="008C5E0E" w:rsidRPr="00842E68">
        <w:rPr>
          <w:rFonts w:ascii="Times New Roman" w:hAnsi="Times New Roman"/>
          <w:b/>
          <w:bCs/>
        </w:rPr>
        <w:t xml:space="preserve">. </w:t>
      </w:r>
      <w:r w:rsidR="007E666D" w:rsidRPr="00842E68">
        <w:rPr>
          <w:rFonts w:ascii="Times New Roman" w:hAnsi="Times New Roman"/>
          <w:b/>
          <w:bCs/>
        </w:rPr>
        <w:t>Death and Injury of Passengers—Damage to Baggage</w:t>
      </w:r>
    </w:p>
    <w:p w14:paraId="2AB58703" w14:textId="77777777" w:rsidR="00842E68" w:rsidRDefault="007E666D" w:rsidP="00842E68">
      <w:pPr>
        <w:pStyle w:val="LeftrightafterHC"/>
        <w:spacing w:before="0" w:after="260" w:line="280" w:lineRule="exact"/>
        <w:ind w:left="1440" w:right="0" w:hanging="720"/>
        <w:jc w:val="both"/>
        <w:rPr>
          <w:rFonts w:ascii="Times New Roman" w:hAnsi="Times New Roman"/>
        </w:rPr>
      </w:pPr>
      <w:r w:rsidRPr="00842E68">
        <w:rPr>
          <w:rFonts w:ascii="Times New Roman" w:hAnsi="Times New Roman"/>
        </w:rPr>
        <w:t xml:space="preserve">1. </w:t>
      </w:r>
      <w:r w:rsidR="00D26222" w:rsidRPr="00842E68">
        <w:rPr>
          <w:rFonts w:ascii="Times New Roman" w:hAnsi="Times New Roman"/>
        </w:rPr>
        <w:tab/>
      </w:r>
      <w:r w:rsidR="00FF39E7" w:rsidRPr="00842E68">
        <w:rPr>
          <w:rFonts w:ascii="Times New Roman" w:hAnsi="Times New Roman"/>
        </w:rPr>
        <w:t xml:space="preserve">The carrier is liable for damage sustained in case of death or bodily injury </w:t>
      </w:r>
      <w:r w:rsidR="006874B5" w:rsidRPr="00842E68">
        <w:rPr>
          <w:rFonts w:ascii="Times New Roman" w:hAnsi="Times New Roman"/>
        </w:rPr>
        <w:t xml:space="preserve">of a passenger </w:t>
      </w:r>
      <w:r w:rsidR="0000714B" w:rsidRPr="00842E68">
        <w:rPr>
          <w:rFonts w:ascii="Times New Roman" w:hAnsi="Times New Roman"/>
        </w:rPr>
        <w:t>up</w:t>
      </w:r>
      <w:r w:rsidR="006874B5" w:rsidRPr="00842E68">
        <w:rPr>
          <w:rFonts w:ascii="Times New Roman" w:hAnsi="Times New Roman"/>
        </w:rPr>
        <w:t xml:space="preserve">on condition only that the accident which </w:t>
      </w:r>
      <w:r w:rsidR="006874B5" w:rsidRPr="00842E68">
        <w:rPr>
          <w:rFonts w:ascii="Times New Roman" w:hAnsi="Times New Roman"/>
        </w:rPr>
        <w:lastRenderedPageBreak/>
        <w:t xml:space="preserve">caused the death or injury took place on board </w:t>
      </w:r>
      <w:r w:rsidR="007D6FED" w:rsidRPr="00842E68">
        <w:rPr>
          <w:rFonts w:ascii="Times New Roman" w:hAnsi="Times New Roman"/>
        </w:rPr>
        <w:t>the aircraft or in the course of any of the operations of embarking or disembarking</w:t>
      </w:r>
      <w:r w:rsidR="002B3D39" w:rsidRPr="00842E68">
        <w:rPr>
          <w:rFonts w:ascii="Times New Roman" w:hAnsi="Times New Roman"/>
        </w:rPr>
        <w:t>.</w:t>
      </w:r>
      <w:r w:rsidR="007D6FED" w:rsidRPr="00842E68">
        <w:rPr>
          <w:rFonts w:ascii="Times New Roman" w:hAnsi="Times New Roman"/>
        </w:rPr>
        <w:t xml:space="preserve">" </w:t>
      </w:r>
      <w:r w:rsidR="006874B5" w:rsidRPr="00842E68">
        <w:rPr>
          <w:rFonts w:ascii="Times New Roman" w:hAnsi="Times New Roman"/>
        </w:rPr>
        <w:t xml:space="preserve"> </w:t>
      </w:r>
    </w:p>
    <w:p w14:paraId="4E0375D8" w14:textId="37D61377" w:rsidR="00A91E11" w:rsidRPr="00842E68" w:rsidRDefault="007D6FED"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1C0ECF" w:rsidRPr="00842E68">
        <w:rPr>
          <w:rFonts w:ascii="Times New Roman" w:hAnsi="Times New Roman"/>
        </w:rPr>
        <w:t>Art</w:t>
      </w:r>
      <w:r w:rsidR="00DB4716" w:rsidRPr="00842E68">
        <w:rPr>
          <w:rFonts w:ascii="Times New Roman" w:hAnsi="Times New Roman"/>
        </w:rPr>
        <w:t>icle</w:t>
      </w:r>
      <w:r w:rsidR="001C0ECF" w:rsidRPr="00842E68">
        <w:rPr>
          <w:rFonts w:ascii="Times New Roman" w:hAnsi="Times New Roman"/>
        </w:rPr>
        <w:t xml:space="preserve">s 18 and 19 are </w:t>
      </w:r>
      <w:r w:rsidR="003A6B28" w:rsidRPr="00842E68">
        <w:rPr>
          <w:rFonts w:ascii="Times New Roman" w:hAnsi="Times New Roman"/>
        </w:rPr>
        <w:t xml:space="preserve">concerned with liability for damage to cargo and liability for </w:t>
      </w:r>
      <w:r w:rsidR="002B3F89" w:rsidRPr="00842E68">
        <w:rPr>
          <w:rFonts w:ascii="Times New Roman" w:hAnsi="Times New Roman"/>
        </w:rPr>
        <w:t xml:space="preserve">damage </w:t>
      </w:r>
      <w:r w:rsidR="0044199C" w:rsidRPr="00842E68">
        <w:rPr>
          <w:rFonts w:ascii="Times New Roman" w:hAnsi="Times New Roman"/>
        </w:rPr>
        <w:t xml:space="preserve">occasioned by </w:t>
      </w:r>
      <w:r w:rsidR="003A6B28" w:rsidRPr="00842E68">
        <w:rPr>
          <w:rFonts w:ascii="Times New Roman" w:hAnsi="Times New Roman"/>
        </w:rPr>
        <w:t>delay</w:t>
      </w:r>
      <w:r w:rsidR="00164878" w:rsidRPr="00842E68">
        <w:rPr>
          <w:rFonts w:ascii="Times New Roman" w:hAnsi="Times New Roman"/>
        </w:rPr>
        <w:t xml:space="preserve"> respectively</w:t>
      </w:r>
      <w:r w:rsidR="003A6B28" w:rsidRPr="00842E68">
        <w:rPr>
          <w:rFonts w:ascii="Times New Roman" w:hAnsi="Times New Roman"/>
        </w:rPr>
        <w:t>.</w:t>
      </w:r>
    </w:p>
    <w:p w14:paraId="2A497C22" w14:textId="678F81D8" w:rsidR="00265D26" w:rsidRPr="00842E68" w:rsidRDefault="00265D26" w:rsidP="00842E68">
      <w:pPr>
        <w:pStyle w:val="FixListStyle"/>
        <w:spacing w:after="260" w:line="280" w:lineRule="exact"/>
        <w:ind w:right="0"/>
        <w:jc w:val="both"/>
        <w:rPr>
          <w:rFonts w:ascii="Times New Roman" w:hAnsi="Times New Roman"/>
        </w:rPr>
      </w:pPr>
      <w:r w:rsidRPr="00842E68">
        <w:rPr>
          <w:rFonts w:ascii="Times New Roman" w:hAnsi="Times New Roman"/>
        </w:rPr>
        <w:tab/>
        <w:t>Art</w:t>
      </w:r>
      <w:r w:rsidR="00DB4716" w:rsidRPr="00842E68">
        <w:rPr>
          <w:rFonts w:ascii="Times New Roman" w:hAnsi="Times New Roman"/>
        </w:rPr>
        <w:t>icle</w:t>
      </w:r>
      <w:r w:rsidRPr="00842E68">
        <w:rPr>
          <w:rFonts w:ascii="Times New Roman" w:hAnsi="Times New Roman"/>
        </w:rPr>
        <w:t xml:space="preserve"> 20 </w:t>
      </w:r>
      <w:r w:rsidR="008E7807" w:rsidRPr="00842E68">
        <w:rPr>
          <w:rFonts w:ascii="Times New Roman" w:hAnsi="Times New Roman"/>
        </w:rPr>
        <w:t>provides for</w:t>
      </w:r>
      <w:r w:rsidR="00960334" w:rsidRPr="00842E68">
        <w:rPr>
          <w:rFonts w:ascii="Times New Roman" w:hAnsi="Times New Roman"/>
        </w:rPr>
        <w:t xml:space="preserve"> a defence of contributory negligence (or other wrongful act</w:t>
      </w:r>
      <w:r w:rsidR="00567E32" w:rsidRPr="00842E68">
        <w:rPr>
          <w:rFonts w:ascii="Times New Roman" w:hAnsi="Times New Roman"/>
        </w:rPr>
        <w:t xml:space="preserve"> or omission of the claimant</w:t>
      </w:r>
      <w:r w:rsidR="00274373" w:rsidRPr="00842E68">
        <w:rPr>
          <w:rFonts w:ascii="Times New Roman" w:hAnsi="Times New Roman"/>
        </w:rPr>
        <w:t xml:space="preserve"> or </w:t>
      </w:r>
      <w:r w:rsidR="0076453E" w:rsidRPr="00842E68">
        <w:rPr>
          <w:rFonts w:ascii="Times New Roman" w:hAnsi="Times New Roman"/>
        </w:rPr>
        <w:t>person from whom the claimant derives their rights</w:t>
      </w:r>
      <w:r w:rsidR="00960334" w:rsidRPr="00842E68">
        <w:rPr>
          <w:rFonts w:ascii="Times New Roman" w:hAnsi="Times New Roman"/>
        </w:rPr>
        <w:t>)</w:t>
      </w:r>
      <w:r w:rsidR="004C0C91" w:rsidRPr="00842E68">
        <w:rPr>
          <w:rFonts w:ascii="Times New Roman" w:hAnsi="Times New Roman"/>
        </w:rPr>
        <w:t xml:space="preserve"> adapted from Art</w:t>
      </w:r>
      <w:r w:rsidR="00D15F1C" w:rsidRPr="00842E68">
        <w:rPr>
          <w:rFonts w:ascii="Times New Roman" w:hAnsi="Times New Roman"/>
        </w:rPr>
        <w:t> </w:t>
      </w:r>
      <w:r w:rsidR="004C0C91" w:rsidRPr="00842E68">
        <w:rPr>
          <w:rFonts w:ascii="Times New Roman" w:hAnsi="Times New Roman"/>
        </w:rPr>
        <w:t xml:space="preserve">21 of the Warsaw Convention. </w:t>
      </w:r>
      <w:r w:rsidR="00960334" w:rsidRPr="00842E68">
        <w:rPr>
          <w:rFonts w:ascii="Times New Roman" w:hAnsi="Times New Roman"/>
        </w:rPr>
        <w:t xml:space="preserve"> </w:t>
      </w:r>
    </w:p>
    <w:p w14:paraId="557811AD" w14:textId="4E29FBA2" w:rsidR="00BD2423" w:rsidRPr="00842E68" w:rsidRDefault="00A91E11"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BD2423" w:rsidRPr="00842E68">
        <w:rPr>
          <w:rFonts w:ascii="Times New Roman" w:hAnsi="Times New Roman"/>
        </w:rPr>
        <w:t>Art</w:t>
      </w:r>
      <w:r w:rsidR="00D0594C" w:rsidRPr="00842E68">
        <w:rPr>
          <w:rFonts w:ascii="Times New Roman" w:hAnsi="Times New Roman"/>
        </w:rPr>
        <w:t>icle</w:t>
      </w:r>
      <w:r w:rsidR="00BD2423" w:rsidRPr="00842E68">
        <w:rPr>
          <w:rFonts w:ascii="Times New Roman" w:hAnsi="Times New Roman"/>
        </w:rPr>
        <w:t xml:space="preserve"> 21 provides </w:t>
      </w:r>
      <w:r w:rsidR="008C215F" w:rsidRPr="00842E68">
        <w:rPr>
          <w:rFonts w:ascii="Times New Roman" w:hAnsi="Times New Roman"/>
        </w:rPr>
        <w:t>as follows:</w:t>
      </w:r>
    </w:p>
    <w:p w14:paraId="13F6DCD4" w14:textId="599379F2" w:rsidR="003E77C2" w:rsidRPr="00842E68" w:rsidRDefault="00B36A1A" w:rsidP="00842E68">
      <w:pPr>
        <w:pStyle w:val="LeftrightafterHC"/>
        <w:spacing w:before="0" w:after="260" w:line="280" w:lineRule="exact"/>
        <w:ind w:right="0"/>
        <w:jc w:val="both"/>
        <w:rPr>
          <w:rFonts w:ascii="Times New Roman" w:hAnsi="Times New Roman"/>
        </w:rPr>
      </w:pPr>
      <w:r w:rsidRPr="00842E68">
        <w:rPr>
          <w:rFonts w:ascii="Times New Roman" w:hAnsi="Times New Roman"/>
        </w:rPr>
        <w:t>"</w:t>
      </w:r>
      <w:r w:rsidR="003E77C2" w:rsidRPr="00842E68">
        <w:rPr>
          <w:rFonts w:ascii="Times New Roman" w:hAnsi="Times New Roman"/>
          <w:b/>
          <w:bCs/>
        </w:rPr>
        <w:t>Article 21</w:t>
      </w:r>
      <w:r w:rsidR="00455DBD" w:rsidRPr="00842E68">
        <w:rPr>
          <w:rFonts w:ascii="Times New Roman" w:hAnsi="Times New Roman"/>
          <w:b/>
          <w:bCs/>
        </w:rPr>
        <w:t xml:space="preserve">. </w:t>
      </w:r>
      <w:r w:rsidR="003E77C2" w:rsidRPr="00842E68">
        <w:rPr>
          <w:rFonts w:ascii="Times New Roman" w:hAnsi="Times New Roman"/>
          <w:b/>
          <w:bCs/>
        </w:rPr>
        <w:t>Compensation in Case of Death or Injury of Passengers</w:t>
      </w:r>
    </w:p>
    <w:p w14:paraId="6E83A6AA" w14:textId="14D1DB6F" w:rsidR="003E77C2" w:rsidRPr="00842E68" w:rsidRDefault="003E77C2" w:rsidP="00842E68">
      <w:pPr>
        <w:pStyle w:val="LeftrightafterHC"/>
        <w:spacing w:before="0" w:after="260" w:line="280" w:lineRule="exact"/>
        <w:ind w:left="1440" w:right="0" w:hanging="720"/>
        <w:jc w:val="both"/>
        <w:rPr>
          <w:rFonts w:ascii="Times New Roman" w:hAnsi="Times New Roman"/>
        </w:rPr>
      </w:pPr>
      <w:r w:rsidRPr="00842E68">
        <w:rPr>
          <w:rFonts w:ascii="Times New Roman" w:hAnsi="Times New Roman"/>
        </w:rPr>
        <w:t>1.</w:t>
      </w:r>
      <w:r w:rsidR="007732A5" w:rsidRPr="00842E68">
        <w:rPr>
          <w:rFonts w:ascii="Times New Roman" w:hAnsi="Times New Roman"/>
        </w:rPr>
        <w:tab/>
      </w:r>
      <w:r w:rsidRPr="00842E68">
        <w:rPr>
          <w:rFonts w:ascii="Times New Roman" w:hAnsi="Times New Roman"/>
        </w:rPr>
        <w:t>For damages arising under paragraph 1 of Article</w:t>
      </w:r>
      <w:r w:rsidR="00D15F1C" w:rsidRPr="00842E68">
        <w:rPr>
          <w:rFonts w:ascii="Times New Roman" w:hAnsi="Times New Roman"/>
        </w:rPr>
        <w:t> </w:t>
      </w:r>
      <w:r w:rsidRPr="00842E68">
        <w:rPr>
          <w:rFonts w:ascii="Times New Roman" w:hAnsi="Times New Roman"/>
        </w:rPr>
        <w:t>17 not exceeding 100</w:t>
      </w:r>
      <w:r w:rsidR="00736056" w:rsidRPr="00842E68">
        <w:rPr>
          <w:rFonts w:ascii="Times New Roman" w:hAnsi="Times New Roman"/>
        </w:rPr>
        <w:t>,</w:t>
      </w:r>
      <w:r w:rsidRPr="00842E68">
        <w:rPr>
          <w:rFonts w:ascii="Times New Roman" w:hAnsi="Times New Roman"/>
        </w:rPr>
        <w:t>000</w:t>
      </w:r>
      <w:r w:rsidR="00AF258F" w:rsidRPr="00842E68">
        <w:rPr>
          <w:rFonts w:ascii="Times New Roman" w:hAnsi="Times New Roman"/>
        </w:rPr>
        <w:t xml:space="preserve"> </w:t>
      </w:r>
      <w:r w:rsidRPr="00842E68">
        <w:rPr>
          <w:rFonts w:ascii="Times New Roman" w:hAnsi="Times New Roman"/>
        </w:rPr>
        <w:t>Special Drawing Rights for each passenger, the carrier shall not be able to exclude</w:t>
      </w:r>
      <w:r w:rsidR="00AF258F" w:rsidRPr="00842E68">
        <w:rPr>
          <w:rFonts w:ascii="Times New Roman" w:hAnsi="Times New Roman"/>
        </w:rPr>
        <w:t xml:space="preserve"> </w:t>
      </w:r>
      <w:r w:rsidRPr="00842E68">
        <w:rPr>
          <w:rFonts w:ascii="Times New Roman" w:hAnsi="Times New Roman"/>
        </w:rPr>
        <w:t>or limit its liability.</w:t>
      </w:r>
    </w:p>
    <w:p w14:paraId="0551C2DA" w14:textId="58EF02F8" w:rsidR="003E77C2" w:rsidRPr="00842E68" w:rsidRDefault="003E77C2" w:rsidP="00842E68">
      <w:pPr>
        <w:pStyle w:val="LeftrightafterHC"/>
        <w:spacing w:before="0" w:after="260" w:line="280" w:lineRule="exact"/>
        <w:ind w:left="1440" w:right="0" w:hanging="720"/>
        <w:jc w:val="both"/>
        <w:rPr>
          <w:rFonts w:ascii="Times New Roman" w:hAnsi="Times New Roman"/>
        </w:rPr>
      </w:pPr>
      <w:r w:rsidRPr="00842E68">
        <w:rPr>
          <w:rFonts w:ascii="Times New Roman" w:hAnsi="Times New Roman"/>
        </w:rPr>
        <w:t>2.</w:t>
      </w:r>
      <w:r w:rsidR="007732A5" w:rsidRPr="00842E68">
        <w:rPr>
          <w:rFonts w:ascii="Times New Roman" w:hAnsi="Times New Roman"/>
        </w:rPr>
        <w:tab/>
      </w:r>
      <w:r w:rsidRPr="00842E68">
        <w:rPr>
          <w:rFonts w:ascii="Times New Roman" w:hAnsi="Times New Roman"/>
        </w:rPr>
        <w:t>The carrier shall not be liable for damages arising under paragraph 1 of</w:t>
      </w:r>
      <w:r w:rsidR="00AF258F" w:rsidRPr="00842E68">
        <w:rPr>
          <w:rFonts w:ascii="Times New Roman" w:hAnsi="Times New Roman"/>
        </w:rPr>
        <w:t xml:space="preserve"> </w:t>
      </w:r>
      <w:r w:rsidRPr="00842E68">
        <w:rPr>
          <w:rFonts w:ascii="Times New Roman" w:hAnsi="Times New Roman"/>
        </w:rPr>
        <w:t>Article</w:t>
      </w:r>
      <w:r w:rsidR="00D15F1C" w:rsidRPr="00842E68">
        <w:rPr>
          <w:rFonts w:ascii="Times New Roman" w:hAnsi="Times New Roman"/>
        </w:rPr>
        <w:t> </w:t>
      </w:r>
      <w:r w:rsidRPr="00842E68">
        <w:rPr>
          <w:rFonts w:ascii="Times New Roman" w:hAnsi="Times New Roman"/>
        </w:rPr>
        <w:t>17 to the extent that they exceed for each passenger 100</w:t>
      </w:r>
      <w:r w:rsidR="00B36A1A" w:rsidRPr="00842E68">
        <w:rPr>
          <w:rFonts w:ascii="Times New Roman" w:hAnsi="Times New Roman"/>
        </w:rPr>
        <w:t>,</w:t>
      </w:r>
      <w:r w:rsidRPr="00842E68">
        <w:rPr>
          <w:rFonts w:ascii="Times New Roman" w:hAnsi="Times New Roman"/>
        </w:rPr>
        <w:t>000 Special</w:t>
      </w:r>
      <w:r w:rsidR="00B36A1A" w:rsidRPr="00842E68">
        <w:rPr>
          <w:rFonts w:ascii="Times New Roman" w:hAnsi="Times New Roman"/>
        </w:rPr>
        <w:t xml:space="preserve"> </w:t>
      </w:r>
      <w:r w:rsidRPr="00842E68">
        <w:rPr>
          <w:rFonts w:ascii="Times New Roman" w:hAnsi="Times New Roman"/>
        </w:rPr>
        <w:t>Drawing Rights if the carrier proves that:</w:t>
      </w:r>
    </w:p>
    <w:p w14:paraId="7C12A666" w14:textId="216D9719" w:rsidR="003E77C2" w:rsidRPr="00842E68" w:rsidRDefault="007732A5" w:rsidP="00842E68">
      <w:pPr>
        <w:pStyle w:val="LeftrightafterHC"/>
        <w:spacing w:before="0" w:after="260" w:line="280" w:lineRule="exact"/>
        <w:ind w:left="2160" w:right="0" w:hanging="1440"/>
        <w:jc w:val="both"/>
        <w:rPr>
          <w:rFonts w:ascii="Times New Roman" w:hAnsi="Times New Roman"/>
        </w:rPr>
      </w:pPr>
      <w:r w:rsidRPr="00842E68">
        <w:rPr>
          <w:rFonts w:ascii="Times New Roman" w:hAnsi="Times New Roman"/>
        </w:rPr>
        <w:tab/>
      </w:r>
      <w:r w:rsidR="003E77C2" w:rsidRPr="00842E68">
        <w:rPr>
          <w:rFonts w:ascii="Times New Roman" w:hAnsi="Times New Roman"/>
        </w:rPr>
        <w:t>(a)</w:t>
      </w:r>
      <w:r w:rsidRPr="00842E68">
        <w:rPr>
          <w:rFonts w:ascii="Times New Roman" w:hAnsi="Times New Roman"/>
        </w:rPr>
        <w:tab/>
      </w:r>
      <w:r w:rsidR="003E77C2" w:rsidRPr="00842E68">
        <w:rPr>
          <w:rFonts w:ascii="Times New Roman" w:hAnsi="Times New Roman"/>
        </w:rPr>
        <w:t>such damage was not due to the negligence or other wrongful act or</w:t>
      </w:r>
      <w:r w:rsidR="00AF258F" w:rsidRPr="00842E68">
        <w:rPr>
          <w:rFonts w:ascii="Times New Roman" w:hAnsi="Times New Roman"/>
        </w:rPr>
        <w:t xml:space="preserve"> </w:t>
      </w:r>
      <w:r w:rsidR="003E77C2" w:rsidRPr="00842E68">
        <w:rPr>
          <w:rFonts w:ascii="Times New Roman" w:hAnsi="Times New Roman"/>
        </w:rPr>
        <w:t>omission of the carrier or its servants or agents; or</w:t>
      </w:r>
    </w:p>
    <w:p w14:paraId="0D9230B4" w14:textId="77777777" w:rsidR="00842E68" w:rsidRDefault="007732A5" w:rsidP="00842E68">
      <w:pPr>
        <w:pStyle w:val="LeftrightafterHC"/>
        <w:spacing w:before="0" w:after="260" w:line="280" w:lineRule="exact"/>
        <w:ind w:left="2160" w:right="0" w:hanging="1440"/>
        <w:jc w:val="both"/>
        <w:rPr>
          <w:rFonts w:ascii="Times New Roman" w:hAnsi="Times New Roman"/>
        </w:rPr>
      </w:pPr>
      <w:r w:rsidRPr="00842E68">
        <w:rPr>
          <w:rFonts w:ascii="Times New Roman" w:hAnsi="Times New Roman"/>
        </w:rPr>
        <w:tab/>
      </w:r>
      <w:r w:rsidR="003E77C2" w:rsidRPr="00842E68">
        <w:rPr>
          <w:rFonts w:ascii="Times New Roman" w:hAnsi="Times New Roman"/>
        </w:rPr>
        <w:t>(b)</w:t>
      </w:r>
      <w:r w:rsidRPr="00842E68">
        <w:rPr>
          <w:rFonts w:ascii="Times New Roman" w:hAnsi="Times New Roman"/>
        </w:rPr>
        <w:tab/>
      </w:r>
      <w:r w:rsidR="003E77C2" w:rsidRPr="00842E68">
        <w:rPr>
          <w:rFonts w:ascii="Times New Roman" w:hAnsi="Times New Roman"/>
        </w:rPr>
        <w:t>such damage was solely due to the negligence or other wrongful act or</w:t>
      </w:r>
      <w:r w:rsidR="00AF258F" w:rsidRPr="00842E68">
        <w:rPr>
          <w:rFonts w:ascii="Times New Roman" w:hAnsi="Times New Roman"/>
        </w:rPr>
        <w:t xml:space="preserve"> </w:t>
      </w:r>
      <w:r w:rsidR="003E77C2" w:rsidRPr="00842E68">
        <w:rPr>
          <w:rFonts w:ascii="Times New Roman" w:hAnsi="Times New Roman"/>
        </w:rPr>
        <w:t>omission of a third party.</w:t>
      </w:r>
      <w:r w:rsidR="00AF258F" w:rsidRPr="00842E68">
        <w:rPr>
          <w:rFonts w:ascii="Times New Roman" w:hAnsi="Times New Roman"/>
        </w:rPr>
        <w:t>"</w:t>
      </w:r>
    </w:p>
    <w:p w14:paraId="67A7EA75" w14:textId="7B9E939F" w:rsidR="00723E04" w:rsidRPr="00842E68" w:rsidRDefault="00723E04" w:rsidP="00842E68">
      <w:pPr>
        <w:pStyle w:val="NormalBody"/>
        <w:spacing w:after="260" w:line="280" w:lineRule="exact"/>
        <w:ind w:right="0"/>
        <w:jc w:val="both"/>
        <w:rPr>
          <w:rFonts w:ascii="Times New Roman" w:hAnsi="Times New Roman"/>
        </w:rPr>
      </w:pPr>
      <w:r w:rsidRPr="00842E68">
        <w:rPr>
          <w:rFonts w:ascii="Times New Roman" w:hAnsi="Times New Roman"/>
        </w:rPr>
        <w:t>Th</w:t>
      </w:r>
      <w:r w:rsidR="00E619CA" w:rsidRPr="00842E68">
        <w:rPr>
          <w:rFonts w:ascii="Times New Roman" w:hAnsi="Times New Roman"/>
        </w:rPr>
        <w:t>e</w:t>
      </w:r>
      <w:r w:rsidRPr="00842E68">
        <w:rPr>
          <w:rFonts w:ascii="Times New Roman" w:hAnsi="Times New Roman"/>
        </w:rPr>
        <w:t xml:space="preserve"> defence </w:t>
      </w:r>
      <w:r w:rsidR="00736056" w:rsidRPr="00842E68">
        <w:rPr>
          <w:rFonts w:ascii="Times New Roman" w:hAnsi="Times New Roman"/>
        </w:rPr>
        <w:t>in Art</w:t>
      </w:r>
      <w:r w:rsidR="00D15F1C" w:rsidRPr="00842E68">
        <w:rPr>
          <w:rFonts w:ascii="Times New Roman" w:hAnsi="Times New Roman"/>
        </w:rPr>
        <w:t> </w:t>
      </w:r>
      <w:r w:rsidR="00736056" w:rsidRPr="00842E68">
        <w:rPr>
          <w:rFonts w:ascii="Times New Roman" w:hAnsi="Times New Roman"/>
        </w:rPr>
        <w:t xml:space="preserve">21(2), which operates </w:t>
      </w:r>
      <w:r w:rsidR="00F736D3" w:rsidRPr="00842E68">
        <w:rPr>
          <w:rFonts w:ascii="Times New Roman" w:hAnsi="Times New Roman"/>
        </w:rPr>
        <w:t xml:space="preserve">only </w:t>
      </w:r>
      <w:r w:rsidR="00736056" w:rsidRPr="00842E68">
        <w:rPr>
          <w:rFonts w:ascii="Times New Roman" w:hAnsi="Times New Roman"/>
        </w:rPr>
        <w:t xml:space="preserve">beyond the </w:t>
      </w:r>
      <w:r w:rsidR="00DD401A" w:rsidRPr="00842E68">
        <w:rPr>
          <w:rFonts w:ascii="Times New Roman" w:hAnsi="Times New Roman"/>
        </w:rPr>
        <w:t xml:space="preserve">limit or </w:t>
      </w:r>
      <w:r w:rsidR="00736056" w:rsidRPr="00842E68">
        <w:rPr>
          <w:rFonts w:ascii="Times New Roman" w:hAnsi="Times New Roman"/>
        </w:rPr>
        <w:t xml:space="preserve">threshold </w:t>
      </w:r>
      <w:r w:rsidR="00664F18" w:rsidRPr="00842E68">
        <w:rPr>
          <w:rFonts w:ascii="Times New Roman" w:hAnsi="Times New Roman"/>
        </w:rPr>
        <w:t>specified by reference to</w:t>
      </w:r>
      <w:r w:rsidR="00736056" w:rsidRPr="00842E68">
        <w:rPr>
          <w:rFonts w:ascii="Times New Roman" w:hAnsi="Times New Roman"/>
        </w:rPr>
        <w:t xml:space="preserve"> Special Drawing Rights</w:t>
      </w:r>
      <w:r w:rsidR="00A44E02" w:rsidRPr="00842E68">
        <w:rPr>
          <w:rFonts w:ascii="Times New Roman" w:hAnsi="Times New Roman"/>
        </w:rPr>
        <w:t xml:space="preserve">, can be loosely described as a "no negligence" defence. </w:t>
      </w:r>
      <w:r w:rsidR="00736056" w:rsidRPr="00842E68">
        <w:rPr>
          <w:rFonts w:ascii="Times New Roman" w:hAnsi="Times New Roman"/>
        </w:rPr>
        <w:t xml:space="preserve"> </w:t>
      </w:r>
    </w:p>
    <w:p w14:paraId="616DCBEE" w14:textId="5BDC02D8" w:rsidR="00681BEB" w:rsidRPr="00842E68" w:rsidRDefault="00681BEB" w:rsidP="00842E68">
      <w:pPr>
        <w:pStyle w:val="FixListStyle"/>
        <w:spacing w:after="260" w:line="280" w:lineRule="exact"/>
        <w:ind w:right="0"/>
        <w:jc w:val="both"/>
        <w:rPr>
          <w:rFonts w:ascii="Times New Roman" w:hAnsi="Times New Roman"/>
        </w:rPr>
      </w:pPr>
      <w:r w:rsidRPr="00842E68">
        <w:rPr>
          <w:rFonts w:ascii="Times New Roman" w:hAnsi="Times New Roman"/>
        </w:rPr>
        <w:tab/>
        <w:t>Art</w:t>
      </w:r>
      <w:r w:rsidR="00455DBD" w:rsidRPr="00842E68">
        <w:rPr>
          <w:rFonts w:ascii="Times New Roman" w:hAnsi="Times New Roman"/>
        </w:rPr>
        <w:t>icle</w:t>
      </w:r>
      <w:r w:rsidRPr="00842E68">
        <w:rPr>
          <w:rFonts w:ascii="Times New Roman" w:hAnsi="Times New Roman"/>
        </w:rPr>
        <w:t xml:space="preserve"> 22 </w:t>
      </w:r>
      <w:r w:rsidR="00CC3AE9" w:rsidRPr="00842E68">
        <w:rPr>
          <w:rFonts w:ascii="Times New Roman" w:hAnsi="Times New Roman"/>
        </w:rPr>
        <w:t>impose</w:t>
      </w:r>
      <w:r w:rsidR="00037E13" w:rsidRPr="00842E68">
        <w:rPr>
          <w:rFonts w:ascii="Times New Roman" w:hAnsi="Times New Roman"/>
        </w:rPr>
        <w:t>s</w:t>
      </w:r>
      <w:r w:rsidR="00CC3AE9" w:rsidRPr="00842E68">
        <w:rPr>
          <w:rFonts w:ascii="Times New Roman" w:hAnsi="Times New Roman"/>
        </w:rPr>
        <w:t xml:space="preserve"> </w:t>
      </w:r>
      <w:r w:rsidR="004016FC" w:rsidRPr="00842E68">
        <w:rPr>
          <w:rFonts w:ascii="Times New Roman" w:hAnsi="Times New Roman"/>
        </w:rPr>
        <w:t>limits of liability for delay</w:t>
      </w:r>
      <w:r w:rsidR="00A021BF" w:rsidRPr="00842E68">
        <w:rPr>
          <w:rFonts w:ascii="Times New Roman" w:hAnsi="Times New Roman"/>
        </w:rPr>
        <w:t xml:space="preserve"> </w:t>
      </w:r>
      <w:r w:rsidR="003474C4" w:rsidRPr="00842E68">
        <w:rPr>
          <w:rFonts w:ascii="Times New Roman" w:hAnsi="Times New Roman"/>
        </w:rPr>
        <w:t>in the carriage of persons and, in the carriage of baggage</w:t>
      </w:r>
      <w:r w:rsidR="00C24F71" w:rsidRPr="00842E68">
        <w:rPr>
          <w:rFonts w:ascii="Times New Roman" w:hAnsi="Times New Roman"/>
        </w:rPr>
        <w:t xml:space="preserve"> and cargo</w:t>
      </w:r>
      <w:r w:rsidR="003474C4" w:rsidRPr="00842E68">
        <w:rPr>
          <w:rFonts w:ascii="Times New Roman" w:hAnsi="Times New Roman"/>
        </w:rPr>
        <w:t xml:space="preserve">, </w:t>
      </w:r>
      <w:r w:rsidR="001152B3" w:rsidRPr="00842E68">
        <w:rPr>
          <w:rFonts w:ascii="Times New Roman" w:hAnsi="Times New Roman"/>
        </w:rPr>
        <w:t>limits of liability in the case of destruction, loss, damage or delay</w:t>
      </w:r>
      <w:r w:rsidR="00C24F71" w:rsidRPr="00842E68">
        <w:rPr>
          <w:rFonts w:ascii="Times New Roman" w:hAnsi="Times New Roman"/>
        </w:rPr>
        <w:t>.</w:t>
      </w:r>
      <w:r w:rsidR="00E317A2" w:rsidRPr="00842E68">
        <w:rPr>
          <w:rFonts w:ascii="Times New Roman" w:hAnsi="Times New Roman"/>
        </w:rPr>
        <w:t xml:space="preserve"> </w:t>
      </w:r>
      <w:r w:rsidR="00EE1327" w:rsidRPr="00842E68">
        <w:rPr>
          <w:rFonts w:ascii="Times New Roman" w:hAnsi="Times New Roman"/>
        </w:rPr>
        <w:t>The limits o</w:t>
      </w:r>
      <w:r w:rsidR="00E44F08" w:rsidRPr="00842E68">
        <w:rPr>
          <w:rFonts w:ascii="Times New Roman" w:hAnsi="Times New Roman"/>
        </w:rPr>
        <w:t>f</w:t>
      </w:r>
      <w:r w:rsidR="00EE1327" w:rsidRPr="00842E68">
        <w:rPr>
          <w:rFonts w:ascii="Times New Roman" w:hAnsi="Times New Roman"/>
        </w:rPr>
        <w:t xml:space="preserve"> liability </w:t>
      </w:r>
      <w:r w:rsidR="0094673C" w:rsidRPr="00842E68">
        <w:rPr>
          <w:rFonts w:ascii="Times New Roman" w:hAnsi="Times New Roman"/>
        </w:rPr>
        <w:t xml:space="preserve">in respect of destruction, loss, damage or delay of baggage or cargo may be </w:t>
      </w:r>
      <w:r w:rsidR="00C6143F" w:rsidRPr="00842E68">
        <w:rPr>
          <w:rFonts w:ascii="Times New Roman" w:hAnsi="Times New Roman"/>
        </w:rPr>
        <w:t>increased</w:t>
      </w:r>
      <w:r w:rsidR="00150116" w:rsidRPr="00842E68">
        <w:rPr>
          <w:rFonts w:ascii="Times New Roman" w:hAnsi="Times New Roman"/>
        </w:rPr>
        <w:t xml:space="preserve"> to a "declared sum", where the </w:t>
      </w:r>
      <w:r w:rsidR="005F6E1E" w:rsidRPr="00842E68">
        <w:rPr>
          <w:rFonts w:ascii="Times New Roman" w:hAnsi="Times New Roman"/>
        </w:rPr>
        <w:t>passenger or consignor has made a "special declaration of interest in delivery at destination and has paid a supplementary sum if the case so requires".</w:t>
      </w:r>
      <w:r w:rsidR="00273CDA" w:rsidRPr="00842E68">
        <w:rPr>
          <w:rStyle w:val="FootnoteReference"/>
          <w:rFonts w:ascii="Times New Roman" w:hAnsi="Times New Roman"/>
          <w:sz w:val="24"/>
        </w:rPr>
        <w:footnoteReference w:id="69"/>
      </w:r>
    </w:p>
    <w:p w14:paraId="68CE8ADF" w14:textId="3C1D4A7C" w:rsidR="00A46409" w:rsidRPr="00842E68" w:rsidRDefault="00723E04" w:rsidP="00842E68">
      <w:pPr>
        <w:pStyle w:val="FixListStyle"/>
        <w:spacing w:after="260" w:line="280" w:lineRule="exact"/>
        <w:ind w:right="0"/>
        <w:jc w:val="both"/>
        <w:rPr>
          <w:rFonts w:ascii="Times New Roman" w:hAnsi="Times New Roman"/>
        </w:rPr>
      </w:pPr>
      <w:r w:rsidRPr="00842E68">
        <w:rPr>
          <w:rFonts w:ascii="Times New Roman" w:hAnsi="Times New Roman"/>
        </w:rPr>
        <w:lastRenderedPageBreak/>
        <w:tab/>
      </w:r>
      <w:r w:rsidR="00A85130" w:rsidRPr="00842E68">
        <w:rPr>
          <w:rFonts w:ascii="Times New Roman" w:hAnsi="Times New Roman"/>
        </w:rPr>
        <w:t>Art</w:t>
      </w:r>
      <w:r w:rsidR="00455DBD" w:rsidRPr="00842E68">
        <w:rPr>
          <w:rFonts w:ascii="Times New Roman" w:hAnsi="Times New Roman"/>
        </w:rPr>
        <w:t>icle</w:t>
      </w:r>
      <w:r w:rsidR="00D15F1C" w:rsidRPr="00842E68">
        <w:rPr>
          <w:rFonts w:ascii="Times New Roman" w:hAnsi="Times New Roman"/>
        </w:rPr>
        <w:t> </w:t>
      </w:r>
      <w:r w:rsidR="00A85130" w:rsidRPr="00842E68">
        <w:rPr>
          <w:rFonts w:ascii="Times New Roman" w:hAnsi="Times New Roman"/>
        </w:rPr>
        <w:t>24</w:t>
      </w:r>
      <w:r w:rsidR="00A7357D" w:rsidRPr="00842E68">
        <w:rPr>
          <w:rFonts w:ascii="Times New Roman" w:hAnsi="Times New Roman"/>
        </w:rPr>
        <w:t>, which has been described as an "escalator clause"</w:t>
      </w:r>
      <w:r w:rsidR="005F27D7" w:rsidRPr="00842E68">
        <w:rPr>
          <w:rFonts w:ascii="Times New Roman" w:hAnsi="Times New Roman"/>
        </w:rPr>
        <w:t>,</w:t>
      </w:r>
      <w:r w:rsidR="00A7357D" w:rsidRPr="00842E68">
        <w:rPr>
          <w:rStyle w:val="FootnoteReference"/>
          <w:rFonts w:ascii="Times New Roman" w:hAnsi="Times New Roman"/>
          <w:sz w:val="24"/>
        </w:rPr>
        <w:footnoteReference w:id="70"/>
      </w:r>
      <w:r w:rsidR="005F27D7" w:rsidRPr="00842E68">
        <w:rPr>
          <w:rFonts w:ascii="Times New Roman" w:hAnsi="Times New Roman"/>
        </w:rPr>
        <w:t xml:space="preserve"> addresses </w:t>
      </w:r>
      <w:r w:rsidR="009969E9" w:rsidRPr="00842E68">
        <w:rPr>
          <w:rFonts w:ascii="Times New Roman" w:hAnsi="Times New Roman"/>
        </w:rPr>
        <w:t xml:space="preserve">one of the concerns about the erosion of the limits of liability </w:t>
      </w:r>
      <w:r w:rsidR="0076275F" w:rsidRPr="00842E68">
        <w:rPr>
          <w:rFonts w:ascii="Times New Roman" w:hAnsi="Times New Roman"/>
        </w:rPr>
        <w:t xml:space="preserve">by inflation. </w:t>
      </w:r>
      <w:r w:rsidR="00EC4520" w:rsidRPr="00842E68">
        <w:rPr>
          <w:rFonts w:ascii="Times New Roman" w:hAnsi="Times New Roman"/>
        </w:rPr>
        <w:t xml:space="preserve">In broad terms, </w:t>
      </w:r>
      <w:r w:rsidR="0076275F" w:rsidRPr="00842E68">
        <w:rPr>
          <w:rFonts w:ascii="Times New Roman" w:hAnsi="Times New Roman"/>
        </w:rPr>
        <w:t>Art</w:t>
      </w:r>
      <w:r w:rsidR="009B01C7" w:rsidRPr="00842E68">
        <w:rPr>
          <w:rFonts w:ascii="Times New Roman" w:hAnsi="Times New Roman"/>
        </w:rPr>
        <w:t> </w:t>
      </w:r>
      <w:r w:rsidR="0076275F" w:rsidRPr="00842E68">
        <w:rPr>
          <w:rFonts w:ascii="Times New Roman" w:hAnsi="Times New Roman"/>
        </w:rPr>
        <w:t xml:space="preserve">24 provides for </w:t>
      </w:r>
      <w:r w:rsidR="00525E03" w:rsidRPr="00842E68">
        <w:rPr>
          <w:rFonts w:ascii="Times New Roman" w:hAnsi="Times New Roman"/>
        </w:rPr>
        <w:t>inflation</w:t>
      </w:r>
      <w:r w:rsidR="00414733" w:rsidRPr="00842E68">
        <w:rPr>
          <w:rFonts w:ascii="Times New Roman" w:hAnsi="Times New Roman"/>
        </w:rPr>
        <w:noBreakHyphen/>
      </w:r>
      <w:r w:rsidR="00525E03" w:rsidRPr="00842E68">
        <w:rPr>
          <w:rFonts w:ascii="Times New Roman" w:hAnsi="Times New Roman"/>
        </w:rPr>
        <w:t>based increases</w:t>
      </w:r>
      <w:r w:rsidR="00EC4520" w:rsidRPr="00842E68">
        <w:rPr>
          <w:rFonts w:ascii="Times New Roman" w:hAnsi="Times New Roman"/>
        </w:rPr>
        <w:t xml:space="preserve"> </w:t>
      </w:r>
      <w:r w:rsidR="00D03966" w:rsidRPr="00842E68">
        <w:rPr>
          <w:rFonts w:ascii="Times New Roman" w:hAnsi="Times New Roman"/>
        </w:rPr>
        <w:t>to</w:t>
      </w:r>
      <w:r w:rsidR="00EC4520" w:rsidRPr="00842E68">
        <w:rPr>
          <w:rFonts w:ascii="Times New Roman" w:hAnsi="Times New Roman"/>
        </w:rPr>
        <w:t xml:space="preserve"> the "limits of liability" in Arts</w:t>
      </w:r>
      <w:r w:rsidR="009B01C7" w:rsidRPr="00842E68">
        <w:rPr>
          <w:rFonts w:ascii="Times New Roman" w:hAnsi="Times New Roman"/>
        </w:rPr>
        <w:t> </w:t>
      </w:r>
      <w:r w:rsidR="00EC4520" w:rsidRPr="00842E68">
        <w:rPr>
          <w:rFonts w:ascii="Times New Roman" w:hAnsi="Times New Roman"/>
        </w:rPr>
        <w:t>21, 22 and 23</w:t>
      </w:r>
      <w:r w:rsidR="00A754DE" w:rsidRPr="00842E68">
        <w:rPr>
          <w:rFonts w:ascii="Times New Roman" w:hAnsi="Times New Roman"/>
        </w:rPr>
        <w:t xml:space="preserve">, subject to disapproval </w:t>
      </w:r>
      <w:r w:rsidR="006E0953" w:rsidRPr="00842E68">
        <w:rPr>
          <w:rFonts w:ascii="Times New Roman" w:hAnsi="Times New Roman"/>
        </w:rPr>
        <w:t xml:space="preserve">by </w:t>
      </w:r>
      <w:proofErr w:type="gramStart"/>
      <w:r w:rsidR="006E0953" w:rsidRPr="00842E68">
        <w:rPr>
          <w:rFonts w:ascii="Times New Roman" w:hAnsi="Times New Roman"/>
        </w:rPr>
        <w:t>a majority of</w:t>
      </w:r>
      <w:proofErr w:type="gramEnd"/>
      <w:r w:rsidR="006E0953" w:rsidRPr="00842E68">
        <w:rPr>
          <w:rFonts w:ascii="Times New Roman" w:hAnsi="Times New Roman"/>
        </w:rPr>
        <w:t xml:space="preserve"> </w:t>
      </w:r>
      <w:r w:rsidR="00734124" w:rsidRPr="00842E68">
        <w:rPr>
          <w:rFonts w:ascii="Times New Roman" w:hAnsi="Times New Roman"/>
        </w:rPr>
        <w:t>s</w:t>
      </w:r>
      <w:r w:rsidR="006E0953" w:rsidRPr="00842E68">
        <w:rPr>
          <w:rFonts w:ascii="Times New Roman" w:hAnsi="Times New Roman"/>
        </w:rPr>
        <w:t xml:space="preserve">tate parties, </w:t>
      </w:r>
      <w:r w:rsidR="00202E61" w:rsidRPr="00842E68">
        <w:rPr>
          <w:rFonts w:ascii="Times New Roman" w:hAnsi="Times New Roman"/>
        </w:rPr>
        <w:t xml:space="preserve">with the limits to be reviewed </w:t>
      </w:r>
      <w:r w:rsidR="006E0953" w:rsidRPr="00842E68">
        <w:rPr>
          <w:rFonts w:ascii="Times New Roman" w:hAnsi="Times New Roman"/>
        </w:rPr>
        <w:t>at least</w:t>
      </w:r>
      <w:r w:rsidR="00525E03" w:rsidRPr="00842E68">
        <w:rPr>
          <w:rFonts w:ascii="Times New Roman" w:hAnsi="Times New Roman"/>
        </w:rPr>
        <w:t xml:space="preserve"> every five years</w:t>
      </w:r>
      <w:r w:rsidR="00167E1F" w:rsidRPr="00842E68">
        <w:rPr>
          <w:rFonts w:ascii="Times New Roman" w:hAnsi="Times New Roman"/>
        </w:rPr>
        <w:t xml:space="preserve">. </w:t>
      </w:r>
      <w:r w:rsidR="00EC4520" w:rsidRPr="00842E68">
        <w:rPr>
          <w:rFonts w:ascii="Times New Roman" w:hAnsi="Times New Roman"/>
        </w:rPr>
        <w:t>S</w:t>
      </w:r>
      <w:r w:rsidR="00884A4A" w:rsidRPr="00842E68">
        <w:rPr>
          <w:rFonts w:ascii="Times New Roman" w:hAnsi="Times New Roman"/>
        </w:rPr>
        <w:t>ubsequent to</w:t>
      </w:r>
      <w:r w:rsidR="00A46409" w:rsidRPr="00842E68">
        <w:rPr>
          <w:rFonts w:ascii="Times New Roman" w:hAnsi="Times New Roman"/>
        </w:rPr>
        <w:t xml:space="preserve"> the </w:t>
      </w:r>
      <w:r w:rsidR="00AC03ED" w:rsidRPr="00842E68">
        <w:rPr>
          <w:rFonts w:ascii="Times New Roman" w:hAnsi="Times New Roman"/>
        </w:rPr>
        <w:t>events</w:t>
      </w:r>
      <w:r w:rsidR="00A46409" w:rsidRPr="00842E68">
        <w:rPr>
          <w:rFonts w:ascii="Times New Roman" w:hAnsi="Times New Roman"/>
        </w:rPr>
        <w:t xml:space="preserve"> </w:t>
      </w:r>
      <w:r w:rsidR="002E74EB" w:rsidRPr="00842E68">
        <w:rPr>
          <w:rFonts w:ascii="Times New Roman" w:hAnsi="Times New Roman"/>
        </w:rPr>
        <w:t>in July 2019</w:t>
      </w:r>
      <w:r w:rsidR="00AC03ED" w:rsidRPr="00842E68">
        <w:rPr>
          <w:rFonts w:ascii="Times New Roman" w:hAnsi="Times New Roman"/>
        </w:rPr>
        <w:t xml:space="preserve"> </w:t>
      </w:r>
      <w:r w:rsidR="002E74EB" w:rsidRPr="00842E68">
        <w:rPr>
          <w:rFonts w:ascii="Times New Roman" w:hAnsi="Times New Roman"/>
        </w:rPr>
        <w:t xml:space="preserve">that </w:t>
      </w:r>
      <w:r w:rsidR="00A46409" w:rsidRPr="00842E68">
        <w:rPr>
          <w:rFonts w:ascii="Times New Roman" w:hAnsi="Times New Roman"/>
        </w:rPr>
        <w:t>alleged</w:t>
      </w:r>
      <w:r w:rsidR="002E74EB" w:rsidRPr="00842E68">
        <w:rPr>
          <w:rFonts w:ascii="Times New Roman" w:hAnsi="Times New Roman"/>
        </w:rPr>
        <w:t>ly caused the</w:t>
      </w:r>
      <w:r w:rsidR="00A46409" w:rsidRPr="00842E68">
        <w:rPr>
          <w:rFonts w:ascii="Times New Roman" w:hAnsi="Times New Roman"/>
        </w:rPr>
        <w:t xml:space="preserve"> injuries of the appellant passengers</w:t>
      </w:r>
      <w:r w:rsidR="00884A4A" w:rsidRPr="00842E68">
        <w:rPr>
          <w:rFonts w:ascii="Times New Roman" w:hAnsi="Times New Roman"/>
        </w:rPr>
        <w:t>,</w:t>
      </w:r>
      <w:r w:rsidR="00A46409" w:rsidRPr="00842E68">
        <w:rPr>
          <w:rFonts w:ascii="Times New Roman" w:hAnsi="Times New Roman"/>
        </w:rPr>
        <w:t xml:space="preserve"> the limit </w:t>
      </w:r>
      <w:r w:rsidR="003D4A3E" w:rsidRPr="00842E68">
        <w:rPr>
          <w:rFonts w:ascii="Times New Roman" w:hAnsi="Times New Roman"/>
        </w:rPr>
        <w:t xml:space="preserve">of </w:t>
      </w:r>
      <w:r w:rsidR="00A46409" w:rsidRPr="00842E68">
        <w:rPr>
          <w:rFonts w:ascii="Times New Roman" w:hAnsi="Times New Roman"/>
        </w:rPr>
        <w:t xml:space="preserve">113,100 Special Drawing Rights </w:t>
      </w:r>
      <w:r w:rsidR="00CB2E13" w:rsidRPr="00842E68">
        <w:rPr>
          <w:rFonts w:ascii="Times New Roman" w:hAnsi="Times New Roman"/>
        </w:rPr>
        <w:t xml:space="preserve">for Art 21 </w:t>
      </w:r>
      <w:r w:rsidR="00884A4A" w:rsidRPr="00842E68">
        <w:rPr>
          <w:rFonts w:ascii="Times New Roman" w:hAnsi="Times New Roman"/>
        </w:rPr>
        <w:t xml:space="preserve">was increased </w:t>
      </w:r>
      <w:r w:rsidR="002C450A" w:rsidRPr="00842E68">
        <w:rPr>
          <w:rFonts w:ascii="Times New Roman" w:hAnsi="Times New Roman"/>
        </w:rPr>
        <w:t>under Art</w:t>
      </w:r>
      <w:r w:rsidR="005F74FA" w:rsidRPr="00842E68">
        <w:rPr>
          <w:rFonts w:ascii="Times New Roman" w:hAnsi="Times New Roman"/>
        </w:rPr>
        <w:t> </w:t>
      </w:r>
      <w:r w:rsidR="002C450A" w:rsidRPr="00842E68">
        <w:rPr>
          <w:rFonts w:ascii="Times New Roman" w:hAnsi="Times New Roman"/>
        </w:rPr>
        <w:t xml:space="preserve">24, </w:t>
      </w:r>
      <w:r w:rsidR="00DD3CF8" w:rsidRPr="00842E68">
        <w:rPr>
          <w:rFonts w:ascii="Times New Roman" w:hAnsi="Times New Roman"/>
        </w:rPr>
        <w:t xml:space="preserve">with effect </w:t>
      </w:r>
      <w:proofErr w:type="gramStart"/>
      <w:r w:rsidR="002C450A" w:rsidRPr="00842E68">
        <w:rPr>
          <w:rFonts w:ascii="Times New Roman" w:hAnsi="Times New Roman"/>
        </w:rPr>
        <w:t>from 28</w:t>
      </w:r>
      <w:r w:rsidR="005F74FA" w:rsidRPr="00842E68">
        <w:rPr>
          <w:rFonts w:ascii="Times New Roman" w:hAnsi="Times New Roman"/>
        </w:rPr>
        <w:t> </w:t>
      </w:r>
      <w:r w:rsidR="002C450A" w:rsidRPr="00842E68">
        <w:rPr>
          <w:rFonts w:ascii="Times New Roman" w:hAnsi="Times New Roman"/>
        </w:rPr>
        <w:t>December 2019,</w:t>
      </w:r>
      <w:proofErr w:type="gramEnd"/>
      <w:r w:rsidR="002C450A" w:rsidRPr="00842E68">
        <w:rPr>
          <w:rFonts w:ascii="Times New Roman" w:hAnsi="Times New Roman"/>
        </w:rPr>
        <w:t xml:space="preserve"> </w:t>
      </w:r>
      <w:r w:rsidR="00283F2C" w:rsidRPr="00842E68">
        <w:rPr>
          <w:rFonts w:ascii="Times New Roman" w:hAnsi="Times New Roman"/>
        </w:rPr>
        <w:t xml:space="preserve">to 128,821 </w:t>
      </w:r>
      <w:r w:rsidR="002C450A" w:rsidRPr="00842E68">
        <w:rPr>
          <w:rFonts w:ascii="Times New Roman" w:hAnsi="Times New Roman"/>
        </w:rPr>
        <w:t>Special Drawing Rights.</w:t>
      </w:r>
      <w:r w:rsidR="004A418E" w:rsidRPr="00842E68">
        <w:rPr>
          <w:rStyle w:val="FootnoteReference"/>
          <w:rFonts w:ascii="Times New Roman" w:hAnsi="Times New Roman"/>
          <w:sz w:val="24"/>
        </w:rPr>
        <w:footnoteReference w:id="71"/>
      </w:r>
      <w:r w:rsidR="002C450A" w:rsidRPr="00842E68">
        <w:rPr>
          <w:rFonts w:ascii="Times New Roman" w:hAnsi="Times New Roman"/>
        </w:rPr>
        <w:t xml:space="preserve"> </w:t>
      </w:r>
      <w:r w:rsidR="00884A4A" w:rsidRPr="00842E68">
        <w:rPr>
          <w:rFonts w:ascii="Times New Roman" w:hAnsi="Times New Roman"/>
        </w:rPr>
        <w:t xml:space="preserve"> </w:t>
      </w:r>
      <w:r w:rsidR="00A46409" w:rsidRPr="00842E68">
        <w:rPr>
          <w:rFonts w:ascii="Times New Roman" w:hAnsi="Times New Roman"/>
        </w:rPr>
        <w:t xml:space="preserve">     </w:t>
      </w:r>
    </w:p>
    <w:p w14:paraId="2012696C" w14:textId="7E93F80E" w:rsidR="004A50B9" w:rsidRPr="00842E68" w:rsidRDefault="00A13D16" w:rsidP="00842E68">
      <w:pPr>
        <w:pStyle w:val="FixListStyle"/>
        <w:spacing w:after="260" w:line="280" w:lineRule="exact"/>
        <w:ind w:right="0"/>
        <w:jc w:val="both"/>
        <w:rPr>
          <w:rFonts w:ascii="Times New Roman" w:hAnsi="Times New Roman"/>
        </w:rPr>
      </w:pPr>
      <w:r w:rsidRPr="00842E68">
        <w:rPr>
          <w:rFonts w:ascii="Times New Roman" w:hAnsi="Times New Roman"/>
        </w:rPr>
        <w:tab/>
        <w:t>Art</w:t>
      </w:r>
      <w:r w:rsidR="008732B4" w:rsidRPr="00842E68">
        <w:rPr>
          <w:rFonts w:ascii="Times New Roman" w:hAnsi="Times New Roman"/>
        </w:rPr>
        <w:t>icle</w:t>
      </w:r>
      <w:r w:rsidRPr="00842E68">
        <w:rPr>
          <w:rFonts w:ascii="Times New Roman" w:hAnsi="Times New Roman"/>
        </w:rPr>
        <w:t xml:space="preserve"> 25 </w:t>
      </w:r>
      <w:r w:rsidR="00196C07" w:rsidRPr="00842E68">
        <w:rPr>
          <w:rFonts w:ascii="Times New Roman" w:hAnsi="Times New Roman"/>
        </w:rPr>
        <w:t>provides</w:t>
      </w:r>
      <w:r w:rsidR="004A50B9" w:rsidRPr="00842E68">
        <w:rPr>
          <w:rFonts w:ascii="Times New Roman" w:hAnsi="Times New Roman"/>
        </w:rPr>
        <w:t xml:space="preserve"> as follows:</w:t>
      </w:r>
    </w:p>
    <w:p w14:paraId="338BC865" w14:textId="5EDCE264" w:rsidR="00CC1B0A" w:rsidRPr="00842E68" w:rsidRDefault="00CC1B0A" w:rsidP="00842E68">
      <w:pPr>
        <w:pStyle w:val="LeftrightafterHC"/>
        <w:keepNext/>
        <w:spacing w:before="0" w:after="260" w:line="280" w:lineRule="exact"/>
        <w:ind w:right="0"/>
        <w:jc w:val="both"/>
        <w:rPr>
          <w:rFonts w:ascii="Times New Roman" w:hAnsi="Times New Roman"/>
        </w:rPr>
      </w:pPr>
      <w:r w:rsidRPr="00842E68">
        <w:rPr>
          <w:rFonts w:ascii="Times New Roman" w:hAnsi="Times New Roman"/>
        </w:rPr>
        <w:t>"</w:t>
      </w:r>
      <w:r w:rsidRPr="00842E68">
        <w:rPr>
          <w:rFonts w:ascii="Times New Roman" w:hAnsi="Times New Roman"/>
          <w:b/>
          <w:bCs/>
        </w:rPr>
        <w:t>Article 25</w:t>
      </w:r>
      <w:r w:rsidR="00387504" w:rsidRPr="00842E68">
        <w:rPr>
          <w:rFonts w:ascii="Times New Roman" w:hAnsi="Times New Roman"/>
          <w:b/>
          <w:bCs/>
        </w:rPr>
        <w:t xml:space="preserve">. </w:t>
      </w:r>
      <w:r w:rsidRPr="00842E68">
        <w:rPr>
          <w:rFonts w:ascii="Times New Roman" w:hAnsi="Times New Roman"/>
          <w:b/>
          <w:bCs/>
        </w:rPr>
        <w:t>Stipulation on Limits</w:t>
      </w:r>
    </w:p>
    <w:p w14:paraId="78082B04" w14:textId="77777777" w:rsidR="00842E68" w:rsidRDefault="00CC1B0A" w:rsidP="00842E68">
      <w:pPr>
        <w:pStyle w:val="LeftrightafterHC"/>
        <w:spacing w:before="0" w:after="260" w:line="280" w:lineRule="exact"/>
        <w:ind w:right="0"/>
        <w:jc w:val="both"/>
        <w:rPr>
          <w:rFonts w:ascii="Times New Roman" w:hAnsi="Times New Roman"/>
        </w:rPr>
      </w:pPr>
      <w:r w:rsidRPr="00842E68">
        <w:rPr>
          <w:rFonts w:ascii="Times New Roman" w:hAnsi="Times New Roman"/>
        </w:rPr>
        <w:t xml:space="preserve">A carrier may stipulate that the contract of carriage shall be subject to higher limits of liability </w:t>
      </w:r>
      <w:r w:rsidR="00FE007C" w:rsidRPr="00842E68">
        <w:rPr>
          <w:rFonts w:ascii="Times New Roman" w:hAnsi="Times New Roman"/>
        </w:rPr>
        <w:t>than those provided for in this Convention or to no limits of liability whatsoever</w:t>
      </w:r>
      <w:r w:rsidRPr="00842E68">
        <w:rPr>
          <w:rFonts w:ascii="Times New Roman" w:hAnsi="Times New Roman"/>
        </w:rPr>
        <w:t>.</w:t>
      </w:r>
      <w:r w:rsidR="00FE007C" w:rsidRPr="00842E68">
        <w:rPr>
          <w:rFonts w:ascii="Times New Roman" w:hAnsi="Times New Roman"/>
        </w:rPr>
        <w:t>"</w:t>
      </w:r>
    </w:p>
    <w:p w14:paraId="3D85A1E1" w14:textId="6A73D03A" w:rsidR="00681BEB" w:rsidRPr="00842E68" w:rsidRDefault="00405D9A"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210A0B" w:rsidRPr="00842E68">
        <w:rPr>
          <w:rFonts w:ascii="Times New Roman" w:hAnsi="Times New Roman"/>
        </w:rPr>
        <w:t>Art</w:t>
      </w:r>
      <w:r w:rsidR="00387504" w:rsidRPr="00842E68">
        <w:rPr>
          <w:rFonts w:ascii="Times New Roman" w:hAnsi="Times New Roman"/>
        </w:rPr>
        <w:t>icle</w:t>
      </w:r>
      <w:r w:rsidR="00210A0B" w:rsidRPr="00842E68">
        <w:rPr>
          <w:rFonts w:ascii="Times New Roman" w:hAnsi="Times New Roman"/>
        </w:rPr>
        <w:t xml:space="preserve"> 26 makes "null and void" any provision </w:t>
      </w:r>
      <w:r w:rsidR="001A50F8" w:rsidRPr="00842E68">
        <w:rPr>
          <w:rFonts w:ascii="Times New Roman" w:hAnsi="Times New Roman"/>
        </w:rPr>
        <w:t xml:space="preserve">that tends </w:t>
      </w:r>
      <w:r w:rsidR="0067364B" w:rsidRPr="00842E68">
        <w:rPr>
          <w:rFonts w:ascii="Times New Roman" w:hAnsi="Times New Roman"/>
        </w:rPr>
        <w:t>"</w:t>
      </w:r>
      <w:r w:rsidR="001A50F8" w:rsidRPr="00842E68">
        <w:rPr>
          <w:rFonts w:ascii="Times New Roman" w:hAnsi="Times New Roman"/>
        </w:rPr>
        <w:t xml:space="preserve">to relieve the </w:t>
      </w:r>
      <w:r w:rsidR="00126A24" w:rsidRPr="00842E68">
        <w:rPr>
          <w:rFonts w:ascii="Times New Roman" w:hAnsi="Times New Roman"/>
        </w:rPr>
        <w:t xml:space="preserve">carrier </w:t>
      </w:r>
      <w:r w:rsidR="003D1DF3" w:rsidRPr="00842E68">
        <w:rPr>
          <w:rFonts w:ascii="Times New Roman" w:hAnsi="Times New Roman"/>
        </w:rPr>
        <w:t>o</w:t>
      </w:r>
      <w:r w:rsidR="0067364B" w:rsidRPr="00842E68">
        <w:rPr>
          <w:rFonts w:ascii="Times New Roman" w:hAnsi="Times New Roman"/>
        </w:rPr>
        <w:t>f liability</w:t>
      </w:r>
      <w:r w:rsidR="003D1DF3" w:rsidRPr="00842E68">
        <w:rPr>
          <w:rFonts w:ascii="Times New Roman" w:hAnsi="Times New Roman"/>
        </w:rPr>
        <w:t xml:space="preserve"> o</w:t>
      </w:r>
      <w:r w:rsidR="00887CEF" w:rsidRPr="00842E68">
        <w:rPr>
          <w:rFonts w:ascii="Times New Roman" w:hAnsi="Times New Roman"/>
        </w:rPr>
        <w:t>r to fix a lower limit</w:t>
      </w:r>
      <w:r w:rsidR="0067364B" w:rsidRPr="00842E68">
        <w:rPr>
          <w:rFonts w:ascii="Times New Roman" w:hAnsi="Times New Roman"/>
        </w:rPr>
        <w:t xml:space="preserve"> than that which is laid down" in the Montreal Convention</w:t>
      </w:r>
      <w:r w:rsidR="00EC4520" w:rsidRPr="00842E68">
        <w:rPr>
          <w:rFonts w:ascii="Times New Roman" w:hAnsi="Times New Roman"/>
        </w:rPr>
        <w:t>.</w:t>
      </w:r>
      <w:r w:rsidR="00BC6B89" w:rsidRPr="00842E68">
        <w:rPr>
          <w:rFonts w:ascii="Times New Roman" w:hAnsi="Times New Roman"/>
        </w:rPr>
        <w:t xml:space="preserve"> Art</w:t>
      </w:r>
      <w:r w:rsidR="00FE0C08" w:rsidRPr="00842E68">
        <w:rPr>
          <w:rFonts w:ascii="Times New Roman" w:hAnsi="Times New Roman"/>
        </w:rPr>
        <w:t>icle</w:t>
      </w:r>
      <w:r w:rsidR="00D540AC" w:rsidRPr="00842E68">
        <w:rPr>
          <w:rFonts w:ascii="Times New Roman" w:hAnsi="Times New Roman"/>
        </w:rPr>
        <w:t> </w:t>
      </w:r>
      <w:r w:rsidR="00BC6B89" w:rsidRPr="00842E68">
        <w:rPr>
          <w:rFonts w:ascii="Times New Roman" w:hAnsi="Times New Roman"/>
        </w:rPr>
        <w:t xml:space="preserve">27 provides that </w:t>
      </w:r>
      <w:r w:rsidR="00A7226B" w:rsidRPr="00842E68">
        <w:rPr>
          <w:rFonts w:ascii="Times New Roman" w:hAnsi="Times New Roman"/>
        </w:rPr>
        <w:t xml:space="preserve">nothing contained in the Montreal Convention prevents a carrier from "refusing to enter into any contract of carriage, from waiving any defences available under the Convention, or from laying down conditions which do not conflict" with the Montreal Convention. </w:t>
      </w:r>
      <w:r w:rsidR="00EC4520" w:rsidRPr="00842E68">
        <w:rPr>
          <w:rFonts w:ascii="Times New Roman" w:hAnsi="Times New Roman"/>
        </w:rPr>
        <w:t xml:space="preserve"> </w:t>
      </w:r>
    </w:p>
    <w:p w14:paraId="4E53E9F5" w14:textId="5279B74E" w:rsidR="00CC37BC" w:rsidRPr="00842E68" w:rsidRDefault="00FC52BB" w:rsidP="00842E68">
      <w:pPr>
        <w:pStyle w:val="HeadingL2"/>
        <w:spacing w:after="260" w:line="280" w:lineRule="exact"/>
        <w:ind w:right="0"/>
        <w:jc w:val="both"/>
        <w:rPr>
          <w:rFonts w:ascii="Times New Roman" w:hAnsi="Times New Roman"/>
        </w:rPr>
      </w:pPr>
      <w:r w:rsidRPr="00842E68">
        <w:rPr>
          <w:rFonts w:ascii="Times New Roman" w:hAnsi="Times New Roman"/>
        </w:rPr>
        <w:t>The meaning of Art</w:t>
      </w:r>
      <w:r w:rsidR="007D6FED" w:rsidRPr="00842E68">
        <w:rPr>
          <w:rFonts w:ascii="Times New Roman" w:hAnsi="Times New Roman"/>
        </w:rPr>
        <w:t xml:space="preserve">s 17, </w:t>
      </w:r>
      <w:r w:rsidR="00783B8C" w:rsidRPr="00842E68">
        <w:rPr>
          <w:rFonts w:ascii="Times New Roman" w:hAnsi="Times New Roman"/>
        </w:rPr>
        <w:t>21 and</w:t>
      </w:r>
      <w:r w:rsidRPr="00842E68">
        <w:rPr>
          <w:rFonts w:ascii="Times New Roman" w:hAnsi="Times New Roman"/>
        </w:rPr>
        <w:t xml:space="preserve"> 25 of the Montreal Convention</w:t>
      </w:r>
    </w:p>
    <w:p w14:paraId="07BB45BD" w14:textId="3E0A60EA" w:rsidR="006B0EEB" w:rsidRPr="00842E68" w:rsidRDefault="00A75369"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DA2BAA" w:rsidRPr="00842E68">
        <w:rPr>
          <w:rFonts w:ascii="Times New Roman" w:hAnsi="Times New Roman"/>
        </w:rPr>
        <w:t>As the history above shows, it was widely understood that the</w:t>
      </w:r>
      <w:r w:rsidR="00651212" w:rsidRPr="00842E68">
        <w:rPr>
          <w:rFonts w:ascii="Times New Roman" w:hAnsi="Times New Roman"/>
        </w:rPr>
        <w:t xml:space="preserve"> effect of Art</w:t>
      </w:r>
      <w:r w:rsidR="00D409A0" w:rsidRPr="00842E68">
        <w:rPr>
          <w:rFonts w:ascii="Times New Roman" w:hAnsi="Times New Roman"/>
        </w:rPr>
        <w:t> </w:t>
      </w:r>
      <w:r w:rsidR="00651212" w:rsidRPr="00842E68">
        <w:rPr>
          <w:rFonts w:ascii="Times New Roman" w:hAnsi="Times New Roman"/>
        </w:rPr>
        <w:t xml:space="preserve">22(1) of the Warsaw Convention upon the </w:t>
      </w:r>
      <w:r w:rsidR="00BD100B" w:rsidRPr="00842E68">
        <w:rPr>
          <w:rFonts w:ascii="Times New Roman" w:hAnsi="Times New Roman"/>
        </w:rPr>
        <w:t>carrier's</w:t>
      </w:r>
      <w:r w:rsidR="00D316BE" w:rsidRPr="00842E68">
        <w:rPr>
          <w:rFonts w:ascii="Times New Roman" w:hAnsi="Times New Roman"/>
        </w:rPr>
        <w:t xml:space="preserve"> strict</w:t>
      </w:r>
      <w:r w:rsidR="00BD100B" w:rsidRPr="00842E68">
        <w:rPr>
          <w:rFonts w:ascii="Times New Roman" w:hAnsi="Times New Roman"/>
        </w:rPr>
        <w:t xml:space="preserve"> </w:t>
      </w:r>
      <w:r w:rsidR="00651212" w:rsidRPr="00842E68">
        <w:rPr>
          <w:rFonts w:ascii="Times New Roman" w:hAnsi="Times New Roman"/>
        </w:rPr>
        <w:t xml:space="preserve">liability for personal injury or death </w:t>
      </w:r>
      <w:r w:rsidR="00B16D45" w:rsidRPr="00842E68">
        <w:rPr>
          <w:rFonts w:ascii="Times New Roman" w:hAnsi="Times New Roman"/>
        </w:rPr>
        <w:t>under</w:t>
      </w:r>
      <w:r w:rsidR="00651212" w:rsidRPr="00842E68">
        <w:rPr>
          <w:rFonts w:ascii="Times New Roman" w:hAnsi="Times New Roman"/>
        </w:rPr>
        <w:t xml:space="preserve"> </w:t>
      </w:r>
      <w:r w:rsidR="00DA2BAA" w:rsidRPr="00842E68">
        <w:rPr>
          <w:rFonts w:ascii="Times New Roman" w:hAnsi="Times New Roman"/>
        </w:rPr>
        <w:t>Art</w:t>
      </w:r>
      <w:r w:rsidR="008D3BDE" w:rsidRPr="00842E68">
        <w:rPr>
          <w:rFonts w:ascii="Times New Roman" w:hAnsi="Times New Roman"/>
        </w:rPr>
        <w:t> </w:t>
      </w:r>
      <w:r w:rsidR="00DA2BAA" w:rsidRPr="00842E68">
        <w:rPr>
          <w:rFonts w:ascii="Times New Roman" w:hAnsi="Times New Roman"/>
        </w:rPr>
        <w:t xml:space="preserve">17 </w:t>
      </w:r>
      <w:r w:rsidR="00651212" w:rsidRPr="00842E68">
        <w:rPr>
          <w:rFonts w:ascii="Times New Roman" w:hAnsi="Times New Roman"/>
        </w:rPr>
        <w:t xml:space="preserve">was </w:t>
      </w:r>
      <w:r w:rsidR="00431B30" w:rsidRPr="00842E68">
        <w:rPr>
          <w:rFonts w:ascii="Times New Roman" w:hAnsi="Times New Roman"/>
        </w:rPr>
        <w:t xml:space="preserve">"a </w:t>
      </w:r>
      <w:r w:rsidR="00431B30" w:rsidRPr="00842E68">
        <w:rPr>
          <w:rFonts w:ascii="Times New Roman" w:hAnsi="Times New Roman"/>
          <w:i/>
          <w:iCs/>
        </w:rPr>
        <w:t>quid pro quo</w:t>
      </w:r>
      <w:r w:rsidR="00431B30" w:rsidRPr="00842E68">
        <w:rPr>
          <w:rFonts w:ascii="Times New Roman" w:hAnsi="Times New Roman"/>
        </w:rPr>
        <w:t>,</w:t>
      </w:r>
      <w:r w:rsidR="00431B30" w:rsidRPr="00842E68">
        <w:rPr>
          <w:rFonts w:ascii="Times New Roman" w:hAnsi="Times New Roman"/>
          <w:i/>
          <w:iCs/>
        </w:rPr>
        <w:t xml:space="preserve"> </w:t>
      </w:r>
      <w:r w:rsidR="00431B30" w:rsidRPr="00842E68">
        <w:rPr>
          <w:rFonts w:ascii="Times New Roman" w:hAnsi="Times New Roman"/>
        </w:rPr>
        <w:t xml:space="preserve">whereby the </w:t>
      </w:r>
      <w:r w:rsidR="00A81FF0" w:rsidRPr="00842E68">
        <w:rPr>
          <w:rFonts w:ascii="Times New Roman" w:hAnsi="Times New Roman"/>
        </w:rPr>
        <w:t xml:space="preserve">airline's </w:t>
      </w:r>
      <w:r w:rsidR="00431B30" w:rsidRPr="00842E68">
        <w:rPr>
          <w:rFonts w:ascii="Times New Roman" w:hAnsi="Times New Roman"/>
        </w:rPr>
        <w:t xml:space="preserve">liability was limited in return for almost certain recovery </w:t>
      </w:r>
      <w:r w:rsidR="00566572" w:rsidRPr="00842E68">
        <w:rPr>
          <w:rFonts w:ascii="Times New Roman" w:hAnsi="Times New Roman"/>
        </w:rPr>
        <w:t>for the [passenger]</w:t>
      </w:r>
      <w:r w:rsidR="00CB1E8C" w:rsidRPr="00842E68">
        <w:rPr>
          <w:rFonts w:ascii="Times New Roman" w:hAnsi="Times New Roman"/>
        </w:rPr>
        <w:t>,</w:t>
      </w:r>
      <w:r w:rsidR="00566572" w:rsidRPr="00842E68">
        <w:rPr>
          <w:rFonts w:ascii="Times New Roman" w:hAnsi="Times New Roman"/>
        </w:rPr>
        <w:t xml:space="preserve"> with the </w:t>
      </w:r>
      <w:r w:rsidR="00566572" w:rsidRPr="00842E68">
        <w:rPr>
          <w:rFonts w:ascii="Times New Roman" w:hAnsi="Times New Roman"/>
        </w:rPr>
        <w:lastRenderedPageBreak/>
        <w:t xml:space="preserve">presumption of carrier's fault </w:t>
      </w:r>
      <w:r w:rsidR="00D10A34" w:rsidRPr="00842E68">
        <w:rPr>
          <w:rFonts w:ascii="Times New Roman" w:hAnsi="Times New Roman"/>
        </w:rPr>
        <w:t>and reversed burden of proof".</w:t>
      </w:r>
      <w:r w:rsidR="00D10A34" w:rsidRPr="00842E68">
        <w:rPr>
          <w:rStyle w:val="FootnoteReference"/>
          <w:rFonts w:ascii="Times New Roman" w:hAnsi="Times New Roman"/>
          <w:sz w:val="24"/>
        </w:rPr>
        <w:footnoteReference w:id="72"/>
      </w:r>
      <w:r w:rsidR="00CF45F6" w:rsidRPr="00842E68">
        <w:rPr>
          <w:rFonts w:ascii="Times New Roman" w:hAnsi="Times New Roman"/>
        </w:rPr>
        <w:t xml:space="preserve"> The Warsaw Convention thus adopted a regime </w:t>
      </w:r>
      <w:r w:rsidR="00025BA5" w:rsidRPr="00842E68">
        <w:rPr>
          <w:rFonts w:ascii="Times New Roman" w:hAnsi="Times New Roman"/>
        </w:rPr>
        <w:t xml:space="preserve">of </w:t>
      </w:r>
      <w:r w:rsidR="00134598" w:rsidRPr="00842E68">
        <w:rPr>
          <w:rFonts w:ascii="Times New Roman" w:hAnsi="Times New Roman"/>
        </w:rPr>
        <w:t xml:space="preserve">strict </w:t>
      </w:r>
      <w:r w:rsidR="00025BA5" w:rsidRPr="00842E68">
        <w:rPr>
          <w:rFonts w:ascii="Times New Roman" w:hAnsi="Times New Roman"/>
        </w:rPr>
        <w:t>liability</w:t>
      </w:r>
      <w:r w:rsidR="00751F4D" w:rsidRPr="00842E68">
        <w:rPr>
          <w:rFonts w:ascii="Times New Roman" w:hAnsi="Times New Roman"/>
        </w:rPr>
        <w:t xml:space="preserve"> (subject to defences)</w:t>
      </w:r>
      <w:r w:rsidR="00025BA5" w:rsidRPr="00842E68">
        <w:rPr>
          <w:rFonts w:ascii="Times New Roman" w:hAnsi="Times New Roman"/>
        </w:rPr>
        <w:t xml:space="preserve"> </w:t>
      </w:r>
      <w:r w:rsidR="00DD616B" w:rsidRPr="00842E68">
        <w:rPr>
          <w:rFonts w:ascii="Times New Roman" w:hAnsi="Times New Roman"/>
        </w:rPr>
        <w:t xml:space="preserve">for personal injury or death </w:t>
      </w:r>
      <w:r w:rsidR="00751F4D" w:rsidRPr="00842E68">
        <w:rPr>
          <w:rFonts w:ascii="Times New Roman" w:hAnsi="Times New Roman"/>
        </w:rPr>
        <w:t>when the conditions of</w:t>
      </w:r>
      <w:r w:rsidR="00025BA5" w:rsidRPr="00842E68">
        <w:rPr>
          <w:rFonts w:ascii="Times New Roman" w:hAnsi="Times New Roman"/>
        </w:rPr>
        <w:t xml:space="preserve"> Art</w:t>
      </w:r>
      <w:r w:rsidR="00FF6610" w:rsidRPr="00842E68">
        <w:rPr>
          <w:rFonts w:ascii="Times New Roman" w:hAnsi="Times New Roman"/>
        </w:rPr>
        <w:t> </w:t>
      </w:r>
      <w:r w:rsidR="00025BA5" w:rsidRPr="00842E68">
        <w:rPr>
          <w:rFonts w:ascii="Times New Roman" w:hAnsi="Times New Roman"/>
        </w:rPr>
        <w:t>17</w:t>
      </w:r>
      <w:r w:rsidR="00751F4D" w:rsidRPr="00842E68">
        <w:rPr>
          <w:rFonts w:ascii="Times New Roman" w:hAnsi="Times New Roman"/>
        </w:rPr>
        <w:t xml:space="preserve"> were met</w:t>
      </w:r>
      <w:r w:rsidR="002D2976" w:rsidRPr="00842E68">
        <w:rPr>
          <w:rFonts w:ascii="Times New Roman" w:hAnsi="Times New Roman"/>
        </w:rPr>
        <w:t xml:space="preserve">, </w:t>
      </w:r>
      <w:r w:rsidR="008477A4" w:rsidRPr="00842E68">
        <w:rPr>
          <w:rFonts w:ascii="Times New Roman" w:hAnsi="Times New Roman"/>
        </w:rPr>
        <w:t xml:space="preserve">but </w:t>
      </w:r>
      <w:r w:rsidR="00CF45F6" w:rsidRPr="00842E68">
        <w:rPr>
          <w:rFonts w:ascii="Times New Roman" w:hAnsi="Times New Roman"/>
        </w:rPr>
        <w:t xml:space="preserve">with a </w:t>
      </w:r>
      <w:r w:rsidR="00506A99" w:rsidRPr="00842E68">
        <w:rPr>
          <w:rFonts w:ascii="Times New Roman" w:hAnsi="Times New Roman"/>
        </w:rPr>
        <w:t xml:space="preserve">monetary </w:t>
      </w:r>
      <w:r w:rsidR="00CF45F6" w:rsidRPr="00842E68">
        <w:rPr>
          <w:rFonts w:ascii="Times New Roman" w:hAnsi="Times New Roman"/>
        </w:rPr>
        <w:t xml:space="preserve">limit to </w:t>
      </w:r>
      <w:r w:rsidR="00506A99" w:rsidRPr="00842E68">
        <w:rPr>
          <w:rFonts w:ascii="Times New Roman" w:hAnsi="Times New Roman"/>
        </w:rPr>
        <w:t xml:space="preserve">that </w:t>
      </w:r>
      <w:r w:rsidR="00CF45F6" w:rsidRPr="00842E68">
        <w:rPr>
          <w:rFonts w:ascii="Times New Roman" w:hAnsi="Times New Roman"/>
        </w:rPr>
        <w:t>liability.</w:t>
      </w:r>
      <w:r w:rsidR="00073463" w:rsidRPr="00842E68">
        <w:rPr>
          <w:rStyle w:val="FootnoteReference"/>
          <w:rFonts w:ascii="Times New Roman" w:hAnsi="Times New Roman"/>
          <w:sz w:val="24"/>
        </w:rPr>
        <w:footnoteReference w:id="73"/>
      </w:r>
      <w:r w:rsidR="00CF45F6" w:rsidRPr="00842E68">
        <w:rPr>
          <w:rFonts w:ascii="Times New Roman" w:hAnsi="Times New Roman"/>
        </w:rPr>
        <w:t xml:space="preserve"> </w:t>
      </w:r>
      <w:r w:rsidR="00C0386B" w:rsidRPr="00842E68">
        <w:rPr>
          <w:rFonts w:ascii="Times New Roman" w:hAnsi="Times New Roman"/>
        </w:rPr>
        <w:t xml:space="preserve">The </w:t>
      </w:r>
      <w:r w:rsidR="00A26E32" w:rsidRPr="00842E68">
        <w:rPr>
          <w:rFonts w:ascii="Times New Roman" w:hAnsi="Times New Roman"/>
        </w:rPr>
        <w:t xml:space="preserve">quantum of the </w:t>
      </w:r>
      <w:r w:rsidR="00C0386B" w:rsidRPr="00842E68">
        <w:rPr>
          <w:rFonts w:ascii="Times New Roman" w:hAnsi="Times New Roman"/>
        </w:rPr>
        <w:t>limit</w:t>
      </w:r>
      <w:r w:rsidR="00F57E1A" w:rsidRPr="00842E68">
        <w:rPr>
          <w:rFonts w:ascii="Times New Roman" w:hAnsi="Times New Roman"/>
        </w:rPr>
        <w:t xml:space="preserve"> </w:t>
      </w:r>
      <w:r w:rsidR="003309EE" w:rsidRPr="00842E68">
        <w:rPr>
          <w:rFonts w:ascii="Times New Roman" w:hAnsi="Times New Roman"/>
        </w:rPr>
        <w:t xml:space="preserve">of </w:t>
      </w:r>
      <w:r w:rsidR="00A26E32" w:rsidRPr="00842E68">
        <w:rPr>
          <w:rFonts w:ascii="Times New Roman" w:hAnsi="Times New Roman"/>
        </w:rPr>
        <w:t>a</w:t>
      </w:r>
      <w:r w:rsidR="001E750E" w:rsidRPr="00842E68">
        <w:rPr>
          <w:rFonts w:ascii="Times New Roman" w:hAnsi="Times New Roman"/>
        </w:rPr>
        <w:t xml:space="preserve"> carrier's </w:t>
      </w:r>
      <w:r w:rsidR="008F23E1" w:rsidRPr="00842E68">
        <w:rPr>
          <w:rFonts w:ascii="Times New Roman" w:hAnsi="Times New Roman"/>
        </w:rPr>
        <w:t xml:space="preserve">strict </w:t>
      </w:r>
      <w:r w:rsidR="003309EE" w:rsidRPr="00842E68">
        <w:rPr>
          <w:rFonts w:ascii="Times New Roman" w:hAnsi="Times New Roman"/>
        </w:rPr>
        <w:t xml:space="preserve">liability for personal injury or death </w:t>
      </w:r>
      <w:r w:rsidR="001E750E" w:rsidRPr="00842E68">
        <w:rPr>
          <w:rFonts w:ascii="Times New Roman" w:hAnsi="Times New Roman"/>
        </w:rPr>
        <w:t xml:space="preserve">under </w:t>
      </w:r>
      <w:r w:rsidR="003309EE" w:rsidRPr="00842E68">
        <w:rPr>
          <w:rFonts w:ascii="Times New Roman" w:hAnsi="Times New Roman"/>
        </w:rPr>
        <w:t xml:space="preserve">Art 17 </w:t>
      </w:r>
      <w:r w:rsidR="008F23E1" w:rsidRPr="00842E68">
        <w:rPr>
          <w:rFonts w:ascii="Times New Roman" w:hAnsi="Times New Roman"/>
        </w:rPr>
        <w:t>was provided</w:t>
      </w:r>
      <w:r w:rsidR="00C0386B" w:rsidRPr="00842E68">
        <w:rPr>
          <w:rFonts w:ascii="Times New Roman" w:hAnsi="Times New Roman"/>
        </w:rPr>
        <w:t xml:space="preserve"> </w:t>
      </w:r>
      <w:r w:rsidR="00F57E1A" w:rsidRPr="00842E68">
        <w:rPr>
          <w:rFonts w:ascii="Times New Roman" w:hAnsi="Times New Roman"/>
        </w:rPr>
        <w:t>in Art</w:t>
      </w:r>
      <w:r w:rsidR="009272F7" w:rsidRPr="00842E68">
        <w:rPr>
          <w:rFonts w:ascii="Times New Roman" w:hAnsi="Times New Roman"/>
        </w:rPr>
        <w:t> </w:t>
      </w:r>
      <w:r w:rsidR="00F57E1A" w:rsidRPr="00842E68">
        <w:rPr>
          <w:rFonts w:ascii="Times New Roman" w:hAnsi="Times New Roman"/>
        </w:rPr>
        <w:t>22(1)</w:t>
      </w:r>
      <w:r w:rsidR="008F23E1" w:rsidRPr="00842E68">
        <w:rPr>
          <w:rFonts w:ascii="Times New Roman" w:hAnsi="Times New Roman"/>
        </w:rPr>
        <w:t xml:space="preserve"> as </w:t>
      </w:r>
      <w:r w:rsidR="00F57E1A" w:rsidRPr="00842E68">
        <w:rPr>
          <w:rFonts w:ascii="Times New Roman" w:hAnsi="Times New Roman"/>
        </w:rPr>
        <w:t>"the sum of 125,000 [</w:t>
      </w:r>
      <w:proofErr w:type="spellStart"/>
      <w:r w:rsidR="00F57E1A" w:rsidRPr="00842E68">
        <w:rPr>
          <w:rFonts w:ascii="Times New Roman" w:hAnsi="Times New Roman"/>
        </w:rPr>
        <w:t>Poincar</w:t>
      </w:r>
      <w:r w:rsidR="009E1550" w:rsidRPr="00842E68">
        <w:rPr>
          <w:rFonts w:ascii="Times New Roman" w:hAnsi="Times New Roman"/>
        </w:rPr>
        <w:t>é</w:t>
      </w:r>
      <w:proofErr w:type="spellEnd"/>
      <w:r w:rsidR="00F57E1A" w:rsidRPr="00842E68">
        <w:rPr>
          <w:rFonts w:ascii="Times New Roman" w:hAnsi="Times New Roman"/>
        </w:rPr>
        <w:t xml:space="preserve"> gold] francs"</w:t>
      </w:r>
      <w:r w:rsidR="008F23E1" w:rsidRPr="00842E68">
        <w:rPr>
          <w:rFonts w:ascii="Times New Roman" w:hAnsi="Times New Roman"/>
        </w:rPr>
        <w:t xml:space="preserve">. That limit </w:t>
      </w:r>
      <w:r w:rsidR="00C0386B" w:rsidRPr="00842E68">
        <w:rPr>
          <w:rFonts w:ascii="Times New Roman" w:hAnsi="Times New Roman"/>
        </w:rPr>
        <w:t>became</w:t>
      </w:r>
      <w:r w:rsidR="009A7731" w:rsidRPr="00842E68">
        <w:rPr>
          <w:rFonts w:ascii="Times New Roman" w:hAnsi="Times New Roman"/>
        </w:rPr>
        <w:t xml:space="preserve"> "doubtless the most controversial issue i</w:t>
      </w:r>
      <w:r w:rsidR="006607DD" w:rsidRPr="00842E68">
        <w:rPr>
          <w:rFonts w:ascii="Times New Roman" w:hAnsi="Times New Roman"/>
        </w:rPr>
        <w:t>n</w:t>
      </w:r>
      <w:r w:rsidR="009A7731" w:rsidRPr="00842E68">
        <w:rPr>
          <w:rFonts w:ascii="Times New Roman" w:hAnsi="Times New Roman"/>
        </w:rPr>
        <w:t xml:space="preserve"> the Warsaw system</w:t>
      </w:r>
      <w:r w:rsidR="00003E12" w:rsidRPr="00842E68">
        <w:rPr>
          <w:rFonts w:ascii="Times New Roman" w:hAnsi="Times New Roman"/>
        </w:rPr>
        <w:t>"</w:t>
      </w:r>
      <w:r w:rsidR="009A7731" w:rsidRPr="00842E68">
        <w:rPr>
          <w:rFonts w:ascii="Times New Roman" w:hAnsi="Times New Roman"/>
        </w:rPr>
        <w:t>.</w:t>
      </w:r>
      <w:r w:rsidR="009A7731" w:rsidRPr="00842E68">
        <w:rPr>
          <w:rStyle w:val="FootnoteReference"/>
          <w:rFonts w:ascii="Times New Roman" w:hAnsi="Times New Roman"/>
          <w:sz w:val="24"/>
        </w:rPr>
        <w:footnoteReference w:id="74"/>
      </w:r>
      <w:r w:rsidR="009A7731" w:rsidRPr="00842E68">
        <w:rPr>
          <w:rFonts w:ascii="Times New Roman" w:hAnsi="Times New Roman"/>
        </w:rPr>
        <w:t xml:space="preserve"> </w:t>
      </w:r>
    </w:p>
    <w:p w14:paraId="340A6B9B" w14:textId="4C84F4FC" w:rsidR="00FD783A" w:rsidRPr="00842E68" w:rsidRDefault="006B0EEB"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8B7BBA" w:rsidRPr="00842E68">
        <w:rPr>
          <w:rFonts w:ascii="Times New Roman" w:hAnsi="Times New Roman"/>
        </w:rPr>
        <w:t>By contrast</w:t>
      </w:r>
      <w:r w:rsidR="0025724B" w:rsidRPr="00842E68">
        <w:rPr>
          <w:rFonts w:ascii="Times New Roman" w:hAnsi="Times New Roman"/>
        </w:rPr>
        <w:t>, the success of the Montreal Convention l</w:t>
      </w:r>
      <w:r w:rsidR="00726D5B" w:rsidRPr="00842E68">
        <w:rPr>
          <w:rFonts w:ascii="Times New Roman" w:hAnsi="Times New Roman"/>
        </w:rPr>
        <w:t>ies</w:t>
      </w:r>
      <w:r w:rsidR="0025724B" w:rsidRPr="00842E68">
        <w:rPr>
          <w:rFonts w:ascii="Times New Roman" w:hAnsi="Times New Roman"/>
        </w:rPr>
        <w:t xml:space="preserve"> in the fact that </w:t>
      </w:r>
      <w:r w:rsidR="00C70C3F" w:rsidRPr="00842E68">
        <w:rPr>
          <w:rFonts w:ascii="Times New Roman" w:hAnsi="Times New Roman"/>
        </w:rPr>
        <w:t>"[u]</w:t>
      </w:r>
      <w:proofErr w:type="spellStart"/>
      <w:r w:rsidR="00C70C3F" w:rsidRPr="00842E68">
        <w:rPr>
          <w:rFonts w:ascii="Times New Roman" w:hAnsi="Times New Roman"/>
        </w:rPr>
        <w:t>nlimited</w:t>
      </w:r>
      <w:proofErr w:type="spellEnd"/>
      <w:r w:rsidR="00C70C3F" w:rsidRPr="00842E68">
        <w:rPr>
          <w:rFonts w:ascii="Times New Roman" w:hAnsi="Times New Roman"/>
        </w:rPr>
        <w:t xml:space="preserve"> liability is the cornerstone principle of the Montreal Convention".</w:t>
      </w:r>
      <w:r w:rsidR="00C70C3F" w:rsidRPr="00842E68">
        <w:rPr>
          <w:rStyle w:val="FootnoteReference"/>
          <w:rFonts w:ascii="Times New Roman" w:hAnsi="Times New Roman"/>
          <w:sz w:val="24"/>
        </w:rPr>
        <w:footnoteReference w:id="75"/>
      </w:r>
      <w:r w:rsidR="00726D5B" w:rsidRPr="00842E68">
        <w:rPr>
          <w:rFonts w:ascii="Times New Roman" w:hAnsi="Times New Roman"/>
        </w:rPr>
        <w:t xml:space="preserve"> </w:t>
      </w:r>
      <w:r w:rsidR="001B0A7D" w:rsidRPr="00842E68">
        <w:rPr>
          <w:rFonts w:ascii="Times New Roman" w:hAnsi="Times New Roman"/>
        </w:rPr>
        <w:t xml:space="preserve">As explained above, the </w:t>
      </w:r>
      <w:r w:rsidR="00AC449D" w:rsidRPr="00842E68">
        <w:rPr>
          <w:rFonts w:ascii="Times New Roman" w:hAnsi="Times New Roman"/>
          <w:iCs/>
        </w:rPr>
        <w:t xml:space="preserve">travaux </w:t>
      </w:r>
      <w:proofErr w:type="spellStart"/>
      <w:r w:rsidR="00AC449D" w:rsidRPr="00842E68">
        <w:rPr>
          <w:rFonts w:ascii="Times New Roman" w:hAnsi="Times New Roman"/>
          <w:iCs/>
        </w:rPr>
        <w:t>pr</w:t>
      </w:r>
      <w:r w:rsidR="00857656" w:rsidRPr="00842E68">
        <w:rPr>
          <w:rFonts w:ascii="Times New Roman" w:hAnsi="Times New Roman"/>
          <w:iCs/>
        </w:rPr>
        <w:t>é</w:t>
      </w:r>
      <w:r w:rsidR="00AC449D" w:rsidRPr="00842E68">
        <w:rPr>
          <w:rFonts w:ascii="Times New Roman" w:hAnsi="Times New Roman"/>
          <w:iCs/>
        </w:rPr>
        <w:t>paratoires</w:t>
      </w:r>
      <w:proofErr w:type="spellEnd"/>
      <w:r w:rsidR="00AC449D" w:rsidRPr="00842E68">
        <w:rPr>
          <w:rFonts w:ascii="Times New Roman" w:hAnsi="Times New Roman"/>
        </w:rPr>
        <w:t xml:space="preserve"> to the Montreal Convention were replete with references to </w:t>
      </w:r>
      <w:r w:rsidR="00CB3DAD" w:rsidRPr="00842E68">
        <w:rPr>
          <w:rFonts w:ascii="Times New Roman" w:hAnsi="Times New Roman"/>
        </w:rPr>
        <w:t>"</w:t>
      </w:r>
      <w:r w:rsidR="00AC449D" w:rsidRPr="00842E68">
        <w:rPr>
          <w:rFonts w:ascii="Times New Roman" w:hAnsi="Times New Roman"/>
        </w:rPr>
        <w:t>unlimited liability</w:t>
      </w:r>
      <w:r w:rsidR="00CB3DAD" w:rsidRPr="00842E68">
        <w:rPr>
          <w:rFonts w:ascii="Times New Roman" w:hAnsi="Times New Roman"/>
        </w:rPr>
        <w:t>"</w:t>
      </w:r>
      <w:r w:rsidR="00AC449D" w:rsidRPr="00842E68">
        <w:rPr>
          <w:rFonts w:ascii="Times New Roman" w:hAnsi="Times New Roman"/>
        </w:rPr>
        <w:t xml:space="preserve"> </w:t>
      </w:r>
      <w:r w:rsidR="000D5851" w:rsidRPr="00842E68">
        <w:rPr>
          <w:rFonts w:ascii="Times New Roman" w:hAnsi="Times New Roman"/>
        </w:rPr>
        <w:t>for death or personal injury</w:t>
      </w:r>
      <w:r w:rsidR="008F23E1" w:rsidRPr="00842E68">
        <w:rPr>
          <w:rFonts w:ascii="Times New Roman" w:hAnsi="Times New Roman"/>
        </w:rPr>
        <w:t xml:space="preserve"> that fell within the conditions of strict liability in Art</w:t>
      </w:r>
      <w:r w:rsidR="004C3E3F" w:rsidRPr="00842E68">
        <w:rPr>
          <w:rFonts w:ascii="Times New Roman" w:hAnsi="Times New Roman"/>
        </w:rPr>
        <w:t> </w:t>
      </w:r>
      <w:r w:rsidR="008F23E1" w:rsidRPr="00842E68">
        <w:rPr>
          <w:rFonts w:ascii="Times New Roman" w:hAnsi="Times New Roman"/>
        </w:rPr>
        <w:t>17</w:t>
      </w:r>
      <w:r w:rsidR="002E67D0" w:rsidRPr="00842E68">
        <w:rPr>
          <w:rFonts w:ascii="Times New Roman" w:hAnsi="Times New Roman"/>
        </w:rPr>
        <w:t xml:space="preserve">. In this respect, the Montreal Convention was the natural successor to the </w:t>
      </w:r>
      <w:r w:rsidR="008D3897" w:rsidRPr="00842E68">
        <w:rPr>
          <w:rFonts w:ascii="Times New Roman" w:hAnsi="Times New Roman"/>
        </w:rPr>
        <w:t xml:space="preserve">scope of </w:t>
      </w:r>
      <w:r w:rsidR="00AA7A5F" w:rsidRPr="00842E68">
        <w:rPr>
          <w:rFonts w:ascii="Times New Roman" w:hAnsi="Times New Roman"/>
        </w:rPr>
        <w:t xml:space="preserve">liability (subject to defences) </w:t>
      </w:r>
      <w:r w:rsidR="00053D27" w:rsidRPr="00842E68">
        <w:rPr>
          <w:rFonts w:ascii="Times New Roman" w:hAnsi="Times New Roman"/>
        </w:rPr>
        <w:t xml:space="preserve">provided by </w:t>
      </w:r>
      <w:r w:rsidR="00AA7A5F" w:rsidRPr="00842E68">
        <w:rPr>
          <w:rFonts w:ascii="Times New Roman" w:hAnsi="Times New Roman"/>
        </w:rPr>
        <w:t xml:space="preserve">the </w:t>
      </w:r>
      <w:r w:rsidR="002E67D0" w:rsidRPr="00842E68">
        <w:rPr>
          <w:rFonts w:ascii="Times New Roman" w:hAnsi="Times New Roman"/>
        </w:rPr>
        <w:t>1995/6 IATA Agreements</w:t>
      </w:r>
      <w:r w:rsidR="00AA7A5F" w:rsidRPr="00842E68">
        <w:rPr>
          <w:rFonts w:ascii="Times New Roman" w:hAnsi="Times New Roman"/>
        </w:rPr>
        <w:t xml:space="preserve"> which</w:t>
      </w:r>
      <w:r w:rsidR="007C72CC" w:rsidRPr="00842E68">
        <w:rPr>
          <w:rFonts w:ascii="Times New Roman" w:hAnsi="Times New Roman"/>
        </w:rPr>
        <w:t>, due to the lack of any monetary limit to the liability,</w:t>
      </w:r>
      <w:r w:rsidR="00AA7A5F" w:rsidRPr="00842E68">
        <w:rPr>
          <w:rFonts w:ascii="Times New Roman" w:hAnsi="Times New Roman"/>
        </w:rPr>
        <w:t xml:space="preserve"> had been described in the United States as "absolute liability"</w:t>
      </w:r>
      <w:r w:rsidR="002E67D0" w:rsidRPr="00842E68">
        <w:rPr>
          <w:rFonts w:ascii="Times New Roman" w:hAnsi="Times New Roman"/>
        </w:rPr>
        <w:t>.</w:t>
      </w:r>
      <w:r w:rsidR="00AA7A5F" w:rsidRPr="00842E68">
        <w:rPr>
          <w:rStyle w:val="FootnoteReference"/>
          <w:rFonts w:ascii="Times New Roman" w:hAnsi="Times New Roman"/>
          <w:sz w:val="24"/>
        </w:rPr>
        <w:footnoteReference w:id="76"/>
      </w:r>
      <w:r w:rsidR="002E67D0" w:rsidRPr="00842E68">
        <w:rPr>
          <w:rFonts w:ascii="Times New Roman" w:hAnsi="Times New Roman"/>
        </w:rPr>
        <w:t xml:space="preserve"> </w:t>
      </w:r>
    </w:p>
    <w:p w14:paraId="27893629" w14:textId="148534E2" w:rsidR="00121162" w:rsidRPr="00842E68" w:rsidRDefault="00CD7503" w:rsidP="00842E68">
      <w:pPr>
        <w:pStyle w:val="FixListStyle"/>
        <w:spacing w:after="260" w:line="280" w:lineRule="exact"/>
        <w:ind w:right="0"/>
        <w:jc w:val="both"/>
        <w:rPr>
          <w:rFonts w:ascii="Times New Roman" w:hAnsi="Times New Roman"/>
        </w:rPr>
      </w:pPr>
      <w:r w:rsidRPr="00842E68">
        <w:rPr>
          <w:rFonts w:ascii="Times New Roman" w:hAnsi="Times New Roman"/>
        </w:rPr>
        <w:tab/>
        <w:t>It might be said that Art</w:t>
      </w:r>
      <w:r w:rsidR="00D33C3D" w:rsidRPr="00842E68">
        <w:rPr>
          <w:rFonts w:ascii="Times New Roman" w:hAnsi="Times New Roman"/>
        </w:rPr>
        <w:t> </w:t>
      </w:r>
      <w:r w:rsidRPr="00842E68">
        <w:rPr>
          <w:rFonts w:ascii="Times New Roman" w:hAnsi="Times New Roman"/>
        </w:rPr>
        <w:t>21 of the Montreal Convention, like Arts</w:t>
      </w:r>
      <w:r w:rsidR="009272F7" w:rsidRPr="00842E68">
        <w:rPr>
          <w:rFonts w:ascii="Times New Roman" w:hAnsi="Times New Roman"/>
        </w:rPr>
        <w:t> </w:t>
      </w:r>
      <w:r w:rsidRPr="00842E68">
        <w:rPr>
          <w:rFonts w:ascii="Times New Roman" w:hAnsi="Times New Roman"/>
        </w:rPr>
        <w:t xml:space="preserve">22 and 24 of the Warsaw Convention which it </w:t>
      </w:r>
      <w:r w:rsidR="001A2AE6" w:rsidRPr="00842E68">
        <w:rPr>
          <w:rFonts w:ascii="Times New Roman" w:hAnsi="Times New Roman"/>
        </w:rPr>
        <w:t>adapted and developed</w:t>
      </w:r>
      <w:r w:rsidRPr="00842E68">
        <w:rPr>
          <w:rFonts w:ascii="Times New Roman" w:hAnsi="Times New Roman"/>
        </w:rPr>
        <w:t>, is "not a model of the clear drafter's art"</w:t>
      </w:r>
      <w:r w:rsidR="008E7807" w:rsidRPr="00842E68">
        <w:rPr>
          <w:rFonts w:ascii="Times New Roman" w:hAnsi="Times New Roman"/>
        </w:rPr>
        <w:t>.</w:t>
      </w:r>
      <w:r w:rsidRPr="00842E68">
        <w:rPr>
          <w:rStyle w:val="FootnoteReference"/>
          <w:rFonts w:ascii="Times New Roman" w:hAnsi="Times New Roman"/>
          <w:sz w:val="24"/>
        </w:rPr>
        <w:footnoteReference w:id="77"/>
      </w:r>
      <w:r w:rsidRPr="00842E68">
        <w:rPr>
          <w:rFonts w:ascii="Times New Roman" w:hAnsi="Times New Roman"/>
        </w:rPr>
        <w:t xml:space="preserve"> But</w:t>
      </w:r>
      <w:r w:rsidR="005350F4" w:rsidRPr="00842E68">
        <w:rPr>
          <w:rFonts w:ascii="Times New Roman" w:hAnsi="Times New Roman"/>
        </w:rPr>
        <w:t xml:space="preserve"> once the </w:t>
      </w:r>
      <w:r w:rsidR="001745F1" w:rsidRPr="00842E68">
        <w:rPr>
          <w:rFonts w:ascii="Times New Roman" w:hAnsi="Times New Roman"/>
        </w:rPr>
        <w:t>"cap" or "threshold" in Art</w:t>
      </w:r>
      <w:r w:rsidR="00BB4A54" w:rsidRPr="00842E68">
        <w:rPr>
          <w:rFonts w:ascii="Times New Roman" w:hAnsi="Times New Roman"/>
        </w:rPr>
        <w:t> </w:t>
      </w:r>
      <w:r w:rsidR="001745F1" w:rsidRPr="00842E68">
        <w:rPr>
          <w:rFonts w:ascii="Times New Roman" w:hAnsi="Times New Roman"/>
        </w:rPr>
        <w:t xml:space="preserve">21(2) is understood only as a limit to the first of </w:t>
      </w:r>
      <w:r w:rsidR="00FB3193" w:rsidRPr="00842E68">
        <w:rPr>
          <w:rFonts w:ascii="Times New Roman" w:hAnsi="Times New Roman"/>
        </w:rPr>
        <w:t xml:space="preserve">two tiers of </w:t>
      </w:r>
      <w:r w:rsidR="00EE1C65" w:rsidRPr="00842E68">
        <w:rPr>
          <w:rFonts w:ascii="Times New Roman" w:hAnsi="Times New Roman"/>
        </w:rPr>
        <w:t>liability</w:t>
      </w:r>
      <w:r w:rsidR="00FB3193" w:rsidRPr="00842E68">
        <w:rPr>
          <w:rFonts w:ascii="Times New Roman" w:hAnsi="Times New Roman"/>
        </w:rPr>
        <w:t xml:space="preserve"> </w:t>
      </w:r>
      <w:r w:rsidR="00E346A5" w:rsidRPr="00842E68">
        <w:rPr>
          <w:rFonts w:ascii="Times New Roman" w:hAnsi="Times New Roman"/>
        </w:rPr>
        <w:t>for the purposes of a defence</w:t>
      </w:r>
      <w:r w:rsidRPr="00842E68">
        <w:rPr>
          <w:rFonts w:ascii="Times New Roman" w:hAnsi="Times New Roman"/>
        </w:rPr>
        <w:t>,</w:t>
      </w:r>
      <w:r w:rsidR="00ED1A1B" w:rsidRPr="00842E68">
        <w:rPr>
          <w:rFonts w:ascii="Times New Roman" w:hAnsi="Times New Roman"/>
        </w:rPr>
        <w:t xml:space="preserve"> </w:t>
      </w:r>
      <w:r w:rsidR="004F51A8" w:rsidRPr="00842E68">
        <w:rPr>
          <w:rFonts w:ascii="Times New Roman" w:hAnsi="Times New Roman"/>
        </w:rPr>
        <w:t xml:space="preserve">it follows that </w:t>
      </w:r>
      <w:r w:rsidR="00DA28BD" w:rsidRPr="00842E68">
        <w:rPr>
          <w:rFonts w:ascii="Times New Roman" w:hAnsi="Times New Roman"/>
        </w:rPr>
        <w:t xml:space="preserve">the repeated references to "unlimited liability" in the </w:t>
      </w:r>
      <w:r w:rsidR="00DA28BD" w:rsidRPr="00842E68">
        <w:rPr>
          <w:rFonts w:ascii="Times New Roman" w:hAnsi="Times New Roman"/>
          <w:iCs/>
        </w:rPr>
        <w:t xml:space="preserve">travaux </w:t>
      </w:r>
      <w:proofErr w:type="spellStart"/>
      <w:r w:rsidR="00DA28BD" w:rsidRPr="00842E68">
        <w:rPr>
          <w:rFonts w:ascii="Times New Roman" w:hAnsi="Times New Roman"/>
          <w:iCs/>
        </w:rPr>
        <w:t>pr</w:t>
      </w:r>
      <w:r w:rsidR="00857656" w:rsidRPr="00842E68">
        <w:rPr>
          <w:rFonts w:ascii="Times New Roman" w:hAnsi="Times New Roman"/>
          <w:iCs/>
        </w:rPr>
        <w:t>é</w:t>
      </w:r>
      <w:r w:rsidR="00DA28BD" w:rsidRPr="00842E68">
        <w:rPr>
          <w:rFonts w:ascii="Times New Roman" w:hAnsi="Times New Roman"/>
          <w:iCs/>
        </w:rPr>
        <w:t>paratoires</w:t>
      </w:r>
      <w:proofErr w:type="spellEnd"/>
      <w:r w:rsidR="00DA28BD" w:rsidRPr="00842E68">
        <w:rPr>
          <w:rFonts w:ascii="Times New Roman" w:hAnsi="Times New Roman"/>
          <w:iCs/>
        </w:rPr>
        <w:t xml:space="preserve"> to the Montreal Convention</w:t>
      </w:r>
      <w:r w:rsidR="00A31A72" w:rsidRPr="00842E68">
        <w:rPr>
          <w:rFonts w:ascii="Times New Roman" w:hAnsi="Times New Roman"/>
          <w:iCs/>
        </w:rPr>
        <w:t xml:space="preserve"> </w:t>
      </w:r>
      <w:r w:rsidR="00E346A5" w:rsidRPr="00842E68">
        <w:rPr>
          <w:rFonts w:ascii="Times New Roman" w:hAnsi="Times New Roman"/>
          <w:iCs/>
        </w:rPr>
        <w:t xml:space="preserve">are an accurate description of </w:t>
      </w:r>
      <w:r w:rsidR="00F963A5" w:rsidRPr="00842E68">
        <w:rPr>
          <w:rFonts w:ascii="Times New Roman" w:hAnsi="Times New Roman"/>
          <w:iCs/>
        </w:rPr>
        <w:lastRenderedPageBreak/>
        <w:t xml:space="preserve">the strict liability (subject to defences) that arises when the conditions of </w:t>
      </w:r>
      <w:r w:rsidR="00E346A5" w:rsidRPr="00842E68">
        <w:rPr>
          <w:rFonts w:ascii="Times New Roman" w:hAnsi="Times New Roman"/>
          <w:iCs/>
        </w:rPr>
        <w:t>Art</w:t>
      </w:r>
      <w:r w:rsidR="000B2030" w:rsidRPr="00842E68">
        <w:rPr>
          <w:rFonts w:ascii="Times New Roman" w:hAnsi="Times New Roman"/>
          <w:iCs/>
        </w:rPr>
        <w:t> </w:t>
      </w:r>
      <w:r w:rsidR="00E346A5" w:rsidRPr="00842E68">
        <w:rPr>
          <w:rFonts w:ascii="Times New Roman" w:hAnsi="Times New Roman"/>
          <w:iCs/>
        </w:rPr>
        <w:t>17</w:t>
      </w:r>
      <w:r w:rsidR="00F963A5" w:rsidRPr="00842E68">
        <w:rPr>
          <w:rFonts w:ascii="Times New Roman" w:hAnsi="Times New Roman"/>
          <w:iCs/>
        </w:rPr>
        <w:t xml:space="preserve"> are met</w:t>
      </w:r>
      <w:r w:rsidR="00A31A72" w:rsidRPr="00842E68">
        <w:rPr>
          <w:rFonts w:ascii="Times New Roman" w:hAnsi="Times New Roman"/>
          <w:iCs/>
        </w:rPr>
        <w:t>.</w:t>
      </w:r>
      <w:r w:rsidR="00DA28BD" w:rsidRPr="00842E68">
        <w:rPr>
          <w:rFonts w:ascii="Times New Roman" w:hAnsi="Times New Roman"/>
          <w:iCs/>
        </w:rPr>
        <w:t xml:space="preserve"> </w:t>
      </w:r>
    </w:p>
    <w:p w14:paraId="59533CD6" w14:textId="6F1F3F21" w:rsidR="001C303D" w:rsidRPr="00842E68" w:rsidRDefault="00121162"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624B63" w:rsidRPr="00842E68">
        <w:rPr>
          <w:rFonts w:ascii="Times New Roman" w:hAnsi="Times New Roman"/>
        </w:rPr>
        <w:t>T</w:t>
      </w:r>
      <w:r w:rsidR="00FD783A" w:rsidRPr="00842E68">
        <w:rPr>
          <w:rFonts w:ascii="Times New Roman" w:hAnsi="Times New Roman"/>
        </w:rPr>
        <w:t xml:space="preserve">he repeated description </w:t>
      </w:r>
      <w:r w:rsidR="00355647" w:rsidRPr="00842E68">
        <w:rPr>
          <w:rFonts w:ascii="Times New Roman" w:hAnsi="Times New Roman"/>
        </w:rPr>
        <w:t>of</w:t>
      </w:r>
      <w:r w:rsidR="00FD783A" w:rsidRPr="00842E68">
        <w:rPr>
          <w:rFonts w:ascii="Times New Roman" w:hAnsi="Times New Roman"/>
        </w:rPr>
        <w:t xml:space="preserve"> Art</w:t>
      </w:r>
      <w:r w:rsidR="00355647" w:rsidRPr="00842E68">
        <w:rPr>
          <w:rFonts w:ascii="Times New Roman" w:hAnsi="Times New Roman"/>
        </w:rPr>
        <w:t> </w:t>
      </w:r>
      <w:r w:rsidR="00FD783A" w:rsidRPr="00842E68">
        <w:rPr>
          <w:rFonts w:ascii="Times New Roman" w:hAnsi="Times New Roman"/>
        </w:rPr>
        <w:t xml:space="preserve">21 in the </w:t>
      </w:r>
      <w:r w:rsidR="00FD783A" w:rsidRPr="00842E68">
        <w:rPr>
          <w:rFonts w:ascii="Times New Roman" w:hAnsi="Times New Roman"/>
          <w:iCs/>
        </w:rPr>
        <w:t xml:space="preserve">travaux </w:t>
      </w:r>
      <w:proofErr w:type="spellStart"/>
      <w:r w:rsidR="00FD783A" w:rsidRPr="00842E68">
        <w:rPr>
          <w:rFonts w:ascii="Times New Roman" w:hAnsi="Times New Roman"/>
          <w:iCs/>
        </w:rPr>
        <w:t>pr</w:t>
      </w:r>
      <w:r w:rsidR="00857656" w:rsidRPr="00842E68">
        <w:rPr>
          <w:rFonts w:ascii="Times New Roman" w:hAnsi="Times New Roman"/>
          <w:iCs/>
        </w:rPr>
        <w:t>é</w:t>
      </w:r>
      <w:r w:rsidR="00FD783A" w:rsidRPr="00842E68">
        <w:rPr>
          <w:rFonts w:ascii="Times New Roman" w:hAnsi="Times New Roman"/>
          <w:iCs/>
        </w:rPr>
        <w:t>paratoires</w:t>
      </w:r>
      <w:proofErr w:type="spellEnd"/>
      <w:r w:rsidR="00FD783A" w:rsidRPr="00842E68">
        <w:rPr>
          <w:rFonts w:ascii="Times New Roman" w:hAnsi="Times New Roman"/>
        </w:rPr>
        <w:t xml:space="preserve"> to the Montreal Convention as </w:t>
      </w:r>
      <w:r w:rsidR="00483689" w:rsidRPr="00842E68">
        <w:rPr>
          <w:rFonts w:ascii="Times New Roman" w:hAnsi="Times New Roman"/>
        </w:rPr>
        <w:t xml:space="preserve">creating </w:t>
      </w:r>
      <w:r w:rsidR="00FD783A" w:rsidRPr="00842E68">
        <w:rPr>
          <w:rFonts w:ascii="Times New Roman" w:hAnsi="Times New Roman"/>
        </w:rPr>
        <w:t xml:space="preserve">"a two-tier system" of liability </w:t>
      </w:r>
      <w:r w:rsidR="00D120A3" w:rsidRPr="00842E68">
        <w:rPr>
          <w:rFonts w:ascii="Times New Roman" w:hAnsi="Times New Roman"/>
        </w:rPr>
        <w:t>does not deny the unlimited</w:t>
      </w:r>
      <w:r w:rsidR="00511CC1" w:rsidRPr="00842E68">
        <w:rPr>
          <w:rFonts w:ascii="Times New Roman" w:hAnsi="Times New Roman"/>
        </w:rPr>
        <w:t xml:space="preserve"> nature of the</w:t>
      </w:r>
      <w:r w:rsidR="00D120A3" w:rsidRPr="00842E68">
        <w:rPr>
          <w:rFonts w:ascii="Times New Roman" w:hAnsi="Times New Roman"/>
        </w:rPr>
        <w:t xml:space="preserve"> </w:t>
      </w:r>
      <w:r w:rsidR="0009030A" w:rsidRPr="00842E68">
        <w:rPr>
          <w:rFonts w:ascii="Times New Roman" w:hAnsi="Times New Roman"/>
        </w:rPr>
        <w:t>Art</w:t>
      </w:r>
      <w:r w:rsidR="00483689" w:rsidRPr="00842E68">
        <w:rPr>
          <w:rFonts w:ascii="Times New Roman" w:hAnsi="Times New Roman"/>
        </w:rPr>
        <w:t> </w:t>
      </w:r>
      <w:r w:rsidR="0009030A" w:rsidRPr="00842E68">
        <w:rPr>
          <w:rFonts w:ascii="Times New Roman" w:hAnsi="Times New Roman"/>
        </w:rPr>
        <w:t xml:space="preserve">17 </w:t>
      </w:r>
      <w:r w:rsidR="00D120A3" w:rsidRPr="00842E68">
        <w:rPr>
          <w:rFonts w:ascii="Times New Roman" w:hAnsi="Times New Roman"/>
        </w:rPr>
        <w:t>liability</w:t>
      </w:r>
      <w:r w:rsidR="00A0392E" w:rsidRPr="00842E68">
        <w:rPr>
          <w:rFonts w:ascii="Times New Roman" w:hAnsi="Times New Roman"/>
        </w:rPr>
        <w:t xml:space="preserve"> overall</w:t>
      </w:r>
      <w:r w:rsidR="003413C6" w:rsidRPr="00842E68">
        <w:rPr>
          <w:rFonts w:ascii="Times New Roman" w:hAnsi="Times New Roman"/>
        </w:rPr>
        <w:t>.</w:t>
      </w:r>
      <w:r w:rsidR="00D120A3" w:rsidRPr="00842E68">
        <w:rPr>
          <w:rFonts w:ascii="Times New Roman" w:hAnsi="Times New Roman"/>
        </w:rPr>
        <w:t xml:space="preserve"> </w:t>
      </w:r>
      <w:r w:rsidR="003413C6" w:rsidRPr="00842E68">
        <w:rPr>
          <w:rFonts w:ascii="Times New Roman" w:hAnsi="Times New Roman"/>
        </w:rPr>
        <w:t>I</w:t>
      </w:r>
      <w:r w:rsidR="0009030A" w:rsidRPr="00842E68">
        <w:rPr>
          <w:rFonts w:ascii="Times New Roman" w:hAnsi="Times New Roman"/>
        </w:rPr>
        <w:t>nstead</w:t>
      </w:r>
      <w:r w:rsidR="003413C6" w:rsidRPr="00842E68">
        <w:rPr>
          <w:rFonts w:ascii="Times New Roman" w:hAnsi="Times New Roman"/>
        </w:rPr>
        <w:t>, Arts 17 and 21</w:t>
      </w:r>
      <w:r w:rsidR="00D120A3" w:rsidRPr="00842E68">
        <w:rPr>
          <w:rFonts w:ascii="Times New Roman" w:hAnsi="Times New Roman"/>
        </w:rPr>
        <w:t xml:space="preserve"> </w:t>
      </w:r>
      <w:r w:rsidR="00755378" w:rsidRPr="00842E68">
        <w:rPr>
          <w:rFonts w:ascii="Times New Roman" w:hAnsi="Times New Roman"/>
        </w:rPr>
        <w:t>create</w:t>
      </w:r>
      <w:r w:rsidR="00D120A3" w:rsidRPr="00842E68">
        <w:rPr>
          <w:rFonts w:ascii="Times New Roman" w:hAnsi="Times New Roman"/>
        </w:rPr>
        <w:t xml:space="preserve"> </w:t>
      </w:r>
      <w:r w:rsidR="00C44EBB" w:rsidRPr="00842E68">
        <w:rPr>
          <w:rFonts w:ascii="Times New Roman" w:hAnsi="Times New Roman"/>
        </w:rPr>
        <w:t>a continuous regime</w:t>
      </w:r>
      <w:r w:rsidR="009D6E29" w:rsidRPr="00842E68">
        <w:rPr>
          <w:rFonts w:ascii="Times New Roman" w:hAnsi="Times New Roman"/>
        </w:rPr>
        <w:t xml:space="preserve"> of unlimited liability</w:t>
      </w:r>
      <w:r w:rsidR="00C44EBB" w:rsidRPr="00842E68">
        <w:rPr>
          <w:rFonts w:ascii="Times New Roman" w:hAnsi="Times New Roman"/>
        </w:rPr>
        <w:t xml:space="preserve"> with a limit</w:t>
      </w:r>
      <w:r w:rsidR="009D6E29" w:rsidRPr="00842E68">
        <w:rPr>
          <w:rFonts w:ascii="Times New Roman" w:hAnsi="Times New Roman"/>
        </w:rPr>
        <w:t xml:space="preserve"> </w:t>
      </w:r>
      <w:r w:rsidR="00DD401A" w:rsidRPr="00842E68">
        <w:rPr>
          <w:rFonts w:ascii="Times New Roman" w:hAnsi="Times New Roman"/>
        </w:rPr>
        <w:t xml:space="preserve">or threshold </w:t>
      </w:r>
      <w:r w:rsidR="009D6E29" w:rsidRPr="00842E68">
        <w:rPr>
          <w:rFonts w:ascii="Times New Roman" w:hAnsi="Times New Roman"/>
        </w:rPr>
        <w:t>only for the purposes of separating</w:t>
      </w:r>
      <w:r w:rsidR="00BE2854" w:rsidRPr="00842E68">
        <w:rPr>
          <w:rFonts w:ascii="Times New Roman" w:hAnsi="Times New Roman"/>
        </w:rPr>
        <w:t xml:space="preserve"> </w:t>
      </w:r>
      <w:r w:rsidR="00E80DD1" w:rsidRPr="00842E68">
        <w:rPr>
          <w:rFonts w:ascii="Times New Roman" w:hAnsi="Times New Roman"/>
        </w:rPr>
        <w:t xml:space="preserve">such liability into </w:t>
      </w:r>
      <w:r w:rsidR="00BE2854" w:rsidRPr="00842E68">
        <w:rPr>
          <w:rFonts w:ascii="Times New Roman" w:hAnsi="Times New Roman"/>
        </w:rPr>
        <w:t xml:space="preserve">two tiers </w:t>
      </w:r>
      <w:r w:rsidR="008C7ED1" w:rsidRPr="00842E68">
        <w:rPr>
          <w:rFonts w:ascii="Times New Roman" w:hAnsi="Times New Roman"/>
        </w:rPr>
        <w:t>for the application of the "no negligence" defence</w:t>
      </w:r>
      <w:r w:rsidR="005A159F" w:rsidRPr="00842E68">
        <w:rPr>
          <w:rFonts w:ascii="Times New Roman" w:hAnsi="Times New Roman"/>
        </w:rPr>
        <w:t xml:space="preserve"> in Art</w:t>
      </w:r>
      <w:r w:rsidR="00D951F9" w:rsidRPr="00842E68">
        <w:rPr>
          <w:rFonts w:ascii="Times New Roman" w:hAnsi="Times New Roman"/>
        </w:rPr>
        <w:t> </w:t>
      </w:r>
      <w:r w:rsidR="005A159F" w:rsidRPr="00842E68">
        <w:rPr>
          <w:rFonts w:ascii="Times New Roman" w:hAnsi="Times New Roman"/>
        </w:rPr>
        <w:t>21(2)</w:t>
      </w:r>
      <w:r w:rsidR="00C44EBB" w:rsidRPr="00842E68">
        <w:rPr>
          <w:rFonts w:ascii="Times New Roman" w:hAnsi="Times New Roman"/>
        </w:rPr>
        <w:t>.</w:t>
      </w:r>
      <w:r w:rsidR="00D120A3" w:rsidRPr="00842E68">
        <w:rPr>
          <w:rFonts w:ascii="Times New Roman" w:hAnsi="Times New Roman"/>
        </w:rPr>
        <w:t xml:space="preserve"> In other words,</w:t>
      </w:r>
      <w:r w:rsidR="00FD783A" w:rsidRPr="00842E68">
        <w:rPr>
          <w:rFonts w:ascii="Times New Roman" w:hAnsi="Times New Roman"/>
        </w:rPr>
        <w:t xml:space="preserve"> first</w:t>
      </w:r>
      <w:r w:rsidR="00A11B45" w:rsidRPr="00842E68">
        <w:rPr>
          <w:rFonts w:ascii="Times New Roman" w:hAnsi="Times New Roman"/>
        </w:rPr>
        <w:t>-</w:t>
      </w:r>
      <w:r w:rsidR="00FD783A" w:rsidRPr="00842E68">
        <w:rPr>
          <w:rFonts w:ascii="Times New Roman" w:hAnsi="Times New Roman"/>
        </w:rPr>
        <w:t>tier</w:t>
      </w:r>
      <w:r w:rsidR="00A11B45" w:rsidRPr="00842E68">
        <w:rPr>
          <w:rFonts w:ascii="Times New Roman" w:hAnsi="Times New Roman"/>
        </w:rPr>
        <w:t xml:space="preserve"> </w:t>
      </w:r>
      <w:r w:rsidR="00FD783A" w:rsidRPr="00842E68">
        <w:rPr>
          <w:rFonts w:ascii="Times New Roman" w:hAnsi="Times New Roman"/>
        </w:rPr>
        <w:t xml:space="preserve">liability </w:t>
      </w:r>
      <w:r w:rsidR="005B4DD6" w:rsidRPr="00842E68">
        <w:rPr>
          <w:rFonts w:ascii="Times New Roman" w:hAnsi="Times New Roman"/>
        </w:rPr>
        <w:t>under</w:t>
      </w:r>
      <w:r w:rsidR="00A11B45" w:rsidRPr="00842E68">
        <w:rPr>
          <w:rFonts w:ascii="Times New Roman" w:hAnsi="Times New Roman"/>
        </w:rPr>
        <w:t xml:space="preserve"> Art 17 </w:t>
      </w:r>
      <w:r w:rsidR="00FD783A" w:rsidRPr="00842E68">
        <w:rPr>
          <w:rFonts w:ascii="Times New Roman" w:hAnsi="Times New Roman"/>
        </w:rPr>
        <w:t xml:space="preserve">operates up to the financial </w:t>
      </w:r>
      <w:r w:rsidR="006612D2" w:rsidRPr="00842E68">
        <w:rPr>
          <w:rFonts w:ascii="Times New Roman" w:hAnsi="Times New Roman"/>
        </w:rPr>
        <w:t xml:space="preserve">limit or </w:t>
      </w:r>
      <w:r w:rsidR="00FD783A" w:rsidRPr="00842E68">
        <w:rPr>
          <w:rFonts w:ascii="Times New Roman" w:hAnsi="Times New Roman"/>
        </w:rPr>
        <w:t>threshold in Art</w:t>
      </w:r>
      <w:r w:rsidR="00DB4959" w:rsidRPr="00842E68">
        <w:rPr>
          <w:rFonts w:ascii="Times New Roman" w:hAnsi="Times New Roman"/>
        </w:rPr>
        <w:t> </w:t>
      </w:r>
      <w:r w:rsidR="00FD783A" w:rsidRPr="00842E68">
        <w:rPr>
          <w:rFonts w:ascii="Times New Roman" w:hAnsi="Times New Roman"/>
        </w:rPr>
        <w:t>21(1)</w:t>
      </w:r>
      <w:r w:rsidR="00D2424B" w:rsidRPr="00842E68">
        <w:rPr>
          <w:rFonts w:ascii="Times New Roman" w:hAnsi="Times New Roman"/>
        </w:rPr>
        <w:t>,</w:t>
      </w:r>
      <w:r w:rsidR="00FD783A" w:rsidRPr="00842E68">
        <w:rPr>
          <w:rFonts w:ascii="Times New Roman" w:hAnsi="Times New Roman"/>
        </w:rPr>
        <w:t xml:space="preserve"> with the only defence being </w:t>
      </w:r>
      <w:r w:rsidR="00773507" w:rsidRPr="00842E68">
        <w:rPr>
          <w:rFonts w:ascii="Times New Roman" w:hAnsi="Times New Roman"/>
        </w:rPr>
        <w:t>the claimant</w:t>
      </w:r>
      <w:r w:rsidR="005E2DD3" w:rsidRPr="00842E68">
        <w:rPr>
          <w:rFonts w:ascii="Times New Roman" w:hAnsi="Times New Roman"/>
        </w:rPr>
        <w:t>'s</w:t>
      </w:r>
      <w:r w:rsidR="000F472B" w:rsidRPr="00842E68">
        <w:rPr>
          <w:rFonts w:ascii="Times New Roman" w:hAnsi="Times New Roman"/>
        </w:rPr>
        <w:t xml:space="preserve"> or other relevant person</w:t>
      </w:r>
      <w:r w:rsidR="00773507" w:rsidRPr="00842E68">
        <w:rPr>
          <w:rFonts w:ascii="Times New Roman" w:hAnsi="Times New Roman"/>
        </w:rPr>
        <w:t xml:space="preserve">'s </w:t>
      </w:r>
      <w:r w:rsidR="00FD783A" w:rsidRPr="00842E68">
        <w:rPr>
          <w:rFonts w:ascii="Times New Roman" w:hAnsi="Times New Roman"/>
        </w:rPr>
        <w:t>contributory negligence or wrongdoing (Art</w:t>
      </w:r>
      <w:r w:rsidR="00DB4959" w:rsidRPr="00842E68">
        <w:rPr>
          <w:rFonts w:ascii="Times New Roman" w:hAnsi="Times New Roman"/>
        </w:rPr>
        <w:t> </w:t>
      </w:r>
      <w:r w:rsidR="00FD783A" w:rsidRPr="00842E68">
        <w:rPr>
          <w:rFonts w:ascii="Times New Roman" w:hAnsi="Times New Roman"/>
        </w:rPr>
        <w:t>20)</w:t>
      </w:r>
      <w:r w:rsidR="00D2424B" w:rsidRPr="00842E68">
        <w:rPr>
          <w:rFonts w:ascii="Times New Roman" w:hAnsi="Times New Roman"/>
        </w:rPr>
        <w:t>,</w:t>
      </w:r>
      <w:r w:rsidR="00D120A3" w:rsidRPr="00842E68">
        <w:rPr>
          <w:rFonts w:ascii="Times New Roman" w:hAnsi="Times New Roman"/>
        </w:rPr>
        <w:t xml:space="preserve"> and</w:t>
      </w:r>
      <w:r w:rsidR="00FD783A" w:rsidRPr="00842E68">
        <w:rPr>
          <w:rFonts w:ascii="Times New Roman" w:hAnsi="Times New Roman"/>
        </w:rPr>
        <w:t xml:space="preserve"> second</w:t>
      </w:r>
      <w:r w:rsidR="005B4DD6" w:rsidRPr="00842E68">
        <w:rPr>
          <w:rFonts w:ascii="Times New Roman" w:hAnsi="Times New Roman"/>
        </w:rPr>
        <w:t>-</w:t>
      </w:r>
      <w:r w:rsidR="00FD783A" w:rsidRPr="00842E68">
        <w:rPr>
          <w:rFonts w:ascii="Times New Roman" w:hAnsi="Times New Roman"/>
        </w:rPr>
        <w:t xml:space="preserve">tier </w:t>
      </w:r>
      <w:r w:rsidR="005B4DD6" w:rsidRPr="00842E68">
        <w:rPr>
          <w:rFonts w:ascii="Times New Roman" w:hAnsi="Times New Roman"/>
        </w:rPr>
        <w:t>liability under</w:t>
      </w:r>
      <w:r w:rsidR="00FD783A" w:rsidRPr="00842E68">
        <w:rPr>
          <w:rFonts w:ascii="Times New Roman" w:hAnsi="Times New Roman"/>
        </w:rPr>
        <w:t xml:space="preserve"> Art</w:t>
      </w:r>
      <w:r w:rsidR="00DB4959" w:rsidRPr="00842E68">
        <w:rPr>
          <w:rFonts w:ascii="Times New Roman" w:hAnsi="Times New Roman"/>
        </w:rPr>
        <w:t> </w:t>
      </w:r>
      <w:r w:rsidR="00FD783A" w:rsidRPr="00842E68">
        <w:rPr>
          <w:rFonts w:ascii="Times New Roman" w:hAnsi="Times New Roman"/>
        </w:rPr>
        <w:t xml:space="preserve">17 operates beyond that </w:t>
      </w:r>
      <w:r w:rsidR="006612D2" w:rsidRPr="00842E68">
        <w:rPr>
          <w:rFonts w:ascii="Times New Roman" w:hAnsi="Times New Roman"/>
        </w:rPr>
        <w:t xml:space="preserve">limit or </w:t>
      </w:r>
      <w:r w:rsidR="00FD783A" w:rsidRPr="00842E68">
        <w:rPr>
          <w:rFonts w:ascii="Times New Roman" w:hAnsi="Times New Roman"/>
        </w:rPr>
        <w:t xml:space="preserve">threshold </w:t>
      </w:r>
      <w:r w:rsidR="006F65E0" w:rsidRPr="00842E68">
        <w:rPr>
          <w:rFonts w:ascii="Times New Roman" w:hAnsi="Times New Roman"/>
        </w:rPr>
        <w:t>but</w:t>
      </w:r>
      <w:r w:rsidR="00FD783A" w:rsidRPr="00842E68">
        <w:rPr>
          <w:rFonts w:ascii="Times New Roman" w:hAnsi="Times New Roman"/>
        </w:rPr>
        <w:t xml:space="preserve"> has the additional partial</w:t>
      </w:r>
      <w:r w:rsidR="006F65E0" w:rsidRPr="00842E68">
        <w:rPr>
          <w:rFonts w:ascii="Times New Roman" w:hAnsi="Times New Roman"/>
        </w:rPr>
        <w:t xml:space="preserve"> "no negligence"</w:t>
      </w:r>
      <w:r w:rsidR="00FD783A" w:rsidRPr="00842E68">
        <w:rPr>
          <w:rFonts w:ascii="Times New Roman" w:hAnsi="Times New Roman"/>
        </w:rPr>
        <w:t xml:space="preserve"> defence in</w:t>
      </w:r>
      <w:r w:rsidR="0024364E" w:rsidRPr="00842E68">
        <w:rPr>
          <w:rFonts w:ascii="Times New Roman" w:hAnsi="Times New Roman"/>
        </w:rPr>
        <w:t xml:space="preserve"> </w:t>
      </w:r>
      <w:r w:rsidR="00FD783A" w:rsidRPr="00842E68">
        <w:rPr>
          <w:rFonts w:ascii="Times New Roman" w:hAnsi="Times New Roman"/>
        </w:rPr>
        <w:t>Art</w:t>
      </w:r>
      <w:r w:rsidR="0024364E" w:rsidRPr="00842E68">
        <w:rPr>
          <w:rFonts w:ascii="Times New Roman" w:hAnsi="Times New Roman"/>
        </w:rPr>
        <w:t> </w:t>
      </w:r>
      <w:r w:rsidR="00FD783A" w:rsidRPr="00842E68">
        <w:rPr>
          <w:rFonts w:ascii="Times New Roman" w:hAnsi="Times New Roman"/>
        </w:rPr>
        <w:t xml:space="preserve">21(2).    </w:t>
      </w:r>
      <w:r w:rsidR="003E4C6A" w:rsidRPr="00842E68">
        <w:rPr>
          <w:rFonts w:ascii="Times New Roman" w:hAnsi="Times New Roman"/>
        </w:rPr>
        <w:t xml:space="preserve"> </w:t>
      </w:r>
      <w:r w:rsidR="00964618" w:rsidRPr="00842E68">
        <w:rPr>
          <w:rFonts w:ascii="Times New Roman" w:hAnsi="Times New Roman"/>
        </w:rPr>
        <w:t xml:space="preserve"> </w:t>
      </w:r>
    </w:p>
    <w:p w14:paraId="55EF3E91" w14:textId="17AFFCD0" w:rsidR="00721323" w:rsidRPr="00842E68" w:rsidRDefault="006B46C0"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1C797F" w:rsidRPr="00842E68">
        <w:rPr>
          <w:rFonts w:ascii="Times New Roman" w:hAnsi="Times New Roman"/>
        </w:rPr>
        <w:t xml:space="preserve">As to Art 25, </w:t>
      </w:r>
      <w:r w:rsidR="00D64C3D" w:rsidRPr="00842E68">
        <w:rPr>
          <w:rFonts w:ascii="Times New Roman" w:hAnsi="Times New Roman"/>
        </w:rPr>
        <w:t xml:space="preserve">the terms of </w:t>
      </w:r>
      <w:r w:rsidR="006A7565" w:rsidRPr="00842E68">
        <w:rPr>
          <w:rFonts w:ascii="Times New Roman" w:hAnsi="Times New Roman"/>
        </w:rPr>
        <w:t xml:space="preserve">that </w:t>
      </w:r>
      <w:r w:rsidR="00357655" w:rsidRPr="00842E68">
        <w:rPr>
          <w:rFonts w:ascii="Times New Roman" w:hAnsi="Times New Roman"/>
        </w:rPr>
        <w:t>A</w:t>
      </w:r>
      <w:r w:rsidR="00D64C3D" w:rsidRPr="00842E68">
        <w:rPr>
          <w:rFonts w:ascii="Times New Roman" w:hAnsi="Times New Roman"/>
        </w:rPr>
        <w:t>rt</w:t>
      </w:r>
      <w:r w:rsidR="006A7565" w:rsidRPr="00842E68">
        <w:rPr>
          <w:rFonts w:ascii="Times New Roman" w:hAnsi="Times New Roman"/>
        </w:rPr>
        <w:t>icle</w:t>
      </w:r>
      <w:r w:rsidR="00D64C3D" w:rsidRPr="00842E68">
        <w:rPr>
          <w:rFonts w:ascii="Times New Roman" w:hAnsi="Times New Roman"/>
        </w:rPr>
        <w:t xml:space="preserve"> contemplate that a</w:t>
      </w:r>
      <w:r w:rsidR="00731888" w:rsidRPr="00842E68">
        <w:rPr>
          <w:rFonts w:ascii="Times New Roman" w:hAnsi="Times New Roman"/>
        </w:rPr>
        <w:t xml:space="preserve"> carrier </w:t>
      </w:r>
      <w:r w:rsidR="00D64C3D" w:rsidRPr="00842E68">
        <w:rPr>
          <w:rFonts w:ascii="Times New Roman" w:hAnsi="Times New Roman"/>
        </w:rPr>
        <w:t>can</w:t>
      </w:r>
      <w:r w:rsidR="00731888" w:rsidRPr="00842E68">
        <w:rPr>
          <w:rFonts w:ascii="Times New Roman" w:hAnsi="Times New Roman"/>
        </w:rPr>
        <w:t xml:space="preserve"> stipulate in </w:t>
      </w:r>
      <w:r w:rsidR="005C4EC2" w:rsidRPr="00842E68">
        <w:rPr>
          <w:rFonts w:ascii="Times New Roman" w:hAnsi="Times New Roman"/>
        </w:rPr>
        <w:t xml:space="preserve">its contract or tariff with passengers </w:t>
      </w:r>
      <w:r w:rsidR="00D64C3D" w:rsidRPr="00842E68">
        <w:rPr>
          <w:rFonts w:ascii="Times New Roman" w:hAnsi="Times New Roman"/>
        </w:rPr>
        <w:t xml:space="preserve">that the threshold </w:t>
      </w:r>
      <w:r w:rsidR="00D609A7" w:rsidRPr="00842E68">
        <w:rPr>
          <w:rFonts w:ascii="Times New Roman" w:hAnsi="Times New Roman"/>
        </w:rPr>
        <w:t>in Art</w:t>
      </w:r>
      <w:r w:rsidR="00A41040" w:rsidRPr="00842E68">
        <w:rPr>
          <w:rFonts w:ascii="Times New Roman" w:hAnsi="Times New Roman"/>
        </w:rPr>
        <w:t> </w:t>
      </w:r>
      <w:r w:rsidR="00D609A7" w:rsidRPr="00842E68">
        <w:rPr>
          <w:rFonts w:ascii="Times New Roman" w:hAnsi="Times New Roman"/>
        </w:rPr>
        <w:t>21 be raised</w:t>
      </w:r>
      <w:r w:rsidR="0058262B" w:rsidRPr="00842E68">
        <w:rPr>
          <w:rFonts w:ascii="Times New Roman" w:hAnsi="Times New Roman"/>
        </w:rPr>
        <w:t>,</w:t>
      </w:r>
      <w:r w:rsidR="00D609A7" w:rsidRPr="00842E68">
        <w:rPr>
          <w:rFonts w:ascii="Times New Roman" w:hAnsi="Times New Roman"/>
        </w:rPr>
        <w:t xml:space="preserve"> </w:t>
      </w:r>
      <w:r w:rsidR="007D148B" w:rsidRPr="00842E68">
        <w:rPr>
          <w:rFonts w:ascii="Times New Roman" w:hAnsi="Times New Roman"/>
        </w:rPr>
        <w:t xml:space="preserve">including to the point of </w:t>
      </w:r>
      <w:r w:rsidR="00273966" w:rsidRPr="00842E68">
        <w:rPr>
          <w:rFonts w:ascii="Times New Roman" w:hAnsi="Times New Roman"/>
        </w:rPr>
        <w:t>effectively excluding the "no negligence" defence</w:t>
      </w:r>
      <w:r w:rsidR="00D609A7" w:rsidRPr="00842E68">
        <w:rPr>
          <w:rFonts w:ascii="Times New Roman" w:hAnsi="Times New Roman"/>
        </w:rPr>
        <w:t xml:space="preserve"> altogether. Contrary to the submissions of Air Canada, </w:t>
      </w:r>
      <w:r w:rsidR="00775C79" w:rsidRPr="00842E68">
        <w:rPr>
          <w:rFonts w:ascii="Times New Roman" w:hAnsi="Times New Roman"/>
        </w:rPr>
        <w:t xml:space="preserve">the </w:t>
      </w:r>
      <w:r w:rsidR="00E00633" w:rsidRPr="00842E68">
        <w:rPr>
          <w:rFonts w:ascii="Times New Roman" w:hAnsi="Times New Roman"/>
        </w:rPr>
        <w:t>Art</w:t>
      </w:r>
      <w:r w:rsidR="00A41040" w:rsidRPr="00842E68">
        <w:rPr>
          <w:rFonts w:ascii="Times New Roman" w:hAnsi="Times New Roman"/>
        </w:rPr>
        <w:t> </w:t>
      </w:r>
      <w:r w:rsidR="00E00633" w:rsidRPr="00842E68">
        <w:rPr>
          <w:rFonts w:ascii="Times New Roman" w:hAnsi="Times New Roman"/>
        </w:rPr>
        <w:t>21</w:t>
      </w:r>
      <w:r w:rsidR="00D709C2" w:rsidRPr="00842E68">
        <w:rPr>
          <w:rFonts w:ascii="Times New Roman" w:hAnsi="Times New Roman"/>
        </w:rPr>
        <w:t>(2) threshold</w:t>
      </w:r>
      <w:r w:rsidR="00E00633" w:rsidRPr="00842E68">
        <w:rPr>
          <w:rFonts w:ascii="Times New Roman" w:hAnsi="Times New Roman"/>
        </w:rPr>
        <w:t xml:space="preserve"> </w:t>
      </w:r>
      <w:r w:rsidR="00775C79" w:rsidRPr="00842E68">
        <w:rPr>
          <w:rFonts w:ascii="Times New Roman" w:hAnsi="Times New Roman"/>
        </w:rPr>
        <w:t>is</w:t>
      </w:r>
      <w:r w:rsidR="00D709C2" w:rsidRPr="00842E68">
        <w:rPr>
          <w:rFonts w:ascii="Times New Roman" w:hAnsi="Times New Roman"/>
        </w:rPr>
        <w:t xml:space="preserve"> one of the</w:t>
      </w:r>
      <w:r w:rsidR="00775C79" w:rsidRPr="00842E68">
        <w:rPr>
          <w:rFonts w:ascii="Times New Roman" w:hAnsi="Times New Roman"/>
        </w:rPr>
        <w:t xml:space="preserve"> "limits of liability" </w:t>
      </w:r>
      <w:r w:rsidR="00D709C2" w:rsidRPr="00842E68">
        <w:rPr>
          <w:rFonts w:ascii="Times New Roman" w:hAnsi="Times New Roman"/>
        </w:rPr>
        <w:t>referred to in</w:t>
      </w:r>
      <w:r w:rsidR="00775C79" w:rsidRPr="00842E68">
        <w:rPr>
          <w:rFonts w:ascii="Times New Roman" w:hAnsi="Times New Roman"/>
        </w:rPr>
        <w:t xml:space="preserve"> Art</w:t>
      </w:r>
      <w:r w:rsidR="00A72FB1" w:rsidRPr="00842E68">
        <w:rPr>
          <w:rFonts w:ascii="Times New Roman" w:hAnsi="Times New Roman"/>
        </w:rPr>
        <w:t> </w:t>
      </w:r>
      <w:r w:rsidR="00775C79" w:rsidRPr="00842E68">
        <w:rPr>
          <w:rFonts w:ascii="Times New Roman" w:hAnsi="Times New Roman"/>
        </w:rPr>
        <w:t xml:space="preserve">25. </w:t>
      </w:r>
      <w:r w:rsidR="00B07B53" w:rsidRPr="00842E68">
        <w:rPr>
          <w:rFonts w:ascii="Times New Roman" w:hAnsi="Times New Roman"/>
        </w:rPr>
        <w:t>Indeed, the review in Art</w:t>
      </w:r>
      <w:r w:rsidR="00A72FB1" w:rsidRPr="00842E68">
        <w:rPr>
          <w:rFonts w:ascii="Times New Roman" w:hAnsi="Times New Roman"/>
        </w:rPr>
        <w:t> </w:t>
      </w:r>
      <w:r w:rsidR="00B07B53" w:rsidRPr="00842E68">
        <w:rPr>
          <w:rFonts w:ascii="Times New Roman" w:hAnsi="Times New Roman"/>
        </w:rPr>
        <w:t xml:space="preserve">24 </w:t>
      </w:r>
      <w:r w:rsidR="00DB7471" w:rsidRPr="00842E68">
        <w:rPr>
          <w:rFonts w:ascii="Times New Roman" w:hAnsi="Times New Roman"/>
        </w:rPr>
        <w:t>applies to</w:t>
      </w:r>
      <w:r w:rsidR="00B07B53" w:rsidRPr="00842E68">
        <w:rPr>
          <w:rFonts w:ascii="Times New Roman" w:hAnsi="Times New Roman"/>
        </w:rPr>
        <w:t xml:space="preserve"> "the </w:t>
      </w:r>
      <w:r w:rsidR="00DB7471" w:rsidRPr="00842E68">
        <w:rPr>
          <w:rFonts w:ascii="Times New Roman" w:hAnsi="Times New Roman"/>
        </w:rPr>
        <w:t>limits of liability prescribed in Articles</w:t>
      </w:r>
      <w:r w:rsidR="00A72FB1" w:rsidRPr="00842E68">
        <w:rPr>
          <w:rFonts w:ascii="Times New Roman" w:hAnsi="Times New Roman"/>
        </w:rPr>
        <w:t> </w:t>
      </w:r>
      <w:r w:rsidR="00DB7471" w:rsidRPr="00842E68">
        <w:rPr>
          <w:rFonts w:ascii="Times New Roman" w:hAnsi="Times New Roman"/>
        </w:rPr>
        <w:t xml:space="preserve">21, 22 and 23". </w:t>
      </w:r>
      <w:r w:rsidR="008C1102" w:rsidRPr="00842E68">
        <w:rPr>
          <w:rFonts w:ascii="Times New Roman" w:hAnsi="Times New Roman"/>
        </w:rPr>
        <w:t xml:space="preserve">There is </w:t>
      </w:r>
      <w:r w:rsidR="00721323" w:rsidRPr="00842E68">
        <w:rPr>
          <w:rFonts w:ascii="Times New Roman" w:hAnsi="Times New Roman"/>
        </w:rPr>
        <w:t xml:space="preserve">nothing in the travaux </w:t>
      </w:r>
      <w:proofErr w:type="spellStart"/>
      <w:r w:rsidR="00721323" w:rsidRPr="00842E68">
        <w:rPr>
          <w:rFonts w:ascii="Times New Roman" w:hAnsi="Times New Roman"/>
        </w:rPr>
        <w:t>pr</w:t>
      </w:r>
      <w:r w:rsidR="007A08D4" w:rsidRPr="00842E68">
        <w:rPr>
          <w:rFonts w:ascii="Times New Roman" w:hAnsi="Times New Roman"/>
        </w:rPr>
        <w:t>é</w:t>
      </w:r>
      <w:r w:rsidR="00721323" w:rsidRPr="00842E68">
        <w:rPr>
          <w:rFonts w:ascii="Times New Roman" w:hAnsi="Times New Roman"/>
        </w:rPr>
        <w:t>paratoires</w:t>
      </w:r>
      <w:proofErr w:type="spellEnd"/>
      <w:r w:rsidR="00721323" w:rsidRPr="00842E68">
        <w:rPr>
          <w:rFonts w:ascii="Times New Roman" w:hAnsi="Times New Roman"/>
        </w:rPr>
        <w:t xml:space="preserve"> to </w:t>
      </w:r>
      <w:r w:rsidR="008C1102" w:rsidRPr="00842E68">
        <w:rPr>
          <w:rFonts w:ascii="Times New Roman" w:hAnsi="Times New Roman"/>
        </w:rPr>
        <w:t>suggest that Art</w:t>
      </w:r>
      <w:r w:rsidR="00A72FB1" w:rsidRPr="00842E68">
        <w:rPr>
          <w:rFonts w:ascii="Times New Roman" w:hAnsi="Times New Roman"/>
        </w:rPr>
        <w:t> </w:t>
      </w:r>
      <w:r w:rsidR="008C1102" w:rsidRPr="00842E68">
        <w:rPr>
          <w:rFonts w:ascii="Times New Roman" w:hAnsi="Times New Roman"/>
        </w:rPr>
        <w:t xml:space="preserve">25 </w:t>
      </w:r>
      <w:r w:rsidR="00737B87" w:rsidRPr="00842E68">
        <w:rPr>
          <w:rFonts w:ascii="Times New Roman" w:hAnsi="Times New Roman"/>
        </w:rPr>
        <w:t>was not intended to apply to the limit or threshold in Art</w:t>
      </w:r>
      <w:r w:rsidR="00A72FB1" w:rsidRPr="00842E68">
        <w:rPr>
          <w:rFonts w:ascii="Times New Roman" w:hAnsi="Times New Roman"/>
        </w:rPr>
        <w:t> </w:t>
      </w:r>
      <w:r w:rsidR="00737B87" w:rsidRPr="00842E68">
        <w:rPr>
          <w:rFonts w:ascii="Times New Roman" w:hAnsi="Times New Roman"/>
        </w:rPr>
        <w:t>21</w:t>
      </w:r>
      <w:r w:rsidR="00721323" w:rsidRPr="00842E68">
        <w:rPr>
          <w:rFonts w:ascii="Times New Roman" w:hAnsi="Times New Roman"/>
        </w:rPr>
        <w:t>. Unlike Art</w:t>
      </w:r>
      <w:r w:rsidR="00A72FB1" w:rsidRPr="00842E68">
        <w:rPr>
          <w:rFonts w:ascii="Times New Roman" w:hAnsi="Times New Roman"/>
        </w:rPr>
        <w:t> </w:t>
      </w:r>
      <w:r w:rsidR="00721323" w:rsidRPr="00842E68">
        <w:rPr>
          <w:rFonts w:ascii="Times New Roman" w:hAnsi="Times New Roman"/>
        </w:rPr>
        <w:t xml:space="preserve">21, Art 25 was not the subject of extensive negotiation, and the draft text </w:t>
      </w:r>
      <w:r w:rsidR="008C1102" w:rsidRPr="00842E68">
        <w:rPr>
          <w:rFonts w:ascii="Times New Roman" w:hAnsi="Times New Roman"/>
        </w:rPr>
        <w:t>of Art</w:t>
      </w:r>
      <w:r w:rsidR="00A72FB1" w:rsidRPr="00842E68">
        <w:rPr>
          <w:rFonts w:ascii="Times New Roman" w:hAnsi="Times New Roman"/>
        </w:rPr>
        <w:t> </w:t>
      </w:r>
      <w:r w:rsidR="008C1102" w:rsidRPr="00842E68">
        <w:rPr>
          <w:rFonts w:ascii="Times New Roman" w:hAnsi="Times New Roman"/>
        </w:rPr>
        <w:t xml:space="preserve">25 </w:t>
      </w:r>
      <w:r w:rsidR="00721323" w:rsidRPr="00842E68">
        <w:rPr>
          <w:rFonts w:ascii="Times New Roman" w:hAnsi="Times New Roman"/>
        </w:rPr>
        <w:t>was adopted without amendment or comment.</w:t>
      </w:r>
      <w:r w:rsidR="00721323" w:rsidRPr="00842E68">
        <w:rPr>
          <w:rStyle w:val="FootnoteReference"/>
          <w:rFonts w:ascii="Times New Roman" w:hAnsi="Times New Roman"/>
          <w:sz w:val="24"/>
        </w:rPr>
        <w:footnoteReference w:id="78"/>
      </w:r>
    </w:p>
    <w:p w14:paraId="3D7DDB21" w14:textId="777694EA" w:rsidR="006B46C0" w:rsidRPr="00842E68" w:rsidRDefault="00634B85"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FF7C26" w:rsidRPr="00842E68">
        <w:rPr>
          <w:rFonts w:ascii="Times New Roman" w:hAnsi="Times New Roman"/>
        </w:rPr>
        <w:t xml:space="preserve">Moreover, </w:t>
      </w:r>
      <w:r w:rsidR="006B46C0" w:rsidRPr="00842E68">
        <w:rPr>
          <w:rFonts w:ascii="Times New Roman" w:hAnsi="Times New Roman"/>
        </w:rPr>
        <w:t>Art 25</w:t>
      </w:r>
      <w:r w:rsidR="00FE007C" w:rsidRPr="00842E68">
        <w:rPr>
          <w:rFonts w:ascii="Times New Roman" w:hAnsi="Times New Roman"/>
        </w:rPr>
        <w:t xml:space="preserve"> </w:t>
      </w:r>
      <w:r w:rsidR="006D5F40" w:rsidRPr="00842E68">
        <w:rPr>
          <w:rFonts w:ascii="Times New Roman" w:hAnsi="Times New Roman"/>
        </w:rPr>
        <w:t xml:space="preserve">of the Montreal Convention </w:t>
      </w:r>
      <w:r w:rsidR="00025894" w:rsidRPr="00842E68">
        <w:rPr>
          <w:rFonts w:ascii="Times New Roman" w:hAnsi="Times New Roman"/>
        </w:rPr>
        <w:t>has been described as having its "roots" in the exception in Art</w:t>
      </w:r>
      <w:r w:rsidR="00F00FE5" w:rsidRPr="00842E68">
        <w:rPr>
          <w:rFonts w:ascii="Times New Roman" w:hAnsi="Times New Roman"/>
        </w:rPr>
        <w:t> </w:t>
      </w:r>
      <w:r w:rsidR="00025894" w:rsidRPr="00842E68">
        <w:rPr>
          <w:rFonts w:ascii="Times New Roman" w:hAnsi="Times New Roman"/>
        </w:rPr>
        <w:t>22(1) of the Warsaw Convention</w:t>
      </w:r>
      <w:r w:rsidR="0001495E" w:rsidRPr="00842E68">
        <w:rPr>
          <w:rFonts w:ascii="Times New Roman" w:hAnsi="Times New Roman"/>
        </w:rPr>
        <w:t>,</w:t>
      </w:r>
      <w:r w:rsidR="00025894" w:rsidRPr="00842E68">
        <w:rPr>
          <w:rFonts w:ascii="Times New Roman" w:hAnsi="Times New Roman"/>
        </w:rPr>
        <w:t xml:space="preserve"> which permitted </w:t>
      </w:r>
      <w:r w:rsidR="00FB33AD" w:rsidRPr="00842E68">
        <w:rPr>
          <w:rFonts w:ascii="Times New Roman" w:hAnsi="Times New Roman"/>
        </w:rPr>
        <w:t xml:space="preserve">the carrier to depart from the limit of liability </w:t>
      </w:r>
      <w:r w:rsidR="00CA139C" w:rsidRPr="00842E68">
        <w:rPr>
          <w:rFonts w:ascii="Times New Roman" w:hAnsi="Times New Roman"/>
        </w:rPr>
        <w:t>by agreeing to a higher limit of liability "by special contract".</w:t>
      </w:r>
      <w:r w:rsidR="00CA139C" w:rsidRPr="00842E68">
        <w:rPr>
          <w:rStyle w:val="FootnoteReference"/>
          <w:rFonts w:ascii="Times New Roman" w:hAnsi="Times New Roman"/>
          <w:sz w:val="24"/>
        </w:rPr>
        <w:footnoteReference w:id="79"/>
      </w:r>
      <w:r w:rsidR="00025894" w:rsidRPr="00842E68">
        <w:rPr>
          <w:rFonts w:ascii="Times New Roman" w:hAnsi="Times New Roman"/>
        </w:rPr>
        <w:t xml:space="preserve"> </w:t>
      </w:r>
      <w:r w:rsidR="00FF7C26" w:rsidRPr="00842E68">
        <w:rPr>
          <w:rFonts w:ascii="Times New Roman" w:hAnsi="Times New Roman"/>
        </w:rPr>
        <w:t>A</w:t>
      </w:r>
      <w:r w:rsidR="009C643C" w:rsidRPr="00842E68">
        <w:rPr>
          <w:rFonts w:ascii="Times New Roman" w:hAnsi="Times New Roman"/>
        </w:rPr>
        <w:t>s explained above, Art</w:t>
      </w:r>
      <w:r w:rsidR="00F00FE5" w:rsidRPr="00842E68">
        <w:rPr>
          <w:rFonts w:ascii="Times New Roman" w:hAnsi="Times New Roman"/>
        </w:rPr>
        <w:t> </w:t>
      </w:r>
      <w:r w:rsidR="009C643C" w:rsidRPr="00842E68">
        <w:rPr>
          <w:rFonts w:ascii="Times New Roman" w:hAnsi="Times New Roman"/>
        </w:rPr>
        <w:t xml:space="preserve">22(1) was the basis </w:t>
      </w:r>
      <w:r w:rsidR="00735CF6" w:rsidRPr="00842E68">
        <w:rPr>
          <w:rFonts w:ascii="Times New Roman" w:hAnsi="Times New Roman"/>
        </w:rPr>
        <w:t>in</w:t>
      </w:r>
      <w:r w:rsidR="009C643C" w:rsidRPr="00842E68">
        <w:rPr>
          <w:rFonts w:ascii="Times New Roman" w:hAnsi="Times New Roman"/>
        </w:rPr>
        <w:t xml:space="preserve"> </w:t>
      </w:r>
      <w:r w:rsidR="004C2611" w:rsidRPr="00842E68">
        <w:rPr>
          <w:rFonts w:ascii="Times New Roman" w:hAnsi="Times New Roman"/>
        </w:rPr>
        <w:t xml:space="preserve">the 1995/6 IATA Agreements </w:t>
      </w:r>
      <w:r w:rsidR="00232381" w:rsidRPr="00842E68">
        <w:rPr>
          <w:rFonts w:ascii="Times New Roman" w:hAnsi="Times New Roman"/>
        </w:rPr>
        <w:t>for the airlines' waiver of</w:t>
      </w:r>
      <w:r w:rsidR="00315FC9" w:rsidRPr="00842E68">
        <w:rPr>
          <w:rFonts w:ascii="Times New Roman" w:hAnsi="Times New Roman"/>
        </w:rPr>
        <w:t xml:space="preserve"> </w:t>
      </w:r>
      <w:r w:rsidR="004C2611" w:rsidRPr="00842E68">
        <w:rPr>
          <w:rFonts w:ascii="Times New Roman" w:hAnsi="Times New Roman"/>
        </w:rPr>
        <w:t xml:space="preserve">the </w:t>
      </w:r>
      <w:r w:rsidR="00735CF6" w:rsidRPr="00842E68">
        <w:rPr>
          <w:rFonts w:ascii="Times New Roman" w:hAnsi="Times New Roman"/>
        </w:rPr>
        <w:t xml:space="preserve">125,000 </w:t>
      </w:r>
      <w:proofErr w:type="spellStart"/>
      <w:r w:rsidR="00FF7C26" w:rsidRPr="00842E68">
        <w:rPr>
          <w:rFonts w:ascii="Times New Roman" w:hAnsi="Times New Roman"/>
        </w:rPr>
        <w:t>Poincar</w:t>
      </w:r>
      <w:r w:rsidR="009E1550" w:rsidRPr="00842E68">
        <w:rPr>
          <w:rFonts w:ascii="Times New Roman" w:hAnsi="Times New Roman"/>
        </w:rPr>
        <w:t>é</w:t>
      </w:r>
      <w:proofErr w:type="spellEnd"/>
      <w:r w:rsidR="00FF7C26" w:rsidRPr="00842E68">
        <w:rPr>
          <w:rFonts w:ascii="Times New Roman" w:hAnsi="Times New Roman"/>
        </w:rPr>
        <w:t xml:space="preserve"> gold </w:t>
      </w:r>
      <w:r w:rsidR="00735CF6" w:rsidRPr="00842E68">
        <w:rPr>
          <w:rFonts w:ascii="Times New Roman" w:hAnsi="Times New Roman"/>
        </w:rPr>
        <w:t>franc limit in the Warsaw Convention.</w:t>
      </w:r>
      <w:r w:rsidR="00C5562C" w:rsidRPr="00842E68">
        <w:rPr>
          <w:rFonts w:ascii="Times New Roman" w:hAnsi="Times New Roman"/>
        </w:rPr>
        <w:t xml:space="preserve"> </w:t>
      </w:r>
      <w:r w:rsidR="00F134CE" w:rsidRPr="00842E68">
        <w:rPr>
          <w:rFonts w:ascii="Times New Roman" w:hAnsi="Times New Roman"/>
        </w:rPr>
        <w:t>Th</w:t>
      </w:r>
      <w:r w:rsidR="00E33F04" w:rsidRPr="00842E68">
        <w:rPr>
          <w:rFonts w:ascii="Times New Roman" w:hAnsi="Times New Roman"/>
        </w:rPr>
        <w:t>e</w:t>
      </w:r>
      <w:r w:rsidR="00F134CE" w:rsidRPr="00842E68">
        <w:rPr>
          <w:rFonts w:ascii="Times New Roman" w:hAnsi="Times New Roman"/>
        </w:rPr>
        <w:t xml:space="preserve"> limit</w:t>
      </w:r>
      <w:r w:rsidR="00D00B9E" w:rsidRPr="00842E68">
        <w:rPr>
          <w:rFonts w:ascii="Times New Roman" w:hAnsi="Times New Roman"/>
        </w:rPr>
        <w:t>, as increased</w:t>
      </w:r>
      <w:r w:rsidR="00E33F04" w:rsidRPr="00842E68">
        <w:rPr>
          <w:rFonts w:ascii="Times New Roman" w:hAnsi="Times New Roman"/>
        </w:rPr>
        <w:t xml:space="preserve"> by the 1995/</w:t>
      </w:r>
      <w:r w:rsidR="00EE28C4" w:rsidRPr="00842E68">
        <w:rPr>
          <w:rFonts w:ascii="Times New Roman" w:hAnsi="Times New Roman"/>
        </w:rPr>
        <w:t>6 IATA Agreements</w:t>
      </w:r>
      <w:r w:rsidR="00D00B9E" w:rsidRPr="00842E68">
        <w:rPr>
          <w:rFonts w:ascii="Times New Roman" w:hAnsi="Times New Roman"/>
        </w:rPr>
        <w:t>, then became the threshold in Art</w:t>
      </w:r>
      <w:r w:rsidR="00F00FE5" w:rsidRPr="00842E68">
        <w:rPr>
          <w:rFonts w:ascii="Times New Roman" w:hAnsi="Times New Roman"/>
        </w:rPr>
        <w:t> </w:t>
      </w:r>
      <w:r w:rsidR="00D00B9E" w:rsidRPr="00842E68">
        <w:rPr>
          <w:rFonts w:ascii="Times New Roman" w:hAnsi="Times New Roman"/>
        </w:rPr>
        <w:t xml:space="preserve">21(2) of the Montreal </w:t>
      </w:r>
      <w:r w:rsidR="00D00B9E" w:rsidRPr="00842E68">
        <w:rPr>
          <w:rFonts w:ascii="Times New Roman" w:hAnsi="Times New Roman"/>
        </w:rPr>
        <w:lastRenderedPageBreak/>
        <w:t>Convention.</w:t>
      </w:r>
      <w:r w:rsidR="00EE28C4" w:rsidRPr="00842E68">
        <w:rPr>
          <w:rStyle w:val="FootnoteReference"/>
          <w:rFonts w:ascii="Times New Roman" w:hAnsi="Times New Roman"/>
          <w:sz w:val="24"/>
        </w:rPr>
        <w:footnoteReference w:id="80"/>
      </w:r>
      <w:r w:rsidR="00D00B9E" w:rsidRPr="00842E68">
        <w:rPr>
          <w:rFonts w:ascii="Times New Roman" w:hAnsi="Times New Roman"/>
        </w:rPr>
        <w:t xml:space="preserve"> </w:t>
      </w:r>
      <w:r w:rsidR="006752FE" w:rsidRPr="00842E68">
        <w:rPr>
          <w:rFonts w:ascii="Times New Roman" w:hAnsi="Times New Roman"/>
        </w:rPr>
        <w:t>Therefore, whether or not</w:t>
      </w:r>
      <w:r w:rsidR="00E22B98" w:rsidRPr="00842E68">
        <w:rPr>
          <w:rFonts w:ascii="Times New Roman" w:hAnsi="Times New Roman"/>
        </w:rPr>
        <w:t xml:space="preserve"> the freedom </w:t>
      </w:r>
      <w:r w:rsidR="00EE62DF" w:rsidRPr="00842E68">
        <w:rPr>
          <w:rFonts w:ascii="Times New Roman" w:hAnsi="Times New Roman"/>
        </w:rPr>
        <w:t xml:space="preserve">to </w:t>
      </w:r>
      <w:r w:rsidR="00E22B98" w:rsidRPr="00842E68">
        <w:rPr>
          <w:rFonts w:ascii="Times New Roman" w:hAnsi="Times New Roman"/>
        </w:rPr>
        <w:t>contract provision in</w:t>
      </w:r>
      <w:r w:rsidR="006752FE" w:rsidRPr="00842E68">
        <w:rPr>
          <w:rFonts w:ascii="Times New Roman" w:hAnsi="Times New Roman"/>
        </w:rPr>
        <w:t xml:space="preserve"> </w:t>
      </w:r>
      <w:r w:rsidR="005755BA" w:rsidRPr="00842E68">
        <w:rPr>
          <w:rFonts w:ascii="Times New Roman" w:hAnsi="Times New Roman"/>
        </w:rPr>
        <w:t>Art</w:t>
      </w:r>
      <w:r w:rsidR="00F00FE5" w:rsidRPr="00842E68">
        <w:rPr>
          <w:rFonts w:ascii="Times New Roman" w:hAnsi="Times New Roman"/>
        </w:rPr>
        <w:t> </w:t>
      </w:r>
      <w:r w:rsidR="005755BA" w:rsidRPr="00842E68">
        <w:rPr>
          <w:rFonts w:ascii="Times New Roman" w:hAnsi="Times New Roman"/>
        </w:rPr>
        <w:t xml:space="preserve">27 </w:t>
      </w:r>
      <w:r w:rsidR="00912FDA" w:rsidRPr="00842E68">
        <w:rPr>
          <w:rFonts w:ascii="Times New Roman" w:hAnsi="Times New Roman"/>
        </w:rPr>
        <w:t xml:space="preserve">of the Montreal Convention </w:t>
      </w:r>
      <w:r w:rsidR="00E22B98" w:rsidRPr="00842E68">
        <w:rPr>
          <w:rFonts w:ascii="Times New Roman" w:hAnsi="Times New Roman"/>
        </w:rPr>
        <w:t>extended</w:t>
      </w:r>
      <w:r w:rsidR="005755BA" w:rsidRPr="00842E68">
        <w:rPr>
          <w:rFonts w:ascii="Times New Roman" w:hAnsi="Times New Roman"/>
        </w:rPr>
        <w:t xml:space="preserve"> (as Air Canada submitted</w:t>
      </w:r>
      <w:r w:rsidR="00A86A08" w:rsidRPr="00842E68">
        <w:rPr>
          <w:rFonts w:ascii="Times New Roman" w:hAnsi="Times New Roman"/>
        </w:rPr>
        <w:t xml:space="preserve"> it </w:t>
      </w:r>
      <w:r w:rsidR="00FB1709" w:rsidRPr="00842E68">
        <w:rPr>
          <w:rFonts w:ascii="Times New Roman" w:hAnsi="Times New Roman"/>
        </w:rPr>
        <w:t>does</w:t>
      </w:r>
      <w:r w:rsidR="005755BA" w:rsidRPr="00842E68">
        <w:rPr>
          <w:rFonts w:ascii="Times New Roman" w:hAnsi="Times New Roman"/>
        </w:rPr>
        <w:t>)</w:t>
      </w:r>
      <w:r w:rsidR="00E22B98" w:rsidRPr="00842E68">
        <w:rPr>
          <w:rFonts w:ascii="Times New Roman" w:hAnsi="Times New Roman"/>
        </w:rPr>
        <w:t xml:space="preserve"> to </w:t>
      </w:r>
      <w:r w:rsidR="00FD1050" w:rsidRPr="00842E68">
        <w:rPr>
          <w:rFonts w:ascii="Times New Roman" w:hAnsi="Times New Roman"/>
        </w:rPr>
        <w:t xml:space="preserve">permit </w:t>
      </w:r>
      <w:r w:rsidR="00E22B98" w:rsidRPr="00842E68">
        <w:rPr>
          <w:rFonts w:ascii="Times New Roman" w:hAnsi="Times New Roman"/>
        </w:rPr>
        <w:t xml:space="preserve">an increase in the limit or threshold in </w:t>
      </w:r>
      <w:r w:rsidR="00F91B5D" w:rsidRPr="00842E68">
        <w:rPr>
          <w:rFonts w:ascii="Times New Roman" w:hAnsi="Times New Roman"/>
        </w:rPr>
        <w:t>Art</w:t>
      </w:r>
      <w:r w:rsidR="00F00FE5" w:rsidRPr="00842E68">
        <w:rPr>
          <w:rFonts w:ascii="Times New Roman" w:hAnsi="Times New Roman"/>
        </w:rPr>
        <w:t> </w:t>
      </w:r>
      <w:r w:rsidR="00F91B5D" w:rsidRPr="00842E68">
        <w:rPr>
          <w:rFonts w:ascii="Times New Roman" w:hAnsi="Times New Roman"/>
        </w:rPr>
        <w:t>21(2)</w:t>
      </w:r>
      <w:r w:rsidR="00E22B98" w:rsidRPr="00842E68">
        <w:rPr>
          <w:rFonts w:ascii="Times New Roman" w:hAnsi="Times New Roman"/>
        </w:rPr>
        <w:t xml:space="preserve">, </w:t>
      </w:r>
      <w:r w:rsidR="0007107C" w:rsidRPr="00842E68">
        <w:rPr>
          <w:rFonts w:ascii="Times New Roman" w:hAnsi="Times New Roman"/>
        </w:rPr>
        <w:t>the appellant passengers were correct that a power to agree to such an increase fell within Art</w:t>
      </w:r>
      <w:r w:rsidR="00F00FE5" w:rsidRPr="00842E68">
        <w:rPr>
          <w:rFonts w:ascii="Times New Roman" w:hAnsi="Times New Roman"/>
        </w:rPr>
        <w:t> </w:t>
      </w:r>
      <w:r w:rsidR="0007107C" w:rsidRPr="00842E68">
        <w:rPr>
          <w:rFonts w:ascii="Times New Roman" w:hAnsi="Times New Roman"/>
        </w:rPr>
        <w:t xml:space="preserve">25. </w:t>
      </w:r>
      <w:r w:rsidR="00F91B5D" w:rsidRPr="00842E68">
        <w:rPr>
          <w:rFonts w:ascii="Times New Roman" w:hAnsi="Times New Roman"/>
        </w:rPr>
        <w:t xml:space="preserve"> </w:t>
      </w:r>
      <w:r w:rsidR="00A40514" w:rsidRPr="00842E68">
        <w:rPr>
          <w:rFonts w:ascii="Times New Roman" w:hAnsi="Times New Roman"/>
        </w:rPr>
        <w:t xml:space="preserve"> </w:t>
      </w:r>
      <w:r w:rsidR="00735CF6" w:rsidRPr="00842E68">
        <w:rPr>
          <w:rFonts w:ascii="Times New Roman" w:hAnsi="Times New Roman"/>
        </w:rPr>
        <w:t xml:space="preserve"> </w:t>
      </w:r>
      <w:r w:rsidR="009C643C" w:rsidRPr="00842E68">
        <w:rPr>
          <w:rFonts w:ascii="Times New Roman" w:hAnsi="Times New Roman"/>
        </w:rPr>
        <w:t xml:space="preserve"> </w:t>
      </w:r>
      <w:r w:rsidR="000B1231" w:rsidRPr="00842E68">
        <w:rPr>
          <w:rFonts w:ascii="Times New Roman" w:hAnsi="Times New Roman"/>
        </w:rPr>
        <w:t xml:space="preserve"> </w:t>
      </w:r>
    </w:p>
    <w:p w14:paraId="2855294C" w14:textId="087059D1" w:rsidR="006B096B" w:rsidRPr="00842E68" w:rsidRDefault="009D2A28" w:rsidP="00842E68">
      <w:pPr>
        <w:pStyle w:val="HeadingL1"/>
        <w:spacing w:after="260" w:line="280" w:lineRule="exact"/>
        <w:ind w:right="0"/>
        <w:jc w:val="both"/>
        <w:rPr>
          <w:rFonts w:ascii="Times New Roman" w:hAnsi="Times New Roman"/>
        </w:rPr>
      </w:pPr>
      <w:r w:rsidRPr="00842E68">
        <w:rPr>
          <w:rFonts w:ascii="Times New Roman" w:hAnsi="Times New Roman"/>
        </w:rPr>
        <w:t xml:space="preserve">The Air Canada </w:t>
      </w:r>
      <w:r w:rsidR="00CD0355" w:rsidRPr="00842E68">
        <w:rPr>
          <w:rFonts w:ascii="Times New Roman" w:hAnsi="Times New Roman"/>
        </w:rPr>
        <w:t>T</w:t>
      </w:r>
      <w:r w:rsidRPr="00842E68">
        <w:rPr>
          <w:rFonts w:ascii="Times New Roman" w:hAnsi="Times New Roman"/>
        </w:rPr>
        <w:t>ariff</w:t>
      </w:r>
    </w:p>
    <w:p w14:paraId="453490D9" w14:textId="09D9CDCF" w:rsidR="00DE1363" w:rsidRPr="00842E68" w:rsidRDefault="00DE1363" w:rsidP="00842E68">
      <w:pPr>
        <w:pStyle w:val="HeadingL2"/>
        <w:spacing w:after="260" w:line="280" w:lineRule="exact"/>
        <w:ind w:right="0"/>
        <w:jc w:val="both"/>
        <w:rPr>
          <w:rFonts w:ascii="Times New Roman" w:hAnsi="Times New Roman"/>
        </w:rPr>
      </w:pPr>
      <w:r w:rsidRPr="00842E68">
        <w:rPr>
          <w:rFonts w:ascii="Times New Roman" w:hAnsi="Times New Roman"/>
        </w:rPr>
        <w:t>The structure and provisions of r</w:t>
      </w:r>
      <w:r w:rsidR="00F64F74" w:rsidRPr="00842E68">
        <w:rPr>
          <w:rFonts w:ascii="Times New Roman" w:hAnsi="Times New Roman"/>
        </w:rPr>
        <w:t xml:space="preserve"> </w:t>
      </w:r>
      <w:r w:rsidRPr="00842E68">
        <w:rPr>
          <w:rFonts w:ascii="Times New Roman" w:hAnsi="Times New Roman"/>
        </w:rPr>
        <w:t>105</w:t>
      </w:r>
    </w:p>
    <w:p w14:paraId="06C265A7" w14:textId="5C3F56B4" w:rsidR="00AC1C5D" w:rsidRPr="00842E68" w:rsidRDefault="00470E2F"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AC1C5D" w:rsidRPr="00842E68">
        <w:rPr>
          <w:rFonts w:ascii="Times New Roman" w:hAnsi="Times New Roman"/>
        </w:rPr>
        <w:t xml:space="preserve">The </w:t>
      </w:r>
      <w:r w:rsidR="00AC1C5D" w:rsidRPr="00842E68">
        <w:rPr>
          <w:rFonts w:ascii="Times New Roman" w:hAnsi="Times New Roman"/>
          <w:i/>
          <w:iCs/>
        </w:rPr>
        <w:t>Air Transport</w:t>
      </w:r>
      <w:r w:rsidR="005B415A" w:rsidRPr="00842E68">
        <w:rPr>
          <w:rFonts w:ascii="Times New Roman" w:hAnsi="Times New Roman"/>
          <w:i/>
          <w:iCs/>
        </w:rPr>
        <w:t>ation</w:t>
      </w:r>
      <w:r w:rsidR="00AC1C5D" w:rsidRPr="00842E68">
        <w:rPr>
          <w:rFonts w:ascii="Times New Roman" w:hAnsi="Times New Roman"/>
          <w:i/>
          <w:iCs/>
        </w:rPr>
        <w:t xml:space="preserve"> Regulations</w:t>
      </w:r>
      <w:r w:rsidR="00AC1C5D" w:rsidRPr="00842E68">
        <w:rPr>
          <w:rFonts w:ascii="Times New Roman" w:hAnsi="Times New Roman"/>
        </w:rPr>
        <w:t xml:space="preserve"> </w:t>
      </w:r>
      <w:r w:rsidR="0028642B" w:rsidRPr="00842E68">
        <w:rPr>
          <w:rFonts w:ascii="Times New Roman" w:hAnsi="Times New Roman"/>
          <w:i/>
          <w:iCs/>
        </w:rPr>
        <w:t>19</w:t>
      </w:r>
      <w:r w:rsidR="007111CF" w:rsidRPr="00842E68">
        <w:rPr>
          <w:rFonts w:ascii="Times New Roman" w:hAnsi="Times New Roman"/>
          <w:i/>
          <w:iCs/>
        </w:rPr>
        <w:t>8</w:t>
      </w:r>
      <w:r w:rsidR="0028642B" w:rsidRPr="00842E68">
        <w:rPr>
          <w:rFonts w:ascii="Times New Roman" w:hAnsi="Times New Roman"/>
          <w:i/>
          <w:iCs/>
        </w:rPr>
        <w:t xml:space="preserve">7 </w:t>
      </w:r>
      <w:r w:rsidR="0028642B" w:rsidRPr="00842E68">
        <w:rPr>
          <w:rFonts w:ascii="Times New Roman" w:hAnsi="Times New Roman"/>
        </w:rPr>
        <w:t>(Canada)</w:t>
      </w:r>
      <w:r w:rsidR="00AC1C5D" w:rsidRPr="00842E68">
        <w:rPr>
          <w:rFonts w:ascii="Times New Roman" w:hAnsi="Times New Roman"/>
        </w:rPr>
        <w:t xml:space="preserve">, </w:t>
      </w:r>
      <w:r w:rsidR="00116119" w:rsidRPr="00842E68">
        <w:rPr>
          <w:rFonts w:ascii="Times New Roman" w:hAnsi="Times New Roman"/>
        </w:rPr>
        <w:t xml:space="preserve">by </w:t>
      </w:r>
      <w:r w:rsidR="00AC1C5D" w:rsidRPr="00842E68">
        <w:rPr>
          <w:rFonts w:ascii="Times New Roman" w:hAnsi="Times New Roman"/>
        </w:rPr>
        <w:t>s</w:t>
      </w:r>
      <w:r w:rsidR="00D5774C" w:rsidRPr="00842E68">
        <w:rPr>
          <w:rFonts w:ascii="Times New Roman" w:hAnsi="Times New Roman"/>
        </w:rPr>
        <w:t> </w:t>
      </w:r>
      <w:r w:rsidR="00AC1C5D" w:rsidRPr="00842E68">
        <w:rPr>
          <w:rFonts w:ascii="Times New Roman" w:hAnsi="Times New Roman"/>
        </w:rPr>
        <w:t xml:space="preserve">110(1), generally require a carrier to file a tariff with the </w:t>
      </w:r>
      <w:r w:rsidR="00242C3A" w:rsidRPr="00842E68">
        <w:rPr>
          <w:rFonts w:ascii="Times New Roman" w:hAnsi="Times New Roman"/>
        </w:rPr>
        <w:t xml:space="preserve">Canadian </w:t>
      </w:r>
      <w:r w:rsidR="00AC1C5D" w:rsidRPr="00842E68">
        <w:rPr>
          <w:rFonts w:ascii="Times New Roman" w:hAnsi="Times New Roman"/>
        </w:rPr>
        <w:t xml:space="preserve">Transportation Agency before commencing the operation of an international service. </w:t>
      </w:r>
      <w:r w:rsidR="00BE6311" w:rsidRPr="00842E68">
        <w:rPr>
          <w:rFonts w:ascii="Times New Roman" w:hAnsi="Times New Roman"/>
        </w:rPr>
        <w:t>T</w:t>
      </w:r>
      <w:r w:rsidR="00AC1C5D" w:rsidRPr="00842E68">
        <w:rPr>
          <w:rFonts w:ascii="Times New Roman" w:hAnsi="Times New Roman"/>
        </w:rPr>
        <w:t>hat tariff is required to contain</w:t>
      </w:r>
      <w:r w:rsidR="00BE6311" w:rsidRPr="00842E68">
        <w:rPr>
          <w:rFonts w:ascii="Times New Roman" w:hAnsi="Times New Roman"/>
        </w:rPr>
        <w:t>, by s 122(a),</w:t>
      </w:r>
      <w:r w:rsidR="00AC1C5D" w:rsidRPr="00842E68">
        <w:rPr>
          <w:rFonts w:ascii="Times New Roman" w:hAnsi="Times New Roman"/>
        </w:rPr>
        <w:t xml:space="preserve"> "the terms and conditions governing the tariff generally, stated in </w:t>
      </w:r>
      <w:r w:rsidR="00FF507A" w:rsidRPr="00842E68">
        <w:rPr>
          <w:rFonts w:ascii="Times New Roman" w:hAnsi="Times New Roman"/>
        </w:rPr>
        <w:t xml:space="preserve">such </w:t>
      </w:r>
      <w:r w:rsidR="00AC1C5D" w:rsidRPr="00842E68">
        <w:rPr>
          <w:rFonts w:ascii="Times New Roman" w:hAnsi="Times New Roman"/>
        </w:rPr>
        <w:t>a way that it is clear as to how the terms and conditions apply to the tolls named in the tariff" and, by s</w:t>
      </w:r>
      <w:r w:rsidR="00D5774C" w:rsidRPr="00842E68">
        <w:rPr>
          <w:rFonts w:ascii="Times New Roman" w:hAnsi="Times New Roman"/>
        </w:rPr>
        <w:t> </w:t>
      </w:r>
      <w:r w:rsidR="00AC1C5D" w:rsidRPr="00842E68">
        <w:rPr>
          <w:rFonts w:ascii="Times New Roman" w:hAnsi="Times New Roman"/>
        </w:rPr>
        <w:t>122(c), "the terms and conditions of carriage, clearly stating the air carrier's policy in respect of at least the following matters, namely, (</w:t>
      </w:r>
      <w:proofErr w:type="spellStart"/>
      <w:r w:rsidR="00AC1C5D" w:rsidRPr="00842E68">
        <w:rPr>
          <w:rFonts w:ascii="Times New Roman" w:hAnsi="Times New Roman"/>
        </w:rPr>
        <w:t>i</w:t>
      </w:r>
      <w:proofErr w:type="spellEnd"/>
      <w:r w:rsidR="00AC1C5D" w:rsidRPr="00842E68">
        <w:rPr>
          <w:rFonts w:ascii="Times New Roman" w:hAnsi="Times New Roman"/>
        </w:rPr>
        <w:t>)</w:t>
      </w:r>
      <w:r w:rsidR="00D5774C" w:rsidRPr="00842E68">
        <w:rPr>
          <w:rFonts w:ascii="Times New Roman" w:hAnsi="Times New Roman"/>
        </w:rPr>
        <w:t> </w:t>
      </w:r>
      <w:r w:rsidR="00AC1C5D" w:rsidRPr="00842E68">
        <w:rPr>
          <w:rFonts w:ascii="Times New Roman" w:hAnsi="Times New Roman"/>
        </w:rPr>
        <w:t>the carriage of persons with disabilities ... (xviii)</w:t>
      </w:r>
      <w:r w:rsidR="00D5774C" w:rsidRPr="00842E68">
        <w:rPr>
          <w:rFonts w:ascii="Times New Roman" w:hAnsi="Times New Roman"/>
        </w:rPr>
        <w:t> </w:t>
      </w:r>
      <w:r w:rsidR="00AC1C5D" w:rsidRPr="00842E68">
        <w:rPr>
          <w:rFonts w:ascii="Times New Roman" w:hAnsi="Times New Roman"/>
        </w:rPr>
        <w:t xml:space="preserve">limits of liability respecting passengers and goods, </w:t>
      </w:r>
      <w:r w:rsidR="00550B5D" w:rsidRPr="00842E68">
        <w:rPr>
          <w:rFonts w:ascii="Times New Roman" w:hAnsi="Times New Roman"/>
        </w:rPr>
        <w:t xml:space="preserve">[and] </w:t>
      </w:r>
      <w:r w:rsidR="00AC1C5D" w:rsidRPr="00842E68">
        <w:rPr>
          <w:rFonts w:ascii="Times New Roman" w:hAnsi="Times New Roman"/>
        </w:rPr>
        <w:t>(xix)</w:t>
      </w:r>
      <w:r w:rsidR="00D5774C" w:rsidRPr="00842E68">
        <w:rPr>
          <w:rFonts w:ascii="Times New Roman" w:hAnsi="Times New Roman"/>
        </w:rPr>
        <w:t> </w:t>
      </w:r>
      <w:r w:rsidR="00AC1C5D" w:rsidRPr="00842E68">
        <w:rPr>
          <w:rFonts w:ascii="Times New Roman" w:hAnsi="Times New Roman"/>
        </w:rPr>
        <w:t xml:space="preserve">exclusions from liability respecting passengers and goods".  </w:t>
      </w:r>
    </w:p>
    <w:p w14:paraId="6AC25B1B" w14:textId="19B017E1"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Rule 105 of the Air Canada Tariff, entitled "Liability of Carriers", implement</w:t>
      </w:r>
      <w:r w:rsidR="00E30C69" w:rsidRPr="00842E68">
        <w:rPr>
          <w:rFonts w:ascii="Times New Roman" w:hAnsi="Times New Roman"/>
        </w:rPr>
        <w:t>s</w:t>
      </w:r>
      <w:r w:rsidRPr="00842E68">
        <w:rPr>
          <w:rFonts w:ascii="Times New Roman" w:hAnsi="Times New Roman"/>
        </w:rPr>
        <w:t xml:space="preserve"> these requirements of the</w:t>
      </w:r>
      <w:r w:rsidR="00942D89" w:rsidRPr="00842E68">
        <w:rPr>
          <w:rFonts w:ascii="Times New Roman" w:hAnsi="Times New Roman"/>
        </w:rPr>
        <w:t xml:space="preserve"> Canadian</w:t>
      </w:r>
      <w:r w:rsidRPr="00842E68">
        <w:rPr>
          <w:rFonts w:ascii="Times New Roman" w:hAnsi="Times New Roman"/>
        </w:rPr>
        <w:t xml:space="preserve"> </w:t>
      </w:r>
      <w:r w:rsidRPr="00842E68">
        <w:rPr>
          <w:rFonts w:ascii="Times New Roman" w:hAnsi="Times New Roman"/>
          <w:i/>
        </w:rPr>
        <w:t xml:space="preserve">Air </w:t>
      </w:r>
      <w:r w:rsidRPr="00842E68">
        <w:rPr>
          <w:rFonts w:ascii="Times New Roman" w:hAnsi="Times New Roman"/>
          <w:i/>
          <w:iCs/>
        </w:rPr>
        <w:t>Transport</w:t>
      </w:r>
      <w:r w:rsidR="007F46FC" w:rsidRPr="00842E68">
        <w:rPr>
          <w:rFonts w:ascii="Times New Roman" w:hAnsi="Times New Roman"/>
          <w:i/>
          <w:iCs/>
        </w:rPr>
        <w:t>ation</w:t>
      </w:r>
      <w:r w:rsidRPr="00842E68">
        <w:rPr>
          <w:rFonts w:ascii="Times New Roman" w:hAnsi="Times New Roman"/>
          <w:i/>
        </w:rPr>
        <w:t xml:space="preserve"> Regulations</w:t>
      </w:r>
      <w:r w:rsidRPr="00842E68">
        <w:rPr>
          <w:rFonts w:ascii="Times New Roman" w:hAnsi="Times New Roman"/>
        </w:rPr>
        <w:t xml:space="preserve"> by describing the regime of liability for Air Canada</w:t>
      </w:r>
      <w:r w:rsidR="003F740C" w:rsidRPr="00842E68">
        <w:rPr>
          <w:rFonts w:ascii="Times New Roman" w:hAnsi="Times New Roman"/>
        </w:rPr>
        <w:t>,</w:t>
      </w:r>
      <w:r w:rsidRPr="00842E68">
        <w:rPr>
          <w:rFonts w:ascii="Times New Roman" w:hAnsi="Times New Roman"/>
        </w:rPr>
        <w:t xml:space="preserve"> including the limits of that liability. The </w:t>
      </w:r>
      <w:r w:rsidR="00B03528">
        <w:rPr>
          <w:rFonts w:ascii="Times New Roman" w:hAnsi="Times New Roman"/>
        </w:rPr>
        <w:t xml:space="preserve">provisions of </w:t>
      </w:r>
      <w:r w:rsidR="0068443C">
        <w:rPr>
          <w:rFonts w:ascii="Times New Roman" w:hAnsi="Times New Roman"/>
        </w:rPr>
        <w:t xml:space="preserve">the </w:t>
      </w:r>
      <w:r w:rsidR="00AD4E3B">
        <w:rPr>
          <w:rFonts w:ascii="Times New Roman" w:hAnsi="Times New Roman"/>
        </w:rPr>
        <w:t>r</w:t>
      </w:r>
      <w:r w:rsidR="0068443C">
        <w:rPr>
          <w:rFonts w:ascii="Times New Roman" w:hAnsi="Times New Roman"/>
        </w:rPr>
        <w:t>ule</w:t>
      </w:r>
      <w:r w:rsidR="00B03528">
        <w:rPr>
          <w:rFonts w:ascii="Times New Roman" w:hAnsi="Times New Roman"/>
        </w:rPr>
        <w:t xml:space="preserve"> </w:t>
      </w:r>
      <w:r w:rsidR="00BA086E" w:rsidRPr="00842E68">
        <w:rPr>
          <w:rFonts w:ascii="Times New Roman" w:hAnsi="Times New Roman"/>
        </w:rPr>
        <w:t xml:space="preserve">relevant </w:t>
      </w:r>
      <w:r w:rsidRPr="00842E68">
        <w:rPr>
          <w:rFonts w:ascii="Times New Roman" w:hAnsi="Times New Roman"/>
        </w:rPr>
        <w:t xml:space="preserve">to this appeal are </w:t>
      </w:r>
      <w:proofErr w:type="spellStart"/>
      <w:r w:rsidR="00BE7B8B" w:rsidRPr="00842E68">
        <w:rPr>
          <w:rFonts w:ascii="Times New Roman" w:hAnsi="Times New Roman"/>
        </w:rPr>
        <w:t>r</w:t>
      </w:r>
      <w:r w:rsidRPr="00842E68">
        <w:rPr>
          <w:rFonts w:ascii="Times New Roman" w:hAnsi="Times New Roman"/>
        </w:rPr>
        <w:t>r</w:t>
      </w:r>
      <w:proofErr w:type="spellEnd"/>
      <w:r w:rsidR="00BA086E" w:rsidRPr="00842E68">
        <w:rPr>
          <w:rFonts w:ascii="Times New Roman" w:hAnsi="Times New Roman"/>
        </w:rPr>
        <w:t> </w:t>
      </w:r>
      <w:r w:rsidRPr="00842E68">
        <w:rPr>
          <w:rFonts w:ascii="Times New Roman" w:hAnsi="Times New Roman"/>
        </w:rPr>
        <w:t>105</w:t>
      </w:r>
      <w:r w:rsidR="00BE7B8B" w:rsidRPr="00842E68">
        <w:rPr>
          <w:rFonts w:ascii="Times New Roman" w:hAnsi="Times New Roman"/>
        </w:rPr>
        <w:t>(</w:t>
      </w:r>
      <w:r w:rsidRPr="00842E68">
        <w:rPr>
          <w:rFonts w:ascii="Times New Roman" w:hAnsi="Times New Roman"/>
        </w:rPr>
        <w:t>B</w:t>
      </w:r>
      <w:r w:rsidR="00BE7B8B" w:rsidRPr="00842E68">
        <w:rPr>
          <w:rFonts w:ascii="Times New Roman" w:hAnsi="Times New Roman"/>
        </w:rPr>
        <w:t>)</w:t>
      </w:r>
      <w:r w:rsidRPr="00842E68">
        <w:rPr>
          <w:rFonts w:ascii="Times New Roman" w:hAnsi="Times New Roman"/>
        </w:rPr>
        <w:t xml:space="preserve"> and 105</w:t>
      </w:r>
      <w:r w:rsidR="00BE7B8B" w:rsidRPr="00842E68">
        <w:rPr>
          <w:rFonts w:ascii="Times New Roman" w:hAnsi="Times New Roman"/>
        </w:rPr>
        <w:t>(</w:t>
      </w:r>
      <w:r w:rsidRPr="00842E68">
        <w:rPr>
          <w:rFonts w:ascii="Times New Roman" w:hAnsi="Times New Roman"/>
        </w:rPr>
        <w:t>C</w:t>
      </w:r>
      <w:r w:rsidR="00BE7B8B" w:rsidRPr="00842E68">
        <w:rPr>
          <w:rFonts w:ascii="Times New Roman" w:hAnsi="Times New Roman"/>
        </w:rPr>
        <w:t>)</w:t>
      </w:r>
      <w:r w:rsidRPr="00842E68">
        <w:rPr>
          <w:rFonts w:ascii="Times New Roman" w:hAnsi="Times New Roman"/>
        </w:rPr>
        <w:t>. Rule</w:t>
      </w:r>
      <w:r w:rsidR="00BA086E" w:rsidRPr="00842E68">
        <w:rPr>
          <w:rFonts w:ascii="Times New Roman" w:hAnsi="Times New Roman"/>
        </w:rPr>
        <w:t> </w:t>
      </w:r>
      <w:r w:rsidRPr="00842E68">
        <w:rPr>
          <w:rFonts w:ascii="Times New Roman" w:hAnsi="Times New Roman"/>
        </w:rPr>
        <w:t>105</w:t>
      </w:r>
      <w:r w:rsidR="00BE7B8B" w:rsidRPr="00842E68">
        <w:rPr>
          <w:rFonts w:ascii="Times New Roman" w:hAnsi="Times New Roman"/>
        </w:rPr>
        <w:t>(</w:t>
      </w:r>
      <w:r w:rsidRPr="00842E68">
        <w:rPr>
          <w:rFonts w:ascii="Times New Roman" w:hAnsi="Times New Roman"/>
        </w:rPr>
        <w:t>B</w:t>
      </w:r>
      <w:r w:rsidR="000D6573" w:rsidRPr="00842E68">
        <w:rPr>
          <w:rFonts w:ascii="Times New Roman" w:hAnsi="Times New Roman"/>
        </w:rPr>
        <w:t>)</w:t>
      </w:r>
      <w:r w:rsidR="00AA0942" w:rsidRPr="00842E68">
        <w:rPr>
          <w:rFonts w:ascii="Times New Roman" w:hAnsi="Times New Roman"/>
        </w:rPr>
        <w:t>,</w:t>
      </w:r>
      <w:r w:rsidRPr="00842E68">
        <w:rPr>
          <w:rFonts w:ascii="Times New Roman" w:hAnsi="Times New Roman"/>
        </w:rPr>
        <w:t xml:space="preserve"> entitled "Laws and </w:t>
      </w:r>
      <w:r w:rsidR="004C705B" w:rsidRPr="00842E68">
        <w:rPr>
          <w:rFonts w:ascii="Times New Roman" w:hAnsi="Times New Roman"/>
        </w:rPr>
        <w:t>P</w:t>
      </w:r>
      <w:r w:rsidRPr="00842E68">
        <w:rPr>
          <w:rFonts w:ascii="Times New Roman" w:hAnsi="Times New Roman"/>
        </w:rPr>
        <w:t xml:space="preserve">rovisions </w:t>
      </w:r>
      <w:r w:rsidR="004C705B" w:rsidRPr="00842E68">
        <w:rPr>
          <w:rFonts w:ascii="Times New Roman" w:hAnsi="Times New Roman"/>
        </w:rPr>
        <w:t>A</w:t>
      </w:r>
      <w:r w:rsidRPr="00842E68">
        <w:rPr>
          <w:rFonts w:ascii="Times New Roman" w:hAnsi="Times New Roman"/>
        </w:rPr>
        <w:t>pplicable", describes the general application of the Warsaw system and the Montreal Convention as well as other applicable laws and regulations. Rule</w:t>
      </w:r>
      <w:r w:rsidR="004C705B" w:rsidRPr="00842E68">
        <w:rPr>
          <w:rFonts w:ascii="Times New Roman" w:hAnsi="Times New Roman"/>
        </w:rPr>
        <w:t> </w:t>
      </w:r>
      <w:r w:rsidRPr="00842E68">
        <w:rPr>
          <w:rFonts w:ascii="Times New Roman" w:hAnsi="Times New Roman"/>
        </w:rPr>
        <w:t>105</w:t>
      </w:r>
      <w:r w:rsidR="00BE7B8B"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 xml:space="preserve">, entitled "Limitation of Liability", then describes </w:t>
      </w:r>
      <w:proofErr w:type="gramStart"/>
      <w:r w:rsidRPr="00842E68">
        <w:rPr>
          <w:rFonts w:ascii="Times New Roman" w:hAnsi="Times New Roman"/>
        </w:rPr>
        <w:t>particular prescribed</w:t>
      </w:r>
      <w:proofErr w:type="gramEnd"/>
      <w:r w:rsidRPr="00842E68">
        <w:rPr>
          <w:rFonts w:ascii="Times New Roman" w:hAnsi="Times New Roman"/>
        </w:rPr>
        <w:t xml:space="preserve"> limits to Air Canada's liability under the Warsaw system and the Montreal Convention.</w:t>
      </w:r>
    </w:p>
    <w:p w14:paraId="3D2E17CA" w14:textId="08B0A029"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Rule 105</w:t>
      </w:r>
      <w:r w:rsidR="00BE7B8B" w:rsidRPr="00842E68">
        <w:rPr>
          <w:rFonts w:ascii="Times New Roman" w:hAnsi="Times New Roman"/>
        </w:rPr>
        <w:t>(</w:t>
      </w:r>
      <w:r w:rsidRPr="00842E68">
        <w:rPr>
          <w:rFonts w:ascii="Times New Roman" w:hAnsi="Times New Roman"/>
        </w:rPr>
        <w:t>B</w:t>
      </w:r>
      <w:r w:rsidR="000D6573" w:rsidRPr="00842E68">
        <w:rPr>
          <w:rFonts w:ascii="Times New Roman" w:hAnsi="Times New Roman"/>
        </w:rPr>
        <w:t>)</w:t>
      </w:r>
      <w:r w:rsidRPr="00842E68">
        <w:rPr>
          <w:rFonts w:ascii="Times New Roman" w:hAnsi="Times New Roman"/>
        </w:rPr>
        <w:t>(1) describes Air Canada's liability under the Warsaw system as modified by the terms of the 1995/6 IATA Agreements. Rule</w:t>
      </w:r>
      <w:r w:rsidR="00E715DA" w:rsidRPr="00842E68">
        <w:rPr>
          <w:rFonts w:ascii="Times New Roman" w:hAnsi="Times New Roman"/>
        </w:rPr>
        <w:t> </w:t>
      </w:r>
      <w:r w:rsidRPr="00842E68">
        <w:rPr>
          <w:rFonts w:ascii="Times New Roman" w:hAnsi="Times New Roman"/>
        </w:rPr>
        <w:t>105</w:t>
      </w:r>
      <w:r w:rsidR="000D6573" w:rsidRPr="00842E68">
        <w:rPr>
          <w:rFonts w:ascii="Times New Roman" w:hAnsi="Times New Roman"/>
        </w:rPr>
        <w:t>(</w:t>
      </w:r>
      <w:r w:rsidRPr="00842E68">
        <w:rPr>
          <w:rFonts w:ascii="Times New Roman" w:hAnsi="Times New Roman"/>
        </w:rPr>
        <w:t>B</w:t>
      </w:r>
      <w:r w:rsidR="000D6573" w:rsidRPr="00842E68">
        <w:rPr>
          <w:rFonts w:ascii="Times New Roman" w:hAnsi="Times New Roman"/>
        </w:rPr>
        <w:t>)</w:t>
      </w:r>
      <w:r w:rsidRPr="00842E68">
        <w:rPr>
          <w:rFonts w:ascii="Times New Roman" w:hAnsi="Times New Roman"/>
        </w:rPr>
        <w:t>(1)(a) provides that Air Canada "shall not invoke the limitation of liability" in Art</w:t>
      </w:r>
      <w:r w:rsidR="00023F07" w:rsidRPr="00842E68">
        <w:rPr>
          <w:rFonts w:ascii="Times New Roman" w:hAnsi="Times New Roman"/>
        </w:rPr>
        <w:t> </w:t>
      </w:r>
      <w:r w:rsidRPr="00842E68">
        <w:rPr>
          <w:rFonts w:ascii="Times New Roman" w:hAnsi="Times New Roman"/>
        </w:rPr>
        <w:t>22(1) of the Warsaw Convention. Rule</w:t>
      </w:r>
      <w:r w:rsidR="00E715DA" w:rsidRPr="00842E68">
        <w:rPr>
          <w:rFonts w:ascii="Times New Roman" w:hAnsi="Times New Roman"/>
        </w:rPr>
        <w:t> </w:t>
      </w:r>
      <w:r w:rsidRPr="00842E68">
        <w:rPr>
          <w:rFonts w:ascii="Times New Roman" w:hAnsi="Times New Roman"/>
        </w:rPr>
        <w:t>105</w:t>
      </w:r>
      <w:r w:rsidR="000D6573" w:rsidRPr="00842E68">
        <w:rPr>
          <w:rFonts w:ascii="Times New Roman" w:hAnsi="Times New Roman"/>
        </w:rPr>
        <w:t>(</w:t>
      </w:r>
      <w:r w:rsidRPr="00842E68">
        <w:rPr>
          <w:rFonts w:ascii="Times New Roman" w:hAnsi="Times New Roman"/>
        </w:rPr>
        <w:t>B</w:t>
      </w:r>
      <w:r w:rsidR="000D6573" w:rsidRPr="00842E68">
        <w:rPr>
          <w:rFonts w:ascii="Times New Roman" w:hAnsi="Times New Roman"/>
        </w:rPr>
        <w:t>)</w:t>
      </w:r>
      <w:r w:rsidRPr="00842E68">
        <w:rPr>
          <w:rFonts w:ascii="Times New Roman" w:hAnsi="Times New Roman"/>
        </w:rPr>
        <w:t xml:space="preserve">(1)(b) provides that Air Canada "shall not avail itself of any </w:t>
      </w:r>
      <w:proofErr w:type="spellStart"/>
      <w:r w:rsidRPr="00842E68">
        <w:rPr>
          <w:rFonts w:ascii="Times New Roman" w:hAnsi="Times New Roman"/>
        </w:rPr>
        <w:t>defense</w:t>
      </w:r>
      <w:proofErr w:type="spellEnd"/>
      <w:r w:rsidRPr="00842E68">
        <w:rPr>
          <w:rFonts w:ascii="Times New Roman" w:hAnsi="Times New Roman"/>
        </w:rPr>
        <w:t xml:space="preserve"> under </w:t>
      </w:r>
      <w:r w:rsidR="00034B8A" w:rsidRPr="00842E68">
        <w:rPr>
          <w:rFonts w:ascii="Times New Roman" w:hAnsi="Times New Roman"/>
        </w:rPr>
        <w:t>A</w:t>
      </w:r>
      <w:r w:rsidRPr="00842E68">
        <w:rPr>
          <w:rFonts w:ascii="Times New Roman" w:hAnsi="Times New Roman"/>
        </w:rPr>
        <w:t>rticle</w:t>
      </w:r>
      <w:r w:rsidR="00023F07" w:rsidRPr="00842E68">
        <w:rPr>
          <w:rFonts w:ascii="Times New Roman" w:hAnsi="Times New Roman"/>
        </w:rPr>
        <w:t> </w:t>
      </w:r>
      <w:r w:rsidRPr="00842E68">
        <w:rPr>
          <w:rFonts w:ascii="Times New Roman" w:hAnsi="Times New Roman"/>
        </w:rPr>
        <w:t xml:space="preserve">20(1) of the </w:t>
      </w:r>
      <w:r w:rsidR="003314C6" w:rsidRPr="00842E68">
        <w:rPr>
          <w:rFonts w:ascii="Times New Roman" w:hAnsi="Times New Roman"/>
        </w:rPr>
        <w:t>[</w:t>
      </w:r>
      <w:r w:rsidRPr="00842E68">
        <w:rPr>
          <w:rFonts w:ascii="Times New Roman" w:hAnsi="Times New Roman"/>
        </w:rPr>
        <w:t>Warsaw</w:t>
      </w:r>
      <w:r w:rsidR="003314C6" w:rsidRPr="00842E68">
        <w:rPr>
          <w:rFonts w:ascii="Times New Roman" w:hAnsi="Times New Roman"/>
        </w:rPr>
        <w:t>]</w:t>
      </w:r>
      <w:r w:rsidRPr="00842E68">
        <w:rPr>
          <w:rFonts w:ascii="Times New Roman" w:hAnsi="Times New Roman"/>
        </w:rPr>
        <w:t xml:space="preserve"> Convention with respect to that portion of such claim which does not exceed 113,100</w:t>
      </w:r>
      <w:r w:rsidR="00E715DA" w:rsidRPr="00842E68">
        <w:rPr>
          <w:rFonts w:ascii="Times New Roman" w:hAnsi="Times New Roman"/>
        </w:rPr>
        <w:t> </w:t>
      </w:r>
      <w:r w:rsidRPr="00842E68">
        <w:rPr>
          <w:rFonts w:ascii="Times New Roman" w:hAnsi="Times New Roman"/>
        </w:rPr>
        <w:t>Special Drawing Rights". Rule</w:t>
      </w:r>
      <w:r w:rsidR="00E715DA" w:rsidRPr="00842E68">
        <w:rPr>
          <w:rFonts w:ascii="Times New Roman" w:hAnsi="Times New Roman"/>
        </w:rPr>
        <w:t> </w:t>
      </w:r>
      <w:r w:rsidRPr="00842E68">
        <w:rPr>
          <w:rFonts w:ascii="Times New Roman" w:hAnsi="Times New Roman"/>
        </w:rPr>
        <w:t>105</w:t>
      </w:r>
      <w:r w:rsidR="00BE7B8B" w:rsidRPr="00842E68">
        <w:rPr>
          <w:rFonts w:ascii="Times New Roman" w:hAnsi="Times New Roman"/>
        </w:rPr>
        <w:t>(</w:t>
      </w:r>
      <w:r w:rsidRPr="00842E68">
        <w:rPr>
          <w:rFonts w:ascii="Times New Roman" w:hAnsi="Times New Roman"/>
        </w:rPr>
        <w:t>B</w:t>
      </w:r>
      <w:r w:rsidR="000D6573" w:rsidRPr="00842E68">
        <w:rPr>
          <w:rFonts w:ascii="Times New Roman" w:hAnsi="Times New Roman"/>
        </w:rPr>
        <w:t>)</w:t>
      </w:r>
      <w:r w:rsidRPr="00842E68">
        <w:rPr>
          <w:rFonts w:ascii="Times New Roman" w:hAnsi="Times New Roman"/>
        </w:rPr>
        <w:t>(1)(c) provides that "</w:t>
      </w:r>
      <w:r w:rsidR="00C20734" w:rsidRPr="00842E68">
        <w:rPr>
          <w:rFonts w:ascii="Times New Roman" w:hAnsi="Times New Roman"/>
        </w:rPr>
        <w:t>[</w:t>
      </w:r>
      <w:r w:rsidRPr="00842E68">
        <w:rPr>
          <w:rFonts w:ascii="Times New Roman" w:hAnsi="Times New Roman"/>
        </w:rPr>
        <w:t>e</w:t>
      </w:r>
      <w:r w:rsidR="00C20734" w:rsidRPr="00842E68">
        <w:rPr>
          <w:rFonts w:ascii="Times New Roman" w:hAnsi="Times New Roman"/>
        </w:rPr>
        <w:t>]</w:t>
      </w:r>
      <w:proofErr w:type="spellStart"/>
      <w:r w:rsidRPr="00842E68">
        <w:rPr>
          <w:rFonts w:ascii="Times New Roman" w:hAnsi="Times New Roman"/>
        </w:rPr>
        <w:t>xcept</w:t>
      </w:r>
      <w:proofErr w:type="spellEnd"/>
      <w:r w:rsidRPr="00842E68">
        <w:rPr>
          <w:rFonts w:ascii="Times New Roman" w:hAnsi="Times New Roman"/>
        </w:rPr>
        <w:t xml:space="preserve"> as otherwise provided </w:t>
      </w:r>
      <w:r w:rsidRPr="00842E68">
        <w:rPr>
          <w:rFonts w:ascii="Times New Roman" w:hAnsi="Times New Roman"/>
        </w:rPr>
        <w:lastRenderedPageBreak/>
        <w:t xml:space="preserve">herein" Air Canada "reserves all </w:t>
      </w:r>
      <w:proofErr w:type="spellStart"/>
      <w:r w:rsidRPr="00842E68">
        <w:rPr>
          <w:rFonts w:ascii="Times New Roman" w:hAnsi="Times New Roman"/>
        </w:rPr>
        <w:t>defen</w:t>
      </w:r>
      <w:r w:rsidR="00B31C08" w:rsidRPr="00842E68">
        <w:rPr>
          <w:rFonts w:ascii="Times New Roman" w:hAnsi="Times New Roman"/>
        </w:rPr>
        <w:t>s</w:t>
      </w:r>
      <w:r w:rsidRPr="00842E68">
        <w:rPr>
          <w:rFonts w:ascii="Times New Roman" w:hAnsi="Times New Roman"/>
        </w:rPr>
        <w:t>es</w:t>
      </w:r>
      <w:proofErr w:type="spellEnd"/>
      <w:r w:rsidRPr="00842E68">
        <w:rPr>
          <w:rFonts w:ascii="Times New Roman" w:hAnsi="Times New Roman"/>
        </w:rPr>
        <w:t xml:space="preserve"> available" under the Warsaw Convention. These waivers, and the reservation of all other defences, </w:t>
      </w:r>
      <w:r w:rsidR="00A34618" w:rsidRPr="00842E68">
        <w:rPr>
          <w:rFonts w:ascii="Times New Roman" w:hAnsi="Times New Roman"/>
        </w:rPr>
        <w:t xml:space="preserve">effectively </w:t>
      </w:r>
      <w:r w:rsidRPr="00842E68">
        <w:rPr>
          <w:rFonts w:ascii="Times New Roman" w:hAnsi="Times New Roman"/>
        </w:rPr>
        <w:t xml:space="preserve">implement the terms of the 1995/6 IATA Agreements. </w:t>
      </w:r>
    </w:p>
    <w:p w14:paraId="2C537953" w14:textId="44DD2E12"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Rule 105</w:t>
      </w:r>
      <w:r w:rsidR="00BE7B8B" w:rsidRPr="00842E68">
        <w:rPr>
          <w:rFonts w:ascii="Times New Roman" w:hAnsi="Times New Roman"/>
        </w:rPr>
        <w:t>(</w:t>
      </w:r>
      <w:r w:rsidRPr="00842E68">
        <w:rPr>
          <w:rFonts w:ascii="Times New Roman" w:hAnsi="Times New Roman"/>
        </w:rPr>
        <w:t>B</w:t>
      </w:r>
      <w:r w:rsidR="000D6573" w:rsidRPr="00842E68">
        <w:rPr>
          <w:rFonts w:ascii="Times New Roman" w:hAnsi="Times New Roman"/>
        </w:rPr>
        <w:t>)</w:t>
      </w:r>
      <w:r w:rsidRPr="00842E68">
        <w:rPr>
          <w:rFonts w:ascii="Times New Roman" w:hAnsi="Times New Roman"/>
        </w:rPr>
        <w:t>(2) describes details of presentation including the carrier's name and address in the ticket whe</w:t>
      </w:r>
      <w:r w:rsidR="00BF1F20" w:rsidRPr="00842E68">
        <w:rPr>
          <w:rFonts w:ascii="Times New Roman" w:hAnsi="Times New Roman"/>
        </w:rPr>
        <w:t>re</w:t>
      </w:r>
      <w:r w:rsidRPr="00842E68">
        <w:rPr>
          <w:rFonts w:ascii="Times New Roman" w:hAnsi="Times New Roman"/>
        </w:rPr>
        <w:t xml:space="preserve"> the Warsaw </w:t>
      </w:r>
      <w:r w:rsidR="00861A72" w:rsidRPr="00842E68">
        <w:rPr>
          <w:rFonts w:ascii="Times New Roman" w:hAnsi="Times New Roman"/>
        </w:rPr>
        <w:t xml:space="preserve">system </w:t>
      </w:r>
      <w:proofErr w:type="gramStart"/>
      <w:r w:rsidRPr="00842E68">
        <w:rPr>
          <w:rFonts w:ascii="Times New Roman" w:hAnsi="Times New Roman"/>
        </w:rPr>
        <w:t>applies</w:t>
      </w:r>
      <w:r w:rsidR="00C7498E" w:rsidRPr="00842E68">
        <w:rPr>
          <w:rFonts w:ascii="Times New Roman" w:hAnsi="Times New Roman"/>
        </w:rPr>
        <w:t>, and</w:t>
      </w:r>
      <w:proofErr w:type="gramEnd"/>
      <w:r w:rsidR="00C7498E" w:rsidRPr="00842E68">
        <w:rPr>
          <w:rFonts w:ascii="Times New Roman" w:hAnsi="Times New Roman"/>
        </w:rPr>
        <w:t xml:space="preserve"> </w:t>
      </w:r>
      <w:r w:rsidR="00D30726" w:rsidRPr="00842E68">
        <w:rPr>
          <w:rFonts w:ascii="Times New Roman" w:hAnsi="Times New Roman"/>
        </w:rPr>
        <w:t>specifies the "agreed stopping places" for the purposes of the Warsaw Convention</w:t>
      </w:r>
      <w:r w:rsidRPr="00842E68">
        <w:rPr>
          <w:rFonts w:ascii="Times New Roman" w:hAnsi="Times New Roman"/>
        </w:rPr>
        <w:t>. Rule</w:t>
      </w:r>
      <w:r w:rsidR="00E715DA" w:rsidRPr="00842E68">
        <w:rPr>
          <w:rFonts w:ascii="Times New Roman" w:hAnsi="Times New Roman"/>
        </w:rPr>
        <w:t> </w:t>
      </w:r>
      <w:r w:rsidRPr="00842E68">
        <w:rPr>
          <w:rFonts w:ascii="Times New Roman" w:hAnsi="Times New Roman"/>
        </w:rPr>
        <w:t>105</w:t>
      </w:r>
      <w:r w:rsidR="00BE7B8B" w:rsidRPr="00842E68">
        <w:rPr>
          <w:rFonts w:ascii="Times New Roman" w:hAnsi="Times New Roman"/>
        </w:rPr>
        <w:t>(</w:t>
      </w:r>
      <w:r w:rsidRPr="00842E68">
        <w:rPr>
          <w:rFonts w:ascii="Times New Roman" w:hAnsi="Times New Roman"/>
        </w:rPr>
        <w:t>B</w:t>
      </w:r>
      <w:r w:rsidR="000D6573" w:rsidRPr="00842E68">
        <w:rPr>
          <w:rFonts w:ascii="Times New Roman" w:hAnsi="Times New Roman"/>
        </w:rPr>
        <w:t>)</w:t>
      </w:r>
      <w:r w:rsidRPr="00842E68">
        <w:rPr>
          <w:rFonts w:ascii="Times New Roman" w:hAnsi="Times New Roman"/>
        </w:rPr>
        <w:t>(3) describes how carriage is subject to</w:t>
      </w:r>
      <w:r w:rsidR="00173E43" w:rsidRPr="00842E68">
        <w:rPr>
          <w:rFonts w:ascii="Times New Roman" w:hAnsi="Times New Roman"/>
        </w:rPr>
        <w:t>: (</w:t>
      </w:r>
      <w:proofErr w:type="spellStart"/>
      <w:r w:rsidR="00173E43" w:rsidRPr="00842E68">
        <w:rPr>
          <w:rFonts w:ascii="Times New Roman" w:hAnsi="Times New Roman"/>
        </w:rPr>
        <w:t>i</w:t>
      </w:r>
      <w:proofErr w:type="spellEnd"/>
      <w:r w:rsidR="00173E43" w:rsidRPr="00842E68">
        <w:rPr>
          <w:rFonts w:ascii="Times New Roman" w:hAnsi="Times New Roman"/>
        </w:rPr>
        <w:t>) </w:t>
      </w:r>
      <w:r w:rsidRPr="00842E68">
        <w:rPr>
          <w:rFonts w:ascii="Times New Roman" w:hAnsi="Times New Roman"/>
        </w:rPr>
        <w:t>applicable laws, government regulations, orders</w:t>
      </w:r>
      <w:r w:rsidR="000277FC" w:rsidRPr="00842E68">
        <w:rPr>
          <w:rFonts w:ascii="Times New Roman" w:hAnsi="Times New Roman"/>
        </w:rPr>
        <w:t>,</w:t>
      </w:r>
      <w:r w:rsidRPr="00842E68">
        <w:rPr>
          <w:rFonts w:ascii="Times New Roman" w:hAnsi="Times New Roman"/>
        </w:rPr>
        <w:t xml:space="preserve"> and requirements</w:t>
      </w:r>
      <w:r w:rsidR="00173E43" w:rsidRPr="00842E68">
        <w:rPr>
          <w:rFonts w:ascii="Times New Roman" w:hAnsi="Times New Roman"/>
        </w:rPr>
        <w:t>; (ii) </w:t>
      </w:r>
      <w:r w:rsidRPr="00842E68">
        <w:rPr>
          <w:rFonts w:ascii="Times New Roman" w:hAnsi="Times New Roman"/>
        </w:rPr>
        <w:t>provisions in the passenger's ticket</w:t>
      </w:r>
      <w:r w:rsidR="00173E43" w:rsidRPr="00842E68">
        <w:rPr>
          <w:rFonts w:ascii="Times New Roman" w:hAnsi="Times New Roman"/>
        </w:rPr>
        <w:t>;</w:t>
      </w:r>
      <w:r w:rsidRPr="00842E68">
        <w:rPr>
          <w:rFonts w:ascii="Times New Roman" w:hAnsi="Times New Roman"/>
        </w:rPr>
        <w:t xml:space="preserve"> and </w:t>
      </w:r>
      <w:r w:rsidR="00173E43" w:rsidRPr="00842E68">
        <w:rPr>
          <w:rFonts w:ascii="Times New Roman" w:hAnsi="Times New Roman"/>
        </w:rPr>
        <w:t>(iii) </w:t>
      </w:r>
      <w:r w:rsidRPr="00842E68">
        <w:rPr>
          <w:rFonts w:ascii="Times New Roman" w:hAnsi="Times New Roman"/>
        </w:rPr>
        <w:t>the tariff, general conditions of carriage</w:t>
      </w:r>
      <w:r w:rsidR="00AC5EBF" w:rsidRPr="00842E68">
        <w:rPr>
          <w:rFonts w:ascii="Times New Roman" w:hAnsi="Times New Roman"/>
        </w:rPr>
        <w:t>,</w:t>
      </w:r>
      <w:r w:rsidRPr="00842E68">
        <w:rPr>
          <w:rFonts w:ascii="Times New Roman" w:hAnsi="Times New Roman"/>
        </w:rPr>
        <w:t xml:space="preserve"> and applicable far</w:t>
      </w:r>
      <w:r w:rsidR="00432F96" w:rsidRPr="00842E68">
        <w:rPr>
          <w:rFonts w:ascii="Times New Roman" w:hAnsi="Times New Roman"/>
        </w:rPr>
        <w:t>e</w:t>
      </w:r>
      <w:r w:rsidRPr="00842E68">
        <w:rPr>
          <w:rFonts w:ascii="Times New Roman" w:hAnsi="Times New Roman"/>
        </w:rPr>
        <w:t xml:space="preserve"> rules. </w:t>
      </w:r>
    </w:p>
    <w:p w14:paraId="19622FEF" w14:textId="72DF69E4"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Rule 105</w:t>
      </w:r>
      <w:r w:rsidR="00BE7B8B" w:rsidRPr="00842E68">
        <w:rPr>
          <w:rFonts w:ascii="Times New Roman" w:hAnsi="Times New Roman"/>
        </w:rPr>
        <w:t>(</w:t>
      </w:r>
      <w:r w:rsidRPr="00842E68">
        <w:rPr>
          <w:rFonts w:ascii="Times New Roman" w:hAnsi="Times New Roman"/>
        </w:rPr>
        <w:t>B</w:t>
      </w:r>
      <w:r w:rsidR="000D6573" w:rsidRPr="00842E68">
        <w:rPr>
          <w:rFonts w:ascii="Times New Roman" w:hAnsi="Times New Roman"/>
        </w:rPr>
        <w:t>)</w:t>
      </w:r>
      <w:r w:rsidRPr="00842E68">
        <w:rPr>
          <w:rFonts w:ascii="Times New Roman" w:hAnsi="Times New Roman"/>
        </w:rPr>
        <w:t>(4) provides that the "</w:t>
      </w:r>
      <w:r w:rsidR="008D426F" w:rsidRPr="00842E68">
        <w:rPr>
          <w:rFonts w:ascii="Times New Roman" w:hAnsi="Times New Roman"/>
        </w:rPr>
        <w:t>[</w:t>
      </w:r>
      <w:r w:rsidRPr="00842E68">
        <w:rPr>
          <w:rFonts w:ascii="Times New Roman" w:hAnsi="Times New Roman"/>
        </w:rPr>
        <w:t>n</w:t>
      </w:r>
      <w:r w:rsidR="008D426F" w:rsidRPr="00842E68">
        <w:rPr>
          <w:rFonts w:ascii="Times New Roman" w:hAnsi="Times New Roman"/>
        </w:rPr>
        <w:t>]</w:t>
      </w:r>
      <w:proofErr w:type="spellStart"/>
      <w:r w:rsidRPr="00842E68">
        <w:rPr>
          <w:rFonts w:ascii="Times New Roman" w:hAnsi="Times New Roman"/>
        </w:rPr>
        <w:t>ormal</w:t>
      </w:r>
      <w:proofErr w:type="spellEnd"/>
      <w:r w:rsidRPr="00842E68">
        <w:rPr>
          <w:rFonts w:ascii="Times New Roman" w:hAnsi="Times New Roman"/>
        </w:rPr>
        <w:t xml:space="preserve"> carrier limit of liability will be waived for substantiated claims involving </w:t>
      </w:r>
      <w:proofErr w:type="gramStart"/>
      <w:r w:rsidR="00C84CA1" w:rsidRPr="00842E68">
        <w:rPr>
          <w:rFonts w:ascii="Times New Roman" w:hAnsi="Times New Roman"/>
        </w:rPr>
        <w:t>loss</w:t>
      </w:r>
      <w:r w:rsidR="00B9516A" w:rsidRPr="00842E68">
        <w:rPr>
          <w:rFonts w:ascii="Times New Roman" w:hAnsi="Times New Roman"/>
        </w:rPr>
        <w:t>[</w:t>
      </w:r>
      <w:proofErr w:type="gramEnd"/>
      <w:r w:rsidR="00B9516A" w:rsidRPr="00842E68">
        <w:rPr>
          <w:rFonts w:ascii="Times New Roman" w:hAnsi="Times New Roman"/>
        </w:rPr>
        <w:t>,]</w:t>
      </w:r>
      <w:r w:rsidRPr="00842E68">
        <w:rPr>
          <w:rFonts w:ascii="Times New Roman" w:hAnsi="Times New Roman"/>
        </w:rPr>
        <w:t xml:space="preserve"> damage or delay in delivery to mobility aids ... </w:t>
      </w:r>
      <w:r w:rsidR="002B377B" w:rsidRPr="00842E68">
        <w:rPr>
          <w:rFonts w:ascii="Times New Roman" w:hAnsi="Times New Roman"/>
        </w:rPr>
        <w:t>[</w:t>
      </w:r>
      <w:r w:rsidRPr="00842E68">
        <w:rPr>
          <w:rFonts w:ascii="Times New Roman" w:hAnsi="Times New Roman"/>
        </w:rPr>
        <w:t>w</w:t>
      </w:r>
      <w:r w:rsidR="002B377B" w:rsidRPr="00842E68">
        <w:rPr>
          <w:rFonts w:ascii="Times New Roman" w:hAnsi="Times New Roman"/>
        </w:rPr>
        <w:t>]</w:t>
      </w:r>
      <w:r w:rsidRPr="00842E68">
        <w:rPr>
          <w:rFonts w:ascii="Times New Roman" w:hAnsi="Times New Roman"/>
        </w:rPr>
        <w:t xml:space="preserve">hen such items have been accepted into the care of the carrier as checked baggage or otherwise." But the liability of the carrier is nevertheless limited to the cost of repair or </w:t>
      </w:r>
      <w:r w:rsidR="00F52C84" w:rsidRPr="00842E68">
        <w:rPr>
          <w:rFonts w:ascii="Times New Roman" w:hAnsi="Times New Roman"/>
        </w:rPr>
        <w:t xml:space="preserve">the </w:t>
      </w:r>
      <w:r w:rsidRPr="00842E68">
        <w:rPr>
          <w:rFonts w:ascii="Times New Roman" w:hAnsi="Times New Roman"/>
        </w:rPr>
        <w:t xml:space="preserve">replacement value of the mobility aid. This rule describes the effect of </w:t>
      </w:r>
      <w:r w:rsidR="00982732" w:rsidRPr="00842E68">
        <w:rPr>
          <w:rFonts w:ascii="Times New Roman" w:hAnsi="Times New Roman"/>
        </w:rPr>
        <w:t>s</w:t>
      </w:r>
      <w:r w:rsidR="00986734" w:rsidRPr="00842E68">
        <w:rPr>
          <w:rFonts w:ascii="Times New Roman" w:hAnsi="Times New Roman"/>
        </w:rPr>
        <w:t> </w:t>
      </w:r>
      <w:r w:rsidRPr="00842E68">
        <w:rPr>
          <w:rFonts w:ascii="Times New Roman" w:hAnsi="Times New Roman"/>
        </w:rPr>
        <w:t xml:space="preserve">155 of the Canadian </w:t>
      </w:r>
      <w:r w:rsidRPr="00842E68">
        <w:rPr>
          <w:rFonts w:ascii="Times New Roman" w:hAnsi="Times New Roman"/>
          <w:i/>
        </w:rPr>
        <w:t xml:space="preserve">Air </w:t>
      </w:r>
      <w:r w:rsidRPr="00842E68">
        <w:rPr>
          <w:rFonts w:ascii="Times New Roman" w:hAnsi="Times New Roman"/>
          <w:i/>
          <w:iCs/>
        </w:rPr>
        <w:t>Transport</w:t>
      </w:r>
      <w:r w:rsidR="00023F07" w:rsidRPr="00842E68">
        <w:rPr>
          <w:rFonts w:ascii="Times New Roman" w:hAnsi="Times New Roman"/>
          <w:i/>
          <w:iCs/>
        </w:rPr>
        <w:t>ation</w:t>
      </w:r>
      <w:r w:rsidRPr="00842E68">
        <w:rPr>
          <w:rFonts w:ascii="Times New Roman" w:hAnsi="Times New Roman"/>
          <w:i/>
        </w:rPr>
        <w:t xml:space="preserve"> Regulations</w:t>
      </w:r>
      <w:r w:rsidRPr="00842E68">
        <w:rPr>
          <w:rFonts w:ascii="Times New Roman" w:hAnsi="Times New Roman"/>
        </w:rPr>
        <w:t>.</w:t>
      </w:r>
    </w:p>
    <w:p w14:paraId="66D5A1F0" w14:textId="5228FA27"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Rule 105</w:t>
      </w:r>
      <w:r w:rsidR="00BE7B8B" w:rsidRPr="00842E68">
        <w:rPr>
          <w:rFonts w:ascii="Times New Roman" w:hAnsi="Times New Roman"/>
        </w:rPr>
        <w:t>(</w:t>
      </w:r>
      <w:r w:rsidRPr="00842E68">
        <w:rPr>
          <w:rFonts w:ascii="Times New Roman" w:hAnsi="Times New Roman"/>
        </w:rPr>
        <w:t>B</w:t>
      </w:r>
      <w:r w:rsidR="000D6573" w:rsidRPr="00842E68">
        <w:rPr>
          <w:rFonts w:ascii="Times New Roman" w:hAnsi="Times New Roman"/>
        </w:rPr>
        <w:t>)</w:t>
      </w:r>
      <w:r w:rsidRPr="00842E68">
        <w:rPr>
          <w:rFonts w:ascii="Times New Roman" w:hAnsi="Times New Roman"/>
        </w:rPr>
        <w:t xml:space="preserve">(5) provides for the "liability rules" of the Montreal Convention to be "fully incorporated herein" and for those liability rules to "supersede and prevail over any provisions of this tariff which may be inconsistent with those rules". </w:t>
      </w:r>
    </w:p>
    <w:p w14:paraId="2CB26448" w14:textId="5A3A6331"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Rule 105</w:t>
      </w:r>
      <w:r w:rsidR="00BE7B8B"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 xml:space="preserve"> deals with death or bodily injury to passengers</w:t>
      </w:r>
      <w:r w:rsidR="008C10EF" w:rsidRPr="00842E68">
        <w:rPr>
          <w:rFonts w:ascii="Times New Roman" w:hAnsi="Times New Roman"/>
        </w:rPr>
        <w:t>, as well as issues concerning delay, baggage and property</w:t>
      </w:r>
      <w:r w:rsidR="004D6ABE">
        <w:rPr>
          <w:rFonts w:ascii="Times New Roman" w:hAnsi="Times New Roman"/>
        </w:rPr>
        <w:t>,</w:t>
      </w:r>
      <w:r w:rsidR="008C10EF" w:rsidRPr="00842E68">
        <w:rPr>
          <w:rFonts w:ascii="Times New Roman" w:hAnsi="Times New Roman"/>
        </w:rPr>
        <w:t xml:space="preserve"> </w:t>
      </w:r>
      <w:r w:rsidRPr="00842E68">
        <w:rPr>
          <w:rFonts w:ascii="Times New Roman" w:hAnsi="Times New Roman"/>
        </w:rPr>
        <w:t xml:space="preserve">in </w:t>
      </w:r>
      <w:r w:rsidR="007B08C5" w:rsidRPr="00842E68">
        <w:rPr>
          <w:rFonts w:ascii="Times New Roman" w:hAnsi="Times New Roman"/>
        </w:rPr>
        <w:t>paras</w:t>
      </w:r>
      <w:r w:rsidR="00A84C93" w:rsidRPr="00842E68">
        <w:rPr>
          <w:rFonts w:ascii="Times New Roman" w:hAnsi="Times New Roman"/>
        </w:rPr>
        <w:t> </w:t>
      </w:r>
      <w:r w:rsidRPr="00842E68">
        <w:rPr>
          <w:rFonts w:ascii="Times New Roman" w:hAnsi="Times New Roman"/>
        </w:rPr>
        <w:t>(1)</w:t>
      </w:r>
      <w:r w:rsidR="000B0337" w:rsidRPr="00842E68">
        <w:rPr>
          <w:rFonts w:ascii="Times New Roman" w:hAnsi="Times New Roman"/>
        </w:rPr>
        <w:t xml:space="preserve"> to </w:t>
      </w:r>
      <w:r w:rsidRPr="00842E68">
        <w:rPr>
          <w:rFonts w:ascii="Times New Roman" w:hAnsi="Times New Roman"/>
        </w:rPr>
        <w:t xml:space="preserve">(11), and various general matters in </w:t>
      </w:r>
      <w:r w:rsidR="007B08C5" w:rsidRPr="00842E68">
        <w:rPr>
          <w:rFonts w:ascii="Times New Roman" w:hAnsi="Times New Roman"/>
        </w:rPr>
        <w:t>paras</w:t>
      </w:r>
      <w:r w:rsidR="00A84C93" w:rsidRPr="00842E68">
        <w:rPr>
          <w:rFonts w:ascii="Times New Roman" w:hAnsi="Times New Roman"/>
        </w:rPr>
        <w:t> </w:t>
      </w:r>
      <w:r w:rsidRPr="00842E68">
        <w:rPr>
          <w:rFonts w:ascii="Times New Roman" w:hAnsi="Times New Roman"/>
        </w:rPr>
        <w:t>(12)</w:t>
      </w:r>
      <w:r w:rsidR="000B0337" w:rsidRPr="00842E68">
        <w:rPr>
          <w:rFonts w:ascii="Times New Roman" w:hAnsi="Times New Roman"/>
        </w:rPr>
        <w:t xml:space="preserve"> to </w:t>
      </w:r>
      <w:r w:rsidRPr="00842E68">
        <w:rPr>
          <w:rFonts w:ascii="Times New Roman" w:hAnsi="Times New Roman"/>
        </w:rPr>
        <w:t>(15). The immediate context of r</w:t>
      </w:r>
      <w:r w:rsidR="000D6573" w:rsidRPr="00842E68">
        <w:rPr>
          <w:rFonts w:ascii="Times New Roman" w:hAnsi="Times New Roman"/>
        </w:rPr>
        <w:t> </w:t>
      </w:r>
      <w:r w:rsidRPr="00842E68">
        <w:rPr>
          <w:rFonts w:ascii="Times New Roman" w:hAnsi="Times New Roman"/>
        </w:rPr>
        <w:t>105</w:t>
      </w:r>
      <w:r w:rsidR="000D6573"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(1)(a)</w:t>
      </w:r>
      <w:r w:rsidR="00F879D1" w:rsidRPr="00842E68">
        <w:rPr>
          <w:rFonts w:ascii="Times New Roman" w:hAnsi="Times New Roman"/>
        </w:rPr>
        <w:t xml:space="preserve"> concerning death or bodily injury</w:t>
      </w:r>
      <w:r w:rsidRPr="00842E68">
        <w:rPr>
          <w:rFonts w:ascii="Times New Roman" w:hAnsi="Times New Roman"/>
        </w:rPr>
        <w:t xml:space="preserve"> is </w:t>
      </w:r>
      <w:r w:rsidR="000B0337" w:rsidRPr="00842E68">
        <w:rPr>
          <w:rFonts w:ascii="Times New Roman" w:hAnsi="Times New Roman"/>
        </w:rPr>
        <w:t xml:space="preserve">paras </w:t>
      </w:r>
      <w:r w:rsidRPr="00842E68">
        <w:rPr>
          <w:rFonts w:ascii="Times New Roman" w:hAnsi="Times New Roman"/>
        </w:rPr>
        <w:t>(1)</w:t>
      </w:r>
      <w:r w:rsidR="00650B28" w:rsidRPr="00842E68">
        <w:rPr>
          <w:rFonts w:ascii="Times New Roman" w:hAnsi="Times New Roman"/>
        </w:rPr>
        <w:t xml:space="preserve"> to </w:t>
      </w:r>
      <w:r w:rsidRPr="00842E68">
        <w:rPr>
          <w:rFonts w:ascii="Times New Roman" w:hAnsi="Times New Roman"/>
        </w:rPr>
        <w:t>(5)</w:t>
      </w:r>
      <w:r w:rsidR="00264968" w:rsidRPr="00842E68">
        <w:rPr>
          <w:rFonts w:ascii="Times New Roman" w:hAnsi="Times New Roman"/>
        </w:rPr>
        <w:t>,</w:t>
      </w:r>
      <w:r w:rsidRPr="00842E68">
        <w:rPr>
          <w:rFonts w:ascii="Times New Roman" w:hAnsi="Times New Roman"/>
        </w:rPr>
        <w:t xml:space="preserve"> which are as follows:</w:t>
      </w:r>
    </w:p>
    <w:p w14:paraId="734EB7F0" w14:textId="1059B612" w:rsidR="00404CE4" w:rsidRPr="00842E68" w:rsidRDefault="00AC1C5D" w:rsidP="00842E68">
      <w:pPr>
        <w:pStyle w:val="LeftrightafterHC"/>
        <w:keepNext/>
        <w:spacing w:before="0" w:after="260" w:line="280" w:lineRule="exact"/>
        <w:ind w:right="0"/>
        <w:jc w:val="both"/>
        <w:rPr>
          <w:rFonts w:ascii="Times New Roman" w:hAnsi="Times New Roman"/>
        </w:rPr>
      </w:pPr>
      <w:r w:rsidRPr="00842E68">
        <w:rPr>
          <w:rFonts w:ascii="Times New Roman" w:hAnsi="Times New Roman"/>
        </w:rPr>
        <w:t>"105</w:t>
      </w:r>
      <w:r w:rsidR="00404CE4" w:rsidRPr="00842E68">
        <w:rPr>
          <w:rFonts w:ascii="Times New Roman" w:hAnsi="Times New Roman"/>
        </w:rPr>
        <w:t xml:space="preserve"> Liability of Carriers</w:t>
      </w:r>
      <w:r w:rsidR="00264968" w:rsidRPr="00842E68">
        <w:rPr>
          <w:rFonts w:ascii="Times New Roman" w:hAnsi="Times New Roman"/>
        </w:rPr>
        <w:t xml:space="preserve"> </w:t>
      </w:r>
      <w:r w:rsidR="00404CE4" w:rsidRPr="00842E68">
        <w:rPr>
          <w:rFonts w:ascii="Times New Roman" w:hAnsi="Times New Roman"/>
        </w:rPr>
        <w:t>...</w:t>
      </w:r>
    </w:p>
    <w:p w14:paraId="357150B0" w14:textId="2DB28999" w:rsidR="00FB17E5" w:rsidRPr="00842E68" w:rsidRDefault="00BE7B8B" w:rsidP="00842E68">
      <w:pPr>
        <w:pStyle w:val="LeftrightafterHC"/>
        <w:keepNext/>
        <w:spacing w:before="0" w:after="260" w:line="280" w:lineRule="exact"/>
        <w:ind w:right="0"/>
        <w:jc w:val="both"/>
        <w:rPr>
          <w:rFonts w:ascii="Times New Roman" w:hAnsi="Times New Roman"/>
        </w:rPr>
      </w:pPr>
      <w:r w:rsidRPr="00842E68">
        <w:rPr>
          <w:rFonts w:ascii="Times New Roman" w:hAnsi="Times New Roman"/>
        </w:rPr>
        <w:t>(</w:t>
      </w:r>
      <w:r w:rsidR="00AC1C5D" w:rsidRPr="00842E68">
        <w:rPr>
          <w:rFonts w:ascii="Times New Roman" w:hAnsi="Times New Roman"/>
        </w:rPr>
        <w:t>C</w:t>
      </w:r>
      <w:r w:rsidR="000D6573" w:rsidRPr="00842E68">
        <w:rPr>
          <w:rFonts w:ascii="Times New Roman" w:hAnsi="Times New Roman"/>
        </w:rPr>
        <w:t>)</w:t>
      </w:r>
      <w:r w:rsidR="00D47FD2" w:rsidRPr="00842E68">
        <w:rPr>
          <w:rFonts w:ascii="Times New Roman" w:hAnsi="Times New Roman"/>
        </w:rPr>
        <w:tab/>
      </w:r>
      <w:r w:rsidR="00FB17E5" w:rsidRPr="00842E68">
        <w:rPr>
          <w:rFonts w:ascii="Times New Roman" w:hAnsi="Times New Roman"/>
        </w:rPr>
        <w:t>Limitation of Liability</w:t>
      </w:r>
    </w:p>
    <w:p w14:paraId="52BDEDCE" w14:textId="146D054E" w:rsidR="00AC1C5D" w:rsidRPr="00842E68" w:rsidRDefault="00AC1C5D" w:rsidP="00842E68">
      <w:pPr>
        <w:pStyle w:val="LeftrightafterHC"/>
        <w:keepNext/>
        <w:spacing w:before="0" w:after="260" w:line="280" w:lineRule="exact"/>
        <w:ind w:left="1440" w:right="0" w:hanging="720"/>
        <w:jc w:val="both"/>
        <w:rPr>
          <w:rFonts w:ascii="Times New Roman" w:hAnsi="Times New Roman"/>
        </w:rPr>
      </w:pPr>
      <w:r w:rsidRPr="00842E68">
        <w:rPr>
          <w:rFonts w:ascii="Times New Roman" w:hAnsi="Times New Roman"/>
        </w:rPr>
        <w:t>(1)</w:t>
      </w:r>
      <w:r w:rsidRPr="00842E68">
        <w:rPr>
          <w:rFonts w:ascii="Times New Roman" w:hAnsi="Times New Roman"/>
        </w:rPr>
        <w:tab/>
        <w:t>Where the Montreal Convention applies, the limits of liability are as follows:</w:t>
      </w:r>
    </w:p>
    <w:p w14:paraId="5B58D4E5" w14:textId="77777777" w:rsidR="00AC1C5D" w:rsidRPr="00842E68" w:rsidRDefault="00AC1C5D" w:rsidP="00842E68">
      <w:pPr>
        <w:pStyle w:val="leftright"/>
        <w:spacing w:before="0" w:after="260" w:line="280" w:lineRule="exact"/>
        <w:ind w:left="2160" w:right="0" w:hanging="1440"/>
        <w:jc w:val="both"/>
        <w:rPr>
          <w:rFonts w:ascii="Times New Roman" w:hAnsi="Times New Roman"/>
        </w:rPr>
      </w:pPr>
      <w:r w:rsidRPr="00842E68">
        <w:rPr>
          <w:rFonts w:ascii="Times New Roman" w:hAnsi="Times New Roman"/>
        </w:rPr>
        <w:tab/>
        <w:t>(a)</w:t>
      </w:r>
      <w:r w:rsidRPr="00842E68">
        <w:rPr>
          <w:rFonts w:ascii="Times New Roman" w:hAnsi="Times New Roman"/>
        </w:rPr>
        <w:tab/>
        <w:t>There are no financial limits in respect of death or bodily injury.</w:t>
      </w:r>
    </w:p>
    <w:p w14:paraId="79EC45F5" w14:textId="4ADB784E" w:rsidR="00AC1C5D" w:rsidRPr="00842E68" w:rsidRDefault="00AC1C5D" w:rsidP="00842E68">
      <w:pPr>
        <w:pStyle w:val="leftright"/>
        <w:spacing w:before="0" w:after="260" w:line="280" w:lineRule="exact"/>
        <w:ind w:left="2160" w:right="0" w:hanging="1440"/>
        <w:jc w:val="both"/>
        <w:rPr>
          <w:rFonts w:ascii="Times New Roman" w:hAnsi="Times New Roman"/>
        </w:rPr>
      </w:pPr>
      <w:r w:rsidRPr="00842E68">
        <w:rPr>
          <w:rFonts w:ascii="Times New Roman" w:hAnsi="Times New Roman"/>
        </w:rPr>
        <w:tab/>
        <w:t>(b)</w:t>
      </w:r>
      <w:r w:rsidRPr="00842E68">
        <w:rPr>
          <w:rFonts w:ascii="Times New Roman" w:hAnsi="Times New Roman"/>
        </w:rPr>
        <w:tab/>
        <w:t>In respect of destruction, loss of, or damage or delay to baggage, 1,131 Special Drawing Rights (approximately EUR</w:t>
      </w:r>
      <w:r w:rsidR="00271137" w:rsidRPr="00842E68">
        <w:rPr>
          <w:rFonts w:ascii="Times New Roman" w:hAnsi="Times New Roman"/>
        </w:rPr>
        <w:t> </w:t>
      </w:r>
      <w:r w:rsidRPr="00842E68">
        <w:rPr>
          <w:rFonts w:ascii="Times New Roman" w:hAnsi="Times New Roman"/>
        </w:rPr>
        <w:t>1,357; US</w:t>
      </w:r>
      <w:r w:rsidR="00271137" w:rsidRPr="00842E68">
        <w:rPr>
          <w:rFonts w:ascii="Times New Roman" w:hAnsi="Times New Roman"/>
        </w:rPr>
        <w:t> </w:t>
      </w:r>
      <w:r w:rsidRPr="00842E68">
        <w:rPr>
          <w:rFonts w:ascii="Times New Roman" w:hAnsi="Times New Roman"/>
        </w:rPr>
        <w:t>$1,663) per passenger in most cases.</w:t>
      </w:r>
    </w:p>
    <w:p w14:paraId="7844B000" w14:textId="371F8244" w:rsidR="00AC1C5D" w:rsidRPr="00842E68" w:rsidRDefault="00AC1C5D" w:rsidP="00842E68">
      <w:pPr>
        <w:pStyle w:val="leftright"/>
        <w:spacing w:before="0" w:after="260" w:line="280" w:lineRule="exact"/>
        <w:ind w:left="2160" w:right="0" w:hanging="1440"/>
        <w:jc w:val="both"/>
        <w:rPr>
          <w:rFonts w:ascii="Times New Roman" w:hAnsi="Times New Roman"/>
        </w:rPr>
      </w:pPr>
      <w:r w:rsidRPr="00842E68">
        <w:rPr>
          <w:rFonts w:ascii="Times New Roman" w:hAnsi="Times New Roman"/>
        </w:rPr>
        <w:lastRenderedPageBreak/>
        <w:tab/>
        <w:t>(c)</w:t>
      </w:r>
      <w:r w:rsidRPr="00842E68">
        <w:rPr>
          <w:rFonts w:ascii="Times New Roman" w:hAnsi="Times New Roman"/>
        </w:rPr>
        <w:tab/>
        <w:t>For damage occasioned by delay to your journey, 4,694 Special Drawing Rights (approximately EUR</w:t>
      </w:r>
      <w:r w:rsidR="00271137" w:rsidRPr="00842E68">
        <w:rPr>
          <w:rFonts w:ascii="Times New Roman" w:hAnsi="Times New Roman"/>
        </w:rPr>
        <w:t> </w:t>
      </w:r>
      <w:r w:rsidRPr="00842E68">
        <w:rPr>
          <w:rFonts w:ascii="Times New Roman" w:hAnsi="Times New Roman"/>
        </w:rPr>
        <w:t>5,655; U</w:t>
      </w:r>
      <w:r w:rsidR="00271137" w:rsidRPr="00842E68">
        <w:rPr>
          <w:rFonts w:ascii="Times New Roman" w:hAnsi="Times New Roman"/>
        </w:rPr>
        <w:t>S </w:t>
      </w:r>
      <w:r w:rsidRPr="00842E68">
        <w:rPr>
          <w:rFonts w:ascii="Times New Roman" w:hAnsi="Times New Roman"/>
        </w:rPr>
        <w:t>$6,786) per passenger in most cases.</w:t>
      </w:r>
    </w:p>
    <w:p w14:paraId="7E20F4B2" w14:textId="77777777" w:rsidR="00AC1C5D" w:rsidRPr="00842E68" w:rsidRDefault="00AC1C5D" w:rsidP="00842E68">
      <w:pPr>
        <w:pStyle w:val="LeftrightafterHC"/>
        <w:spacing w:before="0" w:after="260" w:line="280" w:lineRule="exact"/>
        <w:ind w:left="1440" w:right="0" w:hanging="720"/>
        <w:jc w:val="both"/>
        <w:rPr>
          <w:rFonts w:ascii="Times New Roman" w:hAnsi="Times New Roman"/>
        </w:rPr>
      </w:pPr>
      <w:r w:rsidRPr="00842E68">
        <w:rPr>
          <w:rFonts w:ascii="Times New Roman" w:hAnsi="Times New Roman"/>
        </w:rPr>
        <w:t>(2)</w:t>
      </w:r>
      <w:r w:rsidRPr="00842E68">
        <w:rPr>
          <w:rFonts w:ascii="Times New Roman" w:hAnsi="Times New Roman"/>
        </w:rPr>
        <w:tab/>
        <w:t>Where the Warsaw Convention system applies, the following limits of liability may apply:</w:t>
      </w:r>
    </w:p>
    <w:p w14:paraId="515844E1" w14:textId="4DEB0000" w:rsidR="00AC1C5D" w:rsidRPr="00842E68" w:rsidRDefault="00AC1C5D" w:rsidP="00842E68">
      <w:pPr>
        <w:pStyle w:val="leftright"/>
        <w:spacing w:before="0" w:after="260" w:line="280" w:lineRule="exact"/>
        <w:ind w:left="2160" w:right="0" w:hanging="1440"/>
        <w:jc w:val="both"/>
        <w:rPr>
          <w:rFonts w:ascii="Times New Roman" w:hAnsi="Times New Roman"/>
        </w:rPr>
      </w:pPr>
      <w:r w:rsidRPr="00842E68">
        <w:rPr>
          <w:rFonts w:ascii="Times New Roman" w:hAnsi="Times New Roman"/>
        </w:rPr>
        <w:tab/>
        <w:t>(a)</w:t>
      </w:r>
      <w:r w:rsidRPr="00842E68">
        <w:rPr>
          <w:rFonts w:ascii="Times New Roman" w:hAnsi="Times New Roman"/>
        </w:rPr>
        <w:tab/>
        <w:t>16,600 Special Drawing Rights (approximately EUR</w:t>
      </w:r>
      <w:r w:rsidR="00271137" w:rsidRPr="00842E68">
        <w:rPr>
          <w:rFonts w:ascii="Times New Roman" w:hAnsi="Times New Roman"/>
        </w:rPr>
        <w:t> </w:t>
      </w:r>
      <w:r w:rsidRPr="00842E68">
        <w:rPr>
          <w:rFonts w:ascii="Times New Roman" w:hAnsi="Times New Roman"/>
        </w:rPr>
        <w:t>20,000; US</w:t>
      </w:r>
      <w:r w:rsidR="00271137" w:rsidRPr="00842E68">
        <w:rPr>
          <w:rFonts w:ascii="Times New Roman" w:hAnsi="Times New Roman"/>
        </w:rPr>
        <w:t> </w:t>
      </w:r>
      <w:r w:rsidRPr="00842E68">
        <w:rPr>
          <w:rFonts w:ascii="Times New Roman" w:hAnsi="Times New Roman"/>
        </w:rPr>
        <w:t>$20,000) in respect of death or bodily injury if the Hague Protocol to the Convention applies, or 8,300 Special Drawing Rights (approximately EUR</w:t>
      </w:r>
      <w:r w:rsidR="00271137" w:rsidRPr="00842E68">
        <w:rPr>
          <w:rFonts w:ascii="Times New Roman" w:hAnsi="Times New Roman"/>
        </w:rPr>
        <w:t> </w:t>
      </w:r>
      <w:r w:rsidRPr="00842E68">
        <w:rPr>
          <w:rFonts w:ascii="Times New Roman" w:hAnsi="Times New Roman"/>
        </w:rPr>
        <w:t>10,000; US</w:t>
      </w:r>
      <w:r w:rsidR="00271137" w:rsidRPr="00842E68">
        <w:rPr>
          <w:rFonts w:ascii="Times New Roman" w:hAnsi="Times New Roman"/>
        </w:rPr>
        <w:t> </w:t>
      </w:r>
      <w:r w:rsidRPr="00842E68">
        <w:rPr>
          <w:rFonts w:ascii="Times New Roman" w:hAnsi="Times New Roman"/>
        </w:rPr>
        <w:t>$10,000) if only the Warsaw Convention applies</w:t>
      </w:r>
      <w:r w:rsidR="00CE7961" w:rsidRPr="00842E68">
        <w:rPr>
          <w:rFonts w:ascii="Times New Roman" w:hAnsi="Times New Roman"/>
        </w:rPr>
        <w:t>[.]</w:t>
      </w:r>
      <w:r w:rsidRPr="00842E68">
        <w:rPr>
          <w:rFonts w:ascii="Times New Roman" w:hAnsi="Times New Roman"/>
        </w:rPr>
        <w:t xml:space="preserve"> US regulations require that, for journeys to, from or with an agreed stopping place in the US, the limit may not be less than US</w:t>
      </w:r>
      <w:r w:rsidR="00271137" w:rsidRPr="00842E68">
        <w:rPr>
          <w:rFonts w:ascii="Times New Roman" w:hAnsi="Times New Roman"/>
        </w:rPr>
        <w:t> </w:t>
      </w:r>
      <w:r w:rsidRPr="00842E68">
        <w:rPr>
          <w:rFonts w:ascii="Times New Roman" w:hAnsi="Times New Roman"/>
        </w:rPr>
        <w:t>$75,000.</w:t>
      </w:r>
    </w:p>
    <w:p w14:paraId="42573B16" w14:textId="16F7A241" w:rsidR="00AC1C5D" w:rsidRPr="00842E68" w:rsidRDefault="00AC1C5D" w:rsidP="00842E68">
      <w:pPr>
        <w:pStyle w:val="leftright"/>
        <w:spacing w:before="0" w:after="260" w:line="280" w:lineRule="exact"/>
        <w:ind w:left="2160" w:right="0" w:hanging="1440"/>
        <w:jc w:val="both"/>
        <w:rPr>
          <w:rFonts w:ascii="Times New Roman" w:hAnsi="Times New Roman"/>
        </w:rPr>
      </w:pPr>
      <w:r w:rsidRPr="00842E68">
        <w:rPr>
          <w:rFonts w:ascii="Times New Roman" w:hAnsi="Times New Roman"/>
        </w:rPr>
        <w:tab/>
        <w:t>(b)</w:t>
      </w:r>
      <w:r w:rsidRPr="00842E68">
        <w:rPr>
          <w:rFonts w:ascii="Times New Roman" w:hAnsi="Times New Roman"/>
        </w:rPr>
        <w:tab/>
        <w:t>17 Special Drawing Rights (approximately EUR 20; US</w:t>
      </w:r>
      <w:r w:rsidR="00271137" w:rsidRPr="00842E68">
        <w:rPr>
          <w:rFonts w:ascii="Times New Roman" w:hAnsi="Times New Roman"/>
        </w:rPr>
        <w:t> </w:t>
      </w:r>
      <w:r w:rsidRPr="00842E68">
        <w:rPr>
          <w:rFonts w:ascii="Times New Roman" w:hAnsi="Times New Roman"/>
        </w:rPr>
        <w:t>$20) per kg for loss of or damage or delay to checked baggage and 332 Special Drawing Rights (approximately EUR</w:t>
      </w:r>
      <w:r w:rsidR="00271137" w:rsidRPr="00842E68">
        <w:rPr>
          <w:rFonts w:ascii="Times New Roman" w:hAnsi="Times New Roman"/>
        </w:rPr>
        <w:t> </w:t>
      </w:r>
      <w:r w:rsidRPr="00842E68">
        <w:rPr>
          <w:rFonts w:ascii="Times New Roman" w:hAnsi="Times New Roman"/>
        </w:rPr>
        <w:t>400; US</w:t>
      </w:r>
      <w:r w:rsidR="00271137" w:rsidRPr="00842E68">
        <w:rPr>
          <w:rFonts w:ascii="Times New Roman" w:hAnsi="Times New Roman"/>
        </w:rPr>
        <w:t> </w:t>
      </w:r>
      <w:r w:rsidRPr="00842E68">
        <w:rPr>
          <w:rFonts w:ascii="Times New Roman" w:hAnsi="Times New Roman"/>
        </w:rPr>
        <w:t>$400) for unchecked baggage.</w:t>
      </w:r>
    </w:p>
    <w:p w14:paraId="2782A28B" w14:textId="77777777" w:rsidR="00AC1C5D" w:rsidRPr="00842E68" w:rsidRDefault="00AC1C5D" w:rsidP="00842E68">
      <w:pPr>
        <w:pStyle w:val="leftright"/>
        <w:spacing w:before="0" w:after="260" w:line="280" w:lineRule="exact"/>
        <w:ind w:left="2160" w:right="0" w:hanging="1440"/>
        <w:jc w:val="both"/>
        <w:rPr>
          <w:rFonts w:ascii="Times New Roman" w:hAnsi="Times New Roman"/>
        </w:rPr>
      </w:pPr>
      <w:r w:rsidRPr="00842E68">
        <w:rPr>
          <w:rFonts w:ascii="Times New Roman" w:hAnsi="Times New Roman"/>
        </w:rPr>
        <w:tab/>
        <w:t>(c)</w:t>
      </w:r>
      <w:r w:rsidRPr="00842E68">
        <w:rPr>
          <w:rFonts w:ascii="Times New Roman" w:hAnsi="Times New Roman"/>
        </w:rPr>
        <w:tab/>
        <w:t>The carrier may also be liable for damage occasioned by delay.</w:t>
      </w:r>
    </w:p>
    <w:p w14:paraId="59A28962" w14:textId="61DA59C6" w:rsidR="00AC1C5D" w:rsidRPr="00842E68" w:rsidRDefault="00AC1C5D" w:rsidP="00842E68">
      <w:pPr>
        <w:pStyle w:val="LeftrightafterHC"/>
        <w:spacing w:before="0" w:after="260" w:line="280" w:lineRule="exact"/>
        <w:ind w:left="1440" w:right="0" w:hanging="720"/>
        <w:jc w:val="both"/>
        <w:rPr>
          <w:rFonts w:ascii="Times New Roman" w:hAnsi="Times New Roman"/>
        </w:rPr>
      </w:pPr>
      <w:r w:rsidRPr="00842E68">
        <w:rPr>
          <w:rFonts w:ascii="Times New Roman" w:hAnsi="Times New Roman"/>
        </w:rPr>
        <w:t>(3)</w:t>
      </w:r>
      <w:r w:rsidRPr="00842E68">
        <w:rPr>
          <w:rFonts w:ascii="Times New Roman" w:hAnsi="Times New Roman"/>
        </w:rPr>
        <w:tab/>
        <w:t>Where neither the Montreal Convention nor the Warsaw Convention system applies the liability limit for loss or delay of, or damage to baggage is $1,500</w:t>
      </w:r>
      <w:r w:rsidR="00271137" w:rsidRPr="00842E68">
        <w:rPr>
          <w:rFonts w:ascii="Times New Roman" w:hAnsi="Times New Roman"/>
        </w:rPr>
        <w:t> </w:t>
      </w:r>
      <w:r w:rsidRPr="00842E68">
        <w:rPr>
          <w:rFonts w:ascii="Times New Roman" w:hAnsi="Times New Roman"/>
        </w:rPr>
        <w:t>CAD per passenger.</w:t>
      </w:r>
    </w:p>
    <w:p w14:paraId="4B7D5B1A" w14:textId="77777777" w:rsidR="00AC1C5D" w:rsidRPr="00842E68" w:rsidRDefault="00AC1C5D" w:rsidP="00842E68">
      <w:pPr>
        <w:pStyle w:val="LeftrightafterHC"/>
        <w:spacing w:before="0" w:after="260" w:line="280" w:lineRule="exact"/>
        <w:ind w:left="1440" w:right="0" w:hanging="720"/>
        <w:jc w:val="both"/>
        <w:rPr>
          <w:rFonts w:ascii="Times New Roman" w:hAnsi="Times New Roman"/>
        </w:rPr>
      </w:pPr>
      <w:r w:rsidRPr="00842E68">
        <w:rPr>
          <w:rFonts w:ascii="Times New Roman" w:hAnsi="Times New Roman"/>
        </w:rPr>
        <w:t>(4)</w:t>
      </w:r>
      <w:r w:rsidRPr="00842E68">
        <w:rPr>
          <w:rFonts w:ascii="Times New Roman" w:hAnsi="Times New Roman"/>
        </w:rPr>
        <w:tab/>
        <w:t>Except as provided herein, or in other applicable law:</w:t>
      </w:r>
    </w:p>
    <w:p w14:paraId="231CE0DE" w14:textId="77777777" w:rsidR="00AC1C5D" w:rsidRPr="00842E68" w:rsidRDefault="00AC1C5D" w:rsidP="00842E68">
      <w:pPr>
        <w:pStyle w:val="leftright"/>
        <w:spacing w:before="0" w:after="260" w:line="280" w:lineRule="exact"/>
        <w:ind w:left="2160" w:right="0" w:hanging="1440"/>
        <w:jc w:val="both"/>
        <w:rPr>
          <w:rFonts w:ascii="Times New Roman" w:hAnsi="Times New Roman"/>
        </w:rPr>
      </w:pPr>
      <w:r w:rsidRPr="00842E68">
        <w:rPr>
          <w:rFonts w:ascii="Times New Roman" w:hAnsi="Times New Roman"/>
        </w:rPr>
        <w:tab/>
        <w:t>(a)</w:t>
      </w:r>
      <w:r w:rsidRPr="00842E68">
        <w:rPr>
          <w:rFonts w:ascii="Times New Roman" w:hAnsi="Times New Roman"/>
        </w:rPr>
        <w:tab/>
        <w:t>Carrier is not liable for any death, injury, delay, loss, or other damage of whatsoever nature (hereinafter in this tariff collectively referred to as 'damage') to passengers or unchecked baggage arising out of or in connection with carriage or other services performed by carrier incidental thereto, unless such damage is caused by the negligence of carrier.</w:t>
      </w:r>
    </w:p>
    <w:p w14:paraId="25EB781F" w14:textId="77777777" w:rsidR="00AC1C5D" w:rsidRPr="00842E68" w:rsidRDefault="00AC1C5D" w:rsidP="00842E68">
      <w:pPr>
        <w:pStyle w:val="leftright"/>
        <w:spacing w:before="0" w:after="260" w:line="280" w:lineRule="exact"/>
        <w:ind w:left="2160" w:right="0" w:hanging="1440"/>
        <w:jc w:val="both"/>
        <w:rPr>
          <w:rFonts w:ascii="Times New Roman" w:hAnsi="Times New Roman"/>
        </w:rPr>
      </w:pPr>
      <w:r w:rsidRPr="00842E68">
        <w:rPr>
          <w:rFonts w:ascii="Times New Roman" w:hAnsi="Times New Roman"/>
        </w:rPr>
        <w:tab/>
        <w:t>(b)</w:t>
      </w:r>
      <w:r w:rsidRPr="00842E68">
        <w:rPr>
          <w:rFonts w:ascii="Times New Roman" w:hAnsi="Times New Roman"/>
        </w:rPr>
        <w:tab/>
        <w:t>Carrier is not liable for any damage directly and solely arising out of its compliance with any laws, government regulations, orders, or requirements or from failure of passenger to comply with same.</w:t>
      </w:r>
    </w:p>
    <w:p w14:paraId="2AFEFD50" w14:textId="4F01722C" w:rsidR="00AC1C5D" w:rsidRPr="00842E68" w:rsidRDefault="00AC1C5D" w:rsidP="00790322">
      <w:pPr>
        <w:pStyle w:val="LeftrightafterHC"/>
        <w:spacing w:before="0" w:after="260" w:line="280" w:lineRule="exact"/>
        <w:ind w:left="1440" w:right="0" w:hanging="720"/>
        <w:jc w:val="both"/>
      </w:pPr>
      <w:r w:rsidRPr="00842E68">
        <w:rPr>
          <w:rFonts w:ascii="Times New Roman" w:hAnsi="Times New Roman"/>
        </w:rPr>
        <w:lastRenderedPageBreak/>
        <w:t>(5)</w:t>
      </w:r>
      <w:r w:rsidRPr="00842E68">
        <w:rPr>
          <w:rFonts w:ascii="Times New Roman" w:hAnsi="Times New Roman"/>
        </w:rPr>
        <w:tab/>
        <w:t xml:space="preserve">The </w:t>
      </w:r>
      <w:proofErr w:type="gramStart"/>
      <w:r w:rsidRPr="00842E68">
        <w:rPr>
          <w:rFonts w:ascii="Times New Roman" w:hAnsi="Times New Roman"/>
        </w:rPr>
        <w:t>aforementioned limits</w:t>
      </w:r>
      <w:proofErr w:type="gramEnd"/>
      <w:r w:rsidRPr="00842E68">
        <w:rPr>
          <w:rFonts w:ascii="Times New Roman" w:hAnsi="Times New Roman"/>
        </w:rPr>
        <w:t xml:space="preserve"> of liability apply unless a higher value is declared in advance and additional charges are paid as set out below. In that event the liability of the carrier shall be limited to such higher declared value. In no case shall the carrier's liability exceed the actual loss suffered by the passenger."</w:t>
      </w:r>
    </w:p>
    <w:p w14:paraId="1348BACF" w14:textId="777BEEED" w:rsidR="00AC1C5D" w:rsidRPr="00842E68" w:rsidRDefault="00AC1C5D" w:rsidP="00842E68">
      <w:pPr>
        <w:pStyle w:val="HeadingL2"/>
        <w:spacing w:after="260" w:line="280" w:lineRule="exact"/>
        <w:ind w:right="0"/>
        <w:jc w:val="both"/>
        <w:rPr>
          <w:rFonts w:ascii="Times New Roman" w:hAnsi="Times New Roman"/>
        </w:rPr>
      </w:pPr>
      <w:r w:rsidRPr="00842E68">
        <w:rPr>
          <w:rFonts w:ascii="Times New Roman" w:hAnsi="Times New Roman"/>
        </w:rPr>
        <w:t>The meaning of r 105</w:t>
      </w:r>
      <w:r w:rsidR="00BE7B8B"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(1)(a)</w:t>
      </w:r>
    </w:p>
    <w:p w14:paraId="68335B62" w14:textId="4B1D6CD8"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The interpretation of r</w:t>
      </w:r>
      <w:r w:rsidR="00BD0286" w:rsidRPr="00842E68">
        <w:rPr>
          <w:rFonts w:ascii="Times New Roman" w:hAnsi="Times New Roman"/>
        </w:rPr>
        <w:t> </w:t>
      </w:r>
      <w:r w:rsidRPr="00842E68">
        <w:rPr>
          <w:rFonts w:ascii="Times New Roman" w:hAnsi="Times New Roman"/>
        </w:rPr>
        <w:t>105</w:t>
      </w:r>
      <w:r w:rsidR="00BE7B8B"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 xml:space="preserve">(1)(a) requires consideration of the meaning of the words of that rule in their context and </w:t>
      </w:r>
      <w:proofErr w:type="gramStart"/>
      <w:r w:rsidRPr="00842E68">
        <w:rPr>
          <w:rFonts w:ascii="Times New Roman" w:hAnsi="Times New Roman"/>
        </w:rPr>
        <w:t>in light of</w:t>
      </w:r>
      <w:proofErr w:type="gramEnd"/>
      <w:r w:rsidRPr="00842E68">
        <w:rPr>
          <w:rFonts w:ascii="Times New Roman" w:hAnsi="Times New Roman"/>
        </w:rPr>
        <w:t xml:space="preserve"> their purpose. Contrary to the submissions of Air Canada relying upon reasoning of the Court of Appeal, it cannot be assumed that it made "no commercial sense for Air Canada to volunteer to accept unlimited liability for death or bodily injury ... on a no</w:t>
      </w:r>
      <w:r w:rsidR="00870EB2" w:rsidRPr="00842E68">
        <w:rPr>
          <w:rFonts w:ascii="Times New Roman" w:hAnsi="Times New Roman"/>
        </w:rPr>
        <w:t>-</w:t>
      </w:r>
      <w:r w:rsidRPr="00842E68">
        <w:rPr>
          <w:rFonts w:ascii="Times New Roman" w:hAnsi="Times New Roman"/>
        </w:rPr>
        <w:t>fault basis"</w:t>
      </w:r>
      <w:r w:rsidR="00315852" w:rsidRPr="00842E68">
        <w:rPr>
          <w:rFonts w:ascii="Times New Roman" w:hAnsi="Times New Roman"/>
        </w:rPr>
        <w:t xml:space="preserve"> </w:t>
      </w:r>
      <w:r w:rsidR="00C36379" w:rsidRPr="00842E68">
        <w:rPr>
          <w:rFonts w:ascii="Times New Roman" w:hAnsi="Times New Roman"/>
        </w:rPr>
        <w:t>by waiving the defence in Art</w:t>
      </w:r>
      <w:r w:rsidR="00BE64C5" w:rsidRPr="00842E68">
        <w:rPr>
          <w:rFonts w:ascii="Times New Roman" w:hAnsi="Times New Roman"/>
        </w:rPr>
        <w:t> </w:t>
      </w:r>
      <w:r w:rsidR="00C36379" w:rsidRPr="00842E68">
        <w:rPr>
          <w:rFonts w:ascii="Times New Roman" w:hAnsi="Times New Roman"/>
        </w:rPr>
        <w:t>21(2)</w:t>
      </w:r>
      <w:r w:rsidRPr="00842E68">
        <w:rPr>
          <w:rFonts w:ascii="Times New Roman" w:hAnsi="Times New Roman"/>
        </w:rPr>
        <w:t xml:space="preserve"> </w:t>
      </w:r>
      <w:r w:rsidR="00EF51A9" w:rsidRPr="00842E68">
        <w:rPr>
          <w:rFonts w:ascii="Times New Roman" w:hAnsi="Times New Roman"/>
        </w:rPr>
        <w:t xml:space="preserve">of the Montreal Convention </w:t>
      </w:r>
      <w:r w:rsidRPr="00842E68">
        <w:rPr>
          <w:rFonts w:ascii="Times New Roman" w:hAnsi="Times New Roman"/>
        </w:rPr>
        <w:t xml:space="preserve">or that an acceptance </w:t>
      </w:r>
      <w:r w:rsidR="00870EB2" w:rsidRPr="00842E68">
        <w:rPr>
          <w:rFonts w:ascii="Times New Roman" w:hAnsi="Times New Roman"/>
        </w:rPr>
        <w:t xml:space="preserve">of </w:t>
      </w:r>
      <w:r w:rsidRPr="00842E68">
        <w:rPr>
          <w:rFonts w:ascii="Times New Roman" w:hAnsi="Times New Roman"/>
        </w:rPr>
        <w:t xml:space="preserve">such liability by Air Canada </w:t>
      </w:r>
      <w:r w:rsidR="00C36379" w:rsidRPr="00842E68">
        <w:rPr>
          <w:rFonts w:ascii="Times New Roman" w:hAnsi="Times New Roman"/>
        </w:rPr>
        <w:t xml:space="preserve">without the </w:t>
      </w:r>
      <w:r w:rsidR="0004277B" w:rsidRPr="00842E68">
        <w:rPr>
          <w:rFonts w:ascii="Times New Roman" w:hAnsi="Times New Roman"/>
        </w:rPr>
        <w:t>benefit of the</w:t>
      </w:r>
      <w:r w:rsidR="00C36379" w:rsidRPr="00842E68">
        <w:rPr>
          <w:rFonts w:ascii="Times New Roman" w:hAnsi="Times New Roman"/>
        </w:rPr>
        <w:t xml:space="preserve"> Art</w:t>
      </w:r>
      <w:r w:rsidR="00BE64C5" w:rsidRPr="00842E68">
        <w:rPr>
          <w:rFonts w:ascii="Times New Roman" w:hAnsi="Times New Roman"/>
        </w:rPr>
        <w:t> </w:t>
      </w:r>
      <w:r w:rsidR="00C36379" w:rsidRPr="00842E68">
        <w:rPr>
          <w:rFonts w:ascii="Times New Roman" w:hAnsi="Times New Roman"/>
        </w:rPr>
        <w:t xml:space="preserve">21(2) defence </w:t>
      </w:r>
      <w:r w:rsidRPr="00842E68">
        <w:rPr>
          <w:rFonts w:ascii="Times New Roman" w:hAnsi="Times New Roman"/>
        </w:rPr>
        <w:t>was "unprecedented in a century of international commercial aviation".</w:t>
      </w:r>
      <w:r w:rsidRPr="00842E68">
        <w:rPr>
          <w:rStyle w:val="FootnoteReference"/>
          <w:rFonts w:ascii="Times New Roman" w:hAnsi="Times New Roman"/>
          <w:sz w:val="24"/>
        </w:rPr>
        <w:footnoteReference w:id="81"/>
      </w:r>
      <w:r w:rsidRPr="00842E68">
        <w:rPr>
          <w:rFonts w:ascii="Times New Roman" w:hAnsi="Times New Roman"/>
        </w:rPr>
        <w:t xml:space="preserve"> Indeed, </w:t>
      </w:r>
      <w:r w:rsidR="00C27527" w:rsidRPr="00842E68">
        <w:rPr>
          <w:rFonts w:ascii="Times New Roman" w:hAnsi="Times New Roman"/>
        </w:rPr>
        <w:t xml:space="preserve">on another view, </w:t>
      </w:r>
      <w:r w:rsidRPr="00842E68">
        <w:rPr>
          <w:rFonts w:ascii="Times New Roman" w:hAnsi="Times New Roman"/>
        </w:rPr>
        <w:t>Professor</w:t>
      </w:r>
      <w:r w:rsidR="000D6573" w:rsidRPr="00842E68">
        <w:rPr>
          <w:rFonts w:ascii="Times New Roman" w:hAnsi="Times New Roman"/>
        </w:rPr>
        <w:t> </w:t>
      </w:r>
      <w:r w:rsidRPr="00842E68">
        <w:rPr>
          <w:rFonts w:ascii="Times New Roman" w:hAnsi="Times New Roman"/>
        </w:rPr>
        <w:t>Cheng observed in 2004, with reference to statements from market participants, that:</w:t>
      </w:r>
      <w:r w:rsidRPr="00842E68">
        <w:rPr>
          <w:rStyle w:val="FootnoteReference"/>
          <w:rFonts w:ascii="Times New Roman" w:hAnsi="Times New Roman"/>
          <w:sz w:val="24"/>
        </w:rPr>
        <w:footnoteReference w:id="82"/>
      </w:r>
    </w:p>
    <w:p w14:paraId="09E281C8" w14:textId="77777777" w:rsidR="00842E68" w:rsidRDefault="00AC1C5D" w:rsidP="00842E68">
      <w:pPr>
        <w:pStyle w:val="LeftrightafterHC"/>
        <w:spacing w:before="0" w:after="260" w:line="280" w:lineRule="exact"/>
        <w:ind w:right="0"/>
        <w:jc w:val="both"/>
        <w:rPr>
          <w:rFonts w:ascii="Times New Roman" w:hAnsi="Times New Roman"/>
        </w:rPr>
      </w:pPr>
      <w:r w:rsidRPr="00842E68">
        <w:rPr>
          <w:rFonts w:ascii="Times New Roman" w:hAnsi="Times New Roman"/>
        </w:rPr>
        <w:t>"</w:t>
      </w:r>
      <w:proofErr w:type="gramStart"/>
      <w:r w:rsidRPr="00842E68">
        <w:rPr>
          <w:rFonts w:ascii="Times New Roman" w:hAnsi="Times New Roman"/>
        </w:rPr>
        <w:t>in</w:t>
      </w:r>
      <w:proofErr w:type="gramEnd"/>
      <w:r w:rsidRPr="00842E68">
        <w:rPr>
          <w:rFonts w:ascii="Times New Roman" w:hAnsi="Times New Roman"/>
        </w:rPr>
        <w:t xml:space="preserve"> serious death and injury cases, major airlines tend increasingly to ignore the limits, and to pay full awardable damages. In fact, in view of the enormous cost of modern aircraft and of operating international air services, not to mention air travel claiming to be the safest means of transport, the difference in cost between insuring passenger liability for SDR100,000 a head or even for what could be compensation in full becomes negligible". </w:t>
      </w:r>
    </w:p>
    <w:p w14:paraId="2BA52553" w14:textId="35BDD581"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There is also no room in this context for the application of any expectation or "presumption", as relied upon by Air Canada, to the effect that "for a party to be held to have abandoned or contracted out of valuable rights arising by operation of law, the provision relied upon must make it clear that that is what was intended</w:t>
      </w:r>
      <w:r w:rsidR="008E3370" w:rsidRPr="00842E68">
        <w:rPr>
          <w:rFonts w:ascii="Times New Roman" w:hAnsi="Times New Roman"/>
        </w:rPr>
        <w:t>.</w:t>
      </w:r>
      <w:r w:rsidR="00100522">
        <w:rPr>
          <w:rFonts w:ascii="Times New Roman" w:hAnsi="Times New Roman"/>
        </w:rPr>
        <w:t> </w:t>
      </w:r>
      <w:r w:rsidRPr="00842E68">
        <w:rPr>
          <w:rFonts w:ascii="Times New Roman" w:hAnsi="Times New Roman"/>
        </w:rPr>
        <w:t xml:space="preserve">... 'The more valuable the right, the clearer the language will need to </w:t>
      </w:r>
      <w:r w:rsidRPr="00842E68">
        <w:rPr>
          <w:rFonts w:ascii="Times New Roman" w:hAnsi="Times New Roman"/>
        </w:rPr>
        <w:lastRenderedPageBreak/>
        <w:t>be</w:t>
      </w:r>
      <w:r w:rsidR="008E3370" w:rsidRPr="00842E68">
        <w:rPr>
          <w:rFonts w:ascii="Times New Roman" w:hAnsi="Times New Roman"/>
        </w:rPr>
        <w:t>.</w:t>
      </w:r>
      <w:r w:rsidRPr="00842E68">
        <w:rPr>
          <w:rFonts w:ascii="Times New Roman" w:hAnsi="Times New Roman"/>
        </w:rPr>
        <w:t>'"</w:t>
      </w:r>
      <w:r w:rsidRPr="00842E68">
        <w:rPr>
          <w:rStyle w:val="FootnoteReference"/>
          <w:rFonts w:ascii="Times New Roman" w:hAnsi="Times New Roman"/>
          <w:sz w:val="24"/>
        </w:rPr>
        <w:footnoteReference w:id="83"/>
      </w:r>
      <w:r w:rsidRPr="00842E68">
        <w:rPr>
          <w:rFonts w:ascii="Times New Roman" w:hAnsi="Times New Roman"/>
        </w:rPr>
        <w:t xml:space="preserve"> </w:t>
      </w:r>
      <w:r w:rsidR="00B273D1" w:rsidRPr="00842E68">
        <w:rPr>
          <w:rFonts w:ascii="Times New Roman" w:hAnsi="Times New Roman"/>
        </w:rPr>
        <w:t>Any such</w:t>
      </w:r>
      <w:r w:rsidRPr="00842E68">
        <w:rPr>
          <w:rFonts w:ascii="Times New Roman" w:hAnsi="Times New Roman"/>
        </w:rPr>
        <w:t xml:space="preserve"> principle </w:t>
      </w:r>
      <w:r w:rsidR="00B878F3" w:rsidRPr="00842E68">
        <w:rPr>
          <w:rFonts w:ascii="Times New Roman" w:hAnsi="Times New Roman"/>
        </w:rPr>
        <w:t>could have no application</w:t>
      </w:r>
      <w:r w:rsidRPr="00842E68">
        <w:rPr>
          <w:rFonts w:ascii="Times New Roman" w:hAnsi="Times New Roman"/>
        </w:rPr>
        <w:t xml:space="preserve"> where the "right" in question is </w:t>
      </w:r>
      <w:r w:rsidR="00573981" w:rsidRPr="00842E68">
        <w:rPr>
          <w:rFonts w:ascii="Times New Roman" w:hAnsi="Times New Roman"/>
        </w:rPr>
        <w:t>the application of</w:t>
      </w:r>
      <w:r w:rsidRPr="00842E68">
        <w:rPr>
          <w:rFonts w:ascii="Times New Roman" w:hAnsi="Times New Roman"/>
        </w:rPr>
        <w:t xml:space="preserve"> a regime that (in Art</w:t>
      </w:r>
      <w:r w:rsidR="000D6573" w:rsidRPr="00842E68">
        <w:rPr>
          <w:rFonts w:ascii="Times New Roman" w:hAnsi="Times New Roman"/>
        </w:rPr>
        <w:t> </w:t>
      </w:r>
      <w:r w:rsidRPr="00842E68">
        <w:rPr>
          <w:rFonts w:ascii="Times New Roman" w:hAnsi="Times New Roman"/>
        </w:rPr>
        <w:t>21) establishes the limit</w:t>
      </w:r>
      <w:r w:rsidR="009C1B53" w:rsidRPr="00842E68">
        <w:rPr>
          <w:rFonts w:ascii="Times New Roman" w:hAnsi="Times New Roman"/>
        </w:rPr>
        <w:t xml:space="preserve"> or threshold</w:t>
      </w:r>
      <w:r w:rsidRPr="00842E68">
        <w:rPr>
          <w:rFonts w:ascii="Times New Roman" w:hAnsi="Times New Roman"/>
        </w:rPr>
        <w:t xml:space="preserve"> </w:t>
      </w:r>
      <w:r w:rsidR="00416D45" w:rsidRPr="00842E68">
        <w:rPr>
          <w:rFonts w:ascii="Times New Roman" w:hAnsi="Times New Roman"/>
        </w:rPr>
        <w:t>for</w:t>
      </w:r>
      <w:r w:rsidRPr="00842E68">
        <w:rPr>
          <w:rFonts w:ascii="Times New Roman" w:hAnsi="Times New Roman"/>
        </w:rPr>
        <w:t xml:space="preserve"> tiers of liability </w:t>
      </w:r>
      <w:r w:rsidR="006A65CD" w:rsidRPr="00842E68">
        <w:rPr>
          <w:rFonts w:ascii="Times New Roman" w:hAnsi="Times New Roman"/>
        </w:rPr>
        <w:t xml:space="preserve">for </w:t>
      </w:r>
      <w:r w:rsidR="006D6C86" w:rsidRPr="00842E68">
        <w:rPr>
          <w:rFonts w:ascii="Times New Roman" w:hAnsi="Times New Roman"/>
        </w:rPr>
        <w:t>the a</w:t>
      </w:r>
      <w:r w:rsidR="00696304" w:rsidRPr="00842E68">
        <w:rPr>
          <w:rFonts w:ascii="Times New Roman" w:hAnsi="Times New Roman"/>
        </w:rPr>
        <w:t>pplication</w:t>
      </w:r>
      <w:r w:rsidR="006D6C86" w:rsidRPr="00842E68">
        <w:rPr>
          <w:rFonts w:ascii="Times New Roman" w:hAnsi="Times New Roman"/>
        </w:rPr>
        <w:t xml:space="preserve"> of </w:t>
      </w:r>
      <w:r w:rsidR="006A65CD" w:rsidRPr="00842E68">
        <w:rPr>
          <w:rFonts w:ascii="Times New Roman" w:hAnsi="Times New Roman"/>
        </w:rPr>
        <w:t xml:space="preserve">a defence but </w:t>
      </w:r>
      <w:r w:rsidRPr="00842E68">
        <w:rPr>
          <w:rFonts w:ascii="Times New Roman" w:hAnsi="Times New Roman"/>
        </w:rPr>
        <w:t>also contemplates (in Art</w:t>
      </w:r>
      <w:r w:rsidR="000D6573" w:rsidRPr="00842E68">
        <w:rPr>
          <w:rFonts w:ascii="Times New Roman" w:hAnsi="Times New Roman"/>
        </w:rPr>
        <w:t> </w:t>
      </w:r>
      <w:r w:rsidRPr="00842E68">
        <w:rPr>
          <w:rFonts w:ascii="Times New Roman" w:hAnsi="Times New Roman"/>
        </w:rPr>
        <w:t xml:space="preserve">25) that </w:t>
      </w:r>
      <w:r w:rsidR="00416D45" w:rsidRPr="00842E68">
        <w:rPr>
          <w:rFonts w:ascii="Times New Roman" w:hAnsi="Times New Roman"/>
        </w:rPr>
        <w:t xml:space="preserve">that </w:t>
      </w:r>
      <w:r w:rsidRPr="00842E68">
        <w:rPr>
          <w:rFonts w:ascii="Times New Roman" w:hAnsi="Times New Roman"/>
        </w:rPr>
        <w:t>limit</w:t>
      </w:r>
      <w:r w:rsidR="009C1B53" w:rsidRPr="00842E68">
        <w:rPr>
          <w:rFonts w:ascii="Times New Roman" w:hAnsi="Times New Roman"/>
        </w:rPr>
        <w:t xml:space="preserve"> or threshold</w:t>
      </w:r>
      <w:r w:rsidRPr="00842E68">
        <w:rPr>
          <w:rFonts w:ascii="Times New Roman" w:hAnsi="Times New Roman"/>
        </w:rPr>
        <w:t xml:space="preserve"> can be </w:t>
      </w:r>
      <w:r w:rsidR="007641A9" w:rsidRPr="00842E68">
        <w:rPr>
          <w:rFonts w:ascii="Times New Roman" w:hAnsi="Times New Roman"/>
        </w:rPr>
        <w:t xml:space="preserve">raised </w:t>
      </w:r>
      <w:r w:rsidRPr="00842E68">
        <w:rPr>
          <w:rFonts w:ascii="Times New Roman" w:hAnsi="Times New Roman"/>
        </w:rPr>
        <w:t xml:space="preserve">or abolished by the stipulation of a carrier.  </w:t>
      </w:r>
    </w:p>
    <w:p w14:paraId="7995B631" w14:textId="0B21CB49"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Although the meaning of r</w:t>
      </w:r>
      <w:r w:rsidR="000D6573" w:rsidRPr="00842E68">
        <w:rPr>
          <w:rFonts w:ascii="Times New Roman" w:hAnsi="Times New Roman"/>
        </w:rPr>
        <w:t> </w:t>
      </w:r>
      <w:r w:rsidRPr="00842E68">
        <w:rPr>
          <w:rFonts w:ascii="Times New Roman" w:hAnsi="Times New Roman"/>
        </w:rPr>
        <w:t>105</w:t>
      </w:r>
      <w:r w:rsidR="00BE7B8B"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(1)(</w:t>
      </w:r>
      <w:r w:rsidR="00340322" w:rsidRPr="00842E68">
        <w:rPr>
          <w:rFonts w:ascii="Times New Roman" w:hAnsi="Times New Roman"/>
        </w:rPr>
        <w:t>a</w:t>
      </w:r>
      <w:r w:rsidRPr="00842E68">
        <w:rPr>
          <w:rFonts w:ascii="Times New Roman" w:hAnsi="Times New Roman"/>
        </w:rPr>
        <w:t xml:space="preserve">) is not to be determined by </w:t>
      </w:r>
      <w:r w:rsidR="00C0653D" w:rsidRPr="00842E68">
        <w:rPr>
          <w:rFonts w:ascii="Times New Roman" w:hAnsi="Times New Roman"/>
        </w:rPr>
        <w:t>such</w:t>
      </w:r>
      <w:r w:rsidRPr="00842E68">
        <w:rPr>
          <w:rFonts w:ascii="Times New Roman" w:hAnsi="Times New Roman"/>
        </w:rPr>
        <w:t xml:space="preserve"> a priori assumptions, the provision must nevertheless be interpreted </w:t>
      </w:r>
      <w:r w:rsidR="008F20A9" w:rsidRPr="00842E68">
        <w:rPr>
          <w:rFonts w:ascii="Times New Roman" w:hAnsi="Times New Roman"/>
        </w:rPr>
        <w:t>having</w:t>
      </w:r>
      <w:r w:rsidRPr="00842E68">
        <w:rPr>
          <w:rFonts w:ascii="Times New Roman" w:hAnsi="Times New Roman"/>
        </w:rPr>
        <w:t xml:space="preserve"> regard to its context and purpose. That context and purpose make clear that r</w:t>
      </w:r>
      <w:r w:rsidR="000D6573" w:rsidRPr="00842E68">
        <w:rPr>
          <w:rFonts w:ascii="Times New Roman" w:hAnsi="Times New Roman"/>
        </w:rPr>
        <w:t> </w:t>
      </w:r>
      <w:r w:rsidRPr="00842E68">
        <w:rPr>
          <w:rFonts w:ascii="Times New Roman" w:hAnsi="Times New Roman"/>
        </w:rPr>
        <w:t>105</w:t>
      </w:r>
      <w:r w:rsidR="00BE7B8B" w:rsidRPr="00842E68">
        <w:rPr>
          <w:rFonts w:ascii="Times New Roman" w:hAnsi="Times New Roman"/>
        </w:rPr>
        <w:t>(</w:t>
      </w:r>
      <w:r w:rsidR="00F331B7" w:rsidRPr="00842E68">
        <w:rPr>
          <w:rFonts w:ascii="Times New Roman" w:hAnsi="Times New Roman"/>
        </w:rPr>
        <w:t>C)</w:t>
      </w:r>
      <w:r w:rsidRPr="00842E68">
        <w:rPr>
          <w:rFonts w:ascii="Times New Roman" w:hAnsi="Times New Roman"/>
        </w:rPr>
        <w:t>(1)(</w:t>
      </w:r>
      <w:r w:rsidR="00F331B7" w:rsidRPr="00842E68">
        <w:rPr>
          <w:rFonts w:ascii="Times New Roman" w:hAnsi="Times New Roman"/>
        </w:rPr>
        <w:t>a</w:t>
      </w:r>
      <w:r w:rsidRPr="00842E68">
        <w:rPr>
          <w:rFonts w:ascii="Times New Roman" w:hAnsi="Times New Roman"/>
        </w:rPr>
        <w:t xml:space="preserve">) </w:t>
      </w:r>
      <w:r w:rsidR="004821D1" w:rsidRPr="00842E68">
        <w:rPr>
          <w:rFonts w:ascii="Times New Roman" w:hAnsi="Times New Roman"/>
        </w:rPr>
        <w:t xml:space="preserve">only </w:t>
      </w:r>
      <w:r w:rsidRPr="00842E68">
        <w:rPr>
          <w:rFonts w:ascii="Times New Roman" w:hAnsi="Times New Roman"/>
        </w:rPr>
        <w:t>describes the effect of Arts</w:t>
      </w:r>
      <w:r w:rsidR="000D6573" w:rsidRPr="00842E68">
        <w:rPr>
          <w:rFonts w:ascii="Times New Roman" w:hAnsi="Times New Roman"/>
        </w:rPr>
        <w:t> </w:t>
      </w:r>
      <w:r w:rsidRPr="00842E68">
        <w:rPr>
          <w:rFonts w:ascii="Times New Roman" w:hAnsi="Times New Roman"/>
        </w:rPr>
        <w:t>17 and 21 of the Montreal Convention</w:t>
      </w:r>
      <w:r w:rsidR="008B4358" w:rsidRPr="00842E68">
        <w:rPr>
          <w:rFonts w:ascii="Times New Roman" w:hAnsi="Times New Roman"/>
        </w:rPr>
        <w:t>,</w:t>
      </w:r>
      <w:r w:rsidR="004821D1" w:rsidRPr="00842E68">
        <w:rPr>
          <w:rFonts w:ascii="Times New Roman" w:hAnsi="Times New Roman"/>
        </w:rPr>
        <w:t xml:space="preserve"> </w:t>
      </w:r>
      <w:r w:rsidR="008B4358" w:rsidRPr="00842E68">
        <w:rPr>
          <w:rFonts w:ascii="Times New Roman" w:hAnsi="Times New Roman"/>
        </w:rPr>
        <w:t xml:space="preserve">rather than stipulating a higher limit </w:t>
      </w:r>
      <w:r w:rsidR="005B434A" w:rsidRPr="00842E68">
        <w:rPr>
          <w:rFonts w:ascii="Times New Roman" w:hAnsi="Times New Roman"/>
        </w:rPr>
        <w:t xml:space="preserve">of </w:t>
      </w:r>
      <w:r w:rsidR="008B4358" w:rsidRPr="00842E68">
        <w:rPr>
          <w:rFonts w:ascii="Times New Roman" w:hAnsi="Times New Roman"/>
        </w:rPr>
        <w:t>liability</w:t>
      </w:r>
      <w:r w:rsidR="005B434A" w:rsidRPr="00842E68">
        <w:rPr>
          <w:rFonts w:ascii="Times New Roman" w:hAnsi="Times New Roman"/>
        </w:rPr>
        <w:t xml:space="preserve"> for the purposes of Art 25 of the Montreal Convention</w:t>
      </w:r>
      <w:r w:rsidRPr="00842E68">
        <w:rPr>
          <w:rFonts w:ascii="Times New Roman" w:hAnsi="Times New Roman"/>
        </w:rPr>
        <w:t xml:space="preserve">. This interpretation </w:t>
      </w:r>
      <w:r w:rsidR="006904E2" w:rsidRPr="00842E68">
        <w:rPr>
          <w:rFonts w:ascii="Times New Roman" w:hAnsi="Times New Roman"/>
        </w:rPr>
        <w:t xml:space="preserve">of r 105(C)(1)(a) </w:t>
      </w:r>
      <w:r w:rsidRPr="00842E68">
        <w:rPr>
          <w:rFonts w:ascii="Times New Roman" w:hAnsi="Times New Roman"/>
        </w:rPr>
        <w:t xml:space="preserve">is supported by </w:t>
      </w:r>
      <w:r w:rsidR="002823A2" w:rsidRPr="00842E68">
        <w:rPr>
          <w:rFonts w:ascii="Times New Roman" w:hAnsi="Times New Roman"/>
        </w:rPr>
        <w:t>five</w:t>
      </w:r>
      <w:r w:rsidRPr="00842E68">
        <w:rPr>
          <w:rFonts w:ascii="Times New Roman" w:hAnsi="Times New Roman"/>
        </w:rPr>
        <w:t xml:space="preserve"> matters of context and purpose.</w:t>
      </w:r>
    </w:p>
    <w:p w14:paraId="7F7B7C38" w14:textId="3ECAF2D1"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First, r</w:t>
      </w:r>
      <w:r w:rsidR="000D6573" w:rsidRPr="00842E68">
        <w:rPr>
          <w:rFonts w:ascii="Times New Roman" w:hAnsi="Times New Roman"/>
        </w:rPr>
        <w:t> </w:t>
      </w:r>
      <w:r w:rsidRPr="00842E68">
        <w:rPr>
          <w:rFonts w:ascii="Times New Roman" w:hAnsi="Times New Roman"/>
        </w:rPr>
        <w:t>105(</w:t>
      </w:r>
      <w:r w:rsidR="009327DE" w:rsidRPr="00842E68">
        <w:rPr>
          <w:rFonts w:ascii="Times New Roman" w:hAnsi="Times New Roman"/>
        </w:rPr>
        <w:t>C)</w:t>
      </w:r>
      <w:r w:rsidRPr="00842E68">
        <w:rPr>
          <w:rFonts w:ascii="Times New Roman" w:hAnsi="Times New Roman"/>
        </w:rPr>
        <w:t>(1)(</w:t>
      </w:r>
      <w:r w:rsidR="009327DE" w:rsidRPr="00842E68">
        <w:rPr>
          <w:rFonts w:ascii="Times New Roman" w:hAnsi="Times New Roman"/>
        </w:rPr>
        <w:t>a</w:t>
      </w:r>
      <w:r w:rsidRPr="00842E68">
        <w:rPr>
          <w:rFonts w:ascii="Times New Roman" w:hAnsi="Times New Roman"/>
        </w:rPr>
        <w:t>) is, in its terms, an accurate statement of the meaning of Art</w:t>
      </w:r>
      <w:r w:rsidR="000D6573" w:rsidRPr="00842E68">
        <w:rPr>
          <w:rFonts w:ascii="Times New Roman" w:hAnsi="Times New Roman"/>
        </w:rPr>
        <w:t> </w:t>
      </w:r>
      <w:r w:rsidRPr="00842E68">
        <w:rPr>
          <w:rFonts w:ascii="Times New Roman" w:hAnsi="Times New Roman"/>
        </w:rPr>
        <w:t xml:space="preserve">17 of the Montreal Convention. As </w:t>
      </w:r>
      <w:r w:rsidR="00C440A0" w:rsidRPr="00842E68">
        <w:rPr>
          <w:rFonts w:ascii="Times New Roman" w:hAnsi="Times New Roman"/>
        </w:rPr>
        <w:t xml:space="preserve">already </w:t>
      </w:r>
      <w:r w:rsidRPr="00842E68">
        <w:rPr>
          <w:rFonts w:ascii="Times New Roman" w:hAnsi="Times New Roman"/>
        </w:rPr>
        <w:t xml:space="preserve">explained, the </w:t>
      </w:r>
      <w:r w:rsidRPr="00842E68">
        <w:rPr>
          <w:rFonts w:ascii="Times New Roman" w:hAnsi="Times New Roman"/>
          <w:iCs/>
        </w:rPr>
        <w:t xml:space="preserve">travaux </w:t>
      </w:r>
      <w:proofErr w:type="spellStart"/>
      <w:r w:rsidRPr="00842E68">
        <w:rPr>
          <w:rFonts w:ascii="Times New Roman" w:hAnsi="Times New Roman"/>
          <w:iCs/>
        </w:rPr>
        <w:t>pr</w:t>
      </w:r>
      <w:r w:rsidR="009A1E25" w:rsidRPr="00842E68">
        <w:rPr>
          <w:rFonts w:ascii="Times New Roman" w:hAnsi="Times New Roman"/>
        </w:rPr>
        <w:t>é</w:t>
      </w:r>
      <w:r w:rsidRPr="00842E68">
        <w:rPr>
          <w:rFonts w:ascii="Times New Roman" w:hAnsi="Times New Roman"/>
          <w:iCs/>
        </w:rPr>
        <w:t>paratoires</w:t>
      </w:r>
      <w:proofErr w:type="spellEnd"/>
      <w:r w:rsidRPr="00842E68">
        <w:rPr>
          <w:rFonts w:ascii="Times New Roman" w:hAnsi="Times New Roman"/>
          <w:iCs/>
        </w:rPr>
        <w:t xml:space="preserve"> to the Montreal Convention are replete with references to liability for personal injury or death</w:t>
      </w:r>
      <w:r w:rsidR="00640CA1" w:rsidRPr="00842E68">
        <w:rPr>
          <w:rFonts w:ascii="Times New Roman" w:hAnsi="Times New Roman"/>
          <w:iCs/>
        </w:rPr>
        <w:t xml:space="preserve"> within the terms of Art</w:t>
      </w:r>
      <w:r w:rsidR="003A5133" w:rsidRPr="00842E68">
        <w:rPr>
          <w:rFonts w:ascii="Times New Roman" w:hAnsi="Times New Roman"/>
          <w:iCs/>
        </w:rPr>
        <w:t> </w:t>
      </w:r>
      <w:r w:rsidR="00640CA1" w:rsidRPr="00842E68">
        <w:rPr>
          <w:rFonts w:ascii="Times New Roman" w:hAnsi="Times New Roman"/>
          <w:iCs/>
        </w:rPr>
        <w:t>17</w:t>
      </w:r>
      <w:r w:rsidRPr="00842E68">
        <w:rPr>
          <w:rFonts w:ascii="Times New Roman" w:hAnsi="Times New Roman"/>
          <w:iCs/>
        </w:rPr>
        <w:t xml:space="preserve"> being </w:t>
      </w:r>
      <w:r w:rsidR="00850F99" w:rsidRPr="00842E68">
        <w:rPr>
          <w:rFonts w:ascii="Times New Roman" w:hAnsi="Times New Roman"/>
          <w:iCs/>
        </w:rPr>
        <w:t>"</w:t>
      </w:r>
      <w:r w:rsidRPr="00842E68">
        <w:rPr>
          <w:rFonts w:ascii="Times New Roman" w:hAnsi="Times New Roman"/>
          <w:iCs/>
        </w:rPr>
        <w:t>unlimited</w:t>
      </w:r>
      <w:r w:rsidR="00850F99" w:rsidRPr="00842E68">
        <w:rPr>
          <w:rFonts w:ascii="Times New Roman" w:hAnsi="Times New Roman"/>
          <w:iCs/>
        </w:rPr>
        <w:t>"</w:t>
      </w:r>
      <w:r w:rsidRPr="00842E68">
        <w:rPr>
          <w:rFonts w:ascii="Times New Roman" w:hAnsi="Times New Roman"/>
          <w:iCs/>
        </w:rPr>
        <w:t>. Indeed, the limit</w:t>
      </w:r>
      <w:r w:rsidR="00640CA1" w:rsidRPr="00842E68">
        <w:rPr>
          <w:rFonts w:ascii="Times New Roman" w:hAnsi="Times New Roman"/>
          <w:iCs/>
        </w:rPr>
        <w:t xml:space="preserve"> to the equivalent</w:t>
      </w:r>
      <w:r w:rsidRPr="00842E68">
        <w:rPr>
          <w:rFonts w:ascii="Times New Roman" w:hAnsi="Times New Roman"/>
          <w:iCs/>
        </w:rPr>
        <w:t xml:space="preserve"> liability for personal injury or death in the Warsaw Convention was the reason that that </w:t>
      </w:r>
      <w:r w:rsidR="00B81E3A" w:rsidRPr="00842E68">
        <w:rPr>
          <w:rFonts w:ascii="Times New Roman" w:hAnsi="Times New Roman"/>
          <w:iCs/>
        </w:rPr>
        <w:t>C</w:t>
      </w:r>
      <w:r w:rsidRPr="00842E68">
        <w:rPr>
          <w:rFonts w:ascii="Times New Roman" w:hAnsi="Times New Roman"/>
          <w:iCs/>
        </w:rPr>
        <w:t>onvention had been so controversial</w:t>
      </w:r>
      <w:r w:rsidR="00076233" w:rsidRPr="00842E68">
        <w:rPr>
          <w:rFonts w:ascii="Times New Roman" w:hAnsi="Times New Roman"/>
          <w:iCs/>
        </w:rPr>
        <w:t xml:space="preserve">. </w:t>
      </w:r>
      <w:r w:rsidR="00E463E7" w:rsidRPr="00842E68">
        <w:rPr>
          <w:rFonts w:ascii="Times New Roman" w:hAnsi="Times New Roman"/>
        </w:rPr>
        <w:t>The effect of Arts 17 and 21</w:t>
      </w:r>
      <w:r w:rsidR="00E809D6" w:rsidRPr="00842E68">
        <w:rPr>
          <w:rFonts w:ascii="Times New Roman" w:hAnsi="Times New Roman"/>
        </w:rPr>
        <w:t xml:space="preserve"> </w:t>
      </w:r>
      <w:r w:rsidR="00917E78" w:rsidRPr="00842E68">
        <w:rPr>
          <w:rFonts w:ascii="Times New Roman" w:hAnsi="Times New Roman"/>
        </w:rPr>
        <w:t>of the Montreal Convention</w:t>
      </w:r>
      <w:r w:rsidR="00E809D6" w:rsidRPr="00842E68">
        <w:rPr>
          <w:rFonts w:ascii="Times New Roman" w:hAnsi="Times New Roman"/>
        </w:rPr>
        <w:t xml:space="preserve"> is to establish two tiers of liability </w:t>
      </w:r>
      <w:r w:rsidR="008672B4" w:rsidRPr="00842E68">
        <w:rPr>
          <w:rFonts w:ascii="Times New Roman" w:hAnsi="Times New Roman"/>
        </w:rPr>
        <w:t>so</w:t>
      </w:r>
      <w:r w:rsidR="00965EB9" w:rsidRPr="00842E68">
        <w:rPr>
          <w:rFonts w:ascii="Times New Roman" w:hAnsi="Times New Roman"/>
        </w:rPr>
        <w:t xml:space="preserve"> that </w:t>
      </w:r>
      <w:r w:rsidR="00E17603" w:rsidRPr="00842E68">
        <w:rPr>
          <w:rFonts w:ascii="Times New Roman" w:hAnsi="Times New Roman"/>
        </w:rPr>
        <w:t>the</w:t>
      </w:r>
      <w:r w:rsidR="00E809D6" w:rsidRPr="00842E68">
        <w:rPr>
          <w:rFonts w:ascii="Times New Roman" w:hAnsi="Times New Roman"/>
        </w:rPr>
        <w:t xml:space="preserve"> </w:t>
      </w:r>
      <w:r w:rsidR="00891D38" w:rsidRPr="00842E68">
        <w:rPr>
          <w:rFonts w:ascii="Times New Roman" w:hAnsi="Times New Roman"/>
        </w:rPr>
        <w:t>"no negligence" defence in Art</w:t>
      </w:r>
      <w:r w:rsidR="003A5133" w:rsidRPr="00842E68">
        <w:rPr>
          <w:rFonts w:ascii="Times New Roman" w:hAnsi="Times New Roman"/>
        </w:rPr>
        <w:t> </w:t>
      </w:r>
      <w:r w:rsidR="00891D38" w:rsidRPr="00842E68">
        <w:rPr>
          <w:rFonts w:ascii="Times New Roman" w:hAnsi="Times New Roman"/>
        </w:rPr>
        <w:t>21(2)</w:t>
      </w:r>
      <w:r w:rsidR="00E17603" w:rsidRPr="00842E68">
        <w:rPr>
          <w:rFonts w:ascii="Times New Roman" w:hAnsi="Times New Roman"/>
        </w:rPr>
        <w:t xml:space="preserve"> </w:t>
      </w:r>
      <w:r w:rsidR="00965EB9" w:rsidRPr="00842E68">
        <w:rPr>
          <w:rFonts w:ascii="Times New Roman" w:hAnsi="Times New Roman"/>
        </w:rPr>
        <w:t>will only</w:t>
      </w:r>
      <w:r w:rsidR="00E17603" w:rsidRPr="00842E68">
        <w:rPr>
          <w:rFonts w:ascii="Times New Roman" w:hAnsi="Times New Roman"/>
        </w:rPr>
        <w:t xml:space="preserve"> apply</w:t>
      </w:r>
      <w:r w:rsidR="00244CF5" w:rsidRPr="00842E68">
        <w:rPr>
          <w:rFonts w:ascii="Times New Roman" w:hAnsi="Times New Roman"/>
        </w:rPr>
        <w:t xml:space="preserve"> </w:t>
      </w:r>
      <w:r w:rsidR="00E17603" w:rsidRPr="00842E68">
        <w:rPr>
          <w:rFonts w:ascii="Times New Roman" w:hAnsi="Times New Roman"/>
        </w:rPr>
        <w:t>in the second tier</w:t>
      </w:r>
      <w:r w:rsidR="003955A0" w:rsidRPr="00842E68">
        <w:rPr>
          <w:rFonts w:ascii="Times New Roman" w:hAnsi="Times New Roman"/>
        </w:rPr>
        <w:t>; neither Art</w:t>
      </w:r>
      <w:r w:rsidR="003A5133" w:rsidRPr="00842E68">
        <w:rPr>
          <w:rFonts w:ascii="Times New Roman" w:hAnsi="Times New Roman"/>
        </w:rPr>
        <w:t> </w:t>
      </w:r>
      <w:r w:rsidR="003955A0" w:rsidRPr="00842E68">
        <w:rPr>
          <w:rFonts w:ascii="Times New Roman" w:hAnsi="Times New Roman"/>
        </w:rPr>
        <w:t>17 nor Art</w:t>
      </w:r>
      <w:r w:rsidR="003A5133" w:rsidRPr="00842E68">
        <w:rPr>
          <w:rFonts w:ascii="Times New Roman" w:hAnsi="Times New Roman"/>
        </w:rPr>
        <w:t> </w:t>
      </w:r>
      <w:r w:rsidR="003955A0" w:rsidRPr="00842E68">
        <w:rPr>
          <w:rFonts w:ascii="Times New Roman" w:hAnsi="Times New Roman"/>
        </w:rPr>
        <w:t>21 impose</w:t>
      </w:r>
      <w:r w:rsidR="00FD0D0B" w:rsidRPr="00842E68">
        <w:rPr>
          <w:rFonts w:ascii="Times New Roman" w:hAnsi="Times New Roman"/>
        </w:rPr>
        <w:t>s</w:t>
      </w:r>
      <w:r w:rsidR="003955A0" w:rsidRPr="00842E68">
        <w:rPr>
          <w:rFonts w:ascii="Times New Roman" w:hAnsi="Times New Roman"/>
        </w:rPr>
        <w:t xml:space="preserve"> any </w:t>
      </w:r>
      <w:r w:rsidR="00E463E7" w:rsidRPr="00842E68">
        <w:rPr>
          <w:rFonts w:ascii="Times New Roman" w:hAnsi="Times New Roman"/>
        </w:rPr>
        <w:t xml:space="preserve">financial limits in respect of the </w:t>
      </w:r>
      <w:r w:rsidR="006733E4" w:rsidRPr="00842E68">
        <w:rPr>
          <w:rFonts w:ascii="Times New Roman" w:hAnsi="Times New Roman"/>
        </w:rPr>
        <w:t xml:space="preserve">overall </w:t>
      </w:r>
      <w:r w:rsidR="00076233" w:rsidRPr="00842E68">
        <w:rPr>
          <w:rFonts w:ascii="Times New Roman" w:hAnsi="Times New Roman"/>
        </w:rPr>
        <w:t>Art</w:t>
      </w:r>
      <w:r w:rsidR="003A5133" w:rsidRPr="00842E68">
        <w:rPr>
          <w:rFonts w:ascii="Times New Roman" w:hAnsi="Times New Roman"/>
        </w:rPr>
        <w:t> </w:t>
      </w:r>
      <w:r w:rsidR="00076233" w:rsidRPr="00842E68">
        <w:rPr>
          <w:rFonts w:ascii="Times New Roman" w:hAnsi="Times New Roman"/>
        </w:rPr>
        <w:t xml:space="preserve">17 </w:t>
      </w:r>
      <w:r w:rsidR="00E463E7" w:rsidRPr="00842E68">
        <w:rPr>
          <w:rFonts w:ascii="Times New Roman" w:hAnsi="Times New Roman"/>
        </w:rPr>
        <w:t xml:space="preserve">liability of carriers for death or bodily injury. </w:t>
      </w:r>
      <w:r w:rsidR="00244CF5" w:rsidRPr="00842E68">
        <w:rPr>
          <w:rFonts w:ascii="Times New Roman" w:hAnsi="Times New Roman"/>
        </w:rPr>
        <w:t xml:space="preserve">The limit or threshold is only for the application of </w:t>
      </w:r>
      <w:r w:rsidR="00EB7210" w:rsidRPr="00842E68">
        <w:rPr>
          <w:rFonts w:ascii="Times New Roman" w:hAnsi="Times New Roman"/>
        </w:rPr>
        <w:t>the defence in Art</w:t>
      </w:r>
      <w:r w:rsidR="003A5133" w:rsidRPr="00842E68">
        <w:rPr>
          <w:rFonts w:ascii="Times New Roman" w:hAnsi="Times New Roman"/>
        </w:rPr>
        <w:t> </w:t>
      </w:r>
      <w:r w:rsidR="00EB7210" w:rsidRPr="00842E68">
        <w:rPr>
          <w:rFonts w:ascii="Times New Roman" w:hAnsi="Times New Roman"/>
        </w:rPr>
        <w:t>21(2).</w:t>
      </w:r>
      <w:r w:rsidR="00244CF5" w:rsidRPr="00842E68">
        <w:rPr>
          <w:rFonts w:ascii="Times New Roman" w:hAnsi="Times New Roman"/>
        </w:rPr>
        <w:t xml:space="preserve"> </w:t>
      </w:r>
      <w:r w:rsidRPr="00842E68">
        <w:rPr>
          <w:rFonts w:ascii="Times New Roman" w:hAnsi="Times New Roman"/>
        </w:rPr>
        <w:t>Rule</w:t>
      </w:r>
      <w:r w:rsidR="003A5133" w:rsidRPr="00842E68">
        <w:rPr>
          <w:rFonts w:ascii="Times New Roman" w:hAnsi="Times New Roman"/>
        </w:rPr>
        <w:t> </w:t>
      </w:r>
      <w:r w:rsidRPr="00842E68">
        <w:rPr>
          <w:rFonts w:ascii="Times New Roman" w:hAnsi="Times New Roman"/>
        </w:rPr>
        <w:t>105</w:t>
      </w:r>
      <w:r w:rsidR="00CC5BDB" w:rsidRPr="00842E68">
        <w:rPr>
          <w:rFonts w:ascii="Times New Roman" w:hAnsi="Times New Roman"/>
        </w:rPr>
        <w:t>(</w:t>
      </w:r>
      <w:r w:rsidRPr="00842E68">
        <w:rPr>
          <w:rFonts w:ascii="Times New Roman" w:hAnsi="Times New Roman"/>
        </w:rPr>
        <w:t>C</w:t>
      </w:r>
      <w:r w:rsidR="009327DE" w:rsidRPr="00842E68">
        <w:rPr>
          <w:rFonts w:ascii="Times New Roman" w:hAnsi="Times New Roman"/>
        </w:rPr>
        <w:t>)</w:t>
      </w:r>
      <w:r w:rsidRPr="00842E68">
        <w:rPr>
          <w:rFonts w:ascii="Times New Roman" w:hAnsi="Times New Roman"/>
        </w:rPr>
        <w:t>(1)(a)</w:t>
      </w:r>
      <w:r w:rsidR="006F1CB3" w:rsidRPr="00842E68">
        <w:rPr>
          <w:rFonts w:ascii="Times New Roman" w:hAnsi="Times New Roman"/>
        </w:rPr>
        <w:t xml:space="preserve"> therefore</w:t>
      </w:r>
      <w:r w:rsidRPr="00842E68">
        <w:rPr>
          <w:rFonts w:ascii="Times New Roman" w:hAnsi="Times New Roman"/>
        </w:rPr>
        <w:t xml:space="preserve"> correctly declares that "</w:t>
      </w:r>
      <w:r w:rsidR="00FB369E" w:rsidRPr="00842E68">
        <w:rPr>
          <w:rFonts w:ascii="Times New Roman" w:hAnsi="Times New Roman"/>
        </w:rPr>
        <w:t>[</w:t>
      </w:r>
      <w:r w:rsidRPr="00842E68">
        <w:rPr>
          <w:rFonts w:ascii="Times New Roman" w:hAnsi="Times New Roman"/>
        </w:rPr>
        <w:t>t</w:t>
      </w:r>
      <w:r w:rsidR="00FB369E" w:rsidRPr="00842E68">
        <w:rPr>
          <w:rFonts w:ascii="Times New Roman" w:hAnsi="Times New Roman"/>
        </w:rPr>
        <w:t>]</w:t>
      </w:r>
      <w:r w:rsidRPr="00842E68">
        <w:rPr>
          <w:rFonts w:ascii="Times New Roman" w:hAnsi="Times New Roman"/>
        </w:rPr>
        <w:t>here are no financial limits in respect of death or bodily injury"</w:t>
      </w:r>
      <w:r w:rsidR="00DA6833">
        <w:rPr>
          <w:rFonts w:ascii="Times New Roman" w:hAnsi="Times New Roman"/>
        </w:rPr>
        <w:t>.</w:t>
      </w:r>
      <w:r w:rsidRPr="00842E68">
        <w:rPr>
          <w:rFonts w:ascii="Times New Roman" w:hAnsi="Times New Roman"/>
        </w:rPr>
        <w:t xml:space="preserve"> The concern of r</w:t>
      </w:r>
      <w:r w:rsidR="000D6573" w:rsidRPr="00842E68">
        <w:rPr>
          <w:rFonts w:ascii="Times New Roman" w:hAnsi="Times New Roman"/>
        </w:rPr>
        <w:t> </w:t>
      </w:r>
      <w:r w:rsidRPr="00842E68">
        <w:rPr>
          <w:rFonts w:ascii="Times New Roman" w:hAnsi="Times New Roman"/>
        </w:rPr>
        <w:t>105</w:t>
      </w:r>
      <w:r w:rsidR="008A2701"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 xml:space="preserve">(1)(a) is the subject matter </w:t>
      </w:r>
      <w:r w:rsidR="00CA4714" w:rsidRPr="00842E68">
        <w:rPr>
          <w:rFonts w:ascii="Times New Roman" w:hAnsi="Times New Roman"/>
        </w:rPr>
        <w:t xml:space="preserve">of </w:t>
      </w:r>
      <w:r w:rsidRPr="00842E68">
        <w:rPr>
          <w:rFonts w:ascii="Times New Roman" w:hAnsi="Times New Roman"/>
        </w:rPr>
        <w:t xml:space="preserve">("in respect of") death or bodily injury. It is not </w:t>
      </w:r>
      <w:r w:rsidR="00A273E8" w:rsidRPr="00842E68">
        <w:rPr>
          <w:rFonts w:ascii="Times New Roman" w:hAnsi="Times New Roman"/>
        </w:rPr>
        <w:t xml:space="preserve">concerned </w:t>
      </w:r>
      <w:r w:rsidRPr="00842E68">
        <w:rPr>
          <w:rFonts w:ascii="Times New Roman" w:hAnsi="Times New Roman"/>
        </w:rPr>
        <w:t>with the limit</w:t>
      </w:r>
      <w:r w:rsidR="009714E2" w:rsidRPr="00842E68">
        <w:rPr>
          <w:rFonts w:ascii="Times New Roman" w:hAnsi="Times New Roman"/>
        </w:rPr>
        <w:t xml:space="preserve"> </w:t>
      </w:r>
      <w:r w:rsidRPr="00842E68">
        <w:rPr>
          <w:rFonts w:ascii="Times New Roman" w:hAnsi="Times New Roman"/>
        </w:rPr>
        <w:t>or threshold for the application of the defence in Art</w:t>
      </w:r>
      <w:r w:rsidR="000D6573" w:rsidRPr="00842E68">
        <w:rPr>
          <w:rFonts w:ascii="Times New Roman" w:hAnsi="Times New Roman"/>
        </w:rPr>
        <w:t> </w:t>
      </w:r>
      <w:r w:rsidRPr="00842E68">
        <w:rPr>
          <w:rFonts w:ascii="Times New Roman" w:hAnsi="Times New Roman"/>
        </w:rPr>
        <w:t xml:space="preserve">21(2) of the Montreal Convention. </w:t>
      </w:r>
    </w:p>
    <w:p w14:paraId="3F596B74" w14:textId="360BF54F"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Secondly, r</w:t>
      </w:r>
      <w:r w:rsidR="000D6573" w:rsidRPr="00842E68">
        <w:rPr>
          <w:rFonts w:ascii="Times New Roman" w:hAnsi="Times New Roman"/>
        </w:rPr>
        <w:t> </w:t>
      </w:r>
      <w:r w:rsidRPr="00842E68">
        <w:rPr>
          <w:rFonts w:ascii="Times New Roman" w:hAnsi="Times New Roman"/>
        </w:rPr>
        <w:t>105(</w:t>
      </w:r>
      <w:r w:rsidR="00A0008F" w:rsidRPr="00842E68">
        <w:rPr>
          <w:rFonts w:ascii="Times New Roman" w:hAnsi="Times New Roman"/>
        </w:rPr>
        <w:t>C)</w:t>
      </w:r>
      <w:r w:rsidRPr="00842E68">
        <w:rPr>
          <w:rFonts w:ascii="Times New Roman" w:hAnsi="Times New Roman"/>
        </w:rPr>
        <w:t>(1), like the other provisions of r</w:t>
      </w:r>
      <w:r w:rsidR="000D6573" w:rsidRPr="00842E68">
        <w:rPr>
          <w:rFonts w:ascii="Times New Roman" w:hAnsi="Times New Roman"/>
        </w:rPr>
        <w:t> </w:t>
      </w:r>
      <w:r w:rsidRPr="00842E68">
        <w:rPr>
          <w:rFonts w:ascii="Times New Roman" w:hAnsi="Times New Roman"/>
        </w:rPr>
        <w:t>105</w:t>
      </w:r>
      <w:r w:rsidR="000D6573" w:rsidRPr="00842E68">
        <w:rPr>
          <w:rFonts w:ascii="Times New Roman" w:hAnsi="Times New Roman"/>
        </w:rPr>
        <w:t>(</w:t>
      </w:r>
      <w:r w:rsidRPr="00842E68">
        <w:rPr>
          <w:rFonts w:ascii="Times New Roman" w:hAnsi="Times New Roman"/>
        </w:rPr>
        <w:t>B</w:t>
      </w:r>
      <w:r w:rsidR="000D6573" w:rsidRPr="00842E68">
        <w:rPr>
          <w:rFonts w:ascii="Times New Roman" w:hAnsi="Times New Roman"/>
        </w:rPr>
        <w:t>)</w:t>
      </w:r>
      <w:r w:rsidRPr="00842E68">
        <w:rPr>
          <w:rFonts w:ascii="Times New Roman" w:hAnsi="Times New Roman"/>
        </w:rPr>
        <w:t xml:space="preserve"> and </w:t>
      </w:r>
      <w:r w:rsidR="000D6573"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 xml:space="preserve">, gives effect to the Canadian </w:t>
      </w:r>
      <w:r w:rsidRPr="00842E68">
        <w:rPr>
          <w:rFonts w:ascii="Times New Roman" w:hAnsi="Times New Roman"/>
          <w:i/>
        </w:rPr>
        <w:t xml:space="preserve">Air </w:t>
      </w:r>
      <w:r w:rsidRPr="00842E68">
        <w:rPr>
          <w:rFonts w:ascii="Times New Roman" w:hAnsi="Times New Roman"/>
          <w:i/>
          <w:iCs/>
        </w:rPr>
        <w:t>Transport</w:t>
      </w:r>
      <w:r w:rsidR="00F73121" w:rsidRPr="00842E68">
        <w:rPr>
          <w:rFonts w:ascii="Times New Roman" w:hAnsi="Times New Roman"/>
          <w:i/>
          <w:iCs/>
        </w:rPr>
        <w:t>ation</w:t>
      </w:r>
      <w:r w:rsidRPr="00842E68">
        <w:rPr>
          <w:rFonts w:ascii="Times New Roman" w:hAnsi="Times New Roman"/>
          <w:i/>
        </w:rPr>
        <w:t xml:space="preserve"> Regulations</w:t>
      </w:r>
      <w:r w:rsidRPr="00842E68">
        <w:rPr>
          <w:rFonts w:ascii="Times New Roman" w:hAnsi="Times New Roman"/>
        </w:rPr>
        <w:t>, including the requirement to state the limits</w:t>
      </w:r>
      <w:r w:rsidR="00447FDC" w:rsidRPr="00842E68">
        <w:rPr>
          <w:rFonts w:ascii="Times New Roman" w:hAnsi="Times New Roman"/>
        </w:rPr>
        <w:t xml:space="preserve"> of</w:t>
      </w:r>
      <w:r w:rsidRPr="00842E68">
        <w:rPr>
          <w:rFonts w:ascii="Times New Roman" w:hAnsi="Times New Roman"/>
        </w:rPr>
        <w:t xml:space="preserve"> and exclusions </w:t>
      </w:r>
      <w:r w:rsidR="00447FDC" w:rsidRPr="00842E68">
        <w:rPr>
          <w:rFonts w:ascii="Times New Roman" w:hAnsi="Times New Roman"/>
        </w:rPr>
        <w:t>from</w:t>
      </w:r>
      <w:r w:rsidRPr="00842E68">
        <w:rPr>
          <w:rFonts w:ascii="Times New Roman" w:hAnsi="Times New Roman"/>
        </w:rPr>
        <w:t xml:space="preserve"> liability respecting passengers and goods. Those Regulations required the Air Canada Tariff to describe the legal effect of multiple instruments since, as Leeming JA observed in the Court of Appeal, passengers on </w:t>
      </w:r>
      <w:r w:rsidR="00FF54A1" w:rsidRPr="00842E68">
        <w:rPr>
          <w:rFonts w:ascii="Times New Roman" w:hAnsi="Times New Roman"/>
        </w:rPr>
        <w:t xml:space="preserve">an Air Canada </w:t>
      </w:r>
      <w:r w:rsidRPr="00842E68">
        <w:rPr>
          <w:rFonts w:ascii="Times New Roman" w:hAnsi="Times New Roman"/>
        </w:rPr>
        <w:t xml:space="preserve">flight could be subject to different legal regimes </w:t>
      </w:r>
      <w:r w:rsidRPr="00842E68">
        <w:rPr>
          <w:rFonts w:ascii="Times New Roman" w:hAnsi="Times New Roman"/>
        </w:rPr>
        <w:lastRenderedPageBreak/>
        <w:t xml:space="preserve">depending upon the points of connection of </w:t>
      </w:r>
      <w:r w:rsidR="00FF54A1" w:rsidRPr="00842E68">
        <w:rPr>
          <w:rFonts w:ascii="Times New Roman" w:hAnsi="Times New Roman"/>
        </w:rPr>
        <w:t xml:space="preserve">the </w:t>
      </w:r>
      <w:r w:rsidRPr="00842E68">
        <w:rPr>
          <w:rFonts w:ascii="Times New Roman" w:hAnsi="Times New Roman"/>
        </w:rPr>
        <w:t>flight.</w:t>
      </w:r>
      <w:r w:rsidRPr="00842E68">
        <w:rPr>
          <w:rStyle w:val="FootnoteReference"/>
          <w:rFonts w:ascii="Times New Roman" w:hAnsi="Times New Roman"/>
          <w:sz w:val="24"/>
        </w:rPr>
        <w:footnoteReference w:id="84"/>
      </w:r>
      <w:r w:rsidRPr="00842E68">
        <w:rPr>
          <w:rFonts w:ascii="Times New Roman" w:hAnsi="Times New Roman"/>
        </w:rPr>
        <w:t xml:space="preserve"> The relevant regimes to which the relevant parts of the Air Canada Tariff </w:t>
      </w:r>
      <w:r w:rsidR="00E8528B" w:rsidRPr="00842E68">
        <w:rPr>
          <w:rFonts w:ascii="Times New Roman" w:hAnsi="Times New Roman"/>
        </w:rPr>
        <w:t>are</w:t>
      </w:r>
      <w:r w:rsidRPr="00842E68">
        <w:rPr>
          <w:rFonts w:ascii="Times New Roman" w:hAnsi="Times New Roman"/>
        </w:rPr>
        <w:t xml:space="preserve"> directed include the Warsaw Convention, the 1995/6 IATA Agreements, the Canadian </w:t>
      </w:r>
      <w:r w:rsidRPr="00842E68">
        <w:rPr>
          <w:rFonts w:ascii="Times New Roman" w:hAnsi="Times New Roman"/>
          <w:i/>
        </w:rPr>
        <w:t xml:space="preserve">Air </w:t>
      </w:r>
      <w:r w:rsidRPr="00842E68">
        <w:rPr>
          <w:rFonts w:ascii="Times New Roman" w:hAnsi="Times New Roman"/>
          <w:i/>
          <w:iCs/>
        </w:rPr>
        <w:t>Transport</w:t>
      </w:r>
      <w:r w:rsidR="003F09B0" w:rsidRPr="00842E68">
        <w:rPr>
          <w:rFonts w:ascii="Times New Roman" w:hAnsi="Times New Roman"/>
          <w:i/>
          <w:iCs/>
        </w:rPr>
        <w:t>ation</w:t>
      </w:r>
      <w:r w:rsidRPr="00842E68">
        <w:rPr>
          <w:rFonts w:ascii="Times New Roman" w:hAnsi="Times New Roman"/>
          <w:i/>
        </w:rPr>
        <w:t xml:space="preserve"> Regulations</w:t>
      </w:r>
      <w:r w:rsidRPr="00842E68">
        <w:rPr>
          <w:rFonts w:ascii="Times New Roman" w:hAnsi="Times New Roman"/>
        </w:rPr>
        <w:t xml:space="preserve">, and the Montreal Convention.  </w:t>
      </w:r>
    </w:p>
    <w:p w14:paraId="647C0566" w14:textId="00ADA527"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FC0FFE" w:rsidRPr="00842E68">
        <w:rPr>
          <w:rFonts w:ascii="Times New Roman" w:hAnsi="Times New Roman"/>
        </w:rPr>
        <w:t>Thirdly, c</w:t>
      </w:r>
      <w:r w:rsidRPr="00842E68">
        <w:rPr>
          <w:rFonts w:ascii="Times New Roman" w:hAnsi="Times New Roman"/>
        </w:rPr>
        <w:t xml:space="preserve">onsistently with the purpose of fulfilling the requirements of the Canadian </w:t>
      </w:r>
      <w:r w:rsidRPr="00842E68">
        <w:rPr>
          <w:rFonts w:ascii="Times New Roman" w:hAnsi="Times New Roman"/>
          <w:i/>
        </w:rPr>
        <w:t xml:space="preserve">Air </w:t>
      </w:r>
      <w:r w:rsidRPr="00842E68">
        <w:rPr>
          <w:rFonts w:ascii="Times New Roman" w:hAnsi="Times New Roman"/>
          <w:i/>
          <w:iCs/>
        </w:rPr>
        <w:t>Transport</w:t>
      </w:r>
      <w:r w:rsidR="00AC2F14" w:rsidRPr="00842E68">
        <w:rPr>
          <w:rFonts w:ascii="Times New Roman" w:hAnsi="Times New Roman"/>
          <w:i/>
          <w:iCs/>
        </w:rPr>
        <w:t>ation</w:t>
      </w:r>
      <w:r w:rsidRPr="00842E68">
        <w:rPr>
          <w:rFonts w:ascii="Times New Roman" w:hAnsi="Times New Roman"/>
          <w:i/>
        </w:rPr>
        <w:t xml:space="preserve"> Regulations</w:t>
      </w:r>
      <w:r w:rsidRPr="00842E68">
        <w:rPr>
          <w:rFonts w:ascii="Times New Roman" w:hAnsi="Times New Roman"/>
        </w:rPr>
        <w:t>, each of the preceding and succeeding provisions to r</w:t>
      </w:r>
      <w:r w:rsidR="000D6573" w:rsidRPr="00842E68">
        <w:rPr>
          <w:rFonts w:ascii="Times New Roman" w:hAnsi="Times New Roman"/>
        </w:rPr>
        <w:t> </w:t>
      </w:r>
      <w:r w:rsidRPr="00842E68">
        <w:rPr>
          <w:rFonts w:ascii="Times New Roman" w:hAnsi="Times New Roman"/>
        </w:rPr>
        <w:t>105</w:t>
      </w:r>
      <w:r w:rsidR="000D6573"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 xml:space="preserve">(1)(a) does little more than declare the effect of the provisions of the Warsaw Convention, the 1995/6 IATA Agreements, the Canadian </w:t>
      </w:r>
      <w:r w:rsidRPr="00842E68">
        <w:rPr>
          <w:rFonts w:ascii="Times New Roman" w:hAnsi="Times New Roman"/>
          <w:i/>
        </w:rPr>
        <w:t xml:space="preserve">Air </w:t>
      </w:r>
      <w:r w:rsidRPr="00842E68">
        <w:rPr>
          <w:rFonts w:ascii="Times New Roman" w:hAnsi="Times New Roman"/>
          <w:i/>
          <w:iCs/>
        </w:rPr>
        <w:t>Transport</w:t>
      </w:r>
      <w:r w:rsidR="008F7A37" w:rsidRPr="00842E68">
        <w:rPr>
          <w:rFonts w:ascii="Times New Roman" w:hAnsi="Times New Roman"/>
          <w:i/>
          <w:iCs/>
        </w:rPr>
        <w:t>ation</w:t>
      </w:r>
      <w:r w:rsidRPr="00842E68">
        <w:rPr>
          <w:rFonts w:ascii="Times New Roman" w:hAnsi="Times New Roman"/>
          <w:i/>
        </w:rPr>
        <w:t xml:space="preserve"> Regulations</w:t>
      </w:r>
      <w:r w:rsidRPr="00842E68">
        <w:rPr>
          <w:rFonts w:ascii="Times New Roman" w:hAnsi="Times New Roman"/>
        </w:rPr>
        <w:t>, and the Montreal Convention. For instance, as Leeming</w:t>
      </w:r>
      <w:r w:rsidR="008F7A37" w:rsidRPr="00842E68">
        <w:rPr>
          <w:rFonts w:ascii="Times New Roman" w:hAnsi="Times New Roman"/>
        </w:rPr>
        <w:t> </w:t>
      </w:r>
      <w:r w:rsidRPr="00842E68">
        <w:rPr>
          <w:rFonts w:ascii="Times New Roman" w:hAnsi="Times New Roman"/>
        </w:rPr>
        <w:t>JA observed in the Court of Appeal, reference to "in most cases" in r 105</w:t>
      </w:r>
      <w:r w:rsidR="000D6573"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(1)(b) and</w:t>
      </w:r>
      <w:r w:rsidR="00207C1B" w:rsidRPr="00842E68">
        <w:rPr>
          <w:rFonts w:ascii="Times New Roman" w:hAnsi="Times New Roman"/>
        </w:rPr>
        <w:t xml:space="preserve"> </w:t>
      </w:r>
      <w:r w:rsidRPr="00842E68">
        <w:rPr>
          <w:rFonts w:ascii="Times New Roman" w:hAnsi="Times New Roman"/>
        </w:rPr>
        <w:t xml:space="preserve">(c) </w:t>
      </w:r>
      <w:r w:rsidR="0026248C" w:rsidRPr="00842E68">
        <w:rPr>
          <w:rFonts w:ascii="Times New Roman" w:hAnsi="Times New Roman"/>
        </w:rPr>
        <w:t xml:space="preserve">is </w:t>
      </w:r>
      <w:r w:rsidRPr="00842E68">
        <w:rPr>
          <w:rFonts w:ascii="Times New Roman" w:hAnsi="Times New Roman"/>
        </w:rPr>
        <w:t>"the language of a provision which is intended concisely to notify passengers of the limits to which their contract of carriage by air is subject".</w:t>
      </w:r>
      <w:r w:rsidRPr="00842E68">
        <w:rPr>
          <w:rStyle w:val="FootnoteReference"/>
          <w:rFonts w:ascii="Times New Roman" w:hAnsi="Times New Roman"/>
          <w:sz w:val="24"/>
        </w:rPr>
        <w:footnoteReference w:id="85"/>
      </w:r>
      <w:r w:rsidRPr="00842E68">
        <w:rPr>
          <w:rFonts w:ascii="Times New Roman" w:hAnsi="Times New Roman"/>
        </w:rPr>
        <w:t xml:space="preserve"> The reference to "in most cases" reflects the</w:t>
      </w:r>
      <w:r w:rsidR="00143B2D" w:rsidRPr="00842E68">
        <w:rPr>
          <w:rFonts w:ascii="Times New Roman" w:hAnsi="Times New Roman"/>
        </w:rPr>
        <w:t xml:space="preserve"> </w:t>
      </w:r>
      <w:r w:rsidRPr="00842E68">
        <w:rPr>
          <w:rFonts w:ascii="Times New Roman" w:hAnsi="Times New Roman"/>
        </w:rPr>
        <w:t xml:space="preserve">possibility of </w:t>
      </w:r>
      <w:r w:rsidR="00143B2D" w:rsidRPr="00842E68">
        <w:rPr>
          <w:rFonts w:ascii="Times New Roman" w:hAnsi="Times New Roman"/>
        </w:rPr>
        <w:t xml:space="preserve">exceptional circumstances such as </w:t>
      </w:r>
      <w:r w:rsidRPr="00842E68">
        <w:rPr>
          <w:rFonts w:ascii="Times New Roman" w:hAnsi="Times New Roman"/>
        </w:rPr>
        <w:t>a "special declaration" under Art</w:t>
      </w:r>
      <w:r w:rsidR="000D6573" w:rsidRPr="00842E68">
        <w:rPr>
          <w:rFonts w:ascii="Times New Roman" w:hAnsi="Times New Roman"/>
        </w:rPr>
        <w:t> </w:t>
      </w:r>
      <w:r w:rsidRPr="00842E68">
        <w:rPr>
          <w:rFonts w:ascii="Times New Roman" w:hAnsi="Times New Roman"/>
        </w:rPr>
        <w:t>22(2) in cases where, for example, a passenger has extremely valuable baggage and is prepared to pay more for a higher limit of liability. So too, r</w:t>
      </w:r>
      <w:r w:rsidR="009030BA" w:rsidRPr="00842E68">
        <w:rPr>
          <w:rFonts w:ascii="Times New Roman" w:hAnsi="Times New Roman"/>
        </w:rPr>
        <w:t> </w:t>
      </w:r>
      <w:r w:rsidRPr="00842E68">
        <w:rPr>
          <w:rFonts w:ascii="Times New Roman" w:hAnsi="Times New Roman"/>
        </w:rPr>
        <w:t>105C(1)(a) declares the effect of Art</w:t>
      </w:r>
      <w:r w:rsidR="009030BA" w:rsidRPr="00842E68">
        <w:rPr>
          <w:rFonts w:ascii="Times New Roman" w:hAnsi="Times New Roman"/>
        </w:rPr>
        <w:t> </w:t>
      </w:r>
      <w:r w:rsidRPr="00842E68">
        <w:rPr>
          <w:rFonts w:ascii="Times New Roman" w:hAnsi="Times New Roman"/>
        </w:rPr>
        <w:t xml:space="preserve">17 of the Montreal Convention. </w:t>
      </w:r>
    </w:p>
    <w:p w14:paraId="04E8061B" w14:textId="12FA5C23"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t>Fourthly, the provision that immediately precedes r</w:t>
      </w:r>
      <w:r w:rsidR="000D6573" w:rsidRPr="00842E68">
        <w:rPr>
          <w:rFonts w:ascii="Times New Roman" w:hAnsi="Times New Roman"/>
        </w:rPr>
        <w:t> </w:t>
      </w:r>
      <w:r w:rsidRPr="00842E68">
        <w:rPr>
          <w:rFonts w:ascii="Times New Roman" w:hAnsi="Times New Roman"/>
        </w:rPr>
        <w:t>105</w:t>
      </w:r>
      <w:r w:rsidR="000D6573"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(1)(a) (namely r</w:t>
      </w:r>
      <w:r w:rsidR="000D6573" w:rsidRPr="00842E68">
        <w:rPr>
          <w:rFonts w:ascii="Times New Roman" w:hAnsi="Times New Roman"/>
        </w:rPr>
        <w:t> </w:t>
      </w:r>
      <w:r w:rsidRPr="00842E68">
        <w:rPr>
          <w:rFonts w:ascii="Times New Roman" w:hAnsi="Times New Roman"/>
        </w:rPr>
        <w:t>105</w:t>
      </w:r>
      <w:r w:rsidR="000D6573" w:rsidRPr="00842E68">
        <w:rPr>
          <w:rFonts w:ascii="Times New Roman" w:hAnsi="Times New Roman"/>
        </w:rPr>
        <w:t>(</w:t>
      </w:r>
      <w:r w:rsidRPr="00842E68">
        <w:rPr>
          <w:rFonts w:ascii="Times New Roman" w:hAnsi="Times New Roman"/>
        </w:rPr>
        <w:t>B</w:t>
      </w:r>
      <w:r w:rsidR="000D6573" w:rsidRPr="00842E68">
        <w:rPr>
          <w:rFonts w:ascii="Times New Roman" w:hAnsi="Times New Roman"/>
        </w:rPr>
        <w:t>)</w:t>
      </w:r>
      <w:r w:rsidRPr="00842E68">
        <w:rPr>
          <w:rFonts w:ascii="Times New Roman" w:hAnsi="Times New Roman"/>
        </w:rPr>
        <w:t xml:space="preserve">(5)) is concerned to ensure that the liability rules of the Montreal Convention are "fully incorporated" in the Air Canada </w:t>
      </w:r>
      <w:r w:rsidR="00D64019" w:rsidRPr="00842E68">
        <w:rPr>
          <w:rFonts w:ascii="Times New Roman" w:hAnsi="Times New Roman"/>
        </w:rPr>
        <w:t>T</w:t>
      </w:r>
      <w:r w:rsidRPr="00842E68">
        <w:rPr>
          <w:rFonts w:ascii="Times New Roman" w:hAnsi="Times New Roman"/>
        </w:rPr>
        <w:t xml:space="preserve">ariff, even to the extent of providing that those rules prevail over any inconsistent provisions of the Air Canada </w:t>
      </w:r>
      <w:r w:rsidR="00D64019" w:rsidRPr="00842E68">
        <w:rPr>
          <w:rFonts w:ascii="Times New Roman" w:hAnsi="Times New Roman"/>
        </w:rPr>
        <w:t>T</w:t>
      </w:r>
      <w:r w:rsidRPr="00842E68">
        <w:rPr>
          <w:rFonts w:ascii="Times New Roman" w:hAnsi="Times New Roman"/>
        </w:rPr>
        <w:t>ariff. Of course, there would be no inconsistency that would arise by Air Canada exercising the power recognised in Art</w:t>
      </w:r>
      <w:r w:rsidR="000D6573" w:rsidRPr="00842E68">
        <w:rPr>
          <w:rFonts w:ascii="Times New Roman" w:hAnsi="Times New Roman"/>
        </w:rPr>
        <w:t> </w:t>
      </w:r>
      <w:r w:rsidRPr="00842E68">
        <w:rPr>
          <w:rFonts w:ascii="Times New Roman" w:hAnsi="Times New Roman"/>
        </w:rPr>
        <w:t>25 for Air Canada to raise or waive the limit o</w:t>
      </w:r>
      <w:r w:rsidR="0000343B" w:rsidRPr="00842E68">
        <w:rPr>
          <w:rFonts w:ascii="Times New Roman" w:hAnsi="Times New Roman"/>
        </w:rPr>
        <w:t>r</w:t>
      </w:r>
      <w:r w:rsidRPr="00842E68">
        <w:rPr>
          <w:rFonts w:ascii="Times New Roman" w:hAnsi="Times New Roman"/>
        </w:rPr>
        <w:t xml:space="preserve"> the threshold </w:t>
      </w:r>
      <w:r w:rsidR="00AE1CC9" w:rsidRPr="00842E68">
        <w:rPr>
          <w:rFonts w:ascii="Times New Roman" w:hAnsi="Times New Roman"/>
        </w:rPr>
        <w:t xml:space="preserve">applicable </w:t>
      </w:r>
      <w:r w:rsidRPr="00842E68">
        <w:rPr>
          <w:rFonts w:ascii="Times New Roman" w:hAnsi="Times New Roman"/>
        </w:rPr>
        <w:t>to the Art</w:t>
      </w:r>
      <w:r w:rsidR="000D6573" w:rsidRPr="00842E68">
        <w:rPr>
          <w:rFonts w:ascii="Times New Roman" w:hAnsi="Times New Roman"/>
        </w:rPr>
        <w:t> </w:t>
      </w:r>
      <w:r w:rsidRPr="00842E68">
        <w:rPr>
          <w:rFonts w:ascii="Times New Roman" w:hAnsi="Times New Roman"/>
        </w:rPr>
        <w:t xml:space="preserve">21(2) defence, or </w:t>
      </w:r>
      <w:r w:rsidR="008B2D00" w:rsidRPr="00842E68">
        <w:rPr>
          <w:rFonts w:ascii="Times New Roman" w:hAnsi="Times New Roman"/>
        </w:rPr>
        <w:t>by</w:t>
      </w:r>
      <w:r w:rsidR="001A4AEF" w:rsidRPr="00842E68">
        <w:rPr>
          <w:rFonts w:ascii="Times New Roman" w:hAnsi="Times New Roman"/>
        </w:rPr>
        <w:t xml:space="preserve"> exercising </w:t>
      </w:r>
      <w:r w:rsidRPr="00842E68">
        <w:rPr>
          <w:rFonts w:ascii="Times New Roman" w:hAnsi="Times New Roman"/>
        </w:rPr>
        <w:t>the power in Art</w:t>
      </w:r>
      <w:r w:rsidR="000D6573" w:rsidRPr="00842E68">
        <w:rPr>
          <w:rFonts w:ascii="Times New Roman" w:hAnsi="Times New Roman"/>
        </w:rPr>
        <w:t> </w:t>
      </w:r>
      <w:r w:rsidRPr="00842E68">
        <w:rPr>
          <w:rFonts w:ascii="Times New Roman" w:hAnsi="Times New Roman"/>
        </w:rPr>
        <w:t>27 to waive any defence. But, unlike r</w:t>
      </w:r>
      <w:r w:rsidR="000D6573" w:rsidRPr="00842E68">
        <w:rPr>
          <w:rFonts w:ascii="Times New Roman" w:hAnsi="Times New Roman"/>
        </w:rPr>
        <w:t> </w:t>
      </w:r>
      <w:r w:rsidRPr="00842E68">
        <w:rPr>
          <w:rFonts w:ascii="Times New Roman" w:hAnsi="Times New Roman"/>
        </w:rPr>
        <w:t>105</w:t>
      </w:r>
      <w:r w:rsidR="008B58BD" w:rsidRPr="00842E68">
        <w:rPr>
          <w:rFonts w:ascii="Times New Roman" w:hAnsi="Times New Roman"/>
        </w:rPr>
        <w:t>(</w:t>
      </w:r>
      <w:r w:rsidRPr="00842E68">
        <w:rPr>
          <w:rFonts w:ascii="Times New Roman" w:hAnsi="Times New Roman"/>
        </w:rPr>
        <w:t>B</w:t>
      </w:r>
      <w:r w:rsidR="008B58BD" w:rsidRPr="00842E68">
        <w:rPr>
          <w:rFonts w:ascii="Times New Roman" w:hAnsi="Times New Roman"/>
        </w:rPr>
        <w:t>)</w:t>
      </w:r>
      <w:r w:rsidRPr="00842E68">
        <w:rPr>
          <w:rFonts w:ascii="Times New Roman" w:hAnsi="Times New Roman"/>
        </w:rPr>
        <w:t>(1), which, in accordance with the terms of the 1995/6 IATA Agreements, waives defences under the Warsaw Convention, r</w:t>
      </w:r>
      <w:r w:rsidR="00334BF1" w:rsidRPr="00842E68">
        <w:rPr>
          <w:rFonts w:ascii="Times New Roman" w:hAnsi="Times New Roman"/>
        </w:rPr>
        <w:t> </w:t>
      </w:r>
      <w:r w:rsidRPr="00842E68">
        <w:rPr>
          <w:rFonts w:ascii="Times New Roman" w:hAnsi="Times New Roman"/>
        </w:rPr>
        <w:t>105</w:t>
      </w:r>
      <w:r w:rsidR="000D6573"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 xml:space="preserve">(1)(a) does not use the language of waiver. Nor does it use the language of raising or abolishing </w:t>
      </w:r>
      <w:r w:rsidR="00030A38" w:rsidRPr="00842E68">
        <w:rPr>
          <w:rFonts w:ascii="Times New Roman" w:hAnsi="Times New Roman"/>
        </w:rPr>
        <w:t xml:space="preserve">the </w:t>
      </w:r>
      <w:r w:rsidRPr="00842E68">
        <w:rPr>
          <w:rFonts w:ascii="Times New Roman" w:hAnsi="Times New Roman"/>
        </w:rPr>
        <w:t>limit</w:t>
      </w:r>
      <w:r w:rsidR="00030A38" w:rsidRPr="00842E68">
        <w:rPr>
          <w:rFonts w:ascii="Times New Roman" w:hAnsi="Times New Roman"/>
        </w:rPr>
        <w:t xml:space="preserve"> for the application of the defence in Art</w:t>
      </w:r>
      <w:r w:rsidR="00D90EAC" w:rsidRPr="00842E68">
        <w:rPr>
          <w:rFonts w:ascii="Times New Roman" w:hAnsi="Times New Roman"/>
        </w:rPr>
        <w:t> </w:t>
      </w:r>
      <w:r w:rsidR="00030A38" w:rsidRPr="00842E68">
        <w:rPr>
          <w:rFonts w:ascii="Times New Roman" w:hAnsi="Times New Roman"/>
        </w:rPr>
        <w:t>21(2)</w:t>
      </w:r>
      <w:r w:rsidRPr="00842E68">
        <w:rPr>
          <w:rFonts w:ascii="Times New Roman" w:hAnsi="Times New Roman"/>
        </w:rPr>
        <w:t xml:space="preserve">.  </w:t>
      </w:r>
    </w:p>
    <w:p w14:paraId="0CB4A01C" w14:textId="3CEA2EDA" w:rsidR="00AC1C5D" w:rsidRPr="00842E68" w:rsidRDefault="00AC1C5D" w:rsidP="00842E68">
      <w:pPr>
        <w:pStyle w:val="FixListStyle"/>
        <w:spacing w:after="260" w:line="280" w:lineRule="exact"/>
        <w:ind w:right="0"/>
        <w:jc w:val="both"/>
        <w:rPr>
          <w:rFonts w:ascii="Times New Roman" w:hAnsi="Times New Roman"/>
        </w:rPr>
      </w:pPr>
      <w:r w:rsidRPr="00842E68">
        <w:rPr>
          <w:rFonts w:ascii="Times New Roman" w:hAnsi="Times New Roman"/>
        </w:rPr>
        <w:tab/>
      </w:r>
      <w:r w:rsidR="002823A2" w:rsidRPr="00842E68">
        <w:rPr>
          <w:rFonts w:ascii="Times New Roman" w:hAnsi="Times New Roman"/>
        </w:rPr>
        <w:t>Fifthly</w:t>
      </w:r>
      <w:r w:rsidRPr="00842E68">
        <w:rPr>
          <w:rFonts w:ascii="Times New Roman" w:hAnsi="Times New Roman"/>
        </w:rPr>
        <w:t>, the appellant passengers' interpretation of r 105</w:t>
      </w:r>
      <w:r w:rsidR="000D6573"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(1)(a) is in tension with Air Canada's provision in r 105</w:t>
      </w:r>
      <w:r w:rsidR="000D6573" w:rsidRPr="00842E68">
        <w:rPr>
          <w:rFonts w:ascii="Times New Roman" w:hAnsi="Times New Roman"/>
        </w:rPr>
        <w:t>(</w:t>
      </w:r>
      <w:r w:rsidRPr="00842E68">
        <w:rPr>
          <w:rFonts w:ascii="Times New Roman" w:hAnsi="Times New Roman"/>
        </w:rPr>
        <w:t>C</w:t>
      </w:r>
      <w:r w:rsidR="000D6573" w:rsidRPr="00842E68">
        <w:rPr>
          <w:rFonts w:ascii="Times New Roman" w:hAnsi="Times New Roman"/>
        </w:rPr>
        <w:t>)</w:t>
      </w:r>
      <w:r w:rsidRPr="00842E68">
        <w:rPr>
          <w:rFonts w:ascii="Times New Roman" w:hAnsi="Times New Roman"/>
        </w:rPr>
        <w:t>(4)</w:t>
      </w:r>
      <w:r w:rsidR="009C348D" w:rsidRPr="00842E68">
        <w:rPr>
          <w:rFonts w:ascii="Times New Roman" w:hAnsi="Times New Roman"/>
        </w:rPr>
        <w:t xml:space="preserve"> (</w:t>
      </w:r>
      <w:r w:rsidRPr="00842E68">
        <w:rPr>
          <w:rFonts w:ascii="Times New Roman" w:hAnsi="Times New Roman"/>
        </w:rPr>
        <w:t xml:space="preserve">subject to provision otherwise </w:t>
      </w:r>
      <w:r w:rsidR="000D496D" w:rsidRPr="00842E68">
        <w:rPr>
          <w:rFonts w:ascii="Times New Roman" w:hAnsi="Times New Roman"/>
        </w:rPr>
        <w:t xml:space="preserve">in the Air Canada Tariff </w:t>
      </w:r>
      <w:r w:rsidRPr="00842E68">
        <w:rPr>
          <w:rFonts w:ascii="Times New Roman" w:hAnsi="Times New Roman"/>
        </w:rPr>
        <w:t xml:space="preserve">or </w:t>
      </w:r>
      <w:r w:rsidR="000D496D" w:rsidRPr="00842E68">
        <w:rPr>
          <w:rFonts w:ascii="Times New Roman" w:hAnsi="Times New Roman"/>
        </w:rPr>
        <w:t>in</w:t>
      </w:r>
      <w:r w:rsidRPr="00842E68">
        <w:rPr>
          <w:rFonts w:ascii="Times New Roman" w:hAnsi="Times New Roman"/>
        </w:rPr>
        <w:t xml:space="preserve"> applicable laws</w:t>
      </w:r>
      <w:r w:rsidR="009C348D" w:rsidRPr="00842E68">
        <w:rPr>
          <w:rFonts w:ascii="Times New Roman" w:hAnsi="Times New Roman"/>
        </w:rPr>
        <w:t>)</w:t>
      </w:r>
      <w:r w:rsidRPr="00842E68">
        <w:rPr>
          <w:rFonts w:ascii="Times New Roman" w:hAnsi="Times New Roman"/>
        </w:rPr>
        <w:t xml:space="preserve"> </w:t>
      </w:r>
      <w:r w:rsidR="00710BC8" w:rsidRPr="00842E68">
        <w:rPr>
          <w:rFonts w:ascii="Times New Roman" w:hAnsi="Times New Roman"/>
        </w:rPr>
        <w:t>that it has a</w:t>
      </w:r>
      <w:r w:rsidRPr="00842E68">
        <w:rPr>
          <w:rFonts w:ascii="Times New Roman" w:hAnsi="Times New Roman"/>
        </w:rPr>
        <w:t xml:space="preserve"> defence to liability for </w:t>
      </w:r>
      <w:r w:rsidRPr="00842E68">
        <w:rPr>
          <w:rFonts w:ascii="Times New Roman" w:hAnsi="Times New Roman"/>
        </w:rPr>
        <w:lastRenderedPageBreak/>
        <w:t xml:space="preserve">death or injury that is not caused by its negligence. </w:t>
      </w:r>
      <w:r w:rsidR="00710BC8" w:rsidRPr="00842E68">
        <w:rPr>
          <w:rFonts w:ascii="Times New Roman" w:hAnsi="Times New Roman"/>
        </w:rPr>
        <w:t>Of course, r 105(C)(4) must be read as subject to the limit</w:t>
      </w:r>
      <w:r w:rsidR="00DD401A" w:rsidRPr="00842E68">
        <w:rPr>
          <w:rFonts w:ascii="Times New Roman" w:hAnsi="Times New Roman"/>
        </w:rPr>
        <w:t xml:space="preserve"> or threshold</w:t>
      </w:r>
      <w:r w:rsidR="00710BC8" w:rsidRPr="00842E68">
        <w:rPr>
          <w:rFonts w:ascii="Times New Roman" w:hAnsi="Times New Roman"/>
        </w:rPr>
        <w:t xml:space="preserve"> </w:t>
      </w:r>
      <w:r w:rsidR="00BE54D6" w:rsidRPr="00842E68">
        <w:rPr>
          <w:rFonts w:ascii="Times New Roman" w:hAnsi="Times New Roman"/>
        </w:rPr>
        <w:t xml:space="preserve">for the </w:t>
      </w:r>
      <w:r w:rsidR="00DD401A" w:rsidRPr="00842E68">
        <w:rPr>
          <w:rFonts w:ascii="Times New Roman" w:hAnsi="Times New Roman"/>
        </w:rPr>
        <w:t xml:space="preserve">application of </w:t>
      </w:r>
      <w:r w:rsidR="00BE54D6" w:rsidRPr="00842E68">
        <w:rPr>
          <w:rFonts w:ascii="Times New Roman" w:hAnsi="Times New Roman"/>
        </w:rPr>
        <w:t xml:space="preserve">the "no negligence" defence </w:t>
      </w:r>
      <w:r w:rsidR="00710BC8" w:rsidRPr="00842E68">
        <w:rPr>
          <w:rFonts w:ascii="Times New Roman" w:hAnsi="Times New Roman"/>
        </w:rPr>
        <w:t>in Art</w:t>
      </w:r>
      <w:r w:rsidR="00A167DF" w:rsidRPr="00842E68">
        <w:rPr>
          <w:rFonts w:ascii="Times New Roman" w:hAnsi="Times New Roman"/>
        </w:rPr>
        <w:t> </w:t>
      </w:r>
      <w:r w:rsidR="00710BC8" w:rsidRPr="00842E68">
        <w:rPr>
          <w:rFonts w:ascii="Times New Roman" w:hAnsi="Times New Roman"/>
        </w:rPr>
        <w:t>21(2)</w:t>
      </w:r>
      <w:r w:rsidR="00BE54D6" w:rsidRPr="00842E68">
        <w:rPr>
          <w:rFonts w:ascii="Times New Roman" w:hAnsi="Times New Roman"/>
        </w:rPr>
        <w:t xml:space="preserve">. But r 105(C)(4) confirms that Air Canada did not intend to waive that defence. </w:t>
      </w:r>
      <w:r w:rsidR="00710BC8" w:rsidRPr="00842E68">
        <w:rPr>
          <w:rFonts w:ascii="Times New Roman" w:hAnsi="Times New Roman"/>
        </w:rPr>
        <w:t xml:space="preserve"> </w:t>
      </w:r>
      <w:r w:rsidRPr="00842E68">
        <w:rPr>
          <w:rFonts w:ascii="Times New Roman" w:hAnsi="Times New Roman"/>
        </w:rPr>
        <w:t xml:space="preserve">  </w:t>
      </w:r>
    </w:p>
    <w:p w14:paraId="086F0859" w14:textId="77777777" w:rsidR="00AC1C5D" w:rsidRPr="00842E68" w:rsidRDefault="00AC1C5D" w:rsidP="00842E68">
      <w:pPr>
        <w:pStyle w:val="HeadingL1"/>
        <w:spacing w:after="260" w:line="280" w:lineRule="exact"/>
        <w:ind w:right="0"/>
        <w:jc w:val="both"/>
        <w:rPr>
          <w:rFonts w:ascii="Times New Roman" w:hAnsi="Times New Roman"/>
        </w:rPr>
      </w:pPr>
      <w:r w:rsidRPr="00842E68">
        <w:rPr>
          <w:rFonts w:ascii="Times New Roman" w:hAnsi="Times New Roman"/>
        </w:rPr>
        <w:t>Conclusion</w:t>
      </w:r>
    </w:p>
    <w:p w14:paraId="4D834058" w14:textId="77777777" w:rsidR="0069483E" w:rsidRDefault="00AC1C5D" w:rsidP="00842E68">
      <w:pPr>
        <w:pStyle w:val="FixListStyle"/>
        <w:spacing w:after="260" w:line="280" w:lineRule="exact"/>
        <w:ind w:right="0"/>
        <w:jc w:val="both"/>
        <w:rPr>
          <w:rFonts w:ascii="Times New Roman" w:hAnsi="Times New Roman"/>
        </w:rPr>
        <w:sectPr w:rsidR="0069483E" w:rsidSect="0089167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r w:rsidRPr="00842E68">
        <w:rPr>
          <w:rFonts w:ascii="Times New Roman" w:hAnsi="Times New Roman"/>
        </w:rPr>
        <w:tab/>
        <w:t xml:space="preserve">The appeal must be dismissed with costs.  </w:t>
      </w:r>
    </w:p>
    <w:p w14:paraId="49BC7F5B" w14:textId="68047819" w:rsidR="0053630A" w:rsidRPr="00842E68" w:rsidRDefault="0053630A" w:rsidP="0069483E">
      <w:pPr>
        <w:pStyle w:val="NormalBody"/>
      </w:pPr>
    </w:p>
    <w:sectPr w:rsidR="0053630A" w:rsidRPr="00842E68" w:rsidSect="0069483E">
      <w:headerReference w:type="first" r:id="rId23"/>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F871" w14:textId="77777777" w:rsidR="000226C7" w:rsidRDefault="000226C7">
      <w:pPr>
        <w:spacing w:line="240" w:lineRule="auto"/>
      </w:pPr>
      <w:r>
        <w:separator/>
      </w:r>
    </w:p>
  </w:endnote>
  <w:endnote w:type="continuationSeparator" w:id="0">
    <w:p w14:paraId="5C932AEA" w14:textId="77777777" w:rsidR="000226C7" w:rsidRDefault="000226C7">
      <w:pPr>
        <w:spacing w:line="240" w:lineRule="auto"/>
      </w:pPr>
      <w:r>
        <w:continuationSeparator/>
      </w:r>
    </w:p>
  </w:endnote>
  <w:endnote w:type="continuationNotice" w:id="1">
    <w:p w14:paraId="436C57AD" w14:textId="77777777" w:rsidR="000226C7" w:rsidRDefault="000226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4F3C" w14:textId="77777777" w:rsidR="00891673" w:rsidRDefault="00891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1A79" w14:textId="77777777" w:rsidR="00891673" w:rsidRDefault="00891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5528" w14:textId="77777777" w:rsidR="00891673" w:rsidRDefault="008916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3575" w14:textId="77777777" w:rsidR="00891673" w:rsidRDefault="008916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EA98" w14:textId="77777777" w:rsidR="00891673" w:rsidRDefault="008916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3E42" w14:textId="77777777" w:rsidR="00891673" w:rsidRDefault="0089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E085" w14:textId="77777777" w:rsidR="000226C7" w:rsidRPr="00842E68" w:rsidRDefault="000226C7" w:rsidP="00842E68">
      <w:pPr>
        <w:pStyle w:val="Footer"/>
        <w:spacing w:before="120" w:after="20"/>
        <w:ind w:right="0"/>
        <w:rPr>
          <w:rFonts w:ascii="Times New Roman" w:hAnsi="Times New Roman"/>
        </w:rPr>
      </w:pPr>
      <w:r>
        <w:continuationSeparator/>
      </w:r>
    </w:p>
  </w:footnote>
  <w:footnote w:type="continuationSeparator" w:id="0">
    <w:p w14:paraId="44F84DEA" w14:textId="77777777" w:rsidR="000226C7" w:rsidRPr="00842E68" w:rsidRDefault="000226C7" w:rsidP="00842E68">
      <w:pPr>
        <w:pStyle w:val="Footer"/>
        <w:spacing w:before="120" w:after="20"/>
        <w:ind w:right="0"/>
        <w:rPr>
          <w:rFonts w:ascii="Times New Roman" w:hAnsi="Times New Roman"/>
        </w:rPr>
      </w:pPr>
      <w:r w:rsidRPr="00842E68">
        <w:rPr>
          <w:rFonts w:ascii="Times New Roman" w:hAnsi="Times New Roman"/>
        </w:rPr>
        <w:continuationSeparator/>
      </w:r>
    </w:p>
  </w:footnote>
  <w:footnote w:type="continuationNotice" w:id="1">
    <w:p w14:paraId="0252B6B1" w14:textId="77777777" w:rsidR="000226C7" w:rsidRPr="0069483E" w:rsidRDefault="000226C7">
      <w:pPr>
        <w:jc w:val="right"/>
        <w:rPr>
          <w:rFonts w:ascii="Times New Roman" w:hAnsi="Times New Roman"/>
          <w:sz w:val="24"/>
        </w:rPr>
      </w:pPr>
    </w:p>
  </w:footnote>
  <w:footnote w:id="2">
    <w:p w14:paraId="76A0B333" w14:textId="77777777" w:rsidR="00C020B4" w:rsidRPr="00842E68" w:rsidRDefault="00C020B4"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2242 UNTS 309.</w:t>
      </w:r>
    </w:p>
  </w:footnote>
  <w:footnote w:id="3">
    <w:p w14:paraId="15AD6139" w14:textId="0EB12C00" w:rsidR="004E70E4" w:rsidRPr="00842E68" w:rsidRDefault="004E70E4"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Pr="00842E68">
        <w:rPr>
          <w:rFonts w:ascii="Times New Roman" w:hAnsi="Times New Roman"/>
          <w:i/>
          <w:iCs/>
          <w:sz w:val="24"/>
        </w:rPr>
        <w:t xml:space="preserve">Civil Aviation (Carriers' Liability) Act 1959 </w:t>
      </w:r>
      <w:r w:rsidRPr="00842E68">
        <w:rPr>
          <w:rFonts w:ascii="Times New Roman" w:hAnsi="Times New Roman"/>
          <w:sz w:val="24"/>
        </w:rPr>
        <w:t>(</w:t>
      </w:r>
      <w:proofErr w:type="spellStart"/>
      <w:r w:rsidRPr="00842E68">
        <w:rPr>
          <w:rFonts w:ascii="Times New Roman" w:hAnsi="Times New Roman"/>
          <w:sz w:val="24"/>
        </w:rPr>
        <w:t>Cth</w:t>
      </w:r>
      <w:proofErr w:type="spellEnd"/>
      <w:r w:rsidRPr="00842E68">
        <w:rPr>
          <w:rFonts w:ascii="Times New Roman" w:hAnsi="Times New Roman"/>
          <w:sz w:val="24"/>
        </w:rPr>
        <w:t>), s 9B</w:t>
      </w:r>
      <w:r w:rsidR="0054733F" w:rsidRPr="00842E68">
        <w:rPr>
          <w:rFonts w:ascii="Times New Roman" w:hAnsi="Times New Roman"/>
          <w:sz w:val="24"/>
        </w:rPr>
        <w:t>.</w:t>
      </w:r>
    </w:p>
  </w:footnote>
  <w:footnote w:id="4">
    <w:p w14:paraId="11360E01" w14:textId="67B3ECA9" w:rsidR="00AD28D8" w:rsidRPr="00842E68" w:rsidRDefault="00AD28D8"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Although expressed as 128,821 Special Drawing Rights</w:t>
      </w:r>
      <w:r w:rsidR="00C4168E" w:rsidRPr="00842E68">
        <w:rPr>
          <w:rFonts w:ascii="Times New Roman" w:hAnsi="Times New Roman"/>
          <w:sz w:val="24"/>
        </w:rPr>
        <w:t xml:space="preserve"> in a sep</w:t>
      </w:r>
      <w:r w:rsidR="00B759CC" w:rsidRPr="00842E68">
        <w:rPr>
          <w:rFonts w:ascii="Times New Roman" w:hAnsi="Times New Roman"/>
          <w:sz w:val="24"/>
        </w:rPr>
        <w:t xml:space="preserve">arate question </w:t>
      </w:r>
      <w:r w:rsidR="00350620" w:rsidRPr="00842E68">
        <w:rPr>
          <w:rFonts w:ascii="Times New Roman" w:hAnsi="Times New Roman"/>
          <w:sz w:val="24"/>
        </w:rPr>
        <w:t>referred to the primary judge</w:t>
      </w:r>
      <w:r w:rsidRPr="00842E68">
        <w:rPr>
          <w:rFonts w:ascii="Times New Roman" w:hAnsi="Times New Roman"/>
          <w:sz w:val="24"/>
        </w:rPr>
        <w:t xml:space="preserve">, </w:t>
      </w:r>
      <w:r w:rsidR="00051363" w:rsidRPr="00842E68">
        <w:rPr>
          <w:rFonts w:ascii="Times New Roman" w:hAnsi="Times New Roman"/>
          <w:sz w:val="24"/>
        </w:rPr>
        <w:t>there was no dispute</w:t>
      </w:r>
      <w:r w:rsidRPr="00842E68">
        <w:rPr>
          <w:rFonts w:ascii="Times New Roman" w:hAnsi="Times New Roman"/>
          <w:sz w:val="24"/>
        </w:rPr>
        <w:t xml:space="preserve"> in the Court of Appeal</w:t>
      </w:r>
      <w:r w:rsidR="00BC03C6" w:rsidRPr="00842E68">
        <w:rPr>
          <w:rFonts w:ascii="Times New Roman" w:hAnsi="Times New Roman"/>
          <w:sz w:val="24"/>
        </w:rPr>
        <w:t xml:space="preserve"> </w:t>
      </w:r>
      <w:r w:rsidR="00CB071B" w:rsidRPr="00842E68">
        <w:rPr>
          <w:rFonts w:ascii="Times New Roman" w:hAnsi="Times New Roman"/>
          <w:sz w:val="24"/>
        </w:rPr>
        <w:t xml:space="preserve">or </w:t>
      </w:r>
      <w:r w:rsidR="00BC03C6" w:rsidRPr="00842E68">
        <w:rPr>
          <w:rFonts w:ascii="Times New Roman" w:hAnsi="Times New Roman"/>
          <w:sz w:val="24"/>
        </w:rPr>
        <w:t>in this Court</w:t>
      </w:r>
      <w:r w:rsidRPr="00842E68">
        <w:rPr>
          <w:rFonts w:ascii="Times New Roman" w:hAnsi="Times New Roman"/>
          <w:sz w:val="24"/>
        </w:rPr>
        <w:t xml:space="preserve">, following </w:t>
      </w:r>
      <w:r w:rsidR="00BC03C6" w:rsidRPr="00842E68">
        <w:rPr>
          <w:rFonts w:ascii="Times New Roman" w:hAnsi="Times New Roman"/>
          <w:sz w:val="24"/>
        </w:rPr>
        <w:t xml:space="preserve">the observations of the primary judge, that the correct cap at the relevant time was 113,100 Special Drawing Rights. </w:t>
      </w:r>
    </w:p>
  </w:footnote>
  <w:footnote w:id="5">
    <w:p w14:paraId="1160A110" w14:textId="34FFC47D" w:rsidR="00BB016C" w:rsidRPr="00842E68" w:rsidRDefault="00BB016C"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0002632C" w:rsidRPr="00842E68">
        <w:rPr>
          <w:rFonts w:ascii="Times New Roman" w:hAnsi="Times New Roman"/>
          <w:sz w:val="24"/>
        </w:rPr>
        <w:tab/>
      </w:r>
      <w:r w:rsidR="006E1071" w:rsidRPr="00842E68">
        <w:rPr>
          <w:rFonts w:ascii="Times New Roman" w:hAnsi="Times New Roman"/>
          <w:sz w:val="24"/>
        </w:rPr>
        <w:t xml:space="preserve">See </w:t>
      </w:r>
      <w:r w:rsidR="0002632C" w:rsidRPr="00842E68">
        <w:rPr>
          <w:rFonts w:ascii="Times New Roman" w:hAnsi="Times New Roman"/>
          <w:sz w:val="24"/>
        </w:rPr>
        <w:t>Montreal Convention, Art 23(1).</w:t>
      </w:r>
    </w:p>
  </w:footnote>
  <w:footnote w:id="6">
    <w:p w14:paraId="65266FFC" w14:textId="7A4B2322" w:rsidR="00845B13" w:rsidRPr="00842E68" w:rsidRDefault="00845B13"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9629B1" w:rsidRPr="00842E68">
        <w:rPr>
          <w:rFonts w:ascii="Times New Roman" w:hAnsi="Times New Roman"/>
          <w:i/>
          <w:iCs/>
          <w:sz w:val="24"/>
        </w:rPr>
        <w:t xml:space="preserve">Evans v Air Canada </w:t>
      </w:r>
      <w:r w:rsidR="009629B1" w:rsidRPr="00842E68">
        <w:rPr>
          <w:rFonts w:ascii="Times New Roman" w:hAnsi="Times New Roman"/>
          <w:sz w:val="24"/>
        </w:rPr>
        <w:t xml:space="preserve">[2023] NSWSC 1535 </w:t>
      </w:r>
      <w:r w:rsidRPr="00842E68">
        <w:rPr>
          <w:rFonts w:ascii="Times New Roman" w:hAnsi="Times New Roman"/>
          <w:sz w:val="24"/>
        </w:rPr>
        <w:t xml:space="preserve">at [51]. </w:t>
      </w:r>
    </w:p>
  </w:footnote>
  <w:footnote w:id="7">
    <w:p w14:paraId="0313EF86" w14:textId="5A5DA001" w:rsidR="009048A5" w:rsidRPr="00842E68" w:rsidRDefault="009048A5"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007914FE" w:rsidRPr="00842E68">
        <w:rPr>
          <w:rFonts w:ascii="Times New Roman" w:hAnsi="Times New Roman"/>
          <w:sz w:val="24"/>
        </w:rPr>
        <w:tab/>
      </w:r>
      <w:r w:rsidR="007914FE" w:rsidRPr="00842E68">
        <w:rPr>
          <w:rFonts w:ascii="Times New Roman" w:hAnsi="Times New Roman"/>
          <w:i/>
          <w:iCs/>
          <w:sz w:val="24"/>
        </w:rPr>
        <w:t xml:space="preserve">Evans v Air Canada </w:t>
      </w:r>
      <w:r w:rsidR="007914FE" w:rsidRPr="00842E68">
        <w:rPr>
          <w:rFonts w:ascii="Times New Roman" w:hAnsi="Times New Roman"/>
          <w:sz w:val="24"/>
        </w:rPr>
        <w:t>[2023] NSWSC 1535 at [61].</w:t>
      </w:r>
    </w:p>
  </w:footnote>
  <w:footnote w:id="8">
    <w:p w14:paraId="19D04C33" w14:textId="77777777" w:rsidR="00EC4C50" w:rsidRPr="00842E68" w:rsidRDefault="00EC4C50"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Pr="00842E68">
        <w:rPr>
          <w:rFonts w:ascii="Times New Roman" w:hAnsi="Times New Roman"/>
          <w:i/>
          <w:iCs/>
          <w:sz w:val="24"/>
        </w:rPr>
        <w:t xml:space="preserve">Air Canada v Evans </w:t>
      </w:r>
      <w:r w:rsidRPr="00842E68">
        <w:rPr>
          <w:rFonts w:ascii="Times New Roman" w:hAnsi="Times New Roman"/>
          <w:sz w:val="24"/>
        </w:rPr>
        <w:t>(2024) 114 NSWLR 433.</w:t>
      </w:r>
    </w:p>
  </w:footnote>
  <w:footnote w:id="9">
    <w:p w14:paraId="21318BCD" w14:textId="6CAFA296" w:rsidR="007035BF" w:rsidRPr="00842E68" w:rsidRDefault="007035BF"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00CF7678" w:rsidRPr="00842E68">
        <w:rPr>
          <w:rFonts w:ascii="Times New Roman" w:hAnsi="Times New Roman"/>
          <w:sz w:val="24"/>
        </w:rPr>
        <w:tab/>
      </w:r>
      <w:r w:rsidR="00CF7678" w:rsidRPr="00842E68">
        <w:rPr>
          <w:rFonts w:ascii="Times New Roman" w:hAnsi="Times New Roman"/>
          <w:i/>
          <w:sz w:val="24"/>
        </w:rPr>
        <w:t xml:space="preserve">Air Canada v Evans </w:t>
      </w:r>
      <w:r w:rsidR="00CF7678" w:rsidRPr="00842E68">
        <w:rPr>
          <w:rFonts w:ascii="Times New Roman" w:hAnsi="Times New Roman"/>
          <w:sz w:val="24"/>
        </w:rPr>
        <w:t>(2024) 114 NSWLR 433</w:t>
      </w:r>
      <w:r w:rsidR="00347CAA" w:rsidRPr="00842E68">
        <w:rPr>
          <w:rFonts w:ascii="Times New Roman" w:hAnsi="Times New Roman"/>
          <w:sz w:val="24"/>
        </w:rPr>
        <w:t xml:space="preserve"> at 45</w:t>
      </w:r>
      <w:r w:rsidR="00D23CF8" w:rsidRPr="00842E68">
        <w:rPr>
          <w:rFonts w:ascii="Times New Roman" w:hAnsi="Times New Roman"/>
          <w:sz w:val="24"/>
        </w:rPr>
        <w:t xml:space="preserve">7 [88]-[90], </w:t>
      </w:r>
      <w:r w:rsidR="005B4A03" w:rsidRPr="00842E68">
        <w:rPr>
          <w:rFonts w:ascii="Times New Roman" w:hAnsi="Times New Roman"/>
          <w:sz w:val="24"/>
        </w:rPr>
        <w:t xml:space="preserve">458 </w:t>
      </w:r>
      <w:r w:rsidR="00795897" w:rsidRPr="00842E68">
        <w:rPr>
          <w:rFonts w:ascii="Times New Roman" w:hAnsi="Times New Roman"/>
          <w:sz w:val="24"/>
        </w:rPr>
        <w:t>[94], [95]</w:t>
      </w:r>
      <w:r w:rsidR="00CF7678" w:rsidRPr="00842E68">
        <w:rPr>
          <w:rFonts w:ascii="Times New Roman" w:hAnsi="Times New Roman"/>
          <w:sz w:val="24"/>
        </w:rPr>
        <w:t>.</w:t>
      </w:r>
    </w:p>
  </w:footnote>
  <w:footnote w:id="10">
    <w:p w14:paraId="0DE420DF" w14:textId="77777777" w:rsidR="00F30A4B" w:rsidRPr="00842E68" w:rsidRDefault="00F30A4B"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Pr="00842E68">
        <w:rPr>
          <w:rFonts w:ascii="Times New Roman" w:hAnsi="Times New Roman"/>
          <w:i/>
          <w:iCs/>
          <w:sz w:val="24"/>
        </w:rPr>
        <w:t>Civil Aviation (Carriers' Liability) Act</w:t>
      </w:r>
      <w:r w:rsidRPr="00842E68">
        <w:rPr>
          <w:rFonts w:ascii="Times New Roman" w:hAnsi="Times New Roman"/>
          <w:sz w:val="24"/>
        </w:rPr>
        <w:t xml:space="preserve">, s 9B. </w:t>
      </w:r>
    </w:p>
  </w:footnote>
  <w:footnote w:id="11">
    <w:p w14:paraId="03CDC2EA" w14:textId="37665D26" w:rsidR="00F30A4B" w:rsidRPr="00842E68" w:rsidRDefault="00F30A4B"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497F2F" w:rsidRPr="00842E68">
        <w:rPr>
          <w:rFonts w:ascii="Times New Roman" w:hAnsi="Times New Roman"/>
          <w:sz w:val="24"/>
        </w:rPr>
        <w:t xml:space="preserve">See </w:t>
      </w:r>
      <w:r w:rsidRPr="00842E68">
        <w:rPr>
          <w:rFonts w:ascii="Times New Roman" w:hAnsi="Times New Roman"/>
          <w:i/>
          <w:iCs/>
          <w:sz w:val="24"/>
        </w:rPr>
        <w:t xml:space="preserve">Carriage by Air Act 1935 </w:t>
      </w:r>
      <w:r w:rsidRPr="00842E68">
        <w:rPr>
          <w:rFonts w:ascii="Times New Roman" w:hAnsi="Times New Roman"/>
          <w:sz w:val="24"/>
        </w:rPr>
        <w:t>(</w:t>
      </w:r>
      <w:proofErr w:type="spellStart"/>
      <w:r w:rsidRPr="00842E68">
        <w:rPr>
          <w:rFonts w:ascii="Times New Roman" w:hAnsi="Times New Roman"/>
          <w:sz w:val="24"/>
        </w:rPr>
        <w:t>Cth</w:t>
      </w:r>
      <w:proofErr w:type="spellEnd"/>
      <w:r w:rsidRPr="00842E68">
        <w:rPr>
          <w:rFonts w:ascii="Times New Roman" w:hAnsi="Times New Roman"/>
          <w:sz w:val="24"/>
        </w:rPr>
        <w:t>)</w:t>
      </w:r>
      <w:r w:rsidR="007166F4" w:rsidRPr="00842E68">
        <w:rPr>
          <w:rFonts w:ascii="Times New Roman" w:hAnsi="Times New Roman"/>
          <w:sz w:val="24"/>
        </w:rPr>
        <w:t xml:space="preserve">; </w:t>
      </w:r>
      <w:r w:rsidR="007166F4" w:rsidRPr="00842E68">
        <w:rPr>
          <w:rFonts w:ascii="Times New Roman" w:hAnsi="Times New Roman"/>
          <w:i/>
          <w:sz w:val="24"/>
        </w:rPr>
        <w:t>Civil Aviation (Carriers' Liability</w:t>
      </w:r>
      <w:r w:rsidR="00433AB1" w:rsidRPr="00842E68">
        <w:rPr>
          <w:rFonts w:ascii="Times New Roman" w:hAnsi="Times New Roman"/>
          <w:i/>
          <w:sz w:val="24"/>
        </w:rPr>
        <w:t>)</w:t>
      </w:r>
      <w:r w:rsidR="007166F4" w:rsidRPr="00842E68">
        <w:rPr>
          <w:rFonts w:ascii="Times New Roman" w:hAnsi="Times New Roman"/>
          <w:i/>
          <w:sz w:val="24"/>
        </w:rPr>
        <w:t xml:space="preserve"> Act</w:t>
      </w:r>
      <w:r w:rsidR="002E01DB" w:rsidRPr="00842E68">
        <w:rPr>
          <w:rFonts w:ascii="Times New Roman" w:hAnsi="Times New Roman"/>
          <w:i/>
          <w:sz w:val="24"/>
        </w:rPr>
        <w:t xml:space="preserve"> 1959</w:t>
      </w:r>
      <w:r w:rsidR="00433AB1" w:rsidRPr="00842E68">
        <w:rPr>
          <w:rFonts w:ascii="Times New Roman" w:hAnsi="Times New Roman"/>
          <w:i/>
          <w:sz w:val="24"/>
        </w:rPr>
        <w:t xml:space="preserve"> </w:t>
      </w:r>
      <w:r w:rsidR="00433AB1" w:rsidRPr="00842E68">
        <w:rPr>
          <w:rFonts w:ascii="Times New Roman" w:hAnsi="Times New Roman"/>
          <w:sz w:val="24"/>
        </w:rPr>
        <w:t>(</w:t>
      </w:r>
      <w:proofErr w:type="spellStart"/>
      <w:r w:rsidR="00433AB1" w:rsidRPr="00842E68">
        <w:rPr>
          <w:rFonts w:ascii="Times New Roman" w:hAnsi="Times New Roman"/>
          <w:sz w:val="24"/>
        </w:rPr>
        <w:t>Cth</w:t>
      </w:r>
      <w:proofErr w:type="spellEnd"/>
      <w:r w:rsidR="00433AB1" w:rsidRPr="00842E68">
        <w:rPr>
          <w:rFonts w:ascii="Times New Roman" w:hAnsi="Times New Roman"/>
          <w:sz w:val="24"/>
        </w:rPr>
        <w:t>)</w:t>
      </w:r>
      <w:r w:rsidR="002E01DB" w:rsidRPr="00842E68">
        <w:rPr>
          <w:rFonts w:ascii="Times New Roman" w:hAnsi="Times New Roman"/>
          <w:sz w:val="24"/>
        </w:rPr>
        <w:t>, s 4(1) (as made)</w:t>
      </w:r>
      <w:r w:rsidRPr="00842E68">
        <w:rPr>
          <w:rFonts w:ascii="Times New Roman" w:hAnsi="Times New Roman"/>
          <w:sz w:val="24"/>
        </w:rPr>
        <w:t xml:space="preserve">. </w:t>
      </w:r>
    </w:p>
  </w:footnote>
  <w:footnote w:id="12">
    <w:p w14:paraId="51A5DA1A" w14:textId="32B88DF9" w:rsidR="009532EA" w:rsidRPr="00842E68" w:rsidRDefault="009532EA"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137 LNTS 11.</w:t>
      </w:r>
    </w:p>
  </w:footnote>
  <w:footnote w:id="13">
    <w:p w14:paraId="07BB2B75" w14:textId="77777777" w:rsidR="00F30A4B" w:rsidRPr="00842E68" w:rsidRDefault="00F30A4B"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Pr="00842E68">
        <w:rPr>
          <w:rFonts w:ascii="Times New Roman" w:hAnsi="Times New Roman"/>
          <w:i/>
          <w:iCs/>
          <w:sz w:val="24"/>
        </w:rPr>
        <w:t>Civil Aviation (Carriers' Liability) Act</w:t>
      </w:r>
      <w:r w:rsidRPr="00842E68">
        <w:rPr>
          <w:rFonts w:ascii="Times New Roman" w:hAnsi="Times New Roman"/>
          <w:sz w:val="24"/>
        </w:rPr>
        <w:t>, s 11.</w:t>
      </w:r>
    </w:p>
  </w:footnote>
  <w:footnote w:id="14">
    <w:p w14:paraId="0EADE7D4" w14:textId="041439DE" w:rsidR="0084466E" w:rsidRPr="00842E68" w:rsidRDefault="0084466E"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See </w:t>
      </w:r>
      <w:r w:rsidRPr="00D70195">
        <w:rPr>
          <w:rFonts w:ascii="Times New Roman" w:hAnsi="Times New Roman"/>
          <w:iCs/>
          <w:sz w:val="24"/>
        </w:rPr>
        <w:t>Protocol to amend the Convention for the Unification of Certain Rules Relating to International Carriage by Air signed at Warsaw on 12 October 1929</w:t>
      </w:r>
      <w:r w:rsidRPr="00842E68">
        <w:rPr>
          <w:rFonts w:ascii="Times New Roman" w:hAnsi="Times New Roman"/>
          <w:i/>
          <w:sz w:val="24"/>
        </w:rPr>
        <w:t xml:space="preserve"> </w:t>
      </w:r>
      <w:r w:rsidRPr="00842E68">
        <w:rPr>
          <w:rFonts w:ascii="Times New Roman" w:hAnsi="Times New Roman"/>
          <w:sz w:val="24"/>
        </w:rPr>
        <w:t>(1955) 4</w:t>
      </w:r>
      <w:r w:rsidR="00264417" w:rsidRPr="00842E68">
        <w:rPr>
          <w:rFonts w:ascii="Times New Roman" w:hAnsi="Times New Roman"/>
          <w:sz w:val="24"/>
        </w:rPr>
        <w:t>7</w:t>
      </w:r>
      <w:r w:rsidRPr="00842E68">
        <w:rPr>
          <w:rFonts w:ascii="Times New Roman" w:hAnsi="Times New Roman"/>
          <w:sz w:val="24"/>
        </w:rPr>
        <w:t>8 UNTS 37</w:t>
      </w:r>
      <w:r w:rsidR="00176F12" w:rsidRPr="00842E68">
        <w:rPr>
          <w:rFonts w:ascii="Times New Roman" w:hAnsi="Times New Roman"/>
          <w:sz w:val="24"/>
        </w:rPr>
        <w:t>1</w:t>
      </w:r>
      <w:r w:rsidRPr="00842E68">
        <w:rPr>
          <w:rFonts w:ascii="Times New Roman" w:hAnsi="Times New Roman"/>
          <w:sz w:val="24"/>
        </w:rPr>
        <w:t>.</w:t>
      </w:r>
    </w:p>
  </w:footnote>
  <w:footnote w:id="15">
    <w:p w14:paraId="327ECD92" w14:textId="72816245" w:rsidR="00F30A4B" w:rsidRPr="00842E68" w:rsidRDefault="00F30A4B"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(2005) 223 CLR 189 at 202 [25]</w:t>
      </w:r>
      <w:r w:rsidR="009C4DEB" w:rsidRPr="00842E68">
        <w:rPr>
          <w:rFonts w:ascii="Times New Roman" w:hAnsi="Times New Roman"/>
          <w:sz w:val="24"/>
        </w:rPr>
        <w:t>;</w:t>
      </w:r>
      <w:r w:rsidRPr="00842E68">
        <w:rPr>
          <w:rFonts w:ascii="Times New Roman" w:hAnsi="Times New Roman"/>
          <w:sz w:val="24"/>
        </w:rPr>
        <w:t xml:space="preserve"> </w:t>
      </w:r>
      <w:r w:rsidR="009C4DEB" w:rsidRPr="00842E68">
        <w:rPr>
          <w:rFonts w:ascii="Times New Roman" w:hAnsi="Times New Roman"/>
          <w:sz w:val="24"/>
        </w:rPr>
        <w:t>s</w:t>
      </w:r>
      <w:r w:rsidRPr="00842E68">
        <w:rPr>
          <w:rFonts w:ascii="Times New Roman" w:hAnsi="Times New Roman"/>
          <w:sz w:val="24"/>
        </w:rPr>
        <w:t xml:space="preserve">ee also at 211 [60]. </w:t>
      </w:r>
    </w:p>
  </w:footnote>
  <w:footnote w:id="16">
    <w:p w14:paraId="45A11801" w14:textId="28D4BEA0" w:rsidR="00F30A4B" w:rsidRPr="00842E68" w:rsidRDefault="00F30A4B"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Most recently in </w:t>
      </w:r>
      <w:r w:rsidRPr="00842E68">
        <w:rPr>
          <w:rFonts w:ascii="Times New Roman" w:hAnsi="Times New Roman"/>
          <w:i/>
          <w:iCs/>
          <w:sz w:val="24"/>
        </w:rPr>
        <w:t xml:space="preserve">Kingdom of Spain v Infrastructure Services Luxembourg </w:t>
      </w:r>
      <w:proofErr w:type="spellStart"/>
      <w:r w:rsidRPr="00842E68">
        <w:rPr>
          <w:rFonts w:ascii="Times New Roman" w:hAnsi="Times New Roman"/>
          <w:i/>
          <w:iCs/>
          <w:sz w:val="24"/>
        </w:rPr>
        <w:t>S</w:t>
      </w:r>
      <w:r w:rsidR="001639F5" w:rsidRPr="00842E68">
        <w:rPr>
          <w:rFonts w:ascii="Times New Roman" w:hAnsi="Times New Roman"/>
          <w:i/>
          <w:sz w:val="24"/>
        </w:rPr>
        <w:t>à</w:t>
      </w:r>
      <w:r w:rsidRPr="00842E68">
        <w:rPr>
          <w:rFonts w:ascii="Times New Roman" w:hAnsi="Times New Roman"/>
          <w:i/>
          <w:iCs/>
          <w:sz w:val="24"/>
        </w:rPr>
        <w:t>rl</w:t>
      </w:r>
      <w:proofErr w:type="spellEnd"/>
      <w:r w:rsidRPr="00842E68">
        <w:rPr>
          <w:rFonts w:ascii="Times New Roman" w:hAnsi="Times New Roman"/>
          <w:i/>
          <w:iCs/>
          <w:sz w:val="24"/>
        </w:rPr>
        <w:t xml:space="preserve"> </w:t>
      </w:r>
      <w:r w:rsidRPr="00842E68">
        <w:rPr>
          <w:rFonts w:ascii="Times New Roman" w:hAnsi="Times New Roman"/>
          <w:sz w:val="24"/>
        </w:rPr>
        <w:t xml:space="preserve">(2023) 275 CLR 292 at 316 [38]-[39]; </w:t>
      </w:r>
      <w:r w:rsidRPr="00842E68">
        <w:rPr>
          <w:rFonts w:ascii="Times New Roman" w:hAnsi="Times New Roman"/>
          <w:i/>
          <w:iCs/>
          <w:sz w:val="24"/>
        </w:rPr>
        <w:t>Carmichael Rail Network Pty Ltd v BBC Chartering Carriers GmbH &amp; Co KG</w:t>
      </w:r>
      <w:r w:rsidRPr="00842E68">
        <w:rPr>
          <w:rFonts w:ascii="Times New Roman" w:hAnsi="Times New Roman"/>
          <w:sz w:val="24"/>
        </w:rPr>
        <w:t xml:space="preserve"> (2024) 98 ALJR 445 at 452 [30]</w:t>
      </w:r>
      <w:r w:rsidR="00E12A13" w:rsidRPr="00842E68">
        <w:rPr>
          <w:rFonts w:ascii="Times New Roman" w:hAnsi="Times New Roman"/>
          <w:sz w:val="24"/>
        </w:rPr>
        <w:t xml:space="preserve">; </w:t>
      </w:r>
      <w:r w:rsidR="002A4F37" w:rsidRPr="00842E68">
        <w:rPr>
          <w:rFonts w:ascii="Times New Roman" w:hAnsi="Times New Roman"/>
          <w:sz w:val="24"/>
        </w:rPr>
        <w:t xml:space="preserve">417 ALR 173 at </w:t>
      </w:r>
      <w:r w:rsidR="00B26440" w:rsidRPr="00842E68">
        <w:rPr>
          <w:rFonts w:ascii="Times New Roman" w:hAnsi="Times New Roman"/>
          <w:sz w:val="24"/>
        </w:rPr>
        <w:t>181</w:t>
      </w:r>
      <w:r w:rsidRPr="00842E68">
        <w:rPr>
          <w:rFonts w:ascii="Times New Roman" w:hAnsi="Times New Roman"/>
          <w:sz w:val="24"/>
        </w:rPr>
        <w:t>.</w:t>
      </w:r>
    </w:p>
  </w:footnote>
  <w:footnote w:id="17">
    <w:p w14:paraId="75C5A2BC" w14:textId="2E5F291D" w:rsidR="00456863" w:rsidRPr="00842E68" w:rsidRDefault="00456863"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5568A9" w:rsidRPr="00842E68">
        <w:rPr>
          <w:rFonts w:ascii="Times New Roman" w:hAnsi="Times New Roman"/>
          <w:sz w:val="24"/>
        </w:rPr>
        <w:t>International Law Commission</w:t>
      </w:r>
      <w:r w:rsidR="00035CE1" w:rsidRPr="00842E68">
        <w:rPr>
          <w:rFonts w:ascii="Times New Roman" w:hAnsi="Times New Roman"/>
          <w:sz w:val="24"/>
        </w:rPr>
        <w:t xml:space="preserve">, </w:t>
      </w:r>
      <w:r w:rsidR="00035CE1" w:rsidRPr="00842E68">
        <w:rPr>
          <w:rFonts w:ascii="Times New Roman" w:hAnsi="Times New Roman"/>
          <w:i/>
          <w:iCs/>
          <w:sz w:val="24"/>
        </w:rPr>
        <w:t>Report of the International Law Commission on the work of its seventieth session</w:t>
      </w:r>
      <w:r w:rsidR="00FF6BAD" w:rsidRPr="00842E68">
        <w:rPr>
          <w:rFonts w:ascii="Times New Roman" w:hAnsi="Times New Roman"/>
          <w:i/>
          <w:iCs/>
          <w:sz w:val="24"/>
        </w:rPr>
        <w:t xml:space="preserve"> (30</w:t>
      </w:r>
      <w:r w:rsidR="00B043C2" w:rsidRPr="00842E68">
        <w:rPr>
          <w:rFonts w:ascii="Times New Roman" w:hAnsi="Times New Roman"/>
          <w:i/>
          <w:iCs/>
          <w:sz w:val="24"/>
        </w:rPr>
        <w:t> </w:t>
      </w:r>
      <w:r w:rsidR="00FF6BAD" w:rsidRPr="00842E68">
        <w:rPr>
          <w:rFonts w:ascii="Times New Roman" w:hAnsi="Times New Roman"/>
          <w:i/>
          <w:iCs/>
          <w:sz w:val="24"/>
        </w:rPr>
        <w:t>April</w:t>
      </w:r>
      <w:r w:rsidR="00B043C2" w:rsidRPr="00842E68">
        <w:rPr>
          <w:rFonts w:ascii="Times New Roman" w:hAnsi="Times New Roman"/>
          <w:i/>
          <w:iCs/>
          <w:sz w:val="24"/>
        </w:rPr>
        <w:t>–1 June and 2 July</w:t>
      </w:r>
      <w:r w:rsidR="00332D9E" w:rsidRPr="00842E68">
        <w:rPr>
          <w:rFonts w:ascii="Times New Roman" w:hAnsi="Times New Roman"/>
          <w:i/>
          <w:iCs/>
          <w:sz w:val="24"/>
        </w:rPr>
        <w:t>–10 August 2018)</w:t>
      </w:r>
      <w:r w:rsidR="00743CAF" w:rsidRPr="00842E68">
        <w:rPr>
          <w:rFonts w:ascii="Times New Roman" w:hAnsi="Times New Roman"/>
          <w:sz w:val="24"/>
        </w:rPr>
        <w:t>,</w:t>
      </w:r>
      <w:r w:rsidR="00332D9E" w:rsidRPr="00842E68">
        <w:rPr>
          <w:rFonts w:ascii="Times New Roman" w:hAnsi="Times New Roman"/>
          <w:i/>
          <w:iCs/>
          <w:sz w:val="24"/>
        </w:rPr>
        <w:t xml:space="preserve"> </w:t>
      </w:r>
      <w:r w:rsidR="00332D9E" w:rsidRPr="00842E68">
        <w:rPr>
          <w:rFonts w:ascii="Times New Roman" w:hAnsi="Times New Roman"/>
          <w:sz w:val="24"/>
        </w:rPr>
        <w:t>UN</w:t>
      </w:r>
      <w:r w:rsidR="001A5B5C">
        <w:rPr>
          <w:rFonts w:ascii="Times New Roman" w:hAnsi="Times New Roman"/>
          <w:sz w:val="24"/>
        </w:rPr>
        <w:t> </w:t>
      </w:r>
      <w:r w:rsidR="00332D9E" w:rsidRPr="00842E68">
        <w:rPr>
          <w:rFonts w:ascii="Times New Roman" w:hAnsi="Times New Roman"/>
          <w:sz w:val="24"/>
        </w:rPr>
        <w:t xml:space="preserve">Doc </w:t>
      </w:r>
      <w:r w:rsidR="00743CAF" w:rsidRPr="00842E68">
        <w:rPr>
          <w:rFonts w:ascii="Times New Roman" w:hAnsi="Times New Roman"/>
          <w:sz w:val="24"/>
        </w:rPr>
        <w:t>A.CN</w:t>
      </w:r>
      <w:r w:rsidR="00D5670D" w:rsidRPr="00842E68">
        <w:rPr>
          <w:rFonts w:ascii="Times New Roman" w:hAnsi="Times New Roman"/>
          <w:sz w:val="24"/>
        </w:rPr>
        <w:t>.4/SER.A/2018/Add.1 (Part 2)</w:t>
      </w:r>
      <w:r w:rsidR="00D00945" w:rsidRPr="00842E68">
        <w:rPr>
          <w:rFonts w:ascii="Times New Roman" w:hAnsi="Times New Roman"/>
          <w:sz w:val="24"/>
        </w:rPr>
        <w:t>,</w:t>
      </w:r>
      <w:r w:rsidR="00D5670D" w:rsidRPr="00842E68">
        <w:rPr>
          <w:rFonts w:ascii="Times New Roman" w:hAnsi="Times New Roman"/>
          <w:sz w:val="24"/>
        </w:rPr>
        <w:t xml:space="preserve"> in </w:t>
      </w:r>
      <w:r w:rsidR="009558B2" w:rsidRPr="00842E68">
        <w:rPr>
          <w:rFonts w:ascii="Times New Roman" w:hAnsi="Times New Roman"/>
          <w:sz w:val="24"/>
        </w:rPr>
        <w:t xml:space="preserve">[2018] </w:t>
      </w:r>
      <w:r w:rsidR="00D5670D" w:rsidRPr="00842E68">
        <w:rPr>
          <w:rFonts w:ascii="Times New Roman" w:hAnsi="Times New Roman"/>
          <w:i/>
          <w:iCs/>
          <w:sz w:val="24"/>
        </w:rPr>
        <w:t>Yearbook of the International Law Commission</w:t>
      </w:r>
      <w:r w:rsidR="00CF49D4" w:rsidRPr="00842E68">
        <w:rPr>
          <w:rFonts w:ascii="Times New Roman" w:hAnsi="Times New Roman"/>
          <w:sz w:val="24"/>
        </w:rPr>
        <w:t>, vol 2,</w:t>
      </w:r>
      <w:r w:rsidR="00F70991" w:rsidRPr="00842E68">
        <w:rPr>
          <w:rFonts w:ascii="Times New Roman" w:hAnsi="Times New Roman"/>
          <w:sz w:val="24"/>
        </w:rPr>
        <w:t xml:space="preserve"> 1 at </w:t>
      </w:r>
      <w:r w:rsidR="00D369D5" w:rsidRPr="00842E68">
        <w:rPr>
          <w:rFonts w:ascii="Times New Roman" w:hAnsi="Times New Roman"/>
          <w:sz w:val="24"/>
        </w:rPr>
        <w:t>2</w:t>
      </w:r>
      <w:r w:rsidR="007A1316" w:rsidRPr="00842E68">
        <w:rPr>
          <w:rFonts w:ascii="Times New Roman" w:hAnsi="Times New Roman"/>
          <w:sz w:val="24"/>
        </w:rPr>
        <w:t>6</w:t>
      </w:r>
      <w:r w:rsidR="009D0A4A" w:rsidRPr="00842E68">
        <w:rPr>
          <w:rFonts w:ascii="Times New Roman" w:hAnsi="Times New Roman"/>
          <w:sz w:val="24"/>
        </w:rPr>
        <w:t xml:space="preserve"> [52], </w:t>
      </w:r>
      <w:r w:rsidR="00152096" w:rsidRPr="00842E68">
        <w:rPr>
          <w:rFonts w:ascii="Times New Roman" w:hAnsi="Times New Roman"/>
          <w:sz w:val="24"/>
        </w:rPr>
        <w:t xml:space="preserve">Draft </w:t>
      </w:r>
      <w:r w:rsidR="009D0A4A" w:rsidRPr="00842E68">
        <w:rPr>
          <w:rFonts w:ascii="Times New Roman" w:hAnsi="Times New Roman"/>
          <w:sz w:val="24"/>
        </w:rPr>
        <w:t>Conclusion 2.5</w:t>
      </w:r>
      <w:r w:rsidR="00152096" w:rsidRPr="00842E68">
        <w:rPr>
          <w:rFonts w:ascii="Times New Roman" w:hAnsi="Times New Roman"/>
          <w:sz w:val="24"/>
        </w:rPr>
        <w:t>.</w:t>
      </w:r>
    </w:p>
  </w:footnote>
  <w:footnote w:id="18">
    <w:p w14:paraId="1EB29137" w14:textId="77777777" w:rsidR="00CB7F6B" w:rsidRPr="00842E68" w:rsidRDefault="00CB7F6B"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Pr="00842E68">
        <w:rPr>
          <w:rFonts w:ascii="Times New Roman" w:hAnsi="Times New Roman"/>
          <w:i/>
          <w:iCs/>
          <w:sz w:val="24"/>
        </w:rPr>
        <w:t>Application of the Convention on the Prevention and Punishment of the Crime of Genocide (Bosnia and Herzegovina v Serbia and Montenegro), Judgment</w:t>
      </w:r>
      <w:r w:rsidRPr="00842E68">
        <w:rPr>
          <w:rFonts w:ascii="Times New Roman" w:hAnsi="Times New Roman"/>
          <w:sz w:val="24"/>
        </w:rPr>
        <w:t xml:space="preserve"> [2007] ICJ Rep 43 at 109-110 [160]; </w:t>
      </w:r>
      <w:r w:rsidRPr="00842E68">
        <w:rPr>
          <w:rFonts w:ascii="Times New Roman" w:hAnsi="Times New Roman"/>
          <w:i/>
          <w:iCs/>
          <w:sz w:val="24"/>
        </w:rPr>
        <w:t>Maritime Delimitation in the Indian Ocean (Somalia v Kenya), Preliminary Objections, Judgment</w:t>
      </w:r>
      <w:r w:rsidRPr="00842E68">
        <w:rPr>
          <w:rFonts w:ascii="Times New Roman" w:hAnsi="Times New Roman"/>
          <w:sz w:val="24"/>
        </w:rPr>
        <w:t xml:space="preserve"> [2017] ICJ Rep 3 at 29 [64]; </w:t>
      </w:r>
      <w:r w:rsidRPr="00842E68">
        <w:rPr>
          <w:rFonts w:ascii="Times New Roman" w:hAnsi="Times New Roman"/>
          <w:i/>
          <w:iCs/>
          <w:sz w:val="24"/>
        </w:rPr>
        <w:t xml:space="preserve">Arbitral Award of 3 October 1899 (Guyana v Venezuela), </w:t>
      </w:r>
      <w:r w:rsidRPr="00842E68">
        <w:rPr>
          <w:rFonts w:ascii="Times New Roman" w:hAnsi="Times New Roman"/>
          <w:i/>
          <w:sz w:val="24"/>
        </w:rPr>
        <w:t>Preliminary Objection,</w:t>
      </w:r>
      <w:r w:rsidRPr="00842E68">
        <w:rPr>
          <w:rFonts w:ascii="Times New Roman" w:hAnsi="Times New Roman"/>
          <w:i/>
          <w:iCs/>
          <w:sz w:val="24"/>
        </w:rPr>
        <w:t xml:space="preserve"> Judgment</w:t>
      </w:r>
      <w:r w:rsidRPr="00842E68">
        <w:rPr>
          <w:rFonts w:ascii="Times New Roman" w:hAnsi="Times New Roman"/>
          <w:sz w:val="24"/>
        </w:rPr>
        <w:t xml:space="preserve"> [2023] ICJ Rep 262 at 287 [88]. </w:t>
      </w:r>
    </w:p>
  </w:footnote>
  <w:footnote w:id="19">
    <w:p w14:paraId="60408635" w14:textId="15C9AEAB" w:rsidR="00F30A4B" w:rsidRPr="00842E68" w:rsidRDefault="00F30A4B"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Gardiner, </w:t>
      </w:r>
      <w:r w:rsidRPr="00842E68">
        <w:rPr>
          <w:rFonts w:ascii="Times New Roman" w:hAnsi="Times New Roman"/>
          <w:i/>
          <w:iCs/>
          <w:sz w:val="24"/>
        </w:rPr>
        <w:t>Treaty Interpretation</w:t>
      </w:r>
      <w:r w:rsidRPr="00842E68">
        <w:rPr>
          <w:rFonts w:ascii="Times New Roman" w:hAnsi="Times New Roman"/>
          <w:sz w:val="24"/>
        </w:rPr>
        <w:t>, 2nd ed</w:t>
      </w:r>
      <w:r w:rsidRPr="00842E68">
        <w:rPr>
          <w:rFonts w:ascii="Times New Roman" w:hAnsi="Times New Roman"/>
          <w:i/>
          <w:iCs/>
          <w:sz w:val="24"/>
        </w:rPr>
        <w:t xml:space="preserve"> </w:t>
      </w:r>
      <w:r w:rsidRPr="00842E68">
        <w:rPr>
          <w:rFonts w:ascii="Times New Roman" w:hAnsi="Times New Roman"/>
          <w:sz w:val="24"/>
        </w:rPr>
        <w:t>(2015) at 348</w:t>
      </w:r>
      <w:r w:rsidR="00A568C2" w:rsidRPr="00842E68">
        <w:rPr>
          <w:rFonts w:ascii="Times New Roman" w:hAnsi="Times New Roman"/>
          <w:sz w:val="24"/>
        </w:rPr>
        <w:t>-349</w:t>
      </w:r>
      <w:r w:rsidRPr="00842E68">
        <w:rPr>
          <w:rFonts w:ascii="Times New Roman" w:hAnsi="Times New Roman"/>
          <w:sz w:val="24"/>
        </w:rPr>
        <w:t>.</w:t>
      </w:r>
      <w:r w:rsidR="00EA7C0C" w:rsidRPr="00842E68">
        <w:rPr>
          <w:rFonts w:ascii="Times New Roman" w:hAnsi="Times New Roman"/>
          <w:sz w:val="24"/>
        </w:rPr>
        <w:t xml:space="preserve"> See also </w:t>
      </w:r>
      <w:r w:rsidR="00011682" w:rsidRPr="00842E68">
        <w:rPr>
          <w:rFonts w:ascii="Times New Roman" w:hAnsi="Times New Roman"/>
          <w:i/>
          <w:iCs/>
          <w:sz w:val="24"/>
        </w:rPr>
        <w:t xml:space="preserve">JTI Polska </w:t>
      </w:r>
      <w:proofErr w:type="spellStart"/>
      <w:r w:rsidR="00011682" w:rsidRPr="00842E68">
        <w:rPr>
          <w:rFonts w:ascii="Times New Roman" w:hAnsi="Times New Roman"/>
          <w:i/>
          <w:iCs/>
          <w:sz w:val="24"/>
        </w:rPr>
        <w:t>sp</w:t>
      </w:r>
      <w:proofErr w:type="spellEnd"/>
      <w:r w:rsidR="00CA3B62">
        <w:rPr>
          <w:rFonts w:ascii="Times New Roman" w:hAnsi="Times New Roman"/>
          <w:i/>
          <w:iCs/>
          <w:sz w:val="24"/>
        </w:rPr>
        <w:t> </w:t>
      </w:r>
      <w:r w:rsidR="00011682" w:rsidRPr="00842E68">
        <w:rPr>
          <w:rFonts w:ascii="Times New Roman" w:hAnsi="Times New Roman"/>
          <w:i/>
          <w:iCs/>
          <w:sz w:val="24"/>
        </w:rPr>
        <w:t>z</w:t>
      </w:r>
      <w:r w:rsidR="00CA3B62">
        <w:rPr>
          <w:rFonts w:ascii="Times New Roman" w:hAnsi="Times New Roman"/>
          <w:i/>
          <w:iCs/>
          <w:sz w:val="24"/>
        </w:rPr>
        <w:t> </w:t>
      </w:r>
      <w:proofErr w:type="spellStart"/>
      <w:r w:rsidR="00011682" w:rsidRPr="00842E68">
        <w:rPr>
          <w:rFonts w:ascii="Times New Roman" w:hAnsi="Times New Roman"/>
          <w:i/>
          <w:iCs/>
          <w:sz w:val="24"/>
        </w:rPr>
        <w:t>oo</w:t>
      </w:r>
      <w:proofErr w:type="spellEnd"/>
      <w:r w:rsidR="00011682" w:rsidRPr="00842E68">
        <w:rPr>
          <w:rFonts w:ascii="Times New Roman" w:hAnsi="Times New Roman"/>
          <w:i/>
          <w:iCs/>
          <w:sz w:val="24"/>
        </w:rPr>
        <w:t xml:space="preserve"> v Jakubowski </w:t>
      </w:r>
      <w:r w:rsidR="006F26FD" w:rsidRPr="00842E68">
        <w:rPr>
          <w:rFonts w:ascii="Times New Roman" w:hAnsi="Times New Roman"/>
          <w:sz w:val="24"/>
        </w:rPr>
        <w:t xml:space="preserve">[2024] AC 621 </w:t>
      </w:r>
      <w:r w:rsidR="00011682" w:rsidRPr="00842E68">
        <w:rPr>
          <w:rFonts w:ascii="Times New Roman" w:hAnsi="Times New Roman"/>
          <w:sz w:val="24"/>
        </w:rPr>
        <w:t xml:space="preserve">at </w:t>
      </w:r>
      <w:r w:rsidR="003212AA" w:rsidRPr="00842E68">
        <w:rPr>
          <w:rFonts w:ascii="Times New Roman" w:hAnsi="Times New Roman"/>
          <w:sz w:val="24"/>
        </w:rPr>
        <w:t>633-</w:t>
      </w:r>
      <w:r w:rsidR="00CF0416" w:rsidRPr="00842E68">
        <w:rPr>
          <w:rFonts w:ascii="Times New Roman" w:hAnsi="Times New Roman"/>
          <w:sz w:val="24"/>
        </w:rPr>
        <w:t>634 [32].</w:t>
      </w:r>
    </w:p>
  </w:footnote>
  <w:footnote w:id="20">
    <w:p w14:paraId="7EBB1D64" w14:textId="04963681" w:rsidR="00E41A43" w:rsidRPr="00842E68" w:rsidRDefault="00E41A43"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Waldock, </w:t>
      </w:r>
      <w:r w:rsidR="00383C22" w:rsidRPr="00842E68">
        <w:rPr>
          <w:rFonts w:ascii="Times New Roman" w:hAnsi="Times New Roman"/>
          <w:sz w:val="24"/>
        </w:rPr>
        <w:t xml:space="preserve">Special Rapporteur, </w:t>
      </w:r>
      <w:r w:rsidRPr="00842E68">
        <w:rPr>
          <w:rFonts w:ascii="Times New Roman" w:hAnsi="Times New Roman"/>
          <w:i/>
          <w:iCs/>
          <w:sz w:val="24"/>
        </w:rPr>
        <w:t>Sixth Report on the Law of Treaties</w:t>
      </w:r>
      <w:r w:rsidR="00456F7A" w:rsidRPr="00842E68">
        <w:rPr>
          <w:rFonts w:ascii="Times New Roman" w:hAnsi="Times New Roman"/>
          <w:sz w:val="24"/>
        </w:rPr>
        <w:t>, UN</w:t>
      </w:r>
      <w:r w:rsidR="00CA3B62">
        <w:rPr>
          <w:rFonts w:ascii="Times New Roman" w:hAnsi="Times New Roman"/>
          <w:sz w:val="24"/>
        </w:rPr>
        <w:t> </w:t>
      </w:r>
      <w:r w:rsidR="00456F7A" w:rsidRPr="00842E68">
        <w:rPr>
          <w:rFonts w:ascii="Times New Roman" w:hAnsi="Times New Roman"/>
          <w:sz w:val="24"/>
        </w:rPr>
        <w:t>Doc</w:t>
      </w:r>
      <w:r w:rsidR="00896217" w:rsidRPr="00842E68">
        <w:rPr>
          <w:rFonts w:ascii="Times New Roman" w:hAnsi="Times New Roman"/>
          <w:sz w:val="24"/>
        </w:rPr>
        <w:t xml:space="preserve"> A/CN.4/</w:t>
      </w:r>
      <w:r w:rsidR="00053969" w:rsidRPr="00842E68">
        <w:rPr>
          <w:rFonts w:ascii="Times New Roman" w:hAnsi="Times New Roman"/>
          <w:sz w:val="24"/>
        </w:rPr>
        <w:t>186</w:t>
      </w:r>
      <w:r w:rsidR="00EA4CDC" w:rsidRPr="00842E68">
        <w:rPr>
          <w:rFonts w:ascii="Times New Roman" w:hAnsi="Times New Roman"/>
          <w:sz w:val="24"/>
        </w:rPr>
        <w:t xml:space="preserve"> and Add</w:t>
      </w:r>
      <w:r w:rsidR="00167E67" w:rsidRPr="00842E68">
        <w:rPr>
          <w:rFonts w:ascii="Times New Roman" w:hAnsi="Times New Roman"/>
          <w:sz w:val="24"/>
        </w:rPr>
        <w:t xml:space="preserve"> 1-7</w:t>
      </w:r>
      <w:r w:rsidR="00630AA3" w:rsidRPr="00842E68">
        <w:rPr>
          <w:rFonts w:ascii="Times New Roman" w:hAnsi="Times New Roman"/>
          <w:sz w:val="24"/>
        </w:rPr>
        <w:t>,</w:t>
      </w:r>
      <w:r w:rsidRPr="00842E68">
        <w:rPr>
          <w:rFonts w:ascii="Times New Roman" w:hAnsi="Times New Roman"/>
          <w:sz w:val="24"/>
        </w:rPr>
        <w:t xml:space="preserve"> </w:t>
      </w:r>
      <w:r w:rsidR="009011F8" w:rsidRPr="00842E68">
        <w:rPr>
          <w:rFonts w:ascii="Times New Roman" w:hAnsi="Times New Roman"/>
          <w:sz w:val="24"/>
        </w:rPr>
        <w:t xml:space="preserve">in </w:t>
      </w:r>
      <w:r w:rsidR="00481FD2" w:rsidRPr="00842E68">
        <w:rPr>
          <w:rFonts w:ascii="Times New Roman" w:hAnsi="Times New Roman"/>
          <w:sz w:val="24"/>
        </w:rPr>
        <w:t xml:space="preserve">[1966] </w:t>
      </w:r>
      <w:r w:rsidRPr="00842E68">
        <w:rPr>
          <w:rFonts w:ascii="Times New Roman" w:hAnsi="Times New Roman"/>
          <w:i/>
          <w:iCs/>
          <w:sz w:val="24"/>
        </w:rPr>
        <w:t xml:space="preserve">Yearbook of </w:t>
      </w:r>
      <w:r w:rsidR="00D903E0" w:rsidRPr="00842E68">
        <w:rPr>
          <w:rFonts w:ascii="Times New Roman" w:hAnsi="Times New Roman"/>
          <w:i/>
          <w:iCs/>
          <w:sz w:val="24"/>
        </w:rPr>
        <w:t xml:space="preserve">the </w:t>
      </w:r>
      <w:r w:rsidRPr="00842E68">
        <w:rPr>
          <w:rFonts w:ascii="Times New Roman" w:hAnsi="Times New Roman"/>
          <w:i/>
          <w:iCs/>
          <w:sz w:val="24"/>
        </w:rPr>
        <w:t>International Law Commission</w:t>
      </w:r>
      <w:r w:rsidR="00784A20" w:rsidRPr="00842E68">
        <w:rPr>
          <w:rFonts w:ascii="Times New Roman" w:hAnsi="Times New Roman"/>
          <w:sz w:val="24"/>
        </w:rPr>
        <w:t>,</w:t>
      </w:r>
      <w:r w:rsidRPr="00842E68">
        <w:rPr>
          <w:rFonts w:ascii="Times New Roman" w:hAnsi="Times New Roman"/>
          <w:i/>
          <w:iCs/>
          <w:sz w:val="24"/>
        </w:rPr>
        <w:t xml:space="preserve"> </w:t>
      </w:r>
      <w:r w:rsidRPr="00842E68">
        <w:rPr>
          <w:rFonts w:ascii="Times New Roman" w:hAnsi="Times New Roman"/>
          <w:sz w:val="24"/>
        </w:rPr>
        <w:t>vol 2</w:t>
      </w:r>
      <w:r w:rsidR="00CB1846" w:rsidRPr="00842E68">
        <w:rPr>
          <w:rFonts w:ascii="Times New Roman" w:hAnsi="Times New Roman"/>
          <w:sz w:val="24"/>
        </w:rPr>
        <w:t>,</w:t>
      </w:r>
      <w:r w:rsidR="00ED48E0" w:rsidRPr="00842E68">
        <w:rPr>
          <w:rFonts w:ascii="Times New Roman" w:hAnsi="Times New Roman"/>
          <w:sz w:val="24"/>
        </w:rPr>
        <w:t xml:space="preserve"> 51</w:t>
      </w:r>
      <w:r w:rsidR="00F90972" w:rsidRPr="00842E68">
        <w:rPr>
          <w:rFonts w:ascii="Times New Roman" w:hAnsi="Times New Roman"/>
          <w:sz w:val="24"/>
        </w:rPr>
        <w:t xml:space="preserve"> at 99 [20]</w:t>
      </w:r>
      <w:r w:rsidR="00464AEF" w:rsidRPr="00842E68">
        <w:rPr>
          <w:rFonts w:ascii="Times New Roman" w:hAnsi="Times New Roman"/>
          <w:sz w:val="24"/>
        </w:rPr>
        <w:t>, quoted in</w:t>
      </w:r>
      <w:r w:rsidR="00F90972" w:rsidRPr="00842E68">
        <w:rPr>
          <w:rFonts w:ascii="Times New Roman" w:hAnsi="Times New Roman"/>
          <w:sz w:val="24"/>
        </w:rPr>
        <w:t xml:space="preserve"> </w:t>
      </w:r>
      <w:r w:rsidRPr="00842E68">
        <w:rPr>
          <w:rFonts w:ascii="Times New Roman" w:hAnsi="Times New Roman"/>
          <w:sz w:val="24"/>
        </w:rPr>
        <w:t xml:space="preserve">Gardiner, </w:t>
      </w:r>
      <w:r w:rsidRPr="00842E68">
        <w:rPr>
          <w:rFonts w:ascii="Times New Roman" w:hAnsi="Times New Roman"/>
          <w:i/>
          <w:iCs/>
          <w:sz w:val="24"/>
        </w:rPr>
        <w:t>Treaty Interpretation</w:t>
      </w:r>
      <w:r w:rsidRPr="00842E68">
        <w:rPr>
          <w:rFonts w:ascii="Times New Roman" w:hAnsi="Times New Roman"/>
          <w:sz w:val="24"/>
        </w:rPr>
        <w:t>, 2nd ed</w:t>
      </w:r>
      <w:r w:rsidRPr="00842E68">
        <w:rPr>
          <w:rFonts w:ascii="Times New Roman" w:hAnsi="Times New Roman"/>
          <w:i/>
          <w:iCs/>
          <w:sz w:val="24"/>
        </w:rPr>
        <w:t xml:space="preserve"> </w:t>
      </w:r>
      <w:r w:rsidRPr="00842E68">
        <w:rPr>
          <w:rFonts w:ascii="Times New Roman" w:hAnsi="Times New Roman"/>
          <w:sz w:val="24"/>
        </w:rPr>
        <w:t>(2015) at 347.</w:t>
      </w:r>
    </w:p>
  </w:footnote>
  <w:footnote w:id="21">
    <w:p w14:paraId="6CB86B7F" w14:textId="77777777" w:rsidR="0025119E" w:rsidRPr="00842E68" w:rsidRDefault="0025119E"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Havel and Sanchez, </w:t>
      </w:r>
      <w:r w:rsidRPr="00842E68">
        <w:rPr>
          <w:rFonts w:ascii="Times New Roman" w:hAnsi="Times New Roman"/>
          <w:i/>
          <w:iCs/>
          <w:sz w:val="24"/>
        </w:rPr>
        <w:t xml:space="preserve">The Principles and Practice of International Aviation Law </w:t>
      </w:r>
      <w:r w:rsidRPr="00842E68">
        <w:rPr>
          <w:rFonts w:ascii="Times New Roman" w:hAnsi="Times New Roman"/>
          <w:sz w:val="24"/>
        </w:rPr>
        <w:t>(2014) at 251.</w:t>
      </w:r>
    </w:p>
  </w:footnote>
  <w:footnote w:id="22">
    <w:p w14:paraId="6D295F9E" w14:textId="3E1A9ACE" w:rsidR="00811CAF" w:rsidRPr="00842E68" w:rsidRDefault="00811CAF"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Montreal Convention, </w:t>
      </w:r>
      <w:r w:rsidR="00597CD4" w:rsidRPr="00842E68">
        <w:rPr>
          <w:rFonts w:ascii="Times New Roman" w:hAnsi="Times New Roman"/>
          <w:sz w:val="24"/>
        </w:rPr>
        <w:t>Preamble.</w:t>
      </w:r>
    </w:p>
  </w:footnote>
  <w:footnote w:id="23">
    <w:p w14:paraId="7A00DECB" w14:textId="77777777" w:rsidR="0025119E" w:rsidRPr="00842E68" w:rsidRDefault="0025119E"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Pr="00842E68">
        <w:rPr>
          <w:rFonts w:ascii="Times New Roman" w:hAnsi="Times New Roman"/>
          <w:i/>
          <w:iCs/>
          <w:sz w:val="24"/>
        </w:rPr>
        <w:t xml:space="preserve">Air Canada v Evans </w:t>
      </w:r>
      <w:r w:rsidRPr="00842E68">
        <w:rPr>
          <w:rFonts w:ascii="Times New Roman" w:hAnsi="Times New Roman"/>
          <w:sz w:val="24"/>
        </w:rPr>
        <w:t>(2024) 114 NSWLR 433 at 445 [34].</w:t>
      </w:r>
    </w:p>
  </w:footnote>
  <w:footnote w:id="24">
    <w:p w14:paraId="0E701519" w14:textId="309CC652" w:rsidR="0025119E" w:rsidRPr="00842E68" w:rsidRDefault="0025119E"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bookmarkStart w:id="0" w:name="_Hlk193189537"/>
      <w:r w:rsidRPr="00842E68">
        <w:rPr>
          <w:rFonts w:ascii="Times New Roman" w:hAnsi="Times New Roman"/>
          <w:sz w:val="24"/>
        </w:rPr>
        <w:t xml:space="preserve">See </w:t>
      </w:r>
      <w:r w:rsidRPr="00842E68">
        <w:rPr>
          <w:rFonts w:ascii="Times New Roman" w:hAnsi="Times New Roman"/>
          <w:i/>
          <w:iCs/>
          <w:sz w:val="24"/>
        </w:rPr>
        <w:t>Cohen v American Airlines Inc</w:t>
      </w:r>
      <w:r w:rsidRPr="00842E68">
        <w:rPr>
          <w:rFonts w:ascii="Times New Roman" w:hAnsi="Times New Roman"/>
          <w:sz w:val="24"/>
        </w:rPr>
        <w:t xml:space="preserve"> (2021) 13 F 4th 240 at 244-245</w:t>
      </w:r>
      <w:bookmarkEnd w:id="0"/>
      <w:r w:rsidR="00BB0C91" w:rsidRPr="00842E68">
        <w:rPr>
          <w:rFonts w:ascii="Times New Roman" w:hAnsi="Times New Roman"/>
          <w:sz w:val="24"/>
        </w:rPr>
        <w:t xml:space="preserve">; Dempsey and </w:t>
      </w:r>
      <w:proofErr w:type="spellStart"/>
      <w:r w:rsidR="00BB0C91" w:rsidRPr="00842E68">
        <w:rPr>
          <w:rFonts w:ascii="Times New Roman" w:hAnsi="Times New Roman"/>
          <w:sz w:val="24"/>
        </w:rPr>
        <w:t>Milde</w:t>
      </w:r>
      <w:proofErr w:type="spellEnd"/>
      <w:r w:rsidR="00BB0C91" w:rsidRPr="00842E68">
        <w:rPr>
          <w:rFonts w:ascii="Times New Roman" w:hAnsi="Times New Roman"/>
          <w:sz w:val="24"/>
        </w:rPr>
        <w:t xml:space="preserve">, </w:t>
      </w:r>
      <w:r w:rsidR="00BB0C91" w:rsidRPr="00842E68">
        <w:rPr>
          <w:rFonts w:ascii="Times New Roman" w:hAnsi="Times New Roman"/>
          <w:i/>
          <w:iCs/>
          <w:sz w:val="24"/>
        </w:rPr>
        <w:t xml:space="preserve">International Air Carrier Liability: The Montreal Convention of 1999 </w:t>
      </w:r>
      <w:r w:rsidR="00BB0C91" w:rsidRPr="00842E68">
        <w:rPr>
          <w:rFonts w:ascii="Times New Roman" w:hAnsi="Times New Roman"/>
          <w:sz w:val="24"/>
        </w:rPr>
        <w:t>(2005) at 42-43.</w:t>
      </w:r>
    </w:p>
  </w:footnote>
  <w:footnote w:id="25">
    <w:p w14:paraId="396207FD" w14:textId="2D166598" w:rsidR="00D878EC" w:rsidRPr="00842E68" w:rsidRDefault="00D878EC"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See Warsaw Convention</w:t>
      </w:r>
      <w:r w:rsidR="00231DCA" w:rsidRPr="00842E68">
        <w:rPr>
          <w:rFonts w:ascii="Times New Roman" w:hAnsi="Times New Roman"/>
          <w:i/>
          <w:iCs/>
          <w:sz w:val="24"/>
        </w:rPr>
        <w:t xml:space="preserve"> </w:t>
      </w:r>
      <w:r w:rsidR="00231DCA" w:rsidRPr="00842E68">
        <w:rPr>
          <w:rFonts w:ascii="Times New Roman" w:hAnsi="Times New Roman"/>
          <w:sz w:val="24"/>
        </w:rPr>
        <w:t xml:space="preserve">(1929) 137 LNTS 11 at 13. </w:t>
      </w:r>
    </w:p>
  </w:footnote>
  <w:footnote w:id="26">
    <w:p w14:paraId="2E707446" w14:textId="272B0E7A" w:rsidR="00C8180A" w:rsidRPr="00842E68" w:rsidRDefault="00C8180A"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F565F8" w:rsidRPr="00842E68">
        <w:rPr>
          <w:rFonts w:ascii="Times New Roman" w:hAnsi="Times New Roman"/>
          <w:sz w:val="24"/>
        </w:rPr>
        <w:t xml:space="preserve"> 2001 SC 54 at 103-104 [6]-[8]</w:t>
      </w:r>
      <w:r w:rsidRPr="00842E68">
        <w:rPr>
          <w:rFonts w:ascii="Times New Roman" w:hAnsi="Times New Roman"/>
          <w:sz w:val="24"/>
        </w:rPr>
        <w:t xml:space="preserve">. </w:t>
      </w:r>
    </w:p>
  </w:footnote>
  <w:footnote w:id="27">
    <w:p w14:paraId="3C828CBA" w14:textId="4F9B595D" w:rsidR="00D66A3F" w:rsidRPr="00842E68" w:rsidRDefault="00D66A3F"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Cheng, "A New Era</w:t>
      </w:r>
      <w:r w:rsidR="006C3A97" w:rsidRPr="00842E68">
        <w:rPr>
          <w:rFonts w:ascii="Times New Roman" w:hAnsi="Times New Roman"/>
          <w:sz w:val="24"/>
        </w:rPr>
        <w:t xml:space="preserve"> in the Law</w:t>
      </w:r>
      <w:r w:rsidRPr="00842E68">
        <w:rPr>
          <w:rFonts w:ascii="Times New Roman" w:hAnsi="Times New Roman"/>
          <w:sz w:val="24"/>
        </w:rPr>
        <w:t xml:space="preserve"> of International Carriage by Air: From Warsaw (1929) to Montreal (1999)" (2004) 53 </w:t>
      </w:r>
      <w:r w:rsidRPr="00842E68">
        <w:rPr>
          <w:rFonts w:ascii="Times New Roman" w:hAnsi="Times New Roman"/>
          <w:i/>
          <w:iCs/>
          <w:sz w:val="24"/>
        </w:rPr>
        <w:t xml:space="preserve">International and Comparative Law Quarterly </w:t>
      </w:r>
      <w:r w:rsidRPr="00842E68">
        <w:rPr>
          <w:rFonts w:ascii="Times New Roman" w:hAnsi="Times New Roman"/>
          <w:sz w:val="24"/>
        </w:rPr>
        <w:t xml:space="preserve">833 at 833. </w:t>
      </w:r>
    </w:p>
  </w:footnote>
  <w:footnote w:id="28">
    <w:p w14:paraId="5EA34998" w14:textId="609CEB45" w:rsidR="008F4EB6" w:rsidRPr="00842E68" w:rsidRDefault="008F4EB6"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1C4E43" w:rsidRPr="00842E68">
        <w:rPr>
          <w:rFonts w:ascii="Times New Roman" w:hAnsi="Times New Roman"/>
          <w:sz w:val="24"/>
        </w:rPr>
        <w:t xml:space="preserve">See </w:t>
      </w:r>
      <w:proofErr w:type="spellStart"/>
      <w:r w:rsidR="003A4BA1" w:rsidRPr="00842E68">
        <w:rPr>
          <w:rFonts w:ascii="Times New Roman" w:hAnsi="Times New Roman"/>
          <w:sz w:val="24"/>
        </w:rPr>
        <w:t>Oliveto</w:t>
      </w:r>
      <w:proofErr w:type="spellEnd"/>
      <w:r w:rsidR="003A4BA1" w:rsidRPr="00842E68">
        <w:rPr>
          <w:rFonts w:ascii="Times New Roman" w:hAnsi="Times New Roman"/>
          <w:sz w:val="24"/>
        </w:rPr>
        <w:t>, "Revisiting the Liability System of the Montreal Convention</w:t>
      </w:r>
      <w:r w:rsidR="001C60F2" w:rsidRPr="00842E68">
        <w:rPr>
          <w:rFonts w:ascii="Times New Roman" w:hAnsi="Times New Roman"/>
          <w:sz w:val="24"/>
        </w:rPr>
        <w:t xml:space="preserve"> of 1999</w:t>
      </w:r>
      <w:r w:rsidR="003A4BA1" w:rsidRPr="00842E68">
        <w:rPr>
          <w:rFonts w:ascii="Times New Roman" w:hAnsi="Times New Roman"/>
          <w:sz w:val="24"/>
        </w:rPr>
        <w:t xml:space="preserve">" (2022) </w:t>
      </w:r>
      <w:r w:rsidR="004A50BD" w:rsidRPr="00842E68">
        <w:rPr>
          <w:rFonts w:ascii="Times New Roman" w:hAnsi="Times New Roman"/>
          <w:sz w:val="24"/>
        </w:rPr>
        <w:t xml:space="preserve">21 </w:t>
      </w:r>
      <w:r w:rsidR="003A4BA1" w:rsidRPr="00842E68">
        <w:rPr>
          <w:rFonts w:ascii="Times New Roman" w:hAnsi="Times New Roman"/>
          <w:i/>
          <w:iCs/>
          <w:sz w:val="24"/>
        </w:rPr>
        <w:t xml:space="preserve">Issues in Aviation Law and Policy </w:t>
      </w:r>
      <w:r w:rsidR="003A4BA1" w:rsidRPr="00842E68">
        <w:rPr>
          <w:rFonts w:ascii="Times New Roman" w:hAnsi="Times New Roman"/>
          <w:sz w:val="24"/>
        </w:rPr>
        <w:t>177 at 180</w:t>
      </w:r>
      <w:r w:rsidR="00355665" w:rsidRPr="00842E68">
        <w:rPr>
          <w:rFonts w:ascii="Times New Roman" w:hAnsi="Times New Roman"/>
          <w:sz w:val="24"/>
        </w:rPr>
        <w:t>, citing</w:t>
      </w:r>
      <w:r w:rsidR="005910E6" w:rsidRPr="00842E68">
        <w:rPr>
          <w:rFonts w:ascii="Times New Roman" w:hAnsi="Times New Roman"/>
          <w:sz w:val="24"/>
        </w:rPr>
        <w:t xml:space="preserve"> Tompkins, </w:t>
      </w:r>
      <w:r w:rsidR="005910E6" w:rsidRPr="00842E68">
        <w:rPr>
          <w:rFonts w:ascii="Times New Roman" w:hAnsi="Times New Roman"/>
          <w:i/>
          <w:iCs/>
          <w:sz w:val="24"/>
        </w:rPr>
        <w:t>Liability Rules</w:t>
      </w:r>
      <w:r w:rsidR="001F4DC8" w:rsidRPr="00842E68">
        <w:rPr>
          <w:rFonts w:ascii="Times New Roman" w:hAnsi="Times New Roman"/>
          <w:i/>
          <w:iCs/>
          <w:sz w:val="24"/>
        </w:rPr>
        <w:t xml:space="preserve"> Applicable</w:t>
      </w:r>
      <w:r w:rsidR="004F2AF2" w:rsidRPr="00842E68">
        <w:rPr>
          <w:rFonts w:ascii="Times New Roman" w:hAnsi="Times New Roman"/>
          <w:i/>
          <w:iCs/>
          <w:sz w:val="24"/>
        </w:rPr>
        <w:t xml:space="preserve"> to </w:t>
      </w:r>
      <w:r w:rsidR="00D2345E" w:rsidRPr="00842E68">
        <w:rPr>
          <w:rFonts w:ascii="Times New Roman" w:hAnsi="Times New Roman"/>
          <w:i/>
          <w:iCs/>
          <w:sz w:val="24"/>
        </w:rPr>
        <w:t xml:space="preserve">International </w:t>
      </w:r>
      <w:r w:rsidR="004F2AF2" w:rsidRPr="00842E68">
        <w:rPr>
          <w:rFonts w:ascii="Times New Roman" w:hAnsi="Times New Roman"/>
          <w:i/>
          <w:iCs/>
          <w:sz w:val="24"/>
        </w:rPr>
        <w:t xml:space="preserve">Air Transportation </w:t>
      </w:r>
      <w:r w:rsidR="0022546D" w:rsidRPr="00842E68">
        <w:rPr>
          <w:rFonts w:ascii="Times New Roman" w:hAnsi="Times New Roman"/>
          <w:i/>
          <w:iCs/>
          <w:sz w:val="24"/>
        </w:rPr>
        <w:t xml:space="preserve">as Developed </w:t>
      </w:r>
      <w:r w:rsidR="00705AF8" w:rsidRPr="00842E68">
        <w:rPr>
          <w:rFonts w:ascii="Times New Roman" w:hAnsi="Times New Roman"/>
          <w:i/>
          <w:iCs/>
          <w:sz w:val="24"/>
        </w:rPr>
        <w:t>by the Courts</w:t>
      </w:r>
      <w:r w:rsidR="00451054" w:rsidRPr="00842E68">
        <w:rPr>
          <w:rFonts w:ascii="Times New Roman" w:hAnsi="Times New Roman"/>
          <w:i/>
          <w:iCs/>
          <w:sz w:val="24"/>
        </w:rPr>
        <w:t xml:space="preserve"> </w:t>
      </w:r>
      <w:r w:rsidR="008A1019" w:rsidRPr="00842E68">
        <w:rPr>
          <w:rFonts w:ascii="Times New Roman" w:hAnsi="Times New Roman"/>
          <w:i/>
          <w:iCs/>
          <w:sz w:val="24"/>
        </w:rPr>
        <w:t>in the United States: F</w:t>
      </w:r>
      <w:r w:rsidR="008F2279" w:rsidRPr="00842E68">
        <w:rPr>
          <w:rFonts w:ascii="Times New Roman" w:hAnsi="Times New Roman"/>
          <w:i/>
          <w:iCs/>
          <w:sz w:val="24"/>
        </w:rPr>
        <w:t>rom Warsaw 1929 to Montreal</w:t>
      </w:r>
      <w:r w:rsidR="008A1019" w:rsidRPr="00842E68">
        <w:rPr>
          <w:rFonts w:ascii="Times New Roman" w:hAnsi="Times New Roman"/>
          <w:i/>
          <w:iCs/>
          <w:sz w:val="24"/>
        </w:rPr>
        <w:t xml:space="preserve"> 1999</w:t>
      </w:r>
      <w:r w:rsidR="0041665A" w:rsidRPr="00842E68">
        <w:rPr>
          <w:rFonts w:ascii="Times New Roman" w:hAnsi="Times New Roman"/>
          <w:i/>
          <w:iCs/>
          <w:sz w:val="24"/>
        </w:rPr>
        <w:t xml:space="preserve"> </w:t>
      </w:r>
      <w:r w:rsidR="0041665A" w:rsidRPr="00842E68">
        <w:rPr>
          <w:rFonts w:ascii="Times New Roman" w:hAnsi="Times New Roman"/>
          <w:sz w:val="24"/>
        </w:rPr>
        <w:t>(2010)</w:t>
      </w:r>
      <w:r w:rsidR="00401B89" w:rsidRPr="00842E68">
        <w:rPr>
          <w:rFonts w:ascii="Times New Roman" w:hAnsi="Times New Roman"/>
          <w:sz w:val="24"/>
        </w:rPr>
        <w:t xml:space="preserve"> at 34</w:t>
      </w:r>
      <w:r w:rsidR="003A4BA1" w:rsidRPr="00842E68">
        <w:rPr>
          <w:rFonts w:ascii="Times New Roman" w:hAnsi="Times New Roman"/>
          <w:sz w:val="24"/>
        </w:rPr>
        <w:t xml:space="preserve">. </w:t>
      </w:r>
    </w:p>
  </w:footnote>
  <w:footnote w:id="29">
    <w:p w14:paraId="78E20A45" w14:textId="2629BF69" w:rsidR="004C1941" w:rsidRPr="00842E68" w:rsidRDefault="004C1941"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bookmarkStart w:id="1" w:name="_Hlk193191546"/>
      <w:r w:rsidR="00E05FA8" w:rsidRPr="00842E68">
        <w:rPr>
          <w:rFonts w:ascii="Times New Roman" w:hAnsi="Times New Roman"/>
          <w:sz w:val="24"/>
        </w:rPr>
        <w:t>Warsaw Convention, Art</w:t>
      </w:r>
      <w:r w:rsidR="00EA7F5D" w:rsidRPr="00842E68">
        <w:rPr>
          <w:rFonts w:ascii="Times New Roman" w:hAnsi="Times New Roman"/>
          <w:sz w:val="24"/>
        </w:rPr>
        <w:t>s</w:t>
      </w:r>
      <w:r w:rsidR="00E05FA8" w:rsidRPr="00842E68">
        <w:rPr>
          <w:rFonts w:ascii="Times New Roman" w:hAnsi="Times New Roman"/>
          <w:sz w:val="24"/>
        </w:rPr>
        <w:t xml:space="preserve"> 17</w:t>
      </w:r>
      <w:r w:rsidR="007D0DE2" w:rsidRPr="00842E68">
        <w:rPr>
          <w:rFonts w:ascii="Times New Roman" w:hAnsi="Times New Roman"/>
          <w:sz w:val="24"/>
        </w:rPr>
        <w:t>, 24</w:t>
      </w:r>
      <w:r w:rsidR="00E05FA8" w:rsidRPr="00842E68">
        <w:rPr>
          <w:rFonts w:ascii="Times New Roman" w:hAnsi="Times New Roman"/>
          <w:sz w:val="24"/>
        </w:rPr>
        <w:t>. See</w:t>
      </w:r>
      <w:bookmarkEnd w:id="1"/>
      <w:r w:rsidRPr="00842E68">
        <w:rPr>
          <w:rFonts w:ascii="Times New Roman" w:hAnsi="Times New Roman"/>
          <w:i/>
          <w:iCs/>
          <w:sz w:val="24"/>
        </w:rPr>
        <w:t xml:space="preserve"> Sidhu v British Airways Plc </w:t>
      </w:r>
      <w:r w:rsidRPr="00842E68">
        <w:rPr>
          <w:rFonts w:ascii="Times New Roman" w:hAnsi="Times New Roman"/>
          <w:sz w:val="24"/>
        </w:rPr>
        <w:t xml:space="preserve">[1997] AC 430 at 447; </w:t>
      </w:r>
      <w:r w:rsidR="00150228" w:rsidRPr="00842E68">
        <w:rPr>
          <w:rFonts w:ascii="Times New Roman" w:hAnsi="Times New Roman"/>
          <w:i/>
          <w:iCs/>
          <w:sz w:val="24"/>
        </w:rPr>
        <w:t xml:space="preserve">El Al Israel Airlines Ltd v Tsui Yuan Tseng </w:t>
      </w:r>
      <w:r w:rsidR="00150228" w:rsidRPr="00842E68">
        <w:rPr>
          <w:rFonts w:ascii="Times New Roman" w:hAnsi="Times New Roman"/>
          <w:sz w:val="24"/>
        </w:rPr>
        <w:t xml:space="preserve">(1999) 525 US 155 at 176; </w:t>
      </w:r>
      <w:r w:rsidRPr="00842E68">
        <w:rPr>
          <w:rFonts w:ascii="Times New Roman" w:hAnsi="Times New Roman"/>
          <w:i/>
          <w:iCs/>
          <w:sz w:val="24"/>
        </w:rPr>
        <w:t xml:space="preserve">United Airlines Inc v </w:t>
      </w:r>
      <w:proofErr w:type="spellStart"/>
      <w:r w:rsidRPr="00842E68">
        <w:rPr>
          <w:rFonts w:ascii="Times New Roman" w:hAnsi="Times New Roman"/>
          <w:i/>
          <w:iCs/>
          <w:sz w:val="24"/>
        </w:rPr>
        <w:t>Sercel</w:t>
      </w:r>
      <w:proofErr w:type="spellEnd"/>
      <w:r w:rsidRPr="00842E68">
        <w:rPr>
          <w:rFonts w:ascii="Times New Roman" w:hAnsi="Times New Roman"/>
          <w:i/>
          <w:iCs/>
          <w:sz w:val="24"/>
        </w:rPr>
        <w:t xml:space="preserve"> Australia Pty Ltd </w:t>
      </w:r>
      <w:r w:rsidRPr="00842E68">
        <w:rPr>
          <w:rFonts w:ascii="Times New Roman" w:hAnsi="Times New Roman"/>
          <w:sz w:val="24"/>
        </w:rPr>
        <w:t xml:space="preserve">(2012) 289 ALR 682 at 704-705 [96]-[98]. </w:t>
      </w:r>
    </w:p>
  </w:footnote>
  <w:footnote w:id="30">
    <w:p w14:paraId="292C7990" w14:textId="061B4DB3" w:rsidR="003A4BA1" w:rsidRPr="00842E68" w:rsidRDefault="003A4BA1"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Warsaw Convention, Art 20</w:t>
      </w:r>
      <w:r w:rsidR="00BF2C7F" w:rsidRPr="00842E68">
        <w:rPr>
          <w:rFonts w:ascii="Times New Roman" w:hAnsi="Times New Roman"/>
          <w:sz w:val="24"/>
        </w:rPr>
        <w:t>(1)</w:t>
      </w:r>
      <w:r w:rsidRPr="00842E68">
        <w:rPr>
          <w:rFonts w:ascii="Times New Roman" w:hAnsi="Times New Roman"/>
          <w:sz w:val="24"/>
        </w:rPr>
        <w:t>.</w:t>
      </w:r>
    </w:p>
  </w:footnote>
  <w:footnote w:id="31">
    <w:p w14:paraId="286C0A0A" w14:textId="5BC0606E" w:rsidR="00DC51EB" w:rsidRPr="00842E68" w:rsidRDefault="00DC51EB"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Warsaw Convention, Art 25.</w:t>
      </w:r>
    </w:p>
  </w:footnote>
  <w:footnote w:id="32">
    <w:p w14:paraId="417D6DB0" w14:textId="2F0BA44A" w:rsidR="008F4EB6" w:rsidRPr="00842E68" w:rsidRDefault="008F4EB6"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Warsaw Convention, Art</w:t>
      </w:r>
      <w:r w:rsidR="00DC51EB" w:rsidRPr="00842E68">
        <w:rPr>
          <w:rFonts w:ascii="Times New Roman" w:hAnsi="Times New Roman"/>
          <w:sz w:val="24"/>
        </w:rPr>
        <w:t>s 3(2), 4(4), 9</w:t>
      </w:r>
      <w:r w:rsidRPr="00842E68">
        <w:rPr>
          <w:rFonts w:ascii="Times New Roman" w:hAnsi="Times New Roman"/>
          <w:sz w:val="24"/>
        </w:rPr>
        <w:t>.</w:t>
      </w:r>
      <w:r w:rsidR="00DC51EB" w:rsidRPr="00842E68">
        <w:rPr>
          <w:rFonts w:ascii="Times New Roman" w:hAnsi="Times New Roman"/>
          <w:sz w:val="24"/>
        </w:rPr>
        <w:t xml:space="preserve"> </w:t>
      </w:r>
    </w:p>
  </w:footnote>
  <w:footnote w:id="33">
    <w:p w14:paraId="032A8E15" w14:textId="0800CB6A" w:rsidR="003A4BA1" w:rsidRPr="00842E68" w:rsidRDefault="003A4BA1"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Warsaw Convention, Art 22</w:t>
      </w:r>
      <w:r w:rsidR="000D31B0" w:rsidRPr="00842E68">
        <w:rPr>
          <w:rFonts w:ascii="Times New Roman" w:hAnsi="Times New Roman"/>
          <w:sz w:val="24"/>
        </w:rPr>
        <w:t>(1)</w:t>
      </w:r>
      <w:r w:rsidR="005F7937" w:rsidRPr="00842E68">
        <w:rPr>
          <w:rFonts w:ascii="Times New Roman" w:hAnsi="Times New Roman"/>
          <w:sz w:val="24"/>
        </w:rPr>
        <w:t>, (4)</w:t>
      </w:r>
      <w:r w:rsidRPr="00842E68">
        <w:rPr>
          <w:rFonts w:ascii="Times New Roman" w:hAnsi="Times New Roman"/>
          <w:sz w:val="24"/>
        </w:rPr>
        <w:t xml:space="preserve">. </w:t>
      </w:r>
    </w:p>
  </w:footnote>
  <w:footnote w:id="34">
    <w:p w14:paraId="3AD19816" w14:textId="11766408" w:rsidR="00460950" w:rsidRPr="00842E68" w:rsidRDefault="00460950"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C55D92" w:rsidRPr="00842E68">
        <w:rPr>
          <w:rFonts w:ascii="Times New Roman" w:hAnsi="Times New Roman"/>
          <w:sz w:val="24"/>
        </w:rPr>
        <w:t xml:space="preserve">Cheng, "A New Era </w:t>
      </w:r>
      <w:r w:rsidR="00570E02" w:rsidRPr="00842E68">
        <w:rPr>
          <w:rFonts w:ascii="Times New Roman" w:hAnsi="Times New Roman"/>
          <w:sz w:val="24"/>
        </w:rPr>
        <w:t xml:space="preserve">in the Law </w:t>
      </w:r>
      <w:r w:rsidR="00C55D92" w:rsidRPr="00842E68">
        <w:rPr>
          <w:rFonts w:ascii="Times New Roman" w:hAnsi="Times New Roman"/>
          <w:sz w:val="24"/>
        </w:rPr>
        <w:t xml:space="preserve">of International Carriage by Air: From Warsaw (1929) to Montreal (1999)" (2004) 53 </w:t>
      </w:r>
      <w:r w:rsidR="00C55D92" w:rsidRPr="00842E68">
        <w:rPr>
          <w:rFonts w:ascii="Times New Roman" w:hAnsi="Times New Roman"/>
          <w:i/>
          <w:iCs/>
          <w:sz w:val="24"/>
        </w:rPr>
        <w:t xml:space="preserve">International and Comparative Law Quarterly </w:t>
      </w:r>
      <w:r w:rsidR="00C55D92" w:rsidRPr="00842E68">
        <w:rPr>
          <w:rFonts w:ascii="Times New Roman" w:hAnsi="Times New Roman"/>
          <w:sz w:val="24"/>
        </w:rPr>
        <w:t xml:space="preserve">833 at 835; </w:t>
      </w:r>
      <w:r w:rsidRPr="00842E68">
        <w:rPr>
          <w:rFonts w:ascii="Times New Roman" w:hAnsi="Times New Roman"/>
          <w:sz w:val="24"/>
        </w:rPr>
        <w:t xml:space="preserve">Havel and Sanchez, </w:t>
      </w:r>
      <w:r w:rsidRPr="00842E68">
        <w:rPr>
          <w:rFonts w:ascii="Times New Roman" w:hAnsi="Times New Roman"/>
          <w:i/>
          <w:iCs/>
          <w:sz w:val="24"/>
        </w:rPr>
        <w:t xml:space="preserve">The Principles and Practice of International Aviation Law </w:t>
      </w:r>
      <w:r w:rsidRPr="00842E68">
        <w:rPr>
          <w:rFonts w:ascii="Times New Roman" w:hAnsi="Times New Roman"/>
          <w:sz w:val="24"/>
        </w:rPr>
        <w:t>(2014) at 261</w:t>
      </w:r>
      <w:r w:rsidR="00C55D92" w:rsidRPr="00842E68">
        <w:rPr>
          <w:rFonts w:ascii="Times New Roman" w:hAnsi="Times New Roman"/>
          <w:sz w:val="24"/>
        </w:rPr>
        <w:t xml:space="preserve">. </w:t>
      </w:r>
    </w:p>
  </w:footnote>
  <w:footnote w:id="35">
    <w:p w14:paraId="1733BCBD" w14:textId="3605158F" w:rsidR="00460950" w:rsidRPr="00842E68" w:rsidRDefault="00460950"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Batra, "Modernization of the Warsaw System—Montreal 1999" (2000) </w:t>
      </w:r>
      <w:r w:rsidR="00111CB6" w:rsidRPr="00842E68">
        <w:rPr>
          <w:rFonts w:ascii="Times New Roman" w:hAnsi="Times New Roman"/>
          <w:sz w:val="24"/>
        </w:rPr>
        <w:t xml:space="preserve">65 </w:t>
      </w:r>
      <w:r w:rsidRPr="00842E68">
        <w:rPr>
          <w:rFonts w:ascii="Times New Roman" w:hAnsi="Times New Roman"/>
          <w:i/>
          <w:iCs/>
          <w:sz w:val="24"/>
        </w:rPr>
        <w:t xml:space="preserve">Journal of Air Law and Commerce </w:t>
      </w:r>
      <w:r w:rsidRPr="00842E68">
        <w:rPr>
          <w:rFonts w:ascii="Times New Roman" w:hAnsi="Times New Roman"/>
          <w:sz w:val="24"/>
        </w:rPr>
        <w:t>429 at 429.</w:t>
      </w:r>
      <w:r w:rsidR="00826245" w:rsidRPr="00842E68">
        <w:rPr>
          <w:rFonts w:ascii="Times New Roman" w:hAnsi="Times New Roman"/>
          <w:sz w:val="24"/>
        </w:rPr>
        <w:t xml:space="preserve"> See also </w:t>
      </w:r>
      <w:r w:rsidR="00BD7136" w:rsidRPr="00842E68">
        <w:rPr>
          <w:rFonts w:ascii="Times New Roman" w:hAnsi="Times New Roman"/>
          <w:sz w:val="24"/>
        </w:rPr>
        <w:t xml:space="preserve">Dempsey and </w:t>
      </w:r>
      <w:proofErr w:type="spellStart"/>
      <w:r w:rsidR="00BD7136" w:rsidRPr="00842E68">
        <w:rPr>
          <w:rFonts w:ascii="Times New Roman" w:hAnsi="Times New Roman"/>
          <w:sz w:val="24"/>
        </w:rPr>
        <w:t>Milde</w:t>
      </w:r>
      <w:proofErr w:type="spellEnd"/>
      <w:r w:rsidR="00BD7136" w:rsidRPr="00842E68">
        <w:rPr>
          <w:rFonts w:ascii="Times New Roman" w:hAnsi="Times New Roman"/>
          <w:sz w:val="24"/>
        </w:rPr>
        <w:t xml:space="preserve">, </w:t>
      </w:r>
      <w:r w:rsidR="00BD7136" w:rsidRPr="00842E68">
        <w:rPr>
          <w:rFonts w:ascii="Times New Roman" w:hAnsi="Times New Roman"/>
          <w:i/>
          <w:iCs/>
          <w:sz w:val="24"/>
        </w:rPr>
        <w:t xml:space="preserve">International Air Carrier Liability: The Montreal Convention of 1999 </w:t>
      </w:r>
      <w:r w:rsidR="00BD7136" w:rsidRPr="00842E68">
        <w:rPr>
          <w:rFonts w:ascii="Times New Roman" w:hAnsi="Times New Roman"/>
          <w:sz w:val="24"/>
        </w:rPr>
        <w:t>(2005) at 50-5</w:t>
      </w:r>
      <w:r w:rsidR="00E81FF6" w:rsidRPr="00842E68">
        <w:rPr>
          <w:rFonts w:ascii="Times New Roman" w:hAnsi="Times New Roman"/>
          <w:sz w:val="24"/>
        </w:rPr>
        <w:t>2</w:t>
      </w:r>
      <w:r w:rsidR="00BD7136" w:rsidRPr="00842E68">
        <w:rPr>
          <w:rFonts w:ascii="Times New Roman" w:hAnsi="Times New Roman"/>
          <w:sz w:val="24"/>
        </w:rPr>
        <w:t xml:space="preserve">; </w:t>
      </w:r>
      <w:r w:rsidR="00826245" w:rsidRPr="00842E68">
        <w:rPr>
          <w:rFonts w:ascii="Times New Roman" w:hAnsi="Times New Roman"/>
          <w:sz w:val="24"/>
        </w:rPr>
        <w:t xml:space="preserve">Havel and Sanchez, </w:t>
      </w:r>
      <w:r w:rsidR="00826245" w:rsidRPr="00842E68">
        <w:rPr>
          <w:rFonts w:ascii="Times New Roman" w:hAnsi="Times New Roman"/>
          <w:i/>
          <w:iCs/>
          <w:sz w:val="24"/>
        </w:rPr>
        <w:t xml:space="preserve">The Principles and Practice of International Aviation Law </w:t>
      </w:r>
      <w:r w:rsidR="00826245" w:rsidRPr="00842E68">
        <w:rPr>
          <w:rFonts w:ascii="Times New Roman" w:hAnsi="Times New Roman"/>
          <w:sz w:val="24"/>
        </w:rPr>
        <w:t>(2014) at 258-259</w:t>
      </w:r>
      <w:r w:rsidR="00BD7136" w:rsidRPr="00842E68">
        <w:rPr>
          <w:rFonts w:ascii="Times New Roman" w:hAnsi="Times New Roman"/>
          <w:sz w:val="24"/>
        </w:rPr>
        <w:t>.</w:t>
      </w:r>
    </w:p>
  </w:footnote>
  <w:footnote w:id="36">
    <w:p w14:paraId="5D5EF088" w14:textId="251AE78F" w:rsidR="004807D4" w:rsidRPr="00842E68" w:rsidRDefault="004807D4"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Cheng, "A New Era </w:t>
      </w:r>
      <w:r w:rsidR="0097661F" w:rsidRPr="00842E68">
        <w:rPr>
          <w:rFonts w:ascii="Times New Roman" w:hAnsi="Times New Roman"/>
          <w:sz w:val="24"/>
        </w:rPr>
        <w:t xml:space="preserve">in the Law </w:t>
      </w:r>
      <w:r w:rsidRPr="00842E68">
        <w:rPr>
          <w:rFonts w:ascii="Times New Roman" w:hAnsi="Times New Roman"/>
          <w:sz w:val="24"/>
        </w:rPr>
        <w:t xml:space="preserve">of International Carriage by Air: From Warsaw (1929) to Montreal (1999)" (2004) 53 </w:t>
      </w:r>
      <w:r w:rsidRPr="00842E68">
        <w:rPr>
          <w:rFonts w:ascii="Times New Roman" w:hAnsi="Times New Roman"/>
          <w:i/>
          <w:iCs/>
          <w:sz w:val="24"/>
        </w:rPr>
        <w:t xml:space="preserve">International and Comparative Law Quarterly </w:t>
      </w:r>
      <w:r w:rsidRPr="00842E68">
        <w:rPr>
          <w:rFonts w:ascii="Times New Roman" w:hAnsi="Times New Roman"/>
          <w:sz w:val="24"/>
        </w:rPr>
        <w:t>833 at 835</w:t>
      </w:r>
      <w:r w:rsidR="005A2F8B" w:rsidRPr="00842E68">
        <w:rPr>
          <w:rFonts w:ascii="Times New Roman" w:hAnsi="Times New Roman"/>
          <w:sz w:val="24"/>
        </w:rPr>
        <w:t xml:space="preserve">; Dempsey </w:t>
      </w:r>
      <w:r w:rsidR="002102C4" w:rsidRPr="00842E68">
        <w:rPr>
          <w:rFonts w:ascii="Times New Roman" w:hAnsi="Times New Roman"/>
          <w:sz w:val="24"/>
        </w:rPr>
        <w:t xml:space="preserve">and </w:t>
      </w:r>
      <w:proofErr w:type="spellStart"/>
      <w:r w:rsidR="002102C4" w:rsidRPr="00842E68">
        <w:rPr>
          <w:rFonts w:ascii="Times New Roman" w:hAnsi="Times New Roman"/>
          <w:sz w:val="24"/>
        </w:rPr>
        <w:t>Milde</w:t>
      </w:r>
      <w:proofErr w:type="spellEnd"/>
      <w:r w:rsidR="002102C4" w:rsidRPr="00842E68">
        <w:rPr>
          <w:rFonts w:ascii="Times New Roman" w:hAnsi="Times New Roman"/>
          <w:sz w:val="24"/>
        </w:rPr>
        <w:t xml:space="preserve">, </w:t>
      </w:r>
      <w:r w:rsidR="002102C4" w:rsidRPr="00842E68">
        <w:rPr>
          <w:rFonts w:ascii="Times New Roman" w:hAnsi="Times New Roman"/>
          <w:i/>
          <w:iCs/>
          <w:sz w:val="24"/>
        </w:rPr>
        <w:t xml:space="preserve">International Air Carrier Liability: The Montreal Convention of 1999 </w:t>
      </w:r>
      <w:r w:rsidR="002102C4" w:rsidRPr="00842E68">
        <w:rPr>
          <w:rFonts w:ascii="Times New Roman" w:hAnsi="Times New Roman"/>
          <w:sz w:val="24"/>
        </w:rPr>
        <w:t xml:space="preserve">(2005) at </w:t>
      </w:r>
      <w:r w:rsidR="00586DFB" w:rsidRPr="00842E68">
        <w:rPr>
          <w:rFonts w:ascii="Times New Roman" w:hAnsi="Times New Roman"/>
          <w:sz w:val="24"/>
        </w:rPr>
        <w:t>26-27.</w:t>
      </w:r>
    </w:p>
  </w:footnote>
  <w:footnote w:id="37">
    <w:p w14:paraId="5D018E14" w14:textId="736E286C" w:rsidR="00052F37" w:rsidRPr="00842E68" w:rsidRDefault="00052F37"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See Hague Protocol (1955) 478 UNTS 371 at </w:t>
      </w:r>
      <w:r w:rsidR="00672C82" w:rsidRPr="00842E68">
        <w:rPr>
          <w:rFonts w:ascii="Times New Roman" w:hAnsi="Times New Roman"/>
          <w:sz w:val="24"/>
        </w:rPr>
        <w:t>373.</w:t>
      </w:r>
    </w:p>
  </w:footnote>
  <w:footnote w:id="38">
    <w:p w14:paraId="60124966" w14:textId="5B2E0683" w:rsidR="00EE3773" w:rsidRPr="00842E68" w:rsidRDefault="00EE3773"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See Hague Protocol </w:t>
      </w:r>
      <w:r w:rsidR="0022205D" w:rsidRPr="00842E68">
        <w:rPr>
          <w:rFonts w:ascii="Times New Roman" w:hAnsi="Times New Roman"/>
          <w:sz w:val="24"/>
        </w:rPr>
        <w:t>(</w:t>
      </w:r>
      <w:r w:rsidRPr="00842E68">
        <w:rPr>
          <w:rFonts w:ascii="Times New Roman" w:hAnsi="Times New Roman"/>
          <w:sz w:val="24"/>
        </w:rPr>
        <w:t>1955</w:t>
      </w:r>
      <w:r w:rsidR="0022205D" w:rsidRPr="00842E68">
        <w:rPr>
          <w:rFonts w:ascii="Times New Roman" w:hAnsi="Times New Roman"/>
          <w:sz w:val="24"/>
        </w:rPr>
        <w:t>)</w:t>
      </w:r>
      <w:r w:rsidRPr="00842E68">
        <w:rPr>
          <w:rFonts w:ascii="Times New Roman" w:hAnsi="Times New Roman"/>
          <w:sz w:val="24"/>
        </w:rPr>
        <w:t xml:space="preserve">, Art </w:t>
      </w:r>
      <w:r w:rsidR="006F74B6" w:rsidRPr="00842E68">
        <w:rPr>
          <w:rFonts w:ascii="Times New Roman" w:hAnsi="Times New Roman"/>
          <w:sz w:val="24"/>
        </w:rPr>
        <w:t>X</w:t>
      </w:r>
      <w:r w:rsidR="007414C1" w:rsidRPr="00842E68">
        <w:rPr>
          <w:rFonts w:ascii="Times New Roman" w:hAnsi="Times New Roman"/>
          <w:sz w:val="24"/>
        </w:rPr>
        <w:t>I</w:t>
      </w:r>
      <w:r w:rsidRPr="00842E68">
        <w:rPr>
          <w:rFonts w:ascii="Times New Roman" w:hAnsi="Times New Roman"/>
          <w:sz w:val="24"/>
        </w:rPr>
        <w:t xml:space="preserve">. </w:t>
      </w:r>
    </w:p>
  </w:footnote>
  <w:footnote w:id="39">
    <w:p w14:paraId="450AEE47" w14:textId="159F9887" w:rsidR="00546893" w:rsidRPr="00842E68" w:rsidRDefault="00546893"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7320F0" w:rsidRPr="00842E68">
        <w:rPr>
          <w:rFonts w:ascii="Times New Roman" w:hAnsi="Times New Roman"/>
          <w:sz w:val="24"/>
        </w:rPr>
        <w:t xml:space="preserve">See </w:t>
      </w:r>
      <w:r w:rsidRPr="00842E68">
        <w:rPr>
          <w:rFonts w:ascii="Times New Roman" w:hAnsi="Times New Roman"/>
          <w:sz w:val="24"/>
        </w:rPr>
        <w:t xml:space="preserve">Cheng, "A New Era </w:t>
      </w:r>
      <w:r w:rsidR="003C4C1B" w:rsidRPr="00842E68">
        <w:rPr>
          <w:rFonts w:ascii="Times New Roman" w:hAnsi="Times New Roman"/>
          <w:sz w:val="24"/>
        </w:rPr>
        <w:t xml:space="preserve">in the Law </w:t>
      </w:r>
      <w:r w:rsidRPr="00842E68">
        <w:rPr>
          <w:rFonts w:ascii="Times New Roman" w:hAnsi="Times New Roman"/>
          <w:sz w:val="24"/>
        </w:rPr>
        <w:t xml:space="preserve">of International Carriage by Air: From Warsaw (1929) to Montreal (1999)" (2004) 53 </w:t>
      </w:r>
      <w:r w:rsidRPr="00842E68">
        <w:rPr>
          <w:rFonts w:ascii="Times New Roman" w:hAnsi="Times New Roman"/>
          <w:i/>
          <w:iCs/>
          <w:sz w:val="24"/>
        </w:rPr>
        <w:t xml:space="preserve">International and Comparative Law Quarterly </w:t>
      </w:r>
      <w:r w:rsidRPr="00842E68">
        <w:rPr>
          <w:rFonts w:ascii="Times New Roman" w:hAnsi="Times New Roman"/>
          <w:sz w:val="24"/>
        </w:rPr>
        <w:t xml:space="preserve">833 at </w:t>
      </w:r>
      <w:r w:rsidR="00DB267A" w:rsidRPr="00842E68">
        <w:rPr>
          <w:rFonts w:ascii="Times New Roman" w:hAnsi="Times New Roman"/>
          <w:sz w:val="24"/>
        </w:rPr>
        <w:t>836</w:t>
      </w:r>
      <w:r w:rsidR="00626962" w:rsidRPr="00842E68">
        <w:rPr>
          <w:rFonts w:ascii="Times New Roman" w:hAnsi="Times New Roman"/>
          <w:sz w:val="24"/>
        </w:rPr>
        <w:t xml:space="preserve">; Havel and Sanchez, </w:t>
      </w:r>
      <w:r w:rsidR="00626962" w:rsidRPr="00842E68">
        <w:rPr>
          <w:rFonts w:ascii="Times New Roman" w:hAnsi="Times New Roman"/>
          <w:i/>
          <w:iCs/>
          <w:sz w:val="24"/>
        </w:rPr>
        <w:t xml:space="preserve">The Principles and Practice of International Aviation Law </w:t>
      </w:r>
      <w:r w:rsidR="00626962" w:rsidRPr="00842E68">
        <w:rPr>
          <w:rFonts w:ascii="Times New Roman" w:hAnsi="Times New Roman"/>
          <w:sz w:val="24"/>
        </w:rPr>
        <w:t>(2014) at 26</w:t>
      </w:r>
      <w:r w:rsidR="00AC16B2" w:rsidRPr="00842E68">
        <w:rPr>
          <w:rFonts w:ascii="Times New Roman" w:hAnsi="Times New Roman"/>
          <w:sz w:val="24"/>
        </w:rPr>
        <w:t>9-270</w:t>
      </w:r>
      <w:r w:rsidR="00626962" w:rsidRPr="00842E68">
        <w:rPr>
          <w:rFonts w:ascii="Times New Roman" w:hAnsi="Times New Roman"/>
          <w:sz w:val="24"/>
        </w:rPr>
        <w:t>.</w:t>
      </w:r>
    </w:p>
  </w:footnote>
  <w:footnote w:id="40">
    <w:p w14:paraId="76EA3C53" w14:textId="02A398EB" w:rsidR="00B407E2" w:rsidRPr="00842E68" w:rsidRDefault="00B407E2"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Havel and Sanchez, </w:t>
      </w:r>
      <w:r w:rsidRPr="00842E68">
        <w:rPr>
          <w:rFonts w:ascii="Times New Roman" w:hAnsi="Times New Roman"/>
          <w:i/>
          <w:iCs/>
          <w:sz w:val="24"/>
        </w:rPr>
        <w:t xml:space="preserve">The Principles and Practice of International Aviation Law </w:t>
      </w:r>
      <w:r w:rsidRPr="00842E68">
        <w:rPr>
          <w:rFonts w:ascii="Times New Roman" w:hAnsi="Times New Roman"/>
          <w:sz w:val="24"/>
        </w:rPr>
        <w:t>(2014) at 266</w:t>
      </w:r>
      <w:r w:rsidR="00A85049" w:rsidRPr="00842E68">
        <w:rPr>
          <w:rFonts w:ascii="Times New Roman" w:hAnsi="Times New Roman"/>
          <w:sz w:val="24"/>
        </w:rPr>
        <w:t xml:space="preserve">; Tompkins, </w:t>
      </w:r>
      <w:r w:rsidR="00A85049" w:rsidRPr="00842E68">
        <w:rPr>
          <w:rFonts w:ascii="Times New Roman" w:hAnsi="Times New Roman"/>
          <w:i/>
          <w:iCs/>
          <w:sz w:val="24"/>
        </w:rPr>
        <w:t xml:space="preserve">Liability Rules Applicable to International Air Transportation as Developed by the Courts in the United States: From Warsaw 1929 to Montreal 1999 </w:t>
      </w:r>
      <w:r w:rsidR="00A85049" w:rsidRPr="00842E68">
        <w:rPr>
          <w:rFonts w:ascii="Times New Roman" w:hAnsi="Times New Roman"/>
          <w:sz w:val="24"/>
        </w:rPr>
        <w:t>(</w:t>
      </w:r>
      <w:r w:rsidR="00F2608F" w:rsidRPr="00842E68">
        <w:rPr>
          <w:rFonts w:ascii="Times New Roman" w:hAnsi="Times New Roman"/>
          <w:sz w:val="24"/>
        </w:rPr>
        <w:t>2010) at 353</w:t>
      </w:r>
      <w:r w:rsidR="00AE36C7" w:rsidRPr="00842E68">
        <w:rPr>
          <w:rFonts w:ascii="Times New Roman" w:hAnsi="Times New Roman"/>
          <w:sz w:val="24"/>
        </w:rPr>
        <w:t>.</w:t>
      </w:r>
    </w:p>
  </w:footnote>
  <w:footnote w:id="41">
    <w:p w14:paraId="45F9BBAB" w14:textId="6534247B" w:rsidR="00190D7E" w:rsidRPr="00842E68" w:rsidRDefault="00190D7E"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Havel and Sanchez, </w:t>
      </w:r>
      <w:r w:rsidRPr="00842E68">
        <w:rPr>
          <w:rFonts w:ascii="Times New Roman" w:hAnsi="Times New Roman"/>
          <w:i/>
          <w:iCs/>
          <w:sz w:val="24"/>
        </w:rPr>
        <w:t xml:space="preserve">The Principles and Practice of International Aviation Law </w:t>
      </w:r>
      <w:r w:rsidRPr="00842E68">
        <w:rPr>
          <w:rFonts w:ascii="Times New Roman" w:hAnsi="Times New Roman"/>
          <w:sz w:val="24"/>
        </w:rPr>
        <w:t>(2014) at 267.</w:t>
      </w:r>
    </w:p>
  </w:footnote>
  <w:footnote w:id="42">
    <w:p w14:paraId="4ACCA07F" w14:textId="731571A0" w:rsidR="004D6CE8" w:rsidRPr="00842E68" w:rsidRDefault="00FE3499" w:rsidP="00842E68">
      <w:pPr>
        <w:pStyle w:val="FootnoteText"/>
        <w:spacing w:line="280" w:lineRule="exact"/>
        <w:ind w:right="0"/>
        <w:jc w:val="both"/>
        <w:rPr>
          <w:rFonts w:ascii="Times New Roman" w:hAnsi="Times New Roman"/>
          <w:i/>
          <w:iCs/>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i/>
          <w:iCs/>
          <w:sz w:val="24"/>
        </w:rPr>
        <w:tab/>
      </w:r>
      <w:r w:rsidR="004D6CE8" w:rsidRPr="00842E68">
        <w:rPr>
          <w:rFonts w:ascii="Times New Roman" w:hAnsi="Times New Roman"/>
          <w:i/>
          <w:iCs/>
          <w:sz w:val="24"/>
        </w:rPr>
        <w:t xml:space="preserve">Dunn v Trans World Airlines Inc </w:t>
      </w:r>
      <w:r w:rsidR="004D6CE8" w:rsidRPr="00842E68">
        <w:rPr>
          <w:rFonts w:ascii="Times New Roman" w:hAnsi="Times New Roman"/>
          <w:sz w:val="24"/>
        </w:rPr>
        <w:t>(1979) 589 F 2d 408 at 411.</w:t>
      </w:r>
    </w:p>
  </w:footnote>
  <w:footnote w:id="43">
    <w:p w14:paraId="0B169B26" w14:textId="314614D5" w:rsidR="00605E6C" w:rsidRPr="00842E68" w:rsidRDefault="00605E6C"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Havel and Sanchez, </w:t>
      </w:r>
      <w:r w:rsidRPr="00842E68">
        <w:rPr>
          <w:rFonts w:ascii="Times New Roman" w:hAnsi="Times New Roman"/>
          <w:i/>
          <w:iCs/>
          <w:sz w:val="24"/>
        </w:rPr>
        <w:t xml:space="preserve">The Principles and Practice of International Aviation Law </w:t>
      </w:r>
      <w:r w:rsidRPr="00842E68">
        <w:rPr>
          <w:rFonts w:ascii="Times New Roman" w:hAnsi="Times New Roman"/>
          <w:sz w:val="24"/>
        </w:rPr>
        <w:t>(2014) at 268</w:t>
      </w:r>
      <w:r w:rsidR="00C55FED" w:rsidRPr="00842E68">
        <w:rPr>
          <w:rFonts w:ascii="Times New Roman" w:hAnsi="Times New Roman"/>
          <w:sz w:val="24"/>
        </w:rPr>
        <w:t>. See also</w:t>
      </w:r>
      <w:r w:rsidRPr="00842E68">
        <w:rPr>
          <w:rFonts w:ascii="Times New Roman" w:hAnsi="Times New Roman"/>
          <w:sz w:val="24"/>
        </w:rPr>
        <w:t xml:space="preserve"> Cheng, "A New Era </w:t>
      </w:r>
      <w:r w:rsidR="003C4C1B" w:rsidRPr="00842E68">
        <w:rPr>
          <w:rFonts w:ascii="Times New Roman" w:hAnsi="Times New Roman"/>
          <w:sz w:val="24"/>
        </w:rPr>
        <w:t xml:space="preserve">in the Law </w:t>
      </w:r>
      <w:r w:rsidRPr="00842E68">
        <w:rPr>
          <w:rFonts w:ascii="Times New Roman" w:hAnsi="Times New Roman"/>
          <w:sz w:val="24"/>
        </w:rPr>
        <w:t xml:space="preserve">of International Carriage by Air: From Warsaw (1929) to Montreal (1999)" (2004) 53 </w:t>
      </w:r>
      <w:r w:rsidRPr="00842E68">
        <w:rPr>
          <w:rFonts w:ascii="Times New Roman" w:hAnsi="Times New Roman"/>
          <w:i/>
          <w:iCs/>
          <w:sz w:val="24"/>
        </w:rPr>
        <w:t xml:space="preserve">International and Comparative Law Quarterly </w:t>
      </w:r>
      <w:r w:rsidRPr="00842E68">
        <w:rPr>
          <w:rFonts w:ascii="Times New Roman" w:hAnsi="Times New Roman"/>
          <w:sz w:val="24"/>
        </w:rPr>
        <w:t>833 at 838</w:t>
      </w:r>
      <w:r w:rsidR="006E698D" w:rsidRPr="00842E68">
        <w:rPr>
          <w:rFonts w:ascii="Times New Roman" w:hAnsi="Times New Roman"/>
          <w:sz w:val="24"/>
        </w:rPr>
        <w:t>.</w:t>
      </w:r>
    </w:p>
  </w:footnote>
  <w:footnote w:id="44">
    <w:p w14:paraId="2885CA73" w14:textId="39F1592F" w:rsidR="00065203" w:rsidRPr="00842E68" w:rsidRDefault="00065203"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FA465C" w:rsidRPr="00842E68">
        <w:rPr>
          <w:rFonts w:ascii="Times New Roman" w:hAnsi="Times New Roman"/>
          <w:sz w:val="24"/>
        </w:rPr>
        <w:t xml:space="preserve">Havel and Sanchez, </w:t>
      </w:r>
      <w:r w:rsidR="00FA465C" w:rsidRPr="00842E68">
        <w:rPr>
          <w:rFonts w:ascii="Times New Roman" w:hAnsi="Times New Roman"/>
          <w:i/>
          <w:iCs/>
          <w:sz w:val="24"/>
        </w:rPr>
        <w:t xml:space="preserve">The Principles and Practice of International Aviation Law </w:t>
      </w:r>
      <w:r w:rsidR="00FA465C" w:rsidRPr="00842E68">
        <w:rPr>
          <w:rFonts w:ascii="Times New Roman" w:hAnsi="Times New Roman"/>
          <w:sz w:val="24"/>
        </w:rPr>
        <w:t xml:space="preserve">(2014) at 268. </w:t>
      </w:r>
    </w:p>
  </w:footnote>
  <w:footnote w:id="45">
    <w:p w14:paraId="0F5B109D" w14:textId="498F6861" w:rsidR="00853268" w:rsidRPr="00842E68" w:rsidRDefault="00853268"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Cheng, "A New Era </w:t>
      </w:r>
      <w:r w:rsidR="001D3D0B" w:rsidRPr="00842E68">
        <w:rPr>
          <w:rFonts w:ascii="Times New Roman" w:hAnsi="Times New Roman"/>
          <w:sz w:val="24"/>
        </w:rPr>
        <w:t xml:space="preserve">in the Law </w:t>
      </w:r>
      <w:r w:rsidRPr="00842E68">
        <w:rPr>
          <w:rFonts w:ascii="Times New Roman" w:hAnsi="Times New Roman"/>
          <w:sz w:val="24"/>
        </w:rPr>
        <w:t xml:space="preserve">of International Carriage by Air: From Warsaw (1929) to Montreal (1999)" (2004) 53 </w:t>
      </w:r>
      <w:r w:rsidRPr="00842E68">
        <w:rPr>
          <w:rFonts w:ascii="Times New Roman" w:hAnsi="Times New Roman"/>
          <w:i/>
          <w:iCs/>
          <w:sz w:val="24"/>
        </w:rPr>
        <w:t xml:space="preserve">International and Comparative Law Quarterly </w:t>
      </w:r>
      <w:r w:rsidRPr="00842E68">
        <w:rPr>
          <w:rFonts w:ascii="Times New Roman" w:hAnsi="Times New Roman"/>
          <w:sz w:val="24"/>
        </w:rPr>
        <w:t>833 at 840-842</w:t>
      </w:r>
      <w:r w:rsidR="00AE6419" w:rsidRPr="00842E68">
        <w:rPr>
          <w:rFonts w:ascii="Times New Roman" w:hAnsi="Times New Roman"/>
          <w:sz w:val="24"/>
        </w:rPr>
        <w:t xml:space="preserve">; Dempsey and </w:t>
      </w:r>
      <w:proofErr w:type="spellStart"/>
      <w:r w:rsidR="00AE6419" w:rsidRPr="00842E68">
        <w:rPr>
          <w:rFonts w:ascii="Times New Roman" w:hAnsi="Times New Roman"/>
          <w:sz w:val="24"/>
        </w:rPr>
        <w:t>Milde</w:t>
      </w:r>
      <w:proofErr w:type="spellEnd"/>
      <w:r w:rsidR="00AE6419" w:rsidRPr="00842E68">
        <w:rPr>
          <w:rFonts w:ascii="Times New Roman" w:hAnsi="Times New Roman"/>
          <w:sz w:val="24"/>
        </w:rPr>
        <w:t xml:space="preserve">, </w:t>
      </w:r>
      <w:r w:rsidR="00AE6419" w:rsidRPr="00842E68">
        <w:rPr>
          <w:rFonts w:ascii="Times New Roman" w:hAnsi="Times New Roman"/>
          <w:i/>
          <w:iCs/>
          <w:sz w:val="24"/>
        </w:rPr>
        <w:t xml:space="preserve">International Air Carrier Liability: The Montreal Convention of 1999 </w:t>
      </w:r>
      <w:r w:rsidR="00AE6419" w:rsidRPr="00842E68">
        <w:rPr>
          <w:rFonts w:ascii="Times New Roman" w:hAnsi="Times New Roman"/>
          <w:sz w:val="24"/>
        </w:rPr>
        <w:t xml:space="preserve">(2005) at </w:t>
      </w:r>
      <w:r w:rsidR="006110F2" w:rsidRPr="00842E68">
        <w:rPr>
          <w:rFonts w:ascii="Times New Roman" w:hAnsi="Times New Roman"/>
          <w:sz w:val="24"/>
        </w:rPr>
        <w:t>31-</w:t>
      </w:r>
      <w:r w:rsidR="00C14F3B" w:rsidRPr="00842E68">
        <w:rPr>
          <w:rFonts w:ascii="Times New Roman" w:hAnsi="Times New Roman"/>
          <w:sz w:val="24"/>
        </w:rPr>
        <w:t>3</w:t>
      </w:r>
      <w:r w:rsidR="00870741" w:rsidRPr="00842E68">
        <w:rPr>
          <w:rFonts w:ascii="Times New Roman" w:hAnsi="Times New Roman"/>
          <w:sz w:val="24"/>
        </w:rPr>
        <w:t>2</w:t>
      </w:r>
      <w:r w:rsidR="00AE6419" w:rsidRPr="00842E68">
        <w:rPr>
          <w:rFonts w:ascii="Times New Roman" w:hAnsi="Times New Roman"/>
          <w:sz w:val="24"/>
        </w:rPr>
        <w:t>.</w:t>
      </w:r>
    </w:p>
  </w:footnote>
  <w:footnote w:id="46">
    <w:p w14:paraId="4AD672CE" w14:textId="7D2945C1" w:rsidR="00FB47B2" w:rsidRPr="00842E68" w:rsidRDefault="00FB47B2"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Tompkins, </w:t>
      </w:r>
      <w:r w:rsidRPr="00842E68">
        <w:rPr>
          <w:rFonts w:ascii="Times New Roman" w:hAnsi="Times New Roman"/>
          <w:i/>
          <w:iCs/>
          <w:sz w:val="24"/>
        </w:rPr>
        <w:t xml:space="preserve">Liability Rules Applicable to International Air Transportation as Developed by the Courts in the United States: From Warsaw 1929 to Montreal 1999 </w:t>
      </w:r>
      <w:r w:rsidRPr="00842E68">
        <w:rPr>
          <w:rFonts w:ascii="Times New Roman" w:hAnsi="Times New Roman"/>
          <w:sz w:val="24"/>
        </w:rPr>
        <w:t>(2010) at</w:t>
      </w:r>
      <w:r w:rsidR="002E6CF9" w:rsidRPr="00842E68">
        <w:rPr>
          <w:rFonts w:ascii="Times New Roman" w:hAnsi="Times New Roman"/>
          <w:sz w:val="24"/>
        </w:rPr>
        <w:t xml:space="preserve"> 358.</w:t>
      </w:r>
    </w:p>
  </w:footnote>
  <w:footnote w:id="47">
    <w:p w14:paraId="40033C2D" w14:textId="42A05B9B" w:rsidR="00DE2619" w:rsidRPr="00842E68" w:rsidRDefault="00DE2619"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006539E0" w:rsidRPr="00842E68">
        <w:rPr>
          <w:rFonts w:ascii="Times New Roman" w:hAnsi="Times New Roman"/>
          <w:sz w:val="24"/>
        </w:rPr>
        <w:tab/>
        <w:t xml:space="preserve">Havel and Sanchez, </w:t>
      </w:r>
      <w:r w:rsidR="006539E0" w:rsidRPr="00842E68">
        <w:rPr>
          <w:rFonts w:ascii="Times New Roman" w:hAnsi="Times New Roman"/>
          <w:i/>
          <w:iCs/>
          <w:sz w:val="24"/>
        </w:rPr>
        <w:t xml:space="preserve">The Principles and Practice of International Aviation Law </w:t>
      </w:r>
      <w:r w:rsidR="006539E0" w:rsidRPr="00842E68">
        <w:rPr>
          <w:rFonts w:ascii="Times New Roman" w:hAnsi="Times New Roman"/>
          <w:sz w:val="24"/>
        </w:rPr>
        <w:t>(2014) at 270-271</w:t>
      </w:r>
      <w:r w:rsidR="002E6CF9" w:rsidRPr="00842E68">
        <w:rPr>
          <w:rFonts w:ascii="Times New Roman" w:hAnsi="Times New Roman"/>
          <w:sz w:val="24"/>
        </w:rPr>
        <w:t xml:space="preserve">; Tompkins, </w:t>
      </w:r>
      <w:r w:rsidR="002E6CF9" w:rsidRPr="00842E68">
        <w:rPr>
          <w:rFonts w:ascii="Times New Roman" w:hAnsi="Times New Roman"/>
          <w:i/>
          <w:iCs/>
          <w:sz w:val="24"/>
        </w:rPr>
        <w:t xml:space="preserve">Liability Rules Applicable to International Air Transportation as Developed by the Courts in the United States: From Warsaw 1929 to Montreal 1999 </w:t>
      </w:r>
      <w:r w:rsidR="002E6CF9" w:rsidRPr="00842E68">
        <w:rPr>
          <w:rFonts w:ascii="Times New Roman" w:hAnsi="Times New Roman"/>
          <w:sz w:val="24"/>
        </w:rPr>
        <w:t>(2010) at 358 [1]</w:t>
      </w:r>
      <w:r w:rsidR="00225975" w:rsidRPr="00842E68">
        <w:rPr>
          <w:rFonts w:ascii="Times New Roman" w:hAnsi="Times New Roman"/>
          <w:sz w:val="24"/>
        </w:rPr>
        <w:t xml:space="preserve">, 360 </w:t>
      </w:r>
      <w:r w:rsidR="00B04DD7" w:rsidRPr="00842E68">
        <w:rPr>
          <w:rFonts w:ascii="Times New Roman" w:hAnsi="Times New Roman"/>
          <w:sz w:val="24"/>
        </w:rPr>
        <w:t>[</w:t>
      </w:r>
      <w:proofErr w:type="gramStart"/>
      <w:r w:rsidR="00B04DD7" w:rsidRPr="00842E68">
        <w:rPr>
          <w:rFonts w:ascii="Times New Roman" w:hAnsi="Times New Roman"/>
          <w:sz w:val="24"/>
        </w:rPr>
        <w:t>I(</w:t>
      </w:r>
      <w:proofErr w:type="gramEnd"/>
      <w:r w:rsidR="00225975" w:rsidRPr="00842E68">
        <w:rPr>
          <w:rFonts w:ascii="Times New Roman" w:hAnsi="Times New Roman"/>
          <w:sz w:val="24"/>
        </w:rPr>
        <w:t>1</w:t>
      </w:r>
      <w:r w:rsidR="00B04DD7" w:rsidRPr="00842E68">
        <w:rPr>
          <w:rFonts w:ascii="Times New Roman" w:hAnsi="Times New Roman"/>
          <w:sz w:val="24"/>
        </w:rPr>
        <w:t>)</w:t>
      </w:r>
      <w:r w:rsidR="00225975" w:rsidRPr="00842E68">
        <w:rPr>
          <w:rFonts w:ascii="Times New Roman" w:hAnsi="Times New Roman"/>
          <w:sz w:val="24"/>
        </w:rPr>
        <w:t>-</w:t>
      </w:r>
      <w:r w:rsidR="00B04DD7" w:rsidRPr="00842E68">
        <w:rPr>
          <w:rFonts w:ascii="Times New Roman" w:hAnsi="Times New Roman"/>
          <w:sz w:val="24"/>
        </w:rPr>
        <w:t>(</w:t>
      </w:r>
      <w:r w:rsidR="00225975" w:rsidRPr="00842E68">
        <w:rPr>
          <w:rFonts w:ascii="Times New Roman" w:hAnsi="Times New Roman"/>
          <w:sz w:val="24"/>
        </w:rPr>
        <w:t>2</w:t>
      </w:r>
      <w:r w:rsidR="00B04DD7" w:rsidRPr="00842E68">
        <w:rPr>
          <w:rFonts w:ascii="Times New Roman" w:hAnsi="Times New Roman"/>
          <w:sz w:val="24"/>
        </w:rPr>
        <w:t>)</w:t>
      </w:r>
      <w:r w:rsidR="00EE28C4" w:rsidRPr="00842E68">
        <w:rPr>
          <w:rFonts w:ascii="Times New Roman" w:hAnsi="Times New Roman"/>
          <w:sz w:val="24"/>
        </w:rPr>
        <w:t>]</w:t>
      </w:r>
      <w:r w:rsidR="006539E0" w:rsidRPr="00842E68">
        <w:rPr>
          <w:rFonts w:ascii="Times New Roman" w:hAnsi="Times New Roman"/>
          <w:sz w:val="24"/>
        </w:rPr>
        <w:t>.</w:t>
      </w:r>
    </w:p>
  </w:footnote>
  <w:footnote w:id="48">
    <w:p w14:paraId="33820302" w14:textId="22DAAFD6" w:rsidR="00471EF6" w:rsidRPr="00842E68" w:rsidRDefault="00471EF6"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00C602B7" w:rsidRPr="00842E68">
        <w:rPr>
          <w:rFonts w:ascii="Times New Roman" w:hAnsi="Times New Roman"/>
          <w:sz w:val="24"/>
        </w:rPr>
        <w:tab/>
      </w:r>
      <w:r w:rsidR="00234D1B" w:rsidRPr="00842E68">
        <w:rPr>
          <w:rFonts w:ascii="Times New Roman" w:hAnsi="Times New Roman"/>
          <w:i/>
          <w:sz w:val="24"/>
        </w:rPr>
        <w:t xml:space="preserve">Council </w:t>
      </w:r>
      <w:r w:rsidR="00C602B7" w:rsidRPr="00842E68">
        <w:rPr>
          <w:rFonts w:ascii="Times New Roman" w:hAnsi="Times New Roman"/>
          <w:i/>
          <w:sz w:val="24"/>
        </w:rPr>
        <w:t xml:space="preserve">Regulation </w:t>
      </w:r>
      <w:r w:rsidR="00234D1B" w:rsidRPr="00842E68">
        <w:rPr>
          <w:rFonts w:ascii="Times New Roman" w:hAnsi="Times New Roman"/>
          <w:i/>
          <w:sz w:val="24"/>
        </w:rPr>
        <w:t>(EC) No</w:t>
      </w:r>
      <w:r w:rsidR="00C602B7" w:rsidRPr="00842E68">
        <w:rPr>
          <w:rFonts w:ascii="Times New Roman" w:hAnsi="Times New Roman"/>
          <w:i/>
          <w:iCs/>
          <w:sz w:val="24"/>
        </w:rPr>
        <w:t xml:space="preserve"> </w:t>
      </w:r>
      <w:r w:rsidR="00C602B7" w:rsidRPr="00842E68">
        <w:rPr>
          <w:rFonts w:ascii="Times New Roman" w:hAnsi="Times New Roman"/>
          <w:i/>
          <w:sz w:val="24"/>
        </w:rPr>
        <w:t>2027/97</w:t>
      </w:r>
      <w:r w:rsidR="00234D1B" w:rsidRPr="00842E68">
        <w:rPr>
          <w:rFonts w:ascii="Times New Roman" w:hAnsi="Times New Roman"/>
          <w:i/>
          <w:iCs/>
          <w:sz w:val="24"/>
        </w:rPr>
        <w:t xml:space="preserve"> </w:t>
      </w:r>
      <w:r w:rsidR="00234D1B" w:rsidRPr="00842E68">
        <w:rPr>
          <w:rFonts w:ascii="Times New Roman" w:hAnsi="Times New Roman"/>
          <w:i/>
          <w:sz w:val="24"/>
        </w:rPr>
        <w:t>of 9 October 1997 on</w:t>
      </w:r>
      <w:r w:rsidR="00C602B7" w:rsidRPr="00842E68">
        <w:rPr>
          <w:rFonts w:ascii="Times New Roman" w:hAnsi="Times New Roman"/>
          <w:i/>
          <w:sz w:val="24"/>
        </w:rPr>
        <w:t xml:space="preserve"> </w:t>
      </w:r>
      <w:r w:rsidR="003C7622" w:rsidRPr="00842E68">
        <w:rPr>
          <w:rFonts w:ascii="Times New Roman" w:hAnsi="Times New Roman"/>
          <w:i/>
          <w:iCs/>
          <w:sz w:val="24"/>
        </w:rPr>
        <w:t>a</w:t>
      </w:r>
      <w:r w:rsidR="00C602B7" w:rsidRPr="00842E68">
        <w:rPr>
          <w:rFonts w:ascii="Times New Roman" w:hAnsi="Times New Roman"/>
          <w:i/>
          <w:iCs/>
          <w:sz w:val="24"/>
        </w:rPr>
        <w:t xml:space="preserve">ir </w:t>
      </w:r>
      <w:r w:rsidR="003C7622" w:rsidRPr="00842E68">
        <w:rPr>
          <w:rFonts w:ascii="Times New Roman" w:hAnsi="Times New Roman"/>
          <w:i/>
          <w:iCs/>
          <w:sz w:val="24"/>
        </w:rPr>
        <w:t>c</w:t>
      </w:r>
      <w:r w:rsidR="00C602B7" w:rsidRPr="00842E68">
        <w:rPr>
          <w:rFonts w:ascii="Times New Roman" w:hAnsi="Times New Roman"/>
          <w:i/>
          <w:iCs/>
          <w:sz w:val="24"/>
        </w:rPr>
        <w:t xml:space="preserve">arrier </w:t>
      </w:r>
      <w:r w:rsidR="003C7622" w:rsidRPr="00842E68">
        <w:rPr>
          <w:rFonts w:ascii="Times New Roman" w:hAnsi="Times New Roman"/>
          <w:i/>
          <w:iCs/>
          <w:sz w:val="24"/>
        </w:rPr>
        <w:t>l</w:t>
      </w:r>
      <w:r w:rsidR="00C602B7" w:rsidRPr="00842E68">
        <w:rPr>
          <w:rFonts w:ascii="Times New Roman" w:hAnsi="Times New Roman"/>
          <w:i/>
          <w:iCs/>
          <w:sz w:val="24"/>
        </w:rPr>
        <w:t xml:space="preserve">iability in the </w:t>
      </w:r>
      <w:r w:rsidR="003C7622" w:rsidRPr="00842E68">
        <w:rPr>
          <w:rFonts w:ascii="Times New Roman" w:hAnsi="Times New Roman"/>
          <w:i/>
          <w:iCs/>
          <w:sz w:val="24"/>
        </w:rPr>
        <w:t>e</w:t>
      </w:r>
      <w:r w:rsidR="00C602B7" w:rsidRPr="00842E68">
        <w:rPr>
          <w:rFonts w:ascii="Times New Roman" w:hAnsi="Times New Roman"/>
          <w:i/>
          <w:iCs/>
          <w:sz w:val="24"/>
        </w:rPr>
        <w:t xml:space="preserve">vent of </w:t>
      </w:r>
      <w:r w:rsidR="003C7622" w:rsidRPr="00842E68">
        <w:rPr>
          <w:rFonts w:ascii="Times New Roman" w:hAnsi="Times New Roman"/>
          <w:i/>
          <w:iCs/>
          <w:sz w:val="24"/>
        </w:rPr>
        <w:t>a</w:t>
      </w:r>
      <w:r w:rsidR="00C602B7" w:rsidRPr="00842E68">
        <w:rPr>
          <w:rFonts w:ascii="Times New Roman" w:hAnsi="Times New Roman"/>
          <w:i/>
          <w:iCs/>
          <w:sz w:val="24"/>
        </w:rPr>
        <w:t>ccident</w:t>
      </w:r>
      <w:r w:rsidR="005707C6" w:rsidRPr="00842E68">
        <w:rPr>
          <w:rFonts w:ascii="Times New Roman" w:hAnsi="Times New Roman"/>
          <w:i/>
          <w:iCs/>
          <w:sz w:val="24"/>
        </w:rPr>
        <w:t>s</w:t>
      </w:r>
      <w:r w:rsidR="005707C6" w:rsidRPr="00842E68">
        <w:rPr>
          <w:rFonts w:ascii="Times New Roman" w:hAnsi="Times New Roman"/>
          <w:sz w:val="24"/>
        </w:rPr>
        <w:t xml:space="preserve"> </w:t>
      </w:r>
      <w:r w:rsidR="0035427C" w:rsidRPr="00842E68">
        <w:rPr>
          <w:rFonts w:ascii="Times New Roman" w:hAnsi="Times New Roman"/>
          <w:sz w:val="24"/>
        </w:rPr>
        <w:t>[</w:t>
      </w:r>
      <w:r w:rsidR="005707C6" w:rsidRPr="00842E68">
        <w:rPr>
          <w:rFonts w:ascii="Times New Roman" w:hAnsi="Times New Roman"/>
          <w:sz w:val="24"/>
        </w:rPr>
        <w:t>1997</w:t>
      </w:r>
      <w:r w:rsidR="0035427C" w:rsidRPr="00842E68">
        <w:rPr>
          <w:rFonts w:ascii="Times New Roman" w:hAnsi="Times New Roman"/>
          <w:sz w:val="24"/>
        </w:rPr>
        <w:t>]</w:t>
      </w:r>
      <w:r w:rsidR="005707C6" w:rsidRPr="00842E68">
        <w:rPr>
          <w:rFonts w:ascii="Times New Roman" w:hAnsi="Times New Roman"/>
          <w:sz w:val="24"/>
        </w:rPr>
        <w:t xml:space="preserve"> OJ</w:t>
      </w:r>
      <w:r w:rsidR="003C7622" w:rsidRPr="00842E68">
        <w:rPr>
          <w:rFonts w:ascii="Times New Roman" w:hAnsi="Times New Roman"/>
          <w:sz w:val="24"/>
        </w:rPr>
        <w:t> </w:t>
      </w:r>
      <w:r w:rsidR="005707C6" w:rsidRPr="00842E68">
        <w:rPr>
          <w:rFonts w:ascii="Times New Roman" w:hAnsi="Times New Roman"/>
          <w:sz w:val="24"/>
        </w:rPr>
        <w:t>L</w:t>
      </w:r>
      <w:r w:rsidR="003C7622" w:rsidRPr="00842E68">
        <w:rPr>
          <w:rFonts w:ascii="Times New Roman" w:hAnsi="Times New Roman"/>
          <w:sz w:val="24"/>
        </w:rPr>
        <w:t> </w:t>
      </w:r>
      <w:r w:rsidR="005707C6" w:rsidRPr="00842E68">
        <w:rPr>
          <w:rFonts w:ascii="Times New Roman" w:hAnsi="Times New Roman"/>
          <w:sz w:val="24"/>
        </w:rPr>
        <w:t>285</w:t>
      </w:r>
      <w:r w:rsidR="00C17EAC" w:rsidRPr="00842E68">
        <w:rPr>
          <w:rFonts w:ascii="Times New Roman" w:hAnsi="Times New Roman"/>
          <w:sz w:val="24"/>
        </w:rPr>
        <w:t>/</w:t>
      </w:r>
      <w:r w:rsidR="005707C6" w:rsidRPr="00842E68">
        <w:rPr>
          <w:rFonts w:ascii="Times New Roman" w:hAnsi="Times New Roman"/>
          <w:sz w:val="24"/>
        </w:rPr>
        <w:t>1</w:t>
      </w:r>
      <w:r w:rsidR="00E5686D" w:rsidRPr="00842E68">
        <w:rPr>
          <w:rFonts w:ascii="Times New Roman" w:hAnsi="Times New Roman"/>
          <w:sz w:val="24"/>
        </w:rPr>
        <w:t xml:space="preserve">, </w:t>
      </w:r>
      <w:r w:rsidR="003C7622" w:rsidRPr="00842E68">
        <w:rPr>
          <w:rFonts w:ascii="Times New Roman" w:hAnsi="Times New Roman"/>
          <w:sz w:val="24"/>
        </w:rPr>
        <w:t>A</w:t>
      </w:r>
      <w:r w:rsidR="008C653D" w:rsidRPr="00842E68">
        <w:rPr>
          <w:rFonts w:ascii="Times New Roman" w:hAnsi="Times New Roman"/>
          <w:sz w:val="24"/>
        </w:rPr>
        <w:t>rt</w:t>
      </w:r>
      <w:r w:rsidR="00191E9F" w:rsidRPr="00842E68">
        <w:rPr>
          <w:rFonts w:ascii="Times New Roman" w:hAnsi="Times New Roman"/>
          <w:sz w:val="24"/>
        </w:rPr>
        <w:t> </w:t>
      </w:r>
      <w:r w:rsidR="008C653D" w:rsidRPr="00842E68">
        <w:rPr>
          <w:rFonts w:ascii="Times New Roman" w:hAnsi="Times New Roman"/>
          <w:sz w:val="24"/>
        </w:rPr>
        <w:t>3</w:t>
      </w:r>
      <w:r w:rsidR="005707C6" w:rsidRPr="00842E68">
        <w:rPr>
          <w:rFonts w:ascii="Times New Roman" w:hAnsi="Times New Roman"/>
          <w:sz w:val="24"/>
        </w:rPr>
        <w:t>.</w:t>
      </w:r>
    </w:p>
  </w:footnote>
  <w:footnote w:id="49">
    <w:p w14:paraId="057AC22A" w14:textId="63E49973" w:rsidR="00B2484C" w:rsidRPr="00842E68" w:rsidRDefault="00B2484C"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See Cheng,</w:t>
      </w:r>
      <w:r w:rsidR="00E72FAE" w:rsidRPr="00842E68">
        <w:rPr>
          <w:rFonts w:ascii="Times New Roman" w:hAnsi="Times New Roman"/>
          <w:sz w:val="24"/>
        </w:rPr>
        <w:t xml:space="preserve"> "Air Ca</w:t>
      </w:r>
      <w:r w:rsidR="00134C78" w:rsidRPr="00842E68">
        <w:rPr>
          <w:rFonts w:ascii="Times New Roman" w:hAnsi="Times New Roman"/>
          <w:sz w:val="24"/>
        </w:rPr>
        <w:t>rriers' Liability for Passenger Injury or Death</w:t>
      </w:r>
      <w:r w:rsidR="0090466F" w:rsidRPr="00842E68">
        <w:rPr>
          <w:rFonts w:ascii="Times New Roman" w:hAnsi="Times New Roman"/>
          <w:sz w:val="24"/>
        </w:rPr>
        <w:t>: The Japanese Initiative and Response to the Recent EC Consultation Paper</w:t>
      </w:r>
      <w:r w:rsidR="00134C78" w:rsidRPr="00842E68">
        <w:rPr>
          <w:rFonts w:ascii="Times New Roman" w:hAnsi="Times New Roman"/>
          <w:sz w:val="24"/>
        </w:rPr>
        <w:t xml:space="preserve">" (1993) 18 </w:t>
      </w:r>
      <w:r w:rsidR="00134C78" w:rsidRPr="00842E68">
        <w:rPr>
          <w:rFonts w:ascii="Times New Roman" w:hAnsi="Times New Roman"/>
          <w:i/>
          <w:iCs/>
          <w:sz w:val="24"/>
        </w:rPr>
        <w:t xml:space="preserve">Air and Space Law </w:t>
      </w:r>
      <w:r w:rsidR="00583BEB" w:rsidRPr="00842E68">
        <w:rPr>
          <w:rFonts w:ascii="Times New Roman" w:hAnsi="Times New Roman"/>
          <w:sz w:val="24"/>
        </w:rPr>
        <w:t>109</w:t>
      </w:r>
      <w:r w:rsidRPr="00842E68">
        <w:rPr>
          <w:rFonts w:ascii="Times New Roman" w:hAnsi="Times New Roman"/>
          <w:sz w:val="24"/>
        </w:rPr>
        <w:t xml:space="preserve"> </w:t>
      </w:r>
      <w:r w:rsidR="002942DE" w:rsidRPr="00842E68">
        <w:rPr>
          <w:rFonts w:ascii="Times New Roman" w:hAnsi="Times New Roman"/>
          <w:sz w:val="24"/>
        </w:rPr>
        <w:t xml:space="preserve">at 117. </w:t>
      </w:r>
    </w:p>
  </w:footnote>
  <w:footnote w:id="50">
    <w:p w14:paraId="4930AC1A" w14:textId="23833D60" w:rsidR="00933D9A" w:rsidRPr="00842E68" w:rsidRDefault="00933D9A"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See Shawcross and Beaumont</w:t>
      </w:r>
      <w:r w:rsidR="00064CB3" w:rsidRPr="00842E68">
        <w:rPr>
          <w:rFonts w:ascii="Times New Roman" w:hAnsi="Times New Roman"/>
          <w:sz w:val="24"/>
        </w:rPr>
        <w:t>,</w:t>
      </w:r>
      <w:r w:rsidRPr="00842E68">
        <w:rPr>
          <w:rFonts w:ascii="Times New Roman" w:hAnsi="Times New Roman"/>
          <w:i/>
          <w:iCs/>
          <w:sz w:val="24"/>
        </w:rPr>
        <w:t xml:space="preserve"> Air Law </w:t>
      </w:r>
      <w:r w:rsidR="00064CB3" w:rsidRPr="00842E68">
        <w:rPr>
          <w:rFonts w:ascii="Times New Roman" w:hAnsi="Times New Roman"/>
          <w:sz w:val="24"/>
        </w:rPr>
        <w:t>(2013)</w:t>
      </w:r>
      <w:r w:rsidR="00AC33C3" w:rsidRPr="00842E68">
        <w:rPr>
          <w:rFonts w:ascii="Times New Roman" w:hAnsi="Times New Roman"/>
          <w:sz w:val="24"/>
        </w:rPr>
        <w:t>, vol 1</w:t>
      </w:r>
      <w:r w:rsidR="00CF451C" w:rsidRPr="00842E68">
        <w:rPr>
          <w:rFonts w:ascii="Times New Roman" w:hAnsi="Times New Roman"/>
          <w:sz w:val="24"/>
        </w:rPr>
        <w:t>,</w:t>
      </w:r>
      <w:r w:rsidR="00BC4B94" w:rsidRPr="00842E68">
        <w:rPr>
          <w:rFonts w:ascii="Times New Roman" w:hAnsi="Times New Roman"/>
          <w:sz w:val="24"/>
        </w:rPr>
        <w:t xml:space="preserve"> </w:t>
      </w:r>
      <w:r w:rsidR="006445DA" w:rsidRPr="00842E68">
        <w:rPr>
          <w:rFonts w:ascii="Times New Roman" w:hAnsi="Times New Roman"/>
          <w:sz w:val="24"/>
        </w:rPr>
        <w:t>div </w:t>
      </w:r>
      <w:r w:rsidR="00BC4B94" w:rsidRPr="00842E68">
        <w:rPr>
          <w:rFonts w:ascii="Times New Roman" w:hAnsi="Times New Roman"/>
          <w:sz w:val="24"/>
        </w:rPr>
        <w:t>7</w:t>
      </w:r>
      <w:r w:rsidR="00CF451C" w:rsidRPr="00842E68">
        <w:rPr>
          <w:rFonts w:ascii="Times New Roman" w:hAnsi="Times New Roman"/>
          <w:sz w:val="24"/>
        </w:rPr>
        <w:t xml:space="preserve"> at</w:t>
      </w:r>
      <w:r w:rsidR="006445DA" w:rsidRPr="00842E68">
        <w:rPr>
          <w:rFonts w:ascii="Times New Roman" w:hAnsi="Times New Roman"/>
          <w:sz w:val="24"/>
        </w:rPr>
        <w:t xml:space="preserve"> 12</w:t>
      </w:r>
      <w:r w:rsidR="009C6EA2" w:rsidRPr="00842E68">
        <w:rPr>
          <w:rFonts w:ascii="Times New Roman" w:hAnsi="Times New Roman"/>
          <w:sz w:val="24"/>
        </w:rPr>
        <w:t>3</w:t>
      </w:r>
      <w:r w:rsidR="00BC4B94" w:rsidRPr="00842E68">
        <w:rPr>
          <w:rFonts w:ascii="Times New Roman" w:hAnsi="Times New Roman"/>
          <w:sz w:val="24"/>
        </w:rPr>
        <w:t xml:space="preserve"> [183.2].</w:t>
      </w:r>
    </w:p>
  </w:footnote>
  <w:footnote w:id="51">
    <w:p w14:paraId="73009992" w14:textId="77777777" w:rsidR="0049654C" w:rsidRPr="00842E68" w:rsidRDefault="0049654C"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International Conference on Air 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iCs/>
          <w:sz w:val="24"/>
        </w:rPr>
        <w:t xml:space="preserve">Montreal, 10-28 May 1999 </w:t>
      </w:r>
      <w:r w:rsidRPr="00842E68">
        <w:rPr>
          <w:rFonts w:ascii="Times New Roman" w:hAnsi="Times New Roman"/>
          <w:sz w:val="24"/>
        </w:rPr>
        <w:t>(1999), vol 2 at 165-180.</w:t>
      </w:r>
    </w:p>
  </w:footnote>
  <w:footnote w:id="52">
    <w:p w14:paraId="21C41BB2" w14:textId="1E2CF727" w:rsidR="00ED0A2B" w:rsidRPr="00842E68" w:rsidRDefault="00ED0A2B"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B54BB0" w:rsidRPr="00842E68">
        <w:rPr>
          <w:rFonts w:ascii="Times New Roman" w:hAnsi="Times New Roman"/>
          <w:sz w:val="24"/>
        </w:rPr>
        <w:t xml:space="preserve">International Civil Aviation Organization, </w:t>
      </w:r>
      <w:r w:rsidR="00B54BB0" w:rsidRPr="00842E68">
        <w:rPr>
          <w:rFonts w:ascii="Times New Roman" w:hAnsi="Times New Roman"/>
          <w:i/>
          <w:iCs/>
          <w:sz w:val="24"/>
        </w:rPr>
        <w:t>I</w:t>
      </w:r>
      <w:r w:rsidR="00DF004E" w:rsidRPr="00842E68">
        <w:rPr>
          <w:rFonts w:ascii="Times New Roman" w:hAnsi="Times New Roman"/>
          <w:i/>
          <w:iCs/>
          <w:sz w:val="24"/>
        </w:rPr>
        <w:t xml:space="preserve">nternational Conference on Air Law </w:t>
      </w:r>
      <w:r w:rsidR="00933047" w:rsidRPr="00842E68">
        <w:rPr>
          <w:rFonts w:ascii="Times New Roman" w:hAnsi="Times New Roman"/>
          <w:i/>
          <w:iCs/>
          <w:sz w:val="24"/>
        </w:rPr>
        <w:t>(Convention for the Unification of Certain Rules for International Carriage by Air)</w:t>
      </w:r>
      <w:r w:rsidR="00933047" w:rsidRPr="00842E68">
        <w:rPr>
          <w:rFonts w:ascii="Times New Roman" w:hAnsi="Times New Roman"/>
          <w:sz w:val="24"/>
        </w:rPr>
        <w:t xml:space="preserve"> </w:t>
      </w:r>
      <w:r w:rsidR="00933047" w:rsidRPr="00842E68">
        <w:rPr>
          <w:rFonts w:ascii="Times New Roman" w:hAnsi="Times New Roman"/>
          <w:i/>
          <w:iCs/>
          <w:sz w:val="24"/>
        </w:rPr>
        <w:t xml:space="preserve">Montreal, 10-28 May 1999 </w:t>
      </w:r>
      <w:r w:rsidR="00DF004E" w:rsidRPr="00842E68">
        <w:rPr>
          <w:rFonts w:ascii="Times New Roman" w:hAnsi="Times New Roman"/>
          <w:sz w:val="24"/>
        </w:rPr>
        <w:t>(1999), vol</w:t>
      </w:r>
      <w:r w:rsidR="002340EC" w:rsidRPr="00842E68">
        <w:rPr>
          <w:rFonts w:ascii="Times New Roman" w:hAnsi="Times New Roman"/>
          <w:sz w:val="24"/>
        </w:rPr>
        <w:t> </w:t>
      </w:r>
      <w:r w:rsidR="00DF004E" w:rsidRPr="00842E68">
        <w:rPr>
          <w:rFonts w:ascii="Times New Roman" w:hAnsi="Times New Roman"/>
          <w:sz w:val="24"/>
        </w:rPr>
        <w:t xml:space="preserve">1 </w:t>
      </w:r>
      <w:r w:rsidR="0038604E" w:rsidRPr="00842E68">
        <w:rPr>
          <w:rFonts w:ascii="Times New Roman" w:hAnsi="Times New Roman"/>
          <w:sz w:val="24"/>
        </w:rPr>
        <w:t>at 1</w:t>
      </w:r>
      <w:r w:rsidRPr="00842E68">
        <w:rPr>
          <w:rFonts w:ascii="Times New Roman" w:hAnsi="Times New Roman"/>
          <w:sz w:val="24"/>
        </w:rPr>
        <w:t xml:space="preserve">. </w:t>
      </w:r>
    </w:p>
  </w:footnote>
  <w:footnote w:id="53">
    <w:p w14:paraId="04F603F3" w14:textId="30D65434" w:rsidR="005C67FE" w:rsidRPr="00842E68" w:rsidRDefault="005C67FE"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C0776E" w:rsidRPr="00842E68">
        <w:rPr>
          <w:rFonts w:ascii="Times New Roman" w:hAnsi="Times New Roman"/>
          <w:sz w:val="24"/>
        </w:rPr>
        <w:t xml:space="preserve">Dempsey and </w:t>
      </w:r>
      <w:proofErr w:type="spellStart"/>
      <w:r w:rsidR="00C0776E" w:rsidRPr="00842E68">
        <w:rPr>
          <w:rFonts w:ascii="Times New Roman" w:hAnsi="Times New Roman"/>
          <w:sz w:val="24"/>
        </w:rPr>
        <w:t>Milde</w:t>
      </w:r>
      <w:proofErr w:type="spellEnd"/>
      <w:r w:rsidR="00C0776E" w:rsidRPr="00842E68">
        <w:rPr>
          <w:rFonts w:ascii="Times New Roman" w:hAnsi="Times New Roman"/>
          <w:sz w:val="24"/>
        </w:rPr>
        <w:t xml:space="preserve">, </w:t>
      </w:r>
      <w:r w:rsidR="00C0776E" w:rsidRPr="00842E68">
        <w:rPr>
          <w:rFonts w:ascii="Times New Roman" w:hAnsi="Times New Roman"/>
          <w:i/>
          <w:iCs/>
          <w:sz w:val="24"/>
        </w:rPr>
        <w:t xml:space="preserve">International Air Carrier Liability: The Montreal Convention of 1999 </w:t>
      </w:r>
      <w:r w:rsidR="00C0776E" w:rsidRPr="00842E68">
        <w:rPr>
          <w:rFonts w:ascii="Times New Roman" w:hAnsi="Times New Roman"/>
          <w:sz w:val="24"/>
        </w:rPr>
        <w:t>(2005) at 39.</w:t>
      </w:r>
    </w:p>
  </w:footnote>
  <w:footnote w:id="54">
    <w:p w14:paraId="44595F32" w14:textId="6D00E1D2" w:rsidR="00A65570" w:rsidRPr="00842E68" w:rsidRDefault="00A65570" w:rsidP="00842E68">
      <w:pPr>
        <w:pStyle w:val="FootnoteText"/>
        <w:spacing w:line="280" w:lineRule="exact"/>
        <w:ind w:right="0"/>
        <w:jc w:val="both"/>
        <w:rPr>
          <w:rFonts w:ascii="Times New Roman" w:hAnsi="Times New Roman"/>
          <w:i/>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64037E" w:rsidRPr="00842E68">
        <w:rPr>
          <w:rFonts w:ascii="Times New Roman" w:hAnsi="Times New Roman"/>
          <w:sz w:val="24"/>
        </w:rPr>
        <w:t xml:space="preserve">Compare </w:t>
      </w:r>
      <w:r w:rsidRPr="00842E68">
        <w:rPr>
          <w:rFonts w:ascii="Times New Roman" w:hAnsi="Times New Roman"/>
          <w:sz w:val="24"/>
        </w:rPr>
        <w:t xml:space="preserve">Montreal Convention, Art </w:t>
      </w:r>
      <w:r w:rsidR="00CA2D33" w:rsidRPr="00842E68">
        <w:rPr>
          <w:rFonts w:ascii="Times New Roman" w:hAnsi="Times New Roman"/>
          <w:sz w:val="24"/>
        </w:rPr>
        <w:t>17</w:t>
      </w:r>
      <w:r w:rsidR="0064037E" w:rsidRPr="00842E68">
        <w:rPr>
          <w:rFonts w:ascii="Times New Roman" w:hAnsi="Times New Roman"/>
          <w:sz w:val="24"/>
        </w:rPr>
        <w:t>(1)</w:t>
      </w:r>
      <w:r w:rsidRPr="00842E68">
        <w:rPr>
          <w:rFonts w:ascii="Times New Roman" w:hAnsi="Times New Roman"/>
          <w:i/>
          <w:sz w:val="24"/>
        </w:rPr>
        <w:t>.</w:t>
      </w:r>
    </w:p>
  </w:footnote>
  <w:footnote w:id="55">
    <w:p w14:paraId="75DEDD83" w14:textId="70A175D1" w:rsidR="00246EED" w:rsidRPr="00842E68" w:rsidRDefault="00246EED"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International Conference on Air 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iCs/>
          <w:sz w:val="24"/>
        </w:rPr>
        <w:t xml:space="preserve">Montreal, 10-28 May 1999 </w:t>
      </w:r>
      <w:r w:rsidRPr="00842E68">
        <w:rPr>
          <w:rFonts w:ascii="Times New Roman" w:hAnsi="Times New Roman"/>
          <w:sz w:val="24"/>
        </w:rPr>
        <w:t>(1999), vol 2 at 11-28.</w:t>
      </w:r>
    </w:p>
  </w:footnote>
  <w:footnote w:id="56">
    <w:p w14:paraId="2475F31A" w14:textId="6EDC238D" w:rsidR="00DB0CF5" w:rsidRPr="00842E68" w:rsidRDefault="00DB0CF5"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International Conference on Air 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iCs/>
          <w:sz w:val="24"/>
        </w:rPr>
        <w:t xml:space="preserve">Montreal, 10-28 May 1999 </w:t>
      </w:r>
      <w:r w:rsidRPr="00842E68">
        <w:rPr>
          <w:rFonts w:ascii="Times New Roman" w:hAnsi="Times New Roman"/>
          <w:sz w:val="24"/>
        </w:rPr>
        <w:t xml:space="preserve">(1999), vol 1 at </w:t>
      </w:r>
      <w:r w:rsidR="00485B69" w:rsidRPr="00842E68">
        <w:rPr>
          <w:rFonts w:ascii="Times New Roman" w:hAnsi="Times New Roman"/>
          <w:sz w:val="24"/>
        </w:rPr>
        <w:t>91-92</w:t>
      </w:r>
      <w:r w:rsidR="00714FE9" w:rsidRPr="00842E68">
        <w:rPr>
          <w:rFonts w:ascii="Times New Roman" w:hAnsi="Times New Roman"/>
          <w:sz w:val="24"/>
        </w:rPr>
        <w:t xml:space="preserve"> [7]-[9]</w:t>
      </w:r>
      <w:r w:rsidR="00AE240F" w:rsidRPr="00842E68">
        <w:rPr>
          <w:rFonts w:ascii="Times New Roman" w:hAnsi="Times New Roman"/>
          <w:sz w:val="24"/>
        </w:rPr>
        <w:t xml:space="preserve">, </w:t>
      </w:r>
      <w:r w:rsidRPr="00842E68">
        <w:rPr>
          <w:rFonts w:ascii="Times New Roman" w:hAnsi="Times New Roman"/>
          <w:sz w:val="24"/>
        </w:rPr>
        <w:t>93 [15]</w:t>
      </w:r>
      <w:r w:rsidR="00E7229B" w:rsidRPr="00842E68">
        <w:rPr>
          <w:rFonts w:ascii="Times New Roman" w:hAnsi="Times New Roman"/>
          <w:sz w:val="24"/>
        </w:rPr>
        <w:t>, 123 [64]</w:t>
      </w:r>
      <w:r w:rsidRPr="00842E68">
        <w:rPr>
          <w:rFonts w:ascii="Times New Roman" w:hAnsi="Times New Roman"/>
          <w:sz w:val="24"/>
        </w:rPr>
        <w:t>.</w:t>
      </w:r>
    </w:p>
  </w:footnote>
  <w:footnote w:id="57">
    <w:p w14:paraId="5BFBFDE4" w14:textId="76627001" w:rsidR="00DB0CF5" w:rsidRPr="00842E68" w:rsidRDefault="00DB0CF5"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See, </w:t>
      </w:r>
      <w:proofErr w:type="spellStart"/>
      <w:r w:rsidRPr="00842E68">
        <w:rPr>
          <w:rFonts w:ascii="Times New Roman" w:hAnsi="Times New Roman"/>
          <w:sz w:val="24"/>
        </w:rPr>
        <w:t>eg</w:t>
      </w:r>
      <w:proofErr w:type="spellEnd"/>
      <w:r w:rsidRPr="00842E68">
        <w:rPr>
          <w:rFonts w:ascii="Times New Roman" w:hAnsi="Times New Roman"/>
          <w:sz w:val="24"/>
        </w:rPr>
        <w:t xml:space="preserve">, International Civil Aviation Organization, </w:t>
      </w:r>
      <w:r w:rsidRPr="00842E68">
        <w:rPr>
          <w:rFonts w:ascii="Times New Roman" w:hAnsi="Times New Roman"/>
          <w:i/>
          <w:iCs/>
          <w:sz w:val="24"/>
        </w:rPr>
        <w:t xml:space="preserve">International Conference on Air </w:t>
      </w:r>
      <w:r w:rsidRPr="00842E68">
        <w:rPr>
          <w:rFonts w:ascii="Times New Roman" w:hAnsi="Times New Roman"/>
          <w:i/>
          <w:sz w:val="24"/>
        </w:rPr>
        <w:t>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sz w:val="24"/>
        </w:rPr>
        <w:t>Montreal, 10-28 May 1999</w:t>
      </w:r>
      <w:r w:rsidRPr="00842E68">
        <w:rPr>
          <w:rFonts w:ascii="Times New Roman" w:hAnsi="Times New Roman"/>
          <w:i/>
          <w:iCs/>
          <w:sz w:val="24"/>
        </w:rPr>
        <w:t xml:space="preserve"> </w:t>
      </w:r>
      <w:r w:rsidRPr="00842E68">
        <w:rPr>
          <w:rFonts w:ascii="Times New Roman" w:hAnsi="Times New Roman"/>
          <w:sz w:val="24"/>
        </w:rPr>
        <w:t>(1999), vol 1 at 85 [26], 87 [35], 88-89 [41]-[42].</w:t>
      </w:r>
    </w:p>
  </w:footnote>
  <w:footnote w:id="58">
    <w:p w14:paraId="2FCA4C64" w14:textId="5BF1A7F4" w:rsidR="00DB0CF5" w:rsidRPr="00842E68" w:rsidRDefault="00DB0CF5"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International Conference on Air 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iCs/>
          <w:sz w:val="24"/>
        </w:rPr>
        <w:t xml:space="preserve">Montreal, 10-28 May 1999 </w:t>
      </w:r>
      <w:r w:rsidRPr="00842E68">
        <w:rPr>
          <w:rFonts w:ascii="Times New Roman" w:hAnsi="Times New Roman"/>
          <w:sz w:val="24"/>
        </w:rPr>
        <w:t xml:space="preserve">(1999), vol 1 at </w:t>
      </w:r>
      <w:r w:rsidR="00EE41B1" w:rsidRPr="00842E68">
        <w:rPr>
          <w:rFonts w:ascii="Times New Roman" w:hAnsi="Times New Roman"/>
          <w:sz w:val="24"/>
        </w:rPr>
        <w:t>85</w:t>
      </w:r>
      <w:r w:rsidR="00954631" w:rsidRPr="00842E68">
        <w:rPr>
          <w:rFonts w:ascii="Times New Roman" w:hAnsi="Times New Roman"/>
          <w:sz w:val="24"/>
        </w:rPr>
        <w:t xml:space="preserve"> [25], </w:t>
      </w:r>
      <w:r w:rsidR="001B1B3C" w:rsidRPr="00842E68">
        <w:rPr>
          <w:rFonts w:ascii="Times New Roman" w:hAnsi="Times New Roman"/>
          <w:sz w:val="24"/>
        </w:rPr>
        <w:t xml:space="preserve">86 [30], </w:t>
      </w:r>
      <w:r w:rsidRPr="00842E68">
        <w:rPr>
          <w:rFonts w:ascii="Times New Roman" w:hAnsi="Times New Roman"/>
          <w:sz w:val="24"/>
        </w:rPr>
        <w:t>87 [33], [35]</w:t>
      </w:r>
      <w:r w:rsidR="009E3425" w:rsidRPr="00842E68">
        <w:rPr>
          <w:rFonts w:ascii="Times New Roman" w:hAnsi="Times New Roman"/>
          <w:sz w:val="24"/>
        </w:rPr>
        <w:t>, 96 [24</w:t>
      </w:r>
      <w:r w:rsidRPr="00842E68">
        <w:rPr>
          <w:rFonts w:ascii="Times New Roman" w:hAnsi="Times New Roman"/>
          <w:sz w:val="24"/>
        </w:rPr>
        <w:t>].</w:t>
      </w:r>
      <w:r w:rsidR="00885F3C" w:rsidRPr="00842E68">
        <w:rPr>
          <w:rFonts w:ascii="Times New Roman" w:hAnsi="Times New Roman"/>
          <w:sz w:val="24"/>
        </w:rPr>
        <w:t xml:space="preserve"> See also </w:t>
      </w:r>
      <w:r w:rsidR="00A2107F" w:rsidRPr="00842E68">
        <w:rPr>
          <w:rFonts w:ascii="Times New Roman" w:hAnsi="Times New Roman"/>
          <w:sz w:val="24"/>
        </w:rPr>
        <w:t xml:space="preserve">at </w:t>
      </w:r>
      <w:r w:rsidR="00885F3C" w:rsidRPr="00842E68">
        <w:rPr>
          <w:rFonts w:ascii="Times New Roman" w:hAnsi="Times New Roman"/>
          <w:sz w:val="24"/>
        </w:rPr>
        <w:t>94</w:t>
      </w:r>
      <w:r w:rsidR="00A2107F" w:rsidRPr="00842E68">
        <w:rPr>
          <w:rFonts w:ascii="Times New Roman" w:hAnsi="Times New Roman"/>
          <w:sz w:val="24"/>
        </w:rPr>
        <w:t xml:space="preserve"> [18].</w:t>
      </w:r>
    </w:p>
  </w:footnote>
  <w:footnote w:id="59">
    <w:p w14:paraId="31ACBEBE" w14:textId="7897AE8C" w:rsidR="00531267" w:rsidRPr="00842E68" w:rsidRDefault="00531267"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International Conference on Air 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iCs/>
          <w:sz w:val="24"/>
        </w:rPr>
        <w:t xml:space="preserve">Montreal, 10-28 May 1999 </w:t>
      </w:r>
      <w:r w:rsidRPr="00842E68">
        <w:rPr>
          <w:rFonts w:ascii="Times New Roman" w:hAnsi="Times New Roman"/>
          <w:sz w:val="24"/>
        </w:rPr>
        <w:t>(1999), vol 1 at 94 [19].</w:t>
      </w:r>
    </w:p>
  </w:footnote>
  <w:footnote w:id="60">
    <w:p w14:paraId="65976FB7" w14:textId="6CB4F1B6" w:rsidR="00531267" w:rsidRPr="00842E68" w:rsidRDefault="00531267"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International Conference on Air 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iCs/>
          <w:sz w:val="24"/>
        </w:rPr>
        <w:t xml:space="preserve">Montreal, 10-28 May 1999 </w:t>
      </w:r>
      <w:r w:rsidRPr="00842E68">
        <w:rPr>
          <w:rFonts w:ascii="Times New Roman" w:hAnsi="Times New Roman"/>
          <w:sz w:val="24"/>
        </w:rPr>
        <w:t>(1999), vol 1 at 130 [5] (emphasis added).</w:t>
      </w:r>
    </w:p>
  </w:footnote>
  <w:footnote w:id="61">
    <w:p w14:paraId="7DA5A9F3" w14:textId="52E7DC37" w:rsidR="00531267" w:rsidRPr="00842E68" w:rsidRDefault="00531267"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International Conference on Air 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iCs/>
          <w:sz w:val="24"/>
        </w:rPr>
        <w:t xml:space="preserve">Montreal, 10-28 May 1999 </w:t>
      </w:r>
      <w:r w:rsidRPr="00842E68">
        <w:rPr>
          <w:rFonts w:ascii="Times New Roman" w:hAnsi="Times New Roman"/>
          <w:sz w:val="24"/>
        </w:rPr>
        <w:t>(1999), vol 1 at 129 [5].</w:t>
      </w:r>
    </w:p>
  </w:footnote>
  <w:footnote w:id="62">
    <w:p w14:paraId="58483D36" w14:textId="59AE71E0" w:rsidR="00904569" w:rsidRPr="00842E68" w:rsidRDefault="00904569"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00BF5F48" w:rsidRPr="00842E68">
        <w:rPr>
          <w:rFonts w:ascii="Times New Roman" w:hAnsi="Times New Roman"/>
          <w:sz w:val="24"/>
        </w:rPr>
        <w:tab/>
        <w:t xml:space="preserve">International Civil Aviation Organization, </w:t>
      </w:r>
      <w:r w:rsidR="00BF5F48" w:rsidRPr="00842E68">
        <w:rPr>
          <w:rFonts w:ascii="Times New Roman" w:hAnsi="Times New Roman"/>
          <w:i/>
          <w:sz w:val="24"/>
        </w:rPr>
        <w:t>International Conference on Air Law (Convention for the Unification of Certain Rules for International Carriage by Air)</w:t>
      </w:r>
      <w:r w:rsidR="00BF5F48" w:rsidRPr="00842E68">
        <w:rPr>
          <w:rFonts w:ascii="Times New Roman" w:hAnsi="Times New Roman"/>
          <w:sz w:val="24"/>
        </w:rPr>
        <w:t xml:space="preserve"> </w:t>
      </w:r>
      <w:r w:rsidR="00BF5F48" w:rsidRPr="00842E68">
        <w:rPr>
          <w:rFonts w:ascii="Times New Roman" w:hAnsi="Times New Roman"/>
          <w:i/>
          <w:sz w:val="24"/>
        </w:rPr>
        <w:t xml:space="preserve">Montreal, 10-28 May 1999 </w:t>
      </w:r>
      <w:r w:rsidR="00BF5F48" w:rsidRPr="00842E68">
        <w:rPr>
          <w:rFonts w:ascii="Times New Roman" w:hAnsi="Times New Roman"/>
          <w:sz w:val="24"/>
        </w:rPr>
        <w:t>(1999), vol 2 at 492.</w:t>
      </w:r>
    </w:p>
  </w:footnote>
  <w:footnote w:id="63">
    <w:p w14:paraId="3CF4D737" w14:textId="2B5F06C6" w:rsidR="00531267" w:rsidRPr="00842E68" w:rsidRDefault="00531267"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 xml:space="preserve">International Conference on Air Law </w:t>
      </w:r>
      <w:r w:rsidRPr="00842E68">
        <w:rPr>
          <w:rFonts w:ascii="Times New Roman" w:hAnsi="Times New Roman"/>
          <w:i/>
          <w:sz w:val="24"/>
        </w:rPr>
        <w:t>(Convention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sz w:val="24"/>
        </w:rPr>
        <w:t>Montreal, 10-28 May 1999</w:t>
      </w:r>
      <w:r w:rsidRPr="00842E68">
        <w:rPr>
          <w:rFonts w:ascii="Times New Roman" w:hAnsi="Times New Roman"/>
          <w:i/>
          <w:iCs/>
          <w:sz w:val="24"/>
        </w:rPr>
        <w:t xml:space="preserve"> </w:t>
      </w:r>
      <w:r w:rsidRPr="00842E68">
        <w:rPr>
          <w:rFonts w:ascii="Times New Roman" w:hAnsi="Times New Roman"/>
          <w:sz w:val="24"/>
        </w:rPr>
        <w:t>(1999), vol 1 at 177</w:t>
      </w:r>
      <w:r w:rsidR="00B22F53" w:rsidRPr="00842E68">
        <w:rPr>
          <w:rFonts w:ascii="Times New Roman" w:hAnsi="Times New Roman"/>
          <w:sz w:val="24"/>
        </w:rPr>
        <w:t xml:space="preserve"> [10]</w:t>
      </w:r>
      <w:r w:rsidRPr="00842E68">
        <w:rPr>
          <w:rFonts w:ascii="Times New Roman" w:hAnsi="Times New Roman"/>
          <w:sz w:val="24"/>
        </w:rPr>
        <w:t>.</w:t>
      </w:r>
    </w:p>
  </w:footnote>
  <w:footnote w:id="64">
    <w:p w14:paraId="1CAD2327" w14:textId="14F70985" w:rsidR="00531267" w:rsidRPr="00842E68" w:rsidRDefault="00531267"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International Conference on Air 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iCs/>
          <w:sz w:val="24"/>
        </w:rPr>
        <w:t xml:space="preserve">Montreal, 10-28 May 1999 </w:t>
      </w:r>
      <w:r w:rsidRPr="00842E68">
        <w:rPr>
          <w:rFonts w:ascii="Times New Roman" w:hAnsi="Times New Roman"/>
          <w:sz w:val="24"/>
        </w:rPr>
        <w:t xml:space="preserve">(1999), vol 1 at 199 [1]; International Civil Aviation Organization, </w:t>
      </w:r>
      <w:r w:rsidRPr="00842E68">
        <w:rPr>
          <w:rFonts w:ascii="Times New Roman" w:hAnsi="Times New Roman"/>
          <w:i/>
          <w:sz w:val="24"/>
        </w:rPr>
        <w:t>International Conference on Air 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sz w:val="24"/>
        </w:rPr>
        <w:t xml:space="preserve">Montreal, 10-28 May 1999 </w:t>
      </w:r>
      <w:r w:rsidRPr="00842E68">
        <w:rPr>
          <w:rFonts w:ascii="Times New Roman" w:hAnsi="Times New Roman"/>
          <w:sz w:val="24"/>
        </w:rPr>
        <w:t>(1999), vol 2 at 500.</w:t>
      </w:r>
    </w:p>
  </w:footnote>
  <w:footnote w:id="65">
    <w:p w14:paraId="392A438B" w14:textId="56BD6DC4" w:rsidR="00531267" w:rsidRPr="00842E68" w:rsidRDefault="00531267"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 xml:space="preserve">International Conference on Air Law </w:t>
      </w:r>
      <w:r w:rsidRPr="00842E68">
        <w:rPr>
          <w:rFonts w:ascii="Times New Roman" w:hAnsi="Times New Roman"/>
          <w:i/>
          <w:sz w:val="24"/>
        </w:rPr>
        <w:t>(Convention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sz w:val="24"/>
        </w:rPr>
        <w:t>Montreal, 10-28 May 1999</w:t>
      </w:r>
      <w:r w:rsidRPr="00842E68">
        <w:rPr>
          <w:rFonts w:ascii="Times New Roman" w:hAnsi="Times New Roman"/>
          <w:i/>
          <w:iCs/>
          <w:sz w:val="24"/>
        </w:rPr>
        <w:t xml:space="preserve"> </w:t>
      </w:r>
      <w:r w:rsidRPr="00842E68">
        <w:rPr>
          <w:rFonts w:ascii="Times New Roman" w:hAnsi="Times New Roman"/>
          <w:sz w:val="24"/>
        </w:rPr>
        <w:t>(1999), vol 1 at 202 [1</w:t>
      </w:r>
      <w:r w:rsidR="006D0D0E" w:rsidRPr="00842E68">
        <w:rPr>
          <w:rFonts w:ascii="Times New Roman" w:hAnsi="Times New Roman"/>
          <w:sz w:val="24"/>
        </w:rPr>
        <w:t>0</w:t>
      </w:r>
      <w:r w:rsidRPr="00842E68">
        <w:rPr>
          <w:rFonts w:ascii="Times New Roman" w:hAnsi="Times New Roman"/>
          <w:sz w:val="24"/>
        </w:rPr>
        <w:t>].</w:t>
      </w:r>
    </w:p>
  </w:footnote>
  <w:footnote w:id="66">
    <w:p w14:paraId="4CEB8CFB" w14:textId="68C09700" w:rsidR="001C39E8" w:rsidRPr="00842E68" w:rsidRDefault="001C39E8"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C72AB9" w:rsidRPr="00842E68">
        <w:rPr>
          <w:rFonts w:ascii="Times New Roman" w:hAnsi="Times New Roman"/>
          <w:sz w:val="24"/>
        </w:rPr>
        <w:t xml:space="preserve">See Montreal Convention (1999) </w:t>
      </w:r>
      <w:r w:rsidR="00F80D91" w:rsidRPr="00842E68">
        <w:rPr>
          <w:rFonts w:ascii="Times New Roman" w:hAnsi="Times New Roman"/>
          <w:sz w:val="24"/>
        </w:rPr>
        <w:t>2242 UNTS 309 at 309.</w:t>
      </w:r>
    </w:p>
  </w:footnote>
  <w:footnote w:id="67">
    <w:p w14:paraId="3B0DFA57" w14:textId="4B8E35D5" w:rsidR="00D66A3F" w:rsidRPr="00842E68" w:rsidRDefault="00D66A3F"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Cheng, "A New Era </w:t>
      </w:r>
      <w:r w:rsidR="001D3D0B" w:rsidRPr="00842E68">
        <w:rPr>
          <w:rFonts w:ascii="Times New Roman" w:hAnsi="Times New Roman"/>
          <w:sz w:val="24"/>
        </w:rPr>
        <w:t xml:space="preserve">in the Law </w:t>
      </w:r>
      <w:r w:rsidRPr="00842E68">
        <w:rPr>
          <w:rFonts w:ascii="Times New Roman" w:hAnsi="Times New Roman"/>
          <w:sz w:val="24"/>
        </w:rPr>
        <w:t xml:space="preserve">of International Carriage by Air: From Warsaw (1929) to Montreal (1999)" (2004) 53 </w:t>
      </w:r>
      <w:r w:rsidRPr="00842E68">
        <w:rPr>
          <w:rFonts w:ascii="Times New Roman" w:hAnsi="Times New Roman"/>
          <w:i/>
          <w:iCs/>
          <w:sz w:val="24"/>
        </w:rPr>
        <w:t xml:space="preserve">International and Comparative Law Quarterly </w:t>
      </w:r>
      <w:r w:rsidRPr="00842E68">
        <w:rPr>
          <w:rFonts w:ascii="Times New Roman" w:hAnsi="Times New Roman"/>
          <w:sz w:val="24"/>
        </w:rPr>
        <w:t xml:space="preserve">833 at 833. </w:t>
      </w:r>
    </w:p>
  </w:footnote>
  <w:footnote w:id="68">
    <w:p w14:paraId="1BF27CB3" w14:textId="5BBC1B13" w:rsidR="00A84B18" w:rsidRPr="00842E68" w:rsidRDefault="00A84B18"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International Conference on Air 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iCs/>
          <w:sz w:val="24"/>
        </w:rPr>
        <w:t xml:space="preserve">Montreal, 10-28 May 1999 </w:t>
      </w:r>
      <w:r w:rsidRPr="00842E68">
        <w:rPr>
          <w:rFonts w:ascii="Times New Roman" w:hAnsi="Times New Roman"/>
          <w:sz w:val="24"/>
        </w:rPr>
        <w:t>(1999), vol 1 at 246.</w:t>
      </w:r>
    </w:p>
  </w:footnote>
  <w:footnote w:id="69">
    <w:p w14:paraId="4CB2A819" w14:textId="63336EA8" w:rsidR="00273CDA" w:rsidRPr="00842E68" w:rsidRDefault="00273CDA"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Montreal Convention, </w:t>
      </w:r>
      <w:r w:rsidR="004C4E98" w:rsidRPr="00842E68">
        <w:rPr>
          <w:rFonts w:ascii="Times New Roman" w:hAnsi="Times New Roman"/>
          <w:sz w:val="24"/>
        </w:rPr>
        <w:t>A</w:t>
      </w:r>
      <w:r w:rsidRPr="00842E68">
        <w:rPr>
          <w:rFonts w:ascii="Times New Roman" w:hAnsi="Times New Roman"/>
          <w:sz w:val="24"/>
        </w:rPr>
        <w:t>rt 22(2), (3).</w:t>
      </w:r>
    </w:p>
  </w:footnote>
  <w:footnote w:id="70">
    <w:p w14:paraId="471DD5D1" w14:textId="4AA0D1B8" w:rsidR="00A7357D" w:rsidRPr="00842E68" w:rsidRDefault="00A7357D"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690A8A" w:rsidRPr="00842E68">
        <w:rPr>
          <w:rFonts w:ascii="Times New Roman" w:hAnsi="Times New Roman"/>
          <w:sz w:val="24"/>
        </w:rPr>
        <w:t xml:space="preserve">Dempsey and </w:t>
      </w:r>
      <w:proofErr w:type="spellStart"/>
      <w:r w:rsidR="00690A8A" w:rsidRPr="00842E68">
        <w:rPr>
          <w:rFonts w:ascii="Times New Roman" w:hAnsi="Times New Roman"/>
          <w:sz w:val="24"/>
        </w:rPr>
        <w:t>Milde</w:t>
      </w:r>
      <w:proofErr w:type="spellEnd"/>
      <w:r w:rsidR="00690A8A" w:rsidRPr="00842E68">
        <w:rPr>
          <w:rFonts w:ascii="Times New Roman" w:hAnsi="Times New Roman"/>
          <w:sz w:val="24"/>
        </w:rPr>
        <w:t xml:space="preserve">, </w:t>
      </w:r>
      <w:r w:rsidR="00690A8A" w:rsidRPr="00842E68">
        <w:rPr>
          <w:rFonts w:ascii="Times New Roman" w:hAnsi="Times New Roman"/>
          <w:i/>
          <w:iCs/>
          <w:sz w:val="24"/>
        </w:rPr>
        <w:t xml:space="preserve">International Air Carrier Liability: The Montreal Convention of 1999 </w:t>
      </w:r>
      <w:r w:rsidR="00690A8A" w:rsidRPr="00842E68">
        <w:rPr>
          <w:rFonts w:ascii="Times New Roman" w:hAnsi="Times New Roman"/>
          <w:sz w:val="24"/>
        </w:rPr>
        <w:t xml:space="preserve">(2005) at </w:t>
      </w:r>
      <w:r w:rsidR="005F27D7" w:rsidRPr="00842E68">
        <w:rPr>
          <w:rFonts w:ascii="Times New Roman" w:hAnsi="Times New Roman"/>
          <w:sz w:val="24"/>
        </w:rPr>
        <w:t xml:space="preserve">201; </w:t>
      </w:r>
      <w:r w:rsidRPr="00842E68">
        <w:rPr>
          <w:rFonts w:ascii="Times New Roman" w:hAnsi="Times New Roman"/>
          <w:sz w:val="24"/>
        </w:rPr>
        <w:t xml:space="preserve">Havel and Sanchez, </w:t>
      </w:r>
      <w:r w:rsidRPr="00842E68">
        <w:rPr>
          <w:rFonts w:ascii="Times New Roman" w:hAnsi="Times New Roman"/>
          <w:i/>
          <w:iCs/>
          <w:sz w:val="24"/>
        </w:rPr>
        <w:t xml:space="preserve">The Principles and Practice of International Aviation Law </w:t>
      </w:r>
      <w:r w:rsidRPr="00842E68">
        <w:rPr>
          <w:rFonts w:ascii="Times New Roman" w:hAnsi="Times New Roman"/>
          <w:sz w:val="24"/>
        </w:rPr>
        <w:t>(2014) at 297.</w:t>
      </w:r>
    </w:p>
  </w:footnote>
  <w:footnote w:id="71">
    <w:p w14:paraId="2CCC93E5" w14:textId="47F55C89" w:rsidR="004A418E" w:rsidRPr="00842E68" w:rsidRDefault="004A418E"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See I</w:t>
      </w:r>
      <w:r w:rsidR="0049145E" w:rsidRPr="00842E68">
        <w:rPr>
          <w:rFonts w:ascii="Times New Roman" w:hAnsi="Times New Roman"/>
          <w:sz w:val="24"/>
        </w:rPr>
        <w:t xml:space="preserve">nternational </w:t>
      </w:r>
      <w:r w:rsidRPr="00842E68">
        <w:rPr>
          <w:rFonts w:ascii="Times New Roman" w:hAnsi="Times New Roman"/>
          <w:sz w:val="24"/>
        </w:rPr>
        <w:t>C</w:t>
      </w:r>
      <w:r w:rsidR="0049145E" w:rsidRPr="00842E68">
        <w:rPr>
          <w:rFonts w:ascii="Times New Roman" w:hAnsi="Times New Roman"/>
          <w:sz w:val="24"/>
        </w:rPr>
        <w:t xml:space="preserve">ivil </w:t>
      </w:r>
      <w:r w:rsidRPr="00842E68">
        <w:rPr>
          <w:rFonts w:ascii="Times New Roman" w:hAnsi="Times New Roman"/>
          <w:sz w:val="24"/>
        </w:rPr>
        <w:t>A</w:t>
      </w:r>
      <w:r w:rsidR="0049145E" w:rsidRPr="00842E68">
        <w:rPr>
          <w:rFonts w:ascii="Times New Roman" w:hAnsi="Times New Roman"/>
          <w:sz w:val="24"/>
        </w:rPr>
        <w:t xml:space="preserve">viation </w:t>
      </w:r>
      <w:r w:rsidRPr="00842E68">
        <w:rPr>
          <w:rFonts w:ascii="Times New Roman" w:hAnsi="Times New Roman"/>
          <w:sz w:val="24"/>
        </w:rPr>
        <w:t>O</w:t>
      </w:r>
      <w:r w:rsidR="0049145E" w:rsidRPr="00842E68">
        <w:rPr>
          <w:rFonts w:ascii="Times New Roman" w:hAnsi="Times New Roman"/>
          <w:sz w:val="24"/>
        </w:rPr>
        <w:t>rganization</w:t>
      </w:r>
      <w:r w:rsidRPr="00842E68">
        <w:rPr>
          <w:rFonts w:ascii="Times New Roman" w:hAnsi="Times New Roman"/>
          <w:sz w:val="24"/>
        </w:rPr>
        <w:t xml:space="preserve">, </w:t>
      </w:r>
      <w:r w:rsidR="008732B4" w:rsidRPr="00842E68">
        <w:rPr>
          <w:rFonts w:ascii="Times New Roman" w:hAnsi="Times New Roman"/>
          <w:sz w:val="24"/>
        </w:rPr>
        <w:t>"</w:t>
      </w:r>
      <w:r w:rsidRPr="00842E68">
        <w:rPr>
          <w:rFonts w:ascii="Times New Roman" w:hAnsi="Times New Roman"/>
          <w:sz w:val="24"/>
        </w:rPr>
        <w:t>Revision of limits of liability under the</w:t>
      </w:r>
      <w:r w:rsidR="00C05367" w:rsidRPr="00842E68">
        <w:rPr>
          <w:rFonts w:ascii="Times New Roman" w:hAnsi="Times New Roman"/>
          <w:sz w:val="24"/>
        </w:rPr>
        <w:t xml:space="preserve"> </w:t>
      </w:r>
      <w:r w:rsidRPr="00842E68">
        <w:rPr>
          <w:rFonts w:ascii="Times New Roman" w:hAnsi="Times New Roman"/>
          <w:sz w:val="24"/>
        </w:rPr>
        <w:t>Montreal Convention of 1999—Notification of effective date of revised limits</w:t>
      </w:r>
      <w:r w:rsidR="008732B4" w:rsidRPr="00842E68">
        <w:rPr>
          <w:rFonts w:ascii="Times New Roman" w:hAnsi="Times New Roman"/>
          <w:sz w:val="24"/>
        </w:rPr>
        <w:t>"</w:t>
      </w:r>
      <w:r w:rsidRPr="00842E68">
        <w:rPr>
          <w:rFonts w:ascii="Times New Roman" w:hAnsi="Times New Roman"/>
          <w:sz w:val="24"/>
        </w:rPr>
        <w:t>, ICAO Letter LE</w:t>
      </w:r>
      <w:r w:rsidR="00C05367" w:rsidRPr="00842E68">
        <w:rPr>
          <w:rFonts w:ascii="Times New Roman" w:hAnsi="Times New Roman"/>
          <w:sz w:val="24"/>
        </w:rPr>
        <w:t xml:space="preserve"> </w:t>
      </w:r>
      <w:r w:rsidRPr="00842E68">
        <w:rPr>
          <w:rFonts w:ascii="Times New Roman" w:hAnsi="Times New Roman"/>
          <w:sz w:val="24"/>
        </w:rPr>
        <w:t>3/38.1-19/70</w:t>
      </w:r>
      <w:r w:rsidR="00FF4AC7" w:rsidRPr="00842E68">
        <w:rPr>
          <w:rFonts w:ascii="Times New Roman" w:hAnsi="Times New Roman"/>
          <w:sz w:val="24"/>
        </w:rPr>
        <w:t>,</w:t>
      </w:r>
      <w:r w:rsidRPr="00842E68">
        <w:rPr>
          <w:rFonts w:ascii="Times New Roman" w:hAnsi="Times New Roman"/>
          <w:sz w:val="24"/>
        </w:rPr>
        <w:t xml:space="preserve"> 11 October 2019</w:t>
      </w:r>
      <w:r w:rsidR="00C05367" w:rsidRPr="00842E68">
        <w:rPr>
          <w:rFonts w:ascii="Times New Roman" w:hAnsi="Times New Roman"/>
          <w:sz w:val="24"/>
        </w:rPr>
        <w:t>, given effect</w:t>
      </w:r>
      <w:r w:rsidRPr="00842E68">
        <w:rPr>
          <w:rFonts w:ascii="Times New Roman" w:hAnsi="Times New Roman"/>
          <w:sz w:val="24"/>
        </w:rPr>
        <w:t xml:space="preserve"> </w:t>
      </w:r>
      <w:r w:rsidR="00C05367" w:rsidRPr="00842E68">
        <w:rPr>
          <w:rFonts w:ascii="Times New Roman" w:hAnsi="Times New Roman"/>
          <w:sz w:val="24"/>
        </w:rPr>
        <w:t>i</w:t>
      </w:r>
      <w:r w:rsidRPr="00842E68">
        <w:rPr>
          <w:rFonts w:ascii="Times New Roman" w:hAnsi="Times New Roman"/>
          <w:sz w:val="24"/>
        </w:rPr>
        <w:t>n Australia by the</w:t>
      </w:r>
      <w:r w:rsidR="00C05367" w:rsidRPr="00842E68">
        <w:rPr>
          <w:rFonts w:ascii="Times New Roman" w:hAnsi="Times New Roman"/>
          <w:sz w:val="24"/>
        </w:rPr>
        <w:t xml:space="preserve"> </w:t>
      </w:r>
      <w:r w:rsidR="00587297" w:rsidRPr="00842E68">
        <w:rPr>
          <w:rFonts w:ascii="Times New Roman" w:hAnsi="Times New Roman"/>
          <w:sz w:val="24"/>
        </w:rPr>
        <w:t xml:space="preserve">gazetted </w:t>
      </w:r>
      <w:r w:rsidRPr="00842E68">
        <w:rPr>
          <w:rFonts w:ascii="Times New Roman" w:hAnsi="Times New Roman"/>
          <w:i/>
          <w:iCs/>
          <w:sz w:val="24"/>
        </w:rPr>
        <w:t>Notice Pursuant to Civil Aviation (Carriers</w:t>
      </w:r>
      <w:r w:rsidR="008732B4" w:rsidRPr="00842E68">
        <w:rPr>
          <w:rFonts w:ascii="Times New Roman" w:hAnsi="Times New Roman"/>
          <w:i/>
          <w:iCs/>
          <w:sz w:val="24"/>
        </w:rPr>
        <w:t>'</w:t>
      </w:r>
      <w:r w:rsidRPr="00842E68">
        <w:rPr>
          <w:rFonts w:ascii="Times New Roman" w:hAnsi="Times New Roman"/>
          <w:i/>
          <w:iCs/>
          <w:sz w:val="24"/>
        </w:rPr>
        <w:t xml:space="preserve"> Liability) Act 1959</w:t>
      </w:r>
      <w:r w:rsidRPr="00842E68">
        <w:rPr>
          <w:rFonts w:ascii="Times New Roman" w:hAnsi="Times New Roman"/>
          <w:sz w:val="24"/>
        </w:rPr>
        <w:t xml:space="preserve"> (</w:t>
      </w:r>
      <w:proofErr w:type="spellStart"/>
      <w:r w:rsidRPr="00842E68">
        <w:rPr>
          <w:rFonts w:ascii="Times New Roman" w:hAnsi="Times New Roman"/>
          <w:sz w:val="24"/>
        </w:rPr>
        <w:t>Cth</w:t>
      </w:r>
      <w:proofErr w:type="spellEnd"/>
      <w:r w:rsidRPr="00842E68">
        <w:rPr>
          <w:rFonts w:ascii="Times New Roman" w:hAnsi="Times New Roman"/>
          <w:sz w:val="24"/>
        </w:rPr>
        <w:t>) (6</w:t>
      </w:r>
      <w:r w:rsidR="007D411E">
        <w:rPr>
          <w:rFonts w:ascii="Times New Roman" w:hAnsi="Times New Roman"/>
          <w:sz w:val="24"/>
        </w:rPr>
        <w:t> </w:t>
      </w:r>
      <w:r w:rsidRPr="00842E68">
        <w:rPr>
          <w:rFonts w:ascii="Times New Roman" w:hAnsi="Times New Roman"/>
          <w:sz w:val="24"/>
        </w:rPr>
        <w:t>December 2019).</w:t>
      </w:r>
    </w:p>
  </w:footnote>
  <w:footnote w:id="72">
    <w:p w14:paraId="2C82CB6D" w14:textId="4D4266AD" w:rsidR="00D10A34" w:rsidRPr="00842E68" w:rsidRDefault="00D10A34"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Dempsey and </w:t>
      </w:r>
      <w:proofErr w:type="spellStart"/>
      <w:r w:rsidRPr="00842E68">
        <w:rPr>
          <w:rFonts w:ascii="Times New Roman" w:hAnsi="Times New Roman"/>
          <w:sz w:val="24"/>
        </w:rPr>
        <w:t>Milde</w:t>
      </w:r>
      <w:proofErr w:type="spellEnd"/>
      <w:r w:rsidRPr="00842E68">
        <w:rPr>
          <w:rFonts w:ascii="Times New Roman" w:hAnsi="Times New Roman"/>
          <w:sz w:val="24"/>
        </w:rPr>
        <w:t xml:space="preserve">, </w:t>
      </w:r>
      <w:r w:rsidRPr="00842E68">
        <w:rPr>
          <w:rFonts w:ascii="Times New Roman" w:hAnsi="Times New Roman"/>
          <w:i/>
          <w:iCs/>
          <w:sz w:val="24"/>
        </w:rPr>
        <w:t xml:space="preserve">International Air Carrier Liability: The Montreal Convention of 1999 </w:t>
      </w:r>
      <w:r w:rsidRPr="00842E68">
        <w:rPr>
          <w:rFonts w:ascii="Times New Roman" w:hAnsi="Times New Roman"/>
          <w:sz w:val="24"/>
        </w:rPr>
        <w:t>(2005) at 52.</w:t>
      </w:r>
    </w:p>
  </w:footnote>
  <w:footnote w:id="73">
    <w:p w14:paraId="6F017F3B" w14:textId="499DD676" w:rsidR="00073463" w:rsidRPr="00842E68" w:rsidRDefault="00073463"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See also </w:t>
      </w:r>
      <w:r w:rsidRPr="00842E68">
        <w:rPr>
          <w:rFonts w:ascii="Times New Roman" w:hAnsi="Times New Roman"/>
          <w:i/>
          <w:iCs/>
          <w:sz w:val="24"/>
        </w:rPr>
        <w:t xml:space="preserve">Trans World Airlines </w:t>
      </w:r>
      <w:r w:rsidR="00CE428D" w:rsidRPr="00842E68">
        <w:rPr>
          <w:rFonts w:ascii="Times New Roman" w:hAnsi="Times New Roman"/>
          <w:i/>
          <w:iCs/>
          <w:sz w:val="24"/>
        </w:rPr>
        <w:t xml:space="preserve">Inc </w:t>
      </w:r>
      <w:r w:rsidRPr="00842E68">
        <w:rPr>
          <w:rFonts w:ascii="Times New Roman" w:hAnsi="Times New Roman"/>
          <w:i/>
          <w:iCs/>
          <w:sz w:val="24"/>
        </w:rPr>
        <w:t>v Franklin Mint Corp</w:t>
      </w:r>
      <w:r w:rsidR="00202E61" w:rsidRPr="00842E68">
        <w:rPr>
          <w:rFonts w:ascii="Times New Roman" w:hAnsi="Times New Roman"/>
          <w:i/>
          <w:iCs/>
          <w:sz w:val="24"/>
        </w:rPr>
        <w:t xml:space="preserve"> </w:t>
      </w:r>
      <w:r w:rsidRPr="00842E68">
        <w:rPr>
          <w:rFonts w:ascii="Times New Roman" w:hAnsi="Times New Roman"/>
          <w:sz w:val="24"/>
        </w:rPr>
        <w:t>(1984) 466 US 243 at 256.</w:t>
      </w:r>
    </w:p>
  </w:footnote>
  <w:footnote w:id="74">
    <w:p w14:paraId="2690C50B" w14:textId="7194971D" w:rsidR="009A7731" w:rsidRPr="00842E68" w:rsidRDefault="009A7731"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6607DD" w:rsidRPr="00842E68">
        <w:rPr>
          <w:rFonts w:ascii="Times New Roman" w:hAnsi="Times New Roman"/>
          <w:sz w:val="24"/>
        </w:rPr>
        <w:t>Cheng, "An Integrated System of Absolute, Unlimited and Secured Liability for Passenger Injury or Death in International Carriage by Air"</w:t>
      </w:r>
      <w:r w:rsidR="00F832E9" w:rsidRPr="00842E68">
        <w:rPr>
          <w:rFonts w:ascii="Times New Roman" w:hAnsi="Times New Roman"/>
          <w:sz w:val="24"/>
        </w:rPr>
        <w:t>,</w:t>
      </w:r>
      <w:r w:rsidR="006607DD" w:rsidRPr="00842E68">
        <w:rPr>
          <w:rFonts w:ascii="Times New Roman" w:hAnsi="Times New Roman"/>
          <w:sz w:val="24"/>
        </w:rPr>
        <w:t xml:space="preserve"> in Cheng (ed), </w:t>
      </w:r>
      <w:r w:rsidR="006607DD" w:rsidRPr="00842E68">
        <w:rPr>
          <w:rFonts w:ascii="Times New Roman" w:hAnsi="Times New Roman"/>
          <w:i/>
          <w:iCs/>
          <w:sz w:val="24"/>
        </w:rPr>
        <w:t>Studies in International Air Law</w:t>
      </w:r>
      <w:r w:rsidR="00511D83" w:rsidRPr="00842E68">
        <w:rPr>
          <w:rFonts w:ascii="Times New Roman" w:hAnsi="Times New Roman"/>
          <w:i/>
          <w:iCs/>
          <w:sz w:val="24"/>
        </w:rPr>
        <w:t xml:space="preserve">: </w:t>
      </w:r>
      <w:r w:rsidR="00511D83" w:rsidRPr="00842E68">
        <w:rPr>
          <w:rFonts w:ascii="Times New Roman" w:hAnsi="Times New Roman"/>
          <w:i/>
          <w:sz w:val="24"/>
        </w:rPr>
        <w:t xml:space="preserve">Selected Works of </w:t>
      </w:r>
      <w:proofErr w:type="gramStart"/>
      <w:r w:rsidR="00511D83" w:rsidRPr="00842E68">
        <w:rPr>
          <w:rFonts w:ascii="Times New Roman" w:hAnsi="Times New Roman"/>
          <w:i/>
          <w:sz w:val="24"/>
        </w:rPr>
        <w:t>Bin</w:t>
      </w:r>
      <w:proofErr w:type="gramEnd"/>
      <w:r w:rsidR="00511D83" w:rsidRPr="00842E68">
        <w:rPr>
          <w:rFonts w:ascii="Times New Roman" w:hAnsi="Times New Roman"/>
          <w:i/>
          <w:sz w:val="24"/>
        </w:rPr>
        <w:t xml:space="preserve"> Cheng</w:t>
      </w:r>
      <w:r w:rsidR="006607DD" w:rsidRPr="00842E68">
        <w:rPr>
          <w:rFonts w:ascii="Times New Roman" w:hAnsi="Times New Roman"/>
          <w:i/>
          <w:iCs/>
          <w:sz w:val="24"/>
        </w:rPr>
        <w:t xml:space="preserve"> </w:t>
      </w:r>
      <w:r w:rsidR="006607DD" w:rsidRPr="00842E68">
        <w:rPr>
          <w:rFonts w:ascii="Times New Roman" w:hAnsi="Times New Roman"/>
          <w:sz w:val="24"/>
        </w:rPr>
        <w:t>(201</w:t>
      </w:r>
      <w:r w:rsidR="00620242" w:rsidRPr="00842E68">
        <w:rPr>
          <w:rFonts w:ascii="Times New Roman" w:hAnsi="Times New Roman"/>
          <w:sz w:val="24"/>
        </w:rPr>
        <w:t>8</w:t>
      </w:r>
      <w:r w:rsidR="006607DD" w:rsidRPr="00842E68">
        <w:rPr>
          <w:rFonts w:ascii="Times New Roman" w:hAnsi="Times New Roman"/>
          <w:sz w:val="24"/>
        </w:rPr>
        <w:t>) 687 at 702.</w:t>
      </w:r>
      <w:r w:rsidRPr="00842E68">
        <w:rPr>
          <w:rFonts w:ascii="Times New Roman" w:hAnsi="Times New Roman"/>
          <w:sz w:val="24"/>
        </w:rPr>
        <w:t xml:space="preserve"> </w:t>
      </w:r>
    </w:p>
  </w:footnote>
  <w:footnote w:id="75">
    <w:p w14:paraId="7D1CCFC4" w14:textId="77777777" w:rsidR="00C70C3F" w:rsidRPr="00842E68" w:rsidRDefault="00C70C3F"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Havel and Sanchez, </w:t>
      </w:r>
      <w:r w:rsidRPr="00842E68">
        <w:rPr>
          <w:rFonts w:ascii="Times New Roman" w:hAnsi="Times New Roman"/>
          <w:i/>
          <w:iCs/>
          <w:sz w:val="24"/>
        </w:rPr>
        <w:t xml:space="preserve">The Principles and Practice of International Aviation Law </w:t>
      </w:r>
      <w:r w:rsidRPr="00842E68">
        <w:rPr>
          <w:rFonts w:ascii="Times New Roman" w:hAnsi="Times New Roman"/>
          <w:sz w:val="24"/>
        </w:rPr>
        <w:t xml:space="preserve">(2014) at 283. </w:t>
      </w:r>
    </w:p>
  </w:footnote>
  <w:footnote w:id="76">
    <w:p w14:paraId="1D12F0C3" w14:textId="581A46FE" w:rsidR="00AA7A5F" w:rsidRPr="00842E68" w:rsidRDefault="00AA7A5F"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E76825" w:rsidRPr="00842E68">
        <w:rPr>
          <w:rFonts w:ascii="Times New Roman" w:hAnsi="Times New Roman"/>
          <w:i/>
          <w:iCs/>
          <w:sz w:val="24"/>
        </w:rPr>
        <w:t>Williams v Fidelity</w:t>
      </w:r>
      <w:r w:rsidR="00BB736E" w:rsidRPr="00842E68">
        <w:rPr>
          <w:rFonts w:ascii="Times New Roman" w:hAnsi="Times New Roman"/>
          <w:i/>
          <w:iCs/>
          <w:sz w:val="24"/>
        </w:rPr>
        <w:t xml:space="preserve"> </w:t>
      </w:r>
      <w:r w:rsidR="00BB736E" w:rsidRPr="00842E68">
        <w:rPr>
          <w:rFonts w:ascii="Times New Roman" w:hAnsi="Times New Roman"/>
          <w:i/>
          <w:sz w:val="24"/>
        </w:rPr>
        <w:t>&amp; Casualty Co of New York</w:t>
      </w:r>
      <w:r w:rsidR="00E76825" w:rsidRPr="00842E68">
        <w:rPr>
          <w:rFonts w:ascii="Times New Roman" w:hAnsi="Times New Roman"/>
          <w:sz w:val="24"/>
        </w:rPr>
        <w:t xml:space="preserve"> (1977) 442 F Supp 455 at 456. </w:t>
      </w:r>
    </w:p>
  </w:footnote>
  <w:footnote w:id="77">
    <w:p w14:paraId="7AB69F28" w14:textId="6522B78E" w:rsidR="00CD7503" w:rsidRPr="00842E68" w:rsidRDefault="00CD7503"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42267A" w:rsidRPr="00842E68">
        <w:rPr>
          <w:rFonts w:ascii="Times New Roman" w:hAnsi="Times New Roman"/>
          <w:sz w:val="24"/>
        </w:rPr>
        <w:t xml:space="preserve">See </w:t>
      </w:r>
      <w:r w:rsidRPr="00842E68">
        <w:rPr>
          <w:rFonts w:ascii="Times New Roman" w:hAnsi="Times New Roman"/>
          <w:i/>
          <w:iCs/>
          <w:sz w:val="24"/>
        </w:rPr>
        <w:t xml:space="preserve">El Al Israel Airlines Ltd v Tsui Yuan Tseng </w:t>
      </w:r>
      <w:r w:rsidRPr="00842E68">
        <w:rPr>
          <w:rFonts w:ascii="Times New Roman" w:hAnsi="Times New Roman"/>
          <w:sz w:val="24"/>
        </w:rPr>
        <w:t xml:space="preserve">(1999) 525 US 155 at 168.  </w:t>
      </w:r>
    </w:p>
  </w:footnote>
  <w:footnote w:id="78">
    <w:p w14:paraId="7559FF35" w14:textId="2AB3DA4D" w:rsidR="00721323" w:rsidRPr="00842E68" w:rsidRDefault="00721323"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International Civil Aviation Organization, </w:t>
      </w:r>
      <w:r w:rsidRPr="00842E68">
        <w:rPr>
          <w:rFonts w:ascii="Times New Roman" w:hAnsi="Times New Roman"/>
          <w:i/>
          <w:iCs/>
          <w:sz w:val="24"/>
        </w:rPr>
        <w:t>International Conference on Air Law (Convention for the Unification of Certain Rules for International Carriage by Air)</w:t>
      </w:r>
      <w:r w:rsidRPr="00842E68">
        <w:rPr>
          <w:rFonts w:ascii="Times New Roman" w:hAnsi="Times New Roman"/>
          <w:sz w:val="24"/>
        </w:rPr>
        <w:t xml:space="preserve"> </w:t>
      </w:r>
      <w:r w:rsidRPr="00842E68">
        <w:rPr>
          <w:rFonts w:ascii="Times New Roman" w:hAnsi="Times New Roman"/>
          <w:i/>
          <w:iCs/>
          <w:sz w:val="24"/>
        </w:rPr>
        <w:t xml:space="preserve">Montreal, 10-28 May 1999 </w:t>
      </w:r>
      <w:r w:rsidRPr="00842E68">
        <w:rPr>
          <w:rFonts w:ascii="Times New Roman" w:hAnsi="Times New Roman"/>
          <w:sz w:val="24"/>
        </w:rPr>
        <w:t>(1999), vol 1 at 101 [23].</w:t>
      </w:r>
    </w:p>
  </w:footnote>
  <w:footnote w:id="79">
    <w:p w14:paraId="16B732DD" w14:textId="50C970C3" w:rsidR="00CA139C" w:rsidRPr="00842E68" w:rsidRDefault="00CA139C"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00C66C5F" w:rsidRPr="00842E68">
        <w:rPr>
          <w:rFonts w:ascii="Times New Roman" w:hAnsi="Times New Roman"/>
          <w:sz w:val="24"/>
        </w:rPr>
        <w:t xml:space="preserve">Dempsey and </w:t>
      </w:r>
      <w:proofErr w:type="spellStart"/>
      <w:r w:rsidR="00C66C5F" w:rsidRPr="00842E68">
        <w:rPr>
          <w:rFonts w:ascii="Times New Roman" w:hAnsi="Times New Roman"/>
          <w:sz w:val="24"/>
        </w:rPr>
        <w:t>Milde</w:t>
      </w:r>
      <w:proofErr w:type="spellEnd"/>
      <w:r w:rsidR="00C66C5F" w:rsidRPr="00842E68">
        <w:rPr>
          <w:rFonts w:ascii="Times New Roman" w:hAnsi="Times New Roman"/>
          <w:sz w:val="24"/>
        </w:rPr>
        <w:t xml:space="preserve">, </w:t>
      </w:r>
      <w:r w:rsidR="00C66C5F" w:rsidRPr="00842E68">
        <w:rPr>
          <w:rFonts w:ascii="Times New Roman" w:hAnsi="Times New Roman"/>
          <w:i/>
          <w:iCs/>
          <w:sz w:val="24"/>
        </w:rPr>
        <w:t xml:space="preserve">International Air Carrier Liability: The Montreal Convention of 1999 </w:t>
      </w:r>
      <w:r w:rsidR="00C66C5F" w:rsidRPr="00842E68">
        <w:rPr>
          <w:rFonts w:ascii="Times New Roman" w:hAnsi="Times New Roman"/>
          <w:sz w:val="24"/>
        </w:rPr>
        <w:t>(2005) at 201.</w:t>
      </w:r>
    </w:p>
  </w:footnote>
  <w:footnote w:id="80">
    <w:p w14:paraId="63EFB423" w14:textId="449FCB24" w:rsidR="00EE28C4" w:rsidRPr="00842E68" w:rsidRDefault="00EE28C4"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Tompkins, </w:t>
      </w:r>
      <w:r w:rsidRPr="00842E68">
        <w:rPr>
          <w:rFonts w:ascii="Times New Roman" w:hAnsi="Times New Roman"/>
          <w:i/>
          <w:iCs/>
          <w:sz w:val="24"/>
        </w:rPr>
        <w:t xml:space="preserve">Liability Rules Applicable to International Air Transportation as Developed by the Courts in the United States: From Warsaw 1929 to Montreal 1999 </w:t>
      </w:r>
      <w:r w:rsidRPr="00842E68">
        <w:rPr>
          <w:rFonts w:ascii="Times New Roman" w:hAnsi="Times New Roman"/>
          <w:sz w:val="24"/>
        </w:rPr>
        <w:t>(2010) at 360 [</w:t>
      </w:r>
      <w:proofErr w:type="gramStart"/>
      <w:r w:rsidRPr="00842E68">
        <w:rPr>
          <w:rFonts w:ascii="Times New Roman" w:hAnsi="Times New Roman"/>
          <w:sz w:val="24"/>
        </w:rPr>
        <w:t>I(</w:t>
      </w:r>
      <w:proofErr w:type="gramEnd"/>
      <w:r w:rsidRPr="00842E68">
        <w:rPr>
          <w:rFonts w:ascii="Times New Roman" w:hAnsi="Times New Roman"/>
          <w:sz w:val="24"/>
        </w:rPr>
        <w:t>2)].</w:t>
      </w:r>
    </w:p>
  </w:footnote>
  <w:footnote w:id="81">
    <w:p w14:paraId="5F7F8051" w14:textId="3C6F21BD" w:rsidR="00AC1C5D" w:rsidRPr="00842E68" w:rsidRDefault="00AC1C5D"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Pr="00842E68">
        <w:rPr>
          <w:rFonts w:ascii="Times New Roman" w:hAnsi="Times New Roman"/>
          <w:i/>
          <w:iCs/>
          <w:sz w:val="24"/>
        </w:rPr>
        <w:t xml:space="preserve">Air Canada v Evans </w:t>
      </w:r>
      <w:r w:rsidRPr="00842E68">
        <w:rPr>
          <w:rFonts w:ascii="Times New Roman" w:hAnsi="Times New Roman"/>
          <w:sz w:val="24"/>
        </w:rPr>
        <w:t>(2024) 114 NSWLR 433 at 457 [8</w:t>
      </w:r>
      <w:r w:rsidR="00137AA2" w:rsidRPr="00842E68">
        <w:rPr>
          <w:rFonts w:ascii="Times New Roman" w:hAnsi="Times New Roman"/>
          <w:sz w:val="24"/>
        </w:rPr>
        <w:t>6</w:t>
      </w:r>
      <w:r w:rsidRPr="00842E68">
        <w:rPr>
          <w:rFonts w:ascii="Times New Roman" w:hAnsi="Times New Roman"/>
          <w:sz w:val="24"/>
        </w:rPr>
        <w:t xml:space="preserve">]. </w:t>
      </w:r>
    </w:p>
  </w:footnote>
  <w:footnote w:id="82">
    <w:p w14:paraId="396A7B05" w14:textId="1559B51D" w:rsidR="00AC1C5D" w:rsidRPr="00842E68" w:rsidRDefault="00AC1C5D"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t xml:space="preserve">Cheng, "A New Era </w:t>
      </w:r>
      <w:r w:rsidR="0037552E" w:rsidRPr="00842E68">
        <w:rPr>
          <w:rFonts w:ascii="Times New Roman" w:hAnsi="Times New Roman"/>
          <w:sz w:val="24"/>
        </w:rPr>
        <w:t xml:space="preserve">in the Law </w:t>
      </w:r>
      <w:r w:rsidRPr="00842E68">
        <w:rPr>
          <w:rFonts w:ascii="Times New Roman" w:hAnsi="Times New Roman"/>
          <w:sz w:val="24"/>
        </w:rPr>
        <w:t xml:space="preserve">of International Carriage by Air: From Warsaw (1929) to Montreal (1999)" (2004) 53 </w:t>
      </w:r>
      <w:r w:rsidRPr="00842E68">
        <w:rPr>
          <w:rFonts w:ascii="Times New Roman" w:hAnsi="Times New Roman"/>
          <w:i/>
          <w:iCs/>
          <w:sz w:val="24"/>
        </w:rPr>
        <w:t xml:space="preserve">International and Comparative Law Quarterly </w:t>
      </w:r>
      <w:r w:rsidRPr="00842E68">
        <w:rPr>
          <w:rFonts w:ascii="Times New Roman" w:hAnsi="Times New Roman"/>
          <w:sz w:val="24"/>
        </w:rPr>
        <w:t xml:space="preserve">833 at 840.  </w:t>
      </w:r>
    </w:p>
  </w:footnote>
  <w:footnote w:id="83">
    <w:p w14:paraId="44FE2F41" w14:textId="22BD8A9B" w:rsidR="00AC1C5D" w:rsidRPr="00842E68" w:rsidRDefault="00AC1C5D"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Pr="00842E68">
        <w:rPr>
          <w:rFonts w:ascii="Times New Roman" w:hAnsi="Times New Roman"/>
          <w:i/>
          <w:iCs/>
          <w:sz w:val="24"/>
        </w:rPr>
        <w:t>Bahamas Oil Refining Company International Ltd v Owners of the Cap</w:t>
      </w:r>
      <w:r w:rsidR="00874E56" w:rsidRPr="00842E68">
        <w:rPr>
          <w:rFonts w:ascii="Times New Roman" w:hAnsi="Times New Roman"/>
          <w:i/>
          <w:iCs/>
          <w:sz w:val="24"/>
        </w:rPr>
        <w:t>e</w:t>
      </w:r>
      <w:r w:rsidRPr="00842E68">
        <w:rPr>
          <w:rFonts w:ascii="Times New Roman" w:hAnsi="Times New Roman"/>
          <w:i/>
          <w:iCs/>
          <w:sz w:val="24"/>
        </w:rPr>
        <w:t xml:space="preserve"> Bari </w:t>
      </w:r>
      <w:proofErr w:type="spellStart"/>
      <w:r w:rsidRPr="00842E68">
        <w:rPr>
          <w:rFonts w:ascii="Times New Roman" w:hAnsi="Times New Roman"/>
          <w:i/>
          <w:iCs/>
          <w:sz w:val="24"/>
        </w:rPr>
        <w:t>Tankschiffahrts</w:t>
      </w:r>
      <w:proofErr w:type="spellEnd"/>
      <w:r w:rsidRPr="00842E68">
        <w:rPr>
          <w:rFonts w:ascii="Times New Roman" w:hAnsi="Times New Roman"/>
          <w:i/>
          <w:iCs/>
          <w:sz w:val="24"/>
        </w:rPr>
        <w:t xml:space="preserve"> Gmb</w:t>
      </w:r>
      <w:r w:rsidR="005F6017" w:rsidRPr="00842E68">
        <w:rPr>
          <w:rFonts w:ascii="Times New Roman" w:hAnsi="Times New Roman"/>
          <w:i/>
          <w:iCs/>
          <w:sz w:val="24"/>
        </w:rPr>
        <w:t>H</w:t>
      </w:r>
      <w:r w:rsidRPr="00842E68">
        <w:rPr>
          <w:rFonts w:ascii="Times New Roman" w:hAnsi="Times New Roman"/>
          <w:i/>
          <w:iCs/>
          <w:sz w:val="24"/>
        </w:rPr>
        <w:t xml:space="preserve"> &amp; Co KG </w:t>
      </w:r>
      <w:r w:rsidR="00F602D1" w:rsidRPr="00842E68">
        <w:rPr>
          <w:rFonts w:ascii="Times New Roman" w:hAnsi="Times New Roman"/>
          <w:i/>
          <w:iCs/>
          <w:sz w:val="24"/>
        </w:rPr>
        <w:t xml:space="preserve">(The "Cape Bari") </w:t>
      </w:r>
      <w:r w:rsidRPr="00842E68">
        <w:rPr>
          <w:rFonts w:ascii="Times New Roman" w:hAnsi="Times New Roman"/>
          <w:sz w:val="24"/>
        </w:rPr>
        <w:t xml:space="preserve">[2016] </w:t>
      </w:r>
      <w:r w:rsidR="00840DF4" w:rsidRPr="00842E68">
        <w:rPr>
          <w:rFonts w:ascii="Times New Roman" w:hAnsi="Times New Roman"/>
          <w:sz w:val="24"/>
        </w:rPr>
        <w:t xml:space="preserve">2 Lloyd's Rep 469 </w:t>
      </w:r>
      <w:r w:rsidRPr="00842E68">
        <w:rPr>
          <w:rFonts w:ascii="Times New Roman" w:hAnsi="Times New Roman"/>
          <w:sz w:val="24"/>
        </w:rPr>
        <w:t xml:space="preserve">at </w:t>
      </w:r>
      <w:r w:rsidR="0060136B" w:rsidRPr="00842E68">
        <w:rPr>
          <w:rFonts w:ascii="Times New Roman" w:hAnsi="Times New Roman"/>
          <w:sz w:val="24"/>
        </w:rPr>
        <w:t xml:space="preserve">476 </w:t>
      </w:r>
      <w:r w:rsidRPr="00842E68">
        <w:rPr>
          <w:rFonts w:ascii="Times New Roman" w:hAnsi="Times New Roman"/>
          <w:sz w:val="24"/>
        </w:rPr>
        <w:t>[31], [33]</w:t>
      </w:r>
      <w:r w:rsidR="0060136B" w:rsidRPr="00842E68">
        <w:rPr>
          <w:rFonts w:ascii="Times New Roman" w:hAnsi="Times New Roman"/>
          <w:sz w:val="24"/>
        </w:rPr>
        <w:t>,</w:t>
      </w:r>
      <w:r w:rsidRPr="00842E68">
        <w:rPr>
          <w:rFonts w:ascii="Times New Roman" w:hAnsi="Times New Roman"/>
          <w:sz w:val="24"/>
        </w:rPr>
        <w:t xml:space="preserve"> quoting </w:t>
      </w:r>
      <w:proofErr w:type="spellStart"/>
      <w:r w:rsidRPr="00842E68">
        <w:rPr>
          <w:rFonts w:ascii="Times New Roman" w:hAnsi="Times New Roman"/>
          <w:i/>
          <w:iCs/>
          <w:sz w:val="24"/>
        </w:rPr>
        <w:t>Stocznia</w:t>
      </w:r>
      <w:proofErr w:type="spellEnd"/>
      <w:r w:rsidRPr="00842E68">
        <w:rPr>
          <w:rFonts w:ascii="Times New Roman" w:hAnsi="Times New Roman"/>
          <w:i/>
          <w:iCs/>
          <w:sz w:val="24"/>
        </w:rPr>
        <w:t xml:space="preserve"> Gdynia </w:t>
      </w:r>
      <w:r w:rsidR="00294E76" w:rsidRPr="00842E68">
        <w:rPr>
          <w:rFonts w:ascii="Times New Roman" w:hAnsi="Times New Roman"/>
          <w:i/>
          <w:sz w:val="24"/>
        </w:rPr>
        <w:t>SA</w:t>
      </w:r>
      <w:r w:rsidRPr="00842E68">
        <w:rPr>
          <w:rFonts w:ascii="Times New Roman" w:hAnsi="Times New Roman"/>
          <w:i/>
          <w:iCs/>
          <w:sz w:val="24"/>
        </w:rPr>
        <w:t xml:space="preserve"> v </w:t>
      </w:r>
      <w:proofErr w:type="spellStart"/>
      <w:r w:rsidRPr="00842E68">
        <w:rPr>
          <w:rFonts w:ascii="Times New Roman" w:hAnsi="Times New Roman"/>
          <w:i/>
          <w:iCs/>
          <w:sz w:val="24"/>
        </w:rPr>
        <w:t>Gearbulk</w:t>
      </w:r>
      <w:proofErr w:type="spellEnd"/>
      <w:r w:rsidRPr="00842E68">
        <w:rPr>
          <w:rFonts w:ascii="Times New Roman" w:hAnsi="Times New Roman"/>
          <w:i/>
          <w:iCs/>
          <w:sz w:val="24"/>
        </w:rPr>
        <w:t xml:space="preserve"> Holdings Ltd </w:t>
      </w:r>
      <w:r w:rsidRPr="00842E68">
        <w:rPr>
          <w:rFonts w:ascii="Times New Roman" w:hAnsi="Times New Roman"/>
          <w:sz w:val="24"/>
        </w:rPr>
        <w:t>[20</w:t>
      </w:r>
      <w:r w:rsidR="00470463" w:rsidRPr="00842E68">
        <w:rPr>
          <w:rFonts w:ascii="Times New Roman" w:hAnsi="Times New Roman"/>
          <w:sz w:val="24"/>
        </w:rPr>
        <w:t xml:space="preserve">10] QB </w:t>
      </w:r>
      <w:r w:rsidR="009F2FF0" w:rsidRPr="00842E68">
        <w:rPr>
          <w:rFonts w:ascii="Times New Roman" w:hAnsi="Times New Roman"/>
          <w:sz w:val="24"/>
        </w:rPr>
        <w:t>27</w:t>
      </w:r>
      <w:r w:rsidRPr="00842E68">
        <w:rPr>
          <w:rFonts w:ascii="Times New Roman" w:hAnsi="Times New Roman"/>
          <w:sz w:val="24"/>
        </w:rPr>
        <w:t xml:space="preserve"> at </w:t>
      </w:r>
      <w:r w:rsidR="008F0050" w:rsidRPr="00842E68">
        <w:rPr>
          <w:rFonts w:ascii="Times New Roman" w:hAnsi="Times New Roman"/>
          <w:sz w:val="24"/>
        </w:rPr>
        <w:t xml:space="preserve">39 </w:t>
      </w:r>
      <w:r w:rsidRPr="00842E68">
        <w:rPr>
          <w:rFonts w:ascii="Times New Roman" w:hAnsi="Times New Roman"/>
          <w:sz w:val="24"/>
        </w:rPr>
        <w:t xml:space="preserve">[23]. </w:t>
      </w:r>
    </w:p>
  </w:footnote>
  <w:footnote w:id="84">
    <w:p w14:paraId="6667B28B" w14:textId="446135D6" w:rsidR="00AC1C5D" w:rsidRPr="00842E68" w:rsidRDefault="00AC1C5D"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Pr="00842E68">
        <w:rPr>
          <w:rFonts w:ascii="Times New Roman" w:hAnsi="Times New Roman"/>
          <w:i/>
          <w:iCs/>
          <w:sz w:val="24"/>
        </w:rPr>
        <w:t xml:space="preserve">Air Canada v Evans </w:t>
      </w:r>
      <w:r w:rsidRPr="00842E68">
        <w:rPr>
          <w:rFonts w:ascii="Times New Roman" w:hAnsi="Times New Roman"/>
          <w:sz w:val="24"/>
        </w:rPr>
        <w:t xml:space="preserve">(2024) 114 NSWLR 433 at 449-451 [58]-[63]. See also </w:t>
      </w:r>
      <w:r w:rsidRPr="00842E68">
        <w:rPr>
          <w:rFonts w:ascii="Times New Roman" w:hAnsi="Times New Roman"/>
          <w:i/>
          <w:iCs/>
          <w:sz w:val="24"/>
        </w:rPr>
        <w:t>Gulf Air Co GSC v Fattouh</w:t>
      </w:r>
      <w:r w:rsidRPr="00842E68">
        <w:rPr>
          <w:rFonts w:ascii="Times New Roman" w:hAnsi="Times New Roman"/>
          <w:sz w:val="24"/>
        </w:rPr>
        <w:t xml:space="preserve"> (2008) 251 ALR 183 at 191 [28]; </w:t>
      </w:r>
      <w:r w:rsidRPr="00842E68">
        <w:rPr>
          <w:rFonts w:ascii="Times New Roman" w:hAnsi="Times New Roman"/>
          <w:i/>
          <w:iCs/>
          <w:sz w:val="24"/>
        </w:rPr>
        <w:t xml:space="preserve">United Airlines Inc v </w:t>
      </w:r>
      <w:proofErr w:type="spellStart"/>
      <w:r w:rsidRPr="00842E68">
        <w:rPr>
          <w:rFonts w:ascii="Times New Roman" w:hAnsi="Times New Roman"/>
          <w:i/>
          <w:iCs/>
          <w:sz w:val="24"/>
        </w:rPr>
        <w:t>Sercel</w:t>
      </w:r>
      <w:proofErr w:type="spellEnd"/>
      <w:r w:rsidRPr="00842E68">
        <w:rPr>
          <w:rFonts w:ascii="Times New Roman" w:hAnsi="Times New Roman"/>
          <w:i/>
          <w:iCs/>
          <w:sz w:val="24"/>
        </w:rPr>
        <w:t xml:space="preserve"> Australia Pty Ltd</w:t>
      </w:r>
      <w:r w:rsidRPr="00842E68">
        <w:rPr>
          <w:rFonts w:ascii="Times New Roman" w:hAnsi="Times New Roman"/>
          <w:sz w:val="24"/>
        </w:rPr>
        <w:t xml:space="preserve"> (2012) 289 ALR 682 at 685-686 [14(a)-(b)].</w:t>
      </w:r>
    </w:p>
  </w:footnote>
  <w:footnote w:id="85">
    <w:p w14:paraId="333967D9" w14:textId="77777777" w:rsidR="00AC1C5D" w:rsidRPr="00842E68" w:rsidRDefault="00AC1C5D" w:rsidP="00842E68">
      <w:pPr>
        <w:pStyle w:val="FootnoteText"/>
        <w:spacing w:line="280" w:lineRule="exact"/>
        <w:ind w:right="0"/>
        <w:jc w:val="both"/>
        <w:rPr>
          <w:rFonts w:ascii="Times New Roman" w:hAnsi="Times New Roman"/>
          <w:sz w:val="24"/>
        </w:rPr>
      </w:pPr>
      <w:r w:rsidRPr="00842E68">
        <w:rPr>
          <w:rStyle w:val="FootnoteReference"/>
          <w:rFonts w:ascii="Times New Roman" w:hAnsi="Times New Roman"/>
          <w:sz w:val="22"/>
          <w:vertAlign w:val="baseline"/>
        </w:rPr>
        <w:footnoteRef/>
      </w:r>
      <w:r w:rsidRPr="00842E68">
        <w:rPr>
          <w:rFonts w:ascii="Times New Roman" w:hAnsi="Times New Roman"/>
          <w:sz w:val="24"/>
        </w:rPr>
        <w:t xml:space="preserve"> </w:t>
      </w:r>
      <w:r w:rsidRPr="00842E68">
        <w:rPr>
          <w:rFonts w:ascii="Times New Roman" w:hAnsi="Times New Roman"/>
          <w:sz w:val="24"/>
        </w:rPr>
        <w:tab/>
      </w:r>
      <w:r w:rsidRPr="00842E68">
        <w:rPr>
          <w:rFonts w:ascii="Times New Roman" w:hAnsi="Times New Roman"/>
          <w:i/>
          <w:iCs/>
          <w:sz w:val="24"/>
        </w:rPr>
        <w:t xml:space="preserve">Air Canada v Evans </w:t>
      </w:r>
      <w:r w:rsidRPr="00842E68">
        <w:rPr>
          <w:rFonts w:ascii="Times New Roman" w:hAnsi="Times New Roman"/>
          <w:sz w:val="24"/>
        </w:rPr>
        <w:t xml:space="preserve">(2024) 114 NSWLR 433 at 454 [75].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D69D" w14:textId="77777777" w:rsidR="00842E68" w:rsidRPr="00891673" w:rsidRDefault="00842E68" w:rsidP="0089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365A" w14:textId="7CDDA3A0" w:rsidR="00842E68" w:rsidRPr="00891673" w:rsidRDefault="00891673" w:rsidP="0089167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FEA0" w14:textId="187A1860" w:rsidR="00B6625B" w:rsidRPr="00891673" w:rsidRDefault="00B6625B" w:rsidP="008916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F69E" w14:textId="77777777" w:rsidR="00891673" w:rsidRPr="00842E68" w:rsidRDefault="00891673" w:rsidP="00842E68">
    <w:pPr>
      <w:pStyle w:val="Header"/>
      <w:tabs>
        <w:tab w:val="clear" w:pos="4153"/>
        <w:tab w:val="clear" w:pos="8306"/>
        <w:tab w:val="right" w:pos="1304"/>
      </w:tabs>
      <w:spacing w:line="280" w:lineRule="exact"/>
      <w:ind w:firstLine="0"/>
      <w:rPr>
        <w:rFonts w:ascii="Times New Roman" w:hAnsi="Times New Roman"/>
        <w:i/>
        <w:sz w:val="22"/>
      </w:rPr>
    </w:pPr>
    <w:proofErr w:type="spellStart"/>
    <w:r w:rsidRPr="00842E68">
      <w:rPr>
        <w:rFonts w:ascii="Times New Roman" w:hAnsi="Times New Roman"/>
        <w:i/>
        <w:sz w:val="22"/>
      </w:rPr>
      <w:t>Gageler</w:t>
    </w:r>
    <w:proofErr w:type="spellEnd"/>
    <w:r w:rsidRPr="00842E68">
      <w:rPr>
        <w:rFonts w:ascii="Times New Roman" w:hAnsi="Times New Roman"/>
        <w:i/>
        <w:sz w:val="22"/>
      </w:rPr>
      <w:tab/>
      <w:t>CJ</w:t>
    </w:r>
  </w:p>
  <w:p w14:paraId="560FD37A" w14:textId="77777777" w:rsidR="00891673" w:rsidRPr="00842E68" w:rsidRDefault="00891673" w:rsidP="00842E68">
    <w:pPr>
      <w:pStyle w:val="Header"/>
      <w:tabs>
        <w:tab w:val="clear" w:pos="4153"/>
        <w:tab w:val="clear" w:pos="8306"/>
        <w:tab w:val="right" w:pos="1304"/>
      </w:tabs>
      <w:spacing w:line="280" w:lineRule="exact"/>
      <w:ind w:firstLine="0"/>
      <w:rPr>
        <w:rFonts w:ascii="Times New Roman" w:hAnsi="Times New Roman"/>
        <w:i/>
        <w:sz w:val="22"/>
      </w:rPr>
    </w:pPr>
    <w:r w:rsidRPr="00842E68">
      <w:rPr>
        <w:rFonts w:ascii="Times New Roman" w:hAnsi="Times New Roman"/>
        <w:i/>
        <w:sz w:val="22"/>
      </w:rPr>
      <w:t>Edelman</w:t>
    </w:r>
    <w:r w:rsidRPr="00842E68">
      <w:rPr>
        <w:rFonts w:ascii="Times New Roman" w:hAnsi="Times New Roman"/>
        <w:i/>
        <w:sz w:val="22"/>
      </w:rPr>
      <w:tab/>
      <w:t>J</w:t>
    </w:r>
  </w:p>
  <w:p w14:paraId="3830E57C" w14:textId="77777777" w:rsidR="00891673" w:rsidRPr="00842E68" w:rsidRDefault="00891673" w:rsidP="00842E68">
    <w:pPr>
      <w:pStyle w:val="Header"/>
      <w:tabs>
        <w:tab w:val="clear" w:pos="4153"/>
        <w:tab w:val="clear" w:pos="8306"/>
        <w:tab w:val="right" w:pos="1304"/>
      </w:tabs>
      <w:spacing w:line="280" w:lineRule="exact"/>
      <w:ind w:firstLine="0"/>
      <w:rPr>
        <w:rFonts w:ascii="Times New Roman" w:hAnsi="Times New Roman"/>
        <w:i/>
        <w:sz w:val="22"/>
      </w:rPr>
    </w:pPr>
    <w:r w:rsidRPr="00842E68">
      <w:rPr>
        <w:rFonts w:ascii="Times New Roman" w:hAnsi="Times New Roman"/>
        <w:i/>
        <w:sz w:val="22"/>
      </w:rPr>
      <w:t>Steward</w:t>
    </w:r>
    <w:r w:rsidRPr="00842E68">
      <w:rPr>
        <w:rFonts w:ascii="Times New Roman" w:hAnsi="Times New Roman"/>
        <w:i/>
        <w:sz w:val="22"/>
      </w:rPr>
      <w:tab/>
      <w:t>J</w:t>
    </w:r>
  </w:p>
  <w:p w14:paraId="46E08AAE" w14:textId="77777777" w:rsidR="00891673" w:rsidRPr="00842E68" w:rsidRDefault="00891673" w:rsidP="00842E68">
    <w:pPr>
      <w:pStyle w:val="Header"/>
      <w:tabs>
        <w:tab w:val="clear" w:pos="4153"/>
        <w:tab w:val="clear" w:pos="8306"/>
        <w:tab w:val="right" w:pos="1304"/>
      </w:tabs>
      <w:spacing w:line="280" w:lineRule="exact"/>
      <w:ind w:firstLine="0"/>
      <w:rPr>
        <w:rFonts w:ascii="Times New Roman" w:hAnsi="Times New Roman"/>
        <w:i/>
        <w:sz w:val="22"/>
      </w:rPr>
    </w:pPr>
    <w:r w:rsidRPr="00842E68">
      <w:rPr>
        <w:rFonts w:ascii="Times New Roman" w:hAnsi="Times New Roman"/>
        <w:i/>
        <w:sz w:val="22"/>
      </w:rPr>
      <w:t>Gleeson</w:t>
    </w:r>
    <w:r w:rsidRPr="00842E68">
      <w:rPr>
        <w:rFonts w:ascii="Times New Roman" w:hAnsi="Times New Roman"/>
        <w:i/>
        <w:sz w:val="22"/>
      </w:rPr>
      <w:tab/>
      <w:t>J</w:t>
    </w:r>
  </w:p>
  <w:p w14:paraId="2F351DBD" w14:textId="77777777" w:rsidR="00891673" w:rsidRDefault="00891673" w:rsidP="00842E6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23C29E0C" w14:textId="77777777" w:rsidR="00891673" w:rsidRDefault="00891673" w:rsidP="00842E68">
    <w:pPr>
      <w:pStyle w:val="Header"/>
      <w:tabs>
        <w:tab w:val="clear" w:pos="4153"/>
        <w:tab w:val="clear" w:pos="8306"/>
        <w:tab w:val="right" w:pos="1304"/>
      </w:tabs>
      <w:spacing w:line="280" w:lineRule="exact"/>
      <w:ind w:firstLine="0"/>
      <w:rPr>
        <w:rFonts w:ascii="Times New Roman" w:hAnsi="Times New Roman"/>
        <w:i/>
        <w:sz w:val="22"/>
      </w:rPr>
    </w:pPr>
  </w:p>
  <w:p w14:paraId="7C3609A6" w14:textId="77777777" w:rsidR="00891673" w:rsidRDefault="00891673" w:rsidP="00842E6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01D1699" w14:textId="77777777" w:rsidR="00891673" w:rsidRPr="00842E68" w:rsidRDefault="00891673" w:rsidP="00842E6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76DE" w14:textId="77777777" w:rsidR="00891673" w:rsidRPr="00842E68" w:rsidRDefault="00891673" w:rsidP="00842E68">
    <w:pPr>
      <w:pStyle w:val="Header"/>
      <w:tabs>
        <w:tab w:val="clear" w:pos="4153"/>
        <w:tab w:val="clear" w:pos="8306"/>
        <w:tab w:val="left" w:pos="7200"/>
        <w:tab w:val="right" w:pos="8504"/>
      </w:tabs>
      <w:spacing w:line="280" w:lineRule="exact"/>
      <w:jc w:val="right"/>
      <w:rPr>
        <w:rFonts w:ascii="Times New Roman" w:hAnsi="Times New Roman"/>
        <w:i/>
        <w:sz w:val="22"/>
      </w:rPr>
    </w:pPr>
    <w:r w:rsidRPr="00842E68">
      <w:rPr>
        <w:rFonts w:ascii="Times New Roman" w:hAnsi="Times New Roman"/>
        <w:i/>
        <w:sz w:val="22"/>
      </w:rPr>
      <w:tab/>
    </w:r>
    <w:proofErr w:type="spellStart"/>
    <w:r w:rsidRPr="00842E68">
      <w:rPr>
        <w:rFonts w:ascii="Times New Roman" w:hAnsi="Times New Roman"/>
        <w:i/>
        <w:sz w:val="22"/>
      </w:rPr>
      <w:t>Gageler</w:t>
    </w:r>
    <w:proofErr w:type="spellEnd"/>
    <w:r w:rsidRPr="00842E68">
      <w:rPr>
        <w:rFonts w:ascii="Times New Roman" w:hAnsi="Times New Roman"/>
        <w:i/>
        <w:sz w:val="22"/>
      </w:rPr>
      <w:tab/>
      <w:t>CJ</w:t>
    </w:r>
  </w:p>
  <w:p w14:paraId="1CF21C56" w14:textId="77777777" w:rsidR="00891673" w:rsidRPr="00842E68" w:rsidRDefault="00891673" w:rsidP="00842E68">
    <w:pPr>
      <w:pStyle w:val="Header"/>
      <w:tabs>
        <w:tab w:val="clear" w:pos="4153"/>
        <w:tab w:val="clear" w:pos="8306"/>
        <w:tab w:val="left" w:pos="7200"/>
        <w:tab w:val="right" w:pos="8504"/>
      </w:tabs>
      <w:spacing w:line="280" w:lineRule="exact"/>
      <w:jc w:val="right"/>
      <w:rPr>
        <w:rFonts w:ascii="Times New Roman" w:hAnsi="Times New Roman"/>
        <w:i/>
        <w:sz w:val="22"/>
      </w:rPr>
    </w:pPr>
    <w:r w:rsidRPr="00842E68">
      <w:rPr>
        <w:rFonts w:ascii="Times New Roman" w:hAnsi="Times New Roman"/>
        <w:i/>
        <w:sz w:val="22"/>
      </w:rPr>
      <w:tab/>
      <w:t>Edelman</w:t>
    </w:r>
    <w:r w:rsidRPr="00842E68">
      <w:rPr>
        <w:rFonts w:ascii="Times New Roman" w:hAnsi="Times New Roman"/>
        <w:i/>
        <w:sz w:val="22"/>
      </w:rPr>
      <w:tab/>
      <w:t>J</w:t>
    </w:r>
  </w:p>
  <w:p w14:paraId="0F35C21F" w14:textId="77777777" w:rsidR="00891673" w:rsidRPr="00842E68" w:rsidRDefault="00891673" w:rsidP="00842E68">
    <w:pPr>
      <w:pStyle w:val="Header"/>
      <w:tabs>
        <w:tab w:val="clear" w:pos="4153"/>
        <w:tab w:val="clear" w:pos="8306"/>
        <w:tab w:val="left" w:pos="7200"/>
        <w:tab w:val="right" w:pos="8504"/>
      </w:tabs>
      <w:spacing w:line="280" w:lineRule="exact"/>
      <w:jc w:val="right"/>
      <w:rPr>
        <w:rFonts w:ascii="Times New Roman" w:hAnsi="Times New Roman"/>
        <w:i/>
        <w:sz w:val="22"/>
      </w:rPr>
    </w:pPr>
    <w:r w:rsidRPr="00842E68">
      <w:rPr>
        <w:rFonts w:ascii="Times New Roman" w:hAnsi="Times New Roman"/>
        <w:i/>
        <w:sz w:val="22"/>
      </w:rPr>
      <w:tab/>
      <w:t>Steward</w:t>
    </w:r>
    <w:r w:rsidRPr="00842E68">
      <w:rPr>
        <w:rFonts w:ascii="Times New Roman" w:hAnsi="Times New Roman"/>
        <w:i/>
        <w:sz w:val="22"/>
      </w:rPr>
      <w:tab/>
      <w:t>J</w:t>
    </w:r>
  </w:p>
  <w:p w14:paraId="1C64DF8D" w14:textId="77777777" w:rsidR="00891673" w:rsidRPr="00842E68" w:rsidRDefault="00891673" w:rsidP="00842E68">
    <w:pPr>
      <w:pStyle w:val="Header"/>
      <w:tabs>
        <w:tab w:val="clear" w:pos="4153"/>
        <w:tab w:val="clear" w:pos="8306"/>
        <w:tab w:val="left" w:pos="7200"/>
        <w:tab w:val="right" w:pos="8504"/>
      </w:tabs>
      <w:spacing w:line="280" w:lineRule="exact"/>
      <w:jc w:val="right"/>
      <w:rPr>
        <w:rFonts w:ascii="Times New Roman" w:hAnsi="Times New Roman"/>
        <w:i/>
        <w:sz w:val="22"/>
      </w:rPr>
    </w:pPr>
    <w:r w:rsidRPr="00842E68">
      <w:rPr>
        <w:rFonts w:ascii="Times New Roman" w:hAnsi="Times New Roman"/>
        <w:i/>
        <w:sz w:val="22"/>
      </w:rPr>
      <w:tab/>
      <w:t>Gleeson</w:t>
    </w:r>
    <w:r w:rsidRPr="00842E68">
      <w:rPr>
        <w:rFonts w:ascii="Times New Roman" w:hAnsi="Times New Roman"/>
        <w:i/>
        <w:sz w:val="22"/>
      </w:rPr>
      <w:tab/>
      <w:t>J</w:t>
    </w:r>
  </w:p>
  <w:p w14:paraId="64E0F837" w14:textId="77777777" w:rsidR="00891673" w:rsidRDefault="00891673" w:rsidP="00842E6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259F4793" w14:textId="77777777" w:rsidR="00891673" w:rsidRDefault="00891673" w:rsidP="00842E68">
    <w:pPr>
      <w:pStyle w:val="Header"/>
      <w:tabs>
        <w:tab w:val="clear" w:pos="4153"/>
        <w:tab w:val="clear" w:pos="8306"/>
        <w:tab w:val="left" w:pos="7200"/>
        <w:tab w:val="right" w:pos="8504"/>
      </w:tabs>
      <w:spacing w:line="280" w:lineRule="exact"/>
      <w:jc w:val="right"/>
      <w:rPr>
        <w:rFonts w:ascii="Times New Roman" w:hAnsi="Times New Roman"/>
        <w:i/>
        <w:sz w:val="22"/>
      </w:rPr>
    </w:pPr>
  </w:p>
  <w:p w14:paraId="6A8993F6" w14:textId="77777777" w:rsidR="00891673" w:rsidRDefault="00891673" w:rsidP="00842E6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AFE4219" w14:textId="77777777" w:rsidR="00891673" w:rsidRPr="00842E68" w:rsidRDefault="00891673" w:rsidP="00842E6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8797" w14:textId="77777777" w:rsidR="00891673" w:rsidRDefault="00891673" w:rsidP="00842E68">
    <w:pPr>
      <w:pStyle w:val="Header"/>
      <w:tabs>
        <w:tab w:val="clear" w:pos="4153"/>
        <w:tab w:val="clear" w:pos="8306"/>
        <w:tab w:val="center" w:pos="1134"/>
      </w:tabs>
      <w:spacing w:line="280" w:lineRule="exact"/>
      <w:ind w:firstLine="0"/>
      <w:rPr>
        <w:rFonts w:ascii="Times New Roman" w:hAnsi="Times New Roman"/>
        <w:i/>
        <w:sz w:val="22"/>
      </w:rPr>
    </w:pPr>
  </w:p>
  <w:p w14:paraId="61FF96DA" w14:textId="77777777" w:rsidR="00891673" w:rsidRDefault="00891673" w:rsidP="00842E68">
    <w:pPr>
      <w:pStyle w:val="Header"/>
      <w:tabs>
        <w:tab w:val="clear" w:pos="4153"/>
        <w:tab w:val="clear" w:pos="8306"/>
        <w:tab w:val="center" w:pos="1134"/>
      </w:tabs>
      <w:spacing w:line="280" w:lineRule="exact"/>
      <w:ind w:firstLine="0"/>
      <w:rPr>
        <w:rFonts w:ascii="Times New Roman" w:hAnsi="Times New Roman"/>
        <w:i/>
        <w:sz w:val="22"/>
      </w:rPr>
    </w:pPr>
  </w:p>
  <w:p w14:paraId="254B11B9" w14:textId="77777777" w:rsidR="00891673" w:rsidRDefault="00891673" w:rsidP="00842E68">
    <w:pPr>
      <w:pStyle w:val="Header"/>
      <w:tabs>
        <w:tab w:val="clear" w:pos="4153"/>
        <w:tab w:val="clear" w:pos="8306"/>
        <w:tab w:val="center" w:pos="1134"/>
      </w:tabs>
      <w:spacing w:line="280" w:lineRule="exact"/>
      <w:ind w:firstLine="0"/>
      <w:rPr>
        <w:rFonts w:ascii="Times New Roman" w:hAnsi="Times New Roman"/>
        <w:i/>
        <w:sz w:val="22"/>
      </w:rPr>
    </w:pPr>
  </w:p>
  <w:p w14:paraId="4BF3A898" w14:textId="77777777" w:rsidR="00891673" w:rsidRDefault="00891673" w:rsidP="00842E68">
    <w:pPr>
      <w:pStyle w:val="Header"/>
      <w:tabs>
        <w:tab w:val="clear" w:pos="4153"/>
        <w:tab w:val="clear" w:pos="8306"/>
        <w:tab w:val="center" w:pos="1134"/>
      </w:tabs>
      <w:spacing w:line="280" w:lineRule="exact"/>
      <w:ind w:firstLine="0"/>
      <w:rPr>
        <w:rFonts w:ascii="Times New Roman" w:hAnsi="Times New Roman"/>
        <w:i/>
        <w:sz w:val="22"/>
      </w:rPr>
    </w:pPr>
  </w:p>
  <w:p w14:paraId="5D97A682" w14:textId="77777777" w:rsidR="00891673" w:rsidRDefault="00891673" w:rsidP="00842E68">
    <w:pPr>
      <w:pStyle w:val="Header"/>
      <w:tabs>
        <w:tab w:val="clear" w:pos="4153"/>
        <w:tab w:val="clear" w:pos="8306"/>
        <w:tab w:val="center" w:pos="1134"/>
      </w:tabs>
      <w:spacing w:line="280" w:lineRule="exact"/>
      <w:ind w:firstLine="0"/>
      <w:rPr>
        <w:rFonts w:ascii="Times New Roman" w:hAnsi="Times New Roman"/>
        <w:i/>
        <w:sz w:val="22"/>
      </w:rPr>
    </w:pPr>
  </w:p>
  <w:p w14:paraId="1DDBBA85" w14:textId="77777777" w:rsidR="00891673" w:rsidRDefault="00891673" w:rsidP="00842E68">
    <w:pPr>
      <w:pStyle w:val="Header"/>
      <w:tabs>
        <w:tab w:val="clear" w:pos="4153"/>
        <w:tab w:val="clear" w:pos="8306"/>
        <w:tab w:val="center" w:pos="1134"/>
      </w:tabs>
      <w:spacing w:line="280" w:lineRule="exact"/>
      <w:ind w:firstLine="0"/>
      <w:rPr>
        <w:rFonts w:ascii="Times New Roman" w:hAnsi="Times New Roman"/>
        <w:i/>
        <w:sz w:val="22"/>
      </w:rPr>
    </w:pPr>
  </w:p>
  <w:p w14:paraId="118F4C5F" w14:textId="77777777" w:rsidR="00891673" w:rsidRDefault="00891673" w:rsidP="00842E68">
    <w:pPr>
      <w:pStyle w:val="Header"/>
      <w:tabs>
        <w:tab w:val="clear" w:pos="4153"/>
        <w:tab w:val="clear" w:pos="8306"/>
        <w:tab w:val="center" w:pos="1134"/>
      </w:tabs>
      <w:spacing w:line="280" w:lineRule="exact"/>
      <w:ind w:firstLine="0"/>
      <w:rPr>
        <w:rFonts w:ascii="Times New Roman" w:hAnsi="Times New Roman"/>
        <w:i/>
        <w:sz w:val="22"/>
      </w:rPr>
    </w:pPr>
  </w:p>
  <w:p w14:paraId="41719A00" w14:textId="77777777" w:rsidR="00891673" w:rsidRPr="00842E68" w:rsidRDefault="00891673" w:rsidP="00842E68">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997D" w14:textId="77777777" w:rsidR="0069483E" w:rsidRPr="0069483E" w:rsidRDefault="0069483E" w:rsidP="00694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76"/>
    <w:rsid w:val="000005A5"/>
    <w:rsid w:val="00001223"/>
    <w:rsid w:val="000018A6"/>
    <w:rsid w:val="00002069"/>
    <w:rsid w:val="00002283"/>
    <w:rsid w:val="00002540"/>
    <w:rsid w:val="00002BA4"/>
    <w:rsid w:val="00002CE6"/>
    <w:rsid w:val="00002FD2"/>
    <w:rsid w:val="000030E2"/>
    <w:rsid w:val="0000316A"/>
    <w:rsid w:val="0000343B"/>
    <w:rsid w:val="00003E12"/>
    <w:rsid w:val="000048E7"/>
    <w:rsid w:val="000049B7"/>
    <w:rsid w:val="00004B07"/>
    <w:rsid w:val="00004BF9"/>
    <w:rsid w:val="00004DF6"/>
    <w:rsid w:val="000050E5"/>
    <w:rsid w:val="000051AA"/>
    <w:rsid w:val="0000685F"/>
    <w:rsid w:val="0000714B"/>
    <w:rsid w:val="00010114"/>
    <w:rsid w:val="0001033C"/>
    <w:rsid w:val="000110F1"/>
    <w:rsid w:val="0001155D"/>
    <w:rsid w:val="00011682"/>
    <w:rsid w:val="00011976"/>
    <w:rsid w:val="00011AFA"/>
    <w:rsid w:val="00011B3F"/>
    <w:rsid w:val="00013036"/>
    <w:rsid w:val="00013A4A"/>
    <w:rsid w:val="000140E6"/>
    <w:rsid w:val="000141CA"/>
    <w:rsid w:val="0001495E"/>
    <w:rsid w:val="00014A5C"/>
    <w:rsid w:val="00014B34"/>
    <w:rsid w:val="000151A4"/>
    <w:rsid w:val="00015362"/>
    <w:rsid w:val="0001548F"/>
    <w:rsid w:val="000158C2"/>
    <w:rsid w:val="00015C9F"/>
    <w:rsid w:val="000162DD"/>
    <w:rsid w:val="000168C9"/>
    <w:rsid w:val="00016C20"/>
    <w:rsid w:val="00016DBB"/>
    <w:rsid w:val="00017144"/>
    <w:rsid w:val="000179F7"/>
    <w:rsid w:val="00020270"/>
    <w:rsid w:val="00020345"/>
    <w:rsid w:val="000204FC"/>
    <w:rsid w:val="000226C7"/>
    <w:rsid w:val="00022856"/>
    <w:rsid w:val="00022A53"/>
    <w:rsid w:val="00022B2C"/>
    <w:rsid w:val="00023F07"/>
    <w:rsid w:val="00024118"/>
    <w:rsid w:val="000245AA"/>
    <w:rsid w:val="0002465F"/>
    <w:rsid w:val="00024AF4"/>
    <w:rsid w:val="00024ED5"/>
    <w:rsid w:val="000250AF"/>
    <w:rsid w:val="00025490"/>
    <w:rsid w:val="0002561E"/>
    <w:rsid w:val="00025894"/>
    <w:rsid w:val="00025957"/>
    <w:rsid w:val="00025BA5"/>
    <w:rsid w:val="00025F4E"/>
    <w:rsid w:val="0002632C"/>
    <w:rsid w:val="000268E1"/>
    <w:rsid w:val="00026DD2"/>
    <w:rsid w:val="000277FC"/>
    <w:rsid w:val="00027C4E"/>
    <w:rsid w:val="000305F6"/>
    <w:rsid w:val="00030A38"/>
    <w:rsid w:val="00030CAB"/>
    <w:rsid w:val="000311C7"/>
    <w:rsid w:val="0003136F"/>
    <w:rsid w:val="0003196B"/>
    <w:rsid w:val="00031BFF"/>
    <w:rsid w:val="00032301"/>
    <w:rsid w:val="000323BA"/>
    <w:rsid w:val="00032684"/>
    <w:rsid w:val="00032732"/>
    <w:rsid w:val="00032E60"/>
    <w:rsid w:val="000338EC"/>
    <w:rsid w:val="00033BEB"/>
    <w:rsid w:val="000345A1"/>
    <w:rsid w:val="00034B8A"/>
    <w:rsid w:val="0003575A"/>
    <w:rsid w:val="000357A5"/>
    <w:rsid w:val="000359B6"/>
    <w:rsid w:val="00035B3E"/>
    <w:rsid w:val="00035CE1"/>
    <w:rsid w:val="000360EB"/>
    <w:rsid w:val="00036651"/>
    <w:rsid w:val="00036A5D"/>
    <w:rsid w:val="00036C94"/>
    <w:rsid w:val="00036E38"/>
    <w:rsid w:val="0003717F"/>
    <w:rsid w:val="000379B7"/>
    <w:rsid w:val="00037A5F"/>
    <w:rsid w:val="00037D87"/>
    <w:rsid w:val="00037E13"/>
    <w:rsid w:val="0004062B"/>
    <w:rsid w:val="00040932"/>
    <w:rsid w:val="00040E29"/>
    <w:rsid w:val="0004277B"/>
    <w:rsid w:val="00042799"/>
    <w:rsid w:val="000429E0"/>
    <w:rsid w:val="00042EF3"/>
    <w:rsid w:val="00043080"/>
    <w:rsid w:val="0004346A"/>
    <w:rsid w:val="00043752"/>
    <w:rsid w:val="00043D2C"/>
    <w:rsid w:val="00044563"/>
    <w:rsid w:val="00044AF3"/>
    <w:rsid w:val="000450BC"/>
    <w:rsid w:val="000453D4"/>
    <w:rsid w:val="00045573"/>
    <w:rsid w:val="00045F50"/>
    <w:rsid w:val="00046287"/>
    <w:rsid w:val="00046614"/>
    <w:rsid w:val="0004672B"/>
    <w:rsid w:val="00046812"/>
    <w:rsid w:val="000468BA"/>
    <w:rsid w:val="000474A4"/>
    <w:rsid w:val="000474C3"/>
    <w:rsid w:val="0005090E"/>
    <w:rsid w:val="00050CDF"/>
    <w:rsid w:val="00051363"/>
    <w:rsid w:val="00051380"/>
    <w:rsid w:val="000522D8"/>
    <w:rsid w:val="00052F37"/>
    <w:rsid w:val="00053471"/>
    <w:rsid w:val="00053577"/>
    <w:rsid w:val="000537B4"/>
    <w:rsid w:val="000538F2"/>
    <w:rsid w:val="00053969"/>
    <w:rsid w:val="00053D27"/>
    <w:rsid w:val="00053FB9"/>
    <w:rsid w:val="0005524D"/>
    <w:rsid w:val="00055ACD"/>
    <w:rsid w:val="000565D1"/>
    <w:rsid w:val="00056F27"/>
    <w:rsid w:val="000573AF"/>
    <w:rsid w:val="00060EBF"/>
    <w:rsid w:val="00061657"/>
    <w:rsid w:val="0006169E"/>
    <w:rsid w:val="00061C21"/>
    <w:rsid w:val="00061EB4"/>
    <w:rsid w:val="000624E2"/>
    <w:rsid w:val="000626FD"/>
    <w:rsid w:val="00062800"/>
    <w:rsid w:val="00063009"/>
    <w:rsid w:val="000630C0"/>
    <w:rsid w:val="00063399"/>
    <w:rsid w:val="0006368F"/>
    <w:rsid w:val="0006432B"/>
    <w:rsid w:val="00064CB3"/>
    <w:rsid w:val="00065203"/>
    <w:rsid w:val="000653D4"/>
    <w:rsid w:val="000657BA"/>
    <w:rsid w:val="00065A1D"/>
    <w:rsid w:val="00066716"/>
    <w:rsid w:val="000678E2"/>
    <w:rsid w:val="0007038C"/>
    <w:rsid w:val="0007058C"/>
    <w:rsid w:val="000708B6"/>
    <w:rsid w:val="00070C2F"/>
    <w:rsid w:val="0007107C"/>
    <w:rsid w:val="00071533"/>
    <w:rsid w:val="00071C35"/>
    <w:rsid w:val="000726AF"/>
    <w:rsid w:val="00072FB1"/>
    <w:rsid w:val="00073463"/>
    <w:rsid w:val="00073C19"/>
    <w:rsid w:val="000740D5"/>
    <w:rsid w:val="00074149"/>
    <w:rsid w:val="00074E91"/>
    <w:rsid w:val="00075061"/>
    <w:rsid w:val="00075392"/>
    <w:rsid w:val="00075F50"/>
    <w:rsid w:val="00076096"/>
    <w:rsid w:val="00076233"/>
    <w:rsid w:val="00076D57"/>
    <w:rsid w:val="000773D8"/>
    <w:rsid w:val="00080BCD"/>
    <w:rsid w:val="00080D77"/>
    <w:rsid w:val="00082136"/>
    <w:rsid w:val="0008294B"/>
    <w:rsid w:val="00083E6E"/>
    <w:rsid w:val="000840D7"/>
    <w:rsid w:val="0008435D"/>
    <w:rsid w:val="00084AEF"/>
    <w:rsid w:val="00084E59"/>
    <w:rsid w:val="00084E78"/>
    <w:rsid w:val="000854F3"/>
    <w:rsid w:val="0008558C"/>
    <w:rsid w:val="00085D4C"/>
    <w:rsid w:val="00085E12"/>
    <w:rsid w:val="00085EA6"/>
    <w:rsid w:val="00085F13"/>
    <w:rsid w:val="000868F3"/>
    <w:rsid w:val="00090082"/>
    <w:rsid w:val="0009030A"/>
    <w:rsid w:val="00090637"/>
    <w:rsid w:val="000910D2"/>
    <w:rsid w:val="00091B06"/>
    <w:rsid w:val="000920A2"/>
    <w:rsid w:val="000923E0"/>
    <w:rsid w:val="0009261D"/>
    <w:rsid w:val="00092981"/>
    <w:rsid w:val="00094608"/>
    <w:rsid w:val="000952C6"/>
    <w:rsid w:val="00095A6D"/>
    <w:rsid w:val="00096FA0"/>
    <w:rsid w:val="000975ED"/>
    <w:rsid w:val="000A028D"/>
    <w:rsid w:val="000A0CB4"/>
    <w:rsid w:val="000A101A"/>
    <w:rsid w:val="000A10F1"/>
    <w:rsid w:val="000A241C"/>
    <w:rsid w:val="000A268A"/>
    <w:rsid w:val="000A28D4"/>
    <w:rsid w:val="000A2E63"/>
    <w:rsid w:val="000A2EB4"/>
    <w:rsid w:val="000A35CA"/>
    <w:rsid w:val="000A3D73"/>
    <w:rsid w:val="000A3DA3"/>
    <w:rsid w:val="000A4450"/>
    <w:rsid w:val="000A4598"/>
    <w:rsid w:val="000A50BF"/>
    <w:rsid w:val="000A562D"/>
    <w:rsid w:val="000A58A3"/>
    <w:rsid w:val="000A604F"/>
    <w:rsid w:val="000A63C6"/>
    <w:rsid w:val="000A64F7"/>
    <w:rsid w:val="000A68FB"/>
    <w:rsid w:val="000A6F91"/>
    <w:rsid w:val="000A71E8"/>
    <w:rsid w:val="000B0337"/>
    <w:rsid w:val="000B0DD6"/>
    <w:rsid w:val="000B0E23"/>
    <w:rsid w:val="000B0EDA"/>
    <w:rsid w:val="000B1231"/>
    <w:rsid w:val="000B1388"/>
    <w:rsid w:val="000B1867"/>
    <w:rsid w:val="000B2030"/>
    <w:rsid w:val="000B27F2"/>
    <w:rsid w:val="000B2E22"/>
    <w:rsid w:val="000B2FB9"/>
    <w:rsid w:val="000B4193"/>
    <w:rsid w:val="000B43D8"/>
    <w:rsid w:val="000B4630"/>
    <w:rsid w:val="000B497F"/>
    <w:rsid w:val="000B4DEA"/>
    <w:rsid w:val="000B5660"/>
    <w:rsid w:val="000B6AE2"/>
    <w:rsid w:val="000B710D"/>
    <w:rsid w:val="000B7120"/>
    <w:rsid w:val="000B7464"/>
    <w:rsid w:val="000B7558"/>
    <w:rsid w:val="000B774A"/>
    <w:rsid w:val="000B7BE4"/>
    <w:rsid w:val="000C034F"/>
    <w:rsid w:val="000C04DC"/>
    <w:rsid w:val="000C05FF"/>
    <w:rsid w:val="000C0660"/>
    <w:rsid w:val="000C08B7"/>
    <w:rsid w:val="000C0D98"/>
    <w:rsid w:val="000C11F6"/>
    <w:rsid w:val="000C12A4"/>
    <w:rsid w:val="000C15B4"/>
    <w:rsid w:val="000C1C55"/>
    <w:rsid w:val="000C1DB0"/>
    <w:rsid w:val="000C22A6"/>
    <w:rsid w:val="000C2602"/>
    <w:rsid w:val="000C44B5"/>
    <w:rsid w:val="000C4B9F"/>
    <w:rsid w:val="000C501F"/>
    <w:rsid w:val="000C557D"/>
    <w:rsid w:val="000C5E87"/>
    <w:rsid w:val="000C6BE6"/>
    <w:rsid w:val="000C6C4F"/>
    <w:rsid w:val="000D02A2"/>
    <w:rsid w:val="000D0800"/>
    <w:rsid w:val="000D0B20"/>
    <w:rsid w:val="000D1219"/>
    <w:rsid w:val="000D197B"/>
    <w:rsid w:val="000D25E6"/>
    <w:rsid w:val="000D292E"/>
    <w:rsid w:val="000D31B0"/>
    <w:rsid w:val="000D3866"/>
    <w:rsid w:val="000D39CA"/>
    <w:rsid w:val="000D3C77"/>
    <w:rsid w:val="000D45D8"/>
    <w:rsid w:val="000D496D"/>
    <w:rsid w:val="000D500E"/>
    <w:rsid w:val="000D53C8"/>
    <w:rsid w:val="000D5851"/>
    <w:rsid w:val="000D58BB"/>
    <w:rsid w:val="000D597A"/>
    <w:rsid w:val="000D5A8E"/>
    <w:rsid w:val="000D637F"/>
    <w:rsid w:val="000D6573"/>
    <w:rsid w:val="000D71A7"/>
    <w:rsid w:val="000D769A"/>
    <w:rsid w:val="000E00F2"/>
    <w:rsid w:val="000E0E63"/>
    <w:rsid w:val="000E179D"/>
    <w:rsid w:val="000E3187"/>
    <w:rsid w:val="000E3223"/>
    <w:rsid w:val="000E3526"/>
    <w:rsid w:val="000E482E"/>
    <w:rsid w:val="000E5B2D"/>
    <w:rsid w:val="000E637D"/>
    <w:rsid w:val="000E65F7"/>
    <w:rsid w:val="000E6903"/>
    <w:rsid w:val="000F0499"/>
    <w:rsid w:val="000F1345"/>
    <w:rsid w:val="000F1490"/>
    <w:rsid w:val="000F2307"/>
    <w:rsid w:val="000F2371"/>
    <w:rsid w:val="000F2437"/>
    <w:rsid w:val="000F2930"/>
    <w:rsid w:val="000F2F33"/>
    <w:rsid w:val="000F357F"/>
    <w:rsid w:val="000F3BB3"/>
    <w:rsid w:val="000F3FCE"/>
    <w:rsid w:val="000F45F9"/>
    <w:rsid w:val="000F472B"/>
    <w:rsid w:val="000F48F0"/>
    <w:rsid w:val="000F570B"/>
    <w:rsid w:val="000F5CF1"/>
    <w:rsid w:val="000F6AFE"/>
    <w:rsid w:val="000F6B1D"/>
    <w:rsid w:val="000F6E44"/>
    <w:rsid w:val="000F749B"/>
    <w:rsid w:val="000F7EAC"/>
    <w:rsid w:val="001001B9"/>
    <w:rsid w:val="00100266"/>
    <w:rsid w:val="001003FC"/>
    <w:rsid w:val="0010044F"/>
    <w:rsid w:val="00100522"/>
    <w:rsid w:val="0010074B"/>
    <w:rsid w:val="00101094"/>
    <w:rsid w:val="0010152D"/>
    <w:rsid w:val="0010159D"/>
    <w:rsid w:val="001021BB"/>
    <w:rsid w:val="00102254"/>
    <w:rsid w:val="00103424"/>
    <w:rsid w:val="00104CF3"/>
    <w:rsid w:val="00104F25"/>
    <w:rsid w:val="001057F3"/>
    <w:rsid w:val="00105B2A"/>
    <w:rsid w:val="00106093"/>
    <w:rsid w:val="00106330"/>
    <w:rsid w:val="001064DB"/>
    <w:rsid w:val="00106A3C"/>
    <w:rsid w:val="00106E57"/>
    <w:rsid w:val="0010702C"/>
    <w:rsid w:val="001072F2"/>
    <w:rsid w:val="00107408"/>
    <w:rsid w:val="00107697"/>
    <w:rsid w:val="0010796D"/>
    <w:rsid w:val="00107C1A"/>
    <w:rsid w:val="0011003E"/>
    <w:rsid w:val="001106FF"/>
    <w:rsid w:val="00110970"/>
    <w:rsid w:val="00110CBB"/>
    <w:rsid w:val="00110EEE"/>
    <w:rsid w:val="00111568"/>
    <w:rsid w:val="0011174F"/>
    <w:rsid w:val="00111CB6"/>
    <w:rsid w:val="00111F2B"/>
    <w:rsid w:val="00111FD3"/>
    <w:rsid w:val="001120C0"/>
    <w:rsid w:val="00113CB2"/>
    <w:rsid w:val="00114FD2"/>
    <w:rsid w:val="001150BF"/>
    <w:rsid w:val="001152B3"/>
    <w:rsid w:val="001158C7"/>
    <w:rsid w:val="00115EB0"/>
    <w:rsid w:val="00116119"/>
    <w:rsid w:val="00116466"/>
    <w:rsid w:val="001168F2"/>
    <w:rsid w:val="00116A68"/>
    <w:rsid w:val="00116E4E"/>
    <w:rsid w:val="00117090"/>
    <w:rsid w:val="00117DE7"/>
    <w:rsid w:val="00120207"/>
    <w:rsid w:val="00121162"/>
    <w:rsid w:val="001214D7"/>
    <w:rsid w:val="001219D2"/>
    <w:rsid w:val="00121D61"/>
    <w:rsid w:val="00121E1A"/>
    <w:rsid w:val="00122116"/>
    <w:rsid w:val="00123013"/>
    <w:rsid w:val="00123054"/>
    <w:rsid w:val="001231AF"/>
    <w:rsid w:val="00123426"/>
    <w:rsid w:val="001234B2"/>
    <w:rsid w:val="00123649"/>
    <w:rsid w:val="00123C1B"/>
    <w:rsid w:val="001245EA"/>
    <w:rsid w:val="001247AC"/>
    <w:rsid w:val="00124BBB"/>
    <w:rsid w:val="00124E0A"/>
    <w:rsid w:val="001252BE"/>
    <w:rsid w:val="00125E1E"/>
    <w:rsid w:val="00125E3C"/>
    <w:rsid w:val="00125F6B"/>
    <w:rsid w:val="00125F8D"/>
    <w:rsid w:val="0012683F"/>
    <w:rsid w:val="00126A24"/>
    <w:rsid w:val="00127620"/>
    <w:rsid w:val="00127C27"/>
    <w:rsid w:val="0013132D"/>
    <w:rsid w:val="00132DA2"/>
    <w:rsid w:val="0013351E"/>
    <w:rsid w:val="00133BD4"/>
    <w:rsid w:val="00133E7E"/>
    <w:rsid w:val="0013438E"/>
    <w:rsid w:val="00134560"/>
    <w:rsid w:val="0013456F"/>
    <w:rsid w:val="00134598"/>
    <w:rsid w:val="00134AED"/>
    <w:rsid w:val="00134C78"/>
    <w:rsid w:val="001350F0"/>
    <w:rsid w:val="00135A73"/>
    <w:rsid w:val="00136193"/>
    <w:rsid w:val="001361AD"/>
    <w:rsid w:val="00137AA2"/>
    <w:rsid w:val="001407A7"/>
    <w:rsid w:val="00140BBD"/>
    <w:rsid w:val="001410A9"/>
    <w:rsid w:val="00142038"/>
    <w:rsid w:val="00142072"/>
    <w:rsid w:val="0014243F"/>
    <w:rsid w:val="001439C4"/>
    <w:rsid w:val="00143B2D"/>
    <w:rsid w:val="00143FCB"/>
    <w:rsid w:val="00144CF6"/>
    <w:rsid w:val="00144FEF"/>
    <w:rsid w:val="0014531F"/>
    <w:rsid w:val="00145553"/>
    <w:rsid w:val="001455F0"/>
    <w:rsid w:val="00145627"/>
    <w:rsid w:val="001461EF"/>
    <w:rsid w:val="001463CF"/>
    <w:rsid w:val="00146A41"/>
    <w:rsid w:val="0014720D"/>
    <w:rsid w:val="00147BF0"/>
    <w:rsid w:val="00150116"/>
    <w:rsid w:val="00150228"/>
    <w:rsid w:val="0015031C"/>
    <w:rsid w:val="0015064E"/>
    <w:rsid w:val="001512DE"/>
    <w:rsid w:val="001515A4"/>
    <w:rsid w:val="00151679"/>
    <w:rsid w:val="00152096"/>
    <w:rsid w:val="0015229A"/>
    <w:rsid w:val="0015318E"/>
    <w:rsid w:val="00153721"/>
    <w:rsid w:val="00154028"/>
    <w:rsid w:val="00154454"/>
    <w:rsid w:val="001544C3"/>
    <w:rsid w:val="0015566C"/>
    <w:rsid w:val="00155D74"/>
    <w:rsid w:val="00157E32"/>
    <w:rsid w:val="00160565"/>
    <w:rsid w:val="00160922"/>
    <w:rsid w:val="001617EA"/>
    <w:rsid w:val="001619B4"/>
    <w:rsid w:val="00161EBA"/>
    <w:rsid w:val="001625E3"/>
    <w:rsid w:val="00162AFB"/>
    <w:rsid w:val="001639F5"/>
    <w:rsid w:val="00163B87"/>
    <w:rsid w:val="00163D92"/>
    <w:rsid w:val="00164144"/>
    <w:rsid w:val="00164878"/>
    <w:rsid w:val="00165803"/>
    <w:rsid w:val="00165906"/>
    <w:rsid w:val="00165980"/>
    <w:rsid w:val="00165BBA"/>
    <w:rsid w:val="00166587"/>
    <w:rsid w:val="0016684D"/>
    <w:rsid w:val="00166875"/>
    <w:rsid w:val="00167467"/>
    <w:rsid w:val="00167631"/>
    <w:rsid w:val="001678F9"/>
    <w:rsid w:val="00167E1F"/>
    <w:rsid w:val="00167E67"/>
    <w:rsid w:val="0017045E"/>
    <w:rsid w:val="001708DE"/>
    <w:rsid w:val="00171396"/>
    <w:rsid w:val="0017187E"/>
    <w:rsid w:val="00171D42"/>
    <w:rsid w:val="0017281A"/>
    <w:rsid w:val="0017283E"/>
    <w:rsid w:val="00172ADE"/>
    <w:rsid w:val="00172E81"/>
    <w:rsid w:val="00173B0A"/>
    <w:rsid w:val="00173E43"/>
    <w:rsid w:val="001745F1"/>
    <w:rsid w:val="00174CEE"/>
    <w:rsid w:val="001751DF"/>
    <w:rsid w:val="00175703"/>
    <w:rsid w:val="001758DE"/>
    <w:rsid w:val="00175E0A"/>
    <w:rsid w:val="00176D25"/>
    <w:rsid w:val="00176F12"/>
    <w:rsid w:val="0018007D"/>
    <w:rsid w:val="001800DF"/>
    <w:rsid w:val="00180530"/>
    <w:rsid w:val="00180939"/>
    <w:rsid w:val="00180A82"/>
    <w:rsid w:val="00181AFE"/>
    <w:rsid w:val="00181B94"/>
    <w:rsid w:val="001820BC"/>
    <w:rsid w:val="001827D2"/>
    <w:rsid w:val="0018342E"/>
    <w:rsid w:val="001840C2"/>
    <w:rsid w:val="001848F8"/>
    <w:rsid w:val="00184A3F"/>
    <w:rsid w:val="00184B46"/>
    <w:rsid w:val="00184D2E"/>
    <w:rsid w:val="00185939"/>
    <w:rsid w:val="00185FA8"/>
    <w:rsid w:val="001861D7"/>
    <w:rsid w:val="001869B8"/>
    <w:rsid w:val="001869D3"/>
    <w:rsid w:val="00186B93"/>
    <w:rsid w:val="001872FF"/>
    <w:rsid w:val="001876F6"/>
    <w:rsid w:val="00190B40"/>
    <w:rsid w:val="00190D7E"/>
    <w:rsid w:val="0019174A"/>
    <w:rsid w:val="00191B9D"/>
    <w:rsid w:val="00191E23"/>
    <w:rsid w:val="00191E9F"/>
    <w:rsid w:val="001938AD"/>
    <w:rsid w:val="00193CE3"/>
    <w:rsid w:val="0019414D"/>
    <w:rsid w:val="0019417F"/>
    <w:rsid w:val="001947CB"/>
    <w:rsid w:val="00194D39"/>
    <w:rsid w:val="00194FF5"/>
    <w:rsid w:val="001953A2"/>
    <w:rsid w:val="001953B1"/>
    <w:rsid w:val="00195FEC"/>
    <w:rsid w:val="001960A0"/>
    <w:rsid w:val="001962FC"/>
    <w:rsid w:val="001963C0"/>
    <w:rsid w:val="00196417"/>
    <w:rsid w:val="00196580"/>
    <w:rsid w:val="0019668C"/>
    <w:rsid w:val="00196C07"/>
    <w:rsid w:val="00197956"/>
    <w:rsid w:val="001A042B"/>
    <w:rsid w:val="001A0840"/>
    <w:rsid w:val="001A0B0D"/>
    <w:rsid w:val="001A189B"/>
    <w:rsid w:val="001A2AE6"/>
    <w:rsid w:val="001A3B0E"/>
    <w:rsid w:val="001A409D"/>
    <w:rsid w:val="001A446E"/>
    <w:rsid w:val="001A485D"/>
    <w:rsid w:val="001A4912"/>
    <w:rsid w:val="001A4AEF"/>
    <w:rsid w:val="001A4C7C"/>
    <w:rsid w:val="001A50F8"/>
    <w:rsid w:val="001A54D2"/>
    <w:rsid w:val="001A5889"/>
    <w:rsid w:val="001A5B5C"/>
    <w:rsid w:val="001A64B5"/>
    <w:rsid w:val="001A674A"/>
    <w:rsid w:val="001A781B"/>
    <w:rsid w:val="001A7C30"/>
    <w:rsid w:val="001B00AA"/>
    <w:rsid w:val="001B0A7D"/>
    <w:rsid w:val="001B0A81"/>
    <w:rsid w:val="001B0B5E"/>
    <w:rsid w:val="001B163A"/>
    <w:rsid w:val="001B1676"/>
    <w:rsid w:val="001B17A8"/>
    <w:rsid w:val="001B18F8"/>
    <w:rsid w:val="001B1B3C"/>
    <w:rsid w:val="001B224E"/>
    <w:rsid w:val="001B28EA"/>
    <w:rsid w:val="001B2916"/>
    <w:rsid w:val="001B2EC4"/>
    <w:rsid w:val="001B30F6"/>
    <w:rsid w:val="001B34AE"/>
    <w:rsid w:val="001B3D41"/>
    <w:rsid w:val="001B4E37"/>
    <w:rsid w:val="001B55C8"/>
    <w:rsid w:val="001B624E"/>
    <w:rsid w:val="001B63C6"/>
    <w:rsid w:val="001B63D9"/>
    <w:rsid w:val="001B6956"/>
    <w:rsid w:val="001B7340"/>
    <w:rsid w:val="001B7799"/>
    <w:rsid w:val="001B7848"/>
    <w:rsid w:val="001C0096"/>
    <w:rsid w:val="001C058C"/>
    <w:rsid w:val="001C0CA6"/>
    <w:rsid w:val="001C0DC9"/>
    <w:rsid w:val="001C0E9C"/>
    <w:rsid w:val="001C0ECF"/>
    <w:rsid w:val="001C1576"/>
    <w:rsid w:val="001C161D"/>
    <w:rsid w:val="001C1C9C"/>
    <w:rsid w:val="001C2271"/>
    <w:rsid w:val="001C265C"/>
    <w:rsid w:val="001C303D"/>
    <w:rsid w:val="001C3058"/>
    <w:rsid w:val="001C39E8"/>
    <w:rsid w:val="001C40DA"/>
    <w:rsid w:val="001C4484"/>
    <w:rsid w:val="001C48D4"/>
    <w:rsid w:val="001C4E43"/>
    <w:rsid w:val="001C5010"/>
    <w:rsid w:val="001C60F2"/>
    <w:rsid w:val="001C61AA"/>
    <w:rsid w:val="001C670F"/>
    <w:rsid w:val="001C7064"/>
    <w:rsid w:val="001C738C"/>
    <w:rsid w:val="001C76BA"/>
    <w:rsid w:val="001C797F"/>
    <w:rsid w:val="001C7C93"/>
    <w:rsid w:val="001C7E3D"/>
    <w:rsid w:val="001D007B"/>
    <w:rsid w:val="001D01A3"/>
    <w:rsid w:val="001D0593"/>
    <w:rsid w:val="001D0BD4"/>
    <w:rsid w:val="001D1AAB"/>
    <w:rsid w:val="001D222E"/>
    <w:rsid w:val="001D3221"/>
    <w:rsid w:val="001D36CD"/>
    <w:rsid w:val="001D3D0B"/>
    <w:rsid w:val="001D472D"/>
    <w:rsid w:val="001D4CD9"/>
    <w:rsid w:val="001D4F49"/>
    <w:rsid w:val="001D4F74"/>
    <w:rsid w:val="001D5511"/>
    <w:rsid w:val="001D6633"/>
    <w:rsid w:val="001D7982"/>
    <w:rsid w:val="001D7B69"/>
    <w:rsid w:val="001E0A09"/>
    <w:rsid w:val="001E1244"/>
    <w:rsid w:val="001E1D3D"/>
    <w:rsid w:val="001E278D"/>
    <w:rsid w:val="001E2E63"/>
    <w:rsid w:val="001E2F6C"/>
    <w:rsid w:val="001E47D1"/>
    <w:rsid w:val="001E4AEC"/>
    <w:rsid w:val="001E4C11"/>
    <w:rsid w:val="001E4D32"/>
    <w:rsid w:val="001E5069"/>
    <w:rsid w:val="001E589D"/>
    <w:rsid w:val="001E6A64"/>
    <w:rsid w:val="001E6DD4"/>
    <w:rsid w:val="001E7171"/>
    <w:rsid w:val="001E750E"/>
    <w:rsid w:val="001E75C5"/>
    <w:rsid w:val="001E7A6E"/>
    <w:rsid w:val="001F08F8"/>
    <w:rsid w:val="001F0B03"/>
    <w:rsid w:val="001F1280"/>
    <w:rsid w:val="001F1514"/>
    <w:rsid w:val="001F1B5F"/>
    <w:rsid w:val="001F1DF7"/>
    <w:rsid w:val="001F20A3"/>
    <w:rsid w:val="001F2FE1"/>
    <w:rsid w:val="001F3F2A"/>
    <w:rsid w:val="001F43C1"/>
    <w:rsid w:val="001F43E5"/>
    <w:rsid w:val="001F4AC2"/>
    <w:rsid w:val="001F4DC8"/>
    <w:rsid w:val="001F4F47"/>
    <w:rsid w:val="001F53A3"/>
    <w:rsid w:val="001F53B4"/>
    <w:rsid w:val="001F5611"/>
    <w:rsid w:val="001F69C2"/>
    <w:rsid w:val="001F6AEE"/>
    <w:rsid w:val="001F6DFB"/>
    <w:rsid w:val="001F7DE1"/>
    <w:rsid w:val="0020013F"/>
    <w:rsid w:val="00201D9C"/>
    <w:rsid w:val="00202E61"/>
    <w:rsid w:val="00202F30"/>
    <w:rsid w:val="002048D1"/>
    <w:rsid w:val="0020492C"/>
    <w:rsid w:val="00204DBE"/>
    <w:rsid w:val="0020748B"/>
    <w:rsid w:val="002079CB"/>
    <w:rsid w:val="00207C1B"/>
    <w:rsid w:val="00210063"/>
    <w:rsid w:val="002102C4"/>
    <w:rsid w:val="002104CB"/>
    <w:rsid w:val="0021096E"/>
    <w:rsid w:val="00210A0B"/>
    <w:rsid w:val="00210DE8"/>
    <w:rsid w:val="00210E3A"/>
    <w:rsid w:val="00210E48"/>
    <w:rsid w:val="002110FE"/>
    <w:rsid w:val="00211474"/>
    <w:rsid w:val="00211A6C"/>
    <w:rsid w:val="00211D73"/>
    <w:rsid w:val="00212A3E"/>
    <w:rsid w:val="00212E28"/>
    <w:rsid w:val="00213054"/>
    <w:rsid w:val="00213108"/>
    <w:rsid w:val="002131D9"/>
    <w:rsid w:val="002137C9"/>
    <w:rsid w:val="0021436F"/>
    <w:rsid w:val="00214A45"/>
    <w:rsid w:val="00214BF2"/>
    <w:rsid w:val="00215A7F"/>
    <w:rsid w:val="00215C67"/>
    <w:rsid w:val="002161A5"/>
    <w:rsid w:val="00216522"/>
    <w:rsid w:val="00216824"/>
    <w:rsid w:val="00216DCC"/>
    <w:rsid w:val="00217822"/>
    <w:rsid w:val="002178CA"/>
    <w:rsid w:val="0022109C"/>
    <w:rsid w:val="00221A6A"/>
    <w:rsid w:val="00221D19"/>
    <w:rsid w:val="0022205D"/>
    <w:rsid w:val="00222161"/>
    <w:rsid w:val="002229C7"/>
    <w:rsid w:val="00222B0B"/>
    <w:rsid w:val="00223AE7"/>
    <w:rsid w:val="002251A1"/>
    <w:rsid w:val="0022539F"/>
    <w:rsid w:val="0022546D"/>
    <w:rsid w:val="0022589C"/>
    <w:rsid w:val="00225975"/>
    <w:rsid w:val="0022666B"/>
    <w:rsid w:val="00226C20"/>
    <w:rsid w:val="00226C97"/>
    <w:rsid w:val="0022734D"/>
    <w:rsid w:val="00227CD4"/>
    <w:rsid w:val="00227F95"/>
    <w:rsid w:val="002304D3"/>
    <w:rsid w:val="00231DCA"/>
    <w:rsid w:val="00232381"/>
    <w:rsid w:val="002340EC"/>
    <w:rsid w:val="0023445E"/>
    <w:rsid w:val="0023447F"/>
    <w:rsid w:val="00234D1B"/>
    <w:rsid w:val="00235034"/>
    <w:rsid w:val="002350B3"/>
    <w:rsid w:val="002354FA"/>
    <w:rsid w:val="00235948"/>
    <w:rsid w:val="0023614C"/>
    <w:rsid w:val="00236AF8"/>
    <w:rsid w:val="0023798E"/>
    <w:rsid w:val="00237D4D"/>
    <w:rsid w:val="00240306"/>
    <w:rsid w:val="00240667"/>
    <w:rsid w:val="00240AEC"/>
    <w:rsid w:val="00240C21"/>
    <w:rsid w:val="0024123B"/>
    <w:rsid w:val="002427B7"/>
    <w:rsid w:val="00242C3A"/>
    <w:rsid w:val="00242EE4"/>
    <w:rsid w:val="0024364E"/>
    <w:rsid w:val="002444BD"/>
    <w:rsid w:val="0024462E"/>
    <w:rsid w:val="00244CF5"/>
    <w:rsid w:val="00245228"/>
    <w:rsid w:val="002455A1"/>
    <w:rsid w:val="00246AD9"/>
    <w:rsid w:val="00246E9C"/>
    <w:rsid w:val="00246EED"/>
    <w:rsid w:val="002474FA"/>
    <w:rsid w:val="00247CF3"/>
    <w:rsid w:val="00250353"/>
    <w:rsid w:val="0025119E"/>
    <w:rsid w:val="0025163D"/>
    <w:rsid w:val="00253493"/>
    <w:rsid w:val="00253BDE"/>
    <w:rsid w:val="00253DE9"/>
    <w:rsid w:val="00254625"/>
    <w:rsid w:val="002547A9"/>
    <w:rsid w:val="00254EAD"/>
    <w:rsid w:val="00257197"/>
    <w:rsid w:val="0025724B"/>
    <w:rsid w:val="00257627"/>
    <w:rsid w:val="00257AFB"/>
    <w:rsid w:val="00261264"/>
    <w:rsid w:val="00261F50"/>
    <w:rsid w:val="0026248C"/>
    <w:rsid w:val="00262899"/>
    <w:rsid w:val="0026293D"/>
    <w:rsid w:val="002631ED"/>
    <w:rsid w:val="00263C31"/>
    <w:rsid w:val="00263D0B"/>
    <w:rsid w:val="00264417"/>
    <w:rsid w:val="00264925"/>
    <w:rsid w:val="00264968"/>
    <w:rsid w:val="0026548C"/>
    <w:rsid w:val="00265982"/>
    <w:rsid w:val="00265D26"/>
    <w:rsid w:val="0026642F"/>
    <w:rsid w:val="002666CB"/>
    <w:rsid w:val="00266D45"/>
    <w:rsid w:val="00266E25"/>
    <w:rsid w:val="00266EE1"/>
    <w:rsid w:val="00270154"/>
    <w:rsid w:val="002706FE"/>
    <w:rsid w:val="00270A11"/>
    <w:rsid w:val="00271137"/>
    <w:rsid w:val="00271522"/>
    <w:rsid w:val="00271DC2"/>
    <w:rsid w:val="00271F70"/>
    <w:rsid w:val="00272038"/>
    <w:rsid w:val="00273966"/>
    <w:rsid w:val="00273CDA"/>
    <w:rsid w:val="00273F4D"/>
    <w:rsid w:val="0027408B"/>
    <w:rsid w:val="00274373"/>
    <w:rsid w:val="00275190"/>
    <w:rsid w:val="00275B97"/>
    <w:rsid w:val="00276B56"/>
    <w:rsid w:val="00276C40"/>
    <w:rsid w:val="00276D77"/>
    <w:rsid w:val="00277080"/>
    <w:rsid w:val="0027739A"/>
    <w:rsid w:val="00280D97"/>
    <w:rsid w:val="00280F46"/>
    <w:rsid w:val="0028153D"/>
    <w:rsid w:val="002815A5"/>
    <w:rsid w:val="002819FD"/>
    <w:rsid w:val="002823A2"/>
    <w:rsid w:val="0028294E"/>
    <w:rsid w:val="00282970"/>
    <w:rsid w:val="002829A4"/>
    <w:rsid w:val="00282C03"/>
    <w:rsid w:val="00282CA1"/>
    <w:rsid w:val="00282EA7"/>
    <w:rsid w:val="00283460"/>
    <w:rsid w:val="00283F2C"/>
    <w:rsid w:val="00284CDC"/>
    <w:rsid w:val="0028583A"/>
    <w:rsid w:val="00285E99"/>
    <w:rsid w:val="0028642B"/>
    <w:rsid w:val="00286450"/>
    <w:rsid w:val="00286745"/>
    <w:rsid w:val="00287368"/>
    <w:rsid w:val="00287873"/>
    <w:rsid w:val="00287BF4"/>
    <w:rsid w:val="00287D5B"/>
    <w:rsid w:val="00290246"/>
    <w:rsid w:val="00290640"/>
    <w:rsid w:val="002906BD"/>
    <w:rsid w:val="002916CC"/>
    <w:rsid w:val="002916E0"/>
    <w:rsid w:val="002916FB"/>
    <w:rsid w:val="00292750"/>
    <w:rsid w:val="0029278C"/>
    <w:rsid w:val="0029289E"/>
    <w:rsid w:val="00292A0E"/>
    <w:rsid w:val="00292E65"/>
    <w:rsid w:val="0029387A"/>
    <w:rsid w:val="002941BD"/>
    <w:rsid w:val="002942DE"/>
    <w:rsid w:val="00294D68"/>
    <w:rsid w:val="00294E76"/>
    <w:rsid w:val="00295483"/>
    <w:rsid w:val="00295594"/>
    <w:rsid w:val="00295F31"/>
    <w:rsid w:val="0029697C"/>
    <w:rsid w:val="002969B3"/>
    <w:rsid w:val="00296D93"/>
    <w:rsid w:val="00296E54"/>
    <w:rsid w:val="002979F1"/>
    <w:rsid w:val="00297BF9"/>
    <w:rsid w:val="00297D3E"/>
    <w:rsid w:val="002A04FB"/>
    <w:rsid w:val="002A13E1"/>
    <w:rsid w:val="002A3248"/>
    <w:rsid w:val="002A330A"/>
    <w:rsid w:val="002A38CE"/>
    <w:rsid w:val="002A46D8"/>
    <w:rsid w:val="002A4AC2"/>
    <w:rsid w:val="002A4F37"/>
    <w:rsid w:val="002A6524"/>
    <w:rsid w:val="002A6F46"/>
    <w:rsid w:val="002A6FBD"/>
    <w:rsid w:val="002A7195"/>
    <w:rsid w:val="002A728B"/>
    <w:rsid w:val="002A72CD"/>
    <w:rsid w:val="002B0243"/>
    <w:rsid w:val="002B0846"/>
    <w:rsid w:val="002B0ECB"/>
    <w:rsid w:val="002B1304"/>
    <w:rsid w:val="002B26C0"/>
    <w:rsid w:val="002B2A04"/>
    <w:rsid w:val="002B2E4A"/>
    <w:rsid w:val="002B2EBA"/>
    <w:rsid w:val="002B377B"/>
    <w:rsid w:val="002B3D39"/>
    <w:rsid w:val="002B3E38"/>
    <w:rsid w:val="002B3F89"/>
    <w:rsid w:val="002B4235"/>
    <w:rsid w:val="002B42D1"/>
    <w:rsid w:val="002B523B"/>
    <w:rsid w:val="002B5499"/>
    <w:rsid w:val="002B5BC0"/>
    <w:rsid w:val="002B6188"/>
    <w:rsid w:val="002C0326"/>
    <w:rsid w:val="002C0A8D"/>
    <w:rsid w:val="002C17F7"/>
    <w:rsid w:val="002C1D56"/>
    <w:rsid w:val="002C1EDE"/>
    <w:rsid w:val="002C27FC"/>
    <w:rsid w:val="002C2E18"/>
    <w:rsid w:val="002C337B"/>
    <w:rsid w:val="002C3774"/>
    <w:rsid w:val="002C38E6"/>
    <w:rsid w:val="002C3E46"/>
    <w:rsid w:val="002C450A"/>
    <w:rsid w:val="002C4524"/>
    <w:rsid w:val="002C4F2F"/>
    <w:rsid w:val="002C5981"/>
    <w:rsid w:val="002C60BF"/>
    <w:rsid w:val="002C7307"/>
    <w:rsid w:val="002C73DD"/>
    <w:rsid w:val="002D0107"/>
    <w:rsid w:val="002D0410"/>
    <w:rsid w:val="002D050E"/>
    <w:rsid w:val="002D0615"/>
    <w:rsid w:val="002D0676"/>
    <w:rsid w:val="002D0899"/>
    <w:rsid w:val="002D1439"/>
    <w:rsid w:val="002D1707"/>
    <w:rsid w:val="002D17E2"/>
    <w:rsid w:val="002D23AD"/>
    <w:rsid w:val="002D25E2"/>
    <w:rsid w:val="002D2719"/>
    <w:rsid w:val="002D2976"/>
    <w:rsid w:val="002D30E9"/>
    <w:rsid w:val="002D3F5B"/>
    <w:rsid w:val="002D4D88"/>
    <w:rsid w:val="002D4F43"/>
    <w:rsid w:val="002D54BC"/>
    <w:rsid w:val="002D54E0"/>
    <w:rsid w:val="002D641A"/>
    <w:rsid w:val="002D69FB"/>
    <w:rsid w:val="002D7D60"/>
    <w:rsid w:val="002D7DB0"/>
    <w:rsid w:val="002E01DB"/>
    <w:rsid w:val="002E074D"/>
    <w:rsid w:val="002E0EC8"/>
    <w:rsid w:val="002E1958"/>
    <w:rsid w:val="002E278F"/>
    <w:rsid w:val="002E3359"/>
    <w:rsid w:val="002E3B4D"/>
    <w:rsid w:val="002E4D2A"/>
    <w:rsid w:val="002E5454"/>
    <w:rsid w:val="002E5866"/>
    <w:rsid w:val="002E5EBE"/>
    <w:rsid w:val="002E67D0"/>
    <w:rsid w:val="002E6CF9"/>
    <w:rsid w:val="002E7033"/>
    <w:rsid w:val="002E74DB"/>
    <w:rsid w:val="002E74EB"/>
    <w:rsid w:val="002F04DF"/>
    <w:rsid w:val="002F0522"/>
    <w:rsid w:val="002F0734"/>
    <w:rsid w:val="002F0749"/>
    <w:rsid w:val="002F0CF0"/>
    <w:rsid w:val="002F0EC1"/>
    <w:rsid w:val="002F1D87"/>
    <w:rsid w:val="002F25A8"/>
    <w:rsid w:val="002F2BE9"/>
    <w:rsid w:val="002F3184"/>
    <w:rsid w:val="002F325B"/>
    <w:rsid w:val="002F4703"/>
    <w:rsid w:val="002F4F65"/>
    <w:rsid w:val="002F57CA"/>
    <w:rsid w:val="002F7204"/>
    <w:rsid w:val="002F7818"/>
    <w:rsid w:val="0030026A"/>
    <w:rsid w:val="003003B3"/>
    <w:rsid w:val="00301055"/>
    <w:rsid w:val="00301975"/>
    <w:rsid w:val="003022A1"/>
    <w:rsid w:val="003022D0"/>
    <w:rsid w:val="00302EA4"/>
    <w:rsid w:val="00303582"/>
    <w:rsid w:val="00303B96"/>
    <w:rsid w:val="00303E84"/>
    <w:rsid w:val="003044D7"/>
    <w:rsid w:val="00304738"/>
    <w:rsid w:val="0030542C"/>
    <w:rsid w:val="00305A10"/>
    <w:rsid w:val="0030640A"/>
    <w:rsid w:val="003068F7"/>
    <w:rsid w:val="00310418"/>
    <w:rsid w:val="00310663"/>
    <w:rsid w:val="00310814"/>
    <w:rsid w:val="00310C2B"/>
    <w:rsid w:val="0031117C"/>
    <w:rsid w:val="0031161A"/>
    <w:rsid w:val="00311EF3"/>
    <w:rsid w:val="00311F7B"/>
    <w:rsid w:val="0031222C"/>
    <w:rsid w:val="00312C70"/>
    <w:rsid w:val="00312EF4"/>
    <w:rsid w:val="00312FFC"/>
    <w:rsid w:val="0031359B"/>
    <w:rsid w:val="00313678"/>
    <w:rsid w:val="00314580"/>
    <w:rsid w:val="003150BF"/>
    <w:rsid w:val="003150CE"/>
    <w:rsid w:val="00315298"/>
    <w:rsid w:val="00315852"/>
    <w:rsid w:val="00315AAC"/>
    <w:rsid w:val="00315E92"/>
    <w:rsid w:val="00315FC9"/>
    <w:rsid w:val="00317254"/>
    <w:rsid w:val="00317B5F"/>
    <w:rsid w:val="00320B41"/>
    <w:rsid w:val="003212AA"/>
    <w:rsid w:val="003214CE"/>
    <w:rsid w:val="003219E8"/>
    <w:rsid w:val="00321A5A"/>
    <w:rsid w:val="0032224B"/>
    <w:rsid w:val="00322866"/>
    <w:rsid w:val="00322C99"/>
    <w:rsid w:val="00322E60"/>
    <w:rsid w:val="003230B6"/>
    <w:rsid w:val="00323113"/>
    <w:rsid w:val="0032356A"/>
    <w:rsid w:val="0032369D"/>
    <w:rsid w:val="00323B9E"/>
    <w:rsid w:val="003254DC"/>
    <w:rsid w:val="003257D0"/>
    <w:rsid w:val="00325A26"/>
    <w:rsid w:val="0032667A"/>
    <w:rsid w:val="0032723D"/>
    <w:rsid w:val="003276E2"/>
    <w:rsid w:val="003277BA"/>
    <w:rsid w:val="00330172"/>
    <w:rsid w:val="003307ED"/>
    <w:rsid w:val="00330804"/>
    <w:rsid w:val="003309EE"/>
    <w:rsid w:val="003314C6"/>
    <w:rsid w:val="0033194C"/>
    <w:rsid w:val="00332D9E"/>
    <w:rsid w:val="00332ED8"/>
    <w:rsid w:val="00333196"/>
    <w:rsid w:val="003334E1"/>
    <w:rsid w:val="00334065"/>
    <w:rsid w:val="0033423B"/>
    <w:rsid w:val="00334A6B"/>
    <w:rsid w:val="00334BF1"/>
    <w:rsid w:val="00334DD3"/>
    <w:rsid w:val="00334FDB"/>
    <w:rsid w:val="0033507C"/>
    <w:rsid w:val="00336271"/>
    <w:rsid w:val="00336500"/>
    <w:rsid w:val="003365A7"/>
    <w:rsid w:val="003366B2"/>
    <w:rsid w:val="00336B76"/>
    <w:rsid w:val="003372E5"/>
    <w:rsid w:val="00337781"/>
    <w:rsid w:val="00337823"/>
    <w:rsid w:val="00337FE3"/>
    <w:rsid w:val="00340066"/>
    <w:rsid w:val="00340198"/>
    <w:rsid w:val="00340322"/>
    <w:rsid w:val="00340CB7"/>
    <w:rsid w:val="00340F6F"/>
    <w:rsid w:val="00341002"/>
    <w:rsid w:val="0034122D"/>
    <w:rsid w:val="003413C6"/>
    <w:rsid w:val="00341F1C"/>
    <w:rsid w:val="00342163"/>
    <w:rsid w:val="003424E9"/>
    <w:rsid w:val="0034288B"/>
    <w:rsid w:val="00342FA4"/>
    <w:rsid w:val="0034332B"/>
    <w:rsid w:val="00344212"/>
    <w:rsid w:val="00344856"/>
    <w:rsid w:val="0034681C"/>
    <w:rsid w:val="00347275"/>
    <w:rsid w:val="003474C4"/>
    <w:rsid w:val="00347AEB"/>
    <w:rsid w:val="00347CAA"/>
    <w:rsid w:val="00350620"/>
    <w:rsid w:val="00351F7F"/>
    <w:rsid w:val="0035233B"/>
    <w:rsid w:val="00353BB1"/>
    <w:rsid w:val="0035427C"/>
    <w:rsid w:val="0035455D"/>
    <w:rsid w:val="00354643"/>
    <w:rsid w:val="00354FA2"/>
    <w:rsid w:val="00355647"/>
    <w:rsid w:val="00355665"/>
    <w:rsid w:val="00355B80"/>
    <w:rsid w:val="00355CD4"/>
    <w:rsid w:val="003560E6"/>
    <w:rsid w:val="00356A5E"/>
    <w:rsid w:val="00357655"/>
    <w:rsid w:val="00357C69"/>
    <w:rsid w:val="003600A8"/>
    <w:rsid w:val="0036099B"/>
    <w:rsid w:val="003609ED"/>
    <w:rsid w:val="003614BB"/>
    <w:rsid w:val="00361A1C"/>
    <w:rsid w:val="0036284D"/>
    <w:rsid w:val="00362AFE"/>
    <w:rsid w:val="003633E9"/>
    <w:rsid w:val="003637EB"/>
    <w:rsid w:val="0036400D"/>
    <w:rsid w:val="00364309"/>
    <w:rsid w:val="00364BEF"/>
    <w:rsid w:val="00364EE8"/>
    <w:rsid w:val="0036518D"/>
    <w:rsid w:val="003663D1"/>
    <w:rsid w:val="003664D5"/>
    <w:rsid w:val="00366524"/>
    <w:rsid w:val="00366610"/>
    <w:rsid w:val="00366AC7"/>
    <w:rsid w:val="00366D23"/>
    <w:rsid w:val="003672AD"/>
    <w:rsid w:val="003679FB"/>
    <w:rsid w:val="003704C0"/>
    <w:rsid w:val="00370B59"/>
    <w:rsid w:val="0037122D"/>
    <w:rsid w:val="0037248C"/>
    <w:rsid w:val="00372AB6"/>
    <w:rsid w:val="00372AC3"/>
    <w:rsid w:val="003733FD"/>
    <w:rsid w:val="003735E6"/>
    <w:rsid w:val="00373C31"/>
    <w:rsid w:val="00373E58"/>
    <w:rsid w:val="0037486E"/>
    <w:rsid w:val="0037552E"/>
    <w:rsid w:val="00375C7C"/>
    <w:rsid w:val="00376073"/>
    <w:rsid w:val="003773F0"/>
    <w:rsid w:val="00377452"/>
    <w:rsid w:val="00377B8F"/>
    <w:rsid w:val="00380661"/>
    <w:rsid w:val="003807C1"/>
    <w:rsid w:val="00380BB3"/>
    <w:rsid w:val="00380C79"/>
    <w:rsid w:val="00381223"/>
    <w:rsid w:val="00381718"/>
    <w:rsid w:val="00381849"/>
    <w:rsid w:val="00381A97"/>
    <w:rsid w:val="003823A0"/>
    <w:rsid w:val="003828C4"/>
    <w:rsid w:val="003829C6"/>
    <w:rsid w:val="0038317D"/>
    <w:rsid w:val="00383C22"/>
    <w:rsid w:val="00383E52"/>
    <w:rsid w:val="00384F1C"/>
    <w:rsid w:val="00384F36"/>
    <w:rsid w:val="00385271"/>
    <w:rsid w:val="003856C2"/>
    <w:rsid w:val="0038604E"/>
    <w:rsid w:val="00386BAA"/>
    <w:rsid w:val="00386E87"/>
    <w:rsid w:val="00387111"/>
    <w:rsid w:val="00387504"/>
    <w:rsid w:val="0038753F"/>
    <w:rsid w:val="003878EB"/>
    <w:rsid w:val="00387E94"/>
    <w:rsid w:val="003909C7"/>
    <w:rsid w:val="00391A95"/>
    <w:rsid w:val="00391EAA"/>
    <w:rsid w:val="0039226E"/>
    <w:rsid w:val="00392631"/>
    <w:rsid w:val="00392CC8"/>
    <w:rsid w:val="00392D9B"/>
    <w:rsid w:val="0039363D"/>
    <w:rsid w:val="00393A42"/>
    <w:rsid w:val="0039443C"/>
    <w:rsid w:val="003945A1"/>
    <w:rsid w:val="00394F14"/>
    <w:rsid w:val="00395577"/>
    <w:rsid w:val="003955A0"/>
    <w:rsid w:val="00395B8E"/>
    <w:rsid w:val="00396322"/>
    <w:rsid w:val="0039680F"/>
    <w:rsid w:val="00396D8A"/>
    <w:rsid w:val="00397327"/>
    <w:rsid w:val="00397708"/>
    <w:rsid w:val="00397B9B"/>
    <w:rsid w:val="003A0008"/>
    <w:rsid w:val="003A05AE"/>
    <w:rsid w:val="003A0A0F"/>
    <w:rsid w:val="003A1CD5"/>
    <w:rsid w:val="003A1E69"/>
    <w:rsid w:val="003A2017"/>
    <w:rsid w:val="003A2616"/>
    <w:rsid w:val="003A3D27"/>
    <w:rsid w:val="003A45CA"/>
    <w:rsid w:val="003A48CC"/>
    <w:rsid w:val="003A4BA1"/>
    <w:rsid w:val="003A5133"/>
    <w:rsid w:val="003A5708"/>
    <w:rsid w:val="003A6654"/>
    <w:rsid w:val="003A688C"/>
    <w:rsid w:val="003A6972"/>
    <w:rsid w:val="003A6B28"/>
    <w:rsid w:val="003A6DB9"/>
    <w:rsid w:val="003A72EF"/>
    <w:rsid w:val="003A7D80"/>
    <w:rsid w:val="003A7E21"/>
    <w:rsid w:val="003B05C7"/>
    <w:rsid w:val="003B13D3"/>
    <w:rsid w:val="003B148E"/>
    <w:rsid w:val="003B270A"/>
    <w:rsid w:val="003B2E25"/>
    <w:rsid w:val="003B33B5"/>
    <w:rsid w:val="003B3E4C"/>
    <w:rsid w:val="003B3FEA"/>
    <w:rsid w:val="003B4CF3"/>
    <w:rsid w:val="003B4EED"/>
    <w:rsid w:val="003B5085"/>
    <w:rsid w:val="003B57AF"/>
    <w:rsid w:val="003B5815"/>
    <w:rsid w:val="003B5A1A"/>
    <w:rsid w:val="003B5E36"/>
    <w:rsid w:val="003B5F3E"/>
    <w:rsid w:val="003B5FC9"/>
    <w:rsid w:val="003B6022"/>
    <w:rsid w:val="003B6728"/>
    <w:rsid w:val="003B6B2C"/>
    <w:rsid w:val="003B6D56"/>
    <w:rsid w:val="003B7137"/>
    <w:rsid w:val="003B73EE"/>
    <w:rsid w:val="003B780A"/>
    <w:rsid w:val="003C0C05"/>
    <w:rsid w:val="003C10BD"/>
    <w:rsid w:val="003C266A"/>
    <w:rsid w:val="003C282B"/>
    <w:rsid w:val="003C29C0"/>
    <w:rsid w:val="003C4C1B"/>
    <w:rsid w:val="003C4C72"/>
    <w:rsid w:val="003C5197"/>
    <w:rsid w:val="003C51BC"/>
    <w:rsid w:val="003C5783"/>
    <w:rsid w:val="003C602A"/>
    <w:rsid w:val="003C6A0F"/>
    <w:rsid w:val="003C6C2C"/>
    <w:rsid w:val="003C6D4F"/>
    <w:rsid w:val="003C7219"/>
    <w:rsid w:val="003C757E"/>
    <w:rsid w:val="003C7622"/>
    <w:rsid w:val="003C7B00"/>
    <w:rsid w:val="003D0E5E"/>
    <w:rsid w:val="003D0FC9"/>
    <w:rsid w:val="003D10C5"/>
    <w:rsid w:val="003D1282"/>
    <w:rsid w:val="003D12BB"/>
    <w:rsid w:val="003D15C7"/>
    <w:rsid w:val="003D1759"/>
    <w:rsid w:val="003D1896"/>
    <w:rsid w:val="003D1DF3"/>
    <w:rsid w:val="003D1E8F"/>
    <w:rsid w:val="003D1EC9"/>
    <w:rsid w:val="003D1F8A"/>
    <w:rsid w:val="003D29FF"/>
    <w:rsid w:val="003D2EDE"/>
    <w:rsid w:val="003D3B14"/>
    <w:rsid w:val="003D3C06"/>
    <w:rsid w:val="003D422D"/>
    <w:rsid w:val="003D4A3E"/>
    <w:rsid w:val="003D4E66"/>
    <w:rsid w:val="003D5DD9"/>
    <w:rsid w:val="003D62F7"/>
    <w:rsid w:val="003D6A43"/>
    <w:rsid w:val="003D7D91"/>
    <w:rsid w:val="003E01B8"/>
    <w:rsid w:val="003E1035"/>
    <w:rsid w:val="003E13CF"/>
    <w:rsid w:val="003E1434"/>
    <w:rsid w:val="003E14F1"/>
    <w:rsid w:val="003E17F2"/>
    <w:rsid w:val="003E19F7"/>
    <w:rsid w:val="003E1B70"/>
    <w:rsid w:val="003E1DA1"/>
    <w:rsid w:val="003E1EB2"/>
    <w:rsid w:val="003E2D0D"/>
    <w:rsid w:val="003E3DC5"/>
    <w:rsid w:val="003E45F1"/>
    <w:rsid w:val="003E492C"/>
    <w:rsid w:val="003E4C18"/>
    <w:rsid w:val="003E4C6A"/>
    <w:rsid w:val="003E55C8"/>
    <w:rsid w:val="003E5C0C"/>
    <w:rsid w:val="003E710D"/>
    <w:rsid w:val="003E739F"/>
    <w:rsid w:val="003E77C2"/>
    <w:rsid w:val="003E78A3"/>
    <w:rsid w:val="003E7A9C"/>
    <w:rsid w:val="003E7AFB"/>
    <w:rsid w:val="003E7EE6"/>
    <w:rsid w:val="003F09B0"/>
    <w:rsid w:val="003F0BE3"/>
    <w:rsid w:val="003F10BF"/>
    <w:rsid w:val="003F1395"/>
    <w:rsid w:val="003F1456"/>
    <w:rsid w:val="003F14E1"/>
    <w:rsid w:val="003F198A"/>
    <w:rsid w:val="003F2808"/>
    <w:rsid w:val="003F29E1"/>
    <w:rsid w:val="003F328F"/>
    <w:rsid w:val="003F36D1"/>
    <w:rsid w:val="003F3C0E"/>
    <w:rsid w:val="003F43A6"/>
    <w:rsid w:val="003F4983"/>
    <w:rsid w:val="003F4D3B"/>
    <w:rsid w:val="003F531A"/>
    <w:rsid w:val="003F593B"/>
    <w:rsid w:val="003F6855"/>
    <w:rsid w:val="003F687E"/>
    <w:rsid w:val="003F740C"/>
    <w:rsid w:val="003F7C9E"/>
    <w:rsid w:val="004000AE"/>
    <w:rsid w:val="00400A07"/>
    <w:rsid w:val="004016BA"/>
    <w:rsid w:val="004016FC"/>
    <w:rsid w:val="00401B89"/>
    <w:rsid w:val="00402288"/>
    <w:rsid w:val="004025E8"/>
    <w:rsid w:val="00402768"/>
    <w:rsid w:val="00402C4B"/>
    <w:rsid w:val="00403960"/>
    <w:rsid w:val="00403B00"/>
    <w:rsid w:val="00404027"/>
    <w:rsid w:val="0040438F"/>
    <w:rsid w:val="00404915"/>
    <w:rsid w:val="00404C36"/>
    <w:rsid w:val="00404CE4"/>
    <w:rsid w:val="00404EF4"/>
    <w:rsid w:val="0040565D"/>
    <w:rsid w:val="00405D9A"/>
    <w:rsid w:val="004064B5"/>
    <w:rsid w:val="00406975"/>
    <w:rsid w:val="00406F38"/>
    <w:rsid w:val="00407188"/>
    <w:rsid w:val="004076BE"/>
    <w:rsid w:val="00407B96"/>
    <w:rsid w:val="00410065"/>
    <w:rsid w:val="004101F7"/>
    <w:rsid w:val="004107CA"/>
    <w:rsid w:val="004111BC"/>
    <w:rsid w:val="0041128C"/>
    <w:rsid w:val="004114CB"/>
    <w:rsid w:val="004125F4"/>
    <w:rsid w:val="004126D4"/>
    <w:rsid w:val="00412830"/>
    <w:rsid w:val="00412D8E"/>
    <w:rsid w:val="004144AF"/>
    <w:rsid w:val="00414703"/>
    <w:rsid w:val="00414733"/>
    <w:rsid w:val="00415110"/>
    <w:rsid w:val="004157A9"/>
    <w:rsid w:val="00415893"/>
    <w:rsid w:val="004159BA"/>
    <w:rsid w:val="00415D2B"/>
    <w:rsid w:val="0041665A"/>
    <w:rsid w:val="00416C0A"/>
    <w:rsid w:val="00416D45"/>
    <w:rsid w:val="0042026C"/>
    <w:rsid w:val="00420C23"/>
    <w:rsid w:val="00421521"/>
    <w:rsid w:val="00421941"/>
    <w:rsid w:val="00421D2C"/>
    <w:rsid w:val="0042267A"/>
    <w:rsid w:val="00422E17"/>
    <w:rsid w:val="00423B1A"/>
    <w:rsid w:val="00424221"/>
    <w:rsid w:val="0042458C"/>
    <w:rsid w:val="00424B8F"/>
    <w:rsid w:val="00424DE2"/>
    <w:rsid w:val="004251A9"/>
    <w:rsid w:val="00425F25"/>
    <w:rsid w:val="004267BF"/>
    <w:rsid w:val="00427146"/>
    <w:rsid w:val="00427F1F"/>
    <w:rsid w:val="0043025A"/>
    <w:rsid w:val="00430638"/>
    <w:rsid w:val="00430BF8"/>
    <w:rsid w:val="00430CEB"/>
    <w:rsid w:val="00431563"/>
    <w:rsid w:val="0043173E"/>
    <w:rsid w:val="0043190B"/>
    <w:rsid w:val="00431B30"/>
    <w:rsid w:val="0043238C"/>
    <w:rsid w:val="00432528"/>
    <w:rsid w:val="0043255D"/>
    <w:rsid w:val="00432836"/>
    <w:rsid w:val="00432C8B"/>
    <w:rsid w:val="00432F96"/>
    <w:rsid w:val="00433AB1"/>
    <w:rsid w:val="00433B58"/>
    <w:rsid w:val="00434795"/>
    <w:rsid w:val="00434E23"/>
    <w:rsid w:val="00435CB3"/>
    <w:rsid w:val="00435CFE"/>
    <w:rsid w:val="00436F5F"/>
    <w:rsid w:val="004373D1"/>
    <w:rsid w:val="0043778D"/>
    <w:rsid w:val="00440B91"/>
    <w:rsid w:val="004412ED"/>
    <w:rsid w:val="004416BC"/>
    <w:rsid w:val="0044199C"/>
    <w:rsid w:val="00441B43"/>
    <w:rsid w:val="00441F15"/>
    <w:rsid w:val="0044220B"/>
    <w:rsid w:val="00442259"/>
    <w:rsid w:val="00443E8D"/>
    <w:rsid w:val="00444239"/>
    <w:rsid w:val="00444792"/>
    <w:rsid w:val="00444798"/>
    <w:rsid w:val="00444817"/>
    <w:rsid w:val="004454C2"/>
    <w:rsid w:val="004455AF"/>
    <w:rsid w:val="00445807"/>
    <w:rsid w:val="00445E6E"/>
    <w:rsid w:val="00446319"/>
    <w:rsid w:val="00446DD6"/>
    <w:rsid w:val="00447347"/>
    <w:rsid w:val="004476CA"/>
    <w:rsid w:val="00447C7F"/>
    <w:rsid w:val="00447F33"/>
    <w:rsid w:val="00447FDC"/>
    <w:rsid w:val="004500B5"/>
    <w:rsid w:val="00450583"/>
    <w:rsid w:val="004506D3"/>
    <w:rsid w:val="00450A27"/>
    <w:rsid w:val="00450C05"/>
    <w:rsid w:val="00451054"/>
    <w:rsid w:val="0045113E"/>
    <w:rsid w:val="00451EC2"/>
    <w:rsid w:val="00454DE9"/>
    <w:rsid w:val="00454E1F"/>
    <w:rsid w:val="00455A51"/>
    <w:rsid w:val="00455A83"/>
    <w:rsid w:val="00455DBD"/>
    <w:rsid w:val="00456443"/>
    <w:rsid w:val="004566BA"/>
    <w:rsid w:val="00456863"/>
    <w:rsid w:val="00456F7A"/>
    <w:rsid w:val="00457F29"/>
    <w:rsid w:val="00460950"/>
    <w:rsid w:val="00460E52"/>
    <w:rsid w:val="004611B9"/>
    <w:rsid w:val="004628F7"/>
    <w:rsid w:val="00462EF0"/>
    <w:rsid w:val="00463357"/>
    <w:rsid w:val="00463A04"/>
    <w:rsid w:val="0046460D"/>
    <w:rsid w:val="00464AEF"/>
    <w:rsid w:val="00464E6A"/>
    <w:rsid w:val="00465255"/>
    <w:rsid w:val="00466266"/>
    <w:rsid w:val="0046698D"/>
    <w:rsid w:val="00467FF5"/>
    <w:rsid w:val="00470463"/>
    <w:rsid w:val="00470E2F"/>
    <w:rsid w:val="0047114D"/>
    <w:rsid w:val="00471644"/>
    <w:rsid w:val="004719C5"/>
    <w:rsid w:val="00471E76"/>
    <w:rsid w:val="00471EF6"/>
    <w:rsid w:val="0047217D"/>
    <w:rsid w:val="00472243"/>
    <w:rsid w:val="0047228E"/>
    <w:rsid w:val="00472B82"/>
    <w:rsid w:val="00472C2B"/>
    <w:rsid w:val="00473718"/>
    <w:rsid w:val="00473869"/>
    <w:rsid w:val="0047410E"/>
    <w:rsid w:val="0047585F"/>
    <w:rsid w:val="00475CC9"/>
    <w:rsid w:val="00475DA0"/>
    <w:rsid w:val="00475DCE"/>
    <w:rsid w:val="004768F0"/>
    <w:rsid w:val="004769FD"/>
    <w:rsid w:val="00477218"/>
    <w:rsid w:val="004775E0"/>
    <w:rsid w:val="00480255"/>
    <w:rsid w:val="00480448"/>
    <w:rsid w:val="0048054A"/>
    <w:rsid w:val="0048062A"/>
    <w:rsid w:val="004807D4"/>
    <w:rsid w:val="00480849"/>
    <w:rsid w:val="00480BDC"/>
    <w:rsid w:val="004818E8"/>
    <w:rsid w:val="00481FD2"/>
    <w:rsid w:val="004821D1"/>
    <w:rsid w:val="00482682"/>
    <w:rsid w:val="00482B35"/>
    <w:rsid w:val="00482F5A"/>
    <w:rsid w:val="00482F67"/>
    <w:rsid w:val="00483006"/>
    <w:rsid w:val="0048337B"/>
    <w:rsid w:val="00483689"/>
    <w:rsid w:val="004836BB"/>
    <w:rsid w:val="004845F9"/>
    <w:rsid w:val="00484915"/>
    <w:rsid w:val="00484B3E"/>
    <w:rsid w:val="00484D09"/>
    <w:rsid w:val="00485961"/>
    <w:rsid w:val="00485B69"/>
    <w:rsid w:val="00486BDA"/>
    <w:rsid w:val="00486C5F"/>
    <w:rsid w:val="0048710B"/>
    <w:rsid w:val="00487387"/>
    <w:rsid w:val="004873C2"/>
    <w:rsid w:val="00490E2A"/>
    <w:rsid w:val="00490E50"/>
    <w:rsid w:val="0049145E"/>
    <w:rsid w:val="004919FD"/>
    <w:rsid w:val="00492D6D"/>
    <w:rsid w:val="00495E8D"/>
    <w:rsid w:val="004960CC"/>
    <w:rsid w:val="0049654C"/>
    <w:rsid w:val="00497133"/>
    <w:rsid w:val="004971C4"/>
    <w:rsid w:val="00497A36"/>
    <w:rsid w:val="00497F2F"/>
    <w:rsid w:val="004A04B5"/>
    <w:rsid w:val="004A06FC"/>
    <w:rsid w:val="004A0734"/>
    <w:rsid w:val="004A132C"/>
    <w:rsid w:val="004A14BD"/>
    <w:rsid w:val="004A1F8D"/>
    <w:rsid w:val="004A281C"/>
    <w:rsid w:val="004A2828"/>
    <w:rsid w:val="004A36C1"/>
    <w:rsid w:val="004A36C5"/>
    <w:rsid w:val="004A418E"/>
    <w:rsid w:val="004A43CF"/>
    <w:rsid w:val="004A50B9"/>
    <w:rsid w:val="004A50BD"/>
    <w:rsid w:val="004A5688"/>
    <w:rsid w:val="004A67E7"/>
    <w:rsid w:val="004A6B71"/>
    <w:rsid w:val="004A7176"/>
    <w:rsid w:val="004A7372"/>
    <w:rsid w:val="004B0041"/>
    <w:rsid w:val="004B0985"/>
    <w:rsid w:val="004B0BDB"/>
    <w:rsid w:val="004B15B6"/>
    <w:rsid w:val="004B15CA"/>
    <w:rsid w:val="004B16ED"/>
    <w:rsid w:val="004B1A00"/>
    <w:rsid w:val="004B26D9"/>
    <w:rsid w:val="004B2C5E"/>
    <w:rsid w:val="004B3102"/>
    <w:rsid w:val="004B47BB"/>
    <w:rsid w:val="004B5C33"/>
    <w:rsid w:val="004B5D09"/>
    <w:rsid w:val="004B6052"/>
    <w:rsid w:val="004B774B"/>
    <w:rsid w:val="004B7869"/>
    <w:rsid w:val="004B7E78"/>
    <w:rsid w:val="004C00EA"/>
    <w:rsid w:val="004C049D"/>
    <w:rsid w:val="004C05B0"/>
    <w:rsid w:val="004C0C91"/>
    <w:rsid w:val="004C1814"/>
    <w:rsid w:val="004C1941"/>
    <w:rsid w:val="004C1AD1"/>
    <w:rsid w:val="004C2611"/>
    <w:rsid w:val="004C2F99"/>
    <w:rsid w:val="004C36E6"/>
    <w:rsid w:val="004C3E3F"/>
    <w:rsid w:val="004C44D9"/>
    <w:rsid w:val="004C4629"/>
    <w:rsid w:val="004C4A50"/>
    <w:rsid w:val="004C4B71"/>
    <w:rsid w:val="004C4E98"/>
    <w:rsid w:val="004C5234"/>
    <w:rsid w:val="004C5B38"/>
    <w:rsid w:val="004C6079"/>
    <w:rsid w:val="004C705B"/>
    <w:rsid w:val="004D00FE"/>
    <w:rsid w:val="004D035B"/>
    <w:rsid w:val="004D07A4"/>
    <w:rsid w:val="004D087E"/>
    <w:rsid w:val="004D0E57"/>
    <w:rsid w:val="004D103A"/>
    <w:rsid w:val="004D15CB"/>
    <w:rsid w:val="004D16E7"/>
    <w:rsid w:val="004D19DB"/>
    <w:rsid w:val="004D1A04"/>
    <w:rsid w:val="004D1A99"/>
    <w:rsid w:val="004D1E88"/>
    <w:rsid w:val="004D2508"/>
    <w:rsid w:val="004D3CD7"/>
    <w:rsid w:val="004D3DB5"/>
    <w:rsid w:val="004D4108"/>
    <w:rsid w:val="004D415E"/>
    <w:rsid w:val="004D47DB"/>
    <w:rsid w:val="004D54BF"/>
    <w:rsid w:val="004D58DE"/>
    <w:rsid w:val="004D5D04"/>
    <w:rsid w:val="004D5FDE"/>
    <w:rsid w:val="004D63E2"/>
    <w:rsid w:val="004D6ABE"/>
    <w:rsid w:val="004D6CE8"/>
    <w:rsid w:val="004D6FEF"/>
    <w:rsid w:val="004E031F"/>
    <w:rsid w:val="004E158D"/>
    <w:rsid w:val="004E1F18"/>
    <w:rsid w:val="004E293D"/>
    <w:rsid w:val="004E2E5E"/>
    <w:rsid w:val="004E3465"/>
    <w:rsid w:val="004E3B65"/>
    <w:rsid w:val="004E3EEE"/>
    <w:rsid w:val="004E3F30"/>
    <w:rsid w:val="004E402E"/>
    <w:rsid w:val="004E443D"/>
    <w:rsid w:val="004E46F8"/>
    <w:rsid w:val="004E4BCC"/>
    <w:rsid w:val="004E4EE5"/>
    <w:rsid w:val="004E50C8"/>
    <w:rsid w:val="004E6123"/>
    <w:rsid w:val="004E653E"/>
    <w:rsid w:val="004E65F5"/>
    <w:rsid w:val="004E69F2"/>
    <w:rsid w:val="004E6B9E"/>
    <w:rsid w:val="004E70E4"/>
    <w:rsid w:val="004E7881"/>
    <w:rsid w:val="004E7F18"/>
    <w:rsid w:val="004F003C"/>
    <w:rsid w:val="004F0D71"/>
    <w:rsid w:val="004F1436"/>
    <w:rsid w:val="004F1743"/>
    <w:rsid w:val="004F1747"/>
    <w:rsid w:val="004F195C"/>
    <w:rsid w:val="004F1AD6"/>
    <w:rsid w:val="004F24A3"/>
    <w:rsid w:val="004F2AF2"/>
    <w:rsid w:val="004F2D77"/>
    <w:rsid w:val="004F2E7C"/>
    <w:rsid w:val="004F2F08"/>
    <w:rsid w:val="004F3871"/>
    <w:rsid w:val="004F3C00"/>
    <w:rsid w:val="004F3CEE"/>
    <w:rsid w:val="004F3E28"/>
    <w:rsid w:val="004F4721"/>
    <w:rsid w:val="004F4C15"/>
    <w:rsid w:val="004F51A8"/>
    <w:rsid w:val="004F59FB"/>
    <w:rsid w:val="004F621F"/>
    <w:rsid w:val="004F71FD"/>
    <w:rsid w:val="004F7C61"/>
    <w:rsid w:val="00500434"/>
    <w:rsid w:val="005008C0"/>
    <w:rsid w:val="00500FE6"/>
    <w:rsid w:val="005016AA"/>
    <w:rsid w:val="005017CE"/>
    <w:rsid w:val="00501AC7"/>
    <w:rsid w:val="00502469"/>
    <w:rsid w:val="005025CC"/>
    <w:rsid w:val="00502EAE"/>
    <w:rsid w:val="00503016"/>
    <w:rsid w:val="00503A1B"/>
    <w:rsid w:val="00504115"/>
    <w:rsid w:val="0050500F"/>
    <w:rsid w:val="00505279"/>
    <w:rsid w:val="00505673"/>
    <w:rsid w:val="00505C98"/>
    <w:rsid w:val="00505D93"/>
    <w:rsid w:val="00506396"/>
    <w:rsid w:val="005063E1"/>
    <w:rsid w:val="0050664B"/>
    <w:rsid w:val="005068EC"/>
    <w:rsid w:val="00506A99"/>
    <w:rsid w:val="00506CD8"/>
    <w:rsid w:val="0050728B"/>
    <w:rsid w:val="00507CC5"/>
    <w:rsid w:val="00511CC1"/>
    <w:rsid w:val="00511D83"/>
    <w:rsid w:val="00511E09"/>
    <w:rsid w:val="00512041"/>
    <w:rsid w:val="005120DB"/>
    <w:rsid w:val="0051239B"/>
    <w:rsid w:val="0051274D"/>
    <w:rsid w:val="005128E7"/>
    <w:rsid w:val="00512DDE"/>
    <w:rsid w:val="00513184"/>
    <w:rsid w:val="00513CCB"/>
    <w:rsid w:val="00514D28"/>
    <w:rsid w:val="005153C7"/>
    <w:rsid w:val="00516696"/>
    <w:rsid w:val="00516929"/>
    <w:rsid w:val="00516BBB"/>
    <w:rsid w:val="005177ED"/>
    <w:rsid w:val="00517C7A"/>
    <w:rsid w:val="00517E70"/>
    <w:rsid w:val="005203F6"/>
    <w:rsid w:val="00521933"/>
    <w:rsid w:val="00522716"/>
    <w:rsid w:val="00522D3C"/>
    <w:rsid w:val="00523159"/>
    <w:rsid w:val="005237C0"/>
    <w:rsid w:val="00523D85"/>
    <w:rsid w:val="00523E83"/>
    <w:rsid w:val="00523F42"/>
    <w:rsid w:val="005241C8"/>
    <w:rsid w:val="005248BB"/>
    <w:rsid w:val="0052495F"/>
    <w:rsid w:val="00524D8A"/>
    <w:rsid w:val="00525E03"/>
    <w:rsid w:val="00530216"/>
    <w:rsid w:val="005308A5"/>
    <w:rsid w:val="00530920"/>
    <w:rsid w:val="00530FA8"/>
    <w:rsid w:val="00531267"/>
    <w:rsid w:val="0053135A"/>
    <w:rsid w:val="005314D9"/>
    <w:rsid w:val="005314E9"/>
    <w:rsid w:val="00531621"/>
    <w:rsid w:val="00531723"/>
    <w:rsid w:val="005323E4"/>
    <w:rsid w:val="0053275E"/>
    <w:rsid w:val="0053318E"/>
    <w:rsid w:val="0053324F"/>
    <w:rsid w:val="0053382F"/>
    <w:rsid w:val="0053414B"/>
    <w:rsid w:val="00534178"/>
    <w:rsid w:val="0053474B"/>
    <w:rsid w:val="00534777"/>
    <w:rsid w:val="005348BF"/>
    <w:rsid w:val="005350F4"/>
    <w:rsid w:val="005354BB"/>
    <w:rsid w:val="00535853"/>
    <w:rsid w:val="00535B4A"/>
    <w:rsid w:val="00535CB2"/>
    <w:rsid w:val="00535CB3"/>
    <w:rsid w:val="00536092"/>
    <w:rsid w:val="005360C8"/>
    <w:rsid w:val="0053630A"/>
    <w:rsid w:val="0053698E"/>
    <w:rsid w:val="005373C6"/>
    <w:rsid w:val="00537657"/>
    <w:rsid w:val="00537AB4"/>
    <w:rsid w:val="00540583"/>
    <w:rsid w:val="005409FF"/>
    <w:rsid w:val="00541850"/>
    <w:rsid w:val="005419C7"/>
    <w:rsid w:val="00541E10"/>
    <w:rsid w:val="00541EF9"/>
    <w:rsid w:val="005431CF"/>
    <w:rsid w:val="005436A7"/>
    <w:rsid w:val="00543D0A"/>
    <w:rsid w:val="00543D10"/>
    <w:rsid w:val="00544A1D"/>
    <w:rsid w:val="00544EFB"/>
    <w:rsid w:val="005450FA"/>
    <w:rsid w:val="00545244"/>
    <w:rsid w:val="005454F3"/>
    <w:rsid w:val="005455E5"/>
    <w:rsid w:val="0054568C"/>
    <w:rsid w:val="005460A2"/>
    <w:rsid w:val="00546662"/>
    <w:rsid w:val="0054681B"/>
    <w:rsid w:val="00546893"/>
    <w:rsid w:val="0054725B"/>
    <w:rsid w:val="0054733F"/>
    <w:rsid w:val="0054779A"/>
    <w:rsid w:val="00547BA1"/>
    <w:rsid w:val="00550748"/>
    <w:rsid w:val="00550807"/>
    <w:rsid w:val="00550B5D"/>
    <w:rsid w:val="005515D7"/>
    <w:rsid w:val="00552B16"/>
    <w:rsid w:val="00553813"/>
    <w:rsid w:val="0055384A"/>
    <w:rsid w:val="00553EDD"/>
    <w:rsid w:val="005541CC"/>
    <w:rsid w:val="005545B9"/>
    <w:rsid w:val="00554651"/>
    <w:rsid w:val="005554D8"/>
    <w:rsid w:val="00556101"/>
    <w:rsid w:val="005568A9"/>
    <w:rsid w:val="00557333"/>
    <w:rsid w:val="00557C8E"/>
    <w:rsid w:val="00557CB1"/>
    <w:rsid w:val="00560174"/>
    <w:rsid w:val="0056043F"/>
    <w:rsid w:val="0056044B"/>
    <w:rsid w:val="0056072C"/>
    <w:rsid w:val="0056084C"/>
    <w:rsid w:val="0056091E"/>
    <w:rsid w:val="00561371"/>
    <w:rsid w:val="0056172D"/>
    <w:rsid w:val="00561809"/>
    <w:rsid w:val="005628EA"/>
    <w:rsid w:val="00562B32"/>
    <w:rsid w:val="00563372"/>
    <w:rsid w:val="0056345D"/>
    <w:rsid w:val="005634BF"/>
    <w:rsid w:val="005634C8"/>
    <w:rsid w:val="005635F3"/>
    <w:rsid w:val="00563636"/>
    <w:rsid w:val="00563747"/>
    <w:rsid w:val="0056411C"/>
    <w:rsid w:val="005654ED"/>
    <w:rsid w:val="00565554"/>
    <w:rsid w:val="005659CE"/>
    <w:rsid w:val="00565B4C"/>
    <w:rsid w:val="00565E3E"/>
    <w:rsid w:val="00566333"/>
    <w:rsid w:val="005663FF"/>
    <w:rsid w:val="00566572"/>
    <w:rsid w:val="00566ED7"/>
    <w:rsid w:val="005677E5"/>
    <w:rsid w:val="00567BDF"/>
    <w:rsid w:val="00567E32"/>
    <w:rsid w:val="005707C6"/>
    <w:rsid w:val="00570D24"/>
    <w:rsid w:val="00570E02"/>
    <w:rsid w:val="00571884"/>
    <w:rsid w:val="00572798"/>
    <w:rsid w:val="00572B23"/>
    <w:rsid w:val="00573981"/>
    <w:rsid w:val="00573A51"/>
    <w:rsid w:val="0057414A"/>
    <w:rsid w:val="00574348"/>
    <w:rsid w:val="00574B5D"/>
    <w:rsid w:val="00574C1A"/>
    <w:rsid w:val="00574CF6"/>
    <w:rsid w:val="005754E5"/>
    <w:rsid w:val="005755BA"/>
    <w:rsid w:val="00575E96"/>
    <w:rsid w:val="00575F4A"/>
    <w:rsid w:val="00576BD6"/>
    <w:rsid w:val="0057759B"/>
    <w:rsid w:val="00577803"/>
    <w:rsid w:val="00577C51"/>
    <w:rsid w:val="00577E4E"/>
    <w:rsid w:val="00577E95"/>
    <w:rsid w:val="00580EEB"/>
    <w:rsid w:val="00580FCF"/>
    <w:rsid w:val="0058192E"/>
    <w:rsid w:val="00581B33"/>
    <w:rsid w:val="0058262B"/>
    <w:rsid w:val="00582CB2"/>
    <w:rsid w:val="00582DC2"/>
    <w:rsid w:val="00582E4C"/>
    <w:rsid w:val="00582EBA"/>
    <w:rsid w:val="005831C2"/>
    <w:rsid w:val="00583673"/>
    <w:rsid w:val="00583738"/>
    <w:rsid w:val="00583BEB"/>
    <w:rsid w:val="00583D08"/>
    <w:rsid w:val="00584662"/>
    <w:rsid w:val="00584CFE"/>
    <w:rsid w:val="00585691"/>
    <w:rsid w:val="00585DB3"/>
    <w:rsid w:val="00586DFB"/>
    <w:rsid w:val="005870C8"/>
    <w:rsid w:val="00587297"/>
    <w:rsid w:val="00587BE7"/>
    <w:rsid w:val="00587CBC"/>
    <w:rsid w:val="005901C6"/>
    <w:rsid w:val="00590786"/>
    <w:rsid w:val="005907F5"/>
    <w:rsid w:val="00590B9D"/>
    <w:rsid w:val="005910E6"/>
    <w:rsid w:val="00592C28"/>
    <w:rsid w:val="00592D28"/>
    <w:rsid w:val="00593484"/>
    <w:rsid w:val="00593B37"/>
    <w:rsid w:val="00593E3E"/>
    <w:rsid w:val="00594268"/>
    <w:rsid w:val="005946E0"/>
    <w:rsid w:val="00594E58"/>
    <w:rsid w:val="00595177"/>
    <w:rsid w:val="00595DF1"/>
    <w:rsid w:val="00595EC1"/>
    <w:rsid w:val="0059611C"/>
    <w:rsid w:val="00596209"/>
    <w:rsid w:val="00596524"/>
    <w:rsid w:val="00596E80"/>
    <w:rsid w:val="00597CA1"/>
    <w:rsid w:val="00597CD4"/>
    <w:rsid w:val="00597D35"/>
    <w:rsid w:val="005A0A1A"/>
    <w:rsid w:val="005A0C14"/>
    <w:rsid w:val="005A13B0"/>
    <w:rsid w:val="005A159F"/>
    <w:rsid w:val="005A2381"/>
    <w:rsid w:val="005A2C28"/>
    <w:rsid w:val="005A2CF6"/>
    <w:rsid w:val="005A2F8B"/>
    <w:rsid w:val="005A3CAF"/>
    <w:rsid w:val="005A3D27"/>
    <w:rsid w:val="005A4463"/>
    <w:rsid w:val="005A4A36"/>
    <w:rsid w:val="005A566A"/>
    <w:rsid w:val="005A62B0"/>
    <w:rsid w:val="005A6C81"/>
    <w:rsid w:val="005A6D6D"/>
    <w:rsid w:val="005A6E50"/>
    <w:rsid w:val="005A7034"/>
    <w:rsid w:val="005A7264"/>
    <w:rsid w:val="005A72E2"/>
    <w:rsid w:val="005A7B5D"/>
    <w:rsid w:val="005B00B9"/>
    <w:rsid w:val="005B02C9"/>
    <w:rsid w:val="005B05E6"/>
    <w:rsid w:val="005B05EE"/>
    <w:rsid w:val="005B063F"/>
    <w:rsid w:val="005B0764"/>
    <w:rsid w:val="005B0E56"/>
    <w:rsid w:val="005B150B"/>
    <w:rsid w:val="005B1601"/>
    <w:rsid w:val="005B2519"/>
    <w:rsid w:val="005B27DC"/>
    <w:rsid w:val="005B2C70"/>
    <w:rsid w:val="005B3475"/>
    <w:rsid w:val="005B34A3"/>
    <w:rsid w:val="005B415A"/>
    <w:rsid w:val="005B418C"/>
    <w:rsid w:val="005B432B"/>
    <w:rsid w:val="005B434A"/>
    <w:rsid w:val="005B4A03"/>
    <w:rsid w:val="005B4ACF"/>
    <w:rsid w:val="005B4CFC"/>
    <w:rsid w:val="005B4DD6"/>
    <w:rsid w:val="005B50A4"/>
    <w:rsid w:val="005B50BF"/>
    <w:rsid w:val="005B5713"/>
    <w:rsid w:val="005B58B0"/>
    <w:rsid w:val="005B64F0"/>
    <w:rsid w:val="005B6C02"/>
    <w:rsid w:val="005B6E0D"/>
    <w:rsid w:val="005B70BC"/>
    <w:rsid w:val="005B737F"/>
    <w:rsid w:val="005B765E"/>
    <w:rsid w:val="005C016A"/>
    <w:rsid w:val="005C0298"/>
    <w:rsid w:val="005C0769"/>
    <w:rsid w:val="005C162B"/>
    <w:rsid w:val="005C1F4A"/>
    <w:rsid w:val="005C242D"/>
    <w:rsid w:val="005C25FE"/>
    <w:rsid w:val="005C2C9D"/>
    <w:rsid w:val="005C2F48"/>
    <w:rsid w:val="005C31AA"/>
    <w:rsid w:val="005C360A"/>
    <w:rsid w:val="005C3A2F"/>
    <w:rsid w:val="005C3EE9"/>
    <w:rsid w:val="005C4EC2"/>
    <w:rsid w:val="005C525A"/>
    <w:rsid w:val="005C67FB"/>
    <w:rsid w:val="005C67FE"/>
    <w:rsid w:val="005C73F0"/>
    <w:rsid w:val="005C7AB4"/>
    <w:rsid w:val="005C7EE9"/>
    <w:rsid w:val="005D03CC"/>
    <w:rsid w:val="005D0CE7"/>
    <w:rsid w:val="005D18C0"/>
    <w:rsid w:val="005D1C88"/>
    <w:rsid w:val="005D221C"/>
    <w:rsid w:val="005D24BC"/>
    <w:rsid w:val="005D25BB"/>
    <w:rsid w:val="005D2A43"/>
    <w:rsid w:val="005D2A8D"/>
    <w:rsid w:val="005D2AC6"/>
    <w:rsid w:val="005D313F"/>
    <w:rsid w:val="005D337A"/>
    <w:rsid w:val="005D4662"/>
    <w:rsid w:val="005D47CC"/>
    <w:rsid w:val="005D527E"/>
    <w:rsid w:val="005D5729"/>
    <w:rsid w:val="005D587B"/>
    <w:rsid w:val="005D612D"/>
    <w:rsid w:val="005D63FA"/>
    <w:rsid w:val="005D65A0"/>
    <w:rsid w:val="005D6954"/>
    <w:rsid w:val="005D6EA0"/>
    <w:rsid w:val="005D753C"/>
    <w:rsid w:val="005D76BD"/>
    <w:rsid w:val="005D78FB"/>
    <w:rsid w:val="005E0380"/>
    <w:rsid w:val="005E04D4"/>
    <w:rsid w:val="005E0554"/>
    <w:rsid w:val="005E0C9B"/>
    <w:rsid w:val="005E107F"/>
    <w:rsid w:val="005E1C9F"/>
    <w:rsid w:val="005E2408"/>
    <w:rsid w:val="005E2DD3"/>
    <w:rsid w:val="005E3188"/>
    <w:rsid w:val="005E361D"/>
    <w:rsid w:val="005E3770"/>
    <w:rsid w:val="005E4309"/>
    <w:rsid w:val="005E4728"/>
    <w:rsid w:val="005E5621"/>
    <w:rsid w:val="005E5985"/>
    <w:rsid w:val="005E5DB7"/>
    <w:rsid w:val="005E6272"/>
    <w:rsid w:val="005E669B"/>
    <w:rsid w:val="005E680A"/>
    <w:rsid w:val="005E76E2"/>
    <w:rsid w:val="005E7B36"/>
    <w:rsid w:val="005E7EDF"/>
    <w:rsid w:val="005F02E6"/>
    <w:rsid w:val="005F06E6"/>
    <w:rsid w:val="005F10F1"/>
    <w:rsid w:val="005F1637"/>
    <w:rsid w:val="005F1911"/>
    <w:rsid w:val="005F2566"/>
    <w:rsid w:val="005F27D7"/>
    <w:rsid w:val="005F28FD"/>
    <w:rsid w:val="005F2A4A"/>
    <w:rsid w:val="005F2B50"/>
    <w:rsid w:val="005F2CBA"/>
    <w:rsid w:val="005F3216"/>
    <w:rsid w:val="005F3E8E"/>
    <w:rsid w:val="005F4156"/>
    <w:rsid w:val="005F4DFE"/>
    <w:rsid w:val="005F4E5A"/>
    <w:rsid w:val="005F4EF9"/>
    <w:rsid w:val="005F5D1F"/>
    <w:rsid w:val="005F6017"/>
    <w:rsid w:val="005F6288"/>
    <w:rsid w:val="005F6C25"/>
    <w:rsid w:val="005F6E1E"/>
    <w:rsid w:val="005F74FA"/>
    <w:rsid w:val="005F7937"/>
    <w:rsid w:val="005F7E77"/>
    <w:rsid w:val="005F7EAE"/>
    <w:rsid w:val="0060051D"/>
    <w:rsid w:val="006009A5"/>
    <w:rsid w:val="00600DB4"/>
    <w:rsid w:val="0060134D"/>
    <w:rsid w:val="0060136B"/>
    <w:rsid w:val="006013E2"/>
    <w:rsid w:val="006015AE"/>
    <w:rsid w:val="006017B1"/>
    <w:rsid w:val="006029C5"/>
    <w:rsid w:val="00602F9B"/>
    <w:rsid w:val="00603237"/>
    <w:rsid w:val="0060366D"/>
    <w:rsid w:val="006046F8"/>
    <w:rsid w:val="00604706"/>
    <w:rsid w:val="0060497B"/>
    <w:rsid w:val="00605394"/>
    <w:rsid w:val="0060591D"/>
    <w:rsid w:val="00605BC1"/>
    <w:rsid w:val="00605E6C"/>
    <w:rsid w:val="0060685F"/>
    <w:rsid w:val="00607066"/>
    <w:rsid w:val="00607197"/>
    <w:rsid w:val="0060719B"/>
    <w:rsid w:val="00607A16"/>
    <w:rsid w:val="00607B00"/>
    <w:rsid w:val="00607BF6"/>
    <w:rsid w:val="00607C3E"/>
    <w:rsid w:val="006103E0"/>
    <w:rsid w:val="006109F8"/>
    <w:rsid w:val="006110F2"/>
    <w:rsid w:val="0061170E"/>
    <w:rsid w:val="00613360"/>
    <w:rsid w:val="006133A5"/>
    <w:rsid w:val="006134C6"/>
    <w:rsid w:val="00614206"/>
    <w:rsid w:val="00614389"/>
    <w:rsid w:val="006147EA"/>
    <w:rsid w:val="00614E56"/>
    <w:rsid w:val="00614EA6"/>
    <w:rsid w:val="00615AF7"/>
    <w:rsid w:val="00620242"/>
    <w:rsid w:val="006205C4"/>
    <w:rsid w:val="00622C87"/>
    <w:rsid w:val="00622F58"/>
    <w:rsid w:val="00623075"/>
    <w:rsid w:val="00623693"/>
    <w:rsid w:val="006237DD"/>
    <w:rsid w:val="00623910"/>
    <w:rsid w:val="0062405E"/>
    <w:rsid w:val="00624A27"/>
    <w:rsid w:val="00624B63"/>
    <w:rsid w:val="00624D74"/>
    <w:rsid w:val="00625BBC"/>
    <w:rsid w:val="00626962"/>
    <w:rsid w:val="00626F96"/>
    <w:rsid w:val="0062716D"/>
    <w:rsid w:val="00627AF2"/>
    <w:rsid w:val="0063039C"/>
    <w:rsid w:val="00630462"/>
    <w:rsid w:val="0063064C"/>
    <w:rsid w:val="0063066E"/>
    <w:rsid w:val="006307CE"/>
    <w:rsid w:val="00630AA3"/>
    <w:rsid w:val="00630B6B"/>
    <w:rsid w:val="00631BD0"/>
    <w:rsid w:val="00632917"/>
    <w:rsid w:val="00632BBB"/>
    <w:rsid w:val="00632F94"/>
    <w:rsid w:val="00633204"/>
    <w:rsid w:val="00633641"/>
    <w:rsid w:val="0063433C"/>
    <w:rsid w:val="00634B85"/>
    <w:rsid w:val="00635199"/>
    <w:rsid w:val="00635598"/>
    <w:rsid w:val="0063560F"/>
    <w:rsid w:val="0063632F"/>
    <w:rsid w:val="00636364"/>
    <w:rsid w:val="006363BC"/>
    <w:rsid w:val="0064037E"/>
    <w:rsid w:val="00640BDA"/>
    <w:rsid w:val="00640CA1"/>
    <w:rsid w:val="00640E38"/>
    <w:rsid w:val="006410E8"/>
    <w:rsid w:val="00641789"/>
    <w:rsid w:val="00641E92"/>
    <w:rsid w:val="006420E4"/>
    <w:rsid w:val="00642199"/>
    <w:rsid w:val="00643B07"/>
    <w:rsid w:val="006445DA"/>
    <w:rsid w:val="006449AC"/>
    <w:rsid w:val="00644D00"/>
    <w:rsid w:val="0064619E"/>
    <w:rsid w:val="006464E4"/>
    <w:rsid w:val="00646783"/>
    <w:rsid w:val="00647599"/>
    <w:rsid w:val="00647677"/>
    <w:rsid w:val="00650B28"/>
    <w:rsid w:val="00650C56"/>
    <w:rsid w:val="00651212"/>
    <w:rsid w:val="006512E9"/>
    <w:rsid w:val="00651C34"/>
    <w:rsid w:val="00652032"/>
    <w:rsid w:val="00652241"/>
    <w:rsid w:val="00652858"/>
    <w:rsid w:val="00653189"/>
    <w:rsid w:val="0065383D"/>
    <w:rsid w:val="006539E0"/>
    <w:rsid w:val="00653BA0"/>
    <w:rsid w:val="0065431A"/>
    <w:rsid w:val="00654CE9"/>
    <w:rsid w:val="00654D71"/>
    <w:rsid w:val="00654EDE"/>
    <w:rsid w:val="00655042"/>
    <w:rsid w:val="00655215"/>
    <w:rsid w:val="0065537F"/>
    <w:rsid w:val="00655715"/>
    <w:rsid w:val="006558DC"/>
    <w:rsid w:val="00656B27"/>
    <w:rsid w:val="00657215"/>
    <w:rsid w:val="006572CA"/>
    <w:rsid w:val="00657A8F"/>
    <w:rsid w:val="00657D8B"/>
    <w:rsid w:val="00657F8B"/>
    <w:rsid w:val="00660401"/>
    <w:rsid w:val="00660770"/>
    <w:rsid w:val="006607DD"/>
    <w:rsid w:val="006612D2"/>
    <w:rsid w:val="00661723"/>
    <w:rsid w:val="006618FC"/>
    <w:rsid w:val="006627C0"/>
    <w:rsid w:val="00663023"/>
    <w:rsid w:val="00663424"/>
    <w:rsid w:val="00663D00"/>
    <w:rsid w:val="00663DD5"/>
    <w:rsid w:val="00663E86"/>
    <w:rsid w:val="00664412"/>
    <w:rsid w:val="00664AA4"/>
    <w:rsid w:val="00664F18"/>
    <w:rsid w:val="00665D92"/>
    <w:rsid w:val="00666F82"/>
    <w:rsid w:val="00667702"/>
    <w:rsid w:val="00667AC0"/>
    <w:rsid w:val="00670138"/>
    <w:rsid w:val="00671052"/>
    <w:rsid w:val="00671092"/>
    <w:rsid w:val="00671B7E"/>
    <w:rsid w:val="006726FF"/>
    <w:rsid w:val="0067281C"/>
    <w:rsid w:val="006728C1"/>
    <w:rsid w:val="00672B39"/>
    <w:rsid w:val="00672C82"/>
    <w:rsid w:val="006733E4"/>
    <w:rsid w:val="0067364B"/>
    <w:rsid w:val="0067398D"/>
    <w:rsid w:val="00673E1D"/>
    <w:rsid w:val="00674477"/>
    <w:rsid w:val="00674676"/>
    <w:rsid w:val="006752AE"/>
    <w:rsid w:val="006752FE"/>
    <w:rsid w:val="00675833"/>
    <w:rsid w:val="00675A4F"/>
    <w:rsid w:val="006767BC"/>
    <w:rsid w:val="00676FB1"/>
    <w:rsid w:val="006779E6"/>
    <w:rsid w:val="00677BE9"/>
    <w:rsid w:val="00680DD6"/>
    <w:rsid w:val="006817E9"/>
    <w:rsid w:val="00681BEB"/>
    <w:rsid w:val="00681D75"/>
    <w:rsid w:val="0068242E"/>
    <w:rsid w:val="0068250D"/>
    <w:rsid w:val="006834E7"/>
    <w:rsid w:val="0068362E"/>
    <w:rsid w:val="00683AC2"/>
    <w:rsid w:val="0068443C"/>
    <w:rsid w:val="00684BAF"/>
    <w:rsid w:val="006855C6"/>
    <w:rsid w:val="0068613A"/>
    <w:rsid w:val="00686390"/>
    <w:rsid w:val="00686FDB"/>
    <w:rsid w:val="006874B5"/>
    <w:rsid w:val="00687C8D"/>
    <w:rsid w:val="00687D59"/>
    <w:rsid w:val="00690299"/>
    <w:rsid w:val="006904E2"/>
    <w:rsid w:val="00690866"/>
    <w:rsid w:val="00690A8A"/>
    <w:rsid w:val="00691116"/>
    <w:rsid w:val="006912FA"/>
    <w:rsid w:val="0069131F"/>
    <w:rsid w:val="006913CA"/>
    <w:rsid w:val="006913DF"/>
    <w:rsid w:val="006918CE"/>
    <w:rsid w:val="00691EB4"/>
    <w:rsid w:val="00692164"/>
    <w:rsid w:val="00692185"/>
    <w:rsid w:val="006921B7"/>
    <w:rsid w:val="00692207"/>
    <w:rsid w:val="00692287"/>
    <w:rsid w:val="00692374"/>
    <w:rsid w:val="006926F6"/>
    <w:rsid w:val="00692A27"/>
    <w:rsid w:val="006931E6"/>
    <w:rsid w:val="006938A3"/>
    <w:rsid w:val="00693CBF"/>
    <w:rsid w:val="00693FD7"/>
    <w:rsid w:val="0069421C"/>
    <w:rsid w:val="0069483E"/>
    <w:rsid w:val="00694B69"/>
    <w:rsid w:val="00694FFF"/>
    <w:rsid w:val="00696304"/>
    <w:rsid w:val="00696DE4"/>
    <w:rsid w:val="00696EBB"/>
    <w:rsid w:val="00697829"/>
    <w:rsid w:val="006A011F"/>
    <w:rsid w:val="006A0244"/>
    <w:rsid w:val="006A0769"/>
    <w:rsid w:val="006A1082"/>
    <w:rsid w:val="006A1F10"/>
    <w:rsid w:val="006A1F7A"/>
    <w:rsid w:val="006A2275"/>
    <w:rsid w:val="006A22E6"/>
    <w:rsid w:val="006A3397"/>
    <w:rsid w:val="006A4D4E"/>
    <w:rsid w:val="006A5044"/>
    <w:rsid w:val="006A51DB"/>
    <w:rsid w:val="006A5303"/>
    <w:rsid w:val="006A56F5"/>
    <w:rsid w:val="006A59A9"/>
    <w:rsid w:val="006A5D40"/>
    <w:rsid w:val="006A61A1"/>
    <w:rsid w:val="006A6574"/>
    <w:rsid w:val="006A65CD"/>
    <w:rsid w:val="006A6C1D"/>
    <w:rsid w:val="006A6C59"/>
    <w:rsid w:val="006A7565"/>
    <w:rsid w:val="006A75DB"/>
    <w:rsid w:val="006A7D22"/>
    <w:rsid w:val="006B096B"/>
    <w:rsid w:val="006B0978"/>
    <w:rsid w:val="006B0EEB"/>
    <w:rsid w:val="006B1507"/>
    <w:rsid w:val="006B1774"/>
    <w:rsid w:val="006B2596"/>
    <w:rsid w:val="006B2A7C"/>
    <w:rsid w:val="006B2C8D"/>
    <w:rsid w:val="006B35C7"/>
    <w:rsid w:val="006B3DE2"/>
    <w:rsid w:val="006B4543"/>
    <w:rsid w:val="006B46C0"/>
    <w:rsid w:val="006B46E0"/>
    <w:rsid w:val="006B50C6"/>
    <w:rsid w:val="006B630A"/>
    <w:rsid w:val="006B7714"/>
    <w:rsid w:val="006B7C24"/>
    <w:rsid w:val="006B7EA2"/>
    <w:rsid w:val="006C0E86"/>
    <w:rsid w:val="006C1577"/>
    <w:rsid w:val="006C1A37"/>
    <w:rsid w:val="006C1C0B"/>
    <w:rsid w:val="006C1C68"/>
    <w:rsid w:val="006C303E"/>
    <w:rsid w:val="006C3197"/>
    <w:rsid w:val="006C3A97"/>
    <w:rsid w:val="006C3B6D"/>
    <w:rsid w:val="006C46F8"/>
    <w:rsid w:val="006C5024"/>
    <w:rsid w:val="006C53DB"/>
    <w:rsid w:val="006C557C"/>
    <w:rsid w:val="006C5ACD"/>
    <w:rsid w:val="006C5D0D"/>
    <w:rsid w:val="006C6300"/>
    <w:rsid w:val="006C6973"/>
    <w:rsid w:val="006C7596"/>
    <w:rsid w:val="006C7C26"/>
    <w:rsid w:val="006D0D0E"/>
    <w:rsid w:val="006D1544"/>
    <w:rsid w:val="006D196E"/>
    <w:rsid w:val="006D1F02"/>
    <w:rsid w:val="006D2C58"/>
    <w:rsid w:val="006D2DCB"/>
    <w:rsid w:val="006D36B7"/>
    <w:rsid w:val="006D3A49"/>
    <w:rsid w:val="006D3BA3"/>
    <w:rsid w:val="006D46A3"/>
    <w:rsid w:val="006D4A08"/>
    <w:rsid w:val="006D534F"/>
    <w:rsid w:val="006D5556"/>
    <w:rsid w:val="006D5627"/>
    <w:rsid w:val="006D5819"/>
    <w:rsid w:val="006D5F40"/>
    <w:rsid w:val="006D6334"/>
    <w:rsid w:val="006D67A9"/>
    <w:rsid w:val="006D686D"/>
    <w:rsid w:val="006D691D"/>
    <w:rsid w:val="006D6C86"/>
    <w:rsid w:val="006D6EFC"/>
    <w:rsid w:val="006D73E9"/>
    <w:rsid w:val="006D75B5"/>
    <w:rsid w:val="006D7FDA"/>
    <w:rsid w:val="006E0144"/>
    <w:rsid w:val="006E0767"/>
    <w:rsid w:val="006E0953"/>
    <w:rsid w:val="006E1071"/>
    <w:rsid w:val="006E16AB"/>
    <w:rsid w:val="006E16F1"/>
    <w:rsid w:val="006E2003"/>
    <w:rsid w:val="006E359B"/>
    <w:rsid w:val="006E37EC"/>
    <w:rsid w:val="006E3C16"/>
    <w:rsid w:val="006E4232"/>
    <w:rsid w:val="006E4762"/>
    <w:rsid w:val="006E5123"/>
    <w:rsid w:val="006E5632"/>
    <w:rsid w:val="006E584D"/>
    <w:rsid w:val="006E62E3"/>
    <w:rsid w:val="006E693E"/>
    <w:rsid w:val="006E698D"/>
    <w:rsid w:val="006E6F85"/>
    <w:rsid w:val="006E75BF"/>
    <w:rsid w:val="006E7C04"/>
    <w:rsid w:val="006F03D9"/>
    <w:rsid w:val="006F09B5"/>
    <w:rsid w:val="006F1349"/>
    <w:rsid w:val="006F1CB3"/>
    <w:rsid w:val="006F201F"/>
    <w:rsid w:val="006F2375"/>
    <w:rsid w:val="006F24D4"/>
    <w:rsid w:val="006F2561"/>
    <w:rsid w:val="006F26FD"/>
    <w:rsid w:val="006F2C03"/>
    <w:rsid w:val="006F334B"/>
    <w:rsid w:val="006F38EE"/>
    <w:rsid w:val="006F47D1"/>
    <w:rsid w:val="006F48B3"/>
    <w:rsid w:val="006F48B8"/>
    <w:rsid w:val="006F4ACE"/>
    <w:rsid w:val="006F553C"/>
    <w:rsid w:val="006F5924"/>
    <w:rsid w:val="006F5C21"/>
    <w:rsid w:val="006F6258"/>
    <w:rsid w:val="006F65E0"/>
    <w:rsid w:val="006F65E1"/>
    <w:rsid w:val="006F6607"/>
    <w:rsid w:val="006F74B6"/>
    <w:rsid w:val="006F7F8E"/>
    <w:rsid w:val="0070007D"/>
    <w:rsid w:val="00700E20"/>
    <w:rsid w:val="00700E49"/>
    <w:rsid w:val="00701320"/>
    <w:rsid w:val="00701552"/>
    <w:rsid w:val="00701F77"/>
    <w:rsid w:val="00702061"/>
    <w:rsid w:val="00702951"/>
    <w:rsid w:val="00702E74"/>
    <w:rsid w:val="00702F88"/>
    <w:rsid w:val="007035BF"/>
    <w:rsid w:val="00703796"/>
    <w:rsid w:val="007038F8"/>
    <w:rsid w:val="00704CF2"/>
    <w:rsid w:val="00704FDE"/>
    <w:rsid w:val="00705448"/>
    <w:rsid w:val="0070578F"/>
    <w:rsid w:val="00705AF8"/>
    <w:rsid w:val="00705CA1"/>
    <w:rsid w:val="0070673D"/>
    <w:rsid w:val="00707795"/>
    <w:rsid w:val="00710B8D"/>
    <w:rsid w:val="00710B9E"/>
    <w:rsid w:val="00710BC8"/>
    <w:rsid w:val="00710C18"/>
    <w:rsid w:val="007111CF"/>
    <w:rsid w:val="007122EC"/>
    <w:rsid w:val="0071241F"/>
    <w:rsid w:val="007126FC"/>
    <w:rsid w:val="00712EC9"/>
    <w:rsid w:val="00713CDA"/>
    <w:rsid w:val="00713F16"/>
    <w:rsid w:val="00714504"/>
    <w:rsid w:val="007146D8"/>
    <w:rsid w:val="00714FE9"/>
    <w:rsid w:val="0071511A"/>
    <w:rsid w:val="007166F4"/>
    <w:rsid w:val="007168A0"/>
    <w:rsid w:val="00717026"/>
    <w:rsid w:val="00717147"/>
    <w:rsid w:val="0071733C"/>
    <w:rsid w:val="0071742A"/>
    <w:rsid w:val="00717961"/>
    <w:rsid w:val="00721283"/>
    <w:rsid w:val="00721323"/>
    <w:rsid w:val="00721AB0"/>
    <w:rsid w:val="00723046"/>
    <w:rsid w:val="00723217"/>
    <w:rsid w:val="0072399D"/>
    <w:rsid w:val="00723E04"/>
    <w:rsid w:val="00723F8F"/>
    <w:rsid w:val="007249F6"/>
    <w:rsid w:val="00724A02"/>
    <w:rsid w:val="00724E9A"/>
    <w:rsid w:val="0072571B"/>
    <w:rsid w:val="007257EA"/>
    <w:rsid w:val="007261CD"/>
    <w:rsid w:val="007263D6"/>
    <w:rsid w:val="00726566"/>
    <w:rsid w:val="00726D5B"/>
    <w:rsid w:val="007270BD"/>
    <w:rsid w:val="0073060B"/>
    <w:rsid w:val="00730B47"/>
    <w:rsid w:val="00730BC6"/>
    <w:rsid w:val="00730E8F"/>
    <w:rsid w:val="00731888"/>
    <w:rsid w:val="00731D48"/>
    <w:rsid w:val="007320F0"/>
    <w:rsid w:val="00733047"/>
    <w:rsid w:val="00733D9F"/>
    <w:rsid w:val="00734124"/>
    <w:rsid w:val="007342D8"/>
    <w:rsid w:val="00734484"/>
    <w:rsid w:val="007345B2"/>
    <w:rsid w:val="00734928"/>
    <w:rsid w:val="007355D0"/>
    <w:rsid w:val="00735981"/>
    <w:rsid w:val="00735ADE"/>
    <w:rsid w:val="00735CF6"/>
    <w:rsid w:val="00736056"/>
    <w:rsid w:val="007365B5"/>
    <w:rsid w:val="00737B87"/>
    <w:rsid w:val="00737FBD"/>
    <w:rsid w:val="00740586"/>
    <w:rsid w:val="00740E4A"/>
    <w:rsid w:val="007411B5"/>
    <w:rsid w:val="007414C1"/>
    <w:rsid w:val="0074171E"/>
    <w:rsid w:val="00741759"/>
    <w:rsid w:val="00742076"/>
    <w:rsid w:val="0074216E"/>
    <w:rsid w:val="007424C6"/>
    <w:rsid w:val="00742565"/>
    <w:rsid w:val="007428CD"/>
    <w:rsid w:val="0074295F"/>
    <w:rsid w:val="0074345E"/>
    <w:rsid w:val="00743CAF"/>
    <w:rsid w:val="00744067"/>
    <w:rsid w:val="00744392"/>
    <w:rsid w:val="00745136"/>
    <w:rsid w:val="007458BE"/>
    <w:rsid w:val="00745A15"/>
    <w:rsid w:val="00745CF4"/>
    <w:rsid w:val="00745DD2"/>
    <w:rsid w:val="00746A44"/>
    <w:rsid w:val="00747280"/>
    <w:rsid w:val="00747AE2"/>
    <w:rsid w:val="00747C04"/>
    <w:rsid w:val="00750C36"/>
    <w:rsid w:val="00750E58"/>
    <w:rsid w:val="00751354"/>
    <w:rsid w:val="00751F4D"/>
    <w:rsid w:val="007526DD"/>
    <w:rsid w:val="00752E9B"/>
    <w:rsid w:val="0075336C"/>
    <w:rsid w:val="00753939"/>
    <w:rsid w:val="0075420C"/>
    <w:rsid w:val="0075432D"/>
    <w:rsid w:val="00754CE7"/>
    <w:rsid w:val="00755378"/>
    <w:rsid w:val="0075537C"/>
    <w:rsid w:val="007557A1"/>
    <w:rsid w:val="00756137"/>
    <w:rsid w:val="00756909"/>
    <w:rsid w:val="007573A7"/>
    <w:rsid w:val="007579A6"/>
    <w:rsid w:val="00760B3B"/>
    <w:rsid w:val="00760D10"/>
    <w:rsid w:val="007614A7"/>
    <w:rsid w:val="00761D6C"/>
    <w:rsid w:val="00762108"/>
    <w:rsid w:val="0076275F"/>
    <w:rsid w:val="007633E3"/>
    <w:rsid w:val="00763521"/>
    <w:rsid w:val="00763C0F"/>
    <w:rsid w:val="00764114"/>
    <w:rsid w:val="007641A9"/>
    <w:rsid w:val="0076453E"/>
    <w:rsid w:val="00764596"/>
    <w:rsid w:val="00764E91"/>
    <w:rsid w:val="007654EF"/>
    <w:rsid w:val="00765B5E"/>
    <w:rsid w:val="007661A8"/>
    <w:rsid w:val="00766310"/>
    <w:rsid w:val="00766773"/>
    <w:rsid w:val="00766EF3"/>
    <w:rsid w:val="007670AA"/>
    <w:rsid w:val="00767723"/>
    <w:rsid w:val="00770301"/>
    <w:rsid w:val="00770B28"/>
    <w:rsid w:val="00770E38"/>
    <w:rsid w:val="0077116D"/>
    <w:rsid w:val="007723F8"/>
    <w:rsid w:val="007727C9"/>
    <w:rsid w:val="00772E4F"/>
    <w:rsid w:val="00772F42"/>
    <w:rsid w:val="007731AE"/>
    <w:rsid w:val="007732A5"/>
    <w:rsid w:val="00773507"/>
    <w:rsid w:val="00774B6B"/>
    <w:rsid w:val="007751DE"/>
    <w:rsid w:val="00775C79"/>
    <w:rsid w:val="00775E73"/>
    <w:rsid w:val="00776888"/>
    <w:rsid w:val="00776AF1"/>
    <w:rsid w:val="00776CD6"/>
    <w:rsid w:val="007778E6"/>
    <w:rsid w:val="0078026C"/>
    <w:rsid w:val="00780C9C"/>
    <w:rsid w:val="0078133D"/>
    <w:rsid w:val="00781E34"/>
    <w:rsid w:val="00782639"/>
    <w:rsid w:val="00782C7E"/>
    <w:rsid w:val="00783360"/>
    <w:rsid w:val="00783558"/>
    <w:rsid w:val="00783B8C"/>
    <w:rsid w:val="00783EEC"/>
    <w:rsid w:val="00784A20"/>
    <w:rsid w:val="00784D1D"/>
    <w:rsid w:val="00785645"/>
    <w:rsid w:val="00785785"/>
    <w:rsid w:val="007858D0"/>
    <w:rsid w:val="00785E80"/>
    <w:rsid w:val="007863B0"/>
    <w:rsid w:val="007864A4"/>
    <w:rsid w:val="007867EB"/>
    <w:rsid w:val="00787D38"/>
    <w:rsid w:val="00790065"/>
    <w:rsid w:val="00790322"/>
    <w:rsid w:val="0079033B"/>
    <w:rsid w:val="007908E0"/>
    <w:rsid w:val="007914FE"/>
    <w:rsid w:val="007919EC"/>
    <w:rsid w:val="00791B5E"/>
    <w:rsid w:val="00791DED"/>
    <w:rsid w:val="00792472"/>
    <w:rsid w:val="00792AA8"/>
    <w:rsid w:val="00793087"/>
    <w:rsid w:val="00793562"/>
    <w:rsid w:val="00793AAE"/>
    <w:rsid w:val="0079406D"/>
    <w:rsid w:val="007942FD"/>
    <w:rsid w:val="00794821"/>
    <w:rsid w:val="00794972"/>
    <w:rsid w:val="00794A0A"/>
    <w:rsid w:val="00794E58"/>
    <w:rsid w:val="00794EA2"/>
    <w:rsid w:val="00795897"/>
    <w:rsid w:val="00796999"/>
    <w:rsid w:val="00796EE7"/>
    <w:rsid w:val="00797022"/>
    <w:rsid w:val="007970CC"/>
    <w:rsid w:val="00797454"/>
    <w:rsid w:val="00797D9B"/>
    <w:rsid w:val="007A08D4"/>
    <w:rsid w:val="007A1316"/>
    <w:rsid w:val="007A1333"/>
    <w:rsid w:val="007A19C7"/>
    <w:rsid w:val="007A274B"/>
    <w:rsid w:val="007A2E35"/>
    <w:rsid w:val="007A3710"/>
    <w:rsid w:val="007A3ABE"/>
    <w:rsid w:val="007A3BD6"/>
    <w:rsid w:val="007A409A"/>
    <w:rsid w:val="007A4BA6"/>
    <w:rsid w:val="007A4CB0"/>
    <w:rsid w:val="007A5B52"/>
    <w:rsid w:val="007A60F8"/>
    <w:rsid w:val="007A62C3"/>
    <w:rsid w:val="007A7405"/>
    <w:rsid w:val="007A7701"/>
    <w:rsid w:val="007B0088"/>
    <w:rsid w:val="007B0669"/>
    <w:rsid w:val="007B08C5"/>
    <w:rsid w:val="007B0AA3"/>
    <w:rsid w:val="007B0E4D"/>
    <w:rsid w:val="007B0F11"/>
    <w:rsid w:val="007B196E"/>
    <w:rsid w:val="007B1CDD"/>
    <w:rsid w:val="007B1D1E"/>
    <w:rsid w:val="007B1DC2"/>
    <w:rsid w:val="007B1FF5"/>
    <w:rsid w:val="007B2302"/>
    <w:rsid w:val="007B231F"/>
    <w:rsid w:val="007B2D92"/>
    <w:rsid w:val="007B30E2"/>
    <w:rsid w:val="007B341B"/>
    <w:rsid w:val="007B3D22"/>
    <w:rsid w:val="007B4102"/>
    <w:rsid w:val="007B46EE"/>
    <w:rsid w:val="007B4791"/>
    <w:rsid w:val="007B593C"/>
    <w:rsid w:val="007B5D97"/>
    <w:rsid w:val="007B61F8"/>
    <w:rsid w:val="007B651A"/>
    <w:rsid w:val="007B651E"/>
    <w:rsid w:val="007B6648"/>
    <w:rsid w:val="007B6669"/>
    <w:rsid w:val="007B6899"/>
    <w:rsid w:val="007C032B"/>
    <w:rsid w:val="007C03C3"/>
    <w:rsid w:val="007C09FF"/>
    <w:rsid w:val="007C0DFD"/>
    <w:rsid w:val="007C2380"/>
    <w:rsid w:val="007C25BD"/>
    <w:rsid w:val="007C311B"/>
    <w:rsid w:val="007C31D4"/>
    <w:rsid w:val="007C327C"/>
    <w:rsid w:val="007C3350"/>
    <w:rsid w:val="007C37A4"/>
    <w:rsid w:val="007C3C1B"/>
    <w:rsid w:val="007C462E"/>
    <w:rsid w:val="007C4673"/>
    <w:rsid w:val="007C470D"/>
    <w:rsid w:val="007C501E"/>
    <w:rsid w:val="007C506B"/>
    <w:rsid w:val="007C5A01"/>
    <w:rsid w:val="007C630D"/>
    <w:rsid w:val="007C72CC"/>
    <w:rsid w:val="007C7C43"/>
    <w:rsid w:val="007D0986"/>
    <w:rsid w:val="007D0DE2"/>
    <w:rsid w:val="007D148B"/>
    <w:rsid w:val="007D1843"/>
    <w:rsid w:val="007D2177"/>
    <w:rsid w:val="007D2D26"/>
    <w:rsid w:val="007D2F7C"/>
    <w:rsid w:val="007D2F93"/>
    <w:rsid w:val="007D3B2E"/>
    <w:rsid w:val="007D3FC4"/>
    <w:rsid w:val="007D411E"/>
    <w:rsid w:val="007D44BC"/>
    <w:rsid w:val="007D4669"/>
    <w:rsid w:val="007D4A6D"/>
    <w:rsid w:val="007D4CB3"/>
    <w:rsid w:val="007D59A7"/>
    <w:rsid w:val="007D5B56"/>
    <w:rsid w:val="007D63FD"/>
    <w:rsid w:val="007D6827"/>
    <w:rsid w:val="007D698B"/>
    <w:rsid w:val="007D6FED"/>
    <w:rsid w:val="007D728F"/>
    <w:rsid w:val="007D766F"/>
    <w:rsid w:val="007D7BB6"/>
    <w:rsid w:val="007E003E"/>
    <w:rsid w:val="007E09BB"/>
    <w:rsid w:val="007E174B"/>
    <w:rsid w:val="007E19DB"/>
    <w:rsid w:val="007E1CA5"/>
    <w:rsid w:val="007E2E74"/>
    <w:rsid w:val="007E3717"/>
    <w:rsid w:val="007E4BB8"/>
    <w:rsid w:val="007E5163"/>
    <w:rsid w:val="007E5D35"/>
    <w:rsid w:val="007E6125"/>
    <w:rsid w:val="007E6244"/>
    <w:rsid w:val="007E62BD"/>
    <w:rsid w:val="007E666D"/>
    <w:rsid w:val="007E6D07"/>
    <w:rsid w:val="007F0D10"/>
    <w:rsid w:val="007F0D2E"/>
    <w:rsid w:val="007F18B6"/>
    <w:rsid w:val="007F2683"/>
    <w:rsid w:val="007F2BC0"/>
    <w:rsid w:val="007F3146"/>
    <w:rsid w:val="007F46FC"/>
    <w:rsid w:val="007F4AF4"/>
    <w:rsid w:val="007F4E91"/>
    <w:rsid w:val="007F5195"/>
    <w:rsid w:val="007F52A6"/>
    <w:rsid w:val="007F5789"/>
    <w:rsid w:val="007F5D1E"/>
    <w:rsid w:val="007F68DA"/>
    <w:rsid w:val="007F7329"/>
    <w:rsid w:val="007F77D0"/>
    <w:rsid w:val="007F7DED"/>
    <w:rsid w:val="008004E7"/>
    <w:rsid w:val="0080172F"/>
    <w:rsid w:val="00802713"/>
    <w:rsid w:val="0080276C"/>
    <w:rsid w:val="00802D7D"/>
    <w:rsid w:val="00803239"/>
    <w:rsid w:val="008035D6"/>
    <w:rsid w:val="008036D5"/>
    <w:rsid w:val="008038BD"/>
    <w:rsid w:val="00803B05"/>
    <w:rsid w:val="008041C0"/>
    <w:rsid w:val="0080492E"/>
    <w:rsid w:val="00805CBC"/>
    <w:rsid w:val="00805D9E"/>
    <w:rsid w:val="008060C8"/>
    <w:rsid w:val="008067F4"/>
    <w:rsid w:val="00806D85"/>
    <w:rsid w:val="00807F54"/>
    <w:rsid w:val="008104C0"/>
    <w:rsid w:val="0081059A"/>
    <w:rsid w:val="008106C4"/>
    <w:rsid w:val="00810CFF"/>
    <w:rsid w:val="00810F5C"/>
    <w:rsid w:val="008116EB"/>
    <w:rsid w:val="00811C59"/>
    <w:rsid w:val="00811CAF"/>
    <w:rsid w:val="00812723"/>
    <w:rsid w:val="00812CCA"/>
    <w:rsid w:val="00812CF0"/>
    <w:rsid w:val="0081318C"/>
    <w:rsid w:val="00813361"/>
    <w:rsid w:val="0081457F"/>
    <w:rsid w:val="00814A6A"/>
    <w:rsid w:val="00814ED4"/>
    <w:rsid w:val="008152E3"/>
    <w:rsid w:val="0081557C"/>
    <w:rsid w:val="008159B1"/>
    <w:rsid w:val="00816AE4"/>
    <w:rsid w:val="00817141"/>
    <w:rsid w:val="00817B65"/>
    <w:rsid w:val="00820282"/>
    <w:rsid w:val="00820651"/>
    <w:rsid w:val="0082117F"/>
    <w:rsid w:val="008211A3"/>
    <w:rsid w:val="0082221C"/>
    <w:rsid w:val="008228AC"/>
    <w:rsid w:val="0082314F"/>
    <w:rsid w:val="00823E85"/>
    <w:rsid w:val="0082440A"/>
    <w:rsid w:val="00824E33"/>
    <w:rsid w:val="008255FD"/>
    <w:rsid w:val="00825CAF"/>
    <w:rsid w:val="0082619C"/>
    <w:rsid w:val="00826245"/>
    <w:rsid w:val="008264CD"/>
    <w:rsid w:val="00826642"/>
    <w:rsid w:val="00826FFE"/>
    <w:rsid w:val="0082787B"/>
    <w:rsid w:val="00827D56"/>
    <w:rsid w:val="00827D64"/>
    <w:rsid w:val="008302F8"/>
    <w:rsid w:val="008304CE"/>
    <w:rsid w:val="008307A7"/>
    <w:rsid w:val="00830A26"/>
    <w:rsid w:val="00830B78"/>
    <w:rsid w:val="008311A8"/>
    <w:rsid w:val="00831A0D"/>
    <w:rsid w:val="00831EE7"/>
    <w:rsid w:val="0083338C"/>
    <w:rsid w:val="008340A0"/>
    <w:rsid w:val="008342CD"/>
    <w:rsid w:val="00834792"/>
    <w:rsid w:val="00834A0C"/>
    <w:rsid w:val="00834E7B"/>
    <w:rsid w:val="00835465"/>
    <w:rsid w:val="00835EE1"/>
    <w:rsid w:val="00836AD2"/>
    <w:rsid w:val="00837474"/>
    <w:rsid w:val="008375CC"/>
    <w:rsid w:val="008404F3"/>
    <w:rsid w:val="0084053F"/>
    <w:rsid w:val="00840C07"/>
    <w:rsid w:val="00840DF4"/>
    <w:rsid w:val="008415CC"/>
    <w:rsid w:val="00841EBD"/>
    <w:rsid w:val="00841ED7"/>
    <w:rsid w:val="008422DB"/>
    <w:rsid w:val="0084264B"/>
    <w:rsid w:val="0084280B"/>
    <w:rsid w:val="00842862"/>
    <w:rsid w:val="00842E68"/>
    <w:rsid w:val="00843A1D"/>
    <w:rsid w:val="00843AE9"/>
    <w:rsid w:val="00843C3E"/>
    <w:rsid w:val="00844414"/>
    <w:rsid w:val="0084466E"/>
    <w:rsid w:val="00844790"/>
    <w:rsid w:val="00844A64"/>
    <w:rsid w:val="00845076"/>
    <w:rsid w:val="00845130"/>
    <w:rsid w:val="00845199"/>
    <w:rsid w:val="008452B4"/>
    <w:rsid w:val="00845A3F"/>
    <w:rsid w:val="00845B13"/>
    <w:rsid w:val="00846160"/>
    <w:rsid w:val="008467C5"/>
    <w:rsid w:val="008470D7"/>
    <w:rsid w:val="008472C4"/>
    <w:rsid w:val="008477A4"/>
    <w:rsid w:val="00847B8A"/>
    <w:rsid w:val="00847DEA"/>
    <w:rsid w:val="00847DFE"/>
    <w:rsid w:val="00850231"/>
    <w:rsid w:val="00850689"/>
    <w:rsid w:val="00850DCA"/>
    <w:rsid w:val="00850F99"/>
    <w:rsid w:val="00851111"/>
    <w:rsid w:val="00851188"/>
    <w:rsid w:val="00851466"/>
    <w:rsid w:val="00851C9D"/>
    <w:rsid w:val="008525CF"/>
    <w:rsid w:val="00853268"/>
    <w:rsid w:val="008542CC"/>
    <w:rsid w:val="00854596"/>
    <w:rsid w:val="00854707"/>
    <w:rsid w:val="00855332"/>
    <w:rsid w:val="00855A9B"/>
    <w:rsid w:val="00857656"/>
    <w:rsid w:val="00860146"/>
    <w:rsid w:val="0086088B"/>
    <w:rsid w:val="008608A6"/>
    <w:rsid w:val="00860973"/>
    <w:rsid w:val="00860B77"/>
    <w:rsid w:val="0086183E"/>
    <w:rsid w:val="00861A72"/>
    <w:rsid w:val="00861BD3"/>
    <w:rsid w:val="00861C61"/>
    <w:rsid w:val="0086202F"/>
    <w:rsid w:val="008626A3"/>
    <w:rsid w:val="00862766"/>
    <w:rsid w:val="00862BF3"/>
    <w:rsid w:val="008634B5"/>
    <w:rsid w:val="00864777"/>
    <w:rsid w:val="008648B5"/>
    <w:rsid w:val="00864F6F"/>
    <w:rsid w:val="00865702"/>
    <w:rsid w:val="00865923"/>
    <w:rsid w:val="00865A78"/>
    <w:rsid w:val="0086641A"/>
    <w:rsid w:val="0086691E"/>
    <w:rsid w:val="008672B4"/>
    <w:rsid w:val="00867ACC"/>
    <w:rsid w:val="00867F68"/>
    <w:rsid w:val="00870741"/>
    <w:rsid w:val="00870EB2"/>
    <w:rsid w:val="008712FF"/>
    <w:rsid w:val="008726C6"/>
    <w:rsid w:val="008732B4"/>
    <w:rsid w:val="008736BD"/>
    <w:rsid w:val="008737D3"/>
    <w:rsid w:val="00873894"/>
    <w:rsid w:val="00873E0E"/>
    <w:rsid w:val="00874374"/>
    <w:rsid w:val="00874507"/>
    <w:rsid w:val="00874E56"/>
    <w:rsid w:val="0087573F"/>
    <w:rsid w:val="00875A07"/>
    <w:rsid w:val="00876A21"/>
    <w:rsid w:val="00876A24"/>
    <w:rsid w:val="00876BBB"/>
    <w:rsid w:val="0087706F"/>
    <w:rsid w:val="00877B41"/>
    <w:rsid w:val="00877CBF"/>
    <w:rsid w:val="0088032B"/>
    <w:rsid w:val="008814ED"/>
    <w:rsid w:val="008816BA"/>
    <w:rsid w:val="008821D6"/>
    <w:rsid w:val="00882B8A"/>
    <w:rsid w:val="00882D53"/>
    <w:rsid w:val="00882F86"/>
    <w:rsid w:val="00883437"/>
    <w:rsid w:val="008834C5"/>
    <w:rsid w:val="00883C24"/>
    <w:rsid w:val="00884279"/>
    <w:rsid w:val="00884A4A"/>
    <w:rsid w:val="00884F8D"/>
    <w:rsid w:val="0088511D"/>
    <w:rsid w:val="008853F8"/>
    <w:rsid w:val="00885E88"/>
    <w:rsid w:val="00885F3C"/>
    <w:rsid w:val="0088637D"/>
    <w:rsid w:val="00886439"/>
    <w:rsid w:val="00886FF1"/>
    <w:rsid w:val="0088790D"/>
    <w:rsid w:val="00887CEF"/>
    <w:rsid w:val="0089045C"/>
    <w:rsid w:val="008905A6"/>
    <w:rsid w:val="00890925"/>
    <w:rsid w:val="00891673"/>
    <w:rsid w:val="00891D38"/>
    <w:rsid w:val="008920AA"/>
    <w:rsid w:val="008922CA"/>
    <w:rsid w:val="00892346"/>
    <w:rsid w:val="00892F7D"/>
    <w:rsid w:val="008932CD"/>
    <w:rsid w:val="008933F7"/>
    <w:rsid w:val="0089427C"/>
    <w:rsid w:val="00894ADF"/>
    <w:rsid w:val="0089510F"/>
    <w:rsid w:val="008953BD"/>
    <w:rsid w:val="00895B3F"/>
    <w:rsid w:val="00895BF8"/>
    <w:rsid w:val="00895C07"/>
    <w:rsid w:val="00896093"/>
    <w:rsid w:val="00896217"/>
    <w:rsid w:val="00896B02"/>
    <w:rsid w:val="00896C6C"/>
    <w:rsid w:val="00896E35"/>
    <w:rsid w:val="00896F73"/>
    <w:rsid w:val="00897153"/>
    <w:rsid w:val="00897AEF"/>
    <w:rsid w:val="00897C32"/>
    <w:rsid w:val="00897E23"/>
    <w:rsid w:val="008A0B30"/>
    <w:rsid w:val="008A0FC2"/>
    <w:rsid w:val="008A1019"/>
    <w:rsid w:val="008A1C70"/>
    <w:rsid w:val="008A1F34"/>
    <w:rsid w:val="008A24C0"/>
    <w:rsid w:val="008A26AB"/>
    <w:rsid w:val="008A2701"/>
    <w:rsid w:val="008A282B"/>
    <w:rsid w:val="008A2E26"/>
    <w:rsid w:val="008A3471"/>
    <w:rsid w:val="008A3EBF"/>
    <w:rsid w:val="008A40E2"/>
    <w:rsid w:val="008A4628"/>
    <w:rsid w:val="008A54E9"/>
    <w:rsid w:val="008A574E"/>
    <w:rsid w:val="008A5F33"/>
    <w:rsid w:val="008A6208"/>
    <w:rsid w:val="008A7C9A"/>
    <w:rsid w:val="008B06DB"/>
    <w:rsid w:val="008B13C4"/>
    <w:rsid w:val="008B1E85"/>
    <w:rsid w:val="008B2963"/>
    <w:rsid w:val="008B2D00"/>
    <w:rsid w:val="008B37EA"/>
    <w:rsid w:val="008B4358"/>
    <w:rsid w:val="008B4518"/>
    <w:rsid w:val="008B45FE"/>
    <w:rsid w:val="008B47CB"/>
    <w:rsid w:val="008B54A7"/>
    <w:rsid w:val="008B5675"/>
    <w:rsid w:val="008B577B"/>
    <w:rsid w:val="008B58BD"/>
    <w:rsid w:val="008B6A6C"/>
    <w:rsid w:val="008B6C0C"/>
    <w:rsid w:val="008B7346"/>
    <w:rsid w:val="008B79A3"/>
    <w:rsid w:val="008B7BBA"/>
    <w:rsid w:val="008B7FC1"/>
    <w:rsid w:val="008C004F"/>
    <w:rsid w:val="008C0996"/>
    <w:rsid w:val="008C0C3F"/>
    <w:rsid w:val="008C10EF"/>
    <w:rsid w:val="008C1102"/>
    <w:rsid w:val="008C12A0"/>
    <w:rsid w:val="008C12BE"/>
    <w:rsid w:val="008C1512"/>
    <w:rsid w:val="008C15BB"/>
    <w:rsid w:val="008C1C79"/>
    <w:rsid w:val="008C20CB"/>
    <w:rsid w:val="008C215F"/>
    <w:rsid w:val="008C2287"/>
    <w:rsid w:val="008C26F4"/>
    <w:rsid w:val="008C28E5"/>
    <w:rsid w:val="008C2992"/>
    <w:rsid w:val="008C3830"/>
    <w:rsid w:val="008C4C76"/>
    <w:rsid w:val="008C4E5F"/>
    <w:rsid w:val="008C5E0E"/>
    <w:rsid w:val="008C653D"/>
    <w:rsid w:val="008C6610"/>
    <w:rsid w:val="008C6886"/>
    <w:rsid w:val="008C6C82"/>
    <w:rsid w:val="008C7ED1"/>
    <w:rsid w:val="008D049C"/>
    <w:rsid w:val="008D1313"/>
    <w:rsid w:val="008D15F7"/>
    <w:rsid w:val="008D1DE6"/>
    <w:rsid w:val="008D1FDE"/>
    <w:rsid w:val="008D207A"/>
    <w:rsid w:val="008D21CE"/>
    <w:rsid w:val="008D2512"/>
    <w:rsid w:val="008D28F5"/>
    <w:rsid w:val="008D2AEC"/>
    <w:rsid w:val="008D351D"/>
    <w:rsid w:val="008D3897"/>
    <w:rsid w:val="008D3BDE"/>
    <w:rsid w:val="008D426F"/>
    <w:rsid w:val="008D4C2D"/>
    <w:rsid w:val="008D5C55"/>
    <w:rsid w:val="008D6A65"/>
    <w:rsid w:val="008D6FA5"/>
    <w:rsid w:val="008D712B"/>
    <w:rsid w:val="008D71A1"/>
    <w:rsid w:val="008D7345"/>
    <w:rsid w:val="008D7F40"/>
    <w:rsid w:val="008E0752"/>
    <w:rsid w:val="008E0EAC"/>
    <w:rsid w:val="008E1C45"/>
    <w:rsid w:val="008E242E"/>
    <w:rsid w:val="008E2AAE"/>
    <w:rsid w:val="008E2CF4"/>
    <w:rsid w:val="008E3370"/>
    <w:rsid w:val="008E3979"/>
    <w:rsid w:val="008E41E4"/>
    <w:rsid w:val="008E434F"/>
    <w:rsid w:val="008E4AE3"/>
    <w:rsid w:val="008E5087"/>
    <w:rsid w:val="008E5B20"/>
    <w:rsid w:val="008E5CE9"/>
    <w:rsid w:val="008E5F0E"/>
    <w:rsid w:val="008E647B"/>
    <w:rsid w:val="008E722C"/>
    <w:rsid w:val="008E7807"/>
    <w:rsid w:val="008E7B61"/>
    <w:rsid w:val="008F0050"/>
    <w:rsid w:val="008F03D5"/>
    <w:rsid w:val="008F060C"/>
    <w:rsid w:val="008F07B7"/>
    <w:rsid w:val="008F1DA8"/>
    <w:rsid w:val="008F20A9"/>
    <w:rsid w:val="008F2214"/>
    <w:rsid w:val="008F2279"/>
    <w:rsid w:val="008F23E1"/>
    <w:rsid w:val="008F29E0"/>
    <w:rsid w:val="008F3212"/>
    <w:rsid w:val="008F3AE2"/>
    <w:rsid w:val="008F4280"/>
    <w:rsid w:val="008F48EE"/>
    <w:rsid w:val="008F495A"/>
    <w:rsid w:val="008F4A78"/>
    <w:rsid w:val="008F4C7B"/>
    <w:rsid w:val="008F4EB6"/>
    <w:rsid w:val="008F5265"/>
    <w:rsid w:val="008F57DD"/>
    <w:rsid w:val="008F5D6B"/>
    <w:rsid w:val="008F6201"/>
    <w:rsid w:val="008F6221"/>
    <w:rsid w:val="008F646B"/>
    <w:rsid w:val="008F6504"/>
    <w:rsid w:val="008F67D4"/>
    <w:rsid w:val="008F6A3C"/>
    <w:rsid w:val="008F6D63"/>
    <w:rsid w:val="008F6DA4"/>
    <w:rsid w:val="008F722B"/>
    <w:rsid w:val="008F73FC"/>
    <w:rsid w:val="008F777B"/>
    <w:rsid w:val="008F7A37"/>
    <w:rsid w:val="008F7CCE"/>
    <w:rsid w:val="008F7DA4"/>
    <w:rsid w:val="00900492"/>
    <w:rsid w:val="0090105C"/>
    <w:rsid w:val="009011F8"/>
    <w:rsid w:val="0090237E"/>
    <w:rsid w:val="009030BA"/>
    <w:rsid w:val="00903157"/>
    <w:rsid w:val="009035E0"/>
    <w:rsid w:val="009036C3"/>
    <w:rsid w:val="009037BC"/>
    <w:rsid w:val="00903F2D"/>
    <w:rsid w:val="0090423F"/>
    <w:rsid w:val="00904569"/>
    <w:rsid w:val="0090466F"/>
    <w:rsid w:val="009048A5"/>
    <w:rsid w:val="009053AC"/>
    <w:rsid w:val="009063E2"/>
    <w:rsid w:val="009064E2"/>
    <w:rsid w:val="009077C7"/>
    <w:rsid w:val="00910A47"/>
    <w:rsid w:val="00910AFE"/>
    <w:rsid w:val="00911099"/>
    <w:rsid w:val="009110C1"/>
    <w:rsid w:val="00911581"/>
    <w:rsid w:val="009119AB"/>
    <w:rsid w:val="00911A8A"/>
    <w:rsid w:val="00912191"/>
    <w:rsid w:val="0091220E"/>
    <w:rsid w:val="009126E2"/>
    <w:rsid w:val="00912C9A"/>
    <w:rsid w:val="00912FDA"/>
    <w:rsid w:val="0091324D"/>
    <w:rsid w:val="0091465A"/>
    <w:rsid w:val="00915A0A"/>
    <w:rsid w:val="00916334"/>
    <w:rsid w:val="00917E78"/>
    <w:rsid w:val="00917FE3"/>
    <w:rsid w:val="00920140"/>
    <w:rsid w:val="00920216"/>
    <w:rsid w:val="00920463"/>
    <w:rsid w:val="00921685"/>
    <w:rsid w:val="009217ED"/>
    <w:rsid w:val="009221B7"/>
    <w:rsid w:val="00922863"/>
    <w:rsid w:val="009229B8"/>
    <w:rsid w:val="009231E5"/>
    <w:rsid w:val="00923509"/>
    <w:rsid w:val="009235CB"/>
    <w:rsid w:val="0092375C"/>
    <w:rsid w:val="009238C7"/>
    <w:rsid w:val="0092396B"/>
    <w:rsid w:val="00923D68"/>
    <w:rsid w:val="0092437E"/>
    <w:rsid w:val="0092445F"/>
    <w:rsid w:val="009245CA"/>
    <w:rsid w:val="009250D9"/>
    <w:rsid w:val="009252B1"/>
    <w:rsid w:val="00925C77"/>
    <w:rsid w:val="00926E4D"/>
    <w:rsid w:val="009272F7"/>
    <w:rsid w:val="00927C01"/>
    <w:rsid w:val="009305C7"/>
    <w:rsid w:val="00930610"/>
    <w:rsid w:val="00930A42"/>
    <w:rsid w:val="00930CC7"/>
    <w:rsid w:val="00930EB1"/>
    <w:rsid w:val="009313CB"/>
    <w:rsid w:val="00931457"/>
    <w:rsid w:val="009315DF"/>
    <w:rsid w:val="00931CB0"/>
    <w:rsid w:val="00931CE3"/>
    <w:rsid w:val="00931E8F"/>
    <w:rsid w:val="009327DE"/>
    <w:rsid w:val="00933047"/>
    <w:rsid w:val="0093352D"/>
    <w:rsid w:val="00933554"/>
    <w:rsid w:val="00933C58"/>
    <w:rsid w:val="00933D9A"/>
    <w:rsid w:val="00933E43"/>
    <w:rsid w:val="009341EE"/>
    <w:rsid w:val="009342A9"/>
    <w:rsid w:val="0093452D"/>
    <w:rsid w:val="00935605"/>
    <w:rsid w:val="009368A7"/>
    <w:rsid w:val="00936C0E"/>
    <w:rsid w:val="00936F9F"/>
    <w:rsid w:val="009376FF"/>
    <w:rsid w:val="00940185"/>
    <w:rsid w:val="00940BCD"/>
    <w:rsid w:val="00941279"/>
    <w:rsid w:val="00941315"/>
    <w:rsid w:val="0094184C"/>
    <w:rsid w:val="0094192C"/>
    <w:rsid w:val="00941D39"/>
    <w:rsid w:val="00942093"/>
    <w:rsid w:val="00942D89"/>
    <w:rsid w:val="00942EA4"/>
    <w:rsid w:val="00944736"/>
    <w:rsid w:val="009447C9"/>
    <w:rsid w:val="009450EE"/>
    <w:rsid w:val="009458EF"/>
    <w:rsid w:val="009460A2"/>
    <w:rsid w:val="0094627A"/>
    <w:rsid w:val="009462D5"/>
    <w:rsid w:val="0094640E"/>
    <w:rsid w:val="00946615"/>
    <w:rsid w:val="0094673C"/>
    <w:rsid w:val="00946AA3"/>
    <w:rsid w:val="00947087"/>
    <w:rsid w:val="009473E6"/>
    <w:rsid w:val="00947636"/>
    <w:rsid w:val="00947757"/>
    <w:rsid w:val="00947BAB"/>
    <w:rsid w:val="00950425"/>
    <w:rsid w:val="009504FA"/>
    <w:rsid w:val="00950667"/>
    <w:rsid w:val="009508E9"/>
    <w:rsid w:val="009512DE"/>
    <w:rsid w:val="009516D0"/>
    <w:rsid w:val="00951D0F"/>
    <w:rsid w:val="00951D78"/>
    <w:rsid w:val="009532EA"/>
    <w:rsid w:val="00953EB6"/>
    <w:rsid w:val="0095448D"/>
    <w:rsid w:val="0095456C"/>
    <w:rsid w:val="00954631"/>
    <w:rsid w:val="009547B3"/>
    <w:rsid w:val="0095493C"/>
    <w:rsid w:val="00954E1D"/>
    <w:rsid w:val="00954E36"/>
    <w:rsid w:val="00954FA8"/>
    <w:rsid w:val="009558B2"/>
    <w:rsid w:val="00955E25"/>
    <w:rsid w:val="009568D0"/>
    <w:rsid w:val="00956905"/>
    <w:rsid w:val="00956E7D"/>
    <w:rsid w:val="00960325"/>
    <w:rsid w:val="00960334"/>
    <w:rsid w:val="00960B38"/>
    <w:rsid w:val="009614C6"/>
    <w:rsid w:val="0096214B"/>
    <w:rsid w:val="00962971"/>
    <w:rsid w:val="009629B1"/>
    <w:rsid w:val="00962A9B"/>
    <w:rsid w:val="00962BFB"/>
    <w:rsid w:val="00962E1C"/>
    <w:rsid w:val="0096301D"/>
    <w:rsid w:val="009630D8"/>
    <w:rsid w:val="0096349D"/>
    <w:rsid w:val="00963D20"/>
    <w:rsid w:val="00964618"/>
    <w:rsid w:val="00964954"/>
    <w:rsid w:val="00964AD8"/>
    <w:rsid w:val="0096535D"/>
    <w:rsid w:val="009654F2"/>
    <w:rsid w:val="0096553E"/>
    <w:rsid w:val="009655AB"/>
    <w:rsid w:val="00965D6D"/>
    <w:rsid w:val="00965EB9"/>
    <w:rsid w:val="00965F1C"/>
    <w:rsid w:val="0096626E"/>
    <w:rsid w:val="00966AEE"/>
    <w:rsid w:val="00966B50"/>
    <w:rsid w:val="00966DEC"/>
    <w:rsid w:val="009701AD"/>
    <w:rsid w:val="00970804"/>
    <w:rsid w:val="009709EC"/>
    <w:rsid w:val="00971482"/>
    <w:rsid w:val="009714E2"/>
    <w:rsid w:val="00971D9D"/>
    <w:rsid w:val="0097299A"/>
    <w:rsid w:val="00973EEF"/>
    <w:rsid w:val="009744BD"/>
    <w:rsid w:val="009746C3"/>
    <w:rsid w:val="00974EF6"/>
    <w:rsid w:val="009755AD"/>
    <w:rsid w:val="00975971"/>
    <w:rsid w:val="0097661F"/>
    <w:rsid w:val="0097673B"/>
    <w:rsid w:val="00976CD3"/>
    <w:rsid w:val="00977830"/>
    <w:rsid w:val="009778BA"/>
    <w:rsid w:val="00977F6A"/>
    <w:rsid w:val="00977FA8"/>
    <w:rsid w:val="00980E26"/>
    <w:rsid w:val="00980F64"/>
    <w:rsid w:val="00981274"/>
    <w:rsid w:val="009812CF"/>
    <w:rsid w:val="00982363"/>
    <w:rsid w:val="00982732"/>
    <w:rsid w:val="00982C44"/>
    <w:rsid w:val="009839C0"/>
    <w:rsid w:val="00984AB9"/>
    <w:rsid w:val="00984FE5"/>
    <w:rsid w:val="00985153"/>
    <w:rsid w:val="009865A0"/>
    <w:rsid w:val="00986734"/>
    <w:rsid w:val="0098700E"/>
    <w:rsid w:val="00987366"/>
    <w:rsid w:val="009875E9"/>
    <w:rsid w:val="00987A04"/>
    <w:rsid w:val="00987C7D"/>
    <w:rsid w:val="00990380"/>
    <w:rsid w:val="0099099F"/>
    <w:rsid w:val="0099102F"/>
    <w:rsid w:val="009921DB"/>
    <w:rsid w:val="0099272B"/>
    <w:rsid w:val="009928EF"/>
    <w:rsid w:val="00993117"/>
    <w:rsid w:val="00993137"/>
    <w:rsid w:val="0099324D"/>
    <w:rsid w:val="009934B1"/>
    <w:rsid w:val="00993FB2"/>
    <w:rsid w:val="009940EF"/>
    <w:rsid w:val="009948F0"/>
    <w:rsid w:val="00994A8D"/>
    <w:rsid w:val="00994D03"/>
    <w:rsid w:val="00994D06"/>
    <w:rsid w:val="00995A7C"/>
    <w:rsid w:val="00996451"/>
    <w:rsid w:val="009969E9"/>
    <w:rsid w:val="00997687"/>
    <w:rsid w:val="00997920"/>
    <w:rsid w:val="00997CF0"/>
    <w:rsid w:val="00997D12"/>
    <w:rsid w:val="00997E77"/>
    <w:rsid w:val="009A015D"/>
    <w:rsid w:val="009A0447"/>
    <w:rsid w:val="009A0592"/>
    <w:rsid w:val="009A0BBC"/>
    <w:rsid w:val="009A0DBA"/>
    <w:rsid w:val="009A1657"/>
    <w:rsid w:val="009A1E25"/>
    <w:rsid w:val="009A21DF"/>
    <w:rsid w:val="009A2952"/>
    <w:rsid w:val="009A2D30"/>
    <w:rsid w:val="009A3A57"/>
    <w:rsid w:val="009A3CDB"/>
    <w:rsid w:val="009A58A1"/>
    <w:rsid w:val="009A5AFD"/>
    <w:rsid w:val="009A635F"/>
    <w:rsid w:val="009A6551"/>
    <w:rsid w:val="009A6EFD"/>
    <w:rsid w:val="009A7731"/>
    <w:rsid w:val="009A7738"/>
    <w:rsid w:val="009B01C7"/>
    <w:rsid w:val="009B01FD"/>
    <w:rsid w:val="009B03FC"/>
    <w:rsid w:val="009B0840"/>
    <w:rsid w:val="009B2466"/>
    <w:rsid w:val="009B3035"/>
    <w:rsid w:val="009B39DC"/>
    <w:rsid w:val="009B4A9C"/>
    <w:rsid w:val="009B4B7D"/>
    <w:rsid w:val="009B4BFF"/>
    <w:rsid w:val="009B4C95"/>
    <w:rsid w:val="009B4DF7"/>
    <w:rsid w:val="009B61E7"/>
    <w:rsid w:val="009B6793"/>
    <w:rsid w:val="009B6DBB"/>
    <w:rsid w:val="009B706F"/>
    <w:rsid w:val="009B7C4D"/>
    <w:rsid w:val="009C0018"/>
    <w:rsid w:val="009C0087"/>
    <w:rsid w:val="009C02F0"/>
    <w:rsid w:val="009C1B53"/>
    <w:rsid w:val="009C1DA6"/>
    <w:rsid w:val="009C25F4"/>
    <w:rsid w:val="009C273F"/>
    <w:rsid w:val="009C33D5"/>
    <w:rsid w:val="009C348D"/>
    <w:rsid w:val="009C37D6"/>
    <w:rsid w:val="009C3B02"/>
    <w:rsid w:val="009C3F3D"/>
    <w:rsid w:val="009C43D8"/>
    <w:rsid w:val="009C45C8"/>
    <w:rsid w:val="009C4AED"/>
    <w:rsid w:val="009C4B61"/>
    <w:rsid w:val="009C4CC7"/>
    <w:rsid w:val="009C4DEB"/>
    <w:rsid w:val="009C51FA"/>
    <w:rsid w:val="009C5FB3"/>
    <w:rsid w:val="009C643C"/>
    <w:rsid w:val="009C6E69"/>
    <w:rsid w:val="009C6E72"/>
    <w:rsid w:val="009C6EA2"/>
    <w:rsid w:val="009C732B"/>
    <w:rsid w:val="009C7373"/>
    <w:rsid w:val="009C7C04"/>
    <w:rsid w:val="009C7ECA"/>
    <w:rsid w:val="009D0222"/>
    <w:rsid w:val="009D0A4A"/>
    <w:rsid w:val="009D0D00"/>
    <w:rsid w:val="009D10B5"/>
    <w:rsid w:val="009D11FD"/>
    <w:rsid w:val="009D1375"/>
    <w:rsid w:val="009D17F6"/>
    <w:rsid w:val="009D2469"/>
    <w:rsid w:val="009D274C"/>
    <w:rsid w:val="009D2A28"/>
    <w:rsid w:val="009D34F4"/>
    <w:rsid w:val="009D378E"/>
    <w:rsid w:val="009D3C3F"/>
    <w:rsid w:val="009D4D67"/>
    <w:rsid w:val="009D6065"/>
    <w:rsid w:val="009D61F7"/>
    <w:rsid w:val="009D635B"/>
    <w:rsid w:val="009D65EF"/>
    <w:rsid w:val="009D66DC"/>
    <w:rsid w:val="009D6E29"/>
    <w:rsid w:val="009D74B0"/>
    <w:rsid w:val="009D7F6F"/>
    <w:rsid w:val="009E0393"/>
    <w:rsid w:val="009E07D3"/>
    <w:rsid w:val="009E1090"/>
    <w:rsid w:val="009E13CB"/>
    <w:rsid w:val="009E1550"/>
    <w:rsid w:val="009E1AE2"/>
    <w:rsid w:val="009E23B9"/>
    <w:rsid w:val="009E2E0A"/>
    <w:rsid w:val="009E3425"/>
    <w:rsid w:val="009E391B"/>
    <w:rsid w:val="009E4148"/>
    <w:rsid w:val="009E4F1E"/>
    <w:rsid w:val="009E50BB"/>
    <w:rsid w:val="009E51E8"/>
    <w:rsid w:val="009E5A59"/>
    <w:rsid w:val="009E6CA0"/>
    <w:rsid w:val="009E7829"/>
    <w:rsid w:val="009E785A"/>
    <w:rsid w:val="009E7FB5"/>
    <w:rsid w:val="009F01D6"/>
    <w:rsid w:val="009F06F2"/>
    <w:rsid w:val="009F0E69"/>
    <w:rsid w:val="009F16F9"/>
    <w:rsid w:val="009F1D85"/>
    <w:rsid w:val="009F1EC7"/>
    <w:rsid w:val="009F2274"/>
    <w:rsid w:val="009F24C4"/>
    <w:rsid w:val="009F282E"/>
    <w:rsid w:val="009F2FF0"/>
    <w:rsid w:val="009F47F3"/>
    <w:rsid w:val="009F48A3"/>
    <w:rsid w:val="009F4ADC"/>
    <w:rsid w:val="009F5401"/>
    <w:rsid w:val="009F5997"/>
    <w:rsid w:val="009F5A54"/>
    <w:rsid w:val="009F635E"/>
    <w:rsid w:val="009F70EA"/>
    <w:rsid w:val="009F78D1"/>
    <w:rsid w:val="00A00002"/>
    <w:rsid w:val="00A0008F"/>
    <w:rsid w:val="00A01572"/>
    <w:rsid w:val="00A01B11"/>
    <w:rsid w:val="00A021BF"/>
    <w:rsid w:val="00A024C7"/>
    <w:rsid w:val="00A024E7"/>
    <w:rsid w:val="00A02C5D"/>
    <w:rsid w:val="00A033FB"/>
    <w:rsid w:val="00A036FA"/>
    <w:rsid w:val="00A0392E"/>
    <w:rsid w:val="00A039E3"/>
    <w:rsid w:val="00A04054"/>
    <w:rsid w:val="00A046C7"/>
    <w:rsid w:val="00A048B5"/>
    <w:rsid w:val="00A04F02"/>
    <w:rsid w:val="00A0500B"/>
    <w:rsid w:val="00A05138"/>
    <w:rsid w:val="00A05289"/>
    <w:rsid w:val="00A054AF"/>
    <w:rsid w:val="00A05B09"/>
    <w:rsid w:val="00A0673A"/>
    <w:rsid w:val="00A070D9"/>
    <w:rsid w:val="00A0736D"/>
    <w:rsid w:val="00A07640"/>
    <w:rsid w:val="00A078A7"/>
    <w:rsid w:val="00A1058C"/>
    <w:rsid w:val="00A11095"/>
    <w:rsid w:val="00A11117"/>
    <w:rsid w:val="00A11301"/>
    <w:rsid w:val="00A11B45"/>
    <w:rsid w:val="00A11C8D"/>
    <w:rsid w:val="00A12C28"/>
    <w:rsid w:val="00A130FF"/>
    <w:rsid w:val="00A13116"/>
    <w:rsid w:val="00A13910"/>
    <w:rsid w:val="00A13D16"/>
    <w:rsid w:val="00A140D3"/>
    <w:rsid w:val="00A14344"/>
    <w:rsid w:val="00A1446B"/>
    <w:rsid w:val="00A14471"/>
    <w:rsid w:val="00A15103"/>
    <w:rsid w:val="00A15236"/>
    <w:rsid w:val="00A15335"/>
    <w:rsid w:val="00A15607"/>
    <w:rsid w:val="00A15882"/>
    <w:rsid w:val="00A167DF"/>
    <w:rsid w:val="00A167F2"/>
    <w:rsid w:val="00A16A9B"/>
    <w:rsid w:val="00A178EC"/>
    <w:rsid w:val="00A17EFE"/>
    <w:rsid w:val="00A203C8"/>
    <w:rsid w:val="00A20C4F"/>
    <w:rsid w:val="00A20C78"/>
    <w:rsid w:val="00A2107F"/>
    <w:rsid w:val="00A22500"/>
    <w:rsid w:val="00A2252D"/>
    <w:rsid w:val="00A2312E"/>
    <w:rsid w:val="00A238FD"/>
    <w:rsid w:val="00A24323"/>
    <w:rsid w:val="00A243B2"/>
    <w:rsid w:val="00A24A32"/>
    <w:rsid w:val="00A24C06"/>
    <w:rsid w:val="00A2512C"/>
    <w:rsid w:val="00A2515B"/>
    <w:rsid w:val="00A2588E"/>
    <w:rsid w:val="00A25A08"/>
    <w:rsid w:val="00A25B5D"/>
    <w:rsid w:val="00A25EAB"/>
    <w:rsid w:val="00A25FEF"/>
    <w:rsid w:val="00A26565"/>
    <w:rsid w:val="00A26638"/>
    <w:rsid w:val="00A2663D"/>
    <w:rsid w:val="00A26E32"/>
    <w:rsid w:val="00A26EDF"/>
    <w:rsid w:val="00A273E8"/>
    <w:rsid w:val="00A2768A"/>
    <w:rsid w:val="00A27C24"/>
    <w:rsid w:val="00A27D60"/>
    <w:rsid w:val="00A3083F"/>
    <w:rsid w:val="00A3087A"/>
    <w:rsid w:val="00A30910"/>
    <w:rsid w:val="00A30FEC"/>
    <w:rsid w:val="00A31A72"/>
    <w:rsid w:val="00A321EC"/>
    <w:rsid w:val="00A32B55"/>
    <w:rsid w:val="00A32CD5"/>
    <w:rsid w:val="00A32EC2"/>
    <w:rsid w:val="00A3336C"/>
    <w:rsid w:val="00A33926"/>
    <w:rsid w:val="00A33E7C"/>
    <w:rsid w:val="00A34390"/>
    <w:rsid w:val="00A34618"/>
    <w:rsid w:val="00A34789"/>
    <w:rsid w:val="00A34A8D"/>
    <w:rsid w:val="00A3630E"/>
    <w:rsid w:val="00A36848"/>
    <w:rsid w:val="00A36A1F"/>
    <w:rsid w:val="00A3716B"/>
    <w:rsid w:val="00A371DE"/>
    <w:rsid w:val="00A372E1"/>
    <w:rsid w:val="00A37BB8"/>
    <w:rsid w:val="00A37CEE"/>
    <w:rsid w:val="00A37D74"/>
    <w:rsid w:val="00A400C4"/>
    <w:rsid w:val="00A400FD"/>
    <w:rsid w:val="00A40514"/>
    <w:rsid w:val="00A40C4B"/>
    <w:rsid w:val="00A41040"/>
    <w:rsid w:val="00A417C5"/>
    <w:rsid w:val="00A4194D"/>
    <w:rsid w:val="00A41FF8"/>
    <w:rsid w:val="00A42954"/>
    <w:rsid w:val="00A42D87"/>
    <w:rsid w:val="00A43AD1"/>
    <w:rsid w:val="00A43B24"/>
    <w:rsid w:val="00A44144"/>
    <w:rsid w:val="00A4423C"/>
    <w:rsid w:val="00A44434"/>
    <w:rsid w:val="00A446E8"/>
    <w:rsid w:val="00A449A5"/>
    <w:rsid w:val="00A44BD3"/>
    <w:rsid w:val="00A44E02"/>
    <w:rsid w:val="00A4521D"/>
    <w:rsid w:val="00A4582B"/>
    <w:rsid w:val="00A458E1"/>
    <w:rsid w:val="00A45E84"/>
    <w:rsid w:val="00A46409"/>
    <w:rsid w:val="00A4656C"/>
    <w:rsid w:val="00A465B8"/>
    <w:rsid w:val="00A4691D"/>
    <w:rsid w:val="00A46A86"/>
    <w:rsid w:val="00A46D6F"/>
    <w:rsid w:val="00A504B1"/>
    <w:rsid w:val="00A50527"/>
    <w:rsid w:val="00A510CC"/>
    <w:rsid w:val="00A510E1"/>
    <w:rsid w:val="00A514C4"/>
    <w:rsid w:val="00A515A9"/>
    <w:rsid w:val="00A51977"/>
    <w:rsid w:val="00A51A2D"/>
    <w:rsid w:val="00A51F0A"/>
    <w:rsid w:val="00A5208C"/>
    <w:rsid w:val="00A53180"/>
    <w:rsid w:val="00A5363A"/>
    <w:rsid w:val="00A53CD8"/>
    <w:rsid w:val="00A543A1"/>
    <w:rsid w:val="00A54463"/>
    <w:rsid w:val="00A5462E"/>
    <w:rsid w:val="00A5475D"/>
    <w:rsid w:val="00A54E07"/>
    <w:rsid w:val="00A54EF2"/>
    <w:rsid w:val="00A55D48"/>
    <w:rsid w:val="00A568C2"/>
    <w:rsid w:val="00A56E53"/>
    <w:rsid w:val="00A57BEB"/>
    <w:rsid w:val="00A57CBA"/>
    <w:rsid w:val="00A60D0E"/>
    <w:rsid w:val="00A60DA2"/>
    <w:rsid w:val="00A61673"/>
    <w:rsid w:val="00A61DD8"/>
    <w:rsid w:val="00A623AE"/>
    <w:rsid w:val="00A62826"/>
    <w:rsid w:val="00A62DD8"/>
    <w:rsid w:val="00A63258"/>
    <w:rsid w:val="00A6397B"/>
    <w:rsid w:val="00A63CF2"/>
    <w:rsid w:val="00A63DA0"/>
    <w:rsid w:val="00A645BA"/>
    <w:rsid w:val="00A64721"/>
    <w:rsid w:val="00A6480C"/>
    <w:rsid w:val="00A64926"/>
    <w:rsid w:val="00A650EB"/>
    <w:rsid w:val="00A65570"/>
    <w:rsid w:val="00A655C1"/>
    <w:rsid w:val="00A65640"/>
    <w:rsid w:val="00A65FA3"/>
    <w:rsid w:val="00A665CF"/>
    <w:rsid w:val="00A6679A"/>
    <w:rsid w:val="00A66C91"/>
    <w:rsid w:val="00A66E8E"/>
    <w:rsid w:val="00A67CA7"/>
    <w:rsid w:val="00A700F7"/>
    <w:rsid w:val="00A71A89"/>
    <w:rsid w:val="00A72084"/>
    <w:rsid w:val="00A7226B"/>
    <w:rsid w:val="00A72377"/>
    <w:rsid w:val="00A72456"/>
    <w:rsid w:val="00A728CB"/>
    <w:rsid w:val="00A72FB1"/>
    <w:rsid w:val="00A7357D"/>
    <w:rsid w:val="00A73695"/>
    <w:rsid w:val="00A73989"/>
    <w:rsid w:val="00A73A00"/>
    <w:rsid w:val="00A73BA8"/>
    <w:rsid w:val="00A73BB3"/>
    <w:rsid w:val="00A73C3C"/>
    <w:rsid w:val="00A73EED"/>
    <w:rsid w:val="00A74D53"/>
    <w:rsid w:val="00A75369"/>
    <w:rsid w:val="00A754DE"/>
    <w:rsid w:val="00A758D7"/>
    <w:rsid w:val="00A759AA"/>
    <w:rsid w:val="00A75B94"/>
    <w:rsid w:val="00A76E2B"/>
    <w:rsid w:val="00A7742A"/>
    <w:rsid w:val="00A7752F"/>
    <w:rsid w:val="00A77D32"/>
    <w:rsid w:val="00A77EAD"/>
    <w:rsid w:val="00A8023E"/>
    <w:rsid w:val="00A8033C"/>
    <w:rsid w:val="00A806CC"/>
    <w:rsid w:val="00A8078B"/>
    <w:rsid w:val="00A811A3"/>
    <w:rsid w:val="00A81328"/>
    <w:rsid w:val="00A81E89"/>
    <w:rsid w:val="00A81FF0"/>
    <w:rsid w:val="00A82F60"/>
    <w:rsid w:val="00A83896"/>
    <w:rsid w:val="00A83997"/>
    <w:rsid w:val="00A83E32"/>
    <w:rsid w:val="00A8405B"/>
    <w:rsid w:val="00A841F6"/>
    <w:rsid w:val="00A84B18"/>
    <w:rsid w:val="00A84C93"/>
    <w:rsid w:val="00A85049"/>
    <w:rsid w:val="00A85130"/>
    <w:rsid w:val="00A857F7"/>
    <w:rsid w:val="00A85C35"/>
    <w:rsid w:val="00A86A08"/>
    <w:rsid w:val="00A87107"/>
    <w:rsid w:val="00A87B4F"/>
    <w:rsid w:val="00A87C43"/>
    <w:rsid w:val="00A87EA9"/>
    <w:rsid w:val="00A909ED"/>
    <w:rsid w:val="00A90CBF"/>
    <w:rsid w:val="00A90E30"/>
    <w:rsid w:val="00A91050"/>
    <w:rsid w:val="00A917E1"/>
    <w:rsid w:val="00A91E11"/>
    <w:rsid w:val="00A92061"/>
    <w:rsid w:val="00A921B2"/>
    <w:rsid w:val="00A92E85"/>
    <w:rsid w:val="00A93B43"/>
    <w:rsid w:val="00A94249"/>
    <w:rsid w:val="00A9449F"/>
    <w:rsid w:val="00A944E4"/>
    <w:rsid w:val="00A94698"/>
    <w:rsid w:val="00A94920"/>
    <w:rsid w:val="00A94BC9"/>
    <w:rsid w:val="00A959BC"/>
    <w:rsid w:val="00A95EAD"/>
    <w:rsid w:val="00A969EB"/>
    <w:rsid w:val="00A96F1B"/>
    <w:rsid w:val="00A97370"/>
    <w:rsid w:val="00A975A0"/>
    <w:rsid w:val="00A97609"/>
    <w:rsid w:val="00A97C0C"/>
    <w:rsid w:val="00AA01C2"/>
    <w:rsid w:val="00AA04BE"/>
    <w:rsid w:val="00AA0942"/>
    <w:rsid w:val="00AA0CEB"/>
    <w:rsid w:val="00AA1962"/>
    <w:rsid w:val="00AA1C54"/>
    <w:rsid w:val="00AA2436"/>
    <w:rsid w:val="00AA2562"/>
    <w:rsid w:val="00AA2F6A"/>
    <w:rsid w:val="00AA3C60"/>
    <w:rsid w:val="00AA3D38"/>
    <w:rsid w:val="00AA5D04"/>
    <w:rsid w:val="00AA5FF6"/>
    <w:rsid w:val="00AA74EB"/>
    <w:rsid w:val="00AA7609"/>
    <w:rsid w:val="00AA78C5"/>
    <w:rsid w:val="00AA7A5F"/>
    <w:rsid w:val="00AA7ADD"/>
    <w:rsid w:val="00AA7C43"/>
    <w:rsid w:val="00AA7CC9"/>
    <w:rsid w:val="00AB06C7"/>
    <w:rsid w:val="00AB0DC5"/>
    <w:rsid w:val="00AB140F"/>
    <w:rsid w:val="00AB2212"/>
    <w:rsid w:val="00AB2547"/>
    <w:rsid w:val="00AB298A"/>
    <w:rsid w:val="00AB2BF0"/>
    <w:rsid w:val="00AB2FF4"/>
    <w:rsid w:val="00AB36E2"/>
    <w:rsid w:val="00AB392E"/>
    <w:rsid w:val="00AB4271"/>
    <w:rsid w:val="00AB48FD"/>
    <w:rsid w:val="00AB5B3A"/>
    <w:rsid w:val="00AB5F9C"/>
    <w:rsid w:val="00AB6135"/>
    <w:rsid w:val="00AB63D8"/>
    <w:rsid w:val="00AB7734"/>
    <w:rsid w:val="00AB7BFA"/>
    <w:rsid w:val="00AC03ED"/>
    <w:rsid w:val="00AC06EB"/>
    <w:rsid w:val="00AC0768"/>
    <w:rsid w:val="00AC0A62"/>
    <w:rsid w:val="00AC111F"/>
    <w:rsid w:val="00AC112B"/>
    <w:rsid w:val="00AC1697"/>
    <w:rsid w:val="00AC16B2"/>
    <w:rsid w:val="00AC1AD6"/>
    <w:rsid w:val="00AC1C5D"/>
    <w:rsid w:val="00AC2F14"/>
    <w:rsid w:val="00AC33C3"/>
    <w:rsid w:val="00AC449D"/>
    <w:rsid w:val="00AC4F15"/>
    <w:rsid w:val="00AC5CCD"/>
    <w:rsid w:val="00AC5EBF"/>
    <w:rsid w:val="00AC63C0"/>
    <w:rsid w:val="00AC72E2"/>
    <w:rsid w:val="00AC7A1C"/>
    <w:rsid w:val="00AC7C64"/>
    <w:rsid w:val="00AD011B"/>
    <w:rsid w:val="00AD1626"/>
    <w:rsid w:val="00AD28D8"/>
    <w:rsid w:val="00AD2A79"/>
    <w:rsid w:val="00AD2EA8"/>
    <w:rsid w:val="00AD3286"/>
    <w:rsid w:val="00AD40A8"/>
    <w:rsid w:val="00AD45D3"/>
    <w:rsid w:val="00AD48D8"/>
    <w:rsid w:val="00AD4E3B"/>
    <w:rsid w:val="00AD55E8"/>
    <w:rsid w:val="00AD5A0C"/>
    <w:rsid w:val="00AD5EB0"/>
    <w:rsid w:val="00AD5EDD"/>
    <w:rsid w:val="00AD64DF"/>
    <w:rsid w:val="00AD6D00"/>
    <w:rsid w:val="00AD7024"/>
    <w:rsid w:val="00AD7627"/>
    <w:rsid w:val="00AD7C41"/>
    <w:rsid w:val="00AE088F"/>
    <w:rsid w:val="00AE091D"/>
    <w:rsid w:val="00AE1025"/>
    <w:rsid w:val="00AE1208"/>
    <w:rsid w:val="00AE1CC9"/>
    <w:rsid w:val="00AE1CCC"/>
    <w:rsid w:val="00AE21FF"/>
    <w:rsid w:val="00AE240F"/>
    <w:rsid w:val="00AE25A2"/>
    <w:rsid w:val="00AE36C7"/>
    <w:rsid w:val="00AE38BA"/>
    <w:rsid w:val="00AE3F03"/>
    <w:rsid w:val="00AE4713"/>
    <w:rsid w:val="00AE4819"/>
    <w:rsid w:val="00AE482D"/>
    <w:rsid w:val="00AE4B0F"/>
    <w:rsid w:val="00AE4ECB"/>
    <w:rsid w:val="00AE627F"/>
    <w:rsid w:val="00AE6419"/>
    <w:rsid w:val="00AE64F0"/>
    <w:rsid w:val="00AE6910"/>
    <w:rsid w:val="00AE6927"/>
    <w:rsid w:val="00AE74FA"/>
    <w:rsid w:val="00AE77A6"/>
    <w:rsid w:val="00AE7D1A"/>
    <w:rsid w:val="00AF0051"/>
    <w:rsid w:val="00AF0508"/>
    <w:rsid w:val="00AF0F96"/>
    <w:rsid w:val="00AF13A8"/>
    <w:rsid w:val="00AF22DB"/>
    <w:rsid w:val="00AF23C8"/>
    <w:rsid w:val="00AF258F"/>
    <w:rsid w:val="00AF2AE2"/>
    <w:rsid w:val="00AF2FE5"/>
    <w:rsid w:val="00AF3A67"/>
    <w:rsid w:val="00AF41F0"/>
    <w:rsid w:val="00AF4731"/>
    <w:rsid w:val="00AF5340"/>
    <w:rsid w:val="00AF583D"/>
    <w:rsid w:val="00AF5E59"/>
    <w:rsid w:val="00AF6DAB"/>
    <w:rsid w:val="00AF6E1F"/>
    <w:rsid w:val="00AF76D9"/>
    <w:rsid w:val="00B000DC"/>
    <w:rsid w:val="00B0017B"/>
    <w:rsid w:val="00B00583"/>
    <w:rsid w:val="00B006AD"/>
    <w:rsid w:val="00B0100A"/>
    <w:rsid w:val="00B01990"/>
    <w:rsid w:val="00B020F9"/>
    <w:rsid w:val="00B0215F"/>
    <w:rsid w:val="00B03528"/>
    <w:rsid w:val="00B036DE"/>
    <w:rsid w:val="00B0377E"/>
    <w:rsid w:val="00B03CB9"/>
    <w:rsid w:val="00B043C2"/>
    <w:rsid w:val="00B04875"/>
    <w:rsid w:val="00B04DD7"/>
    <w:rsid w:val="00B052C1"/>
    <w:rsid w:val="00B05706"/>
    <w:rsid w:val="00B05708"/>
    <w:rsid w:val="00B05CD0"/>
    <w:rsid w:val="00B0613E"/>
    <w:rsid w:val="00B065EB"/>
    <w:rsid w:val="00B06836"/>
    <w:rsid w:val="00B071BA"/>
    <w:rsid w:val="00B07B53"/>
    <w:rsid w:val="00B07BA9"/>
    <w:rsid w:val="00B07D96"/>
    <w:rsid w:val="00B10055"/>
    <w:rsid w:val="00B107B9"/>
    <w:rsid w:val="00B10B53"/>
    <w:rsid w:val="00B10D8D"/>
    <w:rsid w:val="00B1141E"/>
    <w:rsid w:val="00B11A21"/>
    <w:rsid w:val="00B11D17"/>
    <w:rsid w:val="00B1278B"/>
    <w:rsid w:val="00B131D1"/>
    <w:rsid w:val="00B137FC"/>
    <w:rsid w:val="00B13EAA"/>
    <w:rsid w:val="00B13FA7"/>
    <w:rsid w:val="00B1435C"/>
    <w:rsid w:val="00B15096"/>
    <w:rsid w:val="00B15E39"/>
    <w:rsid w:val="00B16D45"/>
    <w:rsid w:val="00B17295"/>
    <w:rsid w:val="00B17ABB"/>
    <w:rsid w:val="00B17D16"/>
    <w:rsid w:val="00B17F70"/>
    <w:rsid w:val="00B2048D"/>
    <w:rsid w:val="00B215F5"/>
    <w:rsid w:val="00B221F1"/>
    <w:rsid w:val="00B22F53"/>
    <w:rsid w:val="00B231A1"/>
    <w:rsid w:val="00B232F6"/>
    <w:rsid w:val="00B2350B"/>
    <w:rsid w:val="00B242E0"/>
    <w:rsid w:val="00B2484C"/>
    <w:rsid w:val="00B25692"/>
    <w:rsid w:val="00B26440"/>
    <w:rsid w:val="00B267ED"/>
    <w:rsid w:val="00B269AC"/>
    <w:rsid w:val="00B26B62"/>
    <w:rsid w:val="00B273D1"/>
    <w:rsid w:val="00B27649"/>
    <w:rsid w:val="00B27A54"/>
    <w:rsid w:val="00B304AF"/>
    <w:rsid w:val="00B30783"/>
    <w:rsid w:val="00B31534"/>
    <w:rsid w:val="00B3181F"/>
    <w:rsid w:val="00B31C08"/>
    <w:rsid w:val="00B31E18"/>
    <w:rsid w:val="00B324A3"/>
    <w:rsid w:val="00B33195"/>
    <w:rsid w:val="00B332C3"/>
    <w:rsid w:val="00B332D8"/>
    <w:rsid w:val="00B334DA"/>
    <w:rsid w:val="00B334ED"/>
    <w:rsid w:val="00B33C89"/>
    <w:rsid w:val="00B34CA1"/>
    <w:rsid w:val="00B34D76"/>
    <w:rsid w:val="00B34E2C"/>
    <w:rsid w:val="00B366B1"/>
    <w:rsid w:val="00B368B2"/>
    <w:rsid w:val="00B36A1A"/>
    <w:rsid w:val="00B36C92"/>
    <w:rsid w:val="00B37311"/>
    <w:rsid w:val="00B3749A"/>
    <w:rsid w:val="00B37AB4"/>
    <w:rsid w:val="00B37AFF"/>
    <w:rsid w:val="00B37E30"/>
    <w:rsid w:val="00B407E2"/>
    <w:rsid w:val="00B408EC"/>
    <w:rsid w:val="00B40D7F"/>
    <w:rsid w:val="00B41F0F"/>
    <w:rsid w:val="00B41F56"/>
    <w:rsid w:val="00B42560"/>
    <w:rsid w:val="00B42F58"/>
    <w:rsid w:val="00B43C28"/>
    <w:rsid w:val="00B43CE2"/>
    <w:rsid w:val="00B43D7C"/>
    <w:rsid w:val="00B44AD6"/>
    <w:rsid w:val="00B455AA"/>
    <w:rsid w:val="00B455B8"/>
    <w:rsid w:val="00B45778"/>
    <w:rsid w:val="00B457A1"/>
    <w:rsid w:val="00B461A3"/>
    <w:rsid w:val="00B461E3"/>
    <w:rsid w:val="00B4630F"/>
    <w:rsid w:val="00B464B1"/>
    <w:rsid w:val="00B466AE"/>
    <w:rsid w:val="00B466D7"/>
    <w:rsid w:val="00B466E5"/>
    <w:rsid w:val="00B46970"/>
    <w:rsid w:val="00B475C4"/>
    <w:rsid w:val="00B47A4A"/>
    <w:rsid w:val="00B47B99"/>
    <w:rsid w:val="00B506F2"/>
    <w:rsid w:val="00B5081E"/>
    <w:rsid w:val="00B50E0B"/>
    <w:rsid w:val="00B510E3"/>
    <w:rsid w:val="00B51328"/>
    <w:rsid w:val="00B51AC4"/>
    <w:rsid w:val="00B521AC"/>
    <w:rsid w:val="00B52246"/>
    <w:rsid w:val="00B52702"/>
    <w:rsid w:val="00B52F2C"/>
    <w:rsid w:val="00B53E11"/>
    <w:rsid w:val="00B54564"/>
    <w:rsid w:val="00B5498D"/>
    <w:rsid w:val="00B549E5"/>
    <w:rsid w:val="00B54BB0"/>
    <w:rsid w:val="00B54BF9"/>
    <w:rsid w:val="00B5501D"/>
    <w:rsid w:val="00B5504C"/>
    <w:rsid w:val="00B55070"/>
    <w:rsid w:val="00B55412"/>
    <w:rsid w:val="00B55676"/>
    <w:rsid w:val="00B55705"/>
    <w:rsid w:val="00B55CEA"/>
    <w:rsid w:val="00B55F30"/>
    <w:rsid w:val="00B562B4"/>
    <w:rsid w:val="00B56E0D"/>
    <w:rsid w:val="00B57532"/>
    <w:rsid w:val="00B57940"/>
    <w:rsid w:val="00B600FE"/>
    <w:rsid w:val="00B60946"/>
    <w:rsid w:val="00B611D6"/>
    <w:rsid w:val="00B6151E"/>
    <w:rsid w:val="00B61BBE"/>
    <w:rsid w:val="00B61F84"/>
    <w:rsid w:val="00B62493"/>
    <w:rsid w:val="00B62632"/>
    <w:rsid w:val="00B648BB"/>
    <w:rsid w:val="00B64962"/>
    <w:rsid w:val="00B65A35"/>
    <w:rsid w:val="00B65AE1"/>
    <w:rsid w:val="00B65EB4"/>
    <w:rsid w:val="00B6625B"/>
    <w:rsid w:val="00B66CB9"/>
    <w:rsid w:val="00B676EC"/>
    <w:rsid w:val="00B6784A"/>
    <w:rsid w:val="00B67D82"/>
    <w:rsid w:val="00B7016C"/>
    <w:rsid w:val="00B7039B"/>
    <w:rsid w:val="00B7045A"/>
    <w:rsid w:val="00B70A9A"/>
    <w:rsid w:val="00B7113C"/>
    <w:rsid w:val="00B71569"/>
    <w:rsid w:val="00B71982"/>
    <w:rsid w:val="00B71D48"/>
    <w:rsid w:val="00B71EDD"/>
    <w:rsid w:val="00B7228E"/>
    <w:rsid w:val="00B731F8"/>
    <w:rsid w:val="00B73E05"/>
    <w:rsid w:val="00B74D1E"/>
    <w:rsid w:val="00B74EEB"/>
    <w:rsid w:val="00B759CC"/>
    <w:rsid w:val="00B76A13"/>
    <w:rsid w:val="00B76A18"/>
    <w:rsid w:val="00B774D5"/>
    <w:rsid w:val="00B77848"/>
    <w:rsid w:val="00B80158"/>
    <w:rsid w:val="00B8159E"/>
    <w:rsid w:val="00B81726"/>
    <w:rsid w:val="00B81E3A"/>
    <w:rsid w:val="00B8327F"/>
    <w:rsid w:val="00B83B4F"/>
    <w:rsid w:val="00B83BA3"/>
    <w:rsid w:val="00B84C6C"/>
    <w:rsid w:val="00B85360"/>
    <w:rsid w:val="00B86262"/>
    <w:rsid w:val="00B863EA"/>
    <w:rsid w:val="00B86C92"/>
    <w:rsid w:val="00B878F3"/>
    <w:rsid w:val="00B90D5B"/>
    <w:rsid w:val="00B92444"/>
    <w:rsid w:val="00B92687"/>
    <w:rsid w:val="00B9286D"/>
    <w:rsid w:val="00B9329C"/>
    <w:rsid w:val="00B93649"/>
    <w:rsid w:val="00B94248"/>
    <w:rsid w:val="00B942A1"/>
    <w:rsid w:val="00B943D2"/>
    <w:rsid w:val="00B94B4F"/>
    <w:rsid w:val="00B9516A"/>
    <w:rsid w:val="00B9547F"/>
    <w:rsid w:val="00B955B3"/>
    <w:rsid w:val="00B95638"/>
    <w:rsid w:val="00B958A5"/>
    <w:rsid w:val="00B965A9"/>
    <w:rsid w:val="00B965B3"/>
    <w:rsid w:val="00B976F6"/>
    <w:rsid w:val="00B97D1B"/>
    <w:rsid w:val="00B97D29"/>
    <w:rsid w:val="00B97DA4"/>
    <w:rsid w:val="00BA02E3"/>
    <w:rsid w:val="00BA086E"/>
    <w:rsid w:val="00BA0936"/>
    <w:rsid w:val="00BA1195"/>
    <w:rsid w:val="00BA2573"/>
    <w:rsid w:val="00BA2C46"/>
    <w:rsid w:val="00BA3BB5"/>
    <w:rsid w:val="00BA4B57"/>
    <w:rsid w:val="00BA4C07"/>
    <w:rsid w:val="00BA5151"/>
    <w:rsid w:val="00BA51BF"/>
    <w:rsid w:val="00BA5216"/>
    <w:rsid w:val="00BA5E0C"/>
    <w:rsid w:val="00BA5F41"/>
    <w:rsid w:val="00BA6051"/>
    <w:rsid w:val="00BA675A"/>
    <w:rsid w:val="00BA7385"/>
    <w:rsid w:val="00BA7A69"/>
    <w:rsid w:val="00BB016C"/>
    <w:rsid w:val="00BB016D"/>
    <w:rsid w:val="00BB01CD"/>
    <w:rsid w:val="00BB0C91"/>
    <w:rsid w:val="00BB0F5F"/>
    <w:rsid w:val="00BB100E"/>
    <w:rsid w:val="00BB12BA"/>
    <w:rsid w:val="00BB1666"/>
    <w:rsid w:val="00BB187C"/>
    <w:rsid w:val="00BB18B2"/>
    <w:rsid w:val="00BB22B0"/>
    <w:rsid w:val="00BB282E"/>
    <w:rsid w:val="00BB296B"/>
    <w:rsid w:val="00BB29E8"/>
    <w:rsid w:val="00BB2A9C"/>
    <w:rsid w:val="00BB3622"/>
    <w:rsid w:val="00BB3734"/>
    <w:rsid w:val="00BB44A1"/>
    <w:rsid w:val="00BB44DB"/>
    <w:rsid w:val="00BB4650"/>
    <w:rsid w:val="00BB4A54"/>
    <w:rsid w:val="00BB546C"/>
    <w:rsid w:val="00BB5BB4"/>
    <w:rsid w:val="00BB5CE8"/>
    <w:rsid w:val="00BB5DA1"/>
    <w:rsid w:val="00BB6595"/>
    <w:rsid w:val="00BB682C"/>
    <w:rsid w:val="00BB736E"/>
    <w:rsid w:val="00BB7CA9"/>
    <w:rsid w:val="00BB7E02"/>
    <w:rsid w:val="00BC03C6"/>
    <w:rsid w:val="00BC0C83"/>
    <w:rsid w:val="00BC10E7"/>
    <w:rsid w:val="00BC236B"/>
    <w:rsid w:val="00BC239A"/>
    <w:rsid w:val="00BC2BB4"/>
    <w:rsid w:val="00BC316B"/>
    <w:rsid w:val="00BC3246"/>
    <w:rsid w:val="00BC33CE"/>
    <w:rsid w:val="00BC350F"/>
    <w:rsid w:val="00BC3752"/>
    <w:rsid w:val="00BC37A7"/>
    <w:rsid w:val="00BC3B14"/>
    <w:rsid w:val="00BC498A"/>
    <w:rsid w:val="00BC49A2"/>
    <w:rsid w:val="00BC4B94"/>
    <w:rsid w:val="00BC5A29"/>
    <w:rsid w:val="00BC5A3F"/>
    <w:rsid w:val="00BC65D9"/>
    <w:rsid w:val="00BC6B89"/>
    <w:rsid w:val="00BC6D09"/>
    <w:rsid w:val="00BC74F8"/>
    <w:rsid w:val="00BC7BF7"/>
    <w:rsid w:val="00BC7C52"/>
    <w:rsid w:val="00BD0286"/>
    <w:rsid w:val="00BD0497"/>
    <w:rsid w:val="00BD0B38"/>
    <w:rsid w:val="00BD0CF6"/>
    <w:rsid w:val="00BD0EED"/>
    <w:rsid w:val="00BD100B"/>
    <w:rsid w:val="00BD1258"/>
    <w:rsid w:val="00BD1471"/>
    <w:rsid w:val="00BD14C5"/>
    <w:rsid w:val="00BD196A"/>
    <w:rsid w:val="00BD2081"/>
    <w:rsid w:val="00BD2311"/>
    <w:rsid w:val="00BD2423"/>
    <w:rsid w:val="00BD288C"/>
    <w:rsid w:val="00BD315B"/>
    <w:rsid w:val="00BD3D36"/>
    <w:rsid w:val="00BD3F1C"/>
    <w:rsid w:val="00BD3F36"/>
    <w:rsid w:val="00BD4453"/>
    <w:rsid w:val="00BD4A3F"/>
    <w:rsid w:val="00BD534E"/>
    <w:rsid w:val="00BD55A8"/>
    <w:rsid w:val="00BD55C5"/>
    <w:rsid w:val="00BD56F1"/>
    <w:rsid w:val="00BD5AFE"/>
    <w:rsid w:val="00BD5FE5"/>
    <w:rsid w:val="00BD6262"/>
    <w:rsid w:val="00BD64E3"/>
    <w:rsid w:val="00BD7136"/>
    <w:rsid w:val="00BD71F5"/>
    <w:rsid w:val="00BD7B14"/>
    <w:rsid w:val="00BD7EED"/>
    <w:rsid w:val="00BE05DC"/>
    <w:rsid w:val="00BE067E"/>
    <w:rsid w:val="00BE07F4"/>
    <w:rsid w:val="00BE09E6"/>
    <w:rsid w:val="00BE0A01"/>
    <w:rsid w:val="00BE0B53"/>
    <w:rsid w:val="00BE152C"/>
    <w:rsid w:val="00BE1DAE"/>
    <w:rsid w:val="00BE1FB5"/>
    <w:rsid w:val="00BE27A2"/>
    <w:rsid w:val="00BE2854"/>
    <w:rsid w:val="00BE34D2"/>
    <w:rsid w:val="00BE3576"/>
    <w:rsid w:val="00BE3E4F"/>
    <w:rsid w:val="00BE3FC8"/>
    <w:rsid w:val="00BE4B44"/>
    <w:rsid w:val="00BE4C48"/>
    <w:rsid w:val="00BE54D6"/>
    <w:rsid w:val="00BE55CE"/>
    <w:rsid w:val="00BE55FB"/>
    <w:rsid w:val="00BE5950"/>
    <w:rsid w:val="00BE6188"/>
    <w:rsid w:val="00BE61C1"/>
    <w:rsid w:val="00BE6311"/>
    <w:rsid w:val="00BE64AF"/>
    <w:rsid w:val="00BE64C5"/>
    <w:rsid w:val="00BE6717"/>
    <w:rsid w:val="00BE7B8B"/>
    <w:rsid w:val="00BE7D3E"/>
    <w:rsid w:val="00BF02C5"/>
    <w:rsid w:val="00BF0381"/>
    <w:rsid w:val="00BF06BA"/>
    <w:rsid w:val="00BF1F20"/>
    <w:rsid w:val="00BF1F8C"/>
    <w:rsid w:val="00BF29DB"/>
    <w:rsid w:val="00BF2C7F"/>
    <w:rsid w:val="00BF37EB"/>
    <w:rsid w:val="00BF3F23"/>
    <w:rsid w:val="00BF446E"/>
    <w:rsid w:val="00BF4A0D"/>
    <w:rsid w:val="00BF5670"/>
    <w:rsid w:val="00BF5F48"/>
    <w:rsid w:val="00BF6E7B"/>
    <w:rsid w:val="00BF72CD"/>
    <w:rsid w:val="00BF7485"/>
    <w:rsid w:val="00C0018F"/>
    <w:rsid w:val="00C00D68"/>
    <w:rsid w:val="00C00E50"/>
    <w:rsid w:val="00C01021"/>
    <w:rsid w:val="00C0129F"/>
    <w:rsid w:val="00C013FC"/>
    <w:rsid w:val="00C0141F"/>
    <w:rsid w:val="00C020B4"/>
    <w:rsid w:val="00C026C8"/>
    <w:rsid w:val="00C0278A"/>
    <w:rsid w:val="00C0332A"/>
    <w:rsid w:val="00C03847"/>
    <w:rsid w:val="00C0386B"/>
    <w:rsid w:val="00C03A59"/>
    <w:rsid w:val="00C03A81"/>
    <w:rsid w:val="00C048AF"/>
    <w:rsid w:val="00C04C84"/>
    <w:rsid w:val="00C05367"/>
    <w:rsid w:val="00C053EC"/>
    <w:rsid w:val="00C06061"/>
    <w:rsid w:val="00C06209"/>
    <w:rsid w:val="00C0653D"/>
    <w:rsid w:val="00C068E9"/>
    <w:rsid w:val="00C0776E"/>
    <w:rsid w:val="00C077E0"/>
    <w:rsid w:val="00C079D1"/>
    <w:rsid w:val="00C07DE6"/>
    <w:rsid w:val="00C100B0"/>
    <w:rsid w:val="00C1052E"/>
    <w:rsid w:val="00C10568"/>
    <w:rsid w:val="00C12289"/>
    <w:rsid w:val="00C125E2"/>
    <w:rsid w:val="00C12F17"/>
    <w:rsid w:val="00C137D3"/>
    <w:rsid w:val="00C139FD"/>
    <w:rsid w:val="00C14557"/>
    <w:rsid w:val="00C14C1F"/>
    <w:rsid w:val="00C14F3B"/>
    <w:rsid w:val="00C1507E"/>
    <w:rsid w:val="00C153EA"/>
    <w:rsid w:val="00C154B5"/>
    <w:rsid w:val="00C15D9F"/>
    <w:rsid w:val="00C1684A"/>
    <w:rsid w:val="00C17609"/>
    <w:rsid w:val="00C17872"/>
    <w:rsid w:val="00C17D38"/>
    <w:rsid w:val="00C17EAC"/>
    <w:rsid w:val="00C20596"/>
    <w:rsid w:val="00C205E9"/>
    <w:rsid w:val="00C20734"/>
    <w:rsid w:val="00C209B7"/>
    <w:rsid w:val="00C20A58"/>
    <w:rsid w:val="00C20BED"/>
    <w:rsid w:val="00C210D9"/>
    <w:rsid w:val="00C212FC"/>
    <w:rsid w:val="00C213BE"/>
    <w:rsid w:val="00C21612"/>
    <w:rsid w:val="00C22039"/>
    <w:rsid w:val="00C2293B"/>
    <w:rsid w:val="00C23475"/>
    <w:rsid w:val="00C23510"/>
    <w:rsid w:val="00C23F48"/>
    <w:rsid w:val="00C24146"/>
    <w:rsid w:val="00C24447"/>
    <w:rsid w:val="00C24C0B"/>
    <w:rsid w:val="00C24F71"/>
    <w:rsid w:val="00C2579D"/>
    <w:rsid w:val="00C25CC7"/>
    <w:rsid w:val="00C25E1A"/>
    <w:rsid w:val="00C260B3"/>
    <w:rsid w:val="00C261FB"/>
    <w:rsid w:val="00C262BD"/>
    <w:rsid w:val="00C26EE7"/>
    <w:rsid w:val="00C27527"/>
    <w:rsid w:val="00C302B0"/>
    <w:rsid w:val="00C30E04"/>
    <w:rsid w:val="00C31078"/>
    <w:rsid w:val="00C310C2"/>
    <w:rsid w:val="00C31741"/>
    <w:rsid w:val="00C3291D"/>
    <w:rsid w:val="00C32ABA"/>
    <w:rsid w:val="00C3308D"/>
    <w:rsid w:val="00C33574"/>
    <w:rsid w:val="00C339E7"/>
    <w:rsid w:val="00C33ADF"/>
    <w:rsid w:val="00C34BA9"/>
    <w:rsid w:val="00C357A5"/>
    <w:rsid w:val="00C35E40"/>
    <w:rsid w:val="00C36379"/>
    <w:rsid w:val="00C36525"/>
    <w:rsid w:val="00C36F37"/>
    <w:rsid w:val="00C37280"/>
    <w:rsid w:val="00C37A0B"/>
    <w:rsid w:val="00C37F21"/>
    <w:rsid w:val="00C4033A"/>
    <w:rsid w:val="00C40EB3"/>
    <w:rsid w:val="00C4168E"/>
    <w:rsid w:val="00C41BD9"/>
    <w:rsid w:val="00C425EC"/>
    <w:rsid w:val="00C434FD"/>
    <w:rsid w:val="00C4350E"/>
    <w:rsid w:val="00C4380B"/>
    <w:rsid w:val="00C440A0"/>
    <w:rsid w:val="00C44EBB"/>
    <w:rsid w:val="00C4524C"/>
    <w:rsid w:val="00C454B9"/>
    <w:rsid w:val="00C4575D"/>
    <w:rsid w:val="00C45A64"/>
    <w:rsid w:val="00C45B2D"/>
    <w:rsid w:val="00C467B7"/>
    <w:rsid w:val="00C47102"/>
    <w:rsid w:val="00C47658"/>
    <w:rsid w:val="00C47AC7"/>
    <w:rsid w:val="00C5099B"/>
    <w:rsid w:val="00C51572"/>
    <w:rsid w:val="00C516FA"/>
    <w:rsid w:val="00C5192E"/>
    <w:rsid w:val="00C524B6"/>
    <w:rsid w:val="00C52DE6"/>
    <w:rsid w:val="00C52FE9"/>
    <w:rsid w:val="00C540B3"/>
    <w:rsid w:val="00C5562C"/>
    <w:rsid w:val="00C558C0"/>
    <w:rsid w:val="00C55A89"/>
    <w:rsid w:val="00C55D92"/>
    <w:rsid w:val="00C55DA5"/>
    <w:rsid w:val="00C55FED"/>
    <w:rsid w:val="00C5625F"/>
    <w:rsid w:val="00C5670C"/>
    <w:rsid w:val="00C57426"/>
    <w:rsid w:val="00C57AFE"/>
    <w:rsid w:val="00C6016B"/>
    <w:rsid w:val="00C602B7"/>
    <w:rsid w:val="00C60FB7"/>
    <w:rsid w:val="00C6143F"/>
    <w:rsid w:val="00C616E6"/>
    <w:rsid w:val="00C61A85"/>
    <w:rsid w:val="00C61ECD"/>
    <w:rsid w:val="00C62507"/>
    <w:rsid w:val="00C6297D"/>
    <w:rsid w:val="00C62ABB"/>
    <w:rsid w:val="00C62CEE"/>
    <w:rsid w:val="00C634A7"/>
    <w:rsid w:val="00C6356F"/>
    <w:rsid w:val="00C638D7"/>
    <w:rsid w:val="00C638DF"/>
    <w:rsid w:val="00C63D88"/>
    <w:rsid w:val="00C64720"/>
    <w:rsid w:val="00C64FB7"/>
    <w:rsid w:val="00C6517F"/>
    <w:rsid w:val="00C65218"/>
    <w:rsid w:val="00C65987"/>
    <w:rsid w:val="00C65C10"/>
    <w:rsid w:val="00C65F3F"/>
    <w:rsid w:val="00C66069"/>
    <w:rsid w:val="00C66553"/>
    <w:rsid w:val="00C66C5F"/>
    <w:rsid w:val="00C67639"/>
    <w:rsid w:val="00C67BA6"/>
    <w:rsid w:val="00C70968"/>
    <w:rsid w:val="00C70AF9"/>
    <w:rsid w:val="00C70C04"/>
    <w:rsid w:val="00C70C3F"/>
    <w:rsid w:val="00C70DA3"/>
    <w:rsid w:val="00C71920"/>
    <w:rsid w:val="00C72A63"/>
    <w:rsid w:val="00C72AB9"/>
    <w:rsid w:val="00C7329F"/>
    <w:rsid w:val="00C7374C"/>
    <w:rsid w:val="00C73ECB"/>
    <w:rsid w:val="00C74184"/>
    <w:rsid w:val="00C7498E"/>
    <w:rsid w:val="00C74A34"/>
    <w:rsid w:val="00C754CD"/>
    <w:rsid w:val="00C7599D"/>
    <w:rsid w:val="00C75A1B"/>
    <w:rsid w:val="00C76703"/>
    <w:rsid w:val="00C76943"/>
    <w:rsid w:val="00C76B89"/>
    <w:rsid w:val="00C77A70"/>
    <w:rsid w:val="00C77B1F"/>
    <w:rsid w:val="00C77FF5"/>
    <w:rsid w:val="00C80AE4"/>
    <w:rsid w:val="00C81157"/>
    <w:rsid w:val="00C8180A"/>
    <w:rsid w:val="00C81B54"/>
    <w:rsid w:val="00C82709"/>
    <w:rsid w:val="00C83DEB"/>
    <w:rsid w:val="00C84483"/>
    <w:rsid w:val="00C84828"/>
    <w:rsid w:val="00C84A66"/>
    <w:rsid w:val="00C84A6F"/>
    <w:rsid w:val="00C84CA1"/>
    <w:rsid w:val="00C857F1"/>
    <w:rsid w:val="00C86412"/>
    <w:rsid w:val="00C86CF5"/>
    <w:rsid w:val="00C871C4"/>
    <w:rsid w:val="00C87EAE"/>
    <w:rsid w:val="00C90620"/>
    <w:rsid w:val="00C910F6"/>
    <w:rsid w:val="00C91630"/>
    <w:rsid w:val="00C91A9D"/>
    <w:rsid w:val="00C923D0"/>
    <w:rsid w:val="00C93149"/>
    <w:rsid w:val="00C935E4"/>
    <w:rsid w:val="00C9370C"/>
    <w:rsid w:val="00C9492E"/>
    <w:rsid w:val="00C956F9"/>
    <w:rsid w:val="00C95D38"/>
    <w:rsid w:val="00C9618C"/>
    <w:rsid w:val="00C96C93"/>
    <w:rsid w:val="00C96F47"/>
    <w:rsid w:val="00C97301"/>
    <w:rsid w:val="00C97AEA"/>
    <w:rsid w:val="00C97C03"/>
    <w:rsid w:val="00CA02CD"/>
    <w:rsid w:val="00CA0BB7"/>
    <w:rsid w:val="00CA0F6F"/>
    <w:rsid w:val="00CA1127"/>
    <w:rsid w:val="00CA1130"/>
    <w:rsid w:val="00CA139C"/>
    <w:rsid w:val="00CA1990"/>
    <w:rsid w:val="00CA1D2C"/>
    <w:rsid w:val="00CA24CF"/>
    <w:rsid w:val="00CA2ADC"/>
    <w:rsid w:val="00CA2D33"/>
    <w:rsid w:val="00CA308A"/>
    <w:rsid w:val="00CA323B"/>
    <w:rsid w:val="00CA354D"/>
    <w:rsid w:val="00CA3930"/>
    <w:rsid w:val="00CA3AA3"/>
    <w:rsid w:val="00CA3B62"/>
    <w:rsid w:val="00CA415F"/>
    <w:rsid w:val="00CA4714"/>
    <w:rsid w:val="00CA480D"/>
    <w:rsid w:val="00CA4CAD"/>
    <w:rsid w:val="00CA529D"/>
    <w:rsid w:val="00CA5EA7"/>
    <w:rsid w:val="00CA67C2"/>
    <w:rsid w:val="00CA6A70"/>
    <w:rsid w:val="00CA6F64"/>
    <w:rsid w:val="00CB025C"/>
    <w:rsid w:val="00CB026C"/>
    <w:rsid w:val="00CB071B"/>
    <w:rsid w:val="00CB0BAB"/>
    <w:rsid w:val="00CB13CE"/>
    <w:rsid w:val="00CB1846"/>
    <w:rsid w:val="00CB1D9A"/>
    <w:rsid w:val="00CB1D9E"/>
    <w:rsid w:val="00CB1E8C"/>
    <w:rsid w:val="00CB2C14"/>
    <w:rsid w:val="00CB2E13"/>
    <w:rsid w:val="00CB3DAD"/>
    <w:rsid w:val="00CB4594"/>
    <w:rsid w:val="00CB56C2"/>
    <w:rsid w:val="00CB5A49"/>
    <w:rsid w:val="00CB5C04"/>
    <w:rsid w:val="00CB5C15"/>
    <w:rsid w:val="00CB678B"/>
    <w:rsid w:val="00CB6843"/>
    <w:rsid w:val="00CB7F6B"/>
    <w:rsid w:val="00CC0417"/>
    <w:rsid w:val="00CC0423"/>
    <w:rsid w:val="00CC0CBD"/>
    <w:rsid w:val="00CC1080"/>
    <w:rsid w:val="00CC1228"/>
    <w:rsid w:val="00CC1A21"/>
    <w:rsid w:val="00CC1B0A"/>
    <w:rsid w:val="00CC1EA0"/>
    <w:rsid w:val="00CC37BC"/>
    <w:rsid w:val="00CC3AE9"/>
    <w:rsid w:val="00CC45C8"/>
    <w:rsid w:val="00CC46AE"/>
    <w:rsid w:val="00CC4A20"/>
    <w:rsid w:val="00CC4E23"/>
    <w:rsid w:val="00CC5BDB"/>
    <w:rsid w:val="00CC66DE"/>
    <w:rsid w:val="00CC6D61"/>
    <w:rsid w:val="00CC6D83"/>
    <w:rsid w:val="00CC7C0C"/>
    <w:rsid w:val="00CC7E9F"/>
    <w:rsid w:val="00CC7ECE"/>
    <w:rsid w:val="00CD0355"/>
    <w:rsid w:val="00CD043E"/>
    <w:rsid w:val="00CD0818"/>
    <w:rsid w:val="00CD0DE0"/>
    <w:rsid w:val="00CD10B6"/>
    <w:rsid w:val="00CD1352"/>
    <w:rsid w:val="00CD17B8"/>
    <w:rsid w:val="00CD19D6"/>
    <w:rsid w:val="00CD2017"/>
    <w:rsid w:val="00CD3E11"/>
    <w:rsid w:val="00CD5087"/>
    <w:rsid w:val="00CD5694"/>
    <w:rsid w:val="00CD6175"/>
    <w:rsid w:val="00CD7503"/>
    <w:rsid w:val="00CD75E3"/>
    <w:rsid w:val="00CD7A90"/>
    <w:rsid w:val="00CD7ACF"/>
    <w:rsid w:val="00CD7BF0"/>
    <w:rsid w:val="00CE0FC2"/>
    <w:rsid w:val="00CE12AF"/>
    <w:rsid w:val="00CE1845"/>
    <w:rsid w:val="00CE23BF"/>
    <w:rsid w:val="00CE2627"/>
    <w:rsid w:val="00CE2926"/>
    <w:rsid w:val="00CE2EB2"/>
    <w:rsid w:val="00CE3A21"/>
    <w:rsid w:val="00CE428D"/>
    <w:rsid w:val="00CE44CE"/>
    <w:rsid w:val="00CE4B83"/>
    <w:rsid w:val="00CE4CC9"/>
    <w:rsid w:val="00CE5109"/>
    <w:rsid w:val="00CE525D"/>
    <w:rsid w:val="00CE5694"/>
    <w:rsid w:val="00CE5922"/>
    <w:rsid w:val="00CE5C99"/>
    <w:rsid w:val="00CE66D1"/>
    <w:rsid w:val="00CE6794"/>
    <w:rsid w:val="00CE6835"/>
    <w:rsid w:val="00CE6979"/>
    <w:rsid w:val="00CE69AE"/>
    <w:rsid w:val="00CE6A3B"/>
    <w:rsid w:val="00CE71B4"/>
    <w:rsid w:val="00CE7961"/>
    <w:rsid w:val="00CF03C3"/>
    <w:rsid w:val="00CF0416"/>
    <w:rsid w:val="00CF0662"/>
    <w:rsid w:val="00CF0A19"/>
    <w:rsid w:val="00CF0CD0"/>
    <w:rsid w:val="00CF1416"/>
    <w:rsid w:val="00CF1F5E"/>
    <w:rsid w:val="00CF23EE"/>
    <w:rsid w:val="00CF247F"/>
    <w:rsid w:val="00CF2C14"/>
    <w:rsid w:val="00CF2CBF"/>
    <w:rsid w:val="00CF36F6"/>
    <w:rsid w:val="00CF3D60"/>
    <w:rsid w:val="00CF41D3"/>
    <w:rsid w:val="00CF451C"/>
    <w:rsid w:val="00CF45F6"/>
    <w:rsid w:val="00CF49D4"/>
    <w:rsid w:val="00CF4A3A"/>
    <w:rsid w:val="00CF5447"/>
    <w:rsid w:val="00CF5520"/>
    <w:rsid w:val="00CF5771"/>
    <w:rsid w:val="00CF5ADB"/>
    <w:rsid w:val="00CF6F69"/>
    <w:rsid w:val="00CF7678"/>
    <w:rsid w:val="00D00014"/>
    <w:rsid w:val="00D00177"/>
    <w:rsid w:val="00D00494"/>
    <w:rsid w:val="00D00945"/>
    <w:rsid w:val="00D00B9E"/>
    <w:rsid w:val="00D00C1D"/>
    <w:rsid w:val="00D0109E"/>
    <w:rsid w:val="00D01722"/>
    <w:rsid w:val="00D018E9"/>
    <w:rsid w:val="00D02557"/>
    <w:rsid w:val="00D02B7F"/>
    <w:rsid w:val="00D03380"/>
    <w:rsid w:val="00D03399"/>
    <w:rsid w:val="00D03516"/>
    <w:rsid w:val="00D03966"/>
    <w:rsid w:val="00D0396C"/>
    <w:rsid w:val="00D0594C"/>
    <w:rsid w:val="00D0601F"/>
    <w:rsid w:val="00D068D6"/>
    <w:rsid w:val="00D079CE"/>
    <w:rsid w:val="00D103FA"/>
    <w:rsid w:val="00D106CB"/>
    <w:rsid w:val="00D10A34"/>
    <w:rsid w:val="00D11357"/>
    <w:rsid w:val="00D11C3A"/>
    <w:rsid w:val="00D120A3"/>
    <w:rsid w:val="00D122CA"/>
    <w:rsid w:val="00D12652"/>
    <w:rsid w:val="00D126F7"/>
    <w:rsid w:val="00D129F5"/>
    <w:rsid w:val="00D12ED9"/>
    <w:rsid w:val="00D1323F"/>
    <w:rsid w:val="00D138D4"/>
    <w:rsid w:val="00D13EC7"/>
    <w:rsid w:val="00D141DD"/>
    <w:rsid w:val="00D14684"/>
    <w:rsid w:val="00D1494A"/>
    <w:rsid w:val="00D158C5"/>
    <w:rsid w:val="00D158D7"/>
    <w:rsid w:val="00D15AFB"/>
    <w:rsid w:val="00D15DC9"/>
    <w:rsid w:val="00D15F1C"/>
    <w:rsid w:val="00D16E42"/>
    <w:rsid w:val="00D172A4"/>
    <w:rsid w:val="00D17BC9"/>
    <w:rsid w:val="00D20673"/>
    <w:rsid w:val="00D2076B"/>
    <w:rsid w:val="00D212C7"/>
    <w:rsid w:val="00D21887"/>
    <w:rsid w:val="00D22877"/>
    <w:rsid w:val="00D2340A"/>
    <w:rsid w:val="00D2345E"/>
    <w:rsid w:val="00D23CF8"/>
    <w:rsid w:val="00D2424B"/>
    <w:rsid w:val="00D25133"/>
    <w:rsid w:val="00D251AA"/>
    <w:rsid w:val="00D2595B"/>
    <w:rsid w:val="00D25E6C"/>
    <w:rsid w:val="00D26222"/>
    <w:rsid w:val="00D264AA"/>
    <w:rsid w:val="00D265D8"/>
    <w:rsid w:val="00D266DE"/>
    <w:rsid w:val="00D26D3C"/>
    <w:rsid w:val="00D270A9"/>
    <w:rsid w:val="00D27438"/>
    <w:rsid w:val="00D27CC7"/>
    <w:rsid w:val="00D30726"/>
    <w:rsid w:val="00D30C40"/>
    <w:rsid w:val="00D30D07"/>
    <w:rsid w:val="00D31689"/>
    <w:rsid w:val="00D316BE"/>
    <w:rsid w:val="00D322C2"/>
    <w:rsid w:val="00D3249F"/>
    <w:rsid w:val="00D325D3"/>
    <w:rsid w:val="00D33148"/>
    <w:rsid w:val="00D33592"/>
    <w:rsid w:val="00D3370B"/>
    <w:rsid w:val="00D33C3D"/>
    <w:rsid w:val="00D34D8A"/>
    <w:rsid w:val="00D350AB"/>
    <w:rsid w:val="00D355E8"/>
    <w:rsid w:val="00D355F2"/>
    <w:rsid w:val="00D359E7"/>
    <w:rsid w:val="00D367C0"/>
    <w:rsid w:val="00D369D5"/>
    <w:rsid w:val="00D3739C"/>
    <w:rsid w:val="00D37EB2"/>
    <w:rsid w:val="00D402BC"/>
    <w:rsid w:val="00D403E9"/>
    <w:rsid w:val="00D406C8"/>
    <w:rsid w:val="00D409A0"/>
    <w:rsid w:val="00D40C2D"/>
    <w:rsid w:val="00D413E3"/>
    <w:rsid w:val="00D416AC"/>
    <w:rsid w:val="00D418B2"/>
    <w:rsid w:val="00D419C0"/>
    <w:rsid w:val="00D419D7"/>
    <w:rsid w:val="00D41D3D"/>
    <w:rsid w:val="00D42D1D"/>
    <w:rsid w:val="00D43A08"/>
    <w:rsid w:val="00D43DD6"/>
    <w:rsid w:val="00D43F8D"/>
    <w:rsid w:val="00D4452C"/>
    <w:rsid w:val="00D44864"/>
    <w:rsid w:val="00D44C6E"/>
    <w:rsid w:val="00D44CC7"/>
    <w:rsid w:val="00D44FDB"/>
    <w:rsid w:val="00D454EC"/>
    <w:rsid w:val="00D45BF2"/>
    <w:rsid w:val="00D45D8D"/>
    <w:rsid w:val="00D45F1F"/>
    <w:rsid w:val="00D465F5"/>
    <w:rsid w:val="00D46772"/>
    <w:rsid w:val="00D47FD2"/>
    <w:rsid w:val="00D50061"/>
    <w:rsid w:val="00D51C2C"/>
    <w:rsid w:val="00D53217"/>
    <w:rsid w:val="00D5404B"/>
    <w:rsid w:val="00D540AC"/>
    <w:rsid w:val="00D54863"/>
    <w:rsid w:val="00D54B41"/>
    <w:rsid w:val="00D54F56"/>
    <w:rsid w:val="00D55814"/>
    <w:rsid w:val="00D55855"/>
    <w:rsid w:val="00D55A36"/>
    <w:rsid w:val="00D55C2E"/>
    <w:rsid w:val="00D55DA0"/>
    <w:rsid w:val="00D5609B"/>
    <w:rsid w:val="00D56575"/>
    <w:rsid w:val="00D5670D"/>
    <w:rsid w:val="00D56710"/>
    <w:rsid w:val="00D5689A"/>
    <w:rsid w:val="00D57072"/>
    <w:rsid w:val="00D5774C"/>
    <w:rsid w:val="00D60562"/>
    <w:rsid w:val="00D6084A"/>
    <w:rsid w:val="00D609A7"/>
    <w:rsid w:val="00D61249"/>
    <w:rsid w:val="00D61AE5"/>
    <w:rsid w:val="00D62180"/>
    <w:rsid w:val="00D627FA"/>
    <w:rsid w:val="00D62B20"/>
    <w:rsid w:val="00D64019"/>
    <w:rsid w:val="00D64636"/>
    <w:rsid w:val="00D64C3D"/>
    <w:rsid w:val="00D64C50"/>
    <w:rsid w:val="00D64F3D"/>
    <w:rsid w:val="00D6501D"/>
    <w:rsid w:val="00D65700"/>
    <w:rsid w:val="00D663E8"/>
    <w:rsid w:val="00D66726"/>
    <w:rsid w:val="00D668E4"/>
    <w:rsid w:val="00D66A3F"/>
    <w:rsid w:val="00D66BD3"/>
    <w:rsid w:val="00D66F5F"/>
    <w:rsid w:val="00D67466"/>
    <w:rsid w:val="00D67EE4"/>
    <w:rsid w:val="00D70195"/>
    <w:rsid w:val="00D7047B"/>
    <w:rsid w:val="00D706E2"/>
    <w:rsid w:val="00D70735"/>
    <w:rsid w:val="00D70758"/>
    <w:rsid w:val="00D709C2"/>
    <w:rsid w:val="00D710D1"/>
    <w:rsid w:val="00D7182D"/>
    <w:rsid w:val="00D71A14"/>
    <w:rsid w:val="00D71EAC"/>
    <w:rsid w:val="00D726CC"/>
    <w:rsid w:val="00D729A9"/>
    <w:rsid w:val="00D72A82"/>
    <w:rsid w:val="00D72ACC"/>
    <w:rsid w:val="00D73227"/>
    <w:rsid w:val="00D741F4"/>
    <w:rsid w:val="00D7424A"/>
    <w:rsid w:val="00D742A1"/>
    <w:rsid w:val="00D74FEC"/>
    <w:rsid w:val="00D75505"/>
    <w:rsid w:val="00D75C4B"/>
    <w:rsid w:val="00D75FAF"/>
    <w:rsid w:val="00D76168"/>
    <w:rsid w:val="00D76695"/>
    <w:rsid w:val="00D76D38"/>
    <w:rsid w:val="00D76DA2"/>
    <w:rsid w:val="00D76F07"/>
    <w:rsid w:val="00D7777C"/>
    <w:rsid w:val="00D77B59"/>
    <w:rsid w:val="00D77DAB"/>
    <w:rsid w:val="00D8038F"/>
    <w:rsid w:val="00D80998"/>
    <w:rsid w:val="00D80D05"/>
    <w:rsid w:val="00D813E4"/>
    <w:rsid w:val="00D82261"/>
    <w:rsid w:val="00D8228F"/>
    <w:rsid w:val="00D82CAF"/>
    <w:rsid w:val="00D82F1D"/>
    <w:rsid w:val="00D830C3"/>
    <w:rsid w:val="00D838AC"/>
    <w:rsid w:val="00D83CB1"/>
    <w:rsid w:val="00D84A2E"/>
    <w:rsid w:val="00D85121"/>
    <w:rsid w:val="00D862DA"/>
    <w:rsid w:val="00D8640C"/>
    <w:rsid w:val="00D86456"/>
    <w:rsid w:val="00D870BD"/>
    <w:rsid w:val="00D878EC"/>
    <w:rsid w:val="00D87F29"/>
    <w:rsid w:val="00D903E0"/>
    <w:rsid w:val="00D90D41"/>
    <w:rsid w:val="00D90EAC"/>
    <w:rsid w:val="00D90ED8"/>
    <w:rsid w:val="00D91E3A"/>
    <w:rsid w:val="00D91FB5"/>
    <w:rsid w:val="00D92213"/>
    <w:rsid w:val="00D925B6"/>
    <w:rsid w:val="00D9283D"/>
    <w:rsid w:val="00D92D42"/>
    <w:rsid w:val="00D936C9"/>
    <w:rsid w:val="00D937B5"/>
    <w:rsid w:val="00D938E2"/>
    <w:rsid w:val="00D94273"/>
    <w:rsid w:val="00D9434E"/>
    <w:rsid w:val="00D94757"/>
    <w:rsid w:val="00D951F9"/>
    <w:rsid w:val="00D9522B"/>
    <w:rsid w:val="00D95923"/>
    <w:rsid w:val="00D96B12"/>
    <w:rsid w:val="00D96DC1"/>
    <w:rsid w:val="00D97576"/>
    <w:rsid w:val="00DA01F1"/>
    <w:rsid w:val="00DA087F"/>
    <w:rsid w:val="00DA2655"/>
    <w:rsid w:val="00DA28BD"/>
    <w:rsid w:val="00DA29B3"/>
    <w:rsid w:val="00DA2A1F"/>
    <w:rsid w:val="00DA2A97"/>
    <w:rsid w:val="00DA2B2A"/>
    <w:rsid w:val="00DA2BAA"/>
    <w:rsid w:val="00DA2DCF"/>
    <w:rsid w:val="00DA2E4C"/>
    <w:rsid w:val="00DA341B"/>
    <w:rsid w:val="00DA3D7B"/>
    <w:rsid w:val="00DA41F5"/>
    <w:rsid w:val="00DA4A72"/>
    <w:rsid w:val="00DA4A9C"/>
    <w:rsid w:val="00DA5802"/>
    <w:rsid w:val="00DA6721"/>
    <w:rsid w:val="00DA6833"/>
    <w:rsid w:val="00DA6DAB"/>
    <w:rsid w:val="00DA7189"/>
    <w:rsid w:val="00DA7370"/>
    <w:rsid w:val="00DA7C70"/>
    <w:rsid w:val="00DB0392"/>
    <w:rsid w:val="00DB096D"/>
    <w:rsid w:val="00DB0B07"/>
    <w:rsid w:val="00DB0CCA"/>
    <w:rsid w:val="00DB0CF5"/>
    <w:rsid w:val="00DB1011"/>
    <w:rsid w:val="00DB1190"/>
    <w:rsid w:val="00DB1BEE"/>
    <w:rsid w:val="00DB21DF"/>
    <w:rsid w:val="00DB241D"/>
    <w:rsid w:val="00DB267A"/>
    <w:rsid w:val="00DB2E12"/>
    <w:rsid w:val="00DB342C"/>
    <w:rsid w:val="00DB36CC"/>
    <w:rsid w:val="00DB43BD"/>
    <w:rsid w:val="00DB44FD"/>
    <w:rsid w:val="00DB4594"/>
    <w:rsid w:val="00DB4716"/>
    <w:rsid w:val="00DB4959"/>
    <w:rsid w:val="00DB49A8"/>
    <w:rsid w:val="00DB4AA3"/>
    <w:rsid w:val="00DB54D7"/>
    <w:rsid w:val="00DB5AB9"/>
    <w:rsid w:val="00DB5D7D"/>
    <w:rsid w:val="00DB5EF8"/>
    <w:rsid w:val="00DB6565"/>
    <w:rsid w:val="00DB68FF"/>
    <w:rsid w:val="00DB7230"/>
    <w:rsid w:val="00DB7471"/>
    <w:rsid w:val="00DC0468"/>
    <w:rsid w:val="00DC07B1"/>
    <w:rsid w:val="00DC0A8E"/>
    <w:rsid w:val="00DC10FF"/>
    <w:rsid w:val="00DC1181"/>
    <w:rsid w:val="00DC32BA"/>
    <w:rsid w:val="00DC3DA3"/>
    <w:rsid w:val="00DC3DF7"/>
    <w:rsid w:val="00DC4410"/>
    <w:rsid w:val="00DC46D1"/>
    <w:rsid w:val="00DC51BF"/>
    <w:rsid w:val="00DC51EB"/>
    <w:rsid w:val="00DC5784"/>
    <w:rsid w:val="00DC5809"/>
    <w:rsid w:val="00DC5FD8"/>
    <w:rsid w:val="00DC682D"/>
    <w:rsid w:val="00DC6903"/>
    <w:rsid w:val="00DC697C"/>
    <w:rsid w:val="00DC7ABB"/>
    <w:rsid w:val="00DD058B"/>
    <w:rsid w:val="00DD069A"/>
    <w:rsid w:val="00DD11D0"/>
    <w:rsid w:val="00DD12D0"/>
    <w:rsid w:val="00DD1759"/>
    <w:rsid w:val="00DD3C90"/>
    <w:rsid w:val="00DD3CF8"/>
    <w:rsid w:val="00DD3DD6"/>
    <w:rsid w:val="00DD401A"/>
    <w:rsid w:val="00DD48D4"/>
    <w:rsid w:val="00DD49E8"/>
    <w:rsid w:val="00DD4D06"/>
    <w:rsid w:val="00DD5BE1"/>
    <w:rsid w:val="00DD5FC8"/>
    <w:rsid w:val="00DD616B"/>
    <w:rsid w:val="00DD6518"/>
    <w:rsid w:val="00DD6537"/>
    <w:rsid w:val="00DD6667"/>
    <w:rsid w:val="00DD74A2"/>
    <w:rsid w:val="00DD7631"/>
    <w:rsid w:val="00DE1363"/>
    <w:rsid w:val="00DE1EAE"/>
    <w:rsid w:val="00DE2619"/>
    <w:rsid w:val="00DE26EE"/>
    <w:rsid w:val="00DE31A8"/>
    <w:rsid w:val="00DE383B"/>
    <w:rsid w:val="00DE49BE"/>
    <w:rsid w:val="00DE4BA9"/>
    <w:rsid w:val="00DE5CD3"/>
    <w:rsid w:val="00DE6576"/>
    <w:rsid w:val="00DE6E4E"/>
    <w:rsid w:val="00DE7365"/>
    <w:rsid w:val="00DE7A65"/>
    <w:rsid w:val="00DF004E"/>
    <w:rsid w:val="00DF0132"/>
    <w:rsid w:val="00DF0B69"/>
    <w:rsid w:val="00DF162B"/>
    <w:rsid w:val="00DF167A"/>
    <w:rsid w:val="00DF1ED1"/>
    <w:rsid w:val="00DF2F4E"/>
    <w:rsid w:val="00DF4614"/>
    <w:rsid w:val="00DF4C18"/>
    <w:rsid w:val="00DF537D"/>
    <w:rsid w:val="00DF5697"/>
    <w:rsid w:val="00DF58DD"/>
    <w:rsid w:val="00DF5C49"/>
    <w:rsid w:val="00DF64A1"/>
    <w:rsid w:val="00DF67BF"/>
    <w:rsid w:val="00DF6D10"/>
    <w:rsid w:val="00DF737E"/>
    <w:rsid w:val="00DF7B25"/>
    <w:rsid w:val="00DF7CDA"/>
    <w:rsid w:val="00E00633"/>
    <w:rsid w:val="00E006D1"/>
    <w:rsid w:val="00E00B67"/>
    <w:rsid w:val="00E00C79"/>
    <w:rsid w:val="00E01460"/>
    <w:rsid w:val="00E01B06"/>
    <w:rsid w:val="00E01B4F"/>
    <w:rsid w:val="00E02303"/>
    <w:rsid w:val="00E02F54"/>
    <w:rsid w:val="00E03193"/>
    <w:rsid w:val="00E04840"/>
    <w:rsid w:val="00E04AB4"/>
    <w:rsid w:val="00E051AE"/>
    <w:rsid w:val="00E05FA8"/>
    <w:rsid w:val="00E06572"/>
    <w:rsid w:val="00E07495"/>
    <w:rsid w:val="00E0785D"/>
    <w:rsid w:val="00E0788A"/>
    <w:rsid w:val="00E07AEA"/>
    <w:rsid w:val="00E102BB"/>
    <w:rsid w:val="00E107FD"/>
    <w:rsid w:val="00E107FE"/>
    <w:rsid w:val="00E108D5"/>
    <w:rsid w:val="00E10B1C"/>
    <w:rsid w:val="00E114C9"/>
    <w:rsid w:val="00E12A13"/>
    <w:rsid w:val="00E12A32"/>
    <w:rsid w:val="00E12C3F"/>
    <w:rsid w:val="00E13341"/>
    <w:rsid w:val="00E135A1"/>
    <w:rsid w:val="00E138E0"/>
    <w:rsid w:val="00E13FFC"/>
    <w:rsid w:val="00E14080"/>
    <w:rsid w:val="00E140A8"/>
    <w:rsid w:val="00E140F1"/>
    <w:rsid w:val="00E1496E"/>
    <w:rsid w:val="00E14DF7"/>
    <w:rsid w:val="00E14FB2"/>
    <w:rsid w:val="00E15789"/>
    <w:rsid w:val="00E15D99"/>
    <w:rsid w:val="00E15EFF"/>
    <w:rsid w:val="00E16182"/>
    <w:rsid w:val="00E162A0"/>
    <w:rsid w:val="00E16967"/>
    <w:rsid w:val="00E16E0B"/>
    <w:rsid w:val="00E16EF1"/>
    <w:rsid w:val="00E16F39"/>
    <w:rsid w:val="00E16FBB"/>
    <w:rsid w:val="00E17390"/>
    <w:rsid w:val="00E17603"/>
    <w:rsid w:val="00E177A0"/>
    <w:rsid w:val="00E1787D"/>
    <w:rsid w:val="00E17DFC"/>
    <w:rsid w:val="00E17F63"/>
    <w:rsid w:val="00E20231"/>
    <w:rsid w:val="00E204D9"/>
    <w:rsid w:val="00E20596"/>
    <w:rsid w:val="00E20C55"/>
    <w:rsid w:val="00E218B8"/>
    <w:rsid w:val="00E21B08"/>
    <w:rsid w:val="00E21EB9"/>
    <w:rsid w:val="00E22206"/>
    <w:rsid w:val="00E22B14"/>
    <w:rsid w:val="00E22B98"/>
    <w:rsid w:val="00E22EC4"/>
    <w:rsid w:val="00E236E9"/>
    <w:rsid w:val="00E23827"/>
    <w:rsid w:val="00E23A4B"/>
    <w:rsid w:val="00E24491"/>
    <w:rsid w:val="00E25C15"/>
    <w:rsid w:val="00E25CBF"/>
    <w:rsid w:val="00E262D0"/>
    <w:rsid w:val="00E2710B"/>
    <w:rsid w:val="00E3042A"/>
    <w:rsid w:val="00E3079B"/>
    <w:rsid w:val="00E30914"/>
    <w:rsid w:val="00E30C69"/>
    <w:rsid w:val="00E312C9"/>
    <w:rsid w:val="00E314BB"/>
    <w:rsid w:val="00E31594"/>
    <w:rsid w:val="00E317A2"/>
    <w:rsid w:val="00E31B99"/>
    <w:rsid w:val="00E32624"/>
    <w:rsid w:val="00E32904"/>
    <w:rsid w:val="00E32CA7"/>
    <w:rsid w:val="00E3353B"/>
    <w:rsid w:val="00E33543"/>
    <w:rsid w:val="00E336F7"/>
    <w:rsid w:val="00E33F04"/>
    <w:rsid w:val="00E346A5"/>
    <w:rsid w:val="00E34B38"/>
    <w:rsid w:val="00E35686"/>
    <w:rsid w:val="00E36458"/>
    <w:rsid w:val="00E368C3"/>
    <w:rsid w:val="00E36C33"/>
    <w:rsid w:val="00E3723A"/>
    <w:rsid w:val="00E3764A"/>
    <w:rsid w:val="00E405DB"/>
    <w:rsid w:val="00E4065C"/>
    <w:rsid w:val="00E40A31"/>
    <w:rsid w:val="00E40B00"/>
    <w:rsid w:val="00E41572"/>
    <w:rsid w:val="00E4168B"/>
    <w:rsid w:val="00E41950"/>
    <w:rsid w:val="00E41A43"/>
    <w:rsid w:val="00E41BD1"/>
    <w:rsid w:val="00E422AA"/>
    <w:rsid w:val="00E4246C"/>
    <w:rsid w:val="00E42F4C"/>
    <w:rsid w:val="00E42F4D"/>
    <w:rsid w:val="00E433EA"/>
    <w:rsid w:val="00E43423"/>
    <w:rsid w:val="00E436C8"/>
    <w:rsid w:val="00E43C06"/>
    <w:rsid w:val="00E44307"/>
    <w:rsid w:val="00E44433"/>
    <w:rsid w:val="00E449B1"/>
    <w:rsid w:val="00E44F08"/>
    <w:rsid w:val="00E45124"/>
    <w:rsid w:val="00E463E7"/>
    <w:rsid w:val="00E46625"/>
    <w:rsid w:val="00E47922"/>
    <w:rsid w:val="00E47A35"/>
    <w:rsid w:val="00E47B31"/>
    <w:rsid w:val="00E47D4D"/>
    <w:rsid w:val="00E50142"/>
    <w:rsid w:val="00E501F7"/>
    <w:rsid w:val="00E5082D"/>
    <w:rsid w:val="00E5084F"/>
    <w:rsid w:val="00E51240"/>
    <w:rsid w:val="00E51D1F"/>
    <w:rsid w:val="00E52A82"/>
    <w:rsid w:val="00E52A8F"/>
    <w:rsid w:val="00E5314E"/>
    <w:rsid w:val="00E53830"/>
    <w:rsid w:val="00E53ED2"/>
    <w:rsid w:val="00E542A9"/>
    <w:rsid w:val="00E54615"/>
    <w:rsid w:val="00E54688"/>
    <w:rsid w:val="00E55756"/>
    <w:rsid w:val="00E5686D"/>
    <w:rsid w:val="00E56DE4"/>
    <w:rsid w:val="00E574A9"/>
    <w:rsid w:val="00E575E1"/>
    <w:rsid w:val="00E61355"/>
    <w:rsid w:val="00E613BC"/>
    <w:rsid w:val="00E615A6"/>
    <w:rsid w:val="00E619CA"/>
    <w:rsid w:val="00E61CD6"/>
    <w:rsid w:val="00E61F1E"/>
    <w:rsid w:val="00E624B7"/>
    <w:rsid w:val="00E62B9F"/>
    <w:rsid w:val="00E63796"/>
    <w:rsid w:val="00E64505"/>
    <w:rsid w:val="00E6457F"/>
    <w:rsid w:val="00E64D41"/>
    <w:rsid w:val="00E65210"/>
    <w:rsid w:val="00E65953"/>
    <w:rsid w:val="00E662CF"/>
    <w:rsid w:val="00E667B3"/>
    <w:rsid w:val="00E66861"/>
    <w:rsid w:val="00E66E21"/>
    <w:rsid w:val="00E67011"/>
    <w:rsid w:val="00E67063"/>
    <w:rsid w:val="00E67A86"/>
    <w:rsid w:val="00E67F5C"/>
    <w:rsid w:val="00E70349"/>
    <w:rsid w:val="00E70F38"/>
    <w:rsid w:val="00E70F3E"/>
    <w:rsid w:val="00E710FC"/>
    <w:rsid w:val="00E71415"/>
    <w:rsid w:val="00E715DA"/>
    <w:rsid w:val="00E71873"/>
    <w:rsid w:val="00E71915"/>
    <w:rsid w:val="00E71DC6"/>
    <w:rsid w:val="00E7229B"/>
    <w:rsid w:val="00E72FAE"/>
    <w:rsid w:val="00E763D6"/>
    <w:rsid w:val="00E76825"/>
    <w:rsid w:val="00E77151"/>
    <w:rsid w:val="00E77A0F"/>
    <w:rsid w:val="00E77A83"/>
    <w:rsid w:val="00E8032E"/>
    <w:rsid w:val="00E807DA"/>
    <w:rsid w:val="00E80916"/>
    <w:rsid w:val="00E809D6"/>
    <w:rsid w:val="00E80DD1"/>
    <w:rsid w:val="00E816BD"/>
    <w:rsid w:val="00E81EE1"/>
    <w:rsid w:val="00E81FF6"/>
    <w:rsid w:val="00E82079"/>
    <w:rsid w:val="00E82CBF"/>
    <w:rsid w:val="00E8321C"/>
    <w:rsid w:val="00E83578"/>
    <w:rsid w:val="00E840DF"/>
    <w:rsid w:val="00E841D5"/>
    <w:rsid w:val="00E8452A"/>
    <w:rsid w:val="00E84C4F"/>
    <w:rsid w:val="00E84D02"/>
    <w:rsid w:val="00E8528B"/>
    <w:rsid w:val="00E8560F"/>
    <w:rsid w:val="00E856B6"/>
    <w:rsid w:val="00E856DE"/>
    <w:rsid w:val="00E85D51"/>
    <w:rsid w:val="00E86F5F"/>
    <w:rsid w:val="00E875ED"/>
    <w:rsid w:val="00E87620"/>
    <w:rsid w:val="00E8780A"/>
    <w:rsid w:val="00E8793F"/>
    <w:rsid w:val="00E90411"/>
    <w:rsid w:val="00E90743"/>
    <w:rsid w:val="00E90BBF"/>
    <w:rsid w:val="00E90E5F"/>
    <w:rsid w:val="00E9101D"/>
    <w:rsid w:val="00E92D50"/>
    <w:rsid w:val="00E93EE9"/>
    <w:rsid w:val="00E94540"/>
    <w:rsid w:val="00E9477E"/>
    <w:rsid w:val="00E957FC"/>
    <w:rsid w:val="00E95926"/>
    <w:rsid w:val="00E95CBA"/>
    <w:rsid w:val="00E95DFB"/>
    <w:rsid w:val="00E95E9B"/>
    <w:rsid w:val="00E96285"/>
    <w:rsid w:val="00E96ADB"/>
    <w:rsid w:val="00EA0289"/>
    <w:rsid w:val="00EA079F"/>
    <w:rsid w:val="00EA1C35"/>
    <w:rsid w:val="00EA239E"/>
    <w:rsid w:val="00EA27F3"/>
    <w:rsid w:val="00EA2D27"/>
    <w:rsid w:val="00EA3783"/>
    <w:rsid w:val="00EA3884"/>
    <w:rsid w:val="00EA4C10"/>
    <w:rsid w:val="00EA4C40"/>
    <w:rsid w:val="00EA4CDC"/>
    <w:rsid w:val="00EA4FA2"/>
    <w:rsid w:val="00EA5C40"/>
    <w:rsid w:val="00EA684C"/>
    <w:rsid w:val="00EA7C0C"/>
    <w:rsid w:val="00EA7F5D"/>
    <w:rsid w:val="00EB06B3"/>
    <w:rsid w:val="00EB0B2A"/>
    <w:rsid w:val="00EB11D1"/>
    <w:rsid w:val="00EB16D5"/>
    <w:rsid w:val="00EB181B"/>
    <w:rsid w:val="00EB1CA4"/>
    <w:rsid w:val="00EB2229"/>
    <w:rsid w:val="00EB291B"/>
    <w:rsid w:val="00EB2DEA"/>
    <w:rsid w:val="00EB320E"/>
    <w:rsid w:val="00EB3516"/>
    <w:rsid w:val="00EB4027"/>
    <w:rsid w:val="00EB441D"/>
    <w:rsid w:val="00EB4A46"/>
    <w:rsid w:val="00EB5DB3"/>
    <w:rsid w:val="00EB5E7C"/>
    <w:rsid w:val="00EB60CF"/>
    <w:rsid w:val="00EB7210"/>
    <w:rsid w:val="00EB72C0"/>
    <w:rsid w:val="00EB73BF"/>
    <w:rsid w:val="00EB78AE"/>
    <w:rsid w:val="00EB7AEB"/>
    <w:rsid w:val="00EC169B"/>
    <w:rsid w:val="00EC25A9"/>
    <w:rsid w:val="00EC341C"/>
    <w:rsid w:val="00EC38C1"/>
    <w:rsid w:val="00EC3917"/>
    <w:rsid w:val="00EC41A4"/>
    <w:rsid w:val="00EC4520"/>
    <w:rsid w:val="00EC4A67"/>
    <w:rsid w:val="00EC4C50"/>
    <w:rsid w:val="00EC4E18"/>
    <w:rsid w:val="00EC518C"/>
    <w:rsid w:val="00EC51F2"/>
    <w:rsid w:val="00EC549E"/>
    <w:rsid w:val="00EC5719"/>
    <w:rsid w:val="00EC62FB"/>
    <w:rsid w:val="00EC688C"/>
    <w:rsid w:val="00EC715F"/>
    <w:rsid w:val="00EC75A6"/>
    <w:rsid w:val="00EC7AA5"/>
    <w:rsid w:val="00ED0239"/>
    <w:rsid w:val="00ED0290"/>
    <w:rsid w:val="00ED0A2B"/>
    <w:rsid w:val="00ED0D22"/>
    <w:rsid w:val="00ED112B"/>
    <w:rsid w:val="00ED1601"/>
    <w:rsid w:val="00ED1657"/>
    <w:rsid w:val="00ED1A1B"/>
    <w:rsid w:val="00ED1B2D"/>
    <w:rsid w:val="00ED2483"/>
    <w:rsid w:val="00ED2915"/>
    <w:rsid w:val="00ED4521"/>
    <w:rsid w:val="00ED48E0"/>
    <w:rsid w:val="00ED5637"/>
    <w:rsid w:val="00ED594F"/>
    <w:rsid w:val="00ED59DA"/>
    <w:rsid w:val="00ED5DE6"/>
    <w:rsid w:val="00ED5FDE"/>
    <w:rsid w:val="00ED6309"/>
    <w:rsid w:val="00ED6618"/>
    <w:rsid w:val="00ED6E69"/>
    <w:rsid w:val="00ED734E"/>
    <w:rsid w:val="00ED7A06"/>
    <w:rsid w:val="00ED7D14"/>
    <w:rsid w:val="00EE054F"/>
    <w:rsid w:val="00EE06D6"/>
    <w:rsid w:val="00EE0751"/>
    <w:rsid w:val="00EE1327"/>
    <w:rsid w:val="00EE1C65"/>
    <w:rsid w:val="00EE1D31"/>
    <w:rsid w:val="00EE28C4"/>
    <w:rsid w:val="00EE2EB3"/>
    <w:rsid w:val="00EE32A2"/>
    <w:rsid w:val="00EE33C4"/>
    <w:rsid w:val="00EE3773"/>
    <w:rsid w:val="00EE3A1A"/>
    <w:rsid w:val="00EE41B1"/>
    <w:rsid w:val="00EE488A"/>
    <w:rsid w:val="00EE4DB2"/>
    <w:rsid w:val="00EE56F5"/>
    <w:rsid w:val="00EE58BE"/>
    <w:rsid w:val="00EE62DF"/>
    <w:rsid w:val="00EE653E"/>
    <w:rsid w:val="00EE71C9"/>
    <w:rsid w:val="00EE753A"/>
    <w:rsid w:val="00EF0683"/>
    <w:rsid w:val="00EF089D"/>
    <w:rsid w:val="00EF0DDB"/>
    <w:rsid w:val="00EF1155"/>
    <w:rsid w:val="00EF169F"/>
    <w:rsid w:val="00EF183E"/>
    <w:rsid w:val="00EF1B8B"/>
    <w:rsid w:val="00EF2C72"/>
    <w:rsid w:val="00EF3067"/>
    <w:rsid w:val="00EF352D"/>
    <w:rsid w:val="00EF367D"/>
    <w:rsid w:val="00EF37C5"/>
    <w:rsid w:val="00EF3E0B"/>
    <w:rsid w:val="00EF4328"/>
    <w:rsid w:val="00EF44BD"/>
    <w:rsid w:val="00EF4AEE"/>
    <w:rsid w:val="00EF4E4A"/>
    <w:rsid w:val="00EF51A9"/>
    <w:rsid w:val="00EF53DF"/>
    <w:rsid w:val="00EF55F4"/>
    <w:rsid w:val="00EF575A"/>
    <w:rsid w:val="00EF5948"/>
    <w:rsid w:val="00EF5AB4"/>
    <w:rsid w:val="00EF60FF"/>
    <w:rsid w:val="00EF639B"/>
    <w:rsid w:val="00EF6B85"/>
    <w:rsid w:val="00EF6D3D"/>
    <w:rsid w:val="00EF6E41"/>
    <w:rsid w:val="00EF7EAD"/>
    <w:rsid w:val="00F004BD"/>
    <w:rsid w:val="00F00A0E"/>
    <w:rsid w:val="00F00FE5"/>
    <w:rsid w:val="00F01045"/>
    <w:rsid w:val="00F012ED"/>
    <w:rsid w:val="00F01A20"/>
    <w:rsid w:val="00F02065"/>
    <w:rsid w:val="00F02114"/>
    <w:rsid w:val="00F021A2"/>
    <w:rsid w:val="00F036C2"/>
    <w:rsid w:val="00F03AEC"/>
    <w:rsid w:val="00F03BF4"/>
    <w:rsid w:val="00F03F3B"/>
    <w:rsid w:val="00F04C95"/>
    <w:rsid w:val="00F05757"/>
    <w:rsid w:val="00F062E9"/>
    <w:rsid w:val="00F06766"/>
    <w:rsid w:val="00F06BF8"/>
    <w:rsid w:val="00F06EE1"/>
    <w:rsid w:val="00F07468"/>
    <w:rsid w:val="00F07CC2"/>
    <w:rsid w:val="00F07F86"/>
    <w:rsid w:val="00F10963"/>
    <w:rsid w:val="00F11DDC"/>
    <w:rsid w:val="00F120B7"/>
    <w:rsid w:val="00F12780"/>
    <w:rsid w:val="00F12D79"/>
    <w:rsid w:val="00F12DA6"/>
    <w:rsid w:val="00F1302B"/>
    <w:rsid w:val="00F1306F"/>
    <w:rsid w:val="00F134CE"/>
    <w:rsid w:val="00F139CA"/>
    <w:rsid w:val="00F13CAB"/>
    <w:rsid w:val="00F13E96"/>
    <w:rsid w:val="00F13F76"/>
    <w:rsid w:val="00F14DD4"/>
    <w:rsid w:val="00F14EAA"/>
    <w:rsid w:val="00F153C1"/>
    <w:rsid w:val="00F16633"/>
    <w:rsid w:val="00F16957"/>
    <w:rsid w:val="00F17B5F"/>
    <w:rsid w:val="00F207AA"/>
    <w:rsid w:val="00F20AF8"/>
    <w:rsid w:val="00F2176B"/>
    <w:rsid w:val="00F217E8"/>
    <w:rsid w:val="00F21997"/>
    <w:rsid w:val="00F21D19"/>
    <w:rsid w:val="00F22757"/>
    <w:rsid w:val="00F22D82"/>
    <w:rsid w:val="00F22FE8"/>
    <w:rsid w:val="00F2348B"/>
    <w:rsid w:val="00F23A8E"/>
    <w:rsid w:val="00F24428"/>
    <w:rsid w:val="00F24551"/>
    <w:rsid w:val="00F24E3F"/>
    <w:rsid w:val="00F25BCD"/>
    <w:rsid w:val="00F25C34"/>
    <w:rsid w:val="00F25D39"/>
    <w:rsid w:val="00F2608F"/>
    <w:rsid w:val="00F26D40"/>
    <w:rsid w:val="00F272A6"/>
    <w:rsid w:val="00F273E8"/>
    <w:rsid w:val="00F30A4B"/>
    <w:rsid w:val="00F316EF"/>
    <w:rsid w:val="00F320E8"/>
    <w:rsid w:val="00F3229E"/>
    <w:rsid w:val="00F32B95"/>
    <w:rsid w:val="00F32BDB"/>
    <w:rsid w:val="00F32E54"/>
    <w:rsid w:val="00F331B4"/>
    <w:rsid w:val="00F331B7"/>
    <w:rsid w:val="00F336C9"/>
    <w:rsid w:val="00F33E0A"/>
    <w:rsid w:val="00F340B6"/>
    <w:rsid w:val="00F34F2E"/>
    <w:rsid w:val="00F36013"/>
    <w:rsid w:val="00F3610A"/>
    <w:rsid w:val="00F361B7"/>
    <w:rsid w:val="00F365E9"/>
    <w:rsid w:val="00F36D71"/>
    <w:rsid w:val="00F37027"/>
    <w:rsid w:val="00F37D27"/>
    <w:rsid w:val="00F4034D"/>
    <w:rsid w:val="00F40BAE"/>
    <w:rsid w:val="00F4193A"/>
    <w:rsid w:val="00F41989"/>
    <w:rsid w:val="00F41FE5"/>
    <w:rsid w:val="00F42CA8"/>
    <w:rsid w:val="00F4325F"/>
    <w:rsid w:val="00F4436F"/>
    <w:rsid w:val="00F44F6E"/>
    <w:rsid w:val="00F45459"/>
    <w:rsid w:val="00F456F1"/>
    <w:rsid w:val="00F45881"/>
    <w:rsid w:val="00F46473"/>
    <w:rsid w:val="00F46DF4"/>
    <w:rsid w:val="00F472C4"/>
    <w:rsid w:val="00F473CD"/>
    <w:rsid w:val="00F47A00"/>
    <w:rsid w:val="00F50D75"/>
    <w:rsid w:val="00F50FF0"/>
    <w:rsid w:val="00F513EF"/>
    <w:rsid w:val="00F52266"/>
    <w:rsid w:val="00F52A51"/>
    <w:rsid w:val="00F52C84"/>
    <w:rsid w:val="00F52DB8"/>
    <w:rsid w:val="00F52F93"/>
    <w:rsid w:val="00F531ED"/>
    <w:rsid w:val="00F53211"/>
    <w:rsid w:val="00F53305"/>
    <w:rsid w:val="00F5331D"/>
    <w:rsid w:val="00F53593"/>
    <w:rsid w:val="00F542BF"/>
    <w:rsid w:val="00F5438D"/>
    <w:rsid w:val="00F54608"/>
    <w:rsid w:val="00F54947"/>
    <w:rsid w:val="00F552F2"/>
    <w:rsid w:val="00F55E52"/>
    <w:rsid w:val="00F56049"/>
    <w:rsid w:val="00F565F8"/>
    <w:rsid w:val="00F56783"/>
    <w:rsid w:val="00F56CEB"/>
    <w:rsid w:val="00F56DCF"/>
    <w:rsid w:val="00F57444"/>
    <w:rsid w:val="00F57459"/>
    <w:rsid w:val="00F576A0"/>
    <w:rsid w:val="00F57A77"/>
    <w:rsid w:val="00F57E1A"/>
    <w:rsid w:val="00F57EF0"/>
    <w:rsid w:val="00F57F21"/>
    <w:rsid w:val="00F602D1"/>
    <w:rsid w:val="00F60709"/>
    <w:rsid w:val="00F60B56"/>
    <w:rsid w:val="00F6229C"/>
    <w:rsid w:val="00F627E2"/>
    <w:rsid w:val="00F634CD"/>
    <w:rsid w:val="00F64F74"/>
    <w:rsid w:val="00F65172"/>
    <w:rsid w:val="00F6583C"/>
    <w:rsid w:val="00F66565"/>
    <w:rsid w:val="00F66933"/>
    <w:rsid w:val="00F66DFC"/>
    <w:rsid w:val="00F67EC5"/>
    <w:rsid w:val="00F70991"/>
    <w:rsid w:val="00F71520"/>
    <w:rsid w:val="00F71A16"/>
    <w:rsid w:val="00F71BF3"/>
    <w:rsid w:val="00F71F8C"/>
    <w:rsid w:val="00F73121"/>
    <w:rsid w:val="00F736D3"/>
    <w:rsid w:val="00F73756"/>
    <w:rsid w:val="00F74F8E"/>
    <w:rsid w:val="00F75038"/>
    <w:rsid w:val="00F756BB"/>
    <w:rsid w:val="00F7574D"/>
    <w:rsid w:val="00F7590F"/>
    <w:rsid w:val="00F75C05"/>
    <w:rsid w:val="00F75F01"/>
    <w:rsid w:val="00F75FE2"/>
    <w:rsid w:val="00F771F0"/>
    <w:rsid w:val="00F772CC"/>
    <w:rsid w:val="00F8018B"/>
    <w:rsid w:val="00F803AA"/>
    <w:rsid w:val="00F80D91"/>
    <w:rsid w:val="00F80F19"/>
    <w:rsid w:val="00F818E0"/>
    <w:rsid w:val="00F81D53"/>
    <w:rsid w:val="00F82A2D"/>
    <w:rsid w:val="00F82EFB"/>
    <w:rsid w:val="00F83078"/>
    <w:rsid w:val="00F830BF"/>
    <w:rsid w:val="00F830E7"/>
    <w:rsid w:val="00F832E9"/>
    <w:rsid w:val="00F834D8"/>
    <w:rsid w:val="00F845A9"/>
    <w:rsid w:val="00F84C33"/>
    <w:rsid w:val="00F8512E"/>
    <w:rsid w:val="00F85246"/>
    <w:rsid w:val="00F852C6"/>
    <w:rsid w:val="00F8568E"/>
    <w:rsid w:val="00F8569E"/>
    <w:rsid w:val="00F85A14"/>
    <w:rsid w:val="00F85BD8"/>
    <w:rsid w:val="00F863B2"/>
    <w:rsid w:val="00F879D1"/>
    <w:rsid w:val="00F87BCC"/>
    <w:rsid w:val="00F87BD6"/>
    <w:rsid w:val="00F87C14"/>
    <w:rsid w:val="00F90964"/>
    <w:rsid w:val="00F90972"/>
    <w:rsid w:val="00F90EB0"/>
    <w:rsid w:val="00F913C6"/>
    <w:rsid w:val="00F914E8"/>
    <w:rsid w:val="00F917BC"/>
    <w:rsid w:val="00F91B5D"/>
    <w:rsid w:val="00F92444"/>
    <w:rsid w:val="00F92B7B"/>
    <w:rsid w:val="00F9344C"/>
    <w:rsid w:val="00F93CFE"/>
    <w:rsid w:val="00F94864"/>
    <w:rsid w:val="00F94B6C"/>
    <w:rsid w:val="00F94DC4"/>
    <w:rsid w:val="00F952D4"/>
    <w:rsid w:val="00F95649"/>
    <w:rsid w:val="00F95BDD"/>
    <w:rsid w:val="00F962BA"/>
    <w:rsid w:val="00F963A5"/>
    <w:rsid w:val="00F964B1"/>
    <w:rsid w:val="00F97603"/>
    <w:rsid w:val="00F97EB4"/>
    <w:rsid w:val="00FA02EE"/>
    <w:rsid w:val="00FA13D9"/>
    <w:rsid w:val="00FA1674"/>
    <w:rsid w:val="00FA1FAE"/>
    <w:rsid w:val="00FA2917"/>
    <w:rsid w:val="00FA305E"/>
    <w:rsid w:val="00FA33A6"/>
    <w:rsid w:val="00FA3A60"/>
    <w:rsid w:val="00FA465C"/>
    <w:rsid w:val="00FA46FA"/>
    <w:rsid w:val="00FA532E"/>
    <w:rsid w:val="00FA5CC1"/>
    <w:rsid w:val="00FA6806"/>
    <w:rsid w:val="00FA6E0F"/>
    <w:rsid w:val="00FA7B80"/>
    <w:rsid w:val="00FB0675"/>
    <w:rsid w:val="00FB0B18"/>
    <w:rsid w:val="00FB1709"/>
    <w:rsid w:val="00FB17E5"/>
    <w:rsid w:val="00FB18EA"/>
    <w:rsid w:val="00FB2728"/>
    <w:rsid w:val="00FB2867"/>
    <w:rsid w:val="00FB2ACA"/>
    <w:rsid w:val="00FB318A"/>
    <w:rsid w:val="00FB3193"/>
    <w:rsid w:val="00FB33AD"/>
    <w:rsid w:val="00FB3632"/>
    <w:rsid w:val="00FB369E"/>
    <w:rsid w:val="00FB3CF2"/>
    <w:rsid w:val="00FB3DA1"/>
    <w:rsid w:val="00FB47B2"/>
    <w:rsid w:val="00FB4D05"/>
    <w:rsid w:val="00FB5700"/>
    <w:rsid w:val="00FB589E"/>
    <w:rsid w:val="00FB673E"/>
    <w:rsid w:val="00FB6915"/>
    <w:rsid w:val="00FB6CAC"/>
    <w:rsid w:val="00FB753B"/>
    <w:rsid w:val="00FB789E"/>
    <w:rsid w:val="00FC0FA6"/>
    <w:rsid w:val="00FC0FFE"/>
    <w:rsid w:val="00FC1666"/>
    <w:rsid w:val="00FC1945"/>
    <w:rsid w:val="00FC2132"/>
    <w:rsid w:val="00FC2424"/>
    <w:rsid w:val="00FC277B"/>
    <w:rsid w:val="00FC3D57"/>
    <w:rsid w:val="00FC3E29"/>
    <w:rsid w:val="00FC3EB4"/>
    <w:rsid w:val="00FC3EEA"/>
    <w:rsid w:val="00FC46CE"/>
    <w:rsid w:val="00FC50F3"/>
    <w:rsid w:val="00FC51B8"/>
    <w:rsid w:val="00FC52BB"/>
    <w:rsid w:val="00FC54EF"/>
    <w:rsid w:val="00FC588C"/>
    <w:rsid w:val="00FC5AE1"/>
    <w:rsid w:val="00FC5B15"/>
    <w:rsid w:val="00FC5FD1"/>
    <w:rsid w:val="00FC6A42"/>
    <w:rsid w:val="00FC6C2D"/>
    <w:rsid w:val="00FC703C"/>
    <w:rsid w:val="00FD0C9E"/>
    <w:rsid w:val="00FD0D0B"/>
    <w:rsid w:val="00FD1050"/>
    <w:rsid w:val="00FD16AB"/>
    <w:rsid w:val="00FD1C7B"/>
    <w:rsid w:val="00FD222F"/>
    <w:rsid w:val="00FD2551"/>
    <w:rsid w:val="00FD2940"/>
    <w:rsid w:val="00FD2E3A"/>
    <w:rsid w:val="00FD2F6C"/>
    <w:rsid w:val="00FD356C"/>
    <w:rsid w:val="00FD38DC"/>
    <w:rsid w:val="00FD3F83"/>
    <w:rsid w:val="00FD4F15"/>
    <w:rsid w:val="00FD5EF8"/>
    <w:rsid w:val="00FD6457"/>
    <w:rsid w:val="00FD6932"/>
    <w:rsid w:val="00FD6C80"/>
    <w:rsid w:val="00FD70C4"/>
    <w:rsid w:val="00FD755E"/>
    <w:rsid w:val="00FD783A"/>
    <w:rsid w:val="00FD7AAB"/>
    <w:rsid w:val="00FD7BD1"/>
    <w:rsid w:val="00FD7CD3"/>
    <w:rsid w:val="00FD7D31"/>
    <w:rsid w:val="00FE007C"/>
    <w:rsid w:val="00FE0C08"/>
    <w:rsid w:val="00FE1C40"/>
    <w:rsid w:val="00FE1C7C"/>
    <w:rsid w:val="00FE28C0"/>
    <w:rsid w:val="00FE3499"/>
    <w:rsid w:val="00FE3BC3"/>
    <w:rsid w:val="00FE410C"/>
    <w:rsid w:val="00FE4292"/>
    <w:rsid w:val="00FE44C5"/>
    <w:rsid w:val="00FE4B63"/>
    <w:rsid w:val="00FE54DD"/>
    <w:rsid w:val="00FE55FE"/>
    <w:rsid w:val="00FE5A3F"/>
    <w:rsid w:val="00FE66FF"/>
    <w:rsid w:val="00FE6C3A"/>
    <w:rsid w:val="00FE78EE"/>
    <w:rsid w:val="00FE794A"/>
    <w:rsid w:val="00FF0B90"/>
    <w:rsid w:val="00FF1021"/>
    <w:rsid w:val="00FF141F"/>
    <w:rsid w:val="00FF3840"/>
    <w:rsid w:val="00FF39E7"/>
    <w:rsid w:val="00FF406D"/>
    <w:rsid w:val="00FF4381"/>
    <w:rsid w:val="00FF46E8"/>
    <w:rsid w:val="00FF4AC7"/>
    <w:rsid w:val="00FF507A"/>
    <w:rsid w:val="00FF5208"/>
    <w:rsid w:val="00FF5404"/>
    <w:rsid w:val="00FF54A1"/>
    <w:rsid w:val="00FF5CE3"/>
    <w:rsid w:val="00FF5D52"/>
    <w:rsid w:val="00FF620F"/>
    <w:rsid w:val="00FF63E5"/>
    <w:rsid w:val="00FF6610"/>
    <w:rsid w:val="00FF694C"/>
    <w:rsid w:val="00FF6AEE"/>
    <w:rsid w:val="00FF6BAD"/>
    <w:rsid w:val="00FF6DD2"/>
    <w:rsid w:val="00FF6F7A"/>
    <w:rsid w:val="00FF723D"/>
    <w:rsid w:val="00FF7302"/>
    <w:rsid w:val="00FF7C26"/>
    <w:rsid w:val="00FF7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D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891673"/>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891673"/>
    <w:pPr>
      <w:keepNext/>
      <w:numPr>
        <w:numId w:val="5"/>
      </w:numPr>
      <w:ind w:right="1296"/>
      <w:outlineLvl w:val="0"/>
    </w:pPr>
    <w:rPr>
      <w:u w:val="single"/>
    </w:rPr>
  </w:style>
  <w:style w:type="paragraph" w:styleId="Heading2">
    <w:name w:val="heading 2"/>
    <w:basedOn w:val="Normal"/>
    <w:next w:val="Normal"/>
    <w:uiPriority w:val="99"/>
    <w:semiHidden/>
    <w:qFormat/>
    <w:locked/>
    <w:rsid w:val="00891673"/>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891673"/>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8916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1673"/>
  </w:style>
  <w:style w:type="paragraph" w:styleId="Footer">
    <w:name w:val="footer"/>
    <w:basedOn w:val="Normal"/>
    <w:link w:val="FooterChar"/>
    <w:uiPriority w:val="43"/>
    <w:locked/>
    <w:rsid w:val="00891673"/>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891673"/>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891673"/>
    <w:pPr>
      <w:spacing w:before="240" w:line="240" w:lineRule="exact"/>
      <w:ind w:left="720" w:right="794" w:firstLine="0"/>
    </w:pPr>
  </w:style>
  <w:style w:type="paragraph" w:styleId="FootnoteText">
    <w:name w:val="footnote text"/>
    <w:basedOn w:val="Normal"/>
    <w:link w:val="FootnoteTextChar"/>
    <w:uiPriority w:val="53"/>
    <w:locked/>
    <w:rsid w:val="00891673"/>
    <w:pPr>
      <w:spacing w:after="240" w:line="240" w:lineRule="exact"/>
      <w:ind w:left="510" w:hanging="510"/>
    </w:pPr>
  </w:style>
  <w:style w:type="character" w:styleId="FootnoteReference">
    <w:name w:val="footnote reference"/>
    <w:uiPriority w:val="51"/>
    <w:locked/>
    <w:rsid w:val="00891673"/>
    <w:rPr>
      <w:b/>
      <w:sz w:val="28"/>
      <w:vertAlign w:val="superscript"/>
    </w:rPr>
  </w:style>
  <w:style w:type="paragraph" w:customStyle="1" w:styleId="FootIndAgain">
    <w:name w:val="FootIndAgain"/>
    <w:basedOn w:val="FootnoteText"/>
    <w:uiPriority w:val="47"/>
    <w:qFormat/>
    <w:locked/>
    <w:rsid w:val="00891673"/>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891673"/>
    <w:pPr>
      <w:ind w:firstLine="0"/>
    </w:pPr>
  </w:style>
  <w:style w:type="character" w:customStyle="1" w:styleId="Heading1Char">
    <w:name w:val="Heading 1 Char"/>
    <w:uiPriority w:val="99"/>
    <w:semiHidden/>
    <w:locked/>
    <w:rsid w:val="00891673"/>
    <w:rPr>
      <w:rFonts w:ascii="Univers" w:hAnsi="Univers"/>
      <w:sz w:val="26"/>
      <w:u w:val="single"/>
      <w:lang w:val="en-AU"/>
    </w:rPr>
  </w:style>
  <w:style w:type="character" w:customStyle="1" w:styleId="Heading2Char">
    <w:name w:val="Heading 2 Char"/>
    <w:uiPriority w:val="99"/>
    <w:semiHidden/>
    <w:locked/>
    <w:rsid w:val="00891673"/>
    <w:rPr>
      <w:rFonts w:ascii="Arial" w:hAnsi="Arial"/>
      <w:b/>
      <w:i/>
      <w:sz w:val="24"/>
      <w:lang w:val="en-AU"/>
    </w:rPr>
  </w:style>
  <w:style w:type="character" w:customStyle="1" w:styleId="Heading3Char">
    <w:name w:val="Heading 3 Char"/>
    <w:uiPriority w:val="99"/>
    <w:semiHidden/>
    <w:locked/>
    <w:rsid w:val="00891673"/>
    <w:rPr>
      <w:rFonts w:ascii="Arial" w:hAnsi="Arial"/>
      <w:sz w:val="24"/>
      <w:lang w:val="en-AU"/>
    </w:rPr>
  </w:style>
  <w:style w:type="paragraph" w:customStyle="1" w:styleId="NormalHC">
    <w:name w:val="Normal HC"/>
    <w:basedOn w:val="Normal"/>
    <w:uiPriority w:val="27"/>
    <w:qFormat/>
    <w:locked/>
    <w:rsid w:val="00891673"/>
    <w:pPr>
      <w:numPr>
        <w:numId w:val="16"/>
      </w:numPr>
      <w:spacing w:after="480"/>
      <w:ind w:left="0" w:hanging="720"/>
    </w:pPr>
  </w:style>
  <w:style w:type="paragraph" w:customStyle="1" w:styleId="HeadingFirst">
    <w:name w:val="Heading First"/>
    <w:basedOn w:val="NormalHC"/>
    <w:next w:val="HeadingV"/>
    <w:uiPriority w:val="15"/>
    <w:qFormat/>
    <w:locked/>
    <w:rsid w:val="00891673"/>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891673"/>
    <w:pPr>
      <w:keepNext/>
      <w:numPr>
        <w:numId w:val="0"/>
      </w:numPr>
      <w:outlineLvl w:val="2"/>
    </w:pPr>
    <w:rPr>
      <w:b/>
      <w:szCs w:val="20"/>
    </w:rPr>
  </w:style>
  <w:style w:type="paragraph" w:customStyle="1" w:styleId="HeadingL2">
    <w:name w:val="Heading L2"/>
    <w:basedOn w:val="HeadingL1"/>
    <w:next w:val="NormalHC"/>
    <w:uiPriority w:val="23"/>
    <w:qFormat/>
    <w:locked/>
    <w:rsid w:val="00891673"/>
    <w:pPr>
      <w:outlineLvl w:val="3"/>
    </w:pPr>
    <w:rPr>
      <w:b w:val="0"/>
      <w:i/>
    </w:rPr>
  </w:style>
  <w:style w:type="paragraph" w:customStyle="1" w:styleId="HeadingMatter">
    <w:name w:val="Heading Matter"/>
    <w:basedOn w:val="NormalHC"/>
    <w:next w:val="HeadingFirst"/>
    <w:uiPriority w:val="13"/>
    <w:qFormat/>
    <w:locked/>
    <w:rsid w:val="00891673"/>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891673"/>
    <w:pPr>
      <w:keepNext w:val="0"/>
    </w:pPr>
  </w:style>
  <w:style w:type="paragraph" w:customStyle="1" w:styleId="HeadingV">
    <w:name w:val="Heading V"/>
    <w:basedOn w:val="HeadingFirst"/>
    <w:next w:val="HeadingSecond"/>
    <w:uiPriority w:val="17"/>
    <w:qFormat/>
    <w:locked/>
    <w:rsid w:val="00891673"/>
    <w:rPr>
      <w:caps w:val="0"/>
      <w:u w:val="none"/>
    </w:rPr>
  </w:style>
  <w:style w:type="paragraph" w:customStyle="1" w:styleId="LeftrightafterHC">
    <w:name w:val="Leftright after HC"/>
    <w:basedOn w:val="Normal"/>
    <w:next w:val="leftright"/>
    <w:uiPriority w:val="31"/>
    <w:qFormat/>
    <w:locked/>
    <w:rsid w:val="00891673"/>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891673"/>
    <w:pPr>
      <w:ind w:firstLine="720"/>
    </w:pPr>
  </w:style>
  <w:style w:type="paragraph" w:customStyle="1" w:styleId="LeftrightHanging">
    <w:name w:val="LeftrightHanging"/>
    <w:basedOn w:val="NormalHC"/>
    <w:uiPriority w:val="35"/>
    <w:qFormat/>
    <w:locked/>
    <w:rsid w:val="00891673"/>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891673"/>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891673"/>
    <w:pPr>
      <w:spacing w:before="200"/>
      <w:ind w:left="2160"/>
    </w:pPr>
  </w:style>
  <w:style w:type="paragraph" w:customStyle="1" w:styleId="NormalafterHd2nd">
    <w:name w:val="Normal after Hd2nd"/>
    <w:basedOn w:val="NormalHC"/>
    <w:next w:val="NormalHC"/>
    <w:uiPriority w:val="29"/>
    <w:locked/>
    <w:rsid w:val="00891673"/>
    <w:pPr>
      <w:numPr>
        <w:numId w:val="0"/>
      </w:numPr>
      <w:spacing w:before="1000"/>
    </w:pPr>
  </w:style>
  <w:style w:type="character" w:customStyle="1" w:styleId="NormalHCChar">
    <w:name w:val="Normal HC Char"/>
    <w:uiPriority w:val="99"/>
    <w:semiHidden/>
    <w:locked/>
    <w:rsid w:val="00891673"/>
    <w:rPr>
      <w:rFonts w:ascii="Univers" w:hAnsi="Univers"/>
      <w:sz w:val="26"/>
      <w:szCs w:val="26"/>
    </w:rPr>
  </w:style>
  <w:style w:type="character" w:customStyle="1" w:styleId="StyleFootnoteReferenceChar">
    <w:name w:val="Style Footnote Reference Char"/>
    <w:uiPriority w:val="99"/>
    <w:semiHidden/>
    <w:locked/>
    <w:rsid w:val="00891673"/>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891673"/>
  </w:style>
  <w:style w:type="paragraph" w:customStyle="1" w:styleId="HeadingJudgment">
    <w:name w:val="Heading Judgment"/>
    <w:basedOn w:val="Normal"/>
    <w:uiPriority w:val="59"/>
    <w:qFormat/>
    <w:locked/>
    <w:rsid w:val="00891673"/>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891673"/>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891673"/>
    <w:pPr>
      <w:outlineLvl w:val="4"/>
    </w:pPr>
    <w:rPr>
      <w:b w:val="0"/>
    </w:rPr>
  </w:style>
  <w:style w:type="character" w:styleId="PageNumber">
    <w:name w:val="page number"/>
    <w:basedOn w:val="DefaultParagraphFont"/>
    <w:uiPriority w:val="57"/>
    <w:locked/>
    <w:rsid w:val="00891673"/>
  </w:style>
  <w:style w:type="paragraph" w:styleId="BalloonText">
    <w:name w:val="Balloon Text"/>
    <w:basedOn w:val="Normal"/>
    <w:link w:val="BalloonTextChar"/>
    <w:semiHidden/>
    <w:locked/>
    <w:rsid w:val="00891673"/>
    <w:rPr>
      <w:rFonts w:ascii="Tahoma" w:hAnsi="Tahoma" w:cs="Tahoma"/>
      <w:sz w:val="16"/>
      <w:szCs w:val="16"/>
      <w:lang w:eastAsia="en-US"/>
    </w:rPr>
  </w:style>
  <w:style w:type="character" w:customStyle="1" w:styleId="BalloonTextChar">
    <w:name w:val="Balloon Text Char"/>
    <w:basedOn w:val="DefaultParagraphFont"/>
    <w:link w:val="BalloonText"/>
    <w:semiHidden/>
    <w:rsid w:val="00891673"/>
    <w:rPr>
      <w:rFonts w:ascii="Tahoma" w:hAnsi="Tahoma" w:cs="Tahoma"/>
      <w:sz w:val="16"/>
      <w:szCs w:val="16"/>
      <w:lang w:eastAsia="en-US"/>
    </w:rPr>
  </w:style>
  <w:style w:type="paragraph" w:customStyle="1" w:styleId="ClosingText">
    <w:name w:val="Closing Text"/>
    <w:basedOn w:val="Normal"/>
    <w:uiPriority w:val="98"/>
    <w:semiHidden/>
    <w:qFormat/>
    <w:locked/>
    <w:rsid w:val="00891673"/>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891673"/>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891673"/>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891673"/>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891673"/>
    <w:rPr>
      <w:szCs w:val="20"/>
      <w:lang w:eastAsia="en-US"/>
    </w:rPr>
  </w:style>
  <w:style w:type="paragraph" w:customStyle="1" w:styleId="NormalBody">
    <w:name w:val="Normal Body"/>
    <w:basedOn w:val="NormalHC"/>
    <w:uiPriority w:val="28"/>
    <w:qFormat/>
    <w:locked/>
    <w:rsid w:val="00891673"/>
    <w:pPr>
      <w:numPr>
        <w:numId w:val="0"/>
      </w:numPr>
    </w:pPr>
    <w:rPr>
      <w:lang w:eastAsia="en-US"/>
    </w:rPr>
  </w:style>
  <w:style w:type="paragraph" w:customStyle="1" w:styleId="StyleFootnoteReference">
    <w:name w:val="Style Footnote Reference"/>
    <w:basedOn w:val="Normal"/>
    <w:next w:val="Normal"/>
    <w:semiHidden/>
    <w:rsid w:val="00891673"/>
    <w:rPr>
      <w:vertAlign w:val="superscript"/>
      <w:lang w:eastAsia="en-US"/>
    </w:rPr>
  </w:style>
  <w:style w:type="paragraph" w:styleId="ListNumber">
    <w:name w:val="List Number"/>
    <w:basedOn w:val="Normal"/>
    <w:uiPriority w:val="56"/>
    <w:locked/>
    <w:rsid w:val="00891673"/>
    <w:pPr>
      <w:numPr>
        <w:numId w:val="11"/>
      </w:numPr>
      <w:contextualSpacing/>
    </w:pPr>
  </w:style>
  <w:style w:type="paragraph" w:customStyle="1" w:styleId="FixListStyle">
    <w:name w:val="FixListStyle"/>
    <w:basedOn w:val="Normal"/>
    <w:uiPriority w:val="99"/>
    <w:qFormat/>
    <w:rsid w:val="00891673"/>
    <w:pPr>
      <w:numPr>
        <w:numId w:val="19"/>
      </w:numPr>
      <w:spacing w:after="480"/>
      <w:ind w:left="0" w:hanging="720"/>
    </w:pPr>
  </w:style>
  <w:style w:type="paragraph" w:customStyle="1" w:styleId="CatchwordsBold">
    <w:name w:val="Catchwords Bold"/>
    <w:basedOn w:val="Normal"/>
    <w:link w:val="CatchwordsBoldChar"/>
    <w:qFormat/>
    <w:rsid w:val="00891673"/>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891673"/>
    <w:rPr>
      <w:rFonts w:ascii="Times New Roman" w:hAnsi="Times New Roman"/>
      <w:b/>
      <w:szCs w:val="20"/>
    </w:rPr>
  </w:style>
  <w:style w:type="paragraph" w:customStyle="1" w:styleId="CatchwordsRight">
    <w:name w:val="Catchwords Right"/>
    <w:basedOn w:val="Normal"/>
    <w:link w:val="CatchwordsRightChar"/>
    <w:qFormat/>
    <w:rsid w:val="00891673"/>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891673"/>
    <w:rPr>
      <w:rFonts w:ascii="Times New Roman" w:hAnsi="Times New Roman"/>
      <w:szCs w:val="20"/>
    </w:rPr>
  </w:style>
  <w:style w:type="paragraph" w:customStyle="1" w:styleId="CatchwordsText">
    <w:name w:val="Catchwords Text"/>
    <w:basedOn w:val="Normal"/>
    <w:link w:val="CatchwordsTextChar"/>
    <w:qFormat/>
    <w:rsid w:val="00891673"/>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891673"/>
    <w:rPr>
      <w:rFonts w:ascii="Times New Roman" w:hAnsi="Times New Roman"/>
      <w:szCs w:val="20"/>
    </w:rPr>
  </w:style>
  <w:style w:type="paragraph" w:customStyle="1" w:styleId="CenteredBorder">
    <w:name w:val="Centered Border"/>
    <w:qFormat/>
    <w:rsid w:val="0089167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891673"/>
    <w:pPr>
      <w:jc w:val="center"/>
    </w:pPr>
    <w:rPr>
      <w:rFonts w:ascii="Times New Roman" w:hAnsi="Times New Roman"/>
      <w:b/>
      <w:bCs/>
      <w:szCs w:val="20"/>
      <w:lang w:val="en-GB"/>
    </w:rPr>
  </w:style>
  <w:style w:type="character" w:customStyle="1" w:styleId="OrderCentred">
    <w:name w:val="Order Centred"/>
    <w:semiHidden/>
    <w:rsid w:val="00891673"/>
    <w:rPr>
      <w:b/>
      <w:bCs/>
      <w:sz w:val="26"/>
    </w:rPr>
  </w:style>
  <w:style w:type="paragraph" w:customStyle="1" w:styleId="OrdersTopLine">
    <w:name w:val="Orders TopLine"/>
    <w:qFormat/>
    <w:rsid w:val="00891673"/>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89167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89167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891673"/>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89167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891673"/>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891673"/>
    <w:rPr>
      <w:rFonts w:ascii="Times New Roman" w:hAnsi="Times New Roman"/>
      <w:i/>
      <w:lang w:eastAsia="en-US"/>
    </w:rPr>
  </w:style>
  <w:style w:type="paragraph" w:customStyle="1" w:styleId="OrdersIndentLevel2i">
    <w:name w:val="Orders Indent Level 2 (i)"/>
    <w:basedOn w:val="Normal"/>
    <w:link w:val="OrdersIndentLevel2iChar"/>
    <w:qFormat/>
    <w:rsid w:val="00891673"/>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891673"/>
    <w:rPr>
      <w:rFonts w:ascii="Times New Roman" w:hAnsi="Times New Roman"/>
      <w:i/>
      <w:lang w:eastAsia="en-US"/>
    </w:rPr>
  </w:style>
  <w:style w:type="paragraph" w:customStyle="1" w:styleId="OrdersMatter">
    <w:name w:val="Orders Matter"/>
    <w:basedOn w:val="OrderCentreBold"/>
    <w:link w:val="OrdersMatterChar"/>
    <w:qFormat/>
    <w:rsid w:val="00891673"/>
  </w:style>
  <w:style w:type="character" w:customStyle="1" w:styleId="OrdersMatterChar">
    <w:name w:val="Orders Matter Char"/>
    <w:link w:val="OrdersMatter"/>
    <w:rsid w:val="00891673"/>
    <w:rPr>
      <w:rFonts w:ascii="Times New Roman" w:hAnsi="Times New Roman"/>
      <w:b/>
      <w:bCs/>
      <w:szCs w:val="20"/>
      <w:lang w:val="en-GB"/>
    </w:rPr>
  </w:style>
  <w:style w:type="paragraph" w:customStyle="1" w:styleId="OrdersNotice">
    <w:name w:val="Orders Notice"/>
    <w:rsid w:val="00891673"/>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891673"/>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891673"/>
    <w:rPr>
      <w:rFonts w:ascii="Times New Roman" w:hAnsi="Times New Roman"/>
      <w:szCs w:val="20"/>
      <w:lang w:eastAsia="en-US"/>
    </w:rPr>
  </w:style>
  <w:style w:type="paragraph" w:customStyle="1" w:styleId="OrdersText">
    <w:name w:val="Orders Text"/>
    <w:basedOn w:val="Normal"/>
    <w:link w:val="OrdersTextChar"/>
    <w:qFormat/>
    <w:rsid w:val="00891673"/>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891673"/>
    <w:rPr>
      <w:rFonts w:ascii="Times New Roman" w:hAnsi="Times New Roman"/>
      <w:i/>
      <w:lang w:eastAsia="en-US"/>
    </w:rPr>
  </w:style>
  <w:style w:type="paragraph" w:customStyle="1" w:styleId="OrdersCenteredBorder">
    <w:name w:val="Orders Centered Border"/>
    <w:qFormat/>
    <w:rsid w:val="00891673"/>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891673"/>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891673"/>
    <w:rPr>
      <w:rFonts w:ascii="Times New Roman" w:hAnsi="Times New Roman"/>
      <w:szCs w:val="20"/>
    </w:rPr>
  </w:style>
  <w:style w:type="paragraph" w:customStyle="1" w:styleId="LRHangingafterHC">
    <w:name w:val="LR Hanging after HC"/>
    <w:basedOn w:val="Normal"/>
    <w:next w:val="LeftrightHanging"/>
    <w:uiPriority w:val="99"/>
    <w:qFormat/>
    <w:rsid w:val="00891673"/>
    <w:pPr>
      <w:spacing w:before="720" w:line="240" w:lineRule="exact"/>
      <w:ind w:left="1440" w:right="794" w:hanging="720"/>
    </w:pPr>
  </w:style>
  <w:style w:type="character" w:customStyle="1" w:styleId="FootnoteTextChar">
    <w:name w:val="Footnote Text Char"/>
    <w:basedOn w:val="DefaultParagraphFont"/>
    <w:link w:val="FootnoteText"/>
    <w:uiPriority w:val="53"/>
    <w:rsid w:val="00A7357D"/>
  </w:style>
  <w:style w:type="paragraph" w:styleId="Revision">
    <w:name w:val="Revision"/>
    <w:hidden/>
    <w:uiPriority w:val="99"/>
    <w:semiHidden/>
    <w:rsid w:val="001B34AE"/>
  </w:style>
  <w:style w:type="character" w:styleId="CommentReference">
    <w:name w:val="annotation reference"/>
    <w:basedOn w:val="DefaultParagraphFont"/>
    <w:uiPriority w:val="99"/>
    <w:semiHidden/>
    <w:unhideWhenUsed/>
    <w:locked/>
    <w:rsid w:val="00EF169F"/>
    <w:rPr>
      <w:sz w:val="16"/>
      <w:szCs w:val="16"/>
    </w:rPr>
  </w:style>
  <w:style w:type="paragraph" w:styleId="CommentText">
    <w:name w:val="annotation text"/>
    <w:basedOn w:val="Normal"/>
    <w:link w:val="CommentTextChar"/>
    <w:uiPriority w:val="99"/>
    <w:unhideWhenUsed/>
    <w:locked/>
    <w:rsid w:val="00EF169F"/>
    <w:pPr>
      <w:spacing w:line="240" w:lineRule="auto"/>
    </w:pPr>
    <w:rPr>
      <w:sz w:val="20"/>
      <w:szCs w:val="20"/>
    </w:rPr>
  </w:style>
  <w:style w:type="character" w:customStyle="1" w:styleId="CommentTextChar">
    <w:name w:val="Comment Text Char"/>
    <w:basedOn w:val="DefaultParagraphFont"/>
    <w:link w:val="CommentText"/>
    <w:uiPriority w:val="99"/>
    <w:rsid w:val="00EF169F"/>
    <w:rPr>
      <w:sz w:val="20"/>
      <w:szCs w:val="20"/>
    </w:rPr>
  </w:style>
  <w:style w:type="paragraph" w:styleId="CommentSubject">
    <w:name w:val="annotation subject"/>
    <w:basedOn w:val="CommentText"/>
    <w:next w:val="CommentText"/>
    <w:link w:val="CommentSubjectChar"/>
    <w:uiPriority w:val="99"/>
    <w:semiHidden/>
    <w:unhideWhenUsed/>
    <w:locked/>
    <w:rsid w:val="00EF169F"/>
    <w:rPr>
      <w:b/>
      <w:bCs/>
    </w:rPr>
  </w:style>
  <w:style w:type="character" w:customStyle="1" w:styleId="CommentSubjectChar">
    <w:name w:val="Comment Subject Char"/>
    <w:basedOn w:val="CommentTextChar"/>
    <w:link w:val="CommentSubject"/>
    <w:uiPriority w:val="99"/>
    <w:semiHidden/>
    <w:rsid w:val="00EF169F"/>
    <w:rPr>
      <w:b/>
      <w:bCs/>
      <w:sz w:val="20"/>
      <w:szCs w:val="20"/>
    </w:rPr>
  </w:style>
  <w:style w:type="paragraph" w:customStyle="1" w:styleId="Body">
    <w:name w:val="Body"/>
    <w:basedOn w:val="Normal"/>
    <w:qFormat/>
    <w:rsid w:val="0089167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9167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9167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9167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9167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91673"/>
    <w:pPr>
      <w:jc w:val="center"/>
    </w:pPr>
    <w:rPr>
      <w:rFonts w:ascii="Times New Roman" w:hAnsi="Times New Roman"/>
      <w:bCs/>
      <w:szCs w:val="20"/>
      <w:lang w:val="en-GB"/>
    </w:rPr>
  </w:style>
  <w:style w:type="paragraph" w:customStyle="1" w:styleId="Default">
    <w:name w:val="Default"/>
    <w:rsid w:val="00891673"/>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9053">
      <w:bodyDiv w:val="1"/>
      <w:marLeft w:val="0"/>
      <w:marRight w:val="0"/>
      <w:marTop w:val="0"/>
      <w:marBottom w:val="0"/>
      <w:divBdr>
        <w:top w:val="none" w:sz="0" w:space="0" w:color="auto"/>
        <w:left w:val="none" w:sz="0" w:space="0" w:color="auto"/>
        <w:bottom w:val="none" w:sz="0" w:space="0" w:color="auto"/>
        <w:right w:val="none" w:sz="0" w:space="0" w:color="auto"/>
      </w:divBdr>
    </w:div>
    <w:div w:id="81287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982C5-BCEB-4C23-B23C-0FA0790CE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29</Pages>
  <Words>6284</Words>
  <Characters>35819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2025-05-12T22:49:00Z</dcterms:created>
  <dcterms:modified xsi:type="dcterms:W3CDTF">2025-05-12T22:49:00Z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