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A2E7" w14:textId="77777777" w:rsidR="00194AA8" w:rsidRPr="00704FF8" w:rsidRDefault="00194AA8" w:rsidP="00704FF8">
      <w:pPr>
        <w:pStyle w:val="OrdersTopLine"/>
      </w:pPr>
      <w:r w:rsidRPr="00704FF8">
        <w:t>HIGH COURT OF AUSTRALIA</w:t>
      </w:r>
    </w:p>
    <w:p w14:paraId="01C769BD" w14:textId="77777777" w:rsidR="00194AA8" w:rsidRPr="00704FF8" w:rsidRDefault="00194AA8" w:rsidP="00704FF8">
      <w:pPr>
        <w:pStyle w:val="OrderCentre"/>
      </w:pPr>
    </w:p>
    <w:p w14:paraId="5A3027C3" w14:textId="77777777" w:rsidR="00194AA8" w:rsidRPr="00C46004" w:rsidRDefault="00194AA8" w:rsidP="00704FF8">
      <w:pPr>
        <w:pStyle w:val="OrderCentre"/>
        <w:rPr>
          <w:spacing w:val="-4"/>
          <w:sz w:val="24"/>
          <w:szCs w:val="24"/>
        </w:rPr>
      </w:pPr>
      <w:r w:rsidRPr="00C46004">
        <w:rPr>
          <w:spacing w:val="-4"/>
          <w:sz w:val="24"/>
          <w:szCs w:val="24"/>
        </w:rPr>
        <w:t>GAGELER CJ,</w:t>
      </w:r>
    </w:p>
    <w:p w14:paraId="04725536" w14:textId="77777777" w:rsidR="00194AA8" w:rsidRPr="00704FF8" w:rsidRDefault="00194AA8"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313BBC47" w14:textId="77777777" w:rsidR="00194AA8" w:rsidRPr="00427F3A" w:rsidRDefault="00194AA8" w:rsidP="00EE5374">
      <w:pPr>
        <w:pStyle w:val="Centre"/>
        <w:rPr>
          <w:lang w:val="en-AU"/>
        </w:rPr>
      </w:pPr>
    </w:p>
    <w:p w14:paraId="5BB2CA74" w14:textId="77777777" w:rsidR="00194AA8" w:rsidRPr="00704FF8" w:rsidRDefault="00194AA8" w:rsidP="00704FF8">
      <w:pPr>
        <w:pStyle w:val="OrdersCenteredBorder"/>
      </w:pPr>
    </w:p>
    <w:p w14:paraId="750DBC19" w14:textId="77777777" w:rsidR="00194AA8" w:rsidRPr="00704FF8" w:rsidRDefault="00194AA8" w:rsidP="0032341F">
      <w:pPr>
        <w:pStyle w:val="OrdersBodyHeading"/>
      </w:pPr>
    </w:p>
    <w:p w14:paraId="2AF603DE" w14:textId="77777777" w:rsidR="00194AA8" w:rsidRPr="0032341F" w:rsidRDefault="00194AA8" w:rsidP="009362E8">
      <w:pPr>
        <w:pStyle w:val="OrdersPartyName"/>
        <w:ind w:right="-1"/>
      </w:pPr>
      <w:r w:rsidRPr="00DA5059">
        <w:t xml:space="preserve">LENDLEASE CORPORATION LIMITED </w:t>
      </w:r>
      <w:r>
        <w:t>&amp; ANOR</w:t>
      </w:r>
      <w:r w:rsidRPr="0032341F">
        <w:tab/>
        <w:t>APPELLANT</w:t>
      </w:r>
      <w:r>
        <w:t>S</w:t>
      </w:r>
    </w:p>
    <w:p w14:paraId="3AFF2DFF" w14:textId="77777777" w:rsidR="00194AA8" w:rsidRPr="0032341F" w:rsidRDefault="00194AA8" w:rsidP="009362E8">
      <w:pPr>
        <w:pStyle w:val="OrdersPartyName"/>
        <w:ind w:right="-1"/>
      </w:pPr>
    </w:p>
    <w:p w14:paraId="6A945B03" w14:textId="77777777" w:rsidR="00194AA8" w:rsidRPr="0032341F" w:rsidRDefault="00194AA8" w:rsidP="009362E8">
      <w:pPr>
        <w:pStyle w:val="OrdersPartyName"/>
        <w:ind w:right="-1"/>
      </w:pPr>
      <w:r w:rsidRPr="0032341F">
        <w:t>AND</w:t>
      </w:r>
    </w:p>
    <w:p w14:paraId="587477F3" w14:textId="77777777" w:rsidR="00194AA8" w:rsidRPr="0032341F" w:rsidRDefault="00194AA8" w:rsidP="009362E8">
      <w:pPr>
        <w:pStyle w:val="OrdersPartyName"/>
        <w:ind w:right="-1"/>
      </w:pPr>
    </w:p>
    <w:p w14:paraId="072A9AC5" w14:textId="77777777" w:rsidR="00194AA8" w:rsidRDefault="00194AA8" w:rsidP="009362E8">
      <w:pPr>
        <w:pStyle w:val="OrdersPartyName"/>
        <w:ind w:right="-1"/>
      </w:pPr>
      <w:r w:rsidRPr="00DA5059">
        <w:t xml:space="preserve">DAVID WILLIAM PALLAS AND JULIE ANN </w:t>
      </w:r>
    </w:p>
    <w:p w14:paraId="088023DA" w14:textId="77777777" w:rsidR="00194AA8" w:rsidRDefault="00194AA8" w:rsidP="009362E8">
      <w:pPr>
        <w:pStyle w:val="OrdersPartyName"/>
        <w:ind w:right="-1"/>
      </w:pPr>
      <w:r w:rsidRPr="00DA5059">
        <w:t xml:space="preserve">PALLAS AS TRUSTEES FOR THE PALLAS </w:t>
      </w:r>
    </w:p>
    <w:p w14:paraId="36EC2316" w14:textId="77777777" w:rsidR="00194AA8" w:rsidRPr="0032341F" w:rsidRDefault="00194AA8" w:rsidP="009362E8">
      <w:pPr>
        <w:pStyle w:val="OrdersPartyName"/>
        <w:ind w:right="-1"/>
      </w:pPr>
      <w:r w:rsidRPr="00DA5059">
        <w:t xml:space="preserve">FAMILY SUPERANNUATION FUND </w:t>
      </w:r>
      <w:r>
        <w:t>&amp; ANOR</w:t>
      </w:r>
      <w:r w:rsidRPr="0032341F">
        <w:tab/>
        <w:t>RESPONDENT</w:t>
      </w:r>
      <w:r>
        <w:t>S</w:t>
      </w:r>
    </w:p>
    <w:p w14:paraId="1C0AC202" w14:textId="77777777" w:rsidR="00194AA8" w:rsidRPr="00427F3A" w:rsidRDefault="00194AA8" w:rsidP="00AF0A5E">
      <w:pPr>
        <w:pStyle w:val="BodyHeading"/>
      </w:pPr>
    </w:p>
    <w:p w14:paraId="63C19759" w14:textId="77777777" w:rsidR="00194AA8" w:rsidRPr="00427F3A" w:rsidRDefault="00194AA8" w:rsidP="00BE0A6C">
      <w:pPr>
        <w:pStyle w:val="BodyHeading"/>
      </w:pPr>
    </w:p>
    <w:p w14:paraId="14D81C42" w14:textId="77777777" w:rsidR="00194AA8" w:rsidRPr="00427F3A" w:rsidRDefault="00194AA8" w:rsidP="00EE5374">
      <w:pPr>
        <w:pStyle w:val="CentreItalics"/>
      </w:pPr>
      <w:r w:rsidRPr="003032F4">
        <w:t>Lendlease Corporation Limited v Pallas</w:t>
      </w:r>
    </w:p>
    <w:p w14:paraId="41C0CB2C" w14:textId="77777777" w:rsidR="00194AA8" w:rsidRPr="00427F3A" w:rsidRDefault="00194AA8" w:rsidP="00E90E4F">
      <w:pPr>
        <w:pStyle w:val="OrdersCentre"/>
      </w:pPr>
      <w:r>
        <w:t>[2025</w:t>
      </w:r>
      <w:r w:rsidRPr="00427F3A">
        <w:t xml:space="preserve">] HCA </w:t>
      </w:r>
      <w:r>
        <w:t>19</w:t>
      </w:r>
    </w:p>
    <w:p w14:paraId="1C3F1D7F" w14:textId="77777777" w:rsidR="00194AA8" w:rsidRDefault="00194AA8" w:rsidP="00E90E4F">
      <w:pPr>
        <w:pStyle w:val="OrdersCentreItalics"/>
      </w:pPr>
      <w:r>
        <w:t xml:space="preserve">Date of Hearing: </w:t>
      </w:r>
      <w:r w:rsidRPr="00DA5059">
        <w:t>5 November 2024</w:t>
      </w:r>
    </w:p>
    <w:p w14:paraId="3C5B41B1" w14:textId="77777777" w:rsidR="00194AA8" w:rsidRPr="00427F3A" w:rsidRDefault="00194AA8" w:rsidP="00E90E4F">
      <w:pPr>
        <w:pStyle w:val="OrdersCentreItalics"/>
      </w:pPr>
      <w:r>
        <w:t>Date of Judgment: 7 May 2025</w:t>
      </w:r>
    </w:p>
    <w:p w14:paraId="13F3F1C1" w14:textId="77777777" w:rsidR="00194AA8" w:rsidRDefault="00194AA8" w:rsidP="00E90E4F">
      <w:pPr>
        <w:pStyle w:val="OrdersCentre"/>
      </w:pPr>
      <w:r w:rsidRPr="003032F4">
        <w:t>S108/2024</w:t>
      </w:r>
    </w:p>
    <w:p w14:paraId="108E3369" w14:textId="77777777" w:rsidR="00194AA8" w:rsidRPr="00427F3A" w:rsidRDefault="00194AA8" w:rsidP="00E90E4F">
      <w:pPr>
        <w:pStyle w:val="OrdersCentre"/>
      </w:pPr>
    </w:p>
    <w:p w14:paraId="3A5702C2" w14:textId="77777777" w:rsidR="00194AA8" w:rsidRPr="00BE0A6C" w:rsidRDefault="00194AA8" w:rsidP="00E90E4F">
      <w:pPr>
        <w:pStyle w:val="OrderCentreBold"/>
      </w:pPr>
      <w:r w:rsidRPr="00BE0A6C">
        <w:t>ORDER</w:t>
      </w:r>
    </w:p>
    <w:p w14:paraId="3711AE7C" w14:textId="77777777" w:rsidR="00194AA8" w:rsidRPr="00427F3A" w:rsidRDefault="00194AA8" w:rsidP="00736C52">
      <w:pPr>
        <w:pStyle w:val="Centre"/>
        <w:rPr>
          <w:lang w:val="en-AU"/>
        </w:rPr>
      </w:pPr>
    </w:p>
    <w:p w14:paraId="3C5F9500" w14:textId="77777777" w:rsidR="00194AA8" w:rsidRDefault="00194AA8" w:rsidP="004458DE">
      <w:pPr>
        <w:pStyle w:val="OrdersText"/>
      </w:pPr>
      <w:r>
        <w:t>1.</w:t>
      </w:r>
      <w:r>
        <w:tab/>
        <w:t>Appeal allowed.</w:t>
      </w:r>
    </w:p>
    <w:p w14:paraId="39E4058E" w14:textId="77777777" w:rsidR="00194AA8" w:rsidRDefault="00194AA8" w:rsidP="004458DE">
      <w:pPr>
        <w:pStyle w:val="OrdersText"/>
      </w:pPr>
    </w:p>
    <w:p w14:paraId="7BB5E948" w14:textId="77777777" w:rsidR="00194AA8" w:rsidRDefault="00194AA8" w:rsidP="004458DE">
      <w:pPr>
        <w:pStyle w:val="OrdersText"/>
      </w:pPr>
      <w:r>
        <w:t>2.</w:t>
      </w:r>
      <w:r>
        <w:tab/>
      </w:r>
      <w:r w:rsidRPr="00E27807">
        <w:t xml:space="preserve">Set aside the order </w:t>
      </w:r>
      <w:r>
        <w:t>made by the Court of Appeal of the Supreme Court of New South Wales on 17 April 2024 and, in its place, order that the separate question stated by Ball J on 13 September 2023 be answered in the affirmative</w:t>
      </w:r>
      <w:r w:rsidRPr="00E27807">
        <w:t>.</w:t>
      </w:r>
    </w:p>
    <w:p w14:paraId="0CC3610D" w14:textId="77777777" w:rsidR="00194AA8" w:rsidRDefault="00194AA8" w:rsidP="004458DE">
      <w:pPr>
        <w:pStyle w:val="OrdersText"/>
      </w:pPr>
    </w:p>
    <w:p w14:paraId="3E6EE6CC" w14:textId="77777777" w:rsidR="00194AA8" w:rsidRDefault="00194AA8" w:rsidP="004458DE">
      <w:pPr>
        <w:pStyle w:val="OrdersText"/>
      </w:pPr>
      <w:r>
        <w:t>3.</w:t>
      </w:r>
      <w:r>
        <w:tab/>
        <w:t>Each party's costs of the appeal be its costs in the proceeding in the Supreme Court of New South Wales.</w:t>
      </w:r>
    </w:p>
    <w:p w14:paraId="3F98E6FE" w14:textId="77777777" w:rsidR="00194AA8" w:rsidRPr="00E27807" w:rsidRDefault="00194AA8" w:rsidP="004458DE">
      <w:pPr>
        <w:pStyle w:val="OrdersText"/>
      </w:pPr>
    </w:p>
    <w:p w14:paraId="67E271AB" w14:textId="77777777" w:rsidR="00194AA8" w:rsidRDefault="00194AA8" w:rsidP="004458DE">
      <w:pPr>
        <w:pStyle w:val="OrdersText"/>
      </w:pPr>
      <w:r>
        <w:t>4.</w:t>
      </w:r>
      <w:r>
        <w:tab/>
        <w:t xml:space="preserve">The appellants pay the costs of the contradictor in the appeal. </w:t>
      </w:r>
    </w:p>
    <w:p w14:paraId="752F8D53" w14:textId="77777777" w:rsidR="00194AA8" w:rsidRDefault="00194AA8" w:rsidP="00EE5374">
      <w:pPr>
        <w:pStyle w:val="Body"/>
      </w:pPr>
    </w:p>
    <w:p w14:paraId="3C4DB20C" w14:textId="77777777" w:rsidR="00194AA8" w:rsidRPr="00427F3A" w:rsidRDefault="00194AA8" w:rsidP="00EE5374">
      <w:pPr>
        <w:pStyle w:val="Body"/>
      </w:pPr>
    </w:p>
    <w:p w14:paraId="0BB44ACF" w14:textId="77777777" w:rsidR="00194AA8" w:rsidRPr="00427F3A" w:rsidRDefault="00194AA8" w:rsidP="003032F4">
      <w:pPr>
        <w:pStyle w:val="OrdersBody"/>
      </w:pPr>
      <w:r w:rsidRPr="00427F3A">
        <w:t xml:space="preserve">On appeal from the </w:t>
      </w:r>
      <w:r>
        <w:t>Supreme Court of New South Wales</w:t>
      </w:r>
    </w:p>
    <w:p w14:paraId="1EA68F83" w14:textId="77777777" w:rsidR="00194AA8" w:rsidRDefault="00194AA8" w:rsidP="00EE5374">
      <w:pPr>
        <w:pStyle w:val="Body"/>
      </w:pPr>
    </w:p>
    <w:p w14:paraId="76DC63C9" w14:textId="77777777" w:rsidR="00194AA8" w:rsidRPr="00427F3A" w:rsidRDefault="00194AA8" w:rsidP="00EE5374">
      <w:pPr>
        <w:pStyle w:val="Body"/>
      </w:pPr>
    </w:p>
    <w:p w14:paraId="43EC4FF3" w14:textId="77777777" w:rsidR="00194AA8" w:rsidRDefault="00194A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05DE033E" w14:textId="77777777" w:rsidR="00194AA8" w:rsidRDefault="00194A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77F705B3" w14:textId="77777777" w:rsidR="00194AA8" w:rsidRPr="00427F3A" w:rsidRDefault="00194AA8" w:rsidP="00194AA8">
      <w:pPr>
        <w:pStyle w:val="OrdersBodyHeading"/>
        <w:keepNext/>
      </w:pPr>
      <w:r w:rsidRPr="00427F3A">
        <w:lastRenderedPageBreak/>
        <w:t>Representation</w:t>
      </w:r>
    </w:p>
    <w:p w14:paraId="5AA29757" w14:textId="77777777" w:rsidR="00194AA8" w:rsidRDefault="00194AA8" w:rsidP="00194AA8">
      <w:pPr>
        <w:pStyle w:val="Body"/>
        <w:keepNext/>
      </w:pPr>
    </w:p>
    <w:p w14:paraId="3716D708" w14:textId="5BC3E967" w:rsidR="00194AA8" w:rsidRPr="005C7C93" w:rsidRDefault="00194AA8" w:rsidP="00E90E4F">
      <w:pPr>
        <w:pStyle w:val="OrdersBody"/>
      </w:pPr>
      <w:r w:rsidRPr="005C7C93">
        <w:t>E A Collins SC with C G Winnett and B Lambourne for the appellants (instructed by Herbert Smith Freehills)</w:t>
      </w:r>
    </w:p>
    <w:p w14:paraId="024421FB" w14:textId="77777777" w:rsidR="00194AA8" w:rsidRPr="005C7C93" w:rsidRDefault="00194AA8" w:rsidP="001B3C97">
      <w:pPr>
        <w:pStyle w:val="Body"/>
      </w:pPr>
    </w:p>
    <w:p w14:paraId="0AD84605" w14:textId="77777777" w:rsidR="00194AA8" w:rsidRPr="005C7C93" w:rsidRDefault="00194AA8" w:rsidP="00E90E4F">
      <w:pPr>
        <w:pStyle w:val="OrdersBody"/>
      </w:pPr>
      <w:r w:rsidRPr="005C7C93">
        <w:t>W A D Edwards KC with R J May for the respondents (instructed by Maurice Blackburn Lawyers)</w:t>
      </w:r>
    </w:p>
    <w:p w14:paraId="2602EB43" w14:textId="77777777" w:rsidR="00194AA8" w:rsidRPr="005C7C93" w:rsidRDefault="00194AA8" w:rsidP="00E90E4F">
      <w:pPr>
        <w:pStyle w:val="OrdersBody"/>
      </w:pPr>
    </w:p>
    <w:p w14:paraId="590831B6" w14:textId="77777777" w:rsidR="00194AA8" w:rsidRPr="005C7C93" w:rsidRDefault="00194AA8" w:rsidP="003032F4">
      <w:pPr>
        <w:pStyle w:val="OrdersBody"/>
      </w:pPr>
      <w:r w:rsidRPr="005C7C93">
        <w:t>K C Morgan SC with Z L M Hillman as contradictor (instructed by MinterEllison)</w:t>
      </w:r>
    </w:p>
    <w:p w14:paraId="2A67EF8B" w14:textId="77777777" w:rsidR="00194AA8" w:rsidRDefault="00194AA8" w:rsidP="00EE5374">
      <w:pPr>
        <w:pStyle w:val="Body"/>
      </w:pPr>
    </w:p>
    <w:p w14:paraId="1841415A" w14:textId="77777777" w:rsidR="00194AA8" w:rsidRDefault="00194AA8" w:rsidP="00EE5374">
      <w:pPr>
        <w:pStyle w:val="Body"/>
      </w:pPr>
    </w:p>
    <w:p w14:paraId="68B31014" w14:textId="77777777" w:rsidR="00194AA8" w:rsidRDefault="00194AA8" w:rsidP="00EE5374">
      <w:pPr>
        <w:pStyle w:val="Body"/>
      </w:pPr>
    </w:p>
    <w:p w14:paraId="5FBBD027" w14:textId="77777777" w:rsidR="00194AA8" w:rsidRDefault="00194AA8" w:rsidP="00EE5374">
      <w:pPr>
        <w:pStyle w:val="Body"/>
      </w:pPr>
    </w:p>
    <w:p w14:paraId="3ABD7079" w14:textId="77777777" w:rsidR="00194AA8" w:rsidRDefault="00194AA8" w:rsidP="00EE5374">
      <w:pPr>
        <w:pStyle w:val="Body"/>
      </w:pPr>
    </w:p>
    <w:p w14:paraId="63CC0B75" w14:textId="77777777" w:rsidR="00194AA8" w:rsidRDefault="00194AA8" w:rsidP="00EE5374">
      <w:pPr>
        <w:pStyle w:val="Body"/>
      </w:pPr>
    </w:p>
    <w:p w14:paraId="3B403E28" w14:textId="77777777" w:rsidR="00194AA8" w:rsidRDefault="00194AA8" w:rsidP="00EE5374">
      <w:pPr>
        <w:pStyle w:val="Body"/>
      </w:pPr>
    </w:p>
    <w:p w14:paraId="541C51E0" w14:textId="77777777" w:rsidR="00194AA8" w:rsidRDefault="00194AA8" w:rsidP="00EE5374">
      <w:pPr>
        <w:pStyle w:val="Body"/>
      </w:pPr>
    </w:p>
    <w:p w14:paraId="1B3A4CA5" w14:textId="77777777" w:rsidR="00194AA8" w:rsidRDefault="00194AA8" w:rsidP="00EE5374">
      <w:pPr>
        <w:pStyle w:val="Body"/>
      </w:pPr>
    </w:p>
    <w:p w14:paraId="1B766EE7" w14:textId="77777777" w:rsidR="00194AA8" w:rsidRDefault="00194AA8" w:rsidP="00EE5374">
      <w:pPr>
        <w:pStyle w:val="Body"/>
      </w:pPr>
    </w:p>
    <w:p w14:paraId="54AD0A56" w14:textId="77777777" w:rsidR="00194AA8" w:rsidRDefault="00194AA8" w:rsidP="00EE5374">
      <w:pPr>
        <w:pStyle w:val="Body"/>
      </w:pPr>
    </w:p>
    <w:p w14:paraId="2307D33B" w14:textId="77777777" w:rsidR="00194AA8" w:rsidRDefault="00194AA8" w:rsidP="00EE5374">
      <w:pPr>
        <w:pStyle w:val="Body"/>
      </w:pPr>
    </w:p>
    <w:p w14:paraId="74AC05A7" w14:textId="77777777" w:rsidR="00194AA8" w:rsidRDefault="00194AA8" w:rsidP="00EE5374">
      <w:pPr>
        <w:pStyle w:val="Body"/>
      </w:pPr>
    </w:p>
    <w:p w14:paraId="646CED28" w14:textId="77777777" w:rsidR="00194AA8" w:rsidRDefault="00194AA8" w:rsidP="00EE5374">
      <w:pPr>
        <w:pStyle w:val="Body"/>
      </w:pPr>
    </w:p>
    <w:p w14:paraId="033E13A0" w14:textId="77777777" w:rsidR="00194AA8" w:rsidRDefault="00194AA8" w:rsidP="00EE5374">
      <w:pPr>
        <w:pStyle w:val="Body"/>
      </w:pPr>
    </w:p>
    <w:p w14:paraId="05AC596B" w14:textId="77777777" w:rsidR="00194AA8" w:rsidRDefault="00194AA8" w:rsidP="00EE5374">
      <w:pPr>
        <w:pStyle w:val="Body"/>
      </w:pPr>
    </w:p>
    <w:p w14:paraId="1646EEC2" w14:textId="77777777" w:rsidR="00194AA8" w:rsidRDefault="00194AA8" w:rsidP="00EE5374">
      <w:pPr>
        <w:pStyle w:val="Body"/>
      </w:pPr>
    </w:p>
    <w:p w14:paraId="5191ADBD" w14:textId="77777777" w:rsidR="00194AA8" w:rsidRDefault="00194AA8" w:rsidP="00EE5374">
      <w:pPr>
        <w:pStyle w:val="Body"/>
      </w:pPr>
    </w:p>
    <w:p w14:paraId="659F606A" w14:textId="77777777" w:rsidR="00194AA8" w:rsidRDefault="00194AA8" w:rsidP="00EE5374">
      <w:pPr>
        <w:pStyle w:val="Body"/>
      </w:pPr>
    </w:p>
    <w:p w14:paraId="525C7A54" w14:textId="77777777" w:rsidR="00194AA8" w:rsidRDefault="00194AA8" w:rsidP="00EE5374">
      <w:pPr>
        <w:pStyle w:val="Body"/>
      </w:pPr>
    </w:p>
    <w:p w14:paraId="448A5100" w14:textId="77777777" w:rsidR="00194AA8" w:rsidRDefault="00194AA8" w:rsidP="00EE5374">
      <w:pPr>
        <w:pStyle w:val="Body"/>
      </w:pPr>
    </w:p>
    <w:p w14:paraId="4CD88238" w14:textId="77777777" w:rsidR="00194AA8" w:rsidRDefault="00194AA8" w:rsidP="00EE5374">
      <w:pPr>
        <w:pStyle w:val="Body"/>
      </w:pPr>
    </w:p>
    <w:p w14:paraId="35E00596" w14:textId="77777777" w:rsidR="00194AA8" w:rsidRDefault="00194AA8" w:rsidP="00EE5374">
      <w:pPr>
        <w:pStyle w:val="Body"/>
      </w:pPr>
    </w:p>
    <w:p w14:paraId="0970D57F" w14:textId="77777777" w:rsidR="00194AA8" w:rsidRDefault="00194AA8" w:rsidP="00EE5374">
      <w:pPr>
        <w:pStyle w:val="Body"/>
      </w:pPr>
    </w:p>
    <w:p w14:paraId="4399468C" w14:textId="77777777" w:rsidR="00194AA8" w:rsidRDefault="00194AA8" w:rsidP="00EE5374">
      <w:pPr>
        <w:pStyle w:val="Body"/>
      </w:pPr>
    </w:p>
    <w:p w14:paraId="10FCE5D1" w14:textId="77777777" w:rsidR="00194AA8" w:rsidRDefault="00194AA8" w:rsidP="00EE5374">
      <w:pPr>
        <w:pStyle w:val="Body"/>
      </w:pPr>
    </w:p>
    <w:p w14:paraId="4B68FEE7" w14:textId="77777777" w:rsidR="00194AA8" w:rsidRDefault="00194AA8" w:rsidP="00EE5374">
      <w:pPr>
        <w:pStyle w:val="Body"/>
      </w:pPr>
    </w:p>
    <w:p w14:paraId="7F2F531B" w14:textId="77777777" w:rsidR="00194AA8" w:rsidRDefault="00194AA8" w:rsidP="00EE5374">
      <w:pPr>
        <w:pStyle w:val="Body"/>
      </w:pPr>
    </w:p>
    <w:p w14:paraId="10DA2B64" w14:textId="77777777" w:rsidR="00194AA8" w:rsidRPr="00427F3A" w:rsidRDefault="00194AA8" w:rsidP="00EE5374">
      <w:pPr>
        <w:pStyle w:val="Body"/>
      </w:pPr>
    </w:p>
    <w:p w14:paraId="705D702D" w14:textId="77777777" w:rsidR="00194AA8" w:rsidRPr="00427F3A" w:rsidRDefault="00194AA8" w:rsidP="00F9713B">
      <w:pPr>
        <w:pStyle w:val="Notice"/>
        <w:rPr>
          <w:lang w:val="en-AU"/>
        </w:rPr>
      </w:pPr>
      <w:r w:rsidRPr="00427F3A">
        <w:rPr>
          <w:lang w:val="en-AU"/>
        </w:rPr>
        <w:t>Notice:  This copy of the Court's Reasons for Judgment is subject to formal revision prior to publication in the Commonwealth Law Reports.</w:t>
      </w:r>
    </w:p>
    <w:p w14:paraId="7322AD07" w14:textId="297F2DE9" w:rsidR="00194AA8" w:rsidRDefault="00194A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7AA5445" w14:textId="77777777" w:rsidR="00A2449B" w:rsidRDefault="00194A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2449B" w:rsidSect="00194AA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8A22778" w14:textId="77777777" w:rsidR="00A2449B" w:rsidRDefault="00A2449B" w:rsidP="00A2449B">
      <w:pPr>
        <w:pStyle w:val="CatchwordsBold"/>
      </w:pPr>
      <w:r>
        <w:lastRenderedPageBreak/>
        <w:t>CATCHWORDS</w:t>
      </w:r>
    </w:p>
    <w:p w14:paraId="7FD12FA2" w14:textId="77777777" w:rsidR="00A2449B" w:rsidRDefault="00A2449B" w:rsidP="00A2449B">
      <w:pPr>
        <w:pStyle w:val="CatchwordsBold"/>
      </w:pPr>
    </w:p>
    <w:p w14:paraId="171D6299" w14:textId="77777777" w:rsidR="00A2449B" w:rsidRDefault="00A2449B" w:rsidP="00A2449B">
      <w:pPr>
        <w:pStyle w:val="CatchwordsBold"/>
      </w:pPr>
      <w:r>
        <w:t xml:space="preserve">Lendlease Corporation Limited v Pallas </w:t>
      </w:r>
    </w:p>
    <w:p w14:paraId="5D5C4E17" w14:textId="77777777" w:rsidR="00A2449B" w:rsidRDefault="00A2449B" w:rsidP="00A2449B">
      <w:pPr>
        <w:pStyle w:val="CatchwordsBold"/>
        <w:rPr>
          <w:i/>
          <w:iCs/>
        </w:rPr>
      </w:pPr>
    </w:p>
    <w:p w14:paraId="392C9F46" w14:textId="3AC7A2FC" w:rsidR="00A2449B" w:rsidRDefault="00A2449B" w:rsidP="00A2449B">
      <w:pPr>
        <w:pStyle w:val="CatchwordsText"/>
      </w:pPr>
      <w:r>
        <w:t xml:space="preserve">Representative actions – Practice and procedure – Orders – Notices to group members – Where representative proceeding under Pt 10 of </w:t>
      </w:r>
      <w:r w:rsidRPr="007530DF">
        <w:rPr>
          <w:i/>
          <w:iCs/>
        </w:rPr>
        <w:t>Civil Procedure Act</w:t>
      </w:r>
      <w:r>
        <w:rPr>
          <w:i/>
          <w:iCs/>
        </w:rPr>
        <w:t xml:space="preserve"> </w:t>
      </w:r>
      <w:r w:rsidRPr="007530DF">
        <w:rPr>
          <w:i/>
          <w:iCs/>
        </w:rPr>
        <w:t>2005</w:t>
      </w:r>
      <w:r>
        <w:rPr>
          <w:i/>
          <w:iCs/>
        </w:rPr>
        <w:t xml:space="preserve"> </w:t>
      </w:r>
      <w:r w:rsidRPr="007530DF">
        <w:t>(</w:t>
      </w:r>
      <w:r>
        <w:t>NSW</w:t>
      </w:r>
      <w:r w:rsidRPr="007530DF">
        <w:t>) ("CPA")</w:t>
      </w:r>
      <w:r>
        <w:t xml:space="preserve"> – Where defendant proposed to provide notice ("proposed notice") setting out its intention to seek certain order if proceeding settled – Where proposed notice indicated defendant's intention to seek orders that a group member who had neither opted out nor registered to participate in the proceeding would remain a group member, but shall</w:t>
      </w:r>
      <w:r w:rsidRPr="007530DF">
        <w:t xml:space="preserve"> not, without leave of the Court, be permitted to seek any benefit pursuant to any settlement</w:t>
      </w:r>
      <w:r>
        <w:t xml:space="preserve"> </w:t>
      </w:r>
      <w:r w:rsidRPr="007530DF">
        <w:t>of the proceeding that occurs before final judgment</w:t>
      </w:r>
      <w:r>
        <w:t xml:space="preserve"> – Where unregistered group member's</w:t>
      </w:r>
      <w:r w:rsidRPr="007530DF">
        <w:t xml:space="preserve"> claims against defendant </w:t>
      </w:r>
      <w:r>
        <w:t xml:space="preserve">would </w:t>
      </w:r>
      <w:r w:rsidRPr="007530DF">
        <w:t>therefore be extinguished by settlement</w:t>
      </w:r>
      <w:r>
        <w:t xml:space="preserve"> – Where intermediate appellate court authority in conflict – Whether Supreme Court of New South Wales could make an order under s 175(5) of CPA that proposed notice be given to group members.</w:t>
      </w:r>
    </w:p>
    <w:p w14:paraId="7FE70EE0" w14:textId="77777777" w:rsidR="00A2449B" w:rsidRPr="00A2449B" w:rsidRDefault="00A2449B" w:rsidP="00A2449B">
      <w:pPr>
        <w:pStyle w:val="CatchwordsText"/>
      </w:pPr>
    </w:p>
    <w:p w14:paraId="5E32AE65" w14:textId="77777777" w:rsidR="00A2449B" w:rsidRDefault="00A2449B" w:rsidP="00A2449B">
      <w:pPr>
        <w:pStyle w:val="CatchwordsText"/>
      </w:pPr>
      <w:r>
        <w:t xml:space="preserve">Words and phrases – "appellate jurisdiction", "compelling reason", "conflict of interest", "forensic advantage", "fundamental precept", "group member", "inconsistency of interest", "intention to seek an order", "intermediate appellate court", "notice", "opt in", "opt out", "plainly wrong", "power to order", "precedent", "ratio decidendi", "registration", </w:t>
      </w:r>
      <w:r w:rsidRPr="00F15EBE">
        <w:t>"</w:t>
      </w:r>
      <w:r>
        <w:t>representative proceeding</w:t>
      </w:r>
      <w:r w:rsidRPr="00F15EBE">
        <w:t>",</w:t>
      </w:r>
      <w:r>
        <w:t xml:space="preserve"> "separate question", "seriously considered obiter dicta", "settlement", "settlement approval", "settlement negotiations", "statutory context".</w:t>
      </w:r>
    </w:p>
    <w:p w14:paraId="59593ED1" w14:textId="5457B58E" w:rsidR="00A2449B" w:rsidRPr="00A2449B" w:rsidRDefault="00A2449B" w:rsidP="00A2449B">
      <w:pPr>
        <w:pStyle w:val="CatchwordsText"/>
      </w:pPr>
    </w:p>
    <w:p w14:paraId="0F1117F1" w14:textId="61C6602E" w:rsidR="00194AA8" w:rsidRDefault="00A2449B" w:rsidP="00A2449B">
      <w:pPr>
        <w:pStyle w:val="CatchwordsText"/>
      </w:pPr>
      <w:r w:rsidRPr="0048747D">
        <w:rPr>
          <w:i/>
          <w:iCs/>
        </w:rPr>
        <w:t xml:space="preserve">Civil Procedure Act 2005 </w:t>
      </w:r>
      <w:r w:rsidRPr="0048747D">
        <w:t>(NSW), Pt 10, ss</w:t>
      </w:r>
      <w:r>
        <w:t xml:space="preserve"> 159(1), 161, </w:t>
      </w:r>
      <w:r w:rsidRPr="0048747D">
        <w:t>162, 166(1)(d), 171</w:t>
      </w:r>
      <w:r>
        <w:t>(1)</w:t>
      </w:r>
      <w:r w:rsidRPr="0048747D">
        <w:t>, 17</w:t>
      </w:r>
      <w:r>
        <w:t>3</w:t>
      </w:r>
      <w:r w:rsidRPr="0048747D">
        <w:t xml:space="preserve">, 175(1), 175(5), 175(6), </w:t>
      </w:r>
      <w:r>
        <w:t xml:space="preserve">176, </w:t>
      </w:r>
      <w:r w:rsidRPr="0048747D">
        <w:t xml:space="preserve">177, </w:t>
      </w:r>
      <w:r>
        <w:t xml:space="preserve">179(b), </w:t>
      </w:r>
      <w:r w:rsidRPr="0048747D">
        <w:t>183.</w:t>
      </w:r>
    </w:p>
    <w:p w14:paraId="5832A353" w14:textId="3AEACEB0" w:rsidR="00A2449B" w:rsidRDefault="00A2449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D07FE9E" w14:textId="16BFD495" w:rsidR="00A2449B" w:rsidRDefault="00A2449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584B2228" w14:textId="77777777" w:rsidR="00194AA8" w:rsidRDefault="00194AA8" w:rsidP="00CB2E9A">
      <w:pPr>
        <w:pStyle w:val="NormalBody"/>
        <w:tabs>
          <w:tab w:val="clear" w:pos="720"/>
          <w:tab w:val="left" w:pos="0"/>
        </w:tabs>
        <w:spacing w:after="260" w:line="280" w:lineRule="exact"/>
        <w:ind w:right="0"/>
        <w:jc w:val="both"/>
        <w:rPr>
          <w:rFonts w:ascii="Times New Roman" w:hAnsi="Times New Roman"/>
        </w:rPr>
        <w:sectPr w:rsidR="00194AA8" w:rsidSect="00A2449B">
          <w:pgSz w:w="11907" w:h="16839" w:code="9"/>
          <w:pgMar w:top="1440" w:right="1701" w:bottom="1984" w:left="1701" w:header="720" w:footer="720" w:gutter="0"/>
          <w:pgNumType w:start="1"/>
          <w:cols w:space="720"/>
          <w:titlePg/>
          <w:docGrid w:linePitch="354"/>
        </w:sectPr>
      </w:pPr>
    </w:p>
    <w:p w14:paraId="5FF4D6B0" w14:textId="1A1F88D7" w:rsidR="00CB2E9A" w:rsidRPr="00CB2E9A" w:rsidRDefault="00CB2E9A" w:rsidP="00CB2E9A">
      <w:pPr>
        <w:pStyle w:val="NormalBody"/>
        <w:tabs>
          <w:tab w:val="clear" w:pos="720"/>
          <w:tab w:val="left" w:pos="0"/>
        </w:tabs>
        <w:spacing w:after="260" w:line="280" w:lineRule="exact"/>
        <w:ind w:right="0"/>
        <w:jc w:val="both"/>
        <w:rPr>
          <w:rFonts w:ascii="Times New Roman" w:hAnsi="Times New Roman"/>
        </w:rPr>
      </w:pPr>
      <w:r w:rsidRPr="00CB2E9A">
        <w:rPr>
          <w:rFonts w:ascii="Times New Roman" w:hAnsi="Times New Roman"/>
        </w:rPr>
        <w:lastRenderedPageBreak/>
        <w:t xml:space="preserve">GAGELER CJ, GLEESON AND JAGOT JJ.   </w:t>
      </w:r>
    </w:p>
    <w:p w14:paraId="2526A7BC" w14:textId="673B107F" w:rsidR="001E2E30" w:rsidRPr="00CB2E9A" w:rsidRDefault="001E2E30" w:rsidP="00CB2E9A">
      <w:pPr>
        <w:pStyle w:val="HeadingL1"/>
        <w:spacing w:after="260" w:line="280" w:lineRule="exact"/>
        <w:ind w:right="0"/>
        <w:jc w:val="both"/>
        <w:rPr>
          <w:rFonts w:ascii="Times New Roman" w:hAnsi="Times New Roman"/>
        </w:rPr>
      </w:pPr>
      <w:r w:rsidRPr="00CB2E9A">
        <w:rPr>
          <w:rFonts w:ascii="Times New Roman" w:hAnsi="Times New Roman"/>
        </w:rPr>
        <w:t>The question in the appeal</w:t>
      </w:r>
    </w:p>
    <w:p w14:paraId="48EAFC97" w14:textId="7C2D8E39" w:rsidR="00A73989" w:rsidRPr="00CB2E9A" w:rsidRDefault="007909D3"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A33A86" w:rsidRPr="00CB2E9A">
        <w:rPr>
          <w:rFonts w:ascii="Times New Roman" w:hAnsi="Times New Roman"/>
        </w:rPr>
        <w:t xml:space="preserve">In a representative proceeding under </w:t>
      </w:r>
      <w:r w:rsidR="00507F2A" w:rsidRPr="00CB2E9A">
        <w:rPr>
          <w:rFonts w:ascii="Times New Roman" w:hAnsi="Times New Roman"/>
        </w:rPr>
        <w:t xml:space="preserve">Pt 10 of the </w:t>
      </w:r>
      <w:r w:rsidR="00C9795B" w:rsidRPr="00CB2E9A">
        <w:rPr>
          <w:rFonts w:ascii="Times New Roman" w:hAnsi="Times New Roman"/>
          <w:i/>
          <w:iCs/>
        </w:rPr>
        <w:t>Civil Procedure Act 2005</w:t>
      </w:r>
      <w:r w:rsidR="00A0334F" w:rsidRPr="00CB2E9A">
        <w:rPr>
          <w:rFonts w:ascii="Times New Roman" w:hAnsi="Times New Roman"/>
        </w:rPr>
        <w:t> </w:t>
      </w:r>
      <w:r w:rsidR="00C9795B" w:rsidRPr="00CB2E9A">
        <w:rPr>
          <w:rFonts w:ascii="Times New Roman" w:hAnsi="Times New Roman"/>
        </w:rPr>
        <w:t>(</w:t>
      </w:r>
      <w:r w:rsidR="007C1494" w:rsidRPr="00CB2E9A">
        <w:rPr>
          <w:rFonts w:ascii="Times New Roman" w:hAnsi="Times New Roman"/>
        </w:rPr>
        <w:t>NSW</w:t>
      </w:r>
      <w:r w:rsidR="00C9795B" w:rsidRPr="00CB2E9A">
        <w:rPr>
          <w:rFonts w:ascii="Times New Roman" w:hAnsi="Times New Roman"/>
        </w:rPr>
        <w:t>)</w:t>
      </w:r>
      <w:r w:rsidR="00094E1A" w:rsidRPr="00CB2E9A">
        <w:rPr>
          <w:rFonts w:ascii="Times New Roman" w:hAnsi="Times New Roman"/>
        </w:rPr>
        <w:t xml:space="preserve"> ("the CP</w:t>
      </w:r>
      <w:r w:rsidR="00800425" w:rsidRPr="00CB2E9A">
        <w:rPr>
          <w:rFonts w:ascii="Times New Roman" w:hAnsi="Times New Roman"/>
        </w:rPr>
        <w:t>A</w:t>
      </w:r>
      <w:r w:rsidR="00300C10" w:rsidRPr="00CB2E9A">
        <w:rPr>
          <w:rFonts w:ascii="Times New Roman" w:hAnsi="Times New Roman"/>
        </w:rPr>
        <w:t>")</w:t>
      </w:r>
      <w:r w:rsidR="00655B1D" w:rsidRPr="00CB2E9A">
        <w:rPr>
          <w:rFonts w:ascii="Times New Roman" w:hAnsi="Times New Roman"/>
        </w:rPr>
        <w:t>,</w:t>
      </w:r>
      <w:r w:rsidR="00F510DD" w:rsidRPr="00CB2E9A">
        <w:rPr>
          <w:rFonts w:ascii="Times New Roman" w:hAnsi="Times New Roman"/>
        </w:rPr>
        <w:t xml:space="preserve"> can the </w:t>
      </w:r>
      <w:r w:rsidR="00613A27" w:rsidRPr="00CB2E9A">
        <w:rPr>
          <w:rFonts w:ascii="Times New Roman" w:hAnsi="Times New Roman"/>
        </w:rPr>
        <w:t xml:space="preserve">Supreme </w:t>
      </w:r>
      <w:r w:rsidR="00F510DD" w:rsidRPr="00CB2E9A">
        <w:rPr>
          <w:rFonts w:ascii="Times New Roman" w:hAnsi="Times New Roman"/>
        </w:rPr>
        <w:t xml:space="preserve">Court </w:t>
      </w:r>
      <w:r w:rsidR="00613A27" w:rsidRPr="00CB2E9A">
        <w:rPr>
          <w:rFonts w:ascii="Times New Roman" w:hAnsi="Times New Roman"/>
        </w:rPr>
        <w:t xml:space="preserve">of New South Wales </w:t>
      </w:r>
      <w:r w:rsidR="000C5175" w:rsidRPr="00CB2E9A">
        <w:rPr>
          <w:rFonts w:ascii="Times New Roman" w:hAnsi="Times New Roman"/>
        </w:rPr>
        <w:t xml:space="preserve">make an order </w:t>
      </w:r>
      <w:r w:rsidR="00AC1222" w:rsidRPr="00CB2E9A">
        <w:rPr>
          <w:rFonts w:ascii="Times New Roman" w:hAnsi="Times New Roman"/>
        </w:rPr>
        <w:t xml:space="preserve">under s 175(5) </w:t>
      </w:r>
      <w:r w:rsidR="000C5175" w:rsidRPr="00CB2E9A">
        <w:rPr>
          <w:rFonts w:ascii="Times New Roman" w:hAnsi="Times New Roman"/>
        </w:rPr>
        <w:t xml:space="preserve">that notice be given </w:t>
      </w:r>
      <w:r w:rsidR="00AC1222" w:rsidRPr="00CB2E9A">
        <w:rPr>
          <w:rFonts w:ascii="Times New Roman" w:hAnsi="Times New Roman"/>
        </w:rPr>
        <w:t xml:space="preserve">to group members </w:t>
      </w:r>
      <w:r w:rsidR="002C145F" w:rsidRPr="00CB2E9A">
        <w:rPr>
          <w:rFonts w:ascii="Times New Roman" w:hAnsi="Times New Roman"/>
        </w:rPr>
        <w:t>of the intention of the defendant</w:t>
      </w:r>
      <w:r w:rsidR="009C7BA1" w:rsidRPr="00CB2E9A">
        <w:rPr>
          <w:rFonts w:ascii="Times New Roman" w:hAnsi="Times New Roman"/>
        </w:rPr>
        <w:t xml:space="preserve"> </w:t>
      </w:r>
      <w:r w:rsidR="00063C2A" w:rsidRPr="00CB2E9A">
        <w:rPr>
          <w:rFonts w:ascii="Times New Roman" w:hAnsi="Times New Roman"/>
        </w:rPr>
        <w:t xml:space="preserve">(and perhaps </w:t>
      </w:r>
      <w:r w:rsidR="009C7BA1" w:rsidRPr="00CB2E9A">
        <w:rPr>
          <w:rFonts w:ascii="Times New Roman" w:hAnsi="Times New Roman"/>
        </w:rPr>
        <w:t>the representative plaintiff</w:t>
      </w:r>
      <w:r w:rsidR="00063C2A" w:rsidRPr="00CB2E9A">
        <w:rPr>
          <w:rFonts w:ascii="Times New Roman" w:hAnsi="Times New Roman"/>
        </w:rPr>
        <w:t>)</w:t>
      </w:r>
      <w:r w:rsidR="002C145F" w:rsidRPr="00CB2E9A">
        <w:rPr>
          <w:rFonts w:ascii="Times New Roman" w:hAnsi="Times New Roman"/>
        </w:rPr>
        <w:t xml:space="preserve">, if the proceeding is settled, to seek an order that a group member who has neither opted out of the proceeding nor registered to participate in the proceeding </w:t>
      </w:r>
      <w:r w:rsidR="001F1C51" w:rsidRPr="00CB2E9A">
        <w:rPr>
          <w:rFonts w:ascii="Times New Roman" w:hAnsi="Times New Roman"/>
        </w:rPr>
        <w:t xml:space="preserve">shall </w:t>
      </w:r>
      <w:r w:rsidR="00E62570" w:rsidRPr="00CB2E9A">
        <w:rPr>
          <w:rFonts w:ascii="Times New Roman" w:hAnsi="Times New Roman"/>
        </w:rPr>
        <w:t xml:space="preserve">remain a group member </w:t>
      </w:r>
      <w:r w:rsidR="004E741F" w:rsidRPr="00CB2E9A">
        <w:rPr>
          <w:rFonts w:ascii="Times New Roman" w:hAnsi="Times New Roman"/>
        </w:rPr>
        <w:t>(an</w:t>
      </w:r>
      <w:r w:rsidR="003D6D8D" w:rsidRPr="00CB2E9A">
        <w:rPr>
          <w:rFonts w:ascii="Times New Roman" w:hAnsi="Times New Roman"/>
        </w:rPr>
        <w:t>d</w:t>
      </w:r>
      <w:r w:rsidR="004E741F" w:rsidRPr="00CB2E9A">
        <w:rPr>
          <w:rFonts w:ascii="Times New Roman" w:hAnsi="Times New Roman"/>
        </w:rPr>
        <w:t xml:space="preserve"> </w:t>
      </w:r>
      <w:r w:rsidR="00ED528E" w:rsidRPr="00CB2E9A">
        <w:rPr>
          <w:rFonts w:ascii="Times New Roman" w:hAnsi="Times New Roman"/>
        </w:rPr>
        <w:t>whose</w:t>
      </w:r>
      <w:r w:rsidR="003D6D8D" w:rsidRPr="00CB2E9A">
        <w:rPr>
          <w:rFonts w:ascii="Times New Roman" w:hAnsi="Times New Roman"/>
        </w:rPr>
        <w:t xml:space="preserve"> claims against the defendant will </w:t>
      </w:r>
      <w:r w:rsidR="00ED528E" w:rsidRPr="00CB2E9A">
        <w:rPr>
          <w:rFonts w:ascii="Times New Roman" w:hAnsi="Times New Roman"/>
        </w:rPr>
        <w:t xml:space="preserve">therefore </w:t>
      </w:r>
      <w:r w:rsidR="003D6D8D" w:rsidRPr="00CB2E9A">
        <w:rPr>
          <w:rFonts w:ascii="Times New Roman" w:hAnsi="Times New Roman"/>
        </w:rPr>
        <w:t>be extinguished by the settlement</w:t>
      </w:r>
      <w:r w:rsidR="004E741F" w:rsidRPr="00CB2E9A">
        <w:rPr>
          <w:rFonts w:ascii="Times New Roman" w:hAnsi="Times New Roman"/>
        </w:rPr>
        <w:t>)</w:t>
      </w:r>
      <w:r w:rsidR="003D6D8D" w:rsidRPr="00CB2E9A">
        <w:rPr>
          <w:rFonts w:ascii="Times New Roman" w:hAnsi="Times New Roman"/>
        </w:rPr>
        <w:t xml:space="preserve"> </w:t>
      </w:r>
      <w:r w:rsidR="00A5337B" w:rsidRPr="00CB2E9A">
        <w:rPr>
          <w:rFonts w:ascii="Times New Roman" w:hAnsi="Times New Roman"/>
        </w:rPr>
        <w:t xml:space="preserve">but shall </w:t>
      </w:r>
      <w:r w:rsidR="001F1C51" w:rsidRPr="00CB2E9A">
        <w:rPr>
          <w:rFonts w:ascii="Times New Roman" w:hAnsi="Times New Roman"/>
        </w:rPr>
        <w:t xml:space="preserve">not, </w:t>
      </w:r>
      <w:r w:rsidR="00C26E71" w:rsidRPr="00CB2E9A">
        <w:rPr>
          <w:rFonts w:ascii="Times New Roman" w:hAnsi="Times New Roman"/>
        </w:rPr>
        <w:t>"without leave of the Court, be permitted to seek any benefit pursuant to any settlement (subject to Court approval) of [the] proceeding that occurs before final judgment"?</w:t>
      </w:r>
      <w:r w:rsidR="00DE3DFE" w:rsidRPr="00CB2E9A">
        <w:rPr>
          <w:rFonts w:ascii="Times New Roman" w:hAnsi="Times New Roman"/>
        </w:rPr>
        <w:t xml:space="preserve"> </w:t>
      </w:r>
    </w:p>
    <w:p w14:paraId="408429A6" w14:textId="6E1F02F7" w:rsidR="00A56D22" w:rsidRPr="00CB2E9A" w:rsidRDefault="00C26E71"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A56D22" w:rsidRPr="00CB2E9A">
        <w:rPr>
          <w:rFonts w:ascii="Times New Roman" w:hAnsi="Times New Roman"/>
        </w:rPr>
        <w:t xml:space="preserve">The </w:t>
      </w:r>
      <w:r w:rsidR="003149A2" w:rsidRPr="00CB2E9A">
        <w:rPr>
          <w:rFonts w:ascii="Times New Roman" w:hAnsi="Times New Roman"/>
        </w:rPr>
        <w:t xml:space="preserve">Court of Appeal of the </w:t>
      </w:r>
      <w:r w:rsidR="00A56D22" w:rsidRPr="00CB2E9A">
        <w:rPr>
          <w:rFonts w:ascii="Times New Roman" w:hAnsi="Times New Roman"/>
        </w:rPr>
        <w:t>Supreme Court of New South Wales</w:t>
      </w:r>
      <w:r w:rsidR="003149A2" w:rsidRPr="00CB2E9A">
        <w:rPr>
          <w:rFonts w:ascii="Times New Roman" w:hAnsi="Times New Roman"/>
        </w:rPr>
        <w:t xml:space="preserve"> </w:t>
      </w:r>
      <w:r w:rsidR="00A56D22" w:rsidRPr="00CB2E9A">
        <w:rPr>
          <w:rFonts w:ascii="Times New Roman" w:hAnsi="Times New Roman"/>
        </w:rPr>
        <w:t>(</w:t>
      </w:r>
      <w:r w:rsidR="007F30FF" w:rsidRPr="00CB2E9A">
        <w:rPr>
          <w:rFonts w:ascii="Times New Roman" w:hAnsi="Times New Roman"/>
        </w:rPr>
        <w:t>Bell CJ, Ward</w:t>
      </w:r>
      <w:r w:rsidR="00BF18C8" w:rsidRPr="00CB2E9A">
        <w:rPr>
          <w:rFonts w:ascii="Times New Roman" w:hAnsi="Times New Roman"/>
        </w:rPr>
        <w:t> </w:t>
      </w:r>
      <w:r w:rsidR="007F30FF" w:rsidRPr="00CB2E9A">
        <w:rPr>
          <w:rFonts w:ascii="Times New Roman" w:hAnsi="Times New Roman"/>
        </w:rPr>
        <w:t xml:space="preserve">P, Gleeson, </w:t>
      </w:r>
      <w:r w:rsidR="00BF18C8" w:rsidRPr="00CB2E9A">
        <w:rPr>
          <w:rFonts w:ascii="Times New Roman" w:hAnsi="Times New Roman"/>
        </w:rPr>
        <w:t>Leeming and Stern JJA)</w:t>
      </w:r>
      <w:r w:rsidR="00CC584F" w:rsidRPr="00CB2E9A">
        <w:rPr>
          <w:rFonts w:ascii="Times New Roman" w:hAnsi="Times New Roman"/>
        </w:rPr>
        <w:t xml:space="preserve">, in answering </w:t>
      </w:r>
      <w:r w:rsidR="00B80747" w:rsidRPr="00CB2E9A">
        <w:rPr>
          <w:rFonts w:ascii="Times New Roman" w:hAnsi="Times New Roman"/>
        </w:rPr>
        <w:t xml:space="preserve">in the negative </w:t>
      </w:r>
      <w:r w:rsidR="00CC584F" w:rsidRPr="00CB2E9A">
        <w:rPr>
          <w:rFonts w:ascii="Times New Roman" w:hAnsi="Times New Roman"/>
        </w:rPr>
        <w:t xml:space="preserve">a </w:t>
      </w:r>
      <w:r w:rsidR="00A1472D" w:rsidRPr="00CB2E9A">
        <w:rPr>
          <w:rFonts w:ascii="Times New Roman" w:hAnsi="Times New Roman"/>
        </w:rPr>
        <w:t xml:space="preserve">separate question </w:t>
      </w:r>
      <w:r w:rsidR="005C7F32" w:rsidRPr="00CB2E9A">
        <w:rPr>
          <w:rFonts w:ascii="Times New Roman" w:hAnsi="Times New Roman"/>
        </w:rPr>
        <w:t xml:space="preserve">to this effect </w:t>
      </w:r>
      <w:r w:rsidR="00A1472D" w:rsidRPr="00CB2E9A">
        <w:rPr>
          <w:rFonts w:ascii="Times New Roman" w:hAnsi="Times New Roman"/>
        </w:rPr>
        <w:t xml:space="preserve">referred to it for determination, </w:t>
      </w:r>
      <w:r w:rsidR="00BF18C8" w:rsidRPr="00CB2E9A">
        <w:rPr>
          <w:rFonts w:ascii="Times New Roman" w:hAnsi="Times New Roman"/>
        </w:rPr>
        <w:t>held that the Supreme Court did not have the power to order that such a notice be given</w:t>
      </w:r>
      <w:r w:rsidR="00624D53" w:rsidRPr="00CB2E9A">
        <w:rPr>
          <w:rFonts w:ascii="Times New Roman" w:hAnsi="Times New Roman"/>
        </w:rPr>
        <w:t>.</w:t>
      </w:r>
      <w:r w:rsidR="00624D53" w:rsidRPr="00CB2E9A">
        <w:rPr>
          <w:rStyle w:val="FootnoteReference"/>
          <w:rFonts w:ascii="Times New Roman" w:hAnsi="Times New Roman"/>
          <w:sz w:val="24"/>
        </w:rPr>
        <w:footnoteReference w:id="2"/>
      </w:r>
      <w:r w:rsidR="00BF18C8" w:rsidRPr="00CB2E9A">
        <w:rPr>
          <w:rFonts w:ascii="Times New Roman" w:hAnsi="Times New Roman"/>
        </w:rPr>
        <w:t xml:space="preserve"> </w:t>
      </w:r>
      <w:r w:rsidR="00FE1D86" w:rsidRPr="00CB2E9A">
        <w:rPr>
          <w:rFonts w:ascii="Times New Roman" w:hAnsi="Times New Roman"/>
        </w:rPr>
        <w:t xml:space="preserve">In so </w:t>
      </w:r>
      <w:r w:rsidR="00595F1E" w:rsidRPr="00CB2E9A">
        <w:rPr>
          <w:rFonts w:ascii="Times New Roman" w:hAnsi="Times New Roman"/>
        </w:rPr>
        <w:t>holding</w:t>
      </w:r>
      <w:r w:rsidR="006F1BEF" w:rsidRPr="00CB2E9A">
        <w:rPr>
          <w:rFonts w:ascii="Times New Roman" w:hAnsi="Times New Roman"/>
        </w:rPr>
        <w:t>,</w:t>
      </w:r>
      <w:r w:rsidR="00595F1E" w:rsidRPr="00CB2E9A">
        <w:rPr>
          <w:rFonts w:ascii="Times New Roman" w:hAnsi="Times New Roman"/>
        </w:rPr>
        <w:t xml:space="preserve"> </w:t>
      </w:r>
      <w:r w:rsidR="00FE1D86" w:rsidRPr="00CB2E9A">
        <w:rPr>
          <w:rFonts w:ascii="Times New Roman" w:hAnsi="Times New Roman"/>
        </w:rPr>
        <w:t xml:space="preserve">their Honours concluded that an earlier decision of the Court of Appeal, </w:t>
      </w:r>
      <w:r w:rsidR="00595F1E" w:rsidRPr="00CB2E9A">
        <w:rPr>
          <w:rFonts w:ascii="Times New Roman" w:hAnsi="Times New Roman"/>
          <w:i/>
          <w:iCs/>
        </w:rPr>
        <w:t>Wigmans</w:t>
      </w:r>
      <w:r w:rsidR="00F73D68" w:rsidRPr="00CB2E9A">
        <w:rPr>
          <w:rFonts w:ascii="Times New Roman" w:hAnsi="Times New Roman"/>
          <w:i/>
          <w:iCs/>
        </w:rPr>
        <w:t> </w:t>
      </w:r>
      <w:r w:rsidR="00595F1E" w:rsidRPr="00CB2E9A">
        <w:rPr>
          <w:rFonts w:ascii="Times New Roman" w:hAnsi="Times New Roman"/>
          <w:i/>
          <w:iCs/>
        </w:rPr>
        <w:t>v</w:t>
      </w:r>
      <w:r w:rsidR="00F73D68" w:rsidRPr="00CB2E9A">
        <w:rPr>
          <w:rFonts w:ascii="Times New Roman" w:hAnsi="Times New Roman"/>
          <w:i/>
          <w:iCs/>
        </w:rPr>
        <w:t> </w:t>
      </w:r>
      <w:r w:rsidR="00595F1E" w:rsidRPr="00CB2E9A">
        <w:rPr>
          <w:rFonts w:ascii="Times New Roman" w:hAnsi="Times New Roman"/>
          <w:i/>
          <w:iCs/>
        </w:rPr>
        <w:t>AMP</w:t>
      </w:r>
      <w:r w:rsidR="00EA041D" w:rsidRPr="00CB2E9A">
        <w:rPr>
          <w:rFonts w:ascii="Times New Roman" w:hAnsi="Times New Roman"/>
          <w:i/>
          <w:iCs/>
        </w:rPr>
        <w:t> </w:t>
      </w:r>
      <w:r w:rsidR="00595F1E" w:rsidRPr="00CB2E9A">
        <w:rPr>
          <w:rFonts w:ascii="Times New Roman" w:hAnsi="Times New Roman"/>
          <w:i/>
          <w:iCs/>
        </w:rPr>
        <w:t>Ltd</w:t>
      </w:r>
      <w:r w:rsidR="00E1136D" w:rsidRPr="00CB2E9A">
        <w:rPr>
          <w:rFonts w:ascii="Times New Roman" w:hAnsi="Times New Roman"/>
        </w:rPr>
        <w:t>,</w:t>
      </w:r>
      <w:r w:rsidR="00595F1E" w:rsidRPr="00CB2E9A">
        <w:rPr>
          <w:rStyle w:val="FootnoteReference"/>
          <w:rFonts w:ascii="Times New Roman" w:hAnsi="Times New Roman"/>
          <w:sz w:val="24"/>
        </w:rPr>
        <w:footnoteReference w:id="3"/>
      </w:r>
      <w:r w:rsidR="000F667A" w:rsidRPr="00CB2E9A">
        <w:rPr>
          <w:rFonts w:ascii="Times New Roman" w:hAnsi="Times New Roman"/>
        </w:rPr>
        <w:t xml:space="preserve"> was not plainly wrong</w:t>
      </w:r>
      <w:r w:rsidR="00CE0D28" w:rsidRPr="00CB2E9A">
        <w:rPr>
          <w:rFonts w:ascii="Times New Roman" w:hAnsi="Times New Roman"/>
        </w:rPr>
        <w:t>,</w:t>
      </w:r>
      <w:r w:rsidR="000F667A" w:rsidRPr="00CB2E9A">
        <w:rPr>
          <w:rFonts w:ascii="Times New Roman" w:hAnsi="Times New Roman"/>
        </w:rPr>
        <w:t xml:space="preserve"> so its reasoning </w:t>
      </w:r>
      <w:r w:rsidR="00195E6D" w:rsidRPr="00CB2E9A">
        <w:rPr>
          <w:rFonts w:ascii="Times New Roman" w:hAnsi="Times New Roman"/>
        </w:rPr>
        <w:t xml:space="preserve">had to </w:t>
      </w:r>
      <w:r w:rsidR="000F667A" w:rsidRPr="00CB2E9A">
        <w:rPr>
          <w:rFonts w:ascii="Times New Roman" w:hAnsi="Times New Roman"/>
        </w:rPr>
        <w:t>be followed</w:t>
      </w:r>
      <w:r w:rsidR="00FE5EF0" w:rsidRPr="00CB2E9A">
        <w:rPr>
          <w:rFonts w:ascii="Times New Roman" w:hAnsi="Times New Roman"/>
        </w:rPr>
        <w:t xml:space="preserve"> to the effect that the </w:t>
      </w:r>
      <w:r w:rsidR="00837128" w:rsidRPr="00CB2E9A">
        <w:rPr>
          <w:rFonts w:ascii="Times New Roman" w:hAnsi="Times New Roman"/>
        </w:rPr>
        <w:t>Supreme</w:t>
      </w:r>
      <w:r w:rsidR="00FE5EF0" w:rsidRPr="00CB2E9A">
        <w:rPr>
          <w:rFonts w:ascii="Times New Roman" w:hAnsi="Times New Roman"/>
        </w:rPr>
        <w:t xml:space="preserve"> </w:t>
      </w:r>
      <w:r w:rsidR="00837128" w:rsidRPr="00CB2E9A">
        <w:rPr>
          <w:rFonts w:ascii="Times New Roman" w:hAnsi="Times New Roman"/>
        </w:rPr>
        <w:t>Court</w:t>
      </w:r>
      <w:r w:rsidR="00FE5EF0" w:rsidRPr="00CB2E9A">
        <w:rPr>
          <w:rFonts w:ascii="Times New Roman" w:hAnsi="Times New Roman"/>
        </w:rPr>
        <w:t xml:space="preserve"> had no power to order the giving of the </w:t>
      </w:r>
      <w:r w:rsidR="00837128" w:rsidRPr="00CB2E9A">
        <w:rPr>
          <w:rFonts w:ascii="Times New Roman" w:hAnsi="Times New Roman"/>
        </w:rPr>
        <w:t>proposed</w:t>
      </w:r>
      <w:r w:rsidR="00FE5EF0" w:rsidRPr="00CB2E9A">
        <w:rPr>
          <w:rFonts w:ascii="Times New Roman" w:hAnsi="Times New Roman"/>
        </w:rPr>
        <w:t xml:space="preserve"> notice</w:t>
      </w:r>
      <w:r w:rsidR="000F667A" w:rsidRPr="00CB2E9A">
        <w:rPr>
          <w:rFonts w:ascii="Times New Roman" w:hAnsi="Times New Roman"/>
        </w:rPr>
        <w:t>.</w:t>
      </w:r>
      <w:r w:rsidR="004841C5" w:rsidRPr="00CB2E9A">
        <w:rPr>
          <w:rStyle w:val="FootnoteReference"/>
          <w:rFonts w:ascii="Times New Roman" w:hAnsi="Times New Roman"/>
          <w:sz w:val="24"/>
        </w:rPr>
        <w:footnoteReference w:id="4"/>
      </w:r>
      <w:r w:rsidR="000F667A" w:rsidRPr="00CB2E9A">
        <w:rPr>
          <w:rFonts w:ascii="Times New Roman" w:hAnsi="Times New Roman"/>
        </w:rPr>
        <w:t xml:space="preserve"> Their Honours</w:t>
      </w:r>
      <w:r w:rsidR="000F2828" w:rsidRPr="00CB2E9A">
        <w:rPr>
          <w:rFonts w:ascii="Times New Roman" w:hAnsi="Times New Roman"/>
        </w:rPr>
        <w:t>, in consequence,</w:t>
      </w:r>
      <w:r w:rsidR="000F667A" w:rsidRPr="00CB2E9A">
        <w:rPr>
          <w:rFonts w:ascii="Times New Roman" w:hAnsi="Times New Roman"/>
        </w:rPr>
        <w:t xml:space="preserve"> </w:t>
      </w:r>
      <w:r w:rsidR="000F2828" w:rsidRPr="00CB2E9A">
        <w:rPr>
          <w:rFonts w:ascii="Times New Roman" w:hAnsi="Times New Roman"/>
        </w:rPr>
        <w:t>disagreed with the Full Court of the Federal Court of Australia (</w:t>
      </w:r>
      <w:r w:rsidR="009C7779" w:rsidRPr="00CB2E9A">
        <w:rPr>
          <w:rFonts w:ascii="Times New Roman" w:hAnsi="Times New Roman"/>
        </w:rPr>
        <w:t xml:space="preserve">Murphy, Beach and Lee JJ) in </w:t>
      </w:r>
      <w:r w:rsidR="009C7779" w:rsidRPr="00CB2E9A">
        <w:rPr>
          <w:rFonts w:ascii="Times New Roman" w:hAnsi="Times New Roman"/>
          <w:i/>
          <w:iCs/>
        </w:rPr>
        <w:t>Parkin</w:t>
      </w:r>
      <w:r w:rsidR="00F73D68" w:rsidRPr="00CB2E9A">
        <w:rPr>
          <w:rFonts w:ascii="Times New Roman" w:hAnsi="Times New Roman"/>
          <w:i/>
          <w:iCs/>
        </w:rPr>
        <w:t> </w:t>
      </w:r>
      <w:r w:rsidR="009C7779" w:rsidRPr="00CB2E9A">
        <w:rPr>
          <w:rFonts w:ascii="Times New Roman" w:hAnsi="Times New Roman"/>
          <w:i/>
          <w:iCs/>
        </w:rPr>
        <w:t>v</w:t>
      </w:r>
      <w:r w:rsidR="00F73D68" w:rsidRPr="00CB2E9A">
        <w:rPr>
          <w:rFonts w:ascii="Times New Roman" w:hAnsi="Times New Roman"/>
          <w:i/>
          <w:iCs/>
        </w:rPr>
        <w:t> </w:t>
      </w:r>
      <w:r w:rsidR="009C7779" w:rsidRPr="00CB2E9A">
        <w:rPr>
          <w:rFonts w:ascii="Times New Roman" w:hAnsi="Times New Roman"/>
          <w:i/>
          <w:iCs/>
        </w:rPr>
        <w:t>Boral</w:t>
      </w:r>
      <w:r w:rsidR="00500CA8" w:rsidRPr="00CB2E9A">
        <w:rPr>
          <w:rFonts w:ascii="Times New Roman" w:hAnsi="Times New Roman"/>
          <w:i/>
          <w:iCs/>
        </w:rPr>
        <w:t> </w:t>
      </w:r>
      <w:r w:rsidR="009C7779" w:rsidRPr="00CB2E9A">
        <w:rPr>
          <w:rFonts w:ascii="Times New Roman" w:hAnsi="Times New Roman"/>
          <w:i/>
          <w:iCs/>
        </w:rPr>
        <w:t>Ltd</w:t>
      </w:r>
      <w:r w:rsidR="009C7779" w:rsidRPr="00CB2E9A">
        <w:rPr>
          <w:rStyle w:val="FootnoteReference"/>
          <w:rFonts w:ascii="Times New Roman" w:hAnsi="Times New Roman"/>
          <w:sz w:val="24"/>
        </w:rPr>
        <w:footnoteReference w:id="5"/>
      </w:r>
      <w:r w:rsidR="00C43DC5" w:rsidRPr="00CB2E9A">
        <w:rPr>
          <w:rFonts w:ascii="Times New Roman" w:hAnsi="Times New Roman"/>
        </w:rPr>
        <w:t xml:space="preserve"> </w:t>
      </w:r>
      <w:r w:rsidR="00DC0AAA" w:rsidRPr="00CB2E9A">
        <w:rPr>
          <w:rFonts w:ascii="Times New Roman" w:hAnsi="Times New Roman"/>
        </w:rPr>
        <w:t xml:space="preserve">that </w:t>
      </w:r>
      <w:r w:rsidR="00DC0AAA" w:rsidRPr="00CB2E9A">
        <w:rPr>
          <w:rFonts w:ascii="Times New Roman" w:hAnsi="Times New Roman"/>
          <w:i/>
          <w:iCs/>
        </w:rPr>
        <w:t>Wigmans</w:t>
      </w:r>
      <w:r w:rsidR="00032FFB" w:rsidRPr="00CB2E9A">
        <w:rPr>
          <w:rFonts w:ascii="Times New Roman" w:hAnsi="Times New Roman"/>
          <w:i/>
          <w:iCs/>
        </w:rPr>
        <w:t> v AMP Ltd</w:t>
      </w:r>
      <w:r w:rsidR="00DC0AAA" w:rsidRPr="00CB2E9A">
        <w:rPr>
          <w:rFonts w:ascii="Times New Roman" w:hAnsi="Times New Roman"/>
        </w:rPr>
        <w:t xml:space="preserve"> was </w:t>
      </w:r>
      <w:r w:rsidR="00F66FEA" w:rsidRPr="00CB2E9A">
        <w:rPr>
          <w:rFonts w:ascii="Times New Roman" w:hAnsi="Times New Roman"/>
        </w:rPr>
        <w:t>plainly wrong.</w:t>
      </w:r>
      <w:r w:rsidR="00F66FEA" w:rsidRPr="00CB2E9A">
        <w:rPr>
          <w:rStyle w:val="FootnoteReference"/>
          <w:rFonts w:ascii="Times New Roman" w:hAnsi="Times New Roman"/>
          <w:sz w:val="24"/>
        </w:rPr>
        <w:footnoteReference w:id="6"/>
      </w:r>
      <w:r w:rsidR="00F66FEA" w:rsidRPr="00CB2E9A">
        <w:rPr>
          <w:rFonts w:ascii="Times New Roman" w:hAnsi="Times New Roman"/>
        </w:rPr>
        <w:t xml:space="preserve"> </w:t>
      </w:r>
      <w:r w:rsidR="000A1F62" w:rsidRPr="00CB2E9A">
        <w:rPr>
          <w:rFonts w:ascii="Times New Roman" w:hAnsi="Times New Roman"/>
          <w:i/>
          <w:iCs/>
        </w:rPr>
        <w:t xml:space="preserve">Parkin </w:t>
      </w:r>
      <w:r w:rsidR="00B13149" w:rsidRPr="00CB2E9A">
        <w:rPr>
          <w:rFonts w:ascii="Times New Roman" w:hAnsi="Times New Roman"/>
        </w:rPr>
        <w:t xml:space="preserve">concerned </w:t>
      </w:r>
      <w:r w:rsidR="000A1F62" w:rsidRPr="00CB2E9A">
        <w:rPr>
          <w:rFonts w:ascii="Times New Roman" w:hAnsi="Times New Roman"/>
        </w:rPr>
        <w:t xml:space="preserve">the materially identical provisions of Pt IVA of the </w:t>
      </w:r>
      <w:r w:rsidR="000A1F62" w:rsidRPr="00CB2E9A">
        <w:rPr>
          <w:rFonts w:ascii="Times New Roman" w:hAnsi="Times New Roman"/>
          <w:i/>
          <w:iCs/>
        </w:rPr>
        <w:t>Federal Court of Australia Act 1976</w:t>
      </w:r>
      <w:r w:rsidR="000A1F62" w:rsidRPr="00CB2E9A">
        <w:rPr>
          <w:rFonts w:ascii="Times New Roman" w:hAnsi="Times New Roman"/>
        </w:rPr>
        <w:t> (Cth) ("the FCA")</w:t>
      </w:r>
      <w:r w:rsidR="00B72484" w:rsidRPr="00CB2E9A">
        <w:rPr>
          <w:rFonts w:ascii="Times New Roman" w:hAnsi="Times New Roman"/>
        </w:rPr>
        <w:t xml:space="preserve">. </w:t>
      </w:r>
      <w:r w:rsidR="00217E98" w:rsidRPr="00CB2E9A">
        <w:rPr>
          <w:rFonts w:ascii="Times New Roman" w:hAnsi="Times New Roman"/>
        </w:rPr>
        <w:t xml:space="preserve">Further, and again contrary to the </w:t>
      </w:r>
      <w:r w:rsidR="00457494" w:rsidRPr="00CB2E9A">
        <w:rPr>
          <w:rFonts w:ascii="Times New Roman" w:hAnsi="Times New Roman"/>
        </w:rPr>
        <w:t xml:space="preserve">Full Court of the Federal Court of Australia in </w:t>
      </w:r>
      <w:r w:rsidR="00457494" w:rsidRPr="00CB2E9A">
        <w:rPr>
          <w:rFonts w:ascii="Times New Roman" w:hAnsi="Times New Roman"/>
          <w:i/>
          <w:iCs/>
        </w:rPr>
        <w:t>Parkin</w:t>
      </w:r>
      <w:r w:rsidR="00457494" w:rsidRPr="00CB2E9A">
        <w:rPr>
          <w:rFonts w:ascii="Times New Roman" w:hAnsi="Times New Roman"/>
        </w:rPr>
        <w:t xml:space="preserve">, their Honours concluded that the giving of </w:t>
      </w:r>
      <w:r w:rsidR="00E512A5" w:rsidRPr="00CB2E9A">
        <w:rPr>
          <w:rFonts w:ascii="Times New Roman" w:hAnsi="Times New Roman"/>
        </w:rPr>
        <w:t>s</w:t>
      </w:r>
      <w:r w:rsidR="00457494" w:rsidRPr="00CB2E9A">
        <w:rPr>
          <w:rFonts w:ascii="Times New Roman" w:hAnsi="Times New Roman"/>
        </w:rPr>
        <w:t>uch a notice would</w:t>
      </w:r>
      <w:r w:rsidR="003F6A24" w:rsidRPr="00CB2E9A">
        <w:rPr>
          <w:rFonts w:ascii="Times New Roman" w:hAnsi="Times New Roman"/>
        </w:rPr>
        <w:t>: (a) </w:t>
      </w:r>
      <w:r w:rsidR="00457494" w:rsidRPr="00CB2E9A">
        <w:rPr>
          <w:rFonts w:ascii="Times New Roman" w:hAnsi="Times New Roman"/>
        </w:rPr>
        <w:t>subvert the statutory scheme</w:t>
      </w:r>
      <w:r w:rsidR="00FA766D" w:rsidRPr="00CB2E9A">
        <w:rPr>
          <w:rFonts w:ascii="Times New Roman" w:hAnsi="Times New Roman"/>
        </w:rPr>
        <w:t>,</w:t>
      </w:r>
      <w:r w:rsidR="00457494" w:rsidRPr="00CB2E9A">
        <w:rPr>
          <w:rFonts w:ascii="Times New Roman" w:hAnsi="Times New Roman"/>
        </w:rPr>
        <w:t xml:space="preserve"> in which group members are taken </w:t>
      </w:r>
      <w:r w:rsidR="007C7D52" w:rsidRPr="00CB2E9A">
        <w:rPr>
          <w:rFonts w:ascii="Times New Roman" w:hAnsi="Times New Roman"/>
        </w:rPr>
        <w:t xml:space="preserve">to be </w:t>
      </w:r>
      <w:r w:rsidR="00A639B5" w:rsidRPr="00CB2E9A">
        <w:rPr>
          <w:rFonts w:ascii="Times New Roman" w:hAnsi="Times New Roman"/>
        </w:rPr>
        <w:t xml:space="preserve">entitled to </w:t>
      </w:r>
      <w:r w:rsidR="007C7D52" w:rsidRPr="00CB2E9A">
        <w:rPr>
          <w:rFonts w:ascii="Times New Roman" w:hAnsi="Times New Roman"/>
        </w:rPr>
        <w:t xml:space="preserve">the </w:t>
      </w:r>
      <w:r w:rsidR="001D1963" w:rsidRPr="00CB2E9A">
        <w:rPr>
          <w:rFonts w:ascii="Times New Roman" w:hAnsi="Times New Roman"/>
        </w:rPr>
        <w:t xml:space="preserve">benefits of the </w:t>
      </w:r>
      <w:r w:rsidR="00A639B5" w:rsidRPr="00CB2E9A">
        <w:rPr>
          <w:rFonts w:ascii="Times New Roman" w:hAnsi="Times New Roman"/>
        </w:rPr>
        <w:t xml:space="preserve">proceeding </w:t>
      </w:r>
      <w:r w:rsidR="00457494" w:rsidRPr="00CB2E9A">
        <w:rPr>
          <w:rFonts w:ascii="Times New Roman" w:hAnsi="Times New Roman"/>
        </w:rPr>
        <w:t>unless they opt out of the proceeding</w:t>
      </w:r>
      <w:r w:rsidR="00E512A5" w:rsidRPr="00CB2E9A">
        <w:rPr>
          <w:rFonts w:ascii="Times New Roman" w:hAnsi="Times New Roman"/>
        </w:rPr>
        <w:t xml:space="preserve">, by converting it into a scheme </w:t>
      </w:r>
      <w:r w:rsidR="007C7D52" w:rsidRPr="00CB2E9A">
        <w:rPr>
          <w:rFonts w:ascii="Times New Roman" w:hAnsi="Times New Roman"/>
        </w:rPr>
        <w:t xml:space="preserve">in which group members must opt in </w:t>
      </w:r>
      <w:r w:rsidR="00A639B5" w:rsidRPr="00CB2E9A">
        <w:rPr>
          <w:rFonts w:ascii="Times New Roman" w:hAnsi="Times New Roman"/>
        </w:rPr>
        <w:t xml:space="preserve">to be taken to be </w:t>
      </w:r>
      <w:r w:rsidR="001D1963" w:rsidRPr="00CB2E9A">
        <w:rPr>
          <w:rFonts w:ascii="Times New Roman" w:hAnsi="Times New Roman"/>
        </w:rPr>
        <w:t xml:space="preserve">entitled to the benefits of the proceeding, </w:t>
      </w:r>
      <w:r w:rsidR="007C7D52" w:rsidRPr="00CB2E9A">
        <w:rPr>
          <w:rFonts w:ascii="Times New Roman" w:hAnsi="Times New Roman"/>
        </w:rPr>
        <w:t xml:space="preserve">contrary </w:t>
      </w:r>
      <w:r w:rsidR="00811EA3" w:rsidRPr="00CB2E9A">
        <w:rPr>
          <w:rFonts w:ascii="Times New Roman" w:hAnsi="Times New Roman"/>
        </w:rPr>
        <w:t xml:space="preserve">to the </w:t>
      </w:r>
      <w:r w:rsidR="00983A65" w:rsidRPr="00CB2E9A">
        <w:rPr>
          <w:rFonts w:ascii="Times New Roman" w:hAnsi="Times New Roman"/>
        </w:rPr>
        <w:t xml:space="preserve">text, context and purpose </w:t>
      </w:r>
      <w:r w:rsidR="00983A65" w:rsidRPr="00CB2E9A">
        <w:rPr>
          <w:rFonts w:ascii="Times New Roman" w:hAnsi="Times New Roman"/>
        </w:rPr>
        <w:lastRenderedPageBreak/>
        <w:t>of Pt 10</w:t>
      </w:r>
      <w:r w:rsidR="00800425" w:rsidRPr="00CB2E9A">
        <w:rPr>
          <w:rFonts w:ascii="Times New Roman" w:hAnsi="Times New Roman"/>
        </w:rPr>
        <w:t xml:space="preserve"> of the CPA</w:t>
      </w:r>
      <w:r w:rsidR="003F6A24" w:rsidRPr="00CB2E9A">
        <w:rPr>
          <w:rFonts w:ascii="Times New Roman" w:hAnsi="Times New Roman"/>
        </w:rPr>
        <w:t>;</w:t>
      </w:r>
      <w:r w:rsidR="00983A65" w:rsidRPr="00CB2E9A">
        <w:rPr>
          <w:rFonts w:ascii="Times New Roman" w:hAnsi="Times New Roman"/>
        </w:rPr>
        <w:t xml:space="preserve"> </w:t>
      </w:r>
      <w:r w:rsidR="003F6A24" w:rsidRPr="00CB2E9A">
        <w:rPr>
          <w:rFonts w:ascii="Times New Roman" w:hAnsi="Times New Roman"/>
        </w:rPr>
        <w:t xml:space="preserve">and (b) place the representative plaintiff in an untenable position of conflict between its interests and those of </w:t>
      </w:r>
      <w:r w:rsidR="0077619E" w:rsidRPr="00CB2E9A">
        <w:rPr>
          <w:rFonts w:ascii="Times New Roman" w:hAnsi="Times New Roman"/>
        </w:rPr>
        <w:t>un</w:t>
      </w:r>
      <w:r w:rsidR="003F6A24" w:rsidRPr="00CB2E9A">
        <w:rPr>
          <w:rFonts w:ascii="Times New Roman" w:hAnsi="Times New Roman"/>
        </w:rPr>
        <w:t>registered group members</w:t>
      </w:r>
      <w:r w:rsidR="0077619E" w:rsidRPr="00CB2E9A">
        <w:rPr>
          <w:rFonts w:ascii="Times New Roman" w:hAnsi="Times New Roman"/>
        </w:rPr>
        <w:t xml:space="preserve"> who had not opted out of the representative proceeding</w:t>
      </w:r>
      <w:r w:rsidR="00FC50CC" w:rsidRPr="00CB2E9A">
        <w:rPr>
          <w:rFonts w:ascii="Times New Roman" w:hAnsi="Times New Roman"/>
        </w:rPr>
        <w:t>.</w:t>
      </w:r>
      <w:r w:rsidR="003F6A24" w:rsidRPr="00CB2E9A">
        <w:rPr>
          <w:rStyle w:val="FootnoteReference"/>
          <w:rFonts w:ascii="Times New Roman" w:hAnsi="Times New Roman"/>
          <w:sz w:val="24"/>
        </w:rPr>
        <w:footnoteReference w:id="7"/>
      </w:r>
      <w:r w:rsidR="00D1076F" w:rsidRPr="00CB2E9A">
        <w:rPr>
          <w:rFonts w:ascii="Times New Roman" w:hAnsi="Times New Roman"/>
        </w:rPr>
        <w:t xml:space="preserve"> </w:t>
      </w:r>
    </w:p>
    <w:p w14:paraId="551B006E" w14:textId="75A5D1D7" w:rsidR="00A56D22" w:rsidRPr="00CB2E9A" w:rsidRDefault="00255B70"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D96C8F" w:rsidRPr="00CB2E9A">
        <w:rPr>
          <w:rFonts w:ascii="Times New Roman" w:hAnsi="Times New Roman"/>
        </w:rPr>
        <w:t xml:space="preserve">As will be explained, the Court of Appeal has construed </w:t>
      </w:r>
      <w:r w:rsidR="0031187F" w:rsidRPr="00CB2E9A">
        <w:rPr>
          <w:rFonts w:ascii="Times New Roman" w:hAnsi="Times New Roman"/>
        </w:rPr>
        <w:t xml:space="preserve">the </w:t>
      </w:r>
      <w:r w:rsidR="00D96C8F" w:rsidRPr="00CB2E9A">
        <w:rPr>
          <w:rFonts w:ascii="Times New Roman" w:hAnsi="Times New Roman"/>
        </w:rPr>
        <w:t xml:space="preserve">statutory powers in Pt 10 of the CPA too narrowly. </w:t>
      </w:r>
      <w:r w:rsidR="00BE19F2" w:rsidRPr="00CB2E9A">
        <w:rPr>
          <w:rFonts w:ascii="Times New Roman" w:hAnsi="Times New Roman"/>
        </w:rPr>
        <w:t>T</w:t>
      </w:r>
      <w:r w:rsidR="00D96C8F" w:rsidRPr="00CB2E9A">
        <w:rPr>
          <w:rFonts w:ascii="Times New Roman" w:hAnsi="Times New Roman"/>
        </w:rPr>
        <w:t xml:space="preserve">he </w:t>
      </w:r>
      <w:r w:rsidR="007B0B64" w:rsidRPr="00CB2E9A">
        <w:rPr>
          <w:rFonts w:ascii="Times New Roman" w:hAnsi="Times New Roman"/>
        </w:rPr>
        <w:t xml:space="preserve">considerations </w:t>
      </w:r>
      <w:r w:rsidR="00A34365" w:rsidRPr="00CB2E9A">
        <w:rPr>
          <w:rFonts w:ascii="Times New Roman" w:hAnsi="Times New Roman"/>
        </w:rPr>
        <w:t xml:space="preserve">which </w:t>
      </w:r>
      <w:r w:rsidR="007B0B64" w:rsidRPr="00CB2E9A">
        <w:rPr>
          <w:rFonts w:ascii="Times New Roman" w:hAnsi="Times New Roman"/>
        </w:rPr>
        <w:t xml:space="preserve">led </w:t>
      </w:r>
      <w:r w:rsidR="00A34365" w:rsidRPr="00CB2E9A">
        <w:rPr>
          <w:rFonts w:ascii="Times New Roman" w:hAnsi="Times New Roman"/>
        </w:rPr>
        <w:t xml:space="preserve">it to hold that </w:t>
      </w:r>
      <w:r w:rsidR="00D632E8" w:rsidRPr="00CB2E9A">
        <w:rPr>
          <w:rFonts w:ascii="Times New Roman" w:hAnsi="Times New Roman"/>
        </w:rPr>
        <w:t xml:space="preserve">the Supreme Court </w:t>
      </w:r>
      <w:r w:rsidR="00A34365" w:rsidRPr="00CB2E9A">
        <w:rPr>
          <w:rFonts w:ascii="Times New Roman" w:hAnsi="Times New Roman"/>
        </w:rPr>
        <w:t xml:space="preserve">does not have the power to order </w:t>
      </w:r>
      <w:r w:rsidR="00D632E8" w:rsidRPr="00CB2E9A">
        <w:rPr>
          <w:rFonts w:ascii="Times New Roman" w:hAnsi="Times New Roman"/>
        </w:rPr>
        <w:t xml:space="preserve">the giving of the proposed </w:t>
      </w:r>
      <w:r w:rsidR="00A34365" w:rsidRPr="00CB2E9A">
        <w:rPr>
          <w:rFonts w:ascii="Times New Roman" w:hAnsi="Times New Roman"/>
        </w:rPr>
        <w:t xml:space="preserve">notice </w:t>
      </w:r>
      <w:r w:rsidR="00BA16E8" w:rsidRPr="00CB2E9A">
        <w:rPr>
          <w:rFonts w:ascii="Times New Roman" w:hAnsi="Times New Roman"/>
        </w:rPr>
        <w:t xml:space="preserve">are legitimate concerns about the operation of Pt 10 of the CPA (and the equivalent Pt IVA of the FCA). </w:t>
      </w:r>
      <w:r w:rsidR="004E6405" w:rsidRPr="00CB2E9A">
        <w:rPr>
          <w:rFonts w:ascii="Times New Roman" w:hAnsi="Times New Roman"/>
        </w:rPr>
        <w:t>T</w:t>
      </w:r>
      <w:r w:rsidR="004C623D" w:rsidRPr="00CB2E9A">
        <w:rPr>
          <w:rFonts w:ascii="Times New Roman" w:hAnsi="Times New Roman"/>
        </w:rPr>
        <w:t>hose legitimate concerns</w:t>
      </w:r>
      <w:r w:rsidR="004373C0" w:rsidRPr="00CB2E9A">
        <w:rPr>
          <w:rFonts w:ascii="Times New Roman" w:hAnsi="Times New Roman"/>
        </w:rPr>
        <w:t>, however,</w:t>
      </w:r>
      <w:r w:rsidR="004C623D" w:rsidRPr="00CB2E9A">
        <w:rPr>
          <w:rFonts w:ascii="Times New Roman" w:hAnsi="Times New Roman"/>
        </w:rPr>
        <w:t xml:space="preserve"> do not confine the power of the Court to order that such a notice be given. </w:t>
      </w:r>
      <w:r w:rsidR="00AE2C41" w:rsidRPr="00CB2E9A">
        <w:rPr>
          <w:rFonts w:ascii="Times New Roman" w:hAnsi="Times New Roman"/>
        </w:rPr>
        <w:t>Rather, t</w:t>
      </w:r>
      <w:r w:rsidR="004C623D" w:rsidRPr="00CB2E9A">
        <w:rPr>
          <w:rFonts w:ascii="Times New Roman" w:hAnsi="Times New Roman"/>
        </w:rPr>
        <w:t xml:space="preserve">hey </w:t>
      </w:r>
      <w:r w:rsidR="004E6405" w:rsidRPr="00CB2E9A">
        <w:rPr>
          <w:rFonts w:ascii="Times New Roman" w:hAnsi="Times New Roman"/>
        </w:rPr>
        <w:t xml:space="preserve">properly inform the </w:t>
      </w:r>
      <w:r w:rsidR="00AE2C41" w:rsidRPr="00CB2E9A">
        <w:rPr>
          <w:rFonts w:ascii="Times New Roman" w:hAnsi="Times New Roman"/>
        </w:rPr>
        <w:t xml:space="preserve">steps the Court might consider necessary or appropriate to </w:t>
      </w:r>
      <w:r w:rsidR="00553589" w:rsidRPr="00CB2E9A">
        <w:rPr>
          <w:rFonts w:ascii="Times New Roman" w:hAnsi="Times New Roman"/>
        </w:rPr>
        <w:t xml:space="preserve">manage the </w:t>
      </w:r>
      <w:r w:rsidR="00B95E8D" w:rsidRPr="00CB2E9A">
        <w:rPr>
          <w:rFonts w:ascii="Times New Roman" w:hAnsi="Times New Roman"/>
        </w:rPr>
        <w:t xml:space="preserve">inconsistency </w:t>
      </w:r>
      <w:r w:rsidR="00553589" w:rsidRPr="00CB2E9A">
        <w:rPr>
          <w:rFonts w:ascii="Times New Roman" w:hAnsi="Times New Roman"/>
        </w:rPr>
        <w:t xml:space="preserve">of interest to which a representative plaintiff might become subject in the settlement of a proceeding </w:t>
      </w:r>
      <w:r w:rsidR="0021317A" w:rsidRPr="00CB2E9A">
        <w:rPr>
          <w:rFonts w:ascii="Times New Roman" w:hAnsi="Times New Roman"/>
        </w:rPr>
        <w:t xml:space="preserve">and in deciding whether to approve any such settlement. </w:t>
      </w:r>
    </w:p>
    <w:p w14:paraId="56556A5B" w14:textId="61FA4BDE" w:rsidR="0021317A" w:rsidRPr="00CB2E9A" w:rsidRDefault="00C51612" w:rsidP="00CB2E9A">
      <w:pPr>
        <w:pStyle w:val="HeadingL1"/>
        <w:spacing w:after="260" w:line="280" w:lineRule="exact"/>
        <w:ind w:right="0"/>
        <w:jc w:val="both"/>
        <w:rPr>
          <w:rFonts w:ascii="Times New Roman" w:hAnsi="Times New Roman"/>
        </w:rPr>
      </w:pPr>
      <w:r w:rsidRPr="00CB2E9A">
        <w:rPr>
          <w:rFonts w:ascii="Times New Roman" w:hAnsi="Times New Roman"/>
        </w:rPr>
        <w:t>The statutory scheme</w:t>
      </w:r>
    </w:p>
    <w:p w14:paraId="000A2CA5" w14:textId="09765E49" w:rsidR="00C51612" w:rsidRPr="00CB2E9A" w:rsidRDefault="00C51612"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AA5C33" w:rsidRPr="00CB2E9A">
        <w:rPr>
          <w:rFonts w:ascii="Times New Roman" w:hAnsi="Times New Roman"/>
        </w:rPr>
        <w:t>As noted, Pt 10 of the CPA is in materially identical terms to Pt IVA of the FCA. The provisions of the CPA conveniently cross-refer to the equivalent provisions of the FCA. Those cross-references are reproduced below.</w:t>
      </w:r>
    </w:p>
    <w:p w14:paraId="13157B30" w14:textId="1062BBB9" w:rsidR="00D6718B" w:rsidRPr="00CB2E9A" w:rsidRDefault="00AA5C33"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07447D" w:rsidRPr="00CB2E9A">
        <w:rPr>
          <w:rFonts w:ascii="Times New Roman" w:hAnsi="Times New Roman"/>
        </w:rPr>
        <w:t xml:space="preserve">By s 155 </w:t>
      </w:r>
      <w:r w:rsidR="0062067F" w:rsidRPr="00CB2E9A">
        <w:rPr>
          <w:rFonts w:ascii="Times New Roman" w:hAnsi="Times New Roman"/>
        </w:rPr>
        <w:t xml:space="preserve">of the CPA </w:t>
      </w:r>
      <w:r w:rsidR="00616184" w:rsidRPr="00CB2E9A">
        <w:rPr>
          <w:rFonts w:ascii="Times New Roman" w:hAnsi="Times New Roman"/>
        </w:rPr>
        <w:t>(cf s 33A FCA)</w:t>
      </w:r>
      <w:r w:rsidR="00245411" w:rsidRPr="00CB2E9A">
        <w:rPr>
          <w:rFonts w:ascii="Times New Roman" w:hAnsi="Times New Roman"/>
        </w:rPr>
        <w:t>:</w:t>
      </w:r>
      <w:r w:rsidR="00616184" w:rsidRPr="00CB2E9A">
        <w:rPr>
          <w:rFonts w:ascii="Times New Roman" w:hAnsi="Times New Roman"/>
        </w:rPr>
        <w:t xml:space="preserve"> </w:t>
      </w:r>
      <w:r w:rsidR="0007447D" w:rsidRPr="00CB2E9A">
        <w:rPr>
          <w:rFonts w:ascii="Times New Roman" w:hAnsi="Times New Roman"/>
        </w:rPr>
        <w:t xml:space="preserve">a </w:t>
      </w:r>
      <w:r w:rsidR="001F1B6D" w:rsidRPr="00CB2E9A">
        <w:rPr>
          <w:rFonts w:ascii="Times New Roman" w:hAnsi="Times New Roman"/>
        </w:rPr>
        <w:t xml:space="preserve">"representative party" means </w:t>
      </w:r>
      <w:r w:rsidR="00112954" w:rsidRPr="00CB2E9A">
        <w:rPr>
          <w:rFonts w:ascii="Times New Roman" w:hAnsi="Times New Roman"/>
        </w:rPr>
        <w:t>"</w:t>
      </w:r>
      <w:r w:rsidR="001F1B6D" w:rsidRPr="00CB2E9A">
        <w:rPr>
          <w:rFonts w:ascii="Times New Roman" w:hAnsi="Times New Roman"/>
        </w:rPr>
        <w:t>a person who commences representative proceedings</w:t>
      </w:r>
      <w:r w:rsidR="00112954" w:rsidRPr="00CB2E9A">
        <w:rPr>
          <w:rFonts w:ascii="Times New Roman" w:hAnsi="Times New Roman"/>
        </w:rPr>
        <w:t>"</w:t>
      </w:r>
      <w:r w:rsidR="004373C0" w:rsidRPr="00CB2E9A">
        <w:rPr>
          <w:rFonts w:ascii="Times New Roman" w:hAnsi="Times New Roman"/>
        </w:rPr>
        <w:t>;</w:t>
      </w:r>
      <w:r w:rsidR="001F1B6D" w:rsidRPr="00CB2E9A">
        <w:rPr>
          <w:rFonts w:ascii="Times New Roman" w:hAnsi="Times New Roman"/>
        </w:rPr>
        <w:t xml:space="preserve"> "representative proceedings" </w:t>
      </w:r>
      <w:r w:rsidR="00ED7AD9" w:rsidRPr="00CB2E9A">
        <w:rPr>
          <w:rFonts w:ascii="Times New Roman" w:hAnsi="Times New Roman"/>
        </w:rPr>
        <w:t>are</w:t>
      </w:r>
      <w:r w:rsidR="00841165" w:rsidRPr="00CB2E9A">
        <w:rPr>
          <w:rFonts w:ascii="Times New Roman" w:hAnsi="Times New Roman"/>
        </w:rPr>
        <w:t xml:space="preserve"> proceedings</w:t>
      </w:r>
      <w:r w:rsidR="00ED7AD9" w:rsidRPr="00CB2E9A">
        <w:rPr>
          <w:rFonts w:ascii="Times New Roman" w:hAnsi="Times New Roman"/>
        </w:rPr>
        <w:t xml:space="preserve"> </w:t>
      </w:r>
      <w:r w:rsidR="00C268AA" w:rsidRPr="00CB2E9A">
        <w:rPr>
          <w:rFonts w:ascii="Times New Roman" w:hAnsi="Times New Roman"/>
        </w:rPr>
        <w:t xml:space="preserve">regulated by </w:t>
      </w:r>
      <w:r w:rsidR="001F1B6D" w:rsidRPr="00CB2E9A">
        <w:rPr>
          <w:rFonts w:ascii="Times New Roman" w:hAnsi="Times New Roman"/>
        </w:rPr>
        <w:t>s 157</w:t>
      </w:r>
      <w:r w:rsidR="00C6450C" w:rsidRPr="00CB2E9A">
        <w:rPr>
          <w:rFonts w:ascii="Times New Roman" w:hAnsi="Times New Roman"/>
        </w:rPr>
        <w:t xml:space="preserve"> (cf s 33C FCA)</w:t>
      </w:r>
      <w:r w:rsidR="004373C0" w:rsidRPr="00CB2E9A">
        <w:rPr>
          <w:rFonts w:ascii="Times New Roman" w:hAnsi="Times New Roman"/>
        </w:rPr>
        <w:t>;</w:t>
      </w:r>
      <w:r w:rsidR="001F1B6D" w:rsidRPr="00CB2E9A">
        <w:rPr>
          <w:rFonts w:ascii="Times New Roman" w:hAnsi="Times New Roman"/>
        </w:rPr>
        <w:t xml:space="preserve"> "group member" means </w:t>
      </w:r>
      <w:r w:rsidR="009607FC" w:rsidRPr="00CB2E9A">
        <w:rPr>
          <w:rFonts w:ascii="Times New Roman" w:hAnsi="Times New Roman"/>
        </w:rPr>
        <w:t>"</w:t>
      </w:r>
      <w:r w:rsidR="001F1B6D" w:rsidRPr="00CB2E9A">
        <w:rPr>
          <w:rFonts w:ascii="Times New Roman" w:hAnsi="Times New Roman"/>
        </w:rPr>
        <w:t>a member of a group of persons on whose behalf representative proceedings have been commenced</w:t>
      </w:r>
      <w:r w:rsidR="00E3003D" w:rsidRPr="00CB2E9A">
        <w:rPr>
          <w:rFonts w:ascii="Times New Roman" w:hAnsi="Times New Roman"/>
        </w:rPr>
        <w:t>"</w:t>
      </w:r>
      <w:r w:rsidR="004373C0" w:rsidRPr="00CB2E9A">
        <w:rPr>
          <w:rFonts w:ascii="Times New Roman" w:hAnsi="Times New Roman"/>
        </w:rPr>
        <w:t>;</w:t>
      </w:r>
      <w:r w:rsidR="000C73AA" w:rsidRPr="00CB2E9A">
        <w:rPr>
          <w:rFonts w:ascii="Times New Roman" w:hAnsi="Times New Roman"/>
        </w:rPr>
        <w:t xml:space="preserve"> "sub-group member" means </w:t>
      </w:r>
      <w:r w:rsidR="00E3003D" w:rsidRPr="00CB2E9A">
        <w:rPr>
          <w:rFonts w:ascii="Times New Roman" w:hAnsi="Times New Roman"/>
        </w:rPr>
        <w:t>"</w:t>
      </w:r>
      <w:r w:rsidR="000C73AA" w:rsidRPr="00CB2E9A">
        <w:rPr>
          <w:rFonts w:ascii="Times New Roman" w:hAnsi="Times New Roman"/>
        </w:rPr>
        <w:t>a person included in a sub-group established under s</w:t>
      </w:r>
      <w:r w:rsidR="00F41707" w:rsidRPr="00CB2E9A">
        <w:rPr>
          <w:rFonts w:ascii="Times New Roman" w:hAnsi="Times New Roman"/>
        </w:rPr>
        <w:t>e</w:t>
      </w:r>
      <w:r w:rsidR="000C5113" w:rsidRPr="00CB2E9A">
        <w:rPr>
          <w:rFonts w:ascii="Times New Roman" w:hAnsi="Times New Roman"/>
        </w:rPr>
        <w:t>ction</w:t>
      </w:r>
      <w:r w:rsidR="000C73AA" w:rsidRPr="00CB2E9A">
        <w:rPr>
          <w:rFonts w:ascii="Times New Roman" w:hAnsi="Times New Roman"/>
        </w:rPr>
        <w:t> 168</w:t>
      </w:r>
      <w:r w:rsidR="00E3003D" w:rsidRPr="00CB2E9A">
        <w:rPr>
          <w:rFonts w:ascii="Times New Roman" w:hAnsi="Times New Roman"/>
        </w:rPr>
        <w:t>" (cf s</w:t>
      </w:r>
      <w:r w:rsidR="00D97465" w:rsidRPr="00CB2E9A">
        <w:rPr>
          <w:rFonts w:ascii="Times New Roman" w:hAnsi="Times New Roman"/>
        </w:rPr>
        <w:t> </w:t>
      </w:r>
      <w:r w:rsidR="00976904" w:rsidRPr="00CB2E9A">
        <w:rPr>
          <w:rFonts w:ascii="Times New Roman" w:hAnsi="Times New Roman"/>
        </w:rPr>
        <w:t>33Q FCA)</w:t>
      </w:r>
      <w:r w:rsidR="004373C0" w:rsidRPr="00CB2E9A">
        <w:rPr>
          <w:rFonts w:ascii="Times New Roman" w:hAnsi="Times New Roman"/>
        </w:rPr>
        <w:t>;</w:t>
      </w:r>
      <w:r w:rsidR="00D6718B" w:rsidRPr="00CB2E9A">
        <w:rPr>
          <w:rFonts w:ascii="Times New Roman" w:hAnsi="Times New Roman"/>
        </w:rPr>
        <w:t xml:space="preserve"> and "sub-group representative party" means </w:t>
      </w:r>
      <w:r w:rsidR="00D97465" w:rsidRPr="00CB2E9A">
        <w:rPr>
          <w:rFonts w:ascii="Times New Roman" w:hAnsi="Times New Roman"/>
        </w:rPr>
        <w:t>"</w:t>
      </w:r>
      <w:r w:rsidR="00D6718B" w:rsidRPr="00CB2E9A">
        <w:rPr>
          <w:rFonts w:ascii="Times New Roman" w:hAnsi="Times New Roman"/>
        </w:rPr>
        <w:t>a person appointed to be a sub-group representative party under</w:t>
      </w:r>
      <w:r w:rsidR="00C268AA" w:rsidRPr="00CB2E9A">
        <w:rPr>
          <w:rFonts w:ascii="Times New Roman" w:hAnsi="Times New Roman"/>
        </w:rPr>
        <w:t xml:space="preserve"> </w:t>
      </w:r>
      <w:r w:rsidR="00D6718B" w:rsidRPr="00CB2E9A">
        <w:rPr>
          <w:rFonts w:ascii="Times New Roman" w:hAnsi="Times New Roman"/>
        </w:rPr>
        <w:t>s</w:t>
      </w:r>
      <w:r w:rsidR="000C5113" w:rsidRPr="00CB2E9A">
        <w:rPr>
          <w:rFonts w:ascii="Times New Roman" w:hAnsi="Times New Roman"/>
        </w:rPr>
        <w:t>ection</w:t>
      </w:r>
      <w:r w:rsidR="00D6718B" w:rsidRPr="00CB2E9A">
        <w:rPr>
          <w:rFonts w:ascii="Times New Roman" w:hAnsi="Times New Roman"/>
        </w:rPr>
        <w:t> 168</w:t>
      </w:r>
      <w:r w:rsidR="00D97465" w:rsidRPr="00CB2E9A">
        <w:rPr>
          <w:rFonts w:ascii="Times New Roman" w:hAnsi="Times New Roman"/>
        </w:rPr>
        <w:t>"</w:t>
      </w:r>
      <w:r w:rsidR="00D6718B" w:rsidRPr="00CB2E9A">
        <w:rPr>
          <w:rFonts w:ascii="Times New Roman" w:hAnsi="Times New Roman"/>
        </w:rPr>
        <w:t>.</w:t>
      </w:r>
    </w:p>
    <w:p w14:paraId="08E5D008" w14:textId="2AEA898A" w:rsidR="00127A4C" w:rsidRPr="00007371" w:rsidRDefault="00D6718B"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C268AA" w:rsidRPr="00CB2E9A">
        <w:rPr>
          <w:rFonts w:ascii="Times New Roman" w:hAnsi="Times New Roman"/>
        </w:rPr>
        <w:t>Section</w:t>
      </w:r>
      <w:r w:rsidR="00047F71" w:rsidRPr="00CB2E9A">
        <w:rPr>
          <w:rFonts w:ascii="Times New Roman" w:hAnsi="Times New Roman"/>
        </w:rPr>
        <w:t> </w:t>
      </w:r>
      <w:r w:rsidR="00C268AA" w:rsidRPr="00CB2E9A">
        <w:rPr>
          <w:rFonts w:ascii="Times New Roman" w:hAnsi="Times New Roman"/>
        </w:rPr>
        <w:t>157</w:t>
      </w:r>
      <w:r w:rsidR="003139DB" w:rsidRPr="00CB2E9A">
        <w:rPr>
          <w:rFonts w:ascii="Times New Roman" w:hAnsi="Times New Roman"/>
        </w:rPr>
        <w:t>(1)</w:t>
      </w:r>
      <w:r w:rsidR="00C268AA" w:rsidRPr="00CB2E9A">
        <w:rPr>
          <w:rFonts w:ascii="Times New Roman" w:hAnsi="Times New Roman"/>
        </w:rPr>
        <w:t xml:space="preserve"> </w:t>
      </w:r>
      <w:r w:rsidR="0062067F" w:rsidRPr="00CB2E9A">
        <w:rPr>
          <w:rFonts w:ascii="Times New Roman" w:hAnsi="Times New Roman"/>
        </w:rPr>
        <w:t xml:space="preserve">of the CPA </w:t>
      </w:r>
      <w:r w:rsidR="00C6450C" w:rsidRPr="00CB2E9A">
        <w:rPr>
          <w:rFonts w:ascii="Times New Roman" w:hAnsi="Times New Roman"/>
        </w:rPr>
        <w:t>(cf s</w:t>
      </w:r>
      <w:r w:rsidR="004373C0" w:rsidRPr="00CB2E9A">
        <w:rPr>
          <w:rFonts w:ascii="Times New Roman" w:hAnsi="Times New Roman"/>
        </w:rPr>
        <w:t> </w:t>
      </w:r>
      <w:r w:rsidR="00C6450C" w:rsidRPr="00CB2E9A">
        <w:rPr>
          <w:rFonts w:ascii="Times New Roman" w:hAnsi="Times New Roman"/>
        </w:rPr>
        <w:t xml:space="preserve">33C FCA) </w:t>
      </w:r>
      <w:r w:rsidR="00C268AA" w:rsidRPr="00CB2E9A">
        <w:rPr>
          <w:rFonts w:ascii="Times New Roman" w:hAnsi="Times New Roman"/>
        </w:rPr>
        <w:t xml:space="preserve">provides that </w:t>
      </w:r>
      <w:r w:rsidR="003139DB" w:rsidRPr="00CB2E9A">
        <w:rPr>
          <w:rFonts w:ascii="Times New Roman" w:hAnsi="Times New Roman"/>
        </w:rPr>
        <w:t>where "7 or more persons have claims against the same person", "</w:t>
      </w:r>
      <w:r w:rsidR="00BD04F3" w:rsidRPr="00CB2E9A">
        <w:rPr>
          <w:rFonts w:ascii="Times New Roman" w:hAnsi="Times New Roman"/>
        </w:rPr>
        <w:t xml:space="preserve">the claims of all those persons are in respect of, or arise out of, the same, similar or related circumstances", and "the claims of all those persons give rise to a substantial common question of law or fact", </w:t>
      </w:r>
      <w:r w:rsidR="00D12926" w:rsidRPr="00CB2E9A">
        <w:rPr>
          <w:rFonts w:ascii="Times New Roman" w:hAnsi="Times New Roman"/>
        </w:rPr>
        <w:t>"proceedings may be commenced by one or more of those persons as representing some or all of them"</w:t>
      </w:r>
      <w:r w:rsidR="00E236AE" w:rsidRPr="00CB2E9A">
        <w:rPr>
          <w:rFonts w:ascii="Times New Roman" w:hAnsi="Times New Roman"/>
        </w:rPr>
        <w:t>.</w:t>
      </w:r>
      <w:r w:rsidR="00F935D7" w:rsidRPr="00CB2E9A">
        <w:rPr>
          <w:rFonts w:ascii="Times New Roman" w:hAnsi="Times New Roman"/>
        </w:rPr>
        <w:t xml:space="preserve"> By s 159(1)</w:t>
      </w:r>
      <w:r w:rsidR="00FE21E8" w:rsidRPr="00CB2E9A">
        <w:rPr>
          <w:rFonts w:ascii="Times New Roman" w:hAnsi="Times New Roman"/>
        </w:rPr>
        <w:t xml:space="preserve"> </w:t>
      </w:r>
      <w:r w:rsidR="00FE21E8" w:rsidRPr="00CB2E9A">
        <w:rPr>
          <w:rFonts w:ascii="Times New Roman" w:hAnsi="Times New Roman"/>
          <w:color w:val="000000"/>
          <w:sz w:val="27"/>
          <w:szCs w:val="27"/>
        </w:rPr>
        <w:t xml:space="preserve">(cf </w:t>
      </w:r>
      <w:r w:rsidR="00800425" w:rsidRPr="00CB2E9A">
        <w:rPr>
          <w:rFonts w:ascii="Times New Roman" w:hAnsi="Times New Roman"/>
          <w:color w:val="000000"/>
          <w:sz w:val="27"/>
          <w:szCs w:val="27"/>
        </w:rPr>
        <w:t>s</w:t>
      </w:r>
      <w:r w:rsidR="00FE21E8" w:rsidRPr="00CB2E9A">
        <w:rPr>
          <w:rFonts w:ascii="Times New Roman" w:hAnsi="Times New Roman"/>
          <w:color w:val="000000"/>
          <w:sz w:val="27"/>
          <w:szCs w:val="27"/>
        </w:rPr>
        <w:t> 33E FCA)</w:t>
      </w:r>
      <w:r w:rsidR="00F935D7" w:rsidRPr="00CB2E9A">
        <w:rPr>
          <w:rFonts w:ascii="Times New Roman" w:hAnsi="Times New Roman"/>
        </w:rPr>
        <w:t xml:space="preserve">, subject to </w:t>
      </w:r>
      <w:r w:rsidR="00741650" w:rsidRPr="00CB2E9A">
        <w:rPr>
          <w:rFonts w:ascii="Times New Roman" w:hAnsi="Times New Roman"/>
        </w:rPr>
        <w:t xml:space="preserve">presently </w:t>
      </w:r>
      <w:r w:rsidR="00861E12" w:rsidRPr="00CB2E9A">
        <w:rPr>
          <w:rFonts w:ascii="Times New Roman" w:hAnsi="Times New Roman"/>
        </w:rPr>
        <w:t xml:space="preserve">irrelevant </w:t>
      </w:r>
      <w:r w:rsidR="00F935D7" w:rsidRPr="00CB2E9A">
        <w:rPr>
          <w:rFonts w:ascii="Times New Roman" w:hAnsi="Times New Roman"/>
        </w:rPr>
        <w:t xml:space="preserve">exceptions in s 159(2), </w:t>
      </w:r>
      <w:r w:rsidR="0000533F" w:rsidRPr="00CB2E9A">
        <w:rPr>
          <w:rFonts w:ascii="Times New Roman" w:hAnsi="Times New Roman"/>
        </w:rPr>
        <w:t>"</w:t>
      </w:r>
      <w:r w:rsidR="00616184" w:rsidRPr="00CB2E9A">
        <w:rPr>
          <w:rFonts w:ascii="Times New Roman" w:hAnsi="Times New Roman"/>
        </w:rPr>
        <w:t>the consent of a person to be a group member is not required</w:t>
      </w:r>
      <w:r w:rsidR="0000533F" w:rsidRPr="00CB2E9A">
        <w:rPr>
          <w:rFonts w:ascii="Times New Roman" w:hAnsi="Times New Roman"/>
        </w:rPr>
        <w:t>"</w:t>
      </w:r>
      <w:r w:rsidR="00616184" w:rsidRPr="00CB2E9A">
        <w:rPr>
          <w:rFonts w:ascii="Times New Roman" w:hAnsi="Times New Roman"/>
        </w:rPr>
        <w:t>.</w:t>
      </w:r>
    </w:p>
    <w:p w14:paraId="5248C842" w14:textId="675F39C9" w:rsidR="00B414AF" w:rsidRPr="00CB2E9A" w:rsidRDefault="00B414AF" w:rsidP="00CB2E9A">
      <w:pPr>
        <w:pStyle w:val="FixListStyle"/>
        <w:spacing w:after="260" w:line="280" w:lineRule="exact"/>
        <w:ind w:right="0"/>
        <w:jc w:val="both"/>
        <w:rPr>
          <w:rFonts w:ascii="Times New Roman" w:hAnsi="Times New Roman"/>
        </w:rPr>
      </w:pPr>
      <w:r w:rsidRPr="00CB2E9A">
        <w:rPr>
          <w:rFonts w:ascii="Times New Roman" w:hAnsi="Times New Roman"/>
        </w:rPr>
        <w:lastRenderedPageBreak/>
        <w:tab/>
        <w:t>By s 173 of the CPA (cf s</w:t>
      </w:r>
      <w:r w:rsidR="0027239A" w:rsidRPr="00CB2E9A">
        <w:rPr>
          <w:rFonts w:ascii="Times New Roman" w:hAnsi="Times New Roman"/>
        </w:rPr>
        <w:t> </w:t>
      </w:r>
      <w:r w:rsidRPr="00CB2E9A">
        <w:rPr>
          <w:rFonts w:ascii="Times New Roman" w:hAnsi="Times New Roman"/>
        </w:rPr>
        <w:t>33V FCA):</w:t>
      </w:r>
    </w:p>
    <w:p w14:paraId="21819E65" w14:textId="618E7851" w:rsidR="005708ED" w:rsidRPr="00CB2E9A" w:rsidRDefault="005708ED" w:rsidP="00CB2E9A">
      <w:pPr>
        <w:pStyle w:val="leftright"/>
        <w:spacing w:before="0" w:after="260" w:line="280" w:lineRule="exact"/>
        <w:ind w:left="1440" w:right="0" w:hanging="720"/>
        <w:jc w:val="both"/>
        <w:rPr>
          <w:rFonts w:ascii="Times New Roman" w:hAnsi="Times New Roman"/>
        </w:rPr>
      </w:pPr>
      <w:r w:rsidRPr="00CB2E9A">
        <w:rPr>
          <w:rFonts w:ascii="Times New Roman" w:hAnsi="Times New Roman"/>
        </w:rPr>
        <w:t>"(1)</w:t>
      </w:r>
      <w:r w:rsidR="009306EF" w:rsidRPr="00CB2E9A">
        <w:rPr>
          <w:rFonts w:ascii="Times New Roman" w:hAnsi="Times New Roman"/>
        </w:rPr>
        <w:tab/>
      </w:r>
      <w:r w:rsidRPr="00CB2E9A">
        <w:rPr>
          <w:rFonts w:ascii="Times New Roman" w:hAnsi="Times New Roman"/>
        </w:rPr>
        <w:t>Representative proceedings may not be settled or discontinued without the approval of the Court.</w:t>
      </w:r>
    </w:p>
    <w:p w14:paraId="49D11CAA" w14:textId="77777777" w:rsidR="00CB2E9A" w:rsidRDefault="005708ED" w:rsidP="00CB2E9A">
      <w:pPr>
        <w:pStyle w:val="leftright"/>
        <w:spacing w:before="0" w:after="260" w:line="280" w:lineRule="exact"/>
        <w:ind w:left="1440" w:right="0" w:hanging="720"/>
        <w:jc w:val="both"/>
        <w:rPr>
          <w:rFonts w:ascii="Times New Roman" w:hAnsi="Times New Roman"/>
        </w:rPr>
      </w:pPr>
      <w:r w:rsidRPr="00CB2E9A">
        <w:rPr>
          <w:rFonts w:ascii="Times New Roman" w:hAnsi="Times New Roman"/>
        </w:rPr>
        <w:t>(2)</w:t>
      </w:r>
      <w:r w:rsidR="009306EF" w:rsidRPr="00CB2E9A">
        <w:rPr>
          <w:rFonts w:ascii="Times New Roman" w:hAnsi="Times New Roman"/>
        </w:rPr>
        <w:tab/>
      </w:r>
      <w:r w:rsidRPr="00CB2E9A">
        <w:rPr>
          <w:rFonts w:ascii="Times New Roman" w:hAnsi="Times New Roman"/>
        </w:rPr>
        <w:t>If the Court gives such approval, it may make such orders as are just with respect to the distribution of any money, including interest, paid under a settlement or paid into the Court."</w:t>
      </w:r>
    </w:p>
    <w:p w14:paraId="4F148876" w14:textId="3E89DC31" w:rsidR="00426A5A" w:rsidRPr="00CB2E9A" w:rsidRDefault="00595BC9" w:rsidP="00CB2E9A">
      <w:pPr>
        <w:pStyle w:val="FixListStyle"/>
        <w:spacing w:after="260" w:line="280" w:lineRule="exact"/>
        <w:ind w:right="0"/>
        <w:jc w:val="both"/>
        <w:rPr>
          <w:rFonts w:ascii="Times New Roman" w:hAnsi="Times New Roman"/>
        </w:rPr>
      </w:pPr>
      <w:r w:rsidRPr="00CB2E9A">
        <w:rPr>
          <w:rFonts w:ascii="Times New Roman" w:hAnsi="Times New Roman"/>
        </w:rPr>
        <w:tab/>
        <w:t>Section</w:t>
      </w:r>
      <w:r w:rsidR="003B4604" w:rsidRPr="00CB2E9A">
        <w:rPr>
          <w:rFonts w:ascii="Times New Roman" w:hAnsi="Times New Roman"/>
        </w:rPr>
        <w:t> </w:t>
      </w:r>
      <w:r w:rsidRPr="00CB2E9A">
        <w:rPr>
          <w:rFonts w:ascii="Times New Roman" w:hAnsi="Times New Roman"/>
        </w:rPr>
        <w:t xml:space="preserve">175 of the CPA </w:t>
      </w:r>
      <w:r w:rsidR="0027239A" w:rsidRPr="00CB2E9A">
        <w:rPr>
          <w:rFonts w:ascii="Times New Roman" w:hAnsi="Times New Roman"/>
        </w:rPr>
        <w:t xml:space="preserve">(cf s 33X FCA) </w:t>
      </w:r>
      <w:r w:rsidRPr="00CB2E9A">
        <w:rPr>
          <w:rFonts w:ascii="Times New Roman" w:hAnsi="Times New Roman"/>
        </w:rPr>
        <w:t>provides that:</w:t>
      </w:r>
    </w:p>
    <w:p w14:paraId="766E7BB8" w14:textId="1C4F594B" w:rsidR="004C3D17" w:rsidRPr="00CB2E9A" w:rsidRDefault="0000674C" w:rsidP="00CB2E9A">
      <w:pPr>
        <w:pStyle w:val="leftright"/>
        <w:spacing w:before="0" w:after="260" w:line="280" w:lineRule="exact"/>
        <w:ind w:left="1440" w:right="0" w:hanging="720"/>
        <w:jc w:val="both"/>
        <w:rPr>
          <w:rFonts w:ascii="Times New Roman" w:hAnsi="Times New Roman"/>
        </w:rPr>
      </w:pPr>
      <w:r w:rsidRPr="00CB2E9A">
        <w:rPr>
          <w:rFonts w:ascii="Times New Roman" w:hAnsi="Times New Roman"/>
        </w:rPr>
        <w:t>"</w:t>
      </w:r>
      <w:r w:rsidR="0049612B" w:rsidRPr="00CB2E9A">
        <w:rPr>
          <w:rFonts w:ascii="Times New Roman" w:hAnsi="Times New Roman"/>
        </w:rPr>
        <w:t>(1)</w:t>
      </w:r>
      <w:r w:rsidRPr="00CB2E9A">
        <w:rPr>
          <w:rFonts w:ascii="Times New Roman" w:hAnsi="Times New Roman"/>
        </w:rPr>
        <w:tab/>
      </w:r>
      <w:r w:rsidR="0049612B" w:rsidRPr="00CB2E9A">
        <w:rPr>
          <w:rFonts w:ascii="Times New Roman" w:hAnsi="Times New Roman"/>
        </w:rPr>
        <w:t>Notice must be given to group members of the following matters in relation to representative proceedings</w:t>
      </w:r>
      <w:r w:rsidR="00B04D2A" w:rsidRPr="00CB2E9A">
        <w:rPr>
          <w:rFonts w:ascii="Times New Roman" w:hAnsi="Times New Roman"/>
        </w:rPr>
        <w:t> </w:t>
      </w:r>
      <w:r w:rsidR="00FA4091" w:rsidRPr="00CB2E9A">
        <w:rPr>
          <w:rFonts w:ascii="Times New Roman" w:hAnsi="Times New Roman"/>
        </w:rPr>
        <w:t>–</w:t>
      </w:r>
      <w:r w:rsidR="00FA4091" w:rsidRPr="00CB2E9A">
        <w:rPr>
          <w:rFonts w:ascii="Times New Roman" w:hAnsi="Times New Roman"/>
        </w:rPr>
        <w:tab/>
      </w:r>
    </w:p>
    <w:p w14:paraId="31F90578" w14:textId="3E678149" w:rsidR="0049612B" w:rsidRPr="00CB2E9A" w:rsidRDefault="00530711" w:rsidP="00CB2E9A">
      <w:pPr>
        <w:pStyle w:val="leftright"/>
        <w:spacing w:before="0" w:after="260" w:line="280" w:lineRule="exact"/>
        <w:ind w:left="2160" w:right="0" w:hanging="1440"/>
        <w:jc w:val="both"/>
        <w:rPr>
          <w:rFonts w:ascii="Times New Roman" w:hAnsi="Times New Roman"/>
        </w:rPr>
      </w:pPr>
      <w:r w:rsidRPr="00CB2E9A">
        <w:rPr>
          <w:rFonts w:ascii="Times New Roman" w:hAnsi="Times New Roman"/>
        </w:rPr>
        <w:tab/>
      </w:r>
      <w:r w:rsidR="0049612B" w:rsidRPr="00CB2E9A">
        <w:rPr>
          <w:rFonts w:ascii="Times New Roman" w:hAnsi="Times New Roman"/>
        </w:rPr>
        <w:t>(a)</w:t>
      </w:r>
      <w:r w:rsidR="0000674C" w:rsidRPr="00CB2E9A">
        <w:rPr>
          <w:rFonts w:ascii="Times New Roman" w:hAnsi="Times New Roman"/>
        </w:rPr>
        <w:tab/>
      </w:r>
      <w:r w:rsidR="0049612B" w:rsidRPr="00CB2E9A">
        <w:rPr>
          <w:rFonts w:ascii="Times New Roman" w:hAnsi="Times New Roman"/>
        </w:rPr>
        <w:t>the commencement of the proceedings and the right of the group members to opt out of the proceedings before a specified date, being the date fixed under section</w:t>
      </w:r>
      <w:r w:rsidR="003B4604" w:rsidRPr="00CB2E9A">
        <w:rPr>
          <w:rFonts w:ascii="Times New Roman" w:hAnsi="Times New Roman"/>
        </w:rPr>
        <w:t> </w:t>
      </w:r>
      <w:r w:rsidR="0049612B" w:rsidRPr="00CB2E9A">
        <w:rPr>
          <w:rFonts w:ascii="Times New Roman" w:hAnsi="Times New Roman"/>
        </w:rPr>
        <w:t>162(1),</w:t>
      </w:r>
    </w:p>
    <w:p w14:paraId="5502F196" w14:textId="685BFC05" w:rsidR="0049612B" w:rsidRPr="00CB2E9A" w:rsidRDefault="00FA4091" w:rsidP="00CB2E9A">
      <w:pPr>
        <w:pStyle w:val="leftright"/>
        <w:tabs>
          <w:tab w:val="clear" w:pos="720"/>
        </w:tabs>
        <w:spacing w:before="0" w:after="260" w:line="280" w:lineRule="exact"/>
        <w:ind w:left="2160" w:right="0" w:hanging="1167"/>
        <w:jc w:val="both"/>
        <w:rPr>
          <w:rFonts w:ascii="Times New Roman" w:hAnsi="Times New Roman"/>
        </w:rPr>
      </w:pPr>
      <w:r w:rsidRPr="00CB2E9A">
        <w:rPr>
          <w:rFonts w:ascii="Times New Roman" w:hAnsi="Times New Roman"/>
        </w:rPr>
        <w:tab/>
      </w:r>
      <w:r w:rsidR="0049612B" w:rsidRPr="00CB2E9A">
        <w:rPr>
          <w:rFonts w:ascii="Times New Roman" w:hAnsi="Times New Roman"/>
        </w:rPr>
        <w:t>(b)</w:t>
      </w:r>
      <w:r w:rsidRPr="00CB2E9A">
        <w:rPr>
          <w:rFonts w:ascii="Times New Roman" w:hAnsi="Times New Roman"/>
        </w:rPr>
        <w:tab/>
      </w:r>
      <w:r w:rsidR="0049612B" w:rsidRPr="00CB2E9A">
        <w:rPr>
          <w:rFonts w:ascii="Times New Roman" w:hAnsi="Times New Roman"/>
        </w:rPr>
        <w:t>an application by the defendant in the proceedings for the dismissal of the proceedings on the ground of want of prosecution,</w:t>
      </w:r>
    </w:p>
    <w:p w14:paraId="7AB275B2" w14:textId="5669B225" w:rsidR="00595BC9" w:rsidRPr="00CB2E9A" w:rsidRDefault="00FA4091" w:rsidP="00CB2E9A">
      <w:pPr>
        <w:pStyle w:val="leftright"/>
        <w:tabs>
          <w:tab w:val="clear" w:pos="720"/>
        </w:tabs>
        <w:spacing w:before="0" w:after="260" w:line="280" w:lineRule="exact"/>
        <w:ind w:left="2160" w:right="0" w:hanging="1167"/>
        <w:jc w:val="both"/>
        <w:rPr>
          <w:rFonts w:ascii="Times New Roman" w:hAnsi="Times New Roman"/>
        </w:rPr>
      </w:pPr>
      <w:r w:rsidRPr="00CB2E9A">
        <w:rPr>
          <w:rFonts w:ascii="Times New Roman" w:hAnsi="Times New Roman"/>
        </w:rPr>
        <w:tab/>
      </w:r>
      <w:r w:rsidR="0049612B" w:rsidRPr="00CB2E9A">
        <w:rPr>
          <w:rFonts w:ascii="Times New Roman" w:hAnsi="Times New Roman"/>
        </w:rPr>
        <w:t>(c)</w:t>
      </w:r>
      <w:r w:rsidRPr="00CB2E9A">
        <w:rPr>
          <w:rFonts w:ascii="Times New Roman" w:hAnsi="Times New Roman"/>
        </w:rPr>
        <w:tab/>
      </w:r>
      <w:r w:rsidR="0049612B" w:rsidRPr="00CB2E9A">
        <w:rPr>
          <w:rFonts w:ascii="Times New Roman" w:hAnsi="Times New Roman"/>
        </w:rPr>
        <w:t>an application by a representative party seeking leave to withdraw under section</w:t>
      </w:r>
      <w:r w:rsidR="00741518" w:rsidRPr="00CB2E9A">
        <w:rPr>
          <w:rFonts w:ascii="Times New Roman" w:hAnsi="Times New Roman"/>
        </w:rPr>
        <w:t> </w:t>
      </w:r>
      <w:r w:rsidR="0049612B" w:rsidRPr="00CB2E9A">
        <w:rPr>
          <w:rFonts w:ascii="Times New Roman" w:hAnsi="Times New Roman"/>
        </w:rPr>
        <w:t>174 as representative party.</w:t>
      </w:r>
    </w:p>
    <w:p w14:paraId="1818E2FD" w14:textId="7BD00378" w:rsidR="0049612B" w:rsidRPr="00CB2E9A" w:rsidRDefault="0049612B" w:rsidP="00CB2E9A">
      <w:pPr>
        <w:pStyle w:val="LeftrightHanging"/>
        <w:spacing w:before="0" w:after="260" w:line="280" w:lineRule="exact"/>
        <w:ind w:right="0"/>
        <w:jc w:val="both"/>
        <w:rPr>
          <w:rFonts w:ascii="Times New Roman" w:hAnsi="Times New Roman"/>
        </w:rPr>
      </w:pPr>
      <w:r w:rsidRPr="00CB2E9A">
        <w:rPr>
          <w:rFonts w:ascii="Times New Roman" w:hAnsi="Times New Roman"/>
        </w:rPr>
        <w:t>...</w:t>
      </w:r>
    </w:p>
    <w:p w14:paraId="7E99FD24" w14:textId="5A565866" w:rsidR="00E05B0E" w:rsidRPr="00CB2E9A" w:rsidRDefault="00E05B0E" w:rsidP="00CB2E9A">
      <w:pPr>
        <w:pStyle w:val="LeftrightHanging"/>
        <w:spacing w:before="0" w:after="260" w:line="280" w:lineRule="exact"/>
        <w:ind w:right="0"/>
        <w:jc w:val="both"/>
        <w:rPr>
          <w:rFonts w:ascii="Times New Roman" w:hAnsi="Times New Roman"/>
        </w:rPr>
      </w:pPr>
      <w:r w:rsidRPr="00CB2E9A">
        <w:rPr>
          <w:rFonts w:ascii="Times New Roman" w:hAnsi="Times New Roman"/>
        </w:rPr>
        <w:t>(4)</w:t>
      </w:r>
      <w:r w:rsidR="00FA4091" w:rsidRPr="00CB2E9A">
        <w:rPr>
          <w:rFonts w:ascii="Times New Roman" w:hAnsi="Times New Roman"/>
        </w:rPr>
        <w:tab/>
      </w:r>
      <w:r w:rsidRPr="00CB2E9A">
        <w:rPr>
          <w:rFonts w:ascii="Times New Roman" w:hAnsi="Times New Roman"/>
        </w:rPr>
        <w:t>Unless the Court is satisfied that it is just to do so, an application for approval of a settlement under section</w:t>
      </w:r>
      <w:r w:rsidR="00F04338" w:rsidRPr="00CB2E9A">
        <w:rPr>
          <w:rFonts w:ascii="Times New Roman" w:hAnsi="Times New Roman"/>
        </w:rPr>
        <w:t> </w:t>
      </w:r>
      <w:r w:rsidRPr="00CB2E9A">
        <w:rPr>
          <w:rFonts w:ascii="Times New Roman" w:hAnsi="Times New Roman"/>
        </w:rPr>
        <w:t>173 must not be determined unless notice has been given to group members.</w:t>
      </w:r>
    </w:p>
    <w:p w14:paraId="030AEDA3" w14:textId="3D8A187F" w:rsidR="00E05B0E" w:rsidRPr="00CB2E9A" w:rsidRDefault="00E05B0E" w:rsidP="00CB2E9A">
      <w:pPr>
        <w:pStyle w:val="LeftrightHanging"/>
        <w:spacing w:before="0" w:after="260" w:line="280" w:lineRule="exact"/>
        <w:ind w:right="0"/>
        <w:jc w:val="both"/>
        <w:rPr>
          <w:rFonts w:ascii="Times New Roman" w:hAnsi="Times New Roman"/>
        </w:rPr>
      </w:pPr>
      <w:r w:rsidRPr="00CB2E9A">
        <w:rPr>
          <w:rFonts w:ascii="Times New Roman" w:hAnsi="Times New Roman"/>
        </w:rPr>
        <w:t>(5)</w:t>
      </w:r>
      <w:r w:rsidR="00FA4091" w:rsidRPr="00CB2E9A">
        <w:rPr>
          <w:rFonts w:ascii="Times New Roman" w:hAnsi="Times New Roman"/>
        </w:rPr>
        <w:tab/>
      </w:r>
      <w:r w:rsidRPr="00CB2E9A">
        <w:rPr>
          <w:rFonts w:ascii="Times New Roman" w:hAnsi="Times New Roman"/>
        </w:rPr>
        <w:t>The Court may, at any stage, order that notice of any matter be given to a group member or group members.</w:t>
      </w:r>
    </w:p>
    <w:p w14:paraId="1F7A6B41" w14:textId="77777777" w:rsidR="00CB2E9A" w:rsidRDefault="00E05B0E" w:rsidP="00CB2E9A">
      <w:pPr>
        <w:pStyle w:val="LeftrightHanging"/>
        <w:spacing w:before="0" w:after="260" w:line="280" w:lineRule="exact"/>
        <w:ind w:right="0"/>
        <w:jc w:val="both"/>
        <w:rPr>
          <w:rFonts w:ascii="Times New Roman" w:hAnsi="Times New Roman"/>
        </w:rPr>
      </w:pPr>
      <w:r w:rsidRPr="00CB2E9A">
        <w:rPr>
          <w:rFonts w:ascii="Times New Roman" w:hAnsi="Times New Roman"/>
        </w:rPr>
        <w:t>(6)</w:t>
      </w:r>
      <w:r w:rsidR="00FA4091" w:rsidRPr="00CB2E9A">
        <w:rPr>
          <w:rFonts w:ascii="Times New Roman" w:hAnsi="Times New Roman"/>
        </w:rPr>
        <w:tab/>
      </w:r>
      <w:r w:rsidRPr="00CB2E9A">
        <w:rPr>
          <w:rFonts w:ascii="Times New Roman" w:hAnsi="Times New Roman"/>
        </w:rPr>
        <w:t>Notice under this section must be given as soon as practicable after the happening of the event to which it relates.</w:t>
      </w:r>
      <w:r w:rsidR="003B7166" w:rsidRPr="00CB2E9A">
        <w:rPr>
          <w:rFonts w:ascii="Times New Roman" w:hAnsi="Times New Roman"/>
        </w:rPr>
        <w:t>"</w:t>
      </w:r>
    </w:p>
    <w:p w14:paraId="3F705BB9" w14:textId="61FF700C" w:rsidR="00E05B0E" w:rsidRPr="00CB2E9A" w:rsidRDefault="00753082" w:rsidP="00CB2E9A">
      <w:pPr>
        <w:pStyle w:val="FixListStyle"/>
        <w:spacing w:after="260" w:line="280" w:lineRule="exact"/>
        <w:ind w:right="0"/>
        <w:jc w:val="both"/>
        <w:rPr>
          <w:rFonts w:ascii="Times New Roman" w:hAnsi="Times New Roman"/>
        </w:rPr>
      </w:pPr>
      <w:r w:rsidRPr="00CB2E9A">
        <w:rPr>
          <w:rFonts w:ascii="Times New Roman" w:hAnsi="Times New Roman"/>
        </w:rPr>
        <w:tab/>
        <w:t xml:space="preserve">By s 176(1) </w:t>
      </w:r>
      <w:r w:rsidR="0027239A" w:rsidRPr="00CB2E9A">
        <w:rPr>
          <w:rFonts w:ascii="Times New Roman" w:hAnsi="Times New Roman"/>
        </w:rPr>
        <w:t xml:space="preserve">of the CPA </w:t>
      </w:r>
      <w:r w:rsidR="00037264" w:rsidRPr="00CB2E9A">
        <w:rPr>
          <w:rFonts w:ascii="Times New Roman" w:hAnsi="Times New Roman"/>
        </w:rPr>
        <w:t>(cf s 33Y FCA)</w:t>
      </w:r>
      <w:r w:rsidR="005B2F4F" w:rsidRPr="00CB2E9A">
        <w:rPr>
          <w:rFonts w:ascii="Times New Roman" w:hAnsi="Times New Roman"/>
        </w:rPr>
        <w:t xml:space="preserve"> </w:t>
      </w:r>
      <w:r w:rsidRPr="00CB2E9A">
        <w:rPr>
          <w:rFonts w:ascii="Times New Roman" w:hAnsi="Times New Roman"/>
        </w:rPr>
        <w:t>the "form and content of a notice under section</w:t>
      </w:r>
      <w:r w:rsidR="00AC4A45" w:rsidRPr="00CB2E9A">
        <w:rPr>
          <w:rFonts w:ascii="Times New Roman" w:hAnsi="Times New Roman"/>
        </w:rPr>
        <w:t> </w:t>
      </w:r>
      <w:r w:rsidRPr="00CB2E9A">
        <w:rPr>
          <w:rFonts w:ascii="Times New Roman" w:hAnsi="Times New Roman"/>
        </w:rPr>
        <w:t>175 must be approved by the Court"</w:t>
      </w:r>
      <w:r w:rsidR="00AC4A45" w:rsidRPr="00CB2E9A">
        <w:rPr>
          <w:rFonts w:ascii="Times New Roman" w:hAnsi="Times New Roman"/>
        </w:rPr>
        <w:t>.</w:t>
      </w:r>
      <w:r w:rsidRPr="00CB2E9A">
        <w:rPr>
          <w:rFonts w:ascii="Times New Roman" w:hAnsi="Times New Roman"/>
        </w:rPr>
        <w:t xml:space="preserve"> By s 176(8) </w:t>
      </w:r>
      <w:r w:rsidR="000A2148" w:rsidRPr="00CB2E9A">
        <w:rPr>
          <w:rFonts w:ascii="Times New Roman" w:hAnsi="Times New Roman"/>
        </w:rPr>
        <w:t>the "failure of a group member to receive or respond to a notice does not affect a step taken, an order made, or a judgment given, in any proceedings"</w:t>
      </w:r>
      <w:r w:rsidR="00456C84" w:rsidRPr="00CB2E9A">
        <w:rPr>
          <w:rFonts w:ascii="Times New Roman" w:hAnsi="Times New Roman"/>
        </w:rPr>
        <w:t>.</w:t>
      </w:r>
    </w:p>
    <w:p w14:paraId="20F19BA9" w14:textId="101B13E5" w:rsidR="000A2148" w:rsidRPr="00CB2E9A" w:rsidRDefault="000A2148" w:rsidP="00846567">
      <w:pPr>
        <w:pStyle w:val="FixListStyle"/>
        <w:keepNext/>
        <w:spacing w:after="260" w:line="280" w:lineRule="exact"/>
        <w:ind w:right="0"/>
        <w:jc w:val="both"/>
        <w:rPr>
          <w:rFonts w:ascii="Times New Roman" w:hAnsi="Times New Roman"/>
        </w:rPr>
      </w:pPr>
      <w:r w:rsidRPr="00CB2E9A">
        <w:rPr>
          <w:rFonts w:ascii="Times New Roman" w:hAnsi="Times New Roman"/>
        </w:rPr>
        <w:lastRenderedPageBreak/>
        <w:tab/>
      </w:r>
      <w:r w:rsidR="00A52C16" w:rsidRPr="00CB2E9A">
        <w:rPr>
          <w:rFonts w:ascii="Times New Roman" w:hAnsi="Times New Roman"/>
        </w:rPr>
        <w:t>Section</w:t>
      </w:r>
      <w:r w:rsidR="00E7626F" w:rsidRPr="00CB2E9A">
        <w:rPr>
          <w:rFonts w:ascii="Times New Roman" w:hAnsi="Times New Roman"/>
        </w:rPr>
        <w:t> </w:t>
      </w:r>
      <w:r w:rsidR="00A52C16" w:rsidRPr="00CB2E9A">
        <w:rPr>
          <w:rFonts w:ascii="Times New Roman" w:hAnsi="Times New Roman"/>
        </w:rPr>
        <w:t xml:space="preserve">177 </w:t>
      </w:r>
      <w:r w:rsidR="00A42DFD" w:rsidRPr="00CB2E9A">
        <w:rPr>
          <w:rFonts w:ascii="Times New Roman" w:hAnsi="Times New Roman"/>
        </w:rPr>
        <w:t>of the CPA (cf s</w:t>
      </w:r>
      <w:r w:rsidR="00F87FFE" w:rsidRPr="00CB2E9A">
        <w:rPr>
          <w:rFonts w:ascii="Times New Roman" w:hAnsi="Times New Roman"/>
        </w:rPr>
        <w:t> </w:t>
      </w:r>
      <w:r w:rsidR="00A42DFD" w:rsidRPr="00CB2E9A">
        <w:rPr>
          <w:rFonts w:ascii="Times New Roman" w:hAnsi="Times New Roman"/>
        </w:rPr>
        <w:t>33Z FCA) provides that:</w:t>
      </w:r>
    </w:p>
    <w:p w14:paraId="4D1C4373" w14:textId="489AEF72" w:rsidR="00A42DFD" w:rsidRPr="00CB2E9A" w:rsidRDefault="00A42DFD" w:rsidP="00846567">
      <w:pPr>
        <w:pStyle w:val="leftright"/>
        <w:keepNext/>
        <w:spacing w:before="0" w:after="260" w:line="280" w:lineRule="exact"/>
        <w:ind w:left="1440" w:right="0" w:hanging="720"/>
        <w:jc w:val="both"/>
        <w:rPr>
          <w:rFonts w:ascii="Times New Roman" w:hAnsi="Times New Roman"/>
        </w:rPr>
      </w:pPr>
      <w:r w:rsidRPr="00CB2E9A">
        <w:rPr>
          <w:rFonts w:ascii="Times New Roman" w:hAnsi="Times New Roman"/>
        </w:rPr>
        <w:t>"(1)</w:t>
      </w:r>
      <w:r w:rsidR="00E7626F" w:rsidRPr="00CB2E9A">
        <w:rPr>
          <w:rFonts w:ascii="Times New Roman" w:hAnsi="Times New Roman"/>
        </w:rPr>
        <w:tab/>
      </w:r>
      <w:r w:rsidRPr="00CB2E9A">
        <w:rPr>
          <w:rFonts w:ascii="Times New Roman" w:hAnsi="Times New Roman"/>
        </w:rPr>
        <w:t>The Court may, in determining a matter in representative proceedings, do any one or more of the following</w:t>
      </w:r>
      <w:r w:rsidR="00AE0C55" w:rsidRPr="00CB2E9A">
        <w:rPr>
          <w:rFonts w:ascii="Times New Roman" w:hAnsi="Times New Roman"/>
        </w:rPr>
        <w:t> </w:t>
      </w:r>
      <w:r w:rsidR="00AF4042" w:rsidRPr="00CB2E9A">
        <w:rPr>
          <w:rFonts w:ascii="Times New Roman" w:hAnsi="Times New Roman"/>
        </w:rPr>
        <w:t>–</w:t>
      </w:r>
    </w:p>
    <w:p w14:paraId="2A56BD0D" w14:textId="3E95E2C1" w:rsidR="00A42DFD" w:rsidRPr="00CB2E9A" w:rsidRDefault="00AF4042" w:rsidP="00CB2E9A">
      <w:pPr>
        <w:pStyle w:val="leftright"/>
        <w:spacing w:before="0" w:after="260" w:line="280" w:lineRule="exact"/>
        <w:ind w:right="0"/>
        <w:jc w:val="both"/>
        <w:rPr>
          <w:rFonts w:ascii="Times New Roman" w:hAnsi="Times New Roman"/>
        </w:rPr>
      </w:pPr>
      <w:r w:rsidRPr="00CB2E9A">
        <w:rPr>
          <w:rFonts w:ascii="Times New Roman" w:hAnsi="Times New Roman"/>
        </w:rPr>
        <w:tab/>
      </w:r>
      <w:r w:rsidR="00A42DFD" w:rsidRPr="00CB2E9A">
        <w:rPr>
          <w:rFonts w:ascii="Times New Roman" w:hAnsi="Times New Roman"/>
        </w:rPr>
        <w:t>...</w:t>
      </w:r>
    </w:p>
    <w:p w14:paraId="7C425568" w14:textId="79FD6FE4" w:rsidR="00DD5C30" w:rsidRPr="00CB2E9A" w:rsidRDefault="00AF4042" w:rsidP="00CB2E9A">
      <w:pPr>
        <w:pStyle w:val="leftright"/>
        <w:tabs>
          <w:tab w:val="clear" w:pos="720"/>
        </w:tabs>
        <w:spacing w:before="0" w:after="260" w:line="280" w:lineRule="exact"/>
        <w:ind w:left="2160" w:right="0" w:hanging="1167"/>
        <w:jc w:val="both"/>
        <w:rPr>
          <w:rFonts w:ascii="Times New Roman" w:hAnsi="Times New Roman"/>
        </w:rPr>
      </w:pPr>
      <w:r w:rsidRPr="00CB2E9A">
        <w:rPr>
          <w:rFonts w:ascii="Times New Roman" w:hAnsi="Times New Roman"/>
        </w:rPr>
        <w:tab/>
      </w:r>
      <w:r w:rsidR="00DD5C30" w:rsidRPr="00CB2E9A">
        <w:rPr>
          <w:rFonts w:ascii="Times New Roman" w:hAnsi="Times New Roman"/>
        </w:rPr>
        <w:t>(e)</w:t>
      </w:r>
      <w:r w:rsidR="000C17FC" w:rsidRPr="00CB2E9A">
        <w:rPr>
          <w:rFonts w:ascii="Times New Roman" w:hAnsi="Times New Roman"/>
        </w:rPr>
        <w:tab/>
      </w:r>
      <w:r w:rsidR="00DD5C30" w:rsidRPr="00CB2E9A">
        <w:rPr>
          <w:rFonts w:ascii="Times New Roman" w:hAnsi="Times New Roman"/>
        </w:rPr>
        <w:t>make an award of damages for group members, sub-group members or individual group members, being damages consisting of specified amounts or amounts worked out in such manner as the Court specifies,</w:t>
      </w:r>
    </w:p>
    <w:p w14:paraId="24BF67C9" w14:textId="0ABA7F4F" w:rsidR="00DD5C30" w:rsidRPr="00CB2E9A" w:rsidRDefault="000C17FC" w:rsidP="00CB2E9A">
      <w:pPr>
        <w:pStyle w:val="leftright"/>
        <w:tabs>
          <w:tab w:val="clear" w:pos="720"/>
        </w:tabs>
        <w:spacing w:before="0" w:after="260" w:line="280" w:lineRule="exact"/>
        <w:ind w:left="2160" w:right="0" w:hanging="1167"/>
        <w:jc w:val="both"/>
        <w:rPr>
          <w:rFonts w:ascii="Times New Roman" w:hAnsi="Times New Roman"/>
        </w:rPr>
      </w:pPr>
      <w:r w:rsidRPr="00CB2E9A">
        <w:rPr>
          <w:rFonts w:ascii="Times New Roman" w:hAnsi="Times New Roman"/>
        </w:rPr>
        <w:tab/>
      </w:r>
      <w:r w:rsidR="00DD5C30" w:rsidRPr="00CB2E9A">
        <w:rPr>
          <w:rFonts w:ascii="Times New Roman" w:hAnsi="Times New Roman"/>
        </w:rPr>
        <w:t>(f)</w:t>
      </w:r>
      <w:r w:rsidRPr="00CB2E9A">
        <w:rPr>
          <w:rFonts w:ascii="Times New Roman" w:hAnsi="Times New Roman"/>
        </w:rPr>
        <w:tab/>
      </w:r>
      <w:r w:rsidR="00DD5C30" w:rsidRPr="00CB2E9A">
        <w:rPr>
          <w:rFonts w:ascii="Times New Roman" w:hAnsi="Times New Roman"/>
        </w:rPr>
        <w:t>award damages in an aggregate amount without specifying amounts awarded in respect of individual group members.</w:t>
      </w:r>
    </w:p>
    <w:p w14:paraId="57919E48" w14:textId="2FB2A862" w:rsidR="00DD5C30" w:rsidRPr="00CB2E9A" w:rsidRDefault="00DD5C30" w:rsidP="00CB2E9A">
      <w:pPr>
        <w:pStyle w:val="leftright"/>
        <w:spacing w:before="0" w:after="260" w:line="280" w:lineRule="exact"/>
        <w:ind w:left="1440" w:right="0" w:hanging="720"/>
        <w:jc w:val="both"/>
        <w:rPr>
          <w:rFonts w:ascii="Times New Roman" w:hAnsi="Times New Roman"/>
        </w:rPr>
      </w:pPr>
      <w:r w:rsidRPr="00CB2E9A">
        <w:rPr>
          <w:rFonts w:ascii="Times New Roman" w:hAnsi="Times New Roman"/>
        </w:rPr>
        <w:t>(2)</w:t>
      </w:r>
      <w:r w:rsidR="00AB1912" w:rsidRPr="00CB2E9A">
        <w:rPr>
          <w:rFonts w:ascii="Times New Roman" w:hAnsi="Times New Roman"/>
        </w:rPr>
        <w:tab/>
      </w:r>
      <w:r w:rsidRPr="00CB2E9A">
        <w:rPr>
          <w:rFonts w:ascii="Times New Roman" w:hAnsi="Times New Roman"/>
        </w:rPr>
        <w:t>In making an order for an award of damages, the Court must make provision for the payment or distribution of the money to the group members entitled.</w:t>
      </w:r>
    </w:p>
    <w:p w14:paraId="7F2F0E4B" w14:textId="40CDD3B1" w:rsidR="00DD5C30" w:rsidRPr="00CB2E9A" w:rsidRDefault="00DD5C30" w:rsidP="00CB2E9A">
      <w:pPr>
        <w:pStyle w:val="leftright"/>
        <w:spacing w:before="0" w:after="260" w:line="280" w:lineRule="exact"/>
        <w:ind w:left="1440" w:right="0" w:hanging="720"/>
        <w:jc w:val="both"/>
        <w:rPr>
          <w:rFonts w:ascii="Times New Roman" w:hAnsi="Times New Roman"/>
        </w:rPr>
      </w:pPr>
      <w:r w:rsidRPr="00CB2E9A">
        <w:rPr>
          <w:rFonts w:ascii="Times New Roman" w:hAnsi="Times New Roman"/>
        </w:rPr>
        <w:t>(3)</w:t>
      </w:r>
      <w:r w:rsidR="00AB1912" w:rsidRPr="00CB2E9A">
        <w:rPr>
          <w:rFonts w:ascii="Times New Roman" w:hAnsi="Times New Roman"/>
        </w:rPr>
        <w:tab/>
      </w:r>
      <w:r w:rsidRPr="00CB2E9A">
        <w:rPr>
          <w:rFonts w:ascii="Times New Roman" w:hAnsi="Times New Roman"/>
        </w:rPr>
        <w:t>Subject to section</w:t>
      </w:r>
      <w:r w:rsidR="00AA5DBC" w:rsidRPr="00CB2E9A">
        <w:rPr>
          <w:rFonts w:ascii="Times New Roman" w:hAnsi="Times New Roman"/>
        </w:rPr>
        <w:t> </w:t>
      </w:r>
      <w:r w:rsidRPr="00CB2E9A">
        <w:rPr>
          <w:rFonts w:ascii="Times New Roman" w:hAnsi="Times New Roman"/>
        </w:rPr>
        <w:t>173, the Court is not to make an award of damages under subsection</w:t>
      </w:r>
      <w:r w:rsidR="00811308" w:rsidRPr="00CB2E9A">
        <w:rPr>
          <w:rFonts w:ascii="Times New Roman" w:hAnsi="Times New Roman"/>
        </w:rPr>
        <w:t> </w:t>
      </w:r>
      <w:r w:rsidRPr="00CB2E9A">
        <w:rPr>
          <w:rFonts w:ascii="Times New Roman" w:hAnsi="Times New Roman"/>
        </w:rPr>
        <w:t>(1)(f) unless a reasonably accurate assessment can be made of the total amount to which group members will be entitled under the judgment.</w:t>
      </w:r>
    </w:p>
    <w:p w14:paraId="42C76045" w14:textId="333C16E4" w:rsidR="00AB1912" w:rsidRPr="00CB2E9A" w:rsidRDefault="00DD5C30" w:rsidP="00CB2E9A">
      <w:pPr>
        <w:pStyle w:val="leftright"/>
        <w:spacing w:before="0" w:after="260" w:line="280" w:lineRule="exact"/>
        <w:ind w:left="1440" w:right="0" w:hanging="720"/>
        <w:jc w:val="both"/>
        <w:rPr>
          <w:rFonts w:ascii="Times New Roman" w:hAnsi="Times New Roman"/>
        </w:rPr>
      </w:pPr>
      <w:r w:rsidRPr="00CB2E9A">
        <w:rPr>
          <w:rFonts w:ascii="Times New Roman" w:hAnsi="Times New Roman"/>
        </w:rPr>
        <w:t>(4)</w:t>
      </w:r>
      <w:r w:rsidR="00AB1912" w:rsidRPr="00CB2E9A">
        <w:rPr>
          <w:rFonts w:ascii="Times New Roman" w:hAnsi="Times New Roman"/>
        </w:rPr>
        <w:tab/>
      </w:r>
      <w:r w:rsidRPr="00CB2E9A">
        <w:rPr>
          <w:rFonts w:ascii="Times New Roman" w:hAnsi="Times New Roman"/>
        </w:rPr>
        <w:t>If the Court has made an award of damages, the Court may give such directions (if any) as it thinks just in relation to</w:t>
      </w:r>
      <w:r w:rsidR="00AE0C55" w:rsidRPr="00CB2E9A">
        <w:rPr>
          <w:rFonts w:ascii="Times New Roman" w:hAnsi="Times New Roman"/>
        </w:rPr>
        <w:t> </w:t>
      </w:r>
      <w:r w:rsidR="00AB1912" w:rsidRPr="00CB2E9A">
        <w:rPr>
          <w:rFonts w:ascii="Times New Roman" w:hAnsi="Times New Roman"/>
        </w:rPr>
        <w:t>–</w:t>
      </w:r>
    </w:p>
    <w:p w14:paraId="3B526E1C" w14:textId="415FF398" w:rsidR="00DD5C30" w:rsidRPr="00CB2E9A" w:rsidRDefault="00AB1912" w:rsidP="00CB2E9A">
      <w:pPr>
        <w:pStyle w:val="leftright"/>
        <w:spacing w:before="0" w:after="260" w:line="280" w:lineRule="exact"/>
        <w:ind w:left="2160" w:right="0" w:hanging="1440"/>
        <w:jc w:val="both"/>
        <w:rPr>
          <w:rFonts w:ascii="Times New Roman" w:hAnsi="Times New Roman"/>
        </w:rPr>
      </w:pPr>
      <w:r w:rsidRPr="00CB2E9A">
        <w:rPr>
          <w:rFonts w:ascii="Times New Roman" w:hAnsi="Times New Roman"/>
        </w:rPr>
        <w:tab/>
      </w:r>
      <w:r w:rsidR="00DD5C30" w:rsidRPr="00CB2E9A">
        <w:rPr>
          <w:rFonts w:ascii="Times New Roman" w:hAnsi="Times New Roman"/>
        </w:rPr>
        <w:t>(a)</w:t>
      </w:r>
      <w:r w:rsidRPr="00CB2E9A">
        <w:rPr>
          <w:rFonts w:ascii="Times New Roman" w:hAnsi="Times New Roman"/>
        </w:rPr>
        <w:tab/>
      </w:r>
      <w:r w:rsidR="00DD5C30" w:rsidRPr="00CB2E9A">
        <w:rPr>
          <w:rFonts w:ascii="Times New Roman" w:hAnsi="Times New Roman"/>
        </w:rPr>
        <w:t>the manner in which a group member is to establish the member</w:t>
      </w:r>
      <w:r w:rsidR="00AE0C55" w:rsidRPr="00CB2E9A">
        <w:rPr>
          <w:rFonts w:ascii="Times New Roman" w:hAnsi="Times New Roman"/>
        </w:rPr>
        <w:t>'</w:t>
      </w:r>
      <w:r w:rsidR="00DD5C30" w:rsidRPr="00CB2E9A">
        <w:rPr>
          <w:rFonts w:ascii="Times New Roman" w:hAnsi="Times New Roman"/>
        </w:rPr>
        <w:t>s entitlement to share in the damages, and</w:t>
      </w:r>
    </w:p>
    <w:p w14:paraId="2B14CEB4" w14:textId="77777777" w:rsidR="00CB2E9A" w:rsidRDefault="00AB1912" w:rsidP="00CB2E9A">
      <w:pPr>
        <w:pStyle w:val="leftright"/>
        <w:tabs>
          <w:tab w:val="clear" w:pos="720"/>
        </w:tabs>
        <w:spacing w:before="0" w:after="260" w:line="280" w:lineRule="exact"/>
        <w:ind w:left="2160" w:right="0" w:hanging="1167"/>
        <w:jc w:val="both"/>
        <w:rPr>
          <w:rFonts w:ascii="Times New Roman" w:hAnsi="Times New Roman"/>
        </w:rPr>
      </w:pPr>
      <w:r w:rsidRPr="00CB2E9A">
        <w:rPr>
          <w:rFonts w:ascii="Times New Roman" w:hAnsi="Times New Roman"/>
        </w:rPr>
        <w:tab/>
      </w:r>
      <w:r w:rsidR="00DD5C30" w:rsidRPr="00CB2E9A">
        <w:rPr>
          <w:rFonts w:ascii="Times New Roman" w:hAnsi="Times New Roman"/>
        </w:rPr>
        <w:t>(b)</w:t>
      </w:r>
      <w:r w:rsidR="00F84A16" w:rsidRPr="00CB2E9A">
        <w:rPr>
          <w:rFonts w:ascii="Times New Roman" w:hAnsi="Times New Roman"/>
        </w:rPr>
        <w:tab/>
      </w:r>
      <w:r w:rsidR="00DD5C30" w:rsidRPr="00CB2E9A">
        <w:rPr>
          <w:rFonts w:ascii="Times New Roman" w:hAnsi="Times New Roman"/>
        </w:rPr>
        <w:t>the manner in which any dispute regarding the entitlement of a group member to share in the damages is to be determined.</w:t>
      </w:r>
      <w:r w:rsidR="005609D0" w:rsidRPr="00CB2E9A">
        <w:rPr>
          <w:rFonts w:ascii="Times New Roman" w:hAnsi="Times New Roman"/>
        </w:rPr>
        <w:t>"</w:t>
      </w:r>
    </w:p>
    <w:p w14:paraId="38D284BC" w14:textId="5AD4A6EE" w:rsidR="00404F27" w:rsidRPr="00CB2E9A" w:rsidRDefault="00404F27"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BF36C1" w:rsidRPr="00CB2E9A">
        <w:rPr>
          <w:rFonts w:ascii="Times New Roman" w:hAnsi="Times New Roman"/>
        </w:rPr>
        <w:t>Section</w:t>
      </w:r>
      <w:r w:rsidR="00811308" w:rsidRPr="00CB2E9A">
        <w:rPr>
          <w:rFonts w:ascii="Times New Roman" w:hAnsi="Times New Roman"/>
        </w:rPr>
        <w:t> </w:t>
      </w:r>
      <w:r w:rsidR="00BF36C1" w:rsidRPr="00CB2E9A">
        <w:rPr>
          <w:rFonts w:ascii="Times New Roman" w:hAnsi="Times New Roman"/>
        </w:rPr>
        <w:t>178 of the CPA (cf s</w:t>
      </w:r>
      <w:r w:rsidR="00F87FFE" w:rsidRPr="00CB2E9A">
        <w:rPr>
          <w:rFonts w:ascii="Times New Roman" w:hAnsi="Times New Roman"/>
        </w:rPr>
        <w:t> </w:t>
      </w:r>
      <w:r w:rsidR="00BF36C1" w:rsidRPr="00CB2E9A">
        <w:rPr>
          <w:rFonts w:ascii="Times New Roman" w:hAnsi="Times New Roman"/>
        </w:rPr>
        <w:t xml:space="preserve">33ZA FCA) enables the </w:t>
      </w:r>
      <w:r w:rsidR="001E6BB2" w:rsidRPr="00CB2E9A">
        <w:rPr>
          <w:rFonts w:ascii="Times New Roman" w:hAnsi="Times New Roman"/>
        </w:rPr>
        <w:t>Court,</w:t>
      </w:r>
      <w:r w:rsidR="00BF36C1" w:rsidRPr="00CB2E9A">
        <w:rPr>
          <w:rFonts w:ascii="Times New Roman" w:hAnsi="Times New Roman"/>
        </w:rPr>
        <w:t xml:space="preserve"> </w:t>
      </w:r>
      <w:r w:rsidR="00F61CB3" w:rsidRPr="00CB2E9A">
        <w:rPr>
          <w:rFonts w:ascii="Times New Roman" w:hAnsi="Times New Roman"/>
        </w:rPr>
        <w:t>"</w:t>
      </w:r>
      <w:r w:rsidR="001E6BB2" w:rsidRPr="00CB2E9A">
        <w:rPr>
          <w:rFonts w:ascii="Times New Roman" w:hAnsi="Times New Roman"/>
        </w:rPr>
        <w:t>in making provision for the distribution of money to group members</w:t>
      </w:r>
      <w:r w:rsidR="00F61CB3" w:rsidRPr="00CB2E9A">
        <w:rPr>
          <w:rFonts w:ascii="Times New Roman" w:hAnsi="Times New Roman"/>
        </w:rPr>
        <w:t>"</w:t>
      </w:r>
      <w:r w:rsidR="001E6BB2" w:rsidRPr="00CB2E9A">
        <w:rPr>
          <w:rFonts w:ascii="Times New Roman" w:hAnsi="Times New Roman"/>
        </w:rPr>
        <w:t xml:space="preserve">, </w:t>
      </w:r>
      <w:r w:rsidR="004A35E7" w:rsidRPr="00CB2E9A">
        <w:rPr>
          <w:rFonts w:ascii="Times New Roman" w:hAnsi="Times New Roman"/>
        </w:rPr>
        <w:t xml:space="preserve">to </w:t>
      </w:r>
      <w:r w:rsidR="001E6BB2" w:rsidRPr="00CB2E9A">
        <w:rPr>
          <w:rFonts w:ascii="Times New Roman" w:hAnsi="Times New Roman"/>
        </w:rPr>
        <w:t xml:space="preserve">provide for </w:t>
      </w:r>
      <w:r w:rsidR="002F1CF2" w:rsidRPr="00CB2E9A">
        <w:rPr>
          <w:rFonts w:ascii="Times New Roman" w:hAnsi="Times New Roman"/>
        </w:rPr>
        <w:t>"</w:t>
      </w:r>
      <w:r w:rsidR="00502D95" w:rsidRPr="00CB2E9A">
        <w:rPr>
          <w:rFonts w:ascii="Times New Roman" w:hAnsi="Times New Roman"/>
        </w:rPr>
        <w:t>the constitution and administration of a fund consisting of the money to be distributed</w:t>
      </w:r>
      <w:r w:rsidR="002F1CF2" w:rsidRPr="00CB2E9A">
        <w:rPr>
          <w:rFonts w:ascii="Times New Roman" w:hAnsi="Times New Roman"/>
        </w:rPr>
        <w:t>"</w:t>
      </w:r>
      <w:r w:rsidR="00502D95" w:rsidRPr="00CB2E9A">
        <w:rPr>
          <w:rFonts w:ascii="Times New Roman" w:hAnsi="Times New Roman"/>
        </w:rPr>
        <w:t>.</w:t>
      </w:r>
    </w:p>
    <w:p w14:paraId="57F0A4E4" w14:textId="4C94C9AF" w:rsidR="00F40328" w:rsidRPr="00CB2E9A" w:rsidRDefault="00502D95"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A94B73" w:rsidRPr="00CB2E9A">
        <w:rPr>
          <w:rFonts w:ascii="Times New Roman" w:hAnsi="Times New Roman"/>
        </w:rPr>
        <w:t>By s 179 of the CPA (cf s</w:t>
      </w:r>
      <w:r w:rsidR="00F87FFE" w:rsidRPr="00CB2E9A">
        <w:rPr>
          <w:rFonts w:ascii="Times New Roman" w:hAnsi="Times New Roman"/>
        </w:rPr>
        <w:t> </w:t>
      </w:r>
      <w:r w:rsidR="00A94B73" w:rsidRPr="00CB2E9A">
        <w:rPr>
          <w:rFonts w:ascii="Times New Roman" w:hAnsi="Times New Roman"/>
        </w:rPr>
        <w:t>33ZB FCA) a judgment given in representative proceedings: (a) </w:t>
      </w:r>
      <w:r w:rsidR="00E03190" w:rsidRPr="00CB2E9A">
        <w:rPr>
          <w:rFonts w:ascii="Times New Roman" w:hAnsi="Times New Roman"/>
        </w:rPr>
        <w:t>"</w:t>
      </w:r>
      <w:r w:rsidR="00E814DE" w:rsidRPr="00CB2E9A">
        <w:rPr>
          <w:rFonts w:ascii="Times New Roman" w:hAnsi="Times New Roman"/>
        </w:rPr>
        <w:t>must describe or otherwise identify the group members who will be affected by it</w:t>
      </w:r>
      <w:r w:rsidR="00E03190" w:rsidRPr="00CB2E9A">
        <w:rPr>
          <w:rFonts w:ascii="Times New Roman" w:hAnsi="Times New Roman"/>
        </w:rPr>
        <w:t>"</w:t>
      </w:r>
      <w:r w:rsidR="00E814DE" w:rsidRPr="00CB2E9A">
        <w:rPr>
          <w:rFonts w:ascii="Times New Roman" w:hAnsi="Times New Roman"/>
        </w:rPr>
        <w:t>; and (b) </w:t>
      </w:r>
      <w:r w:rsidR="00005DAA" w:rsidRPr="00CB2E9A">
        <w:rPr>
          <w:rFonts w:ascii="Times New Roman" w:hAnsi="Times New Roman"/>
        </w:rPr>
        <w:t>"</w:t>
      </w:r>
      <w:r w:rsidR="00E814DE" w:rsidRPr="00CB2E9A">
        <w:rPr>
          <w:rFonts w:ascii="Times New Roman" w:hAnsi="Times New Roman"/>
        </w:rPr>
        <w:t>binds all such persons other than any person who has opted out of the proceedings under section</w:t>
      </w:r>
      <w:r w:rsidR="00005DAA" w:rsidRPr="00CB2E9A">
        <w:rPr>
          <w:rFonts w:ascii="Times New Roman" w:hAnsi="Times New Roman"/>
        </w:rPr>
        <w:t> </w:t>
      </w:r>
      <w:r w:rsidR="00E814DE" w:rsidRPr="00CB2E9A">
        <w:rPr>
          <w:rFonts w:ascii="Times New Roman" w:hAnsi="Times New Roman"/>
        </w:rPr>
        <w:t>162</w:t>
      </w:r>
      <w:r w:rsidR="00005DAA" w:rsidRPr="00CB2E9A">
        <w:rPr>
          <w:rFonts w:ascii="Times New Roman" w:hAnsi="Times New Roman"/>
        </w:rPr>
        <w:t>"</w:t>
      </w:r>
      <w:r w:rsidR="00E814DE" w:rsidRPr="00CB2E9A">
        <w:rPr>
          <w:rFonts w:ascii="Times New Roman" w:hAnsi="Times New Roman"/>
        </w:rPr>
        <w:t>.</w:t>
      </w:r>
    </w:p>
    <w:p w14:paraId="6EC66FE8" w14:textId="3E6A73A1" w:rsidR="002D4489" w:rsidRPr="00CB2E9A" w:rsidRDefault="002D4489" w:rsidP="00CB2E9A">
      <w:pPr>
        <w:pStyle w:val="FixListStyle"/>
        <w:spacing w:after="260" w:line="280" w:lineRule="exact"/>
        <w:ind w:right="0"/>
        <w:jc w:val="both"/>
        <w:rPr>
          <w:rFonts w:ascii="Times New Roman" w:hAnsi="Times New Roman"/>
        </w:rPr>
      </w:pPr>
      <w:r w:rsidRPr="00CB2E9A">
        <w:rPr>
          <w:rFonts w:ascii="Times New Roman" w:hAnsi="Times New Roman"/>
        </w:rPr>
        <w:tab/>
        <w:t>Section 183 of the CPA (cf s</w:t>
      </w:r>
      <w:r w:rsidR="00F87FFE" w:rsidRPr="00CB2E9A">
        <w:rPr>
          <w:rFonts w:ascii="Times New Roman" w:hAnsi="Times New Roman"/>
        </w:rPr>
        <w:t> </w:t>
      </w:r>
      <w:r w:rsidRPr="00CB2E9A">
        <w:rPr>
          <w:rFonts w:ascii="Times New Roman" w:hAnsi="Times New Roman"/>
        </w:rPr>
        <w:t>33ZF FCA) provides that "</w:t>
      </w:r>
      <w:r w:rsidR="00EB50BD" w:rsidRPr="00CB2E9A">
        <w:rPr>
          <w:rFonts w:ascii="Times New Roman" w:hAnsi="Times New Roman"/>
        </w:rPr>
        <w:t>[i]</w:t>
      </w:r>
      <w:r w:rsidR="00441FC5" w:rsidRPr="00CB2E9A">
        <w:rPr>
          <w:rFonts w:ascii="Times New Roman" w:hAnsi="Times New Roman"/>
        </w:rPr>
        <w:t xml:space="preserve">n any proceedings (including an appeal) conducted under this Part, the Court may, of its </w:t>
      </w:r>
      <w:r w:rsidR="00441FC5" w:rsidRPr="00CB2E9A">
        <w:rPr>
          <w:rFonts w:ascii="Times New Roman" w:hAnsi="Times New Roman"/>
        </w:rPr>
        <w:lastRenderedPageBreak/>
        <w:t>own motion or on application by a party or a group member, make any order that the Court thinks appropriate or necessary to ensure that justice is done in the proceedings"</w:t>
      </w:r>
      <w:r w:rsidR="00954B95" w:rsidRPr="00CB2E9A">
        <w:rPr>
          <w:rFonts w:ascii="Times New Roman" w:hAnsi="Times New Roman"/>
        </w:rPr>
        <w:t>.</w:t>
      </w:r>
    </w:p>
    <w:p w14:paraId="0FD47669" w14:textId="29B5344C" w:rsidR="00441FC5" w:rsidRPr="00CB2E9A" w:rsidRDefault="003F621A" w:rsidP="00CB2E9A">
      <w:pPr>
        <w:pStyle w:val="HeadingL1"/>
        <w:spacing w:after="260" w:line="280" w:lineRule="exact"/>
        <w:ind w:right="0"/>
        <w:jc w:val="both"/>
        <w:rPr>
          <w:rFonts w:ascii="Times New Roman" w:hAnsi="Times New Roman"/>
        </w:rPr>
      </w:pPr>
      <w:r w:rsidRPr="00CB2E9A">
        <w:rPr>
          <w:rFonts w:ascii="Times New Roman" w:hAnsi="Times New Roman"/>
        </w:rPr>
        <w:t xml:space="preserve">The </w:t>
      </w:r>
      <w:r w:rsidR="002607A7" w:rsidRPr="00CB2E9A">
        <w:rPr>
          <w:rFonts w:ascii="Times New Roman" w:hAnsi="Times New Roman"/>
        </w:rPr>
        <w:t>legal and practical context of the separate question</w:t>
      </w:r>
    </w:p>
    <w:p w14:paraId="2E958881" w14:textId="381F1C22" w:rsidR="00E35232" w:rsidRPr="00CB2E9A" w:rsidRDefault="003F621A" w:rsidP="00CB2E9A">
      <w:pPr>
        <w:pStyle w:val="FixListStyle"/>
        <w:spacing w:after="260" w:line="280" w:lineRule="exact"/>
        <w:ind w:right="0"/>
        <w:jc w:val="both"/>
        <w:rPr>
          <w:rFonts w:ascii="Times New Roman" w:hAnsi="Times New Roman"/>
        </w:rPr>
      </w:pPr>
      <w:r w:rsidRPr="00CB2E9A">
        <w:rPr>
          <w:rFonts w:ascii="Times New Roman" w:hAnsi="Times New Roman"/>
        </w:rPr>
        <w:tab/>
        <w:t xml:space="preserve">The principal judgments in the Court of Appeal, those of Bell CJ </w:t>
      </w:r>
      <w:r w:rsidR="00D27F27" w:rsidRPr="00CB2E9A">
        <w:rPr>
          <w:rFonts w:ascii="Times New Roman" w:hAnsi="Times New Roman"/>
        </w:rPr>
        <w:t xml:space="preserve">(with whom Gleeson and Stern JJA agreed) </w:t>
      </w:r>
      <w:r w:rsidRPr="00CB2E9A">
        <w:rPr>
          <w:rFonts w:ascii="Times New Roman" w:hAnsi="Times New Roman"/>
        </w:rPr>
        <w:t>and Leeming JA</w:t>
      </w:r>
      <w:r w:rsidR="00F93495" w:rsidRPr="00CB2E9A">
        <w:rPr>
          <w:rFonts w:ascii="Times New Roman" w:hAnsi="Times New Roman"/>
        </w:rPr>
        <w:t xml:space="preserve"> (who also agreed with Bell CJ</w:t>
      </w:r>
      <w:r w:rsidR="007E0B76" w:rsidRPr="00CB2E9A">
        <w:rPr>
          <w:rFonts w:ascii="Times New Roman" w:hAnsi="Times New Roman"/>
        </w:rPr>
        <w:t>)</w:t>
      </w:r>
      <w:r w:rsidR="00CC584F" w:rsidRPr="00CB2E9A">
        <w:rPr>
          <w:rFonts w:ascii="Times New Roman" w:hAnsi="Times New Roman"/>
        </w:rPr>
        <w:t xml:space="preserve">, </w:t>
      </w:r>
      <w:r w:rsidR="002607A7" w:rsidRPr="00CB2E9A">
        <w:rPr>
          <w:rFonts w:ascii="Times New Roman" w:hAnsi="Times New Roman"/>
        </w:rPr>
        <w:t>correctly</w:t>
      </w:r>
      <w:r w:rsidR="00CC584F" w:rsidRPr="00CB2E9A">
        <w:rPr>
          <w:rFonts w:ascii="Times New Roman" w:hAnsi="Times New Roman"/>
        </w:rPr>
        <w:t xml:space="preserve"> identified the legal and practical context in which the </w:t>
      </w:r>
      <w:r w:rsidR="002607A7" w:rsidRPr="00CB2E9A">
        <w:rPr>
          <w:rFonts w:ascii="Times New Roman" w:hAnsi="Times New Roman"/>
        </w:rPr>
        <w:t>separate question arose for determination.</w:t>
      </w:r>
    </w:p>
    <w:p w14:paraId="667EE46E" w14:textId="1C871C8B" w:rsidR="003F621A" w:rsidRPr="00CB2E9A" w:rsidRDefault="00E35232"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9B527F" w:rsidRPr="00CB2E9A">
        <w:rPr>
          <w:rFonts w:ascii="Times New Roman" w:hAnsi="Times New Roman"/>
        </w:rPr>
        <w:t xml:space="preserve">The </w:t>
      </w:r>
      <w:r w:rsidR="004E384B" w:rsidRPr="00CB2E9A">
        <w:rPr>
          <w:rFonts w:ascii="Times New Roman" w:hAnsi="Times New Roman"/>
        </w:rPr>
        <w:t>respondents to this appeal</w:t>
      </w:r>
      <w:r w:rsidR="00B000D6" w:rsidRPr="00CB2E9A">
        <w:rPr>
          <w:rFonts w:ascii="Times New Roman" w:hAnsi="Times New Roman"/>
        </w:rPr>
        <w:t xml:space="preserve"> (also the respondents</w:t>
      </w:r>
      <w:r w:rsidR="003E5CD3" w:rsidRPr="00CB2E9A">
        <w:rPr>
          <w:rFonts w:ascii="Times New Roman" w:hAnsi="Times New Roman"/>
        </w:rPr>
        <w:t xml:space="preserve"> in the </w:t>
      </w:r>
      <w:r w:rsidR="002B4AB8" w:rsidRPr="00CB2E9A">
        <w:rPr>
          <w:rFonts w:ascii="Times New Roman" w:hAnsi="Times New Roman"/>
        </w:rPr>
        <w:t>Court of Appeal</w:t>
      </w:r>
      <w:r w:rsidR="003E5CD3" w:rsidRPr="00CB2E9A">
        <w:rPr>
          <w:rFonts w:ascii="Times New Roman" w:hAnsi="Times New Roman"/>
        </w:rPr>
        <w:t xml:space="preserve"> and the </w:t>
      </w:r>
      <w:r w:rsidR="00B57120" w:rsidRPr="00CB2E9A">
        <w:rPr>
          <w:rFonts w:ascii="Times New Roman" w:hAnsi="Times New Roman"/>
        </w:rPr>
        <w:t xml:space="preserve">representative </w:t>
      </w:r>
      <w:r w:rsidR="00AD6713" w:rsidRPr="00CB2E9A">
        <w:rPr>
          <w:rFonts w:ascii="Times New Roman" w:hAnsi="Times New Roman"/>
        </w:rPr>
        <w:t xml:space="preserve">plaintiffs </w:t>
      </w:r>
      <w:r w:rsidR="009150F9" w:rsidRPr="00CB2E9A">
        <w:rPr>
          <w:rFonts w:ascii="Times New Roman" w:hAnsi="Times New Roman"/>
        </w:rPr>
        <w:t>in the underlying proceeding</w:t>
      </w:r>
      <w:r w:rsidR="004E384B" w:rsidRPr="00CB2E9A">
        <w:rPr>
          <w:rFonts w:ascii="Times New Roman" w:hAnsi="Times New Roman"/>
        </w:rPr>
        <w:t xml:space="preserve">), </w:t>
      </w:r>
      <w:r w:rsidR="005A4F7F" w:rsidRPr="00CB2E9A">
        <w:rPr>
          <w:rFonts w:ascii="Times New Roman" w:hAnsi="Times New Roman"/>
        </w:rPr>
        <w:t xml:space="preserve">who are </w:t>
      </w:r>
      <w:r w:rsidR="004E384B" w:rsidRPr="00CB2E9A">
        <w:rPr>
          <w:rFonts w:ascii="Times New Roman" w:hAnsi="Times New Roman"/>
        </w:rPr>
        <w:t xml:space="preserve">shareholders in </w:t>
      </w:r>
      <w:r w:rsidR="00CD2538" w:rsidRPr="00CB2E9A">
        <w:rPr>
          <w:rFonts w:ascii="Times New Roman" w:hAnsi="Times New Roman"/>
        </w:rPr>
        <w:t>the first appellant in this appeal</w:t>
      </w:r>
      <w:r w:rsidR="00D728C4" w:rsidRPr="00CB2E9A">
        <w:rPr>
          <w:rFonts w:ascii="Times New Roman" w:hAnsi="Times New Roman"/>
        </w:rPr>
        <w:t xml:space="preserve"> (</w:t>
      </w:r>
      <w:r w:rsidR="005273BF" w:rsidRPr="00CB2E9A">
        <w:rPr>
          <w:rFonts w:ascii="Times New Roman" w:hAnsi="Times New Roman"/>
        </w:rPr>
        <w:t xml:space="preserve">the </w:t>
      </w:r>
      <w:r w:rsidR="00742B40" w:rsidRPr="00CB2E9A">
        <w:rPr>
          <w:rFonts w:ascii="Times New Roman" w:hAnsi="Times New Roman"/>
        </w:rPr>
        <w:t xml:space="preserve">first applicant in the </w:t>
      </w:r>
      <w:r w:rsidR="00AA5AE9" w:rsidRPr="00CB2E9A">
        <w:rPr>
          <w:rFonts w:ascii="Times New Roman" w:hAnsi="Times New Roman"/>
        </w:rPr>
        <w:t>Co</w:t>
      </w:r>
      <w:r w:rsidR="00242048" w:rsidRPr="00CB2E9A">
        <w:rPr>
          <w:rFonts w:ascii="Times New Roman" w:hAnsi="Times New Roman"/>
        </w:rPr>
        <w:t>urt of Appeal</w:t>
      </w:r>
      <w:r w:rsidR="00742B40" w:rsidRPr="00CB2E9A">
        <w:rPr>
          <w:rFonts w:ascii="Times New Roman" w:hAnsi="Times New Roman"/>
        </w:rPr>
        <w:t xml:space="preserve"> and </w:t>
      </w:r>
      <w:r w:rsidR="00785C19" w:rsidRPr="00CB2E9A">
        <w:rPr>
          <w:rFonts w:ascii="Times New Roman" w:hAnsi="Times New Roman"/>
        </w:rPr>
        <w:t>the first defendant in the underlying proceeding</w:t>
      </w:r>
      <w:r w:rsidR="00CD2538" w:rsidRPr="00CB2E9A">
        <w:rPr>
          <w:rFonts w:ascii="Times New Roman" w:hAnsi="Times New Roman"/>
        </w:rPr>
        <w:t>)</w:t>
      </w:r>
      <w:r w:rsidR="002E4A56" w:rsidRPr="00CB2E9A">
        <w:rPr>
          <w:rFonts w:ascii="Times New Roman" w:hAnsi="Times New Roman"/>
        </w:rPr>
        <w:t>,</w:t>
      </w:r>
      <w:r w:rsidR="00CD2538" w:rsidRPr="00CB2E9A">
        <w:rPr>
          <w:rFonts w:ascii="Times New Roman" w:hAnsi="Times New Roman"/>
        </w:rPr>
        <w:t xml:space="preserve"> </w:t>
      </w:r>
      <w:r w:rsidR="00724AC3" w:rsidRPr="00CB2E9A">
        <w:rPr>
          <w:rFonts w:ascii="Times New Roman" w:hAnsi="Times New Roman"/>
        </w:rPr>
        <w:t xml:space="preserve">which gave them rights in units in the </w:t>
      </w:r>
      <w:r w:rsidR="00BF504E" w:rsidRPr="00CB2E9A">
        <w:rPr>
          <w:rFonts w:ascii="Times New Roman" w:hAnsi="Times New Roman"/>
        </w:rPr>
        <w:t xml:space="preserve">trust for which the </w:t>
      </w:r>
      <w:r w:rsidR="00724AC3" w:rsidRPr="00CB2E9A">
        <w:rPr>
          <w:rFonts w:ascii="Times New Roman" w:hAnsi="Times New Roman"/>
        </w:rPr>
        <w:t xml:space="preserve">second </w:t>
      </w:r>
      <w:r w:rsidR="002E4A56" w:rsidRPr="00CB2E9A">
        <w:rPr>
          <w:rFonts w:ascii="Times New Roman" w:hAnsi="Times New Roman"/>
        </w:rPr>
        <w:t>appellant in this appea</w:t>
      </w:r>
      <w:r w:rsidR="00C11A5C" w:rsidRPr="00CB2E9A">
        <w:rPr>
          <w:rFonts w:ascii="Times New Roman" w:hAnsi="Times New Roman"/>
        </w:rPr>
        <w:t xml:space="preserve">l </w:t>
      </w:r>
      <w:r w:rsidR="00650D89" w:rsidRPr="00CB2E9A">
        <w:rPr>
          <w:rFonts w:ascii="Times New Roman" w:hAnsi="Times New Roman"/>
        </w:rPr>
        <w:t xml:space="preserve">is the responsible entity </w:t>
      </w:r>
      <w:r w:rsidR="00C11A5C" w:rsidRPr="00CB2E9A">
        <w:rPr>
          <w:rFonts w:ascii="Times New Roman" w:hAnsi="Times New Roman"/>
        </w:rPr>
        <w:t xml:space="preserve">(the second applicant in the </w:t>
      </w:r>
      <w:r w:rsidR="00242048" w:rsidRPr="00CB2E9A">
        <w:rPr>
          <w:rFonts w:ascii="Times New Roman" w:hAnsi="Times New Roman"/>
        </w:rPr>
        <w:t>Court of Appeal</w:t>
      </w:r>
      <w:r w:rsidR="00C11A5C" w:rsidRPr="00CB2E9A">
        <w:rPr>
          <w:rFonts w:ascii="Times New Roman" w:hAnsi="Times New Roman"/>
        </w:rPr>
        <w:t xml:space="preserve"> and the second defendant</w:t>
      </w:r>
      <w:r w:rsidR="00747D82" w:rsidRPr="00CB2E9A">
        <w:rPr>
          <w:rFonts w:ascii="Times New Roman" w:hAnsi="Times New Roman"/>
        </w:rPr>
        <w:t xml:space="preserve"> in</w:t>
      </w:r>
      <w:r w:rsidR="00C05E2F" w:rsidRPr="00CB2E9A">
        <w:rPr>
          <w:rFonts w:ascii="Times New Roman" w:hAnsi="Times New Roman"/>
        </w:rPr>
        <w:t xml:space="preserve"> </w:t>
      </w:r>
      <w:r w:rsidR="00771F17" w:rsidRPr="00CB2E9A">
        <w:rPr>
          <w:rFonts w:ascii="Times New Roman" w:hAnsi="Times New Roman"/>
        </w:rPr>
        <w:t xml:space="preserve">the </w:t>
      </w:r>
      <w:r w:rsidR="00C05E2F" w:rsidRPr="00CB2E9A">
        <w:rPr>
          <w:rFonts w:ascii="Times New Roman" w:hAnsi="Times New Roman"/>
        </w:rPr>
        <w:t>underlying proceeding</w:t>
      </w:r>
      <w:r w:rsidR="00D263BD" w:rsidRPr="00CB2E9A">
        <w:rPr>
          <w:rFonts w:ascii="Times New Roman" w:hAnsi="Times New Roman"/>
        </w:rPr>
        <w:t xml:space="preserve">) (together, </w:t>
      </w:r>
      <w:r w:rsidR="009164CA" w:rsidRPr="00CB2E9A">
        <w:rPr>
          <w:rFonts w:ascii="Times New Roman" w:hAnsi="Times New Roman"/>
        </w:rPr>
        <w:t xml:space="preserve">the appellants </w:t>
      </w:r>
      <w:r w:rsidR="00C17863" w:rsidRPr="00CB2E9A">
        <w:rPr>
          <w:rFonts w:ascii="Times New Roman" w:hAnsi="Times New Roman"/>
        </w:rPr>
        <w:t xml:space="preserve">are </w:t>
      </w:r>
      <w:r w:rsidR="00D263BD" w:rsidRPr="00CB2E9A">
        <w:rPr>
          <w:rFonts w:ascii="Times New Roman" w:hAnsi="Times New Roman"/>
        </w:rPr>
        <w:t>referred to as "Lendlease")</w:t>
      </w:r>
      <w:r w:rsidR="00867E25" w:rsidRPr="00CB2E9A">
        <w:rPr>
          <w:rFonts w:ascii="Times New Roman" w:hAnsi="Times New Roman"/>
        </w:rPr>
        <w:t xml:space="preserve">, alleged that </w:t>
      </w:r>
      <w:r w:rsidR="006A390C" w:rsidRPr="00CB2E9A">
        <w:rPr>
          <w:rFonts w:ascii="Times New Roman" w:hAnsi="Times New Roman"/>
        </w:rPr>
        <w:t>"Lendlease breached its continuous disclosure obligations and engaged in misleading or deceptive conduct during the period from 17</w:t>
      </w:r>
      <w:r w:rsidR="00C83759" w:rsidRPr="00CB2E9A">
        <w:rPr>
          <w:rFonts w:ascii="Times New Roman" w:hAnsi="Times New Roman"/>
        </w:rPr>
        <w:t> </w:t>
      </w:r>
      <w:r w:rsidR="006A390C" w:rsidRPr="00CB2E9A">
        <w:rPr>
          <w:rFonts w:ascii="Times New Roman" w:hAnsi="Times New Roman"/>
        </w:rPr>
        <w:t>October</w:t>
      </w:r>
      <w:r w:rsidR="00C83759" w:rsidRPr="00CB2E9A">
        <w:rPr>
          <w:rFonts w:ascii="Times New Roman" w:hAnsi="Times New Roman"/>
        </w:rPr>
        <w:t> </w:t>
      </w:r>
      <w:r w:rsidR="006A390C" w:rsidRPr="00CB2E9A">
        <w:rPr>
          <w:rFonts w:ascii="Times New Roman" w:hAnsi="Times New Roman"/>
        </w:rPr>
        <w:t>2017 to 8</w:t>
      </w:r>
      <w:r w:rsidR="00C83759" w:rsidRPr="00CB2E9A">
        <w:rPr>
          <w:rFonts w:ascii="Times New Roman" w:hAnsi="Times New Roman"/>
        </w:rPr>
        <w:t> </w:t>
      </w:r>
      <w:r w:rsidR="006A390C" w:rsidRPr="00CB2E9A">
        <w:rPr>
          <w:rFonts w:ascii="Times New Roman" w:hAnsi="Times New Roman"/>
        </w:rPr>
        <w:t>November</w:t>
      </w:r>
      <w:r w:rsidR="00C83759" w:rsidRPr="00CB2E9A">
        <w:rPr>
          <w:rFonts w:ascii="Times New Roman" w:hAnsi="Times New Roman"/>
        </w:rPr>
        <w:t> </w:t>
      </w:r>
      <w:r w:rsidR="006A390C" w:rsidRPr="00CB2E9A">
        <w:rPr>
          <w:rFonts w:ascii="Times New Roman" w:hAnsi="Times New Roman"/>
        </w:rPr>
        <w:t>2018 during which period, approximately 445</w:t>
      </w:r>
      <w:r w:rsidR="00C83759" w:rsidRPr="00CB2E9A">
        <w:rPr>
          <w:rFonts w:ascii="Times New Roman" w:hAnsi="Times New Roman"/>
        </w:rPr>
        <w:t> </w:t>
      </w:r>
      <w:r w:rsidR="006A390C" w:rsidRPr="00CB2E9A">
        <w:rPr>
          <w:rFonts w:ascii="Times New Roman" w:hAnsi="Times New Roman"/>
        </w:rPr>
        <w:t>million shares were traded"</w:t>
      </w:r>
      <w:r w:rsidR="003C4B7D" w:rsidRPr="00CB2E9A">
        <w:rPr>
          <w:rFonts w:ascii="Times New Roman" w:hAnsi="Times New Roman"/>
        </w:rPr>
        <w:t>.</w:t>
      </w:r>
      <w:r w:rsidR="006A390C" w:rsidRPr="00CB2E9A">
        <w:rPr>
          <w:rStyle w:val="FootnoteReference"/>
          <w:rFonts w:ascii="Times New Roman" w:hAnsi="Times New Roman"/>
          <w:sz w:val="24"/>
        </w:rPr>
        <w:footnoteReference w:id="8"/>
      </w:r>
      <w:r w:rsidR="00C92714" w:rsidRPr="00CB2E9A">
        <w:rPr>
          <w:rFonts w:ascii="Times New Roman" w:hAnsi="Times New Roman"/>
        </w:rPr>
        <w:t xml:space="preserve"> </w:t>
      </w:r>
    </w:p>
    <w:p w14:paraId="0290684F" w14:textId="1910E7B0" w:rsidR="00E35232" w:rsidRPr="00CB2E9A" w:rsidRDefault="00E35232"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5E11BE" w:rsidRPr="00CB2E9A">
        <w:rPr>
          <w:rFonts w:ascii="Times New Roman" w:hAnsi="Times New Roman"/>
        </w:rPr>
        <w:t xml:space="preserve">The </w:t>
      </w:r>
      <w:r w:rsidR="00F13108" w:rsidRPr="00CB2E9A">
        <w:rPr>
          <w:rFonts w:ascii="Times New Roman" w:hAnsi="Times New Roman"/>
        </w:rPr>
        <w:t xml:space="preserve">Court of Appeal was </w:t>
      </w:r>
      <w:r w:rsidR="00115AB3" w:rsidRPr="00CB2E9A">
        <w:rPr>
          <w:rFonts w:ascii="Times New Roman" w:hAnsi="Times New Roman"/>
        </w:rPr>
        <w:t xml:space="preserve">also </w:t>
      </w:r>
      <w:r w:rsidR="00F13108" w:rsidRPr="00CB2E9A">
        <w:rPr>
          <w:rFonts w:ascii="Times New Roman" w:hAnsi="Times New Roman"/>
        </w:rPr>
        <w:t xml:space="preserve">undoubtedly right to infer that the </w:t>
      </w:r>
      <w:r w:rsidR="005E11BE" w:rsidRPr="00CB2E9A">
        <w:rPr>
          <w:rFonts w:ascii="Times New Roman" w:hAnsi="Times New Roman"/>
        </w:rPr>
        <w:t xml:space="preserve">giving of the proposed notice had two purposes. </w:t>
      </w:r>
      <w:r w:rsidR="006018E0" w:rsidRPr="00CB2E9A">
        <w:rPr>
          <w:rFonts w:ascii="Times New Roman" w:hAnsi="Times New Roman"/>
        </w:rPr>
        <w:t>In circumstances where, in the ordinary course, the representative proceeding would be referred by the Supreme Court to mediation, the giving of the notice would both</w:t>
      </w:r>
      <w:r w:rsidR="00135E8C" w:rsidRPr="00CB2E9A">
        <w:rPr>
          <w:rFonts w:ascii="Times New Roman" w:hAnsi="Times New Roman"/>
        </w:rPr>
        <w:t>, as Bell CJ put it</w:t>
      </w:r>
      <w:r w:rsidR="00550089" w:rsidRPr="00CB2E9A">
        <w:rPr>
          <w:rFonts w:ascii="Times New Roman" w:hAnsi="Times New Roman"/>
        </w:rPr>
        <w:t>:</w:t>
      </w:r>
      <w:r w:rsidR="00C63FC9" w:rsidRPr="00CB2E9A">
        <w:rPr>
          <w:rFonts w:ascii="Times New Roman" w:hAnsi="Times New Roman"/>
        </w:rPr>
        <w:t xml:space="preserve"> </w:t>
      </w:r>
      <w:r w:rsidR="00550089" w:rsidRPr="00CB2E9A">
        <w:rPr>
          <w:rFonts w:ascii="Times New Roman" w:hAnsi="Times New Roman"/>
        </w:rPr>
        <w:t>(a) </w:t>
      </w:r>
      <w:r w:rsidR="00135E8C" w:rsidRPr="00CB2E9A">
        <w:rPr>
          <w:rFonts w:ascii="Times New Roman" w:hAnsi="Times New Roman"/>
        </w:rPr>
        <w:t>"encourage currently unregistered group members either to opt out of the group prior to any mediation or to opt in to avoid</w:t>
      </w:r>
      <w:r w:rsidR="00B90B03" w:rsidRPr="00CB2E9A">
        <w:rPr>
          <w:rFonts w:ascii="Times New Roman" w:hAnsi="Times New Roman"/>
        </w:rPr>
        <w:t xml:space="preserve"> the</w:t>
      </w:r>
      <w:r w:rsidR="00135E8C" w:rsidRPr="00CB2E9A">
        <w:rPr>
          <w:rFonts w:ascii="Times New Roman" w:hAnsi="Times New Roman"/>
        </w:rPr>
        <w:t xml:space="preserve"> </w:t>
      </w:r>
      <w:r w:rsidR="00B90B03" w:rsidRPr="00CB2E9A">
        <w:rPr>
          <w:rFonts w:ascii="Times New Roman" w:hAnsi="Times New Roman"/>
        </w:rPr>
        <w:t>'</w:t>
      </w:r>
      <w:r w:rsidR="00135E8C" w:rsidRPr="00CB2E9A">
        <w:rPr>
          <w:rFonts w:ascii="Times New Roman" w:hAnsi="Times New Roman"/>
        </w:rPr>
        <w:t>risk [of] missing out on the benefit of any settlement which might be agreed before final judgment</w:t>
      </w:r>
      <w:r w:rsidR="00DA7A21" w:rsidRPr="00CB2E9A">
        <w:rPr>
          <w:rFonts w:ascii="Times New Roman" w:hAnsi="Times New Roman"/>
        </w:rPr>
        <w:t>'</w:t>
      </w:r>
      <w:r w:rsidR="00135E8C" w:rsidRPr="00CB2E9A">
        <w:rPr>
          <w:rFonts w:ascii="Times New Roman" w:hAnsi="Times New Roman"/>
        </w:rPr>
        <w:t>"</w:t>
      </w:r>
      <w:r w:rsidR="00550089" w:rsidRPr="00CB2E9A">
        <w:rPr>
          <w:rFonts w:ascii="Times New Roman" w:hAnsi="Times New Roman"/>
        </w:rPr>
        <w:t>; and (b) </w:t>
      </w:r>
      <w:r w:rsidR="00C315F9" w:rsidRPr="00CB2E9A">
        <w:rPr>
          <w:rFonts w:ascii="Times New Roman" w:hAnsi="Times New Roman"/>
        </w:rPr>
        <w:t xml:space="preserve">"arm Lendlease (and also the plaintiffs as the representative parties) with an argument to be made to any judge called upon to approve any settlement pursuant to s 173 of the CPA that non-registered group members should </w:t>
      </w:r>
      <w:r w:rsidR="00C315F9" w:rsidRPr="00CB2E9A">
        <w:rPr>
          <w:rFonts w:ascii="Times New Roman" w:hAnsi="Times New Roman"/>
          <w:i/>
          <w:iCs/>
        </w:rPr>
        <w:t>not</w:t>
      </w:r>
      <w:r w:rsidR="00C315F9" w:rsidRPr="00CB2E9A">
        <w:rPr>
          <w:rFonts w:ascii="Times New Roman" w:hAnsi="Times New Roman"/>
        </w:rPr>
        <w:t xml:space="preserve"> be permitted to participate in the fruits of any settlement on the footing that they had been given the choice of opting out or opting in prior to the settlement and had not availed themselves of that opportunity"</w:t>
      </w:r>
      <w:r w:rsidR="00175A3A" w:rsidRPr="00CB2E9A">
        <w:rPr>
          <w:rFonts w:ascii="Times New Roman" w:hAnsi="Times New Roman"/>
        </w:rPr>
        <w:t>.</w:t>
      </w:r>
      <w:r w:rsidR="00135E8C" w:rsidRPr="00CB2E9A">
        <w:rPr>
          <w:rStyle w:val="FootnoteReference"/>
          <w:rFonts w:ascii="Times New Roman" w:hAnsi="Times New Roman"/>
          <w:sz w:val="24"/>
        </w:rPr>
        <w:footnoteReference w:id="9"/>
      </w:r>
    </w:p>
    <w:p w14:paraId="13A618F3" w14:textId="0CDD18DF" w:rsidR="009D6654" w:rsidRPr="00CB2E9A" w:rsidRDefault="00F13108" w:rsidP="00CB2E9A">
      <w:pPr>
        <w:pStyle w:val="FixListStyle"/>
        <w:spacing w:after="260" w:line="280" w:lineRule="exact"/>
        <w:ind w:right="0"/>
        <w:jc w:val="both"/>
        <w:rPr>
          <w:rFonts w:ascii="Times New Roman" w:hAnsi="Times New Roman"/>
        </w:rPr>
      </w:pPr>
      <w:r w:rsidRPr="00CB2E9A">
        <w:rPr>
          <w:rFonts w:ascii="Times New Roman" w:hAnsi="Times New Roman"/>
        </w:rPr>
        <w:tab/>
        <w:t xml:space="preserve">Unpacking these two purposes further, it is </w:t>
      </w:r>
      <w:r w:rsidR="0032292B" w:rsidRPr="00CB2E9A">
        <w:rPr>
          <w:rFonts w:ascii="Times New Roman" w:hAnsi="Times New Roman"/>
        </w:rPr>
        <w:t xml:space="preserve">apparent that the </w:t>
      </w:r>
      <w:r w:rsidR="002C229D" w:rsidRPr="00CB2E9A">
        <w:rPr>
          <w:rFonts w:ascii="Times New Roman" w:hAnsi="Times New Roman"/>
        </w:rPr>
        <w:t>concept</w:t>
      </w:r>
      <w:r w:rsidR="0032292B" w:rsidRPr="00CB2E9A">
        <w:rPr>
          <w:rFonts w:ascii="Times New Roman" w:hAnsi="Times New Roman"/>
        </w:rPr>
        <w:t xml:space="preserve"> of "opting out" of a </w:t>
      </w:r>
      <w:r w:rsidR="002C229D" w:rsidRPr="00CB2E9A">
        <w:rPr>
          <w:rFonts w:ascii="Times New Roman" w:hAnsi="Times New Roman"/>
        </w:rPr>
        <w:t>representative</w:t>
      </w:r>
      <w:r w:rsidR="0032292B" w:rsidRPr="00CB2E9A">
        <w:rPr>
          <w:rFonts w:ascii="Times New Roman" w:hAnsi="Times New Roman"/>
        </w:rPr>
        <w:t xml:space="preserve"> proceeding </w:t>
      </w:r>
      <w:r w:rsidR="002C229D" w:rsidRPr="00CB2E9A">
        <w:rPr>
          <w:rFonts w:ascii="Times New Roman" w:hAnsi="Times New Roman"/>
        </w:rPr>
        <w:t xml:space="preserve">is a part of the statutory scheme. </w:t>
      </w:r>
      <w:r w:rsidR="00412A98" w:rsidRPr="00CB2E9A">
        <w:rPr>
          <w:rFonts w:ascii="Times New Roman" w:hAnsi="Times New Roman"/>
        </w:rPr>
        <w:t xml:space="preserve">If a </w:t>
      </w:r>
      <w:r w:rsidR="008510C8" w:rsidRPr="00CB2E9A">
        <w:rPr>
          <w:rFonts w:ascii="Times New Roman" w:hAnsi="Times New Roman"/>
        </w:rPr>
        <w:lastRenderedPageBreak/>
        <w:t>representative</w:t>
      </w:r>
      <w:r w:rsidR="00412A98" w:rsidRPr="00CB2E9A">
        <w:rPr>
          <w:rFonts w:ascii="Times New Roman" w:hAnsi="Times New Roman"/>
        </w:rPr>
        <w:t xml:space="preserve"> proceeding is filed, the </w:t>
      </w:r>
      <w:r w:rsidR="008C5D47" w:rsidRPr="00CB2E9A">
        <w:rPr>
          <w:rFonts w:ascii="Times New Roman" w:hAnsi="Times New Roman"/>
        </w:rPr>
        <w:t>originating</w:t>
      </w:r>
      <w:r w:rsidR="000D6834" w:rsidRPr="00CB2E9A">
        <w:rPr>
          <w:rFonts w:ascii="Times New Roman" w:hAnsi="Times New Roman"/>
        </w:rPr>
        <w:t xml:space="preserve"> application or other document filed in support must </w:t>
      </w:r>
      <w:r w:rsidR="004C258D" w:rsidRPr="00CB2E9A">
        <w:rPr>
          <w:rFonts w:ascii="Times New Roman" w:hAnsi="Times New Roman"/>
        </w:rPr>
        <w:t xml:space="preserve">"describe or otherwise </w:t>
      </w:r>
      <w:r w:rsidR="000D6834" w:rsidRPr="00CB2E9A">
        <w:rPr>
          <w:rFonts w:ascii="Times New Roman" w:hAnsi="Times New Roman"/>
        </w:rPr>
        <w:t>identify the group members</w:t>
      </w:r>
      <w:r w:rsidR="00581CFE" w:rsidRPr="00CB2E9A">
        <w:rPr>
          <w:rFonts w:ascii="Times New Roman" w:hAnsi="Times New Roman"/>
        </w:rPr>
        <w:t>"</w:t>
      </w:r>
      <w:r w:rsidR="000D6834" w:rsidRPr="00CB2E9A">
        <w:rPr>
          <w:rFonts w:ascii="Times New Roman" w:hAnsi="Times New Roman"/>
        </w:rPr>
        <w:t xml:space="preserve"> (s</w:t>
      </w:r>
      <w:r w:rsidR="008C5D47" w:rsidRPr="00CB2E9A">
        <w:rPr>
          <w:rFonts w:ascii="Times New Roman" w:hAnsi="Times New Roman"/>
        </w:rPr>
        <w:t xml:space="preserve"> 161(1) CPA). </w:t>
      </w:r>
      <w:r w:rsidR="00AC2B39" w:rsidRPr="00CB2E9A">
        <w:rPr>
          <w:rFonts w:ascii="Times New Roman" w:hAnsi="Times New Roman"/>
        </w:rPr>
        <w:t xml:space="preserve">Such identification need not be by name </w:t>
      </w:r>
      <w:r w:rsidR="0004262D" w:rsidRPr="00CB2E9A">
        <w:rPr>
          <w:rFonts w:ascii="Times New Roman" w:hAnsi="Times New Roman"/>
        </w:rPr>
        <w:t xml:space="preserve">and the </w:t>
      </w:r>
      <w:r w:rsidR="00AC2B39" w:rsidRPr="00CB2E9A">
        <w:rPr>
          <w:rFonts w:ascii="Times New Roman" w:hAnsi="Times New Roman"/>
        </w:rPr>
        <w:t xml:space="preserve">number </w:t>
      </w:r>
      <w:r w:rsidR="0004262D" w:rsidRPr="00CB2E9A">
        <w:rPr>
          <w:rFonts w:ascii="Times New Roman" w:hAnsi="Times New Roman"/>
        </w:rPr>
        <w:t xml:space="preserve">of group members need not be specified </w:t>
      </w:r>
      <w:r w:rsidR="00AC2B39" w:rsidRPr="00CB2E9A">
        <w:rPr>
          <w:rFonts w:ascii="Times New Roman" w:hAnsi="Times New Roman"/>
        </w:rPr>
        <w:t>(s </w:t>
      </w:r>
      <w:r w:rsidR="00BD55A6" w:rsidRPr="00CB2E9A">
        <w:rPr>
          <w:rFonts w:ascii="Times New Roman" w:hAnsi="Times New Roman"/>
        </w:rPr>
        <w:t>161(2) CPA)</w:t>
      </w:r>
      <w:r w:rsidR="00AC2B39" w:rsidRPr="00CB2E9A">
        <w:rPr>
          <w:rFonts w:ascii="Times New Roman" w:hAnsi="Times New Roman"/>
        </w:rPr>
        <w:t xml:space="preserve">, meaning that </w:t>
      </w:r>
      <w:r w:rsidR="00BD55A6" w:rsidRPr="00CB2E9A">
        <w:rPr>
          <w:rFonts w:ascii="Times New Roman" w:hAnsi="Times New Roman"/>
        </w:rPr>
        <w:t xml:space="preserve">membership of the group may be by description of circumstances. </w:t>
      </w:r>
      <w:r w:rsidR="006A0B63" w:rsidRPr="00CB2E9A">
        <w:rPr>
          <w:rFonts w:ascii="Times New Roman" w:hAnsi="Times New Roman"/>
        </w:rPr>
        <w:t xml:space="preserve">Fundamental to the statutory scheme is that a person may be a member of </w:t>
      </w:r>
      <w:r w:rsidR="00E779AE" w:rsidRPr="00CB2E9A">
        <w:rPr>
          <w:rFonts w:ascii="Times New Roman" w:hAnsi="Times New Roman"/>
        </w:rPr>
        <w:t>the group without their consent (s 159(</w:t>
      </w:r>
      <w:r w:rsidR="006807D4" w:rsidRPr="00CB2E9A">
        <w:rPr>
          <w:rFonts w:ascii="Times New Roman" w:hAnsi="Times New Roman"/>
        </w:rPr>
        <w:t>1</w:t>
      </w:r>
      <w:r w:rsidR="00E779AE" w:rsidRPr="00CB2E9A">
        <w:rPr>
          <w:rFonts w:ascii="Times New Roman" w:hAnsi="Times New Roman"/>
        </w:rPr>
        <w:t>)</w:t>
      </w:r>
      <w:r w:rsidR="00D727E2">
        <w:rPr>
          <w:rFonts w:ascii="Times New Roman" w:hAnsi="Times New Roman"/>
        </w:rPr>
        <w:t xml:space="preserve"> CPA</w:t>
      </w:r>
      <w:r w:rsidR="00E779AE" w:rsidRPr="00CB2E9A">
        <w:rPr>
          <w:rFonts w:ascii="Times New Roman" w:hAnsi="Times New Roman"/>
        </w:rPr>
        <w:t xml:space="preserve">) or, indeed, their knowledge. </w:t>
      </w:r>
      <w:r w:rsidR="00E518FD" w:rsidRPr="00CB2E9A">
        <w:rPr>
          <w:rFonts w:ascii="Times New Roman" w:hAnsi="Times New Roman"/>
        </w:rPr>
        <w:t>A person who is a me</w:t>
      </w:r>
      <w:r w:rsidR="009638C9" w:rsidRPr="00CB2E9A">
        <w:rPr>
          <w:rFonts w:ascii="Times New Roman" w:hAnsi="Times New Roman"/>
        </w:rPr>
        <w:t>m</w:t>
      </w:r>
      <w:r w:rsidR="00E518FD" w:rsidRPr="00CB2E9A">
        <w:rPr>
          <w:rFonts w:ascii="Times New Roman" w:hAnsi="Times New Roman"/>
        </w:rPr>
        <w:t xml:space="preserve">ber of the group </w:t>
      </w:r>
      <w:r w:rsidR="002C53BA" w:rsidRPr="00CB2E9A">
        <w:rPr>
          <w:rFonts w:ascii="Times New Roman" w:hAnsi="Times New Roman"/>
        </w:rPr>
        <w:t xml:space="preserve">must </w:t>
      </w:r>
      <w:r w:rsidR="00E518FD" w:rsidRPr="00CB2E9A">
        <w:rPr>
          <w:rFonts w:ascii="Times New Roman" w:hAnsi="Times New Roman"/>
        </w:rPr>
        <w:t xml:space="preserve">have an </w:t>
      </w:r>
      <w:r w:rsidR="009638C9" w:rsidRPr="00CB2E9A">
        <w:rPr>
          <w:rFonts w:ascii="Times New Roman" w:hAnsi="Times New Roman"/>
        </w:rPr>
        <w:t>opportunity</w:t>
      </w:r>
      <w:r w:rsidR="00E518FD" w:rsidRPr="00CB2E9A">
        <w:rPr>
          <w:rFonts w:ascii="Times New Roman" w:hAnsi="Times New Roman"/>
        </w:rPr>
        <w:t xml:space="preserve"> to opt o</w:t>
      </w:r>
      <w:r w:rsidR="009638C9" w:rsidRPr="00CB2E9A">
        <w:rPr>
          <w:rFonts w:ascii="Times New Roman" w:hAnsi="Times New Roman"/>
        </w:rPr>
        <w:t>ut of membership before the proceeding is heard (s </w:t>
      </w:r>
      <w:r w:rsidR="002D5524" w:rsidRPr="00CB2E9A">
        <w:rPr>
          <w:rFonts w:ascii="Times New Roman" w:hAnsi="Times New Roman"/>
        </w:rPr>
        <w:t>162 CPA). At a practical level</w:t>
      </w:r>
      <w:r w:rsidR="002C53BA" w:rsidRPr="00CB2E9A">
        <w:rPr>
          <w:rFonts w:ascii="Times New Roman" w:hAnsi="Times New Roman"/>
        </w:rPr>
        <w:t>,</w:t>
      </w:r>
      <w:r w:rsidR="002D5524" w:rsidRPr="00CB2E9A">
        <w:rPr>
          <w:rFonts w:ascii="Times New Roman" w:hAnsi="Times New Roman"/>
        </w:rPr>
        <w:t xml:space="preserve"> a person must know they</w:t>
      </w:r>
      <w:r w:rsidR="00DE089F" w:rsidRPr="00CB2E9A">
        <w:rPr>
          <w:rFonts w:ascii="Times New Roman" w:hAnsi="Times New Roman"/>
        </w:rPr>
        <w:t xml:space="preserve"> </w:t>
      </w:r>
      <w:r w:rsidR="002D5524" w:rsidRPr="00CB2E9A">
        <w:rPr>
          <w:rFonts w:ascii="Times New Roman" w:hAnsi="Times New Roman"/>
        </w:rPr>
        <w:t>are a me</w:t>
      </w:r>
      <w:r w:rsidR="00DE089F" w:rsidRPr="00CB2E9A">
        <w:rPr>
          <w:rFonts w:ascii="Times New Roman" w:hAnsi="Times New Roman"/>
        </w:rPr>
        <w:t>m</w:t>
      </w:r>
      <w:r w:rsidR="002D5524" w:rsidRPr="00CB2E9A">
        <w:rPr>
          <w:rFonts w:ascii="Times New Roman" w:hAnsi="Times New Roman"/>
        </w:rPr>
        <w:t xml:space="preserve">ber of the </w:t>
      </w:r>
      <w:r w:rsidR="00DE089F" w:rsidRPr="00CB2E9A">
        <w:rPr>
          <w:rFonts w:ascii="Times New Roman" w:hAnsi="Times New Roman"/>
        </w:rPr>
        <w:t>group</w:t>
      </w:r>
      <w:r w:rsidR="002D5524" w:rsidRPr="00CB2E9A">
        <w:rPr>
          <w:rFonts w:ascii="Times New Roman" w:hAnsi="Times New Roman"/>
        </w:rPr>
        <w:t xml:space="preserve"> </w:t>
      </w:r>
      <w:r w:rsidR="006D69EF" w:rsidRPr="00CB2E9A">
        <w:rPr>
          <w:rFonts w:ascii="Times New Roman" w:hAnsi="Times New Roman"/>
        </w:rPr>
        <w:t>to</w:t>
      </w:r>
      <w:r w:rsidR="002D5524" w:rsidRPr="00CB2E9A">
        <w:rPr>
          <w:rFonts w:ascii="Times New Roman" w:hAnsi="Times New Roman"/>
        </w:rPr>
        <w:t xml:space="preserve"> have a </w:t>
      </w:r>
      <w:r w:rsidR="00DE089F" w:rsidRPr="00CB2E9A">
        <w:rPr>
          <w:rFonts w:ascii="Times New Roman" w:hAnsi="Times New Roman"/>
        </w:rPr>
        <w:t>meaningful</w:t>
      </w:r>
      <w:r w:rsidR="002D5524" w:rsidRPr="00CB2E9A">
        <w:rPr>
          <w:rFonts w:ascii="Times New Roman" w:hAnsi="Times New Roman"/>
        </w:rPr>
        <w:t xml:space="preserve"> </w:t>
      </w:r>
      <w:r w:rsidR="00DE089F" w:rsidRPr="00CB2E9A">
        <w:rPr>
          <w:rFonts w:ascii="Times New Roman" w:hAnsi="Times New Roman"/>
        </w:rPr>
        <w:t>opportunity</w:t>
      </w:r>
      <w:r w:rsidR="002D5524" w:rsidRPr="00CB2E9A">
        <w:rPr>
          <w:rFonts w:ascii="Times New Roman" w:hAnsi="Times New Roman"/>
        </w:rPr>
        <w:t xml:space="preserve"> to opt out of </w:t>
      </w:r>
      <w:r w:rsidR="00CD28FC" w:rsidRPr="00CB2E9A">
        <w:rPr>
          <w:rFonts w:ascii="Times New Roman" w:hAnsi="Times New Roman"/>
        </w:rPr>
        <w:t xml:space="preserve">group </w:t>
      </w:r>
      <w:r w:rsidR="002D5524" w:rsidRPr="00CB2E9A">
        <w:rPr>
          <w:rFonts w:ascii="Times New Roman" w:hAnsi="Times New Roman"/>
        </w:rPr>
        <w:t xml:space="preserve">membership. </w:t>
      </w:r>
      <w:r w:rsidR="00955DFF" w:rsidRPr="00CB2E9A">
        <w:rPr>
          <w:rFonts w:ascii="Times New Roman" w:hAnsi="Times New Roman"/>
        </w:rPr>
        <w:t>T</w:t>
      </w:r>
      <w:r w:rsidR="00DE089F" w:rsidRPr="00CB2E9A">
        <w:rPr>
          <w:rFonts w:ascii="Times New Roman" w:hAnsi="Times New Roman"/>
        </w:rPr>
        <w:t xml:space="preserve">o </w:t>
      </w:r>
      <w:r w:rsidR="00955DFF" w:rsidRPr="00CB2E9A">
        <w:rPr>
          <w:rFonts w:ascii="Times New Roman" w:hAnsi="Times New Roman"/>
        </w:rPr>
        <w:t>facilitate</w:t>
      </w:r>
      <w:r w:rsidR="00DE089F" w:rsidRPr="00CB2E9A">
        <w:rPr>
          <w:rFonts w:ascii="Times New Roman" w:hAnsi="Times New Roman"/>
        </w:rPr>
        <w:t xml:space="preserve"> </w:t>
      </w:r>
      <w:r w:rsidR="00F83956" w:rsidRPr="00CB2E9A">
        <w:rPr>
          <w:rFonts w:ascii="Times New Roman" w:hAnsi="Times New Roman"/>
        </w:rPr>
        <w:t>group members knowing they are group members</w:t>
      </w:r>
      <w:r w:rsidR="002C53BA" w:rsidRPr="00CB2E9A">
        <w:rPr>
          <w:rFonts w:ascii="Times New Roman" w:hAnsi="Times New Roman"/>
        </w:rPr>
        <w:t>,</w:t>
      </w:r>
      <w:r w:rsidR="00F83956" w:rsidRPr="00CB2E9A">
        <w:rPr>
          <w:rFonts w:ascii="Times New Roman" w:hAnsi="Times New Roman"/>
        </w:rPr>
        <w:t xml:space="preserve"> </w:t>
      </w:r>
      <w:r w:rsidR="00346D9B" w:rsidRPr="00CB2E9A">
        <w:rPr>
          <w:rFonts w:ascii="Times New Roman" w:hAnsi="Times New Roman"/>
        </w:rPr>
        <w:t xml:space="preserve">notice must be given to </w:t>
      </w:r>
      <w:r w:rsidR="002B369B" w:rsidRPr="00CB2E9A">
        <w:rPr>
          <w:rFonts w:ascii="Times New Roman" w:hAnsi="Times New Roman"/>
        </w:rPr>
        <w:t xml:space="preserve">them </w:t>
      </w:r>
      <w:r w:rsidR="00346D9B" w:rsidRPr="00CB2E9A">
        <w:rPr>
          <w:rFonts w:ascii="Times New Roman" w:hAnsi="Times New Roman"/>
        </w:rPr>
        <w:t>of, amongst other things, the commencement of the proceedings and the</w:t>
      </w:r>
      <w:r w:rsidR="002B369B" w:rsidRPr="00CB2E9A">
        <w:rPr>
          <w:rFonts w:ascii="Times New Roman" w:hAnsi="Times New Roman"/>
        </w:rPr>
        <w:t>ir</w:t>
      </w:r>
      <w:r w:rsidR="00346D9B" w:rsidRPr="00CB2E9A">
        <w:rPr>
          <w:rFonts w:ascii="Times New Roman" w:hAnsi="Times New Roman"/>
        </w:rPr>
        <w:t xml:space="preserve"> right to opt out of the proceedings before the da</w:t>
      </w:r>
      <w:r w:rsidR="002C53BA" w:rsidRPr="00CB2E9A">
        <w:rPr>
          <w:rFonts w:ascii="Times New Roman" w:hAnsi="Times New Roman"/>
        </w:rPr>
        <w:t>t</w:t>
      </w:r>
      <w:r w:rsidR="00346D9B" w:rsidRPr="00CB2E9A">
        <w:rPr>
          <w:rFonts w:ascii="Times New Roman" w:hAnsi="Times New Roman"/>
        </w:rPr>
        <w:t xml:space="preserve">e </w:t>
      </w:r>
      <w:r w:rsidR="00AA0EC8" w:rsidRPr="00CB2E9A">
        <w:rPr>
          <w:rFonts w:ascii="Times New Roman" w:hAnsi="Times New Roman"/>
        </w:rPr>
        <w:t xml:space="preserve">fixed under s 162(1) (s 175(1)(a) CPA). </w:t>
      </w:r>
    </w:p>
    <w:p w14:paraId="0658E4FB" w14:textId="7DD2C2BD" w:rsidR="00F13108" w:rsidRPr="00CB2E9A" w:rsidRDefault="009D6654"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AA0EC8" w:rsidRPr="00CB2E9A">
        <w:rPr>
          <w:rFonts w:ascii="Times New Roman" w:hAnsi="Times New Roman"/>
        </w:rPr>
        <w:t xml:space="preserve">In contrast, being "registered" </w:t>
      </w:r>
      <w:r w:rsidR="002C53BA" w:rsidRPr="00CB2E9A">
        <w:rPr>
          <w:rFonts w:ascii="Times New Roman" w:hAnsi="Times New Roman"/>
        </w:rPr>
        <w:t xml:space="preserve">or "unregistered" </w:t>
      </w:r>
      <w:r w:rsidR="00AA0EC8" w:rsidRPr="00CB2E9A">
        <w:rPr>
          <w:rFonts w:ascii="Times New Roman" w:hAnsi="Times New Roman"/>
        </w:rPr>
        <w:t xml:space="preserve">as a group member </w:t>
      </w:r>
      <w:r w:rsidR="005C560C" w:rsidRPr="00CB2E9A">
        <w:rPr>
          <w:rFonts w:ascii="Times New Roman" w:hAnsi="Times New Roman"/>
        </w:rPr>
        <w:t xml:space="preserve">is not a part of the statutory scheme. The concept of "registering" as a group member is a </w:t>
      </w:r>
      <w:r w:rsidR="00A7614C" w:rsidRPr="00CB2E9A">
        <w:rPr>
          <w:rFonts w:ascii="Times New Roman" w:hAnsi="Times New Roman"/>
        </w:rPr>
        <w:t xml:space="preserve">result of </w:t>
      </w:r>
      <w:r w:rsidR="002C53BA" w:rsidRPr="00CB2E9A">
        <w:rPr>
          <w:rFonts w:ascii="Times New Roman" w:hAnsi="Times New Roman"/>
        </w:rPr>
        <w:t xml:space="preserve">the practical operation of </w:t>
      </w:r>
      <w:r w:rsidR="00DB3304" w:rsidRPr="00CB2E9A">
        <w:rPr>
          <w:rFonts w:ascii="Times New Roman" w:hAnsi="Times New Roman"/>
        </w:rPr>
        <w:t xml:space="preserve">several aspects of the statutory scheme. </w:t>
      </w:r>
      <w:r w:rsidR="00957475" w:rsidRPr="00CB2E9A">
        <w:rPr>
          <w:rFonts w:ascii="Times New Roman" w:hAnsi="Times New Roman"/>
        </w:rPr>
        <w:t xml:space="preserve">The statutory process of a group member opting out of </w:t>
      </w:r>
      <w:r w:rsidR="00C0794F" w:rsidRPr="00CB2E9A">
        <w:rPr>
          <w:rFonts w:ascii="Times New Roman" w:hAnsi="Times New Roman"/>
        </w:rPr>
        <w:t xml:space="preserve">group membership means that the </w:t>
      </w:r>
      <w:r w:rsidR="009E4D0B" w:rsidRPr="00CB2E9A">
        <w:rPr>
          <w:rFonts w:ascii="Times New Roman" w:hAnsi="Times New Roman"/>
        </w:rPr>
        <w:t xml:space="preserve">representative </w:t>
      </w:r>
      <w:r w:rsidR="00C0794F" w:rsidRPr="00CB2E9A">
        <w:rPr>
          <w:rFonts w:ascii="Times New Roman" w:hAnsi="Times New Roman"/>
        </w:rPr>
        <w:t xml:space="preserve">plaintiff and the </w:t>
      </w:r>
      <w:r w:rsidR="009E4D0B" w:rsidRPr="00CB2E9A">
        <w:rPr>
          <w:rFonts w:ascii="Times New Roman" w:hAnsi="Times New Roman"/>
        </w:rPr>
        <w:t xml:space="preserve">representative </w:t>
      </w:r>
      <w:r w:rsidR="00C0794F" w:rsidRPr="00CB2E9A">
        <w:rPr>
          <w:rFonts w:ascii="Times New Roman" w:hAnsi="Times New Roman"/>
        </w:rPr>
        <w:t>plaintiff's lawyers will know the number of people who are not group members but</w:t>
      </w:r>
      <w:r w:rsidR="00BB44B3" w:rsidRPr="00CB2E9A">
        <w:rPr>
          <w:rFonts w:ascii="Times New Roman" w:hAnsi="Times New Roman"/>
        </w:rPr>
        <w:t xml:space="preserve">, without something more, will not know the number of group members. In some cases, estimating the number of group members </w:t>
      </w:r>
      <w:r w:rsidR="004156E4" w:rsidRPr="00CB2E9A">
        <w:rPr>
          <w:rFonts w:ascii="Times New Roman" w:hAnsi="Times New Roman"/>
        </w:rPr>
        <w:t xml:space="preserve">with a reasonable degree of accuracy </w:t>
      </w:r>
      <w:r w:rsidR="00BB44B3" w:rsidRPr="00CB2E9A">
        <w:rPr>
          <w:rFonts w:ascii="Times New Roman" w:hAnsi="Times New Roman"/>
        </w:rPr>
        <w:t xml:space="preserve">may be </w:t>
      </w:r>
      <w:r w:rsidR="002C7F20" w:rsidRPr="00CB2E9A">
        <w:rPr>
          <w:rFonts w:ascii="Times New Roman" w:hAnsi="Times New Roman"/>
        </w:rPr>
        <w:t xml:space="preserve">simple. In other cases, estimating the number of group members </w:t>
      </w:r>
      <w:r w:rsidR="004156E4" w:rsidRPr="00CB2E9A">
        <w:rPr>
          <w:rFonts w:ascii="Times New Roman" w:hAnsi="Times New Roman"/>
        </w:rPr>
        <w:t xml:space="preserve">with a reasonable degree of accuracy </w:t>
      </w:r>
      <w:r w:rsidR="002C7F20" w:rsidRPr="00CB2E9A">
        <w:rPr>
          <w:rFonts w:ascii="Times New Roman" w:hAnsi="Times New Roman"/>
        </w:rPr>
        <w:t xml:space="preserve">may be impossible. </w:t>
      </w:r>
      <w:r w:rsidR="0063569F" w:rsidRPr="00CB2E9A">
        <w:rPr>
          <w:rFonts w:ascii="Times New Roman" w:hAnsi="Times New Roman"/>
        </w:rPr>
        <w:t>T</w:t>
      </w:r>
      <w:r w:rsidR="00CB2152" w:rsidRPr="00CB2E9A">
        <w:rPr>
          <w:rFonts w:ascii="Times New Roman" w:hAnsi="Times New Roman"/>
        </w:rPr>
        <w:t xml:space="preserve">he representative plaintiff and the representative plaintiff's lawyers </w:t>
      </w:r>
      <w:r w:rsidR="0063569F" w:rsidRPr="00CB2E9A">
        <w:rPr>
          <w:rFonts w:ascii="Times New Roman" w:hAnsi="Times New Roman"/>
        </w:rPr>
        <w:t xml:space="preserve">have an interest in being able to </w:t>
      </w:r>
      <w:r w:rsidR="00B5522C" w:rsidRPr="00CB2E9A">
        <w:rPr>
          <w:rFonts w:ascii="Times New Roman" w:hAnsi="Times New Roman"/>
        </w:rPr>
        <w:t xml:space="preserve">estimate the number of group members with a reasonable degree of accuracy for several </w:t>
      </w:r>
      <w:r w:rsidR="00B71A37" w:rsidRPr="00CB2E9A">
        <w:rPr>
          <w:rFonts w:ascii="Times New Roman" w:hAnsi="Times New Roman"/>
        </w:rPr>
        <w:t>purposes</w:t>
      </w:r>
      <w:r w:rsidR="00E550CD" w:rsidRPr="00CB2E9A">
        <w:rPr>
          <w:rFonts w:ascii="Times New Roman" w:hAnsi="Times New Roman"/>
        </w:rPr>
        <w:t>,</w:t>
      </w:r>
      <w:r w:rsidR="00B5522C" w:rsidRPr="00CB2E9A">
        <w:rPr>
          <w:rFonts w:ascii="Times New Roman" w:hAnsi="Times New Roman"/>
        </w:rPr>
        <w:t xml:space="preserve"> including: </w:t>
      </w:r>
      <w:r w:rsidR="00B71A37" w:rsidRPr="00CB2E9A">
        <w:rPr>
          <w:rFonts w:ascii="Times New Roman" w:hAnsi="Times New Roman"/>
        </w:rPr>
        <w:t>negotiating an appropriate settlement</w:t>
      </w:r>
      <w:r w:rsidR="004B0E1F" w:rsidRPr="00CB2E9A">
        <w:rPr>
          <w:rFonts w:ascii="Times New Roman" w:hAnsi="Times New Roman"/>
        </w:rPr>
        <w:t xml:space="preserve"> (</w:t>
      </w:r>
      <w:r w:rsidR="004D3C26" w:rsidRPr="00CB2E9A">
        <w:rPr>
          <w:rFonts w:ascii="Times New Roman" w:hAnsi="Times New Roman"/>
        </w:rPr>
        <w:t xml:space="preserve">for example, </w:t>
      </w:r>
      <w:r w:rsidR="00914477" w:rsidRPr="00CB2E9A">
        <w:rPr>
          <w:rFonts w:ascii="Times New Roman" w:hAnsi="Times New Roman"/>
        </w:rPr>
        <w:t xml:space="preserve">to ensure </w:t>
      </w:r>
      <w:r w:rsidR="004D3C26" w:rsidRPr="00CB2E9A">
        <w:rPr>
          <w:rFonts w:ascii="Times New Roman" w:hAnsi="Times New Roman"/>
        </w:rPr>
        <w:t xml:space="preserve">that </w:t>
      </w:r>
      <w:r w:rsidR="001561A3" w:rsidRPr="00CB2E9A">
        <w:rPr>
          <w:rFonts w:ascii="Times New Roman" w:hAnsi="Times New Roman"/>
        </w:rPr>
        <w:t xml:space="preserve">the </w:t>
      </w:r>
      <w:r w:rsidR="004D3C26" w:rsidRPr="00CB2E9A">
        <w:rPr>
          <w:rFonts w:ascii="Times New Roman" w:hAnsi="Times New Roman"/>
        </w:rPr>
        <w:t>settlement negotiated</w:t>
      </w:r>
      <w:r w:rsidR="001561A3" w:rsidRPr="00CB2E9A">
        <w:rPr>
          <w:rFonts w:ascii="Times New Roman" w:hAnsi="Times New Roman"/>
        </w:rPr>
        <w:t xml:space="preserve"> involves an amount appropriate for distribution between all participating group members</w:t>
      </w:r>
      <w:r w:rsidR="004B0E1F" w:rsidRPr="00CB2E9A">
        <w:rPr>
          <w:rFonts w:ascii="Times New Roman" w:hAnsi="Times New Roman"/>
        </w:rPr>
        <w:t>)</w:t>
      </w:r>
      <w:r w:rsidR="00B71A37" w:rsidRPr="00CB2E9A">
        <w:rPr>
          <w:rFonts w:ascii="Times New Roman" w:hAnsi="Times New Roman"/>
        </w:rPr>
        <w:t xml:space="preserve">; facilitating the Court approving the settlement; facilitating the Court </w:t>
      </w:r>
      <w:r w:rsidR="0040267F" w:rsidRPr="00CB2E9A">
        <w:rPr>
          <w:rFonts w:ascii="Times New Roman" w:hAnsi="Times New Roman"/>
        </w:rPr>
        <w:t xml:space="preserve">making such orders as are just with respect to the distribution of any money paid under the settlement; </w:t>
      </w:r>
      <w:r w:rsidR="00DE38A2" w:rsidRPr="00CB2E9A">
        <w:rPr>
          <w:rFonts w:ascii="Times New Roman" w:hAnsi="Times New Roman"/>
        </w:rPr>
        <w:t xml:space="preserve">and, </w:t>
      </w:r>
      <w:r w:rsidR="00431A78" w:rsidRPr="00CB2E9A">
        <w:rPr>
          <w:rFonts w:ascii="Times New Roman" w:hAnsi="Times New Roman"/>
        </w:rPr>
        <w:t xml:space="preserve">if the case does not settle, facilitating the Court working out the </w:t>
      </w:r>
      <w:r w:rsidR="00852B05" w:rsidRPr="00CB2E9A">
        <w:rPr>
          <w:rFonts w:ascii="Times New Roman" w:hAnsi="Times New Roman"/>
        </w:rPr>
        <w:t>award of damages and making orders for the payment or distribution of the money to the group members entitled</w:t>
      </w:r>
      <w:r w:rsidR="00DF471C" w:rsidRPr="00CB2E9A">
        <w:rPr>
          <w:rFonts w:ascii="Times New Roman" w:hAnsi="Times New Roman"/>
        </w:rPr>
        <w:t xml:space="preserve"> (</w:t>
      </w:r>
      <w:r w:rsidR="001F0AF9" w:rsidRPr="00CB2E9A">
        <w:rPr>
          <w:rFonts w:ascii="Times New Roman" w:hAnsi="Times New Roman"/>
        </w:rPr>
        <w:t>including the establishment of such entitlement by group members and providing for the constitution and administration of a fund consisting of the money to be distributed to group members who are so entitled</w:t>
      </w:r>
      <w:r w:rsidR="00DF471C" w:rsidRPr="00CB2E9A">
        <w:rPr>
          <w:rFonts w:ascii="Times New Roman" w:hAnsi="Times New Roman"/>
        </w:rPr>
        <w:t>)</w:t>
      </w:r>
      <w:r w:rsidR="001F0AF9" w:rsidRPr="00CB2E9A">
        <w:rPr>
          <w:rFonts w:ascii="Times New Roman" w:hAnsi="Times New Roman"/>
        </w:rPr>
        <w:t xml:space="preserve">. </w:t>
      </w:r>
    </w:p>
    <w:p w14:paraId="6951AEBB" w14:textId="090886EF" w:rsidR="009D6654" w:rsidRPr="00CB2E9A" w:rsidRDefault="009D6654"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2F7056" w:rsidRPr="00CB2E9A">
        <w:rPr>
          <w:rFonts w:ascii="Times New Roman" w:hAnsi="Times New Roman"/>
        </w:rPr>
        <w:t>The defendant and the defendant's lawyers also have an interest in being able to estimate the number of group members with a reasonable degree of accuracy for the same reasons as the representative plaintiff and the representative plaintiff's lawyers</w:t>
      </w:r>
      <w:r w:rsidR="00147DBE" w:rsidRPr="00CB2E9A">
        <w:rPr>
          <w:rFonts w:ascii="Times New Roman" w:hAnsi="Times New Roman"/>
        </w:rPr>
        <w:t>,</w:t>
      </w:r>
      <w:r w:rsidR="002F7056" w:rsidRPr="00CB2E9A">
        <w:rPr>
          <w:rFonts w:ascii="Times New Roman" w:hAnsi="Times New Roman"/>
        </w:rPr>
        <w:t xml:space="preserve"> </w:t>
      </w:r>
      <w:r w:rsidR="008A3E20" w:rsidRPr="00CB2E9A">
        <w:rPr>
          <w:rFonts w:ascii="Times New Roman" w:hAnsi="Times New Roman"/>
        </w:rPr>
        <w:t xml:space="preserve">and </w:t>
      </w:r>
      <w:r w:rsidR="000E4AE9" w:rsidRPr="00CB2E9A">
        <w:rPr>
          <w:rFonts w:ascii="Times New Roman" w:hAnsi="Times New Roman"/>
        </w:rPr>
        <w:t xml:space="preserve">for </w:t>
      </w:r>
      <w:r w:rsidR="008A3E20" w:rsidRPr="00CB2E9A">
        <w:rPr>
          <w:rFonts w:ascii="Times New Roman" w:hAnsi="Times New Roman"/>
        </w:rPr>
        <w:t xml:space="preserve">the additional reason of taking maximum advantage of the effect of </w:t>
      </w:r>
      <w:r w:rsidR="00E451D5" w:rsidRPr="00CB2E9A">
        <w:rPr>
          <w:rFonts w:ascii="Times New Roman" w:hAnsi="Times New Roman"/>
        </w:rPr>
        <w:t>s </w:t>
      </w:r>
      <w:r w:rsidR="007B2A89" w:rsidRPr="00CB2E9A">
        <w:rPr>
          <w:rFonts w:ascii="Times New Roman" w:hAnsi="Times New Roman"/>
        </w:rPr>
        <w:t>179(b) of the CPA</w:t>
      </w:r>
      <w:r w:rsidR="0043650E" w:rsidRPr="00CB2E9A">
        <w:rPr>
          <w:rFonts w:ascii="Times New Roman" w:hAnsi="Times New Roman"/>
        </w:rPr>
        <w:t xml:space="preserve">. From the </w:t>
      </w:r>
      <w:r w:rsidR="00FA6C9B" w:rsidRPr="00CB2E9A">
        <w:rPr>
          <w:rFonts w:ascii="Times New Roman" w:hAnsi="Times New Roman"/>
        </w:rPr>
        <w:t xml:space="preserve">perspective of the </w:t>
      </w:r>
      <w:r w:rsidR="00A616FA" w:rsidRPr="00CB2E9A">
        <w:rPr>
          <w:rFonts w:ascii="Times New Roman" w:hAnsi="Times New Roman"/>
        </w:rPr>
        <w:t>defendant and the defendant's lawyers</w:t>
      </w:r>
      <w:r w:rsidR="00FA6C9B" w:rsidRPr="00CB2E9A">
        <w:rPr>
          <w:rFonts w:ascii="Times New Roman" w:hAnsi="Times New Roman"/>
        </w:rPr>
        <w:t xml:space="preserve">, </w:t>
      </w:r>
      <w:r w:rsidR="005638E1" w:rsidRPr="00CB2E9A">
        <w:rPr>
          <w:rFonts w:ascii="Times New Roman" w:hAnsi="Times New Roman"/>
        </w:rPr>
        <w:t xml:space="preserve">facilitating registration of </w:t>
      </w:r>
      <w:r w:rsidR="0017786E" w:rsidRPr="00CB2E9A">
        <w:rPr>
          <w:rFonts w:ascii="Times New Roman" w:hAnsi="Times New Roman"/>
        </w:rPr>
        <w:t xml:space="preserve">group members' </w:t>
      </w:r>
      <w:r w:rsidR="005638E1" w:rsidRPr="00CB2E9A">
        <w:rPr>
          <w:rFonts w:ascii="Times New Roman" w:hAnsi="Times New Roman"/>
        </w:rPr>
        <w:t>participation in the representative proceeding enable</w:t>
      </w:r>
      <w:r w:rsidR="0017786E" w:rsidRPr="00CB2E9A">
        <w:rPr>
          <w:rFonts w:ascii="Times New Roman" w:hAnsi="Times New Roman"/>
        </w:rPr>
        <w:t>s</w:t>
      </w:r>
      <w:r w:rsidR="005638E1" w:rsidRPr="00CB2E9A">
        <w:rPr>
          <w:rFonts w:ascii="Times New Roman" w:hAnsi="Times New Roman"/>
        </w:rPr>
        <w:t xml:space="preserve"> the defendant and the defendant's lawyers</w:t>
      </w:r>
      <w:r w:rsidR="000B25C4" w:rsidRPr="00CB2E9A">
        <w:rPr>
          <w:rFonts w:ascii="Times New Roman" w:hAnsi="Times New Roman"/>
        </w:rPr>
        <w:t xml:space="preserve">, in </w:t>
      </w:r>
      <w:r w:rsidR="000B25C4" w:rsidRPr="00CB2E9A">
        <w:rPr>
          <w:rFonts w:ascii="Times New Roman" w:hAnsi="Times New Roman"/>
        </w:rPr>
        <w:lastRenderedPageBreak/>
        <w:t>particular,</w:t>
      </w:r>
      <w:r w:rsidR="005638E1" w:rsidRPr="00CB2E9A">
        <w:rPr>
          <w:rFonts w:ascii="Times New Roman" w:hAnsi="Times New Roman"/>
        </w:rPr>
        <w:t xml:space="preserve"> to: (a) better estimate </w:t>
      </w:r>
      <w:r w:rsidR="0017786E" w:rsidRPr="00CB2E9A">
        <w:rPr>
          <w:rFonts w:ascii="Times New Roman" w:hAnsi="Times New Roman"/>
        </w:rPr>
        <w:t xml:space="preserve">the defendant's </w:t>
      </w:r>
      <w:r w:rsidR="005638E1" w:rsidRPr="00CB2E9A">
        <w:rPr>
          <w:rFonts w:ascii="Times New Roman" w:hAnsi="Times New Roman"/>
        </w:rPr>
        <w:t>total potential liability to those who are group members</w:t>
      </w:r>
      <w:r w:rsidR="00D175C4" w:rsidRPr="00CB2E9A">
        <w:rPr>
          <w:rFonts w:ascii="Times New Roman" w:hAnsi="Times New Roman"/>
        </w:rPr>
        <w:t xml:space="preserve"> (</w:t>
      </w:r>
      <w:r w:rsidR="00110D3C" w:rsidRPr="00CB2E9A">
        <w:rPr>
          <w:rFonts w:ascii="Times New Roman" w:hAnsi="Times New Roman"/>
        </w:rPr>
        <w:t xml:space="preserve">and </w:t>
      </w:r>
      <w:r w:rsidR="00E60084" w:rsidRPr="00CB2E9A">
        <w:rPr>
          <w:rFonts w:ascii="Times New Roman" w:hAnsi="Times New Roman"/>
        </w:rPr>
        <w:t xml:space="preserve">its potential liability </w:t>
      </w:r>
      <w:r w:rsidR="00110D3C" w:rsidRPr="00CB2E9A">
        <w:rPr>
          <w:rFonts w:ascii="Times New Roman" w:hAnsi="Times New Roman"/>
        </w:rPr>
        <w:t>to those who</w:t>
      </w:r>
      <w:r w:rsidR="00D175C4" w:rsidRPr="00CB2E9A">
        <w:rPr>
          <w:rFonts w:ascii="Times New Roman" w:hAnsi="Times New Roman"/>
        </w:rPr>
        <w:t xml:space="preserve"> </w:t>
      </w:r>
      <w:r w:rsidR="0023091C" w:rsidRPr="00CB2E9A">
        <w:rPr>
          <w:rFonts w:ascii="Times New Roman" w:hAnsi="Times New Roman"/>
        </w:rPr>
        <w:t xml:space="preserve">opt </w:t>
      </w:r>
      <w:r w:rsidR="00D175C4" w:rsidRPr="00CB2E9A">
        <w:rPr>
          <w:rFonts w:ascii="Times New Roman" w:hAnsi="Times New Roman"/>
        </w:rPr>
        <w:t>out of the representative proceeding in order to preserve their own cause of action against the defendant); (b) </w:t>
      </w:r>
      <w:r w:rsidR="00DC69D3" w:rsidRPr="00CB2E9A">
        <w:rPr>
          <w:rFonts w:ascii="Times New Roman" w:hAnsi="Times New Roman"/>
        </w:rPr>
        <w:t>negotiate a settlement with</w:t>
      </w:r>
      <w:r w:rsidR="000B25C4" w:rsidRPr="00CB2E9A">
        <w:rPr>
          <w:rFonts w:ascii="Times New Roman" w:hAnsi="Times New Roman"/>
        </w:rPr>
        <w:t xml:space="preserve"> the representative plaintiff with</w:t>
      </w:r>
      <w:r w:rsidR="00DC69D3" w:rsidRPr="00CB2E9A">
        <w:rPr>
          <w:rFonts w:ascii="Times New Roman" w:hAnsi="Times New Roman"/>
        </w:rPr>
        <w:t xml:space="preserve"> greater confidence as to that total potential liability</w:t>
      </w:r>
      <w:r w:rsidR="008B38C3" w:rsidRPr="00CB2E9A">
        <w:rPr>
          <w:rFonts w:ascii="Times New Roman" w:hAnsi="Times New Roman"/>
        </w:rPr>
        <w:t>, including</w:t>
      </w:r>
      <w:r w:rsidR="00DC69D3" w:rsidRPr="00CB2E9A">
        <w:rPr>
          <w:rFonts w:ascii="Times New Roman" w:hAnsi="Times New Roman"/>
        </w:rPr>
        <w:t xml:space="preserve"> by minimising the risk of </w:t>
      </w:r>
      <w:r w:rsidR="000B25C4" w:rsidRPr="00CB2E9A">
        <w:rPr>
          <w:rFonts w:ascii="Times New Roman" w:hAnsi="Times New Roman"/>
        </w:rPr>
        <w:t xml:space="preserve">group members who have neither registered their participation in </w:t>
      </w:r>
      <w:r w:rsidR="008B38C3" w:rsidRPr="00CB2E9A">
        <w:rPr>
          <w:rFonts w:ascii="Times New Roman" w:hAnsi="Times New Roman"/>
        </w:rPr>
        <w:t xml:space="preserve">nor opted out of </w:t>
      </w:r>
      <w:r w:rsidR="000B25C4" w:rsidRPr="00CB2E9A">
        <w:rPr>
          <w:rFonts w:ascii="Times New Roman" w:hAnsi="Times New Roman"/>
        </w:rPr>
        <w:t xml:space="preserve">the </w:t>
      </w:r>
      <w:r w:rsidR="008B38C3" w:rsidRPr="00CB2E9A">
        <w:rPr>
          <w:rFonts w:ascii="Times New Roman" w:hAnsi="Times New Roman"/>
        </w:rPr>
        <w:t>representative proceeding</w:t>
      </w:r>
      <w:r w:rsidR="00A204B0" w:rsidRPr="00CB2E9A">
        <w:rPr>
          <w:rFonts w:ascii="Times New Roman" w:hAnsi="Times New Roman"/>
        </w:rPr>
        <w:t>, after settlement, seeking to benefit from the terms of the settlement</w:t>
      </w:r>
      <w:r w:rsidR="000C4B45" w:rsidRPr="00CB2E9A">
        <w:rPr>
          <w:rFonts w:ascii="Times New Roman" w:hAnsi="Times New Roman"/>
        </w:rPr>
        <w:t>; and (c) </w:t>
      </w:r>
      <w:r w:rsidR="00CA35FA" w:rsidRPr="00CB2E9A">
        <w:rPr>
          <w:rFonts w:ascii="Times New Roman" w:hAnsi="Times New Roman"/>
        </w:rPr>
        <w:t>by</w:t>
      </w:r>
      <w:r w:rsidR="00193CE3" w:rsidRPr="00CB2E9A">
        <w:rPr>
          <w:rFonts w:ascii="Times New Roman" w:hAnsi="Times New Roman"/>
        </w:rPr>
        <w:t xml:space="preserve"> </w:t>
      </w:r>
      <w:r w:rsidR="000C4B45" w:rsidRPr="00CB2E9A">
        <w:rPr>
          <w:rFonts w:ascii="Times New Roman" w:hAnsi="Times New Roman"/>
        </w:rPr>
        <w:t>maximising the number of group members</w:t>
      </w:r>
      <w:r w:rsidR="00CA35FA" w:rsidRPr="00CB2E9A">
        <w:rPr>
          <w:rFonts w:ascii="Times New Roman" w:hAnsi="Times New Roman"/>
        </w:rPr>
        <w:t xml:space="preserve"> known to the defendant and the defendant's lawyers before a settlement is negotiated, ensuring the </w:t>
      </w:r>
      <w:r w:rsidR="00E8142E" w:rsidRPr="00CB2E9A">
        <w:rPr>
          <w:rFonts w:ascii="Times New Roman" w:hAnsi="Times New Roman"/>
        </w:rPr>
        <w:t xml:space="preserve">settlement can be tailored accordingly and </w:t>
      </w:r>
      <w:r w:rsidR="00B25489" w:rsidRPr="00CB2E9A">
        <w:rPr>
          <w:rFonts w:ascii="Times New Roman" w:hAnsi="Times New Roman"/>
        </w:rPr>
        <w:t xml:space="preserve">ensuring that </w:t>
      </w:r>
      <w:r w:rsidR="00803E57" w:rsidRPr="00CB2E9A">
        <w:rPr>
          <w:rFonts w:ascii="Times New Roman" w:hAnsi="Times New Roman"/>
        </w:rPr>
        <w:t xml:space="preserve">the </w:t>
      </w:r>
      <w:r w:rsidR="00B25489" w:rsidRPr="00CB2E9A">
        <w:rPr>
          <w:rFonts w:ascii="Times New Roman" w:hAnsi="Times New Roman"/>
        </w:rPr>
        <w:t xml:space="preserve">maximum number </w:t>
      </w:r>
      <w:r w:rsidR="00933C9A" w:rsidRPr="00CB2E9A">
        <w:rPr>
          <w:rFonts w:ascii="Times New Roman" w:hAnsi="Times New Roman"/>
        </w:rPr>
        <w:t xml:space="preserve">of group members are </w:t>
      </w:r>
      <w:r w:rsidR="00B25489" w:rsidRPr="00CB2E9A">
        <w:rPr>
          <w:rFonts w:ascii="Times New Roman" w:hAnsi="Times New Roman"/>
        </w:rPr>
        <w:t xml:space="preserve">bound by any </w:t>
      </w:r>
      <w:r w:rsidR="006F3EC8" w:rsidRPr="00CB2E9A">
        <w:rPr>
          <w:rFonts w:ascii="Times New Roman" w:hAnsi="Times New Roman"/>
        </w:rPr>
        <w:t>approved</w:t>
      </w:r>
      <w:r w:rsidR="00B25489" w:rsidRPr="00CB2E9A">
        <w:rPr>
          <w:rFonts w:ascii="Times New Roman" w:hAnsi="Times New Roman"/>
        </w:rPr>
        <w:t xml:space="preserve"> </w:t>
      </w:r>
      <w:r w:rsidR="006F3EC8" w:rsidRPr="00CB2E9A">
        <w:rPr>
          <w:rFonts w:ascii="Times New Roman" w:hAnsi="Times New Roman"/>
        </w:rPr>
        <w:t>settlement</w:t>
      </w:r>
      <w:r w:rsidR="00B25489" w:rsidRPr="00CB2E9A">
        <w:rPr>
          <w:rFonts w:ascii="Times New Roman" w:hAnsi="Times New Roman"/>
        </w:rPr>
        <w:t xml:space="preserve"> </w:t>
      </w:r>
      <w:r w:rsidR="006F3EC8" w:rsidRPr="00CB2E9A">
        <w:rPr>
          <w:rFonts w:ascii="Times New Roman" w:hAnsi="Times New Roman"/>
        </w:rPr>
        <w:t xml:space="preserve">in accordance with s 179(b) of the CPA. </w:t>
      </w:r>
      <w:r w:rsidR="005C6A51" w:rsidRPr="00CB2E9A">
        <w:rPr>
          <w:rFonts w:ascii="Times New Roman" w:hAnsi="Times New Roman"/>
        </w:rPr>
        <w:t xml:space="preserve">From the perspective of the defendant and the defendant's lawyers, </w:t>
      </w:r>
      <w:r w:rsidR="00047F21" w:rsidRPr="00CB2E9A">
        <w:rPr>
          <w:rFonts w:ascii="Times New Roman" w:hAnsi="Times New Roman"/>
        </w:rPr>
        <w:t xml:space="preserve">for example, </w:t>
      </w:r>
      <w:r w:rsidR="00BB416A" w:rsidRPr="00CB2E9A">
        <w:rPr>
          <w:rFonts w:ascii="Times New Roman" w:hAnsi="Times New Roman"/>
        </w:rPr>
        <w:t xml:space="preserve">it </w:t>
      </w:r>
      <w:r w:rsidR="005C6A51" w:rsidRPr="00CB2E9A">
        <w:rPr>
          <w:rFonts w:ascii="Times New Roman" w:hAnsi="Times New Roman"/>
        </w:rPr>
        <w:t>would be</w:t>
      </w:r>
      <w:r w:rsidR="00BB416A" w:rsidRPr="00CB2E9A">
        <w:rPr>
          <w:rFonts w:ascii="Times New Roman" w:hAnsi="Times New Roman"/>
        </w:rPr>
        <w:t xml:space="preserve"> undesirable</w:t>
      </w:r>
      <w:r w:rsidR="00123B5E">
        <w:rPr>
          <w:rFonts w:ascii="Times New Roman" w:hAnsi="Times New Roman"/>
        </w:rPr>
        <w:t>:</w:t>
      </w:r>
      <w:r w:rsidR="00DD4713" w:rsidRPr="00CB2E9A">
        <w:rPr>
          <w:rFonts w:ascii="Times New Roman" w:hAnsi="Times New Roman"/>
        </w:rPr>
        <w:t xml:space="preserve"> to</w:t>
      </w:r>
      <w:r w:rsidR="005C6A51" w:rsidRPr="00CB2E9A">
        <w:rPr>
          <w:rFonts w:ascii="Times New Roman" w:hAnsi="Times New Roman"/>
        </w:rPr>
        <w:t xml:space="preserve"> negotiate a settlement with a relatively small proportion of the potential group members; </w:t>
      </w:r>
      <w:r w:rsidR="00846461" w:rsidRPr="00CB2E9A">
        <w:rPr>
          <w:rFonts w:ascii="Times New Roman" w:hAnsi="Times New Roman"/>
        </w:rPr>
        <w:t xml:space="preserve">and </w:t>
      </w:r>
      <w:r w:rsidR="009B6D2E" w:rsidRPr="00CB2E9A">
        <w:rPr>
          <w:rFonts w:ascii="Times New Roman" w:hAnsi="Times New Roman"/>
        </w:rPr>
        <w:t xml:space="preserve">after negotiating such a settlement and seeking approval for it, to become aware of numerous other group members who either want to share in or </w:t>
      </w:r>
      <w:r w:rsidR="00C22750" w:rsidRPr="00CB2E9A">
        <w:rPr>
          <w:rFonts w:ascii="Times New Roman" w:hAnsi="Times New Roman"/>
        </w:rPr>
        <w:t xml:space="preserve">increase the settlement amount or </w:t>
      </w:r>
      <w:r w:rsidR="00346BED" w:rsidRPr="00CB2E9A">
        <w:rPr>
          <w:rFonts w:ascii="Times New Roman" w:hAnsi="Times New Roman"/>
        </w:rPr>
        <w:t xml:space="preserve">want </w:t>
      </w:r>
      <w:r w:rsidR="00C22750" w:rsidRPr="00CB2E9A">
        <w:rPr>
          <w:rFonts w:ascii="Times New Roman" w:hAnsi="Times New Roman"/>
        </w:rPr>
        <w:t>to be permitted to opt out of the proceeding in order to preserve their own cause of ac</w:t>
      </w:r>
      <w:r w:rsidR="000D336A" w:rsidRPr="00CB2E9A">
        <w:rPr>
          <w:rFonts w:ascii="Times New Roman" w:hAnsi="Times New Roman"/>
        </w:rPr>
        <w:t xml:space="preserve">tion against the defendant. </w:t>
      </w:r>
    </w:p>
    <w:p w14:paraId="5799121C" w14:textId="32F796F0" w:rsidR="0031372F" w:rsidRPr="00CB2E9A" w:rsidRDefault="0031372F" w:rsidP="00CB2E9A">
      <w:pPr>
        <w:pStyle w:val="FixListStyle"/>
        <w:spacing w:after="260" w:line="280" w:lineRule="exact"/>
        <w:ind w:right="0"/>
        <w:jc w:val="both"/>
        <w:rPr>
          <w:rFonts w:ascii="Times New Roman" w:hAnsi="Times New Roman"/>
        </w:rPr>
      </w:pPr>
      <w:r w:rsidRPr="00CB2E9A">
        <w:rPr>
          <w:rFonts w:ascii="Times New Roman" w:hAnsi="Times New Roman"/>
        </w:rPr>
        <w:tab/>
        <w:t>On this basis</w:t>
      </w:r>
      <w:r w:rsidR="00047F21" w:rsidRPr="00CB2E9A">
        <w:rPr>
          <w:rFonts w:ascii="Times New Roman" w:hAnsi="Times New Roman"/>
        </w:rPr>
        <w:t>,</w:t>
      </w:r>
      <w:r w:rsidRPr="00CB2E9A">
        <w:rPr>
          <w:rFonts w:ascii="Times New Roman" w:hAnsi="Times New Roman"/>
        </w:rPr>
        <w:t xml:space="preserve"> the two purposes Bell CJ </w:t>
      </w:r>
      <w:r w:rsidR="00973B1B" w:rsidRPr="00CB2E9A">
        <w:rPr>
          <w:rFonts w:ascii="Times New Roman" w:hAnsi="Times New Roman"/>
        </w:rPr>
        <w:t xml:space="preserve">identified as </w:t>
      </w:r>
      <w:r w:rsidR="00E75FF5" w:rsidRPr="00CB2E9A">
        <w:rPr>
          <w:rFonts w:ascii="Times New Roman" w:hAnsi="Times New Roman"/>
        </w:rPr>
        <w:t xml:space="preserve">informing </w:t>
      </w:r>
      <w:r w:rsidR="00973B1B" w:rsidRPr="00CB2E9A">
        <w:rPr>
          <w:rFonts w:ascii="Times New Roman" w:hAnsi="Times New Roman"/>
        </w:rPr>
        <w:t>the giving of the proposed notice are to be understood as</w:t>
      </w:r>
      <w:r w:rsidR="00D53C6B" w:rsidRPr="00CB2E9A">
        <w:rPr>
          <w:rFonts w:ascii="Times New Roman" w:hAnsi="Times New Roman"/>
        </w:rPr>
        <w:t xml:space="preserve"> reflecting </w:t>
      </w:r>
      <w:r w:rsidR="00D241F0" w:rsidRPr="00CB2E9A">
        <w:rPr>
          <w:rFonts w:ascii="Times New Roman" w:hAnsi="Times New Roman"/>
        </w:rPr>
        <w:t xml:space="preserve">the </w:t>
      </w:r>
      <w:r w:rsidR="00D53C6B" w:rsidRPr="00CB2E9A">
        <w:rPr>
          <w:rFonts w:ascii="Times New Roman" w:hAnsi="Times New Roman"/>
        </w:rPr>
        <w:t xml:space="preserve">practical reality of </w:t>
      </w:r>
      <w:r w:rsidR="0077783D" w:rsidRPr="00CB2E9A">
        <w:rPr>
          <w:rFonts w:ascii="Times New Roman" w:hAnsi="Times New Roman"/>
        </w:rPr>
        <w:t xml:space="preserve">a </w:t>
      </w:r>
      <w:r w:rsidR="00403063" w:rsidRPr="00CB2E9A">
        <w:rPr>
          <w:rFonts w:ascii="Times New Roman" w:hAnsi="Times New Roman"/>
        </w:rPr>
        <w:t>representative</w:t>
      </w:r>
      <w:r w:rsidR="00D53C6B" w:rsidRPr="00CB2E9A">
        <w:rPr>
          <w:rFonts w:ascii="Times New Roman" w:hAnsi="Times New Roman"/>
        </w:rPr>
        <w:t xml:space="preserve"> proceeding</w:t>
      </w:r>
      <w:r w:rsidR="006C437A" w:rsidRPr="00CB2E9A">
        <w:rPr>
          <w:rFonts w:ascii="Times New Roman" w:hAnsi="Times New Roman"/>
        </w:rPr>
        <w:t>, namely</w:t>
      </w:r>
      <w:r w:rsidR="00D53C6B" w:rsidRPr="00CB2E9A">
        <w:rPr>
          <w:rFonts w:ascii="Times New Roman" w:hAnsi="Times New Roman"/>
        </w:rPr>
        <w:t xml:space="preserve"> that</w:t>
      </w:r>
      <w:r w:rsidR="005F4B30" w:rsidRPr="00CB2E9A">
        <w:rPr>
          <w:rFonts w:ascii="Times New Roman" w:hAnsi="Times New Roman"/>
        </w:rPr>
        <w:t>:</w:t>
      </w:r>
      <w:r w:rsidR="00403063" w:rsidRPr="00CB2E9A">
        <w:rPr>
          <w:rFonts w:ascii="Times New Roman" w:hAnsi="Times New Roman"/>
        </w:rPr>
        <w:t xml:space="preserve"> on the one hand, the provisions of the statutory scheme contemplate that a group member who does not opt out of proceedings in response to a notice under </w:t>
      </w:r>
      <w:r w:rsidR="00197D1C" w:rsidRPr="00CB2E9A">
        <w:rPr>
          <w:rFonts w:ascii="Times New Roman" w:hAnsi="Times New Roman"/>
        </w:rPr>
        <w:t>s 1</w:t>
      </w:r>
      <w:r w:rsidR="00CD4F5C" w:rsidRPr="00CB2E9A">
        <w:rPr>
          <w:rFonts w:ascii="Times New Roman" w:hAnsi="Times New Roman"/>
        </w:rPr>
        <w:t xml:space="preserve">75(1)(a) as contemplated by s 162 remains a group member </w:t>
      </w:r>
      <w:r w:rsidR="00047F21" w:rsidRPr="00CB2E9A">
        <w:rPr>
          <w:rFonts w:ascii="Times New Roman" w:hAnsi="Times New Roman"/>
        </w:rPr>
        <w:t xml:space="preserve">and </w:t>
      </w:r>
      <w:r w:rsidR="006438B0" w:rsidRPr="00CB2E9A">
        <w:rPr>
          <w:rFonts w:ascii="Times New Roman" w:hAnsi="Times New Roman"/>
        </w:rPr>
        <w:t xml:space="preserve">is </w:t>
      </w:r>
      <w:r w:rsidR="00047F21" w:rsidRPr="00CB2E9A">
        <w:rPr>
          <w:rFonts w:ascii="Times New Roman" w:hAnsi="Times New Roman"/>
        </w:rPr>
        <w:t xml:space="preserve">therefore </w:t>
      </w:r>
      <w:r w:rsidR="004673F5" w:rsidRPr="00CB2E9A">
        <w:rPr>
          <w:rFonts w:ascii="Times New Roman" w:hAnsi="Times New Roman"/>
        </w:rPr>
        <w:t>able to benefit from</w:t>
      </w:r>
      <w:r w:rsidR="00581145" w:rsidRPr="00CB2E9A">
        <w:rPr>
          <w:rFonts w:ascii="Times New Roman" w:hAnsi="Times New Roman"/>
        </w:rPr>
        <w:t>,</w:t>
      </w:r>
      <w:r w:rsidR="004673F5" w:rsidRPr="00CB2E9A">
        <w:rPr>
          <w:rFonts w:ascii="Times New Roman" w:hAnsi="Times New Roman"/>
        </w:rPr>
        <w:t xml:space="preserve"> </w:t>
      </w:r>
      <w:r w:rsidR="000C0106" w:rsidRPr="00CB2E9A">
        <w:rPr>
          <w:rFonts w:ascii="Times New Roman" w:hAnsi="Times New Roman"/>
        </w:rPr>
        <w:t xml:space="preserve">but </w:t>
      </w:r>
      <w:r w:rsidR="006438B0" w:rsidRPr="00CB2E9A">
        <w:rPr>
          <w:rFonts w:ascii="Times New Roman" w:hAnsi="Times New Roman"/>
        </w:rPr>
        <w:t xml:space="preserve">is </w:t>
      </w:r>
      <w:r w:rsidR="000C0106" w:rsidRPr="00CB2E9A">
        <w:rPr>
          <w:rFonts w:ascii="Times New Roman" w:hAnsi="Times New Roman"/>
        </w:rPr>
        <w:t>also bound by</w:t>
      </w:r>
      <w:r w:rsidR="00581145" w:rsidRPr="00CB2E9A">
        <w:rPr>
          <w:rFonts w:ascii="Times New Roman" w:hAnsi="Times New Roman"/>
        </w:rPr>
        <w:t>,</w:t>
      </w:r>
      <w:r w:rsidR="000C0106" w:rsidRPr="00CB2E9A">
        <w:rPr>
          <w:rFonts w:ascii="Times New Roman" w:hAnsi="Times New Roman"/>
        </w:rPr>
        <w:t xml:space="preserve"> </w:t>
      </w:r>
      <w:r w:rsidR="004673F5" w:rsidRPr="00CB2E9A">
        <w:rPr>
          <w:rFonts w:ascii="Times New Roman" w:hAnsi="Times New Roman"/>
        </w:rPr>
        <w:t xml:space="preserve">a judgment (by settlement or otherwise) </w:t>
      </w:r>
      <w:r w:rsidR="000C0106" w:rsidRPr="00CB2E9A">
        <w:rPr>
          <w:rFonts w:ascii="Times New Roman" w:hAnsi="Times New Roman"/>
        </w:rPr>
        <w:t>in accordance with s 179(b)</w:t>
      </w:r>
      <w:r w:rsidR="006438B0" w:rsidRPr="00CB2E9A">
        <w:rPr>
          <w:rFonts w:ascii="Times New Roman" w:hAnsi="Times New Roman"/>
        </w:rPr>
        <w:t>;</w:t>
      </w:r>
      <w:r w:rsidR="000C0106" w:rsidRPr="00CB2E9A">
        <w:rPr>
          <w:rFonts w:ascii="Times New Roman" w:hAnsi="Times New Roman"/>
        </w:rPr>
        <w:t xml:space="preserve"> and, on the other hand, to </w:t>
      </w:r>
      <w:r w:rsidR="003B6F3F" w:rsidRPr="00CB2E9A">
        <w:rPr>
          <w:rFonts w:ascii="Times New Roman" w:hAnsi="Times New Roman"/>
        </w:rPr>
        <w:t xml:space="preserve">facilitate </w:t>
      </w:r>
      <w:r w:rsidR="000B72D6" w:rsidRPr="00CB2E9A">
        <w:rPr>
          <w:rFonts w:ascii="Times New Roman" w:hAnsi="Times New Roman"/>
        </w:rPr>
        <w:t xml:space="preserve">the </w:t>
      </w:r>
      <w:r w:rsidR="003B6F3F" w:rsidRPr="00CB2E9A">
        <w:rPr>
          <w:rFonts w:ascii="Times New Roman" w:hAnsi="Times New Roman"/>
        </w:rPr>
        <w:t xml:space="preserve">settlement of </w:t>
      </w:r>
      <w:r w:rsidR="0077783D" w:rsidRPr="00CB2E9A">
        <w:rPr>
          <w:rFonts w:ascii="Times New Roman" w:hAnsi="Times New Roman"/>
        </w:rPr>
        <w:t xml:space="preserve">a </w:t>
      </w:r>
      <w:r w:rsidR="003B6F3F" w:rsidRPr="00CB2E9A">
        <w:rPr>
          <w:rFonts w:ascii="Times New Roman" w:hAnsi="Times New Roman"/>
        </w:rPr>
        <w:t xml:space="preserve">representative proceeding and </w:t>
      </w:r>
      <w:r w:rsidR="009020F9" w:rsidRPr="00CB2E9A">
        <w:rPr>
          <w:rFonts w:ascii="Times New Roman" w:hAnsi="Times New Roman"/>
        </w:rPr>
        <w:t xml:space="preserve">to improve </w:t>
      </w:r>
      <w:r w:rsidR="003B6F3F" w:rsidRPr="00CB2E9A">
        <w:rPr>
          <w:rFonts w:ascii="Times New Roman" w:hAnsi="Times New Roman"/>
        </w:rPr>
        <w:t>its prospects of being approved by the Court</w:t>
      </w:r>
      <w:r w:rsidR="0077783D" w:rsidRPr="00CB2E9A">
        <w:rPr>
          <w:rFonts w:ascii="Times New Roman" w:hAnsi="Times New Roman"/>
        </w:rPr>
        <w:t>,</w:t>
      </w:r>
      <w:r w:rsidR="003B6F3F" w:rsidRPr="00CB2E9A">
        <w:rPr>
          <w:rFonts w:ascii="Times New Roman" w:hAnsi="Times New Roman"/>
        </w:rPr>
        <w:t xml:space="preserve"> the </w:t>
      </w:r>
      <w:r w:rsidR="0068737A" w:rsidRPr="00CB2E9A">
        <w:rPr>
          <w:rFonts w:ascii="Times New Roman" w:hAnsi="Times New Roman"/>
        </w:rPr>
        <w:t>representative</w:t>
      </w:r>
      <w:r w:rsidR="003B6F3F" w:rsidRPr="00CB2E9A">
        <w:rPr>
          <w:rFonts w:ascii="Times New Roman" w:hAnsi="Times New Roman"/>
        </w:rPr>
        <w:t xml:space="preserve"> plaintiff and </w:t>
      </w:r>
      <w:r w:rsidR="004967F5" w:rsidRPr="00CB2E9A">
        <w:rPr>
          <w:rFonts w:ascii="Times New Roman" w:hAnsi="Times New Roman"/>
        </w:rPr>
        <w:t xml:space="preserve">the </w:t>
      </w:r>
      <w:r w:rsidR="0068737A" w:rsidRPr="00CB2E9A">
        <w:rPr>
          <w:rFonts w:ascii="Times New Roman" w:hAnsi="Times New Roman"/>
        </w:rPr>
        <w:t xml:space="preserve">defendant and their lawyers </w:t>
      </w:r>
      <w:r w:rsidR="000C02D5" w:rsidRPr="00CB2E9A">
        <w:rPr>
          <w:rFonts w:ascii="Times New Roman" w:hAnsi="Times New Roman"/>
        </w:rPr>
        <w:t xml:space="preserve">need to be able </w:t>
      </w:r>
      <w:r w:rsidR="00FA27EF" w:rsidRPr="00CB2E9A">
        <w:rPr>
          <w:rFonts w:ascii="Times New Roman" w:hAnsi="Times New Roman"/>
        </w:rPr>
        <w:t xml:space="preserve">to </w:t>
      </w:r>
      <w:r w:rsidR="000C02D5" w:rsidRPr="00CB2E9A">
        <w:rPr>
          <w:rFonts w:ascii="Times New Roman" w:hAnsi="Times New Roman"/>
        </w:rPr>
        <w:t xml:space="preserve">estimate the number of group members with a reasonable degree of accuracy. </w:t>
      </w:r>
    </w:p>
    <w:p w14:paraId="1B95E295" w14:textId="734CDC63" w:rsidR="00176B33" w:rsidRPr="00CB2E9A" w:rsidRDefault="00E71C41"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872FB3" w:rsidRPr="00CB2E9A">
        <w:rPr>
          <w:rFonts w:ascii="Times New Roman" w:hAnsi="Times New Roman"/>
        </w:rPr>
        <w:t xml:space="preserve">This said, it should not be assumed that the interests of (on the one hand) </w:t>
      </w:r>
      <w:r w:rsidR="00FD1C56" w:rsidRPr="00CB2E9A">
        <w:rPr>
          <w:rFonts w:ascii="Times New Roman" w:hAnsi="Times New Roman"/>
        </w:rPr>
        <w:t xml:space="preserve">a </w:t>
      </w:r>
      <w:r w:rsidR="00872FB3" w:rsidRPr="00CB2E9A">
        <w:rPr>
          <w:rFonts w:ascii="Times New Roman" w:hAnsi="Times New Roman"/>
        </w:rPr>
        <w:t xml:space="preserve">representative plaintiff and the representative plaintiff's lawyers and (on the other hand) </w:t>
      </w:r>
      <w:r w:rsidR="00FD1C56" w:rsidRPr="00CB2E9A">
        <w:rPr>
          <w:rFonts w:ascii="Times New Roman" w:hAnsi="Times New Roman"/>
        </w:rPr>
        <w:t xml:space="preserve">a </w:t>
      </w:r>
      <w:r w:rsidR="00872FB3" w:rsidRPr="00CB2E9A">
        <w:rPr>
          <w:rFonts w:ascii="Times New Roman" w:hAnsi="Times New Roman"/>
        </w:rPr>
        <w:t>defendant and its lawyers ar</w:t>
      </w:r>
      <w:r w:rsidR="00FD1C56" w:rsidRPr="00CB2E9A">
        <w:rPr>
          <w:rFonts w:ascii="Times New Roman" w:hAnsi="Times New Roman"/>
        </w:rPr>
        <w:t xml:space="preserve">e consistent and congruent. </w:t>
      </w:r>
      <w:r w:rsidR="00321667" w:rsidRPr="00CB2E9A">
        <w:rPr>
          <w:rFonts w:ascii="Times New Roman" w:hAnsi="Times New Roman"/>
        </w:rPr>
        <w:t xml:space="preserve">At </w:t>
      </w:r>
      <w:r w:rsidR="00C9249C" w:rsidRPr="00CB2E9A">
        <w:rPr>
          <w:rFonts w:ascii="Times New Roman" w:hAnsi="Times New Roman"/>
        </w:rPr>
        <w:t xml:space="preserve">different stages of the representative proceeding, </w:t>
      </w:r>
      <w:r w:rsidR="008A7C9E" w:rsidRPr="00CB2E9A">
        <w:rPr>
          <w:rFonts w:ascii="Times New Roman" w:hAnsi="Times New Roman"/>
        </w:rPr>
        <w:t xml:space="preserve">the </w:t>
      </w:r>
      <w:r w:rsidR="00C9249C" w:rsidRPr="00CB2E9A">
        <w:rPr>
          <w:rFonts w:ascii="Times New Roman" w:hAnsi="Times New Roman"/>
        </w:rPr>
        <w:t xml:space="preserve">interests of </w:t>
      </w:r>
      <w:r w:rsidR="00124B20" w:rsidRPr="00CB2E9A">
        <w:rPr>
          <w:rFonts w:ascii="Times New Roman" w:hAnsi="Times New Roman"/>
        </w:rPr>
        <w:t xml:space="preserve">each may converge or compete </w:t>
      </w:r>
      <w:r w:rsidR="003E1C0E" w:rsidRPr="00CB2E9A">
        <w:rPr>
          <w:rFonts w:ascii="Times New Roman" w:hAnsi="Times New Roman"/>
        </w:rPr>
        <w:t xml:space="preserve">with other of their interests </w:t>
      </w:r>
      <w:r w:rsidR="00124B20" w:rsidRPr="00CB2E9A">
        <w:rPr>
          <w:rFonts w:ascii="Times New Roman" w:hAnsi="Times New Roman"/>
        </w:rPr>
        <w:t xml:space="preserve">and </w:t>
      </w:r>
      <w:r w:rsidR="00884A68" w:rsidRPr="00CB2E9A">
        <w:rPr>
          <w:rFonts w:ascii="Times New Roman" w:hAnsi="Times New Roman"/>
        </w:rPr>
        <w:t xml:space="preserve">interests </w:t>
      </w:r>
      <w:r w:rsidR="00124B20" w:rsidRPr="00CB2E9A">
        <w:rPr>
          <w:rFonts w:ascii="Times New Roman" w:hAnsi="Times New Roman"/>
        </w:rPr>
        <w:t xml:space="preserve">may take different weight in the assessment of the appropriate course of action to take. </w:t>
      </w:r>
      <w:r w:rsidR="00FD1C56" w:rsidRPr="00CB2E9A">
        <w:rPr>
          <w:rFonts w:ascii="Times New Roman" w:hAnsi="Times New Roman"/>
        </w:rPr>
        <w:t xml:space="preserve">For example, a representative plaintiff and the representative plaintiff's lawyers have an interest in </w:t>
      </w:r>
      <w:r w:rsidR="000A5298" w:rsidRPr="00CB2E9A">
        <w:rPr>
          <w:rFonts w:ascii="Times New Roman" w:hAnsi="Times New Roman"/>
        </w:rPr>
        <w:t xml:space="preserve">ensuring that membership of the group is defined in a way that </w:t>
      </w:r>
      <w:r w:rsidR="005F158E" w:rsidRPr="00CB2E9A">
        <w:rPr>
          <w:rFonts w:ascii="Times New Roman" w:hAnsi="Times New Roman"/>
        </w:rPr>
        <w:t>clearly identifies the criteria for membership</w:t>
      </w:r>
      <w:r w:rsidR="001349DB" w:rsidRPr="00CB2E9A">
        <w:rPr>
          <w:rFonts w:ascii="Times New Roman" w:hAnsi="Times New Roman"/>
        </w:rPr>
        <w:t xml:space="preserve">, </w:t>
      </w:r>
      <w:r w:rsidR="005F158E" w:rsidRPr="00CB2E9A">
        <w:rPr>
          <w:rFonts w:ascii="Times New Roman" w:hAnsi="Times New Roman"/>
        </w:rPr>
        <w:t xml:space="preserve">minimises the risk of </w:t>
      </w:r>
      <w:r w:rsidR="009F42A5" w:rsidRPr="00CB2E9A">
        <w:rPr>
          <w:rFonts w:ascii="Times New Roman" w:hAnsi="Times New Roman"/>
        </w:rPr>
        <w:t xml:space="preserve">intra-group disputation, </w:t>
      </w:r>
      <w:r w:rsidR="001349DB" w:rsidRPr="00CB2E9A">
        <w:rPr>
          <w:rFonts w:ascii="Times New Roman" w:hAnsi="Times New Roman"/>
        </w:rPr>
        <w:t xml:space="preserve">and maximises the potential </w:t>
      </w:r>
      <w:r w:rsidR="000851DC" w:rsidRPr="00CB2E9A">
        <w:rPr>
          <w:rFonts w:ascii="Times New Roman" w:hAnsi="Times New Roman"/>
        </w:rPr>
        <w:t xml:space="preserve">number of </w:t>
      </w:r>
      <w:r w:rsidR="001349DB" w:rsidRPr="00CB2E9A">
        <w:rPr>
          <w:rFonts w:ascii="Times New Roman" w:hAnsi="Times New Roman"/>
        </w:rPr>
        <w:t xml:space="preserve">group members </w:t>
      </w:r>
      <w:r w:rsidR="00D25A4B" w:rsidRPr="00CB2E9A">
        <w:rPr>
          <w:rFonts w:ascii="Times New Roman" w:hAnsi="Times New Roman"/>
        </w:rPr>
        <w:t>to ensure that, if the claim succeeds (by settlement or otherwise)</w:t>
      </w:r>
      <w:r w:rsidR="00E16195" w:rsidRPr="00CB2E9A">
        <w:rPr>
          <w:rFonts w:ascii="Times New Roman" w:hAnsi="Times New Roman"/>
        </w:rPr>
        <w:t>,</w:t>
      </w:r>
      <w:r w:rsidR="00D25A4B" w:rsidRPr="00CB2E9A">
        <w:rPr>
          <w:rFonts w:ascii="Times New Roman" w:hAnsi="Times New Roman"/>
        </w:rPr>
        <w:t xml:space="preserve"> there is an adequate award of damages to </w:t>
      </w:r>
      <w:r w:rsidR="00D13541" w:rsidRPr="00CB2E9A">
        <w:rPr>
          <w:rFonts w:ascii="Times New Roman" w:hAnsi="Times New Roman"/>
        </w:rPr>
        <w:t>cover the costs of the proceedings not recoverable from the defendant and to</w:t>
      </w:r>
      <w:r w:rsidR="000851DC" w:rsidRPr="00CB2E9A">
        <w:rPr>
          <w:rFonts w:ascii="Times New Roman" w:hAnsi="Times New Roman"/>
        </w:rPr>
        <w:t xml:space="preserve"> justly compensate group members for loss. </w:t>
      </w:r>
      <w:r w:rsidR="003D03EE" w:rsidRPr="00CB2E9A">
        <w:rPr>
          <w:rFonts w:ascii="Times New Roman" w:hAnsi="Times New Roman"/>
        </w:rPr>
        <w:t xml:space="preserve">A </w:t>
      </w:r>
      <w:r w:rsidR="00A33186" w:rsidRPr="00CB2E9A">
        <w:rPr>
          <w:rFonts w:ascii="Times New Roman" w:hAnsi="Times New Roman"/>
        </w:rPr>
        <w:t>defendant</w:t>
      </w:r>
      <w:r w:rsidR="00CF7480" w:rsidRPr="00CB2E9A">
        <w:rPr>
          <w:rFonts w:ascii="Times New Roman" w:hAnsi="Times New Roman"/>
        </w:rPr>
        <w:t>'s</w:t>
      </w:r>
      <w:r w:rsidR="00A33186" w:rsidRPr="00CB2E9A">
        <w:rPr>
          <w:rFonts w:ascii="Times New Roman" w:hAnsi="Times New Roman"/>
        </w:rPr>
        <w:t xml:space="preserve"> interest </w:t>
      </w:r>
      <w:r w:rsidR="007A3D74" w:rsidRPr="00CB2E9A">
        <w:rPr>
          <w:rFonts w:ascii="Times New Roman" w:hAnsi="Times New Roman"/>
        </w:rPr>
        <w:t xml:space="preserve">in the giving of notice </w:t>
      </w:r>
      <w:r w:rsidR="007A3D74" w:rsidRPr="00CB2E9A">
        <w:rPr>
          <w:rFonts w:ascii="Times New Roman" w:hAnsi="Times New Roman"/>
        </w:rPr>
        <w:lastRenderedPageBreak/>
        <w:t xml:space="preserve">such as the proposed notice </w:t>
      </w:r>
      <w:r w:rsidR="00CF7480" w:rsidRPr="00CB2E9A">
        <w:rPr>
          <w:rFonts w:ascii="Times New Roman" w:hAnsi="Times New Roman"/>
        </w:rPr>
        <w:t xml:space="preserve">is to maximise </w:t>
      </w:r>
      <w:r w:rsidR="00A33186" w:rsidRPr="00CB2E9A">
        <w:rPr>
          <w:rFonts w:ascii="Times New Roman" w:hAnsi="Times New Roman"/>
        </w:rPr>
        <w:t xml:space="preserve">the number of group members who have registered their participation in </w:t>
      </w:r>
      <w:r w:rsidR="00CF7480" w:rsidRPr="00CB2E9A">
        <w:rPr>
          <w:rFonts w:ascii="Times New Roman" w:hAnsi="Times New Roman"/>
        </w:rPr>
        <w:t xml:space="preserve">the proceeding so any settlement can be tailored to that number. It is only if a material number of group members do not </w:t>
      </w:r>
      <w:r w:rsidR="00EC17F1" w:rsidRPr="00CB2E9A">
        <w:rPr>
          <w:rFonts w:ascii="Times New Roman" w:hAnsi="Times New Roman"/>
        </w:rPr>
        <w:t xml:space="preserve">register or opt out </w:t>
      </w:r>
      <w:r w:rsidR="00CF7480" w:rsidRPr="00CB2E9A">
        <w:rPr>
          <w:rFonts w:ascii="Times New Roman" w:hAnsi="Times New Roman"/>
        </w:rPr>
        <w:t xml:space="preserve">in response to the proposed notice </w:t>
      </w:r>
      <w:r w:rsidR="003C1FAF" w:rsidRPr="00CB2E9A">
        <w:rPr>
          <w:rFonts w:ascii="Times New Roman" w:hAnsi="Times New Roman"/>
        </w:rPr>
        <w:t>(</w:t>
      </w:r>
      <w:r w:rsidR="00B41F9A" w:rsidRPr="00CB2E9A">
        <w:rPr>
          <w:rFonts w:ascii="Times New Roman" w:hAnsi="Times New Roman"/>
        </w:rPr>
        <w:t xml:space="preserve">the </w:t>
      </w:r>
      <w:r w:rsidR="00C26C4F" w:rsidRPr="00CB2E9A">
        <w:rPr>
          <w:rFonts w:ascii="Times New Roman" w:hAnsi="Times New Roman"/>
        </w:rPr>
        <w:t xml:space="preserve">first </w:t>
      </w:r>
      <w:r w:rsidR="007646D5" w:rsidRPr="00CB2E9A">
        <w:rPr>
          <w:rFonts w:ascii="Times New Roman" w:hAnsi="Times New Roman"/>
        </w:rPr>
        <w:t>primary purpose</w:t>
      </w:r>
      <w:r w:rsidR="00B41F9A" w:rsidRPr="00CB2E9A">
        <w:rPr>
          <w:rFonts w:ascii="Times New Roman" w:hAnsi="Times New Roman"/>
        </w:rPr>
        <w:t xml:space="preserve"> of the giving of the notice</w:t>
      </w:r>
      <w:r w:rsidR="007646D5" w:rsidRPr="00CB2E9A">
        <w:rPr>
          <w:rFonts w:ascii="Times New Roman" w:hAnsi="Times New Roman"/>
        </w:rPr>
        <w:t xml:space="preserve">) </w:t>
      </w:r>
      <w:r w:rsidR="00CF7480" w:rsidRPr="00CB2E9A">
        <w:rPr>
          <w:rFonts w:ascii="Times New Roman" w:hAnsi="Times New Roman"/>
        </w:rPr>
        <w:t xml:space="preserve">that a defendant also has an interest in having given the notice </w:t>
      </w:r>
      <w:r w:rsidR="00E75FC4" w:rsidRPr="00CB2E9A">
        <w:rPr>
          <w:rFonts w:ascii="Times New Roman" w:hAnsi="Times New Roman"/>
        </w:rPr>
        <w:t xml:space="preserve">to provide it with a forensic advantage in </w:t>
      </w:r>
      <w:r w:rsidR="007536C2" w:rsidRPr="00CB2E9A">
        <w:rPr>
          <w:rFonts w:ascii="Times New Roman" w:hAnsi="Times New Roman"/>
        </w:rPr>
        <w:t xml:space="preserve">being able to </w:t>
      </w:r>
      <w:r w:rsidR="00E75FC4" w:rsidRPr="00CB2E9A">
        <w:rPr>
          <w:rFonts w:ascii="Times New Roman" w:hAnsi="Times New Roman"/>
        </w:rPr>
        <w:t>argu</w:t>
      </w:r>
      <w:r w:rsidR="007536C2" w:rsidRPr="00CB2E9A">
        <w:rPr>
          <w:rFonts w:ascii="Times New Roman" w:hAnsi="Times New Roman"/>
        </w:rPr>
        <w:t>e</w:t>
      </w:r>
      <w:r w:rsidR="00E75FC4" w:rsidRPr="00CB2E9A">
        <w:rPr>
          <w:rFonts w:ascii="Times New Roman" w:hAnsi="Times New Roman"/>
        </w:rPr>
        <w:t xml:space="preserve"> on settlement </w:t>
      </w:r>
      <w:r w:rsidR="00962B3F" w:rsidRPr="00CB2E9A">
        <w:rPr>
          <w:rFonts w:ascii="Times New Roman" w:hAnsi="Times New Roman"/>
        </w:rPr>
        <w:t xml:space="preserve">that those group members </w:t>
      </w:r>
      <w:r w:rsidR="00176B33" w:rsidRPr="00CB2E9A">
        <w:rPr>
          <w:rFonts w:ascii="Times New Roman" w:hAnsi="Times New Roman"/>
        </w:rPr>
        <w:t>should not obtain any benefit from the settlement but should be bound by the judgment approving the settlement</w:t>
      </w:r>
      <w:r w:rsidR="00B41F9A" w:rsidRPr="00CB2E9A">
        <w:rPr>
          <w:rFonts w:ascii="Times New Roman" w:hAnsi="Times New Roman"/>
        </w:rPr>
        <w:t xml:space="preserve"> (the second primary purpose of the giving of the notice)</w:t>
      </w:r>
      <w:r w:rsidR="00176B33" w:rsidRPr="00CB2E9A">
        <w:rPr>
          <w:rFonts w:ascii="Times New Roman" w:hAnsi="Times New Roman"/>
        </w:rPr>
        <w:t>.</w:t>
      </w:r>
      <w:r w:rsidR="00B41F9A" w:rsidRPr="00CB2E9A">
        <w:rPr>
          <w:rFonts w:ascii="Times New Roman" w:hAnsi="Times New Roman"/>
        </w:rPr>
        <w:t xml:space="preserve"> That is, if the first primary </w:t>
      </w:r>
      <w:r w:rsidR="00262AFD" w:rsidRPr="00CB2E9A">
        <w:rPr>
          <w:rFonts w:ascii="Times New Roman" w:hAnsi="Times New Roman"/>
        </w:rPr>
        <w:t>purpose</w:t>
      </w:r>
      <w:r w:rsidR="00B41F9A" w:rsidRPr="00CB2E9A">
        <w:rPr>
          <w:rFonts w:ascii="Times New Roman" w:hAnsi="Times New Roman"/>
        </w:rPr>
        <w:t xml:space="preserve"> of the </w:t>
      </w:r>
      <w:r w:rsidR="00262AFD" w:rsidRPr="00CB2E9A">
        <w:rPr>
          <w:rFonts w:ascii="Times New Roman" w:hAnsi="Times New Roman"/>
        </w:rPr>
        <w:t xml:space="preserve">giving of the </w:t>
      </w:r>
      <w:r w:rsidR="00B41F9A" w:rsidRPr="00CB2E9A">
        <w:rPr>
          <w:rFonts w:ascii="Times New Roman" w:hAnsi="Times New Roman"/>
        </w:rPr>
        <w:t xml:space="preserve">notice is </w:t>
      </w:r>
      <w:r w:rsidR="00262AFD" w:rsidRPr="00CB2E9A">
        <w:rPr>
          <w:rFonts w:ascii="Times New Roman" w:hAnsi="Times New Roman"/>
        </w:rPr>
        <w:t xml:space="preserve">satisfactorily achieved, the second primary purpose of the giving of the notice is immaterial. It is only if the </w:t>
      </w:r>
      <w:r w:rsidR="007D0D86" w:rsidRPr="00CB2E9A">
        <w:rPr>
          <w:rFonts w:ascii="Times New Roman" w:hAnsi="Times New Roman"/>
        </w:rPr>
        <w:t>first primary purpose of the giving of the notice is not satisfactorily achieved that the second primary purpose becomes relevant.</w:t>
      </w:r>
    </w:p>
    <w:p w14:paraId="061F7A82" w14:textId="34D8B937" w:rsidR="00E71C41" w:rsidRPr="00CB2E9A" w:rsidRDefault="00176B33" w:rsidP="00CB2E9A">
      <w:pPr>
        <w:pStyle w:val="FixListStyle"/>
        <w:spacing w:after="260" w:line="280" w:lineRule="exact"/>
        <w:ind w:right="0"/>
        <w:jc w:val="both"/>
        <w:rPr>
          <w:rFonts w:ascii="Times New Roman" w:hAnsi="Times New Roman"/>
        </w:rPr>
      </w:pPr>
      <w:r w:rsidRPr="00CB2E9A">
        <w:rPr>
          <w:rFonts w:ascii="Times New Roman" w:hAnsi="Times New Roman"/>
        </w:rPr>
        <w:tab/>
        <w:t xml:space="preserve">The salient point is this. It is not to be assumed that the </w:t>
      </w:r>
      <w:r w:rsidR="00F21790" w:rsidRPr="00CB2E9A">
        <w:rPr>
          <w:rFonts w:ascii="Times New Roman" w:hAnsi="Times New Roman"/>
        </w:rPr>
        <w:t xml:space="preserve">interests of a representative plaintiff and the representative plaintiff's lawyers are </w:t>
      </w:r>
      <w:r w:rsidR="006F4671" w:rsidRPr="00CB2E9A">
        <w:rPr>
          <w:rFonts w:ascii="Times New Roman" w:hAnsi="Times New Roman"/>
        </w:rPr>
        <w:t>continuously</w:t>
      </w:r>
      <w:r w:rsidR="00F21790" w:rsidRPr="00CB2E9A">
        <w:rPr>
          <w:rFonts w:ascii="Times New Roman" w:hAnsi="Times New Roman"/>
        </w:rPr>
        <w:t xml:space="preserve"> consistent and </w:t>
      </w:r>
      <w:r w:rsidR="006F4671" w:rsidRPr="00CB2E9A">
        <w:rPr>
          <w:rFonts w:ascii="Times New Roman" w:hAnsi="Times New Roman"/>
        </w:rPr>
        <w:t>congruent</w:t>
      </w:r>
      <w:r w:rsidR="00F21790" w:rsidRPr="00CB2E9A">
        <w:rPr>
          <w:rFonts w:ascii="Times New Roman" w:hAnsi="Times New Roman"/>
        </w:rPr>
        <w:t xml:space="preserve"> through</w:t>
      </w:r>
      <w:r w:rsidR="006F4671" w:rsidRPr="00CB2E9A">
        <w:rPr>
          <w:rFonts w:ascii="Times New Roman" w:hAnsi="Times New Roman"/>
        </w:rPr>
        <w:t>ou</w:t>
      </w:r>
      <w:r w:rsidR="00F21790" w:rsidRPr="00CB2E9A">
        <w:rPr>
          <w:rFonts w:ascii="Times New Roman" w:hAnsi="Times New Roman"/>
        </w:rPr>
        <w:t xml:space="preserve">t a </w:t>
      </w:r>
      <w:r w:rsidR="006F4671" w:rsidRPr="00CB2E9A">
        <w:rPr>
          <w:rFonts w:ascii="Times New Roman" w:hAnsi="Times New Roman"/>
        </w:rPr>
        <w:t xml:space="preserve">representative proceeding. It is not to be assumed that the interests of a defendant and the defendant's lawyers are continuously consistent and congruent throughout a representative proceeding. It is </w:t>
      </w:r>
      <w:r w:rsidR="00E174A5" w:rsidRPr="00CB2E9A">
        <w:rPr>
          <w:rFonts w:ascii="Times New Roman" w:hAnsi="Times New Roman"/>
        </w:rPr>
        <w:t xml:space="preserve">also </w:t>
      </w:r>
      <w:r w:rsidR="006F4671" w:rsidRPr="00CB2E9A">
        <w:rPr>
          <w:rFonts w:ascii="Times New Roman" w:hAnsi="Times New Roman"/>
        </w:rPr>
        <w:t xml:space="preserve">not to be assumed that the interests of a representative plaintiff and the representative plaintiff's lawyers, in respect of </w:t>
      </w:r>
      <w:r w:rsidR="00551A1B" w:rsidRPr="00CB2E9A">
        <w:rPr>
          <w:rFonts w:ascii="Times New Roman" w:hAnsi="Times New Roman"/>
        </w:rPr>
        <w:t>each</w:t>
      </w:r>
      <w:r w:rsidR="006F4671" w:rsidRPr="00CB2E9A">
        <w:rPr>
          <w:rFonts w:ascii="Times New Roman" w:hAnsi="Times New Roman"/>
        </w:rPr>
        <w:t xml:space="preserve"> step in a representative proceeding, are opposed to the </w:t>
      </w:r>
      <w:r w:rsidR="002802E3" w:rsidRPr="00CB2E9A">
        <w:rPr>
          <w:rFonts w:ascii="Times New Roman" w:hAnsi="Times New Roman"/>
        </w:rPr>
        <w:t xml:space="preserve">interests of a defendant and the defendant's lawyers in that proceeding. </w:t>
      </w:r>
      <w:r w:rsidR="005251FE" w:rsidRPr="00CB2E9A">
        <w:rPr>
          <w:rFonts w:ascii="Times New Roman" w:hAnsi="Times New Roman"/>
        </w:rPr>
        <w:t>Equally, i</w:t>
      </w:r>
      <w:r w:rsidR="002802E3" w:rsidRPr="00CB2E9A">
        <w:rPr>
          <w:rFonts w:ascii="Times New Roman" w:hAnsi="Times New Roman"/>
        </w:rPr>
        <w:t xml:space="preserve">t is not to be assumed that the interests of a representative plaintiff and the representative plaintiff's lawyers are </w:t>
      </w:r>
      <w:r w:rsidR="005A4FE9" w:rsidRPr="00CB2E9A">
        <w:rPr>
          <w:rFonts w:ascii="Times New Roman" w:hAnsi="Times New Roman"/>
        </w:rPr>
        <w:t xml:space="preserve">inconsistent and incongruent with the interests of </w:t>
      </w:r>
      <w:r w:rsidR="005251FE" w:rsidRPr="00CB2E9A">
        <w:rPr>
          <w:rFonts w:ascii="Times New Roman" w:hAnsi="Times New Roman"/>
        </w:rPr>
        <w:t>group members who have neither opted out nor registered their participation in the proceeding</w:t>
      </w:r>
      <w:r w:rsidR="00B21264" w:rsidRPr="00CB2E9A">
        <w:rPr>
          <w:rFonts w:ascii="Times New Roman" w:hAnsi="Times New Roman"/>
        </w:rPr>
        <w:t xml:space="preserve">. </w:t>
      </w:r>
      <w:r w:rsidR="00C154EC" w:rsidRPr="00CB2E9A">
        <w:rPr>
          <w:rFonts w:ascii="Times New Roman" w:hAnsi="Times New Roman"/>
        </w:rPr>
        <w:t>T</w:t>
      </w:r>
      <w:r w:rsidR="00B21264" w:rsidRPr="00CB2E9A">
        <w:rPr>
          <w:rFonts w:ascii="Times New Roman" w:hAnsi="Times New Roman"/>
        </w:rPr>
        <w:t xml:space="preserve">here </w:t>
      </w:r>
      <w:r w:rsidR="00E174A5" w:rsidRPr="00CB2E9A">
        <w:rPr>
          <w:rFonts w:ascii="Times New Roman" w:hAnsi="Times New Roman"/>
        </w:rPr>
        <w:t xml:space="preserve">are </w:t>
      </w:r>
      <w:r w:rsidR="008C165B" w:rsidRPr="00CB2E9A">
        <w:rPr>
          <w:rFonts w:ascii="Times New Roman" w:hAnsi="Times New Roman"/>
        </w:rPr>
        <w:t xml:space="preserve">potential and </w:t>
      </w:r>
      <w:r w:rsidR="00E174A5" w:rsidRPr="00CB2E9A">
        <w:rPr>
          <w:rFonts w:ascii="Times New Roman" w:hAnsi="Times New Roman"/>
        </w:rPr>
        <w:t xml:space="preserve">actual </w:t>
      </w:r>
      <w:r w:rsidR="00BA3D26" w:rsidRPr="00CB2E9A">
        <w:rPr>
          <w:rFonts w:ascii="Times New Roman" w:hAnsi="Times New Roman"/>
        </w:rPr>
        <w:t xml:space="preserve">inconsistencies </w:t>
      </w:r>
      <w:r w:rsidR="00B21264" w:rsidRPr="00CB2E9A">
        <w:rPr>
          <w:rFonts w:ascii="Times New Roman" w:hAnsi="Times New Roman"/>
        </w:rPr>
        <w:t xml:space="preserve">of interests between </w:t>
      </w:r>
      <w:r w:rsidR="00A57164" w:rsidRPr="00CB2E9A">
        <w:rPr>
          <w:rFonts w:ascii="Times New Roman" w:hAnsi="Times New Roman"/>
        </w:rPr>
        <w:t xml:space="preserve">all these persons, </w:t>
      </w:r>
      <w:r w:rsidR="00C154EC" w:rsidRPr="00CB2E9A">
        <w:rPr>
          <w:rFonts w:ascii="Times New Roman" w:hAnsi="Times New Roman"/>
        </w:rPr>
        <w:t xml:space="preserve">but </w:t>
      </w:r>
      <w:r w:rsidR="00A57164" w:rsidRPr="00CB2E9A">
        <w:rPr>
          <w:rFonts w:ascii="Times New Roman" w:hAnsi="Times New Roman"/>
        </w:rPr>
        <w:t xml:space="preserve">those </w:t>
      </w:r>
      <w:r w:rsidR="00462918" w:rsidRPr="00CB2E9A">
        <w:rPr>
          <w:rFonts w:ascii="Times New Roman" w:hAnsi="Times New Roman"/>
        </w:rPr>
        <w:t xml:space="preserve">inconsistencies will wax and wane depending on the circumstances. The </w:t>
      </w:r>
      <w:r w:rsidR="00C154EC" w:rsidRPr="00CB2E9A">
        <w:rPr>
          <w:rFonts w:ascii="Times New Roman" w:hAnsi="Times New Roman"/>
        </w:rPr>
        <w:t xml:space="preserve">potential for inconsistencies of interests is inherent in the </w:t>
      </w:r>
      <w:r w:rsidR="008B130D" w:rsidRPr="00CB2E9A">
        <w:rPr>
          <w:rFonts w:ascii="Times New Roman" w:hAnsi="Times New Roman"/>
        </w:rPr>
        <w:t xml:space="preserve">statutory scheme and is to be managed by the Court in the interests of the administration of justice as they appear in the </w:t>
      </w:r>
      <w:r w:rsidR="00853D95" w:rsidRPr="00CB2E9A">
        <w:rPr>
          <w:rFonts w:ascii="Times New Roman" w:hAnsi="Times New Roman"/>
        </w:rPr>
        <w:t>circumstances of each case.</w:t>
      </w:r>
    </w:p>
    <w:p w14:paraId="2CF4538D" w14:textId="61CDC6D7" w:rsidR="00853D95" w:rsidRPr="00CB2E9A" w:rsidRDefault="006C46F7" w:rsidP="00CB2E9A">
      <w:pPr>
        <w:pStyle w:val="HeadingL1"/>
        <w:spacing w:after="260" w:line="280" w:lineRule="exact"/>
        <w:ind w:right="0"/>
        <w:jc w:val="both"/>
        <w:rPr>
          <w:rFonts w:ascii="Times New Roman" w:hAnsi="Times New Roman"/>
        </w:rPr>
      </w:pPr>
      <w:r w:rsidRPr="00CB2E9A">
        <w:rPr>
          <w:rFonts w:ascii="Times New Roman" w:hAnsi="Times New Roman"/>
        </w:rPr>
        <w:t>The earlier decisions</w:t>
      </w:r>
    </w:p>
    <w:p w14:paraId="151EBC08" w14:textId="7DC3BA39" w:rsidR="00853D95" w:rsidRPr="00CB2E9A" w:rsidRDefault="00853D95"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FB1D1B" w:rsidRPr="00CB2E9A">
        <w:rPr>
          <w:rFonts w:ascii="Times New Roman" w:hAnsi="Times New Roman"/>
        </w:rPr>
        <w:t xml:space="preserve">The principal decision of this Court on which the Court of Appeal relied in support of its reasoning </w:t>
      </w:r>
      <w:r w:rsidR="00732792" w:rsidRPr="00CB2E9A">
        <w:rPr>
          <w:rFonts w:ascii="Times New Roman" w:hAnsi="Times New Roman"/>
        </w:rPr>
        <w:t>wa</w:t>
      </w:r>
      <w:r w:rsidR="00FB1D1B" w:rsidRPr="00CB2E9A">
        <w:rPr>
          <w:rFonts w:ascii="Times New Roman" w:hAnsi="Times New Roman"/>
        </w:rPr>
        <w:t xml:space="preserve">s </w:t>
      </w:r>
      <w:r w:rsidR="00A77577" w:rsidRPr="00CB2E9A">
        <w:rPr>
          <w:rFonts w:ascii="Times New Roman" w:hAnsi="Times New Roman"/>
          <w:i/>
          <w:iCs/>
        </w:rPr>
        <w:t xml:space="preserve">BMW </w:t>
      </w:r>
      <w:r w:rsidR="00EF6FBB" w:rsidRPr="00CB2E9A">
        <w:rPr>
          <w:rFonts w:ascii="Times New Roman" w:hAnsi="Times New Roman"/>
          <w:i/>
          <w:iCs/>
        </w:rPr>
        <w:t>Australia Ltd v Brewster</w:t>
      </w:r>
      <w:r w:rsidR="00EF6FBB" w:rsidRPr="00CB2E9A">
        <w:rPr>
          <w:rFonts w:ascii="Times New Roman" w:hAnsi="Times New Roman"/>
        </w:rPr>
        <w:t>.</w:t>
      </w:r>
      <w:r w:rsidR="00EF6FBB" w:rsidRPr="00CB2E9A">
        <w:rPr>
          <w:rStyle w:val="FootnoteReference"/>
          <w:rFonts w:ascii="Times New Roman" w:hAnsi="Times New Roman"/>
          <w:sz w:val="24"/>
        </w:rPr>
        <w:footnoteReference w:id="10"/>
      </w:r>
      <w:r w:rsidR="00193C2B" w:rsidRPr="00CB2E9A">
        <w:rPr>
          <w:rFonts w:ascii="Times New Roman" w:hAnsi="Times New Roman"/>
        </w:rPr>
        <w:t xml:space="preserve"> In that case</w:t>
      </w:r>
      <w:r w:rsidR="000D2B0D" w:rsidRPr="00CB2E9A">
        <w:rPr>
          <w:rFonts w:ascii="Times New Roman" w:hAnsi="Times New Roman"/>
        </w:rPr>
        <w:t>,</w:t>
      </w:r>
      <w:r w:rsidR="00193C2B" w:rsidRPr="00CB2E9A">
        <w:rPr>
          <w:rFonts w:ascii="Times New Roman" w:hAnsi="Times New Roman"/>
        </w:rPr>
        <w:t xml:space="preserve"> </w:t>
      </w:r>
      <w:r w:rsidR="00F1558D" w:rsidRPr="00CB2E9A">
        <w:rPr>
          <w:rFonts w:ascii="Times New Roman" w:hAnsi="Times New Roman"/>
        </w:rPr>
        <w:t xml:space="preserve">Kiefel CJ, Bell, Keane, Nettle and Gordon JJ held that s 183 of the CPA </w:t>
      </w:r>
      <w:r w:rsidR="00695904" w:rsidRPr="00CB2E9A">
        <w:rPr>
          <w:rFonts w:ascii="Times New Roman" w:hAnsi="Times New Roman"/>
        </w:rPr>
        <w:t>did not empower the Supreme Court of New South Wales to make an or</w:t>
      </w:r>
      <w:r w:rsidR="005A0219" w:rsidRPr="00CB2E9A">
        <w:rPr>
          <w:rFonts w:ascii="Times New Roman" w:hAnsi="Times New Roman"/>
        </w:rPr>
        <w:t>d</w:t>
      </w:r>
      <w:r w:rsidR="00695904" w:rsidRPr="00CB2E9A">
        <w:rPr>
          <w:rFonts w:ascii="Times New Roman" w:hAnsi="Times New Roman"/>
        </w:rPr>
        <w:t>er</w:t>
      </w:r>
      <w:r w:rsidR="00BD323F" w:rsidRPr="00CB2E9A">
        <w:rPr>
          <w:rFonts w:ascii="Times New Roman" w:hAnsi="Times New Roman"/>
        </w:rPr>
        <w:t>,</w:t>
      </w:r>
      <w:r w:rsidR="00695904" w:rsidRPr="00CB2E9A">
        <w:rPr>
          <w:rFonts w:ascii="Times New Roman" w:hAnsi="Times New Roman"/>
        </w:rPr>
        <w:t xml:space="preserve"> </w:t>
      </w:r>
      <w:r w:rsidR="00574B34" w:rsidRPr="00CB2E9A">
        <w:rPr>
          <w:rFonts w:ascii="Times New Roman" w:hAnsi="Times New Roman"/>
        </w:rPr>
        <w:t xml:space="preserve">early in the </w:t>
      </w:r>
      <w:r w:rsidR="009A04FD" w:rsidRPr="00CB2E9A">
        <w:rPr>
          <w:rFonts w:ascii="Times New Roman" w:hAnsi="Times New Roman"/>
        </w:rPr>
        <w:t xml:space="preserve">representative </w:t>
      </w:r>
      <w:r w:rsidR="00574B34" w:rsidRPr="00CB2E9A">
        <w:rPr>
          <w:rFonts w:ascii="Times New Roman" w:hAnsi="Times New Roman"/>
        </w:rPr>
        <w:t>proceeding</w:t>
      </w:r>
      <w:r w:rsidR="00BD323F" w:rsidRPr="00CB2E9A">
        <w:rPr>
          <w:rFonts w:ascii="Times New Roman" w:hAnsi="Times New Roman"/>
        </w:rPr>
        <w:t>,</w:t>
      </w:r>
      <w:r w:rsidR="00574B34" w:rsidRPr="00CB2E9A">
        <w:rPr>
          <w:rFonts w:ascii="Times New Roman" w:hAnsi="Times New Roman"/>
        </w:rPr>
        <w:t xml:space="preserve"> </w:t>
      </w:r>
      <w:r w:rsidR="005A0219" w:rsidRPr="00CB2E9A">
        <w:rPr>
          <w:rFonts w:ascii="Times New Roman" w:hAnsi="Times New Roman"/>
        </w:rPr>
        <w:t xml:space="preserve">that provided for </w:t>
      </w:r>
      <w:r w:rsidR="00574B34" w:rsidRPr="00CB2E9A">
        <w:rPr>
          <w:rFonts w:ascii="Times New Roman" w:hAnsi="Times New Roman"/>
        </w:rPr>
        <w:t xml:space="preserve">a </w:t>
      </w:r>
      <w:r w:rsidR="005A0219" w:rsidRPr="00CB2E9A">
        <w:rPr>
          <w:rFonts w:ascii="Times New Roman" w:hAnsi="Times New Roman"/>
        </w:rPr>
        <w:t xml:space="preserve">litigation funder's remuneration to be fixed </w:t>
      </w:r>
      <w:r w:rsidR="00425636" w:rsidRPr="00CB2E9A">
        <w:rPr>
          <w:rFonts w:ascii="Times New Roman" w:hAnsi="Times New Roman"/>
        </w:rPr>
        <w:t xml:space="preserve">as </w:t>
      </w:r>
      <w:r w:rsidR="004B4943" w:rsidRPr="00CB2E9A">
        <w:rPr>
          <w:rFonts w:ascii="Times New Roman" w:hAnsi="Times New Roman"/>
        </w:rPr>
        <w:t xml:space="preserve">a </w:t>
      </w:r>
      <w:r w:rsidR="00425636" w:rsidRPr="00CB2E9A">
        <w:rPr>
          <w:rFonts w:ascii="Times New Roman" w:hAnsi="Times New Roman"/>
        </w:rPr>
        <w:t xml:space="preserve">proportion of any moneys </w:t>
      </w:r>
      <w:r w:rsidR="00DC7F38" w:rsidRPr="00CB2E9A">
        <w:rPr>
          <w:rFonts w:ascii="Times New Roman" w:hAnsi="Times New Roman"/>
        </w:rPr>
        <w:t>ultimately recovered in the proceeding</w:t>
      </w:r>
      <w:r w:rsidR="00D404A9" w:rsidRPr="00CB2E9A">
        <w:rPr>
          <w:rFonts w:ascii="Times New Roman" w:hAnsi="Times New Roman"/>
        </w:rPr>
        <w:t xml:space="preserve">, for all group members to be </w:t>
      </w:r>
      <w:r w:rsidR="00632EF0" w:rsidRPr="00CB2E9A">
        <w:rPr>
          <w:rFonts w:ascii="Times New Roman" w:hAnsi="Times New Roman"/>
        </w:rPr>
        <w:t>proportionately</w:t>
      </w:r>
      <w:r w:rsidR="00D404A9" w:rsidRPr="00CB2E9A">
        <w:rPr>
          <w:rFonts w:ascii="Times New Roman" w:hAnsi="Times New Roman"/>
        </w:rPr>
        <w:t xml:space="preserve"> liable for that </w:t>
      </w:r>
      <w:r w:rsidR="00632EF0" w:rsidRPr="00CB2E9A">
        <w:rPr>
          <w:rFonts w:ascii="Times New Roman" w:hAnsi="Times New Roman"/>
        </w:rPr>
        <w:t xml:space="preserve">remuneration, and for </w:t>
      </w:r>
      <w:r w:rsidR="00627B35" w:rsidRPr="00CB2E9A">
        <w:rPr>
          <w:rFonts w:ascii="Times New Roman" w:hAnsi="Times New Roman"/>
        </w:rPr>
        <w:t>that</w:t>
      </w:r>
      <w:r w:rsidR="00632EF0" w:rsidRPr="00CB2E9A">
        <w:rPr>
          <w:rFonts w:ascii="Times New Roman" w:hAnsi="Times New Roman"/>
        </w:rPr>
        <w:t xml:space="preserve"> </w:t>
      </w:r>
      <w:r w:rsidR="00632EF0" w:rsidRPr="00CB2E9A">
        <w:rPr>
          <w:rFonts w:ascii="Times New Roman" w:hAnsi="Times New Roman"/>
        </w:rPr>
        <w:lastRenderedPageBreak/>
        <w:t>proportionate liability to have priority over a</w:t>
      </w:r>
      <w:r w:rsidR="000F30A5" w:rsidRPr="00CB2E9A">
        <w:rPr>
          <w:rFonts w:ascii="Times New Roman" w:hAnsi="Times New Roman"/>
        </w:rPr>
        <w:t>l</w:t>
      </w:r>
      <w:r w:rsidR="00632EF0" w:rsidRPr="00CB2E9A">
        <w:rPr>
          <w:rFonts w:ascii="Times New Roman" w:hAnsi="Times New Roman"/>
        </w:rPr>
        <w:t xml:space="preserve">l other payments from the </w:t>
      </w:r>
      <w:r w:rsidR="00282279" w:rsidRPr="00CB2E9A">
        <w:rPr>
          <w:rFonts w:ascii="Times New Roman" w:hAnsi="Times New Roman"/>
        </w:rPr>
        <w:t xml:space="preserve">moneys so recovered </w:t>
      </w:r>
      <w:r w:rsidR="006407A0" w:rsidRPr="00CB2E9A">
        <w:rPr>
          <w:rFonts w:ascii="Times New Roman" w:hAnsi="Times New Roman"/>
        </w:rPr>
        <w:t>(</w:t>
      </w:r>
      <w:r w:rsidR="0038283B" w:rsidRPr="00CB2E9A">
        <w:rPr>
          <w:rFonts w:ascii="Times New Roman" w:hAnsi="Times New Roman"/>
        </w:rPr>
        <w:t>a "common fund order")</w:t>
      </w:r>
      <w:r w:rsidR="00632EF0" w:rsidRPr="00CB2E9A">
        <w:rPr>
          <w:rFonts w:ascii="Times New Roman" w:hAnsi="Times New Roman"/>
        </w:rPr>
        <w:t>.</w:t>
      </w:r>
      <w:r w:rsidR="00287CCF" w:rsidRPr="00CB2E9A">
        <w:rPr>
          <w:rStyle w:val="FootnoteReference"/>
          <w:rFonts w:ascii="Times New Roman" w:hAnsi="Times New Roman"/>
          <w:sz w:val="24"/>
        </w:rPr>
        <w:footnoteReference w:id="11"/>
      </w:r>
      <w:r w:rsidR="00632EF0" w:rsidRPr="00CB2E9A">
        <w:rPr>
          <w:rFonts w:ascii="Times New Roman" w:hAnsi="Times New Roman"/>
        </w:rPr>
        <w:t xml:space="preserve"> Their Honours</w:t>
      </w:r>
      <w:r w:rsidR="005D0567" w:rsidRPr="00CB2E9A">
        <w:rPr>
          <w:rFonts w:ascii="Times New Roman" w:hAnsi="Times New Roman"/>
        </w:rPr>
        <w:t>'</w:t>
      </w:r>
      <w:r w:rsidR="00632EF0" w:rsidRPr="00CB2E9A">
        <w:rPr>
          <w:rFonts w:ascii="Times New Roman" w:hAnsi="Times New Roman"/>
        </w:rPr>
        <w:t xml:space="preserve"> reasoning </w:t>
      </w:r>
      <w:r w:rsidR="00E273EA" w:rsidRPr="00CB2E9A">
        <w:rPr>
          <w:rFonts w:ascii="Times New Roman" w:hAnsi="Times New Roman"/>
        </w:rPr>
        <w:t xml:space="preserve">accepted that s 183 of the CPA </w:t>
      </w:r>
      <w:r w:rsidR="00C60F18" w:rsidRPr="00CB2E9A">
        <w:rPr>
          <w:rFonts w:ascii="Times New Roman" w:hAnsi="Times New Roman"/>
        </w:rPr>
        <w:t xml:space="preserve">was expressed in broad terms </w:t>
      </w:r>
      <w:r w:rsidR="00AA5D90" w:rsidRPr="00CB2E9A">
        <w:rPr>
          <w:rFonts w:ascii="Times New Roman" w:hAnsi="Times New Roman"/>
        </w:rPr>
        <w:t xml:space="preserve">but considered that, in context, s 183 </w:t>
      </w:r>
      <w:r w:rsidR="004300B1" w:rsidRPr="00CB2E9A">
        <w:rPr>
          <w:rFonts w:ascii="Times New Roman" w:hAnsi="Times New Roman"/>
        </w:rPr>
        <w:t>contemplated</w:t>
      </w:r>
      <w:r w:rsidR="00AA5D90" w:rsidRPr="00CB2E9A">
        <w:rPr>
          <w:rFonts w:ascii="Times New Roman" w:hAnsi="Times New Roman"/>
        </w:rPr>
        <w:t xml:space="preserve"> </w:t>
      </w:r>
      <w:r w:rsidR="004300B1" w:rsidRPr="00CB2E9A">
        <w:rPr>
          <w:rFonts w:ascii="Times New Roman" w:hAnsi="Times New Roman"/>
        </w:rPr>
        <w:t xml:space="preserve">the making of </w:t>
      </w:r>
      <w:r w:rsidR="00AA5D90" w:rsidRPr="00CB2E9A">
        <w:rPr>
          <w:rFonts w:ascii="Times New Roman" w:hAnsi="Times New Roman"/>
        </w:rPr>
        <w:t xml:space="preserve">any order </w:t>
      </w:r>
      <w:r w:rsidR="004300B1" w:rsidRPr="00CB2E9A">
        <w:rPr>
          <w:rFonts w:ascii="Times New Roman" w:hAnsi="Times New Roman"/>
        </w:rPr>
        <w:t>"to ensure that the proceeding is brought fairly and effectively to a just outcome"</w:t>
      </w:r>
      <w:r w:rsidR="00BE02AF" w:rsidRPr="00CB2E9A">
        <w:rPr>
          <w:rFonts w:ascii="Times New Roman" w:hAnsi="Times New Roman"/>
        </w:rPr>
        <w:t>,</w:t>
      </w:r>
      <w:r w:rsidR="001424EF" w:rsidRPr="00CB2E9A">
        <w:rPr>
          <w:rFonts w:ascii="Times New Roman" w:hAnsi="Times New Roman"/>
        </w:rPr>
        <w:t xml:space="preserve"> </w:t>
      </w:r>
      <w:r w:rsidR="00BE02AF" w:rsidRPr="00CB2E9A">
        <w:rPr>
          <w:rFonts w:ascii="Times New Roman" w:hAnsi="Times New Roman"/>
        </w:rPr>
        <w:t xml:space="preserve">and not any order in favour of a third party (the litigation funder) to ensure the </w:t>
      </w:r>
      <w:r w:rsidR="001424EF" w:rsidRPr="00CB2E9A">
        <w:rPr>
          <w:rFonts w:ascii="Times New Roman" w:hAnsi="Times New Roman"/>
        </w:rPr>
        <w:t>proceeding could be pursued.</w:t>
      </w:r>
      <w:r w:rsidR="001424EF" w:rsidRPr="00CB2E9A">
        <w:rPr>
          <w:rStyle w:val="FootnoteReference"/>
          <w:rFonts w:ascii="Times New Roman" w:hAnsi="Times New Roman"/>
          <w:sz w:val="24"/>
        </w:rPr>
        <w:footnoteReference w:id="12"/>
      </w:r>
      <w:r w:rsidR="001424EF" w:rsidRPr="00CB2E9A">
        <w:rPr>
          <w:rFonts w:ascii="Times New Roman" w:hAnsi="Times New Roman"/>
        </w:rPr>
        <w:t xml:space="preserve"> </w:t>
      </w:r>
      <w:r w:rsidR="008373DD" w:rsidRPr="00CB2E9A">
        <w:rPr>
          <w:rFonts w:ascii="Times New Roman" w:hAnsi="Times New Roman"/>
        </w:rPr>
        <w:t>In reaching this conclusion</w:t>
      </w:r>
      <w:r w:rsidR="00AF0417" w:rsidRPr="00CB2E9A">
        <w:rPr>
          <w:rFonts w:ascii="Times New Roman" w:hAnsi="Times New Roman"/>
        </w:rPr>
        <w:t>,</w:t>
      </w:r>
      <w:r w:rsidR="008373DD" w:rsidRPr="00CB2E9A">
        <w:rPr>
          <w:rFonts w:ascii="Times New Roman" w:hAnsi="Times New Roman"/>
        </w:rPr>
        <w:t xml:space="preserve"> </w:t>
      </w:r>
      <w:r w:rsidR="00711E90" w:rsidRPr="00CB2E9A">
        <w:rPr>
          <w:rFonts w:ascii="Times New Roman" w:hAnsi="Times New Roman"/>
        </w:rPr>
        <w:t>Kiefel</w:t>
      </w:r>
      <w:r w:rsidR="00B11DAB" w:rsidRPr="00CB2E9A">
        <w:rPr>
          <w:rFonts w:ascii="Times New Roman" w:hAnsi="Times New Roman"/>
        </w:rPr>
        <w:t> </w:t>
      </w:r>
      <w:r w:rsidR="00711E90" w:rsidRPr="00CB2E9A">
        <w:rPr>
          <w:rFonts w:ascii="Times New Roman" w:hAnsi="Times New Roman"/>
        </w:rPr>
        <w:t>CJ, Bell and Keane</w:t>
      </w:r>
      <w:r w:rsidR="00B11DAB" w:rsidRPr="00CB2E9A">
        <w:rPr>
          <w:rFonts w:ascii="Times New Roman" w:hAnsi="Times New Roman"/>
        </w:rPr>
        <w:t> </w:t>
      </w:r>
      <w:r w:rsidR="00711E90" w:rsidRPr="00CB2E9A">
        <w:rPr>
          <w:rFonts w:ascii="Times New Roman" w:hAnsi="Times New Roman"/>
        </w:rPr>
        <w:t>JJ</w:t>
      </w:r>
      <w:r w:rsidR="008373DD" w:rsidRPr="00CB2E9A">
        <w:rPr>
          <w:rFonts w:ascii="Times New Roman" w:hAnsi="Times New Roman"/>
        </w:rPr>
        <w:t xml:space="preserve">: (a) distinguished the </w:t>
      </w:r>
      <w:r w:rsidR="002B5378" w:rsidRPr="00CB2E9A">
        <w:rPr>
          <w:rFonts w:ascii="Times New Roman" w:hAnsi="Times New Roman"/>
        </w:rPr>
        <w:t>concept</w:t>
      </w:r>
      <w:r w:rsidR="008373DD" w:rsidRPr="00CB2E9A">
        <w:rPr>
          <w:rFonts w:ascii="Times New Roman" w:hAnsi="Times New Roman"/>
        </w:rPr>
        <w:t xml:space="preserve"> of an order </w:t>
      </w:r>
      <w:r w:rsidR="00137EEE" w:rsidRPr="00CB2E9A">
        <w:rPr>
          <w:rFonts w:ascii="Times New Roman" w:hAnsi="Times New Roman"/>
        </w:rPr>
        <w:t xml:space="preserve">ensuring </w:t>
      </w:r>
      <w:r w:rsidR="002B5378" w:rsidRPr="00CB2E9A">
        <w:rPr>
          <w:rFonts w:ascii="Times New Roman" w:hAnsi="Times New Roman"/>
        </w:rPr>
        <w:t xml:space="preserve">justice </w:t>
      </w:r>
      <w:r w:rsidR="00137EEE" w:rsidRPr="00CB2E9A">
        <w:rPr>
          <w:rFonts w:ascii="Times New Roman" w:hAnsi="Times New Roman"/>
        </w:rPr>
        <w:t xml:space="preserve">is done </w:t>
      </w:r>
      <w:r w:rsidR="002B5378" w:rsidRPr="00CB2E9A">
        <w:rPr>
          <w:rFonts w:ascii="Times New Roman" w:hAnsi="Times New Roman"/>
        </w:rPr>
        <w:t xml:space="preserve">in the </w:t>
      </w:r>
      <w:r w:rsidR="009A04FD" w:rsidRPr="00CB2E9A">
        <w:rPr>
          <w:rFonts w:ascii="Times New Roman" w:hAnsi="Times New Roman"/>
        </w:rPr>
        <w:t xml:space="preserve">representative </w:t>
      </w:r>
      <w:r w:rsidR="002B5378" w:rsidRPr="00CB2E9A">
        <w:rPr>
          <w:rFonts w:ascii="Times New Roman" w:hAnsi="Times New Roman"/>
        </w:rPr>
        <w:t xml:space="preserve">proceeding </w:t>
      </w:r>
      <w:r w:rsidR="003B4E05" w:rsidRPr="00CB2E9A">
        <w:rPr>
          <w:rFonts w:ascii="Times New Roman" w:hAnsi="Times New Roman"/>
        </w:rPr>
        <w:t>(</w:t>
      </w:r>
      <w:r w:rsidR="00C91059" w:rsidRPr="00CB2E9A">
        <w:rPr>
          <w:rFonts w:ascii="Times New Roman" w:hAnsi="Times New Roman"/>
        </w:rPr>
        <w:t xml:space="preserve">which would be </w:t>
      </w:r>
      <w:r w:rsidR="003B4E05" w:rsidRPr="00CB2E9A">
        <w:rPr>
          <w:rFonts w:ascii="Times New Roman" w:hAnsi="Times New Roman"/>
        </w:rPr>
        <w:t xml:space="preserve">within the scope of s 183 </w:t>
      </w:r>
      <w:r w:rsidR="00894B8C" w:rsidRPr="00CB2E9A">
        <w:rPr>
          <w:rFonts w:ascii="Times New Roman" w:hAnsi="Times New Roman"/>
        </w:rPr>
        <w:t xml:space="preserve">CPA) </w:t>
      </w:r>
      <w:r w:rsidR="002B5378" w:rsidRPr="00CB2E9A">
        <w:rPr>
          <w:rFonts w:ascii="Times New Roman" w:hAnsi="Times New Roman"/>
        </w:rPr>
        <w:t xml:space="preserve">from an order ensuring the proceeding could be heard and determined </w:t>
      </w:r>
      <w:r w:rsidR="00A81625" w:rsidRPr="00CB2E9A">
        <w:rPr>
          <w:rFonts w:ascii="Times New Roman" w:hAnsi="Times New Roman"/>
        </w:rPr>
        <w:t>as a matter of commercial practicality</w:t>
      </w:r>
      <w:r w:rsidR="00894B8C" w:rsidRPr="00CB2E9A">
        <w:rPr>
          <w:rFonts w:ascii="Times New Roman" w:hAnsi="Times New Roman"/>
        </w:rPr>
        <w:t xml:space="preserve"> (</w:t>
      </w:r>
      <w:r w:rsidR="00C91059" w:rsidRPr="00CB2E9A">
        <w:rPr>
          <w:rFonts w:ascii="Times New Roman" w:hAnsi="Times New Roman"/>
        </w:rPr>
        <w:t xml:space="preserve">which would be </w:t>
      </w:r>
      <w:r w:rsidR="00894B8C" w:rsidRPr="00CB2E9A">
        <w:rPr>
          <w:rFonts w:ascii="Times New Roman" w:hAnsi="Times New Roman"/>
        </w:rPr>
        <w:t>outside the scope of s 183 CPA)</w:t>
      </w:r>
      <w:r w:rsidR="00A81625" w:rsidRPr="00CB2E9A">
        <w:rPr>
          <w:rFonts w:ascii="Times New Roman" w:hAnsi="Times New Roman"/>
        </w:rPr>
        <w:t>;</w:t>
      </w:r>
      <w:r w:rsidR="00A81625" w:rsidRPr="00CB2E9A">
        <w:rPr>
          <w:rStyle w:val="FootnoteReference"/>
          <w:rFonts w:ascii="Times New Roman" w:hAnsi="Times New Roman"/>
          <w:sz w:val="24"/>
        </w:rPr>
        <w:footnoteReference w:id="13"/>
      </w:r>
      <w:r w:rsidR="00C15DAB" w:rsidRPr="00CB2E9A">
        <w:rPr>
          <w:rFonts w:ascii="Times New Roman" w:hAnsi="Times New Roman"/>
        </w:rPr>
        <w:t xml:space="preserve"> (b) did not accept that the statutory provisions supported a legislative intention t</w:t>
      </w:r>
      <w:r w:rsidR="0058726C" w:rsidRPr="00CB2E9A">
        <w:rPr>
          <w:rFonts w:ascii="Times New Roman" w:hAnsi="Times New Roman"/>
        </w:rPr>
        <w:t xml:space="preserve">hat </w:t>
      </w:r>
      <w:r w:rsidR="005E263E" w:rsidRPr="00CB2E9A">
        <w:rPr>
          <w:rFonts w:ascii="Times New Roman" w:hAnsi="Times New Roman"/>
        </w:rPr>
        <w:t>"maintaining litigation, whatever its ultimate merit or lack thereof, is itself doing justice to the parties";</w:t>
      </w:r>
      <w:r w:rsidR="005E263E" w:rsidRPr="00CB2E9A">
        <w:rPr>
          <w:rStyle w:val="FootnoteReference"/>
          <w:rFonts w:ascii="Times New Roman" w:hAnsi="Times New Roman"/>
          <w:sz w:val="24"/>
        </w:rPr>
        <w:footnoteReference w:id="14"/>
      </w:r>
      <w:r w:rsidR="000A0CD4" w:rsidRPr="00CB2E9A">
        <w:rPr>
          <w:rFonts w:ascii="Times New Roman" w:hAnsi="Times New Roman"/>
        </w:rPr>
        <w:t xml:space="preserve"> (c) characterised the order sought as one </w:t>
      </w:r>
      <w:r w:rsidR="00F1513F" w:rsidRPr="00CB2E9A">
        <w:rPr>
          <w:rFonts w:ascii="Times New Roman" w:hAnsi="Times New Roman"/>
        </w:rPr>
        <w:t>"centrally concerned to determine whether the proceeding is viable at all as a vehicle for the doing of justice between the parties to the proceeding"</w:t>
      </w:r>
      <w:r w:rsidR="00634F73" w:rsidRPr="00CB2E9A">
        <w:rPr>
          <w:rFonts w:ascii="Times New Roman" w:hAnsi="Times New Roman"/>
        </w:rPr>
        <w:t>,</w:t>
      </w:r>
      <w:r w:rsidR="00F1513F" w:rsidRPr="00CB2E9A">
        <w:rPr>
          <w:rFonts w:ascii="Times New Roman" w:hAnsi="Times New Roman"/>
        </w:rPr>
        <w:t xml:space="preserve"> which was outside the scope of s 183 of the CPA;</w:t>
      </w:r>
      <w:r w:rsidR="00F1513F" w:rsidRPr="00CB2E9A">
        <w:rPr>
          <w:rStyle w:val="FootnoteReference"/>
          <w:rFonts w:ascii="Times New Roman" w:hAnsi="Times New Roman"/>
          <w:sz w:val="24"/>
        </w:rPr>
        <w:footnoteReference w:id="15"/>
      </w:r>
      <w:r w:rsidR="00825EBC" w:rsidRPr="00CB2E9A">
        <w:rPr>
          <w:rFonts w:ascii="Times New Roman" w:hAnsi="Times New Roman"/>
        </w:rPr>
        <w:t xml:space="preserve"> (d) </w:t>
      </w:r>
      <w:r w:rsidR="00426EAF" w:rsidRPr="00CB2E9A">
        <w:rPr>
          <w:rFonts w:ascii="Times New Roman" w:hAnsi="Times New Roman"/>
        </w:rPr>
        <w:t>characterised</w:t>
      </w:r>
      <w:r w:rsidR="009D6997" w:rsidRPr="00CB2E9A">
        <w:rPr>
          <w:rFonts w:ascii="Times New Roman" w:hAnsi="Times New Roman"/>
        </w:rPr>
        <w:t xml:space="preserve"> s 183, in context, as a "</w:t>
      </w:r>
      <w:r w:rsidR="00426EAF" w:rsidRPr="00CB2E9A">
        <w:rPr>
          <w:rFonts w:ascii="Times New Roman" w:hAnsi="Times New Roman"/>
        </w:rPr>
        <w:t xml:space="preserve">supplementary source of power" </w:t>
      </w:r>
      <w:r w:rsidR="004674CA" w:rsidRPr="00CB2E9A">
        <w:rPr>
          <w:rFonts w:ascii="Times New Roman" w:hAnsi="Times New Roman"/>
        </w:rPr>
        <w:t>or a "</w:t>
      </w:r>
      <w:r w:rsidR="00B4625B" w:rsidRPr="00CB2E9A">
        <w:rPr>
          <w:rFonts w:ascii="Times New Roman" w:hAnsi="Times New Roman"/>
        </w:rPr>
        <w:t>gap</w:t>
      </w:r>
      <w:r w:rsidR="00E27324">
        <w:rPr>
          <w:rFonts w:ascii="Times New Roman" w:hAnsi="Times New Roman"/>
        </w:rPr>
        <w:noBreakHyphen/>
      </w:r>
      <w:r w:rsidR="00B4625B" w:rsidRPr="00CB2E9A">
        <w:rPr>
          <w:rFonts w:ascii="Times New Roman" w:hAnsi="Times New Roman"/>
        </w:rPr>
        <w:t>filling" provision</w:t>
      </w:r>
      <w:r w:rsidR="00B85645" w:rsidRPr="00CB2E9A">
        <w:rPr>
          <w:rFonts w:ascii="Times New Roman" w:hAnsi="Times New Roman"/>
        </w:rPr>
        <w:t>,</w:t>
      </w:r>
      <w:r w:rsidR="00B4625B" w:rsidRPr="00CB2E9A">
        <w:rPr>
          <w:rStyle w:val="FootnoteReference"/>
          <w:rFonts w:ascii="Times New Roman" w:hAnsi="Times New Roman"/>
          <w:sz w:val="24"/>
        </w:rPr>
        <w:footnoteReference w:id="16"/>
      </w:r>
      <w:r w:rsidR="00B4625B" w:rsidRPr="00CB2E9A">
        <w:rPr>
          <w:rFonts w:ascii="Times New Roman" w:hAnsi="Times New Roman"/>
        </w:rPr>
        <w:t xml:space="preserve"> </w:t>
      </w:r>
      <w:r w:rsidR="00426EAF" w:rsidRPr="00CB2E9A">
        <w:rPr>
          <w:rFonts w:ascii="Times New Roman" w:hAnsi="Times New Roman"/>
        </w:rPr>
        <w:t xml:space="preserve">which neither performed the same function as other statutory provisions </w:t>
      </w:r>
      <w:r w:rsidR="00D75977" w:rsidRPr="00CB2E9A">
        <w:rPr>
          <w:rFonts w:ascii="Times New Roman" w:hAnsi="Times New Roman"/>
        </w:rPr>
        <w:t xml:space="preserve">concerning representative proceedings </w:t>
      </w:r>
      <w:r w:rsidR="00426EAF" w:rsidRPr="00CB2E9A">
        <w:rPr>
          <w:rFonts w:ascii="Times New Roman" w:hAnsi="Times New Roman"/>
        </w:rPr>
        <w:t xml:space="preserve">nor </w:t>
      </w:r>
      <w:r w:rsidR="003E13B8" w:rsidRPr="00CB2E9A">
        <w:rPr>
          <w:rFonts w:ascii="Times New Roman" w:hAnsi="Times New Roman"/>
        </w:rPr>
        <w:t>"was intended to meet the exigencies of litigation not adverted to at all by those other provisions";</w:t>
      </w:r>
      <w:r w:rsidR="003E13B8" w:rsidRPr="00CB2E9A">
        <w:rPr>
          <w:rStyle w:val="FootnoteReference"/>
          <w:rFonts w:ascii="Times New Roman" w:hAnsi="Times New Roman"/>
          <w:sz w:val="24"/>
        </w:rPr>
        <w:footnoteReference w:id="17"/>
      </w:r>
      <w:r w:rsidR="00856C6A" w:rsidRPr="00CB2E9A">
        <w:rPr>
          <w:rFonts w:ascii="Times New Roman" w:hAnsi="Times New Roman"/>
        </w:rPr>
        <w:t xml:space="preserve"> (e) </w:t>
      </w:r>
      <w:r w:rsidR="00D07522" w:rsidRPr="00CB2E9A">
        <w:rPr>
          <w:rFonts w:ascii="Times New Roman" w:hAnsi="Times New Roman"/>
        </w:rPr>
        <w:t>considered that the Court attempt</w:t>
      </w:r>
      <w:r w:rsidR="00922845" w:rsidRPr="00CB2E9A">
        <w:rPr>
          <w:rFonts w:ascii="Times New Roman" w:hAnsi="Times New Roman"/>
        </w:rPr>
        <w:t>ing</w:t>
      </w:r>
      <w:r w:rsidR="00D07522" w:rsidRPr="00CB2E9A">
        <w:rPr>
          <w:rFonts w:ascii="Times New Roman" w:hAnsi="Times New Roman"/>
        </w:rPr>
        <w:t xml:space="preserve"> to </w:t>
      </w:r>
      <w:r w:rsidR="00AC7015" w:rsidRPr="00CB2E9A">
        <w:rPr>
          <w:rFonts w:ascii="Times New Roman" w:hAnsi="Times New Roman"/>
        </w:rPr>
        <w:t xml:space="preserve">fix a litigation funder's remuneration at an early stage of the representative proceeding would be a "speculative exercise" </w:t>
      </w:r>
      <w:r w:rsidR="003F3682" w:rsidRPr="00CB2E9A">
        <w:rPr>
          <w:rFonts w:ascii="Times New Roman" w:hAnsi="Times New Roman"/>
        </w:rPr>
        <w:t xml:space="preserve">absent any criteria to enable evaluation of the appropriateness </w:t>
      </w:r>
      <w:r w:rsidR="00AF545C" w:rsidRPr="00CB2E9A">
        <w:rPr>
          <w:rFonts w:ascii="Times New Roman" w:hAnsi="Times New Roman"/>
        </w:rPr>
        <w:t>or necessity (</w:t>
      </w:r>
      <w:r w:rsidR="003F3682" w:rsidRPr="00CB2E9A">
        <w:rPr>
          <w:rFonts w:ascii="Times New Roman" w:hAnsi="Times New Roman"/>
        </w:rPr>
        <w:t>or otherwise</w:t>
      </w:r>
      <w:r w:rsidR="00AF545C" w:rsidRPr="00CB2E9A">
        <w:rPr>
          <w:rFonts w:ascii="Times New Roman" w:hAnsi="Times New Roman"/>
        </w:rPr>
        <w:t>)</w:t>
      </w:r>
      <w:r w:rsidR="003F3682" w:rsidRPr="00CB2E9A">
        <w:rPr>
          <w:rFonts w:ascii="Times New Roman" w:hAnsi="Times New Roman"/>
        </w:rPr>
        <w:t xml:space="preserve"> of the remuneration rate so fixed;</w:t>
      </w:r>
      <w:r w:rsidR="003F3682" w:rsidRPr="00CB2E9A">
        <w:rPr>
          <w:rStyle w:val="FootnoteReference"/>
          <w:rFonts w:ascii="Times New Roman" w:hAnsi="Times New Roman"/>
          <w:sz w:val="24"/>
        </w:rPr>
        <w:footnoteReference w:id="18"/>
      </w:r>
      <w:r w:rsidR="003C1405" w:rsidRPr="00CB2E9A">
        <w:rPr>
          <w:rFonts w:ascii="Times New Roman" w:hAnsi="Times New Roman"/>
        </w:rPr>
        <w:t xml:space="preserve"> </w:t>
      </w:r>
      <w:r w:rsidR="00305B53" w:rsidRPr="00CB2E9A">
        <w:rPr>
          <w:rFonts w:ascii="Times New Roman" w:hAnsi="Times New Roman"/>
        </w:rPr>
        <w:t xml:space="preserve">and </w:t>
      </w:r>
      <w:r w:rsidR="003C1405" w:rsidRPr="00CB2E9A">
        <w:rPr>
          <w:rFonts w:ascii="Times New Roman" w:hAnsi="Times New Roman"/>
        </w:rPr>
        <w:t xml:space="preserve">(f) concluded that the making of such an order at an early stage of the representative proceeding would be </w:t>
      </w:r>
      <w:r w:rsidR="004674CA" w:rsidRPr="00CB2E9A">
        <w:rPr>
          <w:rFonts w:ascii="Times New Roman" w:hAnsi="Times New Roman"/>
        </w:rPr>
        <w:t>inconsistent</w:t>
      </w:r>
      <w:r w:rsidR="003C1405" w:rsidRPr="00CB2E9A">
        <w:rPr>
          <w:rFonts w:ascii="Times New Roman" w:hAnsi="Times New Roman"/>
        </w:rPr>
        <w:t xml:space="preserve"> with the </w:t>
      </w:r>
      <w:r w:rsidR="004674CA" w:rsidRPr="00CB2E9A">
        <w:rPr>
          <w:rFonts w:ascii="Times New Roman" w:hAnsi="Times New Roman"/>
        </w:rPr>
        <w:t>statutory scheme</w:t>
      </w:r>
      <w:r w:rsidR="004A3D01" w:rsidRPr="00CB2E9A">
        <w:rPr>
          <w:rFonts w:ascii="Times New Roman" w:hAnsi="Times New Roman"/>
        </w:rPr>
        <w:t>,</w:t>
      </w:r>
      <w:r w:rsidR="004674CA" w:rsidRPr="00CB2E9A">
        <w:rPr>
          <w:rFonts w:ascii="Times New Roman" w:hAnsi="Times New Roman"/>
        </w:rPr>
        <w:t xml:space="preserve"> which </w:t>
      </w:r>
      <w:r w:rsidR="00EF71B7" w:rsidRPr="00CB2E9A">
        <w:rPr>
          <w:rFonts w:ascii="Times New Roman" w:hAnsi="Times New Roman"/>
        </w:rPr>
        <w:t xml:space="preserve">contains </w:t>
      </w:r>
      <w:r w:rsidR="00CE7BD4" w:rsidRPr="00CB2E9A">
        <w:rPr>
          <w:rFonts w:ascii="Times New Roman" w:hAnsi="Times New Roman"/>
        </w:rPr>
        <w:t xml:space="preserve">a </w:t>
      </w:r>
      <w:r w:rsidR="00EF71B7" w:rsidRPr="00CB2E9A">
        <w:rPr>
          <w:rFonts w:ascii="Times New Roman" w:hAnsi="Times New Roman"/>
        </w:rPr>
        <w:t>provision (</w:t>
      </w:r>
      <w:r w:rsidR="00CE7BD4" w:rsidRPr="00CB2E9A">
        <w:rPr>
          <w:rFonts w:ascii="Times New Roman" w:hAnsi="Times New Roman"/>
        </w:rPr>
        <w:t xml:space="preserve">namely, </w:t>
      </w:r>
      <w:r w:rsidR="00EF71B7" w:rsidRPr="00CB2E9A">
        <w:rPr>
          <w:rFonts w:ascii="Times New Roman" w:hAnsi="Times New Roman"/>
        </w:rPr>
        <w:t>s </w:t>
      </w:r>
      <w:r w:rsidR="00305B53" w:rsidRPr="00CB2E9A">
        <w:rPr>
          <w:rFonts w:ascii="Times New Roman" w:hAnsi="Times New Roman"/>
        </w:rPr>
        <w:t xml:space="preserve">173 </w:t>
      </w:r>
      <w:r w:rsidR="00305B53" w:rsidRPr="00CB2E9A">
        <w:rPr>
          <w:rFonts w:ascii="Times New Roman" w:hAnsi="Times New Roman"/>
        </w:rPr>
        <w:lastRenderedPageBreak/>
        <w:t>CPA) that "expressly contemplate</w:t>
      </w:r>
      <w:r w:rsidR="001550FE" w:rsidRPr="00CB2E9A">
        <w:rPr>
          <w:rFonts w:ascii="Times New Roman" w:hAnsi="Times New Roman"/>
        </w:rPr>
        <w:t>[s]</w:t>
      </w:r>
      <w:r w:rsidR="00305B53" w:rsidRPr="00CB2E9A">
        <w:rPr>
          <w:rFonts w:ascii="Times New Roman" w:hAnsi="Times New Roman"/>
        </w:rPr>
        <w:t xml:space="preserve"> the making of an order at the conclusion of the proceedings"</w:t>
      </w:r>
      <w:r w:rsidR="00CD51C2" w:rsidRPr="00CB2E9A">
        <w:rPr>
          <w:rFonts w:ascii="Times New Roman" w:hAnsi="Times New Roman"/>
        </w:rPr>
        <w:t>.</w:t>
      </w:r>
      <w:r w:rsidR="00305B53" w:rsidRPr="00CB2E9A">
        <w:rPr>
          <w:rStyle w:val="FootnoteReference"/>
          <w:rFonts w:ascii="Times New Roman" w:hAnsi="Times New Roman"/>
          <w:sz w:val="24"/>
        </w:rPr>
        <w:footnoteReference w:id="19"/>
      </w:r>
      <w:r w:rsidR="00FB174C" w:rsidRPr="00CB2E9A">
        <w:rPr>
          <w:rFonts w:ascii="Times New Roman" w:hAnsi="Times New Roman"/>
        </w:rPr>
        <w:t xml:space="preserve"> On this </w:t>
      </w:r>
      <w:r w:rsidR="00362107" w:rsidRPr="00CB2E9A">
        <w:rPr>
          <w:rFonts w:ascii="Times New Roman" w:hAnsi="Times New Roman"/>
        </w:rPr>
        <w:t>basis,</w:t>
      </w:r>
      <w:r w:rsidR="00FB174C" w:rsidRPr="00CB2E9A">
        <w:rPr>
          <w:rFonts w:ascii="Times New Roman" w:hAnsi="Times New Roman"/>
        </w:rPr>
        <w:t xml:space="preserve"> their Honours concluded that construing s 183 as permitting the making of such an order w</w:t>
      </w:r>
      <w:r w:rsidR="00362107" w:rsidRPr="00CB2E9A">
        <w:rPr>
          <w:rFonts w:ascii="Times New Roman" w:hAnsi="Times New Roman"/>
        </w:rPr>
        <w:t>ould be to use s 183 "</w:t>
      </w:r>
      <w:r w:rsidR="00056C4F" w:rsidRPr="00CB2E9A">
        <w:rPr>
          <w:rFonts w:ascii="Times New Roman" w:hAnsi="Times New Roman"/>
        </w:rPr>
        <w:t xml:space="preserve">as </w:t>
      </w:r>
      <w:r w:rsidR="00362107" w:rsidRPr="00CB2E9A">
        <w:rPr>
          <w:rFonts w:ascii="Times New Roman" w:hAnsi="Times New Roman"/>
        </w:rPr>
        <w:t>a vehicle for rewriting the scheme of the legislation"</w:t>
      </w:r>
      <w:r w:rsidR="00D874B2" w:rsidRPr="00CB2E9A">
        <w:rPr>
          <w:rFonts w:ascii="Times New Roman" w:hAnsi="Times New Roman"/>
        </w:rPr>
        <w:t>.</w:t>
      </w:r>
      <w:r w:rsidR="00362107" w:rsidRPr="00CB2E9A">
        <w:rPr>
          <w:rStyle w:val="FootnoteReference"/>
          <w:rFonts w:ascii="Times New Roman" w:hAnsi="Times New Roman"/>
          <w:sz w:val="24"/>
        </w:rPr>
        <w:footnoteReference w:id="20"/>
      </w:r>
    </w:p>
    <w:p w14:paraId="1CB7F8BD" w14:textId="6FF01671" w:rsidR="003E5066" w:rsidRPr="00CB2E9A" w:rsidRDefault="003E5066" w:rsidP="00CB2E9A">
      <w:pPr>
        <w:pStyle w:val="FixListStyle"/>
        <w:spacing w:after="260" w:line="280" w:lineRule="exact"/>
        <w:ind w:right="0"/>
        <w:jc w:val="both"/>
        <w:rPr>
          <w:rFonts w:ascii="Times New Roman" w:hAnsi="Times New Roman"/>
        </w:rPr>
      </w:pPr>
      <w:r w:rsidRPr="00CB2E9A">
        <w:rPr>
          <w:rFonts w:ascii="Times New Roman" w:hAnsi="Times New Roman"/>
        </w:rPr>
        <w:tab/>
        <w:t>In reaching that conclusion</w:t>
      </w:r>
      <w:r w:rsidR="00F13470" w:rsidRPr="00CB2E9A">
        <w:rPr>
          <w:rFonts w:ascii="Times New Roman" w:hAnsi="Times New Roman"/>
        </w:rPr>
        <w:t>,</w:t>
      </w:r>
      <w:r w:rsidRPr="00CB2E9A">
        <w:rPr>
          <w:rFonts w:ascii="Times New Roman" w:hAnsi="Times New Roman"/>
        </w:rPr>
        <w:t xml:space="preserve"> their Honours observed that:</w:t>
      </w:r>
      <w:r w:rsidR="00E03DE4" w:rsidRPr="00CB2E9A">
        <w:rPr>
          <w:rStyle w:val="FootnoteReference"/>
          <w:rFonts w:ascii="Times New Roman" w:hAnsi="Times New Roman"/>
          <w:sz w:val="24"/>
        </w:rPr>
        <w:footnoteReference w:id="21"/>
      </w:r>
    </w:p>
    <w:p w14:paraId="55D71A5A" w14:textId="77777777" w:rsidR="00CB2E9A" w:rsidRDefault="003E5066" w:rsidP="00CB2E9A">
      <w:pPr>
        <w:pStyle w:val="leftright"/>
        <w:spacing w:before="0" w:after="260" w:line="280" w:lineRule="exact"/>
        <w:ind w:right="0"/>
        <w:jc w:val="both"/>
        <w:rPr>
          <w:rFonts w:ascii="Times New Roman" w:hAnsi="Times New Roman"/>
        </w:rPr>
      </w:pPr>
      <w:r w:rsidRPr="00CB2E9A">
        <w:rPr>
          <w:rFonts w:ascii="Times New Roman" w:hAnsi="Times New Roman"/>
        </w:rPr>
        <w:t>"</w:t>
      </w:r>
      <w:r w:rsidR="009560A9" w:rsidRPr="00CB2E9A">
        <w:rPr>
          <w:rFonts w:ascii="Times New Roman" w:hAnsi="Times New Roman"/>
        </w:rPr>
        <w:t>As this Court has noted, the opt out model adopted by</w:t>
      </w:r>
      <w:r w:rsidR="00DC4DEB" w:rsidRPr="00CB2E9A">
        <w:rPr>
          <w:rFonts w:ascii="Times New Roman" w:hAnsi="Times New Roman"/>
        </w:rPr>
        <w:t xml:space="preserve"> </w:t>
      </w:r>
      <w:r w:rsidR="009560A9" w:rsidRPr="00CB2E9A">
        <w:rPr>
          <w:rFonts w:ascii="Times New Roman" w:hAnsi="Times New Roman"/>
        </w:rPr>
        <w:t>Pt</w:t>
      </w:r>
      <w:r w:rsidR="006414E6" w:rsidRPr="00CB2E9A">
        <w:rPr>
          <w:rFonts w:ascii="Times New Roman" w:hAnsi="Times New Roman"/>
        </w:rPr>
        <w:t> </w:t>
      </w:r>
      <w:r w:rsidR="009560A9" w:rsidRPr="00CB2E9A">
        <w:rPr>
          <w:rFonts w:ascii="Times New Roman" w:hAnsi="Times New Roman"/>
        </w:rPr>
        <w:t>IVA of the FCA and Pt</w:t>
      </w:r>
      <w:r w:rsidR="006414E6" w:rsidRPr="00CB2E9A">
        <w:rPr>
          <w:rFonts w:ascii="Times New Roman" w:hAnsi="Times New Roman"/>
        </w:rPr>
        <w:t> </w:t>
      </w:r>
      <w:r w:rsidR="009560A9" w:rsidRPr="00CB2E9A">
        <w:rPr>
          <w:rFonts w:ascii="Times New Roman" w:hAnsi="Times New Roman"/>
        </w:rPr>
        <w:t xml:space="preserve">10 of the CPA is designed so that a representative proceeding may continue even if group members are unaware of it; and group members </w:t>
      </w:r>
      <w:r w:rsidR="00CD03D8" w:rsidRPr="00CB2E9A">
        <w:rPr>
          <w:rFonts w:ascii="Times New Roman" w:hAnsi="Times New Roman"/>
        </w:rPr>
        <w:t>'</w:t>
      </w:r>
      <w:r w:rsidR="009560A9" w:rsidRPr="00CB2E9A">
        <w:rPr>
          <w:rFonts w:ascii="Times New Roman" w:hAnsi="Times New Roman"/>
        </w:rPr>
        <w:t>are under no obligation to identify themselves</w:t>
      </w:r>
      <w:r w:rsidR="00CD03D8" w:rsidRPr="00CB2E9A">
        <w:rPr>
          <w:rFonts w:ascii="Times New Roman" w:hAnsi="Times New Roman"/>
        </w:rPr>
        <w:t>'</w:t>
      </w:r>
      <w:r w:rsidR="009560A9" w:rsidRPr="00CB2E9A">
        <w:rPr>
          <w:rFonts w:ascii="Times New Roman" w:hAnsi="Times New Roman"/>
        </w:rPr>
        <w:t>. That said, both legislative schemes do allow identification of all group members (as far as is possible) in order to distribute any</w:t>
      </w:r>
      <w:r w:rsidR="00EE5984" w:rsidRPr="00CB2E9A">
        <w:rPr>
          <w:rFonts w:ascii="Times New Roman" w:hAnsi="Times New Roman"/>
        </w:rPr>
        <w:t xml:space="preserve"> </w:t>
      </w:r>
      <w:r w:rsidR="009560A9" w:rsidRPr="00CB2E9A">
        <w:rPr>
          <w:rFonts w:ascii="Times New Roman" w:hAnsi="Times New Roman"/>
        </w:rPr>
        <w:t>proceeds.</w:t>
      </w:r>
      <w:r w:rsidR="000D7D85" w:rsidRPr="00CB2E9A">
        <w:rPr>
          <w:rFonts w:ascii="Times New Roman" w:hAnsi="Times New Roman"/>
        </w:rPr>
        <w:t xml:space="preserve"> That this is so is apparent from ss 33V, 33X(3)-(4), 33Z and 33ZA of the FCA.</w:t>
      </w:r>
      <w:r w:rsidR="00DD41D2" w:rsidRPr="00CB2E9A">
        <w:rPr>
          <w:rFonts w:ascii="Times New Roman" w:hAnsi="Times New Roman"/>
        </w:rPr>
        <w:t xml:space="preserve"> Reference to the terms of these provisions confirms that the legislative scheme contemplates that the occasion for the making of orders in relation to distribution of the proceeds of the action is its successful completion.</w:t>
      </w:r>
      <w:r w:rsidR="00E03DE4" w:rsidRPr="00CB2E9A">
        <w:rPr>
          <w:rFonts w:ascii="Times New Roman" w:hAnsi="Times New Roman"/>
        </w:rPr>
        <w:t>"</w:t>
      </w:r>
    </w:p>
    <w:p w14:paraId="40013101" w14:textId="743CA6C7" w:rsidR="00732792" w:rsidRPr="00CB2E9A" w:rsidRDefault="00DC4DEB"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3253F0" w:rsidRPr="00CB2E9A">
        <w:rPr>
          <w:rFonts w:ascii="Times New Roman" w:hAnsi="Times New Roman"/>
        </w:rPr>
        <w:t xml:space="preserve">Their Honours cited </w:t>
      </w:r>
      <w:r w:rsidR="003253F0" w:rsidRPr="00CB2E9A">
        <w:rPr>
          <w:rFonts w:ascii="Times New Roman" w:hAnsi="Times New Roman"/>
          <w:i/>
          <w:iCs/>
        </w:rPr>
        <w:t>Mobil Oil Australia Pty Ltd v Victoria</w:t>
      </w:r>
      <w:r w:rsidR="003253F0" w:rsidRPr="00CB2E9A">
        <w:rPr>
          <w:rStyle w:val="FootnoteReference"/>
          <w:rFonts w:ascii="Times New Roman" w:hAnsi="Times New Roman"/>
          <w:sz w:val="24"/>
        </w:rPr>
        <w:footnoteReference w:id="22"/>
      </w:r>
      <w:r w:rsidR="00404199" w:rsidRPr="00CB2E9A">
        <w:rPr>
          <w:rFonts w:ascii="Times New Roman" w:hAnsi="Times New Roman"/>
        </w:rPr>
        <w:t xml:space="preserve"> in support of the proposition that </w:t>
      </w:r>
      <w:r w:rsidR="00277B4A" w:rsidRPr="00CB2E9A">
        <w:rPr>
          <w:rFonts w:ascii="Times New Roman" w:hAnsi="Times New Roman"/>
        </w:rPr>
        <w:t>"</w:t>
      </w:r>
      <w:r w:rsidR="006C4ACD" w:rsidRPr="00CB2E9A">
        <w:rPr>
          <w:rFonts w:ascii="Times New Roman" w:hAnsi="Times New Roman"/>
        </w:rPr>
        <w:t>a representative proceeding may continue even if group members are unaware of it</w:t>
      </w:r>
      <w:r w:rsidR="00277B4A" w:rsidRPr="00CB2E9A">
        <w:rPr>
          <w:rFonts w:ascii="Times New Roman" w:hAnsi="Times New Roman"/>
        </w:rPr>
        <w:t>"</w:t>
      </w:r>
      <w:r w:rsidR="006C4ACD" w:rsidRPr="00CB2E9A">
        <w:rPr>
          <w:rFonts w:ascii="Times New Roman" w:hAnsi="Times New Roman"/>
        </w:rPr>
        <w:t xml:space="preserve">. In the relevant part of </w:t>
      </w:r>
      <w:r w:rsidR="006C4ACD" w:rsidRPr="00CB2E9A">
        <w:rPr>
          <w:rFonts w:ascii="Times New Roman" w:hAnsi="Times New Roman"/>
          <w:i/>
          <w:iCs/>
        </w:rPr>
        <w:t>Mobil Oil</w:t>
      </w:r>
      <w:r w:rsidR="00914FDB" w:rsidRPr="00CB2E9A">
        <w:rPr>
          <w:rFonts w:ascii="Times New Roman" w:hAnsi="Times New Roman"/>
        </w:rPr>
        <w:t>,</w:t>
      </w:r>
      <w:r w:rsidR="006C4ACD" w:rsidRPr="00CB2E9A">
        <w:rPr>
          <w:rFonts w:ascii="Times New Roman" w:hAnsi="Times New Roman"/>
        </w:rPr>
        <w:t xml:space="preserve"> </w:t>
      </w:r>
      <w:r w:rsidR="009B4656" w:rsidRPr="00CB2E9A">
        <w:rPr>
          <w:rFonts w:ascii="Times New Roman" w:hAnsi="Times New Roman"/>
        </w:rPr>
        <w:t xml:space="preserve">Gaudron, Gummow and Hayne JJ </w:t>
      </w:r>
      <w:r w:rsidR="007C5ECE" w:rsidRPr="00CB2E9A">
        <w:rPr>
          <w:rFonts w:ascii="Times New Roman" w:hAnsi="Times New Roman"/>
        </w:rPr>
        <w:t xml:space="preserve">observed that </w:t>
      </w:r>
      <w:r w:rsidR="00EB732D" w:rsidRPr="00CB2E9A">
        <w:rPr>
          <w:rFonts w:ascii="Times New Roman" w:hAnsi="Times New Roman"/>
        </w:rPr>
        <w:t xml:space="preserve">it followed from </w:t>
      </w:r>
      <w:r w:rsidR="007C5ECE" w:rsidRPr="00CB2E9A">
        <w:rPr>
          <w:rFonts w:ascii="Times New Roman" w:hAnsi="Times New Roman"/>
        </w:rPr>
        <w:t xml:space="preserve">the </w:t>
      </w:r>
      <w:r w:rsidR="007822E5" w:rsidRPr="00CB2E9A">
        <w:rPr>
          <w:rFonts w:ascii="Times New Roman" w:hAnsi="Times New Roman"/>
        </w:rPr>
        <w:t xml:space="preserve">opt out procedure adopted in the </w:t>
      </w:r>
      <w:r w:rsidR="00EB732D" w:rsidRPr="00CB2E9A">
        <w:rPr>
          <w:rFonts w:ascii="Times New Roman" w:hAnsi="Times New Roman"/>
        </w:rPr>
        <w:t>provisions applicable to representative proceedings in Victoria that</w:t>
      </w:r>
      <w:r w:rsidR="0045032A" w:rsidRPr="00CB2E9A">
        <w:rPr>
          <w:rFonts w:ascii="Times New Roman" w:hAnsi="Times New Roman"/>
        </w:rPr>
        <w:t xml:space="preserve"> </w:t>
      </w:r>
      <w:r w:rsidR="00277B4A" w:rsidRPr="00CB2E9A">
        <w:rPr>
          <w:rFonts w:ascii="Times New Roman" w:hAnsi="Times New Roman"/>
        </w:rPr>
        <w:t>"</w:t>
      </w:r>
      <w:r w:rsidR="0045032A" w:rsidRPr="00CB2E9A">
        <w:rPr>
          <w:rFonts w:ascii="Times New Roman" w:hAnsi="Times New Roman"/>
        </w:rPr>
        <w:t>[g]roup members</w:t>
      </w:r>
      <w:r w:rsidR="00FD73C0" w:rsidRPr="00CB2E9A">
        <w:rPr>
          <w:rFonts w:ascii="Times New Roman" w:hAnsi="Times New Roman"/>
        </w:rPr>
        <w:t> </w:t>
      </w:r>
      <w:r w:rsidR="0045032A" w:rsidRPr="00CB2E9A">
        <w:rPr>
          <w:rFonts w:ascii="Times New Roman" w:hAnsi="Times New Roman"/>
        </w:rPr>
        <w:t>…</w:t>
      </w:r>
      <w:r w:rsidR="00FD73C0" w:rsidRPr="00CB2E9A">
        <w:rPr>
          <w:rFonts w:ascii="Times New Roman" w:hAnsi="Times New Roman"/>
        </w:rPr>
        <w:t> </w:t>
      </w:r>
      <w:r w:rsidR="0045032A" w:rsidRPr="00CB2E9A">
        <w:rPr>
          <w:rFonts w:ascii="Times New Roman" w:hAnsi="Times New Roman"/>
        </w:rPr>
        <w:t>need take no positive step in the prosecution of the proceeding to judgment to gain whatever benefit its prosecution may bring</w:t>
      </w:r>
      <w:r w:rsidR="00277B4A" w:rsidRPr="00CB2E9A">
        <w:rPr>
          <w:rFonts w:ascii="Times New Roman" w:hAnsi="Times New Roman"/>
        </w:rPr>
        <w:t>"</w:t>
      </w:r>
      <w:r w:rsidR="00C721F9" w:rsidRPr="00CB2E9A">
        <w:rPr>
          <w:rFonts w:ascii="Times New Roman" w:hAnsi="Times New Roman"/>
        </w:rPr>
        <w:t>.</w:t>
      </w:r>
      <w:r w:rsidR="0045032A" w:rsidRPr="00CB2E9A">
        <w:rPr>
          <w:rStyle w:val="FootnoteReference"/>
          <w:rFonts w:ascii="Times New Roman" w:hAnsi="Times New Roman"/>
          <w:sz w:val="24"/>
        </w:rPr>
        <w:footnoteReference w:id="23"/>
      </w:r>
    </w:p>
    <w:p w14:paraId="5431C18D" w14:textId="169A548A" w:rsidR="00DC4DEB" w:rsidRPr="00CB2E9A" w:rsidRDefault="00732792"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DC4DEB" w:rsidRPr="00CB2E9A">
        <w:rPr>
          <w:rFonts w:ascii="Times New Roman" w:hAnsi="Times New Roman"/>
        </w:rPr>
        <w:t xml:space="preserve">In support of the proposition </w:t>
      </w:r>
      <w:r w:rsidR="000F30A5" w:rsidRPr="00CB2E9A">
        <w:rPr>
          <w:rFonts w:ascii="Times New Roman" w:hAnsi="Times New Roman"/>
        </w:rPr>
        <w:t xml:space="preserve">in </w:t>
      </w:r>
      <w:r w:rsidR="000F30A5" w:rsidRPr="00CB2E9A">
        <w:rPr>
          <w:rFonts w:ascii="Times New Roman" w:hAnsi="Times New Roman"/>
          <w:i/>
          <w:iCs/>
        </w:rPr>
        <w:t>BMW Australia Ltd v Brewster</w:t>
      </w:r>
      <w:r w:rsidR="000F30A5" w:rsidRPr="00CB2E9A">
        <w:rPr>
          <w:rFonts w:ascii="Times New Roman" w:hAnsi="Times New Roman"/>
        </w:rPr>
        <w:t xml:space="preserve"> </w:t>
      </w:r>
      <w:r w:rsidR="00DC4DEB" w:rsidRPr="00CB2E9A">
        <w:rPr>
          <w:rFonts w:ascii="Times New Roman" w:hAnsi="Times New Roman"/>
        </w:rPr>
        <w:t>that "both legislative schemes do allow identification of all group members (as far as is possible) in order to distribute any proceeds"</w:t>
      </w:r>
      <w:r w:rsidR="00B33B08" w:rsidRPr="00CB2E9A">
        <w:rPr>
          <w:rFonts w:ascii="Times New Roman" w:hAnsi="Times New Roman"/>
        </w:rPr>
        <w:t>,</w:t>
      </w:r>
      <w:r w:rsidR="000F30A5" w:rsidRPr="00CB2E9A">
        <w:rPr>
          <w:rStyle w:val="FootnoteReference"/>
          <w:rFonts w:ascii="Times New Roman" w:hAnsi="Times New Roman"/>
          <w:sz w:val="24"/>
        </w:rPr>
        <w:footnoteReference w:id="24"/>
      </w:r>
      <w:r w:rsidR="00DC4DEB" w:rsidRPr="00CB2E9A">
        <w:rPr>
          <w:rFonts w:ascii="Times New Roman" w:hAnsi="Times New Roman"/>
        </w:rPr>
        <w:t xml:space="preserve"> their Honours referred to </w:t>
      </w:r>
      <w:r w:rsidR="00291857" w:rsidRPr="00CB2E9A">
        <w:rPr>
          <w:rFonts w:ascii="Times New Roman" w:hAnsi="Times New Roman"/>
        </w:rPr>
        <w:t>ss 173</w:t>
      </w:r>
      <w:r w:rsidR="00344734" w:rsidRPr="00CB2E9A">
        <w:rPr>
          <w:rFonts w:ascii="Times New Roman" w:hAnsi="Times New Roman"/>
        </w:rPr>
        <w:t xml:space="preserve">, </w:t>
      </w:r>
      <w:r w:rsidR="00291857" w:rsidRPr="00CB2E9A">
        <w:rPr>
          <w:rFonts w:ascii="Times New Roman" w:hAnsi="Times New Roman"/>
        </w:rPr>
        <w:lastRenderedPageBreak/>
        <w:t>175</w:t>
      </w:r>
      <w:r w:rsidR="007B01CE" w:rsidRPr="00CB2E9A">
        <w:rPr>
          <w:rFonts w:ascii="Times New Roman" w:hAnsi="Times New Roman"/>
        </w:rPr>
        <w:t xml:space="preserve">, </w:t>
      </w:r>
      <w:r w:rsidR="00344734" w:rsidRPr="00CB2E9A">
        <w:rPr>
          <w:rFonts w:ascii="Times New Roman" w:hAnsi="Times New Roman"/>
        </w:rPr>
        <w:t>177</w:t>
      </w:r>
      <w:r w:rsidR="001B792A" w:rsidRPr="00CB2E9A">
        <w:rPr>
          <w:rFonts w:ascii="Times New Roman" w:hAnsi="Times New Roman"/>
        </w:rPr>
        <w:t xml:space="preserve"> and</w:t>
      </w:r>
      <w:r w:rsidR="00B1406D" w:rsidRPr="00CB2E9A">
        <w:rPr>
          <w:rFonts w:ascii="Times New Roman" w:hAnsi="Times New Roman"/>
        </w:rPr>
        <w:t xml:space="preserve"> </w:t>
      </w:r>
      <w:r w:rsidR="007B01CE" w:rsidRPr="00CB2E9A">
        <w:rPr>
          <w:rFonts w:ascii="Times New Roman" w:hAnsi="Times New Roman"/>
        </w:rPr>
        <w:t xml:space="preserve">178 </w:t>
      </w:r>
      <w:r w:rsidR="004F4AA4" w:rsidRPr="00CB2E9A">
        <w:rPr>
          <w:rFonts w:ascii="Times New Roman" w:hAnsi="Times New Roman"/>
        </w:rPr>
        <w:t xml:space="preserve">of the CPA </w:t>
      </w:r>
      <w:r w:rsidR="00BA735E" w:rsidRPr="00CB2E9A">
        <w:rPr>
          <w:rFonts w:ascii="Times New Roman" w:hAnsi="Times New Roman"/>
        </w:rPr>
        <w:t>(ss 33V, 33X, 33Z</w:t>
      </w:r>
      <w:r w:rsidR="00344734" w:rsidRPr="00CB2E9A">
        <w:rPr>
          <w:rFonts w:ascii="Times New Roman" w:hAnsi="Times New Roman"/>
        </w:rPr>
        <w:t>, 33Z</w:t>
      </w:r>
      <w:r w:rsidR="00A06845" w:rsidRPr="00CB2E9A">
        <w:rPr>
          <w:rFonts w:ascii="Times New Roman" w:hAnsi="Times New Roman"/>
        </w:rPr>
        <w:t>A</w:t>
      </w:r>
      <w:r w:rsidR="00231B8B" w:rsidRPr="00CB2E9A">
        <w:rPr>
          <w:rFonts w:ascii="Times New Roman" w:hAnsi="Times New Roman"/>
        </w:rPr>
        <w:t xml:space="preserve"> FCA</w:t>
      </w:r>
      <w:r w:rsidR="00BA735E" w:rsidRPr="00CB2E9A">
        <w:rPr>
          <w:rFonts w:ascii="Times New Roman" w:hAnsi="Times New Roman"/>
        </w:rPr>
        <w:t xml:space="preserve">). </w:t>
      </w:r>
      <w:r w:rsidR="00CF7119" w:rsidRPr="00CB2E9A">
        <w:rPr>
          <w:rFonts w:ascii="Times New Roman" w:hAnsi="Times New Roman"/>
        </w:rPr>
        <w:t>T</w:t>
      </w:r>
      <w:r w:rsidR="00B71588" w:rsidRPr="00CB2E9A">
        <w:rPr>
          <w:rFonts w:ascii="Times New Roman" w:hAnsi="Times New Roman"/>
        </w:rPr>
        <w:t>hese are the provisions which</w:t>
      </w:r>
      <w:r w:rsidR="00B1406D" w:rsidRPr="00CB2E9A">
        <w:rPr>
          <w:rFonts w:ascii="Times New Roman" w:hAnsi="Times New Roman"/>
        </w:rPr>
        <w:t>, amongst other things,</w:t>
      </w:r>
      <w:r w:rsidR="00B71588" w:rsidRPr="00CB2E9A">
        <w:rPr>
          <w:rFonts w:ascii="Times New Roman" w:hAnsi="Times New Roman"/>
        </w:rPr>
        <w:t xml:space="preserve"> </w:t>
      </w:r>
      <w:r w:rsidR="00CF7119" w:rsidRPr="00CB2E9A">
        <w:rPr>
          <w:rFonts w:ascii="Times New Roman" w:hAnsi="Times New Roman"/>
        </w:rPr>
        <w:t>require the Court to approve any settlement of a representative proceeding</w:t>
      </w:r>
      <w:r w:rsidR="00250AFB" w:rsidRPr="00CB2E9A">
        <w:rPr>
          <w:rFonts w:ascii="Times New Roman" w:hAnsi="Times New Roman"/>
        </w:rPr>
        <w:t>,</w:t>
      </w:r>
      <w:r w:rsidR="00CF7119" w:rsidRPr="00CB2E9A">
        <w:rPr>
          <w:rFonts w:ascii="Times New Roman" w:hAnsi="Times New Roman"/>
        </w:rPr>
        <w:t xml:space="preserve"> </w:t>
      </w:r>
      <w:r w:rsidR="00463D74" w:rsidRPr="00CB2E9A">
        <w:rPr>
          <w:rFonts w:ascii="Times New Roman" w:hAnsi="Times New Roman"/>
        </w:rPr>
        <w:t xml:space="preserve">enable </w:t>
      </w:r>
      <w:r w:rsidR="00701953" w:rsidRPr="00CB2E9A">
        <w:rPr>
          <w:rFonts w:ascii="Times New Roman" w:hAnsi="Times New Roman"/>
        </w:rPr>
        <w:t xml:space="preserve">the Court </w:t>
      </w:r>
      <w:r w:rsidR="00463D74" w:rsidRPr="00CB2E9A">
        <w:rPr>
          <w:rFonts w:ascii="Times New Roman" w:hAnsi="Times New Roman"/>
        </w:rPr>
        <w:t>to award damages</w:t>
      </w:r>
      <w:r w:rsidR="00845D2B" w:rsidRPr="00CB2E9A">
        <w:rPr>
          <w:rFonts w:ascii="Times New Roman" w:hAnsi="Times New Roman"/>
        </w:rPr>
        <w:t xml:space="preserve"> and</w:t>
      </w:r>
      <w:r w:rsidR="00E95361" w:rsidRPr="00CB2E9A">
        <w:rPr>
          <w:rFonts w:ascii="Times New Roman" w:hAnsi="Times New Roman"/>
        </w:rPr>
        <w:t>,</w:t>
      </w:r>
      <w:r w:rsidR="00463D74" w:rsidRPr="00CB2E9A">
        <w:rPr>
          <w:rFonts w:ascii="Times New Roman" w:hAnsi="Times New Roman"/>
        </w:rPr>
        <w:t xml:space="preserve"> in </w:t>
      </w:r>
      <w:r w:rsidR="00820FB7" w:rsidRPr="00CB2E9A">
        <w:rPr>
          <w:rFonts w:ascii="Times New Roman" w:hAnsi="Times New Roman"/>
        </w:rPr>
        <w:t>awarding damages</w:t>
      </w:r>
      <w:r w:rsidR="00463D74" w:rsidRPr="00CB2E9A">
        <w:rPr>
          <w:rFonts w:ascii="Times New Roman" w:hAnsi="Times New Roman"/>
        </w:rPr>
        <w:t xml:space="preserve">, </w:t>
      </w:r>
      <w:r w:rsidR="00701953" w:rsidRPr="00CB2E9A">
        <w:rPr>
          <w:rFonts w:ascii="Times New Roman" w:hAnsi="Times New Roman"/>
        </w:rPr>
        <w:t xml:space="preserve">require the Court </w:t>
      </w:r>
      <w:r w:rsidR="00BD3403" w:rsidRPr="00CB2E9A">
        <w:rPr>
          <w:rFonts w:ascii="Times New Roman" w:hAnsi="Times New Roman"/>
        </w:rPr>
        <w:t xml:space="preserve">to </w:t>
      </w:r>
      <w:r w:rsidR="00602A84" w:rsidRPr="00CB2E9A">
        <w:rPr>
          <w:rFonts w:ascii="Times New Roman" w:hAnsi="Times New Roman"/>
        </w:rPr>
        <w:t xml:space="preserve">make </w:t>
      </w:r>
      <w:r w:rsidR="00277B4A" w:rsidRPr="00CB2E9A">
        <w:rPr>
          <w:rFonts w:ascii="Times New Roman" w:hAnsi="Times New Roman"/>
        </w:rPr>
        <w:t>"</w:t>
      </w:r>
      <w:r w:rsidR="006B646E" w:rsidRPr="00CB2E9A">
        <w:rPr>
          <w:rFonts w:ascii="Times New Roman" w:hAnsi="Times New Roman"/>
        </w:rPr>
        <w:t>a reasonably accurate assessment</w:t>
      </w:r>
      <w:r w:rsidR="008E3E95" w:rsidRPr="00CB2E9A">
        <w:rPr>
          <w:rFonts w:ascii="Times New Roman" w:hAnsi="Times New Roman"/>
        </w:rPr>
        <w:t> </w:t>
      </w:r>
      <w:r w:rsidR="00602A84" w:rsidRPr="00CB2E9A">
        <w:rPr>
          <w:rFonts w:ascii="Times New Roman" w:hAnsi="Times New Roman"/>
        </w:rPr>
        <w:t>…</w:t>
      </w:r>
      <w:r w:rsidR="008E3E95" w:rsidRPr="00CB2E9A">
        <w:rPr>
          <w:rFonts w:ascii="Times New Roman" w:hAnsi="Times New Roman"/>
        </w:rPr>
        <w:t> </w:t>
      </w:r>
      <w:r w:rsidR="006B646E" w:rsidRPr="00CB2E9A">
        <w:rPr>
          <w:rFonts w:ascii="Times New Roman" w:hAnsi="Times New Roman"/>
        </w:rPr>
        <w:t>of the total amount to which group members will be entitled under the judgment</w:t>
      </w:r>
      <w:r w:rsidR="00277B4A" w:rsidRPr="00CB2E9A">
        <w:rPr>
          <w:rFonts w:ascii="Times New Roman" w:hAnsi="Times New Roman"/>
        </w:rPr>
        <w:t>"</w:t>
      </w:r>
      <w:r w:rsidR="006B646E" w:rsidRPr="00CB2E9A">
        <w:rPr>
          <w:rFonts w:ascii="Times New Roman" w:hAnsi="Times New Roman"/>
        </w:rPr>
        <w:t xml:space="preserve"> (s 177(3) CPA)</w:t>
      </w:r>
      <w:r w:rsidR="009B7EF5" w:rsidRPr="00CB2E9A">
        <w:rPr>
          <w:rFonts w:ascii="Times New Roman" w:hAnsi="Times New Roman"/>
        </w:rPr>
        <w:t xml:space="preserve"> and</w:t>
      </w:r>
      <w:r w:rsidR="006B646E" w:rsidRPr="00CB2E9A">
        <w:rPr>
          <w:rFonts w:ascii="Times New Roman" w:hAnsi="Times New Roman"/>
        </w:rPr>
        <w:t xml:space="preserve"> </w:t>
      </w:r>
      <w:r w:rsidR="00277B4A" w:rsidRPr="00CB2E9A">
        <w:rPr>
          <w:rFonts w:ascii="Times New Roman" w:hAnsi="Times New Roman"/>
        </w:rPr>
        <w:t>"</w:t>
      </w:r>
      <w:r w:rsidR="00463D74" w:rsidRPr="00CB2E9A">
        <w:rPr>
          <w:rFonts w:ascii="Times New Roman" w:hAnsi="Times New Roman"/>
        </w:rPr>
        <w:t>provision for the payment or distribution of the money to the group members entitled</w:t>
      </w:r>
      <w:r w:rsidR="00277B4A" w:rsidRPr="00CB2E9A">
        <w:rPr>
          <w:rFonts w:ascii="Times New Roman" w:hAnsi="Times New Roman"/>
        </w:rPr>
        <w:t>"</w:t>
      </w:r>
      <w:r w:rsidR="00463D74" w:rsidRPr="00CB2E9A">
        <w:rPr>
          <w:rFonts w:ascii="Times New Roman" w:hAnsi="Times New Roman"/>
        </w:rPr>
        <w:t xml:space="preserve"> (s </w:t>
      </w:r>
      <w:r w:rsidR="006B646E" w:rsidRPr="00CB2E9A">
        <w:rPr>
          <w:rFonts w:ascii="Times New Roman" w:hAnsi="Times New Roman"/>
        </w:rPr>
        <w:t>177(2) CPA)</w:t>
      </w:r>
      <w:r w:rsidR="00480FB3" w:rsidRPr="00CB2E9A">
        <w:rPr>
          <w:rFonts w:ascii="Times New Roman" w:hAnsi="Times New Roman"/>
        </w:rPr>
        <w:t xml:space="preserve">. </w:t>
      </w:r>
    </w:p>
    <w:p w14:paraId="5C941838" w14:textId="3E51F223" w:rsidR="00471760" w:rsidRPr="00CB2E9A" w:rsidRDefault="00472344"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04461D" w:rsidRPr="00CB2E9A">
        <w:rPr>
          <w:rFonts w:ascii="Times New Roman" w:hAnsi="Times New Roman"/>
        </w:rPr>
        <w:t xml:space="preserve">In a decision </w:t>
      </w:r>
      <w:r w:rsidR="000E4194" w:rsidRPr="00CB2E9A">
        <w:rPr>
          <w:rFonts w:ascii="Times New Roman" w:hAnsi="Times New Roman"/>
        </w:rPr>
        <w:t xml:space="preserve">which considered </w:t>
      </w:r>
      <w:r w:rsidR="000E4194" w:rsidRPr="00CB2E9A">
        <w:rPr>
          <w:rFonts w:ascii="Times New Roman" w:hAnsi="Times New Roman"/>
          <w:i/>
          <w:iCs/>
        </w:rPr>
        <w:t>BMW Australia Ltd v Brewster</w:t>
      </w:r>
      <w:r w:rsidR="000E4194" w:rsidRPr="00CB2E9A">
        <w:rPr>
          <w:rFonts w:ascii="Times New Roman" w:hAnsi="Times New Roman"/>
        </w:rPr>
        <w:t xml:space="preserve">, </w:t>
      </w:r>
      <w:r w:rsidR="003C1E05" w:rsidRPr="00CB2E9A">
        <w:rPr>
          <w:rFonts w:ascii="Times New Roman" w:hAnsi="Times New Roman"/>
          <w:i/>
          <w:iCs/>
        </w:rPr>
        <w:t>Haselhurst v Toyota Motor Corporation Australia Ltd t/as Toyota Australia</w:t>
      </w:r>
      <w:r w:rsidR="00FD351A" w:rsidRPr="00CB2E9A">
        <w:rPr>
          <w:rFonts w:ascii="Times New Roman" w:hAnsi="Times New Roman"/>
        </w:rPr>
        <w:t>,</w:t>
      </w:r>
      <w:r w:rsidR="003C1E05" w:rsidRPr="00CB2E9A">
        <w:rPr>
          <w:rStyle w:val="FootnoteReference"/>
          <w:rFonts w:ascii="Times New Roman" w:hAnsi="Times New Roman"/>
          <w:sz w:val="24"/>
        </w:rPr>
        <w:footnoteReference w:id="25"/>
      </w:r>
      <w:r w:rsidR="00301D57" w:rsidRPr="00CB2E9A">
        <w:rPr>
          <w:rFonts w:ascii="Times New Roman" w:hAnsi="Times New Roman"/>
        </w:rPr>
        <w:t xml:space="preserve"> </w:t>
      </w:r>
      <w:r w:rsidR="00B8614C" w:rsidRPr="00CB2E9A">
        <w:rPr>
          <w:rFonts w:ascii="Times New Roman" w:hAnsi="Times New Roman"/>
        </w:rPr>
        <w:t xml:space="preserve">Payne JA in </w:t>
      </w:r>
      <w:r w:rsidR="00301D57" w:rsidRPr="00CB2E9A">
        <w:rPr>
          <w:rFonts w:ascii="Times New Roman" w:hAnsi="Times New Roman"/>
        </w:rPr>
        <w:t xml:space="preserve">the Court of Appeal </w:t>
      </w:r>
      <w:r w:rsidR="00B8614C" w:rsidRPr="00CB2E9A">
        <w:rPr>
          <w:rFonts w:ascii="Times New Roman" w:hAnsi="Times New Roman"/>
        </w:rPr>
        <w:t xml:space="preserve">(with whom Bell P, </w:t>
      </w:r>
      <w:r w:rsidR="004C052F" w:rsidRPr="00CB2E9A">
        <w:rPr>
          <w:rFonts w:ascii="Times New Roman" w:hAnsi="Times New Roman"/>
        </w:rPr>
        <w:t>Macfarlan</w:t>
      </w:r>
      <w:r w:rsidR="00E03053" w:rsidRPr="00CB2E9A">
        <w:rPr>
          <w:rFonts w:ascii="Times New Roman" w:hAnsi="Times New Roman"/>
        </w:rPr>
        <w:t xml:space="preserve"> and</w:t>
      </w:r>
      <w:r w:rsidR="004C052F" w:rsidRPr="00CB2E9A">
        <w:rPr>
          <w:rFonts w:ascii="Times New Roman" w:hAnsi="Times New Roman"/>
        </w:rPr>
        <w:t xml:space="preserve"> Leeming</w:t>
      </w:r>
      <w:r w:rsidR="00E03053" w:rsidRPr="00CB2E9A">
        <w:rPr>
          <w:rFonts w:ascii="Times New Roman" w:hAnsi="Times New Roman"/>
        </w:rPr>
        <w:t> JJA, and Emmett A</w:t>
      </w:r>
      <w:r w:rsidR="005D769D">
        <w:rPr>
          <w:rFonts w:ascii="Times New Roman" w:hAnsi="Times New Roman"/>
        </w:rPr>
        <w:noBreakHyphen/>
      </w:r>
      <w:r w:rsidR="00E03053" w:rsidRPr="00CB2E9A">
        <w:rPr>
          <w:rFonts w:ascii="Times New Roman" w:hAnsi="Times New Roman"/>
        </w:rPr>
        <w:t xml:space="preserve">JA agreed) </w:t>
      </w:r>
      <w:r w:rsidR="00F8200A" w:rsidRPr="00CB2E9A">
        <w:rPr>
          <w:rFonts w:ascii="Times New Roman" w:hAnsi="Times New Roman"/>
        </w:rPr>
        <w:t xml:space="preserve">explained why the Supreme Court of New South Wales did not have power </w:t>
      </w:r>
      <w:r w:rsidR="00A104EB" w:rsidRPr="00CB2E9A">
        <w:rPr>
          <w:rFonts w:ascii="Times New Roman" w:hAnsi="Times New Roman"/>
        </w:rPr>
        <w:t xml:space="preserve">under s 183 of the CPA </w:t>
      </w:r>
      <w:r w:rsidR="00F8200A" w:rsidRPr="00CB2E9A">
        <w:rPr>
          <w:rFonts w:ascii="Times New Roman" w:hAnsi="Times New Roman"/>
        </w:rPr>
        <w:t xml:space="preserve">to make an order </w:t>
      </w:r>
      <w:r w:rsidR="005338CD" w:rsidRPr="00CB2E9A">
        <w:rPr>
          <w:rFonts w:ascii="Times New Roman" w:hAnsi="Times New Roman"/>
        </w:rPr>
        <w:t xml:space="preserve">described as effecting a </w:t>
      </w:r>
      <w:r w:rsidR="00277B4A" w:rsidRPr="00CB2E9A">
        <w:rPr>
          <w:rFonts w:ascii="Times New Roman" w:hAnsi="Times New Roman"/>
        </w:rPr>
        <w:t>"</w:t>
      </w:r>
      <w:r w:rsidR="005338CD" w:rsidRPr="00CB2E9A">
        <w:rPr>
          <w:rFonts w:ascii="Times New Roman" w:hAnsi="Times New Roman"/>
        </w:rPr>
        <w:t>soft class closure</w:t>
      </w:r>
      <w:r w:rsidR="00277B4A" w:rsidRPr="00CB2E9A">
        <w:rPr>
          <w:rFonts w:ascii="Times New Roman" w:hAnsi="Times New Roman"/>
        </w:rPr>
        <w:t>"</w:t>
      </w:r>
      <w:r w:rsidR="003F0CF5" w:rsidRPr="00CB2E9A">
        <w:rPr>
          <w:rFonts w:ascii="Times New Roman" w:hAnsi="Times New Roman"/>
        </w:rPr>
        <w:t xml:space="preserve"> in anticipation of settle</w:t>
      </w:r>
      <w:r w:rsidR="007F4128" w:rsidRPr="00CB2E9A">
        <w:rPr>
          <w:rFonts w:ascii="Times New Roman" w:hAnsi="Times New Roman"/>
        </w:rPr>
        <w:t>ment negotiations</w:t>
      </w:r>
      <w:r w:rsidR="005338CD" w:rsidRPr="00CB2E9A">
        <w:rPr>
          <w:rFonts w:ascii="Times New Roman" w:hAnsi="Times New Roman"/>
        </w:rPr>
        <w:t>.</w:t>
      </w:r>
      <w:r w:rsidR="005338CD" w:rsidRPr="00CB2E9A">
        <w:rPr>
          <w:rStyle w:val="FootnoteReference"/>
          <w:rFonts w:ascii="Times New Roman" w:hAnsi="Times New Roman"/>
          <w:sz w:val="24"/>
        </w:rPr>
        <w:footnoteReference w:id="26"/>
      </w:r>
      <w:r w:rsidR="00FB5556" w:rsidRPr="00CB2E9A">
        <w:rPr>
          <w:rFonts w:ascii="Times New Roman" w:hAnsi="Times New Roman"/>
        </w:rPr>
        <w:t xml:space="preserve"> The proposed order provided that a group member who had neither opted out nor </w:t>
      </w:r>
      <w:r w:rsidR="00576798" w:rsidRPr="00CB2E9A">
        <w:rPr>
          <w:rFonts w:ascii="Times New Roman" w:hAnsi="Times New Roman"/>
        </w:rPr>
        <w:t xml:space="preserve">registered their participation in the representative proceeding before a specified date would remain a group member and </w:t>
      </w:r>
      <w:r w:rsidR="00AB3AB4" w:rsidRPr="00CB2E9A">
        <w:rPr>
          <w:rFonts w:ascii="Times New Roman" w:hAnsi="Times New Roman"/>
        </w:rPr>
        <w:t xml:space="preserve">be </w:t>
      </w:r>
      <w:r w:rsidR="00576798" w:rsidRPr="00CB2E9A">
        <w:rPr>
          <w:rFonts w:ascii="Times New Roman" w:hAnsi="Times New Roman"/>
        </w:rPr>
        <w:t xml:space="preserve">bound by any </w:t>
      </w:r>
      <w:r w:rsidR="001C0DC5" w:rsidRPr="00CB2E9A">
        <w:rPr>
          <w:rFonts w:ascii="Times New Roman" w:hAnsi="Times New Roman"/>
        </w:rPr>
        <w:t xml:space="preserve">judgment or settlement </w:t>
      </w:r>
      <w:r w:rsidR="00EF4A03" w:rsidRPr="00CB2E9A">
        <w:rPr>
          <w:rFonts w:ascii="Times New Roman" w:hAnsi="Times New Roman"/>
        </w:rPr>
        <w:t xml:space="preserve">but, if </w:t>
      </w:r>
      <w:r w:rsidR="00A515D0" w:rsidRPr="00CB2E9A">
        <w:rPr>
          <w:rFonts w:ascii="Times New Roman" w:hAnsi="Times New Roman"/>
        </w:rPr>
        <w:t>settlement</w:t>
      </w:r>
      <w:r w:rsidR="00EF4A03" w:rsidRPr="00CB2E9A">
        <w:rPr>
          <w:rFonts w:ascii="Times New Roman" w:hAnsi="Times New Roman"/>
        </w:rPr>
        <w:t xml:space="preserve"> was reached </w:t>
      </w:r>
      <w:r w:rsidR="00A515D0" w:rsidRPr="00CB2E9A">
        <w:rPr>
          <w:rFonts w:ascii="Times New Roman" w:hAnsi="Times New Roman"/>
        </w:rPr>
        <w:t xml:space="preserve">before the trial commenced </w:t>
      </w:r>
      <w:r w:rsidR="00EF4A03" w:rsidRPr="00CB2E9A">
        <w:rPr>
          <w:rFonts w:ascii="Times New Roman" w:hAnsi="Times New Roman"/>
        </w:rPr>
        <w:t xml:space="preserve">and </w:t>
      </w:r>
      <w:r w:rsidR="00A515D0" w:rsidRPr="00CB2E9A">
        <w:rPr>
          <w:rFonts w:ascii="Times New Roman" w:hAnsi="Times New Roman"/>
        </w:rPr>
        <w:t xml:space="preserve">was </w:t>
      </w:r>
      <w:r w:rsidR="00EF4A03" w:rsidRPr="00CB2E9A">
        <w:rPr>
          <w:rFonts w:ascii="Times New Roman" w:hAnsi="Times New Roman"/>
        </w:rPr>
        <w:t xml:space="preserve">approved </w:t>
      </w:r>
      <w:r w:rsidR="00A515D0" w:rsidRPr="00CB2E9A">
        <w:rPr>
          <w:rFonts w:ascii="Times New Roman" w:hAnsi="Times New Roman"/>
        </w:rPr>
        <w:t>by the Court, the g</w:t>
      </w:r>
      <w:r w:rsidR="00354930" w:rsidRPr="00CB2E9A">
        <w:rPr>
          <w:rFonts w:ascii="Times New Roman" w:hAnsi="Times New Roman"/>
        </w:rPr>
        <w:t xml:space="preserve">roup member would be bound </w:t>
      </w:r>
      <w:r w:rsidR="00815103" w:rsidRPr="00CB2E9A">
        <w:rPr>
          <w:rFonts w:ascii="Times New Roman" w:hAnsi="Times New Roman"/>
        </w:rPr>
        <w:t xml:space="preserve">by the terms of the settlement </w:t>
      </w:r>
      <w:r w:rsidR="009C2896" w:rsidRPr="00CB2E9A">
        <w:rPr>
          <w:rFonts w:ascii="Times New Roman" w:hAnsi="Times New Roman"/>
        </w:rPr>
        <w:t>and barred from making claims against the defendant relating to the subject-matter of the proceeding</w:t>
      </w:r>
      <w:r w:rsidR="00D82BD3" w:rsidRPr="00CB2E9A">
        <w:rPr>
          <w:rFonts w:ascii="Times New Roman" w:hAnsi="Times New Roman"/>
        </w:rPr>
        <w:t xml:space="preserve">, including being </w:t>
      </w:r>
      <w:r w:rsidR="00863832" w:rsidRPr="00CB2E9A">
        <w:rPr>
          <w:rFonts w:ascii="Times New Roman" w:hAnsi="Times New Roman"/>
        </w:rPr>
        <w:t>un</w:t>
      </w:r>
      <w:r w:rsidR="00D82BD3" w:rsidRPr="00CB2E9A">
        <w:rPr>
          <w:rFonts w:ascii="Times New Roman" w:hAnsi="Times New Roman"/>
        </w:rPr>
        <w:t>able to</w:t>
      </w:r>
      <w:r w:rsidR="002B5085" w:rsidRPr="00CB2E9A">
        <w:rPr>
          <w:rFonts w:ascii="Times New Roman" w:hAnsi="Times New Roman"/>
        </w:rPr>
        <w:t xml:space="preserve"> </w:t>
      </w:r>
      <w:r w:rsidR="006E22EE" w:rsidRPr="00CB2E9A">
        <w:rPr>
          <w:rFonts w:ascii="Times New Roman" w:hAnsi="Times New Roman"/>
        </w:rPr>
        <w:t>participate</w:t>
      </w:r>
      <w:r w:rsidR="00354930" w:rsidRPr="00CB2E9A">
        <w:rPr>
          <w:rFonts w:ascii="Times New Roman" w:hAnsi="Times New Roman"/>
        </w:rPr>
        <w:t xml:space="preserve"> in any </w:t>
      </w:r>
      <w:r w:rsidR="006E22EE" w:rsidRPr="00CB2E9A">
        <w:rPr>
          <w:rFonts w:ascii="Times New Roman" w:hAnsi="Times New Roman"/>
        </w:rPr>
        <w:t>compensation</w:t>
      </w:r>
      <w:r w:rsidR="00354930" w:rsidRPr="00CB2E9A">
        <w:rPr>
          <w:rFonts w:ascii="Times New Roman" w:hAnsi="Times New Roman"/>
        </w:rPr>
        <w:t xml:space="preserve"> </w:t>
      </w:r>
      <w:r w:rsidR="006E22EE" w:rsidRPr="00CB2E9A">
        <w:rPr>
          <w:rFonts w:ascii="Times New Roman" w:hAnsi="Times New Roman"/>
        </w:rPr>
        <w:t>or otherwise benefit from any relief.</w:t>
      </w:r>
      <w:r w:rsidR="006E22EE" w:rsidRPr="00CB2E9A">
        <w:rPr>
          <w:rStyle w:val="FootnoteReference"/>
          <w:rFonts w:ascii="Times New Roman" w:hAnsi="Times New Roman"/>
          <w:sz w:val="24"/>
        </w:rPr>
        <w:footnoteReference w:id="27"/>
      </w:r>
      <w:r w:rsidR="006E22EE" w:rsidRPr="00CB2E9A">
        <w:rPr>
          <w:rFonts w:ascii="Times New Roman" w:hAnsi="Times New Roman"/>
        </w:rPr>
        <w:t xml:space="preserve"> </w:t>
      </w:r>
      <w:r w:rsidR="00711E90" w:rsidRPr="00CB2E9A">
        <w:rPr>
          <w:rFonts w:ascii="Times New Roman" w:hAnsi="Times New Roman"/>
        </w:rPr>
        <w:t>Payne JA</w:t>
      </w:r>
      <w:r w:rsidR="007043A4" w:rsidRPr="00CB2E9A">
        <w:rPr>
          <w:rFonts w:ascii="Times New Roman" w:hAnsi="Times New Roman"/>
        </w:rPr>
        <w:t xml:space="preserve"> reasoned that such an order could not be made as: (a)</w:t>
      </w:r>
      <w:r w:rsidR="0010457B" w:rsidRPr="00CB2E9A">
        <w:rPr>
          <w:rFonts w:ascii="Times New Roman" w:hAnsi="Times New Roman"/>
        </w:rPr>
        <w:t xml:space="preserve"> an order with this effect could be made only on </w:t>
      </w:r>
      <w:r w:rsidR="0079011B" w:rsidRPr="00CB2E9A">
        <w:rPr>
          <w:rFonts w:ascii="Times New Roman" w:hAnsi="Times New Roman"/>
        </w:rPr>
        <w:t>approval of a settlement (s 173 CPA) or the giving of judgment after a hearing (s 177</w:t>
      </w:r>
      <w:r w:rsidR="00C61DE4" w:rsidRPr="00CB2E9A">
        <w:rPr>
          <w:rFonts w:ascii="Times New Roman" w:hAnsi="Times New Roman"/>
        </w:rPr>
        <w:t xml:space="preserve"> CPA</w:t>
      </w:r>
      <w:r w:rsidR="0079011B" w:rsidRPr="00CB2E9A">
        <w:rPr>
          <w:rFonts w:ascii="Times New Roman" w:hAnsi="Times New Roman"/>
        </w:rPr>
        <w:t>)</w:t>
      </w:r>
      <w:r w:rsidR="000E3E5C" w:rsidRPr="00CB2E9A">
        <w:rPr>
          <w:rFonts w:ascii="Times New Roman" w:hAnsi="Times New Roman"/>
        </w:rPr>
        <w:t>;</w:t>
      </w:r>
      <w:r w:rsidR="000E3E5C" w:rsidRPr="00CB2E9A">
        <w:rPr>
          <w:rStyle w:val="FootnoteReference"/>
          <w:rFonts w:ascii="Times New Roman" w:hAnsi="Times New Roman"/>
          <w:sz w:val="24"/>
        </w:rPr>
        <w:footnoteReference w:id="28"/>
      </w:r>
      <w:r w:rsidR="0079011B" w:rsidRPr="00CB2E9A">
        <w:rPr>
          <w:rFonts w:ascii="Times New Roman" w:hAnsi="Times New Roman"/>
        </w:rPr>
        <w:t xml:space="preserve"> </w:t>
      </w:r>
      <w:r w:rsidR="00F37676" w:rsidRPr="00CB2E9A">
        <w:rPr>
          <w:rFonts w:ascii="Times New Roman" w:hAnsi="Times New Roman"/>
        </w:rPr>
        <w:t xml:space="preserve">and </w:t>
      </w:r>
      <w:r w:rsidR="001F153E" w:rsidRPr="00CB2E9A">
        <w:rPr>
          <w:rFonts w:ascii="Times New Roman" w:hAnsi="Times New Roman"/>
        </w:rPr>
        <w:t>(b)</w:t>
      </w:r>
      <w:r w:rsidR="0045657D" w:rsidRPr="00CB2E9A">
        <w:rPr>
          <w:rFonts w:ascii="Times New Roman" w:hAnsi="Times New Roman"/>
        </w:rPr>
        <w:t> </w:t>
      </w:r>
      <w:r w:rsidR="001F153E" w:rsidRPr="00CB2E9A">
        <w:rPr>
          <w:rFonts w:ascii="Times New Roman" w:hAnsi="Times New Roman"/>
        </w:rPr>
        <w:t xml:space="preserve">the fact that the Court might not approve the settlement did not alter the nature of the proposed order as a </w:t>
      </w:r>
      <w:r w:rsidR="00671BAA" w:rsidRPr="00CB2E9A">
        <w:rPr>
          <w:rFonts w:ascii="Times New Roman" w:hAnsi="Times New Roman"/>
        </w:rPr>
        <w:t>contingent extinguishment of the group members</w:t>
      </w:r>
      <w:r w:rsidR="00182282" w:rsidRPr="00CB2E9A">
        <w:rPr>
          <w:rFonts w:ascii="Times New Roman" w:hAnsi="Times New Roman"/>
        </w:rPr>
        <w:t>'</w:t>
      </w:r>
      <w:r w:rsidR="00671BAA" w:rsidRPr="00CB2E9A">
        <w:rPr>
          <w:rFonts w:ascii="Times New Roman" w:hAnsi="Times New Roman"/>
        </w:rPr>
        <w:t xml:space="preserve"> rights of action </w:t>
      </w:r>
      <w:r w:rsidR="00136BD8" w:rsidRPr="00CB2E9A">
        <w:rPr>
          <w:rFonts w:ascii="Times New Roman" w:hAnsi="Times New Roman"/>
        </w:rPr>
        <w:t>against</w:t>
      </w:r>
      <w:r w:rsidR="00671BAA" w:rsidRPr="00CB2E9A">
        <w:rPr>
          <w:rFonts w:ascii="Times New Roman" w:hAnsi="Times New Roman"/>
        </w:rPr>
        <w:t xml:space="preserve"> the defendant</w:t>
      </w:r>
      <w:r w:rsidR="00F37676" w:rsidRPr="00CB2E9A">
        <w:rPr>
          <w:rFonts w:ascii="Times New Roman" w:hAnsi="Times New Roman"/>
        </w:rPr>
        <w:t>.</w:t>
      </w:r>
      <w:r w:rsidR="00136BD8" w:rsidRPr="00CB2E9A">
        <w:rPr>
          <w:rStyle w:val="FootnoteReference"/>
          <w:rFonts w:ascii="Times New Roman" w:hAnsi="Times New Roman"/>
          <w:sz w:val="24"/>
        </w:rPr>
        <w:footnoteReference w:id="29"/>
      </w:r>
      <w:r w:rsidR="00F37676" w:rsidRPr="00CB2E9A">
        <w:rPr>
          <w:rFonts w:ascii="Times New Roman" w:hAnsi="Times New Roman"/>
        </w:rPr>
        <w:t xml:space="preserve"> </w:t>
      </w:r>
      <w:r w:rsidR="00711E90" w:rsidRPr="00CB2E9A">
        <w:rPr>
          <w:rFonts w:ascii="Times New Roman" w:hAnsi="Times New Roman"/>
        </w:rPr>
        <w:t>R</w:t>
      </w:r>
      <w:r w:rsidR="001915D5" w:rsidRPr="00CB2E9A">
        <w:rPr>
          <w:rFonts w:ascii="Times New Roman" w:hAnsi="Times New Roman"/>
        </w:rPr>
        <w:t>eflecting</w:t>
      </w:r>
      <w:r w:rsidR="008260A3" w:rsidRPr="00CB2E9A">
        <w:rPr>
          <w:rFonts w:ascii="Times New Roman" w:hAnsi="Times New Roman"/>
        </w:rPr>
        <w:t xml:space="preserve"> the statement from </w:t>
      </w:r>
      <w:r w:rsidR="008260A3" w:rsidRPr="00CB2E9A">
        <w:rPr>
          <w:rFonts w:ascii="Times New Roman" w:hAnsi="Times New Roman"/>
          <w:i/>
          <w:iCs/>
        </w:rPr>
        <w:t>Mobil Oil</w:t>
      </w:r>
      <w:r w:rsidR="008260A3" w:rsidRPr="00CB2E9A">
        <w:rPr>
          <w:rFonts w:ascii="Times New Roman" w:hAnsi="Times New Roman"/>
        </w:rPr>
        <w:t xml:space="preserve"> </w:t>
      </w:r>
      <w:r w:rsidR="0088404B" w:rsidRPr="00CB2E9A">
        <w:rPr>
          <w:rFonts w:ascii="Times New Roman" w:hAnsi="Times New Roman"/>
        </w:rPr>
        <w:t xml:space="preserve">referred to </w:t>
      </w:r>
      <w:r w:rsidR="008260A3" w:rsidRPr="00CB2E9A">
        <w:rPr>
          <w:rFonts w:ascii="Times New Roman" w:hAnsi="Times New Roman"/>
        </w:rPr>
        <w:t>above,</w:t>
      </w:r>
      <w:r w:rsidR="005769E1" w:rsidRPr="00CB2E9A">
        <w:rPr>
          <w:rFonts w:ascii="Times New Roman" w:hAnsi="Times New Roman"/>
        </w:rPr>
        <w:t xml:space="preserve"> Payne</w:t>
      </w:r>
      <w:r w:rsidR="0050077D" w:rsidRPr="00CB2E9A">
        <w:rPr>
          <w:rFonts w:ascii="Times New Roman" w:hAnsi="Times New Roman"/>
        </w:rPr>
        <w:t> </w:t>
      </w:r>
      <w:r w:rsidR="005769E1" w:rsidRPr="00CB2E9A">
        <w:rPr>
          <w:rFonts w:ascii="Times New Roman" w:hAnsi="Times New Roman"/>
        </w:rPr>
        <w:t>JA</w:t>
      </w:r>
      <w:r w:rsidR="00F37676" w:rsidRPr="00CB2E9A">
        <w:rPr>
          <w:rFonts w:ascii="Times New Roman" w:hAnsi="Times New Roman"/>
        </w:rPr>
        <w:t xml:space="preserve"> also observed that </w:t>
      </w:r>
      <w:r w:rsidR="00464136" w:rsidRPr="00CB2E9A">
        <w:rPr>
          <w:rFonts w:ascii="Times New Roman" w:hAnsi="Times New Roman"/>
        </w:rPr>
        <w:t>"</w:t>
      </w:r>
      <w:r w:rsidR="00827454" w:rsidRPr="00CB2E9A">
        <w:rPr>
          <w:rFonts w:ascii="Times New Roman" w:hAnsi="Times New Roman"/>
        </w:rPr>
        <w:t xml:space="preserve">[a] </w:t>
      </w:r>
      <w:r w:rsidR="00775EEB" w:rsidRPr="00CB2E9A">
        <w:rPr>
          <w:rFonts w:ascii="Times New Roman" w:hAnsi="Times New Roman"/>
        </w:rPr>
        <w:t>g</w:t>
      </w:r>
      <w:r w:rsidR="00827454" w:rsidRPr="00CB2E9A">
        <w:rPr>
          <w:rFonts w:ascii="Times New Roman" w:hAnsi="Times New Roman"/>
        </w:rPr>
        <w:t xml:space="preserve">roup </w:t>
      </w:r>
      <w:r w:rsidR="00775EEB" w:rsidRPr="00CB2E9A">
        <w:rPr>
          <w:rFonts w:ascii="Times New Roman" w:hAnsi="Times New Roman"/>
        </w:rPr>
        <w:t>m</w:t>
      </w:r>
      <w:r w:rsidR="00827454" w:rsidRPr="00CB2E9A">
        <w:rPr>
          <w:rFonts w:ascii="Times New Roman" w:hAnsi="Times New Roman"/>
        </w:rPr>
        <w:t>ember</w:t>
      </w:r>
      <w:r w:rsidR="00775EEB" w:rsidRPr="00CB2E9A">
        <w:rPr>
          <w:rFonts w:ascii="Times New Roman" w:hAnsi="Times New Roman"/>
        </w:rPr>
        <w:t> </w:t>
      </w:r>
      <w:r w:rsidR="00333F75" w:rsidRPr="00CB2E9A">
        <w:rPr>
          <w:rFonts w:ascii="Times New Roman" w:hAnsi="Times New Roman"/>
        </w:rPr>
        <w:t>…</w:t>
      </w:r>
      <w:r w:rsidR="00775EEB" w:rsidRPr="00CB2E9A">
        <w:rPr>
          <w:rFonts w:ascii="Times New Roman" w:hAnsi="Times New Roman"/>
        </w:rPr>
        <w:t> </w:t>
      </w:r>
      <w:r w:rsidR="00827454" w:rsidRPr="00CB2E9A">
        <w:rPr>
          <w:rFonts w:ascii="Times New Roman" w:hAnsi="Times New Roman"/>
        </w:rPr>
        <w:t xml:space="preserve">need take no positive step in the prosecution of the proceeding to judgment or settlement to gain whatever benefit its prosecution may bring. Once there is an amount of money available, </w:t>
      </w:r>
      <w:r w:rsidR="00827454" w:rsidRPr="00CB2E9A">
        <w:rPr>
          <w:rFonts w:ascii="Times New Roman" w:hAnsi="Times New Roman"/>
        </w:rPr>
        <w:lastRenderedPageBreak/>
        <w:t xml:space="preserve">whether by judgment or settlement, the </w:t>
      </w:r>
      <w:r w:rsidR="008A16A5" w:rsidRPr="00CB2E9A">
        <w:rPr>
          <w:rFonts w:ascii="Times New Roman" w:hAnsi="Times New Roman"/>
        </w:rPr>
        <w:t>g</w:t>
      </w:r>
      <w:r w:rsidR="00827454" w:rsidRPr="00CB2E9A">
        <w:rPr>
          <w:rFonts w:ascii="Times New Roman" w:hAnsi="Times New Roman"/>
        </w:rPr>
        <w:t xml:space="preserve">roup </w:t>
      </w:r>
      <w:r w:rsidR="008A16A5" w:rsidRPr="00CB2E9A">
        <w:rPr>
          <w:rFonts w:ascii="Times New Roman" w:hAnsi="Times New Roman"/>
        </w:rPr>
        <w:t>m</w:t>
      </w:r>
      <w:r w:rsidR="00827454" w:rsidRPr="00CB2E9A">
        <w:rPr>
          <w:rFonts w:ascii="Times New Roman" w:hAnsi="Times New Roman"/>
        </w:rPr>
        <w:t>ember will then have to take a positive step to share in the proceeds</w:t>
      </w:r>
      <w:r w:rsidR="00B13F26" w:rsidRPr="00CB2E9A">
        <w:rPr>
          <w:rFonts w:ascii="Times New Roman" w:hAnsi="Times New Roman"/>
        </w:rPr>
        <w:t>.</w:t>
      </w:r>
      <w:r w:rsidR="00464136" w:rsidRPr="00CB2E9A">
        <w:rPr>
          <w:rFonts w:ascii="Times New Roman" w:hAnsi="Times New Roman"/>
        </w:rPr>
        <w:t>"</w:t>
      </w:r>
      <w:r w:rsidR="00B13F26" w:rsidRPr="00CB2E9A">
        <w:rPr>
          <w:rStyle w:val="FootnoteReference"/>
          <w:rFonts w:ascii="Times New Roman" w:hAnsi="Times New Roman"/>
          <w:sz w:val="24"/>
        </w:rPr>
        <w:footnoteReference w:id="30"/>
      </w:r>
    </w:p>
    <w:p w14:paraId="337BD430" w14:textId="51F2BDAF" w:rsidR="00B13F26" w:rsidRPr="00CB2E9A" w:rsidRDefault="00257F1F"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C62DF3" w:rsidRPr="00CB2E9A">
        <w:rPr>
          <w:rFonts w:ascii="Times New Roman" w:hAnsi="Times New Roman"/>
        </w:rPr>
        <w:t xml:space="preserve">In the subsequent decision of </w:t>
      </w:r>
      <w:r w:rsidR="00C62DF3" w:rsidRPr="00CB2E9A">
        <w:rPr>
          <w:rFonts w:ascii="Times New Roman" w:hAnsi="Times New Roman"/>
          <w:i/>
          <w:iCs/>
        </w:rPr>
        <w:t>Wigmans v AMP Ltd</w:t>
      </w:r>
      <w:r w:rsidR="000967BE" w:rsidRPr="00CB2E9A">
        <w:rPr>
          <w:rFonts w:ascii="Times New Roman" w:hAnsi="Times New Roman"/>
        </w:rPr>
        <w:t>,</w:t>
      </w:r>
      <w:r w:rsidR="00353578" w:rsidRPr="00CB2E9A">
        <w:rPr>
          <w:rStyle w:val="FootnoteReference"/>
          <w:rFonts w:ascii="Times New Roman" w:hAnsi="Times New Roman"/>
          <w:sz w:val="24"/>
        </w:rPr>
        <w:footnoteReference w:id="31"/>
      </w:r>
      <w:r w:rsidR="00856912" w:rsidRPr="00CB2E9A">
        <w:rPr>
          <w:rFonts w:ascii="Times New Roman" w:hAnsi="Times New Roman"/>
        </w:rPr>
        <w:t xml:space="preserve"> the Court of Appeal </w:t>
      </w:r>
      <w:r w:rsidR="007707AB" w:rsidRPr="00CB2E9A">
        <w:rPr>
          <w:rFonts w:ascii="Times New Roman" w:hAnsi="Times New Roman"/>
        </w:rPr>
        <w:t>(Macfarlan, Leeming and White</w:t>
      </w:r>
      <w:r w:rsidR="00C92951" w:rsidRPr="00CB2E9A">
        <w:rPr>
          <w:rFonts w:ascii="Times New Roman" w:hAnsi="Times New Roman"/>
        </w:rPr>
        <w:t> </w:t>
      </w:r>
      <w:r w:rsidR="007707AB" w:rsidRPr="00CB2E9A">
        <w:rPr>
          <w:rFonts w:ascii="Times New Roman" w:hAnsi="Times New Roman"/>
        </w:rPr>
        <w:t xml:space="preserve">JJA) </w:t>
      </w:r>
      <w:r w:rsidR="00910446" w:rsidRPr="00CB2E9A">
        <w:rPr>
          <w:rFonts w:ascii="Times New Roman" w:hAnsi="Times New Roman"/>
        </w:rPr>
        <w:t>considered</w:t>
      </w:r>
      <w:r w:rsidR="007707AB" w:rsidRPr="00CB2E9A">
        <w:rPr>
          <w:rFonts w:ascii="Times New Roman" w:hAnsi="Times New Roman"/>
        </w:rPr>
        <w:t xml:space="preserve"> a</w:t>
      </w:r>
      <w:r w:rsidR="00910446" w:rsidRPr="00CB2E9A">
        <w:rPr>
          <w:rFonts w:ascii="Times New Roman" w:hAnsi="Times New Roman"/>
        </w:rPr>
        <w:t xml:space="preserve"> proposed</w:t>
      </w:r>
      <w:r w:rsidR="007707AB" w:rsidRPr="00CB2E9A">
        <w:rPr>
          <w:rFonts w:ascii="Times New Roman" w:hAnsi="Times New Roman"/>
        </w:rPr>
        <w:t xml:space="preserve"> order that</w:t>
      </w:r>
      <w:r w:rsidR="00910446" w:rsidRPr="00CB2E9A">
        <w:rPr>
          <w:rFonts w:ascii="Times New Roman" w:hAnsi="Times New Roman"/>
        </w:rPr>
        <w:t xml:space="preserve">, if the representative proceeding settled within specified time parameters, </w:t>
      </w:r>
      <w:r w:rsidR="00464136" w:rsidRPr="00CB2E9A">
        <w:rPr>
          <w:rFonts w:ascii="Times New Roman" w:hAnsi="Times New Roman"/>
        </w:rPr>
        <w:t>"</w:t>
      </w:r>
      <w:r w:rsidR="00F912FB" w:rsidRPr="00CB2E9A">
        <w:rPr>
          <w:rFonts w:ascii="Times New Roman" w:hAnsi="Times New Roman"/>
        </w:rPr>
        <w:t>the parties intend to apply to the Court for an order that any Group Member who by the Class Deadline does not opt out and who is not a New Registered Group Member or Existing Registered Group Member will not receive any benefit pursuant to the settlement</w:t>
      </w:r>
      <w:r w:rsidR="00464136" w:rsidRPr="00CB2E9A">
        <w:rPr>
          <w:rFonts w:ascii="Times New Roman" w:hAnsi="Times New Roman"/>
        </w:rPr>
        <w:t>"</w:t>
      </w:r>
      <w:r w:rsidR="00F028FC" w:rsidRPr="00CB2E9A">
        <w:rPr>
          <w:rFonts w:ascii="Times New Roman" w:hAnsi="Times New Roman"/>
        </w:rPr>
        <w:t>.</w:t>
      </w:r>
      <w:r w:rsidR="00F912FB" w:rsidRPr="00CB2E9A">
        <w:rPr>
          <w:rStyle w:val="FootnoteReference"/>
          <w:rFonts w:ascii="Times New Roman" w:hAnsi="Times New Roman"/>
          <w:sz w:val="24"/>
        </w:rPr>
        <w:footnoteReference w:id="32"/>
      </w:r>
      <w:r w:rsidR="008570C4" w:rsidRPr="00CB2E9A">
        <w:rPr>
          <w:rFonts w:ascii="Times New Roman" w:hAnsi="Times New Roman"/>
        </w:rPr>
        <w:t xml:space="preserve"> Referring to </w:t>
      </w:r>
      <w:r w:rsidR="004A226C" w:rsidRPr="00CB2E9A">
        <w:rPr>
          <w:rFonts w:ascii="Times New Roman" w:hAnsi="Times New Roman"/>
          <w:i/>
          <w:iCs/>
        </w:rPr>
        <w:t>Haselhurst</w:t>
      </w:r>
      <w:r w:rsidR="004A226C" w:rsidRPr="00CB2E9A">
        <w:rPr>
          <w:rFonts w:ascii="Times New Roman" w:hAnsi="Times New Roman"/>
        </w:rPr>
        <w:t>, their Hono</w:t>
      </w:r>
      <w:r w:rsidR="00F028FC" w:rsidRPr="00CB2E9A">
        <w:rPr>
          <w:rFonts w:ascii="Times New Roman" w:hAnsi="Times New Roman"/>
        </w:rPr>
        <w:t>u</w:t>
      </w:r>
      <w:r w:rsidR="004A226C" w:rsidRPr="00CB2E9A">
        <w:rPr>
          <w:rFonts w:ascii="Times New Roman" w:hAnsi="Times New Roman"/>
        </w:rPr>
        <w:t xml:space="preserve">rs said that </w:t>
      </w:r>
      <w:r w:rsidR="00054D1B" w:rsidRPr="00CB2E9A">
        <w:rPr>
          <w:rFonts w:ascii="Times New Roman" w:hAnsi="Times New Roman"/>
        </w:rPr>
        <w:t>the proposed order "</w:t>
      </w:r>
      <w:r w:rsidR="00095BC0" w:rsidRPr="00CB2E9A">
        <w:rPr>
          <w:rFonts w:ascii="Times New Roman" w:hAnsi="Times New Roman"/>
        </w:rPr>
        <w:t xml:space="preserve">is prima facie contrary to a fundamental precept of Pt 10, as confirmed by the joint judgments in </w:t>
      </w:r>
      <w:r w:rsidR="00095BC0" w:rsidRPr="00CB2E9A">
        <w:rPr>
          <w:rFonts w:ascii="Times New Roman" w:hAnsi="Times New Roman"/>
          <w:i/>
          <w:iCs/>
        </w:rPr>
        <w:t>Mobil Oil</w:t>
      </w:r>
      <w:r w:rsidR="00095BC0" w:rsidRPr="00CB2E9A">
        <w:rPr>
          <w:rFonts w:ascii="Times New Roman" w:hAnsi="Times New Roman"/>
        </w:rPr>
        <w:t xml:space="preserve"> and </w:t>
      </w:r>
      <w:r w:rsidR="00095BC0" w:rsidRPr="00CB2E9A">
        <w:rPr>
          <w:rFonts w:ascii="Times New Roman" w:hAnsi="Times New Roman"/>
          <w:i/>
          <w:iCs/>
        </w:rPr>
        <w:t>Brewster</w:t>
      </w:r>
      <w:r w:rsidR="00095BC0" w:rsidRPr="00CB2E9A">
        <w:rPr>
          <w:rFonts w:ascii="Times New Roman" w:hAnsi="Times New Roman"/>
        </w:rPr>
        <w:t>, and inherent in the legislative choice of an opt</w:t>
      </w:r>
      <w:r w:rsidR="00D13737" w:rsidRPr="00CB2E9A">
        <w:rPr>
          <w:rFonts w:ascii="Times New Roman" w:hAnsi="Times New Roman"/>
        </w:rPr>
        <w:t>-</w:t>
      </w:r>
      <w:r w:rsidR="00095BC0" w:rsidRPr="00CB2E9A">
        <w:rPr>
          <w:rFonts w:ascii="Times New Roman" w:hAnsi="Times New Roman"/>
        </w:rPr>
        <w:t>out regime. If what is contemplated</w:t>
      </w:r>
      <w:r w:rsidR="00D13737" w:rsidRPr="00CB2E9A">
        <w:rPr>
          <w:rFonts w:ascii="Times New Roman" w:hAnsi="Times New Roman"/>
        </w:rPr>
        <w:t> </w:t>
      </w:r>
      <w:r w:rsidR="00095BC0" w:rsidRPr="00CB2E9A">
        <w:rPr>
          <w:rFonts w:ascii="Times New Roman" w:hAnsi="Times New Roman"/>
        </w:rPr>
        <w:t>…</w:t>
      </w:r>
      <w:r w:rsidR="00D13737" w:rsidRPr="00CB2E9A">
        <w:rPr>
          <w:rFonts w:ascii="Times New Roman" w:hAnsi="Times New Roman"/>
        </w:rPr>
        <w:t> </w:t>
      </w:r>
      <w:r w:rsidR="00095BC0" w:rsidRPr="00CB2E9A">
        <w:rPr>
          <w:rFonts w:ascii="Times New Roman" w:hAnsi="Times New Roman"/>
        </w:rPr>
        <w:t>comes to pass, group members who take no positive step will gain no benefit from any settlement and will have their rights extinguished. Indeed, it is reasonable to expect that the extinction of passive or unregistered group members</w:t>
      </w:r>
      <w:r w:rsidR="00D13737" w:rsidRPr="00CB2E9A">
        <w:rPr>
          <w:rFonts w:ascii="Times New Roman" w:hAnsi="Times New Roman"/>
        </w:rPr>
        <w:t>'</w:t>
      </w:r>
      <w:r w:rsidR="00095BC0" w:rsidRPr="00CB2E9A">
        <w:rPr>
          <w:rFonts w:ascii="Times New Roman" w:hAnsi="Times New Roman"/>
        </w:rPr>
        <w:t xml:space="preserve"> rights would be one of the drivers of any settlement between registered group members and [the defendant]. This prima facie gives rise to a conflict between group members who are registered and those who are not.</w:t>
      </w:r>
      <w:r w:rsidR="00464136" w:rsidRPr="00CB2E9A">
        <w:rPr>
          <w:rFonts w:ascii="Times New Roman" w:hAnsi="Times New Roman"/>
        </w:rPr>
        <w:t>"</w:t>
      </w:r>
      <w:r w:rsidR="00095BC0" w:rsidRPr="00CB2E9A">
        <w:rPr>
          <w:rStyle w:val="FootnoteReference"/>
          <w:rFonts w:ascii="Times New Roman" w:hAnsi="Times New Roman"/>
          <w:sz w:val="24"/>
        </w:rPr>
        <w:footnoteReference w:id="33"/>
      </w:r>
      <w:r w:rsidR="001D2212" w:rsidRPr="00CB2E9A">
        <w:rPr>
          <w:rFonts w:ascii="Times New Roman" w:hAnsi="Times New Roman"/>
        </w:rPr>
        <w:t xml:space="preserve"> Their Honours </w:t>
      </w:r>
      <w:r w:rsidR="003F077B" w:rsidRPr="00CB2E9A">
        <w:rPr>
          <w:rFonts w:ascii="Times New Roman" w:hAnsi="Times New Roman"/>
        </w:rPr>
        <w:t xml:space="preserve">considered that the conflict of interest between the representative plaintiff and the unregistered group members in any settlement negotiation and approval hearing would be "real, immediate and direct" as the representative plaintiff would be propounding </w:t>
      </w:r>
      <w:r w:rsidR="00820B86">
        <w:rPr>
          <w:rFonts w:ascii="Times New Roman" w:hAnsi="Times New Roman"/>
        </w:rPr>
        <w:t>a</w:t>
      </w:r>
      <w:r w:rsidR="00820B86" w:rsidRPr="00CB2E9A">
        <w:rPr>
          <w:rFonts w:ascii="Times New Roman" w:hAnsi="Times New Roman"/>
        </w:rPr>
        <w:t xml:space="preserve"> </w:t>
      </w:r>
      <w:r w:rsidR="003F077B" w:rsidRPr="00CB2E9A">
        <w:rPr>
          <w:rFonts w:ascii="Times New Roman" w:hAnsi="Times New Roman"/>
        </w:rPr>
        <w:t>settlement from which the unregistered group members would receive nothing but by which they would be bound.</w:t>
      </w:r>
      <w:r w:rsidR="003F077B" w:rsidRPr="00CB2E9A">
        <w:rPr>
          <w:rStyle w:val="FootnoteReference"/>
          <w:rFonts w:ascii="Times New Roman" w:hAnsi="Times New Roman"/>
          <w:sz w:val="24"/>
        </w:rPr>
        <w:footnoteReference w:id="34"/>
      </w:r>
      <w:r w:rsidR="00341012" w:rsidRPr="00CB2E9A">
        <w:rPr>
          <w:rFonts w:ascii="Times New Roman" w:hAnsi="Times New Roman"/>
        </w:rPr>
        <w:t xml:space="preserve"> </w:t>
      </w:r>
      <w:r w:rsidR="00F07602" w:rsidRPr="00CB2E9A">
        <w:rPr>
          <w:rFonts w:ascii="Times New Roman" w:hAnsi="Times New Roman"/>
        </w:rPr>
        <w:t>It followed</w:t>
      </w:r>
      <w:r w:rsidR="000B4557" w:rsidRPr="00CB2E9A">
        <w:rPr>
          <w:rFonts w:ascii="Times New Roman" w:hAnsi="Times New Roman"/>
        </w:rPr>
        <w:t>,</w:t>
      </w:r>
      <w:r w:rsidR="00F07602" w:rsidRPr="00CB2E9A">
        <w:rPr>
          <w:rFonts w:ascii="Times New Roman" w:hAnsi="Times New Roman"/>
        </w:rPr>
        <w:t xml:space="preserve"> </w:t>
      </w:r>
      <w:r w:rsidR="00AF2D35" w:rsidRPr="00CB2E9A">
        <w:rPr>
          <w:rFonts w:ascii="Times New Roman" w:hAnsi="Times New Roman"/>
        </w:rPr>
        <w:t>in their Honours</w:t>
      </w:r>
      <w:r w:rsidR="0011611A" w:rsidRPr="00CB2E9A">
        <w:rPr>
          <w:rFonts w:ascii="Times New Roman" w:hAnsi="Times New Roman"/>
        </w:rPr>
        <w:t>'</w:t>
      </w:r>
      <w:r w:rsidR="00AF2D35" w:rsidRPr="00CB2E9A">
        <w:rPr>
          <w:rFonts w:ascii="Times New Roman" w:hAnsi="Times New Roman"/>
        </w:rPr>
        <w:t xml:space="preserve"> view</w:t>
      </w:r>
      <w:r w:rsidR="000B4557" w:rsidRPr="00CB2E9A">
        <w:rPr>
          <w:rFonts w:ascii="Times New Roman" w:hAnsi="Times New Roman"/>
        </w:rPr>
        <w:t>,</w:t>
      </w:r>
      <w:r w:rsidR="00AF2D35" w:rsidRPr="00CB2E9A">
        <w:rPr>
          <w:rFonts w:ascii="Times New Roman" w:hAnsi="Times New Roman"/>
        </w:rPr>
        <w:t xml:space="preserve"> </w:t>
      </w:r>
      <w:r w:rsidR="00F07602" w:rsidRPr="00CB2E9A">
        <w:rPr>
          <w:rFonts w:ascii="Times New Roman" w:hAnsi="Times New Roman"/>
        </w:rPr>
        <w:t>that s 175</w:t>
      </w:r>
      <w:r w:rsidR="00AF2D35" w:rsidRPr="00CB2E9A">
        <w:rPr>
          <w:rFonts w:ascii="Times New Roman" w:hAnsi="Times New Roman"/>
        </w:rPr>
        <w:t>(5) of the CPA, despite being in apparently unqualified terms,</w:t>
      </w:r>
      <w:r w:rsidR="002F2AF9" w:rsidRPr="00CB2E9A">
        <w:rPr>
          <w:rStyle w:val="FootnoteReference"/>
          <w:rFonts w:ascii="Times New Roman" w:hAnsi="Times New Roman"/>
          <w:sz w:val="24"/>
        </w:rPr>
        <w:footnoteReference w:id="35"/>
      </w:r>
      <w:r w:rsidR="00AF2D35" w:rsidRPr="00CB2E9A">
        <w:rPr>
          <w:rFonts w:ascii="Times New Roman" w:hAnsi="Times New Roman"/>
        </w:rPr>
        <w:t xml:space="preserve"> did not empower the giving of the proposed notice</w:t>
      </w:r>
      <w:r w:rsidR="002031BC" w:rsidRPr="00CB2E9A">
        <w:rPr>
          <w:rFonts w:ascii="Times New Roman" w:hAnsi="Times New Roman"/>
        </w:rPr>
        <w:t xml:space="preserve"> as the practical effect of the orders did not conform to Pt 10 of the CPA.</w:t>
      </w:r>
      <w:r w:rsidR="002031BC" w:rsidRPr="00CB2E9A">
        <w:rPr>
          <w:rStyle w:val="FootnoteReference"/>
          <w:rFonts w:ascii="Times New Roman" w:hAnsi="Times New Roman"/>
          <w:sz w:val="24"/>
        </w:rPr>
        <w:footnoteReference w:id="36"/>
      </w:r>
      <w:r w:rsidR="00AF2D35" w:rsidRPr="00CB2E9A">
        <w:rPr>
          <w:rFonts w:ascii="Times New Roman" w:hAnsi="Times New Roman"/>
        </w:rPr>
        <w:t xml:space="preserve"> </w:t>
      </w:r>
    </w:p>
    <w:p w14:paraId="7621E433" w14:textId="3057BD6D" w:rsidR="00606F33" w:rsidRPr="00CB2E9A" w:rsidRDefault="00257F1F"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0B410B" w:rsidRPr="00CB2E9A">
        <w:rPr>
          <w:rFonts w:ascii="Times New Roman" w:hAnsi="Times New Roman"/>
        </w:rPr>
        <w:t>Their Honours did not accept that resolution of th</w:t>
      </w:r>
      <w:r w:rsidR="00142BE7" w:rsidRPr="00CB2E9A">
        <w:rPr>
          <w:rFonts w:ascii="Times New Roman" w:hAnsi="Times New Roman"/>
        </w:rPr>
        <w:t>e</w:t>
      </w:r>
      <w:r w:rsidR="000B410B" w:rsidRPr="00CB2E9A">
        <w:rPr>
          <w:rFonts w:ascii="Times New Roman" w:hAnsi="Times New Roman"/>
        </w:rPr>
        <w:t xml:space="preserve"> conflict of </w:t>
      </w:r>
      <w:r w:rsidR="001F2BA1" w:rsidRPr="00CB2E9A">
        <w:rPr>
          <w:rFonts w:ascii="Times New Roman" w:hAnsi="Times New Roman"/>
        </w:rPr>
        <w:t>interest</w:t>
      </w:r>
      <w:r w:rsidR="000B410B" w:rsidRPr="00CB2E9A">
        <w:rPr>
          <w:rFonts w:ascii="Times New Roman" w:hAnsi="Times New Roman"/>
        </w:rPr>
        <w:t xml:space="preserve"> could be either effectively managed or deferred until a hearing as to whether the </w:t>
      </w:r>
      <w:r w:rsidR="000B410B" w:rsidRPr="00CB2E9A">
        <w:rPr>
          <w:rFonts w:ascii="Times New Roman" w:hAnsi="Times New Roman"/>
        </w:rPr>
        <w:lastRenderedPageBreak/>
        <w:t>settlement should be approved</w:t>
      </w:r>
      <w:r w:rsidR="00AE16D2" w:rsidRPr="00CB2E9A">
        <w:rPr>
          <w:rFonts w:ascii="Times New Roman" w:hAnsi="Times New Roman"/>
        </w:rPr>
        <w:t xml:space="preserve"> as the proposed order required group members to decide in the near future whether to register or not.</w:t>
      </w:r>
      <w:r w:rsidR="00AE16D2" w:rsidRPr="00CB2E9A">
        <w:rPr>
          <w:rStyle w:val="FootnoteReference"/>
          <w:rFonts w:ascii="Times New Roman" w:hAnsi="Times New Roman"/>
          <w:sz w:val="24"/>
        </w:rPr>
        <w:footnoteReference w:id="37"/>
      </w:r>
      <w:r w:rsidR="001F2BA1" w:rsidRPr="00CB2E9A">
        <w:rPr>
          <w:rFonts w:ascii="Times New Roman" w:hAnsi="Times New Roman"/>
        </w:rPr>
        <w:t xml:space="preserve"> Their Honours also made this point</w:t>
      </w:r>
      <w:r w:rsidR="005578F4" w:rsidRPr="00CB2E9A">
        <w:rPr>
          <w:rFonts w:ascii="Times New Roman" w:hAnsi="Times New Roman"/>
        </w:rPr>
        <w:t xml:space="preserve"> in overall response to the submissions that the proposed order was within power</w:t>
      </w:r>
      <w:r w:rsidR="001F2BA1" w:rsidRPr="00CB2E9A">
        <w:rPr>
          <w:rFonts w:ascii="Times New Roman" w:hAnsi="Times New Roman"/>
        </w:rPr>
        <w:t>:</w:t>
      </w:r>
      <w:r w:rsidR="00215052" w:rsidRPr="00CB2E9A">
        <w:rPr>
          <w:rStyle w:val="FootnoteReference"/>
          <w:rFonts w:ascii="Times New Roman" w:hAnsi="Times New Roman"/>
          <w:sz w:val="24"/>
        </w:rPr>
        <w:footnoteReference w:id="38"/>
      </w:r>
    </w:p>
    <w:p w14:paraId="383E84C8" w14:textId="77777777" w:rsidR="00CB2E9A" w:rsidRDefault="00A53D37" w:rsidP="00CB2E9A">
      <w:pPr>
        <w:pStyle w:val="leftright"/>
        <w:spacing w:before="0" w:after="260" w:line="280" w:lineRule="exact"/>
        <w:ind w:right="0"/>
        <w:jc w:val="both"/>
        <w:rPr>
          <w:rFonts w:ascii="Times New Roman" w:hAnsi="Times New Roman"/>
        </w:rPr>
      </w:pPr>
      <w:r w:rsidRPr="00CB2E9A">
        <w:rPr>
          <w:rFonts w:ascii="Times New Roman" w:hAnsi="Times New Roman"/>
        </w:rPr>
        <w:tab/>
      </w:r>
      <w:r w:rsidR="004F1F80" w:rsidRPr="00CB2E9A">
        <w:rPr>
          <w:rFonts w:ascii="Times New Roman" w:hAnsi="Times New Roman"/>
        </w:rPr>
        <w:t>"</w:t>
      </w:r>
      <w:r w:rsidR="005578F4" w:rsidRPr="00CB2E9A">
        <w:rPr>
          <w:rFonts w:ascii="Times New Roman" w:hAnsi="Times New Roman"/>
        </w:rPr>
        <w:t xml:space="preserve">We are conscious that the </w:t>
      </w:r>
      <w:r w:rsidR="00C95BCB" w:rsidRPr="00CB2E9A">
        <w:rPr>
          <w:rFonts w:ascii="Times New Roman" w:hAnsi="Times New Roman"/>
        </w:rPr>
        <w:t xml:space="preserve">[CPA] </w:t>
      </w:r>
      <w:r w:rsidR="005578F4" w:rsidRPr="00CB2E9A">
        <w:rPr>
          <w:rFonts w:ascii="Times New Roman" w:hAnsi="Times New Roman"/>
        </w:rPr>
        <w:t xml:space="preserve">proceeds on the basis that there may be an open class, including a class with hundreds of thousands of members such as that defined in </w:t>
      </w:r>
      <w:r w:rsidR="00F45345" w:rsidRPr="00CB2E9A">
        <w:rPr>
          <w:rFonts w:ascii="Times New Roman" w:hAnsi="Times New Roman"/>
        </w:rPr>
        <w:t xml:space="preserve">[the </w:t>
      </w:r>
      <w:r w:rsidR="0044583E" w:rsidRPr="00CB2E9A">
        <w:rPr>
          <w:rFonts w:ascii="Times New Roman" w:hAnsi="Times New Roman"/>
        </w:rPr>
        <w:t xml:space="preserve">representative </w:t>
      </w:r>
      <w:r w:rsidR="00F45345" w:rsidRPr="00CB2E9A">
        <w:rPr>
          <w:rFonts w:ascii="Times New Roman" w:hAnsi="Times New Roman"/>
        </w:rPr>
        <w:t>plaintiff</w:t>
      </w:r>
      <w:r w:rsidR="00464805" w:rsidRPr="00CB2E9A">
        <w:rPr>
          <w:rFonts w:ascii="Times New Roman" w:hAnsi="Times New Roman"/>
        </w:rPr>
        <w:t>'</w:t>
      </w:r>
      <w:r w:rsidR="00F45345" w:rsidRPr="00CB2E9A">
        <w:rPr>
          <w:rFonts w:ascii="Times New Roman" w:hAnsi="Times New Roman"/>
        </w:rPr>
        <w:t xml:space="preserve">s] </w:t>
      </w:r>
      <w:r w:rsidR="005578F4" w:rsidRPr="00CB2E9A">
        <w:rPr>
          <w:rFonts w:ascii="Times New Roman" w:hAnsi="Times New Roman"/>
        </w:rPr>
        <w:t>Commercial List Summons. But the facts that (a)</w:t>
      </w:r>
      <w:r w:rsidR="0044583E" w:rsidRPr="00CB2E9A">
        <w:rPr>
          <w:rFonts w:ascii="Times New Roman" w:hAnsi="Times New Roman"/>
        </w:rPr>
        <w:t> </w:t>
      </w:r>
      <w:r w:rsidR="005578F4" w:rsidRPr="00CB2E9A">
        <w:rPr>
          <w:rFonts w:ascii="Times New Roman" w:hAnsi="Times New Roman"/>
        </w:rPr>
        <w:t>the legislation permits that to occur, and (b)</w:t>
      </w:r>
      <w:r w:rsidR="0044583E" w:rsidRPr="00CB2E9A">
        <w:rPr>
          <w:rFonts w:ascii="Times New Roman" w:hAnsi="Times New Roman"/>
        </w:rPr>
        <w:t> </w:t>
      </w:r>
      <w:r w:rsidR="00F45345" w:rsidRPr="00CB2E9A">
        <w:rPr>
          <w:rFonts w:ascii="Times New Roman" w:hAnsi="Times New Roman"/>
        </w:rPr>
        <w:t xml:space="preserve">[the </w:t>
      </w:r>
      <w:r w:rsidR="006A4AE3" w:rsidRPr="00CB2E9A">
        <w:rPr>
          <w:rFonts w:ascii="Times New Roman" w:hAnsi="Times New Roman"/>
        </w:rPr>
        <w:t xml:space="preserve">representative </w:t>
      </w:r>
      <w:r w:rsidR="00F45345" w:rsidRPr="00CB2E9A">
        <w:rPr>
          <w:rFonts w:ascii="Times New Roman" w:hAnsi="Times New Roman"/>
        </w:rPr>
        <w:t xml:space="preserve">plaintiff] </w:t>
      </w:r>
      <w:r w:rsidR="005578F4" w:rsidRPr="00CB2E9A">
        <w:rPr>
          <w:rFonts w:ascii="Times New Roman" w:hAnsi="Times New Roman"/>
        </w:rPr>
        <w:t xml:space="preserve">has availed itself of acting for a very large number of group members, in no way justify making orders which will subvert two fundamental aspects of the regime, which is that </w:t>
      </w:r>
      <w:r w:rsidR="00F45345" w:rsidRPr="00CB2E9A">
        <w:rPr>
          <w:rFonts w:ascii="Times New Roman" w:hAnsi="Times New Roman"/>
        </w:rPr>
        <w:t xml:space="preserve">[the </w:t>
      </w:r>
      <w:r w:rsidR="0044583E" w:rsidRPr="00CB2E9A">
        <w:rPr>
          <w:rFonts w:ascii="Times New Roman" w:hAnsi="Times New Roman"/>
        </w:rPr>
        <w:t xml:space="preserve">representative </w:t>
      </w:r>
      <w:r w:rsidR="00F45345" w:rsidRPr="00CB2E9A">
        <w:rPr>
          <w:rFonts w:ascii="Times New Roman" w:hAnsi="Times New Roman"/>
        </w:rPr>
        <w:t xml:space="preserve">plaintiff] </w:t>
      </w:r>
      <w:r w:rsidR="005578F4" w:rsidRPr="00CB2E9A">
        <w:rPr>
          <w:rFonts w:ascii="Times New Roman" w:hAnsi="Times New Roman"/>
        </w:rPr>
        <w:t xml:space="preserve">acts for </w:t>
      </w:r>
      <w:r w:rsidR="005578F4" w:rsidRPr="00CB2E9A">
        <w:rPr>
          <w:rFonts w:ascii="Times New Roman" w:hAnsi="Times New Roman"/>
          <w:i/>
          <w:iCs/>
        </w:rPr>
        <w:t xml:space="preserve">all </w:t>
      </w:r>
      <w:r w:rsidR="005578F4" w:rsidRPr="00CB2E9A">
        <w:rPr>
          <w:rFonts w:ascii="Times New Roman" w:hAnsi="Times New Roman"/>
        </w:rPr>
        <w:t>group members, and that group members may do nothing prior to a settlement and still reap its benefits.</w:t>
      </w:r>
      <w:r w:rsidR="004F1F80" w:rsidRPr="00CB2E9A">
        <w:rPr>
          <w:rFonts w:ascii="Times New Roman" w:hAnsi="Times New Roman"/>
        </w:rPr>
        <w:t>"</w:t>
      </w:r>
    </w:p>
    <w:p w14:paraId="5D271F5A" w14:textId="7C96977D" w:rsidR="00FE1872" w:rsidRPr="00CB2E9A" w:rsidRDefault="00257F1F"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4B23A2" w:rsidRPr="00CB2E9A">
        <w:rPr>
          <w:rFonts w:ascii="Times New Roman" w:hAnsi="Times New Roman"/>
        </w:rPr>
        <w:t xml:space="preserve">In </w:t>
      </w:r>
      <w:r w:rsidR="004B23A2" w:rsidRPr="00CB2E9A">
        <w:rPr>
          <w:rFonts w:ascii="Times New Roman" w:hAnsi="Times New Roman"/>
          <w:i/>
          <w:iCs/>
        </w:rPr>
        <w:t>Parkin</w:t>
      </w:r>
      <w:r w:rsidR="004B23A2" w:rsidRPr="00CB2E9A">
        <w:rPr>
          <w:rFonts w:ascii="Times New Roman" w:hAnsi="Times New Roman"/>
        </w:rPr>
        <w:t>, the Full Court of the Federal Court</w:t>
      </w:r>
      <w:r w:rsidR="0049195F" w:rsidRPr="00CB2E9A">
        <w:rPr>
          <w:rFonts w:ascii="Times New Roman" w:hAnsi="Times New Roman"/>
        </w:rPr>
        <w:t xml:space="preserve"> considered that</w:t>
      </w:r>
      <w:r w:rsidR="0008177A" w:rsidRPr="00CB2E9A">
        <w:rPr>
          <w:rFonts w:ascii="Times New Roman" w:hAnsi="Times New Roman"/>
        </w:rPr>
        <w:t xml:space="preserve"> the decision in </w:t>
      </w:r>
      <w:r w:rsidR="0008177A" w:rsidRPr="00CB2E9A">
        <w:rPr>
          <w:rFonts w:ascii="Times New Roman" w:hAnsi="Times New Roman"/>
          <w:i/>
          <w:iCs/>
        </w:rPr>
        <w:t xml:space="preserve">Wigmans v AMP Ltd </w:t>
      </w:r>
      <w:r w:rsidR="0008177A" w:rsidRPr="00CB2E9A">
        <w:rPr>
          <w:rFonts w:ascii="Times New Roman" w:hAnsi="Times New Roman"/>
        </w:rPr>
        <w:t>was plainly wrong</w:t>
      </w:r>
      <w:r w:rsidR="005769E1" w:rsidRPr="00CB2E9A">
        <w:rPr>
          <w:rFonts w:ascii="Times New Roman" w:hAnsi="Times New Roman"/>
        </w:rPr>
        <w:t>.</w:t>
      </w:r>
      <w:r w:rsidR="0008177A" w:rsidRPr="00CB2E9A">
        <w:rPr>
          <w:rStyle w:val="FootnoteReference"/>
          <w:rFonts w:ascii="Times New Roman" w:hAnsi="Times New Roman"/>
          <w:sz w:val="24"/>
        </w:rPr>
        <w:footnoteReference w:id="39"/>
      </w:r>
      <w:r w:rsidR="00D63B89" w:rsidRPr="00CB2E9A">
        <w:rPr>
          <w:rFonts w:ascii="Times New Roman" w:hAnsi="Times New Roman"/>
        </w:rPr>
        <w:t xml:space="preserve"> </w:t>
      </w:r>
      <w:r w:rsidR="00C018A5" w:rsidRPr="00CB2E9A">
        <w:rPr>
          <w:rFonts w:ascii="Times New Roman" w:hAnsi="Times New Roman"/>
        </w:rPr>
        <w:t>Murphy and Lee</w:t>
      </w:r>
      <w:r w:rsidR="008A5DE1" w:rsidRPr="00CB2E9A">
        <w:rPr>
          <w:rFonts w:ascii="Times New Roman" w:hAnsi="Times New Roman"/>
        </w:rPr>
        <w:t> </w:t>
      </w:r>
      <w:r w:rsidR="00C018A5" w:rsidRPr="00CB2E9A">
        <w:rPr>
          <w:rFonts w:ascii="Times New Roman" w:hAnsi="Times New Roman"/>
        </w:rPr>
        <w:t>JJ</w:t>
      </w:r>
      <w:r w:rsidR="00A02133" w:rsidRPr="00CB2E9A">
        <w:rPr>
          <w:rFonts w:ascii="Times New Roman" w:hAnsi="Times New Roman"/>
        </w:rPr>
        <w:t xml:space="preserve"> </w:t>
      </w:r>
      <w:r w:rsidR="00C36C3A" w:rsidRPr="00CB2E9A">
        <w:rPr>
          <w:rFonts w:ascii="Times New Roman" w:hAnsi="Times New Roman"/>
        </w:rPr>
        <w:t>(with whom Beach</w:t>
      </w:r>
      <w:r w:rsidR="008A5DE1" w:rsidRPr="00CB2E9A">
        <w:rPr>
          <w:rFonts w:ascii="Times New Roman" w:hAnsi="Times New Roman"/>
        </w:rPr>
        <w:t> </w:t>
      </w:r>
      <w:r w:rsidR="00C36C3A" w:rsidRPr="00CB2E9A">
        <w:rPr>
          <w:rFonts w:ascii="Times New Roman" w:hAnsi="Times New Roman"/>
        </w:rPr>
        <w:t>J agreed)</w:t>
      </w:r>
      <w:r w:rsidR="00A02133" w:rsidRPr="00CB2E9A">
        <w:rPr>
          <w:rFonts w:ascii="Times New Roman" w:hAnsi="Times New Roman"/>
        </w:rPr>
        <w:t xml:space="preserve"> </w:t>
      </w:r>
      <w:r w:rsidR="00E44663" w:rsidRPr="00CB2E9A">
        <w:rPr>
          <w:rFonts w:ascii="Times New Roman" w:hAnsi="Times New Roman"/>
        </w:rPr>
        <w:t>noted</w:t>
      </w:r>
      <w:r w:rsidR="00A02133" w:rsidRPr="00CB2E9A">
        <w:rPr>
          <w:rFonts w:ascii="Times New Roman" w:hAnsi="Times New Roman"/>
        </w:rPr>
        <w:t xml:space="preserve"> that</w:t>
      </w:r>
      <w:r w:rsidR="007A2F9E" w:rsidRPr="00CB2E9A">
        <w:rPr>
          <w:rFonts w:ascii="Times New Roman" w:hAnsi="Times New Roman"/>
        </w:rPr>
        <w:t xml:space="preserve"> </w:t>
      </w:r>
      <w:r w:rsidR="00254681" w:rsidRPr="00CB2E9A">
        <w:rPr>
          <w:rFonts w:ascii="Times New Roman" w:hAnsi="Times New Roman"/>
        </w:rPr>
        <w:t>"</w:t>
      </w:r>
      <w:r w:rsidR="007A2F9E" w:rsidRPr="00CB2E9A">
        <w:rPr>
          <w:rFonts w:ascii="Times New Roman" w:hAnsi="Times New Roman"/>
        </w:rPr>
        <w:t>potential or actual conflicts of interest are an inevitable by-product of a regime where the self-appointed representative applicant</w:t>
      </w:r>
      <w:r w:rsidR="00CD22B6" w:rsidRPr="00CB2E9A">
        <w:rPr>
          <w:rFonts w:ascii="Times New Roman" w:hAnsi="Times New Roman"/>
        </w:rPr>
        <w:t>'</w:t>
      </w:r>
      <w:r w:rsidR="007A2F9E" w:rsidRPr="00CB2E9A">
        <w:rPr>
          <w:rFonts w:ascii="Times New Roman" w:hAnsi="Times New Roman"/>
        </w:rPr>
        <w:t>s individual claim is the vehicle through which the common questions are to be tried</w:t>
      </w:r>
      <w:r w:rsidR="00254681" w:rsidRPr="00CB2E9A">
        <w:rPr>
          <w:rFonts w:ascii="Times New Roman" w:hAnsi="Times New Roman"/>
        </w:rPr>
        <w:t>" and stated that Pt</w:t>
      </w:r>
      <w:r w:rsidR="002C0BBE" w:rsidRPr="00CB2E9A">
        <w:rPr>
          <w:rFonts w:ascii="Times New Roman" w:hAnsi="Times New Roman"/>
        </w:rPr>
        <w:t xml:space="preserve"> </w:t>
      </w:r>
      <w:r w:rsidR="00254681" w:rsidRPr="00CB2E9A">
        <w:rPr>
          <w:rFonts w:ascii="Times New Roman" w:hAnsi="Times New Roman"/>
        </w:rPr>
        <w:t xml:space="preserve">IVA </w:t>
      </w:r>
      <w:r w:rsidR="00F26F0C" w:rsidRPr="00CB2E9A">
        <w:rPr>
          <w:rFonts w:ascii="Times New Roman" w:hAnsi="Times New Roman"/>
        </w:rPr>
        <w:t>"</w:t>
      </w:r>
      <w:r w:rsidR="00254681" w:rsidRPr="00CB2E9A">
        <w:rPr>
          <w:rFonts w:ascii="Times New Roman" w:hAnsi="Times New Roman"/>
        </w:rPr>
        <w:t>contemplates that the conflicts will be addressed through the representative applicant</w:t>
      </w:r>
      <w:r w:rsidR="00CA788B" w:rsidRPr="00CB2E9A">
        <w:rPr>
          <w:rFonts w:ascii="Times New Roman" w:hAnsi="Times New Roman"/>
        </w:rPr>
        <w:t>'</w:t>
      </w:r>
      <w:r w:rsidR="00254681" w:rsidRPr="00CB2E9A">
        <w:rPr>
          <w:rFonts w:ascii="Times New Roman" w:hAnsi="Times New Roman"/>
        </w:rPr>
        <w:t>s duty not to act contrary to the interests of the group members and, critically, by the Court exercising its protective role in relation to group members' interests</w:t>
      </w:r>
      <w:r w:rsidR="002C0BBE" w:rsidRPr="00CB2E9A">
        <w:rPr>
          <w:rFonts w:ascii="Times New Roman" w:hAnsi="Times New Roman"/>
        </w:rPr>
        <w:t>"</w:t>
      </w:r>
      <w:r w:rsidR="00254681" w:rsidRPr="00CB2E9A">
        <w:rPr>
          <w:rFonts w:ascii="Times New Roman" w:hAnsi="Times New Roman"/>
        </w:rPr>
        <w:t>.</w:t>
      </w:r>
      <w:r w:rsidR="00AA74BF" w:rsidRPr="00CB2E9A">
        <w:rPr>
          <w:rStyle w:val="FootnoteReference"/>
          <w:rFonts w:ascii="Times New Roman" w:hAnsi="Times New Roman"/>
          <w:sz w:val="24"/>
        </w:rPr>
        <w:footnoteReference w:id="40"/>
      </w:r>
      <w:r w:rsidR="00254681" w:rsidRPr="00CB2E9A">
        <w:rPr>
          <w:rFonts w:ascii="Times New Roman" w:hAnsi="Times New Roman"/>
        </w:rPr>
        <w:t xml:space="preserve"> </w:t>
      </w:r>
      <w:r w:rsidR="00E65E33" w:rsidRPr="00CB2E9A">
        <w:rPr>
          <w:rFonts w:ascii="Times New Roman" w:hAnsi="Times New Roman"/>
        </w:rPr>
        <w:t>T</w:t>
      </w:r>
      <w:r w:rsidR="00254681" w:rsidRPr="00CB2E9A">
        <w:rPr>
          <w:rFonts w:ascii="Times New Roman" w:hAnsi="Times New Roman"/>
        </w:rPr>
        <w:t>heir Honours</w:t>
      </w:r>
      <w:r w:rsidR="00E65E33" w:rsidRPr="00CB2E9A">
        <w:rPr>
          <w:rFonts w:ascii="Times New Roman" w:hAnsi="Times New Roman"/>
        </w:rPr>
        <w:t xml:space="preserve"> held that "to the extent that a conflict of interest may exist, it does not demonstrate that there is no power under s</w:t>
      </w:r>
      <w:r w:rsidR="008361C5" w:rsidRPr="00CB2E9A">
        <w:rPr>
          <w:rFonts w:ascii="Times New Roman" w:hAnsi="Times New Roman"/>
        </w:rPr>
        <w:t> </w:t>
      </w:r>
      <w:r w:rsidR="00E65E33" w:rsidRPr="00CB2E9A">
        <w:rPr>
          <w:rFonts w:ascii="Times New Roman" w:hAnsi="Times New Roman"/>
        </w:rPr>
        <w:t>33X(5) to make the proposed order" but rather "the existence of a conflict of</w:t>
      </w:r>
      <w:r w:rsidR="00381DAF" w:rsidRPr="00CB2E9A">
        <w:rPr>
          <w:rFonts w:ascii="Times New Roman" w:hAnsi="Times New Roman"/>
        </w:rPr>
        <w:t xml:space="preserve"> interest is a reason why the Court decides that it is appropriate to order that group members be given notice</w:t>
      </w:r>
      <w:r w:rsidR="00A15B84" w:rsidRPr="00CB2E9A">
        <w:rPr>
          <w:rFonts w:ascii="Times New Roman" w:hAnsi="Times New Roman"/>
        </w:rPr>
        <w:t xml:space="preserve">" of </w:t>
      </w:r>
      <w:r w:rsidR="00A62C4C" w:rsidRPr="00CB2E9A">
        <w:rPr>
          <w:rFonts w:ascii="Times New Roman" w:hAnsi="Times New Roman"/>
        </w:rPr>
        <w:t xml:space="preserve">the intention </w:t>
      </w:r>
      <w:r w:rsidR="00A4113F" w:rsidRPr="00CB2E9A">
        <w:rPr>
          <w:rFonts w:ascii="Times New Roman" w:hAnsi="Times New Roman"/>
        </w:rPr>
        <w:t xml:space="preserve">by one or more parties </w:t>
      </w:r>
      <w:r w:rsidR="00A15B84" w:rsidRPr="00CB2E9A">
        <w:rPr>
          <w:rFonts w:ascii="Times New Roman" w:hAnsi="Times New Roman"/>
        </w:rPr>
        <w:t xml:space="preserve">(there, the applicant) </w:t>
      </w:r>
      <w:r w:rsidR="00A4113F" w:rsidRPr="00CB2E9A">
        <w:rPr>
          <w:rFonts w:ascii="Times New Roman" w:hAnsi="Times New Roman"/>
        </w:rPr>
        <w:t xml:space="preserve">to apply to the Court </w:t>
      </w:r>
      <w:r w:rsidR="004855A7" w:rsidRPr="00CB2E9A">
        <w:rPr>
          <w:rFonts w:ascii="Times New Roman" w:hAnsi="Times New Roman"/>
        </w:rPr>
        <w:t xml:space="preserve">for the order foreshadowed in the notice </w:t>
      </w:r>
      <w:r w:rsidR="00EB71B4" w:rsidRPr="00CB2E9A">
        <w:rPr>
          <w:rFonts w:ascii="Times New Roman" w:hAnsi="Times New Roman"/>
        </w:rPr>
        <w:t xml:space="preserve">as that </w:t>
      </w:r>
      <w:r w:rsidR="004855A7" w:rsidRPr="00CB2E9A">
        <w:rPr>
          <w:rFonts w:ascii="Times New Roman" w:hAnsi="Times New Roman"/>
        </w:rPr>
        <w:t>"is the very sort of matter about which group members should be informed".</w:t>
      </w:r>
      <w:r w:rsidR="004855A7" w:rsidRPr="00CB2E9A">
        <w:rPr>
          <w:rStyle w:val="FootnoteReference"/>
          <w:rFonts w:ascii="Times New Roman" w:hAnsi="Times New Roman"/>
          <w:sz w:val="24"/>
        </w:rPr>
        <w:footnoteReference w:id="41"/>
      </w:r>
    </w:p>
    <w:p w14:paraId="2F8AD017" w14:textId="0078815A" w:rsidR="0044583E" w:rsidRPr="00CB2E9A" w:rsidRDefault="007C09EB"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1736ED" w:rsidRPr="00CB2E9A">
        <w:rPr>
          <w:rFonts w:ascii="Times New Roman" w:hAnsi="Times New Roman"/>
        </w:rPr>
        <w:t xml:space="preserve">The </w:t>
      </w:r>
      <w:r w:rsidR="000E77F3" w:rsidRPr="00CB2E9A">
        <w:rPr>
          <w:rFonts w:ascii="Times New Roman" w:hAnsi="Times New Roman"/>
        </w:rPr>
        <w:t>Court</w:t>
      </w:r>
      <w:r w:rsidR="001736ED" w:rsidRPr="00CB2E9A">
        <w:rPr>
          <w:rFonts w:ascii="Times New Roman" w:hAnsi="Times New Roman"/>
        </w:rPr>
        <w:t xml:space="preserve"> of Appeal in the present case </w:t>
      </w:r>
      <w:r w:rsidR="000E77F3" w:rsidRPr="00CB2E9A">
        <w:rPr>
          <w:rFonts w:ascii="Times New Roman" w:hAnsi="Times New Roman"/>
        </w:rPr>
        <w:t>proceeded</w:t>
      </w:r>
      <w:r w:rsidR="001736ED" w:rsidRPr="00CB2E9A">
        <w:rPr>
          <w:rFonts w:ascii="Times New Roman" w:hAnsi="Times New Roman"/>
        </w:rPr>
        <w:t xml:space="preserve"> on the basis that </w:t>
      </w:r>
      <w:r w:rsidR="000E77F3" w:rsidRPr="00CB2E9A">
        <w:rPr>
          <w:rFonts w:ascii="Times New Roman" w:hAnsi="Times New Roman"/>
        </w:rPr>
        <w:t xml:space="preserve">the </w:t>
      </w:r>
      <w:r w:rsidR="00B235B6" w:rsidRPr="00CB2E9A">
        <w:rPr>
          <w:rFonts w:ascii="Times New Roman" w:hAnsi="Times New Roman"/>
        </w:rPr>
        <w:t>"</w:t>
      </w:r>
      <w:r w:rsidR="00900481" w:rsidRPr="00CB2E9A">
        <w:rPr>
          <w:rFonts w:ascii="Times New Roman" w:hAnsi="Times New Roman"/>
        </w:rPr>
        <w:t>starting point of the analysis is not whether s</w:t>
      </w:r>
      <w:r w:rsidR="00ED07B2" w:rsidRPr="00CB2E9A">
        <w:rPr>
          <w:rFonts w:ascii="Times New Roman" w:hAnsi="Times New Roman"/>
        </w:rPr>
        <w:t> </w:t>
      </w:r>
      <w:r w:rsidR="00900481" w:rsidRPr="00CB2E9A">
        <w:rPr>
          <w:rFonts w:ascii="Times New Roman" w:hAnsi="Times New Roman"/>
        </w:rPr>
        <w:t xml:space="preserve">175(5) of the CPA confers power on this </w:t>
      </w:r>
      <w:r w:rsidR="000B4557" w:rsidRPr="00CB2E9A">
        <w:rPr>
          <w:rFonts w:ascii="Times New Roman" w:hAnsi="Times New Roman"/>
        </w:rPr>
        <w:t>c</w:t>
      </w:r>
      <w:r w:rsidR="00900481" w:rsidRPr="00CB2E9A">
        <w:rPr>
          <w:rFonts w:ascii="Times New Roman" w:hAnsi="Times New Roman"/>
        </w:rPr>
        <w:t xml:space="preserve">ourt to include a notification of the kind sought to be included in the opt </w:t>
      </w:r>
      <w:r w:rsidR="00900481" w:rsidRPr="00CB2E9A">
        <w:rPr>
          <w:rFonts w:ascii="Times New Roman" w:hAnsi="Times New Roman"/>
        </w:rPr>
        <w:lastRenderedPageBreak/>
        <w:t>out and registration notice that the parties seek to be issued in the present case</w:t>
      </w:r>
      <w:r w:rsidR="00890AAA" w:rsidRPr="00CB2E9A">
        <w:rPr>
          <w:rFonts w:ascii="Times New Roman" w:hAnsi="Times New Roman"/>
        </w:rPr>
        <w:t>"</w:t>
      </w:r>
      <w:r w:rsidR="00900481" w:rsidRPr="00CB2E9A">
        <w:rPr>
          <w:rFonts w:ascii="Times New Roman" w:hAnsi="Times New Roman"/>
        </w:rPr>
        <w:t xml:space="preserve">. </w:t>
      </w:r>
      <w:r w:rsidR="00AA2A16" w:rsidRPr="00CB2E9A">
        <w:rPr>
          <w:rFonts w:ascii="Times New Roman" w:hAnsi="Times New Roman"/>
        </w:rPr>
        <w:t xml:space="preserve">Rather, the Court of Appeal asked </w:t>
      </w:r>
      <w:r w:rsidR="00900481" w:rsidRPr="00CB2E9A">
        <w:rPr>
          <w:rFonts w:ascii="Times New Roman" w:hAnsi="Times New Roman"/>
        </w:rPr>
        <w:t xml:space="preserve">whether </w:t>
      </w:r>
      <w:r w:rsidR="00AA2A16" w:rsidRPr="00CB2E9A">
        <w:rPr>
          <w:rFonts w:ascii="Times New Roman" w:hAnsi="Times New Roman"/>
        </w:rPr>
        <w:t xml:space="preserve">its </w:t>
      </w:r>
      <w:r w:rsidR="00FC302B" w:rsidRPr="00CB2E9A">
        <w:rPr>
          <w:rFonts w:ascii="Times New Roman" w:hAnsi="Times New Roman"/>
        </w:rPr>
        <w:t>"</w:t>
      </w:r>
      <w:r w:rsidR="00900481" w:rsidRPr="00CB2E9A">
        <w:rPr>
          <w:rFonts w:ascii="Times New Roman" w:hAnsi="Times New Roman"/>
        </w:rPr>
        <w:t xml:space="preserve">recent unanimous decision in </w:t>
      </w:r>
      <w:r w:rsidR="00900481" w:rsidRPr="00CB2E9A">
        <w:rPr>
          <w:rFonts w:ascii="Times New Roman" w:hAnsi="Times New Roman"/>
          <w:i/>
          <w:iCs/>
        </w:rPr>
        <w:t>Wigmans</w:t>
      </w:r>
      <w:r w:rsidR="00900481" w:rsidRPr="00CB2E9A">
        <w:rPr>
          <w:rFonts w:ascii="Times New Roman" w:hAnsi="Times New Roman"/>
        </w:rPr>
        <w:t xml:space="preserve"> (which both parties accepted compelled a negative answer to that question) is </w:t>
      </w:r>
      <w:r w:rsidR="00296F82" w:rsidRPr="00CB2E9A">
        <w:rPr>
          <w:rFonts w:ascii="Times New Roman" w:hAnsi="Times New Roman"/>
        </w:rPr>
        <w:t>'</w:t>
      </w:r>
      <w:r w:rsidR="00900481" w:rsidRPr="00CB2E9A">
        <w:rPr>
          <w:rFonts w:ascii="Times New Roman" w:hAnsi="Times New Roman"/>
        </w:rPr>
        <w:t>plainly wrong</w:t>
      </w:r>
      <w:r w:rsidR="00FB2127" w:rsidRPr="00CB2E9A">
        <w:rPr>
          <w:rFonts w:ascii="Times New Roman" w:hAnsi="Times New Roman"/>
        </w:rPr>
        <w:t>'</w:t>
      </w:r>
      <w:r w:rsidR="00900481" w:rsidRPr="00CB2E9A">
        <w:rPr>
          <w:rFonts w:ascii="Times New Roman" w:hAnsi="Times New Roman"/>
        </w:rPr>
        <w:t xml:space="preserve"> and should not be followed</w:t>
      </w:r>
      <w:r w:rsidR="00B235B6" w:rsidRPr="00CB2E9A">
        <w:rPr>
          <w:rFonts w:ascii="Times New Roman" w:hAnsi="Times New Roman"/>
        </w:rPr>
        <w:t>"</w:t>
      </w:r>
      <w:r w:rsidR="00DA2945" w:rsidRPr="00CB2E9A">
        <w:rPr>
          <w:rFonts w:ascii="Times New Roman" w:hAnsi="Times New Roman"/>
        </w:rPr>
        <w:t>.</w:t>
      </w:r>
      <w:r w:rsidR="00900481" w:rsidRPr="00CB2E9A">
        <w:rPr>
          <w:rStyle w:val="FootnoteReference"/>
          <w:rFonts w:ascii="Times New Roman" w:hAnsi="Times New Roman"/>
          <w:sz w:val="24"/>
        </w:rPr>
        <w:footnoteReference w:id="42"/>
      </w:r>
      <w:r w:rsidR="00ED07B2" w:rsidRPr="00CB2E9A">
        <w:rPr>
          <w:rFonts w:ascii="Times New Roman" w:hAnsi="Times New Roman"/>
        </w:rPr>
        <w:t xml:space="preserve"> Their Honours answered that question in the negative.</w:t>
      </w:r>
      <w:r w:rsidR="00ED07B2" w:rsidRPr="00CB2E9A">
        <w:rPr>
          <w:rStyle w:val="FootnoteReference"/>
          <w:rFonts w:ascii="Times New Roman" w:hAnsi="Times New Roman"/>
          <w:sz w:val="24"/>
        </w:rPr>
        <w:footnoteReference w:id="43"/>
      </w:r>
    </w:p>
    <w:p w14:paraId="51712CEE" w14:textId="2FF962D4" w:rsidR="004C338D" w:rsidRPr="00CB2E9A" w:rsidRDefault="00257F1F"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2E0660" w:rsidRPr="00CB2E9A">
        <w:rPr>
          <w:rFonts w:ascii="Times New Roman" w:hAnsi="Times New Roman"/>
        </w:rPr>
        <w:t>The question for this Court</w:t>
      </w:r>
      <w:r w:rsidR="00AF590E" w:rsidRPr="00CB2E9A">
        <w:rPr>
          <w:rFonts w:ascii="Times New Roman" w:hAnsi="Times New Roman"/>
        </w:rPr>
        <w:t xml:space="preserve">, </w:t>
      </w:r>
      <w:r w:rsidR="00FB1CBB" w:rsidRPr="00CB2E9A">
        <w:rPr>
          <w:rFonts w:ascii="Times New Roman" w:hAnsi="Times New Roman"/>
        </w:rPr>
        <w:t>in contrast</w:t>
      </w:r>
      <w:r w:rsidR="00AF590E" w:rsidRPr="00CB2E9A">
        <w:rPr>
          <w:rFonts w:ascii="Times New Roman" w:hAnsi="Times New Roman"/>
        </w:rPr>
        <w:t>,</w:t>
      </w:r>
      <w:r w:rsidR="002E0660" w:rsidRPr="00CB2E9A">
        <w:rPr>
          <w:rFonts w:ascii="Times New Roman" w:hAnsi="Times New Roman"/>
        </w:rPr>
        <w:t xml:space="preserve"> is not whether </w:t>
      </w:r>
      <w:r w:rsidR="002E0660" w:rsidRPr="00CB2E9A">
        <w:rPr>
          <w:rFonts w:ascii="Times New Roman" w:hAnsi="Times New Roman"/>
          <w:i/>
          <w:iCs/>
        </w:rPr>
        <w:t>Wigmans v AMP Ltd</w:t>
      </w:r>
      <w:r w:rsidR="002E0660" w:rsidRPr="00CB2E9A">
        <w:rPr>
          <w:rFonts w:ascii="Times New Roman" w:hAnsi="Times New Roman"/>
        </w:rPr>
        <w:t xml:space="preserve"> is plainly wrong. </w:t>
      </w:r>
      <w:r w:rsidR="00060426" w:rsidRPr="00CB2E9A">
        <w:rPr>
          <w:rFonts w:ascii="Times New Roman" w:hAnsi="Times New Roman"/>
        </w:rPr>
        <w:t xml:space="preserve">The circumstance that the Court of Appeal was confronted by a decision of the Full Court of the Federal Court concluding that an earlier decision of the Court of Appeal was plainly wrong provides no occasion to add to or modify the rules of precedent applicable between intermediate appellate courts established in </w:t>
      </w:r>
      <w:r w:rsidR="00060426" w:rsidRPr="00CB2E9A">
        <w:rPr>
          <w:rFonts w:ascii="Times New Roman" w:hAnsi="Times New Roman"/>
          <w:i/>
          <w:iCs/>
        </w:rPr>
        <w:t>Australian Securities Commission v Marlborough Gold Mines Ltd</w:t>
      </w:r>
      <w:r w:rsidR="00223017" w:rsidRPr="00CB2E9A">
        <w:rPr>
          <w:rStyle w:val="FootnoteReference"/>
          <w:rFonts w:ascii="Times New Roman" w:hAnsi="Times New Roman"/>
          <w:sz w:val="24"/>
        </w:rPr>
        <w:footnoteReference w:id="44"/>
      </w:r>
      <w:r w:rsidR="00060426" w:rsidRPr="00CB2E9A">
        <w:rPr>
          <w:rFonts w:ascii="Times New Roman" w:hAnsi="Times New Roman"/>
          <w:i/>
          <w:iCs/>
        </w:rPr>
        <w:t xml:space="preserve"> </w:t>
      </w:r>
      <w:r w:rsidR="00060426" w:rsidRPr="00CB2E9A">
        <w:rPr>
          <w:rFonts w:ascii="Times New Roman" w:hAnsi="Times New Roman"/>
        </w:rPr>
        <w:t xml:space="preserve">and </w:t>
      </w:r>
      <w:r w:rsidR="00060426" w:rsidRPr="00CB2E9A">
        <w:rPr>
          <w:rFonts w:ascii="Times New Roman" w:hAnsi="Times New Roman"/>
          <w:i/>
          <w:iCs/>
        </w:rPr>
        <w:t>Hill v Zuda Pty Ltd</w:t>
      </w:r>
      <w:r w:rsidR="00223017" w:rsidRPr="00CB2E9A">
        <w:rPr>
          <w:rStyle w:val="FootnoteReference"/>
          <w:rFonts w:ascii="Times New Roman" w:hAnsi="Times New Roman"/>
          <w:sz w:val="24"/>
        </w:rPr>
        <w:footnoteReference w:id="45"/>
      </w:r>
      <w:r w:rsidR="00060426" w:rsidRPr="00CB2E9A">
        <w:rPr>
          <w:rFonts w:ascii="Times New Roman" w:hAnsi="Times New Roman"/>
        </w:rPr>
        <w:t>.</w:t>
      </w:r>
    </w:p>
    <w:p w14:paraId="7B1AD1D7" w14:textId="51668B60" w:rsidR="002E0660" w:rsidRPr="00CB2E9A" w:rsidRDefault="004C338D" w:rsidP="00CB2E9A">
      <w:pPr>
        <w:pStyle w:val="FixListStyle"/>
        <w:spacing w:after="260" w:line="280" w:lineRule="exact"/>
        <w:ind w:right="0"/>
        <w:jc w:val="both"/>
        <w:rPr>
          <w:rFonts w:ascii="Times New Roman" w:hAnsi="Times New Roman"/>
        </w:rPr>
      </w:pPr>
      <w:r w:rsidRPr="00CB2E9A">
        <w:rPr>
          <w:rFonts w:ascii="Times New Roman" w:hAnsi="Times New Roman"/>
        </w:rPr>
        <w:tab/>
        <w:t xml:space="preserve">The question for this Court </w:t>
      </w:r>
      <w:r w:rsidR="002E0660" w:rsidRPr="00CB2E9A">
        <w:rPr>
          <w:rFonts w:ascii="Times New Roman" w:hAnsi="Times New Roman"/>
        </w:rPr>
        <w:t xml:space="preserve">is whether s 175(5), properly construed, </w:t>
      </w:r>
      <w:r w:rsidR="00353B09" w:rsidRPr="00CB2E9A">
        <w:rPr>
          <w:rFonts w:ascii="Times New Roman" w:hAnsi="Times New Roman"/>
        </w:rPr>
        <w:t xml:space="preserve">empowers the Supreme Court of New South Wales to order the giving of the proposed notice. </w:t>
      </w:r>
      <w:r w:rsidR="00557ADA" w:rsidRPr="00CB2E9A">
        <w:rPr>
          <w:rFonts w:ascii="Times New Roman" w:hAnsi="Times New Roman"/>
        </w:rPr>
        <w:t xml:space="preserve">As will be explained, </w:t>
      </w:r>
      <w:r w:rsidR="00E07B2A" w:rsidRPr="00CB2E9A">
        <w:rPr>
          <w:rFonts w:ascii="Times New Roman" w:hAnsi="Times New Roman"/>
        </w:rPr>
        <w:t>s 175(5) empowers the Supreme Court of New South Wales to order the giving of the proposed notice.</w:t>
      </w:r>
    </w:p>
    <w:p w14:paraId="3D4CA3E2" w14:textId="6C9CB2EF" w:rsidR="009222C1" w:rsidRPr="00CB2E9A" w:rsidRDefault="009222C1" w:rsidP="00CB2E9A">
      <w:pPr>
        <w:pStyle w:val="HeadingL1"/>
        <w:spacing w:after="260" w:line="280" w:lineRule="exact"/>
        <w:ind w:right="0"/>
        <w:jc w:val="both"/>
        <w:rPr>
          <w:rFonts w:ascii="Times New Roman" w:hAnsi="Times New Roman"/>
        </w:rPr>
      </w:pPr>
      <w:r w:rsidRPr="00CB2E9A">
        <w:rPr>
          <w:rFonts w:ascii="Times New Roman" w:hAnsi="Times New Roman"/>
        </w:rPr>
        <w:t>The Court of Appeal's reasoning</w:t>
      </w:r>
    </w:p>
    <w:p w14:paraId="09D13845" w14:textId="445418E6" w:rsidR="000E01A7" w:rsidRPr="00CB2E9A" w:rsidRDefault="00E07B2A"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353B09" w:rsidRPr="00CB2E9A">
        <w:rPr>
          <w:rFonts w:ascii="Times New Roman" w:hAnsi="Times New Roman"/>
        </w:rPr>
        <w:t xml:space="preserve">The </w:t>
      </w:r>
      <w:r w:rsidR="00DB0656" w:rsidRPr="00CB2E9A">
        <w:rPr>
          <w:rFonts w:ascii="Times New Roman" w:hAnsi="Times New Roman"/>
        </w:rPr>
        <w:t xml:space="preserve">principal reason driving the conclusion in </w:t>
      </w:r>
      <w:r w:rsidR="00DB0656" w:rsidRPr="00CB2E9A">
        <w:rPr>
          <w:rFonts w:ascii="Times New Roman" w:hAnsi="Times New Roman"/>
          <w:i/>
          <w:iCs/>
        </w:rPr>
        <w:t>Wigmans</w:t>
      </w:r>
      <w:r w:rsidR="00641F91" w:rsidRPr="00CB2E9A">
        <w:rPr>
          <w:rFonts w:ascii="Times New Roman" w:hAnsi="Times New Roman"/>
          <w:i/>
          <w:iCs/>
        </w:rPr>
        <w:t> </w:t>
      </w:r>
      <w:r w:rsidR="00DB0656" w:rsidRPr="00CB2E9A">
        <w:rPr>
          <w:rFonts w:ascii="Times New Roman" w:hAnsi="Times New Roman"/>
          <w:i/>
          <w:iCs/>
        </w:rPr>
        <w:t>v</w:t>
      </w:r>
      <w:r w:rsidR="00641F91" w:rsidRPr="00CB2E9A">
        <w:rPr>
          <w:rFonts w:ascii="Times New Roman" w:hAnsi="Times New Roman"/>
          <w:i/>
          <w:iCs/>
        </w:rPr>
        <w:t> </w:t>
      </w:r>
      <w:r w:rsidR="00DB0656" w:rsidRPr="00CB2E9A">
        <w:rPr>
          <w:rFonts w:ascii="Times New Roman" w:hAnsi="Times New Roman"/>
          <w:i/>
          <w:iCs/>
        </w:rPr>
        <w:t>AMP</w:t>
      </w:r>
      <w:r w:rsidR="00641F91" w:rsidRPr="00CB2E9A">
        <w:rPr>
          <w:rFonts w:ascii="Times New Roman" w:hAnsi="Times New Roman"/>
          <w:i/>
          <w:iCs/>
        </w:rPr>
        <w:t> </w:t>
      </w:r>
      <w:r w:rsidR="00DB0656" w:rsidRPr="00CB2E9A">
        <w:rPr>
          <w:rFonts w:ascii="Times New Roman" w:hAnsi="Times New Roman"/>
          <w:i/>
          <w:iCs/>
        </w:rPr>
        <w:t>Ltd</w:t>
      </w:r>
      <w:r w:rsidR="00DB0656" w:rsidRPr="00CB2E9A">
        <w:rPr>
          <w:rFonts w:ascii="Times New Roman" w:hAnsi="Times New Roman"/>
        </w:rPr>
        <w:t xml:space="preserve"> </w:t>
      </w:r>
      <w:r w:rsidR="001E3166" w:rsidRPr="00CB2E9A">
        <w:rPr>
          <w:rFonts w:ascii="Times New Roman" w:hAnsi="Times New Roman"/>
        </w:rPr>
        <w:t xml:space="preserve">and the case under appeal </w:t>
      </w:r>
      <w:r w:rsidR="00DB0656" w:rsidRPr="00CB2E9A">
        <w:rPr>
          <w:rFonts w:ascii="Times New Roman" w:hAnsi="Times New Roman"/>
        </w:rPr>
        <w:t xml:space="preserve">is that </w:t>
      </w:r>
      <w:r w:rsidR="0058032A" w:rsidRPr="00CB2E9A">
        <w:rPr>
          <w:rFonts w:ascii="Times New Roman" w:hAnsi="Times New Roman"/>
        </w:rPr>
        <w:t xml:space="preserve">the proposed </w:t>
      </w:r>
      <w:r w:rsidR="00AF590E" w:rsidRPr="00CB2E9A">
        <w:rPr>
          <w:rFonts w:ascii="Times New Roman" w:hAnsi="Times New Roman"/>
        </w:rPr>
        <w:t xml:space="preserve">notice </w:t>
      </w:r>
      <w:r w:rsidR="0058032A" w:rsidRPr="00CB2E9A">
        <w:rPr>
          <w:rFonts w:ascii="Times New Roman" w:hAnsi="Times New Roman"/>
        </w:rPr>
        <w:t xml:space="preserve">would subvert the statutory scheme by converting it from one in which group members </w:t>
      </w:r>
      <w:r w:rsidR="00DF42FE" w:rsidRPr="00CB2E9A">
        <w:rPr>
          <w:rFonts w:ascii="Times New Roman" w:hAnsi="Times New Roman"/>
        </w:rPr>
        <w:t xml:space="preserve">may opt out of the representative proceeding but need not opt in </w:t>
      </w:r>
      <w:r w:rsidR="00B5310A" w:rsidRPr="00CB2E9A">
        <w:rPr>
          <w:rFonts w:ascii="Times New Roman" w:hAnsi="Times New Roman"/>
        </w:rPr>
        <w:t xml:space="preserve">(that is, register their participation in the representative proceeding) </w:t>
      </w:r>
      <w:r w:rsidR="00DF42FE" w:rsidRPr="00CB2E9A">
        <w:rPr>
          <w:rFonts w:ascii="Times New Roman" w:hAnsi="Times New Roman"/>
        </w:rPr>
        <w:t>to benefit from an approved settlement or judgment</w:t>
      </w:r>
      <w:r w:rsidR="00CC5686" w:rsidRPr="00CB2E9A">
        <w:rPr>
          <w:rFonts w:ascii="Times New Roman" w:hAnsi="Times New Roman"/>
        </w:rPr>
        <w:t xml:space="preserve"> into</w:t>
      </w:r>
      <w:r w:rsidR="00B02FB5" w:rsidRPr="00CB2E9A">
        <w:rPr>
          <w:rFonts w:ascii="Times New Roman" w:hAnsi="Times New Roman"/>
        </w:rPr>
        <w:t xml:space="preserve"> one in which group members must opt in to so benefit</w:t>
      </w:r>
      <w:r w:rsidR="00DF42FE" w:rsidRPr="00CB2E9A">
        <w:rPr>
          <w:rFonts w:ascii="Times New Roman" w:hAnsi="Times New Roman"/>
        </w:rPr>
        <w:t xml:space="preserve">. </w:t>
      </w:r>
      <w:r w:rsidR="00F57A7F" w:rsidRPr="00CB2E9A">
        <w:rPr>
          <w:rFonts w:ascii="Times New Roman" w:hAnsi="Times New Roman"/>
        </w:rPr>
        <w:t>A corollary of this is that in the negotiation of any settlement a representative plaintiff is required to represent the interest</w:t>
      </w:r>
      <w:r w:rsidR="00C85857" w:rsidRPr="00CB2E9A">
        <w:rPr>
          <w:rFonts w:ascii="Times New Roman" w:hAnsi="Times New Roman"/>
        </w:rPr>
        <w:t>s</w:t>
      </w:r>
      <w:r w:rsidR="00F57A7F" w:rsidRPr="00CB2E9A">
        <w:rPr>
          <w:rFonts w:ascii="Times New Roman" w:hAnsi="Times New Roman"/>
        </w:rPr>
        <w:t xml:space="preserve"> of all group members</w:t>
      </w:r>
      <w:r w:rsidR="00C85857" w:rsidRPr="00CB2E9A">
        <w:rPr>
          <w:rFonts w:ascii="Times New Roman" w:hAnsi="Times New Roman"/>
        </w:rPr>
        <w:t>,</w:t>
      </w:r>
      <w:r w:rsidR="00F57A7F" w:rsidRPr="00CB2E9A">
        <w:rPr>
          <w:rFonts w:ascii="Times New Roman" w:hAnsi="Times New Roman"/>
        </w:rPr>
        <w:t xml:space="preserve"> which is to be understood to mean all members of the group as defined in the representative plaintiff</w:t>
      </w:r>
      <w:r w:rsidR="00C85857" w:rsidRPr="00CB2E9A">
        <w:rPr>
          <w:rFonts w:ascii="Times New Roman" w:hAnsi="Times New Roman"/>
        </w:rPr>
        <w:t>'</w:t>
      </w:r>
      <w:r w:rsidR="00F57A7F" w:rsidRPr="00CB2E9A">
        <w:rPr>
          <w:rFonts w:ascii="Times New Roman" w:hAnsi="Times New Roman"/>
        </w:rPr>
        <w:t>s originating documents</w:t>
      </w:r>
      <w:r w:rsidR="00AC0A1F" w:rsidRPr="00CB2E9A">
        <w:rPr>
          <w:rFonts w:ascii="Times New Roman" w:hAnsi="Times New Roman"/>
        </w:rPr>
        <w:t xml:space="preserve">. If, however, a notice to the proposed effect were to be given, </w:t>
      </w:r>
      <w:r w:rsidR="000E01A7" w:rsidRPr="00CB2E9A">
        <w:rPr>
          <w:rFonts w:ascii="Times New Roman" w:hAnsi="Times New Roman"/>
        </w:rPr>
        <w:t xml:space="preserve">on the Court of Appeal's reasoning, </w:t>
      </w:r>
      <w:r w:rsidR="00AC0A1F" w:rsidRPr="00CB2E9A">
        <w:rPr>
          <w:rFonts w:ascii="Times New Roman" w:hAnsi="Times New Roman"/>
        </w:rPr>
        <w:t xml:space="preserve">in the negotiation of any settlement </w:t>
      </w:r>
      <w:r w:rsidR="000120EA" w:rsidRPr="00CB2E9A">
        <w:rPr>
          <w:rFonts w:ascii="Times New Roman" w:hAnsi="Times New Roman"/>
        </w:rPr>
        <w:t xml:space="preserve">and at the hearing for its approval, </w:t>
      </w:r>
      <w:r w:rsidR="00AC0A1F" w:rsidRPr="00CB2E9A">
        <w:rPr>
          <w:rFonts w:ascii="Times New Roman" w:hAnsi="Times New Roman"/>
        </w:rPr>
        <w:t>a representative plaintiff would be acting only in the interests of the</w:t>
      </w:r>
      <w:r w:rsidR="00BC48B8" w:rsidRPr="00CB2E9A">
        <w:rPr>
          <w:rFonts w:ascii="Times New Roman" w:hAnsi="Times New Roman"/>
        </w:rPr>
        <w:t xml:space="preserve"> group members who had opted in to the representative proceeding (by registering their participation)</w:t>
      </w:r>
      <w:r w:rsidR="00DA4530" w:rsidRPr="00CB2E9A">
        <w:rPr>
          <w:rFonts w:ascii="Times New Roman" w:hAnsi="Times New Roman"/>
        </w:rPr>
        <w:t>. This is because</w:t>
      </w:r>
      <w:r w:rsidR="00AC59F0" w:rsidRPr="00CB2E9A">
        <w:rPr>
          <w:rFonts w:ascii="Times New Roman" w:hAnsi="Times New Roman"/>
        </w:rPr>
        <w:t xml:space="preserve"> the basis for the negotiation would </w:t>
      </w:r>
      <w:r w:rsidR="00AC59F0" w:rsidRPr="00CB2E9A">
        <w:rPr>
          <w:rFonts w:ascii="Times New Roman" w:hAnsi="Times New Roman"/>
        </w:rPr>
        <w:lastRenderedPageBreak/>
        <w:t xml:space="preserve">reflect the effect of the proposed order (that all group members, registered or not, would be bound by the settlement if approved but that </w:t>
      </w:r>
      <w:r w:rsidR="009822C1" w:rsidRPr="00CB2E9A">
        <w:rPr>
          <w:rFonts w:ascii="Times New Roman" w:hAnsi="Times New Roman"/>
        </w:rPr>
        <w:t>unregistered group members would not</w:t>
      </w:r>
      <w:r w:rsidR="00627F2C" w:rsidRPr="00CB2E9A">
        <w:rPr>
          <w:rFonts w:ascii="Times New Roman" w:hAnsi="Times New Roman"/>
        </w:rPr>
        <w:t>, without leave of the Court,</w:t>
      </w:r>
      <w:r w:rsidR="009822C1" w:rsidRPr="00CB2E9A">
        <w:rPr>
          <w:rFonts w:ascii="Times New Roman" w:hAnsi="Times New Roman"/>
        </w:rPr>
        <w:t xml:space="preserve"> be able to participate in the benefits of the settlement). </w:t>
      </w:r>
    </w:p>
    <w:p w14:paraId="5839DAFD" w14:textId="6DD5C888" w:rsidR="00353B09" w:rsidRPr="00CB2E9A" w:rsidRDefault="000E01A7"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9822C1" w:rsidRPr="00CB2E9A">
        <w:rPr>
          <w:rFonts w:ascii="Times New Roman" w:hAnsi="Times New Roman"/>
        </w:rPr>
        <w:t xml:space="preserve">Other strands of thinking are also apparent from the </w:t>
      </w:r>
      <w:r w:rsidR="00FB1C68" w:rsidRPr="00CB2E9A">
        <w:rPr>
          <w:rFonts w:ascii="Times New Roman" w:hAnsi="Times New Roman"/>
        </w:rPr>
        <w:t>Court of Appeal</w:t>
      </w:r>
      <w:r w:rsidR="00070F8C" w:rsidRPr="00CB2E9A">
        <w:rPr>
          <w:rFonts w:ascii="Times New Roman" w:hAnsi="Times New Roman"/>
        </w:rPr>
        <w:t>'</w:t>
      </w:r>
      <w:r w:rsidR="00FB1C68" w:rsidRPr="00CB2E9A">
        <w:rPr>
          <w:rFonts w:ascii="Times New Roman" w:hAnsi="Times New Roman"/>
        </w:rPr>
        <w:t xml:space="preserve">s reasoning in </w:t>
      </w:r>
      <w:r w:rsidR="00FB1C68" w:rsidRPr="00CB2E9A">
        <w:rPr>
          <w:rFonts w:ascii="Times New Roman" w:hAnsi="Times New Roman"/>
          <w:i/>
          <w:iCs/>
        </w:rPr>
        <w:t>Wigmans</w:t>
      </w:r>
      <w:r w:rsidR="004343BF" w:rsidRPr="00CB2E9A">
        <w:rPr>
          <w:rFonts w:ascii="Times New Roman" w:hAnsi="Times New Roman"/>
          <w:i/>
          <w:iCs/>
        </w:rPr>
        <w:t> </w:t>
      </w:r>
      <w:r w:rsidR="00FB1C68" w:rsidRPr="00CB2E9A">
        <w:rPr>
          <w:rFonts w:ascii="Times New Roman" w:hAnsi="Times New Roman"/>
          <w:i/>
          <w:iCs/>
        </w:rPr>
        <w:t>v</w:t>
      </w:r>
      <w:r w:rsidR="004343BF" w:rsidRPr="00CB2E9A">
        <w:rPr>
          <w:rFonts w:ascii="Times New Roman" w:hAnsi="Times New Roman"/>
          <w:i/>
          <w:iCs/>
        </w:rPr>
        <w:t> </w:t>
      </w:r>
      <w:r w:rsidR="00FB1C68" w:rsidRPr="00CB2E9A">
        <w:rPr>
          <w:rFonts w:ascii="Times New Roman" w:hAnsi="Times New Roman"/>
          <w:i/>
          <w:iCs/>
        </w:rPr>
        <w:t>AMP</w:t>
      </w:r>
      <w:r w:rsidR="004343BF" w:rsidRPr="00CB2E9A">
        <w:rPr>
          <w:rFonts w:ascii="Times New Roman" w:hAnsi="Times New Roman"/>
          <w:i/>
          <w:iCs/>
        </w:rPr>
        <w:t> </w:t>
      </w:r>
      <w:r w:rsidR="00FB1C68" w:rsidRPr="00CB2E9A">
        <w:rPr>
          <w:rFonts w:ascii="Times New Roman" w:hAnsi="Times New Roman"/>
          <w:i/>
          <w:iCs/>
        </w:rPr>
        <w:t xml:space="preserve">Ltd </w:t>
      </w:r>
      <w:r w:rsidR="00FB1C68" w:rsidRPr="00CB2E9A">
        <w:rPr>
          <w:rFonts w:ascii="Times New Roman" w:hAnsi="Times New Roman"/>
        </w:rPr>
        <w:t>and the present case. They include that: (a) </w:t>
      </w:r>
      <w:r w:rsidR="00C34997" w:rsidRPr="00CB2E9A">
        <w:rPr>
          <w:rFonts w:ascii="Times New Roman" w:hAnsi="Times New Roman"/>
        </w:rPr>
        <w:t xml:space="preserve">s 175(5), in common with s 183, is a general provision and therefore would not be construed as enabling the making of an order the effect of which would be </w:t>
      </w:r>
      <w:r w:rsidR="00C97DF4" w:rsidRPr="00CB2E9A">
        <w:rPr>
          <w:rFonts w:ascii="Times New Roman" w:hAnsi="Times New Roman"/>
        </w:rPr>
        <w:t xml:space="preserve">to </w:t>
      </w:r>
      <w:r w:rsidR="00C34997" w:rsidRPr="00CB2E9A">
        <w:rPr>
          <w:rFonts w:ascii="Times New Roman" w:hAnsi="Times New Roman"/>
        </w:rPr>
        <w:t>transform the statutory scheme from an opt out scheme into an opt in scheme;</w:t>
      </w:r>
      <w:r w:rsidR="00FF2CEF" w:rsidRPr="00CB2E9A">
        <w:rPr>
          <w:rStyle w:val="FootnoteReference"/>
          <w:rFonts w:ascii="Times New Roman" w:hAnsi="Times New Roman"/>
          <w:sz w:val="24"/>
        </w:rPr>
        <w:footnoteReference w:id="46"/>
      </w:r>
      <w:r w:rsidR="00C34997" w:rsidRPr="00CB2E9A">
        <w:rPr>
          <w:rFonts w:ascii="Times New Roman" w:hAnsi="Times New Roman"/>
        </w:rPr>
        <w:t xml:space="preserve"> (b) </w:t>
      </w:r>
      <w:r w:rsidR="00CE7831" w:rsidRPr="00CB2E9A">
        <w:rPr>
          <w:rFonts w:ascii="Times New Roman" w:hAnsi="Times New Roman"/>
        </w:rPr>
        <w:t>on the same basis</w:t>
      </w:r>
      <w:r w:rsidR="00AB1040" w:rsidRPr="00CB2E9A">
        <w:rPr>
          <w:rFonts w:ascii="Times New Roman" w:hAnsi="Times New Roman"/>
        </w:rPr>
        <w:t>,</w:t>
      </w:r>
      <w:r w:rsidR="00CE7831" w:rsidRPr="00CB2E9A">
        <w:rPr>
          <w:rFonts w:ascii="Times New Roman" w:hAnsi="Times New Roman"/>
        </w:rPr>
        <w:t xml:space="preserve"> s 175(5) </w:t>
      </w:r>
      <w:r w:rsidR="001903B2" w:rsidRPr="00CB2E9A">
        <w:rPr>
          <w:rFonts w:ascii="Times New Roman" w:hAnsi="Times New Roman"/>
        </w:rPr>
        <w:t xml:space="preserve">would not be construed as enabling the making of an order the effect of which would be to </w:t>
      </w:r>
      <w:r w:rsidR="00C97DF4" w:rsidRPr="00CB2E9A">
        <w:rPr>
          <w:rFonts w:ascii="Times New Roman" w:hAnsi="Times New Roman"/>
        </w:rPr>
        <w:t>"</w:t>
      </w:r>
      <w:r w:rsidR="008F2420" w:rsidRPr="00CB2E9A">
        <w:rPr>
          <w:rFonts w:ascii="Times New Roman" w:hAnsi="Times New Roman"/>
        </w:rPr>
        <w:t>give apparent judicial blessing to a representative plaintiff engaging in what would inevitably be a conflict of interest</w:t>
      </w:r>
      <w:r w:rsidR="00C97DF4" w:rsidRPr="00CB2E9A">
        <w:rPr>
          <w:rFonts w:ascii="Times New Roman" w:hAnsi="Times New Roman"/>
        </w:rPr>
        <w:t>"</w:t>
      </w:r>
      <w:r w:rsidR="008F2420" w:rsidRPr="00CB2E9A">
        <w:rPr>
          <w:rFonts w:ascii="Times New Roman" w:hAnsi="Times New Roman"/>
        </w:rPr>
        <w:t>;</w:t>
      </w:r>
      <w:r w:rsidR="008F2420" w:rsidRPr="00CB2E9A">
        <w:rPr>
          <w:rStyle w:val="FootnoteReference"/>
          <w:rFonts w:ascii="Times New Roman" w:hAnsi="Times New Roman"/>
          <w:sz w:val="24"/>
        </w:rPr>
        <w:footnoteReference w:id="47"/>
      </w:r>
      <w:r w:rsidR="00962636" w:rsidRPr="00CB2E9A">
        <w:rPr>
          <w:rFonts w:ascii="Times New Roman" w:hAnsi="Times New Roman"/>
        </w:rPr>
        <w:t xml:space="preserve"> </w:t>
      </w:r>
      <w:r w:rsidR="00C71E6B" w:rsidRPr="00CB2E9A">
        <w:rPr>
          <w:rFonts w:ascii="Times New Roman" w:hAnsi="Times New Roman"/>
        </w:rPr>
        <w:t xml:space="preserve">and </w:t>
      </w:r>
      <w:r w:rsidR="00962636" w:rsidRPr="00CB2E9A">
        <w:rPr>
          <w:rFonts w:ascii="Times New Roman" w:hAnsi="Times New Roman"/>
        </w:rPr>
        <w:t>(c) </w:t>
      </w:r>
      <w:r w:rsidR="00B1681D" w:rsidRPr="00CB2E9A">
        <w:rPr>
          <w:rFonts w:ascii="Times New Roman" w:hAnsi="Times New Roman"/>
        </w:rPr>
        <w:t xml:space="preserve">rather than subverting the statutory scheme in this manner, the problem which the proposed </w:t>
      </w:r>
      <w:r w:rsidR="000D6798" w:rsidRPr="00CB2E9A">
        <w:rPr>
          <w:rFonts w:ascii="Times New Roman" w:hAnsi="Times New Roman"/>
        </w:rPr>
        <w:t xml:space="preserve">notice </w:t>
      </w:r>
      <w:r w:rsidR="00B1681D" w:rsidRPr="00CB2E9A">
        <w:rPr>
          <w:rFonts w:ascii="Times New Roman" w:hAnsi="Times New Roman"/>
        </w:rPr>
        <w:t>seeks to address (</w:t>
      </w:r>
      <w:r w:rsidR="00264C51" w:rsidRPr="00CB2E9A">
        <w:rPr>
          <w:rFonts w:ascii="Times New Roman" w:hAnsi="Times New Roman"/>
        </w:rPr>
        <w:t>enabling the repre</w:t>
      </w:r>
      <w:r w:rsidR="002D0B07" w:rsidRPr="00CB2E9A">
        <w:rPr>
          <w:rFonts w:ascii="Times New Roman" w:hAnsi="Times New Roman"/>
        </w:rPr>
        <w:t>se</w:t>
      </w:r>
      <w:r w:rsidR="00264C51" w:rsidRPr="00CB2E9A">
        <w:rPr>
          <w:rFonts w:ascii="Times New Roman" w:hAnsi="Times New Roman"/>
        </w:rPr>
        <w:t xml:space="preserve">ntative plaintiff and the defendant and their lawyers to be able to estimate the number of group members with </w:t>
      </w:r>
      <w:r w:rsidR="002D0B07" w:rsidRPr="00CB2E9A">
        <w:rPr>
          <w:rFonts w:ascii="Times New Roman" w:hAnsi="Times New Roman"/>
        </w:rPr>
        <w:t>reasonable</w:t>
      </w:r>
      <w:r w:rsidR="00264C51" w:rsidRPr="00CB2E9A">
        <w:rPr>
          <w:rFonts w:ascii="Times New Roman" w:hAnsi="Times New Roman"/>
        </w:rPr>
        <w:t xml:space="preserve"> accuracy to </w:t>
      </w:r>
      <w:r w:rsidR="002D0B07" w:rsidRPr="00CB2E9A">
        <w:rPr>
          <w:rFonts w:ascii="Times New Roman" w:hAnsi="Times New Roman"/>
        </w:rPr>
        <w:t>facilitate</w:t>
      </w:r>
      <w:r w:rsidR="00264C51" w:rsidRPr="00CB2E9A">
        <w:rPr>
          <w:rFonts w:ascii="Times New Roman" w:hAnsi="Times New Roman"/>
        </w:rPr>
        <w:t xml:space="preserve"> a settlement) is </w:t>
      </w:r>
      <w:r w:rsidR="002D0B07" w:rsidRPr="00CB2E9A">
        <w:rPr>
          <w:rFonts w:ascii="Times New Roman" w:hAnsi="Times New Roman"/>
        </w:rPr>
        <w:t>readily</w:t>
      </w:r>
      <w:r w:rsidR="00264C51" w:rsidRPr="00CB2E9A">
        <w:rPr>
          <w:rFonts w:ascii="Times New Roman" w:hAnsi="Times New Roman"/>
        </w:rPr>
        <w:t xml:space="preserve"> achievable by other methods, including the </w:t>
      </w:r>
      <w:r w:rsidR="002D0B07" w:rsidRPr="00CB2E9A">
        <w:rPr>
          <w:rFonts w:ascii="Times New Roman" w:hAnsi="Times New Roman"/>
        </w:rPr>
        <w:t>revising of the definition of the group so as to include only those members who have registered their participation in the represent</w:t>
      </w:r>
      <w:r w:rsidR="001344F5" w:rsidRPr="00CB2E9A">
        <w:rPr>
          <w:rFonts w:ascii="Times New Roman" w:hAnsi="Times New Roman"/>
        </w:rPr>
        <w:t>at</w:t>
      </w:r>
      <w:r w:rsidR="002D0B07" w:rsidRPr="00CB2E9A">
        <w:rPr>
          <w:rFonts w:ascii="Times New Roman" w:hAnsi="Times New Roman"/>
        </w:rPr>
        <w:t>ive proceeding.</w:t>
      </w:r>
      <w:r w:rsidR="000502C2" w:rsidRPr="00CB2E9A">
        <w:rPr>
          <w:rStyle w:val="FootnoteReference"/>
          <w:rFonts w:ascii="Times New Roman" w:hAnsi="Times New Roman"/>
          <w:sz w:val="24"/>
        </w:rPr>
        <w:footnoteReference w:id="48"/>
      </w:r>
      <w:r w:rsidR="002D0B07" w:rsidRPr="00CB2E9A">
        <w:rPr>
          <w:rFonts w:ascii="Times New Roman" w:hAnsi="Times New Roman"/>
        </w:rPr>
        <w:t xml:space="preserve"> By this means, the </w:t>
      </w:r>
      <w:r w:rsidR="001344F5" w:rsidRPr="00CB2E9A">
        <w:rPr>
          <w:rFonts w:ascii="Times New Roman" w:hAnsi="Times New Roman"/>
        </w:rPr>
        <w:t xml:space="preserve">conflict of interest between the representative plaintiff and </w:t>
      </w:r>
      <w:r w:rsidR="00687C62" w:rsidRPr="00CB2E9A">
        <w:rPr>
          <w:rFonts w:ascii="Times New Roman" w:hAnsi="Times New Roman"/>
        </w:rPr>
        <w:t xml:space="preserve">unregistered </w:t>
      </w:r>
      <w:r w:rsidR="001344F5" w:rsidRPr="00CB2E9A">
        <w:rPr>
          <w:rFonts w:ascii="Times New Roman" w:hAnsi="Times New Roman"/>
        </w:rPr>
        <w:t>group members would be avoided</w:t>
      </w:r>
      <w:r w:rsidR="008368F6" w:rsidRPr="00CB2E9A">
        <w:rPr>
          <w:rFonts w:ascii="Times New Roman" w:hAnsi="Times New Roman"/>
        </w:rPr>
        <w:t>. T</w:t>
      </w:r>
      <w:r w:rsidR="00FF7E34" w:rsidRPr="00CB2E9A">
        <w:rPr>
          <w:rFonts w:ascii="Times New Roman" w:hAnsi="Times New Roman"/>
        </w:rPr>
        <w:t xml:space="preserve">he representative plaintiff and </w:t>
      </w:r>
      <w:r w:rsidR="00C97DF4" w:rsidRPr="00CB2E9A">
        <w:rPr>
          <w:rFonts w:ascii="Times New Roman" w:hAnsi="Times New Roman"/>
        </w:rPr>
        <w:t xml:space="preserve">the </w:t>
      </w:r>
      <w:r w:rsidR="00FF7E34" w:rsidRPr="00CB2E9A">
        <w:rPr>
          <w:rFonts w:ascii="Times New Roman" w:hAnsi="Times New Roman"/>
        </w:rPr>
        <w:t xml:space="preserve">defendant and their lawyers could negotiate a settlement </w:t>
      </w:r>
      <w:r w:rsidR="008D53A3" w:rsidRPr="00CB2E9A">
        <w:rPr>
          <w:rFonts w:ascii="Times New Roman" w:hAnsi="Times New Roman"/>
        </w:rPr>
        <w:t xml:space="preserve">knowing the number of </w:t>
      </w:r>
      <w:r w:rsidR="001929D5" w:rsidRPr="00CB2E9A">
        <w:rPr>
          <w:rFonts w:ascii="Times New Roman" w:hAnsi="Times New Roman"/>
        </w:rPr>
        <w:t xml:space="preserve">group </w:t>
      </w:r>
      <w:r w:rsidR="008D53A3" w:rsidRPr="00CB2E9A">
        <w:rPr>
          <w:rFonts w:ascii="Times New Roman" w:hAnsi="Times New Roman"/>
        </w:rPr>
        <w:t>members entitled to share in the settlement (albeit not</w:t>
      </w:r>
      <w:r w:rsidR="008368F6" w:rsidRPr="00CB2E9A">
        <w:rPr>
          <w:rFonts w:ascii="Times New Roman" w:hAnsi="Times New Roman"/>
        </w:rPr>
        <w:t xml:space="preserve"> knowing</w:t>
      </w:r>
      <w:r w:rsidR="008D53A3" w:rsidRPr="00CB2E9A">
        <w:rPr>
          <w:rFonts w:ascii="Times New Roman" w:hAnsi="Times New Roman"/>
        </w:rPr>
        <w:t xml:space="preserve"> the number of unregistered group members who would retain their rights against the defendant).</w:t>
      </w:r>
    </w:p>
    <w:p w14:paraId="250B2516" w14:textId="3D7AF9D6" w:rsidR="001E3166" w:rsidRPr="00CB2E9A" w:rsidRDefault="004C1528"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691937" w:rsidRPr="00CB2E9A">
        <w:rPr>
          <w:rFonts w:ascii="Times New Roman" w:hAnsi="Times New Roman"/>
        </w:rPr>
        <w:t xml:space="preserve">Bell CJ (with whom Gleeson, Leeming and Stern JJA agreed, </w:t>
      </w:r>
      <w:r w:rsidR="008605C4" w:rsidRPr="00CB2E9A">
        <w:rPr>
          <w:rFonts w:ascii="Times New Roman" w:hAnsi="Times New Roman"/>
        </w:rPr>
        <w:t>Ward P in dissent on this issue</w:t>
      </w:r>
      <w:r w:rsidR="00226D31" w:rsidRPr="00CB2E9A">
        <w:rPr>
          <w:rStyle w:val="FootnoteReference"/>
          <w:rFonts w:ascii="Times New Roman" w:hAnsi="Times New Roman"/>
          <w:sz w:val="24"/>
        </w:rPr>
        <w:footnoteReference w:id="49"/>
      </w:r>
      <w:r w:rsidR="00F2795E" w:rsidRPr="00CB2E9A">
        <w:rPr>
          <w:rFonts w:ascii="Times New Roman" w:hAnsi="Times New Roman"/>
        </w:rPr>
        <w:t>)</w:t>
      </w:r>
      <w:r w:rsidR="008605C4" w:rsidRPr="00CB2E9A">
        <w:rPr>
          <w:rFonts w:ascii="Times New Roman" w:hAnsi="Times New Roman"/>
        </w:rPr>
        <w:t xml:space="preserve"> </w:t>
      </w:r>
      <w:r w:rsidRPr="00CB2E9A">
        <w:rPr>
          <w:rFonts w:ascii="Times New Roman" w:hAnsi="Times New Roman"/>
        </w:rPr>
        <w:t xml:space="preserve">also concluded that </w:t>
      </w:r>
      <w:r w:rsidR="00A00C49" w:rsidRPr="00CB2E9A">
        <w:rPr>
          <w:rFonts w:ascii="Times New Roman" w:hAnsi="Times New Roman"/>
        </w:rPr>
        <w:t xml:space="preserve">the power in s 175(5) of the CPA </w:t>
      </w:r>
      <w:r w:rsidR="00051003" w:rsidRPr="00CB2E9A">
        <w:rPr>
          <w:rFonts w:ascii="Times New Roman" w:hAnsi="Times New Roman"/>
        </w:rPr>
        <w:t xml:space="preserve">is qualified by the terms of s 175(6). According to this reasoning, </w:t>
      </w:r>
      <w:r w:rsidR="004F0456" w:rsidRPr="00CB2E9A">
        <w:rPr>
          <w:rFonts w:ascii="Times New Roman" w:hAnsi="Times New Roman"/>
        </w:rPr>
        <w:t xml:space="preserve">reading s 175(5) with s 175(6) leads to the conclusion that the reference to "any matter" in s 175(5) must be construed to mean </w:t>
      </w:r>
      <w:r w:rsidR="00BE3ACC" w:rsidRPr="00CB2E9A">
        <w:rPr>
          <w:rFonts w:ascii="Times New Roman" w:hAnsi="Times New Roman"/>
        </w:rPr>
        <w:t>"any event which has happened". The proposed notice, being notice of a</w:t>
      </w:r>
      <w:r w:rsidR="00692231" w:rsidRPr="00CB2E9A">
        <w:rPr>
          <w:rFonts w:ascii="Times New Roman" w:hAnsi="Times New Roman"/>
        </w:rPr>
        <w:t xml:space="preserve"> present intention of Lendlease </w:t>
      </w:r>
      <w:r w:rsidR="00C71E6B" w:rsidRPr="00CB2E9A">
        <w:rPr>
          <w:rFonts w:ascii="Times New Roman" w:hAnsi="Times New Roman"/>
        </w:rPr>
        <w:t>(and perhaps the representative plaintiff</w:t>
      </w:r>
      <w:r w:rsidR="008127F3" w:rsidRPr="00CB2E9A">
        <w:rPr>
          <w:rFonts w:ascii="Times New Roman" w:hAnsi="Times New Roman"/>
        </w:rPr>
        <w:t>s</w:t>
      </w:r>
      <w:r w:rsidR="00C71E6B" w:rsidRPr="00CB2E9A">
        <w:rPr>
          <w:rFonts w:ascii="Times New Roman" w:hAnsi="Times New Roman"/>
        </w:rPr>
        <w:t xml:space="preserve">) </w:t>
      </w:r>
      <w:r w:rsidR="00692231" w:rsidRPr="00CB2E9A">
        <w:rPr>
          <w:rFonts w:ascii="Times New Roman" w:hAnsi="Times New Roman"/>
        </w:rPr>
        <w:t xml:space="preserve">to seek a certain order at any settlement </w:t>
      </w:r>
      <w:r w:rsidR="00187A0A" w:rsidRPr="00CB2E9A">
        <w:rPr>
          <w:rFonts w:ascii="Times New Roman" w:hAnsi="Times New Roman"/>
        </w:rPr>
        <w:t>approval</w:t>
      </w:r>
      <w:r w:rsidR="00692231" w:rsidRPr="00CB2E9A">
        <w:rPr>
          <w:rFonts w:ascii="Times New Roman" w:hAnsi="Times New Roman"/>
        </w:rPr>
        <w:t xml:space="preserve"> hearing, </w:t>
      </w:r>
      <w:r w:rsidR="00187A0A" w:rsidRPr="00CB2E9A">
        <w:rPr>
          <w:rFonts w:ascii="Times New Roman" w:hAnsi="Times New Roman"/>
        </w:rPr>
        <w:t xml:space="preserve">on this basis, </w:t>
      </w:r>
      <w:r w:rsidR="00187A0A" w:rsidRPr="00CB2E9A">
        <w:rPr>
          <w:rFonts w:ascii="Times New Roman" w:hAnsi="Times New Roman"/>
        </w:rPr>
        <w:lastRenderedPageBreak/>
        <w:t>is outside the scope of s 175(5) because a present intention as to future conduct is not an event that has happened.</w:t>
      </w:r>
      <w:r w:rsidR="00187A0A" w:rsidRPr="00CB2E9A">
        <w:rPr>
          <w:rStyle w:val="FootnoteReference"/>
          <w:rFonts w:ascii="Times New Roman" w:hAnsi="Times New Roman"/>
          <w:sz w:val="24"/>
        </w:rPr>
        <w:footnoteReference w:id="50"/>
      </w:r>
    </w:p>
    <w:p w14:paraId="52896FA3" w14:textId="77777777" w:rsidR="009222C1" w:rsidRPr="00CB2E9A" w:rsidRDefault="009222C1" w:rsidP="00CB2E9A">
      <w:pPr>
        <w:pStyle w:val="HeadingL1"/>
        <w:spacing w:after="260" w:line="280" w:lineRule="exact"/>
        <w:ind w:right="0"/>
        <w:jc w:val="both"/>
        <w:rPr>
          <w:rFonts w:ascii="Times New Roman" w:hAnsi="Times New Roman"/>
        </w:rPr>
      </w:pPr>
      <w:r w:rsidRPr="00CB2E9A">
        <w:rPr>
          <w:rFonts w:ascii="Times New Roman" w:hAnsi="Times New Roman"/>
        </w:rPr>
        <w:t>Construing the statute</w:t>
      </w:r>
    </w:p>
    <w:p w14:paraId="1EC4037D" w14:textId="626303D2" w:rsidR="00E863E6" w:rsidRPr="00CB2E9A" w:rsidRDefault="00E565AA"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294594" w:rsidRPr="00CB2E9A">
        <w:rPr>
          <w:rFonts w:ascii="Times New Roman" w:hAnsi="Times New Roman"/>
        </w:rPr>
        <w:t xml:space="preserve">In neither </w:t>
      </w:r>
      <w:r w:rsidR="00294594" w:rsidRPr="00CB2E9A">
        <w:rPr>
          <w:rFonts w:ascii="Times New Roman" w:hAnsi="Times New Roman"/>
          <w:i/>
          <w:iCs/>
        </w:rPr>
        <w:t>Wigmans</w:t>
      </w:r>
      <w:r w:rsidR="00B63BB8" w:rsidRPr="00CB2E9A">
        <w:rPr>
          <w:rFonts w:ascii="Times New Roman" w:hAnsi="Times New Roman"/>
          <w:i/>
          <w:iCs/>
        </w:rPr>
        <w:t> </w:t>
      </w:r>
      <w:r w:rsidR="00294594" w:rsidRPr="00CB2E9A">
        <w:rPr>
          <w:rFonts w:ascii="Times New Roman" w:hAnsi="Times New Roman"/>
          <w:i/>
          <w:iCs/>
        </w:rPr>
        <w:t>v</w:t>
      </w:r>
      <w:r w:rsidR="00213756" w:rsidRPr="00CB2E9A">
        <w:rPr>
          <w:rFonts w:ascii="Times New Roman" w:hAnsi="Times New Roman"/>
          <w:i/>
          <w:iCs/>
        </w:rPr>
        <w:t> </w:t>
      </w:r>
      <w:r w:rsidR="00294594" w:rsidRPr="00CB2E9A">
        <w:rPr>
          <w:rFonts w:ascii="Times New Roman" w:hAnsi="Times New Roman"/>
          <w:i/>
          <w:iCs/>
        </w:rPr>
        <w:t>AMP</w:t>
      </w:r>
      <w:r w:rsidR="00213756" w:rsidRPr="00CB2E9A">
        <w:rPr>
          <w:rFonts w:ascii="Times New Roman" w:hAnsi="Times New Roman"/>
          <w:i/>
          <w:iCs/>
        </w:rPr>
        <w:t> </w:t>
      </w:r>
      <w:r w:rsidR="00294594" w:rsidRPr="00CB2E9A">
        <w:rPr>
          <w:rFonts w:ascii="Times New Roman" w:hAnsi="Times New Roman"/>
          <w:i/>
          <w:iCs/>
        </w:rPr>
        <w:t>Ltd</w:t>
      </w:r>
      <w:r w:rsidR="00294594" w:rsidRPr="00CB2E9A">
        <w:rPr>
          <w:rFonts w:ascii="Times New Roman" w:hAnsi="Times New Roman"/>
        </w:rPr>
        <w:t xml:space="preserve"> nor the present case did the Court of Appeal suggest that, on approving a settlement, the Supreme Court of New South Wales </w:t>
      </w:r>
      <w:r w:rsidR="00AD3976" w:rsidRPr="00CB2E9A">
        <w:rPr>
          <w:rFonts w:ascii="Times New Roman" w:hAnsi="Times New Roman"/>
        </w:rPr>
        <w:t xml:space="preserve">does </w:t>
      </w:r>
      <w:r w:rsidR="00294594" w:rsidRPr="00CB2E9A">
        <w:rPr>
          <w:rFonts w:ascii="Times New Roman" w:hAnsi="Times New Roman"/>
        </w:rPr>
        <w:t xml:space="preserve">not have power under </w:t>
      </w:r>
      <w:r w:rsidR="00AD3976" w:rsidRPr="00CB2E9A">
        <w:rPr>
          <w:rFonts w:ascii="Times New Roman" w:hAnsi="Times New Roman"/>
        </w:rPr>
        <w:t>s </w:t>
      </w:r>
      <w:r w:rsidR="00351073" w:rsidRPr="00CB2E9A">
        <w:rPr>
          <w:rFonts w:ascii="Times New Roman" w:hAnsi="Times New Roman"/>
        </w:rPr>
        <w:t>173(2) of the CPA, in making "such orders as are just with respect to the distribution of any money" under an approved settlement</w:t>
      </w:r>
      <w:r w:rsidR="00B47E97" w:rsidRPr="00CB2E9A">
        <w:rPr>
          <w:rFonts w:ascii="Times New Roman" w:hAnsi="Times New Roman"/>
        </w:rPr>
        <w:t>, to order that a group member who has neither opted out nor registered to participate in the proceeding before a specified date shall not</w:t>
      </w:r>
      <w:r w:rsidR="00351073" w:rsidRPr="00CB2E9A">
        <w:rPr>
          <w:rFonts w:ascii="Times New Roman" w:hAnsi="Times New Roman"/>
        </w:rPr>
        <w:t xml:space="preserve"> </w:t>
      </w:r>
      <w:r w:rsidR="00B47E97" w:rsidRPr="00CB2E9A">
        <w:rPr>
          <w:rFonts w:ascii="Times New Roman" w:hAnsi="Times New Roman"/>
        </w:rPr>
        <w:t>be permitted</w:t>
      </w:r>
      <w:r w:rsidR="0097326D" w:rsidRPr="00CB2E9A">
        <w:rPr>
          <w:rFonts w:ascii="Times New Roman" w:hAnsi="Times New Roman"/>
        </w:rPr>
        <w:t>, without leave of the Court,</w:t>
      </w:r>
      <w:r w:rsidR="00B47E97" w:rsidRPr="00CB2E9A">
        <w:rPr>
          <w:rFonts w:ascii="Times New Roman" w:hAnsi="Times New Roman"/>
        </w:rPr>
        <w:t xml:space="preserve"> to seek any benefit pursuant to the settlement. </w:t>
      </w:r>
      <w:r w:rsidR="00AE2401" w:rsidRPr="00CB2E9A">
        <w:rPr>
          <w:rFonts w:ascii="Times New Roman" w:hAnsi="Times New Roman"/>
        </w:rPr>
        <w:t>B</w:t>
      </w:r>
      <w:r w:rsidR="000E1593" w:rsidRPr="00CB2E9A">
        <w:rPr>
          <w:rFonts w:ascii="Times New Roman" w:hAnsi="Times New Roman"/>
        </w:rPr>
        <w:t xml:space="preserve">y s 173(2), </w:t>
      </w:r>
      <w:r w:rsidR="00895C00" w:rsidRPr="00CB2E9A">
        <w:rPr>
          <w:rFonts w:ascii="Times New Roman" w:hAnsi="Times New Roman"/>
        </w:rPr>
        <w:t xml:space="preserve">the </w:t>
      </w:r>
      <w:r w:rsidR="000E1593" w:rsidRPr="00CB2E9A">
        <w:rPr>
          <w:rFonts w:ascii="Times New Roman" w:hAnsi="Times New Roman"/>
        </w:rPr>
        <w:t xml:space="preserve">Supreme </w:t>
      </w:r>
      <w:r w:rsidR="00895C00" w:rsidRPr="00CB2E9A">
        <w:rPr>
          <w:rFonts w:ascii="Times New Roman" w:hAnsi="Times New Roman"/>
        </w:rPr>
        <w:t xml:space="preserve">Court </w:t>
      </w:r>
      <w:r w:rsidR="000E1593" w:rsidRPr="00CB2E9A">
        <w:rPr>
          <w:rFonts w:ascii="Times New Roman" w:hAnsi="Times New Roman"/>
        </w:rPr>
        <w:t xml:space="preserve">clearly has power </w:t>
      </w:r>
      <w:r w:rsidR="00895C00" w:rsidRPr="00CB2E9A">
        <w:rPr>
          <w:rFonts w:ascii="Times New Roman" w:hAnsi="Times New Roman"/>
        </w:rPr>
        <w:t xml:space="preserve">to make the order foreshadowed </w:t>
      </w:r>
      <w:r w:rsidR="00FB0C6B" w:rsidRPr="00CB2E9A">
        <w:rPr>
          <w:rFonts w:ascii="Times New Roman" w:hAnsi="Times New Roman"/>
        </w:rPr>
        <w:t xml:space="preserve">by </w:t>
      </w:r>
      <w:r w:rsidR="00895C00" w:rsidRPr="00CB2E9A">
        <w:rPr>
          <w:rFonts w:ascii="Times New Roman" w:hAnsi="Times New Roman"/>
        </w:rPr>
        <w:t>the proposed notice</w:t>
      </w:r>
      <w:r w:rsidR="000C54EA" w:rsidRPr="00CB2E9A">
        <w:rPr>
          <w:rFonts w:ascii="Times New Roman" w:hAnsi="Times New Roman"/>
        </w:rPr>
        <w:t xml:space="preserve">. The issue </w:t>
      </w:r>
      <w:r w:rsidR="00807372" w:rsidRPr="00CB2E9A">
        <w:rPr>
          <w:rFonts w:ascii="Times New Roman" w:hAnsi="Times New Roman"/>
        </w:rPr>
        <w:t xml:space="preserve">therefore </w:t>
      </w:r>
      <w:r w:rsidR="000C54EA" w:rsidRPr="00CB2E9A">
        <w:rPr>
          <w:rFonts w:ascii="Times New Roman" w:hAnsi="Times New Roman"/>
        </w:rPr>
        <w:t xml:space="preserve">is </w:t>
      </w:r>
      <w:r w:rsidR="000E1593" w:rsidRPr="00CB2E9A">
        <w:rPr>
          <w:rFonts w:ascii="Times New Roman" w:hAnsi="Times New Roman"/>
        </w:rPr>
        <w:t xml:space="preserve">to be understood </w:t>
      </w:r>
      <w:r w:rsidR="00807372" w:rsidRPr="00CB2E9A">
        <w:rPr>
          <w:rFonts w:ascii="Times New Roman" w:hAnsi="Times New Roman"/>
        </w:rPr>
        <w:t xml:space="preserve">as </w:t>
      </w:r>
      <w:r w:rsidR="000C54EA" w:rsidRPr="00CB2E9A">
        <w:rPr>
          <w:rFonts w:ascii="Times New Roman" w:hAnsi="Times New Roman"/>
        </w:rPr>
        <w:t xml:space="preserve">whether a general provision in respect of the giving of notice </w:t>
      </w:r>
      <w:r w:rsidR="009258CA" w:rsidRPr="00CB2E9A">
        <w:rPr>
          <w:rFonts w:ascii="Times New Roman" w:hAnsi="Times New Roman"/>
        </w:rPr>
        <w:t xml:space="preserve">to group members </w:t>
      </w:r>
      <w:r w:rsidR="000C54EA" w:rsidRPr="00CB2E9A">
        <w:rPr>
          <w:rFonts w:ascii="Times New Roman" w:hAnsi="Times New Roman"/>
        </w:rPr>
        <w:t xml:space="preserve">of </w:t>
      </w:r>
      <w:r w:rsidR="009258CA" w:rsidRPr="00CB2E9A">
        <w:rPr>
          <w:rFonts w:ascii="Times New Roman" w:hAnsi="Times New Roman"/>
        </w:rPr>
        <w:t>"any matter"</w:t>
      </w:r>
      <w:r w:rsidR="00F86374" w:rsidRPr="00CB2E9A">
        <w:rPr>
          <w:rFonts w:ascii="Times New Roman" w:hAnsi="Times New Roman"/>
        </w:rPr>
        <w:t xml:space="preserve"> </w:t>
      </w:r>
      <w:r w:rsidR="00807372" w:rsidRPr="00CB2E9A">
        <w:rPr>
          <w:rFonts w:ascii="Times New Roman" w:hAnsi="Times New Roman"/>
        </w:rPr>
        <w:t xml:space="preserve">in s 175(5) </w:t>
      </w:r>
      <w:r w:rsidR="00F86374" w:rsidRPr="00CB2E9A">
        <w:rPr>
          <w:rFonts w:ascii="Times New Roman" w:hAnsi="Times New Roman"/>
        </w:rPr>
        <w:t>empowers the giving of notice of an intention on the part of one or more of the parties to seek an order a</w:t>
      </w:r>
      <w:r w:rsidR="006407A0" w:rsidRPr="00CB2E9A">
        <w:rPr>
          <w:rFonts w:ascii="Times New Roman" w:hAnsi="Times New Roman"/>
        </w:rPr>
        <w:t>t a settlement approval hearing</w:t>
      </w:r>
      <w:r w:rsidR="00E863E6" w:rsidRPr="00CB2E9A">
        <w:rPr>
          <w:rFonts w:ascii="Times New Roman" w:hAnsi="Times New Roman"/>
        </w:rPr>
        <w:t xml:space="preserve"> which the Supreme Court has power to make</w:t>
      </w:r>
      <w:r w:rsidR="006407A0" w:rsidRPr="00CB2E9A">
        <w:rPr>
          <w:rFonts w:ascii="Times New Roman" w:hAnsi="Times New Roman"/>
        </w:rPr>
        <w:t xml:space="preserve">. </w:t>
      </w:r>
      <w:r w:rsidR="00E863E6" w:rsidRPr="00CB2E9A">
        <w:rPr>
          <w:rFonts w:ascii="Times New Roman" w:hAnsi="Times New Roman"/>
        </w:rPr>
        <w:t xml:space="preserve">Framed in this way, the issue </w:t>
      </w:r>
      <w:r w:rsidR="007169BB" w:rsidRPr="00CB2E9A">
        <w:rPr>
          <w:rFonts w:ascii="Times New Roman" w:hAnsi="Times New Roman"/>
        </w:rPr>
        <w:t xml:space="preserve">is exposed as one concerning the capacity of the Supreme Court to ensure that group members are made aware of </w:t>
      </w:r>
      <w:r w:rsidR="004D0E7D" w:rsidRPr="00CB2E9A">
        <w:rPr>
          <w:rFonts w:ascii="Times New Roman" w:hAnsi="Times New Roman"/>
        </w:rPr>
        <w:t>a present intention of at least Lendlease to seek the making of an order at any settlement approval hearing which Lendlease can seek</w:t>
      </w:r>
      <w:r w:rsidR="007D7624" w:rsidRPr="00CB2E9A">
        <w:rPr>
          <w:rFonts w:ascii="Times New Roman" w:hAnsi="Times New Roman"/>
        </w:rPr>
        <w:t>,</w:t>
      </w:r>
      <w:r w:rsidR="004D0E7D" w:rsidRPr="00CB2E9A">
        <w:rPr>
          <w:rFonts w:ascii="Times New Roman" w:hAnsi="Times New Roman"/>
        </w:rPr>
        <w:t xml:space="preserve"> and the Supreme Court can make</w:t>
      </w:r>
      <w:r w:rsidR="00B441A5" w:rsidRPr="00CB2E9A">
        <w:rPr>
          <w:rFonts w:ascii="Times New Roman" w:hAnsi="Times New Roman"/>
        </w:rPr>
        <w:t>, in the representative proceeding</w:t>
      </w:r>
      <w:r w:rsidR="004D0E7D" w:rsidRPr="00CB2E9A">
        <w:rPr>
          <w:rFonts w:ascii="Times New Roman" w:hAnsi="Times New Roman"/>
        </w:rPr>
        <w:t xml:space="preserve">. </w:t>
      </w:r>
    </w:p>
    <w:p w14:paraId="738337AC" w14:textId="4D493F15" w:rsidR="00E565AA" w:rsidRPr="00CB2E9A" w:rsidRDefault="00E863E6"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7A206E" w:rsidRPr="00CB2E9A">
        <w:rPr>
          <w:rFonts w:ascii="Times New Roman" w:hAnsi="Times New Roman"/>
        </w:rPr>
        <w:t xml:space="preserve">Neither </w:t>
      </w:r>
      <w:r w:rsidR="007A206E" w:rsidRPr="00CB2E9A">
        <w:rPr>
          <w:rFonts w:ascii="Times New Roman" w:hAnsi="Times New Roman"/>
          <w:i/>
          <w:iCs/>
        </w:rPr>
        <w:t>Mobil Oil</w:t>
      </w:r>
      <w:r w:rsidR="007A206E" w:rsidRPr="00CB2E9A">
        <w:rPr>
          <w:rFonts w:ascii="Times New Roman" w:hAnsi="Times New Roman"/>
        </w:rPr>
        <w:t xml:space="preserve"> nor </w:t>
      </w:r>
      <w:r w:rsidR="006407A0" w:rsidRPr="00CB2E9A">
        <w:rPr>
          <w:rFonts w:ascii="Times New Roman" w:hAnsi="Times New Roman"/>
          <w:i/>
          <w:iCs/>
        </w:rPr>
        <w:t>BMW Australia Ltd v Brewster</w:t>
      </w:r>
      <w:r w:rsidR="006407A0" w:rsidRPr="00CB2E9A">
        <w:rPr>
          <w:rFonts w:ascii="Times New Roman" w:hAnsi="Times New Roman"/>
        </w:rPr>
        <w:t xml:space="preserve"> </w:t>
      </w:r>
      <w:r w:rsidR="004D0E7D" w:rsidRPr="00CB2E9A">
        <w:rPr>
          <w:rFonts w:ascii="Times New Roman" w:hAnsi="Times New Roman"/>
        </w:rPr>
        <w:t xml:space="preserve">determines that the Supreme Court does not have the power to order the </w:t>
      </w:r>
      <w:r w:rsidR="0023349D" w:rsidRPr="00CB2E9A">
        <w:rPr>
          <w:rFonts w:ascii="Times New Roman" w:hAnsi="Times New Roman"/>
        </w:rPr>
        <w:t xml:space="preserve">giving of </w:t>
      </w:r>
      <w:r w:rsidR="004D0E7D" w:rsidRPr="00CB2E9A">
        <w:rPr>
          <w:rFonts w:ascii="Times New Roman" w:hAnsi="Times New Roman"/>
        </w:rPr>
        <w:t xml:space="preserve">the </w:t>
      </w:r>
      <w:r w:rsidR="0023349D" w:rsidRPr="00CB2E9A">
        <w:rPr>
          <w:rFonts w:ascii="Times New Roman" w:hAnsi="Times New Roman"/>
        </w:rPr>
        <w:t xml:space="preserve">proposed notice. </w:t>
      </w:r>
      <w:r w:rsidR="0049619B" w:rsidRPr="00CB2E9A">
        <w:rPr>
          <w:rFonts w:ascii="Times New Roman" w:hAnsi="Times New Roman"/>
        </w:rPr>
        <w:t xml:space="preserve">The observation in </w:t>
      </w:r>
      <w:r w:rsidR="0049619B" w:rsidRPr="00CB2E9A">
        <w:rPr>
          <w:rFonts w:ascii="Times New Roman" w:hAnsi="Times New Roman"/>
          <w:i/>
          <w:iCs/>
        </w:rPr>
        <w:t>Mobil Oil</w:t>
      </w:r>
      <w:r w:rsidR="0049619B" w:rsidRPr="00CB2E9A">
        <w:rPr>
          <w:rFonts w:ascii="Times New Roman" w:hAnsi="Times New Roman"/>
        </w:rPr>
        <w:t xml:space="preserve"> that </w:t>
      </w:r>
      <w:r w:rsidR="00433248" w:rsidRPr="00CB2E9A">
        <w:rPr>
          <w:rFonts w:ascii="Times New Roman" w:hAnsi="Times New Roman"/>
        </w:rPr>
        <w:t>"</w:t>
      </w:r>
      <w:r w:rsidR="0049619B" w:rsidRPr="00CB2E9A">
        <w:rPr>
          <w:rFonts w:ascii="Times New Roman" w:hAnsi="Times New Roman"/>
        </w:rPr>
        <w:t>[g]roup members</w:t>
      </w:r>
      <w:r w:rsidR="002E5037" w:rsidRPr="00CB2E9A">
        <w:rPr>
          <w:rFonts w:ascii="Times New Roman" w:hAnsi="Times New Roman"/>
        </w:rPr>
        <w:t> </w:t>
      </w:r>
      <w:r w:rsidR="0049619B" w:rsidRPr="00CB2E9A">
        <w:rPr>
          <w:rFonts w:ascii="Times New Roman" w:hAnsi="Times New Roman"/>
        </w:rPr>
        <w:t>…</w:t>
      </w:r>
      <w:r w:rsidR="002E5037" w:rsidRPr="00CB2E9A">
        <w:rPr>
          <w:rFonts w:ascii="Times New Roman" w:hAnsi="Times New Roman"/>
        </w:rPr>
        <w:t> </w:t>
      </w:r>
      <w:r w:rsidR="0049619B" w:rsidRPr="00CB2E9A">
        <w:rPr>
          <w:rFonts w:ascii="Times New Roman" w:hAnsi="Times New Roman"/>
        </w:rPr>
        <w:t>need take no positive step in the prosecution of the proceeding to judgment to gain whatever benefit its prosecution may bring</w:t>
      </w:r>
      <w:r w:rsidR="00433248" w:rsidRPr="00CB2E9A">
        <w:rPr>
          <w:rFonts w:ascii="Times New Roman" w:hAnsi="Times New Roman"/>
        </w:rPr>
        <w:t>"</w:t>
      </w:r>
      <w:r w:rsidR="0049619B" w:rsidRPr="00CB2E9A">
        <w:rPr>
          <w:rStyle w:val="FootnoteReference"/>
          <w:rFonts w:ascii="Times New Roman" w:hAnsi="Times New Roman"/>
          <w:sz w:val="24"/>
        </w:rPr>
        <w:footnoteReference w:id="51"/>
      </w:r>
      <w:r w:rsidR="0049619B" w:rsidRPr="00CB2E9A">
        <w:rPr>
          <w:rFonts w:ascii="Times New Roman" w:hAnsi="Times New Roman"/>
        </w:rPr>
        <w:t xml:space="preserve"> should be understood to reflect the general architecture of the statutory scheme, not </w:t>
      </w:r>
      <w:r w:rsidR="0026166B" w:rsidRPr="00CB2E9A">
        <w:rPr>
          <w:rFonts w:ascii="Times New Roman" w:hAnsi="Times New Roman"/>
        </w:rPr>
        <w:t xml:space="preserve">to embody </w:t>
      </w:r>
      <w:r w:rsidR="0049619B" w:rsidRPr="00CB2E9A">
        <w:rPr>
          <w:rFonts w:ascii="Times New Roman" w:hAnsi="Times New Roman"/>
        </w:rPr>
        <w:t xml:space="preserve">a constraint on </w:t>
      </w:r>
      <w:r w:rsidR="009944C4" w:rsidRPr="00CB2E9A">
        <w:rPr>
          <w:rFonts w:ascii="Times New Roman" w:hAnsi="Times New Roman"/>
        </w:rPr>
        <w:t xml:space="preserve">the Supreme Court's </w:t>
      </w:r>
      <w:r w:rsidR="0049619B" w:rsidRPr="00CB2E9A">
        <w:rPr>
          <w:rFonts w:ascii="Times New Roman" w:hAnsi="Times New Roman"/>
        </w:rPr>
        <w:t xml:space="preserve">power to </w:t>
      </w:r>
      <w:r w:rsidR="009944C4" w:rsidRPr="00CB2E9A">
        <w:rPr>
          <w:rFonts w:ascii="Times New Roman" w:hAnsi="Times New Roman"/>
        </w:rPr>
        <w:t xml:space="preserve">give notice of any matter </w:t>
      </w:r>
      <w:r w:rsidR="00CF3EE7" w:rsidRPr="00CB2E9A">
        <w:rPr>
          <w:rFonts w:ascii="Times New Roman" w:hAnsi="Times New Roman"/>
        </w:rPr>
        <w:t>relevant</w:t>
      </w:r>
      <w:r w:rsidR="009944C4" w:rsidRPr="00CB2E9A">
        <w:rPr>
          <w:rFonts w:ascii="Times New Roman" w:hAnsi="Times New Roman"/>
        </w:rPr>
        <w:t xml:space="preserve"> to the doing of justice between the parties both </w:t>
      </w:r>
      <w:r w:rsidR="00CF3EE7" w:rsidRPr="00CB2E9A">
        <w:rPr>
          <w:rFonts w:ascii="Times New Roman" w:hAnsi="Times New Roman"/>
        </w:rPr>
        <w:t xml:space="preserve">immediately and in the future. The essential point of </w:t>
      </w:r>
      <w:r w:rsidR="0026166B" w:rsidRPr="00CB2E9A">
        <w:rPr>
          <w:rFonts w:ascii="Times New Roman" w:hAnsi="Times New Roman"/>
          <w:i/>
          <w:iCs/>
        </w:rPr>
        <w:t>BMW Australia Ltd v Brewster</w:t>
      </w:r>
      <w:r w:rsidR="0026166B" w:rsidRPr="00CB2E9A">
        <w:rPr>
          <w:rFonts w:ascii="Times New Roman" w:hAnsi="Times New Roman"/>
        </w:rPr>
        <w:t xml:space="preserve"> </w:t>
      </w:r>
      <w:r w:rsidR="00CF3EE7" w:rsidRPr="00CB2E9A">
        <w:rPr>
          <w:rFonts w:ascii="Times New Roman" w:hAnsi="Times New Roman"/>
        </w:rPr>
        <w:t xml:space="preserve">was </w:t>
      </w:r>
      <w:r w:rsidR="006407A0" w:rsidRPr="00CB2E9A">
        <w:rPr>
          <w:rFonts w:ascii="Times New Roman" w:hAnsi="Times New Roman"/>
        </w:rPr>
        <w:t xml:space="preserve">that the proposed notice of the </w:t>
      </w:r>
      <w:r w:rsidR="0038283B" w:rsidRPr="00CB2E9A">
        <w:rPr>
          <w:rFonts w:ascii="Times New Roman" w:hAnsi="Times New Roman"/>
        </w:rPr>
        <w:t>common fund order was not within the general power of s 183 of the CPA because</w:t>
      </w:r>
      <w:r w:rsidR="00E375B9" w:rsidRPr="00CB2E9A">
        <w:rPr>
          <w:rFonts w:ascii="Times New Roman" w:hAnsi="Times New Roman"/>
        </w:rPr>
        <w:t xml:space="preserve">, given the function of s 183 in the statutory scheme as a supplementary or gap-filling power, </w:t>
      </w:r>
      <w:r w:rsidR="00DC00C8" w:rsidRPr="00CB2E9A">
        <w:rPr>
          <w:rFonts w:ascii="Times New Roman" w:hAnsi="Times New Roman"/>
        </w:rPr>
        <w:t xml:space="preserve">the section did not </w:t>
      </w:r>
      <w:r w:rsidR="0026166B" w:rsidRPr="00CB2E9A">
        <w:rPr>
          <w:rFonts w:ascii="Times New Roman" w:hAnsi="Times New Roman"/>
        </w:rPr>
        <w:t xml:space="preserve">enable </w:t>
      </w:r>
      <w:r w:rsidR="00DC00C8" w:rsidRPr="00CB2E9A">
        <w:rPr>
          <w:rFonts w:ascii="Times New Roman" w:hAnsi="Times New Roman"/>
        </w:rPr>
        <w:t>the making of orders not directed to the doing of justice between the parties but, rather, directed to ensuring the proceedings could be maintained as a matter of their commercial viability.</w:t>
      </w:r>
      <w:r w:rsidR="0026166B" w:rsidRPr="00CB2E9A">
        <w:rPr>
          <w:rFonts w:ascii="Times New Roman" w:hAnsi="Times New Roman"/>
        </w:rPr>
        <w:t xml:space="preserve"> That is a different point from the </w:t>
      </w:r>
      <w:r w:rsidR="002A434E" w:rsidRPr="00CB2E9A">
        <w:rPr>
          <w:rFonts w:ascii="Times New Roman" w:hAnsi="Times New Roman"/>
        </w:rPr>
        <w:t>power to give the proposed notice under s 175(5) of the CPA.</w:t>
      </w:r>
    </w:p>
    <w:p w14:paraId="06995510" w14:textId="0B968561" w:rsidR="00FC4341" w:rsidRPr="00CB2E9A" w:rsidRDefault="000E37E3" w:rsidP="00CB2E9A">
      <w:pPr>
        <w:pStyle w:val="FixListStyle"/>
        <w:spacing w:after="260" w:line="280" w:lineRule="exact"/>
        <w:ind w:right="0"/>
        <w:jc w:val="both"/>
        <w:rPr>
          <w:rFonts w:ascii="Times New Roman" w:hAnsi="Times New Roman"/>
        </w:rPr>
      </w:pPr>
      <w:r w:rsidRPr="00CB2E9A">
        <w:rPr>
          <w:rFonts w:ascii="Times New Roman" w:hAnsi="Times New Roman"/>
        </w:rPr>
        <w:lastRenderedPageBreak/>
        <w:tab/>
        <w:t xml:space="preserve">If, as is the case, the </w:t>
      </w:r>
      <w:r w:rsidR="002A434E" w:rsidRPr="00CB2E9A">
        <w:rPr>
          <w:rFonts w:ascii="Times New Roman" w:hAnsi="Times New Roman"/>
        </w:rPr>
        <w:t xml:space="preserve">Supreme </w:t>
      </w:r>
      <w:r w:rsidRPr="00CB2E9A">
        <w:rPr>
          <w:rFonts w:ascii="Times New Roman" w:hAnsi="Times New Roman"/>
        </w:rPr>
        <w:t>Court can make an order as part of the approval of a settlement under s 173(2) of the CPA to the effect that a group member who has neither opted out nor registered to participate in the proceeding before a specified date shall not be permitted</w:t>
      </w:r>
      <w:r w:rsidR="005A2DEE" w:rsidRPr="00CB2E9A">
        <w:rPr>
          <w:rFonts w:ascii="Times New Roman" w:hAnsi="Times New Roman"/>
        </w:rPr>
        <w:t xml:space="preserve"> without leave of the Court</w:t>
      </w:r>
      <w:r w:rsidRPr="00CB2E9A">
        <w:rPr>
          <w:rFonts w:ascii="Times New Roman" w:hAnsi="Times New Roman"/>
        </w:rPr>
        <w:t xml:space="preserve"> to seek any benefit pursuant to the settlement, </w:t>
      </w:r>
      <w:r w:rsidR="002A434E" w:rsidRPr="00CB2E9A">
        <w:rPr>
          <w:rFonts w:ascii="Times New Roman" w:hAnsi="Times New Roman"/>
        </w:rPr>
        <w:t>it necessarily follows that</w:t>
      </w:r>
      <w:r w:rsidR="00DA659D" w:rsidRPr="00CB2E9A">
        <w:rPr>
          <w:rFonts w:ascii="Times New Roman" w:hAnsi="Times New Roman"/>
        </w:rPr>
        <w:t xml:space="preserve">, without express words to the contrary, </w:t>
      </w:r>
      <w:r w:rsidRPr="00CB2E9A">
        <w:rPr>
          <w:rFonts w:ascii="Times New Roman" w:hAnsi="Times New Roman"/>
        </w:rPr>
        <w:t xml:space="preserve">there is no justification in the text, context or </w:t>
      </w:r>
      <w:r w:rsidR="00C40966" w:rsidRPr="00CB2E9A">
        <w:rPr>
          <w:rFonts w:ascii="Times New Roman" w:hAnsi="Times New Roman"/>
        </w:rPr>
        <w:t xml:space="preserve">apparent purpose of s 175(5) to construe that provision as not empowering the Supreme Court to order </w:t>
      </w:r>
      <w:r w:rsidR="00DA659D" w:rsidRPr="00CB2E9A">
        <w:rPr>
          <w:rFonts w:ascii="Times New Roman" w:hAnsi="Times New Roman"/>
        </w:rPr>
        <w:t xml:space="preserve">the giving of the proposed </w:t>
      </w:r>
      <w:r w:rsidR="00C40966" w:rsidRPr="00CB2E9A">
        <w:rPr>
          <w:rFonts w:ascii="Times New Roman" w:hAnsi="Times New Roman"/>
        </w:rPr>
        <w:t>notice</w:t>
      </w:r>
      <w:r w:rsidR="00DA659D" w:rsidRPr="00CB2E9A">
        <w:rPr>
          <w:rFonts w:ascii="Times New Roman" w:hAnsi="Times New Roman"/>
        </w:rPr>
        <w:t>.</w:t>
      </w:r>
      <w:r w:rsidR="00C40966" w:rsidRPr="00CB2E9A">
        <w:rPr>
          <w:rFonts w:ascii="Times New Roman" w:hAnsi="Times New Roman"/>
        </w:rPr>
        <w:t xml:space="preserve"> </w:t>
      </w:r>
      <w:r w:rsidR="00FC4341" w:rsidRPr="00CB2E9A">
        <w:rPr>
          <w:rFonts w:ascii="Times New Roman" w:hAnsi="Times New Roman"/>
        </w:rPr>
        <w:t>T</w:t>
      </w:r>
      <w:r w:rsidR="00DA659D" w:rsidRPr="00CB2E9A">
        <w:rPr>
          <w:rFonts w:ascii="Times New Roman" w:hAnsi="Times New Roman"/>
        </w:rPr>
        <w:t xml:space="preserve">his is because </w:t>
      </w:r>
      <w:r w:rsidR="00FC4341" w:rsidRPr="00CB2E9A">
        <w:rPr>
          <w:rFonts w:ascii="Times New Roman" w:hAnsi="Times New Roman"/>
        </w:rPr>
        <w:t xml:space="preserve">the doing of justice between the parties includes ensuring group members are kept informed of matters relevant to them in the representative proceeding. The </w:t>
      </w:r>
      <w:r w:rsidR="00BE769D" w:rsidRPr="00CB2E9A">
        <w:rPr>
          <w:rFonts w:ascii="Times New Roman" w:hAnsi="Times New Roman"/>
        </w:rPr>
        <w:t>present intention of at least Lendlease to seek the making of an order at any settlement approval hearing which Lendlease can seek</w:t>
      </w:r>
      <w:r w:rsidR="007D7624" w:rsidRPr="00CB2E9A">
        <w:rPr>
          <w:rFonts w:ascii="Times New Roman" w:hAnsi="Times New Roman"/>
        </w:rPr>
        <w:t>,</w:t>
      </w:r>
      <w:r w:rsidR="00BE769D" w:rsidRPr="00CB2E9A">
        <w:rPr>
          <w:rFonts w:ascii="Times New Roman" w:hAnsi="Times New Roman"/>
        </w:rPr>
        <w:t xml:space="preserve"> and the Supreme Court can make</w:t>
      </w:r>
      <w:r w:rsidR="007D7624" w:rsidRPr="00CB2E9A">
        <w:rPr>
          <w:rFonts w:ascii="Times New Roman" w:hAnsi="Times New Roman"/>
        </w:rPr>
        <w:t>,</w:t>
      </w:r>
      <w:r w:rsidR="00BE769D" w:rsidRPr="00CB2E9A">
        <w:rPr>
          <w:rFonts w:ascii="Times New Roman" w:hAnsi="Times New Roman"/>
        </w:rPr>
        <w:t xml:space="preserve"> </w:t>
      </w:r>
      <w:r w:rsidR="007D7624" w:rsidRPr="00CB2E9A">
        <w:rPr>
          <w:rFonts w:ascii="Times New Roman" w:hAnsi="Times New Roman"/>
        </w:rPr>
        <w:t>is a matter relevant to group members in the representative proceeding.</w:t>
      </w:r>
    </w:p>
    <w:p w14:paraId="2A884BFC" w14:textId="31CF62AE" w:rsidR="000E37E3" w:rsidRPr="00CB2E9A" w:rsidRDefault="007D7624"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622F7E" w:rsidRPr="00CB2E9A">
        <w:rPr>
          <w:rFonts w:ascii="Times New Roman" w:hAnsi="Times New Roman"/>
        </w:rPr>
        <w:t xml:space="preserve">There is no meaningful analogy between </w:t>
      </w:r>
      <w:r w:rsidR="003340A8" w:rsidRPr="00CB2E9A">
        <w:rPr>
          <w:rFonts w:ascii="Times New Roman" w:hAnsi="Times New Roman"/>
        </w:rPr>
        <w:t xml:space="preserve">(on the one hand) </w:t>
      </w:r>
      <w:r w:rsidR="00622F7E" w:rsidRPr="00CB2E9A">
        <w:rPr>
          <w:rFonts w:ascii="Times New Roman" w:hAnsi="Times New Roman"/>
        </w:rPr>
        <w:t>a provision such as s 183 of the CPA, as a gap-fil</w:t>
      </w:r>
      <w:r w:rsidR="00263178" w:rsidRPr="00CB2E9A">
        <w:rPr>
          <w:rFonts w:ascii="Times New Roman" w:hAnsi="Times New Roman"/>
        </w:rPr>
        <w:t>l</w:t>
      </w:r>
      <w:r w:rsidR="00622F7E" w:rsidRPr="00CB2E9A">
        <w:rPr>
          <w:rFonts w:ascii="Times New Roman" w:hAnsi="Times New Roman"/>
        </w:rPr>
        <w:t>ing or supplem</w:t>
      </w:r>
      <w:r w:rsidR="00263178" w:rsidRPr="00CB2E9A">
        <w:rPr>
          <w:rFonts w:ascii="Times New Roman" w:hAnsi="Times New Roman"/>
        </w:rPr>
        <w:t>en</w:t>
      </w:r>
      <w:r w:rsidR="00622F7E" w:rsidRPr="00CB2E9A">
        <w:rPr>
          <w:rFonts w:ascii="Times New Roman" w:hAnsi="Times New Roman"/>
        </w:rPr>
        <w:t xml:space="preserve">tary provision, </w:t>
      </w:r>
      <w:r w:rsidR="00263178" w:rsidRPr="00CB2E9A">
        <w:rPr>
          <w:rFonts w:ascii="Times New Roman" w:hAnsi="Times New Roman"/>
        </w:rPr>
        <w:t xml:space="preserve">not functioning to empower orders that the statutory scheme </w:t>
      </w:r>
      <w:r w:rsidR="00B441A5" w:rsidRPr="00CB2E9A">
        <w:rPr>
          <w:rFonts w:ascii="Times New Roman" w:hAnsi="Times New Roman"/>
        </w:rPr>
        <w:t xml:space="preserve">does not </w:t>
      </w:r>
      <w:r w:rsidR="00263178" w:rsidRPr="00CB2E9A">
        <w:rPr>
          <w:rFonts w:ascii="Times New Roman" w:hAnsi="Times New Roman"/>
        </w:rPr>
        <w:t xml:space="preserve">contemplate may be made at all to do justice between the parties or </w:t>
      </w:r>
      <w:r w:rsidR="00BE088B" w:rsidRPr="00CB2E9A">
        <w:rPr>
          <w:rFonts w:ascii="Times New Roman" w:hAnsi="Times New Roman"/>
        </w:rPr>
        <w:t xml:space="preserve">contemplates </w:t>
      </w:r>
      <w:r w:rsidR="00263178" w:rsidRPr="00CB2E9A">
        <w:rPr>
          <w:rFonts w:ascii="Times New Roman" w:hAnsi="Times New Roman"/>
        </w:rPr>
        <w:t xml:space="preserve">may only be made as part of the approval of any settlement or giving of any award of damages and </w:t>
      </w:r>
      <w:r w:rsidR="003340A8" w:rsidRPr="00CB2E9A">
        <w:rPr>
          <w:rFonts w:ascii="Times New Roman" w:hAnsi="Times New Roman"/>
        </w:rPr>
        <w:t>(on the other hand) a notice</w:t>
      </w:r>
      <w:r w:rsidR="00467031" w:rsidRPr="00CB2E9A">
        <w:rPr>
          <w:rFonts w:ascii="Times New Roman" w:hAnsi="Times New Roman"/>
        </w:rPr>
        <w:t>-</w:t>
      </w:r>
      <w:r w:rsidR="003340A8" w:rsidRPr="00CB2E9A">
        <w:rPr>
          <w:rFonts w:ascii="Times New Roman" w:hAnsi="Times New Roman"/>
        </w:rPr>
        <w:t>giving provision such as s 175(5) of the CPA</w:t>
      </w:r>
      <w:r w:rsidR="00261CBC" w:rsidRPr="00CB2E9A">
        <w:rPr>
          <w:rFonts w:ascii="Times New Roman" w:hAnsi="Times New Roman"/>
        </w:rPr>
        <w:t>,</w:t>
      </w:r>
      <w:r w:rsidR="00713BDE" w:rsidRPr="00CB2E9A">
        <w:rPr>
          <w:rFonts w:ascii="Times New Roman" w:hAnsi="Times New Roman"/>
        </w:rPr>
        <w:t xml:space="preserve"> the </w:t>
      </w:r>
      <w:r w:rsidR="00D46FAA" w:rsidRPr="00CB2E9A">
        <w:rPr>
          <w:rFonts w:ascii="Times New Roman" w:hAnsi="Times New Roman"/>
        </w:rPr>
        <w:t>purpose</w:t>
      </w:r>
      <w:r w:rsidR="00713BDE" w:rsidRPr="00CB2E9A">
        <w:rPr>
          <w:rFonts w:ascii="Times New Roman" w:hAnsi="Times New Roman"/>
        </w:rPr>
        <w:t xml:space="preserve"> of which should be understood </w:t>
      </w:r>
      <w:r w:rsidR="00261CBC" w:rsidRPr="00CB2E9A">
        <w:rPr>
          <w:rFonts w:ascii="Times New Roman" w:hAnsi="Times New Roman"/>
        </w:rPr>
        <w:t xml:space="preserve">as providing a mechanism to ensure </w:t>
      </w:r>
      <w:r w:rsidR="00D46FAA" w:rsidRPr="00CB2E9A">
        <w:rPr>
          <w:rFonts w:ascii="Times New Roman" w:hAnsi="Times New Roman"/>
        </w:rPr>
        <w:t xml:space="preserve">that group members are kept informed of </w:t>
      </w:r>
      <w:r w:rsidR="00261CBC" w:rsidRPr="00CB2E9A">
        <w:rPr>
          <w:rFonts w:ascii="Times New Roman" w:hAnsi="Times New Roman"/>
        </w:rPr>
        <w:t xml:space="preserve">all </w:t>
      </w:r>
      <w:r w:rsidR="00D46FAA" w:rsidRPr="00CB2E9A">
        <w:rPr>
          <w:rFonts w:ascii="Times New Roman" w:hAnsi="Times New Roman"/>
        </w:rPr>
        <w:t xml:space="preserve">matters relevant to them in the representative </w:t>
      </w:r>
      <w:r w:rsidR="00F6196A" w:rsidRPr="00CB2E9A">
        <w:rPr>
          <w:rFonts w:ascii="Times New Roman" w:hAnsi="Times New Roman"/>
        </w:rPr>
        <w:t>proceeding.</w:t>
      </w:r>
      <w:r w:rsidR="00D46FAA" w:rsidRPr="00CB2E9A">
        <w:rPr>
          <w:rFonts w:ascii="Times New Roman" w:hAnsi="Times New Roman"/>
        </w:rPr>
        <w:t xml:space="preserve"> </w:t>
      </w:r>
    </w:p>
    <w:p w14:paraId="3C247397" w14:textId="10D3FE08" w:rsidR="00F6196A" w:rsidRPr="00CB2E9A" w:rsidRDefault="00F6196A"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261CBC" w:rsidRPr="00CB2E9A">
        <w:rPr>
          <w:rFonts w:ascii="Times New Roman" w:hAnsi="Times New Roman"/>
        </w:rPr>
        <w:t>W</w:t>
      </w:r>
      <w:r w:rsidRPr="00CB2E9A">
        <w:rPr>
          <w:rFonts w:ascii="Times New Roman" w:hAnsi="Times New Roman"/>
        </w:rPr>
        <w:t>hile s</w:t>
      </w:r>
      <w:r w:rsidR="00E049EE" w:rsidRPr="00CB2E9A">
        <w:rPr>
          <w:rFonts w:ascii="Times New Roman" w:hAnsi="Times New Roman"/>
        </w:rPr>
        <w:t> </w:t>
      </w:r>
      <w:r w:rsidRPr="00CB2E9A">
        <w:rPr>
          <w:rFonts w:ascii="Times New Roman" w:hAnsi="Times New Roman"/>
        </w:rPr>
        <w:t>175(5) is to be construed in the context of s 175(6), the presence and terms of the latter provision are an insufficient basis to construe the words "any matter" in s</w:t>
      </w:r>
      <w:r w:rsidR="007D405A" w:rsidRPr="00CB2E9A">
        <w:rPr>
          <w:rFonts w:ascii="Times New Roman" w:hAnsi="Times New Roman"/>
        </w:rPr>
        <w:t> </w:t>
      </w:r>
      <w:r w:rsidRPr="00CB2E9A">
        <w:rPr>
          <w:rFonts w:ascii="Times New Roman" w:hAnsi="Times New Roman"/>
        </w:rPr>
        <w:t xml:space="preserve">175(5) as confined to only a matter constituting an event that has happened. </w:t>
      </w:r>
      <w:r w:rsidR="00822D59" w:rsidRPr="00CB2E9A">
        <w:rPr>
          <w:rFonts w:ascii="Times New Roman" w:hAnsi="Times New Roman"/>
        </w:rPr>
        <w:t xml:space="preserve">No doubt, if an event relevant to group members has occurred, s 175(6) functions to require notice to be given to </w:t>
      </w:r>
      <w:r w:rsidR="00C40A6F" w:rsidRPr="00CB2E9A">
        <w:rPr>
          <w:rFonts w:ascii="Times New Roman" w:hAnsi="Times New Roman"/>
        </w:rPr>
        <w:t>group members "as soon as practicable after the happening of the event"</w:t>
      </w:r>
      <w:r w:rsidR="00776E0D" w:rsidRPr="00CB2E9A">
        <w:rPr>
          <w:rFonts w:ascii="Times New Roman" w:hAnsi="Times New Roman"/>
        </w:rPr>
        <w:t>.</w:t>
      </w:r>
      <w:r w:rsidR="00C40A6F" w:rsidRPr="00CB2E9A">
        <w:rPr>
          <w:rFonts w:ascii="Times New Roman" w:hAnsi="Times New Roman"/>
        </w:rPr>
        <w:t xml:space="preserve"> But </w:t>
      </w:r>
      <w:r w:rsidR="00390E85" w:rsidRPr="00CB2E9A">
        <w:rPr>
          <w:rFonts w:ascii="Times New Roman" w:hAnsi="Times New Roman"/>
        </w:rPr>
        <w:t>imposing a temporal obligation on the giving of notice where an event has occurred by s</w:t>
      </w:r>
      <w:r w:rsidR="00776E0D" w:rsidRPr="00CB2E9A">
        <w:rPr>
          <w:rFonts w:ascii="Times New Roman" w:hAnsi="Times New Roman"/>
        </w:rPr>
        <w:t> </w:t>
      </w:r>
      <w:r w:rsidR="00390E85" w:rsidRPr="00CB2E9A">
        <w:rPr>
          <w:rFonts w:ascii="Times New Roman" w:hAnsi="Times New Roman"/>
        </w:rPr>
        <w:t xml:space="preserve">175(6) </w:t>
      </w:r>
      <w:r w:rsidR="00C40A6F" w:rsidRPr="00CB2E9A">
        <w:rPr>
          <w:rFonts w:ascii="Times New Roman" w:hAnsi="Times New Roman"/>
        </w:rPr>
        <w:t xml:space="preserve">does not mean s 175(5) is to be construed as </w:t>
      </w:r>
      <w:r w:rsidR="00390E85" w:rsidRPr="00CB2E9A">
        <w:rPr>
          <w:rFonts w:ascii="Times New Roman" w:hAnsi="Times New Roman"/>
        </w:rPr>
        <w:t xml:space="preserve">confined </w:t>
      </w:r>
      <w:r w:rsidR="00C40A6F" w:rsidRPr="00CB2E9A">
        <w:rPr>
          <w:rFonts w:ascii="Times New Roman" w:hAnsi="Times New Roman"/>
        </w:rPr>
        <w:t>to the giving of notice of such events</w:t>
      </w:r>
      <w:r w:rsidR="00390E85" w:rsidRPr="00CB2E9A">
        <w:rPr>
          <w:rFonts w:ascii="Times New Roman" w:hAnsi="Times New Roman"/>
        </w:rPr>
        <w:t>.</w:t>
      </w:r>
      <w:r w:rsidR="00C40A6F" w:rsidRPr="00CB2E9A">
        <w:rPr>
          <w:rFonts w:ascii="Times New Roman" w:hAnsi="Times New Roman"/>
        </w:rPr>
        <w:t xml:space="preserve"> </w:t>
      </w:r>
      <w:r w:rsidR="00923E4C" w:rsidRPr="00CB2E9A">
        <w:rPr>
          <w:rFonts w:ascii="Times New Roman" w:hAnsi="Times New Roman"/>
        </w:rPr>
        <w:t xml:space="preserve">In circumstances where the purpose of s 175(5) </w:t>
      </w:r>
      <w:r w:rsidR="00390E85" w:rsidRPr="00CB2E9A">
        <w:rPr>
          <w:rFonts w:ascii="Times New Roman" w:hAnsi="Times New Roman"/>
        </w:rPr>
        <w:t xml:space="preserve">is </w:t>
      </w:r>
      <w:r w:rsidR="00923E4C" w:rsidRPr="00CB2E9A">
        <w:rPr>
          <w:rFonts w:ascii="Times New Roman" w:hAnsi="Times New Roman"/>
        </w:rPr>
        <w:t xml:space="preserve">to ensure that group members are kept informed of "any matter" relevant to them in the </w:t>
      </w:r>
      <w:r w:rsidR="009D311D" w:rsidRPr="00CB2E9A">
        <w:rPr>
          <w:rFonts w:ascii="Times New Roman" w:hAnsi="Times New Roman"/>
        </w:rPr>
        <w:t xml:space="preserve">representative proceeding, the power in s 175(5) should be construed as liberally as its expansive language permits. The </w:t>
      </w:r>
      <w:r w:rsidR="00FD1A5E" w:rsidRPr="00CB2E9A">
        <w:rPr>
          <w:rFonts w:ascii="Times New Roman" w:hAnsi="Times New Roman"/>
        </w:rPr>
        <w:t xml:space="preserve">only </w:t>
      </w:r>
      <w:r w:rsidR="009D311D" w:rsidRPr="00CB2E9A">
        <w:rPr>
          <w:rFonts w:ascii="Times New Roman" w:hAnsi="Times New Roman"/>
        </w:rPr>
        <w:t>control on the scope of the power in s 175(5)</w:t>
      </w:r>
      <w:r w:rsidR="00390E85" w:rsidRPr="00CB2E9A">
        <w:rPr>
          <w:rFonts w:ascii="Times New Roman" w:hAnsi="Times New Roman"/>
        </w:rPr>
        <w:t xml:space="preserve"> therefore</w:t>
      </w:r>
      <w:r w:rsidR="009D311D" w:rsidRPr="00CB2E9A">
        <w:rPr>
          <w:rFonts w:ascii="Times New Roman" w:hAnsi="Times New Roman"/>
        </w:rPr>
        <w:t xml:space="preserve"> is </w:t>
      </w:r>
      <w:r w:rsidR="00473806" w:rsidRPr="00CB2E9A">
        <w:rPr>
          <w:rFonts w:ascii="Times New Roman" w:hAnsi="Times New Roman"/>
        </w:rPr>
        <w:t xml:space="preserve">relevance. The "matter", be it </w:t>
      </w:r>
      <w:r w:rsidR="00390E85" w:rsidRPr="00CB2E9A">
        <w:rPr>
          <w:rFonts w:ascii="Times New Roman" w:hAnsi="Times New Roman"/>
        </w:rPr>
        <w:t xml:space="preserve">an </w:t>
      </w:r>
      <w:r w:rsidR="00473806" w:rsidRPr="00CB2E9A">
        <w:rPr>
          <w:rFonts w:ascii="Times New Roman" w:hAnsi="Times New Roman"/>
        </w:rPr>
        <w:t xml:space="preserve">event that has occurred, </w:t>
      </w:r>
      <w:r w:rsidR="00390E85" w:rsidRPr="00CB2E9A">
        <w:rPr>
          <w:rFonts w:ascii="Times New Roman" w:hAnsi="Times New Roman"/>
        </w:rPr>
        <w:t xml:space="preserve">a </w:t>
      </w:r>
      <w:r w:rsidR="00473806" w:rsidRPr="00CB2E9A">
        <w:rPr>
          <w:rFonts w:ascii="Times New Roman" w:hAnsi="Times New Roman"/>
        </w:rPr>
        <w:t>future event,</w:t>
      </w:r>
      <w:r w:rsidR="00390E85" w:rsidRPr="00CB2E9A">
        <w:rPr>
          <w:rFonts w:ascii="Times New Roman" w:hAnsi="Times New Roman"/>
        </w:rPr>
        <w:t xml:space="preserve"> a</w:t>
      </w:r>
      <w:r w:rsidR="00473806" w:rsidRPr="00CB2E9A">
        <w:rPr>
          <w:rFonts w:ascii="Times New Roman" w:hAnsi="Times New Roman"/>
        </w:rPr>
        <w:t xml:space="preserve"> </w:t>
      </w:r>
      <w:r w:rsidR="00FD1A5E" w:rsidRPr="00CB2E9A">
        <w:rPr>
          <w:rFonts w:ascii="Times New Roman" w:hAnsi="Times New Roman"/>
        </w:rPr>
        <w:t>present intention, or otherwise, may be the subject of a notice under s 175(5) if it is relevant to group members in the representative proceeding.</w:t>
      </w:r>
    </w:p>
    <w:p w14:paraId="6FC3DB88" w14:textId="45D64C43" w:rsidR="001C05C9" w:rsidRPr="00CB2E9A" w:rsidRDefault="001C05C9"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390E85" w:rsidRPr="00CB2E9A">
        <w:rPr>
          <w:rFonts w:ascii="Times New Roman" w:hAnsi="Times New Roman"/>
        </w:rPr>
        <w:t xml:space="preserve">Further, </w:t>
      </w:r>
      <w:r w:rsidR="00A265EF" w:rsidRPr="00CB2E9A">
        <w:rPr>
          <w:rFonts w:ascii="Times New Roman" w:hAnsi="Times New Roman"/>
        </w:rPr>
        <w:t>it is one thing to conclude that a supplementary or gap</w:t>
      </w:r>
      <w:r w:rsidR="00C75192" w:rsidRPr="00CB2E9A">
        <w:rPr>
          <w:rFonts w:ascii="Times New Roman" w:hAnsi="Times New Roman"/>
        </w:rPr>
        <w:t>-</w:t>
      </w:r>
      <w:r w:rsidR="00AA7CB3" w:rsidRPr="00CB2E9A">
        <w:rPr>
          <w:rFonts w:ascii="Times New Roman" w:hAnsi="Times New Roman"/>
        </w:rPr>
        <w:t>f</w:t>
      </w:r>
      <w:r w:rsidR="00C75192" w:rsidRPr="00CB2E9A">
        <w:rPr>
          <w:rFonts w:ascii="Times New Roman" w:hAnsi="Times New Roman"/>
        </w:rPr>
        <w:t xml:space="preserve">illing </w:t>
      </w:r>
      <w:r w:rsidR="003C3609" w:rsidRPr="00CB2E9A">
        <w:rPr>
          <w:rFonts w:ascii="Times New Roman" w:hAnsi="Times New Roman"/>
        </w:rPr>
        <w:t>provisio</w:t>
      </w:r>
      <w:r w:rsidR="00552F3F" w:rsidRPr="00CB2E9A">
        <w:rPr>
          <w:rFonts w:ascii="Times New Roman" w:hAnsi="Times New Roman"/>
        </w:rPr>
        <w:t>n</w:t>
      </w:r>
      <w:r w:rsidR="003C3609" w:rsidRPr="00CB2E9A">
        <w:rPr>
          <w:rFonts w:ascii="Times New Roman" w:hAnsi="Times New Roman"/>
        </w:rPr>
        <w:t xml:space="preserve"> </w:t>
      </w:r>
      <w:r w:rsidR="00C75192" w:rsidRPr="00CB2E9A">
        <w:rPr>
          <w:rFonts w:ascii="Times New Roman" w:hAnsi="Times New Roman"/>
        </w:rPr>
        <w:t>such as s 183</w:t>
      </w:r>
      <w:r w:rsidR="0066014F" w:rsidRPr="00CB2E9A">
        <w:rPr>
          <w:rFonts w:ascii="Times New Roman" w:hAnsi="Times New Roman"/>
        </w:rPr>
        <w:t xml:space="preserve"> of the CPA</w:t>
      </w:r>
      <w:r w:rsidR="00C75192" w:rsidRPr="00CB2E9A">
        <w:rPr>
          <w:rFonts w:ascii="Times New Roman" w:hAnsi="Times New Roman"/>
        </w:rPr>
        <w:t xml:space="preserve"> does not enable the Supreme Court to make an order, before settlement negotiations, contingently extinguishing the rights of group members who have neither opted out nor registered their participation in a </w:t>
      </w:r>
      <w:r w:rsidR="00C75192" w:rsidRPr="00CB2E9A">
        <w:rPr>
          <w:rFonts w:ascii="Times New Roman" w:hAnsi="Times New Roman"/>
        </w:rPr>
        <w:lastRenderedPageBreak/>
        <w:t xml:space="preserve">representative proceeding (as in </w:t>
      </w:r>
      <w:r w:rsidR="00C75192" w:rsidRPr="00CB2E9A">
        <w:rPr>
          <w:rFonts w:ascii="Times New Roman" w:hAnsi="Times New Roman"/>
          <w:i/>
          <w:iCs/>
        </w:rPr>
        <w:t>Haselhurst</w:t>
      </w:r>
      <w:r w:rsidR="0041355D" w:rsidRPr="00CB2E9A">
        <w:rPr>
          <w:rStyle w:val="FootnoteReference"/>
          <w:rFonts w:ascii="Times New Roman" w:hAnsi="Times New Roman"/>
          <w:sz w:val="24"/>
        </w:rPr>
        <w:footnoteReference w:id="52"/>
      </w:r>
      <w:r w:rsidR="0041355D" w:rsidRPr="00CB2E9A">
        <w:rPr>
          <w:rFonts w:ascii="Times New Roman" w:hAnsi="Times New Roman"/>
        </w:rPr>
        <w:t>)</w:t>
      </w:r>
      <w:r w:rsidR="00C75192" w:rsidRPr="00CB2E9A">
        <w:rPr>
          <w:rFonts w:ascii="Times New Roman" w:hAnsi="Times New Roman"/>
        </w:rPr>
        <w:t xml:space="preserve">. </w:t>
      </w:r>
      <w:r w:rsidR="00E456BE" w:rsidRPr="00CB2E9A">
        <w:rPr>
          <w:rFonts w:ascii="Times New Roman" w:hAnsi="Times New Roman"/>
        </w:rPr>
        <w:t xml:space="preserve">The making of such an order before a hearing to approve any settlement </w:t>
      </w:r>
      <w:r w:rsidR="00971063" w:rsidRPr="00CB2E9A">
        <w:rPr>
          <w:rFonts w:ascii="Times New Roman" w:hAnsi="Times New Roman"/>
        </w:rPr>
        <w:t xml:space="preserve">is readily able to be </w:t>
      </w:r>
      <w:r w:rsidR="00363DF0" w:rsidRPr="00CB2E9A">
        <w:rPr>
          <w:rFonts w:ascii="Times New Roman" w:hAnsi="Times New Roman"/>
        </w:rPr>
        <w:t>characterised</w:t>
      </w:r>
      <w:r w:rsidR="00971063" w:rsidRPr="00CB2E9A">
        <w:rPr>
          <w:rFonts w:ascii="Times New Roman" w:hAnsi="Times New Roman"/>
        </w:rPr>
        <w:t xml:space="preserve"> as </w:t>
      </w:r>
      <w:r w:rsidR="00363DF0" w:rsidRPr="00CB2E9A">
        <w:rPr>
          <w:rFonts w:ascii="Times New Roman" w:hAnsi="Times New Roman"/>
        </w:rPr>
        <w:t xml:space="preserve">impermissibly </w:t>
      </w:r>
      <w:r w:rsidR="00971063" w:rsidRPr="00CB2E9A">
        <w:rPr>
          <w:rFonts w:ascii="Times New Roman" w:hAnsi="Times New Roman"/>
        </w:rPr>
        <w:t xml:space="preserve">usurping the </w:t>
      </w:r>
      <w:r w:rsidR="00363DF0" w:rsidRPr="00CB2E9A">
        <w:rPr>
          <w:rFonts w:ascii="Times New Roman" w:hAnsi="Times New Roman"/>
        </w:rPr>
        <w:t>capacity</w:t>
      </w:r>
      <w:r w:rsidR="00971063" w:rsidRPr="00CB2E9A">
        <w:rPr>
          <w:rFonts w:ascii="Times New Roman" w:hAnsi="Times New Roman"/>
        </w:rPr>
        <w:t xml:space="preserve"> of the </w:t>
      </w:r>
      <w:r w:rsidR="00363DF0" w:rsidRPr="00CB2E9A">
        <w:rPr>
          <w:rFonts w:ascii="Times New Roman" w:hAnsi="Times New Roman"/>
        </w:rPr>
        <w:t>Court</w:t>
      </w:r>
      <w:r w:rsidR="00971063" w:rsidRPr="00CB2E9A">
        <w:rPr>
          <w:rFonts w:ascii="Times New Roman" w:hAnsi="Times New Roman"/>
        </w:rPr>
        <w:t xml:space="preserve"> </w:t>
      </w:r>
      <w:r w:rsidR="00363DF0" w:rsidRPr="00CB2E9A">
        <w:rPr>
          <w:rFonts w:ascii="Times New Roman" w:hAnsi="Times New Roman"/>
        </w:rPr>
        <w:t>subsequently</w:t>
      </w:r>
      <w:r w:rsidR="00971063" w:rsidRPr="00CB2E9A">
        <w:rPr>
          <w:rFonts w:ascii="Times New Roman" w:hAnsi="Times New Roman"/>
        </w:rPr>
        <w:t>, at a</w:t>
      </w:r>
      <w:r w:rsidR="00363DF0" w:rsidRPr="00CB2E9A">
        <w:rPr>
          <w:rFonts w:ascii="Times New Roman" w:hAnsi="Times New Roman"/>
        </w:rPr>
        <w:t xml:space="preserve"> hearing for the approval of any settlement, to </w:t>
      </w:r>
      <w:r w:rsidR="0066014F" w:rsidRPr="00CB2E9A">
        <w:rPr>
          <w:rFonts w:ascii="Times New Roman" w:hAnsi="Times New Roman"/>
        </w:rPr>
        <w:t>perform</w:t>
      </w:r>
      <w:r w:rsidR="0041355D" w:rsidRPr="00CB2E9A">
        <w:rPr>
          <w:rFonts w:ascii="Times New Roman" w:hAnsi="Times New Roman"/>
        </w:rPr>
        <w:t xml:space="preserve"> the function which s 173(2) requires, </w:t>
      </w:r>
      <w:r w:rsidR="00FB200F" w:rsidRPr="00CB2E9A">
        <w:rPr>
          <w:rFonts w:ascii="Times New Roman" w:hAnsi="Times New Roman"/>
        </w:rPr>
        <w:t xml:space="preserve">namely </w:t>
      </w:r>
      <w:r w:rsidR="0041355D" w:rsidRPr="00CB2E9A">
        <w:rPr>
          <w:rFonts w:ascii="Times New Roman" w:hAnsi="Times New Roman"/>
        </w:rPr>
        <w:t xml:space="preserve">for the </w:t>
      </w:r>
      <w:r w:rsidR="0066014F" w:rsidRPr="00CB2E9A">
        <w:rPr>
          <w:rFonts w:ascii="Times New Roman" w:hAnsi="Times New Roman"/>
        </w:rPr>
        <w:t>Co</w:t>
      </w:r>
      <w:r w:rsidR="0041355D" w:rsidRPr="00CB2E9A">
        <w:rPr>
          <w:rFonts w:ascii="Times New Roman" w:hAnsi="Times New Roman"/>
        </w:rPr>
        <w:t xml:space="preserve">urt to make </w:t>
      </w:r>
      <w:r w:rsidR="0066014F" w:rsidRPr="00CB2E9A">
        <w:rPr>
          <w:rFonts w:ascii="Times New Roman" w:hAnsi="Times New Roman"/>
        </w:rPr>
        <w:t>"such orders as are just with respect to the distribution of any money"</w:t>
      </w:r>
      <w:r w:rsidR="003A2867" w:rsidRPr="00CB2E9A">
        <w:rPr>
          <w:rFonts w:ascii="Times New Roman" w:hAnsi="Times New Roman"/>
        </w:rPr>
        <w:t>.</w:t>
      </w:r>
      <w:r w:rsidR="0066014F" w:rsidRPr="00CB2E9A">
        <w:rPr>
          <w:rFonts w:ascii="Times New Roman" w:hAnsi="Times New Roman"/>
        </w:rPr>
        <w:t xml:space="preserve"> The making of such an order is </w:t>
      </w:r>
      <w:r w:rsidR="00185C99" w:rsidRPr="00CB2E9A">
        <w:rPr>
          <w:rFonts w:ascii="Times New Roman" w:hAnsi="Times New Roman"/>
        </w:rPr>
        <w:t xml:space="preserve">therefore </w:t>
      </w:r>
      <w:r w:rsidR="0066014F" w:rsidRPr="00CB2E9A">
        <w:rPr>
          <w:rFonts w:ascii="Times New Roman" w:hAnsi="Times New Roman"/>
        </w:rPr>
        <w:t xml:space="preserve">impermissible because it denies the Court the subsequent capacity, at the hearing for the approval of any settlement, to </w:t>
      </w:r>
      <w:r w:rsidR="00BE2CAE" w:rsidRPr="00CB2E9A">
        <w:rPr>
          <w:rFonts w:ascii="Times New Roman" w:hAnsi="Times New Roman"/>
        </w:rPr>
        <w:t>discharge its functions in accordance with s 173(2). It is another thing</w:t>
      </w:r>
      <w:r w:rsidR="00390E85" w:rsidRPr="00CB2E9A">
        <w:rPr>
          <w:rFonts w:ascii="Times New Roman" w:hAnsi="Times New Roman"/>
        </w:rPr>
        <w:t>, however,</w:t>
      </w:r>
      <w:r w:rsidR="00BE2CAE" w:rsidRPr="00CB2E9A">
        <w:rPr>
          <w:rFonts w:ascii="Times New Roman" w:hAnsi="Times New Roman"/>
        </w:rPr>
        <w:t xml:space="preserve"> to conclude that the Supreme Court, under an apparently </w:t>
      </w:r>
      <w:r w:rsidR="00997F6C" w:rsidRPr="00CB2E9A">
        <w:rPr>
          <w:rFonts w:ascii="Times New Roman" w:hAnsi="Times New Roman"/>
        </w:rPr>
        <w:t>plenary</w:t>
      </w:r>
      <w:r w:rsidR="00BE2CAE" w:rsidRPr="00CB2E9A">
        <w:rPr>
          <w:rFonts w:ascii="Times New Roman" w:hAnsi="Times New Roman"/>
        </w:rPr>
        <w:t xml:space="preserve"> provision for the giving of notice to group </w:t>
      </w:r>
      <w:r w:rsidR="00997F6C" w:rsidRPr="00CB2E9A">
        <w:rPr>
          <w:rFonts w:ascii="Times New Roman" w:hAnsi="Times New Roman"/>
        </w:rPr>
        <w:t>members such as s 175(5)</w:t>
      </w:r>
      <w:r w:rsidR="00BE2CAE" w:rsidRPr="00CB2E9A">
        <w:rPr>
          <w:rFonts w:ascii="Times New Roman" w:hAnsi="Times New Roman"/>
        </w:rPr>
        <w:t xml:space="preserve">, the </w:t>
      </w:r>
      <w:r w:rsidR="00997F6C" w:rsidRPr="00CB2E9A">
        <w:rPr>
          <w:rFonts w:ascii="Times New Roman" w:hAnsi="Times New Roman"/>
        </w:rPr>
        <w:t xml:space="preserve">manifest purpose of which is to keep them informed of any matter relevant to them in the representative proceeding, may not give a notice of such a relevant matter because </w:t>
      </w:r>
      <w:r w:rsidR="006403D5" w:rsidRPr="00CB2E9A">
        <w:rPr>
          <w:rFonts w:ascii="Times New Roman" w:hAnsi="Times New Roman"/>
        </w:rPr>
        <w:t xml:space="preserve">it </w:t>
      </w:r>
      <w:r w:rsidR="00B17E2A" w:rsidRPr="00CB2E9A">
        <w:rPr>
          <w:rFonts w:ascii="Times New Roman" w:hAnsi="Times New Roman"/>
        </w:rPr>
        <w:t xml:space="preserve">does or </w:t>
      </w:r>
      <w:r w:rsidR="006403D5" w:rsidRPr="00CB2E9A">
        <w:rPr>
          <w:rFonts w:ascii="Times New Roman" w:hAnsi="Times New Roman"/>
        </w:rPr>
        <w:t xml:space="preserve">might provide one or both parties with a forensic advantage they would not have had but for the giving of the notice. </w:t>
      </w:r>
    </w:p>
    <w:p w14:paraId="6FB1ABFE" w14:textId="51D04D33" w:rsidR="000546FB" w:rsidRPr="00CB2E9A" w:rsidRDefault="000546FB"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572E4C" w:rsidRPr="00CB2E9A">
        <w:rPr>
          <w:rFonts w:ascii="Times New Roman" w:hAnsi="Times New Roman"/>
        </w:rPr>
        <w:t>T</w:t>
      </w:r>
      <w:r w:rsidRPr="00CB2E9A">
        <w:rPr>
          <w:rFonts w:ascii="Times New Roman" w:hAnsi="Times New Roman"/>
        </w:rPr>
        <w:t>h</w:t>
      </w:r>
      <w:r w:rsidR="00B17E2A" w:rsidRPr="00CB2E9A">
        <w:rPr>
          <w:rFonts w:ascii="Times New Roman" w:hAnsi="Times New Roman"/>
        </w:rPr>
        <w:t>at the giving of notice of one or both part</w:t>
      </w:r>
      <w:r w:rsidR="00756CFD" w:rsidRPr="00CB2E9A">
        <w:rPr>
          <w:rFonts w:ascii="Times New Roman" w:hAnsi="Times New Roman"/>
        </w:rPr>
        <w:t>ie</w:t>
      </w:r>
      <w:r w:rsidR="00B17E2A" w:rsidRPr="00CB2E9A">
        <w:rPr>
          <w:rFonts w:ascii="Times New Roman" w:hAnsi="Times New Roman"/>
        </w:rPr>
        <w:t xml:space="preserve">s' intention to seek an order of the kind </w:t>
      </w:r>
      <w:r w:rsidR="004B1183" w:rsidRPr="00CB2E9A">
        <w:rPr>
          <w:rFonts w:ascii="Times New Roman" w:hAnsi="Times New Roman"/>
        </w:rPr>
        <w:t xml:space="preserve">foreshadowed by </w:t>
      </w:r>
      <w:r w:rsidR="00B17E2A" w:rsidRPr="00CB2E9A">
        <w:rPr>
          <w:rFonts w:ascii="Times New Roman" w:hAnsi="Times New Roman"/>
        </w:rPr>
        <w:t xml:space="preserve">the </w:t>
      </w:r>
      <w:r w:rsidR="00756CFD" w:rsidRPr="00CB2E9A">
        <w:rPr>
          <w:rFonts w:ascii="Times New Roman" w:hAnsi="Times New Roman"/>
        </w:rPr>
        <w:t>proposed</w:t>
      </w:r>
      <w:r w:rsidR="00B17E2A" w:rsidRPr="00CB2E9A">
        <w:rPr>
          <w:rFonts w:ascii="Times New Roman" w:hAnsi="Times New Roman"/>
        </w:rPr>
        <w:t xml:space="preserve"> notice does or might give </w:t>
      </w:r>
      <w:r w:rsidR="00756CFD" w:rsidRPr="00CB2E9A">
        <w:rPr>
          <w:rFonts w:ascii="Times New Roman" w:hAnsi="Times New Roman"/>
        </w:rPr>
        <w:t xml:space="preserve">one or both a forensic advantage </w:t>
      </w:r>
      <w:r w:rsidR="00572E4C" w:rsidRPr="00CB2E9A">
        <w:rPr>
          <w:rFonts w:ascii="Times New Roman" w:hAnsi="Times New Roman"/>
        </w:rPr>
        <w:t xml:space="preserve">also </w:t>
      </w:r>
      <w:r w:rsidR="00756CFD" w:rsidRPr="00CB2E9A">
        <w:rPr>
          <w:rFonts w:ascii="Times New Roman" w:hAnsi="Times New Roman"/>
        </w:rPr>
        <w:t xml:space="preserve">cannot be </w:t>
      </w:r>
      <w:r w:rsidR="00BA01B9" w:rsidRPr="00CB2E9A">
        <w:rPr>
          <w:rFonts w:ascii="Times New Roman" w:hAnsi="Times New Roman"/>
        </w:rPr>
        <w:t>considered</w:t>
      </w:r>
      <w:r w:rsidR="00756CFD" w:rsidRPr="00CB2E9A">
        <w:rPr>
          <w:rFonts w:ascii="Times New Roman" w:hAnsi="Times New Roman"/>
        </w:rPr>
        <w:t xml:space="preserve"> in isolation from other </w:t>
      </w:r>
      <w:r w:rsidR="00BA01B9" w:rsidRPr="00CB2E9A">
        <w:rPr>
          <w:rFonts w:ascii="Times New Roman" w:hAnsi="Times New Roman"/>
        </w:rPr>
        <w:t>aspects</w:t>
      </w:r>
      <w:r w:rsidR="00756CFD" w:rsidRPr="00CB2E9A">
        <w:rPr>
          <w:rFonts w:ascii="Times New Roman" w:hAnsi="Times New Roman"/>
        </w:rPr>
        <w:t xml:space="preserve"> of the practical context </w:t>
      </w:r>
      <w:r w:rsidR="00BA01B9" w:rsidRPr="00CB2E9A">
        <w:rPr>
          <w:rFonts w:ascii="Times New Roman" w:hAnsi="Times New Roman"/>
        </w:rPr>
        <w:t xml:space="preserve">in which the provisions operate. It is relevant to group members to know that, if a settlement is agreed between them, one or both parties intend to seek an order </w:t>
      </w:r>
      <w:r w:rsidR="00246510" w:rsidRPr="00CB2E9A">
        <w:rPr>
          <w:rFonts w:ascii="Times New Roman" w:hAnsi="Times New Roman"/>
        </w:rPr>
        <w:t>that a group member who has neither opted out nor registered to participate in the proceeding shall not be permitted</w:t>
      </w:r>
      <w:r w:rsidR="00F24E59" w:rsidRPr="00CB2E9A">
        <w:rPr>
          <w:rFonts w:ascii="Times New Roman" w:hAnsi="Times New Roman"/>
        </w:rPr>
        <w:t>, without leave of the Court,</w:t>
      </w:r>
      <w:r w:rsidR="00246510" w:rsidRPr="00CB2E9A">
        <w:rPr>
          <w:rFonts w:ascii="Times New Roman" w:hAnsi="Times New Roman"/>
        </w:rPr>
        <w:t xml:space="preserve"> to seek any benefit pursuant to any settlement (but will be bound by the settlement if approved). </w:t>
      </w:r>
      <w:r w:rsidR="00593BCA" w:rsidRPr="00CB2E9A">
        <w:rPr>
          <w:rFonts w:ascii="Times New Roman" w:hAnsi="Times New Roman"/>
        </w:rPr>
        <w:t>If group members are not given notice of that intention of one or both of the parties</w:t>
      </w:r>
      <w:r w:rsidR="0090419F" w:rsidRPr="00CB2E9A">
        <w:rPr>
          <w:rFonts w:ascii="Times New Roman" w:hAnsi="Times New Roman"/>
        </w:rPr>
        <w:t>,</w:t>
      </w:r>
      <w:r w:rsidR="00593BCA" w:rsidRPr="00CB2E9A">
        <w:rPr>
          <w:rFonts w:ascii="Times New Roman" w:hAnsi="Times New Roman"/>
        </w:rPr>
        <w:t xml:space="preserve"> that will not prevent </w:t>
      </w:r>
      <w:r w:rsidR="00855E15" w:rsidRPr="00CB2E9A">
        <w:rPr>
          <w:rFonts w:ascii="Times New Roman" w:hAnsi="Times New Roman"/>
        </w:rPr>
        <w:t xml:space="preserve">one or </w:t>
      </w:r>
      <w:r w:rsidR="00572E4C" w:rsidRPr="00CB2E9A">
        <w:rPr>
          <w:rFonts w:ascii="Times New Roman" w:hAnsi="Times New Roman"/>
        </w:rPr>
        <w:t xml:space="preserve">both </w:t>
      </w:r>
      <w:r w:rsidR="00855E15" w:rsidRPr="00CB2E9A">
        <w:rPr>
          <w:rFonts w:ascii="Times New Roman" w:hAnsi="Times New Roman"/>
        </w:rPr>
        <w:t xml:space="preserve">of the parties applying for such an order at a hearing for approval of the settlement. The difference will be that, if notice is given, </w:t>
      </w:r>
      <w:r w:rsidR="003727AC" w:rsidRPr="00CB2E9A">
        <w:rPr>
          <w:rFonts w:ascii="Times New Roman" w:hAnsi="Times New Roman"/>
        </w:rPr>
        <w:t>the part</w:t>
      </w:r>
      <w:r w:rsidR="008F3EB5" w:rsidRPr="00CB2E9A">
        <w:rPr>
          <w:rFonts w:ascii="Times New Roman" w:hAnsi="Times New Roman"/>
        </w:rPr>
        <w:t>y or part</w:t>
      </w:r>
      <w:r w:rsidR="003727AC" w:rsidRPr="00CB2E9A">
        <w:rPr>
          <w:rFonts w:ascii="Times New Roman" w:hAnsi="Times New Roman"/>
        </w:rPr>
        <w:t xml:space="preserve">ies applying for the order will be able to support their </w:t>
      </w:r>
      <w:r w:rsidR="002F469C" w:rsidRPr="00CB2E9A">
        <w:rPr>
          <w:rFonts w:ascii="Times New Roman" w:hAnsi="Times New Roman"/>
        </w:rPr>
        <w:t>application</w:t>
      </w:r>
      <w:r w:rsidR="003727AC" w:rsidRPr="00CB2E9A">
        <w:rPr>
          <w:rFonts w:ascii="Times New Roman" w:hAnsi="Times New Roman"/>
        </w:rPr>
        <w:t xml:space="preserve"> by submitting that group </w:t>
      </w:r>
      <w:r w:rsidR="002F469C" w:rsidRPr="00CB2E9A">
        <w:rPr>
          <w:rFonts w:ascii="Times New Roman" w:hAnsi="Times New Roman"/>
        </w:rPr>
        <w:t>members</w:t>
      </w:r>
      <w:r w:rsidR="003727AC" w:rsidRPr="00CB2E9A">
        <w:rPr>
          <w:rFonts w:ascii="Times New Roman" w:hAnsi="Times New Roman"/>
        </w:rPr>
        <w:t xml:space="preserve"> had an opportunity to </w:t>
      </w:r>
      <w:r w:rsidR="002F469C" w:rsidRPr="00CB2E9A">
        <w:rPr>
          <w:rFonts w:ascii="Times New Roman" w:hAnsi="Times New Roman"/>
        </w:rPr>
        <w:t>participate</w:t>
      </w:r>
      <w:r w:rsidR="003727AC" w:rsidRPr="00CB2E9A">
        <w:rPr>
          <w:rFonts w:ascii="Times New Roman" w:hAnsi="Times New Roman"/>
        </w:rPr>
        <w:t xml:space="preserve"> in the settlement by </w:t>
      </w:r>
      <w:r w:rsidR="002F469C" w:rsidRPr="00CB2E9A">
        <w:rPr>
          <w:rFonts w:ascii="Times New Roman" w:hAnsi="Times New Roman"/>
        </w:rPr>
        <w:t>registering</w:t>
      </w:r>
      <w:r w:rsidR="003727AC" w:rsidRPr="00CB2E9A">
        <w:rPr>
          <w:rFonts w:ascii="Times New Roman" w:hAnsi="Times New Roman"/>
        </w:rPr>
        <w:t xml:space="preserve"> if they so wished</w:t>
      </w:r>
      <w:r w:rsidR="002F469C" w:rsidRPr="00CB2E9A">
        <w:rPr>
          <w:rFonts w:ascii="Times New Roman" w:hAnsi="Times New Roman"/>
        </w:rPr>
        <w:t xml:space="preserve"> </w:t>
      </w:r>
      <w:r w:rsidR="00BB2B50" w:rsidRPr="00CB2E9A">
        <w:rPr>
          <w:rFonts w:ascii="Times New Roman" w:hAnsi="Times New Roman"/>
        </w:rPr>
        <w:t>but</w:t>
      </w:r>
      <w:r w:rsidR="002F469C" w:rsidRPr="00CB2E9A">
        <w:rPr>
          <w:rFonts w:ascii="Times New Roman" w:hAnsi="Times New Roman"/>
        </w:rPr>
        <w:t>, if no notice is given, the part</w:t>
      </w:r>
      <w:r w:rsidR="00E02564" w:rsidRPr="00CB2E9A">
        <w:rPr>
          <w:rFonts w:ascii="Times New Roman" w:hAnsi="Times New Roman"/>
        </w:rPr>
        <w:t>y or part</w:t>
      </w:r>
      <w:r w:rsidR="002F469C" w:rsidRPr="00CB2E9A">
        <w:rPr>
          <w:rFonts w:ascii="Times New Roman" w:hAnsi="Times New Roman"/>
        </w:rPr>
        <w:t xml:space="preserve">ies applying for the order will </w:t>
      </w:r>
      <w:r w:rsidR="008B7B61" w:rsidRPr="00CB2E9A">
        <w:rPr>
          <w:rFonts w:ascii="Times New Roman" w:hAnsi="Times New Roman"/>
        </w:rPr>
        <w:t xml:space="preserve">not </w:t>
      </w:r>
      <w:r w:rsidR="002F469C" w:rsidRPr="00CB2E9A">
        <w:rPr>
          <w:rFonts w:ascii="Times New Roman" w:hAnsi="Times New Roman"/>
        </w:rPr>
        <w:t xml:space="preserve">be able to support their application by making that submission. Either way, however, the </w:t>
      </w:r>
      <w:r w:rsidR="00EB0FB9" w:rsidRPr="00CB2E9A">
        <w:rPr>
          <w:rFonts w:ascii="Times New Roman" w:hAnsi="Times New Roman"/>
        </w:rPr>
        <w:t>function of the Supreme Court under s 173</w:t>
      </w:r>
      <w:r w:rsidR="00572E4C" w:rsidRPr="00CB2E9A">
        <w:rPr>
          <w:rFonts w:ascii="Times New Roman" w:hAnsi="Times New Roman"/>
        </w:rPr>
        <w:t xml:space="preserve"> </w:t>
      </w:r>
      <w:r w:rsidR="00EB0FB9" w:rsidRPr="00CB2E9A">
        <w:rPr>
          <w:rFonts w:ascii="Times New Roman" w:hAnsi="Times New Roman"/>
        </w:rPr>
        <w:t>remains the same</w:t>
      </w:r>
      <w:r w:rsidR="00D57B35" w:rsidRPr="00CB2E9A">
        <w:rPr>
          <w:rFonts w:ascii="Times New Roman" w:hAnsi="Times New Roman"/>
        </w:rPr>
        <w:t> </w:t>
      </w:r>
      <w:r w:rsidR="00F95EC2" w:rsidRPr="00CB2E9A">
        <w:rPr>
          <w:rFonts w:ascii="Times New Roman" w:hAnsi="Times New Roman"/>
        </w:rPr>
        <w:t>– </w:t>
      </w:r>
      <w:r w:rsidR="00EB0FB9" w:rsidRPr="00CB2E9A">
        <w:rPr>
          <w:rFonts w:ascii="Times New Roman" w:hAnsi="Times New Roman"/>
        </w:rPr>
        <w:t>to approve or not approve the settlement under s 173(1) and, if it approves the settlement, to "make such orders as are just with respect to the distribution of any money" under s 173(2). The</w:t>
      </w:r>
      <w:r w:rsidR="00572E4C" w:rsidRPr="00CB2E9A">
        <w:rPr>
          <w:rFonts w:ascii="Times New Roman" w:hAnsi="Times New Roman"/>
        </w:rPr>
        <w:t>refore,</w:t>
      </w:r>
      <w:r w:rsidR="00694382" w:rsidRPr="00CB2E9A">
        <w:rPr>
          <w:rFonts w:ascii="Times New Roman" w:hAnsi="Times New Roman"/>
        </w:rPr>
        <w:t xml:space="preserve"> in contrast to the circumstances in </w:t>
      </w:r>
      <w:r w:rsidR="00694382" w:rsidRPr="00CB2E9A">
        <w:rPr>
          <w:rFonts w:ascii="Times New Roman" w:hAnsi="Times New Roman"/>
          <w:i/>
          <w:iCs/>
        </w:rPr>
        <w:t>Haselhurst</w:t>
      </w:r>
      <w:r w:rsidR="00694382" w:rsidRPr="00CB2E9A">
        <w:rPr>
          <w:rFonts w:ascii="Times New Roman" w:hAnsi="Times New Roman"/>
        </w:rPr>
        <w:t>, ordering the</w:t>
      </w:r>
      <w:r w:rsidR="00EB0FB9" w:rsidRPr="00CB2E9A">
        <w:rPr>
          <w:rFonts w:ascii="Times New Roman" w:hAnsi="Times New Roman"/>
        </w:rPr>
        <w:t xml:space="preserve"> giving of the </w:t>
      </w:r>
      <w:r w:rsidR="00694382" w:rsidRPr="00CB2E9A">
        <w:rPr>
          <w:rFonts w:ascii="Times New Roman" w:hAnsi="Times New Roman"/>
        </w:rPr>
        <w:t xml:space="preserve">proposed </w:t>
      </w:r>
      <w:r w:rsidR="00EB0FB9" w:rsidRPr="00CB2E9A">
        <w:rPr>
          <w:rFonts w:ascii="Times New Roman" w:hAnsi="Times New Roman"/>
        </w:rPr>
        <w:t xml:space="preserve">notice does not impermissibly usurp any part of the </w:t>
      </w:r>
      <w:r w:rsidR="00694382" w:rsidRPr="00CB2E9A">
        <w:rPr>
          <w:rFonts w:ascii="Times New Roman" w:hAnsi="Times New Roman"/>
        </w:rPr>
        <w:t xml:space="preserve">Supreme </w:t>
      </w:r>
      <w:r w:rsidR="00EB0FB9" w:rsidRPr="00CB2E9A">
        <w:rPr>
          <w:rFonts w:ascii="Times New Roman" w:hAnsi="Times New Roman"/>
        </w:rPr>
        <w:t xml:space="preserve">Court's function under s 173 of the CPA. It does not </w:t>
      </w:r>
      <w:r w:rsidR="00D97001" w:rsidRPr="00CB2E9A">
        <w:rPr>
          <w:rFonts w:ascii="Times New Roman" w:hAnsi="Times New Roman"/>
        </w:rPr>
        <w:t>p</w:t>
      </w:r>
      <w:r w:rsidR="00EB0FB9" w:rsidRPr="00CB2E9A">
        <w:rPr>
          <w:rFonts w:ascii="Times New Roman" w:hAnsi="Times New Roman"/>
        </w:rPr>
        <w:t xml:space="preserve">revent the </w:t>
      </w:r>
      <w:r w:rsidR="00694382" w:rsidRPr="00CB2E9A">
        <w:rPr>
          <w:rFonts w:ascii="Times New Roman" w:hAnsi="Times New Roman"/>
        </w:rPr>
        <w:t xml:space="preserve">Supreme </w:t>
      </w:r>
      <w:r w:rsidR="00D97001" w:rsidRPr="00CB2E9A">
        <w:rPr>
          <w:rFonts w:ascii="Times New Roman" w:hAnsi="Times New Roman"/>
        </w:rPr>
        <w:t>Court</w:t>
      </w:r>
      <w:r w:rsidR="00EB0FB9" w:rsidRPr="00CB2E9A">
        <w:rPr>
          <w:rFonts w:ascii="Times New Roman" w:hAnsi="Times New Roman"/>
        </w:rPr>
        <w:t xml:space="preserve"> from </w:t>
      </w:r>
      <w:r w:rsidR="00D97001" w:rsidRPr="00CB2E9A">
        <w:rPr>
          <w:rFonts w:ascii="Times New Roman" w:hAnsi="Times New Roman"/>
        </w:rPr>
        <w:t>discharging</w:t>
      </w:r>
      <w:r w:rsidR="00EB0FB9" w:rsidRPr="00CB2E9A">
        <w:rPr>
          <w:rFonts w:ascii="Times New Roman" w:hAnsi="Times New Roman"/>
        </w:rPr>
        <w:t xml:space="preserve"> that function as required. It does no more than provide </w:t>
      </w:r>
      <w:r w:rsidR="0030783C" w:rsidRPr="00CB2E9A">
        <w:rPr>
          <w:rFonts w:ascii="Times New Roman" w:hAnsi="Times New Roman"/>
        </w:rPr>
        <w:t xml:space="preserve">notice to group members of </w:t>
      </w:r>
      <w:r w:rsidR="00EB0FB9" w:rsidRPr="00CB2E9A">
        <w:rPr>
          <w:rFonts w:ascii="Times New Roman" w:hAnsi="Times New Roman"/>
        </w:rPr>
        <w:t xml:space="preserve">one fact, amongst </w:t>
      </w:r>
      <w:r w:rsidR="00D97001" w:rsidRPr="00CB2E9A">
        <w:rPr>
          <w:rFonts w:ascii="Times New Roman" w:hAnsi="Times New Roman"/>
        </w:rPr>
        <w:t xml:space="preserve">numerous other facts, </w:t>
      </w:r>
      <w:r w:rsidR="00907420" w:rsidRPr="00CB2E9A">
        <w:rPr>
          <w:rFonts w:ascii="Times New Roman" w:hAnsi="Times New Roman"/>
        </w:rPr>
        <w:t xml:space="preserve">potentially </w:t>
      </w:r>
      <w:r w:rsidR="00D97001" w:rsidRPr="00CB2E9A">
        <w:rPr>
          <w:rFonts w:ascii="Times New Roman" w:hAnsi="Times New Roman"/>
        </w:rPr>
        <w:t>relevant to the Court exercising its powers under s 173. In so providing</w:t>
      </w:r>
      <w:r w:rsidR="00F900D4" w:rsidRPr="00CB2E9A">
        <w:rPr>
          <w:rFonts w:ascii="Times New Roman" w:hAnsi="Times New Roman"/>
        </w:rPr>
        <w:t xml:space="preserve">, the giving of the proposed notice also fulfils the purpose of s 175(5) by ensuring group members are kept informed of a </w:t>
      </w:r>
      <w:r w:rsidR="00F900D4" w:rsidRPr="00CB2E9A">
        <w:rPr>
          <w:rFonts w:ascii="Times New Roman" w:hAnsi="Times New Roman"/>
        </w:rPr>
        <w:lastRenderedPageBreak/>
        <w:t>matter relevant to them in the representat</w:t>
      </w:r>
      <w:r w:rsidR="00EC422D" w:rsidRPr="00CB2E9A">
        <w:rPr>
          <w:rFonts w:ascii="Times New Roman" w:hAnsi="Times New Roman"/>
        </w:rPr>
        <w:t>i</w:t>
      </w:r>
      <w:r w:rsidR="00F900D4" w:rsidRPr="00CB2E9A">
        <w:rPr>
          <w:rFonts w:ascii="Times New Roman" w:hAnsi="Times New Roman"/>
        </w:rPr>
        <w:t xml:space="preserve">ve proceeding </w:t>
      </w:r>
      <w:r w:rsidR="00EC422D" w:rsidRPr="00CB2E9A">
        <w:rPr>
          <w:rFonts w:ascii="Times New Roman" w:hAnsi="Times New Roman"/>
        </w:rPr>
        <w:t xml:space="preserve">(being the present intention of one or </w:t>
      </w:r>
      <w:r w:rsidR="00653FBE" w:rsidRPr="00CB2E9A">
        <w:rPr>
          <w:rFonts w:ascii="Times New Roman" w:hAnsi="Times New Roman"/>
        </w:rPr>
        <w:t xml:space="preserve">both </w:t>
      </w:r>
      <w:r w:rsidR="00EC422D" w:rsidRPr="00CB2E9A">
        <w:rPr>
          <w:rFonts w:ascii="Times New Roman" w:hAnsi="Times New Roman"/>
        </w:rPr>
        <w:t xml:space="preserve">of the parties to seek the order at any hearing for approval of the settlement). </w:t>
      </w:r>
    </w:p>
    <w:p w14:paraId="1CB85E83" w14:textId="4C509F60" w:rsidR="00EC422D" w:rsidRPr="00CB2E9A" w:rsidRDefault="00EC422D"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694382" w:rsidRPr="00CB2E9A">
        <w:rPr>
          <w:rFonts w:ascii="Times New Roman" w:hAnsi="Times New Roman"/>
        </w:rPr>
        <w:t>T</w:t>
      </w:r>
      <w:r w:rsidR="0032568C" w:rsidRPr="00CB2E9A">
        <w:rPr>
          <w:rFonts w:ascii="Times New Roman" w:hAnsi="Times New Roman"/>
        </w:rPr>
        <w:t xml:space="preserve">hat the giving of the proposed notice </w:t>
      </w:r>
      <w:r w:rsidR="00E55797" w:rsidRPr="00CB2E9A">
        <w:rPr>
          <w:rFonts w:ascii="Times New Roman" w:hAnsi="Times New Roman"/>
        </w:rPr>
        <w:t xml:space="preserve">would </w:t>
      </w:r>
      <w:r w:rsidR="0032568C" w:rsidRPr="00CB2E9A">
        <w:rPr>
          <w:rFonts w:ascii="Times New Roman" w:hAnsi="Times New Roman"/>
        </w:rPr>
        <w:t xml:space="preserve">create a </w:t>
      </w:r>
      <w:r w:rsidR="003764D3" w:rsidRPr="00CB2E9A">
        <w:rPr>
          <w:rFonts w:ascii="Times New Roman" w:hAnsi="Times New Roman"/>
        </w:rPr>
        <w:t xml:space="preserve">new </w:t>
      </w:r>
      <w:r w:rsidR="00694382" w:rsidRPr="00CB2E9A">
        <w:rPr>
          <w:rFonts w:ascii="Times New Roman" w:hAnsi="Times New Roman"/>
        </w:rPr>
        <w:t xml:space="preserve">inconsistency </w:t>
      </w:r>
      <w:r w:rsidR="0032568C" w:rsidRPr="00CB2E9A">
        <w:rPr>
          <w:rFonts w:ascii="Times New Roman" w:hAnsi="Times New Roman"/>
        </w:rPr>
        <w:t xml:space="preserve">of interest for the </w:t>
      </w:r>
      <w:r w:rsidR="00710C89" w:rsidRPr="00CB2E9A">
        <w:rPr>
          <w:rFonts w:ascii="Times New Roman" w:hAnsi="Times New Roman"/>
        </w:rPr>
        <w:t>representative plaintiff</w:t>
      </w:r>
      <w:r w:rsidR="00273DE7" w:rsidRPr="00CB2E9A">
        <w:rPr>
          <w:rFonts w:ascii="Times New Roman" w:hAnsi="Times New Roman"/>
        </w:rPr>
        <w:t>s</w:t>
      </w:r>
      <w:r w:rsidR="00710C89" w:rsidRPr="00CB2E9A">
        <w:rPr>
          <w:rFonts w:ascii="Times New Roman" w:hAnsi="Times New Roman"/>
        </w:rPr>
        <w:t xml:space="preserve"> may be accepted. That </w:t>
      </w:r>
      <w:r w:rsidR="00811C6C" w:rsidRPr="00CB2E9A">
        <w:rPr>
          <w:rFonts w:ascii="Times New Roman" w:hAnsi="Times New Roman"/>
        </w:rPr>
        <w:t>inconsistency</w:t>
      </w:r>
      <w:r w:rsidR="00710C89" w:rsidRPr="00CB2E9A">
        <w:rPr>
          <w:rFonts w:ascii="Times New Roman" w:hAnsi="Times New Roman"/>
        </w:rPr>
        <w:t xml:space="preserve">, however, must be understood in the broader scope of the </w:t>
      </w:r>
      <w:r w:rsidR="00811C6C" w:rsidRPr="00CB2E9A">
        <w:rPr>
          <w:rFonts w:ascii="Times New Roman" w:hAnsi="Times New Roman"/>
        </w:rPr>
        <w:t xml:space="preserve">inconsistencies </w:t>
      </w:r>
      <w:r w:rsidR="00710C89" w:rsidRPr="00CB2E9A">
        <w:rPr>
          <w:rFonts w:ascii="Times New Roman" w:hAnsi="Times New Roman"/>
        </w:rPr>
        <w:t xml:space="preserve">of interest inherent in the statutory </w:t>
      </w:r>
      <w:r w:rsidR="003764D3" w:rsidRPr="00CB2E9A">
        <w:rPr>
          <w:rFonts w:ascii="Times New Roman" w:hAnsi="Times New Roman"/>
        </w:rPr>
        <w:t>scheme</w:t>
      </w:r>
      <w:r w:rsidR="00710C89" w:rsidRPr="00CB2E9A">
        <w:rPr>
          <w:rFonts w:ascii="Times New Roman" w:hAnsi="Times New Roman"/>
        </w:rPr>
        <w:t xml:space="preserve">. </w:t>
      </w:r>
      <w:r w:rsidR="00351C96" w:rsidRPr="00CB2E9A">
        <w:rPr>
          <w:rFonts w:ascii="Times New Roman" w:hAnsi="Times New Roman"/>
        </w:rPr>
        <w:t xml:space="preserve">No </w:t>
      </w:r>
      <w:r w:rsidR="008D1132" w:rsidRPr="00CB2E9A">
        <w:rPr>
          <w:rFonts w:ascii="Times New Roman" w:hAnsi="Times New Roman"/>
        </w:rPr>
        <w:t>doubt</w:t>
      </w:r>
      <w:r w:rsidR="00351C96" w:rsidRPr="00CB2E9A">
        <w:rPr>
          <w:rFonts w:ascii="Times New Roman" w:hAnsi="Times New Roman"/>
        </w:rPr>
        <w:t xml:space="preserve"> a representative plaintiff </w:t>
      </w:r>
      <w:r w:rsidR="0062021D" w:rsidRPr="00CB2E9A">
        <w:rPr>
          <w:rFonts w:ascii="Times New Roman" w:hAnsi="Times New Roman"/>
        </w:rPr>
        <w:t xml:space="preserve">always </w:t>
      </w:r>
      <w:r w:rsidR="00351C96" w:rsidRPr="00CB2E9A">
        <w:rPr>
          <w:rFonts w:ascii="Times New Roman" w:hAnsi="Times New Roman"/>
        </w:rPr>
        <w:t xml:space="preserve">has an interest in achieving a </w:t>
      </w:r>
      <w:r w:rsidR="008D1132" w:rsidRPr="00CB2E9A">
        <w:rPr>
          <w:rFonts w:ascii="Times New Roman" w:hAnsi="Times New Roman"/>
        </w:rPr>
        <w:t>settlement</w:t>
      </w:r>
      <w:r w:rsidR="00351C96" w:rsidRPr="00CB2E9A">
        <w:rPr>
          <w:rFonts w:ascii="Times New Roman" w:hAnsi="Times New Roman"/>
        </w:rPr>
        <w:t xml:space="preserve"> with a </w:t>
      </w:r>
      <w:r w:rsidR="008D1132" w:rsidRPr="00CB2E9A">
        <w:rPr>
          <w:rFonts w:ascii="Times New Roman" w:hAnsi="Times New Roman"/>
        </w:rPr>
        <w:t>defendant</w:t>
      </w:r>
      <w:r w:rsidR="00351C96" w:rsidRPr="00CB2E9A">
        <w:rPr>
          <w:rFonts w:ascii="Times New Roman" w:hAnsi="Times New Roman"/>
        </w:rPr>
        <w:t xml:space="preserve"> if </w:t>
      </w:r>
      <w:r w:rsidR="008D1132" w:rsidRPr="00CB2E9A">
        <w:rPr>
          <w:rFonts w:ascii="Times New Roman" w:hAnsi="Times New Roman"/>
        </w:rPr>
        <w:t xml:space="preserve">the representative proceeding can be settled for an award of damages commensurate with the </w:t>
      </w:r>
      <w:r w:rsidR="0062021D" w:rsidRPr="00CB2E9A">
        <w:rPr>
          <w:rFonts w:ascii="Times New Roman" w:hAnsi="Times New Roman"/>
        </w:rPr>
        <w:t xml:space="preserve">loss and litigation risks of the representative plaintiff. </w:t>
      </w:r>
      <w:r w:rsidR="00C5083B" w:rsidRPr="00CB2E9A">
        <w:rPr>
          <w:rFonts w:ascii="Times New Roman" w:hAnsi="Times New Roman"/>
        </w:rPr>
        <w:t>The statutory provisions assume, however, that despite this self-interest of the representative plaintiff, the representative plaintiff will be able to adequately represent the interests of all group members. Under s 171(1)</w:t>
      </w:r>
      <w:r w:rsidR="00811C6C" w:rsidRPr="00CB2E9A">
        <w:rPr>
          <w:rFonts w:ascii="Times New Roman" w:hAnsi="Times New Roman"/>
        </w:rPr>
        <w:t xml:space="preserve"> of the CPA</w:t>
      </w:r>
      <w:r w:rsidR="00A26AF3" w:rsidRPr="00CB2E9A">
        <w:rPr>
          <w:rFonts w:ascii="Times New Roman" w:hAnsi="Times New Roman"/>
        </w:rPr>
        <w:t>,</w:t>
      </w:r>
      <w:r w:rsidR="00C5083B" w:rsidRPr="00CB2E9A">
        <w:rPr>
          <w:rFonts w:ascii="Times New Roman" w:hAnsi="Times New Roman"/>
        </w:rPr>
        <w:t xml:space="preserve"> it is only if </w:t>
      </w:r>
      <w:r w:rsidR="00EF5680" w:rsidRPr="00CB2E9A">
        <w:rPr>
          <w:rFonts w:ascii="Times New Roman" w:hAnsi="Times New Roman"/>
        </w:rPr>
        <w:t>"</w:t>
      </w:r>
      <w:r w:rsidR="00C5083B" w:rsidRPr="00CB2E9A">
        <w:rPr>
          <w:rFonts w:ascii="Times New Roman" w:hAnsi="Times New Roman"/>
        </w:rPr>
        <w:t>it appears to the Court that a representative party is not able adequately to represent the interests of the group members</w:t>
      </w:r>
      <w:r w:rsidR="00EF5680" w:rsidRPr="00CB2E9A">
        <w:rPr>
          <w:rFonts w:ascii="Times New Roman" w:hAnsi="Times New Roman"/>
        </w:rPr>
        <w:t>"</w:t>
      </w:r>
      <w:r w:rsidR="00C5083B" w:rsidRPr="00CB2E9A">
        <w:rPr>
          <w:rFonts w:ascii="Times New Roman" w:hAnsi="Times New Roman"/>
        </w:rPr>
        <w:t xml:space="preserve"> that the Court may substitute another group member as representative party. </w:t>
      </w:r>
      <w:r w:rsidR="00973A1F" w:rsidRPr="00CB2E9A">
        <w:rPr>
          <w:rFonts w:ascii="Times New Roman" w:hAnsi="Times New Roman"/>
        </w:rPr>
        <w:t>Similarly, b</w:t>
      </w:r>
      <w:r w:rsidR="00CC3692" w:rsidRPr="00CB2E9A">
        <w:rPr>
          <w:rFonts w:ascii="Times New Roman" w:hAnsi="Times New Roman"/>
        </w:rPr>
        <w:t>y s 166</w:t>
      </w:r>
      <w:r w:rsidR="0059491E" w:rsidRPr="00CB2E9A">
        <w:rPr>
          <w:rFonts w:ascii="Times New Roman" w:hAnsi="Times New Roman"/>
        </w:rPr>
        <w:t>(1)(d) of the CPA,</w:t>
      </w:r>
      <w:r w:rsidR="00F82990" w:rsidRPr="00CB2E9A">
        <w:rPr>
          <w:rFonts w:ascii="Times New Roman" w:hAnsi="Times New Roman"/>
        </w:rPr>
        <w:t xml:space="preserve"> the Court may, on application by the defendant or of its own motion, order that proceedings no longer continue under Pt 10 if it is satisfied that it is in the interests of justice to do so because</w:t>
      </w:r>
      <w:r w:rsidR="0059491E" w:rsidRPr="00CB2E9A">
        <w:rPr>
          <w:rFonts w:ascii="Times New Roman" w:hAnsi="Times New Roman"/>
        </w:rPr>
        <w:t xml:space="preserve"> "a representative party</w:t>
      </w:r>
      <w:r w:rsidR="00F4449E" w:rsidRPr="00CB2E9A">
        <w:rPr>
          <w:rFonts w:ascii="Times New Roman" w:hAnsi="Times New Roman"/>
        </w:rPr>
        <w:t xml:space="preserve"> is not able to adequately represent the interests of the group members"</w:t>
      </w:r>
      <w:r w:rsidR="00F82990" w:rsidRPr="00CB2E9A">
        <w:rPr>
          <w:rFonts w:ascii="Times New Roman" w:hAnsi="Times New Roman"/>
        </w:rPr>
        <w:t>.</w:t>
      </w:r>
      <w:r w:rsidR="00F4449E" w:rsidRPr="00CB2E9A">
        <w:rPr>
          <w:rFonts w:ascii="Times New Roman" w:hAnsi="Times New Roman"/>
        </w:rPr>
        <w:t xml:space="preserve"> </w:t>
      </w:r>
      <w:r w:rsidR="00B52183" w:rsidRPr="00CB2E9A">
        <w:rPr>
          <w:rFonts w:ascii="Times New Roman" w:hAnsi="Times New Roman"/>
        </w:rPr>
        <w:t>T</w:t>
      </w:r>
      <w:r w:rsidR="00C5083B" w:rsidRPr="00CB2E9A">
        <w:rPr>
          <w:rFonts w:ascii="Times New Roman" w:hAnsi="Times New Roman"/>
        </w:rPr>
        <w:t xml:space="preserve">hat is, the </w:t>
      </w:r>
      <w:r w:rsidR="00B52183" w:rsidRPr="00CB2E9A">
        <w:rPr>
          <w:rFonts w:ascii="Times New Roman" w:hAnsi="Times New Roman"/>
        </w:rPr>
        <w:t xml:space="preserve">statutory provisions </w:t>
      </w:r>
      <w:r w:rsidR="00EA659F" w:rsidRPr="00CB2E9A">
        <w:rPr>
          <w:rFonts w:ascii="Times New Roman" w:hAnsi="Times New Roman"/>
        </w:rPr>
        <w:t xml:space="preserve">assume </w:t>
      </w:r>
      <w:r w:rsidR="00B52183" w:rsidRPr="00CB2E9A">
        <w:rPr>
          <w:rFonts w:ascii="Times New Roman" w:hAnsi="Times New Roman"/>
        </w:rPr>
        <w:t xml:space="preserve">that a representative party will be subject to </w:t>
      </w:r>
      <w:r w:rsidR="00811C6C" w:rsidRPr="00CB2E9A">
        <w:rPr>
          <w:rFonts w:ascii="Times New Roman" w:hAnsi="Times New Roman"/>
        </w:rPr>
        <w:t xml:space="preserve">inconsistencies </w:t>
      </w:r>
      <w:r w:rsidR="00B52183" w:rsidRPr="00CB2E9A">
        <w:rPr>
          <w:rFonts w:ascii="Times New Roman" w:hAnsi="Times New Roman"/>
        </w:rPr>
        <w:t xml:space="preserve">of interest </w:t>
      </w:r>
      <w:r w:rsidR="008D654B" w:rsidRPr="00CB2E9A">
        <w:rPr>
          <w:rFonts w:ascii="Times New Roman" w:hAnsi="Times New Roman"/>
        </w:rPr>
        <w:t xml:space="preserve">and do not treat the existence of such </w:t>
      </w:r>
      <w:r w:rsidR="00811C6C" w:rsidRPr="00CB2E9A">
        <w:rPr>
          <w:rFonts w:ascii="Times New Roman" w:hAnsi="Times New Roman"/>
        </w:rPr>
        <w:t>inconsistencies</w:t>
      </w:r>
      <w:r w:rsidR="00E63DF5" w:rsidRPr="00CB2E9A">
        <w:rPr>
          <w:rFonts w:ascii="Times New Roman" w:hAnsi="Times New Roman"/>
        </w:rPr>
        <w:t>, in and of themselves,</w:t>
      </w:r>
      <w:r w:rsidR="008D654B" w:rsidRPr="00CB2E9A">
        <w:rPr>
          <w:rFonts w:ascii="Times New Roman" w:hAnsi="Times New Roman"/>
        </w:rPr>
        <w:t xml:space="preserve"> as precluding the representative party performing </w:t>
      </w:r>
      <w:r w:rsidR="00742044" w:rsidRPr="00CB2E9A">
        <w:rPr>
          <w:rFonts w:ascii="Times New Roman" w:hAnsi="Times New Roman"/>
        </w:rPr>
        <w:t xml:space="preserve">its </w:t>
      </w:r>
      <w:r w:rsidR="008D654B" w:rsidRPr="00CB2E9A">
        <w:rPr>
          <w:rFonts w:ascii="Times New Roman" w:hAnsi="Times New Roman"/>
        </w:rPr>
        <w:t>representative function</w:t>
      </w:r>
      <w:r w:rsidR="00E63DF5" w:rsidRPr="00CB2E9A">
        <w:rPr>
          <w:rFonts w:ascii="Times New Roman" w:hAnsi="Times New Roman"/>
        </w:rPr>
        <w:t>. The statutory provisions require more than the mere existence of a</w:t>
      </w:r>
      <w:r w:rsidR="00811C6C" w:rsidRPr="00CB2E9A">
        <w:rPr>
          <w:rFonts w:ascii="Times New Roman" w:hAnsi="Times New Roman"/>
        </w:rPr>
        <w:t xml:space="preserve">n inconsistency </w:t>
      </w:r>
      <w:r w:rsidR="00E63DF5" w:rsidRPr="00CB2E9A">
        <w:rPr>
          <w:rFonts w:ascii="Times New Roman" w:hAnsi="Times New Roman"/>
        </w:rPr>
        <w:t xml:space="preserve">of interest before the </w:t>
      </w:r>
      <w:r w:rsidR="00C7512A" w:rsidRPr="00CB2E9A">
        <w:rPr>
          <w:rFonts w:ascii="Times New Roman" w:hAnsi="Times New Roman"/>
        </w:rPr>
        <w:t>Court</w:t>
      </w:r>
      <w:r w:rsidR="00E63DF5" w:rsidRPr="00CB2E9A">
        <w:rPr>
          <w:rFonts w:ascii="Times New Roman" w:hAnsi="Times New Roman"/>
        </w:rPr>
        <w:t xml:space="preserve"> may intervene</w:t>
      </w:r>
      <w:r w:rsidR="00B912F6" w:rsidRPr="00CB2E9A">
        <w:rPr>
          <w:rFonts w:ascii="Times New Roman" w:hAnsi="Times New Roman"/>
        </w:rPr>
        <w:t> – </w:t>
      </w:r>
      <w:r w:rsidR="00E63DF5" w:rsidRPr="00CB2E9A">
        <w:rPr>
          <w:rFonts w:ascii="Times New Roman" w:hAnsi="Times New Roman"/>
        </w:rPr>
        <w:t xml:space="preserve">the </w:t>
      </w:r>
      <w:r w:rsidR="00C7512A" w:rsidRPr="00CB2E9A">
        <w:rPr>
          <w:rFonts w:ascii="Times New Roman" w:hAnsi="Times New Roman"/>
        </w:rPr>
        <w:t xml:space="preserve">provisions adopt a functional test </w:t>
      </w:r>
      <w:r w:rsidR="009D49CE" w:rsidRPr="00CB2E9A">
        <w:rPr>
          <w:rFonts w:ascii="Times New Roman" w:hAnsi="Times New Roman"/>
        </w:rPr>
        <w:t>involving</w:t>
      </w:r>
      <w:r w:rsidR="00C7512A" w:rsidRPr="00CB2E9A">
        <w:rPr>
          <w:rFonts w:ascii="Times New Roman" w:hAnsi="Times New Roman"/>
        </w:rPr>
        <w:t xml:space="preserve"> that the representative party </w:t>
      </w:r>
      <w:r w:rsidR="00C7512A" w:rsidRPr="00CB2E9A">
        <w:rPr>
          <w:rFonts w:ascii="Times New Roman" w:hAnsi="Times New Roman"/>
          <w:i/>
          <w:iCs/>
        </w:rPr>
        <w:t>is not able adequately to</w:t>
      </w:r>
      <w:r w:rsidR="00C7512A" w:rsidRPr="00CB2E9A">
        <w:rPr>
          <w:rFonts w:ascii="Times New Roman" w:hAnsi="Times New Roman"/>
        </w:rPr>
        <w:t xml:space="preserve"> represent the interests of the group members </w:t>
      </w:r>
      <w:r w:rsidR="00811C6C" w:rsidRPr="00CB2E9A">
        <w:rPr>
          <w:rFonts w:ascii="Times New Roman" w:hAnsi="Times New Roman"/>
        </w:rPr>
        <w:t xml:space="preserve">before an inconsistency of </w:t>
      </w:r>
      <w:r w:rsidR="00B55534" w:rsidRPr="00CB2E9A">
        <w:rPr>
          <w:rFonts w:ascii="Times New Roman" w:hAnsi="Times New Roman"/>
        </w:rPr>
        <w:t>interest</w:t>
      </w:r>
      <w:r w:rsidR="00811C6C" w:rsidRPr="00CB2E9A">
        <w:rPr>
          <w:rFonts w:ascii="Times New Roman" w:hAnsi="Times New Roman"/>
        </w:rPr>
        <w:t xml:space="preserve"> </w:t>
      </w:r>
      <w:r w:rsidR="00B55534" w:rsidRPr="00CB2E9A">
        <w:rPr>
          <w:rFonts w:ascii="Times New Roman" w:hAnsi="Times New Roman"/>
        </w:rPr>
        <w:t>may preclude the representative party from continuing to perform its representative function.</w:t>
      </w:r>
    </w:p>
    <w:p w14:paraId="762F8C00" w14:textId="6A364EC6" w:rsidR="000C44F5" w:rsidRPr="00CB2E9A" w:rsidRDefault="007F6AB4"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B55534" w:rsidRPr="00CB2E9A">
        <w:rPr>
          <w:rFonts w:ascii="Times New Roman" w:hAnsi="Times New Roman"/>
        </w:rPr>
        <w:t>I</w:t>
      </w:r>
      <w:r w:rsidRPr="00CB2E9A">
        <w:rPr>
          <w:rFonts w:ascii="Times New Roman" w:hAnsi="Times New Roman"/>
        </w:rPr>
        <w:t xml:space="preserve">t is also relevant that </w:t>
      </w:r>
      <w:r w:rsidR="00F9284A" w:rsidRPr="00CB2E9A">
        <w:rPr>
          <w:rFonts w:ascii="Times New Roman" w:hAnsi="Times New Roman"/>
        </w:rPr>
        <w:t xml:space="preserve">the </w:t>
      </w:r>
      <w:r w:rsidR="0008625F" w:rsidRPr="00CB2E9A">
        <w:rPr>
          <w:rFonts w:ascii="Times New Roman" w:hAnsi="Times New Roman"/>
        </w:rPr>
        <w:t xml:space="preserve">purpose of the </w:t>
      </w:r>
      <w:r w:rsidR="00F9284A" w:rsidRPr="00CB2E9A">
        <w:rPr>
          <w:rFonts w:ascii="Times New Roman" w:hAnsi="Times New Roman"/>
        </w:rPr>
        <w:t>proposed notice</w:t>
      </w:r>
      <w:r w:rsidR="001F4030" w:rsidRPr="00CB2E9A">
        <w:rPr>
          <w:rFonts w:ascii="Times New Roman" w:hAnsi="Times New Roman"/>
        </w:rPr>
        <w:t> – </w:t>
      </w:r>
      <w:r w:rsidR="00F9284A" w:rsidRPr="00CB2E9A">
        <w:rPr>
          <w:rFonts w:ascii="Times New Roman" w:hAnsi="Times New Roman"/>
        </w:rPr>
        <w:t>to encourage group members to register to participate in any settlement</w:t>
      </w:r>
      <w:r w:rsidR="001F4030" w:rsidRPr="00CB2E9A">
        <w:rPr>
          <w:rFonts w:ascii="Times New Roman" w:hAnsi="Times New Roman"/>
        </w:rPr>
        <w:t> – </w:t>
      </w:r>
      <w:r w:rsidR="00C43F8C" w:rsidRPr="00CB2E9A">
        <w:rPr>
          <w:rFonts w:ascii="Times New Roman" w:hAnsi="Times New Roman"/>
        </w:rPr>
        <w:t xml:space="preserve">does not itself </w:t>
      </w:r>
      <w:r w:rsidR="0008625F" w:rsidRPr="00CB2E9A">
        <w:rPr>
          <w:rFonts w:ascii="Times New Roman" w:hAnsi="Times New Roman"/>
        </w:rPr>
        <w:t xml:space="preserve">involve or </w:t>
      </w:r>
      <w:r w:rsidR="00C43F8C" w:rsidRPr="00CB2E9A">
        <w:rPr>
          <w:rFonts w:ascii="Times New Roman" w:hAnsi="Times New Roman"/>
        </w:rPr>
        <w:t xml:space="preserve">exacerbate any inherent </w:t>
      </w:r>
      <w:r w:rsidR="00B55534" w:rsidRPr="00CB2E9A">
        <w:rPr>
          <w:rFonts w:ascii="Times New Roman" w:hAnsi="Times New Roman"/>
        </w:rPr>
        <w:t xml:space="preserve">inconsistency </w:t>
      </w:r>
      <w:r w:rsidR="00C43F8C" w:rsidRPr="00CB2E9A">
        <w:rPr>
          <w:rFonts w:ascii="Times New Roman" w:hAnsi="Times New Roman"/>
        </w:rPr>
        <w:t xml:space="preserve">of interest of the representative </w:t>
      </w:r>
      <w:r w:rsidR="00230882" w:rsidRPr="00CB2E9A">
        <w:rPr>
          <w:rFonts w:ascii="Times New Roman" w:hAnsi="Times New Roman"/>
        </w:rPr>
        <w:t>plaintiff</w:t>
      </w:r>
      <w:r w:rsidR="006B2A97" w:rsidRPr="00CB2E9A">
        <w:rPr>
          <w:rFonts w:ascii="Times New Roman" w:hAnsi="Times New Roman"/>
        </w:rPr>
        <w:t>s</w:t>
      </w:r>
      <w:r w:rsidR="00230882" w:rsidRPr="00CB2E9A">
        <w:rPr>
          <w:rFonts w:ascii="Times New Roman" w:hAnsi="Times New Roman"/>
        </w:rPr>
        <w:t xml:space="preserve"> </w:t>
      </w:r>
      <w:r w:rsidR="00C43F8C" w:rsidRPr="00CB2E9A">
        <w:rPr>
          <w:rFonts w:ascii="Times New Roman" w:hAnsi="Times New Roman"/>
        </w:rPr>
        <w:t>in respect of group members. If the notice achieves its purpose of maximising the number of group members who register their participation in the representative proceeding</w:t>
      </w:r>
      <w:r w:rsidR="0074456B" w:rsidRPr="00CB2E9A">
        <w:rPr>
          <w:rFonts w:ascii="Times New Roman" w:hAnsi="Times New Roman"/>
        </w:rPr>
        <w:t>,</w:t>
      </w:r>
      <w:r w:rsidR="00C43F8C" w:rsidRPr="00CB2E9A">
        <w:rPr>
          <w:rFonts w:ascii="Times New Roman" w:hAnsi="Times New Roman"/>
        </w:rPr>
        <w:t xml:space="preserve"> the notice, to that extent, </w:t>
      </w:r>
      <w:r w:rsidR="000F030F" w:rsidRPr="00CB2E9A">
        <w:rPr>
          <w:rFonts w:ascii="Times New Roman" w:hAnsi="Times New Roman"/>
        </w:rPr>
        <w:t xml:space="preserve">in fact </w:t>
      </w:r>
      <w:r w:rsidR="00C43F8C" w:rsidRPr="00CB2E9A">
        <w:rPr>
          <w:rFonts w:ascii="Times New Roman" w:hAnsi="Times New Roman"/>
        </w:rPr>
        <w:t xml:space="preserve">will have </w:t>
      </w:r>
      <w:r w:rsidR="00230882" w:rsidRPr="00CB2E9A">
        <w:rPr>
          <w:rFonts w:ascii="Times New Roman" w:hAnsi="Times New Roman"/>
        </w:rPr>
        <w:t xml:space="preserve">minimised the potential for </w:t>
      </w:r>
      <w:r w:rsidR="000F030F" w:rsidRPr="00CB2E9A">
        <w:rPr>
          <w:rFonts w:ascii="Times New Roman" w:hAnsi="Times New Roman"/>
        </w:rPr>
        <w:t xml:space="preserve">inconsistency </w:t>
      </w:r>
      <w:r w:rsidR="00230882" w:rsidRPr="00CB2E9A">
        <w:rPr>
          <w:rFonts w:ascii="Times New Roman" w:hAnsi="Times New Roman"/>
        </w:rPr>
        <w:t>between the representative plaintiff</w:t>
      </w:r>
      <w:r w:rsidR="006B2A97" w:rsidRPr="00CB2E9A">
        <w:rPr>
          <w:rFonts w:ascii="Times New Roman" w:hAnsi="Times New Roman"/>
        </w:rPr>
        <w:t>s</w:t>
      </w:r>
      <w:r w:rsidR="00D77CB1" w:rsidRPr="00CB2E9A">
        <w:rPr>
          <w:rFonts w:ascii="Times New Roman" w:hAnsi="Times New Roman"/>
        </w:rPr>
        <w:t xml:space="preserve"> and group members by ensuring that </w:t>
      </w:r>
      <w:r w:rsidR="0074456B" w:rsidRPr="00CB2E9A">
        <w:rPr>
          <w:rFonts w:ascii="Times New Roman" w:hAnsi="Times New Roman"/>
        </w:rPr>
        <w:t>as many group members as possible can benefit from the settlement. I</w:t>
      </w:r>
      <w:r w:rsidR="003F4822" w:rsidRPr="00CB2E9A">
        <w:rPr>
          <w:rFonts w:ascii="Times New Roman" w:hAnsi="Times New Roman"/>
        </w:rPr>
        <w:t xml:space="preserve">t is only if the notice fails to achieve its purpose of maximising the number of group members who register their participation in the representative proceeding </w:t>
      </w:r>
      <w:r w:rsidR="006E4D3E" w:rsidRPr="00CB2E9A">
        <w:rPr>
          <w:rFonts w:ascii="Times New Roman" w:hAnsi="Times New Roman"/>
        </w:rPr>
        <w:t xml:space="preserve">that there may be </w:t>
      </w:r>
      <w:r w:rsidR="000C44F5" w:rsidRPr="00CB2E9A">
        <w:rPr>
          <w:rFonts w:ascii="Times New Roman" w:hAnsi="Times New Roman"/>
        </w:rPr>
        <w:t xml:space="preserve">enough </w:t>
      </w:r>
      <w:r w:rsidR="006E4D3E" w:rsidRPr="00CB2E9A">
        <w:rPr>
          <w:rFonts w:ascii="Times New Roman" w:hAnsi="Times New Roman"/>
        </w:rPr>
        <w:t xml:space="preserve">group members who have neither opted out nor registered their participation in the representative proceeding </w:t>
      </w:r>
      <w:r w:rsidR="007C11FC" w:rsidRPr="00CB2E9A">
        <w:rPr>
          <w:rFonts w:ascii="Times New Roman" w:hAnsi="Times New Roman"/>
        </w:rPr>
        <w:t xml:space="preserve">to constitute a material threat to the approval of any settlement. </w:t>
      </w:r>
      <w:r w:rsidR="00F248A9" w:rsidRPr="00CB2E9A">
        <w:rPr>
          <w:rFonts w:ascii="Times New Roman" w:hAnsi="Times New Roman"/>
        </w:rPr>
        <w:t xml:space="preserve">Yet in all circumstances, </w:t>
      </w:r>
      <w:r w:rsidR="00B46978" w:rsidRPr="00CB2E9A">
        <w:rPr>
          <w:rFonts w:ascii="Times New Roman" w:hAnsi="Times New Roman"/>
        </w:rPr>
        <w:t xml:space="preserve">the Court retains the power not to grant the </w:t>
      </w:r>
      <w:r w:rsidR="00D44124" w:rsidRPr="00CB2E9A">
        <w:rPr>
          <w:rFonts w:ascii="Times New Roman" w:hAnsi="Times New Roman"/>
        </w:rPr>
        <w:t>order</w:t>
      </w:r>
      <w:r w:rsidR="0026615A" w:rsidRPr="00CB2E9A">
        <w:rPr>
          <w:rFonts w:ascii="Times New Roman" w:hAnsi="Times New Roman"/>
        </w:rPr>
        <w:t xml:space="preserve"> foreshadowed </w:t>
      </w:r>
      <w:r w:rsidR="00131383" w:rsidRPr="00CB2E9A">
        <w:rPr>
          <w:rFonts w:ascii="Times New Roman" w:hAnsi="Times New Roman"/>
        </w:rPr>
        <w:t xml:space="preserve">by </w:t>
      </w:r>
      <w:r w:rsidR="0026615A" w:rsidRPr="00CB2E9A">
        <w:rPr>
          <w:rFonts w:ascii="Times New Roman" w:hAnsi="Times New Roman"/>
        </w:rPr>
        <w:t>the notice</w:t>
      </w:r>
      <w:r w:rsidR="00D44124" w:rsidRPr="00CB2E9A">
        <w:rPr>
          <w:rFonts w:ascii="Times New Roman" w:hAnsi="Times New Roman"/>
        </w:rPr>
        <w:t>.</w:t>
      </w:r>
    </w:p>
    <w:p w14:paraId="7153B451" w14:textId="690D8263" w:rsidR="007F6AB4" w:rsidRPr="00CB2E9A" w:rsidRDefault="000C44F5" w:rsidP="00CB2E9A">
      <w:pPr>
        <w:pStyle w:val="FixListStyle"/>
        <w:spacing w:after="260" w:line="280" w:lineRule="exact"/>
        <w:ind w:right="0"/>
        <w:jc w:val="both"/>
        <w:rPr>
          <w:rFonts w:ascii="Times New Roman" w:hAnsi="Times New Roman"/>
        </w:rPr>
      </w:pPr>
      <w:r w:rsidRPr="00CB2E9A">
        <w:rPr>
          <w:rFonts w:ascii="Times New Roman" w:hAnsi="Times New Roman"/>
        </w:rPr>
        <w:lastRenderedPageBreak/>
        <w:tab/>
      </w:r>
      <w:r w:rsidR="007C11FC" w:rsidRPr="00CB2E9A">
        <w:rPr>
          <w:rFonts w:ascii="Times New Roman" w:hAnsi="Times New Roman"/>
        </w:rPr>
        <w:t xml:space="preserve">Moreover, it is not </w:t>
      </w:r>
      <w:r w:rsidR="0081644A" w:rsidRPr="00CB2E9A">
        <w:rPr>
          <w:rFonts w:ascii="Times New Roman" w:hAnsi="Times New Roman"/>
        </w:rPr>
        <w:t xml:space="preserve">the case that a representative plaintiff is necessarily unable to adequately represent the interests of group members who have neither opted out nor registered their participation in the representative proceeding </w:t>
      </w:r>
      <w:r w:rsidR="002E12B5" w:rsidRPr="00CB2E9A">
        <w:rPr>
          <w:rFonts w:ascii="Times New Roman" w:hAnsi="Times New Roman"/>
        </w:rPr>
        <w:t xml:space="preserve">in the negotiation or approval of any settlement. </w:t>
      </w:r>
      <w:r w:rsidR="00E86F92" w:rsidRPr="00CB2E9A">
        <w:rPr>
          <w:rFonts w:ascii="Times New Roman" w:hAnsi="Times New Roman"/>
        </w:rPr>
        <w:t xml:space="preserve">A properly advised representative plaintiff negotiating and seeking Court approval of a settlement will know that </w:t>
      </w:r>
      <w:r w:rsidR="00EB2140" w:rsidRPr="00CB2E9A">
        <w:rPr>
          <w:rFonts w:ascii="Times New Roman" w:hAnsi="Times New Roman"/>
        </w:rPr>
        <w:t xml:space="preserve">a critical aspect of </w:t>
      </w:r>
      <w:r w:rsidR="00E86F92" w:rsidRPr="00CB2E9A">
        <w:rPr>
          <w:rFonts w:ascii="Times New Roman" w:hAnsi="Times New Roman"/>
        </w:rPr>
        <w:t>the Court</w:t>
      </w:r>
      <w:r w:rsidR="00C83EF0" w:rsidRPr="00CB2E9A">
        <w:rPr>
          <w:rFonts w:ascii="Times New Roman" w:hAnsi="Times New Roman"/>
        </w:rPr>
        <w:t xml:space="preserve">'s mandate under s 173 </w:t>
      </w:r>
      <w:r w:rsidR="00EB2140" w:rsidRPr="00CB2E9A">
        <w:rPr>
          <w:rFonts w:ascii="Times New Roman" w:hAnsi="Times New Roman"/>
        </w:rPr>
        <w:t xml:space="preserve">is to ensure </w:t>
      </w:r>
      <w:r w:rsidR="00CF2D4A" w:rsidRPr="00CB2E9A">
        <w:rPr>
          <w:rFonts w:ascii="Times New Roman" w:hAnsi="Times New Roman"/>
        </w:rPr>
        <w:t>fairness</w:t>
      </w:r>
      <w:r w:rsidR="00EB2140" w:rsidRPr="00CB2E9A">
        <w:rPr>
          <w:rFonts w:ascii="Times New Roman" w:hAnsi="Times New Roman"/>
        </w:rPr>
        <w:t xml:space="preserve"> and justice as be</w:t>
      </w:r>
      <w:r w:rsidR="00CF2D4A" w:rsidRPr="00CB2E9A">
        <w:rPr>
          <w:rFonts w:ascii="Times New Roman" w:hAnsi="Times New Roman"/>
        </w:rPr>
        <w:t>t</w:t>
      </w:r>
      <w:r w:rsidR="00EB2140" w:rsidRPr="00CB2E9A">
        <w:rPr>
          <w:rFonts w:ascii="Times New Roman" w:hAnsi="Times New Roman"/>
        </w:rPr>
        <w:t xml:space="preserve">ween all group members including and, </w:t>
      </w:r>
      <w:r w:rsidR="00CF2D4A" w:rsidRPr="00CB2E9A">
        <w:rPr>
          <w:rFonts w:ascii="Times New Roman" w:hAnsi="Times New Roman"/>
        </w:rPr>
        <w:t>perhaps</w:t>
      </w:r>
      <w:r w:rsidR="00EB2140" w:rsidRPr="00CB2E9A">
        <w:rPr>
          <w:rFonts w:ascii="Times New Roman" w:hAnsi="Times New Roman"/>
        </w:rPr>
        <w:t xml:space="preserve">, </w:t>
      </w:r>
      <w:r w:rsidR="00CF2D4A" w:rsidRPr="00CB2E9A">
        <w:rPr>
          <w:rFonts w:ascii="Times New Roman" w:hAnsi="Times New Roman"/>
        </w:rPr>
        <w:t>particularly</w:t>
      </w:r>
      <w:r w:rsidR="00EB2140" w:rsidRPr="00CB2E9A">
        <w:rPr>
          <w:rFonts w:ascii="Times New Roman" w:hAnsi="Times New Roman"/>
        </w:rPr>
        <w:t xml:space="preserve"> to </w:t>
      </w:r>
      <w:r w:rsidR="00CF2D4A" w:rsidRPr="00CB2E9A">
        <w:rPr>
          <w:rFonts w:ascii="Times New Roman" w:hAnsi="Times New Roman"/>
        </w:rPr>
        <w:t>those</w:t>
      </w:r>
      <w:r w:rsidR="00EB2140" w:rsidRPr="00CB2E9A">
        <w:rPr>
          <w:rFonts w:ascii="Times New Roman" w:hAnsi="Times New Roman"/>
        </w:rPr>
        <w:t xml:space="preserve"> </w:t>
      </w:r>
      <w:r w:rsidR="00BD0012" w:rsidRPr="00CB2E9A">
        <w:rPr>
          <w:rFonts w:ascii="Times New Roman" w:hAnsi="Times New Roman"/>
        </w:rPr>
        <w:t xml:space="preserve">in respect of whom </w:t>
      </w:r>
      <w:r w:rsidR="00CF2D4A" w:rsidRPr="00CB2E9A">
        <w:rPr>
          <w:rFonts w:ascii="Times New Roman" w:hAnsi="Times New Roman"/>
        </w:rPr>
        <w:t xml:space="preserve">a question might arise as to whether the representative plaintiff has </w:t>
      </w:r>
      <w:r w:rsidR="00C56E63" w:rsidRPr="00CB2E9A">
        <w:rPr>
          <w:rFonts w:ascii="Times New Roman" w:hAnsi="Times New Roman"/>
        </w:rPr>
        <w:t>ade</w:t>
      </w:r>
      <w:r w:rsidR="00C551C0" w:rsidRPr="00CB2E9A">
        <w:rPr>
          <w:rFonts w:ascii="Times New Roman" w:hAnsi="Times New Roman"/>
        </w:rPr>
        <w:t xml:space="preserve">quately represented their interests </w:t>
      </w:r>
      <w:r w:rsidR="00CF2D4A" w:rsidRPr="00CB2E9A">
        <w:rPr>
          <w:rFonts w:ascii="Times New Roman" w:hAnsi="Times New Roman"/>
        </w:rPr>
        <w:t xml:space="preserve">or can continue to </w:t>
      </w:r>
      <w:r w:rsidR="00C551C0" w:rsidRPr="00CB2E9A">
        <w:rPr>
          <w:rFonts w:ascii="Times New Roman" w:hAnsi="Times New Roman"/>
        </w:rPr>
        <w:t>do so</w:t>
      </w:r>
      <w:r w:rsidR="00CF2D4A" w:rsidRPr="00CB2E9A">
        <w:rPr>
          <w:rFonts w:ascii="Times New Roman" w:hAnsi="Times New Roman"/>
        </w:rPr>
        <w:t xml:space="preserve">. </w:t>
      </w:r>
      <w:r w:rsidR="00CD0355" w:rsidRPr="00CB2E9A">
        <w:rPr>
          <w:rFonts w:ascii="Times New Roman" w:hAnsi="Times New Roman"/>
        </w:rPr>
        <w:t>T</w:t>
      </w:r>
      <w:r w:rsidR="00CA163D" w:rsidRPr="00CB2E9A">
        <w:rPr>
          <w:rFonts w:ascii="Times New Roman" w:hAnsi="Times New Roman"/>
        </w:rPr>
        <w:t xml:space="preserve">he terms of s 173 give a representative plaintiff a strong interest in </w:t>
      </w:r>
      <w:r w:rsidR="00581F0C" w:rsidRPr="00CB2E9A">
        <w:rPr>
          <w:rFonts w:ascii="Times New Roman" w:hAnsi="Times New Roman"/>
        </w:rPr>
        <w:t>achieving</w:t>
      </w:r>
      <w:r w:rsidR="00CA163D" w:rsidRPr="00CB2E9A">
        <w:rPr>
          <w:rFonts w:ascii="Times New Roman" w:hAnsi="Times New Roman"/>
        </w:rPr>
        <w:t xml:space="preserve"> a settlement which has the best prospects of obtaining </w:t>
      </w:r>
      <w:r w:rsidR="00581F0C" w:rsidRPr="00CB2E9A">
        <w:rPr>
          <w:rFonts w:ascii="Times New Roman" w:hAnsi="Times New Roman"/>
        </w:rPr>
        <w:t>Court</w:t>
      </w:r>
      <w:r w:rsidR="00CA163D" w:rsidRPr="00CB2E9A">
        <w:rPr>
          <w:rFonts w:ascii="Times New Roman" w:hAnsi="Times New Roman"/>
        </w:rPr>
        <w:t xml:space="preserve"> approval</w:t>
      </w:r>
      <w:r w:rsidR="00581F0C" w:rsidRPr="00CB2E9A">
        <w:rPr>
          <w:rFonts w:ascii="Times New Roman" w:hAnsi="Times New Roman"/>
        </w:rPr>
        <w:t>: such a settlement is one which is just and fair to all group members</w:t>
      </w:r>
      <w:r w:rsidR="004E3CAA" w:rsidRPr="00CB2E9A">
        <w:rPr>
          <w:rFonts w:ascii="Times New Roman" w:hAnsi="Times New Roman"/>
        </w:rPr>
        <w:t>,</w:t>
      </w:r>
      <w:r w:rsidR="00581F0C" w:rsidRPr="00CB2E9A">
        <w:rPr>
          <w:rFonts w:ascii="Times New Roman" w:hAnsi="Times New Roman"/>
        </w:rPr>
        <w:t xml:space="preserve"> including those who have neither </w:t>
      </w:r>
      <w:r w:rsidR="00506CED" w:rsidRPr="00CB2E9A">
        <w:rPr>
          <w:rFonts w:ascii="Times New Roman" w:hAnsi="Times New Roman"/>
        </w:rPr>
        <w:t>opted out nor registered their participation in the representative proceeding.</w:t>
      </w:r>
      <w:r w:rsidR="00EF0CFD" w:rsidRPr="00CB2E9A">
        <w:rPr>
          <w:rFonts w:ascii="Times New Roman" w:hAnsi="Times New Roman"/>
        </w:rPr>
        <w:t xml:space="preserve"> The upshot is that concerns about </w:t>
      </w:r>
      <w:r w:rsidR="00CD0355" w:rsidRPr="00CB2E9A">
        <w:rPr>
          <w:rFonts w:ascii="Times New Roman" w:hAnsi="Times New Roman"/>
        </w:rPr>
        <w:t xml:space="preserve">inconsistencies </w:t>
      </w:r>
      <w:r w:rsidR="00EF0CFD" w:rsidRPr="00CB2E9A">
        <w:rPr>
          <w:rFonts w:ascii="Times New Roman" w:hAnsi="Times New Roman"/>
        </w:rPr>
        <w:t>of interest</w:t>
      </w:r>
      <w:r w:rsidR="0001004A" w:rsidRPr="00CB2E9A">
        <w:rPr>
          <w:rFonts w:ascii="Times New Roman" w:hAnsi="Times New Roman"/>
        </w:rPr>
        <w:t>, while legitimate,</w:t>
      </w:r>
      <w:r w:rsidR="00EF0CFD" w:rsidRPr="00CB2E9A">
        <w:rPr>
          <w:rFonts w:ascii="Times New Roman" w:hAnsi="Times New Roman"/>
        </w:rPr>
        <w:t xml:space="preserve"> </w:t>
      </w:r>
      <w:r w:rsidR="00CD0355" w:rsidRPr="00CB2E9A">
        <w:rPr>
          <w:rFonts w:ascii="Times New Roman" w:hAnsi="Times New Roman"/>
        </w:rPr>
        <w:t xml:space="preserve">should not be understood as </w:t>
      </w:r>
      <w:r w:rsidR="00EF0CFD" w:rsidRPr="00CB2E9A">
        <w:rPr>
          <w:rFonts w:ascii="Times New Roman" w:hAnsi="Times New Roman"/>
        </w:rPr>
        <w:t>qualify</w:t>
      </w:r>
      <w:r w:rsidR="00CD0355" w:rsidRPr="00CB2E9A">
        <w:rPr>
          <w:rFonts w:ascii="Times New Roman" w:hAnsi="Times New Roman"/>
        </w:rPr>
        <w:t>ing</w:t>
      </w:r>
      <w:r w:rsidR="00EF0CFD" w:rsidRPr="00CB2E9A">
        <w:rPr>
          <w:rFonts w:ascii="Times New Roman" w:hAnsi="Times New Roman"/>
        </w:rPr>
        <w:t xml:space="preserve"> the power of the Supreme Court under s 175(5)</w:t>
      </w:r>
      <w:r w:rsidR="00F05BB1" w:rsidRPr="00CB2E9A">
        <w:rPr>
          <w:rFonts w:ascii="Times New Roman" w:hAnsi="Times New Roman"/>
        </w:rPr>
        <w:t>. Such legitimate concerns are to be managed by the Court as and when the need is considered to arise</w:t>
      </w:r>
      <w:r w:rsidR="00631C19" w:rsidRPr="00CB2E9A">
        <w:rPr>
          <w:rFonts w:ascii="Times New Roman" w:hAnsi="Times New Roman"/>
        </w:rPr>
        <w:t xml:space="preserve"> by,</w:t>
      </w:r>
      <w:r w:rsidR="002C6955" w:rsidRPr="00CB2E9A">
        <w:rPr>
          <w:rFonts w:ascii="Times New Roman" w:hAnsi="Times New Roman"/>
        </w:rPr>
        <w:t xml:space="preserve"> and in </w:t>
      </w:r>
      <w:r w:rsidR="004462B9" w:rsidRPr="00CB2E9A">
        <w:rPr>
          <w:rFonts w:ascii="Times New Roman" w:hAnsi="Times New Roman"/>
        </w:rPr>
        <w:t>accordance</w:t>
      </w:r>
      <w:r w:rsidR="002C6955" w:rsidRPr="00CB2E9A">
        <w:rPr>
          <w:rFonts w:ascii="Times New Roman" w:hAnsi="Times New Roman"/>
        </w:rPr>
        <w:t xml:space="preserve"> with</w:t>
      </w:r>
      <w:r w:rsidR="007F4937" w:rsidRPr="00CB2E9A">
        <w:rPr>
          <w:rFonts w:ascii="Times New Roman" w:hAnsi="Times New Roman"/>
        </w:rPr>
        <w:t>,</w:t>
      </w:r>
      <w:r w:rsidR="002C6955" w:rsidRPr="00CB2E9A">
        <w:rPr>
          <w:rFonts w:ascii="Times New Roman" w:hAnsi="Times New Roman"/>
        </w:rPr>
        <w:t xml:space="preserve"> the </w:t>
      </w:r>
      <w:r w:rsidR="000B6622" w:rsidRPr="00CB2E9A">
        <w:rPr>
          <w:rFonts w:ascii="Times New Roman" w:hAnsi="Times New Roman"/>
        </w:rPr>
        <w:t>relevant legislati</w:t>
      </w:r>
      <w:r w:rsidR="00B00456" w:rsidRPr="00CB2E9A">
        <w:rPr>
          <w:rFonts w:ascii="Times New Roman" w:hAnsi="Times New Roman"/>
        </w:rPr>
        <w:t>ve provisions</w:t>
      </w:r>
      <w:r w:rsidR="00C67318" w:rsidRPr="00CB2E9A">
        <w:rPr>
          <w:rFonts w:ascii="Times New Roman" w:hAnsi="Times New Roman"/>
        </w:rPr>
        <w:t xml:space="preserve"> (</w:t>
      </w:r>
      <w:r w:rsidR="00F05BB1" w:rsidRPr="00CB2E9A">
        <w:rPr>
          <w:rFonts w:ascii="Times New Roman" w:hAnsi="Times New Roman"/>
        </w:rPr>
        <w:t xml:space="preserve">including </w:t>
      </w:r>
      <w:r w:rsidR="003B695C" w:rsidRPr="00CB2E9A">
        <w:rPr>
          <w:rFonts w:ascii="Times New Roman" w:hAnsi="Times New Roman"/>
        </w:rPr>
        <w:t>s</w:t>
      </w:r>
      <w:r w:rsidR="00641BB5" w:rsidRPr="00CB2E9A">
        <w:rPr>
          <w:rFonts w:ascii="Times New Roman" w:hAnsi="Times New Roman"/>
        </w:rPr>
        <w:t>s </w:t>
      </w:r>
      <w:r w:rsidR="003B695C" w:rsidRPr="00CB2E9A">
        <w:rPr>
          <w:rFonts w:ascii="Times New Roman" w:hAnsi="Times New Roman"/>
        </w:rPr>
        <w:t xml:space="preserve">166(1)(d) and </w:t>
      </w:r>
      <w:r w:rsidR="00641BB5" w:rsidRPr="00CB2E9A">
        <w:rPr>
          <w:rFonts w:ascii="Times New Roman" w:hAnsi="Times New Roman"/>
        </w:rPr>
        <w:t>171(1) of the CPA</w:t>
      </w:r>
      <w:r w:rsidR="00C67318" w:rsidRPr="00CB2E9A">
        <w:rPr>
          <w:rFonts w:ascii="Times New Roman" w:hAnsi="Times New Roman"/>
        </w:rPr>
        <w:t>)</w:t>
      </w:r>
      <w:r w:rsidR="00977A00">
        <w:rPr>
          <w:rFonts w:ascii="Times New Roman" w:hAnsi="Times New Roman"/>
        </w:rPr>
        <w:t>,</w:t>
      </w:r>
      <w:r w:rsidR="00641BB5" w:rsidRPr="00CB2E9A">
        <w:rPr>
          <w:rFonts w:ascii="Times New Roman" w:hAnsi="Times New Roman"/>
        </w:rPr>
        <w:t xml:space="preserve"> which recognise the existence of inherent </w:t>
      </w:r>
      <w:r w:rsidR="00CD0355" w:rsidRPr="00CB2E9A">
        <w:rPr>
          <w:rFonts w:ascii="Times New Roman" w:hAnsi="Times New Roman"/>
        </w:rPr>
        <w:t xml:space="preserve">inconsistencies </w:t>
      </w:r>
      <w:r w:rsidR="00641BB5" w:rsidRPr="00CB2E9A">
        <w:rPr>
          <w:rFonts w:ascii="Times New Roman" w:hAnsi="Times New Roman"/>
        </w:rPr>
        <w:t>of interest between group members</w:t>
      </w:r>
      <w:r w:rsidR="00CD0355" w:rsidRPr="00CB2E9A">
        <w:rPr>
          <w:rFonts w:ascii="Times New Roman" w:hAnsi="Times New Roman"/>
        </w:rPr>
        <w:t xml:space="preserve">, </w:t>
      </w:r>
      <w:r w:rsidR="00641BB5" w:rsidRPr="00CB2E9A">
        <w:rPr>
          <w:rFonts w:ascii="Times New Roman" w:hAnsi="Times New Roman"/>
        </w:rPr>
        <w:t xml:space="preserve">but take a functional </w:t>
      </w:r>
      <w:r w:rsidR="00CD0355" w:rsidRPr="00CB2E9A">
        <w:rPr>
          <w:rFonts w:ascii="Times New Roman" w:hAnsi="Times New Roman"/>
        </w:rPr>
        <w:t xml:space="preserve">rather than reflexively preclusive </w:t>
      </w:r>
      <w:r w:rsidR="00641BB5" w:rsidRPr="00CB2E9A">
        <w:rPr>
          <w:rFonts w:ascii="Times New Roman" w:hAnsi="Times New Roman"/>
        </w:rPr>
        <w:t>approach to their management.</w:t>
      </w:r>
    </w:p>
    <w:p w14:paraId="0D235AB5" w14:textId="6863C806" w:rsidR="00506CED" w:rsidRPr="00CB2E9A" w:rsidRDefault="00641BB5"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CD0355" w:rsidRPr="00CB2E9A">
        <w:rPr>
          <w:rFonts w:ascii="Times New Roman" w:hAnsi="Times New Roman"/>
        </w:rPr>
        <w:t xml:space="preserve">It is also not the case that </w:t>
      </w:r>
      <w:r w:rsidRPr="00CB2E9A">
        <w:rPr>
          <w:rFonts w:ascii="Times New Roman" w:hAnsi="Times New Roman"/>
        </w:rPr>
        <w:t xml:space="preserve">the </w:t>
      </w:r>
      <w:r w:rsidR="00CD0355" w:rsidRPr="00CB2E9A">
        <w:rPr>
          <w:rFonts w:ascii="Times New Roman" w:hAnsi="Times New Roman"/>
        </w:rPr>
        <w:t xml:space="preserve">giving of the </w:t>
      </w:r>
      <w:r w:rsidRPr="00CB2E9A">
        <w:rPr>
          <w:rFonts w:ascii="Times New Roman" w:hAnsi="Times New Roman"/>
        </w:rPr>
        <w:t>proposed notice transform</w:t>
      </w:r>
      <w:r w:rsidR="00CD0355" w:rsidRPr="00CB2E9A">
        <w:rPr>
          <w:rFonts w:ascii="Times New Roman" w:hAnsi="Times New Roman"/>
        </w:rPr>
        <w:t>s</w:t>
      </w:r>
      <w:r w:rsidRPr="00CB2E9A">
        <w:rPr>
          <w:rFonts w:ascii="Times New Roman" w:hAnsi="Times New Roman"/>
        </w:rPr>
        <w:t xml:space="preserve"> </w:t>
      </w:r>
      <w:r w:rsidR="00CD0355" w:rsidRPr="00CB2E9A">
        <w:rPr>
          <w:rFonts w:ascii="Times New Roman" w:hAnsi="Times New Roman"/>
        </w:rPr>
        <w:t xml:space="preserve">the statutorily mandated </w:t>
      </w:r>
      <w:r w:rsidRPr="00CB2E9A">
        <w:rPr>
          <w:rFonts w:ascii="Times New Roman" w:hAnsi="Times New Roman"/>
        </w:rPr>
        <w:t xml:space="preserve">opt out scheme into an </w:t>
      </w:r>
      <w:r w:rsidR="007B7387" w:rsidRPr="00CB2E9A">
        <w:rPr>
          <w:rFonts w:ascii="Times New Roman" w:hAnsi="Times New Roman"/>
        </w:rPr>
        <w:t xml:space="preserve">impermissible </w:t>
      </w:r>
      <w:r w:rsidRPr="00CB2E9A">
        <w:rPr>
          <w:rFonts w:ascii="Times New Roman" w:hAnsi="Times New Roman"/>
        </w:rPr>
        <w:t xml:space="preserve">opt in scheme. </w:t>
      </w:r>
      <w:r w:rsidR="00FA6EEB" w:rsidRPr="00CB2E9A">
        <w:rPr>
          <w:rFonts w:ascii="Times New Roman" w:hAnsi="Times New Roman"/>
        </w:rPr>
        <w:t xml:space="preserve">The practical context of the statutory scheme means that a </w:t>
      </w:r>
      <w:r w:rsidR="005C3A20" w:rsidRPr="00CB2E9A">
        <w:rPr>
          <w:rFonts w:ascii="Times New Roman" w:hAnsi="Times New Roman"/>
        </w:rPr>
        <w:t xml:space="preserve">representative plaintiff's lawyer has an ongoing interest in registering group members </w:t>
      </w:r>
      <w:r w:rsidR="004A1639" w:rsidRPr="00CB2E9A">
        <w:rPr>
          <w:rFonts w:ascii="Times New Roman" w:hAnsi="Times New Roman"/>
        </w:rPr>
        <w:t xml:space="preserve">and, if possible, obtaining </w:t>
      </w:r>
      <w:r w:rsidR="003B2DD0" w:rsidRPr="00CB2E9A">
        <w:rPr>
          <w:rFonts w:ascii="Times New Roman" w:hAnsi="Times New Roman"/>
        </w:rPr>
        <w:t>t</w:t>
      </w:r>
      <w:r w:rsidR="004A1639" w:rsidRPr="00CB2E9A">
        <w:rPr>
          <w:rFonts w:ascii="Times New Roman" w:hAnsi="Times New Roman"/>
        </w:rPr>
        <w:t>heir agreem</w:t>
      </w:r>
      <w:r w:rsidR="003B2DD0" w:rsidRPr="00CB2E9A">
        <w:rPr>
          <w:rFonts w:ascii="Times New Roman" w:hAnsi="Times New Roman"/>
        </w:rPr>
        <w:t>e</w:t>
      </w:r>
      <w:r w:rsidR="004A1639" w:rsidRPr="00CB2E9A">
        <w:rPr>
          <w:rFonts w:ascii="Times New Roman" w:hAnsi="Times New Roman"/>
        </w:rPr>
        <w:t xml:space="preserve">nt to </w:t>
      </w:r>
      <w:r w:rsidR="003B2DD0" w:rsidRPr="00CB2E9A">
        <w:rPr>
          <w:rFonts w:ascii="Times New Roman" w:hAnsi="Times New Roman"/>
        </w:rPr>
        <w:t>participate</w:t>
      </w:r>
      <w:r w:rsidR="004A1639" w:rsidRPr="00CB2E9A">
        <w:rPr>
          <w:rFonts w:ascii="Times New Roman" w:hAnsi="Times New Roman"/>
        </w:rPr>
        <w:t xml:space="preserve"> in </w:t>
      </w:r>
      <w:r w:rsidR="003B2DD0" w:rsidRPr="00CB2E9A">
        <w:rPr>
          <w:rFonts w:ascii="Times New Roman" w:hAnsi="Times New Roman"/>
        </w:rPr>
        <w:t xml:space="preserve">litigation </w:t>
      </w:r>
      <w:r w:rsidR="004A1639" w:rsidRPr="00CB2E9A">
        <w:rPr>
          <w:rFonts w:ascii="Times New Roman" w:hAnsi="Times New Roman"/>
        </w:rPr>
        <w:t>f</w:t>
      </w:r>
      <w:r w:rsidR="003B2DD0" w:rsidRPr="00CB2E9A">
        <w:rPr>
          <w:rFonts w:ascii="Times New Roman" w:hAnsi="Times New Roman"/>
        </w:rPr>
        <w:t>u</w:t>
      </w:r>
      <w:r w:rsidR="004A1639" w:rsidRPr="00CB2E9A">
        <w:rPr>
          <w:rFonts w:ascii="Times New Roman" w:hAnsi="Times New Roman"/>
        </w:rPr>
        <w:t xml:space="preserve">nding </w:t>
      </w:r>
      <w:r w:rsidR="003B2DD0" w:rsidRPr="00CB2E9A">
        <w:rPr>
          <w:rFonts w:ascii="Times New Roman" w:hAnsi="Times New Roman"/>
        </w:rPr>
        <w:t>arrangements</w:t>
      </w:r>
      <w:r w:rsidR="004A1639" w:rsidRPr="00CB2E9A">
        <w:rPr>
          <w:rFonts w:ascii="Times New Roman" w:hAnsi="Times New Roman"/>
        </w:rPr>
        <w:t xml:space="preserve">. </w:t>
      </w:r>
      <w:r w:rsidR="00202BDE" w:rsidRPr="00CB2E9A">
        <w:rPr>
          <w:rFonts w:ascii="Times New Roman" w:hAnsi="Times New Roman"/>
        </w:rPr>
        <w:t xml:space="preserve">The proposed notice does not </w:t>
      </w:r>
      <w:r w:rsidR="00A5337B" w:rsidRPr="00CB2E9A">
        <w:rPr>
          <w:rFonts w:ascii="Times New Roman" w:hAnsi="Times New Roman"/>
        </w:rPr>
        <w:t xml:space="preserve">require a group member to opt out or register their participation. It </w:t>
      </w:r>
      <w:r w:rsidR="006C7EE9" w:rsidRPr="00CB2E9A">
        <w:rPr>
          <w:rFonts w:ascii="Times New Roman" w:hAnsi="Times New Roman"/>
        </w:rPr>
        <w:t xml:space="preserve">is intended to </w:t>
      </w:r>
      <w:r w:rsidR="00A5337B" w:rsidRPr="00CB2E9A">
        <w:rPr>
          <w:rFonts w:ascii="Times New Roman" w:hAnsi="Times New Roman"/>
        </w:rPr>
        <w:t xml:space="preserve">inform group </w:t>
      </w:r>
      <w:r w:rsidR="00384318" w:rsidRPr="00CB2E9A">
        <w:rPr>
          <w:rFonts w:ascii="Times New Roman" w:hAnsi="Times New Roman"/>
        </w:rPr>
        <w:t>members</w:t>
      </w:r>
      <w:r w:rsidR="00A5337B" w:rsidRPr="00CB2E9A">
        <w:rPr>
          <w:rFonts w:ascii="Times New Roman" w:hAnsi="Times New Roman"/>
        </w:rPr>
        <w:t xml:space="preserve"> that if they do neither </w:t>
      </w:r>
      <w:r w:rsidR="00384318" w:rsidRPr="00CB2E9A">
        <w:rPr>
          <w:rFonts w:ascii="Times New Roman" w:hAnsi="Times New Roman"/>
        </w:rPr>
        <w:t xml:space="preserve">by a specified date and the </w:t>
      </w:r>
      <w:r w:rsidR="007B7387" w:rsidRPr="00CB2E9A">
        <w:rPr>
          <w:rFonts w:ascii="Times New Roman" w:hAnsi="Times New Roman"/>
        </w:rPr>
        <w:t xml:space="preserve">representative </w:t>
      </w:r>
      <w:r w:rsidR="00384318" w:rsidRPr="00CB2E9A">
        <w:rPr>
          <w:rFonts w:ascii="Times New Roman" w:hAnsi="Times New Roman"/>
        </w:rPr>
        <w:t>proceeding settle</w:t>
      </w:r>
      <w:r w:rsidR="007B7387" w:rsidRPr="00CB2E9A">
        <w:rPr>
          <w:rFonts w:ascii="Times New Roman" w:hAnsi="Times New Roman"/>
        </w:rPr>
        <w:t>s</w:t>
      </w:r>
      <w:r w:rsidR="00384318" w:rsidRPr="00CB2E9A">
        <w:rPr>
          <w:rFonts w:ascii="Times New Roman" w:hAnsi="Times New Roman"/>
        </w:rPr>
        <w:t xml:space="preserve"> </w:t>
      </w:r>
      <w:r w:rsidR="007B7387" w:rsidRPr="00CB2E9A">
        <w:rPr>
          <w:rFonts w:ascii="Times New Roman" w:hAnsi="Times New Roman"/>
        </w:rPr>
        <w:t xml:space="preserve">as </w:t>
      </w:r>
      <w:r w:rsidR="00384318" w:rsidRPr="00CB2E9A">
        <w:rPr>
          <w:rFonts w:ascii="Times New Roman" w:hAnsi="Times New Roman"/>
        </w:rPr>
        <w:t>between the parties</w:t>
      </w:r>
      <w:r w:rsidR="00624412" w:rsidRPr="00CB2E9A">
        <w:rPr>
          <w:rFonts w:ascii="Times New Roman" w:hAnsi="Times New Roman"/>
        </w:rPr>
        <w:t>,</w:t>
      </w:r>
      <w:r w:rsidR="00384318" w:rsidRPr="00CB2E9A">
        <w:rPr>
          <w:rFonts w:ascii="Times New Roman" w:hAnsi="Times New Roman"/>
        </w:rPr>
        <w:t xml:space="preserve"> </w:t>
      </w:r>
      <w:r w:rsidR="006C7EE9" w:rsidRPr="00CB2E9A">
        <w:rPr>
          <w:rFonts w:ascii="Times New Roman" w:hAnsi="Times New Roman"/>
        </w:rPr>
        <w:t xml:space="preserve">then </w:t>
      </w:r>
      <w:r w:rsidR="00384318" w:rsidRPr="00CB2E9A">
        <w:rPr>
          <w:rFonts w:ascii="Times New Roman" w:hAnsi="Times New Roman"/>
        </w:rPr>
        <w:t xml:space="preserve">Lendlease </w:t>
      </w:r>
      <w:r w:rsidR="003778A5" w:rsidRPr="00CB2E9A">
        <w:rPr>
          <w:rFonts w:ascii="Times New Roman" w:hAnsi="Times New Roman"/>
        </w:rPr>
        <w:t>and the representative plaintiff</w:t>
      </w:r>
      <w:r w:rsidR="00110FFB" w:rsidRPr="00CB2E9A">
        <w:rPr>
          <w:rFonts w:ascii="Times New Roman" w:hAnsi="Times New Roman"/>
        </w:rPr>
        <w:t>s</w:t>
      </w:r>
      <w:r w:rsidR="00882DDE" w:rsidRPr="00CB2E9A">
        <w:rPr>
          <w:rFonts w:ascii="Times New Roman" w:hAnsi="Times New Roman"/>
        </w:rPr>
        <w:t xml:space="preserve"> (or</w:t>
      </w:r>
      <w:r w:rsidR="002F01E6" w:rsidRPr="00CB2E9A">
        <w:rPr>
          <w:rFonts w:ascii="Times New Roman" w:hAnsi="Times New Roman"/>
        </w:rPr>
        <w:t>,</w:t>
      </w:r>
      <w:r w:rsidR="00882DDE" w:rsidRPr="00CB2E9A">
        <w:rPr>
          <w:rFonts w:ascii="Times New Roman" w:hAnsi="Times New Roman"/>
        </w:rPr>
        <w:t xml:space="preserve"> </w:t>
      </w:r>
      <w:r w:rsidR="002F01E6" w:rsidRPr="00CB2E9A">
        <w:rPr>
          <w:rFonts w:ascii="Times New Roman" w:hAnsi="Times New Roman"/>
        </w:rPr>
        <w:t xml:space="preserve">alternatively, </w:t>
      </w:r>
      <w:r w:rsidR="00882DDE" w:rsidRPr="00CB2E9A">
        <w:rPr>
          <w:rFonts w:ascii="Times New Roman" w:hAnsi="Times New Roman"/>
        </w:rPr>
        <w:t>Lendlease</w:t>
      </w:r>
      <w:r w:rsidR="003778A5" w:rsidRPr="00CB2E9A">
        <w:rPr>
          <w:rFonts w:ascii="Times New Roman" w:hAnsi="Times New Roman"/>
        </w:rPr>
        <w:t xml:space="preserve">) </w:t>
      </w:r>
      <w:r w:rsidR="00384318" w:rsidRPr="00CB2E9A">
        <w:rPr>
          <w:rFonts w:ascii="Times New Roman" w:hAnsi="Times New Roman"/>
        </w:rPr>
        <w:t xml:space="preserve">will seek an order from the </w:t>
      </w:r>
      <w:r w:rsidR="006C7EE9" w:rsidRPr="00CB2E9A">
        <w:rPr>
          <w:rFonts w:ascii="Times New Roman" w:hAnsi="Times New Roman"/>
        </w:rPr>
        <w:t>Court</w:t>
      </w:r>
      <w:r w:rsidR="00384318" w:rsidRPr="00CB2E9A">
        <w:rPr>
          <w:rFonts w:ascii="Times New Roman" w:hAnsi="Times New Roman"/>
        </w:rPr>
        <w:t xml:space="preserve"> </w:t>
      </w:r>
      <w:r w:rsidR="006C7EE9" w:rsidRPr="00CB2E9A">
        <w:rPr>
          <w:rFonts w:ascii="Times New Roman" w:hAnsi="Times New Roman"/>
        </w:rPr>
        <w:t xml:space="preserve">to the effect that such group members be bound by the settlement (thereby extinguishing their individual rights against Lendlease) </w:t>
      </w:r>
      <w:r w:rsidR="00F66365" w:rsidRPr="00CB2E9A">
        <w:rPr>
          <w:rFonts w:ascii="Times New Roman" w:hAnsi="Times New Roman"/>
        </w:rPr>
        <w:t xml:space="preserve">but not be permitted </w:t>
      </w:r>
      <w:r w:rsidR="00331319" w:rsidRPr="00CB2E9A">
        <w:rPr>
          <w:rFonts w:ascii="Times New Roman" w:hAnsi="Times New Roman"/>
        </w:rPr>
        <w:t xml:space="preserve">without leave </w:t>
      </w:r>
      <w:r w:rsidR="00F66365" w:rsidRPr="00CB2E9A">
        <w:rPr>
          <w:rFonts w:ascii="Times New Roman" w:hAnsi="Times New Roman"/>
        </w:rPr>
        <w:t>to benefit from the settlement. Encouraging group members to register their participation in a represent</w:t>
      </w:r>
      <w:r w:rsidR="00895E71" w:rsidRPr="00CB2E9A">
        <w:rPr>
          <w:rFonts w:ascii="Times New Roman" w:hAnsi="Times New Roman"/>
        </w:rPr>
        <w:t>ative</w:t>
      </w:r>
      <w:r w:rsidR="00F66365" w:rsidRPr="00CB2E9A">
        <w:rPr>
          <w:rFonts w:ascii="Times New Roman" w:hAnsi="Times New Roman"/>
        </w:rPr>
        <w:t xml:space="preserve"> proceeding for the purpose of facilitating effective settlement negotiations does not transform an opt out scheme into an opt in scheme. The proceeding may or may not settle. </w:t>
      </w:r>
      <w:r w:rsidR="005F7907" w:rsidRPr="00CB2E9A">
        <w:rPr>
          <w:rFonts w:ascii="Times New Roman" w:hAnsi="Times New Roman"/>
        </w:rPr>
        <w:t xml:space="preserve">The Court is not bound to make the </w:t>
      </w:r>
      <w:r w:rsidR="00895E71" w:rsidRPr="00CB2E9A">
        <w:rPr>
          <w:rFonts w:ascii="Times New Roman" w:hAnsi="Times New Roman"/>
        </w:rPr>
        <w:t xml:space="preserve">foreshadowed </w:t>
      </w:r>
      <w:r w:rsidR="005F7907" w:rsidRPr="00CB2E9A">
        <w:rPr>
          <w:rFonts w:ascii="Times New Roman" w:hAnsi="Times New Roman"/>
        </w:rPr>
        <w:t xml:space="preserve">order. The </w:t>
      </w:r>
      <w:r w:rsidR="00895E71" w:rsidRPr="00CB2E9A">
        <w:rPr>
          <w:rFonts w:ascii="Times New Roman" w:hAnsi="Times New Roman"/>
        </w:rPr>
        <w:t>representative plaintiff</w:t>
      </w:r>
      <w:r w:rsidR="00110FFB" w:rsidRPr="00CB2E9A">
        <w:rPr>
          <w:rFonts w:ascii="Times New Roman" w:hAnsi="Times New Roman"/>
        </w:rPr>
        <w:t>s</w:t>
      </w:r>
      <w:r w:rsidR="00895E71" w:rsidRPr="00CB2E9A">
        <w:rPr>
          <w:rFonts w:ascii="Times New Roman" w:hAnsi="Times New Roman"/>
        </w:rPr>
        <w:t xml:space="preserve"> and Lendlease also </w:t>
      </w:r>
      <w:r w:rsidR="005F7907" w:rsidRPr="00CB2E9A">
        <w:rPr>
          <w:rFonts w:ascii="Times New Roman" w:hAnsi="Times New Roman"/>
        </w:rPr>
        <w:t xml:space="preserve">know that the Court is not bound to make the </w:t>
      </w:r>
      <w:r w:rsidR="00895E71" w:rsidRPr="00CB2E9A">
        <w:rPr>
          <w:rFonts w:ascii="Times New Roman" w:hAnsi="Times New Roman"/>
        </w:rPr>
        <w:t xml:space="preserve">foreshadowed </w:t>
      </w:r>
      <w:r w:rsidR="005F7907" w:rsidRPr="00CB2E9A">
        <w:rPr>
          <w:rFonts w:ascii="Times New Roman" w:hAnsi="Times New Roman"/>
        </w:rPr>
        <w:t xml:space="preserve">order. They know </w:t>
      </w:r>
      <w:r w:rsidR="00895E71" w:rsidRPr="00CB2E9A">
        <w:rPr>
          <w:rFonts w:ascii="Times New Roman" w:hAnsi="Times New Roman"/>
        </w:rPr>
        <w:t xml:space="preserve">in addition </w:t>
      </w:r>
      <w:r w:rsidR="005F7907" w:rsidRPr="00CB2E9A">
        <w:rPr>
          <w:rFonts w:ascii="Times New Roman" w:hAnsi="Times New Roman"/>
        </w:rPr>
        <w:t xml:space="preserve">that the Court will be </w:t>
      </w:r>
      <w:r w:rsidR="001744CE" w:rsidRPr="00CB2E9A">
        <w:rPr>
          <w:rFonts w:ascii="Times New Roman" w:hAnsi="Times New Roman"/>
        </w:rPr>
        <w:t xml:space="preserve">sensitive to </w:t>
      </w:r>
      <w:r w:rsidR="005F7907" w:rsidRPr="00CB2E9A">
        <w:rPr>
          <w:rFonts w:ascii="Times New Roman" w:hAnsi="Times New Roman"/>
        </w:rPr>
        <w:t xml:space="preserve">the </w:t>
      </w:r>
      <w:r w:rsidR="00F75BD5" w:rsidRPr="00CB2E9A">
        <w:rPr>
          <w:rFonts w:ascii="Times New Roman" w:hAnsi="Times New Roman"/>
        </w:rPr>
        <w:t xml:space="preserve">potential for </w:t>
      </w:r>
      <w:r w:rsidR="00E61492" w:rsidRPr="00CB2E9A">
        <w:rPr>
          <w:rFonts w:ascii="Times New Roman" w:hAnsi="Times New Roman"/>
        </w:rPr>
        <w:t xml:space="preserve">inconsistencies </w:t>
      </w:r>
      <w:r w:rsidR="00F75BD5" w:rsidRPr="00CB2E9A">
        <w:rPr>
          <w:rFonts w:ascii="Times New Roman" w:hAnsi="Times New Roman"/>
        </w:rPr>
        <w:t xml:space="preserve">of interest between the </w:t>
      </w:r>
      <w:r w:rsidR="001744CE" w:rsidRPr="00CB2E9A">
        <w:rPr>
          <w:rFonts w:ascii="Times New Roman" w:hAnsi="Times New Roman"/>
        </w:rPr>
        <w:t>representative</w:t>
      </w:r>
      <w:r w:rsidR="00F75BD5" w:rsidRPr="00CB2E9A">
        <w:rPr>
          <w:rFonts w:ascii="Times New Roman" w:hAnsi="Times New Roman"/>
        </w:rPr>
        <w:t xml:space="preserve"> plaintiff</w:t>
      </w:r>
      <w:r w:rsidR="00AB6A65" w:rsidRPr="00CB2E9A">
        <w:rPr>
          <w:rFonts w:ascii="Times New Roman" w:hAnsi="Times New Roman"/>
        </w:rPr>
        <w:t>s</w:t>
      </w:r>
      <w:r w:rsidR="00F75BD5" w:rsidRPr="00CB2E9A">
        <w:rPr>
          <w:rFonts w:ascii="Times New Roman" w:hAnsi="Times New Roman"/>
        </w:rPr>
        <w:t xml:space="preserve"> and group members who have neither opted out nor registered their </w:t>
      </w:r>
      <w:r w:rsidR="001744CE" w:rsidRPr="00CB2E9A">
        <w:rPr>
          <w:rFonts w:ascii="Times New Roman" w:hAnsi="Times New Roman"/>
        </w:rPr>
        <w:t>participation</w:t>
      </w:r>
      <w:r w:rsidR="00F75BD5" w:rsidRPr="00CB2E9A">
        <w:rPr>
          <w:rFonts w:ascii="Times New Roman" w:hAnsi="Times New Roman"/>
        </w:rPr>
        <w:t xml:space="preserve"> in accordance with the notice </w:t>
      </w:r>
      <w:r w:rsidR="001744CE" w:rsidRPr="00CB2E9A">
        <w:rPr>
          <w:rFonts w:ascii="Times New Roman" w:hAnsi="Times New Roman"/>
        </w:rPr>
        <w:t xml:space="preserve">to have affected the fairness and </w:t>
      </w:r>
      <w:r w:rsidR="00A91598" w:rsidRPr="00CB2E9A">
        <w:rPr>
          <w:rFonts w:ascii="Times New Roman" w:hAnsi="Times New Roman"/>
        </w:rPr>
        <w:t>just</w:t>
      </w:r>
      <w:r w:rsidR="00A91598">
        <w:rPr>
          <w:rFonts w:ascii="Times New Roman" w:hAnsi="Times New Roman"/>
        </w:rPr>
        <w:t>ice</w:t>
      </w:r>
      <w:r w:rsidR="00A91598" w:rsidRPr="00CB2E9A">
        <w:rPr>
          <w:rFonts w:ascii="Times New Roman" w:hAnsi="Times New Roman"/>
        </w:rPr>
        <w:t xml:space="preserve"> </w:t>
      </w:r>
      <w:r w:rsidR="001744CE" w:rsidRPr="00CB2E9A">
        <w:rPr>
          <w:rFonts w:ascii="Times New Roman" w:hAnsi="Times New Roman"/>
        </w:rPr>
        <w:t xml:space="preserve">of the settlement for which approval is sought and the terms of any such approval. </w:t>
      </w:r>
      <w:r w:rsidR="002A5E3E" w:rsidRPr="00CB2E9A">
        <w:rPr>
          <w:rFonts w:ascii="Times New Roman" w:hAnsi="Times New Roman"/>
        </w:rPr>
        <w:t>In these circumstances, if th</w:t>
      </w:r>
      <w:r w:rsidR="00E61492" w:rsidRPr="00CB2E9A">
        <w:rPr>
          <w:rFonts w:ascii="Times New Roman" w:hAnsi="Times New Roman"/>
        </w:rPr>
        <w:t xml:space="preserve">at </w:t>
      </w:r>
      <w:r w:rsidR="002A5E3E" w:rsidRPr="00CB2E9A">
        <w:rPr>
          <w:rFonts w:ascii="Times New Roman" w:hAnsi="Times New Roman"/>
        </w:rPr>
        <w:t xml:space="preserve">potential has resulted in the appearance of </w:t>
      </w:r>
      <w:r w:rsidR="00F477C3" w:rsidRPr="00CB2E9A">
        <w:rPr>
          <w:rFonts w:ascii="Times New Roman" w:hAnsi="Times New Roman"/>
        </w:rPr>
        <w:t>inadequate</w:t>
      </w:r>
      <w:r w:rsidR="002A5E3E" w:rsidRPr="00CB2E9A">
        <w:rPr>
          <w:rFonts w:ascii="Times New Roman" w:hAnsi="Times New Roman"/>
        </w:rPr>
        <w:t xml:space="preserve"> </w:t>
      </w:r>
      <w:r w:rsidR="002A5E3E" w:rsidRPr="00CB2E9A">
        <w:rPr>
          <w:rFonts w:ascii="Times New Roman" w:hAnsi="Times New Roman"/>
        </w:rPr>
        <w:lastRenderedPageBreak/>
        <w:t xml:space="preserve">representation </w:t>
      </w:r>
      <w:r w:rsidR="0038694D" w:rsidRPr="00CB2E9A">
        <w:rPr>
          <w:rFonts w:ascii="Times New Roman" w:hAnsi="Times New Roman"/>
        </w:rPr>
        <w:t>by the representative plaintiff</w:t>
      </w:r>
      <w:r w:rsidR="00AB6A65" w:rsidRPr="00CB2E9A">
        <w:rPr>
          <w:rFonts w:ascii="Times New Roman" w:hAnsi="Times New Roman"/>
        </w:rPr>
        <w:t>s</w:t>
      </w:r>
      <w:r w:rsidR="0038694D" w:rsidRPr="00CB2E9A">
        <w:rPr>
          <w:rFonts w:ascii="Times New Roman" w:hAnsi="Times New Roman"/>
        </w:rPr>
        <w:t xml:space="preserve"> </w:t>
      </w:r>
      <w:r w:rsidR="002A5E3E" w:rsidRPr="00CB2E9A">
        <w:rPr>
          <w:rFonts w:ascii="Times New Roman" w:hAnsi="Times New Roman"/>
        </w:rPr>
        <w:t xml:space="preserve">of the interests of all group members, the </w:t>
      </w:r>
      <w:r w:rsidR="00F477C3" w:rsidRPr="00CB2E9A">
        <w:rPr>
          <w:rFonts w:ascii="Times New Roman" w:hAnsi="Times New Roman"/>
        </w:rPr>
        <w:t>Court</w:t>
      </w:r>
      <w:r w:rsidR="002A5E3E" w:rsidRPr="00CB2E9A">
        <w:rPr>
          <w:rFonts w:ascii="Times New Roman" w:hAnsi="Times New Roman"/>
        </w:rPr>
        <w:t xml:space="preserve"> has </w:t>
      </w:r>
      <w:r w:rsidR="00F477C3" w:rsidRPr="00CB2E9A">
        <w:rPr>
          <w:rFonts w:ascii="Times New Roman" w:hAnsi="Times New Roman"/>
        </w:rPr>
        <w:t xml:space="preserve">powers to </w:t>
      </w:r>
      <w:r w:rsidR="00EE5048" w:rsidRPr="00CB2E9A">
        <w:rPr>
          <w:rFonts w:ascii="Times New Roman" w:hAnsi="Times New Roman"/>
        </w:rPr>
        <w:t xml:space="preserve">make orders </w:t>
      </w:r>
      <w:r w:rsidR="00C1210B" w:rsidRPr="00CB2E9A">
        <w:rPr>
          <w:rFonts w:ascii="Times New Roman" w:hAnsi="Times New Roman"/>
        </w:rPr>
        <w:t>intended to expose or ameliorate that</w:t>
      </w:r>
      <w:r w:rsidR="008C6344" w:rsidRPr="00CB2E9A">
        <w:rPr>
          <w:rFonts w:ascii="Times New Roman" w:hAnsi="Times New Roman"/>
        </w:rPr>
        <w:t xml:space="preserve"> inadequacy</w:t>
      </w:r>
      <w:r w:rsidR="00C1210B" w:rsidRPr="00CB2E9A">
        <w:rPr>
          <w:rFonts w:ascii="Times New Roman" w:hAnsi="Times New Roman"/>
        </w:rPr>
        <w:t xml:space="preserve"> as appropriate. It is in the interests of </w:t>
      </w:r>
      <w:r w:rsidR="00EA0DBD" w:rsidRPr="00CB2E9A">
        <w:rPr>
          <w:rFonts w:ascii="Times New Roman" w:hAnsi="Times New Roman"/>
        </w:rPr>
        <w:t xml:space="preserve">neither </w:t>
      </w:r>
      <w:r w:rsidR="00C1210B" w:rsidRPr="00CB2E9A">
        <w:rPr>
          <w:rFonts w:ascii="Times New Roman" w:hAnsi="Times New Roman"/>
        </w:rPr>
        <w:t xml:space="preserve">the </w:t>
      </w:r>
      <w:r w:rsidR="0038694D" w:rsidRPr="00CB2E9A">
        <w:rPr>
          <w:rFonts w:ascii="Times New Roman" w:hAnsi="Times New Roman"/>
        </w:rPr>
        <w:t>representative plaintiff</w:t>
      </w:r>
      <w:r w:rsidR="001B1EBD" w:rsidRPr="00CB2E9A">
        <w:rPr>
          <w:rFonts w:ascii="Times New Roman" w:hAnsi="Times New Roman"/>
        </w:rPr>
        <w:t>s</w:t>
      </w:r>
      <w:r w:rsidR="0038694D" w:rsidRPr="00CB2E9A">
        <w:rPr>
          <w:rFonts w:ascii="Times New Roman" w:hAnsi="Times New Roman"/>
        </w:rPr>
        <w:t xml:space="preserve"> nor Lendlease to present the Court with a settlement for approval in which there is the appearance of unfairness or injustice to any group member</w:t>
      </w:r>
      <w:r w:rsidR="00F51DCE" w:rsidRPr="00CB2E9A">
        <w:rPr>
          <w:rFonts w:ascii="Times New Roman" w:hAnsi="Times New Roman"/>
        </w:rPr>
        <w:t>s. Such an appearance will immediately raise concerns as to whether the representative plaintiff</w:t>
      </w:r>
      <w:r w:rsidR="001C28E9" w:rsidRPr="00CB2E9A">
        <w:rPr>
          <w:rFonts w:ascii="Times New Roman" w:hAnsi="Times New Roman"/>
        </w:rPr>
        <w:t>s</w:t>
      </w:r>
      <w:r w:rsidR="00F51DCE" w:rsidRPr="00CB2E9A">
        <w:rPr>
          <w:rFonts w:ascii="Times New Roman" w:hAnsi="Times New Roman"/>
        </w:rPr>
        <w:t xml:space="preserve"> can continue to adequately represent the interests of all group members</w:t>
      </w:r>
      <w:r w:rsidR="00011AAC" w:rsidRPr="00CB2E9A">
        <w:rPr>
          <w:rFonts w:ascii="Times New Roman" w:hAnsi="Times New Roman"/>
        </w:rPr>
        <w:t xml:space="preserve"> and </w:t>
      </w:r>
      <w:r w:rsidR="00727E6D" w:rsidRPr="00CB2E9A">
        <w:rPr>
          <w:rFonts w:ascii="Times New Roman" w:hAnsi="Times New Roman"/>
        </w:rPr>
        <w:t xml:space="preserve">be relevant to </w:t>
      </w:r>
      <w:r w:rsidR="00011AAC" w:rsidRPr="00CB2E9A">
        <w:rPr>
          <w:rFonts w:ascii="Times New Roman" w:hAnsi="Times New Roman"/>
        </w:rPr>
        <w:t xml:space="preserve">the </w:t>
      </w:r>
      <w:r w:rsidR="00290E83" w:rsidRPr="00CB2E9A">
        <w:rPr>
          <w:rFonts w:ascii="Times New Roman" w:hAnsi="Times New Roman"/>
        </w:rPr>
        <w:t xml:space="preserve">Court </w:t>
      </w:r>
      <w:r w:rsidR="00727E6D" w:rsidRPr="00CB2E9A">
        <w:rPr>
          <w:rFonts w:ascii="Times New Roman" w:hAnsi="Times New Roman"/>
        </w:rPr>
        <w:t xml:space="preserve">deciding whether to </w:t>
      </w:r>
      <w:r w:rsidR="00290E83" w:rsidRPr="00CB2E9A">
        <w:rPr>
          <w:rFonts w:ascii="Times New Roman" w:hAnsi="Times New Roman"/>
        </w:rPr>
        <w:t>approv</w:t>
      </w:r>
      <w:r w:rsidR="00727E6D" w:rsidRPr="00CB2E9A">
        <w:rPr>
          <w:rFonts w:ascii="Times New Roman" w:hAnsi="Times New Roman"/>
        </w:rPr>
        <w:t>e</w:t>
      </w:r>
      <w:r w:rsidR="00290E83" w:rsidRPr="00CB2E9A">
        <w:rPr>
          <w:rFonts w:ascii="Times New Roman" w:hAnsi="Times New Roman"/>
        </w:rPr>
        <w:t xml:space="preserve"> the settlement</w:t>
      </w:r>
      <w:r w:rsidR="00F51DCE" w:rsidRPr="00CB2E9A">
        <w:rPr>
          <w:rFonts w:ascii="Times New Roman" w:hAnsi="Times New Roman"/>
        </w:rPr>
        <w:t>.</w:t>
      </w:r>
    </w:p>
    <w:p w14:paraId="0726B96D" w14:textId="46199B81" w:rsidR="00F51DCE" w:rsidRPr="00CB2E9A" w:rsidRDefault="00F51DCE" w:rsidP="00CB2E9A">
      <w:pPr>
        <w:pStyle w:val="FixListStyle"/>
        <w:spacing w:after="260" w:line="280" w:lineRule="exact"/>
        <w:ind w:right="0"/>
        <w:jc w:val="both"/>
        <w:rPr>
          <w:rFonts w:ascii="Times New Roman" w:hAnsi="Times New Roman"/>
        </w:rPr>
      </w:pPr>
      <w:r w:rsidRPr="00CB2E9A">
        <w:rPr>
          <w:rFonts w:ascii="Times New Roman" w:hAnsi="Times New Roman"/>
        </w:rPr>
        <w:tab/>
      </w:r>
      <w:r w:rsidR="00A82B34" w:rsidRPr="00CB2E9A">
        <w:rPr>
          <w:rFonts w:ascii="Times New Roman" w:hAnsi="Times New Roman"/>
        </w:rPr>
        <w:t>F</w:t>
      </w:r>
      <w:r w:rsidR="005C13D4" w:rsidRPr="00CB2E9A">
        <w:rPr>
          <w:rFonts w:ascii="Times New Roman" w:hAnsi="Times New Roman"/>
        </w:rPr>
        <w:t>inally, it may be accepted that there are alternatives to the giving of the proposed notice. The existence of these alternatives would be relevant to the Court's discretion wh</w:t>
      </w:r>
      <w:r w:rsidR="005E6B6A" w:rsidRPr="00CB2E9A">
        <w:rPr>
          <w:rFonts w:ascii="Times New Roman" w:hAnsi="Times New Roman"/>
        </w:rPr>
        <w:t>e</w:t>
      </w:r>
      <w:r w:rsidR="005C13D4" w:rsidRPr="00CB2E9A">
        <w:rPr>
          <w:rFonts w:ascii="Times New Roman" w:hAnsi="Times New Roman"/>
        </w:rPr>
        <w:t xml:space="preserve">ther to </w:t>
      </w:r>
      <w:r w:rsidR="005E6B6A" w:rsidRPr="00CB2E9A">
        <w:rPr>
          <w:rFonts w:ascii="Times New Roman" w:hAnsi="Times New Roman"/>
        </w:rPr>
        <w:t xml:space="preserve">order the giving of the proposed notice. They do not, however, indicate a lack of power to make such an order. </w:t>
      </w:r>
    </w:p>
    <w:p w14:paraId="610F07EB" w14:textId="3738C36E" w:rsidR="004951A7" w:rsidRPr="00CB2E9A" w:rsidRDefault="00772D9E" w:rsidP="00CB2E9A">
      <w:pPr>
        <w:pStyle w:val="HeadingL1"/>
        <w:spacing w:after="260" w:line="280" w:lineRule="exact"/>
        <w:ind w:right="0"/>
        <w:jc w:val="both"/>
        <w:rPr>
          <w:rFonts w:ascii="Times New Roman" w:hAnsi="Times New Roman"/>
        </w:rPr>
      </w:pPr>
      <w:r w:rsidRPr="00CB2E9A">
        <w:rPr>
          <w:rFonts w:ascii="Times New Roman" w:hAnsi="Times New Roman"/>
        </w:rPr>
        <w:t>Answer to the separate question and consequential orders</w:t>
      </w:r>
    </w:p>
    <w:p w14:paraId="5318975A" w14:textId="77777777" w:rsidR="00111641" w:rsidRDefault="00772D9E" w:rsidP="001C2BB5">
      <w:pPr>
        <w:pStyle w:val="FixListStyle"/>
        <w:spacing w:after="260" w:line="280" w:lineRule="exact"/>
        <w:ind w:right="0"/>
        <w:jc w:val="both"/>
        <w:rPr>
          <w:rFonts w:ascii="Times New Roman" w:hAnsi="Times New Roman"/>
        </w:rPr>
      </w:pPr>
      <w:r w:rsidRPr="000D2C9D">
        <w:rPr>
          <w:rFonts w:ascii="Times New Roman" w:hAnsi="Times New Roman"/>
        </w:rPr>
        <w:tab/>
        <w:t xml:space="preserve">For these reasons the separate question should be answered "yes". </w:t>
      </w:r>
      <w:r w:rsidR="00231A85" w:rsidRPr="000D2C9D">
        <w:rPr>
          <w:rFonts w:ascii="Times New Roman" w:hAnsi="Times New Roman"/>
        </w:rPr>
        <w:t>The orders otherwise proposed by Gordon and Steward JJ should</w:t>
      </w:r>
      <w:r w:rsidR="00782C02" w:rsidRPr="000D2C9D">
        <w:rPr>
          <w:rFonts w:ascii="Times New Roman" w:hAnsi="Times New Roman"/>
        </w:rPr>
        <w:t xml:space="preserve"> also</w:t>
      </w:r>
      <w:r w:rsidR="00231A85" w:rsidRPr="000D2C9D">
        <w:rPr>
          <w:rFonts w:ascii="Times New Roman" w:hAnsi="Times New Roman"/>
        </w:rPr>
        <w:t xml:space="preserve"> be made.</w:t>
      </w:r>
    </w:p>
    <w:p w14:paraId="6F50C316" w14:textId="77777777" w:rsidR="00111641" w:rsidRDefault="00111641" w:rsidP="001C2BB5">
      <w:pPr>
        <w:pStyle w:val="FixListStyle"/>
        <w:spacing w:after="260" w:line="280" w:lineRule="exact"/>
        <w:ind w:right="0"/>
        <w:jc w:val="both"/>
        <w:rPr>
          <w:rFonts w:ascii="Times New Roman" w:hAnsi="Times New Roman"/>
        </w:rPr>
        <w:sectPr w:rsidR="00111641" w:rsidSect="00194AA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90CAB23" w14:textId="77777777" w:rsidR="00111641" w:rsidRPr="005647FA" w:rsidRDefault="00111641" w:rsidP="005647FA">
      <w:pPr>
        <w:pStyle w:val="FixListStyle"/>
        <w:tabs>
          <w:tab w:val="clear" w:pos="720"/>
          <w:tab w:val="left" w:pos="0"/>
        </w:tabs>
        <w:spacing w:after="260" w:line="280" w:lineRule="exact"/>
        <w:ind w:right="0"/>
        <w:jc w:val="both"/>
        <w:rPr>
          <w:rFonts w:ascii="Times New Roman" w:hAnsi="Times New Roman"/>
        </w:rPr>
      </w:pPr>
      <w:r w:rsidRPr="005647FA">
        <w:rPr>
          <w:rFonts w:ascii="Times New Roman" w:hAnsi="Times New Roman"/>
        </w:rPr>
        <w:lastRenderedPageBreak/>
        <w:t xml:space="preserve">GORDON AND STEWARD JJ.   A representative proceeding (or "class action") is in the Supreme Court of New South Wales between the respondents, as representative plaintiffs, and the appellants ("Lendlease") in accordance with Pt 10 of the </w:t>
      </w:r>
      <w:r w:rsidRPr="005647FA">
        <w:rPr>
          <w:rFonts w:ascii="Times New Roman" w:hAnsi="Times New Roman"/>
          <w:i/>
          <w:iCs/>
        </w:rPr>
        <w:t>Civil Procedure Act 2005</w:t>
      </w:r>
      <w:r w:rsidRPr="005647FA">
        <w:rPr>
          <w:rFonts w:ascii="Times New Roman" w:hAnsi="Times New Roman"/>
        </w:rPr>
        <w:t xml:space="preserve"> (NSW) ("the CP Act"). In general terms, the representative plaintiffs commenced the proceeding on behalf of a group of persons who acquired an "interest" in certain securities issued by Lendlease during the period from 17 October 2017 to 8 November 2018 ("the group members"). It is alleged that, during the relevant period, Lendlease engaged in misleading or deceptive conduct and breached its continuous disclosure obligations. It is alleged that, as a result, group members suffered loss and damage </w:t>
      </w:r>
    </w:p>
    <w:p w14:paraId="060E43C5"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The proceeding is open class. The size of the class is potentially very large. The exact size is unknown. During the relevant period the volume of applicable Lendlease securities traded on the Australian Securities Exchange was 444,877,832. The group members include not only those who were registered as the owner of securities, but also those who held an equitable interest in such securities, unbeknownst to Lendlease.</w:t>
      </w:r>
    </w:p>
    <w:p w14:paraId="6C4A9F2D"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Lendlease seeks an order pursuant to s 175(1) and (5), and s 176(1), of the CP Act requiring the issue of a certain notice to group members. The proposed notice would inform members of three choices that they may make. Relevantly, the notice provides as follows: </w:t>
      </w:r>
    </w:p>
    <w:p w14:paraId="05C96D8C" w14:textId="77777777" w:rsidR="00111641" w:rsidRPr="005647FA"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t>"This Notice is sent to you because it is possible you are a member of the class in the Lendlease Class Action. If you are a member of the class in the class action you have three options:</w:t>
      </w:r>
    </w:p>
    <w:p w14:paraId="1B7C526D" w14:textId="77777777" w:rsidR="00111641" w:rsidRPr="005647FA"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 xml:space="preserve">1. </w:t>
      </w:r>
      <w:r w:rsidRPr="005647FA">
        <w:rPr>
          <w:rFonts w:ascii="Times New Roman" w:hAnsi="Times New Roman"/>
        </w:rPr>
        <w:tab/>
      </w:r>
      <w:r w:rsidRPr="005647FA">
        <w:rPr>
          <w:rFonts w:ascii="Times New Roman" w:hAnsi="Times New Roman"/>
          <w:b/>
          <w:bCs/>
        </w:rPr>
        <w:t>Register to participate</w:t>
      </w:r>
      <w:r w:rsidRPr="005647FA">
        <w:rPr>
          <w:rFonts w:ascii="Times New Roman" w:hAnsi="Times New Roman"/>
        </w:rPr>
        <w:t xml:space="preserve"> in the class action by no later than [TBC] (see 'Option A' on page 9). Registering to participate will ensure that you receive any money to which you may be entitled in the event that there is a successful outcome in the class action by way of settlement or judgment.</w:t>
      </w:r>
    </w:p>
    <w:p w14:paraId="0B72ECC7" w14:textId="77777777" w:rsidR="00111641" w:rsidRPr="005647FA"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 xml:space="preserve">2. </w:t>
      </w:r>
      <w:r w:rsidRPr="005647FA">
        <w:rPr>
          <w:rFonts w:ascii="Times New Roman" w:hAnsi="Times New Roman"/>
        </w:rPr>
        <w:tab/>
      </w:r>
      <w:r w:rsidRPr="005647FA">
        <w:rPr>
          <w:rFonts w:ascii="Times New Roman" w:hAnsi="Times New Roman"/>
          <w:b/>
          <w:bCs/>
        </w:rPr>
        <w:t>Opt out</w:t>
      </w:r>
      <w:r w:rsidRPr="005647FA">
        <w:rPr>
          <w:rFonts w:ascii="Times New Roman" w:hAnsi="Times New Roman"/>
        </w:rPr>
        <w:t xml:space="preserve"> of the class action by no later than [TBC] (see 'Option B' on page 10). Opting out will exclude you from the class action, meaning you will not be eligible to receive compensation in the event of a successful outcome, but you will keep your right to make your own claim.</w:t>
      </w:r>
    </w:p>
    <w:p w14:paraId="52F24537" w14:textId="77777777" w:rsidR="00111641"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 xml:space="preserve">3. </w:t>
      </w:r>
      <w:r w:rsidRPr="005647FA">
        <w:rPr>
          <w:rFonts w:ascii="Times New Roman" w:hAnsi="Times New Roman"/>
        </w:rPr>
        <w:tab/>
      </w:r>
      <w:r w:rsidRPr="005647FA">
        <w:rPr>
          <w:rFonts w:ascii="Times New Roman" w:hAnsi="Times New Roman"/>
          <w:b/>
          <w:bCs/>
        </w:rPr>
        <w:t>Do nothing</w:t>
      </w:r>
      <w:r w:rsidRPr="005647FA">
        <w:rPr>
          <w:rFonts w:ascii="Times New Roman" w:hAnsi="Times New Roman"/>
        </w:rPr>
        <w:t xml:space="preserve"> by [TBC] (see 'Option C' on page 10). If you do nothing the parties, alternatively, Lendlease, will seek an order, which, if made, has the effect that you will remain a group member in the class action, but you may, subject to any orders of the Court, not be entitled to receive any payment or other benefit from a future settlement of the class action. If a settlement occurs, then a further </w:t>
      </w:r>
      <w:r w:rsidRPr="005647FA">
        <w:rPr>
          <w:rFonts w:ascii="Times New Roman" w:hAnsi="Times New Roman"/>
        </w:rPr>
        <w:lastRenderedPageBreak/>
        <w:t>notice will be distributed, or advertised, advising of the settlement, and there may or may not be another opportunity to register (this will be a matter for the Court and there is no guarantee any further opportunity will arise)."</w:t>
      </w:r>
    </w:p>
    <w:p w14:paraId="33562E4A"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proposed notice should be explained in more detail. That part of the notice which informs group members of their right to opt out by a fixed date is in conventional form and need not be elaborated further. The part which invites members to register their claim is less orthodox. It costs nothing to register, and those group members who take this step will suffer no disadvantage (unlike those who "do nothing"). Registration may be undertaken by completing and submitting an online registration form. The Court was not supplied with the details of this form but was told that it would address the identity of the group member making a claim, the price paid for the securities and, if sold, the money received for the securities. </w:t>
      </w:r>
    </w:p>
    <w:p w14:paraId="0C3AA886"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At the request of the parties, a judge of the Supreme Court of New South Wales stated as a question for consideration by the Court of Appeal of the Supreme Court of New South Wales whether the Supreme Court has </w:t>
      </w:r>
      <w:r w:rsidRPr="005647FA">
        <w:rPr>
          <w:rFonts w:ascii="Times New Roman" w:hAnsi="Times New Roman"/>
          <w:i/>
          <w:iCs/>
        </w:rPr>
        <w:t>power</w:t>
      </w:r>
      <w:r w:rsidRPr="005647FA">
        <w:rPr>
          <w:rFonts w:ascii="Times New Roman" w:hAnsi="Times New Roman"/>
        </w:rPr>
        <w:t xml:space="preserve">, pursuant to ss 175(1) and (5) and 176(1) of the CP Act or otherwise, to approve the giving of a notice of the kind sought by Lendlease. A previous decision of the New South Wales Court of Appeal – </w:t>
      </w:r>
      <w:r w:rsidRPr="005647FA">
        <w:rPr>
          <w:rFonts w:ascii="Times New Roman" w:hAnsi="Times New Roman"/>
          <w:i/>
          <w:iCs/>
        </w:rPr>
        <w:t>Wigmans v AMP Ltd</w:t>
      </w:r>
      <w:r w:rsidRPr="005647FA">
        <w:rPr>
          <w:rStyle w:val="FootnoteReference"/>
          <w:rFonts w:ascii="Times New Roman" w:hAnsi="Times New Roman"/>
          <w:sz w:val="24"/>
        </w:rPr>
        <w:footnoteReference w:id="53"/>
      </w:r>
      <w:r w:rsidRPr="005647FA">
        <w:rPr>
          <w:rFonts w:ascii="Times New Roman" w:hAnsi="Times New Roman"/>
        </w:rPr>
        <w:t xml:space="preserve"> – held that no such power existed. A subsequent decision of the Full Court of the Federal Court of Australia, concerning the equivalent provisions contained in Pt IVA of the </w:t>
      </w:r>
      <w:r w:rsidRPr="005647FA">
        <w:rPr>
          <w:rFonts w:ascii="Times New Roman" w:hAnsi="Times New Roman"/>
          <w:i/>
          <w:iCs/>
        </w:rPr>
        <w:t>Federal Court of Australia Act 1976</w:t>
      </w:r>
      <w:r w:rsidRPr="005647FA">
        <w:rPr>
          <w:rFonts w:ascii="Times New Roman" w:hAnsi="Times New Roman"/>
        </w:rPr>
        <w:t xml:space="preserve"> (Cth) ("the FCA Act") – </w:t>
      </w:r>
      <w:r w:rsidRPr="005647FA">
        <w:rPr>
          <w:rFonts w:ascii="Times New Roman" w:hAnsi="Times New Roman"/>
          <w:i/>
          <w:iCs/>
        </w:rPr>
        <w:t>Parkin v Boral Ltd</w:t>
      </w:r>
      <w:r w:rsidRPr="005647FA">
        <w:rPr>
          <w:rStyle w:val="FootnoteReference"/>
          <w:rFonts w:ascii="Times New Roman" w:hAnsi="Times New Roman"/>
          <w:sz w:val="24"/>
        </w:rPr>
        <w:footnoteReference w:id="54"/>
      </w:r>
      <w:r w:rsidRPr="005647FA">
        <w:rPr>
          <w:rFonts w:ascii="Times New Roman" w:hAnsi="Times New Roman"/>
        </w:rPr>
        <w:t xml:space="preserve"> – held that such a power did exist and that </w:t>
      </w:r>
      <w:r w:rsidRPr="005647FA">
        <w:rPr>
          <w:rFonts w:ascii="Times New Roman" w:hAnsi="Times New Roman"/>
          <w:i/>
          <w:iCs/>
        </w:rPr>
        <w:t>Wigmans</w:t>
      </w:r>
      <w:r w:rsidRPr="005647FA">
        <w:rPr>
          <w:rFonts w:ascii="Times New Roman" w:hAnsi="Times New Roman"/>
        </w:rPr>
        <w:t xml:space="preserve"> was "plainly wrong".</w:t>
      </w:r>
    </w:p>
    <w:p w14:paraId="415FD5C6"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Below, the Court of Appeal unanimously answered the separate question posed in the negative. For the reasons which follow, the Supreme Court of New South Wales does have the power to order the giving of a notice of the kind sought here by Lendlease. On appeal, this Court had the benefit of submissions addressed to it by a contradictor. The Court is very grateful for such assistance.</w:t>
      </w:r>
    </w:p>
    <w:p w14:paraId="1498F682" w14:textId="77777777" w:rsidR="00111641" w:rsidRPr="005647FA" w:rsidRDefault="00111641" w:rsidP="005647FA">
      <w:pPr>
        <w:pStyle w:val="HeadingL1"/>
        <w:spacing w:after="260" w:line="280" w:lineRule="exact"/>
        <w:ind w:right="0"/>
        <w:jc w:val="both"/>
        <w:rPr>
          <w:rFonts w:ascii="Times New Roman" w:hAnsi="Times New Roman"/>
        </w:rPr>
      </w:pPr>
      <w:r w:rsidRPr="005647FA">
        <w:rPr>
          <w:rFonts w:ascii="Times New Roman" w:hAnsi="Times New Roman"/>
        </w:rPr>
        <w:t>Part 10 of the CP Act</w:t>
      </w:r>
    </w:p>
    <w:p w14:paraId="4B358A14"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Part 10 was inserted into the CP Act by the </w:t>
      </w:r>
      <w:r w:rsidRPr="005647FA">
        <w:rPr>
          <w:rFonts w:ascii="Times New Roman" w:hAnsi="Times New Roman"/>
          <w:i/>
          <w:iCs/>
        </w:rPr>
        <w:t>Courts and Crimes Legislation Further Amendment Act 2010</w:t>
      </w:r>
      <w:r w:rsidRPr="005647FA">
        <w:rPr>
          <w:rFonts w:ascii="Times New Roman" w:hAnsi="Times New Roman"/>
        </w:rPr>
        <w:t xml:space="preserve"> (NSW). Its provisions were "substantially </w:t>
      </w:r>
      <w:r w:rsidRPr="005647FA">
        <w:rPr>
          <w:rFonts w:ascii="Times New Roman" w:hAnsi="Times New Roman"/>
        </w:rPr>
        <w:lastRenderedPageBreak/>
        <w:t>modelled"</w:t>
      </w:r>
      <w:r w:rsidRPr="005647FA">
        <w:rPr>
          <w:rStyle w:val="FootnoteReference"/>
          <w:rFonts w:ascii="Times New Roman" w:hAnsi="Times New Roman"/>
          <w:sz w:val="24"/>
        </w:rPr>
        <w:footnoteReference w:id="55"/>
      </w:r>
      <w:r w:rsidRPr="005647FA">
        <w:rPr>
          <w:rFonts w:ascii="Times New Roman" w:hAnsi="Times New Roman"/>
        </w:rPr>
        <w:t xml:space="preserve"> on Pt IVA of the FCA Act and are in materially identical terms. To address the issue of power, an understanding of the relevant provisions of Pt 10 is required.</w:t>
      </w:r>
    </w:p>
    <w:p w14:paraId="5FFF0B96"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Pursuant to s 157(1) of the CP Act, a representative proceeding can be commenced where: seven or more persons have claims against the same person; the claims of all those persons are not necessarily the same, but are in respect of, or arise out of, the same, similar or related circumstances; and the claims give rise to a substantial common question of law or fact; in which case, proceedings can be commenced by one or more of those persons as representing some or all of them. It is the representative plaintiff who may define the group;</w:t>
      </w:r>
      <w:r w:rsidRPr="005647FA">
        <w:rPr>
          <w:rStyle w:val="FootnoteReference"/>
          <w:rFonts w:ascii="Times New Roman" w:hAnsi="Times New Roman"/>
          <w:sz w:val="24"/>
        </w:rPr>
        <w:footnoteReference w:id="56"/>
      </w:r>
      <w:r w:rsidRPr="005647FA">
        <w:rPr>
          <w:rFonts w:ascii="Times New Roman" w:hAnsi="Times New Roman"/>
        </w:rPr>
        <w:t xml:space="preserve"> the group may be limited and perhaps require registration of claims in some way, and is thus commonly described as "closed", or it may require no such registration, and thus be commonly regarded as "open". Registration is not required by Pt 10 but is a common feature of representative proceedings. It provides the representative plaintiff with information about the potential size of the class and the identity of the group members. In that respect, the representative plaintiff can be characterised as having assumed, upon the commencement of proceedings, a "limited form of statutory agency".</w:t>
      </w:r>
      <w:r w:rsidRPr="005647FA">
        <w:rPr>
          <w:rStyle w:val="FootnoteReference"/>
          <w:rFonts w:ascii="Times New Roman" w:hAnsi="Times New Roman"/>
          <w:sz w:val="24"/>
        </w:rPr>
        <w:footnoteReference w:id="57"/>
      </w:r>
    </w:p>
    <w:p w14:paraId="566C7007"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The consent of a person to be a group member is not required,</w:t>
      </w:r>
      <w:r w:rsidRPr="005647FA">
        <w:rPr>
          <w:rStyle w:val="FootnoteReference"/>
          <w:rFonts w:ascii="Times New Roman" w:hAnsi="Times New Roman"/>
          <w:sz w:val="24"/>
        </w:rPr>
        <w:footnoteReference w:id="58"/>
      </w:r>
      <w:r w:rsidRPr="005647FA">
        <w:rPr>
          <w:rFonts w:ascii="Times New Roman" w:hAnsi="Times New Roman"/>
        </w:rPr>
        <w:t xml:space="preserve"> but a group member otherwise has a right to "opt out" of the proceeding.</w:t>
      </w:r>
      <w:r w:rsidRPr="005647FA">
        <w:rPr>
          <w:rStyle w:val="FootnoteReference"/>
          <w:rFonts w:ascii="Times New Roman" w:hAnsi="Times New Roman"/>
          <w:sz w:val="24"/>
        </w:rPr>
        <w:footnoteReference w:id="59"/>
      </w:r>
      <w:r w:rsidRPr="005647FA">
        <w:rPr>
          <w:rFonts w:ascii="Times New Roman" w:hAnsi="Times New Roman"/>
        </w:rPr>
        <w:t xml:space="preserve"> This feature of Pt 10 was pivotal in the reasoning of the Court of Appeal below. The right to opt out is facilitated by the giving of a notice informing group members of the ability to exercise the right before a date fixed by the Court.</w:t>
      </w:r>
      <w:r w:rsidRPr="005647FA">
        <w:rPr>
          <w:rStyle w:val="FootnoteReference"/>
          <w:rFonts w:ascii="Times New Roman" w:hAnsi="Times New Roman"/>
          <w:sz w:val="24"/>
        </w:rPr>
        <w:footnoteReference w:id="60"/>
      </w:r>
      <w:r w:rsidRPr="005647FA">
        <w:rPr>
          <w:rFonts w:ascii="Times New Roman" w:hAnsi="Times New Roman"/>
        </w:rPr>
        <w:t xml:space="preserve"> This way of forming a group is reflected in the following observation of Gaudron, Gummow and Hayne JJ in </w:t>
      </w:r>
      <w:r w:rsidRPr="005647FA">
        <w:rPr>
          <w:rFonts w:ascii="Times New Roman" w:hAnsi="Times New Roman"/>
          <w:i/>
          <w:iCs/>
        </w:rPr>
        <w:t>Mobil Oil Australia Pty Ltd v Victoria</w:t>
      </w:r>
      <w:r w:rsidRPr="005647FA">
        <w:rPr>
          <w:rFonts w:ascii="Times New Roman" w:hAnsi="Times New Roman"/>
        </w:rPr>
        <w:t>:</w:t>
      </w:r>
      <w:r w:rsidRPr="005647FA">
        <w:rPr>
          <w:rStyle w:val="FootnoteReference"/>
          <w:rFonts w:ascii="Times New Roman" w:hAnsi="Times New Roman"/>
          <w:sz w:val="24"/>
        </w:rPr>
        <w:footnoteReference w:id="61"/>
      </w:r>
    </w:p>
    <w:p w14:paraId="1912A406" w14:textId="77777777" w:rsidR="00111641"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lastRenderedPageBreak/>
        <w:t xml:space="preserve">"[P]ersons who are group members may opt out of the proceeding and, if they do, they are taken never to have been a group member (unless the Court otherwise orders) ... </w:t>
      </w:r>
      <w:r w:rsidRPr="005647FA">
        <w:rPr>
          <w:rFonts w:ascii="Times New Roman" w:hAnsi="Times New Roman"/>
          <w:i/>
          <w:iCs/>
        </w:rPr>
        <w:t>Group members, however, need take no positive step in the prosecution of the proceeding to judgment to gain whatever benefit its prosecution may bring</w:t>
      </w:r>
      <w:r w:rsidRPr="005647FA">
        <w:rPr>
          <w:rFonts w:ascii="Times New Roman" w:hAnsi="Times New Roman"/>
        </w:rPr>
        <w:t>."</w:t>
      </w:r>
    </w:p>
    <w:p w14:paraId="7B2B27BC" w14:textId="77777777" w:rsidR="00111641" w:rsidRPr="005647FA" w:rsidRDefault="00111641" w:rsidP="005647FA">
      <w:pPr>
        <w:pStyle w:val="NormalBody"/>
        <w:spacing w:after="260" w:line="280" w:lineRule="exact"/>
        <w:ind w:right="0"/>
        <w:jc w:val="both"/>
        <w:rPr>
          <w:rFonts w:ascii="Times New Roman" w:hAnsi="Times New Roman"/>
        </w:rPr>
      </w:pPr>
      <w:r w:rsidRPr="005647FA">
        <w:rPr>
          <w:rFonts w:ascii="Times New Roman" w:hAnsi="Times New Roman"/>
        </w:rPr>
        <w:t>The last sentence of that observation assumed considerable importance in the arguments below and before this Court.</w:t>
      </w:r>
    </w:p>
    <w:p w14:paraId="41A041EC"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Another critical feature of the Pt 10 regime is that a class action may not be settled or discontinued without the approval of the Court.</w:t>
      </w:r>
      <w:r w:rsidRPr="005647FA">
        <w:rPr>
          <w:rStyle w:val="FootnoteReference"/>
          <w:rFonts w:ascii="Times New Roman" w:hAnsi="Times New Roman"/>
          <w:sz w:val="24"/>
        </w:rPr>
        <w:footnoteReference w:id="62"/>
      </w:r>
      <w:r w:rsidRPr="005647FA">
        <w:rPr>
          <w:rFonts w:ascii="Times New Roman" w:hAnsi="Times New Roman"/>
        </w:rPr>
        <w:t xml:space="preserve"> In giving approval, the Court may make such orders "as are just" with respect to the distribution of money paid under a settlement or paid into Court.</w:t>
      </w:r>
      <w:r w:rsidRPr="005647FA">
        <w:rPr>
          <w:rStyle w:val="FootnoteReference"/>
          <w:rFonts w:ascii="Times New Roman" w:hAnsi="Times New Roman"/>
          <w:sz w:val="24"/>
        </w:rPr>
        <w:footnoteReference w:id="63"/>
      </w:r>
      <w:r w:rsidRPr="005647FA">
        <w:rPr>
          <w:rFonts w:ascii="Times New Roman" w:hAnsi="Times New Roman"/>
        </w:rPr>
        <w:t xml:space="preserve"> It is at the stage of the approval of any settlement that Lendlease would make its submission to exclude unregistered group members from benefitting in any way. It was not argued that the Court could never approve a settlement on these terms, or that it had no power to refuse to make the order. The Court's power of approval is emblematic of its supervisory jurisdiction over class actions. Another example of this jurisdiction is the Court's power to substitute a representative plaintiff with another group member where that representative is not adequately able to represent the interests of group members.</w:t>
      </w:r>
      <w:r w:rsidRPr="005647FA">
        <w:rPr>
          <w:rStyle w:val="FootnoteReference"/>
          <w:rFonts w:ascii="Times New Roman" w:hAnsi="Times New Roman"/>
          <w:sz w:val="24"/>
        </w:rPr>
        <w:footnoteReference w:id="64"/>
      </w:r>
      <w:r w:rsidRPr="005647FA">
        <w:rPr>
          <w:rFonts w:ascii="Times New Roman" w:hAnsi="Times New Roman"/>
        </w:rPr>
        <w:t xml:space="preserve"> In that respect, because a settlement can only be effective with an order or orders of the Court, it should be accepted that Pt 10 is directed at achieving fair and effective outcomes by means of settlement as well as by final judgment. </w:t>
      </w:r>
    </w:p>
    <w:p w14:paraId="3C0DC07E"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Section 175 of the CP Act addresses the power and duty of the Court to require that notice of certain matters is given to group members. It provides:</w:t>
      </w:r>
    </w:p>
    <w:p w14:paraId="769E7FBB" w14:textId="77777777" w:rsidR="00111641" w:rsidRPr="005647FA"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t>"</w:t>
      </w:r>
      <w:r w:rsidRPr="005647FA">
        <w:rPr>
          <w:rFonts w:ascii="Times New Roman" w:hAnsi="Times New Roman"/>
          <w:b/>
          <w:bCs/>
        </w:rPr>
        <w:t>Notice to be given of certain matters</w:t>
      </w:r>
      <w:r w:rsidRPr="005647FA">
        <w:rPr>
          <w:rFonts w:ascii="Times New Roman" w:hAnsi="Times New Roman"/>
        </w:rPr>
        <w:t xml:space="preserve"> (cf s 33X FCA)</w:t>
      </w:r>
    </w:p>
    <w:p w14:paraId="39972098" w14:textId="77777777" w:rsidR="00111641" w:rsidRPr="005647FA"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(1)</w:t>
      </w:r>
      <w:r w:rsidRPr="005647FA">
        <w:rPr>
          <w:rFonts w:ascii="Times New Roman" w:hAnsi="Times New Roman"/>
        </w:rPr>
        <w:tab/>
        <w:t>Notice must be given to group members of the following matters in relation to representative proceedings</w:t>
      </w:r>
      <w:r w:rsidRPr="005647FA">
        <w:rPr>
          <w:rFonts w:ascii="Times New Roman" w:hAnsi="Times New Roman"/>
          <w:color w:val="111111"/>
          <w:shd w:val="clear" w:color="auto" w:fill="FFFFFF"/>
        </w:rPr>
        <w:t>—</w:t>
      </w:r>
    </w:p>
    <w:p w14:paraId="75CA4434" w14:textId="77777777" w:rsidR="00111641" w:rsidRPr="005647FA" w:rsidRDefault="00111641" w:rsidP="005647FA">
      <w:pPr>
        <w:pStyle w:val="leftright"/>
        <w:spacing w:before="0" w:after="260" w:line="280" w:lineRule="exact"/>
        <w:ind w:left="2160" w:right="0" w:hanging="720"/>
        <w:jc w:val="both"/>
        <w:rPr>
          <w:rFonts w:ascii="Times New Roman" w:hAnsi="Times New Roman"/>
        </w:rPr>
      </w:pPr>
      <w:r w:rsidRPr="005647FA">
        <w:rPr>
          <w:rFonts w:ascii="Times New Roman" w:hAnsi="Times New Roman"/>
        </w:rPr>
        <w:t>(a)</w:t>
      </w:r>
      <w:r w:rsidRPr="005647FA">
        <w:rPr>
          <w:rFonts w:ascii="Times New Roman" w:hAnsi="Times New Roman"/>
        </w:rPr>
        <w:tab/>
        <w:t>the commencement of the proceedings and the right of the group members to opt out of the proceedings before a specified date, being the date fixed under section 162(1),</w:t>
      </w:r>
    </w:p>
    <w:p w14:paraId="6BA768B0" w14:textId="77777777" w:rsidR="00111641" w:rsidRPr="005647FA" w:rsidRDefault="00111641" w:rsidP="005647FA">
      <w:pPr>
        <w:pStyle w:val="leftright"/>
        <w:spacing w:before="0" w:after="260" w:line="280" w:lineRule="exact"/>
        <w:ind w:left="2160" w:right="0" w:hanging="720"/>
        <w:jc w:val="both"/>
        <w:rPr>
          <w:rFonts w:ascii="Times New Roman" w:hAnsi="Times New Roman"/>
        </w:rPr>
      </w:pPr>
      <w:r w:rsidRPr="005647FA">
        <w:rPr>
          <w:rFonts w:ascii="Times New Roman" w:hAnsi="Times New Roman"/>
        </w:rPr>
        <w:lastRenderedPageBreak/>
        <w:t>(b)</w:t>
      </w:r>
      <w:r w:rsidRPr="005647FA">
        <w:rPr>
          <w:rFonts w:ascii="Times New Roman" w:hAnsi="Times New Roman"/>
        </w:rPr>
        <w:tab/>
        <w:t>an application by the defendant in the proceedings for the dismissal of the proceedings on the ground of want of prosecution,</w:t>
      </w:r>
    </w:p>
    <w:p w14:paraId="10681410" w14:textId="77777777" w:rsidR="00111641" w:rsidRPr="005647FA" w:rsidRDefault="00111641" w:rsidP="005647FA">
      <w:pPr>
        <w:pStyle w:val="leftright"/>
        <w:spacing w:before="0" w:after="260" w:line="280" w:lineRule="exact"/>
        <w:ind w:left="2160" w:right="0" w:hanging="720"/>
        <w:jc w:val="both"/>
        <w:rPr>
          <w:rFonts w:ascii="Times New Roman" w:hAnsi="Times New Roman"/>
        </w:rPr>
      </w:pPr>
      <w:r w:rsidRPr="005647FA">
        <w:rPr>
          <w:rFonts w:ascii="Times New Roman" w:hAnsi="Times New Roman"/>
        </w:rPr>
        <w:t>(c)</w:t>
      </w:r>
      <w:r w:rsidRPr="005647FA">
        <w:rPr>
          <w:rFonts w:ascii="Times New Roman" w:hAnsi="Times New Roman"/>
        </w:rPr>
        <w:tab/>
        <w:t>an application by a representative party seeking leave to withdraw under section 174 as representative party.</w:t>
      </w:r>
    </w:p>
    <w:p w14:paraId="03D6617D" w14:textId="77777777" w:rsidR="00111641" w:rsidRPr="005647FA"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(2)</w:t>
      </w:r>
      <w:r w:rsidRPr="005647FA">
        <w:rPr>
          <w:rFonts w:ascii="Times New Roman" w:hAnsi="Times New Roman"/>
        </w:rPr>
        <w:tab/>
        <w:t>The Court may dispense with compliance with any or all of the requirements of subsection (1) if the relief sought in the proceedings does not include any claim for damages.</w:t>
      </w:r>
    </w:p>
    <w:p w14:paraId="5266AA50" w14:textId="77777777" w:rsidR="00111641" w:rsidRPr="005647FA"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(3)</w:t>
      </w:r>
      <w:r w:rsidRPr="005647FA">
        <w:rPr>
          <w:rFonts w:ascii="Times New Roman" w:hAnsi="Times New Roman"/>
        </w:rPr>
        <w:tab/>
        <w:t>If the Court so orders, notice must be given to group members of the bringing into Court of money in answer to a cause of action on which a claim in the representative proceedings is founded.</w:t>
      </w:r>
    </w:p>
    <w:p w14:paraId="47A097DA" w14:textId="77777777" w:rsidR="00111641" w:rsidRPr="005647FA"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(4)</w:t>
      </w:r>
      <w:r w:rsidRPr="005647FA">
        <w:rPr>
          <w:rFonts w:ascii="Times New Roman" w:hAnsi="Times New Roman"/>
        </w:rPr>
        <w:tab/>
        <w:t>Unless the Court is satisfied that it is just to do so, an application for approval of a settlement under section 173 must not be determined unless notice has been given to group members.</w:t>
      </w:r>
    </w:p>
    <w:p w14:paraId="76EE6966" w14:textId="77777777" w:rsidR="00111641" w:rsidRPr="005647FA"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(5)</w:t>
      </w:r>
      <w:r w:rsidRPr="005647FA">
        <w:rPr>
          <w:rFonts w:ascii="Times New Roman" w:hAnsi="Times New Roman"/>
        </w:rPr>
        <w:tab/>
        <w:t>The Court may, at any stage, order that notice of any matter be given to a group member or group members.</w:t>
      </w:r>
    </w:p>
    <w:p w14:paraId="334E5AC7" w14:textId="77777777" w:rsidR="00111641" w:rsidRDefault="00111641" w:rsidP="005647FA">
      <w:pPr>
        <w:pStyle w:val="leftright"/>
        <w:spacing w:before="0" w:after="260" w:line="280" w:lineRule="exact"/>
        <w:ind w:left="1440" w:right="0" w:hanging="720"/>
        <w:jc w:val="both"/>
        <w:rPr>
          <w:rFonts w:ascii="Times New Roman" w:hAnsi="Times New Roman"/>
        </w:rPr>
      </w:pPr>
      <w:r w:rsidRPr="005647FA">
        <w:rPr>
          <w:rFonts w:ascii="Times New Roman" w:hAnsi="Times New Roman"/>
        </w:rPr>
        <w:t>(6)</w:t>
      </w:r>
      <w:r w:rsidRPr="005647FA">
        <w:rPr>
          <w:rFonts w:ascii="Times New Roman" w:hAnsi="Times New Roman"/>
        </w:rPr>
        <w:tab/>
        <w:t>Notice under this section must be given as soon as practicable after the happening of the event to which it relates."</w:t>
      </w:r>
    </w:p>
    <w:p w14:paraId="5FFD4D59" w14:textId="77777777" w:rsidR="00111641" w:rsidRPr="005647FA" w:rsidRDefault="00111641" w:rsidP="005647FA">
      <w:pPr>
        <w:pStyle w:val="NormalBody"/>
        <w:spacing w:after="260" w:line="280" w:lineRule="exact"/>
        <w:ind w:right="0"/>
        <w:jc w:val="both"/>
        <w:rPr>
          <w:rFonts w:ascii="Times New Roman" w:hAnsi="Times New Roman"/>
        </w:rPr>
      </w:pPr>
      <w:r w:rsidRPr="005647FA">
        <w:rPr>
          <w:rFonts w:ascii="Times New Roman" w:hAnsi="Times New Roman"/>
        </w:rPr>
        <w:t xml:space="preserve">The reference in parentheses to "s 33X FCA" is to the equivalent power found in s 33X of the FCA Act. </w:t>
      </w:r>
    </w:p>
    <w:p w14:paraId="138D2CFF"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Section 176 of the CP Act concerns the form and content of notices issued in accordance with s 175. Section 176(6) provides that a notice that concerns a "matter" for which the Court's leave or approval is required must specify the period within which a group member (or other person) may apply to the Court, or take some other step, in relation to the matter. Section 176(7) provides that, if a notice includes or concerns conditions, it must specify the conditions and the period, if any, for compliance. </w:t>
      </w:r>
    </w:p>
    <w:p w14:paraId="2A03E810"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Section 177 of the CP Act concerns the giving of judgment by the Court. Relevantly, this includes the power to make an award of damages constituted by specified amounts or such other amounts as worked out by the Court,</w:t>
      </w:r>
      <w:r w:rsidRPr="005647FA">
        <w:rPr>
          <w:rStyle w:val="FootnoteReference"/>
          <w:rFonts w:ascii="Times New Roman" w:hAnsi="Times New Roman"/>
          <w:sz w:val="24"/>
        </w:rPr>
        <w:footnoteReference w:id="65"/>
      </w:r>
      <w:r w:rsidRPr="005647FA">
        <w:rPr>
          <w:rFonts w:ascii="Times New Roman" w:hAnsi="Times New Roman"/>
        </w:rPr>
        <w:t xml:space="preserve"> or as an "aggregate amount without specifying amounts awarded in respect of individual group members".</w:t>
      </w:r>
      <w:r w:rsidRPr="005647FA">
        <w:rPr>
          <w:rStyle w:val="FootnoteReference"/>
          <w:rFonts w:ascii="Times New Roman" w:hAnsi="Times New Roman"/>
          <w:sz w:val="24"/>
        </w:rPr>
        <w:footnoteReference w:id="66"/>
      </w:r>
      <w:r w:rsidRPr="005647FA">
        <w:rPr>
          <w:rFonts w:ascii="Times New Roman" w:hAnsi="Times New Roman"/>
        </w:rPr>
        <w:t xml:space="preserve"> Pursuant to s 177(2) of the CP Act, in making an award of </w:t>
      </w:r>
      <w:r w:rsidRPr="005647FA">
        <w:rPr>
          <w:rFonts w:ascii="Times New Roman" w:hAnsi="Times New Roman"/>
        </w:rPr>
        <w:lastRenderedPageBreak/>
        <w:t>damages, the Court must make provision for the payment or distribution of the money to the group members entitled. In doing so, pursuant to s 178(1), the Court may provide for the constitution and administration of a fund consisting of the money to be distributed.</w:t>
      </w:r>
    </w:p>
    <w:p w14:paraId="72EA74D7"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Pursuant to s 177(3), the Court may not make an award of damages in an aggregate amount "unless a reasonably accurate assessment can be made of the total amount to which group members will be entitled under the judgment". </w:t>
      </w:r>
    </w:p>
    <w:p w14:paraId="279163CD"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Importantly to the scheme constituted by Pt 10, pursuant to s 179(b), a judgment given in a class action "binds" all persons identified as group members "other than any person who has opted out of the proceedings under section 162".</w:t>
      </w:r>
    </w:p>
    <w:p w14:paraId="0FAE8784"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Finally, s 183 of the CP Act should be noted. It provides that the Court may, on application by a party or a group member or of its own motion, "make any order that the Court thinks appropriate or necessary to ensure that justice is done in the proceedings". Section 183 confers a broad power. As observed by Beach J in </w:t>
      </w:r>
      <w:r w:rsidRPr="005647FA">
        <w:rPr>
          <w:rFonts w:ascii="Times New Roman" w:hAnsi="Times New Roman"/>
          <w:i/>
          <w:iCs/>
        </w:rPr>
        <w:t>Earglow Pty Ltd v Newcrest Mining Ltd</w:t>
      </w:r>
      <w:r w:rsidRPr="005647FA">
        <w:rPr>
          <w:rFonts w:ascii="Times New Roman" w:hAnsi="Times New Roman"/>
        </w:rPr>
        <w:t>,</w:t>
      </w:r>
      <w:r w:rsidRPr="005647FA">
        <w:rPr>
          <w:rStyle w:val="FootnoteReference"/>
          <w:rFonts w:ascii="Times New Roman" w:hAnsi="Times New Roman"/>
          <w:sz w:val="24"/>
        </w:rPr>
        <w:footnoteReference w:id="67"/>
      </w:r>
      <w:r w:rsidRPr="005647FA">
        <w:rPr>
          <w:rFonts w:ascii="Times New Roman" w:hAnsi="Times New Roman"/>
        </w:rPr>
        <w:t xml:space="preserve"> this power can oblige group members to take positive steps in a proceeding, contrary to the general observation made by this Court in </w:t>
      </w:r>
      <w:r w:rsidRPr="005647FA">
        <w:rPr>
          <w:rFonts w:ascii="Times New Roman" w:hAnsi="Times New Roman"/>
          <w:i/>
          <w:iCs/>
        </w:rPr>
        <w:t xml:space="preserve">Mobil </w:t>
      </w:r>
      <w:r w:rsidRPr="005647FA">
        <w:rPr>
          <w:rFonts w:ascii="Times New Roman" w:hAnsi="Times New Roman"/>
        </w:rPr>
        <w:t xml:space="preserve">(set out above), such as the provision of discovery, the provision of particulars, the possible provision of a contribution towards security for costs, and the provision of particulars concerning group members' identities to facilitate the service of subpoenas. In, for example, </w:t>
      </w:r>
      <w:r w:rsidRPr="005647FA">
        <w:rPr>
          <w:rFonts w:ascii="Times New Roman" w:hAnsi="Times New Roman"/>
          <w:i/>
          <w:iCs/>
        </w:rPr>
        <w:t>P Dawson Nominees Pty Ltd v Brookfield Multiplex Ltd [No 2]</w:t>
      </w:r>
      <w:r w:rsidRPr="005647FA">
        <w:rPr>
          <w:rFonts w:ascii="Times New Roman" w:hAnsi="Times New Roman"/>
        </w:rPr>
        <w:t>, the Federal Court observed that it may be appropriate to make discovery orders binding on group members "in aid of mediation, for example where the parties face asymmetric information which may lead to an unfair settlement".</w:t>
      </w:r>
      <w:r w:rsidRPr="005647FA">
        <w:rPr>
          <w:rStyle w:val="FootnoteReference"/>
          <w:rFonts w:ascii="Times New Roman" w:hAnsi="Times New Roman"/>
          <w:sz w:val="24"/>
        </w:rPr>
        <w:footnoteReference w:id="68"/>
      </w:r>
      <w:r w:rsidRPr="005647FA">
        <w:rPr>
          <w:rFonts w:ascii="Times New Roman" w:hAnsi="Times New Roman"/>
        </w:rPr>
        <w:t xml:space="preserve"> And in </w:t>
      </w:r>
      <w:r w:rsidRPr="005647FA">
        <w:rPr>
          <w:rFonts w:ascii="Times New Roman" w:hAnsi="Times New Roman"/>
          <w:i/>
          <w:iCs/>
        </w:rPr>
        <w:t>Regent Holdings Pty Ltd v Victoria</w:t>
      </w:r>
      <w:r w:rsidRPr="005647FA">
        <w:rPr>
          <w:rFonts w:ascii="Times New Roman" w:hAnsi="Times New Roman"/>
        </w:rPr>
        <w:t>, the Court of Appeal of the Supreme Court of Victoria also stated that ordering particulars and discovery can, in a given case, make sense in order to "provide the defendants with sufficient information to formulate rational settlement offers".</w:t>
      </w:r>
      <w:r w:rsidRPr="005647FA">
        <w:rPr>
          <w:rStyle w:val="FootnoteReference"/>
          <w:rFonts w:ascii="Times New Roman" w:hAnsi="Times New Roman"/>
          <w:sz w:val="24"/>
        </w:rPr>
        <w:footnoteReference w:id="69"/>
      </w:r>
    </w:p>
    <w:p w14:paraId="359196D7"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However, the power conferred by s 183 is not without limits. In </w:t>
      </w:r>
      <w:r w:rsidRPr="005647FA">
        <w:rPr>
          <w:rFonts w:ascii="Times New Roman" w:hAnsi="Times New Roman"/>
          <w:i/>
          <w:iCs/>
        </w:rPr>
        <w:t>BMW Australia Ltd v Brewster</w:t>
      </w:r>
      <w:r w:rsidRPr="005647FA">
        <w:rPr>
          <w:rFonts w:ascii="Times New Roman" w:hAnsi="Times New Roman"/>
        </w:rPr>
        <w:t>,</w:t>
      </w:r>
      <w:r w:rsidRPr="005647FA">
        <w:rPr>
          <w:rStyle w:val="FootnoteReference"/>
          <w:rFonts w:ascii="Times New Roman" w:hAnsi="Times New Roman"/>
          <w:sz w:val="24"/>
        </w:rPr>
        <w:footnoteReference w:id="70"/>
      </w:r>
      <w:r w:rsidRPr="005647FA">
        <w:rPr>
          <w:rFonts w:ascii="Times New Roman" w:hAnsi="Times New Roman"/>
        </w:rPr>
        <w:t xml:space="preserve"> this Court decided that neither s 183, nor the equivalent provision in Pt IVA of the FCA Act (s 33ZF), empowers a court to make a </w:t>
      </w:r>
      <w:r w:rsidRPr="005647FA">
        <w:rPr>
          <w:rFonts w:ascii="Times New Roman" w:hAnsi="Times New Roman"/>
        </w:rPr>
        <w:lastRenderedPageBreak/>
        <w:t xml:space="preserve">"common fund order" at an early stage of a class action. Such an order provides for the quantum of a litigation funder's reward to be fixed as a proportion of any moneys recovered in the proceedings. Such an order, made at an early stage, may promote the interests of the funder of the action, but it is not, at </w:t>
      </w:r>
      <w:r w:rsidRPr="005647FA">
        <w:rPr>
          <w:rFonts w:ascii="Times New Roman" w:hAnsi="Times New Roman"/>
          <w:i/>
          <w:iCs/>
        </w:rPr>
        <w:t>that</w:t>
      </w:r>
      <w:r w:rsidRPr="005647FA">
        <w:rPr>
          <w:rFonts w:ascii="Times New Roman" w:hAnsi="Times New Roman"/>
        </w:rPr>
        <w:t xml:space="preserve"> stage, "necessary to ensure that justice is done in the proceedings". As Kiefel CJ, Bell and Keane JJ observed:</w:t>
      </w:r>
      <w:r w:rsidRPr="005647FA">
        <w:rPr>
          <w:rStyle w:val="FootnoteReference"/>
          <w:rFonts w:ascii="Times New Roman" w:hAnsi="Times New Roman"/>
          <w:sz w:val="24"/>
        </w:rPr>
        <w:footnoteReference w:id="71"/>
      </w:r>
    </w:p>
    <w:p w14:paraId="2D547F50" w14:textId="77777777" w:rsidR="00111641"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t xml:space="preserve">"While the power conferred by these sections is wide, it does not extend to the making of a [common fund order]. These sections empower the making of orders as to </w:t>
      </w:r>
      <w:r w:rsidRPr="005647FA">
        <w:rPr>
          <w:rFonts w:ascii="Times New Roman" w:hAnsi="Times New Roman"/>
          <w:i/>
          <w:iCs/>
        </w:rPr>
        <w:t>how</w:t>
      </w:r>
      <w:r w:rsidRPr="005647FA">
        <w:rPr>
          <w:rFonts w:ascii="Times New Roman" w:hAnsi="Times New Roman"/>
        </w:rPr>
        <w:t xml:space="preserve"> an action should proceed in order to do justice. They are not concerned with the radically different question as to whether an action </w:t>
      </w:r>
      <w:r w:rsidRPr="005647FA">
        <w:rPr>
          <w:rFonts w:ascii="Times New Roman" w:hAnsi="Times New Roman"/>
          <w:i/>
          <w:iCs/>
        </w:rPr>
        <w:t>can</w:t>
      </w:r>
      <w:r w:rsidRPr="005647FA">
        <w:rPr>
          <w:rFonts w:ascii="Times New Roman" w:hAnsi="Times New Roman"/>
        </w:rPr>
        <w:t xml:space="preserve"> proceed at all."</w:t>
      </w:r>
    </w:p>
    <w:p w14:paraId="1DA4E54C" w14:textId="77777777" w:rsidR="00111641" w:rsidRPr="005647FA" w:rsidRDefault="00111641" w:rsidP="005647FA">
      <w:pPr>
        <w:pStyle w:val="HeadingL1"/>
        <w:spacing w:after="260" w:line="280" w:lineRule="exact"/>
        <w:ind w:right="0"/>
        <w:jc w:val="both"/>
        <w:rPr>
          <w:rFonts w:ascii="Times New Roman" w:hAnsi="Times New Roman"/>
        </w:rPr>
      </w:pPr>
      <w:r w:rsidRPr="005647FA">
        <w:rPr>
          <w:rFonts w:ascii="Times New Roman" w:hAnsi="Times New Roman"/>
        </w:rPr>
        <w:t>The reasons of the Court of Appeal</w:t>
      </w:r>
    </w:p>
    <w:p w14:paraId="59FD6827" w14:textId="77777777" w:rsidR="00111641" w:rsidRPr="005647FA" w:rsidRDefault="00111641" w:rsidP="005647FA">
      <w:pPr>
        <w:pStyle w:val="HeadingL2"/>
        <w:spacing w:after="260" w:line="280" w:lineRule="exact"/>
        <w:ind w:right="0"/>
        <w:jc w:val="both"/>
        <w:rPr>
          <w:rFonts w:ascii="Times New Roman" w:hAnsi="Times New Roman"/>
        </w:rPr>
      </w:pPr>
      <w:r w:rsidRPr="005647FA">
        <w:rPr>
          <w:rFonts w:ascii="Times New Roman" w:hAnsi="Times New Roman"/>
        </w:rPr>
        <w:t>The curial context</w:t>
      </w:r>
    </w:p>
    <w:p w14:paraId="69918E4F"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question about power arises in an important historical context. In 2020, the New South Wales Court of Appeal handed down its decision in </w:t>
      </w:r>
      <w:r w:rsidRPr="005647FA">
        <w:rPr>
          <w:rFonts w:ascii="Times New Roman" w:hAnsi="Times New Roman"/>
          <w:i/>
          <w:iCs/>
        </w:rPr>
        <w:t>Haselhurst v Toyota Motor Corporation Australia Ltd</w:t>
      </w:r>
      <w:r w:rsidRPr="005647FA">
        <w:rPr>
          <w:rFonts w:ascii="Times New Roman" w:hAnsi="Times New Roman"/>
        </w:rPr>
        <w:t>.</w:t>
      </w:r>
      <w:r w:rsidRPr="005647FA">
        <w:rPr>
          <w:rStyle w:val="FootnoteReference"/>
          <w:rFonts w:ascii="Times New Roman" w:hAnsi="Times New Roman"/>
          <w:sz w:val="24"/>
        </w:rPr>
        <w:footnoteReference w:id="72"/>
      </w:r>
      <w:r w:rsidRPr="005647FA">
        <w:rPr>
          <w:rFonts w:ascii="Times New Roman" w:hAnsi="Times New Roman"/>
        </w:rPr>
        <w:t xml:space="preserve"> The Court of Appeal decided that the Supreme Court had no power under s 183 of the CP Act to order a "soft" class closure. The order considered in </w:t>
      </w:r>
      <w:r w:rsidRPr="005647FA">
        <w:rPr>
          <w:rFonts w:ascii="Times New Roman" w:hAnsi="Times New Roman"/>
          <w:i/>
          <w:iCs/>
        </w:rPr>
        <w:t>Haselhurst</w:t>
      </w:r>
      <w:r w:rsidRPr="005647FA">
        <w:rPr>
          <w:rFonts w:ascii="Times New Roman" w:hAnsi="Times New Roman"/>
        </w:rPr>
        <w:t xml:space="preserve"> provided that only group members who had registered their claims with a defendant before a certain date could obtain the benefit of any settlement. If no settlement was achieved, however, unregistered group members could participate in any favourable judgment obtained. The description of "soft" class closure therefore meant a class closure that operated only for the purposes of settlement.</w:t>
      </w:r>
    </w:p>
    <w:p w14:paraId="100D6D5B"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Court of Appeal decided, following a consideration of </w:t>
      </w:r>
      <w:r w:rsidRPr="005647FA">
        <w:rPr>
          <w:rFonts w:ascii="Times New Roman" w:hAnsi="Times New Roman"/>
          <w:i/>
          <w:iCs/>
        </w:rPr>
        <w:t>Brewster</w:t>
      </w:r>
      <w:r w:rsidRPr="005647FA">
        <w:rPr>
          <w:rFonts w:ascii="Times New Roman" w:hAnsi="Times New Roman"/>
        </w:rPr>
        <w:t>, that such an order would strike at the heart of Pt 10; it did so "by setting up an alternative regime of extinguishment of group members' rights of action for the purpose of encouraging the parties towards a pre-trial settlement".</w:t>
      </w:r>
      <w:r w:rsidRPr="005647FA">
        <w:rPr>
          <w:rStyle w:val="FootnoteReference"/>
          <w:rFonts w:ascii="Times New Roman" w:hAnsi="Times New Roman"/>
          <w:sz w:val="24"/>
        </w:rPr>
        <w:footnoteReference w:id="73"/>
      </w:r>
      <w:r w:rsidRPr="005647FA">
        <w:rPr>
          <w:rFonts w:ascii="Times New Roman" w:hAnsi="Times New Roman"/>
        </w:rPr>
        <w:t xml:space="preserve"> The Court also concluded that such an order would place the representative plaintiffs in a position of "insoluble conflict of interest"</w:t>
      </w:r>
      <w:r w:rsidRPr="005647FA">
        <w:rPr>
          <w:rStyle w:val="FootnoteReference"/>
          <w:rFonts w:ascii="Times New Roman" w:hAnsi="Times New Roman"/>
          <w:sz w:val="24"/>
        </w:rPr>
        <w:footnoteReference w:id="74"/>
      </w:r>
      <w:r w:rsidRPr="005647FA">
        <w:rPr>
          <w:rFonts w:ascii="Times New Roman" w:hAnsi="Times New Roman"/>
        </w:rPr>
        <w:t xml:space="preserve"> in any settlement negotiations. On the one hand, the representative plaintiffs must act in the best interests of the registered members and obtain for them a favourable settlement; on the other hand, the representative plaintiffs must still act for the benefit of the unregistered members, for whom a </w:t>
      </w:r>
      <w:r w:rsidRPr="005647FA">
        <w:rPr>
          <w:rFonts w:ascii="Times New Roman" w:hAnsi="Times New Roman"/>
        </w:rPr>
        <w:lastRenderedPageBreak/>
        <w:t>settlement would foreclose any right to benefit from the class action.</w:t>
      </w:r>
      <w:r w:rsidRPr="005647FA">
        <w:rPr>
          <w:rStyle w:val="FootnoteReference"/>
          <w:rFonts w:ascii="Times New Roman" w:hAnsi="Times New Roman"/>
          <w:sz w:val="24"/>
        </w:rPr>
        <w:footnoteReference w:id="75"/>
      </w:r>
      <w:r w:rsidRPr="005647FA">
        <w:rPr>
          <w:rFonts w:ascii="Times New Roman" w:hAnsi="Times New Roman"/>
        </w:rPr>
        <w:t xml:space="preserve"> The fact that the order would enhance the prospects of settlement was of no moment, because the method chosen to secure such an outcome was "contrary to the scheme established by the legislature".</w:t>
      </w:r>
      <w:r w:rsidRPr="005647FA">
        <w:rPr>
          <w:rStyle w:val="FootnoteReference"/>
          <w:rFonts w:ascii="Times New Roman" w:hAnsi="Times New Roman"/>
          <w:sz w:val="24"/>
        </w:rPr>
        <w:footnoteReference w:id="76"/>
      </w:r>
    </w:p>
    <w:p w14:paraId="6E28EAD0"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Subsequently, but in the same year, the New South Wales Court of Appeal handed down its decision in </w:t>
      </w:r>
      <w:r w:rsidRPr="005647FA">
        <w:rPr>
          <w:rFonts w:ascii="Times New Roman" w:hAnsi="Times New Roman"/>
          <w:i/>
          <w:iCs/>
        </w:rPr>
        <w:t>Wigmans</w:t>
      </w:r>
      <w:r w:rsidRPr="005647FA">
        <w:rPr>
          <w:rFonts w:ascii="Times New Roman" w:hAnsi="Times New Roman"/>
        </w:rPr>
        <w:t>.</w:t>
      </w:r>
      <w:r w:rsidRPr="005647FA">
        <w:rPr>
          <w:rStyle w:val="FootnoteReference"/>
          <w:rFonts w:ascii="Times New Roman" w:hAnsi="Times New Roman"/>
          <w:sz w:val="24"/>
        </w:rPr>
        <w:footnoteReference w:id="77"/>
      </w:r>
      <w:r w:rsidRPr="005647FA">
        <w:rPr>
          <w:rFonts w:ascii="Times New Roman" w:hAnsi="Times New Roman"/>
        </w:rPr>
        <w:t xml:space="preserve"> In that case, the primary judge had ordered that a notice be given to group members informing them of the parties' intention, which was expressed in the following terms: that "the parties intend to apply to the Court for an order that any Group Member who by the Class Deadline does not opt out and who is not a New Registered Group Member or Existing Registered Group Member will not receive any benefit pursuant to the settlement".</w:t>
      </w:r>
      <w:r w:rsidRPr="005647FA">
        <w:rPr>
          <w:rStyle w:val="FootnoteReference"/>
          <w:rFonts w:ascii="Times New Roman" w:hAnsi="Times New Roman"/>
          <w:sz w:val="24"/>
        </w:rPr>
        <w:footnoteReference w:id="78"/>
      </w:r>
      <w:r w:rsidRPr="005647FA">
        <w:rPr>
          <w:rFonts w:ascii="Times New Roman" w:hAnsi="Times New Roman"/>
        </w:rPr>
        <w:t xml:space="preserve"> The Court of Appeal decided that there was no power in Pt 10 to issue such a notification.</w:t>
      </w:r>
      <w:r w:rsidRPr="005647FA">
        <w:rPr>
          <w:rStyle w:val="FootnoteReference"/>
          <w:rFonts w:ascii="Times New Roman" w:hAnsi="Times New Roman"/>
          <w:sz w:val="24"/>
        </w:rPr>
        <w:footnoteReference w:id="79"/>
      </w:r>
      <w:r w:rsidRPr="005647FA">
        <w:rPr>
          <w:rFonts w:ascii="Times New Roman" w:hAnsi="Times New Roman"/>
        </w:rPr>
        <w:t xml:space="preserve"> The order was said to be contrary to the fundamental precept of Pt 10 that a group member need not do anything in order to obtain the benefit of any settlement or favourable judgment.</w:t>
      </w:r>
      <w:r w:rsidRPr="005647FA">
        <w:rPr>
          <w:rStyle w:val="FootnoteReference"/>
          <w:rFonts w:ascii="Times New Roman" w:hAnsi="Times New Roman"/>
          <w:sz w:val="24"/>
        </w:rPr>
        <w:footnoteReference w:id="80"/>
      </w:r>
      <w:r w:rsidRPr="005647FA">
        <w:rPr>
          <w:rFonts w:ascii="Times New Roman" w:hAnsi="Times New Roman"/>
        </w:rPr>
        <w:t xml:space="preserve"> Whilst the proposed notification did not purport to extinguish the rights of unregistered members, it was nonetheless necessary to consider its "practical effect".</w:t>
      </w:r>
      <w:r w:rsidRPr="005647FA">
        <w:rPr>
          <w:rStyle w:val="FootnoteReference"/>
          <w:rFonts w:ascii="Times New Roman" w:hAnsi="Times New Roman"/>
          <w:sz w:val="24"/>
        </w:rPr>
        <w:footnoteReference w:id="81"/>
      </w:r>
      <w:r w:rsidRPr="005647FA">
        <w:rPr>
          <w:rFonts w:ascii="Times New Roman" w:hAnsi="Times New Roman"/>
        </w:rPr>
        <w:t xml:space="preserve"> That effect, it was said, would be that in any mediation the representative plaintiff would bargain away the claims of unregistered members in order to secure the only type of settlement which the defendant would accept and which could only be for the benefit of registered members. In this way, the proposed notice would place the representative plaintiff in an insoluble position of conflict.</w:t>
      </w:r>
      <w:r w:rsidRPr="005647FA">
        <w:rPr>
          <w:rStyle w:val="FootnoteReference"/>
          <w:rFonts w:ascii="Times New Roman" w:hAnsi="Times New Roman"/>
          <w:sz w:val="24"/>
        </w:rPr>
        <w:footnoteReference w:id="82"/>
      </w:r>
    </w:p>
    <w:p w14:paraId="32C51497"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In </w:t>
      </w:r>
      <w:r w:rsidRPr="005647FA">
        <w:rPr>
          <w:rFonts w:ascii="Times New Roman" w:hAnsi="Times New Roman"/>
          <w:i/>
          <w:iCs/>
        </w:rPr>
        <w:t>Parkin</w:t>
      </w:r>
      <w:r w:rsidRPr="005647FA">
        <w:rPr>
          <w:rFonts w:ascii="Times New Roman" w:hAnsi="Times New Roman"/>
        </w:rPr>
        <w:t xml:space="preserve">, the Full Court of the Federal Court of Australia decided that </w:t>
      </w:r>
      <w:r w:rsidRPr="005647FA">
        <w:rPr>
          <w:rFonts w:ascii="Times New Roman" w:hAnsi="Times New Roman"/>
          <w:i/>
          <w:iCs/>
        </w:rPr>
        <w:t>Wigmans</w:t>
      </w:r>
      <w:r w:rsidRPr="005647FA">
        <w:rPr>
          <w:rFonts w:ascii="Times New Roman" w:hAnsi="Times New Roman"/>
        </w:rPr>
        <w:t xml:space="preserve"> was "plainly wrong".</w:t>
      </w:r>
      <w:r w:rsidRPr="005647FA">
        <w:rPr>
          <w:rStyle w:val="FootnoteReference"/>
          <w:rFonts w:ascii="Times New Roman" w:hAnsi="Times New Roman"/>
          <w:sz w:val="24"/>
        </w:rPr>
        <w:footnoteReference w:id="83"/>
      </w:r>
      <w:r w:rsidRPr="005647FA">
        <w:rPr>
          <w:rFonts w:ascii="Times New Roman" w:hAnsi="Times New Roman"/>
        </w:rPr>
        <w:t xml:space="preserve"> The decision in </w:t>
      </w:r>
      <w:r w:rsidRPr="005647FA">
        <w:rPr>
          <w:rFonts w:ascii="Times New Roman" w:hAnsi="Times New Roman"/>
          <w:i/>
        </w:rPr>
        <w:t>Parkin</w:t>
      </w:r>
      <w:r w:rsidRPr="005647FA">
        <w:rPr>
          <w:rFonts w:ascii="Times New Roman" w:hAnsi="Times New Roman"/>
        </w:rPr>
        <w:t xml:space="preserve">, amongst other things, </w:t>
      </w:r>
      <w:r w:rsidRPr="005647FA">
        <w:rPr>
          <w:rFonts w:ascii="Times New Roman" w:hAnsi="Times New Roman"/>
        </w:rPr>
        <w:lastRenderedPageBreak/>
        <w:t>addressed whether the Federal Court had the power, pursuant to s 33X(5) of the FCA Act, to direct the giving of a notice informing group members that:</w:t>
      </w:r>
      <w:r w:rsidRPr="005647FA">
        <w:rPr>
          <w:rStyle w:val="FootnoteReference"/>
          <w:rFonts w:ascii="Times New Roman" w:hAnsi="Times New Roman"/>
          <w:sz w:val="24"/>
        </w:rPr>
        <w:footnoteReference w:id="84"/>
      </w:r>
    </w:p>
    <w:p w14:paraId="4DB3B567" w14:textId="77777777" w:rsidR="00111641"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t>"[U]pon any settlement of this proceeding [the representative applicant] will seek an order, which, if made, has the effect of providing that any Group Member who by a registration date: (i) has not registered; or (ii) has not opted out in accordance with the orders made by the Court, will remain a Group Member for all purposes of this proceeding but shall not, without leave of the Court, be permitted to seek any benefit pursuant to any settlement (subject to Court approval) of this proceeding that occurs before final judgment".</w:t>
      </w:r>
    </w:p>
    <w:p w14:paraId="02431460"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The foregoing is substantially the same as the proposed notification in this matter. Section 33X(5) is also the same as s 175(5) of the CP Act. It permits the Federal Court, at any stage, to "order that notice of any matter be given to a group member or group members".</w:t>
      </w:r>
    </w:p>
    <w:p w14:paraId="62716630"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circumstances in </w:t>
      </w:r>
      <w:r w:rsidRPr="005647FA">
        <w:rPr>
          <w:rFonts w:ascii="Times New Roman" w:hAnsi="Times New Roman"/>
          <w:i/>
          <w:iCs/>
        </w:rPr>
        <w:t>Parkin</w:t>
      </w:r>
      <w:r w:rsidRPr="005647FA">
        <w:rPr>
          <w:rFonts w:ascii="Times New Roman" w:hAnsi="Times New Roman"/>
        </w:rPr>
        <w:t xml:space="preserve"> were analogous to those in this matter. That proceeding was a securities class action in which the identity of all eligible group members was not known and was not knowable; at some point, if members were to benefit from settlement or judgment, they would need to take the active step of identifying themselves and their claim.</w:t>
      </w:r>
      <w:r w:rsidRPr="005647FA">
        <w:rPr>
          <w:rStyle w:val="FootnoteReference"/>
          <w:rFonts w:ascii="Times New Roman" w:hAnsi="Times New Roman"/>
          <w:sz w:val="24"/>
        </w:rPr>
        <w:footnoteReference w:id="85"/>
      </w:r>
      <w:r w:rsidRPr="005647FA">
        <w:rPr>
          <w:rFonts w:ascii="Times New Roman" w:hAnsi="Times New Roman"/>
        </w:rPr>
        <w:t xml:space="preserve"> As here, it was said that the act of registration would increase the likelihood of settlement to the benefit of group members and to the respondent in that case (Boral Ltd).</w:t>
      </w:r>
      <w:r w:rsidRPr="005647FA">
        <w:rPr>
          <w:rStyle w:val="FootnoteReference"/>
          <w:rFonts w:ascii="Times New Roman" w:hAnsi="Times New Roman"/>
          <w:sz w:val="24"/>
        </w:rPr>
        <w:footnoteReference w:id="86"/>
      </w:r>
    </w:p>
    <w:p w14:paraId="336A2BF0"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Murphy and Lee JJ (with whom Beach J agreed) decided that the Federal Court had power to order a notification of the kind described above. Their Honours did so for a number of reasons. The first concerned the text of s 33X(5). This was characterised as "broad and unqualified"; language of this kind, it was said, should not be read down by implications not supported by</w:t>
      </w:r>
      <w:r w:rsidRPr="005647FA" w:rsidDel="00E506CB">
        <w:rPr>
          <w:rFonts w:ascii="Times New Roman" w:hAnsi="Times New Roman"/>
        </w:rPr>
        <w:t xml:space="preserve"> </w:t>
      </w:r>
      <w:r w:rsidRPr="005647FA">
        <w:rPr>
          <w:rFonts w:ascii="Times New Roman" w:hAnsi="Times New Roman"/>
        </w:rPr>
        <w:t>the text.</w:t>
      </w:r>
      <w:r w:rsidRPr="005647FA">
        <w:rPr>
          <w:rStyle w:val="FootnoteReference"/>
          <w:rFonts w:ascii="Times New Roman" w:hAnsi="Times New Roman"/>
          <w:sz w:val="24"/>
        </w:rPr>
        <w:footnoteReference w:id="87"/>
      </w:r>
      <w:r w:rsidRPr="005647FA">
        <w:rPr>
          <w:rFonts w:ascii="Times New Roman" w:hAnsi="Times New Roman"/>
        </w:rPr>
        <w:t xml:space="preserve"> In that respect, the Court decided that the phrase "any matter" in s 33X(5) of the FCA Act, which also appears in s 175(5) of the CP Act, must include any matter relevant to a group member's decision as to whether to opt out of a class action. This could include being given notice of a defendant's intention to seek an order from the Court that </w:t>
      </w:r>
      <w:r w:rsidRPr="005647FA">
        <w:rPr>
          <w:rFonts w:ascii="Times New Roman" w:hAnsi="Times New Roman"/>
        </w:rPr>
        <w:lastRenderedPageBreak/>
        <w:t>unregistered group members may not benefit from any settlement.</w:t>
      </w:r>
      <w:r w:rsidRPr="005647FA">
        <w:rPr>
          <w:rStyle w:val="FootnoteReference"/>
          <w:rFonts w:ascii="Times New Roman" w:hAnsi="Times New Roman"/>
          <w:sz w:val="24"/>
        </w:rPr>
        <w:footnoteReference w:id="88"/>
      </w:r>
      <w:r w:rsidRPr="005647FA">
        <w:rPr>
          <w:rFonts w:ascii="Times New Roman" w:hAnsi="Times New Roman"/>
        </w:rPr>
        <w:t xml:space="preserve"> Such information, the Court decided, was the very sort of thing a group member should know about.</w:t>
      </w:r>
      <w:r w:rsidRPr="005647FA">
        <w:rPr>
          <w:rStyle w:val="FootnoteReference"/>
          <w:rFonts w:ascii="Times New Roman" w:hAnsi="Times New Roman"/>
          <w:sz w:val="24"/>
        </w:rPr>
        <w:footnoteReference w:id="89"/>
      </w:r>
      <w:r w:rsidRPr="005647FA">
        <w:rPr>
          <w:rFonts w:ascii="Times New Roman" w:hAnsi="Times New Roman"/>
        </w:rPr>
        <w:t xml:space="preserve"> </w:t>
      </w:r>
      <w:r w:rsidRPr="005647FA">
        <w:rPr>
          <w:rFonts w:ascii="Times New Roman" w:hAnsi="Times New Roman"/>
          <w:i/>
          <w:iCs/>
        </w:rPr>
        <w:t>Wigmans</w:t>
      </w:r>
      <w:r w:rsidRPr="005647FA">
        <w:rPr>
          <w:rFonts w:ascii="Times New Roman" w:hAnsi="Times New Roman"/>
        </w:rPr>
        <w:t xml:space="preserve"> was thus wrongly decided. The Court otherwise accepted that there may be discretionary reasons, not going to power, as to why such a notification should not be given to group members.</w:t>
      </w:r>
      <w:r w:rsidRPr="005647FA">
        <w:rPr>
          <w:rStyle w:val="FootnoteReference"/>
          <w:rFonts w:ascii="Times New Roman" w:hAnsi="Times New Roman"/>
          <w:sz w:val="24"/>
        </w:rPr>
        <w:footnoteReference w:id="90"/>
      </w:r>
    </w:p>
    <w:p w14:paraId="0B246145"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Secondly, the Full Court disagreed with the proposition, accepted in </w:t>
      </w:r>
      <w:r w:rsidRPr="005647FA">
        <w:rPr>
          <w:rFonts w:ascii="Times New Roman" w:hAnsi="Times New Roman"/>
          <w:i/>
          <w:iCs/>
        </w:rPr>
        <w:t>Wigmans</w:t>
      </w:r>
      <w:r w:rsidRPr="005647FA">
        <w:rPr>
          <w:rFonts w:ascii="Times New Roman" w:hAnsi="Times New Roman"/>
        </w:rPr>
        <w:t xml:space="preserve">, that it is a "fundamental precept" of the class action regime that group members may "do nothing" and yet still benefit from any settlement or favourable judgment. Whilst accepting that, generally speaking, group members may remain passive, the so-called precept was not absolute; for the reasons given by Beach J in </w:t>
      </w:r>
      <w:r w:rsidRPr="005647FA">
        <w:rPr>
          <w:rFonts w:ascii="Times New Roman" w:hAnsi="Times New Roman"/>
          <w:i/>
          <w:iCs/>
        </w:rPr>
        <w:t>Wetdal Pty Ltd v Estia Health Ltd</w:t>
      </w:r>
      <w:r w:rsidRPr="005647FA">
        <w:rPr>
          <w:rFonts w:ascii="Times New Roman" w:hAnsi="Times New Roman"/>
        </w:rPr>
        <w:t>,</w:t>
      </w:r>
      <w:r w:rsidRPr="005647FA">
        <w:rPr>
          <w:rStyle w:val="FootnoteReference"/>
          <w:rFonts w:ascii="Times New Roman" w:hAnsi="Times New Roman"/>
          <w:sz w:val="24"/>
        </w:rPr>
        <w:footnoteReference w:id="91"/>
      </w:r>
      <w:r w:rsidRPr="005647FA">
        <w:rPr>
          <w:rFonts w:ascii="Times New Roman" w:hAnsi="Times New Roman"/>
        </w:rPr>
        <w:t xml:space="preserve"> group members, before settlement or judgment, may from time to time be required to take a range of positive steps.</w:t>
      </w:r>
      <w:r w:rsidRPr="005647FA">
        <w:rPr>
          <w:rStyle w:val="FootnoteReference"/>
          <w:rFonts w:ascii="Times New Roman" w:hAnsi="Times New Roman"/>
          <w:sz w:val="24"/>
        </w:rPr>
        <w:footnoteReference w:id="92"/>
      </w:r>
      <w:r w:rsidRPr="005647FA">
        <w:rPr>
          <w:rFonts w:ascii="Times New Roman" w:hAnsi="Times New Roman"/>
        </w:rPr>
        <w:t xml:space="preserve"> In any event, any such "precept" was not supported by the text of s 33X(5). As Murphy and Lee JJ observed:</w:t>
      </w:r>
      <w:r w:rsidRPr="005647FA">
        <w:rPr>
          <w:rStyle w:val="FootnoteReference"/>
          <w:rFonts w:ascii="Times New Roman" w:hAnsi="Times New Roman"/>
          <w:sz w:val="24"/>
        </w:rPr>
        <w:footnoteReference w:id="93"/>
      </w:r>
    </w:p>
    <w:p w14:paraId="0DB447B2" w14:textId="77777777" w:rsidR="00111641"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t>"The scope of the general power in s 33X(5) is not identified by: (a) observing that the statutory scheme is an opt out scheme; (b) identifying that as a 'fundamental precept'; and then (c) using that generalised phrase as a controlling concept to identify what may or may not be consistent with such a scheme; that is, by searching for the meaning of s 33X(5) by reference to that extra-statutory expression, rather than by reference to text, context and purpose."</w:t>
      </w:r>
    </w:p>
    <w:p w14:paraId="582F30E8"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Finally, the Full Court accepted that the giving of the notice might lead a representative applicant into a position of conflict, but observed that potential or actual conflicts of interest are an "inevitable by-product" of class action regimes.</w:t>
      </w:r>
      <w:r w:rsidRPr="005647FA">
        <w:rPr>
          <w:rStyle w:val="FootnoteReference"/>
          <w:rFonts w:ascii="Times New Roman" w:hAnsi="Times New Roman"/>
          <w:sz w:val="24"/>
        </w:rPr>
        <w:footnoteReference w:id="94"/>
      </w:r>
      <w:r w:rsidRPr="005647FA">
        <w:rPr>
          <w:rFonts w:ascii="Times New Roman" w:hAnsi="Times New Roman"/>
        </w:rPr>
        <w:t xml:space="preserve"> Such conflicts are addressed in two ways: by the representative applicant's duty </w:t>
      </w:r>
      <w:r w:rsidRPr="005647FA">
        <w:rPr>
          <w:rFonts w:ascii="Times New Roman" w:hAnsi="Times New Roman"/>
        </w:rPr>
        <w:lastRenderedPageBreak/>
        <w:t>not to act contrary to the interests of group members, and by the protective power of the Court when approving any settlement.</w:t>
      </w:r>
      <w:r w:rsidRPr="005647FA">
        <w:rPr>
          <w:rStyle w:val="FootnoteReference"/>
          <w:rFonts w:ascii="Times New Roman" w:hAnsi="Times New Roman"/>
          <w:sz w:val="24"/>
        </w:rPr>
        <w:footnoteReference w:id="95"/>
      </w:r>
      <w:r w:rsidRPr="005647FA">
        <w:rPr>
          <w:rFonts w:ascii="Times New Roman" w:hAnsi="Times New Roman"/>
        </w:rPr>
        <w:t xml:space="preserve"> If anything, the Court also noted, the potential existence of this type of conflict might itself justify the need to forewarn group members of the intentions of a respondent/defendant (or a representative applicant/plaintiff, as the case may be).</w:t>
      </w:r>
      <w:r w:rsidRPr="005647FA">
        <w:rPr>
          <w:rStyle w:val="FootnoteReference"/>
          <w:rFonts w:ascii="Times New Roman" w:hAnsi="Times New Roman"/>
          <w:sz w:val="24"/>
        </w:rPr>
        <w:footnoteReference w:id="96"/>
      </w:r>
    </w:p>
    <w:p w14:paraId="25742BCB" w14:textId="77777777" w:rsidR="00111641" w:rsidRPr="005647FA" w:rsidRDefault="00111641" w:rsidP="005647FA">
      <w:pPr>
        <w:pStyle w:val="HeadingL2"/>
        <w:spacing w:after="260" w:line="280" w:lineRule="exact"/>
        <w:ind w:right="0"/>
        <w:jc w:val="both"/>
        <w:rPr>
          <w:rFonts w:ascii="Times New Roman" w:hAnsi="Times New Roman"/>
        </w:rPr>
      </w:pPr>
      <w:r w:rsidRPr="005647FA">
        <w:rPr>
          <w:rFonts w:ascii="Times New Roman" w:hAnsi="Times New Roman"/>
        </w:rPr>
        <w:t>The disposition below</w:t>
      </w:r>
    </w:p>
    <w:p w14:paraId="74C0D9B8"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In the present matter, Bell CJ gave the leading judgment below. As mentioned above, his Honour was not satisfied that </w:t>
      </w:r>
      <w:r w:rsidRPr="005647FA">
        <w:rPr>
          <w:rFonts w:ascii="Times New Roman" w:hAnsi="Times New Roman"/>
          <w:i/>
          <w:iCs/>
        </w:rPr>
        <w:t>Wigmans</w:t>
      </w:r>
      <w:r w:rsidRPr="005647FA">
        <w:rPr>
          <w:rFonts w:ascii="Times New Roman" w:hAnsi="Times New Roman"/>
        </w:rPr>
        <w:t xml:space="preserve"> was plainly wrong, and in such circumstances considered he should follow its authority.</w:t>
      </w:r>
      <w:r w:rsidRPr="005647FA">
        <w:rPr>
          <w:rStyle w:val="FootnoteReference"/>
          <w:rFonts w:ascii="Times New Roman" w:hAnsi="Times New Roman"/>
          <w:sz w:val="24"/>
        </w:rPr>
        <w:footnoteReference w:id="97"/>
      </w:r>
      <w:r w:rsidRPr="005647FA">
        <w:rPr>
          <w:rFonts w:ascii="Times New Roman" w:hAnsi="Times New Roman"/>
        </w:rPr>
        <w:t xml:space="preserve"> Bell CJ rejected the criticism in </w:t>
      </w:r>
      <w:r w:rsidRPr="005647FA">
        <w:rPr>
          <w:rFonts w:ascii="Times New Roman" w:hAnsi="Times New Roman"/>
          <w:i/>
          <w:iCs/>
        </w:rPr>
        <w:t>Parkin</w:t>
      </w:r>
      <w:r w:rsidRPr="005647FA">
        <w:rPr>
          <w:rFonts w:ascii="Times New Roman" w:hAnsi="Times New Roman"/>
        </w:rPr>
        <w:t xml:space="preserve"> of the "fundamental precept" of Pt 10 of the CP Act identified in </w:t>
      </w:r>
      <w:r w:rsidRPr="005647FA">
        <w:rPr>
          <w:rFonts w:ascii="Times New Roman" w:hAnsi="Times New Roman"/>
          <w:i/>
          <w:iCs/>
        </w:rPr>
        <w:t>Wigmans</w:t>
      </w:r>
      <w:r w:rsidRPr="005647FA">
        <w:rPr>
          <w:rFonts w:ascii="Times New Roman" w:hAnsi="Times New Roman"/>
        </w:rPr>
        <w:t>; to rely on that precept was simply to construe Pt 10 as a whole.</w:t>
      </w:r>
      <w:r w:rsidRPr="005647FA">
        <w:rPr>
          <w:rStyle w:val="FootnoteReference"/>
          <w:rFonts w:ascii="Times New Roman" w:hAnsi="Times New Roman"/>
          <w:sz w:val="24"/>
        </w:rPr>
        <w:footnoteReference w:id="98"/>
      </w:r>
      <w:r w:rsidRPr="005647FA">
        <w:rPr>
          <w:rFonts w:ascii="Times New Roman" w:hAnsi="Times New Roman"/>
        </w:rPr>
        <w:t xml:space="preserve"> In that respect, it was observed, care needed to be taken to distinguish cases where the class had already been closed as against cases where the group was entirely open.</w:t>
      </w:r>
      <w:r w:rsidRPr="005647FA">
        <w:rPr>
          <w:rStyle w:val="FootnoteReference"/>
          <w:rFonts w:ascii="Times New Roman" w:hAnsi="Times New Roman"/>
          <w:sz w:val="24"/>
        </w:rPr>
        <w:footnoteReference w:id="99"/>
      </w:r>
    </w:p>
    <w:p w14:paraId="256D52EB"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More fundamentally, Bell CJ was of the view that the proposed notification would turn "the statutory scheme on its head".</w:t>
      </w:r>
      <w:r w:rsidRPr="005647FA">
        <w:rPr>
          <w:rStyle w:val="FootnoteReference"/>
          <w:rFonts w:ascii="Times New Roman" w:hAnsi="Times New Roman"/>
          <w:sz w:val="24"/>
        </w:rPr>
        <w:footnoteReference w:id="100"/>
      </w:r>
      <w:r w:rsidRPr="005647FA">
        <w:rPr>
          <w:rFonts w:ascii="Times New Roman" w:hAnsi="Times New Roman"/>
        </w:rPr>
        <w:t xml:space="preserve"> It would convert an opt out regime into, "in practical terms at least", an opt in scheme. Parliament could not have intended for there to be a power to issue a notification which had such consequences.</w:t>
      </w:r>
      <w:r w:rsidRPr="005647FA">
        <w:rPr>
          <w:rStyle w:val="FootnoteReference"/>
          <w:rFonts w:ascii="Times New Roman" w:hAnsi="Times New Roman"/>
          <w:sz w:val="24"/>
        </w:rPr>
        <w:footnoteReference w:id="101"/>
      </w:r>
      <w:r w:rsidRPr="005647FA">
        <w:rPr>
          <w:rFonts w:ascii="Times New Roman" w:hAnsi="Times New Roman"/>
        </w:rPr>
        <w:t xml:space="preserve"> Nor could Parliament have intended that the Court would have the power to issue a notice which would inevitably lead to a conflict of interest, of </w:t>
      </w:r>
      <w:r w:rsidRPr="005647FA">
        <w:rPr>
          <w:rFonts w:ascii="Times New Roman" w:hAnsi="Times New Roman"/>
        </w:rPr>
        <w:lastRenderedPageBreak/>
        <w:t>the kind described above, with "apparent judicial blessing".</w:t>
      </w:r>
      <w:r w:rsidRPr="005647FA">
        <w:rPr>
          <w:rStyle w:val="FootnoteReference"/>
          <w:rFonts w:ascii="Times New Roman" w:hAnsi="Times New Roman"/>
          <w:sz w:val="24"/>
        </w:rPr>
        <w:footnoteReference w:id="102"/>
      </w:r>
      <w:r w:rsidRPr="005647FA">
        <w:rPr>
          <w:rFonts w:ascii="Times New Roman" w:hAnsi="Times New Roman"/>
        </w:rPr>
        <w:t xml:space="preserve"> The conflict was, in Bell CJ's view, "insoluble".</w:t>
      </w:r>
      <w:r w:rsidRPr="005647FA">
        <w:rPr>
          <w:rStyle w:val="FootnoteReference"/>
          <w:rFonts w:ascii="Times New Roman" w:hAnsi="Times New Roman"/>
          <w:sz w:val="24"/>
        </w:rPr>
        <w:footnoteReference w:id="103"/>
      </w:r>
      <w:r w:rsidRPr="005647FA">
        <w:rPr>
          <w:rFonts w:ascii="Times New Roman" w:hAnsi="Times New Roman"/>
        </w:rPr>
        <w:t xml:space="preserve"> His Honour thus concluded:</w:t>
      </w:r>
      <w:r w:rsidRPr="005647FA">
        <w:rPr>
          <w:rStyle w:val="FootnoteReference"/>
          <w:rFonts w:ascii="Times New Roman" w:hAnsi="Times New Roman"/>
          <w:sz w:val="24"/>
        </w:rPr>
        <w:footnoteReference w:id="104"/>
      </w:r>
    </w:p>
    <w:p w14:paraId="6E12CA93" w14:textId="77777777" w:rsidR="00111641"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t>"[W]hat is really happening is an attempt in the interests of the defendant and a subset of group members (namely, those who register prior to any in principle settlement being reached) to secure a settlement one element of which is the claims of remaining group members (namely, those who have not registered) are extinguished. ... But a representative plaintiff who has chosen to act on behalf of all members cannot adequately represent all when it is in that party's own interest, and those of registered members, to achieve a settlement, which result is diametrically opposed to the interests of unregistered members."</w:t>
      </w:r>
    </w:p>
    <w:p w14:paraId="61F254FF" w14:textId="77777777" w:rsidR="00111641" w:rsidRPr="005647FA" w:rsidDel="00AA15F4"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Bell CJ was also of the view that the power conferred by s 175(5) was not unqualified. First, a notice must relate to an "event" and, secondly, this was limited to historical events that occurred before the giving of the notice.</w:t>
      </w:r>
      <w:r w:rsidRPr="005647FA">
        <w:rPr>
          <w:rStyle w:val="FootnoteReference"/>
          <w:rFonts w:ascii="Times New Roman" w:hAnsi="Times New Roman"/>
          <w:sz w:val="24"/>
        </w:rPr>
        <w:footnoteReference w:id="105"/>
      </w:r>
      <w:r w:rsidRPr="005647FA">
        <w:rPr>
          <w:rFonts w:ascii="Times New Roman" w:hAnsi="Times New Roman"/>
        </w:rPr>
        <w:t xml:space="preserve"> Here, Bell CJ was of the view that the proposed notice did not relate to any "event" as such, but was instead a statement of present intention concerning possible future settlement negotiations.</w:t>
      </w:r>
      <w:r w:rsidRPr="005647FA">
        <w:rPr>
          <w:rStyle w:val="FootnoteReference"/>
          <w:rFonts w:ascii="Times New Roman" w:hAnsi="Times New Roman"/>
          <w:sz w:val="24"/>
        </w:rPr>
        <w:footnoteReference w:id="106"/>
      </w:r>
      <w:r w:rsidRPr="005647FA">
        <w:rPr>
          <w:rFonts w:ascii="Times New Roman" w:hAnsi="Times New Roman"/>
        </w:rPr>
        <w:t xml:space="preserve"> And, to the extent that the power conferred by s 175(5) might be said to be expressed in broad terms, this did not immunise it from being necessarily read down by reference to statutory context; in that respect, it was noted that equally broad language may be found in s 183 of the CP Act, yet the equivalent provision in Pt IVA of the FCA Act (s 33ZF) was given a confined meaning in </w:t>
      </w:r>
      <w:r w:rsidRPr="005647FA">
        <w:rPr>
          <w:rFonts w:ascii="Times New Roman" w:hAnsi="Times New Roman"/>
          <w:i/>
          <w:iCs/>
        </w:rPr>
        <w:t>Brewster</w:t>
      </w:r>
      <w:r w:rsidRPr="005647FA">
        <w:rPr>
          <w:rFonts w:ascii="Times New Roman" w:hAnsi="Times New Roman"/>
        </w:rPr>
        <w:t>.</w:t>
      </w:r>
      <w:r w:rsidRPr="005647FA">
        <w:rPr>
          <w:rStyle w:val="FootnoteReference"/>
          <w:rFonts w:ascii="Times New Roman" w:hAnsi="Times New Roman"/>
          <w:sz w:val="24"/>
        </w:rPr>
        <w:footnoteReference w:id="107"/>
      </w:r>
    </w:p>
    <w:p w14:paraId="28B3B48C" w14:textId="77777777" w:rsidR="00111641" w:rsidRPr="005647FA" w:rsidRDefault="00111641" w:rsidP="005647FA">
      <w:pPr>
        <w:pStyle w:val="HeadingL1"/>
        <w:spacing w:after="260" w:line="280" w:lineRule="exact"/>
        <w:ind w:right="0"/>
        <w:jc w:val="both"/>
        <w:rPr>
          <w:rFonts w:ascii="Times New Roman" w:hAnsi="Times New Roman"/>
        </w:rPr>
      </w:pPr>
      <w:r w:rsidRPr="005647FA">
        <w:rPr>
          <w:rFonts w:ascii="Times New Roman" w:hAnsi="Times New Roman"/>
        </w:rPr>
        <w:t xml:space="preserve">A question of power </w:t>
      </w:r>
    </w:p>
    <w:p w14:paraId="112226A5"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question posed in this appeal is about power. It is not concerned with the merits of Lendlease's proposed notice. In considering the issue of power, it is important not to conflate the issue of whether the Supreme Court has power with the issue of whether it should exercise that power. In the submissions of the contradictor, and in the reasons of the Court of Appeal, conflation of this kind can </w:t>
      </w:r>
      <w:r w:rsidRPr="005647FA">
        <w:rPr>
          <w:rFonts w:ascii="Times New Roman" w:hAnsi="Times New Roman"/>
        </w:rPr>
        <w:lastRenderedPageBreak/>
        <w:t xml:space="preserve">be observed (especially concerning whether the proposed notice would place a representative plaintiff into a position of conflict). </w:t>
      </w:r>
    </w:p>
    <w:p w14:paraId="66313BDD"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The respondents, whilst agreeing that the Court does have power, made it clear that, in the event that power is found to exist, they reserved their position as to whether an order approving the proposed notice should be made. In that respect, it is clear that – even without the proposed order – the respondents would need, in the discharge of their duty to act in the best interests of group members, to inform them of Lendlease's plans in any event. Because of the respondents' position (namely, that the Court has power to approve the proposed notice), the Court of Appeal appointed a contradictor to make submissions. As noted above, the contradictor also appeared before this Court.</w:t>
      </w:r>
    </w:p>
    <w:p w14:paraId="09D288C5" w14:textId="77777777" w:rsidR="00111641" w:rsidRPr="005647FA" w:rsidRDefault="00111641" w:rsidP="005647FA">
      <w:pPr>
        <w:pStyle w:val="HeadingL1"/>
        <w:spacing w:after="260" w:line="280" w:lineRule="exact"/>
        <w:ind w:right="0"/>
        <w:jc w:val="both"/>
        <w:rPr>
          <w:rFonts w:ascii="Times New Roman" w:hAnsi="Times New Roman"/>
        </w:rPr>
      </w:pPr>
      <w:r w:rsidRPr="005647FA">
        <w:rPr>
          <w:rFonts w:ascii="Times New Roman" w:hAnsi="Times New Roman"/>
        </w:rPr>
        <w:t>The power to issue the notification</w:t>
      </w:r>
    </w:p>
    <w:p w14:paraId="6CD5AE3A" w14:textId="77777777" w:rsidR="00111641" w:rsidRPr="005647FA" w:rsidRDefault="00111641" w:rsidP="005647FA">
      <w:pPr>
        <w:pStyle w:val="HeadingL2"/>
        <w:spacing w:after="260" w:line="280" w:lineRule="exact"/>
        <w:ind w:right="0"/>
        <w:jc w:val="both"/>
        <w:rPr>
          <w:rFonts w:ascii="Times New Roman" w:hAnsi="Times New Roman"/>
        </w:rPr>
      </w:pPr>
      <w:r w:rsidRPr="005647FA">
        <w:rPr>
          <w:rFonts w:ascii="Times New Roman" w:hAnsi="Times New Roman"/>
        </w:rPr>
        <w:t>(i)</w:t>
      </w:r>
      <w:r w:rsidRPr="005647FA">
        <w:rPr>
          <w:rFonts w:ascii="Times New Roman" w:hAnsi="Times New Roman"/>
        </w:rPr>
        <w:tab/>
        <w:t>A preliminary observation</w:t>
      </w:r>
    </w:p>
    <w:p w14:paraId="5C89DDE8"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It is important to observe what the proposed notice does and does not do. It does not affect any legal right of a group member. Instead, it is informative. It tells group members, consistently with ss 162 and 175(1)(a) of the CP Act, of their right to opt out before a date yet to be fixed. As already explained, no complaint is made about this aspect of the notice. It then tells group members about an order that Lendlease proposes to seek from the Court in the future excluding unregistered group members from participating in any settlement. That too informs group members of a matter which may be relevant to their interest in the proceeding. </w:t>
      </w:r>
    </w:p>
    <w:p w14:paraId="3012EA6B"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By giving this notice, Lendlease may obtain a forensic advantage by being able to argue, on any application for settlement approval, that unregistered group members should not be able to participate as they had been given ample opportunity to opt out or in and had not done so. The quality of any such advantage may be doubted, as the Court will be fully aware of the reason why Lendlease sent the notice, and its intention to make this argument; that might justify the Court in giving it less weight in any settlement approval. There is otherwise no guarantee that the order will be made. And even if it is, group members remain group members; unregistered members will always be able to seek orders from the Court that they be entitled to some part of any settlement amount as a condition of court approval; no party suggested to the contrary. The form of the notice makes this expressly clear: it states that whether there may be another opportunity to register a claim following settlement "will be a matter for the Court". Moreover, the respondents are under a duty anyway to inform the group members about Lendlease's intentions; they presumably have now been told of what is to occur and Lendlease has obtained </w:t>
      </w:r>
      <w:r w:rsidRPr="005647FA">
        <w:rPr>
          <w:rFonts w:ascii="Times New Roman" w:hAnsi="Times New Roman"/>
          <w:color w:val="111111"/>
          <w:shd w:val="clear" w:color="auto" w:fill="FFFFFF"/>
        </w:rPr>
        <w:t xml:space="preserve">– </w:t>
      </w:r>
      <w:r w:rsidRPr="005647FA">
        <w:rPr>
          <w:rFonts w:ascii="Times New Roman" w:hAnsi="Times New Roman"/>
        </w:rPr>
        <w:t xml:space="preserve">at least in part </w:t>
      </w:r>
      <w:r w:rsidRPr="005647FA">
        <w:rPr>
          <w:rFonts w:ascii="Times New Roman" w:hAnsi="Times New Roman"/>
          <w:color w:val="111111"/>
          <w:shd w:val="clear" w:color="auto" w:fill="FFFFFF"/>
        </w:rPr>
        <w:t>–</w:t>
      </w:r>
      <w:r w:rsidRPr="005647FA">
        <w:rPr>
          <w:rFonts w:ascii="Times New Roman" w:hAnsi="Times New Roman"/>
        </w:rPr>
        <w:t xml:space="preserve"> its forensic advantage in any event.</w:t>
      </w:r>
    </w:p>
    <w:p w14:paraId="60B7DC3E"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notice also invites members to register their claims. The contradictor described registration as "mandatory" in the sense of, it is "mandatory" to register </w:t>
      </w:r>
      <w:r w:rsidRPr="005647FA">
        <w:rPr>
          <w:rFonts w:ascii="Times New Roman" w:hAnsi="Times New Roman"/>
        </w:rPr>
        <w:lastRenderedPageBreak/>
        <w:t xml:space="preserve">in order to participate in the settlement and contrary to the nature of the opt out regime. That characterisation should be rejected. Registration will not be mandatory; the existence of a "do nothing" option in the proposed notice makes this clear. However, group members are incentivised to register. That is because of what the notice will say about the order that Lendlease will seek in relation to those who "do nothing". The proposed notice describes the incentive to register a claim or claims in the following terms: </w:t>
      </w:r>
    </w:p>
    <w:p w14:paraId="08891A68" w14:textId="77777777" w:rsidR="00111641" w:rsidRDefault="00111641" w:rsidP="005647FA">
      <w:pPr>
        <w:pStyle w:val="LeftrightafterHC"/>
        <w:spacing w:before="0" w:after="260" w:line="280" w:lineRule="exact"/>
        <w:ind w:right="0"/>
        <w:jc w:val="both"/>
        <w:rPr>
          <w:rFonts w:ascii="Times New Roman" w:hAnsi="Times New Roman"/>
        </w:rPr>
      </w:pPr>
      <w:r w:rsidRPr="005647FA">
        <w:rPr>
          <w:rFonts w:ascii="Times New Roman" w:hAnsi="Times New Roman"/>
        </w:rPr>
        <w:t>"[I]f you do wish to remain a Group Member in the class action, you are strongly encouraged to register your claim (Option A above) before [TBC] so as not to risk missing out on the benefit of any settlement which might be agreed before final judgment. As noted above, there is no cost to register your claim."</w:t>
      </w:r>
    </w:p>
    <w:p w14:paraId="0EC6C021"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Of course, Lendlease may or may not be successful in persuading the Court to make the order sought. Group members who "do nothing" remain group members. The Court would thus have available to it a number of options to protect the interests of those members if it is "just" to do so in approving any settlement for the purposes of s 173(2) of the CP Act. They might include: giving such group members a further option to register; the appointment of a separate representative to act in the interests of unregistered group members pursuant to s 171 of the CP Act; or requiring the respondents to act to protect unregistered members in some way.</w:t>
      </w:r>
    </w:p>
    <w:p w14:paraId="79C57C3D"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In sum, the act of registration is bound up with the legal efficacy of the order Lendlease wishes to secure but which may never be made. Responding to the invitation simply requires completing an online form. No group member who chooses to do this suffers any detriment. And, as set out above, early registration does not foreclose the legal possibility of registration later on.</w:t>
      </w:r>
    </w:p>
    <w:p w14:paraId="283C3097" w14:textId="77777777" w:rsidR="00111641" w:rsidRPr="005647FA" w:rsidRDefault="00111641" w:rsidP="005647FA">
      <w:pPr>
        <w:pStyle w:val="HeadingL2"/>
        <w:spacing w:after="260" w:line="280" w:lineRule="exact"/>
        <w:ind w:right="0"/>
        <w:jc w:val="both"/>
        <w:rPr>
          <w:rFonts w:ascii="Times New Roman" w:hAnsi="Times New Roman"/>
        </w:rPr>
      </w:pPr>
      <w:r w:rsidRPr="005647FA">
        <w:rPr>
          <w:rFonts w:ascii="Times New Roman" w:hAnsi="Times New Roman"/>
        </w:rPr>
        <w:t>(ii)</w:t>
      </w:r>
      <w:r w:rsidRPr="005647FA">
        <w:rPr>
          <w:rFonts w:ascii="Times New Roman" w:hAnsi="Times New Roman"/>
        </w:rPr>
        <w:tab/>
        <w:t>Text</w:t>
      </w:r>
    </w:p>
    <w:p w14:paraId="2820D138"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The question then becomes: does s 175(5) authorise the Supreme Court of New South Wales to order a notice which informs group members about the foregoing matters?</w:t>
      </w:r>
    </w:p>
    <w:p w14:paraId="0E072C4F"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language of the provision certainly supports the existence of such a power. The power is to order the giving of a notice about "any matter" and "at any stage". The word "matter" is more than apt to cover the information which Lendlease wishes to send. Indeed, it is wide enough – on the issue of power – to extend to any type of information which is relevant to group members in the representative proceeding. To the extent that the word "event" in s 175(6) qualifies this power, it is, with respect, easily satisfied. Each of three things identified by Lendlease (the commencement of proceedings and the requirement to give notice of the right to opt out; the forming of an intention to seek an order excluding </w:t>
      </w:r>
      <w:r w:rsidRPr="005647FA">
        <w:rPr>
          <w:rFonts w:ascii="Times New Roman" w:hAnsi="Times New Roman"/>
        </w:rPr>
        <w:lastRenderedPageBreak/>
        <w:t>unregistered group members from participating in settlement; and the fixing of the date within which to opt out or register), and which are said to satisfy this word, amply does so; each is plainly an "event". Even if the only thing that could be an "event" were the forming of the intention to seek an order, the state of a person's mind is as much a fact, or event, as "the state of [their] digestion".</w:t>
      </w:r>
      <w:r w:rsidRPr="005647FA">
        <w:rPr>
          <w:rStyle w:val="FootnoteReference"/>
          <w:rFonts w:ascii="Times New Roman" w:hAnsi="Times New Roman"/>
          <w:sz w:val="24"/>
        </w:rPr>
        <w:footnoteReference w:id="108"/>
      </w:r>
      <w:r w:rsidRPr="005647FA">
        <w:rPr>
          <w:rFonts w:ascii="Times New Roman" w:hAnsi="Times New Roman"/>
        </w:rPr>
        <w:t xml:space="preserve"> Ward P below was thus correct to conclude that the distinction drawn by Bell CJ between the happening of an event and the formation of an intention is "somewhat technical".</w:t>
      </w:r>
      <w:r w:rsidRPr="005647FA">
        <w:rPr>
          <w:rStyle w:val="FootnoteReference"/>
          <w:rFonts w:ascii="Times New Roman" w:hAnsi="Times New Roman"/>
          <w:sz w:val="24"/>
        </w:rPr>
        <w:footnoteReference w:id="109"/>
      </w:r>
    </w:p>
    <w:p w14:paraId="443B99CE" w14:textId="77777777" w:rsidR="00111641" w:rsidRPr="005647FA" w:rsidRDefault="00111641" w:rsidP="005647FA">
      <w:pPr>
        <w:pStyle w:val="HeadingL2"/>
        <w:spacing w:after="260" w:line="280" w:lineRule="exact"/>
        <w:ind w:right="0"/>
        <w:jc w:val="both"/>
        <w:rPr>
          <w:rFonts w:ascii="Times New Roman" w:hAnsi="Times New Roman"/>
        </w:rPr>
      </w:pPr>
      <w:r w:rsidRPr="005647FA">
        <w:rPr>
          <w:rFonts w:ascii="Times New Roman" w:hAnsi="Times New Roman"/>
        </w:rPr>
        <w:t>(iii)</w:t>
      </w:r>
      <w:r w:rsidRPr="005647FA">
        <w:rPr>
          <w:rFonts w:ascii="Times New Roman" w:hAnsi="Times New Roman"/>
        </w:rPr>
        <w:tab/>
        <w:t>Purpose</w:t>
      </w:r>
    </w:p>
    <w:p w14:paraId="3D885C23"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The next issue is whether the statutory purpose of Pt 10 of the CP Act, or more particularly of s 175(5), demands that the provision be read down in some way, or in the way which has found favour with the Supreme Court of New South Wales. In particular, does the "fundamental precept" of Pt 10 deny the existence of the power in question?</w:t>
      </w:r>
    </w:p>
    <w:p w14:paraId="33437E90"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As to the purpose of Pt 10, the following observations of Kiefel CJ, Bell and Keane JJ in </w:t>
      </w:r>
      <w:r w:rsidRPr="005647FA">
        <w:rPr>
          <w:rFonts w:ascii="Times New Roman" w:hAnsi="Times New Roman"/>
          <w:i/>
          <w:iCs/>
        </w:rPr>
        <w:t>Brewster</w:t>
      </w:r>
      <w:r w:rsidRPr="005647FA">
        <w:rPr>
          <w:rFonts w:ascii="Times New Roman" w:hAnsi="Times New Roman"/>
        </w:rPr>
        <w:t xml:space="preserve"> are apt:</w:t>
      </w:r>
      <w:r w:rsidRPr="005647FA">
        <w:rPr>
          <w:rStyle w:val="FootnoteReference"/>
          <w:rFonts w:ascii="Times New Roman" w:hAnsi="Times New Roman"/>
          <w:sz w:val="24"/>
        </w:rPr>
        <w:footnoteReference w:id="110"/>
      </w:r>
    </w:p>
    <w:p w14:paraId="3F5B179B" w14:textId="77777777" w:rsidR="00111641" w:rsidRDefault="00111641" w:rsidP="005647FA">
      <w:pPr>
        <w:pStyle w:val="LRIndentafterHC"/>
        <w:spacing w:before="0" w:after="260" w:line="280" w:lineRule="exact"/>
        <w:ind w:right="0"/>
        <w:jc w:val="both"/>
        <w:rPr>
          <w:rFonts w:ascii="Times New Roman" w:hAnsi="Times New Roman"/>
        </w:rPr>
      </w:pPr>
      <w:r w:rsidRPr="005647FA">
        <w:rPr>
          <w:rFonts w:ascii="Times New Roman" w:hAnsi="Times New Roman"/>
        </w:rPr>
        <w:t>"The objectives of Pt IVA of the [FCA Act] were identified by the Australian Law Reform Commission ('the ALRC') prior to its enactment. They were two-fold: first, to enhance access to justice for claimants by allowing for the collectivisation of claims that might not be economically viable as individual claims; and secondly, to increase the efficiency of the administration of justice by allowing a common binding decision to be made in one proceeding rather than multiple suits. Part IVA of the [FCA Act], and later Pt 10 of the [CP Act], which emulated Pt IVA, pursued these objectives through the regime for representative proceedings tailored to address these defects in the law."</w:t>
      </w:r>
    </w:p>
    <w:p w14:paraId="24A55F1D"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Critical also to the issue of overall purpose is the observation of Gordon J in </w:t>
      </w:r>
      <w:r w:rsidRPr="005647FA">
        <w:rPr>
          <w:rFonts w:ascii="Times New Roman" w:hAnsi="Times New Roman"/>
          <w:i/>
          <w:iCs/>
        </w:rPr>
        <w:t>Brewster</w:t>
      </w:r>
      <w:r w:rsidRPr="005647FA">
        <w:rPr>
          <w:rFonts w:ascii="Times New Roman" w:hAnsi="Times New Roman"/>
        </w:rPr>
        <w:t xml:space="preserve"> that Pt IVA of the FCA Act (and thus also Pt 10) is procedural and not substantive in nature: "it permits representative proceedings".</w:t>
      </w:r>
      <w:r w:rsidRPr="005647FA">
        <w:rPr>
          <w:rStyle w:val="FootnoteReference"/>
          <w:rFonts w:ascii="Times New Roman" w:hAnsi="Times New Roman"/>
          <w:sz w:val="24"/>
        </w:rPr>
        <w:footnoteReference w:id="111"/>
      </w:r>
      <w:r w:rsidRPr="005647FA">
        <w:rPr>
          <w:rFonts w:ascii="Times New Roman" w:hAnsi="Times New Roman"/>
        </w:rPr>
        <w:t xml:space="preserve"> A construction of its provisions that facilitates the conduct and resolution of a class action, whether by way of settlement or final judgment, is to be preferred.</w:t>
      </w:r>
    </w:p>
    <w:p w14:paraId="773EB226"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lastRenderedPageBreak/>
        <w:tab/>
        <w:t xml:space="preserve">As to the particular purpose of s 175(5), it appears within a provision which expressly provides for the issuing of notices about: the commencement of proceedings and opting out (s 175(1)(a)); any application by a defendant for the dismissal of a proceeding for want of prosecution (s 175(1)(b)); any application by a representative party seeking leave to withdraw from that role (s 175(1)(c)); the bringing into court of money in answer to a cause of action on which a claim in the representative proceeding is founded (s 175(3)); and an application for approval of a settlement (s 175(4)). In this context, it should be accepted that the particular purpose of s 175(5) is to arm the Court with the power to order any </w:t>
      </w:r>
      <w:r w:rsidRPr="005647FA">
        <w:rPr>
          <w:rFonts w:ascii="Times New Roman" w:hAnsi="Times New Roman"/>
          <w:i/>
          <w:iCs/>
        </w:rPr>
        <w:t>other</w:t>
      </w:r>
      <w:r w:rsidRPr="005647FA">
        <w:rPr>
          <w:rFonts w:ascii="Times New Roman" w:hAnsi="Times New Roman"/>
        </w:rPr>
        <w:t xml:space="preserve"> notice relating to the conduct of a class action which is before it. It should be expected that this power will be exercised by the Court as part of its supervisory role when it is necessary to inform group members about key matters. In that respect, Beach J in </w:t>
      </w:r>
      <w:r w:rsidRPr="005647FA">
        <w:rPr>
          <w:rFonts w:ascii="Times New Roman" w:hAnsi="Times New Roman"/>
          <w:i/>
          <w:iCs/>
        </w:rPr>
        <w:t>Wetdal</w:t>
      </w:r>
      <w:r w:rsidRPr="005647FA">
        <w:rPr>
          <w:rFonts w:ascii="Times New Roman" w:hAnsi="Times New Roman"/>
        </w:rPr>
        <w:t xml:space="preserve"> was correct to observe that s 33X(5) of the FCA Act, and thus also s 175(5), is "facultative, not restrictive".</w:t>
      </w:r>
      <w:r w:rsidRPr="005647FA">
        <w:rPr>
          <w:rStyle w:val="FootnoteReference"/>
          <w:rFonts w:ascii="Times New Roman" w:hAnsi="Times New Roman"/>
          <w:sz w:val="24"/>
        </w:rPr>
        <w:footnoteReference w:id="112"/>
      </w:r>
      <w:r w:rsidRPr="005647FA">
        <w:rPr>
          <w:rFonts w:ascii="Times New Roman" w:hAnsi="Times New Roman"/>
        </w:rPr>
        <w:t xml:space="preserve"> It would be contrary to this purpose if the Court had power to approve a settlement that excluded unregistered group members, but did not have power to inform group members of the intention to seek settlement on this basis. </w:t>
      </w:r>
    </w:p>
    <w:p w14:paraId="3B455B1C" w14:textId="77777777" w:rsidR="00111641" w:rsidRPr="005647FA" w:rsidDel="00AA15F4"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r>
      <w:r w:rsidRPr="005647FA" w:rsidDel="00AA15F4">
        <w:rPr>
          <w:rFonts w:ascii="Times New Roman" w:hAnsi="Times New Roman"/>
        </w:rPr>
        <w:t>There was some debate about Lendlease's purpose in seeking a notice of the kind proposed. Below, Bell CJ, with whom Gleeson, Leeming and Stern JJA agreed, was of the view that the proposed notice had two purposes.</w:t>
      </w:r>
      <w:r w:rsidRPr="005647FA" w:rsidDel="00AA15F4">
        <w:rPr>
          <w:rStyle w:val="FootnoteReference"/>
          <w:rFonts w:ascii="Times New Roman" w:hAnsi="Times New Roman"/>
          <w:sz w:val="24"/>
        </w:rPr>
        <w:footnoteReference w:id="113"/>
      </w:r>
      <w:r w:rsidRPr="005647FA" w:rsidDel="00AA15F4">
        <w:rPr>
          <w:rFonts w:ascii="Times New Roman" w:hAnsi="Times New Roman"/>
        </w:rPr>
        <w:t xml:space="preserve"> The first was to encourage unregistered group members either to opt out of the group prior to any mediation or to opt in to avoid the risk of missing out on the benefit of any settlement. The second was "to arm Lendlease (and also the plaintiffs as the representative parties) with an argument to be made to any judge called upon to approve any settlement pursuant to s 173 of the CPA that non-registered group members should </w:t>
      </w:r>
      <w:r w:rsidRPr="005647FA" w:rsidDel="00AA15F4">
        <w:rPr>
          <w:rFonts w:ascii="Times New Roman" w:hAnsi="Times New Roman"/>
          <w:i/>
          <w:iCs/>
        </w:rPr>
        <w:t>not</w:t>
      </w:r>
      <w:r w:rsidRPr="005647FA" w:rsidDel="00AA15F4">
        <w:rPr>
          <w:rFonts w:ascii="Times New Roman" w:hAnsi="Times New Roman"/>
        </w:rPr>
        <w:t xml:space="preserve"> be permitted to participate in the fruits of any settlement on the footing that they had been given the choice of opting out or opting in prior to the settlement and had not availed themselves of that opportunity"</w:t>
      </w:r>
      <w:r w:rsidRPr="005647FA">
        <w:rPr>
          <w:rFonts w:ascii="Times New Roman" w:hAnsi="Times New Roman"/>
        </w:rPr>
        <w:t>.</w:t>
      </w:r>
      <w:r w:rsidRPr="005647FA" w:rsidDel="00AA15F4">
        <w:rPr>
          <w:rStyle w:val="FootnoteReference"/>
          <w:rFonts w:ascii="Times New Roman" w:hAnsi="Times New Roman"/>
          <w:sz w:val="24"/>
        </w:rPr>
        <w:footnoteReference w:id="114"/>
      </w:r>
      <w:r w:rsidRPr="005647FA" w:rsidDel="00AA15F4">
        <w:rPr>
          <w:rFonts w:ascii="Times New Roman" w:hAnsi="Times New Roman"/>
        </w:rPr>
        <w:t xml:space="preserve"> The latter purpose was described as a "forensic benefit".</w:t>
      </w:r>
      <w:r w:rsidRPr="005647FA" w:rsidDel="00AA15F4">
        <w:rPr>
          <w:rStyle w:val="FootnoteReference"/>
          <w:rFonts w:ascii="Times New Roman" w:hAnsi="Times New Roman"/>
          <w:sz w:val="24"/>
        </w:rPr>
        <w:footnoteReference w:id="115"/>
      </w:r>
      <w:r w:rsidRPr="005647FA" w:rsidDel="00AA15F4">
        <w:rPr>
          <w:rFonts w:ascii="Times New Roman" w:hAnsi="Times New Roman"/>
        </w:rPr>
        <w:t xml:space="preserve"> The utility of this supposed advantage, for the reason given </w:t>
      </w:r>
      <w:r w:rsidRPr="005647FA">
        <w:rPr>
          <w:rFonts w:ascii="Times New Roman" w:hAnsi="Times New Roman"/>
        </w:rPr>
        <w:t>above</w:t>
      </w:r>
      <w:r w:rsidRPr="005647FA" w:rsidDel="00AA15F4">
        <w:rPr>
          <w:rFonts w:ascii="Times New Roman" w:hAnsi="Times New Roman"/>
        </w:rPr>
        <w:t>, is perhaps doubtful.</w:t>
      </w:r>
    </w:p>
    <w:p w14:paraId="6EC50C06" w14:textId="77777777" w:rsidR="00111641" w:rsidRPr="005647FA" w:rsidRDefault="00111641" w:rsidP="005647FA">
      <w:pPr>
        <w:pStyle w:val="FixListStyle"/>
        <w:spacing w:after="260" w:line="280" w:lineRule="exact"/>
        <w:ind w:right="0"/>
        <w:jc w:val="both"/>
        <w:rPr>
          <w:rFonts w:ascii="Times New Roman" w:hAnsi="Times New Roman"/>
        </w:rPr>
      </w:pPr>
      <w:r w:rsidRPr="005647FA" w:rsidDel="00AA15F4">
        <w:rPr>
          <w:rFonts w:ascii="Times New Roman" w:hAnsi="Times New Roman"/>
        </w:rPr>
        <w:tab/>
        <w:t xml:space="preserve">Without denying the foregoing, Lendlease nonetheless submitted that the core purposes of the proposed notice were also to promote the possibility of settlement, and to encourage finality. That an essential attribute of Pt 10 is to encourage the fair, effective and final resolution of claims, whether by means of a </w:t>
      </w:r>
      <w:r w:rsidRPr="005647FA" w:rsidDel="00AA15F4">
        <w:rPr>
          <w:rFonts w:ascii="Times New Roman" w:hAnsi="Times New Roman"/>
        </w:rPr>
        <w:lastRenderedPageBreak/>
        <w:t>settlement or judgment, was not denied by any party. Lendlease relied upon an affidavit affirmed by Mr Betts, a partner of Herbert Smith Freehills (who act for Lendlease), who states that he specialises in class action litigation. He deposes that Lendlease needs a "better" or "proper" understanding of the number of potential claimants so that questions of quantum can be meaningfully addressed in any settlement negotiations. So much should be accepted given the number of trades in the relevant securities during the pleaded period and the number of legal and equitable "interests" that might have been held in such securities. Mr Betts also states that if settlement is possible, Lendlease will want to settle with all possible claimants on a final basis and avoid the need to defend similar subject matter claims after the resolution of the proceeding. Again, so much may be accepted. Any defendant to a class action seeks finality in litigation, and such an objective is entirely reasonable.</w:t>
      </w:r>
      <w:r w:rsidRPr="005647FA">
        <w:rPr>
          <w:rFonts w:ascii="Times New Roman" w:hAnsi="Times New Roman"/>
        </w:rPr>
        <w:t xml:space="preserve"> Although the interests of the defendant and representative plaintiff do not necessarily or always align, registration may also benefit the representative plaintiff. For example, registration helps the representative plaintiff to understand the size and identity of the class in order to negotiate an appropriate settlement and facilitate Court approval of that settlement.</w:t>
      </w:r>
    </w:p>
    <w:p w14:paraId="186B2DA1"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It follows that the notice proposed by Lendlease promotes both the general purposes of Pt 10, or at least is not inconsistent with them, and the particular purpose of s 175(5). The notice relates to the conduct of the class action and should have the effect of promoting its settlement.</w:t>
      </w:r>
    </w:p>
    <w:p w14:paraId="62C23F3F" w14:textId="77777777" w:rsidR="00111641" w:rsidRPr="005647FA" w:rsidRDefault="00111641" w:rsidP="005647FA">
      <w:pPr>
        <w:pStyle w:val="HeadingL2"/>
        <w:spacing w:after="260" w:line="280" w:lineRule="exact"/>
        <w:ind w:right="0"/>
        <w:jc w:val="both"/>
        <w:rPr>
          <w:rFonts w:ascii="Times New Roman" w:hAnsi="Times New Roman"/>
        </w:rPr>
      </w:pPr>
      <w:r w:rsidRPr="005647FA">
        <w:rPr>
          <w:rFonts w:ascii="Times New Roman" w:hAnsi="Times New Roman"/>
        </w:rPr>
        <w:t>(iv)</w:t>
      </w:r>
      <w:r w:rsidRPr="005647FA">
        <w:rPr>
          <w:rFonts w:ascii="Times New Roman" w:hAnsi="Times New Roman"/>
        </w:rPr>
        <w:tab/>
        <w:t>Fundamental precept</w:t>
      </w:r>
    </w:p>
    <w:p w14:paraId="510131D9"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The power to order the proposed notification is not denied because of the suggested "fundamental precept" of Pt 10 that a group member need not do anything in order to obtain the benefit of any settlement or favourable judgment. That precept is not as absolute as the Court of Appeal thought, and, with respect, makes too much out of the observation made by Gaudron, Gummow and Hayne JJ in </w:t>
      </w:r>
      <w:r w:rsidRPr="005647FA">
        <w:rPr>
          <w:rFonts w:ascii="Times New Roman" w:hAnsi="Times New Roman"/>
          <w:i/>
          <w:iCs/>
        </w:rPr>
        <w:t>Mobil</w:t>
      </w:r>
      <w:r w:rsidRPr="005647FA">
        <w:rPr>
          <w:rFonts w:ascii="Times New Roman" w:hAnsi="Times New Roman"/>
        </w:rPr>
        <w:t xml:space="preserve">, set out above. That observation describes an ordinary and expected incident of the opt out model for representative proceedings. But it was not intended to establish a categorical principle of legislative presupposition that group members are always entitled to do nothing before benefitting from a settlement or favourable judgment, or limit the Court's powers to give notice of any matter which may be relevant to group members in the proceeding. There is no such "fundamental precept". </w:t>
      </w:r>
    </w:p>
    <w:p w14:paraId="35E22321"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Having regard to the language of Pt 10 of the CP Act, and its conferral of supervisory powers on the Court, it would indeed be a remarkable and most unlikely conclusion if it were always the case that the only thing a group member needed to do before settlement or judgment was to opt out if they wished to. Such a conclusion would be inconsistent with contemporary principles of civil litigation, which, in their application in New South Wales, have an overriding purpose of facilitating "the just, quick and cheap resolution of the real issues in the </w:t>
      </w:r>
      <w:r w:rsidRPr="005647FA">
        <w:rPr>
          <w:rFonts w:ascii="Times New Roman" w:hAnsi="Times New Roman"/>
        </w:rPr>
        <w:lastRenderedPageBreak/>
        <w:t>proceedings".</w:t>
      </w:r>
      <w:r w:rsidRPr="005647FA">
        <w:rPr>
          <w:rStyle w:val="FootnoteReference"/>
          <w:rFonts w:ascii="Times New Roman" w:hAnsi="Times New Roman"/>
          <w:sz w:val="24"/>
        </w:rPr>
        <w:footnoteReference w:id="116"/>
      </w:r>
      <w:r w:rsidRPr="005647FA">
        <w:rPr>
          <w:rFonts w:ascii="Times New Roman" w:hAnsi="Times New Roman"/>
        </w:rPr>
        <w:t xml:space="preserve"> That may or may not require a group member, in a given case, to perform some procedural act or acts, such as discovery or the giving of particulars or other information. The possible need for the taking of such steps in a given case is supported by s 177(3), which assumes that the Court will have before it, at some point, sufficient information about group members and their claims in order to make a reasonably accurate assessment of the amount of any judgment to be ordered. </w:t>
      </w:r>
    </w:p>
    <w:p w14:paraId="3F6A85E6"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Such a conclusion does not turn Pt 10 "on its head". Nor does it convert the scheme of Pt 10 into an opt in, rather than opt out, legislative regime. Members remain group members, and thus subject to the binding effect of s 179 of the CP Act, unless they have earlier opted out. And even an opt in model, especially in the case of an open class, will require group members at some point to provide information in order to share in the benefit of any settlement or judgment. Whilst ordinarily that takes place after settlement of an action, or the obtaining of a favourable judgment, there will be cases where it will be in the interests of a just, quick and cheap resolution of the real issues for such information to be supplied at an earlier stage. Whether this matter is such a case will be a matter for the trial judge.</w:t>
      </w:r>
    </w:p>
    <w:p w14:paraId="749FAB62" w14:textId="77777777" w:rsidR="00111641" w:rsidRPr="005647FA" w:rsidRDefault="00111641" w:rsidP="005647FA">
      <w:pPr>
        <w:pStyle w:val="HeadingL2"/>
        <w:spacing w:after="260" w:line="280" w:lineRule="exact"/>
        <w:ind w:right="0"/>
        <w:jc w:val="both"/>
        <w:rPr>
          <w:rFonts w:ascii="Times New Roman" w:hAnsi="Times New Roman"/>
        </w:rPr>
      </w:pPr>
      <w:r w:rsidRPr="005647FA">
        <w:rPr>
          <w:rFonts w:ascii="Times New Roman" w:hAnsi="Times New Roman"/>
        </w:rPr>
        <w:t>(v)</w:t>
      </w:r>
      <w:r w:rsidRPr="005647FA">
        <w:rPr>
          <w:rFonts w:ascii="Times New Roman" w:hAnsi="Times New Roman"/>
        </w:rPr>
        <w:tab/>
        <w:t>Conflicts of interest</w:t>
      </w:r>
    </w:p>
    <w:p w14:paraId="2C7EBED8"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Nor does the possible future conflict of interest preclude the Supreme Court of New South Wales from having the power to order the proposed notification. As the Full Federal Court in </w:t>
      </w:r>
      <w:r w:rsidRPr="005647FA">
        <w:rPr>
          <w:rFonts w:ascii="Times New Roman" w:hAnsi="Times New Roman"/>
          <w:i/>
          <w:iCs/>
        </w:rPr>
        <w:t>Parkin</w:t>
      </w:r>
      <w:r w:rsidRPr="005647FA">
        <w:rPr>
          <w:rFonts w:ascii="Times New Roman" w:hAnsi="Times New Roman"/>
        </w:rPr>
        <w:t xml:space="preserve"> correctly observed, conflicts of this kind will often feature in a class action, and they are anticipated by the statute and are addressed by the representative plaintiff's duty not to act contrary to the interests of group members and by the Court's supervisory and protective role.</w:t>
      </w:r>
      <w:r w:rsidRPr="005647FA">
        <w:rPr>
          <w:rStyle w:val="FootnoteReference"/>
          <w:rFonts w:ascii="Times New Roman" w:hAnsi="Times New Roman"/>
          <w:sz w:val="24"/>
        </w:rPr>
        <w:footnoteReference w:id="117"/>
      </w:r>
      <w:r w:rsidRPr="005647FA">
        <w:rPr>
          <w:rFonts w:ascii="Times New Roman" w:hAnsi="Times New Roman"/>
        </w:rPr>
        <w:t xml:space="preserve"> The latter encompasses the Court's capacity to, if necessary, decline to approve a settlement and to replace a representative plaintiff who is unable to adequately represent group members. The Court can also appoint a contradictor (as it did in this matter), or an </w:t>
      </w:r>
      <w:r w:rsidRPr="005647FA">
        <w:rPr>
          <w:rFonts w:ascii="Times New Roman" w:hAnsi="Times New Roman"/>
          <w:i/>
          <w:iCs/>
        </w:rPr>
        <w:t>amicus curiae</w:t>
      </w:r>
      <w:r w:rsidRPr="005647FA">
        <w:rPr>
          <w:rFonts w:ascii="Times New Roman" w:hAnsi="Times New Roman"/>
        </w:rPr>
        <w:t>, to represent the interests of unregistered group members.</w:t>
      </w:r>
      <w:r w:rsidRPr="005647FA">
        <w:rPr>
          <w:rStyle w:val="FootnoteReference"/>
          <w:rFonts w:ascii="Times New Roman" w:hAnsi="Times New Roman"/>
          <w:sz w:val="24"/>
        </w:rPr>
        <w:footnoteReference w:id="118"/>
      </w:r>
      <w:r w:rsidRPr="005647FA">
        <w:rPr>
          <w:rFonts w:ascii="Times New Roman" w:hAnsi="Times New Roman"/>
        </w:rPr>
        <w:t xml:space="preserve"> </w:t>
      </w:r>
    </w:p>
    <w:p w14:paraId="156C4235"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But the concern about possible conflicts is, in any event, premature. The order that Lendlease seeks has yet to be made and may never be made. Even if it is made, the respondents will remain obliged to act in the interests of all members, both registered and unregistered, in negotiating with Lendlease. How that duty </w:t>
      </w:r>
      <w:r w:rsidRPr="005647FA">
        <w:rPr>
          <w:rFonts w:ascii="Times New Roman" w:hAnsi="Times New Roman"/>
        </w:rPr>
        <w:lastRenderedPageBreak/>
        <w:t xml:space="preserve">might be discharged has yet to be resolved. But none of these concerns deny the power of the Court to at least give notice of what Lendlease seeks to do. The giving of such a notice, which is merely informative of Lendlease's objectives, itself creates no detriment, and perhaps only enhances the possibility of settlement. In that respect, the observation of the Full Federal Court in </w:t>
      </w:r>
      <w:r w:rsidRPr="005647FA">
        <w:rPr>
          <w:rFonts w:ascii="Times New Roman" w:hAnsi="Times New Roman"/>
          <w:i/>
          <w:iCs/>
        </w:rPr>
        <w:t>Parkin</w:t>
      </w:r>
      <w:r w:rsidRPr="005647FA">
        <w:rPr>
          <w:rFonts w:ascii="Times New Roman" w:hAnsi="Times New Roman"/>
        </w:rPr>
        <w:t xml:space="preserve"> cannot be ignored: court-approved settlements of securities class actions are "by an overwhelming margin" the most common way of resolving group members' claims.</w:t>
      </w:r>
      <w:r w:rsidRPr="005647FA">
        <w:rPr>
          <w:rStyle w:val="FootnoteReference"/>
          <w:rFonts w:ascii="Times New Roman" w:hAnsi="Times New Roman"/>
          <w:sz w:val="24"/>
        </w:rPr>
        <w:footnoteReference w:id="119"/>
      </w:r>
      <w:r w:rsidRPr="005647FA">
        <w:rPr>
          <w:rFonts w:ascii="Times New Roman" w:hAnsi="Times New Roman"/>
        </w:rPr>
        <w:t xml:space="preserve"> Resolution of claims by settlement is fundamental to both Pt 10 of the CP Act and Pt IVA of the FCA Act.</w:t>
      </w:r>
      <w:r w:rsidRPr="005647FA">
        <w:rPr>
          <w:rStyle w:val="FootnoteReference"/>
          <w:rFonts w:ascii="Times New Roman" w:hAnsi="Times New Roman"/>
          <w:sz w:val="24"/>
        </w:rPr>
        <w:footnoteReference w:id="120"/>
      </w:r>
      <w:r w:rsidRPr="005647FA">
        <w:rPr>
          <w:rFonts w:ascii="Times New Roman" w:hAnsi="Times New Roman"/>
        </w:rPr>
        <w:t xml:space="preserve"> It is of no moment if the giving of the notice also promotes the commercial interests of Lendlease. If settlement is achieved, it would promote the interests of both Lendlease and group members.</w:t>
      </w:r>
    </w:p>
    <w:p w14:paraId="7534A7A5" w14:textId="77777777" w:rsidR="00111641" w:rsidRPr="005647FA" w:rsidRDefault="00111641" w:rsidP="005647FA">
      <w:pPr>
        <w:pStyle w:val="HeadingL1"/>
        <w:spacing w:after="260" w:line="280" w:lineRule="exact"/>
        <w:ind w:right="0"/>
        <w:jc w:val="both"/>
        <w:rPr>
          <w:rFonts w:ascii="Times New Roman" w:hAnsi="Times New Roman"/>
        </w:rPr>
      </w:pPr>
      <w:r w:rsidRPr="005647FA">
        <w:rPr>
          <w:rFonts w:ascii="Times New Roman" w:hAnsi="Times New Roman"/>
        </w:rPr>
        <w:t>Additional error</w:t>
      </w:r>
    </w:p>
    <w:p w14:paraId="00104E38"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 xml:space="preserve">It was contended that there was an additional error concerning the approach that an intermediate appellate court should adopt where there are conflicting decisions of the kind described above. It is strictly unnecessary for this additional error to be considered. </w:t>
      </w:r>
    </w:p>
    <w:p w14:paraId="0C9575C4"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Nonetheless, we make the following brief remarks. Decisions of this Court establish the limited circumstances in which an intermediate appellate court or a trial judge can depart from a decision of another intermediate appellate court on the interpretation of Commonwealth legislation, uniform national legislation or the common law of Australia.</w:t>
      </w:r>
      <w:r w:rsidRPr="005647FA">
        <w:rPr>
          <w:rStyle w:val="FootnoteReference"/>
          <w:rFonts w:ascii="Times New Roman" w:hAnsi="Times New Roman"/>
          <w:sz w:val="24"/>
        </w:rPr>
        <w:footnoteReference w:id="121"/>
      </w:r>
      <w:r w:rsidRPr="005647FA">
        <w:rPr>
          <w:rFonts w:ascii="Times New Roman" w:hAnsi="Times New Roman"/>
        </w:rPr>
        <w:t xml:space="preserve"> Beyond that it is not necessary for this Court to consider whether there should be any additional rule applicable to the circumstance where an intermediate appellate court is confronted by a conflict between one of its earlier decisions and a later decision of another intermediate appellate court, as the Court of Appeal was in this case.</w:t>
      </w:r>
    </w:p>
    <w:p w14:paraId="5CD39541"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Instead it is sufficient to note that there will always be cases where judges differ about what is the better statement of legal principle or the better construction of a particular statutory provision. Inevitably, then, there will be cases where an intermediate appellate court that is so confronted might favour a statement of principle or a construction expressed in its earlier judgment different from that reached by that other intermediate appellate court.</w:t>
      </w:r>
    </w:p>
    <w:p w14:paraId="3C11B6D3"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lastRenderedPageBreak/>
        <w:tab/>
        <w:t xml:space="preserve">The course taken by an intermediate appellate court confronted with that circumstance must take account of several considerations. Those considerations underpin the verbal formulae used in the decisions of this Court just noted. First, adopting a view different from that expressed in the later intermediate appellate court will inevitably encourage the losing party to consider an application for special leave to appeal against the second decision based on s 35A(a)(ii) of the </w:t>
      </w:r>
      <w:r w:rsidRPr="005647FA">
        <w:rPr>
          <w:rFonts w:ascii="Times New Roman" w:hAnsi="Times New Roman"/>
          <w:i/>
          <w:iCs/>
        </w:rPr>
        <w:t>Judiciary Act 1903</w:t>
      </w:r>
      <w:r w:rsidRPr="005647FA">
        <w:rPr>
          <w:rFonts w:ascii="Times New Roman" w:hAnsi="Times New Roman"/>
        </w:rPr>
        <w:t xml:space="preserve"> (Cth) and engage this Court's obligation to resolve differences of opinion between intermediate appellate courts. Second, there is only one common law of Australia.</w:t>
      </w:r>
      <w:r w:rsidRPr="005647FA">
        <w:rPr>
          <w:rStyle w:val="FootnoteReference"/>
          <w:rFonts w:ascii="Times New Roman" w:hAnsi="Times New Roman"/>
          <w:sz w:val="24"/>
        </w:rPr>
        <w:footnoteReference w:id="122"/>
      </w:r>
      <w:r w:rsidRPr="005647FA">
        <w:rPr>
          <w:rFonts w:ascii="Times New Roman" w:hAnsi="Times New Roman"/>
        </w:rPr>
        <w:t xml:space="preserve"> There are not separate or distinct "State common laws". Third, certainty and coherence are critical. These considerations are especially important in the interpretation and application of Commonwealth legislation and uniform national legislation and the common law of Australia.</w:t>
      </w:r>
    </w:p>
    <w:p w14:paraId="0E9F869C" w14:textId="77777777" w:rsidR="00111641" w:rsidRPr="005647FA" w:rsidRDefault="00111641" w:rsidP="005647FA">
      <w:pPr>
        <w:pStyle w:val="HeadingL1"/>
        <w:spacing w:after="260" w:line="280" w:lineRule="exact"/>
        <w:ind w:right="0"/>
        <w:jc w:val="both"/>
        <w:rPr>
          <w:rFonts w:ascii="Times New Roman" w:hAnsi="Times New Roman"/>
        </w:rPr>
      </w:pPr>
      <w:r w:rsidRPr="005647FA">
        <w:rPr>
          <w:rFonts w:ascii="Times New Roman" w:hAnsi="Times New Roman"/>
        </w:rPr>
        <w:t>Disposition</w:t>
      </w:r>
    </w:p>
    <w:p w14:paraId="18FBCCDD" w14:textId="77777777" w:rsidR="00111641" w:rsidRPr="005647FA" w:rsidRDefault="00111641" w:rsidP="005647FA">
      <w:pPr>
        <w:pStyle w:val="FixListStyle"/>
        <w:spacing w:after="260" w:line="280" w:lineRule="exact"/>
        <w:ind w:right="0"/>
        <w:jc w:val="both"/>
        <w:rPr>
          <w:rFonts w:ascii="Times New Roman" w:hAnsi="Times New Roman"/>
        </w:rPr>
      </w:pPr>
      <w:r w:rsidRPr="005647FA">
        <w:rPr>
          <w:rFonts w:ascii="Times New Roman" w:hAnsi="Times New Roman"/>
        </w:rPr>
        <w:tab/>
        <w:t>For the foregoing reasons this appeal must be allowed. The orders of the Court should be:</w:t>
      </w:r>
    </w:p>
    <w:p w14:paraId="0EEF0AFC" w14:textId="77777777" w:rsidR="00111641" w:rsidRPr="005647FA" w:rsidRDefault="00111641" w:rsidP="005647FA">
      <w:pPr>
        <w:pStyle w:val="NormalBody"/>
        <w:spacing w:after="260" w:line="280" w:lineRule="exact"/>
        <w:ind w:right="0"/>
        <w:jc w:val="both"/>
        <w:rPr>
          <w:rFonts w:ascii="Times New Roman" w:hAnsi="Times New Roman"/>
        </w:rPr>
      </w:pPr>
      <w:r w:rsidRPr="005647FA">
        <w:rPr>
          <w:rFonts w:ascii="Times New Roman" w:hAnsi="Times New Roman"/>
        </w:rPr>
        <w:t>(a)</w:t>
      </w:r>
      <w:r w:rsidRPr="005647FA">
        <w:rPr>
          <w:rFonts w:ascii="Times New Roman" w:hAnsi="Times New Roman"/>
        </w:rPr>
        <w:tab/>
        <w:t>Appeal allowed.</w:t>
      </w:r>
    </w:p>
    <w:p w14:paraId="03853114" w14:textId="77777777" w:rsidR="00111641" w:rsidRPr="005647FA" w:rsidRDefault="00111641" w:rsidP="005647FA">
      <w:pPr>
        <w:pStyle w:val="NormalBody"/>
        <w:spacing w:after="260" w:line="280" w:lineRule="exact"/>
        <w:ind w:left="720" w:right="0" w:hanging="720"/>
        <w:jc w:val="both"/>
        <w:rPr>
          <w:rFonts w:ascii="Times New Roman" w:hAnsi="Times New Roman"/>
        </w:rPr>
      </w:pPr>
      <w:r w:rsidRPr="005647FA">
        <w:rPr>
          <w:rFonts w:ascii="Times New Roman" w:hAnsi="Times New Roman"/>
        </w:rPr>
        <w:t>(b)</w:t>
      </w:r>
      <w:r w:rsidRPr="005647FA">
        <w:rPr>
          <w:rFonts w:ascii="Times New Roman" w:hAnsi="Times New Roman"/>
        </w:rPr>
        <w:tab/>
        <w:t xml:space="preserve">Set aside the order made by the Court of Appeal of the Supreme Court of New South Wales on 17 April 2024 and, in its place, order that the separate question stated by Ball J on 13 September 2023 be answered in the affirmative. </w:t>
      </w:r>
    </w:p>
    <w:p w14:paraId="27B88357" w14:textId="77777777" w:rsidR="00111641" w:rsidRPr="005647FA" w:rsidRDefault="00111641" w:rsidP="005647FA">
      <w:pPr>
        <w:pStyle w:val="NormalBody"/>
        <w:spacing w:after="260" w:line="280" w:lineRule="exact"/>
        <w:ind w:left="720" w:right="0" w:hanging="720"/>
        <w:jc w:val="both"/>
        <w:rPr>
          <w:rFonts w:ascii="Times New Roman" w:hAnsi="Times New Roman"/>
        </w:rPr>
      </w:pPr>
      <w:r w:rsidRPr="005647FA">
        <w:rPr>
          <w:rFonts w:ascii="Times New Roman" w:hAnsi="Times New Roman"/>
        </w:rPr>
        <w:t>(c)</w:t>
      </w:r>
      <w:r w:rsidRPr="005647FA">
        <w:rPr>
          <w:rFonts w:ascii="Times New Roman" w:hAnsi="Times New Roman"/>
        </w:rPr>
        <w:tab/>
        <w:t>Each party's costs of the appeal be its costs in the proceeding in the Supreme Court of New South Wales.</w:t>
      </w:r>
    </w:p>
    <w:p w14:paraId="4524A53B" w14:textId="77777777" w:rsidR="00111641" w:rsidRDefault="00111641" w:rsidP="00111641">
      <w:pPr>
        <w:pStyle w:val="NormalBody"/>
        <w:spacing w:after="260" w:line="280" w:lineRule="exact"/>
        <w:ind w:left="720" w:right="0" w:hanging="720"/>
        <w:jc w:val="both"/>
        <w:rPr>
          <w:rFonts w:ascii="Times New Roman" w:hAnsi="Times New Roman"/>
        </w:rPr>
      </w:pPr>
      <w:r w:rsidRPr="005647FA">
        <w:rPr>
          <w:rFonts w:ascii="Times New Roman" w:hAnsi="Times New Roman"/>
        </w:rPr>
        <w:t>(d)</w:t>
      </w:r>
      <w:r w:rsidRPr="005647FA">
        <w:rPr>
          <w:rFonts w:ascii="Times New Roman" w:hAnsi="Times New Roman"/>
        </w:rPr>
        <w:tab/>
        <w:t xml:space="preserve">The appellants pay the costs of the contradictor in the appeal. </w:t>
      </w:r>
    </w:p>
    <w:p w14:paraId="29E3A3FF" w14:textId="77777777" w:rsidR="00111641" w:rsidRDefault="00111641" w:rsidP="00111641">
      <w:pPr>
        <w:pStyle w:val="NormalBody"/>
        <w:spacing w:after="260" w:line="280" w:lineRule="exact"/>
        <w:ind w:left="720" w:right="0" w:hanging="720"/>
        <w:jc w:val="both"/>
        <w:rPr>
          <w:rFonts w:ascii="Times New Roman" w:hAnsi="Times New Roman"/>
        </w:rPr>
        <w:sectPr w:rsidR="00111641" w:rsidSect="0011164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786E2C5" w14:textId="77777777" w:rsidR="00111641" w:rsidRPr="00D93075" w:rsidRDefault="00111641" w:rsidP="00D93075">
      <w:pPr>
        <w:pStyle w:val="FixListStyle"/>
        <w:tabs>
          <w:tab w:val="clear" w:pos="720"/>
          <w:tab w:val="left" w:pos="0"/>
        </w:tabs>
        <w:spacing w:after="260" w:line="280" w:lineRule="exact"/>
        <w:ind w:right="0"/>
        <w:jc w:val="both"/>
        <w:rPr>
          <w:rFonts w:ascii="Times New Roman" w:hAnsi="Times New Roman"/>
        </w:rPr>
      </w:pPr>
      <w:r w:rsidRPr="00D93075">
        <w:rPr>
          <w:rFonts w:ascii="Times New Roman" w:hAnsi="Times New Roman"/>
        </w:rPr>
        <w:lastRenderedPageBreak/>
        <w:t xml:space="preserve">EDELMAN J.   I agree with the reasons for decision of Gordon and Steward JJ and with the orders that their Honours propose. I write separately to address two matters in further detail. The first is the reliance in this proceeding by the New South Wales Court of Appeal upon the decision of this Court in </w:t>
      </w:r>
      <w:r w:rsidRPr="00D93075">
        <w:rPr>
          <w:rFonts w:ascii="Times New Roman" w:hAnsi="Times New Roman"/>
          <w:i/>
          <w:iCs/>
        </w:rPr>
        <w:t xml:space="preserve">BMW Australia Ltd v Brewster </w:t>
      </w:r>
      <w:r w:rsidRPr="00D93075">
        <w:rPr>
          <w:rFonts w:ascii="Times New Roman" w:hAnsi="Times New Roman"/>
        </w:rPr>
        <w:t>("</w:t>
      </w:r>
      <w:r w:rsidRPr="00D93075">
        <w:rPr>
          <w:rFonts w:ascii="Times New Roman" w:hAnsi="Times New Roman"/>
          <w:i/>
          <w:iCs/>
        </w:rPr>
        <w:t>Brewster</w:t>
      </w:r>
      <w:r w:rsidRPr="00D93075">
        <w:rPr>
          <w:rFonts w:ascii="Times New Roman" w:hAnsi="Times New Roman"/>
        </w:rPr>
        <w:t>").</w:t>
      </w:r>
      <w:r w:rsidRPr="00D93075">
        <w:rPr>
          <w:rStyle w:val="FootnoteReference"/>
          <w:rFonts w:ascii="Times New Roman" w:hAnsi="Times New Roman"/>
          <w:sz w:val="24"/>
        </w:rPr>
        <w:footnoteReference w:id="123"/>
      </w:r>
      <w:r w:rsidRPr="00D93075">
        <w:rPr>
          <w:rFonts w:ascii="Times New Roman" w:hAnsi="Times New Roman"/>
        </w:rPr>
        <w:t xml:space="preserve"> The second is the institutional rules of precedent to be applied to the decisions of intermediate appellate courts exercising appellate jurisdiction, which was the second of the two issues into which the appellants divided their case.</w:t>
      </w:r>
    </w:p>
    <w:p w14:paraId="3CB693C8" w14:textId="77777777" w:rsidR="00111641" w:rsidRPr="00D93075" w:rsidRDefault="00111641" w:rsidP="00D93075">
      <w:pPr>
        <w:pStyle w:val="HeadingL1"/>
        <w:spacing w:after="260" w:line="280" w:lineRule="exact"/>
        <w:ind w:right="0"/>
        <w:jc w:val="both"/>
        <w:rPr>
          <w:rFonts w:ascii="Times New Roman" w:hAnsi="Times New Roman"/>
          <w:i/>
          <w:iCs/>
        </w:rPr>
      </w:pPr>
      <w:r w:rsidRPr="00D93075">
        <w:rPr>
          <w:rFonts w:ascii="Times New Roman" w:hAnsi="Times New Roman"/>
          <w:i/>
          <w:iCs/>
        </w:rPr>
        <w:t>Brewster</w:t>
      </w:r>
    </w:p>
    <w:p w14:paraId="43502EEE"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 xml:space="preserve">A central plank in the reasoning of the Court of Appeal in this case was the decision of this Court in </w:t>
      </w:r>
      <w:r w:rsidRPr="00D93075">
        <w:rPr>
          <w:rFonts w:ascii="Times New Roman" w:hAnsi="Times New Roman"/>
          <w:i/>
          <w:iCs/>
        </w:rPr>
        <w:t>Brewster</w:t>
      </w:r>
      <w:r w:rsidRPr="00D93075">
        <w:rPr>
          <w:rFonts w:ascii="Times New Roman" w:hAnsi="Times New Roman"/>
        </w:rPr>
        <w:t>,</w:t>
      </w:r>
      <w:r w:rsidRPr="00D93075">
        <w:rPr>
          <w:rStyle w:val="FootnoteReference"/>
          <w:rFonts w:ascii="Times New Roman" w:hAnsi="Times New Roman"/>
          <w:sz w:val="24"/>
        </w:rPr>
        <w:footnoteReference w:id="124"/>
      </w:r>
      <w:r w:rsidRPr="00D93075">
        <w:rPr>
          <w:rFonts w:ascii="Times New Roman" w:hAnsi="Times New Roman"/>
        </w:rPr>
        <w:t xml:space="preserve"> in which a majority of this Court held that the power in s 183 of the </w:t>
      </w:r>
      <w:r w:rsidRPr="00D93075">
        <w:rPr>
          <w:rFonts w:ascii="Times New Roman" w:hAnsi="Times New Roman"/>
          <w:i/>
          <w:iCs/>
        </w:rPr>
        <w:t xml:space="preserve">Civil Procedure Act 2005 </w:t>
      </w:r>
      <w:r w:rsidRPr="00D93075">
        <w:rPr>
          <w:rFonts w:ascii="Times New Roman" w:hAnsi="Times New Roman"/>
        </w:rPr>
        <w:t>(NSW) ("the CP Act"), for the Supreme Court of New South Wales to make an order that it "thinks appropriate or necessary to ensure that justice is done in" representative proceedings instituted under Pt 10 of the CP Act, did not extend to making a common fund order prior to the conclusion of the proceedings. For instance, Bell CJ observed in the present case that, "[v]iewed in isolation, s 175(5) of the [CP Act] is a provision of great apparent breadth but so, too, was s 183".</w:t>
      </w:r>
      <w:r w:rsidRPr="00D93075">
        <w:rPr>
          <w:rStyle w:val="FootnoteReference"/>
          <w:rFonts w:ascii="Times New Roman" w:hAnsi="Times New Roman"/>
          <w:sz w:val="24"/>
        </w:rPr>
        <w:footnoteReference w:id="125"/>
      </w:r>
      <w:r w:rsidRPr="00D93075">
        <w:rPr>
          <w:rFonts w:ascii="Times New Roman" w:hAnsi="Times New Roman"/>
        </w:rPr>
        <w:t xml:space="preserve"> </w:t>
      </w:r>
    </w:p>
    <w:p w14:paraId="7625410A"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Despite a long legal history of awards in the nature of common fund orders being made prior to the conclusion of proceedings,</w:t>
      </w:r>
      <w:r w:rsidRPr="00D93075">
        <w:rPr>
          <w:rStyle w:val="FootnoteReference"/>
          <w:rFonts w:ascii="Times New Roman" w:hAnsi="Times New Roman"/>
          <w:sz w:val="24"/>
        </w:rPr>
        <w:footnoteReference w:id="126"/>
      </w:r>
      <w:r w:rsidRPr="00D93075">
        <w:rPr>
          <w:rFonts w:ascii="Times New Roman" w:hAnsi="Times New Roman"/>
        </w:rPr>
        <w:t xml:space="preserve"> and despite the breadth of the text of provisions such as s 183, the reasoning of Kiefel CJ, Bell and Keane JJ in the majority in </w:t>
      </w:r>
      <w:r w:rsidRPr="00D93075">
        <w:rPr>
          <w:rFonts w:ascii="Times New Roman" w:hAnsi="Times New Roman"/>
          <w:i/>
          <w:iCs/>
        </w:rPr>
        <w:t xml:space="preserve">Brewster </w:t>
      </w:r>
      <w:r w:rsidRPr="00D93075">
        <w:rPr>
          <w:rFonts w:ascii="Times New Roman" w:hAnsi="Times New Roman"/>
        </w:rPr>
        <w:t xml:space="preserve">apparently considered that the text, context, and purpose of such provisions required the </w:t>
      </w:r>
      <w:r w:rsidRPr="00D93075">
        <w:rPr>
          <w:rFonts w:ascii="Times New Roman" w:hAnsi="Times New Roman"/>
          <w:i/>
          <w:iCs/>
        </w:rPr>
        <w:t>meaning</w:t>
      </w:r>
      <w:r w:rsidRPr="00D93075">
        <w:rPr>
          <w:rFonts w:ascii="Times New Roman" w:hAnsi="Times New Roman"/>
        </w:rPr>
        <w:t xml:space="preserve"> of those provisions to be understood as though they contained additional words excluding the making of common fund orders prior to the conclusion of the proceedings.</w:t>
      </w:r>
      <w:r w:rsidRPr="00D93075">
        <w:rPr>
          <w:rStyle w:val="FootnoteReference"/>
          <w:rFonts w:ascii="Times New Roman" w:hAnsi="Times New Roman"/>
          <w:sz w:val="24"/>
        </w:rPr>
        <w:footnoteReference w:id="127"/>
      </w:r>
      <w:r w:rsidRPr="00D93075">
        <w:rPr>
          <w:rFonts w:ascii="Times New Roman" w:hAnsi="Times New Roman"/>
        </w:rPr>
        <w:t xml:space="preserve"> This was said not</w:t>
      </w:r>
      <w:r w:rsidRPr="00D93075">
        <w:rPr>
          <w:rFonts w:ascii="Times New Roman" w:hAnsi="Times New Roman"/>
          <w:i/>
          <w:iCs/>
        </w:rPr>
        <w:t xml:space="preserve"> </w:t>
      </w:r>
      <w:r w:rsidRPr="00D93075">
        <w:rPr>
          <w:rFonts w:ascii="Times New Roman" w:hAnsi="Times New Roman"/>
        </w:rPr>
        <w:t xml:space="preserve">to be a suggestion that the purpose of provisions such as s 183 required that the </w:t>
      </w:r>
      <w:r w:rsidRPr="00D93075">
        <w:rPr>
          <w:rFonts w:ascii="Times New Roman" w:hAnsi="Times New Roman"/>
          <w:i/>
          <w:iCs/>
        </w:rPr>
        <w:t>application</w:t>
      </w:r>
      <w:r w:rsidRPr="00D93075">
        <w:rPr>
          <w:rFonts w:ascii="Times New Roman" w:hAnsi="Times New Roman"/>
        </w:rPr>
        <w:t xml:space="preserve"> of the provision's meaning—the provision's scope of operation—should be confined.</w:t>
      </w:r>
      <w:r w:rsidRPr="00D93075">
        <w:rPr>
          <w:rStyle w:val="FootnoteReference"/>
          <w:rFonts w:ascii="Times New Roman" w:hAnsi="Times New Roman"/>
          <w:sz w:val="24"/>
        </w:rPr>
        <w:footnoteReference w:id="128"/>
      </w:r>
      <w:r w:rsidRPr="00D93075">
        <w:rPr>
          <w:rFonts w:ascii="Times New Roman" w:hAnsi="Times New Roman"/>
        </w:rPr>
        <w:t xml:space="preserve"> In a passage concerning context, relied upon heavily on this appeal, Kiefel CJ, Bell and Keane JJ endorsed paragraphs from the decision in </w:t>
      </w:r>
      <w:r w:rsidRPr="00D93075">
        <w:rPr>
          <w:rFonts w:ascii="Times New Roman" w:hAnsi="Times New Roman"/>
          <w:i/>
          <w:iCs/>
        </w:rPr>
        <w:lastRenderedPageBreak/>
        <w:t>Mobil Oil Australia Pty Ltd v Victoria</w:t>
      </w:r>
      <w:r w:rsidRPr="00D93075">
        <w:rPr>
          <w:rStyle w:val="FootnoteReference"/>
          <w:rFonts w:ascii="Times New Roman" w:hAnsi="Times New Roman"/>
          <w:sz w:val="24"/>
        </w:rPr>
        <w:footnoteReference w:id="129"/>
      </w:r>
      <w:r w:rsidRPr="00D93075">
        <w:rPr>
          <w:rFonts w:ascii="Times New Roman" w:hAnsi="Times New Roman"/>
        </w:rPr>
        <w:t xml:space="preserve"> which included the view that "[g]roup members ... need take no positive step in the prosecution of the proceeding to judgment to gain whatever benefit its prosecution may bring".</w:t>
      </w:r>
    </w:p>
    <w:p w14:paraId="0E3D2202"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 xml:space="preserve">Like the approach taken by Gordon and Steward JJ, I do not consider that it is necessary to address in any detail the correctness of the reasoning of Kiefel CJ, Bell and Keane JJ in </w:t>
      </w:r>
      <w:r w:rsidRPr="00D93075">
        <w:rPr>
          <w:rFonts w:ascii="Times New Roman" w:hAnsi="Times New Roman"/>
          <w:i/>
        </w:rPr>
        <w:t>Brewster</w:t>
      </w:r>
      <w:r w:rsidRPr="00D93075">
        <w:rPr>
          <w:rFonts w:ascii="Times New Roman" w:hAnsi="Times New Roman"/>
        </w:rPr>
        <w:t>, which is an issue raised in appeals which were listed for hearing in this Court at the time of writing these reasons but which have now been heard.</w:t>
      </w:r>
      <w:r w:rsidRPr="00D93075">
        <w:rPr>
          <w:rStyle w:val="FootnoteReference"/>
          <w:rFonts w:ascii="Times New Roman" w:hAnsi="Times New Roman"/>
          <w:sz w:val="24"/>
        </w:rPr>
        <w:footnoteReference w:id="130"/>
      </w:r>
      <w:r w:rsidRPr="00D93075">
        <w:rPr>
          <w:rFonts w:ascii="Times New Roman" w:hAnsi="Times New Roman"/>
        </w:rPr>
        <w:t xml:space="preserve"> Whatever might be thought of the implication that was said to be derived from the text, context, and purpose of s 183 of the CP Act (and the equivalent provision also considered in </w:t>
      </w:r>
      <w:r w:rsidRPr="00D93075">
        <w:rPr>
          <w:rFonts w:ascii="Times New Roman" w:hAnsi="Times New Roman"/>
          <w:i/>
          <w:iCs/>
        </w:rPr>
        <w:t>Brewster</w:t>
      </w:r>
      <w:r w:rsidRPr="00D93075">
        <w:rPr>
          <w:rStyle w:val="FootnoteReference"/>
          <w:rFonts w:ascii="Times New Roman" w:hAnsi="Times New Roman"/>
          <w:sz w:val="24"/>
        </w:rPr>
        <w:footnoteReference w:id="131"/>
      </w:r>
      <w:r w:rsidRPr="00D93075">
        <w:rPr>
          <w:rFonts w:ascii="Times New Roman" w:hAnsi="Times New Roman"/>
        </w:rPr>
        <w:t xml:space="preserve">), that implication cannot be transplanted to s 175(5) of the CP Act. Moreover, as Gordon and Steward JJ explain, the view expressed in </w:t>
      </w:r>
      <w:r w:rsidRPr="00D93075">
        <w:rPr>
          <w:rFonts w:ascii="Times New Roman" w:hAnsi="Times New Roman"/>
          <w:i/>
          <w:iCs/>
        </w:rPr>
        <w:t>Mobil Oil Australia Pty Ltd v Victoria</w:t>
      </w:r>
      <w:r w:rsidRPr="00D93075">
        <w:rPr>
          <w:rFonts w:ascii="Times New Roman" w:hAnsi="Times New Roman"/>
        </w:rPr>
        <w:t xml:space="preserve"> cannot be anything more than a general principle, subject to numerous exceptions, and certainly not a legislative presupposition capable of founding an implied legislative constraint upon s 175(5) of the CP Act.  </w:t>
      </w:r>
    </w:p>
    <w:p w14:paraId="5A4E667D" w14:textId="77777777" w:rsidR="00111641" w:rsidRPr="00D93075" w:rsidRDefault="00111641" w:rsidP="00D93075">
      <w:pPr>
        <w:pStyle w:val="HeadingL1"/>
        <w:spacing w:after="260" w:line="280" w:lineRule="exact"/>
        <w:ind w:right="0"/>
        <w:jc w:val="both"/>
        <w:rPr>
          <w:rFonts w:ascii="Times New Roman" w:hAnsi="Times New Roman"/>
        </w:rPr>
      </w:pPr>
      <w:r w:rsidRPr="00D93075">
        <w:rPr>
          <w:rFonts w:ascii="Times New Roman" w:hAnsi="Times New Roman"/>
        </w:rPr>
        <w:t xml:space="preserve">Rules of precedent in intermediate appellate courts </w:t>
      </w:r>
    </w:p>
    <w:p w14:paraId="0CBEB95B"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A rule of precedent concerning decisions of intermediate appellate courts, established by this Court in seriously considered obiter dicta, is that a trial judge or an intermediate appellate court should not depart from the ratio decidendi of an earlier intermediate appellate court decision in another jurisdiction</w:t>
      </w:r>
      <w:r w:rsidRPr="00D93075">
        <w:rPr>
          <w:rStyle w:val="FootnoteReference"/>
          <w:rFonts w:ascii="Times New Roman" w:hAnsi="Times New Roman"/>
          <w:sz w:val="24"/>
        </w:rPr>
        <w:footnoteReference w:id="132"/>
      </w:r>
      <w:r w:rsidRPr="00D93075">
        <w:rPr>
          <w:rFonts w:ascii="Times New Roman" w:hAnsi="Times New Roman"/>
        </w:rPr>
        <w:t xml:space="preserve"> on the interpretation of Commonwealth legislation, uniform national legislation, or the common law unless the trial judge or later intermediate appellate court considers the earlier decision to be plainly wrong</w:t>
      </w:r>
      <w:r w:rsidRPr="00D93075">
        <w:rPr>
          <w:rStyle w:val="FootnoteReference"/>
          <w:rFonts w:ascii="Times New Roman" w:hAnsi="Times New Roman"/>
          <w:sz w:val="24"/>
        </w:rPr>
        <w:footnoteReference w:id="133"/>
      </w:r>
      <w:r w:rsidRPr="00D93075">
        <w:rPr>
          <w:rFonts w:ascii="Times New Roman" w:hAnsi="Times New Roman"/>
        </w:rPr>
        <w:t xml:space="preserve"> or, in language that should be preferred, unless there is a compelling reason to do so.</w:t>
      </w:r>
      <w:r w:rsidRPr="00D93075">
        <w:rPr>
          <w:rStyle w:val="FootnoteReference"/>
          <w:rFonts w:ascii="Times New Roman" w:hAnsi="Times New Roman"/>
          <w:sz w:val="24"/>
        </w:rPr>
        <w:footnoteReference w:id="134"/>
      </w:r>
      <w:r w:rsidRPr="00D93075">
        <w:rPr>
          <w:rFonts w:ascii="Times New Roman" w:hAnsi="Times New Roman"/>
        </w:rPr>
        <w:t xml:space="preserve">  </w:t>
      </w:r>
    </w:p>
    <w:p w14:paraId="0BD999C6"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lastRenderedPageBreak/>
        <w:tab/>
        <w:t xml:space="preserve">That rule of precedent was applied in the later of two decisions relevant to this case. The first relevant decision was that of the New South Wales Court of Appeal itself in </w:t>
      </w:r>
      <w:r w:rsidRPr="00D93075">
        <w:rPr>
          <w:rFonts w:ascii="Times New Roman" w:hAnsi="Times New Roman"/>
          <w:i/>
          <w:iCs/>
        </w:rPr>
        <w:t xml:space="preserve">Wigmans v AMP Ltd </w:t>
      </w:r>
      <w:r w:rsidRPr="00D93075">
        <w:rPr>
          <w:rFonts w:ascii="Times New Roman" w:hAnsi="Times New Roman"/>
        </w:rPr>
        <w:t>("</w:t>
      </w:r>
      <w:r w:rsidRPr="00D93075">
        <w:rPr>
          <w:rFonts w:ascii="Times New Roman" w:hAnsi="Times New Roman"/>
          <w:i/>
          <w:iCs/>
        </w:rPr>
        <w:t>Wigmans</w:t>
      </w:r>
      <w:r w:rsidRPr="00D93075">
        <w:rPr>
          <w:rFonts w:ascii="Times New Roman" w:hAnsi="Times New Roman"/>
        </w:rPr>
        <w:t>")</w:t>
      </w:r>
      <w:r w:rsidRPr="00D93075">
        <w:rPr>
          <w:rStyle w:val="FootnoteReference"/>
          <w:rFonts w:ascii="Times New Roman" w:hAnsi="Times New Roman"/>
          <w:sz w:val="24"/>
        </w:rPr>
        <w:footnoteReference w:id="135"/>
      </w:r>
      <w:r w:rsidRPr="00D93075">
        <w:rPr>
          <w:rFonts w:ascii="Times New Roman" w:hAnsi="Times New Roman"/>
          <w:i/>
          <w:iCs/>
        </w:rPr>
        <w:t xml:space="preserve"> </w:t>
      </w:r>
      <w:r w:rsidRPr="00D93075">
        <w:rPr>
          <w:rFonts w:ascii="Times New Roman" w:hAnsi="Times New Roman"/>
        </w:rPr>
        <w:t xml:space="preserve">and the second relevant decision was that of the Full Court of the Federal Court of Australia in </w:t>
      </w:r>
      <w:r w:rsidRPr="00D93075">
        <w:rPr>
          <w:rFonts w:ascii="Times New Roman" w:hAnsi="Times New Roman"/>
          <w:i/>
          <w:iCs/>
        </w:rPr>
        <w:t xml:space="preserve">Parkin v Boral Ltd </w:t>
      </w:r>
      <w:r w:rsidRPr="00D93075">
        <w:rPr>
          <w:rFonts w:ascii="Times New Roman" w:hAnsi="Times New Roman"/>
        </w:rPr>
        <w:t>("</w:t>
      </w:r>
      <w:r w:rsidRPr="00D93075">
        <w:rPr>
          <w:rFonts w:ascii="Times New Roman" w:hAnsi="Times New Roman"/>
          <w:i/>
          <w:iCs/>
        </w:rPr>
        <w:t>Parkin</w:t>
      </w:r>
      <w:r w:rsidRPr="00D93075">
        <w:rPr>
          <w:rFonts w:ascii="Times New Roman" w:hAnsi="Times New Roman"/>
        </w:rPr>
        <w:t>"),</w:t>
      </w:r>
      <w:r w:rsidRPr="00D93075">
        <w:rPr>
          <w:rStyle w:val="FootnoteReference"/>
          <w:rFonts w:ascii="Times New Roman" w:hAnsi="Times New Roman"/>
          <w:sz w:val="24"/>
        </w:rPr>
        <w:footnoteReference w:id="136"/>
      </w:r>
      <w:r w:rsidRPr="00D93075">
        <w:rPr>
          <w:rFonts w:ascii="Times New Roman" w:hAnsi="Times New Roman"/>
          <w:i/>
          <w:iCs/>
        </w:rPr>
        <w:t xml:space="preserve"> </w:t>
      </w:r>
      <w:r w:rsidRPr="00D93075">
        <w:rPr>
          <w:rFonts w:ascii="Times New Roman" w:hAnsi="Times New Roman"/>
        </w:rPr>
        <w:t xml:space="preserve">which concluded that the decision in </w:t>
      </w:r>
      <w:r w:rsidRPr="00D93075">
        <w:rPr>
          <w:rFonts w:ascii="Times New Roman" w:hAnsi="Times New Roman"/>
          <w:i/>
          <w:iCs/>
        </w:rPr>
        <w:t xml:space="preserve">Wigmans </w:t>
      </w:r>
      <w:r w:rsidRPr="00D93075">
        <w:rPr>
          <w:rFonts w:ascii="Times New Roman" w:hAnsi="Times New Roman"/>
        </w:rPr>
        <w:t xml:space="preserve">was plainly wrong. The issue of precedent in this case arose in the unusual situation in which the decision in </w:t>
      </w:r>
      <w:r w:rsidRPr="00D93075">
        <w:rPr>
          <w:rFonts w:ascii="Times New Roman" w:hAnsi="Times New Roman"/>
          <w:i/>
          <w:iCs/>
        </w:rPr>
        <w:t xml:space="preserve">Parkin </w:t>
      </w:r>
      <w:r w:rsidRPr="00D93075">
        <w:rPr>
          <w:rFonts w:ascii="Times New Roman" w:hAnsi="Times New Roman"/>
        </w:rPr>
        <w:t xml:space="preserve">was itself subsequently challenged in the New South Wales Court of Appeal. </w:t>
      </w:r>
    </w:p>
    <w:p w14:paraId="35ECFFDF"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The rule of precedent established by this Court was not expressed to be subject to an exception where the same question is being considered by a third intermediate appellate court, which is the same court as the first intermediate appellate court whose first decision has been held to have been plainly wrong by a second intermediate appellate court. But at one point in the reasoning of the New South Wales Court of Appeal in the present case, an exception to the rule of precedent was suggested for such a third intermediate appellate court.</w:t>
      </w:r>
      <w:r w:rsidRPr="00D93075">
        <w:rPr>
          <w:rStyle w:val="FootnoteReference"/>
          <w:rFonts w:ascii="Times New Roman" w:hAnsi="Times New Roman"/>
          <w:sz w:val="24"/>
        </w:rPr>
        <w:footnoteReference w:id="137"/>
      </w:r>
    </w:p>
    <w:p w14:paraId="6020D7AA"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In this Court, this issue of the rules of precedent in intermediate appellate courts concerning conflicting intermediate appellate court decisions necessarily arises only as a matter of seriously considered obiter dicta. There is no circumstance in which it could ever be necessary for the determination of an appeal to this Court that the issue of precedent in intermediate appellate courts be determined. Therefore, the issue could never be part of the ratio decidendi of a decision of this Court.</w:t>
      </w:r>
      <w:r w:rsidRPr="00D93075">
        <w:rPr>
          <w:rStyle w:val="FootnoteReference"/>
          <w:rFonts w:ascii="Times New Roman" w:hAnsi="Times New Roman"/>
          <w:sz w:val="24"/>
        </w:rPr>
        <w:footnoteReference w:id="138"/>
      </w:r>
      <w:r w:rsidRPr="00D93075">
        <w:rPr>
          <w:rFonts w:ascii="Times New Roman" w:hAnsi="Times New Roman"/>
        </w:rPr>
        <w:t xml:space="preserve"> But the institutional importance of the issue makes it highly desirable that it be addressed by this Court.</w:t>
      </w:r>
      <w:r w:rsidRPr="00D93075">
        <w:rPr>
          <w:rStyle w:val="FootnoteReference"/>
          <w:rFonts w:ascii="Times New Roman" w:hAnsi="Times New Roman"/>
          <w:sz w:val="24"/>
        </w:rPr>
        <w:footnoteReference w:id="139"/>
      </w:r>
      <w:r w:rsidRPr="00D93075">
        <w:rPr>
          <w:rFonts w:ascii="Times New Roman" w:hAnsi="Times New Roman"/>
        </w:rPr>
        <w:t xml:space="preserve"> The inclusion of this issue as a separate issue in the appellants' case no doubt reflects the "perception ... that [if] an intermediate court had erred in applying the rules of precedent [such error] would be a ready passport to the grant of ... special leave".</w:t>
      </w:r>
      <w:r w:rsidRPr="00D93075">
        <w:rPr>
          <w:rStyle w:val="FootnoteReference"/>
          <w:rFonts w:ascii="Times New Roman" w:hAnsi="Times New Roman"/>
          <w:sz w:val="24"/>
        </w:rPr>
        <w:footnoteReference w:id="140"/>
      </w:r>
      <w:r w:rsidRPr="00D93075">
        <w:rPr>
          <w:rFonts w:ascii="Times New Roman" w:hAnsi="Times New Roman"/>
        </w:rPr>
        <w:t xml:space="preserve"> And, for the reasons below, it is necessary that this issue be resolved by this Court rather than by the expression of a potential variety of different views in intermediate appellate courts. </w:t>
      </w:r>
    </w:p>
    <w:p w14:paraId="66FE83CD"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lastRenderedPageBreak/>
        <w:tab/>
        <w:t>For many years, the approach taken by this Court has been to treat the development of institutional and systemic rules that relate to national rules and principles of law as a role for this Court, and not merely for the court which applies those rules.</w:t>
      </w:r>
      <w:r w:rsidRPr="00D93075">
        <w:rPr>
          <w:rStyle w:val="FootnoteReference"/>
          <w:rFonts w:ascii="Times New Roman" w:hAnsi="Times New Roman"/>
          <w:sz w:val="24"/>
        </w:rPr>
        <w:footnoteReference w:id="141"/>
      </w:r>
      <w:r w:rsidRPr="00D93075">
        <w:rPr>
          <w:rFonts w:ascii="Times New Roman" w:hAnsi="Times New Roman"/>
        </w:rPr>
        <w:t xml:space="preserve"> That is so even if the rules concerning that national law address the extent to which a court is free to depart from its own previous decisions.</w:t>
      </w:r>
      <w:r w:rsidRPr="00D93075">
        <w:rPr>
          <w:rStyle w:val="FootnoteReference"/>
          <w:rFonts w:ascii="Times New Roman" w:hAnsi="Times New Roman"/>
          <w:sz w:val="24"/>
        </w:rPr>
        <w:footnoteReference w:id="142"/>
      </w:r>
      <w:r w:rsidRPr="00D93075">
        <w:rPr>
          <w:rFonts w:ascii="Times New Roman" w:hAnsi="Times New Roman"/>
        </w:rPr>
        <w:t xml:space="preserve"> It is the role of this Court, recognised by s 73 of the </w:t>
      </w:r>
      <w:r w:rsidRPr="00D93075">
        <w:rPr>
          <w:rFonts w:ascii="Times New Roman" w:hAnsi="Times New Roman"/>
          <w:i/>
          <w:iCs/>
        </w:rPr>
        <w:t xml:space="preserve">Constitution </w:t>
      </w:r>
      <w:r w:rsidRPr="00D93075">
        <w:rPr>
          <w:rFonts w:ascii="Times New Roman" w:hAnsi="Times New Roman"/>
        </w:rPr>
        <w:t>as being "at the apex of [the Australian] judicial hierarchy",</w:t>
      </w:r>
      <w:r w:rsidRPr="00D93075">
        <w:rPr>
          <w:rStyle w:val="FootnoteReference"/>
          <w:rFonts w:ascii="Times New Roman" w:hAnsi="Times New Roman"/>
          <w:sz w:val="24"/>
        </w:rPr>
        <w:footnoteReference w:id="143"/>
      </w:r>
      <w:r w:rsidRPr="00D93075">
        <w:rPr>
          <w:rFonts w:ascii="Times New Roman" w:hAnsi="Times New Roman"/>
        </w:rPr>
        <w:t xml:space="preserve"> to superintend the development of rules of law, particularly the rules of the "one common law in Australia",</w:t>
      </w:r>
      <w:r w:rsidRPr="00D93075">
        <w:rPr>
          <w:rStyle w:val="FootnoteReference"/>
          <w:rFonts w:ascii="Times New Roman" w:hAnsi="Times New Roman"/>
          <w:sz w:val="24"/>
        </w:rPr>
        <w:footnoteReference w:id="144"/>
      </w:r>
      <w:r w:rsidRPr="00D93075">
        <w:rPr>
          <w:rFonts w:ascii="Times New Roman" w:hAnsi="Times New Roman"/>
        </w:rPr>
        <w:t xml:space="preserve"> and Commonwealth or uniform national legislation. The adjacent role of this Court in expressing the systemic rules for that development, including the institutional rules of precedent,</w:t>
      </w:r>
      <w:r w:rsidRPr="00D93075">
        <w:rPr>
          <w:rStyle w:val="FootnoteReference"/>
          <w:rFonts w:ascii="Times New Roman" w:hAnsi="Times New Roman"/>
          <w:sz w:val="24"/>
        </w:rPr>
        <w:footnoteReference w:id="145"/>
      </w:r>
      <w:r w:rsidRPr="00D93075">
        <w:rPr>
          <w:rFonts w:ascii="Times New Roman" w:hAnsi="Times New Roman"/>
        </w:rPr>
        <w:t xml:space="preserve"> is necessary to ensure the performance of "the duty of all courts to recognize that it is one system which should receive a uniform interpretation and application".</w:t>
      </w:r>
      <w:r w:rsidRPr="00D93075">
        <w:rPr>
          <w:rStyle w:val="FootnoteReference"/>
          <w:rFonts w:ascii="Times New Roman" w:hAnsi="Times New Roman"/>
          <w:sz w:val="24"/>
        </w:rPr>
        <w:footnoteReference w:id="146"/>
      </w:r>
      <w:r w:rsidRPr="00D93075">
        <w:rPr>
          <w:rFonts w:ascii="Times New Roman" w:hAnsi="Times New Roman"/>
        </w:rPr>
        <w:t xml:space="preserve"> In the performance of that role, the seriously considered obiter dicta of this Court concerning the rules of precedent in lower courts is not merely of "persuasive authority";</w:t>
      </w:r>
      <w:r w:rsidRPr="00D93075">
        <w:rPr>
          <w:rStyle w:val="FootnoteReference"/>
          <w:rFonts w:ascii="Times New Roman" w:hAnsi="Times New Roman"/>
          <w:sz w:val="24"/>
        </w:rPr>
        <w:footnoteReference w:id="147"/>
      </w:r>
      <w:r w:rsidRPr="00D93075">
        <w:rPr>
          <w:rFonts w:ascii="Times New Roman" w:hAnsi="Times New Roman"/>
        </w:rPr>
        <w:t xml:space="preserve"> it is binding.</w:t>
      </w:r>
      <w:r w:rsidRPr="00D93075">
        <w:rPr>
          <w:rStyle w:val="FootnoteReference"/>
          <w:rFonts w:ascii="Times New Roman" w:hAnsi="Times New Roman"/>
          <w:sz w:val="24"/>
        </w:rPr>
        <w:footnoteReference w:id="148"/>
      </w:r>
    </w:p>
    <w:p w14:paraId="4D1330A7"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 xml:space="preserve">Some confusion has arisen in intermediate appellate courts due to the language employed by this Court in 2007 when expressing the institutional rule that a trial judge or an intermediate appellate court should not depart from the decision of an earlier intermediate appellate court of another jurisdiction on the common law, Commonwealth legislation, or uniform national legislation, unless </w:t>
      </w:r>
      <w:r w:rsidRPr="00D93075">
        <w:rPr>
          <w:rFonts w:ascii="Times New Roman" w:hAnsi="Times New Roman"/>
        </w:rPr>
        <w:lastRenderedPageBreak/>
        <w:t>convinced that the earlier decision is "plainly wrong".</w:t>
      </w:r>
      <w:r w:rsidRPr="00D93075">
        <w:rPr>
          <w:rStyle w:val="FootnoteReference"/>
          <w:rFonts w:ascii="Times New Roman" w:hAnsi="Times New Roman"/>
          <w:sz w:val="24"/>
        </w:rPr>
        <w:footnoteReference w:id="149"/>
      </w:r>
      <w:r w:rsidRPr="00D93075">
        <w:rPr>
          <w:rFonts w:ascii="Times New Roman" w:hAnsi="Times New Roman"/>
        </w:rPr>
        <w:t xml:space="preserve"> The expression "plainly wrong" was not newly created.</w:t>
      </w:r>
      <w:r w:rsidRPr="00D93075">
        <w:rPr>
          <w:rStyle w:val="FootnoteReference"/>
          <w:rFonts w:ascii="Times New Roman" w:hAnsi="Times New Roman"/>
          <w:sz w:val="24"/>
        </w:rPr>
        <w:footnoteReference w:id="150"/>
      </w:r>
      <w:r w:rsidRPr="00D93075">
        <w:rPr>
          <w:rFonts w:ascii="Times New Roman" w:hAnsi="Times New Roman"/>
        </w:rPr>
        <w:t xml:space="preserve"> It was very similar to language used by the House of Lords, after the announcement of the </w:t>
      </w:r>
      <w:r w:rsidRPr="00D93075">
        <w:rPr>
          <w:rFonts w:ascii="Times New Roman" w:hAnsi="Times New Roman"/>
          <w:i/>
          <w:iCs/>
        </w:rPr>
        <w:t>Practice Statement</w:t>
      </w:r>
      <w:r w:rsidRPr="00D93075">
        <w:rPr>
          <w:rFonts w:ascii="Times New Roman" w:hAnsi="Times New Roman"/>
        </w:rPr>
        <w:t xml:space="preserve"> </w:t>
      </w:r>
      <w:r w:rsidRPr="00D93075">
        <w:rPr>
          <w:rFonts w:ascii="Times New Roman" w:hAnsi="Times New Roman"/>
          <w:i/>
          <w:iCs/>
        </w:rPr>
        <w:t>(Judicial Precedent)</w:t>
      </w:r>
      <w:r w:rsidRPr="00D93075">
        <w:rPr>
          <w:rFonts w:ascii="Times New Roman" w:hAnsi="Times New Roman"/>
        </w:rPr>
        <w:t>,</w:t>
      </w:r>
      <w:r w:rsidRPr="00D93075">
        <w:rPr>
          <w:rStyle w:val="FootnoteReference"/>
          <w:rFonts w:ascii="Times New Roman" w:hAnsi="Times New Roman"/>
          <w:sz w:val="24"/>
        </w:rPr>
        <w:footnoteReference w:id="151"/>
      </w:r>
      <w:r w:rsidRPr="00D93075">
        <w:rPr>
          <w:rFonts w:ascii="Times New Roman" w:hAnsi="Times New Roman"/>
        </w:rPr>
        <w:t xml:space="preserve"> when deciding whether to overrule one of its earlier decisions.</w:t>
      </w:r>
      <w:r w:rsidRPr="00D93075">
        <w:rPr>
          <w:rStyle w:val="FootnoteReference"/>
          <w:rFonts w:ascii="Times New Roman" w:hAnsi="Times New Roman"/>
          <w:sz w:val="24"/>
        </w:rPr>
        <w:footnoteReference w:id="152"/>
      </w:r>
      <w:r w:rsidRPr="00D93075">
        <w:rPr>
          <w:rFonts w:ascii="Times New Roman" w:hAnsi="Times New Roman"/>
        </w:rPr>
        <w:t xml:space="preserve"> It was also very similar to language sometimes used in this Court when deciding whether this Court should overrule its earlier decisions.</w:t>
      </w:r>
      <w:r w:rsidRPr="00D93075">
        <w:rPr>
          <w:rStyle w:val="FootnoteReference"/>
          <w:rFonts w:ascii="Times New Roman" w:hAnsi="Times New Roman"/>
          <w:sz w:val="24"/>
        </w:rPr>
        <w:footnoteReference w:id="153"/>
      </w:r>
      <w:r w:rsidRPr="00D93075">
        <w:rPr>
          <w:rFonts w:ascii="Times New Roman" w:hAnsi="Times New Roman"/>
        </w:rPr>
        <w:t xml:space="preserve"> It was the same, or similar to, language that had been used for a long time by Australian intermediate appellate courts.</w:t>
      </w:r>
      <w:r w:rsidRPr="00D93075">
        <w:rPr>
          <w:rStyle w:val="FootnoteReference"/>
          <w:rFonts w:ascii="Times New Roman" w:hAnsi="Times New Roman"/>
          <w:sz w:val="24"/>
        </w:rPr>
        <w:footnoteReference w:id="154"/>
      </w:r>
      <w:r w:rsidRPr="00D93075">
        <w:rPr>
          <w:rFonts w:ascii="Times New Roman" w:hAnsi="Times New Roman"/>
        </w:rPr>
        <w:t xml:space="preserve"> And it was the language used by this Court nearly 15 years earlier when expressing the same rule in relation to uniform national legislation.</w:t>
      </w:r>
      <w:r w:rsidRPr="00D93075">
        <w:rPr>
          <w:rStyle w:val="FootnoteReference"/>
          <w:rFonts w:ascii="Times New Roman" w:hAnsi="Times New Roman"/>
          <w:sz w:val="24"/>
        </w:rPr>
        <w:footnoteReference w:id="155"/>
      </w:r>
      <w:r w:rsidRPr="00D93075">
        <w:rPr>
          <w:rFonts w:ascii="Times New Roman" w:hAnsi="Times New Roman"/>
        </w:rPr>
        <w:t xml:space="preserve"> But it is language that is not without difficulty. </w:t>
      </w:r>
    </w:p>
    <w:p w14:paraId="743E670F"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 xml:space="preserve">One difficulty with an expression such as "plainly wrong" arises if a later intermediate appellate court considers that an earlier intermediate appellate court has misapplied a common law rule stated by this Court. In that circumstance, the later intermediate appellate court is bound by its understanding of the common law rule set out by this Court, even if the later intermediate appellate court considers that the understanding of the earlier intermediate appellate court was not plainly </w:t>
      </w:r>
      <w:r w:rsidRPr="00D93075">
        <w:rPr>
          <w:rFonts w:ascii="Times New Roman" w:hAnsi="Times New Roman"/>
        </w:rPr>
        <w:lastRenderedPageBreak/>
        <w:t>wrong.</w:t>
      </w:r>
      <w:r w:rsidRPr="00D93075">
        <w:rPr>
          <w:rStyle w:val="FootnoteReference"/>
          <w:rFonts w:ascii="Times New Roman" w:hAnsi="Times New Roman"/>
          <w:sz w:val="24"/>
        </w:rPr>
        <w:footnoteReference w:id="156"/>
      </w:r>
      <w:r w:rsidRPr="00D93075">
        <w:rPr>
          <w:rFonts w:ascii="Times New Roman" w:hAnsi="Times New Roman"/>
        </w:rPr>
        <w:t xml:space="preserve"> On that view, the same might be said to be the case in circumstances where the issue for determination concerns the understanding of a decision of this Court interpreting a legislative provision of uniform national application which is expressed "in such wide terms as to leave the circumstances for its application as a matter of judicial development".</w:t>
      </w:r>
      <w:r w:rsidRPr="00D93075">
        <w:rPr>
          <w:rStyle w:val="FootnoteReference"/>
          <w:rFonts w:ascii="Times New Roman" w:hAnsi="Times New Roman"/>
          <w:sz w:val="24"/>
        </w:rPr>
        <w:footnoteReference w:id="157"/>
      </w:r>
    </w:p>
    <w:p w14:paraId="190495F9"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Another difficulty with the expression "plainly wrong" arises in relation to judicial decisions of intermediate appellate courts concerning similarly or identically worded State legislation but where the context in, or purpose for, which those words were enacted might have been different. That different context or purpose could be a compelling reason to depart from a decision of another intermediate appellate court interpreting the same or similar words in the legislation of a different State, even if the interpretation of that other court was not considered to be plainly wrong. In a passage that was later referred to with apparent approval by this Court,</w:t>
      </w:r>
      <w:r w:rsidRPr="00D93075">
        <w:rPr>
          <w:rStyle w:val="FootnoteReference"/>
          <w:rFonts w:ascii="Times New Roman" w:hAnsi="Times New Roman"/>
          <w:sz w:val="24"/>
        </w:rPr>
        <w:footnoteReference w:id="158"/>
      </w:r>
      <w:r w:rsidRPr="00D93075">
        <w:rPr>
          <w:rFonts w:ascii="Times New Roman" w:hAnsi="Times New Roman"/>
        </w:rPr>
        <w:t xml:space="preserve"> McHugh J said:</w:t>
      </w:r>
      <w:r w:rsidRPr="00D93075">
        <w:rPr>
          <w:rStyle w:val="FootnoteReference"/>
          <w:rFonts w:ascii="Times New Roman" w:hAnsi="Times New Roman"/>
          <w:sz w:val="24"/>
        </w:rPr>
        <w:footnoteReference w:id="159"/>
      </w:r>
      <w:r w:rsidRPr="00D93075">
        <w:rPr>
          <w:rFonts w:ascii="Times New Roman" w:hAnsi="Times New Roman"/>
        </w:rPr>
        <w:t xml:space="preserve"> </w:t>
      </w:r>
    </w:p>
    <w:p w14:paraId="5FFA3E1B" w14:textId="77777777" w:rsidR="00111641" w:rsidRDefault="00111641" w:rsidP="00D93075">
      <w:pPr>
        <w:pStyle w:val="LeftrightafterHC"/>
        <w:spacing w:before="0" w:after="260" w:line="280" w:lineRule="exact"/>
        <w:ind w:right="0"/>
        <w:jc w:val="both"/>
        <w:rPr>
          <w:rFonts w:ascii="Times New Roman" w:hAnsi="Times New Roman"/>
        </w:rPr>
      </w:pPr>
      <w:r w:rsidRPr="00D93075">
        <w:rPr>
          <w:rFonts w:ascii="Times New Roman" w:hAnsi="Times New Roman"/>
        </w:rPr>
        <w:t>"The duty of courts, when construing legislation, is to give effect to the purpose of the legislation ... Judicial decisions on similar or identical legislation in other jurisdictions are guides to, but cannot control, the meaning of legislation in the court's jurisdiction. Judicial decisions are not substitutes for the text of legislation although, by reason of the doctrine of precedent and the hierarchical nature of our court system, particular courts may be bound to apply the decision of a particular court as to the meaning of legislation."</w:t>
      </w:r>
    </w:p>
    <w:p w14:paraId="1E2D8B0C"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 xml:space="preserve">Perhaps the most significant difficulty with the expression "plainly wrong" is that it might be taken to suggest (incorrectly) that an assessment of whether a decision is "wrong" is a matter that can be addressed solely as a matter of justification of the decision. Such an approach would entail addressing the justification for the decision independently of the fit of the decision with other precedent in that area and in related areas, and independently of any consequences of departing from the earlier decision, including any reliance upon the earlier </w:t>
      </w:r>
      <w:r w:rsidRPr="00D93075">
        <w:rPr>
          <w:rFonts w:ascii="Times New Roman" w:hAnsi="Times New Roman"/>
        </w:rPr>
        <w:lastRenderedPageBreak/>
        <w:t>decision by Parliament.</w:t>
      </w:r>
      <w:r w:rsidRPr="00D93075">
        <w:rPr>
          <w:rStyle w:val="FootnoteReference"/>
          <w:rFonts w:ascii="Times New Roman" w:hAnsi="Times New Roman"/>
          <w:sz w:val="24"/>
        </w:rPr>
        <w:footnoteReference w:id="160"/>
      </w:r>
      <w:r w:rsidRPr="00D93075">
        <w:rPr>
          <w:rFonts w:ascii="Times New Roman" w:hAnsi="Times New Roman"/>
        </w:rPr>
        <w:t xml:space="preserve"> Sometimes an obvious lack of justification for a decision will be a sufficient basis not to follow an earlier decision. Examples are decisions that apply the wrong statute or the wrong version of a statute, or decisions which overlook a crucial legislative provision.</w:t>
      </w:r>
      <w:r w:rsidRPr="00D93075">
        <w:rPr>
          <w:rStyle w:val="FootnoteReference"/>
          <w:rFonts w:ascii="Times New Roman" w:hAnsi="Times New Roman"/>
          <w:sz w:val="24"/>
        </w:rPr>
        <w:footnoteReference w:id="161"/>
      </w:r>
      <w:r w:rsidRPr="00D93075">
        <w:rPr>
          <w:rFonts w:ascii="Times New Roman" w:hAnsi="Times New Roman"/>
        </w:rPr>
        <w:t xml:space="preserve"> But just as an assessment of whether this Court should re-open one of its earlier decisions should not exclude the second-order considerations of those so-called </w:t>
      </w:r>
      <w:r w:rsidRPr="00D93075">
        <w:rPr>
          <w:rFonts w:ascii="Times New Roman" w:hAnsi="Times New Roman"/>
          <w:i/>
          <w:iCs/>
        </w:rPr>
        <w:t xml:space="preserve">John </w:t>
      </w:r>
      <w:r w:rsidRPr="00D93075">
        <w:rPr>
          <w:rFonts w:ascii="Times New Roman" w:hAnsi="Times New Roman"/>
        </w:rPr>
        <w:t>factors</w:t>
      </w:r>
      <w:r w:rsidRPr="00D93075">
        <w:rPr>
          <w:rStyle w:val="FootnoteReference"/>
          <w:rFonts w:ascii="Times New Roman" w:hAnsi="Times New Roman"/>
          <w:sz w:val="24"/>
        </w:rPr>
        <w:footnoteReference w:id="162"/>
      </w:r>
      <w:r w:rsidRPr="00D93075">
        <w:rPr>
          <w:rFonts w:ascii="Times New Roman" w:hAnsi="Times New Roman"/>
        </w:rPr>
        <w:t xml:space="preserve"> concerned with the consequences of departure, the same is true of an intermediate appellate court considering departure from an earlier intermediate appellate court decision. </w:t>
      </w:r>
    </w:p>
    <w:p w14:paraId="543BFACA"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Even independently of these difficulties, as Leeming JA observed in the Court of Appeal in this case, echoing the statements of Lee J and of other judges,</w:t>
      </w:r>
      <w:r w:rsidRPr="00D93075">
        <w:rPr>
          <w:rStyle w:val="FootnoteReference"/>
          <w:rFonts w:ascii="Times New Roman" w:hAnsi="Times New Roman"/>
          <w:sz w:val="24"/>
        </w:rPr>
        <w:footnoteReference w:id="163"/>
      </w:r>
      <w:r w:rsidRPr="00D93075">
        <w:rPr>
          <w:rFonts w:ascii="Times New Roman" w:hAnsi="Times New Roman"/>
        </w:rPr>
        <w:t xml:space="preserve"> a more constructive formulation of the rule of precedent is that the relevant departure from an earlier decision should only occur where "there is a compelling reason to do so".</w:t>
      </w:r>
      <w:r w:rsidRPr="00D93075">
        <w:rPr>
          <w:rStyle w:val="FootnoteReference"/>
          <w:rFonts w:ascii="Times New Roman" w:hAnsi="Times New Roman"/>
          <w:sz w:val="24"/>
        </w:rPr>
        <w:footnoteReference w:id="164"/>
      </w:r>
      <w:r w:rsidRPr="00D93075">
        <w:rPr>
          <w:rFonts w:ascii="Times New Roman" w:hAnsi="Times New Roman"/>
        </w:rPr>
        <w:t xml:space="preserve"> There is flexibility in the formulation of "a compelling reason" that accommodates the issues above. Relevantly to this case, a compelling reason might be "the strong conviction ... that the earlier [second intermediate appellate court] judgment was erroneous and not merely the choice of an approach which was open"</w:t>
      </w:r>
      <w:r w:rsidRPr="00D93075">
        <w:rPr>
          <w:rStyle w:val="FootnoteReference"/>
          <w:rFonts w:ascii="Times New Roman" w:hAnsi="Times New Roman"/>
          <w:sz w:val="24"/>
        </w:rPr>
        <w:footnoteReference w:id="165"/>
      </w:r>
      <w:r w:rsidRPr="00D93075">
        <w:rPr>
          <w:rFonts w:ascii="Times New Roman" w:hAnsi="Times New Roman"/>
        </w:rPr>
        <w:t xml:space="preserve"> in any aspect of the dispositive reasoning of the second intermediate appellate court.</w:t>
      </w:r>
    </w:p>
    <w:p w14:paraId="1C10F066" w14:textId="77777777" w:rsidR="00111641" w:rsidRPr="00D93075" w:rsidRDefault="00111641" w:rsidP="00D93075">
      <w:pPr>
        <w:pStyle w:val="FixListStyle"/>
        <w:spacing w:after="260" w:line="280" w:lineRule="exact"/>
        <w:ind w:right="0"/>
        <w:jc w:val="both"/>
        <w:rPr>
          <w:rFonts w:ascii="Times New Roman" w:hAnsi="Times New Roman"/>
        </w:rPr>
      </w:pPr>
      <w:r w:rsidRPr="00D93075">
        <w:rPr>
          <w:rFonts w:ascii="Times New Roman" w:hAnsi="Times New Roman"/>
        </w:rPr>
        <w:tab/>
        <w:t xml:space="preserve">In this case, where the New South Wales Court of Appeal was presented with directly conflicting results of intermediate appellate courts, it was open to the Court of Appeal to depart from the decision in </w:t>
      </w:r>
      <w:r w:rsidRPr="00D93075">
        <w:rPr>
          <w:rFonts w:ascii="Times New Roman" w:hAnsi="Times New Roman"/>
          <w:i/>
          <w:iCs/>
        </w:rPr>
        <w:t xml:space="preserve">Parkin </w:t>
      </w:r>
      <w:r w:rsidRPr="00D93075">
        <w:rPr>
          <w:rFonts w:ascii="Times New Roman" w:hAnsi="Times New Roman"/>
        </w:rPr>
        <w:t>if it reached the conclusion that there were compelling reasons to do so. The issue of whether there were such compelling reasons</w:t>
      </w:r>
      <w:r w:rsidRPr="00D93075">
        <w:rPr>
          <w:rFonts w:ascii="Times New Roman" w:hAnsi="Times New Roman"/>
          <w:i/>
          <w:iCs/>
        </w:rPr>
        <w:t xml:space="preserve"> </w:t>
      </w:r>
      <w:r w:rsidRPr="00D93075">
        <w:rPr>
          <w:rFonts w:ascii="Times New Roman" w:hAnsi="Times New Roman"/>
        </w:rPr>
        <w:t xml:space="preserve">was not merely a matter of principle but also a matter of the consequences of departure. An important aspect of the approach of Bell CJ (with whom three other members of the Court agreed on this point) was that the Full </w:t>
      </w:r>
      <w:r w:rsidRPr="00D93075">
        <w:rPr>
          <w:rFonts w:ascii="Times New Roman" w:hAnsi="Times New Roman"/>
        </w:rPr>
        <w:lastRenderedPageBreak/>
        <w:t xml:space="preserve">Court in </w:t>
      </w:r>
      <w:r w:rsidRPr="00D93075">
        <w:rPr>
          <w:rFonts w:ascii="Times New Roman" w:hAnsi="Times New Roman"/>
          <w:i/>
          <w:iCs/>
        </w:rPr>
        <w:t>Parkin</w:t>
      </w:r>
      <w:r w:rsidRPr="00D93075">
        <w:rPr>
          <w:rFonts w:ascii="Times New Roman" w:hAnsi="Times New Roman"/>
        </w:rPr>
        <w:t xml:space="preserve"> was considered to have failed in its dispositive reasoning to address whether there were compelling reasons to depart from the decision in </w:t>
      </w:r>
      <w:r w:rsidRPr="00D93075">
        <w:rPr>
          <w:rFonts w:ascii="Times New Roman" w:hAnsi="Times New Roman"/>
          <w:i/>
          <w:iCs/>
        </w:rPr>
        <w:t>Wigmans</w:t>
      </w:r>
      <w:r w:rsidRPr="00D93075">
        <w:rPr>
          <w:rFonts w:ascii="Times New Roman" w:hAnsi="Times New Roman"/>
        </w:rPr>
        <w:t>.</w:t>
      </w:r>
      <w:r w:rsidRPr="00D93075">
        <w:rPr>
          <w:rStyle w:val="FootnoteReference"/>
          <w:rFonts w:ascii="Times New Roman" w:hAnsi="Times New Roman"/>
          <w:sz w:val="24"/>
        </w:rPr>
        <w:footnoteReference w:id="166"/>
      </w:r>
      <w:r w:rsidRPr="00D93075">
        <w:rPr>
          <w:rFonts w:ascii="Times New Roman" w:hAnsi="Times New Roman"/>
        </w:rPr>
        <w:t xml:space="preserve"> That aspect of the approach of Bell CJ to the rule of precedent was correct. It was an approach which did not require any weight to be given to the fact that the decision in </w:t>
      </w:r>
      <w:r w:rsidRPr="00D93075">
        <w:rPr>
          <w:rFonts w:ascii="Times New Roman" w:hAnsi="Times New Roman"/>
          <w:i/>
          <w:iCs/>
        </w:rPr>
        <w:t xml:space="preserve">Wigmans </w:t>
      </w:r>
      <w:r w:rsidRPr="00D93075">
        <w:rPr>
          <w:rFonts w:ascii="Times New Roman" w:hAnsi="Times New Roman"/>
        </w:rPr>
        <w:t xml:space="preserve">was also a decision of the New South Wales Court of Appeal. </w:t>
      </w:r>
    </w:p>
    <w:p w14:paraId="28D5F2A8" w14:textId="77777777" w:rsidR="0043054B" w:rsidRDefault="00111641" w:rsidP="0043054B">
      <w:pPr>
        <w:pStyle w:val="FixListStyle"/>
        <w:spacing w:after="260" w:line="280" w:lineRule="exact"/>
        <w:ind w:right="0"/>
        <w:jc w:val="both"/>
        <w:rPr>
          <w:rFonts w:ascii="Times New Roman" w:hAnsi="Times New Roman"/>
        </w:rPr>
      </w:pPr>
      <w:r w:rsidRPr="00D93075">
        <w:rPr>
          <w:rFonts w:ascii="Times New Roman" w:hAnsi="Times New Roman"/>
        </w:rPr>
        <w:tab/>
        <w:t xml:space="preserve">Whether or not there is an exception to the rule of precedent which could have permitted the Court of Appeal to depart from the decision in </w:t>
      </w:r>
      <w:r w:rsidRPr="00D93075">
        <w:rPr>
          <w:rFonts w:ascii="Times New Roman" w:hAnsi="Times New Roman"/>
          <w:i/>
          <w:iCs/>
        </w:rPr>
        <w:t xml:space="preserve">Parkin </w:t>
      </w:r>
      <w:r w:rsidRPr="00D93075">
        <w:rPr>
          <w:rFonts w:ascii="Times New Roman" w:hAnsi="Times New Roman"/>
        </w:rPr>
        <w:t xml:space="preserve">in favour of its own earlier decision, even if the Court of Appeal had considered that there was no manifest error or omission in the reasoning of the Full Court in </w:t>
      </w:r>
      <w:r w:rsidRPr="00D93075">
        <w:rPr>
          <w:rFonts w:ascii="Times New Roman" w:hAnsi="Times New Roman"/>
          <w:i/>
          <w:iCs/>
        </w:rPr>
        <w:t>Parkin</w:t>
      </w:r>
      <w:r w:rsidRPr="00D93075">
        <w:rPr>
          <w:rFonts w:ascii="Times New Roman" w:hAnsi="Times New Roman"/>
        </w:rPr>
        <w:t>, was not fully argued in this Court.</w:t>
      </w:r>
      <w:r w:rsidRPr="00D93075">
        <w:rPr>
          <w:rStyle w:val="FootnoteReference"/>
          <w:rFonts w:ascii="Times New Roman" w:hAnsi="Times New Roman"/>
          <w:sz w:val="24"/>
        </w:rPr>
        <w:footnoteReference w:id="167"/>
      </w:r>
      <w:r w:rsidRPr="00D93075">
        <w:rPr>
          <w:rFonts w:ascii="Times New Roman" w:hAnsi="Times New Roman"/>
        </w:rPr>
        <w:t xml:space="preserve"> Among the issues that an assessment of such an exception would need to consider are: (i) whether the rule of precedent remains, as initially stated by this Court, a rule concerned only with the effect on trial judges and intermediate appellate courts of decisions of intermediate appellate courts in </w:t>
      </w:r>
      <w:r w:rsidRPr="00D93075">
        <w:rPr>
          <w:rFonts w:ascii="Times New Roman" w:hAnsi="Times New Roman"/>
          <w:i/>
          <w:iCs/>
        </w:rPr>
        <w:t xml:space="preserve">other </w:t>
      </w:r>
      <w:r w:rsidRPr="00D93075">
        <w:rPr>
          <w:rFonts w:ascii="Times New Roman" w:hAnsi="Times New Roman"/>
        </w:rPr>
        <w:t>jurisdictions</w:t>
      </w:r>
      <w:r w:rsidRPr="00D93075">
        <w:rPr>
          <w:rStyle w:val="FootnoteReference"/>
          <w:rFonts w:ascii="Times New Roman" w:hAnsi="Times New Roman"/>
          <w:sz w:val="24"/>
        </w:rPr>
        <w:footnoteReference w:id="168"/>
      </w:r>
      <w:r w:rsidRPr="00D93075">
        <w:rPr>
          <w:rFonts w:ascii="Times New Roman" w:hAnsi="Times New Roman"/>
        </w:rPr>
        <w:t xml:space="preserve"> and, if so, the relationship between the rule and an analogous rule where an intermediate appellate court is considering whether to depart from one of its earlier decisions;</w:t>
      </w:r>
      <w:r w:rsidRPr="00D93075">
        <w:rPr>
          <w:rStyle w:val="FootnoteReference"/>
          <w:rFonts w:ascii="Times New Roman" w:hAnsi="Times New Roman"/>
          <w:sz w:val="24"/>
        </w:rPr>
        <w:footnoteReference w:id="169"/>
      </w:r>
      <w:r w:rsidRPr="00D93075">
        <w:rPr>
          <w:rFonts w:ascii="Times New Roman" w:hAnsi="Times New Roman"/>
        </w:rPr>
        <w:t xml:space="preserve"> and (ii) the tension if, on the one hand, a trial judge is bound to follow decision A of an intermediate appellate court of the same jurisdiction ("intermediate appellate court A") even if decision B of an intermediate appellate court of a different jurisdiction had departed from decision A</w:t>
      </w:r>
      <w:r w:rsidRPr="00D93075">
        <w:rPr>
          <w:rStyle w:val="FootnoteReference"/>
          <w:rFonts w:ascii="Times New Roman" w:hAnsi="Times New Roman"/>
          <w:sz w:val="24"/>
        </w:rPr>
        <w:footnoteReference w:id="170"/>
      </w:r>
      <w:r w:rsidRPr="00D93075">
        <w:rPr>
          <w:rFonts w:ascii="Times New Roman" w:hAnsi="Times New Roman"/>
        </w:rPr>
        <w:t xml:space="preserve"> but, on the other hand, intermediate appellate court A is itself required to follow decision B unless there are compelling reasons not to do so. </w:t>
      </w:r>
    </w:p>
    <w:p w14:paraId="32CADDEA" w14:textId="77777777" w:rsidR="0043054B" w:rsidRDefault="0043054B" w:rsidP="0043054B">
      <w:pPr>
        <w:pStyle w:val="FixListStyle"/>
        <w:spacing w:after="260" w:line="280" w:lineRule="exact"/>
        <w:ind w:right="0"/>
        <w:jc w:val="both"/>
        <w:rPr>
          <w:rFonts w:ascii="Times New Roman" w:hAnsi="Times New Roman"/>
        </w:rPr>
        <w:sectPr w:rsidR="0043054B" w:rsidSect="00111641">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46E0EDC4" w14:textId="77777777" w:rsidR="0043054B" w:rsidRPr="00D32142" w:rsidRDefault="0043054B" w:rsidP="00D32142">
      <w:pPr>
        <w:pStyle w:val="FixListStyle"/>
        <w:tabs>
          <w:tab w:val="clear" w:pos="720"/>
          <w:tab w:val="left" w:pos="0"/>
        </w:tabs>
        <w:spacing w:after="260" w:line="280" w:lineRule="exact"/>
        <w:ind w:right="0"/>
        <w:jc w:val="both"/>
        <w:rPr>
          <w:rFonts w:ascii="Times New Roman" w:hAnsi="Times New Roman"/>
        </w:rPr>
      </w:pPr>
      <w:r w:rsidRPr="00D32142">
        <w:rPr>
          <w:rFonts w:ascii="Times New Roman" w:hAnsi="Times New Roman"/>
        </w:rPr>
        <w:lastRenderedPageBreak/>
        <w:t xml:space="preserve">BEECH-JONES J.   The background to these proceedings and the relevant legislative provisions are set out in the other judgments, which I respectfully adopt. </w:t>
      </w:r>
    </w:p>
    <w:p w14:paraId="3E0E53EA"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The substantive proceedings are representative proceedings brought under Pt 10 of the </w:t>
      </w:r>
      <w:r w:rsidRPr="00D32142">
        <w:rPr>
          <w:rFonts w:ascii="Times New Roman" w:hAnsi="Times New Roman"/>
          <w:i/>
          <w:iCs/>
        </w:rPr>
        <w:t>Civil Procedure Act 2005</w:t>
      </w:r>
      <w:r w:rsidRPr="00D32142">
        <w:rPr>
          <w:rFonts w:ascii="Times New Roman" w:hAnsi="Times New Roman"/>
        </w:rPr>
        <w:t> (NSW) ("the CPA"). The appellants, who are the defendants to those proceedings, and the representative parties, are proposing to participate in a mediation. They have foreshadowed that, if an agreement to settle the proceedings is reached at the mediation, one or more of the parties will seek an order that those group members who have neither opted out of the proceedings nor registered to participate in the proceedings will not be able to receive the benefits of the settlement without the leave of the court ("the proposed order"). If the proposed order is made and any settlement is approved, it is likely that any such group member's claims would be extinguished.</w:t>
      </w:r>
    </w:p>
    <w:p w14:paraId="46B61E6F"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The issue of principle raised by this appeal is whether s 175 of the CPA empowers the Supreme Court of New South Wales to order that notice of one or more of the parties' intention to seek the proposed order in the event that a settlement is reached be given to group members ("the proposed notice").</w:t>
      </w:r>
      <w:r w:rsidRPr="00D32142">
        <w:rPr>
          <w:rStyle w:val="FootnoteReference"/>
          <w:rFonts w:ascii="Times New Roman" w:hAnsi="Times New Roman"/>
          <w:sz w:val="24"/>
        </w:rPr>
        <w:footnoteReference w:id="171"/>
      </w:r>
      <w:r w:rsidRPr="00D32142">
        <w:rPr>
          <w:rFonts w:ascii="Times New Roman" w:hAnsi="Times New Roman"/>
        </w:rPr>
        <w:t xml:space="preserve"> </w:t>
      </w:r>
    </w:p>
    <w:p w14:paraId="53BA6DC7"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The Court of Appeal of the Supreme Court of New South Wales (Bell CJ, Ward P, Gleeson, Leeming and Stern JJA) answered a separate question posed to that effect in the negative.</w:t>
      </w:r>
      <w:r w:rsidRPr="00D32142">
        <w:rPr>
          <w:rStyle w:val="FootnoteReference"/>
          <w:rFonts w:ascii="Times New Roman" w:hAnsi="Times New Roman"/>
          <w:sz w:val="24"/>
        </w:rPr>
        <w:footnoteReference w:id="172"/>
      </w:r>
      <w:r w:rsidRPr="00D32142">
        <w:rPr>
          <w:rFonts w:ascii="Times New Roman" w:hAnsi="Times New Roman"/>
        </w:rPr>
        <w:t xml:space="preserve"> In doing so, the Court of Appeal followed one of its earlier decisions to the same effect ("</w:t>
      </w:r>
      <w:r w:rsidRPr="00D32142">
        <w:rPr>
          <w:rFonts w:ascii="Times New Roman" w:hAnsi="Times New Roman"/>
          <w:i/>
          <w:iCs/>
        </w:rPr>
        <w:t>Wigmans CA</w:t>
      </w:r>
      <w:r w:rsidRPr="00D32142">
        <w:rPr>
          <w:rFonts w:ascii="Times New Roman" w:hAnsi="Times New Roman"/>
        </w:rPr>
        <w:t>")</w:t>
      </w:r>
      <w:r w:rsidRPr="00D32142">
        <w:rPr>
          <w:rStyle w:val="FootnoteReference"/>
          <w:rFonts w:ascii="Times New Roman" w:hAnsi="Times New Roman"/>
          <w:sz w:val="24"/>
        </w:rPr>
        <w:footnoteReference w:id="173"/>
      </w:r>
      <w:r w:rsidRPr="00D32142">
        <w:rPr>
          <w:rFonts w:ascii="Times New Roman" w:hAnsi="Times New Roman"/>
        </w:rPr>
        <w:t xml:space="preserve"> and declined to follow a contrary decision of the Full Court of the Federal Court of Australia concerning certain of those provisions of the </w:t>
      </w:r>
      <w:r w:rsidRPr="00D32142">
        <w:rPr>
          <w:rFonts w:ascii="Times New Roman" w:hAnsi="Times New Roman"/>
          <w:i/>
          <w:iCs/>
        </w:rPr>
        <w:t>Federal Court of Australia Act 1976</w:t>
      </w:r>
      <w:r w:rsidRPr="00D32142">
        <w:rPr>
          <w:rFonts w:ascii="Times New Roman" w:hAnsi="Times New Roman"/>
        </w:rPr>
        <w:t> (Cth) ("the FCA") that are not materially different to Pt 10 of the CPA.</w:t>
      </w:r>
      <w:r w:rsidRPr="00D32142">
        <w:rPr>
          <w:rStyle w:val="FootnoteReference"/>
          <w:rFonts w:ascii="Times New Roman" w:hAnsi="Times New Roman"/>
          <w:sz w:val="24"/>
        </w:rPr>
        <w:footnoteReference w:id="174"/>
      </w:r>
      <w:r w:rsidRPr="00D32142">
        <w:rPr>
          <w:rFonts w:ascii="Times New Roman" w:hAnsi="Times New Roman"/>
        </w:rPr>
        <w:t xml:space="preserve"> </w:t>
      </w:r>
    </w:p>
    <w:p w14:paraId="321242E3"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For the reasons that follow, s 175(5) of the CPA empowers the Supreme Court to order that the proposed notice be given to group members.</w:t>
      </w:r>
    </w:p>
    <w:p w14:paraId="019CBEE8" w14:textId="77777777" w:rsidR="0043054B" w:rsidRPr="00D32142" w:rsidRDefault="0043054B" w:rsidP="00D32142">
      <w:pPr>
        <w:pStyle w:val="HeadingL1"/>
        <w:spacing w:after="260" w:line="280" w:lineRule="exact"/>
        <w:ind w:right="0"/>
        <w:jc w:val="both"/>
        <w:rPr>
          <w:rFonts w:ascii="Times New Roman" w:hAnsi="Times New Roman"/>
        </w:rPr>
      </w:pPr>
      <w:r w:rsidRPr="00D32142">
        <w:rPr>
          <w:rFonts w:ascii="Times New Roman" w:hAnsi="Times New Roman"/>
        </w:rPr>
        <w:t>The Court of Appeal's reasoning</w:t>
      </w:r>
    </w:p>
    <w:p w14:paraId="755485D9"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In concluding that there was no power for the Court to order that the proposed notice be given, the Court of Appeal construed the power conferred on the Supreme Court by s 175(5) of the CPA as being constrained or "informed by" s 175(6), such that it is a power that arises only in respect of an "event" that has already happened. The Court of Appeal found that one or more parties' intention </w:t>
      </w:r>
      <w:r w:rsidRPr="00D32142">
        <w:rPr>
          <w:rFonts w:ascii="Times New Roman" w:hAnsi="Times New Roman"/>
        </w:rPr>
        <w:lastRenderedPageBreak/>
        <w:t>to seek the proposed order is not such an event.</w:t>
      </w:r>
      <w:r w:rsidRPr="00D32142">
        <w:rPr>
          <w:rStyle w:val="FootnoteReference"/>
          <w:rFonts w:ascii="Times New Roman" w:hAnsi="Times New Roman"/>
          <w:sz w:val="24"/>
        </w:rPr>
        <w:footnoteReference w:id="175"/>
      </w:r>
      <w:r w:rsidRPr="00D32142">
        <w:rPr>
          <w:rFonts w:ascii="Times New Roman" w:hAnsi="Times New Roman"/>
        </w:rPr>
        <w:t xml:space="preserve"> This construction of s 175(5) was said to be supported by the circumstance that the proposed notice "places non</w:t>
      </w:r>
      <w:r w:rsidRPr="00D32142">
        <w:rPr>
          <w:rFonts w:ascii="Times New Roman" w:hAnsi="Times New Roman"/>
        </w:rPr>
        <w:noBreakHyphen/>
        <w:t>registered group members in a position that would be contrary to the opt out legislative scheme" of Pt 10 of the CPA by effectively "requiring group members to opt in to the group prior to any settlement or judgment based on any such settlement".</w:t>
      </w:r>
      <w:r w:rsidRPr="00D32142">
        <w:rPr>
          <w:rStyle w:val="FootnoteReference"/>
          <w:rFonts w:ascii="Times New Roman" w:hAnsi="Times New Roman"/>
          <w:sz w:val="24"/>
        </w:rPr>
        <w:footnoteReference w:id="176"/>
      </w:r>
      <w:r w:rsidRPr="00D32142">
        <w:rPr>
          <w:rFonts w:ascii="Times New Roman" w:hAnsi="Times New Roman"/>
        </w:rPr>
        <w:t xml:space="preserve"> The Court of Appeal also reasoned that s 175(5) could not authorise the issue of a notice to group members "that was apt to give apparent judicial blessing to a representative plaintiff engaging in what would inevitably be a conflict of interest",</w:t>
      </w:r>
      <w:r w:rsidRPr="00D32142">
        <w:rPr>
          <w:rStyle w:val="FootnoteReference"/>
          <w:rFonts w:ascii="Times New Roman" w:hAnsi="Times New Roman"/>
          <w:sz w:val="24"/>
        </w:rPr>
        <w:footnoteReference w:id="177"/>
      </w:r>
      <w:r w:rsidRPr="00D32142">
        <w:rPr>
          <w:rFonts w:ascii="Times New Roman" w:hAnsi="Times New Roman"/>
        </w:rPr>
        <w:t xml:space="preserve"> being a conflict between the interests of registered group members and those of unregistered group members.  </w:t>
      </w:r>
    </w:p>
    <w:p w14:paraId="469FBF2F"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Each of these strands of the Court of Appeal's reasoning will be addressed in turn: first, the restricted construction of the text of s 175(5); second, the opt out nature of the legislative scheme; and, third, the "blessing" said to be given implicitly to a conflict of interest, on the part of the representative parties, by permitting the proposed notice to be given to group members. However, two matters should be noted at the outset. </w:t>
      </w:r>
    </w:p>
    <w:p w14:paraId="79763BEC"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First, it was common ground that the giving of the proposed notice to group members was conducive to the settlement of the proceedings in that, amongst other reasons, it would enable the parties to estimate more accurately the appellants' potential exposure. The scheme of registration involved the provision by a group member of basic information which would enable the quantum of each group member's potential claim to be estimated.</w:t>
      </w:r>
      <w:r w:rsidRPr="00D32142">
        <w:rPr>
          <w:rStyle w:val="FootnoteReference"/>
          <w:rFonts w:ascii="Times New Roman" w:hAnsi="Times New Roman"/>
          <w:sz w:val="24"/>
        </w:rPr>
        <w:footnoteReference w:id="178"/>
      </w:r>
    </w:p>
    <w:p w14:paraId="47E5C25F"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Second, the Court of Appeal referred with approval to its earlier decision in </w:t>
      </w:r>
      <w:r w:rsidRPr="00D32142">
        <w:rPr>
          <w:rFonts w:ascii="Times New Roman" w:hAnsi="Times New Roman"/>
          <w:i/>
          <w:iCs/>
        </w:rPr>
        <w:t>Haselhurst v Toyota Motor Corporation Australia Ltd t/as Toyota Australia</w:t>
      </w:r>
      <w:r w:rsidRPr="00D32142">
        <w:rPr>
          <w:rFonts w:ascii="Times New Roman" w:hAnsi="Times New Roman"/>
        </w:rPr>
        <w:t>,</w:t>
      </w:r>
      <w:r w:rsidRPr="00D32142">
        <w:rPr>
          <w:rStyle w:val="FootnoteReference"/>
          <w:rFonts w:ascii="Times New Roman" w:hAnsi="Times New Roman"/>
          <w:sz w:val="24"/>
        </w:rPr>
        <w:footnoteReference w:id="179"/>
      </w:r>
      <w:r w:rsidRPr="00D32142">
        <w:rPr>
          <w:rFonts w:ascii="Times New Roman" w:hAnsi="Times New Roman"/>
        </w:rPr>
        <w:t xml:space="preserve"> in which the Court of Appeal held that a form of "class closure order", such as the proposed order, could not be made prior to settlement or judgment but could be made as part of the approval of a settlement or a judgment after a hearing.</w:t>
      </w:r>
      <w:r w:rsidRPr="00D32142">
        <w:rPr>
          <w:rStyle w:val="FootnoteReference"/>
          <w:rFonts w:ascii="Times New Roman" w:hAnsi="Times New Roman"/>
          <w:sz w:val="24"/>
        </w:rPr>
        <w:footnoteReference w:id="180"/>
      </w:r>
      <w:r w:rsidRPr="00D32142">
        <w:rPr>
          <w:rFonts w:ascii="Times New Roman" w:hAnsi="Times New Roman"/>
        </w:rPr>
        <w:t xml:space="preserve"> If that is so, then it is difficult to understand the rationale for the Supreme Court not </w:t>
      </w:r>
      <w:r w:rsidRPr="00D32142">
        <w:rPr>
          <w:rFonts w:ascii="Times New Roman" w:hAnsi="Times New Roman"/>
        </w:rPr>
        <w:lastRenderedPageBreak/>
        <w:t xml:space="preserve">having the power to order that, prior to settlement discussions, group members be given notice that such an order would be sought if a settlement was reached. </w:t>
      </w:r>
    </w:p>
    <w:p w14:paraId="545E973E" w14:textId="77777777" w:rsidR="0043054B" w:rsidRPr="00D32142" w:rsidRDefault="0043054B" w:rsidP="00D32142">
      <w:pPr>
        <w:pStyle w:val="HeadingL1"/>
        <w:spacing w:after="260" w:line="280" w:lineRule="exact"/>
        <w:ind w:right="0"/>
        <w:jc w:val="both"/>
        <w:rPr>
          <w:rFonts w:ascii="Times New Roman" w:hAnsi="Times New Roman"/>
        </w:rPr>
      </w:pPr>
      <w:r w:rsidRPr="00D32142">
        <w:rPr>
          <w:rFonts w:ascii="Times New Roman" w:hAnsi="Times New Roman"/>
        </w:rPr>
        <w:t>The text of s 175</w:t>
      </w:r>
    </w:p>
    <w:p w14:paraId="4BDD1278"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Section 175 of the CPA provides:</w:t>
      </w:r>
    </w:p>
    <w:p w14:paraId="7B1A637A" w14:textId="77777777" w:rsidR="0043054B" w:rsidRPr="00D32142" w:rsidRDefault="0043054B" w:rsidP="00D32142">
      <w:pPr>
        <w:pStyle w:val="LeftrightafterHC"/>
        <w:spacing w:before="0" w:after="260" w:line="280" w:lineRule="exact"/>
        <w:ind w:left="1440" w:right="0" w:hanging="720"/>
        <w:jc w:val="both"/>
        <w:rPr>
          <w:rFonts w:ascii="Times New Roman" w:hAnsi="Times New Roman"/>
        </w:rPr>
      </w:pPr>
      <w:r w:rsidRPr="00D32142">
        <w:rPr>
          <w:rFonts w:ascii="Times New Roman" w:hAnsi="Times New Roman"/>
        </w:rPr>
        <w:t>"(1)</w:t>
      </w:r>
      <w:r w:rsidRPr="00D32142">
        <w:rPr>
          <w:rFonts w:ascii="Times New Roman" w:hAnsi="Times New Roman"/>
        </w:rPr>
        <w:tab/>
        <w:t>Notice must be given to group members of the following matters in relation to representative proceedings—</w:t>
      </w:r>
    </w:p>
    <w:p w14:paraId="3E673003" w14:textId="77777777" w:rsidR="0043054B" w:rsidRPr="00D32142" w:rsidRDefault="0043054B" w:rsidP="00D32142">
      <w:pPr>
        <w:pStyle w:val="LRHangingMore"/>
        <w:spacing w:before="0" w:after="260" w:line="280" w:lineRule="exact"/>
        <w:ind w:right="0"/>
        <w:jc w:val="both"/>
        <w:rPr>
          <w:rFonts w:ascii="Times New Roman" w:hAnsi="Times New Roman"/>
        </w:rPr>
      </w:pPr>
      <w:r w:rsidRPr="00D32142">
        <w:rPr>
          <w:rFonts w:ascii="Times New Roman" w:hAnsi="Times New Roman"/>
        </w:rPr>
        <w:t>(a)</w:t>
      </w:r>
      <w:r w:rsidRPr="00D32142">
        <w:rPr>
          <w:rFonts w:ascii="Times New Roman" w:hAnsi="Times New Roman"/>
        </w:rPr>
        <w:tab/>
        <w:t>the commencement of the proceedings and the right of the group members to opt out of the proceedings before a specified date, being the date fixed under section 162(1),</w:t>
      </w:r>
    </w:p>
    <w:p w14:paraId="17A9C420" w14:textId="77777777" w:rsidR="0043054B" w:rsidRPr="00D32142" w:rsidRDefault="0043054B" w:rsidP="00D32142">
      <w:pPr>
        <w:pStyle w:val="LRHangingMore"/>
        <w:spacing w:before="0" w:after="260" w:line="280" w:lineRule="exact"/>
        <w:ind w:right="0"/>
        <w:jc w:val="both"/>
        <w:rPr>
          <w:rFonts w:ascii="Times New Roman" w:hAnsi="Times New Roman"/>
        </w:rPr>
      </w:pPr>
      <w:r w:rsidRPr="00D32142">
        <w:rPr>
          <w:rFonts w:ascii="Times New Roman" w:hAnsi="Times New Roman"/>
        </w:rPr>
        <w:t>(b)</w:t>
      </w:r>
      <w:r w:rsidRPr="00D32142">
        <w:rPr>
          <w:rFonts w:ascii="Times New Roman" w:hAnsi="Times New Roman"/>
        </w:rPr>
        <w:tab/>
        <w:t>an application by the defendant in the proceedings for the dismissal of the proceedings on the ground of want of prosecution,</w:t>
      </w:r>
    </w:p>
    <w:p w14:paraId="66D5BBB7" w14:textId="77777777" w:rsidR="0043054B" w:rsidRPr="00D32142" w:rsidRDefault="0043054B" w:rsidP="00D32142">
      <w:pPr>
        <w:pStyle w:val="LRHangingMore"/>
        <w:spacing w:before="0" w:after="260" w:line="280" w:lineRule="exact"/>
        <w:ind w:right="0"/>
        <w:jc w:val="both"/>
        <w:rPr>
          <w:rFonts w:ascii="Times New Roman" w:hAnsi="Times New Roman"/>
        </w:rPr>
      </w:pPr>
      <w:r w:rsidRPr="00D32142">
        <w:rPr>
          <w:rFonts w:ascii="Times New Roman" w:hAnsi="Times New Roman"/>
        </w:rPr>
        <w:t>(c)</w:t>
      </w:r>
      <w:r w:rsidRPr="00D32142">
        <w:rPr>
          <w:rFonts w:ascii="Times New Roman" w:hAnsi="Times New Roman"/>
        </w:rPr>
        <w:tab/>
        <w:t>an application by a representative party seeking leave to withdraw under section 174 as representative party.</w:t>
      </w:r>
    </w:p>
    <w:p w14:paraId="308F4F3F" w14:textId="77777777" w:rsidR="0043054B" w:rsidRPr="00D32142" w:rsidRDefault="0043054B" w:rsidP="00D32142">
      <w:pPr>
        <w:pStyle w:val="LeftrightHanging"/>
        <w:spacing w:before="0" w:after="260" w:line="280" w:lineRule="exact"/>
        <w:ind w:right="0"/>
        <w:jc w:val="both"/>
        <w:rPr>
          <w:rFonts w:ascii="Times New Roman" w:hAnsi="Times New Roman"/>
        </w:rPr>
      </w:pPr>
      <w:r w:rsidRPr="00D32142">
        <w:rPr>
          <w:rFonts w:ascii="Times New Roman" w:hAnsi="Times New Roman"/>
        </w:rPr>
        <w:t>(2)</w:t>
      </w:r>
      <w:r w:rsidRPr="00D32142">
        <w:rPr>
          <w:rFonts w:ascii="Times New Roman" w:hAnsi="Times New Roman"/>
        </w:rPr>
        <w:tab/>
        <w:t>The Court may dispense with compliance with any or all of the requirements of subsection (1) if the relief sought in the proceedings does not include any claim for damages.</w:t>
      </w:r>
    </w:p>
    <w:p w14:paraId="04DFEFB8" w14:textId="77777777" w:rsidR="0043054B" w:rsidRPr="00D32142" w:rsidRDefault="0043054B" w:rsidP="00D32142">
      <w:pPr>
        <w:pStyle w:val="LeftrightHanging"/>
        <w:spacing w:before="0" w:after="260" w:line="280" w:lineRule="exact"/>
        <w:ind w:right="0"/>
        <w:jc w:val="both"/>
        <w:rPr>
          <w:rFonts w:ascii="Times New Roman" w:hAnsi="Times New Roman"/>
        </w:rPr>
      </w:pPr>
      <w:r w:rsidRPr="00D32142">
        <w:rPr>
          <w:rFonts w:ascii="Times New Roman" w:hAnsi="Times New Roman"/>
        </w:rPr>
        <w:t>(3)</w:t>
      </w:r>
      <w:r w:rsidRPr="00D32142">
        <w:rPr>
          <w:rFonts w:ascii="Times New Roman" w:hAnsi="Times New Roman"/>
        </w:rPr>
        <w:tab/>
        <w:t>If the Court so orders, notice must be given to group members of the bringing into Court of money in answer to a cause of action on which a claim in the representative proceedings is founded.</w:t>
      </w:r>
    </w:p>
    <w:p w14:paraId="1DFC126E" w14:textId="77777777" w:rsidR="0043054B" w:rsidRPr="00D32142" w:rsidRDefault="0043054B" w:rsidP="00D32142">
      <w:pPr>
        <w:pStyle w:val="LeftrightHanging"/>
        <w:spacing w:before="0" w:after="260" w:line="280" w:lineRule="exact"/>
        <w:ind w:right="0"/>
        <w:jc w:val="both"/>
        <w:rPr>
          <w:rFonts w:ascii="Times New Roman" w:hAnsi="Times New Roman"/>
        </w:rPr>
      </w:pPr>
      <w:r w:rsidRPr="00D32142">
        <w:rPr>
          <w:rFonts w:ascii="Times New Roman" w:hAnsi="Times New Roman"/>
        </w:rPr>
        <w:t>(4)</w:t>
      </w:r>
      <w:r w:rsidRPr="00D32142">
        <w:rPr>
          <w:rFonts w:ascii="Times New Roman" w:hAnsi="Times New Roman"/>
        </w:rPr>
        <w:tab/>
        <w:t>Unless the Court is satisfied that it is just to do so, an application for approval of a settlement under section 173 must not be determined unless notice has been given to group members.</w:t>
      </w:r>
    </w:p>
    <w:p w14:paraId="6A5BBC5B" w14:textId="77777777" w:rsidR="0043054B" w:rsidRPr="00D32142" w:rsidRDefault="0043054B" w:rsidP="00D32142">
      <w:pPr>
        <w:pStyle w:val="LeftrightHanging"/>
        <w:spacing w:before="0" w:after="260" w:line="280" w:lineRule="exact"/>
        <w:ind w:right="0"/>
        <w:jc w:val="both"/>
        <w:rPr>
          <w:rFonts w:ascii="Times New Roman" w:hAnsi="Times New Roman"/>
        </w:rPr>
      </w:pPr>
      <w:r w:rsidRPr="00D32142">
        <w:rPr>
          <w:rFonts w:ascii="Times New Roman" w:hAnsi="Times New Roman"/>
        </w:rPr>
        <w:t>(5)</w:t>
      </w:r>
      <w:r w:rsidRPr="00D32142">
        <w:rPr>
          <w:rFonts w:ascii="Times New Roman" w:hAnsi="Times New Roman"/>
        </w:rPr>
        <w:tab/>
        <w:t>The Court may, at any stage, order that notice of any matter be given to a group member or group members.</w:t>
      </w:r>
    </w:p>
    <w:p w14:paraId="5C55EA50" w14:textId="77777777" w:rsidR="0043054B" w:rsidRDefault="0043054B" w:rsidP="00D32142">
      <w:pPr>
        <w:pStyle w:val="LeftrightHanging"/>
        <w:spacing w:before="0" w:after="260" w:line="280" w:lineRule="exact"/>
        <w:ind w:right="0"/>
        <w:jc w:val="both"/>
        <w:rPr>
          <w:rFonts w:ascii="Times New Roman" w:hAnsi="Times New Roman"/>
        </w:rPr>
      </w:pPr>
      <w:r w:rsidRPr="00D32142">
        <w:rPr>
          <w:rFonts w:ascii="Times New Roman" w:hAnsi="Times New Roman"/>
        </w:rPr>
        <w:t>(6)</w:t>
      </w:r>
      <w:r w:rsidRPr="00D32142">
        <w:rPr>
          <w:rFonts w:ascii="Times New Roman" w:hAnsi="Times New Roman"/>
        </w:rPr>
        <w:tab/>
        <w:t>Notice under this section must be given as soon as practicable after the happening of the event to which it relates."</w:t>
      </w:r>
    </w:p>
    <w:p w14:paraId="670AF78C"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Section 176(1) provides that the form and content of a notice under s 175 must be approved by the Court. The balance of s 176 largely addresses the form, content and manner of delivery or publication of such a notice.</w:t>
      </w:r>
    </w:p>
    <w:p w14:paraId="2AC792B2"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In the Court of Appeal, Bell CJ, with whom the other members of the Court agreed on this point, accepted that, "[v]iewed in isolation, s 175(5) of the CPA is </w:t>
      </w:r>
      <w:r w:rsidRPr="00D32142">
        <w:rPr>
          <w:rFonts w:ascii="Times New Roman" w:hAnsi="Times New Roman"/>
        </w:rPr>
        <w:lastRenderedPageBreak/>
        <w:t>a provision of great apparent breadth".</w:t>
      </w:r>
      <w:r w:rsidRPr="00D32142">
        <w:rPr>
          <w:rStyle w:val="FootnoteReference"/>
          <w:rFonts w:ascii="Times New Roman" w:hAnsi="Times New Roman"/>
          <w:sz w:val="24"/>
        </w:rPr>
        <w:footnoteReference w:id="181"/>
      </w:r>
      <w:r w:rsidRPr="00D32142">
        <w:rPr>
          <w:rFonts w:ascii="Times New Roman" w:hAnsi="Times New Roman"/>
        </w:rPr>
        <w:t xml:space="preserve"> However, his Honour concluded that s 175(5) was "informed" or constrained by s 175(6) so that the exercise of the power must be related to an "event" and the "event" must have occurred prior to the giving of the notice.</w:t>
      </w:r>
      <w:r w:rsidRPr="00D32142">
        <w:rPr>
          <w:rStyle w:val="FootnoteReference"/>
          <w:rFonts w:ascii="Times New Roman" w:hAnsi="Times New Roman"/>
          <w:sz w:val="24"/>
        </w:rPr>
        <w:footnoteReference w:id="182"/>
      </w:r>
      <w:r w:rsidRPr="00D32142">
        <w:rPr>
          <w:rFonts w:ascii="Times New Roman" w:hAnsi="Times New Roman"/>
        </w:rPr>
        <w:t xml:space="preserve"> </w:t>
      </w:r>
    </w:p>
    <w:p w14:paraId="45539287"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r>
      <w:bookmarkStart w:id="3" w:name="_Ref195621162"/>
      <w:r w:rsidRPr="00D32142">
        <w:rPr>
          <w:rFonts w:ascii="Times New Roman" w:hAnsi="Times New Roman"/>
        </w:rPr>
        <w:t>There is no textual (or other) reason to treat the power conferred by s 175(5) to order notice of any "matter" as confined by the concept of an "event" as referred to in s 175(6). Section 175(1) specifies three steps in the proceedings that must be notified to group members, namely: (1) the commencement of proceedings and the right of group members to opt out;</w:t>
      </w:r>
      <w:r w:rsidRPr="00D32142">
        <w:rPr>
          <w:rStyle w:val="FootnoteReference"/>
          <w:rFonts w:ascii="Times New Roman" w:hAnsi="Times New Roman"/>
          <w:sz w:val="24"/>
        </w:rPr>
        <w:footnoteReference w:id="183"/>
      </w:r>
      <w:r w:rsidRPr="00D32142">
        <w:rPr>
          <w:rFonts w:ascii="Times New Roman" w:hAnsi="Times New Roman"/>
        </w:rPr>
        <w:t xml:space="preserve"> (2) the making of an application for the dismissal of the proceedings on the grounds of want of prosecution;</w:t>
      </w:r>
      <w:r w:rsidRPr="00D32142">
        <w:rPr>
          <w:rStyle w:val="FootnoteReference"/>
          <w:rFonts w:ascii="Times New Roman" w:hAnsi="Times New Roman"/>
          <w:sz w:val="24"/>
        </w:rPr>
        <w:footnoteReference w:id="184"/>
      </w:r>
      <w:r w:rsidRPr="00D32142">
        <w:rPr>
          <w:rFonts w:ascii="Times New Roman" w:hAnsi="Times New Roman"/>
        </w:rPr>
        <w:t xml:space="preserve"> and (3) the making of an application by the representative party for leave to withdraw under s 174.</w:t>
      </w:r>
      <w:r w:rsidRPr="00D32142">
        <w:rPr>
          <w:rStyle w:val="FootnoteReference"/>
          <w:rFonts w:ascii="Times New Roman" w:hAnsi="Times New Roman"/>
          <w:sz w:val="24"/>
        </w:rPr>
        <w:footnoteReference w:id="185"/>
      </w:r>
      <w:r w:rsidRPr="00D32142">
        <w:rPr>
          <w:rFonts w:ascii="Times New Roman" w:hAnsi="Times New Roman"/>
        </w:rPr>
        <w:t xml:space="preserve"> Section 175(3) specifies another step that, if the Court orders, must be notified to group members, namely the bringing into Court of money in answer to a cause of action. Section 175(4) identifies a further step in proceedings, namely the making of an application for approval of a settlement, and provides that, unless the Court is satisfied that it is just to do so, the application cannot be determined unless notice has been given to group members. None of those provisions address when such notice must be given. That issue is addressed by s 175(6); ie those five steps are the "events" that s 175(6) specifies must be notified "as soon as practicable" after the event occurs.</w:t>
      </w:r>
      <w:bookmarkEnd w:id="3"/>
      <w:r w:rsidRPr="00D32142">
        <w:rPr>
          <w:rFonts w:ascii="Times New Roman" w:hAnsi="Times New Roman"/>
        </w:rPr>
        <w:t xml:space="preserve"> </w:t>
      </w:r>
    </w:p>
    <w:p w14:paraId="3229130B"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Section 175(5) does not use the word "event" but instead a word of wider import, namely the word "matter". Given the function of the Supreme Court under Pt 10 of the CPA in ensuring the protection of the interests of group members, s 175(5) confers a broad power on the Court to order that notice of any "matter" relating to the proceedings is given to group members, including the intention of a party to seek an order that may affect group members' rights and interests. Generally, legislative provisions which confer powers on a court such as s 175(5) should not be construed "by making implications or imposing limitations which are not found in the express words".</w:t>
      </w:r>
      <w:r w:rsidRPr="00D32142">
        <w:rPr>
          <w:rStyle w:val="FootnoteReference"/>
          <w:rFonts w:ascii="Times New Roman" w:hAnsi="Times New Roman"/>
          <w:sz w:val="24"/>
        </w:rPr>
        <w:footnoteReference w:id="186"/>
      </w:r>
    </w:p>
    <w:p w14:paraId="6CCC6A34"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lastRenderedPageBreak/>
        <w:tab/>
        <w:t>This construction of s 175 is supported by the legislative history of the provision. Part 10 of the CPA was modelled on the group proceedings provisions included in the FCA.</w:t>
      </w:r>
      <w:r w:rsidRPr="00D32142">
        <w:rPr>
          <w:rStyle w:val="FootnoteReference"/>
          <w:rFonts w:ascii="Times New Roman" w:hAnsi="Times New Roman"/>
          <w:sz w:val="24"/>
        </w:rPr>
        <w:footnoteReference w:id="187"/>
      </w:r>
      <w:r w:rsidRPr="00D32142">
        <w:rPr>
          <w:rFonts w:ascii="Times New Roman" w:hAnsi="Times New Roman"/>
        </w:rPr>
        <w:t xml:space="preserve"> Section 175 is in substantially identical terms to s 33X of the FCA. Section 33X has not been altered since the group proceedings provisions were enacted in 1991.</w:t>
      </w:r>
      <w:r w:rsidRPr="00D32142">
        <w:rPr>
          <w:rStyle w:val="FootnoteReference"/>
          <w:rFonts w:ascii="Times New Roman" w:hAnsi="Times New Roman"/>
          <w:sz w:val="24"/>
        </w:rPr>
        <w:footnoteReference w:id="188"/>
      </w:r>
      <w:r w:rsidRPr="00D32142">
        <w:rPr>
          <w:rFonts w:ascii="Times New Roman" w:hAnsi="Times New Roman"/>
        </w:rPr>
        <w:t xml:space="preserve"> </w:t>
      </w:r>
    </w:p>
    <w:p w14:paraId="79134B97"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The origins of the group proceedings provisions of the FCA are to be found in the report of the Australian Law Reform Commission, "Grouped Proceedings in the Federal Court" ("the ALRC Report"),</w:t>
      </w:r>
      <w:r w:rsidRPr="00D32142">
        <w:rPr>
          <w:rStyle w:val="FootnoteReference"/>
          <w:rFonts w:ascii="Times New Roman" w:hAnsi="Times New Roman"/>
          <w:sz w:val="24"/>
        </w:rPr>
        <w:footnoteReference w:id="189"/>
      </w:r>
      <w:r w:rsidRPr="00D32142">
        <w:rPr>
          <w:rFonts w:ascii="Times New Roman" w:hAnsi="Times New Roman"/>
        </w:rPr>
        <w:t xml:space="preserve"> although the ALRC Report recommended a scheme for the approval of fee agreements that was rejected.</w:t>
      </w:r>
      <w:r w:rsidRPr="00D32142">
        <w:rPr>
          <w:rStyle w:val="FootnoteReference"/>
          <w:rFonts w:ascii="Times New Roman" w:hAnsi="Times New Roman"/>
          <w:sz w:val="24"/>
        </w:rPr>
        <w:footnoteReference w:id="190"/>
      </w:r>
      <w:r w:rsidRPr="00D32142">
        <w:rPr>
          <w:rFonts w:ascii="Times New Roman" w:hAnsi="Times New Roman"/>
        </w:rPr>
        <w:t xml:space="preserve"> Allowing for that and other differences between the scheme that was recommended and that which was enacted, the ALRC Report can be used as an aid to the interpretation of the group proceedings provisions of the FCA</w:t>
      </w:r>
      <w:r w:rsidRPr="00D32142">
        <w:rPr>
          <w:rStyle w:val="FootnoteReference"/>
          <w:rFonts w:ascii="Times New Roman" w:hAnsi="Times New Roman"/>
          <w:sz w:val="24"/>
        </w:rPr>
        <w:footnoteReference w:id="191"/>
      </w:r>
      <w:r w:rsidRPr="00D32142">
        <w:rPr>
          <w:rFonts w:ascii="Times New Roman" w:hAnsi="Times New Roman"/>
        </w:rPr>
        <w:t xml:space="preserve"> and, in turn, s 175 of the CPA.  </w:t>
      </w:r>
    </w:p>
    <w:p w14:paraId="7447E60D"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In relation to the Federal Court of Australia's power to order that group members be given notice of the existence and conduct of the proceedings, the ALRC Report recommended providing the Court with "a </w:t>
      </w:r>
      <w:r w:rsidRPr="00D32142">
        <w:rPr>
          <w:rFonts w:ascii="Times New Roman" w:hAnsi="Times New Roman"/>
          <w:i/>
          <w:iCs/>
        </w:rPr>
        <w:t>general power</w:t>
      </w:r>
      <w:r w:rsidRPr="00D32142">
        <w:rPr>
          <w:rFonts w:ascii="Times New Roman" w:hAnsi="Times New Roman"/>
        </w:rPr>
        <w:t xml:space="preserve"> to order notice at any time" and that "</w:t>
      </w:r>
      <w:r w:rsidRPr="00D32142">
        <w:rPr>
          <w:rFonts w:ascii="Times New Roman" w:hAnsi="Times New Roman"/>
          <w:i/>
          <w:iCs/>
        </w:rPr>
        <w:t>[i]n addition</w:t>
      </w:r>
      <w:r w:rsidRPr="00D32142">
        <w:rPr>
          <w:rFonts w:ascii="Times New Roman" w:hAnsi="Times New Roman"/>
        </w:rPr>
        <w:t>, as a general rule notice, as approved by the Court, should be given to group members advising them" of five particular steps in the proceedings, namely: (1) the commencement of proceedings and the ways in which a group member can assume conduct of the proceedings; (2) "an application for the approval of a fee agreement"; (3) "the bringing of money into Court"; (4) "an application to approve a settlement"; and (5) an application to dismiss the proceedings on the ground of want of prosecution.</w:t>
      </w:r>
      <w:r w:rsidRPr="00D32142">
        <w:rPr>
          <w:rStyle w:val="FootnoteReference"/>
          <w:rFonts w:ascii="Times New Roman" w:hAnsi="Times New Roman"/>
          <w:sz w:val="24"/>
        </w:rPr>
        <w:footnoteReference w:id="192"/>
      </w:r>
      <w:r w:rsidRPr="00D32142">
        <w:rPr>
          <w:rFonts w:ascii="Times New Roman" w:hAnsi="Times New Roman"/>
        </w:rPr>
        <w:t xml:space="preserve"> The ALRC Report recommended that notification in relation to the commencement of the </w:t>
      </w:r>
      <w:r w:rsidRPr="00D32142">
        <w:rPr>
          <w:rFonts w:ascii="Times New Roman" w:hAnsi="Times New Roman"/>
        </w:rPr>
        <w:lastRenderedPageBreak/>
        <w:t>proceedings should be given as soon as practicable after the first directions hearing.</w:t>
      </w:r>
      <w:r w:rsidRPr="00D32142">
        <w:rPr>
          <w:rStyle w:val="FootnoteReference"/>
          <w:rFonts w:ascii="Times New Roman" w:hAnsi="Times New Roman"/>
          <w:sz w:val="24"/>
        </w:rPr>
        <w:footnoteReference w:id="193"/>
      </w:r>
      <w:r w:rsidRPr="00D32142">
        <w:rPr>
          <w:rFonts w:ascii="Times New Roman" w:hAnsi="Times New Roman"/>
        </w:rPr>
        <w:t xml:space="preserve"> </w:t>
      </w:r>
    </w:p>
    <w:p w14:paraId="055166DB"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These recommendations were reflected in cl 18 of the draft Bill that accompanied the ALRC Report. Clause 18(5) was in similar terms to s 175(5) (and s 33X(5)). There was no direct equivalent to s 175(6) (and s 33X(6)) because the requirement in the draft Bill to notify as soon as practicable was only attached to the obligation to notify group members that proceedings had been commenced. When it was enacted in 1991, s 33X differed from cl 18 in that the steps that were required to be notified were those set out above,</w:t>
      </w:r>
      <w:r w:rsidRPr="00D32142">
        <w:rPr>
          <w:rStyle w:val="FootnoteReference"/>
          <w:rFonts w:ascii="Times New Roman" w:hAnsi="Times New Roman"/>
          <w:sz w:val="24"/>
        </w:rPr>
        <w:footnoteReference w:id="194"/>
      </w:r>
      <w:r w:rsidRPr="00D32142">
        <w:rPr>
          <w:rFonts w:ascii="Times New Roman" w:hAnsi="Times New Roman"/>
        </w:rPr>
        <w:t xml:space="preserve"> which did not include the approval of a fee agreement. Section 33X also differed from cl 18 of the draft Bill in that it included s 33X(6), which attached the obligation to provide notice to group members as soon as practicable to all five "events" rather than just the commencement of proceedings. Putting aside those differences, the ALRC Report supports the construction of s 33X and s 175 outlined above. The only remaining question is whether the other matters upon which the Court of Appeal relied warrant a reading down of s 175.</w:t>
      </w:r>
    </w:p>
    <w:p w14:paraId="1EE382DA" w14:textId="77777777" w:rsidR="0043054B" w:rsidRPr="00D32142" w:rsidRDefault="0043054B" w:rsidP="00D32142">
      <w:pPr>
        <w:pStyle w:val="HeadingL1"/>
        <w:spacing w:after="260" w:line="280" w:lineRule="exact"/>
        <w:ind w:right="0"/>
        <w:jc w:val="both"/>
        <w:rPr>
          <w:rFonts w:ascii="Times New Roman" w:hAnsi="Times New Roman"/>
        </w:rPr>
      </w:pPr>
      <w:r w:rsidRPr="00D32142">
        <w:rPr>
          <w:rFonts w:ascii="Times New Roman" w:hAnsi="Times New Roman"/>
        </w:rPr>
        <w:t>Contrary to opt out scheme?</w:t>
      </w:r>
    </w:p>
    <w:p w14:paraId="191FADE1"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In concluding that the proposed notice would be contrary to the legislative scheme, the Court of Appeal applied the reasoning in </w:t>
      </w:r>
      <w:r w:rsidRPr="00D32142">
        <w:rPr>
          <w:rFonts w:ascii="Times New Roman" w:hAnsi="Times New Roman"/>
          <w:i/>
          <w:iCs/>
        </w:rPr>
        <w:t>Wigmans</w:t>
      </w:r>
      <w:r w:rsidRPr="00D32142">
        <w:rPr>
          <w:rFonts w:ascii="Times New Roman" w:hAnsi="Times New Roman"/>
        </w:rPr>
        <w:t> </w:t>
      </w:r>
      <w:r w:rsidRPr="00D32142">
        <w:rPr>
          <w:rFonts w:ascii="Times New Roman" w:hAnsi="Times New Roman"/>
          <w:i/>
          <w:iCs/>
        </w:rPr>
        <w:t>CA</w:t>
      </w:r>
      <w:r w:rsidRPr="00D32142">
        <w:rPr>
          <w:rFonts w:ascii="Times New Roman" w:hAnsi="Times New Roman"/>
        </w:rPr>
        <w:t xml:space="preserve"> to the effect that the issue of such a notice would be contrary to a "fundamental"</w:t>
      </w:r>
      <w:r w:rsidRPr="00D32142">
        <w:rPr>
          <w:rStyle w:val="FootnoteReference"/>
          <w:rFonts w:ascii="Times New Roman" w:hAnsi="Times New Roman"/>
          <w:sz w:val="24"/>
        </w:rPr>
        <w:footnoteReference w:id="195"/>
      </w:r>
      <w:r w:rsidRPr="00D32142">
        <w:rPr>
          <w:rFonts w:ascii="Times New Roman" w:hAnsi="Times New Roman"/>
        </w:rPr>
        <w:t xml:space="preserve"> or "basic precept" of Pt 10 of the CPA; namely, that "group members may do nothing prior to a settlement and still reap its benefits".</w:t>
      </w:r>
      <w:r w:rsidRPr="00D32142">
        <w:rPr>
          <w:rStyle w:val="FootnoteReference"/>
          <w:rFonts w:ascii="Times New Roman" w:hAnsi="Times New Roman"/>
          <w:sz w:val="24"/>
        </w:rPr>
        <w:footnoteReference w:id="196"/>
      </w:r>
      <w:r w:rsidRPr="00D32142">
        <w:rPr>
          <w:rFonts w:ascii="Times New Roman" w:hAnsi="Times New Roman"/>
        </w:rPr>
        <w:t xml:space="preserve"> In the Court of Appeal, Leeming JA characterised the use of the expression "fundamental precept" in </w:t>
      </w:r>
      <w:r w:rsidRPr="00D32142">
        <w:rPr>
          <w:rFonts w:ascii="Times New Roman" w:hAnsi="Times New Roman"/>
          <w:i/>
          <w:iCs/>
        </w:rPr>
        <w:t>Wigmans</w:t>
      </w:r>
      <w:r w:rsidRPr="00D32142">
        <w:rPr>
          <w:rFonts w:ascii="Times New Roman" w:hAnsi="Times New Roman"/>
        </w:rPr>
        <w:t> </w:t>
      </w:r>
      <w:r w:rsidRPr="00D32142">
        <w:rPr>
          <w:rFonts w:ascii="Times New Roman" w:hAnsi="Times New Roman"/>
          <w:i/>
          <w:iCs/>
        </w:rPr>
        <w:t>CA</w:t>
      </w:r>
      <w:r w:rsidRPr="00D32142">
        <w:rPr>
          <w:rFonts w:ascii="Times New Roman" w:hAnsi="Times New Roman"/>
        </w:rPr>
        <w:t xml:space="preserve"> as not referring to an "absolute rule" but a "basic principle underlying the regime established by the statute".</w:t>
      </w:r>
      <w:r w:rsidRPr="00D32142">
        <w:rPr>
          <w:rStyle w:val="FootnoteReference"/>
          <w:rFonts w:ascii="Times New Roman" w:hAnsi="Times New Roman"/>
          <w:sz w:val="24"/>
        </w:rPr>
        <w:footnoteReference w:id="197"/>
      </w:r>
    </w:p>
    <w:p w14:paraId="6F5E4B8E"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Whatever be the status of the "precept", its role as a factor constraining the construction of the power conferred by s 175(5) was said in </w:t>
      </w:r>
      <w:r w:rsidRPr="00D32142">
        <w:rPr>
          <w:rFonts w:ascii="Times New Roman" w:hAnsi="Times New Roman"/>
          <w:i/>
          <w:iCs/>
        </w:rPr>
        <w:t>Wigmans</w:t>
      </w:r>
      <w:r w:rsidRPr="00D32142">
        <w:rPr>
          <w:rFonts w:ascii="Times New Roman" w:hAnsi="Times New Roman"/>
        </w:rPr>
        <w:t> </w:t>
      </w:r>
      <w:r w:rsidRPr="00D32142">
        <w:rPr>
          <w:rFonts w:ascii="Times New Roman" w:hAnsi="Times New Roman"/>
          <w:i/>
          <w:iCs/>
        </w:rPr>
        <w:t>CA</w:t>
      </w:r>
      <w:r w:rsidRPr="00D32142">
        <w:rPr>
          <w:rFonts w:ascii="Times New Roman" w:hAnsi="Times New Roman"/>
          <w:b/>
          <w:sz w:val="24"/>
          <w:vertAlign w:val="superscript"/>
        </w:rPr>
        <w:footnoteReference w:id="198"/>
      </w:r>
      <w:r w:rsidRPr="00D32142">
        <w:rPr>
          <w:rFonts w:ascii="Times New Roman" w:hAnsi="Times New Roman"/>
        </w:rPr>
        <w:t xml:space="preserve"> to follow from the nature of the opt out legislative scheme as discussed in the joint </w:t>
      </w:r>
      <w:r w:rsidRPr="00D32142">
        <w:rPr>
          <w:rFonts w:ascii="Times New Roman" w:hAnsi="Times New Roman"/>
        </w:rPr>
        <w:lastRenderedPageBreak/>
        <w:t xml:space="preserve">judgment of this Court in </w:t>
      </w:r>
      <w:r w:rsidRPr="00D32142">
        <w:rPr>
          <w:rFonts w:ascii="Times New Roman" w:hAnsi="Times New Roman"/>
          <w:i/>
          <w:iCs/>
        </w:rPr>
        <w:t>Mobil Oil Australia Pty Ltd v Victoria</w:t>
      </w:r>
      <w:r w:rsidRPr="00D32142">
        <w:rPr>
          <w:rFonts w:ascii="Times New Roman" w:hAnsi="Times New Roman"/>
        </w:rPr>
        <w:t>,</w:t>
      </w:r>
      <w:r w:rsidRPr="00D32142">
        <w:rPr>
          <w:rStyle w:val="FootnoteReference"/>
          <w:rFonts w:ascii="Times New Roman" w:hAnsi="Times New Roman"/>
          <w:sz w:val="24"/>
        </w:rPr>
        <w:footnoteReference w:id="199"/>
      </w:r>
      <w:r w:rsidRPr="00D32142">
        <w:rPr>
          <w:rFonts w:ascii="Times New Roman" w:hAnsi="Times New Roman"/>
        </w:rPr>
        <w:t xml:space="preserve"> specifically the following passage:</w:t>
      </w:r>
      <w:r w:rsidRPr="00D32142">
        <w:rPr>
          <w:rStyle w:val="FootnoteReference"/>
          <w:rFonts w:ascii="Times New Roman" w:hAnsi="Times New Roman"/>
          <w:sz w:val="24"/>
        </w:rPr>
        <w:footnoteReference w:id="200"/>
      </w:r>
      <w:r w:rsidRPr="00D32142">
        <w:rPr>
          <w:rFonts w:ascii="Times New Roman" w:hAnsi="Times New Roman"/>
        </w:rPr>
        <w:t xml:space="preserve"> </w:t>
      </w:r>
    </w:p>
    <w:p w14:paraId="0F8576FB" w14:textId="77777777" w:rsidR="0043054B" w:rsidRDefault="0043054B" w:rsidP="00D32142">
      <w:pPr>
        <w:pStyle w:val="LeftrightafterHC"/>
        <w:spacing w:before="0" w:after="260" w:line="280" w:lineRule="exact"/>
        <w:ind w:right="0"/>
        <w:jc w:val="both"/>
        <w:rPr>
          <w:rFonts w:ascii="Times New Roman" w:hAnsi="Times New Roman"/>
        </w:rPr>
      </w:pPr>
      <w:r w:rsidRPr="00D32142">
        <w:rPr>
          <w:rFonts w:ascii="Times New Roman" w:hAnsi="Times New Roman"/>
        </w:rPr>
        <w:tab/>
        <w:t xml:space="preserve">"So much follows from the fact that Pt 4A [of the </w:t>
      </w:r>
      <w:r w:rsidRPr="00D32142">
        <w:rPr>
          <w:rFonts w:ascii="Times New Roman" w:hAnsi="Times New Roman"/>
          <w:i/>
          <w:iCs/>
        </w:rPr>
        <w:t>Supreme Court Act 1986 </w:t>
      </w:r>
      <w:r w:rsidRPr="00D32142">
        <w:rPr>
          <w:rFonts w:ascii="Times New Roman" w:hAnsi="Times New Roman"/>
        </w:rPr>
        <w:t xml:space="preserve">(Vic)] provides for what is sometimes called an 'opt out', rather than an 'opt in', procedure. That is, persons who are group members may opt out of the proceeding and, if they do, they are taken never to have been a group member (unless the Court otherwise orders) ... </w:t>
      </w:r>
      <w:r w:rsidRPr="00D32142">
        <w:rPr>
          <w:rFonts w:ascii="Times New Roman" w:hAnsi="Times New Roman"/>
          <w:i/>
          <w:iCs/>
        </w:rPr>
        <w:t>Group members, however, need take no positive step in the prosecution of the proceeding to judgment to gain whatever benefit its prosecution may bring</w:t>
      </w:r>
      <w:r w:rsidRPr="00D32142">
        <w:rPr>
          <w:rFonts w:ascii="Times New Roman" w:hAnsi="Times New Roman"/>
        </w:rPr>
        <w:t xml:space="preserve">." (emphasis added in </w:t>
      </w:r>
      <w:r w:rsidRPr="00D32142">
        <w:rPr>
          <w:rFonts w:ascii="Times New Roman" w:hAnsi="Times New Roman"/>
          <w:i/>
          <w:iCs/>
        </w:rPr>
        <w:t>Wigmans</w:t>
      </w:r>
      <w:r w:rsidRPr="00D32142">
        <w:rPr>
          <w:rFonts w:ascii="Times New Roman" w:hAnsi="Times New Roman"/>
        </w:rPr>
        <w:t> </w:t>
      </w:r>
      <w:r w:rsidRPr="00D32142">
        <w:rPr>
          <w:rFonts w:ascii="Times New Roman" w:hAnsi="Times New Roman"/>
          <w:i/>
          <w:iCs/>
        </w:rPr>
        <w:t>CA</w:t>
      </w:r>
      <w:r w:rsidRPr="00D32142">
        <w:rPr>
          <w:rFonts w:ascii="Times New Roman" w:hAnsi="Times New Roman"/>
        </w:rPr>
        <w:t>)</w:t>
      </w:r>
    </w:p>
    <w:p w14:paraId="0E324059"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The Court of Appeal in </w:t>
      </w:r>
      <w:r w:rsidRPr="00D32142">
        <w:rPr>
          <w:rFonts w:ascii="Times New Roman" w:hAnsi="Times New Roman"/>
          <w:i/>
          <w:iCs/>
        </w:rPr>
        <w:t>Wigmans</w:t>
      </w:r>
      <w:r w:rsidRPr="00D32142">
        <w:rPr>
          <w:rFonts w:ascii="Times New Roman" w:hAnsi="Times New Roman"/>
        </w:rPr>
        <w:t> </w:t>
      </w:r>
      <w:r w:rsidRPr="00D32142">
        <w:rPr>
          <w:rFonts w:ascii="Times New Roman" w:hAnsi="Times New Roman"/>
          <w:i/>
          <w:iCs/>
        </w:rPr>
        <w:t>CA</w:t>
      </w:r>
      <w:r w:rsidRPr="00D32142">
        <w:rPr>
          <w:rFonts w:ascii="Times New Roman" w:hAnsi="Times New Roman"/>
        </w:rPr>
        <w:t xml:space="preserve"> noted that this passage was cited with approval and applied to Pt 10 of the CPA in </w:t>
      </w:r>
      <w:r w:rsidRPr="00D32142">
        <w:rPr>
          <w:rFonts w:ascii="Times New Roman" w:hAnsi="Times New Roman"/>
          <w:i/>
          <w:iCs/>
        </w:rPr>
        <w:t>BMW Australia Ltd v Brewster</w:t>
      </w:r>
      <w:r w:rsidRPr="00D32142">
        <w:rPr>
          <w:rFonts w:ascii="Times New Roman" w:hAnsi="Times New Roman"/>
        </w:rPr>
        <w:t>.</w:t>
      </w:r>
      <w:r w:rsidRPr="00D32142">
        <w:rPr>
          <w:rStyle w:val="FootnoteReference"/>
          <w:rFonts w:ascii="Times New Roman" w:hAnsi="Times New Roman"/>
          <w:sz w:val="24"/>
        </w:rPr>
        <w:footnoteReference w:id="201"/>
      </w:r>
    </w:p>
    <w:p w14:paraId="38DB3C8C"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The emphasised portion of the above passage from </w:t>
      </w:r>
      <w:r w:rsidRPr="00D32142">
        <w:rPr>
          <w:rFonts w:ascii="Times New Roman" w:hAnsi="Times New Roman"/>
          <w:i/>
          <w:iCs/>
        </w:rPr>
        <w:t>Mobil Oil</w:t>
      </w:r>
      <w:r w:rsidRPr="00D32142">
        <w:rPr>
          <w:rFonts w:ascii="Times New Roman" w:hAnsi="Times New Roman"/>
        </w:rPr>
        <w:t xml:space="preserve"> contrasts the passive position of group members who do not opt out of group proceedings with the active step that must be taken by group members who wish to opt out. Neither this passage nor anything else stated in </w:t>
      </w:r>
      <w:r w:rsidRPr="00D32142">
        <w:rPr>
          <w:rFonts w:ascii="Times New Roman" w:hAnsi="Times New Roman"/>
          <w:i/>
          <w:iCs/>
        </w:rPr>
        <w:t>Mobil Oil</w:t>
      </w:r>
      <w:r w:rsidRPr="00D32142">
        <w:rPr>
          <w:rFonts w:ascii="Times New Roman" w:hAnsi="Times New Roman"/>
        </w:rPr>
        <w:t xml:space="preserve"> or </w:t>
      </w:r>
      <w:r w:rsidRPr="00D32142">
        <w:rPr>
          <w:rFonts w:ascii="Times New Roman" w:hAnsi="Times New Roman"/>
          <w:i/>
          <w:iCs/>
        </w:rPr>
        <w:t>Brewster</w:t>
      </w:r>
      <w:r w:rsidRPr="00D32142">
        <w:rPr>
          <w:rFonts w:ascii="Times New Roman" w:hAnsi="Times New Roman"/>
        </w:rPr>
        <w:t xml:space="preserve"> enunciates any rule, precept or principle bearing on the construction of s 175 to the effect that, prior to settlement or judgment, no order can be made requiring a group member to take any step in proceedings, much less that no order can be made that only has the effect of (strongly) encouraging group members to take any step in proceedings, such as registering their claims. To the contrary, Pt 10 of the CPA expressly contemplates the Court making directions in relation to questions that are only common to some group members.</w:t>
      </w:r>
      <w:r w:rsidRPr="00D32142">
        <w:rPr>
          <w:rStyle w:val="FootnoteReference"/>
          <w:rFonts w:ascii="Times New Roman" w:hAnsi="Times New Roman"/>
          <w:sz w:val="24"/>
        </w:rPr>
        <w:footnoteReference w:id="202"/>
      </w:r>
      <w:r w:rsidRPr="00D32142">
        <w:rPr>
          <w:rFonts w:ascii="Times New Roman" w:hAnsi="Times New Roman"/>
        </w:rPr>
        <w:t xml:space="preserve"> Of necessity, such directions will or may require group members to actively participate in the proceedings. </w:t>
      </w:r>
    </w:p>
    <w:p w14:paraId="4DAE92C3"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As Gordon and Steward JJ point out,</w:t>
      </w:r>
      <w:r w:rsidRPr="00D32142">
        <w:rPr>
          <w:rStyle w:val="FootnoteReference"/>
          <w:rFonts w:ascii="Times New Roman" w:hAnsi="Times New Roman"/>
          <w:sz w:val="24"/>
        </w:rPr>
        <w:footnoteReference w:id="203"/>
      </w:r>
      <w:r w:rsidRPr="00D32142">
        <w:rPr>
          <w:rFonts w:ascii="Times New Roman" w:hAnsi="Times New Roman"/>
        </w:rPr>
        <w:t xml:space="preserve"> orders have regularly, although sparingly, been made by a variety of courts requiring group members to provide documents or particulars in advance of settlement or judgment.</w:t>
      </w:r>
      <w:r w:rsidRPr="00D32142">
        <w:rPr>
          <w:rStyle w:val="FootnoteReference"/>
          <w:rFonts w:ascii="Times New Roman" w:hAnsi="Times New Roman"/>
          <w:sz w:val="24"/>
        </w:rPr>
        <w:footnoteReference w:id="204"/>
      </w:r>
      <w:r w:rsidRPr="00D32142">
        <w:rPr>
          <w:rFonts w:ascii="Times New Roman" w:hAnsi="Times New Roman"/>
        </w:rPr>
        <w:t xml:space="preserve"> The fact that first instance judges have from time to time made a practical judgment that such orders should be made bears out the caution that should be exercised before implying </w:t>
      </w:r>
      <w:r w:rsidRPr="00D32142">
        <w:rPr>
          <w:rFonts w:ascii="Times New Roman" w:hAnsi="Times New Roman"/>
        </w:rPr>
        <w:lastRenderedPageBreak/>
        <w:t xml:space="preserve">restrictions on court powers based on a supposed "fundamental precept" or "basic principle".  </w:t>
      </w:r>
    </w:p>
    <w:p w14:paraId="3D411CC1" w14:textId="77777777" w:rsidR="0043054B" w:rsidRPr="00D32142" w:rsidRDefault="0043054B" w:rsidP="00D32142">
      <w:pPr>
        <w:pStyle w:val="HeadingL1"/>
        <w:spacing w:after="260" w:line="280" w:lineRule="exact"/>
        <w:ind w:right="0"/>
        <w:jc w:val="both"/>
        <w:rPr>
          <w:rFonts w:ascii="Times New Roman" w:hAnsi="Times New Roman"/>
        </w:rPr>
      </w:pPr>
      <w:r w:rsidRPr="00D32142">
        <w:rPr>
          <w:rFonts w:ascii="Times New Roman" w:hAnsi="Times New Roman"/>
          <w:iCs/>
        </w:rPr>
        <w:t>Representative</w:t>
      </w:r>
      <w:r w:rsidRPr="00D32142">
        <w:rPr>
          <w:rFonts w:ascii="Times New Roman" w:hAnsi="Times New Roman"/>
        </w:rPr>
        <w:t xml:space="preserve"> party's conflict of interest </w:t>
      </w:r>
    </w:p>
    <w:p w14:paraId="05F8F0C2"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It was not in dispute that a representative party has fiduciary obligations to group members in and about the conduct of the proceedings.</w:t>
      </w:r>
      <w:r w:rsidRPr="00D32142">
        <w:rPr>
          <w:rStyle w:val="FootnoteReference"/>
          <w:rFonts w:ascii="Times New Roman" w:hAnsi="Times New Roman"/>
          <w:sz w:val="24"/>
        </w:rPr>
        <w:footnoteReference w:id="205"/>
      </w:r>
      <w:r w:rsidRPr="00D32142">
        <w:rPr>
          <w:rFonts w:ascii="Times New Roman" w:hAnsi="Times New Roman"/>
        </w:rPr>
        <w:t xml:space="preserve"> It was also not in dispute that, at the very least, for a representative party to seek approval of a settlement that differentiated between different group members according to whether or not those group members had registered their claims potentially places the representative party in breach of its fiduciary obligations by preferring the interests of one set of group members over another. In the Court of Appeal, Bell CJ appeared to suggest that such a conflict was "created by the giving of the notification contemplated" by the proposed notice</w:t>
      </w:r>
      <w:r w:rsidRPr="00D32142">
        <w:rPr>
          <w:rStyle w:val="FootnoteReference"/>
          <w:rFonts w:ascii="Times New Roman" w:hAnsi="Times New Roman"/>
          <w:sz w:val="24"/>
        </w:rPr>
        <w:footnoteReference w:id="206"/>
      </w:r>
      <w:r w:rsidRPr="00D32142">
        <w:rPr>
          <w:rFonts w:ascii="Times New Roman" w:hAnsi="Times New Roman"/>
        </w:rPr>
        <w:t xml:space="preserve"> and that conflict was "insoluble",</w:t>
      </w:r>
      <w:r w:rsidRPr="00D32142">
        <w:rPr>
          <w:rStyle w:val="FootnoteReference"/>
          <w:rFonts w:ascii="Times New Roman" w:hAnsi="Times New Roman"/>
          <w:sz w:val="24"/>
        </w:rPr>
        <w:footnoteReference w:id="207"/>
      </w:r>
      <w:r w:rsidRPr="00D32142">
        <w:rPr>
          <w:rFonts w:ascii="Times New Roman" w:hAnsi="Times New Roman"/>
        </w:rPr>
        <w:t xml:space="preserve"> whereas Ward P considered that, if group members were merely notified of a party's intention to seek the proposed order, an actual conflict would not crystallise and potentially become "insoluble" until an application was made for the exclusion of unregistered group members.</w:t>
      </w:r>
      <w:r w:rsidRPr="00D32142">
        <w:rPr>
          <w:rStyle w:val="FootnoteReference"/>
          <w:rFonts w:ascii="Times New Roman" w:hAnsi="Times New Roman"/>
          <w:sz w:val="24"/>
        </w:rPr>
        <w:footnoteReference w:id="208"/>
      </w:r>
      <w:r w:rsidRPr="00D32142">
        <w:rPr>
          <w:rFonts w:ascii="Times New Roman" w:hAnsi="Times New Roman"/>
        </w:rPr>
        <w:t xml:space="preserve"> In so reasoning, Ward P noted that a party is not bound by their stated intention to seek such an order and the course of negotiations may result in that intention being abandoned.</w:t>
      </w:r>
      <w:r w:rsidRPr="00D32142">
        <w:rPr>
          <w:rStyle w:val="FootnoteReference"/>
          <w:rFonts w:ascii="Times New Roman" w:hAnsi="Times New Roman"/>
          <w:sz w:val="24"/>
        </w:rPr>
        <w:footnoteReference w:id="209"/>
      </w:r>
      <w:r w:rsidRPr="00D32142">
        <w:rPr>
          <w:rFonts w:ascii="Times New Roman" w:hAnsi="Times New Roman"/>
        </w:rPr>
        <w:t xml:space="preserve"> </w:t>
      </w:r>
    </w:p>
    <w:p w14:paraId="3A38F162"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This dispute as to whether, at the time notice is given, the conflict is actual or only potential is related to the Court of Appeal's description of the conflict as "insoluble". It would follow from Bell CJ's reasons that the fact that the representative party is necessarily conflicted at the time such notice is given colours their participation in the settlement discussions that will follow.</w:t>
      </w:r>
      <w:r w:rsidRPr="00D32142">
        <w:rPr>
          <w:rStyle w:val="FootnoteReference"/>
          <w:rFonts w:ascii="Times New Roman" w:hAnsi="Times New Roman"/>
          <w:sz w:val="24"/>
        </w:rPr>
        <w:footnoteReference w:id="210"/>
      </w:r>
      <w:r w:rsidRPr="00D32142">
        <w:rPr>
          <w:rFonts w:ascii="Times New Roman" w:hAnsi="Times New Roman"/>
        </w:rPr>
        <w:t xml:space="preserve"> If that view is accepted it would mean that a representative party could not propose or even countenance such an order as they would then be in breach of their fiduciary obligations.</w:t>
      </w:r>
    </w:p>
    <w:p w14:paraId="35910B34"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lastRenderedPageBreak/>
        <w:tab/>
        <w:t>The view of Ward P as to the timing of the possible conflict on the part of the representative party is to be preferred.</w:t>
      </w:r>
      <w:r w:rsidRPr="00D32142">
        <w:rPr>
          <w:rStyle w:val="FootnoteReference"/>
          <w:rFonts w:ascii="Times New Roman" w:hAnsi="Times New Roman"/>
          <w:sz w:val="24"/>
        </w:rPr>
        <w:footnoteReference w:id="211"/>
      </w:r>
      <w:r w:rsidRPr="00D32142">
        <w:rPr>
          <w:rFonts w:ascii="Times New Roman" w:hAnsi="Times New Roman"/>
        </w:rPr>
        <w:t xml:space="preserve"> Moreover, any conflict that ensues is not necessarily "insoluble" from the perspective of the group members. While it may be unlikely, a representative party may apprehend that all group members will register if so advised, or that may turn out to be the case. In that event there will be no conflict. A more likely scenario is that alluded to in the judgment of Ward P, namely where the level of registration by group members may be so high that the parties can ascertain the extent of the defendant's overall exposure (and other matters relating to settlement) with such a degree of confidence that they no longer seek such an order.</w:t>
      </w:r>
      <w:r w:rsidRPr="00D32142">
        <w:rPr>
          <w:rStyle w:val="FootnoteReference"/>
          <w:rFonts w:ascii="Times New Roman" w:hAnsi="Times New Roman"/>
          <w:sz w:val="24"/>
        </w:rPr>
        <w:footnoteReference w:id="212"/>
      </w:r>
      <w:r w:rsidRPr="00D32142">
        <w:rPr>
          <w:rFonts w:ascii="Times New Roman" w:hAnsi="Times New Roman"/>
        </w:rPr>
        <w:t xml:space="preserve"> </w:t>
      </w:r>
    </w:p>
    <w:p w14:paraId="18679220"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Leaving aside those possibilities, the scope and nature of the duties owed by the representative party is moulded by the circumstances in which they arise,</w:t>
      </w:r>
      <w:r w:rsidRPr="00D32142">
        <w:rPr>
          <w:rStyle w:val="FootnoteReference"/>
          <w:rFonts w:ascii="Times New Roman" w:hAnsi="Times New Roman"/>
          <w:sz w:val="24"/>
        </w:rPr>
        <w:footnoteReference w:id="213"/>
      </w:r>
      <w:r w:rsidRPr="00D32142">
        <w:rPr>
          <w:rFonts w:ascii="Times New Roman" w:hAnsi="Times New Roman"/>
        </w:rPr>
        <w:t xml:space="preserve"> including the statutory context, Pt 10 of the CPA. Part 10 of the CPA expressly or implicitly contemplates the existence of such potential conflicts and expressly or implicitly contemplates that they will be managed and addressed. That is, the CPA provides for "procedures overseen by the court ... which guard against collateral risks of representation".</w:t>
      </w:r>
      <w:r w:rsidRPr="00D32142">
        <w:rPr>
          <w:rStyle w:val="FootnoteReference"/>
          <w:rFonts w:ascii="Times New Roman" w:hAnsi="Times New Roman"/>
          <w:sz w:val="24"/>
        </w:rPr>
        <w:footnoteReference w:id="214"/>
      </w:r>
      <w:r w:rsidRPr="00D32142">
        <w:rPr>
          <w:rFonts w:ascii="Times New Roman" w:hAnsi="Times New Roman"/>
        </w:rPr>
        <w:t xml:space="preserve"> One means of addressing such a potential conflict at the time an order in the nature of the proposed order is sought would be the appointment of separate legal representatives to represent the interests of different sets of group members to address whether such an order should be made, whether the settlement should be approved and such other questions in relation thereto that might be formulated under s 168 of the CPA. </w:t>
      </w:r>
    </w:p>
    <w:p w14:paraId="585D8CFF"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Neither Pt 10 of the CPA, nor the fiduciary obligations owed by a representative party, necessarily prevent such a party from considering a proposal to seek an order in the nature of the proposed order or notifying an intention to do so. The negotiations that lead to a settlement might be framed by reference to that intention, but that intention might be abandoned, as Ward P contemplated. Even if it is not, those negotiations will otherwise be pursued in a context whereby the parties to that negotiation are to be taken to be aware that settlement will be subject to a process of Court approval and scrutiny in which the interests of all group members must be considered. </w:t>
      </w:r>
    </w:p>
    <w:p w14:paraId="17F6F565"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 xml:space="preserve">It is unnecessary to consider this issue further because the ultimate issue raised by this appeal is not the actual or potential conflicts that the representative </w:t>
      </w:r>
      <w:r w:rsidRPr="00D32142">
        <w:rPr>
          <w:rFonts w:ascii="Times New Roman" w:hAnsi="Times New Roman"/>
        </w:rPr>
        <w:lastRenderedPageBreak/>
        <w:t xml:space="preserve">parties may be subject to and how they may be addressed, but the </w:t>
      </w:r>
      <w:r w:rsidRPr="00D32142">
        <w:rPr>
          <w:rFonts w:ascii="Times New Roman" w:hAnsi="Times New Roman"/>
          <w:i/>
          <w:iCs/>
        </w:rPr>
        <w:t>power</w:t>
      </w:r>
      <w:r w:rsidRPr="00D32142">
        <w:rPr>
          <w:rFonts w:ascii="Times New Roman" w:hAnsi="Times New Roman"/>
        </w:rPr>
        <w:t xml:space="preserve"> of the Supreme Court to order that the proposed notice be given. That issue can be addressed by considering the circumstance that, irrespective of the representative parties' intentions, the appellants intend to seek the proposed order. The appellants do not owe fiduciary obligations to group members, and thus no potential conflict arises from the appellants forming that intention or seeking the proposed order. In fact, having been apprised of the appellants' intention to seek that order, the representative parties are under an obligation to inform group members of the appellants' intention. In those circumstances, there is no reason to read down the power conferred by s 175(5) of the CPA so that it would be beyond the power of the Court to make an order ensuring that notification occurred. Once it is accepted that the power conferred by s 175(5) allows notice of the proposed order to be given, the questions of whether notice should be given, and at whose behest, are only relevant to the question of whether the power should be exercised, not its existence. </w:t>
      </w:r>
    </w:p>
    <w:p w14:paraId="7830E699" w14:textId="77777777" w:rsidR="0043054B" w:rsidRPr="00D32142" w:rsidRDefault="0043054B" w:rsidP="00D32142">
      <w:pPr>
        <w:pStyle w:val="HeadingL1"/>
        <w:spacing w:after="260" w:line="280" w:lineRule="exact"/>
        <w:ind w:right="0"/>
        <w:jc w:val="both"/>
        <w:rPr>
          <w:rFonts w:ascii="Times New Roman" w:hAnsi="Times New Roman"/>
        </w:rPr>
      </w:pPr>
      <w:r w:rsidRPr="00D32142">
        <w:rPr>
          <w:rFonts w:ascii="Times New Roman" w:hAnsi="Times New Roman"/>
        </w:rPr>
        <w:t xml:space="preserve">Competing decisions of intermediate courts of appeal </w:t>
      </w:r>
    </w:p>
    <w:p w14:paraId="070B83A8" w14:textId="77777777" w:rsidR="0043054B" w:rsidRPr="00D32142" w:rsidRDefault="0043054B" w:rsidP="00D32142">
      <w:pPr>
        <w:pStyle w:val="FixListStyle"/>
        <w:spacing w:after="260" w:line="280" w:lineRule="exact"/>
        <w:ind w:right="0"/>
        <w:jc w:val="both"/>
        <w:rPr>
          <w:rFonts w:ascii="Times New Roman" w:hAnsi="Times New Roman"/>
        </w:rPr>
      </w:pPr>
      <w:r w:rsidRPr="00D32142">
        <w:rPr>
          <w:rFonts w:ascii="Times New Roman" w:hAnsi="Times New Roman"/>
        </w:rPr>
        <w:tab/>
        <w:t>I agree with the observations of Gordon and Steward JJ on this topic.</w:t>
      </w:r>
      <w:r w:rsidRPr="00D32142">
        <w:rPr>
          <w:rStyle w:val="FootnoteReference"/>
          <w:rFonts w:ascii="Times New Roman" w:hAnsi="Times New Roman"/>
          <w:sz w:val="24"/>
        </w:rPr>
        <w:footnoteReference w:id="215"/>
      </w:r>
    </w:p>
    <w:p w14:paraId="5FC6721C" w14:textId="77777777" w:rsidR="0043054B" w:rsidRPr="00D32142" w:rsidRDefault="0043054B" w:rsidP="00D32142">
      <w:pPr>
        <w:pStyle w:val="HeadingL1"/>
        <w:spacing w:after="260" w:line="280" w:lineRule="exact"/>
        <w:ind w:right="0"/>
        <w:jc w:val="both"/>
        <w:rPr>
          <w:rFonts w:ascii="Times New Roman" w:hAnsi="Times New Roman"/>
        </w:rPr>
      </w:pPr>
      <w:r w:rsidRPr="00D32142">
        <w:rPr>
          <w:rFonts w:ascii="Times New Roman" w:hAnsi="Times New Roman"/>
        </w:rPr>
        <w:t>Conclusion</w:t>
      </w:r>
    </w:p>
    <w:p w14:paraId="01508604" w14:textId="0269010F" w:rsidR="00471760" w:rsidRPr="0043054B" w:rsidRDefault="0043054B" w:rsidP="0043054B">
      <w:pPr>
        <w:pStyle w:val="FixListStyle"/>
        <w:spacing w:after="260" w:line="280" w:lineRule="exact"/>
        <w:ind w:right="0"/>
        <w:jc w:val="both"/>
        <w:rPr>
          <w:rFonts w:ascii="Times New Roman" w:hAnsi="Times New Roman"/>
        </w:rPr>
      </w:pPr>
      <w:r w:rsidRPr="00D32142">
        <w:rPr>
          <w:rFonts w:ascii="Times New Roman" w:hAnsi="Times New Roman"/>
        </w:rPr>
        <w:tab/>
        <w:t>Section 175(5) of the CPA empowered the Supreme Court to order that notice of the proposed order be given to group members. The orders proposed by Gordon and Steward JJ should be made.</w:t>
      </w:r>
    </w:p>
    <w:sectPr w:rsidR="00471760" w:rsidRPr="0043054B" w:rsidSect="0043054B">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3AB8" w14:textId="77777777" w:rsidR="00E76942" w:rsidRDefault="00E76942">
      <w:pPr>
        <w:spacing w:line="240" w:lineRule="auto"/>
      </w:pPr>
      <w:r>
        <w:separator/>
      </w:r>
    </w:p>
  </w:endnote>
  <w:endnote w:type="continuationSeparator" w:id="0">
    <w:p w14:paraId="52624559" w14:textId="77777777" w:rsidR="00E76942" w:rsidRDefault="00E76942">
      <w:pPr>
        <w:spacing w:line="240" w:lineRule="auto"/>
      </w:pPr>
      <w:r>
        <w:continuationSeparator/>
      </w:r>
    </w:p>
  </w:endnote>
  <w:endnote w:type="continuationNotice" w:id="1">
    <w:p w14:paraId="0E6B3FAD" w14:textId="77777777" w:rsidR="00E76942" w:rsidRDefault="00E769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301B" w14:textId="77777777" w:rsidR="00194AA8" w:rsidRDefault="0019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8452" w14:textId="77777777" w:rsidR="00194AA8" w:rsidRDefault="00194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884E" w14:textId="77777777" w:rsidR="00194AA8" w:rsidRDefault="00194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F835" w14:textId="77777777" w:rsidR="00194AA8" w:rsidRDefault="00194A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C4CF" w14:textId="77777777" w:rsidR="00194AA8" w:rsidRDefault="00194A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36AD" w14:textId="77777777" w:rsidR="00194AA8" w:rsidRDefault="0019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C400" w14:textId="77777777" w:rsidR="00E76942" w:rsidRPr="00CB2E9A" w:rsidRDefault="00E76942" w:rsidP="00CB2E9A">
      <w:pPr>
        <w:pStyle w:val="Footer"/>
        <w:spacing w:before="120" w:after="20"/>
        <w:ind w:right="0"/>
        <w:rPr>
          <w:rFonts w:ascii="Times New Roman" w:hAnsi="Times New Roman"/>
        </w:rPr>
      </w:pPr>
      <w:r>
        <w:continuationSeparator/>
      </w:r>
    </w:p>
  </w:footnote>
  <w:footnote w:type="continuationSeparator" w:id="0">
    <w:p w14:paraId="488D0D62" w14:textId="77777777" w:rsidR="00E76942" w:rsidRPr="00CB2E9A" w:rsidRDefault="00E76942" w:rsidP="00CB2E9A">
      <w:pPr>
        <w:pStyle w:val="Footer"/>
        <w:spacing w:before="120" w:after="20"/>
        <w:ind w:right="0"/>
        <w:rPr>
          <w:rFonts w:ascii="Times New Roman" w:hAnsi="Times New Roman"/>
        </w:rPr>
      </w:pPr>
      <w:r w:rsidRPr="00CB2E9A">
        <w:rPr>
          <w:rFonts w:ascii="Times New Roman" w:hAnsi="Times New Roman"/>
        </w:rPr>
        <w:continuationSeparator/>
      </w:r>
    </w:p>
  </w:footnote>
  <w:footnote w:type="continuationNotice" w:id="1">
    <w:p w14:paraId="55A1C82C" w14:textId="77777777" w:rsidR="00E76942" w:rsidRPr="00111641" w:rsidRDefault="00E76942">
      <w:pPr>
        <w:jc w:val="right"/>
        <w:rPr>
          <w:rFonts w:ascii="Times New Roman" w:hAnsi="Times New Roman"/>
          <w:sz w:val="24"/>
        </w:rPr>
      </w:pPr>
    </w:p>
  </w:footnote>
  <w:footnote w:id="2">
    <w:p w14:paraId="175F01A3" w14:textId="0AF75F08" w:rsidR="00624D53" w:rsidRPr="00CB2E9A" w:rsidRDefault="00624D53"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Pr="00CB2E9A">
        <w:rPr>
          <w:rFonts w:ascii="Times New Roman" w:hAnsi="Times New Roman"/>
          <w:i/>
          <w:iCs/>
          <w:sz w:val="24"/>
        </w:rPr>
        <w:t>Pallas v Lendlease Corporation Ltd</w:t>
      </w:r>
      <w:r w:rsidRPr="00CB2E9A">
        <w:rPr>
          <w:rFonts w:ascii="Times New Roman" w:hAnsi="Times New Roman"/>
          <w:sz w:val="24"/>
        </w:rPr>
        <w:t xml:space="preserve"> (2024) </w:t>
      </w:r>
      <w:r w:rsidR="00FE1D86" w:rsidRPr="00CB2E9A">
        <w:rPr>
          <w:rFonts w:ascii="Times New Roman" w:hAnsi="Times New Roman"/>
          <w:sz w:val="24"/>
        </w:rPr>
        <w:t>114 NSWLR 81.</w:t>
      </w:r>
    </w:p>
  </w:footnote>
  <w:footnote w:id="3">
    <w:p w14:paraId="38F9CC73" w14:textId="168CAABA" w:rsidR="00595F1E" w:rsidRPr="00CB2E9A" w:rsidRDefault="00595F1E"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102 NSWLR 199.</w:t>
      </w:r>
    </w:p>
  </w:footnote>
  <w:footnote w:id="4">
    <w:p w14:paraId="3731F308" w14:textId="4F0562DD" w:rsidR="004841C5" w:rsidRPr="00CB2E9A" w:rsidRDefault="004841C5"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A14B93" w:rsidRPr="00CB2E9A">
        <w:rPr>
          <w:rFonts w:ascii="Times New Roman" w:hAnsi="Times New Roman"/>
          <w:sz w:val="24"/>
        </w:rPr>
        <w:t xml:space="preserve">(2024) 114 NSWLR 81 </w:t>
      </w:r>
      <w:r w:rsidRPr="00CB2E9A">
        <w:rPr>
          <w:rFonts w:ascii="Times New Roman" w:hAnsi="Times New Roman"/>
          <w:sz w:val="24"/>
        </w:rPr>
        <w:t xml:space="preserve">at </w:t>
      </w:r>
      <w:r w:rsidR="002E2AEC" w:rsidRPr="00CB2E9A">
        <w:rPr>
          <w:rFonts w:ascii="Times New Roman" w:hAnsi="Times New Roman"/>
          <w:sz w:val="24"/>
        </w:rPr>
        <w:t>88-</w:t>
      </w:r>
      <w:r w:rsidR="006E1499" w:rsidRPr="00CB2E9A">
        <w:rPr>
          <w:rFonts w:ascii="Times New Roman" w:hAnsi="Times New Roman"/>
          <w:sz w:val="24"/>
        </w:rPr>
        <w:t>90</w:t>
      </w:r>
      <w:r w:rsidR="002E2AEC" w:rsidRPr="00CB2E9A">
        <w:rPr>
          <w:rFonts w:ascii="Times New Roman" w:hAnsi="Times New Roman"/>
          <w:sz w:val="24"/>
        </w:rPr>
        <w:t xml:space="preserve"> </w:t>
      </w:r>
      <w:r w:rsidRPr="00CB2E9A">
        <w:rPr>
          <w:rFonts w:ascii="Times New Roman" w:hAnsi="Times New Roman"/>
          <w:sz w:val="24"/>
        </w:rPr>
        <w:t>[19]-</w:t>
      </w:r>
      <w:r w:rsidR="007E46DD" w:rsidRPr="00CB2E9A">
        <w:rPr>
          <w:rFonts w:ascii="Times New Roman" w:hAnsi="Times New Roman"/>
          <w:sz w:val="24"/>
        </w:rPr>
        <w:t>[</w:t>
      </w:r>
      <w:r w:rsidRPr="00CB2E9A">
        <w:rPr>
          <w:rFonts w:ascii="Times New Roman" w:hAnsi="Times New Roman"/>
          <w:sz w:val="24"/>
        </w:rPr>
        <w:t>23],</w:t>
      </w:r>
      <w:r w:rsidR="006E1499" w:rsidRPr="00CB2E9A">
        <w:rPr>
          <w:rFonts w:ascii="Times New Roman" w:hAnsi="Times New Roman"/>
          <w:sz w:val="24"/>
        </w:rPr>
        <w:t xml:space="preserve"> </w:t>
      </w:r>
      <w:r w:rsidR="000D014A" w:rsidRPr="00CB2E9A">
        <w:rPr>
          <w:rFonts w:ascii="Times New Roman" w:hAnsi="Times New Roman"/>
          <w:sz w:val="24"/>
        </w:rPr>
        <w:t xml:space="preserve">113 [127], </w:t>
      </w:r>
      <w:r w:rsidR="006E1499" w:rsidRPr="00CB2E9A">
        <w:rPr>
          <w:rFonts w:ascii="Times New Roman" w:hAnsi="Times New Roman"/>
          <w:sz w:val="24"/>
        </w:rPr>
        <w:t>116</w:t>
      </w:r>
      <w:r w:rsidRPr="00CB2E9A">
        <w:rPr>
          <w:rFonts w:ascii="Times New Roman" w:hAnsi="Times New Roman"/>
          <w:sz w:val="24"/>
        </w:rPr>
        <w:t xml:space="preserve"> [138]</w:t>
      </w:r>
      <w:r w:rsidR="00DC4637" w:rsidRPr="00CB2E9A">
        <w:rPr>
          <w:rFonts w:ascii="Times New Roman" w:hAnsi="Times New Roman"/>
          <w:sz w:val="24"/>
        </w:rPr>
        <w:t xml:space="preserve">, </w:t>
      </w:r>
      <w:r w:rsidR="00C43548" w:rsidRPr="00CB2E9A">
        <w:rPr>
          <w:rFonts w:ascii="Times New Roman" w:hAnsi="Times New Roman"/>
          <w:sz w:val="24"/>
        </w:rPr>
        <w:t xml:space="preserve">116 </w:t>
      </w:r>
      <w:r w:rsidR="00DC4637" w:rsidRPr="00CB2E9A">
        <w:rPr>
          <w:rFonts w:ascii="Times New Roman" w:hAnsi="Times New Roman"/>
          <w:sz w:val="24"/>
        </w:rPr>
        <w:t xml:space="preserve">[139]-[140], </w:t>
      </w:r>
      <w:r w:rsidR="00C43548" w:rsidRPr="00CB2E9A">
        <w:rPr>
          <w:rFonts w:ascii="Times New Roman" w:hAnsi="Times New Roman"/>
          <w:sz w:val="24"/>
        </w:rPr>
        <w:t xml:space="preserve">120 </w:t>
      </w:r>
      <w:r w:rsidR="00DC4637" w:rsidRPr="00CB2E9A">
        <w:rPr>
          <w:rFonts w:ascii="Times New Roman" w:hAnsi="Times New Roman"/>
          <w:sz w:val="24"/>
        </w:rPr>
        <w:t>[160].</w:t>
      </w:r>
    </w:p>
  </w:footnote>
  <w:footnote w:id="5">
    <w:p w14:paraId="48B78100" w14:textId="0A1CDED1" w:rsidR="009C7779" w:rsidRPr="00CB2E9A" w:rsidRDefault="009C7779"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w:t>
      </w:r>
      <w:r w:rsidR="00DC0AAA" w:rsidRPr="00CB2E9A">
        <w:rPr>
          <w:rFonts w:ascii="Times New Roman" w:hAnsi="Times New Roman"/>
          <w:sz w:val="24"/>
        </w:rPr>
        <w:t>2022) 291 FCR 116.</w:t>
      </w:r>
    </w:p>
  </w:footnote>
  <w:footnote w:id="6">
    <w:p w14:paraId="129FE60D" w14:textId="36001B00" w:rsidR="00F66FEA" w:rsidRPr="00CB2E9A" w:rsidRDefault="00F66FEA"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A14B93" w:rsidRPr="00CB2E9A">
        <w:rPr>
          <w:rFonts w:ascii="Times New Roman" w:hAnsi="Times New Roman"/>
          <w:sz w:val="24"/>
        </w:rPr>
        <w:t xml:space="preserve">(2024) 114 NSWLR 81 </w:t>
      </w:r>
      <w:r w:rsidRPr="00CB2E9A">
        <w:rPr>
          <w:rFonts w:ascii="Times New Roman" w:hAnsi="Times New Roman"/>
          <w:sz w:val="24"/>
        </w:rPr>
        <w:t xml:space="preserve">at </w:t>
      </w:r>
      <w:r w:rsidR="00422F41" w:rsidRPr="00CB2E9A">
        <w:rPr>
          <w:rFonts w:ascii="Times New Roman" w:hAnsi="Times New Roman"/>
          <w:sz w:val="24"/>
        </w:rPr>
        <w:t>107-113</w:t>
      </w:r>
      <w:r w:rsidRPr="00CB2E9A">
        <w:rPr>
          <w:rFonts w:ascii="Times New Roman" w:hAnsi="Times New Roman"/>
          <w:sz w:val="24"/>
        </w:rPr>
        <w:t xml:space="preserve"> </w:t>
      </w:r>
      <w:r w:rsidR="00737FB1" w:rsidRPr="00CB2E9A">
        <w:rPr>
          <w:rFonts w:ascii="Times New Roman" w:hAnsi="Times New Roman"/>
          <w:sz w:val="24"/>
        </w:rPr>
        <w:t xml:space="preserve">[94]-[123], </w:t>
      </w:r>
      <w:r w:rsidR="00936EE4" w:rsidRPr="00CB2E9A">
        <w:rPr>
          <w:rFonts w:ascii="Times New Roman" w:hAnsi="Times New Roman"/>
          <w:sz w:val="24"/>
        </w:rPr>
        <w:t>113 [127</w:t>
      </w:r>
      <w:r w:rsidR="004A7C89" w:rsidRPr="00CB2E9A">
        <w:rPr>
          <w:rFonts w:ascii="Times New Roman" w:hAnsi="Times New Roman"/>
          <w:sz w:val="24"/>
        </w:rPr>
        <w:t xml:space="preserve">], </w:t>
      </w:r>
      <w:r w:rsidR="007F4C32" w:rsidRPr="00CB2E9A">
        <w:rPr>
          <w:rFonts w:ascii="Times New Roman" w:hAnsi="Times New Roman"/>
          <w:sz w:val="24"/>
        </w:rPr>
        <w:t xml:space="preserve">116 </w:t>
      </w:r>
      <w:r w:rsidR="00737FB1" w:rsidRPr="00CB2E9A">
        <w:rPr>
          <w:rFonts w:ascii="Times New Roman" w:hAnsi="Times New Roman"/>
          <w:sz w:val="24"/>
        </w:rPr>
        <w:t xml:space="preserve">[138], </w:t>
      </w:r>
      <w:r w:rsidR="000D3B4C" w:rsidRPr="00CB2E9A">
        <w:rPr>
          <w:rFonts w:ascii="Times New Roman" w:hAnsi="Times New Roman"/>
          <w:sz w:val="24"/>
        </w:rPr>
        <w:t xml:space="preserve">116 </w:t>
      </w:r>
      <w:r w:rsidR="00737FB1" w:rsidRPr="00CB2E9A">
        <w:rPr>
          <w:rFonts w:ascii="Times New Roman" w:hAnsi="Times New Roman"/>
          <w:sz w:val="24"/>
        </w:rPr>
        <w:t xml:space="preserve">[139], </w:t>
      </w:r>
      <w:r w:rsidR="009C3E22" w:rsidRPr="00CB2E9A">
        <w:rPr>
          <w:rFonts w:ascii="Times New Roman" w:hAnsi="Times New Roman"/>
          <w:sz w:val="24"/>
        </w:rPr>
        <w:t>116</w:t>
      </w:r>
      <w:r w:rsidR="00A24605">
        <w:rPr>
          <w:rFonts w:ascii="Times New Roman" w:hAnsi="Times New Roman"/>
          <w:sz w:val="24"/>
        </w:rPr>
        <w:noBreakHyphen/>
      </w:r>
      <w:r w:rsidR="00CD7633" w:rsidRPr="00CB2E9A">
        <w:rPr>
          <w:rFonts w:ascii="Times New Roman" w:hAnsi="Times New Roman"/>
          <w:sz w:val="24"/>
        </w:rPr>
        <w:t>120</w:t>
      </w:r>
      <w:r w:rsidR="009C3E22" w:rsidRPr="00CB2E9A">
        <w:rPr>
          <w:rFonts w:ascii="Times New Roman" w:hAnsi="Times New Roman"/>
          <w:sz w:val="24"/>
        </w:rPr>
        <w:t xml:space="preserve"> </w:t>
      </w:r>
      <w:r w:rsidR="003A321C" w:rsidRPr="00CB2E9A">
        <w:rPr>
          <w:rFonts w:ascii="Times New Roman" w:hAnsi="Times New Roman"/>
          <w:sz w:val="24"/>
        </w:rPr>
        <w:t xml:space="preserve">[141]-[159], </w:t>
      </w:r>
      <w:r w:rsidR="000D3B4C" w:rsidRPr="00CB2E9A">
        <w:rPr>
          <w:rFonts w:ascii="Times New Roman" w:hAnsi="Times New Roman"/>
          <w:sz w:val="24"/>
        </w:rPr>
        <w:t xml:space="preserve">120 </w:t>
      </w:r>
      <w:r w:rsidR="003A321C" w:rsidRPr="00CB2E9A">
        <w:rPr>
          <w:rFonts w:ascii="Times New Roman" w:hAnsi="Times New Roman"/>
          <w:sz w:val="24"/>
        </w:rPr>
        <w:t>[160].</w:t>
      </w:r>
    </w:p>
  </w:footnote>
  <w:footnote w:id="7">
    <w:p w14:paraId="06739BA8" w14:textId="73F5B879" w:rsidR="003F6A24" w:rsidRPr="00CB2E9A" w:rsidRDefault="003F6A24"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A14B93" w:rsidRPr="00CB2E9A">
        <w:rPr>
          <w:rFonts w:ascii="Times New Roman" w:hAnsi="Times New Roman"/>
          <w:sz w:val="24"/>
        </w:rPr>
        <w:t xml:space="preserve">(2024) 114 NSWLR 81 </w:t>
      </w:r>
      <w:r w:rsidRPr="00CB2E9A">
        <w:rPr>
          <w:rFonts w:ascii="Times New Roman" w:hAnsi="Times New Roman"/>
          <w:sz w:val="24"/>
        </w:rPr>
        <w:t xml:space="preserve">at </w:t>
      </w:r>
      <w:r w:rsidR="00D1490A" w:rsidRPr="00CB2E9A">
        <w:rPr>
          <w:rFonts w:ascii="Times New Roman" w:hAnsi="Times New Roman"/>
          <w:sz w:val="24"/>
        </w:rPr>
        <w:t>107</w:t>
      </w:r>
      <w:r w:rsidR="00F068A8" w:rsidRPr="00CB2E9A">
        <w:rPr>
          <w:rFonts w:ascii="Times New Roman" w:hAnsi="Times New Roman"/>
          <w:sz w:val="24"/>
        </w:rPr>
        <w:t xml:space="preserve">-112 </w:t>
      </w:r>
      <w:r w:rsidR="00D831E4" w:rsidRPr="00CB2E9A">
        <w:rPr>
          <w:rFonts w:ascii="Times New Roman" w:hAnsi="Times New Roman"/>
          <w:sz w:val="24"/>
        </w:rPr>
        <w:t>[</w:t>
      </w:r>
      <w:r w:rsidR="00CB5C7F" w:rsidRPr="00CB2E9A">
        <w:rPr>
          <w:rFonts w:ascii="Times New Roman" w:hAnsi="Times New Roman"/>
          <w:sz w:val="24"/>
        </w:rPr>
        <w:t>97</w:t>
      </w:r>
      <w:r w:rsidR="00D831E4" w:rsidRPr="00CB2E9A">
        <w:rPr>
          <w:rFonts w:ascii="Times New Roman" w:hAnsi="Times New Roman"/>
          <w:sz w:val="24"/>
        </w:rPr>
        <w:t xml:space="preserve">]-[117], </w:t>
      </w:r>
      <w:r w:rsidR="001D19C1" w:rsidRPr="00CB2E9A">
        <w:rPr>
          <w:rFonts w:ascii="Times New Roman" w:hAnsi="Times New Roman"/>
          <w:sz w:val="24"/>
        </w:rPr>
        <w:t xml:space="preserve">115 </w:t>
      </w:r>
      <w:r w:rsidR="0068253E" w:rsidRPr="00CB2E9A">
        <w:rPr>
          <w:rFonts w:ascii="Times New Roman" w:hAnsi="Times New Roman"/>
          <w:sz w:val="24"/>
        </w:rPr>
        <w:t xml:space="preserve">[136], </w:t>
      </w:r>
      <w:r w:rsidR="00973446" w:rsidRPr="00CB2E9A">
        <w:rPr>
          <w:rFonts w:ascii="Times New Roman" w:hAnsi="Times New Roman"/>
          <w:sz w:val="24"/>
        </w:rPr>
        <w:t xml:space="preserve">116 </w:t>
      </w:r>
      <w:r w:rsidR="00D831E4" w:rsidRPr="00CB2E9A">
        <w:rPr>
          <w:rFonts w:ascii="Times New Roman" w:hAnsi="Times New Roman"/>
          <w:sz w:val="24"/>
        </w:rPr>
        <w:t xml:space="preserve">[138], </w:t>
      </w:r>
      <w:r w:rsidR="00973446" w:rsidRPr="00CB2E9A">
        <w:rPr>
          <w:rFonts w:ascii="Times New Roman" w:hAnsi="Times New Roman"/>
          <w:sz w:val="24"/>
        </w:rPr>
        <w:t xml:space="preserve">116 </w:t>
      </w:r>
      <w:r w:rsidR="00CB5C7F" w:rsidRPr="00CB2E9A">
        <w:rPr>
          <w:rFonts w:ascii="Times New Roman" w:hAnsi="Times New Roman"/>
          <w:sz w:val="24"/>
        </w:rPr>
        <w:t xml:space="preserve">[139], </w:t>
      </w:r>
      <w:r w:rsidR="00973446" w:rsidRPr="00CB2E9A">
        <w:rPr>
          <w:rFonts w:ascii="Times New Roman" w:hAnsi="Times New Roman"/>
          <w:sz w:val="24"/>
        </w:rPr>
        <w:t>116</w:t>
      </w:r>
      <w:r w:rsidR="00A24605">
        <w:rPr>
          <w:rFonts w:ascii="Times New Roman" w:hAnsi="Times New Roman"/>
          <w:sz w:val="24"/>
        </w:rPr>
        <w:noBreakHyphen/>
      </w:r>
      <w:r w:rsidR="00973446" w:rsidRPr="00CB2E9A">
        <w:rPr>
          <w:rFonts w:ascii="Times New Roman" w:hAnsi="Times New Roman"/>
          <w:sz w:val="24"/>
        </w:rPr>
        <w:t xml:space="preserve">120 </w:t>
      </w:r>
      <w:r w:rsidR="0068253E" w:rsidRPr="00CB2E9A">
        <w:rPr>
          <w:rFonts w:ascii="Times New Roman" w:hAnsi="Times New Roman"/>
          <w:sz w:val="24"/>
        </w:rPr>
        <w:t xml:space="preserve">[141]-[158], </w:t>
      </w:r>
      <w:r w:rsidR="003020DB" w:rsidRPr="00CB2E9A">
        <w:rPr>
          <w:rFonts w:ascii="Times New Roman" w:hAnsi="Times New Roman"/>
          <w:sz w:val="24"/>
        </w:rPr>
        <w:t xml:space="preserve">120 </w:t>
      </w:r>
      <w:r w:rsidR="0068253E" w:rsidRPr="00CB2E9A">
        <w:rPr>
          <w:rFonts w:ascii="Times New Roman" w:hAnsi="Times New Roman"/>
          <w:sz w:val="24"/>
        </w:rPr>
        <w:t>[160]</w:t>
      </w:r>
      <w:r w:rsidR="000B75CE" w:rsidRPr="00CB2E9A">
        <w:rPr>
          <w:rFonts w:ascii="Times New Roman" w:hAnsi="Times New Roman"/>
          <w:sz w:val="24"/>
        </w:rPr>
        <w:t>; contra 113-115 [128]-[13</w:t>
      </w:r>
      <w:r w:rsidR="004D00E5" w:rsidRPr="00CB2E9A">
        <w:rPr>
          <w:rFonts w:ascii="Times New Roman" w:hAnsi="Times New Roman"/>
          <w:sz w:val="24"/>
        </w:rPr>
        <w:t>5</w:t>
      </w:r>
      <w:r w:rsidR="000B75CE" w:rsidRPr="00CB2E9A">
        <w:rPr>
          <w:rFonts w:ascii="Times New Roman" w:hAnsi="Times New Roman"/>
          <w:sz w:val="24"/>
        </w:rPr>
        <w:t>].</w:t>
      </w:r>
    </w:p>
  </w:footnote>
  <w:footnote w:id="8">
    <w:p w14:paraId="3D717BEC" w14:textId="60E498F6" w:rsidR="006A390C" w:rsidRPr="00CB2E9A" w:rsidRDefault="006A390C"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w:t>
      </w:r>
      <w:r w:rsidR="006B64C5" w:rsidRPr="00CB2E9A">
        <w:rPr>
          <w:rFonts w:ascii="Times New Roman" w:hAnsi="Times New Roman"/>
          <w:sz w:val="24"/>
        </w:rPr>
        <w:t>4</w:t>
      </w:r>
      <w:r w:rsidRPr="00CB2E9A">
        <w:rPr>
          <w:rFonts w:ascii="Times New Roman" w:hAnsi="Times New Roman"/>
          <w:sz w:val="24"/>
        </w:rPr>
        <w:t xml:space="preserve">) </w:t>
      </w:r>
      <w:r w:rsidR="006B64C5" w:rsidRPr="00CB2E9A">
        <w:rPr>
          <w:rFonts w:ascii="Times New Roman" w:hAnsi="Times New Roman"/>
          <w:sz w:val="24"/>
        </w:rPr>
        <w:t xml:space="preserve">114 </w:t>
      </w:r>
      <w:r w:rsidRPr="00CB2E9A">
        <w:rPr>
          <w:rFonts w:ascii="Times New Roman" w:hAnsi="Times New Roman"/>
          <w:sz w:val="24"/>
        </w:rPr>
        <w:t xml:space="preserve">NSWLR </w:t>
      </w:r>
      <w:r w:rsidR="006B64C5" w:rsidRPr="00CB2E9A">
        <w:rPr>
          <w:rFonts w:ascii="Times New Roman" w:hAnsi="Times New Roman"/>
          <w:sz w:val="24"/>
        </w:rPr>
        <w:t xml:space="preserve">81 </w:t>
      </w:r>
      <w:r w:rsidRPr="00CB2E9A">
        <w:rPr>
          <w:rFonts w:ascii="Times New Roman" w:hAnsi="Times New Roman"/>
          <w:sz w:val="24"/>
        </w:rPr>
        <w:t xml:space="preserve">at </w:t>
      </w:r>
      <w:r w:rsidR="006B64C5" w:rsidRPr="00CB2E9A">
        <w:rPr>
          <w:rFonts w:ascii="Times New Roman" w:hAnsi="Times New Roman"/>
          <w:sz w:val="24"/>
        </w:rPr>
        <w:t xml:space="preserve">85 </w:t>
      </w:r>
      <w:r w:rsidR="00E35232" w:rsidRPr="00CB2E9A">
        <w:rPr>
          <w:rFonts w:ascii="Times New Roman" w:hAnsi="Times New Roman"/>
          <w:sz w:val="24"/>
        </w:rPr>
        <w:t>[5].</w:t>
      </w:r>
    </w:p>
  </w:footnote>
  <w:footnote w:id="9">
    <w:p w14:paraId="06585EE7" w14:textId="6710B393" w:rsidR="00135E8C" w:rsidRPr="00CB2E9A" w:rsidRDefault="00135E8C"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w:t>
      </w:r>
      <w:r w:rsidR="005A30CA" w:rsidRPr="00CB2E9A">
        <w:rPr>
          <w:rFonts w:ascii="Times New Roman" w:hAnsi="Times New Roman"/>
          <w:sz w:val="24"/>
        </w:rPr>
        <w:t>2024</w:t>
      </w:r>
      <w:r w:rsidRPr="00CB2E9A">
        <w:rPr>
          <w:rFonts w:ascii="Times New Roman" w:hAnsi="Times New Roman"/>
          <w:sz w:val="24"/>
        </w:rPr>
        <w:t xml:space="preserve">) </w:t>
      </w:r>
      <w:r w:rsidR="005A30CA" w:rsidRPr="00CB2E9A">
        <w:rPr>
          <w:rFonts w:ascii="Times New Roman" w:hAnsi="Times New Roman"/>
          <w:sz w:val="24"/>
        </w:rPr>
        <w:t xml:space="preserve">114 </w:t>
      </w:r>
      <w:r w:rsidRPr="00CB2E9A">
        <w:rPr>
          <w:rFonts w:ascii="Times New Roman" w:hAnsi="Times New Roman"/>
          <w:sz w:val="24"/>
        </w:rPr>
        <w:t xml:space="preserve">NSWLR </w:t>
      </w:r>
      <w:r w:rsidR="005A30CA" w:rsidRPr="00CB2E9A">
        <w:rPr>
          <w:rFonts w:ascii="Times New Roman" w:hAnsi="Times New Roman"/>
          <w:sz w:val="24"/>
        </w:rPr>
        <w:t xml:space="preserve">81 </w:t>
      </w:r>
      <w:r w:rsidRPr="00CB2E9A">
        <w:rPr>
          <w:rFonts w:ascii="Times New Roman" w:hAnsi="Times New Roman"/>
          <w:sz w:val="24"/>
        </w:rPr>
        <w:t xml:space="preserve">at </w:t>
      </w:r>
      <w:r w:rsidR="005A30CA" w:rsidRPr="00CB2E9A">
        <w:rPr>
          <w:rFonts w:ascii="Times New Roman" w:hAnsi="Times New Roman"/>
          <w:sz w:val="24"/>
        </w:rPr>
        <w:t xml:space="preserve">87 </w:t>
      </w:r>
      <w:r w:rsidRPr="00CB2E9A">
        <w:rPr>
          <w:rFonts w:ascii="Times New Roman" w:hAnsi="Times New Roman"/>
          <w:sz w:val="24"/>
        </w:rPr>
        <w:t>[12]</w:t>
      </w:r>
      <w:r w:rsidR="0097636B" w:rsidRPr="00CB2E9A">
        <w:rPr>
          <w:rFonts w:ascii="Times New Roman" w:hAnsi="Times New Roman"/>
          <w:sz w:val="24"/>
        </w:rPr>
        <w:t xml:space="preserve"> (emphasis in original)</w:t>
      </w:r>
      <w:r w:rsidRPr="00CB2E9A">
        <w:rPr>
          <w:rFonts w:ascii="Times New Roman" w:hAnsi="Times New Roman"/>
          <w:sz w:val="24"/>
        </w:rPr>
        <w:t>.</w:t>
      </w:r>
    </w:p>
  </w:footnote>
  <w:footnote w:id="10">
    <w:p w14:paraId="6B4CA1CB" w14:textId="09496FAC" w:rsidR="00EF6FBB" w:rsidRPr="00CB2E9A" w:rsidRDefault="00EF6FBB" w:rsidP="00CB2E9A">
      <w:pPr>
        <w:pStyle w:val="FootnoteText"/>
        <w:tabs>
          <w:tab w:val="clear" w:pos="720"/>
          <w:tab w:val="clear" w:pos="2160"/>
          <w:tab w:val="clear" w:pos="2880"/>
          <w:tab w:val="clear" w:pos="3600"/>
          <w:tab w:val="clear" w:pos="4320"/>
          <w:tab w:val="clear" w:pos="5040"/>
          <w:tab w:val="clear" w:pos="5760"/>
          <w:tab w:val="clear" w:pos="6480"/>
          <w:tab w:val="clear" w:pos="7200"/>
        </w:tabs>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C67C01" w:rsidRPr="00CB2E9A">
        <w:rPr>
          <w:rFonts w:ascii="Times New Roman" w:hAnsi="Times New Roman"/>
          <w:sz w:val="24"/>
        </w:rPr>
        <w:t>(2019) 269 CLR 574.</w:t>
      </w:r>
    </w:p>
  </w:footnote>
  <w:footnote w:id="11">
    <w:p w14:paraId="1BB80F6E" w14:textId="26F1A144" w:rsidR="00287CCF" w:rsidRPr="00CB2E9A" w:rsidRDefault="00287CCF"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(2019) 269 CLR 574 at 588 [1]</w:t>
      </w:r>
      <w:r w:rsidR="00C3297B" w:rsidRPr="00CB2E9A">
        <w:rPr>
          <w:rFonts w:ascii="Times New Roman" w:hAnsi="Times New Roman"/>
          <w:sz w:val="24"/>
        </w:rPr>
        <w:t>, 589 [3]</w:t>
      </w:r>
      <w:r w:rsidR="002E4184" w:rsidRPr="00CB2E9A">
        <w:rPr>
          <w:rFonts w:ascii="Times New Roman" w:hAnsi="Times New Roman"/>
          <w:sz w:val="24"/>
        </w:rPr>
        <w:t>, 624 [125]</w:t>
      </w:r>
      <w:r w:rsidR="004442C5" w:rsidRPr="00CB2E9A">
        <w:rPr>
          <w:rFonts w:ascii="Times New Roman" w:hAnsi="Times New Roman"/>
          <w:sz w:val="24"/>
        </w:rPr>
        <w:t>, 628 [135]</w:t>
      </w:r>
      <w:r w:rsidRPr="00CB2E9A">
        <w:rPr>
          <w:rFonts w:ascii="Times New Roman" w:hAnsi="Times New Roman"/>
          <w:sz w:val="24"/>
        </w:rPr>
        <w:t xml:space="preserve">. </w:t>
      </w:r>
    </w:p>
  </w:footnote>
  <w:footnote w:id="12">
    <w:p w14:paraId="511299FB" w14:textId="2B83511D" w:rsidR="001424EF" w:rsidRPr="00CB2E9A" w:rsidRDefault="001424EF"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(2019) 269 CLR 574 at 599 [47]</w:t>
      </w:r>
      <w:r w:rsidR="00DC116E" w:rsidRPr="00CB2E9A">
        <w:rPr>
          <w:rFonts w:ascii="Times New Roman" w:hAnsi="Times New Roman"/>
          <w:sz w:val="24"/>
        </w:rPr>
        <w:t>. See also</w:t>
      </w:r>
      <w:r w:rsidR="009A179D" w:rsidRPr="00CB2E9A">
        <w:rPr>
          <w:rFonts w:ascii="Times New Roman" w:hAnsi="Times New Roman"/>
          <w:sz w:val="24"/>
        </w:rPr>
        <w:t xml:space="preserve"> 624-625 [125]-[12</w:t>
      </w:r>
      <w:r w:rsidR="009937F7" w:rsidRPr="00CB2E9A">
        <w:rPr>
          <w:rFonts w:ascii="Times New Roman" w:hAnsi="Times New Roman"/>
          <w:sz w:val="24"/>
        </w:rPr>
        <w:t>7</w:t>
      </w:r>
      <w:r w:rsidR="009A179D" w:rsidRPr="00CB2E9A">
        <w:rPr>
          <w:rFonts w:ascii="Times New Roman" w:hAnsi="Times New Roman"/>
          <w:sz w:val="24"/>
        </w:rPr>
        <w:t>]</w:t>
      </w:r>
      <w:r w:rsidR="002316FB" w:rsidRPr="00CB2E9A">
        <w:rPr>
          <w:rFonts w:ascii="Times New Roman" w:hAnsi="Times New Roman"/>
          <w:sz w:val="24"/>
        </w:rPr>
        <w:t xml:space="preserve">, </w:t>
      </w:r>
      <w:r w:rsidR="00540EBA" w:rsidRPr="00CB2E9A">
        <w:rPr>
          <w:rFonts w:ascii="Times New Roman" w:hAnsi="Times New Roman"/>
          <w:sz w:val="24"/>
        </w:rPr>
        <w:t>631</w:t>
      </w:r>
      <w:r w:rsidR="00BF3BFE" w:rsidRPr="00CB2E9A">
        <w:rPr>
          <w:rFonts w:ascii="Times New Roman" w:hAnsi="Times New Roman"/>
          <w:sz w:val="24"/>
        </w:rPr>
        <w:t>-632</w:t>
      </w:r>
      <w:r w:rsidR="00540EBA" w:rsidRPr="00CB2E9A">
        <w:rPr>
          <w:rFonts w:ascii="Times New Roman" w:hAnsi="Times New Roman"/>
          <w:sz w:val="24"/>
        </w:rPr>
        <w:t xml:space="preserve"> [146]</w:t>
      </w:r>
      <w:r w:rsidR="00E27324">
        <w:rPr>
          <w:rFonts w:ascii="Times New Roman" w:hAnsi="Times New Roman"/>
          <w:sz w:val="24"/>
        </w:rPr>
        <w:noBreakHyphen/>
      </w:r>
      <w:r w:rsidR="00BF3BFE" w:rsidRPr="00CB2E9A">
        <w:rPr>
          <w:rFonts w:ascii="Times New Roman" w:hAnsi="Times New Roman"/>
          <w:sz w:val="24"/>
        </w:rPr>
        <w:t>[148]</w:t>
      </w:r>
      <w:r w:rsidRPr="00CB2E9A">
        <w:rPr>
          <w:rFonts w:ascii="Times New Roman" w:hAnsi="Times New Roman"/>
          <w:sz w:val="24"/>
        </w:rPr>
        <w:t>.</w:t>
      </w:r>
    </w:p>
  </w:footnote>
  <w:footnote w:id="13">
    <w:p w14:paraId="5A45C0A4" w14:textId="4B471968" w:rsidR="00A81625" w:rsidRPr="00CB2E9A" w:rsidRDefault="00A81625"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3B4E05" w:rsidRPr="00CB2E9A">
        <w:rPr>
          <w:rFonts w:ascii="Times New Roman" w:hAnsi="Times New Roman"/>
          <w:sz w:val="24"/>
        </w:rPr>
        <w:t>(2019) 269 CLR 574 at 600 [49]-[50].</w:t>
      </w:r>
      <w:r w:rsidR="002316FB" w:rsidRPr="00CB2E9A">
        <w:rPr>
          <w:rFonts w:ascii="Times New Roman" w:hAnsi="Times New Roman"/>
          <w:sz w:val="24"/>
        </w:rPr>
        <w:t xml:space="preserve"> See also 624-625 [125]-[127], </w:t>
      </w:r>
      <w:r w:rsidR="00BF7001" w:rsidRPr="00CB2E9A">
        <w:rPr>
          <w:rFonts w:ascii="Times New Roman" w:hAnsi="Times New Roman"/>
          <w:sz w:val="24"/>
        </w:rPr>
        <w:t xml:space="preserve">633 </w:t>
      </w:r>
      <w:r w:rsidR="006108B3" w:rsidRPr="00CB2E9A">
        <w:rPr>
          <w:rFonts w:ascii="Times New Roman" w:hAnsi="Times New Roman"/>
          <w:sz w:val="24"/>
        </w:rPr>
        <w:t xml:space="preserve">[153]. </w:t>
      </w:r>
    </w:p>
  </w:footnote>
  <w:footnote w:id="14">
    <w:p w14:paraId="5B3EFB99" w14:textId="1B7C7661" w:rsidR="005E263E" w:rsidRPr="00CB2E9A" w:rsidRDefault="005E263E"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F1513F" w:rsidRPr="00CB2E9A">
        <w:rPr>
          <w:rFonts w:ascii="Times New Roman" w:hAnsi="Times New Roman"/>
          <w:sz w:val="24"/>
        </w:rPr>
        <w:t>(</w:t>
      </w:r>
      <w:r w:rsidR="000A0CD4" w:rsidRPr="00CB2E9A">
        <w:rPr>
          <w:rFonts w:ascii="Times New Roman" w:hAnsi="Times New Roman"/>
          <w:sz w:val="24"/>
        </w:rPr>
        <w:t>2019) 269 CLR 574 at 601 [52].</w:t>
      </w:r>
    </w:p>
  </w:footnote>
  <w:footnote w:id="15">
    <w:p w14:paraId="05484D08" w14:textId="6A61AC4B" w:rsidR="00F1513F" w:rsidRPr="00CB2E9A" w:rsidRDefault="00F1513F"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(2019) 269 CLR 574 at 601 [53].</w:t>
      </w:r>
      <w:r w:rsidR="00C34174" w:rsidRPr="00CB2E9A">
        <w:rPr>
          <w:rFonts w:ascii="Times New Roman" w:hAnsi="Times New Roman"/>
          <w:sz w:val="24"/>
        </w:rPr>
        <w:t xml:space="preserve"> See also 633</w:t>
      </w:r>
      <w:r w:rsidR="002D2413" w:rsidRPr="00CB2E9A">
        <w:rPr>
          <w:rFonts w:ascii="Times New Roman" w:hAnsi="Times New Roman"/>
          <w:sz w:val="24"/>
        </w:rPr>
        <w:t>-634</w:t>
      </w:r>
      <w:r w:rsidR="00C34174" w:rsidRPr="00CB2E9A">
        <w:rPr>
          <w:rFonts w:ascii="Times New Roman" w:hAnsi="Times New Roman"/>
          <w:sz w:val="24"/>
        </w:rPr>
        <w:t xml:space="preserve"> [154]</w:t>
      </w:r>
      <w:r w:rsidR="002D2413" w:rsidRPr="00CB2E9A">
        <w:rPr>
          <w:rFonts w:ascii="Times New Roman" w:hAnsi="Times New Roman"/>
          <w:sz w:val="24"/>
        </w:rPr>
        <w:t>-[155]</w:t>
      </w:r>
      <w:r w:rsidR="00C34174" w:rsidRPr="00CB2E9A">
        <w:rPr>
          <w:rFonts w:ascii="Times New Roman" w:hAnsi="Times New Roman"/>
          <w:sz w:val="24"/>
        </w:rPr>
        <w:t xml:space="preserve">. </w:t>
      </w:r>
    </w:p>
  </w:footnote>
  <w:footnote w:id="16">
    <w:p w14:paraId="5FF3D4AF" w14:textId="0B6AE466" w:rsidR="00B4625B" w:rsidRPr="00CB2E9A" w:rsidRDefault="00B4625B"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(2019) 269 CLR 574 at </w:t>
      </w:r>
      <w:r w:rsidR="00991F15" w:rsidRPr="00CB2E9A">
        <w:rPr>
          <w:rFonts w:ascii="Times New Roman" w:hAnsi="Times New Roman"/>
          <w:sz w:val="24"/>
        </w:rPr>
        <w:t>603 [60</w:t>
      </w:r>
      <w:r w:rsidR="00852B64" w:rsidRPr="00CB2E9A">
        <w:rPr>
          <w:rFonts w:ascii="Times New Roman" w:hAnsi="Times New Roman"/>
          <w:sz w:val="24"/>
        </w:rPr>
        <w:t xml:space="preserve">], </w:t>
      </w:r>
      <w:r w:rsidRPr="00CB2E9A">
        <w:rPr>
          <w:rFonts w:ascii="Times New Roman" w:hAnsi="Times New Roman"/>
          <w:sz w:val="24"/>
        </w:rPr>
        <w:t>605</w:t>
      </w:r>
      <w:r w:rsidR="00CA6CB2" w:rsidRPr="00CB2E9A">
        <w:rPr>
          <w:rFonts w:ascii="Times New Roman" w:hAnsi="Times New Roman"/>
          <w:sz w:val="24"/>
        </w:rPr>
        <w:t>-606</w:t>
      </w:r>
      <w:r w:rsidRPr="00CB2E9A">
        <w:rPr>
          <w:rFonts w:ascii="Times New Roman" w:hAnsi="Times New Roman"/>
          <w:sz w:val="24"/>
        </w:rPr>
        <w:t xml:space="preserve"> [69]</w:t>
      </w:r>
      <w:r w:rsidR="00CA6CB2" w:rsidRPr="00CB2E9A">
        <w:rPr>
          <w:rFonts w:ascii="Times New Roman" w:hAnsi="Times New Roman"/>
          <w:sz w:val="24"/>
        </w:rPr>
        <w:t>-[70].</w:t>
      </w:r>
      <w:r w:rsidR="00A018F7" w:rsidRPr="00CB2E9A">
        <w:rPr>
          <w:rFonts w:ascii="Times New Roman" w:hAnsi="Times New Roman"/>
          <w:sz w:val="24"/>
        </w:rPr>
        <w:t xml:space="preserve"> </w:t>
      </w:r>
      <w:r w:rsidR="00FF2965" w:rsidRPr="00CB2E9A">
        <w:rPr>
          <w:rFonts w:ascii="Times New Roman" w:hAnsi="Times New Roman"/>
          <w:sz w:val="24"/>
        </w:rPr>
        <w:t>Se</w:t>
      </w:r>
      <w:r w:rsidR="0080387E" w:rsidRPr="00CB2E9A">
        <w:rPr>
          <w:rFonts w:ascii="Times New Roman" w:hAnsi="Times New Roman"/>
          <w:sz w:val="24"/>
        </w:rPr>
        <w:t>e</w:t>
      </w:r>
      <w:r w:rsidR="00FF2965" w:rsidRPr="00CB2E9A">
        <w:rPr>
          <w:rFonts w:ascii="Times New Roman" w:hAnsi="Times New Roman"/>
          <w:sz w:val="24"/>
        </w:rPr>
        <w:t xml:space="preserve"> also </w:t>
      </w:r>
      <w:r w:rsidR="009B180C" w:rsidRPr="00CB2E9A">
        <w:rPr>
          <w:rFonts w:ascii="Times New Roman" w:hAnsi="Times New Roman"/>
          <w:sz w:val="24"/>
        </w:rPr>
        <w:t>624 [124]</w:t>
      </w:r>
      <w:r w:rsidR="00697243" w:rsidRPr="00CB2E9A">
        <w:rPr>
          <w:rFonts w:ascii="Times New Roman" w:hAnsi="Times New Roman"/>
          <w:sz w:val="24"/>
        </w:rPr>
        <w:t>-[125</w:t>
      </w:r>
      <w:r w:rsidR="00DB2466" w:rsidRPr="00CB2E9A">
        <w:rPr>
          <w:rFonts w:ascii="Times New Roman" w:hAnsi="Times New Roman"/>
          <w:sz w:val="24"/>
        </w:rPr>
        <w:t>]</w:t>
      </w:r>
      <w:r w:rsidR="009B180C" w:rsidRPr="00CB2E9A">
        <w:rPr>
          <w:rFonts w:ascii="Times New Roman" w:hAnsi="Times New Roman"/>
          <w:sz w:val="24"/>
        </w:rPr>
        <w:t xml:space="preserve">, </w:t>
      </w:r>
      <w:r w:rsidR="004B168A" w:rsidRPr="00CB2E9A">
        <w:rPr>
          <w:rFonts w:ascii="Times New Roman" w:hAnsi="Times New Roman"/>
          <w:sz w:val="24"/>
        </w:rPr>
        <w:t>631 [1</w:t>
      </w:r>
      <w:r w:rsidR="00E92D95" w:rsidRPr="00CB2E9A">
        <w:rPr>
          <w:rFonts w:ascii="Times New Roman" w:hAnsi="Times New Roman"/>
          <w:sz w:val="24"/>
        </w:rPr>
        <w:t xml:space="preserve">45], </w:t>
      </w:r>
      <w:r w:rsidR="003E48FD" w:rsidRPr="00CB2E9A">
        <w:rPr>
          <w:rFonts w:ascii="Times New Roman" w:hAnsi="Times New Roman"/>
          <w:sz w:val="24"/>
        </w:rPr>
        <w:t xml:space="preserve">632 [147]. </w:t>
      </w:r>
    </w:p>
  </w:footnote>
  <w:footnote w:id="17">
    <w:p w14:paraId="0BCCDFA4" w14:textId="5AAF1CF0" w:rsidR="003E13B8" w:rsidRPr="00CB2E9A" w:rsidRDefault="003E13B8"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(2019) 269 CLR 574 at 603 [</w:t>
      </w:r>
      <w:r w:rsidR="003E5F54" w:rsidRPr="00CB2E9A">
        <w:rPr>
          <w:rFonts w:ascii="Times New Roman" w:hAnsi="Times New Roman"/>
          <w:sz w:val="24"/>
        </w:rPr>
        <w:t>60].</w:t>
      </w:r>
    </w:p>
  </w:footnote>
  <w:footnote w:id="18">
    <w:p w14:paraId="11D52E79" w14:textId="3AF64A86" w:rsidR="003F3682" w:rsidRPr="00CB2E9A" w:rsidRDefault="003F3682"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(2019) 269 CLR 574 at </w:t>
      </w:r>
      <w:r w:rsidR="00982B93" w:rsidRPr="00CB2E9A">
        <w:rPr>
          <w:rFonts w:ascii="Times New Roman" w:hAnsi="Times New Roman"/>
          <w:sz w:val="24"/>
        </w:rPr>
        <w:t>604-</w:t>
      </w:r>
      <w:r w:rsidRPr="00CB2E9A">
        <w:rPr>
          <w:rFonts w:ascii="Times New Roman" w:hAnsi="Times New Roman"/>
          <w:sz w:val="24"/>
        </w:rPr>
        <w:t>605 [</w:t>
      </w:r>
      <w:r w:rsidR="00982B93" w:rsidRPr="00CB2E9A">
        <w:rPr>
          <w:rFonts w:ascii="Times New Roman" w:hAnsi="Times New Roman"/>
          <w:sz w:val="24"/>
        </w:rPr>
        <w:t>66]-[67].</w:t>
      </w:r>
    </w:p>
  </w:footnote>
  <w:footnote w:id="19">
    <w:p w14:paraId="4C9CB7B2" w14:textId="72C79946" w:rsidR="00305B53" w:rsidRPr="00CB2E9A" w:rsidRDefault="00305B53"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(2019) 269 CLR 574 at </w:t>
      </w:r>
      <w:r w:rsidR="00D868ED" w:rsidRPr="00CB2E9A">
        <w:rPr>
          <w:rFonts w:ascii="Times New Roman" w:hAnsi="Times New Roman"/>
          <w:sz w:val="24"/>
        </w:rPr>
        <w:t>605 [68]</w:t>
      </w:r>
      <w:r w:rsidR="00944C87" w:rsidRPr="00CB2E9A">
        <w:rPr>
          <w:rFonts w:ascii="Times New Roman" w:hAnsi="Times New Roman"/>
          <w:sz w:val="24"/>
        </w:rPr>
        <w:t>-[69]</w:t>
      </w:r>
      <w:r w:rsidR="00D868ED" w:rsidRPr="00CB2E9A">
        <w:rPr>
          <w:rFonts w:ascii="Times New Roman" w:hAnsi="Times New Roman"/>
          <w:sz w:val="24"/>
        </w:rPr>
        <w:t xml:space="preserve">, </w:t>
      </w:r>
      <w:r w:rsidRPr="00CB2E9A">
        <w:rPr>
          <w:rFonts w:ascii="Times New Roman" w:hAnsi="Times New Roman"/>
          <w:sz w:val="24"/>
        </w:rPr>
        <w:t>607 [75].</w:t>
      </w:r>
      <w:r w:rsidR="007871E5" w:rsidRPr="00CB2E9A">
        <w:rPr>
          <w:rFonts w:ascii="Times New Roman" w:hAnsi="Times New Roman"/>
          <w:sz w:val="24"/>
        </w:rPr>
        <w:t xml:space="preserve"> See also </w:t>
      </w:r>
      <w:r w:rsidR="00F15D40" w:rsidRPr="00CB2E9A">
        <w:rPr>
          <w:rFonts w:ascii="Times New Roman" w:hAnsi="Times New Roman"/>
          <w:sz w:val="24"/>
        </w:rPr>
        <w:t>624 [124]</w:t>
      </w:r>
      <w:r w:rsidR="00BA68A1" w:rsidRPr="00CB2E9A">
        <w:rPr>
          <w:rFonts w:ascii="Times New Roman" w:hAnsi="Times New Roman"/>
          <w:sz w:val="24"/>
        </w:rPr>
        <w:t>, 630 [141],</w:t>
      </w:r>
      <w:r w:rsidR="00F15D40" w:rsidRPr="00CB2E9A">
        <w:rPr>
          <w:rFonts w:ascii="Times New Roman" w:hAnsi="Times New Roman"/>
          <w:sz w:val="24"/>
        </w:rPr>
        <w:t xml:space="preserve"> </w:t>
      </w:r>
      <w:r w:rsidR="007871E5" w:rsidRPr="00CB2E9A">
        <w:rPr>
          <w:rFonts w:ascii="Times New Roman" w:hAnsi="Times New Roman"/>
          <w:sz w:val="24"/>
        </w:rPr>
        <w:t xml:space="preserve">632 [147]. </w:t>
      </w:r>
    </w:p>
  </w:footnote>
  <w:footnote w:id="20">
    <w:p w14:paraId="67CB0B05" w14:textId="2E8B7F43" w:rsidR="00362107" w:rsidRPr="00CB2E9A" w:rsidRDefault="00362107"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(2019) 269 CLR 574 at </w:t>
      </w:r>
      <w:r w:rsidR="003E5066" w:rsidRPr="00CB2E9A">
        <w:rPr>
          <w:rFonts w:ascii="Times New Roman" w:hAnsi="Times New Roman"/>
          <w:sz w:val="24"/>
        </w:rPr>
        <w:t>606 [70].</w:t>
      </w:r>
    </w:p>
  </w:footnote>
  <w:footnote w:id="21">
    <w:p w14:paraId="733BFB94" w14:textId="125F52BE" w:rsidR="00E03DE4" w:rsidRPr="00CB2E9A" w:rsidRDefault="00E03DE4"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(2019) 269 CLR 574 at 607 [73]</w:t>
      </w:r>
      <w:r w:rsidR="006414E6" w:rsidRPr="00CB2E9A">
        <w:rPr>
          <w:rFonts w:ascii="Times New Roman" w:hAnsi="Times New Roman"/>
          <w:sz w:val="24"/>
        </w:rPr>
        <w:t xml:space="preserve"> (</w:t>
      </w:r>
      <w:r w:rsidR="00FD351A" w:rsidRPr="00CB2E9A">
        <w:rPr>
          <w:rFonts w:ascii="Times New Roman" w:hAnsi="Times New Roman"/>
          <w:sz w:val="24"/>
        </w:rPr>
        <w:t xml:space="preserve">footnotes </w:t>
      </w:r>
      <w:r w:rsidR="006414E6" w:rsidRPr="00CB2E9A">
        <w:rPr>
          <w:rFonts w:ascii="Times New Roman" w:hAnsi="Times New Roman"/>
          <w:sz w:val="24"/>
        </w:rPr>
        <w:t>omitted),</w:t>
      </w:r>
      <w:r w:rsidRPr="00CB2E9A">
        <w:rPr>
          <w:rFonts w:ascii="Times New Roman" w:hAnsi="Times New Roman"/>
          <w:sz w:val="24"/>
        </w:rPr>
        <w:t xml:space="preserve"> referring to </w:t>
      </w:r>
      <w:r w:rsidR="00940E45" w:rsidRPr="00CB2E9A">
        <w:rPr>
          <w:rFonts w:ascii="Times New Roman" w:hAnsi="Times New Roman"/>
          <w:i/>
          <w:iCs/>
          <w:sz w:val="24"/>
        </w:rPr>
        <w:t>Mobil Oil Australia Pty Ltd v Victoria</w:t>
      </w:r>
      <w:r w:rsidR="00940E45" w:rsidRPr="00CB2E9A">
        <w:rPr>
          <w:rFonts w:ascii="Times New Roman" w:hAnsi="Times New Roman"/>
          <w:sz w:val="24"/>
        </w:rPr>
        <w:t xml:space="preserve"> (2002) 211 CLR 1 at 31-32 [38]-[40] and quoting </w:t>
      </w:r>
      <w:r w:rsidR="00940E45" w:rsidRPr="00CB2E9A">
        <w:rPr>
          <w:rFonts w:ascii="Times New Roman" w:hAnsi="Times New Roman"/>
          <w:i/>
          <w:iCs/>
          <w:sz w:val="24"/>
        </w:rPr>
        <w:t>P Dawson Nominees Pty Ltd v Brookfield Multiplex Ltd</w:t>
      </w:r>
      <w:r w:rsidR="00940E45" w:rsidRPr="00CB2E9A">
        <w:rPr>
          <w:rFonts w:ascii="Times New Roman" w:hAnsi="Times New Roman"/>
          <w:sz w:val="24"/>
        </w:rPr>
        <w:t xml:space="preserve"> </w:t>
      </w:r>
      <w:r w:rsidR="00940E45" w:rsidRPr="00CB2E9A">
        <w:rPr>
          <w:rFonts w:ascii="Times New Roman" w:hAnsi="Times New Roman"/>
          <w:i/>
          <w:iCs/>
          <w:sz w:val="24"/>
        </w:rPr>
        <w:t>[No 2]</w:t>
      </w:r>
      <w:r w:rsidR="00940E45" w:rsidRPr="00CB2E9A">
        <w:rPr>
          <w:rFonts w:ascii="Times New Roman" w:hAnsi="Times New Roman"/>
          <w:sz w:val="24"/>
        </w:rPr>
        <w:t xml:space="preserve"> [2010] FCA 176 at [31].</w:t>
      </w:r>
    </w:p>
  </w:footnote>
  <w:footnote w:id="22">
    <w:p w14:paraId="38A0FD2E" w14:textId="7E2665AA" w:rsidR="003253F0" w:rsidRPr="00CB2E9A" w:rsidRDefault="003253F0"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(2002) 211 CLR 1</w:t>
      </w:r>
      <w:r w:rsidR="00444668" w:rsidRPr="00CB2E9A">
        <w:rPr>
          <w:rFonts w:ascii="Times New Roman" w:hAnsi="Times New Roman"/>
          <w:sz w:val="24"/>
        </w:rPr>
        <w:t xml:space="preserve"> at 31-32 [38]-[40]</w:t>
      </w:r>
      <w:r w:rsidRPr="00CB2E9A">
        <w:rPr>
          <w:rFonts w:ascii="Times New Roman" w:hAnsi="Times New Roman"/>
          <w:sz w:val="24"/>
        </w:rPr>
        <w:t>.</w:t>
      </w:r>
    </w:p>
  </w:footnote>
  <w:footnote w:id="23">
    <w:p w14:paraId="0F3B5FBB" w14:textId="21E83A1B" w:rsidR="0045032A" w:rsidRPr="00CB2E9A" w:rsidRDefault="0045032A"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(2002) 211 CLR 1 at </w:t>
      </w:r>
      <w:r w:rsidR="000F30A5" w:rsidRPr="00CB2E9A">
        <w:rPr>
          <w:rFonts w:ascii="Times New Roman" w:hAnsi="Times New Roman"/>
          <w:sz w:val="24"/>
        </w:rPr>
        <w:t>32 [40].</w:t>
      </w:r>
    </w:p>
  </w:footnote>
  <w:footnote w:id="24">
    <w:p w14:paraId="4CED476E" w14:textId="7C6B1448" w:rsidR="000F30A5" w:rsidRPr="00CB2E9A" w:rsidRDefault="000F30A5"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(2019) 269 CLR 574 at 607 [73].</w:t>
      </w:r>
    </w:p>
  </w:footnote>
  <w:footnote w:id="25">
    <w:p w14:paraId="6EA362E2" w14:textId="3895941A" w:rsidR="003C1E05" w:rsidRPr="00CB2E9A" w:rsidRDefault="003C1E05"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301D57" w:rsidRPr="00CB2E9A">
        <w:rPr>
          <w:rFonts w:ascii="Times New Roman" w:hAnsi="Times New Roman"/>
          <w:sz w:val="24"/>
        </w:rPr>
        <w:t>(2020) 101 NSWLR 890.</w:t>
      </w:r>
    </w:p>
  </w:footnote>
  <w:footnote w:id="26">
    <w:p w14:paraId="316668A7" w14:textId="3F423FB6" w:rsidR="005338CD" w:rsidRPr="00CB2E9A" w:rsidRDefault="005338CD"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(2020) 101 NSWLR 890 </w:t>
      </w:r>
      <w:r w:rsidR="00FB5556" w:rsidRPr="00CB2E9A">
        <w:rPr>
          <w:rFonts w:ascii="Times New Roman" w:hAnsi="Times New Roman"/>
          <w:sz w:val="24"/>
        </w:rPr>
        <w:t xml:space="preserve">at </w:t>
      </w:r>
      <w:r w:rsidR="003E1311" w:rsidRPr="00CB2E9A">
        <w:rPr>
          <w:rFonts w:ascii="Times New Roman" w:hAnsi="Times New Roman"/>
          <w:sz w:val="24"/>
        </w:rPr>
        <w:t xml:space="preserve">892 [1], </w:t>
      </w:r>
      <w:r w:rsidR="00A40FEB" w:rsidRPr="00CB2E9A">
        <w:rPr>
          <w:rFonts w:ascii="Times New Roman" w:hAnsi="Times New Roman"/>
          <w:sz w:val="24"/>
        </w:rPr>
        <w:t xml:space="preserve">896 [19], 896 [20], </w:t>
      </w:r>
      <w:r w:rsidR="00FB5556" w:rsidRPr="00CB2E9A">
        <w:rPr>
          <w:rFonts w:ascii="Times New Roman" w:hAnsi="Times New Roman"/>
          <w:sz w:val="24"/>
        </w:rPr>
        <w:t>897 [26]</w:t>
      </w:r>
      <w:r w:rsidR="00787729" w:rsidRPr="00CB2E9A">
        <w:rPr>
          <w:rFonts w:ascii="Times New Roman" w:hAnsi="Times New Roman"/>
          <w:sz w:val="24"/>
        </w:rPr>
        <w:t>, 917 [114]</w:t>
      </w:r>
      <w:r w:rsidR="007B1E2E" w:rsidRPr="00CB2E9A">
        <w:rPr>
          <w:rFonts w:ascii="Times New Roman" w:hAnsi="Times New Roman"/>
          <w:sz w:val="24"/>
        </w:rPr>
        <w:t>, 922 [138]</w:t>
      </w:r>
      <w:r w:rsidR="00FB5556" w:rsidRPr="00CB2E9A">
        <w:rPr>
          <w:rFonts w:ascii="Times New Roman" w:hAnsi="Times New Roman"/>
          <w:sz w:val="24"/>
        </w:rPr>
        <w:t>.</w:t>
      </w:r>
    </w:p>
  </w:footnote>
  <w:footnote w:id="27">
    <w:p w14:paraId="044230DF" w14:textId="20698257" w:rsidR="006E22EE" w:rsidRPr="00CB2E9A" w:rsidRDefault="006E22EE"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101 NSWLR 890 at 897 [25].</w:t>
      </w:r>
    </w:p>
  </w:footnote>
  <w:footnote w:id="28">
    <w:p w14:paraId="704A8400" w14:textId="5F89A12C" w:rsidR="000E3E5C" w:rsidRPr="00CB2E9A" w:rsidRDefault="000E3E5C"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101 NSWLR 890 at 903 [53].</w:t>
      </w:r>
    </w:p>
  </w:footnote>
  <w:footnote w:id="29">
    <w:p w14:paraId="3859103E" w14:textId="3B84B7FF" w:rsidR="00136BD8" w:rsidRPr="00CB2E9A" w:rsidRDefault="00136BD8"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101 NSWLR 890 at 904 [59].</w:t>
      </w:r>
    </w:p>
  </w:footnote>
  <w:footnote w:id="30">
    <w:p w14:paraId="27859B1C" w14:textId="686E44E8" w:rsidR="00B13F26" w:rsidRPr="00CB2E9A" w:rsidRDefault="00B13F26"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101 NSWLR 890 at 909 [87].</w:t>
      </w:r>
    </w:p>
  </w:footnote>
  <w:footnote w:id="31">
    <w:p w14:paraId="058424AF" w14:textId="77777777" w:rsidR="00353578" w:rsidRPr="00CB2E9A" w:rsidRDefault="00353578"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102 NSWLR 199.</w:t>
      </w:r>
    </w:p>
  </w:footnote>
  <w:footnote w:id="32">
    <w:p w14:paraId="44213A75" w14:textId="6DF5EEEE" w:rsidR="00F912FB" w:rsidRPr="00CB2E9A" w:rsidRDefault="00F912FB"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13448E" w:rsidRPr="00CB2E9A">
        <w:rPr>
          <w:rFonts w:ascii="Times New Roman" w:hAnsi="Times New Roman"/>
          <w:sz w:val="24"/>
        </w:rPr>
        <w:t>(2020) 102 NSWLR 199 at 2</w:t>
      </w:r>
      <w:r w:rsidR="005A1248" w:rsidRPr="00CB2E9A">
        <w:rPr>
          <w:rFonts w:ascii="Times New Roman" w:hAnsi="Times New Roman"/>
          <w:sz w:val="24"/>
        </w:rPr>
        <w:t>0</w:t>
      </w:r>
      <w:r w:rsidR="0013448E" w:rsidRPr="00CB2E9A">
        <w:rPr>
          <w:rFonts w:ascii="Times New Roman" w:hAnsi="Times New Roman"/>
          <w:sz w:val="24"/>
        </w:rPr>
        <w:t>4</w:t>
      </w:r>
      <w:r w:rsidR="005A1248" w:rsidRPr="00CB2E9A">
        <w:rPr>
          <w:rFonts w:ascii="Times New Roman" w:hAnsi="Times New Roman"/>
          <w:sz w:val="24"/>
        </w:rPr>
        <w:t xml:space="preserve"> [25]</w:t>
      </w:r>
      <w:r w:rsidR="0013448E" w:rsidRPr="00CB2E9A">
        <w:rPr>
          <w:rFonts w:ascii="Times New Roman" w:hAnsi="Times New Roman"/>
          <w:sz w:val="24"/>
        </w:rPr>
        <w:t>.</w:t>
      </w:r>
    </w:p>
  </w:footnote>
  <w:footnote w:id="33">
    <w:p w14:paraId="76EAEFC3" w14:textId="03CFD471" w:rsidR="00095BC0" w:rsidRPr="00CB2E9A" w:rsidRDefault="00095BC0"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AD1393" w:rsidRPr="00CB2E9A">
        <w:rPr>
          <w:rFonts w:ascii="Times New Roman" w:hAnsi="Times New Roman"/>
          <w:sz w:val="24"/>
        </w:rPr>
        <w:t>(2020) 102 NSWLR 199 at 214 [79].</w:t>
      </w:r>
    </w:p>
  </w:footnote>
  <w:footnote w:id="34">
    <w:p w14:paraId="1254C7C9" w14:textId="77777777" w:rsidR="003F077B" w:rsidRPr="00CB2E9A" w:rsidRDefault="003F077B"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102 NSWLR 199 at 221 [120].</w:t>
      </w:r>
    </w:p>
  </w:footnote>
  <w:footnote w:id="35">
    <w:p w14:paraId="4E6AC26A" w14:textId="781C56B5" w:rsidR="002F2AF9" w:rsidRPr="00CB2E9A" w:rsidRDefault="002F2AF9"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102 NSWLR 199 at 218 [100].</w:t>
      </w:r>
    </w:p>
  </w:footnote>
  <w:footnote w:id="36">
    <w:p w14:paraId="704EFA0E" w14:textId="2B11FC0A" w:rsidR="002031BC" w:rsidRPr="00CB2E9A" w:rsidRDefault="002031BC"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(2020) 102 NSWLR 199 at 219 </w:t>
      </w:r>
      <w:r w:rsidR="00C26D3A" w:rsidRPr="00CB2E9A">
        <w:rPr>
          <w:rFonts w:ascii="Times New Roman" w:hAnsi="Times New Roman"/>
          <w:sz w:val="24"/>
        </w:rPr>
        <w:t>[104]</w:t>
      </w:r>
      <w:r w:rsidR="00E00F11" w:rsidRPr="00CB2E9A">
        <w:rPr>
          <w:rFonts w:ascii="Times New Roman" w:hAnsi="Times New Roman"/>
          <w:sz w:val="24"/>
        </w:rPr>
        <w:t>, 224 [132]</w:t>
      </w:r>
      <w:r w:rsidR="00C26D3A" w:rsidRPr="00CB2E9A">
        <w:rPr>
          <w:rFonts w:ascii="Times New Roman" w:hAnsi="Times New Roman"/>
          <w:sz w:val="24"/>
        </w:rPr>
        <w:t>.</w:t>
      </w:r>
    </w:p>
  </w:footnote>
  <w:footnote w:id="37">
    <w:p w14:paraId="6859BE32" w14:textId="159650E6" w:rsidR="00AE16D2" w:rsidRPr="00CB2E9A" w:rsidRDefault="00AE16D2"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(2020) 102 NSWLR 199 at </w:t>
      </w:r>
      <w:r w:rsidR="00173DD1" w:rsidRPr="00CB2E9A">
        <w:rPr>
          <w:rFonts w:ascii="Times New Roman" w:hAnsi="Times New Roman"/>
          <w:sz w:val="24"/>
        </w:rPr>
        <w:t>221-222 [120]-[126].</w:t>
      </w:r>
    </w:p>
  </w:footnote>
  <w:footnote w:id="38">
    <w:p w14:paraId="048496B9" w14:textId="37CB9F88" w:rsidR="00215052" w:rsidRPr="00CB2E9A" w:rsidRDefault="00215052"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(2020) 102 NSWLR 199 at </w:t>
      </w:r>
      <w:r w:rsidR="0044583E" w:rsidRPr="00CB2E9A">
        <w:rPr>
          <w:rFonts w:ascii="Times New Roman" w:hAnsi="Times New Roman"/>
          <w:sz w:val="24"/>
        </w:rPr>
        <w:t>223 [131]</w:t>
      </w:r>
      <w:r w:rsidR="000B4557" w:rsidRPr="00CB2E9A">
        <w:rPr>
          <w:rFonts w:ascii="Times New Roman" w:hAnsi="Times New Roman"/>
          <w:sz w:val="24"/>
        </w:rPr>
        <w:t xml:space="preserve"> (emphasis in original)</w:t>
      </w:r>
      <w:r w:rsidR="0044583E" w:rsidRPr="00CB2E9A">
        <w:rPr>
          <w:rFonts w:ascii="Times New Roman" w:hAnsi="Times New Roman"/>
          <w:sz w:val="24"/>
        </w:rPr>
        <w:t>.</w:t>
      </w:r>
    </w:p>
  </w:footnote>
  <w:footnote w:id="39">
    <w:p w14:paraId="62752A21" w14:textId="5B3D17EF" w:rsidR="0008177A" w:rsidRPr="00CB2E9A" w:rsidRDefault="0008177A"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(2022) </w:t>
      </w:r>
      <w:r w:rsidR="00010BAE" w:rsidRPr="00CB2E9A">
        <w:rPr>
          <w:rFonts w:ascii="Times New Roman" w:hAnsi="Times New Roman"/>
          <w:sz w:val="24"/>
        </w:rPr>
        <w:t xml:space="preserve">291 FCR 116 at </w:t>
      </w:r>
      <w:r w:rsidR="005054BF" w:rsidRPr="00CB2E9A">
        <w:rPr>
          <w:rFonts w:ascii="Times New Roman" w:hAnsi="Times New Roman"/>
          <w:sz w:val="24"/>
        </w:rPr>
        <w:t xml:space="preserve">145 </w:t>
      </w:r>
      <w:r w:rsidR="00010BAE" w:rsidRPr="00CB2E9A">
        <w:rPr>
          <w:rFonts w:ascii="Times New Roman" w:hAnsi="Times New Roman"/>
          <w:sz w:val="24"/>
        </w:rPr>
        <w:t>[1</w:t>
      </w:r>
      <w:r w:rsidR="00775794" w:rsidRPr="00CB2E9A">
        <w:rPr>
          <w:rFonts w:ascii="Times New Roman" w:hAnsi="Times New Roman"/>
          <w:sz w:val="24"/>
        </w:rPr>
        <w:t>09]-[1</w:t>
      </w:r>
      <w:r w:rsidR="00454F04" w:rsidRPr="00CB2E9A">
        <w:rPr>
          <w:rFonts w:ascii="Times New Roman" w:hAnsi="Times New Roman"/>
          <w:sz w:val="24"/>
        </w:rPr>
        <w:t>10].</w:t>
      </w:r>
    </w:p>
  </w:footnote>
  <w:footnote w:id="40">
    <w:p w14:paraId="6D573C2B" w14:textId="19FA6983" w:rsidR="00AA74BF" w:rsidRPr="00CB2E9A" w:rsidRDefault="00AA74BF"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(2022) 291 FCR 116 at </w:t>
      </w:r>
      <w:r w:rsidR="005054BF" w:rsidRPr="00CB2E9A">
        <w:rPr>
          <w:rFonts w:ascii="Times New Roman" w:hAnsi="Times New Roman"/>
          <w:sz w:val="24"/>
        </w:rPr>
        <w:t xml:space="preserve">148 </w:t>
      </w:r>
      <w:r w:rsidRPr="00CB2E9A">
        <w:rPr>
          <w:rFonts w:ascii="Times New Roman" w:hAnsi="Times New Roman"/>
          <w:sz w:val="24"/>
        </w:rPr>
        <w:t>[</w:t>
      </w:r>
      <w:r w:rsidR="007A2788" w:rsidRPr="00CB2E9A">
        <w:rPr>
          <w:rFonts w:ascii="Times New Roman" w:hAnsi="Times New Roman"/>
          <w:sz w:val="24"/>
        </w:rPr>
        <w:t>126]</w:t>
      </w:r>
      <w:r w:rsidR="00FB54FD" w:rsidRPr="00CB2E9A">
        <w:rPr>
          <w:rFonts w:ascii="Times New Roman" w:hAnsi="Times New Roman"/>
          <w:sz w:val="24"/>
        </w:rPr>
        <w:t xml:space="preserve">, </w:t>
      </w:r>
      <w:r w:rsidR="00D0671D" w:rsidRPr="00CB2E9A">
        <w:rPr>
          <w:rFonts w:ascii="Times New Roman" w:hAnsi="Times New Roman"/>
          <w:sz w:val="24"/>
        </w:rPr>
        <w:t>153 [156]</w:t>
      </w:r>
      <w:r w:rsidR="007A2788" w:rsidRPr="00CB2E9A">
        <w:rPr>
          <w:rFonts w:ascii="Times New Roman" w:hAnsi="Times New Roman"/>
          <w:sz w:val="24"/>
        </w:rPr>
        <w:t>.</w:t>
      </w:r>
    </w:p>
  </w:footnote>
  <w:footnote w:id="41">
    <w:p w14:paraId="269D57E7" w14:textId="48AE128D" w:rsidR="004855A7" w:rsidRPr="00CB2E9A" w:rsidRDefault="004855A7"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DE4BFE" w:rsidRPr="00CB2E9A">
        <w:rPr>
          <w:rFonts w:ascii="Times New Roman" w:hAnsi="Times New Roman"/>
          <w:sz w:val="24"/>
        </w:rPr>
        <w:t xml:space="preserve">(2022) </w:t>
      </w:r>
      <w:r w:rsidR="00604E38" w:rsidRPr="00CB2E9A">
        <w:rPr>
          <w:rFonts w:ascii="Times New Roman" w:hAnsi="Times New Roman"/>
          <w:sz w:val="24"/>
        </w:rPr>
        <w:t xml:space="preserve">291 FCR 116 </w:t>
      </w:r>
      <w:r w:rsidR="00A15B84" w:rsidRPr="00CB2E9A">
        <w:rPr>
          <w:rFonts w:ascii="Times New Roman" w:hAnsi="Times New Roman"/>
          <w:sz w:val="24"/>
        </w:rPr>
        <w:t xml:space="preserve">at </w:t>
      </w:r>
      <w:r w:rsidR="000D162A" w:rsidRPr="00CB2E9A">
        <w:rPr>
          <w:rFonts w:ascii="Times New Roman" w:hAnsi="Times New Roman"/>
          <w:sz w:val="24"/>
        </w:rPr>
        <w:t xml:space="preserve">145 [113], </w:t>
      </w:r>
      <w:r w:rsidR="005054BF" w:rsidRPr="00CB2E9A">
        <w:rPr>
          <w:rFonts w:ascii="Times New Roman" w:hAnsi="Times New Roman"/>
          <w:sz w:val="24"/>
        </w:rPr>
        <w:t xml:space="preserve">150 </w:t>
      </w:r>
      <w:r w:rsidR="00A15B84" w:rsidRPr="00CB2E9A">
        <w:rPr>
          <w:rFonts w:ascii="Times New Roman" w:hAnsi="Times New Roman"/>
          <w:sz w:val="24"/>
        </w:rPr>
        <w:t xml:space="preserve">[134]. </w:t>
      </w:r>
    </w:p>
  </w:footnote>
  <w:footnote w:id="42">
    <w:p w14:paraId="344316A7" w14:textId="440AA021" w:rsidR="00900481" w:rsidRPr="00CB2E9A" w:rsidRDefault="00900481"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BB4D9B" w:rsidRPr="00CB2E9A">
        <w:rPr>
          <w:rFonts w:ascii="Times New Roman" w:hAnsi="Times New Roman"/>
          <w:sz w:val="24"/>
        </w:rPr>
        <w:t xml:space="preserve">(2024) 114 NSWLR 81 at </w:t>
      </w:r>
      <w:r w:rsidR="001613EA" w:rsidRPr="00CB2E9A">
        <w:rPr>
          <w:rFonts w:ascii="Times New Roman" w:hAnsi="Times New Roman"/>
          <w:sz w:val="24"/>
        </w:rPr>
        <w:t xml:space="preserve">107 </w:t>
      </w:r>
      <w:r w:rsidR="00BB4D9B" w:rsidRPr="00CB2E9A">
        <w:rPr>
          <w:rFonts w:ascii="Times New Roman" w:hAnsi="Times New Roman"/>
          <w:sz w:val="24"/>
        </w:rPr>
        <w:t>[</w:t>
      </w:r>
      <w:r w:rsidR="00ED07B2" w:rsidRPr="00CB2E9A">
        <w:rPr>
          <w:rFonts w:ascii="Times New Roman" w:hAnsi="Times New Roman"/>
          <w:sz w:val="24"/>
        </w:rPr>
        <w:t xml:space="preserve">93]. </w:t>
      </w:r>
    </w:p>
  </w:footnote>
  <w:footnote w:id="43">
    <w:p w14:paraId="132F964F" w14:textId="0E8C7093" w:rsidR="00ED07B2" w:rsidRPr="00CB2E9A" w:rsidRDefault="00ED07B2"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 xml:space="preserve">(2024) 114 NSWLR 81 at </w:t>
      </w:r>
      <w:r w:rsidR="00B26C3D" w:rsidRPr="00CB2E9A">
        <w:rPr>
          <w:rFonts w:ascii="Times New Roman" w:hAnsi="Times New Roman"/>
          <w:sz w:val="24"/>
        </w:rPr>
        <w:t xml:space="preserve">113 </w:t>
      </w:r>
      <w:r w:rsidR="007F4659" w:rsidRPr="00CB2E9A">
        <w:rPr>
          <w:rFonts w:ascii="Times New Roman" w:hAnsi="Times New Roman"/>
          <w:sz w:val="24"/>
        </w:rPr>
        <w:t xml:space="preserve">[124], </w:t>
      </w:r>
      <w:r w:rsidR="00B26C3D" w:rsidRPr="00CB2E9A">
        <w:rPr>
          <w:rFonts w:ascii="Times New Roman" w:hAnsi="Times New Roman"/>
          <w:sz w:val="24"/>
        </w:rPr>
        <w:t xml:space="preserve">113 </w:t>
      </w:r>
      <w:r w:rsidR="007F4659" w:rsidRPr="00CB2E9A">
        <w:rPr>
          <w:rFonts w:ascii="Times New Roman" w:hAnsi="Times New Roman"/>
          <w:sz w:val="24"/>
        </w:rPr>
        <w:t xml:space="preserve">[127], </w:t>
      </w:r>
      <w:r w:rsidR="00E727ED" w:rsidRPr="00CB2E9A">
        <w:rPr>
          <w:rFonts w:ascii="Times New Roman" w:hAnsi="Times New Roman"/>
          <w:sz w:val="24"/>
        </w:rPr>
        <w:t xml:space="preserve">116 </w:t>
      </w:r>
      <w:r w:rsidR="002E0660" w:rsidRPr="00CB2E9A">
        <w:rPr>
          <w:rFonts w:ascii="Times New Roman" w:hAnsi="Times New Roman"/>
          <w:sz w:val="24"/>
        </w:rPr>
        <w:t xml:space="preserve">[138], </w:t>
      </w:r>
      <w:r w:rsidR="00E727ED" w:rsidRPr="00CB2E9A">
        <w:rPr>
          <w:rFonts w:ascii="Times New Roman" w:hAnsi="Times New Roman"/>
          <w:sz w:val="24"/>
        </w:rPr>
        <w:t xml:space="preserve">116 </w:t>
      </w:r>
      <w:r w:rsidR="002E0660" w:rsidRPr="00CB2E9A">
        <w:rPr>
          <w:rFonts w:ascii="Times New Roman" w:hAnsi="Times New Roman"/>
          <w:sz w:val="24"/>
        </w:rPr>
        <w:t xml:space="preserve">[139], </w:t>
      </w:r>
      <w:r w:rsidR="00E727ED" w:rsidRPr="00CB2E9A">
        <w:rPr>
          <w:rFonts w:ascii="Times New Roman" w:hAnsi="Times New Roman"/>
          <w:sz w:val="24"/>
        </w:rPr>
        <w:t>120</w:t>
      </w:r>
      <w:r w:rsidR="000B4557" w:rsidRPr="00CB2E9A">
        <w:rPr>
          <w:rFonts w:ascii="Times New Roman" w:hAnsi="Times New Roman"/>
          <w:sz w:val="24"/>
        </w:rPr>
        <w:t xml:space="preserve"> </w:t>
      </w:r>
      <w:r w:rsidR="002E0660" w:rsidRPr="00CB2E9A">
        <w:rPr>
          <w:rFonts w:ascii="Times New Roman" w:hAnsi="Times New Roman"/>
          <w:sz w:val="24"/>
        </w:rPr>
        <w:t>[160].</w:t>
      </w:r>
    </w:p>
  </w:footnote>
  <w:footnote w:id="44">
    <w:p w14:paraId="1DDEACC9" w14:textId="79C84BBA" w:rsidR="00223017" w:rsidRPr="00CB2E9A" w:rsidRDefault="00223017"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(1993) 177 CLR 485 at 492.</w:t>
      </w:r>
    </w:p>
  </w:footnote>
  <w:footnote w:id="45">
    <w:p w14:paraId="33E74084" w14:textId="08D9D472" w:rsidR="00223017" w:rsidRPr="00CB2E9A" w:rsidRDefault="00223017"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(2022) 275 CLR 24 at 34-35 [25]-[26].</w:t>
      </w:r>
    </w:p>
  </w:footnote>
  <w:footnote w:id="46">
    <w:p w14:paraId="4B23BE75" w14:textId="65578299" w:rsidR="00FF2CEF" w:rsidRPr="00CB2E9A" w:rsidRDefault="00FF2CEF"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9A3F14" w:rsidRPr="00CB2E9A">
        <w:rPr>
          <w:rFonts w:ascii="Times New Roman" w:hAnsi="Times New Roman"/>
          <w:sz w:val="24"/>
        </w:rPr>
        <w:t>See, e</w:t>
      </w:r>
      <w:r w:rsidRPr="00CB2E9A">
        <w:rPr>
          <w:rFonts w:ascii="Times New Roman" w:hAnsi="Times New Roman"/>
          <w:sz w:val="24"/>
        </w:rPr>
        <w:t>g</w:t>
      </w:r>
      <w:r w:rsidR="00D17C54" w:rsidRPr="00CB2E9A">
        <w:rPr>
          <w:rFonts w:ascii="Times New Roman" w:hAnsi="Times New Roman"/>
          <w:sz w:val="24"/>
        </w:rPr>
        <w:t>,</w:t>
      </w:r>
      <w:r w:rsidRPr="00CB2E9A">
        <w:rPr>
          <w:rFonts w:ascii="Times New Roman" w:hAnsi="Times New Roman"/>
          <w:sz w:val="24"/>
        </w:rPr>
        <w:t xml:space="preserve"> </w:t>
      </w:r>
      <w:r w:rsidR="008F2420" w:rsidRPr="00CB2E9A">
        <w:rPr>
          <w:rFonts w:ascii="Times New Roman" w:hAnsi="Times New Roman"/>
          <w:sz w:val="24"/>
        </w:rPr>
        <w:t>(</w:t>
      </w:r>
      <w:r w:rsidRPr="00CB2E9A">
        <w:rPr>
          <w:rFonts w:ascii="Times New Roman" w:hAnsi="Times New Roman"/>
          <w:sz w:val="24"/>
        </w:rPr>
        <w:t xml:space="preserve">2024) 114 NSWLR 81 at </w:t>
      </w:r>
      <w:r w:rsidR="009A3F14" w:rsidRPr="00CB2E9A">
        <w:rPr>
          <w:rFonts w:ascii="Times New Roman" w:hAnsi="Times New Roman"/>
          <w:sz w:val="24"/>
        </w:rPr>
        <w:t xml:space="preserve">109 </w:t>
      </w:r>
      <w:r w:rsidR="00CE7831" w:rsidRPr="00CB2E9A">
        <w:rPr>
          <w:rFonts w:ascii="Times New Roman" w:hAnsi="Times New Roman"/>
          <w:sz w:val="24"/>
        </w:rPr>
        <w:t>[104].</w:t>
      </w:r>
    </w:p>
  </w:footnote>
  <w:footnote w:id="47">
    <w:p w14:paraId="2110ABDB" w14:textId="3CEA4557" w:rsidR="008F2420" w:rsidRPr="00CB2E9A" w:rsidRDefault="008F2420"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013A1A" w:rsidRPr="00CB2E9A">
        <w:rPr>
          <w:rFonts w:ascii="Times New Roman" w:hAnsi="Times New Roman"/>
          <w:sz w:val="24"/>
        </w:rPr>
        <w:t>See, e</w:t>
      </w:r>
      <w:r w:rsidRPr="00CB2E9A">
        <w:rPr>
          <w:rFonts w:ascii="Times New Roman" w:hAnsi="Times New Roman"/>
          <w:sz w:val="24"/>
        </w:rPr>
        <w:t>g</w:t>
      </w:r>
      <w:r w:rsidR="00D17C54" w:rsidRPr="00CB2E9A">
        <w:rPr>
          <w:rFonts w:ascii="Times New Roman" w:hAnsi="Times New Roman"/>
          <w:sz w:val="24"/>
        </w:rPr>
        <w:t>,</w:t>
      </w:r>
      <w:r w:rsidRPr="00CB2E9A">
        <w:rPr>
          <w:rFonts w:ascii="Times New Roman" w:hAnsi="Times New Roman"/>
          <w:sz w:val="24"/>
        </w:rPr>
        <w:t xml:space="preserve"> (2024) 114 NSWLR 81 at </w:t>
      </w:r>
      <w:r w:rsidR="004F05FD" w:rsidRPr="00CB2E9A">
        <w:rPr>
          <w:rFonts w:ascii="Times New Roman" w:hAnsi="Times New Roman"/>
          <w:sz w:val="24"/>
        </w:rPr>
        <w:t>110</w:t>
      </w:r>
      <w:r w:rsidR="00013A1A" w:rsidRPr="00CB2E9A">
        <w:rPr>
          <w:rFonts w:ascii="Times New Roman" w:hAnsi="Times New Roman"/>
          <w:sz w:val="24"/>
        </w:rPr>
        <w:t xml:space="preserve"> </w:t>
      </w:r>
      <w:r w:rsidRPr="00CB2E9A">
        <w:rPr>
          <w:rFonts w:ascii="Times New Roman" w:hAnsi="Times New Roman"/>
          <w:sz w:val="24"/>
        </w:rPr>
        <w:t>[107].</w:t>
      </w:r>
    </w:p>
  </w:footnote>
  <w:footnote w:id="48">
    <w:p w14:paraId="457B59BF" w14:textId="21610A59" w:rsidR="000502C2" w:rsidRPr="00CB2E9A" w:rsidRDefault="000502C2"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3A04DF" w:rsidRPr="00CB2E9A">
        <w:rPr>
          <w:rFonts w:ascii="Times New Roman" w:hAnsi="Times New Roman"/>
          <w:sz w:val="24"/>
        </w:rPr>
        <w:t>See, e</w:t>
      </w:r>
      <w:r w:rsidRPr="00CB2E9A">
        <w:rPr>
          <w:rFonts w:ascii="Times New Roman" w:hAnsi="Times New Roman"/>
          <w:sz w:val="24"/>
        </w:rPr>
        <w:t>g</w:t>
      </w:r>
      <w:r w:rsidR="00D17C54" w:rsidRPr="00CB2E9A">
        <w:rPr>
          <w:rFonts w:ascii="Times New Roman" w:hAnsi="Times New Roman"/>
          <w:sz w:val="24"/>
        </w:rPr>
        <w:t>,</w:t>
      </w:r>
      <w:r w:rsidRPr="00CB2E9A">
        <w:rPr>
          <w:rFonts w:ascii="Times New Roman" w:hAnsi="Times New Roman"/>
          <w:sz w:val="24"/>
        </w:rPr>
        <w:t xml:space="preserve"> (2024) 114 NSWLR 81 at </w:t>
      </w:r>
      <w:r w:rsidR="00183C07" w:rsidRPr="00CB2E9A">
        <w:rPr>
          <w:rFonts w:ascii="Times New Roman" w:hAnsi="Times New Roman"/>
          <w:sz w:val="24"/>
        </w:rPr>
        <w:t>112</w:t>
      </w:r>
      <w:r w:rsidRPr="00CB2E9A">
        <w:rPr>
          <w:rFonts w:ascii="Times New Roman" w:hAnsi="Times New Roman"/>
          <w:sz w:val="24"/>
        </w:rPr>
        <w:t xml:space="preserve"> [</w:t>
      </w:r>
      <w:r w:rsidR="001E3166" w:rsidRPr="00CB2E9A">
        <w:rPr>
          <w:rFonts w:ascii="Times New Roman" w:hAnsi="Times New Roman"/>
          <w:sz w:val="24"/>
        </w:rPr>
        <w:t>117].</w:t>
      </w:r>
    </w:p>
  </w:footnote>
  <w:footnote w:id="49">
    <w:p w14:paraId="18D60D79" w14:textId="39C72F73" w:rsidR="00226D31" w:rsidRPr="00CB2E9A" w:rsidRDefault="00226D31"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E16EC0" w:rsidRPr="00CB2E9A">
        <w:rPr>
          <w:rFonts w:ascii="Times New Roman" w:hAnsi="Times New Roman"/>
          <w:sz w:val="24"/>
        </w:rPr>
        <w:t xml:space="preserve">(2024) 114 NSWLR 81 at 115-116 [137], </w:t>
      </w:r>
      <w:r w:rsidR="00C0198D" w:rsidRPr="00CB2E9A">
        <w:rPr>
          <w:rFonts w:ascii="Times New Roman" w:hAnsi="Times New Roman"/>
          <w:sz w:val="24"/>
        </w:rPr>
        <w:t xml:space="preserve">116 [138], </w:t>
      </w:r>
      <w:r w:rsidR="00E16EC0" w:rsidRPr="00CB2E9A">
        <w:rPr>
          <w:rFonts w:ascii="Times New Roman" w:hAnsi="Times New Roman"/>
          <w:sz w:val="24"/>
        </w:rPr>
        <w:t>120 [159], 120 [160].</w:t>
      </w:r>
    </w:p>
  </w:footnote>
  <w:footnote w:id="50">
    <w:p w14:paraId="597CAA01" w14:textId="2091D281" w:rsidR="00187A0A" w:rsidRPr="00CB2E9A" w:rsidRDefault="00187A0A"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r>
      <w:r w:rsidR="0010281C" w:rsidRPr="00CB2E9A">
        <w:rPr>
          <w:rFonts w:ascii="Times New Roman" w:hAnsi="Times New Roman"/>
          <w:sz w:val="24"/>
        </w:rPr>
        <w:t>See, e</w:t>
      </w:r>
      <w:r w:rsidRPr="00CB2E9A">
        <w:rPr>
          <w:rFonts w:ascii="Times New Roman" w:hAnsi="Times New Roman"/>
          <w:sz w:val="24"/>
        </w:rPr>
        <w:t>g</w:t>
      </w:r>
      <w:r w:rsidR="00D17C54" w:rsidRPr="00CB2E9A">
        <w:rPr>
          <w:rFonts w:ascii="Times New Roman" w:hAnsi="Times New Roman"/>
          <w:sz w:val="24"/>
        </w:rPr>
        <w:t>,</w:t>
      </w:r>
      <w:r w:rsidRPr="00CB2E9A">
        <w:rPr>
          <w:rFonts w:ascii="Times New Roman" w:hAnsi="Times New Roman"/>
          <w:sz w:val="24"/>
        </w:rPr>
        <w:t xml:space="preserve"> (2024) 114 NSWLR 81 at </w:t>
      </w:r>
      <w:r w:rsidR="00882FF7" w:rsidRPr="00CB2E9A">
        <w:rPr>
          <w:rFonts w:ascii="Times New Roman" w:hAnsi="Times New Roman"/>
          <w:sz w:val="24"/>
        </w:rPr>
        <w:t>92</w:t>
      </w:r>
      <w:r w:rsidRPr="00CB2E9A">
        <w:rPr>
          <w:rFonts w:ascii="Times New Roman" w:hAnsi="Times New Roman"/>
          <w:sz w:val="24"/>
        </w:rPr>
        <w:t xml:space="preserve"> </w:t>
      </w:r>
      <w:r w:rsidR="004951A7" w:rsidRPr="00CB2E9A">
        <w:rPr>
          <w:rFonts w:ascii="Times New Roman" w:hAnsi="Times New Roman"/>
          <w:sz w:val="24"/>
        </w:rPr>
        <w:t xml:space="preserve">[32], </w:t>
      </w:r>
      <w:r w:rsidR="003B3AD0" w:rsidRPr="00CB2E9A">
        <w:rPr>
          <w:rFonts w:ascii="Times New Roman" w:hAnsi="Times New Roman"/>
          <w:sz w:val="24"/>
        </w:rPr>
        <w:t xml:space="preserve">111 </w:t>
      </w:r>
      <w:r w:rsidR="004951A7" w:rsidRPr="00CB2E9A">
        <w:rPr>
          <w:rFonts w:ascii="Times New Roman" w:hAnsi="Times New Roman"/>
          <w:sz w:val="24"/>
        </w:rPr>
        <w:t xml:space="preserve">[112], </w:t>
      </w:r>
      <w:r w:rsidR="00CA3BF5" w:rsidRPr="00CB2E9A">
        <w:rPr>
          <w:rFonts w:ascii="Times New Roman" w:hAnsi="Times New Roman"/>
          <w:sz w:val="24"/>
        </w:rPr>
        <w:t xml:space="preserve">112 </w:t>
      </w:r>
      <w:r w:rsidR="004951A7" w:rsidRPr="00CB2E9A">
        <w:rPr>
          <w:rFonts w:ascii="Times New Roman" w:hAnsi="Times New Roman"/>
          <w:sz w:val="24"/>
        </w:rPr>
        <w:t>[119].</w:t>
      </w:r>
    </w:p>
  </w:footnote>
  <w:footnote w:id="51">
    <w:p w14:paraId="12DA673D" w14:textId="77777777" w:rsidR="0049619B" w:rsidRPr="00CB2E9A" w:rsidRDefault="0049619B"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(2002) 211 CLR 1 at 32 [40].</w:t>
      </w:r>
    </w:p>
  </w:footnote>
  <w:footnote w:id="52">
    <w:p w14:paraId="621182A8" w14:textId="77777777" w:rsidR="0041355D" w:rsidRPr="00CB2E9A" w:rsidRDefault="0041355D" w:rsidP="00CB2E9A">
      <w:pPr>
        <w:pStyle w:val="FootnoteText"/>
        <w:spacing w:line="280" w:lineRule="exact"/>
        <w:ind w:right="0"/>
        <w:jc w:val="both"/>
        <w:rPr>
          <w:rFonts w:ascii="Times New Roman" w:hAnsi="Times New Roman"/>
          <w:sz w:val="24"/>
        </w:rPr>
      </w:pPr>
      <w:r w:rsidRPr="00CB2E9A">
        <w:rPr>
          <w:rStyle w:val="FootnoteReference"/>
          <w:rFonts w:ascii="Times New Roman" w:hAnsi="Times New Roman"/>
          <w:sz w:val="22"/>
          <w:vertAlign w:val="baseline"/>
        </w:rPr>
        <w:footnoteRef/>
      </w:r>
      <w:r w:rsidRPr="00CB2E9A">
        <w:rPr>
          <w:rFonts w:ascii="Times New Roman" w:hAnsi="Times New Roman"/>
          <w:sz w:val="24"/>
        </w:rPr>
        <w:t xml:space="preserve"> </w:t>
      </w:r>
      <w:r w:rsidRPr="00CB2E9A">
        <w:rPr>
          <w:rFonts w:ascii="Times New Roman" w:hAnsi="Times New Roman"/>
          <w:sz w:val="24"/>
        </w:rPr>
        <w:tab/>
        <w:t>(2020) 101 NSWLR 890.</w:t>
      </w:r>
    </w:p>
  </w:footnote>
  <w:footnote w:id="53">
    <w:p w14:paraId="6DF5F9CE"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102 NSWLR 199.</w:t>
      </w:r>
    </w:p>
  </w:footnote>
  <w:footnote w:id="54">
    <w:p w14:paraId="107D341F"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w:t>
      </w:r>
    </w:p>
  </w:footnote>
  <w:footnote w:id="55">
    <w:p w14:paraId="2E454C79"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New South Wales, Legislative Council, </w:t>
      </w:r>
      <w:r w:rsidRPr="005647FA">
        <w:rPr>
          <w:rFonts w:ascii="Times New Roman" w:hAnsi="Times New Roman"/>
          <w:i/>
          <w:iCs/>
          <w:sz w:val="24"/>
        </w:rPr>
        <w:t xml:space="preserve">Parliamentary Debates </w:t>
      </w:r>
      <w:r w:rsidRPr="005647FA">
        <w:rPr>
          <w:rFonts w:ascii="Times New Roman" w:hAnsi="Times New Roman"/>
          <w:sz w:val="24"/>
        </w:rPr>
        <w:t>(Hansard), 24 November 2010 at 28066.</w:t>
      </w:r>
    </w:p>
  </w:footnote>
  <w:footnote w:id="56">
    <w:p w14:paraId="3393952D"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Part 10 provides that the representative plaintiff is to identify the group members: see CP Act, s 161(1)(a).</w:t>
      </w:r>
    </w:p>
  </w:footnote>
  <w:footnote w:id="57">
    <w:p w14:paraId="3FCEA34F"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r>
      <w:r w:rsidRPr="005647FA">
        <w:rPr>
          <w:rFonts w:ascii="Times New Roman" w:hAnsi="Times New Roman"/>
          <w:i/>
          <w:iCs/>
          <w:sz w:val="24"/>
        </w:rPr>
        <w:t>Elliott-Carde v McDonald's Australia Ltd</w:t>
      </w:r>
      <w:r w:rsidRPr="005647FA">
        <w:rPr>
          <w:rFonts w:ascii="Times New Roman" w:hAnsi="Times New Roman"/>
          <w:sz w:val="24"/>
        </w:rPr>
        <w:t xml:space="preserve"> (2023) 301 FCR 1 at 14 [54].</w:t>
      </w:r>
    </w:p>
  </w:footnote>
  <w:footnote w:id="58">
    <w:p w14:paraId="755BDDDF"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159.</w:t>
      </w:r>
    </w:p>
  </w:footnote>
  <w:footnote w:id="59">
    <w:p w14:paraId="605B9B7C"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162.</w:t>
      </w:r>
    </w:p>
  </w:footnote>
  <w:footnote w:id="60">
    <w:p w14:paraId="3568DE68"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ss 162, 175(1)(a).</w:t>
      </w:r>
    </w:p>
  </w:footnote>
  <w:footnote w:id="61">
    <w:p w14:paraId="13290703"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(2002) 211 CLR 1 at 32 [40] (emphasis added).</w:t>
      </w:r>
    </w:p>
  </w:footnote>
  <w:footnote w:id="62">
    <w:p w14:paraId="27FEBFA7"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173(1).</w:t>
      </w:r>
    </w:p>
  </w:footnote>
  <w:footnote w:id="63">
    <w:p w14:paraId="730B4108"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173(2).</w:t>
      </w:r>
    </w:p>
  </w:footnote>
  <w:footnote w:id="64">
    <w:p w14:paraId="11CAC82B"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171.</w:t>
      </w:r>
    </w:p>
  </w:footnote>
  <w:footnote w:id="65">
    <w:p w14:paraId="2B6DE1A1"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177(1)(e).</w:t>
      </w:r>
    </w:p>
  </w:footnote>
  <w:footnote w:id="66">
    <w:p w14:paraId="3175A652"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177(1)(f).</w:t>
      </w:r>
    </w:p>
  </w:footnote>
  <w:footnote w:id="67">
    <w:p w14:paraId="097A608C"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(2015) 230 FCR 469 at 482-483 [47]-[52], referred to with approval by Beach J in </w:t>
      </w:r>
      <w:r w:rsidRPr="005647FA">
        <w:rPr>
          <w:rFonts w:ascii="Times New Roman" w:hAnsi="Times New Roman"/>
          <w:i/>
          <w:iCs/>
          <w:sz w:val="24"/>
        </w:rPr>
        <w:t>Wetdal Pty Ltd v Estia Health Ltd</w:t>
      </w:r>
      <w:r w:rsidRPr="005647FA">
        <w:rPr>
          <w:rFonts w:ascii="Times New Roman" w:hAnsi="Times New Roman"/>
          <w:sz w:val="24"/>
        </w:rPr>
        <w:t xml:space="preserve"> [2021] FCA 475 at [89]-[90] and by the Full Court of the Federal Court in </w:t>
      </w:r>
      <w:r w:rsidRPr="005647FA">
        <w:rPr>
          <w:rFonts w:ascii="Times New Roman" w:hAnsi="Times New Roman"/>
          <w:i/>
          <w:iCs/>
          <w:sz w:val="24"/>
        </w:rPr>
        <w:t xml:space="preserve">Parkin v Boral Ltd </w:t>
      </w:r>
      <w:r w:rsidRPr="005647FA">
        <w:rPr>
          <w:rFonts w:ascii="Times New Roman" w:hAnsi="Times New Roman"/>
          <w:sz w:val="24"/>
        </w:rPr>
        <w:t>(2022) 291 FCR 116 at 130 [54].</w:t>
      </w:r>
    </w:p>
  </w:footnote>
  <w:footnote w:id="68">
    <w:p w14:paraId="36D69CA6"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[2010] FCA 176 at [32].</w:t>
      </w:r>
    </w:p>
  </w:footnote>
  <w:footnote w:id="69">
    <w:p w14:paraId="62445236"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(2012) 36 VR 424 at 428-429 [15].</w:t>
      </w:r>
    </w:p>
  </w:footnote>
  <w:footnote w:id="70">
    <w:p w14:paraId="7212CD83"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(2019) 269 CLR 574.</w:t>
      </w:r>
    </w:p>
  </w:footnote>
  <w:footnote w:id="71">
    <w:p w14:paraId="56630A02"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(2019) 269 CLR 574 at 589 [3] (emphasis in original).</w:t>
      </w:r>
    </w:p>
  </w:footnote>
  <w:footnote w:id="72">
    <w:p w14:paraId="3083CC77"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(2020) 101 NSWLR 890. </w:t>
      </w:r>
    </w:p>
  </w:footnote>
  <w:footnote w:id="73">
    <w:p w14:paraId="4B47AD9F"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101 NSWLR 890 at 918 [122].</w:t>
      </w:r>
    </w:p>
  </w:footnote>
  <w:footnote w:id="74">
    <w:p w14:paraId="17DC960A"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101 NSWLR 890 at 918 [120].</w:t>
      </w:r>
    </w:p>
  </w:footnote>
  <w:footnote w:id="75">
    <w:p w14:paraId="0474B8FB"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101 NSWLR 890 at 918 [120].</w:t>
      </w:r>
    </w:p>
  </w:footnote>
  <w:footnote w:id="76">
    <w:p w14:paraId="0CE92345"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101 NSWLR 890 at 918-919 [122].</w:t>
      </w:r>
    </w:p>
  </w:footnote>
  <w:footnote w:id="77">
    <w:p w14:paraId="66FAB660"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102 NSWLR 199.</w:t>
      </w:r>
    </w:p>
  </w:footnote>
  <w:footnote w:id="78">
    <w:p w14:paraId="3B337670"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102 NSWLR 199 at 204 [23], [25]-[26].</w:t>
      </w:r>
    </w:p>
  </w:footnote>
  <w:footnote w:id="79">
    <w:p w14:paraId="4053804D"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102 NSWLR 199 at 201 [3].</w:t>
      </w:r>
    </w:p>
  </w:footnote>
  <w:footnote w:id="80">
    <w:p w14:paraId="5E6DED1A"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102 NSWLR 199 at 214 [77]-[79].</w:t>
      </w:r>
    </w:p>
  </w:footnote>
  <w:footnote w:id="81">
    <w:p w14:paraId="3A2DE433"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102 NSWLR 199 at 219 [103]-[104].</w:t>
      </w:r>
    </w:p>
  </w:footnote>
  <w:footnote w:id="82">
    <w:p w14:paraId="0D9845A2"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(2020) 102 NSWLR 199 at 221 [118]-[120].</w:t>
      </w:r>
    </w:p>
  </w:footnote>
  <w:footnote w:id="83">
    <w:p w14:paraId="25B407CF"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145 [109]-[110].</w:t>
      </w:r>
    </w:p>
  </w:footnote>
  <w:footnote w:id="84">
    <w:p w14:paraId="069C4D45"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(2022) 291 FCR 116 at 119 [5]. </w:t>
      </w:r>
    </w:p>
  </w:footnote>
  <w:footnote w:id="85">
    <w:p w14:paraId="354D04F7"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121-122 [14].</w:t>
      </w:r>
    </w:p>
  </w:footnote>
  <w:footnote w:id="86">
    <w:p w14:paraId="66C45AB5"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122 [15].</w:t>
      </w:r>
    </w:p>
  </w:footnote>
  <w:footnote w:id="87">
    <w:p w14:paraId="15D8CFF0"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145 [111].</w:t>
      </w:r>
    </w:p>
  </w:footnote>
  <w:footnote w:id="88">
    <w:p w14:paraId="39ADD92B"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(2022) 291 FCR 116 at 145 [112]; see also </w:t>
      </w:r>
      <w:r w:rsidRPr="005647FA">
        <w:rPr>
          <w:rFonts w:ascii="Times New Roman" w:hAnsi="Times New Roman"/>
          <w:i/>
          <w:iCs/>
          <w:sz w:val="24"/>
        </w:rPr>
        <w:t xml:space="preserve">Lenthall v Westpac Banking Corporation [No 2] </w:t>
      </w:r>
      <w:r w:rsidRPr="005647FA">
        <w:rPr>
          <w:rFonts w:ascii="Times New Roman" w:hAnsi="Times New Roman"/>
          <w:sz w:val="24"/>
        </w:rPr>
        <w:t>(2020) 144 ACSR 573 at 583 [31].</w:t>
      </w:r>
    </w:p>
  </w:footnote>
  <w:footnote w:id="89">
    <w:p w14:paraId="5D711C30"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145 [113].</w:t>
      </w:r>
    </w:p>
  </w:footnote>
  <w:footnote w:id="90">
    <w:p w14:paraId="575347E9"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(2022) 291 FCR 116 at 145 [114]. </w:t>
      </w:r>
    </w:p>
  </w:footnote>
  <w:footnote w:id="91">
    <w:p w14:paraId="30FA93C1"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[2021] FCA 475 at [89]-[90], citing </w:t>
      </w:r>
      <w:r w:rsidRPr="005647FA">
        <w:rPr>
          <w:rFonts w:ascii="Times New Roman" w:hAnsi="Times New Roman"/>
          <w:i/>
          <w:iCs/>
          <w:sz w:val="24"/>
        </w:rPr>
        <w:t xml:space="preserve">Earglow Pty Ltd v Newcrest Mining Ltd </w:t>
      </w:r>
      <w:r w:rsidRPr="005647FA">
        <w:rPr>
          <w:rFonts w:ascii="Times New Roman" w:hAnsi="Times New Roman"/>
          <w:sz w:val="24"/>
        </w:rPr>
        <w:t xml:space="preserve">(2015) 230 FCR 469 at 482-483 [47]-[52]. </w:t>
      </w:r>
    </w:p>
  </w:footnote>
  <w:footnote w:id="92">
    <w:p w14:paraId="1803325A"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(2022) 291 FCR 116 at 145-146 [115]-[118]; see also </w:t>
      </w:r>
      <w:r w:rsidRPr="005647FA">
        <w:rPr>
          <w:rFonts w:ascii="Times New Roman" w:hAnsi="Times New Roman"/>
          <w:i/>
          <w:iCs/>
          <w:sz w:val="24"/>
        </w:rPr>
        <w:t>Regent Holdings Pty Ltd v Victoria</w:t>
      </w:r>
      <w:r w:rsidRPr="005647FA">
        <w:rPr>
          <w:rFonts w:ascii="Times New Roman" w:hAnsi="Times New Roman"/>
          <w:sz w:val="24"/>
        </w:rPr>
        <w:t xml:space="preserve"> (2012) 36 VR 424. </w:t>
      </w:r>
    </w:p>
  </w:footnote>
  <w:footnote w:id="93">
    <w:p w14:paraId="4DAF5500"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146 [117].</w:t>
      </w:r>
    </w:p>
  </w:footnote>
  <w:footnote w:id="94">
    <w:p w14:paraId="5A5CC494"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148 [126].</w:t>
      </w:r>
    </w:p>
  </w:footnote>
  <w:footnote w:id="95">
    <w:p w14:paraId="33EE4AF7"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148-149 [126], [130]-[131].</w:t>
      </w:r>
    </w:p>
  </w:footnote>
  <w:footnote w:id="96">
    <w:p w14:paraId="57BEC078"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150 [134].</w:t>
      </w:r>
    </w:p>
  </w:footnote>
  <w:footnote w:id="97">
    <w:p w14:paraId="4BEA9429"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r>
      <w:r w:rsidRPr="005647FA">
        <w:rPr>
          <w:rFonts w:ascii="Times New Roman" w:hAnsi="Times New Roman"/>
          <w:i/>
          <w:iCs/>
          <w:sz w:val="24"/>
        </w:rPr>
        <w:t xml:space="preserve">Pallas v Lendlease Corporation Ltd </w:t>
      </w:r>
      <w:r w:rsidRPr="005647FA">
        <w:rPr>
          <w:rFonts w:ascii="Times New Roman" w:hAnsi="Times New Roman"/>
          <w:sz w:val="24"/>
        </w:rPr>
        <w:t>(2024) 114 NSWLR 81 at 107 [94], 113 [124].</w:t>
      </w:r>
    </w:p>
  </w:footnote>
  <w:footnote w:id="98">
    <w:p w14:paraId="0142B733"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108 [98].</w:t>
      </w:r>
    </w:p>
  </w:footnote>
  <w:footnote w:id="99">
    <w:p w14:paraId="777ACBE2"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(2024) 114 NSWLR 81 at 108 [99]. </w:t>
      </w:r>
      <w:r w:rsidRPr="005647FA">
        <w:rPr>
          <w:rFonts w:ascii="Times New Roman" w:hAnsi="Times New Roman"/>
          <w:i/>
          <w:iCs/>
          <w:sz w:val="24"/>
        </w:rPr>
        <w:t>Regent Holdings Pty Ltd v Victoria</w:t>
      </w:r>
      <w:r w:rsidRPr="005647FA">
        <w:rPr>
          <w:rFonts w:ascii="Times New Roman" w:hAnsi="Times New Roman"/>
          <w:sz w:val="24"/>
        </w:rPr>
        <w:t xml:space="preserve"> (2012) 36 VR 424, for example, was said to concern a closed class.</w:t>
      </w:r>
    </w:p>
  </w:footnote>
  <w:footnote w:id="100">
    <w:p w14:paraId="3CEC8B53"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109 [104].</w:t>
      </w:r>
    </w:p>
  </w:footnote>
  <w:footnote w:id="101">
    <w:p w14:paraId="59A9B5A9"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109 [104].</w:t>
      </w:r>
    </w:p>
  </w:footnote>
  <w:footnote w:id="102">
    <w:p w14:paraId="5EAAEB4F"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110 [107].</w:t>
      </w:r>
    </w:p>
  </w:footnote>
  <w:footnote w:id="103">
    <w:p w14:paraId="5E122A83"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110 [110].</w:t>
      </w:r>
    </w:p>
  </w:footnote>
  <w:footnote w:id="104">
    <w:p w14:paraId="79F5C43E"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111 [113].</w:t>
      </w:r>
    </w:p>
  </w:footnote>
  <w:footnote w:id="105">
    <w:p w14:paraId="64768ADD"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112 [119].</w:t>
      </w:r>
    </w:p>
  </w:footnote>
  <w:footnote w:id="106">
    <w:p w14:paraId="32BA225E"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111 [112].</w:t>
      </w:r>
    </w:p>
  </w:footnote>
  <w:footnote w:id="107">
    <w:p w14:paraId="29C54113"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92 [32].</w:t>
      </w:r>
    </w:p>
  </w:footnote>
  <w:footnote w:id="108">
    <w:p w14:paraId="0F5E2FFA"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r>
      <w:r w:rsidRPr="005647FA">
        <w:rPr>
          <w:rFonts w:ascii="Times New Roman" w:hAnsi="Times New Roman"/>
          <w:i/>
          <w:iCs/>
          <w:sz w:val="24"/>
        </w:rPr>
        <w:t>Edgington</w:t>
      </w:r>
      <w:r w:rsidRPr="005647FA">
        <w:rPr>
          <w:rFonts w:ascii="Times New Roman" w:hAnsi="Times New Roman"/>
          <w:i/>
          <w:sz w:val="24"/>
        </w:rPr>
        <w:t xml:space="preserve"> v Fitzmaurice</w:t>
      </w:r>
      <w:r w:rsidRPr="005647FA">
        <w:rPr>
          <w:rFonts w:ascii="Times New Roman" w:hAnsi="Times New Roman"/>
          <w:sz w:val="24"/>
        </w:rPr>
        <w:t xml:space="preserve"> (1885) 29 Ch D 459 at 483.</w:t>
      </w:r>
    </w:p>
  </w:footnote>
  <w:footnote w:id="109">
    <w:p w14:paraId="2B633488"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115 [137].</w:t>
      </w:r>
    </w:p>
  </w:footnote>
  <w:footnote w:id="110">
    <w:p w14:paraId="17E30D6A"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 xml:space="preserve">(2019) 269 CLR 574 at 611 [82] (footnote omitted); see also at 619 [110], 651 [205]. </w:t>
      </w:r>
    </w:p>
  </w:footnote>
  <w:footnote w:id="111">
    <w:p w14:paraId="7C866456"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(2019) 269 CLR 574 at 628 [136]. The observation might be qualified having regard to ss 173, 177 and 179.</w:t>
      </w:r>
    </w:p>
  </w:footnote>
  <w:footnote w:id="112">
    <w:p w14:paraId="4AC4265C"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[2021] FCA 475 at [93].</w:t>
      </w:r>
    </w:p>
  </w:footnote>
  <w:footnote w:id="113">
    <w:p w14:paraId="62007FA5"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87 [12].</w:t>
      </w:r>
    </w:p>
  </w:footnote>
  <w:footnote w:id="114">
    <w:p w14:paraId="482DD02E"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87 [12] (emphasis in original).</w:t>
      </w:r>
    </w:p>
  </w:footnote>
  <w:footnote w:id="115">
    <w:p w14:paraId="20985C7D"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(2024) 114 NSWLR 81 at 109 [105].</w:t>
      </w:r>
    </w:p>
  </w:footnote>
  <w:footnote w:id="116">
    <w:p w14:paraId="1020F0D8"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CP Act, s 56; see also FCA Act, s 37M.</w:t>
      </w:r>
    </w:p>
  </w:footnote>
  <w:footnote w:id="117">
    <w:p w14:paraId="5AC4423E"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148 [126].</w:t>
      </w:r>
    </w:p>
  </w:footnote>
  <w:footnote w:id="118">
    <w:p w14:paraId="362E3212"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See Supreme Court of New South Wales, Practice Note SC Gen 17 (24 July 2024) at 12 [39].</w:t>
      </w:r>
    </w:p>
  </w:footnote>
  <w:footnote w:id="119">
    <w:p w14:paraId="2543A572"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125 [29].</w:t>
      </w:r>
    </w:p>
  </w:footnote>
  <w:footnote w:id="120">
    <w:p w14:paraId="2F2ED624"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t>(2022) 291 FCR 116 at 148 [127].</w:t>
      </w:r>
    </w:p>
  </w:footnote>
  <w:footnote w:id="121">
    <w:p w14:paraId="32D9E0BF"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r>
      <w:r w:rsidRPr="005647FA">
        <w:rPr>
          <w:rFonts w:ascii="Times New Roman" w:hAnsi="Times New Roman"/>
          <w:i/>
          <w:iCs/>
          <w:sz w:val="24"/>
        </w:rPr>
        <w:t>Australian Securities Commission v Marlborough Gold Mines Ltd</w:t>
      </w:r>
      <w:r w:rsidRPr="005647FA">
        <w:rPr>
          <w:rFonts w:ascii="Times New Roman" w:hAnsi="Times New Roman"/>
          <w:sz w:val="24"/>
        </w:rPr>
        <w:t xml:space="preserve"> (1993) 177 CLR 485 at 492; </w:t>
      </w:r>
      <w:r w:rsidRPr="005647FA">
        <w:rPr>
          <w:rFonts w:ascii="Times New Roman" w:hAnsi="Times New Roman"/>
          <w:i/>
          <w:iCs/>
          <w:sz w:val="24"/>
        </w:rPr>
        <w:t>Hill v Zuda Pty Ltd</w:t>
      </w:r>
      <w:r w:rsidRPr="005647FA">
        <w:rPr>
          <w:rFonts w:ascii="Times New Roman" w:hAnsi="Times New Roman"/>
          <w:sz w:val="24"/>
        </w:rPr>
        <w:t xml:space="preserve"> (2022) 275 CLR 24 at 34-35 [25]-[26].</w:t>
      </w:r>
    </w:p>
  </w:footnote>
  <w:footnote w:id="122">
    <w:p w14:paraId="6B8FC5AB" w14:textId="77777777" w:rsidR="00111641" w:rsidRPr="005647FA" w:rsidRDefault="00111641" w:rsidP="005647FA">
      <w:pPr>
        <w:pStyle w:val="FootnoteText"/>
        <w:spacing w:line="280" w:lineRule="exact"/>
        <w:ind w:right="0"/>
        <w:jc w:val="both"/>
        <w:rPr>
          <w:rFonts w:ascii="Times New Roman" w:hAnsi="Times New Roman"/>
          <w:sz w:val="24"/>
        </w:rPr>
      </w:pPr>
      <w:r w:rsidRPr="005647FA">
        <w:rPr>
          <w:rStyle w:val="FootnoteReference"/>
          <w:rFonts w:ascii="Times New Roman" w:hAnsi="Times New Roman"/>
          <w:sz w:val="22"/>
          <w:vertAlign w:val="baseline"/>
        </w:rPr>
        <w:footnoteRef/>
      </w:r>
      <w:r w:rsidRPr="005647FA">
        <w:rPr>
          <w:rFonts w:ascii="Times New Roman" w:hAnsi="Times New Roman"/>
          <w:sz w:val="24"/>
        </w:rPr>
        <w:t xml:space="preserve"> </w:t>
      </w:r>
      <w:r w:rsidRPr="005647FA">
        <w:rPr>
          <w:rFonts w:ascii="Times New Roman" w:hAnsi="Times New Roman"/>
          <w:sz w:val="24"/>
        </w:rPr>
        <w:tab/>
      </w:r>
      <w:r w:rsidRPr="005647FA">
        <w:rPr>
          <w:rFonts w:ascii="Times New Roman" w:hAnsi="Times New Roman"/>
          <w:i/>
          <w:iCs/>
          <w:sz w:val="24"/>
        </w:rPr>
        <w:t>Lipohar v The Queen</w:t>
      </w:r>
      <w:r w:rsidRPr="005647FA">
        <w:rPr>
          <w:rFonts w:ascii="Times New Roman" w:hAnsi="Times New Roman"/>
          <w:sz w:val="24"/>
        </w:rPr>
        <w:t xml:space="preserve"> (1999) 200 CLR 485 at 505-506 [44]-[45].</w:t>
      </w:r>
    </w:p>
  </w:footnote>
  <w:footnote w:id="123">
    <w:p w14:paraId="3AB97AD5"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(2019) 269 CLR 574. </w:t>
      </w:r>
    </w:p>
  </w:footnote>
  <w:footnote w:id="124">
    <w:p w14:paraId="78AA077B"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(2019) 269 CLR 574.</w:t>
      </w:r>
    </w:p>
  </w:footnote>
  <w:footnote w:id="125">
    <w:p w14:paraId="2DEDEC2D" w14:textId="77777777" w:rsidR="00111641" w:rsidRPr="00D93075" w:rsidRDefault="00111641" w:rsidP="00D93075">
      <w:pPr>
        <w:pStyle w:val="FootnoteText"/>
        <w:spacing w:line="280" w:lineRule="exact"/>
        <w:ind w:right="0"/>
        <w:jc w:val="both"/>
        <w:rPr>
          <w:rFonts w:ascii="Times New Roman" w:hAnsi="Times New Roman"/>
          <w:i/>
          <w:i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Pallas v Lendlease Corporation Ltd </w:t>
      </w:r>
      <w:r w:rsidRPr="00D93075">
        <w:rPr>
          <w:rFonts w:ascii="Times New Roman" w:hAnsi="Times New Roman"/>
          <w:sz w:val="24"/>
        </w:rPr>
        <w:t xml:space="preserve">(2024) </w:t>
      </w:r>
      <w:bookmarkStart w:id="0" w:name="_Hlk189572459"/>
      <w:r w:rsidRPr="00D93075">
        <w:rPr>
          <w:rFonts w:ascii="Times New Roman" w:hAnsi="Times New Roman"/>
          <w:sz w:val="24"/>
        </w:rPr>
        <w:t xml:space="preserve">114 NSWLR 81 </w:t>
      </w:r>
      <w:bookmarkEnd w:id="0"/>
      <w:r w:rsidRPr="00D93075">
        <w:rPr>
          <w:rFonts w:ascii="Times New Roman" w:hAnsi="Times New Roman"/>
          <w:sz w:val="24"/>
        </w:rPr>
        <w:t>at 92 [32].</w:t>
      </w:r>
    </w:p>
  </w:footnote>
  <w:footnote w:id="126">
    <w:p w14:paraId="1B8A42CE"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sz w:val="24"/>
        </w:rPr>
        <w:t>Brewster</w:t>
      </w:r>
      <w:r w:rsidRPr="00D93075">
        <w:rPr>
          <w:rFonts w:ascii="Times New Roman" w:hAnsi="Times New Roman"/>
          <w:i/>
          <w:iCs/>
          <w:sz w:val="24"/>
        </w:rPr>
        <w:t xml:space="preserve"> </w:t>
      </w:r>
      <w:r w:rsidRPr="00D93075">
        <w:rPr>
          <w:rFonts w:ascii="Times New Roman" w:hAnsi="Times New Roman"/>
          <w:sz w:val="24"/>
        </w:rPr>
        <w:t>(2019) 269 CLR 574 at 650 [203] and see generally at 644-650 [189]-[202].</w:t>
      </w:r>
    </w:p>
  </w:footnote>
  <w:footnote w:id="127">
    <w:p w14:paraId="2231A51D"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Brewster </w:t>
      </w:r>
      <w:r w:rsidRPr="00D93075">
        <w:rPr>
          <w:rFonts w:ascii="Times New Roman" w:hAnsi="Times New Roman"/>
          <w:sz w:val="24"/>
        </w:rPr>
        <w:t>(2019) 269 CLR 574 at 589 [3], 600 [48].</w:t>
      </w:r>
    </w:p>
  </w:footnote>
  <w:footnote w:id="128">
    <w:p w14:paraId="65981FED"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Brewster </w:t>
      </w:r>
      <w:r w:rsidRPr="00D93075">
        <w:rPr>
          <w:rFonts w:ascii="Times New Roman" w:hAnsi="Times New Roman"/>
          <w:sz w:val="24"/>
        </w:rPr>
        <w:t>(2019) 269 CLR 574 at 600 [48].</w:t>
      </w:r>
    </w:p>
  </w:footnote>
  <w:footnote w:id="129">
    <w:p w14:paraId="180DB180"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(2002) 211 CLR 1 at 32 [40], cited in </w:t>
      </w:r>
      <w:r w:rsidRPr="00D93075">
        <w:rPr>
          <w:rFonts w:ascii="Times New Roman" w:hAnsi="Times New Roman"/>
          <w:i/>
          <w:iCs/>
          <w:sz w:val="24"/>
        </w:rPr>
        <w:t xml:space="preserve">Brewster </w:t>
      </w:r>
      <w:r w:rsidRPr="00D93075">
        <w:rPr>
          <w:rFonts w:ascii="Times New Roman" w:hAnsi="Times New Roman"/>
          <w:sz w:val="24"/>
        </w:rPr>
        <w:t>(2019) 269 CLR 574 at 607 [73].</w:t>
      </w:r>
    </w:p>
  </w:footnote>
  <w:footnote w:id="130">
    <w:p w14:paraId="605F2C47"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See </w:t>
      </w:r>
      <w:r w:rsidRPr="00D93075">
        <w:rPr>
          <w:rFonts w:ascii="Times New Roman" w:hAnsi="Times New Roman"/>
          <w:i/>
          <w:iCs/>
          <w:sz w:val="24"/>
        </w:rPr>
        <w:t xml:space="preserve">R&amp;B Investments Pty Ltd v Blue Sky Alternative Investments Ltd (In liq) </w:t>
      </w:r>
      <w:r w:rsidRPr="00D93075">
        <w:rPr>
          <w:rFonts w:ascii="Times New Roman" w:hAnsi="Times New Roman"/>
          <w:sz w:val="24"/>
        </w:rPr>
        <w:t xml:space="preserve">(2024) 304 FCR 395; </w:t>
      </w:r>
      <w:r w:rsidRPr="00D93075">
        <w:rPr>
          <w:rFonts w:ascii="Times New Roman" w:hAnsi="Times New Roman"/>
          <w:i/>
          <w:iCs/>
          <w:sz w:val="24"/>
        </w:rPr>
        <w:t xml:space="preserve">Kain v R&amp;B Investments Pty Ltd as Trustee for the R&amp;B Pension Fund </w:t>
      </w:r>
      <w:r w:rsidRPr="00D93075">
        <w:rPr>
          <w:rFonts w:ascii="Times New Roman" w:hAnsi="Times New Roman"/>
          <w:sz w:val="24"/>
        </w:rPr>
        <w:t>[2024] HCASL 286.</w:t>
      </w:r>
    </w:p>
  </w:footnote>
  <w:footnote w:id="131">
    <w:p w14:paraId="3E328326"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Federal Court of Australia Act 1976 </w:t>
      </w:r>
      <w:r w:rsidRPr="00D93075">
        <w:rPr>
          <w:rFonts w:ascii="Times New Roman" w:hAnsi="Times New Roman"/>
          <w:sz w:val="24"/>
        </w:rPr>
        <w:t>(Cth), s 33ZF.</w:t>
      </w:r>
    </w:p>
  </w:footnote>
  <w:footnote w:id="132">
    <w:p w14:paraId="32DE1D1A"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Subject to binding statements to the contrary by this Court. </w:t>
      </w:r>
    </w:p>
  </w:footnote>
  <w:footnote w:id="133">
    <w:p w14:paraId="0E0F2F30"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Farah Constructions Pty Ltd v Say-Dee Pty Ltd</w:t>
      </w:r>
      <w:r w:rsidRPr="00D93075">
        <w:rPr>
          <w:rFonts w:ascii="Times New Roman" w:hAnsi="Times New Roman"/>
          <w:sz w:val="24"/>
        </w:rPr>
        <w:t xml:space="preserve"> (2007) 230 CLR 89 at 151-152 [135]; </w:t>
      </w:r>
      <w:r w:rsidRPr="00D93075">
        <w:rPr>
          <w:rFonts w:ascii="Times New Roman" w:hAnsi="Times New Roman"/>
          <w:i/>
          <w:iCs/>
          <w:sz w:val="24"/>
        </w:rPr>
        <w:t>CAL No 14 Pty Ltd v Motor Accidents Insurance Board</w:t>
      </w:r>
      <w:r w:rsidRPr="00D93075">
        <w:rPr>
          <w:rFonts w:ascii="Times New Roman" w:hAnsi="Times New Roman"/>
          <w:sz w:val="24"/>
        </w:rPr>
        <w:t xml:space="preserve"> (2009) 239 CLR 390 at 411-412 [49]; </w:t>
      </w:r>
      <w:r w:rsidRPr="00D93075">
        <w:rPr>
          <w:rFonts w:ascii="Times New Roman" w:hAnsi="Times New Roman"/>
          <w:i/>
          <w:iCs/>
          <w:sz w:val="24"/>
        </w:rPr>
        <w:t>Hili v The Queen</w:t>
      </w:r>
      <w:r w:rsidRPr="00D93075">
        <w:rPr>
          <w:rFonts w:ascii="Times New Roman" w:hAnsi="Times New Roman"/>
          <w:sz w:val="24"/>
        </w:rPr>
        <w:t xml:space="preserve"> (2010) 242 CLR 520 at 538 [57]; </w:t>
      </w:r>
      <w:r w:rsidRPr="00D93075">
        <w:rPr>
          <w:rFonts w:ascii="Times New Roman" w:hAnsi="Times New Roman"/>
          <w:i/>
          <w:sz w:val="24"/>
        </w:rPr>
        <w:t xml:space="preserve">R v Falzon </w:t>
      </w:r>
      <w:r w:rsidRPr="00D93075">
        <w:rPr>
          <w:rFonts w:ascii="Times New Roman" w:hAnsi="Times New Roman"/>
          <w:sz w:val="24"/>
        </w:rPr>
        <w:t xml:space="preserve">(2018) 264 CLR 361 at 380 [49]. </w:t>
      </w:r>
    </w:p>
  </w:footnote>
  <w:footnote w:id="134">
    <w:p w14:paraId="7791F583"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Hill v Zuda Pty Ltd </w:t>
      </w:r>
      <w:r w:rsidRPr="00D93075">
        <w:rPr>
          <w:rFonts w:ascii="Times New Roman" w:hAnsi="Times New Roman"/>
          <w:sz w:val="24"/>
        </w:rPr>
        <w:t>(2022) 275 CLR 24 at 34-35 [25].</w:t>
      </w:r>
    </w:p>
  </w:footnote>
  <w:footnote w:id="135">
    <w:p w14:paraId="3584A1D2"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(2020) 102 NSWLR 199.</w:t>
      </w:r>
    </w:p>
  </w:footnote>
  <w:footnote w:id="136">
    <w:p w14:paraId="3C40B940"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(2022) 291 FCR 116.</w:t>
      </w:r>
    </w:p>
  </w:footnote>
  <w:footnote w:id="137">
    <w:p w14:paraId="1A0F9C6D"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Pallas v Lendlease Corporation Ltd </w:t>
      </w:r>
      <w:r w:rsidRPr="00D93075">
        <w:rPr>
          <w:rFonts w:ascii="Times New Roman" w:hAnsi="Times New Roman"/>
          <w:sz w:val="24"/>
        </w:rPr>
        <w:t>(2024) 114 NSWLR 81 at 90 [23], 113 [127], 116 [138], [139], 120 [160].</w:t>
      </w:r>
    </w:p>
  </w:footnote>
  <w:footnote w:id="138">
    <w:p w14:paraId="63F0C2B5"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See </w:t>
      </w:r>
      <w:r w:rsidRPr="00D93075">
        <w:rPr>
          <w:rFonts w:ascii="Times New Roman" w:hAnsi="Times New Roman"/>
          <w:i/>
          <w:iCs/>
          <w:sz w:val="24"/>
        </w:rPr>
        <w:t xml:space="preserve">Attorney-General of St Christopher, Nevis and Anguilla v Reynolds </w:t>
      </w:r>
      <w:r w:rsidRPr="00D93075">
        <w:rPr>
          <w:rFonts w:ascii="Times New Roman" w:hAnsi="Times New Roman"/>
          <w:sz w:val="24"/>
        </w:rPr>
        <w:t>[1980] AC 637 at 659.</w:t>
      </w:r>
    </w:p>
  </w:footnote>
  <w:footnote w:id="139">
    <w:p w14:paraId="266A940A" w14:textId="77777777" w:rsidR="00111641" w:rsidRPr="00D93075" w:rsidRDefault="00111641" w:rsidP="00D93075">
      <w:pPr>
        <w:pStyle w:val="FootnoteText"/>
        <w:spacing w:line="280" w:lineRule="exact"/>
        <w:ind w:right="0"/>
        <w:jc w:val="both"/>
        <w:rPr>
          <w:rFonts w:ascii="Times New Roman" w:hAnsi="Times New Roman"/>
          <w:i/>
          <w:i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QYFM v Minister for Immigration, Citizenship, Migrant Services and Multicultural Affairs </w:t>
      </w:r>
      <w:r w:rsidRPr="00D93075">
        <w:rPr>
          <w:rFonts w:ascii="Times New Roman" w:hAnsi="Times New Roman"/>
          <w:sz w:val="24"/>
        </w:rPr>
        <w:t xml:space="preserve">(2023) 279 CLR 148 at 184-185 [111]. </w:t>
      </w:r>
    </w:p>
  </w:footnote>
  <w:footnote w:id="140">
    <w:p w14:paraId="61BE07E4"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Green v The Queen </w:t>
      </w:r>
      <w:r w:rsidRPr="00D93075">
        <w:rPr>
          <w:rFonts w:ascii="Times New Roman" w:hAnsi="Times New Roman"/>
          <w:sz w:val="24"/>
        </w:rPr>
        <w:t xml:space="preserve">(2011) 244 CLR 462 at 491-492 [87]. </w:t>
      </w:r>
    </w:p>
  </w:footnote>
  <w:footnote w:id="141">
    <w:p w14:paraId="5241A1E0"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Australian Securities Commission v Marlborough Gold Mines Ltd</w:t>
      </w:r>
      <w:r w:rsidRPr="00D93075">
        <w:rPr>
          <w:rFonts w:ascii="Times New Roman" w:hAnsi="Times New Roman"/>
          <w:sz w:val="24"/>
        </w:rPr>
        <w:t xml:space="preserve"> (1993) 177 CLR 485 at 492; </w:t>
      </w:r>
      <w:r w:rsidRPr="00D93075">
        <w:rPr>
          <w:rFonts w:ascii="Times New Roman" w:hAnsi="Times New Roman"/>
          <w:i/>
          <w:iCs/>
          <w:sz w:val="24"/>
        </w:rPr>
        <w:t xml:space="preserve">Farah Constructions Pty Ltd v Say-Dee Pty Ltd </w:t>
      </w:r>
      <w:r w:rsidRPr="00D93075">
        <w:rPr>
          <w:rFonts w:ascii="Times New Roman" w:hAnsi="Times New Roman"/>
          <w:sz w:val="24"/>
        </w:rPr>
        <w:t xml:space="preserve">(2007) 230 CLR 89 at 151-152 [135]; </w:t>
      </w:r>
      <w:r w:rsidRPr="00D93075">
        <w:rPr>
          <w:rFonts w:ascii="Times New Roman" w:hAnsi="Times New Roman"/>
          <w:i/>
          <w:iCs/>
          <w:sz w:val="24"/>
        </w:rPr>
        <w:t xml:space="preserve">Hill v Zuda Pty Ltd </w:t>
      </w:r>
      <w:r w:rsidRPr="00D93075">
        <w:rPr>
          <w:rFonts w:ascii="Times New Roman" w:hAnsi="Times New Roman"/>
          <w:sz w:val="24"/>
        </w:rPr>
        <w:t xml:space="preserve">(2022) 275 CLR 24 at 34-35 [25]; </w:t>
      </w:r>
      <w:r w:rsidRPr="00D93075">
        <w:rPr>
          <w:rFonts w:ascii="Times New Roman" w:hAnsi="Times New Roman"/>
          <w:i/>
          <w:iCs/>
          <w:sz w:val="24"/>
        </w:rPr>
        <w:t xml:space="preserve">QYFM v Minister for Immigration, Citizenship, Migrant Services and Multicultural Affairs </w:t>
      </w:r>
      <w:r w:rsidRPr="00D93075">
        <w:rPr>
          <w:rFonts w:ascii="Times New Roman" w:hAnsi="Times New Roman"/>
          <w:sz w:val="24"/>
        </w:rPr>
        <w:t xml:space="preserve">(2023) 279 CLR 148 at 184-185 [111]. See also </w:t>
      </w:r>
      <w:r w:rsidRPr="00D93075">
        <w:rPr>
          <w:rFonts w:ascii="Times New Roman" w:hAnsi="Times New Roman"/>
          <w:i/>
          <w:iCs/>
          <w:sz w:val="24"/>
        </w:rPr>
        <w:t>Willers v Joyce [No 2]</w:t>
      </w:r>
      <w:r w:rsidRPr="00D93075">
        <w:rPr>
          <w:rFonts w:ascii="Times New Roman" w:hAnsi="Times New Roman"/>
          <w:sz w:val="24"/>
        </w:rPr>
        <w:t xml:space="preserve"> [2018] AC 843. </w:t>
      </w:r>
    </w:p>
  </w:footnote>
  <w:footnote w:id="142">
    <w:p w14:paraId="3AEBE55E"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Compare </w:t>
      </w:r>
      <w:r w:rsidRPr="00D93075">
        <w:rPr>
          <w:rFonts w:ascii="Times New Roman" w:hAnsi="Times New Roman"/>
          <w:i/>
          <w:iCs/>
          <w:sz w:val="24"/>
        </w:rPr>
        <w:t xml:space="preserve">Nguyen v Nguyen </w:t>
      </w:r>
      <w:r w:rsidRPr="00D93075">
        <w:rPr>
          <w:rFonts w:ascii="Times New Roman" w:hAnsi="Times New Roman"/>
          <w:sz w:val="24"/>
        </w:rPr>
        <w:t>(1990) 169 CLR 245 at 268.</w:t>
      </w:r>
    </w:p>
  </w:footnote>
  <w:footnote w:id="143">
    <w:p w14:paraId="06CB1C92"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Lipohar v The Queen </w:t>
      </w:r>
      <w:r w:rsidRPr="00D93075">
        <w:rPr>
          <w:rFonts w:ascii="Times New Roman" w:hAnsi="Times New Roman"/>
          <w:sz w:val="24"/>
        </w:rPr>
        <w:t>(1999) 200 CLR 485 at 505 [45].</w:t>
      </w:r>
    </w:p>
  </w:footnote>
  <w:footnote w:id="144">
    <w:p w14:paraId="3913C337" w14:textId="77777777" w:rsidR="00111641" w:rsidRPr="00D93075" w:rsidRDefault="00111641" w:rsidP="00D93075">
      <w:pPr>
        <w:pStyle w:val="FootnoteText"/>
        <w:spacing w:line="280" w:lineRule="exact"/>
        <w:ind w:right="0"/>
        <w:jc w:val="both"/>
        <w:rPr>
          <w:rFonts w:ascii="Times New Roman" w:hAnsi="Times New Roman"/>
          <w:b/>
          <w:b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Lange v Australian Broadcasting Corporation </w:t>
      </w:r>
      <w:r w:rsidRPr="00D93075">
        <w:rPr>
          <w:rFonts w:ascii="Times New Roman" w:hAnsi="Times New Roman"/>
          <w:sz w:val="24"/>
        </w:rPr>
        <w:t xml:space="preserve">(1997) 189 CLR 520 at 563. See also </w:t>
      </w:r>
      <w:r w:rsidRPr="00D93075">
        <w:rPr>
          <w:rFonts w:ascii="Times New Roman" w:hAnsi="Times New Roman"/>
          <w:i/>
          <w:iCs/>
          <w:sz w:val="24"/>
        </w:rPr>
        <w:t xml:space="preserve">Lipohar v The Queen </w:t>
      </w:r>
      <w:r w:rsidRPr="00D93075">
        <w:rPr>
          <w:rFonts w:ascii="Times New Roman" w:hAnsi="Times New Roman"/>
          <w:sz w:val="24"/>
        </w:rPr>
        <w:t>(1999) 200 CLR 485 at 506 [46].</w:t>
      </w:r>
    </w:p>
  </w:footnote>
  <w:footnote w:id="145">
    <w:p w14:paraId="4634D4F8"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See </w:t>
      </w:r>
      <w:r w:rsidRPr="00D93075">
        <w:rPr>
          <w:rFonts w:ascii="Times New Roman" w:hAnsi="Times New Roman"/>
          <w:i/>
          <w:iCs/>
          <w:sz w:val="24"/>
        </w:rPr>
        <w:t>Construction, Forestry, Maritime, Mining and Energy Union v Personnel Contracting Pty Ltd</w:t>
      </w:r>
      <w:r w:rsidRPr="00D93075">
        <w:rPr>
          <w:rFonts w:ascii="Times New Roman" w:hAnsi="Times New Roman"/>
          <w:sz w:val="24"/>
        </w:rPr>
        <w:t xml:space="preserve"> (2020) 279 FCR 631 at 667-668 [125].</w:t>
      </w:r>
    </w:p>
  </w:footnote>
  <w:footnote w:id="146">
    <w:p w14:paraId="73DB0C93"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Dixon, "Sources of Legal Authority", in </w:t>
      </w:r>
      <w:r w:rsidRPr="00D93075">
        <w:rPr>
          <w:rFonts w:ascii="Times New Roman" w:hAnsi="Times New Roman"/>
          <w:i/>
          <w:iCs/>
          <w:sz w:val="24"/>
        </w:rPr>
        <w:t>Jesting Pilate</w:t>
      </w:r>
      <w:r w:rsidRPr="00D93075">
        <w:rPr>
          <w:rFonts w:ascii="Times New Roman" w:hAnsi="Times New Roman"/>
          <w:sz w:val="24"/>
        </w:rPr>
        <w:t xml:space="preserve"> </w:t>
      </w:r>
      <w:r w:rsidRPr="00D93075">
        <w:rPr>
          <w:rFonts w:ascii="Times New Roman" w:hAnsi="Times New Roman"/>
          <w:i/>
          <w:iCs/>
          <w:sz w:val="24"/>
        </w:rPr>
        <w:t xml:space="preserve">and Other Papers and Addresses </w:t>
      </w:r>
      <w:r w:rsidRPr="00D93075">
        <w:rPr>
          <w:rFonts w:ascii="Times New Roman" w:hAnsi="Times New Roman"/>
          <w:sz w:val="24"/>
        </w:rPr>
        <w:t xml:space="preserve">(1965) 198 at 199. </w:t>
      </w:r>
    </w:p>
  </w:footnote>
  <w:footnote w:id="147">
    <w:p w14:paraId="357E657B"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bookmarkStart w:id="1" w:name="_Hlk188356228"/>
      <w:r w:rsidRPr="00D93075">
        <w:rPr>
          <w:rFonts w:ascii="Times New Roman" w:hAnsi="Times New Roman"/>
          <w:i/>
          <w:iCs/>
          <w:sz w:val="24"/>
        </w:rPr>
        <w:t xml:space="preserve">Attorney-General of St Christopher, Nevis and Anguilla v Reynolds </w:t>
      </w:r>
      <w:r w:rsidRPr="00D93075">
        <w:rPr>
          <w:rFonts w:ascii="Times New Roman" w:hAnsi="Times New Roman"/>
          <w:sz w:val="24"/>
        </w:rPr>
        <w:t>[1980] AC 637</w:t>
      </w:r>
      <w:bookmarkEnd w:id="1"/>
      <w:r w:rsidRPr="00D93075">
        <w:rPr>
          <w:rFonts w:ascii="Times New Roman" w:hAnsi="Times New Roman"/>
          <w:sz w:val="24"/>
        </w:rPr>
        <w:t xml:space="preserve"> at 659.</w:t>
      </w:r>
    </w:p>
  </w:footnote>
  <w:footnote w:id="148">
    <w:p w14:paraId="4D07DFBF" w14:textId="77777777" w:rsidR="00111641" w:rsidRPr="00D93075" w:rsidRDefault="00111641" w:rsidP="00D93075">
      <w:pPr>
        <w:pStyle w:val="FootnoteText"/>
        <w:spacing w:line="280" w:lineRule="exact"/>
        <w:ind w:right="0"/>
        <w:jc w:val="both"/>
        <w:rPr>
          <w:rFonts w:ascii="Times New Roman" w:hAnsi="Times New Roman"/>
          <w:i/>
          <w:i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Hill v Zuda Pty Ltd </w:t>
      </w:r>
      <w:r w:rsidRPr="00D93075">
        <w:rPr>
          <w:rFonts w:ascii="Times New Roman" w:hAnsi="Times New Roman"/>
          <w:sz w:val="24"/>
        </w:rPr>
        <w:t>(2022) 275 CLR 24 at 34 [25].</w:t>
      </w:r>
    </w:p>
  </w:footnote>
  <w:footnote w:id="149">
    <w:p w14:paraId="421F87D7"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Farah Constructions Pty Ltd v Say-Dee Pty Ltd</w:t>
      </w:r>
      <w:r w:rsidRPr="00D93075">
        <w:rPr>
          <w:rFonts w:ascii="Times New Roman" w:hAnsi="Times New Roman"/>
          <w:sz w:val="24"/>
        </w:rPr>
        <w:t xml:space="preserve"> (2007) 230 CLR 89 at 151-152 [135].</w:t>
      </w:r>
    </w:p>
  </w:footnote>
  <w:footnote w:id="150">
    <w:p w14:paraId="4EAB1AB2"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See Heydon, "How Far Can Trial Courts and Intermediate Appellate Courts Develop the Law?" (2009) 9 </w:t>
      </w:r>
      <w:r w:rsidRPr="00D93075">
        <w:rPr>
          <w:rFonts w:ascii="Times New Roman" w:hAnsi="Times New Roman"/>
          <w:i/>
          <w:iCs/>
          <w:sz w:val="24"/>
        </w:rPr>
        <w:t xml:space="preserve">Oxford University Commonwealth Law Journal </w:t>
      </w:r>
      <w:r w:rsidRPr="00D93075">
        <w:rPr>
          <w:rFonts w:ascii="Times New Roman" w:hAnsi="Times New Roman"/>
          <w:sz w:val="24"/>
        </w:rPr>
        <w:t>1 at 24-26.</w:t>
      </w:r>
    </w:p>
  </w:footnote>
  <w:footnote w:id="151">
    <w:p w14:paraId="152C0578" w14:textId="77777777" w:rsidR="00111641" w:rsidRPr="00D93075" w:rsidRDefault="00111641" w:rsidP="00D93075">
      <w:pPr>
        <w:pStyle w:val="FootnoteText"/>
        <w:spacing w:line="280" w:lineRule="exact"/>
        <w:ind w:right="0"/>
        <w:jc w:val="both"/>
        <w:rPr>
          <w:rFonts w:ascii="Times New Roman" w:hAnsi="Times New Roman"/>
          <w:b/>
          <w:b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[1966] 1 WLR 1234.</w:t>
      </w:r>
    </w:p>
  </w:footnote>
  <w:footnote w:id="152">
    <w:p w14:paraId="54DA8829"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O'Brien v Robinson </w:t>
      </w:r>
      <w:r w:rsidRPr="00D93075">
        <w:rPr>
          <w:rFonts w:ascii="Times New Roman" w:hAnsi="Times New Roman"/>
          <w:sz w:val="24"/>
        </w:rPr>
        <w:t xml:space="preserve">[1973] AC 912 at 930; </w:t>
      </w:r>
      <w:r w:rsidRPr="00D93075">
        <w:rPr>
          <w:rFonts w:ascii="Times New Roman" w:hAnsi="Times New Roman"/>
          <w:i/>
          <w:iCs/>
          <w:sz w:val="24"/>
        </w:rPr>
        <w:t xml:space="preserve">Fitzleet Estates Ltd v Cherry </w:t>
      </w:r>
      <w:r w:rsidRPr="00D93075">
        <w:rPr>
          <w:rFonts w:ascii="Times New Roman" w:hAnsi="Times New Roman"/>
          <w:sz w:val="24"/>
        </w:rPr>
        <w:t xml:space="preserve">[1977] 1 WLR 1345 at 1350; [1977] 3 All ER 996 at 1000. </w:t>
      </w:r>
    </w:p>
  </w:footnote>
  <w:footnote w:id="153">
    <w:p w14:paraId="5EA6763E" w14:textId="77777777" w:rsidR="00111641" w:rsidRPr="00D93075" w:rsidRDefault="00111641" w:rsidP="00D93075">
      <w:pPr>
        <w:pStyle w:val="FootnoteText"/>
        <w:spacing w:line="280" w:lineRule="exact"/>
        <w:ind w:right="0"/>
        <w:jc w:val="both"/>
        <w:rPr>
          <w:rFonts w:ascii="Times New Roman" w:hAnsi="Times New Roman"/>
          <w:b/>
          <w:b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Australian Agricultural Co v Federated Engine-Drivers and Firemen's Association of Australasia</w:t>
      </w:r>
      <w:r w:rsidRPr="00D93075">
        <w:rPr>
          <w:rFonts w:ascii="Times New Roman" w:hAnsi="Times New Roman"/>
          <w:sz w:val="24"/>
        </w:rPr>
        <w:t xml:space="preserve"> (1913) 17 CLR 261 at 278-279; </w:t>
      </w:r>
      <w:r w:rsidRPr="00D93075">
        <w:rPr>
          <w:rFonts w:ascii="Times New Roman" w:hAnsi="Times New Roman"/>
          <w:i/>
          <w:iCs/>
          <w:sz w:val="24"/>
        </w:rPr>
        <w:t xml:space="preserve">R v Commonwealth Court of Conciliation and Arbitration (The Tramways Case [No 1]) </w:t>
      </w:r>
      <w:r w:rsidRPr="00D93075">
        <w:rPr>
          <w:rFonts w:ascii="Times New Roman" w:hAnsi="Times New Roman"/>
          <w:sz w:val="24"/>
        </w:rPr>
        <w:t xml:space="preserve">(1914) 18 CLR 54 at 58, 69; </w:t>
      </w:r>
      <w:r w:rsidRPr="00D93075">
        <w:rPr>
          <w:rFonts w:ascii="Times New Roman" w:hAnsi="Times New Roman"/>
          <w:i/>
          <w:iCs/>
          <w:sz w:val="24"/>
        </w:rPr>
        <w:t xml:space="preserve">Cain v Malone </w:t>
      </w:r>
      <w:r w:rsidRPr="00D93075">
        <w:rPr>
          <w:rFonts w:ascii="Times New Roman" w:hAnsi="Times New Roman"/>
          <w:sz w:val="24"/>
        </w:rPr>
        <w:t xml:space="preserve">(1942) 66 CLR 10 at 15; </w:t>
      </w:r>
      <w:r w:rsidRPr="00D93075">
        <w:rPr>
          <w:rFonts w:ascii="Times New Roman" w:hAnsi="Times New Roman"/>
          <w:i/>
          <w:iCs/>
          <w:sz w:val="24"/>
        </w:rPr>
        <w:t xml:space="preserve">Geelong Harbour Trust Commissioners v Gibbs, Bright &amp; Co </w:t>
      </w:r>
      <w:r w:rsidRPr="00D93075">
        <w:rPr>
          <w:rFonts w:ascii="Times New Roman" w:hAnsi="Times New Roman"/>
          <w:sz w:val="24"/>
        </w:rPr>
        <w:t xml:space="preserve">(1970) 122 CLR 504 at 516; </w:t>
      </w:r>
      <w:r w:rsidRPr="00D93075">
        <w:rPr>
          <w:rFonts w:ascii="Times New Roman" w:hAnsi="Times New Roman"/>
          <w:i/>
          <w:iCs/>
          <w:sz w:val="24"/>
        </w:rPr>
        <w:t>Babaniaris v Lutony Fashions Pty Ltd</w:t>
      </w:r>
      <w:r w:rsidRPr="00D93075">
        <w:rPr>
          <w:rFonts w:ascii="Times New Roman" w:hAnsi="Times New Roman"/>
          <w:sz w:val="24"/>
        </w:rPr>
        <w:t xml:space="preserve"> (1987) 163 CLR 1 at 13.</w:t>
      </w:r>
    </w:p>
  </w:footnote>
  <w:footnote w:id="154">
    <w:p w14:paraId="33131133" w14:textId="77777777" w:rsidR="00111641" w:rsidRPr="00D93075" w:rsidRDefault="00111641" w:rsidP="00D93075">
      <w:pPr>
        <w:pStyle w:val="FootnoteText"/>
        <w:spacing w:line="280" w:lineRule="exact"/>
        <w:ind w:right="0"/>
        <w:jc w:val="both"/>
        <w:rPr>
          <w:rFonts w:ascii="Times New Roman" w:hAnsi="Times New Roman"/>
          <w:b/>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Daniell v Robotham </w:t>
      </w:r>
      <w:r w:rsidRPr="00D93075">
        <w:rPr>
          <w:rFonts w:ascii="Times New Roman" w:hAnsi="Times New Roman"/>
          <w:sz w:val="24"/>
        </w:rPr>
        <w:t xml:space="preserve">(1883) 9 VLR (L) 215 at 216; </w:t>
      </w:r>
      <w:r w:rsidRPr="00D93075">
        <w:rPr>
          <w:rFonts w:ascii="Times New Roman" w:hAnsi="Times New Roman"/>
          <w:i/>
          <w:iCs/>
          <w:sz w:val="24"/>
        </w:rPr>
        <w:t>Lord v Still</w:t>
      </w:r>
      <w:r w:rsidRPr="00D93075">
        <w:rPr>
          <w:rFonts w:ascii="Times New Roman" w:hAnsi="Times New Roman"/>
          <w:sz w:val="24"/>
        </w:rPr>
        <w:t xml:space="preserve"> [1962] SR (NSW) 709 at 716; </w:t>
      </w:r>
      <w:r w:rsidRPr="00D93075">
        <w:rPr>
          <w:rFonts w:ascii="Times New Roman" w:hAnsi="Times New Roman"/>
          <w:i/>
          <w:iCs/>
          <w:sz w:val="24"/>
        </w:rPr>
        <w:t xml:space="preserve">R v White </w:t>
      </w:r>
      <w:r w:rsidRPr="00D93075">
        <w:rPr>
          <w:rFonts w:ascii="Times New Roman" w:hAnsi="Times New Roman"/>
          <w:sz w:val="24"/>
        </w:rPr>
        <w:t xml:space="preserve">[1967] SASR 184 at 202; </w:t>
      </w:r>
      <w:r w:rsidRPr="00D93075">
        <w:rPr>
          <w:rFonts w:ascii="Times New Roman" w:hAnsi="Times New Roman"/>
          <w:i/>
          <w:iCs/>
          <w:sz w:val="24"/>
        </w:rPr>
        <w:t xml:space="preserve">Transurban City Link Ltd v Allan </w:t>
      </w:r>
      <w:r w:rsidRPr="00D93075">
        <w:rPr>
          <w:rFonts w:ascii="Times New Roman" w:hAnsi="Times New Roman"/>
          <w:sz w:val="24"/>
        </w:rPr>
        <w:t xml:space="preserve">(1999) 95 FCR 553 at 560 [29]; </w:t>
      </w:r>
      <w:r w:rsidRPr="00D93075">
        <w:rPr>
          <w:rFonts w:ascii="Times New Roman" w:hAnsi="Times New Roman"/>
          <w:i/>
          <w:iCs/>
          <w:sz w:val="24"/>
        </w:rPr>
        <w:t xml:space="preserve">S v Boulton </w:t>
      </w:r>
      <w:r w:rsidRPr="00D93075">
        <w:rPr>
          <w:rFonts w:ascii="Times New Roman" w:hAnsi="Times New Roman"/>
          <w:sz w:val="24"/>
        </w:rPr>
        <w:t xml:space="preserve">(2006) 151 FCR 364 at 370 [27]. </w:t>
      </w:r>
    </w:p>
  </w:footnote>
  <w:footnote w:id="155">
    <w:p w14:paraId="7D87A1D9"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Australian Securities Commission v Marlborough Gold Mines Ltd</w:t>
      </w:r>
      <w:r w:rsidRPr="00D93075">
        <w:rPr>
          <w:rFonts w:ascii="Times New Roman" w:hAnsi="Times New Roman"/>
          <w:sz w:val="24"/>
        </w:rPr>
        <w:t xml:space="preserve"> (1993) 177 CLR 485 at 492.</w:t>
      </w:r>
    </w:p>
  </w:footnote>
  <w:footnote w:id="156">
    <w:p w14:paraId="5758F73E"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Hasler v Singtel Optus Pty Ltd </w:t>
      </w:r>
      <w:r w:rsidRPr="00D93075">
        <w:rPr>
          <w:rFonts w:ascii="Times New Roman" w:hAnsi="Times New Roman"/>
          <w:sz w:val="24"/>
        </w:rPr>
        <w:t xml:space="preserve">(2014) 87 NSWLR 609 at 631-632 [97]-[100]; </w:t>
      </w:r>
      <w:r w:rsidRPr="00D93075">
        <w:rPr>
          <w:rFonts w:ascii="Times New Roman" w:hAnsi="Times New Roman"/>
          <w:i/>
          <w:iCs/>
          <w:sz w:val="24"/>
        </w:rPr>
        <w:t xml:space="preserve">Commonwealth Bank of Australia v Kojic </w:t>
      </w:r>
      <w:r w:rsidRPr="00D93075">
        <w:rPr>
          <w:rFonts w:ascii="Times New Roman" w:hAnsi="Times New Roman"/>
          <w:sz w:val="24"/>
        </w:rPr>
        <w:t xml:space="preserve">(2016) 249 FCR 421 at 457 [149]. See also Leeming, "Farah and its progeny: comity among intermediate appellate courts" (2015) 12 </w:t>
      </w:r>
      <w:r w:rsidRPr="00D93075">
        <w:rPr>
          <w:rFonts w:ascii="Times New Roman" w:hAnsi="Times New Roman"/>
          <w:i/>
          <w:iCs/>
          <w:sz w:val="24"/>
        </w:rPr>
        <w:t xml:space="preserve">The Judicial Review </w:t>
      </w:r>
      <w:r w:rsidRPr="00D93075">
        <w:rPr>
          <w:rFonts w:ascii="Times New Roman" w:hAnsi="Times New Roman"/>
          <w:sz w:val="24"/>
        </w:rPr>
        <w:t>165 at 180-182.</w:t>
      </w:r>
    </w:p>
  </w:footnote>
  <w:footnote w:id="157">
    <w:p w14:paraId="0B11F7A5"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Bell Lawyers Pty Ltd v Pentelow </w:t>
      </w:r>
      <w:r w:rsidRPr="00D93075">
        <w:rPr>
          <w:rFonts w:ascii="Times New Roman" w:hAnsi="Times New Roman"/>
          <w:sz w:val="24"/>
        </w:rPr>
        <w:t xml:space="preserve">(2019) 269 CLR 333 at 363 [81].  </w:t>
      </w:r>
      <w:r w:rsidRPr="00D93075">
        <w:rPr>
          <w:rFonts w:ascii="Times New Roman" w:hAnsi="Times New Roman"/>
          <w:sz w:val="24"/>
        </w:rPr>
        <w:tab/>
      </w:r>
    </w:p>
  </w:footnote>
  <w:footnote w:id="158">
    <w:p w14:paraId="4B561A8E"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Walker Corporation Pty Ltd v Sydney Harbour Foreshore Authority </w:t>
      </w:r>
      <w:r w:rsidRPr="00D93075">
        <w:rPr>
          <w:rFonts w:ascii="Times New Roman" w:hAnsi="Times New Roman"/>
          <w:sz w:val="24"/>
        </w:rPr>
        <w:t xml:space="preserve">(2008) 233 CLR 259 at 270 [31]. </w:t>
      </w:r>
    </w:p>
  </w:footnote>
  <w:footnote w:id="159">
    <w:p w14:paraId="41459A78"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Marshall v Director General, Department of Transport </w:t>
      </w:r>
      <w:r w:rsidRPr="00D93075">
        <w:rPr>
          <w:rFonts w:ascii="Times New Roman" w:hAnsi="Times New Roman"/>
          <w:sz w:val="24"/>
        </w:rPr>
        <w:t xml:space="preserve">(2001) 205 CLR 603 at 632-633 [62]. </w:t>
      </w:r>
    </w:p>
  </w:footnote>
  <w:footnote w:id="160">
    <w:p w14:paraId="2643C21D"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Compare </w:t>
      </w:r>
      <w:r w:rsidRPr="00D93075">
        <w:rPr>
          <w:rFonts w:ascii="Times New Roman" w:hAnsi="Times New Roman"/>
          <w:i/>
          <w:iCs/>
          <w:sz w:val="24"/>
        </w:rPr>
        <w:t xml:space="preserve">Vunilagi v The Queen </w:t>
      </w:r>
      <w:r w:rsidRPr="00D93075">
        <w:rPr>
          <w:rFonts w:ascii="Times New Roman" w:hAnsi="Times New Roman"/>
          <w:sz w:val="24"/>
        </w:rPr>
        <w:t>(2023) 279 CLR 259 at 317 [178], 331-332 [221].</w:t>
      </w:r>
    </w:p>
  </w:footnote>
  <w:footnote w:id="161">
    <w:p w14:paraId="107AA82E"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BHP Billiton Iron Ore Pty Ltd v National Competition Council </w:t>
      </w:r>
      <w:r w:rsidRPr="00D93075">
        <w:rPr>
          <w:rFonts w:ascii="Times New Roman" w:hAnsi="Times New Roman"/>
          <w:sz w:val="24"/>
        </w:rPr>
        <w:t xml:space="preserve">(2007) 162 FCR 234 at 253 [83]. </w:t>
      </w:r>
    </w:p>
  </w:footnote>
  <w:footnote w:id="162">
    <w:p w14:paraId="4C92B7CA" w14:textId="77777777" w:rsidR="00111641" w:rsidRPr="00D93075" w:rsidRDefault="00111641" w:rsidP="00D93075">
      <w:pPr>
        <w:pStyle w:val="FootnoteText"/>
        <w:spacing w:line="280" w:lineRule="exact"/>
        <w:ind w:right="0"/>
        <w:jc w:val="both"/>
        <w:rPr>
          <w:rFonts w:ascii="Times New Roman" w:hAnsi="Times New Roman"/>
          <w:i/>
          <w:i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After </w:t>
      </w:r>
      <w:r w:rsidRPr="00D93075">
        <w:rPr>
          <w:rFonts w:ascii="Times New Roman" w:hAnsi="Times New Roman"/>
          <w:i/>
          <w:iCs/>
          <w:sz w:val="24"/>
        </w:rPr>
        <w:t xml:space="preserve">John v Federal Commissioner of Taxation </w:t>
      </w:r>
      <w:r w:rsidRPr="00D93075">
        <w:rPr>
          <w:rFonts w:ascii="Times New Roman" w:hAnsi="Times New Roman"/>
          <w:sz w:val="24"/>
        </w:rPr>
        <w:t>(1989) 166 CLR 417 at 438-439.</w:t>
      </w:r>
    </w:p>
  </w:footnote>
  <w:footnote w:id="163">
    <w:p w14:paraId="33A19A5F"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Pallas v Lendlease Corporation Ltd </w:t>
      </w:r>
      <w:r w:rsidRPr="00D93075">
        <w:rPr>
          <w:rFonts w:ascii="Times New Roman" w:hAnsi="Times New Roman"/>
          <w:sz w:val="24"/>
        </w:rPr>
        <w:t xml:space="preserve">(2024) 114 NSWLR 81 at 116 [140], referring to </w:t>
      </w:r>
      <w:r w:rsidRPr="00D93075">
        <w:rPr>
          <w:rFonts w:ascii="Times New Roman" w:hAnsi="Times New Roman"/>
          <w:i/>
          <w:iCs/>
          <w:sz w:val="24"/>
        </w:rPr>
        <w:t>Construction, Forestry, Maritime, Mining and Energy Union v Personnel Contracting Pty Ltd</w:t>
      </w:r>
      <w:r w:rsidRPr="00D93075">
        <w:rPr>
          <w:rFonts w:ascii="Times New Roman" w:hAnsi="Times New Roman"/>
          <w:sz w:val="24"/>
        </w:rPr>
        <w:t xml:space="preserve"> (2020) 279 FCR 631 at 668 [126] and other cases. See also </w:t>
      </w:r>
      <w:r w:rsidRPr="00D93075">
        <w:rPr>
          <w:rFonts w:ascii="Times New Roman" w:hAnsi="Times New Roman"/>
          <w:i/>
          <w:sz w:val="24"/>
        </w:rPr>
        <w:t>R v XY</w:t>
      </w:r>
      <w:r w:rsidRPr="00D93075">
        <w:rPr>
          <w:rFonts w:ascii="Times New Roman" w:hAnsi="Times New Roman"/>
          <w:sz w:val="24"/>
        </w:rPr>
        <w:t xml:space="preserve"> (2013) 84 NSWLR 363 at 373 [34].</w:t>
      </w:r>
    </w:p>
  </w:footnote>
  <w:footnote w:id="164">
    <w:p w14:paraId="59AC0E1E"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bookmarkStart w:id="2" w:name="_Hlk192748121"/>
      <w:r w:rsidRPr="00D93075">
        <w:rPr>
          <w:rFonts w:ascii="Times New Roman" w:hAnsi="Times New Roman"/>
          <w:i/>
          <w:iCs/>
          <w:sz w:val="24"/>
        </w:rPr>
        <w:t xml:space="preserve">Hill v Zuda Pty Ltd </w:t>
      </w:r>
      <w:r w:rsidRPr="00D93075">
        <w:rPr>
          <w:rFonts w:ascii="Times New Roman" w:hAnsi="Times New Roman"/>
          <w:sz w:val="24"/>
        </w:rPr>
        <w:t>(2022) 275 CLR 24 at 34-35 [25]</w:t>
      </w:r>
      <w:bookmarkEnd w:id="2"/>
      <w:r w:rsidRPr="00D93075">
        <w:rPr>
          <w:rFonts w:ascii="Times New Roman" w:hAnsi="Times New Roman"/>
          <w:sz w:val="24"/>
        </w:rPr>
        <w:t>.</w:t>
      </w:r>
    </w:p>
  </w:footnote>
  <w:footnote w:id="165">
    <w:p w14:paraId="38A68C69"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Pallas v Lendlease Corporation Ltd </w:t>
      </w:r>
      <w:r w:rsidRPr="00D93075">
        <w:rPr>
          <w:rFonts w:ascii="Times New Roman" w:hAnsi="Times New Roman"/>
          <w:sz w:val="24"/>
        </w:rPr>
        <w:t xml:space="preserve">(2024) 114 NSWLR 81 at 88 [19], quoting </w:t>
      </w:r>
      <w:r w:rsidRPr="00D93075">
        <w:rPr>
          <w:rFonts w:ascii="Times New Roman" w:hAnsi="Times New Roman"/>
          <w:i/>
          <w:sz w:val="24"/>
        </w:rPr>
        <w:t xml:space="preserve">Totaan v The Queen </w:t>
      </w:r>
      <w:r w:rsidRPr="00D93075">
        <w:rPr>
          <w:rFonts w:ascii="Times New Roman" w:hAnsi="Times New Roman"/>
          <w:sz w:val="24"/>
        </w:rPr>
        <w:t>(2022) 108 NSWLR 17 at 35</w:t>
      </w:r>
      <w:r w:rsidRPr="00D93075" w:rsidDel="00AE0EF1">
        <w:rPr>
          <w:rFonts w:ascii="Times New Roman" w:hAnsi="Times New Roman"/>
          <w:sz w:val="24"/>
        </w:rPr>
        <w:t xml:space="preserve"> </w:t>
      </w:r>
      <w:r w:rsidRPr="00D93075">
        <w:rPr>
          <w:rFonts w:ascii="Times New Roman" w:hAnsi="Times New Roman"/>
          <w:sz w:val="24"/>
        </w:rPr>
        <w:t xml:space="preserve">[73], in turn quoting </w:t>
      </w:r>
      <w:r w:rsidRPr="00D93075">
        <w:rPr>
          <w:rFonts w:ascii="Times New Roman" w:hAnsi="Times New Roman"/>
          <w:i/>
          <w:iCs/>
          <w:sz w:val="24"/>
        </w:rPr>
        <w:t xml:space="preserve">Gett v Tabet </w:t>
      </w:r>
      <w:r w:rsidRPr="00D93075">
        <w:rPr>
          <w:rFonts w:ascii="Times New Roman" w:hAnsi="Times New Roman"/>
          <w:sz w:val="24"/>
        </w:rPr>
        <w:t xml:space="preserve">(2009) 109 NSWLR 1 at 15 [294]. See also </w:t>
      </w:r>
      <w:r w:rsidRPr="00D93075">
        <w:rPr>
          <w:rFonts w:ascii="Times New Roman" w:hAnsi="Times New Roman"/>
          <w:i/>
          <w:sz w:val="24"/>
        </w:rPr>
        <w:t xml:space="preserve">Fairfax Digital Australia &amp; New Zealand Pty Ltd v Kazal </w:t>
      </w:r>
      <w:r w:rsidRPr="00D93075">
        <w:rPr>
          <w:rFonts w:ascii="Times New Roman" w:hAnsi="Times New Roman"/>
          <w:sz w:val="24"/>
        </w:rPr>
        <w:t>(2018) 97 NSWLR 547 at 577 [147].</w:t>
      </w:r>
    </w:p>
  </w:footnote>
  <w:footnote w:id="166">
    <w:p w14:paraId="6865671E"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Pallas v Lendlease Corporation Ltd </w:t>
      </w:r>
      <w:r w:rsidRPr="00D93075">
        <w:rPr>
          <w:rFonts w:ascii="Times New Roman" w:hAnsi="Times New Roman"/>
          <w:sz w:val="24"/>
        </w:rPr>
        <w:t>(2024) 114 NSWLR 81 at 89 [21], 116 [138], [140], 120 [160]. Compare 113 [127], 115-116 [137].</w:t>
      </w:r>
    </w:p>
  </w:footnote>
  <w:footnote w:id="167">
    <w:p w14:paraId="1531D4F9"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Compare Hynard and Slobedman, "Intermediate Appellate Courts and the Doctrine of Precedent: </w:t>
      </w:r>
      <w:r w:rsidRPr="00D93075">
        <w:rPr>
          <w:rFonts w:ascii="Times New Roman" w:hAnsi="Times New Roman"/>
          <w:i/>
          <w:iCs/>
          <w:sz w:val="24"/>
        </w:rPr>
        <w:t>Lendlease Corporation Ltd v Pallas</w:t>
      </w:r>
      <w:r w:rsidRPr="00D93075">
        <w:rPr>
          <w:rFonts w:ascii="Times New Roman" w:hAnsi="Times New Roman"/>
          <w:sz w:val="24"/>
        </w:rPr>
        <w:t>"</w:t>
      </w:r>
      <w:r w:rsidRPr="00D93075">
        <w:rPr>
          <w:rFonts w:ascii="Times New Roman" w:hAnsi="Times New Roman"/>
          <w:i/>
          <w:iCs/>
          <w:sz w:val="24"/>
        </w:rPr>
        <w:t xml:space="preserve"> </w:t>
      </w:r>
      <w:r w:rsidRPr="00D93075">
        <w:rPr>
          <w:rFonts w:ascii="Times New Roman" w:hAnsi="Times New Roman"/>
          <w:sz w:val="24"/>
        </w:rPr>
        <w:t xml:space="preserve">(2024) 46 </w:t>
      </w:r>
      <w:r w:rsidRPr="00D93075">
        <w:rPr>
          <w:rFonts w:ascii="Times New Roman" w:hAnsi="Times New Roman"/>
          <w:i/>
          <w:iCs/>
          <w:sz w:val="24"/>
        </w:rPr>
        <w:t xml:space="preserve">Sydney Law Review </w:t>
      </w:r>
      <w:r>
        <w:rPr>
          <w:rFonts w:ascii="Times New Roman" w:hAnsi="Times New Roman"/>
          <w:sz w:val="24"/>
        </w:rPr>
        <w:t>483</w:t>
      </w:r>
      <w:r w:rsidRPr="00D93075">
        <w:rPr>
          <w:rFonts w:ascii="Times New Roman" w:hAnsi="Times New Roman"/>
          <w:sz w:val="24"/>
        </w:rPr>
        <w:t xml:space="preserve">. </w:t>
      </w:r>
    </w:p>
  </w:footnote>
  <w:footnote w:id="168">
    <w:p w14:paraId="33C41D97" w14:textId="77777777" w:rsidR="00111641" w:rsidRPr="00D93075" w:rsidRDefault="00111641" w:rsidP="00D93075">
      <w:pPr>
        <w:pStyle w:val="FootnoteText"/>
        <w:spacing w:line="280" w:lineRule="exact"/>
        <w:ind w:right="0"/>
        <w:jc w:val="both"/>
        <w:rPr>
          <w:rFonts w:ascii="Times New Roman" w:hAnsi="Times New Roman"/>
          <w:i/>
          <w:iCs/>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Compare </w:t>
      </w:r>
      <w:r w:rsidRPr="00D93075">
        <w:rPr>
          <w:rFonts w:ascii="Times New Roman" w:hAnsi="Times New Roman"/>
          <w:i/>
          <w:iCs/>
          <w:sz w:val="24"/>
        </w:rPr>
        <w:t>Farah Constructions Pty Ltd v Say-Dee Pty Ltd</w:t>
      </w:r>
      <w:r w:rsidRPr="00D93075">
        <w:rPr>
          <w:rFonts w:ascii="Times New Roman" w:hAnsi="Times New Roman"/>
          <w:sz w:val="24"/>
        </w:rPr>
        <w:t xml:space="preserve"> (2007) 230 CLR 89 at 151-152 [135] and </w:t>
      </w:r>
      <w:r w:rsidRPr="00D93075">
        <w:rPr>
          <w:rFonts w:ascii="Times New Roman" w:hAnsi="Times New Roman"/>
          <w:i/>
          <w:iCs/>
          <w:sz w:val="24"/>
        </w:rPr>
        <w:t>CAL No 14 Pty Ltd v Motor Accidents Insurance Board</w:t>
      </w:r>
      <w:r w:rsidRPr="00D93075">
        <w:rPr>
          <w:rFonts w:ascii="Times New Roman" w:hAnsi="Times New Roman"/>
          <w:sz w:val="24"/>
        </w:rPr>
        <w:t xml:space="preserve"> (2009) 239 CLR 390 at 412 [49] with </w:t>
      </w:r>
      <w:r w:rsidRPr="00D93075">
        <w:rPr>
          <w:rFonts w:ascii="Times New Roman" w:hAnsi="Times New Roman"/>
          <w:i/>
          <w:iCs/>
          <w:sz w:val="24"/>
        </w:rPr>
        <w:t>Hili v The Queen</w:t>
      </w:r>
      <w:r w:rsidRPr="00D93075">
        <w:rPr>
          <w:rFonts w:ascii="Times New Roman" w:hAnsi="Times New Roman"/>
          <w:sz w:val="24"/>
        </w:rPr>
        <w:t xml:space="preserve"> (2010) 242 CLR 520 at 538 [57] and </w:t>
      </w:r>
      <w:r w:rsidRPr="00D93075">
        <w:rPr>
          <w:rFonts w:ascii="Times New Roman" w:hAnsi="Times New Roman"/>
          <w:i/>
          <w:iCs/>
          <w:sz w:val="24"/>
        </w:rPr>
        <w:t xml:space="preserve">Hill v Zuda Pty Ltd </w:t>
      </w:r>
      <w:r w:rsidRPr="00D93075">
        <w:rPr>
          <w:rFonts w:ascii="Times New Roman" w:hAnsi="Times New Roman"/>
          <w:sz w:val="24"/>
        </w:rPr>
        <w:t>(2022) 275 CLR 24 at 34-35 [25]-[26].</w:t>
      </w:r>
      <w:r w:rsidRPr="00D93075">
        <w:rPr>
          <w:rFonts w:ascii="Times New Roman" w:hAnsi="Times New Roman"/>
          <w:i/>
          <w:iCs/>
          <w:sz w:val="24"/>
        </w:rPr>
        <w:t xml:space="preserve"> </w:t>
      </w:r>
    </w:p>
  </w:footnote>
  <w:footnote w:id="169">
    <w:p w14:paraId="05AFE820"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r>
      <w:r w:rsidRPr="00D93075">
        <w:rPr>
          <w:rFonts w:ascii="Times New Roman" w:hAnsi="Times New Roman"/>
          <w:i/>
          <w:iCs/>
          <w:sz w:val="24"/>
        </w:rPr>
        <w:t xml:space="preserve">Gett v Tabet </w:t>
      </w:r>
      <w:r w:rsidRPr="00D93075">
        <w:rPr>
          <w:rFonts w:ascii="Times New Roman" w:hAnsi="Times New Roman"/>
          <w:sz w:val="24"/>
        </w:rPr>
        <w:t xml:space="preserve">(2009) 109 NSWLR 1 at 13 [285]-[287]. </w:t>
      </w:r>
    </w:p>
  </w:footnote>
  <w:footnote w:id="170">
    <w:p w14:paraId="4868C4ED" w14:textId="77777777" w:rsidR="00111641" w:rsidRPr="00D93075" w:rsidRDefault="00111641" w:rsidP="00D93075">
      <w:pPr>
        <w:pStyle w:val="FootnoteText"/>
        <w:spacing w:line="280" w:lineRule="exact"/>
        <w:ind w:right="0"/>
        <w:jc w:val="both"/>
        <w:rPr>
          <w:rFonts w:ascii="Times New Roman" w:hAnsi="Times New Roman"/>
          <w:sz w:val="24"/>
        </w:rPr>
      </w:pPr>
      <w:r w:rsidRPr="00D93075">
        <w:rPr>
          <w:rStyle w:val="FootnoteReference"/>
          <w:rFonts w:ascii="Times New Roman" w:hAnsi="Times New Roman"/>
          <w:sz w:val="22"/>
          <w:vertAlign w:val="baseline"/>
        </w:rPr>
        <w:footnoteRef/>
      </w:r>
      <w:r w:rsidRPr="00D93075">
        <w:rPr>
          <w:rFonts w:ascii="Times New Roman" w:hAnsi="Times New Roman"/>
          <w:sz w:val="24"/>
        </w:rPr>
        <w:t xml:space="preserve"> </w:t>
      </w:r>
      <w:r w:rsidRPr="00D93075">
        <w:rPr>
          <w:rFonts w:ascii="Times New Roman" w:hAnsi="Times New Roman"/>
          <w:sz w:val="24"/>
        </w:rPr>
        <w:tab/>
        <w:t xml:space="preserve">See </w:t>
      </w:r>
      <w:r w:rsidRPr="00D93075">
        <w:rPr>
          <w:rFonts w:ascii="Times New Roman" w:hAnsi="Times New Roman"/>
          <w:i/>
          <w:iCs/>
          <w:sz w:val="24"/>
        </w:rPr>
        <w:t xml:space="preserve">R v Hargraves </w:t>
      </w:r>
      <w:r w:rsidRPr="00D93075">
        <w:rPr>
          <w:rFonts w:ascii="Times New Roman" w:hAnsi="Times New Roman"/>
          <w:sz w:val="24"/>
        </w:rPr>
        <w:t xml:space="preserve">(2010) 79 ATR 406 at 424 [63]; </w:t>
      </w:r>
      <w:r w:rsidRPr="00D93075">
        <w:rPr>
          <w:rFonts w:ascii="Times New Roman" w:hAnsi="Times New Roman"/>
          <w:i/>
          <w:iCs/>
          <w:sz w:val="24"/>
        </w:rPr>
        <w:t xml:space="preserve">Lo Pilato v Kamy Saeedi Lawyers Pty Ltd </w:t>
      </w:r>
      <w:r w:rsidRPr="00D93075">
        <w:rPr>
          <w:rFonts w:ascii="Times New Roman" w:hAnsi="Times New Roman"/>
          <w:sz w:val="24"/>
        </w:rPr>
        <w:t xml:space="preserve">(2017) 249 FCR 69 at 114 [234]; </w:t>
      </w:r>
      <w:r w:rsidRPr="00D93075">
        <w:rPr>
          <w:rFonts w:ascii="Times New Roman" w:hAnsi="Times New Roman"/>
          <w:i/>
          <w:iCs/>
          <w:sz w:val="24"/>
        </w:rPr>
        <w:t xml:space="preserve">Chel v Fairfax Media Publications [No 6] </w:t>
      </w:r>
      <w:r w:rsidRPr="00D93075">
        <w:rPr>
          <w:rFonts w:ascii="Times New Roman" w:hAnsi="Times New Roman"/>
          <w:sz w:val="24"/>
        </w:rPr>
        <w:t xml:space="preserve">[2017] NSWSC 230 at [37]; </w:t>
      </w:r>
      <w:r w:rsidRPr="00D93075">
        <w:rPr>
          <w:rFonts w:ascii="Times New Roman" w:hAnsi="Times New Roman"/>
          <w:i/>
          <w:iCs/>
          <w:sz w:val="24"/>
        </w:rPr>
        <w:t xml:space="preserve">R v Eckl </w:t>
      </w:r>
      <w:r w:rsidRPr="00D93075">
        <w:rPr>
          <w:rFonts w:ascii="Times New Roman" w:hAnsi="Times New Roman"/>
          <w:sz w:val="24"/>
        </w:rPr>
        <w:t xml:space="preserve">[2023] QSC 178 at [68]-[72]. See also </w:t>
      </w:r>
      <w:r w:rsidRPr="00D93075">
        <w:rPr>
          <w:rFonts w:ascii="Times New Roman" w:hAnsi="Times New Roman"/>
          <w:i/>
          <w:iCs/>
          <w:sz w:val="24"/>
        </w:rPr>
        <w:t xml:space="preserve">Favelle Mort Ltd v Murray </w:t>
      </w:r>
      <w:r w:rsidRPr="00D93075">
        <w:rPr>
          <w:rFonts w:ascii="Times New Roman" w:hAnsi="Times New Roman"/>
          <w:sz w:val="24"/>
        </w:rPr>
        <w:t>(1976) 133 CLR 580 at 591.</w:t>
      </w:r>
    </w:p>
  </w:footnote>
  <w:footnote w:id="171">
    <w:p w14:paraId="3F1393D1"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The precise wording of the notice is set out in the judgment of Gordon and Steward JJ at [52].</w:t>
      </w:r>
    </w:p>
  </w:footnote>
  <w:footnote w:id="172">
    <w:p w14:paraId="6D1A928A"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 v Lendlease Corporation Ltd</w:t>
      </w:r>
      <w:r w:rsidRPr="00D32142" w:rsidDel="00AD6663">
        <w:rPr>
          <w:rFonts w:ascii="Times New Roman" w:hAnsi="Times New Roman"/>
          <w:i/>
          <w:iCs/>
          <w:sz w:val="24"/>
        </w:rPr>
        <w:t xml:space="preserve"> </w:t>
      </w:r>
      <w:r w:rsidRPr="00D32142">
        <w:rPr>
          <w:rFonts w:ascii="Times New Roman" w:hAnsi="Times New Roman"/>
          <w:sz w:val="24"/>
        </w:rPr>
        <w:t>(2024) 114 NSWLR 81.</w:t>
      </w:r>
    </w:p>
  </w:footnote>
  <w:footnote w:id="173">
    <w:p w14:paraId="2F749B44"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Wigmans v AMP Ltd</w:t>
      </w:r>
      <w:r w:rsidRPr="00D32142">
        <w:rPr>
          <w:rFonts w:ascii="Times New Roman" w:hAnsi="Times New Roman"/>
          <w:sz w:val="24"/>
        </w:rPr>
        <w:t xml:space="preserve"> ("</w:t>
      </w:r>
      <w:r w:rsidRPr="00D32142">
        <w:rPr>
          <w:rFonts w:ascii="Times New Roman" w:hAnsi="Times New Roman"/>
          <w:i/>
          <w:iCs/>
          <w:sz w:val="24"/>
        </w:rPr>
        <w:t>Wigmans CA</w:t>
      </w:r>
      <w:r w:rsidRPr="00D32142">
        <w:rPr>
          <w:rFonts w:ascii="Times New Roman" w:hAnsi="Times New Roman"/>
          <w:sz w:val="24"/>
        </w:rPr>
        <w:t>") (2020) 102 NSWLR 199.</w:t>
      </w:r>
    </w:p>
  </w:footnote>
  <w:footnote w:id="174">
    <w:p w14:paraId="27753F2B"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Parkin v Boral Ltd</w:t>
      </w:r>
      <w:r w:rsidRPr="00D32142">
        <w:rPr>
          <w:rFonts w:ascii="Times New Roman" w:hAnsi="Times New Roman"/>
          <w:sz w:val="24"/>
        </w:rPr>
        <w:t xml:space="preserve"> (2022) 291 FCR 116.</w:t>
      </w:r>
    </w:p>
  </w:footnote>
  <w:footnote w:id="175">
    <w:p w14:paraId="580528B1"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92 [32], 111 [112], 112 [119].</w:t>
      </w:r>
    </w:p>
  </w:footnote>
  <w:footnote w:id="176">
    <w:p w14:paraId="58F6E07F"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109 [104].</w:t>
      </w:r>
    </w:p>
  </w:footnote>
  <w:footnote w:id="177">
    <w:p w14:paraId="120F4BF2"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110 [107].</w:t>
      </w:r>
    </w:p>
  </w:footnote>
  <w:footnote w:id="178">
    <w:p w14:paraId="6FE1344A"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See reasons of Gordon and Steward JJ at [53].</w:t>
      </w:r>
    </w:p>
  </w:footnote>
  <w:footnote w:id="179">
    <w:p w14:paraId="2D9FEF9F"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(2020) 101 NSWLR 890.</w:t>
      </w:r>
    </w:p>
  </w:footnote>
  <w:footnote w:id="180">
    <w:p w14:paraId="6BB88099"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Haselhurst</w:t>
      </w:r>
      <w:r w:rsidRPr="00D32142">
        <w:rPr>
          <w:rFonts w:ascii="Times New Roman" w:hAnsi="Times New Roman"/>
          <w:sz w:val="24"/>
        </w:rPr>
        <w:t xml:space="preserve"> </w:t>
      </w:r>
      <w:r w:rsidRPr="00D32142">
        <w:rPr>
          <w:rFonts w:ascii="Times New Roman" w:hAnsi="Times New Roman"/>
          <w:i/>
          <w:iCs/>
          <w:sz w:val="24"/>
        </w:rPr>
        <w:t>v Toyota Motor Corporation Australia Ltd t/as Toyota Australia</w:t>
      </w:r>
      <w:r w:rsidRPr="00D32142">
        <w:rPr>
          <w:rFonts w:ascii="Times New Roman" w:hAnsi="Times New Roman"/>
          <w:sz w:val="24"/>
        </w:rPr>
        <w:t xml:space="preserve"> (2020) 101 NSWLR 890 at 903 [53].</w:t>
      </w:r>
    </w:p>
  </w:footnote>
  <w:footnote w:id="181">
    <w:p w14:paraId="202A659F"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92 [32].</w:t>
      </w:r>
    </w:p>
  </w:footnote>
  <w:footnote w:id="182">
    <w:p w14:paraId="158937F1"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92 [32].</w:t>
      </w:r>
    </w:p>
  </w:footnote>
  <w:footnote w:id="183">
    <w:p w14:paraId="4C33CE59"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Civil Procedure Act 2005</w:t>
      </w:r>
      <w:r w:rsidRPr="00D32142">
        <w:rPr>
          <w:rFonts w:ascii="Times New Roman" w:hAnsi="Times New Roman"/>
          <w:sz w:val="24"/>
        </w:rPr>
        <w:t> (NSW) ("CPA"), s 175(1)(a).</w:t>
      </w:r>
    </w:p>
  </w:footnote>
  <w:footnote w:id="184">
    <w:p w14:paraId="7A801634"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CPA, s 175(1)(b).</w:t>
      </w:r>
    </w:p>
  </w:footnote>
  <w:footnote w:id="185">
    <w:p w14:paraId="1EE0BBFC"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CPA, s 175(1)(c).</w:t>
      </w:r>
    </w:p>
  </w:footnote>
  <w:footnote w:id="186">
    <w:p w14:paraId="2E986606"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Style w:val="Emphasis"/>
          <w:rFonts w:ascii="Times New Roman" w:hAnsi="Times New Roman"/>
          <w:sz w:val="24"/>
        </w:rPr>
        <w:t xml:space="preserve">Owners of the Ship "Shin Kobe Maru" v Empire Shipping Co Inc </w:t>
      </w:r>
      <w:r w:rsidRPr="00D32142">
        <w:rPr>
          <w:rFonts w:ascii="Times New Roman" w:hAnsi="Times New Roman"/>
          <w:sz w:val="24"/>
        </w:rPr>
        <w:t>(1994) 181 CLR 404 at 421.</w:t>
      </w:r>
    </w:p>
  </w:footnote>
  <w:footnote w:id="187">
    <w:p w14:paraId="278EC5DA"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 xml:space="preserve">New South Wales, Legislative Council, </w:t>
      </w:r>
      <w:r w:rsidRPr="00D32142">
        <w:rPr>
          <w:rFonts w:ascii="Times New Roman" w:hAnsi="Times New Roman"/>
          <w:i/>
          <w:iCs/>
          <w:sz w:val="24"/>
        </w:rPr>
        <w:t xml:space="preserve">Parliamentary Debates </w:t>
      </w:r>
      <w:r w:rsidRPr="00D32142">
        <w:rPr>
          <w:rFonts w:ascii="Times New Roman" w:hAnsi="Times New Roman"/>
          <w:sz w:val="24"/>
        </w:rPr>
        <w:t>(Hansard), 24 November 2010 at 28066-28067.</w:t>
      </w:r>
    </w:p>
  </w:footnote>
  <w:footnote w:id="188">
    <w:p w14:paraId="2B491596"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Federal Court of Australia Amendment Act 1991 </w:t>
      </w:r>
      <w:r w:rsidRPr="00D32142">
        <w:rPr>
          <w:rFonts w:ascii="Times New Roman" w:hAnsi="Times New Roman"/>
          <w:sz w:val="24"/>
        </w:rPr>
        <w:t>(Cth), s 3.</w:t>
      </w:r>
    </w:p>
  </w:footnote>
  <w:footnote w:id="189">
    <w:p w14:paraId="2DCDE9B8"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 xml:space="preserve">Australian Law Reform Commission, </w:t>
      </w:r>
      <w:r w:rsidRPr="00D32142">
        <w:rPr>
          <w:rFonts w:ascii="Times New Roman" w:hAnsi="Times New Roman"/>
          <w:i/>
          <w:iCs/>
          <w:sz w:val="24"/>
        </w:rPr>
        <w:t>Grouped Proceedings in the Federal Court</w:t>
      </w:r>
      <w:r w:rsidRPr="00D32142">
        <w:rPr>
          <w:rFonts w:ascii="Times New Roman" w:hAnsi="Times New Roman"/>
          <w:sz w:val="24"/>
        </w:rPr>
        <w:t xml:space="preserve">, Report No 46 (1988) ("ALRC Report"); Australia, Senate, </w:t>
      </w:r>
      <w:r w:rsidRPr="00D32142">
        <w:rPr>
          <w:rFonts w:ascii="Times New Roman" w:hAnsi="Times New Roman"/>
          <w:i/>
          <w:iCs/>
          <w:sz w:val="24"/>
        </w:rPr>
        <w:t>Federal Court of Australia Amendment Bill 1991</w:t>
      </w:r>
      <w:r w:rsidRPr="00D32142">
        <w:rPr>
          <w:rFonts w:ascii="Times New Roman" w:hAnsi="Times New Roman"/>
          <w:sz w:val="24"/>
        </w:rPr>
        <w:t xml:space="preserve">, Explanatory Memorandum at 2 [4]; Australia, Senate, </w:t>
      </w:r>
      <w:r w:rsidRPr="00D32142">
        <w:rPr>
          <w:rFonts w:ascii="Times New Roman" w:hAnsi="Times New Roman"/>
          <w:i/>
          <w:iCs/>
          <w:sz w:val="24"/>
        </w:rPr>
        <w:t>Parliamentary Debates</w:t>
      </w:r>
      <w:r w:rsidRPr="00D32142">
        <w:rPr>
          <w:rFonts w:ascii="Times New Roman" w:hAnsi="Times New Roman"/>
          <w:sz w:val="24"/>
        </w:rPr>
        <w:t xml:space="preserve"> (Hansard), 12 September 1991 at 1448.</w:t>
      </w:r>
    </w:p>
  </w:footnote>
  <w:footnote w:id="190">
    <w:p w14:paraId="4F8C0398"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ALRC Report at 121 [293], 165 cl 33.</w:t>
      </w:r>
    </w:p>
  </w:footnote>
  <w:footnote w:id="191">
    <w:p w14:paraId="4972D08F"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Acts Interpretation Act 1901 </w:t>
      </w:r>
      <w:r w:rsidRPr="00D32142">
        <w:rPr>
          <w:rFonts w:ascii="Times New Roman" w:hAnsi="Times New Roman"/>
          <w:sz w:val="24"/>
        </w:rPr>
        <w:t>(Cth), s 15AB(2)(b).</w:t>
      </w:r>
    </w:p>
  </w:footnote>
  <w:footnote w:id="192">
    <w:p w14:paraId="54B7DED5"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ALRC Report at 81 [189] (emphasis added).</w:t>
      </w:r>
    </w:p>
  </w:footnote>
  <w:footnote w:id="193">
    <w:p w14:paraId="2CEC65E6"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ALRC Report at 81 [189].</w:t>
      </w:r>
    </w:p>
  </w:footnote>
  <w:footnote w:id="194">
    <w:p w14:paraId="040DFE34" w14:textId="62E59DBB"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See above at</w:t>
      </w:r>
      <w:r w:rsidR="00EA20ED">
        <w:rPr>
          <w:rFonts w:ascii="Times New Roman" w:hAnsi="Times New Roman"/>
          <w:sz w:val="24"/>
        </w:rPr>
        <w:t xml:space="preserve"> [133]</w:t>
      </w:r>
      <w:r w:rsidRPr="00D32142">
        <w:rPr>
          <w:rFonts w:ascii="Times New Roman" w:hAnsi="Times New Roman"/>
          <w:sz w:val="24"/>
        </w:rPr>
        <w:t>.</w:t>
      </w:r>
    </w:p>
  </w:footnote>
  <w:footnote w:id="195">
    <w:p w14:paraId="27DDB59B"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Wigmans CA</w:t>
      </w:r>
      <w:r w:rsidRPr="00D32142">
        <w:rPr>
          <w:rFonts w:ascii="Times New Roman" w:hAnsi="Times New Roman"/>
          <w:sz w:val="24"/>
        </w:rPr>
        <w:t xml:space="preserve"> (2020) 102 NSWLR 199 at 214 [79].</w:t>
      </w:r>
    </w:p>
  </w:footnote>
  <w:footnote w:id="196">
    <w:p w14:paraId="7F8CD54B"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Wigmans</w:t>
      </w:r>
      <w:r w:rsidRPr="00D32142">
        <w:rPr>
          <w:rFonts w:ascii="Times New Roman" w:hAnsi="Times New Roman"/>
          <w:sz w:val="24"/>
        </w:rPr>
        <w:t xml:space="preserve"> </w:t>
      </w:r>
      <w:r w:rsidRPr="00D32142">
        <w:rPr>
          <w:rFonts w:ascii="Times New Roman" w:hAnsi="Times New Roman"/>
          <w:i/>
          <w:iCs/>
          <w:sz w:val="24"/>
        </w:rPr>
        <w:t>CA</w:t>
      </w:r>
      <w:r w:rsidRPr="00D32142">
        <w:rPr>
          <w:rFonts w:ascii="Times New Roman" w:hAnsi="Times New Roman"/>
          <w:sz w:val="24"/>
        </w:rPr>
        <w:t xml:space="preserve"> (2020) 102 NSWLR 199 at 223 [131], quoted in </w:t>
      </w:r>
      <w:r w:rsidRPr="00D32142">
        <w:rPr>
          <w:rFonts w:ascii="Times New Roman" w:hAnsi="Times New Roman"/>
          <w:i/>
          <w:iCs/>
          <w:sz w:val="24"/>
        </w:rPr>
        <w:t>Pallas</w:t>
      </w:r>
      <w:r w:rsidRPr="00D32142">
        <w:rPr>
          <w:rFonts w:ascii="Times New Roman" w:hAnsi="Times New Roman"/>
          <w:sz w:val="24"/>
        </w:rPr>
        <w:t xml:space="preserve"> (2024) 114 NSWLR 81 at 102 [75], 120 [157].</w:t>
      </w:r>
    </w:p>
  </w:footnote>
  <w:footnote w:id="197">
    <w:p w14:paraId="58DFA437"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120 [156].</w:t>
      </w:r>
    </w:p>
  </w:footnote>
  <w:footnote w:id="198">
    <w:p w14:paraId="16ABC97E"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Wigmans</w:t>
      </w:r>
      <w:r w:rsidRPr="00D32142">
        <w:rPr>
          <w:rFonts w:ascii="Times New Roman" w:hAnsi="Times New Roman"/>
          <w:sz w:val="24"/>
        </w:rPr>
        <w:t xml:space="preserve"> </w:t>
      </w:r>
      <w:r w:rsidRPr="00D32142">
        <w:rPr>
          <w:rFonts w:ascii="Times New Roman" w:hAnsi="Times New Roman"/>
          <w:i/>
          <w:iCs/>
          <w:sz w:val="24"/>
        </w:rPr>
        <w:t>CA</w:t>
      </w:r>
      <w:r w:rsidRPr="00D32142">
        <w:rPr>
          <w:rFonts w:ascii="Times New Roman" w:hAnsi="Times New Roman"/>
          <w:sz w:val="24"/>
        </w:rPr>
        <w:t xml:space="preserve"> (2020) 102 NSWLR 199 at 214 [77].</w:t>
      </w:r>
    </w:p>
  </w:footnote>
  <w:footnote w:id="199">
    <w:p w14:paraId="575DB5BF"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(2002) 211 CLR 1 at 31-32 [39]-[40].</w:t>
      </w:r>
    </w:p>
  </w:footnote>
  <w:footnote w:id="200">
    <w:p w14:paraId="41124B76"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 xml:space="preserve">Mobil Oil Australia Pty Ltd v Victoria </w:t>
      </w:r>
      <w:r w:rsidRPr="00D32142">
        <w:rPr>
          <w:rFonts w:ascii="Times New Roman" w:hAnsi="Times New Roman"/>
          <w:sz w:val="24"/>
        </w:rPr>
        <w:t>(2002) 211 CLR 1 at 32 [40].</w:t>
      </w:r>
    </w:p>
  </w:footnote>
  <w:footnote w:id="201">
    <w:p w14:paraId="75E5B6FF"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 xml:space="preserve">(2019) 269 CLR 574 at 607 [73]. See </w:t>
      </w:r>
      <w:r w:rsidRPr="00D32142">
        <w:rPr>
          <w:rFonts w:ascii="Times New Roman" w:hAnsi="Times New Roman"/>
          <w:i/>
          <w:iCs/>
          <w:sz w:val="24"/>
        </w:rPr>
        <w:t>Wigmans</w:t>
      </w:r>
      <w:r w:rsidRPr="00D32142">
        <w:rPr>
          <w:rFonts w:ascii="Times New Roman" w:hAnsi="Times New Roman"/>
          <w:sz w:val="24"/>
        </w:rPr>
        <w:t xml:space="preserve"> </w:t>
      </w:r>
      <w:r w:rsidRPr="00D32142">
        <w:rPr>
          <w:rFonts w:ascii="Times New Roman" w:hAnsi="Times New Roman"/>
          <w:i/>
          <w:iCs/>
          <w:sz w:val="24"/>
        </w:rPr>
        <w:t>CA</w:t>
      </w:r>
      <w:r w:rsidRPr="00D32142">
        <w:rPr>
          <w:rFonts w:ascii="Times New Roman" w:hAnsi="Times New Roman"/>
          <w:sz w:val="24"/>
        </w:rPr>
        <w:t xml:space="preserve"> (2020) 102 NSWLR 199 at 214 [78].</w:t>
      </w:r>
    </w:p>
  </w:footnote>
  <w:footnote w:id="202">
    <w:p w14:paraId="08AA3945"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CPA, s 168.</w:t>
      </w:r>
    </w:p>
  </w:footnote>
  <w:footnote w:id="203">
    <w:p w14:paraId="0563BD73"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See reasons of Gordon and Steward JJ at [65].</w:t>
      </w:r>
    </w:p>
  </w:footnote>
  <w:footnote w:id="204">
    <w:p w14:paraId="5E678CCA" w14:textId="77777777" w:rsidR="0043054B" w:rsidRPr="007E7E00"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See also</w:t>
      </w:r>
      <w:r w:rsidRPr="007E7E00">
        <w:rPr>
          <w:rFonts w:ascii="Times New Roman" w:hAnsi="Times New Roman"/>
          <w:sz w:val="24"/>
        </w:rPr>
        <w:t xml:space="preserve"> </w:t>
      </w:r>
      <w:r w:rsidRPr="00D80996">
        <w:rPr>
          <w:rStyle w:val="Strong"/>
          <w:rFonts w:ascii="Times New Roman" w:hAnsi="Times New Roman"/>
          <w:b w:val="0"/>
          <w:bCs w:val="0"/>
          <w:i/>
          <w:iCs/>
          <w:sz w:val="24"/>
        </w:rPr>
        <w:t>Lam v Rolls Royce PLC [No 3]</w:t>
      </w:r>
      <w:r w:rsidRPr="00D80996">
        <w:rPr>
          <w:rStyle w:val="Strong"/>
          <w:rFonts w:ascii="Times New Roman" w:hAnsi="Times New Roman"/>
          <w:b w:val="0"/>
          <w:bCs w:val="0"/>
          <w:sz w:val="24"/>
        </w:rPr>
        <w:t xml:space="preserve"> [2015] NSWSC 83 at [33]-[39].</w:t>
      </w:r>
    </w:p>
  </w:footnote>
  <w:footnote w:id="205">
    <w:p w14:paraId="4590FB12"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Tomlinson v Ramsey Food Processing Pty Ltd</w:t>
      </w:r>
      <w:r w:rsidRPr="00D32142">
        <w:rPr>
          <w:rFonts w:ascii="Times New Roman" w:hAnsi="Times New Roman"/>
          <w:sz w:val="24"/>
        </w:rPr>
        <w:t xml:space="preserve"> (2015) 256 CLR 507 at 524 [40]; </w:t>
      </w:r>
      <w:r w:rsidRPr="00D32142">
        <w:rPr>
          <w:rFonts w:ascii="Times New Roman" w:hAnsi="Times New Roman"/>
          <w:i/>
          <w:iCs/>
          <w:sz w:val="24"/>
        </w:rPr>
        <w:t>Wigmans v AMP Ltd</w:t>
      </w:r>
      <w:r w:rsidRPr="00D32142">
        <w:rPr>
          <w:rFonts w:ascii="Times New Roman" w:hAnsi="Times New Roman"/>
          <w:sz w:val="24"/>
        </w:rPr>
        <w:t xml:space="preserve"> (2021) 270 CLR 623 at 646 [44], 670 [117].</w:t>
      </w:r>
    </w:p>
  </w:footnote>
  <w:footnote w:id="206">
    <w:p w14:paraId="65FCCBA3"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110 [106].</w:t>
      </w:r>
    </w:p>
  </w:footnote>
  <w:footnote w:id="207">
    <w:p w14:paraId="2E1D0DD9"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110-111 [110].</w:t>
      </w:r>
    </w:p>
  </w:footnote>
  <w:footnote w:id="208">
    <w:p w14:paraId="2BA90B4F"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114 [129].</w:t>
      </w:r>
    </w:p>
  </w:footnote>
  <w:footnote w:id="209">
    <w:p w14:paraId="0F23A880"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114 [129]</w:t>
      </w:r>
    </w:p>
  </w:footnote>
  <w:footnote w:id="210">
    <w:p w14:paraId="6603DEF6"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111 [112].</w:t>
      </w:r>
    </w:p>
  </w:footnote>
  <w:footnote w:id="211">
    <w:p w14:paraId="3D8D6081"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114 [129].</w:t>
      </w:r>
    </w:p>
  </w:footnote>
  <w:footnote w:id="212">
    <w:p w14:paraId="73BC063C"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Pallas</w:t>
      </w:r>
      <w:r w:rsidRPr="00D32142">
        <w:rPr>
          <w:rFonts w:ascii="Times New Roman" w:hAnsi="Times New Roman"/>
          <w:sz w:val="24"/>
        </w:rPr>
        <w:t xml:space="preserve"> (2024) 114 NSWLR 81 at 113-114 [128]-[130]. </w:t>
      </w:r>
    </w:p>
  </w:footnote>
  <w:footnote w:id="213">
    <w:p w14:paraId="0F480FAE"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 xml:space="preserve">Beach Petroleum NL v Kennedy </w:t>
      </w:r>
      <w:r w:rsidRPr="00D32142">
        <w:rPr>
          <w:rFonts w:ascii="Times New Roman" w:hAnsi="Times New Roman"/>
          <w:sz w:val="24"/>
        </w:rPr>
        <w:t xml:space="preserve">(1999) 48 NSWLR 1 at 45-48 [185]-[207]; </w:t>
      </w:r>
      <w:r w:rsidRPr="00D32142">
        <w:rPr>
          <w:rFonts w:ascii="Times New Roman" w:hAnsi="Times New Roman"/>
          <w:i/>
          <w:iCs/>
          <w:sz w:val="24"/>
        </w:rPr>
        <w:t>Cubillo v The Commonwealth</w:t>
      </w:r>
      <w:r w:rsidRPr="00D32142">
        <w:rPr>
          <w:rFonts w:ascii="Times New Roman" w:hAnsi="Times New Roman"/>
          <w:sz w:val="24"/>
        </w:rPr>
        <w:t xml:space="preserve"> (2001) 112 FCR 455 at 577 [465].</w:t>
      </w:r>
    </w:p>
  </w:footnote>
  <w:footnote w:id="214">
    <w:p w14:paraId="5A8E3EA1"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r>
      <w:r w:rsidRPr="00D32142">
        <w:rPr>
          <w:rFonts w:ascii="Times New Roman" w:hAnsi="Times New Roman"/>
          <w:i/>
          <w:iCs/>
          <w:sz w:val="24"/>
        </w:rPr>
        <w:t>Tomlinson</w:t>
      </w:r>
      <w:r w:rsidRPr="00D32142">
        <w:rPr>
          <w:rFonts w:ascii="Times New Roman" w:hAnsi="Times New Roman"/>
          <w:sz w:val="24"/>
        </w:rPr>
        <w:t xml:space="preserve"> (2015) 256 CLR 507 at 524 [40].</w:t>
      </w:r>
    </w:p>
  </w:footnote>
  <w:footnote w:id="215">
    <w:p w14:paraId="1E059E14" w14:textId="77777777" w:rsidR="0043054B" w:rsidRPr="00D32142" w:rsidRDefault="0043054B" w:rsidP="00D32142">
      <w:pPr>
        <w:pStyle w:val="FootnoteText"/>
        <w:spacing w:line="280" w:lineRule="exact"/>
        <w:ind w:right="0"/>
        <w:jc w:val="both"/>
        <w:rPr>
          <w:rFonts w:ascii="Times New Roman" w:hAnsi="Times New Roman"/>
          <w:sz w:val="24"/>
        </w:rPr>
      </w:pPr>
      <w:r w:rsidRPr="00D32142">
        <w:rPr>
          <w:rStyle w:val="FootnoteReference"/>
          <w:rFonts w:ascii="Times New Roman" w:hAnsi="Times New Roman"/>
          <w:sz w:val="22"/>
          <w:vertAlign w:val="baseline"/>
        </w:rPr>
        <w:footnoteRef/>
      </w:r>
      <w:r w:rsidRPr="00D32142">
        <w:rPr>
          <w:rFonts w:ascii="Times New Roman" w:hAnsi="Times New Roman"/>
          <w:sz w:val="24"/>
        </w:rPr>
        <w:t xml:space="preserve"> </w:t>
      </w:r>
      <w:r w:rsidRPr="00D32142">
        <w:rPr>
          <w:rFonts w:ascii="Times New Roman" w:hAnsi="Times New Roman"/>
          <w:sz w:val="24"/>
        </w:rPr>
        <w:tab/>
        <w:t>See reasons of Gordon and Steward JJ at [100]-[103].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B926" w14:textId="77777777" w:rsidR="00CB2E9A" w:rsidRPr="00194AA8" w:rsidRDefault="00CB2E9A" w:rsidP="00194A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A5DD" w14:textId="77777777" w:rsidR="009906F2" w:rsidRDefault="005B4275" w:rsidP="00D9307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B831376" w14:textId="77777777" w:rsidR="009906F2" w:rsidRDefault="009906F2" w:rsidP="00D93075">
    <w:pPr>
      <w:pStyle w:val="Header"/>
      <w:tabs>
        <w:tab w:val="clear" w:pos="4153"/>
        <w:tab w:val="clear" w:pos="8306"/>
        <w:tab w:val="right" w:pos="1304"/>
      </w:tabs>
      <w:spacing w:line="280" w:lineRule="exact"/>
      <w:ind w:firstLine="0"/>
      <w:rPr>
        <w:rFonts w:ascii="Times New Roman" w:hAnsi="Times New Roman"/>
        <w:i/>
        <w:sz w:val="22"/>
      </w:rPr>
    </w:pPr>
  </w:p>
  <w:p w14:paraId="0E8E593B" w14:textId="77777777" w:rsidR="009906F2" w:rsidRDefault="005B4275" w:rsidP="00D9307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13</w:t>
    </w:r>
    <w:r>
      <w:rPr>
        <w:rFonts w:ascii="Times New Roman" w:hAnsi="Times New Roman"/>
        <w:sz w:val="22"/>
      </w:rPr>
      <w:fldChar w:fldCharType="end"/>
    </w:r>
    <w:r>
      <w:rPr>
        <w:rFonts w:ascii="Times New Roman" w:hAnsi="Times New Roman"/>
        <w:sz w:val="22"/>
      </w:rPr>
      <w:t>.</w:t>
    </w:r>
  </w:p>
  <w:p w14:paraId="0601EB3A" w14:textId="77777777" w:rsidR="009906F2" w:rsidRPr="00D93075" w:rsidRDefault="009906F2" w:rsidP="00D9307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D54F" w14:textId="77777777" w:rsidR="009906F2" w:rsidRDefault="005B4275" w:rsidP="00D9307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632F1C5" w14:textId="77777777" w:rsidR="009906F2" w:rsidRDefault="009906F2" w:rsidP="00D93075">
    <w:pPr>
      <w:pStyle w:val="Header"/>
      <w:tabs>
        <w:tab w:val="clear" w:pos="4153"/>
        <w:tab w:val="clear" w:pos="8306"/>
        <w:tab w:val="left" w:pos="7200"/>
        <w:tab w:val="right" w:pos="8504"/>
      </w:tabs>
      <w:spacing w:line="280" w:lineRule="exact"/>
      <w:jc w:val="right"/>
      <w:rPr>
        <w:rFonts w:ascii="Times New Roman" w:hAnsi="Times New Roman"/>
        <w:i/>
        <w:sz w:val="22"/>
      </w:rPr>
    </w:pPr>
  </w:p>
  <w:p w14:paraId="7B71E3A3" w14:textId="77777777" w:rsidR="009906F2" w:rsidRDefault="005B4275" w:rsidP="00D9307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13</w:t>
    </w:r>
    <w:r>
      <w:rPr>
        <w:rFonts w:ascii="Times New Roman" w:hAnsi="Times New Roman"/>
        <w:sz w:val="22"/>
      </w:rPr>
      <w:fldChar w:fldCharType="end"/>
    </w:r>
    <w:r>
      <w:rPr>
        <w:rFonts w:ascii="Times New Roman" w:hAnsi="Times New Roman"/>
        <w:sz w:val="22"/>
      </w:rPr>
      <w:t>.</w:t>
    </w:r>
  </w:p>
  <w:p w14:paraId="5B36D295" w14:textId="77777777" w:rsidR="009906F2" w:rsidRPr="00D93075" w:rsidRDefault="009906F2" w:rsidP="00D9307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51C6" w14:textId="77777777" w:rsidR="009906F2" w:rsidRDefault="009906F2" w:rsidP="00D93075">
    <w:pPr>
      <w:pStyle w:val="Header"/>
      <w:tabs>
        <w:tab w:val="clear" w:pos="4153"/>
        <w:tab w:val="clear" w:pos="8306"/>
        <w:tab w:val="center" w:pos="1134"/>
      </w:tabs>
      <w:spacing w:line="280" w:lineRule="exact"/>
      <w:ind w:firstLine="0"/>
      <w:rPr>
        <w:rFonts w:ascii="Times New Roman" w:hAnsi="Times New Roman"/>
        <w:i/>
        <w:sz w:val="22"/>
      </w:rPr>
    </w:pPr>
  </w:p>
  <w:p w14:paraId="26382353" w14:textId="77777777" w:rsidR="009906F2" w:rsidRDefault="009906F2" w:rsidP="00D93075">
    <w:pPr>
      <w:pStyle w:val="Header"/>
      <w:tabs>
        <w:tab w:val="clear" w:pos="4153"/>
        <w:tab w:val="clear" w:pos="8306"/>
        <w:tab w:val="center" w:pos="1134"/>
      </w:tabs>
      <w:spacing w:line="280" w:lineRule="exact"/>
      <w:ind w:firstLine="0"/>
      <w:rPr>
        <w:rFonts w:ascii="Times New Roman" w:hAnsi="Times New Roman"/>
        <w:i/>
        <w:sz w:val="22"/>
      </w:rPr>
    </w:pPr>
  </w:p>
  <w:p w14:paraId="52AFED82" w14:textId="77777777" w:rsidR="009906F2" w:rsidRDefault="009906F2" w:rsidP="00D93075">
    <w:pPr>
      <w:pStyle w:val="Header"/>
      <w:tabs>
        <w:tab w:val="clear" w:pos="4153"/>
        <w:tab w:val="clear" w:pos="8306"/>
        <w:tab w:val="center" w:pos="1134"/>
      </w:tabs>
      <w:spacing w:line="280" w:lineRule="exact"/>
      <w:ind w:firstLine="0"/>
      <w:rPr>
        <w:rFonts w:ascii="Times New Roman" w:hAnsi="Times New Roman"/>
        <w:i/>
        <w:sz w:val="22"/>
      </w:rPr>
    </w:pPr>
  </w:p>
  <w:p w14:paraId="42378392" w14:textId="77777777" w:rsidR="009906F2" w:rsidRPr="00D93075" w:rsidRDefault="009906F2" w:rsidP="00D93075">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14D8" w14:textId="77777777" w:rsidR="009906F2" w:rsidRDefault="005B4275" w:rsidP="00D3214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DC2896B" w14:textId="77777777" w:rsidR="009906F2" w:rsidRDefault="009906F2" w:rsidP="00D32142">
    <w:pPr>
      <w:pStyle w:val="Header"/>
      <w:tabs>
        <w:tab w:val="clear" w:pos="4153"/>
        <w:tab w:val="clear" w:pos="8306"/>
        <w:tab w:val="right" w:pos="1304"/>
      </w:tabs>
      <w:spacing w:line="280" w:lineRule="exact"/>
      <w:ind w:firstLine="0"/>
      <w:rPr>
        <w:rFonts w:ascii="Times New Roman" w:hAnsi="Times New Roman"/>
        <w:i/>
        <w:sz w:val="22"/>
      </w:rPr>
    </w:pPr>
  </w:p>
  <w:p w14:paraId="0B1EBDBE" w14:textId="77777777" w:rsidR="009906F2" w:rsidRDefault="005B4275" w:rsidP="00D3214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61DCC5" w14:textId="77777777" w:rsidR="009906F2" w:rsidRPr="00D32142" w:rsidRDefault="009906F2" w:rsidP="00D3214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CDC6" w14:textId="77777777" w:rsidR="009906F2" w:rsidRDefault="005B4275" w:rsidP="00D3214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84CCAC6" w14:textId="77777777" w:rsidR="009906F2" w:rsidRDefault="009906F2" w:rsidP="00D32142">
    <w:pPr>
      <w:pStyle w:val="Header"/>
      <w:tabs>
        <w:tab w:val="clear" w:pos="4153"/>
        <w:tab w:val="clear" w:pos="8306"/>
        <w:tab w:val="left" w:pos="7200"/>
        <w:tab w:val="right" w:pos="8504"/>
      </w:tabs>
      <w:spacing w:line="280" w:lineRule="exact"/>
      <w:jc w:val="right"/>
      <w:rPr>
        <w:rFonts w:ascii="Times New Roman" w:hAnsi="Times New Roman"/>
        <w:i/>
        <w:sz w:val="22"/>
      </w:rPr>
    </w:pPr>
  </w:p>
  <w:p w14:paraId="050BB6FF" w14:textId="77777777" w:rsidR="009906F2" w:rsidRDefault="005B4275" w:rsidP="00D3214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77F66E" w14:textId="77777777" w:rsidR="009906F2" w:rsidRPr="00D32142" w:rsidRDefault="009906F2" w:rsidP="00D3214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B673" w14:textId="77777777" w:rsidR="009906F2" w:rsidRDefault="009906F2" w:rsidP="00D32142">
    <w:pPr>
      <w:pStyle w:val="Header"/>
      <w:tabs>
        <w:tab w:val="clear" w:pos="4153"/>
        <w:tab w:val="clear" w:pos="8306"/>
        <w:tab w:val="center" w:pos="1134"/>
      </w:tabs>
      <w:spacing w:line="280" w:lineRule="exact"/>
      <w:ind w:firstLine="0"/>
      <w:rPr>
        <w:rFonts w:ascii="Times New Roman" w:hAnsi="Times New Roman"/>
        <w:i/>
        <w:sz w:val="22"/>
      </w:rPr>
    </w:pPr>
  </w:p>
  <w:p w14:paraId="01691C65" w14:textId="77777777" w:rsidR="009906F2" w:rsidRDefault="009906F2" w:rsidP="00D32142">
    <w:pPr>
      <w:pStyle w:val="Header"/>
      <w:tabs>
        <w:tab w:val="clear" w:pos="4153"/>
        <w:tab w:val="clear" w:pos="8306"/>
        <w:tab w:val="center" w:pos="1134"/>
      </w:tabs>
      <w:spacing w:line="280" w:lineRule="exact"/>
      <w:ind w:firstLine="0"/>
      <w:rPr>
        <w:rFonts w:ascii="Times New Roman" w:hAnsi="Times New Roman"/>
        <w:i/>
        <w:sz w:val="22"/>
      </w:rPr>
    </w:pPr>
  </w:p>
  <w:p w14:paraId="3872EE29" w14:textId="77777777" w:rsidR="009906F2" w:rsidRDefault="009906F2" w:rsidP="00D32142">
    <w:pPr>
      <w:pStyle w:val="Header"/>
      <w:tabs>
        <w:tab w:val="clear" w:pos="4153"/>
        <w:tab w:val="clear" w:pos="8306"/>
        <w:tab w:val="center" w:pos="1134"/>
      </w:tabs>
      <w:spacing w:line="280" w:lineRule="exact"/>
      <w:ind w:firstLine="0"/>
      <w:rPr>
        <w:rFonts w:ascii="Times New Roman" w:hAnsi="Times New Roman"/>
        <w:i/>
        <w:sz w:val="22"/>
      </w:rPr>
    </w:pPr>
  </w:p>
  <w:p w14:paraId="2C277FD3" w14:textId="77777777" w:rsidR="009906F2" w:rsidRPr="00D32142" w:rsidRDefault="009906F2" w:rsidP="00D32142">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1597" w14:textId="0D022345" w:rsidR="00CB2E9A" w:rsidRPr="00194AA8" w:rsidRDefault="00194AA8" w:rsidP="00194AA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A20E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A20E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0651" w14:textId="4D05E7E2" w:rsidR="00A45E8E" w:rsidRPr="00194AA8" w:rsidRDefault="00A45E8E" w:rsidP="00194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19C8" w14:textId="77777777" w:rsidR="00194AA8" w:rsidRPr="00CB2E9A" w:rsidRDefault="00194AA8" w:rsidP="00CB2E9A">
    <w:pPr>
      <w:pStyle w:val="Header"/>
      <w:tabs>
        <w:tab w:val="clear" w:pos="4153"/>
        <w:tab w:val="clear" w:pos="8306"/>
        <w:tab w:val="right" w:pos="1304"/>
      </w:tabs>
      <w:spacing w:line="280" w:lineRule="exact"/>
      <w:ind w:firstLine="0"/>
      <w:rPr>
        <w:rFonts w:ascii="Times New Roman" w:hAnsi="Times New Roman"/>
        <w:i/>
        <w:sz w:val="22"/>
      </w:rPr>
    </w:pPr>
    <w:r w:rsidRPr="00CB2E9A">
      <w:rPr>
        <w:rFonts w:ascii="Times New Roman" w:hAnsi="Times New Roman"/>
        <w:i/>
        <w:sz w:val="22"/>
      </w:rPr>
      <w:t>Gageler</w:t>
    </w:r>
    <w:r w:rsidRPr="00CB2E9A">
      <w:rPr>
        <w:rFonts w:ascii="Times New Roman" w:hAnsi="Times New Roman"/>
        <w:i/>
        <w:sz w:val="22"/>
      </w:rPr>
      <w:tab/>
      <w:t>CJ</w:t>
    </w:r>
  </w:p>
  <w:p w14:paraId="4AC9E59F" w14:textId="77777777" w:rsidR="00194AA8" w:rsidRPr="00CB2E9A" w:rsidRDefault="00194AA8" w:rsidP="00CB2E9A">
    <w:pPr>
      <w:pStyle w:val="Header"/>
      <w:tabs>
        <w:tab w:val="clear" w:pos="4153"/>
        <w:tab w:val="clear" w:pos="8306"/>
        <w:tab w:val="right" w:pos="1304"/>
      </w:tabs>
      <w:spacing w:line="280" w:lineRule="exact"/>
      <w:ind w:firstLine="0"/>
      <w:rPr>
        <w:rFonts w:ascii="Times New Roman" w:hAnsi="Times New Roman"/>
        <w:i/>
        <w:sz w:val="22"/>
      </w:rPr>
    </w:pPr>
    <w:r w:rsidRPr="00CB2E9A">
      <w:rPr>
        <w:rFonts w:ascii="Times New Roman" w:hAnsi="Times New Roman"/>
        <w:i/>
        <w:sz w:val="22"/>
      </w:rPr>
      <w:t>Gleeson</w:t>
    </w:r>
    <w:r w:rsidRPr="00CB2E9A">
      <w:rPr>
        <w:rFonts w:ascii="Times New Roman" w:hAnsi="Times New Roman"/>
        <w:i/>
        <w:sz w:val="22"/>
      </w:rPr>
      <w:tab/>
      <w:t>J</w:t>
    </w:r>
  </w:p>
  <w:p w14:paraId="3E7AE80B" w14:textId="77777777" w:rsidR="00194AA8" w:rsidRDefault="00194AA8" w:rsidP="00CB2E9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C24BB53" w14:textId="77777777" w:rsidR="00194AA8" w:rsidRDefault="00194AA8" w:rsidP="00CB2E9A">
    <w:pPr>
      <w:pStyle w:val="Header"/>
      <w:tabs>
        <w:tab w:val="clear" w:pos="4153"/>
        <w:tab w:val="clear" w:pos="8306"/>
        <w:tab w:val="right" w:pos="1304"/>
      </w:tabs>
      <w:spacing w:line="280" w:lineRule="exact"/>
      <w:ind w:firstLine="0"/>
      <w:rPr>
        <w:rFonts w:ascii="Times New Roman" w:hAnsi="Times New Roman"/>
        <w:i/>
        <w:sz w:val="22"/>
      </w:rPr>
    </w:pPr>
  </w:p>
  <w:p w14:paraId="78332402" w14:textId="77777777" w:rsidR="00194AA8" w:rsidRDefault="00194AA8" w:rsidP="00CB2E9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F95E28" w14:textId="77777777" w:rsidR="00194AA8" w:rsidRPr="00CB2E9A" w:rsidRDefault="00194AA8" w:rsidP="00CB2E9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64AB" w14:textId="77777777" w:rsidR="00194AA8" w:rsidRPr="00CB2E9A" w:rsidRDefault="00194AA8" w:rsidP="00CB2E9A">
    <w:pPr>
      <w:pStyle w:val="Header"/>
      <w:tabs>
        <w:tab w:val="clear" w:pos="4153"/>
        <w:tab w:val="clear" w:pos="8306"/>
        <w:tab w:val="left" w:pos="7200"/>
        <w:tab w:val="right" w:pos="8504"/>
      </w:tabs>
      <w:spacing w:line="280" w:lineRule="exact"/>
      <w:jc w:val="right"/>
      <w:rPr>
        <w:rFonts w:ascii="Times New Roman" w:hAnsi="Times New Roman"/>
        <w:i/>
        <w:sz w:val="22"/>
      </w:rPr>
    </w:pPr>
    <w:r w:rsidRPr="00CB2E9A">
      <w:rPr>
        <w:rFonts w:ascii="Times New Roman" w:hAnsi="Times New Roman"/>
        <w:i/>
        <w:sz w:val="22"/>
      </w:rPr>
      <w:tab/>
      <w:t>Gageler</w:t>
    </w:r>
    <w:r w:rsidRPr="00CB2E9A">
      <w:rPr>
        <w:rFonts w:ascii="Times New Roman" w:hAnsi="Times New Roman"/>
        <w:i/>
        <w:sz w:val="22"/>
      </w:rPr>
      <w:tab/>
      <w:t>CJ</w:t>
    </w:r>
  </w:p>
  <w:p w14:paraId="38CBE3B1" w14:textId="77777777" w:rsidR="00194AA8" w:rsidRPr="00CB2E9A" w:rsidRDefault="00194AA8" w:rsidP="00CB2E9A">
    <w:pPr>
      <w:pStyle w:val="Header"/>
      <w:tabs>
        <w:tab w:val="clear" w:pos="4153"/>
        <w:tab w:val="clear" w:pos="8306"/>
        <w:tab w:val="left" w:pos="7200"/>
        <w:tab w:val="right" w:pos="8504"/>
      </w:tabs>
      <w:spacing w:line="280" w:lineRule="exact"/>
      <w:jc w:val="right"/>
      <w:rPr>
        <w:rFonts w:ascii="Times New Roman" w:hAnsi="Times New Roman"/>
        <w:i/>
        <w:sz w:val="22"/>
      </w:rPr>
    </w:pPr>
    <w:r w:rsidRPr="00CB2E9A">
      <w:rPr>
        <w:rFonts w:ascii="Times New Roman" w:hAnsi="Times New Roman"/>
        <w:i/>
        <w:sz w:val="22"/>
      </w:rPr>
      <w:tab/>
      <w:t>Gleeson</w:t>
    </w:r>
    <w:r w:rsidRPr="00CB2E9A">
      <w:rPr>
        <w:rFonts w:ascii="Times New Roman" w:hAnsi="Times New Roman"/>
        <w:i/>
        <w:sz w:val="22"/>
      </w:rPr>
      <w:tab/>
      <w:t>J</w:t>
    </w:r>
  </w:p>
  <w:p w14:paraId="00EAC29D" w14:textId="77777777" w:rsidR="00194AA8" w:rsidRDefault="00194AA8" w:rsidP="00CB2E9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4938B52F" w14:textId="77777777" w:rsidR="00194AA8" w:rsidRDefault="00194AA8" w:rsidP="00CB2E9A">
    <w:pPr>
      <w:pStyle w:val="Header"/>
      <w:tabs>
        <w:tab w:val="clear" w:pos="4153"/>
        <w:tab w:val="clear" w:pos="8306"/>
        <w:tab w:val="left" w:pos="7200"/>
        <w:tab w:val="right" w:pos="8504"/>
      </w:tabs>
      <w:spacing w:line="280" w:lineRule="exact"/>
      <w:jc w:val="right"/>
      <w:rPr>
        <w:rFonts w:ascii="Times New Roman" w:hAnsi="Times New Roman"/>
        <w:i/>
        <w:sz w:val="22"/>
      </w:rPr>
    </w:pPr>
  </w:p>
  <w:p w14:paraId="1F8BB61A" w14:textId="77777777" w:rsidR="00194AA8" w:rsidRDefault="00194AA8" w:rsidP="00CB2E9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DD5C335" w14:textId="77777777" w:rsidR="00194AA8" w:rsidRPr="00CB2E9A" w:rsidRDefault="00194AA8" w:rsidP="00CB2E9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3127" w14:textId="77777777" w:rsidR="00194AA8" w:rsidRDefault="00194AA8" w:rsidP="00CB2E9A">
    <w:pPr>
      <w:pStyle w:val="Header"/>
      <w:tabs>
        <w:tab w:val="clear" w:pos="4153"/>
        <w:tab w:val="clear" w:pos="8306"/>
        <w:tab w:val="center" w:pos="1134"/>
      </w:tabs>
      <w:spacing w:line="280" w:lineRule="exact"/>
      <w:ind w:firstLine="0"/>
      <w:rPr>
        <w:rFonts w:ascii="Times New Roman" w:hAnsi="Times New Roman"/>
        <w:i/>
        <w:sz w:val="22"/>
      </w:rPr>
    </w:pPr>
  </w:p>
  <w:p w14:paraId="27BF9018" w14:textId="77777777" w:rsidR="00194AA8" w:rsidRDefault="00194AA8" w:rsidP="00CB2E9A">
    <w:pPr>
      <w:pStyle w:val="Header"/>
      <w:tabs>
        <w:tab w:val="clear" w:pos="4153"/>
        <w:tab w:val="clear" w:pos="8306"/>
        <w:tab w:val="center" w:pos="1134"/>
      </w:tabs>
      <w:spacing w:line="280" w:lineRule="exact"/>
      <w:ind w:firstLine="0"/>
      <w:rPr>
        <w:rFonts w:ascii="Times New Roman" w:hAnsi="Times New Roman"/>
        <w:i/>
        <w:sz w:val="22"/>
      </w:rPr>
    </w:pPr>
  </w:p>
  <w:p w14:paraId="7B07A3FC" w14:textId="77777777" w:rsidR="00194AA8" w:rsidRDefault="00194AA8" w:rsidP="00CB2E9A">
    <w:pPr>
      <w:pStyle w:val="Header"/>
      <w:tabs>
        <w:tab w:val="clear" w:pos="4153"/>
        <w:tab w:val="clear" w:pos="8306"/>
        <w:tab w:val="center" w:pos="1134"/>
      </w:tabs>
      <w:spacing w:line="280" w:lineRule="exact"/>
      <w:ind w:firstLine="0"/>
      <w:rPr>
        <w:rFonts w:ascii="Times New Roman" w:hAnsi="Times New Roman"/>
        <w:i/>
        <w:sz w:val="22"/>
      </w:rPr>
    </w:pPr>
  </w:p>
  <w:p w14:paraId="6F2AEE62" w14:textId="77777777" w:rsidR="00194AA8" w:rsidRDefault="00194AA8" w:rsidP="00CB2E9A">
    <w:pPr>
      <w:pStyle w:val="Header"/>
      <w:tabs>
        <w:tab w:val="clear" w:pos="4153"/>
        <w:tab w:val="clear" w:pos="8306"/>
        <w:tab w:val="center" w:pos="1134"/>
      </w:tabs>
      <w:spacing w:line="280" w:lineRule="exact"/>
      <w:ind w:firstLine="0"/>
      <w:rPr>
        <w:rFonts w:ascii="Times New Roman" w:hAnsi="Times New Roman"/>
        <w:i/>
        <w:sz w:val="22"/>
      </w:rPr>
    </w:pPr>
  </w:p>
  <w:p w14:paraId="5D081EE9" w14:textId="77777777" w:rsidR="00194AA8" w:rsidRDefault="00194AA8" w:rsidP="00CB2E9A">
    <w:pPr>
      <w:pStyle w:val="Header"/>
      <w:tabs>
        <w:tab w:val="clear" w:pos="4153"/>
        <w:tab w:val="clear" w:pos="8306"/>
        <w:tab w:val="center" w:pos="1134"/>
      </w:tabs>
      <w:spacing w:line="280" w:lineRule="exact"/>
      <w:ind w:firstLine="0"/>
      <w:rPr>
        <w:rFonts w:ascii="Times New Roman" w:hAnsi="Times New Roman"/>
        <w:i/>
        <w:sz w:val="22"/>
      </w:rPr>
    </w:pPr>
  </w:p>
  <w:p w14:paraId="1B96AD7C" w14:textId="77777777" w:rsidR="00194AA8" w:rsidRPr="00CB2E9A" w:rsidRDefault="00194AA8" w:rsidP="00CB2E9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1980" w14:textId="77777777" w:rsidR="009906F2" w:rsidRPr="005647FA" w:rsidRDefault="005B4275" w:rsidP="005647FA">
    <w:pPr>
      <w:pStyle w:val="Header"/>
      <w:tabs>
        <w:tab w:val="clear" w:pos="4153"/>
        <w:tab w:val="clear" w:pos="8306"/>
        <w:tab w:val="right" w:pos="1304"/>
      </w:tabs>
      <w:spacing w:line="280" w:lineRule="exact"/>
      <w:ind w:firstLine="0"/>
      <w:rPr>
        <w:rFonts w:ascii="Times New Roman" w:hAnsi="Times New Roman"/>
        <w:i/>
        <w:sz w:val="22"/>
      </w:rPr>
    </w:pPr>
    <w:r w:rsidRPr="005647FA">
      <w:rPr>
        <w:rFonts w:ascii="Times New Roman" w:hAnsi="Times New Roman"/>
        <w:i/>
        <w:sz w:val="22"/>
      </w:rPr>
      <w:t>Gordon</w:t>
    </w:r>
    <w:r w:rsidRPr="005647FA">
      <w:rPr>
        <w:rFonts w:ascii="Times New Roman" w:hAnsi="Times New Roman"/>
        <w:i/>
        <w:sz w:val="22"/>
      </w:rPr>
      <w:tab/>
      <w:t>J</w:t>
    </w:r>
  </w:p>
  <w:p w14:paraId="43A1F806" w14:textId="77777777" w:rsidR="009906F2" w:rsidRDefault="005B4275" w:rsidP="005647F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7B4E4AF" w14:textId="77777777" w:rsidR="009906F2" w:rsidRDefault="009906F2" w:rsidP="005647FA">
    <w:pPr>
      <w:pStyle w:val="Header"/>
      <w:tabs>
        <w:tab w:val="clear" w:pos="4153"/>
        <w:tab w:val="clear" w:pos="8306"/>
        <w:tab w:val="right" w:pos="1304"/>
      </w:tabs>
      <w:spacing w:line="280" w:lineRule="exact"/>
      <w:ind w:firstLine="0"/>
      <w:rPr>
        <w:rFonts w:ascii="Times New Roman" w:hAnsi="Times New Roman"/>
        <w:i/>
        <w:sz w:val="22"/>
      </w:rPr>
    </w:pPr>
  </w:p>
  <w:p w14:paraId="31B5D3A2" w14:textId="77777777" w:rsidR="009906F2" w:rsidRDefault="005B4275" w:rsidP="005647F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84C153" w14:textId="77777777" w:rsidR="009906F2" w:rsidRPr="005647FA" w:rsidRDefault="009906F2" w:rsidP="005647F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DB24" w14:textId="77777777" w:rsidR="009906F2" w:rsidRPr="005647FA" w:rsidRDefault="005B4275" w:rsidP="005647FA">
    <w:pPr>
      <w:pStyle w:val="Header"/>
      <w:tabs>
        <w:tab w:val="clear" w:pos="4153"/>
        <w:tab w:val="clear" w:pos="8306"/>
        <w:tab w:val="left" w:pos="7200"/>
        <w:tab w:val="right" w:pos="8504"/>
      </w:tabs>
      <w:spacing w:line="280" w:lineRule="exact"/>
      <w:jc w:val="right"/>
      <w:rPr>
        <w:rFonts w:ascii="Times New Roman" w:hAnsi="Times New Roman"/>
        <w:i/>
        <w:sz w:val="22"/>
      </w:rPr>
    </w:pPr>
    <w:r w:rsidRPr="005647FA">
      <w:rPr>
        <w:rFonts w:ascii="Times New Roman" w:hAnsi="Times New Roman"/>
        <w:i/>
        <w:sz w:val="22"/>
      </w:rPr>
      <w:tab/>
      <w:t>Gordon</w:t>
    </w:r>
    <w:r w:rsidRPr="005647FA">
      <w:rPr>
        <w:rFonts w:ascii="Times New Roman" w:hAnsi="Times New Roman"/>
        <w:i/>
        <w:sz w:val="22"/>
      </w:rPr>
      <w:tab/>
      <w:t>J</w:t>
    </w:r>
  </w:p>
  <w:p w14:paraId="2253C8D3" w14:textId="77777777" w:rsidR="009906F2" w:rsidRDefault="005B4275" w:rsidP="005647F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34C0AD7" w14:textId="77777777" w:rsidR="009906F2" w:rsidRDefault="009906F2" w:rsidP="005647FA">
    <w:pPr>
      <w:pStyle w:val="Header"/>
      <w:tabs>
        <w:tab w:val="clear" w:pos="4153"/>
        <w:tab w:val="clear" w:pos="8306"/>
        <w:tab w:val="left" w:pos="7200"/>
        <w:tab w:val="right" w:pos="8504"/>
      </w:tabs>
      <w:spacing w:line="280" w:lineRule="exact"/>
      <w:jc w:val="right"/>
      <w:rPr>
        <w:rFonts w:ascii="Times New Roman" w:hAnsi="Times New Roman"/>
        <w:i/>
        <w:sz w:val="22"/>
      </w:rPr>
    </w:pPr>
  </w:p>
  <w:p w14:paraId="174898D3" w14:textId="77777777" w:rsidR="009906F2" w:rsidRDefault="005B4275" w:rsidP="005647F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1B8B67" w14:textId="77777777" w:rsidR="009906F2" w:rsidRPr="005647FA" w:rsidRDefault="009906F2" w:rsidP="005647F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E3A" w14:textId="77777777" w:rsidR="009906F2" w:rsidRDefault="009906F2" w:rsidP="005647FA">
    <w:pPr>
      <w:pStyle w:val="Header"/>
      <w:tabs>
        <w:tab w:val="clear" w:pos="4153"/>
        <w:tab w:val="clear" w:pos="8306"/>
        <w:tab w:val="center" w:pos="1134"/>
      </w:tabs>
      <w:spacing w:line="280" w:lineRule="exact"/>
      <w:ind w:firstLine="0"/>
      <w:rPr>
        <w:rFonts w:ascii="Times New Roman" w:hAnsi="Times New Roman"/>
        <w:i/>
        <w:sz w:val="22"/>
      </w:rPr>
    </w:pPr>
  </w:p>
  <w:p w14:paraId="69560620" w14:textId="77777777" w:rsidR="009906F2" w:rsidRDefault="009906F2" w:rsidP="005647FA">
    <w:pPr>
      <w:pStyle w:val="Header"/>
      <w:tabs>
        <w:tab w:val="clear" w:pos="4153"/>
        <w:tab w:val="clear" w:pos="8306"/>
        <w:tab w:val="center" w:pos="1134"/>
      </w:tabs>
      <w:spacing w:line="280" w:lineRule="exact"/>
      <w:ind w:firstLine="0"/>
      <w:rPr>
        <w:rFonts w:ascii="Times New Roman" w:hAnsi="Times New Roman"/>
        <w:i/>
        <w:sz w:val="22"/>
      </w:rPr>
    </w:pPr>
  </w:p>
  <w:p w14:paraId="2435D62A" w14:textId="77777777" w:rsidR="009906F2" w:rsidRDefault="009906F2" w:rsidP="005647FA">
    <w:pPr>
      <w:pStyle w:val="Header"/>
      <w:tabs>
        <w:tab w:val="clear" w:pos="4153"/>
        <w:tab w:val="clear" w:pos="8306"/>
        <w:tab w:val="center" w:pos="1134"/>
      </w:tabs>
      <w:spacing w:line="280" w:lineRule="exact"/>
      <w:ind w:firstLine="0"/>
      <w:rPr>
        <w:rFonts w:ascii="Times New Roman" w:hAnsi="Times New Roman"/>
        <w:i/>
        <w:sz w:val="22"/>
      </w:rPr>
    </w:pPr>
  </w:p>
  <w:p w14:paraId="4065C93F" w14:textId="77777777" w:rsidR="009906F2" w:rsidRDefault="009906F2" w:rsidP="005647FA">
    <w:pPr>
      <w:pStyle w:val="Header"/>
      <w:tabs>
        <w:tab w:val="clear" w:pos="4153"/>
        <w:tab w:val="clear" w:pos="8306"/>
        <w:tab w:val="center" w:pos="1134"/>
      </w:tabs>
      <w:spacing w:line="280" w:lineRule="exact"/>
      <w:ind w:firstLine="0"/>
      <w:rPr>
        <w:rFonts w:ascii="Times New Roman" w:hAnsi="Times New Roman"/>
        <w:i/>
        <w:sz w:val="22"/>
      </w:rPr>
    </w:pPr>
  </w:p>
  <w:p w14:paraId="1BE65460" w14:textId="77777777" w:rsidR="009906F2" w:rsidRPr="005647FA" w:rsidRDefault="009906F2" w:rsidP="005647F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077E"/>
    <w:multiLevelType w:val="hybridMultilevel"/>
    <w:tmpl w:val="2DE29B70"/>
    <w:lvl w:ilvl="0" w:tplc="BEA07078">
      <w:start w:val="1"/>
      <w:numFmt w:val="decimal"/>
      <w:lvlText w:val="%1)"/>
      <w:lvlJc w:val="left"/>
      <w:pPr>
        <w:ind w:left="1020" w:hanging="360"/>
      </w:pPr>
    </w:lvl>
    <w:lvl w:ilvl="1" w:tplc="2E968A1E">
      <w:start w:val="1"/>
      <w:numFmt w:val="decimal"/>
      <w:lvlText w:val="%2)"/>
      <w:lvlJc w:val="left"/>
      <w:pPr>
        <w:ind w:left="1020" w:hanging="360"/>
      </w:pPr>
    </w:lvl>
    <w:lvl w:ilvl="2" w:tplc="02909078">
      <w:start w:val="1"/>
      <w:numFmt w:val="decimal"/>
      <w:lvlText w:val="%3)"/>
      <w:lvlJc w:val="left"/>
      <w:pPr>
        <w:ind w:left="1020" w:hanging="360"/>
      </w:pPr>
    </w:lvl>
    <w:lvl w:ilvl="3" w:tplc="C9F08AA8">
      <w:start w:val="1"/>
      <w:numFmt w:val="decimal"/>
      <w:lvlText w:val="%4)"/>
      <w:lvlJc w:val="left"/>
      <w:pPr>
        <w:ind w:left="1020" w:hanging="360"/>
      </w:pPr>
    </w:lvl>
    <w:lvl w:ilvl="4" w:tplc="C97C371C">
      <w:start w:val="1"/>
      <w:numFmt w:val="decimal"/>
      <w:lvlText w:val="%5)"/>
      <w:lvlJc w:val="left"/>
      <w:pPr>
        <w:ind w:left="1020" w:hanging="360"/>
      </w:pPr>
    </w:lvl>
    <w:lvl w:ilvl="5" w:tplc="BE740B22">
      <w:start w:val="1"/>
      <w:numFmt w:val="decimal"/>
      <w:lvlText w:val="%6)"/>
      <w:lvlJc w:val="left"/>
      <w:pPr>
        <w:ind w:left="1020" w:hanging="360"/>
      </w:pPr>
    </w:lvl>
    <w:lvl w:ilvl="6" w:tplc="6FBC2240">
      <w:start w:val="1"/>
      <w:numFmt w:val="decimal"/>
      <w:lvlText w:val="%7)"/>
      <w:lvlJc w:val="left"/>
      <w:pPr>
        <w:ind w:left="1020" w:hanging="360"/>
      </w:pPr>
    </w:lvl>
    <w:lvl w:ilvl="7" w:tplc="570CC398">
      <w:start w:val="1"/>
      <w:numFmt w:val="decimal"/>
      <w:lvlText w:val="%8)"/>
      <w:lvlJc w:val="left"/>
      <w:pPr>
        <w:ind w:left="1020" w:hanging="360"/>
      </w:pPr>
    </w:lvl>
    <w:lvl w:ilvl="8" w:tplc="41EA0F66">
      <w:start w:val="1"/>
      <w:numFmt w:val="decimal"/>
      <w:lvlText w:val="%9)"/>
      <w:lvlJc w:val="left"/>
      <w:pPr>
        <w:ind w:left="1020" w:hanging="360"/>
      </w:p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8609604">
    <w:abstractNumId w:val="17"/>
  </w:num>
  <w:num w:numId="2" w16cid:durableId="822114542">
    <w:abstractNumId w:val="8"/>
  </w:num>
  <w:num w:numId="3" w16cid:durableId="92282540">
    <w:abstractNumId w:val="13"/>
  </w:num>
  <w:num w:numId="4" w16cid:durableId="650985869">
    <w:abstractNumId w:val="12"/>
  </w:num>
  <w:num w:numId="5" w16cid:durableId="43799634">
    <w:abstractNumId w:val="13"/>
  </w:num>
  <w:num w:numId="6" w16cid:durableId="1703938460">
    <w:abstractNumId w:val="13"/>
  </w:num>
  <w:num w:numId="7" w16cid:durableId="1171527601">
    <w:abstractNumId w:val="13"/>
  </w:num>
  <w:num w:numId="8" w16cid:durableId="876359801">
    <w:abstractNumId w:val="13"/>
  </w:num>
  <w:num w:numId="9" w16cid:durableId="1989283943">
    <w:abstractNumId w:val="13"/>
  </w:num>
  <w:num w:numId="10" w16cid:durableId="408500041">
    <w:abstractNumId w:val="13"/>
  </w:num>
  <w:num w:numId="11" w16cid:durableId="202596476">
    <w:abstractNumId w:val="11"/>
  </w:num>
  <w:num w:numId="12" w16cid:durableId="375815310">
    <w:abstractNumId w:val="15"/>
  </w:num>
  <w:num w:numId="13" w16cid:durableId="1375159326">
    <w:abstractNumId w:val="18"/>
  </w:num>
  <w:num w:numId="14" w16cid:durableId="1020468450">
    <w:abstractNumId w:val="14"/>
  </w:num>
  <w:num w:numId="15" w16cid:durableId="1668483507">
    <w:abstractNumId w:val="6"/>
  </w:num>
  <w:num w:numId="16" w16cid:durableId="1277131474">
    <w:abstractNumId w:val="9"/>
  </w:num>
  <w:num w:numId="17" w16cid:durableId="720982448">
    <w:abstractNumId w:val="7"/>
  </w:num>
  <w:num w:numId="18" w16cid:durableId="880166639">
    <w:abstractNumId w:val="5"/>
  </w:num>
  <w:num w:numId="19" w16cid:durableId="1552577615">
    <w:abstractNumId w:val="4"/>
  </w:num>
  <w:num w:numId="20" w16cid:durableId="868374538">
    <w:abstractNumId w:val="3"/>
  </w:num>
  <w:num w:numId="21" w16cid:durableId="935400494">
    <w:abstractNumId w:val="2"/>
  </w:num>
  <w:num w:numId="22" w16cid:durableId="1552810459">
    <w:abstractNumId w:val="1"/>
  </w:num>
  <w:num w:numId="23" w16cid:durableId="788087333">
    <w:abstractNumId w:val="0"/>
  </w:num>
  <w:num w:numId="24" w16cid:durableId="952325839">
    <w:abstractNumId w:val="16"/>
  </w:num>
  <w:num w:numId="25" w16cid:durableId="528494297">
    <w:abstractNumId w:val="10"/>
  </w:num>
  <w:num w:numId="26" w16cid:durableId="57095462">
    <w:abstractNumId w:val="13"/>
    <w:lvlOverride w:ilvl="0">
      <w:startOverride w:val="1"/>
    </w:lvlOverride>
  </w:num>
  <w:num w:numId="27" w16cid:durableId="1516841926">
    <w:abstractNumId w:val="13"/>
    <w:lvlOverride w:ilvl="0">
      <w:startOverride w:val="1"/>
    </w:lvlOverride>
  </w:num>
  <w:num w:numId="28" w16cid:durableId="2142459009">
    <w:abstractNumId w:val="13"/>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E"/>
    <w:rsid w:val="00002069"/>
    <w:rsid w:val="00002CE6"/>
    <w:rsid w:val="0000316A"/>
    <w:rsid w:val="000032AE"/>
    <w:rsid w:val="000049B7"/>
    <w:rsid w:val="0000533F"/>
    <w:rsid w:val="00005DAA"/>
    <w:rsid w:val="000066D2"/>
    <w:rsid w:val="0000674C"/>
    <w:rsid w:val="00007371"/>
    <w:rsid w:val="00007BD6"/>
    <w:rsid w:val="0001004A"/>
    <w:rsid w:val="00010BAE"/>
    <w:rsid w:val="00011438"/>
    <w:rsid w:val="00011AAC"/>
    <w:rsid w:val="000120EA"/>
    <w:rsid w:val="00012118"/>
    <w:rsid w:val="0001279D"/>
    <w:rsid w:val="00012F32"/>
    <w:rsid w:val="00013A1A"/>
    <w:rsid w:val="000141CA"/>
    <w:rsid w:val="000144E5"/>
    <w:rsid w:val="00014B34"/>
    <w:rsid w:val="000168C9"/>
    <w:rsid w:val="00016C20"/>
    <w:rsid w:val="00016DBB"/>
    <w:rsid w:val="00017144"/>
    <w:rsid w:val="00017854"/>
    <w:rsid w:val="00020236"/>
    <w:rsid w:val="00021AF5"/>
    <w:rsid w:val="00022A53"/>
    <w:rsid w:val="000250AF"/>
    <w:rsid w:val="00025490"/>
    <w:rsid w:val="0002561E"/>
    <w:rsid w:val="0002590B"/>
    <w:rsid w:val="000268E1"/>
    <w:rsid w:val="00030CF9"/>
    <w:rsid w:val="00031E69"/>
    <w:rsid w:val="0003239D"/>
    <w:rsid w:val="00032FFB"/>
    <w:rsid w:val="0003374C"/>
    <w:rsid w:val="00033F74"/>
    <w:rsid w:val="0003575A"/>
    <w:rsid w:val="000360EB"/>
    <w:rsid w:val="00037264"/>
    <w:rsid w:val="000376EF"/>
    <w:rsid w:val="00037A5F"/>
    <w:rsid w:val="00037D87"/>
    <w:rsid w:val="0004262D"/>
    <w:rsid w:val="00042EF3"/>
    <w:rsid w:val="00043752"/>
    <w:rsid w:val="00043D2C"/>
    <w:rsid w:val="00043D76"/>
    <w:rsid w:val="0004461D"/>
    <w:rsid w:val="00046812"/>
    <w:rsid w:val="00046E44"/>
    <w:rsid w:val="000471B1"/>
    <w:rsid w:val="00047F21"/>
    <w:rsid w:val="00047F71"/>
    <w:rsid w:val="000502C2"/>
    <w:rsid w:val="00051003"/>
    <w:rsid w:val="00051648"/>
    <w:rsid w:val="000546FB"/>
    <w:rsid w:val="00054D1B"/>
    <w:rsid w:val="00055ACD"/>
    <w:rsid w:val="00056C4F"/>
    <w:rsid w:val="00056F27"/>
    <w:rsid w:val="000573AF"/>
    <w:rsid w:val="00057602"/>
    <w:rsid w:val="00060426"/>
    <w:rsid w:val="00060C3B"/>
    <w:rsid w:val="0006169E"/>
    <w:rsid w:val="00061ECA"/>
    <w:rsid w:val="000626FD"/>
    <w:rsid w:val="00063C2A"/>
    <w:rsid w:val="00063D5D"/>
    <w:rsid w:val="0006432B"/>
    <w:rsid w:val="000653D4"/>
    <w:rsid w:val="000705BB"/>
    <w:rsid w:val="00070F8C"/>
    <w:rsid w:val="00071C35"/>
    <w:rsid w:val="0007447D"/>
    <w:rsid w:val="00075E47"/>
    <w:rsid w:val="00075F50"/>
    <w:rsid w:val="00077C77"/>
    <w:rsid w:val="0008051D"/>
    <w:rsid w:val="000807DC"/>
    <w:rsid w:val="00080954"/>
    <w:rsid w:val="00080D77"/>
    <w:rsid w:val="0008177A"/>
    <w:rsid w:val="0008435D"/>
    <w:rsid w:val="000851DC"/>
    <w:rsid w:val="0008558C"/>
    <w:rsid w:val="00085F13"/>
    <w:rsid w:val="0008625F"/>
    <w:rsid w:val="000865A9"/>
    <w:rsid w:val="00087E7B"/>
    <w:rsid w:val="0009013D"/>
    <w:rsid w:val="00091482"/>
    <w:rsid w:val="00094275"/>
    <w:rsid w:val="00094E1A"/>
    <w:rsid w:val="00095BC0"/>
    <w:rsid w:val="000967BE"/>
    <w:rsid w:val="00096F84"/>
    <w:rsid w:val="00097EAD"/>
    <w:rsid w:val="000A0CD4"/>
    <w:rsid w:val="000A1F62"/>
    <w:rsid w:val="000A2148"/>
    <w:rsid w:val="000A22FE"/>
    <w:rsid w:val="000A28D4"/>
    <w:rsid w:val="000A2EB4"/>
    <w:rsid w:val="000A3DA3"/>
    <w:rsid w:val="000A3F4F"/>
    <w:rsid w:val="000A5298"/>
    <w:rsid w:val="000A63C6"/>
    <w:rsid w:val="000A7423"/>
    <w:rsid w:val="000B1C54"/>
    <w:rsid w:val="000B25C4"/>
    <w:rsid w:val="000B3B1A"/>
    <w:rsid w:val="000B410B"/>
    <w:rsid w:val="000B4557"/>
    <w:rsid w:val="000B4630"/>
    <w:rsid w:val="000B497F"/>
    <w:rsid w:val="000B6622"/>
    <w:rsid w:val="000B710D"/>
    <w:rsid w:val="000B72D6"/>
    <w:rsid w:val="000B7558"/>
    <w:rsid w:val="000B75CE"/>
    <w:rsid w:val="000C0106"/>
    <w:rsid w:val="000C02D5"/>
    <w:rsid w:val="000C04DC"/>
    <w:rsid w:val="000C0D98"/>
    <w:rsid w:val="000C17FC"/>
    <w:rsid w:val="000C25AF"/>
    <w:rsid w:val="000C44F5"/>
    <w:rsid w:val="000C4B45"/>
    <w:rsid w:val="000C5110"/>
    <w:rsid w:val="000C5113"/>
    <w:rsid w:val="000C5175"/>
    <w:rsid w:val="000C5421"/>
    <w:rsid w:val="000C54EA"/>
    <w:rsid w:val="000C73AA"/>
    <w:rsid w:val="000D014A"/>
    <w:rsid w:val="000D162A"/>
    <w:rsid w:val="000D25E6"/>
    <w:rsid w:val="000D2B0D"/>
    <w:rsid w:val="000D2C9D"/>
    <w:rsid w:val="000D2D0F"/>
    <w:rsid w:val="000D336A"/>
    <w:rsid w:val="000D3612"/>
    <w:rsid w:val="000D3B4C"/>
    <w:rsid w:val="000D4A65"/>
    <w:rsid w:val="000D53C8"/>
    <w:rsid w:val="000D6120"/>
    <w:rsid w:val="000D635E"/>
    <w:rsid w:val="000D6798"/>
    <w:rsid w:val="000D6834"/>
    <w:rsid w:val="000D7D85"/>
    <w:rsid w:val="000E01A7"/>
    <w:rsid w:val="000E1593"/>
    <w:rsid w:val="000E37E3"/>
    <w:rsid w:val="000E3E5C"/>
    <w:rsid w:val="000E4194"/>
    <w:rsid w:val="000E4AE9"/>
    <w:rsid w:val="000E6355"/>
    <w:rsid w:val="000E65F7"/>
    <w:rsid w:val="000E77F3"/>
    <w:rsid w:val="000F030F"/>
    <w:rsid w:val="000F1345"/>
    <w:rsid w:val="000F184A"/>
    <w:rsid w:val="000F1C61"/>
    <w:rsid w:val="000F2573"/>
    <w:rsid w:val="000F2828"/>
    <w:rsid w:val="000F30A5"/>
    <w:rsid w:val="000F3BB3"/>
    <w:rsid w:val="000F667A"/>
    <w:rsid w:val="000F6C4F"/>
    <w:rsid w:val="000F754A"/>
    <w:rsid w:val="000F7C6E"/>
    <w:rsid w:val="001001B9"/>
    <w:rsid w:val="00100D83"/>
    <w:rsid w:val="00102254"/>
    <w:rsid w:val="0010281C"/>
    <w:rsid w:val="00103447"/>
    <w:rsid w:val="0010377F"/>
    <w:rsid w:val="0010457B"/>
    <w:rsid w:val="00105C54"/>
    <w:rsid w:val="00106312"/>
    <w:rsid w:val="0010702C"/>
    <w:rsid w:val="00107979"/>
    <w:rsid w:val="00110173"/>
    <w:rsid w:val="00110970"/>
    <w:rsid w:val="00110D3C"/>
    <w:rsid w:val="00110FFB"/>
    <w:rsid w:val="00111568"/>
    <w:rsid w:val="00111641"/>
    <w:rsid w:val="001120C0"/>
    <w:rsid w:val="00112954"/>
    <w:rsid w:val="001141C4"/>
    <w:rsid w:val="001150BF"/>
    <w:rsid w:val="00115AB3"/>
    <w:rsid w:val="00115EB0"/>
    <w:rsid w:val="0011611A"/>
    <w:rsid w:val="001168F2"/>
    <w:rsid w:val="00117498"/>
    <w:rsid w:val="00117ADA"/>
    <w:rsid w:val="00120207"/>
    <w:rsid w:val="001214EF"/>
    <w:rsid w:val="00122948"/>
    <w:rsid w:val="00123888"/>
    <w:rsid w:val="00123B5E"/>
    <w:rsid w:val="00123C1B"/>
    <w:rsid w:val="00124B20"/>
    <w:rsid w:val="00125C8C"/>
    <w:rsid w:val="00125E3C"/>
    <w:rsid w:val="00126076"/>
    <w:rsid w:val="001274E8"/>
    <w:rsid w:val="00127A4C"/>
    <w:rsid w:val="00131383"/>
    <w:rsid w:val="00131E02"/>
    <w:rsid w:val="00133E7E"/>
    <w:rsid w:val="0013448E"/>
    <w:rsid w:val="001344F5"/>
    <w:rsid w:val="0013456F"/>
    <w:rsid w:val="001349DB"/>
    <w:rsid w:val="00135E8C"/>
    <w:rsid w:val="0013653A"/>
    <w:rsid w:val="00136BD8"/>
    <w:rsid w:val="00137984"/>
    <w:rsid w:val="00137EEE"/>
    <w:rsid w:val="00140ED8"/>
    <w:rsid w:val="00142072"/>
    <w:rsid w:val="001424EF"/>
    <w:rsid w:val="00142BE7"/>
    <w:rsid w:val="00143EB0"/>
    <w:rsid w:val="00143FCB"/>
    <w:rsid w:val="00144FEF"/>
    <w:rsid w:val="00145627"/>
    <w:rsid w:val="00146091"/>
    <w:rsid w:val="00146A41"/>
    <w:rsid w:val="00147DBE"/>
    <w:rsid w:val="0015031C"/>
    <w:rsid w:val="00150F37"/>
    <w:rsid w:val="00151679"/>
    <w:rsid w:val="0015318E"/>
    <w:rsid w:val="001550FE"/>
    <w:rsid w:val="001561A3"/>
    <w:rsid w:val="00160204"/>
    <w:rsid w:val="001613EA"/>
    <w:rsid w:val="001624C1"/>
    <w:rsid w:val="0016331D"/>
    <w:rsid w:val="00163638"/>
    <w:rsid w:val="00163D92"/>
    <w:rsid w:val="00163EEA"/>
    <w:rsid w:val="00164144"/>
    <w:rsid w:val="0016772F"/>
    <w:rsid w:val="001703E5"/>
    <w:rsid w:val="001708DE"/>
    <w:rsid w:val="00170FF1"/>
    <w:rsid w:val="00172ADE"/>
    <w:rsid w:val="001732EF"/>
    <w:rsid w:val="001736ED"/>
    <w:rsid w:val="00173DD1"/>
    <w:rsid w:val="001744CE"/>
    <w:rsid w:val="00175703"/>
    <w:rsid w:val="001758DE"/>
    <w:rsid w:val="00175A3A"/>
    <w:rsid w:val="00176B33"/>
    <w:rsid w:val="00176D25"/>
    <w:rsid w:val="0017786E"/>
    <w:rsid w:val="00182282"/>
    <w:rsid w:val="0018342E"/>
    <w:rsid w:val="00183C07"/>
    <w:rsid w:val="001840C2"/>
    <w:rsid w:val="00184B46"/>
    <w:rsid w:val="00185376"/>
    <w:rsid w:val="00185939"/>
    <w:rsid w:val="00185C99"/>
    <w:rsid w:val="00186591"/>
    <w:rsid w:val="00186BAF"/>
    <w:rsid w:val="001876F6"/>
    <w:rsid w:val="00187A0A"/>
    <w:rsid w:val="001903B2"/>
    <w:rsid w:val="001915D5"/>
    <w:rsid w:val="00191E23"/>
    <w:rsid w:val="001929D5"/>
    <w:rsid w:val="00193C2B"/>
    <w:rsid w:val="00193CE3"/>
    <w:rsid w:val="00194AA8"/>
    <w:rsid w:val="001953B1"/>
    <w:rsid w:val="00195E6D"/>
    <w:rsid w:val="001963C0"/>
    <w:rsid w:val="00197956"/>
    <w:rsid w:val="00197D1C"/>
    <w:rsid w:val="001A0045"/>
    <w:rsid w:val="001A025C"/>
    <w:rsid w:val="001A409D"/>
    <w:rsid w:val="001A446E"/>
    <w:rsid w:val="001A5A88"/>
    <w:rsid w:val="001B0421"/>
    <w:rsid w:val="001B1676"/>
    <w:rsid w:val="001B17A8"/>
    <w:rsid w:val="001B1EBD"/>
    <w:rsid w:val="001B55C8"/>
    <w:rsid w:val="001B63C6"/>
    <w:rsid w:val="001B6561"/>
    <w:rsid w:val="001B792A"/>
    <w:rsid w:val="001C05C9"/>
    <w:rsid w:val="001C0DC5"/>
    <w:rsid w:val="001C28E9"/>
    <w:rsid w:val="001C31E6"/>
    <w:rsid w:val="001C48D4"/>
    <w:rsid w:val="001C4AF6"/>
    <w:rsid w:val="001C6B00"/>
    <w:rsid w:val="001C7C93"/>
    <w:rsid w:val="001D1963"/>
    <w:rsid w:val="001D19C1"/>
    <w:rsid w:val="001D2212"/>
    <w:rsid w:val="001D36CD"/>
    <w:rsid w:val="001D4F49"/>
    <w:rsid w:val="001D7982"/>
    <w:rsid w:val="001E0778"/>
    <w:rsid w:val="001E1D3D"/>
    <w:rsid w:val="001E2B69"/>
    <w:rsid w:val="001E2E30"/>
    <w:rsid w:val="001E3166"/>
    <w:rsid w:val="001E47D1"/>
    <w:rsid w:val="001E496B"/>
    <w:rsid w:val="001E6A64"/>
    <w:rsid w:val="001E6BB2"/>
    <w:rsid w:val="001E75C5"/>
    <w:rsid w:val="001F0AF9"/>
    <w:rsid w:val="001F153E"/>
    <w:rsid w:val="001F1B5F"/>
    <w:rsid w:val="001F1B6D"/>
    <w:rsid w:val="001F1C51"/>
    <w:rsid w:val="001F2BA1"/>
    <w:rsid w:val="001F3F2A"/>
    <w:rsid w:val="001F4030"/>
    <w:rsid w:val="001F42A8"/>
    <w:rsid w:val="001F6376"/>
    <w:rsid w:val="001F69C2"/>
    <w:rsid w:val="00202BDE"/>
    <w:rsid w:val="002031BC"/>
    <w:rsid w:val="002048D1"/>
    <w:rsid w:val="002067F0"/>
    <w:rsid w:val="002079CB"/>
    <w:rsid w:val="0021096E"/>
    <w:rsid w:val="00210DE8"/>
    <w:rsid w:val="00210EBD"/>
    <w:rsid w:val="00211D73"/>
    <w:rsid w:val="00212A3E"/>
    <w:rsid w:val="0021317A"/>
    <w:rsid w:val="00213278"/>
    <w:rsid w:val="00213756"/>
    <w:rsid w:val="00214BF2"/>
    <w:rsid w:val="00215052"/>
    <w:rsid w:val="00215A7F"/>
    <w:rsid w:val="00216522"/>
    <w:rsid w:val="002165CF"/>
    <w:rsid w:val="00217E98"/>
    <w:rsid w:val="00221D19"/>
    <w:rsid w:val="00222672"/>
    <w:rsid w:val="00223017"/>
    <w:rsid w:val="0022666B"/>
    <w:rsid w:val="00226D31"/>
    <w:rsid w:val="0022734D"/>
    <w:rsid w:val="00230882"/>
    <w:rsid w:val="0023091C"/>
    <w:rsid w:val="002316FB"/>
    <w:rsid w:val="00231A85"/>
    <w:rsid w:val="00231B8B"/>
    <w:rsid w:val="0023349D"/>
    <w:rsid w:val="00233639"/>
    <w:rsid w:val="0023447F"/>
    <w:rsid w:val="002350B3"/>
    <w:rsid w:val="0023570E"/>
    <w:rsid w:val="0023798E"/>
    <w:rsid w:val="002408D6"/>
    <w:rsid w:val="00242048"/>
    <w:rsid w:val="00242EE4"/>
    <w:rsid w:val="002432ED"/>
    <w:rsid w:val="0024462E"/>
    <w:rsid w:val="00245411"/>
    <w:rsid w:val="00246510"/>
    <w:rsid w:val="002474FA"/>
    <w:rsid w:val="002508E5"/>
    <w:rsid w:val="00250AFB"/>
    <w:rsid w:val="00252696"/>
    <w:rsid w:val="00253493"/>
    <w:rsid w:val="00253DE9"/>
    <w:rsid w:val="00254681"/>
    <w:rsid w:val="00255B70"/>
    <w:rsid w:val="00256C9C"/>
    <w:rsid w:val="00257AFB"/>
    <w:rsid w:val="00257F1F"/>
    <w:rsid w:val="002604C0"/>
    <w:rsid w:val="002607A7"/>
    <w:rsid w:val="0026166B"/>
    <w:rsid w:val="00261CBC"/>
    <w:rsid w:val="0026293D"/>
    <w:rsid w:val="00262AFD"/>
    <w:rsid w:val="00263178"/>
    <w:rsid w:val="0026429B"/>
    <w:rsid w:val="00264371"/>
    <w:rsid w:val="00264C51"/>
    <w:rsid w:val="00265982"/>
    <w:rsid w:val="0026615A"/>
    <w:rsid w:val="0026706D"/>
    <w:rsid w:val="00270154"/>
    <w:rsid w:val="002717C9"/>
    <w:rsid w:val="00271F70"/>
    <w:rsid w:val="0027239A"/>
    <w:rsid w:val="00273DE7"/>
    <w:rsid w:val="0027408B"/>
    <w:rsid w:val="002743A1"/>
    <w:rsid w:val="00276B56"/>
    <w:rsid w:val="00277B4A"/>
    <w:rsid w:val="00277B52"/>
    <w:rsid w:val="002802E3"/>
    <w:rsid w:val="00280F46"/>
    <w:rsid w:val="002817CD"/>
    <w:rsid w:val="0028187A"/>
    <w:rsid w:val="002819FD"/>
    <w:rsid w:val="00282279"/>
    <w:rsid w:val="00282E3C"/>
    <w:rsid w:val="00283F00"/>
    <w:rsid w:val="00285576"/>
    <w:rsid w:val="0028583A"/>
    <w:rsid w:val="00287368"/>
    <w:rsid w:val="00287873"/>
    <w:rsid w:val="00287CCF"/>
    <w:rsid w:val="00287DE6"/>
    <w:rsid w:val="00290E83"/>
    <w:rsid w:val="002916CC"/>
    <w:rsid w:val="00291857"/>
    <w:rsid w:val="0029278C"/>
    <w:rsid w:val="00292E65"/>
    <w:rsid w:val="002934CB"/>
    <w:rsid w:val="0029374D"/>
    <w:rsid w:val="00293E46"/>
    <w:rsid w:val="00294594"/>
    <w:rsid w:val="0029564B"/>
    <w:rsid w:val="0029697C"/>
    <w:rsid w:val="00296F82"/>
    <w:rsid w:val="002979F1"/>
    <w:rsid w:val="00297BF9"/>
    <w:rsid w:val="002A13E1"/>
    <w:rsid w:val="002A3248"/>
    <w:rsid w:val="002A434E"/>
    <w:rsid w:val="002A462A"/>
    <w:rsid w:val="002A5E3E"/>
    <w:rsid w:val="002B0846"/>
    <w:rsid w:val="002B1304"/>
    <w:rsid w:val="002B13C5"/>
    <w:rsid w:val="002B369B"/>
    <w:rsid w:val="002B4AB8"/>
    <w:rsid w:val="002B4BB3"/>
    <w:rsid w:val="002B5085"/>
    <w:rsid w:val="002B5378"/>
    <w:rsid w:val="002C05EE"/>
    <w:rsid w:val="002C0BBE"/>
    <w:rsid w:val="002C145F"/>
    <w:rsid w:val="002C1EDE"/>
    <w:rsid w:val="002C229D"/>
    <w:rsid w:val="002C2B55"/>
    <w:rsid w:val="002C3B51"/>
    <w:rsid w:val="002C53BA"/>
    <w:rsid w:val="002C5981"/>
    <w:rsid w:val="002C6955"/>
    <w:rsid w:val="002C6FB4"/>
    <w:rsid w:val="002C7307"/>
    <w:rsid w:val="002C7F20"/>
    <w:rsid w:val="002D0410"/>
    <w:rsid w:val="002D0899"/>
    <w:rsid w:val="002D0B07"/>
    <w:rsid w:val="002D0D05"/>
    <w:rsid w:val="002D1707"/>
    <w:rsid w:val="002D17E2"/>
    <w:rsid w:val="002D2413"/>
    <w:rsid w:val="002D3F5B"/>
    <w:rsid w:val="002D4489"/>
    <w:rsid w:val="002D5524"/>
    <w:rsid w:val="002D5A19"/>
    <w:rsid w:val="002D5BC8"/>
    <w:rsid w:val="002D7D23"/>
    <w:rsid w:val="002E0660"/>
    <w:rsid w:val="002E0EC8"/>
    <w:rsid w:val="002E12B5"/>
    <w:rsid w:val="002E278F"/>
    <w:rsid w:val="002E2AEC"/>
    <w:rsid w:val="002E2B3A"/>
    <w:rsid w:val="002E2F59"/>
    <w:rsid w:val="002E3B4D"/>
    <w:rsid w:val="002E3C82"/>
    <w:rsid w:val="002E4184"/>
    <w:rsid w:val="002E4A56"/>
    <w:rsid w:val="002E5037"/>
    <w:rsid w:val="002F01E6"/>
    <w:rsid w:val="002F0522"/>
    <w:rsid w:val="002F0734"/>
    <w:rsid w:val="002F0F23"/>
    <w:rsid w:val="002F1CF2"/>
    <w:rsid w:val="002F291C"/>
    <w:rsid w:val="002F2AF9"/>
    <w:rsid w:val="002F469C"/>
    <w:rsid w:val="002F4FD0"/>
    <w:rsid w:val="002F57D8"/>
    <w:rsid w:val="002F7056"/>
    <w:rsid w:val="0030026A"/>
    <w:rsid w:val="00300BF7"/>
    <w:rsid w:val="00300C10"/>
    <w:rsid w:val="00300EC7"/>
    <w:rsid w:val="00301975"/>
    <w:rsid w:val="00301996"/>
    <w:rsid w:val="00301D57"/>
    <w:rsid w:val="00302068"/>
    <w:rsid w:val="003020DB"/>
    <w:rsid w:val="00304670"/>
    <w:rsid w:val="0030510B"/>
    <w:rsid w:val="0030542C"/>
    <w:rsid w:val="00305B53"/>
    <w:rsid w:val="00306B6F"/>
    <w:rsid w:val="00306B71"/>
    <w:rsid w:val="0030783C"/>
    <w:rsid w:val="00310283"/>
    <w:rsid w:val="00310418"/>
    <w:rsid w:val="0031187F"/>
    <w:rsid w:val="00312EC7"/>
    <w:rsid w:val="00312FFC"/>
    <w:rsid w:val="0031372F"/>
    <w:rsid w:val="003139DB"/>
    <w:rsid w:val="003149A2"/>
    <w:rsid w:val="003150BF"/>
    <w:rsid w:val="003150CE"/>
    <w:rsid w:val="00315E92"/>
    <w:rsid w:val="0031710C"/>
    <w:rsid w:val="00321667"/>
    <w:rsid w:val="00321769"/>
    <w:rsid w:val="00321E43"/>
    <w:rsid w:val="0032292B"/>
    <w:rsid w:val="00323B9E"/>
    <w:rsid w:val="0032434E"/>
    <w:rsid w:val="003253F0"/>
    <w:rsid w:val="0032568C"/>
    <w:rsid w:val="0032776D"/>
    <w:rsid w:val="00330804"/>
    <w:rsid w:val="00331319"/>
    <w:rsid w:val="003315FE"/>
    <w:rsid w:val="00333F75"/>
    <w:rsid w:val="003340A8"/>
    <w:rsid w:val="00334A6B"/>
    <w:rsid w:val="0033507B"/>
    <w:rsid w:val="003366B2"/>
    <w:rsid w:val="00337205"/>
    <w:rsid w:val="00340066"/>
    <w:rsid w:val="00341012"/>
    <w:rsid w:val="0034122D"/>
    <w:rsid w:val="0034288B"/>
    <w:rsid w:val="00342A50"/>
    <w:rsid w:val="0034332B"/>
    <w:rsid w:val="00344734"/>
    <w:rsid w:val="0034681C"/>
    <w:rsid w:val="00346BED"/>
    <w:rsid w:val="00346D9B"/>
    <w:rsid w:val="00351073"/>
    <w:rsid w:val="00351C96"/>
    <w:rsid w:val="00353578"/>
    <w:rsid w:val="00353B09"/>
    <w:rsid w:val="00354930"/>
    <w:rsid w:val="003600A8"/>
    <w:rsid w:val="00360F75"/>
    <w:rsid w:val="00361CC9"/>
    <w:rsid w:val="00362107"/>
    <w:rsid w:val="0036284D"/>
    <w:rsid w:val="00362C88"/>
    <w:rsid w:val="00363BCE"/>
    <w:rsid w:val="00363DF0"/>
    <w:rsid w:val="00365DFF"/>
    <w:rsid w:val="00366524"/>
    <w:rsid w:val="0036686F"/>
    <w:rsid w:val="00366A31"/>
    <w:rsid w:val="00370330"/>
    <w:rsid w:val="003727AC"/>
    <w:rsid w:val="00373E58"/>
    <w:rsid w:val="003750F4"/>
    <w:rsid w:val="00376073"/>
    <w:rsid w:val="003764D3"/>
    <w:rsid w:val="00377452"/>
    <w:rsid w:val="003778A5"/>
    <w:rsid w:val="00380D9E"/>
    <w:rsid w:val="00381223"/>
    <w:rsid w:val="00381849"/>
    <w:rsid w:val="00381DAF"/>
    <w:rsid w:val="003823A0"/>
    <w:rsid w:val="0038283B"/>
    <w:rsid w:val="00382C7E"/>
    <w:rsid w:val="003833BA"/>
    <w:rsid w:val="00384206"/>
    <w:rsid w:val="00384318"/>
    <w:rsid w:val="00384F36"/>
    <w:rsid w:val="00385271"/>
    <w:rsid w:val="00385C6F"/>
    <w:rsid w:val="0038694D"/>
    <w:rsid w:val="00387B59"/>
    <w:rsid w:val="00390753"/>
    <w:rsid w:val="00390E85"/>
    <w:rsid w:val="0039226E"/>
    <w:rsid w:val="00392BAA"/>
    <w:rsid w:val="00392CC8"/>
    <w:rsid w:val="00394CD3"/>
    <w:rsid w:val="0039749E"/>
    <w:rsid w:val="00397708"/>
    <w:rsid w:val="003A04DF"/>
    <w:rsid w:val="003A09D3"/>
    <w:rsid w:val="003A2017"/>
    <w:rsid w:val="003A2867"/>
    <w:rsid w:val="003A321C"/>
    <w:rsid w:val="003A48CC"/>
    <w:rsid w:val="003A5755"/>
    <w:rsid w:val="003A6B54"/>
    <w:rsid w:val="003A72EF"/>
    <w:rsid w:val="003A7E21"/>
    <w:rsid w:val="003B0F98"/>
    <w:rsid w:val="003B2DD0"/>
    <w:rsid w:val="003B3AD0"/>
    <w:rsid w:val="003B4020"/>
    <w:rsid w:val="003B4604"/>
    <w:rsid w:val="003B4E05"/>
    <w:rsid w:val="003B4EED"/>
    <w:rsid w:val="003B695C"/>
    <w:rsid w:val="003B6B2C"/>
    <w:rsid w:val="003B6F3F"/>
    <w:rsid w:val="003B7166"/>
    <w:rsid w:val="003B7774"/>
    <w:rsid w:val="003C10A5"/>
    <w:rsid w:val="003C1405"/>
    <w:rsid w:val="003C1E05"/>
    <w:rsid w:val="003C1F9F"/>
    <w:rsid w:val="003C1FAF"/>
    <w:rsid w:val="003C1FBF"/>
    <w:rsid w:val="003C266A"/>
    <w:rsid w:val="003C3609"/>
    <w:rsid w:val="003C3D2F"/>
    <w:rsid w:val="003C4B7D"/>
    <w:rsid w:val="003C4F27"/>
    <w:rsid w:val="003C602A"/>
    <w:rsid w:val="003D03EE"/>
    <w:rsid w:val="003D1759"/>
    <w:rsid w:val="003D1896"/>
    <w:rsid w:val="003D3B14"/>
    <w:rsid w:val="003D5580"/>
    <w:rsid w:val="003D62F7"/>
    <w:rsid w:val="003D6D8D"/>
    <w:rsid w:val="003E01C8"/>
    <w:rsid w:val="003E1035"/>
    <w:rsid w:val="003E1311"/>
    <w:rsid w:val="003E13B8"/>
    <w:rsid w:val="003E17F2"/>
    <w:rsid w:val="003E19F7"/>
    <w:rsid w:val="003E1C0E"/>
    <w:rsid w:val="003E1EB2"/>
    <w:rsid w:val="003E237C"/>
    <w:rsid w:val="003E48FD"/>
    <w:rsid w:val="003E492C"/>
    <w:rsid w:val="003E5066"/>
    <w:rsid w:val="003E5CD3"/>
    <w:rsid w:val="003E5F54"/>
    <w:rsid w:val="003E710D"/>
    <w:rsid w:val="003E7265"/>
    <w:rsid w:val="003E7A9C"/>
    <w:rsid w:val="003F077B"/>
    <w:rsid w:val="003F0CF5"/>
    <w:rsid w:val="003F328F"/>
    <w:rsid w:val="003F3682"/>
    <w:rsid w:val="003F4822"/>
    <w:rsid w:val="003F4CC1"/>
    <w:rsid w:val="003F531A"/>
    <w:rsid w:val="003F5FC4"/>
    <w:rsid w:val="003F621A"/>
    <w:rsid w:val="003F6A24"/>
    <w:rsid w:val="003F7C9E"/>
    <w:rsid w:val="00401FE0"/>
    <w:rsid w:val="004025E8"/>
    <w:rsid w:val="0040267F"/>
    <w:rsid w:val="00402768"/>
    <w:rsid w:val="00403063"/>
    <w:rsid w:val="0040378F"/>
    <w:rsid w:val="00403D47"/>
    <w:rsid w:val="00404199"/>
    <w:rsid w:val="00404C36"/>
    <w:rsid w:val="00404F27"/>
    <w:rsid w:val="00406F38"/>
    <w:rsid w:val="0041058A"/>
    <w:rsid w:val="004107CA"/>
    <w:rsid w:val="004111BC"/>
    <w:rsid w:val="004114CB"/>
    <w:rsid w:val="004125F4"/>
    <w:rsid w:val="004126D4"/>
    <w:rsid w:val="00412A98"/>
    <w:rsid w:val="00413397"/>
    <w:rsid w:val="0041355D"/>
    <w:rsid w:val="0041356F"/>
    <w:rsid w:val="00414703"/>
    <w:rsid w:val="004156E4"/>
    <w:rsid w:val="00415D2B"/>
    <w:rsid w:val="00416C0A"/>
    <w:rsid w:val="00420E19"/>
    <w:rsid w:val="00421310"/>
    <w:rsid w:val="00421941"/>
    <w:rsid w:val="00422A06"/>
    <w:rsid w:val="00422F41"/>
    <w:rsid w:val="00424CDD"/>
    <w:rsid w:val="00424DE2"/>
    <w:rsid w:val="00425636"/>
    <w:rsid w:val="00426A5A"/>
    <w:rsid w:val="00426EAF"/>
    <w:rsid w:val="0042749B"/>
    <w:rsid w:val="00427C01"/>
    <w:rsid w:val="004300B1"/>
    <w:rsid w:val="0043054B"/>
    <w:rsid w:val="00430AC8"/>
    <w:rsid w:val="00431A78"/>
    <w:rsid w:val="00431F4C"/>
    <w:rsid w:val="00432528"/>
    <w:rsid w:val="00432836"/>
    <w:rsid w:val="00433248"/>
    <w:rsid w:val="004343BF"/>
    <w:rsid w:val="00435890"/>
    <w:rsid w:val="00435EA4"/>
    <w:rsid w:val="0043650E"/>
    <w:rsid w:val="004373C0"/>
    <w:rsid w:val="004373D1"/>
    <w:rsid w:val="0043778D"/>
    <w:rsid w:val="00440C9D"/>
    <w:rsid w:val="00440F2D"/>
    <w:rsid w:val="00441155"/>
    <w:rsid w:val="00441FC5"/>
    <w:rsid w:val="004442C5"/>
    <w:rsid w:val="00444668"/>
    <w:rsid w:val="004454C2"/>
    <w:rsid w:val="0044583E"/>
    <w:rsid w:val="0044587A"/>
    <w:rsid w:val="00445A1C"/>
    <w:rsid w:val="00446048"/>
    <w:rsid w:val="004462B9"/>
    <w:rsid w:val="0044643B"/>
    <w:rsid w:val="00447347"/>
    <w:rsid w:val="00447F33"/>
    <w:rsid w:val="0045032A"/>
    <w:rsid w:val="00450A27"/>
    <w:rsid w:val="00451BA2"/>
    <w:rsid w:val="00451EC2"/>
    <w:rsid w:val="00454F04"/>
    <w:rsid w:val="00455B33"/>
    <w:rsid w:val="0045657D"/>
    <w:rsid w:val="00456C84"/>
    <w:rsid w:val="00457494"/>
    <w:rsid w:val="00460EFD"/>
    <w:rsid w:val="0046258F"/>
    <w:rsid w:val="00462918"/>
    <w:rsid w:val="00463357"/>
    <w:rsid w:val="00463A04"/>
    <w:rsid w:val="00463D74"/>
    <w:rsid w:val="00464136"/>
    <w:rsid w:val="00464805"/>
    <w:rsid w:val="00465255"/>
    <w:rsid w:val="00467031"/>
    <w:rsid w:val="004673F5"/>
    <w:rsid w:val="004674CA"/>
    <w:rsid w:val="00471760"/>
    <w:rsid w:val="00472344"/>
    <w:rsid w:val="00473718"/>
    <w:rsid w:val="00473806"/>
    <w:rsid w:val="00473869"/>
    <w:rsid w:val="0047410E"/>
    <w:rsid w:val="004759EE"/>
    <w:rsid w:val="0048054A"/>
    <w:rsid w:val="00480FB3"/>
    <w:rsid w:val="004818E8"/>
    <w:rsid w:val="0048232E"/>
    <w:rsid w:val="00482F67"/>
    <w:rsid w:val="00483006"/>
    <w:rsid w:val="00483ADB"/>
    <w:rsid w:val="004841C5"/>
    <w:rsid w:val="00484915"/>
    <w:rsid w:val="004855A7"/>
    <w:rsid w:val="00485961"/>
    <w:rsid w:val="004861A7"/>
    <w:rsid w:val="00487387"/>
    <w:rsid w:val="00490CDB"/>
    <w:rsid w:val="00490E50"/>
    <w:rsid w:val="00491397"/>
    <w:rsid w:val="0049195F"/>
    <w:rsid w:val="004919FD"/>
    <w:rsid w:val="0049513E"/>
    <w:rsid w:val="004951A7"/>
    <w:rsid w:val="0049567D"/>
    <w:rsid w:val="00495ACA"/>
    <w:rsid w:val="00495ED7"/>
    <w:rsid w:val="0049612B"/>
    <w:rsid w:val="0049619B"/>
    <w:rsid w:val="004967F5"/>
    <w:rsid w:val="004A06FC"/>
    <w:rsid w:val="004A124B"/>
    <w:rsid w:val="004A132C"/>
    <w:rsid w:val="004A1639"/>
    <w:rsid w:val="004A226C"/>
    <w:rsid w:val="004A35E7"/>
    <w:rsid w:val="004A3D01"/>
    <w:rsid w:val="004A7C89"/>
    <w:rsid w:val="004B0E1F"/>
    <w:rsid w:val="004B1183"/>
    <w:rsid w:val="004B168A"/>
    <w:rsid w:val="004B1D7E"/>
    <w:rsid w:val="004B23A2"/>
    <w:rsid w:val="004B26D9"/>
    <w:rsid w:val="004B2719"/>
    <w:rsid w:val="004B2C5E"/>
    <w:rsid w:val="004B3094"/>
    <w:rsid w:val="004B3A7B"/>
    <w:rsid w:val="004B4943"/>
    <w:rsid w:val="004B774B"/>
    <w:rsid w:val="004C052F"/>
    <w:rsid w:val="004C1528"/>
    <w:rsid w:val="004C258D"/>
    <w:rsid w:val="004C338D"/>
    <w:rsid w:val="004C3D17"/>
    <w:rsid w:val="004C4629"/>
    <w:rsid w:val="004C4B71"/>
    <w:rsid w:val="004C623D"/>
    <w:rsid w:val="004D00E5"/>
    <w:rsid w:val="004D087E"/>
    <w:rsid w:val="004D0E7D"/>
    <w:rsid w:val="004D19DB"/>
    <w:rsid w:val="004D1E88"/>
    <w:rsid w:val="004D3A06"/>
    <w:rsid w:val="004D3C26"/>
    <w:rsid w:val="004D3CD7"/>
    <w:rsid w:val="004D44AF"/>
    <w:rsid w:val="004D451A"/>
    <w:rsid w:val="004D58DE"/>
    <w:rsid w:val="004D63E2"/>
    <w:rsid w:val="004E1D30"/>
    <w:rsid w:val="004E2E23"/>
    <w:rsid w:val="004E384B"/>
    <w:rsid w:val="004E3AD3"/>
    <w:rsid w:val="004E3CAA"/>
    <w:rsid w:val="004E3F30"/>
    <w:rsid w:val="004E46F8"/>
    <w:rsid w:val="004E50C8"/>
    <w:rsid w:val="004E564D"/>
    <w:rsid w:val="004E6405"/>
    <w:rsid w:val="004E653E"/>
    <w:rsid w:val="004E65F5"/>
    <w:rsid w:val="004E68E0"/>
    <w:rsid w:val="004E706E"/>
    <w:rsid w:val="004E741F"/>
    <w:rsid w:val="004F0456"/>
    <w:rsid w:val="004F05FD"/>
    <w:rsid w:val="004F0911"/>
    <w:rsid w:val="004F1F80"/>
    <w:rsid w:val="004F2061"/>
    <w:rsid w:val="004F2D77"/>
    <w:rsid w:val="004F3C00"/>
    <w:rsid w:val="004F3E28"/>
    <w:rsid w:val="004F48B2"/>
    <w:rsid w:val="004F4AA4"/>
    <w:rsid w:val="004F621F"/>
    <w:rsid w:val="004F66DE"/>
    <w:rsid w:val="004F795B"/>
    <w:rsid w:val="00500133"/>
    <w:rsid w:val="0050077D"/>
    <w:rsid w:val="00500CA8"/>
    <w:rsid w:val="00502B7A"/>
    <w:rsid w:val="00502D95"/>
    <w:rsid w:val="00502EAE"/>
    <w:rsid w:val="00503A1B"/>
    <w:rsid w:val="0050500F"/>
    <w:rsid w:val="00505279"/>
    <w:rsid w:val="005054BF"/>
    <w:rsid w:val="00505F9A"/>
    <w:rsid w:val="005063E1"/>
    <w:rsid w:val="00506CED"/>
    <w:rsid w:val="00507CC5"/>
    <w:rsid w:val="00507F2A"/>
    <w:rsid w:val="0051239B"/>
    <w:rsid w:val="00512616"/>
    <w:rsid w:val="005132B6"/>
    <w:rsid w:val="00515974"/>
    <w:rsid w:val="00516BBB"/>
    <w:rsid w:val="00517936"/>
    <w:rsid w:val="00523E83"/>
    <w:rsid w:val="005248BB"/>
    <w:rsid w:val="005251FE"/>
    <w:rsid w:val="005273BF"/>
    <w:rsid w:val="00530711"/>
    <w:rsid w:val="005308A5"/>
    <w:rsid w:val="005314E9"/>
    <w:rsid w:val="00531723"/>
    <w:rsid w:val="0053272B"/>
    <w:rsid w:val="0053275E"/>
    <w:rsid w:val="0053324F"/>
    <w:rsid w:val="005338CD"/>
    <w:rsid w:val="005348BF"/>
    <w:rsid w:val="0053673F"/>
    <w:rsid w:val="00537D1B"/>
    <w:rsid w:val="00540EBA"/>
    <w:rsid w:val="00541E10"/>
    <w:rsid w:val="00541EF9"/>
    <w:rsid w:val="005431CF"/>
    <w:rsid w:val="00543D0A"/>
    <w:rsid w:val="005443B6"/>
    <w:rsid w:val="00544EFB"/>
    <w:rsid w:val="005454F3"/>
    <w:rsid w:val="0054555C"/>
    <w:rsid w:val="005455E5"/>
    <w:rsid w:val="0054681B"/>
    <w:rsid w:val="0054779A"/>
    <w:rsid w:val="00547BA1"/>
    <w:rsid w:val="00550089"/>
    <w:rsid w:val="00551A1B"/>
    <w:rsid w:val="00552F3F"/>
    <w:rsid w:val="00553589"/>
    <w:rsid w:val="00553C0B"/>
    <w:rsid w:val="00556101"/>
    <w:rsid w:val="005578F4"/>
    <w:rsid w:val="00557ADA"/>
    <w:rsid w:val="00557CB1"/>
    <w:rsid w:val="0056072C"/>
    <w:rsid w:val="0056091E"/>
    <w:rsid w:val="005609D0"/>
    <w:rsid w:val="00561371"/>
    <w:rsid w:val="0056172D"/>
    <w:rsid w:val="0056223B"/>
    <w:rsid w:val="005635F3"/>
    <w:rsid w:val="005638E1"/>
    <w:rsid w:val="0056411C"/>
    <w:rsid w:val="00565A5D"/>
    <w:rsid w:val="00565B4C"/>
    <w:rsid w:val="005663FF"/>
    <w:rsid w:val="005677E5"/>
    <w:rsid w:val="005708ED"/>
    <w:rsid w:val="00570D24"/>
    <w:rsid w:val="00572E4C"/>
    <w:rsid w:val="00574B34"/>
    <w:rsid w:val="00574C1A"/>
    <w:rsid w:val="00575731"/>
    <w:rsid w:val="00576798"/>
    <w:rsid w:val="005769E1"/>
    <w:rsid w:val="00577E4E"/>
    <w:rsid w:val="0058032A"/>
    <w:rsid w:val="00580EEB"/>
    <w:rsid w:val="00580FCF"/>
    <w:rsid w:val="00581145"/>
    <w:rsid w:val="00581CFE"/>
    <w:rsid w:val="00581F0C"/>
    <w:rsid w:val="00583673"/>
    <w:rsid w:val="00583D08"/>
    <w:rsid w:val="0058726C"/>
    <w:rsid w:val="00587BE7"/>
    <w:rsid w:val="00587CBC"/>
    <w:rsid w:val="0059153E"/>
    <w:rsid w:val="00593005"/>
    <w:rsid w:val="00593BCA"/>
    <w:rsid w:val="0059491E"/>
    <w:rsid w:val="00595BC9"/>
    <w:rsid w:val="00595DBE"/>
    <w:rsid w:val="00595DF1"/>
    <w:rsid w:val="00595F1E"/>
    <w:rsid w:val="00596524"/>
    <w:rsid w:val="0059652D"/>
    <w:rsid w:val="00597B28"/>
    <w:rsid w:val="00597D35"/>
    <w:rsid w:val="005A0219"/>
    <w:rsid w:val="005A1248"/>
    <w:rsid w:val="005A24B0"/>
    <w:rsid w:val="005A2DEE"/>
    <w:rsid w:val="005A30CA"/>
    <w:rsid w:val="005A4064"/>
    <w:rsid w:val="005A4A36"/>
    <w:rsid w:val="005A4F7F"/>
    <w:rsid w:val="005A4FE9"/>
    <w:rsid w:val="005A6D6D"/>
    <w:rsid w:val="005A7264"/>
    <w:rsid w:val="005B1601"/>
    <w:rsid w:val="005B2F4F"/>
    <w:rsid w:val="005B3FDB"/>
    <w:rsid w:val="005B4275"/>
    <w:rsid w:val="005B4B28"/>
    <w:rsid w:val="005B4CFC"/>
    <w:rsid w:val="005B5654"/>
    <w:rsid w:val="005B58B0"/>
    <w:rsid w:val="005B5B9B"/>
    <w:rsid w:val="005B6E0D"/>
    <w:rsid w:val="005B7D70"/>
    <w:rsid w:val="005C0298"/>
    <w:rsid w:val="005C0769"/>
    <w:rsid w:val="005C13D4"/>
    <w:rsid w:val="005C2AFC"/>
    <w:rsid w:val="005C360A"/>
    <w:rsid w:val="005C3A20"/>
    <w:rsid w:val="005C560C"/>
    <w:rsid w:val="005C6A51"/>
    <w:rsid w:val="005C7EE9"/>
    <w:rsid w:val="005C7F32"/>
    <w:rsid w:val="005D04B6"/>
    <w:rsid w:val="005D0567"/>
    <w:rsid w:val="005D221C"/>
    <w:rsid w:val="005D2A43"/>
    <w:rsid w:val="005D6794"/>
    <w:rsid w:val="005D6EA0"/>
    <w:rsid w:val="005D7100"/>
    <w:rsid w:val="005D769D"/>
    <w:rsid w:val="005D76BB"/>
    <w:rsid w:val="005E11BE"/>
    <w:rsid w:val="005E263E"/>
    <w:rsid w:val="005E3188"/>
    <w:rsid w:val="005E6812"/>
    <w:rsid w:val="005E6B6A"/>
    <w:rsid w:val="005E76E2"/>
    <w:rsid w:val="005E7B36"/>
    <w:rsid w:val="005F02E6"/>
    <w:rsid w:val="005F10F1"/>
    <w:rsid w:val="005F158E"/>
    <w:rsid w:val="005F1911"/>
    <w:rsid w:val="005F2CBA"/>
    <w:rsid w:val="005F3216"/>
    <w:rsid w:val="005F45F8"/>
    <w:rsid w:val="005F4620"/>
    <w:rsid w:val="005F4B30"/>
    <w:rsid w:val="005F4C5A"/>
    <w:rsid w:val="005F4DFE"/>
    <w:rsid w:val="005F4EF9"/>
    <w:rsid w:val="005F572A"/>
    <w:rsid w:val="005F735A"/>
    <w:rsid w:val="005F7907"/>
    <w:rsid w:val="006001CC"/>
    <w:rsid w:val="006015AE"/>
    <w:rsid w:val="00601755"/>
    <w:rsid w:val="006017B1"/>
    <w:rsid w:val="006018E0"/>
    <w:rsid w:val="00601A83"/>
    <w:rsid w:val="006025E2"/>
    <w:rsid w:val="00602A84"/>
    <w:rsid w:val="00604E38"/>
    <w:rsid w:val="0060685F"/>
    <w:rsid w:val="00606F33"/>
    <w:rsid w:val="00607066"/>
    <w:rsid w:val="00607197"/>
    <w:rsid w:val="00607A16"/>
    <w:rsid w:val="006107E4"/>
    <w:rsid w:val="006108B3"/>
    <w:rsid w:val="006109F8"/>
    <w:rsid w:val="00610A71"/>
    <w:rsid w:val="00612AB1"/>
    <w:rsid w:val="00612B6B"/>
    <w:rsid w:val="00613380"/>
    <w:rsid w:val="00613A27"/>
    <w:rsid w:val="006147EA"/>
    <w:rsid w:val="00616184"/>
    <w:rsid w:val="0062021D"/>
    <w:rsid w:val="0062067F"/>
    <w:rsid w:val="00622F7E"/>
    <w:rsid w:val="00623075"/>
    <w:rsid w:val="00623910"/>
    <w:rsid w:val="00624412"/>
    <w:rsid w:val="00624A27"/>
    <w:rsid w:val="00624D53"/>
    <w:rsid w:val="00624D74"/>
    <w:rsid w:val="00625F59"/>
    <w:rsid w:val="0062716D"/>
    <w:rsid w:val="00627AF2"/>
    <w:rsid w:val="00627B35"/>
    <w:rsid w:val="00627F2C"/>
    <w:rsid w:val="00631C19"/>
    <w:rsid w:val="00632EF0"/>
    <w:rsid w:val="00632F94"/>
    <w:rsid w:val="00634F73"/>
    <w:rsid w:val="0063521D"/>
    <w:rsid w:val="0063541C"/>
    <w:rsid w:val="0063560A"/>
    <w:rsid w:val="0063569F"/>
    <w:rsid w:val="00635D8F"/>
    <w:rsid w:val="0063632F"/>
    <w:rsid w:val="006403D5"/>
    <w:rsid w:val="006407A0"/>
    <w:rsid w:val="00640E38"/>
    <w:rsid w:val="006414E6"/>
    <w:rsid w:val="00641BB5"/>
    <w:rsid w:val="00641F91"/>
    <w:rsid w:val="006438B0"/>
    <w:rsid w:val="00644894"/>
    <w:rsid w:val="00644C16"/>
    <w:rsid w:val="006478D1"/>
    <w:rsid w:val="00650C56"/>
    <w:rsid w:val="00650D89"/>
    <w:rsid w:val="00651582"/>
    <w:rsid w:val="00652778"/>
    <w:rsid w:val="00652858"/>
    <w:rsid w:val="00653FBE"/>
    <w:rsid w:val="006558DC"/>
    <w:rsid w:val="00655B1D"/>
    <w:rsid w:val="00656125"/>
    <w:rsid w:val="00656B27"/>
    <w:rsid w:val="00657F8B"/>
    <w:rsid w:val="006600D8"/>
    <w:rsid w:val="0066014F"/>
    <w:rsid w:val="00660401"/>
    <w:rsid w:val="006618FC"/>
    <w:rsid w:val="006630EF"/>
    <w:rsid w:val="006638AA"/>
    <w:rsid w:val="00663D00"/>
    <w:rsid w:val="00663E86"/>
    <w:rsid w:val="00671B7E"/>
    <w:rsid w:val="00671BAA"/>
    <w:rsid w:val="006724AB"/>
    <w:rsid w:val="006733CD"/>
    <w:rsid w:val="00673DA8"/>
    <w:rsid w:val="006767BC"/>
    <w:rsid w:val="00676AD2"/>
    <w:rsid w:val="006807D4"/>
    <w:rsid w:val="00681D75"/>
    <w:rsid w:val="0068242E"/>
    <w:rsid w:val="0068253E"/>
    <w:rsid w:val="00684BAF"/>
    <w:rsid w:val="006857FE"/>
    <w:rsid w:val="0068737A"/>
    <w:rsid w:val="00687C62"/>
    <w:rsid w:val="00691937"/>
    <w:rsid w:val="00692231"/>
    <w:rsid w:val="0069352A"/>
    <w:rsid w:val="00694382"/>
    <w:rsid w:val="00695904"/>
    <w:rsid w:val="00696C57"/>
    <w:rsid w:val="00696DD3"/>
    <w:rsid w:val="00696EBB"/>
    <w:rsid w:val="00697243"/>
    <w:rsid w:val="006A0B63"/>
    <w:rsid w:val="006A1AF6"/>
    <w:rsid w:val="006A1F10"/>
    <w:rsid w:val="006A38E7"/>
    <w:rsid w:val="006A390C"/>
    <w:rsid w:val="006A4AE3"/>
    <w:rsid w:val="006A4D4E"/>
    <w:rsid w:val="006A5132"/>
    <w:rsid w:val="006A78FE"/>
    <w:rsid w:val="006B04FF"/>
    <w:rsid w:val="006B2A97"/>
    <w:rsid w:val="006B51C8"/>
    <w:rsid w:val="006B630A"/>
    <w:rsid w:val="006B646E"/>
    <w:rsid w:val="006B64C5"/>
    <w:rsid w:val="006B7C24"/>
    <w:rsid w:val="006C1577"/>
    <w:rsid w:val="006C1A37"/>
    <w:rsid w:val="006C437A"/>
    <w:rsid w:val="006C46F7"/>
    <w:rsid w:val="006C4ACD"/>
    <w:rsid w:val="006C5ACD"/>
    <w:rsid w:val="006C6300"/>
    <w:rsid w:val="006C6FE7"/>
    <w:rsid w:val="006C7EE9"/>
    <w:rsid w:val="006D1544"/>
    <w:rsid w:val="006D1923"/>
    <w:rsid w:val="006D36B7"/>
    <w:rsid w:val="006D3A49"/>
    <w:rsid w:val="006D3A99"/>
    <w:rsid w:val="006D3EC9"/>
    <w:rsid w:val="006D686D"/>
    <w:rsid w:val="006D69EF"/>
    <w:rsid w:val="006D74D0"/>
    <w:rsid w:val="006E1499"/>
    <w:rsid w:val="006E16F1"/>
    <w:rsid w:val="006E22EE"/>
    <w:rsid w:val="006E2968"/>
    <w:rsid w:val="006E2CC8"/>
    <w:rsid w:val="006E3009"/>
    <w:rsid w:val="006E359B"/>
    <w:rsid w:val="006E4D3E"/>
    <w:rsid w:val="006E75BF"/>
    <w:rsid w:val="006F09B5"/>
    <w:rsid w:val="006F0A0D"/>
    <w:rsid w:val="006F1349"/>
    <w:rsid w:val="006F1BEF"/>
    <w:rsid w:val="006F1EE2"/>
    <w:rsid w:val="006F201F"/>
    <w:rsid w:val="006F2138"/>
    <w:rsid w:val="006F2C03"/>
    <w:rsid w:val="006F365C"/>
    <w:rsid w:val="006F3EC8"/>
    <w:rsid w:val="006F4671"/>
    <w:rsid w:val="006F48B3"/>
    <w:rsid w:val="006F48B8"/>
    <w:rsid w:val="006F4ACE"/>
    <w:rsid w:val="006F553C"/>
    <w:rsid w:val="006F5924"/>
    <w:rsid w:val="006F6258"/>
    <w:rsid w:val="006F65E1"/>
    <w:rsid w:val="006F696D"/>
    <w:rsid w:val="006F7F8E"/>
    <w:rsid w:val="00701552"/>
    <w:rsid w:val="00701953"/>
    <w:rsid w:val="0070231A"/>
    <w:rsid w:val="007032A7"/>
    <w:rsid w:val="0070349A"/>
    <w:rsid w:val="00703863"/>
    <w:rsid w:val="007043A4"/>
    <w:rsid w:val="00704FDE"/>
    <w:rsid w:val="00705448"/>
    <w:rsid w:val="00706EC4"/>
    <w:rsid w:val="00710C89"/>
    <w:rsid w:val="00711E90"/>
    <w:rsid w:val="007122EC"/>
    <w:rsid w:val="00713A7A"/>
    <w:rsid w:val="00713BDE"/>
    <w:rsid w:val="00714504"/>
    <w:rsid w:val="00716094"/>
    <w:rsid w:val="007169BB"/>
    <w:rsid w:val="0071742A"/>
    <w:rsid w:val="00721592"/>
    <w:rsid w:val="00722051"/>
    <w:rsid w:val="00724AC3"/>
    <w:rsid w:val="00727E6D"/>
    <w:rsid w:val="00730E8F"/>
    <w:rsid w:val="00731D48"/>
    <w:rsid w:val="00732792"/>
    <w:rsid w:val="00733D9F"/>
    <w:rsid w:val="00734484"/>
    <w:rsid w:val="007362AA"/>
    <w:rsid w:val="00737BD9"/>
    <w:rsid w:val="00737FB1"/>
    <w:rsid w:val="0074016E"/>
    <w:rsid w:val="00741518"/>
    <w:rsid w:val="00741650"/>
    <w:rsid w:val="00742044"/>
    <w:rsid w:val="00742076"/>
    <w:rsid w:val="00742B40"/>
    <w:rsid w:val="00742FF3"/>
    <w:rsid w:val="0074456B"/>
    <w:rsid w:val="00745136"/>
    <w:rsid w:val="00745A15"/>
    <w:rsid w:val="00745DD2"/>
    <w:rsid w:val="007460AE"/>
    <w:rsid w:val="00747D82"/>
    <w:rsid w:val="00750F8E"/>
    <w:rsid w:val="00751354"/>
    <w:rsid w:val="00753082"/>
    <w:rsid w:val="007533F7"/>
    <w:rsid w:val="007536C2"/>
    <w:rsid w:val="007543C9"/>
    <w:rsid w:val="00755C45"/>
    <w:rsid w:val="00756909"/>
    <w:rsid w:val="00756CFD"/>
    <w:rsid w:val="00760D10"/>
    <w:rsid w:val="00762108"/>
    <w:rsid w:val="0076335F"/>
    <w:rsid w:val="007646D5"/>
    <w:rsid w:val="00765466"/>
    <w:rsid w:val="007707AB"/>
    <w:rsid w:val="00770E38"/>
    <w:rsid w:val="00771F17"/>
    <w:rsid w:val="00772D9E"/>
    <w:rsid w:val="00774568"/>
    <w:rsid w:val="007751DE"/>
    <w:rsid w:val="00775794"/>
    <w:rsid w:val="00775A17"/>
    <w:rsid w:val="00775EEB"/>
    <w:rsid w:val="0077619E"/>
    <w:rsid w:val="00776AF1"/>
    <w:rsid w:val="00776E0D"/>
    <w:rsid w:val="0077783D"/>
    <w:rsid w:val="0078133D"/>
    <w:rsid w:val="00781445"/>
    <w:rsid w:val="00781E34"/>
    <w:rsid w:val="007822E5"/>
    <w:rsid w:val="007823EF"/>
    <w:rsid w:val="00782C02"/>
    <w:rsid w:val="00784C24"/>
    <w:rsid w:val="00785785"/>
    <w:rsid w:val="00785C19"/>
    <w:rsid w:val="007871E5"/>
    <w:rsid w:val="00787729"/>
    <w:rsid w:val="0079011B"/>
    <w:rsid w:val="007909D3"/>
    <w:rsid w:val="00790ADE"/>
    <w:rsid w:val="00790BCD"/>
    <w:rsid w:val="00791DED"/>
    <w:rsid w:val="00792AA8"/>
    <w:rsid w:val="00793AAE"/>
    <w:rsid w:val="00794972"/>
    <w:rsid w:val="007959C2"/>
    <w:rsid w:val="00796EE7"/>
    <w:rsid w:val="00797022"/>
    <w:rsid w:val="007A206E"/>
    <w:rsid w:val="007A2788"/>
    <w:rsid w:val="007A2F9E"/>
    <w:rsid w:val="007A3ABE"/>
    <w:rsid w:val="007A3D42"/>
    <w:rsid w:val="007A3D74"/>
    <w:rsid w:val="007A4CB0"/>
    <w:rsid w:val="007A5B52"/>
    <w:rsid w:val="007A5CDF"/>
    <w:rsid w:val="007A60F8"/>
    <w:rsid w:val="007A62C3"/>
    <w:rsid w:val="007B01CE"/>
    <w:rsid w:val="007B0B64"/>
    <w:rsid w:val="007B1D79"/>
    <w:rsid w:val="007B1E2E"/>
    <w:rsid w:val="007B2A89"/>
    <w:rsid w:val="007B341B"/>
    <w:rsid w:val="007B4102"/>
    <w:rsid w:val="007B651A"/>
    <w:rsid w:val="007B6648"/>
    <w:rsid w:val="007B6669"/>
    <w:rsid w:val="007B7387"/>
    <w:rsid w:val="007C09EB"/>
    <w:rsid w:val="007C0BE2"/>
    <w:rsid w:val="007C0F9F"/>
    <w:rsid w:val="007C11FC"/>
    <w:rsid w:val="007C1494"/>
    <w:rsid w:val="007C231A"/>
    <w:rsid w:val="007C311B"/>
    <w:rsid w:val="007C315A"/>
    <w:rsid w:val="007C462E"/>
    <w:rsid w:val="007C506B"/>
    <w:rsid w:val="007C59C7"/>
    <w:rsid w:val="007C5ECE"/>
    <w:rsid w:val="007C6A74"/>
    <w:rsid w:val="007C7615"/>
    <w:rsid w:val="007C7D52"/>
    <w:rsid w:val="007D0986"/>
    <w:rsid w:val="007D0D86"/>
    <w:rsid w:val="007D17B8"/>
    <w:rsid w:val="007D1F79"/>
    <w:rsid w:val="007D405A"/>
    <w:rsid w:val="007D59A7"/>
    <w:rsid w:val="007D698B"/>
    <w:rsid w:val="007D7412"/>
    <w:rsid w:val="007D7624"/>
    <w:rsid w:val="007D7BB6"/>
    <w:rsid w:val="007D7DFD"/>
    <w:rsid w:val="007E0B76"/>
    <w:rsid w:val="007E1312"/>
    <w:rsid w:val="007E1D34"/>
    <w:rsid w:val="007E3C4E"/>
    <w:rsid w:val="007E46DD"/>
    <w:rsid w:val="007E473B"/>
    <w:rsid w:val="007E5D35"/>
    <w:rsid w:val="007E6727"/>
    <w:rsid w:val="007E6C65"/>
    <w:rsid w:val="007E7E00"/>
    <w:rsid w:val="007F089B"/>
    <w:rsid w:val="007F11AF"/>
    <w:rsid w:val="007F1D54"/>
    <w:rsid w:val="007F2EF0"/>
    <w:rsid w:val="007F30FF"/>
    <w:rsid w:val="007F3F6C"/>
    <w:rsid w:val="007F4128"/>
    <w:rsid w:val="007F4659"/>
    <w:rsid w:val="007F4937"/>
    <w:rsid w:val="007F4C32"/>
    <w:rsid w:val="007F4C6E"/>
    <w:rsid w:val="007F4C85"/>
    <w:rsid w:val="007F52A6"/>
    <w:rsid w:val="007F5789"/>
    <w:rsid w:val="007F68DA"/>
    <w:rsid w:val="007F6AB4"/>
    <w:rsid w:val="007F6CA5"/>
    <w:rsid w:val="00800425"/>
    <w:rsid w:val="008004E7"/>
    <w:rsid w:val="0080276C"/>
    <w:rsid w:val="008033F3"/>
    <w:rsid w:val="0080387E"/>
    <w:rsid w:val="00803E57"/>
    <w:rsid w:val="00804FB9"/>
    <w:rsid w:val="008060C8"/>
    <w:rsid w:val="00806201"/>
    <w:rsid w:val="00806BA3"/>
    <w:rsid w:val="00806F67"/>
    <w:rsid w:val="00807165"/>
    <w:rsid w:val="00807372"/>
    <w:rsid w:val="00810F5C"/>
    <w:rsid w:val="00811308"/>
    <w:rsid w:val="008116EB"/>
    <w:rsid w:val="00811C6C"/>
    <w:rsid w:val="00811EA3"/>
    <w:rsid w:val="00812723"/>
    <w:rsid w:val="008127F3"/>
    <w:rsid w:val="00814A6A"/>
    <w:rsid w:val="00814ED4"/>
    <w:rsid w:val="00815103"/>
    <w:rsid w:val="008152E3"/>
    <w:rsid w:val="0081557C"/>
    <w:rsid w:val="008159B1"/>
    <w:rsid w:val="0081644A"/>
    <w:rsid w:val="00820282"/>
    <w:rsid w:val="00820651"/>
    <w:rsid w:val="00820B86"/>
    <w:rsid w:val="00820CA1"/>
    <w:rsid w:val="00820FB7"/>
    <w:rsid w:val="0082117F"/>
    <w:rsid w:val="00821BC0"/>
    <w:rsid w:val="00822CA9"/>
    <w:rsid w:val="00822D59"/>
    <w:rsid w:val="00825EBC"/>
    <w:rsid w:val="008260A3"/>
    <w:rsid w:val="0082619C"/>
    <w:rsid w:val="00827454"/>
    <w:rsid w:val="00831A0D"/>
    <w:rsid w:val="0083462F"/>
    <w:rsid w:val="008361C5"/>
    <w:rsid w:val="008368F6"/>
    <w:rsid w:val="00836AD2"/>
    <w:rsid w:val="00837128"/>
    <w:rsid w:val="008373DD"/>
    <w:rsid w:val="008375CC"/>
    <w:rsid w:val="00841165"/>
    <w:rsid w:val="008415CC"/>
    <w:rsid w:val="0084193C"/>
    <w:rsid w:val="008425DF"/>
    <w:rsid w:val="00842862"/>
    <w:rsid w:val="00844A64"/>
    <w:rsid w:val="00845199"/>
    <w:rsid w:val="008459B0"/>
    <w:rsid w:val="00845D2B"/>
    <w:rsid w:val="00846461"/>
    <w:rsid w:val="00846567"/>
    <w:rsid w:val="008467C0"/>
    <w:rsid w:val="00847DFE"/>
    <w:rsid w:val="00847EDF"/>
    <w:rsid w:val="008510C8"/>
    <w:rsid w:val="00851111"/>
    <w:rsid w:val="008513E6"/>
    <w:rsid w:val="008525CF"/>
    <w:rsid w:val="00852B05"/>
    <w:rsid w:val="00852B64"/>
    <w:rsid w:val="00853D95"/>
    <w:rsid w:val="008542CC"/>
    <w:rsid w:val="00855E15"/>
    <w:rsid w:val="00856912"/>
    <w:rsid w:val="00856C6A"/>
    <w:rsid w:val="008570C4"/>
    <w:rsid w:val="008605C4"/>
    <w:rsid w:val="00860973"/>
    <w:rsid w:val="00860B77"/>
    <w:rsid w:val="0086183E"/>
    <w:rsid w:val="00861B71"/>
    <w:rsid w:val="00861E12"/>
    <w:rsid w:val="00862EF1"/>
    <w:rsid w:val="00863832"/>
    <w:rsid w:val="00864006"/>
    <w:rsid w:val="008648B5"/>
    <w:rsid w:val="00864BDA"/>
    <w:rsid w:val="00865698"/>
    <w:rsid w:val="00865A78"/>
    <w:rsid w:val="0086641A"/>
    <w:rsid w:val="00866755"/>
    <w:rsid w:val="00867E25"/>
    <w:rsid w:val="00867F68"/>
    <w:rsid w:val="00872FB3"/>
    <w:rsid w:val="008737D3"/>
    <w:rsid w:val="00873E0E"/>
    <w:rsid w:val="0087687A"/>
    <w:rsid w:val="00877CBF"/>
    <w:rsid w:val="00881B95"/>
    <w:rsid w:val="00882A4C"/>
    <w:rsid w:val="00882D53"/>
    <w:rsid w:val="00882DDE"/>
    <w:rsid w:val="00882FF7"/>
    <w:rsid w:val="00883437"/>
    <w:rsid w:val="008834C5"/>
    <w:rsid w:val="00883A6C"/>
    <w:rsid w:val="00883BB8"/>
    <w:rsid w:val="00883C24"/>
    <w:rsid w:val="0088404B"/>
    <w:rsid w:val="0088462B"/>
    <w:rsid w:val="00884A68"/>
    <w:rsid w:val="008853F8"/>
    <w:rsid w:val="0088580C"/>
    <w:rsid w:val="00890AAA"/>
    <w:rsid w:val="0089435F"/>
    <w:rsid w:val="00894B8C"/>
    <w:rsid w:val="00894C02"/>
    <w:rsid w:val="008953BD"/>
    <w:rsid w:val="00895C00"/>
    <w:rsid w:val="00895E71"/>
    <w:rsid w:val="008A16A5"/>
    <w:rsid w:val="008A3E20"/>
    <w:rsid w:val="008A4628"/>
    <w:rsid w:val="008A5DE1"/>
    <w:rsid w:val="008A7C9E"/>
    <w:rsid w:val="008B130D"/>
    <w:rsid w:val="008B38C3"/>
    <w:rsid w:val="008B47CB"/>
    <w:rsid w:val="008B6A6C"/>
    <w:rsid w:val="008B776D"/>
    <w:rsid w:val="008B7B61"/>
    <w:rsid w:val="008C15BB"/>
    <w:rsid w:val="008C165B"/>
    <w:rsid w:val="008C264B"/>
    <w:rsid w:val="008C28E5"/>
    <w:rsid w:val="008C2B7C"/>
    <w:rsid w:val="008C3945"/>
    <w:rsid w:val="008C449B"/>
    <w:rsid w:val="008C4E5F"/>
    <w:rsid w:val="008C51F8"/>
    <w:rsid w:val="008C5D47"/>
    <w:rsid w:val="008C6344"/>
    <w:rsid w:val="008C6886"/>
    <w:rsid w:val="008C6ACE"/>
    <w:rsid w:val="008C6C82"/>
    <w:rsid w:val="008C7DC1"/>
    <w:rsid w:val="008D015E"/>
    <w:rsid w:val="008D1132"/>
    <w:rsid w:val="008D14CA"/>
    <w:rsid w:val="008D15F7"/>
    <w:rsid w:val="008D1FDE"/>
    <w:rsid w:val="008D351D"/>
    <w:rsid w:val="008D53A3"/>
    <w:rsid w:val="008D5973"/>
    <w:rsid w:val="008D63C1"/>
    <w:rsid w:val="008D654B"/>
    <w:rsid w:val="008E06BF"/>
    <w:rsid w:val="008E1233"/>
    <w:rsid w:val="008E1C45"/>
    <w:rsid w:val="008E242E"/>
    <w:rsid w:val="008E3E95"/>
    <w:rsid w:val="008E5CAA"/>
    <w:rsid w:val="008E647B"/>
    <w:rsid w:val="008E7B61"/>
    <w:rsid w:val="008F0FA4"/>
    <w:rsid w:val="008F121F"/>
    <w:rsid w:val="008F2420"/>
    <w:rsid w:val="008F3AE2"/>
    <w:rsid w:val="008F3EB5"/>
    <w:rsid w:val="008F3F69"/>
    <w:rsid w:val="008F44A4"/>
    <w:rsid w:val="008F5F1D"/>
    <w:rsid w:val="008F6221"/>
    <w:rsid w:val="008F722B"/>
    <w:rsid w:val="008F777B"/>
    <w:rsid w:val="008F7CCE"/>
    <w:rsid w:val="00900481"/>
    <w:rsid w:val="009020F9"/>
    <w:rsid w:val="0090419F"/>
    <w:rsid w:val="009064E2"/>
    <w:rsid w:val="00907420"/>
    <w:rsid w:val="009077C7"/>
    <w:rsid w:val="00910446"/>
    <w:rsid w:val="00911B21"/>
    <w:rsid w:val="00911B81"/>
    <w:rsid w:val="0091220E"/>
    <w:rsid w:val="00914477"/>
    <w:rsid w:val="0091465A"/>
    <w:rsid w:val="00914FDB"/>
    <w:rsid w:val="00915073"/>
    <w:rsid w:val="009150F9"/>
    <w:rsid w:val="009152FA"/>
    <w:rsid w:val="009153CD"/>
    <w:rsid w:val="00915CC0"/>
    <w:rsid w:val="009164CA"/>
    <w:rsid w:val="0091753B"/>
    <w:rsid w:val="00917ED5"/>
    <w:rsid w:val="00920216"/>
    <w:rsid w:val="00920463"/>
    <w:rsid w:val="00921E2E"/>
    <w:rsid w:val="009222C1"/>
    <w:rsid w:val="00922845"/>
    <w:rsid w:val="009231E5"/>
    <w:rsid w:val="009238C7"/>
    <w:rsid w:val="00923D68"/>
    <w:rsid w:val="00923E4C"/>
    <w:rsid w:val="009245CA"/>
    <w:rsid w:val="009258CA"/>
    <w:rsid w:val="0092688B"/>
    <w:rsid w:val="00926E4D"/>
    <w:rsid w:val="00926EB3"/>
    <w:rsid w:val="009306EF"/>
    <w:rsid w:val="0093352D"/>
    <w:rsid w:val="0093392F"/>
    <w:rsid w:val="00933C9A"/>
    <w:rsid w:val="00934FBC"/>
    <w:rsid w:val="00936E5C"/>
    <w:rsid w:val="00936EE4"/>
    <w:rsid w:val="00936F8F"/>
    <w:rsid w:val="009376FF"/>
    <w:rsid w:val="00940185"/>
    <w:rsid w:val="00940BCD"/>
    <w:rsid w:val="00940E45"/>
    <w:rsid w:val="00941279"/>
    <w:rsid w:val="009418BD"/>
    <w:rsid w:val="00943C13"/>
    <w:rsid w:val="00944C87"/>
    <w:rsid w:val="00945DAF"/>
    <w:rsid w:val="009462D5"/>
    <w:rsid w:val="0095100F"/>
    <w:rsid w:val="009518FE"/>
    <w:rsid w:val="00952657"/>
    <w:rsid w:val="00953AE2"/>
    <w:rsid w:val="00953B7F"/>
    <w:rsid w:val="00953B93"/>
    <w:rsid w:val="00953EB6"/>
    <w:rsid w:val="0095436C"/>
    <w:rsid w:val="0095456C"/>
    <w:rsid w:val="009547B3"/>
    <w:rsid w:val="00954B95"/>
    <w:rsid w:val="00955178"/>
    <w:rsid w:val="00955DFF"/>
    <w:rsid w:val="009560A9"/>
    <w:rsid w:val="00956905"/>
    <w:rsid w:val="00957475"/>
    <w:rsid w:val="009607FC"/>
    <w:rsid w:val="009612C2"/>
    <w:rsid w:val="009614C6"/>
    <w:rsid w:val="00961E96"/>
    <w:rsid w:val="00962636"/>
    <w:rsid w:val="00962B3F"/>
    <w:rsid w:val="00962BFB"/>
    <w:rsid w:val="00962E1C"/>
    <w:rsid w:val="00963157"/>
    <w:rsid w:val="0096349D"/>
    <w:rsid w:val="009638C9"/>
    <w:rsid w:val="0096420E"/>
    <w:rsid w:val="00964954"/>
    <w:rsid w:val="00966DEC"/>
    <w:rsid w:val="00970EB9"/>
    <w:rsid w:val="00971063"/>
    <w:rsid w:val="00972A04"/>
    <w:rsid w:val="0097326D"/>
    <w:rsid w:val="00973446"/>
    <w:rsid w:val="00973A1F"/>
    <w:rsid w:val="00973B1B"/>
    <w:rsid w:val="00974EDA"/>
    <w:rsid w:val="00975C4C"/>
    <w:rsid w:val="0097602E"/>
    <w:rsid w:val="0097636B"/>
    <w:rsid w:val="0097673B"/>
    <w:rsid w:val="00976904"/>
    <w:rsid w:val="00977A00"/>
    <w:rsid w:val="00982194"/>
    <w:rsid w:val="009822C1"/>
    <w:rsid w:val="00982B93"/>
    <w:rsid w:val="00983A65"/>
    <w:rsid w:val="00987C7D"/>
    <w:rsid w:val="00987CBE"/>
    <w:rsid w:val="00990380"/>
    <w:rsid w:val="009906F2"/>
    <w:rsid w:val="0099102F"/>
    <w:rsid w:val="009916FA"/>
    <w:rsid w:val="00991F15"/>
    <w:rsid w:val="009921DB"/>
    <w:rsid w:val="009937F7"/>
    <w:rsid w:val="009940EF"/>
    <w:rsid w:val="009944C4"/>
    <w:rsid w:val="00994A8D"/>
    <w:rsid w:val="00994D06"/>
    <w:rsid w:val="0099641C"/>
    <w:rsid w:val="00997CF0"/>
    <w:rsid w:val="00997F6C"/>
    <w:rsid w:val="009A04FD"/>
    <w:rsid w:val="009A0BBC"/>
    <w:rsid w:val="009A179D"/>
    <w:rsid w:val="009A17DB"/>
    <w:rsid w:val="009A2105"/>
    <w:rsid w:val="009A2CBE"/>
    <w:rsid w:val="009A2E57"/>
    <w:rsid w:val="009A32FA"/>
    <w:rsid w:val="009A3F14"/>
    <w:rsid w:val="009A4C7F"/>
    <w:rsid w:val="009A531F"/>
    <w:rsid w:val="009A5A17"/>
    <w:rsid w:val="009A5AFD"/>
    <w:rsid w:val="009A5B73"/>
    <w:rsid w:val="009A69C7"/>
    <w:rsid w:val="009A6EFD"/>
    <w:rsid w:val="009A7A84"/>
    <w:rsid w:val="009A7C29"/>
    <w:rsid w:val="009B0E39"/>
    <w:rsid w:val="009B180C"/>
    <w:rsid w:val="009B1EB5"/>
    <w:rsid w:val="009B34E2"/>
    <w:rsid w:val="009B39DC"/>
    <w:rsid w:val="009B4656"/>
    <w:rsid w:val="009B527F"/>
    <w:rsid w:val="009B5D15"/>
    <w:rsid w:val="009B61E7"/>
    <w:rsid w:val="009B6D2E"/>
    <w:rsid w:val="009B7217"/>
    <w:rsid w:val="009B741F"/>
    <w:rsid w:val="009B7EF5"/>
    <w:rsid w:val="009C0087"/>
    <w:rsid w:val="009C2896"/>
    <w:rsid w:val="009C2973"/>
    <w:rsid w:val="009C2CF2"/>
    <w:rsid w:val="009C2EEE"/>
    <w:rsid w:val="009C3E22"/>
    <w:rsid w:val="009C5507"/>
    <w:rsid w:val="009C6E72"/>
    <w:rsid w:val="009C7779"/>
    <w:rsid w:val="009C7BA1"/>
    <w:rsid w:val="009C7F29"/>
    <w:rsid w:val="009D031B"/>
    <w:rsid w:val="009D04DF"/>
    <w:rsid w:val="009D25CA"/>
    <w:rsid w:val="009D311D"/>
    <w:rsid w:val="009D3C3F"/>
    <w:rsid w:val="009D41EA"/>
    <w:rsid w:val="009D49CE"/>
    <w:rsid w:val="009D4B5C"/>
    <w:rsid w:val="009D4D67"/>
    <w:rsid w:val="009D508F"/>
    <w:rsid w:val="009D635B"/>
    <w:rsid w:val="009D6654"/>
    <w:rsid w:val="009D66DC"/>
    <w:rsid w:val="009D6997"/>
    <w:rsid w:val="009D7F6F"/>
    <w:rsid w:val="009E002C"/>
    <w:rsid w:val="009E0393"/>
    <w:rsid w:val="009E07D3"/>
    <w:rsid w:val="009E3448"/>
    <w:rsid w:val="009E3D3D"/>
    <w:rsid w:val="009E4D0B"/>
    <w:rsid w:val="009F06F2"/>
    <w:rsid w:val="009F0C1D"/>
    <w:rsid w:val="009F4035"/>
    <w:rsid w:val="009F42A5"/>
    <w:rsid w:val="009F559D"/>
    <w:rsid w:val="009F635E"/>
    <w:rsid w:val="009F7ACB"/>
    <w:rsid w:val="00A00C49"/>
    <w:rsid w:val="00A01131"/>
    <w:rsid w:val="00A018F7"/>
    <w:rsid w:val="00A02133"/>
    <w:rsid w:val="00A02C5D"/>
    <w:rsid w:val="00A0334F"/>
    <w:rsid w:val="00A06845"/>
    <w:rsid w:val="00A07258"/>
    <w:rsid w:val="00A104EB"/>
    <w:rsid w:val="00A140D3"/>
    <w:rsid w:val="00A1446B"/>
    <w:rsid w:val="00A1472D"/>
    <w:rsid w:val="00A14B93"/>
    <w:rsid w:val="00A1510E"/>
    <w:rsid w:val="00A15B84"/>
    <w:rsid w:val="00A167F2"/>
    <w:rsid w:val="00A17206"/>
    <w:rsid w:val="00A17EFE"/>
    <w:rsid w:val="00A204B0"/>
    <w:rsid w:val="00A20C78"/>
    <w:rsid w:val="00A212C4"/>
    <w:rsid w:val="00A22C3A"/>
    <w:rsid w:val="00A2312E"/>
    <w:rsid w:val="00A24323"/>
    <w:rsid w:val="00A2449B"/>
    <w:rsid w:val="00A244D4"/>
    <w:rsid w:val="00A24605"/>
    <w:rsid w:val="00A24B8F"/>
    <w:rsid w:val="00A2512C"/>
    <w:rsid w:val="00A2515B"/>
    <w:rsid w:val="00A2588E"/>
    <w:rsid w:val="00A265EF"/>
    <w:rsid w:val="00A26AF3"/>
    <w:rsid w:val="00A26EDF"/>
    <w:rsid w:val="00A2729E"/>
    <w:rsid w:val="00A316AB"/>
    <w:rsid w:val="00A33186"/>
    <w:rsid w:val="00A331EE"/>
    <w:rsid w:val="00A332BB"/>
    <w:rsid w:val="00A33A86"/>
    <w:rsid w:val="00A34365"/>
    <w:rsid w:val="00A34789"/>
    <w:rsid w:val="00A35691"/>
    <w:rsid w:val="00A3630E"/>
    <w:rsid w:val="00A37BB8"/>
    <w:rsid w:val="00A37D74"/>
    <w:rsid w:val="00A40FEB"/>
    <w:rsid w:val="00A4113F"/>
    <w:rsid w:val="00A41FF8"/>
    <w:rsid w:val="00A42D87"/>
    <w:rsid w:val="00A42DFD"/>
    <w:rsid w:val="00A44BD3"/>
    <w:rsid w:val="00A4521D"/>
    <w:rsid w:val="00A453AD"/>
    <w:rsid w:val="00A45E8E"/>
    <w:rsid w:val="00A46D6F"/>
    <w:rsid w:val="00A470E6"/>
    <w:rsid w:val="00A515D0"/>
    <w:rsid w:val="00A51F0A"/>
    <w:rsid w:val="00A52C16"/>
    <w:rsid w:val="00A5337B"/>
    <w:rsid w:val="00A53D37"/>
    <w:rsid w:val="00A54EF2"/>
    <w:rsid w:val="00A55917"/>
    <w:rsid w:val="00A55D48"/>
    <w:rsid w:val="00A56D22"/>
    <w:rsid w:val="00A56E13"/>
    <w:rsid w:val="00A570DE"/>
    <w:rsid w:val="00A57164"/>
    <w:rsid w:val="00A57BEB"/>
    <w:rsid w:val="00A61673"/>
    <w:rsid w:val="00A616FA"/>
    <w:rsid w:val="00A62C4C"/>
    <w:rsid w:val="00A63880"/>
    <w:rsid w:val="00A639B5"/>
    <w:rsid w:val="00A64926"/>
    <w:rsid w:val="00A665CF"/>
    <w:rsid w:val="00A67CA7"/>
    <w:rsid w:val="00A67DE2"/>
    <w:rsid w:val="00A72084"/>
    <w:rsid w:val="00A73380"/>
    <w:rsid w:val="00A73989"/>
    <w:rsid w:val="00A747B0"/>
    <w:rsid w:val="00A74805"/>
    <w:rsid w:val="00A74FCB"/>
    <w:rsid w:val="00A75E60"/>
    <w:rsid w:val="00A7614C"/>
    <w:rsid w:val="00A7752F"/>
    <w:rsid w:val="00A77577"/>
    <w:rsid w:val="00A77EB1"/>
    <w:rsid w:val="00A81625"/>
    <w:rsid w:val="00A82B34"/>
    <w:rsid w:val="00A85C35"/>
    <w:rsid w:val="00A91598"/>
    <w:rsid w:val="00A92061"/>
    <w:rsid w:val="00A94249"/>
    <w:rsid w:val="00A94B73"/>
    <w:rsid w:val="00A94BC9"/>
    <w:rsid w:val="00A959BC"/>
    <w:rsid w:val="00A95E25"/>
    <w:rsid w:val="00A96A6D"/>
    <w:rsid w:val="00AA0882"/>
    <w:rsid w:val="00AA0B65"/>
    <w:rsid w:val="00AA0EC8"/>
    <w:rsid w:val="00AA2520"/>
    <w:rsid w:val="00AA2562"/>
    <w:rsid w:val="00AA2A16"/>
    <w:rsid w:val="00AA3C60"/>
    <w:rsid w:val="00AA5997"/>
    <w:rsid w:val="00AA5AE9"/>
    <w:rsid w:val="00AA5C33"/>
    <w:rsid w:val="00AA5D90"/>
    <w:rsid w:val="00AA5DBC"/>
    <w:rsid w:val="00AA6FCD"/>
    <w:rsid w:val="00AA74BF"/>
    <w:rsid w:val="00AA7CB3"/>
    <w:rsid w:val="00AB1040"/>
    <w:rsid w:val="00AB1912"/>
    <w:rsid w:val="00AB2FF4"/>
    <w:rsid w:val="00AB3636"/>
    <w:rsid w:val="00AB3AB4"/>
    <w:rsid w:val="00AB4058"/>
    <w:rsid w:val="00AB5F9C"/>
    <w:rsid w:val="00AB6A65"/>
    <w:rsid w:val="00AC0A1F"/>
    <w:rsid w:val="00AC1222"/>
    <w:rsid w:val="00AC1674"/>
    <w:rsid w:val="00AC1AD6"/>
    <w:rsid w:val="00AC2B39"/>
    <w:rsid w:val="00AC417B"/>
    <w:rsid w:val="00AC45D0"/>
    <w:rsid w:val="00AC4A45"/>
    <w:rsid w:val="00AC59F0"/>
    <w:rsid w:val="00AC7015"/>
    <w:rsid w:val="00AC79B1"/>
    <w:rsid w:val="00AC7AB8"/>
    <w:rsid w:val="00AC7C1E"/>
    <w:rsid w:val="00AD1393"/>
    <w:rsid w:val="00AD3976"/>
    <w:rsid w:val="00AD5F76"/>
    <w:rsid w:val="00AD64DF"/>
    <w:rsid w:val="00AD6713"/>
    <w:rsid w:val="00AD68D6"/>
    <w:rsid w:val="00AE0C55"/>
    <w:rsid w:val="00AE1025"/>
    <w:rsid w:val="00AE16D2"/>
    <w:rsid w:val="00AE2401"/>
    <w:rsid w:val="00AE2C41"/>
    <w:rsid w:val="00AE3F03"/>
    <w:rsid w:val="00AE5024"/>
    <w:rsid w:val="00AE64F0"/>
    <w:rsid w:val="00AE7584"/>
    <w:rsid w:val="00AF01CC"/>
    <w:rsid w:val="00AF0417"/>
    <w:rsid w:val="00AF23C8"/>
    <w:rsid w:val="00AF2AE2"/>
    <w:rsid w:val="00AF2D35"/>
    <w:rsid w:val="00AF3DE8"/>
    <w:rsid w:val="00AF4042"/>
    <w:rsid w:val="00AF47CF"/>
    <w:rsid w:val="00AF545C"/>
    <w:rsid w:val="00AF5711"/>
    <w:rsid w:val="00AF590E"/>
    <w:rsid w:val="00AF6963"/>
    <w:rsid w:val="00AF7271"/>
    <w:rsid w:val="00AF7BF8"/>
    <w:rsid w:val="00B000D6"/>
    <w:rsid w:val="00B00456"/>
    <w:rsid w:val="00B02FB5"/>
    <w:rsid w:val="00B0377E"/>
    <w:rsid w:val="00B04D2A"/>
    <w:rsid w:val="00B07BA9"/>
    <w:rsid w:val="00B10055"/>
    <w:rsid w:val="00B112D5"/>
    <w:rsid w:val="00B1141E"/>
    <w:rsid w:val="00B11DAB"/>
    <w:rsid w:val="00B1278B"/>
    <w:rsid w:val="00B12B09"/>
    <w:rsid w:val="00B13149"/>
    <w:rsid w:val="00B13A27"/>
    <w:rsid w:val="00B13F26"/>
    <w:rsid w:val="00B1406D"/>
    <w:rsid w:val="00B14534"/>
    <w:rsid w:val="00B1681D"/>
    <w:rsid w:val="00B17295"/>
    <w:rsid w:val="00B17DD6"/>
    <w:rsid w:val="00B17E2A"/>
    <w:rsid w:val="00B21264"/>
    <w:rsid w:val="00B215F5"/>
    <w:rsid w:val="00B235B6"/>
    <w:rsid w:val="00B25489"/>
    <w:rsid w:val="00B25CD5"/>
    <w:rsid w:val="00B26B62"/>
    <w:rsid w:val="00B26C3D"/>
    <w:rsid w:val="00B26CBA"/>
    <w:rsid w:val="00B27A54"/>
    <w:rsid w:val="00B27A9C"/>
    <w:rsid w:val="00B30783"/>
    <w:rsid w:val="00B30B22"/>
    <w:rsid w:val="00B32132"/>
    <w:rsid w:val="00B32F0B"/>
    <w:rsid w:val="00B33B08"/>
    <w:rsid w:val="00B345BC"/>
    <w:rsid w:val="00B377D1"/>
    <w:rsid w:val="00B414AF"/>
    <w:rsid w:val="00B41F0F"/>
    <w:rsid w:val="00B41F9A"/>
    <w:rsid w:val="00B42560"/>
    <w:rsid w:val="00B441A5"/>
    <w:rsid w:val="00B44E8D"/>
    <w:rsid w:val="00B44F7B"/>
    <w:rsid w:val="00B455AA"/>
    <w:rsid w:val="00B45778"/>
    <w:rsid w:val="00B457A1"/>
    <w:rsid w:val="00B4625B"/>
    <w:rsid w:val="00B4630F"/>
    <w:rsid w:val="00B464B1"/>
    <w:rsid w:val="00B464D2"/>
    <w:rsid w:val="00B46978"/>
    <w:rsid w:val="00B47A4A"/>
    <w:rsid w:val="00B47B99"/>
    <w:rsid w:val="00B47E97"/>
    <w:rsid w:val="00B506F2"/>
    <w:rsid w:val="00B510E3"/>
    <w:rsid w:val="00B52183"/>
    <w:rsid w:val="00B521AC"/>
    <w:rsid w:val="00B52702"/>
    <w:rsid w:val="00B5310A"/>
    <w:rsid w:val="00B5498D"/>
    <w:rsid w:val="00B5501D"/>
    <w:rsid w:val="00B550F9"/>
    <w:rsid w:val="00B5522C"/>
    <w:rsid w:val="00B55534"/>
    <w:rsid w:val="00B57120"/>
    <w:rsid w:val="00B57443"/>
    <w:rsid w:val="00B606F9"/>
    <w:rsid w:val="00B60ABA"/>
    <w:rsid w:val="00B6151E"/>
    <w:rsid w:val="00B63538"/>
    <w:rsid w:val="00B63BB8"/>
    <w:rsid w:val="00B64962"/>
    <w:rsid w:val="00B6716D"/>
    <w:rsid w:val="00B676EC"/>
    <w:rsid w:val="00B7016C"/>
    <w:rsid w:val="00B7039B"/>
    <w:rsid w:val="00B71588"/>
    <w:rsid w:val="00B71A37"/>
    <w:rsid w:val="00B72484"/>
    <w:rsid w:val="00B73542"/>
    <w:rsid w:val="00B74D1E"/>
    <w:rsid w:val="00B75205"/>
    <w:rsid w:val="00B76A18"/>
    <w:rsid w:val="00B8011E"/>
    <w:rsid w:val="00B80747"/>
    <w:rsid w:val="00B82E70"/>
    <w:rsid w:val="00B84C6C"/>
    <w:rsid w:val="00B85337"/>
    <w:rsid w:val="00B85645"/>
    <w:rsid w:val="00B8614C"/>
    <w:rsid w:val="00B87734"/>
    <w:rsid w:val="00B90B03"/>
    <w:rsid w:val="00B912F6"/>
    <w:rsid w:val="00B9198A"/>
    <w:rsid w:val="00B92687"/>
    <w:rsid w:val="00B9413D"/>
    <w:rsid w:val="00B94248"/>
    <w:rsid w:val="00B942A1"/>
    <w:rsid w:val="00B94B4F"/>
    <w:rsid w:val="00B95E8D"/>
    <w:rsid w:val="00B976F6"/>
    <w:rsid w:val="00B97E03"/>
    <w:rsid w:val="00BA01B9"/>
    <w:rsid w:val="00BA044D"/>
    <w:rsid w:val="00BA16E8"/>
    <w:rsid w:val="00BA2B68"/>
    <w:rsid w:val="00BA3715"/>
    <w:rsid w:val="00BA3D26"/>
    <w:rsid w:val="00BA5F41"/>
    <w:rsid w:val="00BA68A1"/>
    <w:rsid w:val="00BA735E"/>
    <w:rsid w:val="00BA7385"/>
    <w:rsid w:val="00BA7E5A"/>
    <w:rsid w:val="00BB1603"/>
    <w:rsid w:val="00BB187C"/>
    <w:rsid w:val="00BB1F18"/>
    <w:rsid w:val="00BB296B"/>
    <w:rsid w:val="00BB2A9C"/>
    <w:rsid w:val="00BB2B50"/>
    <w:rsid w:val="00BB3622"/>
    <w:rsid w:val="00BB416A"/>
    <w:rsid w:val="00BB44B3"/>
    <w:rsid w:val="00BB4D9B"/>
    <w:rsid w:val="00BB63CA"/>
    <w:rsid w:val="00BB682C"/>
    <w:rsid w:val="00BB7CA9"/>
    <w:rsid w:val="00BC236B"/>
    <w:rsid w:val="00BC2BB4"/>
    <w:rsid w:val="00BC332E"/>
    <w:rsid w:val="00BC48B8"/>
    <w:rsid w:val="00BC65D9"/>
    <w:rsid w:val="00BC7C52"/>
    <w:rsid w:val="00BD0012"/>
    <w:rsid w:val="00BD04F3"/>
    <w:rsid w:val="00BD0CF6"/>
    <w:rsid w:val="00BD1471"/>
    <w:rsid w:val="00BD14C5"/>
    <w:rsid w:val="00BD196A"/>
    <w:rsid w:val="00BD2081"/>
    <w:rsid w:val="00BD2311"/>
    <w:rsid w:val="00BD2D84"/>
    <w:rsid w:val="00BD323F"/>
    <w:rsid w:val="00BD3403"/>
    <w:rsid w:val="00BD55A6"/>
    <w:rsid w:val="00BD6262"/>
    <w:rsid w:val="00BD6A56"/>
    <w:rsid w:val="00BD7EED"/>
    <w:rsid w:val="00BE02AF"/>
    <w:rsid w:val="00BE088B"/>
    <w:rsid w:val="00BE19F2"/>
    <w:rsid w:val="00BE2CAE"/>
    <w:rsid w:val="00BE3ACC"/>
    <w:rsid w:val="00BE453F"/>
    <w:rsid w:val="00BE4C48"/>
    <w:rsid w:val="00BE61C1"/>
    <w:rsid w:val="00BE64AF"/>
    <w:rsid w:val="00BE6717"/>
    <w:rsid w:val="00BE769D"/>
    <w:rsid w:val="00BF0381"/>
    <w:rsid w:val="00BF18C8"/>
    <w:rsid w:val="00BF2EB0"/>
    <w:rsid w:val="00BF36C1"/>
    <w:rsid w:val="00BF3BFE"/>
    <w:rsid w:val="00BF3E78"/>
    <w:rsid w:val="00BF446E"/>
    <w:rsid w:val="00BF504E"/>
    <w:rsid w:val="00BF6E7B"/>
    <w:rsid w:val="00BF7001"/>
    <w:rsid w:val="00BF7762"/>
    <w:rsid w:val="00C01021"/>
    <w:rsid w:val="00C0141F"/>
    <w:rsid w:val="00C018A5"/>
    <w:rsid w:val="00C0198D"/>
    <w:rsid w:val="00C02830"/>
    <w:rsid w:val="00C048AF"/>
    <w:rsid w:val="00C04DEC"/>
    <w:rsid w:val="00C05E2F"/>
    <w:rsid w:val="00C077E0"/>
    <w:rsid w:val="00C0794F"/>
    <w:rsid w:val="00C07DE6"/>
    <w:rsid w:val="00C11A5C"/>
    <w:rsid w:val="00C1210B"/>
    <w:rsid w:val="00C154B5"/>
    <w:rsid w:val="00C154EC"/>
    <w:rsid w:val="00C15DAB"/>
    <w:rsid w:val="00C16346"/>
    <w:rsid w:val="00C173B0"/>
    <w:rsid w:val="00C17863"/>
    <w:rsid w:val="00C17872"/>
    <w:rsid w:val="00C17A0B"/>
    <w:rsid w:val="00C205E9"/>
    <w:rsid w:val="00C212FC"/>
    <w:rsid w:val="00C2244C"/>
    <w:rsid w:val="00C22750"/>
    <w:rsid w:val="00C23D9B"/>
    <w:rsid w:val="00C23F48"/>
    <w:rsid w:val="00C262BD"/>
    <w:rsid w:val="00C26349"/>
    <w:rsid w:val="00C268AA"/>
    <w:rsid w:val="00C26C4F"/>
    <w:rsid w:val="00C26D3A"/>
    <w:rsid w:val="00C26E71"/>
    <w:rsid w:val="00C27F5D"/>
    <w:rsid w:val="00C30E04"/>
    <w:rsid w:val="00C310C2"/>
    <w:rsid w:val="00C315F9"/>
    <w:rsid w:val="00C31BAA"/>
    <w:rsid w:val="00C3297B"/>
    <w:rsid w:val="00C33357"/>
    <w:rsid w:val="00C33AAB"/>
    <w:rsid w:val="00C34174"/>
    <w:rsid w:val="00C34997"/>
    <w:rsid w:val="00C35B88"/>
    <w:rsid w:val="00C36525"/>
    <w:rsid w:val="00C36C3A"/>
    <w:rsid w:val="00C40966"/>
    <w:rsid w:val="00C40A6F"/>
    <w:rsid w:val="00C40EB3"/>
    <w:rsid w:val="00C41BD9"/>
    <w:rsid w:val="00C434FD"/>
    <w:rsid w:val="00C4350E"/>
    <w:rsid w:val="00C43548"/>
    <w:rsid w:val="00C43DC5"/>
    <w:rsid w:val="00C43F8C"/>
    <w:rsid w:val="00C45D07"/>
    <w:rsid w:val="00C466AE"/>
    <w:rsid w:val="00C47AC7"/>
    <w:rsid w:val="00C5083B"/>
    <w:rsid w:val="00C513A2"/>
    <w:rsid w:val="00C51612"/>
    <w:rsid w:val="00C5192E"/>
    <w:rsid w:val="00C51B04"/>
    <w:rsid w:val="00C52045"/>
    <w:rsid w:val="00C52DE6"/>
    <w:rsid w:val="00C53A1E"/>
    <w:rsid w:val="00C53B9E"/>
    <w:rsid w:val="00C54938"/>
    <w:rsid w:val="00C551C0"/>
    <w:rsid w:val="00C55BD9"/>
    <w:rsid w:val="00C567D1"/>
    <w:rsid w:val="00C56E63"/>
    <w:rsid w:val="00C57EC1"/>
    <w:rsid w:val="00C6016B"/>
    <w:rsid w:val="00C6097B"/>
    <w:rsid w:val="00C60F18"/>
    <w:rsid w:val="00C61CCC"/>
    <w:rsid w:val="00C61DE4"/>
    <w:rsid w:val="00C62DF3"/>
    <w:rsid w:val="00C634A7"/>
    <w:rsid w:val="00C638D7"/>
    <w:rsid w:val="00C638DF"/>
    <w:rsid w:val="00C63FC9"/>
    <w:rsid w:val="00C64245"/>
    <w:rsid w:val="00C6450C"/>
    <w:rsid w:val="00C64720"/>
    <w:rsid w:val="00C6517F"/>
    <w:rsid w:val="00C65797"/>
    <w:rsid w:val="00C67318"/>
    <w:rsid w:val="00C67BA6"/>
    <w:rsid w:val="00C67C01"/>
    <w:rsid w:val="00C70DA3"/>
    <w:rsid w:val="00C70F70"/>
    <w:rsid w:val="00C71920"/>
    <w:rsid w:val="00C71E6B"/>
    <w:rsid w:val="00C721F9"/>
    <w:rsid w:val="00C72A63"/>
    <w:rsid w:val="00C73ECB"/>
    <w:rsid w:val="00C7512A"/>
    <w:rsid w:val="00C75192"/>
    <w:rsid w:val="00C7677C"/>
    <w:rsid w:val="00C77A70"/>
    <w:rsid w:val="00C80AE4"/>
    <w:rsid w:val="00C83759"/>
    <w:rsid w:val="00C83EF0"/>
    <w:rsid w:val="00C857F1"/>
    <w:rsid w:val="00C85857"/>
    <w:rsid w:val="00C86BFC"/>
    <w:rsid w:val="00C86FB0"/>
    <w:rsid w:val="00C871C4"/>
    <w:rsid w:val="00C91059"/>
    <w:rsid w:val="00C92313"/>
    <w:rsid w:val="00C9249C"/>
    <w:rsid w:val="00C92714"/>
    <w:rsid w:val="00C92951"/>
    <w:rsid w:val="00C92F97"/>
    <w:rsid w:val="00C95BCB"/>
    <w:rsid w:val="00C97301"/>
    <w:rsid w:val="00C9795B"/>
    <w:rsid w:val="00C97DF4"/>
    <w:rsid w:val="00CA0B0B"/>
    <w:rsid w:val="00CA1130"/>
    <w:rsid w:val="00CA163D"/>
    <w:rsid w:val="00CA35FA"/>
    <w:rsid w:val="00CA3BF5"/>
    <w:rsid w:val="00CA415F"/>
    <w:rsid w:val="00CA529D"/>
    <w:rsid w:val="00CA5EA7"/>
    <w:rsid w:val="00CA6CB2"/>
    <w:rsid w:val="00CA70F2"/>
    <w:rsid w:val="00CA788B"/>
    <w:rsid w:val="00CB026C"/>
    <w:rsid w:val="00CB2152"/>
    <w:rsid w:val="00CB2C14"/>
    <w:rsid w:val="00CB2E9A"/>
    <w:rsid w:val="00CB5A49"/>
    <w:rsid w:val="00CB5C15"/>
    <w:rsid w:val="00CB5C7F"/>
    <w:rsid w:val="00CB678B"/>
    <w:rsid w:val="00CC0BA3"/>
    <w:rsid w:val="00CC1228"/>
    <w:rsid w:val="00CC1A21"/>
    <w:rsid w:val="00CC1FA9"/>
    <w:rsid w:val="00CC3692"/>
    <w:rsid w:val="00CC5686"/>
    <w:rsid w:val="00CC584F"/>
    <w:rsid w:val="00CC66DE"/>
    <w:rsid w:val="00CC7C0C"/>
    <w:rsid w:val="00CD0355"/>
    <w:rsid w:val="00CD03D8"/>
    <w:rsid w:val="00CD0611"/>
    <w:rsid w:val="00CD1AB0"/>
    <w:rsid w:val="00CD22B6"/>
    <w:rsid w:val="00CD2538"/>
    <w:rsid w:val="00CD28FC"/>
    <w:rsid w:val="00CD30B5"/>
    <w:rsid w:val="00CD4F5C"/>
    <w:rsid w:val="00CD51C2"/>
    <w:rsid w:val="00CD5694"/>
    <w:rsid w:val="00CD75E3"/>
    <w:rsid w:val="00CD7633"/>
    <w:rsid w:val="00CE0D28"/>
    <w:rsid w:val="00CE0EC1"/>
    <w:rsid w:val="00CE2627"/>
    <w:rsid w:val="00CE2EB2"/>
    <w:rsid w:val="00CE4443"/>
    <w:rsid w:val="00CE4ACF"/>
    <w:rsid w:val="00CE525D"/>
    <w:rsid w:val="00CE5C99"/>
    <w:rsid w:val="00CE7831"/>
    <w:rsid w:val="00CE7BD4"/>
    <w:rsid w:val="00CF0F2E"/>
    <w:rsid w:val="00CF17CE"/>
    <w:rsid w:val="00CF23EE"/>
    <w:rsid w:val="00CF2D4A"/>
    <w:rsid w:val="00CF3EE7"/>
    <w:rsid w:val="00CF41D3"/>
    <w:rsid w:val="00CF7119"/>
    <w:rsid w:val="00CF7480"/>
    <w:rsid w:val="00CF74FB"/>
    <w:rsid w:val="00D02662"/>
    <w:rsid w:val="00D0458D"/>
    <w:rsid w:val="00D0671D"/>
    <w:rsid w:val="00D07522"/>
    <w:rsid w:val="00D1076F"/>
    <w:rsid w:val="00D11357"/>
    <w:rsid w:val="00D126F7"/>
    <w:rsid w:val="00D12926"/>
    <w:rsid w:val="00D129F5"/>
    <w:rsid w:val="00D12DD5"/>
    <w:rsid w:val="00D12ED9"/>
    <w:rsid w:val="00D13541"/>
    <w:rsid w:val="00D13737"/>
    <w:rsid w:val="00D141DD"/>
    <w:rsid w:val="00D14682"/>
    <w:rsid w:val="00D1490A"/>
    <w:rsid w:val="00D1494A"/>
    <w:rsid w:val="00D14B1C"/>
    <w:rsid w:val="00D15681"/>
    <w:rsid w:val="00D158AE"/>
    <w:rsid w:val="00D16EC8"/>
    <w:rsid w:val="00D175C4"/>
    <w:rsid w:val="00D17C54"/>
    <w:rsid w:val="00D21887"/>
    <w:rsid w:val="00D241F0"/>
    <w:rsid w:val="00D24FDC"/>
    <w:rsid w:val="00D25A4B"/>
    <w:rsid w:val="00D263BD"/>
    <w:rsid w:val="00D266DE"/>
    <w:rsid w:val="00D27745"/>
    <w:rsid w:val="00D27F27"/>
    <w:rsid w:val="00D31689"/>
    <w:rsid w:val="00D325D3"/>
    <w:rsid w:val="00D344A7"/>
    <w:rsid w:val="00D355E8"/>
    <w:rsid w:val="00D3700F"/>
    <w:rsid w:val="00D404A9"/>
    <w:rsid w:val="00D42BA9"/>
    <w:rsid w:val="00D43186"/>
    <w:rsid w:val="00D43DD6"/>
    <w:rsid w:val="00D44124"/>
    <w:rsid w:val="00D454EC"/>
    <w:rsid w:val="00D46FAA"/>
    <w:rsid w:val="00D51873"/>
    <w:rsid w:val="00D51C2C"/>
    <w:rsid w:val="00D53C6B"/>
    <w:rsid w:val="00D55A36"/>
    <w:rsid w:val="00D5630F"/>
    <w:rsid w:val="00D5689A"/>
    <w:rsid w:val="00D56F6A"/>
    <w:rsid w:val="00D57072"/>
    <w:rsid w:val="00D57B35"/>
    <w:rsid w:val="00D6077E"/>
    <w:rsid w:val="00D61249"/>
    <w:rsid w:val="00D61AE5"/>
    <w:rsid w:val="00D62799"/>
    <w:rsid w:val="00D62C2F"/>
    <w:rsid w:val="00D632E8"/>
    <w:rsid w:val="00D63B89"/>
    <w:rsid w:val="00D64636"/>
    <w:rsid w:val="00D64A10"/>
    <w:rsid w:val="00D65DD1"/>
    <w:rsid w:val="00D668E4"/>
    <w:rsid w:val="00D6718B"/>
    <w:rsid w:val="00D67466"/>
    <w:rsid w:val="00D7047B"/>
    <w:rsid w:val="00D70735"/>
    <w:rsid w:val="00D72727"/>
    <w:rsid w:val="00D727E2"/>
    <w:rsid w:val="00D728C4"/>
    <w:rsid w:val="00D729A9"/>
    <w:rsid w:val="00D741F4"/>
    <w:rsid w:val="00D74FEC"/>
    <w:rsid w:val="00D75505"/>
    <w:rsid w:val="00D75977"/>
    <w:rsid w:val="00D761EB"/>
    <w:rsid w:val="00D76695"/>
    <w:rsid w:val="00D77CB1"/>
    <w:rsid w:val="00D77DAB"/>
    <w:rsid w:val="00D80996"/>
    <w:rsid w:val="00D80998"/>
    <w:rsid w:val="00D80EDB"/>
    <w:rsid w:val="00D8228F"/>
    <w:rsid w:val="00D82BD3"/>
    <w:rsid w:val="00D831E4"/>
    <w:rsid w:val="00D83CB1"/>
    <w:rsid w:val="00D862DA"/>
    <w:rsid w:val="00D8640C"/>
    <w:rsid w:val="00D86456"/>
    <w:rsid w:val="00D868ED"/>
    <w:rsid w:val="00D870BD"/>
    <w:rsid w:val="00D874B2"/>
    <w:rsid w:val="00D90ED8"/>
    <w:rsid w:val="00D915F8"/>
    <w:rsid w:val="00D936C9"/>
    <w:rsid w:val="00D949D7"/>
    <w:rsid w:val="00D96C8F"/>
    <w:rsid w:val="00D97001"/>
    <w:rsid w:val="00D97199"/>
    <w:rsid w:val="00D97465"/>
    <w:rsid w:val="00DA2945"/>
    <w:rsid w:val="00DA2DED"/>
    <w:rsid w:val="00DA3D7B"/>
    <w:rsid w:val="00DA3E07"/>
    <w:rsid w:val="00DA4530"/>
    <w:rsid w:val="00DA533D"/>
    <w:rsid w:val="00DA6272"/>
    <w:rsid w:val="00DA659D"/>
    <w:rsid w:val="00DA6721"/>
    <w:rsid w:val="00DA7189"/>
    <w:rsid w:val="00DA71CB"/>
    <w:rsid w:val="00DA7370"/>
    <w:rsid w:val="00DA7A21"/>
    <w:rsid w:val="00DB0656"/>
    <w:rsid w:val="00DB1190"/>
    <w:rsid w:val="00DB2466"/>
    <w:rsid w:val="00DB3304"/>
    <w:rsid w:val="00DB4594"/>
    <w:rsid w:val="00DB4AA3"/>
    <w:rsid w:val="00DB5EA3"/>
    <w:rsid w:val="00DB68FF"/>
    <w:rsid w:val="00DB7230"/>
    <w:rsid w:val="00DC00C8"/>
    <w:rsid w:val="00DC0AAA"/>
    <w:rsid w:val="00DC116E"/>
    <w:rsid w:val="00DC1F1D"/>
    <w:rsid w:val="00DC32BA"/>
    <w:rsid w:val="00DC4637"/>
    <w:rsid w:val="00DC4DEB"/>
    <w:rsid w:val="00DC5FD8"/>
    <w:rsid w:val="00DC6157"/>
    <w:rsid w:val="00DC69D3"/>
    <w:rsid w:val="00DC7F38"/>
    <w:rsid w:val="00DD16BE"/>
    <w:rsid w:val="00DD35FE"/>
    <w:rsid w:val="00DD41D2"/>
    <w:rsid w:val="00DD4713"/>
    <w:rsid w:val="00DD5C30"/>
    <w:rsid w:val="00DD6518"/>
    <w:rsid w:val="00DD6537"/>
    <w:rsid w:val="00DD6667"/>
    <w:rsid w:val="00DD74A2"/>
    <w:rsid w:val="00DD7861"/>
    <w:rsid w:val="00DE089F"/>
    <w:rsid w:val="00DE288A"/>
    <w:rsid w:val="00DE383B"/>
    <w:rsid w:val="00DE38A2"/>
    <w:rsid w:val="00DE3DFE"/>
    <w:rsid w:val="00DE4418"/>
    <w:rsid w:val="00DE49BE"/>
    <w:rsid w:val="00DE4BFE"/>
    <w:rsid w:val="00DE615B"/>
    <w:rsid w:val="00DE652D"/>
    <w:rsid w:val="00DE6576"/>
    <w:rsid w:val="00DE7DEE"/>
    <w:rsid w:val="00DF2478"/>
    <w:rsid w:val="00DF42FE"/>
    <w:rsid w:val="00DF4614"/>
    <w:rsid w:val="00DF471C"/>
    <w:rsid w:val="00DF6D10"/>
    <w:rsid w:val="00DF7B25"/>
    <w:rsid w:val="00DF7EB8"/>
    <w:rsid w:val="00E00B67"/>
    <w:rsid w:val="00E00F11"/>
    <w:rsid w:val="00E02564"/>
    <w:rsid w:val="00E02D91"/>
    <w:rsid w:val="00E03053"/>
    <w:rsid w:val="00E030A8"/>
    <w:rsid w:val="00E03190"/>
    <w:rsid w:val="00E03DE4"/>
    <w:rsid w:val="00E04840"/>
    <w:rsid w:val="00E049EE"/>
    <w:rsid w:val="00E05B0E"/>
    <w:rsid w:val="00E07B2A"/>
    <w:rsid w:val="00E10049"/>
    <w:rsid w:val="00E10786"/>
    <w:rsid w:val="00E1136D"/>
    <w:rsid w:val="00E135A1"/>
    <w:rsid w:val="00E1496E"/>
    <w:rsid w:val="00E16195"/>
    <w:rsid w:val="00E16EC0"/>
    <w:rsid w:val="00E16EF1"/>
    <w:rsid w:val="00E174A5"/>
    <w:rsid w:val="00E177A0"/>
    <w:rsid w:val="00E17F63"/>
    <w:rsid w:val="00E21B49"/>
    <w:rsid w:val="00E236AE"/>
    <w:rsid w:val="00E27324"/>
    <w:rsid w:val="00E273EA"/>
    <w:rsid w:val="00E3003D"/>
    <w:rsid w:val="00E30664"/>
    <w:rsid w:val="00E30E44"/>
    <w:rsid w:val="00E347F3"/>
    <w:rsid w:val="00E35232"/>
    <w:rsid w:val="00E368C3"/>
    <w:rsid w:val="00E375B9"/>
    <w:rsid w:val="00E3764A"/>
    <w:rsid w:val="00E40383"/>
    <w:rsid w:val="00E41350"/>
    <w:rsid w:val="00E43213"/>
    <w:rsid w:val="00E43C06"/>
    <w:rsid w:val="00E44663"/>
    <w:rsid w:val="00E44670"/>
    <w:rsid w:val="00E449B1"/>
    <w:rsid w:val="00E451D5"/>
    <w:rsid w:val="00E456BE"/>
    <w:rsid w:val="00E47B31"/>
    <w:rsid w:val="00E501F7"/>
    <w:rsid w:val="00E5082D"/>
    <w:rsid w:val="00E50C34"/>
    <w:rsid w:val="00E512A5"/>
    <w:rsid w:val="00E518FD"/>
    <w:rsid w:val="00E53503"/>
    <w:rsid w:val="00E53E6D"/>
    <w:rsid w:val="00E54E33"/>
    <w:rsid w:val="00E550CD"/>
    <w:rsid w:val="00E55797"/>
    <w:rsid w:val="00E55F63"/>
    <w:rsid w:val="00E565AA"/>
    <w:rsid w:val="00E56D9F"/>
    <w:rsid w:val="00E574A9"/>
    <w:rsid w:val="00E5767F"/>
    <w:rsid w:val="00E60084"/>
    <w:rsid w:val="00E61355"/>
    <w:rsid w:val="00E613BC"/>
    <w:rsid w:val="00E61492"/>
    <w:rsid w:val="00E61F1E"/>
    <w:rsid w:val="00E62030"/>
    <w:rsid w:val="00E62570"/>
    <w:rsid w:val="00E62DC7"/>
    <w:rsid w:val="00E63DF5"/>
    <w:rsid w:val="00E65E33"/>
    <w:rsid w:val="00E66861"/>
    <w:rsid w:val="00E66E21"/>
    <w:rsid w:val="00E67063"/>
    <w:rsid w:val="00E67E95"/>
    <w:rsid w:val="00E70BEB"/>
    <w:rsid w:val="00E70F38"/>
    <w:rsid w:val="00E710FC"/>
    <w:rsid w:val="00E71915"/>
    <w:rsid w:val="00E71C41"/>
    <w:rsid w:val="00E727ED"/>
    <w:rsid w:val="00E73E76"/>
    <w:rsid w:val="00E74A15"/>
    <w:rsid w:val="00E75808"/>
    <w:rsid w:val="00E75FC4"/>
    <w:rsid w:val="00E75FF5"/>
    <w:rsid w:val="00E7626F"/>
    <w:rsid w:val="00E76942"/>
    <w:rsid w:val="00E779AE"/>
    <w:rsid w:val="00E77DCF"/>
    <w:rsid w:val="00E80916"/>
    <w:rsid w:val="00E8142E"/>
    <w:rsid w:val="00E814DE"/>
    <w:rsid w:val="00E82F8B"/>
    <w:rsid w:val="00E840DF"/>
    <w:rsid w:val="00E8452A"/>
    <w:rsid w:val="00E84E63"/>
    <w:rsid w:val="00E8560F"/>
    <w:rsid w:val="00E863E6"/>
    <w:rsid w:val="00E86F92"/>
    <w:rsid w:val="00E8780A"/>
    <w:rsid w:val="00E902D8"/>
    <w:rsid w:val="00E9087B"/>
    <w:rsid w:val="00E92D95"/>
    <w:rsid w:val="00E93E6A"/>
    <w:rsid w:val="00E95361"/>
    <w:rsid w:val="00E957FC"/>
    <w:rsid w:val="00EA0289"/>
    <w:rsid w:val="00EA041D"/>
    <w:rsid w:val="00EA0DBD"/>
    <w:rsid w:val="00EA13B1"/>
    <w:rsid w:val="00EA20ED"/>
    <w:rsid w:val="00EA2EA3"/>
    <w:rsid w:val="00EA659F"/>
    <w:rsid w:val="00EA7BCB"/>
    <w:rsid w:val="00EB0FB9"/>
    <w:rsid w:val="00EB1121"/>
    <w:rsid w:val="00EB112C"/>
    <w:rsid w:val="00EB11D1"/>
    <w:rsid w:val="00EB181B"/>
    <w:rsid w:val="00EB1BFD"/>
    <w:rsid w:val="00EB1CA4"/>
    <w:rsid w:val="00EB2140"/>
    <w:rsid w:val="00EB2DEA"/>
    <w:rsid w:val="00EB4768"/>
    <w:rsid w:val="00EB50BD"/>
    <w:rsid w:val="00EB5B89"/>
    <w:rsid w:val="00EB71B4"/>
    <w:rsid w:val="00EB732D"/>
    <w:rsid w:val="00EB770B"/>
    <w:rsid w:val="00EC160D"/>
    <w:rsid w:val="00EC17F1"/>
    <w:rsid w:val="00EC341C"/>
    <w:rsid w:val="00EC422D"/>
    <w:rsid w:val="00EC7156"/>
    <w:rsid w:val="00ED07B2"/>
    <w:rsid w:val="00ED0F20"/>
    <w:rsid w:val="00ED1657"/>
    <w:rsid w:val="00ED1940"/>
    <w:rsid w:val="00ED3DCE"/>
    <w:rsid w:val="00ED528E"/>
    <w:rsid w:val="00ED5637"/>
    <w:rsid w:val="00ED6618"/>
    <w:rsid w:val="00ED7AD9"/>
    <w:rsid w:val="00EE19DB"/>
    <w:rsid w:val="00EE35B7"/>
    <w:rsid w:val="00EE3669"/>
    <w:rsid w:val="00EE442A"/>
    <w:rsid w:val="00EE5048"/>
    <w:rsid w:val="00EE5984"/>
    <w:rsid w:val="00EE71C9"/>
    <w:rsid w:val="00EE77F9"/>
    <w:rsid w:val="00EF0CFD"/>
    <w:rsid w:val="00EF1238"/>
    <w:rsid w:val="00EF2C78"/>
    <w:rsid w:val="00EF2DF8"/>
    <w:rsid w:val="00EF352D"/>
    <w:rsid w:val="00EF3DFE"/>
    <w:rsid w:val="00EF467F"/>
    <w:rsid w:val="00EF4A03"/>
    <w:rsid w:val="00EF4AEE"/>
    <w:rsid w:val="00EF5680"/>
    <w:rsid w:val="00EF6E41"/>
    <w:rsid w:val="00EF6FBB"/>
    <w:rsid w:val="00EF71B7"/>
    <w:rsid w:val="00EF7505"/>
    <w:rsid w:val="00EF7D00"/>
    <w:rsid w:val="00F028FC"/>
    <w:rsid w:val="00F03BF4"/>
    <w:rsid w:val="00F03F3B"/>
    <w:rsid w:val="00F04338"/>
    <w:rsid w:val="00F05608"/>
    <w:rsid w:val="00F05BB1"/>
    <w:rsid w:val="00F068A8"/>
    <w:rsid w:val="00F07468"/>
    <w:rsid w:val="00F07602"/>
    <w:rsid w:val="00F11C72"/>
    <w:rsid w:val="00F11DDC"/>
    <w:rsid w:val="00F1302B"/>
    <w:rsid w:val="00F13108"/>
    <w:rsid w:val="00F13470"/>
    <w:rsid w:val="00F13F76"/>
    <w:rsid w:val="00F14026"/>
    <w:rsid w:val="00F1513F"/>
    <w:rsid w:val="00F153C1"/>
    <w:rsid w:val="00F1558D"/>
    <w:rsid w:val="00F15D40"/>
    <w:rsid w:val="00F210D5"/>
    <w:rsid w:val="00F2176B"/>
    <w:rsid w:val="00F21790"/>
    <w:rsid w:val="00F217E8"/>
    <w:rsid w:val="00F22D82"/>
    <w:rsid w:val="00F22FE8"/>
    <w:rsid w:val="00F23A8E"/>
    <w:rsid w:val="00F2420E"/>
    <w:rsid w:val="00F248A9"/>
    <w:rsid w:val="00F24E59"/>
    <w:rsid w:val="00F26D40"/>
    <w:rsid w:val="00F26F0C"/>
    <w:rsid w:val="00F2795E"/>
    <w:rsid w:val="00F27B53"/>
    <w:rsid w:val="00F30FE2"/>
    <w:rsid w:val="00F33E2A"/>
    <w:rsid w:val="00F340B6"/>
    <w:rsid w:val="00F361B7"/>
    <w:rsid w:val="00F37676"/>
    <w:rsid w:val="00F40328"/>
    <w:rsid w:val="00F406CC"/>
    <w:rsid w:val="00F40BAE"/>
    <w:rsid w:val="00F411B6"/>
    <w:rsid w:val="00F41707"/>
    <w:rsid w:val="00F41838"/>
    <w:rsid w:val="00F42ECE"/>
    <w:rsid w:val="00F4366E"/>
    <w:rsid w:val="00F43D6A"/>
    <w:rsid w:val="00F43E3E"/>
    <w:rsid w:val="00F4449E"/>
    <w:rsid w:val="00F44668"/>
    <w:rsid w:val="00F45345"/>
    <w:rsid w:val="00F45F53"/>
    <w:rsid w:val="00F468E6"/>
    <w:rsid w:val="00F46D41"/>
    <w:rsid w:val="00F477C3"/>
    <w:rsid w:val="00F510DD"/>
    <w:rsid w:val="00F51DCE"/>
    <w:rsid w:val="00F52E58"/>
    <w:rsid w:val="00F52F93"/>
    <w:rsid w:val="00F531ED"/>
    <w:rsid w:val="00F53BF6"/>
    <w:rsid w:val="00F54608"/>
    <w:rsid w:val="00F552B5"/>
    <w:rsid w:val="00F552F2"/>
    <w:rsid w:val="00F55E52"/>
    <w:rsid w:val="00F57A7F"/>
    <w:rsid w:val="00F57EF0"/>
    <w:rsid w:val="00F608E9"/>
    <w:rsid w:val="00F61085"/>
    <w:rsid w:val="00F6196A"/>
    <w:rsid w:val="00F61CB3"/>
    <w:rsid w:val="00F627E2"/>
    <w:rsid w:val="00F6631C"/>
    <w:rsid w:val="00F66365"/>
    <w:rsid w:val="00F66574"/>
    <w:rsid w:val="00F66DFC"/>
    <w:rsid w:val="00F66E82"/>
    <w:rsid w:val="00F66FEA"/>
    <w:rsid w:val="00F67D93"/>
    <w:rsid w:val="00F7140B"/>
    <w:rsid w:val="00F71520"/>
    <w:rsid w:val="00F7339D"/>
    <w:rsid w:val="00F73D68"/>
    <w:rsid w:val="00F745DC"/>
    <w:rsid w:val="00F7590F"/>
    <w:rsid w:val="00F75BD5"/>
    <w:rsid w:val="00F75FE2"/>
    <w:rsid w:val="00F772CC"/>
    <w:rsid w:val="00F802A3"/>
    <w:rsid w:val="00F8200A"/>
    <w:rsid w:val="00F82990"/>
    <w:rsid w:val="00F83128"/>
    <w:rsid w:val="00F83956"/>
    <w:rsid w:val="00F84A16"/>
    <w:rsid w:val="00F8569E"/>
    <w:rsid w:val="00F857AF"/>
    <w:rsid w:val="00F85A14"/>
    <w:rsid w:val="00F85E83"/>
    <w:rsid w:val="00F86374"/>
    <w:rsid w:val="00F87FFE"/>
    <w:rsid w:val="00F900D4"/>
    <w:rsid w:val="00F90C5F"/>
    <w:rsid w:val="00F90EB0"/>
    <w:rsid w:val="00F90FF7"/>
    <w:rsid w:val="00F912FB"/>
    <w:rsid w:val="00F913C6"/>
    <w:rsid w:val="00F919CB"/>
    <w:rsid w:val="00F9284A"/>
    <w:rsid w:val="00F9320B"/>
    <w:rsid w:val="00F93495"/>
    <w:rsid w:val="00F935D7"/>
    <w:rsid w:val="00F94864"/>
    <w:rsid w:val="00F95BDD"/>
    <w:rsid w:val="00F95EC2"/>
    <w:rsid w:val="00FA02EE"/>
    <w:rsid w:val="00FA12EF"/>
    <w:rsid w:val="00FA27EF"/>
    <w:rsid w:val="00FA33A6"/>
    <w:rsid w:val="00FA4091"/>
    <w:rsid w:val="00FA67D5"/>
    <w:rsid w:val="00FA687B"/>
    <w:rsid w:val="00FA6C9B"/>
    <w:rsid w:val="00FA6EEB"/>
    <w:rsid w:val="00FA766D"/>
    <w:rsid w:val="00FA7B80"/>
    <w:rsid w:val="00FB096D"/>
    <w:rsid w:val="00FB0B18"/>
    <w:rsid w:val="00FB0C6B"/>
    <w:rsid w:val="00FB1657"/>
    <w:rsid w:val="00FB174C"/>
    <w:rsid w:val="00FB1829"/>
    <w:rsid w:val="00FB18EA"/>
    <w:rsid w:val="00FB1C68"/>
    <w:rsid w:val="00FB1CBB"/>
    <w:rsid w:val="00FB1D1B"/>
    <w:rsid w:val="00FB200F"/>
    <w:rsid w:val="00FB2127"/>
    <w:rsid w:val="00FB2ACA"/>
    <w:rsid w:val="00FB3D44"/>
    <w:rsid w:val="00FB4C1E"/>
    <w:rsid w:val="00FB54FD"/>
    <w:rsid w:val="00FB5556"/>
    <w:rsid w:val="00FB673E"/>
    <w:rsid w:val="00FB753B"/>
    <w:rsid w:val="00FC06AE"/>
    <w:rsid w:val="00FC15DF"/>
    <w:rsid w:val="00FC2743"/>
    <w:rsid w:val="00FC302B"/>
    <w:rsid w:val="00FC3D57"/>
    <w:rsid w:val="00FC3EB4"/>
    <w:rsid w:val="00FC4341"/>
    <w:rsid w:val="00FC43A5"/>
    <w:rsid w:val="00FC50CC"/>
    <w:rsid w:val="00FC51B8"/>
    <w:rsid w:val="00FC5E6C"/>
    <w:rsid w:val="00FC5FD1"/>
    <w:rsid w:val="00FC6C2D"/>
    <w:rsid w:val="00FC6E36"/>
    <w:rsid w:val="00FD0AF2"/>
    <w:rsid w:val="00FD0EF8"/>
    <w:rsid w:val="00FD16AB"/>
    <w:rsid w:val="00FD1A5E"/>
    <w:rsid w:val="00FD1C56"/>
    <w:rsid w:val="00FD1D44"/>
    <w:rsid w:val="00FD2512"/>
    <w:rsid w:val="00FD2E3A"/>
    <w:rsid w:val="00FD351A"/>
    <w:rsid w:val="00FD38DC"/>
    <w:rsid w:val="00FD6457"/>
    <w:rsid w:val="00FD73C0"/>
    <w:rsid w:val="00FD755E"/>
    <w:rsid w:val="00FD7CD3"/>
    <w:rsid w:val="00FE0963"/>
    <w:rsid w:val="00FE1057"/>
    <w:rsid w:val="00FE1623"/>
    <w:rsid w:val="00FE1872"/>
    <w:rsid w:val="00FE1D86"/>
    <w:rsid w:val="00FE21E8"/>
    <w:rsid w:val="00FE410C"/>
    <w:rsid w:val="00FE44C5"/>
    <w:rsid w:val="00FE52E5"/>
    <w:rsid w:val="00FE5EF0"/>
    <w:rsid w:val="00FF0BF1"/>
    <w:rsid w:val="00FF1021"/>
    <w:rsid w:val="00FF141F"/>
    <w:rsid w:val="00FF2965"/>
    <w:rsid w:val="00FF2CEF"/>
    <w:rsid w:val="00FF406D"/>
    <w:rsid w:val="00FF4244"/>
    <w:rsid w:val="00FF54A7"/>
    <w:rsid w:val="00FF5513"/>
    <w:rsid w:val="00FF5CE3"/>
    <w:rsid w:val="00FF5EC8"/>
    <w:rsid w:val="00FF7684"/>
    <w:rsid w:val="00FF7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D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1"/>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3"/>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2"/>
      </w:numPr>
      <w:contextualSpacing/>
    </w:pPr>
  </w:style>
  <w:style w:type="paragraph" w:customStyle="1" w:styleId="FixListStyle">
    <w:name w:val="FixListStyle"/>
    <w:basedOn w:val="Normal"/>
    <w:uiPriority w:val="99"/>
    <w:qFormat/>
    <w:rsid w:val="00583673"/>
    <w:pPr>
      <w:numPr>
        <w:numId w:val="4"/>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A0334F"/>
  </w:style>
  <w:style w:type="character" w:styleId="CommentReference">
    <w:name w:val="annotation reference"/>
    <w:basedOn w:val="DefaultParagraphFont"/>
    <w:uiPriority w:val="99"/>
    <w:semiHidden/>
    <w:unhideWhenUsed/>
    <w:locked/>
    <w:rsid w:val="00077C77"/>
    <w:rPr>
      <w:sz w:val="16"/>
      <w:szCs w:val="16"/>
    </w:rPr>
  </w:style>
  <w:style w:type="paragraph" w:styleId="CommentText">
    <w:name w:val="annotation text"/>
    <w:basedOn w:val="Normal"/>
    <w:link w:val="CommentTextChar"/>
    <w:uiPriority w:val="99"/>
    <w:unhideWhenUsed/>
    <w:locked/>
    <w:rsid w:val="00077C77"/>
    <w:pPr>
      <w:spacing w:line="240" w:lineRule="auto"/>
    </w:pPr>
    <w:rPr>
      <w:sz w:val="20"/>
      <w:szCs w:val="20"/>
    </w:rPr>
  </w:style>
  <w:style w:type="character" w:customStyle="1" w:styleId="CommentTextChar">
    <w:name w:val="Comment Text Char"/>
    <w:basedOn w:val="DefaultParagraphFont"/>
    <w:link w:val="CommentText"/>
    <w:uiPriority w:val="99"/>
    <w:rsid w:val="00077C77"/>
    <w:rPr>
      <w:sz w:val="20"/>
      <w:szCs w:val="20"/>
    </w:rPr>
  </w:style>
  <w:style w:type="paragraph" w:styleId="CommentSubject">
    <w:name w:val="annotation subject"/>
    <w:basedOn w:val="CommentText"/>
    <w:next w:val="CommentText"/>
    <w:link w:val="CommentSubjectChar"/>
    <w:uiPriority w:val="99"/>
    <w:semiHidden/>
    <w:unhideWhenUsed/>
    <w:locked/>
    <w:rsid w:val="00077C77"/>
    <w:rPr>
      <w:b/>
      <w:bCs/>
    </w:rPr>
  </w:style>
  <w:style w:type="character" w:customStyle="1" w:styleId="CommentSubjectChar">
    <w:name w:val="Comment Subject Char"/>
    <w:basedOn w:val="CommentTextChar"/>
    <w:link w:val="CommentSubject"/>
    <w:uiPriority w:val="99"/>
    <w:semiHidden/>
    <w:rsid w:val="00077C77"/>
    <w:rPr>
      <w:b/>
      <w:bCs/>
      <w:sz w:val="20"/>
      <w:szCs w:val="20"/>
    </w:rPr>
  </w:style>
  <w:style w:type="character" w:customStyle="1" w:styleId="FootnoteTextChar">
    <w:name w:val="Footnote Text Char"/>
    <w:basedOn w:val="DefaultParagraphFont"/>
    <w:link w:val="FootnoteText"/>
    <w:uiPriority w:val="99"/>
    <w:rsid w:val="00111641"/>
  </w:style>
  <w:style w:type="character" w:styleId="Emphasis">
    <w:name w:val="Emphasis"/>
    <w:basedOn w:val="DefaultParagraphFont"/>
    <w:uiPriority w:val="20"/>
    <w:qFormat/>
    <w:locked/>
    <w:rsid w:val="0043054B"/>
    <w:rPr>
      <w:i/>
      <w:iCs/>
    </w:rPr>
  </w:style>
  <w:style w:type="character" w:styleId="Strong">
    <w:name w:val="Strong"/>
    <w:basedOn w:val="DefaultParagraphFont"/>
    <w:uiPriority w:val="22"/>
    <w:qFormat/>
    <w:locked/>
    <w:rsid w:val="0043054B"/>
    <w:rPr>
      <w:b/>
      <w:bCs/>
    </w:rPr>
  </w:style>
  <w:style w:type="paragraph" w:customStyle="1" w:styleId="Body">
    <w:name w:val="Body"/>
    <w:basedOn w:val="Normal"/>
    <w:qFormat/>
    <w:rsid w:val="00194AA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94AA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94AA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94AA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94AA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94AA8"/>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56742">
      <w:bodyDiv w:val="1"/>
      <w:marLeft w:val="0"/>
      <w:marRight w:val="0"/>
      <w:marTop w:val="0"/>
      <w:marBottom w:val="0"/>
      <w:divBdr>
        <w:top w:val="none" w:sz="0" w:space="0" w:color="auto"/>
        <w:left w:val="none" w:sz="0" w:space="0" w:color="auto"/>
        <w:bottom w:val="none" w:sz="0" w:space="0" w:color="auto"/>
        <w:right w:val="none" w:sz="0" w:space="0" w:color="auto"/>
      </w:divBdr>
    </w:div>
    <w:div w:id="19290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A5FD2BDF-780F-4200-9F4A-52F46B04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65</Pages>
  <Words>22798</Words>
  <Characters>112171</Characters>
  <Application>Microsoft Office Word</Application>
  <DocSecurity>0</DocSecurity>
  <Lines>1933</Lines>
  <Paragraphs>321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2025-05-02T02:29:00Z</dcterms:created>
  <dcterms:modified xsi:type="dcterms:W3CDTF">2025-05-04T22:39:00Z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